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52E99" w14:textId="77777777" w:rsidR="005E317F" w:rsidRDefault="005E317F" w:rsidP="005E317F">
      <w:pPr>
        <w:rPr>
          <w:sz w:val="28"/>
        </w:rPr>
      </w:pPr>
      <w:r>
        <w:rPr>
          <w:noProof/>
          <w:lang w:eastAsia="en-AU"/>
        </w:rPr>
        <w:drawing>
          <wp:inline distT="0" distB="0" distL="0" distR="0" wp14:anchorId="63E40341" wp14:editId="3D5DD38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06978B3" w14:textId="77777777" w:rsidR="005E317F" w:rsidRDefault="005E317F" w:rsidP="005E317F">
      <w:pPr>
        <w:rPr>
          <w:sz w:val="19"/>
        </w:rPr>
      </w:pPr>
    </w:p>
    <w:p w14:paraId="2948520E" w14:textId="77777777" w:rsidR="005E317F" w:rsidRPr="00E500D4" w:rsidRDefault="00EF1BF1" w:rsidP="005E317F">
      <w:pPr>
        <w:pStyle w:val="ShortT"/>
      </w:pPr>
      <w:r w:rsidRPr="005A6B59">
        <w:t>National Greenhouse and Energy Reporting (Measurement) Amendment (2023 Update) Determination 2023</w:t>
      </w:r>
    </w:p>
    <w:p w14:paraId="5680B38F" w14:textId="32727CA2" w:rsidR="005E317F" w:rsidRPr="00DA182D" w:rsidRDefault="005E317F" w:rsidP="005E317F">
      <w:pPr>
        <w:pStyle w:val="SignCoverPageStart"/>
        <w:spacing w:before="240"/>
        <w:ind w:right="91"/>
        <w:rPr>
          <w:szCs w:val="22"/>
        </w:rPr>
      </w:pPr>
      <w:r w:rsidRPr="00DA182D">
        <w:rPr>
          <w:szCs w:val="22"/>
        </w:rPr>
        <w:t xml:space="preserve">I, </w:t>
      </w:r>
      <w:r w:rsidR="00EF1BF1">
        <w:rPr>
          <w:szCs w:val="22"/>
        </w:rPr>
        <w:t>Chris Bowen</w:t>
      </w:r>
      <w:r w:rsidRPr="00DA182D">
        <w:rPr>
          <w:szCs w:val="22"/>
        </w:rPr>
        <w:t xml:space="preserve">, </w:t>
      </w:r>
      <w:r w:rsidR="00EF1BF1">
        <w:rPr>
          <w:szCs w:val="22"/>
        </w:rPr>
        <w:t>Minister for Climate Change and Energy</w:t>
      </w:r>
      <w:r w:rsidRPr="00DA182D">
        <w:rPr>
          <w:szCs w:val="22"/>
        </w:rPr>
        <w:t xml:space="preserve">, </w:t>
      </w:r>
      <w:r>
        <w:rPr>
          <w:szCs w:val="22"/>
        </w:rPr>
        <w:t xml:space="preserve">make the </w:t>
      </w:r>
      <w:r w:rsidRPr="00A81FE8">
        <w:rPr>
          <w:szCs w:val="22"/>
        </w:rPr>
        <w:t xml:space="preserve">following </w:t>
      </w:r>
      <w:r w:rsidR="00EF1BF1" w:rsidRPr="00A81FE8">
        <w:rPr>
          <w:szCs w:val="22"/>
        </w:rPr>
        <w:t>determination</w:t>
      </w:r>
      <w:r w:rsidRPr="00DA182D">
        <w:rPr>
          <w:szCs w:val="22"/>
        </w:rPr>
        <w:t>.</w:t>
      </w:r>
    </w:p>
    <w:p w14:paraId="227551F0" w14:textId="7D6DC077"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Pr="00001A63">
        <w:rPr>
          <w:szCs w:val="22"/>
        </w:rPr>
        <w:tab/>
      </w:r>
      <w:r w:rsidR="00245EB9">
        <w:rPr>
          <w:szCs w:val="22"/>
        </w:rPr>
        <w:t>6 June 2023</w:t>
      </w:r>
      <w:r>
        <w:rPr>
          <w:szCs w:val="22"/>
        </w:rPr>
        <w:tab/>
      </w:r>
      <w:r w:rsidRPr="00001A63">
        <w:rPr>
          <w:szCs w:val="22"/>
        </w:rPr>
        <w:tab/>
      </w:r>
    </w:p>
    <w:p w14:paraId="09D527A0" w14:textId="4B1A65FD" w:rsidR="005E317F" w:rsidRDefault="00EF1BF1" w:rsidP="005E317F">
      <w:pPr>
        <w:keepNext/>
        <w:tabs>
          <w:tab w:val="left" w:pos="3402"/>
        </w:tabs>
        <w:spacing w:before="1440" w:line="300" w:lineRule="atLeast"/>
        <w:ind w:right="397"/>
        <w:rPr>
          <w:b/>
          <w:szCs w:val="22"/>
        </w:rPr>
      </w:pPr>
      <w:r w:rsidRPr="005A6B59">
        <w:rPr>
          <w:szCs w:val="22"/>
        </w:rPr>
        <w:t>Chris Bowen</w:t>
      </w:r>
    </w:p>
    <w:p w14:paraId="515DEAE2" w14:textId="77777777" w:rsidR="005E317F" w:rsidRPr="000D3FB9" w:rsidRDefault="00EF1BF1" w:rsidP="005E317F">
      <w:pPr>
        <w:pStyle w:val="SignCoverPageEnd"/>
        <w:ind w:right="91"/>
        <w:rPr>
          <w:sz w:val="22"/>
        </w:rPr>
      </w:pPr>
      <w:r>
        <w:rPr>
          <w:sz w:val="22"/>
        </w:rPr>
        <w:t>Minister for Climate Change and Energy</w:t>
      </w:r>
    </w:p>
    <w:p w14:paraId="1B08BE10" w14:textId="77777777" w:rsidR="00B20990" w:rsidRDefault="00B20990" w:rsidP="00B20990"/>
    <w:p w14:paraId="39703D1C" w14:textId="77777777" w:rsidR="00B20990" w:rsidRDefault="00B20990" w:rsidP="00B20990">
      <w:pPr>
        <w:sectPr w:rsidR="00B20990" w:rsidSect="00B20990">
          <w:headerReference w:type="even" r:id="rId13"/>
          <w:headerReference w:type="default" r:id="rId14"/>
          <w:footerReference w:type="even" r:id="rId15"/>
          <w:footerReference w:type="default" r:id="rId16"/>
          <w:headerReference w:type="first" r:id="rId17"/>
          <w:footerReference w:type="first" r:id="rId18"/>
          <w:type w:val="continuous"/>
          <w:pgSz w:w="11907" w:h="16839"/>
          <w:pgMar w:top="1440" w:right="1797" w:bottom="1440" w:left="1797" w:header="720" w:footer="709" w:gutter="0"/>
          <w:cols w:space="708"/>
          <w:titlePg/>
          <w:docGrid w:linePitch="360"/>
        </w:sectPr>
      </w:pPr>
    </w:p>
    <w:p w14:paraId="21E53816" w14:textId="77777777" w:rsidR="00B20990" w:rsidRDefault="00B20990" w:rsidP="00B20990">
      <w:pPr>
        <w:outlineLvl w:val="0"/>
        <w:rPr>
          <w:sz w:val="36"/>
        </w:rPr>
      </w:pPr>
      <w:r w:rsidRPr="007A1328">
        <w:rPr>
          <w:sz w:val="36"/>
        </w:rPr>
        <w:lastRenderedPageBreak/>
        <w:t>Contents</w:t>
      </w:r>
    </w:p>
    <w:bookmarkStart w:id="0" w:name="BKCheck15B_2"/>
    <w:bookmarkEnd w:id="0"/>
    <w:p w14:paraId="20A3EF56" w14:textId="1B4B9E0C" w:rsidR="00375737" w:rsidRDefault="00B20990">
      <w:pPr>
        <w:pStyle w:val="TOC5"/>
        <w:rPr>
          <w:rFonts w:asciiTheme="minorHAnsi" w:eastAsiaTheme="minorEastAsia" w:hAnsiTheme="minorHAnsi" w:cstheme="minorBidi"/>
          <w:noProof/>
          <w:color w:val="auto"/>
          <w:kern w:val="0"/>
          <w:sz w:val="22"/>
          <w:szCs w:val="22"/>
        </w:rPr>
      </w:pPr>
      <w:r w:rsidRPr="005E317F">
        <w:fldChar w:fldCharType="begin"/>
      </w:r>
      <w:r>
        <w:instrText xml:space="preserve"> TOC \o "1-9" </w:instrText>
      </w:r>
      <w:r w:rsidRPr="005E317F">
        <w:fldChar w:fldCharType="separate"/>
      </w:r>
      <w:r w:rsidR="00375737">
        <w:rPr>
          <w:noProof/>
        </w:rPr>
        <w:t>1  Name</w:t>
      </w:r>
      <w:r w:rsidR="00375737">
        <w:rPr>
          <w:noProof/>
        </w:rPr>
        <w:tab/>
      </w:r>
      <w:r w:rsidR="00375737">
        <w:rPr>
          <w:noProof/>
        </w:rPr>
        <w:fldChar w:fldCharType="begin"/>
      </w:r>
      <w:r w:rsidR="00375737">
        <w:rPr>
          <w:noProof/>
        </w:rPr>
        <w:instrText xml:space="preserve"> PAGEREF _Toc128148160 \h </w:instrText>
      </w:r>
      <w:r w:rsidR="00375737">
        <w:rPr>
          <w:noProof/>
        </w:rPr>
      </w:r>
      <w:r w:rsidR="00375737">
        <w:rPr>
          <w:noProof/>
        </w:rPr>
        <w:fldChar w:fldCharType="separate"/>
      </w:r>
      <w:r w:rsidR="00CC6BF5">
        <w:rPr>
          <w:noProof/>
        </w:rPr>
        <w:t>1</w:t>
      </w:r>
      <w:r w:rsidR="00375737">
        <w:rPr>
          <w:noProof/>
        </w:rPr>
        <w:fldChar w:fldCharType="end"/>
      </w:r>
    </w:p>
    <w:p w14:paraId="4C2174A8" w14:textId="3B24CAD8" w:rsidR="00375737" w:rsidRDefault="00375737">
      <w:pPr>
        <w:pStyle w:val="TOC5"/>
        <w:rPr>
          <w:rFonts w:asciiTheme="minorHAnsi" w:eastAsiaTheme="minorEastAsia" w:hAnsiTheme="minorHAnsi" w:cstheme="minorBidi"/>
          <w:noProof/>
          <w:color w:val="auto"/>
          <w:kern w:val="0"/>
          <w:sz w:val="22"/>
          <w:szCs w:val="22"/>
        </w:rPr>
      </w:pPr>
      <w:r>
        <w:rPr>
          <w:noProof/>
        </w:rPr>
        <w:t>2  Commencement</w:t>
      </w:r>
      <w:r>
        <w:rPr>
          <w:noProof/>
        </w:rPr>
        <w:tab/>
      </w:r>
      <w:r>
        <w:rPr>
          <w:noProof/>
        </w:rPr>
        <w:fldChar w:fldCharType="begin"/>
      </w:r>
      <w:r>
        <w:rPr>
          <w:noProof/>
        </w:rPr>
        <w:instrText xml:space="preserve"> PAGEREF _Toc128148161 \h </w:instrText>
      </w:r>
      <w:r>
        <w:rPr>
          <w:noProof/>
        </w:rPr>
      </w:r>
      <w:r>
        <w:rPr>
          <w:noProof/>
        </w:rPr>
        <w:fldChar w:fldCharType="separate"/>
      </w:r>
      <w:r w:rsidR="00CC6BF5">
        <w:rPr>
          <w:noProof/>
        </w:rPr>
        <w:t>1</w:t>
      </w:r>
      <w:r>
        <w:rPr>
          <w:noProof/>
        </w:rPr>
        <w:fldChar w:fldCharType="end"/>
      </w:r>
    </w:p>
    <w:p w14:paraId="3A8536A2" w14:textId="001417CA" w:rsidR="00375737" w:rsidRDefault="00375737">
      <w:pPr>
        <w:pStyle w:val="TOC5"/>
        <w:rPr>
          <w:rFonts w:asciiTheme="minorHAnsi" w:eastAsiaTheme="minorEastAsia" w:hAnsiTheme="minorHAnsi" w:cstheme="minorBidi"/>
          <w:noProof/>
          <w:color w:val="auto"/>
          <w:kern w:val="0"/>
          <w:sz w:val="22"/>
          <w:szCs w:val="22"/>
        </w:rPr>
      </w:pPr>
      <w:r>
        <w:rPr>
          <w:noProof/>
        </w:rPr>
        <w:t>3  Authority</w:t>
      </w:r>
      <w:r>
        <w:rPr>
          <w:noProof/>
        </w:rPr>
        <w:tab/>
      </w:r>
      <w:r>
        <w:rPr>
          <w:noProof/>
        </w:rPr>
        <w:fldChar w:fldCharType="begin"/>
      </w:r>
      <w:r>
        <w:rPr>
          <w:noProof/>
        </w:rPr>
        <w:instrText xml:space="preserve"> PAGEREF _Toc128148162 \h </w:instrText>
      </w:r>
      <w:r>
        <w:rPr>
          <w:noProof/>
        </w:rPr>
      </w:r>
      <w:r>
        <w:rPr>
          <w:noProof/>
        </w:rPr>
        <w:fldChar w:fldCharType="separate"/>
      </w:r>
      <w:r w:rsidR="00CC6BF5">
        <w:rPr>
          <w:noProof/>
        </w:rPr>
        <w:t>1</w:t>
      </w:r>
      <w:r>
        <w:rPr>
          <w:noProof/>
        </w:rPr>
        <w:fldChar w:fldCharType="end"/>
      </w:r>
    </w:p>
    <w:p w14:paraId="238DCA62" w14:textId="676F3B33" w:rsidR="00375737" w:rsidRDefault="00375737">
      <w:pPr>
        <w:pStyle w:val="TOC5"/>
        <w:rPr>
          <w:rFonts w:asciiTheme="minorHAnsi" w:eastAsiaTheme="minorEastAsia" w:hAnsiTheme="minorHAnsi" w:cstheme="minorBidi"/>
          <w:noProof/>
          <w:color w:val="auto"/>
          <w:kern w:val="0"/>
          <w:sz w:val="22"/>
          <w:szCs w:val="22"/>
        </w:rPr>
      </w:pPr>
      <w:r>
        <w:rPr>
          <w:noProof/>
        </w:rPr>
        <w:t>4  Schedules</w:t>
      </w:r>
      <w:r>
        <w:rPr>
          <w:noProof/>
        </w:rPr>
        <w:tab/>
      </w:r>
      <w:r>
        <w:rPr>
          <w:noProof/>
        </w:rPr>
        <w:fldChar w:fldCharType="begin"/>
      </w:r>
      <w:r>
        <w:rPr>
          <w:noProof/>
        </w:rPr>
        <w:instrText xml:space="preserve"> PAGEREF _Toc128148163 \h </w:instrText>
      </w:r>
      <w:r>
        <w:rPr>
          <w:noProof/>
        </w:rPr>
      </w:r>
      <w:r>
        <w:rPr>
          <w:noProof/>
        </w:rPr>
        <w:fldChar w:fldCharType="separate"/>
      </w:r>
      <w:r w:rsidR="00CC6BF5">
        <w:rPr>
          <w:noProof/>
        </w:rPr>
        <w:t>1</w:t>
      </w:r>
      <w:r>
        <w:rPr>
          <w:noProof/>
        </w:rPr>
        <w:fldChar w:fldCharType="end"/>
      </w:r>
    </w:p>
    <w:p w14:paraId="1199C9CD" w14:textId="570536BB" w:rsidR="00375737" w:rsidRDefault="00375737">
      <w:pPr>
        <w:pStyle w:val="TOC6"/>
        <w:rPr>
          <w:rFonts w:asciiTheme="minorHAnsi" w:eastAsiaTheme="minorEastAsia" w:hAnsiTheme="minorHAnsi" w:cstheme="minorBidi"/>
          <w:b w:val="0"/>
          <w:noProof/>
          <w:color w:val="auto"/>
          <w:kern w:val="0"/>
          <w:sz w:val="22"/>
          <w:szCs w:val="22"/>
        </w:rPr>
      </w:pPr>
      <w:r>
        <w:rPr>
          <w:noProof/>
        </w:rPr>
        <w:t>Schedule 1—Amendments</w:t>
      </w:r>
      <w:r>
        <w:rPr>
          <w:noProof/>
        </w:rPr>
        <w:tab/>
      </w:r>
      <w:r>
        <w:rPr>
          <w:noProof/>
        </w:rPr>
        <w:fldChar w:fldCharType="begin"/>
      </w:r>
      <w:r>
        <w:rPr>
          <w:noProof/>
        </w:rPr>
        <w:instrText xml:space="preserve"> PAGEREF _Toc128148164 \h </w:instrText>
      </w:r>
      <w:r>
        <w:rPr>
          <w:noProof/>
        </w:rPr>
      </w:r>
      <w:r>
        <w:rPr>
          <w:noProof/>
        </w:rPr>
        <w:fldChar w:fldCharType="separate"/>
      </w:r>
      <w:r w:rsidR="00CC6BF5">
        <w:rPr>
          <w:noProof/>
        </w:rPr>
        <w:t>2</w:t>
      </w:r>
      <w:r>
        <w:rPr>
          <w:noProof/>
        </w:rPr>
        <w:fldChar w:fldCharType="end"/>
      </w:r>
    </w:p>
    <w:p w14:paraId="6E348FC6" w14:textId="06F967CD" w:rsidR="00375737" w:rsidRDefault="00375737" w:rsidP="00A9639A">
      <w:pPr>
        <w:pStyle w:val="TOC1"/>
        <w:rPr>
          <w:rFonts w:asciiTheme="minorHAnsi" w:eastAsiaTheme="minorEastAsia" w:hAnsiTheme="minorHAnsi" w:cstheme="minorBidi"/>
          <w:noProof/>
          <w:color w:val="auto"/>
          <w:kern w:val="0"/>
          <w:sz w:val="22"/>
          <w:szCs w:val="22"/>
        </w:rPr>
      </w:pPr>
    </w:p>
    <w:p w14:paraId="408793C4" w14:textId="0BAA55A2" w:rsidR="00B20990" w:rsidRDefault="00B20990" w:rsidP="005E317F">
      <w:r w:rsidRPr="005E317F">
        <w:rPr>
          <w:sz w:val="20"/>
        </w:rPr>
        <w:fldChar w:fldCharType="end"/>
      </w:r>
    </w:p>
    <w:p w14:paraId="2C3C8D3D" w14:textId="77777777" w:rsidR="00B20990" w:rsidRDefault="00B20990" w:rsidP="00B20990"/>
    <w:p w14:paraId="2A031821" w14:textId="77777777" w:rsidR="00B20990" w:rsidRDefault="00B20990" w:rsidP="00B20990">
      <w:pPr>
        <w:sectPr w:rsidR="00B20990" w:rsidSect="00010D0A">
          <w:headerReference w:type="even" r:id="rId19"/>
          <w:headerReference w:type="default" r:id="rId20"/>
          <w:footerReference w:type="even" r:id="rId21"/>
          <w:footerReference w:type="default" r:id="rId22"/>
          <w:headerReference w:type="first" r:id="rId23"/>
          <w:pgSz w:w="11907" w:h="16839"/>
          <w:pgMar w:top="2093" w:right="1797" w:bottom="1440" w:left="1797" w:header="720" w:footer="709" w:gutter="0"/>
          <w:pgNumType w:fmt="lowerRoman" w:start="1"/>
          <w:cols w:space="708"/>
          <w:docGrid w:linePitch="360"/>
        </w:sectPr>
      </w:pPr>
    </w:p>
    <w:p w14:paraId="53C181F4" w14:textId="77777777" w:rsidR="005E317F" w:rsidRPr="009C2562" w:rsidRDefault="005E317F" w:rsidP="005E317F">
      <w:pPr>
        <w:pStyle w:val="ActHead5"/>
      </w:pPr>
      <w:bookmarkStart w:id="1" w:name="_Toc128148160"/>
      <w:r w:rsidRPr="009C2562">
        <w:rPr>
          <w:rStyle w:val="CharSectno"/>
        </w:rPr>
        <w:lastRenderedPageBreak/>
        <w:t>1</w:t>
      </w:r>
      <w:r w:rsidRPr="009C2562">
        <w:t xml:space="preserve">  Name</w:t>
      </w:r>
      <w:bookmarkEnd w:id="1"/>
    </w:p>
    <w:p w14:paraId="41A350EC" w14:textId="77777777" w:rsidR="005E317F" w:rsidRDefault="005E317F" w:rsidP="005E317F">
      <w:pPr>
        <w:pStyle w:val="subsection"/>
      </w:pPr>
      <w:r w:rsidRPr="009C2562">
        <w:tab/>
      </w:r>
      <w:r w:rsidRPr="009C2562">
        <w:tab/>
        <w:t xml:space="preserve">This </w:t>
      </w:r>
      <w:r w:rsidRPr="00A81FE8">
        <w:t xml:space="preserve">instrument </w:t>
      </w:r>
      <w:r w:rsidRPr="009C2562">
        <w:t xml:space="preserve">is the </w:t>
      </w:r>
      <w:bookmarkStart w:id="2" w:name="BKCheck15B_3"/>
      <w:bookmarkEnd w:id="2"/>
      <w:r w:rsidR="00EF1BF1">
        <w:rPr>
          <w:i/>
          <w:noProof/>
        </w:rPr>
        <w:t>National Greenhouse and Energy Reporting (Measurement) Amendment (2023 Update) Determination 2023</w:t>
      </w:r>
      <w:r w:rsidRPr="009C2562">
        <w:t>.</w:t>
      </w:r>
    </w:p>
    <w:p w14:paraId="31643B10" w14:textId="77777777" w:rsidR="00EF1BF1" w:rsidRDefault="00EF1BF1" w:rsidP="00EF1BF1">
      <w:pPr>
        <w:pStyle w:val="ActHead5"/>
      </w:pPr>
      <w:bookmarkStart w:id="3" w:name="_Toc44587588"/>
      <w:bookmarkStart w:id="4" w:name="_Toc42090450"/>
      <w:bookmarkStart w:id="5" w:name="_Toc524425376"/>
      <w:bookmarkStart w:id="6" w:name="_Toc128148161"/>
      <w:r>
        <w:rPr>
          <w:rStyle w:val="CharSectno"/>
        </w:rPr>
        <w:t>2</w:t>
      </w:r>
      <w:r>
        <w:t xml:space="preserve">  Commencement</w:t>
      </w:r>
      <w:bookmarkEnd w:id="3"/>
      <w:bookmarkEnd w:id="4"/>
      <w:bookmarkEnd w:id="5"/>
      <w:bookmarkEnd w:id="6"/>
    </w:p>
    <w:p w14:paraId="6D3A99AB" w14:textId="77777777" w:rsidR="00EF1BF1" w:rsidRDefault="00EF1BF1" w:rsidP="00EF1BF1">
      <w:pPr>
        <w:pStyle w:val="subsection"/>
      </w:pPr>
      <w:r>
        <w:tab/>
        <w:t>(1)</w:t>
      </w:r>
      <w:r>
        <w:tab/>
        <w:t>Each provision of this instrument specified in column 1 of the table commences, or is taken to have commenced, in accordance with column 2 of the table. Any other statement in column 2 has effect according to its terms.</w:t>
      </w:r>
    </w:p>
    <w:p w14:paraId="7C26328C" w14:textId="77777777" w:rsidR="00EF1BF1" w:rsidRDefault="00EF1BF1" w:rsidP="00EF1BF1">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2693"/>
      </w:tblGrid>
      <w:tr w:rsidR="00EF1BF1" w14:paraId="7CF823E6" w14:textId="77777777" w:rsidTr="00EF1BF1">
        <w:trPr>
          <w:tblHeader/>
        </w:trPr>
        <w:tc>
          <w:tcPr>
            <w:tcW w:w="8222" w:type="dxa"/>
            <w:gridSpan w:val="3"/>
            <w:tcBorders>
              <w:top w:val="single" w:sz="12" w:space="0" w:color="auto"/>
              <w:left w:val="nil"/>
              <w:bottom w:val="single" w:sz="2" w:space="0" w:color="auto"/>
              <w:right w:val="nil"/>
            </w:tcBorders>
            <w:hideMark/>
          </w:tcPr>
          <w:p w14:paraId="606E27C2" w14:textId="77777777" w:rsidR="00EF1BF1" w:rsidRDefault="00EF1BF1">
            <w:pPr>
              <w:pStyle w:val="TableHeading"/>
            </w:pPr>
            <w:r>
              <w:t>Commencement information</w:t>
            </w:r>
          </w:p>
        </w:tc>
      </w:tr>
      <w:tr w:rsidR="00EF1BF1" w14:paraId="58FB18BF" w14:textId="77777777" w:rsidTr="00EF1BF1">
        <w:trPr>
          <w:tblHeader/>
        </w:trPr>
        <w:tc>
          <w:tcPr>
            <w:tcW w:w="1701" w:type="dxa"/>
            <w:tcBorders>
              <w:top w:val="single" w:sz="2" w:space="0" w:color="auto"/>
              <w:left w:val="nil"/>
              <w:bottom w:val="single" w:sz="2" w:space="0" w:color="auto"/>
              <w:right w:val="nil"/>
            </w:tcBorders>
            <w:hideMark/>
          </w:tcPr>
          <w:p w14:paraId="56863A5F" w14:textId="77777777" w:rsidR="00EF1BF1" w:rsidRDefault="00EF1BF1">
            <w:pPr>
              <w:pStyle w:val="TableHeading"/>
            </w:pPr>
            <w:r>
              <w:t>Column 1</w:t>
            </w:r>
          </w:p>
        </w:tc>
        <w:tc>
          <w:tcPr>
            <w:tcW w:w="3828" w:type="dxa"/>
            <w:tcBorders>
              <w:top w:val="single" w:sz="2" w:space="0" w:color="auto"/>
              <w:left w:val="nil"/>
              <w:bottom w:val="single" w:sz="2" w:space="0" w:color="auto"/>
              <w:right w:val="nil"/>
            </w:tcBorders>
            <w:hideMark/>
          </w:tcPr>
          <w:p w14:paraId="767A2640" w14:textId="77777777" w:rsidR="00EF1BF1" w:rsidRDefault="00EF1BF1">
            <w:pPr>
              <w:pStyle w:val="TableHeading"/>
            </w:pPr>
            <w:r>
              <w:t>Column 2</w:t>
            </w:r>
          </w:p>
        </w:tc>
        <w:tc>
          <w:tcPr>
            <w:tcW w:w="2693" w:type="dxa"/>
            <w:tcBorders>
              <w:top w:val="single" w:sz="2" w:space="0" w:color="auto"/>
              <w:left w:val="nil"/>
              <w:bottom w:val="single" w:sz="2" w:space="0" w:color="auto"/>
              <w:right w:val="nil"/>
            </w:tcBorders>
            <w:hideMark/>
          </w:tcPr>
          <w:p w14:paraId="471A59FD" w14:textId="77777777" w:rsidR="00EF1BF1" w:rsidRDefault="00EF1BF1">
            <w:pPr>
              <w:pStyle w:val="TableHeading"/>
            </w:pPr>
            <w:r>
              <w:t>Column 3</w:t>
            </w:r>
          </w:p>
        </w:tc>
      </w:tr>
      <w:tr w:rsidR="00EF1BF1" w14:paraId="4448C373" w14:textId="77777777" w:rsidTr="00EF1BF1">
        <w:trPr>
          <w:tblHeader/>
        </w:trPr>
        <w:tc>
          <w:tcPr>
            <w:tcW w:w="1701" w:type="dxa"/>
            <w:tcBorders>
              <w:top w:val="single" w:sz="2" w:space="0" w:color="auto"/>
              <w:left w:val="nil"/>
              <w:bottom w:val="single" w:sz="12" w:space="0" w:color="auto"/>
              <w:right w:val="nil"/>
            </w:tcBorders>
            <w:hideMark/>
          </w:tcPr>
          <w:p w14:paraId="33F14F6C" w14:textId="77777777" w:rsidR="00EF1BF1" w:rsidRDefault="00EF1BF1">
            <w:pPr>
              <w:pStyle w:val="TableHeading"/>
            </w:pPr>
            <w:r>
              <w:t>Provisions</w:t>
            </w:r>
          </w:p>
        </w:tc>
        <w:tc>
          <w:tcPr>
            <w:tcW w:w="3828" w:type="dxa"/>
            <w:tcBorders>
              <w:top w:val="single" w:sz="2" w:space="0" w:color="auto"/>
              <w:left w:val="nil"/>
              <w:bottom w:val="single" w:sz="12" w:space="0" w:color="auto"/>
              <w:right w:val="nil"/>
            </w:tcBorders>
            <w:hideMark/>
          </w:tcPr>
          <w:p w14:paraId="4B80BBA0" w14:textId="77777777" w:rsidR="00EF1BF1" w:rsidRDefault="00EF1BF1">
            <w:pPr>
              <w:pStyle w:val="TableHeading"/>
            </w:pPr>
            <w:r>
              <w:t>Commencement</w:t>
            </w:r>
          </w:p>
        </w:tc>
        <w:tc>
          <w:tcPr>
            <w:tcW w:w="2693" w:type="dxa"/>
            <w:tcBorders>
              <w:top w:val="single" w:sz="2" w:space="0" w:color="auto"/>
              <w:left w:val="nil"/>
              <w:bottom w:val="single" w:sz="12" w:space="0" w:color="auto"/>
              <w:right w:val="nil"/>
            </w:tcBorders>
            <w:hideMark/>
          </w:tcPr>
          <w:p w14:paraId="24AAB75A" w14:textId="77777777" w:rsidR="00EF1BF1" w:rsidRDefault="00EF1BF1">
            <w:pPr>
              <w:pStyle w:val="TableHeading"/>
            </w:pPr>
            <w:r>
              <w:t>Date/Details</w:t>
            </w:r>
          </w:p>
        </w:tc>
      </w:tr>
      <w:tr w:rsidR="00EF1BF1" w14:paraId="1B97552D" w14:textId="77777777" w:rsidTr="00EF1BF1">
        <w:tc>
          <w:tcPr>
            <w:tcW w:w="1701" w:type="dxa"/>
            <w:tcBorders>
              <w:top w:val="single" w:sz="12" w:space="0" w:color="auto"/>
              <w:left w:val="nil"/>
              <w:bottom w:val="single" w:sz="12" w:space="0" w:color="auto"/>
              <w:right w:val="nil"/>
            </w:tcBorders>
            <w:hideMark/>
          </w:tcPr>
          <w:p w14:paraId="367EDEC1" w14:textId="77777777" w:rsidR="00EF1BF1" w:rsidRDefault="00EF1BF1">
            <w:pPr>
              <w:pStyle w:val="Tabletext"/>
            </w:pPr>
            <w:r>
              <w:t>1.  The whole of this instrument</w:t>
            </w:r>
          </w:p>
        </w:tc>
        <w:tc>
          <w:tcPr>
            <w:tcW w:w="3828" w:type="dxa"/>
            <w:tcBorders>
              <w:top w:val="single" w:sz="12" w:space="0" w:color="auto"/>
              <w:left w:val="nil"/>
              <w:bottom w:val="single" w:sz="12" w:space="0" w:color="auto"/>
              <w:right w:val="nil"/>
            </w:tcBorders>
            <w:hideMark/>
          </w:tcPr>
          <w:p w14:paraId="3C3472FF" w14:textId="77777777" w:rsidR="00EF1BF1" w:rsidRDefault="00EF1BF1">
            <w:pPr>
              <w:pStyle w:val="Tabletext"/>
            </w:pPr>
            <w:r>
              <w:t>1 July 2023.</w:t>
            </w:r>
          </w:p>
        </w:tc>
        <w:tc>
          <w:tcPr>
            <w:tcW w:w="2693" w:type="dxa"/>
            <w:tcBorders>
              <w:top w:val="single" w:sz="12" w:space="0" w:color="auto"/>
              <w:left w:val="nil"/>
              <w:bottom w:val="single" w:sz="12" w:space="0" w:color="auto"/>
              <w:right w:val="nil"/>
            </w:tcBorders>
            <w:hideMark/>
          </w:tcPr>
          <w:p w14:paraId="432C7528" w14:textId="77777777" w:rsidR="00EF1BF1" w:rsidRDefault="00EF1BF1">
            <w:pPr>
              <w:pStyle w:val="Tabletext"/>
            </w:pPr>
          </w:p>
        </w:tc>
      </w:tr>
    </w:tbl>
    <w:p w14:paraId="17AB6A6E" w14:textId="77777777" w:rsidR="00EF1BF1" w:rsidRDefault="00EF1BF1" w:rsidP="00EF1BF1">
      <w:pPr>
        <w:pStyle w:val="notetext"/>
      </w:pPr>
      <w:r>
        <w:rPr>
          <w:snapToGrid w:val="0"/>
          <w:lang w:eastAsia="en-US"/>
        </w:rPr>
        <w:t>Note:</w:t>
      </w:r>
      <w:r>
        <w:rPr>
          <w:snapToGrid w:val="0"/>
          <w:lang w:eastAsia="en-US"/>
        </w:rPr>
        <w:tab/>
        <w:t>This table relates only to the provisions of this instrument as originally made. It will not be amended to deal with any later amendments of this instrument.</w:t>
      </w:r>
    </w:p>
    <w:p w14:paraId="261EB197" w14:textId="77777777" w:rsidR="00EF1BF1" w:rsidRDefault="00EF1BF1" w:rsidP="00EF1BF1">
      <w:pPr>
        <w:pStyle w:val="subsection"/>
      </w:pPr>
      <w:r>
        <w:tab/>
        <w:t>(2)</w:t>
      </w:r>
      <w:r>
        <w:tab/>
        <w:t>Any information in column 3 of the table is not part of this instrument. Information may be inserted in this column, or information in it may be edited, in any published version of this instrument.</w:t>
      </w:r>
    </w:p>
    <w:p w14:paraId="028FA71B" w14:textId="77777777" w:rsidR="005E317F" w:rsidRPr="009C2562" w:rsidRDefault="005E317F" w:rsidP="005E317F">
      <w:pPr>
        <w:pStyle w:val="ActHead5"/>
      </w:pPr>
      <w:bookmarkStart w:id="7" w:name="_Toc128148162"/>
      <w:r w:rsidRPr="009C2562">
        <w:rPr>
          <w:rStyle w:val="CharSectno"/>
        </w:rPr>
        <w:t>3</w:t>
      </w:r>
      <w:r w:rsidRPr="009C2562">
        <w:t xml:space="preserve">  Authority</w:t>
      </w:r>
      <w:bookmarkEnd w:id="7"/>
    </w:p>
    <w:p w14:paraId="5C0A6197" w14:textId="77777777" w:rsidR="005E317F" w:rsidRPr="00EF1BF1" w:rsidRDefault="005E317F" w:rsidP="00EF1BF1">
      <w:pPr>
        <w:pStyle w:val="subsection"/>
        <w:rPr>
          <w:i/>
        </w:rPr>
      </w:pPr>
      <w:r w:rsidRPr="009C2562">
        <w:tab/>
      </w:r>
      <w:r w:rsidRPr="009C2562">
        <w:tab/>
        <w:t xml:space="preserve">This instrument is made </w:t>
      </w:r>
      <w:r w:rsidR="00EF1BF1">
        <w:t xml:space="preserve">under subsection 10(3) of the </w:t>
      </w:r>
      <w:r w:rsidR="00EF1BF1">
        <w:rPr>
          <w:i/>
        </w:rPr>
        <w:t>National Greenhouse and Energy Reporting Act 2007</w:t>
      </w:r>
      <w:r w:rsidRPr="009C2562">
        <w:t>.</w:t>
      </w:r>
    </w:p>
    <w:p w14:paraId="154ED333" w14:textId="77777777" w:rsidR="005E317F" w:rsidRPr="006065DA" w:rsidRDefault="005E317F" w:rsidP="005E317F">
      <w:pPr>
        <w:pStyle w:val="ActHead5"/>
      </w:pPr>
      <w:bookmarkStart w:id="8" w:name="_Toc128148163"/>
      <w:r w:rsidRPr="006065DA">
        <w:t>4  Schedules</w:t>
      </w:r>
      <w:bookmarkEnd w:id="8"/>
    </w:p>
    <w:p w14:paraId="0C0900E1" w14:textId="77777777"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14:paraId="507377CD" w14:textId="32ACE31E" w:rsidR="005E317F" w:rsidRDefault="005E317F" w:rsidP="005E317F">
      <w:pPr>
        <w:pStyle w:val="ActHead6"/>
        <w:pageBreakBefore/>
      </w:pPr>
      <w:bookmarkStart w:id="9" w:name="_Toc128148164"/>
      <w:r w:rsidRPr="00DB64FC">
        <w:rPr>
          <w:rStyle w:val="CharAmSchNo"/>
        </w:rPr>
        <w:lastRenderedPageBreak/>
        <w:t>Schedule 1</w:t>
      </w:r>
      <w:r>
        <w:t>—</w:t>
      </w:r>
      <w:r w:rsidRPr="00DB64FC">
        <w:rPr>
          <w:rStyle w:val="CharAmSchText"/>
        </w:rPr>
        <w:t>Amendments</w:t>
      </w:r>
      <w:bookmarkEnd w:id="9"/>
    </w:p>
    <w:p w14:paraId="78C7D8EC" w14:textId="77777777" w:rsidR="006A60C8" w:rsidRDefault="006A60C8" w:rsidP="005E317F">
      <w:pPr>
        <w:pStyle w:val="ItemHead"/>
        <w:rPr>
          <w:rFonts w:ascii="Times New Roman" w:hAnsi="Times New Roman"/>
          <w:i/>
          <w:sz w:val="28"/>
        </w:rPr>
      </w:pPr>
      <w:r w:rsidRPr="006A60C8">
        <w:rPr>
          <w:rFonts w:ascii="Times New Roman" w:hAnsi="Times New Roman"/>
          <w:i/>
          <w:sz w:val="28"/>
        </w:rPr>
        <w:t>National Greenhouse and Energy Reporting (Measurement) Determination 2008</w:t>
      </w:r>
    </w:p>
    <w:p w14:paraId="25D9D3B1" w14:textId="77777777" w:rsidR="004C43AB" w:rsidRPr="00E9080B" w:rsidRDefault="005E317F" w:rsidP="004C43AB">
      <w:pPr>
        <w:pStyle w:val="h5SchItem"/>
      </w:pPr>
      <w:r>
        <w:t xml:space="preserve">1  </w:t>
      </w:r>
      <w:r w:rsidR="004C43AB" w:rsidRPr="00E9080B">
        <w:t>Section 1.8</w:t>
      </w:r>
    </w:p>
    <w:p w14:paraId="309AEDD1" w14:textId="77777777" w:rsidR="004C43AB" w:rsidRPr="00E9080B" w:rsidRDefault="004C43AB" w:rsidP="004C43AB">
      <w:pPr>
        <w:pStyle w:val="Item"/>
      </w:pPr>
      <w:r w:rsidRPr="00E9080B">
        <w:t>Insert in the appropriate alphabetical position:</w:t>
      </w:r>
    </w:p>
    <w:p w14:paraId="6924199E" w14:textId="53F72D0A" w:rsidR="00CB2EEC" w:rsidRDefault="00CB2EEC" w:rsidP="00CB2EEC">
      <w:pPr>
        <w:pStyle w:val="Definition"/>
      </w:pPr>
      <w:r w:rsidRPr="00CB2EEC">
        <w:rPr>
          <w:b/>
          <w:i/>
        </w:rPr>
        <w:t>biodiesel</w:t>
      </w:r>
      <w:r>
        <w:t xml:space="preserve"> has the meaning given by the Regulations. </w:t>
      </w:r>
    </w:p>
    <w:p w14:paraId="4C87BA57" w14:textId="37AA5C2D" w:rsidR="00971EBF" w:rsidRPr="00971EBF" w:rsidRDefault="00971EBF" w:rsidP="00CB2EEC">
      <w:pPr>
        <w:pStyle w:val="Definition"/>
      </w:pPr>
      <w:r>
        <w:rPr>
          <w:b/>
          <w:i/>
        </w:rPr>
        <w:t xml:space="preserve">gross vehicle mass </w:t>
      </w:r>
      <w:r>
        <w:t xml:space="preserve">means the tare weight of the vehicle plus </w:t>
      </w:r>
      <w:r w:rsidR="00EB070D">
        <w:t xml:space="preserve">its </w:t>
      </w:r>
      <w:r>
        <w:t>maximum carrying capacity, excluding trailers.</w:t>
      </w:r>
    </w:p>
    <w:p w14:paraId="4D9C97BF" w14:textId="200B9747" w:rsidR="00971EBF" w:rsidRDefault="00971EBF" w:rsidP="00CB2EEC">
      <w:pPr>
        <w:pStyle w:val="Definition"/>
      </w:pPr>
      <w:r>
        <w:rPr>
          <w:b/>
          <w:i/>
        </w:rPr>
        <w:t xml:space="preserve">heavy duty vehicle </w:t>
      </w:r>
      <w:r>
        <w:t>means a vehicle with a gross vehicle mass of more than 4.5 tonnes.</w:t>
      </w:r>
    </w:p>
    <w:p w14:paraId="77B7552F" w14:textId="78BB0CAB" w:rsidR="00971EBF" w:rsidRPr="00971EBF" w:rsidRDefault="00971EBF" w:rsidP="00CB2EEC">
      <w:pPr>
        <w:pStyle w:val="Definition"/>
      </w:pPr>
      <w:r>
        <w:rPr>
          <w:b/>
          <w:i/>
        </w:rPr>
        <w:t xml:space="preserve">light duty vehicle </w:t>
      </w:r>
      <w:r>
        <w:t xml:space="preserve">means a vehicle other than a heavy duty vehicle. </w:t>
      </w:r>
    </w:p>
    <w:p w14:paraId="7CCD7E17" w14:textId="77777777" w:rsidR="004158F8" w:rsidRDefault="004158F8" w:rsidP="004158F8">
      <w:pPr>
        <w:pStyle w:val="Definition"/>
      </w:pPr>
      <w:r w:rsidRPr="00CB2EEC">
        <w:rPr>
          <w:b/>
          <w:i/>
        </w:rPr>
        <w:t xml:space="preserve">renewable </w:t>
      </w:r>
      <w:r>
        <w:rPr>
          <w:b/>
          <w:i/>
        </w:rPr>
        <w:t xml:space="preserve">aviation </w:t>
      </w:r>
      <w:r w:rsidRPr="00CB2EEC">
        <w:rPr>
          <w:b/>
          <w:i/>
        </w:rPr>
        <w:t>kerosene</w:t>
      </w:r>
      <w:r>
        <w:t xml:space="preserve"> has the meaning given by the Regulations.</w:t>
      </w:r>
    </w:p>
    <w:p w14:paraId="28F7B8DD" w14:textId="36A4DEBC" w:rsidR="00CB2EEC" w:rsidRDefault="00CB2EEC" w:rsidP="00CB2EEC">
      <w:pPr>
        <w:pStyle w:val="Definition"/>
      </w:pPr>
      <w:r w:rsidRPr="00CB2EEC">
        <w:rPr>
          <w:b/>
          <w:i/>
        </w:rPr>
        <w:t>renewable diesel</w:t>
      </w:r>
      <w:r>
        <w:t xml:space="preserve"> has the meaning given by the Regulations.</w:t>
      </w:r>
    </w:p>
    <w:p w14:paraId="29995251" w14:textId="0048C02F" w:rsidR="00971EBF" w:rsidRPr="00971EBF" w:rsidRDefault="00971EBF" w:rsidP="00CB2EEC">
      <w:pPr>
        <w:pStyle w:val="Definition"/>
      </w:pPr>
      <w:r>
        <w:rPr>
          <w:b/>
          <w:i/>
        </w:rPr>
        <w:t>wet weight</w:t>
      </w:r>
      <w:r>
        <w:t xml:space="preserve">, in relation to waste, is the weight of material that has not been treated to remove moisture. </w:t>
      </w:r>
    </w:p>
    <w:p w14:paraId="7E99758B" w14:textId="5008A49F" w:rsidR="00917F65" w:rsidRDefault="00917F65" w:rsidP="00917F65">
      <w:pPr>
        <w:pStyle w:val="ItemHead"/>
      </w:pPr>
      <w:r>
        <w:t xml:space="preserve">2  Subsection 2.20(2) (paragraph (c) of the definition of </w:t>
      </w:r>
      <w:r w:rsidRPr="00917F65">
        <w:rPr>
          <w:i/>
        </w:rPr>
        <w:t>transport energy purposes</w:t>
      </w:r>
      <w:r>
        <w:t>)</w:t>
      </w:r>
    </w:p>
    <w:p w14:paraId="603F43CA" w14:textId="51361046" w:rsidR="00917F65" w:rsidRDefault="00917F65" w:rsidP="00917F65">
      <w:pPr>
        <w:pStyle w:val="Item"/>
      </w:pPr>
      <w:r>
        <w:t>Repeal the paragraph, substitute:</w:t>
      </w:r>
    </w:p>
    <w:p w14:paraId="4D495C02" w14:textId="1D9F00E4" w:rsidR="00917F65" w:rsidRPr="0005417A" w:rsidRDefault="00917F65" w:rsidP="00917F65">
      <w:pPr>
        <w:pStyle w:val="paragraph"/>
      </w:pPr>
      <w:r w:rsidRPr="0005417A">
        <w:tab/>
        <w:t>(</w:t>
      </w:r>
      <w:r>
        <w:t>c</w:t>
      </w:r>
      <w:r w:rsidRPr="0005417A">
        <w:t>)</w:t>
      </w:r>
      <w:r w:rsidRPr="0005417A">
        <w:tab/>
      </w:r>
      <w:r>
        <w:t>waterborne transport;</w:t>
      </w:r>
    </w:p>
    <w:p w14:paraId="1E8FB30E" w14:textId="072D8FB7" w:rsidR="00917F65" w:rsidRDefault="00E8058E" w:rsidP="00917F65">
      <w:pPr>
        <w:pStyle w:val="ItemHead"/>
      </w:pPr>
      <w:r>
        <w:t>3</w:t>
      </w:r>
      <w:r w:rsidR="00917F65">
        <w:t xml:space="preserve">  Subsection 2.41(2) (paragraph (c) of the definition of </w:t>
      </w:r>
      <w:r w:rsidR="00917F65" w:rsidRPr="00917F65">
        <w:rPr>
          <w:i/>
        </w:rPr>
        <w:t>transport energy purposes</w:t>
      </w:r>
      <w:r w:rsidR="00917F65">
        <w:t>)</w:t>
      </w:r>
    </w:p>
    <w:p w14:paraId="09D4D07E" w14:textId="77777777" w:rsidR="00917F65" w:rsidRDefault="00917F65" w:rsidP="00917F65">
      <w:pPr>
        <w:pStyle w:val="Item"/>
      </w:pPr>
      <w:r>
        <w:t>Repeal the paragraph, substitute:</w:t>
      </w:r>
    </w:p>
    <w:p w14:paraId="6B3AC61F" w14:textId="77F1FCCC" w:rsidR="00917F65" w:rsidRDefault="00917F65" w:rsidP="00146082">
      <w:pPr>
        <w:pStyle w:val="paragraph"/>
      </w:pPr>
      <w:r w:rsidRPr="0005417A">
        <w:tab/>
        <w:t>(</w:t>
      </w:r>
      <w:r>
        <w:t>c</w:t>
      </w:r>
      <w:r w:rsidRPr="0005417A">
        <w:t>)</w:t>
      </w:r>
      <w:r w:rsidRPr="0005417A">
        <w:tab/>
      </w:r>
      <w:r>
        <w:t>waterborne transport;</w:t>
      </w:r>
    </w:p>
    <w:p w14:paraId="32590D2E" w14:textId="6C417715" w:rsidR="00CB2EEC" w:rsidRDefault="00E8058E" w:rsidP="00CB2EEC">
      <w:pPr>
        <w:pStyle w:val="ItemHead"/>
      </w:pPr>
      <w:r>
        <w:t>4</w:t>
      </w:r>
      <w:r w:rsidR="00CB2EEC">
        <w:t xml:space="preserve">  </w:t>
      </w:r>
      <w:r w:rsidR="006772EB">
        <w:t>S</w:t>
      </w:r>
      <w:r w:rsidR="00CB2EEC">
        <w:t>ubsection 2.45(1)</w:t>
      </w:r>
      <w:r w:rsidR="006772EB">
        <w:t xml:space="preserve"> (</w:t>
      </w:r>
      <w:r w:rsidR="00D8428D">
        <w:t xml:space="preserve">after </w:t>
      </w:r>
      <w:r w:rsidR="006772EB">
        <w:t>table</w:t>
      </w:r>
      <w:r w:rsidR="00D8428D">
        <w:t xml:space="preserve"> item 20</w:t>
      </w:r>
      <w:r w:rsidR="006772EB">
        <w:t>)</w:t>
      </w:r>
    </w:p>
    <w:p w14:paraId="1D5B7860" w14:textId="4433E585" w:rsidR="00CB2EEC" w:rsidRDefault="00D8428D" w:rsidP="00CB2EEC">
      <w:pPr>
        <w:pStyle w:val="Item"/>
      </w:pPr>
      <w:r>
        <w:t>Add</w:t>
      </w:r>
      <w:r w:rsidR="00CB2EEC">
        <w:t>:</w:t>
      </w:r>
    </w:p>
    <w:p w14:paraId="0F121A91" w14:textId="77777777" w:rsidR="006772EB" w:rsidRPr="006772EB" w:rsidRDefault="006772EB" w:rsidP="006772EB">
      <w:pPr>
        <w:pStyle w:val="ItemHead"/>
        <w:spacing w:before="0"/>
        <w:rPr>
          <w:sz w:val="20"/>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10"/>
        <w:gridCol w:w="2079"/>
        <w:gridCol w:w="1819"/>
        <w:gridCol w:w="1949"/>
        <w:gridCol w:w="1556"/>
      </w:tblGrid>
      <w:tr w:rsidR="007F54BF" w:rsidRPr="00146C8C" w14:paraId="336799B9" w14:textId="77777777" w:rsidTr="00971EBF">
        <w:trPr>
          <w:trHeight w:val="304"/>
        </w:trPr>
        <w:tc>
          <w:tcPr>
            <w:tcW w:w="547" w:type="pct"/>
            <w:shd w:val="clear" w:color="auto" w:fill="auto"/>
          </w:tcPr>
          <w:p w14:paraId="6E2AD468" w14:textId="77777777" w:rsidR="007F54BF" w:rsidRPr="006772EB" w:rsidRDefault="007F54BF" w:rsidP="007F54BF">
            <w:pPr>
              <w:pStyle w:val="Tabletext"/>
            </w:pPr>
            <w:r w:rsidRPr="006772EB">
              <w:t>20A</w:t>
            </w:r>
          </w:p>
        </w:tc>
        <w:tc>
          <w:tcPr>
            <w:tcW w:w="1250" w:type="pct"/>
            <w:shd w:val="clear" w:color="auto" w:fill="auto"/>
          </w:tcPr>
          <w:p w14:paraId="7C238932" w14:textId="74B624A7" w:rsidR="007F54BF" w:rsidRPr="006772EB" w:rsidRDefault="007F54BF" w:rsidP="007F54BF">
            <w:pPr>
              <w:pStyle w:val="Tabletext"/>
            </w:pPr>
            <w:r w:rsidRPr="006772EB">
              <w:t xml:space="preserve">Renewable </w:t>
            </w:r>
            <w:r>
              <w:t xml:space="preserve">aviation </w:t>
            </w:r>
            <w:r w:rsidRPr="006772EB">
              <w:t>kerosene</w:t>
            </w:r>
          </w:p>
        </w:tc>
        <w:tc>
          <w:tcPr>
            <w:tcW w:w="1094" w:type="pct"/>
            <w:shd w:val="clear" w:color="auto" w:fill="auto"/>
          </w:tcPr>
          <w:p w14:paraId="7A534742" w14:textId="77777777" w:rsidR="007F54BF" w:rsidRPr="006772EB" w:rsidRDefault="007F54BF" w:rsidP="007F54BF">
            <w:pPr>
              <w:pStyle w:val="Tabletext"/>
            </w:pPr>
            <w:r w:rsidRPr="006772EB">
              <w:t>ASTM D 240</w:t>
            </w:r>
            <w:r w:rsidRPr="006772EB">
              <w:noBreakHyphen/>
              <w:t>02 (2007)</w:t>
            </w:r>
          </w:p>
          <w:p w14:paraId="67E1B82B" w14:textId="77777777" w:rsidR="007F54BF" w:rsidRPr="006772EB" w:rsidRDefault="007F54BF" w:rsidP="007F54BF">
            <w:pPr>
              <w:pStyle w:val="Tabletext"/>
            </w:pPr>
            <w:r w:rsidRPr="006772EB">
              <w:t>ASTM D 4809</w:t>
            </w:r>
            <w:r w:rsidRPr="006772EB">
              <w:noBreakHyphen/>
              <w:t>06</w:t>
            </w:r>
          </w:p>
        </w:tc>
        <w:tc>
          <w:tcPr>
            <w:tcW w:w="1172" w:type="pct"/>
            <w:shd w:val="clear" w:color="auto" w:fill="auto"/>
          </w:tcPr>
          <w:p w14:paraId="596339F0" w14:textId="77777777" w:rsidR="007F54BF" w:rsidRPr="006772EB" w:rsidRDefault="007F54BF" w:rsidP="007F54BF">
            <w:pPr>
              <w:pStyle w:val="Tabletext"/>
            </w:pPr>
            <w:r w:rsidRPr="006772EB">
              <w:t>N/A</w:t>
            </w:r>
          </w:p>
        </w:tc>
        <w:tc>
          <w:tcPr>
            <w:tcW w:w="936" w:type="pct"/>
            <w:shd w:val="clear" w:color="auto" w:fill="auto"/>
          </w:tcPr>
          <w:p w14:paraId="4EB290BE" w14:textId="77777777" w:rsidR="007F54BF" w:rsidRPr="006772EB" w:rsidRDefault="007F54BF" w:rsidP="007F54BF">
            <w:pPr>
              <w:pStyle w:val="Tabletext"/>
            </w:pPr>
            <w:r w:rsidRPr="006772EB">
              <w:t>N/A</w:t>
            </w:r>
          </w:p>
        </w:tc>
      </w:tr>
      <w:tr w:rsidR="007F54BF" w:rsidRPr="00146C8C" w14:paraId="2152F453" w14:textId="77777777" w:rsidTr="00971EBF">
        <w:trPr>
          <w:trHeight w:val="304"/>
        </w:trPr>
        <w:tc>
          <w:tcPr>
            <w:tcW w:w="547" w:type="pct"/>
            <w:shd w:val="clear" w:color="auto" w:fill="auto"/>
          </w:tcPr>
          <w:p w14:paraId="288119BD" w14:textId="77777777" w:rsidR="007F54BF" w:rsidRPr="006772EB" w:rsidRDefault="007F54BF" w:rsidP="007F54BF">
            <w:pPr>
              <w:pStyle w:val="Tabletext"/>
            </w:pPr>
            <w:r w:rsidRPr="006772EB">
              <w:t>20B</w:t>
            </w:r>
          </w:p>
        </w:tc>
        <w:tc>
          <w:tcPr>
            <w:tcW w:w="1250" w:type="pct"/>
            <w:shd w:val="clear" w:color="auto" w:fill="auto"/>
          </w:tcPr>
          <w:p w14:paraId="7BC51EBB" w14:textId="12848544" w:rsidR="007F54BF" w:rsidRPr="006772EB" w:rsidRDefault="007F54BF" w:rsidP="007F54BF">
            <w:pPr>
              <w:pStyle w:val="Tabletext"/>
            </w:pPr>
            <w:r w:rsidRPr="006772EB">
              <w:t xml:space="preserve">Renewable </w:t>
            </w:r>
            <w:r>
              <w:t>diesel</w:t>
            </w:r>
          </w:p>
        </w:tc>
        <w:tc>
          <w:tcPr>
            <w:tcW w:w="1094" w:type="pct"/>
            <w:shd w:val="clear" w:color="auto" w:fill="auto"/>
          </w:tcPr>
          <w:p w14:paraId="5438D92E" w14:textId="77777777" w:rsidR="007F54BF" w:rsidRPr="006772EB" w:rsidRDefault="007F54BF" w:rsidP="007F54BF">
            <w:pPr>
              <w:pStyle w:val="Tabletext"/>
            </w:pPr>
            <w:r w:rsidRPr="006772EB">
              <w:t>ASTM D 240</w:t>
            </w:r>
            <w:r w:rsidRPr="006772EB">
              <w:noBreakHyphen/>
              <w:t>02 (2007)</w:t>
            </w:r>
          </w:p>
          <w:p w14:paraId="23F08D42" w14:textId="77777777" w:rsidR="007F54BF" w:rsidRPr="006772EB" w:rsidRDefault="007F54BF" w:rsidP="007F54BF">
            <w:pPr>
              <w:pStyle w:val="Tabletext"/>
            </w:pPr>
            <w:r w:rsidRPr="006772EB">
              <w:t>ASTM D 4809</w:t>
            </w:r>
            <w:r w:rsidRPr="006772EB">
              <w:noBreakHyphen/>
              <w:t>06</w:t>
            </w:r>
          </w:p>
        </w:tc>
        <w:tc>
          <w:tcPr>
            <w:tcW w:w="1172" w:type="pct"/>
            <w:shd w:val="clear" w:color="auto" w:fill="auto"/>
          </w:tcPr>
          <w:p w14:paraId="5E67E4C2" w14:textId="77777777" w:rsidR="007F54BF" w:rsidRPr="006772EB" w:rsidRDefault="007F54BF" w:rsidP="007F54BF">
            <w:pPr>
              <w:pStyle w:val="Tabletext"/>
            </w:pPr>
            <w:r w:rsidRPr="006772EB">
              <w:t>N/A</w:t>
            </w:r>
          </w:p>
        </w:tc>
        <w:tc>
          <w:tcPr>
            <w:tcW w:w="936" w:type="pct"/>
            <w:shd w:val="clear" w:color="auto" w:fill="auto"/>
          </w:tcPr>
          <w:p w14:paraId="52BFC0C4" w14:textId="77777777" w:rsidR="007F54BF" w:rsidRPr="006772EB" w:rsidRDefault="007F54BF" w:rsidP="007F54BF">
            <w:pPr>
              <w:pStyle w:val="Tabletext"/>
            </w:pPr>
            <w:r w:rsidRPr="006772EB">
              <w:rPr>
                <w:bCs/>
              </w:rPr>
              <w:t>N/A</w:t>
            </w:r>
          </w:p>
        </w:tc>
      </w:tr>
    </w:tbl>
    <w:p w14:paraId="4186171E" w14:textId="4D995AEE" w:rsidR="00D8428D" w:rsidRDefault="00A02461" w:rsidP="00D8428D">
      <w:pPr>
        <w:pStyle w:val="ItemHead"/>
      </w:pPr>
      <w:r>
        <w:t>5</w:t>
      </w:r>
      <w:r w:rsidR="00D8428D">
        <w:t xml:space="preserve">  Subsection 2.45(1) (table item 22)</w:t>
      </w:r>
    </w:p>
    <w:p w14:paraId="5031C0ED" w14:textId="62ABAD3C" w:rsidR="00D8428D" w:rsidRDefault="00D8428D" w:rsidP="00D8428D">
      <w:pPr>
        <w:pStyle w:val="Item"/>
      </w:pPr>
      <w:r>
        <w:t>Repeal the item, substitute:</w:t>
      </w:r>
    </w:p>
    <w:p w14:paraId="7B268D26" w14:textId="13F21375" w:rsidR="00D8428D" w:rsidRDefault="00D8428D" w:rsidP="004244DF">
      <w:pPr>
        <w:pStyle w:val="ItemHead"/>
        <w:spacing w:before="0"/>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910"/>
        <w:gridCol w:w="2079"/>
        <w:gridCol w:w="1819"/>
        <w:gridCol w:w="1949"/>
        <w:gridCol w:w="1556"/>
      </w:tblGrid>
      <w:tr w:rsidR="00D8428D" w:rsidRPr="006772EB" w14:paraId="05786704" w14:textId="77777777" w:rsidTr="000B3513">
        <w:trPr>
          <w:trHeight w:val="830"/>
        </w:trPr>
        <w:tc>
          <w:tcPr>
            <w:tcW w:w="547" w:type="pct"/>
            <w:tcBorders>
              <w:bottom w:val="single" w:sz="12" w:space="0" w:color="auto"/>
            </w:tcBorders>
            <w:shd w:val="clear" w:color="auto" w:fill="auto"/>
          </w:tcPr>
          <w:p w14:paraId="11E529BE" w14:textId="77777777" w:rsidR="00D8428D" w:rsidRPr="006772EB" w:rsidRDefault="00D8428D" w:rsidP="000B3513">
            <w:pPr>
              <w:pStyle w:val="Tabletext"/>
            </w:pPr>
            <w:r w:rsidRPr="006772EB">
              <w:t>22</w:t>
            </w:r>
          </w:p>
        </w:tc>
        <w:tc>
          <w:tcPr>
            <w:tcW w:w="1250" w:type="pct"/>
            <w:tcBorders>
              <w:bottom w:val="single" w:sz="12" w:space="0" w:color="auto"/>
            </w:tcBorders>
            <w:shd w:val="clear" w:color="auto" w:fill="auto"/>
          </w:tcPr>
          <w:p w14:paraId="1F7F21C3" w14:textId="77777777" w:rsidR="00D8428D" w:rsidRPr="006772EB" w:rsidRDefault="00D8428D" w:rsidP="000B3513">
            <w:pPr>
              <w:pStyle w:val="Tabletext"/>
            </w:pPr>
            <w:r w:rsidRPr="006772EB">
              <w:t>Biofuels other than those mentioned in items 20, 20A, 20B and 21</w:t>
            </w:r>
          </w:p>
        </w:tc>
        <w:tc>
          <w:tcPr>
            <w:tcW w:w="1094" w:type="pct"/>
            <w:tcBorders>
              <w:bottom w:val="single" w:sz="12" w:space="0" w:color="auto"/>
            </w:tcBorders>
            <w:shd w:val="clear" w:color="auto" w:fill="auto"/>
          </w:tcPr>
          <w:p w14:paraId="6B3EF11B" w14:textId="77777777" w:rsidR="00D8428D" w:rsidRPr="006772EB" w:rsidRDefault="00D8428D" w:rsidP="000B3513">
            <w:pPr>
              <w:pStyle w:val="Tabletext"/>
            </w:pPr>
            <w:r w:rsidRPr="006772EB">
              <w:t>N/A</w:t>
            </w:r>
          </w:p>
        </w:tc>
        <w:tc>
          <w:tcPr>
            <w:tcW w:w="1172" w:type="pct"/>
            <w:tcBorders>
              <w:bottom w:val="single" w:sz="12" w:space="0" w:color="auto"/>
            </w:tcBorders>
            <w:shd w:val="clear" w:color="auto" w:fill="auto"/>
          </w:tcPr>
          <w:p w14:paraId="68B48CA5" w14:textId="77777777" w:rsidR="00D8428D" w:rsidRPr="006772EB" w:rsidRDefault="00D8428D" w:rsidP="000B3513">
            <w:pPr>
              <w:pStyle w:val="Tabletext"/>
            </w:pPr>
            <w:r w:rsidRPr="006772EB">
              <w:t>N/A</w:t>
            </w:r>
          </w:p>
        </w:tc>
        <w:tc>
          <w:tcPr>
            <w:tcW w:w="936" w:type="pct"/>
            <w:tcBorders>
              <w:bottom w:val="single" w:sz="12" w:space="0" w:color="auto"/>
            </w:tcBorders>
            <w:shd w:val="clear" w:color="auto" w:fill="auto"/>
          </w:tcPr>
          <w:p w14:paraId="71848F3F" w14:textId="77777777" w:rsidR="00D8428D" w:rsidRPr="006772EB" w:rsidRDefault="00D8428D" w:rsidP="000B3513">
            <w:pPr>
              <w:pStyle w:val="Tabletext"/>
            </w:pPr>
            <w:r w:rsidRPr="006772EB">
              <w:t>N/A</w:t>
            </w:r>
          </w:p>
        </w:tc>
      </w:tr>
    </w:tbl>
    <w:p w14:paraId="37C1291F" w14:textId="629D7B59" w:rsidR="00C60459" w:rsidRDefault="00A02461" w:rsidP="00C60459">
      <w:pPr>
        <w:pStyle w:val="ItemHead"/>
      </w:pPr>
      <w:r>
        <w:t>6</w:t>
      </w:r>
      <w:r w:rsidR="00C60459">
        <w:t xml:space="preserve">  Subsection 2.47(3) (</w:t>
      </w:r>
      <w:r w:rsidR="00D8428D">
        <w:t xml:space="preserve">after </w:t>
      </w:r>
      <w:r w:rsidR="00C60459">
        <w:t>table</w:t>
      </w:r>
      <w:r w:rsidR="00D8428D">
        <w:t xml:space="preserve"> item 20</w:t>
      </w:r>
      <w:r w:rsidR="00C60459">
        <w:t>)</w:t>
      </w:r>
    </w:p>
    <w:p w14:paraId="08535498" w14:textId="502AEA20" w:rsidR="00C60459" w:rsidRDefault="00D8428D" w:rsidP="00C60459">
      <w:pPr>
        <w:pStyle w:val="Item"/>
      </w:pPr>
      <w:r>
        <w:t>Add</w:t>
      </w:r>
      <w:r w:rsidR="00C60459">
        <w:t>:</w:t>
      </w:r>
    </w:p>
    <w:p w14:paraId="687A6410" w14:textId="77777777" w:rsidR="00C60459" w:rsidRPr="00C60459" w:rsidRDefault="00C60459" w:rsidP="00C60459">
      <w:pPr>
        <w:pStyle w:val="ItemHead"/>
        <w:spacing w:before="0"/>
        <w:rPr>
          <w:sz w:val="20"/>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04"/>
        <w:gridCol w:w="3352"/>
        <w:gridCol w:w="4157"/>
      </w:tblGrid>
      <w:tr w:rsidR="00C60459" w:rsidRPr="00D67C83" w14:paraId="04C3B61D" w14:textId="77777777" w:rsidTr="00902691">
        <w:trPr>
          <w:trHeight w:val="304"/>
        </w:trPr>
        <w:tc>
          <w:tcPr>
            <w:tcW w:w="484" w:type="pct"/>
            <w:shd w:val="clear" w:color="auto" w:fill="auto"/>
          </w:tcPr>
          <w:p w14:paraId="76CE6A7A" w14:textId="77777777" w:rsidR="00C60459" w:rsidRPr="00C60459" w:rsidRDefault="00C60459" w:rsidP="00902691">
            <w:pPr>
              <w:pStyle w:val="Tabletext"/>
            </w:pPr>
            <w:bookmarkStart w:id="10" w:name="_Hlk128141718"/>
            <w:r w:rsidRPr="00C60459">
              <w:t>20A</w:t>
            </w:r>
          </w:p>
        </w:tc>
        <w:tc>
          <w:tcPr>
            <w:tcW w:w="2016" w:type="pct"/>
            <w:shd w:val="clear" w:color="auto" w:fill="auto"/>
          </w:tcPr>
          <w:p w14:paraId="67D7B10B" w14:textId="00F92FDD" w:rsidR="00C60459" w:rsidRPr="00C60459" w:rsidRDefault="00C60459" w:rsidP="00902691">
            <w:pPr>
              <w:pStyle w:val="Tabletext"/>
            </w:pPr>
            <w:r w:rsidRPr="00C60459">
              <w:t xml:space="preserve">Renewable </w:t>
            </w:r>
            <w:r w:rsidR="007F54BF">
              <w:t>aviation kerosene</w:t>
            </w:r>
            <w:r w:rsidR="007F54BF" w:rsidRPr="00C60459">
              <w:t xml:space="preserve"> </w:t>
            </w:r>
          </w:p>
        </w:tc>
        <w:tc>
          <w:tcPr>
            <w:tcW w:w="2500" w:type="pct"/>
            <w:shd w:val="clear" w:color="auto" w:fill="auto"/>
          </w:tcPr>
          <w:p w14:paraId="58AFF465" w14:textId="77777777" w:rsidR="00C60459" w:rsidRPr="00C60459" w:rsidRDefault="00C60459" w:rsidP="00902691">
            <w:pPr>
              <w:pStyle w:val="Tabletext"/>
            </w:pPr>
            <w:r w:rsidRPr="00C60459">
              <w:t>ISO 3170:2004</w:t>
            </w:r>
          </w:p>
          <w:p w14:paraId="713FBB21" w14:textId="77777777" w:rsidR="00C60459" w:rsidRPr="00C60459" w:rsidRDefault="00C60459" w:rsidP="00902691">
            <w:pPr>
              <w:pStyle w:val="Tabletext"/>
            </w:pPr>
            <w:r w:rsidRPr="00C60459">
              <w:t>ISO 3171:1988</w:t>
            </w:r>
          </w:p>
          <w:p w14:paraId="34FAC52B" w14:textId="77777777" w:rsidR="00C60459" w:rsidRPr="00C60459" w:rsidRDefault="00C60459" w:rsidP="00902691">
            <w:pPr>
              <w:pStyle w:val="Tabletext"/>
            </w:pPr>
            <w:r w:rsidRPr="00C60459">
              <w:t>ASTM D 4057 – 06</w:t>
            </w:r>
          </w:p>
          <w:p w14:paraId="136AD6EB" w14:textId="77777777" w:rsidR="00C60459" w:rsidRPr="00C60459" w:rsidRDefault="00C60459" w:rsidP="00902691">
            <w:pPr>
              <w:pStyle w:val="Tabletext"/>
            </w:pPr>
            <w:r w:rsidRPr="00C60459">
              <w:t>ASTM D 4177 – 95 (2005)</w:t>
            </w:r>
          </w:p>
        </w:tc>
      </w:tr>
      <w:tr w:rsidR="00C60459" w:rsidRPr="00D67C83" w14:paraId="35BADDCD" w14:textId="77777777" w:rsidTr="00902691">
        <w:trPr>
          <w:trHeight w:val="304"/>
        </w:trPr>
        <w:tc>
          <w:tcPr>
            <w:tcW w:w="484" w:type="pct"/>
            <w:shd w:val="clear" w:color="auto" w:fill="auto"/>
          </w:tcPr>
          <w:p w14:paraId="632E279D" w14:textId="77777777" w:rsidR="00C60459" w:rsidRPr="00C60459" w:rsidRDefault="00C60459" w:rsidP="00902691">
            <w:pPr>
              <w:pStyle w:val="Tabletext"/>
            </w:pPr>
            <w:r w:rsidRPr="00C60459">
              <w:t>20B</w:t>
            </w:r>
          </w:p>
        </w:tc>
        <w:tc>
          <w:tcPr>
            <w:tcW w:w="2016" w:type="pct"/>
            <w:shd w:val="clear" w:color="auto" w:fill="auto"/>
          </w:tcPr>
          <w:p w14:paraId="7CB28AE6" w14:textId="138CE5C2" w:rsidR="00C60459" w:rsidRPr="00C60459" w:rsidRDefault="00C60459" w:rsidP="00902691">
            <w:pPr>
              <w:pStyle w:val="Tabletext"/>
            </w:pPr>
            <w:r w:rsidRPr="00C60459">
              <w:t xml:space="preserve">Renewable </w:t>
            </w:r>
            <w:r w:rsidR="007F54BF">
              <w:t>diesel</w:t>
            </w:r>
          </w:p>
        </w:tc>
        <w:tc>
          <w:tcPr>
            <w:tcW w:w="2500" w:type="pct"/>
            <w:shd w:val="clear" w:color="auto" w:fill="auto"/>
          </w:tcPr>
          <w:p w14:paraId="688783BA" w14:textId="77777777" w:rsidR="00C60459" w:rsidRPr="00C60459" w:rsidRDefault="00C60459" w:rsidP="00902691">
            <w:pPr>
              <w:pStyle w:val="Tabletext"/>
            </w:pPr>
            <w:r w:rsidRPr="00C60459">
              <w:t>ISO 3170:2004</w:t>
            </w:r>
          </w:p>
          <w:p w14:paraId="31D55F3F" w14:textId="77777777" w:rsidR="00C60459" w:rsidRPr="00C60459" w:rsidRDefault="00C60459" w:rsidP="00902691">
            <w:pPr>
              <w:pStyle w:val="Tabletext"/>
            </w:pPr>
            <w:r w:rsidRPr="00C60459">
              <w:t>ISO 3171:1988</w:t>
            </w:r>
          </w:p>
          <w:p w14:paraId="61B3C435" w14:textId="77777777" w:rsidR="00C60459" w:rsidRPr="00C60459" w:rsidRDefault="00C60459" w:rsidP="00902691">
            <w:pPr>
              <w:pStyle w:val="Tabletext"/>
            </w:pPr>
            <w:r w:rsidRPr="00C60459">
              <w:t>ASTM D 4057 – 06</w:t>
            </w:r>
          </w:p>
          <w:p w14:paraId="487B1AAB" w14:textId="77777777" w:rsidR="00C60459" w:rsidRPr="00C60459" w:rsidRDefault="00C60459" w:rsidP="00902691">
            <w:pPr>
              <w:pStyle w:val="Tabletext"/>
            </w:pPr>
            <w:r w:rsidRPr="00C60459">
              <w:t>ASTM D 4177 – 95 (2005)</w:t>
            </w:r>
          </w:p>
        </w:tc>
      </w:tr>
    </w:tbl>
    <w:bookmarkEnd w:id="10"/>
    <w:p w14:paraId="6E0BCB72" w14:textId="0D9FEDDD" w:rsidR="00D8428D" w:rsidRDefault="00A02461" w:rsidP="00D8428D">
      <w:pPr>
        <w:pStyle w:val="ItemHead"/>
      </w:pPr>
      <w:r>
        <w:t>7</w:t>
      </w:r>
      <w:r w:rsidR="00D8428D">
        <w:t xml:space="preserve">  Subsection 2.47(3) (table item 22)</w:t>
      </w:r>
    </w:p>
    <w:p w14:paraId="68D77824" w14:textId="41A1BBD4" w:rsidR="00D8428D" w:rsidRDefault="00D8428D" w:rsidP="00D8428D">
      <w:pPr>
        <w:pStyle w:val="Item"/>
      </w:pPr>
      <w:r>
        <w:t>Repeal the item, substitute:</w:t>
      </w:r>
    </w:p>
    <w:p w14:paraId="74AF8529" w14:textId="77777777" w:rsidR="00D8428D" w:rsidRPr="00A81FE8" w:rsidRDefault="00D8428D" w:rsidP="00A81FE8">
      <w:pPr>
        <w:pStyle w:val="ItemHead"/>
        <w:spacing w:before="0"/>
        <w:rPr>
          <w:sz w:val="20"/>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04"/>
        <w:gridCol w:w="3352"/>
        <w:gridCol w:w="4157"/>
      </w:tblGrid>
      <w:tr w:rsidR="00D8428D" w:rsidRPr="00C60459" w14:paraId="56A45BDE" w14:textId="77777777" w:rsidTr="000B3513">
        <w:trPr>
          <w:trHeight w:val="195"/>
        </w:trPr>
        <w:tc>
          <w:tcPr>
            <w:tcW w:w="484" w:type="pct"/>
            <w:tcBorders>
              <w:bottom w:val="single" w:sz="4" w:space="0" w:color="auto"/>
            </w:tcBorders>
            <w:shd w:val="clear" w:color="auto" w:fill="auto"/>
          </w:tcPr>
          <w:p w14:paraId="0F0A6DF3" w14:textId="77777777" w:rsidR="00D8428D" w:rsidRPr="00C60459" w:rsidRDefault="00D8428D" w:rsidP="000B3513">
            <w:pPr>
              <w:pStyle w:val="Tabletext"/>
            </w:pPr>
            <w:r w:rsidRPr="00C60459">
              <w:t>22</w:t>
            </w:r>
          </w:p>
        </w:tc>
        <w:tc>
          <w:tcPr>
            <w:tcW w:w="2016" w:type="pct"/>
            <w:tcBorders>
              <w:bottom w:val="single" w:sz="4" w:space="0" w:color="auto"/>
            </w:tcBorders>
            <w:shd w:val="clear" w:color="auto" w:fill="auto"/>
          </w:tcPr>
          <w:p w14:paraId="1E28B69B" w14:textId="77777777" w:rsidR="00D8428D" w:rsidRPr="00C60459" w:rsidRDefault="00D8428D" w:rsidP="000B3513">
            <w:pPr>
              <w:pStyle w:val="Tabletext"/>
            </w:pPr>
            <w:r w:rsidRPr="00C60459">
              <w:t>Biofuels other than those mentioned in items 20, 20A, 20B and 21</w:t>
            </w:r>
          </w:p>
        </w:tc>
        <w:tc>
          <w:tcPr>
            <w:tcW w:w="2500" w:type="pct"/>
            <w:tcBorders>
              <w:bottom w:val="single" w:sz="4" w:space="0" w:color="auto"/>
            </w:tcBorders>
            <w:shd w:val="clear" w:color="auto" w:fill="auto"/>
          </w:tcPr>
          <w:p w14:paraId="1AF21C0C" w14:textId="77777777" w:rsidR="00D8428D" w:rsidRPr="00C60459" w:rsidRDefault="00D8428D" w:rsidP="000B3513">
            <w:pPr>
              <w:pStyle w:val="Tabletext"/>
            </w:pPr>
            <w:r w:rsidRPr="00C60459">
              <w:t>ISO 3170:2004</w:t>
            </w:r>
          </w:p>
          <w:p w14:paraId="552AB3A0" w14:textId="77777777" w:rsidR="00D8428D" w:rsidRPr="00C60459" w:rsidRDefault="00D8428D" w:rsidP="000B3513">
            <w:pPr>
              <w:pStyle w:val="Tabletext"/>
            </w:pPr>
            <w:r w:rsidRPr="00C60459">
              <w:t>ISO 3171:1988</w:t>
            </w:r>
          </w:p>
          <w:p w14:paraId="6239F4F6" w14:textId="77777777" w:rsidR="00D8428D" w:rsidRPr="00C60459" w:rsidRDefault="00D8428D" w:rsidP="000B3513">
            <w:pPr>
              <w:pStyle w:val="Tabletext"/>
            </w:pPr>
            <w:r w:rsidRPr="00C60459">
              <w:t>ASTM D 4057 – 06</w:t>
            </w:r>
          </w:p>
          <w:p w14:paraId="64777A86" w14:textId="77777777" w:rsidR="00D8428D" w:rsidRPr="00C60459" w:rsidRDefault="00D8428D" w:rsidP="000B3513">
            <w:pPr>
              <w:pStyle w:val="Tabletext"/>
            </w:pPr>
            <w:r w:rsidRPr="00C60459">
              <w:t>ASTM D 4177 – 95 (2005)</w:t>
            </w:r>
          </w:p>
        </w:tc>
      </w:tr>
    </w:tbl>
    <w:p w14:paraId="3B33E7F4" w14:textId="3DE5FCDC" w:rsidR="006F365B" w:rsidRDefault="00A02461" w:rsidP="006F365B">
      <w:pPr>
        <w:pStyle w:val="ItemHead"/>
      </w:pPr>
      <w:r>
        <w:t>8</w:t>
      </w:r>
      <w:r w:rsidR="006F365B">
        <w:t xml:space="preserve">  Subparagraph 2.67A(b)(ii)</w:t>
      </w:r>
    </w:p>
    <w:p w14:paraId="515657F4" w14:textId="0F84C845" w:rsidR="006F365B" w:rsidRDefault="006F365B" w:rsidP="006F365B">
      <w:pPr>
        <w:pStyle w:val="Item"/>
      </w:pPr>
      <w:r>
        <w:t>Omit “the analysing”, substitute “analysing”.</w:t>
      </w:r>
    </w:p>
    <w:p w14:paraId="62B6ED18" w14:textId="6C9D43E4" w:rsidR="005E317F" w:rsidRDefault="00A02461" w:rsidP="004C43AB">
      <w:pPr>
        <w:pStyle w:val="ItemHead"/>
      </w:pPr>
      <w:bookmarkStart w:id="11" w:name="CU_9249161"/>
      <w:bookmarkStart w:id="12" w:name="CU_23250275"/>
      <w:bookmarkEnd w:id="11"/>
      <w:bookmarkEnd w:id="12"/>
      <w:r>
        <w:t>9</w:t>
      </w:r>
      <w:r w:rsidR="005E317F">
        <w:t xml:space="preserve">  </w:t>
      </w:r>
      <w:r w:rsidR="006A60C8">
        <w:t xml:space="preserve">Section 3.20 (paragraph (c) of the definition of </w:t>
      </w:r>
      <w:r w:rsidR="006A60C8" w:rsidRPr="0005417A">
        <w:rPr>
          <w:i/>
        </w:rPr>
        <w:t>EF</w:t>
      </w:r>
      <w:r w:rsidR="006A60C8" w:rsidRPr="0005417A">
        <w:rPr>
          <w:i/>
          <w:vertAlign w:val="subscript"/>
        </w:rPr>
        <w:t>j</w:t>
      </w:r>
      <w:r w:rsidR="006A60C8" w:rsidRPr="006A60C8">
        <w:t>)</w:t>
      </w:r>
    </w:p>
    <w:p w14:paraId="1EB29AC5" w14:textId="77777777" w:rsidR="006A60C8" w:rsidRDefault="006A60C8" w:rsidP="006A60C8">
      <w:pPr>
        <w:pStyle w:val="Item"/>
      </w:pPr>
      <w:r>
        <w:t>Repeal the paragraph, substitute:</w:t>
      </w:r>
    </w:p>
    <w:p w14:paraId="44E8445E" w14:textId="136B68DC" w:rsidR="006A60C8" w:rsidRPr="006A60C8" w:rsidRDefault="006A60C8" w:rsidP="006A60C8">
      <w:pPr>
        <w:pStyle w:val="paragraph"/>
      </w:pPr>
      <w:r>
        <w:tab/>
        <w:t xml:space="preserve">(c) </w:t>
      </w:r>
      <w:r>
        <w:tab/>
        <w:t>for a mine in Queensland</w:t>
      </w:r>
      <w:r w:rsidRPr="006A60C8">
        <w:t>—</w:t>
      </w:r>
      <w:r>
        <w:t>0.03</w:t>
      </w:r>
      <w:r w:rsidR="003F3A28">
        <w:t>1</w:t>
      </w:r>
      <w:r>
        <w:t xml:space="preserve">; </w:t>
      </w:r>
    </w:p>
    <w:p w14:paraId="6A27A240" w14:textId="68426B53" w:rsidR="005C3AF8" w:rsidRDefault="00A02461" w:rsidP="005C3AF8">
      <w:pPr>
        <w:pStyle w:val="ItemHead"/>
      </w:pPr>
      <w:r>
        <w:t>10</w:t>
      </w:r>
      <w:r w:rsidR="005C3AF8">
        <w:t xml:space="preserve">  Subsection 3.54</w:t>
      </w:r>
      <w:r w:rsidR="0031223A">
        <w:t>(2)</w:t>
      </w:r>
    </w:p>
    <w:p w14:paraId="46C89D10" w14:textId="42C9D295" w:rsidR="005C3AF8" w:rsidRPr="006A60C8" w:rsidRDefault="005C3AF8" w:rsidP="005C3AF8">
      <w:pPr>
        <w:pStyle w:val="Item"/>
      </w:pPr>
      <w:r>
        <w:t>Omit “subparagraph 3.51(1)(a)(ii)”, substitute “subparagraph 3.52(1)(a)(ii)</w:t>
      </w:r>
      <w:r w:rsidR="00440639">
        <w:t>”</w:t>
      </w:r>
      <w:r>
        <w:t xml:space="preserve">. </w:t>
      </w:r>
    </w:p>
    <w:p w14:paraId="3A8CDEFE" w14:textId="571C45C3" w:rsidR="0031223A" w:rsidRDefault="00E8058E" w:rsidP="0031223A">
      <w:pPr>
        <w:pStyle w:val="ItemHead"/>
      </w:pPr>
      <w:r>
        <w:t>1</w:t>
      </w:r>
      <w:r w:rsidR="00A02461">
        <w:t>1</w:t>
      </w:r>
      <w:r w:rsidR="0031223A">
        <w:t xml:space="preserve">  Subparagraph 3.88N(1)(c)(ii)</w:t>
      </w:r>
    </w:p>
    <w:p w14:paraId="49538459" w14:textId="676EC0CA" w:rsidR="0031223A" w:rsidRPr="006A60C8" w:rsidRDefault="0031223A" w:rsidP="0031223A">
      <w:pPr>
        <w:pStyle w:val="Item"/>
      </w:pPr>
      <w:r>
        <w:t>Omit “section 3.86A”, substitute “</w:t>
      </w:r>
      <w:r w:rsidR="00690097">
        <w:t xml:space="preserve">section </w:t>
      </w:r>
      <w:r>
        <w:t xml:space="preserve">3.87A”. </w:t>
      </w:r>
    </w:p>
    <w:p w14:paraId="4A0BBF05" w14:textId="72AD3848" w:rsidR="00544A03" w:rsidRDefault="00E8058E" w:rsidP="00544A03">
      <w:pPr>
        <w:pStyle w:val="ItemHead"/>
      </w:pPr>
      <w:r>
        <w:t>1</w:t>
      </w:r>
      <w:r w:rsidR="00A02461">
        <w:t>2</w:t>
      </w:r>
      <w:r w:rsidR="00544A03">
        <w:t xml:space="preserve">  Section 3.88 (the section 3.88 inserted by item 62 of Schedule 1 to the </w:t>
      </w:r>
      <w:r w:rsidR="00544A03">
        <w:rPr>
          <w:i/>
        </w:rPr>
        <w:t>National Greenhouse and Energy Reporting (Measurement) Amendment Determination 2010 (No. 1)</w:t>
      </w:r>
      <w:r w:rsidR="00544A03">
        <w:t>)</w:t>
      </w:r>
    </w:p>
    <w:p w14:paraId="2C3C6799" w14:textId="0822914D" w:rsidR="00544A03" w:rsidRDefault="00544A03" w:rsidP="00375737">
      <w:pPr>
        <w:pStyle w:val="Item"/>
      </w:pPr>
      <w:r>
        <w:t>Renumber as section 3.88U.</w:t>
      </w:r>
    </w:p>
    <w:p w14:paraId="37232195" w14:textId="7A551851" w:rsidR="006144B5" w:rsidRDefault="00E8058E" w:rsidP="006144B5">
      <w:pPr>
        <w:pStyle w:val="ItemHead"/>
      </w:pPr>
      <w:r>
        <w:t>1</w:t>
      </w:r>
      <w:r w:rsidR="00A02461">
        <w:t>3</w:t>
      </w:r>
      <w:r w:rsidR="006144B5">
        <w:t xml:space="preserve">  Sections 4.85 and 4.89</w:t>
      </w:r>
    </w:p>
    <w:p w14:paraId="59CC2D11" w14:textId="0BD189A4" w:rsidR="006144B5" w:rsidRPr="006A60C8" w:rsidRDefault="006144B5" w:rsidP="006144B5">
      <w:pPr>
        <w:pStyle w:val="Item"/>
      </w:pPr>
      <w:r>
        <w:t xml:space="preserve">Repeal the sections. </w:t>
      </w:r>
    </w:p>
    <w:p w14:paraId="1D93AAF5" w14:textId="1F7BA0FE" w:rsidR="005E317F" w:rsidRDefault="00E8058E" w:rsidP="006A60C8">
      <w:pPr>
        <w:pStyle w:val="ItemHead"/>
      </w:pPr>
      <w:bookmarkStart w:id="13" w:name="BKCheck15B_30"/>
      <w:bookmarkEnd w:id="13"/>
      <w:r>
        <w:lastRenderedPageBreak/>
        <w:t>1</w:t>
      </w:r>
      <w:r w:rsidR="002A421D">
        <w:t>4</w:t>
      </w:r>
      <w:r w:rsidR="005E317F">
        <w:t xml:space="preserve">  </w:t>
      </w:r>
      <w:r w:rsidR="004C43AB">
        <w:t>Subsections 5.4(2) to (5)</w:t>
      </w:r>
    </w:p>
    <w:p w14:paraId="4512468E" w14:textId="77777777" w:rsidR="004C43AB" w:rsidRDefault="004C43AB" w:rsidP="004C43AB">
      <w:pPr>
        <w:pStyle w:val="Item"/>
      </w:pPr>
      <w:r>
        <w:t>Repeal the subsections, substitute:</w:t>
      </w:r>
    </w:p>
    <w:p w14:paraId="69298F59" w14:textId="77777777" w:rsidR="000B0F94" w:rsidRPr="0005417A" w:rsidRDefault="000B0F94" w:rsidP="000B0F94">
      <w:pPr>
        <w:pStyle w:val="subsection"/>
      </w:pPr>
      <w:r w:rsidRPr="0005417A">
        <w:tab/>
        <w:t>(2)</w:t>
      </w:r>
      <w:r w:rsidRPr="0005417A">
        <w:tab/>
        <w:t>For subsection (1), if:</w:t>
      </w:r>
    </w:p>
    <w:p w14:paraId="7A6D3A65" w14:textId="77777777" w:rsidR="000B0F94" w:rsidRPr="0005417A" w:rsidRDefault="000B0F94" w:rsidP="000B0F94">
      <w:pPr>
        <w:pStyle w:val="subsection"/>
        <w:spacing w:before="120" w:after="120"/>
      </w:pPr>
      <w:r w:rsidRPr="0005417A">
        <w:tab/>
      </w:r>
      <w:r w:rsidRPr="0005417A">
        <w:tab/>
      </w:r>
      <w:r w:rsidRPr="0005417A">
        <w:rPr>
          <w:noProof/>
        </w:rPr>
        <w:drawing>
          <wp:inline distT="0" distB="0" distL="0" distR="0" wp14:anchorId="4FC73458" wp14:editId="678698F9">
            <wp:extent cx="1485900" cy="495300"/>
            <wp:effectExtent l="0" t="0" r="0" b="0"/>
            <wp:docPr id="2" name="Picture 93" descr="A formula representing the collection efficiency amount for the landfill during the year, calculated as the quantity of methane collected from the landfill as a proportion of the quantity of methane released from the land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85900" cy="495300"/>
                    </a:xfrm>
                    <a:prstGeom prst="rect">
                      <a:avLst/>
                    </a:prstGeom>
                    <a:noFill/>
                    <a:ln>
                      <a:noFill/>
                    </a:ln>
                  </pic:spPr>
                </pic:pic>
              </a:graphicData>
            </a:graphic>
          </wp:inline>
        </w:drawing>
      </w:r>
    </w:p>
    <w:p w14:paraId="4B663891" w14:textId="77777777" w:rsidR="000B0F94" w:rsidRPr="0005417A" w:rsidRDefault="000B0F94" w:rsidP="000B0F94">
      <w:pPr>
        <w:pStyle w:val="subsection2"/>
      </w:pPr>
      <w:r w:rsidRPr="0005417A">
        <w:t xml:space="preserve">is less than or equal </w:t>
      </w:r>
      <w:r w:rsidRPr="000B0F94">
        <w:t>to the collection efficiency amount for the landfill calculated in accordance with section 5.15C, then:</w:t>
      </w:r>
    </w:p>
    <w:p w14:paraId="2B94E087" w14:textId="77777777" w:rsidR="000B0F94" w:rsidRPr="0005417A" w:rsidRDefault="000B0F94" w:rsidP="000B0F94">
      <w:pPr>
        <w:pStyle w:val="subsection2"/>
        <w:spacing w:before="120" w:after="120"/>
      </w:pPr>
      <w:r w:rsidRPr="0005417A">
        <w:rPr>
          <w:noProof/>
        </w:rPr>
        <w:drawing>
          <wp:inline distT="0" distB="0" distL="0" distR="0" wp14:anchorId="548EAFAB" wp14:editId="05E22AC9">
            <wp:extent cx="1003300" cy="247650"/>
            <wp:effectExtent l="0" t="0" r="6350" b="0"/>
            <wp:docPr id="3" name="Picture 3" descr="A formula indicating that the quantity of methane generated from the landfill during the year is to be used to calculate emissions of methane from the land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03300" cy="247650"/>
                    </a:xfrm>
                    <a:prstGeom prst="rect">
                      <a:avLst/>
                    </a:prstGeom>
                    <a:noFill/>
                    <a:ln>
                      <a:noFill/>
                    </a:ln>
                  </pic:spPr>
                </pic:pic>
              </a:graphicData>
            </a:graphic>
          </wp:inline>
        </w:drawing>
      </w:r>
    </w:p>
    <w:p w14:paraId="09766A52" w14:textId="77777777" w:rsidR="000B0F94" w:rsidRPr="0005417A" w:rsidRDefault="000B0F94" w:rsidP="000B0F94">
      <w:pPr>
        <w:pStyle w:val="subsection2"/>
      </w:pPr>
      <w:r w:rsidRPr="0005417A">
        <w:t>where:</w:t>
      </w:r>
    </w:p>
    <w:p w14:paraId="1ED98603" w14:textId="77777777" w:rsidR="000B0F94" w:rsidRPr="0005417A" w:rsidRDefault="000B0F94" w:rsidP="000B0F94">
      <w:pPr>
        <w:pStyle w:val="Definition"/>
      </w:pPr>
      <w:r w:rsidRPr="0005417A">
        <w:rPr>
          <w:b/>
          <w:i/>
        </w:rPr>
        <w:t>CH</w:t>
      </w:r>
      <w:r w:rsidRPr="0005417A">
        <w:rPr>
          <w:b/>
          <w:i/>
          <w:vertAlign w:val="subscript"/>
        </w:rPr>
        <w:t>4gen</w:t>
      </w:r>
      <w:r w:rsidRPr="0005417A">
        <w:rPr>
          <w:b/>
          <w:i/>
        </w:rPr>
        <w:t xml:space="preserve"> </w:t>
      </w:r>
      <w:r w:rsidRPr="0005417A">
        <w:t>is the quantity of methane in landfill gas generation released from the landfill during the year estimated in accordance with subsection (</w:t>
      </w:r>
      <w:r w:rsidRPr="00146082">
        <w:t>4</w:t>
      </w:r>
      <w:r w:rsidRPr="0005417A">
        <w:t>) and measured in CO</w:t>
      </w:r>
      <w:r w:rsidRPr="0005417A">
        <w:rPr>
          <w:vertAlign w:val="subscript"/>
        </w:rPr>
        <w:t>2</w:t>
      </w:r>
      <w:r w:rsidRPr="0005417A">
        <w:noBreakHyphen/>
        <w:t>e tonnes.</w:t>
      </w:r>
    </w:p>
    <w:p w14:paraId="19F6D9BD" w14:textId="77777777" w:rsidR="000B0F94" w:rsidRPr="0005417A" w:rsidRDefault="000B0F94" w:rsidP="000B0F94">
      <w:pPr>
        <w:pStyle w:val="subsection"/>
      </w:pPr>
      <w:r w:rsidRPr="0005417A">
        <w:tab/>
        <w:t>(3)</w:t>
      </w:r>
      <w:r w:rsidRPr="0005417A">
        <w:tab/>
        <w:t>For subsection (1), if:</w:t>
      </w:r>
    </w:p>
    <w:p w14:paraId="2E0BE76D" w14:textId="77777777" w:rsidR="000B0F94" w:rsidRPr="0005417A" w:rsidRDefault="000B0F94" w:rsidP="000B0F94">
      <w:pPr>
        <w:pStyle w:val="subsection"/>
        <w:spacing w:before="120" w:after="120"/>
      </w:pPr>
      <w:r w:rsidRPr="0005417A">
        <w:tab/>
      </w:r>
      <w:r w:rsidRPr="0005417A">
        <w:tab/>
      </w:r>
      <w:r w:rsidRPr="0005417A">
        <w:rPr>
          <w:noProof/>
        </w:rPr>
        <w:drawing>
          <wp:inline distT="0" distB="0" distL="0" distR="0" wp14:anchorId="5CEA76C5" wp14:editId="0DB6D71A">
            <wp:extent cx="1485900" cy="495300"/>
            <wp:effectExtent l="0" t="0" r="0" b="0"/>
            <wp:docPr id="5" name="Picture 95" descr="A formula representing the collection efficiency amount for the landfill during the year, calculated as the quantity of methane collected from the landfill as a proportion of the quantity of methane released from the land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85900" cy="495300"/>
                    </a:xfrm>
                    <a:prstGeom prst="rect">
                      <a:avLst/>
                    </a:prstGeom>
                    <a:noFill/>
                    <a:ln>
                      <a:noFill/>
                    </a:ln>
                  </pic:spPr>
                </pic:pic>
              </a:graphicData>
            </a:graphic>
          </wp:inline>
        </w:drawing>
      </w:r>
    </w:p>
    <w:p w14:paraId="19BA0A2E" w14:textId="77777777" w:rsidR="000B0F94" w:rsidRPr="0005417A" w:rsidRDefault="000B0F94" w:rsidP="000B0F94">
      <w:pPr>
        <w:pStyle w:val="subsection2"/>
      </w:pPr>
      <w:r w:rsidRPr="00146082">
        <w:t>is greater</w:t>
      </w:r>
      <w:r w:rsidRPr="0005417A">
        <w:t xml:space="preserve"> </w:t>
      </w:r>
      <w:r w:rsidRPr="000B0F94">
        <w:t>than the collection efficiency amount for the landfill calculated in accordance with section 5.15C, then:</w:t>
      </w:r>
    </w:p>
    <w:p w14:paraId="1125486D" w14:textId="0D0D466F" w:rsidR="000B0F94" w:rsidRPr="0005417A" w:rsidRDefault="009477BA" w:rsidP="000B0F94">
      <w:pPr>
        <w:pStyle w:val="subsection2"/>
        <w:spacing w:before="120" w:after="120"/>
      </w:pPr>
      <w:r>
        <w:rPr>
          <w:noProof/>
        </w:rPr>
        <w:drawing>
          <wp:inline distT="0" distB="0" distL="0" distR="0" wp14:anchorId="5D1147A5" wp14:editId="184EF828">
            <wp:extent cx="2886075" cy="528868"/>
            <wp:effectExtent l="0" t="0" r="0" b="5080"/>
            <wp:docPr id="6" name="Picture 6" descr="A formula to calculate the estimated quantity of methane in landfill gas generated by a landfill during a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902862" cy="531944"/>
                    </a:xfrm>
                    <a:prstGeom prst="rect">
                      <a:avLst/>
                    </a:prstGeom>
                  </pic:spPr>
                </pic:pic>
              </a:graphicData>
            </a:graphic>
          </wp:inline>
        </w:drawing>
      </w:r>
    </w:p>
    <w:p w14:paraId="5E583C89" w14:textId="77777777" w:rsidR="000B0F94" w:rsidRPr="0005417A" w:rsidRDefault="000B0F94" w:rsidP="000B0F94">
      <w:pPr>
        <w:pStyle w:val="subsection2"/>
      </w:pPr>
      <w:r w:rsidRPr="0005417A">
        <w:t>where:</w:t>
      </w:r>
    </w:p>
    <w:p w14:paraId="7A1743C9" w14:textId="77777777" w:rsidR="000B0F94" w:rsidRPr="000B0F94" w:rsidRDefault="000B0F94" w:rsidP="000B0F94">
      <w:pPr>
        <w:pStyle w:val="definition0"/>
        <w:shd w:val="clear" w:color="auto" w:fill="FFFFFF"/>
        <w:spacing w:before="180" w:beforeAutospacing="0" w:after="0" w:afterAutospacing="0"/>
        <w:ind w:left="1134"/>
        <w:rPr>
          <w:sz w:val="22"/>
          <w:szCs w:val="22"/>
        </w:rPr>
      </w:pPr>
      <w:r w:rsidRPr="000B0F94">
        <w:rPr>
          <w:b/>
          <w:bCs/>
          <w:i/>
          <w:iCs/>
          <w:sz w:val="22"/>
          <w:szCs w:val="22"/>
        </w:rPr>
        <w:t>γ</w:t>
      </w:r>
      <w:r w:rsidRPr="000B0F94">
        <w:rPr>
          <w:sz w:val="22"/>
          <w:szCs w:val="22"/>
        </w:rPr>
        <w:t> is the factor 6.784 </w:t>
      </w:r>
      <w:r w:rsidRPr="000B0F94">
        <w:rPr>
          <w:rFonts w:ascii="Wingdings 2" w:hAnsi="Wingdings 2"/>
          <w:sz w:val="22"/>
          <w:szCs w:val="22"/>
        </w:rPr>
        <w:t></w:t>
      </w:r>
      <w:r w:rsidRPr="000B0F94">
        <w:rPr>
          <w:sz w:val="22"/>
          <w:szCs w:val="22"/>
        </w:rPr>
        <w:t> 10</w:t>
      </w:r>
      <w:r w:rsidRPr="000B0F94">
        <w:rPr>
          <w:sz w:val="17"/>
          <w:szCs w:val="17"/>
          <w:vertAlign w:val="superscript"/>
        </w:rPr>
        <w:noBreakHyphen/>
        <w:t>4 </w:t>
      </w:r>
      <w:r w:rsidRPr="000B0F94">
        <w:rPr>
          <w:rFonts w:ascii="Wingdings 2" w:hAnsi="Wingdings 2"/>
          <w:sz w:val="22"/>
          <w:szCs w:val="22"/>
        </w:rPr>
        <w:t></w:t>
      </w:r>
      <w:r w:rsidRPr="000B0F94">
        <w:rPr>
          <w:sz w:val="22"/>
          <w:szCs w:val="22"/>
        </w:rPr>
        <w:t> GWP</w:t>
      </w:r>
      <w:r w:rsidRPr="000B0F94">
        <w:rPr>
          <w:sz w:val="17"/>
          <w:szCs w:val="17"/>
          <w:vertAlign w:val="subscript"/>
        </w:rPr>
        <w:t>methane</w:t>
      </w:r>
      <w:r w:rsidRPr="000B0F94">
        <w:rPr>
          <w:sz w:val="22"/>
          <w:szCs w:val="22"/>
        </w:rPr>
        <w:t> converting cubic metres of methane at standard conditions measured to CO</w:t>
      </w:r>
      <w:r w:rsidRPr="000B0F94">
        <w:rPr>
          <w:sz w:val="17"/>
          <w:szCs w:val="17"/>
          <w:vertAlign w:val="subscript"/>
        </w:rPr>
        <w:t>2</w:t>
      </w:r>
      <w:r w:rsidRPr="000B0F94">
        <w:rPr>
          <w:sz w:val="22"/>
          <w:szCs w:val="22"/>
        </w:rPr>
        <w:noBreakHyphen/>
        <w:t>e tonnes.</w:t>
      </w:r>
    </w:p>
    <w:p w14:paraId="69906510" w14:textId="77777777" w:rsidR="000B0F94" w:rsidRPr="000B0F94" w:rsidRDefault="000B0F94" w:rsidP="000B0F94">
      <w:pPr>
        <w:pStyle w:val="definition0"/>
        <w:shd w:val="clear" w:color="auto" w:fill="FFFFFF"/>
        <w:spacing w:before="180" w:beforeAutospacing="0" w:after="0" w:afterAutospacing="0"/>
        <w:ind w:left="1134"/>
        <w:rPr>
          <w:sz w:val="22"/>
          <w:szCs w:val="22"/>
        </w:rPr>
      </w:pPr>
      <w:r w:rsidRPr="000B0F94">
        <w:rPr>
          <w:b/>
          <w:bCs/>
          <w:i/>
          <w:iCs/>
          <w:sz w:val="22"/>
          <w:szCs w:val="22"/>
        </w:rPr>
        <w:t>CEA</w:t>
      </w:r>
      <w:r w:rsidRPr="000B0F94">
        <w:rPr>
          <w:sz w:val="22"/>
          <w:szCs w:val="22"/>
        </w:rPr>
        <w:t> is the collection efficiency amount for the landfill calculated in accordance with section 5.15C.</w:t>
      </w:r>
    </w:p>
    <w:p w14:paraId="6381F824" w14:textId="43C2A581" w:rsidR="000B0F94" w:rsidRPr="00146082" w:rsidRDefault="000B0F94" w:rsidP="000B0F94">
      <w:pPr>
        <w:pStyle w:val="definition0"/>
        <w:shd w:val="clear" w:color="auto" w:fill="FFFFFF"/>
        <w:spacing w:before="180" w:beforeAutospacing="0" w:after="0" w:afterAutospacing="0"/>
        <w:ind w:left="1134"/>
        <w:rPr>
          <w:sz w:val="22"/>
          <w:szCs w:val="22"/>
        </w:rPr>
      </w:pPr>
      <w:r w:rsidRPr="000B0F94">
        <w:rPr>
          <w:b/>
          <w:bCs/>
          <w:i/>
          <w:iCs/>
          <w:sz w:val="22"/>
          <w:szCs w:val="22"/>
        </w:rPr>
        <w:t>CH</w:t>
      </w:r>
      <w:r w:rsidRPr="000B0F94">
        <w:rPr>
          <w:b/>
          <w:bCs/>
          <w:i/>
          <w:iCs/>
          <w:sz w:val="17"/>
          <w:szCs w:val="17"/>
          <w:vertAlign w:val="subscript"/>
        </w:rPr>
        <w:t>4gen</w:t>
      </w:r>
      <w:r w:rsidRPr="000B0F94">
        <w:rPr>
          <w:sz w:val="22"/>
          <w:szCs w:val="22"/>
        </w:rPr>
        <w:t> is the quantity of methane in landfill gas generation released from the landfill during the year, estimated in accordance with subsection 5.4(</w:t>
      </w:r>
      <w:r w:rsidR="00EE7C47" w:rsidRPr="00146082">
        <w:rPr>
          <w:sz w:val="22"/>
          <w:szCs w:val="22"/>
        </w:rPr>
        <w:t>4</w:t>
      </w:r>
      <w:r w:rsidRPr="00146082">
        <w:rPr>
          <w:sz w:val="22"/>
          <w:szCs w:val="22"/>
        </w:rPr>
        <w:t>) and measured in CO</w:t>
      </w:r>
      <w:r w:rsidR="007C1841" w:rsidRPr="0005417A">
        <w:rPr>
          <w:vertAlign w:val="subscript"/>
        </w:rPr>
        <w:t>2</w:t>
      </w:r>
      <w:r w:rsidRPr="00146082">
        <w:rPr>
          <w:sz w:val="22"/>
          <w:szCs w:val="22"/>
        </w:rPr>
        <w:noBreakHyphen/>
        <w:t>e tonnes.</w:t>
      </w:r>
    </w:p>
    <w:p w14:paraId="0C197B69" w14:textId="77777777" w:rsidR="000B0F94" w:rsidRPr="00146082" w:rsidRDefault="000B0F94" w:rsidP="000B0F94">
      <w:pPr>
        <w:pStyle w:val="definition0"/>
        <w:shd w:val="clear" w:color="auto" w:fill="FFFFFF"/>
        <w:spacing w:before="180" w:beforeAutospacing="0" w:after="0" w:afterAutospacing="0"/>
        <w:ind w:left="1134"/>
        <w:rPr>
          <w:sz w:val="22"/>
          <w:szCs w:val="22"/>
        </w:rPr>
      </w:pPr>
      <w:r w:rsidRPr="00146082">
        <w:rPr>
          <w:b/>
          <w:bCs/>
          <w:i/>
          <w:iCs/>
          <w:sz w:val="22"/>
          <w:szCs w:val="22"/>
        </w:rPr>
        <w:t>Q</w:t>
      </w:r>
      <w:r w:rsidRPr="00146082">
        <w:rPr>
          <w:b/>
          <w:bCs/>
          <w:i/>
          <w:iCs/>
          <w:sz w:val="17"/>
          <w:szCs w:val="17"/>
          <w:vertAlign w:val="subscript"/>
        </w:rPr>
        <w:t>cap</w:t>
      </w:r>
      <w:r w:rsidRPr="00146082">
        <w:rPr>
          <w:sz w:val="22"/>
          <w:szCs w:val="22"/>
        </w:rPr>
        <w:t> is the quantity of methane in landfill gas captured for combustion from the landfill during the year, measured in cubic metres in accordance with Division 2.3.6.</w:t>
      </w:r>
    </w:p>
    <w:p w14:paraId="48A02810" w14:textId="77777777" w:rsidR="000B0F94" w:rsidRPr="00146082" w:rsidRDefault="000B0F94" w:rsidP="000B0F94">
      <w:pPr>
        <w:pStyle w:val="Definition"/>
      </w:pPr>
      <w:r w:rsidRPr="00146082">
        <w:rPr>
          <w:b/>
          <w:i/>
        </w:rPr>
        <w:t>Q</w:t>
      </w:r>
      <w:r w:rsidRPr="00146082">
        <w:rPr>
          <w:b/>
          <w:i/>
          <w:vertAlign w:val="subscript"/>
        </w:rPr>
        <w:t xml:space="preserve">flared </w:t>
      </w:r>
      <w:r w:rsidRPr="00146082">
        <w:t>is the quantity of methane in landfill gas flared from the landfill during the year and measured in cubic metres in accordance with Division 2.3.6.</w:t>
      </w:r>
    </w:p>
    <w:p w14:paraId="432DBB23" w14:textId="77777777" w:rsidR="000B0F94" w:rsidRPr="00146082" w:rsidRDefault="000B0F94" w:rsidP="000B0F94">
      <w:pPr>
        <w:pStyle w:val="Definition"/>
      </w:pPr>
      <w:r w:rsidRPr="00146082">
        <w:rPr>
          <w:b/>
          <w:i/>
        </w:rPr>
        <w:t>Q</w:t>
      </w:r>
      <w:r w:rsidRPr="00146082">
        <w:rPr>
          <w:b/>
          <w:i/>
          <w:vertAlign w:val="subscript"/>
        </w:rPr>
        <w:t>tr</w:t>
      </w:r>
      <w:r w:rsidRPr="00146082">
        <w:rPr>
          <w:b/>
          <w:i/>
        </w:rPr>
        <w:t xml:space="preserve"> </w:t>
      </w:r>
      <w:r w:rsidRPr="00146082">
        <w:t>is the quantity of methane in landfill gas transferred out of the landfill during the year and measured in cubic metres in accordance with Division 2.3.6.</w:t>
      </w:r>
    </w:p>
    <w:p w14:paraId="4C7118F0" w14:textId="77777777" w:rsidR="0049084D" w:rsidRPr="006065DA" w:rsidRDefault="000B0F94" w:rsidP="0049084D">
      <w:pPr>
        <w:pStyle w:val="subsection"/>
      </w:pPr>
      <w:r w:rsidRPr="00146082">
        <w:lastRenderedPageBreak/>
        <w:tab/>
        <w:t>(4)</w:t>
      </w:r>
      <w:r w:rsidRPr="00146082">
        <w:tab/>
        <w:t>For subsection</w:t>
      </w:r>
      <w:r w:rsidR="00010D0A" w:rsidRPr="00146082">
        <w:t>s</w:t>
      </w:r>
      <w:r w:rsidRPr="00146082">
        <w:t> (2)</w:t>
      </w:r>
      <w:r w:rsidR="00010D0A" w:rsidRPr="00146082">
        <w:t xml:space="preserve"> and (3)</w:t>
      </w:r>
      <w:r w:rsidRPr="00146082">
        <w:t>, CH</w:t>
      </w:r>
      <w:r w:rsidRPr="00146082">
        <w:rPr>
          <w:sz w:val="17"/>
          <w:szCs w:val="17"/>
          <w:vertAlign w:val="subscript"/>
        </w:rPr>
        <w:t>4gen </w:t>
      </w:r>
      <w:r w:rsidRPr="00146082">
        <w:t>must</w:t>
      </w:r>
      <w:r w:rsidRPr="00231AE2">
        <w:t xml:space="preserve"> be calculated using the estimates mentioned in section 5.4A and the equations mentioned in sections 5.4B, 5.4C and 5.4D.</w:t>
      </w:r>
    </w:p>
    <w:p w14:paraId="29D68641" w14:textId="5C5FB734" w:rsidR="005E317F" w:rsidRDefault="00E8058E" w:rsidP="005E317F">
      <w:pPr>
        <w:pStyle w:val="ItemHead"/>
      </w:pPr>
      <w:r>
        <w:t>1</w:t>
      </w:r>
      <w:r w:rsidR="002A421D">
        <w:t>5</w:t>
      </w:r>
      <w:r w:rsidR="005E317F">
        <w:t xml:space="preserve">  </w:t>
      </w:r>
      <w:r w:rsidR="00EE7C47">
        <w:t>Sections 5.4A, 5.4B, 5.4C, 5.4D, 5.13, and 5.15</w:t>
      </w:r>
    </w:p>
    <w:p w14:paraId="25E94800" w14:textId="77777777" w:rsidR="005E317F" w:rsidRDefault="00EE7C47" w:rsidP="005E317F">
      <w:pPr>
        <w:pStyle w:val="Item"/>
      </w:pPr>
      <w:r>
        <w:t>Omit “</w:t>
      </w:r>
      <w:r w:rsidR="00877C3A">
        <w:t xml:space="preserve">subsection </w:t>
      </w:r>
      <w:r>
        <w:t>5.4(</w:t>
      </w:r>
      <w:r w:rsidR="00877C3A">
        <w:t>5)” (wherever occurring)</w:t>
      </w:r>
      <w:r w:rsidR="005E317F">
        <w:t>, substitute</w:t>
      </w:r>
      <w:r w:rsidR="00877C3A">
        <w:t xml:space="preserve"> “subsection 5.4(4)”.</w:t>
      </w:r>
    </w:p>
    <w:p w14:paraId="6624CF6A" w14:textId="17CA725F" w:rsidR="002A421D" w:rsidRDefault="002A421D" w:rsidP="002A421D">
      <w:pPr>
        <w:pStyle w:val="ItemHead"/>
      </w:pPr>
      <w:r>
        <w:t xml:space="preserve">16  Section 5.15C </w:t>
      </w:r>
    </w:p>
    <w:p w14:paraId="2D35F1D2" w14:textId="77777777" w:rsidR="002A421D" w:rsidRDefault="002A421D" w:rsidP="002A421D">
      <w:pPr>
        <w:pStyle w:val="Item"/>
      </w:pPr>
      <w:r>
        <w:t>Repeal the section, substitute:</w:t>
      </w:r>
    </w:p>
    <w:p w14:paraId="098AD6BD" w14:textId="77777777" w:rsidR="002A421D" w:rsidRPr="00A54204" w:rsidRDefault="002A421D" w:rsidP="002A421D">
      <w:pPr>
        <w:pStyle w:val="ActHead5"/>
        <w:rPr>
          <w:rStyle w:val="CharSectno"/>
        </w:rPr>
      </w:pPr>
      <w:r w:rsidRPr="00A54204">
        <w:rPr>
          <w:rStyle w:val="CharSectno"/>
        </w:rPr>
        <w:t>5.15C</w:t>
      </w:r>
      <w:r>
        <w:rPr>
          <w:rStyle w:val="CharSectno"/>
        </w:rPr>
        <w:t xml:space="preserve">  </w:t>
      </w:r>
      <w:r w:rsidRPr="00A54204">
        <w:rPr>
          <w:rStyle w:val="CharSectno"/>
        </w:rPr>
        <w:t>Equation—collection efficiency limit at landfill in particular reporting year</w:t>
      </w:r>
    </w:p>
    <w:p w14:paraId="2E5CD525" w14:textId="77777777" w:rsidR="002A421D" w:rsidRPr="0005417A" w:rsidRDefault="002A421D" w:rsidP="002A421D">
      <w:pPr>
        <w:pStyle w:val="subsection"/>
      </w:pPr>
      <w:r w:rsidRPr="0005417A">
        <w:tab/>
        <w:t>(</w:t>
      </w:r>
      <w:r>
        <w:t>1</w:t>
      </w:r>
      <w:r w:rsidRPr="0005417A">
        <w:t>)</w:t>
      </w:r>
      <w:r w:rsidRPr="0005417A">
        <w:tab/>
      </w:r>
      <w:r>
        <w:t xml:space="preserve">Subject to subsection (3), </w:t>
      </w:r>
      <w:r w:rsidRPr="002F2AF2">
        <w:t>the collection efficiency limit for a landfill is calculated using the following formul</w:t>
      </w:r>
      <w:r>
        <w:t>a</w:t>
      </w:r>
      <w:r w:rsidRPr="0005417A">
        <w:t>:</w:t>
      </w:r>
    </w:p>
    <w:p w14:paraId="3A69C708" w14:textId="0BA02703" w:rsidR="002A421D" w:rsidRPr="0005417A" w:rsidRDefault="002A421D" w:rsidP="002A421D">
      <w:pPr>
        <w:pStyle w:val="subsection2"/>
        <w:spacing w:before="120" w:after="120"/>
      </w:pPr>
      <w:r>
        <w:rPr>
          <w:noProof/>
        </w:rPr>
        <w:drawing>
          <wp:inline distT="0" distB="0" distL="0" distR="0" wp14:anchorId="2389C9FE" wp14:editId="12B5097C">
            <wp:extent cx="2276475" cy="495300"/>
            <wp:effectExtent l="0" t="0" r="9525" b="0"/>
            <wp:docPr id="4" name="Picture 4" descr="The collection efficiency limit for a landfill is calculated as an average of the efficiencies of different categories of landfill covers, weighted by the area of landfill to which a cover within each category is applied. Category A2 is assigned a 0% efficiency, A3 is assigned a 60% efficiency, A4 is assigned a 75% efficiency and A5 is assigned a 95% effici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76475" cy="495300"/>
                    </a:xfrm>
                    <a:prstGeom prst="rect">
                      <a:avLst/>
                    </a:prstGeom>
                    <a:noFill/>
                    <a:ln>
                      <a:noFill/>
                    </a:ln>
                  </pic:spPr>
                </pic:pic>
              </a:graphicData>
            </a:graphic>
          </wp:inline>
        </w:drawing>
      </w:r>
    </w:p>
    <w:p w14:paraId="0705488A" w14:textId="77777777" w:rsidR="002A421D" w:rsidRPr="0005417A" w:rsidRDefault="002A421D" w:rsidP="002A421D">
      <w:pPr>
        <w:pStyle w:val="subsection2"/>
      </w:pPr>
      <w:r w:rsidRPr="0005417A">
        <w:t>where:</w:t>
      </w:r>
    </w:p>
    <w:p w14:paraId="70BC864F" w14:textId="77777777" w:rsidR="002A421D" w:rsidRDefault="002A421D" w:rsidP="002A421D">
      <w:pPr>
        <w:pStyle w:val="Definition"/>
      </w:pPr>
      <w:r>
        <w:rPr>
          <w:b/>
          <w:i/>
        </w:rPr>
        <w:t xml:space="preserve">A2 </w:t>
      </w:r>
      <w:r>
        <w:rPr>
          <w:szCs w:val="22"/>
        </w:rPr>
        <w:t>is the area of the landfill in square metres, regardless of cover type, without active gas collection</w:t>
      </w:r>
      <w:r w:rsidRPr="0005417A">
        <w:t>.</w:t>
      </w:r>
    </w:p>
    <w:p w14:paraId="0B797D0A" w14:textId="77777777" w:rsidR="002A421D" w:rsidRDefault="002A421D" w:rsidP="002A421D">
      <w:pPr>
        <w:pStyle w:val="Definition"/>
        <w:rPr>
          <w:szCs w:val="22"/>
        </w:rPr>
      </w:pPr>
      <w:r>
        <w:rPr>
          <w:b/>
          <w:bCs/>
          <w:i/>
          <w:iCs/>
          <w:szCs w:val="22"/>
        </w:rPr>
        <w:t xml:space="preserve">A3 </w:t>
      </w:r>
      <w:r>
        <w:rPr>
          <w:szCs w:val="22"/>
        </w:rPr>
        <w:t>is the area of the landfill in square metres that has daily soil cover and active gas collection.</w:t>
      </w:r>
    </w:p>
    <w:p w14:paraId="4EBE9151" w14:textId="77777777" w:rsidR="002A421D" w:rsidRPr="002F2AF2" w:rsidRDefault="002A421D" w:rsidP="002A421D">
      <w:pPr>
        <w:spacing w:before="180" w:line="240" w:lineRule="auto"/>
        <w:ind w:left="1134"/>
        <w:rPr>
          <w:rFonts w:eastAsia="Times New Roman"/>
          <w:color w:val="auto"/>
          <w:lang w:eastAsia="en-AU"/>
        </w:rPr>
      </w:pPr>
      <w:r w:rsidRPr="002F2AF2">
        <w:rPr>
          <w:rFonts w:eastAsia="Times New Roman"/>
          <w:b/>
          <w:i/>
          <w:color w:val="auto"/>
          <w:lang w:eastAsia="en-AU"/>
        </w:rPr>
        <w:t>A4</w:t>
      </w:r>
      <w:r w:rsidRPr="002F2AF2">
        <w:rPr>
          <w:rFonts w:eastAsia="Times New Roman"/>
          <w:color w:val="auto"/>
          <w:lang w:eastAsia="en-AU"/>
        </w:rPr>
        <w:t xml:space="preserve"> is the area of the landfill in square metres that has active gas collection and:</w:t>
      </w:r>
    </w:p>
    <w:p w14:paraId="7FD9C277" w14:textId="77777777" w:rsidR="002A421D" w:rsidRPr="002F2AF2" w:rsidRDefault="002A421D" w:rsidP="002A421D">
      <w:pPr>
        <w:tabs>
          <w:tab w:val="right" w:pos="1531"/>
        </w:tabs>
        <w:spacing w:before="40" w:line="240" w:lineRule="auto"/>
        <w:ind w:left="1644" w:hanging="1644"/>
        <w:rPr>
          <w:rFonts w:eastAsia="Times New Roman"/>
          <w:color w:val="auto"/>
          <w:lang w:eastAsia="en-AU"/>
        </w:rPr>
      </w:pPr>
      <w:r w:rsidRPr="002F2AF2">
        <w:rPr>
          <w:rFonts w:eastAsia="Times New Roman"/>
          <w:color w:val="auto"/>
          <w:lang w:eastAsia="en-AU"/>
        </w:rPr>
        <w:tab/>
        <w:t>(a)</w:t>
      </w:r>
      <w:r w:rsidRPr="002F2AF2">
        <w:rPr>
          <w:rFonts w:eastAsia="Times New Roman"/>
          <w:color w:val="auto"/>
          <w:lang w:eastAsia="en-AU"/>
        </w:rPr>
        <w:tab/>
        <w:t>an intermediate cover</w:t>
      </w:r>
      <w:r>
        <w:rPr>
          <w:rFonts w:eastAsia="Times New Roman"/>
          <w:color w:val="auto"/>
          <w:lang w:eastAsia="en-AU"/>
        </w:rPr>
        <w:t xml:space="preserve"> in place; or</w:t>
      </w:r>
    </w:p>
    <w:p w14:paraId="60063A9A" w14:textId="77777777" w:rsidR="002A421D" w:rsidRDefault="002A421D" w:rsidP="002A421D">
      <w:pPr>
        <w:tabs>
          <w:tab w:val="right" w:pos="1531"/>
        </w:tabs>
        <w:spacing w:before="40" w:line="240" w:lineRule="auto"/>
        <w:ind w:left="1644" w:hanging="1644"/>
        <w:rPr>
          <w:rFonts w:eastAsia="Times New Roman"/>
          <w:color w:val="auto"/>
          <w:lang w:eastAsia="en-AU"/>
        </w:rPr>
      </w:pPr>
      <w:r w:rsidRPr="002F2AF2">
        <w:rPr>
          <w:rFonts w:eastAsia="Times New Roman"/>
          <w:color w:val="auto"/>
          <w:lang w:eastAsia="en-AU"/>
        </w:rPr>
        <w:tab/>
        <w:t>(b)</w:t>
      </w:r>
      <w:r w:rsidRPr="002F2AF2">
        <w:rPr>
          <w:rFonts w:eastAsia="Times New Roman"/>
          <w:color w:val="auto"/>
          <w:lang w:eastAsia="en-AU"/>
        </w:rPr>
        <w:tab/>
        <w:t xml:space="preserve">a final phytocap. </w:t>
      </w:r>
    </w:p>
    <w:p w14:paraId="6A030B05" w14:textId="39156290" w:rsidR="002A421D" w:rsidRPr="00532ADA" w:rsidRDefault="002A421D" w:rsidP="002A421D">
      <w:pPr>
        <w:pStyle w:val="Definition"/>
        <w:rPr>
          <w:color w:val="auto"/>
        </w:rPr>
      </w:pPr>
      <w:r>
        <w:rPr>
          <w:b/>
          <w:bCs/>
          <w:i/>
          <w:iCs/>
          <w:szCs w:val="22"/>
        </w:rPr>
        <w:t xml:space="preserve">A5 </w:t>
      </w:r>
      <w:r w:rsidRPr="00A54204">
        <w:rPr>
          <w:color w:val="auto"/>
        </w:rPr>
        <w:t>is the area of the landfill in square metres that has active gas collection and final capping in place (excluding phytocaps)</w:t>
      </w:r>
      <w:r w:rsidR="008D15DE">
        <w:rPr>
          <w:color w:val="auto"/>
        </w:rPr>
        <w:t xml:space="preserve"> as approved under applicable State or Territory legislation</w:t>
      </w:r>
      <w:r>
        <w:rPr>
          <w:color w:val="auto"/>
        </w:rPr>
        <w:t>.</w:t>
      </w:r>
    </w:p>
    <w:p w14:paraId="11CAC04C" w14:textId="2BF8FFFD" w:rsidR="002A421D" w:rsidRDefault="002A421D" w:rsidP="002A421D">
      <w:pPr>
        <w:pStyle w:val="subsection"/>
      </w:pPr>
      <w:r w:rsidRPr="0005417A">
        <w:tab/>
        <w:t>(</w:t>
      </w:r>
      <w:r>
        <w:t>2</w:t>
      </w:r>
      <w:r w:rsidRPr="0005417A">
        <w:t>)</w:t>
      </w:r>
      <w:r w:rsidRPr="0005417A">
        <w:tab/>
        <w:t xml:space="preserve">For </w:t>
      </w:r>
      <w:r>
        <w:rPr>
          <w:b/>
          <w:bCs/>
          <w:i/>
          <w:iCs/>
        </w:rPr>
        <w:t>A4</w:t>
      </w:r>
      <w:r w:rsidRPr="008F4E3B">
        <w:t xml:space="preserve">, </w:t>
      </w:r>
      <w:r>
        <w:t>the intermediate cover in place must be consistent with:</w:t>
      </w:r>
    </w:p>
    <w:p w14:paraId="2A3FD24B" w14:textId="1620C4B6" w:rsidR="002A421D" w:rsidRDefault="002A421D" w:rsidP="002A421D">
      <w:pPr>
        <w:tabs>
          <w:tab w:val="right" w:pos="1531"/>
        </w:tabs>
        <w:spacing w:before="40" w:line="240" w:lineRule="auto"/>
        <w:ind w:left="1644" w:hanging="1644"/>
      </w:pPr>
      <w:r w:rsidRPr="002F2AF2">
        <w:rPr>
          <w:rFonts w:eastAsia="Times New Roman"/>
          <w:color w:val="auto"/>
          <w:lang w:eastAsia="en-AU"/>
        </w:rPr>
        <w:tab/>
        <w:t>(</w:t>
      </w:r>
      <w:r>
        <w:rPr>
          <w:rFonts w:eastAsia="Times New Roman"/>
          <w:color w:val="auto"/>
          <w:lang w:eastAsia="en-AU"/>
        </w:rPr>
        <w:t>a</w:t>
      </w:r>
      <w:r w:rsidRPr="002F2AF2">
        <w:rPr>
          <w:rFonts w:eastAsia="Times New Roman"/>
          <w:color w:val="auto"/>
          <w:lang w:eastAsia="en-AU"/>
        </w:rPr>
        <w:t>)</w:t>
      </w:r>
      <w:r w:rsidRPr="002F2AF2">
        <w:rPr>
          <w:rFonts w:eastAsia="Times New Roman"/>
          <w:color w:val="auto"/>
          <w:lang w:eastAsia="en-AU"/>
        </w:rPr>
        <w:tab/>
      </w:r>
      <w:r>
        <w:rPr>
          <w:rFonts w:eastAsia="Times New Roman"/>
          <w:color w:val="auto"/>
          <w:lang w:eastAsia="en-AU"/>
        </w:rPr>
        <w:t xml:space="preserve">applicable </w:t>
      </w:r>
      <w:r w:rsidR="0032259A">
        <w:rPr>
          <w:rFonts w:eastAsia="Times New Roman"/>
          <w:color w:val="auto"/>
          <w:lang w:eastAsia="en-AU"/>
        </w:rPr>
        <w:t xml:space="preserve">guidance issued </w:t>
      </w:r>
      <w:r>
        <w:t xml:space="preserve">by the State </w:t>
      </w:r>
      <w:r w:rsidR="00381933">
        <w:t>or</w:t>
      </w:r>
      <w:r>
        <w:t xml:space="preserve"> Territory</w:t>
      </w:r>
      <w:r w:rsidR="0032259A">
        <w:t xml:space="preserve"> in </w:t>
      </w:r>
      <w:r>
        <w:t xml:space="preserve">which the landfill is located; or </w:t>
      </w:r>
    </w:p>
    <w:p w14:paraId="7AC29451" w14:textId="23B4D772" w:rsidR="0054659D" w:rsidRDefault="002A421D" w:rsidP="0054659D">
      <w:pPr>
        <w:tabs>
          <w:tab w:val="right" w:pos="1531"/>
        </w:tabs>
        <w:spacing w:before="40" w:line="240" w:lineRule="auto"/>
        <w:ind w:left="1644" w:hanging="1644"/>
        <w:rPr>
          <w:szCs w:val="22"/>
        </w:rPr>
      </w:pPr>
      <w:r>
        <w:rPr>
          <w:rFonts w:eastAsia="Times New Roman"/>
          <w:color w:val="auto"/>
          <w:lang w:eastAsia="en-AU"/>
        </w:rPr>
        <w:tab/>
      </w:r>
      <w:r w:rsidRPr="002F2AF2">
        <w:rPr>
          <w:rFonts w:eastAsia="Times New Roman"/>
          <w:color w:val="auto"/>
          <w:lang w:eastAsia="en-AU"/>
        </w:rPr>
        <w:t>(</w:t>
      </w:r>
      <w:r>
        <w:rPr>
          <w:rFonts w:eastAsia="Times New Roman"/>
          <w:color w:val="auto"/>
          <w:lang w:eastAsia="en-AU"/>
        </w:rPr>
        <w:t>b</w:t>
      </w:r>
      <w:r w:rsidRPr="002F2AF2">
        <w:rPr>
          <w:rFonts w:eastAsia="Times New Roman"/>
          <w:color w:val="auto"/>
          <w:lang w:eastAsia="en-AU"/>
        </w:rPr>
        <w:t>)</w:t>
      </w:r>
      <w:r w:rsidRPr="002F2AF2">
        <w:rPr>
          <w:rFonts w:eastAsia="Times New Roman"/>
          <w:color w:val="auto"/>
          <w:lang w:eastAsia="en-AU"/>
        </w:rPr>
        <w:tab/>
      </w:r>
      <w:r>
        <w:rPr>
          <w:szCs w:val="22"/>
        </w:rPr>
        <w:t xml:space="preserve">if no </w:t>
      </w:r>
      <w:r w:rsidR="0032259A">
        <w:rPr>
          <w:szCs w:val="22"/>
        </w:rPr>
        <w:t xml:space="preserve">applicable </w:t>
      </w:r>
      <w:r>
        <w:rPr>
          <w:szCs w:val="22"/>
        </w:rPr>
        <w:t>guidance has been issued by the State or Territory in which the landfill is located</w:t>
      </w:r>
      <w:r w:rsidR="003F67ED">
        <w:rPr>
          <w:szCs w:val="22"/>
        </w:rPr>
        <w:t>:</w:t>
      </w:r>
    </w:p>
    <w:p w14:paraId="6D7340F0" w14:textId="1EEB9CA0" w:rsidR="002A421D" w:rsidRDefault="003F67ED" w:rsidP="0054659D">
      <w:pPr>
        <w:tabs>
          <w:tab w:val="right" w:pos="2268"/>
        </w:tabs>
        <w:spacing w:before="40" w:line="240" w:lineRule="auto"/>
        <w:ind w:left="2127" w:hanging="426"/>
      </w:pPr>
      <w:r>
        <w:t>(i)</w:t>
      </w:r>
      <w:r w:rsidR="0054659D">
        <w:tab/>
      </w:r>
      <w:r w:rsidR="002A421D">
        <w:t xml:space="preserve">the document entitled </w:t>
      </w:r>
      <w:r w:rsidR="002A421D" w:rsidRPr="002A421D">
        <w:rPr>
          <w:i/>
        </w:rPr>
        <w:t>Siting, design, operation and rehabilitation of landfills</w:t>
      </w:r>
      <w:r w:rsidR="002A421D">
        <w:t xml:space="preserve"> (Publication 788.3), </w:t>
      </w:r>
      <w:r w:rsidR="002A421D" w:rsidRPr="002A421D">
        <w:t xml:space="preserve">published by </w:t>
      </w:r>
      <w:r w:rsidR="00D51BB2">
        <w:t xml:space="preserve">the </w:t>
      </w:r>
      <w:r w:rsidR="002A421D" w:rsidRPr="002A421D">
        <w:t>Environment Protection Authority Victoria</w:t>
      </w:r>
      <w:r w:rsidR="00D51647">
        <w:t xml:space="preserve"> in August 2015</w:t>
      </w:r>
      <w:r w:rsidR="002A421D" w:rsidRPr="002A421D">
        <w:t xml:space="preserve">, as </w:t>
      </w:r>
      <w:r w:rsidR="00AD7661">
        <w:t xml:space="preserve">in force or existing </w:t>
      </w:r>
      <w:r w:rsidR="002A421D" w:rsidRPr="002A421D">
        <w:t>from time to time</w:t>
      </w:r>
      <w:r w:rsidR="004B49E1">
        <w:t>;</w:t>
      </w:r>
      <w:r w:rsidR="00BB6B53">
        <w:t xml:space="preserve"> or</w:t>
      </w:r>
    </w:p>
    <w:p w14:paraId="51612720" w14:textId="641C6574" w:rsidR="00BB6B53" w:rsidRPr="004244DF" w:rsidRDefault="003F67ED" w:rsidP="004244DF">
      <w:pPr>
        <w:tabs>
          <w:tab w:val="right" w:pos="1701"/>
          <w:tab w:val="right" w:pos="2268"/>
        </w:tabs>
        <w:spacing w:before="40" w:line="240" w:lineRule="auto"/>
        <w:ind w:left="2127" w:hanging="426"/>
      </w:pPr>
      <w:r w:rsidRPr="002F2AF2">
        <w:rPr>
          <w:rFonts w:eastAsia="Times New Roman"/>
          <w:color w:val="auto"/>
          <w:lang w:eastAsia="en-AU"/>
        </w:rPr>
        <w:t>(</w:t>
      </w:r>
      <w:r w:rsidR="007E539E">
        <w:rPr>
          <w:rFonts w:eastAsia="Times New Roman"/>
          <w:color w:val="auto"/>
          <w:lang w:eastAsia="en-AU"/>
        </w:rPr>
        <w:t>ii</w:t>
      </w:r>
      <w:r w:rsidRPr="002F2AF2">
        <w:rPr>
          <w:rFonts w:eastAsia="Times New Roman"/>
          <w:color w:val="auto"/>
          <w:lang w:eastAsia="en-AU"/>
        </w:rPr>
        <w:t>)</w:t>
      </w:r>
      <w:r w:rsidRPr="002F2AF2">
        <w:rPr>
          <w:rFonts w:eastAsia="Times New Roman"/>
          <w:color w:val="auto"/>
          <w:lang w:eastAsia="en-AU"/>
        </w:rPr>
        <w:tab/>
      </w:r>
      <w:r w:rsidR="004B49E1">
        <w:rPr>
          <w:szCs w:val="22"/>
        </w:rPr>
        <w:t xml:space="preserve">the last published version of </w:t>
      </w:r>
      <w:r w:rsidR="007E539E">
        <w:rPr>
          <w:szCs w:val="22"/>
        </w:rPr>
        <w:t xml:space="preserve">the document referred to </w:t>
      </w:r>
      <w:r w:rsidR="00696D62">
        <w:rPr>
          <w:szCs w:val="22"/>
        </w:rPr>
        <w:t xml:space="preserve">in </w:t>
      </w:r>
      <w:r w:rsidR="007E539E">
        <w:rPr>
          <w:szCs w:val="22"/>
        </w:rPr>
        <w:t>subparagraph</w:t>
      </w:r>
      <w:r w:rsidR="00696D62">
        <w:rPr>
          <w:szCs w:val="22"/>
        </w:rPr>
        <w:t> </w:t>
      </w:r>
      <w:r w:rsidR="007E539E">
        <w:rPr>
          <w:szCs w:val="22"/>
        </w:rPr>
        <w:t>(i)</w:t>
      </w:r>
      <w:r w:rsidR="004B49E1">
        <w:rPr>
          <w:szCs w:val="22"/>
        </w:rPr>
        <w:t>, if that document</w:t>
      </w:r>
      <w:r w:rsidR="007E539E">
        <w:rPr>
          <w:szCs w:val="22"/>
        </w:rPr>
        <w:t xml:space="preserve"> is </w:t>
      </w:r>
      <w:r w:rsidR="00BB6B53">
        <w:rPr>
          <w:szCs w:val="22"/>
        </w:rPr>
        <w:t xml:space="preserve">no longer </w:t>
      </w:r>
      <w:r w:rsidR="007E539E">
        <w:rPr>
          <w:szCs w:val="22"/>
        </w:rPr>
        <w:t>publish</w:t>
      </w:r>
      <w:r w:rsidR="00BB6B53">
        <w:rPr>
          <w:szCs w:val="22"/>
        </w:rPr>
        <w:t>ed.</w:t>
      </w:r>
    </w:p>
    <w:p w14:paraId="798F3224" w14:textId="77777777" w:rsidR="002A421D" w:rsidRPr="002A421D" w:rsidRDefault="002A421D" w:rsidP="002A421D">
      <w:pPr>
        <w:pStyle w:val="subsection"/>
      </w:pPr>
      <w:r>
        <w:rPr>
          <w:color w:val="auto"/>
        </w:rPr>
        <w:tab/>
      </w:r>
      <w:r w:rsidRPr="0005417A">
        <w:t>(</w:t>
      </w:r>
      <w:r>
        <w:t>3</w:t>
      </w:r>
      <w:r w:rsidRPr="0005417A">
        <w:t>)</w:t>
      </w:r>
      <w:r w:rsidRPr="0005417A">
        <w:tab/>
      </w:r>
      <w:r w:rsidRPr="00A54204">
        <w:rPr>
          <w:color w:val="auto"/>
        </w:rPr>
        <w:t>Where a landfill operator is unable to specify the areas for the factors A2, A3, A4 and A5 in subsection (1), the collection efficiency limit for the landfill is calculated using the following formula:</w:t>
      </w:r>
    </w:p>
    <w:p w14:paraId="05839222" w14:textId="0038C410" w:rsidR="002A421D" w:rsidRDefault="007E5B09" w:rsidP="002A421D">
      <w:pPr>
        <w:spacing w:before="40" w:line="240" w:lineRule="auto"/>
        <w:ind w:left="1134"/>
        <w:rPr>
          <w:rFonts w:eastAsia="Times New Roman"/>
          <w:color w:val="auto"/>
          <w:lang w:eastAsia="en-AU"/>
        </w:rPr>
      </w:pPr>
      <w:r w:rsidRPr="00917C95">
        <w:rPr>
          <w:noProof/>
        </w:rPr>
        <w:lastRenderedPageBreak/>
        <w:drawing>
          <wp:inline distT="0" distB="0" distL="0" distR="0" wp14:anchorId="1CC64400" wp14:editId="7F81E4CA">
            <wp:extent cx="3969622" cy="427498"/>
            <wp:effectExtent l="0" t="0" r="0" b="0"/>
            <wp:docPr id="7" name="Picture 7" descr="A formula for calculating the collection efficiency limit for a landfill, calculated as area of the landfill in square metres with active gas collection, multiplied by 60%, divided by the total area of the landfill in square met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074929" cy="438839"/>
                    </a:xfrm>
                    <a:prstGeom prst="rect">
                      <a:avLst/>
                    </a:prstGeom>
                  </pic:spPr>
                </pic:pic>
              </a:graphicData>
            </a:graphic>
          </wp:inline>
        </w:drawing>
      </w:r>
    </w:p>
    <w:p w14:paraId="017C006B" w14:textId="505BB2C0" w:rsidR="005E317F" w:rsidRDefault="00E8058E" w:rsidP="005E317F">
      <w:pPr>
        <w:pStyle w:val="ItemHead"/>
      </w:pPr>
      <w:r>
        <w:t>1</w:t>
      </w:r>
      <w:r w:rsidR="002F2AF2">
        <w:t>7</w:t>
      </w:r>
      <w:r w:rsidR="005E317F">
        <w:t xml:space="preserve">  </w:t>
      </w:r>
      <w:r w:rsidR="00877C3A">
        <w:t>Chapter 7</w:t>
      </w:r>
    </w:p>
    <w:p w14:paraId="0D28C93D" w14:textId="60FE8703" w:rsidR="005E317F" w:rsidRDefault="00877C3A" w:rsidP="005E317F">
      <w:pPr>
        <w:pStyle w:val="Item"/>
      </w:pPr>
      <w:r>
        <w:t>Repeal the Chapter, substitute:</w:t>
      </w:r>
    </w:p>
    <w:p w14:paraId="1F8E6EA2" w14:textId="77777777" w:rsidR="00142F98" w:rsidRPr="00142F98" w:rsidRDefault="00142F98" w:rsidP="00142F98">
      <w:pPr>
        <w:pStyle w:val="ItemHead"/>
        <w:spacing w:before="0"/>
        <w:rPr>
          <w:sz w:val="20"/>
        </w:rPr>
      </w:pPr>
    </w:p>
    <w:p w14:paraId="70BCDDC2" w14:textId="77777777" w:rsidR="00877C3A" w:rsidRPr="0005417A" w:rsidRDefault="00877C3A" w:rsidP="00877C3A">
      <w:pPr>
        <w:pStyle w:val="ActHead1"/>
      </w:pPr>
      <w:bookmarkStart w:id="14" w:name="_Toc107314721"/>
      <w:bookmarkStart w:id="15" w:name="_Toc128148165"/>
      <w:r w:rsidRPr="0005417A">
        <w:rPr>
          <w:rStyle w:val="CharChapNo"/>
        </w:rPr>
        <w:t>Chapter 7</w:t>
      </w:r>
      <w:r w:rsidRPr="0005417A">
        <w:t>—</w:t>
      </w:r>
      <w:r w:rsidRPr="0005417A">
        <w:rPr>
          <w:rStyle w:val="CharChapText"/>
        </w:rPr>
        <w:t>Scope 2 emissions</w:t>
      </w:r>
      <w:bookmarkEnd w:id="14"/>
      <w:bookmarkEnd w:id="15"/>
    </w:p>
    <w:p w14:paraId="18945473" w14:textId="77777777" w:rsidR="00877C3A" w:rsidRPr="0005417A" w:rsidRDefault="00877C3A" w:rsidP="00877C3A">
      <w:pPr>
        <w:pStyle w:val="Header"/>
      </w:pPr>
      <w:r w:rsidRPr="0005417A">
        <w:rPr>
          <w:rStyle w:val="CharPartNo"/>
        </w:rPr>
        <w:t xml:space="preserve"> </w:t>
      </w:r>
      <w:r w:rsidRPr="0005417A">
        <w:rPr>
          <w:rStyle w:val="CharPartText"/>
        </w:rPr>
        <w:t xml:space="preserve"> </w:t>
      </w:r>
    </w:p>
    <w:p w14:paraId="0D78907B" w14:textId="77777777" w:rsidR="00877C3A" w:rsidRPr="0005417A" w:rsidRDefault="00877C3A" w:rsidP="00877C3A">
      <w:pPr>
        <w:pStyle w:val="Header"/>
      </w:pPr>
      <w:r w:rsidRPr="0005417A">
        <w:rPr>
          <w:rStyle w:val="CharDivNo"/>
        </w:rPr>
        <w:t xml:space="preserve"> </w:t>
      </w:r>
      <w:r w:rsidRPr="0005417A">
        <w:rPr>
          <w:rStyle w:val="CharDivText"/>
        </w:rPr>
        <w:t xml:space="preserve"> </w:t>
      </w:r>
    </w:p>
    <w:p w14:paraId="654B63D9" w14:textId="77777777" w:rsidR="00877C3A" w:rsidRPr="0005417A" w:rsidRDefault="00877C3A" w:rsidP="00877C3A">
      <w:pPr>
        <w:pStyle w:val="ActHead5"/>
      </w:pPr>
      <w:bookmarkStart w:id="16" w:name="_Toc107314722"/>
      <w:bookmarkStart w:id="17" w:name="_Toc128148166"/>
      <w:r w:rsidRPr="0005417A">
        <w:rPr>
          <w:rStyle w:val="CharSectno"/>
        </w:rPr>
        <w:t>7.1</w:t>
      </w:r>
      <w:r w:rsidRPr="0005417A">
        <w:t xml:space="preserve">  Application</w:t>
      </w:r>
      <w:bookmarkEnd w:id="16"/>
      <w:bookmarkEnd w:id="17"/>
    </w:p>
    <w:p w14:paraId="17E0D94B" w14:textId="77777777" w:rsidR="000C5C47" w:rsidRDefault="00877C3A" w:rsidP="00877C3A">
      <w:pPr>
        <w:pStyle w:val="subsection"/>
      </w:pPr>
      <w:r w:rsidRPr="0005417A">
        <w:tab/>
        <w:t>(1)</w:t>
      </w:r>
      <w:r w:rsidRPr="0005417A">
        <w:tab/>
        <w:t>This Chapter specifies</w:t>
      </w:r>
      <w:r w:rsidR="000C5C47">
        <w:t>:</w:t>
      </w:r>
    </w:p>
    <w:p w14:paraId="21E33AB7" w14:textId="4C3D7BE2" w:rsidR="000C5C47" w:rsidRPr="0005417A" w:rsidRDefault="000C5C47" w:rsidP="000C5C47">
      <w:pPr>
        <w:pStyle w:val="paragraph"/>
      </w:pPr>
      <w:r w:rsidRPr="0005417A">
        <w:tab/>
        <w:t>(a)</w:t>
      </w:r>
      <w:r w:rsidRPr="0005417A">
        <w:tab/>
      </w:r>
      <w:r>
        <w:t>compulsory</w:t>
      </w:r>
      <w:r w:rsidRPr="0005417A">
        <w:t xml:space="preserve"> </w:t>
      </w:r>
      <w:r w:rsidR="00893A07">
        <w:t xml:space="preserve">location-based </w:t>
      </w:r>
      <w:r w:rsidRPr="0005417A">
        <w:t>method</w:t>
      </w:r>
      <w:r w:rsidR="00EB6F07">
        <w:t>s</w:t>
      </w:r>
      <w:r w:rsidRPr="0005417A">
        <w:t xml:space="preserve"> </w:t>
      </w:r>
      <w:r>
        <w:t>for</w:t>
      </w:r>
      <w:r w:rsidRPr="0005417A">
        <w:t xml:space="preserve"> determining scope 2 emissions from the consumption of purchased </w:t>
      </w:r>
      <w:r w:rsidR="00CD2078">
        <w:t xml:space="preserve">or acquired </w:t>
      </w:r>
      <w:r w:rsidRPr="0005417A">
        <w:t>electricity, or the loss of electricity from an electricity transmission network or distribution network</w:t>
      </w:r>
      <w:r w:rsidR="0063603B">
        <w:t xml:space="preserve"> (</w:t>
      </w:r>
      <w:r w:rsidR="00537A97">
        <w:t>m</w:t>
      </w:r>
      <w:r w:rsidR="005E3009">
        <w:t xml:space="preserve">ethod A1 under </w:t>
      </w:r>
      <w:r w:rsidR="0063603B">
        <w:t xml:space="preserve">section 7.2 and </w:t>
      </w:r>
      <w:r w:rsidR="00537A97">
        <w:t>m</w:t>
      </w:r>
      <w:r w:rsidR="005E3009">
        <w:t xml:space="preserve">ethod A2 under section </w:t>
      </w:r>
      <w:r w:rsidR="0063603B">
        <w:t>7.3)</w:t>
      </w:r>
      <w:r>
        <w:t>;</w:t>
      </w:r>
      <w:r w:rsidRPr="0005417A">
        <w:t xml:space="preserve"> and</w:t>
      </w:r>
    </w:p>
    <w:p w14:paraId="25504225" w14:textId="5BEB1EAF" w:rsidR="000C5C47" w:rsidRPr="0005417A" w:rsidRDefault="000C5C47" w:rsidP="000C5C47">
      <w:pPr>
        <w:pStyle w:val="paragraph"/>
      </w:pPr>
      <w:r w:rsidRPr="0005417A">
        <w:tab/>
        <w:t>(b)</w:t>
      </w:r>
      <w:r w:rsidRPr="0005417A">
        <w:tab/>
      </w:r>
      <w:r>
        <w:t xml:space="preserve">a voluntary market-based method for determining scope 2 emissions from the consumption of purchased </w:t>
      </w:r>
      <w:r w:rsidR="00CD2078">
        <w:t xml:space="preserve">or acquired </w:t>
      </w:r>
      <w:r>
        <w:t>electricity</w:t>
      </w:r>
      <w:r w:rsidR="0063603B">
        <w:t xml:space="preserve"> (</w:t>
      </w:r>
      <w:r w:rsidR="00537A97">
        <w:t>m</w:t>
      </w:r>
      <w:r w:rsidR="00960B61">
        <w:t xml:space="preserve">ethod B under </w:t>
      </w:r>
      <w:r w:rsidR="0063603B">
        <w:t>section 7.4)</w:t>
      </w:r>
      <w:r w:rsidRPr="0005417A">
        <w:t>.</w:t>
      </w:r>
    </w:p>
    <w:p w14:paraId="0AB26C53" w14:textId="6605124A" w:rsidR="00F52C2A" w:rsidRPr="0005417A" w:rsidRDefault="00877C3A" w:rsidP="00F52C2A">
      <w:pPr>
        <w:pStyle w:val="subsection"/>
      </w:pPr>
      <w:r w:rsidRPr="0005417A">
        <w:t xml:space="preserve"> </w:t>
      </w:r>
      <w:r w:rsidRPr="0005417A">
        <w:tab/>
        <w:t>(2)</w:t>
      </w:r>
      <w:r w:rsidRPr="0005417A">
        <w:tab/>
      </w:r>
      <w:r w:rsidR="00F6496E">
        <w:t>Methods A1 and A2</w:t>
      </w:r>
      <w:r w:rsidR="006E7CA7">
        <w:t xml:space="preserve"> </w:t>
      </w:r>
      <w:r w:rsidRPr="0005417A">
        <w:t>appl</w:t>
      </w:r>
      <w:r w:rsidR="00241425">
        <w:t>y</w:t>
      </w:r>
      <w:r w:rsidRPr="0005417A">
        <w:t xml:space="preserve"> if the amount of purchased electricity consumed from the operation of a facility during a year that results in scope 2 emissions is more than 20 000 kilowatt hours.</w:t>
      </w:r>
    </w:p>
    <w:p w14:paraId="4FB1A7AC" w14:textId="2E06D592" w:rsidR="00877C3A" w:rsidRDefault="00877C3A" w:rsidP="00877C3A">
      <w:pPr>
        <w:pStyle w:val="notetext"/>
      </w:pPr>
      <w:r w:rsidRPr="0005417A">
        <w:t>Note</w:t>
      </w:r>
      <w:r w:rsidR="00345C2E">
        <w:t xml:space="preserve"> 1</w:t>
      </w:r>
      <w:r w:rsidRPr="0005417A">
        <w:t xml:space="preserve">: </w:t>
      </w:r>
      <w:r w:rsidRPr="0005417A">
        <w:tab/>
        <w:t>Scope 2 emissions result from activities that generate electricity, heating, cooling or steam that is consumed by a facility but that do not form part of the facility (see regulation 2.24 of the Regulations).</w:t>
      </w:r>
    </w:p>
    <w:p w14:paraId="36021789" w14:textId="0876EE11" w:rsidR="00345C2E" w:rsidRDefault="00345C2E" w:rsidP="00877C3A">
      <w:pPr>
        <w:pStyle w:val="notetext"/>
      </w:pPr>
      <w:r>
        <w:t xml:space="preserve">Note 2: </w:t>
      </w:r>
      <w:r>
        <w:tab/>
        <w:t xml:space="preserve">An entity may use </w:t>
      </w:r>
      <w:r w:rsidR="003266C8">
        <w:t xml:space="preserve">the voluntary market-based </w:t>
      </w:r>
      <w:r>
        <w:t>method</w:t>
      </w:r>
      <w:r w:rsidR="00537A97">
        <w:t xml:space="preserve"> </w:t>
      </w:r>
      <w:r w:rsidR="00934C77">
        <w:t xml:space="preserve">(method B) </w:t>
      </w:r>
      <w:r>
        <w:t xml:space="preserve">in addition to the compulsory location-based methods </w:t>
      </w:r>
      <w:r w:rsidR="006E7CA7">
        <w:t>to estimate</w:t>
      </w:r>
      <w:r>
        <w:t xml:space="preserve"> scope 2 emissions. However, emissions </w:t>
      </w:r>
      <w:r w:rsidR="006E7CA7">
        <w:t>estimated</w:t>
      </w:r>
      <w:r>
        <w:t xml:space="preserve"> using the market-based method should not be aggregated with emissions </w:t>
      </w:r>
      <w:r w:rsidR="006E7CA7">
        <w:t>estimated</w:t>
      </w:r>
      <w:r>
        <w:t xml:space="preserve"> using a location-based method.</w:t>
      </w:r>
    </w:p>
    <w:p w14:paraId="79645776" w14:textId="4E51B3D4" w:rsidR="00537A97" w:rsidRDefault="00537A97" w:rsidP="00877C3A">
      <w:pPr>
        <w:pStyle w:val="notetext"/>
      </w:pPr>
      <w:r>
        <w:t xml:space="preserve">Note 3: </w:t>
      </w:r>
      <w:r>
        <w:tab/>
        <w:t xml:space="preserve">An entity may use the voluntary market-based method </w:t>
      </w:r>
      <w:r w:rsidR="00934C77">
        <w:t xml:space="preserve">(method B) </w:t>
      </w:r>
      <w:r>
        <w:t xml:space="preserve">regardless of the amount of purchased electricity consumed from the operation of a facility during a year. </w:t>
      </w:r>
    </w:p>
    <w:p w14:paraId="6D7A51B1" w14:textId="0EBECF01" w:rsidR="00877C3A" w:rsidRPr="0005417A" w:rsidRDefault="00877C3A" w:rsidP="00877C3A">
      <w:pPr>
        <w:pStyle w:val="ActHead5"/>
      </w:pPr>
      <w:bookmarkStart w:id="18" w:name="_Toc107314723"/>
      <w:bookmarkStart w:id="19" w:name="_Toc128148167"/>
      <w:r w:rsidRPr="0005417A">
        <w:rPr>
          <w:rStyle w:val="CharSectno"/>
        </w:rPr>
        <w:t>7.2</w:t>
      </w:r>
      <w:r w:rsidRPr="0005417A">
        <w:t xml:space="preserve">  Method </w:t>
      </w:r>
      <w:r w:rsidR="00D1222D">
        <w:t>A1</w:t>
      </w:r>
      <w:r w:rsidRPr="0005417A">
        <w:t>—</w:t>
      </w:r>
      <w:r w:rsidR="006607CB">
        <w:t>location-based</w:t>
      </w:r>
      <w:r w:rsidR="002559A6">
        <w:t xml:space="preserve"> method</w:t>
      </w:r>
      <w:r w:rsidR="00F6496E" w:rsidRPr="0005417A">
        <w:t>—</w:t>
      </w:r>
      <w:r w:rsidRPr="0005417A">
        <w:t xml:space="preserve">electricity </w:t>
      </w:r>
      <w:r w:rsidR="00693657">
        <w:t xml:space="preserve">purchased, acquired or lost </w:t>
      </w:r>
      <w:r w:rsidRPr="0005417A">
        <w:t>from main electricity grid in a State or Territory</w:t>
      </w:r>
      <w:bookmarkEnd w:id="18"/>
      <w:bookmarkEnd w:id="19"/>
    </w:p>
    <w:p w14:paraId="089CD5D6" w14:textId="7E6E21F5" w:rsidR="00877C3A" w:rsidRPr="0005417A" w:rsidRDefault="00877C3A" w:rsidP="00877C3A">
      <w:pPr>
        <w:pStyle w:val="subsection"/>
      </w:pPr>
      <w:r w:rsidRPr="0005417A">
        <w:tab/>
        <w:t>(1)</w:t>
      </w:r>
      <w:r w:rsidRPr="0005417A">
        <w:tab/>
        <w:t>The following method must be used for estimating scope 2 emissions from electricity purchased</w:t>
      </w:r>
      <w:r w:rsidR="00BA00F4">
        <w:t xml:space="preserve"> or acquired</w:t>
      </w:r>
      <w:r w:rsidRPr="0005417A">
        <w:t xml:space="preserve"> from the main electricity grid in a State or Territory and consumed from the operation of a facility during a year:</w:t>
      </w:r>
    </w:p>
    <w:p w14:paraId="03C420D4" w14:textId="77777777" w:rsidR="00877C3A" w:rsidRPr="0005417A" w:rsidRDefault="00877C3A" w:rsidP="00877C3A">
      <w:pPr>
        <w:pStyle w:val="subsection"/>
        <w:spacing w:before="120" w:after="120"/>
      </w:pPr>
      <w:r w:rsidRPr="0005417A">
        <w:tab/>
      </w:r>
      <w:r w:rsidRPr="0005417A">
        <w:tab/>
      </w:r>
      <w:r w:rsidRPr="0005417A">
        <w:rPr>
          <w:noProof/>
        </w:rPr>
        <w:drawing>
          <wp:inline distT="0" distB="0" distL="0" distR="0" wp14:anchorId="4A68CBF4" wp14:editId="680DD3D0">
            <wp:extent cx="952500" cy="393700"/>
            <wp:effectExtent l="0" t="0" r="0" b="6350"/>
            <wp:docPr id="173" name="Picture 173" descr="Y equals Q multiplied by EF over one thou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52500" cy="393700"/>
                    </a:xfrm>
                    <a:prstGeom prst="rect">
                      <a:avLst/>
                    </a:prstGeom>
                    <a:noFill/>
                    <a:ln>
                      <a:noFill/>
                    </a:ln>
                  </pic:spPr>
                </pic:pic>
              </a:graphicData>
            </a:graphic>
          </wp:inline>
        </w:drawing>
      </w:r>
    </w:p>
    <w:p w14:paraId="162C0D54" w14:textId="77777777" w:rsidR="00877C3A" w:rsidRPr="0005417A" w:rsidRDefault="00877C3A" w:rsidP="00877C3A">
      <w:pPr>
        <w:pStyle w:val="subsection2"/>
      </w:pPr>
      <w:r w:rsidRPr="0005417A">
        <w:t>where:</w:t>
      </w:r>
    </w:p>
    <w:p w14:paraId="33081EB7" w14:textId="77777777" w:rsidR="00877C3A" w:rsidRPr="0005417A" w:rsidRDefault="00877C3A" w:rsidP="00877C3A">
      <w:pPr>
        <w:pStyle w:val="Definition"/>
      </w:pPr>
      <w:r w:rsidRPr="0005417A">
        <w:rPr>
          <w:b/>
          <w:i/>
        </w:rPr>
        <w:t xml:space="preserve">Y </w:t>
      </w:r>
      <w:r w:rsidRPr="0005417A">
        <w:t>is the scope 2 emissions measured in CO</w:t>
      </w:r>
      <w:r w:rsidRPr="0005417A">
        <w:rPr>
          <w:rStyle w:val="charSubscript"/>
          <w:iCs/>
        </w:rPr>
        <w:t>2</w:t>
      </w:r>
      <w:r w:rsidRPr="0005417A">
        <w:noBreakHyphen/>
        <w:t>e tonnes.</w:t>
      </w:r>
    </w:p>
    <w:p w14:paraId="598F2C18" w14:textId="683E3CA4" w:rsidR="00877C3A" w:rsidRPr="0005417A" w:rsidRDefault="00877C3A" w:rsidP="00877C3A">
      <w:pPr>
        <w:pStyle w:val="Definition"/>
      </w:pPr>
      <w:r w:rsidRPr="0005417A">
        <w:rPr>
          <w:b/>
          <w:i/>
        </w:rPr>
        <w:t>Q</w:t>
      </w:r>
      <w:r w:rsidRPr="0005417A">
        <w:t xml:space="preserve"> is the quantity of electricity purchased </w:t>
      </w:r>
      <w:r w:rsidR="00BA00F4">
        <w:t xml:space="preserve">or acquired </w:t>
      </w:r>
      <w:r w:rsidRPr="0005417A">
        <w:t>from the electricity grid during the year and consumed from the operation of the facility measured in kilowatt hours.</w:t>
      </w:r>
    </w:p>
    <w:p w14:paraId="649B77D9" w14:textId="387208DB" w:rsidR="00877C3A" w:rsidRPr="0005417A" w:rsidRDefault="00877C3A" w:rsidP="00877C3A">
      <w:pPr>
        <w:pStyle w:val="Definition"/>
      </w:pPr>
      <w:r w:rsidRPr="0005417A">
        <w:rPr>
          <w:b/>
          <w:i/>
        </w:rPr>
        <w:lastRenderedPageBreak/>
        <w:t xml:space="preserve">EF </w:t>
      </w:r>
      <w:r w:rsidRPr="0005417A">
        <w:t xml:space="preserve">is the scope 2 </w:t>
      </w:r>
      <w:r w:rsidR="00BA00F4">
        <w:t xml:space="preserve">location-based </w:t>
      </w:r>
      <w:r w:rsidRPr="0005417A">
        <w:t>emission factor, in kilograms of CO</w:t>
      </w:r>
      <w:r w:rsidRPr="0005417A">
        <w:rPr>
          <w:rStyle w:val="charSubscript"/>
          <w:iCs/>
        </w:rPr>
        <w:t>2</w:t>
      </w:r>
      <w:r w:rsidRPr="0005417A">
        <w:noBreakHyphen/>
        <w:t>e emissions per kilowatt hour, for the State or Territory in which the consumption occurs as mentioned in Part 6 of Schedule 1.</w:t>
      </w:r>
    </w:p>
    <w:p w14:paraId="464A3898" w14:textId="5E86E883" w:rsidR="00877C3A" w:rsidRPr="0005417A" w:rsidRDefault="00877C3A" w:rsidP="00877C3A">
      <w:pPr>
        <w:pStyle w:val="subsection"/>
      </w:pPr>
      <w:r w:rsidRPr="0005417A">
        <w:tab/>
        <w:t>(1A)</w:t>
      </w:r>
      <w:r w:rsidRPr="0005417A">
        <w:tab/>
        <w:t>The method in subsection (1) must, subject to subsection (2), also be used for estimating scope 2 emissions released from electricity consumed from the operation of a facility during a year if the operation of the facility is constituted by an electricity transmission network or distribution network that is, or is part of, the main electricity grid in a State or Territory.</w:t>
      </w:r>
    </w:p>
    <w:p w14:paraId="2869F58A" w14:textId="77777777" w:rsidR="00877C3A" w:rsidRPr="0005417A" w:rsidRDefault="00877C3A" w:rsidP="00877C3A">
      <w:pPr>
        <w:pStyle w:val="subsection"/>
      </w:pPr>
      <w:r w:rsidRPr="0005417A">
        <w:tab/>
        <w:t>(2)</w:t>
      </w:r>
      <w:r w:rsidRPr="0005417A">
        <w:tab/>
        <w:t xml:space="preserve">In applying that method for the purposes of subsection (1A), </w:t>
      </w:r>
      <w:r w:rsidRPr="0005417A">
        <w:rPr>
          <w:b/>
          <w:i/>
        </w:rPr>
        <w:t>Q</w:t>
      </w:r>
      <w:r w:rsidRPr="0005417A">
        <w:t xml:space="preserve"> is the quantity of electricity losses for that network during the year.</w:t>
      </w:r>
    </w:p>
    <w:p w14:paraId="03FD6C34" w14:textId="079B3CC5" w:rsidR="00877C3A" w:rsidRPr="0005417A" w:rsidRDefault="00877C3A" w:rsidP="00877C3A">
      <w:pPr>
        <w:pStyle w:val="subsection"/>
      </w:pPr>
      <w:r w:rsidRPr="0005417A">
        <w:tab/>
        <w:t>(3)</w:t>
      </w:r>
      <w:r w:rsidRPr="0005417A">
        <w:tab/>
        <w:t xml:space="preserve">For </w:t>
      </w:r>
      <w:r w:rsidRPr="0005417A">
        <w:rPr>
          <w:b/>
          <w:i/>
        </w:rPr>
        <w:t>Q</w:t>
      </w:r>
      <w:r w:rsidRPr="0005417A">
        <w:t xml:space="preserve">, if the electricity purchased </w:t>
      </w:r>
      <w:r w:rsidR="00BA00F4">
        <w:t xml:space="preserve">or acquired </w:t>
      </w:r>
      <w:r w:rsidRPr="0005417A">
        <w:t xml:space="preserve">(or lost) is measured in gigajoules, the quantity of kilowatt hours must be calculated by dividing the amount </w:t>
      </w:r>
      <w:r w:rsidR="009D3E1D">
        <w:t xml:space="preserve">in </w:t>
      </w:r>
      <w:r w:rsidR="009D3E1D" w:rsidRPr="0005417A">
        <w:t xml:space="preserve"> </w:t>
      </w:r>
      <w:r w:rsidRPr="0005417A">
        <w:t>gigajoules by 0.0036.</w:t>
      </w:r>
    </w:p>
    <w:p w14:paraId="2C2CBBCB" w14:textId="77777777" w:rsidR="00877C3A" w:rsidRPr="0005417A" w:rsidRDefault="00877C3A" w:rsidP="00877C3A">
      <w:pPr>
        <w:pStyle w:val="subsection"/>
      </w:pPr>
      <w:r w:rsidRPr="0005417A">
        <w:tab/>
        <w:t>(4)</w:t>
      </w:r>
      <w:r w:rsidRPr="0005417A">
        <w:tab/>
        <w:t xml:space="preserve">The </w:t>
      </w:r>
      <w:r w:rsidRPr="0005417A">
        <w:rPr>
          <w:b/>
          <w:i/>
        </w:rPr>
        <w:t>main electricity grid</w:t>
      </w:r>
      <w:r w:rsidRPr="0005417A">
        <w:t>, for a State or Territory, means:</w:t>
      </w:r>
    </w:p>
    <w:p w14:paraId="4B2D175D" w14:textId="20152570" w:rsidR="00877C3A" w:rsidRDefault="00877C3A" w:rsidP="00877C3A">
      <w:pPr>
        <w:pStyle w:val="paragraph"/>
      </w:pPr>
      <w:r w:rsidRPr="0005417A">
        <w:tab/>
        <w:t>(a)</w:t>
      </w:r>
      <w:r w:rsidRPr="0005417A">
        <w:tab/>
        <w:t>for Western Australia—the Southwest Interconnected System; and</w:t>
      </w:r>
    </w:p>
    <w:p w14:paraId="07A22D74" w14:textId="6B3FC432" w:rsidR="00F607D9" w:rsidRPr="0005417A" w:rsidRDefault="00F607D9" w:rsidP="00F607D9">
      <w:pPr>
        <w:pStyle w:val="paragraph"/>
      </w:pPr>
      <w:r w:rsidRPr="0005417A">
        <w:tab/>
        <w:t>(</w:t>
      </w:r>
      <w:r>
        <w:t>b</w:t>
      </w:r>
      <w:r w:rsidRPr="0005417A">
        <w:t>)</w:t>
      </w:r>
      <w:r w:rsidRPr="0005417A">
        <w:tab/>
        <w:t xml:space="preserve">for </w:t>
      </w:r>
      <w:r w:rsidR="009C10E9">
        <w:t xml:space="preserve">the </w:t>
      </w:r>
      <w:r w:rsidRPr="009C10E9">
        <w:t>Northern Territory</w:t>
      </w:r>
      <w:r w:rsidR="00577011" w:rsidRPr="0005417A">
        <w:t>—</w:t>
      </w:r>
      <w:r w:rsidRPr="009C10E9">
        <w:t xml:space="preserve">the Darwin-Katherine Interconnected System; </w:t>
      </w:r>
      <w:r w:rsidR="009C10E9" w:rsidRPr="009C10E9">
        <w:t xml:space="preserve">and </w:t>
      </w:r>
    </w:p>
    <w:p w14:paraId="73B67B6D" w14:textId="73D239DC" w:rsidR="00F607D9" w:rsidRPr="0005417A" w:rsidRDefault="00F607D9" w:rsidP="00F607D9">
      <w:pPr>
        <w:pStyle w:val="paragraph"/>
      </w:pPr>
      <w:r w:rsidRPr="0005417A">
        <w:tab/>
        <w:t>(</w:t>
      </w:r>
      <w:r w:rsidR="009C10E9">
        <w:t>c</w:t>
      </w:r>
      <w:r w:rsidRPr="0005417A">
        <w:t>)</w:t>
      </w:r>
      <w:r w:rsidRPr="0005417A">
        <w:tab/>
        <w:t>for each other State or Territory—the</w:t>
      </w:r>
      <w:r w:rsidR="00902FEC">
        <w:rPr>
          <w:szCs w:val="22"/>
          <w:shd w:val="clear" w:color="auto" w:fill="FFFFFF"/>
        </w:rPr>
        <w:t xml:space="preserve"> electricity grid that provides electricity to the largest percentage of the State’s or Territory’s population.</w:t>
      </w:r>
    </w:p>
    <w:p w14:paraId="66CA4349" w14:textId="26B0E2E0" w:rsidR="00877C3A" w:rsidRPr="0005417A" w:rsidRDefault="00877C3A" w:rsidP="00877C3A">
      <w:pPr>
        <w:pStyle w:val="ActHead5"/>
      </w:pPr>
      <w:bookmarkStart w:id="20" w:name="_Toc107314724"/>
      <w:bookmarkStart w:id="21" w:name="_Toc128148168"/>
      <w:r w:rsidRPr="0005417A">
        <w:rPr>
          <w:rStyle w:val="CharSectno"/>
        </w:rPr>
        <w:t>7.3</w:t>
      </w:r>
      <w:r w:rsidRPr="0005417A">
        <w:t xml:space="preserve">  Method </w:t>
      </w:r>
      <w:r w:rsidR="00D1222D">
        <w:t>A2</w:t>
      </w:r>
      <w:r w:rsidRPr="0005417A">
        <w:t>—</w:t>
      </w:r>
      <w:r w:rsidR="00693657" w:rsidRPr="00693657">
        <w:t>l</w:t>
      </w:r>
      <w:r w:rsidR="00693657" w:rsidRPr="00C408F0">
        <w:t xml:space="preserve">ocation-based </w:t>
      </w:r>
      <w:r w:rsidR="00DE5380" w:rsidRPr="00C408F0">
        <w:t>method</w:t>
      </w:r>
      <w:r w:rsidR="00F6496E" w:rsidRPr="0005417A">
        <w:t>—</w:t>
      </w:r>
      <w:r w:rsidR="00DE5380" w:rsidRPr="00C408F0">
        <w:t>electricity</w:t>
      </w:r>
      <w:r w:rsidR="00DE5380" w:rsidRPr="00AD7661">
        <w:rPr>
          <w:kern w:val="0"/>
          <w:sz w:val="22"/>
        </w:rPr>
        <w:t xml:space="preserve"> </w:t>
      </w:r>
      <w:r w:rsidRPr="0005417A">
        <w:t>purchase</w:t>
      </w:r>
      <w:r w:rsidR="00DE5380">
        <w:t>d, acquired or</w:t>
      </w:r>
      <w:r w:rsidRPr="0005417A">
        <w:t xml:space="preserve"> </w:t>
      </w:r>
      <w:r w:rsidR="00DE5380">
        <w:t>lost</w:t>
      </w:r>
      <w:r w:rsidRPr="0005417A">
        <w:t xml:space="preserve"> from other sources</w:t>
      </w:r>
      <w:bookmarkEnd w:id="20"/>
      <w:bookmarkEnd w:id="21"/>
    </w:p>
    <w:p w14:paraId="78844373" w14:textId="28E7B0F5" w:rsidR="00877C3A" w:rsidRPr="0005417A" w:rsidRDefault="00877C3A" w:rsidP="00877C3A">
      <w:pPr>
        <w:pStyle w:val="subsection"/>
      </w:pPr>
      <w:r w:rsidRPr="0005417A">
        <w:tab/>
        <w:t>(1)</w:t>
      </w:r>
      <w:r w:rsidRPr="0005417A">
        <w:tab/>
        <w:t>The following formula must be used for estimating scope 2 emissions from electricity:</w:t>
      </w:r>
    </w:p>
    <w:p w14:paraId="051C7D41" w14:textId="20D577D9" w:rsidR="00877C3A" w:rsidRPr="0005417A" w:rsidRDefault="00877C3A" w:rsidP="00877C3A">
      <w:pPr>
        <w:pStyle w:val="paragraph"/>
      </w:pPr>
      <w:r w:rsidRPr="0005417A">
        <w:tab/>
        <w:t>(a)</w:t>
      </w:r>
      <w:r w:rsidRPr="0005417A">
        <w:tab/>
        <w:t xml:space="preserve">purchased </w:t>
      </w:r>
      <w:r w:rsidR="009C10E9">
        <w:t xml:space="preserve">or acquired </w:t>
      </w:r>
      <w:r w:rsidRPr="0005417A">
        <w:t xml:space="preserve">from </w:t>
      </w:r>
      <w:r w:rsidR="00D815D0">
        <w:t xml:space="preserve">an electricity transmission </w:t>
      </w:r>
      <w:r w:rsidR="00F52C2A">
        <w:t xml:space="preserve">network </w:t>
      </w:r>
      <w:r w:rsidR="00D815D0">
        <w:t xml:space="preserve">or distribution network </w:t>
      </w:r>
      <w:r w:rsidRPr="0005417A">
        <w:t>other than the main electricity grid in a State or Territory; and</w:t>
      </w:r>
    </w:p>
    <w:p w14:paraId="30FDDE70" w14:textId="77777777" w:rsidR="00877C3A" w:rsidRPr="0005417A" w:rsidRDefault="00877C3A" w:rsidP="00877C3A">
      <w:pPr>
        <w:pStyle w:val="paragraph"/>
      </w:pPr>
      <w:r w:rsidRPr="0005417A">
        <w:tab/>
        <w:t>(b)</w:t>
      </w:r>
      <w:r w:rsidRPr="0005417A">
        <w:tab/>
        <w:t>consumed from the operation of a facility during a year:</w:t>
      </w:r>
    </w:p>
    <w:p w14:paraId="164B2E87" w14:textId="77777777" w:rsidR="00877C3A" w:rsidRPr="0005417A" w:rsidRDefault="00877C3A" w:rsidP="00877C3A">
      <w:pPr>
        <w:pStyle w:val="paragraph"/>
        <w:spacing w:before="120" w:after="120"/>
      </w:pPr>
      <w:r w:rsidRPr="0005417A">
        <w:tab/>
      </w:r>
      <w:r w:rsidRPr="0005417A">
        <w:tab/>
      </w:r>
      <w:r w:rsidRPr="009C10E9">
        <w:rPr>
          <w:noProof/>
        </w:rPr>
        <w:drawing>
          <wp:inline distT="0" distB="0" distL="0" distR="0" wp14:anchorId="101D8F0F" wp14:editId="2684C2AF">
            <wp:extent cx="1123950" cy="393700"/>
            <wp:effectExtent l="0" t="0" r="0" b="6350"/>
            <wp:docPr id="174" name="Picture 174" descr="Y equals Q multiplied by EF over one thous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23950" cy="393700"/>
                    </a:xfrm>
                    <a:prstGeom prst="rect">
                      <a:avLst/>
                    </a:prstGeom>
                    <a:noFill/>
                    <a:ln>
                      <a:noFill/>
                    </a:ln>
                  </pic:spPr>
                </pic:pic>
              </a:graphicData>
            </a:graphic>
          </wp:inline>
        </w:drawing>
      </w:r>
    </w:p>
    <w:p w14:paraId="5D44C197" w14:textId="77777777" w:rsidR="00877C3A" w:rsidRPr="0005417A" w:rsidRDefault="00877C3A" w:rsidP="00877C3A">
      <w:pPr>
        <w:pStyle w:val="subsection2"/>
      </w:pPr>
      <w:r w:rsidRPr="0005417A">
        <w:t>where:</w:t>
      </w:r>
    </w:p>
    <w:p w14:paraId="31C3A1D0" w14:textId="7ACEAFB9" w:rsidR="00877C3A" w:rsidRPr="0005417A" w:rsidRDefault="00877C3A" w:rsidP="00877C3A">
      <w:pPr>
        <w:pStyle w:val="Definition"/>
      </w:pPr>
      <w:r w:rsidRPr="0005417A">
        <w:rPr>
          <w:b/>
          <w:i/>
        </w:rPr>
        <w:t xml:space="preserve">Y </w:t>
      </w:r>
      <w:r w:rsidRPr="0005417A">
        <w:t>is the scope 2 emissions measured in CO</w:t>
      </w:r>
      <w:r w:rsidRPr="0005417A">
        <w:rPr>
          <w:rStyle w:val="charsubscript0"/>
          <w:b/>
          <w:i/>
        </w:rPr>
        <w:t>2</w:t>
      </w:r>
      <w:r w:rsidRPr="0005417A">
        <w:noBreakHyphen/>
        <w:t>e tonnes.</w:t>
      </w:r>
    </w:p>
    <w:p w14:paraId="392367E1" w14:textId="73780CA6" w:rsidR="00877C3A" w:rsidRPr="0005417A" w:rsidRDefault="00877C3A" w:rsidP="00877C3A">
      <w:pPr>
        <w:pStyle w:val="Definition"/>
      </w:pPr>
      <w:r w:rsidRPr="0005417A">
        <w:rPr>
          <w:b/>
          <w:i/>
        </w:rPr>
        <w:t>Q</w:t>
      </w:r>
      <w:r w:rsidRPr="0005417A">
        <w:t xml:space="preserve"> is the quantity of electricity purchased</w:t>
      </w:r>
      <w:r w:rsidR="009C10E9">
        <w:t xml:space="preserve"> or acquired</w:t>
      </w:r>
      <w:r w:rsidRPr="0005417A">
        <w:t xml:space="preserve"> during the year and consumed from the operation of the facility, measured in kilowatt hours.</w:t>
      </w:r>
    </w:p>
    <w:p w14:paraId="1E54E8E0" w14:textId="48D2E8C5" w:rsidR="00877C3A" w:rsidRPr="0005417A" w:rsidRDefault="00877C3A" w:rsidP="00877C3A">
      <w:pPr>
        <w:pStyle w:val="Definition"/>
      </w:pPr>
      <w:r w:rsidRPr="0005417A">
        <w:rPr>
          <w:b/>
          <w:bCs/>
          <w:i/>
          <w:iCs/>
        </w:rPr>
        <w:t>E</w:t>
      </w:r>
      <w:r w:rsidRPr="0005417A">
        <w:rPr>
          <w:b/>
          <w:i/>
        </w:rPr>
        <w:t xml:space="preserve">F </w:t>
      </w:r>
      <w:r w:rsidRPr="0005417A">
        <w:t xml:space="preserve">is the scope 2 </w:t>
      </w:r>
      <w:r w:rsidR="009C10E9">
        <w:t xml:space="preserve">location-based </w:t>
      </w:r>
      <w:r w:rsidRPr="0005417A">
        <w:t>emission factor, in kilograms of CO</w:t>
      </w:r>
      <w:r w:rsidRPr="0005417A">
        <w:rPr>
          <w:rStyle w:val="charsubscript0"/>
          <w:b/>
          <w:i/>
        </w:rPr>
        <w:t>2</w:t>
      </w:r>
      <w:r w:rsidRPr="0005417A">
        <w:noBreakHyphen/>
        <w:t>e emissions per kilowatt hour, either:</w:t>
      </w:r>
    </w:p>
    <w:p w14:paraId="3A768D73" w14:textId="77777777" w:rsidR="00877C3A" w:rsidRPr="0005417A" w:rsidRDefault="00877C3A" w:rsidP="00877C3A">
      <w:pPr>
        <w:pStyle w:val="paragraph"/>
      </w:pPr>
      <w:r w:rsidRPr="0005417A">
        <w:tab/>
        <w:t>(a)</w:t>
      </w:r>
      <w:r w:rsidRPr="0005417A">
        <w:tab/>
        <w:t xml:space="preserve">provided by the supplier of the electricity; or </w:t>
      </w:r>
    </w:p>
    <w:p w14:paraId="711D57D4" w14:textId="77777777" w:rsidR="00877C3A" w:rsidRPr="0005417A" w:rsidRDefault="00877C3A" w:rsidP="00877C3A">
      <w:pPr>
        <w:pStyle w:val="paragraph"/>
      </w:pPr>
      <w:r w:rsidRPr="0005417A">
        <w:tab/>
        <w:t>(b)</w:t>
      </w:r>
      <w:r w:rsidRPr="0005417A">
        <w:tab/>
        <w:t>if that factor is not available, the emission factor for the Northern Territory as mentioned in Part 6 of Schedule 1.</w:t>
      </w:r>
    </w:p>
    <w:p w14:paraId="0298CD8F" w14:textId="455D5BC5" w:rsidR="00877C3A" w:rsidRPr="0005417A" w:rsidRDefault="00877C3A" w:rsidP="00877C3A">
      <w:pPr>
        <w:pStyle w:val="subsection"/>
      </w:pPr>
      <w:r w:rsidRPr="0005417A">
        <w:tab/>
        <w:t>(1A)</w:t>
      </w:r>
      <w:r w:rsidRPr="0005417A">
        <w:tab/>
        <w:t xml:space="preserve">The formula in subsection (1) must, subject to subsection (2), also be used for estimating scope 2 emissions released from electricity consumed from the operation of facility during a year if the operation of the facility is constituted by </w:t>
      </w:r>
      <w:r w:rsidRPr="0005417A">
        <w:lastRenderedPageBreak/>
        <w:t>an electricity transmission network or distribution network that is not, and is not part of, the main electricity grid in a State or Territory.</w:t>
      </w:r>
    </w:p>
    <w:p w14:paraId="3B129D7F" w14:textId="77777777" w:rsidR="00877C3A" w:rsidRPr="0005417A" w:rsidRDefault="00877C3A" w:rsidP="00877C3A">
      <w:pPr>
        <w:pStyle w:val="subsection"/>
      </w:pPr>
      <w:r w:rsidRPr="0005417A">
        <w:tab/>
        <w:t>(2)</w:t>
      </w:r>
      <w:r w:rsidRPr="0005417A">
        <w:tab/>
        <w:t xml:space="preserve">In applying that formula for the purposes of subsection (1A), </w:t>
      </w:r>
      <w:r w:rsidRPr="0005417A">
        <w:rPr>
          <w:b/>
          <w:i/>
        </w:rPr>
        <w:t>Q</w:t>
      </w:r>
      <w:r w:rsidRPr="0005417A">
        <w:t xml:space="preserve"> is the quantity of electricity losses for that network during the year.</w:t>
      </w:r>
    </w:p>
    <w:p w14:paraId="5430F3F8" w14:textId="5C4F90E3" w:rsidR="00877C3A" w:rsidRDefault="00877C3A" w:rsidP="00877C3A">
      <w:pPr>
        <w:pStyle w:val="subsection"/>
      </w:pPr>
      <w:r w:rsidRPr="0005417A">
        <w:tab/>
        <w:t>(3)</w:t>
      </w:r>
      <w:r w:rsidRPr="0005417A">
        <w:tab/>
        <w:t xml:space="preserve">For </w:t>
      </w:r>
      <w:r w:rsidRPr="0005417A">
        <w:rPr>
          <w:b/>
          <w:bCs/>
          <w:i/>
          <w:iCs/>
        </w:rPr>
        <w:t>Q</w:t>
      </w:r>
      <w:r w:rsidRPr="0005417A">
        <w:t xml:space="preserve">, if the electricity purchased </w:t>
      </w:r>
      <w:r w:rsidR="009C10E9">
        <w:t xml:space="preserve">or acquired </w:t>
      </w:r>
      <w:r w:rsidRPr="0005417A">
        <w:t xml:space="preserve">(or lost) is measured in gigajoules, the quantity of kilowatt hours must be calculated by dividing the amount </w:t>
      </w:r>
      <w:r w:rsidR="0032552A">
        <w:t>in</w:t>
      </w:r>
      <w:r w:rsidR="0032552A" w:rsidRPr="0005417A">
        <w:t xml:space="preserve"> </w:t>
      </w:r>
      <w:r w:rsidRPr="0005417A">
        <w:t>gigajoules by 0.0036.</w:t>
      </w:r>
    </w:p>
    <w:p w14:paraId="7BE085D6" w14:textId="5EA473B7" w:rsidR="009C10E9" w:rsidRPr="0005417A" w:rsidRDefault="009C10E9" w:rsidP="009C10E9">
      <w:pPr>
        <w:pStyle w:val="ActHead5"/>
      </w:pPr>
      <w:bookmarkStart w:id="22" w:name="_Toc128148169"/>
      <w:r w:rsidRPr="0005417A">
        <w:rPr>
          <w:rStyle w:val="CharSectno"/>
        </w:rPr>
        <w:t>7.</w:t>
      </w:r>
      <w:r>
        <w:rPr>
          <w:rStyle w:val="CharSectno"/>
        </w:rPr>
        <w:t>4</w:t>
      </w:r>
      <w:r w:rsidRPr="0005417A">
        <w:t xml:space="preserve">  Method </w:t>
      </w:r>
      <w:r w:rsidR="00D1222D">
        <w:t>B</w:t>
      </w:r>
      <w:r w:rsidRPr="0005417A">
        <w:t>—</w:t>
      </w:r>
      <w:r>
        <w:t>market-based method</w:t>
      </w:r>
      <w:bookmarkEnd w:id="22"/>
    </w:p>
    <w:p w14:paraId="6D9CA25D" w14:textId="3548035C" w:rsidR="009C10E9" w:rsidRDefault="009C10E9" w:rsidP="007468E8">
      <w:pPr>
        <w:pStyle w:val="subsection"/>
      </w:pPr>
      <w:r w:rsidRPr="0005417A">
        <w:tab/>
        <w:t>(1)</w:t>
      </w:r>
      <w:r w:rsidRPr="0005417A">
        <w:tab/>
      </w:r>
      <w:r w:rsidR="00F85535">
        <w:t xml:space="preserve">For the purposes of a report under </w:t>
      </w:r>
      <w:r w:rsidR="00F85535">
        <w:rPr>
          <w:szCs w:val="22"/>
          <w:shd w:val="clear" w:color="auto" w:fill="FFFFFF"/>
        </w:rPr>
        <w:t xml:space="preserve">Part 3, 3E, 3F or 3G of the Act, </w:t>
      </w:r>
      <w:r w:rsidR="00F85535">
        <w:t>t</w:t>
      </w:r>
      <w:r w:rsidRPr="0005417A">
        <w:t xml:space="preserve">he following formula </w:t>
      </w:r>
      <w:r>
        <w:t xml:space="preserve">may be used </w:t>
      </w:r>
      <w:r w:rsidRPr="0005417A">
        <w:t xml:space="preserve">for estimating scope 2 emissions from </w:t>
      </w:r>
      <w:r w:rsidR="007468E8">
        <w:t xml:space="preserve">purchased or acquired </w:t>
      </w:r>
      <w:r w:rsidRPr="0005417A">
        <w:t>electricity</w:t>
      </w:r>
      <w:r w:rsidR="007468E8">
        <w:t xml:space="preserve"> </w:t>
      </w:r>
      <w:r>
        <w:t xml:space="preserve">consumed from the operation of a facility during a year: </w:t>
      </w:r>
    </w:p>
    <w:p w14:paraId="62F1CFB3" w14:textId="16C9E347" w:rsidR="002859C0" w:rsidRDefault="00DE04E5" w:rsidP="00CC6BF5">
      <w:pPr>
        <w:pStyle w:val="subsection"/>
        <w:jc w:val="right"/>
      </w:pPr>
      <w:r w:rsidRPr="007A2EEF">
        <w:rPr>
          <w:noProof/>
        </w:rPr>
        <w:drawing>
          <wp:inline distT="0" distB="0" distL="0" distR="0" wp14:anchorId="5A20CDAB" wp14:editId="5D6F4658">
            <wp:extent cx="5136003" cy="326385"/>
            <wp:effectExtent l="0" t="0" r="0" b="0"/>
            <wp:docPr id="10" name="Picture 10" descr="A formula to calculate scope 2 emissions from purchased or acquired electricity using a market-based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l="901" r="1646"/>
                    <a:stretch/>
                  </pic:blipFill>
                  <pic:spPr bwMode="auto">
                    <a:xfrm>
                      <a:off x="0" y="0"/>
                      <a:ext cx="5144290" cy="326912"/>
                    </a:xfrm>
                    <a:prstGeom prst="rect">
                      <a:avLst/>
                    </a:prstGeom>
                    <a:ln>
                      <a:noFill/>
                    </a:ln>
                    <a:extLst>
                      <a:ext uri="{53640926-AAD7-44D8-BBD7-CCE9431645EC}">
                        <a14:shadowObscured xmlns:a14="http://schemas.microsoft.com/office/drawing/2010/main"/>
                      </a:ext>
                    </a:extLst>
                  </pic:spPr>
                </pic:pic>
              </a:graphicData>
            </a:graphic>
          </wp:inline>
        </w:drawing>
      </w:r>
    </w:p>
    <w:p w14:paraId="1DFB2927" w14:textId="000CC96B" w:rsidR="009C10E9" w:rsidRPr="0005417A" w:rsidRDefault="009C10E9" w:rsidP="009C10E9">
      <w:pPr>
        <w:pStyle w:val="subsection2"/>
      </w:pPr>
      <w:r w:rsidRPr="0005417A">
        <w:t>where:</w:t>
      </w:r>
    </w:p>
    <w:p w14:paraId="219A3D61" w14:textId="77777777" w:rsidR="004E69EB" w:rsidRPr="008F4E3B" w:rsidRDefault="004E69EB" w:rsidP="004E69EB">
      <w:pPr>
        <w:pStyle w:val="Definition"/>
      </w:pPr>
      <w:r w:rsidRPr="0005417A">
        <w:rPr>
          <w:b/>
          <w:i/>
        </w:rPr>
        <w:t xml:space="preserve">Y </w:t>
      </w:r>
      <w:r w:rsidRPr="0005417A">
        <w:t xml:space="preserve">is the </w:t>
      </w:r>
      <w:r w:rsidRPr="008F4E3B">
        <w:t>scope 2 emissions measured in CO</w:t>
      </w:r>
      <w:r w:rsidRPr="008F4E3B">
        <w:rPr>
          <w:rStyle w:val="charsubscript0"/>
          <w:b/>
          <w:i/>
        </w:rPr>
        <w:t>2</w:t>
      </w:r>
      <w:r w:rsidRPr="008F4E3B">
        <w:noBreakHyphen/>
        <w:t>e tonnes.</w:t>
      </w:r>
    </w:p>
    <w:p w14:paraId="084FFC5C" w14:textId="2BEF6A02" w:rsidR="00CB2EEC" w:rsidRPr="008F4E3B" w:rsidRDefault="00CB2EEC" w:rsidP="00CB2EEC">
      <w:pPr>
        <w:pStyle w:val="Definition"/>
      </w:pPr>
      <w:r w:rsidRPr="008F4E3B">
        <w:rPr>
          <w:b/>
          <w:i/>
        </w:rPr>
        <w:t>Q</w:t>
      </w:r>
      <w:r w:rsidRPr="008F4E3B">
        <w:t xml:space="preserve"> </w:t>
      </w:r>
      <w:r w:rsidRPr="007847DA">
        <w:t xml:space="preserve">is the quantity of electricity purchased or acquired from </w:t>
      </w:r>
      <w:r w:rsidR="00820D08">
        <w:t xml:space="preserve">an electricity transmission </w:t>
      </w:r>
      <w:r w:rsidR="00F52C2A">
        <w:t xml:space="preserve">network </w:t>
      </w:r>
      <w:r w:rsidR="00820D08">
        <w:t xml:space="preserve">or distribution network </w:t>
      </w:r>
      <w:r w:rsidRPr="007847DA">
        <w:t>during the year and consumed from the operation of the facility measured in kilowatt hours.</w:t>
      </w:r>
    </w:p>
    <w:p w14:paraId="353186D5" w14:textId="1AC29550" w:rsidR="004E69EB" w:rsidRPr="008F4E3B" w:rsidRDefault="0089440E" w:rsidP="004E69EB">
      <w:pPr>
        <w:pStyle w:val="Definition"/>
      </w:pPr>
      <w:r>
        <w:rPr>
          <w:b/>
          <w:i/>
        </w:rPr>
        <w:t>Q</w:t>
      </w:r>
      <w:r w:rsidRPr="002A421D">
        <w:rPr>
          <w:b/>
          <w:i/>
          <w:vertAlign w:val="subscript"/>
        </w:rPr>
        <w:t>exempt</w:t>
      </w:r>
      <w:r w:rsidR="004E69EB" w:rsidRPr="008F4E3B">
        <w:t xml:space="preserve"> is the quantity of electricity exempt from </w:t>
      </w:r>
      <w:r w:rsidR="004E69EB">
        <w:t>Renewable Energy Target (</w:t>
      </w:r>
      <w:r w:rsidR="004E69EB" w:rsidRPr="008F4E3B">
        <w:t>RET</w:t>
      </w:r>
      <w:r w:rsidR="004E69EB">
        <w:t>)</w:t>
      </w:r>
      <w:r w:rsidR="004E69EB" w:rsidRPr="008F4E3B">
        <w:t xml:space="preserve"> liability, measured in kilowatt hours.</w:t>
      </w:r>
    </w:p>
    <w:p w14:paraId="480E75FD" w14:textId="372673C6" w:rsidR="004E69EB" w:rsidRPr="008F4E3B" w:rsidRDefault="004E69EB" w:rsidP="004E69EB">
      <w:pPr>
        <w:pStyle w:val="Definition"/>
      </w:pPr>
      <w:r w:rsidRPr="008F4E3B">
        <w:rPr>
          <w:b/>
          <w:i/>
        </w:rPr>
        <w:t>RPP</w:t>
      </w:r>
      <w:r w:rsidRPr="008F4E3B">
        <w:t xml:space="preserve"> is the RET Renewable Power Percentage for the applicable period (averaged across the adjacent calendar years) as published by the Clean Energy Regula</w:t>
      </w:r>
      <w:r w:rsidR="00A21B2D">
        <w:t>to</w:t>
      </w:r>
      <w:r w:rsidRPr="008F4E3B">
        <w:t xml:space="preserve">r, </w:t>
      </w:r>
      <w:hyperlink r:id="rId33" w:history="1">
        <w:r w:rsidR="00902FEC" w:rsidRPr="008F4E3B">
          <w:rPr>
            <w:rStyle w:val="Hyperlink"/>
          </w:rPr>
          <w:t>https://www.cleanenergyregulator.gov.au/RET/Scheme-participants-and-industry/the-renewable-power-percentage</w:t>
        </w:r>
      </w:hyperlink>
      <w:r w:rsidRPr="008F4E3B">
        <w:t xml:space="preserve">. </w:t>
      </w:r>
    </w:p>
    <w:p w14:paraId="6DD1583A" w14:textId="2CABF627" w:rsidR="004E69EB" w:rsidRDefault="004E69EB" w:rsidP="004E69EB">
      <w:pPr>
        <w:pStyle w:val="Definition"/>
      </w:pPr>
      <w:bookmarkStart w:id="23" w:name="_Hlk136359699"/>
      <w:r w:rsidRPr="00EE4E86">
        <w:rPr>
          <w:b/>
          <w:i/>
        </w:rPr>
        <w:t>JRPP</w:t>
      </w:r>
      <w:r w:rsidRPr="00EE4E86">
        <w:t xml:space="preserve"> is the jurisdictional renewable power percentage for the applicable period</w:t>
      </w:r>
      <w:r w:rsidR="004244DF">
        <w:t xml:space="preserve">, </w:t>
      </w:r>
      <w:r w:rsidRPr="00EE4E86">
        <w:t>activity</w:t>
      </w:r>
      <w:r w:rsidR="004244DF">
        <w:t xml:space="preserve"> and </w:t>
      </w:r>
      <w:r w:rsidR="006A1D1F">
        <w:t>S</w:t>
      </w:r>
      <w:r w:rsidRPr="00A6342F">
        <w:t>tate</w:t>
      </w:r>
      <w:r w:rsidR="006A1D1F">
        <w:t xml:space="preserve"> or Territory</w:t>
      </w:r>
      <w:r w:rsidRPr="00A6342F">
        <w:t xml:space="preserve">. </w:t>
      </w:r>
      <w:r w:rsidRPr="00C2705E">
        <w:t xml:space="preserve">It is calculated as the number of </w:t>
      </w:r>
      <w:r>
        <w:t>eligible Renewable Energy Certificates</w:t>
      </w:r>
      <w:r w:rsidRPr="00C2705E">
        <w:t xml:space="preserve"> surrendered by or on behalf of the jurisdictional authority divided by total electricity consumption in the jurisdiction.</w:t>
      </w:r>
    </w:p>
    <w:bookmarkEnd w:id="23"/>
    <w:p w14:paraId="19A8D359" w14:textId="7E225AA0" w:rsidR="004E69EB" w:rsidRPr="008F4E3B" w:rsidRDefault="005506B6" w:rsidP="004E69EB">
      <w:pPr>
        <w:pStyle w:val="Definition"/>
        <w:rPr>
          <w:bCs/>
          <w:iCs/>
        </w:rPr>
      </w:pPr>
      <w:r>
        <w:rPr>
          <w:b/>
          <w:i/>
          <w:iCs/>
        </w:rPr>
        <w:t>REC</w:t>
      </w:r>
      <w:r w:rsidRPr="00DE433D">
        <w:rPr>
          <w:b/>
          <w:i/>
          <w:iCs/>
          <w:vertAlign w:val="subscript"/>
        </w:rPr>
        <w:t>surr</w:t>
      </w:r>
      <w:r w:rsidR="004E69EB" w:rsidRPr="008F4E3B">
        <w:rPr>
          <w:b/>
          <w:iCs/>
        </w:rPr>
        <w:t xml:space="preserve"> </w:t>
      </w:r>
      <w:r w:rsidR="004E69EB" w:rsidRPr="008F4E3B">
        <w:rPr>
          <w:bCs/>
          <w:iCs/>
        </w:rPr>
        <w:t xml:space="preserve">is the number of </w:t>
      </w:r>
      <w:r w:rsidR="004E69EB">
        <w:rPr>
          <w:bCs/>
          <w:iCs/>
        </w:rPr>
        <w:t xml:space="preserve">eligible </w:t>
      </w:r>
      <w:r w:rsidR="004E69EB" w:rsidRPr="008F4E3B">
        <w:rPr>
          <w:bCs/>
          <w:iCs/>
        </w:rPr>
        <w:t xml:space="preserve">Renewable Energy Certificates voluntarily surrendered in the reporting year equivalent to megawatt hours. </w:t>
      </w:r>
    </w:p>
    <w:p w14:paraId="7CC0C7CF" w14:textId="77777777" w:rsidR="004E69EB" w:rsidRPr="008F4E3B" w:rsidRDefault="004E69EB" w:rsidP="004E69EB">
      <w:pPr>
        <w:pStyle w:val="Definition"/>
      </w:pPr>
      <w:r w:rsidRPr="00406B18">
        <w:rPr>
          <w:b/>
          <w:bCs/>
          <w:i/>
          <w:iCs/>
        </w:rPr>
        <w:t>RMF</w:t>
      </w:r>
      <w:r w:rsidRPr="00406B18">
        <w:rPr>
          <w:b/>
          <w:i/>
        </w:rPr>
        <w:t xml:space="preserve"> </w:t>
      </w:r>
      <w:r w:rsidRPr="00406B18">
        <w:t>is the scope 2 residual mix factor, in kilograms of CO</w:t>
      </w:r>
      <w:r w:rsidRPr="00406B18">
        <w:rPr>
          <w:rStyle w:val="charsubscript0"/>
          <w:b/>
          <w:i/>
        </w:rPr>
        <w:t>2</w:t>
      </w:r>
      <w:r w:rsidRPr="00406B18">
        <w:noBreakHyphen/>
        <w:t>e emissions per kilowatt hour as mentioned in Part 6 of Schedule 1.</w:t>
      </w:r>
    </w:p>
    <w:p w14:paraId="0ABE3F2C" w14:textId="06FBA703" w:rsidR="004E69EB" w:rsidRPr="00C2705E" w:rsidRDefault="00284FF9" w:rsidP="004E69EB">
      <w:pPr>
        <w:pStyle w:val="Definition"/>
      </w:pPr>
      <w:r>
        <w:rPr>
          <w:b/>
          <w:i/>
        </w:rPr>
        <w:t>REC</w:t>
      </w:r>
      <w:r w:rsidRPr="00DE433D">
        <w:rPr>
          <w:b/>
          <w:i/>
          <w:vertAlign w:val="subscript"/>
        </w:rPr>
        <w:t>onsite</w:t>
      </w:r>
      <w:r w:rsidRPr="00C2705E">
        <w:t xml:space="preserve"> </w:t>
      </w:r>
      <w:r w:rsidR="004E69EB" w:rsidRPr="00C2705E">
        <w:t xml:space="preserve">is the number of eligible </w:t>
      </w:r>
      <w:r w:rsidR="004E69EB" w:rsidRPr="008F4E3B">
        <w:rPr>
          <w:bCs/>
          <w:iCs/>
        </w:rPr>
        <w:t>Renewable Energy Certificates</w:t>
      </w:r>
      <w:r w:rsidR="004E69EB" w:rsidRPr="00C2705E">
        <w:t xml:space="preserve"> that have been or will be issued for electricity produced on-site during the year and consumed from the operation of the facility</w:t>
      </w:r>
      <w:r w:rsidR="004E69EB" w:rsidRPr="00320F10">
        <w:t xml:space="preserve"> equivalent to megawatt hours</w:t>
      </w:r>
      <w:r w:rsidR="004E69EB" w:rsidRPr="00C2705E">
        <w:t>.</w:t>
      </w:r>
    </w:p>
    <w:p w14:paraId="369310E2" w14:textId="64307431" w:rsidR="00C34BB8" w:rsidRDefault="004E69EB" w:rsidP="004E69EB">
      <w:pPr>
        <w:pStyle w:val="notetext"/>
      </w:pPr>
      <w:r w:rsidRPr="008F4E3B">
        <w:t>Note</w:t>
      </w:r>
      <w:r w:rsidR="00C34BB8">
        <w:t xml:space="preserve"> 1</w:t>
      </w:r>
      <w:r w:rsidRPr="008F4E3B">
        <w:t>:</w:t>
      </w:r>
      <w:r w:rsidRPr="008F4E3B">
        <w:tab/>
      </w:r>
      <w:r w:rsidR="00F65473">
        <w:t xml:space="preserve">An entity may optionally use this </w:t>
      </w:r>
      <w:r w:rsidR="00C34BB8">
        <w:t xml:space="preserve">method in addition to the compulsory </w:t>
      </w:r>
      <w:r w:rsidR="0072581D">
        <w:t xml:space="preserve">location-based </w:t>
      </w:r>
      <w:r w:rsidR="00C34BB8">
        <w:t>method</w:t>
      </w:r>
      <w:r w:rsidR="0072581D">
        <w:t>s</w:t>
      </w:r>
      <w:r w:rsidR="00C34BB8">
        <w:t xml:space="preserve"> for </w:t>
      </w:r>
      <w:r w:rsidR="006E7CA7">
        <w:t xml:space="preserve">estimating </w:t>
      </w:r>
      <w:r w:rsidR="00C34BB8">
        <w:t>scope 2 emissions.</w:t>
      </w:r>
      <w:r w:rsidR="000F0C94">
        <w:t xml:space="preserve"> </w:t>
      </w:r>
      <w:r w:rsidR="00EE0634">
        <w:t>However, e</w:t>
      </w:r>
      <w:r w:rsidR="0072581D">
        <w:t xml:space="preserve">missions </w:t>
      </w:r>
      <w:r w:rsidR="006E7CA7">
        <w:t xml:space="preserve">estimated </w:t>
      </w:r>
      <w:r w:rsidR="0072581D">
        <w:t xml:space="preserve">using </w:t>
      </w:r>
      <w:r w:rsidR="00EE0634">
        <w:t xml:space="preserve">the market-based method should not be aggregated </w:t>
      </w:r>
      <w:r w:rsidR="006015D0">
        <w:t>with emissions estimated using location-based methods.</w:t>
      </w:r>
    </w:p>
    <w:p w14:paraId="3F8A2EE9" w14:textId="0F8F6E01" w:rsidR="004E69EB" w:rsidRPr="008F4E3B" w:rsidRDefault="00C34BB8" w:rsidP="004E69EB">
      <w:pPr>
        <w:pStyle w:val="notetext"/>
      </w:pPr>
      <w:r>
        <w:t>Note 2:</w:t>
      </w:r>
      <w:r>
        <w:tab/>
      </w:r>
      <w:r w:rsidR="00F85535">
        <w:t xml:space="preserve">This method may not be used for the purpose of calculating whether a controlling corporation’s group meets a threshold for a financial year under section 13 of the Act.  </w:t>
      </w:r>
    </w:p>
    <w:p w14:paraId="04F33241" w14:textId="70ABF57E" w:rsidR="009C10E9" w:rsidRPr="0005417A" w:rsidRDefault="009C10E9" w:rsidP="009C10E9">
      <w:pPr>
        <w:pStyle w:val="subsection"/>
      </w:pPr>
      <w:r w:rsidRPr="0005417A">
        <w:lastRenderedPageBreak/>
        <w:tab/>
        <w:t>(2)</w:t>
      </w:r>
      <w:r w:rsidRPr="0005417A">
        <w:tab/>
      </w:r>
      <w:r w:rsidR="004E69EB" w:rsidRPr="008F4E3B">
        <w:t xml:space="preserve">For </w:t>
      </w:r>
      <w:r w:rsidR="004E69EB" w:rsidRPr="008F4E3B">
        <w:rPr>
          <w:b/>
          <w:bCs/>
          <w:i/>
          <w:iCs/>
        </w:rPr>
        <w:t>Q</w:t>
      </w:r>
      <w:r w:rsidR="006015D0">
        <w:rPr>
          <w:b/>
          <w:bCs/>
          <w:i/>
          <w:iCs/>
        </w:rPr>
        <w:t xml:space="preserve"> </w:t>
      </w:r>
      <w:r w:rsidR="006015D0" w:rsidRPr="00DE433D">
        <w:t>and</w:t>
      </w:r>
      <w:r w:rsidR="006015D0">
        <w:rPr>
          <w:b/>
          <w:bCs/>
          <w:i/>
          <w:iCs/>
        </w:rPr>
        <w:t xml:space="preserve"> </w:t>
      </w:r>
      <w:r w:rsidR="005C2B54" w:rsidRPr="008F4E3B">
        <w:rPr>
          <w:b/>
          <w:bCs/>
          <w:i/>
          <w:iCs/>
        </w:rPr>
        <w:t>Q</w:t>
      </w:r>
      <w:r w:rsidR="005C2B54" w:rsidRPr="00DE433D">
        <w:rPr>
          <w:b/>
          <w:bCs/>
          <w:i/>
          <w:iCs/>
          <w:vertAlign w:val="subscript"/>
        </w:rPr>
        <w:t>exempt</w:t>
      </w:r>
      <w:r w:rsidR="004E69EB" w:rsidRPr="008F4E3B">
        <w:t xml:space="preserve">, if the electricity purchased or acquired is measured in gigajoules, the quantity of kilowatt hours must be calculated by dividing the amount </w:t>
      </w:r>
      <w:r w:rsidR="00D23A39">
        <w:t xml:space="preserve">in </w:t>
      </w:r>
      <w:r w:rsidR="004E69EB" w:rsidRPr="008F4E3B">
        <w:t>gigajoules by 0.0036.</w:t>
      </w:r>
    </w:p>
    <w:p w14:paraId="75267E25" w14:textId="0FF5CF6C" w:rsidR="00BE5107" w:rsidRDefault="009C10E9" w:rsidP="009C10E9">
      <w:pPr>
        <w:pStyle w:val="subsection"/>
      </w:pPr>
      <w:r w:rsidRPr="0005417A">
        <w:tab/>
        <w:t>(3)</w:t>
      </w:r>
      <w:r w:rsidRPr="0005417A">
        <w:tab/>
      </w:r>
      <w:r w:rsidR="004E69EB" w:rsidRPr="004E69EB">
        <w:t xml:space="preserve">For </w:t>
      </w:r>
      <w:r w:rsidR="00D23A39">
        <w:rPr>
          <w:b/>
          <w:i/>
          <w:iCs/>
        </w:rPr>
        <w:t>REC</w:t>
      </w:r>
      <w:r w:rsidR="00D23A39" w:rsidRPr="007532B9">
        <w:rPr>
          <w:b/>
          <w:i/>
          <w:iCs/>
          <w:vertAlign w:val="subscript"/>
        </w:rPr>
        <w:t>surr</w:t>
      </w:r>
      <w:r w:rsidR="00A670D9">
        <w:t xml:space="preserve">, </w:t>
      </w:r>
      <w:r w:rsidR="001C69DF">
        <w:rPr>
          <w:b/>
          <w:i/>
        </w:rPr>
        <w:t>REC</w:t>
      </w:r>
      <w:r w:rsidR="001C69DF" w:rsidRPr="007532B9">
        <w:rPr>
          <w:b/>
          <w:i/>
          <w:vertAlign w:val="subscript"/>
        </w:rPr>
        <w:t>onsite</w:t>
      </w:r>
      <w:r w:rsidR="00A670D9">
        <w:t xml:space="preserve"> and </w:t>
      </w:r>
      <w:r w:rsidR="00A670D9" w:rsidRPr="00DE433D">
        <w:rPr>
          <w:b/>
          <w:bCs/>
          <w:i/>
          <w:iCs/>
        </w:rPr>
        <w:t>JRPP</w:t>
      </w:r>
      <w:r w:rsidR="00A670D9">
        <w:t>,</w:t>
      </w:r>
      <w:r w:rsidR="001C69DF">
        <w:t xml:space="preserve"> </w:t>
      </w:r>
      <w:r w:rsidR="004E69EB" w:rsidRPr="004E69EB">
        <w:t xml:space="preserve">an </w:t>
      </w:r>
      <w:r w:rsidR="004E69EB" w:rsidRPr="0047370A">
        <w:rPr>
          <w:b/>
          <w:i/>
        </w:rPr>
        <w:t>eligible Renewable Energy Certificate</w:t>
      </w:r>
      <w:r w:rsidR="004E69EB" w:rsidRPr="004E69EB">
        <w:t xml:space="preserve"> is</w:t>
      </w:r>
      <w:r w:rsidR="00BE5107">
        <w:t>:</w:t>
      </w:r>
    </w:p>
    <w:p w14:paraId="0F15F739" w14:textId="2C4B467B" w:rsidR="00BE5107" w:rsidRPr="004E69EB" w:rsidRDefault="00BE5107" w:rsidP="00BE5107">
      <w:pPr>
        <w:pStyle w:val="paragraph"/>
      </w:pPr>
      <w:r w:rsidRPr="0005417A">
        <w:tab/>
        <w:t>(a)</w:t>
      </w:r>
      <w:r w:rsidRPr="0005417A">
        <w:tab/>
      </w:r>
      <w:r>
        <w:t>a</w:t>
      </w:r>
      <w:r w:rsidRPr="00BE5107">
        <w:t xml:space="preserve"> </w:t>
      </w:r>
      <w:r w:rsidRPr="004E69EB">
        <w:t xml:space="preserve">Large-scale Generation Certificate </w:t>
      </w:r>
      <w:r>
        <w:t>(</w:t>
      </w:r>
      <w:r w:rsidRPr="007F2915">
        <w:rPr>
          <w:b/>
          <w:i/>
        </w:rPr>
        <w:t>LGC</w:t>
      </w:r>
      <w:r w:rsidRPr="00E12224">
        <w:t>)</w:t>
      </w:r>
      <w:r>
        <w:t xml:space="preserve">, </w:t>
      </w:r>
      <w:r w:rsidRPr="007F2915">
        <w:t>other</w:t>
      </w:r>
      <w:r w:rsidRPr="004E69EB">
        <w:t xml:space="preserve"> than</w:t>
      </w:r>
      <w:r>
        <w:t xml:space="preserve"> an ineligible Renewable Energy Certificate</w:t>
      </w:r>
      <w:r w:rsidRPr="004E69EB">
        <w:t>,</w:t>
      </w:r>
      <w:r>
        <w:t xml:space="preserve"> that is</w:t>
      </w:r>
      <w:r w:rsidRPr="004E69EB">
        <w:t xml:space="preserve"> voluntarily surrendered through the Renewable Energy Certificate Registry in the reporting year</w:t>
      </w:r>
      <w:r>
        <w:t>; or</w:t>
      </w:r>
    </w:p>
    <w:p w14:paraId="1B899C43" w14:textId="77777777" w:rsidR="00BE5107" w:rsidRDefault="00BE5107" w:rsidP="00BE5107">
      <w:pPr>
        <w:pStyle w:val="paragraph"/>
      </w:pPr>
      <w:r w:rsidRPr="0005417A">
        <w:tab/>
        <w:t>(b)</w:t>
      </w:r>
      <w:r w:rsidRPr="0005417A">
        <w:tab/>
      </w:r>
      <w:r>
        <w:t>a purchase of GreenPower electricity from an accredited GreenPower Provider;</w:t>
      </w:r>
    </w:p>
    <w:p w14:paraId="6DF1101E" w14:textId="653E1C46" w:rsidR="00BE5107" w:rsidRDefault="00BE5107" w:rsidP="00BE5107">
      <w:pPr>
        <w:pStyle w:val="subsection"/>
        <w:spacing w:before="0"/>
      </w:pPr>
      <w:r w:rsidRPr="0005417A">
        <w:tab/>
      </w:r>
      <w:r w:rsidRPr="0005417A">
        <w:tab/>
      </w:r>
      <w:r>
        <w:t xml:space="preserve">that is </w:t>
      </w:r>
      <w:r w:rsidR="000D7E34">
        <w:t>supported</w:t>
      </w:r>
      <w:r>
        <w:t xml:space="preserve"> by evidence in accordance with subsection (5).</w:t>
      </w:r>
    </w:p>
    <w:p w14:paraId="659B53CD" w14:textId="6F3DAEC6" w:rsidR="004E69EB" w:rsidRDefault="004E69EB" w:rsidP="004E69EB">
      <w:pPr>
        <w:pStyle w:val="subsection"/>
      </w:pPr>
      <w:r w:rsidRPr="0005417A">
        <w:tab/>
        <w:t>(</w:t>
      </w:r>
      <w:r>
        <w:t>4</w:t>
      </w:r>
      <w:r w:rsidRPr="0005417A">
        <w:t>)</w:t>
      </w:r>
      <w:r w:rsidRPr="0005417A">
        <w:tab/>
      </w:r>
      <w:r>
        <w:t xml:space="preserve">For subsection (3), </w:t>
      </w:r>
      <w:r w:rsidR="00E35EE3">
        <w:t xml:space="preserve">an </w:t>
      </w:r>
      <w:r w:rsidRPr="00E35EE3">
        <w:rPr>
          <w:b/>
          <w:i/>
        </w:rPr>
        <w:t>ineligible Renewable Energy Certificate</w:t>
      </w:r>
      <w:r>
        <w:t xml:space="preserve"> </w:t>
      </w:r>
      <w:r w:rsidR="00E35EE3">
        <w:t>is</w:t>
      </w:r>
      <w:r>
        <w:t>:</w:t>
      </w:r>
    </w:p>
    <w:p w14:paraId="40971BCA" w14:textId="6C83A88A" w:rsidR="004E69EB" w:rsidRDefault="004E69EB" w:rsidP="00D23A39">
      <w:pPr>
        <w:pStyle w:val="paragraph"/>
      </w:pPr>
      <w:r w:rsidRPr="0005417A">
        <w:tab/>
        <w:t>(a)</w:t>
      </w:r>
      <w:r w:rsidRPr="0005417A">
        <w:tab/>
      </w:r>
      <w:r w:rsidR="00E35EE3">
        <w:t xml:space="preserve">an </w:t>
      </w:r>
      <w:r>
        <w:t xml:space="preserve">LGC surrendered to meet a liable entity’s obligations for that compliance year under the </w:t>
      </w:r>
      <w:r w:rsidRPr="004E69EB">
        <w:rPr>
          <w:i/>
        </w:rPr>
        <w:t>Renewable Energy (Electricity) Act 2000</w:t>
      </w:r>
      <w:r>
        <w:t>;</w:t>
      </w:r>
      <w:r w:rsidR="009075DA">
        <w:t xml:space="preserve"> or</w:t>
      </w:r>
    </w:p>
    <w:p w14:paraId="3DE5E05E" w14:textId="5927B583" w:rsidR="004E69EB" w:rsidRDefault="004E69EB" w:rsidP="004E69EB">
      <w:pPr>
        <w:pStyle w:val="paragraph"/>
      </w:pPr>
      <w:r w:rsidRPr="0005417A">
        <w:tab/>
        <w:t>(</w:t>
      </w:r>
      <w:r w:rsidR="00D23A39">
        <w:t>b</w:t>
      </w:r>
      <w:r w:rsidRPr="0005417A">
        <w:t>)</w:t>
      </w:r>
      <w:r w:rsidRPr="0005417A">
        <w:tab/>
      </w:r>
      <w:r w:rsidR="00E35EE3">
        <w:t>an i</w:t>
      </w:r>
      <w:r w:rsidRPr="004E69EB">
        <w:t>ncorrectly created or cancelled LGC</w:t>
      </w:r>
      <w:r w:rsidR="00E1615D">
        <w:t>;</w:t>
      </w:r>
      <w:r w:rsidR="009075DA">
        <w:t xml:space="preserve"> or</w:t>
      </w:r>
    </w:p>
    <w:p w14:paraId="73C2B2D5" w14:textId="7F0BCC68" w:rsidR="004E69EB" w:rsidRDefault="004E69EB" w:rsidP="004E69EB">
      <w:pPr>
        <w:pStyle w:val="paragraph"/>
      </w:pPr>
      <w:r w:rsidRPr="0005417A">
        <w:tab/>
        <w:t>(</w:t>
      </w:r>
      <w:r w:rsidR="00D23A39">
        <w:t>c</w:t>
      </w:r>
      <w:r w:rsidRPr="0005417A">
        <w:t>)</w:t>
      </w:r>
      <w:r w:rsidRPr="0005417A">
        <w:tab/>
      </w:r>
      <w:r w:rsidR="00E35EE3">
        <w:t xml:space="preserve">an </w:t>
      </w:r>
      <w:r w:rsidRPr="004E69EB">
        <w:t xml:space="preserve">LGC </w:t>
      </w:r>
      <w:r w:rsidR="007121C3">
        <w:t xml:space="preserve">that is </w:t>
      </w:r>
      <w:r w:rsidRPr="004E69EB">
        <w:t xml:space="preserve">voluntarily surrendered </w:t>
      </w:r>
      <w:r w:rsidR="007121C3">
        <w:t xml:space="preserve">and has </w:t>
      </w:r>
      <w:r w:rsidRPr="004E69EB">
        <w:t>a generation date of more than 36 months prior to the end of the reporting year.</w:t>
      </w:r>
    </w:p>
    <w:p w14:paraId="4DA58D84" w14:textId="32DD2F8D" w:rsidR="006458F4" w:rsidRDefault="004E69EB" w:rsidP="004E69EB">
      <w:pPr>
        <w:pStyle w:val="subsection"/>
      </w:pPr>
      <w:r w:rsidRPr="0005417A">
        <w:tab/>
        <w:t>(</w:t>
      </w:r>
      <w:r>
        <w:t>5</w:t>
      </w:r>
      <w:r w:rsidRPr="0005417A">
        <w:t>)</w:t>
      </w:r>
      <w:r w:rsidRPr="0005417A">
        <w:tab/>
      </w:r>
      <w:r w:rsidR="00BE5107">
        <w:t xml:space="preserve">For subsection (3), the evidence required </w:t>
      </w:r>
      <w:r w:rsidR="00BF16F7">
        <w:t xml:space="preserve">to </w:t>
      </w:r>
      <w:r w:rsidR="00465AA9">
        <w:t xml:space="preserve">support the attribution of </w:t>
      </w:r>
      <w:r w:rsidR="00BE5107">
        <w:t xml:space="preserve">an eligible Renewable Energy Certificate </w:t>
      </w:r>
      <w:r w:rsidR="00BF16F7">
        <w:t>to a facility’s estimate of scope 2 emissions under this method is</w:t>
      </w:r>
      <w:r w:rsidR="00BE5107">
        <w:t>:</w:t>
      </w:r>
    </w:p>
    <w:p w14:paraId="0473AC06" w14:textId="78C4D23B" w:rsidR="006458F4" w:rsidRPr="004E69EB" w:rsidRDefault="006458F4" w:rsidP="006458F4">
      <w:pPr>
        <w:pStyle w:val="paragraph"/>
      </w:pPr>
      <w:r w:rsidRPr="0005417A">
        <w:tab/>
        <w:t>(a)</w:t>
      </w:r>
      <w:r w:rsidRPr="0005417A">
        <w:tab/>
      </w:r>
      <w:r w:rsidR="00BE5107">
        <w:t>for a</w:t>
      </w:r>
      <w:r w:rsidR="00BE5107" w:rsidRPr="00BE5107">
        <w:t xml:space="preserve"> </w:t>
      </w:r>
      <w:r w:rsidR="00BE5107">
        <w:t xml:space="preserve">voluntarily surrendered </w:t>
      </w:r>
      <w:r w:rsidR="00E12224">
        <w:t>LGC</w:t>
      </w:r>
      <w:r w:rsidR="00BE5107" w:rsidRPr="003C4C98">
        <w:t>—</w:t>
      </w:r>
      <w:r w:rsidR="000C6086">
        <w:t>the</w:t>
      </w:r>
      <w:r w:rsidR="007F2915">
        <w:t xml:space="preserve"> </w:t>
      </w:r>
      <w:r>
        <w:t>serial number</w:t>
      </w:r>
      <w:r w:rsidR="000C6086">
        <w:t xml:space="preserve"> of </w:t>
      </w:r>
      <w:r w:rsidR="00E12224">
        <w:t>the LGC</w:t>
      </w:r>
      <w:r>
        <w:t>, as recorded on the Renewable Energy Certificate Registry;</w:t>
      </w:r>
    </w:p>
    <w:p w14:paraId="0D2BB580" w14:textId="6238C7F8" w:rsidR="004E69EB" w:rsidRPr="0005417A" w:rsidRDefault="006458F4" w:rsidP="006458F4">
      <w:pPr>
        <w:pStyle w:val="paragraph"/>
      </w:pPr>
      <w:r w:rsidRPr="0005417A">
        <w:tab/>
        <w:t>(b)</w:t>
      </w:r>
      <w:r w:rsidRPr="0005417A">
        <w:tab/>
      </w:r>
      <w:r w:rsidR="00BE5107">
        <w:t xml:space="preserve">for a </w:t>
      </w:r>
      <w:r w:rsidRPr="006458F4">
        <w:t>purchase</w:t>
      </w:r>
      <w:r w:rsidR="007F2915">
        <w:t xml:space="preserve"> of </w:t>
      </w:r>
      <w:r w:rsidR="00547662">
        <w:t xml:space="preserve">GreenPower </w:t>
      </w:r>
      <w:r w:rsidR="007F2915">
        <w:t>electricity from an accredited GreenPower Provider</w:t>
      </w:r>
      <w:r w:rsidR="00BE5107" w:rsidRPr="003C4C98">
        <w:t>—</w:t>
      </w:r>
      <w:r w:rsidR="00BE5107">
        <w:t>a receipt for the purchase</w:t>
      </w:r>
      <w:r w:rsidR="003132C5">
        <w:t xml:space="preserve"> or a statement </w:t>
      </w:r>
      <w:r w:rsidR="005E2807">
        <w:t xml:space="preserve">confirming the purchase from </w:t>
      </w:r>
      <w:r w:rsidR="000F213D">
        <w:t xml:space="preserve">an </w:t>
      </w:r>
      <w:r w:rsidR="005E2807">
        <w:t xml:space="preserve">accredited </w:t>
      </w:r>
      <w:r w:rsidR="003132C5">
        <w:t>GreenPower</w:t>
      </w:r>
      <w:r w:rsidR="005E2807">
        <w:t xml:space="preserve"> Provider</w:t>
      </w:r>
      <w:r w:rsidRPr="006458F4">
        <w:t>.</w:t>
      </w:r>
      <w:r>
        <w:t xml:space="preserve"> </w:t>
      </w:r>
      <w:r w:rsidR="004E69EB">
        <w:t xml:space="preserve"> </w:t>
      </w:r>
    </w:p>
    <w:p w14:paraId="32360AFA" w14:textId="6467593D" w:rsidR="009C10E9" w:rsidRPr="0005417A" w:rsidRDefault="004E69EB" w:rsidP="000C6086">
      <w:pPr>
        <w:pStyle w:val="subsection"/>
      </w:pPr>
      <w:r w:rsidRPr="0005417A">
        <w:tab/>
        <w:t>(</w:t>
      </w:r>
      <w:r w:rsidR="006458F4">
        <w:t>6</w:t>
      </w:r>
      <w:r w:rsidRPr="0005417A">
        <w:t>)</w:t>
      </w:r>
      <w:r w:rsidRPr="0005417A">
        <w:tab/>
      </w:r>
      <w:r w:rsidR="006458F4" w:rsidRPr="006458F4">
        <w:t xml:space="preserve">If more </w:t>
      </w:r>
      <w:r w:rsidR="000E0FA2">
        <w:t>e</w:t>
      </w:r>
      <w:r w:rsidR="006458F4" w:rsidRPr="006458F4">
        <w:t>ligible Renewable</w:t>
      </w:r>
      <w:r w:rsidR="007776F4">
        <w:t xml:space="preserve"> Energy</w:t>
      </w:r>
      <w:r w:rsidR="006458F4" w:rsidRPr="006458F4">
        <w:t xml:space="preserve"> Certificates are </w:t>
      </w:r>
      <w:r w:rsidR="00902691">
        <w:t>attributed to</w:t>
      </w:r>
      <w:r w:rsidR="00146D6C">
        <w:t xml:space="preserve"> a facility’s estimate of scope 2 emissions under this method </w:t>
      </w:r>
      <w:r w:rsidR="006458F4" w:rsidRPr="006458F4">
        <w:t xml:space="preserve">than the total required to reach zero emissions (calculated </w:t>
      </w:r>
      <w:r w:rsidR="006458F4" w:rsidRPr="000C6086">
        <w:t>in accordance with</w:t>
      </w:r>
      <w:r w:rsidR="006458F4" w:rsidRPr="006458F4">
        <w:t xml:space="preserve"> </w:t>
      </w:r>
      <w:r w:rsidR="006458F4">
        <w:t xml:space="preserve">subsection </w:t>
      </w:r>
      <w:r w:rsidR="006458F4" w:rsidRPr="006458F4">
        <w:t xml:space="preserve">(1)), then </w:t>
      </w:r>
      <w:r w:rsidR="006458F4" w:rsidRPr="00CC0524">
        <w:rPr>
          <w:b/>
          <w:i/>
        </w:rPr>
        <w:t>Y</w:t>
      </w:r>
      <w:r w:rsidR="006458F4" w:rsidRPr="006458F4">
        <w:t xml:space="preserve"> is equal to zero.</w:t>
      </w:r>
    </w:p>
    <w:p w14:paraId="2B1ECC7C" w14:textId="79A5F1C6" w:rsidR="006144B5" w:rsidRDefault="00E8058E" w:rsidP="006144B5">
      <w:pPr>
        <w:pStyle w:val="ItemHead"/>
      </w:pPr>
      <w:r>
        <w:t>1</w:t>
      </w:r>
      <w:r w:rsidR="002F2AF2">
        <w:t>8</w:t>
      </w:r>
      <w:r w:rsidR="006144B5">
        <w:t xml:space="preserve">  Subsection 8.6(1) (table item 30)</w:t>
      </w:r>
    </w:p>
    <w:p w14:paraId="6B113FA3" w14:textId="7ACF4887" w:rsidR="006144B5" w:rsidRPr="006144B5" w:rsidRDefault="006144B5" w:rsidP="006144B5">
      <w:pPr>
        <w:pStyle w:val="Item"/>
      </w:pPr>
      <w:r>
        <w:t>Omit “29 and 29A”, substitute “28A and 29”.</w:t>
      </w:r>
    </w:p>
    <w:p w14:paraId="5281DFC5" w14:textId="207A8B54" w:rsidR="00AC7B52" w:rsidRDefault="00E8058E" w:rsidP="00AC7B52">
      <w:pPr>
        <w:pStyle w:val="ItemHead"/>
      </w:pPr>
      <w:r>
        <w:t>1</w:t>
      </w:r>
      <w:r w:rsidR="002F2AF2">
        <w:t>9</w:t>
      </w:r>
      <w:r w:rsidR="00AC7B52">
        <w:t xml:space="preserve">  Subsection 8.6(1) (after table item </w:t>
      </w:r>
      <w:r w:rsidR="007776F4">
        <w:t>50</w:t>
      </w:r>
      <w:r w:rsidR="00AC7B52">
        <w:t>)</w:t>
      </w:r>
    </w:p>
    <w:p w14:paraId="5B55E192" w14:textId="77777777" w:rsidR="00AC7B52" w:rsidRDefault="00AC7B52" w:rsidP="00971EBF">
      <w:pPr>
        <w:pStyle w:val="Item"/>
      </w:pPr>
      <w:r>
        <w:t>Add:</w:t>
      </w:r>
    </w:p>
    <w:p w14:paraId="08BB82F9" w14:textId="77777777" w:rsidR="00AC7B52" w:rsidRPr="00AC7B52" w:rsidRDefault="00AC7B52" w:rsidP="00AC7B52">
      <w:pPr>
        <w:pStyle w:val="ItemHead"/>
        <w:spacing w:before="0"/>
        <w:rPr>
          <w:sz w:val="20"/>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62"/>
        <w:gridCol w:w="5054"/>
        <w:gridCol w:w="1240"/>
        <w:gridCol w:w="1257"/>
      </w:tblGrid>
      <w:tr w:rsidR="00AC7B52" w:rsidRPr="00AC7B52" w14:paraId="0A65DB42" w14:textId="77777777" w:rsidTr="004F0FDA">
        <w:tc>
          <w:tcPr>
            <w:tcW w:w="458" w:type="pct"/>
            <w:shd w:val="clear" w:color="auto" w:fill="auto"/>
          </w:tcPr>
          <w:p w14:paraId="1C8A1D4A" w14:textId="40EAFDE7" w:rsidR="00AC7B52" w:rsidRPr="00AC7B52" w:rsidRDefault="007776F4" w:rsidP="00971EBF">
            <w:pPr>
              <w:pStyle w:val="Tabletext"/>
            </w:pPr>
            <w:r>
              <w:t>50</w:t>
            </w:r>
            <w:r w:rsidR="00AC7B52" w:rsidRPr="00AC7B52">
              <w:t>A</w:t>
            </w:r>
          </w:p>
        </w:tc>
        <w:tc>
          <w:tcPr>
            <w:tcW w:w="3040" w:type="pct"/>
            <w:shd w:val="clear" w:color="auto" w:fill="auto"/>
          </w:tcPr>
          <w:p w14:paraId="79926A95" w14:textId="183FEBE9" w:rsidR="00AC7B52" w:rsidRPr="00AC7B52" w:rsidRDefault="00AC7B52" w:rsidP="00971EBF">
            <w:pPr>
              <w:pStyle w:val="Tabletext"/>
            </w:pPr>
            <w:r w:rsidRPr="00AC7B52">
              <w:t xml:space="preserve">Renewable </w:t>
            </w:r>
            <w:r w:rsidR="00861864">
              <w:t xml:space="preserve">aviation </w:t>
            </w:r>
            <w:r w:rsidRPr="00AC7B52">
              <w:t xml:space="preserve">kerosene </w:t>
            </w:r>
          </w:p>
        </w:tc>
        <w:tc>
          <w:tcPr>
            <w:tcW w:w="746" w:type="pct"/>
            <w:shd w:val="clear" w:color="auto" w:fill="auto"/>
          </w:tcPr>
          <w:p w14:paraId="010FDA02" w14:textId="77777777" w:rsidR="00AC7B52" w:rsidRPr="00AC7B52" w:rsidRDefault="00AC7B52" w:rsidP="00971EBF">
            <w:pPr>
              <w:pStyle w:val="Tabletext"/>
            </w:pPr>
            <w:r w:rsidRPr="00AC7B52">
              <w:t>3</w:t>
            </w:r>
          </w:p>
        </w:tc>
        <w:tc>
          <w:tcPr>
            <w:tcW w:w="756" w:type="pct"/>
            <w:shd w:val="clear" w:color="auto" w:fill="auto"/>
          </w:tcPr>
          <w:p w14:paraId="582B2636" w14:textId="77777777" w:rsidR="00AC7B52" w:rsidRPr="00AC7B52" w:rsidRDefault="00AC7B52" w:rsidP="00971EBF">
            <w:pPr>
              <w:pStyle w:val="Tabletext"/>
            </w:pPr>
            <w:r w:rsidRPr="00AC7B52">
              <w:t>NA</w:t>
            </w:r>
          </w:p>
        </w:tc>
      </w:tr>
      <w:tr w:rsidR="004F0FDA" w:rsidRPr="00AC7B52" w14:paraId="19E31A61" w14:textId="77777777" w:rsidTr="004F0FDA">
        <w:tc>
          <w:tcPr>
            <w:tcW w:w="458" w:type="pct"/>
            <w:shd w:val="clear" w:color="auto" w:fill="auto"/>
          </w:tcPr>
          <w:p w14:paraId="762ACB7D" w14:textId="055AC522" w:rsidR="004F0FDA" w:rsidRDefault="004F0FDA" w:rsidP="004F0FDA">
            <w:pPr>
              <w:pStyle w:val="Tabletext"/>
            </w:pPr>
            <w:r>
              <w:t>50B</w:t>
            </w:r>
          </w:p>
        </w:tc>
        <w:tc>
          <w:tcPr>
            <w:tcW w:w="3040" w:type="pct"/>
            <w:shd w:val="clear" w:color="auto" w:fill="auto"/>
          </w:tcPr>
          <w:p w14:paraId="62CD719F" w14:textId="674A0DAD" w:rsidR="004F0FDA" w:rsidRPr="00AC7B52" w:rsidRDefault="004F0FDA" w:rsidP="004F0FDA">
            <w:pPr>
              <w:pStyle w:val="Tabletext"/>
            </w:pPr>
            <w:r w:rsidRPr="00AC7B52">
              <w:t>Renewable diesel</w:t>
            </w:r>
          </w:p>
        </w:tc>
        <w:tc>
          <w:tcPr>
            <w:tcW w:w="746" w:type="pct"/>
            <w:shd w:val="clear" w:color="auto" w:fill="auto"/>
          </w:tcPr>
          <w:p w14:paraId="7E8CBA4C" w14:textId="50CABB38" w:rsidR="004F0FDA" w:rsidRPr="00AC7B52" w:rsidRDefault="004F0FDA" w:rsidP="004F0FDA">
            <w:pPr>
              <w:pStyle w:val="Tabletext"/>
            </w:pPr>
            <w:r w:rsidRPr="00AC7B52">
              <w:t>2</w:t>
            </w:r>
          </w:p>
        </w:tc>
        <w:tc>
          <w:tcPr>
            <w:tcW w:w="756" w:type="pct"/>
            <w:shd w:val="clear" w:color="auto" w:fill="auto"/>
          </w:tcPr>
          <w:p w14:paraId="77D3F822" w14:textId="0C7D36DA" w:rsidR="004F0FDA" w:rsidRPr="00AC7B52" w:rsidRDefault="004F0FDA" w:rsidP="004F0FDA">
            <w:pPr>
              <w:pStyle w:val="Tabletext"/>
            </w:pPr>
            <w:r w:rsidRPr="00AC7B52">
              <w:t>NA</w:t>
            </w:r>
          </w:p>
        </w:tc>
      </w:tr>
    </w:tbl>
    <w:p w14:paraId="298F2D38" w14:textId="36B6970D" w:rsidR="00AC7B52" w:rsidRPr="00AC7B52" w:rsidRDefault="002F2AF2" w:rsidP="00AC7B52">
      <w:pPr>
        <w:pStyle w:val="ItemHead"/>
      </w:pPr>
      <w:r>
        <w:t>20</w:t>
      </w:r>
      <w:r w:rsidR="00AC7B52" w:rsidRPr="00AC7B52">
        <w:t xml:space="preserve">  Subsection 8.6(1) (table item </w:t>
      </w:r>
      <w:r w:rsidR="004F0FDA">
        <w:t>52</w:t>
      </w:r>
      <w:r w:rsidR="00AC7B52" w:rsidRPr="00AC7B52">
        <w:t>)</w:t>
      </w:r>
    </w:p>
    <w:p w14:paraId="765600C8" w14:textId="77D8A0F8" w:rsidR="00AC7B52" w:rsidRDefault="004F0FDA" w:rsidP="00971EBF">
      <w:pPr>
        <w:pStyle w:val="Item"/>
      </w:pPr>
      <w:r>
        <w:t>Repeal the item, substitute</w:t>
      </w:r>
      <w:r w:rsidR="00AC7B52">
        <w:t>:</w:t>
      </w:r>
    </w:p>
    <w:p w14:paraId="1C2D1350" w14:textId="77777777" w:rsidR="004F0FDA" w:rsidRPr="004F0FDA" w:rsidRDefault="004F0FDA" w:rsidP="004F0FDA">
      <w:pPr>
        <w:pStyle w:val="ItemHead"/>
        <w:spacing w:before="0"/>
        <w:rPr>
          <w:sz w:val="20"/>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62"/>
        <w:gridCol w:w="5054"/>
        <w:gridCol w:w="1240"/>
        <w:gridCol w:w="1257"/>
      </w:tblGrid>
      <w:tr w:rsidR="004F0FDA" w:rsidRPr="00AC7B52" w14:paraId="40678692" w14:textId="77777777" w:rsidTr="001D2C81">
        <w:tc>
          <w:tcPr>
            <w:tcW w:w="458" w:type="pct"/>
            <w:shd w:val="clear" w:color="auto" w:fill="auto"/>
          </w:tcPr>
          <w:p w14:paraId="7483B89F" w14:textId="6DD726C0" w:rsidR="004F0FDA" w:rsidRDefault="004F0FDA" w:rsidP="004F0FDA">
            <w:pPr>
              <w:pStyle w:val="Tabletext"/>
            </w:pPr>
            <w:r>
              <w:t>52</w:t>
            </w:r>
          </w:p>
        </w:tc>
        <w:tc>
          <w:tcPr>
            <w:tcW w:w="3040" w:type="pct"/>
            <w:shd w:val="clear" w:color="auto" w:fill="auto"/>
          </w:tcPr>
          <w:p w14:paraId="7C4E993B" w14:textId="22EF9488" w:rsidR="004F0FDA" w:rsidRPr="00AC7B52" w:rsidRDefault="004F0FDA" w:rsidP="004F0FDA">
            <w:pPr>
              <w:pStyle w:val="Tabletext"/>
            </w:pPr>
            <w:r>
              <w:t>Biofuels other than those mentioned in items 50, 50A, 50B and 51</w:t>
            </w:r>
          </w:p>
        </w:tc>
        <w:tc>
          <w:tcPr>
            <w:tcW w:w="746" w:type="pct"/>
            <w:shd w:val="clear" w:color="auto" w:fill="auto"/>
          </w:tcPr>
          <w:p w14:paraId="6E5954CE" w14:textId="7874B537" w:rsidR="004F0FDA" w:rsidRPr="00AC7B52" w:rsidRDefault="004F0FDA" w:rsidP="004F0FDA">
            <w:pPr>
              <w:pStyle w:val="Tabletext"/>
            </w:pPr>
            <w:r>
              <w:t>50</w:t>
            </w:r>
          </w:p>
        </w:tc>
        <w:tc>
          <w:tcPr>
            <w:tcW w:w="756" w:type="pct"/>
            <w:shd w:val="clear" w:color="auto" w:fill="auto"/>
          </w:tcPr>
          <w:p w14:paraId="74176416" w14:textId="5ECA1C45" w:rsidR="004F0FDA" w:rsidRPr="00AC7B52" w:rsidRDefault="004F0FDA" w:rsidP="004F0FDA">
            <w:pPr>
              <w:pStyle w:val="Tabletext"/>
            </w:pPr>
            <w:r>
              <w:t>NA</w:t>
            </w:r>
          </w:p>
        </w:tc>
      </w:tr>
    </w:tbl>
    <w:p w14:paraId="0638A9D7" w14:textId="15CDA205" w:rsidR="00900BA5" w:rsidRDefault="00A62439" w:rsidP="00900BA5">
      <w:pPr>
        <w:pStyle w:val="ItemHead"/>
      </w:pPr>
      <w:r>
        <w:t>2</w:t>
      </w:r>
      <w:r w:rsidR="002F2AF2">
        <w:t>1</w:t>
      </w:r>
      <w:r w:rsidR="00900BA5">
        <w:t xml:space="preserve">  After section 9.15</w:t>
      </w:r>
    </w:p>
    <w:p w14:paraId="46D85F7E" w14:textId="38B86E92" w:rsidR="00900BA5" w:rsidRDefault="00900BA5" w:rsidP="00900BA5">
      <w:pPr>
        <w:pStyle w:val="Item"/>
      </w:pPr>
      <w:r>
        <w:t>Add:</w:t>
      </w:r>
    </w:p>
    <w:p w14:paraId="75D43C10" w14:textId="77777777" w:rsidR="00900BA5" w:rsidRPr="0005417A" w:rsidRDefault="00900BA5" w:rsidP="00900BA5">
      <w:pPr>
        <w:pStyle w:val="ActHead5"/>
      </w:pPr>
      <w:bookmarkStart w:id="24" w:name="_Toc42090455"/>
      <w:bookmarkStart w:id="25" w:name="_Toc107314747"/>
      <w:r w:rsidRPr="0005417A">
        <w:rPr>
          <w:rStyle w:val="CharSectno"/>
        </w:rPr>
        <w:lastRenderedPageBreak/>
        <w:t>9.1</w:t>
      </w:r>
      <w:r>
        <w:rPr>
          <w:rStyle w:val="CharSectno"/>
        </w:rPr>
        <w:t>6</w:t>
      </w:r>
      <w:r w:rsidRPr="0005417A">
        <w:t xml:space="preserve">  Amendments made by the </w:t>
      </w:r>
      <w:r w:rsidRPr="0005417A">
        <w:rPr>
          <w:i/>
        </w:rPr>
        <w:t>National Greenhouse and Energy Reporting (Measurement) Amendment (202</w:t>
      </w:r>
      <w:r>
        <w:rPr>
          <w:i/>
        </w:rPr>
        <w:t>3</w:t>
      </w:r>
      <w:r w:rsidRPr="0005417A">
        <w:rPr>
          <w:i/>
        </w:rPr>
        <w:t xml:space="preserve"> Update) Determination 202</w:t>
      </w:r>
      <w:bookmarkEnd w:id="24"/>
      <w:bookmarkEnd w:id="25"/>
      <w:r>
        <w:rPr>
          <w:i/>
        </w:rPr>
        <w:t>3</w:t>
      </w:r>
    </w:p>
    <w:p w14:paraId="6A11231A" w14:textId="77777777" w:rsidR="00900BA5" w:rsidRPr="0005417A" w:rsidRDefault="00900BA5" w:rsidP="00900BA5">
      <w:pPr>
        <w:pStyle w:val="subsection"/>
      </w:pPr>
      <w:r w:rsidRPr="0005417A">
        <w:tab/>
      </w:r>
      <w:r w:rsidRPr="0005417A">
        <w:tab/>
        <w:t xml:space="preserve">The amendments made by the </w:t>
      </w:r>
      <w:r w:rsidRPr="0005417A">
        <w:rPr>
          <w:i/>
        </w:rPr>
        <w:t>National Greenhouse and Energy Reporting (Measurement) Amendment (202</w:t>
      </w:r>
      <w:r>
        <w:rPr>
          <w:i/>
        </w:rPr>
        <w:t>3</w:t>
      </w:r>
      <w:r w:rsidRPr="0005417A">
        <w:rPr>
          <w:i/>
        </w:rPr>
        <w:t xml:space="preserve"> Update) Determination 202</w:t>
      </w:r>
      <w:r>
        <w:rPr>
          <w:i/>
        </w:rPr>
        <w:t>3</w:t>
      </w:r>
      <w:r w:rsidRPr="0005417A">
        <w:t xml:space="preserve"> apply in relation to:</w:t>
      </w:r>
    </w:p>
    <w:p w14:paraId="2E7C8EDD" w14:textId="77777777" w:rsidR="00900BA5" w:rsidRPr="0005417A" w:rsidRDefault="00900BA5" w:rsidP="00900BA5">
      <w:pPr>
        <w:pStyle w:val="paragraph"/>
      </w:pPr>
      <w:r w:rsidRPr="0005417A">
        <w:tab/>
        <w:t>(a)</w:t>
      </w:r>
      <w:r w:rsidRPr="0005417A">
        <w:tab/>
        <w:t>the financial year starting on 1 July 202</w:t>
      </w:r>
      <w:r>
        <w:t>3</w:t>
      </w:r>
      <w:r w:rsidRPr="0005417A">
        <w:t>; and</w:t>
      </w:r>
    </w:p>
    <w:p w14:paraId="7B8175C5" w14:textId="77777777" w:rsidR="00900BA5" w:rsidRDefault="00900BA5" w:rsidP="00900BA5">
      <w:pPr>
        <w:pStyle w:val="paragraph"/>
      </w:pPr>
      <w:r w:rsidRPr="0005417A">
        <w:tab/>
        <w:t>(b)</w:t>
      </w:r>
      <w:r w:rsidRPr="0005417A">
        <w:tab/>
        <w:t>later financial years.</w:t>
      </w:r>
    </w:p>
    <w:p w14:paraId="5A69C33C" w14:textId="3D17D107" w:rsidR="001C47F4" w:rsidRDefault="00A02461" w:rsidP="001C47F4">
      <w:pPr>
        <w:pStyle w:val="ItemHead"/>
      </w:pPr>
      <w:r>
        <w:t>2</w:t>
      </w:r>
      <w:r w:rsidR="002F2AF2">
        <w:t>2</w:t>
      </w:r>
      <w:r w:rsidR="001C47F4">
        <w:t xml:space="preserve">  Part 2 of Schedule 1 (table item 17, column 2)</w:t>
      </w:r>
    </w:p>
    <w:p w14:paraId="3ECA3E42" w14:textId="3DB86994" w:rsidR="001C47F4" w:rsidRDefault="001C47F4" w:rsidP="001C47F4">
      <w:pPr>
        <w:pStyle w:val="Item"/>
      </w:pPr>
      <w:r>
        <w:t>After “Natural gas”, insert “transmitted or”.</w:t>
      </w:r>
    </w:p>
    <w:p w14:paraId="02B0F6E1" w14:textId="7B26C9F4" w:rsidR="00AC7B52" w:rsidRDefault="00E8058E" w:rsidP="00AC7B52">
      <w:pPr>
        <w:pStyle w:val="ItemHead"/>
      </w:pPr>
      <w:r>
        <w:t>2</w:t>
      </w:r>
      <w:r w:rsidR="002F2AF2">
        <w:t>3</w:t>
      </w:r>
      <w:r w:rsidR="00AC7B52">
        <w:t xml:space="preserve">  Part 3 of Schedule 1 (after table item 50)</w:t>
      </w:r>
    </w:p>
    <w:p w14:paraId="59FBB668" w14:textId="4D76F047" w:rsidR="00AC7B52" w:rsidRDefault="00AC7B52" w:rsidP="00AC7B52">
      <w:pPr>
        <w:pStyle w:val="Item"/>
      </w:pPr>
      <w:r>
        <w:t>Add:</w:t>
      </w:r>
    </w:p>
    <w:p w14:paraId="66ECAB75" w14:textId="77777777" w:rsidR="00AC7B52" w:rsidRPr="00AC7B52" w:rsidRDefault="00AC7B52" w:rsidP="00AC7B52">
      <w:pPr>
        <w:pStyle w:val="ItemHead"/>
        <w:spacing w:before="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3187"/>
        <w:gridCol w:w="1561"/>
        <w:gridCol w:w="960"/>
        <w:gridCol w:w="960"/>
        <w:gridCol w:w="975"/>
      </w:tblGrid>
      <w:tr w:rsidR="00AC7B52" w:rsidRPr="00755ED8" w14:paraId="6D7BA3E7" w14:textId="77777777" w:rsidTr="00AC7B52">
        <w:trPr>
          <w:cantSplit/>
        </w:trPr>
        <w:tc>
          <w:tcPr>
            <w:tcW w:w="397" w:type="pct"/>
          </w:tcPr>
          <w:p w14:paraId="708B12B8" w14:textId="77777777" w:rsidR="00AC7B52" w:rsidRPr="00AC7B52" w:rsidRDefault="00AC7B52" w:rsidP="00971EBF">
            <w:pPr>
              <w:pStyle w:val="Tabletext"/>
              <w:rPr>
                <w:snapToGrid w:val="0"/>
              </w:rPr>
            </w:pPr>
            <w:r w:rsidRPr="00AC7B52">
              <w:rPr>
                <w:snapToGrid w:val="0"/>
              </w:rPr>
              <w:t>50A</w:t>
            </w:r>
          </w:p>
        </w:tc>
        <w:tc>
          <w:tcPr>
            <w:tcW w:w="1919" w:type="pct"/>
          </w:tcPr>
          <w:p w14:paraId="225A00CD" w14:textId="7CB70507" w:rsidR="00AC7B52" w:rsidRPr="00AC7B52" w:rsidRDefault="00AE6E6E" w:rsidP="00971EBF">
            <w:pPr>
              <w:pStyle w:val="Tabletext"/>
              <w:rPr>
                <w:snapToGrid w:val="0"/>
              </w:rPr>
            </w:pPr>
            <w:r w:rsidRPr="00AC7B52">
              <w:rPr>
                <w:snapToGrid w:val="0"/>
              </w:rPr>
              <w:t xml:space="preserve">Renewable </w:t>
            </w:r>
            <w:r>
              <w:rPr>
                <w:snapToGrid w:val="0"/>
              </w:rPr>
              <w:t xml:space="preserve">aviation </w:t>
            </w:r>
            <w:r w:rsidRPr="00AC7B52">
              <w:rPr>
                <w:snapToGrid w:val="0"/>
              </w:rPr>
              <w:t>kerosene</w:t>
            </w:r>
          </w:p>
        </w:tc>
        <w:tc>
          <w:tcPr>
            <w:tcW w:w="940" w:type="pct"/>
          </w:tcPr>
          <w:p w14:paraId="71DD77EF" w14:textId="4EB6FC8B" w:rsidR="00AC7B52" w:rsidRPr="00AC7B52" w:rsidRDefault="00AE6E6E" w:rsidP="00971EBF">
            <w:pPr>
              <w:pStyle w:val="Tabletext"/>
              <w:rPr>
                <w:snapToGrid w:val="0"/>
              </w:rPr>
            </w:pPr>
            <w:r w:rsidRPr="00AC7B52">
              <w:rPr>
                <w:snapToGrid w:val="0"/>
              </w:rPr>
              <w:t>36.8</w:t>
            </w:r>
          </w:p>
        </w:tc>
        <w:tc>
          <w:tcPr>
            <w:tcW w:w="578" w:type="pct"/>
          </w:tcPr>
          <w:p w14:paraId="584F0642" w14:textId="77777777" w:rsidR="00AC7B52" w:rsidRPr="00AC7B52" w:rsidRDefault="00AC7B52" w:rsidP="00971EBF">
            <w:pPr>
              <w:pStyle w:val="Tabletext"/>
              <w:rPr>
                <w:snapToGrid w:val="0"/>
              </w:rPr>
            </w:pPr>
            <w:r w:rsidRPr="00AC7B52">
              <w:rPr>
                <w:snapToGrid w:val="0"/>
              </w:rPr>
              <w:t>0.0</w:t>
            </w:r>
          </w:p>
        </w:tc>
        <w:tc>
          <w:tcPr>
            <w:tcW w:w="578" w:type="pct"/>
          </w:tcPr>
          <w:p w14:paraId="6AAFE452" w14:textId="3AA4DC65" w:rsidR="00AC7B52" w:rsidRPr="00AC7B52" w:rsidRDefault="00AE6E6E" w:rsidP="00971EBF">
            <w:pPr>
              <w:pStyle w:val="Tabletext"/>
            </w:pPr>
            <w:r w:rsidRPr="00AC7B52">
              <w:t>0.02</w:t>
            </w:r>
          </w:p>
        </w:tc>
        <w:tc>
          <w:tcPr>
            <w:tcW w:w="587" w:type="pct"/>
          </w:tcPr>
          <w:p w14:paraId="78D70F87" w14:textId="77777777" w:rsidR="00AC7B52" w:rsidRPr="00AC7B52" w:rsidRDefault="00AC7B52" w:rsidP="00971EBF">
            <w:pPr>
              <w:pStyle w:val="Tabletext"/>
            </w:pPr>
            <w:r w:rsidRPr="00AC7B52">
              <w:t>0.2</w:t>
            </w:r>
          </w:p>
        </w:tc>
      </w:tr>
      <w:tr w:rsidR="00AC7B52" w:rsidRPr="00755ED8" w14:paraId="03687511" w14:textId="77777777" w:rsidTr="00AC7B52">
        <w:trPr>
          <w:cantSplit/>
        </w:trPr>
        <w:tc>
          <w:tcPr>
            <w:tcW w:w="397" w:type="pct"/>
          </w:tcPr>
          <w:p w14:paraId="3B4BCA7B" w14:textId="77777777" w:rsidR="00AC7B52" w:rsidRPr="00AC7B52" w:rsidRDefault="00AC7B52" w:rsidP="00971EBF">
            <w:pPr>
              <w:pStyle w:val="Tabletext"/>
              <w:rPr>
                <w:snapToGrid w:val="0"/>
              </w:rPr>
            </w:pPr>
            <w:r w:rsidRPr="00AC7B52">
              <w:rPr>
                <w:snapToGrid w:val="0"/>
              </w:rPr>
              <w:t>50B</w:t>
            </w:r>
          </w:p>
        </w:tc>
        <w:tc>
          <w:tcPr>
            <w:tcW w:w="1919" w:type="pct"/>
          </w:tcPr>
          <w:p w14:paraId="65A3AA5F" w14:textId="7FEB6BF5" w:rsidR="00AC7B52" w:rsidRPr="00AC7B52" w:rsidRDefault="00AE6E6E" w:rsidP="00971EBF">
            <w:pPr>
              <w:pStyle w:val="Tabletext"/>
              <w:rPr>
                <w:snapToGrid w:val="0"/>
              </w:rPr>
            </w:pPr>
            <w:r w:rsidRPr="00AC7B52">
              <w:rPr>
                <w:snapToGrid w:val="0"/>
              </w:rPr>
              <w:t xml:space="preserve">Renewable diesel </w:t>
            </w:r>
          </w:p>
        </w:tc>
        <w:tc>
          <w:tcPr>
            <w:tcW w:w="940" w:type="pct"/>
          </w:tcPr>
          <w:p w14:paraId="52CBE89C" w14:textId="60CBE7FF" w:rsidR="00AC7B52" w:rsidRPr="00AC7B52" w:rsidRDefault="00AE6E6E" w:rsidP="00971EBF">
            <w:pPr>
              <w:pStyle w:val="Tabletext"/>
              <w:rPr>
                <w:snapToGrid w:val="0"/>
              </w:rPr>
            </w:pPr>
            <w:r w:rsidRPr="00AC7B52">
              <w:rPr>
                <w:snapToGrid w:val="0"/>
              </w:rPr>
              <w:t>38.6</w:t>
            </w:r>
          </w:p>
        </w:tc>
        <w:tc>
          <w:tcPr>
            <w:tcW w:w="578" w:type="pct"/>
          </w:tcPr>
          <w:p w14:paraId="73A78A4D" w14:textId="77777777" w:rsidR="00AC7B52" w:rsidRPr="00AC7B52" w:rsidRDefault="00AC7B52" w:rsidP="00971EBF">
            <w:pPr>
              <w:pStyle w:val="Tabletext"/>
              <w:rPr>
                <w:snapToGrid w:val="0"/>
              </w:rPr>
            </w:pPr>
            <w:r w:rsidRPr="00AC7B52">
              <w:rPr>
                <w:snapToGrid w:val="0"/>
              </w:rPr>
              <w:t>0.0</w:t>
            </w:r>
          </w:p>
        </w:tc>
        <w:tc>
          <w:tcPr>
            <w:tcW w:w="578" w:type="pct"/>
          </w:tcPr>
          <w:p w14:paraId="7D719FCF" w14:textId="48AFF305" w:rsidR="00AC7B52" w:rsidRPr="00AC7B52" w:rsidRDefault="00AE6E6E" w:rsidP="00971EBF">
            <w:pPr>
              <w:pStyle w:val="Tabletext"/>
            </w:pPr>
            <w:r w:rsidRPr="00AC7B52">
              <w:t>0.1</w:t>
            </w:r>
          </w:p>
        </w:tc>
        <w:tc>
          <w:tcPr>
            <w:tcW w:w="587" w:type="pct"/>
          </w:tcPr>
          <w:p w14:paraId="0B0CC183" w14:textId="77777777" w:rsidR="00AC7B52" w:rsidRPr="00AC7B52" w:rsidRDefault="00AC7B52" w:rsidP="00971EBF">
            <w:pPr>
              <w:pStyle w:val="Tabletext"/>
            </w:pPr>
            <w:r w:rsidRPr="00AC7B52">
              <w:t>0.2</w:t>
            </w:r>
          </w:p>
        </w:tc>
      </w:tr>
    </w:tbl>
    <w:p w14:paraId="31F42C4C" w14:textId="4FF838F2" w:rsidR="00974564" w:rsidRDefault="00974564" w:rsidP="00974564">
      <w:pPr>
        <w:pStyle w:val="ItemHead"/>
      </w:pPr>
      <w:r>
        <w:t>2</w:t>
      </w:r>
      <w:r w:rsidR="002F2AF2">
        <w:t>4</w:t>
      </w:r>
      <w:r>
        <w:t xml:space="preserve">  Part 3 of Schedule 1 (table item 52)</w:t>
      </w:r>
    </w:p>
    <w:p w14:paraId="3C8EA4D3" w14:textId="2117F598" w:rsidR="00974564" w:rsidRDefault="00974564" w:rsidP="00974564">
      <w:pPr>
        <w:pStyle w:val="Item"/>
      </w:pPr>
      <w:r>
        <w:t>Repeal the item, substitute:</w:t>
      </w:r>
    </w:p>
    <w:p w14:paraId="2F3598EB" w14:textId="77777777" w:rsidR="00974564" w:rsidRPr="000D711C" w:rsidRDefault="00974564" w:rsidP="000D711C">
      <w:pPr>
        <w:pStyle w:val="ItemHead"/>
        <w:spacing w:before="0"/>
        <w:rPr>
          <w:sz w:val="20"/>
        </w:rPr>
      </w:pPr>
    </w:p>
    <w:tbl>
      <w:tblPr>
        <w:tblW w:w="5000" w:type="pct"/>
        <w:shd w:val="clear" w:color="auto" w:fill="FFFFFF"/>
        <w:tblCellMar>
          <w:left w:w="0" w:type="dxa"/>
          <w:right w:w="0" w:type="dxa"/>
        </w:tblCellMar>
        <w:tblLook w:val="04A0" w:firstRow="1" w:lastRow="0" w:firstColumn="1" w:lastColumn="0" w:noHBand="0" w:noVBand="1"/>
      </w:tblPr>
      <w:tblGrid>
        <w:gridCol w:w="605"/>
        <w:gridCol w:w="3282"/>
        <w:gridCol w:w="1556"/>
        <w:gridCol w:w="950"/>
        <w:gridCol w:w="950"/>
        <w:gridCol w:w="950"/>
      </w:tblGrid>
      <w:tr w:rsidR="00974564" w:rsidRPr="00974564" w14:paraId="21F45ACB" w14:textId="77777777" w:rsidTr="00974564">
        <w:tc>
          <w:tcPr>
            <w:tcW w:w="350" w:type="pct"/>
            <w:tcBorders>
              <w:top w:val="nil"/>
              <w:left w:val="single" w:sz="8" w:space="0" w:color="auto"/>
              <w:bottom w:val="single" w:sz="12" w:space="0" w:color="auto"/>
              <w:right w:val="single" w:sz="8" w:space="0" w:color="auto"/>
            </w:tcBorders>
            <w:shd w:val="clear" w:color="auto" w:fill="FFFFFF"/>
            <w:tcMar>
              <w:top w:w="0" w:type="dxa"/>
              <w:left w:w="108" w:type="dxa"/>
              <w:bottom w:w="0" w:type="dxa"/>
              <w:right w:w="108" w:type="dxa"/>
            </w:tcMar>
            <w:hideMark/>
          </w:tcPr>
          <w:p w14:paraId="5BEBAEF4" w14:textId="77777777" w:rsidR="00974564" w:rsidRPr="00974564" w:rsidRDefault="00974564" w:rsidP="00974564">
            <w:pPr>
              <w:spacing w:before="60" w:line="240" w:lineRule="atLeast"/>
              <w:rPr>
                <w:rFonts w:eastAsia="Times New Roman"/>
                <w:sz w:val="20"/>
                <w:lang w:eastAsia="en-AU"/>
              </w:rPr>
            </w:pPr>
            <w:r w:rsidRPr="00974564">
              <w:rPr>
                <w:rFonts w:eastAsia="Times New Roman"/>
                <w:sz w:val="20"/>
                <w:lang w:eastAsia="en-AU"/>
              </w:rPr>
              <w:t>52</w:t>
            </w:r>
          </w:p>
        </w:tc>
        <w:tc>
          <w:tcPr>
            <w:tcW w:w="1900" w:type="pct"/>
            <w:tcBorders>
              <w:top w:val="nil"/>
              <w:left w:val="nil"/>
              <w:bottom w:val="single" w:sz="12" w:space="0" w:color="auto"/>
              <w:right w:val="single" w:sz="8" w:space="0" w:color="auto"/>
            </w:tcBorders>
            <w:shd w:val="clear" w:color="auto" w:fill="FFFFFF"/>
            <w:tcMar>
              <w:top w:w="0" w:type="dxa"/>
              <w:left w:w="108" w:type="dxa"/>
              <w:bottom w:w="0" w:type="dxa"/>
              <w:right w:w="108" w:type="dxa"/>
            </w:tcMar>
            <w:hideMark/>
          </w:tcPr>
          <w:p w14:paraId="7BA39B88" w14:textId="4009024E" w:rsidR="00974564" w:rsidRPr="00974564" w:rsidRDefault="00974564" w:rsidP="00974564">
            <w:pPr>
              <w:spacing w:before="60" w:line="240" w:lineRule="atLeast"/>
              <w:rPr>
                <w:rFonts w:eastAsia="Times New Roman"/>
                <w:sz w:val="20"/>
                <w:lang w:eastAsia="en-AU"/>
              </w:rPr>
            </w:pPr>
            <w:r w:rsidRPr="00974564">
              <w:rPr>
                <w:rFonts w:eastAsia="Times New Roman"/>
                <w:sz w:val="20"/>
                <w:lang w:eastAsia="en-AU"/>
              </w:rPr>
              <w:t>Biofuels other than those mentioned in items 50</w:t>
            </w:r>
            <w:r>
              <w:rPr>
                <w:rFonts w:eastAsia="Times New Roman"/>
                <w:sz w:val="20"/>
                <w:lang w:eastAsia="en-AU"/>
              </w:rPr>
              <w:t>, 50A, 50B</w:t>
            </w:r>
            <w:r w:rsidRPr="00974564">
              <w:rPr>
                <w:rFonts w:eastAsia="Times New Roman"/>
                <w:sz w:val="20"/>
                <w:lang w:eastAsia="en-AU"/>
              </w:rPr>
              <w:t xml:space="preserve"> and 51</w:t>
            </w:r>
          </w:p>
        </w:tc>
        <w:tc>
          <w:tcPr>
            <w:tcW w:w="900" w:type="pct"/>
            <w:tcBorders>
              <w:top w:val="nil"/>
              <w:left w:val="nil"/>
              <w:bottom w:val="single" w:sz="12" w:space="0" w:color="auto"/>
              <w:right w:val="single" w:sz="8" w:space="0" w:color="auto"/>
            </w:tcBorders>
            <w:shd w:val="clear" w:color="auto" w:fill="FFFFFF"/>
            <w:tcMar>
              <w:top w:w="0" w:type="dxa"/>
              <w:left w:w="108" w:type="dxa"/>
              <w:bottom w:w="0" w:type="dxa"/>
              <w:right w:w="108" w:type="dxa"/>
            </w:tcMar>
            <w:hideMark/>
          </w:tcPr>
          <w:p w14:paraId="4E92A8E4" w14:textId="77777777" w:rsidR="00974564" w:rsidRPr="00974564" w:rsidRDefault="00974564" w:rsidP="00974564">
            <w:pPr>
              <w:spacing w:before="60" w:line="240" w:lineRule="atLeast"/>
              <w:rPr>
                <w:rFonts w:eastAsia="Times New Roman"/>
                <w:sz w:val="20"/>
                <w:lang w:eastAsia="en-AU"/>
              </w:rPr>
            </w:pPr>
            <w:r w:rsidRPr="00974564">
              <w:rPr>
                <w:rFonts w:eastAsia="Times New Roman"/>
                <w:sz w:val="20"/>
                <w:lang w:eastAsia="en-AU"/>
              </w:rPr>
              <w:t>23.4</w:t>
            </w:r>
          </w:p>
        </w:tc>
        <w:tc>
          <w:tcPr>
            <w:tcW w:w="550" w:type="pct"/>
            <w:tcBorders>
              <w:top w:val="nil"/>
              <w:left w:val="nil"/>
              <w:bottom w:val="single" w:sz="12" w:space="0" w:color="auto"/>
              <w:right w:val="single" w:sz="8" w:space="0" w:color="auto"/>
            </w:tcBorders>
            <w:shd w:val="clear" w:color="auto" w:fill="FFFFFF"/>
            <w:tcMar>
              <w:top w:w="0" w:type="dxa"/>
              <w:left w:w="108" w:type="dxa"/>
              <w:bottom w:w="0" w:type="dxa"/>
              <w:right w:w="108" w:type="dxa"/>
            </w:tcMar>
            <w:hideMark/>
          </w:tcPr>
          <w:p w14:paraId="6B660FA9" w14:textId="77777777" w:rsidR="00974564" w:rsidRPr="00974564" w:rsidRDefault="00974564" w:rsidP="00974564">
            <w:pPr>
              <w:spacing w:before="60" w:line="240" w:lineRule="atLeast"/>
              <w:rPr>
                <w:rFonts w:eastAsia="Times New Roman"/>
                <w:sz w:val="20"/>
                <w:lang w:eastAsia="en-AU"/>
              </w:rPr>
            </w:pPr>
            <w:r w:rsidRPr="00974564">
              <w:rPr>
                <w:rFonts w:eastAsia="Times New Roman"/>
                <w:sz w:val="20"/>
                <w:lang w:eastAsia="en-AU"/>
              </w:rPr>
              <w:t>0.0</w:t>
            </w:r>
          </w:p>
        </w:tc>
        <w:tc>
          <w:tcPr>
            <w:tcW w:w="550" w:type="pct"/>
            <w:tcBorders>
              <w:top w:val="nil"/>
              <w:left w:val="nil"/>
              <w:bottom w:val="single" w:sz="12" w:space="0" w:color="auto"/>
              <w:right w:val="single" w:sz="8" w:space="0" w:color="auto"/>
            </w:tcBorders>
            <w:shd w:val="clear" w:color="auto" w:fill="FFFFFF"/>
            <w:tcMar>
              <w:top w:w="0" w:type="dxa"/>
              <w:left w:w="108" w:type="dxa"/>
              <w:bottom w:w="0" w:type="dxa"/>
              <w:right w:w="108" w:type="dxa"/>
            </w:tcMar>
            <w:hideMark/>
          </w:tcPr>
          <w:p w14:paraId="4573C89F" w14:textId="77777777" w:rsidR="00974564" w:rsidRPr="00974564" w:rsidRDefault="00974564" w:rsidP="00974564">
            <w:pPr>
              <w:spacing w:before="60" w:line="240" w:lineRule="atLeast"/>
              <w:rPr>
                <w:rFonts w:eastAsia="Times New Roman"/>
                <w:sz w:val="20"/>
                <w:lang w:eastAsia="en-AU"/>
              </w:rPr>
            </w:pPr>
            <w:r w:rsidRPr="00974564">
              <w:rPr>
                <w:rFonts w:eastAsia="Times New Roman"/>
                <w:sz w:val="20"/>
                <w:lang w:eastAsia="en-AU"/>
              </w:rPr>
              <w:t>0.08</w:t>
            </w:r>
          </w:p>
        </w:tc>
        <w:tc>
          <w:tcPr>
            <w:tcW w:w="550" w:type="pct"/>
            <w:tcBorders>
              <w:top w:val="nil"/>
              <w:left w:val="nil"/>
              <w:bottom w:val="single" w:sz="12" w:space="0" w:color="auto"/>
              <w:right w:val="single" w:sz="8" w:space="0" w:color="auto"/>
            </w:tcBorders>
            <w:shd w:val="clear" w:color="auto" w:fill="FFFFFF"/>
            <w:tcMar>
              <w:top w:w="0" w:type="dxa"/>
              <w:left w:w="108" w:type="dxa"/>
              <w:bottom w:w="0" w:type="dxa"/>
              <w:right w:w="108" w:type="dxa"/>
            </w:tcMar>
            <w:hideMark/>
          </w:tcPr>
          <w:p w14:paraId="05E449EA" w14:textId="77777777" w:rsidR="00974564" w:rsidRPr="00974564" w:rsidRDefault="00974564" w:rsidP="00974564">
            <w:pPr>
              <w:spacing w:before="60" w:line="240" w:lineRule="atLeast"/>
              <w:rPr>
                <w:rFonts w:eastAsia="Times New Roman"/>
                <w:sz w:val="20"/>
                <w:lang w:eastAsia="en-AU"/>
              </w:rPr>
            </w:pPr>
            <w:r w:rsidRPr="00974564">
              <w:rPr>
                <w:rFonts w:eastAsia="Times New Roman"/>
                <w:sz w:val="20"/>
                <w:lang w:eastAsia="en-AU"/>
              </w:rPr>
              <w:t>0.2</w:t>
            </w:r>
          </w:p>
        </w:tc>
      </w:tr>
    </w:tbl>
    <w:p w14:paraId="53E32DE4" w14:textId="1CB2FA72" w:rsidR="00AC7B52" w:rsidRDefault="00E8058E" w:rsidP="00AC7B52">
      <w:pPr>
        <w:pStyle w:val="ItemHead"/>
      </w:pPr>
      <w:r>
        <w:t>2</w:t>
      </w:r>
      <w:r w:rsidR="002F2AF2">
        <w:t>5</w:t>
      </w:r>
      <w:r w:rsidR="00AC7B52">
        <w:t xml:space="preserve">  Division 4.1 of </w:t>
      </w:r>
      <w:r w:rsidR="00200E6F">
        <w:t xml:space="preserve">Part 4 of </w:t>
      </w:r>
      <w:r w:rsidR="00AC7B52">
        <w:t>Schedule 1 (after table item 5</w:t>
      </w:r>
      <w:r w:rsidR="00FB04CA">
        <w:t>9</w:t>
      </w:r>
      <w:r w:rsidR="00AC7B52">
        <w:t>)</w:t>
      </w:r>
    </w:p>
    <w:p w14:paraId="4D647651" w14:textId="77777777" w:rsidR="00AC7B52" w:rsidRDefault="00AC7B52" w:rsidP="00AC7B52">
      <w:pPr>
        <w:pStyle w:val="Item"/>
      </w:pPr>
      <w:r>
        <w:t>Add:</w:t>
      </w:r>
    </w:p>
    <w:p w14:paraId="221BF03F" w14:textId="77777777" w:rsidR="00AC7B52" w:rsidRPr="00AC7B52" w:rsidRDefault="00AC7B52" w:rsidP="00AC7B52">
      <w:pPr>
        <w:pStyle w:val="ItemHead"/>
        <w:spacing w:before="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3187"/>
        <w:gridCol w:w="1561"/>
        <w:gridCol w:w="960"/>
        <w:gridCol w:w="960"/>
        <w:gridCol w:w="975"/>
      </w:tblGrid>
      <w:tr w:rsidR="00FB04CA" w:rsidRPr="00755ED8" w14:paraId="5E084874" w14:textId="77777777" w:rsidTr="00FB04CA">
        <w:trPr>
          <w:cantSplit/>
        </w:trPr>
        <w:tc>
          <w:tcPr>
            <w:tcW w:w="397" w:type="pct"/>
          </w:tcPr>
          <w:p w14:paraId="24DC6D2A" w14:textId="1BA5A158" w:rsidR="00FB04CA" w:rsidRPr="00FB04CA" w:rsidRDefault="00FB04CA" w:rsidP="00FB04CA">
            <w:pPr>
              <w:pStyle w:val="Tabletext"/>
              <w:rPr>
                <w:snapToGrid w:val="0"/>
              </w:rPr>
            </w:pPr>
            <w:r w:rsidRPr="00FB04CA">
              <w:rPr>
                <w:snapToGrid w:val="0"/>
              </w:rPr>
              <w:t>59A</w:t>
            </w:r>
          </w:p>
        </w:tc>
        <w:tc>
          <w:tcPr>
            <w:tcW w:w="1919" w:type="pct"/>
          </w:tcPr>
          <w:p w14:paraId="3754BAA7" w14:textId="2AB3C1FD" w:rsidR="00FB04CA" w:rsidRPr="00FB04CA" w:rsidRDefault="00FB04CA" w:rsidP="00FB04CA">
            <w:pPr>
              <w:pStyle w:val="Tabletext"/>
              <w:rPr>
                <w:snapToGrid w:val="0"/>
              </w:rPr>
            </w:pPr>
            <w:r w:rsidRPr="00FB04CA">
              <w:rPr>
                <w:snapToGrid w:val="0"/>
              </w:rPr>
              <w:t>Renewable</w:t>
            </w:r>
            <w:r w:rsidR="00AE6E6E">
              <w:rPr>
                <w:snapToGrid w:val="0"/>
              </w:rPr>
              <w:t xml:space="preserve"> aviation </w:t>
            </w:r>
            <w:r w:rsidR="00AE6E6E" w:rsidRPr="00FB04CA">
              <w:rPr>
                <w:snapToGrid w:val="0"/>
              </w:rPr>
              <w:t>kerosene</w:t>
            </w:r>
            <w:r w:rsidRPr="00FB04CA">
              <w:rPr>
                <w:snapToGrid w:val="0"/>
              </w:rPr>
              <w:t xml:space="preserve"> </w:t>
            </w:r>
          </w:p>
        </w:tc>
        <w:tc>
          <w:tcPr>
            <w:tcW w:w="940" w:type="pct"/>
          </w:tcPr>
          <w:p w14:paraId="48895CB4" w14:textId="2C62DAD7" w:rsidR="00FB04CA" w:rsidRPr="00FB04CA" w:rsidRDefault="00AE6E6E" w:rsidP="00FB04CA">
            <w:pPr>
              <w:pStyle w:val="Tabletext"/>
              <w:rPr>
                <w:snapToGrid w:val="0"/>
              </w:rPr>
            </w:pPr>
            <w:r w:rsidRPr="00FB04CA">
              <w:rPr>
                <w:snapToGrid w:val="0"/>
              </w:rPr>
              <w:t>36.8</w:t>
            </w:r>
          </w:p>
        </w:tc>
        <w:tc>
          <w:tcPr>
            <w:tcW w:w="578" w:type="pct"/>
          </w:tcPr>
          <w:p w14:paraId="58B63C88" w14:textId="7BCA00AB" w:rsidR="00FB04CA" w:rsidRPr="00FB04CA" w:rsidRDefault="00FB04CA" w:rsidP="00FB04CA">
            <w:pPr>
              <w:pStyle w:val="Tabletext"/>
              <w:rPr>
                <w:snapToGrid w:val="0"/>
              </w:rPr>
            </w:pPr>
            <w:r w:rsidRPr="00FB04CA">
              <w:rPr>
                <w:snapToGrid w:val="0"/>
              </w:rPr>
              <w:t>0.0</w:t>
            </w:r>
          </w:p>
        </w:tc>
        <w:tc>
          <w:tcPr>
            <w:tcW w:w="578" w:type="pct"/>
          </w:tcPr>
          <w:p w14:paraId="623D10C2" w14:textId="37EFB6F2" w:rsidR="00FB04CA" w:rsidRPr="00FB04CA" w:rsidRDefault="00FB04CA" w:rsidP="00FB04CA">
            <w:pPr>
              <w:pStyle w:val="Tabletext"/>
            </w:pPr>
            <w:r w:rsidRPr="00FB04CA">
              <w:t>0.</w:t>
            </w:r>
            <w:r w:rsidR="00AE6E6E">
              <w:t>0</w:t>
            </w:r>
            <w:r w:rsidRPr="00FB04CA">
              <w:t>1</w:t>
            </w:r>
          </w:p>
        </w:tc>
        <w:tc>
          <w:tcPr>
            <w:tcW w:w="587" w:type="pct"/>
          </w:tcPr>
          <w:p w14:paraId="5BB8DD22" w14:textId="1F1830E6" w:rsidR="00FB04CA" w:rsidRPr="00FB04CA" w:rsidRDefault="00FB04CA" w:rsidP="00FB04CA">
            <w:pPr>
              <w:pStyle w:val="Tabletext"/>
            </w:pPr>
            <w:r w:rsidRPr="00FB04CA">
              <w:t>0.</w:t>
            </w:r>
            <w:r w:rsidR="00AE6E6E">
              <w:t>6</w:t>
            </w:r>
          </w:p>
        </w:tc>
      </w:tr>
      <w:tr w:rsidR="00FB04CA" w:rsidRPr="00755ED8" w14:paraId="5C063955" w14:textId="77777777" w:rsidTr="00FB04CA">
        <w:trPr>
          <w:cantSplit/>
        </w:trPr>
        <w:tc>
          <w:tcPr>
            <w:tcW w:w="397" w:type="pct"/>
          </w:tcPr>
          <w:p w14:paraId="7ED06194" w14:textId="79F0E104" w:rsidR="00FB04CA" w:rsidRPr="00FB04CA" w:rsidRDefault="00FB04CA" w:rsidP="00FB04CA">
            <w:pPr>
              <w:pStyle w:val="Tabletext"/>
              <w:rPr>
                <w:snapToGrid w:val="0"/>
              </w:rPr>
            </w:pPr>
            <w:r w:rsidRPr="00FB04CA">
              <w:rPr>
                <w:snapToGrid w:val="0"/>
              </w:rPr>
              <w:t>59B</w:t>
            </w:r>
          </w:p>
        </w:tc>
        <w:tc>
          <w:tcPr>
            <w:tcW w:w="1919" w:type="pct"/>
          </w:tcPr>
          <w:p w14:paraId="1B3C69FF" w14:textId="6F73BD5A" w:rsidR="00FB04CA" w:rsidRPr="00FB04CA" w:rsidRDefault="00FB04CA" w:rsidP="00FB04CA">
            <w:pPr>
              <w:pStyle w:val="Tabletext"/>
              <w:rPr>
                <w:snapToGrid w:val="0"/>
              </w:rPr>
            </w:pPr>
            <w:r w:rsidRPr="00FB04CA">
              <w:rPr>
                <w:snapToGrid w:val="0"/>
              </w:rPr>
              <w:t xml:space="preserve">Renewable </w:t>
            </w:r>
            <w:r w:rsidR="00AE6E6E">
              <w:rPr>
                <w:snapToGrid w:val="0"/>
              </w:rPr>
              <w:t>diesel</w:t>
            </w:r>
          </w:p>
        </w:tc>
        <w:tc>
          <w:tcPr>
            <w:tcW w:w="940" w:type="pct"/>
          </w:tcPr>
          <w:p w14:paraId="77BB1F98" w14:textId="78B2DE16" w:rsidR="00FB04CA" w:rsidRPr="00FB04CA" w:rsidRDefault="00AE6E6E" w:rsidP="00FB04CA">
            <w:pPr>
              <w:pStyle w:val="Tabletext"/>
              <w:rPr>
                <w:snapToGrid w:val="0"/>
              </w:rPr>
            </w:pPr>
            <w:r w:rsidRPr="00FB04CA">
              <w:rPr>
                <w:snapToGrid w:val="0"/>
              </w:rPr>
              <w:t>38.6</w:t>
            </w:r>
          </w:p>
        </w:tc>
        <w:tc>
          <w:tcPr>
            <w:tcW w:w="578" w:type="pct"/>
          </w:tcPr>
          <w:p w14:paraId="60B800C1" w14:textId="0DB1714D" w:rsidR="00FB04CA" w:rsidRPr="00FB04CA" w:rsidRDefault="00FB04CA" w:rsidP="00FB04CA">
            <w:pPr>
              <w:pStyle w:val="Tabletext"/>
              <w:rPr>
                <w:snapToGrid w:val="0"/>
              </w:rPr>
            </w:pPr>
            <w:r w:rsidRPr="00FB04CA">
              <w:rPr>
                <w:snapToGrid w:val="0"/>
              </w:rPr>
              <w:t>0.0</w:t>
            </w:r>
          </w:p>
        </w:tc>
        <w:tc>
          <w:tcPr>
            <w:tcW w:w="578" w:type="pct"/>
          </w:tcPr>
          <w:p w14:paraId="0E01D3BE" w14:textId="70C26642" w:rsidR="00FB04CA" w:rsidRPr="00FB04CA" w:rsidRDefault="00FB04CA" w:rsidP="00FB04CA">
            <w:pPr>
              <w:pStyle w:val="Tabletext"/>
            </w:pPr>
            <w:r w:rsidRPr="00FB04CA">
              <w:t>0.1</w:t>
            </w:r>
          </w:p>
        </w:tc>
        <w:tc>
          <w:tcPr>
            <w:tcW w:w="587" w:type="pct"/>
          </w:tcPr>
          <w:p w14:paraId="7724DB83" w14:textId="69362A43" w:rsidR="00FB04CA" w:rsidRPr="00FB04CA" w:rsidRDefault="00FB04CA" w:rsidP="00FB04CA">
            <w:pPr>
              <w:pStyle w:val="Tabletext"/>
            </w:pPr>
            <w:r w:rsidRPr="00FB04CA">
              <w:t>0.</w:t>
            </w:r>
            <w:r w:rsidR="00AE6E6E">
              <w:t>4</w:t>
            </w:r>
          </w:p>
        </w:tc>
      </w:tr>
    </w:tbl>
    <w:p w14:paraId="003B9C07" w14:textId="0211A39C" w:rsidR="00974564" w:rsidRDefault="00974564" w:rsidP="00974564">
      <w:pPr>
        <w:pStyle w:val="ItemHead"/>
      </w:pPr>
      <w:r>
        <w:t>2</w:t>
      </w:r>
      <w:r w:rsidR="002F2AF2">
        <w:t>6</w:t>
      </w:r>
      <w:r>
        <w:t xml:space="preserve">  Division 4.1 of Part 4 of Schedule 1 (table item 61)</w:t>
      </w:r>
    </w:p>
    <w:p w14:paraId="09DD631B" w14:textId="2556FDA9" w:rsidR="00974564" w:rsidRDefault="00974564" w:rsidP="00974564">
      <w:pPr>
        <w:pStyle w:val="Item"/>
      </w:pPr>
      <w:r>
        <w:t>Repeal the item, substitute:</w:t>
      </w:r>
    </w:p>
    <w:p w14:paraId="0D2FBCE2" w14:textId="77777777" w:rsidR="00974564" w:rsidRPr="00AC7B52" w:rsidRDefault="00974564" w:rsidP="00974564">
      <w:pPr>
        <w:pStyle w:val="ItemHead"/>
        <w:spacing w:before="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3187"/>
        <w:gridCol w:w="1561"/>
        <w:gridCol w:w="960"/>
        <w:gridCol w:w="960"/>
        <w:gridCol w:w="975"/>
      </w:tblGrid>
      <w:tr w:rsidR="00974564" w:rsidRPr="00755ED8" w14:paraId="2BFFBA30" w14:textId="77777777" w:rsidTr="001D2C81">
        <w:trPr>
          <w:cantSplit/>
        </w:trPr>
        <w:tc>
          <w:tcPr>
            <w:tcW w:w="397" w:type="pct"/>
          </w:tcPr>
          <w:p w14:paraId="7B6DE32F" w14:textId="13C71C8D" w:rsidR="00974564" w:rsidRPr="00FB04CA" w:rsidRDefault="00974564" w:rsidP="00974564">
            <w:pPr>
              <w:pStyle w:val="Tabletext"/>
              <w:rPr>
                <w:snapToGrid w:val="0"/>
              </w:rPr>
            </w:pPr>
            <w:r>
              <w:t>61</w:t>
            </w:r>
          </w:p>
        </w:tc>
        <w:tc>
          <w:tcPr>
            <w:tcW w:w="1919" w:type="pct"/>
          </w:tcPr>
          <w:p w14:paraId="41B182C1" w14:textId="20F1B1F2" w:rsidR="00974564" w:rsidRPr="00FB04CA" w:rsidRDefault="00974564" w:rsidP="00974564">
            <w:pPr>
              <w:pStyle w:val="Tabletext"/>
              <w:rPr>
                <w:snapToGrid w:val="0"/>
              </w:rPr>
            </w:pPr>
            <w:r>
              <w:t>Biofuels other than those mentioned in items 59, 59A, 59B and 60</w:t>
            </w:r>
          </w:p>
        </w:tc>
        <w:tc>
          <w:tcPr>
            <w:tcW w:w="940" w:type="pct"/>
          </w:tcPr>
          <w:p w14:paraId="51F202A6" w14:textId="7737517D" w:rsidR="00974564" w:rsidRPr="00FB04CA" w:rsidRDefault="00974564" w:rsidP="00974564">
            <w:pPr>
              <w:pStyle w:val="Tabletext"/>
              <w:rPr>
                <w:snapToGrid w:val="0"/>
              </w:rPr>
            </w:pPr>
            <w:r>
              <w:t>23.4</w:t>
            </w:r>
          </w:p>
        </w:tc>
        <w:tc>
          <w:tcPr>
            <w:tcW w:w="578" w:type="pct"/>
          </w:tcPr>
          <w:p w14:paraId="4C5C80A8" w14:textId="0CC853DA" w:rsidR="00974564" w:rsidRPr="00FB04CA" w:rsidRDefault="00974564" w:rsidP="00974564">
            <w:pPr>
              <w:pStyle w:val="Tabletext"/>
              <w:rPr>
                <w:snapToGrid w:val="0"/>
              </w:rPr>
            </w:pPr>
            <w:r>
              <w:t>0.0</w:t>
            </w:r>
          </w:p>
        </w:tc>
        <w:tc>
          <w:tcPr>
            <w:tcW w:w="578" w:type="pct"/>
          </w:tcPr>
          <w:p w14:paraId="13C08B85" w14:textId="149B6CD6" w:rsidR="00974564" w:rsidRPr="00FB04CA" w:rsidRDefault="00974564" w:rsidP="00974564">
            <w:pPr>
              <w:pStyle w:val="Tabletext"/>
            </w:pPr>
            <w:r>
              <w:t>0.8</w:t>
            </w:r>
          </w:p>
        </w:tc>
        <w:tc>
          <w:tcPr>
            <w:tcW w:w="587" w:type="pct"/>
          </w:tcPr>
          <w:p w14:paraId="5CB522AA" w14:textId="2306B43D" w:rsidR="00974564" w:rsidRPr="00FB04CA" w:rsidRDefault="00974564" w:rsidP="00974564">
            <w:pPr>
              <w:pStyle w:val="Tabletext"/>
            </w:pPr>
            <w:r>
              <w:t>1.7</w:t>
            </w:r>
          </w:p>
        </w:tc>
      </w:tr>
    </w:tbl>
    <w:p w14:paraId="05DC3644" w14:textId="16ABA795" w:rsidR="00FB04CA" w:rsidRDefault="00E8058E" w:rsidP="00FB04CA">
      <w:pPr>
        <w:pStyle w:val="ItemHead"/>
      </w:pPr>
      <w:r>
        <w:t>2</w:t>
      </w:r>
      <w:r w:rsidR="002F2AF2">
        <w:t>7</w:t>
      </w:r>
      <w:r w:rsidR="00FB04CA">
        <w:t xml:space="preserve">  Division 4.2 of </w:t>
      </w:r>
      <w:r w:rsidR="00200E6F">
        <w:t xml:space="preserve">Part 4 of </w:t>
      </w:r>
      <w:r w:rsidR="00FB04CA">
        <w:t>Schedule 1 (after table item 65)</w:t>
      </w:r>
    </w:p>
    <w:p w14:paraId="6C1A949C" w14:textId="77777777" w:rsidR="00FB04CA" w:rsidRDefault="00FB04CA" w:rsidP="00FB04CA">
      <w:pPr>
        <w:pStyle w:val="Item"/>
      </w:pPr>
      <w:r>
        <w:t>Add:</w:t>
      </w:r>
    </w:p>
    <w:p w14:paraId="52C41091" w14:textId="77777777" w:rsidR="00FB04CA" w:rsidRPr="00AC7B52" w:rsidRDefault="00FB04CA" w:rsidP="00FB04CA">
      <w:pPr>
        <w:pStyle w:val="ItemHead"/>
        <w:spacing w:before="0"/>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3187"/>
        <w:gridCol w:w="1561"/>
        <w:gridCol w:w="960"/>
        <w:gridCol w:w="960"/>
        <w:gridCol w:w="975"/>
      </w:tblGrid>
      <w:tr w:rsidR="00FB04CA" w:rsidRPr="00755ED8" w14:paraId="05D045A0" w14:textId="77777777" w:rsidTr="00971EBF">
        <w:trPr>
          <w:cantSplit/>
        </w:trPr>
        <w:tc>
          <w:tcPr>
            <w:tcW w:w="397" w:type="pct"/>
          </w:tcPr>
          <w:p w14:paraId="46BC7A18" w14:textId="3B49852F" w:rsidR="00FB04CA" w:rsidRPr="00FB04CA" w:rsidRDefault="00FB04CA" w:rsidP="00FB04CA">
            <w:pPr>
              <w:pStyle w:val="Tabletext"/>
              <w:rPr>
                <w:snapToGrid w:val="0"/>
              </w:rPr>
            </w:pPr>
            <w:r w:rsidRPr="00FB04CA">
              <w:rPr>
                <w:snapToGrid w:val="0"/>
              </w:rPr>
              <w:t>65A</w:t>
            </w:r>
          </w:p>
        </w:tc>
        <w:tc>
          <w:tcPr>
            <w:tcW w:w="1919" w:type="pct"/>
          </w:tcPr>
          <w:p w14:paraId="47A4C861" w14:textId="5248BC0B" w:rsidR="00FB04CA" w:rsidRPr="00FB04CA" w:rsidRDefault="00FB04CA" w:rsidP="00FB04CA">
            <w:pPr>
              <w:pStyle w:val="Tabletext"/>
              <w:rPr>
                <w:snapToGrid w:val="0"/>
              </w:rPr>
            </w:pPr>
            <w:r w:rsidRPr="00FB04CA">
              <w:rPr>
                <w:snapToGrid w:val="0"/>
              </w:rPr>
              <w:t xml:space="preserve">Renewable diesel </w:t>
            </w:r>
          </w:p>
        </w:tc>
        <w:tc>
          <w:tcPr>
            <w:tcW w:w="940" w:type="pct"/>
          </w:tcPr>
          <w:p w14:paraId="17A80D07" w14:textId="32B309C8" w:rsidR="00FB04CA" w:rsidRPr="00FB04CA" w:rsidRDefault="00FB04CA" w:rsidP="00FB04CA">
            <w:pPr>
              <w:pStyle w:val="Tabletext"/>
              <w:rPr>
                <w:snapToGrid w:val="0"/>
              </w:rPr>
            </w:pPr>
            <w:r w:rsidRPr="00FB04CA">
              <w:rPr>
                <w:snapToGrid w:val="0"/>
              </w:rPr>
              <w:t>38.6</w:t>
            </w:r>
          </w:p>
        </w:tc>
        <w:tc>
          <w:tcPr>
            <w:tcW w:w="578" w:type="pct"/>
          </w:tcPr>
          <w:p w14:paraId="25088C94" w14:textId="045F7F5C" w:rsidR="00FB04CA" w:rsidRPr="00FB04CA" w:rsidRDefault="00FB04CA" w:rsidP="00FB04CA">
            <w:pPr>
              <w:pStyle w:val="Tabletext"/>
              <w:rPr>
                <w:snapToGrid w:val="0"/>
              </w:rPr>
            </w:pPr>
            <w:r w:rsidRPr="00FB04CA">
              <w:rPr>
                <w:snapToGrid w:val="0"/>
              </w:rPr>
              <w:t>0.00</w:t>
            </w:r>
          </w:p>
        </w:tc>
        <w:tc>
          <w:tcPr>
            <w:tcW w:w="578" w:type="pct"/>
          </w:tcPr>
          <w:p w14:paraId="5405C4BC" w14:textId="14D9D660" w:rsidR="00FB04CA" w:rsidRPr="00FB04CA" w:rsidRDefault="00FB04CA" w:rsidP="00FB04CA">
            <w:pPr>
              <w:pStyle w:val="Tabletext"/>
            </w:pPr>
            <w:r w:rsidRPr="00FB04CA">
              <w:rPr>
                <w:snapToGrid w:val="0"/>
              </w:rPr>
              <w:t>0.01</w:t>
            </w:r>
          </w:p>
        </w:tc>
        <w:tc>
          <w:tcPr>
            <w:tcW w:w="587" w:type="pct"/>
          </w:tcPr>
          <w:p w14:paraId="7C593842" w14:textId="5447FD5C" w:rsidR="00FB04CA" w:rsidRPr="00FB04CA" w:rsidRDefault="00FB04CA" w:rsidP="00FB04CA">
            <w:pPr>
              <w:pStyle w:val="Tabletext"/>
            </w:pPr>
            <w:r w:rsidRPr="00FB04CA">
              <w:rPr>
                <w:snapToGrid w:val="0"/>
              </w:rPr>
              <w:t>0.5</w:t>
            </w:r>
          </w:p>
        </w:tc>
      </w:tr>
    </w:tbl>
    <w:p w14:paraId="4AA0854A" w14:textId="2C1255CC" w:rsidR="00FB04CA" w:rsidRDefault="00E8058E" w:rsidP="00FB04CA">
      <w:pPr>
        <w:pStyle w:val="ItemHead"/>
      </w:pPr>
      <w:r>
        <w:t>2</w:t>
      </w:r>
      <w:r w:rsidR="002F2AF2">
        <w:t>8</w:t>
      </w:r>
      <w:r w:rsidR="00FB04CA">
        <w:t xml:space="preserve">  Division 4.3 </w:t>
      </w:r>
      <w:r w:rsidR="00200E6F">
        <w:t xml:space="preserve">of Part 4 </w:t>
      </w:r>
      <w:r w:rsidR="00FB04CA">
        <w:t>of Schedule 1 (table)</w:t>
      </w:r>
    </w:p>
    <w:p w14:paraId="338AEC26" w14:textId="77777777" w:rsidR="00FB04CA" w:rsidRDefault="00FB04CA" w:rsidP="00FB04CA">
      <w:pPr>
        <w:pStyle w:val="Item"/>
      </w:pPr>
      <w:r>
        <w:t>Repeal the table, substitute:</w:t>
      </w:r>
    </w:p>
    <w:p w14:paraId="55668B5F" w14:textId="77777777" w:rsidR="00FB04CA" w:rsidRPr="00AC7B52" w:rsidRDefault="00FB04CA" w:rsidP="00FB04CA">
      <w:pPr>
        <w:pStyle w:val="ItemHead"/>
        <w:spacing w:before="0"/>
        <w:rPr>
          <w:sz w:val="20"/>
        </w:rPr>
      </w:pPr>
    </w:p>
    <w:tbl>
      <w:tblPr>
        <w:tblW w:w="54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601"/>
        <w:gridCol w:w="1820"/>
        <w:gridCol w:w="1679"/>
        <w:gridCol w:w="1051"/>
        <w:gridCol w:w="1051"/>
        <w:gridCol w:w="1054"/>
      </w:tblGrid>
      <w:tr w:rsidR="00FB04CA" w:rsidRPr="0005417A" w14:paraId="06EE3193" w14:textId="77777777" w:rsidTr="00FB04CA">
        <w:trPr>
          <w:cantSplit/>
          <w:tblHeader/>
        </w:trPr>
        <w:tc>
          <w:tcPr>
            <w:tcW w:w="427" w:type="pct"/>
            <w:vMerge w:val="restart"/>
            <w:tcBorders>
              <w:top w:val="single" w:sz="12" w:space="0" w:color="auto"/>
              <w:left w:val="nil"/>
              <w:bottom w:val="single" w:sz="4" w:space="0" w:color="auto"/>
              <w:right w:val="nil"/>
            </w:tcBorders>
          </w:tcPr>
          <w:p w14:paraId="73C3C26F" w14:textId="77777777" w:rsidR="00FB04CA" w:rsidRPr="0005417A" w:rsidRDefault="00FB04CA" w:rsidP="00971EBF">
            <w:pPr>
              <w:pStyle w:val="TableHeading"/>
            </w:pPr>
            <w:r w:rsidRPr="0005417A">
              <w:t>Item</w:t>
            </w:r>
          </w:p>
        </w:tc>
        <w:tc>
          <w:tcPr>
            <w:tcW w:w="887" w:type="pct"/>
            <w:vMerge w:val="restart"/>
            <w:tcBorders>
              <w:top w:val="single" w:sz="12" w:space="0" w:color="auto"/>
              <w:left w:val="nil"/>
              <w:bottom w:val="single" w:sz="4" w:space="0" w:color="auto"/>
              <w:right w:val="nil"/>
            </w:tcBorders>
          </w:tcPr>
          <w:p w14:paraId="38070E5E" w14:textId="77777777" w:rsidR="00FB04CA" w:rsidRPr="0005417A" w:rsidRDefault="00FB04CA" w:rsidP="00971EBF">
            <w:pPr>
              <w:pStyle w:val="TableHeading"/>
            </w:pPr>
            <w:r w:rsidRPr="0005417A">
              <w:t>Fuel type</w:t>
            </w:r>
          </w:p>
        </w:tc>
        <w:tc>
          <w:tcPr>
            <w:tcW w:w="1008" w:type="pct"/>
            <w:vMerge w:val="restart"/>
            <w:tcBorders>
              <w:top w:val="single" w:sz="12" w:space="0" w:color="auto"/>
              <w:left w:val="nil"/>
              <w:bottom w:val="single" w:sz="4" w:space="0" w:color="auto"/>
              <w:right w:val="nil"/>
            </w:tcBorders>
          </w:tcPr>
          <w:p w14:paraId="01BEF150" w14:textId="77777777" w:rsidR="00FB04CA" w:rsidRPr="0005417A" w:rsidRDefault="00FB04CA" w:rsidP="00971EBF">
            <w:pPr>
              <w:pStyle w:val="TableHeading"/>
            </w:pPr>
            <w:r w:rsidRPr="0005417A">
              <w:t>Heavy vehicles design standard</w:t>
            </w:r>
          </w:p>
        </w:tc>
        <w:tc>
          <w:tcPr>
            <w:tcW w:w="930" w:type="pct"/>
            <w:vMerge w:val="restart"/>
            <w:tcBorders>
              <w:top w:val="single" w:sz="12" w:space="0" w:color="auto"/>
              <w:left w:val="nil"/>
              <w:bottom w:val="single" w:sz="4" w:space="0" w:color="auto"/>
              <w:right w:val="nil"/>
            </w:tcBorders>
          </w:tcPr>
          <w:p w14:paraId="153C3047" w14:textId="77777777" w:rsidR="00FB04CA" w:rsidRPr="0005417A" w:rsidRDefault="00FB04CA" w:rsidP="00971EBF">
            <w:pPr>
              <w:pStyle w:val="TableHeading"/>
            </w:pPr>
            <w:r w:rsidRPr="0005417A">
              <w:t>Energy content factor</w:t>
            </w:r>
          </w:p>
          <w:p w14:paraId="4114DFB3" w14:textId="77777777" w:rsidR="00FB04CA" w:rsidRPr="0005417A" w:rsidRDefault="00FB04CA" w:rsidP="00971EBF">
            <w:pPr>
              <w:pStyle w:val="TableHeading"/>
            </w:pPr>
            <w:r w:rsidRPr="0005417A">
              <w:t>GJ/kL</w:t>
            </w:r>
          </w:p>
        </w:tc>
        <w:tc>
          <w:tcPr>
            <w:tcW w:w="1748" w:type="pct"/>
            <w:gridSpan w:val="3"/>
            <w:tcBorders>
              <w:top w:val="single" w:sz="12" w:space="0" w:color="auto"/>
              <w:left w:val="nil"/>
              <w:bottom w:val="single" w:sz="4" w:space="0" w:color="auto"/>
              <w:right w:val="nil"/>
            </w:tcBorders>
          </w:tcPr>
          <w:p w14:paraId="58D6A094" w14:textId="77777777" w:rsidR="00FB04CA" w:rsidRPr="0005417A" w:rsidRDefault="00FB04CA" w:rsidP="00971EBF">
            <w:pPr>
              <w:pStyle w:val="TableHeading"/>
            </w:pPr>
            <w:r w:rsidRPr="0005417A">
              <w:t>Emission factor</w:t>
            </w:r>
          </w:p>
          <w:p w14:paraId="3CDB43B4" w14:textId="77777777" w:rsidR="00FB04CA" w:rsidRPr="0005417A" w:rsidRDefault="00FB04CA" w:rsidP="00971EBF">
            <w:pPr>
              <w:pStyle w:val="TableHeading"/>
            </w:pPr>
            <w:r w:rsidRPr="0005417A">
              <w:t>kg CO</w:t>
            </w:r>
            <w:r w:rsidRPr="0005417A">
              <w:rPr>
                <w:vertAlign w:val="subscript"/>
              </w:rPr>
              <w:t>2</w:t>
            </w:r>
            <w:r w:rsidRPr="0005417A">
              <w:noBreakHyphen/>
              <w:t>e/GJ</w:t>
            </w:r>
          </w:p>
          <w:p w14:paraId="42C1267C" w14:textId="77777777" w:rsidR="00FB04CA" w:rsidRPr="0005417A" w:rsidRDefault="00FB04CA" w:rsidP="00971EBF">
            <w:pPr>
              <w:pStyle w:val="TableHeading"/>
            </w:pPr>
            <w:r w:rsidRPr="0005417A">
              <w:t>(relevant oxidation factors incorporated)</w:t>
            </w:r>
          </w:p>
        </w:tc>
      </w:tr>
      <w:tr w:rsidR="00FB04CA" w:rsidRPr="0005417A" w14:paraId="3117B91A" w14:textId="77777777" w:rsidTr="00FB04CA">
        <w:trPr>
          <w:cantSplit/>
          <w:tblHeader/>
        </w:trPr>
        <w:tc>
          <w:tcPr>
            <w:tcW w:w="427" w:type="pct"/>
            <w:vMerge/>
            <w:tcBorders>
              <w:top w:val="single" w:sz="4" w:space="0" w:color="auto"/>
              <w:left w:val="nil"/>
              <w:bottom w:val="single" w:sz="12" w:space="0" w:color="auto"/>
              <w:right w:val="nil"/>
            </w:tcBorders>
          </w:tcPr>
          <w:p w14:paraId="7AF095A9" w14:textId="77777777" w:rsidR="00FB04CA" w:rsidRPr="0005417A" w:rsidRDefault="00FB04CA" w:rsidP="00971EBF">
            <w:pPr>
              <w:pStyle w:val="TableHeading"/>
            </w:pPr>
          </w:p>
        </w:tc>
        <w:tc>
          <w:tcPr>
            <w:tcW w:w="887" w:type="pct"/>
            <w:vMerge/>
            <w:tcBorders>
              <w:top w:val="single" w:sz="4" w:space="0" w:color="auto"/>
              <w:left w:val="nil"/>
              <w:bottom w:val="single" w:sz="12" w:space="0" w:color="auto"/>
              <w:right w:val="nil"/>
            </w:tcBorders>
          </w:tcPr>
          <w:p w14:paraId="7AAA7C9C" w14:textId="77777777" w:rsidR="00FB04CA" w:rsidRPr="0005417A" w:rsidRDefault="00FB04CA" w:rsidP="00971EBF">
            <w:pPr>
              <w:pStyle w:val="TableHeading"/>
            </w:pPr>
          </w:p>
        </w:tc>
        <w:tc>
          <w:tcPr>
            <w:tcW w:w="1008" w:type="pct"/>
            <w:vMerge/>
            <w:tcBorders>
              <w:top w:val="single" w:sz="4" w:space="0" w:color="auto"/>
              <w:left w:val="nil"/>
              <w:bottom w:val="single" w:sz="12" w:space="0" w:color="auto"/>
              <w:right w:val="nil"/>
            </w:tcBorders>
          </w:tcPr>
          <w:p w14:paraId="797B7590" w14:textId="77777777" w:rsidR="00FB04CA" w:rsidRPr="0005417A" w:rsidRDefault="00FB04CA" w:rsidP="00971EBF">
            <w:pPr>
              <w:pStyle w:val="TableHeading"/>
            </w:pPr>
          </w:p>
        </w:tc>
        <w:tc>
          <w:tcPr>
            <w:tcW w:w="930" w:type="pct"/>
            <w:vMerge/>
            <w:tcBorders>
              <w:top w:val="single" w:sz="4" w:space="0" w:color="auto"/>
              <w:left w:val="nil"/>
              <w:bottom w:val="single" w:sz="12" w:space="0" w:color="auto"/>
              <w:right w:val="nil"/>
            </w:tcBorders>
          </w:tcPr>
          <w:p w14:paraId="105A1020" w14:textId="77777777" w:rsidR="00FB04CA" w:rsidRPr="0005417A" w:rsidRDefault="00FB04CA" w:rsidP="00971EBF">
            <w:pPr>
              <w:pStyle w:val="TableHeading"/>
            </w:pPr>
          </w:p>
        </w:tc>
        <w:tc>
          <w:tcPr>
            <w:tcW w:w="582" w:type="pct"/>
            <w:tcBorders>
              <w:top w:val="single" w:sz="4" w:space="0" w:color="auto"/>
              <w:left w:val="nil"/>
              <w:bottom w:val="single" w:sz="12" w:space="0" w:color="auto"/>
              <w:right w:val="nil"/>
            </w:tcBorders>
          </w:tcPr>
          <w:p w14:paraId="6A294402" w14:textId="77777777" w:rsidR="00FB04CA" w:rsidRPr="0005417A" w:rsidRDefault="00FB04CA" w:rsidP="00971EBF">
            <w:pPr>
              <w:pStyle w:val="TableHeading"/>
            </w:pPr>
            <w:r w:rsidRPr="0005417A">
              <w:t>CO</w:t>
            </w:r>
            <w:r w:rsidRPr="0005417A">
              <w:rPr>
                <w:vertAlign w:val="subscript"/>
              </w:rPr>
              <w:t>2</w:t>
            </w:r>
          </w:p>
        </w:tc>
        <w:tc>
          <w:tcPr>
            <w:tcW w:w="582" w:type="pct"/>
            <w:tcBorders>
              <w:top w:val="single" w:sz="4" w:space="0" w:color="auto"/>
              <w:left w:val="nil"/>
              <w:bottom w:val="single" w:sz="12" w:space="0" w:color="auto"/>
              <w:right w:val="nil"/>
            </w:tcBorders>
          </w:tcPr>
          <w:p w14:paraId="4C22FD42" w14:textId="77777777" w:rsidR="00FB04CA" w:rsidRPr="0005417A" w:rsidRDefault="00FB04CA" w:rsidP="00971EBF">
            <w:pPr>
              <w:pStyle w:val="TableHeading"/>
            </w:pPr>
            <w:r w:rsidRPr="0005417A">
              <w:t>CH</w:t>
            </w:r>
            <w:r w:rsidRPr="0005417A">
              <w:rPr>
                <w:vertAlign w:val="subscript"/>
              </w:rPr>
              <w:t>4</w:t>
            </w:r>
          </w:p>
        </w:tc>
        <w:tc>
          <w:tcPr>
            <w:tcW w:w="584" w:type="pct"/>
            <w:tcBorders>
              <w:top w:val="single" w:sz="4" w:space="0" w:color="auto"/>
              <w:left w:val="nil"/>
              <w:bottom w:val="single" w:sz="12" w:space="0" w:color="auto"/>
              <w:right w:val="nil"/>
            </w:tcBorders>
          </w:tcPr>
          <w:p w14:paraId="755AA278" w14:textId="77777777" w:rsidR="00FB04CA" w:rsidRPr="0005417A" w:rsidRDefault="00FB04CA" w:rsidP="00971EBF">
            <w:pPr>
              <w:pStyle w:val="TableHeading"/>
            </w:pPr>
            <w:r w:rsidRPr="0005417A">
              <w:t>N</w:t>
            </w:r>
            <w:r w:rsidRPr="0005417A">
              <w:rPr>
                <w:vertAlign w:val="subscript"/>
              </w:rPr>
              <w:t>2</w:t>
            </w:r>
            <w:r w:rsidRPr="0005417A">
              <w:t>O</w:t>
            </w:r>
          </w:p>
        </w:tc>
      </w:tr>
      <w:tr w:rsidR="00FB04CA" w:rsidRPr="0005417A" w:rsidDel="00473D46" w14:paraId="16CCCA35" w14:textId="77777777" w:rsidTr="00FB04CA">
        <w:trPr>
          <w:cantSplit/>
        </w:trPr>
        <w:tc>
          <w:tcPr>
            <w:tcW w:w="427" w:type="pct"/>
            <w:tcBorders>
              <w:top w:val="nil"/>
              <w:left w:val="nil"/>
              <w:bottom w:val="nil"/>
              <w:right w:val="nil"/>
            </w:tcBorders>
            <w:shd w:val="clear" w:color="auto" w:fill="auto"/>
          </w:tcPr>
          <w:p w14:paraId="7624D64F" w14:textId="77777777" w:rsidR="00FB04CA" w:rsidRPr="00FB04CA" w:rsidDel="00473D46" w:rsidRDefault="00FB04CA" w:rsidP="00971EBF">
            <w:pPr>
              <w:pStyle w:val="Tabletext"/>
              <w:rPr>
                <w:snapToGrid w:val="0"/>
              </w:rPr>
            </w:pPr>
            <w:r w:rsidRPr="00FB04CA">
              <w:rPr>
                <w:snapToGrid w:val="0"/>
              </w:rPr>
              <w:t>68</w:t>
            </w:r>
          </w:p>
        </w:tc>
        <w:tc>
          <w:tcPr>
            <w:tcW w:w="887" w:type="pct"/>
            <w:tcBorders>
              <w:top w:val="nil"/>
              <w:left w:val="nil"/>
              <w:bottom w:val="nil"/>
              <w:right w:val="nil"/>
            </w:tcBorders>
            <w:shd w:val="clear" w:color="auto" w:fill="auto"/>
          </w:tcPr>
          <w:p w14:paraId="7E3E99EB" w14:textId="77777777" w:rsidR="00FB04CA" w:rsidRPr="00FB04CA" w:rsidDel="00473D46" w:rsidRDefault="00FB04CA" w:rsidP="00971EBF">
            <w:pPr>
              <w:pStyle w:val="Tabletext"/>
              <w:rPr>
                <w:snapToGrid w:val="0"/>
              </w:rPr>
            </w:pPr>
            <w:r w:rsidRPr="00FB04CA">
              <w:rPr>
                <w:snapToGrid w:val="0"/>
              </w:rPr>
              <w:t>Diesel oil</w:t>
            </w:r>
          </w:p>
        </w:tc>
        <w:tc>
          <w:tcPr>
            <w:tcW w:w="1008" w:type="pct"/>
            <w:tcBorders>
              <w:top w:val="nil"/>
              <w:left w:val="nil"/>
              <w:bottom w:val="nil"/>
              <w:right w:val="nil"/>
            </w:tcBorders>
            <w:shd w:val="clear" w:color="auto" w:fill="auto"/>
          </w:tcPr>
          <w:p w14:paraId="42A3CB13" w14:textId="77777777" w:rsidR="00FB04CA" w:rsidRPr="00FB04CA" w:rsidDel="00473D46" w:rsidRDefault="00FB04CA" w:rsidP="00971EBF">
            <w:pPr>
              <w:pStyle w:val="Tabletext"/>
            </w:pPr>
            <w:r w:rsidRPr="00FB04CA">
              <w:t>Euro iv or higher</w:t>
            </w:r>
          </w:p>
        </w:tc>
        <w:tc>
          <w:tcPr>
            <w:tcW w:w="930" w:type="pct"/>
            <w:tcBorders>
              <w:top w:val="nil"/>
              <w:left w:val="nil"/>
              <w:bottom w:val="nil"/>
              <w:right w:val="nil"/>
            </w:tcBorders>
          </w:tcPr>
          <w:p w14:paraId="20B277BD" w14:textId="77777777" w:rsidR="00FB04CA" w:rsidRPr="00FB04CA" w:rsidDel="00473D46" w:rsidRDefault="00FB04CA" w:rsidP="00971EBF">
            <w:pPr>
              <w:pStyle w:val="Tabletext"/>
              <w:rPr>
                <w:snapToGrid w:val="0"/>
              </w:rPr>
            </w:pPr>
            <w:r w:rsidRPr="00FB04CA">
              <w:rPr>
                <w:snapToGrid w:val="0"/>
              </w:rPr>
              <w:t>38.6</w:t>
            </w:r>
          </w:p>
        </w:tc>
        <w:tc>
          <w:tcPr>
            <w:tcW w:w="582" w:type="pct"/>
            <w:tcBorders>
              <w:top w:val="nil"/>
              <w:left w:val="nil"/>
              <w:bottom w:val="nil"/>
              <w:right w:val="nil"/>
            </w:tcBorders>
          </w:tcPr>
          <w:p w14:paraId="79A84D59" w14:textId="77777777" w:rsidR="00FB04CA" w:rsidRPr="00FB04CA" w:rsidDel="00473D46" w:rsidRDefault="00FB04CA" w:rsidP="00971EBF">
            <w:pPr>
              <w:pStyle w:val="Tabletext"/>
              <w:rPr>
                <w:snapToGrid w:val="0"/>
              </w:rPr>
            </w:pPr>
            <w:r w:rsidRPr="00FB04CA">
              <w:rPr>
                <w:snapToGrid w:val="0"/>
              </w:rPr>
              <w:t>69.9</w:t>
            </w:r>
          </w:p>
        </w:tc>
        <w:tc>
          <w:tcPr>
            <w:tcW w:w="582" w:type="pct"/>
            <w:tcBorders>
              <w:top w:val="nil"/>
              <w:left w:val="nil"/>
              <w:bottom w:val="nil"/>
              <w:right w:val="nil"/>
            </w:tcBorders>
          </w:tcPr>
          <w:p w14:paraId="48AC384E" w14:textId="77777777" w:rsidR="00FB04CA" w:rsidRPr="00FB04CA" w:rsidDel="00473D46" w:rsidRDefault="00FB04CA" w:rsidP="00971EBF">
            <w:pPr>
              <w:pStyle w:val="Tabletext"/>
              <w:rPr>
                <w:snapToGrid w:val="0"/>
              </w:rPr>
            </w:pPr>
            <w:r w:rsidRPr="00FB04CA">
              <w:rPr>
                <w:snapToGrid w:val="0"/>
              </w:rPr>
              <w:t>0.07</w:t>
            </w:r>
          </w:p>
        </w:tc>
        <w:tc>
          <w:tcPr>
            <w:tcW w:w="584" w:type="pct"/>
            <w:tcBorders>
              <w:top w:val="nil"/>
              <w:left w:val="nil"/>
              <w:bottom w:val="nil"/>
              <w:right w:val="nil"/>
            </w:tcBorders>
          </w:tcPr>
          <w:p w14:paraId="11F8F49C" w14:textId="77777777" w:rsidR="00FB04CA" w:rsidRPr="00FB04CA" w:rsidDel="00473D46" w:rsidRDefault="00FB04CA" w:rsidP="00971EBF">
            <w:pPr>
              <w:pStyle w:val="Tabletext"/>
              <w:rPr>
                <w:snapToGrid w:val="0"/>
              </w:rPr>
            </w:pPr>
            <w:r w:rsidRPr="00FB04CA">
              <w:rPr>
                <w:snapToGrid w:val="0"/>
              </w:rPr>
              <w:t>0.4</w:t>
            </w:r>
          </w:p>
        </w:tc>
      </w:tr>
      <w:tr w:rsidR="00FB04CA" w:rsidRPr="0005417A" w:rsidDel="00473D46" w14:paraId="108CC5D1" w14:textId="77777777" w:rsidTr="00FB04CA">
        <w:trPr>
          <w:cantSplit/>
        </w:trPr>
        <w:tc>
          <w:tcPr>
            <w:tcW w:w="427" w:type="pct"/>
            <w:tcBorders>
              <w:top w:val="nil"/>
              <w:left w:val="nil"/>
              <w:bottom w:val="nil"/>
              <w:right w:val="nil"/>
            </w:tcBorders>
            <w:shd w:val="clear" w:color="auto" w:fill="auto"/>
          </w:tcPr>
          <w:p w14:paraId="49761C4F" w14:textId="77777777" w:rsidR="00FB04CA" w:rsidRPr="00FB04CA" w:rsidRDefault="00FB04CA" w:rsidP="00971EBF">
            <w:pPr>
              <w:pStyle w:val="Tabletext"/>
              <w:rPr>
                <w:snapToGrid w:val="0"/>
              </w:rPr>
            </w:pPr>
            <w:r w:rsidRPr="00FB04CA">
              <w:rPr>
                <w:snapToGrid w:val="0"/>
              </w:rPr>
              <w:t>68A</w:t>
            </w:r>
          </w:p>
        </w:tc>
        <w:tc>
          <w:tcPr>
            <w:tcW w:w="887" w:type="pct"/>
            <w:tcBorders>
              <w:top w:val="nil"/>
              <w:left w:val="nil"/>
              <w:bottom w:val="nil"/>
              <w:right w:val="nil"/>
            </w:tcBorders>
            <w:shd w:val="clear" w:color="auto" w:fill="auto"/>
          </w:tcPr>
          <w:p w14:paraId="5328E05C" w14:textId="56724A2D" w:rsidR="00FB04CA" w:rsidRPr="00FB04CA" w:rsidRDefault="00FB04CA" w:rsidP="00971EBF">
            <w:pPr>
              <w:pStyle w:val="Tabletext"/>
              <w:rPr>
                <w:snapToGrid w:val="0"/>
              </w:rPr>
            </w:pPr>
            <w:r w:rsidRPr="00FB04CA">
              <w:rPr>
                <w:snapToGrid w:val="0"/>
              </w:rPr>
              <w:t>Renewable diesel</w:t>
            </w:r>
          </w:p>
        </w:tc>
        <w:tc>
          <w:tcPr>
            <w:tcW w:w="1008" w:type="pct"/>
            <w:tcBorders>
              <w:top w:val="nil"/>
              <w:left w:val="nil"/>
              <w:bottom w:val="nil"/>
              <w:right w:val="nil"/>
            </w:tcBorders>
            <w:shd w:val="clear" w:color="auto" w:fill="auto"/>
          </w:tcPr>
          <w:p w14:paraId="62340535" w14:textId="77777777" w:rsidR="00FB04CA" w:rsidRPr="00FB04CA" w:rsidRDefault="00FB04CA" w:rsidP="00971EBF">
            <w:pPr>
              <w:pStyle w:val="Tabletext"/>
            </w:pPr>
            <w:r w:rsidRPr="00FB04CA">
              <w:t>Euro iv or higher</w:t>
            </w:r>
          </w:p>
        </w:tc>
        <w:tc>
          <w:tcPr>
            <w:tcW w:w="930" w:type="pct"/>
            <w:tcBorders>
              <w:top w:val="nil"/>
              <w:left w:val="nil"/>
              <w:bottom w:val="nil"/>
              <w:right w:val="nil"/>
            </w:tcBorders>
          </w:tcPr>
          <w:p w14:paraId="00B8AFA7" w14:textId="77777777" w:rsidR="00FB04CA" w:rsidRPr="00FB04CA" w:rsidRDefault="00FB04CA" w:rsidP="00971EBF">
            <w:pPr>
              <w:pStyle w:val="Tabletext"/>
              <w:rPr>
                <w:snapToGrid w:val="0"/>
              </w:rPr>
            </w:pPr>
            <w:r w:rsidRPr="00FB04CA">
              <w:rPr>
                <w:snapToGrid w:val="0"/>
              </w:rPr>
              <w:t>38.6</w:t>
            </w:r>
          </w:p>
        </w:tc>
        <w:tc>
          <w:tcPr>
            <w:tcW w:w="582" w:type="pct"/>
            <w:tcBorders>
              <w:top w:val="nil"/>
              <w:left w:val="nil"/>
              <w:bottom w:val="nil"/>
              <w:right w:val="nil"/>
            </w:tcBorders>
          </w:tcPr>
          <w:p w14:paraId="483754A3" w14:textId="77777777" w:rsidR="00FB04CA" w:rsidRPr="00FB04CA" w:rsidRDefault="00FB04CA" w:rsidP="00971EBF">
            <w:pPr>
              <w:pStyle w:val="Tabletext"/>
              <w:rPr>
                <w:snapToGrid w:val="0"/>
              </w:rPr>
            </w:pPr>
            <w:r w:rsidRPr="00FB04CA">
              <w:rPr>
                <w:snapToGrid w:val="0"/>
              </w:rPr>
              <w:t>0.00</w:t>
            </w:r>
          </w:p>
        </w:tc>
        <w:tc>
          <w:tcPr>
            <w:tcW w:w="582" w:type="pct"/>
            <w:tcBorders>
              <w:top w:val="nil"/>
              <w:left w:val="nil"/>
              <w:bottom w:val="nil"/>
              <w:right w:val="nil"/>
            </w:tcBorders>
          </w:tcPr>
          <w:p w14:paraId="0DB6C92F" w14:textId="77777777" w:rsidR="00FB04CA" w:rsidRPr="00FB04CA" w:rsidRDefault="00FB04CA" w:rsidP="00971EBF">
            <w:pPr>
              <w:pStyle w:val="Tabletext"/>
              <w:rPr>
                <w:snapToGrid w:val="0"/>
              </w:rPr>
            </w:pPr>
            <w:r w:rsidRPr="00FB04CA">
              <w:rPr>
                <w:snapToGrid w:val="0"/>
              </w:rPr>
              <w:t>0.07</w:t>
            </w:r>
          </w:p>
        </w:tc>
        <w:tc>
          <w:tcPr>
            <w:tcW w:w="584" w:type="pct"/>
            <w:tcBorders>
              <w:top w:val="nil"/>
              <w:left w:val="nil"/>
              <w:bottom w:val="nil"/>
              <w:right w:val="nil"/>
            </w:tcBorders>
          </w:tcPr>
          <w:p w14:paraId="3850D875" w14:textId="77777777" w:rsidR="00FB04CA" w:rsidRPr="00FB04CA" w:rsidRDefault="00FB04CA" w:rsidP="00971EBF">
            <w:pPr>
              <w:pStyle w:val="Tabletext"/>
              <w:rPr>
                <w:snapToGrid w:val="0"/>
              </w:rPr>
            </w:pPr>
            <w:r w:rsidRPr="00FB04CA">
              <w:rPr>
                <w:snapToGrid w:val="0"/>
              </w:rPr>
              <w:t>0.4</w:t>
            </w:r>
          </w:p>
        </w:tc>
      </w:tr>
      <w:tr w:rsidR="00FB04CA" w:rsidRPr="0005417A" w:rsidDel="00473D46" w14:paraId="2C04612A" w14:textId="77777777" w:rsidTr="00FB04CA">
        <w:trPr>
          <w:cantSplit/>
        </w:trPr>
        <w:tc>
          <w:tcPr>
            <w:tcW w:w="427" w:type="pct"/>
            <w:tcBorders>
              <w:top w:val="nil"/>
              <w:left w:val="nil"/>
              <w:bottom w:val="nil"/>
              <w:right w:val="nil"/>
            </w:tcBorders>
            <w:shd w:val="clear" w:color="auto" w:fill="auto"/>
          </w:tcPr>
          <w:p w14:paraId="038D9714" w14:textId="77777777" w:rsidR="00FB04CA" w:rsidRPr="00FB04CA" w:rsidDel="00473D46" w:rsidRDefault="00FB04CA" w:rsidP="00971EBF">
            <w:pPr>
              <w:pStyle w:val="Tabletext"/>
              <w:rPr>
                <w:snapToGrid w:val="0"/>
              </w:rPr>
            </w:pPr>
            <w:r w:rsidRPr="00FB04CA">
              <w:rPr>
                <w:snapToGrid w:val="0"/>
              </w:rPr>
              <w:t>69</w:t>
            </w:r>
          </w:p>
        </w:tc>
        <w:tc>
          <w:tcPr>
            <w:tcW w:w="887" w:type="pct"/>
            <w:tcBorders>
              <w:top w:val="nil"/>
              <w:left w:val="nil"/>
              <w:bottom w:val="nil"/>
              <w:right w:val="nil"/>
            </w:tcBorders>
            <w:shd w:val="clear" w:color="auto" w:fill="auto"/>
          </w:tcPr>
          <w:p w14:paraId="69E99DEC" w14:textId="77777777" w:rsidR="00FB04CA" w:rsidRPr="00FB04CA" w:rsidDel="00473D46" w:rsidRDefault="00FB04CA" w:rsidP="00971EBF">
            <w:pPr>
              <w:pStyle w:val="Tabletext"/>
              <w:rPr>
                <w:snapToGrid w:val="0"/>
              </w:rPr>
            </w:pPr>
            <w:r w:rsidRPr="00FB04CA">
              <w:rPr>
                <w:snapToGrid w:val="0"/>
              </w:rPr>
              <w:t>Diesel oil</w:t>
            </w:r>
          </w:p>
        </w:tc>
        <w:tc>
          <w:tcPr>
            <w:tcW w:w="1008" w:type="pct"/>
            <w:tcBorders>
              <w:top w:val="nil"/>
              <w:left w:val="nil"/>
              <w:bottom w:val="nil"/>
              <w:right w:val="nil"/>
            </w:tcBorders>
            <w:shd w:val="clear" w:color="auto" w:fill="auto"/>
          </w:tcPr>
          <w:p w14:paraId="425C67C3" w14:textId="77777777" w:rsidR="00FB04CA" w:rsidRPr="00FB04CA" w:rsidDel="00473D46" w:rsidRDefault="00FB04CA" w:rsidP="00971EBF">
            <w:pPr>
              <w:pStyle w:val="Tabletext"/>
            </w:pPr>
            <w:r w:rsidRPr="00FB04CA">
              <w:t>Euro iii</w:t>
            </w:r>
          </w:p>
        </w:tc>
        <w:tc>
          <w:tcPr>
            <w:tcW w:w="930" w:type="pct"/>
            <w:tcBorders>
              <w:top w:val="nil"/>
              <w:left w:val="nil"/>
              <w:bottom w:val="nil"/>
              <w:right w:val="nil"/>
            </w:tcBorders>
          </w:tcPr>
          <w:p w14:paraId="6E05756F" w14:textId="77777777" w:rsidR="00FB04CA" w:rsidRPr="00FB04CA" w:rsidDel="00473D46" w:rsidRDefault="00FB04CA" w:rsidP="00971EBF">
            <w:pPr>
              <w:pStyle w:val="Tabletext"/>
              <w:rPr>
                <w:snapToGrid w:val="0"/>
              </w:rPr>
            </w:pPr>
            <w:r w:rsidRPr="00FB04CA">
              <w:rPr>
                <w:snapToGrid w:val="0"/>
              </w:rPr>
              <w:t>38.6</w:t>
            </w:r>
          </w:p>
        </w:tc>
        <w:tc>
          <w:tcPr>
            <w:tcW w:w="582" w:type="pct"/>
            <w:tcBorders>
              <w:top w:val="nil"/>
              <w:left w:val="nil"/>
              <w:bottom w:val="nil"/>
              <w:right w:val="nil"/>
            </w:tcBorders>
          </w:tcPr>
          <w:p w14:paraId="62771C1B" w14:textId="77777777" w:rsidR="00FB04CA" w:rsidRPr="00FB04CA" w:rsidDel="00473D46" w:rsidRDefault="00FB04CA" w:rsidP="00971EBF">
            <w:pPr>
              <w:pStyle w:val="Tabletext"/>
              <w:rPr>
                <w:snapToGrid w:val="0"/>
              </w:rPr>
            </w:pPr>
            <w:r w:rsidRPr="00FB04CA">
              <w:rPr>
                <w:snapToGrid w:val="0"/>
              </w:rPr>
              <w:t>69.9</w:t>
            </w:r>
          </w:p>
        </w:tc>
        <w:tc>
          <w:tcPr>
            <w:tcW w:w="582" w:type="pct"/>
            <w:tcBorders>
              <w:top w:val="nil"/>
              <w:left w:val="nil"/>
              <w:bottom w:val="nil"/>
              <w:right w:val="nil"/>
            </w:tcBorders>
          </w:tcPr>
          <w:p w14:paraId="0E7E3085" w14:textId="77777777" w:rsidR="00FB04CA" w:rsidRPr="00FB04CA" w:rsidDel="00473D46" w:rsidRDefault="00FB04CA" w:rsidP="00971EBF">
            <w:pPr>
              <w:pStyle w:val="Tabletext"/>
              <w:rPr>
                <w:snapToGrid w:val="0"/>
              </w:rPr>
            </w:pPr>
            <w:r w:rsidRPr="00FB04CA">
              <w:rPr>
                <w:snapToGrid w:val="0"/>
              </w:rPr>
              <w:t>0.1</w:t>
            </w:r>
          </w:p>
        </w:tc>
        <w:tc>
          <w:tcPr>
            <w:tcW w:w="584" w:type="pct"/>
            <w:tcBorders>
              <w:top w:val="nil"/>
              <w:left w:val="nil"/>
              <w:bottom w:val="nil"/>
              <w:right w:val="nil"/>
            </w:tcBorders>
          </w:tcPr>
          <w:p w14:paraId="1A1829B2" w14:textId="77777777" w:rsidR="00FB04CA" w:rsidRPr="00FB04CA" w:rsidDel="00473D46" w:rsidRDefault="00FB04CA" w:rsidP="00971EBF">
            <w:pPr>
              <w:pStyle w:val="Tabletext"/>
              <w:rPr>
                <w:snapToGrid w:val="0"/>
              </w:rPr>
            </w:pPr>
            <w:r w:rsidRPr="00FB04CA">
              <w:rPr>
                <w:snapToGrid w:val="0"/>
              </w:rPr>
              <w:t>0.4</w:t>
            </w:r>
          </w:p>
        </w:tc>
      </w:tr>
      <w:tr w:rsidR="00FB04CA" w:rsidRPr="0005417A" w:rsidDel="00473D46" w14:paraId="418E0731" w14:textId="77777777" w:rsidTr="00FB04CA">
        <w:trPr>
          <w:cantSplit/>
        </w:trPr>
        <w:tc>
          <w:tcPr>
            <w:tcW w:w="427" w:type="pct"/>
            <w:tcBorders>
              <w:top w:val="nil"/>
              <w:left w:val="nil"/>
              <w:bottom w:val="nil"/>
              <w:right w:val="nil"/>
            </w:tcBorders>
            <w:shd w:val="clear" w:color="auto" w:fill="auto"/>
          </w:tcPr>
          <w:p w14:paraId="3F105762" w14:textId="77777777" w:rsidR="00FB04CA" w:rsidRPr="00FB04CA" w:rsidRDefault="00FB04CA" w:rsidP="00971EBF">
            <w:pPr>
              <w:pStyle w:val="Tabletext"/>
              <w:rPr>
                <w:snapToGrid w:val="0"/>
              </w:rPr>
            </w:pPr>
            <w:r w:rsidRPr="00FB04CA">
              <w:rPr>
                <w:snapToGrid w:val="0"/>
              </w:rPr>
              <w:t>69A</w:t>
            </w:r>
          </w:p>
        </w:tc>
        <w:tc>
          <w:tcPr>
            <w:tcW w:w="887" w:type="pct"/>
            <w:tcBorders>
              <w:top w:val="nil"/>
              <w:left w:val="nil"/>
              <w:bottom w:val="nil"/>
              <w:right w:val="nil"/>
            </w:tcBorders>
            <w:shd w:val="clear" w:color="auto" w:fill="auto"/>
          </w:tcPr>
          <w:p w14:paraId="70F51D3F" w14:textId="79947CBB" w:rsidR="00FB04CA" w:rsidRPr="00FB04CA" w:rsidRDefault="00FB04CA" w:rsidP="00971EBF">
            <w:pPr>
              <w:pStyle w:val="Tabletext"/>
              <w:rPr>
                <w:snapToGrid w:val="0"/>
              </w:rPr>
            </w:pPr>
            <w:r w:rsidRPr="00FB04CA">
              <w:rPr>
                <w:snapToGrid w:val="0"/>
              </w:rPr>
              <w:t>Renewable diesel</w:t>
            </w:r>
          </w:p>
        </w:tc>
        <w:tc>
          <w:tcPr>
            <w:tcW w:w="1008" w:type="pct"/>
            <w:tcBorders>
              <w:top w:val="nil"/>
              <w:left w:val="nil"/>
              <w:bottom w:val="nil"/>
              <w:right w:val="nil"/>
            </w:tcBorders>
            <w:shd w:val="clear" w:color="auto" w:fill="auto"/>
          </w:tcPr>
          <w:p w14:paraId="066FE124" w14:textId="77777777" w:rsidR="00FB04CA" w:rsidRPr="00FB04CA" w:rsidRDefault="00FB04CA" w:rsidP="00971EBF">
            <w:pPr>
              <w:pStyle w:val="Tabletext"/>
            </w:pPr>
            <w:r w:rsidRPr="00FB04CA">
              <w:t>Euro iii</w:t>
            </w:r>
          </w:p>
        </w:tc>
        <w:tc>
          <w:tcPr>
            <w:tcW w:w="930" w:type="pct"/>
            <w:tcBorders>
              <w:top w:val="nil"/>
              <w:left w:val="nil"/>
              <w:bottom w:val="nil"/>
              <w:right w:val="nil"/>
            </w:tcBorders>
          </w:tcPr>
          <w:p w14:paraId="0D1CE13F" w14:textId="77777777" w:rsidR="00FB04CA" w:rsidRPr="00FB04CA" w:rsidRDefault="00FB04CA" w:rsidP="00971EBF">
            <w:pPr>
              <w:pStyle w:val="Tabletext"/>
              <w:rPr>
                <w:snapToGrid w:val="0"/>
              </w:rPr>
            </w:pPr>
            <w:r w:rsidRPr="00FB04CA">
              <w:rPr>
                <w:snapToGrid w:val="0"/>
              </w:rPr>
              <w:t>38.6</w:t>
            </w:r>
          </w:p>
        </w:tc>
        <w:tc>
          <w:tcPr>
            <w:tcW w:w="582" w:type="pct"/>
            <w:tcBorders>
              <w:top w:val="nil"/>
              <w:left w:val="nil"/>
              <w:bottom w:val="nil"/>
              <w:right w:val="nil"/>
            </w:tcBorders>
          </w:tcPr>
          <w:p w14:paraId="27F9E616" w14:textId="77777777" w:rsidR="00FB04CA" w:rsidRPr="00FB04CA" w:rsidRDefault="00FB04CA" w:rsidP="00971EBF">
            <w:pPr>
              <w:pStyle w:val="Tabletext"/>
              <w:rPr>
                <w:snapToGrid w:val="0"/>
              </w:rPr>
            </w:pPr>
            <w:r w:rsidRPr="00FB04CA">
              <w:rPr>
                <w:snapToGrid w:val="0"/>
              </w:rPr>
              <w:t>0.00</w:t>
            </w:r>
          </w:p>
        </w:tc>
        <w:tc>
          <w:tcPr>
            <w:tcW w:w="582" w:type="pct"/>
            <w:tcBorders>
              <w:top w:val="nil"/>
              <w:left w:val="nil"/>
              <w:bottom w:val="nil"/>
              <w:right w:val="nil"/>
            </w:tcBorders>
          </w:tcPr>
          <w:p w14:paraId="38FC964F" w14:textId="77777777" w:rsidR="00FB04CA" w:rsidRPr="00FB04CA" w:rsidRDefault="00FB04CA" w:rsidP="00971EBF">
            <w:pPr>
              <w:pStyle w:val="Tabletext"/>
              <w:rPr>
                <w:snapToGrid w:val="0"/>
              </w:rPr>
            </w:pPr>
            <w:r w:rsidRPr="00FB04CA">
              <w:rPr>
                <w:snapToGrid w:val="0"/>
              </w:rPr>
              <w:t>0.1</w:t>
            </w:r>
          </w:p>
        </w:tc>
        <w:tc>
          <w:tcPr>
            <w:tcW w:w="584" w:type="pct"/>
            <w:tcBorders>
              <w:top w:val="nil"/>
              <w:left w:val="nil"/>
              <w:bottom w:val="nil"/>
              <w:right w:val="nil"/>
            </w:tcBorders>
          </w:tcPr>
          <w:p w14:paraId="4D1F3701" w14:textId="77777777" w:rsidR="00FB04CA" w:rsidRPr="00FB04CA" w:rsidRDefault="00FB04CA" w:rsidP="00971EBF">
            <w:pPr>
              <w:pStyle w:val="Tabletext"/>
              <w:rPr>
                <w:snapToGrid w:val="0"/>
              </w:rPr>
            </w:pPr>
            <w:r w:rsidRPr="00FB04CA">
              <w:rPr>
                <w:snapToGrid w:val="0"/>
              </w:rPr>
              <w:t>0.4</w:t>
            </w:r>
          </w:p>
        </w:tc>
      </w:tr>
      <w:tr w:rsidR="00FB04CA" w:rsidRPr="0005417A" w:rsidDel="00473D46" w14:paraId="4C2ECE9B" w14:textId="77777777" w:rsidTr="00FB04CA">
        <w:trPr>
          <w:cantSplit/>
        </w:trPr>
        <w:tc>
          <w:tcPr>
            <w:tcW w:w="427" w:type="pct"/>
            <w:tcBorders>
              <w:top w:val="nil"/>
              <w:left w:val="nil"/>
              <w:bottom w:val="nil"/>
              <w:right w:val="nil"/>
            </w:tcBorders>
            <w:shd w:val="clear" w:color="auto" w:fill="auto"/>
          </w:tcPr>
          <w:p w14:paraId="00B6B6E0" w14:textId="77777777" w:rsidR="00FB04CA" w:rsidRPr="00FB04CA" w:rsidDel="00473D46" w:rsidRDefault="00FB04CA" w:rsidP="00971EBF">
            <w:pPr>
              <w:pStyle w:val="Tabletext"/>
              <w:rPr>
                <w:snapToGrid w:val="0"/>
              </w:rPr>
            </w:pPr>
            <w:r w:rsidRPr="00FB04CA">
              <w:rPr>
                <w:snapToGrid w:val="0"/>
              </w:rPr>
              <w:t>70</w:t>
            </w:r>
          </w:p>
        </w:tc>
        <w:tc>
          <w:tcPr>
            <w:tcW w:w="887" w:type="pct"/>
            <w:tcBorders>
              <w:top w:val="nil"/>
              <w:left w:val="nil"/>
              <w:bottom w:val="nil"/>
              <w:right w:val="nil"/>
            </w:tcBorders>
            <w:shd w:val="clear" w:color="auto" w:fill="auto"/>
          </w:tcPr>
          <w:p w14:paraId="7C925B34" w14:textId="77777777" w:rsidR="00FB04CA" w:rsidRPr="00FB04CA" w:rsidDel="00473D46" w:rsidRDefault="00FB04CA" w:rsidP="00971EBF">
            <w:pPr>
              <w:pStyle w:val="Tabletext"/>
              <w:rPr>
                <w:snapToGrid w:val="0"/>
              </w:rPr>
            </w:pPr>
            <w:r w:rsidRPr="00FB04CA">
              <w:rPr>
                <w:snapToGrid w:val="0"/>
              </w:rPr>
              <w:t>Diesel oil</w:t>
            </w:r>
          </w:p>
        </w:tc>
        <w:tc>
          <w:tcPr>
            <w:tcW w:w="1008" w:type="pct"/>
            <w:tcBorders>
              <w:top w:val="nil"/>
              <w:left w:val="nil"/>
              <w:bottom w:val="nil"/>
              <w:right w:val="nil"/>
            </w:tcBorders>
            <w:shd w:val="clear" w:color="auto" w:fill="auto"/>
          </w:tcPr>
          <w:p w14:paraId="15C1E410" w14:textId="77777777" w:rsidR="00FB04CA" w:rsidRPr="00FB04CA" w:rsidDel="00473D46" w:rsidRDefault="00FB04CA" w:rsidP="00971EBF">
            <w:pPr>
              <w:pStyle w:val="Tabletext"/>
            </w:pPr>
            <w:r w:rsidRPr="00FB04CA">
              <w:t>Euro i</w:t>
            </w:r>
          </w:p>
        </w:tc>
        <w:tc>
          <w:tcPr>
            <w:tcW w:w="930" w:type="pct"/>
            <w:tcBorders>
              <w:top w:val="nil"/>
              <w:left w:val="nil"/>
              <w:bottom w:val="nil"/>
              <w:right w:val="nil"/>
            </w:tcBorders>
          </w:tcPr>
          <w:p w14:paraId="4A56F6BB" w14:textId="77777777" w:rsidR="00FB04CA" w:rsidRPr="00FB04CA" w:rsidDel="00473D46" w:rsidRDefault="00FB04CA" w:rsidP="00971EBF">
            <w:pPr>
              <w:pStyle w:val="Tabletext"/>
              <w:rPr>
                <w:snapToGrid w:val="0"/>
              </w:rPr>
            </w:pPr>
            <w:r w:rsidRPr="00FB04CA">
              <w:rPr>
                <w:snapToGrid w:val="0"/>
              </w:rPr>
              <w:t>38.6</w:t>
            </w:r>
          </w:p>
        </w:tc>
        <w:tc>
          <w:tcPr>
            <w:tcW w:w="582" w:type="pct"/>
            <w:tcBorders>
              <w:top w:val="nil"/>
              <w:left w:val="nil"/>
              <w:bottom w:val="nil"/>
              <w:right w:val="nil"/>
            </w:tcBorders>
          </w:tcPr>
          <w:p w14:paraId="05443143" w14:textId="77777777" w:rsidR="00FB04CA" w:rsidRPr="00FB04CA" w:rsidDel="00473D46" w:rsidRDefault="00FB04CA" w:rsidP="00971EBF">
            <w:pPr>
              <w:pStyle w:val="Tabletext"/>
              <w:rPr>
                <w:snapToGrid w:val="0"/>
              </w:rPr>
            </w:pPr>
            <w:r w:rsidRPr="00FB04CA">
              <w:rPr>
                <w:snapToGrid w:val="0"/>
              </w:rPr>
              <w:t>69.9</w:t>
            </w:r>
          </w:p>
        </w:tc>
        <w:tc>
          <w:tcPr>
            <w:tcW w:w="582" w:type="pct"/>
            <w:tcBorders>
              <w:top w:val="nil"/>
              <w:left w:val="nil"/>
              <w:bottom w:val="nil"/>
              <w:right w:val="nil"/>
            </w:tcBorders>
          </w:tcPr>
          <w:p w14:paraId="24229C33" w14:textId="77777777" w:rsidR="00FB04CA" w:rsidRPr="00FB04CA" w:rsidDel="00473D46" w:rsidRDefault="00FB04CA" w:rsidP="00971EBF">
            <w:pPr>
              <w:pStyle w:val="Tabletext"/>
              <w:rPr>
                <w:snapToGrid w:val="0"/>
              </w:rPr>
            </w:pPr>
            <w:r w:rsidRPr="00FB04CA">
              <w:rPr>
                <w:snapToGrid w:val="0"/>
              </w:rPr>
              <w:t>0.2</w:t>
            </w:r>
          </w:p>
        </w:tc>
        <w:tc>
          <w:tcPr>
            <w:tcW w:w="584" w:type="pct"/>
            <w:tcBorders>
              <w:top w:val="nil"/>
              <w:left w:val="nil"/>
              <w:bottom w:val="nil"/>
              <w:right w:val="nil"/>
            </w:tcBorders>
          </w:tcPr>
          <w:p w14:paraId="5ECF2798" w14:textId="77777777" w:rsidR="00FB04CA" w:rsidRPr="00FB04CA" w:rsidDel="00473D46" w:rsidRDefault="00FB04CA" w:rsidP="00971EBF">
            <w:pPr>
              <w:pStyle w:val="Tabletext"/>
              <w:rPr>
                <w:snapToGrid w:val="0"/>
              </w:rPr>
            </w:pPr>
            <w:r w:rsidRPr="00FB04CA">
              <w:rPr>
                <w:snapToGrid w:val="0"/>
              </w:rPr>
              <w:t>0.4</w:t>
            </w:r>
          </w:p>
        </w:tc>
      </w:tr>
      <w:tr w:rsidR="00FB04CA" w:rsidRPr="0005417A" w:rsidDel="00473D46" w14:paraId="52334722" w14:textId="77777777" w:rsidTr="00FB04CA">
        <w:trPr>
          <w:cantSplit/>
        </w:trPr>
        <w:tc>
          <w:tcPr>
            <w:tcW w:w="427" w:type="pct"/>
            <w:tcBorders>
              <w:top w:val="nil"/>
              <w:left w:val="nil"/>
              <w:bottom w:val="single" w:sz="12" w:space="0" w:color="auto"/>
              <w:right w:val="nil"/>
            </w:tcBorders>
            <w:shd w:val="clear" w:color="auto" w:fill="auto"/>
          </w:tcPr>
          <w:p w14:paraId="3AB8E8BA" w14:textId="77777777" w:rsidR="00FB04CA" w:rsidRPr="00FB04CA" w:rsidRDefault="00FB04CA" w:rsidP="00971EBF">
            <w:pPr>
              <w:pStyle w:val="Tabletext"/>
              <w:rPr>
                <w:snapToGrid w:val="0"/>
              </w:rPr>
            </w:pPr>
            <w:r w:rsidRPr="00FB04CA">
              <w:rPr>
                <w:snapToGrid w:val="0"/>
              </w:rPr>
              <w:t>70A</w:t>
            </w:r>
          </w:p>
        </w:tc>
        <w:tc>
          <w:tcPr>
            <w:tcW w:w="887" w:type="pct"/>
            <w:tcBorders>
              <w:top w:val="nil"/>
              <w:left w:val="nil"/>
              <w:bottom w:val="single" w:sz="12" w:space="0" w:color="auto"/>
              <w:right w:val="nil"/>
            </w:tcBorders>
            <w:shd w:val="clear" w:color="auto" w:fill="auto"/>
          </w:tcPr>
          <w:p w14:paraId="62C4E7EF" w14:textId="508210B6" w:rsidR="00FB04CA" w:rsidRPr="00FB04CA" w:rsidRDefault="00FB04CA" w:rsidP="00971EBF">
            <w:pPr>
              <w:pStyle w:val="Tabletext"/>
              <w:rPr>
                <w:snapToGrid w:val="0"/>
              </w:rPr>
            </w:pPr>
            <w:r w:rsidRPr="00FB04CA">
              <w:rPr>
                <w:snapToGrid w:val="0"/>
              </w:rPr>
              <w:t>Renewable diesel</w:t>
            </w:r>
          </w:p>
        </w:tc>
        <w:tc>
          <w:tcPr>
            <w:tcW w:w="1008" w:type="pct"/>
            <w:tcBorders>
              <w:top w:val="nil"/>
              <w:left w:val="nil"/>
              <w:bottom w:val="single" w:sz="12" w:space="0" w:color="auto"/>
              <w:right w:val="nil"/>
            </w:tcBorders>
            <w:shd w:val="clear" w:color="auto" w:fill="auto"/>
          </w:tcPr>
          <w:p w14:paraId="370296CA" w14:textId="77777777" w:rsidR="00FB04CA" w:rsidRPr="00FB04CA" w:rsidRDefault="00FB04CA" w:rsidP="00971EBF">
            <w:pPr>
              <w:pStyle w:val="Tabletext"/>
            </w:pPr>
            <w:r w:rsidRPr="00FB04CA">
              <w:t>Euro i</w:t>
            </w:r>
          </w:p>
        </w:tc>
        <w:tc>
          <w:tcPr>
            <w:tcW w:w="930" w:type="pct"/>
            <w:tcBorders>
              <w:top w:val="nil"/>
              <w:left w:val="nil"/>
              <w:bottom w:val="single" w:sz="12" w:space="0" w:color="auto"/>
              <w:right w:val="nil"/>
            </w:tcBorders>
          </w:tcPr>
          <w:p w14:paraId="795F8A7D" w14:textId="77777777" w:rsidR="00FB04CA" w:rsidRPr="00FB04CA" w:rsidRDefault="00FB04CA" w:rsidP="00971EBF">
            <w:pPr>
              <w:pStyle w:val="Tabletext"/>
              <w:rPr>
                <w:snapToGrid w:val="0"/>
              </w:rPr>
            </w:pPr>
            <w:r w:rsidRPr="00FB04CA">
              <w:rPr>
                <w:snapToGrid w:val="0"/>
              </w:rPr>
              <w:t>38.6</w:t>
            </w:r>
          </w:p>
        </w:tc>
        <w:tc>
          <w:tcPr>
            <w:tcW w:w="582" w:type="pct"/>
            <w:tcBorders>
              <w:top w:val="nil"/>
              <w:left w:val="nil"/>
              <w:bottom w:val="single" w:sz="12" w:space="0" w:color="auto"/>
              <w:right w:val="nil"/>
            </w:tcBorders>
          </w:tcPr>
          <w:p w14:paraId="6150C5B5" w14:textId="77777777" w:rsidR="00FB04CA" w:rsidRPr="00FB04CA" w:rsidRDefault="00FB04CA" w:rsidP="00971EBF">
            <w:pPr>
              <w:pStyle w:val="Tabletext"/>
              <w:rPr>
                <w:snapToGrid w:val="0"/>
              </w:rPr>
            </w:pPr>
            <w:r w:rsidRPr="00FB04CA">
              <w:rPr>
                <w:snapToGrid w:val="0"/>
              </w:rPr>
              <w:t>0.00</w:t>
            </w:r>
          </w:p>
        </w:tc>
        <w:tc>
          <w:tcPr>
            <w:tcW w:w="582" w:type="pct"/>
            <w:tcBorders>
              <w:top w:val="nil"/>
              <w:left w:val="nil"/>
              <w:bottom w:val="single" w:sz="12" w:space="0" w:color="auto"/>
              <w:right w:val="nil"/>
            </w:tcBorders>
          </w:tcPr>
          <w:p w14:paraId="72BDAAF6" w14:textId="77777777" w:rsidR="00FB04CA" w:rsidRPr="00FB04CA" w:rsidRDefault="00FB04CA" w:rsidP="00971EBF">
            <w:pPr>
              <w:pStyle w:val="Tabletext"/>
              <w:rPr>
                <w:snapToGrid w:val="0"/>
              </w:rPr>
            </w:pPr>
            <w:r w:rsidRPr="00FB04CA">
              <w:rPr>
                <w:snapToGrid w:val="0"/>
              </w:rPr>
              <w:t>0.2</w:t>
            </w:r>
          </w:p>
        </w:tc>
        <w:tc>
          <w:tcPr>
            <w:tcW w:w="584" w:type="pct"/>
            <w:tcBorders>
              <w:top w:val="nil"/>
              <w:left w:val="nil"/>
              <w:bottom w:val="single" w:sz="12" w:space="0" w:color="auto"/>
              <w:right w:val="nil"/>
            </w:tcBorders>
          </w:tcPr>
          <w:p w14:paraId="71548305" w14:textId="77777777" w:rsidR="00FB04CA" w:rsidRPr="00FB04CA" w:rsidRDefault="00FB04CA" w:rsidP="00971EBF">
            <w:pPr>
              <w:pStyle w:val="Tabletext"/>
              <w:rPr>
                <w:snapToGrid w:val="0"/>
              </w:rPr>
            </w:pPr>
            <w:r w:rsidRPr="00FB04CA">
              <w:rPr>
                <w:snapToGrid w:val="0"/>
              </w:rPr>
              <w:t>0.4</w:t>
            </w:r>
          </w:p>
        </w:tc>
      </w:tr>
    </w:tbl>
    <w:p w14:paraId="173444CD" w14:textId="1B3BC56F" w:rsidR="006F6FD5" w:rsidRDefault="00E8058E" w:rsidP="006F6FD5">
      <w:pPr>
        <w:pStyle w:val="ItemHead"/>
      </w:pPr>
      <w:r>
        <w:t>2</w:t>
      </w:r>
      <w:r w:rsidR="002F2AF2">
        <w:t>9</w:t>
      </w:r>
      <w:r w:rsidR="006F6FD5">
        <w:t xml:space="preserve">  Part 6 of Schedule 1</w:t>
      </w:r>
    </w:p>
    <w:p w14:paraId="4B401EC0" w14:textId="5C866F10" w:rsidR="006F6FD5" w:rsidRDefault="006F6FD5" w:rsidP="006F6FD5">
      <w:pPr>
        <w:pStyle w:val="Item"/>
      </w:pPr>
      <w:r>
        <w:t xml:space="preserve">Repeal the </w:t>
      </w:r>
      <w:r w:rsidR="00751A27">
        <w:t>Part</w:t>
      </w:r>
      <w:r>
        <w:t>, substitute:</w:t>
      </w:r>
    </w:p>
    <w:p w14:paraId="0AEFAE3F" w14:textId="76B2551C" w:rsidR="00751A27" w:rsidRDefault="00751A27" w:rsidP="000D711C">
      <w:pPr>
        <w:pStyle w:val="ActHead2"/>
        <w:ind w:left="0" w:firstLine="0"/>
        <w:rPr>
          <w:rStyle w:val="CharPartText"/>
        </w:rPr>
      </w:pPr>
      <w:bookmarkStart w:id="26" w:name="_Toc107314759"/>
      <w:r w:rsidRPr="0005417A">
        <w:rPr>
          <w:rStyle w:val="CharPartNo"/>
        </w:rPr>
        <w:t>Part 6</w:t>
      </w:r>
      <w:r w:rsidRPr="0005417A">
        <w:t>—</w:t>
      </w:r>
      <w:r w:rsidRPr="0005417A">
        <w:rPr>
          <w:rStyle w:val="CharPartText"/>
        </w:rPr>
        <w:t xml:space="preserve">Indirect (scope 2) emission factors </w:t>
      </w:r>
      <w:r>
        <w:rPr>
          <w:rStyle w:val="CharPartText"/>
        </w:rPr>
        <w:t>and residual mix factors for</w:t>
      </w:r>
      <w:r w:rsidRPr="0005417A">
        <w:rPr>
          <w:rStyle w:val="CharPartText"/>
        </w:rPr>
        <w:t xml:space="preserve"> consumption of electricity </w:t>
      </w:r>
      <w:bookmarkEnd w:id="26"/>
    </w:p>
    <w:p w14:paraId="27FC5F16" w14:textId="77777777" w:rsidR="00751A27" w:rsidRPr="00202D52" w:rsidRDefault="00751A27" w:rsidP="00751A27">
      <w:pPr>
        <w:ind w:left="425" w:firstLine="425"/>
        <w:rPr>
          <w:rStyle w:val="CharPartNo"/>
          <w:color w:val="000000" w:themeColor="text1"/>
        </w:rPr>
      </w:pPr>
    </w:p>
    <w:p w14:paraId="17D88B50" w14:textId="77777777" w:rsidR="00751A27" w:rsidRPr="00C021B3" w:rsidRDefault="00751A27" w:rsidP="00751A27">
      <w:pPr>
        <w:pStyle w:val="Header"/>
      </w:pPr>
      <w:r w:rsidRPr="00C021B3">
        <w:rPr>
          <w:rStyle w:val="CharDivNo"/>
        </w:rPr>
        <w:t xml:space="preserve"> </w:t>
      </w:r>
      <w:r w:rsidRPr="00C021B3">
        <w:rPr>
          <w:rStyle w:val="CharDivText"/>
        </w:rPr>
        <w:t xml:space="preserve"> </w:t>
      </w: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617"/>
        <w:gridCol w:w="4762"/>
        <w:gridCol w:w="1466"/>
        <w:gridCol w:w="1468"/>
      </w:tblGrid>
      <w:tr w:rsidR="006F6FD5" w:rsidRPr="00C021B3" w14:paraId="3DC0062A" w14:textId="77777777" w:rsidTr="00902691">
        <w:trPr>
          <w:tblHeader/>
        </w:trPr>
        <w:tc>
          <w:tcPr>
            <w:tcW w:w="371" w:type="pct"/>
            <w:tcBorders>
              <w:top w:val="single" w:sz="6" w:space="0" w:color="auto"/>
              <w:bottom w:val="single" w:sz="12" w:space="0" w:color="auto"/>
            </w:tcBorders>
            <w:shd w:val="clear" w:color="auto" w:fill="auto"/>
          </w:tcPr>
          <w:p w14:paraId="325E9321" w14:textId="77777777" w:rsidR="006F6FD5" w:rsidRPr="00C021B3" w:rsidRDefault="006F6FD5" w:rsidP="00902691">
            <w:pPr>
              <w:pStyle w:val="TableHeading"/>
            </w:pPr>
            <w:r w:rsidRPr="00C021B3">
              <w:t>Item</w:t>
            </w:r>
          </w:p>
        </w:tc>
        <w:tc>
          <w:tcPr>
            <w:tcW w:w="2864" w:type="pct"/>
            <w:tcBorders>
              <w:top w:val="single" w:sz="6" w:space="0" w:color="auto"/>
              <w:bottom w:val="single" w:sz="12" w:space="0" w:color="auto"/>
            </w:tcBorders>
            <w:shd w:val="clear" w:color="auto" w:fill="auto"/>
          </w:tcPr>
          <w:p w14:paraId="713F184D" w14:textId="77777777" w:rsidR="006F6FD5" w:rsidRPr="00C021B3" w:rsidRDefault="006F6FD5" w:rsidP="00902691">
            <w:pPr>
              <w:pStyle w:val="TableHeading"/>
            </w:pPr>
            <w:r w:rsidRPr="00C021B3">
              <w:t>Column 1</w:t>
            </w:r>
          </w:p>
          <w:p w14:paraId="1C942E79" w14:textId="77777777" w:rsidR="006F6FD5" w:rsidRPr="00C021B3" w:rsidRDefault="006F6FD5" w:rsidP="00902691">
            <w:pPr>
              <w:pStyle w:val="TableHeading"/>
            </w:pPr>
            <w:r w:rsidRPr="00C021B3">
              <w:t>State, Territory or grid description</w:t>
            </w:r>
          </w:p>
        </w:tc>
        <w:tc>
          <w:tcPr>
            <w:tcW w:w="882" w:type="pct"/>
            <w:tcBorders>
              <w:top w:val="single" w:sz="6" w:space="0" w:color="auto"/>
              <w:bottom w:val="single" w:sz="12" w:space="0" w:color="auto"/>
            </w:tcBorders>
            <w:shd w:val="clear" w:color="auto" w:fill="auto"/>
          </w:tcPr>
          <w:p w14:paraId="7BC78C07" w14:textId="77777777" w:rsidR="006F6FD5" w:rsidRPr="00C021B3" w:rsidRDefault="006F6FD5" w:rsidP="00902691">
            <w:pPr>
              <w:pStyle w:val="TableHeading"/>
              <w:jc w:val="right"/>
            </w:pPr>
            <w:r w:rsidRPr="00C021B3">
              <w:t>Column 2</w:t>
            </w:r>
          </w:p>
          <w:p w14:paraId="3153F1F6" w14:textId="77777777" w:rsidR="006F6FD5" w:rsidRPr="00C021B3" w:rsidRDefault="006F6FD5" w:rsidP="00902691">
            <w:pPr>
              <w:pStyle w:val="TableHeading"/>
              <w:jc w:val="right"/>
            </w:pPr>
            <w:r w:rsidRPr="00C021B3">
              <w:t>Emission factor</w:t>
            </w:r>
            <w:r w:rsidRPr="00C021B3">
              <w:br/>
              <w:t>kg CO</w:t>
            </w:r>
            <w:r w:rsidRPr="00C021B3">
              <w:rPr>
                <w:vertAlign w:val="subscript"/>
              </w:rPr>
              <w:t>2</w:t>
            </w:r>
            <w:r>
              <w:noBreakHyphen/>
            </w:r>
            <w:r w:rsidRPr="00C021B3">
              <w:t>e/kWh</w:t>
            </w:r>
          </w:p>
        </w:tc>
        <w:tc>
          <w:tcPr>
            <w:tcW w:w="883" w:type="pct"/>
            <w:tcBorders>
              <w:top w:val="single" w:sz="6" w:space="0" w:color="auto"/>
              <w:bottom w:val="single" w:sz="12" w:space="0" w:color="auto"/>
            </w:tcBorders>
          </w:tcPr>
          <w:p w14:paraId="7C76494C" w14:textId="77777777" w:rsidR="006F6FD5" w:rsidRPr="00406B18" w:rsidRDefault="006F6FD5" w:rsidP="00902691">
            <w:pPr>
              <w:pStyle w:val="TableHeading"/>
              <w:jc w:val="right"/>
            </w:pPr>
            <w:r w:rsidRPr="00406B18">
              <w:t>Column 3</w:t>
            </w:r>
          </w:p>
          <w:p w14:paraId="60E6EE21" w14:textId="77777777" w:rsidR="006F6FD5" w:rsidRPr="00406B18" w:rsidRDefault="006F6FD5" w:rsidP="00902691">
            <w:pPr>
              <w:pStyle w:val="Tabletext"/>
              <w:jc w:val="right"/>
              <w:rPr>
                <w:b/>
              </w:rPr>
            </w:pPr>
            <w:r w:rsidRPr="00406B18">
              <w:rPr>
                <w:b/>
              </w:rPr>
              <w:t>Residual mix factor</w:t>
            </w:r>
          </w:p>
          <w:p w14:paraId="164A5C34" w14:textId="77777777" w:rsidR="006F6FD5" w:rsidRPr="00406B18" w:rsidRDefault="006F6FD5" w:rsidP="00902691">
            <w:pPr>
              <w:pStyle w:val="Tabletext"/>
              <w:jc w:val="right"/>
              <w:rPr>
                <w:b/>
              </w:rPr>
            </w:pPr>
            <w:r w:rsidRPr="00406B18">
              <w:rPr>
                <w:b/>
              </w:rPr>
              <w:t>kg CO</w:t>
            </w:r>
            <w:r w:rsidRPr="00406B18">
              <w:rPr>
                <w:b/>
                <w:vertAlign w:val="subscript"/>
              </w:rPr>
              <w:t>2</w:t>
            </w:r>
            <w:r w:rsidRPr="00406B18">
              <w:rPr>
                <w:b/>
              </w:rPr>
              <w:noBreakHyphen/>
              <w:t>e/kWh</w:t>
            </w:r>
          </w:p>
        </w:tc>
      </w:tr>
      <w:tr w:rsidR="006F6FD5" w:rsidRPr="004C54CC" w14:paraId="0E3BEC52" w14:textId="77777777" w:rsidTr="00902691">
        <w:tc>
          <w:tcPr>
            <w:tcW w:w="371" w:type="pct"/>
            <w:tcBorders>
              <w:top w:val="single" w:sz="12" w:space="0" w:color="auto"/>
            </w:tcBorders>
            <w:shd w:val="clear" w:color="auto" w:fill="auto"/>
          </w:tcPr>
          <w:p w14:paraId="0AB959D8" w14:textId="77777777" w:rsidR="006F6FD5" w:rsidRPr="00C021B3" w:rsidRDefault="006F6FD5" w:rsidP="00902691">
            <w:pPr>
              <w:pStyle w:val="Tabletext"/>
            </w:pPr>
            <w:r w:rsidRPr="00C021B3">
              <w:t>77</w:t>
            </w:r>
          </w:p>
        </w:tc>
        <w:tc>
          <w:tcPr>
            <w:tcW w:w="2864" w:type="pct"/>
            <w:tcBorders>
              <w:top w:val="single" w:sz="12" w:space="0" w:color="auto"/>
            </w:tcBorders>
            <w:shd w:val="clear" w:color="auto" w:fill="auto"/>
          </w:tcPr>
          <w:p w14:paraId="03B86C1E" w14:textId="77777777" w:rsidR="006F6FD5" w:rsidRPr="00C021B3" w:rsidRDefault="006F6FD5" w:rsidP="00902691">
            <w:pPr>
              <w:pStyle w:val="Tabletext"/>
            </w:pPr>
            <w:r w:rsidRPr="00C021B3">
              <w:t>New South Wales and Australian Capital Territory</w:t>
            </w:r>
          </w:p>
        </w:tc>
        <w:tc>
          <w:tcPr>
            <w:tcW w:w="882" w:type="pct"/>
            <w:tcBorders>
              <w:top w:val="single" w:sz="12" w:space="0" w:color="auto"/>
            </w:tcBorders>
            <w:shd w:val="clear" w:color="auto" w:fill="auto"/>
          </w:tcPr>
          <w:p w14:paraId="55187AA9" w14:textId="77777777" w:rsidR="006F6FD5" w:rsidRPr="00DC1C04" w:rsidRDefault="006F6FD5" w:rsidP="00902691">
            <w:pPr>
              <w:pStyle w:val="Tabletext"/>
              <w:jc w:val="right"/>
            </w:pPr>
            <w:r w:rsidRPr="00A33D83">
              <w:t>0.68</w:t>
            </w:r>
          </w:p>
        </w:tc>
        <w:tc>
          <w:tcPr>
            <w:tcW w:w="883" w:type="pct"/>
            <w:tcBorders>
              <w:top w:val="single" w:sz="12" w:space="0" w:color="auto"/>
            </w:tcBorders>
          </w:tcPr>
          <w:p w14:paraId="27269557" w14:textId="77777777" w:rsidR="006F6FD5" w:rsidRPr="00DC1C04" w:rsidRDefault="006F6FD5" w:rsidP="00902691">
            <w:pPr>
              <w:pStyle w:val="Tabletext"/>
              <w:jc w:val="right"/>
            </w:pPr>
            <w:r>
              <w:t>0.81</w:t>
            </w:r>
          </w:p>
        </w:tc>
      </w:tr>
      <w:tr w:rsidR="006F6FD5" w:rsidRPr="004C54CC" w14:paraId="050BA2AC" w14:textId="77777777" w:rsidTr="00902691">
        <w:tc>
          <w:tcPr>
            <w:tcW w:w="371" w:type="pct"/>
            <w:shd w:val="clear" w:color="auto" w:fill="auto"/>
          </w:tcPr>
          <w:p w14:paraId="2BE5C4BB" w14:textId="77777777" w:rsidR="006F6FD5" w:rsidRPr="00C021B3" w:rsidRDefault="006F6FD5" w:rsidP="00902691">
            <w:pPr>
              <w:pStyle w:val="Tabletext"/>
            </w:pPr>
            <w:r w:rsidRPr="00C021B3">
              <w:t>78</w:t>
            </w:r>
          </w:p>
        </w:tc>
        <w:tc>
          <w:tcPr>
            <w:tcW w:w="2864" w:type="pct"/>
            <w:shd w:val="clear" w:color="auto" w:fill="auto"/>
          </w:tcPr>
          <w:p w14:paraId="28B90397" w14:textId="77777777" w:rsidR="006F6FD5" w:rsidRPr="00C021B3" w:rsidRDefault="006F6FD5" w:rsidP="00902691">
            <w:pPr>
              <w:pStyle w:val="Tabletext"/>
            </w:pPr>
            <w:r w:rsidRPr="00C021B3">
              <w:t>Victoria</w:t>
            </w:r>
          </w:p>
        </w:tc>
        <w:tc>
          <w:tcPr>
            <w:tcW w:w="882" w:type="pct"/>
            <w:shd w:val="clear" w:color="auto" w:fill="auto"/>
          </w:tcPr>
          <w:p w14:paraId="5CCB8089" w14:textId="77777777" w:rsidR="006F6FD5" w:rsidRPr="00DC1C04" w:rsidRDefault="006F6FD5" w:rsidP="00902691">
            <w:pPr>
              <w:pStyle w:val="Tabletext"/>
              <w:jc w:val="right"/>
            </w:pPr>
            <w:r w:rsidRPr="00A33D83">
              <w:t>0.79</w:t>
            </w:r>
          </w:p>
        </w:tc>
        <w:tc>
          <w:tcPr>
            <w:tcW w:w="883" w:type="pct"/>
          </w:tcPr>
          <w:p w14:paraId="060EE8F5" w14:textId="77777777" w:rsidR="006F6FD5" w:rsidRPr="00DC1C04" w:rsidRDefault="006F6FD5" w:rsidP="00902691">
            <w:pPr>
              <w:pStyle w:val="Tabletext"/>
              <w:jc w:val="right"/>
            </w:pPr>
            <w:r w:rsidRPr="00A411AF">
              <w:t>0.81</w:t>
            </w:r>
          </w:p>
        </w:tc>
      </w:tr>
      <w:tr w:rsidR="006F6FD5" w:rsidRPr="004C54CC" w14:paraId="7E935F9D" w14:textId="77777777" w:rsidTr="00902691">
        <w:tc>
          <w:tcPr>
            <w:tcW w:w="371" w:type="pct"/>
            <w:shd w:val="clear" w:color="auto" w:fill="auto"/>
          </w:tcPr>
          <w:p w14:paraId="2A6C65A5" w14:textId="77777777" w:rsidR="006F6FD5" w:rsidRPr="00C021B3" w:rsidRDefault="006F6FD5" w:rsidP="00902691">
            <w:pPr>
              <w:pStyle w:val="Tabletext"/>
            </w:pPr>
            <w:r w:rsidRPr="00C021B3">
              <w:t>79</w:t>
            </w:r>
          </w:p>
        </w:tc>
        <w:tc>
          <w:tcPr>
            <w:tcW w:w="2864" w:type="pct"/>
            <w:shd w:val="clear" w:color="auto" w:fill="auto"/>
          </w:tcPr>
          <w:p w14:paraId="1B843785" w14:textId="77777777" w:rsidR="006F6FD5" w:rsidRPr="00C021B3" w:rsidRDefault="006F6FD5" w:rsidP="00902691">
            <w:pPr>
              <w:pStyle w:val="Tabletext"/>
            </w:pPr>
            <w:r w:rsidRPr="00C021B3">
              <w:t>Queensland</w:t>
            </w:r>
          </w:p>
        </w:tc>
        <w:tc>
          <w:tcPr>
            <w:tcW w:w="882" w:type="pct"/>
            <w:shd w:val="clear" w:color="auto" w:fill="auto"/>
          </w:tcPr>
          <w:p w14:paraId="3A52B538" w14:textId="77777777" w:rsidR="006F6FD5" w:rsidRPr="00DC1C04" w:rsidRDefault="006F6FD5" w:rsidP="00902691">
            <w:pPr>
              <w:pStyle w:val="Tabletext"/>
              <w:jc w:val="right"/>
            </w:pPr>
            <w:r w:rsidRPr="00A33D83">
              <w:t>0.73</w:t>
            </w:r>
          </w:p>
        </w:tc>
        <w:tc>
          <w:tcPr>
            <w:tcW w:w="883" w:type="pct"/>
          </w:tcPr>
          <w:p w14:paraId="11FEFF43" w14:textId="77777777" w:rsidR="006F6FD5" w:rsidRPr="00DC1C04" w:rsidRDefault="006F6FD5" w:rsidP="00902691">
            <w:pPr>
              <w:pStyle w:val="Tabletext"/>
              <w:jc w:val="right"/>
            </w:pPr>
            <w:r w:rsidRPr="00A411AF">
              <w:t>0.81</w:t>
            </w:r>
          </w:p>
        </w:tc>
      </w:tr>
      <w:tr w:rsidR="006F6FD5" w:rsidRPr="004C54CC" w14:paraId="1471CE29" w14:textId="77777777" w:rsidTr="00902691">
        <w:tc>
          <w:tcPr>
            <w:tcW w:w="371" w:type="pct"/>
            <w:shd w:val="clear" w:color="auto" w:fill="auto"/>
          </w:tcPr>
          <w:p w14:paraId="76C805AA" w14:textId="77777777" w:rsidR="006F6FD5" w:rsidRPr="00C021B3" w:rsidRDefault="006F6FD5" w:rsidP="00902691">
            <w:pPr>
              <w:pStyle w:val="Tabletext"/>
            </w:pPr>
            <w:r w:rsidRPr="00C021B3">
              <w:t>80</w:t>
            </w:r>
          </w:p>
        </w:tc>
        <w:tc>
          <w:tcPr>
            <w:tcW w:w="2864" w:type="pct"/>
            <w:shd w:val="clear" w:color="auto" w:fill="auto"/>
          </w:tcPr>
          <w:p w14:paraId="728E3FDE" w14:textId="77777777" w:rsidR="006F6FD5" w:rsidRPr="00C021B3" w:rsidRDefault="006F6FD5" w:rsidP="00902691">
            <w:pPr>
              <w:pStyle w:val="Tabletext"/>
            </w:pPr>
            <w:r w:rsidRPr="00C021B3">
              <w:t>South Australia</w:t>
            </w:r>
          </w:p>
        </w:tc>
        <w:tc>
          <w:tcPr>
            <w:tcW w:w="882" w:type="pct"/>
            <w:shd w:val="clear" w:color="auto" w:fill="auto"/>
          </w:tcPr>
          <w:p w14:paraId="56352441" w14:textId="77777777" w:rsidR="006F6FD5" w:rsidRPr="00DC1C04" w:rsidRDefault="006F6FD5" w:rsidP="00902691">
            <w:pPr>
              <w:pStyle w:val="Tabletext"/>
              <w:jc w:val="right"/>
            </w:pPr>
            <w:r w:rsidRPr="00A33D83">
              <w:t>0.25</w:t>
            </w:r>
          </w:p>
        </w:tc>
        <w:tc>
          <w:tcPr>
            <w:tcW w:w="883" w:type="pct"/>
          </w:tcPr>
          <w:p w14:paraId="4FBCAE26" w14:textId="77777777" w:rsidR="006F6FD5" w:rsidRPr="00DC1C04" w:rsidRDefault="006F6FD5" w:rsidP="00902691">
            <w:pPr>
              <w:pStyle w:val="Tabletext"/>
              <w:jc w:val="right"/>
            </w:pPr>
            <w:r w:rsidRPr="00A411AF">
              <w:t>0.81</w:t>
            </w:r>
          </w:p>
        </w:tc>
      </w:tr>
      <w:tr w:rsidR="006F6FD5" w:rsidRPr="004C54CC" w14:paraId="12BD2324" w14:textId="77777777" w:rsidTr="00902691">
        <w:tc>
          <w:tcPr>
            <w:tcW w:w="371" w:type="pct"/>
            <w:shd w:val="clear" w:color="auto" w:fill="auto"/>
          </w:tcPr>
          <w:p w14:paraId="6CFEB303" w14:textId="77777777" w:rsidR="006F6FD5" w:rsidRPr="00C021B3" w:rsidRDefault="006F6FD5" w:rsidP="00902691">
            <w:pPr>
              <w:pStyle w:val="Tabletext"/>
            </w:pPr>
            <w:r w:rsidRPr="00C021B3">
              <w:t>81</w:t>
            </w:r>
          </w:p>
        </w:tc>
        <w:tc>
          <w:tcPr>
            <w:tcW w:w="2864" w:type="pct"/>
            <w:shd w:val="clear" w:color="auto" w:fill="auto"/>
          </w:tcPr>
          <w:p w14:paraId="02267C2B" w14:textId="77777777" w:rsidR="006F6FD5" w:rsidRPr="00C021B3" w:rsidRDefault="006F6FD5" w:rsidP="00902691">
            <w:pPr>
              <w:pStyle w:val="Tabletext"/>
            </w:pPr>
            <w:r w:rsidRPr="00C021B3">
              <w:t>South West Interconnected System in Western Australia</w:t>
            </w:r>
          </w:p>
        </w:tc>
        <w:tc>
          <w:tcPr>
            <w:tcW w:w="882" w:type="pct"/>
            <w:shd w:val="clear" w:color="auto" w:fill="auto"/>
          </w:tcPr>
          <w:p w14:paraId="19763DB0" w14:textId="77777777" w:rsidR="006F6FD5" w:rsidRPr="00DC1C04" w:rsidRDefault="006F6FD5" w:rsidP="00902691">
            <w:pPr>
              <w:pStyle w:val="Tabletext"/>
              <w:jc w:val="right"/>
            </w:pPr>
            <w:r w:rsidRPr="00A33D83">
              <w:t>0.53</w:t>
            </w:r>
          </w:p>
        </w:tc>
        <w:tc>
          <w:tcPr>
            <w:tcW w:w="883" w:type="pct"/>
          </w:tcPr>
          <w:p w14:paraId="68294807" w14:textId="77777777" w:rsidR="006F6FD5" w:rsidRPr="00DC1C04" w:rsidRDefault="006F6FD5" w:rsidP="00902691">
            <w:pPr>
              <w:pStyle w:val="Tabletext"/>
              <w:jc w:val="right"/>
            </w:pPr>
            <w:r w:rsidRPr="00A411AF">
              <w:t>0.81</w:t>
            </w:r>
          </w:p>
        </w:tc>
      </w:tr>
      <w:tr w:rsidR="006F6FD5" w:rsidRPr="004C54CC" w14:paraId="68C176BF" w14:textId="77777777" w:rsidTr="00902691">
        <w:tc>
          <w:tcPr>
            <w:tcW w:w="371" w:type="pct"/>
            <w:tcBorders>
              <w:bottom w:val="single" w:sz="4" w:space="0" w:color="auto"/>
            </w:tcBorders>
            <w:shd w:val="clear" w:color="auto" w:fill="auto"/>
          </w:tcPr>
          <w:p w14:paraId="7CF9D372" w14:textId="77777777" w:rsidR="006F6FD5" w:rsidRPr="00C021B3" w:rsidRDefault="006F6FD5" w:rsidP="00902691">
            <w:pPr>
              <w:pStyle w:val="Tabletext"/>
            </w:pPr>
            <w:r w:rsidRPr="00C021B3">
              <w:t>82</w:t>
            </w:r>
          </w:p>
        </w:tc>
        <w:tc>
          <w:tcPr>
            <w:tcW w:w="2864" w:type="pct"/>
            <w:tcBorders>
              <w:bottom w:val="single" w:sz="4" w:space="0" w:color="auto"/>
            </w:tcBorders>
            <w:shd w:val="clear" w:color="auto" w:fill="auto"/>
          </w:tcPr>
          <w:p w14:paraId="1731C589" w14:textId="77777777" w:rsidR="006F6FD5" w:rsidRPr="00C021B3" w:rsidRDefault="006F6FD5" w:rsidP="00902691">
            <w:pPr>
              <w:pStyle w:val="Tabletext"/>
            </w:pPr>
            <w:r w:rsidRPr="00C021B3">
              <w:t>Tasmania</w:t>
            </w:r>
          </w:p>
        </w:tc>
        <w:tc>
          <w:tcPr>
            <w:tcW w:w="882" w:type="pct"/>
            <w:tcBorders>
              <w:bottom w:val="single" w:sz="4" w:space="0" w:color="auto"/>
            </w:tcBorders>
            <w:shd w:val="clear" w:color="auto" w:fill="auto"/>
          </w:tcPr>
          <w:p w14:paraId="6B73DBD4" w14:textId="77777777" w:rsidR="006F6FD5" w:rsidRPr="00DC1C04" w:rsidRDefault="006F6FD5" w:rsidP="00902691">
            <w:pPr>
              <w:pStyle w:val="Tabletext"/>
              <w:jc w:val="right"/>
            </w:pPr>
            <w:r w:rsidRPr="00A33D83">
              <w:t>0.12</w:t>
            </w:r>
          </w:p>
        </w:tc>
        <w:tc>
          <w:tcPr>
            <w:tcW w:w="883" w:type="pct"/>
            <w:tcBorders>
              <w:bottom w:val="single" w:sz="4" w:space="0" w:color="auto"/>
            </w:tcBorders>
          </w:tcPr>
          <w:p w14:paraId="56C543A8" w14:textId="77777777" w:rsidR="006F6FD5" w:rsidRPr="00DC1C04" w:rsidRDefault="006F6FD5" w:rsidP="00902691">
            <w:pPr>
              <w:pStyle w:val="Tabletext"/>
              <w:jc w:val="right"/>
            </w:pPr>
            <w:r w:rsidRPr="00A411AF">
              <w:t>0.81</w:t>
            </w:r>
          </w:p>
        </w:tc>
      </w:tr>
      <w:tr w:rsidR="006F6FD5" w:rsidRPr="004C54CC" w14:paraId="2A806565" w14:textId="77777777" w:rsidTr="00902691">
        <w:tc>
          <w:tcPr>
            <w:tcW w:w="371" w:type="pct"/>
            <w:tcBorders>
              <w:bottom w:val="single" w:sz="12" w:space="0" w:color="auto"/>
            </w:tcBorders>
            <w:shd w:val="clear" w:color="auto" w:fill="auto"/>
          </w:tcPr>
          <w:p w14:paraId="60F55ABF" w14:textId="77777777" w:rsidR="006F6FD5" w:rsidRPr="00C021B3" w:rsidRDefault="006F6FD5" w:rsidP="00902691">
            <w:pPr>
              <w:pStyle w:val="Tabletext"/>
            </w:pPr>
            <w:r w:rsidRPr="00C021B3">
              <w:t>83</w:t>
            </w:r>
          </w:p>
        </w:tc>
        <w:tc>
          <w:tcPr>
            <w:tcW w:w="2864" w:type="pct"/>
            <w:tcBorders>
              <w:bottom w:val="single" w:sz="12" w:space="0" w:color="auto"/>
            </w:tcBorders>
            <w:shd w:val="clear" w:color="auto" w:fill="auto"/>
          </w:tcPr>
          <w:p w14:paraId="3FA737AA" w14:textId="77777777" w:rsidR="006F6FD5" w:rsidRPr="00C021B3" w:rsidRDefault="006F6FD5" w:rsidP="00902691">
            <w:pPr>
              <w:pStyle w:val="Tabletext"/>
            </w:pPr>
            <w:r w:rsidRPr="00C021B3">
              <w:t>Northern Territory</w:t>
            </w:r>
          </w:p>
        </w:tc>
        <w:tc>
          <w:tcPr>
            <w:tcW w:w="882" w:type="pct"/>
            <w:tcBorders>
              <w:bottom w:val="single" w:sz="12" w:space="0" w:color="auto"/>
            </w:tcBorders>
            <w:shd w:val="clear" w:color="auto" w:fill="auto"/>
          </w:tcPr>
          <w:p w14:paraId="0D0F4C47" w14:textId="77777777" w:rsidR="006F6FD5" w:rsidRPr="00DC1C04" w:rsidRDefault="006F6FD5" w:rsidP="00902691">
            <w:pPr>
              <w:pStyle w:val="Tabletext"/>
              <w:jc w:val="right"/>
            </w:pPr>
            <w:r w:rsidRPr="00A33D83">
              <w:t>0.54</w:t>
            </w:r>
          </w:p>
        </w:tc>
        <w:tc>
          <w:tcPr>
            <w:tcW w:w="883" w:type="pct"/>
            <w:tcBorders>
              <w:bottom w:val="single" w:sz="12" w:space="0" w:color="auto"/>
            </w:tcBorders>
          </w:tcPr>
          <w:p w14:paraId="1EEDF944" w14:textId="77777777" w:rsidR="006F6FD5" w:rsidRPr="00DC1C04" w:rsidRDefault="006F6FD5" w:rsidP="00902691">
            <w:pPr>
              <w:pStyle w:val="Tabletext"/>
              <w:jc w:val="right"/>
            </w:pPr>
            <w:r w:rsidRPr="00A411AF">
              <w:t>0.81</w:t>
            </w:r>
          </w:p>
        </w:tc>
      </w:tr>
    </w:tbl>
    <w:p w14:paraId="155084C8" w14:textId="4B239A36" w:rsidR="001C47F4" w:rsidRDefault="002F2AF2" w:rsidP="001C47F4">
      <w:pPr>
        <w:pStyle w:val="ItemHead"/>
      </w:pPr>
      <w:r>
        <w:t>30</w:t>
      </w:r>
      <w:r w:rsidR="001C47F4">
        <w:t xml:space="preserve">  Part 2 of Schedule 3 (table item 17A, column 2)</w:t>
      </w:r>
    </w:p>
    <w:p w14:paraId="4D02AE25" w14:textId="62E6E016" w:rsidR="001C47F4" w:rsidRDefault="001C47F4" w:rsidP="001C47F4">
      <w:pPr>
        <w:pStyle w:val="Item"/>
      </w:pPr>
      <w:r>
        <w:t>Before “distributed in a pipeline”, insert “transmitted or”.</w:t>
      </w:r>
    </w:p>
    <w:p w14:paraId="5EC8E12F" w14:textId="2FDFF12B" w:rsidR="00FB04CA" w:rsidRDefault="00A62439" w:rsidP="00FB04CA">
      <w:pPr>
        <w:pStyle w:val="ItemHead"/>
      </w:pPr>
      <w:r>
        <w:t>3</w:t>
      </w:r>
      <w:r w:rsidR="002F2AF2">
        <w:t>1</w:t>
      </w:r>
      <w:r w:rsidR="00FB04CA">
        <w:t xml:space="preserve">  Part 3 of Schedule 3 (after table item 52)</w:t>
      </w:r>
    </w:p>
    <w:p w14:paraId="5B73B0BF" w14:textId="0C67383D" w:rsidR="00FB04CA" w:rsidRDefault="00FB04CA" w:rsidP="00FB04CA">
      <w:pPr>
        <w:pStyle w:val="Item"/>
      </w:pPr>
      <w:r>
        <w:t>Add:</w:t>
      </w:r>
    </w:p>
    <w:p w14:paraId="6EE529F0" w14:textId="77777777" w:rsidR="00FB04CA" w:rsidRPr="00FB04CA" w:rsidRDefault="00FB04CA" w:rsidP="00FB04CA">
      <w:pPr>
        <w:pStyle w:val="ItemHead"/>
        <w:spacing w:before="0"/>
        <w:rPr>
          <w:sz w:val="20"/>
        </w:rPr>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710"/>
        <w:gridCol w:w="5664"/>
        <w:gridCol w:w="1939"/>
      </w:tblGrid>
      <w:tr w:rsidR="00FB04CA" w:rsidRPr="00F1408E" w14:paraId="776E2F14" w14:textId="77777777" w:rsidTr="00971EBF">
        <w:trPr>
          <w:trHeight w:val="20"/>
        </w:trPr>
        <w:tc>
          <w:tcPr>
            <w:tcW w:w="427" w:type="pct"/>
            <w:shd w:val="clear" w:color="auto" w:fill="auto"/>
          </w:tcPr>
          <w:p w14:paraId="64CFC838" w14:textId="77777777" w:rsidR="00FB04CA" w:rsidRPr="00FB04CA" w:rsidRDefault="00FB04CA" w:rsidP="00971EBF">
            <w:pPr>
              <w:pStyle w:val="Tabletext"/>
            </w:pPr>
            <w:r w:rsidRPr="00FB04CA">
              <w:t>52A</w:t>
            </w:r>
          </w:p>
        </w:tc>
        <w:tc>
          <w:tcPr>
            <w:tcW w:w="3407" w:type="pct"/>
            <w:shd w:val="clear" w:color="auto" w:fill="auto"/>
          </w:tcPr>
          <w:p w14:paraId="1240F7CB" w14:textId="7EF22EF5" w:rsidR="00FB04CA" w:rsidRPr="00FB04CA" w:rsidRDefault="00FB04CA" w:rsidP="00971EBF">
            <w:pPr>
              <w:pStyle w:val="Tabletext"/>
            </w:pPr>
            <w:r w:rsidRPr="00FB04CA">
              <w:t xml:space="preserve">Renewable </w:t>
            </w:r>
            <w:r w:rsidR="00AE6E6E">
              <w:t xml:space="preserve">aviation </w:t>
            </w:r>
            <w:r w:rsidR="00AE6E6E" w:rsidRPr="00FB04CA">
              <w:t xml:space="preserve">kerosene </w:t>
            </w:r>
          </w:p>
        </w:tc>
        <w:tc>
          <w:tcPr>
            <w:tcW w:w="1166" w:type="pct"/>
            <w:shd w:val="clear" w:color="auto" w:fill="auto"/>
          </w:tcPr>
          <w:p w14:paraId="616EEC5A" w14:textId="77777777" w:rsidR="00FB04CA" w:rsidRPr="00FB04CA" w:rsidRDefault="00FB04CA" w:rsidP="00971EBF">
            <w:pPr>
              <w:pStyle w:val="Tabletext"/>
            </w:pPr>
            <w:r w:rsidRPr="00FB04CA">
              <w:t>0</w:t>
            </w:r>
          </w:p>
        </w:tc>
      </w:tr>
      <w:tr w:rsidR="00FB04CA" w:rsidRPr="00F1408E" w14:paraId="23ED812D" w14:textId="77777777" w:rsidTr="00971EBF">
        <w:trPr>
          <w:trHeight w:val="20"/>
        </w:trPr>
        <w:tc>
          <w:tcPr>
            <w:tcW w:w="427" w:type="pct"/>
            <w:shd w:val="clear" w:color="auto" w:fill="auto"/>
          </w:tcPr>
          <w:p w14:paraId="5911122B" w14:textId="77777777" w:rsidR="00FB04CA" w:rsidRPr="00FB04CA" w:rsidRDefault="00FB04CA" w:rsidP="00971EBF">
            <w:pPr>
              <w:pStyle w:val="Tabletext"/>
            </w:pPr>
            <w:r w:rsidRPr="00FB04CA">
              <w:t>52B</w:t>
            </w:r>
          </w:p>
        </w:tc>
        <w:tc>
          <w:tcPr>
            <w:tcW w:w="3407" w:type="pct"/>
            <w:shd w:val="clear" w:color="auto" w:fill="auto"/>
          </w:tcPr>
          <w:p w14:paraId="7EF2D7DB" w14:textId="3B6BF55B" w:rsidR="00FB04CA" w:rsidRPr="00FB04CA" w:rsidRDefault="00FB04CA" w:rsidP="00971EBF">
            <w:pPr>
              <w:pStyle w:val="Tabletext"/>
            </w:pPr>
            <w:r w:rsidRPr="00FB04CA">
              <w:t xml:space="preserve">Renewable </w:t>
            </w:r>
            <w:r w:rsidR="00AE6E6E">
              <w:t>diesel</w:t>
            </w:r>
          </w:p>
        </w:tc>
        <w:tc>
          <w:tcPr>
            <w:tcW w:w="1166" w:type="pct"/>
            <w:shd w:val="clear" w:color="auto" w:fill="auto"/>
          </w:tcPr>
          <w:p w14:paraId="454FDD67" w14:textId="77777777" w:rsidR="00FB04CA" w:rsidRPr="00FB04CA" w:rsidRDefault="00FB04CA" w:rsidP="00971EBF">
            <w:pPr>
              <w:pStyle w:val="Tabletext"/>
            </w:pPr>
            <w:r w:rsidRPr="00FB04CA">
              <w:t>0</w:t>
            </w:r>
          </w:p>
        </w:tc>
      </w:tr>
    </w:tbl>
    <w:p w14:paraId="04929086" w14:textId="003C69FF" w:rsidR="004240AE" w:rsidRDefault="004240AE" w:rsidP="004240AE">
      <w:pPr>
        <w:pStyle w:val="ItemHead"/>
      </w:pPr>
      <w:r>
        <w:lastRenderedPageBreak/>
        <w:t>3</w:t>
      </w:r>
      <w:r w:rsidR="002F2AF2">
        <w:t>2</w:t>
      </w:r>
      <w:r>
        <w:t xml:space="preserve">  Part 2 of Schedule 4</w:t>
      </w:r>
    </w:p>
    <w:p w14:paraId="017C1052" w14:textId="311D6CE3" w:rsidR="004240AE" w:rsidRDefault="004240AE" w:rsidP="004240AE">
      <w:pPr>
        <w:pStyle w:val="Item"/>
      </w:pPr>
      <w:r>
        <w:t>Omit “megajoules” (wherever occurring), substitute “gigajoules”.</w:t>
      </w:r>
    </w:p>
    <w:p w14:paraId="21B3C443" w14:textId="2DF3BCB8" w:rsidR="001B5049" w:rsidRDefault="001B5049" w:rsidP="001B5049">
      <w:pPr>
        <w:pStyle w:val="Header"/>
      </w:pPr>
    </w:p>
    <w:p w14:paraId="48B3F485" w14:textId="43B6DC24" w:rsidR="00176ABA" w:rsidRPr="00176ABA" w:rsidRDefault="00176ABA" w:rsidP="00176ABA">
      <w:pPr>
        <w:keepNext/>
        <w:keepLines/>
        <w:spacing w:before="220" w:line="240" w:lineRule="auto"/>
        <w:ind w:left="709" w:hanging="709"/>
        <w:rPr>
          <w:rFonts w:ascii="Arial" w:eastAsia="Times New Roman" w:hAnsi="Arial"/>
          <w:b/>
          <w:kern w:val="28"/>
          <w:sz w:val="24"/>
          <w:lang w:eastAsia="en-AU"/>
        </w:rPr>
      </w:pPr>
      <w:r w:rsidRPr="00176ABA">
        <w:rPr>
          <w:rFonts w:ascii="Arial" w:eastAsia="Times New Roman" w:hAnsi="Arial"/>
          <w:b/>
          <w:kern w:val="28"/>
          <w:sz w:val="24"/>
          <w:lang w:eastAsia="en-AU"/>
        </w:rPr>
        <w:t>3</w:t>
      </w:r>
      <w:r>
        <w:rPr>
          <w:rFonts w:ascii="Arial" w:eastAsia="Times New Roman" w:hAnsi="Arial"/>
          <w:b/>
          <w:kern w:val="28"/>
          <w:sz w:val="24"/>
          <w:lang w:eastAsia="en-AU"/>
        </w:rPr>
        <w:t>3</w:t>
      </w:r>
      <w:r w:rsidRPr="00176ABA">
        <w:rPr>
          <w:rFonts w:ascii="Arial" w:eastAsia="Times New Roman" w:hAnsi="Arial"/>
          <w:b/>
          <w:kern w:val="28"/>
          <w:sz w:val="24"/>
          <w:lang w:eastAsia="en-AU"/>
        </w:rPr>
        <w:t xml:space="preserve">  After Part 6 of Schedule 4</w:t>
      </w:r>
    </w:p>
    <w:p w14:paraId="3AB868A2" w14:textId="77777777" w:rsidR="00176ABA" w:rsidRPr="00176ABA" w:rsidRDefault="00176ABA" w:rsidP="00176ABA">
      <w:pPr>
        <w:keepLines/>
        <w:spacing w:before="80" w:line="240" w:lineRule="auto"/>
        <w:ind w:left="709"/>
        <w:rPr>
          <w:rFonts w:eastAsia="Times New Roman"/>
          <w:lang w:eastAsia="en-AU"/>
        </w:rPr>
      </w:pPr>
      <w:r w:rsidRPr="00176ABA">
        <w:rPr>
          <w:rFonts w:eastAsia="Times New Roman"/>
          <w:lang w:eastAsia="en-AU"/>
        </w:rPr>
        <w:t>Add:</w:t>
      </w:r>
    </w:p>
    <w:p w14:paraId="4F92F248" w14:textId="77777777" w:rsidR="00176ABA" w:rsidRPr="00176ABA" w:rsidRDefault="00176ABA" w:rsidP="00176ABA">
      <w:pPr>
        <w:keepNext/>
        <w:keepLines/>
        <w:spacing w:before="280" w:line="240" w:lineRule="auto"/>
        <w:outlineLvl w:val="1"/>
        <w:rPr>
          <w:rFonts w:eastAsia="Times New Roman"/>
          <w:b/>
          <w:kern w:val="28"/>
          <w:sz w:val="32"/>
          <w:lang w:eastAsia="en-AU"/>
        </w:rPr>
      </w:pPr>
      <w:r w:rsidRPr="00176ABA">
        <w:rPr>
          <w:rFonts w:eastAsia="Times New Roman"/>
          <w:b/>
          <w:kern w:val="28"/>
          <w:sz w:val="32"/>
          <w:lang w:eastAsia="en-AU"/>
        </w:rPr>
        <w:t xml:space="preserve">Part 7—Scope 2 emissions </w:t>
      </w:r>
    </w:p>
    <w:p w14:paraId="7A3BDED9" w14:textId="1C102D69" w:rsidR="00176ABA" w:rsidRDefault="00176ABA" w:rsidP="00A42E11">
      <w:pPr>
        <w:pStyle w:val="Item"/>
        <w:ind w:left="0"/>
        <w:rPr>
          <w:sz w:val="16"/>
        </w:rPr>
      </w:pPr>
    </w:p>
    <w:p w14:paraId="0816C0E8" w14:textId="7589E761" w:rsidR="003F67ED" w:rsidRPr="00176ABA" w:rsidRDefault="00A42E11" w:rsidP="00981655">
      <w:pPr>
        <w:spacing w:before="60" w:line="240" w:lineRule="auto"/>
        <w:rPr>
          <w:rFonts w:eastAsia="Times New Roman"/>
          <w:sz w:val="20"/>
        </w:rPr>
      </w:pPr>
      <w:r>
        <w:t xml:space="preserve">For the purposes of </w:t>
      </w:r>
      <w:r w:rsidR="00CE6B4E">
        <w:t>sub</w:t>
      </w:r>
      <w:r>
        <w:t>s</w:t>
      </w:r>
      <w:r w:rsidR="003F67ED">
        <w:t>ection</w:t>
      </w:r>
      <w:r>
        <w:t xml:space="preserve"> 4.17B</w:t>
      </w:r>
      <w:r w:rsidR="00CE6B4E">
        <w:t>(2)</w:t>
      </w:r>
      <w:r>
        <w:t xml:space="preserve"> of the Regulations, </w:t>
      </w:r>
      <w:r w:rsidR="007B1BBA">
        <w:t xml:space="preserve">the matters </w:t>
      </w:r>
      <w:r w:rsidR="00981655">
        <w:t xml:space="preserve">that must be included in a report </w:t>
      </w:r>
      <w:r w:rsidR="007B1BBA">
        <w:t>are</w:t>
      </w:r>
      <w:r w:rsidR="00BA18F5">
        <w:t xml:space="preserve"> </w:t>
      </w:r>
      <w:r w:rsidR="00FC2AA7">
        <w:t xml:space="preserve">the values </w:t>
      </w:r>
      <w:r w:rsidR="003F67ED" w:rsidRPr="00CD49F3">
        <w:rPr>
          <w:rFonts w:eastAsia="Times New Roman"/>
        </w:rPr>
        <w:t>Q</w:t>
      </w:r>
      <w:r w:rsidR="003F67ED" w:rsidRPr="007E539E">
        <w:rPr>
          <w:rFonts w:eastAsia="Times New Roman"/>
        </w:rPr>
        <w:t xml:space="preserve">, </w:t>
      </w:r>
      <w:r w:rsidR="003F67ED" w:rsidRPr="00CD49F3">
        <w:rPr>
          <w:rFonts w:eastAsia="Times New Roman"/>
        </w:rPr>
        <w:t>Q</w:t>
      </w:r>
      <w:r w:rsidR="003F67ED" w:rsidRPr="005A3DE6">
        <w:rPr>
          <w:rFonts w:eastAsia="Times New Roman"/>
          <w:vertAlign w:val="subscript"/>
        </w:rPr>
        <w:t>exempt</w:t>
      </w:r>
      <w:r w:rsidR="003F67ED" w:rsidRPr="007E539E">
        <w:rPr>
          <w:rFonts w:eastAsia="Times New Roman"/>
        </w:rPr>
        <w:t xml:space="preserve">, </w:t>
      </w:r>
      <w:r w:rsidR="003F67ED" w:rsidRPr="00CD49F3">
        <w:rPr>
          <w:rFonts w:eastAsia="Times New Roman"/>
        </w:rPr>
        <w:t>REC</w:t>
      </w:r>
      <w:r w:rsidR="003F67ED" w:rsidRPr="007E539E">
        <w:rPr>
          <w:rFonts w:eastAsia="Times New Roman"/>
          <w:vertAlign w:val="subscript"/>
        </w:rPr>
        <w:t>surr</w:t>
      </w:r>
      <w:r w:rsidR="003F67ED" w:rsidRPr="007E539E">
        <w:rPr>
          <w:rFonts w:eastAsia="Times New Roman"/>
        </w:rPr>
        <w:t xml:space="preserve"> and </w:t>
      </w:r>
      <w:r w:rsidR="003F67ED" w:rsidRPr="00CD49F3">
        <w:rPr>
          <w:rFonts w:eastAsia="Times New Roman"/>
        </w:rPr>
        <w:t>REC</w:t>
      </w:r>
      <w:r w:rsidR="003F67ED" w:rsidRPr="007E539E">
        <w:rPr>
          <w:rFonts w:eastAsia="Times New Roman"/>
          <w:vertAlign w:val="subscript"/>
        </w:rPr>
        <w:t>onsite</w:t>
      </w:r>
      <w:r w:rsidR="003F67ED" w:rsidRPr="007E539E">
        <w:rPr>
          <w:rFonts w:eastAsia="Times New Roman"/>
        </w:rPr>
        <w:t xml:space="preserve"> </w:t>
      </w:r>
      <w:r w:rsidR="003F67ED">
        <w:rPr>
          <w:rFonts w:eastAsia="Times New Roman"/>
        </w:rPr>
        <w:t xml:space="preserve">used to estimate </w:t>
      </w:r>
      <w:r w:rsidR="00981655" w:rsidRPr="00981655">
        <w:rPr>
          <w:rFonts w:eastAsia="Times New Roman"/>
        </w:rPr>
        <w:t xml:space="preserve">scope 2 emissions </w:t>
      </w:r>
      <w:r w:rsidR="00CD49F3">
        <w:rPr>
          <w:rFonts w:eastAsia="Times New Roman"/>
        </w:rPr>
        <w:t>under the market-based method as set out in section 7.4 (method B).</w:t>
      </w:r>
      <w:r w:rsidR="00981655" w:rsidRPr="00981655">
        <w:rPr>
          <w:rFonts w:eastAsia="Times New Roman"/>
        </w:rPr>
        <w:t xml:space="preserve"> </w:t>
      </w:r>
    </w:p>
    <w:p w14:paraId="7A9BBCCD" w14:textId="77777777" w:rsidR="00176ABA" w:rsidRPr="00C021B3" w:rsidRDefault="00176ABA" w:rsidP="001B5049">
      <w:pPr>
        <w:pStyle w:val="Header"/>
      </w:pPr>
    </w:p>
    <w:p w14:paraId="229216D8" w14:textId="74128DF3" w:rsidR="003C4C98" w:rsidRDefault="00A62439" w:rsidP="003C4C98">
      <w:pPr>
        <w:pStyle w:val="ItemHead"/>
      </w:pPr>
      <w:r>
        <w:t>3</w:t>
      </w:r>
      <w:r w:rsidR="00176ABA">
        <w:t>4</w:t>
      </w:r>
      <w:r w:rsidR="003C4C98">
        <w:t xml:space="preserve">  Amendments of listed provisions</w:t>
      </w:r>
      <w:r w:rsidR="003C4C98" w:rsidRPr="003C4C98">
        <w:t>—Val</w:t>
      </w:r>
      <w:r w:rsidR="006F6FD5">
        <w:t>v</w:t>
      </w:r>
      <w:r w:rsidR="003C4C98" w:rsidRPr="003C4C98">
        <w:t>es—leaker</w:t>
      </w:r>
    </w:p>
    <w:p w14:paraId="598318A3" w14:textId="42201663" w:rsidR="003C4C98" w:rsidRDefault="003C4C98" w:rsidP="003C4C98">
      <w:pPr>
        <w:pStyle w:val="Item"/>
      </w:pPr>
      <w:r>
        <w:t>Omit “</w:t>
      </w:r>
      <w:r w:rsidRPr="003C4C98">
        <w:t>Values—leaker</w:t>
      </w:r>
      <w:r>
        <w:t>” and substitute “</w:t>
      </w:r>
      <w:r w:rsidRPr="003C4C98">
        <w:t>Val</w:t>
      </w:r>
      <w:r>
        <w:t>v</w:t>
      </w:r>
      <w:r w:rsidRPr="003C4C98">
        <w:t>es—leaker</w:t>
      </w:r>
      <w:r>
        <w:t>” in the following provisions:</w:t>
      </w:r>
    </w:p>
    <w:p w14:paraId="1554F996" w14:textId="7684D13B" w:rsidR="003C4C98" w:rsidRDefault="003C4C98" w:rsidP="003C4C98">
      <w:pPr>
        <w:pStyle w:val="paragraph"/>
      </w:pPr>
      <w:r>
        <w:tab/>
        <w:t xml:space="preserve">(a) </w:t>
      </w:r>
      <w:r>
        <w:tab/>
      </w:r>
      <w:r w:rsidR="000179A7">
        <w:t>subsection</w:t>
      </w:r>
      <w:r>
        <w:t xml:space="preserve"> 3.73C(3) (table), column 2 of item 2;</w:t>
      </w:r>
    </w:p>
    <w:p w14:paraId="46035332" w14:textId="3C98461D" w:rsidR="003C4C98" w:rsidRPr="006A60C8" w:rsidRDefault="003C4C98" w:rsidP="003C4C98">
      <w:pPr>
        <w:pStyle w:val="paragraph"/>
      </w:pPr>
      <w:r>
        <w:tab/>
        <w:t xml:space="preserve">(b) </w:t>
      </w:r>
      <w:r>
        <w:tab/>
      </w:r>
      <w:r w:rsidR="00E72CF1">
        <w:t>subsection</w:t>
      </w:r>
      <w:r>
        <w:t xml:space="preserve"> 3.73H(3) (table), column 2 of item 2;</w:t>
      </w:r>
    </w:p>
    <w:p w14:paraId="3CD39F66" w14:textId="3154ED3E" w:rsidR="003C4C98" w:rsidRPr="006A60C8" w:rsidRDefault="003C4C98" w:rsidP="003C4C98">
      <w:pPr>
        <w:pStyle w:val="paragraph"/>
      </w:pPr>
      <w:r>
        <w:tab/>
        <w:t xml:space="preserve">(c) </w:t>
      </w:r>
      <w:r>
        <w:tab/>
      </w:r>
      <w:r w:rsidR="00E72CF1">
        <w:t>subsection</w:t>
      </w:r>
      <w:r>
        <w:t xml:space="preserve"> 3.73M(4) (table), column 2 of item 2;</w:t>
      </w:r>
    </w:p>
    <w:p w14:paraId="7AD652B6" w14:textId="4BD3196E" w:rsidR="003C4C98" w:rsidRDefault="003C4C98" w:rsidP="003C4C98">
      <w:pPr>
        <w:pStyle w:val="paragraph"/>
      </w:pPr>
      <w:r>
        <w:tab/>
        <w:t xml:space="preserve">(d) </w:t>
      </w:r>
      <w:r>
        <w:tab/>
      </w:r>
      <w:r w:rsidR="00E72CF1">
        <w:t>subsection</w:t>
      </w:r>
      <w:r>
        <w:t xml:space="preserve"> 3.73S(3) (table), column 2 of item 2;</w:t>
      </w:r>
    </w:p>
    <w:p w14:paraId="7FD594A2" w14:textId="3706BFBC" w:rsidR="003C4C98" w:rsidRPr="006A60C8" w:rsidRDefault="003C4C98" w:rsidP="003C4C98">
      <w:pPr>
        <w:pStyle w:val="paragraph"/>
      </w:pPr>
      <w:r>
        <w:tab/>
        <w:t xml:space="preserve">(e) </w:t>
      </w:r>
      <w:r>
        <w:tab/>
      </w:r>
      <w:r w:rsidR="00E72CF1">
        <w:t>subsection</w:t>
      </w:r>
      <w:r>
        <w:t xml:space="preserve"> 3.78E(3) (table), column 2 of item 2;</w:t>
      </w:r>
    </w:p>
    <w:p w14:paraId="3FB40104" w14:textId="103D7B03" w:rsidR="003C4C98" w:rsidRDefault="003C4C98" w:rsidP="003C4C98">
      <w:pPr>
        <w:pStyle w:val="paragraph"/>
      </w:pPr>
      <w:r>
        <w:tab/>
        <w:t xml:space="preserve">(d) </w:t>
      </w:r>
      <w:r>
        <w:tab/>
        <w:t>subsection 3.78J(3) (table), column 2 of item 2.</w:t>
      </w:r>
    </w:p>
    <w:p w14:paraId="23D85267" w14:textId="7A26EF55" w:rsidR="006144B5" w:rsidRDefault="00A62439" w:rsidP="006144B5">
      <w:pPr>
        <w:pStyle w:val="ItemHead"/>
      </w:pPr>
      <w:r>
        <w:t>3</w:t>
      </w:r>
      <w:r w:rsidR="00176ABA">
        <w:t>5</w:t>
      </w:r>
      <w:r w:rsidR="006144B5">
        <w:t xml:space="preserve">  Amendments of listed provisions</w:t>
      </w:r>
      <w:r w:rsidR="006144B5" w:rsidRPr="003C4C98">
        <w:t>—</w:t>
      </w:r>
      <w:r w:rsidR="00EA524D">
        <w:t>N</w:t>
      </w:r>
      <w:r w:rsidR="001E222B">
        <w:t>atural gas transmitted or distributed in a pipeline</w:t>
      </w:r>
    </w:p>
    <w:p w14:paraId="3CDDF330" w14:textId="3DDFC2CC" w:rsidR="006144B5" w:rsidRDefault="006144B5" w:rsidP="006144B5">
      <w:pPr>
        <w:pStyle w:val="Item"/>
      </w:pPr>
      <w:r>
        <w:t>Omit “</w:t>
      </w:r>
      <w:r w:rsidR="00EA524D">
        <w:t>N</w:t>
      </w:r>
      <w:r w:rsidR="001E222B">
        <w:t xml:space="preserve">atural gas if </w:t>
      </w:r>
      <w:r w:rsidR="00EA524D">
        <w:t>distributed in a pipeline”</w:t>
      </w:r>
      <w:r>
        <w:t xml:space="preserve"> and substitute </w:t>
      </w:r>
      <w:r w:rsidR="00EA524D">
        <w:t xml:space="preserve">“Natural gas transmitted or distributed in a pipeline” </w:t>
      </w:r>
      <w:r>
        <w:t>in the following provisions:</w:t>
      </w:r>
    </w:p>
    <w:p w14:paraId="29C75400" w14:textId="2281D39E" w:rsidR="006144B5" w:rsidRDefault="006144B5" w:rsidP="006144B5">
      <w:pPr>
        <w:pStyle w:val="paragraph"/>
      </w:pPr>
      <w:r>
        <w:tab/>
        <w:t xml:space="preserve">(a) </w:t>
      </w:r>
      <w:r>
        <w:tab/>
      </w:r>
      <w:r w:rsidR="00EA524D">
        <w:t>subsection 2.24(1)</w:t>
      </w:r>
      <w:r>
        <w:t xml:space="preserve"> (table), column 2 of item </w:t>
      </w:r>
      <w:r w:rsidR="00EA524D">
        <w:t>1</w:t>
      </w:r>
      <w:r>
        <w:t>;</w:t>
      </w:r>
    </w:p>
    <w:p w14:paraId="5EEE5C7D" w14:textId="47D390D7" w:rsidR="006144B5" w:rsidRPr="006A60C8" w:rsidRDefault="006144B5" w:rsidP="006144B5">
      <w:pPr>
        <w:pStyle w:val="paragraph"/>
      </w:pPr>
      <w:r>
        <w:tab/>
        <w:t xml:space="preserve">(b) </w:t>
      </w:r>
      <w:r>
        <w:tab/>
      </w:r>
      <w:r w:rsidR="00EA524D">
        <w:t>subsection 2.26(3)</w:t>
      </w:r>
      <w:r>
        <w:t xml:space="preserve"> (table), column 2 of item </w:t>
      </w:r>
      <w:r w:rsidR="00EA524D">
        <w:t>1</w:t>
      </w:r>
      <w:r>
        <w:t>;</w:t>
      </w:r>
    </w:p>
    <w:p w14:paraId="795F151A" w14:textId="08A70C23" w:rsidR="006144B5" w:rsidRPr="006A60C8" w:rsidRDefault="006144B5" w:rsidP="006144B5">
      <w:pPr>
        <w:pStyle w:val="paragraph"/>
      </w:pPr>
      <w:r>
        <w:tab/>
        <w:t xml:space="preserve">(c) </w:t>
      </w:r>
      <w:r>
        <w:tab/>
      </w:r>
      <w:r w:rsidR="00EA524D">
        <w:t>subsection 8.6(1)</w:t>
      </w:r>
      <w:r>
        <w:t xml:space="preserve"> (table), column 2 of item </w:t>
      </w:r>
      <w:r w:rsidR="00EA524D">
        <w:t>17</w:t>
      </w:r>
      <w:r>
        <w:t>;</w:t>
      </w:r>
    </w:p>
    <w:p w14:paraId="2B5B8381" w14:textId="016BDC64" w:rsidR="00057B4F" w:rsidRPr="00DA182D" w:rsidRDefault="001C47F4" w:rsidP="005B1AC8">
      <w:pPr>
        <w:pStyle w:val="paragraph"/>
      </w:pPr>
      <w:r>
        <w:tab/>
        <w:t>(</w:t>
      </w:r>
      <w:r w:rsidR="00440639">
        <w:t>d</w:t>
      </w:r>
      <w:r>
        <w:t xml:space="preserve">) </w:t>
      </w:r>
      <w:r>
        <w:tab/>
        <w:t>Part 2 of Schedule 3 (table), column 2 of item 17.</w:t>
      </w:r>
    </w:p>
    <w:sectPr w:rsidR="00057B4F" w:rsidRPr="00DA182D" w:rsidSect="00B20990">
      <w:headerReference w:type="even" r:id="rId34"/>
      <w:headerReference w:type="default" r:id="rId35"/>
      <w:footerReference w:type="even" r:id="rId36"/>
      <w:footerReference w:type="default" r:id="rId37"/>
      <w:footerReference w:type="first" r:id="rId38"/>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CF23E" w14:textId="77777777" w:rsidR="00E3317B" w:rsidRDefault="00E3317B" w:rsidP="0048364F">
      <w:pPr>
        <w:spacing w:line="240" w:lineRule="auto"/>
      </w:pPr>
      <w:r>
        <w:separator/>
      </w:r>
    </w:p>
  </w:endnote>
  <w:endnote w:type="continuationSeparator" w:id="0">
    <w:p w14:paraId="0DD59F89" w14:textId="77777777" w:rsidR="00E3317B" w:rsidRDefault="00E3317B" w:rsidP="0048364F">
      <w:pPr>
        <w:spacing w:line="240" w:lineRule="auto"/>
      </w:pPr>
      <w:r>
        <w:continuationSeparator/>
      </w:r>
    </w:p>
  </w:endnote>
  <w:endnote w:type="continuationNotice" w:id="1">
    <w:p w14:paraId="19B120EE" w14:textId="77777777" w:rsidR="00E3317B" w:rsidRDefault="00E331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embedRegular r:id="rId1" w:fontKey="{295579BC-C951-4F23-8EFE-A8C42D45099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287A67" w14:paraId="61DD63CC" w14:textId="77777777" w:rsidTr="00010D0A">
      <w:tc>
        <w:tcPr>
          <w:tcW w:w="5000" w:type="pct"/>
        </w:tcPr>
        <w:p w14:paraId="36F14B2A" w14:textId="77777777" w:rsidR="00287A67" w:rsidRDefault="00287A67" w:rsidP="00010D0A">
          <w:pPr>
            <w:rPr>
              <w:sz w:val="18"/>
            </w:rPr>
          </w:pPr>
        </w:p>
      </w:tc>
    </w:tr>
  </w:tbl>
  <w:p w14:paraId="054A6546" w14:textId="77777777" w:rsidR="00287A67" w:rsidRPr="005F1388" w:rsidRDefault="00287A67"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287A67" w14:paraId="6675B8A1" w14:textId="77777777" w:rsidTr="00010D0A">
      <w:tc>
        <w:tcPr>
          <w:tcW w:w="5000" w:type="pct"/>
        </w:tcPr>
        <w:p w14:paraId="551D7747" w14:textId="77777777" w:rsidR="00287A67" w:rsidRDefault="00287A67" w:rsidP="00010D0A">
          <w:pPr>
            <w:rPr>
              <w:sz w:val="18"/>
            </w:rPr>
          </w:pPr>
        </w:p>
      </w:tc>
    </w:tr>
  </w:tbl>
  <w:p w14:paraId="4D38F086" w14:textId="77777777" w:rsidR="00287A67" w:rsidRPr="006D3667" w:rsidRDefault="00287A67" w:rsidP="00010D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DAFB" w14:textId="77777777" w:rsidR="00287A67" w:rsidRDefault="00287A67" w:rsidP="00010D0A">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287A67" w14:paraId="589250B2" w14:textId="77777777" w:rsidTr="00010D0A">
      <w:tc>
        <w:tcPr>
          <w:tcW w:w="5000" w:type="pct"/>
        </w:tcPr>
        <w:p w14:paraId="577FB011" w14:textId="77777777" w:rsidR="00287A67" w:rsidRDefault="00287A67" w:rsidP="00010D0A">
          <w:pPr>
            <w:rPr>
              <w:sz w:val="18"/>
            </w:rPr>
          </w:pPr>
        </w:p>
      </w:tc>
    </w:tr>
  </w:tbl>
  <w:p w14:paraId="002E9250" w14:textId="77777777" w:rsidR="00287A67" w:rsidRPr="00486382" w:rsidRDefault="00287A67"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4D0A" w14:textId="77777777" w:rsidR="00287A67" w:rsidRPr="00E33C1C" w:rsidRDefault="00287A67" w:rsidP="00010D0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07"/>
      <w:gridCol w:w="6132"/>
      <w:gridCol w:w="1574"/>
    </w:tblGrid>
    <w:tr w:rsidR="00287A67" w14:paraId="309C2AEB" w14:textId="77777777" w:rsidTr="00010D0A">
      <w:tc>
        <w:tcPr>
          <w:tcW w:w="365" w:type="pct"/>
          <w:tcBorders>
            <w:top w:val="nil"/>
            <w:left w:val="nil"/>
            <w:bottom w:val="nil"/>
            <w:right w:val="nil"/>
          </w:tcBorders>
        </w:tcPr>
        <w:p w14:paraId="0ED16CC6" w14:textId="77777777" w:rsidR="00287A67" w:rsidRDefault="00287A67" w:rsidP="00010D0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1346B063" w14:textId="77777777" w:rsidR="00287A67" w:rsidRDefault="00287A67" w:rsidP="00010D0A">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14:paraId="19E9923F" w14:textId="77777777" w:rsidR="00287A67" w:rsidRDefault="00287A67" w:rsidP="00010D0A">
          <w:pPr>
            <w:spacing w:line="0" w:lineRule="atLeast"/>
            <w:jc w:val="right"/>
            <w:rPr>
              <w:sz w:val="18"/>
            </w:rPr>
          </w:pPr>
        </w:p>
      </w:tc>
    </w:tr>
    <w:tr w:rsidR="00287A67" w14:paraId="666B95EC" w14:textId="77777777" w:rsidTr="00010D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2273D67" w14:textId="77777777" w:rsidR="00287A67" w:rsidRDefault="00287A67" w:rsidP="00010D0A">
          <w:pPr>
            <w:jc w:val="right"/>
            <w:rPr>
              <w:sz w:val="18"/>
            </w:rPr>
          </w:pPr>
        </w:p>
      </w:tc>
    </w:tr>
  </w:tbl>
  <w:p w14:paraId="4863622A" w14:textId="77777777" w:rsidR="00287A67" w:rsidRPr="00ED79B6" w:rsidRDefault="00287A67" w:rsidP="00010D0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B914D" w14:textId="77777777" w:rsidR="00287A67" w:rsidRPr="00E33C1C" w:rsidRDefault="00287A67" w:rsidP="00010D0A">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287A67" w14:paraId="283D3260" w14:textId="77777777" w:rsidTr="00010D0A">
      <w:tc>
        <w:tcPr>
          <w:tcW w:w="947" w:type="pct"/>
          <w:tcBorders>
            <w:top w:val="nil"/>
            <w:left w:val="nil"/>
            <w:bottom w:val="nil"/>
            <w:right w:val="nil"/>
          </w:tcBorders>
        </w:tcPr>
        <w:p w14:paraId="68A1E86C" w14:textId="77777777" w:rsidR="00287A67" w:rsidRDefault="00287A67" w:rsidP="00010D0A">
          <w:pPr>
            <w:spacing w:line="0" w:lineRule="atLeast"/>
            <w:rPr>
              <w:sz w:val="18"/>
            </w:rPr>
          </w:pPr>
        </w:p>
      </w:tc>
      <w:tc>
        <w:tcPr>
          <w:tcW w:w="3688" w:type="pct"/>
          <w:tcBorders>
            <w:top w:val="nil"/>
            <w:left w:val="nil"/>
            <w:bottom w:val="nil"/>
            <w:right w:val="nil"/>
          </w:tcBorders>
        </w:tcPr>
        <w:p w14:paraId="265E72F1" w14:textId="17FACE09" w:rsidR="00287A67" w:rsidRPr="00B20990" w:rsidRDefault="00287A67" w:rsidP="00010D0A">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245EB9">
            <w:rPr>
              <w:i/>
              <w:noProof/>
              <w:sz w:val="18"/>
            </w:rPr>
            <w:t>National Greenhouse and Energy Reporting (Measurement) Amendment (2023 Update) Determination 2023</w:t>
          </w:r>
          <w:r w:rsidRPr="00B20990">
            <w:rPr>
              <w:i/>
              <w:sz w:val="18"/>
            </w:rPr>
            <w:fldChar w:fldCharType="end"/>
          </w:r>
        </w:p>
      </w:tc>
      <w:tc>
        <w:tcPr>
          <w:tcW w:w="365" w:type="pct"/>
          <w:tcBorders>
            <w:top w:val="nil"/>
            <w:left w:val="nil"/>
            <w:bottom w:val="nil"/>
            <w:right w:val="nil"/>
          </w:tcBorders>
        </w:tcPr>
        <w:p w14:paraId="106C5D1F" w14:textId="77777777" w:rsidR="00287A67" w:rsidRDefault="00287A67" w:rsidP="00010D0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287A67" w14:paraId="0DCF6700" w14:textId="77777777" w:rsidTr="00010D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4EC2449F" w14:textId="77777777" w:rsidR="00287A67" w:rsidRDefault="00287A67" w:rsidP="00010D0A">
          <w:pPr>
            <w:rPr>
              <w:sz w:val="18"/>
            </w:rPr>
          </w:pPr>
        </w:p>
      </w:tc>
    </w:tr>
  </w:tbl>
  <w:p w14:paraId="68AF194E" w14:textId="77777777" w:rsidR="00287A67" w:rsidRPr="00ED79B6" w:rsidRDefault="00287A67" w:rsidP="00010D0A">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F271A" w14:textId="77777777" w:rsidR="00287A67" w:rsidRPr="00E33C1C" w:rsidRDefault="00287A6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87A67" w14:paraId="46979FE0" w14:textId="77777777" w:rsidTr="007A6863">
      <w:tc>
        <w:tcPr>
          <w:tcW w:w="709" w:type="dxa"/>
          <w:tcBorders>
            <w:top w:val="nil"/>
            <w:left w:val="nil"/>
            <w:bottom w:val="nil"/>
            <w:right w:val="nil"/>
          </w:tcBorders>
        </w:tcPr>
        <w:p w14:paraId="38DBD5E8" w14:textId="77777777" w:rsidR="00287A67" w:rsidRDefault="00287A67"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6379" w:type="dxa"/>
          <w:tcBorders>
            <w:top w:val="nil"/>
            <w:left w:val="nil"/>
            <w:bottom w:val="nil"/>
            <w:right w:val="nil"/>
          </w:tcBorders>
        </w:tcPr>
        <w:p w14:paraId="64A9E75E" w14:textId="2146AD3E" w:rsidR="00287A67" w:rsidRDefault="00287A67"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245EB9">
            <w:rPr>
              <w:i/>
              <w:noProof/>
              <w:sz w:val="18"/>
            </w:rPr>
            <w:t>National Greenhouse and Energy Reporting (Measurement) Amendment (2023 Update) Determination 2023</w:t>
          </w:r>
          <w:r w:rsidRPr="00B20990">
            <w:rPr>
              <w:i/>
              <w:sz w:val="18"/>
            </w:rPr>
            <w:fldChar w:fldCharType="end"/>
          </w:r>
        </w:p>
      </w:tc>
      <w:tc>
        <w:tcPr>
          <w:tcW w:w="1383" w:type="dxa"/>
          <w:tcBorders>
            <w:top w:val="nil"/>
            <w:left w:val="nil"/>
            <w:bottom w:val="nil"/>
            <w:right w:val="nil"/>
          </w:tcBorders>
        </w:tcPr>
        <w:p w14:paraId="651DE2EE" w14:textId="77777777" w:rsidR="00287A67" w:rsidRDefault="00287A67" w:rsidP="00EE57E8">
          <w:pPr>
            <w:spacing w:line="0" w:lineRule="atLeast"/>
            <w:jc w:val="right"/>
            <w:rPr>
              <w:sz w:val="18"/>
            </w:rPr>
          </w:pPr>
        </w:p>
      </w:tc>
    </w:tr>
    <w:tr w:rsidR="00287A67" w14:paraId="5AF86009"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1DD1EEE" w14:textId="77777777" w:rsidR="00287A67" w:rsidRDefault="00287A67" w:rsidP="00EE57E8">
          <w:pPr>
            <w:jc w:val="right"/>
            <w:rPr>
              <w:sz w:val="18"/>
            </w:rPr>
          </w:pPr>
        </w:p>
      </w:tc>
    </w:tr>
  </w:tbl>
  <w:p w14:paraId="05890F5E" w14:textId="77777777" w:rsidR="00287A67" w:rsidRPr="00ED79B6" w:rsidRDefault="00287A67"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8B54" w14:textId="77777777" w:rsidR="00287A67" w:rsidRPr="00E33C1C" w:rsidRDefault="00287A67"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87A67" w14:paraId="4C8D2E33" w14:textId="77777777" w:rsidTr="00EE57E8">
      <w:tc>
        <w:tcPr>
          <w:tcW w:w="1384" w:type="dxa"/>
          <w:tcBorders>
            <w:top w:val="nil"/>
            <w:left w:val="nil"/>
            <w:bottom w:val="nil"/>
            <w:right w:val="nil"/>
          </w:tcBorders>
        </w:tcPr>
        <w:p w14:paraId="73F4D115" w14:textId="77777777" w:rsidR="00287A67" w:rsidRDefault="00287A67" w:rsidP="00EE57E8">
          <w:pPr>
            <w:spacing w:line="0" w:lineRule="atLeast"/>
            <w:rPr>
              <w:sz w:val="18"/>
            </w:rPr>
          </w:pPr>
        </w:p>
      </w:tc>
      <w:tc>
        <w:tcPr>
          <w:tcW w:w="6379" w:type="dxa"/>
          <w:tcBorders>
            <w:top w:val="nil"/>
            <w:left w:val="nil"/>
            <w:bottom w:val="nil"/>
            <w:right w:val="nil"/>
          </w:tcBorders>
        </w:tcPr>
        <w:p w14:paraId="1205FBFB" w14:textId="21F5DE51" w:rsidR="00287A67" w:rsidRDefault="00287A67"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245EB9">
            <w:rPr>
              <w:i/>
              <w:noProof/>
              <w:sz w:val="18"/>
            </w:rPr>
            <w:t>National Greenhouse and Energy Reporting (Measurement) Amendment (2023 Update) Determination 2023</w:t>
          </w:r>
          <w:r w:rsidRPr="00B20990">
            <w:rPr>
              <w:i/>
              <w:sz w:val="18"/>
            </w:rPr>
            <w:fldChar w:fldCharType="end"/>
          </w:r>
        </w:p>
      </w:tc>
      <w:tc>
        <w:tcPr>
          <w:tcW w:w="709" w:type="dxa"/>
          <w:tcBorders>
            <w:top w:val="nil"/>
            <w:left w:val="nil"/>
            <w:bottom w:val="nil"/>
            <w:right w:val="nil"/>
          </w:tcBorders>
        </w:tcPr>
        <w:p w14:paraId="0AA08EA6" w14:textId="77777777" w:rsidR="00287A67" w:rsidRDefault="00287A67"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w:t>
          </w:r>
          <w:r w:rsidRPr="00ED79B6">
            <w:rPr>
              <w:i/>
              <w:sz w:val="18"/>
            </w:rPr>
            <w:fldChar w:fldCharType="end"/>
          </w:r>
        </w:p>
      </w:tc>
    </w:tr>
    <w:tr w:rsidR="00287A67" w14:paraId="26F56A75"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F3247B2" w14:textId="77777777" w:rsidR="00287A67" w:rsidRDefault="00287A67" w:rsidP="00EE57E8">
          <w:pPr>
            <w:rPr>
              <w:sz w:val="18"/>
            </w:rPr>
          </w:pPr>
        </w:p>
      </w:tc>
    </w:tr>
  </w:tbl>
  <w:p w14:paraId="3001C879" w14:textId="77777777" w:rsidR="00287A67" w:rsidRPr="00ED79B6" w:rsidRDefault="00287A67"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EEA4" w14:textId="77777777" w:rsidR="00287A67" w:rsidRPr="00E33C1C" w:rsidRDefault="00287A67"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87A67" w14:paraId="4D1A9B61" w14:textId="77777777" w:rsidTr="007A6863">
      <w:tc>
        <w:tcPr>
          <w:tcW w:w="1384" w:type="dxa"/>
          <w:tcBorders>
            <w:top w:val="nil"/>
            <w:left w:val="nil"/>
            <w:bottom w:val="nil"/>
            <w:right w:val="nil"/>
          </w:tcBorders>
        </w:tcPr>
        <w:p w14:paraId="4A3EE5E4" w14:textId="77777777" w:rsidR="00287A67" w:rsidRDefault="00287A67" w:rsidP="00EE57E8">
          <w:pPr>
            <w:spacing w:line="0" w:lineRule="atLeast"/>
            <w:rPr>
              <w:sz w:val="18"/>
            </w:rPr>
          </w:pPr>
        </w:p>
      </w:tc>
      <w:tc>
        <w:tcPr>
          <w:tcW w:w="6379" w:type="dxa"/>
          <w:tcBorders>
            <w:top w:val="nil"/>
            <w:left w:val="nil"/>
            <w:bottom w:val="nil"/>
            <w:right w:val="nil"/>
          </w:tcBorders>
        </w:tcPr>
        <w:p w14:paraId="6A062D46" w14:textId="77777777" w:rsidR="00287A67" w:rsidRDefault="00287A67"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0A03C148" w14:textId="77777777" w:rsidR="00287A67" w:rsidRDefault="00287A67"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287A67" w14:paraId="5B7FB2F9"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0C7C93C" w14:textId="4E96D2C3" w:rsidR="00287A67" w:rsidRDefault="00287A67" w:rsidP="00BC1E02">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245EB9">
            <w:rPr>
              <w:i/>
              <w:noProof/>
              <w:sz w:val="18"/>
            </w:rPr>
            <w:t>19/6/2023 4:11 PM</w:t>
          </w:r>
          <w:r w:rsidRPr="00ED79B6">
            <w:rPr>
              <w:i/>
              <w:sz w:val="18"/>
            </w:rPr>
            <w:fldChar w:fldCharType="end"/>
          </w:r>
        </w:p>
      </w:tc>
    </w:tr>
  </w:tbl>
  <w:p w14:paraId="4D01F2CB" w14:textId="77777777" w:rsidR="00287A67" w:rsidRPr="00ED79B6" w:rsidRDefault="00287A67"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796D2" w14:textId="77777777" w:rsidR="00E3317B" w:rsidRDefault="00E3317B" w:rsidP="0048364F">
      <w:pPr>
        <w:spacing w:line="240" w:lineRule="auto"/>
      </w:pPr>
      <w:r>
        <w:separator/>
      </w:r>
    </w:p>
  </w:footnote>
  <w:footnote w:type="continuationSeparator" w:id="0">
    <w:p w14:paraId="5210FFEE" w14:textId="77777777" w:rsidR="00E3317B" w:rsidRDefault="00E3317B" w:rsidP="0048364F">
      <w:pPr>
        <w:spacing w:line="240" w:lineRule="auto"/>
      </w:pPr>
      <w:r>
        <w:continuationSeparator/>
      </w:r>
    </w:p>
  </w:footnote>
  <w:footnote w:type="continuationNotice" w:id="1">
    <w:p w14:paraId="6F248187" w14:textId="77777777" w:rsidR="00E3317B" w:rsidRDefault="00E331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A5FB" w14:textId="77777777" w:rsidR="00287A67" w:rsidRPr="005F1388" w:rsidRDefault="00287A67"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E99B8" w14:textId="77777777" w:rsidR="00287A67" w:rsidRPr="005F1388" w:rsidRDefault="00287A67"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E66C4" w14:textId="77777777" w:rsidR="00287A67" w:rsidRPr="005F1388" w:rsidRDefault="00287A67"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CB49" w14:textId="77777777" w:rsidR="00287A67" w:rsidRPr="00ED79B6" w:rsidRDefault="00287A67" w:rsidP="00010D0A">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278E" w14:textId="77777777" w:rsidR="00287A67" w:rsidRPr="00ED79B6" w:rsidRDefault="00287A67" w:rsidP="00010D0A">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0235" w14:textId="77777777" w:rsidR="00287A67" w:rsidRPr="00ED79B6" w:rsidRDefault="00287A67"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539D7" w14:textId="77777777" w:rsidR="00287A67" w:rsidRPr="00A961C4" w:rsidRDefault="00287A67" w:rsidP="0048364F">
    <w:pPr>
      <w:rPr>
        <w:b/>
        <w:sz w:val="20"/>
      </w:rPr>
    </w:pPr>
  </w:p>
  <w:p w14:paraId="0F38BB69" w14:textId="77777777" w:rsidR="00287A67" w:rsidRPr="00A961C4" w:rsidRDefault="00287A67" w:rsidP="0048364F">
    <w:pPr>
      <w:rPr>
        <w:b/>
        <w:sz w:val="20"/>
      </w:rPr>
    </w:pPr>
  </w:p>
  <w:p w14:paraId="0E7A5781" w14:textId="77777777" w:rsidR="00287A67" w:rsidRPr="00A961C4" w:rsidRDefault="00287A67"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EF1A" w14:textId="77777777" w:rsidR="00287A67" w:rsidRPr="00A961C4" w:rsidRDefault="00287A67" w:rsidP="0048364F">
    <w:pPr>
      <w:jc w:val="right"/>
      <w:rPr>
        <w:sz w:val="20"/>
      </w:rPr>
    </w:pPr>
  </w:p>
  <w:p w14:paraId="70388971" w14:textId="77777777" w:rsidR="00287A67" w:rsidRPr="00A961C4" w:rsidRDefault="00287A67" w:rsidP="0048364F">
    <w:pPr>
      <w:jc w:val="right"/>
      <w:rPr>
        <w:b/>
        <w:sz w:val="20"/>
      </w:rPr>
    </w:pPr>
  </w:p>
  <w:p w14:paraId="43FD9B74" w14:textId="77777777" w:rsidR="00287A67" w:rsidRPr="00A961C4" w:rsidRDefault="00287A67"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46C0D"/>
    <w:multiLevelType w:val="hybridMultilevel"/>
    <w:tmpl w:val="3078FA2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2145558">
    <w:abstractNumId w:val="9"/>
  </w:num>
  <w:num w:numId="2" w16cid:durableId="502014488">
    <w:abstractNumId w:val="7"/>
  </w:num>
  <w:num w:numId="3" w16cid:durableId="1975405315">
    <w:abstractNumId w:val="6"/>
  </w:num>
  <w:num w:numId="4" w16cid:durableId="392972330">
    <w:abstractNumId w:val="5"/>
  </w:num>
  <w:num w:numId="5" w16cid:durableId="1044061340">
    <w:abstractNumId w:val="4"/>
  </w:num>
  <w:num w:numId="6" w16cid:durableId="305359743">
    <w:abstractNumId w:val="8"/>
  </w:num>
  <w:num w:numId="7" w16cid:durableId="636958492">
    <w:abstractNumId w:val="3"/>
  </w:num>
  <w:num w:numId="8" w16cid:durableId="888569319">
    <w:abstractNumId w:val="2"/>
  </w:num>
  <w:num w:numId="9" w16cid:durableId="350377025">
    <w:abstractNumId w:val="1"/>
  </w:num>
  <w:num w:numId="10" w16cid:durableId="1438451040">
    <w:abstractNumId w:val="0"/>
  </w:num>
  <w:num w:numId="11" w16cid:durableId="1278483172">
    <w:abstractNumId w:val="13"/>
  </w:num>
  <w:num w:numId="12" w16cid:durableId="577326846">
    <w:abstractNumId w:val="11"/>
  </w:num>
  <w:num w:numId="13" w16cid:durableId="364522734">
    <w:abstractNumId w:val="12"/>
  </w:num>
  <w:num w:numId="14" w16cid:durableId="2142261423">
    <w:abstractNumId w:val="14"/>
  </w:num>
  <w:num w:numId="15" w16cid:durableId="7717809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BF1"/>
    <w:rsid w:val="0000014E"/>
    <w:rsid w:val="00000263"/>
    <w:rsid w:val="00000399"/>
    <w:rsid w:val="000034D7"/>
    <w:rsid w:val="00005483"/>
    <w:rsid w:val="00010D0A"/>
    <w:rsid w:val="000113BC"/>
    <w:rsid w:val="00013453"/>
    <w:rsid w:val="000136AF"/>
    <w:rsid w:val="00017607"/>
    <w:rsid w:val="000179A7"/>
    <w:rsid w:val="00022D18"/>
    <w:rsid w:val="0003545D"/>
    <w:rsid w:val="0004044E"/>
    <w:rsid w:val="00044EE3"/>
    <w:rsid w:val="000461D3"/>
    <w:rsid w:val="00050F29"/>
    <w:rsid w:val="0005120E"/>
    <w:rsid w:val="0005130B"/>
    <w:rsid w:val="00052672"/>
    <w:rsid w:val="00054577"/>
    <w:rsid w:val="00056303"/>
    <w:rsid w:val="00057B4F"/>
    <w:rsid w:val="000614BF"/>
    <w:rsid w:val="00065256"/>
    <w:rsid w:val="0007169C"/>
    <w:rsid w:val="00071DE3"/>
    <w:rsid w:val="00071DFA"/>
    <w:rsid w:val="000723C9"/>
    <w:rsid w:val="00074C80"/>
    <w:rsid w:val="00076C2D"/>
    <w:rsid w:val="00077593"/>
    <w:rsid w:val="00080F5A"/>
    <w:rsid w:val="0008134F"/>
    <w:rsid w:val="00083E29"/>
    <w:rsid w:val="00083F48"/>
    <w:rsid w:val="000873A7"/>
    <w:rsid w:val="000A479A"/>
    <w:rsid w:val="000A4F63"/>
    <w:rsid w:val="000A7DF9"/>
    <w:rsid w:val="000B0F94"/>
    <w:rsid w:val="000B3513"/>
    <w:rsid w:val="000B4E1E"/>
    <w:rsid w:val="000B7AA1"/>
    <w:rsid w:val="000C5C47"/>
    <w:rsid w:val="000C6086"/>
    <w:rsid w:val="000D05EF"/>
    <w:rsid w:val="000D0F73"/>
    <w:rsid w:val="000D1F22"/>
    <w:rsid w:val="000D3FB9"/>
    <w:rsid w:val="000D4599"/>
    <w:rsid w:val="000D4DF9"/>
    <w:rsid w:val="000D5485"/>
    <w:rsid w:val="000D70D7"/>
    <w:rsid w:val="000D711C"/>
    <w:rsid w:val="000D7E34"/>
    <w:rsid w:val="000E0FA2"/>
    <w:rsid w:val="000E35C2"/>
    <w:rsid w:val="000E598E"/>
    <w:rsid w:val="000E5A3D"/>
    <w:rsid w:val="000E68AA"/>
    <w:rsid w:val="000E6E07"/>
    <w:rsid w:val="000F0ADA"/>
    <w:rsid w:val="000F0C94"/>
    <w:rsid w:val="000F213D"/>
    <w:rsid w:val="000F21C1"/>
    <w:rsid w:val="00101266"/>
    <w:rsid w:val="001014CE"/>
    <w:rsid w:val="00104080"/>
    <w:rsid w:val="0010745C"/>
    <w:rsid w:val="001122FF"/>
    <w:rsid w:val="00117627"/>
    <w:rsid w:val="001176E9"/>
    <w:rsid w:val="00125048"/>
    <w:rsid w:val="00131F53"/>
    <w:rsid w:val="00140E91"/>
    <w:rsid w:val="00141858"/>
    <w:rsid w:val="00142F98"/>
    <w:rsid w:val="00143C18"/>
    <w:rsid w:val="00144147"/>
    <w:rsid w:val="001450D6"/>
    <w:rsid w:val="00146082"/>
    <w:rsid w:val="00146D6C"/>
    <w:rsid w:val="001543DC"/>
    <w:rsid w:val="00160BD7"/>
    <w:rsid w:val="001643C9"/>
    <w:rsid w:val="00165568"/>
    <w:rsid w:val="00166082"/>
    <w:rsid w:val="00166C2F"/>
    <w:rsid w:val="001716C9"/>
    <w:rsid w:val="00176ABA"/>
    <w:rsid w:val="00177C06"/>
    <w:rsid w:val="0018115C"/>
    <w:rsid w:val="00184261"/>
    <w:rsid w:val="00193461"/>
    <w:rsid w:val="001939E1"/>
    <w:rsid w:val="0019452E"/>
    <w:rsid w:val="00195382"/>
    <w:rsid w:val="00195765"/>
    <w:rsid w:val="001A38C2"/>
    <w:rsid w:val="001A3B9F"/>
    <w:rsid w:val="001A5520"/>
    <w:rsid w:val="001A65C0"/>
    <w:rsid w:val="001B3145"/>
    <w:rsid w:val="001B5049"/>
    <w:rsid w:val="001B7A5D"/>
    <w:rsid w:val="001C47F4"/>
    <w:rsid w:val="001C5C23"/>
    <w:rsid w:val="001C69C4"/>
    <w:rsid w:val="001C69DF"/>
    <w:rsid w:val="001D033F"/>
    <w:rsid w:val="001D2C81"/>
    <w:rsid w:val="001D3D3C"/>
    <w:rsid w:val="001D5002"/>
    <w:rsid w:val="001E0A8D"/>
    <w:rsid w:val="001E222B"/>
    <w:rsid w:val="001E3590"/>
    <w:rsid w:val="001E7407"/>
    <w:rsid w:val="001F1A46"/>
    <w:rsid w:val="001F5A03"/>
    <w:rsid w:val="00200E6F"/>
    <w:rsid w:val="00201212"/>
    <w:rsid w:val="00201D27"/>
    <w:rsid w:val="002035D3"/>
    <w:rsid w:val="0021153A"/>
    <w:rsid w:val="00213089"/>
    <w:rsid w:val="00213EC4"/>
    <w:rsid w:val="002205DF"/>
    <w:rsid w:val="00221CF4"/>
    <w:rsid w:val="00223793"/>
    <w:rsid w:val="002245A6"/>
    <w:rsid w:val="002302EA"/>
    <w:rsid w:val="002310C2"/>
    <w:rsid w:val="00235D64"/>
    <w:rsid w:val="00236597"/>
    <w:rsid w:val="00237614"/>
    <w:rsid w:val="00240749"/>
    <w:rsid w:val="00241425"/>
    <w:rsid w:val="00245EB9"/>
    <w:rsid w:val="002468D7"/>
    <w:rsid w:val="002478AB"/>
    <w:rsid w:val="00247E97"/>
    <w:rsid w:val="002559A6"/>
    <w:rsid w:val="00256C81"/>
    <w:rsid w:val="0026509E"/>
    <w:rsid w:val="002703F1"/>
    <w:rsid w:val="00271940"/>
    <w:rsid w:val="00273E89"/>
    <w:rsid w:val="0027437D"/>
    <w:rsid w:val="00284FF9"/>
    <w:rsid w:val="002859C0"/>
    <w:rsid w:val="00285CDD"/>
    <w:rsid w:val="0028678D"/>
    <w:rsid w:val="00287A67"/>
    <w:rsid w:val="00291167"/>
    <w:rsid w:val="00291809"/>
    <w:rsid w:val="0029489E"/>
    <w:rsid w:val="002969E9"/>
    <w:rsid w:val="00297ECB"/>
    <w:rsid w:val="002A421D"/>
    <w:rsid w:val="002B0203"/>
    <w:rsid w:val="002B47EC"/>
    <w:rsid w:val="002B5886"/>
    <w:rsid w:val="002C152A"/>
    <w:rsid w:val="002C2E1D"/>
    <w:rsid w:val="002D043A"/>
    <w:rsid w:val="002D45AD"/>
    <w:rsid w:val="002D71C8"/>
    <w:rsid w:val="002E4698"/>
    <w:rsid w:val="002F2AF2"/>
    <w:rsid w:val="002F4B10"/>
    <w:rsid w:val="002F5F64"/>
    <w:rsid w:val="002F6A99"/>
    <w:rsid w:val="00301396"/>
    <w:rsid w:val="00305397"/>
    <w:rsid w:val="00307A0C"/>
    <w:rsid w:val="0031223A"/>
    <w:rsid w:val="003132C5"/>
    <w:rsid w:val="0031713F"/>
    <w:rsid w:val="003222D1"/>
    <w:rsid w:val="0032259A"/>
    <w:rsid w:val="0032317C"/>
    <w:rsid w:val="0032552A"/>
    <w:rsid w:val="00326589"/>
    <w:rsid w:val="003266C8"/>
    <w:rsid w:val="003267A0"/>
    <w:rsid w:val="0032750F"/>
    <w:rsid w:val="00334877"/>
    <w:rsid w:val="00337863"/>
    <w:rsid w:val="003415CF"/>
    <w:rsid w:val="003415D3"/>
    <w:rsid w:val="0034303E"/>
    <w:rsid w:val="003442F6"/>
    <w:rsid w:val="00345C2E"/>
    <w:rsid w:val="00345FA9"/>
    <w:rsid w:val="00346335"/>
    <w:rsid w:val="00352B0F"/>
    <w:rsid w:val="00354E42"/>
    <w:rsid w:val="003561B0"/>
    <w:rsid w:val="003732DB"/>
    <w:rsid w:val="00373DB2"/>
    <w:rsid w:val="00375737"/>
    <w:rsid w:val="00381933"/>
    <w:rsid w:val="00382DCE"/>
    <w:rsid w:val="00392DDE"/>
    <w:rsid w:val="00397037"/>
    <w:rsid w:val="00397893"/>
    <w:rsid w:val="003A1216"/>
    <w:rsid w:val="003A15AC"/>
    <w:rsid w:val="003B0627"/>
    <w:rsid w:val="003C2E9A"/>
    <w:rsid w:val="003C4B73"/>
    <w:rsid w:val="003C4C98"/>
    <w:rsid w:val="003C5F2B"/>
    <w:rsid w:val="003C7D35"/>
    <w:rsid w:val="003D0004"/>
    <w:rsid w:val="003D0BFE"/>
    <w:rsid w:val="003D5700"/>
    <w:rsid w:val="003D5F4D"/>
    <w:rsid w:val="003E3ADA"/>
    <w:rsid w:val="003F0432"/>
    <w:rsid w:val="003F3A28"/>
    <w:rsid w:val="003F576B"/>
    <w:rsid w:val="003F67ED"/>
    <w:rsid w:val="003F6B2D"/>
    <w:rsid w:val="003F6F52"/>
    <w:rsid w:val="004019C8"/>
    <w:rsid w:val="004022CA"/>
    <w:rsid w:val="00406B18"/>
    <w:rsid w:val="004116CD"/>
    <w:rsid w:val="00411C07"/>
    <w:rsid w:val="00414ADE"/>
    <w:rsid w:val="004158F8"/>
    <w:rsid w:val="004170C9"/>
    <w:rsid w:val="004202F0"/>
    <w:rsid w:val="004240AE"/>
    <w:rsid w:val="004244DF"/>
    <w:rsid w:val="00424CA9"/>
    <w:rsid w:val="004257BB"/>
    <w:rsid w:val="0042665D"/>
    <w:rsid w:val="00426A47"/>
    <w:rsid w:val="00431427"/>
    <w:rsid w:val="004332C2"/>
    <w:rsid w:val="0043647E"/>
    <w:rsid w:val="00440639"/>
    <w:rsid w:val="0044291A"/>
    <w:rsid w:val="00442AD0"/>
    <w:rsid w:val="00451FC9"/>
    <w:rsid w:val="004600B0"/>
    <w:rsid w:val="00460499"/>
    <w:rsid w:val="00460DB1"/>
    <w:rsid w:val="00460FBA"/>
    <w:rsid w:val="00465AA9"/>
    <w:rsid w:val="0046798E"/>
    <w:rsid w:val="0047370A"/>
    <w:rsid w:val="00474835"/>
    <w:rsid w:val="0047651F"/>
    <w:rsid w:val="004819C7"/>
    <w:rsid w:val="0048364F"/>
    <w:rsid w:val="00485F56"/>
    <w:rsid w:val="004877FC"/>
    <w:rsid w:val="0049084D"/>
    <w:rsid w:val="00490F2E"/>
    <w:rsid w:val="004910CA"/>
    <w:rsid w:val="0049507F"/>
    <w:rsid w:val="00496F97"/>
    <w:rsid w:val="004A1E01"/>
    <w:rsid w:val="004A4C8F"/>
    <w:rsid w:val="004A53EA"/>
    <w:rsid w:val="004B35E7"/>
    <w:rsid w:val="004B49E1"/>
    <w:rsid w:val="004C3430"/>
    <w:rsid w:val="004C43AB"/>
    <w:rsid w:val="004D3173"/>
    <w:rsid w:val="004E1712"/>
    <w:rsid w:val="004E2A58"/>
    <w:rsid w:val="004E69EB"/>
    <w:rsid w:val="004F051F"/>
    <w:rsid w:val="004F0FDA"/>
    <w:rsid w:val="004F1286"/>
    <w:rsid w:val="004F1FAC"/>
    <w:rsid w:val="004F676E"/>
    <w:rsid w:val="004F71C0"/>
    <w:rsid w:val="00500F5F"/>
    <w:rsid w:val="00501B92"/>
    <w:rsid w:val="00514480"/>
    <w:rsid w:val="00516B8D"/>
    <w:rsid w:val="0052262D"/>
    <w:rsid w:val="00524068"/>
    <w:rsid w:val="0052756C"/>
    <w:rsid w:val="00530230"/>
    <w:rsid w:val="00530CC9"/>
    <w:rsid w:val="00531B46"/>
    <w:rsid w:val="00532ADA"/>
    <w:rsid w:val="00537A97"/>
    <w:rsid w:val="00537FBC"/>
    <w:rsid w:val="00541D73"/>
    <w:rsid w:val="00543469"/>
    <w:rsid w:val="00544526"/>
    <w:rsid w:val="00544A03"/>
    <w:rsid w:val="00545A0C"/>
    <w:rsid w:val="00545E95"/>
    <w:rsid w:val="0054659D"/>
    <w:rsid w:val="00546FA3"/>
    <w:rsid w:val="00547662"/>
    <w:rsid w:val="005506B6"/>
    <w:rsid w:val="00557C7A"/>
    <w:rsid w:val="00561BEC"/>
    <w:rsid w:val="00562A58"/>
    <w:rsid w:val="0056541A"/>
    <w:rsid w:val="0057628E"/>
    <w:rsid w:val="00577011"/>
    <w:rsid w:val="005777D4"/>
    <w:rsid w:val="00581211"/>
    <w:rsid w:val="00584811"/>
    <w:rsid w:val="005865DE"/>
    <w:rsid w:val="005867D8"/>
    <w:rsid w:val="00593AA6"/>
    <w:rsid w:val="00594161"/>
    <w:rsid w:val="00594638"/>
    <w:rsid w:val="00594749"/>
    <w:rsid w:val="00594956"/>
    <w:rsid w:val="00596B97"/>
    <w:rsid w:val="005A0A93"/>
    <w:rsid w:val="005A3DE6"/>
    <w:rsid w:val="005A6B59"/>
    <w:rsid w:val="005A7371"/>
    <w:rsid w:val="005B1555"/>
    <w:rsid w:val="005B1AC8"/>
    <w:rsid w:val="005B1E58"/>
    <w:rsid w:val="005B4067"/>
    <w:rsid w:val="005C2B54"/>
    <w:rsid w:val="005C3AF8"/>
    <w:rsid w:val="005C3F41"/>
    <w:rsid w:val="005C3F82"/>
    <w:rsid w:val="005C4EF0"/>
    <w:rsid w:val="005C5AF3"/>
    <w:rsid w:val="005D0DF2"/>
    <w:rsid w:val="005D20FF"/>
    <w:rsid w:val="005D3B3C"/>
    <w:rsid w:val="005D5EA1"/>
    <w:rsid w:val="005E098C"/>
    <w:rsid w:val="005E1F8D"/>
    <w:rsid w:val="005E2807"/>
    <w:rsid w:val="005E3009"/>
    <w:rsid w:val="005E317F"/>
    <w:rsid w:val="005E61D3"/>
    <w:rsid w:val="005F3FD0"/>
    <w:rsid w:val="005F730B"/>
    <w:rsid w:val="00600219"/>
    <w:rsid w:val="006015D0"/>
    <w:rsid w:val="0060235F"/>
    <w:rsid w:val="006065DA"/>
    <w:rsid w:val="006068B2"/>
    <w:rsid w:val="00606AA4"/>
    <w:rsid w:val="00613FD7"/>
    <w:rsid w:val="006144B5"/>
    <w:rsid w:val="006277B3"/>
    <w:rsid w:val="0063603B"/>
    <w:rsid w:val="006361AD"/>
    <w:rsid w:val="006401CC"/>
    <w:rsid w:val="00640402"/>
    <w:rsid w:val="00640F78"/>
    <w:rsid w:val="0064452B"/>
    <w:rsid w:val="006458F4"/>
    <w:rsid w:val="00646FA6"/>
    <w:rsid w:val="00655D6A"/>
    <w:rsid w:val="00656DE9"/>
    <w:rsid w:val="006607CB"/>
    <w:rsid w:val="00663C72"/>
    <w:rsid w:val="00672876"/>
    <w:rsid w:val="006772EB"/>
    <w:rsid w:val="00677CC2"/>
    <w:rsid w:val="00677E6E"/>
    <w:rsid w:val="00684495"/>
    <w:rsid w:val="00685F42"/>
    <w:rsid w:val="00690097"/>
    <w:rsid w:val="0069207B"/>
    <w:rsid w:val="00692A55"/>
    <w:rsid w:val="00693657"/>
    <w:rsid w:val="0069389A"/>
    <w:rsid w:val="00696D62"/>
    <w:rsid w:val="006A1D1F"/>
    <w:rsid w:val="006A304E"/>
    <w:rsid w:val="006A308D"/>
    <w:rsid w:val="006A60C8"/>
    <w:rsid w:val="006B566B"/>
    <w:rsid w:val="006B7006"/>
    <w:rsid w:val="006B7472"/>
    <w:rsid w:val="006C3AEB"/>
    <w:rsid w:val="006C4A81"/>
    <w:rsid w:val="006C58AC"/>
    <w:rsid w:val="006C7F8C"/>
    <w:rsid w:val="006D7AB9"/>
    <w:rsid w:val="006E79F0"/>
    <w:rsid w:val="006E7CA7"/>
    <w:rsid w:val="006F17FD"/>
    <w:rsid w:val="006F365B"/>
    <w:rsid w:val="006F49AB"/>
    <w:rsid w:val="006F6FD5"/>
    <w:rsid w:val="00700B2C"/>
    <w:rsid w:val="00707597"/>
    <w:rsid w:val="007121C3"/>
    <w:rsid w:val="00713084"/>
    <w:rsid w:val="00713305"/>
    <w:rsid w:val="00713B6C"/>
    <w:rsid w:val="00717463"/>
    <w:rsid w:val="00717559"/>
    <w:rsid w:val="00720FC2"/>
    <w:rsid w:val="00722E89"/>
    <w:rsid w:val="00723D00"/>
    <w:rsid w:val="0072581D"/>
    <w:rsid w:val="00731E00"/>
    <w:rsid w:val="007339C7"/>
    <w:rsid w:val="00741D2A"/>
    <w:rsid w:val="007440B7"/>
    <w:rsid w:val="007468E8"/>
    <w:rsid w:val="00747296"/>
    <w:rsid w:val="00747993"/>
    <w:rsid w:val="00751A27"/>
    <w:rsid w:val="00752DD0"/>
    <w:rsid w:val="0076202E"/>
    <w:rsid w:val="007634AD"/>
    <w:rsid w:val="0076473F"/>
    <w:rsid w:val="007715C9"/>
    <w:rsid w:val="00772A4C"/>
    <w:rsid w:val="00773C54"/>
    <w:rsid w:val="00774EDD"/>
    <w:rsid w:val="007757EC"/>
    <w:rsid w:val="007776F4"/>
    <w:rsid w:val="007949C9"/>
    <w:rsid w:val="0079527B"/>
    <w:rsid w:val="00796681"/>
    <w:rsid w:val="00796E5F"/>
    <w:rsid w:val="007A1338"/>
    <w:rsid w:val="007A6863"/>
    <w:rsid w:val="007B1BBA"/>
    <w:rsid w:val="007B4740"/>
    <w:rsid w:val="007C181E"/>
    <w:rsid w:val="007C1841"/>
    <w:rsid w:val="007C27EF"/>
    <w:rsid w:val="007C5A7B"/>
    <w:rsid w:val="007C78B4"/>
    <w:rsid w:val="007E32B6"/>
    <w:rsid w:val="007E486B"/>
    <w:rsid w:val="007E539E"/>
    <w:rsid w:val="007E5B09"/>
    <w:rsid w:val="007E7D4A"/>
    <w:rsid w:val="007F2915"/>
    <w:rsid w:val="007F48ED"/>
    <w:rsid w:val="007F54BF"/>
    <w:rsid w:val="007F5E3F"/>
    <w:rsid w:val="00812D95"/>
    <w:rsid w:val="00812F45"/>
    <w:rsid w:val="008167E8"/>
    <w:rsid w:val="00820D08"/>
    <w:rsid w:val="00824C3D"/>
    <w:rsid w:val="00830447"/>
    <w:rsid w:val="0083466D"/>
    <w:rsid w:val="00836FE9"/>
    <w:rsid w:val="0084172C"/>
    <w:rsid w:val="008423AC"/>
    <w:rsid w:val="00850B70"/>
    <w:rsid w:val="0085175E"/>
    <w:rsid w:val="00856A31"/>
    <w:rsid w:val="00861864"/>
    <w:rsid w:val="008734B7"/>
    <w:rsid w:val="00874162"/>
    <w:rsid w:val="008754D0"/>
    <w:rsid w:val="00877C3A"/>
    <w:rsid w:val="00877C69"/>
    <w:rsid w:val="00877D48"/>
    <w:rsid w:val="0088345B"/>
    <w:rsid w:val="00886963"/>
    <w:rsid w:val="00893A07"/>
    <w:rsid w:val="0089440E"/>
    <w:rsid w:val="00897F3B"/>
    <w:rsid w:val="008A16A5"/>
    <w:rsid w:val="008A5C57"/>
    <w:rsid w:val="008B3EC8"/>
    <w:rsid w:val="008C0629"/>
    <w:rsid w:val="008C0C6B"/>
    <w:rsid w:val="008D0EE0"/>
    <w:rsid w:val="008D15DE"/>
    <w:rsid w:val="008D7A27"/>
    <w:rsid w:val="008E4702"/>
    <w:rsid w:val="008E4F61"/>
    <w:rsid w:val="008E69AA"/>
    <w:rsid w:val="008F1C16"/>
    <w:rsid w:val="008F22F6"/>
    <w:rsid w:val="008F43BA"/>
    <w:rsid w:val="008F4F1C"/>
    <w:rsid w:val="00900BA5"/>
    <w:rsid w:val="00902691"/>
    <w:rsid w:val="00902FEC"/>
    <w:rsid w:val="00904018"/>
    <w:rsid w:val="009069AD"/>
    <w:rsid w:val="0090731C"/>
    <w:rsid w:val="009075DA"/>
    <w:rsid w:val="00910E64"/>
    <w:rsid w:val="00911950"/>
    <w:rsid w:val="00917F65"/>
    <w:rsid w:val="00922764"/>
    <w:rsid w:val="009278C1"/>
    <w:rsid w:val="00932373"/>
    <w:rsid w:val="00932377"/>
    <w:rsid w:val="009325E4"/>
    <w:rsid w:val="009346E3"/>
    <w:rsid w:val="00934C77"/>
    <w:rsid w:val="00937B90"/>
    <w:rsid w:val="009448D6"/>
    <w:rsid w:val="0094523D"/>
    <w:rsid w:val="009477BA"/>
    <w:rsid w:val="00955A7F"/>
    <w:rsid w:val="009569F9"/>
    <w:rsid w:val="00960B61"/>
    <w:rsid w:val="0096211E"/>
    <w:rsid w:val="00971A40"/>
    <w:rsid w:val="00971EBF"/>
    <w:rsid w:val="00974564"/>
    <w:rsid w:val="00974B16"/>
    <w:rsid w:val="00976A63"/>
    <w:rsid w:val="00981655"/>
    <w:rsid w:val="00986BE9"/>
    <w:rsid w:val="00991600"/>
    <w:rsid w:val="009B2490"/>
    <w:rsid w:val="009B50E5"/>
    <w:rsid w:val="009C0ADE"/>
    <w:rsid w:val="009C10E9"/>
    <w:rsid w:val="009C12E8"/>
    <w:rsid w:val="009C3431"/>
    <w:rsid w:val="009C5989"/>
    <w:rsid w:val="009C6A32"/>
    <w:rsid w:val="009D08DA"/>
    <w:rsid w:val="009D3E1D"/>
    <w:rsid w:val="009D65CC"/>
    <w:rsid w:val="009E041B"/>
    <w:rsid w:val="009F3F01"/>
    <w:rsid w:val="009F7190"/>
    <w:rsid w:val="00A02461"/>
    <w:rsid w:val="00A06860"/>
    <w:rsid w:val="00A07181"/>
    <w:rsid w:val="00A07277"/>
    <w:rsid w:val="00A136F5"/>
    <w:rsid w:val="00A21B2D"/>
    <w:rsid w:val="00A231E2"/>
    <w:rsid w:val="00A2550D"/>
    <w:rsid w:val="00A2703E"/>
    <w:rsid w:val="00A27D37"/>
    <w:rsid w:val="00A30202"/>
    <w:rsid w:val="00A379BB"/>
    <w:rsid w:val="00A4169B"/>
    <w:rsid w:val="00A42E11"/>
    <w:rsid w:val="00A44970"/>
    <w:rsid w:val="00A47689"/>
    <w:rsid w:val="00A477CA"/>
    <w:rsid w:val="00A50D55"/>
    <w:rsid w:val="00A52FDA"/>
    <w:rsid w:val="00A54204"/>
    <w:rsid w:val="00A62439"/>
    <w:rsid w:val="00A64912"/>
    <w:rsid w:val="00A670D9"/>
    <w:rsid w:val="00A70A74"/>
    <w:rsid w:val="00A73A67"/>
    <w:rsid w:val="00A75709"/>
    <w:rsid w:val="00A81FE8"/>
    <w:rsid w:val="00A91B96"/>
    <w:rsid w:val="00A9231A"/>
    <w:rsid w:val="00A95BC7"/>
    <w:rsid w:val="00A9639A"/>
    <w:rsid w:val="00A96D5A"/>
    <w:rsid w:val="00AA0343"/>
    <w:rsid w:val="00AA3E47"/>
    <w:rsid w:val="00AA78CE"/>
    <w:rsid w:val="00AA7B26"/>
    <w:rsid w:val="00AB26C7"/>
    <w:rsid w:val="00AB3D38"/>
    <w:rsid w:val="00AB61BB"/>
    <w:rsid w:val="00AC0C49"/>
    <w:rsid w:val="00AC158C"/>
    <w:rsid w:val="00AC767C"/>
    <w:rsid w:val="00AC7B52"/>
    <w:rsid w:val="00AD3467"/>
    <w:rsid w:val="00AD5641"/>
    <w:rsid w:val="00AD56F8"/>
    <w:rsid w:val="00AD7661"/>
    <w:rsid w:val="00AE174F"/>
    <w:rsid w:val="00AE4557"/>
    <w:rsid w:val="00AE6E6E"/>
    <w:rsid w:val="00AF33DB"/>
    <w:rsid w:val="00B032D8"/>
    <w:rsid w:val="00B05D72"/>
    <w:rsid w:val="00B06A2D"/>
    <w:rsid w:val="00B0767D"/>
    <w:rsid w:val="00B10DD8"/>
    <w:rsid w:val="00B1437A"/>
    <w:rsid w:val="00B20990"/>
    <w:rsid w:val="00B23FAF"/>
    <w:rsid w:val="00B26A09"/>
    <w:rsid w:val="00B33B3C"/>
    <w:rsid w:val="00B3517F"/>
    <w:rsid w:val="00B36D0C"/>
    <w:rsid w:val="00B40D74"/>
    <w:rsid w:val="00B42649"/>
    <w:rsid w:val="00B46467"/>
    <w:rsid w:val="00B5116B"/>
    <w:rsid w:val="00B52663"/>
    <w:rsid w:val="00B561F6"/>
    <w:rsid w:val="00B56DCB"/>
    <w:rsid w:val="00B61728"/>
    <w:rsid w:val="00B63EC5"/>
    <w:rsid w:val="00B67D56"/>
    <w:rsid w:val="00B770D2"/>
    <w:rsid w:val="00B85D1B"/>
    <w:rsid w:val="00B91A74"/>
    <w:rsid w:val="00B93516"/>
    <w:rsid w:val="00B95F12"/>
    <w:rsid w:val="00B96776"/>
    <w:rsid w:val="00B973E5"/>
    <w:rsid w:val="00BA00F4"/>
    <w:rsid w:val="00BA18F5"/>
    <w:rsid w:val="00BA2581"/>
    <w:rsid w:val="00BA47A3"/>
    <w:rsid w:val="00BA5026"/>
    <w:rsid w:val="00BA7B5B"/>
    <w:rsid w:val="00BB6B53"/>
    <w:rsid w:val="00BB6E79"/>
    <w:rsid w:val="00BC1E02"/>
    <w:rsid w:val="00BD5B6E"/>
    <w:rsid w:val="00BD7235"/>
    <w:rsid w:val="00BE42C5"/>
    <w:rsid w:val="00BE5107"/>
    <w:rsid w:val="00BE6E4B"/>
    <w:rsid w:val="00BE719A"/>
    <w:rsid w:val="00BE720A"/>
    <w:rsid w:val="00BE7835"/>
    <w:rsid w:val="00BF0723"/>
    <w:rsid w:val="00BF16F7"/>
    <w:rsid w:val="00BF3DD1"/>
    <w:rsid w:val="00BF54FE"/>
    <w:rsid w:val="00BF6650"/>
    <w:rsid w:val="00C01C3D"/>
    <w:rsid w:val="00C054BA"/>
    <w:rsid w:val="00C0592F"/>
    <w:rsid w:val="00C067E5"/>
    <w:rsid w:val="00C128A6"/>
    <w:rsid w:val="00C164CA"/>
    <w:rsid w:val="00C26051"/>
    <w:rsid w:val="00C26EB0"/>
    <w:rsid w:val="00C34BB8"/>
    <w:rsid w:val="00C408F0"/>
    <w:rsid w:val="00C40D67"/>
    <w:rsid w:val="00C42BF8"/>
    <w:rsid w:val="00C44311"/>
    <w:rsid w:val="00C460AE"/>
    <w:rsid w:val="00C47CB7"/>
    <w:rsid w:val="00C50043"/>
    <w:rsid w:val="00C5015F"/>
    <w:rsid w:val="00C50A0F"/>
    <w:rsid w:val="00C50F4A"/>
    <w:rsid w:val="00C5387B"/>
    <w:rsid w:val="00C60459"/>
    <w:rsid w:val="00C61E9D"/>
    <w:rsid w:val="00C72D10"/>
    <w:rsid w:val="00C7573B"/>
    <w:rsid w:val="00C76CF3"/>
    <w:rsid w:val="00C83580"/>
    <w:rsid w:val="00C85492"/>
    <w:rsid w:val="00C8708F"/>
    <w:rsid w:val="00C87A1C"/>
    <w:rsid w:val="00C93205"/>
    <w:rsid w:val="00C945DC"/>
    <w:rsid w:val="00CA13D5"/>
    <w:rsid w:val="00CA6B21"/>
    <w:rsid w:val="00CA7844"/>
    <w:rsid w:val="00CB2EEC"/>
    <w:rsid w:val="00CB4424"/>
    <w:rsid w:val="00CB58EF"/>
    <w:rsid w:val="00CB74C7"/>
    <w:rsid w:val="00CC0524"/>
    <w:rsid w:val="00CC0EE6"/>
    <w:rsid w:val="00CC49F0"/>
    <w:rsid w:val="00CC6BF5"/>
    <w:rsid w:val="00CD2078"/>
    <w:rsid w:val="00CD3CA2"/>
    <w:rsid w:val="00CD49F3"/>
    <w:rsid w:val="00CD4ED6"/>
    <w:rsid w:val="00CE0A93"/>
    <w:rsid w:val="00CE6B4E"/>
    <w:rsid w:val="00CF0BB2"/>
    <w:rsid w:val="00CF35B5"/>
    <w:rsid w:val="00D05BFB"/>
    <w:rsid w:val="00D07690"/>
    <w:rsid w:val="00D1222D"/>
    <w:rsid w:val="00D12B0D"/>
    <w:rsid w:val="00D13441"/>
    <w:rsid w:val="00D22118"/>
    <w:rsid w:val="00D23A39"/>
    <w:rsid w:val="00D243A3"/>
    <w:rsid w:val="00D32077"/>
    <w:rsid w:val="00D333C3"/>
    <w:rsid w:val="00D33440"/>
    <w:rsid w:val="00D344E0"/>
    <w:rsid w:val="00D451D3"/>
    <w:rsid w:val="00D454EF"/>
    <w:rsid w:val="00D51465"/>
    <w:rsid w:val="00D51647"/>
    <w:rsid w:val="00D51BB2"/>
    <w:rsid w:val="00D52EFE"/>
    <w:rsid w:val="00D56A0D"/>
    <w:rsid w:val="00D6208D"/>
    <w:rsid w:val="00D63EF6"/>
    <w:rsid w:val="00D66518"/>
    <w:rsid w:val="00D67879"/>
    <w:rsid w:val="00D700FB"/>
    <w:rsid w:val="00D70DFB"/>
    <w:rsid w:val="00D71EEA"/>
    <w:rsid w:val="00D735CD"/>
    <w:rsid w:val="00D766DF"/>
    <w:rsid w:val="00D80B2A"/>
    <w:rsid w:val="00D815D0"/>
    <w:rsid w:val="00D8428D"/>
    <w:rsid w:val="00D87907"/>
    <w:rsid w:val="00D90841"/>
    <w:rsid w:val="00D93C30"/>
    <w:rsid w:val="00D96A52"/>
    <w:rsid w:val="00DA2439"/>
    <w:rsid w:val="00DA48F5"/>
    <w:rsid w:val="00DA6F05"/>
    <w:rsid w:val="00DB0E99"/>
    <w:rsid w:val="00DB3E6A"/>
    <w:rsid w:val="00DB64FC"/>
    <w:rsid w:val="00DB7DC6"/>
    <w:rsid w:val="00DD56BE"/>
    <w:rsid w:val="00DD7255"/>
    <w:rsid w:val="00DE04E5"/>
    <w:rsid w:val="00DE149E"/>
    <w:rsid w:val="00DE433D"/>
    <w:rsid w:val="00DE5380"/>
    <w:rsid w:val="00DE629B"/>
    <w:rsid w:val="00DE7618"/>
    <w:rsid w:val="00E034DB"/>
    <w:rsid w:val="00E03B7D"/>
    <w:rsid w:val="00E05704"/>
    <w:rsid w:val="00E12224"/>
    <w:rsid w:val="00E12F1A"/>
    <w:rsid w:val="00E1615D"/>
    <w:rsid w:val="00E22935"/>
    <w:rsid w:val="00E24D3C"/>
    <w:rsid w:val="00E30693"/>
    <w:rsid w:val="00E32540"/>
    <w:rsid w:val="00E3317B"/>
    <w:rsid w:val="00E35EE3"/>
    <w:rsid w:val="00E37440"/>
    <w:rsid w:val="00E41D41"/>
    <w:rsid w:val="00E43104"/>
    <w:rsid w:val="00E445D0"/>
    <w:rsid w:val="00E44E1F"/>
    <w:rsid w:val="00E45881"/>
    <w:rsid w:val="00E46582"/>
    <w:rsid w:val="00E51DFA"/>
    <w:rsid w:val="00E53ED2"/>
    <w:rsid w:val="00E53EDF"/>
    <w:rsid w:val="00E54292"/>
    <w:rsid w:val="00E60191"/>
    <w:rsid w:val="00E6253A"/>
    <w:rsid w:val="00E7160F"/>
    <w:rsid w:val="00E72CF1"/>
    <w:rsid w:val="00E735BE"/>
    <w:rsid w:val="00E74DC7"/>
    <w:rsid w:val="00E75683"/>
    <w:rsid w:val="00E8058E"/>
    <w:rsid w:val="00E864CA"/>
    <w:rsid w:val="00E87699"/>
    <w:rsid w:val="00E9095B"/>
    <w:rsid w:val="00E92E27"/>
    <w:rsid w:val="00E9586B"/>
    <w:rsid w:val="00E97334"/>
    <w:rsid w:val="00EA0E22"/>
    <w:rsid w:val="00EA4E75"/>
    <w:rsid w:val="00EA524D"/>
    <w:rsid w:val="00EA737E"/>
    <w:rsid w:val="00EB070D"/>
    <w:rsid w:val="00EB3A99"/>
    <w:rsid w:val="00EB60CA"/>
    <w:rsid w:val="00EB65CC"/>
    <w:rsid w:val="00EB65F8"/>
    <w:rsid w:val="00EB6F07"/>
    <w:rsid w:val="00EC21E6"/>
    <w:rsid w:val="00ED2606"/>
    <w:rsid w:val="00ED39DB"/>
    <w:rsid w:val="00ED4928"/>
    <w:rsid w:val="00EE0634"/>
    <w:rsid w:val="00EE3FFE"/>
    <w:rsid w:val="00EE57E8"/>
    <w:rsid w:val="00EE6190"/>
    <w:rsid w:val="00EE7C47"/>
    <w:rsid w:val="00EF0472"/>
    <w:rsid w:val="00EF1BF1"/>
    <w:rsid w:val="00EF2E3A"/>
    <w:rsid w:val="00EF6402"/>
    <w:rsid w:val="00EF71B4"/>
    <w:rsid w:val="00EF73D9"/>
    <w:rsid w:val="00F016E6"/>
    <w:rsid w:val="00F029F6"/>
    <w:rsid w:val="00F046D0"/>
    <w:rsid w:val="00F047E2"/>
    <w:rsid w:val="00F04D57"/>
    <w:rsid w:val="00F078DC"/>
    <w:rsid w:val="00F07C4A"/>
    <w:rsid w:val="00F13E86"/>
    <w:rsid w:val="00F16920"/>
    <w:rsid w:val="00F20555"/>
    <w:rsid w:val="00F20B52"/>
    <w:rsid w:val="00F25442"/>
    <w:rsid w:val="00F27C0C"/>
    <w:rsid w:val="00F27DA2"/>
    <w:rsid w:val="00F32E3A"/>
    <w:rsid w:val="00F32FCB"/>
    <w:rsid w:val="00F33523"/>
    <w:rsid w:val="00F373FF"/>
    <w:rsid w:val="00F4735C"/>
    <w:rsid w:val="00F52C2A"/>
    <w:rsid w:val="00F57918"/>
    <w:rsid w:val="00F607D9"/>
    <w:rsid w:val="00F610B2"/>
    <w:rsid w:val="00F6496E"/>
    <w:rsid w:val="00F65473"/>
    <w:rsid w:val="00F677A9"/>
    <w:rsid w:val="00F75A46"/>
    <w:rsid w:val="00F8121C"/>
    <w:rsid w:val="00F84CF5"/>
    <w:rsid w:val="00F85535"/>
    <w:rsid w:val="00F8612E"/>
    <w:rsid w:val="00F9209A"/>
    <w:rsid w:val="00F94583"/>
    <w:rsid w:val="00F949E2"/>
    <w:rsid w:val="00FA1C25"/>
    <w:rsid w:val="00FA24DA"/>
    <w:rsid w:val="00FA418F"/>
    <w:rsid w:val="00FA420B"/>
    <w:rsid w:val="00FA42E7"/>
    <w:rsid w:val="00FB04CA"/>
    <w:rsid w:val="00FB6AEE"/>
    <w:rsid w:val="00FB6F28"/>
    <w:rsid w:val="00FC2AA7"/>
    <w:rsid w:val="00FC3EAC"/>
    <w:rsid w:val="00FC5432"/>
    <w:rsid w:val="00FD5738"/>
    <w:rsid w:val="00FE0FE5"/>
    <w:rsid w:val="00FE4AF6"/>
    <w:rsid w:val="00FF282B"/>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551DAE"/>
  <w15:docId w15:val="{09CD4054-AE84-41D5-B835-0C6F46FF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2"/>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h1_Chap"/>
    <w:basedOn w:val="OPCParaBase"/>
    <w:next w:val="Normal"/>
    <w:uiPriority w:val="99"/>
    <w:qFormat/>
    <w:rsid w:val="00A231E2"/>
    <w:pPr>
      <w:keepNext/>
      <w:keepLines/>
      <w:spacing w:line="240" w:lineRule="auto"/>
      <w:ind w:left="1134" w:hanging="1134"/>
      <w:outlineLvl w:val="0"/>
    </w:pPr>
    <w:rPr>
      <w:b/>
      <w:kern w:val="28"/>
      <w:sz w:val="36"/>
    </w:rPr>
  </w:style>
  <w:style w:type="paragraph" w:customStyle="1" w:styleId="ActHead2">
    <w:name w:val="ActHead 2"/>
    <w:aliases w:val="p,h2_Part"/>
    <w:basedOn w:val="OPCParaBase"/>
    <w:next w:val="ActHead3"/>
    <w:uiPriority w:val="99"/>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t_Main,Subsection"/>
    <w:basedOn w:val="OPCParaBase"/>
    <w:link w:val="subsectionChar"/>
    <w:qFormat/>
    <w:rsid w:val="00600219"/>
    <w:pPr>
      <w:tabs>
        <w:tab w:val="right" w:pos="1021"/>
      </w:tabs>
      <w:spacing w:before="180" w:line="240" w:lineRule="auto"/>
      <w:ind w:left="1134" w:hanging="1134"/>
    </w:pPr>
  </w:style>
  <w:style w:type="paragraph" w:customStyle="1" w:styleId="Definition">
    <w:name w:val="Definition"/>
    <w:aliases w:val="dd,t_Defn"/>
    <w:basedOn w:val="OPCParaBase"/>
    <w:uiPriority w:val="99"/>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n_Main"/>
    <w:basedOn w:val="OPCParaBase"/>
    <w:link w:val="notetextChar"/>
    <w:qFormat/>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t_Para"/>
    <w:basedOn w:val="OPCParaBase"/>
    <w:link w:val="paragraphChar"/>
    <w:qFormat/>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uiPriority w:val="99"/>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uiPriority w:val="99"/>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uiPriority w:val="99"/>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locked/>
    <w:rsid w:val="00EF1BF1"/>
    <w:rPr>
      <w:rFonts w:eastAsia="Times New Roman" w:cs="Times New Roman"/>
      <w:sz w:val="18"/>
      <w:lang w:eastAsia="en-AU"/>
    </w:rPr>
  </w:style>
  <w:style w:type="character" w:customStyle="1" w:styleId="ActHead5Char">
    <w:name w:val="ActHead 5 Char"/>
    <w:aliases w:val="s Char"/>
    <w:link w:val="ActHead5"/>
    <w:locked/>
    <w:rsid w:val="00EF1BF1"/>
    <w:rPr>
      <w:rFonts w:eastAsia="Times New Roman" w:cs="Times New Roman"/>
      <w:b/>
      <w:kern w:val="28"/>
      <w:sz w:val="24"/>
      <w:lang w:eastAsia="en-AU"/>
    </w:rPr>
  </w:style>
  <w:style w:type="paragraph" w:customStyle="1" w:styleId="definition0">
    <w:name w:val="definition"/>
    <w:basedOn w:val="Normal"/>
    <w:rsid w:val="004C43AB"/>
    <w:pPr>
      <w:spacing w:before="100" w:beforeAutospacing="1" w:after="100" w:afterAutospacing="1" w:line="240" w:lineRule="auto"/>
    </w:pPr>
    <w:rPr>
      <w:rFonts w:eastAsia="Times New Roman"/>
      <w:sz w:val="24"/>
      <w:szCs w:val="24"/>
      <w:lang w:eastAsia="en-AU"/>
    </w:rPr>
  </w:style>
  <w:style w:type="character" w:styleId="PlaceholderText">
    <w:name w:val="Placeholder Text"/>
    <w:basedOn w:val="DefaultParagraphFont"/>
    <w:uiPriority w:val="99"/>
    <w:semiHidden/>
    <w:rsid w:val="004C43AB"/>
    <w:rPr>
      <w:color w:val="808080"/>
    </w:rPr>
  </w:style>
  <w:style w:type="paragraph" w:customStyle="1" w:styleId="h5SchItem">
    <w:name w:val="h5_Sch_Item"/>
    <w:basedOn w:val="Normal"/>
    <w:next w:val="Normal"/>
    <w:qFormat/>
    <w:rsid w:val="004C43AB"/>
    <w:pPr>
      <w:keepNext/>
      <w:keepLines/>
      <w:spacing w:before="360" w:after="60" w:line="240" w:lineRule="auto"/>
      <w:ind w:left="964" w:hanging="964"/>
    </w:pPr>
    <w:rPr>
      <w:rFonts w:ascii="Arial" w:eastAsia="Times New Roman" w:hAnsi="Arial" w:cs="Arial"/>
      <w:b/>
      <w:bCs/>
      <w:kern w:val="32"/>
      <w:sz w:val="24"/>
      <w:szCs w:val="32"/>
      <w:lang w:eastAsia="en-AU"/>
    </w:rPr>
  </w:style>
  <w:style w:type="character" w:styleId="CommentReference">
    <w:name w:val="annotation reference"/>
    <w:basedOn w:val="DefaultParagraphFont"/>
    <w:uiPriority w:val="99"/>
    <w:semiHidden/>
    <w:unhideWhenUsed/>
    <w:rsid w:val="000B0F94"/>
    <w:rPr>
      <w:sz w:val="16"/>
      <w:szCs w:val="16"/>
    </w:rPr>
  </w:style>
  <w:style w:type="paragraph" w:styleId="CommentText">
    <w:name w:val="annotation text"/>
    <w:basedOn w:val="Normal"/>
    <w:link w:val="CommentTextChar"/>
    <w:uiPriority w:val="99"/>
    <w:unhideWhenUsed/>
    <w:rsid w:val="00F610B2"/>
    <w:pPr>
      <w:spacing w:line="240" w:lineRule="auto"/>
    </w:pPr>
    <w:rPr>
      <w:sz w:val="20"/>
    </w:rPr>
  </w:style>
  <w:style w:type="character" w:customStyle="1" w:styleId="CommentTextChar">
    <w:name w:val="Comment Text Char"/>
    <w:basedOn w:val="DefaultParagraphFont"/>
    <w:link w:val="CommentText"/>
    <w:uiPriority w:val="99"/>
    <w:rsid w:val="000B0F94"/>
    <w:rPr>
      <w:sz w:val="20"/>
    </w:rPr>
  </w:style>
  <w:style w:type="paragraph" w:styleId="CommentSubject">
    <w:name w:val="annotation subject"/>
    <w:basedOn w:val="CommentText"/>
    <w:next w:val="CommentText"/>
    <w:link w:val="CommentSubjectChar"/>
    <w:uiPriority w:val="99"/>
    <w:semiHidden/>
    <w:unhideWhenUsed/>
    <w:rsid w:val="000B0F94"/>
    <w:rPr>
      <w:b/>
      <w:bCs/>
    </w:rPr>
  </w:style>
  <w:style w:type="character" w:customStyle="1" w:styleId="CommentSubjectChar">
    <w:name w:val="Comment Subject Char"/>
    <w:basedOn w:val="CommentTextChar"/>
    <w:link w:val="CommentSubject"/>
    <w:uiPriority w:val="99"/>
    <w:semiHidden/>
    <w:rsid w:val="000B0F94"/>
    <w:rPr>
      <w:b/>
      <w:bCs/>
      <w:sz w:val="20"/>
    </w:rPr>
  </w:style>
  <w:style w:type="character" w:customStyle="1" w:styleId="charSubscript">
    <w:name w:val="charSubscript"/>
    <w:rsid w:val="00877C3A"/>
    <w:rPr>
      <w:color w:val="auto"/>
      <w:sz w:val="20"/>
      <w:vertAlign w:val="subscript"/>
    </w:rPr>
  </w:style>
  <w:style w:type="character" w:customStyle="1" w:styleId="charsubscript0">
    <w:name w:val="charsubscript"/>
    <w:basedOn w:val="DefaultParagraphFont"/>
    <w:rsid w:val="00877C3A"/>
    <w:rPr>
      <w:color w:val="auto"/>
      <w:vertAlign w:val="subscript"/>
    </w:rPr>
  </w:style>
  <w:style w:type="character" w:customStyle="1" w:styleId="paragraphChar">
    <w:name w:val="paragraph Char"/>
    <w:aliases w:val="a Char"/>
    <w:basedOn w:val="DefaultParagraphFont"/>
    <w:link w:val="paragraph"/>
    <w:locked/>
    <w:rsid w:val="00877C3A"/>
    <w:rPr>
      <w:rFonts w:eastAsia="Times New Roman"/>
      <w:lang w:eastAsia="en-AU"/>
    </w:rPr>
  </w:style>
  <w:style w:type="paragraph" w:customStyle="1" w:styleId="EnStatement">
    <w:name w:val="EnStatement"/>
    <w:basedOn w:val="Normal"/>
    <w:uiPriority w:val="99"/>
    <w:rsid w:val="00877C3A"/>
    <w:pPr>
      <w:numPr>
        <w:numId w:val="14"/>
      </w:numPr>
    </w:pPr>
    <w:rPr>
      <w:rFonts w:eastAsia="Times New Roman"/>
      <w:color w:val="auto"/>
      <w:lang w:eastAsia="en-AU"/>
    </w:rPr>
  </w:style>
  <w:style w:type="character" w:styleId="Hyperlink">
    <w:name w:val="Hyperlink"/>
    <w:basedOn w:val="DefaultParagraphFont"/>
    <w:uiPriority w:val="99"/>
    <w:unhideWhenUsed/>
    <w:rsid w:val="004E69EB"/>
    <w:rPr>
      <w:color w:val="0000FF" w:themeColor="hyperlink"/>
      <w:u w:val="single"/>
    </w:rPr>
  </w:style>
  <w:style w:type="paragraph" w:customStyle="1" w:styleId="tabletext0">
    <w:name w:val="tabletext"/>
    <w:basedOn w:val="Normal"/>
    <w:rsid w:val="00CD2078"/>
    <w:pPr>
      <w:spacing w:before="100" w:beforeAutospacing="1" w:after="100" w:afterAutospacing="1" w:line="240" w:lineRule="auto"/>
    </w:pPr>
    <w:rPr>
      <w:rFonts w:eastAsia="Times New Roman"/>
      <w:color w:val="auto"/>
      <w:sz w:val="24"/>
      <w:szCs w:val="24"/>
      <w:lang w:eastAsia="en-AU"/>
    </w:rPr>
  </w:style>
  <w:style w:type="paragraph" w:customStyle="1" w:styleId="tablea0">
    <w:name w:val="tablea"/>
    <w:basedOn w:val="Normal"/>
    <w:rsid w:val="00CD2078"/>
    <w:pPr>
      <w:spacing w:before="100" w:beforeAutospacing="1" w:after="100" w:afterAutospacing="1" w:line="240" w:lineRule="auto"/>
    </w:pPr>
    <w:rPr>
      <w:rFonts w:eastAsia="Times New Roman"/>
      <w:color w:val="auto"/>
      <w:sz w:val="24"/>
      <w:szCs w:val="24"/>
      <w:lang w:eastAsia="en-AU"/>
    </w:rPr>
  </w:style>
  <w:style w:type="paragraph" w:styleId="Revision">
    <w:name w:val="Revision"/>
    <w:hidden/>
    <w:uiPriority w:val="99"/>
    <w:semiHidden/>
    <w:rsid w:val="00902FEC"/>
  </w:style>
  <w:style w:type="character" w:styleId="UnresolvedMention">
    <w:name w:val="Unresolved Mention"/>
    <w:basedOn w:val="DefaultParagraphFont"/>
    <w:uiPriority w:val="99"/>
    <w:semiHidden/>
    <w:unhideWhenUsed/>
    <w:rsid w:val="00DB0E99"/>
    <w:rPr>
      <w:color w:val="605E5C"/>
      <w:shd w:val="clear" w:color="auto" w:fill="E1DFDD"/>
    </w:rPr>
  </w:style>
  <w:style w:type="character" w:styleId="FollowedHyperlink">
    <w:name w:val="FollowedHyperlink"/>
    <w:basedOn w:val="DefaultParagraphFont"/>
    <w:uiPriority w:val="99"/>
    <w:semiHidden/>
    <w:unhideWhenUsed/>
    <w:rsid w:val="00AC158C"/>
    <w:rPr>
      <w:color w:val="800080" w:themeColor="followedHyperlink"/>
      <w:u w:val="single"/>
    </w:rPr>
  </w:style>
  <w:style w:type="paragraph" w:customStyle="1" w:styleId="Default">
    <w:name w:val="Default"/>
    <w:rsid w:val="002F2AF2"/>
    <w:pPr>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146155">
      <w:bodyDiv w:val="1"/>
      <w:marLeft w:val="0"/>
      <w:marRight w:val="0"/>
      <w:marTop w:val="0"/>
      <w:marBottom w:val="0"/>
      <w:divBdr>
        <w:top w:val="none" w:sz="0" w:space="0" w:color="auto"/>
        <w:left w:val="none" w:sz="0" w:space="0" w:color="auto"/>
        <w:bottom w:val="none" w:sz="0" w:space="0" w:color="auto"/>
        <w:right w:val="none" w:sz="0" w:space="0" w:color="auto"/>
      </w:divBdr>
    </w:div>
    <w:div w:id="1013000037">
      <w:bodyDiv w:val="1"/>
      <w:marLeft w:val="0"/>
      <w:marRight w:val="0"/>
      <w:marTop w:val="0"/>
      <w:marBottom w:val="0"/>
      <w:divBdr>
        <w:top w:val="none" w:sz="0" w:space="0" w:color="auto"/>
        <w:left w:val="none" w:sz="0" w:space="0" w:color="auto"/>
        <w:bottom w:val="none" w:sz="0" w:space="0" w:color="auto"/>
        <w:right w:val="none" w:sz="0" w:space="0" w:color="auto"/>
      </w:divBdr>
    </w:div>
    <w:div w:id="1137072231">
      <w:bodyDiv w:val="1"/>
      <w:marLeft w:val="0"/>
      <w:marRight w:val="0"/>
      <w:marTop w:val="0"/>
      <w:marBottom w:val="0"/>
      <w:divBdr>
        <w:top w:val="none" w:sz="0" w:space="0" w:color="auto"/>
        <w:left w:val="none" w:sz="0" w:space="0" w:color="auto"/>
        <w:bottom w:val="none" w:sz="0" w:space="0" w:color="auto"/>
        <w:right w:val="none" w:sz="0" w:space="0" w:color="auto"/>
      </w:divBdr>
    </w:div>
    <w:div w:id="1306395764">
      <w:bodyDiv w:val="1"/>
      <w:marLeft w:val="0"/>
      <w:marRight w:val="0"/>
      <w:marTop w:val="0"/>
      <w:marBottom w:val="0"/>
      <w:divBdr>
        <w:top w:val="none" w:sz="0" w:space="0" w:color="auto"/>
        <w:left w:val="none" w:sz="0" w:space="0" w:color="auto"/>
        <w:bottom w:val="none" w:sz="0" w:space="0" w:color="auto"/>
        <w:right w:val="none" w:sz="0" w:space="0" w:color="auto"/>
      </w:divBdr>
    </w:div>
    <w:div w:id="1411200784">
      <w:bodyDiv w:val="1"/>
      <w:marLeft w:val="0"/>
      <w:marRight w:val="0"/>
      <w:marTop w:val="0"/>
      <w:marBottom w:val="0"/>
      <w:divBdr>
        <w:top w:val="none" w:sz="0" w:space="0" w:color="auto"/>
        <w:left w:val="none" w:sz="0" w:space="0" w:color="auto"/>
        <w:bottom w:val="none" w:sz="0" w:space="0" w:color="auto"/>
        <w:right w:val="none" w:sz="0" w:space="0" w:color="auto"/>
      </w:divBdr>
    </w:div>
    <w:div w:id="1617953575">
      <w:bodyDiv w:val="1"/>
      <w:marLeft w:val="0"/>
      <w:marRight w:val="0"/>
      <w:marTop w:val="0"/>
      <w:marBottom w:val="0"/>
      <w:divBdr>
        <w:top w:val="none" w:sz="0" w:space="0" w:color="auto"/>
        <w:left w:val="none" w:sz="0" w:space="0" w:color="auto"/>
        <w:bottom w:val="none" w:sz="0" w:space="0" w:color="auto"/>
        <w:right w:val="none" w:sz="0" w:space="0" w:color="auto"/>
      </w:divBdr>
    </w:div>
    <w:div w:id="1857883476">
      <w:bodyDiv w:val="1"/>
      <w:marLeft w:val="0"/>
      <w:marRight w:val="0"/>
      <w:marTop w:val="0"/>
      <w:marBottom w:val="0"/>
      <w:divBdr>
        <w:top w:val="none" w:sz="0" w:space="0" w:color="auto"/>
        <w:left w:val="none" w:sz="0" w:space="0" w:color="auto"/>
        <w:bottom w:val="none" w:sz="0" w:space="0" w:color="auto"/>
        <w:right w:val="none" w:sz="0" w:space="0" w:color="auto"/>
      </w:divBdr>
    </w:div>
    <w:div w:id="1959530003">
      <w:bodyDiv w:val="1"/>
      <w:marLeft w:val="0"/>
      <w:marRight w:val="0"/>
      <w:marTop w:val="0"/>
      <w:marBottom w:val="0"/>
      <w:divBdr>
        <w:top w:val="none" w:sz="0" w:space="0" w:color="auto"/>
        <w:left w:val="none" w:sz="0" w:space="0" w:color="auto"/>
        <w:bottom w:val="none" w:sz="0" w:space="0" w:color="auto"/>
        <w:right w:val="none" w:sz="0" w:space="0" w:color="auto"/>
      </w:divBdr>
    </w:div>
    <w:div w:id="201557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4.wmf"/><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header" Target="header7.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image" Target="media/image3.wmf"/><Relationship Id="rId33" Type="http://schemas.openxmlformats.org/officeDocument/2006/relationships/hyperlink" Target="https://www.cleanenergyregulator.gov.au/RET/Scheme-participants-and-industry/the-renewable-power-percentage" TargetMode="Externa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wmf"/><Relationship Id="rId32" Type="http://schemas.openxmlformats.org/officeDocument/2006/relationships/image" Target="media/image10.png"/><Relationship Id="rId37" Type="http://schemas.openxmlformats.org/officeDocument/2006/relationships/footer" Target="footer7.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image" Target="media/image6.wmf"/><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image" Target="media/image9.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5.png"/><Relationship Id="rId30" Type="http://schemas.openxmlformats.org/officeDocument/2006/relationships/image" Target="media/image8.wmf"/><Relationship Id="rId35" Type="http://schemas.openxmlformats.org/officeDocument/2006/relationships/header" Target="header8.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ssim\Work%20Folders\Downloads\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B874AA47-AEED-4785-8C87-A49C148A999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p r o p e r t i e s   x m l n s = " h t t p : / / w w w . i m a n a g e . c o m / w o r k / x m l s c h e m a " >  
     < d o c u m e n t i d > D o c u m e n t s ! 4 8 1 6 8 3 1 0 . 1 < / d o c u m e n t i d >  
     < s e n d e r i d > Z A N G Y I < / s e n d e r i d >  
     < s e n d e r e m a i l > Y I . Z A N G @ A G S . G O V . A U < / s e n d e r e m a i l >  
     < l a s t m o d i f i e d > 2 0 2 3 - 0 5 - 3 1 T 1 5 : 0 9 : 0 0 . 0 0 0 0 0 0 0 + 1 0 : 0 0 < / l a s t m o d i f i e d >  
     < d a t a b a s e > D o c u m e n t s < / d a t a b a s e >  
 < / 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E0A45B2CE75474187F05584F9641D9F" ma:contentTypeVersion="" ma:contentTypeDescription="PDMS Document Site Content Type" ma:contentTypeScope="" ma:versionID="13d7dd53b5b1d0fc3a76af119878f704">
  <xsd:schema xmlns:xsd="http://www.w3.org/2001/XMLSchema" xmlns:xs="http://www.w3.org/2001/XMLSchema" xmlns:p="http://schemas.microsoft.com/office/2006/metadata/properties" xmlns:ns2="B874AA47-AEED-4785-8C87-A49C148A999E" targetNamespace="http://schemas.microsoft.com/office/2006/metadata/properties" ma:root="true" ma:fieldsID="bebf1dc36444904a1e5e971a9b656422" ns2:_="">
    <xsd:import namespace="B874AA47-AEED-4785-8C87-A49C148A999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4AA47-AEED-4785-8C87-A49C148A999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0D842-8C24-4579-A396-8B24F64E007E}">
  <ds:schemaRefs>
    <ds:schemaRef ds:uri="http://schemas.microsoft.com/office/2006/metadata/properties"/>
    <ds:schemaRef ds:uri="http://schemas.microsoft.com/office/infopath/2007/PartnerControls"/>
    <ds:schemaRef ds:uri="B874AA47-AEED-4785-8C87-A49C148A999E"/>
  </ds:schemaRefs>
</ds:datastoreItem>
</file>

<file path=customXml/itemProps2.xml><?xml version="1.0" encoding="utf-8"?>
<ds:datastoreItem xmlns:ds="http://schemas.openxmlformats.org/officeDocument/2006/customXml" ds:itemID="{4FDCC255-A1BE-4794-9420-9950EEF65D5A}">
  <ds:schemaRefs>
    <ds:schemaRef ds:uri="http://schemas.openxmlformats.org/officeDocument/2006/bibliography"/>
  </ds:schemaRefs>
</ds:datastoreItem>
</file>

<file path=customXml/itemProps3.xml><?xml version="1.0" encoding="utf-8"?>
<ds:datastoreItem xmlns:ds="http://schemas.openxmlformats.org/officeDocument/2006/customXml" ds:itemID="{653332B1-D4BB-47EF-98F6-02F7FA066D5F}">
  <ds:schemaRefs>
    <ds:schemaRef ds:uri="http://www.imanage.com/work/xmlschema"/>
  </ds:schemaRefs>
</ds:datastoreItem>
</file>

<file path=customXml/itemProps4.xml><?xml version="1.0" encoding="utf-8"?>
<ds:datastoreItem xmlns:ds="http://schemas.openxmlformats.org/officeDocument/2006/customXml" ds:itemID="{F074052F-BE9D-44BC-854D-38C1CC39D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4AA47-AEED-4785-8C87-A49C148A9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98521A-C470-4DB8-9470-9E7CA80D6A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23</TotalTime>
  <Pages>16</Pages>
  <Words>3118</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National Greenhouse and Energy Reporting (Measurement) Amendment (2023 Update) Determination 2023</vt:lpstr>
    </vt:vector>
  </TitlesOfParts>
  <Company/>
  <LinksUpToDate>false</LinksUpToDate>
  <CharactersWithSpaces>20850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Greenhouse and Energy Reporting (Measurement) Amendment (2023 Update) Determination 2023</dc:title>
  <dc:creator>Australian Government</dc:creator>
  <cp:lastModifiedBy>Kwan, Kelvin</cp:lastModifiedBy>
  <cp:revision>9</cp:revision>
  <dcterms:created xsi:type="dcterms:W3CDTF">2023-05-31T02:29:00Z</dcterms:created>
  <dcterms:modified xsi:type="dcterms:W3CDTF">2023-06-19T06:11:00Z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True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ContentTypeId">
    <vt:lpwstr>0x010100266966F133664895A6EE3632470D45F500BE0A45B2CE75474187F05584F9641D9F</vt:lpwstr>
  </property>
</Properties>
</file>