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1CF" w14:textId="613C31A5"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5D497708"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3A624E">
        <w:rPr>
          <w:rFonts w:ascii="Times New Roman" w:eastAsia="Times New Roman" w:hAnsi="Times New Roman" w:cs="Times New Roman"/>
          <w:bCs/>
          <w:i/>
          <w:sz w:val="24"/>
          <w:szCs w:val="24"/>
          <w:lang w:eastAsia="en-AU"/>
        </w:rPr>
        <w:t>3</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C41257">
        <w:rPr>
          <w:rFonts w:ascii="Times New Roman" w:eastAsia="Times New Roman" w:hAnsi="Times New Roman" w:cs="Times New Roman"/>
          <w:bCs/>
          <w:i/>
          <w:sz w:val="24"/>
          <w:szCs w:val="24"/>
          <w:lang w:eastAsia="en-AU"/>
        </w:rPr>
        <w:t>3</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3783CD29"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w:t>
      </w:r>
      <w:r w:rsidR="001D1CB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r w:rsidR="00343829">
        <w:rPr>
          <w:rFonts w:ascii="Times New Roman" w:eastAsia="Times New Roman" w:hAnsi="Times New Roman" w:cs="Times New Roman"/>
          <w:sz w:val="24"/>
          <w:szCs w:val="24"/>
          <w:lang w:eastAsia="en-AU"/>
        </w:rPr>
        <w:t xml:space="preserve"> and Aged Care</w:t>
      </w:r>
      <w:r>
        <w:rPr>
          <w:rFonts w:ascii="Times New Roman" w:eastAsia="Times New Roman" w:hAnsi="Times New Roman" w:cs="Times New Roman"/>
          <w:sz w:val="24"/>
          <w:szCs w:val="24"/>
          <w:lang w:eastAsia="en-AU"/>
        </w:rPr>
        <w:t>.</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282FB5B"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bookmarkStart w:id="0" w:name="_Hlk126676049"/>
      <w:r>
        <w:rPr>
          <w:rFonts w:ascii="Times New Roman" w:eastAsia="Times New Roman" w:hAnsi="Times New Roman" w:cs="Times New Roman"/>
          <w:sz w:val="24"/>
          <w:szCs w:val="24"/>
          <w:lang w:eastAsia="en-AU"/>
        </w:rPr>
        <w:t>S</w:t>
      </w:r>
      <w:r w:rsidR="003034B3">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26BB</w:t>
      </w:r>
      <w:r w:rsidR="003034B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 relevantly provides that the Minister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5052668A"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74996BBA"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540CD5">
        <w:rPr>
          <w:rFonts w:ascii="Times New Roman" w:eastAsia="Times New Roman" w:hAnsi="Times New Roman" w:cs="Times New Roman"/>
          <w:bCs/>
          <w:i/>
          <w:sz w:val="24"/>
          <w:szCs w:val="24"/>
          <w:lang w:eastAsia="en-AU"/>
        </w:rPr>
        <w:t xml:space="preserve"> </w:t>
      </w:r>
      <w:r w:rsidR="003A624E">
        <w:rPr>
          <w:rFonts w:ascii="Times New Roman" w:eastAsia="Times New Roman" w:hAnsi="Times New Roman" w:cs="Times New Roman"/>
          <w:bCs/>
          <w:i/>
          <w:sz w:val="24"/>
          <w:szCs w:val="24"/>
          <w:lang w:eastAsia="en-AU"/>
        </w:rPr>
        <w:t>3</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2</w:t>
      </w:r>
      <w:r w:rsidR="00C41257">
        <w:rPr>
          <w:rFonts w:ascii="Times New Roman" w:eastAsia="Times New Roman" w:hAnsi="Times New Roman" w:cs="Times New Roman"/>
          <w:bCs/>
          <w:i/>
          <w:sz w:val="24"/>
          <w:szCs w:val="24"/>
          <w:lang w:eastAsia="en-AU"/>
        </w:rPr>
        <w:t>3</w:t>
      </w:r>
      <w:r w:rsidR="00F6166F">
        <w:rPr>
          <w:rFonts w:ascii="Times New Roman" w:eastAsia="Times New Roman" w:hAnsi="Times New Roman" w:cs="Times New Roman"/>
          <w:bCs/>
          <w:i/>
          <w:sz w:val="24"/>
          <w:szCs w:val="24"/>
          <w:lang w:eastAsia="en-AU"/>
        </w:rPr>
        <w:t xml:space="preserve">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3A624E">
        <w:rPr>
          <w:rFonts w:ascii="Times New Roman" w:eastAsia="Times New Roman" w:hAnsi="Times New Roman" w:cs="Times New Roman"/>
          <w:i/>
          <w:sz w:val="24"/>
          <w:szCs w:val="24"/>
          <w:lang w:eastAsia="en-AU"/>
        </w:rPr>
        <w:t>2</w:t>
      </w:r>
      <w:r w:rsidRPr="004E05C9">
        <w:rPr>
          <w:rFonts w:ascii="Times New Roman" w:eastAsia="Times New Roman" w:hAnsi="Times New Roman" w:cs="Times New Roman"/>
          <w:i/>
          <w:sz w:val="24"/>
          <w:szCs w:val="24"/>
          <w:lang w:eastAsia="en-AU"/>
        </w:rPr>
        <w:t xml:space="preserve">) </w:t>
      </w:r>
      <w:r w:rsidR="00E702D7">
        <w:rPr>
          <w:rFonts w:ascii="Times New Roman" w:eastAsia="Times New Roman" w:hAnsi="Times New Roman" w:cs="Times New Roman"/>
          <w:i/>
          <w:sz w:val="24"/>
          <w:szCs w:val="24"/>
          <w:lang w:eastAsia="en-AU"/>
        </w:rPr>
        <w:t>2023</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47DFF450"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When listed under section 26AE, these listed medicines are commonly referred to as ‘assessed listed </w:t>
      </w:r>
      <w:proofErr w:type="gramStart"/>
      <w:r w:rsidRPr="00D4773E">
        <w:rPr>
          <w:rFonts w:ascii="Times New Roman" w:eastAsia="Times New Roman" w:hAnsi="Times New Roman" w:cs="Times New Roman"/>
          <w:sz w:val="24"/>
          <w:szCs w:val="24"/>
          <w:lang w:eastAsia="en-AU"/>
        </w:rPr>
        <w:t>medicines’</w:t>
      </w:r>
      <w:proofErr w:type="gramEnd"/>
      <w:r w:rsidRPr="00D4773E">
        <w:rPr>
          <w:rFonts w:ascii="Times New Roman" w:eastAsia="Times New Roman" w:hAnsi="Times New Roman" w:cs="Times New Roman"/>
          <w:sz w:val="24"/>
          <w:szCs w:val="24"/>
          <w:lang w:eastAsia="en-AU"/>
        </w:rPr>
        <w:t>.</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3CC6A692"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w:t>
      </w:r>
      <w:r w:rsidR="00831B38">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may only contain </w:t>
      </w:r>
      <w:r w:rsidRPr="00D4773E">
        <w:rPr>
          <w:rFonts w:ascii="Times New Roman" w:eastAsia="Times New Roman" w:hAnsi="Times New Roman" w:cs="Times New Roman"/>
          <w:sz w:val="24"/>
          <w:szCs w:val="24"/>
          <w:lang w:eastAsia="en-AU"/>
        </w:rPr>
        <w:lastRenderedPageBreak/>
        <w:t>ingredients from an approved list of ingredients that have been evaluated in relation to their quality</w:t>
      </w:r>
      <w:r w:rsidR="00831B38">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safety and suitability for use in such medicines.</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w:t>
      </w:r>
      <w:r w:rsidR="00556925">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low</w:t>
      </w:r>
      <w:r w:rsidR="00EB7328">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level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63F1BE0B"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Under paragraphs 26A(2)(ca) and (</w:t>
      </w:r>
      <w:proofErr w:type="spellStart"/>
      <w:r w:rsidRPr="00D4773E">
        <w:rPr>
          <w:rFonts w:ascii="Times New Roman" w:eastAsia="Times New Roman" w:hAnsi="Times New Roman" w:cs="Times New Roman"/>
          <w:sz w:val="24"/>
          <w:szCs w:val="24"/>
          <w:lang w:eastAsia="en-AU"/>
        </w:rPr>
        <w:t>cb</w:t>
      </w:r>
      <w:proofErr w:type="spellEnd"/>
      <w:r w:rsidRPr="00D4773E">
        <w:rPr>
          <w:rFonts w:ascii="Times New Roman" w:eastAsia="Times New Roman" w:hAnsi="Times New Roman" w:cs="Times New Roman"/>
          <w:sz w:val="24"/>
          <w:szCs w:val="24"/>
          <w:lang w:eastAsia="en-AU"/>
        </w:rPr>
        <w:t>)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Paragraphs 26AB(2)(d) and (e) contain equivalent certification requirements for applicants seeking marketing approval in relation to assessed listed medicines.</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74CAA430"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sidR="00E9229B">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4FDAFC77"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w:t>
      </w:r>
      <w:r w:rsidR="003034B3">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determination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 xml:space="preserve">section 26BB </w:t>
      </w:r>
      <w:r w:rsidR="003034B3">
        <w:rPr>
          <w:rFonts w:ascii="Times New Roman" w:eastAsia="Times New Roman" w:hAnsi="Times New Roman" w:cs="Times New Roman"/>
          <w:sz w:val="24"/>
          <w:szCs w:val="24"/>
          <w:lang w:eastAsia="en-AU"/>
        </w:rPr>
        <w:t>is</w:t>
      </w:r>
      <w:r w:rsidR="003034B3" w:rsidRPr="00D4773E">
        <w:rPr>
          <w:rFonts w:ascii="Times New Roman" w:eastAsia="Times New Roman" w:hAnsi="Times New Roman" w:cs="Times New Roman"/>
          <w:sz w:val="24"/>
          <w:szCs w:val="24"/>
          <w:lang w:eastAsia="en-AU"/>
        </w:rPr>
        <w:t xml:space="preserve"> </w:t>
      </w:r>
      <w:r w:rsidR="00D4773E" w:rsidRPr="00D4773E">
        <w:rPr>
          <w:rFonts w:ascii="Times New Roman" w:eastAsia="Times New Roman" w:hAnsi="Times New Roman" w:cs="Times New Roman"/>
          <w:sz w:val="24"/>
          <w:szCs w:val="24"/>
          <w:lang w:eastAsia="en-AU"/>
        </w:rPr>
        <w:t>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1F1446C3"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sidR="00A14C5D">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09FAE5B3" w14:textId="5C625E53" w:rsidR="00FE7242" w:rsidRDefault="006D4AB8" w:rsidP="00F51E52">
      <w:pPr>
        <w:spacing w:after="0"/>
        <w:rPr>
          <w:rFonts w:ascii="Times New Roman" w:eastAsia="Times New Roman" w:hAnsi="Times New Roman" w:cs="Times New Roman"/>
          <w:sz w:val="24"/>
          <w:szCs w:val="24"/>
          <w:lang w:eastAsia="en-AU"/>
        </w:rPr>
      </w:pPr>
      <w:bookmarkStart w:id="1" w:name="_Hlk120027902"/>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16F7F085" w14:textId="599AE9A6" w:rsidR="0092199C" w:rsidRPr="0092199C" w:rsidRDefault="000332C9" w:rsidP="00EB698D">
      <w:pPr>
        <w:pStyle w:val="ListParagraph"/>
        <w:numPr>
          <w:ilvl w:val="0"/>
          <w:numId w:val="11"/>
        </w:numPr>
        <w:spacing w:before="0" w:beforeAutospacing="0" w:after="120" w:afterAutospacing="0" w:line="276" w:lineRule="auto"/>
        <w:ind w:left="714" w:hanging="357"/>
        <w:contextualSpacing/>
      </w:pPr>
      <w:r>
        <w:t>A</w:t>
      </w:r>
      <w:r w:rsidR="0092199C" w:rsidRPr="0092199C">
        <w:t>ddition of the new ingredient</w:t>
      </w:r>
      <w:r w:rsidR="00ED21D1">
        <w:t>,</w:t>
      </w:r>
      <w:r w:rsidR="0092199C" w:rsidRPr="0092199C">
        <w:t xml:space="preserve"> refined </w:t>
      </w:r>
      <w:r w:rsidR="0092199C" w:rsidRPr="004C4CE0">
        <w:rPr>
          <w:i/>
          <w:iCs/>
        </w:rPr>
        <w:t>Buglossoides arvensis</w:t>
      </w:r>
      <w:r w:rsidR="0092199C" w:rsidRPr="0092199C">
        <w:t xml:space="preserve"> seed oil</w:t>
      </w:r>
      <w:r w:rsidR="00ED21D1">
        <w:t>,</w:t>
      </w:r>
      <w:r w:rsidR="0092199C" w:rsidRPr="0092199C">
        <w:rPr>
          <w:color w:val="FF0000"/>
        </w:rPr>
        <w:t xml:space="preserve"> </w:t>
      </w:r>
      <w:r w:rsidR="0092199C" w:rsidRPr="0092199C">
        <w:t>for use in listed and assessed listed medicines;</w:t>
      </w:r>
    </w:p>
    <w:p w14:paraId="0C48A6B9" w14:textId="2427FC2A" w:rsidR="0092199C" w:rsidRPr="0092199C" w:rsidRDefault="000332C9" w:rsidP="00EB698D">
      <w:pPr>
        <w:pStyle w:val="ListParagraph"/>
        <w:numPr>
          <w:ilvl w:val="0"/>
          <w:numId w:val="11"/>
        </w:numPr>
        <w:spacing w:before="0" w:beforeAutospacing="0" w:after="120" w:afterAutospacing="0" w:line="276" w:lineRule="auto"/>
        <w:ind w:left="714" w:hanging="357"/>
        <w:contextualSpacing/>
      </w:pPr>
      <w:r>
        <w:t>A</w:t>
      </w:r>
      <w:r w:rsidR="0092199C" w:rsidRPr="0092199C">
        <w:t>ddition of the new ingredient</w:t>
      </w:r>
      <w:r w:rsidR="00ED21D1">
        <w:t>,</w:t>
      </w:r>
      <w:r w:rsidR="0092199C" w:rsidRPr="0092199C">
        <w:t xml:space="preserve"> chicken sternum cartilage powder</w:t>
      </w:r>
      <w:r w:rsidR="00ED21D1">
        <w:t>,</w:t>
      </w:r>
      <w:r w:rsidR="0092199C" w:rsidRPr="0092199C">
        <w:rPr>
          <w:color w:val="FF0000"/>
        </w:rPr>
        <w:t xml:space="preserve"> </w:t>
      </w:r>
      <w:r w:rsidR="0092199C" w:rsidRPr="0092199C">
        <w:t>for use in listed and assessed listed medicines;</w:t>
      </w:r>
    </w:p>
    <w:p w14:paraId="7A6DD6B3" w14:textId="7B1E0DCB" w:rsidR="0092199C" w:rsidRPr="0092199C" w:rsidRDefault="000332C9" w:rsidP="00EB698D">
      <w:pPr>
        <w:pStyle w:val="ListParagraph"/>
        <w:numPr>
          <w:ilvl w:val="0"/>
          <w:numId w:val="11"/>
        </w:numPr>
        <w:spacing w:before="0" w:beforeAutospacing="0" w:after="120" w:afterAutospacing="0" w:line="276" w:lineRule="auto"/>
        <w:ind w:left="714" w:hanging="357"/>
        <w:contextualSpacing/>
      </w:pPr>
      <w:r>
        <w:t>C</w:t>
      </w:r>
      <w:r w:rsidR="0092199C" w:rsidRPr="0092199C">
        <w:t>orrection of a</w:t>
      </w:r>
      <w:r>
        <w:t xml:space="preserve"> minor typographical</w:t>
      </w:r>
      <w:r w:rsidR="0092199C" w:rsidRPr="0092199C">
        <w:t xml:space="preserve"> error in the wording of the restriction for the ingredient</w:t>
      </w:r>
      <w:r w:rsidR="00ED21D1">
        <w:t>,</w:t>
      </w:r>
      <w:r w:rsidR="0092199C" w:rsidRPr="0092199C">
        <w:t xml:space="preserve"> violet leaf absolute, in relation to its use as a fragrance;</w:t>
      </w:r>
    </w:p>
    <w:p w14:paraId="6023E791" w14:textId="40E98255" w:rsidR="0092199C" w:rsidRPr="0092199C" w:rsidRDefault="000332C9" w:rsidP="004C4CE0">
      <w:pPr>
        <w:pStyle w:val="ListParagraph"/>
        <w:numPr>
          <w:ilvl w:val="0"/>
          <w:numId w:val="11"/>
        </w:numPr>
      </w:pPr>
      <w:r>
        <w:rPr>
          <w:lang w:eastAsia="en-US"/>
        </w:rPr>
        <w:t>C</w:t>
      </w:r>
      <w:r w:rsidR="0092199C" w:rsidRPr="0092199C">
        <w:rPr>
          <w:lang w:eastAsia="en-US"/>
        </w:rPr>
        <w:t xml:space="preserve">orrection of the spelling for </w:t>
      </w:r>
      <w:r w:rsidR="00ED21D1">
        <w:rPr>
          <w:lang w:eastAsia="en-US"/>
        </w:rPr>
        <w:t>the</w:t>
      </w:r>
      <w:r w:rsidR="0092199C" w:rsidRPr="0092199C">
        <w:rPr>
          <w:lang w:eastAsia="en-US"/>
        </w:rPr>
        <w:t xml:space="preserve"> </w:t>
      </w:r>
      <w:r>
        <w:rPr>
          <w:lang w:eastAsia="en-US"/>
        </w:rPr>
        <w:t xml:space="preserve">ingredient </w:t>
      </w:r>
      <w:r w:rsidR="0092199C" w:rsidRPr="0092199C">
        <w:t>“</w:t>
      </w:r>
      <w:r w:rsidR="0092199C" w:rsidRPr="0092199C">
        <w:rPr>
          <w:i/>
          <w:iCs/>
        </w:rPr>
        <w:t xml:space="preserve">Saccharomyces </w:t>
      </w:r>
      <w:proofErr w:type="spellStart"/>
      <w:r w:rsidR="0092199C" w:rsidRPr="0092199C">
        <w:rPr>
          <w:i/>
          <w:iCs/>
        </w:rPr>
        <w:t>cervisiae</w:t>
      </w:r>
      <w:proofErr w:type="spellEnd"/>
      <w:r w:rsidR="0092199C" w:rsidRPr="0092199C">
        <w:rPr>
          <w:i/>
          <w:iCs/>
        </w:rPr>
        <w:t xml:space="preserve"> polysaccharides</w:t>
      </w:r>
      <w:r w:rsidR="0092199C" w:rsidRPr="00483134">
        <w:t>”</w:t>
      </w:r>
      <w:r w:rsidR="0092199C" w:rsidRPr="0092199C">
        <w:t xml:space="preserve"> to </w:t>
      </w:r>
      <w:r w:rsidR="0092199C" w:rsidRPr="00483134">
        <w:t>“</w:t>
      </w:r>
      <w:r w:rsidR="0092199C" w:rsidRPr="0092199C">
        <w:rPr>
          <w:i/>
          <w:iCs/>
        </w:rPr>
        <w:t>Saccharomyces cerevisiae polysaccharides</w:t>
      </w:r>
      <w:r w:rsidR="008A60BE" w:rsidRPr="00483134">
        <w:t>”</w:t>
      </w:r>
      <w:r w:rsidR="0092199C" w:rsidRPr="0092199C">
        <w:rPr>
          <w:i/>
          <w:iCs/>
        </w:rPr>
        <w:t>;</w:t>
      </w:r>
      <w:r w:rsidR="0092199C" w:rsidRPr="0092199C">
        <w:t xml:space="preserve"> and</w:t>
      </w:r>
    </w:p>
    <w:p w14:paraId="02D4EF0E" w14:textId="1995F9B1" w:rsidR="0092199C" w:rsidRPr="0092199C" w:rsidRDefault="000332C9" w:rsidP="0092199C">
      <w:pPr>
        <w:pStyle w:val="ListParagraph"/>
        <w:numPr>
          <w:ilvl w:val="0"/>
          <w:numId w:val="11"/>
        </w:numPr>
        <w:spacing w:before="0" w:beforeAutospacing="0" w:after="120" w:afterAutospacing="0"/>
        <w:contextualSpacing/>
      </w:pPr>
      <w:r>
        <w:rPr>
          <w:lang w:eastAsia="en-US"/>
        </w:rPr>
        <w:t>R</w:t>
      </w:r>
      <w:r w:rsidR="0092199C" w:rsidRPr="0092199C">
        <w:rPr>
          <w:lang w:eastAsia="en-US"/>
        </w:rPr>
        <w:t xml:space="preserve">esolution of the duplicate ingredients, </w:t>
      </w:r>
      <w:r w:rsidR="0092199C" w:rsidRPr="0092199C">
        <w:t>“</w:t>
      </w:r>
      <w:proofErr w:type="spellStart"/>
      <w:r w:rsidR="0092199C" w:rsidRPr="0092199C">
        <w:t>Poloxamine</w:t>
      </w:r>
      <w:proofErr w:type="spellEnd"/>
      <w:r w:rsidR="0092199C" w:rsidRPr="0092199C">
        <w:t>” and “</w:t>
      </w:r>
      <w:proofErr w:type="spellStart"/>
      <w:r w:rsidR="0092199C" w:rsidRPr="0092199C">
        <w:t>Poloxamine</w:t>
      </w:r>
      <w:proofErr w:type="spellEnd"/>
      <w:r w:rsidR="0092199C" w:rsidRPr="0092199C">
        <w:t xml:space="preserve"> 1301”, into a single entry, “</w:t>
      </w:r>
      <w:proofErr w:type="spellStart"/>
      <w:r w:rsidR="0092199C" w:rsidRPr="0092199C">
        <w:t>Poloxamine</w:t>
      </w:r>
      <w:proofErr w:type="spellEnd"/>
      <w:r w:rsidR="0092199C" w:rsidRPr="0092199C">
        <w:t>”.</w:t>
      </w:r>
    </w:p>
    <w:p w14:paraId="6B4EC80E" w14:textId="12417CC7" w:rsidR="00BE7DE2" w:rsidRDefault="00BE7DE2" w:rsidP="00BE7DE2">
      <w:pPr>
        <w:spacing w:after="0"/>
      </w:pPr>
    </w:p>
    <w:bookmarkEnd w:id="0"/>
    <w:bookmarkEnd w:id="1"/>
    <w:p w14:paraId="586E85BD" w14:textId="46E915F5" w:rsidR="004F3C94" w:rsidRDefault="00EF1F18" w:rsidP="00D30349">
      <w:pPr>
        <w:autoSpaceDE w:val="0"/>
        <w:autoSpaceDN w:val="0"/>
        <w:adjustRightInd w:val="0"/>
        <w:spacing w:after="0"/>
        <w:rPr>
          <w:rFonts w:ascii="Times New Roman" w:hAnsi="Times New Roman" w:cs="Times New Roman"/>
          <w:sz w:val="24"/>
          <w:szCs w:val="24"/>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6A7E1EC1" w14:textId="3067E40A" w:rsidR="0092199C" w:rsidRPr="00D77899" w:rsidRDefault="0092199C" w:rsidP="00D30349">
      <w:pPr>
        <w:spacing w:before="120" w:after="120"/>
        <w:rPr>
          <w:rFonts w:ascii="Times New Roman" w:eastAsia="Times New Roman" w:hAnsi="Times New Roman" w:cs="Times New Roman"/>
          <w:sz w:val="24"/>
          <w:szCs w:val="24"/>
          <w:lang w:eastAsia="en-AU"/>
        </w:rPr>
      </w:pPr>
      <w:r w:rsidRPr="00D77899">
        <w:rPr>
          <w:rFonts w:ascii="Times New Roman" w:eastAsia="Times New Roman" w:hAnsi="Times New Roman" w:cs="Times New Roman"/>
          <w:sz w:val="24"/>
          <w:szCs w:val="24"/>
          <w:lang w:eastAsia="en-AU"/>
        </w:rPr>
        <w:t>Between November 2022 and May 2023, the TGA engaged directly with the applicant who applied for the approval of the ingredient</w:t>
      </w:r>
      <w:r w:rsidR="00ED21D1" w:rsidRPr="00D77899">
        <w:rPr>
          <w:rFonts w:ascii="Times New Roman" w:eastAsia="Times New Roman" w:hAnsi="Times New Roman" w:cs="Times New Roman"/>
          <w:sz w:val="24"/>
          <w:szCs w:val="24"/>
          <w:lang w:eastAsia="en-AU"/>
        </w:rPr>
        <w:t>,</w:t>
      </w:r>
      <w:r w:rsidRPr="00D77899">
        <w:rPr>
          <w:rFonts w:ascii="Times New Roman" w:eastAsia="Times New Roman" w:hAnsi="Times New Roman" w:cs="Times New Roman"/>
          <w:sz w:val="24"/>
          <w:szCs w:val="24"/>
          <w:lang w:eastAsia="en-AU"/>
        </w:rPr>
        <w:t xml:space="preserve"> </w:t>
      </w:r>
      <w:r w:rsidR="00ED21D1" w:rsidRPr="00D77899">
        <w:rPr>
          <w:rFonts w:ascii="Times New Roman" w:hAnsi="Times New Roman" w:cs="Times New Roman"/>
          <w:sz w:val="24"/>
          <w:szCs w:val="24"/>
        </w:rPr>
        <w:t>r</w:t>
      </w:r>
      <w:r w:rsidRPr="00D77899">
        <w:rPr>
          <w:rFonts w:ascii="Times New Roman" w:hAnsi="Times New Roman" w:cs="Times New Roman"/>
          <w:sz w:val="24"/>
          <w:szCs w:val="24"/>
        </w:rPr>
        <w:t xml:space="preserve">efined </w:t>
      </w:r>
      <w:r w:rsidRPr="00D77899">
        <w:rPr>
          <w:rFonts w:ascii="Times New Roman" w:hAnsi="Times New Roman" w:cs="Times New Roman"/>
          <w:i/>
          <w:iCs/>
          <w:sz w:val="24"/>
          <w:szCs w:val="24"/>
        </w:rPr>
        <w:t>Buglossoides arvensis</w:t>
      </w:r>
      <w:r w:rsidRPr="00D77899">
        <w:rPr>
          <w:rFonts w:ascii="Times New Roman" w:hAnsi="Times New Roman" w:cs="Times New Roman"/>
          <w:sz w:val="24"/>
          <w:szCs w:val="24"/>
        </w:rPr>
        <w:t xml:space="preserve"> seed oil</w:t>
      </w:r>
      <w:r w:rsidRPr="00D77899">
        <w:rPr>
          <w:rFonts w:ascii="Times New Roman" w:eastAsia="Times New Roman" w:hAnsi="Times New Roman" w:cs="Times New Roman"/>
          <w:sz w:val="24"/>
          <w:szCs w:val="24"/>
          <w:lang w:eastAsia="en-AU"/>
        </w:rPr>
        <w:t>, in connection with the application.</w:t>
      </w:r>
    </w:p>
    <w:p w14:paraId="56CA1D14" w14:textId="28F8B879" w:rsidR="0092199C" w:rsidRPr="00D77899" w:rsidRDefault="0092199C" w:rsidP="00D30349">
      <w:pPr>
        <w:spacing w:before="120" w:after="120"/>
        <w:rPr>
          <w:rFonts w:ascii="Times New Roman" w:hAnsi="Times New Roman" w:cs="Times New Roman"/>
          <w:sz w:val="24"/>
          <w:szCs w:val="24"/>
        </w:rPr>
      </w:pPr>
      <w:r w:rsidRPr="00D77899">
        <w:rPr>
          <w:rFonts w:ascii="Times New Roman" w:eastAsia="Times New Roman" w:hAnsi="Times New Roman" w:cs="Times New Roman"/>
          <w:sz w:val="24"/>
          <w:szCs w:val="24"/>
          <w:lang w:eastAsia="en-AU"/>
        </w:rPr>
        <w:t>Between May 2022 and May 2023</w:t>
      </w:r>
      <w:r w:rsidR="00CC61DF" w:rsidRPr="00D77899">
        <w:rPr>
          <w:rFonts w:ascii="Times New Roman" w:eastAsia="Times New Roman" w:hAnsi="Times New Roman" w:cs="Times New Roman"/>
          <w:sz w:val="24"/>
          <w:szCs w:val="24"/>
          <w:lang w:eastAsia="en-AU"/>
        </w:rPr>
        <w:t>,</w:t>
      </w:r>
      <w:r w:rsidRPr="00D77899">
        <w:rPr>
          <w:rFonts w:ascii="Times New Roman" w:eastAsia="Times New Roman" w:hAnsi="Times New Roman" w:cs="Times New Roman"/>
          <w:sz w:val="24"/>
          <w:szCs w:val="24"/>
          <w:lang w:eastAsia="en-AU"/>
        </w:rPr>
        <w:t xml:space="preserve"> the TGA engaged directly with the applicant who applied for the approval of the ingredient</w:t>
      </w:r>
      <w:r w:rsidR="00ED21D1" w:rsidRPr="00D77899">
        <w:rPr>
          <w:rFonts w:ascii="Times New Roman" w:eastAsia="Times New Roman" w:hAnsi="Times New Roman" w:cs="Times New Roman"/>
          <w:sz w:val="24"/>
          <w:szCs w:val="24"/>
          <w:lang w:eastAsia="en-AU"/>
        </w:rPr>
        <w:t>,</w:t>
      </w:r>
      <w:r w:rsidRPr="00D77899">
        <w:rPr>
          <w:rFonts w:ascii="Times New Roman" w:eastAsia="Times New Roman" w:hAnsi="Times New Roman" w:cs="Times New Roman"/>
          <w:sz w:val="24"/>
          <w:szCs w:val="24"/>
          <w:lang w:eastAsia="en-AU"/>
        </w:rPr>
        <w:t xml:space="preserve"> </w:t>
      </w:r>
      <w:r w:rsidRPr="00D77899">
        <w:rPr>
          <w:rFonts w:ascii="Times New Roman" w:hAnsi="Times New Roman" w:cs="Times New Roman"/>
          <w:sz w:val="24"/>
          <w:szCs w:val="24"/>
        </w:rPr>
        <w:t>chicken sternum cartilage powder</w:t>
      </w:r>
      <w:r w:rsidRPr="00D77899">
        <w:rPr>
          <w:rFonts w:ascii="Times New Roman" w:eastAsia="Times New Roman" w:hAnsi="Times New Roman" w:cs="Times New Roman"/>
          <w:sz w:val="24"/>
          <w:szCs w:val="24"/>
          <w:lang w:eastAsia="en-AU"/>
        </w:rPr>
        <w:t>, in connection with the application.</w:t>
      </w:r>
    </w:p>
    <w:p w14:paraId="3B70409E" w14:textId="72D68B80" w:rsidR="003417EB" w:rsidRPr="00D77899" w:rsidRDefault="003417EB">
      <w:pPr>
        <w:autoSpaceDE w:val="0"/>
        <w:autoSpaceDN w:val="0"/>
        <w:adjustRightInd w:val="0"/>
        <w:spacing w:after="0"/>
        <w:rPr>
          <w:rFonts w:ascii="Times New Roman" w:eastAsia="Times New Roman" w:hAnsi="Times New Roman" w:cs="Times New Roman"/>
          <w:sz w:val="24"/>
          <w:szCs w:val="24"/>
          <w:lang w:eastAsia="en-AU"/>
        </w:rPr>
      </w:pPr>
      <w:r w:rsidRPr="00D77899">
        <w:rPr>
          <w:rFonts w:ascii="Times New Roman" w:eastAsia="Times New Roman" w:hAnsi="Times New Roman" w:cs="Times New Roman"/>
          <w:sz w:val="24"/>
          <w:szCs w:val="24"/>
          <w:lang w:eastAsia="en-AU"/>
        </w:rPr>
        <w:t xml:space="preserve">The </w:t>
      </w:r>
      <w:r w:rsidR="003F7DA4" w:rsidRPr="00D77899">
        <w:rPr>
          <w:rFonts w:ascii="Times New Roman" w:eastAsia="Times New Roman" w:hAnsi="Times New Roman" w:cs="Times New Roman"/>
          <w:sz w:val="24"/>
          <w:szCs w:val="24"/>
          <w:lang w:eastAsia="en-AU"/>
        </w:rPr>
        <w:t>Office of Impact Analysis (“OIA”)</w:t>
      </w:r>
      <w:r w:rsidRPr="00D77899">
        <w:rPr>
          <w:rFonts w:ascii="Times New Roman" w:eastAsia="Times New Roman" w:hAnsi="Times New Roman" w:cs="Times New Roman"/>
          <w:sz w:val="24"/>
          <w:szCs w:val="24"/>
          <w:lang w:eastAsia="en-AU"/>
        </w:rPr>
        <w:t xml:space="preserve"> has previously advised that a</w:t>
      </w:r>
      <w:r w:rsidR="003C1CDB" w:rsidRPr="00D77899">
        <w:rPr>
          <w:rFonts w:ascii="Times New Roman" w:eastAsia="Times New Roman" w:hAnsi="Times New Roman" w:cs="Times New Roman"/>
          <w:sz w:val="24"/>
          <w:szCs w:val="24"/>
          <w:lang w:eastAsia="en-AU"/>
        </w:rPr>
        <w:t>n impact analysis</w:t>
      </w:r>
      <w:r w:rsidR="00776782" w:rsidRPr="00D77899">
        <w:rPr>
          <w:rFonts w:ascii="Times New Roman" w:eastAsia="Times New Roman" w:hAnsi="Times New Roman" w:cs="Times New Roman"/>
          <w:sz w:val="24"/>
          <w:szCs w:val="24"/>
          <w:lang w:eastAsia="en-AU"/>
        </w:rPr>
        <w:t xml:space="preserve"> </w:t>
      </w:r>
      <w:r w:rsidRPr="00D77899">
        <w:rPr>
          <w:rFonts w:ascii="Times New Roman" w:eastAsia="Times New Roman" w:hAnsi="Times New Roman" w:cs="Times New Roman"/>
          <w:sz w:val="24"/>
          <w:szCs w:val="24"/>
          <w:lang w:eastAsia="en-AU"/>
        </w:rPr>
        <w:t>is not required for updates to determinations made under section 26BB of the Act that are minor or machinery in nature, including the introduction of new permitted ingredients, corrections of errors, clarifications of requirements and ingredient names, changes to reflect scheduling decisions in the Poisons Standard and the outcomes of TGA safety evaluations where the regulatory impacts are minor or machinery in nature (O</w:t>
      </w:r>
      <w:r w:rsidR="00E9229B" w:rsidRPr="00D77899">
        <w:rPr>
          <w:rFonts w:ascii="Times New Roman" w:eastAsia="Times New Roman" w:hAnsi="Times New Roman" w:cs="Times New Roman"/>
          <w:sz w:val="24"/>
          <w:szCs w:val="24"/>
          <w:lang w:eastAsia="en-AU"/>
        </w:rPr>
        <w:t>IA</w:t>
      </w:r>
      <w:r w:rsidRPr="00D77899">
        <w:rPr>
          <w:rFonts w:ascii="Times New Roman" w:eastAsia="Times New Roman" w:hAnsi="Times New Roman" w:cs="Times New Roman"/>
          <w:sz w:val="24"/>
          <w:szCs w:val="24"/>
          <w:lang w:eastAsia="en-AU"/>
        </w:rPr>
        <w:t xml:space="preserve"> references 14416, 20999 and 21645).</w:t>
      </w:r>
    </w:p>
    <w:p w14:paraId="70746BF6" w14:textId="77777777" w:rsidR="005E0BD7" w:rsidRPr="00D77899" w:rsidRDefault="005E0BD7">
      <w:pPr>
        <w:autoSpaceDE w:val="0"/>
        <w:autoSpaceDN w:val="0"/>
        <w:adjustRightInd w:val="0"/>
        <w:spacing w:after="0"/>
        <w:rPr>
          <w:rFonts w:ascii="Times New Roman" w:eastAsia="Times New Roman" w:hAnsi="Times New Roman" w:cs="Times New Roman"/>
          <w:sz w:val="24"/>
          <w:szCs w:val="24"/>
          <w:lang w:eastAsia="en-AU"/>
        </w:rPr>
      </w:pPr>
    </w:p>
    <w:p w14:paraId="7A00BF75" w14:textId="02ADDD4F" w:rsidR="0050197A" w:rsidRPr="00D77899" w:rsidRDefault="0050197A" w:rsidP="000152DF">
      <w:pPr>
        <w:keepNext/>
        <w:autoSpaceDE w:val="0"/>
        <w:autoSpaceDN w:val="0"/>
        <w:adjustRightInd w:val="0"/>
        <w:spacing w:after="0"/>
        <w:rPr>
          <w:rFonts w:ascii="Times New Roman" w:hAnsi="Times New Roman" w:cs="Times New Roman"/>
          <w:b/>
          <w:sz w:val="24"/>
          <w:szCs w:val="24"/>
          <w:lang w:eastAsia="en-AU"/>
        </w:rPr>
      </w:pPr>
      <w:r w:rsidRPr="00D77899">
        <w:rPr>
          <w:rFonts w:ascii="Times New Roman" w:hAnsi="Times New Roman" w:cs="Times New Roman"/>
          <w:b/>
          <w:sz w:val="24"/>
          <w:szCs w:val="24"/>
          <w:lang w:eastAsia="en-AU"/>
        </w:rPr>
        <w:t>Incorporation by reference</w:t>
      </w:r>
    </w:p>
    <w:p w14:paraId="630FC084" w14:textId="77777777" w:rsidR="005B70D2" w:rsidRPr="00D77899"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997153" w:rsidR="0050197A" w:rsidRPr="00D77899" w:rsidRDefault="0050197A" w:rsidP="001A7C14">
      <w:pPr>
        <w:autoSpaceDE w:val="0"/>
        <w:autoSpaceDN w:val="0"/>
        <w:adjustRightInd w:val="0"/>
        <w:spacing w:after="0"/>
        <w:rPr>
          <w:rFonts w:ascii="Times New Roman" w:hAnsi="Times New Roman" w:cs="Times New Roman"/>
          <w:sz w:val="24"/>
          <w:szCs w:val="24"/>
        </w:rPr>
      </w:pPr>
      <w:r w:rsidRPr="00D77899">
        <w:rPr>
          <w:rFonts w:ascii="Times New Roman" w:hAnsi="Times New Roman" w:cs="Times New Roman"/>
          <w:sz w:val="24"/>
          <w:szCs w:val="24"/>
        </w:rPr>
        <w:t xml:space="preserve">The </w:t>
      </w:r>
      <w:r w:rsidRPr="00D77899">
        <w:rPr>
          <w:rFonts w:ascii="Times New Roman" w:eastAsia="Times New Roman" w:hAnsi="Times New Roman" w:cs="Times New Roman"/>
          <w:sz w:val="24"/>
          <w:szCs w:val="24"/>
          <w:lang w:eastAsia="en-AU"/>
        </w:rPr>
        <w:t>Determination</w:t>
      </w:r>
      <w:r w:rsidRPr="00D77899">
        <w:rPr>
          <w:rFonts w:ascii="Times New Roman" w:hAnsi="Times New Roman" w:cs="Times New Roman"/>
          <w:sz w:val="24"/>
          <w:szCs w:val="24"/>
        </w:rPr>
        <w:t xml:space="preserve"> references the British Pharmacopoeia, European Pharmacopoeia and United States Pharmacopeia-National Formulary, and the note in section 4 of the Determination makes it clear that each </w:t>
      </w:r>
      <w:r w:rsidR="00646D68" w:rsidRPr="00D77899">
        <w:rPr>
          <w:rFonts w:ascii="Times New Roman" w:hAnsi="Times New Roman" w:cs="Times New Roman"/>
          <w:sz w:val="24"/>
          <w:szCs w:val="24"/>
        </w:rPr>
        <w:t>is</w:t>
      </w:r>
      <w:r w:rsidRPr="00D77899">
        <w:rPr>
          <w:rFonts w:ascii="Times New Roman" w:hAnsi="Times New Roman" w:cs="Times New Roman"/>
          <w:sz w:val="24"/>
          <w:szCs w:val="24"/>
        </w:rPr>
        <w:t xml:space="preserve"> defined in subsection 3(1) of the Act.</w:t>
      </w:r>
    </w:p>
    <w:p w14:paraId="371A8AD8" w14:textId="77777777" w:rsidR="005B70D2" w:rsidRPr="00D77899" w:rsidRDefault="005B70D2" w:rsidP="001A7C14">
      <w:pPr>
        <w:autoSpaceDE w:val="0"/>
        <w:autoSpaceDN w:val="0"/>
        <w:adjustRightInd w:val="0"/>
        <w:spacing w:after="0"/>
        <w:rPr>
          <w:rFonts w:ascii="Times New Roman" w:hAnsi="Times New Roman" w:cs="Times New Roman"/>
          <w:sz w:val="24"/>
          <w:szCs w:val="24"/>
        </w:rPr>
      </w:pPr>
    </w:p>
    <w:p w14:paraId="53E90904" w14:textId="00CE0B38" w:rsidR="0050197A" w:rsidRPr="00D77899" w:rsidRDefault="0050197A" w:rsidP="001A7C14">
      <w:pPr>
        <w:autoSpaceDE w:val="0"/>
        <w:autoSpaceDN w:val="0"/>
        <w:adjustRightInd w:val="0"/>
        <w:spacing w:after="0"/>
        <w:rPr>
          <w:rFonts w:ascii="Times New Roman" w:hAnsi="Times New Roman" w:cs="Times New Roman"/>
          <w:sz w:val="24"/>
          <w:szCs w:val="24"/>
        </w:rPr>
      </w:pPr>
      <w:r w:rsidRPr="00D77899">
        <w:rPr>
          <w:rFonts w:ascii="Times New Roman" w:hAnsi="Times New Roman" w:cs="Times New Roman"/>
          <w:sz w:val="24"/>
          <w:szCs w:val="24"/>
        </w:rPr>
        <w:t>The definitions of the pharmacopoeia in subsection 3(1) of the Act refer to the publications of each as in effect immediately before the commencement of the relevant definition in the Act, and to any subsequent amendments or editions.</w:t>
      </w:r>
      <w:r w:rsidR="00E60C26" w:rsidRPr="00D77899">
        <w:rPr>
          <w:rFonts w:ascii="Times New Roman" w:hAnsi="Times New Roman" w:cs="Times New Roman"/>
          <w:sz w:val="24"/>
          <w:szCs w:val="24"/>
        </w:rPr>
        <w:t xml:space="preserve"> </w:t>
      </w:r>
      <w:r w:rsidRPr="00D77899">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sidRPr="00D77899">
        <w:rPr>
          <w:rFonts w:ascii="Times New Roman" w:hAnsi="Times New Roman" w:cs="Times New Roman"/>
          <w:sz w:val="24"/>
          <w:szCs w:val="24"/>
        </w:rPr>
        <w:t>26BB</w:t>
      </w:r>
      <w:r w:rsidRPr="00D77899">
        <w:rPr>
          <w:rFonts w:ascii="Times New Roman" w:hAnsi="Times New Roman" w:cs="Times New Roman"/>
          <w:sz w:val="24"/>
          <w:szCs w:val="24"/>
        </w:rPr>
        <w:t>(</w:t>
      </w:r>
      <w:r w:rsidR="004E2CE6" w:rsidRPr="00D77899">
        <w:rPr>
          <w:rFonts w:ascii="Times New Roman" w:hAnsi="Times New Roman" w:cs="Times New Roman"/>
          <w:sz w:val="24"/>
          <w:szCs w:val="24"/>
        </w:rPr>
        <w:t>8</w:t>
      </w:r>
      <w:r w:rsidRPr="00D77899">
        <w:rPr>
          <w:rFonts w:ascii="Times New Roman" w:hAnsi="Times New Roman" w:cs="Times New Roman"/>
          <w:sz w:val="24"/>
          <w:szCs w:val="24"/>
        </w:rPr>
        <w:t xml:space="preserve">) of the Act). </w:t>
      </w:r>
      <w:proofErr w:type="gramStart"/>
      <w:r w:rsidRPr="00D77899">
        <w:rPr>
          <w:rFonts w:ascii="Times New Roman" w:hAnsi="Times New Roman" w:cs="Times New Roman"/>
          <w:sz w:val="24"/>
          <w:szCs w:val="24"/>
        </w:rPr>
        <w:t>Th</w:t>
      </w:r>
      <w:r w:rsidR="008C2503" w:rsidRPr="00D77899">
        <w:rPr>
          <w:rFonts w:ascii="Times New Roman" w:hAnsi="Times New Roman" w:cs="Times New Roman"/>
          <w:sz w:val="24"/>
          <w:szCs w:val="24"/>
        </w:rPr>
        <w:t>ose</w:t>
      </w:r>
      <w:r w:rsidRPr="00D77899">
        <w:rPr>
          <w:rFonts w:ascii="Times New Roman" w:hAnsi="Times New Roman" w:cs="Times New Roman"/>
          <w:sz w:val="24"/>
          <w:szCs w:val="24"/>
        </w:rPr>
        <w:t xml:space="preserve"> pharmacopoeia</w:t>
      </w:r>
      <w:proofErr w:type="gramEnd"/>
      <w:r w:rsidRPr="00D77899">
        <w:rPr>
          <w:rFonts w:ascii="Times New Roman" w:hAnsi="Times New Roman" w:cs="Times New Roman"/>
          <w:sz w:val="24"/>
          <w:szCs w:val="24"/>
        </w:rPr>
        <w:t xml:space="preserve"> may be accessed from </w:t>
      </w:r>
      <w:r w:rsidR="003C1CDB" w:rsidRPr="00D77899">
        <w:rPr>
          <w:rFonts w:ascii="Times New Roman" w:hAnsi="Times New Roman" w:cs="Times New Roman"/>
          <w:sz w:val="24"/>
          <w:szCs w:val="24"/>
        </w:rPr>
        <w:t>www.pharmacopoeia.com/</w:t>
      </w:r>
      <w:r w:rsidRPr="00D77899">
        <w:rPr>
          <w:rFonts w:ascii="Times New Roman" w:hAnsi="Times New Roman" w:cs="Times New Roman"/>
          <w:sz w:val="24"/>
          <w:szCs w:val="24"/>
        </w:rPr>
        <w:t xml:space="preserve">, </w:t>
      </w:r>
      <w:r w:rsidR="003C1CDB" w:rsidRPr="00D77899">
        <w:rPr>
          <w:rFonts w:ascii="Times New Roman" w:hAnsi="Times New Roman" w:cs="Times New Roman"/>
          <w:sz w:val="24"/>
          <w:szCs w:val="24"/>
        </w:rPr>
        <w:t>https://pheur.edqm.eu/home</w:t>
      </w:r>
      <w:r w:rsidRPr="00D77899">
        <w:rPr>
          <w:rFonts w:ascii="Times New Roman" w:hAnsi="Times New Roman" w:cs="Times New Roman"/>
          <w:sz w:val="24"/>
          <w:szCs w:val="24"/>
        </w:rPr>
        <w:t xml:space="preserve"> and </w:t>
      </w:r>
      <w:r w:rsidR="003C1CDB" w:rsidRPr="00D77899">
        <w:rPr>
          <w:rFonts w:ascii="Times New Roman" w:hAnsi="Times New Roman" w:cs="Times New Roman"/>
          <w:sz w:val="24"/>
          <w:szCs w:val="24"/>
        </w:rPr>
        <w:t>www.uspnf.com/</w:t>
      </w:r>
      <w:r w:rsidRPr="00D77899">
        <w:rPr>
          <w:rFonts w:ascii="Times New Roman" w:hAnsi="Times New Roman" w:cs="Times New Roman"/>
          <w:sz w:val="24"/>
          <w:szCs w:val="24"/>
        </w:rPr>
        <w:t>.</w:t>
      </w:r>
    </w:p>
    <w:p w14:paraId="3229837D" w14:textId="77777777" w:rsidR="005B70D2" w:rsidRPr="00D77899" w:rsidRDefault="005B70D2" w:rsidP="001A7C14">
      <w:pPr>
        <w:autoSpaceDE w:val="0"/>
        <w:autoSpaceDN w:val="0"/>
        <w:adjustRightInd w:val="0"/>
        <w:spacing w:after="0"/>
        <w:rPr>
          <w:rFonts w:ascii="Times New Roman" w:hAnsi="Times New Roman" w:cs="Times New Roman"/>
          <w:sz w:val="24"/>
          <w:szCs w:val="24"/>
        </w:rPr>
      </w:pPr>
    </w:p>
    <w:p w14:paraId="33692DF4" w14:textId="7B91238E" w:rsidR="004C1D7B" w:rsidRPr="00D77899" w:rsidRDefault="0050197A" w:rsidP="001A7C14">
      <w:pPr>
        <w:autoSpaceDE w:val="0"/>
        <w:autoSpaceDN w:val="0"/>
        <w:adjustRightInd w:val="0"/>
        <w:spacing w:after="0"/>
        <w:rPr>
          <w:rFonts w:ascii="Times New Roman" w:hAnsi="Times New Roman" w:cs="Times New Roman"/>
          <w:sz w:val="24"/>
          <w:szCs w:val="24"/>
        </w:rPr>
      </w:pPr>
      <w:r w:rsidRPr="00D77899">
        <w:rPr>
          <w:rFonts w:ascii="Times New Roman" w:hAnsi="Times New Roman" w:cs="Times New Roman"/>
          <w:sz w:val="24"/>
          <w:szCs w:val="24"/>
        </w:rPr>
        <w:lastRenderedPageBreak/>
        <w:t>The Determination also adopts</w:t>
      </w:r>
      <w:r w:rsidR="00B377CD" w:rsidRPr="00D77899">
        <w:rPr>
          <w:rFonts w:ascii="Times New Roman" w:hAnsi="Times New Roman" w:cs="Times New Roman"/>
          <w:sz w:val="24"/>
          <w:szCs w:val="24"/>
        </w:rPr>
        <w:t xml:space="preserve"> specified</w:t>
      </w:r>
      <w:r w:rsidR="00361819" w:rsidRPr="00D77899">
        <w:rPr>
          <w:rFonts w:ascii="Times New Roman" w:hAnsi="Times New Roman" w:cs="Times New Roman"/>
          <w:sz w:val="24"/>
          <w:szCs w:val="24"/>
        </w:rPr>
        <w:t xml:space="preserve"> applicable monographs in</w:t>
      </w:r>
      <w:r w:rsidRPr="00D77899">
        <w:rPr>
          <w:rFonts w:ascii="Times New Roman" w:hAnsi="Times New Roman" w:cs="Times New Roman"/>
          <w:sz w:val="24"/>
          <w:szCs w:val="24"/>
        </w:rPr>
        <w:t xml:space="preserve"> the Food Chemicals Codex (“the FCC”) published by the United States Pharmacopeial Convention (available at </w:t>
      </w:r>
      <w:r w:rsidR="003C1CDB" w:rsidRPr="00D77899">
        <w:rPr>
          <w:rFonts w:ascii="Times New Roman" w:hAnsi="Times New Roman" w:cs="Times New Roman"/>
          <w:sz w:val="24"/>
          <w:szCs w:val="24"/>
        </w:rPr>
        <w:t>www.foodchemicalscodex.org/</w:t>
      </w:r>
      <w:r w:rsidRPr="00D77899">
        <w:rPr>
          <w:rFonts w:ascii="Times New Roman" w:hAnsi="Times New Roman" w:cs="Times New Roman"/>
          <w:sz w:val="24"/>
          <w:szCs w:val="24"/>
        </w:rPr>
        <w:t>)</w:t>
      </w:r>
      <w:r w:rsidR="004C1D7B" w:rsidRPr="00D77899">
        <w:rPr>
          <w:rFonts w:ascii="Times New Roman" w:hAnsi="Times New Roman" w:cs="Times New Roman"/>
          <w:sz w:val="24"/>
          <w:szCs w:val="24"/>
        </w:rPr>
        <w:t xml:space="preserve"> in relation to the following ingredients:</w:t>
      </w:r>
    </w:p>
    <w:p w14:paraId="3473D7B4" w14:textId="55377055" w:rsidR="004C1D7B" w:rsidRPr="00D77899" w:rsidRDefault="004C1D7B" w:rsidP="00EE544B">
      <w:pPr>
        <w:pStyle w:val="ListParagraph"/>
        <w:numPr>
          <w:ilvl w:val="0"/>
          <w:numId w:val="11"/>
        </w:numPr>
        <w:spacing w:before="120" w:beforeAutospacing="0" w:after="120" w:afterAutospacing="0" w:line="276" w:lineRule="auto"/>
        <w:ind w:left="714" w:hanging="357"/>
      </w:pPr>
      <w:r w:rsidRPr="00D77899">
        <w:t>Glycerol Ester of Partially Hydrogenated Gum Rosin;</w:t>
      </w:r>
    </w:p>
    <w:p w14:paraId="5B26F0B4" w14:textId="75CE5032" w:rsidR="004C1D7B" w:rsidRPr="00D77899" w:rsidRDefault="004C1D7B" w:rsidP="00EE544B">
      <w:pPr>
        <w:pStyle w:val="ListParagraph"/>
        <w:numPr>
          <w:ilvl w:val="0"/>
          <w:numId w:val="11"/>
        </w:numPr>
        <w:spacing w:before="120" w:beforeAutospacing="0" w:after="120" w:afterAutospacing="0" w:line="276" w:lineRule="auto"/>
        <w:ind w:left="714" w:hanging="357"/>
      </w:pPr>
      <w:r w:rsidRPr="00D77899">
        <w:t xml:space="preserve">Glyceryl </w:t>
      </w:r>
      <w:proofErr w:type="spellStart"/>
      <w:r w:rsidRPr="00D77899">
        <w:t>Rosinate</w:t>
      </w:r>
      <w:proofErr w:type="spellEnd"/>
      <w:r w:rsidRPr="00D77899">
        <w:t>;</w:t>
      </w:r>
      <w:r w:rsidR="0070233A" w:rsidRPr="00D77899">
        <w:t xml:space="preserve"> and</w:t>
      </w:r>
    </w:p>
    <w:p w14:paraId="4854BC9A" w14:textId="2ED22897" w:rsidR="004C1D7B" w:rsidRPr="00D77899" w:rsidRDefault="004C1D7B" w:rsidP="00EE544B">
      <w:pPr>
        <w:pStyle w:val="ListParagraph"/>
        <w:numPr>
          <w:ilvl w:val="0"/>
          <w:numId w:val="41"/>
        </w:numPr>
        <w:spacing w:before="0" w:beforeAutospacing="0" w:after="0" w:afterAutospacing="0"/>
        <w:ind w:left="714" w:hanging="357"/>
        <w:contextualSpacing/>
      </w:pPr>
      <w:r w:rsidRPr="00D77899">
        <w:t>Polyisobutylene.</w:t>
      </w:r>
    </w:p>
    <w:p w14:paraId="0B7816B9" w14:textId="77777777" w:rsidR="004C1D7B" w:rsidRPr="00D77899" w:rsidRDefault="004C1D7B" w:rsidP="001A7C14">
      <w:pPr>
        <w:autoSpaceDE w:val="0"/>
        <w:autoSpaceDN w:val="0"/>
        <w:adjustRightInd w:val="0"/>
        <w:spacing w:after="0"/>
        <w:rPr>
          <w:rFonts w:ascii="Times New Roman" w:hAnsi="Times New Roman" w:cs="Times New Roman"/>
          <w:sz w:val="24"/>
          <w:szCs w:val="24"/>
        </w:rPr>
      </w:pPr>
    </w:p>
    <w:p w14:paraId="2B6FE1B6" w14:textId="295BB396" w:rsidR="00B377CD" w:rsidRPr="00D77899" w:rsidRDefault="0050197A" w:rsidP="001A7C14">
      <w:pPr>
        <w:autoSpaceDE w:val="0"/>
        <w:autoSpaceDN w:val="0"/>
        <w:adjustRightInd w:val="0"/>
        <w:spacing w:after="0"/>
        <w:rPr>
          <w:rFonts w:ascii="Times New Roman" w:hAnsi="Times New Roman" w:cs="Times New Roman"/>
          <w:sz w:val="24"/>
          <w:szCs w:val="24"/>
        </w:rPr>
      </w:pPr>
      <w:r w:rsidRPr="00D77899">
        <w:rPr>
          <w:rFonts w:ascii="Times New Roman" w:hAnsi="Times New Roman" w:cs="Times New Roman"/>
          <w:sz w:val="24"/>
          <w:szCs w:val="24"/>
        </w:rPr>
        <w:t>The intended manner of adoption of the FCC is also as it is in force or existing from time to time</w:t>
      </w:r>
      <w:r w:rsidR="004E2CE6" w:rsidRPr="00D77899">
        <w:rPr>
          <w:rFonts w:ascii="Times New Roman" w:hAnsi="Times New Roman" w:cs="Times New Roman"/>
          <w:sz w:val="24"/>
          <w:szCs w:val="24"/>
        </w:rPr>
        <w:t>, as permitted by subsection 26BB(8) of the Act</w:t>
      </w:r>
      <w:r w:rsidRPr="00D77899">
        <w:rPr>
          <w:rFonts w:ascii="Times New Roman" w:hAnsi="Times New Roman" w:cs="Times New Roman"/>
          <w:sz w:val="24"/>
          <w:szCs w:val="24"/>
        </w:rPr>
        <w:t>.</w:t>
      </w:r>
    </w:p>
    <w:p w14:paraId="314BEE1E" w14:textId="77777777" w:rsidR="00B377CD" w:rsidRPr="00D77899" w:rsidRDefault="00B377CD" w:rsidP="001A7C14">
      <w:pPr>
        <w:autoSpaceDE w:val="0"/>
        <w:autoSpaceDN w:val="0"/>
        <w:adjustRightInd w:val="0"/>
        <w:spacing w:after="0"/>
        <w:rPr>
          <w:rFonts w:ascii="Times New Roman" w:hAnsi="Times New Roman" w:cs="Times New Roman"/>
          <w:sz w:val="24"/>
          <w:szCs w:val="24"/>
        </w:rPr>
      </w:pPr>
    </w:p>
    <w:p w14:paraId="2E0BD165" w14:textId="55C1F86D" w:rsidR="0050197A" w:rsidRPr="00D77899" w:rsidRDefault="0050197A" w:rsidP="001A7C14">
      <w:pPr>
        <w:autoSpaceDE w:val="0"/>
        <w:autoSpaceDN w:val="0"/>
        <w:adjustRightInd w:val="0"/>
        <w:spacing w:after="0"/>
        <w:rPr>
          <w:rStyle w:val="Hyperlink"/>
          <w:rFonts w:ascii="Times New Roman" w:hAnsi="Times New Roman" w:cs="Times New Roman"/>
          <w:color w:val="auto"/>
          <w:sz w:val="24"/>
          <w:szCs w:val="24"/>
        </w:rPr>
      </w:pPr>
      <w:r w:rsidRPr="00D77899">
        <w:rPr>
          <w:rFonts w:ascii="Times New Roman" w:hAnsi="Times New Roman" w:cs="Times New Roman"/>
          <w:sz w:val="24"/>
          <w:szCs w:val="24"/>
          <w:lang w:eastAsia="en-AU"/>
        </w:rPr>
        <w:t xml:space="preserve">The Determination adopts the </w:t>
      </w:r>
      <w:r w:rsidRPr="00D77899">
        <w:rPr>
          <w:rStyle w:val="Hyperlink"/>
          <w:rFonts w:ascii="Times New Roman" w:hAnsi="Times New Roman" w:cs="Times New Roman"/>
          <w:i/>
          <w:color w:val="auto"/>
          <w:sz w:val="24"/>
          <w:szCs w:val="24"/>
          <w:u w:val="none"/>
        </w:rPr>
        <w:t>Animal Products Act 1999</w:t>
      </w:r>
      <w:r w:rsidRPr="00D77899">
        <w:rPr>
          <w:rStyle w:val="Hyperlink"/>
          <w:rFonts w:ascii="Times New Roman" w:hAnsi="Times New Roman" w:cs="Times New Roman"/>
          <w:color w:val="auto"/>
          <w:sz w:val="24"/>
          <w:szCs w:val="24"/>
          <w:u w:val="none"/>
        </w:rPr>
        <w:t xml:space="preserve"> and the </w:t>
      </w:r>
      <w:r w:rsidRPr="00D77899">
        <w:rPr>
          <w:rStyle w:val="Hyperlink"/>
          <w:rFonts w:ascii="Times New Roman" w:hAnsi="Times New Roman" w:cs="Times New Roman"/>
          <w:i/>
          <w:color w:val="auto"/>
          <w:sz w:val="24"/>
          <w:szCs w:val="24"/>
          <w:u w:val="none"/>
        </w:rPr>
        <w:t>Animal Welfare Act 1999</w:t>
      </w:r>
      <w:r w:rsidRPr="00D77899">
        <w:rPr>
          <w:rStyle w:val="Hyperlink"/>
          <w:rFonts w:ascii="Times New Roman" w:hAnsi="Times New Roman" w:cs="Times New Roman"/>
          <w:color w:val="auto"/>
          <w:sz w:val="24"/>
          <w:szCs w:val="24"/>
          <w:u w:val="none"/>
        </w:rPr>
        <w:t xml:space="preserve"> </w:t>
      </w:r>
      <w:r w:rsidRPr="00D77899">
        <w:rPr>
          <w:rFonts w:ascii="Times New Roman" w:hAnsi="Times New Roman" w:cs="Times New Roman"/>
          <w:sz w:val="24"/>
          <w:szCs w:val="24"/>
          <w:lang w:eastAsia="en-AU"/>
        </w:rPr>
        <w:t>of New Zealand</w:t>
      </w:r>
      <w:r w:rsidR="00A64D74" w:rsidRPr="00D77899">
        <w:rPr>
          <w:rFonts w:ascii="Times New Roman" w:hAnsi="Times New Roman" w:cs="Times New Roman"/>
          <w:sz w:val="24"/>
          <w:szCs w:val="24"/>
          <w:lang w:eastAsia="en-AU"/>
        </w:rPr>
        <w:t>, and regulations made under these Acts,</w:t>
      </w:r>
      <w:r w:rsidRPr="00D77899">
        <w:rPr>
          <w:rFonts w:ascii="Times New Roman" w:hAnsi="Times New Roman" w:cs="Times New Roman"/>
          <w:sz w:val="24"/>
          <w:szCs w:val="24"/>
          <w:lang w:eastAsia="en-AU"/>
        </w:rPr>
        <w:t xml:space="preserve"> </w:t>
      </w:r>
      <w:r w:rsidR="00A64D74" w:rsidRPr="00D77899">
        <w:rPr>
          <w:rFonts w:ascii="Times New Roman" w:hAnsi="Times New Roman" w:cs="Times New Roman"/>
          <w:sz w:val="24"/>
          <w:szCs w:val="24"/>
          <w:lang w:eastAsia="en-AU"/>
        </w:rPr>
        <w:t xml:space="preserve">in relation to two ingredients (Deer Velvet Antler Powder and Deer Velvet Antler Slice) </w:t>
      </w:r>
      <w:r w:rsidRPr="00D77899">
        <w:rPr>
          <w:rFonts w:ascii="Times New Roman" w:hAnsi="Times New Roman" w:cs="Times New Roman"/>
          <w:sz w:val="24"/>
          <w:szCs w:val="24"/>
          <w:lang w:eastAsia="en-AU"/>
        </w:rPr>
        <w:t>on the same basis. These Acts</w:t>
      </w:r>
      <w:r w:rsidR="00A64D74" w:rsidRPr="00D77899">
        <w:rPr>
          <w:rFonts w:ascii="Times New Roman" w:hAnsi="Times New Roman" w:cs="Times New Roman"/>
          <w:sz w:val="24"/>
          <w:szCs w:val="24"/>
          <w:lang w:eastAsia="en-AU"/>
        </w:rPr>
        <w:t xml:space="preserve"> and regulations</w:t>
      </w:r>
      <w:r w:rsidRPr="00D77899">
        <w:rPr>
          <w:rFonts w:ascii="Times New Roman" w:hAnsi="Times New Roman" w:cs="Times New Roman"/>
          <w:sz w:val="24"/>
          <w:szCs w:val="24"/>
          <w:lang w:eastAsia="en-AU"/>
        </w:rPr>
        <w:t xml:space="preserve"> are available for free from </w:t>
      </w:r>
      <w:r w:rsidR="003C1CDB" w:rsidRPr="00D77899">
        <w:rPr>
          <w:rFonts w:ascii="Times New Roman" w:hAnsi="Times New Roman" w:cs="Times New Roman"/>
          <w:sz w:val="24"/>
          <w:szCs w:val="24"/>
        </w:rPr>
        <w:t>www.legislation.govt.nz/</w:t>
      </w:r>
      <w:r w:rsidRPr="00D77899">
        <w:rPr>
          <w:rStyle w:val="Hyperlink"/>
          <w:rFonts w:ascii="Times New Roman" w:hAnsi="Times New Roman" w:cs="Times New Roman"/>
          <w:color w:val="auto"/>
          <w:sz w:val="24"/>
          <w:szCs w:val="24"/>
        </w:rPr>
        <w:t>.</w:t>
      </w:r>
    </w:p>
    <w:p w14:paraId="7D08AC7D" w14:textId="77777777" w:rsidR="005B70D2" w:rsidRPr="00D77899" w:rsidRDefault="005B70D2" w:rsidP="001A7C14">
      <w:pPr>
        <w:autoSpaceDE w:val="0"/>
        <w:autoSpaceDN w:val="0"/>
        <w:adjustRightInd w:val="0"/>
        <w:spacing w:after="0"/>
        <w:rPr>
          <w:rFonts w:ascii="Times New Roman" w:hAnsi="Times New Roman" w:cs="Times New Roman"/>
          <w:sz w:val="24"/>
          <w:szCs w:val="24"/>
        </w:rPr>
      </w:pPr>
    </w:p>
    <w:p w14:paraId="166CDB99" w14:textId="0D6455E7" w:rsidR="0050197A" w:rsidRPr="00D77899" w:rsidRDefault="0050197A" w:rsidP="001A7C14">
      <w:pPr>
        <w:autoSpaceDE w:val="0"/>
        <w:autoSpaceDN w:val="0"/>
        <w:adjustRightInd w:val="0"/>
        <w:spacing w:after="0"/>
        <w:rPr>
          <w:rFonts w:ascii="Times New Roman" w:hAnsi="Times New Roman" w:cs="Times New Roman"/>
          <w:sz w:val="24"/>
          <w:szCs w:val="24"/>
        </w:rPr>
      </w:pPr>
      <w:r w:rsidRPr="00D77899">
        <w:rPr>
          <w:rFonts w:ascii="Times New Roman" w:hAnsi="Times New Roman" w:cs="Times New Roman"/>
          <w:sz w:val="24"/>
          <w:szCs w:val="24"/>
          <w:lang w:eastAsia="en-AU"/>
        </w:rPr>
        <w:t>The Determination also includes a reference to a World Health Organization publication ‘</w:t>
      </w:r>
      <w:r w:rsidRPr="00D77899">
        <w:rPr>
          <w:rFonts w:ascii="Times New Roman" w:hAnsi="Times New Roman" w:cs="Times New Roman"/>
          <w:i/>
          <w:sz w:val="24"/>
          <w:szCs w:val="24"/>
          <w:lang w:eastAsia="en-AU"/>
        </w:rPr>
        <w:t>Expert consultation on oral rehydration salts formulation</w:t>
      </w:r>
      <w:r w:rsidRPr="00D77899">
        <w:rPr>
          <w:rFonts w:ascii="Times New Roman" w:hAnsi="Times New Roman" w:cs="Times New Roman"/>
          <w:sz w:val="24"/>
          <w:szCs w:val="24"/>
          <w:lang w:eastAsia="en-AU"/>
        </w:rPr>
        <w:t>’, dated 18 July 2001.</w:t>
      </w:r>
      <w:r w:rsidR="00E60C26" w:rsidRPr="00D77899">
        <w:rPr>
          <w:rFonts w:ascii="Times New Roman" w:hAnsi="Times New Roman" w:cs="Times New Roman"/>
          <w:sz w:val="24"/>
          <w:szCs w:val="24"/>
          <w:lang w:eastAsia="en-AU"/>
        </w:rPr>
        <w:t xml:space="preserve"> </w:t>
      </w:r>
      <w:r w:rsidRPr="00D77899">
        <w:rPr>
          <w:rFonts w:ascii="Times New Roman" w:hAnsi="Times New Roman" w:cs="Times New Roman"/>
          <w:sz w:val="24"/>
          <w:szCs w:val="24"/>
          <w:lang w:eastAsia="en-AU"/>
        </w:rPr>
        <w:t xml:space="preserve">This document is available for free from </w:t>
      </w:r>
      <w:r w:rsidR="003C1CDB" w:rsidRPr="00D77899">
        <w:rPr>
          <w:rFonts w:ascii="Times New Roman" w:hAnsi="Times New Roman" w:cs="Times New Roman"/>
          <w:sz w:val="24"/>
          <w:szCs w:val="24"/>
        </w:rPr>
        <w:t>www.rehydrate.org/ors/expert-consultation.html</w:t>
      </w:r>
      <w:r w:rsidRPr="00D77899">
        <w:rPr>
          <w:rFonts w:ascii="Times New Roman" w:hAnsi="Times New Roman" w:cs="Times New Roman"/>
          <w:sz w:val="24"/>
          <w:szCs w:val="24"/>
        </w:rPr>
        <w:t>.</w:t>
      </w:r>
    </w:p>
    <w:p w14:paraId="147C2040" w14:textId="3035EA7A" w:rsidR="005B70D2" w:rsidRPr="00D77899"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F710CEF" w14:textId="1B5A99CD" w:rsidR="003034B3" w:rsidRPr="00D77899" w:rsidRDefault="003034B3" w:rsidP="001A7C14">
      <w:pPr>
        <w:autoSpaceDE w:val="0"/>
        <w:autoSpaceDN w:val="0"/>
        <w:adjustRightInd w:val="0"/>
        <w:spacing w:after="0"/>
        <w:rPr>
          <w:rFonts w:ascii="Times New Roman" w:eastAsia="Times New Roman" w:hAnsi="Times New Roman" w:cs="Times New Roman"/>
          <w:sz w:val="24"/>
          <w:szCs w:val="24"/>
          <w:lang w:eastAsia="en-AU"/>
        </w:rPr>
      </w:pPr>
      <w:r w:rsidRPr="00D77899">
        <w:rPr>
          <w:rFonts w:ascii="Times New Roman" w:eastAsia="Times New Roman" w:hAnsi="Times New Roman" w:cs="Times New Roman"/>
          <w:sz w:val="24"/>
          <w:szCs w:val="24"/>
          <w:lang w:eastAsia="en-AU"/>
        </w:rPr>
        <w:t xml:space="preserve">The Determination </w:t>
      </w:r>
      <w:r w:rsidR="00526197" w:rsidRPr="00D77899">
        <w:rPr>
          <w:rFonts w:ascii="Times New Roman" w:eastAsia="Times New Roman" w:hAnsi="Times New Roman" w:cs="Times New Roman"/>
          <w:sz w:val="24"/>
          <w:szCs w:val="24"/>
          <w:lang w:eastAsia="en-AU"/>
        </w:rPr>
        <w:t>also incorporates matters by reference</w:t>
      </w:r>
      <w:r w:rsidR="002C0561" w:rsidRPr="00D77899">
        <w:rPr>
          <w:rFonts w:ascii="Times New Roman" w:eastAsia="Times New Roman" w:hAnsi="Times New Roman" w:cs="Times New Roman"/>
          <w:sz w:val="24"/>
          <w:szCs w:val="24"/>
          <w:lang w:eastAsia="en-AU"/>
        </w:rPr>
        <w:t xml:space="preserve"> to</w:t>
      </w:r>
      <w:r w:rsidRPr="00D77899">
        <w:rPr>
          <w:rFonts w:ascii="Times New Roman" w:eastAsia="Times New Roman" w:hAnsi="Times New Roman" w:cs="Times New Roman"/>
          <w:sz w:val="24"/>
          <w:szCs w:val="24"/>
          <w:lang w:eastAsia="en-AU"/>
        </w:rPr>
        <w:t xml:space="preserve"> </w:t>
      </w:r>
      <w:r w:rsidR="00526197" w:rsidRPr="00D77899">
        <w:rPr>
          <w:rFonts w:ascii="Times New Roman" w:eastAsia="Times New Roman" w:hAnsi="Times New Roman" w:cs="Times New Roman"/>
          <w:sz w:val="24"/>
          <w:szCs w:val="24"/>
          <w:lang w:eastAsia="en-AU"/>
        </w:rPr>
        <w:t>the</w:t>
      </w:r>
      <w:r w:rsidRPr="00D77899">
        <w:rPr>
          <w:rFonts w:ascii="Times New Roman" w:eastAsia="Times New Roman" w:hAnsi="Times New Roman" w:cs="Times New Roman"/>
          <w:sz w:val="24"/>
          <w:szCs w:val="24"/>
          <w:lang w:eastAsia="en-AU"/>
        </w:rPr>
        <w:t xml:space="preserve"> ‘code tables’ </w:t>
      </w:r>
      <w:r w:rsidR="00526197" w:rsidRPr="00D77899">
        <w:rPr>
          <w:rFonts w:ascii="Times New Roman" w:eastAsia="Times New Roman" w:hAnsi="Times New Roman" w:cs="Times New Roman"/>
          <w:sz w:val="24"/>
          <w:szCs w:val="24"/>
          <w:lang w:eastAsia="en-AU"/>
        </w:rPr>
        <w:t xml:space="preserve">and </w:t>
      </w:r>
      <w:r w:rsidR="002C0561" w:rsidRPr="00D77899">
        <w:rPr>
          <w:rFonts w:ascii="Times New Roman" w:eastAsia="Times New Roman" w:hAnsi="Times New Roman" w:cs="Times New Roman"/>
          <w:sz w:val="24"/>
          <w:szCs w:val="24"/>
          <w:lang w:eastAsia="en-AU"/>
        </w:rPr>
        <w:t>the ‘TGA eBusiness Services’</w:t>
      </w:r>
      <w:r w:rsidR="00526197" w:rsidRPr="00D77899">
        <w:rPr>
          <w:rFonts w:ascii="Times New Roman" w:eastAsia="Times New Roman" w:hAnsi="Times New Roman" w:cs="Times New Roman"/>
          <w:sz w:val="24"/>
          <w:szCs w:val="24"/>
          <w:lang w:eastAsia="en-AU"/>
        </w:rPr>
        <w:t xml:space="preserve"> </w:t>
      </w:r>
      <w:r w:rsidRPr="00D77899">
        <w:rPr>
          <w:rFonts w:ascii="Times New Roman" w:eastAsia="Times New Roman" w:hAnsi="Times New Roman" w:cs="Times New Roman"/>
          <w:sz w:val="24"/>
          <w:szCs w:val="24"/>
          <w:lang w:eastAsia="en-AU"/>
        </w:rPr>
        <w:t>in section 4. Th</w:t>
      </w:r>
      <w:r w:rsidR="002C0561" w:rsidRPr="00D77899">
        <w:rPr>
          <w:rFonts w:ascii="Times New Roman" w:eastAsia="Times New Roman" w:hAnsi="Times New Roman" w:cs="Times New Roman"/>
          <w:sz w:val="24"/>
          <w:szCs w:val="24"/>
          <w:lang w:eastAsia="en-AU"/>
        </w:rPr>
        <w:t>e</w:t>
      </w:r>
      <w:r w:rsidRPr="00D77899">
        <w:rPr>
          <w:rFonts w:ascii="Times New Roman" w:eastAsia="Times New Roman" w:hAnsi="Times New Roman" w:cs="Times New Roman"/>
          <w:sz w:val="24"/>
          <w:szCs w:val="24"/>
          <w:lang w:eastAsia="en-AU"/>
        </w:rPr>
        <w:t xml:space="preserve"> </w:t>
      </w:r>
      <w:r w:rsidR="002C0561" w:rsidRPr="00D77899">
        <w:rPr>
          <w:rFonts w:ascii="Times New Roman" w:eastAsia="Times New Roman" w:hAnsi="Times New Roman" w:cs="Times New Roman"/>
          <w:sz w:val="24"/>
          <w:szCs w:val="24"/>
          <w:lang w:eastAsia="en-AU"/>
        </w:rPr>
        <w:t>code tables</w:t>
      </w:r>
      <w:r w:rsidRPr="00D77899">
        <w:rPr>
          <w:rFonts w:ascii="Times New Roman" w:eastAsia="Times New Roman" w:hAnsi="Times New Roman" w:cs="Times New Roman"/>
          <w:sz w:val="24"/>
          <w:szCs w:val="24"/>
          <w:lang w:eastAsia="en-AU"/>
        </w:rPr>
        <w:t xml:space="preserve"> </w:t>
      </w:r>
      <w:r w:rsidR="002C0561" w:rsidRPr="00D77899">
        <w:rPr>
          <w:rFonts w:ascii="Times New Roman" w:eastAsia="Times New Roman" w:hAnsi="Times New Roman" w:cs="Times New Roman"/>
          <w:sz w:val="24"/>
          <w:szCs w:val="24"/>
          <w:lang w:eastAsia="en-AU"/>
        </w:rPr>
        <w:t xml:space="preserve">are </w:t>
      </w:r>
      <w:r w:rsidRPr="00D77899">
        <w:rPr>
          <w:rFonts w:ascii="Times New Roman" w:eastAsia="Times New Roman" w:hAnsi="Times New Roman" w:cs="Times New Roman"/>
          <w:sz w:val="24"/>
          <w:szCs w:val="24"/>
          <w:lang w:eastAsia="en-AU"/>
        </w:rPr>
        <w:t xml:space="preserve">defined as the tables accessed via the </w:t>
      </w:r>
      <w:r w:rsidRPr="00D77899">
        <w:rPr>
          <w:rFonts w:ascii="Times New Roman" w:eastAsia="Times New Roman" w:hAnsi="Times New Roman" w:cs="Times New Roman"/>
          <w:i/>
          <w:iCs/>
          <w:sz w:val="24"/>
          <w:szCs w:val="24"/>
          <w:lang w:eastAsia="en-AU"/>
        </w:rPr>
        <w:t>Code Tables</w:t>
      </w:r>
      <w:r w:rsidRPr="00D77899">
        <w:rPr>
          <w:rFonts w:ascii="Times New Roman" w:eastAsia="Times New Roman" w:hAnsi="Times New Roman" w:cs="Times New Roman"/>
          <w:sz w:val="24"/>
          <w:szCs w:val="24"/>
          <w:lang w:eastAsia="en-AU"/>
        </w:rPr>
        <w:t xml:space="preserve"> item in the </w:t>
      </w:r>
      <w:r w:rsidRPr="00D77899">
        <w:rPr>
          <w:rFonts w:ascii="Times New Roman" w:eastAsia="Times New Roman" w:hAnsi="Times New Roman" w:cs="Times New Roman"/>
          <w:i/>
          <w:iCs/>
          <w:sz w:val="24"/>
          <w:szCs w:val="24"/>
          <w:lang w:eastAsia="en-AU"/>
        </w:rPr>
        <w:t>Public TGA Information</w:t>
      </w:r>
      <w:r w:rsidRPr="00D77899">
        <w:rPr>
          <w:rFonts w:ascii="Times New Roman" w:eastAsia="Times New Roman" w:hAnsi="Times New Roman" w:cs="Times New Roman"/>
          <w:sz w:val="24"/>
          <w:szCs w:val="24"/>
          <w:lang w:eastAsia="en-AU"/>
        </w:rPr>
        <w:t xml:space="preserve"> menu in TGA eBusiness Services. </w:t>
      </w:r>
      <w:r w:rsidR="001A786B" w:rsidRPr="00D77899">
        <w:rPr>
          <w:rFonts w:ascii="Times New Roman" w:eastAsia="Times New Roman" w:hAnsi="Times New Roman" w:cs="Times New Roman"/>
          <w:sz w:val="24"/>
          <w:szCs w:val="24"/>
          <w:lang w:eastAsia="en-AU"/>
        </w:rPr>
        <w:t>‘</w:t>
      </w:r>
      <w:r w:rsidRPr="00D77899">
        <w:rPr>
          <w:rFonts w:ascii="Times New Roman" w:eastAsia="Times New Roman" w:hAnsi="Times New Roman" w:cs="Times New Roman"/>
          <w:sz w:val="24"/>
          <w:szCs w:val="24"/>
          <w:lang w:eastAsia="en-AU"/>
        </w:rPr>
        <w:t>TGA eBusiness Services</w:t>
      </w:r>
      <w:r w:rsidR="001A786B" w:rsidRPr="00D77899">
        <w:rPr>
          <w:rFonts w:ascii="Times New Roman" w:eastAsia="Times New Roman" w:hAnsi="Times New Roman" w:cs="Times New Roman"/>
          <w:sz w:val="24"/>
          <w:szCs w:val="24"/>
          <w:lang w:eastAsia="en-AU"/>
        </w:rPr>
        <w:t>’</w:t>
      </w:r>
      <w:r w:rsidRPr="00D77899">
        <w:rPr>
          <w:rFonts w:ascii="Times New Roman" w:eastAsia="Times New Roman" w:hAnsi="Times New Roman" w:cs="Times New Roman"/>
          <w:sz w:val="24"/>
          <w:szCs w:val="24"/>
          <w:lang w:eastAsia="en-AU"/>
        </w:rPr>
        <w:t xml:space="preserve"> </w:t>
      </w:r>
      <w:r w:rsidR="001A786B" w:rsidRPr="00D77899">
        <w:rPr>
          <w:rFonts w:ascii="Times New Roman" w:eastAsia="Times New Roman" w:hAnsi="Times New Roman" w:cs="Times New Roman"/>
          <w:sz w:val="24"/>
          <w:szCs w:val="24"/>
          <w:lang w:eastAsia="en-AU"/>
        </w:rPr>
        <w:t>is defined as meaning</w:t>
      </w:r>
      <w:r w:rsidRPr="00D77899">
        <w:rPr>
          <w:rFonts w:ascii="Times New Roman" w:eastAsia="Times New Roman" w:hAnsi="Times New Roman" w:cs="Times New Roman"/>
          <w:sz w:val="24"/>
          <w:szCs w:val="24"/>
          <w:lang w:eastAsia="en-AU"/>
        </w:rPr>
        <w:t xml:space="preserve"> TGA eBusiness Services on the Therapeutic Goods Administration website, which may be accessed on the internet at www.ebs.tga.gov.au.</w:t>
      </w:r>
      <w:r w:rsidR="001A786B" w:rsidRPr="00D77899">
        <w:rPr>
          <w:rFonts w:ascii="Times New Roman" w:eastAsia="Times New Roman" w:hAnsi="Times New Roman" w:cs="Times New Roman"/>
          <w:sz w:val="24"/>
          <w:szCs w:val="24"/>
          <w:lang w:eastAsia="en-AU"/>
        </w:rPr>
        <w:t xml:space="preserve"> </w:t>
      </w:r>
      <w:r w:rsidR="002C0561" w:rsidRPr="00D77899">
        <w:rPr>
          <w:rFonts w:ascii="Times New Roman" w:eastAsia="Times New Roman" w:hAnsi="Times New Roman" w:cs="Times New Roman"/>
          <w:sz w:val="24"/>
          <w:szCs w:val="24"/>
          <w:lang w:eastAsia="en-AU"/>
        </w:rPr>
        <w:t>Both t</w:t>
      </w:r>
      <w:r w:rsidR="001A786B" w:rsidRPr="00D77899">
        <w:rPr>
          <w:rFonts w:ascii="Times New Roman" w:eastAsia="Times New Roman" w:hAnsi="Times New Roman" w:cs="Times New Roman"/>
          <w:sz w:val="24"/>
          <w:szCs w:val="24"/>
          <w:lang w:eastAsia="en-AU"/>
        </w:rPr>
        <w:t>he code tables accessed in TGA eBusiness Services</w:t>
      </w:r>
      <w:r w:rsidR="002C0561" w:rsidRPr="00D77899">
        <w:rPr>
          <w:rFonts w:ascii="Times New Roman" w:eastAsia="Times New Roman" w:hAnsi="Times New Roman" w:cs="Times New Roman"/>
          <w:sz w:val="24"/>
          <w:szCs w:val="24"/>
          <w:lang w:eastAsia="en-AU"/>
        </w:rPr>
        <w:t>, and the TGA eBusiness Services,</w:t>
      </w:r>
      <w:r w:rsidR="001A786B" w:rsidRPr="00D77899">
        <w:rPr>
          <w:rFonts w:ascii="Times New Roman" w:eastAsia="Times New Roman" w:hAnsi="Times New Roman" w:cs="Times New Roman"/>
          <w:sz w:val="24"/>
          <w:szCs w:val="24"/>
          <w:lang w:eastAsia="en-AU"/>
        </w:rPr>
        <w:t xml:space="preserve"> are incorporated as in force or existing from time to time, </w:t>
      </w:r>
      <w:r w:rsidR="001A786B" w:rsidRPr="00D77899">
        <w:rPr>
          <w:rFonts w:ascii="Times New Roman" w:hAnsi="Times New Roman" w:cs="Times New Roman"/>
          <w:sz w:val="24"/>
          <w:szCs w:val="24"/>
        </w:rPr>
        <w:t xml:space="preserve">as permitted by subsection 26BB(8) of the Act. They are </w:t>
      </w:r>
      <w:r w:rsidR="002C0561" w:rsidRPr="00D77899">
        <w:rPr>
          <w:rFonts w:ascii="Times New Roman" w:hAnsi="Times New Roman" w:cs="Times New Roman"/>
          <w:sz w:val="24"/>
          <w:szCs w:val="24"/>
        </w:rPr>
        <w:t xml:space="preserve">both </w:t>
      </w:r>
      <w:r w:rsidR="001A786B" w:rsidRPr="00D77899">
        <w:rPr>
          <w:rFonts w:ascii="Times New Roman" w:hAnsi="Times New Roman" w:cs="Times New Roman"/>
          <w:sz w:val="24"/>
          <w:szCs w:val="24"/>
        </w:rPr>
        <w:t>freely available from the TGA website.</w:t>
      </w:r>
    </w:p>
    <w:p w14:paraId="4BAEFBF6" w14:textId="77777777" w:rsidR="003034B3" w:rsidRPr="00D77899" w:rsidRDefault="003034B3" w:rsidP="001A7C14">
      <w:pPr>
        <w:autoSpaceDE w:val="0"/>
        <w:autoSpaceDN w:val="0"/>
        <w:adjustRightInd w:val="0"/>
        <w:spacing w:after="0"/>
        <w:rPr>
          <w:rFonts w:ascii="Times New Roman" w:eastAsia="Times New Roman" w:hAnsi="Times New Roman" w:cs="Times New Roman"/>
          <w:sz w:val="24"/>
          <w:szCs w:val="24"/>
          <w:lang w:eastAsia="en-AU"/>
        </w:rPr>
      </w:pPr>
    </w:p>
    <w:p w14:paraId="69313021" w14:textId="201DA6DB" w:rsidR="0050197A" w:rsidRPr="00D77899" w:rsidRDefault="0050197A" w:rsidP="001A7C14">
      <w:pPr>
        <w:autoSpaceDE w:val="0"/>
        <w:autoSpaceDN w:val="0"/>
        <w:adjustRightInd w:val="0"/>
        <w:spacing w:after="0"/>
        <w:rPr>
          <w:rFonts w:ascii="Times New Roman" w:hAnsi="Times New Roman" w:cs="Times New Roman"/>
          <w:sz w:val="24"/>
          <w:szCs w:val="24"/>
        </w:rPr>
      </w:pPr>
      <w:r w:rsidRPr="00D77899">
        <w:rPr>
          <w:rFonts w:ascii="Times New Roman" w:hAnsi="Times New Roman" w:cs="Times New Roman"/>
          <w:sz w:val="24"/>
          <w:szCs w:val="24"/>
          <w:lang w:eastAsia="en-AU"/>
        </w:rPr>
        <w:t>While unfortunately the pharmacopoeia and the FCC are not available for free, it is anticipated that the persons most affected by their adoption in this Determination (sponsors of medicines included in the Register and other interested persons in the medicines industry using the Determination), would be in possession of these documents in order to manufacture medicines or ingredients.</w:t>
      </w:r>
      <w:r w:rsidR="00E60C26" w:rsidRPr="00D77899">
        <w:rPr>
          <w:rFonts w:ascii="Times New Roman" w:hAnsi="Times New Roman" w:cs="Times New Roman"/>
          <w:sz w:val="24"/>
          <w:szCs w:val="24"/>
        </w:rPr>
        <w:t xml:space="preserve"> </w:t>
      </w:r>
      <w:r w:rsidRPr="00D77899">
        <w:rPr>
          <w:rFonts w:ascii="Times New Roman" w:hAnsi="Times New Roman" w:cs="Times New Roman"/>
          <w:sz w:val="24"/>
          <w:szCs w:val="24"/>
        </w:rPr>
        <w:t>As important international benchmarks for the safety and quality of therapeutic goods, it would be infeasible from a regulatory perspective (particularly in relation to the safety of listed medicines that are not, for the most part, evaluated before being given marketing approval) to not adopt such benchmarks on the basis that the publications are not available for free.</w:t>
      </w:r>
    </w:p>
    <w:p w14:paraId="5988E2FA" w14:textId="77777777" w:rsidR="005B70D2" w:rsidRPr="00D77899" w:rsidRDefault="005B70D2" w:rsidP="001A7C14">
      <w:pPr>
        <w:autoSpaceDE w:val="0"/>
        <w:autoSpaceDN w:val="0"/>
        <w:adjustRightInd w:val="0"/>
        <w:spacing w:after="0"/>
        <w:rPr>
          <w:rFonts w:ascii="Times New Roman" w:hAnsi="Times New Roman" w:cs="Times New Roman"/>
          <w:sz w:val="24"/>
          <w:szCs w:val="24"/>
        </w:rPr>
      </w:pPr>
    </w:p>
    <w:p w14:paraId="350BBCA7" w14:textId="422AD208" w:rsidR="00E715AB" w:rsidRPr="00D77899" w:rsidRDefault="00E715AB" w:rsidP="001A7C14">
      <w:pPr>
        <w:autoSpaceDE w:val="0"/>
        <w:autoSpaceDN w:val="0"/>
        <w:adjustRightInd w:val="0"/>
        <w:spacing w:after="0"/>
        <w:rPr>
          <w:rFonts w:ascii="Times New Roman" w:hAnsi="Times New Roman" w:cs="Times New Roman"/>
          <w:sz w:val="24"/>
          <w:szCs w:val="24"/>
        </w:rPr>
      </w:pPr>
      <w:r w:rsidRPr="00D77899">
        <w:rPr>
          <w:rFonts w:ascii="Times New Roman" w:hAnsi="Times New Roman" w:cs="Times New Roman"/>
          <w:sz w:val="24"/>
          <w:szCs w:val="24"/>
        </w:rPr>
        <w:t xml:space="preserve">However, by prior written arrangement with the TGA, members of the public may </w:t>
      </w:r>
      <w:r w:rsidR="00E9229B" w:rsidRPr="00D77899">
        <w:rPr>
          <w:rFonts w:ascii="Times New Roman" w:hAnsi="Times New Roman" w:cs="Times New Roman"/>
          <w:sz w:val="24"/>
          <w:szCs w:val="24"/>
        </w:rPr>
        <w:t>arrange</w:t>
      </w:r>
      <w:r w:rsidRPr="00D77899">
        <w:rPr>
          <w:rFonts w:ascii="Times New Roman" w:hAnsi="Times New Roman" w:cs="Times New Roman"/>
          <w:sz w:val="24"/>
          <w:szCs w:val="24"/>
        </w:rPr>
        <w:t xml:space="preserve"> to view the pharmacopoeia and the FCC without charge at the TGA office in</w:t>
      </w:r>
      <w:r w:rsidR="00776305" w:rsidRPr="00D77899">
        <w:rPr>
          <w:rFonts w:ascii="Times New Roman" w:hAnsi="Times New Roman" w:cs="Times New Roman"/>
          <w:sz w:val="24"/>
          <w:szCs w:val="24"/>
        </w:rPr>
        <w:t xml:space="preserve"> Fairbairn</w:t>
      </w:r>
      <w:r w:rsidRPr="00D77899">
        <w:rPr>
          <w:rFonts w:ascii="Times New Roman" w:hAnsi="Times New Roman" w:cs="Times New Roman"/>
          <w:sz w:val="24"/>
          <w:szCs w:val="24"/>
        </w:rPr>
        <w:t>, ACT.</w:t>
      </w:r>
    </w:p>
    <w:p w14:paraId="6FDE1CA2" w14:textId="77777777" w:rsidR="005B70D2" w:rsidRPr="00D77899" w:rsidRDefault="005B70D2" w:rsidP="001A7C14">
      <w:pPr>
        <w:autoSpaceDE w:val="0"/>
        <w:autoSpaceDN w:val="0"/>
        <w:adjustRightInd w:val="0"/>
        <w:spacing w:after="0"/>
        <w:rPr>
          <w:rFonts w:ascii="Times New Roman" w:hAnsi="Times New Roman" w:cs="Times New Roman"/>
          <w:sz w:val="24"/>
          <w:szCs w:val="24"/>
        </w:rPr>
      </w:pPr>
    </w:p>
    <w:p w14:paraId="1F1060FE" w14:textId="5D402C66" w:rsidR="0050197A" w:rsidRPr="00D77899" w:rsidRDefault="0050197A" w:rsidP="001A7C14">
      <w:pPr>
        <w:autoSpaceDE w:val="0"/>
        <w:autoSpaceDN w:val="0"/>
        <w:adjustRightInd w:val="0"/>
        <w:spacing w:after="0"/>
        <w:rPr>
          <w:rFonts w:ascii="Times New Roman" w:hAnsi="Times New Roman" w:cs="Times New Roman"/>
          <w:sz w:val="24"/>
          <w:szCs w:val="24"/>
        </w:rPr>
      </w:pPr>
      <w:r w:rsidRPr="00D77899">
        <w:rPr>
          <w:rFonts w:ascii="Times New Roman" w:hAnsi="Times New Roman" w:cs="Times New Roman"/>
          <w:sz w:val="24"/>
          <w:szCs w:val="24"/>
        </w:rPr>
        <w:t>It should also be noted</w:t>
      </w:r>
      <w:r w:rsidR="00DC56A0" w:rsidRPr="00D77899">
        <w:rPr>
          <w:rFonts w:ascii="Times New Roman" w:hAnsi="Times New Roman" w:cs="Times New Roman"/>
          <w:sz w:val="24"/>
          <w:szCs w:val="24"/>
        </w:rPr>
        <w:t>, in relation to the pharmacopoeia,</w:t>
      </w:r>
      <w:r w:rsidRPr="00D77899">
        <w:rPr>
          <w:rFonts w:ascii="Times New Roman" w:hAnsi="Times New Roman" w:cs="Times New Roman"/>
          <w:sz w:val="24"/>
          <w:szCs w:val="24"/>
        </w:rPr>
        <w:t xml:space="preserve"> that the National Library’s Trove online system (</w:t>
      </w:r>
      <w:r w:rsidR="003C1CDB" w:rsidRPr="00D77899">
        <w:rPr>
          <w:rFonts w:ascii="Times New Roman" w:hAnsi="Times New Roman" w:cs="Times New Roman"/>
          <w:sz w:val="24"/>
          <w:szCs w:val="24"/>
        </w:rPr>
        <w:t>www.trove.nla.gov.au/</w:t>
      </w:r>
      <w:r w:rsidRPr="00D77899">
        <w:rPr>
          <w:rFonts w:ascii="Times New Roman" w:hAnsi="Times New Roman" w:cs="Times New Roman"/>
          <w:sz w:val="24"/>
          <w:szCs w:val="24"/>
        </w:rPr>
        <w:t xml:space="preserve">) allows users to identify libraries in Australia that are </w:t>
      </w:r>
      <w:r w:rsidRPr="00D77899">
        <w:rPr>
          <w:rFonts w:ascii="Times New Roman" w:hAnsi="Times New Roman" w:cs="Times New Roman"/>
          <w:sz w:val="24"/>
          <w:szCs w:val="24"/>
        </w:rPr>
        <w:lastRenderedPageBreak/>
        <w:t>open to the public where editions (in most cases, earlier editions) of the pharmacopoeia may be viewed (for example, the University of Tasmania or the University of Western Australia in relation to the British Pharmacopoeia).</w:t>
      </w:r>
      <w:r w:rsidR="00E60C26" w:rsidRPr="00D77899">
        <w:rPr>
          <w:rFonts w:ascii="Times New Roman" w:hAnsi="Times New Roman" w:cs="Times New Roman"/>
          <w:sz w:val="24"/>
          <w:szCs w:val="24"/>
        </w:rPr>
        <w:t xml:space="preserve"> </w:t>
      </w:r>
      <w:r w:rsidRPr="00D77899">
        <w:rPr>
          <w:rFonts w:ascii="Times New Roman" w:hAnsi="Times New Roman" w:cs="Times New Roman"/>
          <w:sz w:val="24"/>
          <w:szCs w:val="24"/>
        </w:rPr>
        <w:t>Members of the public may also approach any library that participates in inter-library loans with those university libraries to request an inter-library loan, or to obtain a photocopy of a particular part or monograph for personal study or research (but not for commercial purposes)</w:t>
      </w:r>
      <w:r w:rsidR="003034B3" w:rsidRPr="00D77899">
        <w:rPr>
          <w:rFonts w:ascii="Times New Roman" w:hAnsi="Times New Roman" w:cs="Times New Roman"/>
          <w:sz w:val="24"/>
          <w:szCs w:val="24"/>
        </w:rPr>
        <w:t>. Fees apply in relation to the making of such a request.</w:t>
      </w:r>
      <w:r w:rsidRPr="00D77899">
        <w:rPr>
          <w:rFonts w:ascii="Times New Roman" w:hAnsi="Times New Roman" w:cs="Times New Roman"/>
          <w:sz w:val="24"/>
          <w:szCs w:val="24"/>
        </w:rPr>
        <w:t xml:space="preserve"> </w:t>
      </w:r>
      <w:r w:rsidR="003034B3" w:rsidRPr="00D77899">
        <w:rPr>
          <w:rFonts w:ascii="Times New Roman" w:hAnsi="Times New Roman" w:cs="Times New Roman"/>
          <w:sz w:val="24"/>
          <w:szCs w:val="24"/>
        </w:rPr>
        <w:t>E</w:t>
      </w:r>
      <w:r w:rsidRPr="00D77899">
        <w:rPr>
          <w:rFonts w:ascii="Times New Roman" w:hAnsi="Times New Roman" w:cs="Times New Roman"/>
          <w:sz w:val="24"/>
          <w:szCs w:val="24"/>
        </w:rPr>
        <w:t>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8"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C96F02F"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0ECA97ED"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 xml:space="preserve">and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on</w:t>
      </w:r>
      <w:r w:rsidR="0092199C">
        <w:rPr>
          <w:rFonts w:ascii="Times New Roman" w:hAnsi="Times New Roman" w:cs="Times New Roman"/>
          <w:sz w:val="24"/>
          <w:szCs w:val="24"/>
        </w:rPr>
        <w:t xml:space="preserve"> 3 July 2023</w:t>
      </w:r>
      <w:r w:rsidR="00FE52D9">
        <w:rPr>
          <w:rFonts w:ascii="Times New Roman" w:hAnsi="Times New Roman" w:cs="Times New Roman"/>
          <w:sz w:val="24"/>
          <w:szCs w:val="24"/>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0D330F5B"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92199C">
        <w:rPr>
          <w:rFonts w:ascii="Times New Roman" w:eastAsia="Times New Roman" w:hAnsi="Times New Roman" w:cs="Times New Roman"/>
          <w:b/>
          <w:i/>
          <w:sz w:val="24"/>
          <w:szCs w:val="24"/>
          <w:lang w:eastAsia="en-AU"/>
        </w:rPr>
        <w:t>3</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C41257">
        <w:rPr>
          <w:rFonts w:ascii="Times New Roman" w:eastAsia="Times New Roman" w:hAnsi="Times New Roman" w:cs="Times New Roman"/>
          <w:b/>
          <w:i/>
          <w:sz w:val="24"/>
          <w:szCs w:val="24"/>
          <w:lang w:eastAsia="en-AU"/>
        </w:rPr>
        <w:t>3</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7AE0DFA3"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CC61DF">
        <w:rPr>
          <w:rFonts w:ascii="Times New Roman" w:eastAsia="Times New Roman" w:hAnsi="Times New Roman" w:cs="Times New Roman"/>
          <w:i/>
          <w:sz w:val="24"/>
          <w:szCs w:val="24"/>
          <w:lang w:eastAsia="en-AU"/>
        </w:rPr>
        <w:t>3</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97F8F">
        <w:rPr>
          <w:rFonts w:ascii="Times New Roman" w:eastAsia="Times New Roman" w:hAnsi="Times New Roman" w:cs="Times New Roman"/>
          <w:i/>
          <w:sz w:val="24"/>
          <w:szCs w:val="24"/>
          <w:lang w:eastAsia="en-AU"/>
        </w:rPr>
        <w:t>3</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6277F442"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on</w:t>
      </w:r>
      <w:r w:rsidR="00FE52D9">
        <w:rPr>
          <w:rFonts w:ascii="Times New Roman" w:eastAsia="Times New Roman" w:hAnsi="Times New Roman" w:cs="Times New Roman"/>
          <w:sz w:val="24"/>
          <w:szCs w:val="24"/>
          <w:lang w:eastAsia="en-AU"/>
        </w:rPr>
        <w:t xml:space="preserve"> </w:t>
      </w:r>
      <w:r w:rsidR="0092199C">
        <w:rPr>
          <w:rFonts w:ascii="Times New Roman" w:eastAsia="Times New Roman" w:hAnsi="Times New Roman" w:cs="Times New Roman"/>
          <w:sz w:val="24"/>
          <w:szCs w:val="24"/>
          <w:lang w:eastAsia="en-AU"/>
        </w:rPr>
        <w:t xml:space="preserve">3 July </w:t>
      </w:r>
      <w:r w:rsidR="00D61505">
        <w:rPr>
          <w:rFonts w:ascii="Times New Roman" w:eastAsia="Times New Roman" w:hAnsi="Times New Roman" w:cs="Times New Roman"/>
          <w:sz w:val="24"/>
          <w:szCs w:val="24"/>
          <w:lang w:eastAsia="en-AU"/>
        </w:rPr>
        <w:t>2023</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48A3233C"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The note to this section also makes it clear that a number of expressions used in the Determination have the same meaning as in the Act, </w:t>
      </w:r>
      <w:r w:rsidR="00012FF5">
        <w:rPr>
          <w:rFonts w:ascii="Times New Roman" w:eastAsia="Times New Roman" w:hAnsi="Times New Roman" w:cs="Times New Roman"/>
          <w:sz w:val="24"/>
          <w:szCs w:val="24"/>
          <w:lang w:eastAsia="en-AU"/>
        </w:rPr>
        <w:t>including</w:t>
      </w:r>
      <w:r w:rsidRPr="0091180B">
        <w:rPr>
          <w:rFonts w:ascii="Times New Roman" w:eastAsia="Times New Roman" w:hAnsi="Times New Roman" w:cs="Times New Roman"/>
          <w:sz w:val="24"/>
          <w:szCs w:val="24"/>
          <w:lang w:eastAsia="en-AU"/>
        </w:rPr>
        <w:t xml:space="preserv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840BD3F"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24C8228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Permissible ingredients</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3588FFA2"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These include, for example, that the </w:t>
      </w:r>
      <w:r>
        <w:rPr>
          <w:rFonts w:ascii="Times New Roman" w:eastAsia="Times New Roman" w:hAnsi="Times New Roman" w:cs="Times New Roman"/>
          <w:sz w:val="24"/>
          <w:szCs w:val="24"/>
          <w:lang w:eastAsia="en-AU"/>
        </w:rPr>
        <w:lastRenderedPageBreak/>
        <w:t>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2EE27EF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00410762">
        <w:rPr>
          <w:rFonts w:ascii="Times New Roman" w:eastAsia="Times New Roman" w:hAnsi="Times New Roman" w:cs="Times New Roman"/>
          <w:sz w:val="24"/>
          <w:szCs w:val="24"/>
          <w:lang w:eastAsia="en-AU"/>
        </w:rPr>
        <w:t xml:space="preserve">the </w:t>
      </w:r>
      <w:r w:rsidR="00410762" w:rsidRPr="00CA2F70">
        <w:rPr>
          <w:rFonts w:ascii="Times New Roman" w:eastAsia="Times New Roman" w:hAnsi="Times New Roman" w:cs="Times New Roman"/>
          <w:i/>
          <w:iCs/>
          <w:sz w:val="24"/>
          <w:szCs w:val="24"/>
          <w:lang w:eastAsia="en-AU"/>
        </w:rPr>
        <w:t>Therapeutic Goods (Permissible Ingredients) Determination (No. </w:t>
      </w:r>
      <w:r w:rsidR="00CC61DF">
        <w:rPr>
          <w:rFonts w:ascii="Times New Roman" w:eastAsia="Times New Roman" w:hAnsi="Times New Roman" w:cs="Times New Roman"/>
          <w:i/>
          <w:iCs/>
          <w:sz w:val="24"/>
          <w:szCs w:val="24"/>
          <w:lang w:eastAsia="en-AU"/>
        </w:rPr>
        <w:t>2</w:t>
      </w:r>
      <w:r w:rsidR="00410762" w:rsidRPr="00CA2F70">
        <w:rPr>
          <w:rFonts w:ascii="Times New Roman" w:eastAsia="Times New Roman" w:hAnsi="Times New Roman" w:cs="Times New Roman"/>
          <w:i/>
          <w:iCs/>
          <w:sz w:val="24"/>
          <w:szCs w:val="24"/>
          <w:lang w:eastAsia="en-AU"/>
        </w:rPr>
        <w:t>) 20</w:t>
      </w:r>
      <w:r w:rsidR="00410762">
        <w:rPr>
          <w:rFonts w:ascii="Times New Roman" w:eastAsia="Times New Roman" w:hAnsi="Times New Roman" w:cs="Times New Roman"/>
          <w:i/>
          <w:iCs/>
          <w:sz w:val="24"/>
          <w:szCs w:val="24"/>
          <w:lang w:eastAsia="en-AU"/>
        </w:rPr>
        <w:t>2</w:t>
      </w:r>
      <w:r w:rsidR="00BD6E24">
        <w:rPr>
          <w:rFonts w:ascii="Times New Roman" w:eastAsia="Times New Roman" w:hAnsi="Times New Roman" w:cs="Times New Roman"/>
          <w:i/>
          <w:iCs/>
          <w:sz w:val="24"/>
          <w:szCs w:val="24"/>
          <w:lang w:eastAsia="en-AU"/>
        </w:rPr>
        <w:t>3</w:t>
      </w:r>
      <w:r w:rsidR="00444DEC">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is repealed.</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43DB472" w14:textId="12B8B4D3" w:rsidR="0036611B" w:rsidRPr="00607014"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52FDCCC1" w:rsidR="00510EB5" w:rsidRDefault="00EF1F18" w:rsidP="00510EB5">
      <w:pPr>
        <w:spacing w:after="0"/>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422D8E4A"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92199C">
        <w:rPr>
          <w:rFonts w:ascii="Times New Roman" w:eastAsia="Times New Roman" w:hAnsi="Times New Roman" w:cs="Times New Roman"/>
          <w:b/>
          <w:i/>
          <w:sz w:val="24"/>
          <w:szCs w:val="24"/>
          <w:lang w:eastAsia="en-AU"/>
        </w:rPr>
        <w:t>3</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C41257">
        <w:rPr>
          <w:rFonts w:ascii="Times New Roman" w:eastAsia="Times New Roman" w:hAnsi="Times New Roman" w:cs="Times New Roman"/>
          <w:b/>
          <w:i/>
          <w:sz w:val="24"/>
          <w:szCs w:val="24"/>
          <w:lang w:eastAsia="en-AU"/>
        </w:rPr>
        <w:t>3</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68B88E70"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92199C">
        <w:rPr>
          <w:rFonts w:ascii="Times New Roman" w:eastAsia="Times New Roman" w:hAnsi="Times New Roman" w:cs="Times New Roman"/>
          <w:i/>
          <w:sz w:val="24"/>
          <w:szCs w:val="24"/>
          <w:lang w:eastAsia="en-AU"/>
        </w:rPr>
        <w:t>3</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C41257">
        <w:rPr>
          <w:rFonts w:ascii="Times New Roman" w:eastAsia="Times New Roman" w:hAnsi="Times New Roman" w:cs="Times New Roman"/>
          <w:i/>
          <w:sz w:val="24"/>
          <w:szCs w:val="24"/>
          <w:lang w:eastAsia="en-AU"/>
        </w:rPr>
        <w:t>3</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0B3D4B90"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ngredients) Determination (No.</w:t>
      </w:r>
      <w:r w:rsidR="00DC4241">
        <w:rPr>
          <w:rFonts w:ascii="Times New Roman" w:eastAsia="Times New Roman" w:hAnsi="Times New Roman" w:cs="Times New Roman"/>
          <w:i/>
          <w:iCs/>
          <w:sz w:val="24"/>
          <w:szCs w:val="24"/>
          <w:lang w:eastAsia="en-AU"/>
        </w:rPr>
        <w:t xml:space="preserve"> </w:t>
      </w:r>
      <w:r w:rsidR="0092199C">
        <w:rPr>
          <w:rFonts w:ascii="Times New Roman" w:eastAsia="Times New Roman" w:hAnsi="Times New Roman" w:cs="Times New Roman"/>
          <w:i/>
          <w:iCs/>
          <w:sz w:val="24"/>
          <w:szCs w:val="24"/>
          <w:lang w:eastAsia="en-AU"/>
        </w:rPr>
        <w:t>2</w:t>
      </w:r>
      <w:r w:rsidRPr="00D731D4">
        <w:rPr>
          <w:rFonts w:ascii="Times New Roman" w:eastAsia="Times New Roman" w:hAnsi="Times New Roman" w:cs="Times New Roman"/>
          <w:i/>
          <w:iCs/>
          <w:sz w:val="24"/>
          <w:szCs w:val="24"/>
          <w:lang w:eastAsia="en-AU"/>
        </w:rPr>
        <w:t xml:space="preserve">) </w:t>
      </w:r>
      <w:r w:rsidR="00D61505">
        <w:rPr>
          <w:rFonts w:ascii="Times New Roman" w:eastAsia="Times New Roman" w:hAnsi="Times New Roman" w:cs="Times New Roman"/>
          <w:i/>
          <w:iCs/>
          <w:sz w:val="24"/>
          <w:szCs w:val="24"/>
          <w:lang w:eastAsia="en-AU"/>
        </w:rPr>
        <w:t>2023</w:t>
      </w:r>
      <w:r w:rsidR="004C0638"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5EB3451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they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w:t>
      </w:r>
      <w:proofErr w:type="gramStart"/>
      <w:r w:rsidRPr="00D731D4">
        <w:rPr>
          <w:rFonts w:ascii="Times New Roman" w:eastAsia="Times New Roman" w:hAnsi="Times New Roman" w:cs="Times New Roman"/>
          <w:sz w:val="24"/>
          <w:szCs w:val="24"/>
          <w:lang w:eastAsia="en-AU"/>
        </w:rPr>
        <w:t>medicines’</w:t>
      </w:r>
      <w:proofErr w:type="gramEnd"/>
      <w:r w:rsidRPr="00D731D4">
        <w:rPr>
          <w:rFonts w:ascii="Times New Roman" w:eastAsia="Times New Roman" w:hAnsi="Times New Roman" w:cs="Times New Roman"/>
          <w:sz w:val="24"/>
          <w:szCs w:val="24"/>
          <w:lang w:eastAsia="en-AU"/>
        </w:rPr>
        <w:t>.</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4049C2B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2DB4E8D5"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Under paragraphs 26A(2)(ca) and (</w:t>
      </w:r>
      <w:proofErr w:type="spellStart"/>
      <w:r w:rsidRPr="00D731D4">
        <w:rPr>
          <w:rFonts w:ascii="Times New Roman" w:eastAsia="Times New Roman" w:hAnsi="Times New Roman" w:cs="Times New Roman"/>
          <w:sz w:val="24"/>
          <w:szCs w:val="24"/>
          <w:lang w:eastAsia="en-AU"/>
        </w:rPr>
        <w:t>cb</w:t>
      </w:r>
      <w:proofErr w:type="spellEnd"/>
      <w:r w:rsidRPr="00D731D4">
        <w:rPr>
          <w:rFonts w:ascii="Times New Roman" w:eastAsia="Times New Roman" w:hAnsi="Times New Roman" w:cs="Times New Roman"/>
          <w:sz w:val="24"/>
          <w:szCs w:val="24"/>
          <w:lang w:eastAsia="en-AU"/>
        </w:rPr>
        <w:t>)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Paragraphs 26AB(2)(d) and (e) set out equivalent certification requirements for applicants seeking marketing approval for an assessed listed medicine.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105502F5"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285F20BC" w:rsidR="00D731D4" w:rsidRPr="00D731D4" w:rsidRDefault="00D731D4" w:rsidP="00AB76CE">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requirements imposed under the instrument principally relate to ensuring the quality and safety of the ingredient when used.</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EE544B">
      <w:pPr>
        <w:pStyle w:val="ListParagraph"/>
        <w:numPr>
          <w:ilvl w:val="0"/>
          <w:numId w:val="12"/>
        </w:numPr>
        <w:autoSpaceDE w:val="0"/>
        <w:autoSpaceDN w:val="0"/>
        <w:adjustRightInd w:val="0"/>
        <w:spacing w:before="120" w:beforeAutospacing="0" w:after="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BE8CE40" w14:textId="343874F8" w:rsidR="00D57DB9" w:rsidRDefault="00D57DB9" w:rsidP="00D57DB9">
      <w:pPr>
        <w:spacing w:after="0"/>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730BF13E" w14:textId="77777777" w:rsidR="000434F4" w:rsidRPr="0092199C" w:rsidRDefault="000434F4" w:rsidP="000434F4">
      <w:pPr>
        <w:pStyle w:val="ListParagraph"/>
        <w:numPr>
          <w:ilvl w:val="0"/>
          <w:numId w:val="11"/>
        </w:numPr>
        <w:spacing w:before="0" w:beforeAutospacing="0" w:after="120" w:afterAutospacing="0" w:line="276" w:lineRule="auto"/>
        <w:ind w:left="714" w:hanging="357"/>
        <w:contextualSpacing/>
      </w:pPr>
      <w:r>
        <w:t>A</w:t>
      </w:r>
      <w:r w:rsidRPr="0092199C">
        <w:t>ddition of the new ingredient</w:t>
      </w:r>
      <w:r>
        <w:t>,</w:t>
      </w:r>
      <w:r w:rsidRPr="0092199C">
        <w:t xml:space="preserve"> refined </w:t>
      </w:r>
      <w:r w:rsidRPr="00A6168A">
        <w:rPr>
          <w:i/>
          <w:iCs/>
        </w:rPr>
        <w:t>Buglossoides arvensis</w:t>
      </w:r>
      <w:r w:rsidRPr="0092199C">
        <w:t xml:space="preserve"> seed oil</w:t>
      </w:r>
      <w:r>
        <w:t>,</w:t>
      </w:r>
      <w:r w:rsidRPr="0092199C">
        <w:rPr>
          <w:color w:val="FF0000"/>
        </w:rPr>
        <w:t xml:space="preserve"> </w:t>
      </w:r>
      <w:r w:rsidRPr="0092199C">
        <w:t>for use in listed and assessed listed medicines;</w:t>
      </w:r>
    </w:p>
    <w:p w14:paraId="2C32CB84" w14:textId="77777777" w:rsidR="000434F4" w:rsidRPr="0092199C" w:rsidRDefault="000434F4" w:rsidP="000434F4">
      <w:pPr>
        <w:pStyle w:val="ListParagraph"/>
        <w:numPr>
          <w:ilvl w:val="0"/>
          <w:numId w:val="11"/>
        </w:numPr>
        <w:spacing w:before="0" w:beforeAutospacing="0" w:after="120" w:afterAutospacing="0" w:line="276" w:lineRule="auto"/>
        <w:ind w:left="714" w:hanging="357"/>
        <w:contextualSpacing/>
      </w:pPr>
      <w:r>
        <w:t>A</w:t>
      </w:r>
      <w:r w:rsidRPr="0092199C">
        <w:t>ddition of the new ingredient</w:t>
      </w:r>
      <w:r>
        <w:t>,</w:t>
      </w:r>
      <w:r w:rsidRPr="0092199C">
        <w:t xml:space="preserve"> chicken sternum cartilage powder</w:t>
      </w:r>
      <w:r>
        <w:t>,</w:t>
      </w:r>
      <w:r w:rsidRPr="0092199C">
        <w:rPr>
          <w:color w:val="FF0000"/>
        </w:rPr>
        <w:t xml:space="preserve"> </w:t>
      </w:r>
      <w:r w:rsidRPr="0092199C">
        <w:t>for use in listed and assessed listed medicines;</w:t>
      </w:r>
    </w:p>
    <w:p w14:paraId="33B64153" w14:textId="77777777" w:rsidR="000434F4" w:rsidRPr="0092199C" w:rsidRDefault="000434F4" w:rsidP="000434F4">
      <w:pPr>
        <w:pStyle w:val="ListParagraph"/>
        <w:numPr>
          <w:ilvl w:val="0"/>
          <w:numId w:val="11"/>
        </w:numPr>
        <w:spacing w:before="0" w:beforeAutospacing="0" w:after="120" w:afterAutospacing="0" w:line="276" w:lineRule="auto"/>
        <w:ind w:left="714" w:hanging="357"/>
        <w:contextualSpacing/>
      </w:pPr>
      <w:r>
        <w:t>C</w:t>
      </w:r>
      <w:r w:rsidRPr="0092199C">
        <w:t>orrection of a</w:t>
      </w:r>
      <w:r>
        <w:t xml:space="preserve"> minor typographical</w:t>
      </w:r>
      <w:r w:rsidRPr="0092199C">
        <w:t xml:space="preserve"> error in the wording of the restriction for the ingredient</w:t>
      </w:r>
      <w:r>
        <w:t>,</w:t>
      </w:r>
      <w:r w:rsidRPr="0092199C">
        <w:t xml:space="preserve"> violet leaf absolute, in relation to its use as a fragrance;</w:t>
      </w:r>
    </w:p>
    <w:p w14:paraId="71F4D3BB" w14:textId="710CE4DD" w:rsidR="000434F4" w:rsidRPr="0092199C" w:rsidRDefault="000434F4" w:rsidP="000434F4">
      <w:pPr>
        <w:pStyle w:val="ListParagraph"/>
        <w:numPr>
          <w:ilvl w:val="0"/>
          <w:numId w:val="11"/>
        </w:numPr>
      </w:pPr>
      <w:r>
        <w:rPr>
          <w:lang w:eastAsia="en-US"/>
        </w:rPr>
        <w:t>C</w:t>
      </w:r>
      <w:r w:rsidRPr="0092199C">
        <w:rPr>
          <w:lang w:eastAsia="en-US"/>
        </w:rPr>
        <w:t xml:space="preserve">orrection of the spelling for </w:t>
      </w:r>
      <w:r>
        <w:rPr>
          <w:lang w:eastAsia="en-US"/>
        </w:rPr>
        <w:t>the</w:t>
      </w:r>
      <w:r w:rsidRPr="0092199C">
        <w:rPr>
          <w:lang w:eastAsia="en-US"/>
        </w:rPr>
        <w:t xml:space="preserve"> </w:t>
      </w:r>
      <w:r>
        <w:rPr>
          <w:lang w:eastAsia="en-US"/>
        </w:rPr>
        <w:t xml:space="preserve">ingredient </w:t>
      </w:r>
      <w:r w:rsidRPr="0092199C">
        <w:t>“</w:t>
      </w:r>
      <w:r w:rsidRPr="0092199C">
        <w:rPr>
          <w:i/>
          <w:iCs/>
        </w:rPr>
        <w:t xml:space="preserve">Saccharomyces </w:t>
      </w:r>
      <w:proofErr w:type="spellStart"/>
      <w:r w:rsidRPr="0092199C">
        <w:rPr>
          <w:i/>
          <w:iCs/>
        </w:rPr>
        <w:t>cervisiae</w:t>
      </w:r>
      <w:proofErr w:type="spellEnd"/>
      <w:r w:rsidRPr="0092199C">
        <w:rPr>
          <w:i/>
          <w:iCs/>
        </w:rPr>
        <w:t xml:space="preserve"> polysaccharides</w:t>
      </w:r>
      <w:r w:rsidRPr="00483134">
        <w:t>”</w:t>
      </w:r>
      <w:r w:rsidRPr="0092199C">
        <w:t xml:space="preserve"> to </w:t>
      </w:r>
      <w:r w:rsidRPr="00483134">
        <w:t>“</w:t>
      </w:r>
      <w:r w:rsidRPr="0092199C">
        <w:rPr>
          <w:i/>
          <w:iCs/>
        </w:rPr>
        <w:t>Saccharomyces cerevisiae polysaccharides</w:t>
      </w:r>
      <w:r w:rsidR="007E3FD4" w:rsidRPr="00483134">
        <w:t>”</w:t>
      </w:r>
      <w:r w:rsidRPr="0082534D">
        <w:t>;</w:t>
      </w:r>
      <w:r w:rsidRPr="0092199C">
        <w:t xml:space="preserve"> and</w:t>
      </w:r>
    </w:p>
    <w:p w14:paraId="586BB12E" w14:textId="77777777" w:rsidR="000434F4" w:rsidRPr="0092199C" w:rsidRDefault="000434F4" w:rsidP="000434F4">
      <w:pPr>
        <w:pStyle w:val="ListParagraph"/>
        <w:numPr>
          <w:ilvl w:val="0"/>
          <w:numId w:val="11"/>
        </w:numPr>
        <w:spacing w:before="0" w:beforeAutospacing="0" w:after="120" w:afterAutospacing="0"/>
        <w:contextualSpacing/>
      </w:pPr>
      <w:r>
        <w:rPr>
          <w:lang w:eastAsia="en-US"/>
        </w:rPr>
        <w:t>R</w:t>
      </w:r>
      <w:r w:rsidRPr="0092199C">
        <w:rPr>
          <w:lang w:eastAsia="en-US"/>
        </w:rPr>
        <w:t xml:space="preserve">esolution of the duplicate ingredients, </w:t>
      </w:r>
      <w:r w:rsidRPr="0092199C">
        <w:t>“</w:t>
      </w:r>
      <w:proofErr w:type="spellStart"/>
      <w:r w:rsidRPr="0092199C">
        <w:t>Poloxamine</w:t>
      </w:r>
      <w:proofErr w:type="spellEnd"/>
      <w:r w:rsidRPr="0092199C">
        <w:t>” and “</w:t>
      </w:r>
      <w:proofErr w:type="spellStart"/>
      <w:r w:rsidRPr="0092199C">
        <w:t>Poloxamine</w:t>
      </w:r>
      <w:proofErr w:type="spellEnd"/>
      <w:r w:rsidRPr="0092199C">
        <w:t xml:space="preserve"> 1301”, into a single entry, “</w:t>
      </w:r>
      <w:proofErr w:type="spellStart"/>
      <w:r w:rsidRPr="0092199C">
        <w:t>Poloxamine</w:t>
      </w:r>
      <w:proofErr w:type="spellEnd"/>
      <w:r w:rsidRPr="0092199C">
        <w:t>”.</w:t>
      </w:r>
    </w:p>
    <w:p w14:paraId="268E731F" w14:textId="77777777" w:rsidR="00D61505" w:rsidRDefault="00D61505" w:rsidP="00D57DB9">
      <w:pPr>
        <w:spacing w:after="0"/>
        <w:rPr>
          <w:rFonts w:ascii="Times New Roman" w:eastAsia="Times New Roman" w:hAnsi="Times New Roman" w:cs="Times New Roman"/>
          <w:sz w:val="24"/>
          <w:szCs w:val="24"/>
          <w:lang w:eastAsia="en-AU"/>
        </w:rPr>
      </w:pPr>
    </w:p>
    <w:p w14:paraId="685A0A7D" w14:textId="0429FBDE"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lastRenderedPageBreak/>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5B7B51EA"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25025FDE"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The instrument takes positive steps to promote the right to health by ensuring the safety and quality of therapeutic goods that are listed medicines.</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498883DE"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xml:space="preserve">, and as they are usually available for self-selection by consumers without a requirement to first obtain the advice or prescription of a registered medical </w:t>
      </w:r>
      <w:r w:rsidR="0041360E">
        <w:rPr>
          <w:rFonts w:ascii="Times New Roman" w:hAnsi="Times New Roman" w:cs="Times New Roman"/>
          <w:sz w:val="24"/>
          <w:szCs w:val="24"/>
        </w:rPr>
        <w:t>practitioner</w:t>
      </w:r>
      <w:r>
        <w:rPr>
          <w:rFonts w:ascii="Times New Roman" w:hAnsi="Times New Roman" w:cs="Times New Roman"/>
          <w:sz w:val="24"/>
          <w:szCs w:val="24"/>
        </w:rPr>
        <w:t>,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63D98AB2" w14:textId="7B614214" w:rsidR="008C0845" w:rsidRDefault="00EF1F18" w:rsidP="00361A1D">
      <w:pPr>
        <w:spacing w:after="0"/>
        <w:contextualSpacing/>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sectPr w:rsidR="008C0845" w:rsidSect="00680B29">
      <w:footerReference w:type="default" r:id="rId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60A1" w14:textId="77777777" w:rsidR="0052737C" w:rsidRDefault="0052737C" w:rsidP="008939B1">
      <w:pPr>
        <w:spacing w:after="0" w:line="240" w:lineRule="auto"/>
      </w:pPr>
      <w:r>
        <w:separator/>
      </w:r>
    </w:p>
    <w:p w14:paraId="44B9C01A" w14:textId="77777777" w:rsidR="0052737C" w:rsidRDefault="0052737C"/>
  </w:endnote>
  <w:endnote w:type="continuationSeparator" w:id="0">
    <w:p w14:paraId="46583718" w14:textId="77777777" w:rsidR="0052737C" w:rsidRDefault="0052737C" w:rsidP="008939B1">
      <w:pPr>
        <w:spacing w:after="0" w:line="240" w:lineRule="auto"/>
      </w:pPr>
      <w:r>
        <w:continuationSeparator/>
      </w:r>
    </w:p>
    <w:p w14:paraId="41467846" w14:textId="77777777" w:rsidR="0052737C" w:rsidRDefault="00527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7552" w14:textId="77777777" w:rsidR="0052737C" w:rsidRDefault="0052737C" w:rsidP="008939B1">
      <w:pPr>
        <w:spacing w:after="0" w:line="240" w:lineRule="auto"/>
      </w:pPr>
      <w:r>
        <w:separator/>
      </w:r>
    </w:p>
    <w:p w14:paraId="5C948F59" w14:textId="77777777" w:rsidR="0052737C" w:rsidRDefault="0052737C"/>
  </w:footnote>
  <w:footnote w:type="continuationSeparator" w:id="0">
    <w:p w14:paraId="67163355" w14:textId="77777777" w:rsidR="0052737C" w:rsidRDefault="0052737C" w:rsidP="008939B1">
      <w:pPr>
        <w:spacing w:after="0" w:line="240" w:lineRule="auto"/>
      </w:pPr>
      <w:r>
        <w:continuationSeparator/>
      </w:r>
    </w:p>
    <w:p w14:paraId="59BC4128" w14:textId="77777777" w:rsidR="0052737C" w:rsidRDefault="005273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749"/>
    <w:multiLevelType w:val="hybridMultilevel"/>
    <w:tmpl w:val="FC282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873969"/>
    <w:multiLevelType w:val="hybridMultilevel"/>
    <w:tmpl w:val="7C8C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5C57F8"/>
    <w:multiLevelType w:val="hybridMultilevel"/>
    <w:tmpl w:val="C0E6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5967E0"/>
    <w:multiLevelType w:val="hybridMultilevel"/>
    <w:tmpl w:val="A490C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2276B7"/>
    <w:multiLevelType w:val="hybridMultilevel"/>
    <w:tmpl w:val="429E21B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8"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C64511"/>
    <w:multiLevelType w:val="hybridMultilevel"/>
    <w:tmpl w:val="E3EC8E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D8A34EE"/>
    <w:multiLevelType w:val="hybridMultilevel"/>
    <w:tmpl w:val="08924000"/>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4483CA4"/>
    <w:multiLevelType w:val="hybridMultilevel"/>
    <w:tmpl w:val="587C1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42"/>
  </w:num>
  <w:num w:numId="4">
    <w:abstractNumId w:val="2"/>
  </w:num>
  <w:num w:numId="5">
    <w:abstractNumId w:val="5"/>
  </w:num>
  <w:num w:numId="6">
    <w:abstractNumId w:val="15"/>
  </w:num>
  <w:num w:numId="7">
    <w:abstractNumId w:val="34"/>
  </w:num>
  <w:num w:numId="8">
    <w:abstractNumId w:val="29"/>
  </w:num>
  <w:num w:numId="9">
    <w:abstractNumId w:val="7"/>
  </w:num>
  <w:num w:numId="10">
    <w:abstractNumId w:val="19"/>
  </w:num>
  <w:num w:numId="11">
    <w:abstractNumId w:val="22"/>
  </w:num>
  <w:num w:numId="12">
    <w:abstractNumId w:val="43"/>
  </w:num>
  <w:num w:numId="13">
    <w:abstractNumId w:val="4"/>
  </w:num>
  <w:num w:numId="14">
    <w:abstractNumId w:val="3"/>
  </w:num>
  <w:num w:numId="15">
    <w:abstractNumId w:val="23"/>
  </w:num>
  <w:num w:numId="16">
    <w:abstractNumId w:val="10"/>
  </w:num>
  <w:num w:numId="17">
    <w:abstractNumId w:val="30"/>
  </w:num>
  <w:num w:numId="18">
    <w:abstractNumId w:val="40"/>
  </w:num>
  <w:num w:numId="19">
    <w:abstractNumId w:val="31"/>
  </w:num>
  <w:num w:numId="20">
    <w:abstractNumId w:val="20"/>
  </w:num>
  <w:num w:numId="21">
    <w:abstractNumId w:val="22"/>
  </w:num>
  <w:num w:numId="22">
    <w:abstractNumId w:val="12"/>
  </w:num>
  <w:num w:numId="23">
    <w:abstractNumId w:val="28"/>
  </w:num>
  <w:num w:numId="24">
    <w:abstractNumId w:val="8"/>
  </w:num>
  <w:num w:numId="25">
    <w:abstractNumId w:val="16"/>
  </w:num>
  <w:num w:numId="26">
    <w:abstractNumId w:val="14"/>
  </w:num>
  <w:num w:numId="27">
    <w:abstractNumId w:val="38"/>
  </w:num>
  <w:num w:numId="28">
    <w:abstractNumId w:val="36"/>
  </w:num>
  <w:num w:numId="29">
    <w:abstractNumId w:val="18"/>
  </w:num>
  <w:num w:numId="30">
    <w:abstractNumId w:val="37"/>
  </w:num>
  <w:num w:numId="31">
    <w:abstractNumId w:val="25"/>
  </w:num>
  <w:num w:numId="32">
    <w:abstractNumId w:val="1"/>
  </w:num>
  <w:num w:numId="33">
    <w:abstractNumId w:val="39"/>
  </w:num>
  <w:num w:numId="34">
    <w:abstractNumId w:val="9"/>
  </w:num>
  <w:num w:numId="35">
    <w:abstractNumId w:val="24"/>
  </w:num>
  <w:num w:numId="36">
    <w:abstractNumId w:val="26"/>
  </w:num>
  <w:num w:numId="37">
    <w:abstractNumId w:val="17"/>
  </w:num>
  <w:num w:numId="38">
    <w:abstractNumId w:val="33"/>
  </w:num>
  <w:num w:numId="39">
    <w:abstractNumId w:val="41"/>
  </w:num>
  <w:num w:numId="40">
    <w:abstractNumId w:val="32"/>
  </w:num>
  <w:num w:numId="41">
    <w:abstractNumId w:val="6"/>
  </w:num>
  <w:num w:numId="42">
    <w:abstractNumId w:val="27"/>
  </w:num>
  <w:num w:numId="43">
    <w:abstractNumId w:val="0"/>
  </w:num>
  <w:num w:numId="44">
    <w:abstractNumId w:val="21"/>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5653"/>
    <w:rsid w:val="00007539"/>
    <w:rsid w:val="00012FF5"/>
    <w:rsid w:val="00014A86"/>
    <w:rsid w:val="000152DF"/>
    <w:rsid w:val="000170FC"/>
    <w:rsid w:val="000178FF"/>
    <w:rsid w:val="00020744"/>
    <w:rsid w:val="000216E9"/>
    <w:rsid w:val="000253EC"/>
    <w:rsid w:val="00027571"/>
    <w:rsid w:val="00032FAE"/>
    <w:rsid w:val="000332C9"/>
    <w:rsid w:val="0003396A"/>
    <w:rsid w:val="000374FB"/>
    <w:rsid w:val="00040C02"/>
    <w:rsid w:val="00042274"/>
    <w:rsid w:val="000434F4"/>
    <w:rsid w:val="00045778"/>
    <w:rsid w:val="00045C71"/>
    <w:rsid w:val="000503F1"/>
    <w:rsid w:val="00050B0F"/>
    <w:rsid w:val="00052A03"/>
    <w:rsid w:val="00055505"/>
    <w:rsid w:val="00055DF5"/>
    <w:rsid w:val="0006051F"/>
    <w:rsid w:val="0006121E"/>
    <w:rsid w:val="00062590"/>
    <w:rsid w:val="000637B0"/>
    <w:rsid w:val="00063951"/>
    <w:rsid w:val="00064FDE"/>
    <w:rsid w:val="00066B2F"/>
    <w:rsid w:val="00066CCA"/>
    <w:rsid w:val="000727D2"/>
    <w:rsid w:val="000728F5"/>
    <w:rsid w:val="00072A36"/>
    <w:rsid w:val="00073166"/>
    <w:rsid w:val="00073AFE"/>
    <w:rsid w:val="000743AA"/>
    <w:rsid w:val="00077B19"/>
    <w:rsid w:val="000805C8"/>
    <w:rsid w:val="000815E8"/>
    <w:rsid w:val="00082CAB"/>
    <w:rsid w:val="00083EC1"/>
    <w:rsid w:val="00084F9E"/>
    <w:rsid w:val="00087FA2"/>
    <w:rsid w:val="0009107A"/>
    <w:rsid w:val="0009202D"/>
    <w:rsid w:val="00092EDD"/>
    <w:rsid w:val="0009412D"/>
    <w:rsid w:val="000942F7"/>
    <w:rsid w:val="00096077"/>
    <w:rsid w:val="0009649B"/>
    <w:rsid w:val="0009675B"/>
    <w:rsid w:val="00097828"/>
    <w:rsid w:val="000A4820"/>
    <w:rsid w:val="000A562F"/>
    <w:rsid w:val="000A6A62"/>
    <w:rsid w:val="000A7327"/>
    <w:rsid w:val="000B0556"/>
    <w:rsid w:val="000B2796"/>
    <w:rsid w:val="000B37EF"/>
    <w:rsid w:val="000B46D5"/>
    <w:rsid w:val="000B55C8"/>
    <w:rsid w:val="000B58FB"/>
    <w:rsid w:val="000C363D"/>
    <w:rsid w:val="000D25BE"/>
    <w:rsid w:val="000D3185"/>
    <w:rsid w:val="000D3F52"/>
    <w:rsid w:val="000D444D"/>
    <w:rsid w:val="000D45A0"/>
    <w:rsid w:val="000D4C94"/>
    <w:rsid w:val="000D56EB"/>
    <w:rsid w:val="000D5DD3"/>
    <w:rsid w:val="000E1C1C"/>
    <w:rsid w:val="000E3020"/>
    <w:rsid w:val="000F4D51"/>
    <w:rsid w:val="000F7DDF"/>
    <w:rsid w:val="00102F88"/>
    <w:rsid w:val="00102FF5"/>
    <w:rsid w:val="00104D9E"/>
    <w:rsid w:val="00105D48"/>
    <w:rsid w:val="00110CB9"/>
    <w:rsid w:val="00113AE2"/>
    <w:rsid w:val="0011431C"/>
    <w:rsid w:val="00114578"/>
    <w:rsid w:val="001160DE"/>
    <w:rsid w:val="00123510"/>
    <w:rsid w:val="0012601D"/>
    <w:rsid w:val="001260D9"/>
    <w:rsid w:val="00126D3F"/>
    <w:rsid w:val="001323EA"/>
    <w:rsid w:val="0013266B"/>
    <w:rsid w:val="00133949"/>
    <w:rsid w:val="0013620C"/>
    <w:rsid w:val="00141384"/>
    <w:rsid w:val="00142FE8"/>
    <w:rsid w:val="00143BEC"/>
    <w:rsid w:val="00145ED6"/>
    <w:rsid w:val="001474B9"/>
    <w:rsid w:val="001503DB"/>
    <w:rsid w:val="0015083D"/>
    <w:rsid w:val="00151A1A"/>
    <w:rsid w:val="00151C11"/>
    <w:rsid w:val="0015421F"/>
    <w:rsid w:val="001566B5"/>
    <w:rsid w:val="001632C0"/>
    <w:rsid w:val="00166D53"/>
    <w:rsid w:val="00171AC2"/>
    <w:rsid w:val="00176A8B"/>
    <w:rsid w:val="00177681"/>
    <w:rsid w:val="00180117"/>
    <w:rsid w:val="00183AB1"/>
    <w:rsid w:val="00184132"/>
    <w:rsid w:val="00187288"/>
    <w:rsid w:val="001874DF"/>
    <w:rsid w:val="00187B3D"/>
    <w:rsid w:val="0019081E"/>
    <w:rsid w:val="00192658"/>
    <w:rsid w:val="0019281D"/>
    <w:rsid w:val="00197C3F"/>
    <w:rsid w:val="00197FE9"/>
    <w:rsid w:val="001A0572"/>
    <w:rsid w:val="001A1891"/>
    <w:rsid w:val="001A1D04"/>
    <w:rsid w:val="001A3695"/>
    <w:rsid w:val="001A4346"/>
    <w:rsid w:val="001A4696"/>
    <w:rsid w:val="001A567C"/>
    <w:rsid w:val="001A727D"/>
    <w:rsid w:val="001A786B"/>
    <w:rsid w:val="001A7C14"/>
    <w:rsid w:val="001B0FC8"/>
    <w:rsid w:val="001B101E"/>
    <w:rsid w:val="001B2279"/>
    <w:rsid w:val="001B4017"/>
    <w:rsid w:val="001B623E"/>
    <w:rsid w:val="001B6A8A"/>
    <w:rsid w:val="001B6EBC"/>
    <w:rsid w:val="001B7598"/>
    <w:rsid w:val="001B7ED3"/>
    <w:rsid w:val="001C1EC4"/>
    <w:rsid w:val="001C3292"/>
    <w:rsid w:val="001C38AF"/>
    <w:rsid w:val="001C3ADA"/>
    <w:rsid w:val="001C5A13"/>
    <w:rsid w:val="001C5E65"/>
    <w:rsid w:val="001D0151"/>
    <w:rsid w:val="001D15A8"/>
    <w:rsid w:val="001D1CB3"/>
    <w:rsid w:val="001D3782"/>
    <w:rsid w:val="001D5BBC"/>
    <w:rsid w:val="001D5FD1"/>
    <w:rsid w:val="001D6B26"/>
    <w:rsid w:val="001D75F6"/>
    <w:rsid w:val="001D7A4F"/>
    <w:rsid w:val="001D7F8A"/>
    <w:rsid w:val="001E00EE"/>
    <w:rsid w:val="001E0B7A"/>
    <w:rsid w:val="001F063F"/>
    <w:rsid w:val="001F1830"/>
    <w:rsid w:val="001F626E"/>
    <w:rsid w:val="002000F0"/>
    <w:rsid w:val="0020180F"/>
    <w:rsid w:val="00201DC1"/>
    <w:rsid w:val="00202641"/>
    <w:rsid w:val="00202980"/>
    <w:rsid w:val="0020404A"/>
    <w:rsid w:val="00207B8A"/>
    <w:rsid w:val="00210B67"/>
    <w:rsid w:val="00210E3C"/>
    <w:rsid w:val="00211A66"/>
    <w:rsid w:val="00212EB6"/>
    <w:rsid w:val="0021326F"/>
    <w:rsid w:val="002156A0"/>
    <w:rsid w:val="00216B37"/>
    <w:rsid w:val="00220828"/>
    <w:rsid w:val="00224AF3"/>
    <w:rsid w:val="00226F3C"/>
    <w:rsid w:val="002323CF"/>
    <w:rsid w:val="00232972"/>
    <w:rsid w:val="00233242"/>
    <w:rsid w:val="00236ECD"/>
    <w:rsid w:val="0023720D"/>
    <w:rsid w:val="002374AC"/>
    <w:rsid w:val="002409CB"/>
    <w:rsid w:val="00240AAA"/>
    <w:rsid w:val="002429EA"/>
    <w:rsid w:val="00244DF3"/>
    <w:rsid w:val="00246273"/>
    <w:rsid w:val="002476F4"/>
    <w:rsid w:val="00247744"/>
    <w:rsid w:val="00247B5E"/>
    <w:rsid w:val="00252CA4"/>
    <w:rsid w:val="00254970"/>
    <w:rsid w:val="00254F3C"/>
    <w:rsid w:val="0025627C"/>
    <w:rsid w:val="0025799D"/>
    <w:rsid w:val="002602EA"/>
    <w:rsid w:val="002608F5"/>
    <w:rsid w:val="00260B5E"/>
    <w:rsid w:val="0026142F"/>
    <w:rsid w:val="0026500F"/>
    <w:rsid w:val="00265FB2"/>
    <w:rsid w:val="0026650C"/>
    <w:rsid w:val="002667CB"/>
    <w:rsid w:val="00272777"/>
    <w:rsid w:val="00272FA2"/>
    <w:rsid w:val="002751D3"/>
    <w:rsid w:val="00275D92"/>
    <w:rsid w:val="00280501"/>
    <w:rsid w:val="00282A01"/>
    <w:rsid w:val="00284FF6"/>
    <w:rsid w:val="002855E1"/>
    <w:rsid w:val="0028568A"/>
    <w:rsid w:val="00285CFE"/>
    <w:rsid w:val="00287D9F"/>
    <w:rsid w:val="002903C8"/>
    <w:rsid w:val="0029115B"/>
    <w:rsid w:val="00293C0C"/>
    <w:rsid w:val="002968E0"/>
    <w:rsid w:val="0029743B"/>
    <w:rsid w:val="00297C07"/>
    <w:rsid w:val="00297F2F"/>
    <w:rsid w:val="002A015F"/>
    <w:rsid w:val="002B28EB"/>
    <w:rsid w:val="002B2F43"/>
    <w:rsid w:val="002B4F6A"/>
    <w:rsid w:val="002B741E"/>
    <w:rsid w:val="002B7A34"/>
    <w:rsid w:val="002C0561"/>
    <w:rsid w:val="002C1322"/>
    <w:rsid w:val="002C4652"/>
    <w:rsid w:val="002C5563"/>
    <w:rsid w:val="002C76F7"/>
    <w:rsid w:val="002D1160"/>
    <w:rsid w:val="002D2381"/>
    <w:rsid w:val="002D3968"/>
    <w:rsid w:val="002D3CD4"/>
    <w:rsid w:val="002D3CE9"/>
    <w:rsid w:val="002D67DA"/>
    <w:rsid w:val="002D6999"/>
    <w:rsid w:val="002E35CB"/>
    <w:rsid w:val="002E6160"/>
    <w:rsid w:val="002E67F6"/>
    <w:rsid w:val="002E7329"/>
    <w:rsid w:val="002F4835"/>
    <w:rsid w:val="002F5583"/>
    <w:rsid w:val="002F62FB"/>
    <w:rsid w:val="002F6548"/>
    <w:rsid w:val="002F7139"/>
    <w:rsid w:val="00301DC3"/>
    <w:rsid w:val="003034B3"/>
    <w:rsid w:val="003111CC"/>
    <w:rsid w:val="00311A86"/>
    <w:rsid w:val="00312C88"/>
    <w:rsid w:val="0031493B"/>
    <w:rsid w:val="00316A9D"/>
    <w:rsid w:val="00316B98"/>
    <w:rsid w:val="00322EC3"/>
    <w:rsid w:val="0032369E"/>
    <w:rsid w:val="0032439E"/>
    <w:rsid w:val="00324BC0"/>
    <w:rsid w:val="003260F5"/>
    <w:rsid w:val="00327A61"/>
    <w:rsid w:val="0033063C"/>
    <w:rsid w:val="003307B8"/>
    <w:rsid w:val="003327D3"/>
    <w:rsid w:val="003338B4"/>
    <w:rsid w:val="0033487C"/>
    <w:rsid w:val="003364B2"/>
    <w:rsid w:val="00337FDB"/>
    <w:rsid w:val="0034013D"/>
    <w:rsid w:val="00340F3C"/>
    <w:rsid w:val="003417EB"/>
    <w:rsid w:val="00343829"/>
    <w:rsid w:val="00345822"/>
    <w:rsid w:val="0034672A"/>
    <w:rsid w:val="003503E7"/>
    <w:rsid w:val="00360394"/>
    <w:rsid w:val="00360AEC"/>
    <w:rsid w:val="003611B1"/>
    <w:rsid w:val="00361819"/>
    <w:rsid w:val="00361A1D"/>
    <w:rsid w:val="003650CC"/>
    <w:rsid w:val="0036611B"/>
    <w:rsid w:val="003661A6"/>
    <w:rsid w:val="00366DE9"/>
    <w:rsid w:val="00371FA0"/>
    <w:rsid w:val="003811C0"/>
    <w:rsid w:val="00381A1B"/>
    <w:rsid w:val="0038203D"/>
    <w:rsid w:val="00383396"/>
    <w:rsid w:val="003846D3"/>
    <w:rsid w:val="00384E0A"/>
    <w:rsid w:val="00386059"/>
    <w:rsid w:val="00386656"/>
    <w:rsid w:val="00386781"/>
    <w:rsid w:val="00390CE4"/>
    <w:rsid w:val="00391769"/>
    <w:rsid w:val="003919A2"/>
    <w:rsid w:val="00392993"/>
    <w:rsid w:val="003A0BFB"/>
    <w:rsid w:val="003A20C5"/>
    <w:rsid w:val="003A2811"/>
    <w:rsid w:val="003A31A5"/>
    <w:rsid w:val="003A3B5E"/>
    <w:rsid w:val="003A3E75"/>
    <w:rsid w:val="003A4D8C"/>
    <w:rsid w:val="003A533A"/>
    <w:rsid w:val="003A59EA"/>
    <w:rsid w:val="003A6126"/>
    <w:rsid w:val="003A624E"/>
    <w:rsid w:val="003A7110"/>
    <w:rsid w:val="003A73A0"/>
    <w:rsid w:val="003B332D"/>
    <w:rsid w:val="003B4176"/>
    <w:rsid w:val="003B4A38"/>
    <w:rsid w:val="003B4F23"/>
    <w:rsid w:val="003B5693"/>
    <w:rsid w:val="003B5837"/>
    <w:rsid w:val="003B6684"/>
    <w:rsid w:val="003B6B32"/>
    <w:rsid w:val="003B7DAB"/>
    <w:rsid w:val="003C0D62"/>
    <w:rsid w:val="003C1CDB"/>
    <w:rsid w:val="003C6188"/>
    <w:rsid w:val="003C657E"/>
    <w:rsid w:val="003C6D6E"/>
    <w:rsid w:val="003C7446"/>
    <w:rsid w:val="003D0612"/>
    <w:rsid w:val="003D2B19"/>
    <w:rsid w:val="003D610C"/>
    <w:rsid w:val="003D752A"/>
    <w:rsid w:val="003E0EA1"/>
    <w:rsid w:val="003E1A83"/>
    <w:rsid w:val="003E4B2A"/>
    <w:rsid w:val="003E5AEA"/>
    <w:rsid w:val="003E61CF"/>
    <w:rsid w:val="003F01C5"/>
    <w:rsid w:val="003F7DA4"/>
    <w:rsid w:val="004028BD"/>
    <w:rsid w:val="00402AD7"/>
    <w:rsid w:val="0040312B"/>
    <w:rsid w:val="004031E5"/>
    <w:rsid w:val="00403263"/>
    <w:rsid w:val="00403C15"/>
    <w:rsid w:val="00403F5E"/>
    <w:rsid w:val="004041EC"/>
    <w:rsid w:val="0040435E"/>
    <w:rsid w:val="00404652"/>
    <w:rsid w:val="0040482D"/>
    <w:rsid w:val="004055D2"/>
    <w:rsid w:val="00405991"/>
    <w:rsid w:val="00406536"/>
    <w:rsid w:val="00406749"/>
    <w:rsid w:val="00410762"/>
    <w:rsid w:val="00410B09"/>
    <w:rsid w:val="00410EC3"/>
    <w:rsid w:val="0041360E"/>
    <w:rsid w:val="004140E5"/>
    <w:rsid w:val="00414CD9"/>
    <w:rsid w:val="00422C56"/>
    <w:rsid w:val="00424E87"/>
    <w:rsid w:val="0042665D"/>
    <w:rsid w:val="004325B5"/>
    <w:rsid w:val="00432CF7"/>
    <w:rsid w:val="004341E5"/>
    <w:rsid w:val="004343F8"/>
    <w:rsid w:val="004359B2"/>
    <w:rsid w:val="004369BE"/>
    <w:rsid w:val="00437393"/>
    <w:rsid w:val="0043784D"/>
    <w:rsid w:val="00437C00"/>
    <w:rsid w:val="00437C42"/>
    <w:rsid w:val="00443793"/>
    <w:rsid w:val="00444741"/>
    <w:rsid w:val="00444DEC"/>
    <w:rsid w:val="0044599A"/>
    <w:rsid w:val="00446A54"/>
    <w:rsid w:val="00446EA8"/>
    <w:rsid w:val="004506B2"/>
    <w:rsid w:val="00452A7A"/>
    <w:rsid w:val="00456FF8"/>
    <w:rsid w:val="00460444"/>
    <w:rsid w:val="00461082"/>
    <w:rsid w:val="0046157C"/>
    <w:rsid w:val="0046185B"/>
    <w:rsid w:val="00461ED8"/>
    <w:rsid w:val="004633D3"/>
    <w:rsid w:val="00465227"/>
    <w:rsid w:val="0046549C"/>
    <w:rsid w:val="004678A3"/>
    <w:rsid w:val="00472F24"/>
    <w:rsid w:val="00473C48"/>
    <w:rsid w:val="004761AE"/>
    <w:rsid w:val="00477283"/>
    <w:rsid w:val="00481601"/>
    <w:rsid w:val="00482136"/>
    <w:rsid w:val="00483134"/>
    <w:rsid w:val="00490585"/>
    <w:rsid w:val="004937A4"/>
    <w:rsid w:val="00495C5F"/>
    <w:rsid w:val="0049672B"/>
    <w:rsid w:val="004A092E"/>
    <w:rsid w:val="004A4AB5"/>
    <w:rsid w:val="004A544A"/>
    <w:rsid w:val="004A62C1"/>
    <w:rsid w:val="004A68BB"/>
    <w:rsid w:val="004A6F1E"/>
    <w:rsid w:val="004A79B9"/>
    <w:rsid w:val="004A7F16"/>
    <w:rsid w:val="004B4DF3"/>
    <w:rsid w:val="004B798D"/>
    <w:rsid w:val="004C0638"/>
    <w:rsid w:val="004C1151"/>
    <w:rsid w:val="004C1D7B"/>
    <w:rsid w:val="004C25DC"/>
    <w:rsid w:val="004C4CE0"/>
    <w:rsid w:val="004C6EFE"/>
    <w:rsid w:val="004C7E7C"/>
    <w:rsid w:val="004D069F"/>
    <w:rsid w:val="004D145C"/>
    <w:rsid w:val="004D4BA4"/>
    <w:rsid w:val="004D7D5D"/>
    <w:rsid w:val="004E03D6"/>
    <w:rsid w:val="004E05C9"/>
    <w:rsid w:val="004E2CE6"/>
    <w:rsid w:val="004E744E"/>
    <w:rsid w:val="004F00E5"/>
    <w:rsid w:val="004F11F8"/>
    <w:rsid w:val="004F2200"/>
    <w:rsid w:val="004F2366"/>
    <w:rsid w:val="004F3C94"/>
    <w:rsid w:val="004F4FFE"/>
    <w:rsid w:val="004F52D9"/>
    <w:rsid w:val="004F5517"/>
    <w:rsid w:val="004F5754"/>
    <w:rsid w:val="004F601B"/>
    <w:rsid w:val="0050197A"/>
    <w:rsid w:val="0050390C"/>
    <w:rsid w:val="0050391D"/>
    <w:rsid w:val="00503A36"/>
    <w:rsid w:val="00504F4D"/>
    <w:rsid w:val="005058A2"/>
    <w:rsid w:val="005107B9"/>
    <w:rsid w:val="00510EB5"/>
    <w:rsid w:val="005110EF"/>
    <w:rsid w:val="005119A8"/>
    <w:rsid w:val="00511E85"/>
    <w:rsid w:val="0051265C"/>
    <w:rsid w:val="0051582F"/>
    <w:rsid w:val="00516446"/>
    <w:rsid w:val="00522A66"/>
    <w:rsid w:val="005243C9"/>
    <w:rsid w:val="00526197"/>
    <w:rsid w:val="00527073"/>
    <w:rsid w:val="0052737C"/>
    <w:rsid w:val="005278A0"/>
    <w:rsid w:val="005300AF"/>
    <w:rsid w:val="005304AA"/>
    <w:rsid w:val="00530B7D"/>
    <w:rsid w:val="00530C81"/>
    <w:rsid w:val="0053757F"/>
    <w:rsid w:val="00537597"/>
    <w:rsid w:val="00540CD5"/>
    <w:rsid w:val="00540F49"/>
    <w:rsid w:val="00543F77"/>
    <w:rsid w:val="00545F2C"/>
    <w:rsid w:val="00546044"/>
    <w:rsid w:val="00546C0E"/>
    <w:rsid w:val="0055006E"/>
    <w:rsid w:val="0055266C"/>
    <w:rsid w:val="00553D8E"/>
    <w:rsid w:val="00554CD2"/>
    <w:rsid w:val="00555F5F"/>
    <w:rsid w:val="0055672F"/>
    <w:rsid w:val="00556925"/>
    <w:rsid w:val="00557523"/>
    <w:rsid w:val="00562910"/>
    <w:rsid w:val="005647D9"/>
    <w:rsid w:val="00567254"/>
    <w:rsid w:val="00567C3B"/>
    <w:rsid w:val="00567F6F"/>
    <w:rsid w:val="005703D9"/>
    <w:rsid w:val="00571AF3"/>
    <w:rsid w:val="00573A80"/>
    <w:rsid w:val="00574882"/>
    <w:rsid w:val="00574BB4"/>
    <w:rsid w:val="005764DE"/>
    <w:rsid w:val="0057657A"/>
    <w:rsid w:val="00576EB4"/>
    <w:rsid w:val="005800FD"/>
    <w:rsid w:val="0058050E"/>
    <w:rsid w:val="00582168"/>
    <w:rsid w:val="00586109"/>
    <w:rsid w:val="00586A79"/>
    <w:rsid w:val="00586D07"/>
    <w:rsid w:val="005870F1"/>
    <w:rsid w:val="005873CF"/>
    <w:rsid w:val="00587C76"/>
    <w:rsid w:val="005901AA"/>
    <w:rsid w:val="005950FC"/>
    <w:rsid w:val="005975B8"/>
    <w:rsid w:val="00597E21"/>
    <w:rsid w:val="00597F8F"/>
    <w:rsid w:val="005A10DF"/>
    <w:rsid w:val="005A27F1"/>
    <w:rsid w:val="005A33B7"/>
    <w:rsid w:val="005A38AB"/>
    <w:rsid w:val="005A5867"/>
    <w:rsid w:val="005A5B1A"/>
    <w:rsid w:val="005B58AB"/>
    <w:rsid w:val="005B70D2"/>
    <w:rsid w:val="005C1073"/>
    <w:rsid w:val="005C1E01"/>
    <w:rsid w:val="005C30DC"/>
    <w:rsid w:val="005C3927"/>
    <w:rsid w:val="005C475C"/>
    <w:rsid w:val="005C6546"/>
    <w:rsid w:val="005D2839"/>
    <w:rsid w:val="005D7A92"/>
    <w:rsid w:val="005E0079"/>
    <w:rsid w:val="005E0BD7"/>
    <w:rsid w:val="005E1A47"/>
    <w:rsid w:val="005E4354"/>
    <w:rsid w:val="005E4E3D"/>
    <w:rsid w:val="005E7F80"/>
    <w:rsid w:val="005F1175"/>
    <w:rsid w:val="005F192D"/>
    <w:rsid w:val="005F2423"/>
    <w:rsid w:val="005F3B1B"/>
    <w:rsid w:val="005F516E"/>
    <w:rsid w:val="005F524B"/>
    <w:rsid w:val="006003F5"/>
    <w:rsid w:val="0060048F"/>
    <w:rsid w:val="0060127F"/>
    <w:rsid w:val="00601754"/>
    <w:rsid w:val="00603428"/>
    <w:rsid w:val="006064B2"/>
    <w:rsid w:val="006068A0"/>
    <w:rsid w:val="00606992"/>
    <w:rsid w:val="00607014"/>
    <w:rsid w:val="00607B58"/>
    <w:rsid w:val="00612887"/>
    <w:rsid w:val="00614793"/>
    <w:rsid w:val="006161DC"/>
    <w:rsid w:val="0062124D"/>
    <w:rsid w:val="0062190F"/>
    <w:rsid w:val="006219CA"/>
    <w:rsid w:val="00622033"/>
    <w:rsid w:val="006252CE"/>
    <w:rsid w:val="006320B2"/>
    <w:rsid w:val="00632471"/>
    <w:rsid w:val="00632A23"/>
    <w:rsid w:val="00633529"/>
    <w:rsid w:val="00634921"/>
    <w:rsid w:val="00634A15"/>
    <w:rsid w:val="0063789C"/>
    <w:rsid w:val="00642EE2"/>
    <w:rsid w:val="00644F7C"/>
    <w:rsid w:val="00644F8E"/>
    <w:rsid w:val="006469D8"/>
    <w:rsid w:val="00646D68"/>
    <w:rsid w:val="006514AF"/>
    <w:rsid w:val="00652960"/>
    <w:rsid w:val="00652BA7"/>
    <w:rsid w:val="0065389A"/>
    <w:rsid w:val="00653B08"/>
    <w:rsid w:val="00662750"/>
    <w:rsid w:val="00663231"/>
    <w:rsid w:val="00664338"/>
    <w:rsid w:val="00664CE0"/>
    <w:rsid w:val="00665196"/>
    <w:rsid w:val="006657E3"/>
    <w:rsid w:val="00665E71"/>
    <w:rsid w:val="00667CD4"/>
    <w:rsid w:val="00670213"/>
    <w:rsid w:val="00673C21"/>
    <w:rsid w:val="00673DE0"/>
    <w:rsid w:val="00674D24"/>
    <w:rsid w:val="00675706"/>
    <w:rsid w:val="00676394"/>
    <w:rsid w:val="006771E8"/>
    <w:rsid w:val="00680B29"/>
    <w:rsid w:val="006831BA"/>
    <w:rsid w:val="006850DB"/>
    <w:rsid w:val="00685980"/>
    <w:rsid w:val="00686884"/>
    <w:rsid w:val="00690886"/>
    <w:rsid w:val="0069146E"/>
    <w:rsid w:val="00696602"/>
    <w:rsid w:val="00696C07"/>
    <w:rsid w:val="006A0DBE"/>
    <w:rsid w:val="006A3A8C"/>
    <w:rsid w:val="006A3B2B"/>
    <w:rsid w:val="006A58F6"/>
    <w:rsid w:val="006A6288"/>
    <w:rsid w:val="006A63BE"/>
    <w:rsid w:val="006B6D92"/>
    <w:rsid w:val="006B6E14"/>
    <w:rsid w:val="006C08CC"/>
    <w:rsid w:val="006C0F12"/>
    <w:rsid w:val="006C1D61"/>
    <w:rsid w:val="006C6536"/>
    <w:rsid w:val="006C6DF0"/>
    <w:rsid w:val="006C704D"/>
    <w:rsid w:val="006C7E7B"/>
    <w:rsid w:val="006D03F1"/>
    <w:rsid w:val="006D2050"/>
    <w:rsid w:val="006D28D4"/>
    <w:rsid w:val="006D48D4"/>
    <w:rsid w:val="006D4AB8"/>
    <w:rsid w:val="006D5E19"/>
    <w:rsid w:val="006D694B"/>
    <w:rsid w:val="006D768D"/>
    <w:rsid w:val="006E0828"/>
    <w:rsid w:val="006E21B0"/>
    <w:rsid w:val="006E29EE"/>
    <w:rsid w:val="006E3745"/>
    <w:rsid w:val="006E3E7B"/>
    <w:rsid w:val="006E59E5"/>
    <w:rsid w:val="006E6BF8"/>
    <w:rsid w:val="006E787D"/>
    <w:rsid w:val="006F0BA2"/>
    <w:rsid w:val="006F49F6"/>
    <w:rsid w:val="006F4A40"/>
    <w:rsid w:val="006F6F98"/>
    <w:rsid w:val="006F7142"/>
    <w:rsid w:val="007011A9"/>
    <w:rsid w:val="00701B03"/>
    <w:rsid w:val="0070233A"/>
    <w:rsid w:val="0070320C"/>
    <w:rsid w:val="007040CD"/>
    <w:rsid w:val="0070680E"/>
    <w:rsid w:val="00706B8A"/>
    <w:rsid w:val="00706B96"/>
    <w:rsid w:val="007075E6"/>
    <w:rsid w:val="00712EA4"/>
    <w:rsid w:val="00712EBC"/>
    <w:rsid w:val="00716193"/>
    <w:rsid w:val="0071658E"/>
    <w:rsid w:val="00716D98"/>
    <w:rsid w:val="00720518"/>
    <w:rsid w:val="0072185A"/>
    <w:rsid w:val="007228A6"/>
    <w:rsid w:val="0072673C"/>
    <w:rsid w:val="00726DAE"/>
    <w:rsid w:val="00727228"/>
    <w:rsid w:val="00727500"/>
    <w:rsid w:val="00730B3D"/>
    <w:rsid w:val="007310BB"/>
    <w:rsid w:val="007313BA"/>
    <w:rsid w:val="007323F5"/>
    <w:rsid w:val="0073245E"/>
    <w:rsid w:val="00737736"/>
    <w:rsid w:val="00737E1D"/>
    <w:rsid w:val="00740250"/>
    <w:rsid w:val="00740B2A"/>
    <w:rsid w:val="0074268C"/>
    <w:rsid w:val="007445FE"/>
    <w:rsid w:val="0074493B"/>
    <w:rsid w:val="007457D2"/>
    <w:rsid w:val="00751232"/>
    <w:rsid w:val="0075281F"/>
    <w:rsid w:val="00752A11"/>
    <w:rsid w:val="007537FC"/>
    <w:rsid w:val="00753C5B"/>
    <w:rsid w:val="007541DC"/>
    <w:rsid w:val="00761A63"/>
    <w:rsid w:val="00763767"/>
    <w:rsid w:val="00764B50"/>
    <w:rsid w:val="00766F34"/>
    <w:rsid w:val="0077437F"/>
    <w:rsid w:val="0077454E"/>
    <w:rsid w:val="00774E0F"/>
    <w:rsid w:val="00776305"/>
    <w:rsid w:val="00776782"/>
    <w:rsid w:val="007804CF"/>
    <w:rsid w:val="00781FEC"/>
    <w:rsid w:val="00783390"/>
    <w:rsid w:val="00784A51"/>
    <w:rsid w:val="00786056"/>
    <w:rsid w:val="007925F3"/>
    <w:rsid w:val="00792F28"/>
    <w:rsid w:val="00793C76"/>
    <w:rsid w:val="00793EFA"/>
    <w:rsid w:val="00794D3C"/>
    <w:rsid w:val="0079657C"/>
    <w:rsid w:val="00796F23"/>
    <w:rsid w:val="007970E7"/>
    <w:rsid w:val="007A06F8"/>
    <w:rsid w:val="007A0C05"/>
    <w:rsid w:val="007A1B4D"/>
    <w:rsid w:val="007A251F"/>
    <w:rsid w:val="007A3CC7"/>
    <w:rsid w:val="007A52D3"/>
    <w:rsid w:val="007A6B81"/>
    <w:rsid w:val="007B019E"/>
    <w:rsid w:val="007B1478"/>
    <w:rsid w:val="007B2709"/>
    <w:rsid w:val="007B76BB"/>
    <w:rsid w:val="007B7CE7"/>
    <w:rsid w:val="007C503B"/>
    <w:rsid w:val="007C5ACA"/>
    <w:rsid w:val="007C6937"/>
    <w:rsid w:val="007C7B0A"/>
    <w:rsid w:val="007D0041"/>
    <w:rsid w:val="007D161A"/>
    <w:rsid w:val="007E1071"/>
    <w:rsid w:val="007E15A8"/>
    <w:rsid w:val="007E3FD4"/>
    <w:rsid w:val="007E62AA"/>
    <w:rsid w:val="007E7331"/>
    <w:rsid w:val="007F2ED8"/>
    <w:rsid w:val="007F3304"/>
    <w:rsid w:val="007F6345"/>
    <w:rsid w:val="0080497F"/>
    <w:rsid w:val="00804BAA"/>
    <w:rsid w:val="00807896"/>
    <w:rsid w:val="00810644"/>
    <w:rsid w:val="00810BFB"/>
    <w:rsid w:val="00814F7B"/>
    <w:rsid w:val="00815399"/>
    <w:rsid w:val="008168C0"/>
    <w:rsid w:val="00817B79"/>
    <w:rsid w:val="0082133F"/>
    <w:rsid w:val="00821C51"/>
    <w:rsid w:val="00822016"/>
    <w:rsid w:val="00822DF8"/>
    <w:rsid w:val="00823727"/>
    <w:rsid w:val="008238B7"/>
    <w:rsid w:val="0082534D"/>
    <w:rsid w:val="00825B50"/>
    <w:rsid w:val="00826307"/>
    <w:rsid w:val="00826DE8"/>
    <w:rsid w:val="00831B38"/>
    <w:rsid w:val="008403C0"/>
    <w:rsid w:val="00841194"/>
    <w:rsid w:val="0084141F"/>
    <w:rsid w:val="008416DD"/>
    <w:rsid w:val="008450A6"/>
    <w:rsid w:val="008452B5"/>
    <w:rsid w:val="00845A4E"/>
    <w:rsid w:val="00845A80"/>
    <w:rsid w:val="00850146"/>
    <w:rsid w:val="008501F3"/>
    <w:rsid w:val="008515B1"/>
    <w:rsid w:val="00851813"/>
    <w:rsid w:val="00852814"/>
    <w:rsid w:val="008555B9"/>
    <w:rsid w:val="00855C81"/>
    <w:rsid w:val="00856471"/>
    <w:rsid w:val="008610A0"/>
    <w:rsid w:val="00862A17"/>
    <w:rsid w:val="008666FC"/>
    <w:rsid w:val="008671C5"/>
    <w:rsid w:val="008710D8"/>
    <w:rsid w:val="00871271"/>
    <w:rsid w:val="00871BD1"/>
    <w:rsid w:val="008727AB"/>
    <w:rsid w:val="00873010"/>
    <w:rsid w:val="00873780"/>
    <w:rsid w:val="00873CEF"/>
    <w:rsid w:val="0087413C"/>
    <w:rsid w:val="008771C7"/>
    <w:rsid w:val="00877FA7"/>
    <w:rsid w:val="008833F0"/>
    <w:rsid w:val="00884766"/>
    <w:rsid w:val="0088566B"/>
    <w:rsid w:val="00887720"/>
    <w:rsid w:val="00890B01"/>
    <w:rsid w:val="008930BD"/>
    <w:rsid w:val="008939B1"/>
    <w:rsid w:val="00893D80"/>
    <w:rsid w:val="00894393"/>
    <w:rsid w:val="00895420"/>
    <w:rsid w:val="008957CE"/>
    <w:rsid w:val="008A1DBE"/>
    <w:rsid w:val="008A3BF9"/>
    <w:rsid w:val="008A5EAC"/>
    <w:rsid w:val="008A60BE"/>
    <w:rsid w:val="008A7F19"/>
    <w:rsid w:val="008B20FC"/>
    <w:rsid w:val="008B341F"/>
    <w:rsid w:val="008B47AF"/>
    <w:rsid w:val="008C0845"/>
    <w:rsid w:val="008C1510"/>
    <w:rsid w:val="008C1892"/>
    <w:rsid w:val="008C2503"/>
    <w:rsid w:val="008C64E0"/>
    <w:rsid w:val="008C7CA5"/>
    <w:rsid w:val="008D089E"/>
    <w:rsid w:val="008D09AA"/>
    <w:rsid w:val="008D19CC"/>
    <w:rsid w:val="008D2791"/>
    <w:rsid w:val="008D2A3F"/>
    <w:rsid w:val="008D2E76"/>
    <w:rsid w:val="008D3A14"/>
    <w:rsid w:val="008D4189"/>
    <w:rsid w:val="008D49FA"/>
    <w:rsid w:val="008D51B6"/>
    <w:rsid w:val="008D7FF5"/>
    <w:rsid w:val="008E082F"/>
    <w:rsid w:val="008E298E"/>
    <w:rsid w:val="008E326F"/>
    <w:rsid w:val="008E5682"/>
    <w:rsid w:val="008E6A84"/>
    <w:rsid w:val="008E75B9"/>
    <w:rsid w:val="008F25EE"/>
    <w:rsid w:val="008F4502"/>
    <w:rsid w:val="008F596A"/>
    <w:rsid w:val="008F5C4E"/>
    <w:rsid w:val="008F68DE"/>
    <w:rsid w:val="00902D1A"/>
    <w:rsid w:val="00903A99"/>
    <w:rsid w:val="0090458F"/>
    <w:rsid w:val="00905BC7"/>
    <w:rsid w:val="00907672"/>
    <w:rsid w:val="009078F6"/>
    <w:rsid w:val="00907B73"/>
    <w:rsid w:val="00910190"/>
    <w:rsid w:val="0091110C"/>
    <w:rsid w:val="0091180B"/>
    <w:rsid w:val="009127C8"/>
    <w:rsid w:val="00912C13"/>
    <w:rsid w:val="009139B4"/>
    <w:rsid w:val="00913CF7"/>
    <w:rsid w:val="0091505A"/>
    <w:rsid w:val="00916D96"/>
    <w:rsid w:val="00917AD5"/>
    <w:rsid w:val="0092135A"/>
    <w:rsid w:val="0092199C"/>
    <w:rsid w:val="0093176E"/>
    <w:rsid w:val="00934D7F"/>
    <w:rsid w:val="009357A3"/>
    <w:rsid w:val="0094113C"/>
    <w:rsid w:val="0094479A"/>
    <w:rsid w:val="00945858"/>
    <w:rsid w:val="009469AC"/>
    <w:rsid w:val="00950992"/>
    <w:rsid w:val="009543F0"/>
    <w:rsid w:val="00955863"/>
    <w:rsid w:val="00955B2F"/>
    <w:rsid w:val="00955E93"/>
    <w:rsid w:val="0095646F"/>
    <w:rsid w:val="00956B2C"/>
    <w:rsid w:val="00960091"/>
    <w:rsid w:val="00960206"/>
    <w:rsid w:val="00960E9A"/>
    <w:rsid w:val="009623F8"/>
    <w:rsid w:val="009629C3"/>
    <w:rsid w:val="00962BDC"/>
    <w:rsid w:val="00963DE6"/>
    <w:rsid w:val="00966D0B"/>
    <w:rsid w:val="00967425"/>
    <w:rsid w:val="0097174B"/>
    <w:rsid w:val="00972DC7"/>
    <w:rsid w:val="00972F19"/>
    <w:rsid w:val="009735AB"/>
    <w:rsid w:val="009766DD"/>
    <w:rsid w:val="00977431"/>
    <w:rsid w:val="009776F2"/>
    <w:rsid w:val="00977EF7"/>
    <w:rsid w:val="0098684A"/>
    <w:rsid w:val="00987467"/>
    <w:rsid w:val="00987533"/>
    <w:rsid w:val="00990D02"/>
    <w:rsid w:val="00993019"/>
    <w:rsid w:val="009936BB"/>
    <w:rsid w:val="00993802"/>
    <w:rsid w:val="00994FE1"/>
    <w:rsid w:val="009959B1"/>
    <w:rsid w:val="00996D14"/>
    <w:rsid w:val="00996DEB"/>
    <w:rsid w:val="009A1C10"/>
    <w:rsid w:val="009A2DA9"/>
    <w:rsid w:val="009A32B6"/>
    <w:rsid w:val="009A530B"/>
    <w:rsid w:val="009A537D"/>
    <w:rsid w:val="009A7678"/>
    <w:rsid w:val="009B0688"/>
    <w:rsid w:val="009B1DA1"/>
    <w:rsid w:val="009B21C1"/>
    <w:rsid w:val="009B31D6"/>
    <w:rsid w:val="009B36E4"/>
    <w:rsid w:val="009B387A"/>
    <w:rsid w:val="009B48A1"/>
    <w:rsid w:val="009B62E6"/>
    <w:rsid w:val="009B76DD"/>
    <w:rsid w:val="009C086A"/>
    <w:rsid w:val="009C255B"/>
    <w:rsid w:val="009C75A0"/>
    <w:rsid w:val="009D0FBE"/>
    <w:rsid w:val="009D11A4"/>
    <w:rsid w:val="009D2FD9"/>
    <w:rsid w:val="009D3627"/>
    <w:rsid w:val="009D51D2"/>
    <w:rsid w:val="009D5CAB"/>
    <w:rsid w:val="009E555D"/>
    <w:rsid w:val="009E5A87"/>
    <w:rsid w:val="009F17D8"/>
    <w:rsid w:val="009F1E49"/>
    <w:rsid w:val="009F2BD2"/>
    <w:rsid w:val="009F3149"/>
    <w:rsid w:val="009F3777"/>
    <w:rsid w:val="009F6F84"/>
    <w:rsid w:val="009F78E6"/>
    <w:rsid w:val="00A01E31"/>
    <w:rsid w:val="00A0232B"/>
    <w:rsid w:val="00A03B13"/>
    <w:rsid w:val="00A04B65"/>
    <w:rsid w:val="00A06715"/>
    <w:rsid w:val="00A076B9"/>
    <w:rsid w:val="00A0787D"/>
    <w:rsid w:val="00A10B2D"/>
    <w:rsid w:val="00A10F78"/>
    <w:rsid w:val="00A11A09"/>
    <w:rsid w:val="00A13960"/>
    <w:rsid w:val="00A14C5D"/>
    <w:rsid w:val="00A14E6A"/>
    <w:rsid w:val="00A177A5"/>
    <w:rsid w:val="00A208B4"/>
    <w:rsid w:val="00A22EF9"/>
    <w:rsid w:val="00A23B8A"/>
    <w:rsid w:val="00A25403"/>
    <w:rsid w:val="00A26639"/>
    <w:rsid w:val="00A268EA"/>
    <w:rsid w:val="00A2798B"/>
    <w:rsid w:val="00A31625"/>
    <w:rsid w:val="00A3412B"/>
    <w:rsid w:val="00A34A44"/>
    <w:rsid w:val="00A35BE0"/>
    <w:rsid w:val="00A366AA"/>
    <w:rsid w:val="00A409E1"/>
    <w:rsid w:val="00A419EA"/>
    <w:rsid w:val="00A41D36"/>
    <w:rsid w:val="00A42294"/>
    <w:rsid w:val="00A441FF"/>
    <w:rsid w:val="00A4560C"/>
    <w:rsid w:val="00A45E41"/>
    <w:rsid w:val="00A46E76"/>
    <w:rsid w:val="00A47639"/>
    <w:rsid w:val="00A47C69"/>
    <w:rsid w:val="00A521FE"/>
    <w:rsid w:val="00A55498"/>
    <w:rsid w:val="00A6186E"/>
    <w:rsid w:val="00A62B26"/>
    <w:rsid w:val="00A63D97"/>
    <w:rsid w:val="00A63F95"/>
    <w:rsid w:val="00A641CC"/>
    <w:rsid w:val="00A64D74"/>
    <w:rsid w:val="00A6572D"/>
    <w:rsid w:val="00A65E7A"/>
    <w:rsid w:val="00A65FD1"/>
    <w:rsid w:val="00A679F3"/>
    <w:rsid w:val="00A70EDF"/>
    <w:rsid w:val="00A723F8"/>
    <w:rsid w:val="00A727BC"/>
    <w:rsid w:val="00A73FA2"/>
    <w:rsid w:val="00A84DEA"/>
    <w:rsid w:val="00A8608C"/>
    <w:rsid w:val="00A860B9"/>
    <w:rsid w:val="00A87465"/>
    <w:rsid w:val="00A92408"/>
    <w:rsid w:val="00A94F6E"/>
    <w:rsid w:val="00A95F68"/>
    <w:rsid w:val="00AA06AE"/>
    <w:rsid w:val="00AA0ED7"/>
    <w:rsid w:val="00AA5628"/>
    <w:rsid w:val="00AB0696"/>
    <w:rsid w:val="00AB4873"/>
    <w:rsid w:val="00AB4D85"/>
    <w:rsid w:val="00AB76CE"/>
    <w:rsid w:val="00AB7E03"/>
    <w:rsid w:val="00AC0E83"/>
    <w:rsid w:val="00AC3DBC"/>
    <w:rsid w:val="00AC41A5"/>
    <w:rsid w:val="00AC4380"/>
    <w:rsid w:val="00AC4CF8"/>
    <w:rsid w:val="00AC5813"/>
    <w:rsid w:val="00AC7BC0"/>
    <w:rsid w:val="00AD01A3"/>
    <w:rsid w:val="00AD13D6"/>
    <w:rsid w:val="00AD31CF"/>
    <w:rsid w:val="00AD562B"/>
    <w:rsid w:val="00AD59A2"/>
    <w:rsid w:val="00AE0094"/>
    <w:rsid w:val="00AE2955"/>
    <w:rsid w:val="00AE2E87"/>
    <w:rsid w:val="00AE3ABC"/>
    <w:rsid w:val="00AE6F15"/>
    <w:rsid w:val="00AF143A"/>
    <w:rsid w:val="00AF2374"/>
    <w:rsid w:val="00AF3859"/>
    <w:rsid w:val="00AF44AF"/>
    <w:rsid w:val="00AF4882"/>
    <w:rsid w:val="00AF6578"/>
    <w:rsid w:val="00AF6ECC"/>
    <w:rsid w:val="00AF70C1"/>
    <w:rsid w:val="00B01795"/>
    <w:rsid w:val="00B028DC"/>
    <w:rsid w:val="00B03322"/>
    <w:rsid w:val="00B0343E"/>
    <w:rsid w:val="00B03D1D"/>
    <w:rsid w:val="00B043F6"/>
    <w:rsid w:val="00B0467C"/>
    <w:rsid w:val="00B06A14"/>
    <w:rsid w:val="00B10F91"/>
    <w:rsid w:val="00B121AB"/>
    <w:rsid w:val="00B136FA"/>
    <w:rsid w:val="00B141F3"/>
    <w:rsid w:val="00B16543"/>
    <w:rsid w:val="00B16682"/>
    <w:rsid w:val="00B17AB3"/>
    <w:rsid w:val="00B229D8"/>
    <w:rsid w:val="00B22FA5"/>
    <w:rsid w:val="00B245F6"/>
    <w:rsid w:val="00B24B66"/>
    <w:rsid w:val="00B2506B"/>
    <w:rsid w:val="00B273DC"/>
    <w:rsid w:val="00B27B26"/>
    <w:rsid w:val="00B37615"/>
    <w:rsid w:val="00B377CD"/>
    <w:rsid w:val="00B37EDC"/>
    <w:rsid w:val="00B4014F"/>
    <w:rsid w:val="00B4147B"/>
    <w:rsid w:val="00B43CEF"/>
    <w:rsid w:val="00B44CD7"/>
    <w:rsid w:val="00B4506D"/>
    <w:rsid w:val="00B46639"/>
    <w:rsid w:val="00B47560"/>
    <w:rsid w:val="00B55911"/>
    <w:rsid w:val="00B5769D"/>
    <w:rsid w:val="00B60F0C"/>
    <w:rsid w:val="00B61C45"/>
    <w:rsid w:val="00B61F41"/>
    <w:rsid w:val="00B6562E"/>
    <w:rsid w:val="00B66E04"/>
    <w:rsid w:val="00B67840"/>
    <w:rsid w:val="00B7018A"/>
    <w:rsid w:val="00B72803"/>
    <w:rsid w:val="00B74B1A"/>
    <w:rsid w:val="00B74C77"/>
    <w:rsid w:val="00B760E1"/>
    <w:rsid w:val="00B7641E"/>
    <w:rsid w:val="00B76796"/>
    <w:rsid w:val="00B80545"/>
    <w:rsid w:val="00B82A8D"/>
    <w:rsid w:val="00B830CE"/>
    <w:rsid w:val="00B8592C"/>
    <w:rsid w:val="00B85B71"/>
    <w:rsid w:val="00B877B0"/>
    <w:rsid w:val="00B8782A"/>
    <w:rsid w:val="00B913B5"/>
    <w:rsid w:val="00B91C4D"/>
    <w:rsid w:val="00B923F2"/>
    <w:rsid w:val="00B944DB"/>
    <w:rsid w:val="00B95A3B"/>
    <w:rsid w:val="00BA016B"/>
    <w:rsid w:val="00BA150B"/>
    <w:rsid w:val="00BA30CF"/>
    <w:rsid w:val="00BA3FDB"/>
    <w:rsid w:val="00BA7D51"/>
    <w:rsid w:val="00BB0C79"/>
    <w:rsid w:val="00BB1FCB"/>
    <w:rsid w:val="00BB2ED1"/>
    <w:rsid w:val="00BB3518"/>
    <w:rsid w:val="00BB4A8F"/>
    <w:rsid w:val="00BB5791"/>
    <w:rsid w:val="00BB668F"/>
    <w:rsid w:val="00BB68A6"/>
    <w:rsid w:val="00BC12F3"/>
    <w:rsid w:val="00BC1EFA"/>
    <w:rsid w:val="00BC40E4"/>
    <w:rsid w:val="00BC6118"/>
    <w:rsid w:val="00BD02A2"/>
    <w:rsid w:val="00BD2902"/>
    <w:rsid w:val="00BD2F63"/>
    <w:rsid w:val="00BD52F5"/>
    <w:rsid w:val="00BD5A0C"/>
    <w:rsid w:val="00BD6768"/>
    <w:rsid w:val="00BD6D19"/>
    <w:rsid w:val="00BD6E24"/>
    <w:rsid w:val="00BE184C"/>
    <w:rsid w:val="00BE58EA"/>
    <w:rsid w:val="00BE7DE2"/>
    <w:rsid w:val="00BE7EA1"/>
    <w:rsid w:val="00BF0F92"/>
    <w:rsid w:val="00BF7D1F"/>
    <w:rsid w:val="00BF7DD9"/>
    <w:rsid w:val="00C018B9"/>
    <w:rsid w:val="00C0327A"/>
    <w:rsid w:val="00C03BD0"/>
    <w:rsid w:val="00C05FEB"/>
    <w:rsid w:val="00C1038C"/>
    <w:rsid w:val="00C10BAC"/>
    <w:rsid w:val="00C1184F"/>
    <w:rsid w:val="00C15104"/>
    <w:rsid w:val="00C15913"/>
    <w:rsid w:val="00C15D1A"/>
    <w:rsid w:val="00C1647F"/>
    <w:rsid w:val="00C21D6C"/>
    <w:rsid w:val="00C30116"/>
    <w:rsid w:val="00C3255A"/>
    <w:rsid w:val="00C34D58"/>
    <w:rsid w:val="00C363D1"/>
    <w:rsid w:val="00C37C77"/>
    <w:rsid w:val="00C37F4E"/>
    <w:rsid w:val="00C41257"/>
    <w:rsid w:val="00C41DD4"/>
    <w:rsid w:val="00C46030"/>
    <w:rsid w:val="00C500A1"/>
    <w:rsid w:val="00C521E4"/>
    <w:rsid w:val="00C531BD"/>
    <w:rsid w:val="00C55EE9"/>
    <w:rsid w:val="00C56A85"/>
    <w:rsid w:val="00C56E2C"/>
    <w:rsid w:val="00C61010"/>
    <w:rsid w:val="00C61057"/>
    <w:rsid w:val="00C6132E"/>
    <w:rsid w:val="00C650AF"/>
    <w:rsid w:val="00C666E3"/>
    <w:rsid w:val="00C6707B"/>
    <w:rsid w:val="00C712EC"/>
    <w:rsid w:val="00C72397"/>
    <w:rsid w:val="00C72689"/>
    <w:rsid w:val="00C72817"/>
    <w:rsid w:val="00C73115"/>
    <w:rsid w:val="00C73E7A"/>
    <w:rsid w:val="00C74075"/>
    <w:rsid w:val="00C748F3"/>
    <w:rsid w:val="00C74D38"/>
    <w:rsid w:val="00C75B7D"/>
    <w:rsid w:val="00C76FE0"/>
    <w:rsid w:val="00C77F38"/>
    <w:rsid w:val="00C80850"/>
    <w:rsid w:val="00C85FBC"/>
    <w:rsid w:val="00C86005"/>
    <w:rsid w:val="00C87B1C"/>
    <w:rsid w:val="00C87CCD"/>
    <w:rsid w:val="00C92827"/>
    <w:rsid w:val="00C93868"/>
    <w:rsid w:val="00C93C1A"/>
    <w:rsid w:val="00C93D58"/>
    <w:rsid w:val="00C978DE"/>
    <w:rsid w:val="00CA2F70"/>
    <w:rsid w:val="00CA566F"/>
    <w:rsid w:val="00CA6D4A"/>
    <w:rsid w:val="00CA768A"/>
    <w:rsid w:val="00CB0E7A"/>
    <w:rsid w:val="00CB566B"/>
    <w:rsid w:val="00CB73FB"/>
    <w:rsid w:val="00CC09B3"/>
    <w:rsid w:val="00CC4F4A"/>
    <w:rsid w:val="00CC61DF"/>
    <w:rsid w:val="00CC6EC4"/>
    <w:rsid w:val="00CC7140"/>
    <w:rsid w:val="00CC7946"/>
    <w:rsid w:val="00CC7D63"/>
    <w:rsid w:val="00CD2579"/>
    <w:rsid w:val="00CD268A"/>
    <w:rsid w:val="00CD3676"/>
    <w:rsid w:val="00CD6D87"/>
    <w:rsid w:val="00CE0030"/>
    <w:rsid w:val="00CE08DD"/>
    <w:rsid w:val="00CE0B2D"/>
    <w:rsid w:val="00CE1E8C"/>
    <w:rsid w:val="00CE49AE"/>
    <w:rsid w:val="00CE5103"/>
    <w:rsid w:val="00CE6A8A"/>
    <w:rsid w:val="00CF1620"/>
    <w:rsid w:val="00CF2437"/>
    <w:rsid w:val="00CF4EB0"/>
    <w:rsid w:val="00CF5D5B"/>
    <w:rsid w:val="00CF6B60"/>
    <w:rsid w:val="00D0076F"/>
    <w:rsid w:val="00D00D43"/>
    <w:rsid w:val="00D03A0D"/>
    <w:rsid w:val="00D054A9"/>
    <w:rsid w:val="00D06166"/>
    <w:rsid w:val="00D06278"/>
    <w:rsid w:val="00D064A3"/>
    <w:rsid w:val="00D06C24"/>
    <w:rsid w:val="00D07546"/>
    <w:rsid w:val="00D104BF"/>
    <w:rsid w:val="00D128FA"/>
    <w:rsid w:val="00D132B4"/>
    <w:rsid w:val="00D16B3C"/>
    <w:rsid w:val="00D17065"/>
    <w:rsid w:val="00D202AD"/>
    <w:rsid w:val="00D231C8"/>
    <w:rsid w:val="00D25169"/>
    <w:rsid w:val="00D25D18"/>
    <w:rsid w:val="00D2675E"/>
    <w:rsid w:val="00D30349"/>
    <w:rsid w:val="00D31199"/>
    <w:rsid w:val="00D3180C"/>
    <w:rsid w:val="00D346C5"/>
    <w:rsid w:val="00D36B25"/>
    <w:rsid w:val="00D40842"/>
    <w:rsid w:val="00D41BAB"/>
    <w:rsid w:val="00D434D2"/>
    <w:rsid w:val="00D43F14"/>
    <w:rsid w:val="00D450ED"/>
    <w:rsid w:val="00D45F42"/>
    <w:rsid w:val="00D460EB"/>
    <w:rsid w:val="00D4773E"/>
    <w:rsid w:val="00D506AB"/>
    <w:rsid w:val="00D5212F"/>
    <w:rsid w:val="00D5636D"/>
    <w:rsid w:val="00D566B6"/>
    <w:rsid w:val="00D57DB9"/>
    <w:rsid w:val="00D61505"/>
    <w:rsid w:val="00D6656D"/>
    <w:rsid w:val="00D7100E"/>
    <w:rsid w:val="00D71DFE"/>
    <w:rsid w:val="00D721AD"/>
    <w:rsid w:val="00D731D4"/>
    <w:rsid w:val="00D732D5"/>
    <w:rsid w:val="00D73363"/>
    <w:rsid w:val="00D73E6B"/>
    <w:rsid w:val="00D77899"/>
    <w:rsid w:val="00D84DF2"/>
    <w:rsid w:val="00D8538B"/>
    <w:rsid w:val="00D86E21"/>
    <w:rsid w:val="00D91242"/>
    <w:rsid w:val="00D92BE7"/>
    <w:rsid w:val="00D9710A"/>
    <w:rsid w:val="00DA0372"/>
    <w:rsid w:val="00DA21CD"/>
    <w:rsid w:val="00DA2CCD"/>
    <w:rsid w:val="00DA2DCB"/>
    <w:rsid w:val="00DA43EE"/>
    <w:rsid w:val="00DA4B10"/>
    <w:rsid w:val="00DA58FC"/>
    <w:rsid w:val="00DA5DA3"/>
    <w:rsid w:val="00DB09C5"/>
    <w:rsid w:val="00DB1E17"/>
    <w:rsid w:val="00DB2D8A"/>
    <w:rsid w:val="00DB3697"/>
    <w:rsid w:val="00DB67DF"/>
    <w:rsid w:val="00DB706A"/>
    <w:rsid w:val="00DB7FF6"/>
    <w:rsid w:val="00DC0563"/>
    <w:rsid w:val="00DC1C4C"/>
    <w:rsid w:val="00DC20E6"/>
    <w:rsid w:val="00DC4241"/>
    <w:rsid w:val="00DC4741"/>
    <w:rsid w:val="00DC4C8C"/>
    <w:rsid w:val="00DC56A0"/>
    <w:rsid w:val="00DD12DA"/>
    <w:rsid w:val="00DD48B8"/>
    <w:rsid w:val="00DD5989"/>
    <w:rsid w:val="00DD5F7F"/>
    <w:rsid w:val="00DD7962"/>
    <w:rsid w:val="00DE0E9F"/>
    <w:rsid w:val="00DE1DDB"/>
    <w:rsid w:val="00DE1E4F"/>
    <w:rsid w:val="00DE4154"/>
    <w:rsid w:val="00DE6363"/>
    <w:rsid w:val="00DE75E4"/>
    <w:rsid w:val="00DE79DF"/>
    <w:rsid w:val="00DF0880"/>
    <w:rsid w:val="00DF112F"/>
    <w:rsid w:val="00DF2308"/>
    <w:rsid w:val="00DF25C4"/>
    <w:rsid w:val="00DF5293"/>
    <w:rsid w:val="00DF6C2A"/>
    <w:rsid w:val="00E011DB"/>
    <w:rsid w:val="00E016C3"/>
    <w:rsid w:val="00E01934"/>
    <w:rsid w:val="00E0403C"/>
    <w:rsid w:val="00E040B3"/>
    <w:rsid w:val="00E0554F"/>
    <w:rsid w:val="00E05ACE"/>
    <w:rsid w:val="00E06731"/>
    <w:rsid w:val="00E074C5"/>
    <w:rsid w:val="00E07FB2"/>
    <w:rsid w:val="00E1152E"/>
    <w:rsid w:val="00E11CB0"/>
    <w:rsid w:val="00E11FD7"/>
    <w:rsid w:val="00E1463E"/>
    <w:rsid w:val="00E16E69"/>
    <w:rsid w:val="00E2024D"/>
    <w:rsid w:val="00E20723"/>
    <w:rsid w:val="00E20AC6"/>
    <w:rsid w:val="00E21E29"/>
    <w:rsid w:val="00E22FEC"/>
    <w:rsid w:val="00E30819"/>
    <w:rsid w:val="00E32955"/>
    <w:rsid w:val="00E32ED1"/>
    <w:rsid w:val="00E33DD5"/>
    <w:rsid w:val="00E35A16"/>
    <w:rsid w:val="00E36564"/>
    <w:rsid w:val="00E368A6"/>
    <w:rsid w:val="00E3727D"/>
    <w:rsid w:val="00E403CA"/>
    <w:rsid w:val="00E41C3E"/>
    <w:rsid w:val="00E436CF"/>
    <w:rsid w:val="00E46FD1"/>
    <w:rsid w:val="00E501C6"/>
    <w:rsid w:val="00E502C4"/>
    <w:rsid w:val="00E50E9C"/>
    <w:rsid w:val="00E516A3"/>
    <w:rsid w:val="00E53558"/>
    <w:rsid w:val="00E5765F"/>
    <w:rsid w:val="00E6002F"/>
    <w:rsid w:val="00E60C26"/>
    <w:rsid w:val="00E61D81"/>
    <w:rsid w:val="00E63308"/>
    <w:rsid w:val="00E6549D"/>
    <w:rsid w:val="00E663A0"/>
    <w:rsid w:val="00E67371"/>
    <w:rsid w:val="00E678FB"/>
    <w:rsid w:val="00E702D7"/>
    <w:rsid w:val="00E706A5"/>
    <w:rsid w:val="00E715AB"/>
    <w:rsid w:val="00E73DAE"/>
    <w:rsid w:val="00E757B0"/>
    <w:rsid w:val="00E75DD2"/>
    <w:rsid w:val="00E77437"/>
    <w:rsid w:val="00E77655"/>
    <w:rsid w:val="00E82B82"/>
    <w:rsid w:val="00E83143"/>
    <w:rsid w:val="00E83F4E"/>
    <w:rsid w:val="00E842F0"/>
    <w:rsid w:val="00E85F25"/>
    <w:rsid w:val="00E86C51"/>
    <w:rsid w:val="00E8743E"/>
    <w:rsid w:val="00E87D5E"/>
    <w:rsid w:val="00E918A8"/>
    <w:rsid w:val="00E9229B"/>
    <w:rsid w:val="00E93B09"/>
    <w:rsid w:val="00E94368"/>
    <w:rsid w:val="00E9519B"/>
    <w:rsid w:val="00E96741"/>
    <w:rsid w:val="00E97E68"/>
    <w:rsid w:val="00EA0A09"/>
    <w:rsid w:val="00EA2363"/>
    <w:rsid w:val="00EA64EE"/>
    <w:rsid w:val="00EA670C"/>
    <w:rsid w:val="00EA7207"/>
    <w:rsid w:val="00EB182A"/>
    <w:rsid w:val="00EB1BE3"/>
    <w:rsid w:val="00EB25AF"/>
    <w:rsid w:val="00EB2B31"/>
    <w:rsid w:val="00EB2B99"/>
    <w:rsid w:val="00EB32C8"/>
    <w:rsid w:val="00EB4211"/>
    <w:rsid w:val="00EB67BE"/>
    <w:rsid w:val="00EB698D"/>
    <w:rsid w:val="00EB7328"/>
    <w:rsid w:val="00EC33CC"/>
    <w:rsid w:val="00EC37BF"/>
    <w:rsid w:val="00EC4EBE"/>
    <w:rsid w:val="00EC4FAB"/>
    <w:rsid w:val="00EC55C2"/>
    <w:rsid w:val="00EC717F"/>
    <w:rsid w:val="00EC7788"/>
    <w:rsid w:val="00EC7D76"/>
    <w:rsid w:val="00EC7FEA"/>
    <w:rsid w:val="00ED02ED"/>
    <w:rsid w:val="00ED081D"/>
    <w:rsid w:val="00ED0A40"/>
    <w:rsid w:val="00ED0E94"/>
    <w:rsid w:val="00ED137F"/>
    <w:rsid w:val="00ED1DD3"/>
    <w:rsid w:val="00ED21D1"/>
    <w:rsid w:val="00ED2878"/>
    <w:rsid w:val="00ED3578"/>
    <w:rsid w:val="00ED5DAF"/>
    <w:rsid w:val="00ED6FC9"/>
    <w:rsid w:val="00ED7851"/>
    <w:rsid w:val="00EE317C"/>
    <w:rsid w:val="00EE4214"/>
    <w:rsid w:val="00EE544B"/>
    <w:rsid w:val="00EE5F22"/>
    <w:rsid w:val="00EE71BE"/>
    <w:rsid w:val="00EF01F6"/>
    <w:rsid w:val="00EF1AE8"/>
    <w:rsid w:val="00EF1F18"/>
    <w:rsid w:val="00EF2A8C"/>
    <w:rsid w:val="00EF2F86"/>
    <w:rsid w:val="00EF4059"/>
    <w:rsid w:val="00EF5F76"/>
    <w:rsid w:val="00EF617F"/>
    <w:rsid w:val="00EF6C67"/>
    <w:rsid w:val="00EF6D39"/>
    <w:rsid w:val="00EF6E66"/>
    <w:rsid w:val="00F026FD"/>
    <w:rsid w:val="00F0557E"/>
    <w:rsid w:val="00F07674"/>
    <w:rsid w:val="00F111D7"/>
    <w:rsid w:val="00F11245"/>
    <w:rsid w:val="00F125E1"/>
    <w:rsid w:val="00F12793"/>
    <w:rsid w:val="00F211CC"/>
    <w:rsid w:val="00F22EDC"/>
    <w:rsid w:val="00F2418E"/>
    <w:rsid w:val="00F340FC"/>
    <w:rsid w:val="00F3590F"/>
    <w:rsid w:val="00F3676C"/>
    <w:rsid w:val="00F37123"/>
    <w:rsid w:val="00F37799"/>
    <w:rsid w:val="00F37B64"/>
    <w:rsid w:val="00F37E5F"/>
    <w:rsid w:val="00F40C0D"/>
    <w:rsid w:val="00F43925"/>
    <w:rsid w:val="00F4490C"/>
    <w:rsid w:val="00F454BE"/>
    <w:rsid w:val="00F464DC"/>
    <w:rsid w:val="00F473B4"/>
    <w:rsid w:val="00F51746"/>
    <w:rsid w:val="00F51E52"/>
    <w:rsid w:val="00F52A03"/>
    <w:rsid w:val="00F56EA0"/>
    <w:rsid w:val="00F610A7"/>
    <w:rsid w:val="00F6166F"/>
    <w:rsid w:val="00F6741C"/>
    <w:rsid w:val="00F67EF7"/>
    <w:rsid w:val="00F70C6F"/>
    <w:rsid w:val="00F74283"/>
    <w:rsid w:val="00F74C9C"/>
    <w:rsid w:val="00F80329"/>
    <w:rsid w:val="00F80F12"/>
    <w:rsid w:val="00F84B7B"/>
    <w:rsid w:val="00F856F9"/>
    <w:rsid w:val="00F86FEE"/>
    <w:rsid w:val="00F92E3C"/>
    <w:rsid w:val="00F94A9F"/>
    <w:rsid w:val="00F94E0F"/>
    <w:rsid w:val="00F951C9"/>
    <w:rsid w:val="00F954D2"/>
    <w:rsid w:val="00F961BF"/>
    <w:rsid w:val="00F96347"/>
    <w:rsid w:val="00F96537"/>
    <w:rsid w:val="00F96614"/>
    <w:rsid w:val="00F977F5"/>
    <w:rsid w:val="00FA19D6"/>
    <w:rsid w:val="00FA3AC0"/>
    <w:rsid w:val="00FA555C"/>
    <w:rsid w:val="00FA7084"/>
    <w:rsid w:val="00FB1FD6"/>
    <w:rsid w:val="00FB27F5"/>
    <w:rsid w:val="00FB3B9B"/>
    <w:rsid w:val="00FB4355"/>
    <w:rsid w:val="00FB538B"/>
    <w:rsid w:val="00FB59B2"/>
    <w:rsid w:val="00FC0F15"/>
    <w:rsid w:val="00FC13B0"/>
    <w:rsid w:val="00FC1764"/>
    <w:rsid w:val="00FC26CD"/>
    <w:rsid w:val="00FC38CE"/>
    <w:rsid w:val="00FC394E"/>
    <w:rsid w:val="00FC54A7"/>
    <w:rsid w:val="00FD27FE"/>
    <w:rsid w:val="00FD2EDD"/>
    <w:rsid w:val="00FD4785"/>
    <w:rsid w:val="00FD59BC"/>
    <w:rsid w:val="00FD612D"/>
    <w:rsid w:val="00FD62DF"/>
    <w:rsid w:val="00FD7BDC"/>
    <w:rsid w:val="00FE52D9"/>
    <w:rsid w:val="00FE5514"/>
    <w:rsid w:val="00FE687B"/>
    <w:rsid w:val="00FE7242"/>
    <w:rsid w:val="00FF0D2C"/>
    <w:rsid w:val="00FF2086"/>
    <w:rsid w:val="00FF6CFD"/>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library.org/books/OL22071008M/European_pharmacopoe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3395</Words>
  <Characters>19354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CARTER, Bless</cp:lastModifiedBy>
  <cp:revision>2</cp:revision>
  <dcterms:created xsi:type="dcterms:W3CDTF">2023-06-21T03:01:00Z</dcterms:created>
  <dcterms:modified xsi:type="dcterms:W3CDTF">2023-06-21T03:01:00Z</dcterms:modified>
</cp:coreProperties>
</file>