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970B" w14:textId="77777777" w:rsidR="00FB640B" w:rsidRPr="008B24C8" w:rsidRDefault="0057002B" w:rsidP="00BB0CF2">
      <w:pPr>
        <w:pStyle w:val="ESTitleHeader"/>
      </w:pPr>
      <w:r w:rsidRPr="008B24C8">
        <w:t>EXPLANATORY STATEMENT</w:t>
      </w:r>
    </w:p>
    <w:p w14:paraId="434B3C0A" w14:textId="77777777" w:rsidR="0057002B" w:rsidRPr="008B24C8" w:rsidRDefault="0057002B" w:rsidP="00BB0CF2">
      <w:pPr>
        <w:pStyle w:val="ESTitleDecisionMaker"/>
      </w:pPr>
      <w:r w:rsidRPr="008B24C8">
        <w:t xml:space="preserve">Issued by authority of the </w:t>
      </w:r>
      <w:r w:rsidR="00D561B8">
        <w:t>Minister for Immigration, Citizenship and Multicultural Affairs</w:t>
      </w:r>
    </w:p>
    <w:p w14:paraId="384B2A91" w14:textId="77777777" w:rsidR="0057002B" w:rsidRPr="008B24C8" w:rsidRDefault="00FE0370" w:rsidP="00BB0CF2">
      <w:pPr>
        <w:pStyle w:val="ESTitleEnablingLegislation"/>
      </w:pPr>
      <w:r>
        <w:t>Migration Regulations 1994</w:t>
      </w:r>
    </w:p>
    <w:p w14:paraId="36ACDBD6" w14:textId="77777777" w:rsidR="0057002B" w:rsidRPr="008B24C8" w:rsidRDefault="00FE0370" w:rsidP="00BB0CF2">
      <w:pPr>
        <w:pStyle w:val="ESTitleInstrumentName"/>
      </w:pPr>
      <w:r>
        <w:t>Migration (Required Medical Assessment) Amendment Instrument (LIN 23/042) 2023</w:t>
      </w:r>
    </w:p>
    <w:p w14:paraId="207A6E72" w14:textId="41CDD67F" w:rsidR="0057002B" w:rsidRPr="008B24C8" w:rsidRDefault="0057002B" w:rsidP="005A5724">
      <w:pPr>
        <w:pStyle w:val="ESPara"/>
        <w:ind w:left="567" w:hanging="567"/>
      </w:pPr>
      <w:r w:rsidRPr="008B24C8">
        <w:t>The instrume</w:t>
      </w:r>
      <w:r w:rsidR="00FE0370">
        <w:t>nt, Departmental reference LIN 23/042</w:t>
      </w:r>
      <w:r w:rsidRPr="008B24C8">
        <w:t xml:space="preserve">, is made under </w:t>
      </w:r>
      <w:r w:rsidR="00201251">
        <w:t>paragraphs 4005(1</w:t>
      </w:r>
      <w:proofErr w:type="gramStart"/>
      <w:r w:rsidR="00201251">
        <w:t>)(</w:t>
      </w:r>
      <w:proofErr w:type="gramEnd"/>
      <w:r w:rsidR="00201251">
        <w:t>aa) and 4007(1)(aa)</w:t>
      </w:r>
      <w:r w:rsidR="00201251" w:rsidRPr="008B24C8">
        <w:t xml:space="preserve"> </w:t>
      </w:r>
      <w:r w:rsidRPr="008B24C8">
        <w:t xml:space="preserve">of </w:t>
      </w:r>
      <w:r w:rsidR="00201251">
        <w:t xml:space="preserve">Schedule 4 to </w:t>
      </w:r>
      <w:r w:rsidRPr="008B24C8">
        <w:t xml:space="preserve">the </w:t>
      </w:r>
      <w:r w:rsidRPr="008B24C8">
        <w:rPr>
          <w:i/>
        </w:rPr>
        <w:t>Migration Regulations 1994</w:t>
      </w:r>
      <w:r w:rsidR="00FE0370">
        <w:t xml:space="preserve"> (the Migration Regulations)</w:t>
      </w:r>
      <w:r w:rsidRPr="008B24C8">
        <w:t xml:space="preserve">.  </w:t>
      </w:r>
    </w:p>
    <w:p w14:paraId="13EBCCC1" w14:textId="51A616E5" w:rsidR="00EA12C9" w:rsidRPr="008B24C8" w:rsidRDefault="00EA12C9" w:rsidP="005A5724">
      <w:pPr>
        <w:pStyle w:val="ESPara"/>
        <w:ind w:left="567" w:hanging="567"/>
      </w:pPr>
      <w:r w:rsidRPr="008B24C8">
        <w:t xml:space="preserve">The instrument </w:t>
      </w:r>
      <w:r w:rsidR="00FE0370">
        <w:t xml:space="preserve">amends </w:t>
      </w:r>
      <w:r w:rsidR="008313B6">
        <w:rPr>
          <w:i/>
        </w:rPr>
        <w:t xml:space="preserve">Required Medical Assessment </w:t>
      </w:r>
      <w:r w:rsidR="00FE0370">
        <w:t>(IMMI 15/144)</w:t>
      </w:r>
      <w:r w:rsidR="00B75478">
        <w:t xml:space="preserve"> </w:t>
      </w:r>
      <w:r w:rsidR="00276A4B">
        <w:t xml:space="preserve">(F2022C00721) </w:t>
      </w:r>
      <w:r w:rsidRPr="008B24C8">
        <w:t xml:space="preserve">in accordance with subsection 33(3) of the </w:t>
      </w:r>
      <w:r w:rsidRPr="008B24C8">
        <w:rPr>
          <w:i/>
        </w:rPr>
        <w:t>Acts Interpretation Act 1901</w:t>
      </w:r>
      <w:r w:rsidR="00BD598E" w:rsidRPr="008B24C8">
        <w:rPr>
          <w:i/>
        </w:rPr>
        <w:t xml:space="preserve"> </w:t>
      </w:r>
      <w:r w:rsidR="00BD598E" w:rsidRPr="008B24C8">
        <w:t>(the Acts Interpretation Act)</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581ACA93" w14:textId="77777777" w:rsidR="00BD598E" w:rsidRPr="008B24C8" w:rsidRDefault="00AA4557" w:rsidP="005A5724">
      <w:pPr>
        <w:pStyle w:val="ESPara"/>
        <w:ind w:left="567" w:hanging="567"/>
      </w:pPr>
      <w:r>
        <w:t xml:space="preserve">The instrument commences </w:t>
      </w:r>
      <w:r w:rsidR="00FE0370">
        <w:t>on 1 July 2023,</w:t>
      </w:r>
      <w:r>
        <w:t xml:space="preserve"> and i</w:t>
      </w:r>
      <w:r w:rsidR="00BD598E" w:rsidRPr="008B24C8">
        <w:t xml:space="preserve">s a </w:t>
      </w:r>
      <w:r>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16DA47AA" w14:textId="77777777" w:rsidR="00EA12C9" w:rsidRPr="00BB0CF2" w:rsidRDefault="00BD598E" w:rsidP="00100DFC">
      <w:pPr>
        <w:pStyle w:val="ESHeading"/>
        <w:rPr>
          <w:color w:val="FF0000"/>
        </w:rPr>
      </w:pPr>
      <w:r w:rsidRPr="008B24C8">
        <w:t>Purpose</w:t>
      </w:r>
      <w:r w:rsidR="00BB0CF2">
        <w:t xml:space="preserve"> </w:t>
      </w:r>
    </w:p>
    <w:p w14:paraId="4EFC0B91" w14:textId="1CC2C2D7" w:rsidR="00B75478" w:rsidRDefault="00FE0370" w:rsidP="005A5724">
      <w:pPr>
        <w:pStyle w:val="ESPara"/>
        <w:ind w:left="567" w:hanging="567"/>
      </w:pPr>
      <w:r>
        <w:t>Paragraphs 4005(1</w:t>
      </w:r>
      <w:proofErr w:type="gramStart"/>
      <w:r>
        <w:t>)(</w:t>
      </w:r>
      <w:proofErr w:type="gramEnd"/>
      <w:r>
        <w:t xml:space="preserve">aa) and 4007(1)(aa) of Schedule 4 to the Migration Regulations provides that </w:t>
      </w:r>
      <w:r w:rsidR="00AB1C6F">
        <w:t xml:space="preserve">unless a Medical Officer of the Commonwealth decides otherwise, </w:t>
      </w:r>
      <w:r>
        <w:t xml:space="preserve">if </w:t>
      </w:r>
      <w:r w:rsidR="00AB1C6F">
        <w:t>an</w:t>
      </w:r>
      <w:r>
        <w:t xml:space="preserve"> applicant is in a class of persons specified by the Minister in an instrument </w:t>
      </w:r>
      <w:r w:rsidR="00AB1C6F">
        <w:t>in writing</w:t>
      </w:r>
      <w:r>
        <w:t xml:space="preserve">, they must undertake any medical assessment </w:t>
      </w:r>
      <w:r w:rsidR="00201251">
        <w:t xml:space="preserve">specified in an instrument in writing </w:t>
      </w:r>
      <w:r>
        <w:t>and must be assessed by the per</w:t>
      </w:r>
      <w:r w:rsidR="00AB1C6F">
        <w:t>son specified in the instrument</w:t>
      </w:r>
      <w:r>
        <w:t xml:space="preserve">. </w:t>
      </w:r>
    </w:p>
    <w:p w14:paraId="3654861B" w14:textId="18D24D65" w:rsidR="00F83D3A" w:rsidRDefault="00FE0370" w:rsidP="005A5724">
      <w:pPr>
        <w:pStyle w:val="ESPara"/>
        <w:ind w:left="567" w:hanging="567"/>
      </w:pPr>
      <w:r>
        <w:t xml:space="preserve">Current IMMI 15/144 </w:t>
      </w:r>
      <w:r w:rsidR="00201251">
        <w:t>provides</w:t>
      </w:r>
      <w:r>
        <w:t xml:space="preserve"> that </w:t>
      </w:r>
      <w:r w:rsidR="00201251">
        <w:t xml:space="preserve">the </w:t>
      </w:r>
      <w:r>
        <w:t>applicants</w:t>
      </w:r>
      <w:r w:rsidR="00201251">
        <w:t xml:space="preserve"> mentioned in that instrument</w:t>
      </w:r>
      <w:r>
        <w:t xml:space="preserve"> must undertake medical assessments by reference to their country of citizenship or residence, intended activities and their intended stay period in Australia.</w:t>
      </w:r>
    </w:p>
    <w:p w14:paraId="56EFEB90" w14:textId="69836CE6" w:rsidR="00A321FB" w:rsidRDefault="00A321FB" w:rsidP="005A5724">
      <w:pPr>
        <w:pStyle w:val="ESPara"/>
        <w:ind w:left="567" w:hanging="567"/>
      </w:pPr>
      <w:r>
        <w:t>The purpose of LIN 23/042 is to amend IMMI 15/144 by:</w:t>
      </w:r>
    </w:p>
    <w:p w14:paraId="71F5A751" w14:textId="7FE8C8E4" w:rsidR="00A321FB" w:rsidRDefault="00A321FB" w:rsidP="005A5724">
      <w:pPr>
        <w:pStyle w:val="ESSubparaList"/>
        <w:ind w:left="993"/>
      </w:pPr>
      <w:r>
        <w:t xml:space="preserve">updating the country list under Column A of Schedule 1 and Column A of Schedule 2 based on low and high Tuberculosis risk countries; and </w:t>
      </w:r>
      <w:bookmarkStart w:id="0" w:name="_GoBack"/>
      <w:bookmarkEnd w:id="0"/>
    </w:p>
    <w:p w14:paraId="687EC13D" w14:textId="1217AF8E" w:rsidR="00A321FB" w:rsidRDefault="005A5724" w:rsidP="005A5724">
      <w:pPr>
        <w:pStyle w:val="ESSubparaList"/>
        <w:ind w:left="993"/>
      </w:pPr>
      <w:proofErr w:type="gramStart"/>
      <w:r>
        <w:t>introducing</w:t>
      </w:r>
      <w:proofErr w:type="gramEnd"/>
      <w:r>
        <w:t xml:space="preserve"> an express </w:t>
      </w:r>
      <w:r w:rsidR="00A321FB">
        <w:t>requirement for a Serum Creatinine/</w:t>
      </w:r>
      <w:proofErr w:type="spellStart"/>
      <w:r w:rsidR="00A321FB">
        <w:t>eGFR</w:t>
      </w:r>
      <w:proofErr w:type="spellEnd"/>
      <w:r w:rsidR="00A321FB">
        <w:t xml:space="preserve"> test for the classes of person specified in IMMI 15/144 pursuant to paragraphs 4005(1)(aa) and 4007(1)(aa) of the Migration Regulations. </w:t>
      </w:r>
    </w:p>
    <w:p w14:paraId="63A977C6" w14:textId="77777777" w:rsidR="00FE0370" w:rsidRDefault="00F83D3A" w:rsidP="00F83D3A">
      <w:pPr>
        <w:pStyle w:val="ESPara"/>
        <w:numPr>
          <w:ilvl w:val="0"/>
          <w:numId w:val="0"/>
        </w:numPr>
      </w:pPr>
      <w:r>
        <w:rPr>
          <w:i/>
        </w:rPr>
        <w:t xml:space="preserve">Amendments to country list </w:t>
      </w:r>
    </w:p>
    <w:p w14:paraId="7764C915" w14:textId="51CE168B" w:rsidR="00F83D3A" w:rsidRDefault="00B1558F" w:rsidP="005A5724">
      <w:pPr>
        <w:pStyle w:val="ESPara"/>
        <w:ind w:left="567" w:hanging="567"/>
      </w:pPr>
      <w:r>
        <w:t xml:space="preserve">Column A of Schedule 1 in IMMI 15/144 classifies countries that are considered as lower Tuberculosis risk countries, where applicants do not require an Immigration Medical Examination (IME) to be undertaken depending on their visa type, proposed length of stay or </w:t>
      </w:r>
      <w:r w:rsidR="00201251">
        <w:t xml:space="preserve">association with </w:t>
      </w:r>
      <w:r>
        <w:t xml:space="preserve">any </w:t>
      </w:r>
      <w:r w:rsidR="00201251">
        <w:t xml:space="preserve">high risk </w:t>
      </w:r>
      <w:r w:rsidR="009C48C6">
        <w:t>cohorts</w:t>
      </w:r>
      <w:r w:rsidR="00201251">
        <w:t xml:space="preserve"> (for example, </w:t>
      </w:r>
      <w:r w:rsidR="009C48C6">
        <w:t>the applicant is intending to work as a nurse</w:t>
      </w:r>
      <w:r w:rsidR="00201251">
        <w:t>)</w:t>
      </w:r>
      <w:r>
        <w:t xml:space="preserve">. </w:t>
      </w:r>
      <w:r w:rsidR="005A5724">
        <w:t xml:space="preserve"> </w:t>
      </w:r>
      <w:r w:rsidR="00064DC8">
        <w:t xml:space="preserve">Column A of Schedule 2 in IMMI 15/144 </w:t>
      </w:r>
      <w:r w:rsidR="000E0C2A">
        <w:t>relates to countries</w:t>
      </w:r>
      <w:r w:rsidR="00201251">
        <w:t xml:space="preserve"> which </w:t>
      </w:r>
      <w:r w:rsidR="00064DC8">
        <w:t xml:space="preserve">are considered to be higher Tuberculosis risk countries and requires </w:t>
      </w:r>
      <w:r w:rsidR="00064DC8">
        <w:lastRenderedPageBreak/>
        <w:t xml:space="preserve">visa applicants to undertake an IME for stays of 6 months or more, or if </w:t>
      </w:r>
      <w:r w:rsidR="009C48C6">
        <w:t>associated with a high risk cohort</w:t>
      </w:r>
      <w:r w:rsidR="00064DC8">
        <w:t xml:space="preserve">. </w:t>
      </w:r>
    </w:p>
    <w:p w14:paraId="292E9C0D" w14:textId="272BD0D1" w:rsidR="00064DC8" w:rsidRDefault="00064DC8" w:rsidP="005A5724">
      <w:pPr>
        <w:pStyle w:val="ESPara"/>
        <w:ind w:left="567" w:hanging="567"/>
      </w:pPr>
      <w:r>
        <w:t>Based on</w:t>
      </w:r>
      <w:r w:rsidR="000E0C2A">
        <w:t xml:space="preserve"> updated</w:t>
      </w:r>
      <w:r>
        <w:t xml:space="preserve"> World Health Organisation (WHO) data available to the Department, </w:t>
      </w:r>
      <w:r w:rsidR="00221888">
        <w:t>18</w:t>
      </w:r>
      <w:r>
        <w:t xml:space="preserve"> countries have been added to Column A of Schedule 1 as they were not </w:t>
      </w:r>
      <w:r w:rsidR="00221888">
        <w:t xml:space="preserve">previously </w:t>
      </w:r>
      <w:r>
        <w:t>classified as low Tuberculosis risk countries</w:t>
      </w:r>
      <w:r w:rsidR="00221888">
        <w:t xml:space="preserve"> but have become low risk countries; and two countries have been removed from Column A of Schedule 1 because they were previously classified as low risk countries but have become high risk countries</w:t>
      </w:r>
      <w:r>
        <w:t xml:space="preserve">. </w:t>
      </w:r>
    </w:p>
    <w:p w14:paraId="465AFF2E" w14:textId="371B770E" w:rsidR="00064DC8" w:rsidRDefault="00C5777B" w:rsidP="005A5724">
      <w:pPr>
        <w:pStyle w:val="ESPara"/>
        <w:ind w:left="567" w:hanging="567"/>
      </w:pPr>
      <w:r>
        <w:t>The</w:t>
      </w:r>
      <w:r w:rsidR="00064DC8">
        <w:t xml:space="preserve"> 18 countries </w:t>
      </w:r>
      <w:r>
        <w:t>which have been assessed as low Tuberculosis risk countries and wh</w:t>
      </w:r>
      <w:r w:rsidR="00672A3B">
        <w:t>i</w:t>
      </w:r>
      <w:r>
        <w:t xml:space="preserve">ch </w:t>
      </w:r>
      <w:r w:rsidR="00064DC8">
        <w:t>have been added to Schedule 1</w:t>
      </w:r>
      <w:r>
        <w:t xml:space="preserve"> are</w:t>
      </w:r>
      <w:r w:rsidR="00064DC8">
        <w:t xml:space="preserve">: </w:t>
      </w:r>
    </w:p>
    <w:p w14:paraId="61AA4FCE" w14:textId="5E3F2499" w:rsidR="00064DC8" w:rsidRDefault="00064DC8" w:rsidP="005A5724">
      <w:pPr>
        <w:pStyle w:val="ESPara"/>
        <w:numPr>
          <w:ilvl w:val="0"/>
          <w:numId w:val="9"/>
        </w:numPr>
        <w:spacing w:line="240" w:lineRule="auto"/>
        <w:ind w:left="993" w:hanging="426"/>
      </w:pPr>
      <w:r w:rsidRPr="00064DC8">
        <w:t>Anguilla</w:t>
      </w:r>
      <w:r>
        <w:t>;</w:t>
      </w:r>
    </w:p>
    <w:p w14:paraId="376BFC8A" w14:textId="2A7A0C6F" w:rsidR="00064DC8" w:rsidRDefault="00064DC8" w:rsidP="005A5724">
      <w:pPr>
        <w:pStyle w:val="ESPara"/>
        <w:numPr>
          <w:ilvl w:val="0"/>
          <w:numId w:val="9"/>
        </w:numPr>
        <w:spacing w:line="240" w:lineRule="auto"/>
        <w:ind w:left="993" w:hanging="426"/>
      </w:pPr>
      <w:r>
        <w:t>Armenia;</w:t>
      </w:r>
    </w:p>
    <w:p w14:paraId="273BCB0D" w14:textId="1EBD09FD" w:rsidR="00064DC8" w:rsidRDefault="00064DC8" w:rsidP="005A5724">
      <w:pPr>
        <w:pStyle w:val="ESPara"/>
        <w:numPr>
          <w:ilvl w:val="0"/>
          <w:numId w:val="9"/>
        </w:numPr>
        <w:spacing w:line="240" w:lineRule="auto"/>
        <w:ind w:left="993" w:hanging="426"/>
      </w:pPr>
      <w:r>
        <w:t>Belarus;</w:t>
      </w:r>
    </w:p>
    <w:p w14:paraId="3406C9C0" w14:textId="77777777" w:rsidR="00064DC8" w:rsidRDefault="00064DC8" w:rsidP="005A5724">
      <w:pPr>
        <w:pStyle w:val="ESPara"/>
        <w:numPr>
          <w:ilvl w:val="0"/>
          <w:numId w:val="9"/>
        </w:numPr>
        <w:spacing w:line="240" w:lineRule="auto"/>
        <w:ind w:left="993" w:hanging="426"/>
      </w:pPr>
      <w:r>
        <w:t>Bosnia and Herzegovina;</w:t>
      </w:r>
    </w:p>
    <w:p w14:paraId="2753B119" w14:textId="77777777" w:rsidR="00064DC8" w:rsidRDefault="00064DC8" w:rsidP="005A5724">
      <w:pPr>
        <w:pStyle w:val="ESPara"/>
        <w:numPr>
          <w:ilvl w:val="0"/>
          <w:numId w:val="9"/>
        </w:numPr>
        <w:spacing w:line="240" w:lineRule="auto"/>
        <w:ind w:left="993" w:hanging="426"/>
      </w:pPr>
      <w:r w:rsidRPr="00064DC8">
        <w:t xml:space="preserve">Cabo Verde; </w:t>
      </w:r>
    </w:p>
    <w:p w14:paraId="57FDC271" w14:textId="77777777" w:rsidR="00064DC8" w:rsidRDefault="00064DC8" w:rsidP="005A5724">
      <w:pPr>
        <w:pStyle w:val="ESPara"/>
        <w:numPr>
          <w:ilvl w:val="0"/>
          <w:numId w:val="9"/>
        </w:numPr>
        <w:spacing w:line="240" w:lineRule="auto"/>
        <w:ind w:left="993" w:hanging="426"/>
      </w:pPr>
      <w:r>
        <w:t>Comoros</w:t>
      </w:r>
      <w:r w:rsidRPr="00064DC8">
        <w:t xml:space="preserve">; </w:t>
      </w:r>
    </w:p>
    <w:p w14:paraId="1101EA25" w14:textId="77777777" w:rsidR="00064DC8" w:rsidRDefault="00064DC8" w:rsidP="005A5724">
      <w:pPr>
        <w:pStyle w:val="ESPara"/>
        <w:numPr>
          <w:ilvl w:val="0"/>
          <w:numId w:val="9"/>
        </w:numPr>
        <w:spacing w:line="240" w:lineRule="auto"/>
        <w:ind w:left="993" w:hanging="426"/>
      </w:pPr>
      <w:r w:rsidRPr="00064DC8">
        <w:t xml:space="preserve">Guam; </w:t>
      </w:r>
    </w:p>
    <w:p w14:paraId="01191F9B" w14:textId="77777777" w:rsidR="00064DC8" w:rsidRDefault="00064DC8" w:rsidP="005A5724">
      <w:pPr>
        <w:pStyle w:val="ESPara"/>
        <w:numPr>
          <w:ilvl w:val="0"/>
          <w:numId w:val="9"/>
        </w:numPr>
        <w:spacing w:line="240" w:lineRule="auto"/>
        <w:ind w:left="993" w:hanging="426"/>
      </w:pPr>
      <w:r w:rsidRPr="00064DC8">
        <w:t xml:space="preserve">Guatemala; </w:t>
      </w:r>
    </w:p>
    <w:p w14:paraId="56D9F6FE" w14:textId="77777777" w:rsidR="00064DC8" w:rsidRDefault="00064DC8" w:rsidP="005A5724">
      <w:pPr>
        <w:pStyle w:val="ESPara"/>
        <w:numPr>
          <w:ilvl w:val="0"/>
          <w:numId w:val="9"/>
        </w:numPr>
        <w:spacing w:line="240" w:lineRule="auto"/>
        <w:ind w:left="993" w:hanging="426"/>
      </w:pPr>
      <w:r w:rsidRPr="00064DC8">
        <w:t xml:space="preserve">Honduras; </w:t>
      </w:r>
    </w:p>
    <w:p w14:paraId="5BDBE48D" w14:textId="77777777" w:rsidR="00064DC8" w:rsidRDefault="00064DC8" w:rsidP="005A5724">
      <w:pPr>
        <w:pStyle w:val="ESPara"/>
        <w:numPr>
          <w:ilvl w:val="0"/>
          <w:numId w:val="9"/>
        </w:numPr>
        <w:spacing w:line="240" w:lineRule="auto"/>
        <w:ind w:left="993" w:hanging="426"/>
      </w:pPr>
      <w:r>
        <w:t>Iraq</w:t>
      </w:r>
      <w:r w:rsidRPr="00064DC8">
        <w:t xml:space="preserve">; </w:t>
      </w:r>
    </w:p>
    <w:p w14:paraId="14F106FF" w14:textId="77777777" w:rsidR="00064DC8" w:rsidRDefault="00064DC8" w:rsidP="005A5724">
      <w:pPr>
        <w:pStyle w:val="ESPara"/>
        <w:numPr>
          <w:ilvl w:val="0"/>
          <w:numId w:val="9"/>
        </w:numPr>
        <w:spacing w:line="240" w:lineRule="auto"/>
        <w:ind w:left="993" w:hanging="426"/>
      </w:pPr>
      <w:r w:rsidRPr="00064DC8">
        <w:t xml:space="preserve">Latvia; </w:t>
      </w:r>
    </w:p>
    <w:p w14:paraId="68793C63" w14:textId="77777777" w:rsidR="00064DC8" w:rsidRDefault="00064DC8" w:rsidP="005A5724">
      <w:pPr>
        <w:pStyle w:val="ESPara"/>
        <w:numPr>
          <w:ilvl w:val="0"/>
          <w:numId w:val="9"/>
        </w:numPr>
        <w:spacing w:line="240" w:lineRule="auto"/>
        <w:ind w:left="993" w:hanging="426"/>
      </w:pPr>
      <w:r w:rsidRPr="00064DC8">
        <w:t xml:space="preserve">Lithuania; </w:t>
      </w:r>
    </w:p>
    <w:p w14:paraId="5D965529" w14:textId="77777777" w:rsidR="00064DC8" w:rsidRDefault="00064DC8" w:rsidP="005A5724">
      <w:pPr>
        <w:pStyle w:val="ESPara"/>
        <w:numPr>
          <w:ilvl w:val="0"/>
          <w:numId w:val="9"/>
        </w:numPr>
        <w:spacing w:line="240" w:lineRule="auto"/>
        <w:ind w:left="993" w:hanging="426"/>
      </w:pPr>
      <w:r w:rsidRPr="00064DC8">
        <w:t xml:space="preserve">Maldives; </w:t>
      </w:r>
    </w:p>
    <w:p w14:paraId="27D1A6D9" w14:textId="77777777" w:rsidR="00064DC8" w:rsidRDefault="00064DC8" w:rsidP="005A5724">
      <w:pPr>
        <w:pStyle w:val="ESPara"/>
        <w:numPr>
          <w:ilvl w:val="0"/>
          <w:numId w:val="9"/>
        </w:numPr>
        <w:spacing w:line="240" w:lineRule="auto"/>
        <w:ind w:left="993" w:hanging="426"/>
      </w:pPr>
      <w:r w:rsidRPr="00064DC8">
        <w:t xml:space="preserve">Saint Vincent and the Grenadines; </w:t>
      </w:r>
    </w:p>
    <w:p w14:paraId="17A8C33C" w14:textId="77777777" w:rsidR="00064DC8" w:rsidRDefault="00064DC8" w:rsidP="005A5724">
      <w:pPr>
        <w:pStyle w:val="ESPara"/>
        <w:numPr>
          <w:ilvl w:val="0"/>
          <w:numId w:val="9"/>
        </w:numPr>
        <w:spacing w:line="240" w:lineRule="auto"/>
        <w:ind w:left="993" w:hanging="426"/>
      </w:pPr>
      <w:r w:rsidRPr="00064DC8">
        <w:t xml:space="preserve">Suriname; </w:t>
      </w:r>
    </w:p>
    <w:p w14:paraId="533AF127" w14:textId="77777777" w:rsidR="00064DC8" w:rsidRDefault="00064DC8" w:rsidP="005A5724">
      <w:pPr>
        <w:pStyle w:val="ESPara"/>
        <w:numPr>
          <w:ilvl w:val="0"/>
          <w:numId w:val="9"/>
        </w:numPr>
        <w:spacing w:line="240" w:lineRule="auto"/>
        <w:ind w:left="993" w:hanging="426"/>
      </w:pPr>
      <w:r w:rsidRPr="00064DC8">
        <w:t xml:space="preserve">Syrian Arab Republic; </w:t>
      </w:r>
    </w:p>
    <w:p w14:paraId="63BCFE4B" w14:textId="4D413B55" w:rsidR="00064DC8" w:rsidRDefault="00064DC8" w:rsidP="005A5724">
      <w:pPr>
        <w:pStyle w:val="ESPara"/>
        <w:numPr>
          <w:ilvl w:val="0"/>
          <w:numId w:val="9"/>
        </w:numPr>
        <w:spacing w:line="240" w:lineRule="auto"/>
        <w:ind w:left="993" w:hanging="426"/>
      </w:pPr>
      <w:r w:rsidRPr="00064DC8">
        <w:t>Togo</w:t>
      </w:r>
      <w:r w:rsidR="00005CC2">
        <w:t>;</w:t>
      </w:r>
      <w:r w:rsidRPr="00064DC8">
        <w:t xml:space="preserve"> and </w:t>
      </w:r>
    </w:p>
    <w:p w14:paraId="5534F9FD" w14:textId="174240CF" w:rsidR="00064DC8" w:rsidRDefault="00064DC8" w:rsidP="005A5724">
      <w:pPr>
        <w:pStyle w:val="ESPara"/>
        <w:numPr>
          <w:ilvl w:val="0"/>
          <w:numId w:val="9"/>
        </w:numPr>
        <w:spacing w:line="240" w:lineRule="auto"/>
        <w:ind w:left="993" w:hanging="426"/>
      </w:pPr>
      <w:r w:rsidRPr="00064DC8">
        <w:t>Vanuatu.</w:t>
      </w:r>
    </w:p>
    <w:p w14:paraId="551BB714" w14:textId="122E44A0" w:rsidR="00064DC8" w:rsidRDefault="00064DC8" w:rsidP="005A5724">
      <w:pPr>
        <w:pStyle w:val="ESPara"/>
        <w:ind w:left="567" w:hanging="567"/>
      </w:pPr>
      <w:r>
        <w:t xml:space="preserve">Two countries </w:t>
      </w:r>
      <w:r w:rsidR="00C5777B">
        <w:t xml:space="preserve">have been assessed as high Tuberculosis risk countries and </w:t>
      </w:r>
      <w:r>
        <w:t>have been removed from Schedule 1</w:t>
      </w:r>
      <w:r w:rsidR="000E0C2A">
        <w:t xml:space="preserve"> and will now be considered higher T</w:t>
      </w:r>
      <w:r w:rsidR="003932F8">
        <w:t>uberculosis</w:t>
      </w:r>
      <w:r w:rsidR="000E0C2A">
        <w:t xml:space="preserve"> risk countries per Schedule 2</w:t>
      </w:r>
      <w:r>
        <w:t>:</w:t>
      </w:r>
    </w:p>
    <w:p w14:paraId="4838851E" w14:textId="5A8DFA2D" w:rsidR="00064DC8" w:rsidRDefault="00064DC8" w:rsidP="005A5724">
      <w:pPr>
        <w:pStyle w:val="ESPara"/>
        <w:numPr>
          <w:ilvl w:val="0"/>
          <w:numId w:val="10"/>
        </w:numPr>
        <w:spacing w:line="240" w:lineRule="auto"/>
        <w:ind w:left="993" w:hanging="426"/>
      </w:pPr>
      <w:r>
        <w:t>Kosovo</w:t>
      </w:r>
      <w:r w:rsidR="00005CC2">
        <w:t>;</w:t>
      </w:r>
      <w:r>
        <w:t xml:space="preserve"> and</w:t>
      </w:r>
    </w:p>
    <w:p w14:paraId="22F4F3A7" w14:textId="5B869350" w:rsidR="00064DC8" w:rsidRDefault="00064DC8" w:rsidP="005A5724">
      <w:pPr>
        <w:pStyle w:val="ESPara"/>
        <w:numPr>
          <w:ilvl w:val="0"/>
          <w:numId w:val="10"/>
        </w:numPr>
        <w:spacing w:line="240" w:lineRule="auto"/>
        <w:ind w:left="993" w:hanging="426"/>
      </w:pPr>
      <w:r>
        <w:t>Niue.</w:t>
      </w:r>
    </w:p>
    <w:p w14:paraId="295AF077" w14:textId="77777777" w:rsidR="005A5724" w:rsidRDefault="005A5724" w:rsidP="005A5724">
      <w:pPr>
        <w:pStyle w:val="ESPara"/>
        <w:numPr>
          <w:ilvl w:val="0"/>
          <w:numId w:val="0"/>
        </w:numPr>
        <w:rPr>
          <w:i/>
        </w:rPr>
      </w:pPr>
    </w:p>
    <w:p w14:paraId="1DAFFDBF" w14:textId="59103D5D" w:rsidR="00DF2CAF" w:rsidRPr="00F83D3A" w:rsidRDefault="00F83D3A" w:rsidP="005A5724">
      <w:pPr>
        <w:pStyle w:val="ESPara"/>
        <w:numPr>
          <w:ilvl w:val="0"/>
          <w:numId w:val="0"/>
        </w:numPr>
        <w:rPr>
          <w:i/>
        </w:rPr>
      </w:pPr>
      <w:r>
        <w:rPr>
          <w:i/>
        </w:rPr>
        <w:t xml:space="preserve">Amendments to </w:t>
      </w:r>
      <w:r w:rsidR="0008735A">
        <w:rPr>
          <w:i/>
        </w:rPr>
        <w:t>required medical assessments</w:t>
      </w:r>
    </w:p>
    <w:p w14:paraId="7499AB49" w14:textId="078B8915" w:rsidR="005A5724" w:rsidRDefault="005A5724" w:rsidP="005A5724">
      <w:pPr>
        <w:pStyle w:val="ESSubparaHeader"/>
        <w:ind w:left="567" w:hanging="567"/>
      </w:pPr>
      <w:r>
        <w:t xml:space="preserve">The Department’s Clinical Advisory Team and Chief Medical Officer recommended </w:t>
      </w:r>
      <w:r w:rsidR="0008735A">
        <w:t xml:space="preserve">a </w:t>
      </w:r>
      <w:r>
        <w:t>serum creatinine/</w:t>
      </w:r>
      <w:proofErr w:type="spellStart"/>
      <w:r>
        <w:t>eGFR</w:t>
      </w:r>
      <w:proofErr w:type="spellEnd"/>
      <w:r>
        <w:t xml:space="preserve"> test to screen for chronic kidney disease rather than a urinalysis test.  An applicant who is a member of a class of persons mentioned in IMMI 15/144 must undertake </w:t>
      </w:r>
      <w:r w:rsidR="0008735A">
        <w:t>the</w:t>
      </w:r>
      <w:r>
        <w:t xml:space="preserve"> medical assessment</w:t>
      </w:r>
      <w:r w:rsidR="0008735A">
        <w:t>s specified for that class</w:t>
      </w:r>
      <w:r>
        <w:t>, including a ‘medical examination</w:t>
      </w:r>
      <w:r w:rsidR="0008735A">
        <w:t>’</w:t>
      </w:r>
      <w:r>
        <w:t xml:space="preserve">.  The medical examination required by IMMI 15/144 is a physical examination undertaken by a physician and is comprised of a range of clinical screening tools and examinations.  </w:t>
      </w:r>
    </w:p>
    <w:p w14:paraId="5F9F61DB" w14:textId="6E94E35B" w:rsidR="005A5724" w:rsidRDefault="005A5724" w:rsidP="005A5724">
      <w:pPr>
        <w:pStyle w:val="ESSubparaHeader"/>
        <w:ind w:left="567" w:hanging="567"/>
      </w:pPr>
      <w:r>
        <w:t>IMMI 15/144 is amended by LIN 23/042 to expressly specify a serum creatinine/</w:t>
      </w:r>
      <w:proofErr w:type="spellStart"/>
      <w:r>
        <w:t>eGFR</w:t>
      </w:r>
      <w:proofErr w:type="spellEnd"/>
      <w:r>
        <w:t xml:space="preserve"> test for the class of persons pursuant to paragraphs 4005(1)(a) and 4007(1)(aa) of Schedule 4 to the Migration Regulations. </w:t>
      </w:r>
    </w:p>
    <w:p w14:paraId="5360ECEF" w14:textId="14761C5D" w:rsidR="00005CC2" w:rsidRPr="00D22949" w:rsidRDefault="00F83D3A" w:rsidP="00D22949">
      <w:pPr>
        <w:pStyle w:val="ESPara"/>
        <w:numPr>
          <w:ilvl w:val="0"/>
          <w:numId w:val="0"/>
        </w:numPr>
        <w:shd w:val="clear" w:color="auto" w:fill="FFFFFF"/>
        <w:jc w:val="both"/>
        <w:rPr>
          <w:i/>
          <w:iCs/>
          <w:color w:val="000000" w:themeColor="text1"/>
        </w:rPr>
      </w:pPr>
      <w:r w:rsidRPr="00D22949">
        <w:rPr>
          <w:i/>
          <w:iCs/>
          <w:color w:val="000000" w:themeColor="text1"/>
        </w:rPr>
        <w:t xml:space="preserve">Continuation of effect of paragraph </w:t>
      </w:r>
      <w:proofErr w:type="gramStart"/>
      <w:r w:rsidRPr="00D22949">
        <w:rPr>
          <w:i/>
          <w:iCs/>
          <w:color w:val="000000" w:themeColor="text1"/>
        </w:rPr>
        <w:t>4006A(</w:t>
      </w:r>
      <w:proofErr w:type="gramEnd"/>
      <w:r w:rsidRPr="00D22949">
        <w:rPr>
          <w:i/>
          <w:iCs/>
          <w:color w:val="000000" w:themeColor="text1"/>
        </w:rPr>
        <w:t>1)(aa)</w:t>
      </w:r>
    </w:p>
    <w:p w14:paraId="1942F42D" w14:textId="6E9A9473" w:rsidR="00F83D3A" w:rsidRDefault="00F83D3A" w:rsidP="005A5724">
      <w:pPr>
        <w:pStyle w:val="ESSubparaHeader"/>
        <w:ind w:left="567" w:hanging="567"/>
      </w:pPr>
      <w:r w:rsidRPr="00F83D3A">
        <w:t xml:space="preserve">IMMI 15/144 was also made under paragraph </w:t>
      </w:r>
      <w:proofErr w:type="gramStart"/>
      <w:r w:rsidRPr="00F83D3A">
        <w:t>4006A(</w:t>
      </w:r>
      <w:proofErr w:type="gramEnd"/>
      <w:r w:rsidRPr="00F83D3A">
        <w:t xml:space="preserve">1)(aa) of </w:t>
      </w:r>
      <w:r>
        <w:t>Schedule 4 to the Migration</w:t>
      </w:r>
      <w:r w:rsidRPr="00F83D3A">
        <w:t xml:space="preserve"> </w:t>
      </w:r>
      <w:r>
        <w:t>Regulations.</w:t>
      </w:r>
      <w:r w:rsidR="002B6A1E">
        <w:t xml:space="preserve"> </w:t>
      </w:r>
      <w:r>
        <w:t> </w:t>
      </w:r>
      <w:r w:rsidRPr="00F83D3A">
        <w:t>Clause 4006A was repealed on 18 March 2018 by the </w:t>
      </w:r>
      <w:r w:rsidRPr="00F83D3A">
        <w:rPr>
          <w:i/>
          <w:iCs/>
        </w:rPr>
        <w:t>Migration Legislation Amendment (Temporary Skill Shortage Visa and Complementary Reforms) Regulations 2018</w:t>
      </w:r>
      <w:r w:rsidRPr="00F83D3A">
        <w:t>.   </w:t>
      </w:r>
    </w:p>
    <w:p w14:paraId="699582F9" w14:textId="03CF190B" w:rsidR="00005CC2" w:rsidRDefault="00005CC2" w:rsidP="005A5724">
      <w:pPr>
        <w:pStyle w:val="ESSubparaHeader"/>
        <w:ind w:left="567" w:hanging="567"/>
        <w:rPr>
          <w:lang w:eastAsia="en-AU"/>
        </w:rPr>
      </w:pPr>
      <w:r w:rsidRPr="00F83D3A">
        <w:rPr>
          <w:lang w:eastAsia="en-AU"/>
        </w:rPr>
        <w:t>Subclause 6702(2) of Schedule 13 to the</w:t>
      </w:r>
      <w:r>
        <w:rPr>
          <w:lang w:eastAsia="en-AU"/>
        </w:rPr>
        <w:t xml:space="preserve"> Migration</w:t>
      </w:r>
      <w:r w:rsidRPr="00F83D3A">
        <w:rPr>
          <w:lang w:eastAsia="en-AU"/>
        </w:rPr>
        <w:t xml:space="preserve"> Regulations provides that clause 4006A of Schedule 4 to the</w:t>
      </w:r>
      <w:r w:rsidR="005575CF" w:rsidRPr="005575CF">
        <w:rPr>
          <w:lang w:eastAsia="en-AU"/>
        </w:rPr>
        <w:t xml:space="preserve"> </w:t>
      </w:r>
      <w:r w:rsidR="005575CF">
        <w:rPr>
          <w:lang w:eastAsia="en-AU"/>
        </w:rPr>
        <w:t>Migration</w:t>
      </w:r>
      <w:r w:rsidRPr="00F83D3A">
        <w:rPr>
          <w:lang w:eastAsia="en-AU"/>
        </w:rPr>
        <w:t xml:space="preserve"> Regulations and any instruments made under that clause continue to apply as in force immediately before 18 March 2018 in relation to an application for</w:t>
      </w:r>
      <w:r>
        <w:rPr>
          <w:lang w:eastAsia="en-AU"/>
        </w:rPr>
        <w:t xml:space="preserve"> a visa made before that date</w:t>
      </w:r>
      <w:r w:rsidR="0081574B">
        <w:rPr>
          <w:lang w:eastAsia="en-AU"/>
        </w:rPr>
        <w:t>.</w:t>
      </w:r>
    </w:p>
    <w:p w14:paraId="148CDD4D" w14:textId="47794E2C" w:rsidR="00141DB2" w:rsidRPr="00F12982" w:rsidRDefault="00005CC2" w:rsidP="005A5724">
      <w:pPr>
        <w:pStyle w:val="ESSubparaList"/>
        <w:numPr>
          <w:ilvl w:val="0"/>
          <w:numId w:val="13"/>
        </w:numPr>
        <w:tabs>
          <w:tab w:val="left" w:pos="993"/>
        </w:tabs>
        <w:ind w:left="993" w:hanging="426"/>
      </w:pPr>
      <w:r w:rsidRPr="00F83D3A">
        <w:rPr>
          <w:color w:val="000000" w:themeColor="text1"/>
          <w:lang w:eastAsia="en-AU"/>
        </w:rPr>
        <w:t xml:space="preserve">The effect of this is that IMMI 15/144, as in force immediately before 18 March 2018, continues to apply in relation to clause 4006A of Schedule 4 to the </w:t>
      </w:r>
      <w:r w:rsidR="005575CF">
        <w:rPr>
          <w:lang w:eastAsia="en-AU"/>
        </w:rPr>
        <w:t>Migration</w:t>
      </w:r>
      <w:r w:rsidR="005575CF" w:rsidRPr="00F83D3A">
        <w:rPr>
          <w:lang w:eastAsia="en-AU"/>
        </w:rPr>
        <w:t xml:space="preserve"> </w:t>
      </w:r>
      <w:r w:rsidRPr="00F83D3A">
        <w:rPr>
          <w:color w:val="000000" w:themeColor="text1"/>
          <w:lang w:eastAsia="en-AU"/>
        </w:rPr>
        <w:t>Regulations and relevant visa applications made before 18 March 2018</w:t>
      </w:r>
      <w:r>
        <w:rPr>
          <w:color w:val="000000" w:themeColor="text1"/>
          <w:lang w:eastAsia="en-AU"/>
        </w:rPr>
        <w:t>.</w:t>
      </w:r>
    </w:p>
    <w:p w14:paraId="13B8CCB2" w14:textId="0CC3054B" w:rsidR="004E4352" w:rsidRPr="00F12982" w:rsidRDefault="004E4352" w:rsidP="005A5724">
      <w:pPr>
        <w:pStyle w:val="ListParagraph"/>
        <w:numPr>
          <w:ilvl w:val="0"/>
          <w:numId w:val="13"/>
        </w:numPr>
        <w:shd w:val="clear" w:color="auto" w:fill="FFFFFF"/>
        <w:tabs>
          <w:tab w:val="left" w:pos="993"/>
        </w:tabs>
        <w:spacing w:before="240" w:after="240" w:line="276" w:lineRule="auto"/>
        <w:ind w:left="993" w:hanging="426"/>
        <w:jc w:val="both"/>
        <w:rPr>
          <w:rFonts w:ascii="Times New Roman" w:hAnsi="Times New Roman" w:cs="Times New Roman"/>
          <w:iCs/>
          <w:color w:val="000000" w:themeColor="text1"/>
        </w:rPr>
      </w:pPr>
      <w:r w:rsidRPr="00F12982">
        <w:rPr>
          <w:rFonts w:ascii="Times New Roman" w:hAnsi="Times New Roman" w:cs="Times New Roman"/>
          <w:iCs/>
          <w:color w:val="000000" w:themeColor="text1"/>
        </w:rPr>
        <w:t>The instrument does not make changes to the class of persons mentioned in IMMI 15/144 for paragraph </w:t>
      </w:r>
      <w:proofErr w:type="gramStart"/>
      <w:r w:rsidRPr="00F12982">
        <w:rPr>
          <w:rFonts w:ascii="Times New Roman" w:hAnsi="Times New Roman" w:cs="Times New Roman"/>
          <w:iCs/>
          <w:color w:val="000000" w:themeColor="text1"/>
        </w:rPr>
        <w:t>4006A(</w:t>
      </w:r>
      <w:proofErr w:type="gramEnd"/>
      <w:r w:rsidRPr="00F12982">
        <w:rPr>
          <w:rFonts w:ascii="Times New Roman" w:hAnsi="Times New Roman" w:cs="Times New Roman"/>
          <w:iCs/>
          <w:color w:val="000000" w:themeColor="text1"/>
        </w:rPr>
        <w:t>1)(aa) of Schedule 4 to the Regulations.</w:t>
      </w:r>
      <w:r w:rsidR="00E40870">
        <w:rPr>
          <w:rFonts w:ascii="Times New Roman" w:hAnsi="Times New Roman" w:cs="Times New Roman"/>
          <w:iCs/>
          <w:color w:val="000000" w:themeColor="text1"/>
        </w:rPr>
        <w:t xml:space="preserve"> </w:t>
      </w:r>
    </w:p>
    <w:p w14:paraId="74D4DAA7" w14:textId="69FAABFF" w:rsidR="008B24C8" w:rsidRDefault="008B24C8" w:rsidP="00100DFC">
      <w:pPr>
        <w:pStyle w:val="ESHeading"/>
      </w:pPr>
      <w:r w:rsidRPr="008B24C8">
        <w:t>Consultation</w:t>
      </w:r>
    </w:p>
    <w:p w14:paraId="24D53E0B" w14:textId="65609098" w:rsidR="008B24C8" w:rsidRPr="00005CC2" w:rsidRDefault="00005CC2" w:rsidP="005A5724">
      <w:pPr>
        <w:pStyle w:val="ESPara"/>
        <w:ind w:left="567" w:hanging="567"/>
      </w:pPr>
      <w:r>
        <w:rPr>
          <w:color w:val="000000" w:themeColor="text1"/>
        </w:rPr>
        <w:t xml:space="preserve">Consultation </w:t>
      </w:r>
      <w:r w:rsidR="009D5EF1">
        <w:rPr>
          <w:color w:val="000000" w:themeColor="text1"/>
        </w:rPr>
        <w:t xml:space="preserve">was </w:t>
      </w:r>
      <w:r>
        <w:rPr>
          <w:color w:val="000000" w:themeColor="text1"/>
        </w:rPr>
        <w:t xml:space="preserve">undertaken with: </w:t>
      </w:r>
    </w:p>
    <w:p w14:paraId="3FD509B6" w14:textId="18320E25" w:rsidR="00005CC2" w:rsidRDefault="00005CC2" w:rsidP="005A5724">
      <w:pPr>
        <w:pStyle w:val="ESPara"/>
        <w:numPr>
          <w:ilvl w:val="0"/>
          <w:numId w:val="13"/>
        </w:numPr>
        <w:tabs>
          <w:tab w:val="left" w:pos="993"/>
        </w:tabs>
        <w:ind w:left="993" w:hanging="426"/>
      </w:pPr>
      <w:r>
        <w:t>Kidney Health Australia;</w:t>
      </w:r>
    </w:p>
    <w:p w14:paraId="31E5BDEA" w14:textId="0C6DE41F" w:rsidR="00005CC2" w:rsidRDefault="00005CC2" w:rsidP="005A5724">
      <w:pPr>
        <w:pStyle w:val="ESPara"/>
        <w:numPr>
          <w:ilvl w:val="0"/>
          <w:numId w:val="13"/>
        </w:numPr>
        <w:tabs>
          <w:tab w:val="left" w:pos="993"/>
        </w:tabs>
        <w:ind w:left="993" w:hanging="426"/>
      </w:pPr>
      <w:r>
        <w:t>Specialist Nephrologists;</w:t>
      </w:r>
    </w:p>
    <w:p w14:paraId="163C0D8C" w14:textId="62633C16" w:rsidR="00005CC2" w:rsidRDefault="00005CC2" w:rsidP="005A5724">
      <w:pPr>
        <w:pStyle w:val="ESPara"/>
        <w:numPr>
          <w:ilvl w:val="0"/>
          <w:numId w:val="13"/>
        </w:numPr>
        <w:tabs>
          <w:tab w:val="left" w:pos="993"/>
        </w:tabs>
        <w:ind w:left="993" w:hanging="426"/>
      </w:pPr>
      <w:r>
        <w:t>Australian Overseas Health Panel Network;</w:t>
      </w:r>
      <w:r w:rsidR="00672A3B">
        <w:t xml:space="preserve"> and</w:t>
      </w:r>
    </w:p>
    <w:p w14:paraId="10477A9B" w14:textId="211C77BF" w:rsidR="00005CC2" w:rsidRDefault="00005CC2" w:rsidP="005A5724">
      <w:pPr>
        <w:pStyle w:val="ESPara"/>
        <w:numPr>
          <w:ilvl w:val="0"/>
          <w:numId w:val="13"/>
        </w:numPr>
        <w:tabs>
          <w:tab w:val="left" w:pos="993"/>
        </w:tabs>
        <w:ind w:left="993" w:hanging="426"/>
      </w:pPr>
      <w:proofErr w:type="spellStart"/>
      <w:r>
        <w:t>Bupa</w:t>
      </w:r>
      <w:proofErr w:type="spellEnd"/>
      <w:r>
        <w:t xml:space="preserve"> Australia.</w:t>
      </w:r>
    </w:p>
    <w:p w14:paraId="320BB997" w14:textId="535ABB28" w:rsidR="008B24C8" w:rsidRPr="008B24C8" w:rsidRDefault="008B24C8" w:rsidP="005A5724">
      <w:pPr>
        <w:pStyle w:val="ESPara"/>
        <w:ind w:left="567" w:hanging="567"/>
      </w:pPr>
      <w:r w:rsidRPr="008B24C8">
        <w:t xml:space="preserve">The Office of </w:t>
      </w:r>
      <w:r w:rsidR="00005CC2">
        <w:t>Impact Analysis (OIA)</w:t>
      </w:r>
      <w:r w:rsidRPr="008B24C8">
        <w:t xml:space="preserve"> was also</w:t>
      </w:r>
      <w:r w:rsidR="00005CC2">
        <w:t xml:space="preserve"> </w:t>
      </w:r>
      <w:r w:rsidRPr="008B24C8">
        <w:t xml:space="preserve">consulted and considered that the instrument dealt with </w:t>
      </w:r>
      <w:r w:rsidRPr="002B6A1E">
        <w:rPr>
          <w:szCs w:val="20"/>
        </w:rPr>
        <w:t>m</w:t>
      </w:r>
      <w:r w:rsidR="00005CC2" w:rsidRPr="002B6A1E">
        <w:rPr>
          <w:szCs w:val="20"/>
        </w:rPr>
        <w:t xml:space="preserve">atters of a minor </w:t>
      </w:r>
      <w:r w:rsidRPr="002B6A1E">
        <w:rPr>
          <w:szCs w:val="20"/>
        </w:rPr>
        <w:t xml:space="preserve">nature and no regulatory impact statement was required.  The </w:t>
      </w:r>
      <w:r w:rsidR="00005CC2" w:rsidRPr="002B6A1E">
        <w:rPr>
          <w:szCs w:val="20"/>
        </w:rPr>
        <w:t>OIA</w:t>
      </w:r>
      <w:r w:rsidRPr="002B6A1E">
        <w:rPr>
          <w:szCs w:val="20"/>
        </w:rPr>
        <w:t xml:space="preserve"> reference</w:t>
      </w:r>
      <w:r w:rsidR="00005CC2" w:rsidRPr="002B6A1E">
        <w:rPr>
          <w:szCs w:val="20"/>
        </w:rPr>
        <w:t xml:space="preserve"> number is </w:t>
      </w:r>
      <w:r w:rsidR="00005CC2" w:rsidRPr="002B6A1E">
        <w:rPr>
          <w:iCs/>
          <w:color w:val="000000"/>
          <w:szCs w:val="20"/>
          <w:shd w:val="clear" w:color="auto" w:fill="FFFFFF"/>
        </w:rPr>
        <w:t>OBPR22-03813</w:t>
      </w:r>
      <w:r w:rsidRPr="002B6A1E">
        <w:rPr>
          <w:szCs w:val="20"/>
        </w:rPr>
        <w:t>.</w:t>
      </w:r>
    </w:p>
    <w:p w14:paraId="502A85A6" w14:textId="77777777" w:rsidR="00AA4557" w:rsidRDefault="00464080" w:rsidP="00100DFC">
      <w:pPr>
        <w:pStyle w:val="ESHeading"/>
      </w:pPr>
      <w:r>
        <w:t>Details</w:t>
      </w:r>
      <w:r w:rsidR="00AA4557">
        <w:t xml:space="preserve"> of the instrument</w:t>
      </w:r>
    </w:p>
    <w:p w14:paraId="268CAD0A" w14:textId="77777777" w:rsidR="00AA4557" w:rsidRDefault="00AA4557" w:rsidP="005A5724">
      <w:pPr>
        <w:pStyle w:val="ESPara"/>
        <w:ind w:left="567" w:hanging="567"/>
      </w:pPr>
      <w:r>
        <w:t>Section 1 sets out</w:t>
      </w:r>
      <w:r w:rsidR="00E03DCC">
        <w:t xml:space="preserve"> the name of the instrument. </w:t>
      </w:r>
    </w:p>
    <w:p w14:paraId="7DD71818" w14:textId="63602936" w:rsidR="00AA4557" w:rsidRDefault="00AA4557" w:rsidP="005A5724">
      <w:pPr>
        <w:pStyle w:val="ESPara"/>
        <w:ind w:left="567" w:hanging="567"/>
      </w:pPr>
      <w:r>
        <w:lastRenderedPageBreak/>
        <w:t xml:space="preserve">Section 2 provides for the commencement of the instrument on </w:t>
      </w:r>
      <w:r w:rsidR="00673C80">
        <w:t>1 July 2023.</w:t>
      </w:r>
    </w:p>
    <w:p w14:paraId="0ABA16F5" w14:textId="77777777" w:rsidR="00343E1B" w:rsidRDefault="00AA4F77" w:rsidP="005A5724">
      <w:pPr>
        <w:pStyle w:val="ESPara"/>
        <w:ind w:left="567" w:hanging="567"/>
      </w:pPr>
      <w:r>
        <w:t xml:space="preserve">Section 3 </w:t>
      </w:r>
      <w:r w:rsidR="00673C80">
        <w:t xml:space="preserve">provides that Schedule 1 amends </w:t>
      </w:r>
      <w:r w:rsidR="008313B6">
        <w:rPr>
          <w:i/>
        </w:rPr>
        <w:t xml:space="preserve">Required Medical Assessment </w:t>
      </w:r>
      <w:r w:rsidR="00673C80">
        <w:t>(IMMI 15/144) (</w:t>
      </w:r>
      <w:r w:rsidR="00673C80">
        <w:rPr>
          <w:color w:val="000000"/>
          <w:shd w:val="clear" w:color="auto" w:fill="FFFFFF"/>
        </w:rPr>
        <w:t>F2015L01826)</w:t>
      </w:r>
      <w:r w:rsidR="00673C80">
        <w:t>.</w:t>
      </w:r>
      <w:r>
        <w:t xml:space="preserve"> </w:t>
      </w:r>
    </w:p>
    <w:p w14:paraId="656DA033" w14:textId="3466996C" w:rsidR="00343E1B" w:rsidRDefault="00D22949" w:rsidP="005A5724">
      <w:pPr>
        <w:pStyle w:val="ESPara"/>
        <w:ind w:left="567" w:hanging="567"/>
      </w:pPr>
      <w:r w:rsidRPr="00343E1B">
        <w:t>Section 4 is an application and transitional provision</w:t>
      </w:r>
      <w:r w:rsidR="00343E1B">
        <w:t xml:space="preserve"> to provide that </w:t>
      </w:r>
      <w:r w:rsidR="00F16B31">
        <w:t>the</w:t>
      </w:r>
      <w:r w:rsidR="00F16B31" w:rsidRPr="00343E1B">
        <w:t xml:space="preserve"> </w:t>
      </w:r>
      <w:r w:rsidR="00E01438" w:rsidRPr="00343E1B">
        <w:t xml:space="preserve">amendments made by LIN 23/042 will not apply in relation to </w:t>
      </w:r>
      <w:r w:rsidR="00F16B31">
        <w:t xml:space="preserve">an </w:t>
      </w:r>
      <w:r w:rsidR="00E01438" w:rsidRPr="00343E1B">
        <w:t xml:space="preserve">application for a Subclass 457 (Temporary Work (Skilled)) visa. </w:t>
      </w:r>
    </w:p>
    <w:p w14:paraId="74D1CA4B" w14:textId="4A58FFE8" w:rsidR="00D22949" w:rsidRPr="00343E1B" w:rsidRDefault="00E01438" w:rsidP="005A5724">
      <w:pPr>
        <w:pStyle w:val="ESPara"/>
        <w:numPr>
          <w:ilvl w:val="0"/>
          <w:numId w:val="17"/>
        </w:numPr>
        <w:ind w:left="993" w:hanging="426"/>
      </w:pPr>
      <w:r w:rsidRPr="00343E1B">
        <w:t xml:space="preserve">The note under section 4 has been included to make clear to the reader that applications for the Subclass 457 visa closed on 18 March 2018, when Part 457 of Schedule 2 to the Migration Regulations and clause 4006A of </w:t>
      </w:r>
      <w:r w:rsidR="00D22949" w:rsidRPr="00343E1B">
        <w:t>Schedule 4 to the</w:t>
      </w:r>
      <w:r w:rsidR="005575CF" w:rsidRPr="00343E1B">
        <w:rPr>
          <w:lang w:eastAsia="en-AU"/>
        </w:rPr>
        <w:t xml:space="preserve"> Migration</w:t>
      </w:r>
      <w:r w:rsidR="00D22949" w:rsidRPr="00343E1B">
        <w:t xml:space="preserve"> Regulations</w:t>
      </w:r>
      <w:r w:rsidRPr="00343E1B">
        <w:t xml:space="preserve"> were repealed by the </w:t>
      </w:r>
      <w:r w:rsidRPr="00343E1B">
        <w:rPr>
          <w:i/>
        </w:rPr>
        <w:t>Migration Legislation Amendment (Temporary Skill Shortage Visa and Complementary Reforms) Regulations 2018</w:t>
      </w:r>
      <w:r w:rsidRPr="00343E1B">
        <w:t>.</w:t>
      </w:r>
      <w:r w:rsidR="00D22949" w:rsidRPr="00343E1B">
        <w:t xml:space="preserve"> </w:t>
      </w:r>
    </w:p>
    <w:p w14:paraId="38772693" w14:textId="535E4CCF" w:rsidR="00483ED1" w:rsidRPr="00343E1B" w:rsidRDefault="00E01438" w:rsidP="002B6A1E">
      <w:pPr>
        <w:pStyle w:val="ESSubparaList"/>
        <w:ind w:left="993" w:hanging="426"/>
      </w:pPr>
      <w:r w:rsidRPr="00343E1B">
        <w:rPr>
          <w:shd w:val="clear" w:color="auto" w:fill="FFFFFF"/>
        </w:rPr>
        <w:t>This means that LIN 23/042 does not alter any requirements with respect to Public Interest Criterion 4006A, the effect of which in relation to undecided applications for a Subclass 457 visa has been preserved</w:t>
      </w:r>
      <w:r w:rsidR="00F16B31" w:rsidRPr="00F16B31">
        <w:rPr>
          <w:shd w:val="clear" w:color="auto" w:fill="FFFFFF"/>
        </w:rPr>
        <w:t xml:space="preserve"> </w:t>
      </w:r>
      <w:r w:rsidR="00F16B31" w:rsidRPr="00343E1B">
        <w:rPr>
          <w:shd w:val="clear" w:color="auto" w:fill="FFFFFF"/>
        </w:rPr>
        <w:t>as in force immediately before the repeal of clause 4006A</w:t>
      </w:r>
      <w:r w:rsidRPr="00343E1B">
        <w:rPr>
          <w:shd w:val="clear" w:color="auto" w:fill="FFFFFF"/>
        </w:rPr>
        <w:t xml:space="preserve"> by subclause 6702(2) of Schedule 13 to the Migration Regulations</w:t>
      </w:r>
      <w:r w:rsidR="00483ED1" w:rsidRPr="00343E1B">
        <w:rPr>
          <w:shd w:val="clear" w:color="auto" w:fill="FFFFFF"/>
        </w:rPr>
        <w:t xml:space="preserve">. </w:t>
      </w:r>
      <w:r w:rsidRPr="00343E1B">
        <w:rPr>
          <w:shd w:val="clear" w:color="auto" w:fill="FFFFFF"/>
        </w:rPr>
        <w:t xml:space="preserve">Accordingly, the class of persons for the purposes of paragraph </w:t>
      </w:r>
      <w:proofErr w:type="gramStart"/>
      <w:r w:rsidRPr="00343E1B">
        <w:rPr>
          <w:shd w:val="clear" w:color="auto" w:fill="FFFFFF"/>
        </w:rPr>
        <w:t>4006A(</w:t>
      </w:r>
      <w:proofErr w:type="gramEnd"/>
      <w:r w:rsidRPr="00343E1B">
        <w:rPr>
          <w:shd w:val="clear" w:color="auto" w:fill="FFFFFF"/>
        </w:rPr>
        <w:t>1)(aa) of Schedule 4 to the Migration Regulations remains the class specified in IMMI 15/144 prior to its amendment by LIN 23/042.</w:t>
      </w:r>
    </w:p>
    <w:p w14:paraId="7BC80874" w14:textId="4015BCE8" w:rsidR="00673C80" w:rsidRDefault="004F3DC1" w:rsidP="002B6A1E">
      <w:pPr>
        <w:pStyle w:val="ESSubparaHeader"/>
        <w:ind w:left="567" w:hanging="567"/>
      </w:pPr>
      <w:r>
        <w:t xml:space="preserve">Item </w:t>
      </w:r>
      <w:r w:rsidR="00673C80">
        <w:t xml:space="preserve">1 of Schedule 1 </w:t>
      </w:r>
      <w:r>
        <w:t>substitutes</w:t>
      </w:r>
      <w:r w:rsidR="00673C80">
        <w:t xml:space="preserve"> Schedule 1 </w:t>
      </w:r>
      <w:r>
        <w:t xml:space="preserve">to </w:t>
      </w:r>
      <w:r w:rsidR="00673C80">
        <w:t xml:space="preserve">IMMI 15/144. </w:t>
      </w:r>
      <w:r>
        <w:t xml:space="preserve">Column A of the table </w:t>
      </w:r>
      <w:r w:rsidR="00673C80">
        <w:t xml:space="preserve">provides a list of countries that applies to the class of persons who is a citizen of a country or who has spent three or more consecutive months </w:t>
      </w:r>
      <w:r>
        <w:t xml:space="preserve">in a country </w:t>
      </w:r>
      <w:r w:rsidR="00673C80">
        <w:t xml:space="preserve">during the last five years. </w:t>
      </w:r>
      <w:r w:rsidR="002B6A1E">
        <w:t xml:space="preserve"> </w:t>
      </w:r>
      <w:r w:rsidR="00673C80">
        <w:t xml:space="preserve">The list includes all countries that are considered as lower Tuberculosis risk countries. </w:t>
      </w:r>
      <w:r w:rsidR="002B6A1E">
        <w:t xml:space="preserve"> </w:t>
      </w:r>
      <w:r>
        <w:t xml:space="preserve">Item </w:t>
      </w:r>
      <w:r w:rsidR="00673C80">
        <w:t xml:space="preserve">1 of Schedule 1 also </w:t>
      </w:r>
      <w:r>
        <w:t xml:space="preserve">amends Schedule 1 to IMMI 15/144 to provide that the </w:t>
      </w:r>
      <w:r w:rsidR="00673C80">
        <w:t>serum creatinine/</w:t>
      </w:r>
      <w:proofErr w:type="spellStart"/>
      <w:r w:rsidR="00673C80">
        <w:t>eGFR</w:t>
      </w:r>
      <w:proofErr w:type="spellEnd"/>
      <w:r w:rsidR="00673C80">
        <w:t xml:space="preserve"> test </w:t>
      </w:r>
      <w:r>
        <w:t xml:space="preserve">is </w:t>
      </w:r>
      <w:r w:rsidR="00673C80">
        <w:t>a require</w:t>
      </w:r>
      <w:r>
        <w:t>d</w:t>
      </w:r>
      <w:r w:rsidR="00673C80">
        <w:t xml:space="preserve"> medical assessment</w:t>
      </w:r>
      <w:r>
        <w:t xml:space="preserve"> for certain classes of persons</w:t>
      </w:r>
      <w:r w:rsidR="00673C80">
        <w:t>.</w:t>
      </w:r>
      <w:r w:rsidR="00DC534F">
        <w:t xml:space="preserve"> </w:t>
      </w:r>
    </w:p>
    <w:p w14:paraId="6007C32D" w14:textId="1CFCDFA2" w:rsidR="00673C80" w:rsidRDefault="004F3DC1" w:rsidP="002B6A1E">
      <w:pPr>
        <w:pStyle w:val="ESSubparaHeader"/>
        <w:ind w:left="567" w:hanging="567"/>
      </w:pPr>
      <w:r>
        <w:t xml:space="preserve">Item </w:t>
      </w:r>
      <w:r w:rsidR="00A04999">
        <w:t xml:space="preserve">2 of Schedule 1 </w:t>
      </w:r>
      <w:r w:rsidR="00D077BF">
        <w:t>substitutes</w:t>
      </w:r>
      <w:r w:rsidR="00A04999">
        <w:t xml:space="preserve"> Schedule 2 </w:t>
      </w:r>
      <w:r w:rsidR="00D077BF">
        <w:t xml:space="preserve">to </w:t>
      </w:r>
      <w:r w:rsidR="00A04999">
        <w:t xml:space="preserve">IMMI 15/144. </w:t>
      </w:r>
      <w:r w:rsidR="00D077BF">
        <w:t>New Schedule 1 to IMMI 15/144 provides that the</w:t>
      </w:r>
      <w:r w:rsidR="00A04999">
        <w:t xml:space="preserve"> serum creatinine/</w:t>
      </w:r>
      <w:proofErr w:type="spellStart"/>
      <w:r w:rsidR="00A04999">
        <w:t>eGFR</w:t>
      </w:r>
      <w:proofErr w:type="spellEnd"/>
      <w:r w:rsidR="00A04999">
        <w:t xml:space="preserve"> test </w:t>
      </w:r>
      <w:r w:rsidR="00D077BF">
        <w:t xml:space="preserve">is a required </w:t>
      </w:r>
      <w:r w:rsidR="00A04999">
        <w:t>medical assessment</w:t>
      </w:r>
      <w:r w:rsidR="00D077BF">
        <w:t xml:space="preserve"> for certain classes of persons</w:t>
      </w:r>
      <w:r w:rsidR="002B6A1E">
        <w:t>.</w:t>
      </w:r>
    </w:p>
    <w:p w14:paraId="0F35DC79" w14:textId="2C1C0B0A" w:rsidR="00A04999" w:rsidRDefault="00D077BF" w:rsidP="002B6A1E">
      <w:pPr>
        <w:pStyle w:val="ESPara"/>
        <w:numPr>
          <w:ilvl w:val="0"/>
          <w:numId w:val="14"/>
        </w:numPr>
        <w:ind w:left="993" w:hanging="426"/>
      </w:pPr>
      <w:r>
        <w:t xml:space="preserve">Item </w:t>
      </w:r>
      <w:r w:rsidR="00A04999">
        <w:t>2 of Schedule 1 also amends Column C</w:t>
      </w:r>
      <w:r w:rsidR="004D637F">
        <w:t xml:space="preserve"> of the table in Schedule 2 to IMMI 15/144</w:t>
      </w:r>
      <w:r w:rsidR="00A04999">
        <w:t xml:space="preserve"> </w:t>
      </w:r>
      <w:r w:rsidR="009C32E3">
        <w:t xml:space="preserve">by inserting </w:t>
      </w:r>
      <w:r w:rsidR="004D637F">
        <w:t xml:space="preserve">a </w:t>
      </w:r>
      <w:r w:rsidR="009C32E3">
        <w:t xml:space="preserve">new </w:t>
      </w:r>
      <w:r w:rsidR="004D637F">
        <w:t xml:space="preserve">class of persons comprised of persons </w:t>
      </w:r>
      <w:r w:rsidR="009C32E3">
        <w:t xml:space="preserve">aged 15 or older for temporary stay visa applicants intending to stay in Australia for six months or more. </w:t>
      </w:r>
      <w:r w:rsidR="002B6A1E">
        <w:t xml:space="preserve"> </w:t>
      </w:r>
      <w:r w:rsidR="009C32E3">
        <w:t xml:space="preserve">The intention of inserting </w:t>
      </w:r>
      <w:r w:rsidR="004D637F">
        <w:t xml:space="preserve">this </w:t>
      </w:r>
      <w:r w:rsidR="009C32E3">
        <w:t xml:space="preserve">new age group was to capture </w:t>
      </w:r>
      <w:r w:rsidR="004D637F">
        <w:t xml:space="preserve">the </w:t>
      </w:r>
      <w:r w:rsidR="009C32E3">
        <w:t xml:space="preserve">requirement of undertaking </w:t>
      </w:r>
      <w:r w:rsidR="004D637F">
        <w:t xml:space="preserve">a </w:t>
      </w:r>
      <w:r w:rsidR="009C32E3">
        <w:t>serum creatinine/</w:t>
      </w:r>
      <w:proofErr w:type="spellStart"/>
      <w:r w:rsidR="009C32E3">
        <w:t>eGFR</w:t>
      </w:r>
      <w:proofErr w:type="spellEnd"/>
      <w:r w:rsidR="009C32E3">
        <w:t xml:space="preserve"> test, in addition to all other required examinations as listed. </w:t>
      </w:r>
    </w:p>
    <w:p w14:paraId="019D3931" w14:textId="4AE05985" w:rsidR="00A04999" w:rsidRDefault="004D637F" w:rsidP="002B6A1E">
      <w:pPr>
        <w:pStyle w:val="ESPara"/>
        <w:ind w:left="567" w:hanging="567"/>
      </w:pPr>
      <w:r>
        <w:t xml:space="preserve">Item </w:t>
      </w:r>
      <w:r w:rsidR="009C32E3">
        <w:t xml:space="preserve">3 of Schedule 1 </w:t>
      </w:r>
      <w:r>
        <w:t>substitutes</w:t>
      </w:r>
      <w:r w:rsidR="009C32E3">
        <w:t xml:space="preserve"> Schedule 3 </w:t>
      </w:r>
      <w:r>
        <w:t xml:space="preserve">to </w:t>
      </w:r>
      <w:r w:rsidR="009C32E3">
        <w:t>IMMI 15/144.</w:t>
      </w:r>
      <w:r w:rsidR="002B6A1E">
        <w:t xml:space="preserve"> </w:t>
      </w:r>
      <w:r w:rsidR="009C32E3">
        <w:t xml:space="preserve"> </w:t>
      </w:r>
      <w:r>
        <w:t>The new Schedule provides that the</w:t>
      </w:r>
      <w:r w:rsidR="009C32E3">
        <w:t xml:space="preserve"> serum creatinine/</w:t>
      </w:r>
      <w:proofErr w:type="spellStart"/>
      <w:r w:rsidR="009C32E3">
        <w:t>eGFR</w:t>
      </w:r>
      <w:proofErr w:type="spellEnd"/>
      <w:r w:rsidR="009C32E3">
        <w:t xml:space="preserve"> test </w:t>
      </w:r>
      <w:r>
        <w:t xml:space="preserve">is </w:t>
      </w:r>
      <w:r w:rsidR="009C32E3">
        <w:t xml:space="preserve">a mandatory medical assessment requirement for the class of persons who is a citizen of a country or who has spent three or more consecutive months during the last five years in a country or countries that is not listed in </w:t>
      </w:r>
      <w:r>
        <w:t xml:space="preserve">new </w:t>
      </w:r>
      <w:r w:rsidR="009C32E3">
        <w:t xml:space="preserve">Column A of Schedule 1 to IMMI 15/144. </w:t>
      </w:r>
    </w:p>
    <w:p w14:paraId="0DE96937" w14:textId="77777777" w:rsidR="00AA4557" w:rsidRPr="00AA4557" w:rsidRDefault="00AA4557" w:rsidP="00100DFC">
      <w:pPr>
        <w:pStyle w:val="ESHeading"/>
      </w:pPr>
      <w:r>
        <w:t xml:space="preserve">Parliamentary scrutiny etc.  </w:t>
      </w:r>
    </w:p>
    <w:p w14:paraId="25030443" w14:textId="5047F5AE" w:rsidR="00E03DCC" w:rsidRDefault="00E03DCC" w:rsidP="005A5724">
      <w:pPr>
        <w:pStyle w:val="ESPara"/>
        <w:ind w:left="567" w:hanging="567"/>
      </w:pPr>
      <w:r>
        <w:t>The instrument is exempt from disallowance under sect</w:t>
      </w:r>
      <w:r w:rsidR="00005CC2">
        <w:t xml:space="preserve">ion 42 of the Legislation Act. </w:t>
      </w:r>
      <w:r>
        <w:t xml:space="preserve">This is because </w:t>
      </w:r>
      <w:r w:rsidR="001845D1">
        <w:t xml:space="preserve">it is </w:t>
      </w:r>
      <w:r w:rsidR="00005CC2">
        <w:t xml:space="preserve">an instrument made under Schedule 4 </w:t>
      </w:r>
      <w:r w:rsidR="00A5752C">
        <w:t xml:space="preserve">to </w:t>
      </w:r>
      <w:r w:rsidR="00005CC2">
        <w:t>the Migration Regulations</w:t>
      </w:r>
      <w:r w:rsidR="001845D1">
        <w:t xml:space="preserve"> which</w:t>
      </w:r>
      <w:r w:rsidR="00005CC2">
        <w:t xml:space="preserve"> is exempt from disallowance under paragraph (b) of item 20 in </w:t>
      </w:r>
      <w:r>
        <w:t xml:space="preserve">section 10 of the </w:t>
      </w:r>
      <w:r>
        <w:rPr>
          <w:i/>
        </w:rPr>
        <w:t>Legislation (Exemptions and Other Matters) Regulation 2015</w:t>
      </w:r>
      <w:r w:rsidR="00005CC2">
        <w:t>.</w:t>
      </w:r>
    </w:p>
    <w:p w14:paraId="35A1194A" w14:textId="4436FFA8" w:rsidR="001845D1" w:rsidRDefault="001845D1" w:rsidP="005A5724">
      <w:pPr>
        <w:pStyle w:val="ESPara"/>
        <w:ind w:left="567" w:hanging="567"/>
      </w:pPr>
      <w:r>
        <w:lastRenderedPageBreak/>
        <w:t xml:space="preserve">As the instrument is exempt from disallowance, a Statement of Compatibility with Human Rights is not required. </w:t>
      </w:r>
    </w:p>
    <w:p w14:paraId="7FC742E5" w14:textId="73A9013B" w:rsidR="00B75478" w:rsidRDefault="00B75478" w:rsidP="005A5724">
      <w:pPr>
        <w:pStyle w:val="ESPara"/>
        <w:ind w:left="567" w:hanging="567"/>
      </w:pPr>
      <w:r w:rsidRPr="00B75478">
        <w:t xml:space="preserve">The </w:t>
      </w:r>
      <w:r>
        <w:t xml:space="preserve">instrument was made by </w:t>
      </w:r>
      <w:r w:rsidR="00005CC2">
        <w:t>a delegate of the Minister</w:t>
      </w:r>
      <w:r>
        <w:t xml:space="preserve"> in accordance with </w:t>
      </w:r>
      <w:r w:rsidR="00005CC2">
        <w:t>paragraphs 4005(1</w:t>
      </w:r>
      <w:proofErr w:type="gramStart"/>
      <w:r w:rsidR="00005CC2">
        <w:t>)(</w:t>
      </w:r>
      <w:proofErr w:type="gramEnd"/>
      <w:r w:rsidR="00005CC2">
        <w:t>aa) and 4007(1)(aa) of Schedule 4 to the Migration Regulations.</w:t>
      </w:r>
    </w:p>
    <w:sectPr w:rsidR="00B75478"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B7B"/>
    <w:multiLevelType w:val="hybridMultilevel"/>
    <w:tmpl w:val="ECFC389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19A46217"/>
    <w:multiLevelType w:val="hybridMultilevel"/>
    <w:tmpl w:val="41D4D4B0"/>
    <w:lvl w:ilvl="0" w:tplc="EFA8C96E">
      <w:start w:val="1"/>
      <w:numFmt w:val="decimal"/>
      <w:lvlText w:val="%1."/>
      <w:lvlJc w:val="left"/>
      <w:pPr>
        <w:ind w:left="785" w:hanging="360"/>
      </w:pPr>
      <w:rPr>
        <w:rFonts w:hint="default"/>
        <w:b w:val="0"/>
        <w:i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5162A5"/>
    <w:multiLevelType w:val="hybridMultilevel"/>
    <w:tmpl w:val="5D90AFA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355C446A"/>
    <w:multiLevelType w:val="hybridMultilevel"/>
    <w:tmpl w:val="CF62577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36B45FC1"/>
    <w:multiLevelType w:val="hybridMultilevel"/>
    <w:tmpl w:val="75B6342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39A76EF3"/>
    <w:multiLevelType w:val="hybridMultilevel"/>
    <w:tmpl w:val="75BADC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AE532A9"/>
    <w:multiLevelType w:val="hybridMultilevel"/>
    <w:tmpl w:val="FBDCB440"/>
    <w:lvl w:ilvl="0" w:tplc="C80632DA">
      <w:start w:val="1"/>
      <w:numFmt w:val="decimal"/>
      <w:pStyle w:val="ESSubparaHeader"/>
      <w:lvlText w:val="%1"/>
      <w:lvlJc w:val="left"/>
      <w:pPr>
        <w:ind w:left="786"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F84E09"/>
    <w:multiLevelType w:val="hybridMultilevel"/>
    <w:tmpl w:val="40AEC7E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4ADF2485"/>
    <w:multiLevelType w:val="hybridMultilevel"/>
    <w:tmpl w:val="7F7AEAD4"/>
    <w:lvl w:ilvl="0" w:tplc="627A39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502614"/>
    <w:multiLevelType w:val="hybridMultilevel"/>
    <w:tmpl w:val="0F348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C35454"/>
    <w:multiLevelType w:val="hybridMultilevel"/>
    <w:tmpl w:val="BD701F8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68FF5833"/>
    <w:multiLevelType w:val="hybridMultilevel"/>
    <w:tmpl w:val="993E64F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74E83010"/>
    <w:multiLevelType w:val="hybridMultilevel"/>
    <w:tmpl w:val="32A8D3B8"/>
    <w:lvl w:ilvl="0" w:tplc="0C090001">
      <w:start w:val="1"/>
      <w:numFmt w:val="bullet"/>
      <w:lvlText w:val=""/>
      <w:lvlJc w:val="left"/>
      <w:pPr>
        <w:ind w:left="1340" w:hanging="360"/>
      </w:pPr>
      <w:rPr>
        <w:rFonts w:ascii="Symbol" w:hAnsi="Symbol" w:hint="default"/>
      </w:rPr>
    </w:lvl>
    <w:lvl w:ilvl="1" w:tplc="0C090003" w:tentative="1">
      <w:start w:val="1"/>
      <w:numFmt w:val="bullet"/>
      <w:lvlText w:val="o"/>
      <w:lvlJc w:val="left"/>
      <w:pPr>
        <w:ind w:left="2060" w:hanging="360"/>
      </w:pPr>
      <w:rPr>
        <w:rFonts w:ascii="Courier New" w:hAnsi="Courier New" w:cs="Courier New" w:hint="default"/>
      </w:rPr>
    </w:lvl>
    <w:lvl w:ilvl="2" w:tplc="0C090005" w:tentative="1">
      <w:start w:val="1"/>
      <w:numFmt w:val="bullet"/>
      <w:lvlText w:val=""/>
      <w:lvlJc w:val="left"/>
      <w:pPr>
        <w:ind w:left="2780" w:hanging="360"/>
      </w:pPr>
      <w:rPr>
        <w:rFonts w:ascii="Wingdings" w:hAnsi="Wingdings" w:hint="default"/>
      </w:rPr>
    </w:lvl>
    <w:lvl w:ilvl="3" w:tplc="0C090001" w:tentative="1">
      <w:start w:val="1"/>
      <w:numFmt w:val="bullet"/>
      <w:lvlText w:val=""/>
      <w:lvlJc w:val="left"/>
      <w:pPr>
        <w:ind w:left="3500" w:hanging="360"/>
      </w:pPr>
      <w:rPr>
        <w:rFonts w:ascii="Symbol" w:hAnsi="Symbol" w:hint="default"/>
      </w:rPr>
    </w:lvl>
    <w:lvl w:ilvl="4" w:tplc="0C090003" w:tentative="1">
      <w:start w:val="1"/>
      <w:numFmt w:val="bullet"/>
      <w:lvlText w:val="o"/>
      <w:lvlJc w:val="left"/>
      <w:pPr>
        <w:ind w:left="4220" w:hanging="360"/>
      </w:pPr>
      <w:rPr>
        <w:rFonts w:ascii="Courier New" w:hAnsi="Courier New" w:cs="Courier New" w:hint="default"/>
      </w:rPr>
    </w:lvl>
    <w:lvl w:ilvl="5" w:tplc="0C090005" w:tentative="1">
      <w:start w:val="1"/>
      <w:numFmt w:val="bullet"/>
      <w:lvlText w:val=""/>
      <w:lvlJc w:val="left"/>
      <w:pPr>
        <w:ind w:left="4940" w:hanging="360"/>
      </w:pPr>
      <w:rPr>
        <w:rFonts w:ascii="Wingdings" w:hAnsi="Wingdings" w:hint="default"/>
      </w:rPr>
    </w:lvl>
    <w:lvl w:ilvl="6" w:tplc="0C090001" w:tentative="1">
      <w:start w:val="1"/>
      <w:numFmt w:val="bullet"/>
      <w:lvlText w:val=""/>
      <w:lvlJc w:val="left"/>
      <w:pPr>
        <w:ind w:left="5660" w:hanging="360"/>
      </w:pPr>
      <w:rPr>
        <w:rFonts w:ascii="Symbol" w:hAnsi="Symbol" w:hint="default"/>
      </w:rPr>
    </w:lvl>
    <w:lvl w:ilvl="7" w:tplc="0C090003" w:tentative="1">
      <w:start w:val="1"/>
      <w:numFmt w:val="bullet"/>
      <w:lvlText w:val="o"/>
      <w:lvlJc w:val="left"/>
      <w:pPr>
        <w:ind w:left="6380" w:hanging="360"/>
      </w:pPr>
      <w:rPr>
        <w:rFonts w:ascii="Courier New" w:hAnsi="Courier New" w:cs="Courier New" w:hint="default"/>
      </w:rPr>
    </w:lvl>
    <w:lvl w:ilvl="8" w:tplc="0C090005" w:tentative="1">
      <w:start w:val="1"/>
      <w:numFmt w:val="bullet"/>
      <w:lvlText w:val=""/>
      <w:lvlJc w:val="left"/>
      <w:pPr>
        <w:ind w:left="7100" w:hanging="360"/>
      </w:pPr>
      <w:rPr>
        <w:rFonts w:ascii="Wingdings" w:hAnsi="Wingdings" w:hint="default"/>
      </w:rPr>
    </w:lvl>
  </w:abstractNum>
  <w:abstractNum w:abstractNumId="14" w15:restartNumberingAfterBreak="0">
    <w:nsid w:val="75162AE7"/>
    <w:multiLevelType w:val="hybridMultilevel"/>
    <w:tmpl w:val="44F020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7C86626E"/>
    <w:multiLevelType w:val="hybridMultilevel"/>
    <w:tmpl w:val="C602E6E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abstractNumId w:val="6"/>
  </w:num>
  <w:num w:numId="2">
    <w:abstractNumId w:val="9"/>
  </w:num>
  <w:num w:numId="3">
    <w:abstractNumId w:val="9"/>
  </w:num>
  <w:num w:numId="4">
    <w:abstractNumId w:val="9"/>
  </w:num>
  <w:num w:numId="5">
    <w:abstractNumId w:val="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1"/>
  </w:num>
  <w:num w:numId="10">
    <w:abstractNumId w:val="14"/>
  </w:num>
  <w:num w:numId="11">
    <w:abstractNumId w:val="10"/>
  </w:num>
  <w:num w:numId="12">
    <w:abstractNumId w:val="3"/>
  </w:num>
  <w:num w:numId="13">
    <w:abstractNumId w:val="12"/>
  </w:num>
  <w:num w:numId="14">
    <w:abstractNumId w:val="7"/>
  </w:num>
  <w:num w:numId="15">
    <w:abstractNumId w:val="2"/>
  </w:num>
  <w:num w:numId="16">
    <w:abstractNumId w:val="13"/>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FD"/>
    <w:rsid w:val="00005CC2"/>
    <w:rsid w:val="0001398B"/>
    <w:rsid w:val="00021738"/>
    <w:rsid w:val="00064DC8"/>
    <w:rsid w:val="00073D8B"/>
    <w:rsid w:val="00074CAD"/>
    <w:rsid w:val="0008735A"/>
    <w:rsid w:val="000B6E58"/>
    <w:rsid w:val="000D014F"/>
    <w:rsid w:val="000E0C2A"/>
    <w:rsid w:val="00100DFC"/>
    <w:rsid w:val="00115BD3"/>
    <w:rsid w:val="00141DB2"/>
    <w:rsid w:val="00143A9E"/>
    <w:rsid w:val="00165E9A"/>
    <w:rsid w:val="001845D1"/>
    <w:rsid w:val="0019164E"/>
    <w:rsid w:val="001D69A5"/>
    <w:rsid w:val="00201251"/>
    <w:rsid w:val="00221888"/>
    <w:rsid w:val="002402E0"/>
    <w:rsid w:val="00276A4B"/>
    <w:rsid w:val="00287B7C"/>
    <w:rsid w:val="00295A7E"/>
    <w:rsid w:val="002B3483"/>
    <w:rsid w:val="002B6A1E"/>
    <w:rsid w:val="002C6FC6"/>
    <w:rsid w:val="002D167E"/>
    <w:rsid w:val="00343E1B"/>
    <w:rsid w:val="003932F8"/>
    <w:rsid w:val="003C2C69"/>
    <w:rsid w:val="0042519C"/>
    <w:rsid w:val="004422CC"/>
    <w:rsid w:val="0045003B"/>
    <w:rsid w:val="00457D4A"/>
    <w:rsid w:val="00462D9E"/>
    <w:rsid w:val="00464080"/>
    <w:rsid w:val="004826DB"/>
    <w:rsid w:val="00483ED1"/>
    <w:rsid w:val="004B2C59"/>
    <w:rsid w:val="004D637F"/>
    <w:rsid w:val="004E4352"/>
    <w:rsid w:val="004E4A96"/>
    <w:rsid w:val="004F3DC1"/>
    <w:rsid w:val="004F5CE4"/>
    <w:rsid w:val="00520169"/>
    <w:rsid w:val="005575CF"/>
    <w:rsid w:val="00560B24"/>
    <w:rsid w:val="0057002B"/>
    <w:rsid w:val="00580A5F"/>
    <w:rsid w:val="005900C8"/>
    <w:rsid w:val="005A3733"/>
    <w:rsid w:val="005A5724"/>
    <w:rsid w:val="005D7786"/>
    <w:rsid w:val="00604E06"/>
    <w:rsid w:val="00620566"/>
    <w:rsid w:val="00630083"/>
    <w:rsid w:val="00651145"/>
    <w:rsid w:val="00672A3B"/>
    <w:rsid w:val="00673C80"/>
    <w:rsid w:val="006922C1"/>
    <w:rsid w:val="006B3E4E"/>
    <w:rsid w:val="006C7E04"/>
    <w:rsid w:val="006D547F"/>
    <w:rsid w:val="007368B7"/>
    <w:rsid w:val="0076560E"/>
    <w:rsid w:val="007B4DF6"/>
    <w:rsid w:val="007E4691"/>
    <w:rsid w:val="00803548"/>
    <w:rsid w:val="0081574B"/>
    <w:rsid w:val="0082417B"/>
    <w:rsid w:val="008313B6"/>
    <w:rsid w:val="0088407D"/>
    <w:rsid w:val="008B24C8"/>
    <w:rsid w:val="008B5D35"/>
    <w:rsid w:val="008D65D8"/>
    <w:rsid w:val="008E0EB0"/>
    <w:rsid w:val="008F32C5"/>
    <w:rsid w:val="00915032"/>
    <w:rsid w:val="0096452D"/>
    <w:rsid w:val="00994CBE"/>
    <w:rsid w:val="00995DF4"/>
    <w:rsid w:val="009A13EB"/>
    <w:rsid w:val="009A17C2"/>
    <w:rsid w:val="009C32E3"/>
    <w:rsid w:val="009C48C6"/>
    <w:rsid w:val="009D5EF1"/>
    <w:rsid w:val="009F6B32"/>
    <w:rsid w:val="00A04999"/>
    <w:rsid w:val="00A321FB"/>
    <w:rsid w:val="00A45DE9"/>
    <w:rsid w:val="00A5752C"/>
    <w:rsid w:val="00A71632"/>
    <w:rsid w:val="00AA4557"/>
    <w:rsid w:val="00AA4F77"/>
    <w:rsid w:val="00AB1C6F"/>
    <w:rsid w:val="00AB2E67"/>
    <w:rsid w:val="00B1558F"/>
    <w:rsid w:val="00B2673E"/>
    <w:rsid w:val="00B32814"/>
    <w:rsid w:val="00B445D9"/>
    <w:rsid w:val="00B65A06"/>
    <w:rsid w:val="00B670B7"/>
    <w:rsid w:val="00B75478"/>
    <w:rsid w:val="00BA6EFD"/>
    <w:rsid w:val="00BB0CF2"/>
    <w:rsid w:val="00BD598E"/>
    <w:rsid w:val="00BE3E7F"/>
    <w:rsid w:val="00BE4A91"/>
    <w:rsid w:val="00C52918"/>
    <w:rsid w:val="00C5777B"/>
    <w:rsid w:val="00C81A5E"/>
    <w:rsid w:val="00C829AA"/>
    <w:rsid w:val="00C930F2"/>
    <w:rsid w:val="00D027D1"/>
    <w:rsid w:val="00D077BF"/>
    <w:rsid w:val="00D22949"/>
    <w:rsid w:val="00D40E1E"/>
    <w:rsid w:val="00D561B8"/>
    <w:rsid w:val="00DC534F"/>
    <w:rsid w:val="00DE3885"/>
    <w:rsid w:val="00DF2CAF"/>
    <w:rsid w:val="00E01438"/>
    <w:rsid w:val="00E03DCC"/>
    <w:rsid w:val="00E05C56"/>
    <w:rsid w:val="00E2620E"/>
    <w:rsid w:val="00E40870"/>
    <w:rsid w:val="00E45FE2"/>
    <w:rsid w:val="00E95DDD"/>
    <w:rsid w:val="00E95E47"/>
    <w:rsid w:val="00EA12C9"/>
    <w:rsid w:val="00F12982"/>
    <w:rsid w:val="00F16B31"/>
    <w:rsid w:val="00F83D3A"/>
    <w:rsid w:val="00F95581"/>
    <w:rsid w:val="00FB0580"/>
    <w:rsid w:val="00FE0370"/>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E425"/>
  <w15:chartTrackingRefBased/>
  <w15:docId w15:val="{A37755E6-EAD3-4FC4-A644-EF8BCE37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E95DDD"/>
    <w:rPr>
      <w:sz w:val="16"/>
      <w:szCs w:val="16"/>
    </w:rPr>
  </w:style>
  <w:style w:type="paragraph" w:styleId="CommentText">
    <w:name w:val="annotation text"/>
    <w:basedOn w:val="Normal"/>
    <w:link w:val="CommentTextChar"/>
    <w:uiPriority w:val="99"/>
    <w:semiHidden/>
    <w:unhideWhenUsed/>
    <w:rsid w:val="00E95DDD"/>
    <w:pPr>
      <w:spacing w:line="240" w:lineRule="auto"/>
    </w:pPr>
    <w:rPr>
      <w:sz w:val="20"/>
      <w:szCs w:val="20"/>
    </w:rPr>
  </w:style>
  <w:style w:type="character" w:customStyle="1" w:styleId="CommentTextChar">
    <w:name w:val="Comment Text Char"/>
    <w:basedOn w:val="DefaultParagraphFont"/>
    <w:link w:val="CommentText"/>
    <w:uiPriority w:val="99"/>
    <w:semiHidden/>
    <w:rsid w:val="00E95DDD"/>
    <w:rPr>
      <w:sz w:val="20"/>
      <w:szCs w:val="20"/>
    </w:rPr>
  </w:style>
  <w:style w:type="paragraph" w:styleId="CommentSubject">
    <w:name w:val="annotation subject"/>
    <w:basedOn w:val="CommentText"/>
    <w:next w:val="CommentText"/>
    <w:link w:val="CommentSubjectChar"/>
    <w:uiPriority w:val="99"/>
    <w:semiHidden/>
    <w:unhideWhenUsed/>
    <w:rsid w:val="00E95DDD"/>
    <w:rPr>
      <w:b/>
      <w:bCs/>
    </w:rPr>
  </w:style>
  <w:style w:type="character" w:customStyle="1" w:styleId="CommentSubjectChar">
    <w:name w:val="Comment Subject Char"/>
    <w:basedOn w:val="CommentTextChar"/>
    <w:link w:val="CommentSubject"/>
    <w:uiPriority w:val="99"/>
    <w:semiHidden/>
    <w:rsid w:val="00E95DDD"/>
    <w:rPr>
      <w:b/>
      <w:bCs/>
      <w:sz w:val="20"/>
      <w:szCs w:val="20"/>
    </w:rPr>
  </w:style>
  <w:style w:type="paragraph" w:styleId="BalloonText">
    <w:name w:val="Balloon Text"/>
    <w:basedOn w:val="Normal"/>
    <w:link w:val="BalloonTextChar"/>
    <w:uiPriority w:val="99"/>
    <w:semiHidden/>
    <w:unhideWhenUsed/>
    <w:rsid w:val="00E95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DDD"/>
    <w:rPr>
      <w:rFonts w:ascii="Segoe UI" w:hAnsi="Segoe UI" w:cs="Segoe UI"/>
      <w:sz w:val="18"/>
      <w:szCs w:val="18"/>
    </w:rPr>
  </w:style>
  <w:style w:type="character" w:styleId="Hyperlink">
    <w:name w:val="Hyperlink"/>
    <w:basedOn w:val="DefaultParagraphFont"/>
    <w:uiPriority w:val="99"/>
    <w:unhideWhenUsed/>
    <w:rsid w:val="00E95DDD"/>
    <w:rPr>
      <w:color w:val="0563C1" w:themeColor="hyperlink"/>
      <w:u w:val="single"/>
    </w:rPr>
  </w:style>
  <w:style w:type="paragraph" w:customStyle="1" w:styleId="espara0">
    <w:name w:val="espara"/>
    <w:basedOn w:val="Normal"/>
    <w:rsid w:val="00F83D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C829AA"/>
  </w:style>
  <w:style w:type="paragraph" w:styleId="Revision">
    <w:name w:val="Revision"/>
    <w:hidden/>
    <w:uiPriority w:val="99"/>
    <w:semiHidden/>
    <w:rsid w:val="009A13EB"/>
    <w:pPr>
      <w:spacing w:after="0" w:line="240" w:lineRule="auto"/>
    </w:pPr>
  </w:style>
  <w:style w:type="paragraph" w:styleId="PlainText">
    <w:name w:val="Plain Text"/>
    <w:basedOn w:val="Normal"/>
    <w:link w:val="PlainTextChar"/>
    <w:uiPriority w:val="99"/>
    <w:unhideWhenUsed/>
    <w:rsid w:val="009A13E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A13E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633159">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835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98AE9-7F07-4576-A4A4-43B67BD3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LEE</dc:creator>
  <cp:keywords/>
  <dc:description/>
  <cp:lastModifiedBy>Iliya BOULOS</cp:lastModifiedBy>
  <cp:revision>2</cp:revision>
  <dcterms:created xsi:type="dcterms:W3CDTF">2023-06-20T00:50:00Z</dcterms:created>
  <dcterms:modified xsi:type="dcterms:W3CDTF">2023-06-20T00:50:00Z</dcterms:modified>
</cp:coreProperties>
</file>