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6333" w14:textId="77777777" w:rsidR="0048364F" w:rsidRPr="005967EB" w:rsidRDefault="00193461" w:rsidP="0020300C">
      <w:pPr>
        <w:rPr>
          <w:sz w:val="28"/>
        </w:rPr>
      </w:pPr>
      <w:r w:rsidRPr="005967EB">
        <w:rPr>
          <w:noProof/>
          <w:lang w:eastAsia="en-AU"/>
        </w:rPr>
        <w:drawing>
          <wp:inline distT="0" distB="0" distL="0" distR="0" wp14:anchorId="7EE5C09E" wp14:editId="4F1B6C6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FC06E66" w14:textId="77777777" w:rsidR="0048364F" w:rsidRPr="005967EB" w:rsidRDefault="0048364F" w:rsidP="0048364F">
      <w:pPr>
        <w:rPr>
          <w:sz w:val="19"/>
        </w:rPr>
      </w:pPr>
    </w:p>
    <w:p w14:paraId="545814D9" w14:textId="77777777" w:rsidR="0048364F" w:rsidRPr="005967EB" w:rsidRDefault="00145A38" w:rsidP="0048364F">
      <w:pPr>
        <w:pStyle w:val="ShortT"/>
      </w:pPr>
      <w:r w:rsidRPr="005967EB">
        <w:rPr>
          <w:lang w:eastAsia="en-US"/>
        </w:rPr>
        <w:t xml:space="preserve">Foreign Acquisitions and Takeovers Amendment (Register of Foreign Ownership and Other Matters) </w:t>
      </w:r>
      <w:r w:rsidR="005967EB" w:rsidRPr="005967EB">
        <w:rPr>
          <w:lang w:eastAsia="en-US"/>
        </w:rPr>
        <w:t>Regulations 2</w:t>
      </w:r>
      <w:r w:rsidRPr="005967EB">
        <w:rPr>
          <w:lang w:eastAsia="en-US"/>
        </w:rPr>
        <w:t>023</w:t>
      </w:r>
    </w:p>
    <w:p w14:paraId="5224A1D9" w14:textId="77777777" w:rsidR="00145A38" w:rsidRPr="005967EB" w:rsidRDefault="00145A38" w:rsidP="00FF1E95">
      <w:pPr>
        <w:pStyle w:val="SignCoverPageStart"/>
        <w:spacing w:before="240"/>
        <w:rPr>
          <w:szCs w:val="22"/>
        </w:rPr>
      </w:pPr>
      <w:r w:rsidRPr="005967EB">
        <w:rPr>
          <w:szCs w:val="22"/>
        </w:rPr>
        <w:t>I, General the Honourable David Hurley AC DSC (Retd), Governor</w:t>
      </w:r>
      <w:r w:rsidR="005967EB">
        <w:rPr>
          <w:szCs w:val="22"/>
        </w:rPr>
        <w:noBreakHyphen/>
      </w:r>
      <w:r w:rsidRPr="005967EB">
        <w:rPr>
          <w:szCs w:val="22"/>
        </w:rPr>
        <w:t>General of the Commonwealth of Australia, acting with the advice of the Federal Executive Council, make the following regulations</w:t>
      </w:r>
      <w:r w:rsidR="00AD7B48" w:rsidRPr="005967EB">
        <w:rPr>
          <w:szCs w:val="22"/>
        </w:rPr>
        <w:t>.</w:t>
      </w:r>
    </w:p>
    <w:p w14:paraId="6261D394" w14:textId="1EF0C675" w:rsidR="00145A38" w:rsidRPr="005967EB" w:rsidRDefault="00145A38" w:rsidP="00FF1E95">
      <w:pPr>
        <w:keepNext/>
        <w:spacing w:before="720" w:line="240" w:lineRule="atLeast"/>
        <w:ind w:right="397"/>
        <w:jc w:val="both"/>
        <w:rPr>
          <w:szCs w:val="22"/>
        </w:rPr>
      </w:pPr>
      <w:r w:rsidRPr="005967EB">
        <w:rPr>
          <w:szCs w:val="22"/>
        </w:rPr>
        <w:t xml:space="preserve">Dated </w:t>
      </w:r>
      <w:r w:rsidRPr="005967EB">
        <w:rPr>
          <w:szCs w:val="22"/>
        </w:rPr>
        <w:tab/>
      </w:r>
      <w:r w:rsidR="00F4659C">
        <w:rPr>
          <w:szCs w:val="22"/>
        </w:rPr>
        <w:t xml:space="preserve">19 June </w:t>
      </w:r>
      <w:r w:rsidRPr="005967EB">
        <w:rPr>
          <w:szCs w:val="22"/>
        </w:rPr>
        <w:fldChar w:fldCharType="begin"/>
      </w:r>
      <w:r w:rsidRPr="005967EB">
        <w:rPr>
          <w:szCs w:val="22"/>
        </w:rPr>
        <w:instrText xml:space="preserve"> DOCPROPERTY  DateMade </w:instrText>
      </w:r>
      <w:r w:rsidRPr="005967EB">
        <w:rPr>
          <w:szCs w:val="22"/>
        </w:rPr>
        <w:fldChar w:fldCharType="separate"/>
      </w:r>
      <w:r w:rsidR="00DF1401">
        <w:rPr>
          <w:szCs w:val="22"/>
        </w:rPr>
        <w:t>2023</w:t>
      </w:r>
      <w:r w:rsidRPr="005967EB">
        <w:rPr>
          <w:szCs w:val="22"/>
        </w:rPr>
        <w:fldChar w:fldCharType="end"/>
      </w:r>
    </w:p>
    <w:p w14:paraId="5DFEB51F" w14:textId="77777777" w:rsidR="00145A38" w:rsidRPr="005967EB" w:rsidRDefault="00145A38" w:rsidP="00FF1E95">
      <w:pPr>
        <w:keepNext/>
        <w:tabs>
          <w:tab w:val="left" w:pos="3402"/>
        </w:tabs>
        <w:spacing w:before="1080" w:line="300" w:lineRule="atLeast"/>
        <w:ind w:left="397" w:right="397"/>
        <w:jc w:val="right"/>
        <w:rPr>
          <w:szCs w:val="22"/>
        </w:rPr>
      </w:pPr>
      <w:r w:rsidRPr="005967EB">
        <w:rPr>
          <w:szCs w:val="22"/>
        </w:rPr>
        <w:t>David Hurley</w:t>
      </w:r>
    </w:p>
    <w:p w14:paraId="0F7756BB" w14:textId="77777777" w:rsidR="00145A38" w:rsidRPr="005967EB" w:rsidRDefault="00145A38" w:rsidP="00FF1E95">
      <w:pPr>
        <w:keepNext/>
        <w:tabs>
          <w:tab w:val="left" w:pos="3402"/>
        </w:tabs>
        <w:spacing w:line="300" w:lineRule="atLeast"/>
        <w:ind w:left="397" w:right="397"/>
        <w:jc w:val="right"/>
        <w:rPr>
          <w:szCs w:val="22"/>
        </w:rPr>
      </w:pPr>
      <w:r w:rsidRPr="005967EB">
        <w:rPr>
          <w:szCs w:val="22"/>
        </w:rPr>
        <w:t>Governor</w:t>
      </w:r>
      <w:r w:rsidR="005967EB">
        <w:rPr>
          <w:szCs w:val="22"/>
        </w:rPr>
        <w:noBreakHyphen/>
      </w:r>
      <w:r w:rsidRPr="005967EB">
        <w:rPr>
          <w:szCs w:val="22"/>
        </w:rPr>
        <w:t>General</w:t>
      </w:r>
    </w:p>
    <w:p w14:paraId="7047100F" w14:textId="77777777" w:rsidR="00145A38" w:rsidRPr="005967EB" w:rsidRDefault="00145A38" w:rsidP="00FF1E95">
      <w:pPr>
        <w:keepNext/>
        <w:tabs>
          <w:tab w:val="left" w:pos="3402"/>
        </w:tabs>
        <w:spacing w:before="840" w:after="1080" w:line="300" w:lineRule="atLeast"/>
        <w:ind w:right="397"/>
        <w:rPr>
          <w:szCs w:val="22"/>
        </w:rPr>
      </w:pPr>
      <w:r w:rsidRPr="005967EB">
        <w:rPr>
          <w:szCs w:val="22"/>
        </w:rPr>
        <w:t>By His Excellency’s Command</w:t>
      </w:r>
    </w:p>
    <w:p w14:paraId="713FFE44" w14:textId="77777777" w:rsidR="00145A38" w:rsidRPr="005967EB" w:rsidRDefault="00145A38" w:rsidP="00FF1E95">
      <w:pPr>
        <w:keepNext/>
        <w:tabs>
          <w:tab w:val="left" w:pos="3402"/>
        </w:tabs>
        <w:spacing w:before="480" w:line="300" w:lineRule="atLeast"/>
        <w:ind w:right="397"/>
        <w:rPr>
          <w:szCs w:val="22"/>
        </w:rPr>
      </w:pPr>
      <w:r w:rsidRPr="005967EB">
        <w:rPr>
          <w:szCs w:val="22"/>
        </w:rPr>
        <w:t>Dr Jim Chalmers</w:t>
      </w:r>
    </w:p>
    <w:p w14:paraId="3F0A696B" w14:textId="77777777" w:rsidR="00145A38" w:rsidRPr="005967EB" w:rsidRDefault="00145A38" w:rsidP="00FF1E95">
      <w:pPr>
        <w:pStyle w:val="SignCoverPageEnd"/>
        <w:rPr>
          <w:szCs w:val="22"/>
        </w:rPr>
      </w:pPr>
      <w:r w:rsidRPr="005967EB">
        <w:rPr>
          <w:szCs w:val="22"/>
        </w:rPr>
        <w:t>Treasurer</w:t>
      </w:r>
    </w:p>
    <w:p w14:paraId="0D7B0B4F" w14:textId="77777777" w:rsidR="00145A38" w:rsidRPr="005967EB" w:rsidRDefault="00145A38" w:rsidP="00FF1E95"/>
    <w:p w14:paraId="446D9C95" w14:textId="77777777" w:rsidR="00145A38" w:rsidRPr="005967EB" w:rsidRDefault="00145A38" w:rsidP="00FF1E95"/>
    <w:p w14:paraId="3C1CD386" w14:textId="77777777" w:rsidR="00145A38" w:rsidRPr="005967EB" w:rsidRDefault="00145A38" w:rsidP="00FF1E95"/>
    <w:p w14:paraId="38EB9BE3" w14:textId="77777777" w:rsidR="0048364F" w:rsidRPr="00B54B23" w:rsidRDefault="0048364F" w:rsidP="0048364F">
      <w:pPr>
        <w:pStyle w:val="Header"/>
        <w:tabs>
          <w:tab w:val="clear" w:pos="4150"/>
          <w:tab w:val="clear" w:pos="8307"/>
        </w:tabs>
      </w:pPr>
      <w:r w:rsidRPr="00B54B23">
        <w:rPr>
          <w:rStyle w:val="CharAmSchNo"/>
        </w:rPr>
        <w:t xml:space="preserve"> </w:t>
      </w:r>
      <w:r w:rsidRPr="00B54B23">
        <w:rPr>
          <w:rStyle w:val="CharAmSchText"/>
        </w:rPr>
        <w:t xml:space="preserve"> </w:t>
      </w:r>
    </w:p>
    <w:p w14:paraId="41C835FF" w14:textId="77777777" w:rsidR="0048364F" w:rsidRPr="00B54B23" w:rsidRDefault="0048364F" w:rsidP="0048364F">
      <w:pPr>
        <w:pStyle w:val="Header"/>
        <w:tabs>
          <w:tab w:val="clear" w:pos="4150"/>
          <w:tab w:val="clear" w:pos="8307"/>
        </w:tabs>
      </w:pPr>
      <w:r w:rsidRPr="00B54B23">
        <w:rPr>
          <w:rStyle w:val="CharAmPartNo"/>
        </w:rPr>
        <w:t xml:space="preserve"> </w:t>
      </w:r>
      <w:r w:rsidRPr="00B54B23">
        <w:rPr>
          <w:rStyle w:val="CharAmPartText"/>
        </w:rPr>
        <w:t xml:space="preserve"> </w:t>
      </w:r>
    </w:p>
    <w:p w14:paraId="38CC4C02" w14:textId="77777777" w:rsidR="0048364F" w:rsidRPr="005967EB" w:rsidRDefault="0048364F" w:rsidP="0048364F">
      <w:pPr>
        <w:sectPr w:rsidR="0048364F" w:rsidRPr="005967EB" w:rsidSect="000D197B">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108CB070" w14:textId="77777777" w:rsidR="00220A0C" w:rsidRPr="005967EB" w:rsidRDefault="0048364F" w:rsidP="0048364F">
      <w:pPr>
        <w:outlineLvl w:val="0"/>
        <w:rPr>
          <w:sz w:val="36"/>
        </w:rPr>
      </w:pPr>
      <w:r w:rsidRPr="005967EB">
        <w:rPr>
          <w:sz w:val="36"/>
        </w:rPr>
        <w:lastRenderedPageBreak/>
        <w:t>Contents</w:t>
      </w:r>
    </w:p>
    <w:p w14:paraId="005965A6" w14:textId="13D25B57" w:rsidR="00905084" w:rsidRPr="005967EB" w:rsidRDefault="00905084">
      <w:pPr>
        <w:pStyle w:val="TOC5"/>
        <w:rPr>
          <w:rFonts w:asciiTheme="minorHAnsi" w:eastAsiaTheme="minorEastAsia" w:hAnsiTheme="minorHAnsi" w:cstheme="minorBidi"/>
          <w:noProof/>
          <w:kern w:val="0"/>
          <w:sz w:val="22"/>
          <w:szCs w:val="22"/>
        </w:rPr>
      </w:pPr>
      <w:r w:rsidRPr="005967EB">
        <w:fldChar w:fldCharType="begin"/>
      </w:r>
      <w:r w:rsidRPr="005967EB">
        <w:instrText xml:space="preserve"> TOC \o "1-9" </w:instrText>
      </w:r>
      <w:r w:rsidRPr="005967EB">
        <w:fldChar w:fldCharType="separate"/>
      </w:r>
      <w:r w:rsidRPr="005967EB">
        <w:rPr>
          <w:noProof/>
        </w:rPr>
        <w:t>1</w:t>
      </w:r>
      <w:r w:rsidRPr="005967EB">
        <w:rPr>
          <w:noProof/>
        </w:rPr>
        <w:tab/>
        <w:t>Name</w:t>
      </w:r>
      <w:r w:rsidRPr="005967EB">
        <w:rPr>
          <w:noProof/>
        </w:rPr>
        <w:tab/>
      </w:r>
      <w:r w:rsidRPr="005967EB">
        <w:rPr>
          <w:noProof/>
        </w:rPr>
        <w:fldChar w:fldCharType="begin"/>
      </w:r>
      <w:r w:rsidRPr="005967EB">
        <w:rPr>
          <w:noProof/>
        </w:rPr>
        <w:instrText xml:space="preserve"> PAGEREF _Toc135742403 \h </w:instrText>
      </w:r>
      <w:r w:rsidRPr="005967EB">
        <w:rPr>
          <w:noProof/>
        </w:rPr>
      </w:r>
      <w:r w:rsidRPr="005967EB">
        <w:rPr>
          <w:noProof/>
        </w:rPr>
        <w:fldChar w:fldCharType="separate"/>
      </w:r>
      <w:r w:rsidR="00DF1401">
        <w:rPr>
          <w:noProof/>
        </w:rPr>
        <w:t>1</w:t>
      </w:r>
      <w:r w:rsidRPr="005967EB">
        <w:rPr>
          <w:noProof/>
        </w:rPr>
        <w:fldChar w:fldCharType="end"/>
      </w:r>
    </w:p>
    <w:p w14:paraId="009D442F" w14:textId="0BF4C395" w:rsidR="00905084" w:rsidRPr="005967EB" w:rsidRDefault="00905084">
      <w:pPr>
        <w:pStyle w:val="TOC5"/>
        <w:rPr>
          <w:rFonts w:asciiTheme="minorHAnsi" w:eastAsiaTheme="minorEastAsia" w:hAnsiTheme="minorHAnsi" w:cstheme="minorBidi"/>
          <w:noProof/>
          <w:kern w:val="0"/>
          <w:sz w:val="22"/>
          <w:szCs w:val="22"/>
        </w:rPr>
      </w:pPr>
      <w:r w:rsidRPr="005967EB">
        <w:rPr>
          <w:noProof/>
        </w:rPr>
        <w:t>2</w:t>
      </w:r>
      <w:r w:rsidRPr="005967EB">
        <w:rPr>
          <w:noProof/>
        </w:rPr>
        <w:tab/>
        <w:t>Commencement</w:t>
      </w:r>
      <w:r w:rsidRPr="005967EB">
        <w:rPr>
          <w:noProof/>
        </w:rPr>
        <w:tab/>
      </w:r>
      <w:r w:rsidRPr="005967EB">
        <w:rPr>
          <w:noProof/>
        </w:rPr>
        <w:fldChar w:fldCharType="begin"/>
      </w:r>
      <w:r w:rsidRPr="005967EB">
        <w:rPr>
          <w:noProof/>
        </w:rPr>
        <w:instrText xml:space="preserve"> PAGEREF _Toc135742404 \h </w:instrText>
      </w:r>
      <w:r w:rsidRPr="005967EB">
        <w:rPr>
          <w:noProof/>
        </w:rPr>
      </w:r>
      <w:r w:rsidRPr="005967EB">
        <w:rPr>
          <w:noProof/>
        </w:rPr>
        <w:fldChar w:fldCharType="separate"/>
      </w:r>
      <w:r w:rsidR="00DF1401">
        <w:rPr>
          <w:noProof/>
        </w:rPr>
        <w:t>1</w:t>
      </w:r>
      <w:r w:rsidRPr="005967EB">
        <w:rPr>
          <w:noProof/>
        </w:rPr>
        <w:fldChar w:fldCharType="end"/>
      </w:r>
    </w:p>
    <w:p w14:paraId="2C4D7F5E" w14:textId="400E3AD5" w:rsidR="00905084" w:rsidRPr="005967EB" w:rsidRDefault="00905084">
      <w:pPr>
        <w:pStyle w:val="TOC5"/>
        <w:rPr>
          <w:rFonts w:asciiTheme="minorHAnsi" w:eastAsiaTheme="minorEastAsia" w:hAnsiTheme="minorHAnsi" w:cstheme="minorBidi"/>
          <w:noProof/>
          <w:kern w:val="0"/>
          <w:sz w:val="22"/>
          <w:szCs w:val="22"/>
        </w:rPr>
      </w:pPr>
      <w:r w:rsidRPr="005967EB">
        <w:rPr>
          <w:noProof/>
        </w:rPr>
        <w:t>3</w:t>
      </w:r>
      <w:r w:rsidRPr="005967EB">
        <w:rPr>
          <w:noProof/>
        </w:rPr>
        <w:tab/>
        <w:t>Authority</w:t>
      </w:r>
      <w:r w:rsidRPr="005967EB">
        <w:rPr>
          <w:noProof/>
        </w:rPr>
        <w:tab/>
      </w:r>
      <w:r w:rsidRPr="005967EB">
        <w:rPr>
          <w:noProof/>
        </w:rPr>
        <w:fldChar w:fldCharType="begin"/>
      </w:r>
      <w:r w:rsidRPr="005967EB">
        <w:rPr>
          <w:noProof/>
        </w:rPr>
        <w:instrText xml:space="preserve"> PAGEREF _Toc135742405 \h </w:instrText>
      </w:r>
      <w:r w:rsidRPr="005967EB">
        <w:rPr>
          <w:noProof/>
        </w:rPr>
      </w:r>
      <w:r w:rsidRPr="005967EB">
        <w:rPr>
          <w:noProof/>
        </w:rPr>
        <w:fldChar w:fldCharType="separate"/>
      </w:r>
      <w:r w:rsidR="00DF1401">
        <w:rPr>
          <w:noProof/>
        </w:rPr>
        <w:t>1</w:t>
      </w:r>
      <w:r w:rsidRPr="005967EB">
        <w:rPr>
          <w:noProof/>
        </w:rPr>
        <w:fldChar w:fldCharType="end"/>
      </w:r>
    </w:p>
    <w:p w14:paraId="341BF527" w14:textId="3032C0ED" w:rsidR="00905084" w:rsidRPr="005967EB" w:rsidRDefault="00905084">
      <w:pPr>
        <w:pStyle w:val="TOC5"/>
        <w:rPr>
          <w:rFonts w:asciiTheme="minorHAnsi" w:eastAsiaTheme="minorEastAsia" w:hAnsiTheme="minorHAnsi" w:cstheme="minorBidi"/>
          <w:noProof/>
          <w:kern w:val="0"/>
          <w:sz w:val="22"/>
          <w:szCs w:val="22"/>
        </w:rPr>
      </w:pPr>
      <w:r w:rsidRPr="005967EB">
        <w:rPr>
          <w:noProof/>
        </w:rPr>
        <w:t>4</w:t>
      </w:r>
      <w:r w:rsidRPr="005967EB">
        <w:rPr>
          <w:noProof/>
        </w:rPr>
        <w:tab/>
        <w:t>Schedules</w:t>
      </w:r>
      <w:r w:rsidRPr="005967EB">
        <w:rPr>
          <w:noProof/>
        </w:rPr>
        <w:tab/>
      </w:r>
      <w:r w:rsidRPr="005967EB">
        <w:rPr>
          <w:noProof/>
        </w:rPr>
        <w:fldChar w:fldCharType="begin"/>
      </w:r>
      <w:r w:rsidRPr="005967EB">
        <w:rPr>
          <w:noProof/>
        </w:rPr>
        <w:instrText xml:space="preserve"> PAGEREF _Toc135742406 \h </w:instrText>
      </w:r>
      <w:r w:rsidRPr="005967EB">
        <w:rPr>
          <w:noProof/>
        </w:rPr>
      </w:r>
      <w:r w:rsidRPr="005967EB">
        <w:rPr>
          <w:noProof/>
        </w:rPr>
        <w:fldChar w:fldCharType="separate"/>
      </w:r>
      <w:r w:rsidR="00DF1401">
        <w:rPr>
          <w:noProof/>
        </w:rPr>
        <w:t>1</w:t>
      </w:r>
      <w:r w:rsidRPr="005967EB">
        <w:rPr>
          <w:noProof/>
        </w:rPr>
        <w:fldChar w:fldCharType="end"/>
      </w:r>
    </w:p>
    <w:p w14:paraId="2F98BA93" w14:textId="349486A0" w:rsidR="00905084" w:rsidRPr="005967EB" w:rsidRDefault="00905084">
      <w:pPr>
        <w:pStyle w:val="TOC6"/>
        <w:rPr>
          <w:rFonts w:asciiTheme="minorHAnsi" w:eastAsiaTheme="minorEastAsia" w:hAnsiTheme="minorHAnsi" w:cstheme="minorBidi"/>
          <w:b w:val="0"/>
          <w:noProof/>
          <w:kern w:val="0"/>
          <w:sz w:val="22"/>
          <w:szCs w:val="22"/>
        </w:rPr>
      </w:pPr>
      <w:r w:rsidRPr="005967EB">
        <w:rPr>
          <w:noProof/>
        </w:rPr>
        <w:t>Schedule 1—Amendments</w:t>
      </w:r>
      <w:r w:rsidRPr="005967EB">
        <w:rPr>
          <w:b w:val="0"/>
          <w:noProof/>
          <w:sz w:val="18"/>
        </w:rPr>
        <w:tab/>
      </w:r>
      <w:r w:rsidRPr="005967EB">
        <w:rPr>
          <w:b w:val="0"/>
          <w:noProof/>
          <w:sz w:val="18"/>
        </w:rPr>
        <w:fldChar w:fldCharType="begin"/>
      </w:r>
      <w:r w:rsidRPr="005967EB">
        <w:rPr>
          <w:b w:val="0"/>
          <w:noProof/>
          <w:sz w:val="18"/>
        </w:rPr>
        <w:instrText xml:space="preserve"> PAGEREF _Toc135742407 \h </w:instrText>
      </w:r>
      <w:r w:rsidRPr="005967EB">
        <w:rPr>
          <w:b w:val="0"/>
          <w:noProof/>
          <w:sz w:val="18"/>
        </w:rPr>
      </w:r>
      <w:r w:rsidRPr="005967EB">
        <w:rPr>
          <w:b w:val="0"/>
          <w:noProof/>
          <w:sz w:val="18"/>
        </w:rPr>
        <w:fldChar w:fldCharType="separate"/>
      </w:r>
      <w:r w:rsidR="00DF1401">
        <w:rPr>
          <w:b w:val="0"/>
          <w:noProof/>
          <w:sz w:val="18"/>
        </w:rPr>
        <w:t>2</w:t>
      </w:r>
      <w:r w:rsidRPr="005967EB">
        <w:rPr>
          <w:b w:val="0"/>
          <w:noProof/>
          <w:sz w:val="18"/>
        </w:rPr>
        <w:fldChar w:fldCharType="end"/>
      </w:r>
    </w:p>
    <w:p w14:paraId="113A7857" w14:textId="57617E8F" w:rsidR="00905084" w:rsidRPr="005967EB" w:rsidRDefault="00905084">
      <w:pPr>
        <w:pStyle w:val="TOC7"/>
        <w:rPr>
          <w:rFonts w:asciiTheme="minorHAnsi" w:eastAsiaTheme="minorEastAsia" w:hAnsiTheme="minorHAnsi" w:cstheme="minorBidi"/>
          <w:noProof/>
          <w:kern w:val="0"/>
          <w:sz w:val="22"/>
          <w:szCs w:val="22"/>
        </w:rPr>
      </w:pPr>
      <w:r w:rsidRPr="005967EB">
        <w:rPr>
          <w:noProof/>
        </w:rPr>
        <w:t>Part 1—Further requirements to register, relationship with other notification requirements, exemptions and other matters</w:t>
      </w:r>
      <w:r w:rsidRPr="005967EB">
        <w:rPr>
          <w:noProof/>
          <w:sz w:val="18"/>
        </w:rPr>
        <w:tab/>
      </w:r>
      <w:r w:rsidRPr="005967EB">
        <w:rPr>
          <w:noProof/>
          <w:sz w:val="18"/>
        </w:rPr>
        <w:fldChar w:fldCharType="begin"/>
      </w:r>
      <w:r w:rsidRPr="005967EB">
        <w:rPr>
          <w:noProof/>
          <w:sz w:val="18"/>
        </w:rPr>
        <w:instrText xml:space="preserve"> PAGEREF _Toc135742408 \h </w:instrText>
      </w:r>
      <w:r w:rsidRPr="005967EB">
        <w:rPr>
          <w:noProof/>
          <w:sz w:val="18"/>
        </w:rPr>
      </w:r>
      <w:r w:rsidRPr="005967EB">
        <w:rPr>
          <w:noProof/>
          <w:sz w:val="18"/>
        </w:rPr>
        <w:fldChar w:fldCharType="separate"/>
      </w:r>
      <w:r w:rsidR="00DF1401">
        <w:rPr>
          <w:noProof/>
          <w:sz w:val="18"/>
        </w:rPr>
        <w:t>2</w:t>
      </w:r>
      <w:r w:rsidRPr="005967EB">
        <w:rPr>
          <w:noProof/>
          <w:sz w:val="18"/>
        </w:rPr>
        <w:fldChar w:fldCharType="end"/>
      </w:r>
    </w:p>
    <w:p w14:paraId="0B275A68" w14:textId="25394A5E" w:rsidR="00905084" w:rsidRPr="005967EB" w:rsidRDefault="00905084">
      <w:pPr>
        <w:pStyle w:val="TOC9"/>
        <w:rPr>
          <w:rFonts w:asciiTheme="minorHAnsi" w:eastAsiaTheme="minorEastAsia" w:hAnsiTheme="minorHAnsi" w:cstheme="minorBidi"/>
          <w:i w:val="0"/>
          <w:noProof/>
          <w:kern w:val="0"/>
          <w:sz w:val="22"/>
          <w:szCs w:val="22"/>
        </w:rPr>
      </w:pPr>
      <w:r w:rsidRPr="005967EB">
        <w:rPr>
          <w:noProof/>
        </w:rPr>
        <w:t>Foreign Acquisitions and Takeovers Regulation 2015</w:t>
      </w:r>
      <w:r w:rsidRPr="005967EB">
        <w:rPr>
          <w:i w:val="0"/>
          <w:noProof/>
          <w:sz w:val="18"/>
        </w:rPr>
        <w:tab/>
      </w:r>
      <w:r w:rsidRPr="005967EB">
        <w:rPr>
          <w:i w:val="0"/>
          <w:noProof/>
          <w:sz w:val="18"/>
        </w:rPr>
        <w:fldChar w:fldCharType="begin"/>
      </w:r>
      <w:r w:rsidRPr="005967EB">
        <w:rPr>
          <w:i w:val="0"/>
          <w:noProof/>
          <w:sz w:val="18"/>
        </w:rPr>
        <w:instrText xml:space="preserve"> PAGEREF _Toc135742409 \h </w:instrText>
      </w:r>
      <w:r w:rsidRPr="005967EB">
        <w:rPr>
          <w:i w:val="0"/>
          <w:noProof/>
          <w:sz w:val="18"/>
        </w:rPr>
      </w:r>
      <w:r w:rsidRPr="005967EB">
        <w:rPr>
          <w:i w:val="0"/>
          <w:noProof/>
          <w:sz w:val="18"/>
        </w:rPr>
        <w:fldChar w:fldCharType="separate"/>
      </w:r>
      <w:r w:rsidR="00DF1401">
        <w:rPr>
          <w:i w:val="0"/>
          <w:noProof/>
          <w:sz w:val="18"/>
        </w:rPr>
        <w:t>2</w:t>
      </w:r>
      <w:r w:rsidRPr="005967EB">
        <w:rPr>
          <w:i w:val="0"/>
          <w:noProof/>
          <w:sz w:val="18"/>
        </w:rPr>
        <w:fldChar w:fldCharType="end"/>
      </w:r>
    </w:p>
    <w:p w14:paraId="7FC3EF1D" w14:textId="2AD41978" w:rsidR="00905084" w:rsidRPr="005967EB" w:rsidRDefault="00905084">
      <w:pPr>
        <w:pStyle w:val="TOC7"/>
        <w:rPr>
          <w:rFonts w:asciiTheme="minorHAnsi" w:eastAsiaTheme="minorEastAsia" w:hAnsiTheme="minorHAnsi" w:cstheme="minorBidi"/>
          <w:noProof/>
          <w:kern w:val="0"/>
          <w:sz w:val="22"/>
          <w:szCs w:val="22"/>
        </w:rPr>
      </w:pPr>
      <w:r w:rsidRPr="005967EB">
        <w:rPr>
          <w:noProof/>
        </w:rPr>
        <w:t>Part 2—Replicating existing exemptions</w:t>
      </w:r>
      <w:r w:rsidRPr="005967EB">
        <w:rPr>
          <w:noProof/>
          <w:sz w:val="18"/>
        </w:rPr>
        <w:tab/>
      </w:r>
      <w:r w:rsidRPr="005967EB">
        <w:rPr>
          <w:noProof/>
          <w:sz w:val="18"/>
        </w:rPr>
        <w:fldChar w:fldCharType="begin"/>
      </w:r>
      <w:r w:rsidRPr="005967EB">
        <w:rPr>
          <w:noProof/>
          <w:sz w:val="18"/>
        </w:rPr>
        <w:instrText xml:space="preserve"> PAGEREF _Toc135742430 \h </w:instrText>
      </w:r>
      <w:r w:rsidRPr="005967EB">
        <w:rPr>
          <w:noProof/>
          <w:sz w:val="18"/>
        </w:rPr>
      </w:r>
      <w:r w:rsidRPr="005967EB">
        <w:rPr>
          <w:noProof/>
          <w:sz w:val="18"/>
        </w:rPr>
        <w:fldChar w:fldCharType="separate"/>
      </w:r>
      <w:r w:rsidR="00DF1401">
        <w:rPr>
          <w:noProof/>
          <w:sz w:val="18"/>
        </w:rPr>
        <w:t>9</w:t>
      </w:r>
      <w:r w:rsidRPr="005967EB">
        <w:rPr>
          <w:noProof/>
          <w:sz w:val="18"/>
        </w:rPr>
        <w:fldChar w:fldCharType="end"/>
      </w:r>
    </w:p>
    <w:p w14:paraId="1AB9399A" w14:textId="649590E5" w:rsidR="00905084" w:rsidRPr="005967EB" w:rsidRDefault="00905084">
      <w:pPr>
        <w:pStyle w:val="TOC9"/>
        <w:rPr>
          <w:rFonts w:asciiTheme="minorHAnsi" w:eastAsiaTheme="minorEastAsia" w:hAnsiTheme="minorHAnsi" w:cstheme="minorBidi"/>
          <w:i w:val="0"/>
          <w:noProof/>
          <w:kern w:val="0"/>
          <w:sz w:val="22"/>
          <w:szCs w:val="22"/>
        </w:rPr>
      </w:pPr>
      <w:r w:rsidRPr="005967EB">
        <w:rPr>
          <w:noProof/>
        </w:rPr>
        <w:t>Foreign Acquisitions and Takeovers Regulation 2015</w:t>
      </w:r>
      <w:r w:rsidRPr="005967EB">
        <w:rPr>
          <w:i w:val="0"/>
          <w:noProof/>
          <w:sz w:val="18"/>
        </w:rPr>
        <w:tab/>
      </w:r>
      <w:r w:rsidRPr="005967EB">
        <w:rPr>
          <w:i w:val="0"/>
          <w:noProof/>
          <w:sz w:val="18"/>
        </w:rPr>
        <w:fldChar w:fldCharType="begin"/>
      </w:r>
      <w:r w:rsidRPr="005967EB">
        <w:rPr>
          <w:i w:val="0"/>
          <w:noProof/>
          <w:sz w:val="18"/>
        </w:rPr>
        <w:instrText xml:space="preserve"> PAGEREF _Toc135742431 \h </w:instrText>
      </w:r>
      <w:r w:rsidRPr="005967EB">
        <w:rPr>
          <w:i w:val="0"/>
          <w:noProof/>
          <w:sz w:val="18"/>
        </w:rPr>
      </w:r>
      <w:r w:rsidRPr="005967EB">
        <w:rPr>
          <w:i w:val="0"/>
          <w:noProof/>
          <w:sz w:val="18"/>
        </w:rPr>
        <w:fldChar w:fldCharType="separate"/>
      </w:r>
      <w:r w:rsidR="00DF1401">
        <w:rPr>
          <w:i w:val="0"/>
          <w:noProof/>
          <w:sz w:val="18"/>
        </w:rPr>
        <w:t>9</w:t>
      </w:r>
      <w:r w:rsidRPr="005967EB">
        <w:rPr>
          <w:i w:val="0"/>
          <w:noProof/>
          <w:sz w:val="18"/>
        </w:rPr>
        <w:fldChar w:fldCharType="end"/>
      </w:r>
    </w:p>
    <w:p w14:paraId="4EE38B68" w14:textId="52395D98" w:rsidR="00905084" w:rsidRPr="005967EB" w:rsidRDefault="00905084">
      <w:pPr>
        <w:pStyle w:val="TOC7"/>
        <w:rPr>
          <w:rFonts w:asciiTheme="minorHAnsi" w:eastAsiaTheme="minorEastAsia" w:hAnsiTheme="minorHAnsi" w:cstheme="minorBidi"/>
          <w:noProof/>
          <w:kern w:val="0"/>
          <w:sz w:val="22"/>
          <w:szCs w:val="22"/>
        </w:rPr>
      </w:pPr>
      <w:r w:rsidRPr="005967EB">
        <w:rPr>
          <w:noProof/>
        </w:rPr>
        <w:t>Part 3—Application and transitional provisions</w:t>
      </w:r>
      <w:r w:rsidRPr="005967EB">
        <w:rPr>
          <w:noProof/>
          <w:sz w:val="18"/>
        </w:rPr>
        <w:tab/>
      </w:r>
      <w:r w:rsidRPr="005967EB">
        <w:rPr>
          <w:noProof/>
          <w:sz w:val="18"/>
        </w:rPr>
        <w:fldChar w:fldCharType="begin"/>
      </w:r>
      <w:r w:rsidRPr="005967EB">
        <w:rPr>
          <w:noProof/>
          <w:sz w:val="18"/>
        </w:rPr>
        <w:instrText xml:space="preserve"> PAGEREF _Toc135742433 \h </w:instrText>
      </w:r>
      <w:r w:rsidRPr="005967EB">
        <w:rPr>
          <w:noProof/>
          <w:sz w:val="18"/>
        </w:rPr>
      </w:r>
      <w:r w:rsidRPr="005967EB">
        <w:rPr>
          <w:noProof/>
          <w:sz w:val="18"/>
        </w:rPr>
        <w:fldChar w:fldCharType="separate"/>
      </w:r>
      <w:r w:rsidR="00DF1401">
        <w:rPr>
          <w:noProof/>
          <w:sz w:val="18"/>
        </w:rPr>
        <w:t>11</w:t>
      </w:r>
      <w:r w:rsidRPr="005967EB">
        <w:rPr>
          <w:noProof/>
          <w:sz w:val="18"/>
        </w:rPr>
        <w:fldChar w:fldCharType="end"/>
      </w:r>
    </w:p>
    <w:p w14:paraId="0A67F30B" w14:textId="0B07253B" w:rsidR="00905084" w:rsidRPr="005967EB" w:rsidRDefault="00905084">
      <w:pPr>
        <w:pStyle w:val="TOC9"/>
        <w:rPr>
          <w:rFonts w:asciiTheme="minorHAnsi" w:eastAsiaTheme="minorEastAsia" w:hAnsiTheme="minorHAnsi" w:cstheme="minorBidi"/>
          <w:i w:val="0"/>
          <w:noProof/>
          <w:kern w:val="0"/>
          <w:sz w:val="22"/>
          <w:szCs w:val="22"/>
        </w:rPr>
      </w:pPr>
      <w:r w:rsidRPr="005967EB">
        <w:rPr>
          <w:noProof/>
        </w:rPr>
        <w:t>Foreign Acquisitions and Takeovers Regulation 2015</w:t>
      </w:r>
      <w:r w:rsidRPr="005967EB">
        <w:rPr>
          <w:i w:val="0"/>
          <w:noProof/>
          <w:sz w:val="18"/>
        </w:rPr>
        <w:tab/>
      </w:r>
      <w:r w:rsidRPr="005967EB">
        <w:rPr>
          <w:i w:val="0"/>
          <w:noProof/>
          <w:sz w:val="18"/>
        </w:rPr>
        <w:fldChar w:fldCharType="begin"/>
      </w:r>
      <w:r w:rsidRPr="005967EB">
        <w:rPr>
          <w:i w:val="0"/>
          <w:noProof/>
          <w:sz w:val="18"/>
        </w:rPr>
        <w:instrText xml:space="preserve"> PAGEREF _Toc135742434 \h </w:instrText>
      </w:r>
      <w:r w:rsidRPr="005967EB">
        <w:rPr>
          <w:i w:val="0"/>
          <w:noProof/>
          <w:sz w:val="18"/>
        </w:rPr>
      </w:r>
      <w:r w:rsidRPr="005967EB">
        <w:rPr>
          <w:i w:val="0"/>
          <w:noProof/>
          <w:sz w:val="18"/>
        </w:rPr>
        <w:fldChar w:fldCharType="separate"/>
      </w:r>
      <w:r w:rsidR="00DF1401">
        <w:rPr>
          <w:i w:val="0"/>
          <w:noProof/>
          <w:sz w:val="18"/>
        </w:rPr>
        <w:t>11</w:t>
      </w:r>
      <w:r w:rsidRPr="005967EB">
        <w:rPr>
          <w:i w:val="0"/>
          <w:noProof/>
          <w:sz w:val="18"/>
        </w:rPr>
        <w:fldChar w:fldCharType="end"/>
      </w:r>
    </w:p>
    <w:p w14:paraId="50E3B3CD" w14:textId="77777777" w:rsidR="0048364F" w:rsidRPr="005967EB" w:rsidRDefault="00905084" w:rsidP="0048364F">
      <w:r w:rsidRPr="005967EB">
        <w:fldChar w:fldCharType="end"/>
      </w:r>
    </w:p>
    <w:p w14:paraId="4A75B243" w14:textId="77777777" w:rsidR="0048364F" w:rsidRPr="005967EB" w:rsidRDefault="0048364F" w:rsidP="0048364F">
      <w:pPr>
        <w:sectPr w:rsidR="0048364F" w:rsidRPr="005967EB" w:rsidSect="000D197B">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204498AC" w14:textId="77777777" w:rsidR="0048364F" w:rsidRPr="005967EB" w:rsidRDefault="0048364F" w:rsidP="0048364F">
      <w:pPr>
        <w:pStyle w:val="ActHead5"/>
      </w:pPr>
      <w:bookmarkStart w:id="0" w:name="_Toc135742403"/>
      <w:r w:rsidRPr="00B54B23">
        <w:rPr>
          <w:rStyle w:val="CharSectno"/>
        </w:rPr>
        <w:lastRenderedPageBreak/>
        <w:t>1</w:t>
      </w:r>
      <w:r w:rsidRPr="005967EB">
        <w:t xml:space="preserve">  </w:t>
      </w:r>
      <w:r w:rsidR="004F676E" w:rsidRPr="005967EB">
        <w:t>Name</w:t>
      </w:r>
      <w:bookmarkEnd w:id="0"/>
    </w:p>
    <w:p w14:paraId="02A1BA48" w14:textId="77777777" w:rsidR="0048364F" w:rsidRPr="005967EB" w:rsidRDefault="0048364F" w:rsidP="0048364F">
      <w:pPr>
        <w:pStyle w:val="subsection"/>
      </w:pPr>
      <w:r w:rsidRPr="005967EB">
        <w:tab/>
      </w:r>
      <w:r w:rsidRPr="005967EB">
        <w:tab/>
      </w:r>
      <w:r w:rsidR="00145A38" w:rsidRPr="005967EB">
        <w:t>This instrument is</w:t>
      </w:r>
      <w:r w:rsidRPr="005967EB">
        <w:t xml:space="preserve"> the </w:t>
      </w:r>
      <w:r w:rsidR="005967EB" w:rsidRPr="005967EB">
        <w:rPr>
          <w:i/>
          <w:noProof/>
        </w:rPr>
        <w:t>Foreign Acquisitions and Takeovers Amendment (Register of Foreign Ownership and Other Matters) Regulations 2023</w:t>
      </w:r>
      <w:r w:rsidR="00AD7B48" w:rsidRPr="005967EB">
        <w:t>.</w:t>
      </w:r>
    </w:p>
    <w:p w14:paraId="11740DB0" w14:textId="77777777" w:rsidR="004F676E" w:rsidRPr="005967EB" w:rsidRDefault="0048364F" w:rsidP="005452CC">
      <w:pPr>
        <w:pStyle w:val="ActHead5"/>
      </w:pPr>
      <w:bookmarkStart w:id="1" w:name="_Toc135742404"/>
      <w:r w:rsidRPr="00B54B23">
        <w:rPr>
          <w:rStyle w:val="CharSectno"/>
        </w:rPr>
        <w:t>2</w:t>
      </w:r>
      <w:r w:rsidRPr="005967EB">
        <w:t xml:space="preserve">  Commencement</w:t>
      </w:r>
      <w:bookmarkEnd w:id="1"/>
    </w:p>
    <w:p w14:paraId="2C3DCEE4" w14:textId="77777777" w:rsidR="005452CC" w:rsidRPr="005967EB" w:rsidRDefault="005452CC" w:rsidP="00FF1E95">
      <w:pPr>
        <w:pStyle w:val="subsection"/>
      </w:pPr>
      <w:r w:rsidRPr="005967EB">
        <w:tab/>
        <w:t>(1)</w:t>
      </w:r>
      <w:r w:rsidRPr="005967EB">
        <w:tab/>
        <w:t xml:space="preserve">Each provision of </w:t>
      </w:r>
      <w:r w:rsidR="00145A38" w:rsidRPr="005967EB">
        <w:t>this instrument</w:t>
      </w:r>
      <w:r w:rsidRPr="005967EB">
        <w:t xml:space="preserve"> specified in column 1 of the table commences, or is taken to have commenced, in accordance with column 2 of the table</w:t>
      </w:r>
      <w:r w:rsidR="00AD7B48" w:rsidRPr="005967EB">
        <w:t>.</w:t>
      </w:r>
      <w:r w:rsidRPr="005967EB">
        <w:t xml:space="preserve"> Any other statement in column 2 has effect according to its terms</w:t>
      </w:r>
      <w:r w:rsidR="00AD7B48" w:rsidRPr="005967EB">
        <w:t>.</w:t>
      </w:r>
    </w:p>
    <w:p w14:paraId="5A36C2EA" w14:textId="77777777" w:rsidR="005452CC" w:rsidRPr="005967EB" w:rsidRDefault="005452CC" w:rsidP="00FF1E95">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5967EB" w14:paraId="19BA5CCC" w14:textId="77777777" w:rsidTr="00AD7252">
        <w:trPr>
          <w:tblHeader/>
        </w:trPr>
        <w:tc>
          <w:tcPr>
            <w:tcW w:w="8364" w:type="dxa"/>
            <w:gridSpan w:val="3"/>
            <w:tcBorders>
              <w:top w:val="single" w:sz="12" w:space="0" w:color="auto"/>
              <w:bottom w:val="single" w:sz="6" w:space="0" w:color="auto"/>
            </w:tcBorders>
            <w:shd w:val="clear" w:color="auto" w:fill="auto"/>
            <w:hideMark/>
          </w:tcPr>
          <w:p w14:paraId="01E06CCB" w14:textId="77777777" w:rsidR="005452CC" w:rsidRPr="005967EB" w:rsidRDefault="005452CC" w:rsidP="00FF1E95">
            <w:pPr>
              <w:pStyle w:val="TableHeading"/>
            </w:pPr>
            <w:r w:rsidRPr="005967EB">
              <w:t>Commencement information</w:t>
            </w:r>
          </w:p>
        </w:tc>
      </w:tr>
      <w:tr w:rsidR="005452CC" w:rsidRPr="005967EB" w14:paraId="416F5E6A" w14:textId="77777777" w:rsidTr="00AD7252">
        <w:trPr>
          <w:tblHeader/>
        </w:trPr>
        <w:tc>
          <w:tcPr>
            <w:tcW w:w="2127" w:type="dxa"/>
            <w:tcBorders>
              <w:top w:val="single" w:sz="6" w:space="0" w:color="auto"/>
              <w:bottom w:val="single" w:sz="6" w:space="0" w:color="auto"/>
            </w:tcBorders>
            <w:shd w:val="clear" w:color="auto" w:fill="auto"/>
            <w:hideMark/>
          </w:tcPr>
          <w:p w14:paraId="1D86C8AB" w14:textId="77777777" w:rsidR="005452CC" w:rsidRPr="005967EB" w:rsidRDefault="005452CC" w:rsidP="00FF1E95">
            <w:pPr>
              <w:pStyle w:val="TableHeading"/>
            </w:pPr>
            <w:r w:rsidRPr="005967EB">
              <w:t>Column 1</w:t>
            </w:r>
          </w:p>
        </w:tc>
        <w:tc>
          <w:tcPr>
            <w:tcW w:w="4394" w:type="dxa"/>
            <w:tcBorders>
              <w:top w:val="single" w:sz="6" w:space="0" w:color="auto"/>
              <w:bottom w:val="single" w:sz="6" w:space="0" w:color="auto"/>
            </w:tcBorders>
            <w:shd w:val="clear" w:color="auto" w:fill="auto"/>
            <w:hideMark/>
          </w:tcPr>
          <w:p w14:paraId="56CD0855" w14:textId="77777777" w:rsidR="005452CC" w:rsidRPr="005967EB" w:rsidRDefault="005452CC" w:rsidP="00FF1E95">
            <w:pPr>
              <w:pStyle w:val="TableHeading"/>
            </w:pPr>
            <w:r w:rsidRPr="005967EB">
              <w:t>Column 2</w:t>
            </w:r>
          </w:p>
        </w:tc>
        <w:tc>
          <w:tcPr>
            <w:tcW w:w="1843" w:type="dxa"/>
            <w:tcBorders>
              <w:top w:val="single" w:sz="6" w:space="0" w:color="auto"/>
              <w:bottom w:val="single" w:sz="6" w:space="0" w:color="auto"/>
            </w:tcBorders>
            <w:shd w:val="clear" w:color="auto" w:fill="auto"/>
            <w:hideMark/>
          </w:tcPr>
          <w:p w14:paraId="12C59846" w14:textId="77777777" w:rsidR="005452CC" w:rsidRPr="005967EB" w:rsidRDefault="005452CC" w:rsidP="00FF1E95">
            <w:pPr>
              <w:pStyle w:val="TableHeading"/>
            </w:pPr>
            <w:r w:rsidRPr="005967EB">
              <w:t>Column 3</w:t>
            </w:r>
          </w:p>
        </w:tc>
      </w:tr>
      <w:tr w:rsidR="005452CC" w:rsidRPr="005967EB" w14:paraId="10888473" w14:textId="77777777" w:rsidTr="00AD7252">
        <w:trPr>
          <w:tblHeader/>
        </w:trPr>
        <w:tc>
          <w:tcPr>
            <w:tcW w:w="2127" w:type="dxa"/>
            <w:tcBorders>
              <w:top w:val="single" w:sz="6" w:space="0" w:color="auto"/>
              <w:bottom w:val="single" w:sz="12" w:space="0" w:color="auto"/>
            </w:tcBorders>
            <w:shd w:val="clear" w:color="auto" w:fill="auto"/>
            <w:hideMark/>
          </w:tcPr>
          <w:p w14:paraId="6885F00E" w14:textId="77777777" w:rsidR="005452CC" w:rsidRPr="005967EB" w:rsidRDefault="005452CC" w:rsidP="00FF1E95">
            <w:pPr>
              <w:pStyle w:val="TableHeading"/>
            </w:pPr>
            <w:r w:rsidRPr="005967EB">
              <w:t>Provisions</w:t>
            </w:r>
          </w:p>
        </w:tc>
        <w:tc>
          <w:tcPr>
            <w:tcW w:w="4394" w:type="dxa"/>
            <w:tcBorders>
              <w:top w:val="single" w:sz="6" w:space="0" w:color="auto"/>
              <w:bottom w:val="single" w:sz="12" w:space="0" w:color="auto"/>
            </w:tcBorders>
            <w:shd w:val="clear" w:color="auto" w:fill="auto"/>
            <w:hideMark/>
          </w:tcPr>
          <w:p w14:paraId="75574A56" w14:textId="77777777" w:rsidR="005452CC" w:rsidRPr="005967EB" w:rsidRDefault="005452CC" w:rsidP="00FF1E95">
            <w:pPr>
              <w:pStyle w:val="TableHeading"/>
            </w:pPr>
            <w:r w:rsidRPr="005967EB">
              <w:t>Commencement</w:t>
            </w:r>
          </w:p>
        </w:tc>
        <w:tc>
          <w:tcPr>
            <w:tcW w:w="1843" w:type="dxa"/>
            <w:tcBorders>
              <w:top w:val="single" w:sz="6" w:space="0" w:color="auto"/>
              <w:bottom w:val="single" w:sz="12" w:space="0" w:color="auto"/>
            </w:tcBorders>
            <w:shd w:val="clear" w:color="auto" w:fill="auto"/>
            <w:hideMark/>
          </w:tcPr>
          <w:p w14:paraId="30CBABBF" w14:textId="77777777" w:rsidR="005452CC" w:rsidRPr="005967EB" w:rsidRDefault="005452CC" w:rsidP="00FF1E95">
            <w:pPr>
              <w:pStyle w:val="TableHeading"/>
            </w:pPr>
            <w:r w:rsidRPr="005967EB">
              <w:t>Date/Details</w:t>
            </w:r>
          </w:p>
        </w:tc>
      </w:tr>
      <w:tr w:rsidR="005452CC" w:rsidRPr="005967EB" w14:paraId="2594DD23" w14:textId="77777777" w:rsidTr="00AD7252">
        <w:tc>
          <w:tcPr>
            <w:tcW w:w="2127" w:type="dxa"/>
            <w:tcBorders>
              <w:top w:val="single" w:sz="12" w:space="0" w:color="auto"/>
              <w:bottom w:val="single" w:sz="12" w:space="0" w:color="auto"/>
            </w:tcBorders>
            <w:shd w:val="clear" w:color="auto" w:fill="auto"/>
            <w:hideMark/>
          </w:tcPr>
          <w:p w14:paraId="604DDCE2" w14:textId="77777777" w:rsidR="005452CC" w:rsidRPr="005967EB" w:rsidRDefault="005452CC" w:rsidP="00AD7252">
            <w:pPr>
              <w:pStyle w:val="Tabletext"/>
            </w:pPr>
            <w:r w:rsidRPr="005967EB">
              <w:t>1</w:t>
            </w:r>
            <w:r w:rsidR="00AD7B48" w:rsidRPr="005967EB">
              <w:t>.</w:t>
            </w:r>
            <w:r w:rsidRPr="005967EB">
              <w:t xml:space="preserve">  </w:t>
            </w:r>
            <w:r w:rsidR="00AD7252" w:rsidRPr="005967EB">
              <w:t xml:space="preserve">The whole of </w:t>
            </w:r>
            <w:r w:rsidR="00145A38" w:rsidRPr="005967EB">
              <w:t>this instrument</w:t>
            </w:r>
          </w:p>
        </w:tc>
        <w:tc>
          <w:tcPr>
            <w:tcW w:w="4394" w:type="dxa"/>
            <w:tcBorders>
              <w:top w:val="single" w:sz="12" w:space="0" w:color="auto"/>
              <w:bottom w:val="single" w:sz="12" w:space="0" w:color="auto"/>
            </w:tcBorders>
            <w:shd w:val="clear" w:color="auto" w:fill="auto"/>
            <w:hideMark/>
          </w:tcPr>
          <w:p w14:paraId="261FB148" w14:textId="77777777" w:rsidR="008756B5" w:rsidRPr="005967EB" w:rsidRDefault="008756B5" w:rsidP="008756B5">
            <w:pPr>
              <w:pStyle w:val="Tabletext"/>
            </w:pPr>
            <w:r w:rsidRPr="005967EB">
              <w:t>The later of:</w:t>
            </w:r>
          </w:p>
          <w:p w14:paraId="28E0CF34" w14:textId="77777777" w:rsidR="008756B5" w:rsidRPr="005967EB" w:rsidRDefault="008756B5" w:rsidP="008756B5">
            <w:pPr>
              <w:pStyle w:val="Tablea"/>
            </w:pPr>
            <w:r w:rsidRPr="005967EB">
              <w:t>(a) the day after this instrument is registered; and</w:t>
            </w:r>
          </w:p>
          <w:p w14:paraId="5379D2A2" w14:textId="77777777" w:rsidR="005452CC" w:rsidRPr="005967EB" w:rsidRDefault="008756B5" w:rsidP="008756B5">
            <w:pPr>
              <w:pStyle w:val="Tablea"/>
            </w:pPr>
            <w:r w:rsidRPr="005967EB">
              <w:t xml:space="preserve">(b) the Register commencement day (within the meaning of the </w:t>
            </w:r>
            <w:r w:rsidRPr="005967EB">
              <w:rPr>
                <w:i/>
              </w:rPr>
              <w:t>Foreign Acquisitions and Takeovers Act 1975</w:t>
            </w:r>
            <w:r w:rsidRPr="005967EB">
              <w:t>)</w:t>
            </w:r>
            <w:r w:rsidR="00AD7B48" w:rsidRPr="005967EB">
              <w:t>.</w:t>
            </w:r>
          </w:p>
        </w:tc>
        <w:tc>
          <w:tcPr>
            <w:tcW w:w="1843" w:type="dxa"/>
            <w:tcBorders>
              <w:top w:val="single" w:sz="12" w:space="0" w:color="auto"/>
              <w:bottom w:val="single" w:sz="12" w:space="0" w:color="auto"/>
            </w:tcBorders>
            <w:shd w:val="clear" w:color="auto" w:fill="auto"/>
          </w:tcPr>
          <w:p w14:paraId="6CC4FE71" w14:textId="77777777" w:rsidR="005452CC" w:rsidRDefault="005F5EC6">
            <w:pPr>
              <w:pStyle w:val="Tabletext"/>
            </w:pPr>
            <w:r>
              <w:t>1 July 2023</w:t>
            </w:r>
          </w:p>
          <w:p w14:paraId="03927B67" w14:textId="3FB64950" w:rsidR="005F5EC6" w:rsidRPr="005967EB" w:rsidRDefault="005F5EC6">
            <w:pPr>
              <w:pStyle w:val="Tabletext"/>
            </w:pPr>
            <w:r>
              <w:t>(paragraph (b) applies)</w:t>
            </w:r>
          </w:p>
        </w:tc>
      </w:tr>
    </w:tbl>
    <w:p w14:paraId="5AF43C77" w14:textId="77777777" w:rsidR="005452CC" w:rsidRPr="005967EB" w:rsidRDefault="005452CC" w:rsidP="00FF1E95">
      <w:pPr>
        <w:pStyle w:val="notetext"/>
      </w:pPr>
      <w:r w:rsidRPr="005967EB">
        <w:rPr>
          <w:snapToGrid w:val="0"/>
          <w:lang w:eastAsia="en-US"/>
        </w:rPr>
        <w:t>Note:</w:t>
      </w:r>
      <w:r w:rsidRPr="005967EB">
        <w:rPr>
          <w:snapToGrid w:val="0"/>
          <w:lang w:eastAsia="en-US"/>
        </w:rPr>
        <w:tab/>
        <w:t xml:space="preserve">This table relates only to the provisions of </w:t>
      </w:r>
      <w:r w:rsidR="00145A38" w:rsidRPr="005967EB">
        <w:rPr>
          <w:snapToGrid w:val="0"/>
          <w:lang w:eastAsia="en-US"/>
        </w:rPr>
        <w:t>this instrument</w:t>
      </w:r>
      <w:r w:rsidRPr="005967EB">
        <w:t xml:space="preserve"> </w:t>
      </w:r>
      <w:r w:rsidRPr="005967EB">
        <w:rPr>
          <w:snapToGrid w:val="0"/>
          <w:lang w:eastAsia="en-US"/>
        </w:rPr>
        <w:t>as originally made</w:t>
      </w:r>
      <w:r w:rsidR="00AD7B48" w:rsidRPr="005967EB">
        <w:rPr>
          <w:snapToGrid w:val="0"/>
          <w:lang w:eastAsia="en-US"/>
        </w:rPr>
        <w:t>.</w:t>
      </w:r>
      <w:r w:rsidRPr="005967EB">
        <w:rPr>
          <w:snapToGrid w:val="0"/>
          <w:lang w:eastAsia="en-US"/>
        </w:rPr>
        <w:t xml:space="preserve"> It will not be amended to deal with any later amendments of </w:t>
      </w:r>
      <w:r w:rsidR="00145A38" w:rsidRPr="005967EB">
        <w:rPr>
          <w:snapToGrid w:val="0"/>
          <w:lang w:eastAsia="en-US"/>
        </w:rPr>
        <w:t>this instrument</w:t>
      </w:r>
      <w:r w:rsidR="00AD7B48" w:rsidRPr="005967EB">
        <w:rPr>
          <w:snapToGrid w:val="0"/>
          <w:lang w:eastAsia="en-US"/>
        </w:rPr>
        <w:t>.</w:t>
      </w:r>
    </w:p>
    <w:p w14:paraId="66C07646" w14:textId="77777777" w:rsidR="005452CC" w:rsidRPr="005967EB" w:rsidRDefault="005452CC" w:rsidP="004F676E">
      <w:pPr>
        <w:pStyle w:val="subsection"/>
      </w:pPr>
      <w:r w:rsidRPr="005967EB">
        <w:tab/>
        <w:t>(2)</w:t>
      </w:r>
      <w:r w:rsidRPr="005967EB">
        <w:tab/>
        <w:t xml:space="preserve">Any information in column 3 of the table is not part of </w:t>
      </w:r>
      <w:r w:rsidR="00145A38" w:rsidRPr="005967EB">
        <w:t>this instrument</w:t>
      </w:r>
      <w:r w:rsidR="00AD7B48" w:rsidRPr="005967EB">
        <w:t>.</w:t>
      </w:r>
      <w:r w:rsidRPr="005967EB">
        <w:t xml:space="preserve"> </w:t>
      </w:r>
      <w:bookmarkStart w:id="2" w:name="_GoBack"/>
      <w:bookmarkEnd w:id="2"/>
      <w:r w:rsidRPr="005967EB">
        <w:t xml:space="preserve">Information may be inserted in this column, or information in it may be edited, in any published version of </w:t>
      </w:r>
      <w:r w:rsidR="00145A38" w:rsidRPr="005967EB">
        <w:t>this instrument</w:t>
      </w:r>
      <w:r w:rsidR="00AD7B48" w:rsidRPr="005967EB">
        <w:t>.</w:t>
      </w:r>
    </w:p>
    <w:p w14:paraId="00863B7E" w14:textId="77777777" w:rsidR="00BF6650" w:rsidRPr="005967EB" w:rsidRDefault="00BF6650" w:rsidP="00BF6650">
      <w:pPr>
        <w:pStyle w:val="ActHead5"/>
      </w:pPr>
      <w:bookmarkStart w:id="3" w:name="_Toc135742405"/>
      <w:r w:rsidRPr="00B54B23">
        <w:rPr>
          <w:rStyle w:val="CharSectno"/>
        </w:rPr>
        <w:t>3</w:t>
      </w:r>
      <w:r w:rsidRPr="005967EB">
        <w:t xml:space="preserve">  Authority</w:t>
      </w:r>
      <w:bookmarkEnd w:id="3"/>
    </w:p>
    <w:p w14:paraId="38A4FF01" w14:textId="77777777" w:rsidR="00BF6650" w:rsidRPr="005967EB" w:rsidRDefault="00BF6650" w:rsidP="00BF6650">
      <w:pPr>
        <w:pStyle w:val="subsection"/>
      </w:pPr>
      <w:r w:rsidRPr="005967EB">
        <w:tab/>
      </w:r>
      <w:r w:rsidRPr="005967EB">
        <w:tab/>
      </w:r>
      <w:r w:rsidR="00145A38" w:rsidRPr="005967EB">
        <w:t>This instrument is</w:t>
      </w:r>
      <w:r w:rsidRPr="005967EB">
        <w:t xml:space="preserve"> made under the</w:t>
      </w:r>
      <w:r w:rsidR="0023732D" w:rsidRPr="005967EB">
        <w:t xml:space="preserve"> </w:t>
      </w:r>
      <w:r w:rsidR="0023732D" w:rsidRPr="005967EB">
        <w:rPr>
          <w:i/>
        </w:rPr>
        <w:t>Foreign Acquisitions and Takeovers Act 1975</w:t>
      </w:r>
      <w:r w:rsidR="00AD7B48" w:rsidRPr="005967EB">
        <w:t>.</w:t>
      </w:r>
    </w:p>
    <w:p w14:paraId="2CD7A5FA" w14:textId="77777777" w:rsidR="00557C7A" w:rsidRPr="005967EB" w:rsidRDefault="00BF6650" w:rsidP="00557C7A">
      <w:pPr>
        <w:pStyle w:val="ActHead5"/>
      </w:pPr>
      <w:bookmarkStart w:id="4" w:name="_Toc135742406"/>
      <w:r w:rsidRPr="00B54B23">
        <w:rPr>
          <w:rStyle w:val="CharSectno"/>
        </w:rPr>
        <w:t>4</w:t>
      </w:r>
      <w:r w:rsidR="00557C7A" w:rsidRPr="005967EB">
        <w:t xml:space="preserve">  </w:t>
      </w:r>
      <w:r w:rsidR="00083F48" w:rsidRPr="005967EB">
        <w:t>Schedules</w:t>
      </w:r>
      <w:bookmarkEnd w:id="4"/>
    </w:p>
    <w:p w14:paraId="68073A3D" w14:textId="77777777" w:rsidR="00557C7A" w:rsidRPr="005967EB" w:rsidRDefault="00557C7A" w:rsidP="00557C7A">
      <w:pPr>
        <w:pStyle w:val="subsection"/>
      </w:pPr>
      <w:r w:rsidRPr="005967EB">
        <w:tab/>
      </w:r>
      <w:r w:rsidRPr="005967EB">
        <w:tab/>
      </w:r>
      <w:r w:rsidR="00083F48" w:rsidRPr="005967EB">
        <w:t xml:space="preserve">Each </w:t>
      </w:r>
      <w:r w:rsidR="00160BD7" w:rsidRPr="005967EB">
        <w:t>instrument</w:t>
      </w:r>
      <w:r w:rsidR="00083F48" w:rsidRPr="005967EB">
        <w:t xml:space="preserve"> that is specified in a Schedule to </w:t>
      </w:r>
      <w:r w:rsidR="00145A38" w:rsidRPr="005967EB">
        <w:t>this instrument</w:t>
      </w:r>
      <w:r w:rsidR="00083F48" w:rsidRPr="005967EB">
        <w:t xml:space="preserve"> is amended or repealed as set out in the applicable items in the Schedule concerned, and any other item in a Schedule to </w:t>
      </w:r>
      <w:r w:rsidR="00145A38" w:rsidRPr="005967EB">
        <w:t>this instrument</w:t>
      </w:r>
      <w:r w:rsidR="00083F48" w:rsidRPr="005967EB">
        <w:t xml:space="preserve"> has effect according to its terms</w:t>
      </w:r>
      <w:r w:rsidR="00AD7B48" w:rsidRPr="005967EB">
        <w:t>.</w:t>
      </w:r>
    </w:p>
    <w:p w14:paraId="78522EDE" w14:textId="77777777" w:rsidR="008756B5" w:rsidRPr="005967EB" w:rsidRDefault="002B5BE0" w:rsidP="008756B5">
      <w:pPr>
        <w:pStyle w:val="ActHead6"/>
        <w:pageBreakBefore/>
      </w:pPr>
      <w:bookmarkStart w:id="5" w:name="_Toc135742407"/>
      <w:bookmarkStart w:id="6" w:name="opcAmSched"/>
      <w:bookmarkStart w:id="7" w:name="opcCurrentFind"/>
      <w:r w:rsidRPr="00B54B23">
        <w:rPr>
          <w:rStyle w:val="CharAmSchNo"/>
        </w:rPr>
        <w:lastRenderedPageBreak/>
        <w:t>Schedule 1</w:t>
      </w:r>
      <w:r w:rsidR="008756B5" w:rsidRPr="005967EB">
        <w:t>—</w:t>
      </w:r>
      <w:r w:rsidR="0023732D" w:rsidRPr="00B54B23">
        <w:rPr>
          <w:rStyle w:val="CharAmSchText"/>
        </w:rPr>
        <w:t>A</w:t>
      </w:r>
      <w:r w:rsidR="008756B5" w:rsidRPr="00B54B23">
        <w:rPr>
          <w:rStyle w:val="CharAmSchText"/>
        </w:rPr>
        <w:t>mendments</w:t>
      </w:r>
      <w:bookmarkEnd w:id="5"/>
    </w:p>
    <w:p w14:paraId="03DCEC65" w14:textId="77777777" w:rsidR="008756B5" w:rsidRPr="005967EB" w:rsidRDefault="008756B5" w:rsidP="008756B5">
      <w:pPr>
        <w:pStyle w:val="ActHead7"/>
      </w:pPr>
      <w:bookmarkStart w:id="8" w:name="_Toc135742408"/>
      <w:bookmarkEnd w:id="6"/>
      <w:bookmarkEnd w:id="7"/>
      <w:r w:rsidRPr="00B54B23">
        <w:rPr>
          <w:rStyle w:val="CharAmPartNo"/>
        </w:rPr>
        <w:t>Part 1</w:t>
      </w:r>
      <w:r w:rsidRPr="005967EB">
        <w:t>—</w:t>
      </w:r>
      <w:r w:rsidRPr="00B54B23">
        <w:rPr>
          <w:rStyle w:val="CharAmPartText"/>
        </w:rPr>
        <w:t>Further requirements to register, relationship with other notification requirements, exemptions and other matters</w:t>
      </w:r>
      <w:bookmarkEnd w:id="8"/>
    </w:p>
    <w:p w14:paraId="4D6587FA" w14:textId="77777777" w:rsidR="008756B5" w:rsidRPr="005967EB" w:rsidRDefault="008756B5" w:rsidP="008756B5">
      <w:pPr>
        <w:pStyle w:val="ActHead9"/>
      </w:pPr>
      <w:bookmarkStart w:id="9" w:name="_Toc135742409"/>
      <w:r w:rsidRPr="005967EB">
        <w:t>Foreign Acquisitions and Takeovers Regulation 2015</w:t>
      </w:r>
      <w:bookmarkEnd w:id="9"/>
    </w:p>
    <w:p w14:paraId="4B1E5EE2" w14:textId="77777777" w:rsidR="008756B5" w:rsidRPr="005967EB" w:rsidRDefault="008756B5" w:rsidP="008756B5">
      <w:pPr>
        <w:pStyle w:val="ItemHead"/>
      </w:pPr>
      <w:r w:rsidRPr="005967EB">
        <w:t>1  After Part 5A</w:t>
      </w:r>
    </w:p>
    <w:p w14:paraId="672ACE81" w14:textId="77777777" w:rsidR="008756B5" w:rsidRPr="005967EB" w:rsidRDefault="008756B5" w:rsidP="008756B5">
      <w:pPr>
        <w:pStyle w:val="Item"/>
      </w:pPr>
      <w:r w:rsidRPr="005967EB">
        <w:t>Insert:</w:t>
      </w:r>
    </w:p>
    <w:p w14:paraId="704112DC" w14:textId="77777777" w:rsidR="008756B5" w:rsidRPr="005967EB" w:rsidRDefault="008756B5" w:rsidP="008756B5">
      <w:pPr>
        <w:pStyle w:val="ActHead2"/>
      </w:pPr>
      <w:bookmarkStart w:id="10" w:name="_Toc135742410"/>
      <w:bookmarkStart w:id="11" w:name="inTOC1"/>
      <w:bookmarkStart w:id="12" w:name="inTOC4"/>
      <w:bookmarkStart w:id="13" w:name="inTOC6"/>
      <w:bookmarkStart w:id="14" w:name="inTOC7"/>
      <w:bookmarkStart w:id="15" w:name="inTOC8"/>
      <w:bookmarkStart w:id="16" w:name="inTOC10"/>
      <w:bookmarkStart w:id="17" w:name="inTOC12"/>
      <w:r w:rsidRPr="00B54B23">
        <w:rPr>
          <w:rStyle w:val="CharPartNo"/>
        </w:rPr>
        <w:t>Part 5B</w:t>
      </w:r>
      <w:r w:rsidRPr="005967EB">
        <w:t>—</w:t>
      </w:r>
      <w:r w:rsidRPr="00B54B23">
        <w:rPr>
          <w:rStyle w:val="CharPartText"/>
        </w:rPr>
        <w:t>Register of Foreign Ownership of Australian Assets</w:t>
      </w:r>
      <w:bookmarkEnd w:id="10"/>
    </w:p>
    <w:p w14:paraId="0B7D86A0" w14:textId="77777777" w:rsidR="008756B5" w:rsidRPr="005967EB" w:rsidRDefault="008756B5" w:rsidP="008756B5">
      <w:pPr>
        <w:pStyle w:val="ActHead3"/>
      </w:pPr>
      <w:bookmarkStart w:id="18" w:name="_Toc135742411"/>
      <w:r w:rsidRPr="00B54B23">
        <w:rPr>
          <w:rStyle w:val="CharDivNo"/>
        </w:rPr>
        <w:t>Division 1</w:t>
      </w:r>
      <w:r w:rsidRPr="005967EB">
        <w:t>—</w:t>
      </w:r>
      <w:r w:rsidRPr="00B54B23">
        <w:rPr>
          <w:rStyle w:val="CharDivText"/>
        </w:rPr>
        <w:t>Simplified outline of this Part</w:t>
      </w:r>
      <w:bookmarkEnd w:id="18"/>
    </w:p>
    <w:p w14:paraId="69A24F9C" w14:textId="77777777" w:rsidR="008756B5" w:rsidRPr="005967EB" w:rsidRDefault="00AD7B48" w:rsidP="008756B5">
      <w:pPr>
        <w:pStyle w:val="ActHead5"/>
      </w:pPr>
      <w:bookmarkStart w:id="19" w:name="_Toc135742412"/>
      <w:r w:rsidRPr="00B54B23">
        <w:rPr>
          <w:rStyle w:val="CharSectno"/>
        </w:rPr>
        <w:t>58A</w:t>
      </w:r>
      <w:r w:rsidR="008756B5" w:rsidRPr="005967EB">
        <w:t xml:space="preserve">  Simplified outline of this Part</w:t>
      </w:r>
      <w:bookmarkEnd w:id="19"/>
    </w:p>
    <w:p w14:paraId="12D50950" w14:textId="77777777" w:rsidR="008756B5" w:rsidRPr="005967EB" w:rsidRDefault="008756B5" w:rsidP="008756B5">
      <w:pPr>
        <w:pStyle w:val="SOText"/>
      </w:pPr>
      <w:r w:rsidRPr="005967EB">
        <w:t xml:space="preserve">Foreign persons have additional register requirements to those in Division 3 of </w:t>
      </w:r>
      <w:r w:rsidR="002B5BE0" w:rsidRPr="005967EB">
        <w:t>Part 7</w:t>
      </w:r>
      <w:r w:rsidRPr="005967EB">
        <w:t>A of the Act (see the additional requirements in Division 2 of this Part)</w:t>
      </w:r>
      <w:r w:rsidR="00AD7B48" w:rsidRPr="005967EB">
        <w:t>.</w:t>
      </w:r>
    </w:p>
    <w:p w14:paraId="11D2FC49" w14:textId="77777777" w:rsidR="008756B5" w:rsidRPr="005967EB" w:rsidRDefault="008756B5" w:rsidP="008756B5">
      <w:pPr>
        <w:pStyle w:val="SOText"/>
      </w:pPr>
      <w:r w:rsidRPr="005967EB">
        <w:t>Some of these additional requirements relate to actions covered by Part 5 of this instrument</w:t>
      </w:r>
      <w:r w:rsidR="00AD7B48" w:rsidRPr="005967EB">
        <w:t>.</w:t>
      </w:r>
      <w:r w:rsidRPr="005967EB">
        <w:t xml:space="preserve"> The other additional requirements relate to actions covered by exemption certificates</w:t>
      </w:r>
      <w:r w:rsidR="00AD7B48" w:rsidRPr="005967EB">
        <w:t>.</w:t>
      </w:r>
    </w:p>
    <w:p w14:paraId="6625352A" w14:textId="77777777" w:rsidR="008756B5" w:rsidRPr="005967EB" w:rsidRDefault="008756B5" w:rsidP="008756B5">
      <w:pPr>
        <w:pStyle w:val="SOText"/>
      </w:pPr>
      <w:r w:rsidRPr="005967EB">
        <w:t>Some other notification requirements for actions will only apply if there are no register requirements for those actions (see Division 3 of this Part)</w:t>
      </w:r>
      <w:r w:rsidR="00AD7B48" w:rsidRPr="005967EB">
        <w:t>.</w:t>
      </w:r>
    </w:p>
    <w:p w14:paraId="3C757263" w14:textId="77777777" w:rsidR="008756B5" w:rsidRPr="005967EB" w:rsidRDefault="008756B5" w:rsidP="008756B5">
      <w:pPr>
        <w:pStyle w:val="SOText"/>
      </w:pPr>
      <w:r w:rsidRPr="005967EB">
        <w:t xml:space="preserve">Register requirements in </w:t>
      </w:r>
      <w:r w:rsidR="002B5BE0" w:rsidRPr="005967EB">
        <w:t>Part 7</w:t>
      </w:r>
      <w:r w:rsidRPr="005967EB">
        <w:t>A of the Act, or in this Part, will not apply in relation to some kinds of interests in Australian land or to some persons (see the exemptions in Division 4 of this Part)</w:t>
      </w:r>
      <w:r w:rsidR="00AD7B48" w:rsidRPr="005967EB">
        <w:t>.</w:t>
      </w:r>
    </w:p>
    <w:p w14:paraId="00B2098C" w14:textId="77777777" w:rsidR="008756B5" w:rsidRPr="005967EB" w:rsidRDefault="008756B5" w:rsidP="008756B5">
      <w:pPr>
        <w:pStyle w:val="SOText"/>
      </w:pPr>
      <w:r w:rsidRPr="005967EB">
        <w:t xml:space="preserve">The Registrar may appoint certain ATO staff to be infringement officers, and the Treasurer may </w:t>
      </w:r>
      <w:r w:rsidR="0048288C" w:rsidRPr="005967EB">
        <w:t>extend</w:t>
      </w:r>
      <w:r w:rsidRPr="005967EB">
        <w:t xml:space="preserve"> the time for giving register notices (see Division 5 of this Part)</w:t>
      </w:r>
      <w:r w:rsidR="00AD7B48" w:rsidRPr="005967EB">
        <w:t>.</w:t>
      </w:r>
    </w:p>
    <w:p w14:paraId="49250192" w14:textId="77777777" w:rsidR="008756B5" w:rsidRPr="005967EB" w:rsidRDefault="008756B5" w:rsidP="008756B5">
      <w:pPr>
        <w:pStyle w:val="ActHead3"/>
      </w:pPr>
      <w:bookmarkStart w:id="20" w:name="_Toc135742413"/>
      <w:r w:rsidRPr="00B54B23">
        <w:rPr>
          <w:rStyle w:val="CharDivNo"/>
        </w:rPr>
        <w:t>Division 2</w:t>
      </w:r>
      <w:r w:rsidRPr="005967EB">
        <w:t>—</w:t>
      </w:r>
      <w:r w:rsidRPr="00B54B23">
        <w:rPr>
          <w:rStyle w:val="CharDivText"/>
        </w:rPr>
        <w:t>Requirements to give register notices to the Registrar</w:t>
      </w:r>
      <w:bookmarkEnd w:id="20"/>
    </w:p>
    <w:p w14:paraId="2BBA2358" w14:textId="77777777" w:rsidR="008756B5" w:rsidRPr="005967EB" w:rsidRDefault="008756B5" w:rsidP="008756B5">
      <w:pPr>
        <w:pStyle w:val="ActHead4"/>
      </w:pPr>
      <w:bookmarkStart w:id="21" w:name="_Toc135742414"/>
      <w:r w:rsidRPr="00B54B23">
        <w:rPr>
          <w:rStyle w:val="CharSubdNo"/>
        </w:rPr>
        <w:t>Subdivision A</w:t>
      </w:r>
      <w:r w:rsidRPr="005967EB">
        <w:t>—</w:t>
      </w:r>
      <w:r w:rsidRPr="00B54B23">
        <w:rPr>
          <w:rStyle w:val="CharSubdText"/>
        </w:rPr>
        <w:t>Actions covered by Part 5</w:t>
      </w:r>
      <w:bookmarkEnd w:id="21"/>
    </w:p>
    <w:p w14:paraId="1EEABC17" w14:textId="77777777" w:rsidR="008756B5" w:rsidRPr="005967EB" w:rsidRDefault="00AD7B48" w:rsidP="008756B5">
      <w:pPr>
        <w:pStyle w:val="ActHead5"/>
      </w:pPr>
      <w:bookmarkStart w:id="22" w:name="_Toc135742415"/>
      <w:r w:rsidRPr="00B54B23">
        <w:rPr>
          <w:rStyle w:val="CharSectno"/>
        </w:rPr>
        <w:t>58B</w:t>
      </w:r>
      <w:r w:rsidR="008756B5" w:rsidRPr="005967EB">
        <w:t xml:space="preserve">  Requirement to give register notice—actions covered by Part 5</w:t>
      </w:r>
      <w:bookmarkEnd w:id="22"/>
    </w:p>
    <w:p w14:paraId="2E3E7F05" w14:textId="77777777" w:rsidR="008756B5" w:rsidRPr="005967EB" w:rsidRDefault="008756B5" w:rsidP="008756B5">
      <w:pPr>
        <w:pStyle w:val="subsection"/>
      </w:pPr>
      <w:r w:rsidRPr="005967EB">
        <w:tab/>
        <w:t>(1)</w:t>
      </w:r>
      <w:r w:rsidRPr="005967EB">
        <w:tab/>
        <w:t>For the purposes of paragraph 130ZU(1)(a) of the Act, circumstances in which a foreign person must give a register notice to the Registrar are if:</w:t>
      </w:r>
    </w:p>
    <w:p w14:paraId="2E9BB34A" w14:textId="77777777" w:rsidR="008756B5" w:rsidRPr="005967EB" w:rsidRDefault="008756B5" w:rsidP="008756B5">
      <w:pPr>
        <w:pStyle w:val="paragraph"/>
      </w:pPr>
      <w:r w:rsidRPr="005967EB">
        <w:tab/>
        <w:t>(a)</w:t>
      </w:r>
      <w:r w:rsidRPr="005967EB">
        <w:tab/>
        <w:t>the foreign person takes an action that is a significant action, or a notifiable action, under section 55 or subsection 56(1) of this instrument; and</w:t>
      </w:r>
    </w:p>
    <w:p w14:paraId="2639FADF" w14:textId="77777777" w:rsidR="008756B5" w:rsidRPr="005967EB" w:rsidRDefault="008756B5" w:rsidP="008756B5">
      <w:pPr>
        <w:pStyle w:val="paragraph"/>
      </w:pPr>
      <w:r w:rsidRPr="005967EB">
        <w:lastRenderedPageBreak/>
        <w:tab/>
        <w:t>(b)</w:t>
      </w:r>
      <w:r w:rsidRPr="005967EB">
        <w:tab/>
        <w:t>the foreign person is aware, or ought reasonably to be aware, that the action has been taken</w:t>
      </w:r>
      <w:r w:rsidR="00AD7B48" w:rsidRPr="005967EB">
        <w:t>.</w:t>
      </w:r>
    </w:p>
    <w:p w14:paraId="195A0073" w14:textId="77777777" w:rsidR="008756B5" w:rsidRPr="005967EB" w:rsidRDefault="008756B5" w:rsidP="008756B5">
      <w:pPr>
        <w:pStyle w:val="notetext"/>
      </w:pPr>
      <w:r w:rsidRPr="005967EB">
        <w:t>Note:</w:t>
      </w:r>
      <w:r w:rsidRPr="005967EB">
        <w:tab/>
        <w:t xml:space="preserve">The data standards may provide for register notices under multiple provisions to be </w:t>
      </w:r>
      <w:r w:rsidR="00A34C60" w:rsidRPr="005967EB">
        <w:t>combined into</w:t>
      </w:r>
      <w:r w:rsidRPr="005967EB">
        <w:t xml:space="preserve"> a single </w:t>
      </w:r>
      <w:r w:rsidR="00A34C60" w:rsidRPr="005967EB">
        <w:t xml:space="preserve">register </w:t>
      </w:r>
      <w:r w:rsidRPr="005967EB">
        <w:t>notice (see paragraph 130ZZ(2)(j) of the Act)</w:t>
      </w:r>
      <w:r w:rsidR="00AD7B48" w:rsidRPr="005967EB">
        <w:t>.</w:t>
      </w:r>
    </w:p>
    <w:p w14:paraId="2CD00189" w14:textId="77777777" w:rsidR="008756B5" w:rsidRPr="005967EB" w:rsidRDefault="008756B5" w:rsidP="008756B5">
      <w:pPr>
        <w:pStyle w:val="subsection"/>
      </w:pPr>
      <w:r w:rsidRPr="005967EB">
        <w:tab/>
        <w:t>(2)</w:t>
      </w:r>
      <w:r w:rsidRPr="005967EB">
        <w:tab/>
        <w:t>For the purposes of paragraphs 130ZU(1)(c) and (d) of the Act, if a foreign person gives a register notice under this section in relation to an action mentioned in subsection (1) of this section, the following table has effect</w:t>
      </w:r>
      <w:r w:rsidR="00AD7B48" w:rsidRPr="005967EB">
        <w:t>.</w:t>
      </w:r>
    </w:p>
    <w:p w14:paraId="42D7C2BB" w14:textId="77777777" w:rsidR="008756B5" w:rsidRPr="005967EB" w:rsidRDefault="008756B5" w:rsidP="008756B5">
      <w:pPr>
        <w:pStyle w:val="Tabletext"/>
      </w:pPr>
    </w:p>
    <w:tbl>
      <w:tblPr>
        <w:tblW w:w="8416"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3544"/>
        <w:gridCol w:w="4111"/>
        <w:gridCol w:w="57"/>
      </w:tblGrid>
      <w:tr w:rsidR="008756B5" w:rsidRPr="005967EB" w14:paraId="0C772159" w14:textId="77777777" w:rsidTr="00FF1E95">
        <w:trPr>
          <w:gridAfter w:val="1"/>
          <w:wAfter w:w="57" w:type="dxa"/>
          <w:tblHeader/>
        </w:trPr>
        <w:tc>
          <w:tcPr>
            <w:tcW w:w="8359" w:type="dxa"/>
            <w:gridSpan w:val="3"/>
            <w:tcBorders>
              <w:top w:val="single" w:sz="12" w:space="0" w:color="auto"/>
              <w:bottom w:val="single" w:sz="6" w:space="0" w:color="auto"/>
            </w:tcBorders>
            <w:shd w:val="clear" w:color="auto" w:fill="auto"/>
          </w:tcPr>
          <w:p w14:paraId="6A56513B" w14:textId="77777777" w:rsidR="008756B5" w:rsidRPr="005967EB" w:rsidRDefault="008756B5" w:rsidP="00FF1E95">
            <w:pPr>
              <w:pStyle w:val="TableHeading"/>
            </w:pPr>
            <w:r w:rsidRPr="005967EB">
              <w:t>When registered circumstances exist and cease</w:t>
            </w:r>
          </w:p>
        </w:tc>
      </w:tr>
      <w:tr w:rsidR="008756B5" w:rsidRPr="005967EB" w14:paraId="4644ADFA" w14:textId="77777777" w:rsidTr="00FF1E95">
        <w:trPr>
          <w:tblHeader/>
        </w:trPr>
        <w:tc>
          <w:tcPr>
            <w:tcW w:w="704" w:type="dxa"/>
            <w:tcBorders>
              <w:top w:val="single" w:sz="6" w:space="0" w:color="auto"/>
              <w:bottom w:val="single" w:sz="12" w:space="0" w:color="auto"/>
            </w:tcBorders>
            <w:shd w:val="clear" w:color="auto" w:fill="auto"/>
          </w:tcPr>
          <w:p w14:paraId="51470FCC" w14:textId="77777777" w:rsidR="008756B5" w:rsidRPr="005967EB" w:rsidRDefault="008756B5" w:rsidP="00FF1E95">
            <w:pPr>
              <w:pStyle w:val="TableHeading"/>
            </w:pPr>
            <w:r w:rsidRPr="005967EB">
              <w:t>Item</w:t>
            </w:r>
          </w:p>
        </w:tc>
        <w:tc>
          <w:tcPr>
            <w:tcW w:w="3544" w:type="dxa"/>
            <w:tcBorders>
              <w:top w:val="single" w:sz="6" w:space="0" w:color="auto"/>
              <w:bottom w:val="single" w:sz="12" w:space="0" w:color="auto"/>
            </w:tcBorders>
            <w:shd w:val="clear" w:color="auto" w:fill="auto"/>
          </w:tcPr>
          <w:p w14:paraId="2E35F55A" w14:textId="77777777" w:rsidR="008756B5" w:rsidRPr="005967EB" w:rsidRDefault="008756B5" w:rsidP="00FF1E95">
            <w:pPr>
              <w:pStyle w:val="TableHeading"/>
            </w:pPr>
            <w:r w:rsidRPr="005967EB">
              <w:t>A registered circumstance under this section exists in relation to the foreign person if …</w:t>
            </w:r>
          </w:p>
        </w:tc>
        <w:tc>
          <w:tcPr>
            <w:tcW w:w="4168" w:type="dxa"/>
            <w:gridSpan w:val="2"/>
            <w:tcBorders>
              <w:top w:val="single" w:sz="6" w:space="0" w:color="auto"/>
              <w:bottom w:val="single" w:sz="12" w:space="0" w:color="auto"/>
            </w:tcBorders>
            <w:shd w:val="clear" w:color="auto" w:fill="auto"/>
          </w:tcPr>
          <w:p w14:paraId="67125B47" w14:textId="77777777" w:rsidR="008756B5" w:rsidRPr="005967EB" w:rsidRDefault="008756B5" w:rsidP="00FF1E95">
            <w:pPr>
              <w:pStyle w:val="TableHeading"/>
            </w:pPr>
            <w:r w:rsidRPr="005967EB">
              <w:t>The registered circumstance ceases if …</w:t>
            </w:r>
          </w:p>
        </w:tc>
      </w:tr>
      <w:tr w:rsidR="008756B5" w:rsidRPr="005967EB" w14:paraId="03EE8797" w14:textId="77777777" w:rsidTr="00FF1E95">
        <w:tc>
          <w:tcPr>
            <w:tcW w:w="704" w:type="dxa"/>
            <w:tcBorders>
              <w:top w:val="single" w:sz="12" w:space="0" w:color="auto"/>
            </w:tcBorders>
            <w:shd w:val="clear" w:color="auto" w:fill="auto"/>
          </w:tcPr>
          <w:p w14:paraId="53D31AF9" w14:textId="77777777" w:rsidR="008756B5" w:rsidRPr="005967EB" w:rsidRDefault="008756B5" w:rsidP="00FF1E95">
            <w:pPr>
              <w:pStyle w:val="Tabletext"/>
            </w:pPr>
            <w:r w:rsidRPr="005967EB">
              <w:t>1</w:t>
            </w:r>
          </w:p>
        </w:tc>
        <w:tc>
          <w:tcPr>
            <w:tcW w:w="3544" w:type="dxa"/>
            <w:tcBorders>
              <w:top w:val="single" w:sz="12" w:space="0" w:color="auto"/>
            </w:tcBorders>
            <w:shd w:val="clear" w:color="auto" w:fill="auto"/>
          </w:tcPr>
          <w:p w14:paraId="64BEA36A" w14:textId="77777777" w:rsidR="008756B5" w:rsidRPr="005967EB" w:rsidRDefault="008756B5" w:rsidP="00FF1E95">
            <w:pPr>
              <w:pStyle w:val="Tabletext"/>
            </w:pPr>
            <w:r w:rsidRPr="005967EB">
              <w:t>section 55 of this instrument (acquiring a direct interest in an entity or business carrying on an Australian media business) applies to the action</w:t>
            </w:r>
            <w:r w:rsidR="00AD7B48" w:rsidRPr="005967EB">
              <w:t>.</w:t>
            </w:r>
          </w:p>
        </w:tc>
        <w:tc>
          <w:tcPr>
            <w:tcW w:w="4168" w:type="dxa"/>
            <w:gridSpan w:val="2"/>
            <w:tcBorders>
              <w:top w:val="single" w:sz="12" w:space="0" w:color="auto"/>
            </w:tcBorders>
            <w:shd w:val="clear" w:color="auto" w:fill="auto"/>
          </w:tcPr>
          <w:p w14:paraId="008FF500" w14:textId="77777777" w:rsidR="008756B5" w:rsidRPr="005967EB" w:rsidRDefault="008756B5" w:rsidP="00FF1E95">
            <w:pPr>
              <w:pStyle w:val="Tablea"/>
            </w:pPr>
            <w:r w:rsidRPr="005967EB">
              <w:t>(a) the foreign person no longer holds an interest of any percentage in the entity or business mentioned in section 55; or</w:t>
            </w:r>
          </w:p>
          <w:p w14:paraId="2DB6AC29" w14:textId="77777777" w:rsidR="008756B5" w:rsidRPr="005967EB" w:rsidRDefault="008756B5" w:rsidP="00FF1E95">
            <w:pPr>
              <w:pStyle w:val="Tablea"/>
            </w:pPr>
            <w:r w:rsidRPr="005967EB">
              <w:t>(b) the Australian media business ceases to be an Australian media business; or</w:t>
            </w:r>
          </w:p>
          <w:p w14:paraId="53F76C59" w14:textId="77777777" w:rsidR="008756B5" w:rsidRPr="005967EB" w:rsidRDefault="008756B5" w:rsidP="00FF1E95">
            <w:pPr>
              <w:pStyle w:val="Tablea"/>
            </w:pPr>
            <w:r w:rsidRPr="005967EB">
              <w:t>(c) the Australian media business ceases to be carried on; or</w:t>
            </w:r>
          </w:p>
          <w:p w14:paraId="5604744D" w14:textId="77777777" w:rsidR="008756B5" w:rsidRPr="005967EB" w:rsidRDefault="008756B5" w:rsidP="00FF1E95">
            <w:pPr>
              <w:pStyle w:val="Tablea"/>
            </w:pPr>
            <w:r w:rsidRPr="005967EB">
              <w:t>(d) in the case of a direct interest in an entity—the entity ceases to exist</w:t>
            </w:r>
            <w:r w:rsidR="00AD7B48" w:rsidRPr="005967EB">
              <w:t>.</w:t>
            </w:r>
          </w:p>
        </w:tc>
      </w:tr>
      <w:tr w:rsidR="008756B5" w:rsidRPr="005967EB" w14:paraId="58AB82A8" w14:textId="77777777" w:rsidTr="00FF1E95">
        <w:tc>
          <w:tcPr>
            <w:tcW w:w="704" w:type="dxa"/>
            <w:shd w:val="clear" w:color="auto" w:fill="auto"/>
          </w:tcPr>
          <w:p w14:paraId="70D4689F" w14:textId="77777777" w:rsidR="008756B5" w:rsidRPr="005967EB" w:rsidRDefault="008756B5" w:rsidP="00FF1E95">
            <w:pPr>
              <w:pStyle w:val="Tabletext"/>
            </w:pPr>
            <w:r w:rsidRPr="005967EB">
              <w:t>2</w:t>
            </w:r>
          </w:p>
        </w:tc>
        <w:tc>
          <w:tcPr>
            <w:tcW w:w="3544" w:type="dxa"/>
            <w:shd w:val="clear" w:color="auto" w:fill="auto"/>
          </w:tcPr>
          <w:p w14:paraId="1FBE8184" w14:textId="77777777" w:rsidR="008756B5" w:rsidRPr="005967EB" w:rsidRDefault="008756B5" w:rsidP="00FF1E95">
            <w:pPr>
              <w:pStyle w:val="Tabletext"/>
            </w:pPr>
            <w:r w:rsidRPr="005967EB">
              <w:t>paragraph 56(1)(a) of this instrument (a foreign government investor acquiring a direct interest in an Australian entity or Australian business) applies to the action</w:t>
            </w:r>
            <w:r w:rsidR="00AD7B48" w:rsidRPr="005967EB">
              <w:t>.</w:t>
            </w:r>
          </w:p>
        </w:tc>
        <w:tc>
          <w:tcPr>
            <w:tcW w:w="4168" w:type="dxa"/>
            <w:gridSpan w:val="2"/>
            <w:shd w:val="clear" w:color="auto" w:fill="auto"/>
          </w:tcPr>
          <w:p w14:paraId="6A7B7234" w14:textId="77777777" w:rsidR="008756B5" w:rsidRPr="005967EB" w:rsidRDefault="008756B5" w:rsidP="00FF1E95">
            <w:pPr>
              <w:pStyle w:val="Tablea"/>
            </w:pPr>
            <w:r w:rsidRPr="005967EB">
              <w:t>(a) the foreign person no longer holds an interest of any percentage in the Australian entity or Australian business mentioned in paragraph 56(1)(a); or</w:t>
            </w:r>
          </w:p>
          <w:p w14:paraId="1CD91926" w14:textId="77777777" w:rsidR="008756B5" w:rsidRPr="005967EB" w:rsidRDefault="008756B5" w:rsidP="00FF1E95">
            <w:pPr>
              <w:pStyle w:val="Tablea"/>
            </w:pPr>
            <w:r w:rsidRPr="005967EB">
              <w:t>(b) the Australian entity or Australian business ceases to be an Australian entity or an Australian business; or</w:t>
            </w:r>
          </w:p>
          <w:p w14:paraId="4FA67BA1" w14:textId="77777777" w:rsidR="008756B5" w:rsidRPr="005967EB" w:rsidRDefault="008756B5" w:rsidP="00FF1E95">
            <w:pPr>
              <w:pStyle w:val="Tablea"/>
            </w:pPr>
            <w:r w:rsidRPr="005967EB">
              <w:t>(c) in the case of a direct interest in an Australian entity—the Australian entity ceases to exist; or</w:t>
            </w:r>
          </w:p>
          <w:p w14:paraId="40E1AB80" w14:textId="77777777" w:rsidR="008756B5" w:rsidRPr="005967EB" w:rsidRDefault="008756B5" w:rsidP="00FF1E95">
            <w:pPr>
              <w:pStyle w:val="Tablea"/>
            </w:pPr>
            <w:r w:rsidRPr="005967EB">
              <w:t>(d) in the case of a direct interest in an Australian business—the Australian business ceases to be carried on; or</w:t>
            </w:r>
          </w:p>
          <w:p w14:paraId="2C7D2970" w14:textId="77777777" w:rsidR="008756B5" w:rsidRPr="005967EB" w:rsidRDefault="008756B5" w:rsidP="00FF1E95">
            <w:pPr>
              <w:pStyle w:val="Tablea"/>
            </w:pPr>
            <w:r w:rsidRPr="005967EB">
              <w:t>(e) the foreign person ceases to be a foreign government investor</w:t>
            </w:r>
            <w:r w:rsidR="00AD7B48" w:rsidRPr="005967EB">
              <w:t>.</w:t>
            </w:r>
          </w:p>
        </w:tc>
      </w:tr>
      <w:tr w:rsidR="008756B5" w:rsidRPr="005967EB" w14:paraId="625A0C7A" w14:textId="77777777" w:rsidTr="00FF1E95">
        <w:tc>
          <w:tcPr>
            <w:tcW w:w="704" w:type="dxa"/>
            <w:shd w:val="clear" w:color="auto" w:fill="auto"/>
          </w:tcPr>
          <w:p w14:paraId="46C0401F" w14:textId="77777777" w:rsidR="008756B5" w:rsidRPr="005967EB" w:rsidRDefault="008756B5" w:rsidP="00FF1E95">
            <w:pPr>
              <w:pStyle w:val="Tabletext"/>
            </w:pPr>
            <w:r w:rsidRPr="005967EB">
              <w:t>3</w:t>
            </w:r>
          </w:p>
        </w:tc>
        <w:tc>
          <w:tcPr>
            <w:tcW w:w="3544" w:type="dxa"/>
            <w:shd w:val="clear" w:color="auto" w:fill="auto"/>
          </w:tcPr>
          <w:p w14:paraId="5868BDFA" w14:textId="77777777" w:rsidR="008756B5" w:rsidRPr="005967EB" w:rsidRDefault="008756B5" w:rsidP="00FF1E95">
            <w:pPr>
              <w:pStyle w:val="Tabletext"/>
            </w:pPr>
            <w:r w:rsidRPr="005967EB">
              <w:t>paragraph 56(1)(b) of this instrument (a foreign government investor starting an Australian business) applies to the action</w:t>
            </w:r>
            <w:r w:rsidR="00AD7B48" w:rsidRPr="005967EB">
              <w:t>.</w:t>
            </w:r>
          </w:p>
        </w:tc>
        <w:tc>
          <w:tcPr>
            <w:tcW w:w="4168" w:type="dxa"/>
            <w:gridSpan w:val="2"/>
            <w:shd w:val="clear" w:color="auto" w:fill="auto"/>
          </w:tcPr>
          <w:p w14:paraId="454CFC0F" w14:textId="77777777" w:rsidR="008756B5" w:rsidRPr="005967EB" w:rsidRDefault="008756B5" w:rsidP="00FF1E95">
            <w:pPr>
              <w:pStyle w:val="Tablea"/>
            </w:pPr>
            <w:r w:rsidRPr="005967EB">
              <w:t>(a) the foreign person no longer carries on the Australian business mentioned in paragraph 56(1)(b); or</w:t>
            </w:r>
          </w:p>
          <w:p w14:paraId="356E95EE" w14:textId="77777777" w:rsidR="008756B5" w:rsidRPr="005967EB" w:rsidRDefault="008756B5" w:rsidP="00FF1E95">
            <w:pPr>
              <w:pStyle w:val="Tablea"/>
            </w:pPr>
            <w:r w:rsidRPr="005967EB">
              <w:t>(b) the Australian business ceases to be an Australian business; or</w:t>
            </w:r>
          </w:p>
          <w:p w14:paraId="6E7A9410" w14:textId="77777777" w:rsidR="008756B5" w:rsidRPr="005967EB" w:rsidRDefault="008756B5" w:rsidP="00FF1E95">
            <w:pPr>
              <w:pStyle w:val="Tablea"/>
            </w:pPr>
            <w:r w:rsidRPr="005967EB">
              <w:t>(c) the Australian business ceases to be carried on; or</w:t>
            </w:r>
          </w:p>
          <w:p w14:paraId="6F8F2A63" w14:textId="77777777" w:rsidR="008756B5" w:rsidRPr="005967EB" w:rsidRDefault="008756B5" w:rsidP="00FF1E95">
            <w:pPr>
              <w:pStyle w:val="Tablea"/>
            </w:pPr>
            <w:r w:rsidRPr="005967EB">
              <w:t>(d) the foreign person ceases to be a foreign government investor</w:t>
            </w:r>
            <w:r w:rsidR="00AD7B48" w:rsidRPr="005967EB">
              <w:t>.</w:t>
            </w:r>
          </w:p>
        </w:tc>
      </w:tr>
      <w:tr w:rsidR="008756B5" w:rsidRPr="005967EB" w14:paraId="550DFAC7" w14:textId="77777777" w:rsidTr="00FF1E95">
        <w:tc>
          <w:tcPr>
            <w:tcW w:w="704" w:type="dxa"/>
            <w:tcBorders>
              <w:bottom w:val="single" w:sz="2" w:space="0" w:color="auto"/>
            </w:tcBorders>
            <w:shd w:val="clear" w:color="auto" w:fill="auto"/>
          </w:tcPr>
          <w:p w14:paraId="339D8F8B" w14:textId="77777777" w:rsidR="008756B5" w:rsidRPr="005967EB" w:rsidRDefault="008756B5" w:rsidP="00FF1E95">
            <w:pPr>
              <w:pStyle w:val="Tabletext"/>
            </w:pPr>
            <w:r w:rsidRPr="005967EB">
              <w:t>4</w:t>
            </w:r>
          </w:p>
        </w:tc>
        <w:tc>
          <w:tcPr>
            <w:tcW w:w="3544" w:type="dxa"/>
            <w:tcBorders>
              <w:bottom w:val="single" w:sz="2" w:space="0" w:color="auto"/>
            </w:tcBorders>
            <w:shd w:val="clear" w:color="auto" w:fill="auto"/>
          </w:tcPr>
          <w:p w14:paraId="3E989E90" w14:textId="77777777" w:rsidR="008756B5" w:rsidRPr="005967EB" w:rsidRDefault="008756B5" w:rsidP="00FF1E95">
            <w:pPr>
              <w:pStyle w:val="Tabletext"/>
            </w:pPr>
            <w:r w:rsidRPr="005967EB">
              <w:t>subparagraph 56(1)(c)(i) of this instrument (a foreign government investor acquiring an interest in a tenement) applies to the action</w:t>
            </w:r>
            <w:r w:rsidR="00AD7B48" w:rsidRPr="005967EB">
              <w:t>.</w:t>
            </w:r>
          </w:p>
        </w:tc>
        <w:tc>
          <w:tcPr>
            <w:tcW w:w="4168" w:type="dxa"/>
            <w:gridSpan w:val="2"/>
            <w:tcBorders>
              <w:bottom w:val="single" w:sz="2" w:space="0" w:color="auto"/>
            </w:tcBorders>
            <w:shd w:val="clear" w:color="auto" w:fill="auto"/>
          </w:tcPr>
          <w:p w14:paraId="0007D6B4" w14:textId="77777777" w:rsidR="008756B5" w:rsidRPr="005967EB" w:rsidRDefault="008756B5" w:rsidP="00FF1E95">
            <w:pPr>
              <w:pStyle w:val="Tablea"/>
            </w:pPr>
            <w:r w:rsidRPr="005967EB">
              <w:t>(a) the foreign person ceases to hold the interest in the tenement mentioned in subparagraph 56(1)(c)(i); or</w:t>
            </w:r>
          </w:p>
          <w:p w14:paraId="47C46971" w14:textId="77777777" w:rsidR="008756B5" w:rsidRPr="005967EB" w:rsidRDefault="008756B5" w:rsidP="00FF1E95">
            <w:pPr>
              <w:pStyle w:val="Tablea"/>
            </w:pPr>
            <w:r w:rsidRPr="005967EB">
              <w:t>(b) the foreign person ceases to be a foreign government investor</w:t>
            </w:r>
            <w:r w:rsidR="00AD7B48" w:rsidRPr="005967EB">
              <w:t>.</w:t>
            </w:r>
          </w:p>
        </w:tc>
      </w:tr>
      <w:tr w:rsidR="008756B5" w:rsidRPr="005967EB" w14:paraId="0C5F7867" w14:textId="77777777" w:rsidTr="00FF1E95">
        <w:tc>
          <w:tcPr>
            <w:tcW w:w="704" w:type="dxa"/>
            <w:tcBorders>
              <w:top w:val="single" w:sz="2" w:space="0" w:color="auto"/>
              <w:bottom w:val="single" w:sz="12" w:space="0" w:color="auto"/>
            </w:tcBorders>
            <w:shd w:val="clear" w:color="auto" w:fill="auto"/>
          </w:tcPr>
          <w:p w14:paraId="145A8CE5" w14:textId="77777777" w:rsidR="008756B5" w:rsidRPr="005967EB" w:rsidRDefault="008756B5" w:rsidP="00FF1E95">
            <w:pPr>
              <w:pStyle w:val="Tabletext"/>
            </w:pPr>
            <w:r w:rsidRPr="005967EB">
              <w:lastRenderedPageBreak/>
              <w:t>5</w:t>
            </w:r>
          </w:p>
        </w:tc>
        <w:tc>
          <w:tcPr>
            <w:tcW w:w="3544" w:type="dxa"/>
            <w:tcBorders>
              <w:top w:val="single" w:sz="2" w:space="0" w:color="auto"/>
              <w:bottom w:val="single" w:sz="12" w:space="0" w:color="auto"/>
            </w:tcBorders>
            <w:shd w:val="clear" w:color="auto" w:fill="auto"/>
          </w:tcPr>
          <w:p w14:paraId="70DBF68B" w14:textId="77777777" w:rsidR="008756B5" w:rsidRPr="005967EB" w:rsidRDefault="008756B5" w:rsidP="00FF1E95">
            <w:pPr>
              <w:pStyle w:val="Tabletext"/>
            </w:pPr>
            <w:r w:rsidRPr="005967EB">
              <w:t>subparagraph 56(1)(c)(ii) of this instrument (a foreign government investor acquiring an interest of at least 10% in securities in a mining, production or exploration entity) applies to the action</w:t>
            </w:r>
            <w:r w:rsidR="00AD7B48" w:rsidRPr="005967EB">
              <w:t>.</w:t>
            </w:r>
          </w:p>
        </w:tc>
        <w:tc>
          <w:tcPr>
            <w:tcW w:w="4168" w:type="dxa"/>
            <w:gridSpan w:val="2"/>
            <w:tcBorders>
              <w:top w:val="single" w:sz="2" w:space="0" w:color="auto"/>
              <w:bottom w:val="single" w:sz="12" w:space="0" w:color="auto"/>
            </w:tcBorders>
            <w:shd w:val="clear" w:color="auto" w:fill="auto"/>
          </w:tcPr>
          <w:p w14:paraId="418E2C08" w14:textId="77777777" w:rsidR="008756B5" w:rsidRPr="005967EB" w:rsidRDefault="008756B5" w:rsidP="00FF1E95">
            <w:pPr>
              <w:pStyle w:val="Tablea"/>
            </w:pPr>
            <w:r w:rsidRPr="005967EB">
              <w:t>(a) the foreign person no longer holds an interest of any percentage in the mining, production or exploration entity mentioned in subparagraph 56(1)(c)(ii); or</w:t>
            </w:r>
          </w:p>
          <w:p w14:paraId="063BFA5D" w14:textId="77777777" w:rsidR="008756B5" w:rsidRPr="005967EB" w:rsidRDefault="008756B5" w:rsidP="00FF1E95">
            <w:pPr>
              <w:pStyle w:val="Tablea"/>
            </w:pPr>
            <w:r w:rsidRPr="005967EB">
              <w:t>(b) the mining, production or exploration entity ceases to be a mining, production or exploration entity; or</w:t>
            </w:r>
          </w:p>
          <w:p w14:paraId="460071E4" w14:textId="77777777" w:rsidR="008756B5" w:rsidRPr="005967EB" w:rsidRDefault="008756B5" w:rsidP="00FF1E95">
            <w:pPr>
              <w:pStyle w:val="Tablea"/>
            </w:pPr>
            <w:r w:rsidRPr="005967EB">
              <w:t>(c) the mining, production or exploration entity ceases to exist; or</w:t>
            </w:r>
          </w:p>
          <w:p w14:paraId="1A1E02D6" w14:textId="77777777" w:rsidR="008756B5" w:rsidRPr="005967EB" w:rsidRDefault="008756B5" w:rsidP="00FF1E95">
            <w:pPr>
              <w:pStyle w:val="Tablea"/>
            </w:pPr>
            <w:r w:rsidRPr="005967EB">
              <w:t>(d) the foreign person ceases to be a foreign government investor</w:t>
            </w:r>
            <w:r w:rsidR="00AD7B48" w:rsidRPr="005967EB">
              <w:t>.</w:t>
            </w:r>
          </w:p>
        </w:tc>
      </w:tr>
    </w:tbl>
    <w:p w14:paraId="459AC4C9" w14:textId="77777777" w:rsidR="008756B5" w:rsidRPr="005967EB" w:rsidRDefault="008756B5" w:rsidP="008756B5">
      <w:pPr>
        <w:pStyle w:val="subsection"/>
      </w:pPr>
      <w:r w:rsidRPr="005967EB">
        <w:tab/>
        <w:t>(3)</w:t>
      </w:r>
      <w:r w:rsidRPr="005967EB">
        <w:tab/>
        <w:t>Disregard any interest that is an equitable interest for the purposes of working out whether a registered circumstance exists, or has ceased, under an item of the table in subsection (2)</w:t>
      </w:r>
      <w:r w:rsidR="00AD7B48" w:rsidRPr="005967EB">
        <w:t>.</w:t>
      </w:r>
    </w:p>
    <w:p w14:paraId="5D7C23CA" w14:textId="77777777" w:rsidR="008756B5" w:rsidRPr="005967EB" w:rsidRDefault="008756B5" w:rsidP="008756B5">
      <w:pPr>
        <w:pStyle w:val="notetext"/>
      </w:pPr>
      <w:r w:rsidRPr="005967EB">
        <w:t>Note:</w:t>
      </w:r>
      <w:r w:rsidRPr="005967EB">
        <w:tab/>
        <w:t>The requirement to give a register notice under subsection (1) applies whether or not an interest is an equitable interest</w:t>
      </w:r>
      <w:r w:rsidR="00AD7B48" w:rsidRPr="005967EB">
        <w:t>.</w:t>
      </w:r>
      <w:r w:rsidRPr="005967EB">
        <w:t xml:space="preserve"> However, a notice of an action that relates only to an equitable interest does not cause a registered circumstance to exist under the table</w:t>
      </w:r>
      <w:r w:rsidR="00AD7B48" w:rsidRPr="005967EB">
        <w:t>.</w:t>
      </w:r>
    </w:p>
    <w:p w14:paraId="7E75F53D" w14:textId="77777777" w:rsidR="008756B5" w:rsidRPr="005967EB" w:rsidRDefault="008756B5" w:rsidP="008756B5">
      <w:pPr>
        <w:pStyle w:val="SubsectionHead"/>
      </w:pPr>
      <w:r w:rsidRPr="005967EB">
        <w:t>Registrable event day</w:t>
      </w:r>
    </w:p>
    <w:p w14:paraId="0E4E24D7" w14:textId="77777777" w:rsidR="008756B5" w:rsidRPr="005967EB" w:rsidRDefault="008756B5" w:rsidP="008756B5">
      <w:pPr>
        <w:pStyle w:val="subsection"/>
      </w:pPr>
      <w:r w:rsidRPr="005967EB">
        <w:tab/>
        <w:t>(4)</w:t>
      </w:r>
      <w:r w:rsidRPr="005967EB">
        <w:tab/>
        <w:t>For the purposes of paragraph 130ZU(1)(b) of the Act, the registrable event day for a register notice under this section is the later of:</w:t>
      </w:r>
    </w:p>
    <w:p w14:paraId="66E8135C" w14:textId="77777777" w:rsidR="008756B5" w:rsidRPr="005967EB" w:rsidRDefault="008756B5" w:rsidP="008756B5">
      <w:pPr>
        <w:pStyle w:val="paragraph"/>
      </w:pPr>
      <w:r w:rsidRPr="005967EB">
        <w:tab/>
        <w:t>(a)</w:t>
      </w:r>
      <w:r w:rsidRPr="005967EB">
        <w:tab/>
        <w:t>the day on which the foreign person takes the action; and</w:t>
      </w:r>
    </w:p>
    <w:p w14:paraId="703BA6A8" w14:textId="77777777" w:rsidR="008756B5" w:rsidRPr="005967EB" w:rsidRDefault="008756B5" w:rsidP="008756B5">
      <w:pPr>
        <w:pStyle w:val="paragraph"/>
      </w:pPr>
      <w:r w:rsidRPr="005967EB">
        <w:tab/>
        <w:t>(b)</w:t>
      </w:r>
      <w:r w:rsidRPr="005967EB">
        <w:tab/>
        <w:t>the day on which the foreign person first becomes aware, or ought reasonably to become aware, that the action has been taken</w:t>
      </w:r>
      <w:r w:rsidR="00AD7B48" w:rsidRPr="005967EB">
        <w:t>.</w:t>
      </w:r>
    </w:p>
    <w:p w14:paraId="3B756CFF" w14:textId="77777777" w:rsidR="008756B5" w:rsidRPr="005967EB" w:rsidRDefault="008756B5" w:rsidP="008756B5">
      <w:pPr>
        <w:pStyle w:val="SubsectionHead"/>
      </w:pPr>
      <w:r w:rsidRPr="005967EB">
        <w:t>Change in interest in an entity or business</w:t>
      </w:r>
    </w:p>
    <w:p w14:paraId="22E3571E" w14:textId="77777777" w:rsidR="008756B5" w:rsidRPr="005967EB" w:rsidRDefault="008756B5" w:rsidP="008756B5">
      <w:pPr>
        <w:pStyle w:val="subsection"/>
      </w:pPr>
      <w:r w:rsidRPr="005967EB">
        <w:tab/>
        <w:t>(5)</w:t>
      </w:r>
      <w:r w:rsidRPr="005967EB">
        <w:tab/>
        <w:t>For the purposes of paragraph 130ZN(4)(g) of the Act, section 130ZN of the Act applies to a registered circumstance mentioned in item 1, 2 or 5 of the table in subsection (2) of this section</w:t>
      </w:r>
      <w:r w:rsidR="00AD7B48" w:rsidRPr="005967EB">
        <w:t>.</w:t>
      </w:r>
    </w:p>
    <w:p w14:paraId="0691E3A2" w14:textId="77777777" w:rsidR="008756B5" w:rsidRPr="005967EB" w:rsidRDefault="008756B5" w:rsidP="008756B5">
      <w:pPr>
        <w:pStyle w:val="SubsectionHead"/>
      </w:pPr>
      <w:r w:rsidRPr="005967EB">
        <w:t>Application—Register commencement day</w:t>
      </w:r>
    </w:p>
    <w:p w14:paraId="25D66724" w14:textId="77777777" w:rsidR="008756B5" w:rsidRPr="005967EB" w:rsidRDefault="008756B5" w:rsidP="008756B5">
      <w:pPr>
        <w:pStyle w:val="subsection"/>
      </w:pPr>
      <w:r w:rsidRPr="005967EB">
        <w:tab/>
        <w:t>(6)</w:t>
      </w:r>
      <w:r w:rsidRPr="005967EB">
        <w:tab/>
        <w:t>This section applies to actions taken on or after the Register commencement day</w:t>
      </w:r>
      <w:r w:rsidR="00AD7B48" w:rsidRPr="005967EB">
        <w:t>.</w:t>
      </w:r>
    </w:p>
    <w:p w14:paraId="2D3F86C7" w14:textId="77777777" w:rsidR="008756B5" w:rsidRPr="005967EB" w:rsidRDefault="008756B5" w:rsidP="008756B5">
      <w:pPr>
        <w:pStyle w:val="ActHead4"/>
      </w:pPr>
      <w:bookmarkStart w:id="23" w:name="_Toc135742416"/>
      <w:r w:rsidRPr="00B54B23">
        <w:rPr>
          <w:rStyle w:val="CharSubdNo"/>
        </w:rPr>
        <w:t>Subdivision B</w:t>
      </w:r>
      <w:r w:rsidRPr="005967EB">
        <w:t>—</w:t>
      </w:r>
      <w:r w:rsidRPr="00B54B23">
        <w:rPr>
          <w:rStyle w:val="CharSubdText"/>
        </w:rPr>
        <w:t>Actions covered by exemption certificates</w:t>
      </w:r>
      <w:bookmarkEnd w:id="23"/>
    </w:p>
    <w:p w14:paraId="79224AB2" w14:textId="77777777" w:rsidR="008756B5" w:rsidRPr="005967EB" w:rsidRDefault="00AD7B48" w:rsidP="008756B5">
      <w:pPr>
        <w:pStyle w:val="ActHead5"/>
      </w:pPr>
      <w:bookmarkStart w:id="24" w:name="_Toc135742417"/>
      <w:r w:rsidRPr="00B54B23">
        <w:rPr>
          <w:rStyle w:val="CharSectno"/>
        </w:rPr>
        <w:t>58C</w:t>
      </w:r>
      <w:r w:rsidR="008756B5" w:rsidRPr="005967EB">
        <w:t xml:space="preserve">  Requirement to give register notice—actions relating to entities that would be significant actions or notifiable actions if not covered by exemption certificates</w:t>
      </w:r>
      <w:bookmarkEnd w:id="24"/>
    </w:p>
    <w:p w14:paraId="339876AA" w14:textId="77777777" w:rsidR="008756B5" w:rsidRPr="005967EB" w:rsidRDefault="008756B5" w:rsidP="008756B5">
      <w:pPr>
        <w:pStyle w:val="subsection"/>
      </w:pPr>
      <w:r w:rsidRPr="005967EB">
        <w:tab/>
        <w:t>(1)</w:t>
      </w:r>
      <w:r w:rsidRPr="005967EB">
        <w:tab/>
        <w:t>For the purposes of paragraph 130ZU(1)(a) of the Act, circumstances in which a foreign person must give a register notice to the Registrar are if the foreign person takes an action that:</w:t>
      </w:r>
    </w:p>
    <w:p w14:paraId="7B0D3617" w14:textId="77777777" w:rsidR="008756B5" w:rsidRPr="005967EB" w:rsidRDefault="008756B5" w:rsidP="008756B5">
      <w:pPr>
        <w:pStyle w:val="paragraph"/>
      </w:pPr>
      <w:r w:rsidRPr="005967EB">
        <w:lastRenderedPageBreak/>
        <w:tab/>
        <w:t>(a)</w:t>
      </w:r>
      <w:r w:rsidRPr="005967EB">
        <w:tab/>
        <w:t>is an acquisition by the foreign person of an interest in securities of an entity, and is neither a significant action nor a notifiable action only because of section 42 of this instrument (about exemption certificates); or</w:t>
      </w:r>
    </w:p>
    <w:p w14:paraId="44E1047F" w14:textId="77777777" w:rsidR="008756B5" w:rsidRPr="005967EB" w:rsidRDefault="008756B5" w:rsidP="008756B5">
      <w:pPr>
        <w:pStyle w:val="paragraph"/>
      </w:pPr>
      <w:r w:rsidRPr="005967EB">
        <w:tab/>
        <w:t>(b)</w:t>
      </w:r>
      <w:r w:rsidRPr="005967EB">
        <w:tab/>
        <w:t>is an acquisition by the foreign person of an interest in securities in a mining, production or exploration entity, and is neither a significant action nor a notifiable action only because of subsection 43(4) of this instrument (about exemption certificates); or</w:t>
      </w:r>
    </w:p>
    <w:p w14:paraId="07764499" w14:textId="77777777" w:rsidR="008756B5" w:rsidRPr="005967EB" w:rsidRDefault="008756B5" w:rsidP="008756B5">
      <w:pPr>
        <w:pStyle w:val="paragraph"/>
      </w:pPr>
      <w:r w:rsidRPr="005967EB">
        <w:tab/>
        <w:t>(c)</w:t>
      </w:r>
      <w:r w:rsidRPr="005967EB">
        <w:tab/>
        <w:t>is an acquisition by the foreign person:</w:t>
      </w:r>
    </w:p>
    <w:p w14:paraId="5F32477F" w14:textId="77777777" w:rsidR="008756B5" w:rsidRPr="005967EB" w:rsidRDefault="008756B5" w:rsidP="008756B5">
      <w:pPr>
        <w:pStyle w:val="paragraphsub"/>
      </w:pPr>
      <w:r w:rsidRPr="005967EB">
        <w:tab/>
        <w:t>(i)</w:t>
      </w:r>
      <w:r w:rsidRPr="005967EB">
        <w:tab/>
        <w:t>of a direct interest in an entity that wholly or partly carries on an Australian media business; or</w:t>
      </w:r>
    </w:p>
    <w:p w14:paraId="26EDA988" w14:textId="77777777" w:rsidR="008756B5" w:rsidRPr="005967EB" w:rsidRDefault="008756B5" w:rsidP="008756B5">
      <w:pPr>
        <w:pStyle w:val="paragraphsub"/>
      </w:pPr>
      <w:r w:rsidRPr="005967EB">
        <w:tab/>
        <w:t>(ii)</w:t>
      </w:r>
      <w:r w:rsidRPr="005967EB">
        <w:tab/>
        <w:t>(as a foreign government investor) of a direct interest in an Australian entity;</w:t>
      </w:r>
    </w:p>
    <w:p w14:paraId="068D8A72" w14:textId="77777777" w:rsidR="008756B5" w:rsidRPr="005967EB" w:rsidRDefault="008756B5" w:rsidP="008756B5">
      <w:pPr>
        <w:pStyle w:val="paragraph"/>
      </w:pPr>
      <w:r w:rsidRPr="005967EB">
        <w:tab/>
      </w:r>
      <w:r w:rsidRPr="005967EB">
        <w:tab/>
        <w:t>and is neither a significant action nor a notifiable action only because of section 42 of this instrument (about exemption certificates)</w:t>
      </w:r>
      <w:r w:rsidR="00AD7B48" w:rsidRPr="005967EB">
        <w:t>.</w:t>
      </w:r>
    </w:p>
    <w:p w14:paraId="7F04E830" w14:textId="77777777" w:rsidR="008756B5" w:rsidRPr="005967EB" w:rsidRDefault="008756B5" w:rsidP="008756B5">
      <w:pPr>
        <w:pStyle w:val="notetext"/>
      </w:pPr>
      <w:r w:rsidRPr="005967EB">
        <w:t>Note 1:</w:t>
      </w:r>
      <w:r w:rsidRPr="005967EB">
        <w:tab/>
        <w:t>For paragraph (a) or (b), if the person is a foreign government investor, the action may also be one to which subparagraph 56(1)(c)(ii) of this instrument applies</w:t>
      </w:r>
      <w:r w:rsidR="00AD7B48" w:rsidRPr="005967EB">
        <w:t>.</w:t>
      </w:r>
    </w:p>
    <w:p w14:paraId="7A4C8327" w14:textId="77777777" w:rsidR="008756B5" w:rsidRPr="005967EB" w:rsidRDefault="008756B5" w:rsidP="008756B5">
      <w:pPr>
        <w:pStyle w:val="notetext"/>
      </w:pPr>
      <w:r w:rsidRPr="005967EB">
        <w:t>Note 2:</w:t>
      </w:r>
      <w:r w:rsidRPr="005967EB">
        <w:tab/>
      </w:r>
      <w:r w:rsidR="00A34C60" w:rsidRPr="005967EB">
        <w:t>The data standards may provide for register notices under multiple provisions to be combined into a single register notice (see paragraph 130ZZ(2)(j) of the Act).</w:t>
      </w:r>
    </w:p>
    <w:p w14:paraId="645069F9" w14:textId="77777777" w:rsidR="008756B5" w:rsidRPr="005967EB" w:rsidRDefault="008756B5" w:rsidP="008756B5">
      <w:pPr>
        <w:pStyle w:val="subsection"/>
      </w:pPr>
      <w:r w:rsidRPr="005967EB">
        <w:tab/>
        <w:t>(2)</w:t>
      </w:r>
      <w:r w:rsidRPr="005967EB">
        <w:tab/>
        <w:t>For the purposes of paragraphs 130ZU(1)(b), (c) and (d) of the Act, if a foreign person gives a register notice under this section in relation to an action mentioned in subsection (1) of this section, subsections 130ZH(2) to (5) of the Act apply in relation to the action as if:</w:t>
      </w:r>
    </w:p>
    <w:p w14:paraId="7BFE6A91" w14:textId="77777777" w:rsidR="008756B5" w:rsidRPr="005967EB" w:rsidRDefault="008756B5" w:rsidP="008756B5">
      <w:pPr>
        <w:pStyle w:val="paragraph"/>
      </w:pPr>
      <w:r w:rsidRPr="005967EB">
        <w:tab/>
        <w:t>(a)</w:t>
      </w:r>
      <w:r w:rsidRPr="005967EB">
        <w:tab/>
        <w:t>the foreign person had given the register notice under subsection 130ZH(1) of the Act in relation to the action; and</w:t>
      </w:r>
    </w:p>
    <w:p w14:paraId="6A4B3934" w14:textId="77777777" w:rsidR="008756B5" w:rsidRPr="005967EB" w:rsidRDefault="008756B5" w:rsidP="008756B5">
      <w:pPr>
        <w:pStyle w:val="paragraph"/>
      </w:pPr>
      <w:r w:rsidRPr="005967EB">
        <w:tab/>
        <w:t>(b)</w:t>
      </w:r>
      <w:r w:rsidRPr="005967EB">
        <w:tab/>
        <w:t>if subparagraph (1)(c)(i) of this section applies to the action—the entity mentioned in that subparagraph were an Australian entity that is an agribusiness at all times while it wholly or partly carries on an Australian media business; and</w:t>
      </w:r>
    </w:p>
    <w:p w14:paraId="62DE7BE5" w14:textId="77777777" w:rsidR="008756B5" w:rsidRPr="005967EB" w:rsidRDefault="008756B5" w:rsidP="008756B5">
      <w:pPr>
        <w:pStyle w:val="paragraph"/>
      </w:pPr>
      <w:r w:rsidRPr="005967EB">
        <w:tab/>
        <w:t>(c)</w:t>
      </w:r>
      <w:r w:rsidRPr="005967EB">
        <w:tab/>
        <w:t>if subparagraph (1)(c)(ii) of this section applies to the action—the entity mentioned in that subparagraph need not be an agribusiness; and</w:t>
      </w:r>
    </w:p>
    <w:p w14:paraId="0C43F1A3" w14:textId="77777777" w:rsidR="008756B5" w:rsidRPr="005967EB" w:rsidRDefault="008756B5" w:rsidP="008756B5">
      <w:pPr>
        <w:pStyle w:val="paragraph"/>
      </w:pPr>
      <w:r w:rsidRPr="005967EB">
        <w:tab/>
        <w:t>(d)</w:t>
      </w:r>
      <w:r w:rsidRPr="005967EB">
        <w:tab/>
        <w:t>for the purposes of 130ZH(4) of the Act—paragraph 130ZH(1)(a) of the Act applies in relation to the action</w:t>
      </w:r>
      <w:r w:rsidR="00AD7B48" w:rsidRPr="005967EB">
        <w:t>.</w:t>
      </w:r>
    </w:p>
    <w:p w14:paraId="2599ADD8" w14:textId="77777777" w:rsidR="008756B5" w:rsidRPr="005967EB" w:rsidRDefault="008756B5" w:rsidP="008756B5">
      <w:pPr>
        <w:pStyle w:val="notetext"/>
      </w:pPr>
      <w:r w:rsidRPr="005967EB">
        <w:t>Note:</w:t>
      </w:r>
      <w:r w:rsidRPr="005967EB">
        <w:tab/>
        <w:t>If paragraph (1)(a) or (b) applies to the action, paragraph 40(2)(b) (acquiring interests in securities in entity) of the Act applies to the action</w:t>
      </w:r>
      <w:r w:rsidR="00AD7B48" w:rsidRPr="005967EB">
        <w:t>.</w:t>
      </w:r>
    </w:p>
    <w:p w14:paraId="13AEF0B8" w14:textId="77777777" w:rsidR="008756B5" w:rsidRPr="005967EB" w:rsidRDefault="008756B5" w:rsidP="008756B5">
      <w:pPr>
        <w:pStyle w:val="subsection"/>
      </w:pPr>
      <w:r w:rsidRPr="005967EB">
        <w:tab/>
        <w:t>(3)</w:t>
      </w:r>
      <w:r w:rsidRPr="005967EB">
        <w:tab/>
        <w:t>For the purposes of paragraph 130ZN(4)(g) of the Act, section 130ZN of the Act applies to a registered circumstance mentioned in item 1 or 2 of the table in subsection 130ZH(2) of the Act (as that table item applies because of subsection (2) of this section)</w:t>
      </w:r>
      <w:r w:rsidR="00AD7B48" w:rsidRPr="005967EB">
        <w:t>.</w:t>
      </w:r>
    </w:p>
    <w:p w14:paraId="39556DA1" w14:textId="77777777" w:rsidR="008756B5" w:rsidRPr="005967EB" w:rsidRDefault="00AD7B48" w:rsidP="008756B5">
      <w:pPr>
        <w:pStyle w:val="ActHead5"/>
      </w:pPr>
      <w:bookmarkStart w:id="25" w:name="_Toc135742418"/>
      <w:r w:rsidRPr="00B54B23">
        <w:rPr>
          <w:rStyle w:val="CharSectno"/>
        </w:rPr>
        <w:t>58D</w:t>
      </w:r>
      <w:r w:rsidR="008756B5" w:rsidRPr="005967EB">
        <w:t xml:space="preserve">  Requirement to give register notice—actions relating to businesses that would be significant actions or notifiable actions if not covered by exemption certificates</w:t>
      </w:r>
      <w:bookmarkEnd w:id="25"/>
    </w:p>
    <w:p w14:paraId="1D5B8877" w14:textId="77777777" w:rsidR="008756B5" w:rsidRPr="005967EB" w:rsidRDefault="008756B5" w:rsidP="008756B5">
      <w:pPr>
        <w:pStyle w:val="subsection"/>
      </w:pPr>
      <w:r w:rsidRPr="005967EB">
        <w:tab/>
        <w:t>(1)</w:t>
      </w:r>
      <w:r w:rsidRPr="005967EB">
        <w:tab/>
        <w:t>For the purposes of paragraph 130ZU(1)(a) of the Act, circumstances in which a foreign person must give a register notice to the Registrar are if the foreign person takes an action that:</w:t>
      </w:r>
    </w:p>
    <w:p w14:paraId="5B8F01F0" w14:textId="77777777" w:rsidR="008756B5" w:rsidRPr="005967EB" w:rsidRDefault="008756B5" w:rsidP="008756B5">
      <w:pPr>
        <w:pStyle w:val="paragraph"/>
      </w:pPr>
      <w:r w:rsidRPr="005967EB">
        <w:tab/>
        <w:t>(a)</w:t>
      </w:r>
      <w:r w:rsidRPr="005967EB">
        <w:tab/>
        <w:t>is an acquisition by the foreign person:</w:t>
      </w:r>
    </w:p>
    <w:p w14:paraId="184A43AF" w14:textId="77777777" w:rsidR="008756B5" w:rsidRPr="005967EB" w:rsidRDefault="008756B5" w:rsidP="008756B5">
      <w:pPr>
        <w:pStyle w:val="paragraphsub"/>
      </w:pPr>
      <w:r w:rsidRPr="005967EB">
        <w:tab/>
        <w:t>(i)</w:t>
      </w:r>
      <w:r w:rsidRPr="005967EB">
        <w:tab/>
        <w:t>of an interest in assets of an Australian business; or</w:t>
      </w:r>
    </w:p>
    <w:p w14:paraId="74134ED6" w14:textId="77777777" w:rsidR="008756B5" w:rsidRPr="005967EB" w:rsidRDefault="008756B5" w:rsidP="008756B5">
      <w:pPr>
        <w:pStyle w:val="paragraphsub"/>
      </w:pPr>
      <w:r w:rsidRPr="005967EB">
        <w:lastRenderedPageBreak/>
        <w:tab/>
        <w:t>(ii)</w:t>
      </w:r>
      <w:r w:rsidRPr="005967EB">
        <w:tab/>
        <w:t>of a direct interest in a business that wholly or partly carries on an Australian media business; or</w:t>
      </w:r>
    </w:p>
    <w:p w14:paraId="23C465C6" w14:textId="77777777" w:rsidR="008756B5" w:rsidRPr="005967EB" w:rsidRDefault="008756B5" w:rsidP="008756B5">
      <w:pPr>
        <w:pStyle w:val="paragraphsub"/>
      </w:pPr>
      <w:r w:rsidRPr="005967EB">
        <w:tab/>
        <w:t>(iii)</w:t>
      </w:r>
      <w:r w:rsidRPr="005967EB">
        <w:tab/>
        <w:t>(as a foreign government investor) of a direct interest in an Australian business; and</w:t>
      </w:r>
    </w:p>
    <w:p w14:paraId="4081247D" w14:textId="77777777" w:rsidR="008756B5" w:rsidRPr="005967EB" w:rsidRDefault="008756B5" w:rsidP="008756B5">
      <w:pPr>
        <w:pStyle w:val="paragraph"/>
      </w:pPr>
      <w:r w:rsidRPr="005967EB">
        <w:tab/>
        <w:t>(b)</w:t>
      </w:r>
      <w:r w:rsidRPr="005967EB">
        <w:tab/>
        <w:t>is neither a significant action nor a notifiable action only because of section 42 of this instrument (about exemption certificates)</w:t>
      </w:r>
      <w:r w:rsidR="00AD7B48" w:rsidRPr="005967EB">
        <w:t>.</w:t>
      </w:r>
    </w:p>
    <w:p w14:paraId="356194CB" w14:textId="77777777" w:rsidR="008756B5" w:rsidRPr="005967EB" w:rsidRDefault="008756B5" w:rsidP="008756B5">
      <w:pPr>
        <w:pStyle w:val="notetext"/>
      </w:pPr>
      <w:r w:rsidRPr="005967EB">
        <w:t>Note:</w:t>
      </w:r>
      <w:r w:rsidRPr="005967EB">
        <w:tab/>
      </w:r>
      <w:r w:rsidR="00A34C60" w:rsidRPr="005967EB">
        <w:t>The data standards may provide for register notices under multiple provisions to be combined into a single register notice (see paragraph 130ZZ(2)(j) of the Act).</w:t>
      </w:r>
    </w:p>
    <w:p w14:paraId="7B961139" w14:textId="77777777" w:rsidR="008756B5" w:rsidRPr="005967EB" w:rsidRDefault="008756B5" w:rsidP="008756B5">
      <w:pPr>
        <w:pStyle w:val="subsection"/>
      </w:pPr>
      <w:r w:rsidRPr="005967EB">
        <w:tab/>
        <w:t>(2)</w:t>
      </w:r>
      <w:r w:rsidRPr="005967EB">
        <w:tab/>
        <w:t>For the purposes of paragraphs 130ZU(1)(b), (c) and (d) of the Act, if a foreign person gives a register notice under this section in relation to an action mentioned in subsection (1) of this section, subsections 130ZI(2) to (5) of the Act apply in relation to the action as if:</w:t>
      </w:r>
    </w:p>
    <w:p w14:paraId="471FC3F9" w14:textId="77777777" w:rsidR="008756B5" w:rsidRPr="005967EB" w:rsidRDefault="008756B5" w:rsidP="008756B5">
      <w:pPr>
        <w:pStyle w:val="paragraph"/>
      </w:pPr>
      <w:r w:rsidRPr="005967EB">
        <w:tab/>
        <w:t>(a)</w:t>
      </w:r>
      <w:r w:rsidRPr="005967EB">
        <w:tab/>
        <w:t>the foreign person had given the register notice under subsection 130ZI(1) of the Act in relation to the action; and</w:t>
      </w:r>
    </w:p>
    <w:p w14:paraId="28AE027F" w14:textId="77777777" w:rsidR="008756B5" w:rsidRPr="005967EB" w:rsidRDefault="008756B5" w:rsidP="008756B5">
      <w:pPr>
        <w:pStyle w:val="paragraph"/>
      </w:pPr>
      <w:r w:rsidRPr="005967EB">
        <w:tab/>
        <w:t>(b)</w:t>
      </w:r>
      <w:r w:rsidRPr="005967EB">
        <w:tab/>
        <w:t>if subparagraph (1)(a)(ii) of this section applies to the action—the first</w:t>
      </w:r>
      <w:r w:rsidR="005967EB">
        <w:noBreakHyphen/>
      </w:r>
      <w:r w:rsidRPr="005967EB">
        <w:t>mentioned business in that subparagraph were an agribusiness at all times while it wholly or partly carries on an Australian media business; and</w:t>
      </w:r>
    </w:p>
    <w:p w14:paraId="36A29037" w14:textId="77777777" w:rsidR="008756B5" w:rsidRPr="005967EB" w:rsidRDefault="008756B5" w:rsidP="008756B5">
      <w:pPr>
        <w:pStyle w:val="paragraph"/>
      </w:pPr>
      <w:r w:rsidRPr="005967EB">
        <w:tab/>
        <w:t>(c)</w:t>
      </w:r>
      <w:r w:rsidRPr="005967EB">
        <w:tab/>
        <w:t>if subparagraph (1)(a)(iii) of this section applies to the action—the business mentioned in that subparagraph need not be an agribusiness; and</w:t>
      </w:r>
    </w:p>
    <w:p w14:paraId="15834BCD" w14:textId="77777777" w:rsidR="008756B5" w:rsidRPr="005967EB" w:rsidRDefault="008756B5" w:rsidP="008756B5">
      <w:pPr>
        <w:pStyle w:val="paragraph"/>
      </w:pPr>
      <w:r w:rsidRPr="005967EB">
        <w:tab/>
        <w:t>(d)</w:t>
      </w:r>
      <w:r w:rsidRPr="005967EB">
        <w:tab/>
        <w:t>for the purposes of 130ZI(4) of the Act—paragraph 130ZI(1)(a) of the Act applies in relation to the action</w:t>
      </w:r>
      <w:r w:rsidR="00AD7B48" w:rsidRPr="005967EB">
        <w:t>.</w:t>
      </w:r>
    </w:p>
    <w:p w14:paraId="68FFA554" w14:textId="77777777" w:rsidR="008756B5" w:rsidRPr="005967EB" w:rsidRDefault="008756B5" w:rsidP="008756B5">
      <w:pPr>
        <w:pStyle w:val="notetext"/>
      </w:pPr>
      <w:r w:rsidRPr="005967EB">
        <w:t>Note:</w:t>
      </w:r>
      <w:r w:rsidRPr="005967EB">
        <w:tab/>
        <w:t>If subparagraph (1)(a)(i) applies to the action, paragraph 41(2)(b) (acquiring interests in assets of Australian business) of the Act applies to the action</w:t>
      </w:r>
      <w:r w:rsidR="00AD7B48" w:rsidRPr="005967EB">
        <w:t>.</w:t>
      </w:r>
    </w:p>
    <w:p w14:paraId="327667A6" w14:textId="77777777" w:rsidR="008756B5" w:rsidRPr="005967EB" w:rsidRDefault="008756B5" w:rsidP="008756B5">
      <w:pPr>
        <w:pStyle w:val="subsection"/>
      </w:pPr>
      <w:r w:rsidRPr="005967EB">
        <w:tab/>
        <w:t>(3)</w:t>
      </w:r>
      <w:r w:rsidRPr="005967EB">
        <w:tab/>
        <w:t>For the purposes of paragraph 130ZN(4)(g) of the Act, section 130ZN of the Act applies to a registered circumstance mentioned in item 1 or 2 of the table in subsection 130ZI(2) of the Act (as that table item applies because of subsection (2) of this section)</w:t>
      </w:r>
      <w:r w:rsidR="00AD7B48" w:rsidRPr="005967EB">
        <w:t>.</w:t>
      </w:r>
    </w:p>
    <w:p w14:paraId="037326DF" w14:textId="77777777" w:rsidR="008756B5" w:rsidRPr="005967EB" w:rsidRDefault="00AD7B48" w:rsidP="008756B5">
      <w:pPr>
        <w:pStyle w:val="ActHead5"/>
      </w:pPr>
      <w:bookmarkStart w:id="26" w:name="_Toc135742419"/>
      <w:r w:rsidRPr="00B54B23">
        <w:rPr>
          <w:rStyle w:val="CharSectno"/>
        </w:rPr>
        <w:t>58E</w:t>
      </w:r>
      <w:r w:rsidR="008756B5" w:rsidRPr="005967EB">
        <w:t xml:space="preserve">  Requirement to give register notice—actions that would be notifiable national security actions if not covered by exemption certificates</w:t>
      </w:r>
      <w:bookmarkEnd w:id="26"/>
    </w:p>
    <w:p w14:paraId="73A6EB23" w14:textId="77777777" w:rsidR="008756B5" w:rsidRPr="005967EB" w:rsidRDefault="008756B5" w:rsidP="008756B5">
      <w:pPr>
        <w:pStyle w:val="subsection"/>
      </w:pPr>
      <w:r w:rsidRPr="005967EB">
        <w:tab/>
        <w:t>(1)</w:t>
      </w:r>
      <w:r w:rsidRPr="005967EB">
        <w:tab/>
        <w:t>For the purposes of paragraph 130ZU(1)(a) of the Act, circumstances in which a foreign person must give a register notice to the Registrar are if the foreign person takes an action that:</w:t>
      </w:r>
    </w:p>
    <w:p w14:paraId="65978B68" w14:textId="77777777" w:rsidR="008756B5" w:rsidRPr="005967EB" w:rsidRDefault="008756B5" w:rsidP="008756B5">
      <w:pPr>
        <w:pStyle w:val="paragraph"/>
      </w:pPr>
      <w:r w:rsidRPr="005967EB">
        <w:tab/>
        <w:t>(a)</w:t>
      </w:r>
      <w:r w:rsidRPr="005967EB">
        <w:tab/>
        <w:t>is an action to which paragraph 55B(1)(a), (b) or (c) of the Act applies; and</w:t>
      </w:r>
    </w:p>
    <w:p w14:paraId="01CC11FE" w14:textId="77777777" w:rsidR="008756B5" w:rsidRPr="005967EB" w:rsidRDefault="008756B5" w:rsidP="008756B5">
      <w:pPr>
        <w:pStyle w:val="paragraph"/>
      </w:pPr>
      <w:r w:rsidRPr="005967EB">
        <w:tab/>
        <w:t>(b)</w:t>
      </w:r>
      <w:r w:rsidRPr="005967EB">
        <w:tab/>
        <w:t>is not a notifiable national security action only because of subsection 43BA(4) of this instrument (about exemption certificates)</w:t>
      </w:r>
      <w:r w:rsidR="00AD7B48" w:rsidRPr="005967EB">
        <w:t>.</w:t>
      </w:r>
    </w:p>
    <w:p w14:paraId="0CDADE65" w14:textId="77777777" w:rsidR="008756B5" w:rsidRPr="005967EB" w:rsidRDefault="008756B5" w:rsidP="008756B5">
      <w:pPr>
        <w:pStyle w:val="notetext"/>
      </w:pPr>
      <w:r w:rsidRPr="005967EB">
        <w:t>Note:</w:t>
      </w:r>
      <w:r w:rsidRPr="005967EB">
        <w:tab/>
      </w:r>
      <w:r w:rsidR="00A34C60" w:rsidRPr="005967EB">
        <w:t>The data standards may provide for register notices under multiple provisions to be combined into a single register notice (see paragraph 130ZZ(2)(j) of the Act).</w:t>
      </w:r>
    </w:p>
    <w:p w14:paraId="4392871C" w14:textId="77777777" w:rsidR="008756B5" w:rsidRPr="005967EB" w:rsidRDefault="008756B5" w:rsidP="008756B5">
      <w:pPr>
        <w:pStyle w:val="subsection"/>
      </w:pPr>
      <w:r w:rsidRPr="005967EB">
        <w:tab/>
        <w:t>(2)</w:t>
      </w:r>
      <w:r w:rsidRPr="005967EB">
        <w:tab/>
        <w:t>For the purposes of paragraphs 130ZU(1)(b), (c) and (d) of the Act, if a foreign person gives a register notice under this section in relation to an action mentioned in subsection (1) of this section, subsections 130ZK(2) to (5) of the Act apply in relation to the action as if:</w:t>
      </w:r>
    </w:p>
    <w:p w14:paraId="67561367" w14:textId="77777777" w:rsidR="008756B5" w:rsidRPr="005967EB" w:rsidRDefault="008756B5" w:rsidP="008756B5">
      <w:pPr>
        <w:pStyle w:val="paragraph"/>
      </w:pPr>
      <w:r w:rsidRPr="005967EB">
        <w:tab/>
        <w:t>(a)</w:t>
      </w:r>
      <w:r w:rsidRPr="005967EB">
        <w:tab/>
        <w:t>the foreign person had given the register notice under subsection 130ZK(1) of the Act in relation to the action; and</w:t>
      </w:r>
    </w:p>
    <w:p w14:paraId="6C3349F4" w14:textId="77777777" w:rsidR="008756B5" w:rsidRPr="005967EB" w:rsidRDefault="008756B5" w:rsidP="008756B5">
      <w:pPr>
        <w:pStyle w:val="paragraph"/>
      </w:pPr>
      <w:r w:rsidRPr="005967EB">
        <w:tab/>
        <w:t>(b)</w:t>
      </w:r>
      <w:r w:rsidRPr="005967EB">
        <w:tab/>
        <w:t>subsection 130ZK(4) of the Act provided that the registrable event day for the register notice were the day on which the foreign person takes the action</w:t>
      </w:r>
      <w:r w:rsidR="00AD7B48" w:rsidRPr="005967EB">
        <w:t>.</w:t>
      </w:r>
    </w:p>
    <w:p w14:paraId="06A9194B" w14:textId="77777777" w:rsidR="008756B5" w:rsidRPr="005967EB" w:rsidRDefault="008756B5" w:rsidP="008756B5">
      <w:pPr>
        <w:pStyle w:val="subsection"/>
      </w:pPr>
      <w:r w:rsidRPr="005967EB">
        <w:lastRenderedPageBreak/>
        <w:tab/>
        <w:t>(3)</w:t>
      </w:r>
      <w:r w:rsidRPr="005967EB">
        <w:tab/>
        <w:t xml:space="preserve">For the purposes of paragraph 130ZN(4)(g) of the Act, section 130ZN of the Act applies to a registered circumstance mentioned in item 2 or 3 of the table in subsection 130ZK(2) of the Act (as </w:t>
      </w:r>
      <w:r w:rsidR="002138CC" w:rsidRPr="005967EB">
        <w:t>that</w:t>
      </w:r>
      <w:r w:rsidRPr="005967EB">
        <w:t xml:space="preserve"> table item appl</w:t>
      </w:r>
      <w:r w:rsidR="002138CC" w:rsidRPr="005967EB">
        <w:t>ies</w:t>
      </w:r>
      <w:r w:rsidRPr="005967EB">
        <w:t xml:space="preserve"> because of subsection (2) of this section)</w:t>
      </w:r>
      <w:r w:rsidR="00AD7B48" w:rsidRPr="005967EB">
        <w:t>.</w:t>
      </w:r>
    </w:p>
    <w:p w14:paraId="203C0B45" w14:textId="77777777" w:rsidR="008756B5" w:rsidRPr="005967EB" w:rsidRDefault="00AD7B48" w:rsidP="008756B5">
      <w:pPr>
        <w:pStyle w:val="ActHead5"/>
      </w:pPr>
      <w:bookmarkStart w:id="27" w:name="_Toc135742420"/>
      <w:r w:rsidRPr="00B54B23">
        <w:rPr>
          <w:rStyle w:val="CharSectno"/>
        </w:rPr>
        <w:t>58F</w:t>
      </w:r>
      <w:r w:rsidR="008756B5" w:rsidRPr="005967EB">
        <w:t xml:space="preserve">  Requirement to give register notice—actions relating to entities that would be reviewable national security actions if not covered by exemption certificates</w:t>
      </w:r>
      <w:bookmarkEnd w:id="27"/>
    </w:p>
    <w:p w14:paraId="3A89124F" w14:textId="77777777" w:rsidR="008756B5" w:rsidRPr="005967EB" w:rsidRDefault="008756B5" w:rsidP="008756B5">
      <w:pPr>
        <w:pStyle w:val="subsection"/>
      </w:pPr>
      <w:r w:rsidRPr="005967EB">
        <w:tab/>
        <w:t>(1)</w:t>
      </w:r>
      <w:r w:rsidRPr="005967EB">
        <w:tab/>
        <w:t>For the purposes of paragraph 130ZU(1)(a) of the Act, circumstances in which a foreign person must give a register notice to the Registrar are if the foreign person takes an action that:</w:t>
      </w:r>
    </w:p>
    <w:p w14:paraId="37903C0A" w14:textId="77777777" w:rsidR="008756B5" w:rsidRPr="005967EB" w:rsidRDefault="008756B5" w:rsidP="008756B5">
      <w:pPr>
        <w:pStyle w:val="paragraph"/>
      </w:pPr>
      <w:r w:rsidRPr="005967EB">
        <w:tab/>
        <w:t>(a)</w:t>
      </w:r>
      <w:r w:rsidRPr="005967EB">
        <w:tab/>
        <w:t>is an action to which paragraphs 55D(1)(a) to (c), or (2)(a) to (c), of the Act apply; and</w:t>
      </w:r>
    </w:p>
    <w:p w14:paraId="335C0F38" w14:textId="77777777" w:rsidR="008756B5" w:rsidRPr="005967EB" w:rsidRDefault="008756B5" w:rsidP="008756B5">
      <w:pPr>
        <w:pStyle w:val="paragraph"/>
      </w:pPr>
      <w:r w:rsidRPr="005967EB">
        <w:tab/>
        <w:t>(b)</w:t>
      </w:r>
      <w:r w:rsidRPr="005967EB">
        <w:tab/>
        <w:t>is not a reviewable national security action only because of subsection 43BB(4) of this instrument (about exemption certificates)</w:t>
      </w:r>
      <w:r w:rsidR="00AD7B48" w:rsidRPr="005967EB">
        <w:t>.</w:t>
      </w:r>
    </w:p>
    <w:p w14:paraId="6DC0AB09" w14:textId="77777777" w:rsidR="008756B5" w:rsidRPr="005967EB" w:rsidRDefault="008756B5" w:rsidP="008756B5">
      <w:pPr>
        <w:pStyle w:val="notetext"/>
      </w:pPr>
      <w:r w:rsidRPr="005967EB">
        <w:t>Note:</w:t>
      </w:r>
      <w:r w:rsidRPr="005967EB">
        <w:tab/>
      </w:r>
      <w:r w:rsidR="00A34C60" w:rsidRPr="005967EB">
        <w:t>The data standards may provide for register notices under multiple provisions to be combined into a single register notice (see paragraph 130ZZ(2)(j) of the Act).</w:t>
      </w:r>
    </w:p>
    <w:p w14:paraId="136E745B" w14:textId="77777777" w:rsidR="008756B5" w:rsidRPr="005967EB" w:rsidRDefault="008756B5" w:rsidP="008756B5">
      <w:pPr>
        <w:pStyle w:val="subsection"/>
      </w:pPr>
      <w:r w:rsidRPr="005967EB">
        <w:tab/>
        <w:t>(2)</w:t>
      </w:r>
      <w:r w:rsidRPr="005967EB">
        <w:tab/>
        <w:t>For the purposes of paragraphs 130ZU(1)(b), (c) and (d) of the Act, if a foreign person gives a register notice under this section in relation to an action mentioned in subsection (1) of this section, subsections 130ZL(2) to (5) of the Act apply in relation to the action as if:</w:t>
      </w:r>
    </w:p>
    <w:p w14:paraId="0F7272BF" w14:textId="77777777" w:rsidR="008756B5" w:rsidRPr="005967EB" w:rsidRDefault="008756B5" w:rsidP="008756B5">
      <w:pPr>
        <w:pStyle w:val="paragraph"/>
      </w:pPr>
      <w:r w:rsidRPr="005967EB">
        <w:tab/>
        <w:t>(a)</w:t>
      </w:r>
      <w:r w:rsidRPr="005967EB">
        <w:tab/>
        <w:t>the foreign person had given the register notice under subsection 130ZL(1) of the Act in relation to the action; and</w:t>
      </w:r>
    </w:p>
    <w:p w14:paraId="34A8B8E4" w14:textId="77777777" w:rsidR="008756B5" w:rsidRPr="005967EB" w:rsidRDefault="008756B5" w:rsidP="008756B5">
      <w:pPr>
        <w:pStyle w:val="paragraph"/>
      </w:pPr>
      <w:r w:rsidRPr="005967EB">
        <w:tab/>
        <w:t>(b)</w:t>
      </w:r>
      <w:r w:rsidRPr="005967EB">
        <w:tab/>
        <w:t>for the purposes of 130ZL(4) of the Act—paragraph 130ZL(1)(a) of the Act applies in relation to the action</w:t>
      </w:r>
      <w:r w:rsidR="00AD7B48" w:rsidRPr="005967EB">
        <w:t>.</w:t>
      </w:r>
    </w:p>
    <w:p w14:paraId="47C9E2D0" w14:textId="77777777" w:rsidR="008756B5" w:rsidRPr="005967EB" w:rsidRDefault="008756B5" w:rsidP="008756B5">
      <w:pPr>
        <w:pStyle w:val="subsection"/>
      </w:pPr>
      <w:r w:rsidRPr="005967EB">
        <w:tab/>
        <w:t>(3)</w:t>
      </w:r>
      <w:r w:rsidRPr="005967EB">
        <w:tab/>
        <w:t>For the purposes of paragraph 130ZN(4)(g) of the Act, section 130ZN of the Act applies to a registered circumstance mentioned in item 1 of the table in subsection 130ZL(2) of the Act (as that table item applies because of subsection (2) of this section)</w:t>
      </w:r>
      <w:r w:rsidR="00AD7B48" w:rsidRPr="005967EB">
        <w:t>.</w:t>
      </w:r>
    </w:p>
    <w:p w14:paraId="270F1331" w14:textId="77777777" w:rsidR="008756B5" w:rsidRPr="005967EB" w:rsidRDefault="00AD7B48" w:rsidP="008756B5">
      <w:pPr>
        <w:pStyle w:val="ActHead5"/>
      </w:pPr>
      <w:bookmarkStart w:id="28" w:name="_Toc135742421"/>
      <w:r w:rsidRPr="00B54B23">
        <w:rPr>
          <w:rStyle w:val="CharSectno"/>
        </w:rPr>
        <w:t>58G</w:t>
      </w:r>
      <w:r w:rsidR="008756B5" w:rsidRPr="005967EB">
        <w:t xml:space="preserve">  Requirement to give register notice—actions relating to businesses that would be reviewable national security actions if not covered by exemption certificates</w:t>
      </w:r>
      <w:bookmarkEnd w:id="28"/>
    </w:p>
    <w:p w14:paraId="085FF92C" w14:textId="77777777" w:rsidR="008756B5" w:rsidRPr="005967EB" w:rsidRDefault="008756B5" w:rsidP="008756B5">
      <w:pPr>
        <w:pStyle w:val="subsection"/>
      </w:pPr>
      <w:r w:rsidRPr="005967EB">
        <w:tab/>
        <w:t>(1)</w:t>
      </w:r>
      <w:r w:rsidRPr="005967EB">
        <w:tab/>
        <w:t>For the purposes of paragraph 130ZU(1)(a) of the Act, circumstances in which a foreign person must give a register notice to the Registrar are if the foreign person takes an action that:</w:t>
      </w:r>
    </w:p>
    <w:p w14:paraId="64E6D391" w14:textId="77777777" w:rsidR="008756B5" w:rsidRPr="005967EB" w:rsidRDefault="008756B5" w:rsidP="008756B5">
      <w:pPr>
        <w:pStyle w:val="paragraph"/>
      </w:pPr>
      <w:r w:rsidRPr="005967EB">
        <w:tab/>
        <w:t>(a)</w:t>
      </w:r>
      <w:r w:rsidRPr="005967EB">
        <w:tab/>
        <w:t>is an action to which paragraphs 55E(1)(a) to (c), or (2)(a) and (b), of the Act apply; and</w:t>
      </w:r>
    </w:p>
    <w:p w14:paraId="064F3F91" w14:textId="77777777" w:rsidR="008756B5" w:rsidRPr="005967EB" w:rsidRDefault="008756B5" w:rsidP="008756B5">
      <w:pPr>
        <w:pStyle w:val="paragraph"/>
      </w:pPr>
      <w:r w:rsidRPr="005967EB">
        <w:tab/>
        <w:t>(b)</w:t>
      </w:r>
      <w:r w:rsidRPr="005967EB">
        <w:tab/>
        <w:t>is not a reviewable national security action only because of subsection 43BB(4) of this instrument (about exemption certificates)</w:t>
      </w:r>
      <w:r w:rsidR="00AD7B48" w:rsidRPr="005967EB">
        <w:t>.</w:t>
      </w:r>
    </w:p>
    <w:p w14:paraId="294641A5" w14:textId="77777777" w:rsidR="008756B5" w:rsidRPr="005967EB" w:rsidRDefault="008756B5" w:rsidP="008756B5">
      <w:pPr>
        <w:pStyle w:val="notetext"/>
      </w:pPr>
      <w:r w:rsidRPr="005967EB">
        <w:t>Note:</w:t>
      </w:r>
      <w:r w:rsidRPr="005967EB">
        <w:tab/>
      </w:r>
      <w:r w:rsidR="00A34C60" w:rsidRPr="005967EB">
        <w:t>The data standards may provide for register notices under multiple provisions to be combined into a single register notice (see paragraph 130ZZ(2)(j) of the Act).</w:t>
      </w:r>
    </w:p>
    <w:p w14:paraId="0751119D" w14:textId="77777777" w:rsidR="008756B5" w:rsidRPr="005967EB" w:rsidRDefault="008756B5" w:rsidP="008756B5">
      <w:pPr>
        <w:pStyle w:val="subsection"/>
      </w:pPr>
      <w:r w:rsidRPr="005967EB">
        <w:tab/>
        <w:t>(2)</w:t>
      </w:r>
      <w:r w:rsidRPr="005967EB">
        <w:tab/>
        <w:t>For the purposes of paragraphs 130ZU(1)(b), (c) and (d) of the Act, if a foreign person gives a register notice under this section in relation to an action mentioned in subsection (1) of this section, subsections 130ZM(2) to (5) of the Act apply in relation to the action as if:</w:t>
      </w:r>
    </w:p>
    <w:p w14:paraId="4C1D7021" w14:textId="77777777" w:rsidR="008756B5" w:rsidRPr="005967EB" w:rsidRDefault="008756B5" w:rsidP="008756B5">
      <w:pPr>
        <w:pStyle w:val="paragraph"/>
      </w:pPr>
      <w:r w:rsidRPr="005967EB">
        <w:lastRenderedPageBreak/>
        <w:tab/>
        <w:t>(a)</w:t>
      </w:r>
      <w:r w:rsidRPr="005967EB">
        <w:tab/>
        <w:t>the foreign person had given the register notice under subsection 130ZM(1) of the Act in relation to the action; and</w:t>
      </w:r>
    </w:p>
    <w:p w14:paraId="20636F64" w14:textId="77777777" w:rsidR="008756B5" w:rsidRPr="005967EB" w:rsidRDefault="008756B5" w:rsidP="008756B5">
      <w:pPr>
        <w:pStyle w:val="paragraph"/>
      </w:pPr>
      <w:r w:rsidRPr="005967EB">
        <w:tab/>
        <w:t>(b)</w:t>
      </w:r>
      <w:r w:rsidRPr="005967EB">
        <w:tab/>
        <w:t>subsection 130ZM(4) of the Act provided that the registrable event day for the register notice were the day on which the foreign person takes the action</w:t>
      </w:r>
      <w:r w:rsidR="00AD7B48" w:rsidRPr="005967EB">
        <w:t>.</w:t>
      </w:r>
    </w:p>
    <w:p w14:paraId="21B51B28" w14:textId="77777777" w:rsidR="008756B5" w:rsidRPr="005967EB" w:rsidRDefault="008756B5" w:rsidP="008756B5">
      <w:pPr>
        <w:pStyle w:val="subsection"/>
      </w:pPr>
      <w:r w:rsidRPr="005967EB">
        <w:tab/>
        <w:t>(3)</w:t>
      </w:r>
      <w:r w:rsidRPr="005967EB">
        <w:tab/>
        <w:t xml:space="preserve">For the purposes of paragraph 130ZN(4)(g) of the Act, section 130ZN of the Act applies to a registered circumstance mentioned in item 1 or 2 of the table in subsection 130ZM(2) of the Act (as </w:t>
      </w:r>
      <w:r w:rsidR="00977EEE" w:rsidRPr="005967EB">
        <w:t>that</w:t>
      </w:r>
      <w:r w:rsidRPr="005967EB">
        <w:t xml:space="preserve"> table item appl</w:t>
      </w:r>
      <w:r w:rsidR="00977EEE" w:rsidRPr="005967EB">
        <w:t>ies</w:t>
      </w:r>
      <w:r w:rsidRPr="005967EB">
        <w:t xml:space="preserve"> because of subsection (2) of this section)</w:t>
      </w:r>
      <w:r w:rsidR="00AD7B48" w:rsidRPr="005967EB">
        <w:t>.</w:t>
      </w:r>
    </w:p>
    <w:p w14:paraId="3BDFA07A" w14:textId="77777777" w:rsidR="008756B5" w:rsidRPr="005967EB" w:rsidRDefault="008756B5" w:rsidP="008756B5">
      <w:pPr>
        <w:pStyle w:val="ActHead3"/>
      </w:pPr>
      <w:bookmarkStart w:id="29" w:name="_Toc135742422"/>
      <w:r w:rsidRPr="00B54B23">
        <w:rPr>
          <w:rStyle w:val="CharDivNo"/>
        </w:rPr>
        <w:t>Division 3</w:t>
      </w:r>
      <w:r w:rsidRPr="005967EB">
        <w:t>—</w:t>
      </w:r>
      <w:r w:rsidRPr="00B54B23">
        <w:rPr>
          <w:rStyle w:val="CharDivText"/>
        </w:rPr>
        <w:t>Relationship with other notification provisions</w:t>
      </w:r>
      <w:bookmarkEnd w:id="29"/>
    </w:p>
    <w:p w14:paraId="0D1C4516" w14:textId="77777777" w:rsidR="008756B5" w:rsidRPr="005967EB" w:rsidRDefault="00AD7B48" w:rsidP="008756B5">
      <w:pPr>
        <w:pStyle w:val="ActHead5"/>
      </w:pPr>
      <w:bookmarkStart w:id="30" w:name="_Toc135742423"/>
      <w:r w:rsidRPr="00B54B23">
        <w:rPr>
          <w:rStyle w:val="CharSectno"/>
        </w:rPr>
        <w:t>58H</w:t>
      </w:r>
      <w:r w:rsidR="008756B5" w:rsidRPr="005967EB">
        <w:t xml:space="preserve">  Some other notification requirements only apply for actions that do not require register notices</w:t>
      </w:r>
      <w:bookmarkEnd w:id="30"/>
    </w:p>
    <w:p w14:paraId="10930B87" w14:textId="77777777" w:rsidR="008756B5" w:rsidRPr="005967EB" w:rsidRDefault="008756B5" w:rsidP="008756B5">
      <w:pPr>
        <w:pStyle w:val="subsection"/>
      </w:pPr>
      <w:r w:rsidRPr="005967EB">
        <w:tab/>
        <w:t>(1)</w:t>
      </w:r>
      <w:r w:rsidRPr="005967EB">
        <w:tab/>
        <w:t xml:space="preserve">For the purposes of paragraph 98C(1)(c) of the Act, a requirement that must be met for </w:t>
      </w:r>
      <w:r w:rsidR="002B5BE0" w:rsidRPr="005967EB">
        <w:t>subsection 9</w:t>
      </w:r>
      <w:r w:rsidRPr="005967EB">
        <w:t xml:space="preserve">8C(2) of the Act to apply to a person in relation to a core </w:t>
      </w:r>
      <w:r w:rsidR="0063767D" w:rsidRPr="005967EB">
        <w:t>Part 3</w:t>
      </w:r>
      <w:r w:rsidRPr="005967EB">
        <w:t xml:space="preserve"> action is that the core </w:t>
      </w:r>
      <w:r w:rsidR="0063767D" w:rsidRPr="005967EB">
        <w:t>Part 3</w:t>
      </w:r>
      <w:r w:rsidRPr="005967EB">
        <w:t xml:space="preserve"> action is not an action for which the person must give the Registrar a register notice for the purposes of </w:t>
      </w:r>
      <w:r w:rsidR="002B5BE0" w:rsidRPr="005967EB">
        <w:t>Part 7</w:t>
      </w:r>
      <w:r w:rsidRPr="005967EB">
        <w:t>A of the Act</w:t>
      </w:r>
      <w:r w:rsidR="00AD7B48" w:rsidRPr="005967EB">
        <w:t>.</w:t>
      </w:r>
    </w:p>
    <w:p w14:paraId="742DE5CC" w14:textId="77777777" w:rsidR="008756B5" w:rsidRPr="005967EB" w:rsidRDefault="008756B5" w:rsidP="008756B5">
      <w:pPr>
        <w:pStyle w:val="subsection"/>
      </w:pPr>
      <w:r w:rsidRPr="005967EB">
        <w:tab/>
        <w:t>(2)</w:t>
      </w:r>
      <w:r w:rsidRPr="005967EB">
        <w:tab/>
        <w:t xml:space="preserve">For the purposes of paragraph 98D(1)(c) of the Act, a requirement that must be met for </w:t>
      </w:r>
      <w:r w:rsidR="002B5BE0" w:rsidRPr="005967EB">
        <w:t>subsection 9</w:t>
      </w:r>
      <w:r w:rsidRPr="005967EB">
        <w:t xml:space="preserve">8D(2) of the Act to apply to a person in relation to a core </w:t>
      </w:r>
      <w:r w:rsidR="0063767D" w:rsidRPr="005967EB">
        <w:t>Part 3</w:t>
      </w:r>
      <w:r w:rsidRPr="005967EB">
        <w:t xml:space="preserve"> action is that the core </w:t>
      </w:r>
      <w:r w:rsidR="0063767D" w:rsidRPr="005967EB">
        <w:t>Part 3</w:t>
      </w:r>
      <w:r w:rsidRPr="005967EB">
        <w:t xml:space="preserve"> action is not an action for which the person must give the Registrar a register notice for the purposes of </w:t>
      </w:r>
      <w:r w:rsidR="002B5BE0" w:rsidRPr="005967EB">
        <w:t>Part 7</w:t>
      </w:r>
      <w:r w:rsidRPr="005967EB">
        <w:t>A of the Act</w:t>
      </w:r>
      <w:r w:rsidR="00AD7B48" w:rsidRPr="005967EB">
        <w:t>.</w:t>
      </w:r>
    </w:p>
    <w:p w14:paraId="1FD5C650" w14:textId="77777777" w:rsidR="008756B5" w:rsidRPr="005967EB" w:rsidRDefault="008756B5" w:rsidP="008756B5">
      <w:pPr>
        <w:pStyle w:val="subsection"/>
      </w:pPr>
      <w:r w:rsidRPr="005967EB">
        <w:tab/>
        <w:t>(3)</w:t>
      </w:r>
      <w:r w:rsidRPr="005967EB">
        <w:tab/>
        <w:t xml:space="preserve">For the purposes of paragraph 98E(1)(e) of the Act, a requirement that must be met for </w:t>
      </w:r>
      <w:r w:rsidR="002B5BE0" w:rsidRPr="005967EB">
        <w:t>subsection 9</w:t>
      </w:r>
      <w:r w:rsidRPr="005967EB">
        <w:t xml:space="preserve">8E(2) of the Act to apply to a person in relation to a core </w:t>
      </w:r>
      <w:r w:rsidR="0063767D" w:rsidRPr="005967EB">
        <w:t>Part 3</w:t>
      </w:r>
      <w:r w:rsidRPr="005967EB">
        <w:t xml:space="preserve"> action is that the core </w:t>
      </w:r>
      <w:r w:rsidR="0063767D" w:rsidRPr="005967EB">
        <w:t>Part 3</w:t>
      </w:r>
      <w:r w:rsidRPr="005967EB">
        <w:t xml:space="preserve"> action is not an action for which the person must give the Registrar a register notice for the purposes of </w:t>
      </w:r>
      <w:r w:rsidR="002B5BE0" w:rsidRPr="005967EB">
        <w:t>Part 7</w:t>
      </w:r>
      <w:r w:rsidRPr="005967EB">
        <w:t>A of the Act</w:t>
      </w:r>
      <w:r w:rsidR="00AD7B48" w:rsidRPr="005967EB">
        <w:t>.</w:t>
      </w:r>
    </w:p>
    <w:p w14:paraId="6725A0A2" w14:textId="77777777" w:rsidR="008756B5" w:rsidRPr="005967EB" w:rsidRDefault="008756B5" w:rsidP="008756B5">
      <w:pPr>
        <w:pStyle w:val="notetext"/>
      </w:pPr>
      <w:r w:rsidRPr="005967EB">
        <w:t>Note:</w:t>
      </w:r>
      <w:r w:rsidRPr="005967EB">
        <w:tab/>
        <w:t>This subsection may not apply in transitional cases (see subsection 81(2))</w:t>
      </w:r>
      <w:r w:rsidR="00AD7B48" w:rsidRPr="005967EB">
        <w:t>.</w:t>
      </w:r>
    </w:p>
    <w:p w14:paraId="2990622F" w14:textId="77777777" w:rsidR="008756B5" w:rsidRPr="005967EB" w:rsidRDefault="008756B5" w:rsidP="008756B5">
      <w:pPr>
        <w:pStyle w:val="ActHead3"/>
      </w:pPr>
      <w:bookmarkStart w:id="31" w:name="_Toc135742424"/>
      <w:r w:rsidRPr="00B54B23">
        <w:rPr>
          <w:rStyle w:val="CharDivNo"/>
        </w:rPr>
        <w:t>Division 4</w:t>
      </w:r>
      <w:r w:rsidRPr="005967EB">
        <w:t>—</w:t>
      </w:r>
      <w:r w:rsidRPr="00B54B23">
        <w:rPr>
          <w:rStyle w:val="CharDivText"/>
        </w:rPr>
        <w:t>Exemptions</w:t>
      </w:r>
      <w:bookmarkEnd w:id="31"/>
    </w:p>
    <w:p w14:paraId="23137E2B" w14:textId="77777777" w:rsidR="008756B5" w:rsidRPr="005967EB" w:rsidRDefault="00AD7B48" w:rsidP="008756B5">
      <w:pPr>
        <w:pStyle w:val="ActHead5"/>
      </w:pPr>
      <w:bookmarkStart w:id="32" w:name="_Toc135742425"/>
      <w:r w:rsidRPr="00B54B23">
        <w:rPr>
          <w:rStyle w:val="CharSectno"/>
        </w:rPr>
        <w:t>58J</w:t>
      </w:r>
      <w:r w:rsidR="008756B5" w:rsidRPr="005967EB">
        <w:t xml:space="preserve">  Exemption for Register purposes for certain kinds of interests in Australian land</w:t>
      </w:r>
      <w:bookmarkEnd w:id="32"/>
    </w:p>
    <w:p w14:paraId="3DDBE9F9" w14:textId="77777777" w:rsidR="008756B5" w:rsidRPr="005967EB" w:rsidRDefault="008756B5" w:rsidP="008756B5">
      <w:pPr>
        <w:pStyle w:val="subsection"/>
      </w:pPr>
      <w:r w:rsidRPr="005967EB">
        <w:tab/>
      </w:r>
      <w:r w:rsidRPr="005967EB">
        <w:tab/>
        <w:t xml:space="preserve">For the purposes of paragraph 37(1)(b) of the Act, </w:t>
      </w:r>
      <w:r w:rsidR="002B5BE0" w:rsidRPr="005967EB">
        <w:t>Part 7</w:t>
      </w:r>
      <w:r w:rsidRPr="005967EB">
        <w:t>A of the Act does not apply in relation to a kind of interest in Australian land that is not one of the following:</w:t>
      </w:r>
    </w:p>
    <w:p w14:paraId="38ABD1B2" w14:textId="77777777" w:rsidR="008756B5" w:rsidRPr="005967EB" w:rsidRDefault="008756B5" w:rsidP="008756B5">
      <w:pPr>
        <w:pStyle w:val="paragraph"/>
      </w:pPr>
      <w:r w:rsidRPr="005967EB">
        <w:tab/>
        <w:t>(a)</w:t>
      </w:r>
      <w:r w:rsidRPr="005967EB">
        <w:tab/>
        <w:t>a freehold interest in Australian land;</w:t>
      </w:r>
    </w:p>
    <w:p w14:paraId="32986425" w14:textId="77777777" w:rsidR="008756B5" w:rsidRPr="005967EB" w:rsidRDefault="008756B5" w:rsidP="008756B5">
      <w:pPr>
        <w:pStyle w:val="paragraph"/>
      </w:pPr>
      <w:r w:rsidRPr="005967EB">
        <w:tab/>
        <w:t>(b)</w:t>
      </w:r>
      <w:r w:rsidRPr="005967EB">
        <w:tab/>
        <w:t>an interest as lessee in a lease giving rights to occupy agricultural land if the term of the lease (including any extension or renewal) is reasonably likely, at the time the interest is acquired, to exceed 5 years;</w:t>
      </w:r>
    </w:p>
    <w:p w14:paraId="1B46A80D" w14:textId="77777777" w:rsidR="008756B5" w:rsidRPr="005967EB" w:rsidRDefault="008756B5" w:rsidP="008756B5">
      <w:pPr>
        <w:pStyle w:val="paragraph"/>
      </w:pPr>
      <w:r w:rsidRPr="005967EB">
        <w:tab/>
        <w:t>(c)</w:t>
      </w:r>
      <w:r w:rsidRPr="005967EB">
        <w:tab/>
        <w:t>a legal interest as lessee in a lease giving rights to occupy:</w:t>
      </w:r>
    </w:p>
    <w:p w14:paraId="00A9AE94" w14:textId="77777777" w:rsidR="008756B5" w:rsidRPr="005967EB" w:rsidRDefault="008756B5" w:rsidP="008756B5">
      <w:pPr>
        <w:pStyle w:val="paragraphsub"/>
      </w:pPr>
      <w:r w:rsidRPr="005967EB">
        <w:tab/>
        <w:t>(i)</w:t>
      </w:r>
      <w:r w:rsidRPr="005967EB">
        <w:tab/>
        <w:t>commercial land; or</w:t>
      </w:r>
    </w:p>
    <w:p w14:paraId="089B0B8E" w14:textId="77777777" w:rsidR="008756B5" w:rsidRPr="005967EB" w:rsidRDefault="008756B5" w:rsidP="008756B5">
      <w:pPr>
        <w:pStyle w:val="paragraphsub"/>
      </w:pPr>
      <w:r w:rsidRPr="005967EB">
        <w:tab/>
        <w:t>(ii)</w:t>
      </w:r>
      <w:r w:rsidRPr="005967EB">
        <w:tab/>
        <w:t>residential land;</w:t>
      </w:r>
    </w:p>
    <w:p w14:paraId="3F170B5F" w14:textId="77777777" w:rsidR="008756B5" w:rsidRPr="005967EB" w:rsidRDefault="008756B5" w:rsidP="008756B5">
      <w:pPr>
        <w:pStyle w:val="paragraph"/>
      </w:pPr>
      <w:r w:rsidRPr="005967EB">
        <w:tab/>
      </w:r>
      <w:r w:rsidRPr="005967EB">
        <w:tab/>
        <w:t>if the term of the lease (including any extension or renewal) is reasonably likely, at the time the interest is acquired, to exceed 5 years;</w:t>
      </w:r>
    </w:p>
    <w:p w14:paraId="721C171C" w14:textId="77777777" w:rsidR="008756B5" w:rsidRPr="005967EB" w:rsidRDefault="008756B5" w:rsidP="008756B5">
      <w:pPr>
        <w:pStyle w:val="paragraph"/>
      </w:pPr>
      <w:r w:rsidRPr="005967EB">
        <w:tab/>
        <w:t>(d)</w:t>
      </w:r>
      <w:r w:rsidRPr="005967EB">
        <w:tab/>
        <w:t>an interest in a mining or production tenement;</w:t>
      </w:r>
    </w:p>
    <w:p w14:paraId="3AAF7C5E" w14:textId="77777777" w:rsidR="008756B5" w:rsidRPr="005967EB" w:rsidRDefault="008756B5" w:rsidP="008756B5">
      <w:pPr>
        <w:pStyle w:val="paragraph"/>
      </w:pPr>
      <w:r w:rsidRPr="005967EB">
        <w:lastRenderedPageBreak/>
        <w:tab/>
        <w:t>(e)</w:t>
      </w:r>
      <w:r w:rsidRPr="005967EB">
        <w:tab/>
        <w:t>an interest in a security in an entity that owns Australian land, being a security that entitles the holder to a right to occupy a dwelling of a kind known as a flat or home unit situated on the land;</w:t>
      </w:r>
    </w:p>
    <w:p w14:paraId="7942EAE7" w14:textId="77777777" w:rsidR="008756B5" w:rsidRPr="005967EB" w:rsidRDefault="008756B5" w:rsidP="008756B5">
      <w:pPr>
        <w:pStyle w:val="paragraph"/>
      </w:pPr>
      <w:r w:rsidRPr="005967EB">
        <w:tab/>
        <w:t>(f)</w:t>
      </w:r>
      <w:r w:rsidRPr="005967EB">
        <w:tab/>
        <w:t>an interest in a share in an Australian land corporation or agricultural land corporation;</w:t>
      </w:r>
    </w:p>
    <w:p w14:paraId="173A8812" w14:textId="77777777" w:rsidR="008756B5" w:rsidRPr="005967EB" w:rsidRDefault="008756B5" w:rsidP="008756B5">
      <w:pPr>
        <w:pStyle w:val="paragraph"/>
      </w:pPr>
      <w:r w:rsidRPr="005967EB">
        <w:tab/>
        <w:t>(g)</w:t>
      </w:r>
      <w:r w:rsidRPr="005967EB">
        <w:tab/>
        <w:t>an interest in a unit in an Australian land trust or agricultural land trust;</w:t>
      </w:r>
    </w:p>
    <w:p w14:paraId="3B82E099" w14:textId="77777777" w:rsidR="008756B5" w:rsidRPr="005967EB" w:rsidRDefault="008756B5" w:rsidP="008756B5">
      <w:pPr>
        <w:pStyle w:val="paragraph"/>
      </w:pPr>
      <w:r w:rsidRPr="005967EB">
        <w:tab/>
        <w:t>(h)</w:t>
      </w:r>
      <w:r w:rsidRPr="005967EB">
        <w:tab/>
        <w:t>if the trustee of an Australian land trust or agricultural land trust is a corporation—an interest in a share in that corporation</w:t>
      </w:r>
      <w:r w:rsidR="00AD7B48" w:rsidRPr="005967EB">
        <w:t>.</w:t>
      </w:r>
    </w:p>
    <w:p w14:paraId="26EF210E" w14:textId="77777777" w:rsidR="008756B5" w:rsidRPr="005967EB" w:rsidRDefault="008756B5" w:rsidP="008756B5">
      <w:pPr>
        <w:pStyle w:val="notetext"/>
      </w:pPr>
      <w:r w:rsidRPr="005967EB">
        <w:t>Note:</w:t>
      </w:r>
      <w:r w:rsidRPr="005967EB">
        <w:tab/>
      </w:r>
      <w:r w:rsidR="002B5BE0" w:rsidRPr="005967EB">
        <w:t>Part 7</w:t>
      </w:r>
      <w:r w:rsidRPr="005967EB">
        <w:t>A of the Act continues to apply to interests in exploration tenements, as these interests are not interests in Australian land</w:t>
      </w:r>
      <w:r w:rsidR="00AD7B48" w:rsidRPr="005967EB">
        <w:t>.</w:t>
      </w:r>
    </w:p>
    <w:p w14:paraId="3ED3D6E6" w14:textId="77777777" w:rsidR="008756B5" w:rsidRPr="005967EB" w:rsidRDefault="00AD7B48" w:rsidP="008756B5">
      <w:pPr>
        <w:pStyle w:val="ActHead5"/>
      </w:pPr>
      <w:bookmarkStart w:id="33" w:name="_Toc135742426"/>
      <w:r w:rsidRPr="00B54B23">
        <w:rPr>
          <w:rStyle w:val="CharSectno"/>
        </w:rPr>
        <w:t>58K</w:t>
      </w:r>
      <w:r w:rsidR="008756B5" w:rsidRPr="005967EB">
        <w:t xml:space="preserve">  Exemption for Register purposes for certain persons becoming foreign persons</w:t>
      </w:r>
      <w:bookmarkEnd w:id="33"/>
    </w:p>
    <w:p w14:paraId="5FE813F6" w14:textId="77777777" w:rsidR="00995ABE" w:rsidRPr="005967EB" w:rsidRDefault="00995ABE" w:rsidP="00995ABE">
      <w:pPr>
        <w:pStyle w:val="subsection"/>
      </w:pPr>
      <w:r w:rsidRPr="005967EB">
        <w:tab/>
      </w:r>
      <w:r w:rsidRPr="005967EB">
        <w:tab/>
        <w:t>For the purposes of subsection 37(1) of the Act, section 130ZC of the Act does not apply to a</w:t>
      </w:r>
      <w:r w:rsidR="00757BFB" w:rsidRPr="005967EB">
        <w:t>n interest a</w:t>
      </w:r>
      <w:r w:rsidRPr="005967EB">
        <w:t xml:space="preserve"> person holds when becoming a foreign person</w:t>
      </w:r>
      <w:r w:rsidR="00ED7C37" w:rsidRPr="005967EB">
        <w:t xml:space="preserve"> </w:t>
      </w:r>
      <w:r w:rsidRPr="005967EB">
        <w:t xml:space="preserve">if the person would not need to give a register notice to the Registrar for the purposes of </w:t>
      </w:r>
      <w:r w:rsidR="002B5BE0" w:rsidRPr="005967EB">
        <w:t>Part 7</w:t>
      </w:r>
      <w:r w:rsidRPr="005967EB">
        <w:t>A of the Act if the person were to acquire that interest while a foreign person</w:t>
      </w:r>
      <w:r w:rsidR="00AD7B48" w:rsidRPr="005967EB">
        <w:t>.</w:t>
      </w:r>
    </w:p>
    <w:p w14:paraId="6552BF79" w14:textId="77777777" w:rsidR="008756B5" w:rsidRPr="005967EB" w:rsidRDefault="008756B5" w:rsidP="008756B5">
      <w:pPr>
        <w:pStyle w:val="ActHead3"/>
      </w:pPr>
      <w:bookmarkStart w:id="34" w:name="_Toc135742427"/>
      <w:r w:rsidRPr="00B54B23">
        <w:rPr>
          <w:rStyle w:val="CharDivNo"/>
        </w:rPr>
        <w:t>Division 5</w:t>
      </w:r>
      <w:r w:rsidRPr="005967EB">
        <w:t>—</w:t>
      </w:r>
      <w:r w:rsidRPr="00B54B23">
        <w:rPr>
          <w:rStyle w:val="CharDivText"/>
        </w:rPr>
        <w:t>Other matters</w:t>
      </w:r>
      <w:bookmarkEnd w:id="34"/>
    </w:p>
    <w:p w14:paraId="32886F82" w14:textId="77777777" w:rsidR="008756B5" w:rsidRPr="005967EB" w:rsidRDefault="00AD7B48" w:rsidP="008756B5">
      <w:pPr>
        <w:pStyle w:val="ActHead5"/>
      </w:pPr>
      <w:bookmarkStart w:id="35" w:name="_Toc135742428"/>
      <w:r w:rsidRPr="00B54B23">
        <w:rPr>
          <w:rStyle w:val="CharSectno"/>
        </w:rPr>
        <w:t>58L</w:t>
      </w:r>
      <w:r w:rsidR="008756B5" w:rsidRPr="005967EB">
        <w:t xml:space="preserve">  Appointment of infringement officers for section 130ZV of the Act</w:t>
      </w:r>
      <w:bookmarkEnd w:id="35"/>
    </w:p>
    <w:p w14:paraId="372A8CF1" w14:textId="77777777" w:rsidR="008756B5" w:rsidRPr="005967EB" w:rsidRDefault="008756B5" w:rsidP="008756B5">
      <w:pPr>
        <w:pStyle w:val="subsection"/>
      </w:pPr>
      <w:r w:rsidRPr="005967EB">
        <w:tab/>
      </w:r>
      <w:r w:rsidRPr="005967EB">
        <w:tab/>
        <w:t>For the purposes of subsection 100(3A) of the Act, a kind of person who the Registrar may appoint under that subsection is a person who holds, or performs the duties of, an APS Level 6 position, or an equivalent or higher position, within the Australian Taxation Office</w:t>
      </w:r>
      <w:r w:rsidR="00AD7B48" w:rsidRPr="005967EB">
        <w:t>.</w:t>
      </w:r>
    </w:p>
    <w:p w14:paraId="766DD4A9" w14:textId="77777777" w:rsidR="008756B5" w:rsidRPr="005967EB" w:rsidRDefault="00AD7B48" w:rsidP="008756B5">
      <w:pPr>
        <w:pStyle w:val="ActHead5"/>
      </w:pPr>
      <w:bookmarkStart w:id="36" w:name="_Toc135742429"/>
      <w:r w:rsidRPr="00B54B23">
        <w:rPr>
          <w:rStyle w:val="CharSectno"/>
        </w:rPr>
        <w:t>58M</w:t>
      </w:r>
      <w:r w:rsidR="008756B5" w:rsidRPr="005967EB">
        <w:t xml:space="preserve">  Treasurer may extend time for giving register notices</w:t>
      </w:r>
      <w:bookmarkEnd w:id="36"/>
    </w:p>
    <w:p w14:paraId="6E8452CD" w14:textId="77777777" w:rsidR="008756B5" w:rsidRPr="005967EB" w:rsidRDefault="008756B5" w:rsidP="008756B5">
      <w:pPr>
        <w:pStyle w:val="subsection"/>
      </w:pPr>
      <w:r w:rsidRPr="005967EB">
        <w:tab/>
        <w:t>(1)</w:t>
      </w:r>
      <w:r w:rsidRPr="005967EB">
        <w:tab/>
        <w:t>For the purposes of section 130Z of the Act, the Treasurer may, by legislative instrument, make provision for and in relation to extending the period in paragraph 130W(2)(b) of the Act in which a register notice must be given to the Registrar</w:t>
      </w:r>
      <w:r w:rsidR="00AD7B48" w:rsidRPr="005967EB">
        <w:t>.</w:t>
      </w:r>
    </w:p>
    <w:p w14:paraId="6569629B" w14:textId="77777777" w:rsidR="008756B5" w:rsidRPr="005967EB" w:rsidRDefault="008756B5" w:rsidP="008756B5">
      <w:pPr>
        <w:pStyle w:val="subsection"/>
      </w:pPr>
      <w:r w:rsidRPr="005967EB">
        <w:tab/>
        <w:t>(2)</w:t>
      </w:r>
      <w:r w:rsidRPr="005967EB">
        <w:tab/>
        <w:t>Without limiting subsection (1), an instrument under that subsection may do any of the following:</w:t>
      </w:r>
    </w:p>
    <w:p w14:paraId="16F8AFF3" w14:textId="77777777" w:rsidR="008756B5" w:rsidRPr="005967EB" w:rsidRDefault="008756B5" w:rsidP="008756B5">
      <w:pPr>
        <w:pStyle w:val="paragraph"/>
      </w:pPr>
      <w:r w:rsidRPr="005967EB">
        <w:tab/>
        <w:t>(a)</w:t>
      </w:r>
      <w:r w:rsidRPr="005967EB">
        <w:tab/>
        <w:t>provide for extensions that apply only if conditions are met, and provide for the Treasurer to impose such conditions generally, or in particular cases;</w:t>
      </w:r>
    </w:p>
    <w:p w14:paraId="5D82B65F" w14:textId="77777777" w:rsidR="008756B5" w:rsidRPr="005967EB" w:rsidRDefault="008756B5" w:rsidP="008756B5">
      <w:pPr>
        <w:pStyle w:val="paragraph"/>
      </w:pPr>
      <w:r w:rsidRPr="005967EB">
        <w:tab/>
        <w:t>(b)</w:t>
      </w:r>
      <w:r w:rsidRPr="005967EB">
        <w:tab/>
        <w:t>provide for extensions that apply to specified persons;</w:t>
      </w:r>
    </w:p>
    <w:p w14:paraId="7A9B4415" w14:textId="77777777" w:rsidR="008756B5" w:rsidRPr="005967EB" w:rsidRDefault="008756B5" w:rsidP="008756B5">
      <w:pPr>
        <w:pStyle w:val="paragraph"/>
      </w:pPr>
      <w:r w:rsidRPr="005967EB">
        <w:tab/>
        <w:t>(c)</w:t>
      </w:r>
      <w:r w:rsidRPr="005967EB">
        <w:tab/>
        <w:t>confer a power to make a decision of an administrative character on the Treasurer</w:t>
      </w:r>
      <w:r w:rsidR="00AD7B48" w:rsidRPr="005967EB">
        <w:t>.</w:t>
      </w:r>
    </w:p>
    <w:p w14:paraId="318FD736" w14:textId="77777777" w:rsidR="008756B5" w:rsidRPr="005967EB" w:rsidRDefault="008756B5" w:rsidP="008756B5">
      <w:pPr>
        <w:pStyle w:val="ActHead7"/>
      </w:pPr>
      <w:bookmarkStart w:id="37" w:name="_Toc135742430"/>
      <w:bookmarkEnd w:id="11"/>
      <w:bookmarkEnd w:id="12"/>
      <w:bookmarkEnd w:id="13"/>
      <w:bookmarkEnd w:id="14"/>
      <w:bookmarkEnd w:id="15"/>
      <w:bookmarkEnd w:id="16"/>
      <w:bookmarkEnd w:id="17"/>
      <w:r w:rsidRPr="00B54B23">
        <w:rPr>
          <w:rStyle w:val="CharAmPartNo"/>
        </w:rPr>
        <w:t>Part 2</w:t>
      </w:r>
      <w:r w:rsidRPr="005967EB">
        <w:t>—</w:t>
      </w:r>
      <w:r w:rsidRPr="00B54B23">
        <w:rPr>
          <w:rStyle w:val="CharAmPartText"/>
        </w:rPr>
        <w:t>Replicating existing exemptions</w:t>
      </w:r>
      <w:bookmarkEnd w:id="37"/>
    </w:p>
    <w:p w14:paraId="763FF693" w14:textId="77777777" w:rsidR="008756B5" w:rsidRPr="005967EB" w:rsidRDefault="008756B5" w:rsidP="008756B5">
      <w:pPr>
        <w:pStyle w:val="ActHead9"/>
      </w:pPr>
      <w:bookmarkStart w:id="38" w:name="_Toc135742431"/>
      <w:r w:rsidRPr="005967EB">
        <w:t>Foreign Acquisitions and Takeovers Regulation 2015</w:t>
      </w:r>
      <w:bookmarkEnd w:id="38"/>
    </w:p>
    <w:p w14:paraId="0EE35BF1" w14:textId="77777777" w:rsidR="008756B5" w:rsidRPr="005967EB" w:rsidRDefault="008756B5" w:rsidP="008756B5">
      <w:pPr>
        <w:pStyle w:val="ItemHead"/>
      </w:pPr>
      <w:r w:rsidRPr="005967EB">
        <w:t>2  After section 22</w:t>
      </w:r>
    </w:p>
    <w:p w14:paraId="434AEDD0" w14:textId="77777777" w:rsidR="008756B5" w:rsidRPr="005967EB" w:rsidRDefault="008756B5" w:rsidP="008756B5">
      <w:pPr>
        <w:pStyle w:val="Item"/>
      </w:pPr>
      <w:r w:rsidRPr="005967EB">
        <w:t>Insert:</w:t>
      </w:r>
    </w:p>
    <w:p w14:paraId="2C92266C" w14:textId="77777777" w:rsidR="008756B5" w:rsidRPr="005967EB" w:rsidRDefault="008756B5" w:rsidP="008756B5">
      <w:pPr>
        <w:pStyle w:val="ActHead5"/>
      </w:pPr>
      <w:bookmarkStart w:id="39" w:name="_Toc135742432"/>
      <w:bookmarkStart w:id="40" w:name="inTOC2"/>
      <w:bookmarkStart w:id="41" w:name="inTOC3"/>
      <w:bookmarkStart w:id="42" w:name="inTOC5"/>
      <w:bookmarkStart w:id="43" w:name="inTOC9"/>
      <w:bookmarkStart w:id="44" w:name="inTOC11"/>
      <w:bookmarkStart w:id="45" w:name="inTOC13"/>
      <w:r w:rsidRPr="00B54B23">
        <w:rPr>
          <w:rStyle w:val="CharSectno"/>
        </w:rPr>
        <w:lastRenderedPageBreak/>
        <w:t>22A</w:t>
      </w:r>
      <w:r w:rsidRPr="005967EB">
        <w:t xml:space="preserve">  Rights that are not registrable water entitlements</w:t>
      </w:r>
      <w:bookmarkEnd w:id="39"/>
    </w:p>
    <w:p w14:paraId="7DD8B940" w14:textId="77777777" w:rsidR="008756B5" w:rsidRPr="005967EB" w:rsidRDefault="008756B5" w:rsidP="008756B5">
      <w:pPr>
        <w:pStyle w:val="subsection"/>
      </w:pPr>
      <w:r w:rsidRPr="005967EB">
        <w:tab/>
        <w:t>(1)</w:t>
      </w:r>
      <w:r w:rsidRPr="005967EB">
        <w:tab/>
        <w:t xml:space="preserve">For the purposes of paragraph 26A(2)(d) of the Act, a right held by an irrigation infrastructure operator (within the meaning of the </w:t>
      </w:r>
      <w:r w:rsidRPr="005967EB">
        <w:rPr>
          <w:i/>
        </w:rPr>
        <w:t>Water Act 2007</w:t>
      </w:r>
      <w:r w:rsidRPr="005967EB">
        <w:t xml:space="preserve">) is not a </w:t>
      </w:r>
      <w:r w:rsidRPr="005967EB">
        <w:rPr>
          <w:b/>
          <w:i/>
        </w:rPr>
        <w:t>registrable water entitlement</w:t>
      </w:r>
      <w:r w:rsidRPr="005967EB">
        <w:t xml:space="preserve"> to the extent that this right:</w:t>
      </w:r>
    </w:p>
    <w:p w14:paraId="7E47B90B" w14:textId="77777777" w:rsidR="008756B5" w:rsidRPr="005967EB" w:rsidRDefault="008756B5" w:rsidP="008756B5">
      <w:pPr>
        <w:pStyle w:val="paragraph"/>
      </w:pPr>
      <w:r w:rsidRPr="005967EB">
        <w:tab/>
        <w:t>(a)</w:t>
      </w:r>
      <w:r w:rsidRPr="005967EB">
        <w:tab/>
        <w:t xml:space="preserve">is a right to hold or take water from a water resource for another person who has an irrigation right (within the meaning of the </w:t>
      </w:r>
      <w:r w:rsidRPr="005967EB">
        <w:rPr>
          <w:i/>
        </w:rPr>
        <w:t>Water Act 2007</w:t>
      </w:r>
      <w:r w:rsidRPr="005967EB">
        <w:t>); or</w:t>
      </w:r>
    </w:p>
    <w:p w14:paraId="2092D14F" w14:textId="77777777" w:rsidR="008756B5" w:rsidRPr="005967EB" w:rsidRDefault="008756B5" w:rsidP="008756B5">
      <w:pPr>
        <w:pStyle w:val="paragraph"/>
      </w:pPr>
      <w:r w:rsidRPr="005967EB">
        <w:tab/>
        <w:t>(b)</w:t>
      </w:r>
      <w:r w:rsidRPr="005967EB">
        <w:tab/>
        <w:t>is a right to deliver water to water users, including water lost in transit from its source to end users due to seepage, leakage, evaporation or other similar effects</w:t>
      </w:r>
      <w:r w:rsidR="00AD7B48" w:rsidRPr="005967EB">
        <w:t>.</w:t>
      </w:r>
    </w:p>
    <w:p w14:paraId="3B749659" w14:textId="77777777" w:rsidR="008756B5" w:rsidRPr="005967EB" w:rsidRDefault="008756B5" w:rsidP="008756B5">
      <w:pPr>
        <w:pStyle w:val="subsection"/>
      </w:pPr>
      <w:r w:rsidRPr="005967EB">
        <w:tab/>
        <w:t>(2)</w:t>
      </w:r>
      <w:r w:rsidRPr="005967EB">
        <w:tab/>
        <w:t>Subsection (1) applies to rights that start to be held before, on or after the commencement of this section</w:t>
      </w:r>
      <w:r w:rsidR="00AD7B48" w:rsidRPr="005967EB">
        <w:t>.</w:t>
      </w:r>
    </w:p>
    <w:bookmarkEnd w:id="40"/>
    <w:bookmarkEnd w:id="41"/>
    <w:bookmarkEnd w:id="42"/>
    <w:bookmarkEnd w:id="43"/>
    <w:bookmarkEnd w:id="44"/>
    <w:bookmarkEnd w:id="45"/>
    <w:p w14:paraId="02B89539" w14:textId="77777777" w:rsidR="008756B5" w:rsidRPr="005967EB" w:rsidRDefault="008756B5" w:rsidP="008756B5">
      <w:pPr>
        <w:pStyle w:val="ItemHead"/>
      </w:pPr>
      <w:r w:rsidRPr="005967EB">
        <w:t>3  Subsection 27(1)</w:t>
      </w:r>
    </w:p>
    <w:p w14:paraId="7E416AB8" w14:textId="77777777" w:rsidR="008756B5" w:rsidRPr="005967EB" w:rsidRDefault="008756B5" w:rsidP="008756B5">
      <w:pPr>
        <w:pStyle w:val="Item"/>
      </w:pPr>
      <w:r w:rsidRPr="005967EB">
        <w:t xml:space="preserve">After “an interest in securities, assets, a trust, Australian land or a tenement”, insert “, or a registrable water interest, (the </w:t>
      </w:r>
      <w:r w:rsidRPr="005967EB">
        <w:rPr>
          <w:b/>
          <w:i/>
        </w:rPr>
        <w:t>interest</w:t>
      </w:r>
      <w:r w:rsidRPr="005967EB">
        <w:t>)”</w:t>
      </w:r>
      <w:r w:rsidR="00AD7B48" w:rsidRPr="005967EB">
        <w:t>.</w:t>
      </w:r>
    </w:p>
    <w:p w14:paraId="2EA80BD5" w14:textId="77777777" w:rsidR="002C2885" w:rsidRPr="005967EB" w:rsidRDefault="0063767D" w:rsidP="002C2885">
      <w:pPr>
        <w:pStyle w:val="ActHead7"/>
        <w:pageBreakBefore/>
      </w:pPr>
      <w:bookmarkStart w:id="46" w:name="_Toc135742433"/>
      <w:r w:rsidRPr="00B54B23">
        <w:rPr>
          <w:rStyle w:val="CharAmPartNo"/>
        </w:rPr>
        <w:lastRenderedPageBreak/>
        <w:t>Part 3</w:t>
      </w:r>
      <w:r w:rsidR="002C2885" w:rsidRPr="005967EB">
        <w:t>—</w:t>
      </w:r>
      <w:r w:rsidR="002C2885" w:rsidRPr="00B54B23">
        <w:rPr>
          <w:rStyle w:val="CharAmPartText"/>
        </w:rPr>
        <w:t>Application and transitional provisions</w:t>
      </w:r>
      <w:bookmarkEnd w:id="46"/>
    </w:p>
    <w:p w14:paraId="7FDAC603" w14:textId="77777777" w:rsidR="007D097D" w:rsidRPr="005967EB" w:rsidRDefault="007D097D" w:rsidP="007D097D">
      <w:pPr>
        <w:pStyle w:val="ActHead9"/>
      </w:pPr>
      <w:bookmarkStart w:id="47" w:name="_Toc135742434"/>
      <w:r w:rsidRPr="005967EB">
        <w:t>Foreign Acquisitions and Takeovers Regulation 2015</w:t>
      </w:r>
      <w:bookmarkEnd w:id="47"/>
    </w:p>
    <w:p w14:paraId="06EB66EA" w14:textId="77777777" w:rsidR="008756B5" w:rsidRPr="005967EB" w:rsidRDefault="008756B5" w:rsidP="008756B5">
      <w:pPr>
        <w:pStyle w:val="ItemHead"/>
      </w:pPr>
      <w:r w:rsidRPr="005967EB">
        <w:t xml:space="preserve">4  In the appropriate position in </w:t>
      </w:r>
      <w:r w:rsidR="002B5BE0" w:rsidRPr="005967EB">
        <w:t>Part 7</w:t>
      </w:r>
    </w:p>
    <w:p w14:paraId="0FD7E25F" w14:textId="77777777" w:rsidR="008756B5" w:rsidRPr="005967EB" w:rsidRDefault="008756B5" w:rsidP="008756B5">
      <w:pPr>
        <w:pStyle w:val="Item"/>
      </w:pPr>
      <w:r w:rsidRPr="005967EB">
        <w:t>Insert:</w:t>
      </w:r>
    </w:p>
    <w:p w14:paraId="6814154D" w14:textId="77777777" w:rsidR="008756B5" w:rsidRPr="005967EB" w:rsidRDefault="008756B5" w:rsidP="008756B5">
      <w:pPr>
        <w:pStyle w:val="ActHead5"/>
      </w:pPr>
      <w:bookmarkStart w:id="48" w:name="_Toc135742435"/>
      <w:r w:rsidRPr="00B54B23">
        <w:rPr>
          <w:rStyle w:val="CharSectno"/>
        </w:rPr>
        <w:t>81</w:t>
      </w:r>
      <w:r w:rsidRPr="005967EB">
        <w:t xml:space="preserve">  Application of the </w:t>
      </w:r>
      <w:r w:rsidR="00751C86" w:rsidRPr="005967EB">
        <w:rPr>
          <w:i/>
          <w:lang w:eastAsia="en-US"/>
        </w:rPr>
        <w:t xml:space="preserve">Foreign Acquisitions and Takeovers Amendment (Register of Foreign Ownership and Other Matters) </w:t>
      </w:r>
      <w:r w:rsidR="005967EB" w:rsidRPr="005967EB">
        <w:rPr>
          <w:i/>
          <w:lang w:eastAsia="en-US"/>
        </w:rPr>
        <w:t>Regulations 2</w:t>
      </w:r>
      <w:r w:rsidR="00751C86" w:rsidRPr="005967EB">
        <w:rPr>
          <w:i/>
          <w:lang w:eastAsia="en-US"/>
        </w:rPr>
        <w:t>023</w:t>
      </w:r>
      <w:bookmarkEnd w:id="48"/>
    </w:p>
    <w:p w14:paraId="65820D0D" w14:textId="77777777" w:rsidR="008756B5" w:rsidRPr="005967EB" w:rsidRDefault="008756B5" w:rsidP="008756B5">
      <w:pPr>
        <w:pStyle w:val="SubsectionHead"/>
      </w:pPr>
      <w:r w:rsidRPr="005967EB">
        <w:t>Application of extension of exemption for moneylending agreements</w:t>
      </w:r>
    </w:p>
    <w:p w14:paraId="493BA302" w14:textId="77777777" w:rsidR="008756B5" w:rsidRPr="005967EB" w:rsidRDefault="008756B5" w:rsidP="008756B5">
      <w:pPr>
        <w:pStyle w:val="subsection"/>
      </w:pPr>
      <w:r w:rsidRPr="005967EB">
        <w:tab/>
        <w:t>(1)</w:t>
      </w:r>
      <w:r w:rsidRPr="005967EB">
        <w:tab/>
        <w:t xml:space="preserve">The amendment of subsection 27(1) made by Part 2 of </w:t>
      </w:r>
      <w:r w:rsidR="002B5BE0" w:rsidRPr="005967EB">
        <w:t>Schedule 1</w:t>
      </w:r>
      <w:r w:rsidRPr="005967EB">
        <w:t xml:space="preserve"> to the </w:t>
      </w:r>
      <w:r w:rsidR="00751C86" w:rsidRPr="005967EB">
        <w:rPr>
          <w:i/>
          <w:lang w:eastAsia="en-US"/>
        </w:rPr>
        <w:t xml:space="preserve">Foreign Acquisitions and Takeovers Amendment (Register of Foreign Ownership and Other Matters) </w:t>
      </w:r>
      <w:r w:rsidR="005967EB" w:rsidRPr="005967EB">
        <w:rPr>
          <w:i/>
          <w:lang w:eastAsia="en-US"/>
        </w:rPr>
        <w:t>Regulations 2</w:t>
      </w:r>
      <w:r w:rsidR="00751C86" w:rsidRPr="005967EB">
        <w:rPr>
          <w:i/>
          <w:lang w:eastAsia="en-US"/>
        </w:rPr>
        <w:t>023</w:t>
      </w:r>
      <w:r w:rsidRPr="005967EB">
        <w:t xml:space="preserve"> applies on or after the commencement of that Part in relation to:</w:t>
      </w:r>
    </w:p>
    <w:p w14:paraId="0FE9642A" w14:textId="77777777" w:rsidR="008756B5" w:rsidRPr="005967EB" w:rsidRDefault="008756B5" w:rsidP="008756B5">
      <w:pPr>
        <w:pStyle w:val="paragraph"/>
      </w:pPr>
      <w:r w:rsidRPr="005967EB">
        <w:tab/>
        <w:t>(a)</w:t>
      </w:r>
      <w:r w:rsidRPr="005967EB">
        <w:tab/>
        <w:t>moneylending agreements entered into before, on or after that commencement; and</w:t>
      </w:r>
    </w:p>
    <w:p w14:paraId="07B449F9" w14:textId="77777777" w:rsidR="008756B5" w:rsidRPr="005967EB" w:rsidRDefault="008756B5" w:rsidP="008756B5">
      <w:pPr>
        <w:pStyle w:val="paragraph"/>
      </w:pPr>
      <w:r w:rsidRPr="005967EB">
        <w:tab/>
        <w:t>(b)</w:t>
      </w:r>
      <w:r w:rsidRPr="005967EB">
        <w:tab/>
        <w:t>registrable water interests that start to be held before, on or after that commencement</w:t>
      </w:r>
      <w:r w:rsidR="00AD7B48" w:rsidRPr="005967EB">
        <w:t>.</w:t>
      </w:r>
    </w:p>
    <w:p w14:paraId="2A86771A" w14:textId="77777777" w:rsidR="008756B5" w:rsidRPr="005967EB" w:rsidRDefault="008756B5" w:rsidP="008756B5">
      <w:pPr>
        <w:pStyle w:val="SubsectionHead"/>
      </w:pPr>
      <w:r w:rsidRPr="005967EB">
        <w:t xml:space="preserve">Transitional—continuing other notification requirements for situations relating to core </w:t>
      </w:r>
      <w:r w:rsidR="0063767D" w:rsidRPr="005967EB">
        <w:t>Part 3</w:t>
      </w:r>
      <w:r w:rsidRPr="005967EB">
        <w:t xml:space="preserve"> actions taken before the </w:t>
      </w:r>
      <w:r w:rsidR="00A421C9" w:rsidRPr="005967EB">
        <w:t>Register commencement</w:t>
      </w:r>
      <w:r w:rsidRPr="005967EB">
        <w:t xml:space="preserve"> day</w:t>
      </w:r>
    </w:p>
    <w:p w14:paraId="0393E948" w14:textId="77777777" w:rsidR="00867268" w:rsidRPr="005967EB" w:rsidRDefault="00867268" w:rsidP="00867268">
      <w:pPr>
        <w:pStyle w:val="subsection"/>
      </w:pPr>
      <w:r w:rsidRPr="005967EB">
        <w:tab/>
        <w:t>(2)</w:t>
      </w:r>
      <w:r w:rsidRPr="005967EB">
        <w:tab/>
        <w:t xml:space="preserve">Disregard subsection </w:t>
      </w:r>
      <w:r w:rsidR="00AD7B48" w:rsidRPr="005967EB">
        <w:t>58H</w:t>
      </w:r>
      <w:r w:rsidRPr="005967EB">
        <w:t xml:space="preserve">(3) for a person in relation to a core </w:t>
      </w:r>
      <w:r w:rsidR="0063767D" w:rsidRPr="005967EB">
        <w:t>Part 3</w:t>
      </w:r>
      <w:r w:rsidRPr="005967EB">
        <w:t xml:space="preserve"> action if:</w:t>
      </w:r>
    </w:p>
    <w:p w14:paraId="5C69118C" w14:textId="77777777" w:rsidR="00867268" w:rsidRPr="005967EB" w:rsidRDefault="00867268" w:rsidP="00867268">
      <w:pPr>
        <w:pStyle w:val="paragraph"/>
      </w:pPr>
      <w:r w:rsidRPr="005967EB">
        <w:tab/>
        <w:t>(a)</w:t>
      </w:r>
      <w:r w:rsidRPr="005967EB">
        <w:tab/>
      </w:r>
      <w:r w:rsidR="002B5BE0" w:rsidRPr="005967EB">
        <w:t>subsection 9</w:t>
      </w:r>
      <w:r w:rsidRPr="005967EB">
        <w:t xml:space="preserve">8C(2) or 98D(2) of the Act </w:t>
      </w:r>
      <w:r w:rsidR="005A1277" w:rsidRPr="005967EB">
        <w:t xml:space="preserve">(the </w:t>
      </w:r>
      <w:r w:rsidR="005A1277" w:rsidRPr="005967EB">
        <w:rPr>
          <w:b/>
          <w:i/>
        </w:rPr>
        <w:t xml:space="preserve">other notification </w:t>
      </w:r>
      <w:r w:rsidR="00A022E7" w:rsidRPr="005967EB">
        <w:rPr>
          <w:b/>
          <w:i/>
        </w:rPr>
        <w:t>provision</w:t>
      </w:r>
      <w:r w:rsidR="005A1277" w:rsidRPr="005967EB">
        <w:t xml:space="preserve">) </w:t>
      </w:r>
      <w:r w:rsidRPr="005967EB">
        <w:t>applie</w:t>
      </w:r>
      <w:r w:rsidR="00A022E7" w:rsidRPr="005967EB">
        <w:t>s</w:t>
      </w:r>
      <w:r w:rsidRPr="005967EB">
        <w:t xml:space="preserve"> to the person in relation to the core </w:t>
      </w:r>
      <w:r w:rsidR="0063767D" w:rsidRPr="005967EB">
        <w:t>Part 3</w:t>
      </w:r>
      <w:r w:rsidRPr="005967EB">
        <w:t xml:space="preserve"> action; and</w:t>
      </w:r>
    </w:p>
    <w:p w14:paraId="45D31002" w14:textId="77777777" w:rsidR="00867268" w:rsidRPr="005967EB" w:rsidRDefault="00867268" w:rsidP="00867268">
      <w:pPr>
        <w:pStyle w:val="paragraph"/>
      </w:pPr>
      <w:r w:rsidRPr="005967EB">
        <w:tab/>
        <w:t>(b)</w:t>
      </w:r>
      <w:r w:rsidRPr="005967EB">
        <w:tab/>
        <w:t>the person complie</w:t>
      </w:r>
      <w:r w:rsidR="00A022E7" w:rsidRPr="005967EB">
        <w:t>s</w:t>
      </w:r>
      <w:r w:rsidRPr="005967EB">
        <w:t xml:space="preserve"> with </w:t>
      </w:r>
      <w:r w:rsidR="005A1277" w:rsidRPr="005967EB">
        <w:t>the other notification</w:t>
      </w:r>
      <w:r w:rsidRPr="005967EB">
        <w:t xml:space="preserve"> </w:t>
      </w:r>
      <w:r w:rsidR="00A022E7" w:rsidRPr="005967EB">
        <w:t>provision</w:t>
      </w:r>
      <w:r w:rsidRPr="005967EB">
        <w:t xml:space="preserve"> in relation to the core </w:t>
      </w:r>
      <w:r w:rsidR="0063767D" w:rsidRPr="005967EB">
        <w:t>Part 3</w:t>
      </w:r>
      <w:r w:rsidRPr="005967EB">
        <w:t xml:space="preserve"> action</w:t>
      </w:r>
      <w:r w:rsidR="00AD7B48" w:rsidRPr="005967EB">
        <w:t>.</w:t>
      </w:r>
    </w:p>
    <w:p w14:paraId="4D1A08FF" w14:textId="77777777" w:rsidR="00F96640" w:rsidRPr="005967EB" w:rsidRDefault="005A1277" w:rsidP="005A1277">
      <w:pPr>
        <w:pStyle w:val="notetext"/>
      </w:pPr>
      <w:r w:rsidRPr="005967EB">
        <w:t>Note 1:</w:t>
      </w:r>
      <w:r w:rsidRPr="005967EB">
        <w:tab/>
      </w:r>
      <w:r w:rsidR="00F96640" w:rsidRPr="005967EB">
        <w:t>This is for the case where:</w:t>
      </w:r>
    </w:p>
    <w:p w14:paraId="7AD80A88" w14:textId="77777777" w:rsidR="00F96640" w:rsidRPr="005967EB" w:rsidRDefault="00F96640" w:rsidP="00F96640">
      <w:pPr>
        <w:pStyle w:val="notepara"/>
      </w:pPr>
      <w:r w:rsidRPr="005967EB">
        <w:t>(a)</w:t>
      </w:r>
      <w:r w:rsidRPr="005967EB">
        <w:tab/>
        <w:t xml:space="preserve">the person has already complied with subsection 98C(2) or 98D(2) of the Act in relation to the core </w:t>
      </w:r>
      <w:r w:rsidR="0063767D" w:rsidRPr="005967EB">
        <w:t>Part 3</w:t>
      </w:r>
      <w:r w:rsidRPr="005967EB">
        <w:t xml:space="preserve"> action by giving the Treasurer a notice under that subsection; and</w:t>
      </w:r>
    </w:p>
    <w:p w14:paraId="4D18F2D3" w14:textId="77777777" w:rsidR="00F96640" w:rsidRPr="005967EB" w:rsidRDefault="00F96640" w:rsidP="00F96640">
      <w:pPr>
        <w:pStyle w:val="notepara"/>
      </w:pPr>
      <w:r w:rsidRPr="005967EB">
        <w:t>(b)</w:t>
      </w:r>
      <w:r w:rsidRPr="005967EB">
        <w:tab/>
        <w:t xml:space="preserve">a situation mentioned in subsection 98E(2) of the Act then arises in relation to the core </w:t>
      </w:r>
      <w:r w:rsidR="0063767D" w:rsidRPr="005967EB">
        <w:t>Part 3</w:t>
      </w:r>
      <w:r w:rsidRPr="005967EB">
        <w:t xml:space="preserve"> action.</w:t>
      </w:r>
    </w:p>
    <w:p w14:paraId="51286663" w14:textId="77777777" w:rsidR="00F96640" w:rsidRPr="005967EB" w:rsidRDefault="00FA6E27" w:rsidP="00FA6E27">
      <w:pPr>
        <w:pStyle w:val="notetext"/>
      </w:pPr>
      <w:r w:rsidRPr="005967EB">
        <w:tab/>
      </w:r>
      <w:r w:rsidR="00F96640" w:rsidRPr="005967EB">
        <w:t xml:space="preserve">This subsection confirms the person needs to comply with subsection 98E(3) of the Act and notify the Treasurer </w:t>
      </w:r>
      <w:r w:rsidR="002F64A2" w:rsidRPr="005967EB">
        <w:t>about that situation.</w:t>
      </w:r>
    </w:p>
    <w:p w14:paraId="15ECC6B9" w14:textId="77777777" w:rsidR="005A1277" w:rsidRPr="005967EB" w:rsidRDefault="005A1277" w:rsidP="005A1277">
      <w:pPr>
        <w:pStyle w:val="notetext"/>
      </w:pPr>
      <w:r w:rsidRPr="005967EB">
        <w:t>Note 2:</w:t>
      </w:r>
      <w:r w:rsidRPr="005967EB">
        <w:tab/>
        <w:t xml:space="preserve">This is only relevant for </w:t>
      </w:r>
      <w:r w:rsidR="002F64A2" w:rsidRPr="005967EB">
        <w:t xml:space="preserve">some </w:t>
      </w:r>
      <w:r w:rsidRPr="005967EB">
        <w:t xml:space="preserve">core </w:t>
      </w:r>
      <w:r w:rsidR="0063767D" w:rsidRPr="005967EB">
        <w:t>Part 3</w:t>
      </w:r>
      <w:r w:rsidRPr="005967EB">
        <w:t xml:space="preserve"> actions taken before the Register commencement day, as subsection </w:t>
      </w:r>
      <w:r w:rsidR="00AD7B48" w:rsidRPr="005967EB">
        <w:t>58H</w:t>
      </w:r>
      <w:r w:rsidRPr="005967EB">
        <w:t xml:space="preserve">(1) or (2) prevents compliance with </w:t>
      </w:r>
      <w:r w:rsidR="002B5BE0" w:rsidRPr="005967EB">
        <w:t>subsection 9</w:t>
      </w:r>
      <w:r w:rsidRPr="005967EB">
        <w:t xml:space="preserve">8C(2) or 98D(2) of the Act for certain core </w:t>
      </w:r>
      <w:r w:rsidR="0063767D" w:rsidRPr="005967EB">
        <w:t>Part 3</w:t>
      </w:r>
      <w:r w:rsidRPr="005967EB">
        <w:t xml:space="preserve"> actions taken after that day</w:t>
      </w:r>
      <w:r w:rsidR="00AD7B48" w:rsidRPr="005967EB">
        <w:t>.</w:t>
      </w:r>
    </w:p>
    <w:p w14:paraId="37906A1E" w14:textId="77777777" w:rsidR="008756B5" w:rsidRPr="005967EB" w:rsidRDefault="008756B5" w:rsidP="008756B5">
      <w:pPr>
        <w:pStyle w:val="SubsectionHead"/>
      </w:pPr>
      <w:r w:rsidRPr="005967EB">
        <w:t xml:space="preserve">Transitional—register requirements for certain core </w:t>
      </w:r>
      <w:r w:rsidR="0063767D" w:rsidRPr="005967EB">
        <w:t>Part 3</w:t>
      </w:r>
      <w:r w:rsidRPr="005967EB">
        <w:t xml:space="preserve"> actions taken before the </w:t>
      </w:r>
      <w:r w:rsidR="00A421C9" w:rsidRPr="005967EB">
        <w:t>Register commencement</w:t>
      </w:r>
      <w:r w:rsidRPr="005967EB">
        <w:t xml:space="preserve"> day</w:t>
      </w:r>
    </w:p>
    <w:p w14:paraId="3A43E29B" w14:textId="77777777" w:rsidR="00AD0B15" w:rsidRPr="005967EB" w:rsidRDefault="00AD0B15" w:rsidP="00AD0B15">
      <w:pPr>
        <w:pStyle w:val="subsection"/>
      </w:pPr>
      <w:r w:rsidRPr="005967EB">
        <w:tab/>
        <w:t>(3)</w:t>
      </w:r>
      <w:r w:rsidRPr="005967EB">
        <w:tab/>
        <w:t>For the purposes of paragraph 130ZU(1)(a) of the Act, circumstances in which a foreign person must give a register notice to the Registrar are if:</w:t>
      </w:r>
    </w:p>
    <w:p w14:paraId="595928C0" w14:textId="77777777" w:rsidR="00A022E7" w:rsidRPr="005967EB" w:rsidRDefault="00AD0B15" w:rsidP="00AD0B15">
      <w:pPr>
        <w:pStyle w:val="paragraph"/>
      </w:pPr>
      <w:r w:rsidRPr="005967EB">
        <w:tab/>
        <w:t>(a)</w:t>
      </w:r>
      <w:r w:rsidRPr="005967EB">
        <w:tab/>
      </w:r>
      <w:r w:rsidR="002B5BE0" w:rsidRPr="005967EB">
        <w:t>subsection 9</w:t>
      </w:r>
      <w:r w:rsidRPr="005967EB">
        <w:t xml:space="preserve">8C(2) or 98D(2) of the </w:t>
      </w:r>
      <w:r w:rsidR="00A022E7" w:rsidRPr="005967EB">
        <w:t xml:space="preserve">Act (the </w:t>
      </w:r>
      <w:r w:rsidR="00A022E7" w:rsidRPr="005967EB">
        <w:rPr>
          <w:b/>
          <w:i/>
        </w:rPr>
        <w:t>other notification provision</w:t>
      </w:r>
      <w:r w:rsidR="00A022E7" w:rsidRPr="005967EB">
        <w:t xml:space="preserve">) </w:t>
      </w:r>
      <w:r w:rsidRPr="005967EB">
        <w:t xml:space="preserve">applies to the person in relation to a core </w:t>
      </w:r>
      <w:r w:rsidR="0063767D" w:rsidRPr="005967EB">
        <w:t>Part 3</w:t>
      </w:r>
      <w:r w:rsidRPr="005967EB">
        <w:t xml:space="preserve"> action </w:t>
      </w:r>
      <w:r w:rsidR="00A022E7" w:rsidRPr="005967EB">
        <w:t>that:</w:t>
      </w:r>
    </w:p>
    <w:p w14:paraId="4C7D42CA" w14:textId="77777777" w:rsidR="00AD0B15" w:rsidRPr="005967EB" w:rsidRDefault="00A022E7" w:rsidP="00A022E7">
      <w:pPr>
        <w:pStyle w:val="paragraphsub"/>
      </w:pPr>
      <w:r w:rsidRPr="005967EB">
        <w:tab/>
        <w:t>(i)</w:t>
      </w:r>
      <w:r w:rsidRPr="005967EB">
        <w:tab/>
        <w:t xml:space="preserve">is </w:t>
      </w:r>
      <w:r w:rsidR="00AD0B15" w:rsidRPr="005967EB">
        <w:t>taken before the Register commencement day; and</w:t>
      </w:r>
    </w:p>
    <w:p w14:paraId="7C780E94" w14:textId="77777777" w:rsidR="00A022E7" w:rsidRPr="005967EB" w:rsidRDefault="00A022E7" w:rsidP="00A022E7">
      <w:pPr>
        <w:pStyle w:val="paragraphsub"/>
      </w:pPr>
      <w:r w:rsidRPr="005967EB">
        <w:lastRenderedPageBreak/>
        <w:tab/>
        <w:t>(ii)</w:t>
      </w:r>
      <w:r w:rsidRPr="005967EB">
        <w:tab/>
        <w:t xml:space="preserve">is an action of a kind for which the person would need to give the Registrar a register notice for the purposes of </w:t>
      </w:r>
      <w:r w:rsidR="002B5BE0" w:rsidRPr="005967EB">
        <w:t>Part 7</w:t>
      </w:r>
      <w:r w:rsidRPr="005967EB">
        <w:t>A of the Act if the action were taken on or after the Register commencement day; and</w:t>
      </w:r>
    </w:p>
    <w:p w14:paraId="24D443BF" w14:textId="77777777" w:rsidR="00AD0B15" w:rsidRPr="005967EB" w:rsidRDefault="00AD0B15" w:rsidP="008C7A2A">
      <w:pPr>
        <w:pStyle w:val="paragraph"/>
      </w:pPr>
      <w:r w:rsidRPr="005967EB">
        <w:tab/>
        <w:t>(b)</w:t>
      </w:r>
      <w:r w:rsidRPr="005967EB">
        <w:tab/>
        <w:t>the 30</w:t>
      </w:r>
      <w:r w:rsidR="005967EB">
        <w:noBreakHyphen/>
      </w:r>
      <w:r w:rsidRPr="005967EB">
        <w:t xml:space="preserve">day period the person has to comply with </w:t>
      </w:r>
      <w:r w:rsidR="003F1F97" w:rsidRPr="005967EB">
        <w:t xml:space="preserve">the other notification provision </w:t>
      </w:r>
      <w:r w:rsidRPr="005967EB">
        <w:t xml:space="preserve">in relation to the core </w:t>
      </w:r>
      <w:r w:rsidR="0063767D" w:rsidRPr="005967EB">
        <w:t>Part 3</w:t>
      </w:r>
      <w:r w:rsidRPr="005967EB">
        <w:t xml:space="preserve"> action</w:t>
      </w:r>
      <w:r w:rsidR="008C7A2A" w:rsidRPr="005967EB">
        <w:t xml:space="preserve"> </w:t>
      </w:r>
      <w:r w:rsidRPr="005967EB">
        <w:t>starts before the Register commencement day; and</w:t>
      </w:r>
    </w:p>
    <w:p w14:paraId="7E37B326" w14:textId="77777777" w:rsidR="00AD0B15" w:rsidRPr="005967EB" w:rsidRDefault="00AD0B15" w:rsidP="00AD0B15">
      <w:pPr>
        <w:pStyle w:val="paragraph"/>
      </w:pPr>
      <w:r w:rsidRPr="005967EB">
        <w:tab/>
        <w:t>(c)</w:t>
      </w:r>
      <w:r w:rsidRPr="005967EB">
        <w:tab/>
        <w:t xml:space="preserve">the person fails to so comply </w:t>
      </w:r>
      <w:r w:rsidR="003F1F97" w:rsidRPr="005967EB">
        <w:t xml:space="preserve">with the other notification provision </w:t>
      </w:r>
      <w:r w:rsidRPr="005967EB">
        <w:t>before the Register commencement day</w:t>
      </w:r>
      <w:r w:rsidR="008C7A2A" w:rsidRPr="005967EB">
        <w:t>; and</w:t>
      </w:r>
    </w:p>
    <w:p w14:paraId="39E0C4EC" w14:textId="77777777" w:rsidR="00A022E7" w:rsidRPr="005967EB" w:rsidRDefault="008C7A2A" w:rsidP="008C7A2A">
      <w:pPr>
        <w:pStyle w:val="paragraph"/>
      </w:pPr>
      <w:bookmarkStart w:id="49" w:name="_Hlk135318458"/>
      <w:r w:rsidRPr="005967EB">
        <w:tab/>
        <w:t>(d)</w:t>
      </w:r>
      <w:r w:rsidRPr="005967EB">
        <w:tab/>
        <w:t>in the case where</w:t>
      </w:r>
      <w:r w:rsidR="00A022E7" w:rsidRPr="005967EB">
        <w:t>:</w:t>
      </w:r>
    </w:p>
    <w:p w14:paraId="7EEF5EFB" w14:textId="77777777" w:rsidR="00A022E7" w:rsidRPr="005967EB" w:rsidRDefault="00A022E7" w:rsidP="00A022E7">
      <w:pPr>
        <w:pStyle w:val="paragraphsub"/>
      </w:pPr>
      <w:r w:rsidRPr="005967EB">
        <w:tab/>
        <w:t>(i)</w:t>
      </w:r>
      <w:r w:rsidRPr="005967EB">
        <w:tab/>
      </w:r>
      <w:r w:rsidR="008C7A2A" w:rsidRPr="005967EB">
        <w:t xml:space="preserve">a situation mentioned in </w:t>
      </w:r>
      <w:r w:rsidR="002B5BE0" w:rsidRPr="005967EB">
        <w:t>subsection 9</w:t>
      </w:r>
      <w:r w:rsidR="008C7A2A" w:rsidRPr="005967EB">
        <w:t xml:space="preserve">8E(2) of the Act arises in relation to the core </w:t>
      </w:r>
      <w:r w:rsidR="0063767D" w:rsidRPr="005967EB">
        <w:t>Part 3</w:t>
      </w:r>
      <w:r w:rsidR="008C7A2A" w:rsidRPr="005967EB">
        <w:t xml:space="preserve"> action</w:t>
      </w:r>
      <w:r w:rsidRPr="005967EB">
        <w:t>; and</w:t>
      </w:r>
    </w:p>
    <w:p w14:paraId="401BCDCD" w14:textId="77777777" w:rsidR="00A022E7" w:rsidRPr="005967EB" w:rsidRDefault="00A022E7" w:rsidP="00A022E7">
      <w:pPr>
        <w:pStyle w:val="paragraphsub"/>
      </w:pPr>
      <w:r w:rsidRPr="005967EB">
        <w:tab/>
        <w:t>(ii)</w:t>
      </w:r>
      <w:r w:rsidRPr="005967EB">
        <w:tab/>
        <w:t>that situation</w:t>
      </w:r>
      <w:r w:rsidR="0069020C" w:rsidRPr="005967EB">
        <w:t xml:space="preserve"> results in the person no longer holding </w:t>
      </w:r>
      <w:r w:rsidR="00D86444" w:rsidRPr="005967EB">
        <w:t>any part of</w:t>
      </w:r>
      <w:r w:rsidRPr="005967EB">
        <w:t xml:space="preserve"> an interest</w:t>
      </w:r>
      <w:r w:rsidR="00D86444" w:rsidRPr="005967EB">
        <w:t xml:space="preserve"> that relates to the core </w:t>
      </w:r>
      <w:r w:rsidR="0063767D" w:rsidRPr="005967EB">
        <w:t>Part 3</w:t>
      </w:r>
      <w:r w:rsidR="00D86444" w:rsidRPr="005967EB">
        <w:t xml:space="preserve"> action</w:t>
      </w:r>
      <w:r w:rsidRPr="005967EB">
        <w:t>;</w:t>
      </w:r>
      <w:r w:rsidR="003F1F97" w:rsidRPr="005967EB">
        <w:t xml:space="preserve"> and</w:t>
      </w:r>
    </w:p>
    <w:p w14:paraId="05B30CD0" w14:textId="77777777" w:rsidR="003F1F97" w:rsidRPr="005967EB" w:rsidRDefault="003F1F97" w:rsidP="00A022E7">
      <w:pPr>
        <w:pStyle w:val="paragraphsub"/>
      </w:pPr>
      <w:r w:rsidRPr="005967EB">
        <w:tab/>
        <w:t>(iii)</w:t>
      </w:r>
      <w:r w:rsidRPr="005967EB">
        <w:tab/>
      </w:r>
      <w:r w:rsidR="002B5BE0" w:rsidRPr="005967EB">
        <w:t>subsection 9</w:t>
      </w:r>
      <w:r w:rsidRPr="005967EB">
        <w:t>8E(3) of the Act applies to the person in relation to that situation;</w:t>
      </w:r>
    </w:p>
    <w:p w14:paraId="40FF4B26" w14:textId="77777777" w:rsidR="008C7A2A" w:rsidRPr="005967EB" w:rsidRDefault="00A022E7" w:rsidP="008C7A2A">
      <w:pPr>
        <w:pStyle w:val="paragraph"/>
      </w:pPr>
      <w:r w:rsidRPr="005967EB">
        <w:tab/>
      </w:r>
      <w:r w:rsidRPr="005967EB">
        <w:tab/>
      </w:r>
      <w:r w:rsidR="002C2214" w:rsidRPr="005967EB">
        <w:t xml:space="preserve">the person fails to comply with </w:t>
      </w:r>
      <w:r w:rsidR="002B5BE0" w:rsidRPr="005967EB">
        <w:t>subsection 9</w:t>
      </w:r>
      <w:r w:rsidR="002C2214" w:rsidRPr="005967EB">
        <w:t>8E(3) of the Act in relation to that situation before the Register commencement day</w:t>
      </w:r>
      <w:r w:rsidR="00AD7B48" w:rsidRPr="005967EB">
        <w:t>.</w:t>
      </w:r>
    </w:p>
    <w:bookmarkEnd w:id="49"/>
    <w:p w14:paraId="1CF2C481" w14:textId="77777777" w:rsidR="00880906" w:rsidRPr="005967EB" w:rsidRDefault="003962D6" w:rsidP="003962D6">
      <w:pPr>
        <w:pStyle w:val="notetext"/>
      </w:pPr>
      <w:r w:rsidRPr="005967EB">
        <w:t>Note 1:</w:t>
      </w:r>
      <w:r w:rsidRPr="005967EB">
        <w:tab/>
        <w:t>Paragraph (d) means the register notice does not need to be given under this subsection if a related situation arises that</w:t>
      </w:r>
      <w:r w:rsidR="00880906" w:rsidRPr="005967EB">
        <w:t>:</w:t>
      </w:r>
    </w:p>
    <w:p w14:paraId="28693838" w14:textId="77777777" w:rsidR="00880906" w:rsidRPr="005967EB" w:rsidRDefault="00880906" w:rsidP="00880906">
      <w:pPr>
        <w:pStyle w:val="notepara"/>
      </w:pPr>
      <w:r w:rsidRPr="005967EB">
        <w:t>(a)</w:t>
      </w:r>
      <w:r w:rsidRPr="005967EB">
        <w:tab/>
      </w:r>
      <w:r w:rsidR="003D45D4" w:rsidRPr="005967EB">
        <w:t>results in the person no longer holding</w:t>
      </w:r>
      <w:r w:rsidR="003962D6" w:rsidRPr="005967EB">
        <w:t xml:space="preserve"> any part of an interest</w:t>
      </w:r>
      <w:r w:rsidRPr="005967EB">
        <w:t>;</w:t>
      </w:r>
      <w:r w:rsidR="003962D6" w:rsidRPr="005967EB">
        <w:t xml:space="preserve"> and</w:t>
      </w:r>
    </w:p>
    <w:p w14:paraId="679E8E63" w14:textId="77777777" w:rsidR="00880906" w:rsidRPr="005967EB" w:rsidRDefault="00880906" w:rsidP="00880906">
      <w:pPr>
        <w:pStyle w:val="notepara"/>
      </w:pPr>
      <w:r w:rsidRPr="005967EB">
        <w:t>(b)</w:t>
      </w:r>
      <w:r w:rsidRPr="005967EB">
        <w:tab/>
      </w:r>
      <w:r w:rsidR="003962D6" w:rsidRPr="005967EB">
        <w:t>has been notified to the Treasurer in compliance with subsection 98E(3) of the Act.</w:t>
      </w:r>
    </w:p>
    <w:p w14:paraId="48C96832" w14:textId="77777777" w:rsidR="003962D6" w:rsidRPr="005967EB" w:rsidRDefault="00FA6E27" w:rsidP="00FA6E27">
      <w:pPr>
        <w:pStyle w:val="notetext"/>
      </w:pPr>
      <w:r w:rsidRPr="005967EB">
        <w:tab/>
      </w:r>
      <w:r w:rsidR="00880906" w:rsidRPr="005967EB">
        <w:t>If that happens, t</w:t>
      </w:r>
      <w:r w:rsidR="003962D6" w:rsidRPr="005967EB">
        <w:t xml:space="preserve">he obligation to comply with subsection 98C(2) or 98D(2) </w:t>
      </w:r>
      <w:r w:rsidRPr="005967EB">
        <w:t xml:space="preserve">of the Act </w:t>
      </w:r>
      <w:r w:rsidR="003962D6" w:rsidRPr="005967EB">
        <w:t>in relation to the core Part 3 action continues on and after the Register commencement day.</w:t>
      </w:r>
    </w:p>
    <w:p w14:paraId="71AF2625" w14:textId="77777777" w:rsidR="00866C7C" w:rsidRPr="005967EB" w:rsidRDefault="00866C7C" w:rsidP="004B4020">
      <w:pPr>
        <w:pStyle w:val="notetext"/>
      </w:pPr>
      <w:r w:rsidRPr="005967EB">
        <w:t>Note 2:</w:t>
      </w:r>
      <w:r w:rsidRPr="005967EB">
        <w:tab/>
        <w:t xml:space="preserve">If a register notice must be given under this subsection, the obligation to comply with the other notification provision (or to comply with </w:t>
      </w:r>
      <w:r w:rsidR="002B5BE0" w:rsidRPr="005967EB">
        <w:t>subsection 9</w:t>
      </w:r>
      <w:r w:rsidRPr="005967EB">
        <w:t xml:space="preserve">8E(3) of the Act for a related situation) ceases because that other notification provision ceases to apply (see section </w:t>
      </w:r>
      <w:r w:rsidR="00AD7B48" w:rsidRPr="005967EB">
        <w:t>58H</w:t>
      </w:r>
      <w:r w:rsidRPr="005967EB">
        <w:t xml:space="preserve"> of this instrument)</w:t>
      </w:r>
      <w:r w:rsidR="00AD7B48" w:rsidRPr="005967EB">
        <w:t>.</w:t>
      </w:r>
    </w:p>
    <w:p w14:paraId="67574D6E" w14:textId="77777777" w:rsidR="00AD0B15" w:rsidRPr="005967EB" w:rsidRDefault="00AD0B15" w:rsidP="00AD0B15">
      <w:pPr>
        <w:pStyle w:val="subsection"/>
      </w:pPr>
      <w:bookmarkStart w:id="50" w:name="_Hlk135318737"/>
      <w:r w:rsidRPr="005967EB">
        <w:tab/>
        <w:t>(4)</w:t>
      </w:r>
      <w:r w:rsidRPr="005967EB">
        <w:tab/>
        <w:t xml:space="preserve">For the purposes of paragraphs 130ZU(1)(c) and (d) of the Act, if a foreign person gives a register notice under subsection (3) of this section </w:t>
      </w:r>
      <w:r w:rsidR="0092632E" w:rsidRPr="005967EB">
        <w:t xml:space="preserve">on a particular day (the </w:t>
      </w:r>
      <w:r w:rsidR="0092632E" w:rsidRPr="005967EB">
        <w:rPr>
          <w:b/>
          <w:i/>
        </w:rPr>
        <w:t>register notification day</w:t>
      </w:r>
      <w:r w:rsidR="0092632E" w:rsidRPr="005967EB">
        <w:t xml:space="preserve">) </w:t>
      </w:r>
      <w:r w:rsidRPr="005967EB">
        <w:t xml:space="preserve">in relation to a core </w:t>
      </w:r>
      <w:r w:rsidR="0063767D" w:rsidRPr="005967EB">
        <w:t>Part 3</w:t>
      </w:r>
      <w:r w:rsidRPr="005967EB">
        <w:t xml:space="preserve"> action, then:</w:t>
      </w:r>
    </w:p>
    <w:p w14:paraId="1B4255B2" w14:textId="77777777" w:rsidR="00AD0B15" w:rsidRPr="005967EB" w:rsidRDefault="00AD0B15" w:rsidP="00AD0B15">
      <w:pPr>
        <w:pStyle w:val="paragraph"/>
      </w:pPr>
      <w:r w:rsidRPr="005967EB">
        <w:tab/>
        <w:t>(a)</w:t>
      </w:r>
      <w:r w:rsidRPr="005967EB">
        <w:tab/>
        <w:t xml:space="preserve">a registered circumstance under this subsection exists in relation to the foreign person that is the same as the registered circumstance that would notionally exist if the person were to take the core </w:t>
      </w:r>
      <w:r w:rsidR="0063767D" w:rsidRPr="005967EB">
        <w:t>Part 3</w:t>
      </w:r>
      <w:r w:rsidRPr="005967EB">
        <w:t xml:space="preserve"> action:</w:t>
      </w:r>
    </w:p>
    <w:p w14:paraId="5ADE543F" w14:textId="77777777" w:rsidR="00AD0B15" w:rsidRPr="005967EB" w:rsidRDefault="00AD0B15" w:rsidP="00AD0B15">
      <w:pPr>
        <w:pStyle w:val="paragraphsub"/>
      </w:pPr>
      <w:r w:rsidRPr="005967EB">
        <w:tab/>
        <w:t>(i)</w:t>
      </w:r>
      <w:r w:rsidRPr="005967EB">
        <w:tab/>
        <w:t xml:space="preserve">in the same way; </w:t>
      </w:r>
      <w:r w:rsidR="005E6AAD" w:rsidRPr="005967EB">
        <w:t>and</w:t>
      </w:r>
    </w:p>
    <w:p w14:paraId="1E52D2C6" w14:textId="77777777" w:rsidR="00AD0B15" w:rsidRPr="005967EB" w:rsidRDefault="00AD0B15" w:rsidP="00AD0B15">
      <w:pPr>
        <w:pStyle w:val="paragraphsub"/>
      </w:pPr>
      <w:r w:rsidRPr="005967EB">
        <w:tab/>
        <w:t>(ii)</w:t>
      </w:r>
      <w:r w:rsidRPr="005967EB">
        <w:tab/>
        <w:t>on the Register commencement day; and</w:t>
      </w:r>
    </w:p>
    <w:p w14:paraId="6A6CC042" w14:textId="77777777" w:rsidR="00D86444" w:rsidRPr="005967EB" w:rsidRDefault="00D86444" w:rsidP="00D86444">
      <w:pPr>
        <w:pStyle w:val="paragraph"/>
      </w:pPr>
      <w:bookmarkStart w:id="51" w:name="_Hlk135318932"/>
      <w:r w:rsidRPr="005967EB">
        <w:tab/>
        <w:t>(b)</w:t>
      </w:r>
      <w:r w:rsidRPr="005967EB">
        <w:tab/>
        <w:t>the registered circumstance ceases if a situation arises (or has arisen) that would cause that notional registered circumstance to cease if the situation were to arise in the same way on:</w:t>
      </w:r>
    </w:p>
    <w:p w14:paraId="69188502" w14:textId="77777777" w:rsidR="00D86444" w:rsidRPr="005967EB" w:rsidRDefault="00D86444" w:rsidP="00D86444">
      <w:pPr>
        <w:pStyle w:val="paragraphsub"/>
      </w:pPr>
      <w:r w:rsidRPr="005967EB">
        <w:tab/>
        <w:t>(i)</w:t>
      </w:r>
      <w:r w:rsidRPr="005967EB">
        <w:tab/>
        <w:t>if the situation actually arises on or before the register notification day—the register notification day; or</w:t>
      </w:r>
    </w:p>
    <w:p w14:paraId="6CB3802E" w14:textId="77777777" w:rsidR="00D86444" w:rsidRPr="005967EB" w:rsidRDefault="00D86444" w:rsidP="00D86444">
      <w:pPr>
        <w:pStyle w:val="paragraphsub"/>
      </w:pPr>
      <w:r w:rsidRPr="005967EB">
        <w:tab/>
        <w:t>(ii)</w:t>
      </w:r>
      <w:r w:rsidRPr="005967EB">
        <w:tab/>
        <w:t>if the situation actually arises on a later day—that later day.</w:t>
      </w:r>
    </w:p>
    <w:bookmarkEnd w:id="50"/>
    <w:bookmarkEnd w:id="51"/>
    <w:p w14:paraId="3D49587A" w14:textId="77777777" w:rsidR="00AD0B15" w:rsidRPr="005967EB" w:rsidRDefault="00AD0B15" w:rsidP="00AD0B15">
      <w:pPr>
        <w:pStyle w:val="subsection"/>
      </w:pPr>
      <w:r w:rsidRPr="005967EB">
        <w:tab/>
        <w:t>(5)</w:t>
      </w:r>
      <w:r w:rsidRPr="005967EB">
        <w:tab/>
        <w:t>For the purposes of paragraph 130ZN(4)(g) of the Act, section 130ZN of the Act applies to a registered circumstance under subsection (4) of this section if section 130ZN of the Act would have applied to that notional registered circumstance</w:t>
      </w:r>
      <w:r w:rsidR="00AD7B48" w:rsidRPr="005967EB">
        <w:t>.</w:t>
      </w:r>
    </w:p>
    <w:p w14:paraId="41D40C39" w14:textId="77777777" w:rsidR="008756B5" w:rsidRPr="005967EB" w:rsidRDefault="008756B5" w:rsidP="008756B5">
      <w:pPr>
        <w:pStyle w:val="subsection"/>
      </w:pPr>
      <w:r w:rsidRPr="005967EB">
        <w:lastRenderedPageBreak/>
        <w:tab/>
        <w:t>(</w:t>
      </w:r>
      <w:r w:rsidR="0092632E" w:rsidRPr="005967EB">
        <w:t>6</w:t>
      </w:r>
      <w:r w:rsidRPr="005967EB">
        <w:t>)</w:t>
      </w:r>
      <w:r w:rsidRPr="005967EB">
        <w:tab/>
        <w:t xml:space="preserve">For the purposes of paragraph 130ZU(1)(b) of the Act, the registrable event day for a register notice under subsection (3) of this section is the </w:t>
      </w:r>
      <w:r w:rsidR="00A421C9" w:rsidRPr="005967EB">
        <w:t>Register commencement</w:t>
      </w:r>
      <w:r w:rsidRPr="005967EB">
        <w:t xml:space="preserve"> day</w:t>
      </w:r>
      <w:r w:rsidR="00AD7B48" w:rsidRPr="005967EB">
        <w:t>.</w:t>
      </w:r>
    </w:p>
    <w:sectPr w:rsidR="008756B5" w:rsidRPr="005967EB" w:rsidSect="000D197B">
      <w:headerReference w:type="even" r:id="rId23"/>
      <w:headerReference w:type="default" r:id="rId24"/>
      <w:footerReference w:type="even" r:id="rId25"/>
      <w:footerReference w:type="default" r:id="rId26"/>
      <w:headerReference w:type="first" r:id="rId27"/>
      <w:footerReference w:type="first" r:id="rId28"/>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E1CF6" w14:textId="77777777" w:rsidR="00FA6E27" w:rsidRDefault="00FA6E27" w:rsidP="0048364F">
      <w:pPr>
        <w:spacing w:line="240" w:lineRule="auto"/>
      </w:pPr>
      <w:r>
        <w:separator/>
      </w:r>
    </w:p>
  </w:endnote>
  <w:endnote w:type="continuationSeparator" w:id="0">
    <w:p w14:paraId="6553922B" w14:textId="77777777" w:rsidR="00FA6E27" w:rsidRDefault="00FA6E2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F83A" w14:textId="77777777" w:rsidR="00FA6E27" w:rsidRPr="000D197B" w:rsidRDefault="000D197B" w:rsidP="000D197B">
    <w:pPr>
      <w:pStyle w:val="Footer"/>
      <w:tabs>
        <w:tab w:val="clear" w:pos="4153"/>
        <w:tab w:val="clear" w:pos="8306"/>
        <w:tab w:val="center" w:pos="4150"/>
        <w:tab w:val="right" w:pos="8307"/>
      </w:tabs>
      <w:spacing w:before="120"/>
      <w:rPr>
        <w:i/>
        <w:sz w:val="18"/>
      </w:rPr>
    </w:pPr>
    <w:r w:rsidRPr="000D197B">
      <w:rPr>
        <w:i/>
        <w:sz w:val="18"/>
      </w:rPr>
      <w:t>OPC66487 -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A5C7" w14:textId="77777777" w:rsidR="00FA6E27" w:rsidRDefault="00FA6E27" w:rsidP="00E97334"/>
  <w:p w14:paraId="38F7ACF2" w14:textId="77777777" w:rsidR="00FA6E27" w:rsidRPr="000D197B" w:rsidRDefault="000D197B" w:rsidP="000D197B">
    <w:pPr>
      <w:rPr>
        <w:rFonts w:cs="Times New Roman"/>
        <w:i/>
        <w:sz w:val="18"/>
      </w:rPr>
    </w:pPr>
    <w:r w:rsidRPr="000D197B">
      <w:rPr>
        <w:rFonts w:cs="Times New Roman"/>
        <w:i/>
        <w:sz w:val="18"/>
      </w:rPr>
      <w:t>OPC66487 -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B757" w14:textId="77777777" w:rsidR="00FA6E27" w:rsidRPr="000D197B" w:rsidRDefault="000D197B" w:rsidP="000D197B">
    <w:pPr>
      <w:pStyle w:val="Footer"/>
      <w:tabs>
        <w:tab w:val="clear" w:pos="4153"/>
        <w:tab w:val="clear" w:pos="8306"/>
        <w:tab w:val="center" w:pos="4150"/>
        <w:tab w:val="right" w:pos="8307"/>
      </w:tabs>
      <w:spacing w:before="120"/>
      <w:rPr>
        <w:i/>
        <w:sz w:val="18"/>
      </w:rPr>
    </w:pPr>
    <w:r w:rsidRPr="000D197B">
      <w:rPr>
        <w:i/>
        <w:sz w:val="18"/>
      </w:rPr>
      <w:t>OPC66487 -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94D1" w14:textId="77777777" w:rsidR="00FA6E27" w:rsidRPr="00E33C1C" w:rsidRDefault="00FA6E27"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A6E27" w14:paraId="5D0D031C" w14:textId="77777777" w:rsidTr="00B54B23">
      <w:tc>
        <w:tcPr>
          <w:tcW w:w="709" w:type="dxa"/>
          <w:tcBorders>
            <w:top w:val="nil"/>
            <w:left w:val="nil"/>
            <w:bottom w:val="nil"/>
            <w:right w:val="nil"/>
          </w:tcBorders>
        </w:tcPr>
        <w:p w14:paraId="680EE725" w14:textId="77777777" w:rsidR="00FA6E27" w:rsidRDefault="00FA6E27" w:rsidP="00FF1E9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EC672C0" w14:textId="4A1C5528" w:rsidR="00FA6E27" w:rsidRDefault="00FA6E27" w:rsidP="00FF1E9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F1401">
            <w:rPr>
              <w:i/>
              <w:sz w:val="18"/>
            </w:rPr>
            <w:t>Foreign Acquisitions and Takeovers Amendment (Register of Foreign Ownership and Other Matters) Regulations 2023</w:t>
          </w:r>
          <w:r w:rsidRPr="007A1328">
            <w:rPr>
              <w:i/>
              <w:sz w:val="18"/>
            </w:rPr>
            <w:fldChar w:fldCharType="end"/>
          </w:r>
        </w:p>
      </w:tc>
      <w:tc>
        <w:tcPr>
          <w:tcW w:w="1384" w:type="dxa"/>
          <w:tcBorders>
            <w:top w:val="nil"/>
            <w:left w:val="nil"/>
            <w:bottom w:val="nil"/>
            <w:right w:val="nil"/>
          </w:tcBorders>
        </w:tcPr>
        <w:p w14:paraId="3E2CF057" w14:textId="77777777" w:rsidR="00FA6E27" w:rsidRDefault="00FA6E27" w:rsidP="00FF1E95">
          <w:pPr>
            <w:spacing w:line="0" w:lineRule="atLeast"/>
            <w:jc w:val="right"/>
            <w:rPr>
              <w:sz w:val="18"/>
            </w:rPr>
          </w:pPr>
        </w:p>
      </w:tc>
    </w:tr>
  </w:tbl>
  <w:p w14:paraId="573D2A47" w14:textId="77777777" w:rsidR="00FA6E27" w:rsidRPr="000D197B" w:rsidRDefault="000D197B" w:rsidP="000D197B">
    <w:pPr>
      <w:rPr>
        <w:rFonts w:cs="Times New Roman"/>
        <w:i/>
        <w:sz w:val="18"/>
      </w:rPr>
    </w:pPr>
    <w:r w:rsidRPr="000D197B">
      <w:rPr>
        <w:rFonts w:cs="Times New Roman"/>
        <w:i/>
        <w:sz w:val="18"/>
      </w:rPr>
      <w:t>OPC66487 -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609F" w14:textId="77777777" w:rsidR="00FA6E27" w:rsidRPr="00E33C1C" w:rsidRDefault="00FA6E27"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FA6E27" w14:paraId="02F01C6A" w14:textId="77777777" w:rsidTr="00B54B23">
      <w:tc>
        <w:tcPr>
          <w:tcW w:w="1383" w:type="dxa"/>
          <w:tcBorders>
            <w:top w:val="nil"/>
            <w:left w:val="nil"/>
            <w:bottom w:val="nil"/>
            <w:right w:val="nil"/>
          </w:tcBorders>
        </w:tcPr>
        <w:p w14:paraId="0D1CA655" w14:textId="77777777" w:rsidR="00FA6E27" w:rsidRDefault="00FA6E27" w:rsidP="00FF1E95">
          <w:pPr>
            <w:spacing w:line="0" w:lineRule="atLeast"/>
            <w:rPr>
              <w:sz w:val="18"/>
            </w:rPr>
          </w:pPr>
        </w:p>
      </w:tc>
      <w:tc>
        <w:tcPr>
          <w:tcW w:w="6379" w:type="dxa"/>
          <w:tcBorders>
            <w:top w:val="nil"/>
            <w:left w:val="nil"/>
            <w:bottom w:val="nil"/>
            <w:right w:val="nil"/>
          </w:tcBorders>
        </w:tcPr>
        <w:p w14:paraId="1F25B404" w14:textId="42A74752" w:rsidR="00FA6E27" w:rsidRDefault="00FA6E27" w:rsidP="00FF1E9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F1401">
            <w:rPr>
              <w:i/>
              <w:sz w:val="18"/>
            </w:rPr>
            <w:t>Foreign Acquisitions and Takeovers Amendment (Register of Foreign Ownership and Other Matters) Regulations 2023</w:t>
          </w:r>
          <w:r w:rsidRPr="007A1328">
            <w:rPr>
              <w:i/>
              <w:sz w:val="18"/>
            </w:rPr>
            <w:fldChar w:fldCharType="end"/>
          </w:r>
        </w:p>
      </w:tc>
      <w:tc>
        <w:tcPr>
          <w:tcW w:w="710" w:type="dxa"/>
          <w:tcBorders>
            <w:top w:val="nil"/>
            <w:left w:val="nil"/>
            <w:bottom w:val="nil"/>
            <w:right w:val="nil"/>
          </w:tcBorders>
        </w:tcPr>
        <w:p w14:paraId="0477CC95" w14:textId="77777777" w:rsidR="00FA6E27" w:rsidRDefault="00FA6E27" w:rsidP="00FF1E9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07ECF65" w14:textId="77777777" w:rsidR="00FA6E27" w:rsidRPr="000D197B" w:rsidRDefault="000D197B" w:rsidP="000D197B">
    <w:pPr>
      <w:rPr>
        <w:rFonts w:cs="Times New Roman"/>
        <w:i/>
        <w:sz w:val="18"/>
      </w:rPr>
    </w:pPr>
    <w:r w:rsidRPr="000D197B">
      <w:rPr>
        <w:rFonts w:cs="Times New Roman"/>
        <w:i/>
        <w:sz w:val="18"/>
      </w:rPr>
      <w:t>OPC66487 -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1EBF" w14:textId="77777777" w:rsidR="00FA6E27" w:rsidRPr="00E33C1C" w:rsidRDefault="00FA6E27"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A6E27" w14:paraId="51228D73" w14:textId="77777777" w:rsidTr="00B54B23">
      <w:tc>
        <w:tcPr>
          <w:tcW w:w="709" w:type="dxa"/>
          <w:tcBorders>
            <w:top w:val="nil"/>
            <w:left w:val="nil"/>
            <w:bottom w:val="nil"/>
            <w:right w:val="nil"/>
          </w:tcBorders>
        </w:tcPr>
        <w:p w14:paraId="3AD8836B" w14:textId="77777777" w:rsidR="00FA6E27" w:rsidRDefault="00FA6E27" w:rsidP="00FF1E9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F36676E" w14:textId="3B7C30F4" w:rsidR="00FA6E27" w:rsidRDefault="00FA6E27" w:rsidP="00FF1E9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F1401">
            <w:rPr>
              <w:i/>
              <w:sz w:val="18"/>
            </w:rPr>
            <w:t>Foreign Acquisitions and Takeovers Amendment (Register of Foreign Ownership and Other Matters) Regulations 2023</w:t>
          </w:r>
          <w:r w:rsidRPr="007A1328">
            <w:rPr>
              <w:i/>
              <w:sz w:val="18"/>
            </w:rPr>
            <w:fldChar w:fldCharType="end"/>
          </w:r>
        </w:p>
      </w:tc>
      <w:tc>
        <w:tcPr>
          <w:tcW w:w="1384" w:type="dxa"/>
          <w:tcBorders>
            <w:top w:val="nil"/>
            <w:left w:val="nil"/>
            <w:bottom w:val="nil"/>
            <w:right w:val="nil"/>
          </w:tcBorders>
        </w:tcPr>
        <w:p w14:paraId="052AAC59" w14:textId="77777777" w:rsidR="00FA6E27" w:rsidRDefault="00FA6E27" w:rsidP="00FF1E95">
          <w:pPr>
            <w:spacing w:line="0" w:lineRule="atLeast"/>
            <w:jc w:val="right"/>
            <w:rPr>
              <w:sz w:val="18"/>
            </w:rPr>
          </w:pPr>
        </w:p>
      </w:tc>
    </w:tr>
  </w:tbl>
  <w:p w14:paraId="35995AAE" w14:textId="77777777" w:rsidR="00FA6E27" w:rsidRPr="000D197B" w:rsidRDefault="000D197B" w:rsidP="000D197B">
    <w:pPr>
      <w:rPr>
        <w:rFonts w:cs="Times New Roman"/>
        <w:i/>
        <w:sz w:val="18"/>
      </w:rPr>
    </w:pPr>
    <w:r w:rsidRPr="000D197B">
      <w:rPr>
        <w:rFonts w:cs="Times New Roman"/>
        <w:i/>
        <w:sz w:val="18"/>
      </w:rPr>
      <w:t>OPC66487 -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8554" w14:textId="77777777" w:rsidR="00FA6E27" w:rsidRPr="00E33C1C" w:rsidRDefault="00FA6E27"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A6E27" w14:paraId="1FCEEE8C" w14:textId="77777777" w:rsidTr="00FF1E95">
      <w:tc>
        <w:tcPr>
          <w:tcW w:w="1384" w:type="dxa"/>
          <w:tcBorders>
            <w:top w:val="nil"/>
            <w:left w:val="nil"/>
            <w:bottom w:val="nil"/>
            <w:right w:val="nil"/>
          </w:tcBorders>
        </w:tcPr>
        <w:p w14:paraId="6ECFA554" w14:textId="77777777" w:rsidR="00FA6E27" w:rsidRDefault="00FA6E27" w:rsidP="00FF1E95">
          <w:pPr>
            <w:spacing w:line="0" w:lineRule="atLeast"/>
            <w:rPr>
              <w:sz w:val="18"/>
            </w:rPr>
          </w:pPr>
        </w:p>
      </w:tc>
      <w:tc>
        <w:tcPr>
          <w:tcW w:w="6379" w:type="dxa"/>
          <w:tcBorders>
            <w:top w:val="nil"/>
            <w:left w:val="nil"/>
            <w:bottom w:val="nil"/>
            <w:right w:val="nil"/>
          </w:tcBorders>
        </w:tcPr>
        <w:p w14:paraId="2F06821A" w14:textId="069528CA" w:rsidR="00FA6E27" w:rsidRDefault="00FA6E27" w:rsidP="00FF1E9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F1401">
            <w:rPr>
              <w:i/>
              <w:sz w:val="18"/>
            </w:rPr>
            <w:t>Foreign Acquisitions and Takeovers Amendment (Register of Foreign Ownership and Other Matters) Regulations 2023</w:t>
          </w:r>
          <w:r w:rsidRPr="007A1328">
            <w:rPr>
              <w:i/>
              <w:sz w:val="18"/>
            </w:rPr>
            <w:fldChar w:fldCharType="end"/>
          </w:r>
        </w:p>
      </w:tc>
      <w:tc>
        <w:tcPr>
          <w:tcW w:w="709" w:type="dxa"/>
          <w:tcBorders>
            <w:top w:val="nil"/>
            <w:left w:val="nil"/>
            <w:bottom w:val="nil"/>
            <w:right w:val="nil"/>
          </w:tcBorders>
        </w:tcPr>
        <w:p w14:paraId="27B9D938" w14:textId="77777777" w:rsidR="00FA6E27" w:rsidRDefault="00FA6E27" w:rsidP="00FF1E9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0A222FC" w14:textId="77777777" w:rsidR="00FA6E27" w:rsidRPr="000D197B" w:rsidRDefault="000D197B" w:rsidP="000D197B">
    <w:pPr>
      <w:rPr>
        <w:rFonts w:cs="Times New Roman"/>
        <w:i/>
        <w:sz w:val="18"/>
      </w:rPr>
    </w:pPr>
    <w:r w:rsidRPr="000D197B">
      <w:rPr>
        <w:rFonts w:cs="Times New Roman"/>
        <w:i/>
        <w:sz w:val="18"/>
      </w:rPr>
      <w:t>OPC66487 -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6E6C" w14:textId="77777777" w:rsidR="00FA6E27" w:rsidRPr="00E33C1C" w:rsidRDefault="00FA6E27"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A6E27" w14:paraId="654BB4E3" w14:textId="77777777" w:rsidTr="007A6863">
      <w:tc>
        <w:tcPr>
          <w:tcW w:w="1384" w:type="dxa"/>
          <w:tcBorders>
            <w:top w:val="nil"/>
            <w:left w:val="nil"/>
            <w:bottom w:val="nil"/>
            <w:right w:val="nil"/>
          </w:tcBorders>
        </w:tcPr>
        <w:p w14:paraId="576FCC0C" w14:textId="77777777" w:rsidR="00FA6E27" w:rsidRDefault="00FA6E27" w:rsidP="00FF1E95">
          <w:pPr>
            <w:spacing w:line="0" w:lineRule="atLeast"/>
            <w:rPr>
              <w:sz w:val="18"/>
            </w:rPr>
          </w:pPr>
        </w:p>
      </w:tc>
      <w:tc>
        <w:tcPr>
          <w:tcW w:w="6379" w:type="dxa"/>
          <w:tcBorders>
            <w:top w:val="nil"/>
            <w:left w:val="nil"/>
            <w:bottom w:val="nil"/>
            <w:right w:val="nil"/>
          </w:tcBorders>
        </w:tcPr>
        <w:p w14:paraId="76F3C5A4" w14:textId="7C77C701" w:rsidR="00FA6E27" w:rsidRDefault="00FA6E27" w:rsidP="00FF1E9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F1401">
            <w:rPr>
              <w:i/>
              <w:sz w:val="18"/>
            </w:rPr>
            <w:t>Foreign Acquisitions and Takeovers Amendment (Register of Foreign Ownership and Other Matters) Regulations 2023</w:t>
          </w:r>
          <w:r w:rsidRPr="007A1328">
            <w:rPr>
              <w:i/>
              <w:sz w:val="18"/>
            </w:rPr>
            <w:fldChar w:fldCharType="end"/>
          </w:r>
        </w:p>
      </w:tc>
      <w:tc>
        <w:tcPr>
          <w:tcW w:w="709" w:type="dxa"/>
          <w:tcBorders>
            <w:top w:val="nil"/>
            <w:left w:val="nil"/>
            <w:bottom w:val="nil"/>
            <w:right w:val="nil"/>
          </w:tcBorders>
        </w:tcPr>
        <w:p w14:paraId="00F22A41" w14:textId="77777777" w:rsidR="00FA6E27" w:rsidRDefault="00FA6E27" w:rsidP="00FF1E9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246747ED" w14:textId="77777777" w:rsidR="00FA6E27" w:rsidRPr="000D197B" w:rsidRDefault="000D197B" w:rsidP="000D197B">
    <w:pPr>
      <w:rPr>
        <w:rFonts w:cs="Times New Roman"/>
        <w:i/>
        <w:sz w:val="18"/>
      </w:rPr>
    </w:pPr>
    <w:r w:rsidRPr="000D197B">
      <w:rPr>
        <w:rFonts w:cs="Times New Roman"/>
        <w:i/>
        <w:sz w:val="18"/>
      </w:rPr>
      <w:t>OPC66487 -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5F80" w14:textId="77777777" w:rsidR="00FA6E27" w:rsidRDefault="00FA6E27" w:rsidP="0048364F">
      <w:pPr>
        <w:spacing w:line="240" w:lineRule="auto"/>
      </w:pPr>
      <w:r>
        <w:separator/>
      </w:r>
    </w:p>
  </w:footnote>
  <w:footnote w:type="continuationSeparator" w:id="0">
    <w:p w14:paraId="60223B3D" w14:textId="77777777" w:rsidR="00FA6E27" w:rsidRDefault="00FA6E2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FBF9" w14:textId="77777777" w:rsidR="00FA6E27" w:rsidRPr="005F1388" w:rsidRDefault="00FA6E27"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8F9F" w14:textId="77777777" w:rsidR="00FA6E27" w:rsidRPr="005F1388" w:rsidRDefault="00FA6E27"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19B7" w14:textId="77777777" w:rsidR="00FA6E27" w:rsidRPr="005F1388" w:rsidRDefault="00FA6E27"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5DD7" w14:textId="77777777" w:rsidR="00FA6E27" w:rsidRPr="00ED79B6" w:rsidRDefault="00FA6E27"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0762" w14:textId="77777777" w:rsidR="00FA6E27" w:rsidRPr="00ED79B6" w:rsidRDefault="00FA6E27"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092A" w14:textId="77777777" w:rsidR="00FA6E27" w:rsidRPr="00ED79B6" w:rsidRDefault="00FA6E2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A4EB" w14:textId="36E9F353" w:rsidR="00FA6E27" w:rsidRPr="00A961C4" w:rsidRDefault="00FA6E27" w:rsidP="0048364F">
    <w:pPr>
      <w:rPr>
        <w:b/>
        <w:sz w:val="20"/>
      </w:rPr>
    </w:pPr>
    <w:r>
      <w:rPr>
        <w:b/>
        <w:sz w:val="20"/>
      </w:rPr>
      <w:fldChar w:fldCharType="begin"/>
    </w:r>
    <w:r>
      <w:rPr>
        <w:b/>
        <w:sz w:val="20"/>
      </w:rPr>
      <w:instrText xml:space="preserve"> STYLEREF CharAmSchNo </w:instrText>
    </w:r>
    <w:r>
      <w:rPr>
        <w:b/>
        <w:sz w:val="20"/>
      </w:rPr>
      <w:fldChar w:fldCharType="separate"/>
    </w:r>
    <w:r w:rsidR="005F5EC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5F5EC6">
      <w:rPr>
        <w:noProof/>
        <w:sz w:val="20"/>
      </w:rPr>
      <w:t>Amendments</w:t>
    </w:r>
    <w:r>
      <w:rPr>
        <w:sz w:val="20"/>
      </w:rPr>
      <w:fldChar w:fldCharType="end"/>
    </w:r>
  </w:p>
  <w:p w14:paraId="627791E0" w14:textId="16369408" w:rsidR="00FA6E27" w:rsidRPr="00A961C4" w:rsidRDefault="00FA6E27" w:rsidP="0048364F">
    <w:pPr>
      <w:rPr>
        <w:b/>
        <w:sz w:val="20"/>
      </w:rPr>
    </w:pPr>
    <w:r>
      <w:rPr>
        <w:b/>
        <w:sz w:val="20"/>
      </w:rPr>
      <w:fldChar w:fldCharType="begin"/>
    </w:r>
    <w:r>
      <w:rPr>
        <w:b/>
        <w:sz w:val="20"/>
      </w:rPr>
      <w:instrText xml:space="preserve"> STYLEREF CharAmPartNo </w:instrText>
    </w:r>
    <w:r>
      <w:rPr>
        <w:b/>
        <w:sz w:val="20"/>
      </w:rPr>
      <w:fldChar w:fldCharType="separate"/>
    </w:r>
    <w:r w:rsidR="005F5EC6">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5F5EC6">
      <w:rPr>
        <w:noProof/>
        <w:sz w:val="20"/>
      </w:rPr>
      <w:t>Further requirements to register, relationship with other notification requirements, exemptions and other matters</w:t>
    </w:r>
    <w:r>
      <w:rPr>
        <w:sz w:val="20"/>
      </w:rPr>
      <w:fldChar w:fldCharType="end"/>
    </w:r>
  </w:p>
  <w:p w14:paraId="20243BA8" w14:textId="77777777" w:rsidR="00FA6E27" w:rsidRPr="00A961C4" w:rsidRDefault="00FA6E27"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D158" w14:textId="14F6E977" w:rsidR="00FA6E27" w:rsidRPr="00A961C4" w:rsidRDefault="00FA6E27"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4B21DC95" w14:textId="00CF4016" w:rsidR="00FA6E27" w:rsidRPr="00A961C4" w:rsidRDefault="00FA6E2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D182222" w14:textId="77777777" w:rsidR="00FA6E27" w:rsidRPr="00A961C4" w:rsidRDefault="00FA6E27"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205D" w14:textId="77777777" w:rsidR="00FA6E27" w:rsidRPr="00A961C4" w:rsidRDefault="00FA6E27"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38"/>
    <w:rsid w:val="00000263"/>
    <w:rsid w:val="000113BC"/>
    <w:rsid w:val="000136AF"/>
    <w:rsid w:val="00036E24"/>
    <w:rsid w:val="0004044E"/>
    <w:rsid w:val="00046E86"/>
    <w:rsid w:val="00046F47"/>
    <w:rsid w:val="0005120E"/>
    <w:rsid w:val="00054577"/>
    <w:rsid w:val="000614BF"/>
    <w:rsid w:val="0007169C"/>
    <w:rsid w:val="00077593"/>
    <w:rsid w:val="00083F48"/>
    <w:rsid w:val="00087EB8"/>
    <w:rsid w:val="000A547D"/>
    <w:rsid w:val="000A7DF9"/>
    <w:rsid w:val="000D05EF"/>
    <w:rsid w:val="000D197B"/>
    <w:rsid w:val="000D5485"/>
    <w:rsid w:val="000E0DB7"/>
    <w:rsid w:val="000F21C1"/>
    <w:rsid w:val="00105D72"/>
    <w:rsid w:val="0010728A"/>
    <w:rsid w:val="0010745C"/>
    <w:rsid w:val="00117277"/>
    <w:rsid w:val="00145A38"/>
    <w:rsid w:val="00155873"/>
    <w:rsid w:val="00160BD7"/>
    <w:rsid w:val="001643C9"/>
    <w:rsid w:val="00165568"/>
    <w:rsid w:val="00166082"/>
    <w:rsid w:val="00166C2F"/>
    <w:rsid w:val="001716C9"/>
    <w:rsid w:val="001743EE"/>
    <w:rsid w:val="00184261"/>
    <w:rsid w:val="00190BA1"/>
    <w:rsid w:val="00190DF5"/>
    <w:rsid w:val="0019134E"/>
    <w:rsid w:val="00193461"/>
    <w:rsid w:val="001939E1"/>
    <w:rsid w:val="00195382"/>
    <w:rsid w:val="001A3B9F"/>
    <w:rsid w:val="001A4302"/>
    <w:rsid w:val="001A4C35"/>
    <w:rsid w:val="001A65C0"/>
    <w:rsid w:val="001B579B"/>
    <w:rsid w:val="001B6456"/>
    <w:rsid w:val="001B7A5D"/>
    <w:rsid w:val="001C69C4"/>
    <w:rsid w:val="001E0A8D"/>
    <w:rsid w:val="001E3590"/>
    <w:rsid w:val="001E7407"/>
    <w:rsid w:val="00201B3A"/>
    <w:rsid w:val="00201D27"/>
    <w:rsid w:val="0020300C"/>
    <w:rsid w:val="002138CC"/>
    <w:rsid w:val="00220A0C"/>
    <w:rsid w:val="00223E4A"/>
    <w:rsid w:val="002302EA"/>
    <w:rsid w:val="0023732D"/>
    <w:rsid w:val="00240749"/>
    <w:rsid w:val="002468D7"/>
    <w:rsid w:val="00263886"/>
    <w:rsid w:val="0026580C"/>
    <w:rsid w:val="00274F15"/>
    <w:rsid w:val="00285CDD"/>
    <w:rsid w:val="00291167"/>
    <w:rsid w:val="00297ECB"/>
    <w:rsid w:val="002B4E99"/>
    <w:rsid w:val="002B5BE0"/>
    <w:rsid w:val="002C152A"/>
    <w:rsid w:val="002C2214"/>
    <w:rsid w:val="002C2885"/>
    <w:rsid w:val="002D043A"/>
    <w:rsid w:val="002F64A2"/>
    <w:rsid w:val="00301FE8"/>
    <w:rsid w:val="003141AA"/>
    <w:rsid w:val="0031549E"/>
    <w:rsid w:val="0031713F"/>
    <w:rsid w:val="00321913"/>
    <w:rsid w:val="00324EE6"/>
    <w:rsid w:val="0033169F"/>
    <w:rsid w:val="003316DC"/>
    <w:rsid w:val="00332E0D"/>
    <w:rsid w:val="003415D3"/>
    <w:rsid w:val="00346335"/>
    <w:rsid w:val="00352B0F"/>
    <w:rsid w:val="003561B0"/>
    <w:rsid w:val="00367960"/>
    <w:rsid w:val="003962D6"/>
    <w:rsid w:val="003A02AC"/>
    <w:rsid w:val="003A145D"/>
    <w:rsid w:val="003A15AC"/>
    <w:rsid w:val="003A1CC4"/>
    <w:rsid w:val="003A56EB"/>
    <w:rsid w:val="003B0627"/>
    <w:rsid w:val="003C5F2B"/>
    <w:rsid w:val="003D0BFE"/>
    <w:rsid w:val="003D45D4"/>
    <w:rsid w:val="003D5700"/>
    <w:rsid w:val="003F0F5A"/>
    <w:rsid w:val="003F1F97"/>
    <w:rsid w:val="00400A30"/>
    <w:rsid w:val="004022CA"/>
    <w:rsid w:val="004116CD"/>
    <w:rsid w:val="00414ADE"/>
    <w:rsid w:val="00415AB6"/>
    <w:rsid w:val="00424CA9"/>
    <w:rsid w:val="004257BB"/>
    <w:rsid w:val="004261D9"/>
    <w:rsid w:val="004364DA"/>
    <w:rsid w:val="0044291A"/>
    <w:rsid w:val="00460499"/>
    <w:rsid w:val="00472CAB"/>
    <w:rsid w:val="00474835"/>
    <w:rsid w:val="004819C7"/>
    <w:rsid w:val="0048288C"/>
    <w:rsid w:val="0048364F"/>
    <w:rsid w:val="00490F2E"/>
    <w:rsid w:val="00496DB3"/>
    <w:rsid w:val="00496F97"/>
    <w:rsid w:val="004A53EA"/>
    <w:rsid w:val="004B4020"/>
    <w:rsid w:val="004F1FAC"/>
    <w:rsid w:val="004F676E"/>
    <w:rsid w:val="00510970"/>
    <w:rsid w:val="00516B8D"/>
    <w:rsid w:val="0052686F"/>
    <w:rsid w:val="0052756C"/>
    <w:rsid w:val="00530230"/>
    <w:rsid w:val="00530CC9"/>
    <w:rsid w:val="00531009"/>
    <w:rsid w:val="00537FBC"/>
    <w:rsid w:val="00541D73"/>
    <w:rsid w:val="00543469"/>
    <w:rsid w:val="005452CC"/>
    <w:rsid w:val="00546A08"/>
    <w:rsid w:val="00546FA3"/>
    <w:rsid w:val="00554243"/>
    <w:rsid w:val="00557C7A"/>
    <w:rsid w:val="00562A58"/>
    <w:rsid w:val="00581211"/>
    <w:rsid w:val="00584811"/>
    <w:rsid w:val="00593AA6"/>
    <w:rsid w:val="00594161"/>
    <w:rsid w:val="00594512"/>
    <w:rsid w:val="00594749"/>
    <w:rsid w:val="005967EB"/>
    <w:rsid w:val="005A1277"/>
    <w:rsid w:val="005A482B"/>
    <w:rsid w:val="005B4067"/>
    <w:rsid w:val="005C36E0"/>
    <w:rsid w:val="005C3F41"/>
    <w:rsid w:val="005C5106"/>
    <w:rsid w:val="005D168D"/>
    <w:rsid w:val="005D5EA1"/>
    <w:rsid w:val="005E61D3"/>
    <w:rsid w:val="005E6AAD"/>
    <w:rsid w:val="005F4840"/>
    <w:rsid w:val="005F5EC6"/>
    <w:rsid w:val="005F68BE"/>
    <w:rsid w:val="005F7738"/>
    <w:rsid w:val="00600219"/>
    <w:rsid w:val="00613EAD"/>
    <w:rsid w:val="006158AC"/>
    <w:rsid w:val="0063767D"/>
    <w:rsid w:val="00640402"/>
    <w:rsid w:val="00640F78"/>
    <w:rsid w:val="00646E7B"/>
    <w:rsid w:val="00655D6A"/>
    <w:rsid w:val="00656DE9"/>
    <w:rsid w:val="00677CC2"/>
    <w:rsid w:val="00685F42"/>
    <w:rsid w:val="006866A1"/>
    <w:rsid w:val="0069020C"/>
    <w:rsid w:val="0069207B"/>
    <w:rsid w:val="006A4309"/>
    <w:rsid w:val="006B0E55"/>
    <w:rsid w:val="006B7006"/>
    <w:rsid w:val="006C7F8C"/>
    <w:rsid w:val="006D7AB9"/>
    <w:rsid w:val="00700B2C"/>
    <w:rsid w:val="00713084"/>
    <w:rsid w:val="00720FC2"/>
    <w:rsid w:val="00731E00"/>
    <w:rsid w:val="00732E9D"/>
    <w:rsid w:val="00732EC7"/>
    <w:rsid w:val="0073491A"/>
    <w:rsid w:val="007420D2"/>
    <w:rsid w:val="007440B7"/>
    <w:rsid w:val="00747993"/>
    <w:rsid w:val="00751C86"/>
    <w:rsid w:val="00757BFB"/>
    <w:rsid w:val="00760F6E"/>
    <w:rsid w:val="007634AD"/>
    <w:rsid w:val="007715C9"/>
    <w:rsid w:val="00774EDD"/>
    <w:rsid w:val="007757EC"/>
    <w:rsid w:val="007A115D"/>
    <w:rsid w:val="007A35E6"/>
    <w:rsid w:val="007A6863"/>
    <w:rsid w:val="007D097D"/>
    <w:rsid w:val="007D45C1"/>
    <w:rsid w:val="007E7D4A"/>
    <w:rsid w:val="007F48ED"/>
    <w:rsid w:val="007F5F16"/>
    <w:rsid w:val="007F7947"/>
    <w:rsid w:val="00801922"/>
    <w:rsid w:val="008073F6"/>
    <w:rsid w:val="00811AE3"/>
    <w:rsid w:val="00812F45"/>
    <w:rsid w:val="00823B55"/>
    <w:rsid w:val="0084172C"/>
    <w:rsid w:val="0085625A"/>
    <w:rsid w:val="00856A31"/>
    <w:rsid w:val="008654E2"/>
    <w:rsid w:val="00866C7C"/>
    <w:rsid w:val="00867268"/>
    <w:rsid w:val="00870D00"/>
    <w:rsid w:val="008754D0"/>
    <w:rsid w:val="008756B5"/>
    <w:rsid w:val="00877D48"/>
    <w:rsid w:val="00880906"/>
    <w:rsid w:val="008816F0"/>
    <w:rsid w:val="0088345B"/>
    <w:rsid w:val="008A16A5"/>
    <w:rsid w:val="008A41C9"/>
    <w:rsid w:val="008B5D42"/>
    <w:rsid w:val="008C2B5D"/>
    <w:rsid w:val="008C7A2A"/>
    <w:rsid w:val="008D0EE0"/>
    <w:rsid w:val="008D5B99"/>
    <w:rsid w:val="008D7A27"/>
    <w:rsid w:val="008E4702"/>
    <w:rsid w:val="008E69AA"/>
    <w:rsid w:val="008F06DA"/>
    <w:rsid w:val="008F4F1C"/>
    <w:rsid w:val="00905084"/>
    <w:rsid w:val="00922764"/>
    <w:rsid w:val="0092632E"/>
    <w:rsid w:val="00932377"/>
    <w:rsid w:val="009408EA"/>
    <w:rsid w:val="00943102"/>
    <w:rsid w:val="0094523D"/>
    <w:rsid w:val="00946487"/>
    <w:rsid w:val="009559E6"/>
    <w:rsid w:val="00976A63"/>
    <w:rsid w:val="00977EEE"/>
    <w:rsid w:val="00982951"/>
    <w:rsid w:val="00983419"/>
    <w:rsid w:val="00994821"/>
    <w:rsid w:val="00995ABE"/>
    <w:rsid w:val="009961EC"/>
    <w:rsid w:val="009C3431"/>
    <w:rsid w:val="009C4C35"/>
    <w:rsid w:val="009C5989"/>
    <w:rsid w:val="009D08DA"/>
    <w:rsid w:val="00A022E7"/>
    <w:rsid w:val="00A06860"/>
    <w:rsid w:val="00A136F5"/>
    <w:rsid w:val="00A231E2"/>
    <w:rsid w:val="00A2550D"/>
    <w:rsid w:val="00A34C60"/>
    <w:rsid w:val="00A35047"/>
    <w:rsid w:val="00A4169B"/>
    <w:rsid w:val="00A421C9"/>
    <w:rsid w:val="00A445F2"/>
    <w:rsid w:val="00A50D55"/>
    <w:rsid w:val="00A5165B"/>
    <w:rsid w:val="00A52FDA"/>
    <w:rsid w:val="00A64912"/>
    <w:rsid w:val="00A70A74"/>
    <w:rsid w:val="00A90EA8"/>
    <w:rsid w:val="00AA0343"/>
    <w:rsid w:val="00AA2A5C"/>
    <w:rsid w:val="00AB78E9"/>
    <w:rsid w:val="00AD0B15"/>
    <w:rsid w:val="00AD3467"/>
    <w:rsid w:val="00AD5641"/>
    <w:rsid w:val="00AD7252"/>
    <w:rsid w:val="00AD7B48"/>
    <w:rsid w:val="00AE0F9B"/>
    <w:rsid w:val="00AF55FF"/>
    <w:rsid w:val="00B00B71"/>
    <w:rsid w:val="00B032D8"/>
    <w:rsid w:val="00B33B3C"/>
    <w:rsid w:val="00B40D74"/>
    <w:rsid w:val="00B52663"/>
    <w:rsid w:val="00B54B23"/>
    <w:rsid w:val="00B56DCB"/>
    <w:rsid w:val="00B770D2"/>
    <w:rsid w:val="00B94F68"/>
    <w:rsid w:val="00BA47A3"/>
    <w:rsid w:val="00BA5026"/>
    <w:rsid w:val="00BB6E79"/>
    <w:rsid w:val="00BE3B31"/>
    <w:rsid w:val="00BE719A"/>
    <w:rsid w:val="00BE720A"/>
    <w:rsid w:val="00BF6650"/>
    <w:rsid w:val="00C067E5"/>
    <w:rsid w:val="00C164CA"/>
    <w:rsid w:val="00C42BF8"/>
    <w:rsid w:val="00C460AE"/>
    <w:rsid w:val="00C50043"/>
    <w:rsid w:val="00C50A0F"/>
    <w:rsid w:val="00C7573B"/>
    <w:rsid w:val="00C76CF3"/>
    <w:rsid w:val="00C946B3"/>
    <w:rsid w:val="00CA7844"/>
    <w:rsid w:val="00CB58EF"/>
    <w:rsid w:val="00CE7D64"/>
    <w:rsid w:val="00CF0BB2"/>
    <w:rsid w:val="00D13441"/>
    <w:rsid w:val="00D20665"/>
    <w:rsid w:val="00D243A3"/>
    <w:rsid w:val="00D3200B"/>
    <w:rsid w:val="00D33440"/>
    <w:rsid w:val="00D52EFE"/>
    <w:rsid w:val="00D56A0D"/>
    <w:rsid w:val="00D5767F"/>
    <w:rsid w:val="00D63EF6"/>
    <w:rsid w:val="00D66518"/>
    <w:rsid w:val="00D70DFB"/>
    <w:rsid w:val="00D71EEA"/>
    <w:rsid w:val="00D72736"/>
    <w:rsid w:val="00D735CD"/>
    <w:rsid w:val="00D766DF"/>
    <w:rsid w:val="00D84D45"/>
    <w:rsid w:val="00D86444"/>
    <w:rsid w:val="00D95891"/>
    <w:rsid w:val="00DB5CB4"/>
    <w:rsid w:val="00DC3523"/>
    <w:rsid w:val="00DE149E"/>
    <w:rsid w:val="00DE3676"/>
    <w:rsid w:val="00DF1401"/>
    <w:rsid w:val="00DF46EC"/>
    <w:rsid w:val="00DF6707"/>
    <w:rsid w:val="00E05704"/>
    <w:rsid w:val="00E12F1A"/>
    <w:rsid w:val="00E15561"/>
    <w:rsid w:val="00E21CFB"/>
    <w:rsid w:val="00E22935"/>
    <w:rsid w:val="00E36780"/>
    <w:rsid w:val="00E47A7F"/>
    <w:rsid w:val="00E54292"/>
    <w:rsid w:val="00E60191"/>
    <w:rsid w:val="00E74DC7"/>
    <w:rsid w:val="00E81DDA"/>
    <w:rsid w:val="00E87699"/>
    <w:rsid w:val="00E92E27"/>
    <w:rsid w:val="00E9586B"/>
    <w:rsid w:val="00E97334"/>
    <w:rsid w:val="00EA0D36"/>
    <w:rsid w:val="00ED0E79"/>
    <w:rsid w:val="00ED4928"/>
    <w:rsid w:val="00ED7C37"/>
    <w:rsid w:val="00EE3749"/>
    <w:rsid w:val="00EE6190"/>
    <w:rsid w:val="00EF2E3A"/>
    <w:rsid w:val="00EF6402"/>
    <w:rsid w:val="00F025DF"/>
    <w:rsid w:val="00F047E2"/>
    <w:rsid w:val="00F04D57"/>
    <w:rsid w:val="00F078DC"/>
    <w:rsid w:val="00F13E86"/>
    <w:rsid w:val="00F32FCB"/>
    <w:rsid w:val="00F4659C"/>
    <w:rsid w:val="00F6709F"/>
    <w:rsid w:val="00F677A9"/>
    <w:rsid w:val="00F723BD"/>
    <w:rsid w:val="00F732EA"/>
    <w:rsid w:val="00F84CF5"/>
    <w:rsid w:val="00F8612E"/>
    <w:rsid w:val="00F96640"/>
    <w:rsid w:val="00FA420B"/>
    <w:rsid w:val="00FA6E27"/>
    <w:rsid w:val="00FE0781"/>
    <w:rsid w:val="00FF1E95"/>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3D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967EB"/>
    <w:pPr>
      <w:spacing w:line="260" w:lineRule="atLeast"/>
    </w:pPr>
    <w:rPr>
      <w:sz w:val="22"/>
    </w:rPr>
  </w:style>
  <w:style w:type="paragraph" w:styleId="Heading1">
    <w:name w:val="heading 1"/>
    <w:basedOn w:val="Normal"/>
    <w:next w:val="Normal"/>
    <w:link w:val="Heading1Char"/>
    <w:uiPriority w:val="9"/>
    <w:qFormat/>
    <w:rsid w:val="005967E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7E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7E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67E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67E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67E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967E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967E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967E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967EB"/>
  </w:style>
  <w:style w:type="paragraph" w:customStyle="1" w:styleId="OPCParaBase">
    <w:name w:val="OPCParaBase"/>
    <w:qFormat/>
    <w:rsid w:val="005967EB"/>
    <w:pPr>
      <w:spacing w:line="260" w:lineRule="atLeast"/>
    </w:pPr>
    <w:rPr>
      <w:rFonts w:eastAsia="Times New Roman" w:cs="Times New Roman"/>
      <w:sz w:val="22"/>
      <w:lang w:eastAsia="en-AU"/>
    </w:rPr>
  </w:style>
  <w:style w:type="paragraph" w:customStyle="1" w:styleId="ShortT">
    <w:name w:val="ShortT"/>
    <w:basedOn w:val="OPCParaBase"/>
    <w:next w:val="Normal"/>
    <w:qFormat/>
    <w:rsid w:val="005967EB"/>
    <w:pPr>
      <w:spacing w:line="240" w:lineRule="auto"/>
    </w:pPr>
    <w:rPr>
      <w:b/>
      <w:sz w:val="40"/>
    </w:rPr>
  </w:style>
  <w:style w:type="paragraph" w:customStyle="1" w:styleId="ActHead1">
    <w:name w:val="ActHead 1"/>
    <w:aliases w:val="c"/>
    <w:basedOn w:val="OPCParaBase"/>
    <w:next w:val="Normal"/>
    <w:qFormat/>
    <w:rsid w:val="005967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967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967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967E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967E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967E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967E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967E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967E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967EB"/>
  </w:style>
  <w:style w:type="paragraph" w:customStyle="1" w:styleId="Blocks">
    <w:name w:val="Blocks"/>
    <w:aliases w:val="bb"/>
    <w:basedOn w:val="OPCParaBase"/>
    <w:qFormat/>
    <w:rsid w:val="005967EB"/>
    <w:pPr>
      <w:spacing w:line="240" w:lineRule="auto"/>
    </w:pPr>
    <w:rPr>
      <w:sz w:val="24"/>
    </w:rPr>
  </w:style>
  <w:style w:type="paragraph" w:customStyle="1" w:styleId="BoxText">
    <w:name w:val="BoxText"/>
    <w:aliases w:val="bt"/>
    <w:basedOn w:val="OPCParaBase"/>
    <w:qFormat/>
    <w:rsid w:val="005967E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967EB"/>
    <w:rPr>
      <w:b/>
    </w:rPr>
  </w:style>
  <w:style w:type="paragraph" w:customStyle="1" w:styleId="BoxHeadItalic">
    <w:name w:val="BoxHeadItalic"/>
    <w:aliases w:val="bhi"/>
    <w:basedOn w:val="BoxText"/>
    <w:next w:val="BoxStep"/>
    <w:qFormat/>
    <w:rsid w:val="005967EB"/>
    <w:rPr>
      <w:i/>
    </w:rPr>
  </w:style>
  <w:style w:type="paragraph" w:customStyle="1" w:styleId="BoxList">
    <w:name w:val="BoxList"/>
    <w:aliases w:val="bl"/>
    <w:basedOn w:val="BoxText"/>
    <w:qFormat/>
    <w:rsid w:val="005967EB"/>
    <w:pPr>
      <w:ind w:left="1559" w:hanging="425"/>
    </w:pPr>
  </w:style>
  <w:style w:type="paragraph" w:customStyle="1" w:styleId="BoxNote">
    <w:name w:val="BoxNote"/>
    <w:aliases w:val="bn"/>
    <w:basedOn w:val="BoxText"/>
    <w:qFormat/>
    <w:rsid w:val="005967EB"/>
    <w:pPr>
      <w:tabs>
        <w:tab w:val="left" w:pos="1985"/>
      </w:tabs>
      <w:spacing w:before="122" w:line="198" w:lineRule="exact"/>
      <w:ind w:left="2948" w:hanging="1814"/>
    </w:pPr>
    <w:rPr>
      <w:sz w:val="18"/>
    </w:rPr>
  </w:style>
  <w:style w:type="paragraph" w:customStyle="1" w:styleId="BoxPara">
    <w:name w:val="BoxPara"/>
    <w:aliases w:val="bp"/>
    <w:basedOn w:val="BoxText"/>
    <w:qFormat/>
    <w:rsid w:val="005967EB"/>
    <w:pPr>
      <w:tabs>
        <w:tab w:val="right" w:pos="2268"/>
      </w:tabs>
      <w:ind w:left="2552" w:hanging="1418"/>
    </w:pPr>
  </w:style>
  <w:style w:type="paragraph" w:customStyle="1" w:styleId="BoxStep">
    <w:name w:val="BoxStep"/>
    <w:aliases w:val="bs"/>
    <w:basedOn w:val="BoxText"/>
    <w:qFormat/>
    <w:rsid w:val="005967EB"/>
    <w:pPr>
      <w:ind w:left="1985" w:hanging="851"/>
    </w:pPr>
  </w:style>
  <w:style w:type="character" w:customStyle="1" w:styleId="CharAmPartNo">
    <w:name w:val="CharAmPartNo"/>
    <w:basedOn w:val="OPCCharBase"/>
    <w:qFormat/>
    <w:rsid w:val="005967EB"/>
  </w:style>
  <w:style w:type="character" w:customStyle="1" w:styleId="CharAmPartText">
    <w:name w:val="CharAmPartText"/>
    <w:basedOn w:val="OPCCharBase"/>
    <w:qFormat/>
    <w:rsid w:val="005967EB"/>
  </w:style>
  <w:style w:type="character" w:customStyle="1" w:styleId="CharAmSchNo">
    <w:name w:val="CharAmSchNo"/>
    <w:basedOn w:val="OPCCharBase"/>
    <w:qFormat/>
    <w:rsid w:val="005967EB"/>
  </w:style>
  <w:style w:type="character" w:customStyle="1" w:styleId="CharAmSchText">
    <w:name w:val="CharAmSchText"/>
    <w:basedOn w:val="OPCCharBase"/>
    <w:qFormat/>
    <w:rsid w:val="005967EB"/>
  </w:style>
  <w:style w:type="character" w:customStyle="1" w:styleId="CharBoldItalic">
    <w:name w:val="CharBoldItalic"/>
    <w:basedOn w:val="OPCCharBase"/>
    <w:uiPriority w:val="1"/>
    <w:qFormat/>
    <w:rsid w:val="005967EB"/>
    <w:rPr>
      <w:b/>
      <w:i/>
    </w:rPr>
  </w:style>
  <w:style w:type="character" w:customStyle="1" w:styleId="CharChapNo">
    <w:name w:val="CharChapNo"/>
    <w:basedOn w:val="OPCCharBase"/>
    <w:uiPriority w:val="1"/>
    <w:qFormat/>
    <w:rsid w:val="005967EB"/>
  </w:style>
  <w:style w:type="character" w:customStyle="1" w:styleId="CharChapText">
    <w:name w:val="CharChapText"/>
    <w:basedOn w:val="OPCCharBase"/>
    <w:uiPriority w:val="1"/>
    <w:qFormat/>
    <w:rsid w:val="005967EB"/>
  </w:style>
  <w:style w:type="character" w:customStyle="1" w:styleId="CharDivNo">
    <w:name w:val="CharDivNo"/>
    <w:basedOn w:val="OPCCharBase"/>
    <w:uiPriority w:val="1"/>
    <w:qFormat/>
    <w:rsid w:val="005967EB"/>
  </w:style>
  <w:style w:type="character" w:customStyle="1" w:styleId="CharDivText">
    <w:name w:val="CharDivText"/>
    <w:basedOn w:val="OPCCharBase"/>
    <w:uiPriority w:val="1"/>
    <w:qFormat/>
    <w:rsid w:val="005967EB"/>
  </w:style>
  <w:style w:type="character" w:customStyle="1" w:styleId="CharItalic">
    <w:name w:val="CharItalic"/>
    <w:basedOn w:val="OPCCharBase"/>
    <w:uiPriority w:val="1"/>
    <w:qFormat/>
    <w:rsid w:val="005967EB"/>
    <w:rPr>
      <w:i/>
    </w:rPr>
  </w:style>
  <w:style w:type="character" w:customStyle="1" w:styleId="CharPartNo">
    <w:name w:val="CharPartNo"/>
    <w:basedOn w:val="OPCCharBase"/>
    <w:uiPriority w:val="1"/>
    <w:qFormat/>
    <w:rsid w:val="005967EB"/>
  </w:style>
  <w:style w:type="character" w:customStyle="1" w:styleId="CharPartText">
    <w:name w:val="CharPartText"/>
    <w:basedOn w:val="OPCCharBase"/>
    <w:uiPriority w:val="1"/>
    <w:qFormat/>
    <w:rsid w:val="005967EB"/>
  </w:style>
  <w:style w:type="character" w:customStyle="1" w:styleId="CharSectno">
    <w:name w:val="CharSectno"/>
    <w:basedOn w:val="OPCCharBase"/>
    <w:qFormat/>
    <w:rsid w:val="005967EB"/>
  </w:style>
  <w:style w:type="character" w:customStyle="1" w:styleId="CharSubdNo">
    <w:name w:val="CharSubdNo"/>
    <w:basedOn w:val="OPCCharBase"/>
    <w:uiPriority w:val="1"/>
    <w:qFormat/>
    <w:rsid w:val="005967EB"/>
  </w:style>
  <w:style w:type="character" w:customStyle="1" w:styleId="CharSubdText">
    <w:name w:val="CharSubdText"/>
    <w:basedOn w:val="OPCCharBase"/>
    <w:uiPriority w:val="1"/>
    <w:qFormat/>
    <w:rsid w:val="005967EB"/>
  </w:style>
  <w:style w:type="paragraph" w:customStyle="1" w:styleId="CTA--">
    <w:name w:val="CTA --"/>
    <w:basedOn w:val="OPCParaBase"/>
    <w:next w:val="Normal"/>
    <w:rsid w:val="005967EB"/>
    <w:pPr>
      <w:spacing w:before="60" w:line="240" w:lineRule="atLeast"/>
      <w:ind w:left="142" w:hanging="142"/>
    </w:pPr>
    <w:rPr>
      <w:sz w:val="20"/>
    </w:rPr>
  </w:style>
  <w:style w:type="paragraph" w:customStyle="1" w:styleId="CTA-">
    <w:name w:val="CTA -"/>
    <w:basedOn w:val="OPCParaBase"/>
    <w:rsid w:val="005967EB"/>
    <w:pPr>
      <w:spacing w:before="60" w:line="240" w:lineRule="atLeast"/>
      <w:ind w:left="85" w:hanging="85"/>
    </w:pPr>
    <w:rPr>
      <w:sz w:val="20"/>
    </w:rPr>
  </w:style>
  <w:style w:type="paragraph" w:customStyle="1" w:styleId="CTA---">
    <w:name w:val="CTA ---"/>
    <w:basedOn w:val="OPCParaBase"/>
    <w:next w:val="Normal"/>
    <w:rsid w:val="005967EB"/>
    <w:pPr>
      <w:spacing w:before="60" w:line="240" w:lineRule="atLeast"/>
      <w:ind w:left="198" w:hanging="198"/>
    </w:pPr>
    <w:rPr>
      <w:sz w:val="20"/>
    </w:rPr>
  </w:style>
  <w:style w:type="paragraph" w:customStyle="1" w:styleId="CTA----">
    <w:name w:val="CTA ----"/>
    <w:basedOn w:val="OPCParaBase"/>
    <w:next w:val="Normal"/>
    <w:rsid w:val="005967EB"/>
    <w:pPr>
      <w:spacing w:before="60" w:line="240" w:lineRule="atLeast"/>
      <w:ind w:left="255" w:hanging="255"/>
    </w:pPr>
    <w:rPr>
      <w:sz w:val="20"/>
    </w:rPr>
  </w:style>
  <w:style w:type="paragraph" w:customStyle="1" w:styleId="CTA1a">
    <w:name w:val="CTA 1(a)"/>
    <w:basedOn w:val="OPCParaBase"/>
    <w:rsid w:val="005967EB"/>
    <w:pPr>
      <w:tabs>
        <w:tab w:val="right" w:pos="414"/>
      </w:tabs>
      <w:spacing w:before="40" w:line="240" w:lineRule="atLeast"/>
      <w:ind w:left="675" w:hanging="675"/>
    </w:pPr>
    <w:rPr>
      <w:sz w:val="20"/>
    </w:rPr>
  </w:style>
  <w:style w:type="paragraph" w:customStyle="1" w:styleId="CTA1ai">
    <w:name w:val="CTA 1(a)(i)"/>
    <w:basedOn w:val="OPCParaBase"/>
    <w:rsid w:val="005967EB"/>
    <w:pPr>
      <w:tabs>
        <w:tab w:val="right" w:pos="1004"/>
      </w:tabs>
      <w:spacing w:before="40" w:line="240" w:lineRule="atLeast"/>
      <w:ind w:left="1253" w:hanging="1253"/>
    </w:pPr>
    <w:rPr>
      <w:sz w:val="20"/>
    </w:rPr>
  </w:style>
  <w:style w:type="paragraph" w:customStyle="1" w:styleId="CTA2a">
    <w:name w:val="CTA 2(a)"/>
    <w:basedOn w:val="OPCParaBase"/>
    <w:rsid w:val="005967EB"/>
    <w:pPr>
      <w:tabs>
        <w:tab w:val="right" w:pos="482"/>
      </w:tabs>
      <w:spacing w:before="40" w:line="240" w:lineRule="atLeast"/>
      <w:ind w:left="748" w:hanging="748"/>
    </w:pPr>
    <w:rPr>
      <w:sz w:val="20"/>
    </w:rPr>
  </w:style>
  <w:style w:type="paragraph" w:customStyle="1" w:styleId="CTA2ai">
    <w:name w:val="CTA 2(a)(i)"/>
    <w:basedOn w:val="OPCParaBase"/>
    <w:rsid w:val="005967EB"/>
    <w:pPr>
      <w:tabs>
        <w:tab w:val="right" w:pos="1089"/>
      </w:tabs>
      <w:spacing w:before="40" w:line="240" w:lineRule="atLeast"/>
      <w:ind w:left="1327" w:hanging="1327"/>
    </w:pPr>
    <w:rPr>
      <w:sz w:val="20"/>
    </w:rPr>
  </w:style>
  <w:style w:type="paragraph" w:customStyle="1" w:styleId="CTA3a">
    <w:name w:val="CTA 3(a)"/>
    <w:basedOn w:val="OPCParaBase"/>
    <w:rsid w:val="005967EB"/>
    <w:pPr>
      <w:tabs>
        <w:tab w:val="right" w:pos="556"/>
      </w:tabs>
      <w:spacing w:before="40" w:line="240" w:lineRule="atLeast"/>
      <w:ind w:left="805" w:hanging="805"/>
    </w:pPr>
    <w:rPr>
      <w:sz w:val="20"/>
    </w:rPr>
  </w:style>
  <w:style w:type="paragraph" w:customStyle="1" w:styleId="CTA3ai">
    <w:name w:val="CTA 3(a)(i)"/>
    <w:basedOn w:val="OPCParaBase"/>
    <w:rsid w:val="005967EB"/>
    <w:pPr>
      <w:tabs>
        <w:tab w:val="right" w:pos="1140"/>
      </w:tabs>
      <w:spacing w:before="40" w:line="240" w:lineRule="atLeast"/>
      <w:ind w:left="1361" w:hanging="1361"/>
    </w:pPr>
    <w:rPr>
      <w:sz w:val="20"/>
    </w:rPr>
  </w:style>
  <w:style w:type="paragraph" w:customStyle="1" w:styleId="CTA4a">
    <w:name w:val="CTA 4(a)"/>
    <w:basedOn w:val="OPCParaBase"/>
    <w:rsid w:val="005967EB"/>
    <w:pPr>
      <w:tabs>
        <w:tab w:val="right" w:pos="624"/>
      </w:tabs>
      <w:spacing w:before="40" w:line="240" w:lineRule="atLeast"/>
      <w:ind w:left="873" w:hanging="873"/>
    </w:pPr>
    <w:rPr>
      <w:sz w:val="20"/>
    </w:rPr>
  </w:style>
  <w:style w:type="paragraph" w:customStyle="1" w:styleId="CTA4ai">
    <w:name w:val="CTA 4(a)(i)"/>
    <w:basedOn w:val="OPCParaBase"/>
    <w:rsid w:val="005967EB"/>
    <w:pPr>
      <w:tabs>
        <w:tab w:val="right" w:pos="1213"/>
      </w:tabs>
      <w:spacing w:before="40" w:line="240" w:lineRule="atLeast"/>
      <w:ind w:left="1452" w:hanging="1452"/>
    </w:pPr>
    <w:rPr>
      <w:sz w:val="20"/>
    </w:rPr>
  </w:style>
  <w:style w:type="paragraph" w:customStyle="1" w:styleId="CTACAPS">
    <w:name w:val="CTA CAPS"/>
    <w:basedOn w:val="OPCParaBase"/>
    <w:rsid w:val="005967EB"/>
    <w:pPr>
      <w:spacing w:before="60" w:line="240" w:lineRule="atLeast"/>
    </w:pPr>
    <w:rPr>
      <w:sz w:val="20"/>
    </w:rPr>
  </w:style>
  <w:style w:type="paragraph" w:customStyle="1" w:styleId="CTAright">
    <w:name w:val="CTA right"/>
    <w:basedOn w:val="OPCParaBase"/>
    <w:rsid w:val="005967EB"/>
    <w:pPr>
      <w:spacing w:before="60" w:line="240" w:lineRule="auto"/>
      <w:jc w:val="right"/>
    </w:pPr>
    <w:rPr>
      <w:sz w:val="20"/>
    </w:rPr>
  </w:style>
  <w:style w:type="paragraph" w:customStyle="1" w:styleId="subsection">
    <w:name w:val="subsection"/>
    <w:aliases w:val="ss"/>
    <w:basedOn w:val="OPCParaBase"/>
    <w:link w:val="subsectionChar"/>
    <w:rsid w:val="005967EB"/>
    <w:pPr>
      <w:tabs>
        <w:tab w:val="right" w:pos="1021"/>
      </w:tabs>
      <w:spacing w:before="180" w:line="240" w:lineRule="auto"/>
      <w:ind w:left="1134" w:hanging="1134"/>
    </w:pPr>
  </w:style>
  <w:style w:type="paragraph" w:customStyle="1" w:styleId="Definition">
    <w:name w:val="Definition"/>
    <w:aliases w:val="dd"/>
    <w:basedOn w:val="OPCParaBase"/>
    <w:rsid w:val="005967EB"/>
    <w:pPr>
      <w:spacing w:before="180" w:line="240" w:lineRule="auto"/>
      <w:ind w:left="1134"/>
    </w:pPr>
  </w:style>
  <w:style w:type="paragraph" w:customStyle="1" w:styleId="ETAsubitem">
    <w:name w:val="ETA(subitem)"/>
    <w:basedOn w:val="OPCParaBase"/>
    <w:rsid w:val="005967EB"/>
    <w:pPr>
      <w:tabs>
        <w:tab w:val="right" w:pos="340"/>
      </w:tabs>
      <w:spacing w:before="60" w:line="240" w:lineRule="auto"/>
      <w:ind w:left="454" w:hanging="454"/>
    </w:pPr>
    <w:rPr>
      <w:sz w:val="20"/>
    </w:rPr>
  </w:style>
  <w:style w:type="paragraph" w:customStyle="1" w:styleId="ETApara">
    <w:name w:val="ETA(para)"/>
    <w:basedOn w:val="OPCParaBase"/>
    <w:rsid w:val="005967EB"/>
    <w:pPr>
      <w:tabs>
        <w:tab w:val="right" w:pos="754"/>
      </w:tabs>
      <w:spacing w:before="60" w:line="240" w:lineRule="auto"/>
      <w:ind w:left="828" w:hanging="828"/>
    </w:pPr>
    <w:rPr>
      <w:sz w:val="20"/>
    </w:rPr>
  </w:style>
  <w:style w:type="paragraph" w:customStyle="1" w:styleId="ETAsubpara">
    <w:name w:val="ETA(subpara)"/>
    <w:basedOn w:val="OPCParaBase"/>
    <w:rsid w:val="005967EB"/>
    <w:pPr>
      <w:tabs>
        <w:tab w:val="right" w:pos="1083"/>
      </w:tabs>
      <w:spacing w:before="60" w:line="240" w:lineRule="auto"/>
      <w:ind w:left="1191" w:hanging="1191"/>
    </w:pPr>
    <w:rPr>
      <w:sz w:val="20"/>
    </w:rPr>
  </w:style>
  <w:style w:type="paragraph" w:customStyle="1" w:styleId="ETAsub-subpara">
    <w:name w:val="ETA(sub-subpara)"/>
    <w:basedOn w:val="OPCParaBase"/>
    <w:rsid w:val="005967EB"/>
    <w:pPr>
      <w:tabs>
        <w:tab w:val="right" w:pos="1412"/>
      </w:tabs>
      <w:spacing w:before="60" w:line="240" w:lineRule="auto"/>
      <w:ind w:left="1525" w:hanging="1525"/>
    </w:pPr>
    <w:rPr>
      <w:sz w:val="20"/>
    </w:rPr>
  </w:style>
  <w:style w:type="paragraph" w:customStyle="1" w:styleId="Formula">
    <w:name w:val="Formula"/>
    <w:basedOn w:val="OPCParaBase"/>
    <w:rsid w:val="005967EB"/>
    <w:pPr>
      <w:spacing w:line="240" w:lineRule="auto"/>
      <w:ind w:left="1134"/>
    </w:pPr>
    <w:rPr>
      <w:sz w:val="20"/>
    </w:rPr>
  </w:style>
  <w:style w:type="paragraph" w:styleId="Header">
    <w:name w:val="header"/>
    <w:basedOn w:val="OPCParaBase"/>
    <w:link w:val="HeaderChar"/>
    <w:unhideWhenUsed/>
    <w:rsid w:val="005967E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967EB"/>
    <w:rPr>
      <w:rFonts w:eastAsia="Times New Roman" w:cs="Times New Roman"/>
      <w:sz w:val="16"/>
      <w:lang w:eastAsia="en-AU"/>
    </w:rPr>
  </w:style>
  <w:style w:type="paragraph" w:customStyle="1" w:styleId="House">
    <w:name w:val="House"/>
    <w:basedOn w:val="OPCParaBase"/>
    <w:rsid w:val="005967EB"/>
    <w:pPr>
      <w:spacing w:line="240" w:lineRule="auto"/>
    </w:pPr>
    <w:rPr>
      <w:sz w:val="28"/>
    </w:rPr>
  </w:style>
  <w:style w:type="paragraph" w:customStyle="1" w:styleId="Item">
    <w:name w:val="Item"/>
    <w:aliases w:val="i"/>
    <w:basedOn w:val="OPCParaBase"/>
    <w:next w:val="ItemHead"/>
    <w:rsid w:val="005967EB"/>
    <w:pPr>
      <w:keepLines/>
      <w:spacing w:before="80" w:line="240" w:lineRule="auto"/>
      <w:ind w:left="709"/>
    </w:pPr>
  </w:style>
  <w:style w:type="paragraph" w:customStyle="1" w:styleId="ItemHead">
    <w:name w:val="ItemHead"/>
    <w:aliases w:val="ih"/>
    <w:basedOn w:val="OPCParaBase"/>
    <w:next w:val="Item"/>
    <w:rsid w:val="005967E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967EB"/>
    <w:pPr>
      <w:spacing w:line="240" w:lineRule="auto"/>
    </w:pPr>
    <w:rPr>
      <w:b/>
      <w:sz w:val="32"/>
    </w:rPr>
  </w:style>
  <w:style w:type="paragraph" w:customStyle="1" w:styleId="notedraft">
    <w:name w:val="note(draft)"/>
    <w:aliases w:val="nd"/>
    <w:basedOn w:val="OPCParaBase"/>
    <w:rsid w:val="005967EB"/>
    <w:pPr>
      <w:spacing w:before="240" w:line="240" w:lineRule="auto"/>
      <w:ind w:left="284" w:hanging="284"/>
    </w:pPr>
    <w:rPr>
      <w:i/>
      <w:sz w:val="24"/>
    </w:rPr>
  </w:style>
  <w:style w:type="paragraph" w:customStyle="1" w:styleId="notemargin">
    <w:name w:val="note(margin)"/>
    <w:aliases w:val="nm"/>
    <w:basedOn w:val="OPCParaBase"/>
    <w:rsid w:val="005967EB"/>
    <w:pPr>
      <w:tabs>
        <w:tab w:val="left" w:pos="709"/>
      </w:tabs>
      <w:spacing w:before="122" w:line="198" w:lineRule="exact"/>
      <w:ind w:left="709" w:hanging="709"/>
    </w:pPr>
    <w:rPr>
      <w:sz w:val="18"/>
    </w:rPr>
  </w:style>
  <w:style w:type="paragraph" w:customStyle="1" w:styleId="noteToPara">
    <w:name w:val="noteToPara"/>
    <w:aliases w:val="ntp"/>
    <w:basedOn w:val="OPCParaBase"/>
    <w:rsid w:val="005967EB"/>
    <w:pPr>
      <w:spacing w:before="122" w:line="198" w:lineRule="exact"/>
      <w:ind w:left="2353" w:hanging="709"/>
    </w:pPr>
    <w:rPr>
      <w:sz w:val="18"/>
    </w:rPr>
  </w:style>
  <w:style w:type="paragraph" w:customStyle="1" w:styleId="noteParlAmend">
    <w:name w:val="note(ParlAmend)"/>
    <w:aliases w:val="npp"/>
    <w:basedOn w:val="OPCParaBase"/>
    <w:next w:val="ParlAmend"/>
    <w:rsid w:val="005967EB"/>
    <w:pPr>
      <w:spacing w:line="240" w:lineRule="auto"/>
      <w:jc w:val="right"/>
    </w:pPr>
    <w:rPr>
      <w:rFonts w:ascii="Arial" w:hAnsi="Arial"/>
      <w:b/>
      <w:i/>
    </w:rPr>
  </w:style>
  <w:style w:type="paragraph" w:customStyle="1" w:styleId="Page1">
    <w:name w:val="Page1"/>
    <w:basedOn w:val="OPCParaBase"/>
    <w:rsid w:val="005967EB"/>
    <w:pPr>
      <w:spacing w:before="5600" w:line="240" w:lineRule="auto"/>
    </w:pPr>
    <w:rPr>
      <w:b/>
      <w:sz w:val="32"/>
    </w:rPr>
  </w:style>
  <w:style w:type="paragraph" w:customStyle="1" w:styleId="PageBreak">
    <w:name w:val="PageBreak"/>
    <w:aliases w:val="pb"/>
    <w:basedOn w:val="OPCParaBase"/>
    <w:rsid w:val="005967EB"/>
    <w:pPr>
      <w:spacing w:line="240" w:lineRule="auto"/>
    </w:pPr>
    <w:rPr>
      <w:sz w:val="20"/>
    </w:rPr>
  </w:style>
  <w:style w:type="paragraph" w:customStyle="1" w:styleId="paragraphsub">
    <w:name w:val="paragraph(sub)"/>
    <w:aliases w:val="aa"/>
    <w:basedOn w:val="OPCParaBase"/>
    <w:rsid w:val="005967EB"/>
    <w:pPr>
      <w:tabs>
        <w:tab w:val="right" w:pos="1985"/>
      </w:tabs>
      <w:spacing w:before="40" w:line="240" w:lineRule="auto"/>
      <w:ind w:left="2098" w:hanging="2098"/>
    </w:pPr>
  </w:style>
  <w:style w:type="paragraph" w:customStyle="1" w:styleId="paragraphsub-sub">
    <w:name w:val="paragraph(sub-sub)"/>
    <w:aliases w:val="aaa"/>
    <w:basedOn w:val="OPCParaBase"/>
    <w:rsid w:val="005967EB"/>
    <w:pPr>
      <w:tabs>
        <w:tab w:val="right" w:pos="2722"/>
      </w:tabs>
      <w:spacing w:before="40" w:line="240" w:lineRule="auto"/>
      <w:ind w:left="2835" w:hanging="2835"/>
    </w:pPr>
  </w:style>
  <w:style w:type="paragraph" w:customStyle="1" w:styleId="paragraph">
    <w:name w:val="paragraph"/>
    <w:aliases w:val="a"/>
    <w:basedOn w:val="OPCParaBase"/>
    <w:link w:val="paragraphChar"/>
    <w:rsid w:val="005967EB"/>
    <w:pPr>
      <w:tabs>
        <w:tab w:val="right" w:pos="1531"/>
      </w:tabs>
      <w:spacing w:before="40" w:line="240" w:lineRule="auto"/>
      <w:ind w:left="1644" w:hanging="1644"/>
    </w:pPr>
  </w:style>
  <w:style w:type="paragraph" w:customStyle="1" w:styleId="ParlAmend">
    <w:name w:val="ParlAmend"/>
    <w:aliases w:val="pp"/>
    <w:basedOn w:val="OPCParaBase"/>
    <w:rsid w:val="005967EB"/>
    <w:pPr>
      <w:spacing w:before="240" w:line="240" w:lineRule="atLeast"/>
      <w:ind w:hanging="567"/>
    </w:pPr>
    <w:rPr>
      <w:sz w:val="24"/>
    </w:rPr>
  </w:style>
  <w:style w:type="paragraph" w:customStyle="1" w:styleId="Penalty">
    <w:name w:val="Penalty"/>
    <w:basedOn w:val="OPCParaBase"/>
    <w:rsid w:val="005967EB"/>
    <w:pPr>
      <w:tabs>
        <w:tab w:val="left" w:pos="2977"/>
      </w:tabs>
      <w:spacing w:before="180" w:line="240" w:lineRule="auto"/>
      <w:ind w:left="1985" w:hanging="851"/>
    </w:pPr>
  </w:style>
  <w:style w:type="paragraph" w:customStyle="1" w:styleId="Portfolio">
    <w:name w:val="Portfolio"/>
    <w:basedOn w:val="OPCParaBase"/>
    <w:rsid w:val="005967EB"/>
    <w:pPr>
      <w:spacing w:line="240" w:lineRule="auto"/>
    </w:pPr>
    <w:rPr>
      <w:i/>
      <w:sz w:val="20"/>
    </w:rPr>
  </w:style>
  <w:style w:type="paragraph" w:customStyle="1" w:styleId="Preamble">
    <w:name w:val="Preamble"/>
    <w:basedOn w:val="OPCParaBase"/>
    <w:next w:val="Normal"/>
    <w:rsid w:val="005967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967EB"/>
    <w:pPr>
      <w:spacing w:line="240" w:lineRule="auto"/>
    </w:pPr>
    <w:rPr>
      <w:i/>
      <w:sz w:val="20"/>
    </w:rPr>
  </w:style>
  <w:style w:type="paragraph" w:customStyle="1" w:styleId="Session">
    <w:name w:val="Session"/>
    <w:basedOn w:val="OPCParaBase"/>
    <w:rsid w:val="005967EB"/>
    <w:pPr>
      <w:spacing w:line="240" w:lineRule="auto"/>
    </w:pPr>
    <w:rPr>
      <w:sz w:val="28"/>
    </w:rPr>
  </w:style>
  <w:style w:type="paragraph" w:customStyle="1" w:styleId="Sponsor">
    <w:name w:val="Sponsor"/>
    <w:basedOn w:val="OPCParaBase"/>
    <w:rsid w:val="005967EB"/>
    <w:pPr>
      <w:spacing w:line="240" w:lineRule="auto"/>
    </w:pPr>
    <w:rPr>
      <w:i/>
    </w:rPr>
  </w:style>
  <w:style w:type="paragraph" w:customStyle="1" w:styleId="Subitem">
    <w:name w:val="Subitem"/>
    <w:aliases w:val="iss"/>
    <w:basedOn w:val="OPCParaBase"/>
    <w:rsid w:val="005967EB"/>
    <w:pPr>
      <w:spacing w:before="180" w:line="240" w:lineRule="auto"/>
      <w:ind w:left="709" w:hanging="709"/>
    </w:pPr>
  </w:style>
  <w:style w:type="paragraph" w:customStyle="1" w:styleId="SubitemHead">
    <w:name w:val="SubitemHead"/>
    <w:aliases w:val="issh"/>
    <w:basedOn w:val="OPCParaBase"/>
    <w:rsid w:val="005967E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967EB"/>
    <w:pPr>
      <w:spacing w:before="40" w:line="240" w:lineRule="auto"/>
      <w:ind w:left="1134"/>
    </w:pPr>
  </w:style>
  <w:style w:type="paragraph" w:customStyle="1" w:styleId="SubsectionHead">
    <w:name w:val="SubsectionHead"/>
    <w:aliases w:val="ssh"/>
    <w:basedOn w:val="OPCParaBase"/>
    <w:next w:val="subsection"/>
    <w:rsid w:val="005967EB"/>
    <w:pPr>
      <w:keepNext/>
      <w:keepLines/>
      <w:spacing w:before="240" w:line="240" w:lineRule="auto"/>
      <w:ind w:left="1134"/>
    </w:pPr>
    <w:rPr>
      <w:i/>
    </w:rPr>
  </w:style>
  <w:style w:type="paragraph" w:customStyle="1" w:styleId="Tablea">
    <w:name w:val="Table(a)"/>
    <w:aliases w:val="ta"/>
    <w:basedOn w:val="OPCParaBase"/>
    <w:rsid w:val="005967EB"/>
    <w:pPr>
      <w:spacing w:before="60" w:line="240" w:lineRule="auto"/>
      <w:ind w:left="284" w:hanging="284"/>
    </w:pPr>
    <w:rPr>
      <w:sz w:val="20"/>
    </w:rPr>
  </w:style>
  <w:style w:type="paragraph" w:customStyle="1" w:styleId="TableAA">
    <w:name w:val="Table(AA)"/>
    <w:aliases w:val="taaa"/>
    <w:basedOn w:val="OPCParaBase"/>
    <w:rsid w:val="005967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967E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967EB"/>
    <w:pPr>
      <w:spacing w:before="60" w:line="240" w:lineRule="atLeast"/>
    </w:pPr>
    <w:rPr>
      <w:sz w:val="20"/>
    </w:rPr>
  </w:style>
  <w:style w:type="paragraph" w:customStyle="1" w:styleId="TLPBoxTextnote">
    <w:name w:val="TLPBoxText(note"/>
    <w:aliases w:val="right)"/>
    <w:basedOn w:val="OPCParaBase"/>
    <w:rsid w:val="005967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67E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67EB"/>
    <w:pPr>
      <w:spacing w:before="122" w:line="198" w:lineRule="exact"/>
      <w:ind w:left="1985" w:hanging="851"/>
      <w:jc w:val="right"/>
    </w:pPr>
    <w:rPr>
      <w:sz w:val="18"/>
    </w:rPr>
  </w:style>
  <w:style w:type="paragraph" w:customStyle="1" w:styleId="TLPTableBullet">
    <w:name w:val="TLPTableBullet"/>
    <w:aliases w:val="ttb"/>
    <w:basedOn w:val="OPCParaBase"/>
    <w:rsid w:val="005967EB"/>
    <w:pPr>
      <w:spacing w:line="240" w:lineRule="exact"/>
      <w:ind w:left="284" w:hanging="284"/>
    </w:pPr>
    <w:rPr>
      <w:sz w:val="20"/>
    </w:rPr>
  </w:style>
  <w:style w:type="paragraph" w:styleId="TOC1">
    <w:name w:val="toc 1"/>
    <w:basedOn w:val="Normal"/>
    <w:next w:val="Normal"/>
    <w:uiPriority w:val="39"/>
    <w:unhideWhenUsed/>
    <w:rsid w:val="005967E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967E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967E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967E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967E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967E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967E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967E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967E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967EB"/>
    <w:pPr>
      <w:keepLines/>
      <w:spacing w:before="240" w:after="120" w:line="240" w:lineRule="auto"/>
      <w:ind w:left="794"/>
    </w:pPr>
    <w:rPr>
      <w:b/>
      <w:kern w:val="28"/>
      <w:sz w:val="20"/>
    </w:rPr>
  </w:style>
  <w:style w:type="paragraph" w:customStyle="1" w:styleId="TofSectsHeading">
    <w:name w:val="TofSects(Heading)"/>
    <w:basedOn w:val="OPCParaBase"/>
    <w:rsid w:val="005967EB"/>
    <w:pPr>
      <w:spacing w:before="240" w:after="120" w:line="240" w:lineRule="auto"/>
    </w:pPr>
    <w:rPr>
      <w:b/>
      <w:sz w:val="24"/>
    </w:rPr>
  </w:style>
  <w:style w:type="paragraph" w:customStyle="1" w:styleId="TofSectsSection">
    <w:name w:val="TofSects(Section)"/>
    <w:basedOn w:val="OPCParaBase"/>
    <w:rsid w:val="005967EB"/>
    <w:pPr>
      <w:keepLines/>
      <w:spacing w:before="40" w:line="240" w:lineRule="auto"/>
      <w:ind w:left="1588" w:hanging="794"/>
    </w:pPr>
    <w:rPr>
      <w:kern w:val="28"/>
      <w:sz w:val="18"/>
    </w:rPr>
  </w:style>
  <w:style w:type="paragraph" w:customStyle="1" w:styleId="TofSectsSubdiv">
    <w:name w:val="TofSects(Subdiv)"/>
    <w:basedOn w:val="OPCParaBase"/>
    <w:rsid w:val="005967EB"/>
    <w:pPr>
      <w:keepLines/>
      <w:spacing w:before="80" w:line="240" w:lineRule="auto"/>
      <w:ind w:left="1588" w:hanging="794"/>
    </w:pPr>
    <w:rPr>
      <w:kern w:val="28"/>
    </w:rPr>
  </w:style>
  <w:style w:type="paragraph" w:customStyle="1" w:styleId="WRStyle">
    <w:name w:val="WR Style"/>
    <w:aliases w:val="WR"/>
    <w:basedOn w:val="OPCParaBase"/>
    <w:rsid w:val="005967EB"/>
    <w:pPr>
      <w:spacing w:before="240" w:line="240" w:lineRule="auto"/>
      <w:ind w:left="284" w:hanging="284"/>
    </w:pPr>
    <w:rPr>
      <w:b/>
      <w:i/>
      <w:kern w:val="28"/>
      <w:sz w:val="24"/>
    </w:rPr>
  </w:style>
  <w:style w:type="paragraph" w:customStyle="1" w:styleId="notepara">
    <w:name w:val="note(para)"/>
    <w:aliases w:val="na"/>
    <w:basedOn w:val="OPCParaBase"/>
    <w:rsid w:val="005967EB"/>
    <w:pPr>
      <w:spacing w:before="40" w:line="198" w:lineRule="exact"/>
      <w:ind w:left="2354" w:hanging="369"/>
    </w:pPr>
    <w:rPr>
      <w:sz w:val="18"/>
    </w:rPr>
  </w:style>
  <w:style w:type="paragraph" w:styleId="Footer">
    <w:name w:val="footer"/>
    <w:link w:val="FooterChar"/>
    <w:rsid w:val="005967E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967EB"/>
    <w:rPr>
      <w:rFonts w:eastAsia="Times New Roman" w:cs="Times New Roman"/>
      <w:sz w:val="22"/>
      <w:szCs w:val="24"/>
      <w:lang w:eastAsia="en-AU"/>
    </w:rPr>
  </w:style>
  <w:style w:type="character" w:styleId="LineNumber">
    <w:name w:val="line number"/>
    <w:basedOn w:val="OPCCharBase"/>
    <w:uiPriority w:val="99"/>
    <w:unhideWhenUsed/>
    <w:rsid w:val="005967EB"/>
    <w:rPr>
      <w:sz w:val="16"/>
    </w:rPr>
  </w:style>
  <w:style w:type="table" w:customStyle="1" w:styleId="CFlag">
    <w:name w:val="CFlag"/>
    <w:basedOn w:val="TableNormal"/>
    <w:uiPriority w:val="99"/>
    <w:rsid w:val="005967EB"/>
    <w:rPr>
      <w:rFonts w:eastAsia="Times New Roman" w:cs="Times New Roman"/>
      <w:lang w:eastAsia="en-AU"/>
    </w:rPr>
    <w:tblPr/>
  </w:style>
  <w:style w:type="paragraph" w:styleId="BalloonText">
    <w:name w:val="Balloon Text"/>
    <w:basedOn w:val="Normal"/>
    <w:link w:val="BalloonTextChar"/>
    <w:uiPriority w:val="99"/>
    <w:unhideWhenUsed/>
    <w:rsid w:val="005967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967EB"/>
    <w:rPr>
      <w:rFonts w:ascii="Tahoma" w:hAnsi="Tahoma" w:cs="Tahoma"/>
      <w:sz w:val="16"/>
      <w:szCs w:val="16"/>
    </w:rPr>
  </w:style>
  <w:style w:type="table" w:styleId="TableGrid">
    <w:name w:val="Table Grid"/>
    <w:basedOn w:val="TableNormal"/>
    <w:uiPriority w:val="59"/>
    <w:rsid w:val="00596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967EB"/>
    <w:rPr>
      <w:b/>
      <w:sz w:val="28"/>
      <w:szCs w:val="32"/>
    </w:rPr>
  </w:style>
  <w:style w:type="paragraph" w:customStyle="1" w:styleId="LegislationMadeUnder">
    <w:name w:val="LegislationMadeUnder"/>
    <w:basedOn w:val="OPCParaBase"/>
    <w:next w:val="Normal"/>
    <w:rsid w:val="005967EB"/>
    <w:rPr>
      <w:i/>
      <w:sz w:val="32"/>
      <w:szCs w:val="32"/>
    </w:rPr>
  </w:style>
  <w:style w:type="paragraph" w:customStyle="1" w:styleId="SignCoverPageEnd">
    <w:name w:val="SignCoverPageEnd"/>
    <w:basedOn w:val="OPCParaBase"/>
    <w:next w:val="Normal"/>
    <w:rsid w:val="005967E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967EB"/>
    <w:pPr>
      <w:pBdr>
        <w:top w:val="single" w:sz="4" w:space="1" w:color="auto"/>
      </w:pBdr>
      <w:spacing w:before="360"/>
      <w:ind w:right="397"/>
      <w:jc w:val="both"/>
    </w:pPr>
  </w:style>
  <w:style w:type="paragraph" w:customStyle="1" w:styleId="NotesHeading1">
    <w:name w:val="NotesHeading 1"/>
    <w:basedOn w:val="OPCParaBase"/>
    <w:next w:val="Normal"/>
    <w:rsid w:val="005967EB"/>
    <w:rPr>
      <w:b/>
      <w:sz w:val="28"/>
      <w:szCs w:val="28"/>
    </w:rPr>
  </w:style>
  <w:style w:type="paragraph" w:customStyle="1" w:styleId="NotesHeading2">
    <w:name w:val="NotesHeading 2"/>
    <w:basedOn w:val="OPCParaBase"/>
    <w:next w:val="Normal"/>
    <w:rsid w:val="005967EB"/>
    <w:rPr>
      <w:b/>
      <w:sz w:val="28"/>
      <w:szCs w:val="28"/>
    </w:rPr>
  </w:style>
  <w:style w:type="paragraph" w:customStyle="1" w:styleId="ENotesText">
    <w:name w:val="ENotesText"/>
    <w:aliases w:val="Ent"/>
    <w:basedOn w:val="OPCParaBase"/>
    <w:next w:val="Normal"/>
    <w:rsid w:val="005967EB"/>
    <w:pPr>
      <w:spacing w:before="120"/>
    </w:pPr>
  </w:style>
  <w:style w:type="paragraph" w:customStyle="1" w:styleId="CompiledActNo">
    <w:name w:val="CompiledActNo"/>
    <w:basedOn w:val="OPCParaBase"/>
    <w:next w:val="Normal"/>
    <w:rsid w:val="005967EB"/>
    <w:rPr>
      <w:b/>
      <w:sz w:val="24"/>
      <w:szCs w:val="24"/>
    </w:rPr>
  </w:style>
  <w:style w:type="paragraph" w:customStyle="1" w:styleId="CompiledMadeUnder">
    <w:name w:val="CompiledMadeUnder"/>
    <w:basedOn w:val="OPCParaBase"/>
    <w:next w:val="Normal"/>
    <w:rsid w:val="005967EB"/>
    <w:rPr>
      <w:i/>
      <w:sz w:val="24"/>
      <w:szCs w:val="24"/>
    </w:rPr>
  </w:style>
  <w:style w:type="paragraph" w:customStyle="1" w:styleId="Paragraphsub-sub-sub">
    <w:name w:val="Paragraph(sub-sub-sub)"/>
    <w:aliases w:val="aaaa"/>
    <w:basedOn w:val="OPCParaBase"/>
    <w:rsid w:val="005967E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967E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967E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967E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967E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967EB"/>
    <w:pPr>
      <w:spacing w:before="60" w:line="240" w:lineRule="auto"/>
    </w:pPr>
    <w:rPr>
      <w:rFonts w:cs="Arial"/>
      <w:sz w:val="20"/>
      <w:szCs w:val="22"/>
    </w:rPr>
  </w:style>
  <w:style w:type="paragraph" w:customStyle="1" w:styleId="NoteToSubpara">
    <w:name w:val="NoteToSubpara"/>
    <w:aliases w:val="nts"/>
    <w:basedOn w:val="OPCParaBase"/>
    <w:rsid w:val="005967EB"/>
    <w:pPr>
      <w:spacing w:before="40" w:line="198" w:lineRule="exact"/>
      <w:ind w:left="2835" w:hanging="709"/>
    </w:pPr>
    <w:rPr>
      <w:sz w:val="18"/>
    </w:rPr>
  </w:style>
  <w:style w:type="paragraph" w:customStyle="1" w:styleId="ENoteTableHeading">
    <w:name w:val="ENoteTableHeading"/>
    <w:aliases w:val="enth"/>
    <w:basedOn w:val="OPCParaBase"/>
    <w:rsid w:val="005967EB"/>
    <w:pPr>
      <w:keepNext/>
      <w:spacing w:before="60" w:line="240" w:lineRule="atLeast"/>
    </w:pPr>
    <w:rPr>
      <w:rFonts w:ascii="Arial" w:hAnsi="Arial"/>
      <w:b/>
      <w:sz w:val="16"/>
    </w:rPr>
  </w:style>
  <w:style w:type="paragraph" w:customStyle="1" w:styleId="ENoteTTi">
    <w:name w:val="ENoteTTi"/>
    <w:aliases w:val="entti"/>
    <w:basedOn w:val="OPCParaBase"/>
    <w:rsid w:val="005967EB"/>
    <w:pPr>
      <w:keepNext/>
      <w:spacing w:before="60" w:line="240" w:lineRule="atLeast"/>
      <w:ind w:left="170"/>
    </w:pPr>
    <w:rPr>
      <w:sz w:val="16"/>
    </w:rPr>
  </w:style>
  <w:style w:type="paragraph" w:customStyle="1" w:styleId="ENotesHeading1">
    <w:name w:val="ENotesHeading 1"/>
    <w:aliases w:val="Enh1"/>
    <w:basedOn w:val="OPCParaBase"/>
    <w:next w:val="Normal"/>
    <w:rsid w:val="005967EB"/>
    <w:pPr>
      <w:spacing w:before="120"/>
      <w:outlineLvl w:val="1"/>
    </w:pPr>
    <w:rPr>
      <w:b/>
      <w:sz w:val="28"/>
      <w:szCs w:val="28"/>
    </w:rPr>
  </w:style>
  <w:style w:type="paragraph" w:customStyle="1" w:styleId="ENotesHeading2">
    <w:name w:val="ENotesHeading 2"/>
    <w:aliases w:val="Enh2"/>
    <w:basedOn w:val="OPCParaBase"/>
    <w:next w:val="Normal"/>
    <w:rsid w:val="005967EB"/>
    <w:pPr>
      <w:spacing w:before="120" w:after="120"/>
      <w:outlineLvl w:val="2"/>
    </w:pPr>
    <w:rPr>
      <w:b/>
      <w:sz w:val="24"/>
      <w:szCs w:val="28"/>
    </w:rPr>
  </w:style>
  <w:style w:type="paragraph" w:customStyle="1" w:styleId="ENoteTTIndentHeading">
    <w:name w:val="ENoteTTIndentHeading"/>
    <w:aliases w:val="enTTHi"/>
    <w:basedOn w:val="OPCParaBase"/>
    <w:rsid w:val="005967E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967EB"/>
    <w:pPr>
      <w:spacing w:before="60" w:line="240" w:lineRule="atLeast"/>
    </w:pPr>
    <w:rPr>
      <w:sz w:val="16"/>
    </w:rPr>
  </w:style>
  <w:style w:type="paragraph" w:customStyle="1" w:styleId="MadeunderText">
    <w:name w:val="MadeunderText"/>
    <w:basedOn w:val="OPCParaBase"/>
    <w:next w:val="Normal"/>
    <w:rsid w:val="005967EB"/>
    <w:pPr>
      <w:spacing w:before="240"/>
    </w:pPr>
    <w:rPr>
      <w:sz w:val="24"/>
      <w:szCs w:val="24"/>
    </w:rPr>
  </w:style>
  <w:style w:type="paragraph" w:customStyle="1" w:styleId="ENotesHeading3">
    <w:name w:val="ENotesHeading 3"/>
    <w:aliases w:val="Enh3"/>
    <w:basedOn w:val="OPCParaBase"/>
    <w:next w:val="Normal"/>
    <w:rsid w:val="005967EB"/>
    <w:pPr>
      <w:keepNext/>
      <w:spacing w:before="120" w:line="240" w:lineRule="auto"/>
      <w:outlineLvl w:val="4"/>
    </w:pPr>
    <w:rPr>
      <w:b/>
      <w:szCs w:val="24"/>
    </w:rPr>
  </w:style>
  <w:style w:type="character" w:customStyle="1" w:styleId="CharSubPartTextCASA">
    <w:name w:val="CharSubPartText(CASA)"/>
    <w:basedOn w:val="OPCCharBase"/>
    <w:uiPriority w:val="1"/>
    <w:rsid w:val="005967EB"/>
  </w:style>
  <w:style w:type="character" w:customStyle="1" w:styleId="CharSubPartNoCASA">
    <w:name w:val="CharSubPartNo(CASA)"/>
    <w:basedOn w:val="OPCCharBase"/>
    <w:uiPriority w:val="1"/>
    <w:rsid w:val="005967EB"/>
  </w:style>
  <w:style w:type="paragraph" w:customStyle="1" w:styleId="ENoteTTIndentHeadingSub">
    <w:name w:val="ENoteTTIndentHeadingSub"/>
    <w:aliases w:val="enTTHis"/>
    <w:basedOn w:val="OPCParaBase"/>
    <w:rsid w:val="005967EB"/>
    <w:pPr>
      <w:keepNext/>
      <w:spacing w:before="60" w:line="240" w:lineRule="atLeast"/>
      <w:ind w:left="340"/>
    </w:pPr>
    <w:rPr>
      <w:b/>
      <w:sz w:val="16"/>
    </w:rPr>
  </w:style>
  <w:style w:type="paragraph" w:customStyle="1" w:styleId="ENoteTTiSub">
    <w:name w:val="ENoteTTiSub"/>
    <w:aliases w:val="enttis"/>
    <w:basedOn w:val="OPCParaBase"/>
    <w:rsid w:val="005967EB"/>
    <w:pPr>
      <w:keepNext/>
      <w:spacing w:before="60" w:line="240" w:lineRule="atLeast"/>
      <w:ind w:left="340"/>
    </w:pPr>
    <w:rPr>
      <w:sz w:val="16"/>
    </w:rPr>
  </w:style>
  <w:style w:type="paragraph" w:customStyle="1" w:styleId="SubDivisionMigration">
    <w:name w:val="SubDivisionMigration"/>
    <w:aliases w:val="sdm"/>
    <w:basedOn w:val="OPCParaBase"/>
    <w:rsid w:val="005967E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967E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967EB"/>
    <w:pPr>
      <w:spacing w:before="122" w:line="240" w:lineRule="auto"/>
      <w:ind w:left="1985" w:hanging="851"/>
    </w:pPr>
    <w:rPr>
      <w:sz w:val="18"/>
    </w:rPr>
  </w:style>
  <w:style w:type="paragraph" w:customStyle="1" w:styleId="FreeForm">
    <w:name w:val="FreeForm"/>
    <w:rsid w:val="005967EB"/>
    <w:rPr>
      <w:rFonts w:ascii="Arial" w:hAnsi="Arial"/>
      <w:sz w:val="22"/>
    </w:rPr>
  </w:style>
  <w:style w:type="paragraph" w:customStyle="1" w:styleId="SOText">
    <w:name w:val="SO Text"/>
    <w:aliases w:val="sot"/>
    <w:link w:val="SOTextChar"/>
    <w:rsid w:val="005967E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967EB"/>
    <w:rPr>
      <w:sz w:val="22"/>
    </w:rPr>
  </w:style>
  <w:style w:type="paragraph" w:customStyle="1" w:styleId="SOTextNote">
    <w:name w:val="SO TextNote"/>
    <w:aliases w:val="sont"/>
    <w:basedOn w:val="SOText"/>
    <w:qFormat/>
    <w:rsid w:val="005967EB"/>
    <w:pPr>
      <w:spacing w:before="122" w:line="198" w:lineRule="exact"/>
      <w:ind w:left="1843" w:hanging="709"/>
    </w:pPr>
    <w:rPr>
      <w:sz w:val="18"/>
    </w:rPr>
  </w:style>
  <w:style w:type="paragraph" w:customStyle="1" w:styleId="SOPara">
    <w:name w:val="SO Para"/>
    <w:aliases w:val="soa"/>
    <w:basedOn w:val="SOText"/>
    <w:link w:val="SOParaChar"/>
    <w:qFormat/>
    <w:rsid w:val="005967EB"/>
    <w:pPr>
      <w:tabs>
        <w:tab w:val="right" w:pos="1786"/>
      </w:tabs>
      <w:spacing w:before="40"/>
      <w:ind w:left="2070" w:hanging="936"/>
    </w:pPr>
  </w:style>
  <w:style w:type="character" w:customStyle="1" w:styleId="SOParaChar">
    <w:name w:val="SO Para Char"/>
    <w:aliases w:val="soa Char"/>
    <w:basedOn w:val="DefaultParagraphFont"/>
    <w:link w:val="SOPara"/>
    <w:rsid w:val="005967EB"/>
    <w:rPr>
      <w:sz w:val="22"/>
    </w:rPr>
  </w:style>
  <w:style w:type="paragraph" w:customStyle="1" w:styleId="FileName">
    <w:name w:val="FileName"/>
    <w:basedOn w:val="Normal"/>
    <w:rsid w:val="005967EB"/>
  </w:style>
  <w:style w:type="paragraph" w:customStyle="1" w:styleId="TableHeading">
    <w:name w:val="TableHeading"/>
    <w:aliases w:val="th"/>
    <w:basedOn w:val="OPCParaBase"/>
    <w:next w:val="Tabletext"/>
    <w:rsid w:val="005967EB"/>
    <w:pPr>
      <w:keepNext/>
      <w:spacing w:before="60" w:line="240" w:lineRule="atLeast"/>
    </w:pPr>
    <w:rPr>
      <w:b/>
      <w:sz w:val="20"/>
    </w:rPr>
  </w:style>
  <w:style w:type="paragraph" w:customStyle="1" w:styleId="SOHeadBold">
    <w:name w:val="SO HeadBold"/>
    <w:aliases w:val="sohb"/>
    <w:basedOn w:val="SOText"/>
    <w:next w:val="SOText"/>
    <w:link w:val="SOHeadBoldChar"/>
    <w:qFormat/>
    <w:rsid w:val="005967EB"/>
    <w:rPr>
      <w:b/>
    </w:rPr>
  </w:style>
  <w:style w:type="character" w:customStyle="1" w:styleId="SOHeadBoldChar">
    <w:name w:val="SO HeadBold Char"/>
    <w:aliases w:val="sohb Char"/>
    <w:basedOn w:val="DefaultParagraphFont"/>
    <w:link w:val="SOHeadBold"/>
    <w:rsid w:val="005967EB"/>
    <w:rPr>
      <w:b/>
      <w:sz w:val="22"/>
    </w:rPr>
  </w:style>
  <w:style w:type="paragraph" w:customStyle="1" w:styleId="SOHeadItalic">
    <w:name w:val="SO HeadItalic"/>
    <w:aliases w:val="sohi"/>
    <w:basedOn w:val="SOText"/>
    <w:next w:val="SOText"/>
    <w:link w:val="SOHeadItalicChar"/>
    <w:qFormat/>
    <w:rsid w:val="005967EB"/>
    <w:rPr>
      <w:i/>
    </w:rPr>
  </w:style>
  <w:style w:type="character" w:customStyle="1" w:styleId="SOHeadItalicChar">
    <w:name w:val="SO HeadItalic Char"/>
    <w:aliases w:val="sohi Char"/>
    <w:basedOn w:val="DefaultParagraphFont"/>
    <w:link w:val="SOHeadItalic"/>
    <w:rsid w:val="005967EB"/>
    <w:rPr>
      <w:i/>
      <w:sz w:val="22"/>
    </w:rPr>
  </w:style>
  <w:style w:type="paragraph" w:customStyle="1" w:styleId="SOBullet">
    <w:name w:val="SO Bullet"/>
    <w:aliases w:val="sotb"/>
    <w:basedOn w:val="SOText"/>
    <w:link w:val="SOBulletChar"/>
    <w:qFormat/>
    <w:rsid w:val="005967EB"/>
    <w:pPr>
      <w:ind w:left="1559" w:hanging="425"/>
    </w:pPr>
  </w:style>
  <w:style w:type="character" w:customStyle="1" w:styleId="SOBulletChar">
    <w:name w:val="SO Bullet Char"/>
    <w:aliases w:val="sotb Char"/>
    <w:basedOn w:val="DefaultParagraphFont"/>
    <w:link w:val="SOBullet"/>
    <w:rsid w:val="005967EB"/>
    <w:rPr>
      <w:sz w:val="22"/>
    </w:rPr>
  </w:style>
  <w:style w:type="paragraph" w:customStyle="1" w:styleId="SOBulletNote">
    <w:name w:val="SO BulletNote"/>
    <w:aliases w:val="sonb"/>
    <w:basedOn w:val="SOTextNote"/>
    <w:link w:val="SOBulletNoteChar"/>
    <w:qFormat/>
    <w:rsid w:val="005967EB"/>
    <w:pPr>
      <w:tabs>
        <w:tab w:val="left" w:pos="1560"/>
      </w:tabs>
      <w:ind w:left="2268" w:hanging="1134"/>
    </w:pPr>
  </w:style>
  <w:style w:type="character" w:customStyle="1" w:styleId="SOBulletNoteChar">
    <w:name w:val="SO BulletNote Char"/>
    <w:aliases w:val="sonb Char"/>
    <w:basedOn w:val="DefaultParagraphFont"/>
    <w:link w:val="SOBulletNote"/>
    <w:rsid w:val="005967EB"/>
    <w:rPr>
      <w:sz w:val="18"/>
    </w:rPr>
  </w:style>
  <w:style w:type="paragraph" w:customStyle="1" w:styleId="SOText2">
    <w:name w:val="SO Text2"/>
    <w:aliases w:val="sot2"/>
    <w:basedOn w:val="Normal"/>
    <w:next w:val="SOText"/>
    <w:link w:val="SOText2Char"/>
    <w:rsid w:val="005967E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967EB"/>
    <w:rPr>
      <w:sz w:val="22"/>
    </w:rPr>
  </w:style>
  <w:style w:type="paragraph" w:customStyle="1" w:styleId="SubPartCASA">
    <w:name w:val="SubPart(CASA)"/>
    <w:aliases w:val="csp"/>
    <w:basedOn w:val="OPCParaBase"/>
    <w:next w:val="ActHead3"/>
    <w:rsid w:val="005967E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967EB"/>
    <w:rPr>
      <w:rFonts w:eastAsia="Times New Roman" w:cs="Times New Roman"/>
      <w:sz w:val="22"/>
      <w:lang w:eastAsia="en-AU"/>
    </w:rPr>
  </w:style>
  <w:style w:type="character" w:customStyle="1" w:styleId="notetextChar">
    <w:name w:val="note(text) Char"/>
    <w:aliases w:val="n Char"/>
    <w:basedOn w:val="DefaultParagraphFont"/>
    <w:link w:val="notetext"/>
    <w:rsid w:val="005967EB"/>
    <w:rPr>
      <w:rFonts w:eastAsia="Times New Roman" w:cs="Times New Roman"/>
      <w:sz w:val="18"/>
      <w:lang w:eastAsia="en-AU"/>
    </w:rPr>
  </w:style>
  <w:style w:type="character" w:customStyle="1" w:styleId="Heading1Char">
    <w:name w:val="Heading 1 Char"/>
    <w:basedOn w:val="DefaultParagraphFont"/>
    <w:link w:val="Heading1"/>
    <w:uiPriority w:val="9"/>
    <w:rsid w:val="005967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7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67E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967E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967E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967E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967E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967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967EB"/>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5967EB"/>
  </w:style>
  <w:style w:type="character" w:customStyle="1" w:styleId="charlegsubtitle1">
    <w:name w:val="charlegsubtitle1"/>
    <w:basedOn w:val="DefaultParagraphFont"/>
    <w:rsid w:val="005967EB"/>
    <w:rPr>
      <w:rFonts w:ascii="Arial" w:hAnsi="Arial" w:cs="Arial" w:hint="default"/>
      <w:b/>
      <w:bCs/>
      <w:sz w:val="28"/>
      <w:szCs w:val="28"/>
    </w:rPr>
  </w:style>
  <w:style w:type="paragraph" w:styleId="Index1">
    <w:name w:val="index 1"/>
    <w:basedOn w:val="Normal"/>
    <w:next w:val="Normal"/>
    <w:autoRedefine/>
    <w:rsid w:val="005967EB"/>
    <w:pPr>
      <w:ind w:left="240" w:hanging="240"/>
    </w:pPr>
  </w:style>
  <w:style w:type="paragraph" w:styleId="Index2">
    <w:name w:val="index 2"/>
    <w:basedOn w:val="Normal"/>
    <w:next w:val="Normal"/>
    <w:autoRedefine/>
    <w:rsid w:val="005967EB"/>
    <w:pPr>
      <w:ind w:left="480" w:hanging="240"/>
    </w:pPr>
  </w:style>
  <w:style w:type="paragraph" w:styleId="Index3">
    <w:name w:val="index 3"/>
    <w:basedOn w:val="Normal"/>
    <w:next w:val="Normal"/>
    <w:autoRedefine/>
    <w:rsid w:val="005967EB"/>
    <w:pPr>
      <w:ind w:left="720" w:hanging="240"/>
    </w:pPr>
  </w:style>
  <w:style w:type="paragraph" w:styleId="Index4">
    <w:name w:val="index 4"/>
    <w:basedOn w:val="Normal"/>
    <w:next w:val="Normal"/>
    <w:autoRedefine/>
    <w:rsid w:val="005967EB"/>
    <w:pPr>
      <w:ind w:left="960" w:hanging="240"/>
    </w:pPr>
  </w:style>
  <w:style w:type="paragraph" w:styleId="Index5">
    <w:name w:val="index 5"/>
    <w:basedOn w:val="Normal"/>
    <w:next w:val="Normal"/>
    <w:autoRedefine/>
    <w:rsid w:val="005967EB"/>
    <w:pPr>
      <w:ind w:left="1200" w:hanging="240"/>
    </w:pPr>
  </w:style>
  <w:style w:type="paragraph" w:styleId="Index6">
    <w:name w:val="index 6"/>
    <w:basedOn w:val="Normal"/>
    <w:next w:val="Normal"/>
    <w:autoRedefine/>
    <w:rsid w:val="005967EB"/>
    <w:pPr>
      <w:ind w:left="1440" w:hanging="240"/>
    </w:pPr>
  </w:style>
  <w:style w:type="paragraph" w:styleId="Index7">
    <w:name w:val="index 7"/>
    <w:basedOn w:val="Normal"/>
    <w:next w:val="Normal"/>
    <w:autoRedefine/>
    <w:rsid w:val="005967EB"/>
    <w:pPr>
      <w:ind w:left="1680" w:hanging="240"/>
    </w:pPr>
  </w:style>
  <w:style w:type="paragraph" w:styleId="Index8">
    <w:name w:val="index 8"/>
    <w:basedOn w:val="Normal"/>
    <w:next w:val="Normal"/>
    <w:autoRedefine/>
    <w:rsid w:val="005967EB"/>
    <w:pPr>
      <w:ind w:left="1920" w:hanging="240"/>
    </w:pPr>
  </w:style>
  <w:style w:type="paragraph" w:styleId="Index9">
    <w:name w:val="index 9"/>
    <w:basedOn w:val="Normal"/>
    <w:next w:val="Normal"/>
    <w:autoRedefine/>
    <w:rsid w:val="005967EB"/>
    <w:pPr>
      <w:ind w:left="2160" w:hanging="240"/>
    </w:pPr>
  </w:style>
  <w:style w:type="paragraph" w:styleId="NormalIndent">
    <w:name w:val="Normal Indent"/>
    <w:basedOn w:val="Normal"/>
    <w:rsid w:val="005967EB"/>
    <w:pPr>
      <w:ind w:left="720"/>
    </w:pPr>
  </w:style>
  <w:style w:type="paragraph" w:styleId="FootnoteText">
    <w:name w:val="footnote text"/>
    <w:basedOn w:val="Normal"/>
    <w:link w:val="FootnoteTextChar"/>
    <w:rsid w:val="005967EB"/>
    <w:rPr>
      <w:sz w:val="20"/>
    </w:rPr>
  </w:style>
  <w:style w:type="character" w:customStyle="1" w:styleId="FootnoteTextChar">
    <w:name w:val="Footnote Text Char"/>
    <w:basedOn w:val="DefaultParagraphFont"/>
    <w:link w:val="FootnoteText"/>
    <w:rsid w:val="005967EB"/>
  </w:style>
  <w:style w:type="paragraph" w:styleId="CommentText">
    <w:name w:val="annotation text"/>
    <w:basedOn w:val="Normal"/>
    <w:link w:val="CommentTextChar"/>
    <w:rsid w:val="005967EB"/>
    <w:rPr>
      <w:sz w:val="20"/>
    </w:rPr>
  </w:style>
  <w:style w:type="character" w:customStyle="1" w:styleId="CommentTextChar">
    <w:name w:val="Comment Text Char"/>
    <w:basedOn w:val="DefaultParagraphFont"/>
    <w:link w:val="CommentText"/>
    <w:rsid w:val="005967EB"/>
  </w:style>
  <w:style w:type="paragraph" w:styleId="IndexHeading">
    <w:name w:val="index heading"/>
    <w:basedOn w:val="Normal"/>
    <w:next w:val="Index1"/>
    <w:rsid w:val="005967EB"/>
    <w:rPr>
      <w:rFonts w:ascii="Arial" w:hAnsi="Arial" w:cs="Arial"/>
      <w:b/>
      <w:bCs/>
    </w:rPr>
  </w:style>
  <w:style w:type="paragraph" w:styleId="Caption">
    <w:name w:val="caption"/>
    <w:basedOn w:val="Normal"/>
    <w:next w:val="Normal"/>
    <w:qFormat/>
    <w:rsid w:val="005967EB"/>
    <w:pPr>
      <w:spacing w:before="120" w:after="120"/>
    </w:pPr>
    <w:rPr>
      <w:b/>
      <w:bCs/>
      <w:sz w:val="20"/>
    </w:rPr>
  </w:style>
  <w:style w:type="paragraph" w:styleId="TableofFigures">
    <w:name w:val="table of figures"/>
    <w:basedOn w:val="Normal"/>
    <w:next w:val="Normal"/>
    <w:rsid w:val="005967EB"/>
    <w:pPr>
      <w:ind w:left="480" w:hanging="480"/>
    </w:pPr>
  </w:style>
  <w:style w:type="paragraph" w:styleId="EnvelopeAddress">
    <w:name w:val="envelope address"/>
    <w:basedOn w:val="Normal"/>
    <w:rsid w:val="005967E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967EB"/>
    <w:rPr>
      <w:rFonts w:ascii="Arial" w:hAnsi="Arial" w:cs="Arial"/>
      <w:sz w:val="20"/>
    </w:rPr>
  </w:style>
  <w:style w:type="character" w:styleId="FootnoteReference">
    <w:name w:val="footnote reference"/>
    <w:basedOn w:val="DefaultParagraphFont"/>
    <w:rsid w:val="005967EB"/>
    <w:rPr>
      <w:rFonts w:ascii="Times New Roman" w:hAnsi="Times New Roman"/>
      <w:sz w:val="20"/>
      <w:vertAlign w:val="superscript"/>
    </w:rPr>
  </w:style>
  <w:style w:type="character" w:styleId="CommentReference">
    <w:name w:val="annotation reference"/>
    <w:basedOn w:val="DefaultParagraphFont"/>
    <w:rsid w:val="005967EB"/>
    <w:rPr>
      <w:sz w:val="16"/>
      <w:szCs w:val="16"/>
    </w:rPr>
  </w:style>
  <w:style w:type="character" w:styleId="PageNumber">
    <w:name w:val="page number"/>
    <w:basedOn w:val="DefaultParagraphFont"/>
    <w:rsid w:val="005967EB"/>
  </w:style>
  <w:style w:type="character" w:styleId="EndnoteReference">
    <w:name w:val="endnote reference"/>
    <w:basedOn w:val="DefaultParagraphFont"/>
    <w:rsid w:val="005967EB"/>
    <w:rPr>
      <w:vertAlign w:val="superscript"/>
    </w:rPr>
  </w:style>
  <w:style w:type="paragraph" w:styleId="EndnoteText">
    <w:name w:val="endnote text"/>
    <w:basedOn w:val="Normal"/>
    <w:link w:val="EndnoteTextChar"/>
    <w:rsid w:val="005967EB"/>
    <w:rPr>
      <w:sz w:val="20"/>
    </w:rPr>
  </w:style>
  <w:style w:type="character" w:customStyle="1" w:styleId="EndnoteTextChar">
    <w:name w:val="Endnote Text Char"/>
    <w:basedOn w:val="DefaultParagraphFont"/>
    <w:link w:val="EndnoteText"/>
    <w:rsid w:val="005967EB"/>
  </w:style>
  <w:style w:type="paragraph" w:styleId="TableofAuthorities">
    <w:name w:val="table of authorities"/>
    <w:basedOn w:val="Normal"/>
    <w:next w:val="Normal"/>
    <w:rsid w:val="005967EB"/>
    <w:pPr>
      <w:ind w:left="240" w:hanging="240"/>
    </w:pPr>
  </w:style>
  <w:style w:type="paragraph" w:styleId="MacroText">
    <w:name w:val="macro"/>
    <w:link w:val="MacroTextChar"/>
    <w:rsid w:val="005967E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967EB"/>
    <w:rPr>
      <w:rFonts w:ascii="Courier New" w:eastAsia="Times New Roman" w:hAnsi="Courier New" w:cs="Courier New"/>
      <w:lang w:eastAsia="en-AU"/>
    </w:rPr>
  </w:style>
  <w:style w:type="paragraph" w:styleId="TOAHeading">
    <w:name w:val="toa heading"/>
    <w:basedOn w:val="Normal"/>
    <w:next w:val="Normal"/>
    <w:rsid w:val="005967EB"/>
    <w:pPr>
      <w:spacing w:before="120"/>
    </w:pPr>
    <w:rPr>
      <w:rFonts w:ascii="Arial" w:hAnsi="Arial" w:cs="Arial"/>
      <w:b/>
      <w:bCs/>
    </w:rPr>
  </w:style>
  <w:style w:type="paragraph" w:styleId="List">
    <w:name w:val="List"/>
    <w:basedOn w:val="Normal"/>
    <w:rsid w:val="005967EB"/>
    <w:pPr>
      <w:ind w:left="283" w:hanging="283"/>
    </w:pPr>
  </w:style>
  <w:style w:type="paragraph" w:styleId="ListBullet">
    <w:name w:val="List Bullet"/>
    <w:basedOn w:val="Normal"/>
    <w:autoRedefine/>
    <w:rsid w:val="005967EB"/>
    <w:pPr>
      <w:tabs>
        <w:tab w:val="num" w:pos="360"/>
      </w:tabs>
      <w:ind w:left="360" w:hanging="360"/>
    </w:pPr>
  </w:style>
  <w:style w:type="paragraph" w:styleId="ListNumber">
    <w:name w:val="List Number"/>
    <w:basedOn w:val="Normal"/>
    <w:rsid w:val="005967EB"/>
    <w:pPr>
      <w:tabs>
        <w:tab w:val="num" w:pos="360"/>
      </w:tabs>
      <w:ind w:left="360" w:hanging="360"/>
    </w:pPr>
  </w:style>
  <w:style w:type="paragraph" w:styleId="List2">
    <w:name w:val="List 2"/>
    <w:basedOn w:val="Normal"/>
    <w:rsid w:val="005967EB"/>
    <w:pPr>
      <w:ind w:left="566" w:hanging="283"/>
    </w:pPr>
  </w:style>
  <w:style w:type="paragraph" w:styleId="List3">
    <w:name w:val="List 3"/>
    <w:basedOn w:val="Normal"/>
    <w:rsid w:val="005967EB"/>
    <w:pPr>
      <w:ind w:left="849" w:hanging="283"/>
    </w:pPr>
  </w:style>
  <w:style w:type="paragraph" w:styleId="List4">
    <w:name w:val="List 4"/>
    <w:basedOn w:val="Normal"/>
    <w:rsid w:val="005967EB"/>
    <w:pPr>
      <w:ind w:left="1132" w:hanging="283"/>
    </w:pPr>
  </w:style>
  <w:style w:type="paragraph" w:styleId="List5">
    <w:name w:val="List 5"/>
    <w:basedOn w:val="Normal"/>
    <w:rsid w:val="005967EB"/>
    <w:pPr>
      <w:ind w:left="1415" w:hanging="283"/>
    </w:pPr>
  </w:style>
  <w:style w:type="paragraph" w:styleId="ListBullet2">
    <w:name w:val="List Bullet 2"/>
    <w:basedOn w:val="Normal"/>
    <w:autoRedefine/>
    <w:rsid w:val="005967EB"/>
    <w:pPr>
      <w:tabs>
        <w:tab w:val="num" w:pos="360"/>
      </w:tabs>
    </w:pPr>
  </w:style>
  <w:style w:type="paragraph" w:styleId="ListBullet3">
    <w:name w:val="List Bullet 3"/>
    <w:basedOn w:val="Normal"/>
    <w:autoRedefine/>
    <w:rsid w:val="005967EB"/>
    <w:pPr>
      <w:tabs>
        <w:tab w:val="num" w:pos="926"/>
      </w:tabs>
      <w:ind w:left="926" w:hanging="360"/>
    </w:pPr>
  </w:style>
  <w:style w:type="paragraph" w:styleId="ListBullet4">
    <w:name w:val="List Bullet 4"/>
    <w:basedOn w:val="Normal"/>
    <w:autoRedefine/>
    <w:rsid w:val="005967EB"/>
    <w:pPr>
      <w:tabs>
        <w:tab w:val="num" w:pos="1209"/>
      </w:tabs>
      <w:ind w:left="1209" w:hanging="360"/>
    </w:pPr>
  </w:style>
  <w:style w:type="paragraph" w:styleId="ListBullet5">
    <w:name w:val="List Bullet 5"/>
    <w:basedOn w:val="Normal"/>
    <w:autoRedefine/>
    <w:rsid w:val="005967EB"/>
    <w:pPr>
      <w:tabs>
        <w:tab w:val="num" w:pos="1492"/>
      </w:tabs>
      <w:ind w:left="1492" w:hanging="360"/>
    </w:pPr>
  </w:style>
  <w:style w:type="paragraph" w:styleId="ListNumber2">
    <w:name w:val="List Number 2"/>
    <w:basedOn w:val="Normal"/>
    <w:rsid w:val="005967EB"/>
    <w:pPr>
      <w:tabs>
        <w:tab w:val="num" w:pos="643"/>
      </w:tabs>
      <w:ind w:left="643" w:hanging="360"/>
    </w:pPr>
  </w:style>
  <w:style w:type="paragraph" w:styleId="ListNumber3">
    <w:name w:val="List Number 3"/>
    <w:basedOn w:val="Normal"/>
    <w:rsid w:val="005967EB"/>
    <w:pPr>
      <w:tabs>
        <w:tab w:val="num" w:pos="926"/>
      </w:tabs>
      <w:ind w:left="926" w:hanging="360"/>
    </w:pPr>
  </w:style>
  <w:style w:type="paragraph" w:styleId="ListNumber4">
    <w:name w:val="List Number 4"/>
    <w:basedOn w:val="Normal"/>
    <w:rsid w:val="005967EB"/>
    <w:pPr>
      <w:tabs>
        <w:tab w:val="num" w:pos="1209"/>
      </w:tabs>
      <w:ind w:left="1209" w:hanging="360"/>
    </w:pPr>
  </w:style>
  <w:style w:type="paragraph" w:styleId="ListNumber5">
    <w:name w:val="List Number 5"/>
    <w:basedOn w:val="Normal"/>
    <w:rsid w:val="005967EB"/>
    <w:pPr>
      <w:tabs>
        <w:tab w:val="num" w:pos="1492"/>
      </w:tabs>
      <w:ind w:left="1492" w:hanging="360"/>
    </w:pPr>
  </w:style>
  <w:style w:type="paragraph" w:styleId="Title">
    <w:name w:val="Title"/>
    <w:basedOn w:val="Normal"/>
    <w:link w:val="TitleChar"/>
    <w:qFormat/>
    <w:rsid w:val="005967EB"/>
    <w:pPr>
      <w:spacing w:before="240" w:after="60"/>
    </w:pPr>
    <w:rPr>
      <w:rFonts w:ascii="Arial" w:hAnsi="Arial" w:cs="Arial"/>
      <w:b/>
      <w:bCs/>
      <w:sz w:val="40"/>
      <w:szCs w:val="40"/>
    </w:rPr>
  </w:style>
  <w:style w:type="character" w:customStyle="1" w:styleId="TitleChar">
    <w:name w:val="Title Char"/>
    <w:basedOn w:val="DefaultParagraphFont"/>
    <w:link w:val="Title"/>
    <w:rsid w:val="005967EB"/>
    <w:rPr>
      <w:rFonts w:ascii="Arial" w:hAnsi="Arial" w:cs="Arial"/>
      <w:b/>
      <w:bCs/>
      <w:sz w:val="40"/>
      <w:szCs w:val="40"/>
    </w:rPr>
  </w:style>
  <w:style w:type="paragraph" w:styleId="Closing">
    <w:name w:val="Closing"/>
    <w:basedOn w:val="Normal"/>
    <w:link w:val="ClosingChar"/>
    <w:rsid w:val="005967EB"/>
    <w:pPr>
      <w:ind w:left="4252"/>
    </w:pPr>
  </w:style>
  <w:style w:type="character" w:customStyle="1" w:styleId="ClosingChar">
    <w:name w:val="Closing Char"/>
    <w:basedOn w:val="DefaultParagraphFont"/>
    <w:link w:val="Closing"/>
    <w:rsid w:val="005967EB"/>
    <w:rPr>
      <w:sz w:val="22"/>
    </w:rPr>
  </w:style>
  <w:style w:type="paragraph" w:styleId="Signature">
    <w:name w:val="Signature"/>
    <w:basedOn w:val="Normal"/>
    <w:link w:val="SignatureChar"/>
    <w:rsid w:val="005967EB"/>
    <w:pPr>
      <w:ind w:left="4252"/>
    </w:pPr>
  </w:style>
  <w:style w:type="character" w:customStyle="1" w:styleId="SignatureChar">
    <w:name w:val="Signature Char"/>
    <w:basedOn w:val="DefaultParagraphFont"/>
    <w:link w:val="Signature"/>
    <w:rsid w:val="005967EB"/>
    <w:rPr>
      <w:sz w:val="22"/>
    </w:rPr>
  </w:style>
  <w:style w:type="paragraph" w:styleId="BodyText">
    <w:name w:val="Body Text"/>
    <w:basedOn w:val="Normal"/>
    <w:link w:val="BodyTextChar"/>
    <w:rsid w:val="005967EB"/>
    <w:pPr>
      <w:spacing w:after="120"/>
    </w:pPr>
  </w:style>
  <w:style w:type="character" w:customStyle="1" w:styleId="BodyTextChar">
    <w:name w:val="Body Text Char"/>
    <w:basedOn w:val="DefaultParagraphFont"/>
    <w:link w:val="BodyText"/>
    <w:rsid w:val="005967EB"/>
    <w:rPr>
      <w:sz w:val="22"/>
    </w:rPr>
  </w:style>
  <w:style w:type="paragraph" w:styleId="BodyTextIndent">
    <w:name w:val="Body Text Indent"/>
    <w:basedOn w:val="Normal"/>
    <w:link w:val="BodyTextIndentChar"/>
    <w:rsid w:val="005967EB"/>
    <w:pPr>
      <w:spacing w:after="120"/>
      <w:ind w:left="283"/>
    </w:pPr>
  </w:style>
  <w:style w:type="character" w:customStyle="1" w:styleId="BodyTextIndentChar">
    <w:name w:val="Body Text Indent Char"/>
    <w:basedOn w:val="DefaultParagraphFont"/>
    <w:link w:val="BodyTextIndent"/>
    <w:rsid w:val="005967EB"/>
    <w:rPr>
      <w:sz w:val="22"/>
    </w:rPr>
  </w:style>
  <w:style w:type="paragraph" w:styleId="ListContinue">
    <w:name w:val="List Continue"/>
    <w:basedOn w:val="Normal"/>
    <w:rsid w:val="005967EB"/>
    <w:pPr>
      <w:spacing w:after="120"/>
      <w:ind w:left="283"/>
    </w:pPr>
  </w:style>
  <w:style w:type="paragraph" w:styleId="ListContinue2">
    <w:name w:val="List Continue 2"/>
    <w:basedOn w:val="Normal"/>
    <w:rsid w:val="005967EB"/>
    <w:pPr>
      <w:spacing w:after="120"/>
      <w:ind w:left="566"/>
    </w:pPr>
  </w:style>
  <w:style w:type="paragraph" w:styleId="ListContinue3">
    <w:name w:val="List Continue 3"/>
    <w:basedOn w:val="Normal"/>
    <w:rsid w:val="005967EB"/>
    <w:pPr>
      <w:spacing w:after="120"/>
      <w:ind w:left="849"/>
    </w:pPr>
  </w:style>
  <w:style w:type="paragraph" w:styleId="ListContinue4">
    <w:name w:val="List Continue 4"/>
    <w:basedOn w:val="Normal"/>
    <w:rsid w:val="005967EB"/>
    <w:pPr>
      <w:spacing w:after="120"/>
      <w:ind w:left="1132"/>
    </w:pPr>
  </w:style>
  <w:style w:type="paragraph" w:styleId="ListContinue5">
    <w:name w:val="List Continue 5"/>
    <w:basedOn w:val="Normal"/>
    <w:rsid w:val="005967EB"/>
    <w:pPr>
      <w:spacing w:after="120"/>
      <w:ind w:left="1415"/>
    </w:pPr>
  </w:style>
  <w:style w:type="paragraph" w:styleId="MessageHeader">
    <w:name w:val="Message Header"/>
    <w:basedOn w:val="Normal"/>
    <w:link w:val="MessageHeaderChar"/>
    <w:rsid w:val="005967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967EB"/>
    <w:rPr>
      <w:rFonts w:ascii="Arial" w:hAnsi="Arial" w:cs="Arial"/>
      <w:sz w:val="22"/>
      <w:shd w:val="pct20" w:color="auto" w:fill="auto"/>
    </w:rPr>
  </w:style>
  <w:style w:type="paragraph" w:styleId="Subtitle">
    <w:name w:val="Subtitle"/>
    <w:basedOn w:val="Normal"/>
    <w:link w:val="SubtitleChar"/>
    <w:qFormat/>
    <w:rsid w:val="005967EB"/>
    <w:pPr>
      <w:spacing w:after="60"/>
      <w:jc w:val="center"/>
      <w:outlineLvl w:val="1"/>
    </w:pPr>
    <w:rPr>
      <w:rFonts w:ascii="Arial" w:hAnsi="Arial" w:cs="Arial"/>
    </w:rPr>
  </w:style>
  <w:style w:type="character" w:customStyle="1" w:styleId="SubtitleChar">
    <w:name w:val="Subtitle Char"/>
    <w:basedOn w:val="DefaultParagraphFont"/>
    <w:link w:val="Subtitle"/>
    <w:rsid w:val="005967EB"/>
    <w:rPr>
      <w:rFonts w:ascii="Arial" w:hAnsi="Arial" w:cs="Arial"/>
      <w:sz w:val="22"/>
    </w:rPr>
  </w:style>
  <w:style w:type="paragraph" w:styleId="Salutation">
    <w:name w:val="Salutation"/>
    <w:basedOn w:val="Normal"/>
    <w:next w:val="Normal"/>
    <w:link w:val="SalutationChar"/>
    <w:rsid w:val="005967EB"/>
  </w:style>
  <w:style w:type="character" w:customStyle="1" w:styleId="SalutationChar">
    <w:name w:val="Salutation Char"/>
    <w:basedOn w:val="DefaultParagraphFont"/>
    <w:link w:val="Salutation"/>
    <w:rsid w:val="005967EB"/>
    <w:rPr>
      <w:sz w:val="22"/>
    </w:rPr>
  </w:style>
  <w:style w:type="paragraph" w:styleId="Date">
    <w:name w:val="Date"/>
    <w:basedOn w:val="Normal"/>
    <w:next w:val="Normal"/>
    <w:link w:val="DateChar"/>
    <w:rsid w:val="005967EB"/>
  </w:style>
  <w:style w:type="character" w:customStyle="1" w:styleId="DateChar">
    <w:name w:val="Date Char"/>
    <w:basedOn w:val="DefaultParagraphFont"/>
    <w:link w:val="Date"/>
    <w:rsid w:val="005967EB"/>
    <w:rPr>
      <w:sz w:val="22"/>
    </w:rPr>
  </w:style>
  <w:style w:type="paragraph" w:styleId="BodyTextFirstIndent">
    <w:name w:val="Body Text First Indent"/>
    <w:basedOn w:val="BodyText"/>
    <w:link w:val="BodyTextFirstIndentChar"/>
    <w:rsid w:val="005967EB"/>
    <w:pPr>
      <w:ind w:firstLine="210"/>
    </w:pPr>
  </w:style>
  <w:style w:type="character" w:customStyle="1" w:styleId="BodyTextFirstIndentChar">
    <w:name w:val="Body Text First Indent Char"/>
    <w:basedOn w:val="BodyTextChar"/>
    <w:link w:val="BodyTextFirstIndent"/>
    <w:rsid w:val="005967EB"/>
    <w:rPr>
      <w:sz w:val="22"/>
    </w:rPr>
  </w:style>
  <w:style w:type="paragraph" w:styleId="BodyTextFirstIndent2">
    <w:name w:val="Body Text First Indent 2"/>
    <w:basedOn w:val="BodyTextIndent"/>
    <w:link w:val="BodyTextFirstIndent2Char"/>
    <w:rsid w:val="005967EB"/>
    <w:pPr>
      <w:ind w:firstLine="210"/>
    </w:pPr>
  </w:style>
  <w:style w:type="character" w:customStyle="1" w:styleId="BodyTextFirstIndent2Char">
    <w:name w:val="Body Text First Indent 2 Char"/>
    <w:basedOn w:val="BodyTextIndentChar"/>
    <w:link w:val="BodyTextFirstIndent2"/>
    <w:rsid w:val="005967EB"/>
    <w:rPr>
      <w:sz w:val="22"/>
    </w:rPr>
  </w:style>
  <w:style w:type="paragraph" w:styleId="BodyText2">
    <w:name w:val="Body Text 2"/>
    <w:basedOn w:val="Normal"/>
    <w:link w:val="BodyText2Char"/>
    <w:rsid w:val="005967EB"/>
    <w:pPr>
      <w:spacing w:after="120" w:line="480" w:lineRule="auto"/>
    </w:pPr>
  </w:style>
  <w:style w:type="character" w:customStyle="1" w:styleId="BodyText2Char">
    <w:name w:val="Body Text 2 Char"/>
    <w:basedOn w:val="DefaultParagraphFont"/>
    <w:link w:val="BodyText2"/>
    <w:rsid w:val="005967EB"/>
    <w:rPr>
      <w:sz w:val="22"/>
    </w:rPr>
  </w:style>
  <w:style w:type="paragraph" w:styleId="BodyText3">
    <w:name w:val="Body Text 3"/>
    <w:basedOn w:val="Normal"/>
    <w:link w:val="BodyText3Char"/>
    <w:rsid w:val="005967EB"/>
    <w:pPr>
      <w:spacing w:after="120"/>
    </w:pPr>
    <w:rPr>
      <w:sz w:val="16"/>
      <w:szCs w:val="16"/>
    </w:rPr>
  </w:style>
  <w:style w:type="character" w:customStyle="1" w:styleId="BodyText3Char">
    <w:name w:val="Body Text 3 Char"/>
    <w:basedOn w:val="DefaultParagraphFont"/>
    <w:link w:val="BodyText3"/>
    <w:rsid w:val="005967EB"/>
    <w:rPr>
      <w:sz w:val="16"/>
      <w:szCs w:val="16"/>
    </w:rPr>
  </w:style>
  <w:style w:type="paragraph" w:styleId="BodyTextIndent2">
    <w:name w:val="Body Text Indent 2"/>
    <w:basedOn w:val="Normal"/>
    <w:link w:val="BodyTextIndent2Char"/>
    <w:rsid w:val="005967EB"/>
    <w:pPr>
      <w:spacing w:after="120" w:line="480" w:lineRule="auto"/>
      <w:ind w:left="283"/>
    </w:pPr>
  </w:style>
  <w:style w:type="character" w:customStyle="1" w:styleId="BodyTextIndent2Char">
    <w:name w:val="Body Text Indent 2 Char"/>
    <w:basedOn w:val="DefaultParagraphFont"/>
    <w:link w:val="BodyTextIndent2"/>
    <w:rsid w:val="005967EB"/>
    <w:rPr>
      <w:sz w:val="22"/>
    </w:rPr>
  </w:style>
  <w:style w:type="paragraph" w:styleId="BodyTextIndent3">
    <w:name w:val="Body Text Indent 3"/>
    <w:basedOn w:val="Normal"/>
    <w:link w:val="BodyTextIndent3Char"/>
    <w:rsid w:val="005967EB"/>
    <w:pPr>
      <w:spacing w:after="120"/>
      <w:ind w:left="283"/>
    </w:pPr>
    <w:rPr>
      <w:sz w:val="16"/>
      <w:szCs w:val="16"/>
    </w:rPr>
  </w:style>
  <w:style w:type="character" w:customStyle="1" w:styleId="BodyTextIndent3Char">
    <w:name w:val="Body Text Indent 3 Char"/>
    <w:basedOn w:val="DefaultParagraphFont"/>
    <w:link w:val="BodyTextIndent3"/>
    <w:rsid w:val="005967EB"/>
    <w:rPr>
      <w:sz w:val="16"/>
      <w:szCs w:val="16"/>
    </w:rPr>
  </w:style>
  <w:style w:type="paragraph" w:styleId="BlockText">
    <w:name w:val="Block Text"/>
    <w:basedOn w:val="Normal"/>
    <w:rsid w:val="005967EB"/>
    <w:pPr>
      <w:spacing w:after="120"/>
      <w:ind w:left="1440" w:right="1440"/>
    </w:pPr>
  </w:style>
  <w:style w:type="character" w:styleId="Hyperlink">
    <w:name w:val="Hyperlink"/>
    <w:basedOn w:val="DefaultParagraphFont"/>
    <w:rsid w:val="005967EB"/>
    <w:rPr>
      <w:color w:val="0000FF"/>
      <w:u w:val="single"/>
    </w:rPr>
  </w:style>
  <w:style w:type="character" w:styleId="FollowedHyperlink">
    <w:name w:val="FollowedHyperlink"/>
    <w:basedOn w:val="DefaultParagraphFont"/>
    <w:rsid w:val="005967EB"/>
    <w:rPr>
      <w:color w:val="800080"/>
      <w:u w:val="single"/>
    </w:rPr>
  </w:style>
  <w:style w:type="character" w:styleId="Strong">
    <w:name w:val="Strong"/>
    <w:basedOn w:val="DefaultParagraphFont"/>
    <w:qFormat/>
    <w:rsid w:val="005967EB"/>
    <w:rPr>
      <w:b/>
      <w:bCs/>
    </w:rPr>
  </w:style>
  <w:style w:type="character" w:styleId="Emphasis">
    <w:name w:val="Emphasis"/>
    <w:basedOn w:val="DefaultParagraphFont"/>
    <w:qFormat/>
    <w:rsid w:val="005967EB"/>
    <w:rPr>
      <w:i/>
      <w:iCs/>
    </w:rPr>
  </w:style>
  <w:style w:type="paragraph" w:styleId="DocumentMap">
    <w:name w:val="Document Map"/>
    <w:basedOn w:val="Normal"/>
    <w:link w:val="DocumentMapChar"/>
    <w:rsid w:val="005967EB"/>
    <w:pPr>
      <w:shd w:val="clear" w:color="auto" w:fill="000080"/>
    </w:pPr>
    <w:rPr>
      <w:rFonts w:ascii="Tahoma" w:hAnsi="Tahoma" w:cs="Tahoma"/>
    </w:rPr>
  </w:style>
  <w:style w:type="character" w:customStyle="1" w:styleId="DocumentMapChar">
    <w:name w:val="Document Map Char"/>
    <w:basedOn w:val="DefaultParagraphFont"/>
    <w:link w:val="DocumentMap"/>
    <w:rsid w:val="005967EB"/>
    <w:rPr>
      <w:rFonts w:ascii="Tahoma" w:hAnsi="Tahoma" w:cs="Tahoma"/>
      <w:sz w:val="22"/>
      <w:shd w:val="clear" w:color="auto" w:fill="000080"/>
    </w:rPr>
  </w:style>
  <w:style w:type="paragraph" w:styleId="PlainText">
    <w:name w:val="Plain Text"/>
    <w:basedOn w:val="Normal"/>
    <w:link w:val="PlainTextChar"/>
    <w:rsid w:val="005967EB"/>
    <w:rPr>
      <w:rFonts w:ascii="Courier New" w:hAnsi="Courier New" w:cs="Courier New"/>
      <w:sz w:val="20"/>
    </w:rPr>
  </w:style>
  <w:style w:type="character" w:customStyle="1" w:styleId="PlainTextChar">
    <w:name w:val="Plain Text Char"/>
    <w:basedOn w:val="DefaultParagraphFont"/>
    <w:link w:val="PlainText"/>
    <w:rsid w:val="005967EB"/>
    <w:rPr>
      <w:rFonts w:ascii="Courier New" w:hAnsi="Courier New" w:cs="Courier New"/>
    </w:rPr>
  </w:style>
  <w:style w:type="paragraph" w:styleId="E-mailSignature">
    <w:name w:val="E-mail Signature"/>
    <w:basedOn w:val="Normal"/>
    <w:link w:val="E-mailSignatureChar"/>
    <w:rsid w:val="005967EB"/>
  </w:style>
  <w:style w:type="character" w:customStyle="1" w:styleId="E-mailSignatureChar">
    <w:name w:val="E-mail Signature Char"/>
    <w:basedOn w:val="DefaultParagraphFont"/>
    <w:link w:val="E-mailSignature"/>
    <w:rsid w:val="005967EB"/>
    <w:rPr>
      <w:sz w:val="22"/>
    </w:rPr>
  </w:style>
  <w:style w:type="paragraph" w:styleId="NormalWeb">
    <w:name w:val="Normal (Web)"/>
    <w:basedOn w:val="Normal"/>
    <w:rsid w:val="005967EB"/>
  </w:style>
  <w:style w:type="character" w:styleId="HTMLAcronym">
    <w:name w:val="HTML Acronym"/>
    <w:basedOn w:val="DefaultParagraphFont"/>
    <w:rsid w:val="005967EB"/>
  </w:style>
  <w:style w:type="paragraph" w:styleId="HTMLAddress">
    <w:name w:val="HTML Address"/>
    <w:basedOn w:val="Normal"/>
    <w:link w:val="HTMLAddressChar"/>
    <w:rsid w:val="005967EB"/>
    <w:rPr>
      <w:i/>
      <w:iCs/>
    </w:rPr>
  </w:style>
  <w:style w:type="character" w:customStyle="1" w:styleId="HTMLAddressChar">
    <w:name w:val="HTML Address Char"/>
    <w:basedOn w:val="DefaultParagraphFont"/>
    <w:link w:val="HTMLAddress"/>
    <w:rsid w:val="005967EB"/>
    <w:rPr>
      <w:i/>
      <w:iCs/>
      <w:sz w:val="22"/>
    </w:rPr>
  </w:style>
  <w:style w:type="character" w:styleId="HTMLCite">
    <w:name w:val="HTML Cite"/>
    <w:basedOn w:val="DefaultParagraphFont"/>
    <w:rsid w:val="005967EB"/>
    <w:rPr>
      <w:i/>
      <w:iCs/>
    </w:rPr>
  </w:style>
  <w:style w:type="character" w:styleId="HTMLCode">
    <w:name w:val="HTML Code"/>
    <w:basedOn w:val="DefaultParagraphFont"/>
    <w:rsid w:val="005967EB"/>
    <w:rPr>
      <w:rFonts w:ascii="Courier New" w:hAnsi="Courier New" w:cs="Courier New"/>
      <w:sz w:val="20"/>
      <w:szCs w:val="20"/>
    </w:rPr>
  </w:style>
  <w:style w:type="character" w:styleId="HTMLDefinition">
    <w:name w:val="HTML Definition"/>
    <w:basedOn w:val="DefaultParagraphFont"/>
    <w:rsid w:val="005967EB"/>
    <w:rPr>
      <w:i/>
      <w:iCs/>
    </w:rPr>
  </w:style>
  <w:style w:type="character" w:styleId="HTMLKeyboard">
    <w:name w:val="HTML Keyboard"/>
    <w:basedOn w:val="DefaultParagraphFont"/>
    <w:rsid w:val="005967EB"/>
    <w:rPr>
      <w:rFonts w:ascii="Courier New" w:hAnsi="Courier New" w:cs="Courier New"/>
      <w:sz w:val="20"/>
      <w:szCs w:val="20"/>
    </w:rPr>
  </w:style>
  <w:style w:type="paragraph" w:styleId="HTMLPreformatted">
    <w:name w:val="HTML Preformatted"/>
    <w:basedOn w:val="Normal"/>
    <w:link w:val="HTMLPreformattedChar"/>
    <w:rsid w:val="005967EB"/>
    <w:rPr>
      <w:rFonts w:ascii="Courier New" w:hAnsi="Courier New" w:cs="Courier New"/>
      <w:sz w:val="20"/>
    </w:rPr>
  </w:style>
  <w:style w:type="character" w:customStyle="1" w:styleId="HTMLPreformattedChar">
    <w:name w:val="HTML Preformatted Char"/>
    <w:basedOn w:val="DefaultParagraphFont"/>
    <w:link w:val="HTMLPreformatted"/>
    <w:rsid w:val="005967EB"/>
    <w:rPr>
      <w:rFonts w:ascii="Courier New" w:hAnsi="Courier New" w:cs="Courier New"/>
    </w:rPr>
  </w:style>
  <w:style w:type="character" w:styleId="HTMLSample">
    <w:name w:val="HTML Sample"/>
    <w:basedOn w:val="DefaultParagraphFont"/>
    <w:rsid w:val="005967EB"/>
    <w:rPr>
      <w:rFonts w:ascii="Courier New" w:hAnsi="Courier New" w:cs="Courier New"/>
    </w:rPr>
  </w:style>
  <w:style w:type="character" w:styleId="HTMLTypewriter">
    <w:name w:val="HTML Typewriter"/>
    <w:basedOn w:val="DefaultParagraphFont"/>
    <w:rsid w:val="005967EB"/>
    <w:rPr>
      <w:rFonts w:ascii="Courier New" w:hAnsi="Courier New" w:cs="Courier New"/>
      <w:sz w:val="20"/>
      <w:szCs w:val="20"/>
    </w:rPr>
  </w:style>
  <w:style w:type="character" w:styleId="HTMLVariable">
    <w:name w:val="HTML Variable"/>
    <w:basedOn w:val="DefaultParagraphFont"/>
    <w:rsid w:val="005967EB"/>
    <w:rPr>
      <w:i/>
      <w:iCs/>
    </w:rPr>
  </w:style>
  <w:style w:type="paragraph" w:styleId="CommentSubject">
    <w:name w:val="annotation subject"/>
    <w:basedOn w:val="CommentText"/>
    <w:next w:val="CommentText"/>
    <w:link w:val="CommentSubjectChar"/>
    <w:rsid w:val="005967EB"/>
    <w:rPr>
      <w:b/>
      <w:bCs/>
    </w:rPr>
  </w:style>
  <w:style w:type="character" w:customStyle="1" w:styleId="CommentSubjectChar">
    <w:name w:val="Comment Subject Char"/>
    <w:basedOn w:val="CommentTextChar"/>
    <w:link w:val="CommentSubject"/>
    <w:rsid w:val="005967EB"/>
    <w:rPr>
      <w:b/>
      <w:bCs/>
    </w:rPr>
  </w:style>
  <w:style w:type="numbering" w:styleId="1ai">
    <w:name w:val="Outline List 1"/>
    <w:basedOn w:val="NoList"/>
    <w:rsid w:val="005967EB"/>
    <w:pPr>
      <w:numPr>
        <w:numId w:val="14"/>
      </w:numPr>
    </w:pPr>
  </w:style>
  <w:style w:type="numbering" w:styleId="111111">
    <w:name w:val="Outline List 2"/>
    <w:basedOn w:val="NoList"/>
    <w:rsid w:val="005967EB"/>
    <w:pPr>
      <w:numPr>
        <w:numId w:val="15"/>
      </w:numPr>
    </w:pPr>
  </w:style>
  <w:style w:type="numbering" w:styleId="ArticleSection">
    <w:name w:val="Outline List 3"/>
    <w:basedOn w:val="NoList"/>
    <w:rsid w:val="005967EB"/>
    <w:pPr>
      <w:numPr>
        <w:numId w:val="17"/>
      </w:numPr>
    </w:pPr>
  </w:style>
  <w:style w:type="table" w:styleId="TableSimple1">
    <w:name w:val="Table Simple 1"/>
    <w:basedOn w:val="TableNormal"/>
    <w:rsid w:val="005967E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67E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67E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967E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67E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67E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67E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67E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67E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67E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67E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67E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67E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67E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67E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967E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67E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67E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67E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67E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67E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67E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67E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67E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67E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7E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67E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67E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67E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67E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67E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967E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67E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67E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967E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67E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967E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67E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67E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967E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67E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67E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967E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967EB"/>
    <w:rPr>
      <w:rFonts w:eastAsia="Times New Roman" w:cs="Times New Roman"/>
      <w:b/>
      <w:kern w:val="28"/>
      <w:sz w:val="24"/>
      <w:lang w:eastAsia="en-AU"/>
    </w:rPr>
  </w:style>
  <w:style w:type="character" w:customStyle="1" w:styleId="paragraphChar">
    <w:name w:val="paragraph Char"/>
    <w:aliases w:val="a Char"/>
    <w:basedOn w:val="DefaultParagraphFont"/>
    <w:link w:val="paragraph"/>
    <w:rsid w:val="008756B5"/>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bc5c492f-641e-4b74-8651-322acd553d0f</TermId>
        </TermInfo>
      </Terms>
    </kfc39f3e4e2747ae990d3c8bb74a5a64>
    <ge25bdd0d6464e36b066695d9e81d63d xmlns="fe39d773-a83d-4623-ae74-f25711a76616">
      <Terms xmlns="http://schemas.microsoft.com/office/infopath/2007/PartnerControls"/>
    </ge25bdd0d6464e36b066695d9e81d63d>
    <TaxCatchAll xmlns="ff38c824-6e29-4496-8487-69f397e7ed29">
      <Value>83</Value>
      <Value>93</Value>
      <Value>1</Value>
      <Value>35</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Foreign Investment</TermName>
          <TermId xmlns="http://schemas.microsoft.com/office/infopath/2007/PartnerControls">0f148967-1084-4032-b82c-9b7961301188</TermId>
        </TermInfo>
      </Terms>
    </gfba5f33532c49208d2320ce38cc3c2b>
    <_dlc_DocId xmlns="fe39d773-a83d-4623-ae74-f25711a76616">S574FYTY5PW6-349572302-414</_dlc_DocId>
    <_dlc_DocIdUrl xmlns="fe39d773-a83d-4623-ae74-f25711a76616">
      <Url>https://austreasury.sharepoint.com/sites/leg-cord-function/_layouts/15/DocIdRedir.aspx?ID=S574FYTY5PW6-349572302-414</Url>
      <Description>S574FYTY5PW6-349572302-414</Description>
    </_dlc_DocIdUrl>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ExcoMeetingDate xmlns="9a91be02-49fe-4568-a0ce-30550d2c054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6" ma:contentTypeDescription="Create a new document." ma:contentTypeScope="" ma:versionID="9d581ff2debc91e3d95555861149903f">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17bb0882e2e12c1c32a16e47657986a4"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6DB93-2186-40EE-8A0B-8D1E9CC2C4B7}">
  <ds:schemaRefs>
    <ds:schemaRef ds:uri="http://schemas.microsoft.com/sharepoint/events"/>
  </ds:schemaRefs>
</ds:datastoreItem>
</file>

<file path=customXml/itemProps2.xml><?xml version="1.0" encoding="utf-8"?>
<ds:datastoreItem xmlns:ds="http://schemas.openxmlformats.org/officeDocument/2006/customXml" ds:itemID="{C84992E0-C994-4DF4-B77A-55D998585F68}">
  <ds:schemaRefs>
    <ds:schemaRef ds:uri="http://schemas.microsoft.com/sharepoint/v3/contenttype/forms"/>
  </ds:schemaRefs>
</ds:datastoreItem>
</file>

<file path=customXml/itemProps3.xml><?xml version="1.0" encoding="utf-8"?>
<ds:datastoreItem xmlns:ds="http://schemas.openxmlformats.org/officeDocument/2006/customXml" ds:itemID="{19E2057C-BD80-4E4E-80E0-1F32AF2ED585}">
  <ds:schemaRefs>
    <ds:schemaRef ds:uri="http://schemas.microsoft.com/office/infopath/2007/PartnerControls"/>
    <ds:schemaRef ds:uri="http://purl.org/dc/elements/1.1/"/>
    <ds:schemaRef ds:uri="http://schemas.microsoft.com/office/2006/metadata/properties"/>
    <ds:schemaRef ds:uri="ff38c824-6e29-4496-8487-69f397e7ed29"/>
    <ds:schemaRef ds:uri="42f4cb5a-261c-4c59-b165-7132460581a3"/>
    <ds:schemaRef ds:uri="9a91be02-49fe-4568-a0ce-30550d2c0542"/>
    <ds:schemaRef ds:uri="http://purl.org/dc/terms/"/>
    <ds:schemaRef ds:uri="fe39d773-a83d-4623-ae74-f25711a7661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E4C6FB-0B1E-4ED4-B5DA-C058DBC4C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4cb5a-261c-4c59-b165-7132460581a3"/>
    <ds:schemaRef ds:uri="ff38c824-6e29-4496-8487-69f397e7ed29"/>
    <ds:schemaRef ds:uri="fe39d773-a83d-4623-ae74-f25711a76616"/>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17</Pages>
  <Words>4409</Words>
  <Characters>25136</Characters>
  <Application>Microsoft Office Word</Application>
  <DocSecurity>0</DocSecurity>
  <PresentationFormat/>
  <Lines>209</Lines>
  <Paragraphs>58</Paragraphs>
  <ScaleCrop>false</ScaleCrop>
  <HeadingPairs>
    <vt:vector size="2" baseType="variant">
      <vt:variant>
        <vt:lpstr>Title</vt:lpstr>
      </vt:variant>
      <vt:variant>
        <vt:i4>1</vt:i4>
      </vt:variant>
    </vt:vector>
  </HeadingPairs>
  <TitlesOfParts>
    <vt:vector size="1" baseType="lpstr">
      <vt:lpstr>Foreign Investment Register Regulations</vt:lpstr>
    </vt:vector>
  </TitlesOfParts>
  <Manager/>
  <Company/>
  <LinksUpToDate>false</LinksUpToDate>
  <CharactersWithSpaces>29487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Register Regulations</dc:title>
  <dc:subject/>
  <dc:creator/>
  <cp:keywords/>
  <dc:description/>
  <cp:lastModifiedBy/>
  <cp:revision>1</cp:revision>
  <cp:lastPrinted>2023-05-19T02:57:00Z</cp:lastPrinted>
  <dcterms:created xsi:type="dcterms:W3CDTF">2023-06-23T06:51:00Z</dcterms:created>
  <dcterms:modified xsi:type="dcterms:W3CDTF">2023-06-23T06:51:00Z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Foreign Acquisitions and Takeovers Amendment (Register of Foreign Ownership and Other Matters)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OPC66487</vt:lpwstr>
  </property>
  <property fmtid="{D5CDD505-2E9C-101B-9397-08002B2CF9AE}" pid="11" name="DLM">
    <vt:lpwstr> </vt:lpwstr>
  </property>
  <property fmtid="{D5CDD505-2E9C-101B-9397-08002B2CF9AE}" pid="12" name="Classification">
    <vt:lpwstr> </vt:lpwstr>
  </property>
  <property fmtid="{D5CDD505-2E9C-101B-9397-08002B2CF9AE}" pid="13" name="Number">
    <vt:lpwstr>A</vt:lpwstr>
  </property>
  <property fmtid="{D5CDD505-2E9C-101B-9397-08002B2CF9AE}" pid="14" name="CounterSign">
    <vt:lpwstr/>
  </property>
  <property fmtid="{D5CDD505-2E9C-101B-9397-08002B2CF9AE}" pid="15" name="ContentTypeId">
    <vt:lpwstr>0x01010045D28D97A9C21749A9E8F8B6AC29448A</vt:lpwstr>
  </property>
  <property fmtid="{D5CDD505-2E9C-101B-9397-08002B2CF9AE}" pid="16" name="eActivity">
    <vt:lpwstr>35;#Legislation management|cb630f2f-9155-496b-ad0f-d960eb1bf90c</vt:lpwstr>
  </property>
  <property fmtid="{D5CDD505-2E9C-101B-9397-08002B2CF9AE}" pid="17" name="eTopic">
    <vt:lpwstr>93;#Foreign Investment|0f148967-1084-4032-b82c-9b7961301188</vt:lpwstr>
  </property>
  <property fmtid="{D5CDD505-2E9C-101B-9397-08002B2CF9AE}" pid="18" name="eTheme">
    <vt:lpwstr>1;#Law Design|318dd2d2-18da-4b8e-a458-14db2c1af95f</vt:lpwstr>
  </property>
  <property fmtid="{D5CDD505-2E9C-101B-9397-08002B2CF9AE}" pid="19" name="_dlc_DocIdItemGuid">
    <vt:lpwstr>5b8c2618-5cf0-473d-8d7c-4357792526a6</vt:lpwstr>
  </property>
  <property fmtid="{D5CDD505-2E9C-101B-9397-08002B2CF9AE}" pid="20" name="TSYStatus">
    <vt:lpwstr/>
  </property>
  <property fmtid="{D5CDD505-2E9C-101B-9397-08002B2CF9AE}" pid="21" name="eDocumentType">
    <vt:lpwstr>83;#Legislation|bc5c492f-641e-4b74-8651-322acd553d0f</vt:lpwstr>
  </property>
  <property fmtid="{D5CDD505-2E9C-101B-9397-08002B2CF9AE}" pid="22" name="Theme">
    <vt:lpwstr>1;#Law Design|318dd2d2-18da-4b8e-a458-14db2c1af95f</vt:lpwstr>
  </property>
</Properties>
</file>