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6B736B46">
            <wp:extent cx="1504950" cy="1104900"/>
            <wp:effectExtent l="0" t="0" r="0" b="0"/>
            <wp:docPr id="1" name="Picture 1" descr="Commonwealth of Australia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6687C771" w:rsidR="00D00EFA" w:rsidRDefault="00247D4A" w:rsidP="00D00EFA">
      <w:pPr>
        <w:pStyle w:val="ShortT"/>
      </w:pPr>
      <w:r>
        <w:t>Radiocommunications</w:t>
      </w:r>
      <w:r w:rsidR="00C064D0">
        <w:t xml:space="preserve"> </w:t>
      </w:r>
      <w:r w:rsidR="00A302AE">
        <w:t xml:space="preserve">Advisory Guidelines </w:t>
      </w:r>
      <w:r>
        <w:t>(</w:t>
      </w:r>
      <w:r w:rsidR="00A302AE">
        <w:t xml:space="preserve">Managing Interference </w:t>
      </w:r>
      <w:r w:rsidR="003860B9">
        <w:t>from</w:t>
      </w:r>
      <w:r w:rsidR="00A302AE">
        <w:t xml:space="preserve"> Spectrum Licensed </w:t>
      </w:r>
      <w:r w:rsidR="003860B9">
        <w:t>Transmitters</w:t>
      </w:r>
      <w:r w:rsidR="00A302AE">
        <w:t xml:space="preserve"> – 3.4 GHz Band</w:t>
      </w:r>
      <w:r w:rsidR="00644471">
        <w:t xml:space="preserve">) </w:t>
      </w:r>
      <w:r w:rsidR="00A302AE">
        <w:t>Variation</w:t>
      </w:r>
      <w:r w:rsidR="00B35F5E">
        <w:t xml:space="preserve"> 202</w:t>
      </w:r>
      <w:r w:rsidR="0044028C">
        <w:t>3</w:t>
      </w:r>
      <w:r w:rsidR="0099193E">
        <w:t xml:space="preserve"> (No.</w:t>
      </w:r>
      <w:r w:rsidR="00B35F5E">
        <w:t> </w:t>
      </w:r>
      <w:r w:rsidR="0099193E">
        <w:t>1)</w:t>
      </w:r>
    </w:p>
    <w:p w14:paraId="030DF66D" w14:textId="77777777" w:rsidR="00D00EFA" w:rsidRDefault="00D00EFA" w:rsidP="00D00EFA">
      <w:pPr>
        <w:pStyle w:val="SignCoverPageStart"/>
        <w:spacing w:before="0" w:line="240" w:lineRule="auto"/>
        <w:rPr>
          <w:szCs w:val="22"/>
        </w:rPr>
      </w:pPr>
    </w:p>
    <w:p w14:paraId="49B35910" w14:textId="2F2C3585"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C064D0">
        <w:rPr>
          <w:szCs w:val="22"/>
        </w:rPr>
        <w:t>instrument</w:t>
      </w:r>
      <w:r w:rsidR="00B67814">
        <w:rPr>
          <w:szCs w:val="22"/>
        </w:rPr>
        <w:t xml:space="preserve"> under section </w:t>
      </w:r>
      <w:r w:rsidR="00A302AE">
        <w:rPr>
          <w:szCs w:val="22"/>
        </w:rPr>
        <w:t>262</w:t>
      </w:r>
      <w:r w:rsidR="00B67814">
        <w:rPr>
          <w:szCs w:val="22"/>
        </w:rPr>
        <w:t xml:space="preserve"> of the </w:t>
      </w:r>
      <w:r w:rsidR="003C0801">
        <w:rPr>
          <w:i/>
          <w:iCs/>
          <w:szCs w:val="22"/>
        </w:rPr>
        <w:t>Radiocommunications Act 1992</w:t>
      </w:r>
      <w:r w:rsidRPr="00F55B9E">
        <w:rPr>
          <w:iCs/>
        </w:rPr>
        <w:t>.</w:t>
      </w:r>
    </w:p>
    <w:p w14:paraId="006C8DC4" w14:textId="70491D14"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3E1924">
        <w:rPr>
          <w:rFonts w:ascii="Times New Roman" w:hAnsi="Times New Roman" w:cs="Times New Roman"/>
        </w:rPr>
        <w:t xml:space="preserve"> 22 June 2023</w:t>
      </w:r>
    </w:p>
    <w:p w14:paraId="2E857068" w14:textId="279D2CA3" w:rsidR="00B22B8E" w:rsidRDefault="003E1924"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James Cameron</w:t>
      </w:r>
    </w:p>
    <w:p w14:paraId="50361C19" w14:textId="601FA4A7" w:rsidR="00B22B8E" w:rsidRDefault="003E1924"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46E0CE83" w14:textId="77777777"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395F52DA" w14:textId="77777777" w:rsidR="00B22B8E" w:rsidRDefault="00B22B8E" w:rsidP="00B22B8E">
      <w:pPr>
        <w:tabs>
          <w:tab w:val="left" w:pos="3119"/>
        </w:tabs>
        <w:spacing w:after="0" w:line="240" w:lineRule="atLeast"/>
        <w:ind w:right="374"/>
        <w:jc w:val="right"/>
        <w:rPr>
          <w:rFonts w:ascii="Times New Roman" w:hAnsi="Times New Roman" w:cs="Times New Roman"/>
        </w:rPr>
      </w:pPr>
    </w:p>
    <w:p w14:paraId="18FA582E" w14:textId="3EB1BC28" w:rsidR="00B22B8E" w:rsidRDefault="003E1924"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Linda Caruso</w:t>
      </w:r>
    </w:p>
    <w:p w14:paraId="57158E2A" w14:textId="36BEBCA5" w:rsidR="00B22B8E" w:rsidRDefault="003E1924"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0FBB699" w14:textId="77777777" w:rsidR="00B22B8E" w:rsidRDefault="00B22B8E" w:rsidP="00B22B8E">
      <w:pPr>
        <w:tabs>
          <w:tab w:val="left" w:pos="3119"/>
        </w:tabs>
        <w:spacing w:after="0" w:line="240" w:lineRule="atLeast"/>
        <w:ind w:right="374"/>
        <w:jc w:val="right"/>
        <w:rPr>
          <w:rFonts w:ascii="Times New Roman" w:hAnsi="Times New Roman" w:cs="Times New Roman"/>
        </w:rPr>
      </w:pPr>
      <w:r w:rsidRPr="003E1924">
        <w:rPr>
          <w:rFonts w:ascii="Times New Roman" w:hAnsi="Times New Roman" w:cs="Times New Roman"/>
          <w:strike/>
        </w:rPr>
        <w:t>Member</w:t>
      </w:r>
      <w:r>
        <w:rPr>
          <w:rFonts w:ascii="Times New Roman" w:hAnsi="Times New Roman" w:cs="Times New Roman"/>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35E12F58" w14:textId="77777777" w:rsidR="00D00EFA" w:rsidRDefault="00D00EFA" w:rsidP="00D00EFA">
      <w:pPr>
        <w:pStyle w:val="ActHead5"/>
        <w:spacing w:before="0"/>
        <w:ind w:left="0" w:firstLine="0"/>
        <w:rPr>
          <w:rStyle w:val="CharSectno"/>
          <w:szCs w:val="24"/>
        </w:rPr>
      </w:pPr>
      <w:bookmarkStart w:id="1" w:name="_Toc444596031"/>
    </w:p>
    <w:p w14:paraId="1AE20F53" w14:textId="77777777" w:rsidR="00D00EFA" w:rsidRDefault="00D00EFA" w:rsidP="00D00EFA">
      <w:pPr>
        <w:pStyle w:val="ActHead5"/>
        <w:spacing w:before="0"/>
        <w:ind w:left="0" w:firstLine="0"/>
        <w:rPr>
          <w:sz w:val="32"/>
          <w:szCs w:val="32"/>
        </w:rPr>
      </w:pPr>
      <w:r>
        <w:rPr>
          <w:rStyle w:val="CharSectno"/>
        </w:rPr>
        <w:t>1</w:t>
      </w:r>
      <w:r>
        <w:t xml:space="preserve">  Name</w:t>
      </w:r>
    </w:p>
    <w:p w14:paraId="6D729A26" w14:textId="0733ADA5" w:rsidR="00D00EFA" w:rsidRDefault="00D00EFA" w:rsidP="00D00EFA">
      <w:pPr>
        <w:pStyle w:val="subsection"/>
      </w:pPr>
      <w:r>
        <w:tab/>
      </w:r>
      <w:r>
        <w:tab/>
        <w:t>This is the</w:t>
      </w:r>
      <w:r w:rsidR="00F4519A">
        <w:t xml:space="preserve"> </w:t>
      </w:r>
      <w:r w:rsidR="00F4519A">
        <w:rPr>
          <w:i/>
          <w:iCs/>
        </w:rPr>
        <w:t xml:space="preserve">Radiocommunications </w:t>
      </w:r>
      <w:r w:rsidR="00A302AE">
        <w:rPr>
          <w:i/>
          <w:iCs/>
        </w:rPr>
        <w:t xml:space="preserve">Advisory Guidelines </w:t>
      </w:r>
      <w:r w:rsidR="00F4519A">
        <w:rPr>
          <w:i/>
          <w:iCs/>
        </w:rPr>
        <w:t>(</w:t>
      </w:r>
      <w:r w:rsidR="00A302AE">
        <w:rPr>
          <w:i/>
          <w:iCs/>
        </w:rPr>
        <w:t xml:space="preserve">Managing Interference </w:t>
      </w:r>
      <w:r w:rsidR="003860B9">
        <w:rPr>
          <w:i/>
          <w:iCs/>
        </w:rPr>
        <w:t xml:space="preserve">from </w:t>
      </w:r>
      <w:r w:rsidR="00A302AE">
        <w:rPr>
          <w:i/>
          <w:iCs/>
        </w:rPr>
        <w:t xml:space="preserve">Spectrum Licensed </w:t>
      </w:r>
      <w:r w:rsidR="003860B9">
        <w:rPr>
          <w:i/>
          <w:iCs/>
        </w:rPr>
        <w:t>Transmitters</w:t>
      </w:r>
      <w:r w:rsidR="00A302AE">
        <w:rPr>
          <w:i/>
          <w:iCs/>
        </w:rPr>
        <w:t xml:space="preserve"> </w:t>
      </w:r>
      <w:r w:rsidR="0044028C">
        <w:rPr>
          <w:i/>
          <w:iCs/>
        </w:rPr>
        <w:t>– 3.4 GHz Band</w:t>
      </w:r>
      <w:r w:rsidR="00F4519A">
        <w:rPr>
          <w:i/>
          <w:iCs/>
        </w:rPr>
        <w:t xml:space="preserve">) </w:t>
      </w:r>
      <w:r w:rsidR="00A302AE">
        <w:rPr>
          <w:i/>
          <w:iCs/>
        </w:rPr>
        <w:t>Variation</w:t>
      </w:r>
      <w:r w:rsidR="00B35F5E">
        <w:rPr>
          <w:i/>
          <w:iCs/>
        </w:rPr>
        <w:t xml:space="preserve"> 202</w:t>
      </w:r>
      <w:r w:rsidR="0044028C">
        <w:rPr>
          <w:i/>
          <w:iCs/>
        </w:rPr>
        <w:t>3</w:t>
      </w:r>
      <w:r w:rsidR="00E53F1D">
        <w:rPr>
          <w:i/>
          <w:iCs/>
        </w:rPr>
        <w:t xml:space="preserve"> (No. 1)</w:t>
      </w:r>
      <w:r>
        <w:t>.</w:t>
      </w:r>
    </w:p>
    <w:p w14:paraId="60908A15" w14:textId="77777777" w:rsidR="00D00EFA" w:rsidRDefault="00D00EFA" w:rsidP="00D00EFA">
      <w:pPr>
        <w:pStyle w:val="ActHead5"/>
      </w:pPr>
      <w:bookmarkStart w:id="2" w:name="_Toc444596032"/>
      <w:r>
        <w:rPr>
          <w:rStyle w:val="CharSectno"/>
        </w:rPr>
        <w:t>2</w:t>
      </w:r>
      <w:r>
        <w:t xml:space="preserve">  Commencement</w:t>
      </w:r>
      <w:bookmarkEnd w:id="2"/>
    </w:p>
    <w:p w14:paraId="3E71573B" w14:textId="3F3801B1" w:rsidR="00AC6465" w:rsidRDefault="00AC6465" w:rsidP="00F576F9">
      <w:pPr>
        <w:pStyle w:val="subsection"/>
      </w:pPr>
      <w:bookmarkStart w:id="3" w:name="_Toc444596033"/>
      <w:r>
        <w:tab/>
      </w:r>
      <w:r>
        <w:tab/>
        <w:t xml:space="preserve">This instrument commences on the day after the day </w:t>
      </w:r>
      <w:r w:rsidR="006C6D24">
        <w:t>it</w:t>
      </w:r>
      <w:r>
        <w:t xml:space="preserve"> is registered on the Federal Register of Legislation.</w:t>
      </w:r>
    </w:p>
    <w:p w14:paraId="1D2C386B" w14:textId="77777777" w:rsidR="00AC6465" w:rsidRDefault="00AC6465" w:rsidP="00AC6465">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77EA035F" w14:textId="77777777" w:rsidR="00D00EFA" w:rsidRDefault="00D00EFA" w:rsidP="00D00EFA">
      <w:pPr>
        <w:pStyle w:val="ActHead5"/>
      </w:pPr>
      <w:r>
        <w:rPr>
          <w:rStyle w:val="CharSectno"/>
        </w:rPr>
        <w:t>3</w:t>
      </w:r>
      <w:r>
        <w:t xml:space="preserve">  Authority</w:t>
      </w:r>
      <w:bookmarkEnd w:id="3"/>
    </w:p>
    <w:p w14:paraId="67903CDC" w14:textId="46DDC258" w:rsidR="00D00EFA" w:rsidRDefault="00D00EFA" w:rsidP="00D00EFA">
      <w:pPr>
        <w:pStyle w:val="subsection"/>
      </w:pPr>
      <w:r>
        <w:tab/>
      </w:r>
      <w:r>
        <w:tab/>
        <w:t xml:space="preserve">This instrument is made under </w:t>
      </w:r>
      <w:r w:rsidR="001C53BB">
        <w:t xml:space="preserve">section </w:t>
      </w:r>
      <w:r w:rsidR="00A302AE">
        <w:t>262</w:t>
      </w:r>
      <w:r>
        <w:t xml:space="preserve"> of the </w:t>
      </w:r>
      <w:r w:rsidR="006C6D24">
        <w:rPr>
          <w:i/>
        </w:rPr>
        <w:t>Radiocommunications Act 1992</w:t>
      </w:r>
      <w:r w:rsidRPr="008E62E7">
        <w:rPr>
          <w:i/>
          <w:iCs/>
        </w:rPr>
        <w:t>.</w:t>
      </w:r>
    </w:p>
    <w:p w14:paraId="237BACC0" w14:textId="77777777" w:rsidR="00D00EFA" w:rsidRDefault="00D00EFA" w:rsidP="00D00EFA">
      <w:pPr>
        <w:pStyle w:val="ActHead5"/>
      </w:pPr>
      <w:bookmarkStart w:id="4" w:name="_Toc444596034"/>
      <w:r>
        <w:t>4  Amendments</w:t>
      </w:r>
    </w:p>
    <w:p w14:paraId="5A9EF9A5" w14:textId="784B9B2E"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4"/>
    <w:p w14:paraId="1FDC1C1D" w14:textId="77777777" w:rsidR="00D00EFA" w:rsidRDefault="00D00EFA" w:rsidP="00D00EFA">
      <w:pPr>
        <w:pStyle w:val="notetext"/>
      </w:pPr>
      <w:r>
        <w:t xml:space="preserve"> </w:t>
      </w:r>
    </w:p>
    <w:bookmarkEnd w:id="1"/>
    <w:p w14:paraId="5A2F50F6" w14:textId="77777777" w:rsidR="00D00EFA" w:rsidRDefault="00D00EFA" w:rsidP="00D00EFA">
      <w:pPr>
        <w:spacing w:after="0"/>
        <w:rPr>
          <w:rFonts w:ascii="Times New Roman" w:hAnsi="Times New Roman" w:cs="Times New Roman"/>
          <w:b/>
          <w:sz w:val="24"/>
          <w:szCs w:val="24"/>
        </w:rPr>
        <w:sectPr w:rsidR="00D00EFA" w:rsidSect="00704AFD">
          <w:headerReference w:type="even" r:id="rId14"/>
          <w:headerReference w:type="default" r:id="rId15"/>
          <w:footerReference w:type="default" r:id="rId16"/>
          <w:headerReference w:type="first" r:id="rId17"/>
          <w:pgSz w:w="11906" w:h="16838"/>
          <w:pgMar w:top="1440" w:right="1440" w:bottom="1440" w:left="1440" w:header="708" w:footer="708" w:gutter="0"/>
          <w:pgNumType w:start="2"/>
          <w:cols w:space="720"/>
        </w:sectPr>
      </w:pPr>
    </w:p>
    <w:p w14:paraId="4C167BD2" w14:textId="77777777"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1598FF2F" w14:textId="2E50710B" w:rsidR="00D00EFA" w:rsidRPr="00DF74EC" w:rsidRDefault="008D1846" w:rsidP="00D00EFA">
      <w:pPr>
        <w:pStyle w:val="ActHead9"/>
        <w:ind w:left="0" w:firstLine="0"/>
      </w:pPr>
      <w:bookmarkStart w:id="5" w:name="_Toc438623396"/>
      <w:bookmarkStart w:id="6" w:name="_Toc444596036"/>
      <w:r w:rsidRPr="00DF74EC">
        <w:t xml:space="preserve">Radiocommunications </w:t>
      </w:r>
      <w:r w:rsidR="008D235C">
        <w:t xml:space="preserve">Advisory Guidelines </w:t>
      </w:r>
      <w:r w:rsidR="005B129C">
        <w:t>(</w:t>
      </w:r>
      <w:r w:rsidR="008D235C">
        <w:t xml:space="preserve">Managing Interference </w:t>
      </w:r>
      <w:r w:rsidR="003860B9">
        <w:t>from</w:t>
      </w:r>
      <w:r w:rsidR="008D235C">
        <w:t xml:space="preserve"> Spectrum Licensed </w:t>
      </w:r>
      <w:r w:rsidR="003860B9">
        <w:t>Transmitters</w:t>
      </w:r>
      <w:r w:rsidR="005B129C">
        <w:t xml:space="preserve"> – 3.4 GHz Band</w:t>
      </w:r>
      <w:r w:rsidRPr="00DF74EC">
        <w:t xml:space="preserve">) </w:t>
      </w:r>
      <w:r w:rsidR="00597D10">
        <w:t>20</w:t>
      </w:r>
      <w:r w:rsidR="005B129C">
        <w:t>15</w:t>
      </w:r>
      <w:r w:rsidR="001F22AD" w:rsidRPr="00DF74EC">
        <w:t xml:space="preserve"> </w:t>
      </w:r>
      <w:bookmarkEnd w:id="5"/>
      <w:r w:rsidR="00BC6765">
        <w:rPr>
          <w:i w:val="0"/>
          <w:iCs/>
        </w:rPr>
        <w:t>(</w:t>
      </w:r>
      <w:r w:rsidR="00D00EFA" w:rsidRPr="00BC6765">
        <w:rPr>
          <w:i w:val="0"/>
          <w:iCs/>
          <w:szCs w:val="28"/>
        </w:rPr>
        <w:t>F20</w:t>
      </w:r>
      <w:r w:rsidR="00097586">
        <w:rPr>
          <w:i w:val="0"/>
          <w:iCs/>
          <w:szCs w:val="28"/>
        </w:rPr>
        <w:t>15</w:t>
      </w:r>
      <w:r w:rsidR="00D00EFA" w:rsidRPr="00BC6765">
        <w:rPr>
          <w:i w:val="0"/>
          <w:iCs/>
          <w:szCs w:val="28"/>
        </w:rPr>
        <w:t>L</w:t>
      </w:r>
      <w:r w:rsidR="001F22AD" w:rsidRPr="00BC6765">
        <w:rPr>
          <w:i w:val="0"/>
          <w:iCs/>
          <w:szCs w:val="28"/>
        </w:rPr>
        <w:t>00</w:t>
      </w:r>
      <w:r w:rsidR="00097586">
        <w:rPr>
          <w:i w:val="0"/>
          <w:iCs/>
          <w:szCs w:val="28"/>
        </w:rPr>
        <w:t>72</w:t>
      </w:r>
      <w:r w:rsidR="00113035">
        <w:rPr>
          <w:i w:val="0"/>
          <w:iCs/>
          <w:szCs w:val="28"/>
        </w:rPr>
        <w:t>8</w:t>
      </w:r>
      <w:r w:rsidR="00BC6765">
        <w:rPr>
          <w:i w:val="0"/>
          <w:iCs/>
          <w:szCs w:val="28"/>
        </w:rPr>
        <w:t>)</w:t>
      </w:r>
    </w:p>
    <w:p w14:paraId="32F7B6D0" w14:textId="5BD55C00" w:rsidR="002F4762" w:rsidRDefault="000A3E9A" w:rsidP="002F4762">
      <w:pPr>
        <w:pStyle w:val="ItemHead"/>
        <w:rPr>
          <w:i/>
          <w:iCs/>
        </w:rPr>
      </w:pPr>
      <w:r>
        <w:t>1</w:t>
      </w:r>
      <w:r w:rsidR="009179DF">
        <w:t xml:space="preserve">  Subsection 1.</w:t>
      </w:r>
      <w:r>
        <w:t>5</w:t>
      </w:r>
      <w:r w:rsidR="009179DF">
        <w:t xml:space="preserve">(1), definition of </w:t>
      </w:r>
      <w:r w:rsidR="009179DF">
        <w:rPr>
          <w:i/>
          <w:iCs/>
        </w:rPr>
        <w:t>3.4 GHz band</w:t>
      </w:r>
    </w:p>
    <w:p w14:paraId="052AC04B" w14:textId="347A6ADF" w:rsidR="009179DF" w:rsidRDefault="009179DF" w:rsidP="009179DF">
      <w:pPr>
        <w:pStyle w:val="Item"/>
      </w:pPr>
      <w:r>
        <w:t>Repeal</w:t>
      </w:r>
      <w:r w:rsidRPr="009179DF">
        <w:t xml:space="preserve"> </w:t>
      </w:r>
      <w:r>
        <w:t>the definition, substitute:</w:t>
      </w:r>
    </w:p>
    <w:p w14:paraId="36A76DDE" w14:textId="7CA2E907" w:rsidR="00AC4374" w:rsidRPr="00575A9B" w:rsidRDefault="00AC4374" w:rsidP="00AC4374">
      <w:pPr>
        <w:pStyle w:val="Definition"/>
        <w:rPr>
          <w:bCs/>
          <w:iCs/>
        </w:rPr>
      </w:pPr>
      <w:r>
        <w:rPr>
          <w:b/>
          <w:i/>
        </w:rPr>
        <w:t xml:space="preserve">3.4 GHz band </w:t>
      </w:r>
      <w:r>
        <w:rPr>
          <w:bCs/>
          <w:iCs/>
        </w:rPr>
        <w:t>means the part of the spectrum from 3400 MHz to 3800 MHz.</w:t>
      </w:r>
    </w:p>
    <w:p w14:paraId="279CAA0F" w14:textId="6D4BF61B" w:rsidR="00AC4374" w:rsidRPr="000A3E9A" w:rsidRDefault="000B712A" w:rsidP="00AC4374">
      <w:pPr>
        <w:pStyle w:val="ItemHead"/>
      </w:pPr>
      <w:r>
        <w:t>2</w:t>
      </w:r>
      <w:r w:rsidR="00AC4374">
        <w:t xml:space="preserve">  Subsection 1.</w:t>
      </w:r>
      <w:r w:rsidR="000A3E9A">
        <w:t>5</w:t>
      </w:r>
      <w:r w:rsidR="00AC4374">
        <w:t>(1), definition</w:t>
      </w:r>
      <w:r w:rsidR="0092237D">
        <w:t>s</w:t>
      </w:r>
      <w:r w:rsidR="00AC4374">
        <w:t xml:space="preserve"> of </w:t>
      </w:r>
      <w:r w:rsidR="002B0F78">
        <w:rPr>
          <w:i/>
          <w:iCs/>
        </w:rPr>
        <w:t xml:space="preserve">RALI </w:t>
      </w:r>
      <w:r w:rsidR="000A3E9A">
        <w:rPr>
          <w:i/>
          <w:iCs/>
        </w:rPr>
        <w:t>FX 14</w:t>
      </w:r>
      <w:r w:rsidR="00380874" w:rsidRPr="00380874">
        <w:t xml:space="preserve"> (including the note)</w:t>
      </w:r>
      <w:r w:rsidR="000A3E9A">
        <w:t>,</w:t>
      </w:r>
      <w:r w:rsidR="0092237D">
        <w:t xml:space="preserve"> </w:t>
      </w:r>
      <w:r w:rsidR="000A3E9A">
        <w:rPr>
          <w:i/>
          <w:iCs/>
        </w:rPr>
        <w:t xml:space="preserve">RALI FX 19 </w:t>
      </w:r>
      <w:r w:rsidR="000A3E9A">
        <w:t xml:space="preserve">(including the note) and </w:t>
      </w:r>
      <w:r w:rsidR="000A3E9A" w:rsidRPr="000B712A">
        <w:rPr>
          <w:i/>
          <w:iCs/>
        </w:rPr>
        <w:t>RALI M</w:t>
      </w:r>
      <w:r w:rsidR="00901AAD">
        <w:rPr>
          <w:i/>
          <w:iCs/>
        </w:rPr>
        <w:t>S</w:t>
      </w:r>
      <w:r w:rsidRPr="000B712A">
        <w:rPr>
          <w:i/>
          <w:iCs/>
        </w:rPr>
        <w:t xml:space="preserve"> 39</w:t>
      </w:r>
      <w:r>
        <w:t xml:space="preserve"> (including the note)</w:t>
      </w:r>
    </w:p>
    <w:p w14:paraId="39CF341D" w14:textId="0C484D70" w:rsidR="002B0F78" w:rsidRPr="002B0F78" w:rsidRDefault="002B0F78" w:rsidP="002B0F78">
      <w:pPr>
        <w:pStyle w:val="Item"/>
      </w:pPr>
      <w:r w:rsidRPr="002B0F78">
        <w:t>Repeal the definition</w:t>
      </w:r>
      <w:r w:rsidR="0092237D">
        <w:t>s</w:t>
      </w:r>
      <w:r w:rsidRPr="002B0F78">
        <w:t>.</w:t>
      </w:r>
    </w:p>
    <w:p w14:paraId="32B40A54" w14:textId="73294E8B" w:rsidR="002B0F78" w:rsidRDefault="000B712A" w:rsidP="00C71B32">
      <w:pPr>
        <w:pStyle w:val="ItemHead"/>
      </w:pPr>
      <w:r>
        <w:t>3</w:t>
      </w:r>
      <w:r w:rsidR="002B0F78">
        <w:t xml:space="preserve">  Subsection 1.</w:t>
      </w:r>
      <w:r>
        <w:t>5</w:t>
      </w:r>
      <w:r w:rsidR="002B0F78">
        <w:t>(1)</w:t>
      </w:r>
    </w:p>
    <w:p w14:paraId="216C22C1" w14:textId="71CC9B2B" w:rsidR="002B0F78" w:rsidRDefault="00380874" w:rsidP="002B0F78">
      <w:pPr>
        <w:pStyle w:val="Item"/>
      </w:pPr>
      <w:r>
        <w:t>Insert</w:t>
      </w:r>
      <w:r w:rsidR="002B0F78">
        <w:t>:</w:t>
      </w:r>
    </w:p>
    <w:p w14:paraId="4C7E128A" w14:textId="4B9EC935" w:rsidR="002B0F78" w:rsidRPr="00125611" w:rsidRDefault="00AA3E3B" w:rsidP="002B0F78">
      <w:pPr>
        <w:pStyle w:val="Definition"/>
        <w:rPr>
          <w:bCs/>
          <w:iCs/>
        </w:rPr>
      </w:pPr>
      <w:r>
        <w:rPr>
          <w:b/>
          <w:i/>
        </w:rPr>
        <w:t>RALI MS 47</w:t>
      </w:r>
      <w:r w:rsidR="002B0F78">
        <w:rPr>
          <w:b/>
          <w:i/>
        </w:rPr>
        <w:t xml:space="preserve"> </w:t>
      </w:r>
      <w:r w:rsidR="002B0F78">
        <w:rPr>
          <w:bCs/>
          <w:iCs/>
        </w:rPr>
        <w:t xml:space="preserve">means the </w:t>
      </w:r>
      <w:r>
        <w:rPr>
          <w:bCs/>
          <w:iCs/>
        </w:rPr>
        <w:t>Radiocommunications Assignment and Licensing Instruction MS 47</w:t>
      </w:r>
      <w:r w:rsidR="00613C5A">
        <w:rPr>
          <w:bCs/>
          <w:iCs/>
        </w:rPr>
        <w:t xml:space="preserve"> </w:t>
      </w:r>
      <w:r w:rsidR="00613C5A">
        <w:rPr>
          <w:bCs/>
          <w:i/>
        </w:rPr>
        <w:t>Frequency coordination and licensing procedures for Area-Wide Licences (AWL) in the 3400–4000 MHz band</w:t>
      </w:r>
      <w:r w:rsidR="00125611">
        <w:rPr>
          <w:bCs/>
          <w:iCs/>
        </w:rPr>
        <w:t>, published by the ACMA.</w:t>
      </w:r>
    </w:p>
    <w:p w14:paraId="1DE712B8" w14:textId="1DB8B08D" w:rsidR="00125611" w:rsidRPr="005834F8" w:rsidRDefault="00125611" w:rsidP="00125611">
      <w:pPr>
        <w:pStyle w:val="notetext"/>
        <w:rPr>
          <w:szCs w:val="18"/>
        </w:rPr>
      </w:pPr>
      <w:r>
        <w:t>Note:</w:t>
      </w:r>
      <w:r>
        <w:tab/>
        <w:t>RALI MS 47 is available, free of charge, from the ACMA</w:t>
      </w:r>
      <w:r w:rsidR="00380874">
        <w:t xml:space="preserve">’s website at </w:t>
      </w:r>
      <w:hyperlink r:id="rId18" w:history="1">
        <w:r w:rsidR="00380874" w:rsidRPr="006F14CD">
          <w:rPr>
            <w:rStyle w:val="Hyperlink"/>
          </w:rPr>
          <w:t>www.acma.gov.au</w:t>
        </w:r>
      </w:hyperlink>
      <w:r w:rsidR="00380874">
        <w:t xml:space="preserve">. </w:t>
      </w:r>
    </w:p>
    <w:p w14:paraId="7EE72168" w14:textId="183588F9" w:rsidR="00AF2703" w:rsidRDefault="00BD0BDA" w:rsidP="00C71B32">
      <w:pPr>
        <w:pStyle w:val="ItemHead"/>
        <w:rPr>
          <w:i/>
          <w:iCs/>
        </w:rPr>
      </w:pPr>
      <w:r>
        <w:t>4</w:t>
      </w:r>
      <w:r w:rsidR="00AF2703">
        <w:t xml:space="preserve">  Subsection 1.5(1), definition of </w:t>
      </w:r>
      <w:r w:rsidR="00AF2703">
        <w:rPr>
          <w:i/>
          <w:iCs/>
        </w:rPr>
        <w:t>Spectrum Plan</w:t>
      </w:r>
    </w:p>
    <w:p w14:paraId="69428ECD" w14:textId="77777777" w:rsidR="008E606F" w:rsidRDefault="008E606F" w:rsidP="008E606F">
      <w:pPr>
        <w:pStyle w:val="Item"/>
      </w:pPr>
      <w:r>
        <w:t>Repeal</w:t>
      </w:r>
      <w:r w:rsidRPr="009179DF">
        <w:t xml:space="preserve"> </w:t>
      </w:r>
      <w:r>
        <w:t>the definition, substitute:</w:t>
      </w:r>
    </w:p>
    <w:p w14:paraId="396D49F5" w14:textId="4D6A9772" w:rsidR="008E606F" w:rsidRDefault="008E606F" w:rsidP="008E606F">
      <w:pPr>
        <w:pStyle w:val="Definition"/>
        <w:rPr>
          <w:bCs/>
          <w:iCs/>
        </w:rPr>
      </w:pPr>
      <w:r>
        <w:rPr>
          <w:b/>
          <w:i/>
        </w:rPr>
        <w:t xml:space="preserve">Spectrum Plan </w:t>
      </w:r>
      <w:r>
        <w:rPr>
          <w:bCs/>
          <w:iCs/>
        </w:rPr>
        <w:t xml:space="preserve">means </w:t>
      </w:r>
      <w:bookmarkStart w:id="7" w:name="_Hlk118893455"/>
      <w:r>
        <w:rPr>
          <w:bCs/>
          <w:iCs/>
        </w:rPr>
        <w:t xml:space="preserve">the plan </w:t>
      </w:r>
      <w:r w:rsidR="00700F68">
        <w:rPr>
          <w:bCs/>
          <w:iCs/>
        </w:rPr>
        <w:t>prepared</w:t>
      </w:r>
      <w:r>
        <w:rPr>
          <w:bCs/>
          <w:iCs/>
        </w:rPr>
        <w:t xml:space="preserve"> under </w:t>
      </w:r>
      <w:r w:rsidR="009E1A77">
        <w:rPr>
          <w:bCs/>
          <w:iCs/>
        </w:rPr>
        <w:t xml:space="preserve">subsection 30(1) </w:t>
      </w:r>
      <w:r w:rsidR="00337DCF">
        <w:rPr>
          <w:bCs/>
          <w:iCs/>
        </w:rPr>
        <w:t>of the Act.</w:t>
      </w:r>
    </w:p>
    <w:p w14:paraId="7EADA526" w14:textId="1557DBD3" w:rsidR="00337DCF" w:rsidRPr="00575A9B" w:rsidRDefault="00337DCF" w:rsidP="00337DCF">
      <w:pPr>
        <w:pStyle w:val="notetext"/>
        <w:rPr>
          <w:bCs/>
          <w:iCs/>
        </w:rPr>
      </w:pPr>
      <w:r>
        <w:rPr>
          <w:bCs/>
          <w:iCs/>
        </w:rPr>
        <w:t>Note:</w:t>
      </w:r>
      <w:r>
        <w:rPr>
          <w:bCs/>
          <w:iCs/>
        </w:rPr>
        <w:tab/>
        <w:t xml:space="preserve">The Spectrum Plan is a legislative instrument and is available, free of charge, from the Federal Register of Legislation at </w:t>
      </w:r>
      <w:hyperlink r:id="rId19" w:history="1">
        <w:r w:rsidRPr="000008CA">
          <w:rPr>
            <w:rStyle w:val="Hyperlink"/>
            <w:bCs/>
            <w:iCs/>
          </w:rPr>
          <w:t>www.legislation.gov.au</w:t>
        </w:r>
      </w:hyperlink>
      <w:bookmarkEnd w:id="7"/>
      <w:r>
        <w:rPr>
          <w:bCs/>
          <w:iCs/>
        </w:rPr>
        <w:t xml:space="preserve">. </w:t>
      </w:r>
    </w:p>
    <w:p w14:paraId="3A3B106D" w14:textId="32C7ADD7" w:rsidR="002C2380" w:rsidRDefault="002C2380" w:rsidP="00C71B32">
      <w:pPr>
        <w:pStyle w:val="ItemHead"/>
      </w:pPr>
      <w:r>
        <w:t>5  After section 1.5</w:t>
      </w:r>
    </w:p>
    <w:p w14:paraId="3164DFC8" w14:textId="7FF37063" w:rsidR="002C2380" w:rsidRDefault="002C2380" w:rsidP="002C2380">
      <w:pPr>
        <w:pStyle w:val="Item"/>
      </w:pPr>
      <w:r>
        <w:t>Insert:</w:t>
      </w:r>
    </w:p>
    <w:p w14:paraId="70A14214" w14:textId="012D1584" w:rsidR="000C4FC8" w:rsidRPr="00DE2C12" w:rsidRDefault="000C4FC8" w:rsidP="00DE2C12">
      <w:pPr>
        <w:pStyle w:val="HR0"/>
        <w:ind w:left="993" w:hanging="993"/>
        <w:jc w:val="both"/>
        <w:rPr>
          <w:rStyle w:val="charsectno0"/>
        </w:rPr>
      </w:pPr>
      <w:bookmarkStart w:id="8" w:name="_Toc67401541"/>
      <w:bookmarkStart w:id="9" w:name="_Toc126166290"/>
      <w:r>
        <w:rPr>
          <w:rStyle w:val="charsectno0"/>
        </w:rPr>
        <w:t>1.</w:t>
      </w:r>
      <w:r w:rsidRPr="00DE2C12">
        <w:rPr>
          <w:rStyle w:val="charsectno0"/>
        </w:rPr>
        <w:t>6  References to other instruments</w:t>
      </w:r>
      <w:bookmarkEnd w:id="8"/>
      <w:bookmarkEnd w:id="9"/>
      <w:r w:rsidRPr="00DE2C12">
        <w:rPr>
          <w:rStyle w:val="charsectno0"/>
        </w:rPr>
        <w:t xml:space="preserve"> </w:t>
      </w:r>
    </w:p>
    <w:p w14:paraId="7570E635" w14:textId="58660912" w:rsidR="000C4FC8" w:rsidRPr="00FF3517" w:rsidRDefault="000C4FC8" w:rsidP="000C4FC8">
      <w:pPr>
        <w:pStyle w:val="subsection"/>
      </w:pPr>
      <w:r w:rsidRPr="00FF3517">
        <w:tab/>
      </w:r>
      <w:r w:rsidRPr="00FF3517">
        <w:tab/>
        <w:t>In th</w:t>
      </w:r>
      <w:r w:rsidR="007E5288">
        <w:t>ese guidelines</w:t>
      </w:r>
      <w:r w:rsidRPr="00FF3517">
        <w:t>, unless the contrary intention appears:</w:t>
      </w:r>
    </w:p>
    <w:p w14:paraId="073C83A8" w14:textId="77777777" w:rsidR="000C4FC8" w:rsidRPr="00FF3517" w:rsidRDefault="000C4FC8" w:rsidP="000C4FC8">
      <w:pPr>
        <w:pStyle w:val="paragraph"/>
      </w:pPr>
      <w:r w:rsidRPr="00FF3517">
        <w:tab/>
        <w:t>(a)</w:t>
      </w:r>
      <w:r w:rsidRPr="00FF3517">
        <w:tab/>
        <w:t>a reference to another legislative instrument is a reference to that other legislative instrument as in force from time to time; and</w:t>
      </w:r>
    </w:p>
    <w:p w14:paraId="37937602" w14:textId="77777777" w:rsidR="000C4FC8" w:rsidRPr="00FF3517" w:rsidRDefault="000C4FC8" w:rsidP="000C4FC8">
      <w:pPr>
        <w:pStyle w:val="paragraph"/>
        <w:keepNext/>
      </w:pPr>
      <w:r w:rsidRPr="00FF3517">
        <w:tab/>
        <w:t>(b)</w:t>
      </w:r>
      <w:r w:rsidRPr="00FF3517">
        <w:tab/>
        <w:t>a reference to any other kind of instrument or writing is a reference to that other instrument or writing as in force or existing from time to time.</w:t>
      </w:r>
    </w:p>
    <w:p w14:paraId="2F230A7C" w14:textId="77777777" w:rsidR="000C4FC8" w:rsidRPr="00FF3517" w:rsidRDefault="000C4FC8" w:rsidP="000C4FC8">
      <w:pPr>
        <w:pStyle w:val="notetext"/>
      </w:pPr>
      <w:r w:rsidRPr="00FF3517">
        <w:t>Note 1:</w:t>
      </w:r>
      <w:r w:rsidRPr="00FF3517">
        <w:tab/>
        <w:t xml:space="preserve">For references to Commonwealth Acts, see section 10 of the </w:t>
      </w:r>
      <w:r w:rsidRPr="00FF3517">
        <w:rPr>
          <w:i/>
        </w:rPr>
        <w:t>Acts Interpretation Act 1901</w:t>
      </w:r>
      <w:r w:rsidRPr="00FF3517">
        <w:t xml:space="preserve">; and see also subsection 13(1) of the </w:t>
      </w:r>
      <w:r w:rsidRPr="00FF3517">
        <w:rPr>
          <w:i/>
        </w:rPr>
        <w:t>Legislation Act 2003</w:t>
      </w:r>
      <w:r w:rsidRPr="00FF3517">
        <w:t xml:space="preserve"> for the application of the </w:t>
      </w:r>
      <w:r w:rsidRPr="00FF3517">
        <w:rPr>
          <w:i/>
        </w:rPr>
        <w:t>Acts Interpretation Act 1901</w:t>
      </w:r>
      <w:r w:rsidRPr="00FF3517">
        <w:t xml:space="preserve"> to legislative instruments. </w:t>
      </w:r>
    </w:p>
    <w:p w14:paraId="6E561621" w14:textId="77777777" w:rsidR="000C4FC8" w:rsidRPr="00FF3517" w:rsidRDefault="000C4FC8" w:rsidP="000C4FC8">
      <w:pPr>
        <w:pStyle w:val="notetext"/>
      </w:pPr>
      <w:r w:rsidRPr="00FF3517">
        <w:t>Note 2:</w:t>
      </w:r>
      <w:r w:rsidRPr="00FF3517">
        <w:tab/>
        <w:t xml:space="preserve">All Commonwealth Acts and legislative instruments are registered on the Federal Register of Legislation and </w:t>
      </w:r>
      <w:r>
        <w:t xml:space="preserve">are </w:t>
      </w:r>
      <w:r w:rsidRPr="00FF3517">
        <w:t>accessible</w:t>
      </w:r>
      <w:r>
        <w:t>,</w:t>
      </w:r>
      <w:r w:rsidRPr="00FF3517">
        <w:t xml:space="preserve"> free of charge</w:t>
      </w:r>
      <w:r>
        <w:t xml:space="preserve">, </w:t>
      </w:r>
      <w:r w:rsidRPr="00FF3517">
        <w:rPr>
          <w:szCs w:val="18"/>
        </w:rPr>
        <w:t xml:space="preserve">at </w:t>
      </w:r>
      <w:hyperlink r:id="rId20" w:history="1">
        <w:r w:rsidRPr="00FF3517">
          <w:rPr>
            <w:rStyle w:val="Hyperlink"/>
            <w:szCs w:val="18"/>
          </w:rPr>
          <w:t>www.legislation.gov.au</w:t>
        </w:r>
      </w:hyperlink>
      <w:r w:rsidRPr="00FF3517">
        <w:t>.</w:t>
      </w:r>
    </w:p>
    <w:p w14:paraId="779BDD15" w14:textId="77777777" w:rsidR="000C4FC8" w:rsidRPr="00FF3517" w:rsidRDefault="000C4FC8" w:rsidP="000C4FC8">
      <w:pPr>
        <w:pStyle w:val="notetext"/>
      </w:pPr>
      <w:r w:rsidRPr="00FF3517">
        <w:t>Note 3:</w:t>
      </w:r>
      <w:r w:rsidRPr="00FF3517">
        <w:tab/>
        <w:t>See section 314A of the Act</w:t>
      </w:r>
      <w:r>
        <w:t>.</w:t>
      </w:r>
    </w:p>
    <w:p w14:paraId="694BCF06" w14:textId="7A9E70F4" w:rsidR="002B0F78" w:rsidRDefault="00AA2B1C" w:rsidP="00C71B32">
      <w:pPr>
        <w:pStyle w:val="ItemHead"/>
        <w:rPr>
          <w:i/>
          <w:iCs/>
        </w:rPr>
      </w:pPr>
      <w:r>
        <w:t>6</w:t>
      </w:r>
      <w:r w:rsidR="00380874">
        <w:t xml:space="preserve">  Section </w:t>
      </w:r>
      <w:r w:rsidR="000B712A">
        <w:t>2.1</w:t>
      </w:r>
    </w:p>
    <w:p w14:paraId="03DE80F9" w14:textId="5B6E3383" w:rsidR="00CF4D58" w:rsidRPr="00CF4D58" w:rsidRDefault="00BA261E" w:rsidP="00CF4D58">
      <w:pPr>
        <w:pStyle w:val="Item"/>
      </w:pPr>
      <w:r>
        <w:t>Omit “Australia-wide”, substitute “in specified parts of Australia”.</w:t>
      </w:r>
    </w:p>
    <w:p w14:paraId="11E735D5" w14:textId="2B6048F0" w:rsidR="002B0F78" w:rsidRDefault="00AA2B1C" w:rsidP="00DD7012">
      <w:pPr>
        <w:pStyle w:val="ItemHead"/>
      </w:pPr>
      <w:r>
        <w:lastRenderedPageBreak/>
        <w:t>7</w:t>
      </w:r>
      <w:r w:rsidR="001B7E86">
        <w:t xml:space="preserve"> </w:t>
      </w:r>
      <w:r w:rsidR="00BA261E">
        <w:t xml:space="preserve"> Section 2.3</w:t>
      </w:r>
    </w:p>
    <w:p w14:paraId="7B25227B" w14:textId="30B12AF4" w:rsidR="00BA261E" w:rsidRDefault="00BA261E" w:rsidP="00DD7012">
      <w:pPr>
        <w:pStyle w:val="Item"/>
        <w:keepNext/>
      </w:pPr>
      <w:r>
        <w:t>Omit:</w:t>
      </w:r>
    </w:p>
    <w:p w14:paraId="3C7B0598" w14:textId="41864304" w:rsidR="00901B9C" w:rsidRDefault="00901B9C" w:rsidP="00BA261E">
      <w:pPr>
        <w:pStyle w:val="subsection"/>
        <w:numPr>
          <w:ilvl w:val="0"/>
          <w:numId w:val="11"/>
        </w:numPr>
      </w:pPr>
      <w:r>
        <w:t>Earth station protection zones (Part 9 of these guidelines)</w:t>
      </w:r>
      <w:r w:rsidR="00804F69">
        <w:t>;</w:t>
      </w:r>
    </w:p>
    <w:p w14:paraId="17C9A6B7" w14:textId="199D2401" w:rsidR="00BA261E" w:rsidRDefault="001D11E6" w:rsidP="00BA261E">
      <w:pPr>
        <w:pStyle w:val="subsection"/>
        <w:numPr>
          <w:ilvl w:val="0"/>
          <w:numId w:val="11"/>
        </w:numPr>
      </w:pPr>
      <w:r>
        <w:t>Earth station facility near Uralla, NSW (Part 10 of these guidelines).</w:t>
      </w:r>
    </w:p>
    <w:p w14:paraId="72BEA540" w14:textId="04A3E1FD" w:rsidR="001D11E6" w:rsidRDefault="001D11E6" w:rsidP="00C86013">
      <w:pPr>
        <w:pStyle w:val="Item"/>
        <w:spacing w:before="120"/>
      </w:pPr>
      <w:r>
        <w:t>substitute:</w:t>
      </w:r>
    </w:p>
    <w:p w14:paraId="20DBE611" w14:textId="4689DAF9" w:rsidR="00BC287F" w:rsidRPr="00EF2A4C" w:rsidRDefault="00BC287F" w:rsidP="00EF2A4C">
      <w:pPr>
        <w:pStyle w:val="subsection"/>
        <w:numPr>
          <w:ilvl w:val="0"/>
          <w:numId w:val="11"/>
        </w:numPr>
      </w:pPr>
      <w:r w:rsidRPr="00EF2A4C">
        <w:t>Adjacent area spectrum licensed receivers (Part 8 of these guidelines);</w:t>
      </w:r>
    </w:p>
    <w:p w14:paraId="2F15D8F8" w14:textId="77777777" w:rsidR="00BC287F" w:rsidRPr="00EF2A4C" w:rsidRDefault="00BC287F" w:rsidP="00EF2A4C">
      <w:pPr>
        <w:pStyle w:val="subsection"/>
        <w:numPr>
          <w:ilvl w:val="0"/>
          <w:numId w:val="11"/>
        </w:numPr>
      </w:pPr>
      <w:r w:rsidRPr="00EF2A4C">
        <w:t>Earth station protection zones (Part 9 of these guidelines);</w:t>
      </w:r>
    </w:p>
    <w:p w14:paraId="74315DCF" w14:textId="0C35F83A" w:rsidR="00BC287F" w:rsidRPr="00EF2A4C" w:rsidRDefault="00BC287F" w:rsidP="00EF2A4C">
      <w:pPr>
        <w:pStyle w:val="subsection"/>
        <w:numPr>
          <w:ilvl w:val="0"/>
          <w:numId w:val="11"/>
        </w:numPr>
      </w:pPr>
      <w:r w:rsidRPr="00EF2A4C">
        <w:t>Earth station facility near Uralla, N</w:t>
      </w:r>
      <w:r w:rsidR="00FE624A">
        <w:t xml:space="preserve">ew </w:t>
      </w:r>
      <w:r w:rsidRPr="00EF2A4C">
        <w:t>S</w:t>
      </w:r>
      <w:r w:rsidR="00FE624A">
        <w:t xml:space="preserve">outh </w:t>
      </w:r>
      <w:r w:rsidRPr="00EF2A4C">
        <w:t>W</w:t>
      </w:r>
      <w:r w:rsidR="00FE624A">
        <w:t>ales</w:t>
      </w:r>
      <w:r w:rsidRPr="00EF2A4C">
        <w:t xml:space="preserve"> (Part 10 of these guidelines);</w:t>
      </w:r>
    </w:p>
    <w:p w14:paraId="10ED067C" w14:textId="5F6BCECE" w:rsidR="00BC287F" w:rsidRPr="00EF2A4C" w:rsidRDefault="00BC287F" w:rsidP="00EF2A4C">
      <w:pPr>
        <w:pStyle w:val="subsection"/>
        <w:numPr>
          <w:ilvl w:val="0"/>
          <w:numId w:val="11"/>
        </w:numPr>
      </w:pPr>
      <w:r w:rsidRPr="00EF2A4C">
        <w:t>Adjacent frequency wireless broadband services in the 3400</w:t>
      </w:r>
      <w:r w:rsidR="005C6845">
        <w:t>–</w:t>
      </w:r>
      <w:r w:rsidRPr="00EF2A4C">
        <w:t>4000 MHz band (Part 1</w:t>
      </w:r>
      <w:r w:rsidR="000B7254" w:rsidRPr="00EF2A4C">
        <w:t>1</w:t>
      </w:r>
      <w:r w:rsidRPr="00EF2A4C">
        <w:t xml:space="preserve"> of these guidelines);</w:t>
      </w:r>
    </w:p>
    <w:p w14:paraId="701E6DC1" w14:textId="5FBDF7B8" w:rsidR="00BC287F" w:rsidRDefault="00805EFF" w:rsidP="00EF2A4C">
      <w:pPr>
        <w:pStyle w:val="subsection"/>
        <w:numPr>
          <w:ilvl w:val="0"/>
          <w:numId w:val="11"/>
        </w:numPr>
      </w:pPr>
      <w:bookmarkStart w:id="10" w:name="_Hlk118900583"/>
      <w:r w:rsidRPr="00EF2A4C">
        <w:t>G</w:t>
      </w:r>
      <w:r w:rsidR="00843A44" w:rsidRPr="00EF2A4C">
        <w:t>eographically a</w:t>
      </w:r>
      <w:r w:rsidR="00BC287F" w:rsidRPr="00EF2A4C">
        <w:t>djacent area</w:t>
      </w:r>
      <w:r w:rsidR="00FB3873">
        <w:t>-</w:t>
      </w:r>
      <w:r w:rsidR="00BC287F" w:rsidRPr="00EF2A4C">
        <w:t>wide licen</w:t>
      </w:r>
      <w:r w:rsidR="00354E92" w:rsidRPr="00EF2A4C">
        <w:t>c</w:t>
      </w:r>
      <w:r w:rsidR="00BC287F" w:rsidRPr="00EF2A4C">
        <w:t>e</w:t>
      </w:r>
      <w:r w:rsidR="00843A44" w:rsidRPr="00EF2A4C">
        <w:t>s</w:t>
      </w:r>
      <w:bookmarkEnd w:id="10"/>
      <w:r w:rsidR="00BC287F" w:rsidRPr="00EF2A4C">
        <w:t xml:space="preserve"> (Part 1</w:t>
      </w:r>
      <w:r w:rsidR="000B7254" w:rsidRPr="00EF2A4C">
        <w:t>2</w:t>
      </w:r>
      <w:r w:rsidR="00BC287F" w:rsidRPr="00EF2A4C">
        <w:t xml:space="preserve"> of these guidelines)</w:t>
      </w:r>
      <w:r w:rsidR="00542B3F">
        <w:t>;</w:t>
      </w:r>
    </w:p>
    <w:p w14:paraId="2554D71C" w14:textId="15D53C71" w:rsidR="00542B3F" w:rsidRPr="00EF2A4C" w:rsidRDefault="00542B3F" w:rsidP="00542B3F">
      <w:pPr>
        <w:pStyle w:val="subsection"/>
        <w:numPr>
          <w:ilvl w:val="0"/>
          <w:numId w:val="11"/>
        </w:numPr>
      </w:pPr>
      <w:r>
        <w:t>Aeronautical mobile and aeronautical radionavigation services operating in the 4200–4400 MHz band (Part 13 of these guidelines).</w:t>
      </w:r>
    </w:p>
    <w:p w14:paraId="7CDD31B1" w14:textId="1672AACB" w:rsidR="00804F69" w:rsidRDefault="00AA2B1C" w:rsidP="00984094">
      <w:pPr>
        <w:pStyle w:val="ItemHead"/>
      </w:pPr>
      <w:r>
        <w:t>8</w:t>
      </w:r>
      <w:r w:rsidR="00804F69">
        <w:t xml:space="preserve">  Section 2.4</w:t>
      </w:r>
    </w:p>
    <w:p w14:paraId="5A6DC725" w14:textId="4FF63609" w:rsidR="00804F69" w:rsidRPr="00804F69" w:rsidRDefault="00804F69" w:rsidP="00804F69">
      <w:pPr>
        <w:pStyle w:val="Item"/>
      </w:pPr>
      <w:r>
        <w:t>Repeal the section.</w:t>
      </w:r>
    </w:p>
    <w:p w14:paraId="78C36D90" w14:textId="480ED921" w:rsidR="00984094" w:rsidRDefault="00AA2B1C" w:rsidP="00984094">
      <w:pPr>
        <w:pStyle w:val="ItemHead"/>
      </w:pPr>
      <w:r>
        <w:t>9</w:t>
      </w:r>
      <w:r w:rsidR="008225C9">
        <w:t xml:space="preserve"> </w:t>
      </w:r>
      <w:r w:rsidR="00984094">
        <w:t xml:space="preserve"> </w:t>
      </w:r>
      <w:r w:rsidR="008225C9">
        <w:t>Subparagraph 4</w:t>
      </w:r>
      <w:r w:rsidR="00984094">
        <w:t>.3</w:t>
      </w:r>
      <w:r w:rsidR="008225C9">
        <w:t>(1)(c)(ii)</w:t>
      </w:r>
    </w:p>
    <w:p w14:paraId="7C4F3561" w14:textId="27E7F354" w:rsidR="00984094" w:rsidRDefault="00984094" w:rsidP="00984094">
      <w:pPr>
        <w:pStyle w:val="Item"/>
      </w:pPr>
      <w:r>
        <w:t>Omit</w:t>
      </w:r>
      <w:r w:rsidR="008225C9">
        <w:t xml:space="preserve"> “3700 MHz”, substitute “3800 MHz”.</w:t>
      </w:r>
    </w:p>
    <w:p w14:paraId="33F714EA" w14:textId="77777777" w:rsidR="00AA2B1C" w:rsidRDefault="00AA2B1C" w:rsidP="00AA2B1C">
      <w:pPr>
        <w:pStyle w:val="ItemHead"/>
      </w:pPr>
      <w:r>
        <w:t>10  Subsection 4.3(4), table 1, heading to column 1</w:t>
      </w:r>
    </w:p>
    <w:p w14:paraId="28EA1885" w14:textId="77777777" w:rsidR="00AA2B1C" w:rsidRDefault="00AA2B1C" w:rsidP="00AA2B1C">
      <w:pPr>
        <w:pStyle w:val="Item"/>
        <w:keepNext/>
      </w:pPr>
      <w:r>
        <w:t>Omit the heading, substitute:</w:t>
      </w:r>
    </w:p>
    <w:p w14:paraId="37BB730B" w14:textId="77777777" w:rsidR="00AA2B1C" w:rsidRPr="002360B2" w:rsidRDefault="00AA2B1C" w:rsidP="00AA2B1C">
      <w:pPr>
        <w:pStyle w:val="subsection"/>
        <w:rPr>
          <w:b/>
          <w:bCs/>
        </w:rPr>
      </w:pPr>
      <w:r>
        <w:tab/>
      </w:r>
      <w:r>
        <w:tab/>
      </w:r>
      <w:r w:rsidRPr="00712DB0">
        <w:rPr>
          <w:b/>
          <w:bCs/>
        </w:rPr>
        <w:t xml:space="preserve">Frequency offset from </w:t>
      </w:r>
      <w:r>
        <w:rPr>
          <w:b/>
          <w:bCs/>
        </w:rPr>
        <w:t>appropriate</w:t>
      </w:r>
      <w:r w:rsidRPr="00712DB0">
        <w:rPr>
          <w:b/>
          <w:bCs/>
        </w:rPr>
        <w:t xml:space="preserve"> </w:t>
      </w:r>
      <w:r>
        <w:rPr>
          <w:b/>
          <w:bCs/>
        </w:rPr>
        <w:t>frequency limit</w:t>
      </w:r>
      <w:r w:rsidRPr="00712DB0">
        <w:rPr>
          <w:b/>
          <w:bCs/>
        </w:rPr>
        <w:t xml:space="preserve"> of </w:t>
      </w:r>
      <w:r>
        <w:rPr>
          <w:b/>
          <w:bCs/>
        </w:rPr>
        <w:t>licence for e</w:t>
      </w:r>
      <w:r w:rsidRPr="00712DB0">
        <w:rPr>
          <w:b/>
          <w:bCs/>
        </w:rPr>
        <w:t>arth station receiver</w:t>
      </w:r>
      <w:r>
        <w:rPr>
          <w:b/>
          <w:bCs/>
        </w:rPr>
        <w:t xml:space="preserve"> </w:t>
      </w:r>
      <w:r w:rsidRPr="00712DB0">
        <w:rPr>
          <w:b/>
          <w:bCs/>
        </w:rPr>
        <w:t>(MHz)</w:t>
      </w:r>
    </w:p>
    <w:p w14:paraId="2D3946D6" w14:textId="77777777" w:rsidR="00AA2B1C" w:rsidRDefault="00AA2B1C" w:rsidP="00AA2B1C">
      <w:pPr>
        <w:pStyle w:val="ItemHead"/>
      </w:pPr>
      <w:r>
        <w:t>11  Subsection 4.3(4), note</w:t>
      </w:r>
    </w:p>
    <w:p w14:paraId="095F516B" w14:textId="77777777" w:rsidR="00AA2B1C" w:rsidRPr="001D29BA" w:rsidRDefault="00AA2B1C" w:rsidP="00AA2B1C">
      <w:pPr>
        <w:pStyle w:val="Item"/>
      </w:pPr>
      <w:r>
        <w:t>Omit the note.</w:t>
      </w:r>
    </w:p>
    <w:p w14:paraId="086EAE71" w14:textId="7522A024" w:rsidR="00BC287F" w:rsidRDefault="00AA2B1C" w:rsidP="00BC287F">
      <w:pPr>
        <w:pStyle w:val="ItemHead"/>
      </w:pPr>
      <w:r>
        <w:t xml:space="preserve">12 </w:t>
      </w:r>
      <w:r w:rsidR="00BC287F">
        <w:t xml:space="preserve"> After subsection 4.3(4)</w:t>
      </w:r>
    </w:p>
    <w:p w14:paraId="2DDFBE01" w14:textId="2430DB0B" w:rsidR="00BC287F" w:rsidRDefault="00712876" w:rsidP="00BC287F">
      <w:pPr>
        <w:pStyle w:val="Item"/>
      </w:pPr>
      <w:r>
        <w:t>Insert</w:t>
      </w:r>
      <w:r w:rsidR="00BC287F">
        <w:t>:</w:t>
      </w:r>
    </w:p>
    <w:p w14:paraId="2103FB5B" w14:textId="08841885" w:rsidR="00155DF9" w:rsidRDefault="00570B24" w:rsidP="002F45DC">
      <w:pPr>
        <w:pStyle w:val="subsection"/>
      </w:pPr>
      <w:r>
        <w:tab/>
        <w:t>(4A)</w:t>
      </w:r>
      <w:r>
        <w:tab/>
      </w:r>
      <w:r w:rsidR="00E926E7">
        <w:t xml:space="preserve">For the purposes of Table 1 in subsection (4), </w:t>
      </w:r>
      <w:r w:rsidR="00B059EF">
        <w:t>for</w:t>
      </w:r>
      <w:r w:rsidR="00CC1F7D">
        <w:t xml:space="preserve"> </w:t>
      </w:r>
      <w:r w:rsidR="00F55553">
        <w:t xml:space="preserve">a </w:t>
      </w:r>
      <w:r w:rsidR="00CC1F7D">
        <w:t xml:space="preserve">licensed </w:t>
      </w:r>
      <w:r w:rsidR="00F55553">
        <w:t>FSS e</w:t>
      </w:r>
      <w:r w:rsidR="00B059EF">
        <w:t xml:space="preserve">arth </w:t>
      </w:r>
      <w:r w:rsidR="00F55553">
        <w:t xml:space="preserve">receive </w:t>
      </w:r>
      <w:r w:rsidR="00B059EF">
        <w:t xml:space="preserve">station </w:t>
      </w:r>
      <w:r w:rsidR="00CC1F7D">
        <w:t xml:space="preserve">that is operated </w:t>
      </w:r>
      <w:r w:rsidR="00234799">
        <w:t>in the 3600</w:t>
      </w:r>
      <w:r w:rsidR="005C6845">
        <w:t>–</w:t>
      </w:r>
      <w:r w:rsidR="00234799">
        <w:t>4200 MHz frequency band,</w:t>
      </w:r>
      <w:r w:rsidR="0097134B">
        <w:t xml:space="preserve"> the assumptions set out in subsections (4B) to (4D) apply.</w:t>
      </w:r>
    </w:p>
    <w:p w14:paraId="50F0AC96" w14:textId="77777777" w:rsidR="002C77BD" w:rsidRDefault="002C77BD" w:rsidP="002C77BD">
      <w:pPr>
        <w:pStyle w:val="subsection"/>
      </w:pPr>
      <w:r>
        <w:tab/>
        <w:t>(4B)</w:t>
      </w:r>
      <w:r>
        <w:tab/>
        <w:t xml:space="preserve">If the licence that authorises the station was issued before 16 July 2022, then, from the commencement of this subsection until 16 July 2027, the filter is assumed to apply only below the lower limit of the licence. In this subsection, </w:t>
      </w:r>
      <w:r>
        <w:rPr>
          <w:b/>
          <w:bCs/>
          <w:i/>
          <w:iCs/>
        </w:rPr>
        <w:t xml:space="preserve">lower limit of the licence </w:t>
      </w:r>
      <w:r>
        <w:t>means:</w:t>
      </w:r>
    </w:p>
    <w:p w14:paraId="3C19C671" w14:textId="77777777" w:rsidR="002C77BD" w:rsidRDefault="002C77BD" w:rsidP="002C77BD">
      <w:pPr>
        <w:pStyle w:val="paragraph"/>
        <w:spacing w:before="120"/>
      </w:pPr>
      <w:r>
        <w:tab/>
        <w:t>(a)</w:t>
      </w:r>
      <w:r>
        <w:tab/>
        <w:t>if the licensee holds only one licence authorising the operation of one relevant station on a particular centre frequency at a specific site and on a specific antenna, subject to a particular bandwidth – the frequency obtained by subtracting, from the particular centre frequency, half the particular bandwidth; or</w:t>
      </w:r>
    </w:p>
    <w:p w14:paraId="43DEAF9F" w14:textId="77777777" w:rsidR="002C77BD" w:rsidRDefault="002C77BD" w:rsidP="002C77BD">
      <w:pPr>
        <w:pStyle w:val="paragraph"/>
        <w:spacing w:before="120"/>
      </w:pPr>
      <w:r>
        <w:tab/>
        <w:t>(b)</w:t>
      </w:r>
      <w:r>
        <w:tab/>
        <w:t xml:space="preserve">if the licensee holds only one licence authorising the operation of more than one relevant station at the same site and on the same antenna, each on a particular centre frequency and subject to a particular bandwidth – the frequency obtained by </w:t>
      </w:r>
      <w:r>
        <w:lastRenderedPageBreak/>
        <w:t>subtracting, from the lowest of the particular centre frequencies, half the bandwidth for the device authorised to operate on the lowest of the particular centre frequencies; or</w:t>
      </w:r>
    </w:p>
    <w:p w14:paraId="5104470B" w14:textId="77777777" w:rsidR="002C77BD" w:rsidRDefault="002C77BD" w:rsidP="002C77BD">
      <w:pPr>
        <w:pStyle w:val="paragraph"/>
        <w:spacing w:before="120"/>
      </w:pPr>
      <w:r>
        <w:tab/>
        <w:t>(c)</w:t>
      </w:r>
      <w:r>
        <w:tab/>
        <w:t>if the licensee holds more than one licence authorising the operation of one or more relevant stations at the same site and on the same antenna, each on a particular centre frequency and subject to a particular bandwidth – the frequency obtained by subtracting, from the lowest of the particular centre frequencies, half the bandwidth for the device authorised to operate on the lowest of the particular centre frequencies.</w:t>
      </w:r>
    </w:p>
    <w:p w14:paraId="1808970E" w14:textId="2A845CE1" w:rsidR="00DE19DC" w:rsidRDefault="008E33FF" w:rsidP="008E33FF">
      <w:pPr>
        <w:pStyle w:val="subsection"/>
      </w:pPr>
      <w:r>
        <w:tab/>
        <w:t>(4C)</w:t>
      </w:r>
      <w:r>
        <w:tab/>
        <w:t xml:space="preserve">If the licence that authorises the station was issued before 16 July 2022, then, </w:t>
      </w:r>
      <w:r w:rsidR="00DE19DC">
        <w:t xml:space="preserve">on and </w:t>
      </w:r>
      <w:r>
        <w:t xml:space="preserve">after 16 July 2027, the filter is assumed to apply below the lower limit </w:t>
      </w:r>
      <w:r w:rsidR="00DE19DC">
        <w:t>for</w:t>
      </w:r>
      <w:r>
        <w:t xml:space="preserve"> the </w:t>
      </w:r>
      <w:r w:rsidR="00DE19DC">
        <w:t>station and above the upper limit of the station</w:t>
      </w:r>
      <w:r>
        <w:t>. In this subsection</w:t>
      </w:r>
      <w:r w:rsidR="00DE19DC">
        <w:t>:</w:t>
      </w:r>
    </w:p>
    <w:p w14:paraId="4062DC40" w14:textId="48F3E4B4" w:rsidR="008E33FF" w:rsidRDefault="00DE19DC" w:rsidP="008E33FF">
      <w:pPr>
        <w:pStyle w:val="subsection"/>
      </w:pPr>
      <w:r>
        <w:tab/>
      </w:r>
      <w:r>
        <w:tab/>
      </w:r>
      <w:r w:rsidR="008E33FF">
        <w:rPr>
          <w:b/>
          <w:bCs/>
          <w:i/>
          <w:iCs/>
        </w:rPr>
        <w:t xml:space="preserve">lower limit </w:t>
      </w:r>
      <w:r>
        <w:rPr>
          <w:b/>
          <w:bCs/>
          <w:i/>
          <w:iCs/>
        </w:rPr>
        <w:t>for</w:t>
      </w:r>
      <w:r w:rsidR="008E33FF">
        <w:rPr>
          <w:b/>
          <w:bCs/>
          <w:i/>
          <w:iCs/>
        </w:rPr>
        <w:t xml:space="preserve"> the </w:t>
      </w:r>
      <w:r w:rsidR="00D761AF">
        <w:rPr>
          <w:b/>
          <w:bCs/>
          <w:i/>
          <w:iCs/>
        </w:rPr>
        <w:t>station</w:t>
      </w:r>
      <w:r w:rsidR="008E33FF">
        <w:rPr>
          <w:b/>
          <w:bCs/>
          <w:i/>
          <w:iCs/>
        </w:rPr>
        <w:t xml:space="preserve"> </w:t>
      </w:r>
      <w:r w:rsidR="008E33FF">
        <w:t>means</w:t>
      </w:r>
      <w:r>
        <w:t xml:space="preserve"> the frequency obtained by subtracting, from the particular centre or emission frequency specified in the l</w:t>
      </w:r>
      <w:r w:rsidR="00830505">
        <w:t>i</w:t>
      </w:r>
      <w:r>
        <w:t xml:space="preserve">cence for the station, half the particular bandwidth </w:t>
      </w:r>
      <w:r w:rsidR="00830505">
        <w:t>specified in the licence for the station.</w:t>
      </w:r>
    </w:p>
    <w:p w14:paraId="18D126C9" w14:textId="49990D71" w:rsidR="00830505" w:rsidRDefault="00830505" w:rsidP="00830505">
      <w:pPr>
        <w:pStyle w:val="subsection"/>
      </w:pPr>
      <w:r>
        <w:tab/>
      </w:r>
      <w:r>
        <w:tab/>
      </w:r>
      <w:r>
        <w:rPr>
          <w:b/>
          <w:bCs/>
          <w:i/>
          <w:iCs/>
        </w:rPr>
        <w:t xml:space="preserve">upper limit for the </w:t>
      </w:r>
      <w:r w:rsidR="00D761AF">
        <w:rPr>
          <w:b/>
          <w:bCs/>
          <w:i/>
          <w:iCs/>
        </w:rPr>
        <w:t>station</w:t>
      </w:r>
      <w:r>
        <w:rPr>
          <w:b/>
          <w:bCs/>
          <w:i/>
          <w:iCs/>
        </w:rPr>
        <w:t xml:space="preserve"> </w:t>
      </w:r>
      <w:r>
        <w:t xml:space="preserve">means the frequency obtained by </w:t>
      </w:r>
      <w:proofErr w:type="gramStart"/>
      <w:r>
        <w:t>adding,</w:t>
      </w:r>
      <w:proofErr w:type="gramEnd"/>
      <w:r>
        <w:t xml:space="preserve"> to the particular centre or emission frequency specified in the licence for the station, half the particular bandwidth specified in the licence for the station.</w:t>
      </w:r>
    </w:p>
    <w:p w14:paraId="7BF40E5A" w14:textId="7B004A26" w:rsidR="00D761AF" w:rsidRDefault="00D761AF" w:rsidP="00D761AF">
      <w:pPr>
        <w:pStyle w:val="subsection"/>
      </w:pPr>
      <w:r>
        <w:tab/>
        <w:t>(4D)</w:t>
      </w:r>
      <w:r>
        <w:tab/>
        <w:t xml:space="preserve">If the licence that authorises the station was issued on or after 16 July 2022, the filter is assumed to apply below the lower limit for the station and above the upper limit of the station. In this subsection, </w:t>
      </w:r>
      <w:r>
        <w:rPr>
          <w:b/>
          <w:bCs/>
          <w:i/>
          <w:iCs/>
        </w:rPr>
        <w:t xml:space="preserve">lower limit for the station </w:t>
      </w:r>
      <w:r>
        <w:t xml:space="preserve">and </w:t>
      </w:r>
      <w:r>
        <w:rPr>
          <w:b/>
          <w:bCs/>
          <w:i/>
          <w:iCs/>
        </w:rPr>
        <w:t xml:space="preserve">upper limit for the station </w:t>
      </w:r>
      <w:r>
        <w:t>have the same meaning as in subsection (4C).</w:t>
      </w:r>
    </w:p>
    <w:p w14:paraId="45FB416A" w14:textId="3AE40112" w:rsidR="000B4276" w:rsidRPr="000862CF" w:rsidRDefault="000B4276" w:rsidP="004F541C">
      <w:pPr>
        <w:pStyle w:val="notetext"/>
        <w:rPr>
          <w:bCs/>
          <w:iCs/>
        </w:rPr>
      </w:pPr>
      <w:r>
        <w:rPr>
          <w:bCs/>
          <w:iCs/>
        </w:rPr>
        <w:t>Note:</w:t>
      </w:r>
      <w:r>
        <w:rPr>
          <w:bCs/>
          <w:iCs/>
        </w:rPr>
        <w:tab/>
      </w:r>
      <w:r w:rsidR="005C1262">
        <w:rPr>
          <w:bCs/>
          <w:iCs/>
        </w:rPr>
        <w:t xml:space="preserve">To meet the </w:t>
      </w:r>
      <w:r w:rsidR="00CC5C64">
        <w:rPr>
          <w:bCs/>
          <w:iCs/>
        </w:rPr>
        <w:t>assumptions in</w:t>
      </w:r>
      <w:r w:rsidR="005C1262">
        <w:rPr>
          <w:bCs/>
          <w:iCs/>
        </w:rPr>
        <w:t xml:space="preserve"> </w:t>
      </w:r>
      <w:r>
        <w:rPr>
          <w:bCs/>
          <w:iCs/>
        </w:rPr>
        <w:t xml:space="preserve">subsections </w:t>
      </w:r>
      <w:r w:rsidR="00235325">
        <w:rPr>
          <w:bCs/>
          <w:iCs/>
        </w:rPr>
        <w:t>(</w:t>
      </w:r>
      <w:r>
        <w:rPr>
          <w:bCs/>
          <w:iCs/>
        </w:rPr>
        <w:t>4C</w:t>
      </w:r>
      <w:r w:rsidR="00235325">
        <w:rPr>
          <w:bCs/>
          <w:iCs/>
        </w:rPr>
        <w:t>)</w:t>
      </w:r>
      <w:r>
        <w:rPr>
          <w:bCs/>
          <w:iCs/>
        </w:rPr>
        <w:t xml:space="preserve"> and </w:t>
      </w:r>
      <w:r w:rsidR="00235325">
        <w:rPr>
          <w:bCs/>
          <w:iCs/>
        </w:rPr>
        <w:t>(</w:t>
      </w:r>
      <w:r>
        <w:rPr>
          <w:bCs/>
          <w:iCs/>
        </w:rPr>
        <w:t>4D</w:t>
      </w:r>
      <w:r w:rsidR="00235325">
        <w:rPr>
          <w:bCs/>
          <w:iCs/>
        </w:rPr>
        <w:t>)</w:t>
      </w:r>
      <w:r w:rsidR="005C1262">
        <w:rPr>
          <w:bCs/>
          <w:iCs/>
        </w:rPr>
        <w:t>,</w:t>
      </w:r>
      <w:r>
        <w:rPr>
          <w:bCs/>
          <w:iCs/>
        </w:rPr>
        <w:t xml:space="preserve"> bandpass </w:t>
      </w:r>
      <w:r w:rsidR="00645717">
        <w:rPr>
          <w:bCs/>
          <w:iCs/>
        </w:rPr>
        <w:t xml:space="preserve">or notch </w:t>
      </w:r>
      <w:r>
        <w:rPr>
          <w:bCs/>
          <w:iCs/>
        </w:rPr>
        <w:t xml:space="preserve">filters may be required between </w:t>
      </w:r>
      <w:r w:rsidR="005C1262">
        <w:rPr>
          <w:bCs/>
          <w:iCs/>
        </w:rPr>
        <w:t>different e</w:t>
      </w:r>
      <w:r>
        <w:rPr>
          <w:bCs/>
          <w:iCs/>
        </w:rPr>
        <w:t>arth receive stations that are operating on different frequencies</w:t>
      </w:r>
      <w:r w:rsidR="005C1262">
        <w:rPr>
          <w:bCs/>
          <w:iCs/>
        </w:rPr>
        <w:t xml:space="preserve"> within the 3600-4200 MHz frequency range</w:t>
      </w:r>
      <w:r>
        <w:rPr>
          <w:bCs/>
          <w:iCs/>
        </w:rPr>
        <w:t xml:space="preserve"> </w:t>
      </w:r>
      <w:r w:rsidR="005C1262">
        <w:rPr>
          <w:bCs/>
          <w:iCs/>
        </w:rPr>
        <w:t>and on</w:t>
      </w:r>
      <w:r>
        <w:rPr>
          <w:bCs/>
          <w:iCs/>
        </w:rPr>
        <w:t xml:space="preserve"> the same</w:t>
      </w:r>
      <w:r w:rsidR="005C1262">
        <w:rPr>
          <w:bCs/>
          <w:iCs/>
        </w:rPr>
        <w:t xml:space="preserve"> antenna</w:t>
      </w:r>
      <w:r w:rsidR="00FD287D">
        <w:rPr>
          <w:bCs/>
          <w:iCs/>
        </w:rPr>
        <w:t>.</w:t>
      </w:r>
      <w:r w:rsidR="005C1262">
        <w:rPr>
          <w:bCs/>
          <w:iCs/>
        </w:rPr>
        <w:t xml:space="preserve"> </w:t>
      </w:r>
      <w:r w:rsidR="004F541C">
        <w:rPr>
          <w:bCs/>
          <w:iCs/>
        </w:rPr>
        <w:t>T</w:t>
      </w:r>
      <w:r w:rsidR="00FD287D">
        <w:rPr>
          <w:bCs/>
          <w:iCs/>
        </w:rPr>
        <w:t>his</w:t>
      </w:r>
      <w:r w:rsidR="007A0E1B">
        <w:rPr>
          <w:bCs/>
          <w:iCs/>
        </w:rPr>
        <w:t xml:space="preserve"> is</w:t>
      </w:r>
      <w:r>
        <w:rPr>
          <w:bCs/>
          <w:iCs/>
        </w:rPr>
        <w:t xml:space="preserve"> </w:t>
      </w:r>
      <w:r w:rsidR="00FD287D">
        <w:rPr>
          <w:bCs/>
          <w:iCs/>
        </w:rPr>
        <w:t xml:space="preserve">the case </w:t>
      </w:r>
      <w:r w:rsidR="005C1262">
        <w:rPr>
          <w:bCs/>
          <w:iCs/>
        </w:rPr>
        <w:t xml:space="preserve">irrespective of </w:t>
      </w:r>
      <w:r>
        <w:rPr>
          <w:bCs/>
          <w:iCs/>
        </w:rPr>
        <w:t xml:space="preserve">whether </w:t>
      </w:r>
      <w:r w:rsidR="00FD287D">
        <w:rPr>
          <w:bCs/>
          <w:iCs/>
        </w:rPr>
        <w:t xml:space="preserve">operation of </w:t>
      </w:r>
      <w:r>
        <w:rPr>
          <w:bCs/>
          <w:iCs/>
        </w:rPr>
        <w:t>the</w:t>
      </w:r>
      <w:r w:rsidR="00FD287D">
        <w:rPr>
          <w:bCs/>
          <w:iCs/>
        </w:rPr>
        <w:t xml:space="preserve"> stations</w:t>
      </w:r>
      <w:r>
        <w:rPr>
          <w:bCs/>
          <w:iCs/>
        </w:rPr>
        <w:t xml:space="preserve"> </w:t>
      </w:r>
      <w:r w:rsidR="00FD287D">
        <w:rPr>
          <w:bCs/>
          <w:iCs/>
        </w:rPr>
        <w:t>is</w:t>
      </w:r>
      <w:r w:rsidR="005C1262">
        <w:rPr>
          <w:bCs/>
          <w:iCs/>
        </w:rPr>
        <w:t xml:space="preserve"> authorised</w:t>
      </w:r>
      <w:r>
        <w:rPr>
          <w:bCs/>
          <w:iCs/>
        </w:rPr>
        <w:t xml:space="preserve"> </w:t>
      </w:r>
      <w:r w:rsidR="00FD287D">
        <w:rPr>
          <w:bCs/>
          <w:iCs/>
        </w:rPr>
        <w:t>by</w:t>
      </w:r>
      <w:r>
        <w:rPr>
          <w:bCs/>
          <w:iCs/>
        </w:rPr>
        <w:t xml:space="preserve"> the same o</w:t>
      </w:r>
      <w:r w:rsidR="00FD287D">
        <w:rPr>
          <w:bCs/>
          <w:iCs/>
        </w:rPr>
        <w:t>r</w:t>
      </w:r>
      <w:r>
        <w:rPr>
          <w:bCs/>
          <w:iCs/>
        </w:rPr>
        <w:t xml:space="preserve"> different </w:t>
      </w:r>
      <w:r w:rsidR="005C1262">
        <w:rPr>
          <w:bCs/>
          <w:iCs/>
        </w:rPr>
        <w:t>licences</w:t>
      </w:r>
      <w:r>
        <w:rPr>
          <w:bCs/>
          <w:iCs/>
        </w:rPr>
        <w:t xml:space="preserve">. </w:t>
      </w:r>
      <w:r w:rsidRPr="000B4276">
        <w:rPr>
          <w:bCs/>
          <w:iCs/>
        </w:rPr>
        <w:t>If there are multiple earth receive licences</w:t>
      </w:r>
      <w:r w:rsidR="00FD287D">
        <w:rPr>
          <w:bCs/>
          <w:iCs/>
        </w:rPr>
        <w:t xml:space="preserve"> authorising stations that</w:t>
      </w:r>
      <w:r w:rsidRPr="000B4276">
        <w:rPr>
          <w:bCs/>
          <w:iCs/>
        </w:rPr>
        <w:t xml:space="preserve"> operat</w:t>
      </w:r>
      <w:r w:rsidR="00FD287D">
        <w:rPr>
          <w:bCs/>
          <w:iCs/>
        </w:rPr>
        <w:t>e</w:t>
      </w:r>
      <w:r w:rsidRPr="000B4276">
        <w:rPr>
          <w:bCs/>
          <w:iCs/>
        </w:rPr>
        <w:t xml:space="preserve"> on the same antenna in the 3600-4200 MHz frequency range, </w:t>
      </w:r>
      <w:r w:rsidR="003C26C2">
        <w:rPr>
          <w:bCs/>
          <w:iCs/>
        </w:rPr>
        <w:t xml:space="preserve">for interference management purposes, </w:t>
      </w:r>
      <w:r w:rsidRPr="000B4276">
        <w:rPr>
          <w:bCs/>
          <w:iCs/>
        </w:rPr>
        <w:t xml:space="preserve">a bandpass filter can be assumed at the lower and upper edges of each group of licences where </w:t>
      </w:r>
      <w:r w:rsidR="00FD287D">
        <w:rPr>
          <w:bCs/>
          <w:iCs/>
        </w:rPr>
        <w:t xml:space="preserve">relevant </w:t>
      </w:r>
      <w:r w:rsidR="002F47E0">
        <w:rPr>
          <w:bCs/>
          <w:iCs/>
        </w:rPr>
        <w:t xml:space="preserve">stations </w:t>
      </w:r>
      <w:r w:rsidR="00C26D5F">
        <w:rPr>
          <w:bCs/>
          <w:iCs/>
        </w:rPr>
        <w:t>operated</w:t>
      </w:r>
      <w:r w:rsidR="002F47E0">
        <w:rPr>
          <w:bCs/>
          <w:iCs/>
        </w:rPr>
        <w:t xml:space="preserve"> under </w:t>
      </w:r>
      <w:r w:rsidRPr="000B4276">
        <w:rPr>
          <w:bCs/>
          <w:iCs/>
        </w:rPr>
        <w:t xml:space="preserve">those licences are </w:t>
      </w:r>
      <w:r w:rsidR="002F47E0">
        <w:rPr>
          <w:bCs/>
          <w:iCs/>
        </w:rPr>
        <w:t>directly adjacent</w:t>
      </w:r>
      <w:r w:rsidRPr="000B4276">
        <w:rPr>
          <w:bCs/>
          <w:iCs/>
        </w:rPr>
        <w:t xml:space="preserve"> in frequency.</w:t>
      </w:r>
    </w:p>
    <w:p w14:paraId="59B77238" w14:textId="433AC7D3" w:rsidR="001D29BA" w:rsidRDefault="0072428B" w:rsidP="001D29BA">
      <w:pPr>
        <w:pStyle w:val="ItemHead"/>
      </w:pPr>
      <w:r>
        <w:t>1</w:t>
      </w:r>
      <w:r w:rsidR="00AA2B1C">
        <w:t>3</w:t>
      </w:r>
      <w:r w:rsidR="008C258A">
        <w:t xml:space="preserve">  </w:t>
      </w:r>
      <w:r w:rsidR="00671B7A">
        <w:t>Section 4.4, heading</w:t>
      </w:r>
    </w:p>
    <w:p w14:paraId="4CD88BE4" w14:textId="1A092EF2" w:rsidR="00671B7A" w:rsidRDefault="00671B7A" w:rsidP="00671B7A">
      <w:pPr>
        <w:pStyle w:val="Item"/>
      </w:pPr>
      <w:r>
        <w:t>Omit “3700 MHz”, substitute “3800 MHz”.</w:t>
      </w:r>
    </w:p>
    <w:p w14:paraId="6D5ACB22" w14:textId="76D690D9" w:rsidR="00671B7A" w:rsidRDefault="0072428B" w:rsidP="00671B7A">
      <w:pPr>
        <w:pStyle w:val="ItemHead"/>
      </w:pPr>
      <w:r>
        <w:t>1</w:t>
      </w:r>
      <w:r w:rsidR="00AA2B1C">
        <w:t>4</w:t>
      </w:r>
      <w:r w:rsidR="008C258A">
        <w:t xml:space="preserve">  </w:t>
      </w:r>
      <w:r w:rsidR="00671B7A">
        <w:t>Subsection 4.4(1)</w:t>
      </w:r>
    </w:p>
    <w:p w14:paraId="49CAD768" w14:textId="77777777" w:rsidR="00671B7A" w:rsidRDefault="00671B7A" w:rsidP="00671B7A">
      <w:pPr>
        <w:pStyle w:val="Item"/>
      </w:pPr>
      <w:r>
        <w:t>Omit “3700 MHz”, substitute “3800 MHz”.</w:t>
      </w:r>
    </w:p>
    <w:p w14:paraId="0051DEC2" w14:textId="207FC035" w:rsidR="002360B2" w:rsidRDefault="0072428B" w:rsidP="002360B2">
      <w:pPr>
        <w:pStyle w:val="ItemHead"/>
      </w:pPr>
      <w:r>
        <w:t>1</w:t>
      </w:r>
      <w:r w:rsidR="00AA2B1C">
        <w:t>5</w:t>
      </w:r>
      <w:r w:rsidR="008C258A">
        <w:t xml:space="preserve">  </w:t>
      </w:r>
      <w:r w:rsidR="00671B7A">
        <w:t>Paragraph 4.4</w:t>
      </w:r>
      <w:r w:rsidR="001C7898">
        <w:t>(1)(b)</w:t>
      </w:r>
    </w:p>
    <w:p w14:paraId="1E3DDCA0" w14:textId="54406E8D" w:rsidR="001C7898" w:rsidRDefault="001C7898" w:rsidP="001C7898">
      <w:pPr>
        <w:pStyle w:val="Item"/>
      </w:pPr>
      <w:r>
        <w:t>Omit “and”.</w:t>
      </w:r>
    </w:p>
    <w:p w14:paraId="46DE01D8" w14:textId="64B965AD" w:rsidR="001C7898" w:rsidRDefault="0072428B" w:rsidP="001C7898">
      <w:pPr>
        <w:pStyle w:val="ItemHead"/>
      </w:pPr>
      <w:r>
        <w:t>1</w:t>
      </w:r>
      <w:r w:rsidR="00AA2B1C">
        <w:t>6</w:t>
      </w:r>
      <w:r w:rsidR="008C258A">
        <w:t xml:space="preserve">  </w:t>
      </w:r>
      <w:r w:rsidR="001C7898">
        <w:t>Paragraph 4.4(1)(c)</w:t>
      </w:r>
    </w:p>
    <w:p w14:paraId="44DC8293" w14:textId="4F6A9580" w:rsidR="001C7898" w:rsidRDefault="001C7898" w:rsidP="001C7898">
      <w:pPr>
        <w:pStyle w:val="Item"/>
      </w:pPr>
      <w:r>
        <w:t>Omit the paragraph, substitute:</w:t>
      </w:r>
    </w:p>
    <w:p w14:paraId="24F209F1" w14:textId="4DC185CE" w:rsidR="001C7898" w:rsidRDefault="001C7898" w:rsidP="001C7898">
      <w:pPr>
        <w:pStyle w:val="paragraph"/>
        <w:spacing w:before="240"/>
      </w:pPr>
      <w:r>
        <w:tab/>
        <w:t>(c)</w:t>
      </w:r>
      <w:r>
        <w:tab/>
      </w:r>
      <w:r>
        <w:rPr>
          <w:i/>
          <w:iCs/>
        </w:rPr>
        <w:t>Radiocommunications (Spectrum Re-allocation – 3.6 GHz B</w:t>
      </w:r>
      <w:r w:rsidR="00151583">
        <w:rPr>
          <w:i/>
          <w:iCs/>
        </w:rPr>
        <w:t>and for Regional Australia) Declaration 2018</w:t>
      </w:r>
      <w:r w:rsidR="00151583">
        <w:t>;</w:t>
      </w:r>
    </w:p>
    <w:p w14:paraId="65D9C34F" w14:textId="6C479D75" w:rsidR="00151583" w:rsidRPr="00151583" w:rsidRDefault="00151583" w:rsidP="00151583">
      <w:pPr>
        <w:pStyle w:val="paragraph"/>
      </w:pPr>
      <w:r>
        <w:tab/>
        <w:t>(d)</w:t>
      </w:r>
      <w:r>
        <w:tab/>
      </w:r>
      <w:r>
        <w:rPr>
          <w:i/>
          <w:iCs/>
        </w:rPr>
        <w:t>Radiocommunications (Spectrum Re-allocation – 3.4 GHz and 3.7 GHz Bands) Declaration 2022</w:t>
      </w:r>
      <w:r>
        <w:t>.</w:t>
      </w:r>
    </w:p>
    <w:p w14:paraId="46F63687" w14:textId="026A17C8" w:rsidR="001C7898" w:rsidRDefault="0072428B" w:rsidP="001C7898">
      <w:pPr>
        <w:pStyle w:val="ItemHead"/>
      </w:pPr>
      <w:r>
        <w:t>1</w:t>
      </w:r>
      <w:r w:rsidR="00AA2B1C">
        <w:t>7</w:t>
      </w:r>
      <w:r w:rsidR="008C258A">
        <w:t xml:space="preserve">  </w:t>
      </w:r>
      <w:r w:rsidR="00CE463F">
        <w:t>Section 5.1</w:t>
      </w:r>
    </w:p>
    <w:p w14:paraId="2937CF57" w14:textId="7792434A" w:rsidR="00CE463F" w:rsidRDefault="00CE463F" w:rsidP="00CE463F">
      <w:pPr>
        <w:pStyle w:val="Item"/>
      </w:pPr>
      <w:r>
        <w:t xml:space="preserve">Omit “RALI FX14, RALI FX19 and RALI MS39”, substitute </w:t>
      </w:r>
      <w:r w:rsidR="004262A7">
        <w:t>“RALI MS 47”.</w:t>
      </w:r>
    </w:p>
    <w:p w14:paraId="412C68B1" w14:textId="05924020" w:rsidR="00B35A96" w:rsidRDefault="0072428B" w:rsidP="00B35A96">
      <w:pPr>
        <w:pStyle w:val="ItemHead"/>
      </w:pPr>
      <w:r>
        <w:lastRenderedPageBreak/>
        <w:t>1</w:t>
      </w:r>
      <w:r w:rsidR="00AA2B1C">
        <w:t>8</w:t>
      </w:r>
      <w:r w:rsidR="008C258A">
        <w:t xml:space="preserve">  </w:t>
      </w:r>
      <w:r w:rsidR="00B4552E">
        <w:t>Section 5.2</w:t>
      </w:r>
    </w:p>
    <w:p w14:paraId="60F0F51B" w14:textId="77777777" w:rsidR="00B4552E" w:rsidRDefault="00B4552E" w:rsidP="00B4552E">
      <w:pPr>
        <w:pStyle w:val="Item"/>
      </w:pPr>
      <w:r>
        <w:t>Omit “RALI FX14, RALI FX19 and RALI MS39”, substitute “RALI MS 47”.</w:t>
      </w:r>
    </w:p>
    <w:p w14:paraId="16F7E4C7" w14:textId="56B2CFE2" w:rsidR="00B4552E" w:rsidRDefault="0072428B" w:rsidP="00B4552E">
      <w:pPr>
        <w:pStyle w:val="ItemHead"/>
      </w:pPr>
      <w:r>
        <w:t>1</w:t>
      </w:r>
      <w:r w:rsidR="00AA2B1C">
        <w:t>9</w:t>
      </w:r>
      <w:r w:rsidR="008C258A">
        <w:t xml:space="preserve">  </w:t>
      </w:r>
      <w:r w:rsidR="00B4552E">
        <w:t>Section 5.2</w:t>
      </w:r>
    </w:p>
    <w:p w14:paraId="1D224075" w14:textId="54BBA218" w:rsidR="00B4552E" w:rsidRDefault="00B4552E" w:rsidP="00B4552E">
      <w:pPr>
        <w:pStyle w:val="Item"/>
      </w:pPr>
      <w:r>
        <w:t xml:space="preserve">Omit </w:t>
      </w:r>
      <w:r w:rsidR="00807031">
        <w:t>“and PMTS class B receivers”.</w:t>
      </w:r>
    </w:p>
    <w:p w14:paraId="7422E3AD" w14:textId="30B7805C" w:rsidR="00807031" w:rsidRDefault="00D761AF" w:rsidP="00807031">
      <w:pPr>
        <w:pStyle w:val="ItemHead"/>
      </w:pPr>
      <w:r>
        <w:t>2</w:t>
      </w:r>
      <w:r w:rsidR="002F47E0">
        <w:t>0</w:t>
      </w:r>
      <w:r w:rsidR="008C258A">
        <w:t xml:space="preserve">  </w:t>
      </w:r>
      <w:r w:rsidR="00137B31">
        <w:t>Subsection 7.1(1)</w:t>
      </w:r>
    </w:p>
    <w:p w14:paraId="57254399" w14:textId="56945313" w:rsidR="0017387B" w:rsidRPr="00A51A4D" w:rsidRDefault="0017387B" w:rsidP="0017387B">
      <w:pPr>
        <w:pStyle w:val="Item"/>
      </w:pPr>
      <w:r>
        <w:t>Omit “</w:t>
      </w:r>
      <w:r w:rsidRPr="0017387B">
        <w:rPr>
          <w:i/>
          <w:iCs/>
        </w:rPr>
        <w:t>Radiocommunications (Overseas Amateurs Visiting Australia) Class Licence 2008</w:t>
      </w:r>
      <w:r>
        <w:t xml:space="preserve"> and </w:t>
      </w:r>
      <w:r>
        <w:rPr>
          <w:i/>
          <w:iCs/>
        </w:rPr>
        <w:t>Radiocommunications (Low Interference Potential Devices</w:t>
      </w:r>
      <w:r w:rsidR="00A51A4D">
        <w:rPr>
          <w:i/>
          <w:iCs/>
        </w:rPr>
        <w:t>) Class Licence 2000</w:t>
      </w:r>
      <w:r w:rsidR="00A51A4D">
        <w:t xml:space="preserve"> class licences”</w:t>
      </w:r>
      <w:r w:rsidR="009A4836">
        <w:t>, substitute “</w:t>
      </w:r>
      <w:bookmarkStart w:id="11" w:name="_Hlk118893657"/>
      <w:r w:rsidR="009A4836">
        <w:t>class licences listed in subsection (3)</w:t>
      </w:r>
      <w:bookmarkEnd w:id="11"/>
      <w:r w:rsidR="009A4836">
        <w:t>”.</w:t>
      </w:r>
    </w:p>
    <w:p w14:paraId="2B3F40A3" w14:textId="6D1E0C98" w:rsidR="0017387B" w:rsidRPr="0017387B" w:rsidRDefault="0072428B" w:rsidP="0017387B">
      <w:pPr>
        <w:pStyle w:val="ItemHead"/>
      </w:pPr>
      <w:r>
        <w:t>2</w:t>
      </w:r>
      <w:r w:rsidR="002F47E0">
        <w:t>1</w:t>
      </w:r>
      <w:r w:rsidR="008C258A">
        <w:t xml:space="preserve">  </w:t>
      </w:r>
      <w:r w:rsidR="0017387B">
        <w:t>Subsection 7.1(1)</w:t>
      </w:r>
    </w:p>
    <w:p w14:paraId="76ADE5F9" w14:textId="226B3D06" w:rsidR="00137B31" w:rsidRDefault="00137B31" w:rsidP="00137B31">
      <w:pPr>
        <w:pStyle w:val="Item"/>
      </w:pPr>
      <w:r>
        <w:t>Om</w:t>
      </w:r>
      <w:r w:rsidR="00236738">
        <w:t>it “3400</w:t>
      </w:r>
      <w:r w:rsidR="00225B5A">
        <w:t>-</w:t>
      </w:r>
      <w:r w:rsidR="00236738">
        <w:t>3700 MHz band”, substitute “3.4 GHz band”.</w:t>
      </w:r>
    </w:p>
    <w:p w14:paraId="2B8CF960" w14:textId="68D061CE" w:rsidR="00236738" w:rsidRDefault="0072428B" w:rsidP="00C24849">
      <w:pPr>
        <w:pStyle w:val="ItemHead"/>
      </w:pPr>
      <w:r>
        <w:t>2</w:t>
      </w:r>
      <w:r w:rsidR="002F47E0">
        <w:t>2</w:t>
      </w:r>
      <w:r w:rsidR="008C258A">
        <w:t xml:space="preserve">  </w:t>
      </w:r>
      <w:r w:rsidR="009A4836">
        <w:t>After subs</w:t>
      </w:r>
      <w:r w:rsidR="00236738">
        <w:t>ection 7.</w:t>
      </w:r>
      <w:r w:rsidR="009A4836">
        <w:t>1(</w:t>
      </w:r>
      <w:r w:rsidR="00236738">
        <w:t>2</w:t>
      </w:r>
      <w:r w:rsidR="009A4836">
        <w:t>)</w:t>
      </w:r>
    </w:p>
    <w:p w14:paraId="24D014EF" w14:textId="2BE69FA0" w:rsidR="009A4836" w:rsidRDefault="009A4836" w:rsidP="00C24849">
      <w:pPr>
        <w:pStyle w:val="Item"/>
        <w:keepNext/>
      </w:pPr>
      <w:r>
        <w:t>Add:</w:t>
      </w:r>
    </w:p>
    <w:p w14:paraId="49868475" w14:textId="19947B8F" w:rsidR="009A4836" w:rsidRDefault="009A4836" w:rsidP="009A4836">
      <w:pPr>
        <w:pStyle w:val="subsection"/>
      </w:pPr>
      <w:r>
        <w:tab/>
        <w:t>(3)</w:t>
      </w:r>
      <w:r>
        <w:tab/>
      </w:r>
      <w:bookmarkStart w:id="12" w:name="_Hlk118893696"/>
      <w:r>
        <w:t>For subsection (1), the class licences are</w:t>
      </w:r>
      <w:bookmarkEnd w:id="12"/>
      <w:r>
        <w:t>:</w:t>
      </w:r>
    </w:p>
    <w:p w14:paraId="7054D764" w14:textId="5DC77F63" w:rsidR="009A4836" w:rsidRDefault="009A4836" w:rsidP="009A4836">
      <w:pPr>
        <w:pStyle w:val="paragraph"/>
      </w:pPr>
      <w:bookmarkStart w:id="13" w:name="_Hlk118893708"/>
      <w:r>
        <w:tab/>
        <w:t>(a)</w:t>
      </w:r>
      <w:r>
        <w:tab/>
        <w:t xml:space="preserve">the </w:t>
      </w:r>
      <w:r w:rsidR="009D62F7">
        <w:rPr>
          <w:i/>
          <w:iCs/>
        </w:rPr>
        <w:t xml:space="preserve">Radiocommunications (Overseas Amateurs Visiting Australia) Class Licence 2015 </w:t>
      </w:r>
      <w:r w:rsidR="009D62F7">
        <w:t xml:space="preserve">or, if a later instrument replaces that class licence, the later instrument; and </w:t>
      </w:r>
    </w:p>
    <w:p w14:paraId="082F85C1" w14:textId="64509FC0" w:rsidR="009D62F7" w:rsidRPr="006929CC" w:rsidRDefault="009D62F7" w:rsidP="009A4836">
      <w:pPr>
        <w:pStyle w:val="paragraph"/>
      </w:pPr>
      <w:r>
        <w:tab/>
        <w:t>(b)</w:t>
      </w:r>
      <w:r w:rsidR="006929CC">
        <w:tab/>
        <w:t xml:space="preserve">the </w:t>
      </w:r>
      <w:r w:rsidR="006929CC">
        <w:rPr>
          <w:i/>
          <w:iCs/>
        </w:rPr>
        <w:t xml:space="preserve">Radiocommunications (Low Interference Potential Devices) Class Licence 2015 </w:t>
      </w:r>
      <w:r w:rsidR="006929CC">
        <w:t>or, if a later instrument replaces that class licence, the later instrument.</w:t>
      </w:r>
    </w:p>
    <w:bookmarkEnd w:id="13"/>
    <w:p w14:paraId="316DF33A" w14:textId="12DA1EA5" w:rsidR="00807031" w:rsidRDefault="0072428B" w:rsidP="00807031">
      <w:pPr>
        <w:pStyle w:val="ItemHead"/>
      </w:pPr>
      <w:r>
        <w:t>2</w:t>
      </w:r>
      <w:r w:rsidR="002F47E0">
        <w:t>3</w:t>
      </w:r>
      <w:r w:rsidR="008C258A">
        <w:t xml:space="preserve">  </w:t>
      </w:r>
      <w:r w:rsidR="006929CC">
        <w:t>Section 7.2</w:t>
      </w:r>
    </w:p>
    <w:p w14:paraId="614D1739" w14:textId="751674D3" w:rsidR="006929CC" w:rsidRDefault="007E40F4" w:rsidP="006929CC">
      <w:pPr>
        <w:pStyle w:val="Item"/>
      </w:pPr>
      <w:r>
        <w:t>After “a class licence”, insert “listed in subsection 7.1(3)”.</w:t>
      </w:r>
    </w:p>
    <w:p w14:paraId="7B875A84" w14:textId="5F331403" w:rsidR="00677856" w:rsidRDefault="00677856" w:rsidP="00677856">
      <w:pPr>
        <w:pStyle w:val="ItemHead"/>
      </w:pPr>
      <w:r>
        <w:t>2</w:t>
      </w:r>
      <w:r w:rsidR="002F47E0">
        <w:t>4</w:t>
      </w:r>
      <w:r>
        <w:t xml:space="preserve">  Section 9.2, note</w:t>
      </w:r>
    </w:p>
    <w:p w14:paraId="46743E6A" w14:textId="0710E38E" w:rsidR="00083DA3" w:rsidRDefault="00677856" w:rsidP="00083DA3">
      <w:pPr>
        <w:pStyle w:val="Item"/>
      </w:pPr>
      <w:r>
        <w:t>Omit the note</w:t>
      </w:r>
      <w:r w:rsidR="00083DA3">
        <w:t>; substitute:</w:t>
      </w:r>
    </w:p>
    <w:p w14:paraId="12A87211" w14:textId="748B3262" w:rsidR="00677856" w:rsidRDefault="00083DA3" w:rsidP="00D761AF">
      <w:pPr>
        <w:pStyle w:val="notetext"/>
      </w:pPr>
      <w:r>
        <w:t>Note:</w:t>
      </w:r>
      <w:r>
        <w:tab/>
        <w:t>The ACMA may vary RALI MS 44 to change the ESPZs</w:t>
      </w:r>
      <w:r w:rsidR="00677856">
        <w:t>.</w:t>
      </w:r>
    </w:p>
    <w:p w14:paraId="2E385BB0" w14:textId="79634275" w:rsidR="006D4A57" w:rsidRDefault="008C258A" w:rsidP="006D4A57">
      <w:pPr>
        <w:pStyle w:val="ItemHead"/>
      </w:pPr>
      <w:r>
        <w:t>2</w:t>
      </w:r>
      <w:r w:rsidR="002F47E0">
        <w:t>5</w:t>
      </w:r>
      <w:r>
        <w:t xml:space="preserve">  </w:t>
      </w:r>
      <w:r w:rsidR="006D4A57">
        <w:t>Subsection 10.2(1)</w:t>
      </w:r>
    </w:p>
    <w:p w14:paraId="304679A0" w14:textId="07D804C0" w:rsidR="006D4A57" w:rsidRDefault="006D4A57" w:rsidP="006D4A57">
      <w:pPr>
        <w:pStyle w:val="Item"/>
      </w:pPr>
      <w:r>
        <w:t>Omit “3600”, substitute</w:t>
      </w:r>
      <w:r w:rsidR="00DB6171">
        <w:t xml:space="preserve"> “340</w:t>
      </w:r>
      <w:r w:rsidR="001B298F">
        <w:t>0</w:t>
      </w:r>
      <w:r w:rsidR="00DB6171">
        <w:t>”.</w:t>
      </w:r>
    </w:p>
    <w:p w14:paraId="2DC44A68" w14:textId="00CE4961" w:rsidR="00DB6171" w:rsidRDefault="00D761AF" w:rsidP="00DB6171">
      <w:pPr>
        <w:pStyle w:val="ItemHead"/>
      </w:pPr>
      <w:r>
        <w:t>2</w:t>
      </w:r>
      <w:r w:rsidR="002F47E0">
        <w:t>6</w:t>
      </w:r>
      <w:r w:rsidR="008C258A">
        <w:t xml:space="preserve">  </w:t>
      </w:r>
      <w:r w:rsidR="00DB6171">
        <w:t>Subsection 10.2(2)</w:t>
      </w:r>
    </w:p>
    <w:p w14:paraId="0AF1765C" w14:textId="1075F524" w:rsidR="001B298F" w:rsidRDefault="001B298F" w:rsidP="001B298F">
      <w:pPr>
        <w:pStyle w:val="Item"/>
      </w:pPr>
      <w:r>
        <w:t>Omit the subsection.</w:t>
      </w:r>
    </w:p>
    <w:p w14:paraId="184A277E" w14:textId="6CB0E579" w:rsidR="001B298F" w:rsidRDefault="008C258A" w:rsidP="001B298F">
      <w:pPr>
        <w:pStyle w:val="ItemHead"/>
      </w:pPr>
      <w:r>
        <w:t>2</w:t>
      </w:r>
      <w:r w:rsidR="002F47E0">
        <w:t>7</w:t>
      </w:r>
      <w:r>
        <w:t xml:space="preserve">  </w:t>
      </w:r>
      <w:r w:rsidR="001B298F">
        <w:t>Section 10.2, note 2</w:t>
      </w:r>
    </w:p>
    <w:p w14:paraId="6C37CEFF" w14:textId="2AF5644F" w:rsidR="001B298F" w:rsidRDefault="001B298F" w:rsidP="001B298F">
      <w:pPr>
        <w:pStyle w:val="Item"/>
      </w:pPr>
      <w:r>
        <w:t>Omit “3700”, substitute “3400”.</w:t>
      </w:r>
    </w:p>
    <w:p w14:paraId="2315FC26" w14:textId="66113585" w:rsidR="001B298F" w:rsidRDefault="008C258A" w:rsidP="001B298F">
      <w:pPr>
        <w:pStyle w:val="ItemHead"/>
      </w:pPr>
      <w:r>
        <w:t>2</w:t>
      </w:r>
      <w:r w:rsidR="002F47E0">
        <w:t>8</w:t>
      </w:r>
      <w:r>
        <w:t xml:space="preserve">  </w:t>
      </w:r>
      <w:r w:rsidR="001B298F">
        <w:t>After Part 10</w:t>
      </w:r>
    </w:p>
    <w:p w14:paraId="02DF3592" w14:textId="5D42C31F" w:rsidR="001B298F" w:rsidRDefault="001B298F" w:rsidP="001B298F">
      <w:pPr>
        <w:pStyle w:val="Item"/>
      </w:pPr>
      <w:r>
        <w:t>Add:</w:t>
      </w:r>
    </w:p>
    <w:p w14:paraId="21E2E7F7" w14:textId="45147AC5" w:rsidR="000C692C" w:rsidRPr="00660E4E" w:rsidRDefault="000C692C" w:rsidP="000C692C">
      <w:pPr>
        <w:pStyle w:val="HP"/>
        <w:spacing w:before="120"/>
        <w:ind w:left="2138" w:hanging="2138"/>
        <w:jc w:val="both"/>
        <w:rPr>
          <w:rStyle w:val="CharPartNo"/>
          <w:rFonts w:cs="Arial"/>
          <w:sz w:val="28"/>
        </w:rPr>
      </w:pPr>
      <w:bookmarkStart w:id="14" w:name="_Hlk113957930"/>
      <w:r w:rsidRPr="000C692C">
        <w:rPr>
          <w:rStyle w:val="CharPartNo"/>
          <w:rFonts w:cs="Arial"/>
          <w:sz w:val="28"/>
        </w:rPr>
        <w:t>Part 1</w:t>
      </w:r>
      <w:r w:rsidR="000B7254">
        <w:rPr>
          <w:rStyle w:val="CharPartNo"/>
          <w:rFonts w:cs="Arial"/>
          <w:sz w:val="28"/>
        </w:rPr>
        <w:t>1</w:t>
      </w:r>
      <w:r w:rsidRPr="00660E4E">
        <w:rPr>
          <w:rStyle w:val="CharPartNo"/>
          <w:rFonts w:cs="Arial"/>
          <w:sz w:val="28"/>
        </w:rPr>
        <w:tab/>
        <w:t>Adjacent frequency wireless broadband services in the 3400-4000 MHz band</w:t>
      </w:r>
    </w:p>
    <w:p w14:paraId="18E9BFF5" w14:textId="06744852" w:rsidR="000C692C" w:rsidRPr="00660E4E" w:rsidRDefault="000C692C" w:rsidP="00660E4E">
      <w:pPr>
        <w:pStyle w:val="HR0"/>
        <w:ind w:left="993" w:hanging="993"/>
        <w:jc w:val="both"/>
        <w:rPr>
          <w:rStyle w:val="charsectno0"/>
        </w:rPr>
      </w:pPr>
      <w:r w:rsidRPr="000C692C">
        <w:rPr>
          <w:rStyle w:val="charsectno0"/>
        </w:rPr>
        <w:t>1</w:t>
      </w:r>
      <w:r w:rsidR="000B7254">
        <w:rPr>
          <w:rStyle w:val="charsectno0"/>
        </w:rPr>
        <w:t>1</w:t>
      </w:r>
      <w:r w:rsidRPr="000C692C">
        <w:rPr>
          <w:rStyle w:val="charsectno0"/>
        </w:rPr>
        <w:t>.1</w:t>
      </w:r>
      <w:r w:rsidRPr="00660E4E">
        <w:rPr>
          <w:rStyle w:val="charsectno0"/>
        </w:rPr>
        <w:tab/>
        <w:t>Background</w:t>
      </w:r>
    </w:p>
    <w:p w14:paraId="5A75C995" w14:textId="5FCB00C8" w:rsidR="000C692C" w:rsidRPr="000C692C" w:rsidRDefault="00660E4E" w:rsidP="00660E4E">
      <w:pPr>
        <w:pStyle w:val="subsection"/>
      </w:pPr>
      <w:r>
        <w:tab/>
      </w:r>
      <w:r w:rsidR="000C692C" w:rsidRPr="000C692C">
        <w:t>(1)</w:t>
      </w:r>
      <w:r w:rsidR="000C692C" w:rsidRPr="000C692C">
        <w:tab/>
        <w:t>The 3400</w:t>
      </w:r>
      <w:r w:rsidR="00225B5A">
        <w:t>–</w:t>
      </w:r>
      <w:r w:rsidR="000C692C" w:rsidRPr="000C692C">
        <w:t>3475 MHz band has been identified</w:t>
      </w:r>
      <w:r w:rsidR="00E14C6A">
        <w:t xml:space="preserve"> by the ACMA</w:t>
      </w:r>
      <w:r w:rsidR="000C692C" w:rsidRPr="000C692C">
        <w:t xml:space="preserve"> for use by highly localised wireless broadband services in urban areas. This encompasses public, private and enterprise networks, including services at warehouses, factories, airports, ports, transport hubs, hospitals, </w:t>
      </w:r>
      <w:proofErr w:type="gramStart"/>
      <w:r w:rsidR="000C692C" w:rsidRPr="000C692C">
        <w:t>schools</w:t>
      </w:r>
      <w:proofErr w:type="gramEnd"/>
      <w:r w:rsidR="000C692C" w:rsidRPr="000C692C">
        <w:t xml:space="preserve"> and smart buildings.</w:t>
      </w:r>
    </w:p>
    <w:p w14:paraId="73C34014" w14:textId="33D25570" w:rsidR="000C692C" w:rsidRPr="000C692C" w:rsidRDefault="00445526" w:rsidP="00660E4E">
      <w:pPr>
        <w:pStyle w:val="subsection"/>
      </w:pPr>
      <w:r>
        <w:lastRenderedPageBreak/>
        <w:tab/>
      </w:r>
      <w:r w:rsidR="000C692C" w:rsidRPr="000C692C">
        <w:t>(2)</w:t>
      </w:r>
      <w:r w:rsidR="000C692C" w:rsidRPr="000C692C">
        <w:tab/>
        <w:t xml:space="preserve">There are arrangements for area-wide licences to operate in frequencies adjacent to the 3.4 GHz band. These </w:t>
      </w:r>
      <w:r>
        <w:t xml:space="preserve">licences </w:t>
      </w:r>
      <w:r w:rsidR="000C692C" w:rsidRPr="000C692C">
        <w:t xml:space="preserve">are typically used to provide wireless broadband services. </w:t>
      </w:r>
    </w:p>
    <w:p w14:paraId="1EB60736" w14:textId="671C7A93" w:rsidR="006B3AEF" w:rsidRPr="000C692C" w:rsidRDefault="006B3AEF" w:rsidP="006B3AEF">
      <w:pPr>
        <w:pStyle w:val="notetext"/>
      </w:pPr>
      <w:r>
        <w:t>Note:</w:t>
      </w:r>
      <w:r>
        <w:tab/>
        <w:t xml:space="preserve">For the conditions that will apply to all such area-wide licences, see the </w:t>
      </w:r>
      <w:r>
        <w:rPr>
          <w:i/>
          <w:iCs/>
        </w:rPr>
        <w:t>Radiocommunications Licence Conditions (Area-Wide Licence) Determination 2020</w:t>
      </w:r>
      <w:r>
        <w:t>.</w:t>
      </w:r>
    </w:p>
    <w:p w14:paraId="7C64ADCC" w14:textId="360730F4" w:rsidR="000C692C" w:rsidRPr="00445526" w:rsidRDefault="000C692C" w:rsidP="000C692C">
      <w:pPr>
        <w:pStyle w:val="HR0"/>
        <w:ind w:left="993" w:hanging="993"/>
        <w:jc w:val="both"/>
        <w:rPr>
          <w:rStyle w:val="charsectno0"/>
        </w:rPr>
      </w:pPr>
      <w:r w:rsidRPr="000C692C">
        <w:rPr>
          <w:rStyle w:val="charsectno0"/>
        </w:rPr>
        <w:t>1</w:t>
      </w:r>
      <w:r w:rsidR="000B7254">
        <w:rPr>
          <w:rStyle w:val="charsectno0"/>
        </w:rPr>
        <w:t>1</w:t>
      </w:r>
      <w:r w:rsidRPr="000C692C">
        <w:rPr>
          <w:rStyle w:val="charsectno0"/>
        </w:rPr>
        <w:t>.2</w:t>
      </w:r>
      <w:r w:rsidRPr="00445526">
        <w:rPr>
          <w:rStyle w:val="charsectno0"/>
        </w:rPr>
        <w:tab/>
        <w:t>Protection requirements</w:t>
      </w:r>
    </w:p>
    <w:p w14:paraId="3D6C56A2" w14:textId="398BA335" w:rsidR="000C692C" w:rsidRPr="000C692C" w:rsidRDefault="00445526" w:rsidP="00445526">
      <w:pPr>
        <w:pStyle w:val="subsection"/>
      </w:pPr>
      <w:r>
        <w:tab/>
      </w:r>
      <w:r w:rsidR="000C692C" w:rsidRPr="000C692C">
        <w:tab/>
        <w:t xml:space="preserve">To manage interference between 3.4 GHz band spectrum licences and adjacent frequency wireless broadband services: </w:t>
      </w:r>
    </w:p>
    <w:p w14:paraId="00445182" w14:textId="409AB8D9" w:rsidR="000C692C" w:rsidRPr="000C692C" w:rsidRDefault="00445526" w:rsidP="00445526">
      <w:pPr>
        <w:pStyle w:val="paragraph"/>
      </w:pPr>
      <w:r>
        <w:tab/>
        <w:t>(a)</w:t>
      </w:r>
      <w:r>
        <w:tab/>
      </w:r>
      <w:bookmarkStart w:id="15" w:name="_Hlk118903664"/>
      <w:r>
        <w:t xml:space="preserve">the ACMA intends </w:t>
      </w:r>
      <w:r w:rsidR="00DA51EC">
        <w:t xml:space="preserve">generally not to issue </w:t>
      </w:r>
      <w:r w:rsidR="00595512">
        <w:t>apparatus licences in</w:t>
      </w:r>
      <w:r w:rsidR="000C692C" w:rsidRPr="000C692C">
        <w:t xml:space="preserve"> the 3470</w:t>
      </w:r>
      <w:r w:rsidR="00FE5912">
        <w:t>–</w:t>
      </w:r>
      <w:r w:rsidR="000C692C" w:rsidRPr="000C692C">
        <w:t>3475</w:t>
      </w:r>
      <w:r w:rsidR="00595512">
        <w:t> </w:t>
      </w:r>
      <w:r w:rsidR="000C692C" w:rsidRPr="000C692C">
        <w:t xml:space="preserve">MHz </w:t>
      </w:r>
      <w:r w:rsidR="00FE1FC7">
        <w:t xml:space="preserve">frequency </w:t>
      </w:r>
      <w:r w:rsidR="000C692C" w:rsidRPr="000C692C">
        <w:t xml:space="preserve">band </w:t>
      </w:r>
      <w:r w:rsidR="00595512">
        <w:t>for the operation of radiocommunications devices for</w:t>
      </w:r>
      <w:r w:rsidR="000C692C" w:rsidRPr="000C692C">
        <w:t xml:space="preserve"> highly localised wireless broadband services in urban areas</w:t>
      </w:r>
      <w:r w:rsidR="00595512">
        <w:t>; and</w:t>
      </w:r>
      <w:bookmarkEnd w:id="15"/>
      <w:r w:rsidR="000C692C" w:rsidRPr="000C692C">
        <w:t xml:space="preserve"> </w:t>
      </w:r>
    </w:p>
    <w:p w14:paraId="57F794BC" w14:textId="198B9E31" w:rsidR="000C692C" w:rsidRDefault="00595512" w:rsidP="00445526">
      <w:pPr>
        <w:pStyle w:val="paragraph"/>
      </w:pPr>
      <w:r>
        <w:tab/>
        <w:t>(b)</w:t>
      </w:r>
      <w:r>
        <w:tab/>
      </w:r>
      <w:bookmarkStart w:id="16" w:name="_Hlk118903673"/>
      <w:r>
        <w:t xml:space="preserve">the ACMA intends generally not to issue area-wide licences </w:t>
      </w:r>
      <w:r w:rsidR="007B0DA5">
        <w:t xml:space="preserve">authorising the operation of radiocommunications transmitters in </w:t>
      </w:r>
      <w:r w:rsidR="000C692C" w:rsidRPr="000C692C">
        <w:t>the 15 MHz of spectrum directly adjacent to a 3.4 GHz band spectrum licence</w:t>
      </w:r>
      <w:bookmarkEnd w:id="16"/>
      <w:r w:rsidR="000C692C" w:rsidRPr="000C692C">
        <w:t xml:space="preserve">. </w:t>
      </w:r>
      <w:bookmarkEnd w:id="6"/>
      <w:bookmarkEnd w:id="14"/>
    </w:p>
    <w:p w14:paraId="50D93F3A" w14:textId="3D3F233B" w:rsidR="00510D63" w:rsidRPr="00013737" w:rsidRDefault="00510D63" w:rsidP="006A04B2">
      <w:pPr>
        <w:pStyle w:val="HP"/>
        <w:spacing w:before="240"/>
        <w:ind w:left="2138" w:hanging="2138"/>
        <w:jc w:val="both"/>
        <w:rPr>
          <w:rStyle w:val="CharPartNo"/>
          <w:rFonts w:cs="Arial"/>
          <w:sz w:val="28"/>
        </w:rPr>
      </w:pPr>
      <w:r w:rsidRPr="00013737">
        <w:rPr>
          <w:rStyle w:val="CharPartNo"/>
          <w:rFonts w:cs="Arial"/>
          <w:sz w:val="28"/>
        </w:rPr>
        <w:t>Part 1</w:t>
      </w:r>
      <w:r w:rsidR="000B7254">
        <w:rPr>
          <w:rStyle w:val="CharPartNo"/>
          <w:rFonts w:cs="Arial"/>
          <w:sz w:val="28"/>
        </w:rPr>
        <w:t>2</w:t>
      </w:r>
      <w:r w:rsidRPr="00013737">
        <w:rPr>
          <w:rStyle w:val="CharPartNo"/>
          <w:rFonts w:cs="Arial"/>
          <w:sz w:val="28"/>
        </w:rPr>
        <w:tab/>
      </w:r>
      <w:r w:rsidR="00805EFF">
        <w:rPr>
          <w:rStyle w:val="CharPartNo"/>
          <w:rFonts w:cs="Arial"/>
          <w:sz w:val="28"/>
        </w:rPr>
        <w:t>G</w:t>
      </w:r>
      <w:r w:rsidR="00843A44" w:rsidRPr="00013737">
        <w:rPr>
          <w:rStyle w:val="CharPartNo"/>
          <w:rFonts w:cs="Arial"/>
          <w:sz w:val="28"/>
        </w:rPr>
        <w:t>eographically adjacent</w:t>
      </w:r>
      <w:r w:rsidRPr="00013737">
        <w:rPr>
          <w:rStyle w:val="CharPartNo"/>
          <w:rFonts w:cs="Arial"/>
          <w:sz w:val="28"/>
        </w:rPr>
        <w:t xml:space="preserve"> </w:t>
      </w:r>
      <w:r w:rsidR="00DE3845" w:rsidRPr="00013737">
        <w:rPr>
          <w:rStyle w:val="CharPartNo"/>
          <w:rFonts w:cs="Arial"/>
          <w:sz w:val="28"/>
        </w:rPr>
        <w:t>area</w:t>
      </w:r>
      <w:r w:rsidR="00DE3845">
        <w:rPr>
          <w:rStyle w:val="CharPartNo"/>
          <w:rFonts w:cs="Arial"/>
          <w:sz w:val="28"/>
        </w:rPr>
        <w:t>-</w:t>
      </w:r>
      <w:r w:rsidRPr="00013737">
        <w:rPr>
          <w:rStyle w:val="CharPartNo"/>
          <w:rFonts w:cs="Arial"/>
          <w:sz w:val="28"/>
        </w:rPr>
        <w:t>wide licence</w:t>
      </w:r>
      <w:r w:rsidR="00843A44" w:rsidRPr="00013737">
        <w:rPr>
          <w:rStyle w:val="CharPartNo"/>
          <w:rFonts w:cs="Arial"/>
          <w:sz w:val="28"/>
        </w:rPr>
        <w:t>s</w:t>
      </w:r>
      <w:r w:rsidRPr="00013737">
        <w:rPr>
          <w:rStyle w:val="CharPartNo"/>
          <w:rFonts w:cs="Arial"/>
          <w:sz w:val="28"/>
        </w:rPr>
        <w:t xml:space="preserve"> </w:t>
      </w:r>
    </w:p>
    <w:p w14:paraId="395B74CE" w14:textId="409397FD" w:rsidR="00510D63" w:rsidRPr="0091314E" w:rsidRDefault="00510D63" w:rsidP="00510D63">
      <w:pPr>
        <w:pStyle w:val="HR0"/>
        <w:jc w:val="both"/>
        <w:rPr>
          <w:bCs/>
        </w:rPr>
      </w:pPr>
      <w:r>
        <w:rPr>
          <w:rStyle w:val="CharSectno"/>
          <w:bCs/>
        </w:rPr>
        <w:t>1</w:t>
      </w:r>
      <w:r w:rsidR="000B7254">
        <w:rPr>
          <w:rStyle w:val="CharSectno"/>
          <w:bCs/>
        </w:rPr>
        <w:t>2</w:t>
      </w:r>
      <w:r w:rsidRPr="0091314E">
        <w:rPr>
          <w:rStyle w:val="CharSectno"/>
          <w:bCs/>
        </w:rPr>
        <w:t>.1</w:t>
      </w:r>
      <w:r w:rsidRPr="0091314E">
        <w:rPr>
          <w:bCs/>
        </w:rPr>
        <w:tab/>
        <w:t>Background</w:t>
      </w:r>
    </w:p>
    <w:p w14:paraId="7815303F" w14:textId="77777777" w:rsidR="000223AD" w:rsidRDefault="00510D63" w:rsidP="00FE5912">
      <w:pPr>
        <w:pStyle w:val="subsection"/>
      </w:pPr>
      <w:r w:rsidRPr="0091314E">
        <w:tab/>
        <w:t xml:space="preserve"> </w:t>
      </w:r>
      <w:r w:rsidRPr="0091314E">
        <w:tab/>
      </w:r>
      <w:bookmarkStart w:id="17" w:name="_Hlk118903693"/>
      <w:r w:rsidR="000E6E77">
        <w:t xml:space="preserve">There are arrangements for </w:t>
      </w:r>
      <w:r w:rsidR="000E6E77" w:rsidRPr="000C692C">
        <w:t xml:space="preserve">area-wide licences to operate </w:t>
      </w:r>
      <w:r w:rsidR="000E6E77">
        <w:t xml:space="preserve">in remote areas in the 3.4 GHz band. </w:t>
      </w:r>
      <w:r w:rsidR="000E6E77" w:rsidRPr="000C692C">
        <w:t xml:space="preserve">These </w:t>
      </w:r>
      <w:r w:rsidR="000E6E77">
        <w:t xml:space="preserve">licences </w:t>
      </w:r>
      <w:r w:rsidR="000E6E77" w:rsidRPr="000C692C">
        <w:t>are typically used to provide wireless broadband services</w:t>
      </w:r>
      <w:r w:rsidR="000E6E77">
        <w:t xml:space="preserve"> and can be near or geographically adjacent to a 3.4 GHz spectrum licence</w:t>
      </w:r>
      <w:r w:rsidR="000E6E77" w:rsidRPr="000C692C">
        <w:t>.</w:t>
      </w:r>
      <w:bookmarkEnd w:id="17"/>
      <w:r w:rsidR="000E6E77" w:rsidRPr="000C692C">
        <w:t xml:space="preserve"> </w:t>
      </w:r>
    </w:p>
    <w:p w14:paraId="5FE8E908" w14:textId="77777777" w:rsidR="000223AD" w:rsidRPr="000C692C" w:rsidRDefault="000223AD" w:rsidP="000223AD">
      <w:pPr>
        <w:pStyle w:val="notetext"/>
      </w:pPr>
      <w:r>
        <w:t>Note:</w:t>
      </w:r>
      <w:r>
        <w:tab/>
        <w:t xml:space="preserve">For the conditions that will apply to all such area-wide licences, see the </w:t>
      </w:r>
      <w:r>
        <w:rPr>
          <w:i/>
          <w:iCs/>
        </w:rPr>
        <w:t>Radiocommunications Licence Conditions (Area-Wide Licence) Determination 2020</w:t>
      </w:r>
      <w:r>
        <w:t>.</w:t>
      </w:r>
    </w:p>
    <w:p w14:paraId="154C3BCF" w14:textId="5B73F2D4" w:rsidR="00510D63" w:rsidRPr="007B15AE" w:rsidRDefault="00510D63" w:rsidP="00013737">
      <w:pPr>
        <w:pStyle w:val="HR0"/>
        <w:jc w:val="both"/>
      </w:pPr>
      <w:r>
        <w:rPr>
          <w:rStyle w:val="CharSectno"/>
        </w:rPr>
        <w:t>1</w:t>
      </w:r>
      <w:r w:rsidR="000B7254">
        <w:rPr>
          <w:rStyle w:val="CharSectno"/>
        </w:rPr>
        <w:t>2</w:t>
      </w:r>
      <w:r w:rsidRPr="00D97E37">
        <w:rPr>
          <w:rStyle w:val="CharSectno"/>
        </w:rPr>
        <w:t>.2</w:t>
      </w:r>
      <w:r w:rsidRPr="0091314E">
        <w:tab/>
      </w:r>
      <w:r w:rsidR="000E6E77">
        <w:t>Protection requirements</w:t>
      </w:r>
    </w:p>
    <w:p w14:paraId="3EBB049B" w14:textId="481E3296" w:rsidR="000E6E77" w:rsidRDefault="000E6E77" w:rsidP="00FE5912">
      <w:pPr>
        <w:pStyle w:val="subsection"/>
      </w:pPr>
      <w:r>
        <w:tab/>
      </w:r>
      <w:r>
        <w:tab/>
      </w:r>
      <w:bookmarkStart w:id="18" w:name="_Hlk118903707"/>
      <w:r w:rsidRPr="00FE5912">
        <w:t xml:space="preserve">The device boundary criterion, as defined in the </w:t>
      </w:r>
      <w:r w:rsidRPr="007B15AE">
        <w:t xml:space="preserve">subsection 145(4) Determination, is the </w:t>
      </w:r>
      <w:r>
        <w:t>primary</w:t>
      </w:r>
      <w:r w:rsidRPr="007B15AE">
        <w:t xml:space="preserve"> mechanism for managing interference across geographical boundaries</w:t>
      </w:r>
      <w:r>
        <w:t xml:space="preserve"> from a spectrum licence to an area</w:t>
      </w:r>
      <w:r w:rsidR="00022E87">
        <w:t>-</w:t>
      </w:r>
      <w:r>
        <w:t>wide licence</w:t>
      </w:r>
      <w:r w:rsidRPr="007B15AE">
        <w:t>.</w:t>
      </w:r>
      <w:r>
        <w:t xml:space="preserve"> </w:t>
      </w:r>
      <w:r w:rsidR="00805EFF">
        <w:t>Geographically adjacent a</w:t>
      </w:r>
      <w:r>
        <w:t xml:space="preserve">rea-wide licensees and spectrum licensees are able </w:t>
      </w:r>
      <w:r w:rsidR="003C45EA">
        <w:t xml:space="preserve">to </w:t>
      </w:r>
      <w:r w:rsidR="00805EFF">
        <w:t>agree on</w:t>
      </w:r>
      <w:r w:rsidR="003C45EA">
        <w:t xml:space="preserve"> the </w:t>
      </w:r>
      <w:r>
        <w:t>implement</w:t>
      </w:r>
      <w:r w:rsidR="003C45EA">
        <w:t>ation</w:t>
      </w:r>
      <w:r>
        <w:t xml:space="preserve"> </w:t>
      </w:r>
      <w:r w:rsidR="003C45EA">
        <w:t xml:space="preserve">of </w:t>
      </w:r>
      <w:r>
        <w:t>alternative measures to manage interference.</w:t>
      </w:r>
      <w:bookmarkEnd w:id="18"/>
    </w:p>
    <w:p w14:paraId="129220F6" w14:textId="77777777" w:rsidR="00542B3F" w:rsidRPr="000C692C" w:rsidRDefault="00542B3F" w:rsidP="00542B3F">
      <w:pPr>
        <w:pStyle w:val="HP"/>
        <w:spacing w:before="120"/>
        <w:ind w:left="2138" w:hanging="2138"/>
        <w:jc w:val="both"/>
        <w:rPr>
          <w:rFonts w:cs="Arial"/>
          <w:sz w:val="28"/>
        </w:rPr>
      </w:pPr>
      <w:r w:rsidRPr="000C692C">
        <w:rPr>
          <w:rStyle w:val="CharPartNo"/>
          <w:rFonts w:cs="Arial"/>
          <w:sz w:val="28"/>
        </w:rPr>
        <w:t>Part 1</w:t>
      </w:r>
      <w:r>
        <w:rPr>
          <w:rStyle w:val="CharPartNo"/>
          <w:rFonts w:cs="Arial"/>
          <w:sz w:val="28"/>
        </w:rPr>
        <w:t>3</w:t>
      </w:r>
      <w:r w:rsidRPr="000C692C">
        <w:rPr>
          <w:rFonts w:cs="Arial"/>
          <w:sz w:val="28"/>
        </w:rPr>
        <w:tab/>
        <w:t>Aeronautical services</w:t>
      </w:r>
    </w:p>
    <w:p w14:paraId="0B0730D9" w14:textId="77777777" w:rsidR="00542B3F" w:rsidRPr="001353A2" w:rsidRDefault="00542B3F" w:rsidP="00542B3F">
      <w:pPr>
        <w:pStyle w:val="ActHead5"/>
        <w:rPr>
          <w:rStyle w:val="CharSectno"/>
          <w:rFonts w:ascii="Arial" w:hAnsi="Arial"/>
        </w:rPr>
      </w:pPr>
      <w:r w:rsidRPr="001353A2">
        <w:rPr>
          <w:rStyle w:val="CharSectno"/>
          <w:rFonts w:ascii="Arial" w:hAnsi="Arial" w:cs="Arial"/>
        </w:rPr>
        <w:t>1</w:t>
      </w:r>
      <w:r>
        <w:rPr>
          <w:rStyle w:val="CharSectno"/>
          <w:rFonts w:ascii="Arial" w:hAnsi="Arial" w:cs="Arial"/>
        </w:rPr>
        <w:t>3</w:t>
      </w:r>
      <w:r w:rsidRPr="001353A2">
        <w:rPr>
          <w:rStyle w:val="CharSectno"/>
          <w:rFonts w:ascii="Arial" w:hAnsi="Arial" w:cs="Arial"/>
        </w:rPr>
        <w:t>.1</w:t>
      </w:r>
      <w:r w:rsidRPr="001353A2">
        <w:rPr>
          <w:rStyle w:val="CharSectno"/>
          <w:rFonts w:ascii="Arial" w:hAnsi="Arial"/>
        </w:rPr>
        <w:tab/>
        <w:t>Background</w:t>
      </w:r>
    </w:p>
    <w:p w14:paraId="2DE9A024" w14:textId="5B87F83A" w:rsidR="00542B3F" w:rsidRPr="000C692C" w:rsidRDefault="00542B3F" w:rsidP="00542B3F">
      <w:pPr>
        <w:pStyle w:val="subsection"/>
      </w:pPr>
      <w:r>
        <w:tab/>
      </w:r>
      <w:r w:rsidRPr="000C692C">
        <w:t>(1)</w:t>
      </w:r>
      <w:r w:rsidRPr="000C692C">
        <w:tab/>
        <w:t xml:space="preserve">The </w:t>
      </w:r>
      <w:r>
        <w:t>S</w:t>
      </w:r>
      <w:r w:rsidRPr="000C692C">
        <w:t xml:space="preserve">pectrum </w:t>
      </w:r>
      <w:r>
        <w:t>P</w:t>
      </w:r>
      <w:r w:rsidRPr="000C692C">
        <w:t xml:space="preserve">lan </w:t>
      </w:r>
      <w:r>
        <w:t>allocates the 4200–4400 MHz frequency band to t</w:t>
      </w:r>
      <w:r w:rsidRPr="000C692C">
        <w:t>he aeronautical mobile service and aeronautical radionavigation service</w:t>
      </w:r>
      <w:r>
        <w:t>, as primary services.</w:t>
      </w:r>
      <w:r w:rsidRPr="000C692C">
        <w:t xml:space="preserve"> </w:t>
      </w:r>
    </w:p>
    <w:p w14:paraId="76B15E77" w14:textId="68597E37" w:rsidR="00542B3F" w:rsidRDefault="00542B3F" w:rsidP="00542B3F">
      <w:pPr>
        <w:pStyle w:val="subsection"/>
      </w:pPr>
      <w:r>
        <w:tab/>
      </w:r>
      <w:r w:rsidRPr="000C692C">
        <w:t>(2)</w:t>
      </w:r>
      <w:r w:rsidRPr="000C692C">
        <w:tab/>
        <w:t xml:space="preserve">The </w:t>
      </w:r>
      <w:r>
        <w:t>operation of aircraft stations as radio altimeters</w:t>
      </w:r>
      <w:r w:rsidRPr="000C692C">
        <w:t xml:space="preserve"> in the 4200–4400 MHz </w:t>
      </w:r>
      <w:r w:rsidR="00FE1FC7">
        <w:t xml:space="preserve">frequency </w:t>
      </w:r>
      <w:r w:rsidRPr="000C692C">
        <w:t xml:space="preserve">band is </w:t>
      </w:r>
      <w:r>
        <w:t xml:space="preserve">authorised </w:t>
      </w:r>
      <w:r w:rsidRPr="000C692C">
        <w:t xml:space="preserve">under the </w:t>
      </w:r>
      <w:r w:rsidRPr="000C692C">
        <w:rPr>
          <w:i/>
          <w:iCs/>
        </w:rPr>
        <w:t>Radiocommunications (Aircraft and Aeronautical Mobile Stations) Class Licence 2016</w:t>
      </w:r>
      <w:r w:rsidRPr="000C692C">
        <w:t xml:space="preserve">. </w:t>
      </w:r>
    </w:p>
    <w:p w14:paraId="0D81EFD3" w14:textId="77777777" w:rsidR="00542B3F" w:rsidRDefault="00542B3F" w:rsidP="00542B3F">
      <w:pPr>
        <w:pStyle w:val="subsection"/>
      </w:pPr>
      <w:r>
        <w:tab/>
        <w:t>(3)</w:t>
      </w:r>
      <w:r>
        <w:tab/>
        <w:t xml:space="preserve">In this Part, </w:t>
      </w:r>
      <w:r w:rsidRPr="00FD1B5B">
        <w:rPr>
          <w:b/>
          <w:bCs/>
          <w:i/>
          <w:iCs/>
        </w:rPr>
        <w:t>aeronautical mobile service</w:t>
      </w:r>
      <w:r>
        <w:t xml:space="preserve"> and </w:t>
      </w:r>
      <w:r>
        <w:rPr>
          <w:b/>
          <w:bCs/>
          <w:i/>
          <w:iCs/>
        </w:rPr>
        <w:t xml:space="preserve">aircraft station </w:t>
      </w:r>
      <w:r>
        <w:t>have the corresponding meanings given by:</w:t>
      </w:r>
    </w:p>
    <w:p w14:paraId="4CDA170B" w14:textId="77777777" w:rsidR="00542B3F" w:rsidRDefault="00542B3F" w:rsidP="00542B3F">
      <w:pPr>
        <w:pStyle w:val="paragraph"/>
      </w:pPr>
      <w:r>
        <w:tab/>
        <w:t>(a)</w:t>
      </w:r>
      <w:r>
        <w:tab/>
        <w:t xml:space="preserve">the </w:t>
      </w:r>
      <w:r>
        <w:rPr>
          <w:i/>
          <w:iCs/>
        </w:rPr>
        <w:t>Radiocommunications (Interpretation) Determination 2015</w:t>
      </w:r>
      <w:r>
        <w:t>; or</w:t>
      </w:r>
    </w:p>
    <w:p w14:paraId="65B2CCF9" w14:textId="77777777" w:rsidR="00542B3F" w:rsidRPr="00502903" w:rsidRDefault="00542B3F" w:rsidP="00542B3F">
      <w:pPr>
        <w:pStyle w:val="paragraph"/>
      </w:pPr>
      <w:r>
        <w:tab/>
        <w:t>(b)</w:t>
      </w:r>
      <w:r>
        <w:tab/>
        <w:t>if a later instrument replaces that determination and defines the terms – the later instrument.</w:t>
      </w:r>
    </w:p>
    <w:p w14:paraId="176E4D58" w14:textId="77777777" w:rsidR="00542B3F" w:rsidRDefault="00542B3F" w:rsidP="00542B3F">
      <w:pPr>
        <w:pStyle w:val="subsection"/>
      </w:pPr>
      <w:r>
        <w:tab/>
        <w:t>(4)</w:t>
      </w:r>
      <w:r>
        <w:tab/>
        <w:t xml:space="preserve">In this Part, </w:t>
      </w:r>
      <w:r w:rsidRPr="00FD1B5B">
        <w:rPr>
          <w:b/>
          <w:bCs/>
          <w:i/>
          <w:iCs/>
        </w:rPr>
        <w:t xml:space="preserve">aeronautical </w:t>
      </w:r>
      <w:r>
        <w:rPr>
          <w:b/>
          <w:bCs/>
          <w:i/>
          <w:iCs/>
        </w:rPr>
        <w:t>radionavigation</w:t>
      </w:r>
      <w:r w:rsidRPr="00FD1B5B">
        <w:rPr>
          <w:b/>
          <w:bCs/>
          <w:i/>
          <w:iCs/>
        </w:rPr>
        <w:t xml:space="preserve"> service</w:t>
      </w:r>
      <w:r>
        <w:t xml:space="preserve"> has the meaning given by the Spectrum Plan.</w:t>
      </w:r>
    </w:p>
    <w:p w14:paraId="7D99D71F" w14:textId="77777777" w:rsidR="00542B3F" w:rsidRPr="000C692C" w:rsidRDefault="00542B3F" w:rsidP="00542B3F">
      <w:pPr>
        <w:pStyle w:val="HR0"/>
        <w:ind w:left="993" w:hanging="993"/>
        <w:jc w:val="both"/>
        <w:rPr>
          <w:rFonts w:cs="Arial"/>
          <w:bCs/>
        </w:rPr>
      </w:pPr>
      <w:r w:rsidRPr="000C692C">
        <w:rPr>
          <w:rStyle w:val="charsectno0"/>
        </w:rPr>
        <w:lastRenderedPageBreak/>
        <w:t>1</w:t>
      </w:r>
      <w:r>
        <w:rPr>
          <w:rStyle w:val="charsectno0"/>
        </w:rPr>
        <w:t>3</w:t>
      </w:r>
      <w:r w:rsidRPr="000C692C">
        <w:rPr>
          <w:rStyle w:val="charsectno0"/>
        </w:rPr>
        <w:t>.2</w:t>
      </w:r>
      <w:r w:rsidRPr="000C692C">
        <w:rPr>
          <w:rFonts w:cs="Arial"/>
          <w:bCs/>
        </w:rPr>
        <w:tab/>
        <w:t>Protection requirements</w:t>
      </w:r>
    </w:p>
    <w:p w14:paraId="11DEBC45" w14:textId="0D93692E" w:rsidR="00542B3F" w:rsidRDefault="00542B3F" w:rsidP="00542B3F">
      <w:pPr>
        <w:pStyle w:val="subsection"/>
      </w:pPr>
      <w:r>
        <w:tab/>
      </w:r>
      <w:r w:rsidR="00BE3437">
        <w:t>(1)</w:t>
      </w:r>
      <w:r>
        <w:tab/>
      </w:r>
      <w:r w:rsidRPr="002412AF">
        <w:t xml:space="preserve">For </w:t>
      </w:r>
      <w:r>
        <w:t>spectrum licences</w:t>
      </w:r>
      <w:r w:rsidRPr="002412AF">
        <w:t xml:space="preserve">, </w:t>
      </w:r>
      <w:r>
        <w:t>a licensee must not operate</w:t>
      </w:r>
      <w:r w:rsidRPr="00DB3885">
        <w:t xml:space="preserve"> </w:t>
      </w:r>
      <w:r>
        <w:t>a radiocommunications transmitter in the 3700</w:t>
      </w:r>
      <w:r w:rsidR="00BE3437">
        <w:t>–</w:t>
      </w:r>
      <w:r>
        <w:t>3800 MHz</w:t>
      </w:r>
      <w:r w:rsidR="00FE1FC7">
        <w:t xml:space="preserve"> frequency</w:t>
      </w:r>
      <w:r>
        <w:t xml:space="preserve"> </w:t>
      </w:r>
      <w:r w:rsidR="00FE1FC7">
        <w:t xml:space="preserve">band </w:t>
      </w:r>
      <w:r>
        <w:t>if the operation of the transmitter would be inconsistent with any requirement for an area-wide licence in RALI MS 47 in relation to coexistence with radio altimeters.</w:t>
      </w:r>
      <w:r w:rsidRPr="002412AF" w:rsidDel="002412AF">
        <w:rPr>
          <w:highlight w:val="yellow"/>
        </w:rPr>
        <w:t xml:space="preserve"> </w:t>
      </w:r>
    </w:p>
    <w:p w14:paraId="7FED92F7" w14:textId="414427BF" w:rsidR="004714B7" w:rsidRDefault="004714B7" w:rsidP="00542B3F">
      <w:pPr>
        <w:pStyle w:val="subsection"/>
      </w:pPr>
      <w:r>
        <w:tab/>
        <w:t>(2)</w:t>
      </w:r>
      <w:r>
        <w:tab/>
        <w:t xml:space="preserve">For the purposes of this section, a reference </w:t>
      </w:r>
      <w:r w:rsidR="00D546D3">
        <w:t>in RALI MS 47 to:</w:t>
      </w:r>
    </w:p>
    <w:p w14:paraId="762A2F38" w14:textId="4BC767FB" w:rsidR="00D546D3" w:rsidRDefault="00D546D3" w:rsidP="00D546D3">
      <w:pPr>
        <w:pStyle w:val="paragraph"/>
      </w:pPr>
      <w:r>
        <w:tab/>
        <w:t>(a)</w:t>
      </w:r>
      <w:r>
        <w:tab/>
        <w:t xml:space="preserve">a </w:t>
      </w:r>
      <w:r w:rsidRPr="00D546D3">
        <w:rPr>
          <w:b/>
          <w:bCs/>
          <w:i/>
          <w:iCs/>
        </w:rPr>
        <w:t xml:space="preserve">non-exempt AWL </w:t>
      </w:r>
      <w:proofErr w:type="spellStart"/>
      <w:r w:rsidRPr="00D546D3">
        <w:rPr>
          <w:b/>
          <w:bCs/>
          <w:i/>
          <w:iCs/>
        </w:rPr>
        <w:t>tx</w:t>
      </w:r>
      <w:proofErr w:type="spellEnd"/>
      <w:r w:rsidRPr="00D546D3">
        <w:rPr>
          <w:b/>
          <w:bCs/>
          <w:i/>
          <w:iCs/>
        </w:rPr>
        <w:t xml:space="preserve"> transmitter</w:t>
      </w:r>
      <w:r>
        <w:t xml:space="preserve"> is taken to be a reference to a radiocommunications transmitter operated, or proposed to be operated, under a spectrum licence in the 3700</w:t>
      </w:r>
      <w:r w:rsidR="00FE1FC7">
        <w:t>–3800 MHz frequency band;</w:t>
      </w:r>
    </w:p>
    <w:p w14:paraId="4BA48205" w14:textId="6490B416" w:rsidR="00FE1FC7" w:rsidRDefault="00FE1FC7" w:rsidP="00D546D3">
      <w:pPr>
        <w:pStyle w:val="paragraph"/>
      </w:pPr>
      <w:r>
        <w:tab/>
        <w:t>(b)</w:t>
      </w:r>
      <w:r>
        <w:tab/>
      </w:r>
      <w:r w:rsidR="00263593">
        <w:t xml:space="preserve">an </w:t>
      </w:r>
      <w:r w:rsidR="00263593">
        <w:rPr>
          <w:b/>
          <w:bCs/>
          <w:i/>
          <w:iCs/>
        </w:rPr>
        <w:t xml:space="preserve">AWL </w:t>
      </w:r>
      <w:proofErr w:type="spellStart"/>
      <w:r w:rsidR="00263593">
        <w:rPr>
          <w:b/>
          <w:bCs/>
          <w:i/>
          <w:iCs/>
        </w:rPr>
        <w:t>tx</w:t>
      </w:r>
      <w:proofErr w:type="spellEnd"/>
      <w:r w:rsidR="00263593">
        <w:rPr>
          <w:b/>
          <w:bCs/>
          <w:i/>
          <w:iCs/>
        </w:rPr>
        <w:t xml:space="preserve"> </w:t>
      </w:r>
      <w:r w:rsidR="00263593">
        <w:t>is taken to be a reference to a 3.4 GHz band spectrum licence;</w:t>
      </w:r>
    </w:p>
    <w:p w14:paraId="08B51794" w14:textId="3035DB09" w:rsidR="00263593" w:rsidRDefault="006E53B9" w:rsidP="00D546D3">
      <w:pPr>
        <w:pStyle w:val="paragraph"/>
      </w:pPr>
      <w:r>
        <w:tab/>
      </w:r>
      <w:r w:rsidR="00263593">
        <w:t>(c)</w:t>
      </w:r>
      <w:r w:rsidR="00263593">
        <w:tab/>
      </w:r>
      <w:r w:rsidR="00A95E00" w:rsidRPr="006E53B9">
        <w:rPr>
          <w:b/>
          <w:bCs/>
          <w:i/>
          <w:iCs/>
        </w:rPr>
        <w:t>clause 4 of Schedule 4 to the AWL LCD</w:t>
      </w:r>
      <w:r w:rsidR="00A95E00">
        <w:t xml:space="preserve"> is</w:t>
      </w:r>
      <w:r>
        <w:t xml:space="preserve"> </w:t>
      </w:r>
      <w:r w:rsidR="007443F0">
        <w:t xml:space="preserve">taken to be </w:t>
      </w:r>
      <w:r>
        <w:t>a reference to this section</w:t>
      </w:r>
      <w:r w:rsidR="000D1586">
        <w:t>.</w:t>
      </w:r>
    </w:p>
    <w:p w14:paraId="0A6826E5" w14:textId="77777777" w:rsidR="006E53B9" w:rsidRPr="00263593" w:rsidRDefault="006E53B9" w:rsidP="00D546D3">
      <w:pPr>
        <w:pStyle w:val="paragraph"/>
      </w:pPr>
    </w:p>
    <w:p w14:paraId="1FA666D4" w14:textId="6DF2B424" w:rsidR="000B7254" w:rsidRDefault="000B7254" w:rsidP="000B7254">
      <w:pPr>
        <w:pStyle w:val="subsection"/>
      </w:pPr>
    </w:p>
    <w:sectPr w:rsidR="000B7254" w:rsidSect="00957210">
      <w:headerReference w:type="even" r:id="rId21"/>
      <w:head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73FB" w14:textId="77777777" w:rsidR="001430E3" w:rsidRDefault="001430E3" w:rsidP="0017734A">
      <w:pPr>
        <w:spacing w:after="0" w:line="240" w:lineRule="auto"/>
      </w:pPr>
      <w:r>
        <w:separator/>
      </w:r>
    </w:p>
  </w:endnote>
  <w:endnote w:type="continuationSeparator" w:id="0">
    <w:p w14:paraId="3B636680" w14:textId="77777777" w:rsidR="001430E3" w:rsidRDefault="001430E3"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AA8" w14:textId="69745203" w:rsidR="00F4519A" w:rsidRPr="008139AA" w:rsidRDefault="00F4519A" w:rsidP="00F4519A">
    <w:pPr>
      <w:pStyle w:val="Footer"/>
      <w:pBdr>
        <w:top w:val="single" w:sz="4" w:space="1" w:color="auto"/>
      </w:pBdr>
      <w:jc w:val="center"/>
      <w:rPr>
        <w:rFonts w:ascii="Times New Roman" w:hAnsi="Times New Roman" w:cs="Times New Roman"/>
        <w:i/>
        <w:iCs/>
        <w:sz w:val="20"/>
        <w:szCs w:val="20"/>
      </w:rPr>
    </w:pPr>
    <w:r w:rsidRPr="008139AA">
      <w:rPr>
        <w:rFonts w:ascii="Times New Roman" w:hAnsi="Times New Roman" w:cs="Times New Roman"/>
        <w:i/>
        <w:iCs/>
        <w:sz w:val="20"/>
        <w:szCs w:val="20"/>
      </w:rPr>
      <w:t xml:space="preserve">Radiocommunications </w:t>
    </w:r>
    <w:r w:rsidR="00A302AE">
      <w:rPr>
        <w:rFonts w:ascii="Times New Roman" w:hAnsi="Times New Roman" w:cs="Times New Roman"/>
        <w:i/>
        <w:iCs/>
        <w:sz w:val="20"/>
        <w:szCs w:val="20"/>
      </w:rPr>
      <w:t xml:space="preserve">Advisory Guidelines </w:t>
    </w:r>
    <w:r w:rsidR="00DD6358">
      <w:rPr>
        <w:rFonts w:ascii="Times New Roman" w:hAnsi="Times New Roman" w:cs="Times New Roman"/>
        <w:i/>
        <w:iCs/>
        <w:sz w:val="20"/>
        <w:szCs w:val="20"/>
      </w:rPr>
      <w:t>(</w:t>
    </w:r>
    <w:r w:rsidR="00A302AE">
      <w:rPr>
        <w:rFonts w:ascii="Times New Roman" w:hAnsi="Times New Roman" w:cs="Times New Roman"/>
        <w:i/>
        <w:iCs/>
        <w:sz w:val="20"/>
        <w:szCs w:val="20"/>
      </w:rPr>
      <w:t xml:space="preserve">Managing Interference </w:t>
    </w:r>
    <w:r w:rsidR="003860B9">
      <w:rPr>
        <w:rFonts w:ascii="Times New Roman" w:hAnsi="Times New Roman" w:cs="Times New Roman"/>
        <w:i/>
        <w:iCs/>
        <w:sz w:val="20"/>
        <w:szCs w:val="20"/>
      </w:rPr>
      <w:t>from</w:t>
    </w:r>
    <w:r w:rsidR="00A302AE">
      <w:rPr>
        <w:rFonts w:ascii="Times New Roman" w:hAnsi="Times New Roman" w:cs="Times New Roman"/>
        <w:i/>
        <w:iCs/>
        <w:sz w:val="20"/>
        <w:szCs w:val="20"/>
      </w:rPr>
      <w:t xml:space="preserve"> Spectrum Licensed </w:t>
    </w:r>
    <w:r w:rsidR="003860B9">
      <w:rPr>
        <w:rFonts w:ascii="Times New Roman" w:hAnsi="Times New Roman" w:cs="Times New Roman"/>
        <w:i/>
        <w:iCs/>
        <w:sz w:val="20"/>
        <w:szCs w:val="20"/>
      </w:rPr>
      <w:t>Transmitters</w:t>
    </w:r>
    <w:r w:rsidR="007169B9">
      <w:rPr>
        <w:rFonts w:ascii="Times New Roman" w:hAnsi="Times New Roman" w:cs="Times New Roman"/>
        <w:i/>
        <w:iCs/>
        <w:sz w:val="20"/>
        <w:szCs w:val="20"/>
      </w:rPr>
      <w:t> </w:t>
    </w:r>
    <w:r w:rsidR="00DD6358">
      <w:rPr>
        <w:rFonts w:ascii="Times New Roman" w:hAnsi="Times New Roman" w:cs="Times New Roman"/>
        <w:i/>
        <w:iCs/>
        <w:sz w:val="20"/>
        <w:szCs w:val="20"/>
      </w:rPr>
      <w:t>–</w:t>
    </w:r>
    <w:r w:rsidR="007169B9">
      <w:rPr>
        <w:rFonts w:ascii="Times New Roman" w:hAnsi="Times New Roman" w:cs="Times New Roman"/>
        <w:i/>
        <w:iCs/>
        <w:sz w:val="20"/>
        <w:szCs w:val="20"/>
      </w:rPr>
      <w:t> </w:t>
    </w:r>
    <w:r w:rsidR="00DD6358">
      <w:rPr>
        <w:rFonts w:ascii="Times New Roman" w:hAnsi="Times New Roman" w:cs="Times New Roman"/>
        <w:i/>
        <w:iCs/>
        <w:sz w:val="20"/>
        <w:szCs w:val="20"/>
      </w:rPr>
      <w:t>3.4</w:t>
    </w:r>
    <w:r w:rsidR="007169B9">
      <w:rPr>
        <w:rFonts w:ascii="Times New Roman" w:hAnsi="Times New Roman" w:cs="Times New Roman"/>
        <w:i/>
        <w:iCs/>
        <w:sz w:val="20"/>
        <w:szCs w:val="20"/>
      </w:rPr>
      <w:t> </w:t>
    </w:r>
    <w:r w:rsidR="00DD6358">
      <w:rPr>
        <w:rFonts w:ascii="Times New Roman" w:hAnsi="Times New Roman" w:cs="Times New Roman"/>
        <w:i/>
        <w:iCs/>
        <w:sz w:val="20"/>
        <w:szCs w:val="20"/>
      </w:rPr>
      <w:t>GHz Band</w:t>
    </w:r>
    <w:r w:rsidRPr="008139AA">
      <w:rPr>
        <w:rFonts w:ascii="Times New Roman" w:hAnsi="Times New Roman" w:cs="Times New Roman"/>
        <w:i/>
        <w:iCs/>
        <w:sz w:val="20"/>
        <w:szCs w:val="20"/>
      </w:rPr>
      <w:t xml:space="preserve">) </w:t>
    </w:r>
    <w:r w:rsidR="00A302AE">
      <w:rPr>
        <w:rFonts w:ascii="Times New Roman" w:hAnsi="Times New Roman" w:cs="Times New Roman"/>
        <w:i/>
        <w:iCs/>
        <w:sz w:val="20"/>
        <w:szCs w:val="20"/>
      </w:rPr>
      <w:t>Variation</w:t>
    </w:r>
    <w:r w:rsidR="00597D10">
      <w:rPr>
        <w:rFonts w:ascii="Times New Roman" w:hAnsi="Times New Roman" w:cs="Times New Roman"/>
        <w:i/>
        <w:iCs/>
        <w:sz w:val="20"/>
        <w:szCs w:val="20"/>
      </w:rPr>
      <w:t xml:space="preserve"> 202</w:t>
    </w:r>
    <w:r w:rsidR="00DD6358">
      <w:rPr>
        <w:rFonts w:ascii="Times New Roman" w:hAnsi="Times New Roman" w:cs="Times New Roman"/>
        <w:i/>
        <w:iCs/>
        <w:sz w:val="20"/>
        <w:szCs w:val="20"/>
      </w:rPr>
      <w:t>3 </w:t>
    </w:r>
    <w:r w:rsidR="00EC0532">
      <w:rPr>
        <w:rFonts w:ascii="Times New Roman" w:hAnsi="Times New Roman" w:cs="Times New Roman"/>
        <w:i/>
        <w:iCs/>
        <w:sz w:val="20"/>
        <w:szCs w:val="20"/>
      </w:rPr>
      <w:t>(No. 1)</w:t>
    </w:r>
  </w:p>
  <w:p w14:paraId="3D2A2380" w14:textId="3A29867D" w:rsidR="00F4519A" w:rsidRDefault="00F4519A" w:rsidP="009223D6">
    <w:pPr>
      <w:pStyle w:val="Footer"/>
      <w:jc w:val="right"/>
      <w:rPr>
        <w:rFonts w:ascii="Times New Roman" w:hAnsi="Times New Roman" w:cs="Times New Roman"/>
        <w:sz w:val="20"/>
        <w:szCs w:val="20"/>
      </w:rPr>
    </w:pPr>
    <w:r w:rsidRPr="008139AA">
      <w:rPr>
        <w:rFonts w:ascii="Times New Roman" w:hAnsi="Times New Roman" w:cs="Times New Roman"/>
        <w:sz w:val="20"/>
        <w:szCs w:val="20"/>
      </w:rPr>
      <w:fldChar w:fldCharType="begin"/>
    </w:r>
    <w:r w:rsidRPr="008139AA">
      <w:rPr>
        <w:rFonts w:ascii="Times New Roman" w:hAnsi="Times New Roman" w:cs="Times New Roman"/>
        <w:sz w:val="20"/>
        <w:szCs w:val="20"/>
      </w:rPr>
      <w:instrText xml:space="preserve"> PAGE  \* Arabic  \* MERGEFORMAT </w:instrText>
    </w:r>
    <w:r w:rsidRPr="008139AA">
      <w:rPr>
        <w:rFonts w:ascii="Times New Roman" w:hAnsi="Times New Roman" w:cs="Times New Roman"/>
        <w:sz w:val="20"/>
        <w:szCs w:val="20"/>
      </w:rPr>
      <w:fldChar w:fldCharType="separate"/>
    </w:r>
    <w:r w:rsidRPr="008139AA">
      <w:rPr>
        <w:rFonts w:ascii="Times New Roman" w:hAnsi="Times New Roman" w:cs="Times New Roman"/>
        <w:sz w:val="20"/>
        <w:szCs w:val="20"/>
      </w:rPr>
      <w:t>1</w:t>
    </w:r>
    <w:r w:rsidRPr="008139AA">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2760" w14:textId="77777777" w:rsidR="001430E3" w:rsidRDefault="001430E3" w:rsidP="0017734A">
      <w:pPr>
        <w:spacing w:after="0" w:line="240" w:lineRule="auto"/>
      </w:pPr>
      <w:r>
        <w:separator/>
      </w:r>
    </w:p>
  </w:footnote>
  <w:footnote w:type="continuationSeparator" w:id="0">
    <w:p w14:paraId="7DC82BAE" w14:textId="77777777" w:rsidR="001430E3" w:rsidRDefault="001430E3"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161" w14:textId="0824FD0A" w:rsidR="003B0F89" w:rsidRDefault="003B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DA7" w14:textId="0E0C0E2D" w:rsidR="00F4519A" w:rsidRPr="008139AA" w:rsidRDefault="00F4519A" w:rsidP="009223D6">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Section 1</w:t>
    </w:r>
  </w:p>
  <w:p w14:paraId="6B49CA6C" w14:textId="77777777" w:rsidR="00122728" w:rsidRPr="008139AA" w:rsidRDefault="00122728" w:rsidP="009223D6">
    <w:pPr>
      <w:pStyle w:val="Header"/>
      <w:pBdr>
        <w:bottom w:val="single" w:sz="4" w:space="1" w:color="auto"/>
      </w:pBd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A24" w14:textId="4FD060F8" w:rsidR="003B0F89" w:rsidRDefault="003B0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A82" w14:textId="33D25B32" w:rsidR="003B0F89" w:rsidRDefault="003B0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28016282" w:rsidR="00097890" w:rsidRPr="008139AA" w:rsidRDefault="00DB7310" w:rsidP="00892659">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Schedule 1</w:t>
    </w:r>
    <w:r w:rsidR="00193AFA" w:rsidRPr="00CA2DEE">
      <w:rPr>
        <w:rFonts w:ascii="Times New Roman" w:hAnsi="Times New Roman" w:cs="Times New Roman"/>
        <w:sz w:val="20"/>
        <w:szCs w:val="20"/>
      </w:rPr>
      <w:t xml:space="preserve"> </w:t>
    </w:r>
    <w:r w:rsidR="00CA2DEE" w:rsidRPr="008139AA">
      <w:rPr>
        <w:rFonts w:ascii="Times New Roman" w:hAnsi="Times New Roman" w:cs="Times New Roman"/>
        <w:sz w:val="20"/>
        <w:szCs w:val="20"/>
      </w:rPr>
      <w:t xml:space="preserve">— </w:t>
    </w:r>
    <w:r w:rsidR="00CA2DEE">
      <w:rPr>
        <w:rFonts w:ascii="Times New Roman" w:hAnsi="Times New Roman" w:cs="Times New Roman"/>
        <w:sz w:val="20"/>
        <w:szCs w:val="20"/>
      </w:rPr>
      <w:t>Amendments</w:t>
    </w:r>
  </w:p>
  <w:p w14:paraId="7F40F346" w14:textId="77777777" w:rsidR="00DB7310" w:rsidRPr="00CC64DD" w:rsidRDefault="00DB7310" w:rsidP="00892659">
    <w:pPr>
      <w:pStyle w:val="Header"/>
      <w:pBdr>
        <w:bottom w:val="single" w:sz="4" w:space="1" w:color="auto"/>
      </w:pBd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603" w14:textId="7F8887E5" w:rsidR="003B0F89" w:rsidRDefault="003B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F3"/>
    <w:multiLevelType w:val="hybridMultilevel"/>
    <w:tmpl w:val="78E688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5C2EFB"/>
    <w:multiLevelType w:val="hybridMultilevel"/>
    <w:tmpl w:val="E0AEF3AE"/>
    <w:lvl w:ilvl="0" w:tplc="0C090001">
      <w:start w:val="1"/>
      <w:numFmt w:val="bullet"/>
      <w:lvlText w:val=""/>
      <w:lvlJc w:val="left"/>
      <w:pPr>
        <w:tabs>
          <w:tab w:val="num" w:pos="6840"/>
        </w:tabs>
        <w:ind w:left="6840" w:hanging="360"/>
      </w:pPr>
      <w:rPr>
        <w:rFonts w:ascii="Symbol" w:hAnsi="Symbol" w:hint="default"/>
      </w:rPr>
    </w:lvl>
    <w:lvl w:ilvl="1" w:tplc="0C090003" w:tentative="1">
      <w:start w:val="1"/>
      <w:numFmt w:val="bullet"/>
      <w:lvlText w:val="o"/>
      <w:lvlJc w:val="left"/>
      <w:pPr>
        <w:tabs>
          <w:tab w:val="num" w:pos="7560"/>
        </w:tabs>
        <w:ind w:left="7560" w:hanging="360"/>
      </w:pPr>
      <w:rPr>
        <w:rFonts w:ascii="Courier New" w:hAnsi="Courier New" w:cs="Courier New" w:hint="default"/>
      </w:rPr>
    </w:lvl>
    <w:lvl w:ilvl="2" w:tplc="0C090005" w:tentative="1">
      <w:start w:val="1"/>
      <w:numFmt w:val="bullet"/>
      <w:lvlText w:val=""/>
      <w:lvlJc w:val="left"/>
      <w:pPr>
        <w:tabs>
          <w:tab w:val="num" w:pos="8280"/>
        </w:tabs>
        <w:ind w:left="8280" w:hanging="360"/>
      </w:pPr>
      <w:rPr>
        <w:rFonts w:ascii="Wingdings" w:hAnsi="Wingdings" w:hint="default"/>
      </w:rPr>
    </w:lvl>
    <w:lvl w:ilvl="3" w:tplc="0C090001" w:tentative="1">
      <w:start w:val="1"/>
      <w:numFmt w:val="bullet"/>
      <w:lvlText w:val=""/>
      <w:lvlJc w:val="left"/>
      <w:pPr>
        <w:tabs>
          <w:tab w:val="num" w:pos="9000"/>
        </w:tabs>
        <w:ind w:left="9000" w:hanging="360"/>
      </w:pPr>
      <w:rPr>
        <w:rFonts w:ascii="Symbol" w:hAnsi="Symbol" w:hint="default"/>
      </w:rPr>
    </w:lvl>
    <w:lvl w:ilvl="4" w:tplc="0C090003" w:tentative="1">
      <w:start w:val="1"/>
      <w:numFmt w:val="bullet"/>
      <w:lvlText w:val="o"/>
      <w:lvlJc w:val="left"/>
      <w:pPr>
        <w:tabs>
          <w:tab w:val="num" w:pos="9720"/>
        </w:tabs>
        <w:ind w:left="9720" w:hanging="360"/>
      </w:pPr>
      <w:rPr>
        <w:rFonts w:ascii="Courier New" w:hAnsi="Courier New" w:cs="Courier New" w:hint="default"/>
      </w:rPr>
    </w:lvl>
    <w:lvl w:ilvl="5" w:tplc="0C090005" w:tentative="1">
      <w:start w:val="1"/>
      <w:numFmt w:val="bullet"/>
      <w:lvlText w:val=""/>
      <w:lvlJc w:val="left"/>
      <w:pPr>
        <w:tabs>
          <w:tab w:val="num" w:pos="10440"/>
        </w:tabs>
        <w:ind w:left="10440" w:hanging="360"/>
      </w:pPr>
      <w:rPr>
        <w:rFonts w:ascii="Wingdings" w:hAnsi="Wingdings" w:hint="default"/>
      </w:rPr>
    </w:lvl>
    <w:lvl w:ilvl="6" w:tplc="0C090001" w:tentative="1">
      <w:start w:val="1"/>
      <w:numFmt w:val="bullet"/>
      <w:lvlText w:val=""/>
      <w:lvlJc w:val="left"/>
      <w:pPr>
        <w:tabs>
          <w:tab w:val="num" w:pos="11160"/>
        </w:tabs>
        <w:ind w:left="11160" w:hanging="360"/>
      </w:pPr>
      <w:rPr>
        <w:rFonts w:ascii="Symbol" w:hAnsi="Symbol" w:hint="default"/>
      </w:rPr>
    </w:lvl>
    <w:lvl w:ilvl="7" w:tplc="0C090003" w:tentative="1">
      <w:start w:val="1"/>
      <w:numFmt w:val="bullet"/>
      <w:lvlText w:val="o"/>
      <w:lvlJc w:val="left"/>
      <w:pPr>
        <w:tabs>
          <w:tab w:val="num" w:pos="11880"/>
        </w:tabs>
        <w:ind w:left="11880" w:hanging="360"/>
      </w:pPr>
      <w:rPr>
        <w:rFonts w:ascii="Courier New" w:hAnsi="Courier New" w:cs="Courier New" w:hint="default"/>
      </w:rPr>
    </w:lvl>
    <w:lvl w:ilvl="8" w:tplc="0C090005" w:tentative="1">
      <w:start w:val="1"/>
      <w:numFmt w:val="bullet"/>
      <w:lvlText w:val=""/>
      <w:lvlJc w:val="left"/>
      <w:pPr>
        <w:tabs>
          <w:tab w:val="num" w:pos="12600"/>
        </w:tabs>
        <w:ind w:left="12600" w:hanging="360"/>
      </w:pPr>
      <w:rPr>
        <w:rFonts w:ascii="Wingdings" w:hAnsi="Wingdings" w:hint="default"/>
      </w:r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D36867"/>
    <w:multiLevelType w:val="hybridMultilevel"/>
    <w:tmpl w:val="1A5A4184"/>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7" w15:restartNumberingAfterBreak="0">
    <w:nsid w:val="5F172FB7"/>
    <w:multiLevelType w:val="multilevel"/>
    <w:tmpl w:val="52B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F546F9"/>
    <w:multiLevelType w:val="hybridMultilevel"/>
    <w:tmpl w:val="EBF81EA2"/>
    <w:lvl w:ilvl="0" w:tplc="4412C9FA">
      <w:start w:val="1"/>
      <w:numFmt w:val="lowerLetter"/>
      <w:lvlText w:val="(%1)"/>
      <w:lvlJc w:val="left"/>
      <w:pPr>
        <w:ind w:left="1341" w:hanging="360"/>
      </w:pPr>
      <w:rPr>
        <w:rFonts w:hint="default"/>
      </w:rPr>
    </w:lvl>
    <w:lvl w:ilvl="1" w:tplc="0C090019" w:tentative="1">
      <w:start w:val="1"/>
      <w:numFmt w:val="lowerLetter"/>
      <w:lvlText w:val="%2."/>
      <w:lvlJc w:val="left"/>
      <w:pPr>
        <w:ind w:left="981" w:hanging="360"/>
      </w:pPr>
    </w:lvl>
    <w:lvl w:ilvl="2" w:tplc="0C09001B" w:tentative="1">
      <w:start w:val="1"/>
      <w:numFmt w:val="lowerRoman"/>
      <w:lvlText w:val="%3."/>
      <w:lvlJc w:val="right"/>
      <w:pPr>
        <w:ind w:left="1701" w:hanging="180"/>
      </w:pPr>
    </w:lvl>
    <w:lvl w:ilvl="3" w:tplc="0C09000F" w:tentative="1">
      <w:start w:val="1"/>
      <w:numFmt w:val="decimal"/>
      <w:lvlText w:val="%4."/>
      <w:lvlJc w:val="left"/>
      <w:pPr>
        <w:ind w:left="2421" w:hanging="360"/>
      </w:pPr>
    </w:lvl>
    <w:lvl w:ilvl="4" w:tplc="0C090019" w:tentative="1">
      <w:start w:val="1"/>
      <w:numFmt w:val="lowerLetter"/>
      <w:lvlText w:val="%5."/>
      <w:lvlJc w:val="left"/>
      <w:pPr>
        <w:ind w:left="3141" w:hanging="360"/>
      </w:pPr>
    </w:lvl>
    <w:lvl w:ilvl="5" w:tplc="0C09001B" w:tentative="1">
      <w:start w:val="1"/>
      <w:numFmt w:val="lowerRoman"/>
      <w:lvlText w:val="%6."/>
      <w:lvlJc w:val="right"/>
      <w:pPr>
        <w:ind w:left="3861" w:hanging="180"/>
      </w:pPr>
    </w:lvl>
    <w:lvl w:ilvl="6" w:tplc="0C09000F" w:tentative="1">
      <w:start w:val="1"/>
      <w:numFmt w:val="decimal"/>
      <w:lvlText w:val="%7."/>
      <w:lvlJc w:val="left"/>
      <w:pPr>
        <w:ind w:left="4581" w:hanging="360"/>
      </w:pPr>
    </w:lvl>
    <w:lvl w:ilvl="7" w:tplc="0C090019" w:tentative="1">
      <w:start w:val="1"/>
      <w:numFmt w:val="lowerLetter"/>
      <w:lvlText w:val="%8."/>
      <w:lvlJc w:val="left"/>
      <w:pPr>
        <w:ind w:left="5301" w:hanging="360"/>
      </w:pPr>
    </w:lvl>
    <w:lvl w:ilvl="8" w:tplc="0C09001B" w:tentative="1">
      <w:start w:val="1"/>
      <w:numFmt w:val="lowerRoman"/>
      <w:lvlText w:val="%9."/>
      <w:lvlJc w:val="right"/>
      <w:pPr>
        <w:ind w:left="6021" w:hanging="180"/>
      </w:pPr>
    </w:lvl>
  </w:abstractNum>
  <w:abstractNum w:abstractNumId="10" w15:restartNumberingAfterBreak="0">
    <w:nsid w:val="741176A1"/>
    <w:multiLevelType w:val="hybridMultilevel"/>
    <w:tmpl w:val="5052E7F4"/>
    <w:lvl w:ilvl="0" w:tplc="D22A3D32">
      <w:start w:val="1"/>
      <w:numFmt w:val="lowerLetter"/>
      <w:lvlText w:val="(%1)"/>
      <w:lvlJc w:val="left"/>
      <w:pPr>
        <w:ind w:left="2164" w:hanging="735"/>
      </w:pPr>
      <w:rPr>
        <w:rFonts w:hint="default"/>
      </w:rPr>
    </w:lvl>
    <w:lvl w:ilvl="1" w:tplc="0C09001B">
      <w:start w:val="1"/>
      <w:numFmt w:val="lowerRoman"/>
      <w:lvlText w:val="%2."/>
      <w:lvlJc w:val="righ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5225340">
    <w:abstractNumId w:val="3"/>
  </w:num>
  <w:num w:numId="2" w16cid:durableId="880678430">
    <w:abstractNumId w:val="11"/>
  </w:num>
  <w:num w:numId="3" w16cid:durableId="1273635521">
    <w:abstractNumId w:val="5"/>
  </w:num>
  <w:num w:numId="4" w16cid:durableId="1155531815">
    <w:abstractNumId w:val="8"/>
  </w:num>
  <w:num w:numId="5" w16cid:durableId="1720594926">
    <w:abstractNumId w:val="4"/>
  </w:num>
  <w:num w:numId="6" w16cid:durableId="1941259472">
    <w:abstractNumId w:val="1"/>
  </w:num>
  <w:num w:numId="7" w16cid:durableId="1238590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198826">
    <w:abstractNumId w:val="7"/>
  </w:num>
  <w:num w:numId="9" w16cid:durableId="1453094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042763">
    <w:abstractNumId w:val="0"/>
  </w:num>
  <w:num w:numId="11" w16cid:durableId="1062288932">
    <w:abstractNumId w:val="6"/>
  </w:num>
  <w:num w:numId="12" w16cid:durableId="299463612">
    <w:abstractNumId w:val="9"/>
  </w:num>
  <w:num w:numId="13" w16cid:durableId="1109397127">
    <w:abstractNumId w:val="2"/>
  </w:num>
  <w:num w:numId="14" w16cid:durableId="1329168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7D0"/>
    <w:rsid w:val="0000189B"/>
    <w:rsid w:val="00001AE4"/>
    <w:rsid w:val="00003E2C"/>
    <w:rsid w:val="0000516C"/>
    <w:rsid w:val="00006492"/>
    <w:rsid w:val="00007526"/>
    <w:rsid w:val="00007E9F"/>
    <w:rsid w:val="00010EAB"/>
    <w:rsid w:val="00011920"/>
    <w:rsid w:val="00012ABC"/>
    <w:rsid w:val="00013737"/>
    <w:rsid w:val="00016F19"/>
    <w:rsid w:val="00020F85"/>
    <w:rsid w:val="000223AD"/>
    <w:rsid w:val="00022E87"/>
    <w:rsid w:val="00023C06"/>
    <w:rsid w:val="00027444"/>
    <w:rsid w:val="000340E0"/>
    <w:rsid w:val="0003680F"/>
    <w:rsid w:val="000404E6"/>
    <w:rsid w:val="00042164"/>
    <w:rsid w:val="00054A36"/>
    <w:rsid w:val="00055F4D"/>
    <w:rsid w:val="000575DC"/>
    <w:rsid w:val="0006059D"/>
    <w:rsid w:val="00063CF9"/>
    <w:rsid w:val="000646FF"/>
    <w:rsid w:val="00067D2C"/>
    <w:rsid w:val="000724A9"/>
    <w:rsid w:val="00075A69"/>
    <w:rsid w:val="000800B9"/>
    <w:rsid w:val="00083188"/>
    <w:rsid w:val="00083DA3"/>
    <w:rsid w:val="00084497"/>
    <w:rsid w:val="0008545C"/>
    <w:rsid w:val="000862CF"/>
    <w:rsid w:val="0008702E"/>
    <w:rsid w:val="00091700"/>
    <w:rsid w:val="00091F19"/>
    <w:rsid w:val="000920D9"/>
    <w:rsid w:val="00092502"/>
    <w:rsid w:val="000937AA"/>
    <w:rsid w:val="00094258"/>
    <w:rsid w:val="000958E9"/>
    <w:rsid w:val="00095E04"/>
    <w:rsid w:val="0009645F"/>
    <w:rsid w:val="0009674B"/>
    <w:rsid w:val="00097586"/>
    <w:rsid w:val="00097890"/>
    <w:rsid w:val="000A29D1"/>
    <w:rsid w:val="000A3E9A"/>
    <w:rsid w:val="000A430B"/>
    <w:rsid w:val="000B018F"/>
    <w:rsid w:val="000B0AD4"/>
    <w:rsid w:val="000B1CC8"/>
    <w:rsid w:val="000B270E"/>
    <w:rsid w:val="000B3F46"/>
    <w:rsid w:val="000B4276"/>
    <w:rsid w:val="000B4B8B"/>
    <w:rsid w:val="000B4E0A"/>
    <w:rsid w:val="000B4E1A"/>
    <w:rsid w:val="000B60BE"/>
    <w:rsid w:val="000B712A"/>
    <w:rsid w:val="000B7254"/>
    <w:rsid w:val="000C007F"/>
    <w:rsid w:val="000C22F0"/>
    <w:rsid w:val="000C4AF3"/>
    <w:rsid w:val="000C4B35"/>
    <w:rsid w:val="000C4FC8"/>
    <w:rsid w:val="000C5A8B"/>
    <w:rsid w:val="000C692C"/>
    <w:rsid w:val="000C6EDC"/>
    <w:rsid w:val="000D034B"/>
    <w:rsid w:val="000D1586"/>
    <w:rsid w:val="000D2C0A"/>
    <w:rsid w:val="000D5C58"/>
    <w:rsid w:val="000D69BA"/>
    <w:rsid w:val="000D778F"/>
    <w:rsid w:val="000E01B9"/>
    <w:rsid w:val="000E1F34"/>
    <w:rsid w:val="000E2050"/>
    <w:rsid w:val="000E33D2"/>
    <w:rsid w:val="000E5161"/>
    <w:rsid w:val="000E56A9"/>
    <w:rsid w:val="000E6E77"/>
    <w:rsid w:val="000F1B62"/>
    <w:rsid w:val="000F299C"/>
    <w:rsid w:val="000F4833"/>
    <w:rsid w:val="000F4B18"/>
    <w:rsid w:val="000F6652"/>
    <w:rsid w:val="000F6E6E"/>
    <w:rsid w:val="000F6E8A"/>
    <w:rsid w:val="000F740E"/>
    <w:rsid w:val="0010130F"/>
    <w:rsid w:val="00101AB4"/>
    <w:rsid w:val="00102D39"/>
    <w:rsid w:val="001043C2"/>
    <w:rsid w:val="001063B7"/>
    <w:rsid w:val="00106AA0"/>
    <w:rsid w:val="00106CB1"/>
    <w:rsid w:val="00107A6C"/>
    <w:rsid w:val="00107E24"/>
    <w:rsid w:val="00111F72"/>
    <w:rsid w:val="00112799"/>
    <w:rsid w:val="00112835"/>
    <w:rsid w:val="00113035"/>
    <w:rsid w:val="00114BD7"/>
    <w:rsid w:val="001152E8"/>
    <w:rsid w:val="001154E4"/>
    <w:rsid w:val="001155B7"/>
    <w:rsid w:val="00116F29"/>
    <w:rsid w:val="00117DC7"/>
    <w:rsid w:val="00120A5E"/>
    <w:rsid w:val="001213CE"/>
    <w:rsid w:val="00121BB9"/>
    <w:rsid w:val="001220D9"/>
    <w:rsid w:val="00122728"/>
    <w:rsid w:val="00125611"/>
    <w:rsid w:val="00126BD9"/>
    <w:rsid w:val="00130C48"/>
    <w:rsid w:val="001348AE"/>
    <w:rsid w:val="001353A2"/>
    <w:rsid w:val="0013613E"/>
    <w:rsid w:val="00136A75"/>
    <w:rsid w:val="00137B31"/>
    <w:rsid w:val="001413C2"/>
    <w:rsid w:val="00142A93"/>
    <w:rsid w:val="001430E3"/>
    <w:rsid w:val="0014312E"/>
    <w:rsid w:val="00144AC4"/>
    <w:rsid w:val="00151583"/>
    <w:rsid w:val="0015388C"/>
    <w:rsid w:val="00155BD3"/>
    <w:rsid w:val="00155DF9"/>
    <w:rsid w:val="00156058"/>
    <w:rsid w:val="00157BD5"/>
    <w:rsid w:val="00162198"/>
    <w:rsid w:val="001634A2"/>
    <w:rsid w:val="0016434C"/>
    <w:rsid w:val="0016750D"/>
    <w:rsid w:val="001734EB"/>
    <w:rsid w:val="0017387B"/>
    <w:rsid w:val="001739E8"/>
    <w:rsid w:val="00174417"/>
    <w:rsid w:val="0017734A"/>
    <w:rsid w:val="00177874"/>
    <w:rsid w:val="00177A29"/>
    <w:rsid w:val="00183353"/>
    <w:rsid w:val="00183FC9"/>
    <w:rsid w:val="00184F88"/>
    <w:rsid w:val="00185FCD"/>
    <w:rsid w:val="001901A2"/>
    <w:rsid w:val="00192429"/>
    <w:rsid w:val="00193AFA"/>
    <w:rsid w:val="00195F88"/>
    <w:rsid w:val="00196336"/>
    <w:rsid w:val="001A008F"/>
    <w:rsid w:val="001A0D49"/>
    <w:rsid w:val="001A1730"/>
    <w:rsid w:val="001A22E3"/>
    <w:rsid w:val="001A6702"/>
    <w:rsid w:val="001B0790"/>
    <w:rsid w:val="001B153B"/>
    <w:rsid w:val="001B20FE"/>
    <w:rsid w:val="001B298F"/>
    <w:rsid w:val="001B5262"/>
    <w:rsid w:val="001B655D"/>
    <w:rsid w:val="001B762E"/>
    <w:rsid w:val="001B7E86"/>
    <w:rsid w:val="001C12ED"/>
    <w:rsid w:val="001C1DAB"/>
    <w:rsid w:val="001C211B"/>
    <w:rsid w:val="001C53BB"/>
    <w:rsid w:val="001C7898"/>
    <w:rsid w:val="001D088F"/>
    <w:rsid w:val="001D0C11"/>
    <w:rsid w:val="001D11E6"/>
    <w:rsid w:val="001D12E7"/>
    <w:rsid w:val="001D1F1A"/>
    <w:rsid w:val="001D29BA"/>
    <w:rsid w:val="001D410A"/>
    <w:rsid w:val="001D4A6A"/>
    <w:rsid w:val="001D4CCC"/>
    <w:rsid w:val="001E037F"/>
    <w:rsid w:val="001E0770"/>
    <w:rsid w:val="001E0919"/>
    <w:rsid w:val="001E127F"/>
    <w:rsid w:val="001E148A"/>
    <w:rsid w:val="001E21D7"/>
    <w:rsid w:val="001E33B7"/>
    <w:rsid w:val="001E6D18"/>
    <w:rsid w:val="001E7719"/>
    <w:rsid w:val="001F1C2D"/>
    <w:rsid w:val="001F22AD"/>
    <w:rsid w:val="001F2564"/>
    <w:rsid w:val="001F5501"/>
    <w:rsid w:val="001F717E"/>
    <w:rsid w:val="001F76E2"/>
    <w:rsid w:val="00201BFE"/>
    <w:rsid w:val="0020657F"/>
    <w:rsid w:val="00206992"/>
    <w:rsid w:val="00206A2E"/>
    <w:rsid w:val="00207293"/>
    <w:rsid w:val="002079D8"/>
    <w:rsid w:val="00210D61"/>
    <w:rsid w:val="002129A3"/>
    <w:rsid w:val="00214CF2"/>
    <w:rsid w:val="00215BDA"/>
    <w:rsid w:val="00217C49"/>
    <w:rsid w:val="002203D7"/>
    <w:rsid w:val="0022286C"/>
    <w:rsid w:val="00222F49"/>
    <w:rsid w:val="00223787"/>
    <w:rsid w:val="00225B5A"/>
    <w:rsid w:val="0023229F"/>
    <w:rsid w:val="0023354F"/>
    <w:rsid w:val="00234799"/>
    <w:rsid w:val="00235325"/>
    <w:rsid w:val="002360B2"/>
    <w:rsid w:val="00236738"/>
    <w:rsid w:val="00236820"/>
    <w:rsid w:val="002412AF"/>
    <w:rsid w:val="0024243C"/>
    <w:rsid w:val="00243EED"/>
    <w:rsid w:val="0024429D"/>
    <w:rsid w:val="00247D4A"/>
    <w:rsid w:val="002509A8"/>
    <w:rsid w:val="0025296D"/>
    <w:rsid w:val="0025311A"/>
    <w:rsid w:val="002539F6"/>
    <w:rsid w:val="002552BA"/>
    <w:rsid w:val="00261003"/>
    <w:rsid w:val="002632D6"/>
    <w:rsid w:val="00263593"/>
    <w:rsid w:val="002649EF"/>
    <w:rsid w:val="00265688"/>
    <w:rsid w:val="00270199"/>
    <w:rsid w:val="0027076E"/>
    <w:rsid w:val="00270CA1"/>
    <w:rsid w:val="00271A6E"/>
    <w:rsid w:val="00272B16"/>
    <w:rsid w:val="0027399B"/>
    <w:rsid w:val="002760CC"/>
    <w:rsid w:val="002761B3"/>
    <w:rsid w:val="0027799C"/>
    <w:rsid w:val="0028032D"/>
    <w:rsid w:val="0028126A"/>
    <w:rsid w:val="002831E4"/>
    <w:rsid w:val="0028333C"/>
    <w:rsid w:val="00283356"/>
    <w:rsid w:val="0028355F"/>
    <w:rsid w:val="0028538A"/>
    <w:rsid w:val="00285899"/>
    <w:rsid w:val="00287044"/>
    <w:rsid w:val="0029301D"/>
    <w:rsid w:val="002A08A4"/>
    <w:rsid w:val="002A4ABC"/>
    <w:rsid w:val="002A7BCA"/>
    <w:rsid w:val="002A7D0A"/>
    <w:rsid w:val="002B0F78"/>
    <w:rsid w:val="002B18B9"/>
    <w:rsid w:val="002B1DFE"/>
    <w:rsid w:val="002B408B"/>
    <w:rsid w:val="002B43FA"/>
    <w:rsid w:val="002B4BC8"/>
    <w:rsid w:val="002B4BD1"/>
    <w:rsid w:val="002B5793"/>
    <w:rsid w:val="002B5FB0"/>
    <w:rsid w:val="002B73D8"/>
    <w:rsid w:val="002C2380"/>
    <w:rsid w:val="002C4FBA"/>
    <w:rsid w:val="002C77BD"/>
    <w:rsid w:val="002C78A4"/>
    <w:rsid w:val="002D4460"/>
    <w:rsid w:val="002D4E9F"/>
    <w:rsid w:val="002D50EB"/>
    <w:rsid w:val="002D74CD"/>
    <w:rsid w:val="002E035D"/>
    <w:rsid w:val="002E1275"/>
    <w:rsid w:val="002E2439"/>
    <w:rsid w:val="002F0AD3"/>
    <w:rsid w:val="002F0E3F"/>
    <w:rsid w:val="002F1045"/>
    <w:rsid w:val="002F2B06"/>
    <w:rsid w:val="002F437F"/>
    <w:rsid w:val="002F45DC"/>
    <w:rsid w:val="002F4762"/>
    <w:rsid w:val="002F47E0"/>
    <w:rsid w:val="002F6744"/>
    <w:rsid w:val="002F6A7A"/>
    <w:rsid w:val="00300634"/>
    <w:rsid w:val="00300B13"/>
    <w:rsid w:val="00310F81"/>
    <w:rsid w:val="00313DBA"/>
    <w:rsid w:val="003166E6"/>
    <w:rsid w:val="00320E49"/>
    <w:rsid w:val="00324A44"/>
    <w:rsid w:val="00325A3B"/>
    <w:rsid w:val="003304F4"/>
    <w:rsid w:val="003328AB"/>
    <w:rsid w:val="00332F7E"/>
    <w:rsid w:val="00333166"/>
    <w:rsid w:val="003338E8"/>
    <w:rsid w:val="00335AAC"/>
    <w:rsid w:val="0033789E"/>
    <w:rsid w:val="00337DCF"/>
    <w:rsid w:val="0034159C"/>
    <w:rsid w:val="00344022"/>
    <w:rsid w:val="00344612"/>
    <w:rsid w:val="00344765"/>
    <w:rsid w:val="003475BB"/>
    <w:rsid w:val="0035174A"/>
    <w:rsid w:val="00351A5F"/>
    <w:rsid w:val="00352C8B"/>
    <w:rsid w:val="0035329C"/>
    <w:rsid w:val="00353BFD"/>
    <w:rsid w:val="00354E92"/>
    <w:rsid w:val="00354F87"/>
    <w:rsid w:val="003578E8"/>
    <w:rsid w:val="003618EE"/>
    <w:rsid w:val="00361DA4"/>
    <w:rsid w:val="00363F6E"/>
    <w:rsid w:val="00364BD4"/>
    <w:rsid w:val="00365A97"/>
    <w:rsid w:val="003660B9"/>
    <w:rsid w:val="003666B7"/>
    <w:rsid w:val="00367303"/>
    <w:rsid w:val="00370285"/>
    <w:rsid w:val="00370CD9"/>
    <w:rsid w:val="003751EC"/>
    <w:rsid w:val="003804C6"/>
    <w:rsid w:val="00380874"/>
    <w:rsid w:val="00384493"/>
    <w:rsid w:val="003852FF"/>
    <w:rsid w:val="003860B9"/>
    <w:rsid w:val="003917BA"/>
    <w:rsid w:val="00391B87"/>
    <w:rsid w:val="00393537"/>
    <w:rsid w:val="003937D5"/>
    <w:rsid w:val="0039598B"/>
    <w:rsid w:val="003974E2"/>
    <w:rsid w:val="003A095A"/>
    <w:rsid w:val="003A4FFB"/>
    <w:rsid w:val="003A58F2"/>
    <w:rsid w:val="003A67C1"/>
    <w:rsid w:val="003A6BDF"/>
    <w:rsid w:val="003B0460"/>
    <w:rsid w:val="003B0F89"/>
    <w:rsid w:val="003B19C9"/>
    <w:rsid w:val="003B3937"/>
    <w:rsid w:val="003B4E00"/>
    <w:rsid w:val="003B6A52"/>
    <w:rsid w:val="003B76FB"/>
    <w:rsid w:val="003C0801"/>
    <w:rsid w:val="003C26C2"/>
    <w:rsid w:val="003C2AF9"/>
    <w:rsid w:val="003C44A9"/>
    <w:rsid w:val="003C45EA"/>
    <w:rsid w:val="003D0412"/>
    <w:rsid w:val="003D0721"/>
    <w:rsid w:val="003D1458"/>
    <w:rsid w:val="003D4BC0"/>
    <w:rsid w:val="003D67F5"/>
    <w:rsid w:val="003D69C0"/>
    <w:rsid w:val="003D767F"/>
    <w:rsid w:val="003D77AE"/>
    <w:rsid w:val="003E0516"/>
    <w:rsid w:val="003E0BB6"/>
    <w:rsid w:val="003E14DE"/>
    <w:rsid w:val="003E1924"/>
    <w:rsid w:val="003E4BF2"/>
    <w:rsid w:val="003E5394"/>
    <w:rsid w:val="003E6745"/>
    <w:rsid w:val="003E76EE"/>
    <w:rsid w:val="003E7BD7"/>
    <w:rsid w:val="003F1AF7"/>
    <w:rsid w:val="00400DCD"/>
    <w:rsid w:val="00401EDB"/>
    <w:rsid w:val="00403B8C"/>
    <w:rsid w:val="00407C9C"/>
    <w:rsid w:val="00410C0A"/>
    <w:rsid w:val="00411C33"/>
    <w:rsid w:val="00412D6D"/>
    <w:rsid w:val="00415EDF"/>
    <w:rsid w:val="00417BE1"/>
    <w:rsid w:val="0042168E"/>
    <w:rsid w:val="00423015"/>
    <w:rsid w:val="00424CFA"/>
    <w:rsid w:val="00425548"/>
    <w:rsid w:val="00425872"/>
    <w:rsid w:val="004262A7"/>
    <w:rsid w:val="00427FD1"/>
    <w:rsid w:val="004309EA"/>
    <w:rsid w:val="00430D3B"/>
    <w:rsid w:val="004328C8"/>
    <w:rsid w:val="0043392B"/>
    <w:rsid w:val="00433C7A"/>
    <w:rsid w:val="004346D9"/>
    <w:rsid w:val="00434E95"/>
    <w:rsid w:val="004361D9"/>
    <w:rsid w:val="0044028C"/>
    <w:rsid w:val="00442CE6"/>
    <w:rsid w:val="00442FCA"/>
    <w:rsid w:val="00445526"/>
    <w:rsid w:val="00445E47"/>
    <w:rsid w:val="00447152"/>
    <w:rsid w:val="004471BA"/>
    <w:rsid w:val="004500AE"/>
    <w:rsid w:val="00450BE0"/>
    <w:rsid w:val="00450DB3"/>
    <w:rsid w:val="00452CF5"/>
    <w:rsid w:val="00455266"/>
    <w:rsid w:val="0045669F"/>
    <w:rsid w:val="00460FD9"/>
    <w:rsid w:val="00463807"/>
    <w:rsid w:val="00464647"/>
    <w:rsid w:val="00464A56"/>
    <w:rsid w:val="004673F7"/>
    <w:rsid w:val="00470726"/>
    <w:rsid w:val="00470F43"/>
    <w:rsid w:val="004714B7"/>
    <w:rsid w:val="00471AA5"/>
    <w:rsid w:val="00471CE1"/>
    <w:rsid w:val="004724CD"/>
    <w:rsid w:val="0047321B"/>
    <w:rsid w:val="0047393C"/>
    <w:rsid w:val="0047398E"/>
    <w:rsid w:val="004779D9"/>
    <w:rsid w:val="00481968"/>
    <w:rsid w:val="0048380E"/>
    <w:rsid w:val="00484065"/>
    <w:rsid w:val="004863B5"/>
    <w:rsid w:val="004863EE"/>
    <w:rsid w:val="004864B4"/>
    <w:rsid w:val="00486946"/>
    <w:rsid w:val="00487443"/>
    <w:rsid w:val="00493586"/>
    <w:rsid w:val="00494C07"/>
    <w:rsid w:val="004979F0"/>
    <w:rsid w:val="00497F2C"/>
    <w:rsid w:val="004A0AD6"/>
    <w:rsid w:val="004A1DC5"/>
    <w:rsid w:val="004A4E65"/>
    <w:rsid w:val="004A7010"/>
    <w:rsid w:val="004B01CD"/>
    <w:rsid w:val="004B1810"/>
    <w:rsid w:val="004B1F38"/>
    <w:rsid w:val="004B59C2"/>
    <w:rsid w:val="004C0653"/>
    <w:rsid w:val="004C4555"/>
    <w:rsid w:val="004C4778"/>
    <w:rsid w:val="004C6332"/>
    <w:rsid w:val="004C6B4E"/>
    <w:rsid w:val="004D0B15"/>
    <w:rsid w:val="004D1B0B"/>
    <w:rsid w:val="004D2895"/>
    <w:rsid w:val="004D4485"/>
    <w:rsid w:val="004D4DD3"/>
    <w:rsid w:val="004D51E1"/>
    <w:rsid w:val="004D53D9"/>
    <w:rsid w:val="004D661B"/>
    <w:rsid w:val="004D6B79"/>
    <w:rsid w:val="004D7704"/>
    <w:rsid w:val="004D777E"/>
    <w:rsid w:val="004E0095"/>
    <w:rsid w:val="004E059A"/>
    <w:rsid w:val="004E0814"/>
    <w:rsid w:val="004E3E28"/>
    <w:rsid w:val="004E5BCE"/>
    <w:rsid w:val="004F2C15"/>
    <w:rsid w:val="004F38F0"/>
    <w:rsid w:val="004F541C"/>
    <w:rsid w:val="004F5D89"/>
    <w:rsid w:val="004F626F"/>
    <w:rsid w:val="004F6858"/>
    <w:rsid w:val="00502903"/>
    <w:rsid w:val="00503D68"/>
    <w:rsid w:val="00504BEF"/>
    <w:rsid w:val="00510D63"/>
    <w:rsid w:val="005172B3"/>
    <w:rsid w:val="0052329D"/>
    <w:rsid w:val="00525113"/>
    <w:rsid w:val="005316CF"/>
    <w:rsid w:val="00532293"/>
    <w:rsid w:val="00534A23"/>
    <w:rsid w:val="00534C3B"/>
    <w:rsid w:val="00535C33"/>
    <w:rsid w:val="00541060"/>
    <w:rsid w:val="005414C6"/>
    <w:rsid w:val="00542AE5"/>
    <w:rsid w:val="00542B3F"/>
    <w:rsid w:val="00542CCC"/>
    <w:rsid w:val="00545006"/>
    <w:rsid w:val="005460DE"/>
    <w:rsid w:val="0054759E"/>
    <w:rsid w:val="0055142D"/>
    <w:rsid w:val="00554603"/>
    <w:rsid w:val="00554B6D"/>
    <w:rsid w:val="0055612B"/>
    <w:rsid w:val="005561CA"/>
    <w:rsid w:val="0055723F"/>
    <w:rsid w:val="00560ABA"/>
    <w:rsid w:val="00563F70"/>
    <w:rsid w:val="00566168"/>
    <w:rsid w:val="00566EF0"/>
    <w:rsid w:val="00566F24"/>
    <w:rsid w:val="0056724A"/>
    <w:rsid w:val="00570B24"/>
    <w:rsid w:val="00571FB5"/>
    <w:rsid w:val="005737CF"/>
    <w:rsid w:val="00574253"/>
    <w:rsid w:val="00574BE8"/>
    <w:rsid w:val="00576782"/>
    <w:rsid w:val="00577719"/>
    <w:rsid w:val="00580177"/>
    <w:rsid w:val="00581374"/>
    <w:rsid w:val="005823EB"/>
    <w:rsid w:val="005834F8"/>
    <w:rsid w:val="00583D36"/>
    <w:rsid w:val="00584F75"/>
    <w:rsid w:val="0058540F"/>
    <w:rsid w:val="0058778F"/>
    <w:rsid w:val="00591411"/>
    <w:rsid w:val="005927EE"/>
    <w:rsid w:val="00594226"/>
    <w:rsid w:val="00595512"/>
    <w:rsid w:val="005957A6"/>
    <w:rsid w:val="00597B32"/>
    <w:rsid w:val="00597D10"/>
    <w:rsid w:val="005A0DE1"/>
    <w:rsid w:val="005A2B3C"/>
    <w:rsid w:val="005A35DB"/>
    <w:rsid w:val="005B0521"/>
    <w:rsid w:val="005B083D"/>
    <w:rsid w:val="005B110E"/>
    <w:rsid w:val="005B129C"/>
    <w:rsid w:val="005B13CB"/>
    <w:rsid w:val="005B14CF"/>
    <w:rsid w:val="005B24A8"/>
    <w:rsid w:val="005B4489"/>
    <w:rsid w:val="005B5F11"/>
    <w:rsid w:val="005B6567"/>
    <w:rsid w:val="005B78FE"/>
    <w:rsid w:val="005B7F65"/>
    <w:rsid w:val="005C10AA"/>
    <w:rsid w:val="005C1262"/>
    <w:rsid w:val="005C1ADE"/>
    <w:rsid w:val="005C2B1C"/>
    <w:rsid w:val="005C331F"/>
    <w:rsid w:val="005C3D90"/>
    <w:rsid w:val="005C3E2F"/>
    <w:rsid w:val="005C6845"/>
    <w:rsid w:val="005C6C39"/>
    <w:rsid w:val="005C6DB4"/>
    <w:rsid w:val="005C6E87"/>
    <w:rsid w:val="005D1017"/>
    <w:rsid w:val="005D126B"/>
    <w:rsid w:val="005D38F8"/>
    <w:rsid w:val="005D4FED"/>
    <w:rsid w:val="005D5AB2"/>
    <w:rsid w:val="005D6132"/>
    <w:rsid w:val="005D686C"/>
    <w:rsid w:val="005E24C6"/>
    <w:rsid w:val="005E5606"/>
    <w:rsid w:val="005E69AA"/>
    <w:rsid w:val="005F2BD0"/>
    <w:rsid w:val="005F39ED"/>
    <w:rsid w:val="005F51C5"/>
    <w:rsid w:val="005F5A1D"/>
    <w:rsid w:val="005F7E7D"/>
    <w:rsid w:val="0060086F"/>
    <w:rsid w:val="00604AAF"/>
    <w:rsid w:val="006076D0"/>
    <w:rsid w:val="006079AE"/>
    <w:rsid w:val="00612795"/>
    <w:rsid w:val="00613C5A"/>
    <w:rsid w:val="0061463B"/>
    <w:rsid w:val="006146DA"/>
    <w:rsid w:val="006161AC"/>
    <w:rsid w:val="006161EB"/>
    <w:rsid w:val="00622182"/>
    <w:rsid w:val="00623C45"/>
    <w:rsid w:val="0062680C"/>
    <w:rsid w:val="00637D82"/>
    <w:rsid w:val="00640708"/>
    <w:rsid w:val="00644471"/>
    <w:rsid w:val="00645717"/>
    <w:rsid w:val="006471F1"/>
    <w:rsid w:val="0065107F"/>
    <w:rsid w:val="00651D97"/>
    <w:rsid w:val="00651FF9"/>
    <w:rsid w:val="00652BE3"/>
    <w:rsid w:val="00655A85"/>
    <w:rsid w:val="00657411"/>
    <w:rsid w:val="00657CC1"/>
    <w:rsid w:val="00660E4E"/>
    <w:rsid w:val="00664391"/>
    <w:rsid w:val="006706E6"/>
    <w:rsid w:val="00670F48"/>
    <w:rsid w:val="00671B7A"/>
    <w:rsid w:val="006724BF"/>
    <w:rsid w:val="00677856"/>
    <w:rsid w:val="00677A4F"/>
    <w:rsid w:val="00677AFA"/>
    <w:rsid w:val="00680F0A"/>
    <w:rsid w:val="00681D4C"/>
    <w:rsid w:val="0068502B"/>
    <w:rsid w:val="00686A3C"/>
    <w:rsid w:val="00690F8E"/>
    <w:rsid w:val="006929CC"/>
    <w:rsid w:val="0069314A"/>
    <w:rsid w:val="00693EA6"/>
    <w:rsid w:val="00697524"/>
    <w:rsid w:val="006A04B2"/>
    <w:rsid w:val="006A076E"/>
    <w:rsid w:val="006A1F46"/>
    <w:rsid w:val="006A5A08"/>
    <w:rsid w:val="006A6E7F"/>
    <w:rsid w:val="006A749E"/>
    <w:rsid w:val="006B0532"/>
    <w:rsid w:val="006B0D71"/>
    <w:rsid w:val="006B0DF9"/>
    <w:rsid w:val="006B3AEF"/>
    <w:rsid w:val="006B6DC3"/>
    <w:rsid w:val="006C0251"/>
    <w:rsid w:val="006C13D9"/>
    <w:rsid w:val="006C2274"/>
    <w:rsid w:val="006C4122"/>
    <w:rsid w:val="006C54C2"/>
    <w:rsid w:val="006C655F"/>
    <w:rsid w:val="006C6D24"/>
    <w:rsid w:val="006C71DC"/>
    <w:rsid w:val="006D3698"/>
    <w:rsid w:val="006D3AC3"/>
    <w:rsid w:val="006D4A57"/>
    <w:rsid w:val="006D4B44"/>
    <w:rsid w:val="006D5507"/>
    <w:rsid w:val="006D71DD"/>
    <w:rsid w:val="006D7D91"/>
    <w:rsid w:val="006E53B9"/>
    <w:rsid w:val="006E68D5"/>
    <w:rsid w:val="006E6BC1"/>
    <w:rsid w:val="006F0590"/>
    <w:rsid w:val="006F07B0"/>
    <w:rsid w:val="006F2FDF"/>
    <w:rsid w:val="006F32C4"/>
    <w:rsid w:val="006F4B52"/>
    <w:rsid w:val="006F5CF2"/>
    <w:rsid w:val="006F6C4F"/>
    <w:rsid w:val="006F6DB4"/>
    <w:rsid w:val="00700F68"/>
    <w:rsid w:val="00701775"/>
    <w:rsid w:val="00702718"/>
    <w:rsid w:val="00702F7A"/>
    <w:rsid w:val="00703497"/>
    <w:rsid w:val="00703828"/>
    <w:rsid w:val="00704AFD"/>
    <w:rsid w:val="007055D1"/>
    <w:rsid w:val="00705B8D"/>
    <w:rsid w:val="00712876"/>
    <w:rsid w:val="0071321C"/>
    <w:rsid w:val="00713C6D"/>
    <w:rsid w:val="007169B9"/>
    <w:rsid w:val="00720B9F"/>
    <w:rsid w:val="00721966"/>
    <w:rsid w:val="00723CD5"/>
    <w:rsid w:val="0072428B"/>
    <w:rsid w:val="0072485F"/>
    <w:rsid w:val="00726CD4"/>
    <w:rsid w:val="007307F2"/>
    <w:rsid w:val="00731696"/>
    <w:rsid w:val="007316DA"/>
    <w:rsid w:val="00733FB0"/>
    <w:rsid w:val="007340C0"/>
    <w:rsid w:val="00734C15"/>
    <w:rsid w:val="00735D64"/>
    <w:rsid w:val="007369E4"/>
    <w:rsid w:val="00737051"/>
    <w:rsid w:val="00737333"/>
    <w:rsid w:val="0074433A"/>
    <w:rsid w:val="007443F0"/>
    <w:rsid w:val="00747407"/>
    <w:rsid w:val="00750CDC"/>
    <w:rsid w:val="0075715E"/>
    <w:rsid w:val="0076125F"/>
    <w:rsid w:val="00763A81"/>
    <w:rsid w:val="00764B84"/>
    <w:rsid w:val="007677A3"/>
    <w:rsid w:val="007709D7"/>
    <w:rsid w:val="00771489"/>
    <w:rsid w:val="00773FD4"/>
    <w:rsid w:val="00775D79"/>
    <w:rsid w:val="00784A4E"/>
    <w:rsid w:val="007862FA"/>
    <w:rsid w:val="00787B98"/>
    <w:rsid w:val="00791C2E"/>
    <w:rsid w:val="00792E5F"/>
    <w:rsid w:val="0079450C"/>
    <w:rsid w:val="007A077A"/>
    <w:rsid w:val="007A0B48"/>
    <w:rsid w:val="007A0E1B"/>
    <w:rsid w:val="007A1953"/>
    <w:rsid w:val="007A5FE1"/>
    <w:rsid w:val="007B0679"/>
    <w:rsid w:val="007B0DA5"/>
    <w:rsid w:val="007B202D"/>
    <w:rsid w:val="007B2765"/>
    <w:rsid w:val="007B366F"/>
    <w:rsid w:val="007B4861"/>
    <w:rsid w:val="007C02EC"/>
    <w:rsid w:val="007C04B1"/>
    <w:rsid w:val="007C132E"/>
    <w:rsid w:val="007C382B"/>
    <w:rsid w:val="007C3934"/>
    <w:rsid w:val="007C58DD"/>
    <w:rsid w:val="007C7991"/>
    <w:rsid w:val="007D0EFC"/>
    <w:rsid w:val="007D2DF7"/>
    <w:rsid w:val="007D7411"/>
    <w:rsid w:val="007E0B4C"/>
    <w:rsid w:val="007E168C"/>
    <w:rsid w:val="007E40F4"/>
    <w:rsid w:val="007E5288"/>
    <w:rsid w:val="007E5386"/>
    <w:rsid w:val="007E6712"/>
    <w:rsid w:val="007E73B8"/>
    <w:rsid w:val="007F0DAE"/>
    <w:rsid w:val="007F1D3F"/>
    <w:rsid w:val="007F285F"/>
    <w:rsid w:val="007F314E"/>
    <w:rsid w:val="007F3B30"/>
    <w:rsid w:val="007F4415"/>
    <w:rsid w:val="007F56D8"/>
    <w:rsid w:val="00800926"/>
    <w:rsid w:val="008021B0"/>
    <w:rsid w:val="00804A70"/>
    <w:rsid w:val="00804F69"/>
    <w:rsid w:val="00805EFF"/>
    <w:rsid w:val="00807031"/>
    <w:rsid w:val="0080733B"/>
    <w:rsid w:val="008132E7"/>
    <w:rsid w:val="008139AA"/>
    <w:rsid w:val="00813BAB"/>
    <w:rsid w:val="00814AD3"/>
    <w:rsid w:val="00815BF2"/>
    <w:rsid w:val="00821E88"/>
    <w:rsid w:val="00822121"/>
    <w:rsid w:val="008225C9"/>
    <w:rsid w:val="0082537A"/>
    <w:rsid w:val="00825D22"/>
    <w:rsid w:val="00827FA8"/>
    <w:rsid w:val="00830505"/>
    <w:rsid w:val="0083081F"/>
    <w:rsid w:val="008318DF"/>
    <w:rsid w:val="00831B3B"/>
    <w:rsid w:val="008331B0"/>
    <w:rsid w:val="0083401B"/>
    <w:rsid w:val="00834F1E"/>
    <w:rsid w:val="00835135"/>
    <w:rsid w:val="0083797C"/>
    <w:rsid w:val="00840AB9"/>
    <w:rsid w:val="008413E9"/>
    <w:rsid w:val="00843A44"/>
    <w:rsid w:val="00844F58"/>
    <w:rsid w:val="00847501"/>
    <w:rsid w:val="00851FFF"/>
    <w:rsid w:val="00853EC2"/>
    <w:rsid w:val="00854E89"/>
    <w:rsid w:val="00856282"/>
    <w:rsid w:val="00860F26"/>
    <w:rsid w:val="008614CD"/>
    <w:rsid w:val="00862037"/>
    <w:rsid w:val="0086454B"/>
    <w:rsid w:val="00866266"/>
    <w:rsid w:val="008669F4"/>
    <w:rsid w:val="00866F05"/>
    <w:rsid w:val="00871A3F"/>
    <w:rsid w:val="00871E15"/>
    <w:rsid w:val="00872C55"/>
    <w:rsid w:val="00877B4A"/>
    <w:rsid w:val="00880D26"/>
    <w:rsid w:val="00882B48"/>
    <w:rsid w:val="00882E30"/>
    <w:rsid w:val="00884024"/>
    <w:rsid w:val="00884497"/>
    <w:rsid w:val="0088702B"/>
    <w:rsid w:val="0089078D"/>
    <w:rsid w:val="00891A01"/>
    <w:rsid w:val="00892310"/>
    <w:rsid w:val="00892659"/>
    <w:rsid w:val="00894D32"/>
    <w:rsid w:val="0089635D"/>
    <w:rsid w:val="00896732"/>
    <w:rsid w:val="00896A23"/>
    <w:rsid w:val="00897161"/>
    <w:rsid w:val="008A14BF"/>
    <w:rsid w:val="008A2494"/>
    <w:rsid w:val="008A3868"/>
    <w:rsid w:val="008A3FFC"/>
    <w:rsid w:val="008A45D5"/>
    <w:rsid w:val="008B07A1"/>
    <w:rsid w:val="008B1699"/>
    <w:rsid w:val="008B32EA"/>
    <w:rsid w:val="008B4700"/>
    <w:rsid w:val="008B53C9"/>
    <w:rsid w:val="008C1997"/>
    <w:rsid w:val="008C1B06"/>
    <w:rsid w:val="008C258A"/>
    <w:rsid w:val="008C484E"/>
    <w:rsid w:val="008C4AE3"/>
    <w:rsid w:val="008C7271"/>
    <w:rsid w:val="008C7857"/>
    <w:rsid w:val="008D0531"/>
    <w:rsid w:val="008D0A38"/>
    <w:rsid w:val="008D16F3"/>
    <w:rsid w:val="008D1846"/>
    <w:rsid w:val="008D235C"/>
    <w:rsid w:val="008D2FC0"/>
    <w:rsid w:val="008D34F2"/>
    <w:rsid w:val="008D642E"/>
    <w:rsid w:val="008D7800"/>
    <w:rsid w:val="008E33FF"/>
    <w:rsid w:val="008E4E13"/>
    <w:rsid w:val="008E4FCE"/>
    <w:rsid w:val="008E606F"/>
    <w:rsid w:val="008E62E7"/>
    <w:rsid w:val="008E7FB9"/>
    <w:rsid w:val="008F00D8"/>
    <w:rsid w:val="008F2BEB"/>
    <w:rsid w:val="008F35BB"/>
    <w:rsid w:val="008F3E58"/>
    <w:rsid w:val="008F403B"/>
    <w:rsid w:val="008F4474"/>
    <w:rsid w:val="008F4E55"/>
    <w:rsid w:val="008F505A"/>
    <w:rsid w:val="008F5B41"/>
    <w:rsid w:val="008F7FA8"/>
    <w:rsid w:val="00900D55"/>
    <w:rsid w:val="0090112B"/>
    <w:rsid w:val="00901131"/>
    <w:rsid w:val="00901AAD"/>
    <w:rsid w:val="00901B9C"/>
    <w:rsid w:val="009029E6"/>
    <w:rsid w:val="009034BC"/>
    <w:rsid w:val="00903FEE"/>
    <w:rsid w:val="00904E30"/>
    <w:rsid w:val="00905D58"/>
    <w:rsid w:val="00907D37"/>
    <w:rsid w:val="00910F30"/>
    <w:rsid w:val="00912BA5"/>
    <w:rsid w:val="0091415F"/>
    <w:rsid w:val="009153B8"/>
    <w:rsid w:val="0091792E"/>
    <w:rsid w:val="009179DF"/>
    <w:rsid w:val="0092237D"/>
    <w:rsid w:val="009223D6"/>
    <w:rsid w:val="0092675C"/>
    <w:rsid w:val="0092746D"/>
    <w:rsid w:val="00927B06"/>
    <w:rsid w:val="00927E39"/>
    <w:rsid w:val="00930423"/>
    <w:rsid w:val="0093082D"/>
    <w:rsid w:val="009332F1"/>
    <w:rsid w:val="00933A2A"/>
    <w:rsid w:val="00935133"/>
    <w:rsid w:val="00935767"/>
    <w:rsid w:val="00940376"/>
    <w:rsid w:val="00947B3C"/>
    <w:rsid w:val="0095354F"/>
    <w:rsid w:val="00955E81"/>
    <w:rsid w:val="00957210"/>
    <w:rsid w:val="009601BC"/>
    <w:rsid w:val="00960EEA"/>
    <w:rsid w:val="0096474E"/>
    <w:rsid w:val="00965EBB"/>
    <w:rsid w:val="00965FB9"/>
    <w:rsid w:val="00971333"/>
    <w:rsid w:val="0097134B"/>
    <w:rsid w:val="009760D2"/>
    <w:rsid w:val="00981E46"/>
    <w:rsid w:val="00983284"/>
    <w:rsid w:val="00983BA2"/>
    <w:rsid w:val="00984094"/>
    <w:rsid w:val="0098543D"/>
    <w:rsid w:val="00987A5F"/>
    <w:rsid w:val="00990DD7"/>
    <w:rsid w:val="009913A2"/>
    <w:rsid w:val="0099193E"/>
    <w:rsid w:val="00991E75"/>
    <w:rsid w:val="009945B3"/>
    <w:rsid w:val="0099492B"/>
    <w:rsid w:val="00995BC0"/>
    <w:rsid w:val="0099620B"/>
    <w:rsid w:val="00997483"/>
    <w:rsid w:val="00997A06"/>
    <w:rsid w:val="009A4836"/>
    <w:rsid w:val="009A4C5A"/>
    <w:rsid w:val="009A5CFC"/>
    <w:rsid w:val="009A6562"/>
    <w:rsid w:val="009A72A0"/>
    <w:rsid w:val="009B01F3"/>
    <w:rsid w:val="009B32B5"/>
    <w:rsid w:val="009B412B"/>
    <w:rsid w:val="009B51DC"/>
    <w:rsid w:val="009C1EBB"/>
    <w:rsid w:val="009C2EC9"/>
    <w:rsid w:val="009C3352"/>
    <w:rsid w:val="009C35EF"/>
    <w:rsid w:val="009C523F"/>
    <w:rsid w:val="009D309D"/>
    <w:rsid w:val="009D62F7"/>
    <w:rsid w:val="009E0764"/>
    <w:rsid w:val="009E1A77"/>
    <w:rsid w:val="009E1E3C"/>
    <w:rsid w:val="009E28E2"/>
    <w:rsid w:val="009E380B"/>
    <w:rsid w:val="009E4402"/>
    <w:rsid w:val="009F134F"/>
    <w:rsid w:val="009F1802"/>
    <w:rsid w:val="009F18D5"/>
    <w:rsid w:val="009F34A0"/>
    <w:rsid w:val="009F3BC1"/>
    <w:rsid w:val="009F5CBF"/>
    <w:rsid w:val="009F6FEF"/>
    <w:rsid w:val="00A008E9"/>
    <w:rsid w:val="00A04A88"/>
    <w:rsid w:val="00A04B0A"/>
    <w:rsid w:val="00A073FD"/>
    <w:rsid w:val="00A107B7"/>
    <w:rsid w:val="00A12E4E"/>
    <w:rsid w:val="00A13DD9"/>
    <w:rsid w:val="00A13E8E"/>
    <w:rsid w:val="00A17FF9"/>
    <w:rsid w:val="00A21F19"/>
    <w:rsid w:val="00A22762"/>
    <w:rsid w:val="00A22EB8"/>
    <w:rsid w:val="00A24B5D"/>
    <w:rsid w:val="00A25154"/>
    <w:rsid w:val="00A2680B"/>
    <w:rsid w:val="00A302AE"/>
    <w:rsid w:val="00A30B3D"/>
    <w:rsid w:val="00A36BA6"/>
    <w:rsid w:val="00A378D9"/>
    <w:rsid w:val="00A417C1"/>
    <w:rsid w:val="00A42203"/>
    <w:rsid w:val="00A431B1"/>
    <w:rsid w:val="00A4342C"/>
    <w:rsid w:val="00A43EB0"/>
    <w:rsid w:val="00A44CB8"/>
    <w:rsid w:val="00A44D1B"/>
    <w:rsid w:val="00A44F37"/>
    <w:rsid w:val="00A4594B"/>
    <w:rsid w:val="00A45D28"/>
    <w:rsid w:val="00A506C6"/>
    <w:rsid w:val="00A51A4D"/>
    <w:rsid w:val="00A5337A"/>
    <w:rsid w:val="00A533E4"/>
    <w:rsid w:val="00A554C4"/>
    <w:rsid w:val="00A554CF"/>
    <w:rsid w:val="00A55649"/>
    <w:rsid w:val="00A626AB"/>
    <w:rsid w:val="00A64870"/>
    <w:rsid w:val="00A65214"/>
    <w:rsid w:val="00A66206"/>
    <w:rsid w:val="00A67076"/>
    <w:rsid w:val="00A67646"/>
    <w:rsid w:val="00A70223"/>
    <w:rsid w:val="00A70CDC"/>
    <w:rsid w:val="00A70DC1"/>
    <w:rsid w:val="00A71E35"/>
    <w:rsid w:val="00A7544C"/>
    <w:rsid w:val="00A75F61"/>
    <w:rsid w:val="00A811E1"/>
    <w:rsid w:val="00A83204"/>
    <w:rsid w:val="00A850CE"/>
    <w:rsid w:val="00A852B4"/>
    <w:rsid w:val="00A85C46"/>
    <w:rsid w:val="00A86927"/>
    <w:rsid w:val="00A87AD3"/>
    <w:rsid w:val="00A87B49"/>
    <w:rsid w:val="00A9170C"/>
    <w:rsid w:val="00A92953"/>
    <w:rsid w:val="00A93629"/>
    <w:rsid w:val="00A949C4"/>
    <w:rsid w:val="00A95E00"/>
    <w:rsid w:val="00A95E77"/>
    <w:rsid w:val="00A965A3"/>
    <w:rsid w:val="00AA1E9D"/>
    <w:rsid w:val="00AA2B1C"/>
    <w:rsid w:val="00AA3E3B"/>
    <w:rsid w:val="00AA4347"/>
    <w:rsid w:val="00AA4406"/>
    <w:rsid w:val="00AA59BF"/>
    <w:rsid w:val="00AB543B"/>
    <w:rsid w:val="00AB63E2"/>
    <w:rsid w:val="00AB663C"/>
    <w:rsid w:val="00AC05E5"/>
    <w:rsid w:val="00AC0AF0"/>
    <w:rsid w:val="00AC1169"/>
    <w:rsid w:val="00AC37CE"/>
    <w:rsid w:val="00AC38D4"/>
    <w:rsid w:val="00AC4374"/>
    <w:rsid w:val="00AC44FE"/>
    <w:rsid w:val="00AC480E"/>
    <w:rsid w:val="00AC4815"/>
    <w:rsid w:val="00AC5189"/>
    <w:rsid w:val="00AC6465"/>
    <w:rsid w:val="00AD0D8A"/>
    <w:rsid w:val="00AD14AA"/>
    <w:rsid w:val="00AD1CAD"/>
    <w:rsid w:val="00AD1CC1"/>
    <w:rsid w:val="00AD1EEA"/>
    <w:rsid w:val="00AD40CA"/>
    <w:rsid w:val="00AD6571"/>
    <w:rsid w:val="00AD7359"/>
    <w:rsid w:val="00AE184D"/>
    <w:rsid w:val="00AE50D5"/>
    <w:rsid w:val="00AE65D1"/>
    <w:rsid w:val="00AE717A"/>
    <w:rsid w:val="00AE787C"/>
    <w:rsid w:val="00AF0329"/>
    <w:rsid w:val="00AF2703"/>
    <w:rsid w:val="00AF3168"/>
    <w:rsid w:val="00AF66F8"/>
    <w:rsid w:val="00B005EB"/>
    <w:rsid w:val="00B0089D"/>
    <w:rsid w:val="00B024B7"/>
    <w:rsid w:val="00B04B07"/>
    <w:rsid w:val="00B05052"/>
    <w:rsid w:val="00B059EF"/>
    <w:rsid w:val="00B06B51"/>
    <w:rsid w:val="00B07FCF"/>
    <w:rsid w:val="00B12050"/>
    <w:rsid w:val="00B12BE7"/>
    <w:rsid w:val="00B14757"/>
    <w:rsid w:val="00B1572C"/>
    <w:rsid w:val="00B15BED"/>
    <w:rsid w:val="00B15D0E"/>
    <w:rsid w:val="00B16318"/>
    <w:rsid w:val="00B210F1"/>
    <w:rsid w:val="00B217FE"/>
    <w:rsid w:val="00B22B85"/>
    <w:rsid w:val="00B22B8E"/>
    <w:rsid w:val="00B22FA4"/>
    <w:rsid w:val="00B25291"/>
    <w:rsid w:val="00B3360A"/>
    <w:rsid w:val="00B33C30"/>
    <w:rsid w:val="00B3459D"/>
    <w:rsid w:val="00B35A96"/>
    <w:rsid w:val="00B35F5E"/>
    <w:rsid w:val="00B37BE4"/>
    <w:rsid w:val="00B40484"/>
    <w:rsid w:val="00B418B8"/>
    <w:rsid w:val="00B42221"/>
    <w:rsid w:val="00B43510"/>
    <w:rsid w:val="00B44392"/>
    <w:rsid w:val="00B44683"/>
    <w:rsid w:val="00B45174"/>
    <w:rsid w:val="00B4552E"/>
    <w:rsid w:val="00B46A62"/>
    <w:rsid w:val="00B479DA"/>
    <w:rsid w:val="00B50013"/>
    <w:rsid w:val="00B50FF4"/>
    <w:rsid w:val="00B51DF3"/>
    <w:rsid w:val="00B51E44"/>
    <w:rsid w:val="00B55B1B"/>
    <w:rsid w:val="00B57ECE"/>
    <w:rsid w:val="00B62098"/>
    <w:rsid w:val="00B626F3"/>
    <w:rsid w:val="00B63A59"/>
    <w:rsid w:val="00B64160"/>
    <w:rsid w:val="00B66EAC"/>
    <w:rsid w:val="00B66EC4"/>
    <w:rsid w:val="00B67814"/>
    <w:rsid w:val="00B71038"/>
    <w:rsid w:val="00B7359B"/>
    <w:rsid w:val="00B75272"/>
    <w:rsid w:val="00B76EE9"/>
    <w:rsid w:val="00B805C9"/>
    <w:rsid w:val="00B8061E"/>
    <w:rsid w:val="00B81133"/>
    <w:rsid w:val="00B8191C"/>
    <w:rsid w:val="00B85310"/>
    <w:rsid w:val="00B865D1"/>
    <w:rsid w:val="00B87079"/>
    <w:rsid w:val="00B9018D"/>
    <w:rsid w:val="00B9077A"/>
    <w:rsid w:val="00B90F17"/>
    <w:rsid w:val="00B9364C"/>
    <w:rsid w:val="00B93831"/>
    <w:rsid w:val="00B95B69"/>
    <w:rsid w:val="00B96EA1"/>
    <w:rsid w:val="00BA261E"/>
    <w:rsid w:val="00BA34C5"/>
    <w:rsid w:val="00BA4979"/>
    <w:rsid w:val="00BA59C7"/>
    <w:rsid w:val="00BA6FBE"/>
    <w:rsid w:val="00BA71B4"/>
    <w:rsid w:val="00BA7D95"/>
    <w:rsid w:val="00BB05CE"/>
    <w:rsid w:val="00BB1A5A"/>
    <w:rsid w:val="00BB1CFD"/>
    <w:rsid w:val="00BB2071"/>
    <w:rsid w:val="00BB5BBD"/>
    <w:rsid w:val="00BB5D49"/>
    <w:rsid w:val="00BB79A0"/>
    <w:rsid w:val="00BC0CD2"/>
    <w:rsid w:val="00BC287F"/>
    <w:rsid w:val="00BC301B"/>
    <w:rsid w:val="00BC4B9E"/>
    <w:rsid w:val="00BC568F"/>
    <w:rsid w:val="00BC5E66"/>
    <w:rsid w:val="00BC6765"/>
    <w:rsid w:val="00BC7957"/>
    <w:rsid w:val="00BC7D37"/>
    <w:rsid w:val="00BD0924"/>
    <w:rsid w:val="00BD0BDA"/>
    <w:rsid w:val="00BD1D9E"/>
    <w:rsid w:val="00BD54F1"/>
    <w:rsid w:val="00BD607E"/>
    <w:rsid w:val="00BD6250"/>
    <w:rsid w:val="00BD6D2F"/>
    <w:rsid w:val="00BD77C9"/>
    <w:rsid w:val="00BE00C9"/>
    <w:rsid w:val="00BE266A"/>
    <w:rsid w:val="00BE287C"/>
    <w:rsid w:val="00BE3437"/>
    <w:rsid w:val="00BE3F2E"/>
    <w:rsid w:val="00BE5D25"/>
    <w:rsid w:val="00BE6672"/>
    <w:rsid w:val="00BE74A9"/>
    <w:rsid w:val="00BF0B64"/>
    <w:rsid w:val="00BF199E"/>
    <w:rsid w:val="00BF2ED0"/>
    <w:rsid w:val="00BF3129"/>
    <w:rsid w:val="00BF53D2"/>
    <w:rsid w:val="00BF5809"/>
    <w:rsid w:val="00C02639"/>
    <w:rsid w:val="00C03138"/>
    <w:rsid w:val="00C05637"/>
    <w:rsid w:val="00C06076"/>
    <w:rsid w:val="00C064D0"/>
    <w:rsid w:val="00C07B29"/>
    <w:rsid w:val="00C07BAD"/>
    <w:rsid w:val="00C21741"/>
    <w:rsid w:val="00C228D3"/>
    <w:rsid w:val="00C23129"/>
    <w:rsid w:val="00C2459A"/>
    <w:rsid w:val="00C24849"/>
    <w:rsid w:val="00C24F53"/>
    <w:rsid w:val="00C2596F"/>
    <w:rsid w:val="00C26D5F"/>
    <w:rsid w:val="00C2786D"/>
    <w:rsid w:val="00C30072"/>
    <w:rsid w:val="00C31A95"/>
    <w:rsid w:val="00C32F3A"/>
    <w:rsid w:val="00C35588"/>
    <w:rsid w:val="00C35940"/>
    <w:rsid w:val="00C367C3"/>
    <w:rsid w:val="00C367E0"/>
    <w:rsid w:val="00C37A88"/>
    <w:rsid w:val="00C401AE"/>
    <w:rsid w:val="00C40F18"/>
    <w:rsid w:val="00C41799"/>
    <w:rsid w:val="00C41F11"/>
    <w:rsid w:val="00C4249D"/>
    <w:rsid w:val="00C43723"/>
    <w:rsid w:val="00C452EB"/>
    <w:rsid w:val="00C4721F"/>
    <w:rsid w:val="00C518CA"/>
    <w:rsid w:val="00C565B9"/>
    <w:rsid w:val="00C62EE2"/>
    <w:rsid w:val="00C630F3"/>
    <w:rsid w:val="00C634C8"/>
    <w:rsid w:val="00C6453A"/>
    <w:rsid w:val="00C65D33"/>
    <w:rsid w:val="00C6669B"/>
    <w:rsid w:val="00C67B3B"/>
    <w:rsid w:val="00C71B32"/>
    <w:rsid w:val="00C72BA8"/>
    <w:rsid w:val="00C72FB5"/>
    <w:rsid w:val="00C76AD7"/>
    <w:rsid w:val="00C8117F"/>
    <w:rsid w:val="00C8511C"/>
    <w:rsid w:val="00C86013"/>
    <w:rsid w:val="00C861D8"/>
    <w:rsid w:val="00C8665D"/>
    <w:rsid w:val="00C87E2F"/>
    <w:rsid w:val="00C91A1F"/>
    <w:rsid w:val="00C93C50"/>
    <w:rsid w:val="00C96923"/>
    <w:rsid w:val="00CA201D"/>
    <w:rsid w:val="00CA25D2"/>
    <w:rsid w:val="00CA2DEE"/>
    <w:rsid w:val="00CA627C"/>
    <w:rsid w:val="00CA72F5"/>
    <w:rsid w:val="00CA7995"/>
    <w:rsid w:val="00CB0E10"/>
    <w:rsid w:val="00CB292E"/>
    <w:rsid w:val="00CB43F1"/>
    <w:rsid w:val="00CB7F88"/>
    <w:rsid w:val="00CB7F96"/>
    <w:rsid w:val="00CC1F7D"/>
    <w:rsid w:val="00CC31A4"/>
    <w:rsid w:val="00CC5C64"/>
    <w:rsid w:val="00CC64DD"/>
    <w:rsid w:val="00CC7B9A"/>
    <w:rsid w:val="00CC7EE9"/>
    <w:rsid w:val="00CD003C"/>
    <w:rsid w:val="00CD3851"/>
    <w:rsid w:val="00CD4804"/>
    <w:rsid w:val="00CD5D06"/>
    <w:rsid w:val="00CE43FC"/>
    <w:rsid w:val="00CE463F"/>
    <w:rsid w:val="00CE50B0"/>
    <w:rsid w:val="00CF00EC"/>
    <w:rsid w:val="00CF1207"/>
    <w:rsid w:val="00CF219C"/>
    <w:rsid w:val="00CF4767"/>
    <w:rsid w:val="00CF4D58"/>
    <w:rsid w:val="00CF4E28"/>
    <w:rsid w:val="00CF6038"/>
    <w:rsid w:val="00CF6E22"/>
    <w:rsid w:val="00CF754D"/>
    <w:rsid w:val="00CF7FF9"/>
    <w:rsid w:val="00D00EFA"/>
    <w:rsid w:val="00D022AE"/>
    <w:rsid w:val="00D063F3"/>
    <w:rsid w:val="00D06557"/>
    <w:rsid w:val="00D07630"/>
    <w:rsid w:val="00D07F2E"/>
    <w:rsid w:val="00D1156A"/>
    <w:rsid w:val="00D12A18"/>
    <w:rsid w:val="00D12B62"/>
    <w:rsid w:val="00D13CFD"/>
    <w:rsid w:val="00D13FFB"/>
    <w:rsid w:val="00D144E2"/>
    <w:rsid w:val="00D1546E"/>
    <w:rsid w:val="00D17D57"/>
    <w:rsid w:val="00D21A85"/>
    <w:rsid w:val="00D22C1B"/>
    <w:rsid w:val="00D24010"/>
    <w:rsid w:val="00D24744"/>
    <w:rsid w:val="00D25A26"/>
    <w:rsid w:val="00D277FF"/>
    <w:rsid w:val="00D301BD"/>
    <w:rsid w:val="00D32B83"/>
    <w:rsid w:val="00D3492A"/>
    <w:rsid w:val="00D36ED6"/>
    <w:rsid w:val="00D41CA9"/>
    <w:rsid w:val="00D42627"/>
    <w:rsid w:val="00D4476B"/>
    <w:rsid w:val="00D464D8"/>
    <w:rsid w:val="00D46BA5"/>
    <w:rsid w:val="00D47FAD"/>
    <w:rsid w:val="00D50789"/>
    <w:rsid w:val="00D5113C"/>
    <w:rsid w:val="00D51669"/>
    <w:rsid w:val="00D546D3"/>
    <w:rsid w:val="00D5505A"/>
    <w:rsid w:val="00D57223"/>
    <w:rsid w:val="00D63021"/>
    <w:rsid w:val="00D63F0C"/>
    <w:rsid w:val="00D653E6"/>
    <w:rsid w:val="00D6559D"/>
    <w:rsid w:val="00D655C9"/>
    <w:rsid w:val="00D702F8"/>
    <w:rsid w:val="00D707A1"/>
    <w:rsid w:val="00D70CE2"/>
    <w:rsid w:val="00D70E56"/>
    <w:rsid w:val="00D750A7"/>
    <w:rsid w:val="00D761AF"/>
    <w:rsid w:val="00D76F4D"/>
    <w:rsid w:val="00D8171A"/>
    <w:rsid w:val="00D846E8"/>
    <w:rsid w:val="00D85CE1"/>
    <w:rsid w:val="00D91F74"/>
    <w:rsid w:val="00D92D07"/>
    <w:rsid w:val="00D937ED"/>
    <w:rsid w:val="00D93D3A"/>
    <w:rsid w:val="00D93DD7"/>
    <w:rsid w:val="00D95B2E"/>
    <w:rsid w:val="00D971B5"/>
    <w:rsid w:val="00D978A3"/>
    <w:rsid w:val="00DA0D83"/>
    <w:rsid w:val="00DA1089"/>
    <w:rsid w:val="00DA2EC1"/>
    <w:rsid w:val="00DA51EC"/>
    <w:rsid w:val="00DA5453"/>
    <w:rsid w:val="00DA6EA4"/>
    <w:rsid w:val="00DA7147"/>
    <w:rsid w:val="00DB00CD"/>
    <w:rsid w:val="00DB1904"/>
    <w:rsid w:val="00DB32C3"/>
    <w:rsid w:val="00DB3C67"/>
    <w:rsid w:val="00DB3EF2"/>
    <w:rsid w:val="00DB42A0"/>
    <w:rsid w:val="00DB48BF"/>
    <w:rsid w:val="00DB6171"/>
    <w:rsid w:val="00DB7310"/>
    <w:rsid w:val="00DC0FD5"/>
    <w:rsid w:val="00DC100F"/>
    <w:rsid w:val="00DC10B4"/>
    <w:rsid w:val="00DC1340"/>
    <w:rsid w:val="00DC21B2"/>
    <w:rsid w:val="00DC2D43"/>
    <w:rsid w:val="00DD283F"/>
    <w:rsid w:val="00DD2B17"/>
    <w:rsid w:val="00DD48A4"/>
    <w:rsid w:val="00DD551C"/>
    <w:rsid w:val="00DD6358"/>
    <w:rsid w:val="00DD7012"/>
    <w:rsid w:val="00DE0E10"/>
    <w:rsid w:val="00DE19DC"/>
    <w:rsid w:val="00DE211A"/>
    <w:rsid w:val="00DE2C12"/>
    <w:rsid w:val="00DE32B5"/>
    <w:rsid w:val="00DE3845"/>
    <w:rsid w:val="00DE3DF2"/>
    <w:rsid w:val="00DE5557"/>
    <w:rsid w:val="00DE6D58"/>
    <w:rsid w:val="00DE74C5"/>
    <w:rsid w:val="00DE77B8"/>
    <w:rsid w:val="00DF1BFA"/>
    <w:rsid w:val="00DF2472"/>
    <w:rsid w:val="00DF2C9B"/>
    <w:rsid w:val="00DF4138"/>
    <w:rsid w:val="00DF74EC"/>
    <w:rsid w:val="00E01D84"/>
    <w:rsid w:val="00E0473A"/>
    <w:rsid w:val="00E051FC"/>
    <w:rsid w:val="00E05AC6"/>
    <w:rsid w:val="00E063E1"/>
    <w:rsid w:val="00E071F9"/>
    <w:rsid w:val="00E079BE"/>
    <w:rsid w:val="00E101FC"/>
    <w:rsid w:val="00E11825"/>
    <w:rsid w:val="00E1191F"/>
    <w:rsid w:val="00E12042"/>
    <w:rsid w:val="00E131F4"/>
    <w:rsid w:val="00E13B76"/>
    <w:rsid w:val="00E14C6A"/>
    <w:rsid w:val="00E1621B"/>
    <w:rsid w:val="00E16F01"/>
    <w:rsid w:val="00E17E89"/>
    <w:rsid w:val="00E20051"/>
    <w:rsid w:val="00E20149"/>
    <w:rsid w:val="00E21E6F"/>
    <w:rsid w:val="00E226F5"/>
    <w:rsid w:val="00E2377D"/>
    <w:rsid w:val="00E2479C"/>
    <w:rsid w:val="00E27118"/>
    <w:rsid w:val="00E30F8E"/>
    <w:rsid w:val="00E318F7"/>
    <w:rsid w:val="00E363AD"/>
    <w:rsid w:val="00E374AE"/>
    <w:rsid w:val="00E376C0"/>
    <w:rsid w:val="00E401B0"/>
    <w:rsid w:val="00E40D35"/>
    <w:rsid w:val="00E4132C"/>
    <w:rsid w:val="00E44EFF"/>
    <w:rsid w:val="00E4559F"/>
    <w:rsid w:val="00E474F6"/>
    <w:rsid w:val="00E47D61"/>
    <w:rsid w:val="00E53F1D"/>
    <w:rsid w:val="00E55FC5"/>
    <w:rsid w:val="00E57BE6"/>
    <w:rsid w:val="00E62B65"/>
    <w:rsid w:val="00E63D17"/>
    <w:rsid w:val="00E65A1C"/>
    <w:rsid w:val="00E71140"/>
    <w:rsid w:val="00E71C31"/>
    <w:rsid w:val="00E7332E"/>
    <w:rsid w:val="00E73A31"/>
    <w:rsid w:val="00E749B5"/>
    <w:rsid w:val="00E7502F"/>
    <w:rsid w:val="00E80D6B"/>
    <w:rsid w:val="00E81902"/>
    <w:rsid w:val="00E8221E"/>
    <w:rsid w:val="00E83636"/>
    <w:rsid w:val="00E83B60"/>
    <w:rsid w:val="00E84033"/>
    <w:rsid w:val="00E8468B"/>
    <w:rsid w:val="00E86712"/>
    <w:rsid w:val="00E9205E"/>
    <w:rsid w:val="00E926E7"/>
    <w:rsid w:val="00E927A8"/>
    <w:rsid w:val="00E940B1"/>
    <w:rsid w:val="00E9422E"/>
    <w:rsid w:val="00E9552E"/>
    <w:rsid w:val="00E96E0D"/>
    <w:rsid w:val="00EA066B"/>
    <w:rsid w:val="00EA0B1E"/>
    <w:rsid w:val="00EA1A6E"/>
    <w:rsid w:val="00EA2486"/>
    <w:rsid w:val="00EA44FE"/>
    <w:rsid w:val="00EA658C"/>
    <w:rsid w:val="00EA772D"/>
    <w:rsid w:val="00EB090F"/>
    <w:rsid w:val="00EB16D8"/>
    <w:rsid w:val="00EB223A"/>
    <w:rsid w:val="00EB5E83"/>
    <w:rsid w:val="00EB7681"/>
    <w:rsid w:val="00EC0532"/>
    <w:rsid w:val="00EC07A8"/>
    <w:rsid w:val="00EC18EC"/>
    <w:rsid w:val="00EC1A66"/>
    <w:rsid w:val="00EC4538"/>
    <w:rsid w:val="00EC4CE4"/>
    <w:rsid w:val="00EC54C3"/>
    <w:rsid w:val="00EC6DB3"/>
    <w:rsid w:val="00ED55CB"/>
    <w:rsid w:val="00ED56AF"/>
    <w:rsid w:val="00ED591F"/>
    <w:rsid w:val="00ED6D09"/>
    <w:rsid w:val="00EE3488"/>
    <w:rsid w:val="00EE47D5"/>
    <w:rsid w:val="00EE6B45"/>
    <w:rsid w:val="00EF02BA"/>
    <w:rsid w:val="00EF0C03"/>
    <w:rsid w:val="00EF242C"/>
    <w:rsid w:val="00EF2A4C"/>
    <w:rsid w:val="00EF3BD0"/>
    <w:rsid w:val="00EF3FD6"/>
    <w:rsid w:val="00EF6088"/>
    <w:rsid w:val="00EF60EC"/>
    <w:rsid w:val="00F00743"/>
    <w:rsid w:val="00F04785"/>
    <w:rsid w:val="00F048F5"/>
    <w:rsid w:val="00F04C20"/>
    <w:rsid w:val="00F05151"/>
    <w:rsid w:val="00F05B43"/>
    <w:rsid w:val="00F07B81"/>
    <w:rsid w:val="00F21874"/>
    <w:rsid w:val="00F26DEC"/>
    <w:rsid w:val="00F27E89"/>
    <w:rsid w:val="00F30AA4"/>
    <w:rsid w:val="00F313A2"/>
    <w:rsid w:val="00F31EC9"/>
    <w:rsid w:val="00F32473"/>
    <w:rsid w:val="00F326CC"/>
    <w:rsid w:val="00F37DD5"/>
    <w:rsid w:val="00F37E0A"/>
    <w:rsid w:val="00F4187C"/>
    <w:rsid w:val="00F42EA3"/>
    <w:rsid w:val="00F4519A"/>
    <w:rsid w:val="00F456DF"/>
    <w:rsid w:val="00F4710C"/>
    <w:rsid w:val="00F51EF2"/>
    <w:rsid w:val="00F54288"/>
    <w:rsid w:val="00F55553"/>
    <w:rsid w:val="00F55B9E"/>
    <w:rsid w:val="00F55E48"/>
    <w:rsid w:val="00F55F44"/>
    <w:rsid w:val="00F576F9"/>
    <w:rsid w:val="00F62412"/>
    <w:rsid w:val="00F62BE3"/>
    <w:rsid w:val="00F6385C"/>
    <w:rsid w:val="00F63D03"/>
    <w:rsid w:val="00F65F97"/>
    <w:rsid w:val="00F66CB1"/>
    <w:rsid w:val="00F74E57"/>
    <w:rsid w:val="00F77DB5"/>
    <w:rsid w:val="00F77EE6"/>
    <w:rsid w:val="00F80EAF"/>
    <w:rsid w:val="00F81D3B"/>
    <w:rsid w:val="00F82F1A"/>
    <w:rsid w:val="00F83E4D"/>
    <w:rsid w:val="00F856A6"/>
    <w:rsid w:val="00F85ED9"/>
    <w:rsid w:val="00F8787C"/>
    <w:rsid w:val="00F90642"/>
    <w:rsid w:val="00F91045"/>
    <w:rsid w:val="00F91109"/>
    <w:rsid w:val="00F93416"/>
    <w:rsid w:val="00F9371A"/>
    <w:rsid w:val="00F95196"/>
    <w:rsid w:val="00F95F20"/>
    <w:rsid w:val="00FA188A"/>
    <w:rsid w:val="00FB1C69"/>
    <w:rsid w:val="00FB277F"/>
    <w:rsid w:val="00FB3873"/>
    <w:rsid w:val="00FB3DA1"/>
    <w:rsid w:val="00FB575F"/>
    <w:rsid w:val="00FB57AF"/>
    <w:rsid w:val="00FB59C1"/>
    <w:rsid w:val="00FB606F"/>
    <w:rsid w:val="00FB6952"/>
    <w:rsid w:val="00FB7CB2"/>
    <w:rsid w:val="00FC15AD"/>
    <w:rsid w:val="00FC43EE"/>
    <w:rsid w:val="00FC4798"/>
    <w:rsid w:val="00FC56C1"/>
    <w:rsid w:val="00FC5BF4"/>
    <w:rsid w:val="00FD1588"/>
    <w:rsid w:val="00FD1675"/>
    <w:rsid w:val="00FD1B5B"/>
    <w:rsid w:val="00FD25E4"/>
    <w:rsid w:val="00FD287D"/>
    <w:rsid w:val="00FD6B84"/>
    <w:rsid w:val="00FE1BE7"/>
    <w:rsid w:val="00FE1FC7"/>
    <w:rsid w:val="00FE2394"/>
    <w:rsid w:val="00FE3B26"/>
    <w:rsid w:val="00FE43B8"/>
    <w:rsid w:val="00FE4D64"/>
    <w:rsid w:val="00FE4FEB"/>
    <w:rsid w:val="00FE5912"/>
    <w:rsid w:val="00FE624A"/>
    <w:rsid w:val="00FE69C7"/>
    <w:rsid w:val="00FE6E00"/>
    <w:rsid w:val="00FF13FD"/>
    <w:rsid w:val="00FF34E1"/>
    <w:rsid w:val="00FF4FBF"/>
    <w:rsid w:val="00FF6483"/>
    <w:rsid w:val="00FF65AC"/>
    <w:rsid w:val="14FE0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6619D645-4B3B-4874-9931-18D81D7F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E4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1E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13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1E33B7"/>
    <w:rPr>
      <w:rFonts w:asciiTheme="majorHAnsi" w:eastAsiaTheme="majorEastAsia" w:hAnsiTheme="majorHAnsi" w:cstheme="majorBidi"/>
      <w:color w:val="2E74B5" w:themeColor="accent1" w:themeShade="BF"/>
      <w:sz w:val="26"/>
      <w:szCs w:val="26"/>
    </w:rPr>
  </w:style>
  <w:style w:type="character" w:customStyle="1" w:styleId="SOTextChar">
    <w:name w:val="SO Text Char"/>
    <w:aliases w:val="sot Char"/>
    <w:basedOn w:val="DefaultParagraphFont"/>
    <w:link w:val="SOText"/>
    <w:locked/>
    <w:rsid w:val="00D42627"/>
    <w:rPr>
      <w:rFonts w:ascii="Times New Roman" w:hAnsi="Times New Roman" w:cs="Times New Roman"/>
      <w:szCs w:val="20"/>
    </w:rPr>
  </w:style>
  <w:style w:type="paragraph" w:customStyle="1" w:styleId="SOText">
    <w:name w:val="SO Text"/>
    <w:aliases w:val="sot"/>
    <w:link w:val="SOTextChar"/>
    <w:rsid w:val="00D4262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customStyle="1" w:styleId="Schedulereference">
    <w:name w:val="Schedule reference"/>
    <w:basedOn w:val="Normal"/>
    <w:next w:val="Normal"/>
    <w:rsid w:val="0025311A"/>
    <w:pPr>
      <w:keepNext/>
      <w:keepLines/>
      <w:spacing w:before="60" w:after="0" w:line="200" w:lineRule="exact"/>
      <w:ind w:left="241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B33C30"/>
    <w:rPr>
      <w:color w:val="605E5C"/>
      <w:shd w:val="clear" w:color="auto" w:fill="E1DFDD"/>
    </w:rPr>
  </w:style>
  <w:style w:type="paragraph" w:customStyle="1" w:styleId="hr">
    <w:name w:val="hr"/>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D6D09"/>
  </w:style>
  <w:style w:type="character" w:customStyle="1" w:styleId="charpartno0">
    <w:name w:val="charpartno"/>
    <w:basedOn w:val="DefaultParagraphFont"/>
    <w:rsid w:val="00ED6D09"/>
  </w:style>
  <w:style w:type="paragraph" w:customStyle="1" w:styleId="r1">
    <w:name w:val="r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F314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7F314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7F314E"/>
    <w:pPr>
      <w:keepNext/>
      <w:spacing w:before="60" w:after="0" w:line="240" w:lineRule="atLeast"/>
    </w:pPr>
    <w:rPr>
      <w:rFonts w:ascii="Times New Roman" w:eastAsia="Times New Roman" w:hAnsi="Times New Roman" w:cs="Times New Roman"/>
      <w:b/>
      <w:sz w:val="20"/>
      <w:szCs w:val="20"/>
      <w:lang w:eastAsia="en-AU"/>
    </w:rPr>
  </w:style>
  <w:style w:type="character" w:styleId="FollowedHyperlink">
    <w:name w:val="FollowedHyperlink"/>
    <w:basedOn w:val="DefaultParagraphFont"/>
    <w:uiPriority w:val="99"/>
    <w:semiHidden/>
    <w:unhideWhenUsed/>
    <w:rsid w:val="0092675C"/>
    <w:rPr>
      <w:color w:val="954F72" w:themeColor="followedHyperlink"/>
      <w:u w:val="single"/>
    </w:rPr>
  </w:style>
  <w:style w:type="paragraph" w:styleId="Revision">
    <w:name w:val="Revision"/>
    <w:hidden/>
    <w:uiPriority w:val="99"/>
    <w:semiHidden/>
    <w:rsid w:val="005B0521"/>
    <w:pPr>
      <w:spacing w:after="0" w:line="240" w:lineRule="auto"/>
    </w:pPr>
  </w:style>
  <w:style w:type="character" w:customStyle="1" w:styleId="DefinitionChar">
    <w:name w:val="Definition Char"/>
    <w:aliases w:val="dd Char"/>
    <w:link w:val="Definition"/>
    <w:rsid w:val="00313DBA"/>
    <w:rPr>
      <w:rFonts w:ascii="Times New Roman" w:eastAsia="Times New Roman" w:hAnsi="Times New Roman" w:cs="Times New Roman"/>
      <w:szCs w:val="20"/>
      <w:lang w:eastAsia="en-AU"/>
    </w:rPr>
  </w:style>
  <w:style w:type="paragraph" w:customStyle="1" w:styleId="Note">
    <w:name w:val="Note"/>
    <w:basedOn w:val="Normal"/>
    <w:autoRedefine/>
    <w:rsid w:val="001E037F"/>
    <w:pPr>
      <w:tabs>
        <w:tab w:val="left" w:pos="1276"/>
      </w:tabs>
      <w:spacing w:before="120" w:after="120" w:line="220" w:lineRule="exact"/>
      <w:ind w:left="1276"/>
      <w:jc w:val="both"/>
    </w:pPr>
    <w:rPr>
      <w:rFonts w:ascii="Times" w:eastAsia="Times New Roman" w:hAnsi="Times" w:cs="Times New Roman"/>
      <w:sz w:val="18"/>
      <w:szCs w:val="18"/>
    </w:rPr>
  </w:style>
  <w:style w:type="paragraph" w:styleId="PlainText">
    <w:name w:val="Plain Text"/>
    <w:basedOn w:val="Normal"/>
    <w:link w:val="PlainTextChar"/>
    <w:uiPriority w:val="99"/>
    <w:semiHidden/>
    <w:unhideWhenUsed/>
    <w:rsid w:val="006076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76D0"/>
    <w:rPr>
      <w:rFonts w:ascii="Calibri" w:hAnsi="Calibri"/>
      <w:szCs w:val="21"/>
    </w:rPr>
  </w:style>
  <w:style w:type="paragraph" w:customStyle="1" w:styleId="R10">
    <w:name w:val="R1"/>
    <w:aliases w:val="1. or 1.(1)"/>
    <w:basedOn w:val="Normal"/>
    <w:next w:val="Normal"/>
    <w:link w:val="R1Char"/>
    <w:rsid w:val="000C692C"/>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HP">
    <w:name w:val="HP"/>
    <w:aliases w:val="Part Heading"/>
    <w:basedOn w:val="Normal"/>
    <w:next w:val="Normal"/>
    <w:rsid w:val="000C692C"/>
    <w:pPr>
      <w:keepNext/>
      <w:spacing w:before="360" w:after="0" w:line="240" w:lineRule="auto"/>
      <w:ind w:left="2410" w:hanging="2410"/>
      <w:outlineLvl w:val="0"/>
    </w:pPr>
    <w:rPr>
      <w:rFonts w:ascii="Arial" w:eastAsia="Times New Roman" w:hAnsi="Arial" w:cs="Times New Roman"/>
      <w:b/>
      <w:sz w:val="32"/>
      <w:szCs w:val="24"/>
    </w:rPr>
  </w:style>
  <w:style w:type="paragraph" w:customStyle="1" w:styleId="HR0">
    <w:name w:val="HR"/>
    <w:aliases w:val="Regulation Heading"/>
    <w:basedOn w:val="Normal"/>
    <w:next w:val="Normal"/>
    <w:link w:val="HRChar"/>
    <w:rsid w:val="000C692C"/>
    <w:pPr>
      <w:keepNext/>
      <w:spacing w:before="360" w:after="0" w:line="240" w:lineRule="auto"/>
      <w:ind w:left="964" w:hanging="964"/>
      <w:outlineLvl w:val="0"/>
    </w:pPr>
    <w:rPr>
      <w:rFonts w:ascii="Arial" w:eastAsia="Times New Roman" w:hAnsi="Arial" w:cs="Times New Roman"/>
      <w:b/>
      <w:sz w:val="24"/>
      <w:szCs w:val="24"/>
    </w:rPr>
  </w:style>
  <w:style w:type="character" w:customStyle="1" w:styleId="R1Char">
    <w:name w:val="R1 Char"/>
    <w:aliases w:val="1. or 1.(1) Char"/>
    <w:basedOn w:val="DefaultParagraphFont"/>
    <w:link w:val="R10"/>
    <w:rsid w:val="000C692C"/>
    <w:rPr>
      <w:rFonts w:ascii="Times New Roman" w:eastAsia="Times New Roman" w:hAnsi="Times New Roman" w:cs="Times New Roman"/>
      <w:sz w:val="24"/>
      <w:szCs w:val="24"/>
    </w:rPr>
  </w:style>
  <w:style w:type="character" w:customStyle="1" w:styleId="HRChar">
    <w:name w:val="HR Char"/>
    <w:aliases w:val="Regulation Heading Char"/>
    <w:basedOn w:val="DefaultParagraphFont"/>
    <w:link w:val="HR0"/>
    <w:rsid w:val="000C692C"/>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324">
      <w:bodyDiv w:val="1"/>
      <w:marLeft w:val="0"/>
      <w:marRight w:val="0"/>
      <w:marTop w:val="0"/>
      <w:marBottom w:val="0"/>
      <w:divBdr>
        <w:top w:val="none" w:sz="0" w:space="0" w:color="auto"/>
        <w:left w:val="none" w:sz="0" w:space="0" w:color="auto"/>
        <w:bottom w:val="none" w:sz="0" w:space="0" w:color="auto"/>
        <w:right w:val="none" w:sz="0" w:space="0" w:color="auto"/>
      </w:divBdr>
    </w:div>
    <w:div w:id="295839918">
      <w:bodyDiv w:val="1"/>
      <w:marLeft w:val="0"/>
      <w:marRight w:val="0"/>
      <w:marTop w:val="0"/>
      <w:marBottom w:val="0"/>
      <w:divBdr>
        <w:top w:val="none" w:sz="0" w:space="0" w:color="auto"/>
        <w:left w:val="none" w:sz="0" w:space="0" w:color="auto"/>
        <w:bottom w:val="none" w:sz="0" w:space="0" w:color="auto"/>
        <w:right w:val="none" w:sz="0" w:space="0" w:color="auto"/>
      </w:divBdr>
    </w:div>
    <w:div w:id="591276981">
      <w:bodyDiv w:val="1"/>
      <w:marLeft w:val="0"/>
      <w:marRight w:val="0"/>
      <w:marTop w:val="0"/>
      <w:marBottom w:val="0"/>
      <w:divBdr>
        <w:top w:val="none" w:sz="0" w:space="0" w:color="auto"/>
        <w:left w:val="none" w:sz="0" w:space="0" w:color="auto"/>
        <w:bottom w:val="none" w:sz="0" w:space="0" w:color="auto"/>
        <w:right w:val="none" w:sz="0" w:space="0" w:color="auto"/>
      </w:divBdr>
    </w:div>
    <w:div w:id="685131045">
      <w:bodyDiv w:val="1"/>
      <w:marLeft w:val="0"/>
      <w:marRight w:val="0"/>
      <w:marTop w:val="0"/>
      <w:marBottom w:val="0"/>
      <w:divBdr>
        <w:top w:val="none" w:sz="0" w:space="0" w:color="auto"/>
        <w:left w:val="none" w:sz="0" w:space="0" w:color="auto"/>
        <w:bottom w:val="none" w:sz="0" w:space="0" w:color="auto"/>
        <w:right w:val="none" w:sz="0" w:space="0" w:color="auto"/>
      </w:divBdr>
    </w:div>
    <w:div w:id="778067051">
      <w:bodyDiv w:val="1"/>
      <w:marLeft w:val="0"/>
      <w:marRight w:val="0"/>
      <w:marTop w:val="0"/>
      <w:marBottom w:val="0"/>
      <w:divBdr>
        <w:top w:val="none" w:sz="0" w:space="0" w:color="auto"/>
        <w:left w:val="none" w:sz="0" w:space="0" w:color="auto"/>
        <w:bottom w:val="none" w:sz="0" w:space="0" w:color="auto"/>
        <w:right w:val="none" w:sz="0" w:space="0" w:color="auto"/>
      </w:divBdr>
    </w:div>
    <w:div w:id="782385366">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64525912">
      <w:bodyDiv w:val="1"/>
      <w:marLeft w:val="0"/>
      <w:marRight w:val="0"/>
      <w:marTop w:val="0"/>
      <w:marBottom w:val="0"/>
      <w:divBdr>
        <w:top w:val="none" w:sz="0" w:space="0" w:color="auto"/>
        <w:left w:val="none" w:sz="0" w:space="0" w:color="auto"/>
        <w:bottom w:val="none" w:sz="0" w:space="0" w:color="auto"/>
        <w:right w:val="none" w:sz="0" w:space="0" w:color="auto"/>
      </w:divBdr>
    </w:div>
    <w:div w:id="1085876955">
      <w:bodyDiv w:val="1"/>
      <w:marLeft w:val="0"/>
      <w:marRight w:val="0"/>
      <w:marTop w:val="0"/>
      <w:marBottom w:val="0"/>
      <w:divBdr>
        <w:top w:val="none" w:sz="0" w:space="0" w:color="auto"/>
        <w:left w:val="none" w:sz="0" w:space="0" w:color="auto"/>
        <w:bottom w:val="none" w:sz="0" w:space="0" w:color="auto"/>
        <w:right w:val="none" w:sz="0" w:space="0" w:color="auto"/>
      </w:divBdr>
    </w:div>
    <w:div w:id="1606114134">
      <w:bodyDiv w:val="1"/>
      <w:marLeft w:val="0"/>
      <w:marRight w:val="0"/>
      <w:marTop w:val="0"/>
      <w:marBottom w:val="0"/>
      <w:divBdr>
        <w:top w:val="none" w:sz="0" w:space="0" w:color="auto"/>
        <w:left w:val="none" w:sz="0" w:space="0" w:color="auto"/>
        <w:bottom w:val="none" w:sz="0" w:space="0" w:color="auto"/>
        <w:right w:val="none" w:sz="0" w:space="0" w:color="auto"/>
      </w:divBdr>
    </w:div>
    <w:div w:id="1629507151">
      <w:bodyDiv w:val="1"/>
      <w:marLeft w:val="0"/>
      <w:marRight w:val="0"/>
      <w:marTop w:val="0"/>
      <w:marBottom w:val="0"/>
      <w:divBdr>
        <w:top w:val="none" w:sz="0" w:space="0" w:color="auto"/>
        <w:left w:val="none" w:sz="0" w:space="0" w:color="auto"/>
        <w:bottom w:val="none" w:sz="0" w:space="0" w:color="auto"/>
        <w:right w:val="none" w:sz="0" w:space="0" w:color="auto"/>
      </w:divBdr>
    </w:div>
    <w:div w:id="1781143904">
      <w:bodyDiv w:val="1"/>
      <w:marLeft w:val="0"/>
      <w:marRight w:val="0"/>
      <w:marTop w:val="0"/>
      <w:marBottom w:val="0"/>
      <w:divBdr>
        <w:top w:val="none" w:sz="0" w:space="0" w:color="auto"/>
        <w:left w:val="none" w:sz="0" w:space="0" w:color="auto"/>
        <w:bottom w:val="none" w:sz="0" w:space="0" w:color="auto"/>
        <w:right w:val="none" w:sz="0" w:space="0" w:color="auto"/>
      </w:divBdr>
    </w:div>
    <w:div w:id="1789347007">
      <w:bodyDiv w:val="1"/>
      <w:marLeft w:val="0"/>
      <w:marRight w:val="0"/>
      <w:marTop w:val="0"/>
      <w:marBottom w:val="0"/>
      <w:divBdr>
        <w:top w:val="none" w:sz="0" w:space="0" w:color="auto"/>
        <w:left w:val="none" w:sz="0" w:space="0" w:color="auto"/>
        <w:bottom w:val="none" w:sz="0" w:space="0" w:color="auto"/>
        <w:right w:val="none" w:sz="0" w:space="0" w:color="auto"/>
      </w:divBdr>
    </w:div>
    <w:div w:id="1832981373">
      <w:bodyDiv w:val="1"/>
      <w:marLeft w:val="0"/>
      <w:marRight w:val="0"/>
      <w:marTop w:val="0"/>
      <w:marBottom w:val="0"/>
      <w:divBdr>
        <w:top w:val="none" w:sz="0" w:space="0" w:color="auto"/>
        <w:left w:val="none" w:sz="0" w:space="0" w:color="auto"/>
        <w:bottom w:val="none" w:sz="0" w:space="0" w:color="auto"/>
        <w:right w:val="none" w:sz="0" w:space="0" w:color="auto"/>
      </w:divBdr>
    </w:div>
    <w:div w:id="185742867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0818381">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UQVA7MFFXVNW-850449931-664</_dlc_DocId>
    <_dlc_DocIdUrl xmlns="04b8ec43-391f-4ce4-8841-d6a482add564">
      <Url>http://collaboration/organisation/auth/Chair/Auth/_layouts/15/DocIdRedir.aspx?ID=UQVA7MFFXVNW-850449931-664</Url>
      <Description>UQVA7MFFXVNW-850449931-664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16CC-E1CA-44F4-88D3-B844E27D5565}">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FD683C98-A53D-4FDC-BDF6-BD14B1054335}">
  <ds:schemaRefs>
    <ds:schemaRef ds:uri="http://schemas.microsoft.com/sharepoint/v3/contenttype/forms"/>
  </ds:schemaRefs>
</ds:datastoreItem>
</file>

<file path=customXml/itemProps3.xml><?xml version="1.0" encoding="utf-8"?>
<ds:datastoreItem xmlns:ds="http://schemas.openxmlformats.org/officeDocument/2006/customXml" ds:itemID="{42460D8E-7AC3-4A31-A303-ED241DD6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A4427-3D4A-4A37-A1A3-F40E68A44269}">
  <ds:schemaRefs>
    <ds:schemaRef ds:uri="http://schemas.microsoft.com/sharepoint/events"/>
  </ds:schemaRefs>
</ds:datastoreItem>
</file>

<file path=customXml/itemProps5.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See post TLG V4 folder</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post TLG V4 folder</dc:title>
  <dc:subject/>
  <dc:creator>Patrick Belton</dc:creator>
  <cp:keywords/>
  <dc:description/>
  <cp:lastModifiedBy>Morgan Vaudrey</cp:lastModifiedBy>
  <cp:revision>4</cp:revision>
  <cp:lastPrinted>2022-08-17T03:42:00Z</cp:lastPrinted>
  <dcterms:created xsi:type="dcterms:W3CDTF">2023-06-16T06:19:00Z</dcterms:created>
  <dcterms:modified xsi:type="dcterms:W3CDTF">2023-06-22T23:34:00Z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d2e672a7-2aac-4e5b-8492-caddf60e36ed</vt:lpwstr>
  </property>
  <property fmtid="{D5CDD505-2E9C-101B-9397-08002B2CF9AE}" pid="4" name="TitusGUID">
    <vt:lpwstr>1a36961b-e980-48b7-9197-e82e097a6797</vt:lpwstr>
  </property>
</Properties>
</file>