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602B" w14:textId="77777777" w:rsidR="004D7CED" w:rsidRPr="00A25AC7" w:rsidRDefault="004D7CED" w:rsidP="004D7CED">
      <w:pPr>
        <w:spacing w:before="0" w:after="0"/>
        <w:jc w:val="center"/>
        <w:rPr>
          <w:b/>
          <w:sz w:val="22"/>
          <w:szCs w:val="22"/>
          <w:u w:val="single"/>
        </w:rPr>
      </w:pPr>
      <w:r w:rsidRPr="00A25AC7">
        <w:rPr>
          <w:b/>
          <w:sz w:val="22"/>
          <w:szCs w:val="22"/>
          <w:u w:val="single"/>
        </w:rPr>
        <w:t>EXPLANATORY STATEMENT</w:t>
      </w:r>
    </w:p>
    <w:p w14:paraId="3AB6222B" w14:textId="77777777" w:rsidR="004D7CED" w:rsidRPr="00A25AC7" w:rsidRDefault="004D7CED" w:rsidP="004D7CED">
      <w:pPr>
        <w:spacing w:before="0" w:after="0"/>
        <w:jc w:val="center"/>
        <w:rPr>
          <w:i/>
          <w:sz w:val="22"/>
          <w:szCs w:val="22"/>
        </w:rPr>
      </w:pPr>
    </w:p>
    <w:p w14:paraId="7849AF93" w14:textId="77777777" w:rsidR="004D7CED" w:rsidRPr="00A25AC7" w:rsidRDefault="004D7CED" w:rsidP="004D7CED">
      <w:pPr>
        <w:spacing w:before="0" w:after="0"/>
        <w:jc w:val="center"/>
        <w:rPr>
          <w:i/>
          <w:sz w:val="22"/>
          <w:szCs w:val="22"/>
        </w:rPr>
      </w:pPr>
      <w:r w:rsidRPr="00A25AC7">
        <w:rPr>
          <w:i/>
          <w:sz w:val="22"/>
          <w:szCs w:val="22"/>
        </w:rPr>
        <w:t>Therapeutic Goods Act 1989</w:t>
      </w:r>
    </w:p>
    <w:p w14:paraId="3DE18015" w14:textId="77777777" w:rsidR="004D7CED" w:rsidRPr="00A25AC7" w:rsidRDefault="004D7CED" w:rsidP="004D7CED">
      <w:pPr>
        <w:spacing w:before="0" w:after="0"/>
        <w:jc w:val="center"/>
        <w:rPr>
          <w:i/>
          <w:sz w:val="22"/>
          <w:szCs w:val="22"/>
        </w:rPr>
      </w:pPr>
    </w:p>
    <w:p w14:paraId="0EFB6BD7" w14:textId="7F925CD3" w:rsidR="004D7CED" w:rsidRPr="00A25AC7" w:rsidRDefault="004D7CED" w:rsidP="004D7CED">
      <w:pPr>
        <w:spacing w:before="0" w:after="0"/>
        <w:jc w:val="center"/>
        <w:rPr>
          <w:i/>
          <w:sz w:val="22"/>
          <w:szCs w:val="22"/>
        </w:rPr>
      </w:pPr>
      <w:r>
        <w:rPr>
          <w:i/>
          <w:sz w:val="22"/>
          <w:szCs w:val="22"/>
        </w:rPr>
        <w:t>Therapeutic Goods (</w:t>
      </w:r>
      <w:r w:rsidRPr="00A25AC7">
        <w:rPr>
          <w:i/>
          <w:sz w:val="22"/>
          <w:szCs w:val="22"/>
        </w:rPr>
        <w:t>Poisons Standard</w:t>
      </w:r>
      <w:r w:rsidRPr="00026FF3">
        <w:t>—</w:t>
      </w:r>
      <w:r w:rsidR="00C81042">
        <w:rPr>
          <w:i/>
          <w:sz w:val="22"/>
          <w:szCs w:val="22"/>
        </w:rPr>
        <w:t>Ju</w:t>
      </w:r>
      <w:r w:rsidR="008F2673">
        <w:rPr>
          <w:i/>
          <w:sz w:val="22"/>
          <w:szCs w:val="22"/>
        </w:rPr>
        <w:t>ly</w:t>
      </w:r>
      <w:r w:rsidR="00C81042">
        <w:rPr>
          <w:i/>
          <w:sz w:val="22"/>
          <w:szCs w:val="22"/>
        </w:rPr>
        <w:t xml:space="preserve"> </w:t>
      </w:r>
      <w:r>
        <w:rPr>
          <w:i/>
          <w:sz w:val="22"/>
          <w:szCs w:val="22"/>
        </w:rPr>
        <w:t>2023) Instrument</w:t>
      </w:r>
      <w:r w:rsidRPr="00A25AC7">
        <w:rPr>
          <w:i/>
          <w:sz w:val="22"/>
          <w:szCs w:val="22"/>
        </w:rPr>
        <w:t xml:space="preserve"> 202</w:t>
      </w:r>
      <w:r>
        <w:rPr>
          <w:i/>
          <w:sz w:val="22"/>
          <w:szCs w:val="22"/>
        </w:rPr>
        <w:t>3</w:t>
      </w:r>
    </w:p>
    <w:p w14:paraId="5E64D226" w14:textId="77777777" w:rsidR="004D7CED" w:rsidRPr="00A25AC7" w:rsidRDefault="004D7CED" w:rsidP="004D7CED">
      <w:pPr>
        <w:spacing w:before="0" w:after="0"/>
        <w:jc w:val="center"/>
        <w:rPr>
          <w:sz w:val="22"/>
          <w:szCs w:val="22"/>
        </w:rPr>
      </w:pPr>
    </w:p>
    <w:p w14:paraId="5CDEDABD" w14:textId="6819C922" w:rsidR="004D7CED" w:rsidRPr="00A25AC7" w:rsidRDefault="004D7CED" w:rsidP="004D7CED">
      <w:pPr>
        <w:spacing w:before="0" w:after="0"/>
        <w:rPr>
          <w:sz w:val="22"/>
          <w:szCs w:val="22"/>
        </w:rPr>
      </w:pPr>
      <w:r w:rsidRPr="00A25AC7">
        <w:rPr>
          <w:sz w:val="22"/>
          <w:szCs w:val="22"/>
        </w:rPr>
        <w:t xml:space="preserve">The </w:t>
      </w:r>
      <w:r w:rsidRPr="00A25AC7">
        <w:rPr>
          <w:i/>
          <w:sz w:val="22"/>
          <w:szCs w:val="22"/>
        </w:rPr>
        <w:t>Therapeutic Goods Act 1989</w:t>
      </w:r>
      <w:r w:rsidRPr="00A25AC7">
        <w:rPr>
          <w:sz w:val="22"/>
          <w:szCs w:val="22"/>
        </w:rPr>
        <w:t xml:space="preserve"> (“the Act”) provides for the establishment and maintenance of a national system of controls for the quality, safety, efficacy</w:t>
      </w:r>
      <w:r>
        <w:rPr>
          <w:sz w:val="22"/>
          <w:szCs w:val="22"/>
        </w:rPr>
        <w:t>,</w:t>
      </w:r>
      <w:r w:rsidRPr="00A25AC7">
        <w:rPr>
          <w:sz w:val="22"/>
          <w:szCs w:val="22"/>
        </w:rPr>
        <w:t xml:space="preserve">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w:t>
      </w:r>
      <w:r>
        <w:rPr>
          <w:sz w:val="22"/>
          <w:szCs w:val="22"/>
        </w:rPr>
        <w:t xml:space="preserve"> and Aged Care</w:t>
      </w:r>
      <w:r w:rsidRPr="00A25AC7">
        <w:rPr>
          <w:sz w:val="22"/>
          <w:szCs w:val="22"/>
        </w:rPr>
        <w:t>.</w:t>
      </w:r>
    </w:p>
    <w:p w14:paraId="6C7A63D1" w14:textId="77777777" w:rsidR="004D7CED" w:rsidRPr="00A25AC7" w:rsidRDefault="004D7CED" w:rsidP="004D7CED">
      <w:pPr>
        <w:autoSpaceDE w:val="0"/>
        <w:autoSpaceDN w:val="0"/>
        <w:adjustRightInd w:val="0"/>
        <w:spacing w:before="0" w:after="0"/>
        <w:rPr>
          <w:rFonts w:eastAsiaTheme="minorHAnsi"/>
          <w:color w:val="000000"/>
          <w:sz w:val="22"/>
          <w:szCs w:val="22"/>
          <w:lang w:val="en-AU"/>
        </w:rPr>
      </w:pPr>
    </w:p>
    <w:p w14:paraId="2E543CFE" w14:textId="5936ECCE" w:rsidR="004D7CED" w:rsidRPr="00A25AC7" w:rsidRDefault="004D7CED" w:rsidP="004D7CED">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70B49DAF" w14:textId="77777777" w:rsidR="004D7CED" w:rsidRPr="00A25AC7" w:rsidRDefault="004D7CED" w:rsidP="004D7CED">
      <w:pPr>
        <w:autoSpaceDE w:val="0"/>
        <w:autoSpaceDN w:val="0"/>
        <w:adjustRightInd w:val="0"/>
        <w:spacing w:before="0" w:after="0"/>
        <w:rPr>
          <w:rFonts w:eastAsiaTheme="minorHAnsi"/>
          <w:color w:val="000000"/>
          <w:sz w:val="22"/>
          <w:szCs w:val="22"/>
          <w:lang w:val="en-AU"/>
        </w:rPr>
      </w:pPr>
    </w:p>
    <w:p w14:paraId="5C12325E" w14:textId="5DFE0008" w:rsidR="004D7CED" w:rsidRDefault="004D7CED" w:rsidP="00702112">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 xml:space="preserve">Subsection 52D(2) of the Act empowers the Secretary to amend the current Poisons Standard or to prepare a document </w:t>
      </w:r>
      <w:r>
        <w:rPr>
          <w:rFonts w:eastAsiaTheme="minorHAnsi"/>
          <w:color w:val="000000"/>
          <w:sz w:val="22"/>
          <w:szCs w:val="22"/>
          <w:lang w:val="en-AU"/>
        </w:rPr>
        <w:t>in substitution for the current Poisons Standard.</w:t>
      </w:r>
      <w:r w:rsidRPr="00A25AC7">
        <w:rPr>
          <w:rFonts w:eastAsiaTheme="minorHAnsi"/>
          <w:color w:val="000000"/>
          <w:sz w:val="22"/>
          <w:szCs w:val="22"/>
          <w:lang w:val="en-AU"/>
        </w:rPr>
        <w:t xml:space="preserve"> </w:t>
      </w:r>
      <w:r>
        <w:rPr>
          <w:rFonts w:eastAsiaTheme="minorHAnsi"/>
          <w:color w:val="000000"/>
          <w:sz w:val="22"/>
          <w:szCs w:val="22"/>
          <w:lang w:val="en-AU"/>
        </w:rPr>
        <w:t>The current Poisons Standard</w:t>
      </w:r>
      <w:r w:rsidRPr="00A25AC7">
        <w:rPr>
          <w:rFonts w:eastAsiaTheme="minorHAnsi"/>
          <w:color w:val="000000"/>
          <w:sz w:val="22"/>
          <w:szCs w:val="22"/>
          <w:lang w:val="en-AU"/>
        </w:rPr>
        <w:t xml:space="preserve"> includes </w:t>
      </w:r>
      <w:r>
        <w:rPr>
          <w:rFonts w:eastAsiaTheme="minorHAnsi"/>
          <w:color w:val="000000"/>
          <w:sz w:val="22"/>
          <w:szCs w:val="22"/>
          <w:lang w:val="en-AU"/>
        </w:rPr>
        <w:t>S</w:t>
      </w:r>
      <w:r w:rsidRPr="00A25AC7">
        <w:rPr>
          <w:rFonts w:eastAsiaTheme="minorHAnsi"/>
          <w:color w:val="000000"/>
          <w:sz w:val="22"/>
          <w:szCs w:val="22"/>
          <w:lang w:val="en-AU"/>
        </w:rPr>
        <w:t xml:space="preserve">chedules containing the names or descriptions of substances, </w:t>
      </w:r>
      <w:r>
        <w:rPr>
          <w:rFonts w:eastAsiaTheme="minorHAnsi"/>
          <w:color w:val="000000"/>
          <w:sz w:val="22"/>
          <w:szCs w:val="22"/>
          <w:lang w:val="en-AU"/>
        </w:rPr>
        <w:t>with certain levels of control applying to each Schedule in accordance with the risk associated with the substances in a Schedule</w:t>
      </w:r>
      <w:r w:rsidRPr="00A25AC7">
        <w:rPr>
          <w:rFonts w:eastAsiaTheme="minorHAnsi"/>
          <w:color w:val="000000"/>
          <w:sz w:val="22"/>
          <w:szCs w:val="22"/>
          <w:lang w:val="en-AU"/>
        </w:rPr>
        <w:t>.</w:t>
      </w:r>
    </w:p>
    <w:p w14:paraId="7454149C" w14:textId="58A79F7A" w:rsidR="003F1FF7" w:rsidRDefault="003F1FF7" w:rsidP="004D7CED">
      <w:pPr>
        <w:autoSpaceDE w:val="0"/>
        <w:autoSpaceDN w:val="0"/>
        <w:adjustRightInd w:val="0"/>
        <w:spacing w:before="0" w:after="0"/>
        <w:rPr>
          <w:rFonts w:eastAsiaTheme="minorHAnsi"/>
          <w:color w:val="000000"/>
          <w:sz w:val="22"/>
          <w:szCs w:val="22"/>
          <w:lang w:val="en-AU"/>
        </w:rPr>
      </w:pPr>
    </w:p>
    <w:p w14:paraId="056580C8" w14:textId="79962401" w:rsidR="003F1FF7" w:rsidRPr="00CA1563" w:rsidRDefault="003F1FF7" w:rsidP="00702112">
      <w:pPr>
        <w:autoSpaceDE w:val="0"/>
        <w:autoSpaceDN w:val="0"/>
        <w:adjustRightInd w:val="0"/>
        <w:spacing w:before="0" w:after="0"/>
        <w:rPr>
          <w:iCs/>
          <w:sz w:val="22"/>
          <w:szCs w:val="22"/>
        </w:rPr>
      </w:pPr>
      <w:r>
        <w:rPr>
          <w:rFonts w:eastAsiaTheme="minorHAnsi"/>
          <w:color w:val="000000"/>
          <w:sz w:val="22"/>
          <w:szCs w:val="22"/>
          <w:lang w:val="en-AU"/>
        </w:rPr>
        <w:t xml:space="preserve">The </w:t>
      </w:r>
      <w:r>
        <w:rPr>
          <w:i/>
          <w:sz w:val="22"/>
          <w:szCs w:val="22"/>
        </w:rPr>
        <w:t>Therapeutic Goods (</w:t>
      </w:r>
      <w:r w:rsidRPr="00A25AC7">
        <w:rPr>
          <w:i/>
          <w:sz w:val="22"/>
          <w:szCs w:val="22"/>
        </w:rPr>
        <w:t>Poisons Standard</w:t>
      </w:r>
      <w:r w:rsidRPr="00026FF3">
        <w:t>—</w:t>
      </w:r>
      <w:r>
        <w:rPr>
          <w:i/>
          <w:sz w:val="22"/>
          <w:szCs w:val="22"/>
        </w:rPr>
        <w:t>Ju</w:t>
      </w:r>
      <w:r w:rsidR="008F2673">
        <w:rPr>
          <w:i/>
          <w:sz w:val="22"/>
          <w:szCs w:val="22"/>
        </w:rPr>
        <w:t>ly</w:t>
      </w:r>
      <w:r>
        <w:rPr>
          <w:i/>
          <w:sz w:val="22"/>
          <w:szCs w:val="22"/>
        </w:rPr>
        <w:t xml:space="preserve"> 2023) Instrument</w:t>
      </w:r>
      <w:r w:rsidRPr="00A25AC7">
        <w:rPr>
          <w:i/>
          <w:sz w:val="22"/>
          <w:szCs w:val="22"/>
        </w:rPr>
        <w:t xml:space="preserve"> 202</w:t>
      </w:r>
      <w:r>
        <w:rPr>
          <w:i/>
          <w:sz w:val="22"/>
          <w:szCs w:val="22"/>
        </w:rPr>
        <w:t xml:space="preserve">3 </w:t>
      </w:r>
      <w:r>
        <w:rPr>
          <w:iCs/>
          <w:sz w:val="22"/>
          <w:szCs w:val="22"/>
        </w:rPr>
        <w:t xml:space="preserve">(“the Instrument”) repeals and replaces the </w:t>
      </w:r>
      <w:r>
        <w:rPr>
          <w:i/>
          <w:sz w:val="22"/>
          <w:szCs w:val="22"/>
        </w:rPr>
        <w:t>Therapeutic Goods (Poisons Standard</w:t>
      </w:r>
      <w:r w:rsidRPr="00026FF3">
        <w:t>—</w:t>
      </w:r>
      <w:r w:rsidR="008F2673">
        <w:rPr>
          <w:i/>
          <w:iCs/>
        </w:rPr>
        <w:t>June</w:t>
      </w:r>
      <w:r>
        <w:rPr>
          <w:i/>
          <w:sz w:val="22"/>
          <w:szCs w:val="22"/>
        </w:rPr>
        <w:t xml:space="preserve"> 2023) Instrument 2023</w:t>
      </w:r>
      <w:r>
        <w:rPr>
          <w:iCs/>
          <w:sz w:val="22"/>
          <w:szCs w:val="22"/>
        </w:rPr>
        <w:t xml:space="preserve"> (“the Former Instrument”), </w:t>
      </w:r>
      <w:r w:rsidRPr="003F1FF7">
        <w:rPr>
          <w:iCs/>
          <w:sz w:val="22"/>
          <w:szCs w:val="22"/>
        </w:rPr>
        <w:t xml:space="preserve">which had been in effect since 1 </w:t>
      </w:r>
      <w:r w:rsidR="008F2673">
        <w:rPr>
          <w:iCs/>
          <w:sz w:val="22"/>
          <w:szCs w:val="22"/>
        </w:rPr>
        <w:t>June</w:t>
      </w:r>
      <w:r w:rsidRPr="003F1FF7">
        <w:rPr>
          <w:iCs/>
          <w:sz w:val="22"/>
          <w:szCs w:val="22"/>
        </w:rPr>
        <w:t xml:space="preserve"> 2023.</w:t>
      </w:r>
    </w:p>
    <w:p w14:paraId="220A399F" w14:textId="77777777" w:rsidR="003F1FF7" w:rsidRDefault="003F1FF7" w:rsidP="003F1FF7">
      <w:pPr>
        <w:autoSpaceDE w:val="0"/>
        <w:autoSpaceDN w:val="0"/>
        <w:adjustRightInd w:val="0"/>
        <w:spacing w:before="0" w:after="0"/>
        <w:rPr>
          <w:rFonts w:eastAsiaTheme="minorHAnsi"/>
          <w:sz w:val="22"/>
          <w:szCs w:val="22"/>
          <w:lang w:val="en-AU"/>
        </w:rPr>
      </w:pPr>
    </w:p>
    <w:p w14:paraId="7D514EBE" w14:textId="04A7D69F" w:rsidR="003F1FF7" w:rsidRDefault="003F1FF7" w:rsidP="003F1FF7">
      <w:pPr>
        <w:autoSpaceDE w:val="0"/>
        <w:autoSpaceDN w:val="0"/>
        <w:adjustRightInd w:val="0"/>
        <w:spacing w:before="0" w:after="0"/>
        <w:rPr>
          <w:iCs/>
          <w:sz w:val="22"/>
          <w:szCs w:val="22"/>
        </w:rPr>
      </w:pPr>
      <w:r>
        <w:rPr>
          <w:iCs/>
          <w:sz w:val="22"/>
          <w:szCs w:val="22"/>
        </w:rPr>
        <w:t xml:space="preserve">The purpose of the Instrument is principally to incorporate </w:t>
      </w:r>
      <w:proofErr w:type="gramStart"/>
      <w:r>
        <w:rPr>
          <w:iCs/>
          <w:sz w:val="22"/>
          <w:szCs w:val="22"/>
        </w:rPr>
        <w:t>a number of</w:t>
      </w:r>
      <w:proofErr w:type="gramEnd"/>
      <w:r>
        <w:rPr>
          <w:iCs/>
          <w:sz w:val="22"/>
          <w:szCs w:val="22"/>
        </w:rPr>
        <w:t xml:space="preserve"> changes to existing entries and to include a number of specified substances in the current Poisons Standard for the first time</w:t>
      </w:r>
      <w:r w:rsidRPr="005242AA">
        <w:rPr>
          <w:iCs/>
          <w:sz w:val="22"/>
          <w:szCs w:val="22"/>
        </w:rPr>
        <w:t>.</w:t>
      </w:r>
      <w:r w:rsidR="00420553">
        <w:rPr>
          <w:iCs/>
          <w:sz w:val="22"/>
          <w:szCs w:val="22"/>
        </w:rPr>
        <w:t xml:space="preserve"> In particular, the Instrument gives effect to scheduling decisions relating to psilocybine and </w:t>
      </w:r>
      <w:r w:rsidR="0050433C" w:rsidRPr="005714A0">
        <w:rPr>
          <w:rFonts w:eastAsiaTheme="minorHAnsi"/>
          <w:i/>
          <w:iCs/>
          <w:sz w:val="22"/>
          <w:szCs w:val="22"/>
          <w:lang w:val="en-AU"/>
        </w:rPr>
        <w:t>N,</w:t>
      </w:r>
      <w:r w:rsidR="0050433C">
        <w:rPr>
          <w:rFonts w:eastAsiaTheme="minorHAnsi"/>
          <w:i/>
          <w:iCs/>
          <w:sz w:val="22"/>
          <w:szCs w:val="22"/>
          <w:lang w:val="en-AU"/>
        </w:rPr>
        <w:t xml:space="preserve"> </w:t>
      </w:r>
      <w:r w:rsidR="0050433C" w:rsidRPr="005714A0">
        <w:rPr>
          <w:rFonts w:eastAsiaTheme="minorHAnsi"/>
          <w:i/>
          <w:iCs/>
          <w:sz w:val="22"/>
          <w:szCs w:val="22"/>
          <w:lang w:val="en-AU"/>
        </w:rPr>
        <w:t>α</w:t>
      </w:r>
      <w:r w:rsidR="0050433C">
        <w:rPr>
          <w:rFonts w:eastAsiaTheme="minorHAnsi"/>
          <w:i/>
          <w:iCs/>
          <w:sz w:val="22"/>
          <w:szCs w:val="22"/>
          <w:lang w:val="en-AU"/>
        </w:rPr>
        <w:t xml:space="preserve"> </w:t>
      </w:r>
      <w:r w:rsidR="0050433C" w:rsidRPr="003A37F2">
        <w:rPr>
          <w:rFonts w:eastAsiaTheme="minorHAnsi"/>
          <w:sz w:val="22"/>
          <w:szCs w:val="22"/>
          <w:lang w:val="en-AU"/>
        </w:rPr>
        <w:t>-dimethyl-3,4-(</w:t>
      </w:r>
      <w:proofErr w:type="gramStart"/>
      <w:r w:rsidR="0050433C" w:rsidRPr="003A37F2">
        <w:rPr>
          <w:rFonts w:eastAsiaTheme="minorHAnsi"/>
          <w:sz w:val="22"/>
          <w:szCs w:val="22"/>
          <w:lang w:val="en-AU"/>
        </w:rPr>
        <w:t>methylenedioxy)phenylethylamine</w:t>
      </w:r>
      <w:proofErr w:type="gramEnd"/>
      <w:r w:rsidR="0050433C" w:rsidRPr="003A37F2">
        <w:rPr>
          <w:rFonts w:eastAsiaTheme="minorHAnsi"/>
          <w:sz w:val="22"/>
          <w:szCs w:val="22"/>
          <w:lang w:val="en-AU"/>
        </w:rPr>
        <w:t xml:space="preserve"> *(MDMA)</w:t>
      </w:r>
      <w:r w:rsidR="00420553">
        <w:rPr>
          <w:iCs/>
          <w:sz w:val="22"/>
          <w:szCs w:val="22"/>
        </w:rPr>
        <w:t>, by including these substances in Schedule 8 to the current Poisons Standard so they may be available in very limited, prescribed circumstances and for particular indications (i.e. MDMA for post-traumatic stress disorder or psilocybine for treatment-resistant depression).</w:t>
      </w:r>
    </w:p>
    <w:p w14:paraId="7E178EAB" w14:textId="77777777" w:rsidR="004D7CED" w:rsidRDefault="004D7CED" w:rsidP="004D7CED">
      <w:pPr>
        <w:autoSpaceDE w:val="0"/>
        <w:autoSpaceDN w:val="0"/>
        <w:adjustRightInd w:val="0"/>
        <w:spacing w:before="0" w:after="0"/>
        <w:rPr>
          <w:iCs/>
          <w:sz w:val="22"/>
          <w:szCs w:val="22"/>
        </w:rPr>
      </w:pPr>
    </w:p>
    <w:p w14:paraId="68C9259D" w14:textId="77777777" w:rsidR="004D7CED" w:rsidRPr="00433D97" w:rsidRDefault="004D7CED" w:rsidP="004D7CED">
      <w:pPr>
        <w:autoSpaceDE w:val="0"/>
        <w:autoSpaceDN w:val="0"/>
        <w:adjustRightInd w:val="0"/>
        <w:spacing w:before="0" w:after="0"/>
        <w:rPr>
          <w:rFonts w:eastAsiaTheme="minorHAnsi"/>
          <w:b/>
          <w:bCs/>
          <w:color w:val="000000"/>
          <w:sz w:val="22"/>
          <w:szCs w:val="22"/>
          <w:lang w:val="en-AU"/>
        </w:rPr>
      </w:pPr>
      <w:r>
        <w:rPr>
          <w:rFonts w:eastAsiaTheme="minorHAnsi"/>
          <w:b/>
          <w:bCs/>
          <w:color w:val="000000"/>
          <w:sz w:val="22"/>
          <w:szCs w:val="22"/>
          <w:lang w:val="en-AU"/>
        </w:rPr>
        <w:t>Background</w:t>
      </w:r>
    </w:p>
    <w:p w14:paraId="07B4DCAB" w14:textId="77777777" w:rsidR="004D7CED" w:rsidRDefault="004D7CED" w:rsidP="004D7CED">
      <w:pPr>
        <w:autoSpaceDE w:val="0"/>
        <w:autoSpaceDN w:val="0"/>
        <w:adjustRightInd w:val="0"/>
        <w:spacing w:before="0" w:after="0"/>
        <w:rPr>
          <w:rFonts w:eastAsiaTheme="minorHAnsi"/>
          <w:color w:val="000000"/>
          <w:sz w:val="22"/>
          <w:szCs w:val="22"/>
          <w:lang w:val="en-AU"/>
        </w:rPr>
      </w:pPr>
    </w:p>
    <w:p w14:paraId="40823D6D" w14:textId="5DEEC2D8" w:rsidR="004D7CED" w:rsidRPr="00A25AC7" w:rsidRDefault="004D7CED" w:rsidP="004D7CED">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w:t>
      </w:r>
      <w:r>
        <w:rPr>
          <w:rFonts w:eastAsiaTheme="minorHAnsi"/>
          <w:color w:val="000000"/>
          <w:sz w:val="22"/>
          <w:szCs w:val="22"/>
          <w:lang w:val="en-AU"/>
        </w:rPr>
        <w:t xml:space="preserve"> These decisions are published on the TGA website.</w:t>
      </w:r>
    </w:p>
    <w:p w14:paraId="5F7B4601" w14:textId="77777777" w:rsidR="004D7CED" w:rsidRPr="00A25AC7" w:rsidRDefault="004D7CED" w:rsidP="004D7CED">
      <w:pPr>
        <w:autoSpaceDE w:val="0"/>
        <w:autoSpaceDN w:val="0"/>
        <w:adjustRightInd w:val="0"/>
        <w:spacing w:before="0" w:after="0"/>
        <w:rPr>
          <w:rFonts w:eastAsiaTheme="minorHAnsi"/>
          <w:color w:val="000000"/>
          <w:sz w:val="22"/>
          <w:szCs w:val="22"/>
          <w:lang w:val="en-AU"/>
        </w:rPr>
      </w:pPr>
    </w:p>
    <w:p w14:paraId="1739722D" w14:textId="77777777" w:rsidR="004D7CED" w:rsidRPr="00A25AC7" w:rsidRDefault="004D7CED" w:rsidP="004D7CED">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The Act establishes two expert advisory committees, the Advisory Committee on Medicines Scheduling (“</w:t>
      </w:r>
      <w:r>
        <w:rPr>
          <w:rFonts w:eastAsiaTheme="minorHAnsi"/>
          <w:color w:val="000000"/>
          <w:sz w:val="22"/>
          <w:szCs w:val="22"/>
          <w:lang w:val="en-AU"/>
        </w:rPr>
        <w:t xml:space="preserve">the </w:t>
      </w:r>
      <w:r w:rsidRPr="00A25AC7">
        <w:rPr>
          <w:rFonts w:eastAsiaTheme="minorHAnsi"/>
          <w:color w:val="000000"/>
          <w:sz w:val="22"/>
          <w:szCs w:val="22"/>
          <w:lang w:val="en-AU"/>
        </w:rPr>
        <w:t>ACMS”) (section 52B of the Act refers) and the Advisory Committee on Chemicals Scheduling (“</w:t>
      </w:r>
      <w:r>
        <w:rPr>
          <w:rFonts w:eastAsiaTheme="minorHAnsi"/>
          <w:color w:val="000000"/>
          <w:sz w:val="22"/>
          <w:szCs w:val="22"/>
          <w:lang w:val="en-AU"/>
        </w:rPr>
        <w:t xml:space="preserve">the </w:t>
      </w:r>
      <w:r w:rsidRPr="00A25AC7">
        <w:rPr>
          <w:rFonts w:eastAsiaTheme="minorHAnsi"/>
          <w:color w:val="000000"/>
          <w:sz w:val="22"/>
          <w:szCs w:val="22"/>
          <w:lang w:val="en-AU"/>
        </w:rPr>
        <w:t>ACCS”) (section 52C of the Act refers), which provide advice and make recommendations to the Secretary on matters relating to medicines and chemicals scheduling decisions.</w:t>
      </w:r>
    </w:p>
    <w:p w14:paraId="11DDEBB6" w14:textId="77777777" w:rsidR="004D7CED" w:rsidRDefault="004D7CED" w:rsidP="004D7CED">
      <w:pPr>
        <w:keepLines/>
        <w:autoSpaceDE w:val="0"/>
        <w:autoSpaceDN w:val="0"/>
        <w:adjustRightInd w:val="0"/>
        <w:spacing w:before="0" w:after="0"/>
        <w:rPr>
          <w:rFonts w:eastAsiaTheme="minorHAnsi"/>
          <w:color w:val="000000"/>
          <w:sz w:val="22"/>
          <w:szCs w:val="22"/>
          <w:lang w:val="en-AU"/>
        </w:rPr>
      </w:pPr>
    </w:p>
    <w:p w14:paraId="09A863E9" w14:textId="3E3BF999" w:rsidR="004D7CED" w:rsidRPr="00590E00" w:rsidRDefault="004D7CED" w:rsidP="004D7CED">
      <w:pPr>
        <w:keepLines/>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lastRenderedPageBreak/>
        <w:t xml:space="preserve">The Scheduling Policy Framework (“the SPF”) provides guidance on whether a decision concerning the scheduling of substances would benefit from being referred to ACMS or ACCS for advice. A copy of the SPF can be found at: </w:t>
      </w:r>
      <w:r w:rsidRPr="00D24A04">
        <w:rPr>
          <w:rFonts w:eastAsiaTheme="minorHAnsi"/>
          <w:sz w:val="22"/>
          <w:szCs w:val="22"/>
          <w:lang w:val="en-AU"/>
        </w:rPr>
        <w:t>www.tga.gov.au/publication/ahmac-scheduling-policy-framework-medicines-and-chemicals</w:t>
      </w:r>
      <w:r w:rsidRPr="00A25AC7">
        <w:rPr>
          <w:rFonts w:eastAsiaTheme="minorHAnsi"/>
          <w:color w:val="000000"/>
          <w:sz w:val="22"/>
          <w:szCs w:val="22"/>
          <w:lang w:val="en-AU"/>
        </w:rPr>
        <w:t>.</w:t>
      </w:r>
    </w:p>
    <w:p w14:paraId="1C0D9D5D" w14:textId="77777777" w:rsidR="004D7CED" w:rsidRDefault="004D7CED" w:rsidP="004D7CED">
      <w:pPr>
        <w:autoSpaceDE w:val="0"/>
        <w:autoSpaceDN w:val="0"/>
        <w:adjustRightInd w:val="0"/>
        <w:spacing w:before="0" w:after="0"/>
        <w:rPr>
          <w:rFonts w:eastAsiaTheme="minorHAnsi"/>
          <w:color w:val="000000"/>
          <w:sz w:val="22"/>
          <w:szCs w:val="22"/>
          <w:lang w:val="en-AU"/>
        </w:rPr>
      </w:pPr>
    </w:p>
    <w:p w14:paraId="515AC9B5" w14:textId="471F1E2E" w:rsidR="004D7CED" w:rsidRPr="00A25AC7" w:rsidRDefault="004D7CED" w:rsidP="004D7CED">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 xml:space="preserve">The Schedules </w:t>
      </w:r>
      <w:r>
        <w:rPr>
          <w:rFonts w:eastAsiaTheme="minorHAnsi"/>
          <w:color w:val="000000"/>
          <w:sz w:val="22"/>
          <w:szCs w:val="22"/>
          <w:lang w:val="en-AU"/>
        </w:rPr>
        <w:t xml:space="preserve">to </w:t>
      </w:r>
      <w:r w:rsidRPr="00A25AC7">
        <w:rPr>
          <w:rFonts w:eastAsiaTheme="minorHAnsi"/>
          <w:color w:val="000000"/>
          <w:sz w:val="22"/>
          <w:szCs w:val="22"/>
          <w:lang w:val="en-AU"/>
        </w:rPr>
        <w:t xml:space="preserve">the Poisons Standard are incorporated by reference </w:t>
      </w:r>
      <w:r>
        <w:rPr>
          <w:rFonts w:eastAsiaTheme="minorHAnsi"/>
          <w:color w:val="000000"/>
          <w:sz w:val="22"/>
          <w:szCs w:val="22"/>
          <w:lang w:val="en-AU"/>
        </w:rPr>
        <w:t>in</w:t>
      </w:r>
      <w:r w:rsidRPr="00A25AC7">
        <w:rPr>
          <w:rFonts w:eastAsiaTheme="minorHAnsi"/>
          <w:color w:val="000000"/>
          <w:sz w:val="22"/>
          <w:szCs w:val="22"/>
          <w:lang w:val="en-AU"/>
        </w:rPr>
        <w:t xml:space="preserve">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22F90530" w14:textId="77777777" w:rsidR="004D7CED" w:rsidRPr="00A25AC7" w:rsidRDefault="004D7CED" w:rsidP="004D7CED">
      <w:pPr>
        <w:autoSpaceDE w:val="0"/>
        <w:autoSpaceDN w:val="0"/>
        <w:adjustRightInd w:val="0"/>
        <w:spacing w:before="0" w:after="0"/>
        <w:rPr>
          <w:rFonts w:eastAsiaTheme="minorHAnsi"/>
          <w:color w:val="000000"/>
          <w:sz w:val="22"/>
          <w:szCs w:val="22"/>
          <w:lang w:val="en-AU"/>
        </w:rPr>
      </w:pPr>
    </w:p>
    <w:p w14:paraId="4648D383" w14:textId="12CB9EC0" w:rsidR="004D7CED" w:rsidRPr="00A25AC7" w:rsidRDefault="004D7CED" w:rsidP="004D7CED">
      <w:pPr>
        <w:autoSpaceDE w:val="0"/>
        <w:autoSpaceDN w:val="0"/>
        <w:adjustRightInd w:val="0"/>
        <w:spacing w:before="0" w:after="0"/>
        <w:rPr>
          <w:rFonts w:eastAsiaTheme="minorHAnsi"/>
          <w:color w:val="000000"/>
          <w:sz w:val="22"/>
          <w:szCs w:val="22"/>
          <w:lang w:val="en-AU"/>
        </w:rPr>
      </w:pPr>
      <w:r w:rsidRPr="00A25AC7">
        <w:rPr>
          <w:rFonts w:eastAsiaTheme="minorHAnsi"/>
          <w:color w:val="000000"/>
          <w:sz w:val="22"/>
          <w:szCs w:val="22"/>
          <w:lang w:val="en-AU"/>
        </w:rPr>
        <w:t xml:space="preserve">Similarly, the Commonwealth </w:t>
      </w:r>
      <w:r>
        <w:rPr>
          <w:rFonts w:eastAsiaTheme="minorHAnsi"/>
          <w:color w:val="000000"/>
          <w:sz w:val="22"/>
          <w:szCs w:val="22"/>
          <w:lang w:val="en-AU"/>
        </w:rPr>
        <w:t>utilises</w:t>
      </w:r>
      <w:r w:rsidRPr="00A25AC7">
        <w:rPr>
          <w:rFonts w:eastAsiaTheme="minorHAnsi"/>
          <w:color w:val="000000"/>
          <w:sz w:val="22"/>
          <w:szCs w:val="22"/>
          <w:lang w:val="en-AU"/>
        </w:rPr>
        <w:t xml:space="preserve"> the scheduling and classification of substances in the </w:t>
      </w:r>
      <w:r>
        <w:rPr>
          <w:rFonts w:eastAsiaTheme="minorHAnsi"/>
          <w:color w:val="000000"/>
          <w:sz w:val="22"/>
          <w:szCs w:val="22"/>
          <w:lang w:val="en-AU"/>
        </w:rPr>
        <w:t xml:space="preserve">current </w:t>
      </w:r>
      <w:r w:rsidRPr="00A25AC7">
        <w:rPr>
          <w:rFonts w:eastAsiaTheme="minorHAnsi"/>
          <w:color w:val="000000"/>
          <w:sz w:val="22"/>
          <w:szCs w:val="22"/>
          <w:lang w:val="en-AU"/>
        </w:rPr>
        <w:t xml:space="preserve">Poisons Standard for </w:t>
      </w:r>
      <w:r>
        <w:rPr>
          <w:rFonts w:eastAsiaTheme="minorHAnsi"/>
          <w:color w:val="000000"/>
          <w:sz w:val="22"/>
          <w:szCs w:val="22"/>
          <w:lang w:val="en-AU"/>
        </w:rPr>
        <w:t xml:space="preserve">some </w:t>
      </w:r>
      <w:r w:rsidRPr="00A25AC7">
        <w:rPr>
          <w:rFonts w:eastAsiaTheme="minorHAnsi"/>
          <w:color w:val="000000"/>
          <w:sz w:val="22"/>
          <w:szCs w:val="22"/>
          <w:lang w:val="en-AU"/>
        </w:rPr>
        <w:t>regulatory and enforcement purposes under the Act. For example, the Act prohibits the publication or broadcasting of advertisements to consumers about prescription medicines containing substances included in Schedule 4 or Schedule 8 to the</w:t>
      </w:r>
      <w:r>
        <w:rPr>
          <w:rFonts w:eastAsiaTheme="minorHAnsi"/>
          <w:color w:val="000000"/>
          <w:sz w:val="22"/>
          <w:szCs w:val="22"/>
          <w:lang w:val="en-AU"/>
        </w:rPr>
        <w:t xml:space="preserve"> current</w:t>
      </w:r>
      <w:r w:rsidRPr="00A25AC7">
        <w:rPr>
          <w:rFonts w:eastAsiaTheme="minorHAnsi"/>
          <w:color w:val="000000"/>
          <w:sz w:val="22"/>
          <w:szCs w:val="22"/>
          <w:lang w:val="en-AU"/>
        </w:rPr>
        <w:t xml:space="preserve"> Poisons Standard, or over-the-counter medicines containing substances included in Schedule 3 and not included in Appendix H of the</w:t>
      </w:r>
      <w:r>
        <w:rPr>
          <w:rFonts w:eastAsiaTheme="minorHAnsi"/>
          <w:color w:val="000000"/>
          <w:sz w:val="22"/>
          <w:szCs w:val="22"/>
          <w:lang w:val="en-AU"/>
        </w:rPr>
        <w:t xml:space="preserve"> current</w:t>
      </w:r>
      <w:r w:rsidRPr="00A25AC7">
        <w:rPr>
          <w:rFonts w:eastAsiaTheme="minorHAnsi"/>
          <w:color w:val="000000"/>
          <w:sz w:val="22"/>
          <w:szCs w:val="22"/>
          <w:lang w:val="en-AU"/>
        </w:rPr>
        <w:t xml:space="preserve"> Poisons Standard. The advertising of substances included in Schedule 9 or Schedule 10 to the Poisons Standard is also prohibited.</w:t>
      </w:r>
    </w:p>
    <w:p w14:paraId="72E71098" w14:textId="77777777" w:rsidR="004D7CED" w:rsidRPr="00A25AC7" w:rsidRDefault="004D7CED" w:rsidP="004D7CED">
      <w:pPr>
        <w:autoSpaceDE w:val="0"/>
        <w:autoSpaceDN w:val="0"/>
        <w:adjustRightInd w:val="0"/>
        <w:spacing w:before="0" w:after="0"/>
        <w:rPr>
          <w:rFonts w:eastAsiaTheme="minorHAnsi"/>
          <w:color w:val="000000"/>
          <w:sz w:val="22"/>
          <w:szCs w:val="22"/>
          <w:lang w:val="en-AU"/>
        </w:rPr>
      </w:pPr>
    </w:p>
    <w:p w14:paraId="2574866A" w14:textId="77777777" w:rsidR="004D7CED" w:rsidRPr="00D244BF" w:rsidDel="00590E00" w:rsidRDefault="004D7CED" w:rsidP="004D7CED">
      <w:pPr>
        <w:keepLines/>
        <w:autoSpaceDE w:val="0"/>
        <w:autoSpaceDN w:val="0"/>
        <w:adjustRightInd w:val="0"/>
        <w:spacing w:before="0" w:after="0"/>
        <w:rPr>
          <w:rFonts w:eastAsiaTheme="minorHAnsi"/>
          <w:b/>
          <w:bCs/>
          <w:color w:val="000000"/>
          <w:sz w:val="22"/>
          <w:szCs w:val="22"/>
          <w:lang w:val="en-AU"/>
        </w:rPr>
      </w:pPr>
      <w:r>
        <w:rPr>
          <w:rFonts w:eastAsiaTheme="minorHAnsi"/>
          <w:b/>
          <w:bCs/>
          <w:color w:val="000000"/>
          <w:sz w:val="22"/>
          <w:szCs w:val="22"/>
          <w:lang w:val="en-AU"/>
        </w:rPr>
        <w:t>Purpose</w:t>
      </w:r>
    </w:p>
    <w:p w14:paraId="02555944" w14:textId="77777777" w:rsidR="004D7CED" w:rsidRDefault="004D7CED" w:rsidP="004D7CED">
      <w:pPr>
        <w:autoSpaceDE w:val="0"/>
        <w:autoSpaceDN w:val="0"/>
        <w:adjustRightInd w:val="0"/>
        <w:spacing w:before="0" w:after="0"/>
        <w:rPr>
          <w:rFonts w:eastAsiaTheme="minorHAnsi"/>
          <w:color w:val="000000"/>
          <w:sz w:val="22"/>
          <w:szCs w:val="22"/>
          <w:lang w:val="en-AU"/>
        </w:rPr>
      </w:pPr>
    </w:p>
    <w:p w14:paraId="1F4E477E" w14:textId="0E9917B3" w:rsidR="004D7CED" w:rsidRPr="00BB34B1" w:rsidRDefault="004D7CED" w:rsidP="004D7CED">
      <w:pPr>
        <w:spacing w:before="0" w:after="0"/>
        <w:rPr>
          <w:rFonts w:eastAsiaTheme="minorHAnsi"/>
          <w:b/>
          <w:bCs/>
          <w:sz w:val="22"/>
          <w:szCs w:val="22"/>
          <w:lang w:val="en-AU"/>
        </w:rPr>
      </w:pPr>
      <w:r>
        <w:rPr>
          <w:iCs/>
          <w:sz w:val="22"/>
          <w:szCs w:val="22"/>
        </w:rPr>
        <w:t xml:space="preserve">The Instrument incorporates a number of changes to existing entries in the current Poisons </w:t>
      </w:r>
      <w:proofErr w:type="gramStart"/>
      <w:r>
        <w:rPr>
          <w:iCs/>
          <w:sz w:val="22"/>
          <w:szCs w:val="22"/>
        </w:rPr>
        <w:t>Standard</w:t>
      </w:r>
      <w:r w:rsidR="003F3D70">
        <w:rPr>
          <w:iCs/>
          <w:sz w:val="22"/>
          <w:szCs w:val="22"/>
        </w:rPr>
        <w:t xml:space="preserve">, </w:t>
      </w:r>
      <w:r>
        <w:rPr>
          <w:iCs/>
          <w:sz w:val="22"/>
          <w:szCs w:val="22"/>
        </w:rPr>
        <w:t>and</w:t>
      </w:r>
      <w:proofErr w:type="gramEnd"/>
      <w:r>
        <w:rPr>
          <w:iCs/>
          <w:sz w:val="22"/>
          <w:szCs w:val="22"/>
        </w:rPr>
        <w:t xml:space="preserve"> includes a number of specified substances in the current Poisons Standard for the first time. </w:t>
      </w:r>
      <w:r>
        <w:rPr>
          <w:rFonts w:eastAsiaTheme="minorHAnsi"/>
          <w:sz w:val="22"/>
          <w:szCs w:val="22"/>
          <w:lang w:val="en-AU"/>
        </w:rPr>
        <w:t xml:space="preserve">A number </w:t>
      </w:r>
      <w:r w:rsidRPr="00A25AC7">
        <w:rPr>
          <w:rFonts w:eastAsiaTheme="minorHAnsi"/>
          <w:sz w:val="22"/>
          <w:szCs w:val="22"/>
          <w:lang w:val="en-AU"/>
        </w:rPr>
        <w:t xml:space="preserve">of these changes were made following the provision of advice from the ACMS, in accordance with the procedures set out in Subdivision 3D.2 of Part 6 of the </w:t>
      </w:r>
      <w:r w:rsidRPr="00A25AC7">
        <w:rPr>
          <w:rFonts w:eastAsiaTheme="minorHAnsi"/>
          <w:i/>
          <w:sz w:val="22"/>
          <w:szCs w:val="22"/>
          <w:lang w:val="en-AU"/>
        </w:rPr>
        <w:t>Therapeutic Goods Regulations 1990</w:t>
      </w:r>
      <w:r w:rsidR="00864603">
        <w:rPr>
          <w:rFonts w:eastAsiaTheme="minorHAnsi"/>
          <w:iCs/>
          <w:sz w:val="22"/>
          <w:szCs w:val="22"/>
          <w:lang w:val="en-AU"/>
        </w:rPr>
        <w:t xml:space="preserve"> (“the Regulations”)</w:t>
      </w:r>
      <w:r w:rsidRPr="00A25AC7">
        <w:rPr>
          <w:rFonts w:eastAsiaTheme="minorHAnsi"/>
          <w:sz w:val="22"/>
          <w:szCs w:val="22"/>
          <w:lang w:val="en-AU"/>
        </w:rPr>
        <w:t xml:space="preserve"> for amending the Poisons Standard when a proposed amendment is referred to an expert advisory committee.</w:t>
      </w:r>
    </w:p>
    <w:p w14:paraId="4D5930DD" w14:textId="77777777" w:rsidR="000926E4" w:rsidRDefault="000926E4" w:rsidP="004D7CED">
      <w:pPr>
        <w:spacing w:before="0" w:after="0"/>
        <w:rPr>
          <w:rFonts w:eastAsiaTheme="minorHAnsi"/>
          <w:i/>
          <w:iCs/>
          <w:sz w:val="22"/>
          <w:szCs w:val="22"/>
          <w:lang w:val="en-AU"/>
        </w:rPr>
      </w:pPr>
    </w:p>
    <w:p w14:paraId="0051801D" w14:textId="7619A253" w:rsidR="004D7CED" w:rsidRPr="00ED6474" w:rsidRDefault="004D7CED" w:rsidP="004D7CED">
      <w:pPr>
        <w:spacing w:before="0" w:after="0"/>
        <w:rPr>
          <w:rFonts w:eastAsiaTheme="minorHAnsi"/>
          <w:i/>
          <w:iCs/>
          <w:sz w:val="22"/>
          <w:szCs w:val="22"/>
          <w:lang w:val="en-AU"/>
        </w:rPr>
      </w:pPr>
      <w:r w:rsidRPr="00ED6474">
        <w:rPr>
          <w:rFonts w:eastAsiaTheme="minorHAnsi"/>
          <w:i/>
          <w:iCs/>
          <w:sz w:val="22"/>
          <w:szCs w:val="22"/>
          <w:lang w:val="en-AU"/>
        </w:rPr>
        <w:t xml:space="preserve">New </w:t>
      </w:r>
      <w:r w:rsidR="008F2673">
        <w:rPr>
          <w:rFonts w:eastAsiaTheme="minorHAnsi"/>
          <w:i/>
          <w:iCs/>
          <w:sz w:val="22"/>
          <w:szCs w:val="22"/>
          <w:lang w:val="en-AU"/>
        </w:rPr>
        <w:t xml:space="preserve">and amended </w:t>
      </w:r>
      <w:r>
        <w:rPr>
          <w:rFonts w:eastAsiaTheme="minorHAnsi"/>
          <w:i/>
          <w:iCs/>
          <w:sz w:val="22"/>
          <w:szCs w:val="22"/>
          <w:lang w:val="en-AU"/>
        </w:rPr>
        <w:t>schedule entries</w:t>
      </w:r>
    </w:p>
    <w:p w14:paraId="7B93B076" w14:textId="51950C5A" w:rsidR="000926E4" w:rsidRPr="002D7DB3" w:rsidRDefault="000926E4" w:rsidP="000926E4">
      <w:pPr>
        <w:spacing w:before="0" w:after="0"/>
        <w:rPr>
          <w:rFonts w:eastAsiaTheme="minorHAnsi"/>
          <w:sz w:val="22"/>
          <w:szCs w:val="22"/>
          <w:lang w:val="en-AU"/>
        </w:rPr>
      </w:pPr>
      <w:r w:rsidRPr="002D7DB3">
        <w:rPr>
          <w:rFonts w:eastAsiaTheme="minorHAnsi"/>
          <w:sz w:val="22"/>
          <w:szCs w:val="22"/>
          <w:lang w:val="en-AU"/>
        </w:rPr>
        <w:t>The Instrument introduces new schedule entr</w:t>
      </w:r>
      <w:r w:rsidR="009A59CF">
        <w:rPr>
          <w:rFonts w:eastAsiaTheme="minorHAnsi"/>
          <w:sz w:val="22"/>
          <w:szCs w:val="22"/>
          <w:lang w:val="en-AU"/>
        </w:rPr>
        <w:t>ies</w:t>
      </w:r>
      <w:r w:rsidRPr="002D7DB3">
        <w:rPr>
          <w:rFonts w:eastAsiaTheme="minorHAnsi"/>
          <w:sz w:val="22"/>
          <w:szCs w:val="22"/>
          <w:lang w:val="en-AU"/>
        </w:rPr>
        <w:t xml:space="preserve"> </w:t>
      </w:r>
      <w:r w:rsidR="008F2673">
        <w:rPr>
          <w:rFonts w:eastAsiaTheme="minorHAnsi"/>
          <w:sz w:val="22"/>
          <w:szCs w:val="22"/>
          <w:lang w:val="en-AU"/>
        </w:rPr>
        <w:t xml:space="preserve">in </w:t>
      </w:r>
      <w:r w:rsidR="0021289A">
        <w:rPr>
          <w:rFonts w:eastAsiaTheme="minorHAnsi"/>
          <w:sz w:val="22"/>
          <w:szCs w:val="22"/>
          <w:lang w:val="en-AU"/>
        </w:rPr>
        <w:t>S</w:t>
      </w:r>
      <w:r w:rsidR="008F2673">
        <w:rPr>
          <w:rFonts w:eastAsiaTheme="minorHAnsi"/>
          <w:sz w:val="22"/>
          <w:szCs w:val="22"/>
          <w:lang w:val="en-AU"/>
        </w:rPr>
        <w:t xml:space="preserve">chedule 8 to the Poisons Standard </w:t>
      </w:r>
      <w:r w:rsidRPr="002D7DB3">
        <w:rPr>
          <w:rFonts w:eastAsiaTheme="minorHAnsi"/>
          <w:sz w:val="22"/>
          <w:szCs w:val="22"/>
          <w:lang w:val="en-AU"/>
        </w:rPr>
        <w:t>for</w:t>
      </w:r>
      <w:r>
        <w:rPr>
          <w:rFonts w:eastAsiaTheme="minorHAnsi"/>
          <w:sz w:val="22"/>
          <w:szCs w:val="22"/>
          <w:lang w:val="en-AU"/>
        </w:rPr>
        <w:t xml:space="preserve"> </w:t>
      </w:r>
      <w:r w:rsidRPr="002D7DB3">
        <w:rPr>
          <w:rFonts w:eastAsiaTheme="minorHAnsi"/>
          <w:sz w:val="22"/>
          <w:szCs w:val="22"/>
          <w:lang w:val="en-AU"/>
        </w:rPr>
        <w:t>existing substance</w:t>
      </w:r>
      <w:r w:rsidR="009A59CF">
        <w:rPr>
          <w:rFonts w:eastAsiaTheme="minorHAnsi"/>
          <w:sz w:val="22"/>
          <w:szCs w:val="22"/>
          <w:lang w:val="en-AU"/>
        </w:rPr>
        <w:t>s</w:t>
      </w:r>
      <w:r w:rsidR="008F2673">
        <w:rPr>
          <w:rFonts w:eastAsiaTheme="minorHAnsi"/>
          <w:sz w:val="22"/>
          <w:szCs w:val="22"/>
          <w:lang w:val="en-AU"/>
        </w:rPr>
        <w:t xml:space="preserve">, </w:t>
      </w:r>
      <w:r w:rsidR="008F2673" w:rsidRPr="003A37F2">
        <w:rPr>
          <w:rFonts w:eastAsiaTheme="minorHAnsi"/>
          <w:sz w:val="22"/>
          <w:szCs w:val="22"/>
          <w:lang w:val="en-AU"/>
        </w:rPr>
        <w:t>MDMA</w:t>
      </w:r>
      <w:r w:rsidR="008F2673">
        <w:rPr>
          <w:rFonts w:eastAsiaTheme="minorHAnsi"/>
          <w:sz w:val="22"/>
          <w:szCs w:val="22"/>
          <w:lang w:val="en-AU"/>
        </w:rPr>
        <w:t xml:space="preserve"> and psilocybine</w:t>
      </w:r>
      <w:r w:rsidR="0035308F">
        <w:rPr>
          <w:rFonts w:eastAsiaTheme="minorHAnsi"/>
          <w:sz w:val="22"/>
          <w:szCs w:val="22"/>
          <w:lang w:val="en-AU"/>
        </w:rPr>
        <w:t>,</w:t>
      </w:r>
      <w:r w:rsidR="008F2673">
        <w:rPr>
          <w:rFonts w:eastAsiaTheme="minorHAnsi"/>
          <w:sz w:val="22"/>
          <w:szCs w:val="22"/>
          <w:lang w:val="en-AU"/>
        </w:rPr>
        <w:t xml:space="preserve"> with associated </w:t>
      </w:r>
      <w:r w:rsidR="003E46BB">
        <w:rPr>
          <w:rFonts w:eastAsiaTheme="minorHAnsi"/>
          <w:sz w:val="22"/>
          <w:szCs w:val="22"/>
          <w:lang w:val="en-AU"/>
        </w:rPr>
        <w:t>additional controls specified</w:t>
      </w:r>
      <w:r w:rsidR="008F2673">
        <w:rPr>
          <w:rFonts w:eastAsiaTheme="minorHAnsi"/>
          <w:sz w:val="22"/>
          <w:szCs w:val="22"/>
          <w:lang w:val="en-AU"/>
        </w:rPr>
        <w:t xml:space="preserve"> in clause 5 and clause 10</w:t>
      </w:r>
      <w:r w:rsidR="00420553">
        <w:rPr>
          <w:rFonts w:eastAsiaTheme="minorHAnsi"/>
          <w:sz w:val="22"/>
          <w:szCs w:val="22"/>
          <w:lang w:val="en-AU"/>
        </w:rPr>
        <w:t xml:space="preserve"> of Appendix D to the Poisons Standard</w:t>
      </w:r>
      <w:r w:rsidR="008F2673">
        <w:rPr>
          <w:rFonts w:eastAsiaTheme="minorHAnsi"/>
          <w:sz w:val="22"/>
          <w:szCs w:val="22"/>
          <w:lang w:val="en-AU"/>
        </w:rPr>
        <w:t xml:space="preserve">. </w:t>
      </w:r>
      <w:r w:rsidR="0021289A">
        <w:rPr>
          <w:rFonts w:eastAsiaTheme="minorHAnsi"/>
          <w:sz w:val="22"/>
          <w:szCs w:val="22"/>
          <w:lang w:val="en-AU"/>
        </w:rPr>
        <w:t>Consequential amendments have been made to the Schedule 9</w:t>
      </w:r>
      <w:r w:rsidR="0035308F">
        <w:rPr>
          <w:rFonts w:eastAsiaTheme="minorHAnsi"/>
          <w:sz w:val="22"/>
          <w:szCs w:val="22"/>
          <w:lang w:val="en-AU"/>
        </w:rPr>
        <w:t xml:space="preserve"> </w:t>
      </w:r>
      <w:r w:rsidR="0021289A">
        <w:rPr>
          <w:rFonts w:eastAsiaTheme="minorHAnsi"/>
          <w:sz w:val="22"/>
          <w:szCs w:val="22"/>
          <w:lang w:val="en-AU"/>
        </w:rPr>
        <w:t>entries for MDMA and psilocybin</w:t>
      </w:r>
      <w:r w:rsidR="0035308F">
        <w:rPr>
          <w:rFonts w:eastAsiaTheme="minorHAnsi"/>
          <w:sz w:val="22"/>
          <w:szCs w:val="22"/>
          <w:lang w:val="en-AU"/>
        </w:rPr>
        <w:t>e</w:t>
      </w:r>
      <w:r w:rsidR="00420553">
        <w:rPr>
          <w:rFonts w:eastAsiaTheme="minorHAnsi"/>
          <w:sz w:val="22"/>
          <w:szCs w:val="22"/>
          <w:lang w:val="en-AU"/>
        </w:rPr>
        <w:t>, to create an exception when the substances are included in Schedule 8</w:t>
      </w:r>
      <w:r w:rsidR="0021289A">
        <w:rPr>
          <w:rFonts w:eastAsiaTheme="minorHAnsi"/>
          <w:sz w:val="22"/>
          <w:szCs w:val="22"/>
          <w:lang w:val="en-AU"/>
        </w:rPr>
        <w:t>.</w:t>
      </w:r>
    </w:p>
    <w:p w14:paraId="76F5C2F8" w14:textId="77777777" w:rsidR="008F2673" w:rsidRDefault="008F2673" w:rsidP="0050433C">
      <w:pPr>
        <w:pStyle w:val="ListParagraph"/>
        <w:numPr>
          <w:ilvl w:val="0"/>
          <w:numId w:val="0"/>
        </w:numPr>
        <w:spacing w:before="0" w:after="0"/>
        <w:ind w:left="360"/>
        <w:rPr>
          <w:rFonts w:eastAsiaTheme="minorHAnsi"/>
          <w:i/>
          <w:iCs/>
          <w:sz w:val="22"/>
          <w:szCs w:val="22"/>
          <w:lang w:val="en-AU"/>
        </w:rPr>
      </w:pPr>
    </w:p>
    <w:p w14:paraId="1FEDBC9A" w14:textId="4CCF572E" w:rsidR="009C73C2" w:rsidRPr="00150613" w:rsidRDefault="000926E4" w:rsidP="00C54E7E">
      <w:pPr>
        <w:spacing w:before="0" w:after="0"/>
        <w:rPr>
          <w:rFonts w:eastAsiaTheme="minorHAnsi"/>
          <w:sz w:val="22"/>
          <w:szCs w:val="22"/>
          <w:lang w:val="en-AU"/>
        </w:rPr>
      </w:pPr>
      <w:r w:rsidRPr="0050433C">
        <w:rPr>
          <w:rFonts w:eastAsiaTheme="minorHAnsi"/>
          <w:sz w:val="22"/>
          <w:szCs w:val="22"/>
          <w:lang w:val="en-AU"/>
        </w:rPr>
        <w:t>The Instrument also includes</w:t>
      </w:r>
      <w:r w:rsidR="0021289A" w:rsidRPr="0050433C">
        <w:rPr>
          <w:rFonts w:eastAsiaTheme="minorHAnsi"/>
          <w:sz w:val="22"/>
          <w:szCs w:val="22"/>
          <w:lang w:val="en-AU"/>
        </w:rPr>
        <w:t xml:space="preserve"> a</w:t>
      </w:r>
      <w:r w:rsidRPr="0050433C">
        <w:rPr>
          <w:rFonts w:eastAsiaTheme="minorHAnsi"/>
          <w:sz w:val="22"/>
          <w:szCs w:val="22"/>
          <w:lang w:val="en-AU"/>
        </w:rPr>
        <w:t xml:space="preserve"> minor amendment to the</w:t>
      </w:r>
      <w:r w:rsidR="0021289A" w:rsidRPr="0050433C">
        <w:rPr>
          <w:rFonts w:eastAsiaTheme="minorHAnsi"/>
          <w:sz w:val="22"/>
          <w:szCs w:val="22"/>
          <w:lang w:val="en-AU"/>
        </w:rPr>
        <w:t xml:space="preserve"> schedule entry for pentobarbital to include the ‘#’ prefix, indicative of the Appendix D listing, as was the original intention of the Scheduling decision.</w:t>
      </w:r>
      <w:r w:rsidR="00F0116D" w:rsidRPr="0050433C">
        <w:rPr>
          <w:rFonts w:eastAsiaTheme="minorHAnsi"/>
          <w:sz w:val="22"/>
          <w:szCs w:val="22"/>
          <w:lang w:val="en-AU"/>
        </w:rPr>
        <w:t xml:space="preserve"> </w:t>
      </w:r>
      <w:r w:rsidR="00747A57" w:rsidRPr="0050433C">
        <w:rPr>
          <w:rFonts w:eastAsiaTheme="minorHAnsi"/>
          <w:sz w:val="22"/>
          <w:szCs w:val="22"/>
          <w:lang w:val="en-AU"/>
        </w:rPr>
        <w:t>M</w:t>
      </w:r>
      <w:r w:rsidRPr="0050433C">
        <w:rPr>
          <w:rFonts w:eastAsiaTheme="minorHAnsi"/>
          <w:sz w:val="22"/>
          <w:szCs w:val="22"/>
          <w:lang w:val="en-AU"/>
        </w:rPr>
        <w:t>inor typographical error</w:t>
      </w:r>
      <w:r w:rsidR="00747A57" w:rsidRPr="0050433C">
        <w:rPr>
          <w:rFonts w:eastAsiaTheme="minorHAnsi"/>
          <w:sz w:val="22"/>
          <w:szCs w:val="22"/>
          <w:lang w:val="en-AU"/>
        </w:rPr>
        <w:t>s</w:t>
      </w:r>
      <w:r w:rsidR="00CB48D6" w:rsidRPr="0050433C">
        <w:rPr>
          <w:rFonts w:eastAsiaTheme="minorHAnsi"/>
          <w:sz w:val="22"/>
          <w:szCs w:val="22"/>
          <w:lang w:val="en-AU"/>
        </w:rPr>
        <w:t xml:space="preserve"> </w:t>
      </w:r>
      <w:r w:rsidR="00747A57" w:rsidRPr="0050433C">
        <w:rPr>
          <w:rFonts w:eastAsiaTheme="minorHAnsi"/>
          <w:sz w:val="22"/>
          <w:szCs w:val="22"/>
          <w:lang w:val="en-AU"/>
        </w:rPr>
        <w:t xml:space="preserve">have </w:t>
      </w:r>
      <w:r w:rsidR="00CB48D6" w:rsidRPr="0050433C">
        <w:rPr>
          <w:rFonts w:eastAsiaTheme="minorHAnsi"/>
          <w:sz w:val="22"/>
          <w:szCs w:val="22"/>
          <w:lang w:val="en-AU"/>
        </w:rPr>
        <w:t>been</w:t>
      </w:r>
      <w:r w:rsidRPr="0050433C">
        <w:rPr>
          <w:rFonts w:eastAsiaTheme="minorHAnsi"/>
          <w:sz w:val="22"/>
          <w:szCs w:val="22"/>
          <w:lang w:val="en-AU"/>
        </w:rPr>
        <w:t xml:space="preserve"> corrected for</w:t>
      </w:r>
      <w:r w:rsidR="001B2C20" w:rsidRPr="0050433C">
        <w:rPr>
          <w:rFonts w:eastAsiaTheme="minorHAnsi"/>
          <w:sz w:val="22"/>
          <w:szCs w:val="22"/>
          <w:lang w:val="en-AU"/>
        </w:rPr>
        <w:t xml:space="preserve"> </w:t>
      </w:r>
      <w:r w:rsidR="00420553">
        <w:rPr>
          <w:rFonts w:eastAsiaTheme="minorHAnsi"/>
          <w:sz w:val="22"/>
          <w:szCs w:val="22"/>
          <w:lang w:val="en-AU"/>
        </w:rPr>
        <w:t xml:space="preserve">references to </w:t>
      </w:r>
      <w:r w:rsidR="001B2C20" w:rsidRPr="0050433C">
        <w:rPr>
          <w:rFonts w:eastAsiaTheme="minorHAnsi"/>
          <w:sz w:val="22"/>
          <w:szCs w:val="22"/>
          <w:lang w:val="en-AU"/>
        </w:rPr>
        <w:t>human chorionic</w:t>
      </w:r>
      <w:r w:rsidRPr="0050433C">
        <w:rPr>
          <w:rFonts w:eastAsiaTheme="minorHAnsi"/>
          <w:sz w:val="22"/>
          <w:szCs w:val="22"/>
          <w:lang w:val="en-AU"/>
        </w:rPr>
        <w:t xml:space="preserve"> </w:t>
      </w:r>
      <w:r w:rsidR="00CB48D6" w:rsidRPr="0050433C">
        <w:rPr>
          <w:rFonts w:eastAsiaTheme="minorHAnsi"/>
          <w:sz w:val="22"/>
          <w:szCs w:val="22"/>
          <w:lang w:val="en-AU"/>
        </w:rPr>
        <w:t>g</w:t>
      </w:r>
      <w:r w:rsidRPr="0050433C">
        <w:rPr>
          <w:rFonts w:eastAsiaTheme="minorHAnsi"/>
          <w:sz w:val="22"/>
          <w:szCs w:val="22"/>
          <w:lang w:val="en-AU"/>
        </w:rPr>
        <w:t>onadotrophin</w:t>
      </w:r>
      <w:r w:rsidR="00D62FFE" w:rsidRPr="0050433C">
        <w:rPr>
          <w:rFonts w:eastAsiaTheme="minorHAnsi"/>
          <w:sz w:val="22"/>
          <w:szCs w:val="22"/>
          <w:lang w:val="en-AU"/>
        </w:rPr>
        <w:t xml:space="preserve"> and sodium laureth-6 carboxylate</w:t>
      </w:r>
      <w:r w:rsidRPr="0050433C">
        <w:rPr>
          <w:rFonts w:eastAsiaTheme="minorHAnsi"/>
          <w:sz w:val="22"/>
          <w:szCs w:val="22"/>
          <w:lang w:val="en-AU"/>
        </w:rPr>
        <w:t>.</w:t>
      </w:r>
      <w:r w:rsidR="00CB48D6" w:rsidRPr="0050433C">
        <w:rPr>
          <w:rFonts w:eastAsiaTheme="minorHAnsi"/>
          <w:sz w:val="22"/>
          <w:szCs w:val="22"/>
          <w:lang w:val="en-AU"/>
        </w:rPr>
        <w:t xml:space="preserve"> </w:t>
      </w:r>
    </w:p>
    <w:p w14:paraId="0ECA77AD" w14:textId="77777777" w:rsidR="00496392" w:rsidRDefault="00496392" w:rsidP="00496392">
      <w:pPr>
        <w:spacing w:before="0" w:after="0"/>
        <w:rPr>
          <w:b/>
          <w:bCs/>
          <w:sz w:val="22"/>
          <w:szCs w:val="22"/>
        </w:rPr>
      </w:pPr>
    </w:p>
    <w:p w14:paraId="76B71909" w14:textId="7A7C54B4" w:rsidR="00496392" w:rsidRPr="00AE64AA" w:rsidRDefault="00496392" w:rsidP="00496392">
      <w:pPr>
        <w:spacing w:before="0" w:after="0"/>
        <w:rPr>
          <w:b/>
          <w:bCs/>
          <w:sz w:val="22"/>
          <w:szCs w:val="22"/>
        </w:rPr>
      </w:pPr>
      <w:r w:rsidRPr="00AE64AA">
        <w:rPr>
          <w:b/>
          <w:bCs/>
          <w:sz w:val="22"/>
          <w:szCs w:val="22"/>
        </w:rPr>
        <w:t>Incorporation by reference</w:t>
      </w:r>
    </w:p>
    <w:p w14:paraId="69487177" w14:textId="77777777" w:rsidR="00496392" w:rsidRPr="00AE64AA" w:rsidRDefault="00496392" w:rsidP="00496392">
      <w:pPr>
        <w:spacing w:before="0" w:after="0"/>
        <w:rPr>
          <w:sz w:val="22"/>
          <w:szCs w:val="22"/>
        </w:rPr>
      </w:pPr>
    </w:p>
    <w:p w14:paraId="1B35E489" w14:textId="2CDE2CFF" w:rsidR="00496392" w:rsidRPr="00AE64AA" w:rsidRDefault="00496392" w:rsidP="00496392">
      <w:pPr>
        <w:spacing w:before="0" w:after="0"/>
        <w:rPr>
          <w:sz w:val="22"/>
          <w:szCs w:val="22"/>
        </w:rPr>
      </w:pPr>
      <w:r w:rsidRPr="00AE64AA">
        <w:rPr>
          <w:sz w:val="22"/>
          <w:szCs w:val="22"/>
        </w:rPr>
        <w:t>Subsection</w:t>
      </w:r>
      <w:r>
        <w:rPr>
          <w:color w:val="000000"/>
          <w:sz w:val="22"/>
          <w:szCs w:val="22"/>
          <w:shd w:val="clear" w:color="auto" w:fill="FFFFFF"/>
        </w:rPr>
        <w:t xml:space="preserve"> 52D(4B) </w:t>
      </w:r>
      <w:r w:rsidRPr="00AE64AA">
        <w:rPr>
          <w:sz w:val="22"/>
          <w:szCs w:val="22"/>
        </w:rPr>
        <w:t xml:space="preserve">of the Act relevantly provides that, despite subsection 14(2) of the </w:t>
      </w:r>
      <w:r w:rsidRPr="00AE64AA">
        <w:rPr>
          <w:i/>
          <w:iCs/>
          <w:sz w:val="22"/>
          <w:szCs w:val="22"/>
        </w:rPr>
        <w:t>Legislation Act 2003</w:t>
      </w:r>
      <w:r>
        <w:rPr>
          <w:sz w:val="22"/>
          <w:szCs w:val="22"/>
        </w:rPr>
        <w:t xml:space="preserve"> (“the Legislation Act”)</w:t>
      </w:r>
      <w:r w:rsidRPr="00AE64AA">
        <w:rPr>
          <w:sz w:val="22"/>
          <w:szCs w:val="22"/>
        </w:rPr>
        <w:t xml:space="preserve">, </w:t>
      </w:r>
      <w:r>
        <w:rPr>
          <w:color w:val="000000"/>
          <w:sz w:val="22"/>
          <w:szCs w:val="22"/>
          <w:shd w:val="clear" w:color="auto" w:fill="FFFFFF"/>
        </w:rPr>
        <w:t>an instrument made under paragraph </w:t>
      </w:r>
      <w:r w:rsidR="003E46BB">
        <w:rPr>
          <w:color w:val="000000"/>
          <w:sz w:val="22"/>
          <w:szCs w:val="22"/>
          <w:shd w:val="clear" w:color="auto" w:fill="FFFFFF"/>
        </w:rPr>
        <w:t>52D</w:t>
      </w:r>
      <w:r>
        <w:rPr>
          <w:color w:val="000000"/>
          <w:sz w:val="22"/>
          <w:szCs w:val="22"/>
          <w:shd w:val="clear" w:color="auto" w:fill="FFFFFF"/>
        </w:rPr>
        <w:t xml:space="preserve">(2)(a) or (b) </w:t>
      </w:r>
      <w:r w:rsidRPr="00AE64AA">
        <w:rPr>
          <w:sz w:val="22"/>
          <w:szCs w:val="22"/>
        </w:rPr>
        <w:t xml:space="preserve">may make provision in relation to a matter by applying, </w:t>
      </w:r>
      <w:proofErr w:type="gramStart"/>
      <w:r w:rsidRPr="00AE64AA">
        <w:rPr>
          <w:sz w:val="22"/>
          <w:szCs w:val="22"/>
        </w:rPr>
        <w:t>adopting</w:t>
      </w:r>
      <w:proofErr w:type="gramEnd"/>
      <w:r w:rsidRPr="00AE64AA">
        <w:rPr>
          <w:sz w:val="22"/>
          <w:szCs w:val="22"/>
        </w:rPr>
        <w:t xml:space="preserve"> or incorporating</w:t>
      </w:r>
      <w:r>
        <w:rPr>
          <w:sz w:val="22"/>
          <w:szCs w:val="22"/>
        </w:rPr>
        <w:t xml:space="preserve"> any</w:t>
      </w:r>
      <w:r w:rsidRPr="00AE64AA">
        <w:rPr>
          <w:sz w:val="22"/>
          <w:szCs w:val="22"/>
        </w:rPr>
        <w:t xml:space="preserve"> matter contained in an instrument o</w:t>
      </w:r>
      <w:r>
        <w:rPr>
          <w:sz w:val="22"/>
          <w:szCs w:val="22"/>
        </w:rPr>
        <w:t>r</w:t>
      </w:r>
      <w:r w:rsidRPr="00AE64AA">
        <w:rPr>
          <w:sz w:val="22"/>
          <w:szCs w:val="22"/>
        </w:rPr>
        <w:t xml:space="preserve"> other writing as in force o</w:t>
      </w:r>
      <w:r>
        <w:rPr>
          <w:sz w:val="22"/>
          <w:szCs w:val="22"/>
        </w:rPr>
        <w:t>r</w:t>
      </w:r>
      <w:r w:rsidRPr="00AE64AA">
        <w:rPr>
          <w:sz w:val="22"/>
          <w:szCs w:val="22"/>
        </w:rPr>
        <w:t xml:space="preserve"> existing from time to time.</w:t>
      </w:r>
    </w:p>
    <w:p w14:paraId="7D8D0A5F" w14:textId="77777777" w:rsidR="00496392" w:rsidRPr="00DB7985" w:rsidRDefault="00496392" w:rsidP="00496392">
      <w:pPr>
        <w:spacing w:before="0" w:after="0"/>
        <w:rPr>
          <w:strike/>
          <w:sz w:val="22"/>
          <w:szCs w:val="22"/>
        </w:rPr>
      </w:pPr>
    </w:p>
    <w:p w14:paraId="26D3DDF7" w14:textId="77777777" w:rsidR="00496392" w:rsidRPr="00AE64AA" w:rsidRDefault="00496392" w:rsidP="00496392">
      <w:pPr>
        <w:spacing w:before="0" w:after="0"/>
        <w:rPr>
          <w:color w:val="000000"/>
          <w:sz w:val="22"/>
          <w:szCs w:val="22"/>
          <w:shd w:val="clear" w:color="auto" w:fill="FFFFFF"/>
        </w:rPr>
      </w:pPr>
      <w:r w:rsidRPr="00AE64AA">
        <w:rPr>
          <w:color w:val="000000"/>
          <w:sz w:val="22"/>
          <w:szCs w:val="22"/>
          <w:shd w:val="clear" w:color="auto" w:fill="FFFFFF"/>
        </w:rPr>
        <w:t xml:space="preserve">The </w:t>
      </w:r>
      <w:r>
        <w:rPr>
          <w:color w:val="000000"/>
          <w:sz w:val="22"/>
          <w:szCs w:val="22"/>
          <w:shd w:val="clear" w:color="auto" w:fill="FFFFFF"/>
        </w:rPr>
        <w:t>Instrument</w:t>
      </w:r>
      <w:r w:rsidRPr="00AE64AA">
        <w:rPr>
          <w:color w:val="000000"/>
          <w:sz w:val="22"/>
          <w:szCs w:val="22"/>
          <w:shd w:val="clear" w:color="auto" w:fill="FFFFFF"/>
        </w:rPr>
        <w:t xml:space="preserve"> incorporates the following documents by reference</w:t>
      </w:r>
      <w:r>
        <w:rPr>
          <w:color w:val="000000"/>
          <w:sz w:val="22"/>
          <w:szCs w:val="22"/>
          <w:shd w:val="clear" w:color="auto" w:fill="FFFFFF"/>
        </w:rPr>
        <w:t>, in the manner outlined</w:t>
      </w:r>
      <w:r w:rsidRPr="00AE64AA">
        <w:rPr>
          <w:color w:val="000000"/>
          <w:sz w:val="22"/>
          <w:szCs w:val="22"/>
          <w:shd w:val="clear" w:color="auto" w:fill="FFFFFF"/>
        </w:rPr>
        <w:t>:</w:t>
      </w:r>
    </w:p>
    <w:p w14:paraId="28F72586" w14:textId="77777777" w:rsidR="00496392" w:rsidRPr="00AE64AA" w:rsidRDefault="00496392" w:rsidP="00496392">
      <w:pPr>
        <w:spacing w:before="0" w:after="0"/>
        <w:rPr>
          <w:color w:val="000000"/>
          <w:sz w:val="22"/>
          <w:szCs w:val="22"/>
          <w:shd w:val="clear" w:color="auto" w:fill="FFFFFF"/>
        </w:rPr>
      </w:pPr>
    </w:p>
    <w:p w14:paraId="2C674286" w14:textId="77777777" w:rsidR="00496392" w:rsidRPr="00763C52" w:rsidRDefault="00496392" w:rsidP="00496392">
      <w:pPr>
        <w:pStyle w:val="ListParagraph"/>
        <w:numPr>
          <w:ilvl w:val="0"/>
          <w:numId w:val="2"/>
        </w:numPr>
        <w:spacing w:before="0" w:after="0"/>
        <w:rPr>
          <w:sz w:val="22"/>
          <w:szCs w:val="22"/>
          <w:lang w:val="en-AU"/>
        </w:rPr>
      </w:pPr>
      <w:r w:rsidRPr="00763C52">
        <w:rPr>
          <w:color w:val="000000"/>
          <w:sz w:val="22"/>
          <w:szCs w:val="22"/>
          <w:shd w:val="clear" w:color="auto" w:fill="FFFFFF"/>
        </w:rPr>
        <w:t>United States Code of Federal Regulations, Title 16, Section 1700.15, </w:t>
      </w:r>
      <w:r w:rsidRPr="00763C52">
        <w:rPr>
          <w:i/>
          <w:iCs/>
          <w:color w:val="000000"/>
          <w:sz w:val="22"/>
          <w:szCs w:val="22"/>
          <w:shd w:val="clear" w:color="auto" w:fill="FFFFFF"/>
        </w:rPr>
        <w:t>Poison prevention packaging standards</w:t>
      </w:r>
      <w:r w:rsidRPr="00763C52">
        <w:rPr>
          <w:color w:val="000000"/>
          <w:sz w:val="22"/>
          <w:szCs w:val="22"/>
          <w:shd w:val="clear" w:color="auto" w:fill="FFFFFF"/>
        </w:rPr>
        <w:t> and Section </w:t>
      </w:r>
      <w:r w:rsidRPr="00DB7985">
        <w:rPr>
          <w:sz w:val="22"/>
          <w:szCs w:val="22"/>
          <w:shd w:val="clear" w:color="auto" w:fill="FFFFFF"/>
        </w:rPr>
        <w:t>1700.20, </w:t>
      </w:r>
      <w:r w:rsidRPr="00DB7985">
        <w:rPr>
          <w:i/>
          <w:iCs/>
          <w:sz w:val="22"/>
          <w:szCs w:val="22"/>
          <w:shd w:val="clear" w:color="auto" w:fill="FFFFFF"/>
        </w:rPr>
        <w:t>Testing procedure for special packaging</w:t>
      </w:r>
      <w:r w:rsidRPr="00DB7985">
        <w:rPr>
          <w:sz w:val="22"/>
          <w:szCs w:val="22"/>
          <w:shd w:val="clear" w:color="auto" w:fill="FFFFFF"/>
        </w:rPr>
        <w:t xml:space="preserve">. The intended manner of incorporation is as in force from time to time, </w:t>
      </w:r>
      <w:r w:rsidRPr="00DB7985">
        <w:rPr>
          <w:sz w:val="22"/>
          <w:szCs w:val="22"/>
        </w:rPr>
        <w:t xml:space="preserve">as specifically provided for in paragraph (b)(iv) of the definition of </w:t>
      </w:r>
      <w:r w:rsidRPr="00DB7985">
        <w:rPr>
          <w:i/>
          <w:iCs/>
          <w:sz w:val="22"/>
          <w:szCs w:val="22"/>
        </w:rPr>
        <w:t>child-resistant packaging</w:t>
      </w:r>
      <w:r w:rsidRPr="00DB7985">
        <w:rPr>
          <w:sz w:val="22"/>
          <w:szCs w:val="22"/>
        </w:rPr>
        <w:t xml:space="preserve"> </w:t>
      </w:r>
      <w:r>
        <w:rPr>
          <w:sz w:val="22"/>
          <w:szCs w:val="22"/>
        </w:rPr>
        <w:t xml:space="preserve">in section 6 of the </w:t>
      </w:r>
      <w:r>
        <w:rPr>
          <w:sz w:val="22"/>
          <w:szCs w:val="22"/>
        </w:rPr>
        <w:lastRenderedPageBreak/>
        <w:t>Instrument</w:t>
      </w:r>
      <w:r w:rsidRPr="00763C52">
        <w:rPr>
          <w:color w:val="000000"/>
          <w:sz w:val="22"/>
          <w:szCs w:val="22"/>
          <w:shd w:val="clear" w:color="auto" w:fill="FFFFFF"/>
        </w:rPr>
        <w:t xml:space="preserve">. This document is </w:t>
      </w:r>
      <w:r>
        <w:rPr>
          <w:color w:val="000000"/>
          <w:sz w:val="22"/>
          <w:szCs w:val="22"/>
          <w:shd w:val="clear" w:color="auto" w:fill="FFFFFF"/>
        </w:rPr>
        <w:t xml:space="preserve">freely </w:t>
      </w:r>
      <w:r w:rsidRPr="00763C52">
        <w:rPr>
          <w:color w:val="000000"/>
          <w:sz w:val="22"/>
          <w:szCs w:val="22"/>
          <w:shd w:val="clear" w:color="auto" w:fill="FFFFFF"/>
        </w:rPr>
        <w:t xml:space="preserve">available </w:t>
      </w:r>
      <w:r w:rsidRPr="00AE64AA">
        <w:rPr>
          <w:color w:val="000000"/>
          <w:sz w:val="22"/>
          <w:szCs w:val="22"/>
          <w:shd w:val="clear" w:color="auto" w:fill="FFFFFF"/>
        </w:rPr>
        <w:t xml:space="preserve">from the </w:t>
      </w:r>
      <w:r>
        <w:rPr>
          <w:color w:val="000000"/>
          <w:sz w:val="22"/>
          <w:szCs w:val="22"/>
          <w:shd w:val="clear" w:color="auto" w:fill="FFFFFF"/>
        </w:rPr>
        <w:t>Code of Federal Regulations</w:t>
      </w:r>
      <w:r w:rsidRPr="00AE64AA">
        <w:rPr>
          <w:color w:val="000000"/>
          <w:sz w:val="22"/>
          <w:szCs w:val="22"/>
          <w:shd w:val="clear" w:color="auto" w:fill="FFFFFF"/>
        </w:rPr>
        <w:t xml:space="preserve"> </w:t>
      </w:r>
      <w:r w:rsidRPr="00763C52">
        <w:rPr>
          <w:color w:val="000000"/>
          <w:sz w:val="22"/>
          <w:szCs w:val="22"/>
          <w:shd w:val="clear" w:color="auto" w:fill="FFFFFF"/>
        </w:rPr>
        <w:t>website (</w:t>
      </w:r>
      <w:r w:rsidRPr="00D24A04">
        <w:t>www.ecfr.gov</w:t>
      </w:r>
      <w:r w:rsidRPr="00763C52">
        <w:rPr>
          <w:color w:val="000000"/>
          <w:sz w:val="22"/>
          <w:szCs w:val="22"/>
          <w:shd w:val="clear" w:color="auto" w:fill="FFFFFF"/>
        </w:rPr>
        <w:t>);</w:t>
      </w:r>
      <w:r>
        <w:rPr>
          <w:color w:val="000000"/>
          <w:sz w:val="22"/>
          <w:szCs w:val="22"/>
          <w:shd w:val="clear" w:color="auto" w:fill="FFFFFF"/>
        </w:rPr>
        <w:t xml:space="preserve"> and</w:t>
      </w:r>
    </w:p>
    <w:p w14:paraId="106FD50A" w14:textId="77777777" w:rsidR="00496392" w:rsidRPr="00763C52" w:rsidRDefault="00496392" w:rsidP="00496392">
      <w:pPr>
        <w:pStyle w:val="ListParagraph"/>
        <w:numPr>
          <w:ilvl w:val="0"/>
          <w:numId w:val="0"/>
        </w:numPr>
        <w:spacing w:before="0" w:after="0"/>
        <w:ind w:left="360"/>
        <w:contextualSpacing w:val="0"/>
        <w:rPr>
          <w:sz w:val="22"/>
          <w:szCs w:val="22"/>
        </w:rPr>
      </w:pPr>
    </w:p>
    <w:p w14:paraId="2D4CA99D" w14:textId="77777777" w:rsidR="00496392" w:rsidRPr="00AE64AA" w:rsidRDefault="00496392" w:rsidP="00496392">
      <w:pPr>
        <w:pStyle w:val="ListParagraph"/>
        <w:numPr>
          <w:ilvl w:val="0"/>
          <w:numId w:val="2"/>
        </w:numPr>
        <w:spacing w:before="0" w:after="0"/>
        <w:rPr>
          <w:sz w:val="22"/>
          <w:szCs w:val="22"/>
        </w:rPr>
      </w:pPr>
      <w:r w:rsidRPr="005B3D48">
        <w:rPr>
          <w:sz w:val="22"/>
          <w:szCs w:val="22"/>
        </w:rPr>
        <w:t xml:space="preserve">National Transport </w:t>
      </w:r>
      <w:r w:rsidRPr="007A7E82">
        <w:rPr>
          <w:color w:val="000000"/>
          <w:sz w:val="22"/>
          <w:szCs w:val="22"/>
          <w:shd w:val="clear" w:color="auto" w:fill="FFFFFF"/>
        </w:rPr>
        <w:t>Commission</w:t>
      </w:r>
      <w:r w:rsidRPr="005B3D48">
        <w:rPr>
          <w:sz w:val="22"/>
          <w:szCs w:val="22"/>
        </w:rPr>
        <w:t xml:space="preserve">, </w:t>
      </w:r>
      <w:r w:rsidRPr="005B3D48">
        <w:rPr>
          <w:i/>
          <w:iCs/>
          <w:sz w:val="22"/>
          <w:szCs w:val="22"/>
        </w:rPr>
        <w:t>Australian Code for the Transport of Dangerous Goods by Road &amp; Rail</w:t>
      </w:r>
      <w:r w:rsidRPr="005B3D48">
        <w:rPr>
          <w:sz w:val="22"/>
          <w:szCs w:val="22"/>
        </w:rPr>
        <w:t>. The</w:t>
      </w:r>
      <w:r w:rsidRPr="00AE64AA">
        <w:rPr>
          <w:sz w:val="22"/>
          <w:szCs w:val="22"/>
        </w:rPr>
        <w:t xml:space="preserve"> intended manner of incorporation is </w:t>
      </w:r>
      <w:r w:rsidRPr="007F5F0E">
        <w:rPr>
          <w:sz w:val="22"/>
          <w:szCs w:val="22"/>
          <w:shd w:val="clear" w:color="auto" w:fill="FFFFFF"/>
        </w:rPr>
        <w:t xml:space="preserve">as it exists from time to time, </w:t>
      </w:r>
      <w:r w:rsidRPr="007F5F0E">
        <w:rPr>
          <w:sz w:val="22"/>
          <w:szCs w:val="22"/>
        </w:rPr>
        <w:t xml:space="preserve">as identified in section 10 of the Instrument. This </w:t>
      </w:r>
      <w:r w:rsidRPr="00AE64AA">
        <w:rPr>
          <w:sz w:val="22"/>
          <w:szCs w:val="22"/>
        </w:rPr>
        <w:t>document is</w:t>
      </w:r>
      <w:r>
        <w:rPr>
          <w:sz w:val="22"/>
          <w:szCs w:val="22"/>
        </w:rPr>
        <w:t xml:space="preserve"> freely</w:t>
      </w:r>
      <w:r w:rsidRPr="00AE64AA">
        <w:rPr>
          <w:sz w:val="22"/>
          <w:szCs w:val="22"/>
        </w:rPr>
        <w:t xml:space="preserve"> available from the </w:t>
      </w:r>
      <w:r>
        <w:rPr>
          <w:sz w:val="22"/>
          <w:szCs w:val="22"/>
        </w:rPr>
        <w:t>National Transport Commission</w:t>
      </w:r>
      <w:r w:rsidRPr="00AE64AA">
        <w:rPr>
          <w:sz w:val="22"/>
          <w:szCs w:val="22"/>
        </w:rPr>
        <w:t xml:space="preserve"> website (</w:t>
      </w:r>
      <w:r w:rsidRPr="00D24A04">
        <w:t>www.ntc.gov.au</w:t>
      </w:r>
      <w:r w:rsidRPr="00AE64AA">
        <w:rPr>
          <w:sz w:val="22"/>
          <w:szCs w:val="22"/>
        </w:rPr>
        <w:t>)</w:t>
      </w:r>
      <w:r>
        <w:rPr>
          <w:sz w:val="22"/>
          <w:szCs w:val="22"/>
        </w:rPr>
        <w:t>.</w:t>
      </w:r>
    </w:p>
    <w:p w14:paraId="7113C2B9" w14:textId="77777777" w:rsidR="00496392" w:rsidRDefault="00496392" w:rsidP="00496392">
      <w:pPr>
        <w:spacing w:before="0" w:after="0"/>
        <w:ind w:left="360" w:hanging="360"/>
        <w:rPr>
          <w:sz w:val="22"/>
          <w:szCs w:val="22"/>
        </w:rPr>
      </w:pPr>
    </w:p>
    <w:p w14:paraId="1E22397B" w14:textId="77777777" w:rsidR="00496392" w:rsidRPr="00AE64AA" w:rsidRDefault="00496392" w:rsidP="00496392">
      <w:pPr>
        <w:spacing w:before="0" w:after="0"/>
        <w:rPr>
          <w:color w:val="000000"/>
          <w:sz w:val="22"/>
          <w:szCs w:val="22"/>
          <w:shd w:val="clear" w:color="auto" w:fill="FFFFFF"/>
        </w:rPr>
      </w:pPr>
      <w:r>
        <w:rPr>
          <w:color w:val="000000"/>
          <w:sz w:val="22"/>
          <w:szCs w:val="22"/>
          <w:shd w:val="clear" w:color="auto" w:fill="FFFFFF"/>
        </w:rPr>
        <w:t>T</w:t>
      </w:r>
      <w:r w:rsidRPr="00AE64AA">
        <w:rPr>
          <w:color w:val="000000"/>
          <w:sz w:val="22"/>
          <w:szCs w:val="22"/>
          <w:shd w:val="clear" w:color="auto" w:fill="FFFFFF"/>
        </w:rPr>
        <w:t xml:space="preserve">he following documents </w:t>
      </w:r>
      <w:r>
        <w:rPr>
          <w:color w:val="000000"/>
          <w:sz w:val="22"/>
          <w:szCs w:val="22"/>
          <w:shd w:val="clear" w:color="auto" w:fill="FFFFFF"/>
        </w:rPr>
        <w:t xml:space="preserve">are also incorporated </w:t>
      </w:r>
      <w:r w:rsidRPr="00AE64AA">
        <w:rPr>
          <w:color w:val="000000"/>
          <w:sz w:val="22"/>
          <w:szCs w:val="22"/>
          <w:shd w:val="clear" w:color="auto" w:fill="FFFFFF"/>
        </w:rPr>
        <w:t>by reference</w:t>
      </w:r>
      <w:r>
        <w:rPr>
          <w:color w:val="000000"/>
          <w:sz w:val="22"/>
          <w:szCs w:val="22"/>
          <w:shd w:val="clear" w:color="auto" w:fill="FFFFFF"/>
        </w:rPr>
        <w:t>, with the intended manner of incorporation being as they exist from time to time, as provided in section 10 of the Instrument</w:t>
      </w:r>
      <w:r>
        <w:rPr>
          <w:sz w:val="22"/>
          <w:szCs w:val="22"/>
        </w:rPr>
        <w:t>:</w:t>
      </w:r>
    </w:p>
    <w:p w14:paraId="2203EA58" w14:textId="77777777" w:rsidR="00496392" w:rsidRPr="00AE7115" w:rsidRDefault="00496392" w:rsidP="00496392">
      <w:pPr>
        <w:spacing w:before="0" w:after="0"/>
        <w:ind w:left="360" w:hanging="360"/>
        <w:rPr>
          <w:sz w:val="22"/>
          <w:szCs w:val="22"/>
        </w:rPr>
      </w:pPr>
    </w:p>
    <w:p w14:paraId="0B41F076" w14:textId="77777777" w:rsidR="00496392" w:rsidRPr="00DB7985" w:rsidRDefault="00496392" w:rsidP="00496392">
      <w:pPr>
        <w:pStyle w:val="ListParagraph"/>
        <w:numPr>
          <w:ilvl w:val="0"/>
          <w:numId w:val="2"/>
        </w:numPr>
        <w:spacing w:before="0" w:after="0"/>
        <w:rPr>
          <w:sz w:val="22"/>
          <w:szCs w:val="22"/>
        </w:rPr>
      </w:pPr>
      <w:r w:rsidRPr="00AE7115">
        <w:rPr>
          <w:sz w:val="22"/>
          <w:szCs w:val="22"/>
        </w:rPr>
        <w:t xml:space="preserve">Australian </w:t>
      </w:r>
      <w:r w:rsidRPr="00DB7985">
        <w:rPr>
          <w:sz w:val="22"/>
          <w:szCs w:val="22"/>
          <w:shd w:val="clear" w:color="auto" w:fill="FFFFFF"/>
        </w:rPr>
        <w:t>Standard</w:t>
      </w:r>
      <w:r w:rsidRPr="00DB7985">
        <w:rPr>
          <w:sz w:val="22"/>
          <w:szCs w:val="22"/>
        </w:rPr>
        <w:t xml:space="preserve"> AS 1928</w:t>
      </w:r>
      <w:r w:rsidRPr="00DB7985">
        <w:rPr>
          <w:sz w:val="22"/>
          <w:szCs w:val="22"/>
        </w:rPr>
        <w:noBreakHyphen/>
        <w:t>2007, </w:t>
      </w:r>
      <w:r w:rsidRPr="00414EBA">
        <w:rPr>
          <w:i/>
          <w:iCs/>
          <w:sz w:val="22"/>
          <w:szCs w:val="22"/>
        </w:rPr>
        <w:t>Child</w:t>
      </w:r>
      <w:r w:rsidRPr="00414EBA">
        <w:rPr>
          <w:i/>
          <w:iCs/>
          <w:sz w:val="22"/>
          <w:szCs w:val="22"/>
        </w:rPr>
        <w:noBreakHyphen/>
        <w:t>resistant packaging – Requirements and testing procedures for reclosable packages</w:t>
      </w:r>
      <w:r w:rsidRPr="00DB7985">
        <w:rPr>
          <w:sz w:val="22"/>
          <w:szCs w:val="22"/>
        </w:rPr>
        <w:t xml:space="preserve"> (ISO 8317:2015, MOD</w:t>
      </w:r>
      <w:proofErr w:type="gramStart"/>
      <w:r w:rsidRPr="00DB7985">
        <w:rPr>
          <w:sz w:val="22"/>
          <w:szCs w:val="22"/>
        </w:rPr>
        <w:t>);</w:t>
      </w:r>
      <w:proofErr w:type="gramEnd"/>
    </w:p>
    <w:p w14:paraId="7BB2A512" w14:textId="77777777" w:rsidR="00496392" w:rsidRPr="00DB7985" w:rsidRDefault="00496392" w:rsidP="00496392">
      <w:pPr>
        <w:pStyle w:val="ListParagraph"/>
        <w:numPr>
          <w:ilvl w:val="0"/>
          <w:numId w:val="0"/>
        </w:numPr>
        <w:spacing w:before="0" w:after="0"/>
        <w:ind w:left="360"/>
        <w:contextualSpacing w:val="0"/>
        <w:rPr>
          <w:sz w:val="22"/>
          <w:szCs w:val="22"/>
        </w:rPr>
      </w:pPr>
    </w:p>
    <w:p w14:paraId="0F73AB50" w14:textId="77777777" w:rsidR="00496392" w:rsidRPr="00DB7985" w:rsidRDefault="00496392" w:rsidP="00496392">
      <w:pPr>
        <w:pStyle w:val="ListParagraph"/>
        <w:numPr>
          <w:ilvl w:val="0"/>
          <w:numId w:val="2"/>
        </w:numPr>
        <w:spacing w:before="0" w:after="0"/>
        <w:rPr>
          <w:sz w:val="22"/>
          <w:szCs w:val="22"/>
          <w:lang w:val="en-AU"/>
        </w:rPr>
      </w:pPr>
      <w:r w:rsidRPr="00DB7985">
        <w:rPr>
          <w:sz w:val="22"/>
          <w:szCs w:val="22"/>
          <w:shd w:val="clear" w:color="auto" w:fill="FFFFFF"/>
        </w:rPr>
        <w:t>International Organization for Standardization Standard ISO 8317:2015, </w:t>
      </w:r>
      <w:r w:rsidRPr="00DB7985">
        <w:rPr>
          <w:i/>
          <w:iCs/>
          <w:sz w:val="22"/>
          <w:szCs w:val="22"/>
          <w:shd w:val="clear" w:color="auto" w:fill="FFFFFF"/>
        </w:rPr>
        <w:t>Child</w:t>
      </w:r>
      <w:r w:rsidRPr="00DB7985">
        <w:rPr>
          <w:i/>
          <w:iCs/>
          <w:sz w:val="22"/>
          <w:szCs w:val="22"/>
          <w:shd w:val="clear" w:color="auto" w:fill="FFFFFF"/>
        </w:rPr>
        <w:noBreakHyphen/>
        <w:t xml:space="preserve">resistant packaging—Requirements and testing procedures for reclosable </w:t>
      </w:r>
      <w:proofErr w:type="gramStart"/>
      <w:r w:rsidRPr="00DB7985">
        <w:rPr>
          <w:i/>
          <w:iCs/>
          <w:sz w:val="22"/>
          <w:szCs w:val="22"/>
          <w:shd w:val="clear" w:color="auto" w:fill="FFFFFF"/>
        </w:rPr>
        <w:t>packages</w:t>
      </w:r>
      <w:r w:rsidRPr="00DB7985">
        <w:rPr>
          <w:sz w:val="22"/>
          <w:szCs w:val="22"/>
        </w:rPr>
        <w:t>;</w:t>
      </w:r>
      <w:proofErr w:type="gramEnd"/>
    </w:p>
    <w:p w14:paraId="637FD4A2" w14:textId="77777777" w:rsidR="00496392" w:rsidRPr="00DB7985" w:rsidRDefault="00496392" w:rsidP="00496392">
      <w:pPr>
        <w:pStyle w:val="ListParagraph"/>
        <w:numPr>
          <w:ilvl w:val="0"/>
          <w:numId w:val="0"/>
        </w:numPr>
        <w:ind w:left="360"/>
        <w:rPr>
          <w:sz w:val="22"/>
          <w:szCs w:val="22"/>
          <w:lang w:val="en-AU"/>
        </w:rPr>
      </w:pPr>
    </w:p>
    <w:p w14:paraId="3A0D2A03" w14:textId="77777777" w:rsidR="00496392" w:rsidRPr="00DB7985" w:rsidRDefault="00496392" w:rsidP="00496392">
      <w:pPr>
        <w:pStyle w:val="ListParagraph"/>
        <w:numPr>
          <w:ilvl w:val="0"/>
          <w:numId w:val="2"/>
        </w:numPr>
        <w:spacing w:before="0" w:after="0"/>
        <w:rPr>
          <w:sz w:val="22"/>
          <w:szCs w:val="22"/>
        </w:rPr>
      </w:pPr>
      <w:r w:rsidRPr="00DB7985">
        <w:rPr>
          <w:sz w:val="22"/>
          <w:szCs w:val="22"/>
          <w:shd w:val="clear" w:color="auto" w:fill="FFFFFF"/>
        </w:rPr>
        <w:t>Australian Standard AS 2216</w:t>
      </w:r>
      <w:r w:rsidRPr="00DB7985">
        <w:rPr>
          <w:sz w:val="22"/>
          <w:szCs w:val="22"/>
          <w:shd w:val="clear" w:color="auto" w:fill="FFFFFF"/>
        </w:rPr>
        <w:noBreakHyphen/>
        <w:t>1997, </w:t>
      </w:r>
      <w:r w:rsidRPr="00DB7985">
        <w:rPr>
          <w:i/>
          <w:iCs/>
          <w:sz w:val="22"/>
          <w:szCs w:val="22"/>
          <w:shd w:val="clear" w:color="auto" w:fill="FFFFFF"/>
        </w:rPr>
        <w:t xml:space="preserve">Packaging for poisonous </w:t>
      </w:r>
      <w:proofErr w:type="gramStart"/>
      <w:r w:rsidRPr="00DB7985">
        <w:rPr>
          <w:i/>
          <w:iCs/>
          <w:sz w:val="22"/>
          <w:szCs w:val="22"/>
          <w:shd w:val="clear" w:color="auto" w:fill="FFFFFF"/>
        </w:rPr>
        <w:t>substances</w:t>
      </w:r>
      <w:r w:rsidRPr="00DB7985">
        <w:rPr>
          <w:sz w:val="22"/>
          <w:szCs w:val="22"/>
        </w:rPr>
        <w:t>;</w:t>
      </w:r>
      <w:proofErr w:type="gramEnd"/>
    </w:p>
    <w:p w14:paraId="261182CB" w14:textId="77777777" w:rsidR="00496392" w:rsidRPr="00DB7985" w:rsidRDefault="00496392" w:rsidP="00496392">
      <w:pPr>
        <w:pStyle w:val="ListParagraph"/>
        <w:numPr>
          <w:ilvl w:val="0"/>
          <w:numId w:val="0"/>
        </w:numPr>
        <w:ind w:left="360"/>
        <w:rPr>
          <w:sz w:val="22"/>
          <w:szCs w:val="22"/>
        </w:rPr>
      </w:pPr>
    </w:p>
    <w:p w14:paraId="08D36716" w14:textId="77777777" w:rsidR="00496392" w:rsidRPr="00DB7985" w:rsidRDefault="00496392" w:rsidP="00496392">
      <w:pPr>
        <w:pStyle w:val="ListParagraph"/>
        <w:numPr>
          <w:ilvl w:val="0"/>
          <w:numId w:val="2"/>
        </w:numPr>
        <w:spacing w:before="0" w:after="0"/>
        <w:rPr>
          <w:sz w:val="22"/>
          <w:szCs w:val="22"/>
        </w:rPr>
      </w:pPr>
      <w:r w:rsidRPr="00DB7985">
        <w:rPr>
          <w:sz w:val="22"/>
          <w:szCs w:val="22"/>
        </w:rPr>
        <w:t xml:space="preserve">Australian </w:t>
      </w:r>
      <w:r w:rsidRPr="00DB7985">
        <w:rPr>
          <w:sz w:val="22"/>
          <w:szCs w:val="22"/>
          <w:shd w:val="clear" w:color="auto" w:fill="FFFFFF"/>
        </w:rPr>
        <w:t>Standard</w:t>
      </w:r>
      <w:r w:rsidRPr="00DB7985">
        <w:rPr>
          <w:sz w:val="22"/>
          <w:szCs w:val="22"/>
        </w:rPr>
        <w:t xml:space="preserve"> AS 4710-2001, </w:t>
      </w:r>
      <w:r w:rsidRPr="00DB7985">
        <w:rPr>
          <w:i/>
          <w:iCs/>
          <w:sz w:val="22"/>
          <w:szCs w:val="22"/>
        </w:rPr>
        <w:t xml:space="preserve">Packages for chemicals not intended for access or contact with their contents by </w:t>
      </w:r>
      <w:proofErr w:type="gramStart"/>
      <w:r w:rsidRPr="00DB7985">
        <w:rPr>
          <w:i/>
          <w:iCs/>
          <w:sz w:val="22"/>
          <w:szCs w:val="22"/>
        </w:rPr>
        <w:t>humans</w:t>
      </w:r>
      <w:r w:rsidRPr="00DB7985">
        <w:rPr>
          <w:sz w:val="22"/>
          <w:szCs w:val="22"/>
        </w:rPr>
        <w:t>;</w:t>
      </w:r>
      <w:proofErr w:type="gramEnd"/>
    </w:p>
    <w:p w14:paraId="31267974" w14:textId="77777777" w:rsidR="00496392" w:rsidRPr="00DB7985" w:rsidRDefault="00496392" w:rsidP="00496392">
      <w:pPr>
        <w:pStyle w:val="ListParagraph"/>
        <w:numPr>
          <w:ilvl w:val="0"/>
          <w:numId w:val="0"/>
        </w:numPr>
        <w:ind w:left="360"/>
        <w:rPr>
          <w:sz w:val="22"/>
          <w:szCs w:val="22"/>
        </w:rPr>
      </w:pPr>
    </w:p>
    <w:p w14:paraId="2C0E3567" w14:textId="77777777" w:rsidR="00496392" w:rsidRPr="00DB7985" w:rsidRDefault="00496392" w:rsidP="00496392">
      <w:pPr>
        <w:pStyle w:val="ListParagraph"/>
        <w:numPr>
          <w:ilvl w:val="0"/>
          <w:numId w:val="2"/>
        </w:numPr>
        <w:spacing w:before="0" w:after="0"/>
        <w:rPr>
          <w:sz w:val="22"/>
          <w:szCs w:val="22"/>
        </w:rPr>
      </w:pPr>
      <w:r w:rsidRPr="00DB7985">
        <w:rPr>
          <w:sz w:val="22"/>
          <w:szCs w:val="22"/>
        </w:rPr>
        <w:t xml:space="preserve">Australian </w:t>
      </w:r>
      <w:r w:rsidRPr="00DB7985">
        <w:rPr>
          <w:sz w:val="22"/>
          <w:szCs w:val="22"/>
          <w:shd w:val="clear" w:color="auto" w:fill="FFFFFF"/>
        </w:rPr>
        <w:t>Standard</w:t>
      </w:r>
      <w:r w:rsidRPr="00DB7985">
        <w:rPr>
          <w:sz w:val="22"/>
          <w:szCs w:val="22"/>
        </w:rPr>
        <w:t xml:space="preserve"> AS 1580-301.1-2005, </w:t>
      </w:r>
      <w:r w:rsidRPr="00DB7985">
        <w:rPr>
          <w:i/>
          <w:iCs/>
          <w:sz w:val="22"/>
          <w:szCs w:val="22"/>
        </w:rPr>
        <w:t xml:space="preserve">Paints and related materials – Methods of test – Non-volatile content by </w:t>
      </w:r>
      <w:proofErr w:type="gramStart"/>
      <w:r w:rsidRPr="00DB7985">
        <w:rPr>
          <w:i/>
          <w:iCs/>
          <w:sz w:val="22"/>
          <w:szCs w:val="22"/>
        </w:rPr>
        <w:t>mass</w:t>
      </w:r>
      <w:r w:rsidRPr="00DB7985">
        <w:rPr>
          <w:sz w:val="22"/>
          <w:szCs w:val="22"/>
        </w:rPr>
        <w:t>;</w:t>
      </w:r>
      <w:proofErr w:type="gramEnd"/>
    </w:p>
    <w:p w14:paraId="3823773A" w14:textId="77777777" w:rsidR="00496392" w:rsidRPr="00DB7985" w:rsidRDefault="00496392" w:rsidP="00496392">
      <w:pPr>
        <w:pStyle w:val="ListParagraph"/>
        <w:numPr>
          <w:ilvl w:val="0"/>
          <w:numId w:val="0"/>
        </w:numPr>
        <w:ind w:left="360"/>
        <w:rPr>
          <w:sz w:val="22"/>
          <w:szCs w:val="22"/>
        </w:rPr>
      </w:pPr>
    </w:p>
    <w:p w14:paraId="43A1B87F" w14:textId="77777777" w:rsidR="00496392" w:rsidRPr="00DB7985" w:rsidRDefault="00496392" w:rsidP="00496392">
      <w:pPr>
        <w:pStyle w:val="ListParagraph"/>
        <w:numPr>
          <w:ilvl w:val="0"/>
          <w:numId w:val="2"/>
        </w:numPr>
        <w:spacing w:before="0" w:after="0"/>
        <w:rPr>
          <w:sz w:val="22"/>
          <w:szCs w:val="22"/>
        </w:rPr>
      </w:pPr>
      <w:r w:rsidRPr="007A7E82">
        <w:rPr>
          <w:color w:val="000000"/>
          <w:sz w:val="22"/>
          <w:szCs w:val="22"/>
          <w:shd w:val="clear" w:color="auto" w:fill="FFFFFF"/>
        </w:rPr>
        <w:t>Australian</w:t>
      </w:r>
      <w:r w:rsidRPr="00AE7115">
        <w:rPr>
          <w:sz w:val="22"/>
          <w:szCs w:val="22"/>
        </w:rPr>
        <w:t xml:space="preserve"> Standard </w:t>
      </w:r>
      <w:r w:rsidRPr="00DB7985">
        <w:rPr>
          <w:sz w:val="22"/>
          <w:szCs w:val="22"/>
        </w:rPr>
        <w:t xml:space="preserve">AS 8124.4-2003, </w:t>
      </w:r>
      <w:r w:rsidRPr="00DB7985">
        <w:rPr>
          <w:i/>
          <w:iCs/>
          <w:sz w:val="22"/>
          <w:szCs w:val="22"/>
        </w:rPr>
        <w:t xml:space="preserve">Safety of toys, </w:t>
      </w:r>
      <w:r w:rsidRPr="00DB7985">
        <w:rPr>
          <w:sz w:val="22"/>
          <w:szCs w:val="22"/>
        </w:rPr>
        <w:t xml:space="preserve">Part 4: </w:t>
      </w:r>
      <w:r w:rsidRPr="00DB7985">
        <w:rPr>
          <w:i/>
          <w:iCs/>
          <w:sz w:val="22"/>
          <w:szCs w:val="22"/>
        </w:rPr>
        <w:t xml:space="preserve">Experimental sets for chemistry and related </w:t>
      </w:r>
      <w:proofErr w:type="gramStart"/>
      <w:r w:rsidRPr="00DB7985">
        <w:rPr>
          <w:i/>
          <w:iCs/>
          <w:sz w:val="22"/>
          <w:szCs w:val="22"/>
        </w:rPr>
        <w:t>activities</w:t>
      </w:r>
      <w:r w:rsidRPr="00DB7985">
        <w:rPr>
          <w:sz w:val="22"/>
          <w:szCs w:val="22"/>
        </w:rPr>
        <w:t>;</w:t>
      </w:r>
      <w:proofErr w:type="gramEnd"/>
    </w:p>
    <w:p w14:paraId="2E2FC478" w14:textId="77777777" w:rsidR="00496392" w:rsidRPr="00DB7985" w:rsidRDefault="00496392" w:rsidP="00496392">
      <w:pPr>
        <w:pStyle w:val="ListParagraph"/>
        <w:numPr>
          <w:ilvl w:val="0"/>
          <w:numId w:val="0"/>
        </w:numPr>
        <w:ind w:left="360"/>
        <w:rPr>
          <w:sz w:val="22"/>
          <w:szCs w:val="22"/>
        </w:rPr>
      </w:pPr>
    </w:p>
    <w:p w14:paraId="7990EB62" w14:textId="77777777" w:rsidR="00496392" w:rsidRPr="00DB7985" w:rsidRDefault="00496392" w:rsidP="00496392">
      <w:pPr>
        <w:pStyle w:val="ListParagraph"/>
        <w:numPr>
          <w:ilvl w:val="0"/>
          <w:numId w:val="2"/>
        </w:numPr>
        <w:spacing w:before="0" w:after="0"/>
        <w:rPr>
          <w:sz w:val="22"/>
          <w:szCs w:val="22"/>
        </w:rPr>
      </w:pPr>
      <w:r w:rsidRPr="00DB7985">
        <w:rPr>
          <w:sz w:val="22"/>
          <w:szCs w:val="22"/>
          <w:shd w:val="clear" w:color="auto" w:fill="FFFFFF"/>
        </w:rPr>
        <w:t>Australian</w:t>
      </w:r>
      <w:r w:rsidRPr="00DB7985">
        <w:rPr>
          <w:sz w:val="22"/>
          <w:szCs w:val="22"/>
        </w:rPr>
        <w:t xml:space="preserve">/New Zealand Standard AS/NZS ISO 8124.3:2012, </w:t>
      </w:r>
      <w:r w:rsidRPr="00DB7985">
        <w:rPr>
          <w:i/>
          <w:iCs/>
          <w:sz w:val="22"/>
          <w:szCs w:val="22"/>
        </w:rPr>
        <w:t>Safety of toys Part 3: Migration of certain elements (ISO 8124-03:2010, MOD</w:t>
      </w:r>
      <w:proofErr w:type="gramStart"/>
      <w:r w:rsidRPr="00DB7985">
        <w:rPr>
          <w:i/>
          <w:iCs/>
          <w:sz w:val="22"/>
          <w:szCs w:val="22"/>
        </w:rPr>
        <w:t>)</w:t>
      </w:r>
      <w:r w:rsidRPr="00DB7985">
        <w:rPr>
          <w:sz w:val="22"/>
          <w:szCs w:val="22"/>
        </w:rPr>
        <w:t>;</w:t>
      </w:r>
      <w:proofErr w:type="gramEnd"/>
    </w:p>
    <w:p w14:paraId="47A30CDB" w14:textId="77777777" w:rsidR="00496392" w:rsidRPr="00DB7985" w:rsidRDefault="00496392" w:rsidP="00496392">
      <w:pPr>
        <w:pStyle w:val="ListParagraph"/>
        <w:numPr>
          <w:ilvl w:val="0"/>
          <w:numId w:val="0"/>
        </w:numPr>
        <w:autoSpaceDE/>
        <w:autoSpaceDN/>
        <w:adjustRightInd/>
        <w:spacing w:before="0" w:after="0"/>
        <w:ind w:left="720"/>
        <w:contextualSpacing w:val="0"/>
        <w:rPr>
          <w:sz w:val="22"/>
          <w:szCs w:val="22"/>
        </w:rPr>
      </w:pPr>
    </w:p>
    <w:p w14:paraId="553109F2" w14:textId="77777777" w:rsidR="00496392" w:rsidRPr="00DB7985" w:rsidRDefault="00496392" w:rsidP="00496392">
      <w:pPr>
        <w:pStyle w:val="ListParagraph"/>
        <w:numPr>
          <w:ilvl w:val="0"/>
          <w:numId w:val="2"/>
        </w:numPr>
        <w:spacing w:before="0" w:after="0"/>
        <w:rPr>
          <w:sz w:val="22"/>
          <w:szCs w:val="22"/>
        </w:rPr>
      </w:pPr>
      <w:r w:rsidRPr="00DB7985">
        <w:rPr>
          <w:sz w:val="22"/>
          <w:szCs w:val="22"/>
        </w:rPr>
        <w:t xml:space="preserve">Australian </w:t>
      </w:r>
      <w:r w:rsidRPr="00DB7985">
        <w:rPr>
          <w:sz w:val="22"/>
          <w:szCs w:val="22"/>
          <w:shd w:val="clear" w:color="auto" w:fill="FFFFFF"/>
        </w:rPr>
        <w:t>Standard</w:t>
      </w:r>
      <w:r w:rsidRPr="00DB7985">
        <w:rPr>
          <w:sz w:val="22"/>
          <w:szCs w:val="22"/>
        </w:rPr>
        <w:t xml:space="preserve"> AS 1928</w:t>
      </w:r>
      <w:r w:rsidRPr="00DB7985">
        <w:rPr>
          <w:sz w:val="22"/>
          <w:szCs w:val="22"/>
        </w:rPr>
        <w:noBreakHyphen/>
        <w:t>2001, </w:t>
      </w:r>
      <w:r w:rsidRPr="00DB7985">
        <w:rPr>
          <w:i/>
          <w:iCs/>
          <w:sz w:val="22"/>
          <w:szCs w:val="22"/>
        </w:rPr>
        <w:t>Child</w:t>
      </w:r>
      <w:r w:rsidRPr="00DB7985">
        <w:rPr>
          <w:i/>
          <w:iCs/>
          <w:sz w:val="22"/>
          <w:szCs w:val="22"/>
        </w:rPr>
        <w:noBreakHyphen/>
        <w:t xml:space="preserve">resistant </w:t>
      </w:r>
      <w:proofErr w:type="gramStart"/>
      <w:r w:rsidRPr="00DB7985">
        <w:rPr>
          <w:i/>
          <w:iCs/>
          <w:sz w:val="22"/>
          <w:szCs w:val="22"/>
        </w:rPr>
        <w:t>packages</w:t>
      </w:r>
      <w:r w:rsidRPr="00DB7985">
        <w:rPr>
          <w:sz w:val="22"/>
          <w:szCs w:val="22"/>
        </w:rPr>
        <w:t>;</w:t>
      </w:r>
      <w:proofErr w:type="gramEnd"/>
    </w:p>
    <w:p w14:paraId="55576154" w14:textId="77777777" w:rsidR="00496392" w:rsidRPr="00DB7985" w:rsidRDefault="00496392" w:rsidP="00496392">
      <w:pPr>
        <w:pStyle w:val="ListParagraph"/>
        <w:numPr>
          <w:ilvl w:val="0"/>
          <w:numId w:val="0"/>
        </w:numPr>
        <w:autoSpaceDE/>
        <w:autoSpaceDN/>
        <w:adjustRightInd/>
        <w:spacing w:before="0" w:after="0"/>
        <w:ind w:left="720"/>
        <w:contextualSpacing w:val="0"/>
        <w:rPr>
          <w:sz w:val="22"/>
          <w:szCs w:val="22"/>
        </w:rPr>
      </w:pPr>
    </w:p>
    <w:p w14:paraId="143DBA3F" w14:textId="77777777" w:rsidR="00496392" w:rsidRPr="00DB7985" w:rsidRDefault="00496392" w:rsidP="00496392">
      <w:pPr>
        <w:pStyle w:val="ListParagraph"/>
        <w:numPr>
          <w:ilvl w:val="0"/>
          <w:numId w:val="2"/>
        </w:numPr>
        <w:spacing w:before="0" w:after="0"/>
        <w:rPr>
          <w:sz w:val="22"/>
          <w:szCs w:val="22"/>
        </w:rPr>
      </w:pPr>
      <w:r w:rsidRPr="00DB7985">
        <w:rPr>
          <w:sz w:val="22"/>
          <w:szCs w:val="22"/>
        </w:rPr>
        <w:t xml:space="preserve">British Standards </w:t>
      </w:r>
      <w:r w:rsidRPr="00DB7985">
        <w:rPr>
          <w:sz w:val="22"/>
          <w:szCs w:val="22"/>
          <w:shd w:val="clear" w:color="auto" w:fill="FFFFFF"/>
        </w:rPr>
        <w:t>Institution</w:t>
      </w:r>
      <w:r w:rsidRPr="00DB7985">
        <w:rPr>
          <w:sz w:val="22"/>
          <w:szCs w:val="22"/>
        </w:rPr>
        <w:t xml:space="preserve"> Standard BS EN ISO 8317:2004, </w:t>
      </w:r>
      <w:r w:rsidRPr="00DB7985">
        <w:rPr>
          <w:i/>
          <w:iCs/>
          <w:sz w:val="22"/>
          <w:szCs w:val="22"/>
        </w:rPr>
        <w:t>Child</w:t>
      </w:r>
      <w:r w:rsidRPr="00DB7985">
        <w:rPr>
          <w:i/>
          <w:iCs/>
          <w:sz w:val="22"/>
          <w:szCs w:val="22"/>
        </w:rPr>
        <w:noBreakHyphen/>
        <w:t xml:space="preserve">resistant packaging—Requirements and testing procedures for reclosable </w:t>
      </w:r>
      <w:proofErr w:type="gramStart"/>
      <w:r w:rsidRPr="00DB7985">
        <w:rPr>
          <w:i/>
          <w:iCs/>
          <w:sz w:val="22"/>
          <w:szCs w:val="22"/>
        </w:rPr>
        <w:t>packages</w:t>
      </w:r>
      <w:r w:rsidRPr="00DB7985">
        <w:rPr>
          <w:sz w:val="22"/>
          <w:szCs w:val="22"/>
        </w:rPr>
        <w:t>;</w:t>
      </w:r>
      <w:proofErr w:type="gramEnd"/>
    </w:p>
    <w:p w14:paraId="1F1EB77D" w14:textId="77777777" w:rsidR="00496392" w:rsidRPr="00DB7985" w:rsidRDefault="00496392" w:rsidP="00496392">
      <w:pPr>
        <w:pStyle w:val="ListParagraph"/>
        <w:numPr>
          <w:ilvl w:val="0"/>
          <w:numId w:val="0"/>
        </w:numPr>
        <w:ind w:left="360"/>
        <w:rPr>
          <w:sz w:val="22"/>
          <w:szCs w:val="22"/>
        </w:rPr>
      </w:pPr>
    </w:p>
    <w:p w14:paraId="7871FD84" w14:textId="77777777" w:rsidR="00496392" w:rsidRPr="00DB7985" w:rsidRDefault="00496392" w:rsidP="00496392">
      <w:pPr>
        <w:pStyle w:val="ListParagraph"/>
        <w:numPr>
          <w:ilvl w:val="0"/>
          <w:numId w:val="2"/>
        </w:numPr>
        <w:spacing w:before="0" w:after="0"/>
        <w:rPr>
          <w:sz w:val="22"/>
          <w:szCs w:val="22"/>
        </w:rPr>
      </w:pPr>
      <w:r w:rsidRPr="00DB7985">
        <w:rPr>
          <w:sz w:val="22"/>
          <w:szCs w:val="22"/>
        </w:rPr>
        <w:t>Canadian Standards Association Standard CSA Z76.1</w:t>
      </w:r>
      <w:r w:rsidRPr="00DB7985">
        <w:rPr>
          <w:sz w:val="22"/>
          <w:szCs w:val="22"/>
        </w:rPr>
        <w:noBreakHyphen/>
        <w:t>06, </w:t>
      </w:r>
      <w:r w:rsidRPr="00DB7985">
        <w:rPr>
          <w:i/>
          <w:iCs/>
          <w:sz w:val="22"/>
          <w:szCs w:val="22"/>
        </w:rPr>
        <w:t>Reclosable Child</w:t>
      </w:r>
      <w:r w:rsidRPr="00DB7985">
        <w:rPr>
          <w:i/>
          <w:iCs/>
          <w:sz w:val="22"/>
          <w:szCs w:val="22"/>
        </w:rPr>
        <w:noBreakHyphen/>
        <w:t xml:space="preserve">Resistant </w:t>
      </w:r>
      <w:proofErr w:type="gramStart"/>
      <w:r w:rsidRPr="00DB7985">
        <w:rPr>
          <w:i/>
          <w:iCs/>
          <w:sz w:val="22"/>
          <w:szCs w:val="22"/>
        </w:rPr>
        <w:t>Packages</w:t>
      </w:r>
      <w:r w:rsidRPr="00DB7985">
        <w:rPr>
          <w:sz w:val="22"/>
          <w:szCs w:val="22"/>
        </w:rPr>
        <w:t>;</w:t>
      </w:r>
      <w:proofErr w:type="gramEnd"/>
    </w:p>
    <w:p w14:paraId="48179941" w14:textId="77777777" w:rsidR="00496392" w:rsidRPr="00DB7985" w:rsidRDefault="00496392" w:rsidP="00496392">
      <w:pPr>
        <w:pStyle w:val="ListParagraph"/>
        <w:numPr>
          <w:ilvl w:val="0"/>
          <w:numId w:val="0"/>
        </w:numPr>
        <w:ind w:left="360"/>
        <w:rPr>
          <w:sz w:val="22"/>
          <w:szCs w:val="22"/>
        </w:rPr>
      </w:pPr>
    </w:p>
    <w:p w14:paraId="4C5F2675" w14:textId="77777777" w:rsidR="00496392" w:rsidRPr="00DB7985" w:rsidRDefault="00496392" w:rsidP="00496392">
      <w:pPr>
        <w:pStyle w:val="ListParagraph"/>
        <w:numPr>
          <w:ilvl w:val="0"/>
          <w:numId w:val="2"/>
        </w:numPr>
        <w:spacing w:before="0" w:after="0"/>
        <w:rPr>
          <w:sz w:val="22"/>
          <w:szCs w:val="22"/>
        </w:rPr>
      </w:pPr>
      <w:r w:rsidRPr="00DB7985">
        <w:rPr>
          <w:sz w:val="22"/>
          <w:szCs w:val="22"/>
        </w:rPr>
        <w:t xml:space="preserve">Personal Care Products Council of America, </w:t>
      </w:r>
      <w:r w:rsidRPr="00DB7985">
        <w:rPr>
          <w:i/>
          <w:iCs/>
          <w:sz w:val="22"/>
          <w:szCs w:val="22"/>
        </w:rPr>
        <w:t>International Cosmetic Ingredient Dictionary &amp; Handbook</w:t>
      </w:r>
      <w:r w:rsidRPr="00DB7985">
        <w:rPr>
          <w:sz w:val="22"/>
          <w:szCs w:val="22"/>
        </w:rPr>
        <w:t>; and</w:t>
      </w:r>
    </w:p>
    <w:p w14:paraId="79533A28" w14:textId="77777777" w:rsidR="00496392" w:rsidRPr="00DB7985" w:rsidRDefault="00496392" w:rsidP="00496392">
      <w:pPr>
        <w:pStyle w:val="ListParagraph"/>
        <w:numPr>
          <w:ilvl w:val="0"/>
          <w:numId w:val="0"/>
        </w:numPr>
        <w:spacing w:before="0" w:after="0"/>
        <w:ind w:left="360"/>
        <w:rPr>
          <w:sz w:val="22"/>
          <w:szCs w:val="22"/>
        </w:rPr>
      </w:pPr>
    </w:p>
    <w:p w14:paraId="08EB00B4" w14:textId="77777777" w:rsidR="00496392" w:rsidRPr="00DB7985" w:rsidRDefault="00496392" w:rsidP="00496392">
      <w:pPr>
        <w:pStyle w:val="ListParagraph"/>
        <w:numPr>
          <w:ilvl w:val="0"/>
          <w:numId w:val="2"/>
        </w:numPr>
        <w:spacing w:before="0" w:after="0"/>
        <w:rPr>
          <w:sz w:val="22"/>
          <w:szCs w:val="22"/>
        </w:rPr>
      </w:pPr>
      <w:r w:rsidRPr="00414EBA">
        <w:rPr>
          <w:i/>
          <w:iCs/>
          <w:sz w:val="22"/>
          <w:szCs w:val="22"/>
        </w:rPr>
        <w:t>Agricultural and Veterinary Chemicals Code (Agricultural Active Constituents) Standards 2022</w:t>
      </w:r>
      <w:r w:rsidRPr="00DB7985">
        <w:rPr>
          <w:sz w:val="22"/>
          <w:szCs w:val="22"/>
        </w:rPr>
        <w:t>, published by the Australian Pesticides and Veterinary Medicines Authority.</w:t>
      </w:r>
    </w:p>
    <w:p w14:paraId="3A86A9B8" w14:textId="77777777" w:rsidR="00496392" w:rsidRDefault="00496392" w:rsidP="00496392">
      <w:pPr>
        <w:spacing w:before="0" w:after="0"/>
        <w:rPr>
          <w:sz w:val="22"/>
          <w:szCs w:val="22"/>
        </w:rPr>
      </w:pPr>
    </w:p>
    <w:p w14:paraId="4DAB4ECD" w14:textId="5C316C97" w:rsidR="003924F3" w:rsidRDefault="00496392" w:rsidP="00496392">
      <w:pPr>
        <w:spacing w:before="0" w:after="0"/>
        <w:rPr>
          <w:sz w:val="22"/>
          <w:szCs w:val="22"/>
        </w:rPr>
      </w:pPr>
      <w:r>
        <w:rPr>
          <w:sz w:val="22"/>
          <w:szCs w:val="22"/>
        </w:rPr>
        <w:t xml:space="preserve">However, these documents are not publicly available for free. Rather, they can, by prior written arrangement where possible and without charge, be viewed by members of the public at the TGA office in Fairbairn, ACT. While these documents are not available for free, it is anticipated that the persons most affected by their adoption in the current Poisons Standard would likely be in possession of these documents. As important benchmarks for the safety of therapeutic goods and other consumer goods, it would be infeasible from a regulatory </w:t>
      </w:r>
      <w:r>
        <w:rPr>
          <w:sz w:val="22"/>
          <w:szCs w:val="22"/>
        </w:rPr>
        <w:lastRenderedPageBreak/>
        <w:t>perspective to not adopt such benchmarks on the basis that the publications are not available for free.</w:t>
      </w:r>
    </w:p>
    <w:p w14:paraId="6F1FCC32" w14:textId="77777777" w:rsidR="00496392" w:rsidRPr="00AE64AA" w:rsidRDefault="00496392" w:rsidP="00496392">
      <w:pPr>
        <w:spacing w:before="0" w:after="0"/>
        <w:rPr>
          <w:sz w:val="22"/>
          <w:szCs w:val="22"/>
        </w:rPr>
      </w:pPr>
    </w:p>
    <w:p w14:paraId="1D2F005E" w14:textId="091B4191" w:rsidR="004D7CED" w:rsidRPr="00504689" w:rsidRDefault="004D7CED" w:rsidP="004D7CED">
      <w:pPr>
        <w:spacing w:before="0" w:after="0"/>
        <w:rPr>
          <w:rFonts w:eastAsiaTheme="minorHAnsi"/>
          <w:iCs/>
          <w:sz w:val="22"/>
          <w:szCs w:val="22"/>
          <w:lang w:val="en-AU"/>
        </w:rPr>
      </w:pPr>
      <w:r w:rsidRPr="00891690">
        <w:rPr>
          <w:b/>
          <w:bCs/>
          <w:iCs/>
          <w:sz w:val="22"/>
          <w:szCs w:val="22"/>
        </w:rPr>
        <w:t>Consultation</w:t>
      </w:r>
    </w:p>
    <w:p w14:paraId="2F2DE6D9" w14:textId="77777777" w:rsidR="004D7CED" w:rsidRDefault="004D7CED" w:rsidP="004D7CED">
      <w:pPr>
        <w:spacing w:before="0" w:after="0"/>
        <w:rPr>
          <w:rFonts w:eastAsiaTheme="minorHAnsi"/>
          <w:sz w:val="22"/>
          <w:szCs w:val="22"/>
          <w:lang w:val="en-AU"/>
        </w:rPr>
      </w:pPr>
    </w:p>
    <w:p w14:paraId="0EFDDE5D" w14:textId="77777777" w:rsidR="004D7CED" w:rsidRPr="00FD2E34" w:rsidRDefault="004D7CED" w:rsidP="004D7CED">
      <w:pPr>
        <w:spacing w:before="0" w:after="0"/>
        <w:rPr>
          <w:rFonts w:eastAsiaTheme="minorHAnsi"/>
          <w:i/>
          <w:iCs/>
          <w:sz w:val="22"/>
          <w:szCs w:val="22"/>
          <w:lang w:val="en-AU"/>
        </w:rPr>
      </w:pPr>
      <w:r>
        <w:rPr>
          <w:rFonts w:eastAsiaTheme="minorHAnsi"/>
          <w:i/>
          <w:iCs/>
          <w:sz w:val="22"/>
          <w:szCs w:val="22"/>
          <w:lang w:val="en-AU"/>
        </w:rPr>
        <w:t>Proposed amendments referred to an expert advisory committee</w:t>
      </w:r>
    </w:p>
    <w:p w14:paraId="3C484CDC" w14:textId="77777777" w:rsidR="004D7CED" w:rsidRDefault="004D7CED" w:rsidP="004D7CED">
      <w:pPr>
        <w:spacing w:before="0" w:after="0"/>
        <w:rPr>
          <w:rFonts w:eastAsiaTheme="minorHAnsi"/>
          <w:sz w:val="22"/>
          <w:szCs w:val="22"/>
          <w:lang w:val="en-AU"/>
        </w:rPr>
      </w:pPr>
    </w:p>
    <w:p w14:paraId="4DE25F4E" w14:textId="08E44C00" w:rsidR="00BC4CBF" w:rsidRPr="0050433C" w:rsidRDefault="0035308F" w:rsidP="00504689">
      <w:pPr>
        <w:spacing w:before="0" w:after="0"/>
        <w:rPr>
          <w:rFonts w:eastAsiaTheme="minorHAnsi"/>
          <w:sz w:val="22"/>
          <w:szCs w:val="22"/>
          <w:lang w:val="en-AU"/>
        </w:rPr>
      </w:pPr>
      <w:r w:rsidRPr="0050433C">
        <w:rPr>
          <w:rFonts w:eastAsiaTheme="minorHAnsi"/>
          <w:sz w:val="22"/>
          <w:szCs w:val="22"/>
          <w:lang w:val="en-AU"/>
        </w:rPr>
        <w:t>The changes to be implemented in relation to psilocybine and MDMA follow from applications to amend the Poisons Standard received in July</w:t>
      </w:r>
      <w:r w:rsidR="00AE21D8" w:rsidRPr="0050433C">
        <w:rPr>
          <w:rFonts w:eastAsiaTheme="minorHAnsi"/>
          <w:sz w:val="22"/>
          <w:szCs w:val="22"/>
          <w:lang w:val="en-AU"/>
        </w:rPr>
        <w:t> </w:t>
      </w:r>
      <w:r w:rsidRPr="0050433C">
        <w:rPr>
          <w:rFonts w:eastAsiaTheme="minorHAnsi"/>
          <w:sz w:val="22"/>
          <w:szCs w:val="22"/>
          <w:lang w:val="en-AU"/>
        </w:rPr>
        <w:t>2020 and March</w:t>
      </w:r>
      <w:r w:rsidR="00AE21D8" w:rsidRPr="0050433C">
        <w:rPr>
          <w:rFonts w:eastAsiaTheme="minorHAnsi"/>
          <w:sz w:val="22"/>
          <w:szCs w:val="22"/>
          <w:lang w:val="en-AU"/>
        </w:rPr>
        <w:t> </w:t>
      </w:r>
      <w:r w:rsidRPr="0050433C">
        <w:rPr>
          <w:rFonts w:eastAsiaTheme="minorHAnsi"/>
          <w:sz w:val="22"/>
          <w:szCs w:val="22"/>
          <w:lang w:val="en-AU"/>
        </w:rPr>
        <w:t xml:space="preserve">2022. </w:t>
      </w:r>
    </w:p>
    <w:p w14:paraId="7DA25017" w14:textId="77777777" w:rsidR="00BC4CBF" w:rsidRPr="0050433C" w:rsidRDefault="00BC4CBF" w:rsidP="00504689">
      <w:pPr>
        <w:spacing w:before="0" w:after="0"/>
        <w:rPr>
          <w:rFonts w:eastAsiaTheme="minorHAnsi"/>
          <w:sz w:val="22"/>
          <w:szCs w:val="22"/>
          <w:lang w:val="en-AU"/>
        </w:rPr>
      </w:pPr>
    </w:p>
    <w:p w14:paraId="1E68DAC2" w14:textId="063EDC0E" w:rsidR="00BC4CBF" w:rsidRPr="0050433C" w:rsidRDefault="00BC4CBF" w:rsidP="00BC4CBF">
      <w:pPr>
        <w:spacing w:before="0" w:after="0"/>
        <w:rPr>
          <w:rFonts w:eastAsiaTheme="minorHAnsi"/>
          <w:sz w:val="22"/>
          <w:szCs w:val="22"/>
          <w:lang w:val="en-AU"/>
        </w:rPr>
      </w:pPr>
      <w:r w:rsidRPr="0050433C">
        <w:rPr>
          <w:rFonts w:eastAsiaTheme="minorHAnsi"/>
          <w:sz w:val="22"/>
          <w:szCs w:val="22"/>
          <w:lang w:val="en-AU"/>
        </w:rPr>
        <w:t xml:space="preserve">Public comment was invited in relation to the proposed amendments that were referred to the </w:t>
      </w:r>
      <w:r w:rsidR="00AE21D8" w:rsidRPr="0050433C">
        <w:rPr>
          <w:rFonts w:eastAsiaTheme="minorHAnsi"/>
          <w:sz w:val="22"/>
          <w:szCs w:val="22"/>
          <w:lang w:val="en-AU"/>
        </w:rPr>
        <w:t>June 2</w:t>
      </w:r>
      <w:r w:rsidRPr="0050433C">
        <w:rPr>
          <w:rFonts w:eastAsiaTheme="minorHAnsi"/>
          <w:sz w:val="22"/>
          <w:szCs w:val="22"/>
          <w:lang w:val="en-AU"/>
        </w:rPr>
        <w:t>022 meeting</w:t>
      </w:r>
      <w:r w:rsidR="00AE21D8" w:rsidRPr="0050433C">
        <w:rPr>
          <w:rFonts w:eastAsiaTheme="minorHAnsi"/>
          <w:sz w:val="22"/>
          <w:szCs w:val="22"/>
          <w:lang w:val="en-AU"/>
        </w:rPr>
        <w:t xml:space="preserve"> </w:t>
      </w:r>
      <w:r w:rsidRPr="0050433C">
        <w:rPr>
          <w:rFonts w:eastAsiaTheme="minorHAnsi"/>
          <w:sz w:val="22"/>
          <w:szCs w:val="22"/>
          <w:lang w:val="en-AU"/>
        </w:rPr>
        <w:t>of the ACMS, from</w:t>
      </w:r>
      <w:r w:rsidR="00AE21D8" w:rsidRPr="0050433C">
        <w:rPr>
          <w:rFonts w:eastAsiaTheme="minorHAnsi"/>
          <w:sz w:val="22"/>
          <w:szCs w:val="22"/>
          <w:lang w:val="en-AU"/>
        </w:rPr>
        <w:t xml:space="preserve"> </w:t>
      </w:r>
      <w:r w:rsidRPr="0050433C">
        <w:rPr>
          <w:rFonts w:eastAsiaTheme="minorHAnsi"/>
          <w:sz w:val="22"/>
          <w:szCs w:val="22"/>
          <w:lang w:val="en-AU"/>
        </w:rPr>
        <w:t>29</w:t>
      </w:r>
      <w:r w:rsidR="00AE21D8" w:rsidRPr="0050433C">
        <w:rPr>
          <w:rFonts w:eastAsiaTheme="minorHAnsi"/>
          <w:sz w:val="22"/>
          <w:szCs w:val="22"/>
          <w:lang w:val="en-AU"/>
        </w:rPr>
        <w:t> </w:t>
      </w:r>
      <w:r w:rsidRPr="0050433C">
        <w:rPr>
          <w:rFonts w:eastAsiaTheme="minorHAnsi"/>
          <w:sz w:val="22"/>
          <w:szCs w:val="22"/>
          <w:lang w:val="en-AU"/>
        </w:rPr>
        <w:t>April</w:t>
      </w:r>
      <w:r w:rsidR="00AE21D8" w:rsidRPr="0050433C">
        <w:rPr>
          <w:rFonts w:eastAsiaTheme="minorHAnsi"/>
          <w:sz w:val="22"/>
          <w:szCs w:val="22"/>
          <w:lang w:val="en-AU"/>
        </w:rPr>
        <w:t> </w:t>
      </w:r>
      <w:r w:rsidRPr="0050433C">
        <w:rPr>
          <w:rFonts w:eastAsiaTheme="minorHAnsi"/>
          <w:sz w:val="22"/>
          <w:szCs w:val="22"/>
          <w:lang w:val="en-AU"/>
        </w:rPr>
        <w:t>2022 to 27</w:t>
      </w:r>
      <w:r w:rsidR="00AE21D8" w:rsidRPr="0050433C">
        <w:rPr>
          <w:rFonts w:eastAsiaTheme="minorHAnsi"/>
          <w:sz w:val="22"/>
          <w:szCs w:val="22"/>
          <w:lang w:val="en-AU"/>
        </w:rPr>
        <w:t> </w:t>
      </w:r>
      <w:r w:rsidRPr="0050433C">
        <w:rPr>
          <w:rFonts w:eastAsiaTheme="minorHAnsi"/>
          <w:sz w:val="22"/>
          <w:szCs w:val="22"/>
          <w:lang w:val="en-AU"/>
        </w:rPr>
        <w:t>May</w:t>
      </w:r>
      <w:r w:rsidR="00AE21D8" w:rsidRPr="0050433C">
        <w:rPr>
          <w:rFonts w:eastAsiaTheme="minorHAnsi"/>
          <w:sz w:val="22"/>
          <w:szCs w:val="22"/>
          <w:lang w:val="en-AU"/>
        </w:rPr>
        <w:t> </w:t>
      </w:r>
      <w:r w:rsidRPr="0050433C">
        <w:rPr>
          <w:rFonts w:eastAsiaTheme="minorHAnsi"/>
          <w:sz w:val="22"/>
          <w:szCs w:val="22"/>
          <w:lang w:val="en-AU"/>
        </w:rPr>
        <w:t>2022 respectively. A further invitation to comment on the interim decision not to amend the Poisons Standard regarding psilocybine and MDMA was published on 21 October</w:t>
      </w:r>
      <w:r w:rsidR="00AE21D8" w:rsidRPr="0050433C">
        <w:rPr>
          <w:rFonts w:eastAsiaTheme="minorHAnsi"/>
          <w:sz w:val="22"/>
          <w:szCs w:val="22"/>
          <w:lang w:val="en-AU"/>
        </w:rPr>
        <w:t> </w:t>
      </w:r>
      <w:r w:rsidRPr="0050433C">
        <w:rPr>
          <w:rFonts w:eastAsiaTheme="minorHAnsi"/>
          <w:sz w:val="22"/>
          <w:szCs w:val="22"/>
          <w:lang w:val="en-AU"/>
        </w:rPr>
        <w:t>202</w:t>
      </w:r>
      <w:r w:rsidR="00AE21D8" w:rsidRPr="0050433C">
        <w:rPr>
          <w:rFonts w:eastAsiaTheme="minorHAnsi"/>
          <w:sz w:val="22"/>
          <w:szCs w:val="22"/>
          <w:lang w:val="en-AU"/>
        </w:rPr>
        <w:t>2</w:t>
      </w:r>
      <w:r w:rsidRPr="0050433C">
        <w:rPr>
          <w:rFonts w:eastAsiaTheme="minorHAnsi"/>
          <w:sz w:val="22"/>
          <w:szCs w:val="22"/>
          <w:lang w:val="en-AU"/>
        </w:rPr>
        <w:t>, with a closing date of 24 November</w:t>
      </w:r>
      <w:r w:rsidR="00AE21D8" w:rsidRPr="0050433C">
        <w:rPr>
          <w:rFonts w:eastAsiaTheme="minorHAnsi"/>
          <w:sz w:val="22"/>
          <w:szCs w:val="22"/>
          <w:lang w:val="en-AU"/>
        </w:rPr>
        <w:t> </w:t>
      </w:r>
      <w:r w:rsidRPr="0050433C">
        <w:rPr>
          <w:rFonts w:eastAsiaTheme="minorHAnsi"/>
          <w:sz w:val="22"/>
          <w:szCs w:val="22"/>
          <w:lang w:val="en-AU"/>
        </w:rPr>
        <w:t>202</w:t>
      </w:r>
      <w:r w:rsidR="00AE21D8" w:rsidRPr="0050433C">
        <w:rPr>
          <w:rFonts w:eastAsiaTheme="minorHAnsi"/>
          <w:sz w:val="22"/>
          <w:szCs w:val="22"/>
          <w:lang w:val="en-AU"/>
        </w:rPr>
        <w:t>2</w:t>
      </w:r>
      <w:r w:rsidRPr="0050433C">
        <w:rPr>
          <w:rFonts w:eastAsiaTheme="minorHAnsi"/>
          <w:sz w:val="22"/>
          <w:szCs w:val="22"/>
          <w:lang w:val="en-AU"/>
        </w:rPr>
        <w:t>. Notification of the final decisions made in relation to these substances was published on the TGA website on 3</w:t>
      </w:r>
      <w:r w:rsidR="00AE21D8" w:rsidRPr="0050433C">
        <w:rPr>
          <w:rFonts w:eastAsiaTheme="minorHAnsi"/>
          <w:sz w:val="22"/>
          <w:szCs w:val="22"/>
          <w:lang w:val="en-AU"/>
        </w:rPr>
        <w:t> </w:t>
      </w:r>
      <w:r w:rsidRPr="0050433C">
        <w:rPr>
          <w:rFonts w:eastAsiaTheme="minorHAnsi"/>
          <w:sz w:val="22"/>
          <w:szCs w:val="22"/>
          <w:lang w:val="en-AU"/>
        </w:rPr>
        <w:t>February</w:t>
      </w:r>
      <w:r w:rsidR="00AE21D8" w:rsidRPr="0050433C">
        <w:rPr>
          <w:rFonts w:eastAsiaTheme="minorHAnsi"/>
          <w:sz w:val="22"/>
          <w:szCs w:val="22"/>
          <w:lang w:val="en-AU"/>
        </w:rPr>
        <w:t> </w:t>
      </w:r>
      <w:r w:rsidRPr="0050433C">
        <w:rPr>
          <w:rFonts w:eastAsiaTheme="minorHAnsi"/>
          <w:sz w:val="22"/>
          <w:szCs w:val="22"/>
          <w:lang w:val="en-AU"/>
        </w:rPr>
        <w:t>2023.</w:t>
      </w:r>
    </w:p>
    <w:p w14:paraId="54DFFCAB" w14:textId="77777777" w:rsidR="004D7CED" w:rsidRPr="00891690" w:rsidRDefault="004D7CED" w:rsidP="004D7CED">
      <w:pPr>
        <w:spacing w:before="0" w:after="0"/>
        <w:rPr>
          <w:iCs/>
          <w:sz w:val="22"/>
          <w:szCs w:val="22"/>
        </w:rPr>
      </w:pPr>
    </w:p>
    <w:p w14:paraId="2FED1FA9" w14:textId="0A7F359A" w:rsidR="004D7CED" w:rsidRDefault="004D7CED" w:rsidP="004D7CED">
      <w:pPr>
        <w:spacing w:before="0" w:after="0"/>
        <w:rPr>
          <w:rFonts w:eastAsiaTheme="minorHAnsi"/>
          <w:sz w:val="22"/>
          <w:szCs w:val="22"/>
          <w:lang w:val="en-AU"/>
        </w:rPr>
      </w:pPr>
      <w:r w:rsidRPr="00A25AC7">
        <w:rPr>
          <w:rFonts w:eastAsiaTheme="minorHAnsi"/>
          <w:sz w:val="22"/>
          <w:szCs w:val="22"/>
          <w:lang w:val="en-AU"/>
        </w:rPr>
        <w:t>Th</w:t>
      </w:r>
      <w:r>
        <w:rPr>
          <w:rFonts w:eastAsiaTheme="minorHAnsi"/>
          <w:sz w:val="22"/>
          <w:szCs w:val="22"/>
          <w:lang w:val="en-AU"/>
        </w:rPr>
        <w:t>e Instrument</w:t>
      </w:r>
      <w:r w:rsidRPr="00A25AC7">
        <w:rPr>
          <w:rFonts w:eastAsiaTheme="minorHAnsi"/>
          <w:i/>
          <w:sz w:val="22"/>
          <w:szCs w:val="22"/>
          <w:lang w:val="en-AU"/>
        </w:rPr>
        <w:t xml:space="preserve"> </w:t>
      </w:r>
      <w:r w:rsidRPr="00A25AC7">
        <w:rPr>
          <w:rFonts w:eastAsiaTheme="minorHAnsi"/>
          <w:sz w:val="22"/>
          <w:szCs w:val="22"/>
          <w:lang w:val="en-AU"/>
        </w:rPr>
        <w:t xml:space="preserve">is a legislative instrument for the purposes of the </w:t>
      </w:r>
      <w:r>
        <w:rPr>
          <w:rFonts w:eastAsiaTheme="minorHAnsi"/>
          <w:iCs/>
          <w:sz w:val="22"/>
          <w:szCs w:val="22"/>
          <w:lang w:val="en-AU"/>
        </w:rPr>
        <w:t>Legislation Act</w:t>
      </w:r>
      <w:r w:rsidRPr="00A25AC7">
        <w:rPr>
          <w:rFonts w:eastAsiaTheme="minorHAnsi"/>
          <w:sz w:val="22"/>
          <w:szCs w:val="22"/>
          <w:lang w:val="en-AU"/>
        </w:rPr>
        <w:t xml:space="preserve">. However, section 42 of the </w:t>
      </w:r>
      <w:r>
        <w:rPr>
          <w:rFonts w:eastAsiaTheme="minorHAnsi"/>
          <w:iCs/>
          <w:sz w:val="22"/>
          <w:szCs w:val="22"/>
          <w:lang w:val="en-AU"/>
        </w:rPr>
        <w:t>Legislation Act</w:t>
      </w:r>
      <w:r w:rsidRPr="00A25AC7">
        <w:rPr>
          <w:rFonts w:eastAsiaTheme="minorHAnsi"/>
          <w:sz w:val="22"/>
          <w:szCs w:val="22"/>
          <w:lang w:val="en-AU"/>
        </w:rPr>
        <w:t xml:space="preserve"> relating to disallowance does not apply (subsection 52D(4A) of the Act refers). As the </w:t>
      </w:r>
      <w:r w:rsidR="00D2466A">
        <w:rPr>
          <w:rFonts w:eastAsiaTheme="minorHAnsi"/>
          <w:sz w:val="22"/>
          <w:szCs w:val="22"/>
        </w:rPr>
        <w:t>Instrument</w:t>
      </w:r>
      <w:r w:rsidRPr="00A25AC7">
        <w:rPr>
          <w:rFonts w:eastAsiaTheme="minorHAnsi"/>
          <w:sz w:val="22"/>
          <w:szCs w:val="22"/>
          <w:lang w:val="en-AU"/>
        </w:rPr>
        <w:t xml:space="preserve"> is not disallowable, subsection 9(1) of the </w:t>
      </w:r>
      <w:r w:rsidRPr="00A25AC7">
        <w:rPr>
          <w:rFonts w:eastAsiaTheme="minorHAnsi"/>
          <w:i/>
          <w:sz w:val="22"/>
          <w:szCs w:val="22"/>
          <w:lang w:val="en-AU"/>
        </w:rPr>
        <w:t>Human Rights (Parliamentary Scrutiny) Act 2011</w:t>
      </w:r>
      <w:r w:rsidRPr="00A25AC7">
        <w:rPr>
          <w:rFonts w:eastAsiaTheme="minorHAnsi"/>
          <w:sz w:val="22"/>
          <w:szCs w:val="22"/>
          <w:lang w:val="en-AU"/>
        </w:rPr>
        <w:t xml:space="preserve"> does not require that the </w:t>
      </w:r>
      <w:r w:rsidR="00D2466A">
        <w:rPr>
          <w:rFonts w:eastAsiaTheme="minorHAnsi"/>
          <w:sz w:val="22"/>
          <w:szCs w:val="22"/>
          <w:lang w:val="en-AU"/>
        </w:rPr>
        <w:t>I</w:t>
      </w:r>
      <w:r w:rsidRPr="00A25AC7">
        <w:rPr>
          <w:rFonts w:eastAsiaTheme="minorHAnsi"/>
          <w:sz w:val="22"/>
          <w:szCs w:val="22"/>
          <w:lang w:val="en-AU"/>
        </w:rPr>
        <w:t>nstrument be accompanied by a statement of compatibility with the human rights recognised under that Act.</w:t>
      </w:r>
    </w:p>
    <w:p w14:paraId="36E473AE" w14:textId="77777777" w:rsidR="004D7CED" w:rsidRPr="00A25AC7" w:rsidRDefault="004D7CED" w:rsidP="004D7CED">
      <w:pPr>
        <w:spacing w:before="0" w:after="0"/>
        <w:rPr>
          <w:rFonts w:eastAsiaTheme="minorHAnsi"/>
          <w:sz w:val="22"/>
          <w:szCs w:val="22"/>
          <w:lang w:val="en-AU"/>
        </w:rPr>
      </w:pPr>
    </w:p>
    <w:p w14:paraId="7536B984" w14:textId="75AF0800" w:rsidR="004D7CED" w:rsidRDefault="004D7CED" w:rsidP="004D7CED">
      <w:pPr>
        <w:spacing w:before="0" w:after="0"/>
        <w:rPr>
          <w:sz w:val="22"/>
          <w:szCs w:val="22"/>
        </w:rPr>
      </w:pPr>
      <w:r w:rsidRPr="00A25AC7">
        <w:rPr>
          <w:sz w:val="22"/>
          <w:szCs w:val="22"/>
        </w:rPr>
        <w:t>In providing that disallowance does not apply to an instrument made under paragraphs 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w:t>
      </w:r>
      <w:r>
        <w:rPr>
          <w:sz w:val="22"/>
          <w:szCs w:val="22"/>
        </w:rPr>
        <w:t xml:space="preserve"> </w:t>
      </w:r>
      <w:r w:rsidRPr="00A25AC7">
        <w:rPr>
          <w:sz w:val="22"/>
          <w:szCs w:val="22"/>
        </w:rPr>
        <w:t xml:space="preserve">Under this scheme, the current Poisons Standard principally provides a set of recommendations to the </w:t>
      </w:r>
      <w:r>
        <w:rPr>
          <w:sz w:val="22"/>
          <w:szCs w:val="22"/>
        </w:rPr>
        <w:t>S</w:t>
      </w:r>
      <w:r w:rsidRPr="00A25AC7">
        <w:rPr>
          <w:sz w:val="22"/>
          <w:szCs w:val="22"/>
        </w:rPr>
        <w:t xml:space="preserve">tates and </w:t>
      </w:r>
      <w:r>
        <w:rPr>
          <w:sz w:val="22"/>
          <w:szCs w:val="22"/>
        </w:rPr>
        <w:t>T</w:t>
      </w:r>
      <w:r w:rsidRPr="00A25AC7">
        <w:rPr>
          <w:sz w:val="22"/>
          <w:szCs w:val="22"/>
        </w:rPr>
        <w:t>erritories as to the appropriate level of controls that should apply to medicines and poisons.</w:t>
      </w:r>
    </w:p>
    <w:p w14:paraId="4F77FEF4" w14:textId="77777777" w:rsidR="004D7CED" w:rsidRPr="00A25AC7" w:rsidRDefault="004D7CED" w:rsidP="004D7CED">
      <w:pPr>
        <w:spacing w:before="0" w:after="0"/>
        <w:rPr>
          <w:sz w:val="22"/>
          <w:szCs w:val="22"/>
        </w:rPr>
      </w:pPr>
    </w:p>
    <w:p w14:paraId="497CB62D" w14:textId="4D3807BF" w:rsidR="004D7CED" w:rsidRDefault="004D7CED" w:rsidP="004D7CED">
      <w:pPr>
        <w:spacing w:before="0" w:after="0"/>
        <w:rPr>
          <w:sz w:val="22"/>
          <w:szCs w:val="22"/>
        </w:rPr>
      </w:pPr>
      <w:r w:rsidRPr="00A25AC7">
        <w:rPr>
          <w:sz w:val="22"/>
          <w:szCs w:val="22"/>
        </w:rPr>
        <w:t xml:space="preserve">The </w:t>
      </w:r>
      <w:r>
        <w:rPr>
          <w:sz w:val="22"/>
          <w:szCs w:val="22"/>
        </w:rPr>
        <w:t>S</w:t>
      </w:r>
      <w:r w:rsidRPr="00A25AC7">
        <w:rPr>
          <w:sz w:val="22"/>
          <w:szCs w:val="22"/>
        </w:rPr>
        <w:t xml:space="preserve">tates and </w:t>
      </w:r>
      <w:r>
        <w:rPr>
          <w:sz w:val="22"/>
          <w:szCs w:val="22"/>
        </w:rPr>
        <w:t>T</w:t>
      </w:r>
      <w:r w:rsidRPr="00A25AC7">
        <w:rPr>
          <w:sz w:val="22"/>
          <w:szCs w:val="22"/>
        </w:rPr>
        <w:t xml:space="preserve">erritories regulate such substances by electing to apply the current Poisons Standard as a law within their own jurisdiction. In this way, the current Poisons Standard does not have direct </w:t>
      </w:r>
      <w:proofErr w:type="gramStart"/>
      <w:r w:rsidRPr="00A25AC7">
        <w:rPr>
          <w:sz w:val="22"/>
          <w:szCs w:val="22"/>
        </w:rPr>
        <w:t>application in its own right</w:t>
      </w:r>
      <w:proofErr w:type="gramEnd"/>
      <w:r w:rsidRPr="00A25AC7">
        <w:rPr>
          <w:sz w:val="22"/>
          <w:szCs w:val="22"/>
        </w:rPr>
        <w:t>.</w:t>
      </w:r>
      <w:r>
        <w:rPr>
          <w:sz w:val="22"/>
          <w:szCs w:val="22"/>
        </w:rPr>
        <w:t xml:space="preserve"> </w:t>
      </w:r>
      <w:r w:rsidRPr="00A25AC7">
        <w:rPr>
          <w:sz w:val="22"/>
          <w:szCs w:val="22"/>
        </w:rPr>
        <w:t xml:space="preserve">If the current Poisons Standard was to be subject to disallowance, this would impact the current uniform system of restrictions in Australia relating to the supply of scheduled </w:t>
      </w:r>
      <w:proofErr w:type="gramStart"/>
      <w:r w:rsidRPr="00A25AC7">
        <w:rPr>
          <w:sz w:val="22"/>
          <w:szCs w:val="22"/>
        </w:rPr>
        <w:t>substances, and</w:t>
      </w:r>
      <w:proofErr w:type="gramEnd"/>
      <w:r w:rsidRPr="00A25AC7">
        <w:rPr>
          <w:sz w:val="22"/>
          <w:szCs w:val="22"/>
        </w:rPr>
        <w:t xml:space="preserve"> would lead to confusion and different approaches across different </w:t>
      </w:r>
      <w:r>
        <w:rPr>
          <w:sz w:val="22"/>
          <w:szCs w:val="22"/>
        </w:rPr>
        <w:t>S</w:t>
      </w:r>
      <w:r w:rsidRPr="00A25AC7">
        <w:rPr>
          <w:sz w:val="22"/>
          <w:szCs w:val="22"/>
        </w:rPr>
        <w:t xml:space="preserve">tates and </w:t>
      </w:r>
      <w:r>
        <w:rPr>
          <w:sz w:val="22"/>
          <w:szCs w:val="22"/>
        </w:rPr>
        <w:t>T</w:t>
      </w:r>
      <w:r w:rsidRPr="00A25AC7">
        <w:rPr>
          <w:sz w:val="22"/>
          <w:szCs w:val="22"/>
        </w:rPr>
        <w:t>erritories with respect to their handling, storage, possession and supply of scheduled substances.</w:t>
      </w:r>
    </w:p>
    <w:p w14:paraId="5065A687" w14:textId="77777777" w:rsidR="004D7CED" w:rsidRPr="00A25AC7" w:rsidRDefault="004D7CED" w:rsidP="004D7CED">
      <w:pPr>
        <w:spacing w:before="0" w:after="0"/>
        <w:rPr>
          <w:sz w:val="22"/>
          <w:szCs w:val="22"/>
        </w:rPr>
      </w:pPr>
    </w:p>
    <w:p w14:paraId="66B25C23" w14:textId="77777777" w:rsidR="004D7CED" w:rsidRDefault="004D7CED" w:rsidP="004D7CED">
      <w:pPr>
        <w:spacing w:before="0" w:after="0"/>
        <w:rPr>
          <w:sz w:val="22"/>
          <w:szCs w:val="22"/>
        </w:rPr>
      </w:pPr>
      <w:r w:rsidRPr="00A25AC7">
        <w:rPr>
          <w:sz w:val="22"/>
          <w:szCs w:val="22"/>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63859569" w14:textId="77777777" w:rsidR="004D7CED" w:rsidRPr="00A25AC7" w:rsidRDefault="004D7CED" w:rsidP="004D7CED">
      <w:pPr>
        <w:spacing w:before="0" w:after="0"/>
        <w:rPr>
          <w:rFonts w:eastAsiaTheme="minorHAnsi"/>
          <w:sz w:val="22"/>
          <w:szCs w:val="22"/>
          <w:lang w:val="en-AU"/>
        </w:rPr>
      </w:pPr>
    </w:p>
    <w:p w14:paraId="6861215D" w14:textId="4F8ABE3A" w:rsidR="00280050" w:rsidRPr="00A4017A" w:rsidRDefault="004D7CED" w:rsidP="00A4017A">
      <w:pPr>
        <w:spacing w:before="0" w:after="0"/>
        <w:rPr>
          <w:sz w:val="22"/>
          <w:szCs w:val="22"/>
        </w:rPr>
      </w:pPr>
      <w:r w:rsidRPr="00A25AC7">
        <w:rPr>
          <w:rFonts w:eastAsiaTheme="minorHAnsi"/>
          <w:sz w:val="22"/>
          <w:szCs w:val="22"/>
          <w:lang w:val="en-AU"/>
        </w:rPr>
        <w:t xml:space="preserve">The </w:t>
      </w:r>
      <w:r>
        <w:rPr>
          <w:rFonts w:eastAsiaTheme="minorHAnsi"/>
          <w:sz w:val="22"/>
          <w:szCs w:val="22"/>
        </w:rPr>
        <w:t>Instrument</w:t>
      </w:r>
      <w:r w:rsidRPr="00A25AC7">
        <w:rPr>
          <w:rFonts w:eastAsiaTheme="minorHAnsi"/>
          <w:sz w:val="22"/>
          <w:szCs w:val="22"/>
          <w:lang w:val="en-AU"/>
        </w:rPr>
        <w:t xml:space="preserve"> commences on 1 </w:t>
      </w:r>
      <w:r w:rsidR="0055536D">
        <w:rPr>
          <w:rFonts w:eastAsiaTheme="minorHAnsi"/>
          <w:sz w:val="22"/>
          <w:szCs w:val="22"/>
          <w:lang w:val="en-AU"/>
        </w:rPr>
        <w:t>July</w:t>
      </w:r>
      <w:r w:rsidR="0055536D" w:rsidRPr="00A25AC7">
        <w:rPr>
          <w:rFonts w:eastAsiaTheme="minorHAnsi"/>
          <w:sz w:val="22"/>
          <w:szCs w:val="22"/>
          <w:lang w:val="en-AU"/>
        </w:rPr>
        <w:t xml:space="preserve"> </w:t>
      </w:r>
      <w:r w:rsidRPr="00A25AC7">
        <w:rPr>
          <w:rFonts w:eastAsiaTheme="minorHAnsi"/>
          <w:sz w:val="22"/>
          <w:szCs w:val="22"/>
          <w:lang w:val="en-AU"/>
        </w:rPr>
        <w:t>202</w:t>
      </w:r>
      <w:r>
        <w:rPr>
          <w:rFonts w:eastAsiaTheme="minorHAnsi"/>
          <w:sz w:val="22"/>
          <w:szCs w:val="22"/>
          <w:lang w:val="en-AU"/>
        </w:rPr>
        <w:t>3</w:t>
      </w:r>
      <w:r w:rsidRPr="00A25AC7">
        <w:rPr>
          <w:rFonts w:eastAsiaTheme="minorHAnsi"/>
          <w:sz w:val="22"/>
          <w:szCs w:val="22"/>
          <w:lang w:val="en-AU"/>
        </w:rPr>
        <w:t>.</w:t>
      </w:r>
    </w:p>
    <w:sectPr w:rsidR="00280050" w:rsidRPr="00A4017A"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0C63" w14:textId="77777777" w:rsidR="00963FAE" w:rsidRDefault="00963FAE">
      <w:pPr>
        <w:spacing w:before="0" w:after="0"/>
      </w:pPr>
      <w:r>
        <w:separator/>
      </w:r>
    </w:p>
  </w:endnote>
  <w:endnote w:type="continuationSeparator" w:id="0">
    <w:p w14:paraId="2D891D59" w14:textId="77777777" w:rsidR="00963FAE" w:rsidRDefault="00963F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sz w:val="22"/>
        <w:szCs w:val="22"/>
      </w:rPr>
    </w:sdtEndPr>
    <w:sdtContent>
      <w:p w14:paraId="245B87C4" w14:textId="77777777" w:rsidR="001D49AC" w:rsidRPr="00B041B3" w:rsidRDefault="00925DDE">
        <w:pPr>
          <w:pStyle w:val="Footer"/>
          <w:jc w:val="right"/>
          <w:rPr>
            <w:sz w:val="22"/>
            <w:szCs w:val="22"/>
          </w:rPr>
        </w:pPr>
        <w:r w:rsidRPr="00B041B3">
          <w:rPr>
            <w:sz w:val="22"/>
            <w:szCs w:val="22"/>
          </w:rPr>
          <w:fldChar w:fldCharType="begin"/>
        </w:r>
        <w:r w:rsidRPr="00B041B3">
          <w:rPr>
            <w:sz w:val="22"/>
            <w:szCs w:val="22"/>
          </w:rPr>
          <w:instrText xml:space="preserve"> PAGE   \* MERGEFORMAT </w:instrText>
        </w:r>
        <w:r w:rsidRPr="00B041B3">
          <w:rPr>
            <w:sz w:val="22"/>
            <w:szCs w:val="22"/>
          </w:rPr>
          <w:fldChar w:fldCharType="separate"/>
        </w:r>
        <w:r>
          <w:rPr>
            <w:noProof/>
            <w:sz w:val="22"/>
            <w:szCs w:val="22"/>
          </w:rPr>
          <w:t>1</w:t>
        </w:r>
        <w:r w:rsidRPr="00B041B3">
          <w:rPr>
            <w:noProof/>
            <w:sz w:val="22"/>
            <w:szCs w:val="22"/>
          </w:rPr>
          <w:fldChar w:fldCharType="end"/>
        </w:r>
      </w:p>
    </w:sdtContent>
  </w:sdt>
  <w:p w14:paraId="66743FFE" w14:textId="77777777" w:rsidR="00117231" w:rsidRDefault="0010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800F" w14:textId="77777777" w:rsidR="00963FAE" w:rsidRDefault="00963FAE">
      <w:pPr>
        <w:spacing w:before="0" w:after="0"/>
      </w:pPr>
      <w:r>
        <w:separator/>
      </w:r>
    </w:p>
  </w:footnote>
  <w:footnote w:type="continuationSeparator" w:id="0">
    <w:p w14:paraId="66478F16" w14:textId="77777777" w:rsidR="00963FAE" w:rsidRDefault="00963F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C81"/>
    <w:multiLevelType w:val="hybridMultilevel"/>
    <w:tmpl w:val="2952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C6189"/>
    <w:multiLevelType w:val="hybridMultilevel"/>
    <w:tmpl w:val="029C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A7E0A"/>
    <w:multiLevelType w:val="hybridMultilevel"/>
    <w:tmpl w:val="1A28E38A"/>
    <w:lvl w:ilvl="0" w:tplc="DC845AD4">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F474FD4"/>
    <w:multiLevelType w:val="hybridMultilevel"/>
    <w:tmpl w:val="FE1AC530"/>
    <w:lvl w:ilvl="0" w:tplc="681207AE">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D35BEB"/>
    <w:multiLevelType w:val="hybridMultilevel"/>
    <w:tmpl w:val="78EEB8CC"/>
    <w:lvl w:ilvl="0" w:tplc="9164232A">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ED"/>
    <w:rsid w:val="00013266"/>
    <w:rsid w:val="0002785C"/>
    <w:rsid w:val="00060EC7"/>
    <w:rsid w:val="000926E4"/>
    <w:rsid w:val="000B17B3"/>
    <w:rsid w:val="000B2ED8"/>
    <w:rsid w:val="000C126A"/>
    <w:rsid w:val="000C53F0"/>
    <w:rsid w:val="000E00A0"/>
    <w:rsid w:val="000E70F2"/>
    <w:rsid w:val="000F67BD"/>
    <w:rsid w:val="0010175E"/>
    <w:rsid w:val="00105CE3"/>
    <w:rsid w:val="00120BE7"/>
    <w:rsid w:val="001277AF"/>
    <w:rsid w:val="00147845"/>
    <w:rsid w:val="00150613"/>
    <w:rsid w:val="001719EB"/>
    <w:rsid w:val="0018027D"/>
    <w:rsid w:val="001879CD"/>
    <w:rsid w:val="001B2C20"/>
    <w:rsid w:val="001B6BA8"/>
    <w:rsid w:val="001C5156"/>
    <w:rsid w:val="001F4977"/>
    <w:rsid w:val="0021289A"/>
    <w:rsid w:val="00236BF5"/>
    <w:rsid w:val="00237412"/>
    <w:rsid w:val="00253D60"/>
    <w:rsid w:val="00280050"/>
    <w:rsid w:val="00285950"/>
    <w:rsid w:val="002B3B26"/>
    <w:rsid w:val="002D2E58"/>
    <w:rsid w:val="002D7DB3"/>
    <w:rsid w:val="002E2B45"/>
    <w:rsid w:val="002E3B06"/>
    <w:rsid w:val="002E3FB0"/>
    <w:rsid w:val="003043D7"/>
    <w:rsid w:val="00312F86"/>
    <w:rsid w:val="003135DF"/>
    <w:rsid w:val="00321A26"/>
    <w:rsid w:val="00325CD2"/>
    <w:rsid w:val="00325E09"/>
    <w:rsid w:val="003335E6"/>
    <w:rsid w:val="00347FC3"/>
    <w:rsid w:val="003526FD"/>
    <w:rsid w:val="0035308F"/>
    <w:rsid w:val="003924F3"/>
    <w:rsid w:val="00396057"/>
    <w:rsid w:val="003A2903"/>
    <w:rsid w:val="003B0DF5"/>
    <w:rsid w:val="003C5061"/>
    <w:rsid w:val="003D33E6"/>
    <w:rsid w:val="003D661B"/>
    <w:rsid w:val="003E46BB"/>
    <w:rsid w:val="003F1FF7"/>
    <w:rsid w:val="003F3D70"/>
    <w:rsid w:val="00414EBA"/>
    <w:rsid w:val="00420553"/>
    <w:rsid w:val="00464B92"/>
    <w:rsid w:val="004712E9"/>
    <w:rsid w:val="00486BB9"/>
    <w:rsid w:val="00496392"/>
    <w:rsid w:val="004D7CED"/>
    <w:rsid w:val="0050433C"/>
    <w:rsid w:val="00504689"/>
    <w:rsid w:val="005242AA"/>
    <w:rsid w:val="00536119"/>
    <w:rsid w:val="00536921"/>
    <w:rsid w:val="0055536D"/>
    <w:rsid w:val="00555A01"/>
    <w:rsid w:val="00587BE2"/>
    <w:rsid w:val="005B1080"/>
    <w:rsid w:val="005B3D48"/>
    <w:rsid w:val="005C42DB"/>
    <w:rsid w:val="005E6195"/>
    <w:rsid w:val="006010A9"/>
    <w:rsid w:val="00611914"/>
    <w:rsid w:val="006234B0"/>
    <w:rsid w:val="006344ED"/>
    <w:rsid w:val="00643487"/>
    <w:rsid w:val="006560A7"/>
    <w:rsid w:val="00664382"/>
    <w:rsid w:val="00665339"/>
    <w:rsid w:val="006739AC"/>
    <w:rsid w:val="0068622A"/>
    <w:rsid w:val="006A166A"/>
    <w:rsid w:val="006B2FF6"/>
    <w:rsid w:val="00702112"/>
    <w:rsid w:val="00712F8E"/>
    <w:rsid w:val="00747A57"/>
    <w:rsid w:val="00762FBD"/>
    <w:rsid w:val="00763C52"/>
    <w:rsid w:val="007940CA"/>
    <w:rsid w:val="007A5783"/>
    <w:rsid w:val="007A7E82"/>
    <w:rsid w:val="007B1B7E"/>
    <w:rsid w:val="007C264D"/>
    <w:rsid w:val="007E7581"/>
    <w:rsid w:val="007F5F0E"/>
    <w:rsid w:val="00815D49"/>
    <w:rsid w:val="00851437"/>
    <w:rsid w:val="00864603"/>
    <w:rsid w:val="008758D2"/>
    <w:rsid w:val="00891314"/>
    <w:rsid w:val="008B0DFE"/>
    <w:rsid w:val="008C01F2"/>
    <w:rsid w:val="008D27DD"/>
    <w:rsid w:val="008E351F"/>
    <w:rsid w:val="008E6310"/>
    <w:rsid w:val="008F2673"/>
    <w:rsid w:val="009006D4"/>
    <w:rsid w:val="00925DDE"/>
    <w:rsid w:val="00963FAE"/>
    <w:rsid w:val="0098345E"/>
    <w:rsid w:val="00986836"/>
    <w:rsid w:val="009A019E"/>
    <w:rsid w:val="009A59CF"/>
    <w:rsid w:val="009A6D32"/>
    <w:rsid w:val="009C73C2"/>
    <w:rsid w:val="009D60C8"/>
    <w:rsid w:val="009F558D"/>
    <w:rsid w:val="009F7C6F"/>
    <w:rsid w:val="00A137F6"/>
    <w:rsid w:val="00A23927"/>
    <w:rsid w:val="00A24CC6"/>
    <w:rsid w:val="00A4017A"/>
    <w:rsid w:val="00A438FA"/>
    <w:rsid w:val="00A85218"/>
    <w:rsid w:val="00A90DEE"/>
    <w:rsid w:val="00AE1337"/>
    <w:rsid w:val="00AE1742"/>
    <w:rsid w:val="00AE21D8"/>
    <w:rsid w:val="00AE22BE"/>
    <w:rsid w:val="00AE64AA"/>
    <w:rsid w:val="00AE7115"/>
    <w:rsid w:val="00AF0029"/>
    <w:rsid w:val="00B1530F"/>
    <w:rsid w:val="00B5308D"/>
    <w:rsid w:val="00B63650"/>
    <w:rsid w:val="00B95112"/>
    <w:rsid w:val="00BC1819"/>
    <w:rsid w:val="00BC1F8D"/>
    <w:rsid w:val="00BC4CBF"/>
    <w:rsid w:val="00BD60D8"/>
    <w:rsid w:val="00C00F0E"/>
    <w:rsid w:val="00C216A3"/>
    <w:rsid w:val="00C360D1"/>
    <w:rsid w:val="00C54E7E"/>
    <w:rsid w:val="00C609AE"/>
    <w:rsid w:val="00C77CAE"/>
    <w:rsid w:val="00C81042"/>
    <w:rsid w:val="00C84D4D"/>
    <w:rsid w:val="00CB48D6"/>
    <w:rsid w:val="00CE7D11"/>
    <w:rsid w:val="00D02ADB"/>
    <w:rsid w:val="00D2466A"/>
    <w:rsid w:val="00D24A04"/>
    <w:rsid w:val="00D62FFE"/>
    <w:rsid w:val="00D66527"/>
    <w:rsid w:val="00D7785A"/>
    <w:rsid w:val="00D83853"/>
    <w:rsid w:val="00D92A57"/>
    <w:rsid w:val="00DB7985"/>
    <w:rsid w:val="00DC1A6C"/>
    <w:rsid w:val="00DD32B8"/>
    <w:rsid w:val="00DF1C49"/>
    <w:rsid w:val="00E5293D"/>
    <w:rsid w:val="00E74714"/>
    <w:rsid w:val="00E7784E"/>
    <w:rsid w:val="00E818D9"/>
    <w:rsid w:val="00ED30B1"/>
    <w:rsid w:val="00ED4983"/>
    <w:rsid w:val="00EE5C67"/>
    <w:rsid w:val="00EF64B0"/>
    <w:rsid w:val="00F0116D"/>
    <w:rsid w:val="00F1113A"/>
    <w:rsid w:val="00F14D6C"/>
    <w:rsid w:val="00F7016C"/>
    <w:rsid w:val="00F80802"/>
    <w:rsid w:val="00F9246C"/>
    <w:rsid w:val="00FC3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3524"/>
  <w15:chartTrackingRefBased/>
  <w15:docId w15:val="{4A9795EF-1C08-4198-8D20-17A7217C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ED"/>
    <w:pPr>
      <w:spacing w:before="180" w:after="120"/>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CED"/>
    <w:pPr>
      <w:numPr>
        <w:numId w:val="1"/>
      </w:numPr>
      <w:autoSpaceDE w:val="0"/>
      <w:autoSpaceDN w:val="0"/>
      <w:adjustRightInd w:val="0"/>
      <w:contextualSpacing/>
    </w:pPr>
  </w:style>
  <w:style w:type="paragraph" w:styleId="Footer">
    <w:name w:val="footer"/>
    <w:basedOn w:val="Normal"/>
    <w:link w:val="FooterChar"/>
    <w:uiPriority w:val="99"/>
    <w:unhideWhenUsed/>
    <w:rsid w:val="004D7CED"/>
    <w:pPr>
      <w:tabs>
        <w:tab w:val="center" w:pos="4513"/>
        <w:tab w:val="right" w:pos="9026"/>
      </w:tabs>
    </w:pPr>
  </w:style>
  <w:style w:type="character" w:customStyle="1" w:styleId="FooterChar">
    <w:name w:val="Footer Char"/>
    <w:basedOn w:val="DefaultParagraphFont"/>
    <w:link w:val="Footer"/>
    <w:uiPriority w:val="99"/>
    <w:rsid w:val="004D7CED"/>
    <w:rPr>
      <w:rFonts w:eastAsia="Times New Roman"/>
      <w:lang w:val="en-US"/>
    </w:rPr>
  </w:style>
  <w:style w:type="character" w:customStyle="1" w:styleId="normaltextrun">
    <w:name w:val="normaltextrun"/>
    <w:basedOn w:val="DefaultParagraphFont"/>
    <w:rsid w:val="000B17B3"/>
  </w:style>
  <w:style w:type="character" w:styleId="CommentReference">
    <w:name w:val="annotation reference"/>
    <w:basedOn w:val="DefaultParagraphFont"/>
    <w:uiPriority w:val="99"/>
    <w:unhideWhenUsed/>
    <w:rsid w:val="00C00F0E"/>
    <w:rPr>
      <w:sz w:val="16"/>
      <w:szCs w:val="16"/>
    </w:rPr>
  </w:style>
  <w:style w:type="paragraph" w:styleId="CommentText">
    <w:name w:val="annotation text"/>
    <w:basedOn w:val="Normal"/>
    <w:link w:val="CommentTextChar"/>
    <w:uiPriority w:val="99"/>
    <w:unhideWhenUsed/>
    <w:rsid w:val="00C00F0E"/>
    <w:rPr>
      <w:sz w:val="20"/>
      <w:szCs w:val="20"/>
    </w:rPr>
  </w:style>
  <w:style w:type="character" w:customStyle="1" w:styleId="CommentTextChar">
    <w:name w:val="Comment Text Char"/>
    <w:basedOn w:val="DefaultParagraphFont"/>
    <w:link w:val="CommentText"/>
    <w:uiPriority w:val="99"/>
    <w:rsid w:val="00C00F0E"/>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C00F0E"/>
    <w:rPr>
      <w:b/>
      <w:bCs/>
    </w:rPr>
  </w:style>
  <w:style w:type="character" w:customStyle="1" w:styleId="CommentSubjectChar">
    <w:name w:val="Comment Subject Char"/>
    <w:basedOn w:val="CommentTextChar"/>
    <w:link w:val="CommentSubject"/>
    <w:uiPriority w:val="99"/>
    <w:semiHidden/>
    <w:rsid w:val="00C00F0E"/>
    <w:rPr>
      <w:rFonts w:eastAsia="Times New Roman"/>
      <w:b/>
      <w:bCs/>
      <w:sz w:val="20"/>
      <w:szCs w:val="20"/>
      <w:lang w:val="en-US"/>
    </w:rPr>
  </w:style>
  <w:style w:type="character" w:styleId="Hyperlink">
    <w:name w:val="Hyperlink"/>
    <w:uiPriority w:val="99"/>
    <w:rsid w:val="00AE64AA"/>
    <w:rPr>
      <w:color w:val="0000FF"/>
      <w:u w:val="single"/>
    </w:rPr>
  </w:style>
  <w:style w:type="paragraph" w:styleId="Revision">
    <w:name w:val="Revision"/>
    <w:hidden/>
    <w:uiPriority w:val="99"/>
    <w:semiHidden/>
    <w:rsid w:val="000C53F0"/>
    <w:rPr>
      <w:rFonts w:eastAsia="Times New Roman"/>
      <w:lang w:val="en-US"/>
    </w:rPr>
  </w:style>
  <w:style w:type="character" w:styleId="UnresolvedMention">
    <w:name w:val="Unresolved Mention"/>
    <w:basedOn w:val="DefaultParagraphFont"/>
    <w:uiPriority w:val="99"/>
    <w:semiHidden/>
    <w:unhideWhenUsed/>
    <w:rsid w:val="001F4977"/>
    <w:rPr>
      <w:color w:val="605E5C"/>
      <w:shd w:val="clear" w:color="auto" w:fill="E1DFDD"/>
    </w:rPr>
  </w:style>
  <w:style w:type="character" w:styleId="FollowedHyperlink">
    <w:name w:val="FollowedHyperlink"/>
    <w:basedOn w:val="DefaultParagraphFont"/>
    <w:uiPriority w:val="99"/>
    <w:semiHidden/>
    <w:unhideWhenUsed/>
    <w:rsid w:val="00B63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816">
      <w:bodyDiv w:val="1"/>
      <w:marLeft w:val="0"/>
      <w:marRight w:val="0"/>
      <w:marTop w:val="0"/>
      <w:marBottom w:val="0"/>
      <w:divBdr>
        <w:top w:val="none" w:sz="0" w:space="0" w:color="auto"/>
        <w:left w:val="none" w:sz="0" w:space="0" w:color="auto"/>
        <w:bottom w:val="none" w:sz="0" w:space="0" w:color="auto"/>
        <w:right w:val="none" w:sz="0" w:space="0" w:color="auto"/>
      </w:divBdr>
    </w:div>
    <w:div w:id="207956047">
      <w:bodyDiv w:val="1"/>
      <w:marLeft w:val="0"/>
      <w:marRight w:val="0"/>
      <w:marTop w:val="0"/>
      <w:marBottom w:val="0"/>
      <w:divBdr>
        <w:top w:val="none" w:sz="0" w:space="0" w:color="auto"/>
        <w:left w:val="none" w:sz="0" w:space="0" w:color="auto"/>
        <w:bottom w:val="none" w:sz="0" w:space="0" w:color="auto"/>
        <w:right w:val="none" w:sz="0" w:space="0" w:color="auto"/>
      </w:divBdr>
    </w:div>
    <w:div w:id="288979544">
      <w:bodyDiv w:val="1"/>
      <w:marLeft w:val="0"/>
      <w:marRight w:val="0"/>
      <w:marTop w:val="0"/>
      <w:marBottom w:val="0"/>
      <w:divBdr>
        <w:top w:val="none" w:sz="0" w:space="0" w:color="auto"/>
        <w:left w:val="none" w:sz="0" w:space="0" w:color="auto"/>
        <w:bottom w:val="none" w:sz="0" w:space="0" w:color="auto"/>
        <w:right w:val="none" w:sz="0" w:space="0" w:color="auto"/>
      </w:divBdr>
    </w:div>
    <w:div w:id="1528833298">
      <w:bodyDiv w:val="1"/>
      <w:marLeft w:val="0"/>
      <w:marRight w:val="0"/>
      <w:marTop w:val="0"/>
      <w:marBottom w:val="0"/>
      <w:divBdr>
        <w:top w:val="none" w:sz="0" w:space="0" w:color="auto"/>
        <w:left w:val="none" w:sz="0" w:space="0" w:color="auto"/>
        <w:bottom w:val="none" w:sz="0" w:space="0" w:color="auto"/>
        <w:right w:val="none" w:sz="0" w:space="0" w:color="auto"/>
      </w:divBdr>
    </w:div>
    <w:div w:id="19910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392B-7D23-44BA-957A-0097D951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10271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PAPAMINAS, Anthi</dc:creator>
  <cp:keywords/>
  <dc:description/>
  <cp:lastModifiedBy>SINNATHAMBY, Priya</cp:lastModifiedBy>
  <cp:revision>2</cp:revision>
  <dcterms:created xsi:type="dcterms:W3CDTF">2023-06-23T05:28:00Z</dcterms:created>
  <dcterms:modified xsi:type="dcterms:W3CDTF">2023-06-23T05:28:00Z</dcterms:modified>
</cp:coreProperties>
</file>