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9D1689" w:rsidRDefault="00FA6784" w:rsidP="00FA6784">
      <w:pPr>
        <w:pStyle w:val="H3"/>
        <w:jc w:val="center"/>
        <w:rPr>
          <w:sz w:val="24"/>
          <w:szCs w:val="24"/>
        </w:rPr>
      </w:pPr>
      <w:r w:rsidRPr="009D1689">
        <w:rPr>
          <w:sz w:val="24"/>
          <w:szCs w:val="24"/>
        </w:rPr>
        <w:t>EXPLANATORY STATEMENT</w:t>
      </w:r>
    </w:p>
    <w:p w14:paraId="2412D124" w14:textId="77777777" w:rsidR="00A1739A" w:rsidRPr="009D1689" w:rsidRDefault="00A1739A" w:rsidP="00A1739A">
      <w:pPr>
        <w:rPr>
          <w:szCs w:val="24"/>
        </w:rPr>
      </w:pPr>
    </w:p>
    <w:p w14:paraId="76C0AB94" w14:textId="77777777" w:rsidR="00C23B22" w:rsidRPr="009D1689" w:rsidRDefault="00C23B22" w:rsidP="00C23B22">
      <w:pPr>
        <w:jc w:val="center"/>
        <w:rPr>
          <w:i/>
          <w:iCs/>
        </w:rPr>
      </w:pPr>
      <w:r w:rsidRPr="009D1689">
        <w:rPr>
          <w:i/>
          <w:iCs/>
        </w:rPr>
        <w:t>Health Insurance Act 1973</w:t>
      </w:r>
    </w:p>
    <w:p w14:paraId="58834FAA" w14:textId="77777777" w:rsidR="00C23B22" w:rsidRPr="009D1689" w:rsidRDefault="00C23B22" w:rsidP="00C23B22">
      <w:pPr>
        <w:rPr>
          <w:szCs w:val="24"/>
        </w:rPr>
      </w:pPr>
    </w:p>
    <w:p w14:paraId="0BB0D788" w14:textId="04C87B35" w:rsidR="00C23B22" w:rsidRPr="009D1689" w:rsidRDefault="00E909C0" w:rsidP="00E909C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9D1689">
        <w:rPr>
          <w:i/>
          <w:iCs/>
        </w:rPr>
        <w:t>Health Insurance (Section 3C General Medical Services – Other Medical Practitioner) Amendment (No. 1) Determination 2023</w:t>
      </w:r>
    </w:p>
    <w:p w14:paraId="1A2B4319" w14:textId="39FA6706" w:rsidR="00E909C0" w:rsidRPr="009D1689" w:rsidRDefault="00E909C0"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38EAEE2" w14:textId="77777777" w:rsidR="00C70A5A" w:rsidRPr="009D1689" w:rsidRDefault="00C70A5A" w:rsidP="00C70A5A">
      <w:r w:rsidRPr="009D1689">
        <w:t>The </w:t>
      </w:r>
      <w:r w:rsidRPr="009D1689">
        <w:rPr>
          <w:i/>
          <w:iCs/>
        </w:rPr>
        <w:t>Health Insurance Act 1973 </w:t>
      </w:r>
      <w:r w:rsidRPr="009D1689">
        <w:t>(the Act) sets out the principles and definitions governing the Medicare Benefits Schedule (MBS). The Act provides for payments by way of medical benefits and for other purposes.</w:t>
      </w:r>
    </w:p>
    <w:p w14:paraId="564F1969" w14:textId="77777777" w:rsidR="00C70A5A" w:rsidRPr="009D1689" w:rsidRDefault="00C70A5A" w:rsidP="00C70A5A">
      <w:pPr>
        <w:tabs>
          <w:tab w:val="left" w:pos="0"/>
          <w:tab w:val="left" w:pos="1008"/>
          <w:tab w:val="left" w:pos="2160"/>
          <w:tab w:val="left" w:pos="3312"/>
          <w:tab w:val="left" w:pos="4464"/>
          <w:tab w:val="left" w:pos="5616"/>
          <w:tab w:val="left" w:pos="6768"/>
          <w:tab w:val="left" w:pos="7920"/>
          <w:tab w:val="left" w:pos="9072"/>
          <w:tab w:val="right" w:pos="9504"/>
        </w:tabs>
        <w:rPr>
          <w:color w:val="000000"/>
          <w:shd w:val="clear" w:color="auto" w:fill="FFFFFF"/>
        </w:rPr>
      </w:pPr>
    </w:p>
    <w:p w14:paraId="1A492DA3" w14:textId="43E9027F" w:rsidR="00C23B22" w:rsidRPr="009D1689"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9D1689">
        <w:rPr>
          <w:color w:val="000000"/>
          <w:shd w:val="clear" w:color="auto" w:fill="FFFFFF"/>
        </w:rPr>
        <w:t>Subsection 3</w:t>
      </w:r>
      <w:proofErr w:type="gramStart"/>
      <w:r w:rsidRPr="009D1689">
        <w:rPr>
          <w:color w:val="000000"/>
          <w:shd w:val="clear" w:color="auto" w:fill="FFFFFF"/>
        </w:rPr>
        <w:t>C(</w:t>
      </w:r>
      <w:proofErr w:type="gramEnd"/>
      <w:r w:rsidRPr="009D1689">
        <w:rPr>
          <w:color w:val="000000"/>
          <w:shd w:val="clear" w:color="auto" w:fill="FFFFFF"/>
        </w:rPr>
        <w:t>1) of the Ac</w:t>
      </w:r>
      <w:r w:rsidR="00C70A5A" w:rsidRPr="009D1689">
        <w:rPr>
          <w:color w:val="000000"/>
          <w:shd w:val="clear" w:color="auto" w:fill="FFFFFF"/>
        </w:rPr>
        <w:t>t</w:t>
      </w:r>
      <w:r w:rsidRPr="009D1689">
        <w:rPr>
          <w:color w:val="000000"/>
          <w:shd w:val="clear" w:color="auto" w:fill="FFFFFF"/>
        </w:rPr>
        <w:t xml:space="preserve"> provides that the Minister may, by legislative instrument, determine that a health service not specified in an item in the </w:t>
      </w:r>
      <w:r w:rsidR="00E909C0" w:rsidRPr="009D1689">
        <w:rPr>
          <w:color w:val="000000"/>
          <w:shd w:val="clear" w:color="auto" w:fill="FFFFFF"/>
        </w:rPr>
        <w:t>g</w:t>
      </w:r>
      <w:r w:rsidR="00906E64" w:rsidRPr="009D1689">
        <w:rPr>
          <w:color w:val="000000"/>
          <w:shd w:val="clear" w:color="auto" w:fill="FFFFFF"/>
        </w:rPr>
        <w:t xml:space="preserve">eneral </w:t>
      </w:r>
      <w:r w:rsidR="00E909C0" w:rsidRPr="009D1689">
        <w:rPr>
          <w:color w:val="000000"/>
          <w:shd w:val="clear" w:color="auto" w:fill="FFFFFF"/>
        </w:rPr>
        <w:t>m</w:t>
      </w:r>
      <w:r w:rsidR="00906E64" w:rsidRPr="009D1689">
        <w:rPr>
          <w:color w:val="000000"/>
          <w:shd w:val="clear" w:color="auto" w:fill="FFFFFF"/>
        </w:rPr>
        <w:t xml:space="preserve">edical </w:t>
      </w:r>
      <w:r w:rsidR="00E909C0" w:rsidRPr="009D1689">
        <w:rPr>
          <w:color w:val="000000"/>
          <w:shd w:val="clear" w:color="auto" w:fill="FFFFFF"/>
        </w:rPr>
        <w:t>s</w:t>
      </w:r>
      <w:r w:rsidR="00906E64" w:rsidRPr="009D1689">
        <w:rPr>
          <w:color w:val="000000"/>
          <w:shd w:val="clear" w:color="auto" w:fill="FFFFFF"/>
        </w:rPr>
        <w:t xml:space="preserve">ervices </w:t>
      </w:r>
      <w:r w:rsidR="00E909C0" w:rsidRPr="009D1689">
        <w:rPr>
          <w:color w:val="000000"/>
          <w:shd w:val="clear" w:color="auto" w:fill="FFFFFF"/>
        </w:rPr>
        <w:t>t</w:t>
      </w:r>
      <w:r w:rsidRPr="009D1689">
        <w:rPr>
          <w:color w:val="000000"/>
          <w:shd w:val="clear" w:color="auto" w:fill="FFFFFF"/>
        </w:rPr>
        <w:t xml:space="preserve">able (the Table) shall, in specified </w:t>
      </w:r>
      <w:r w:rsidRPr="009D1689">
        <w:rPr>
          <w:shd w:val="clear" w:color="auto" w:fill="FFFFFF"/>
        </w:rPr>
        <w:t>circumstances and for specified statutory provisions, be treated as if it were specified in the Table.</w:t>
      </w:r>
    </w:p>
    <w:p w14:paraId="046886A8" w14:textId="751D5537" w:rsidR="00C23B22" w:rsidRPr="009D1689"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CE28131" w14:textId="6152DE08" w:rsidR="00C70A5A" w:rsidRPr="009D1689" w:rsidRDefault="00896A5B" w:rsidP="00352580">
      <w:pPr>
        <w:spacing w:line="259" w:lineRule="auto"/>
      </w:pPr>
      <w:r w:rsidRPr="009D1689">
        <w:t xml:space="preserve">The Table is set out in the regulations made under subsection 4(1) of the Act. </w:t>
      </w:r>
      <w:r w:rsidR="00C70A5A" w:rsidRPr="009D1689">
        <w:t>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00C70A5A" w:rsidRPr="009D1689">
        <w:rPr>
          <w:i/>
          <w:iCs/>
        </w:rPr>
        <w:t>Health Insurance (General Medical Services Table) Regulations 2021</w:t>
      </w:r>
      <w:r w:rsidR="00C70A5A" w:rsidRPr="009D1689">
        <w:t> (GMST)</w:t>
      </w:r>
      <w:r w:rsidR="00C70A5A" w:rsidRPr="009D1689">
        <w:rPr>
          <w:i/>
          <w:iCs/>
        </w:rPr>
        <w:t>.</w:t>
      </w:r>
    </w:p>
    <w:p w14:paraId="015B0BDB" w14:textId="77777777" w:rsidR="00C70A5A" w:rsidRPr="009D1689" w:rsidRDefault="00C70A5A" w:rsidP="00C70A5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412D12A" w14:textId="77777777" w:rsidR="00BB00BA" w:rsidRPr="009D1689" w:rsidRDefault="00A1739A" w:rsidP="00BB00BA">
      <w:pPr>
        <w:rPr>
          <w:b/>
          <w:szCs w:val="24"/>
          <w:lang w:val="en-US" w:eastAsia="en-US"/>
        </w:rPr>
      </w:pPr>
      <w:r w:rsidRPr="009D1689">
        <w:rPr>
          <w:b/>
          <w:szCs w:val="24"/>
          <w:lang w:val="en-US" w:eastAsia="en-US"/>
        </w:rPr>
        <w:t>Purpose</w:t>
      </w:r>
    </w:p>
    <w:p w14:paraId="47113A5A" w14:textId="069EF81F" w:rsidR="000E6045" w:rsidRPr="009D1689" w:rsidRDefault="00E909C0" w:rsidP="009905E6">
      <w:pPr>
        <w:ind w:right="-483"/>
        <w:rPr>
          <w:szCs w:val="24"/>
        </w:rPr>
      </w:pPr>
      <w:r w:rsidRPr="009D1689">
        <w:rPr>
          <w:szCs w:val="24"/>
        </w:rPr>
        <w:t>The purpose</w:t>
      </w:r>
      <w:r w:rsidR="0007250D" w:rsidRPr="009D1689">
        <w:rPr>
          <w:szCs w:val="24"/>
        </w:rPr>
        <w:t xml:space="preserve"> of the</w:t>
      </w:r>
      <w:r w:rsidRPr="009D1689">
        <w:rPr>
          <w:szCs w:val="24"/>
        </w:rPr>
        <w:t xml:space="preserve"> </w:t>
      </w:r>
      <w:r w:rsidRPr="009D1689">
        <w:rPr>
          <w:i/>
          <w:iCs/>
          <w:szCs w:val="24"/>
        </w:rPr>
        <w:t>Health Insurance (Section 3C General Medical Services – Other Medical Practitioner) Amendment (No. 1) Determination 2023</w:t>
      </w:r>
      <w:r w:rsidRPr="009D1689">
        <w:rPr>
          <w:szCs w:val="24"/>
        </w:rPr>
        <w:t xml:space="preserve"> </w:t>
      </w:r>
      <w:r w:rsidR="00351948" w:rsidRPr="009D1689">
        <w:rPr>
          <w:szCs w:val="24"/>
        </w:rPr>
        <w:t xml:space="preserve">(the Determination) </w:t>
      </w:r>
      <w:r w:rsidRPr="009D1689">
        <w:rPr>
          <w:szCs w:val="24"/>
        </w:rPr>
        <w:t>is to</w:t>
      </w:r>
      <w:r w:rsidR="00351948" w:rsidRPr="009D1689">
        <w:rPr>
          <w:szCs w:val="24"/>
        </w:rPr>
        <w:t xml:space="preserve"> make administrative amendments to the </w:t>
      </w:r>
      <w:r w:rsidR="00351948" w:rsidRPr="009D1689">
        <w:rPr>
          <w:i/>
          <w:iCs/>
        </w:rPr>
        <w:t>Health Insurance (Section 3C General Medical Services – Other Medical Practitioner) Determination 2018</w:t>
      </w:r>
      <w:r w:rsidR="00351948" w:rsidRPr="009D1689">
        <w:t xml:space="preserve"> (the OMP Determination)</w:t>
      </w:r>
      <w:r w:rsidR="000E6045" w:rsidRPr="009D1689">
        <w:rPr>
          <w:szCs w:val="24"/>
        </w:rPr>
        <w:t>.</w:t>
      </w:r>
    </w:p>
    <w:p w14:paraId="24DAF7F2" w14:textId="77777777" w:rsidR="000E6045" w:rsidRPr="009D1689" w:rsidRDefault="000E6045" w:rsidP="009905E6">
      <w:pPr>
        <w:ind w:right="-483"/>
        <w:rPr>
          <w:szCs w:val="24"/>
        </w:rPr>
      </w:pPr>
    </w:p>
    <w:p w14:paraId="50041F6E" w14:textId="367677F0" w:rsidR="000E6045" w:rsidRPr="009D1689" w:rsidRDefault="000E6045" w:rsidP="000E6045">
      <w:pPr>
        <w:ind w:right="-483"/>
        <w:rPr>
          <w:iCs/>
          <w:szCs w:val="24"/>
        </w:rPr>
      </w:pPr>
      <w:r w:rsidRPr="009D1689">
        <w:rPr>
          <w:iCs/>
          <w:szCs w:val="24"/>
        </w:rPr>
        <w:t>The Determination will:</w:t>
      </w:r>
    </w:p>
    <w:p w14:paraId="4E8542A9" w14:textId="1B251A64" w:rsidR="000E6045" w:rsidRPr="009D1689" w:rsidRDefault="00FB6421" w:rsidP="000E6045">
      <w:pPr>
        <w:numPr>
          <w:ilvl w:val="0"/>
          <w:numId w:val="36"/>
        </w:numPr>
        <w:spacing w:before="120"/>
        <w:ind w:left="714" w:right="-482" w:hanging="357"/>
        <w:rPr>
          <w:szCs w:val="24"/>
        </w:rPr>
      </w:pPr>
      <w:r w:rsidRPr="009D1689">
        <w:rPr>
          <w:szCs w:val="24"/>
        </w:rPr>
        <w:t xml:space="preserve">amend </w:t>
      </w:r>
      <w:r w:rsidR="000E6045" w:rsidRPr="009D1689">
        <w:rPr>
          <w:szCs w:val="24"/>
        </w:rPr>
        <w:t xml:space="preserve">the definitions for </w:t>
      </w:r>
      <w:r w:rsidR="000E6045" w:rsidRPr="009D1689">
        <w:rPr>
          <w:b/>
          <w:bCs/>
          <w:i/>
          <w:iCs/>
          <w:szCs w:val="24"/>
        </w:rPr>
        <w:t>Modified Monash 2 area</w:t>
      </w:r>
      <w:r w:rsidR="000E6045" w:rsidRPr="009D1689">
        <w:rPr>
          <w:szCs w:val="24"/>
        </w:rPr>
        <w:t xml:space="preserve">, </w:t>
      </w:r>
      <w:r w:rsidR="000E6045" w:rsidRPr="009D1689">
        <w:rPr>
          <w:b/>
          <w:bCs/>
          <w:i/>
          <w:iCs/>
          <w:szCs w:val="24"/>
        </w:rPr>
        <w:t>Modified Monash 3 area</w:t>
      </w:r>
      <w:r w:rsidR="000E6045" w:rsidRPr="009D1689">
        <w:rPr>
          <w:szCs w:val="24"/>
        </w:rPr>
        <w:t xml:space="preserve"> and </w:t>
      </w:r>
      <w:r w:rsidR="000E6045" w:rsidRPr="009D1689">
        <w:rPr>
          <w:b/>
          <w:bCs/>
          <w:i/>
          <w:iCs/>
          <w:szCs w:val="24"/>
        </w:rPr>
        <w:t>Modified Monash 4 area</w:t>
      </w:r>
      <w:r w:rsidR="000E6045" w:rsidRPr="009D1689">
        <w:rPr>
          <w:szCs w:val="24"/>
        </w:rPr>
        <w:t xml:space="preserve"> at subsection 4(1) to replace references to the</w:t>
      </w:r>
      <w:r w:rsidR="00352580" w:rsidRPr="009D1689">
        <w:rPr>
          <w:szCs w:val="24"/>
        </w:rPr>
        <w:t xml:space="preserve"> </w:t>
      </w:r>
      <w:r w:rsidR="000E6045" w:rsidRPr="009D1689">
        <w:rPr>
          <w:szCs w:val="24"/>
        </w:rPr>
        <w:t>2013</w:t>
      </w:r>
      <w:r w:rsidR="00352580" w:rsidRPr="009D1689">
        <w:rPr>
          <w:szCs w:val="24"/>
        </w:rPr>
        <w:t> </w:t>
      </w:r>
      <w:r w:rsidR="000E6045" w:rsidRPr="009D1689">
        <w:rPr>
          <w:szCs w:val="24"/>
        </w:rPr>
        <w:t xml:space="preserve">estimated resident population with the 2016 estimated resident population and insert a definition for </w:t>
      </w:r>
      <w:r w:rsidR="000E6045" w:rsidRPr="009D1689">
        <w:rPr>
          <w:b/>
          <w:bCs/>
          <w:i/>
          <w:iCs/>
          <w:szCs w:val="24"/>
        </w:rPr>
        <w:t>2016 estimated resident population</w:t>
      </w:r>
      <w:r w:rsidR="000E6045" w:rsidRPr="009D1689">
        <w:rPr>
          <w:szCs w:val="24"/>
        </w:rPr>
        <w:t>.</w:t>
      </w:r>
    </w:p>
    <w:p w14:paraId="73A0975F" w14:textId="5137C405" w:rsidR="0084648B" w:rsidRPr="009D1689" w:rsidRDefault="00FB6421" w:rsidP="00D86B72">
      <w:pPr>
        <w:numPr>
          <w:ilvl w:val="0"/>
          <w:numId w:val="36"/>
        </w:numPr>
        <w:spacing w:before="120"/>
        <w:ind w:left="714" w:right="-482" w:hanging="357"/>
        <w:rPr>
          <w:szCs w:val="24"/>
        </w:rPr>
      </w:pPr>
      <w:r w:rsidRPr="009D1689">
        <w:rPr>
          <w:szCs w:val="24"/>
        </w:rPr>
        <w:t xml:space="preserve">amend </w:t>
      </w:r>
      <w:r w:rsidR="0084648B" w:rsidRPr="009D1689">
        <w:rPr>
          <w:szCs w:val="24"/>
        </w:rPr>
        <w:t xml:space="preserve">subclause 1.5.1(4) to ensure that arrangements for health assessment services provided by other medical practitioners (certain non-vocationally recognised medical practitioners working in general practice) </w:t>
      </w:r>
      <w:r w:rsidR="0084648B" w:rsidRPr="009D1689">
        <w:rPr>
          <w:iCs/>
          <w:szCs w:val="24"/>
        </w:rPr>
        <w:t>are consistent with general practitioner health assessment services</w:t>
      </w:r>
      <w:r w:rsidR="0084648B" w:rsidRPr="009D1689">
        <w:rPr>
          <w:szCs w:val="24"/>
        </w:rPr>
        <w:t>.</w:t>
      </w:r>
    </w:p>
    <w:p w14:paraId="2412D131" w14:textId="27EF2D7D" w:rsidR="001865F8" w:rsidRPr="009D1689" w:rsidRDefault="00A1739A" w:rsidP="00D46EB9">
      <w:pPr>
        <w:shd w:val="clear" w:color="auto" w:fill="FFFFFF"/>
        <w:spacing w:before="100" w:beforeAutospacing="1"/>
        <w:rPr>
          <w:rFonts w:ascii="Helvetica Neue" w:hAnsi="Helvetica Neue"/>
          <w:szCs w:val="24"/>
          <w:lang w:val="en-US"/>
        </w:rPr>
      </w:pPr>
      <w:r w:rsidRPr="009D1689">
        <w:rPr>
          <w:b/>
        </w:rPr>
        <w:t>Consultation</w:t>
      </w:r>
    </w:p>
    <w:p w14:paraId="02264A85" w14:textId="7F446A21" w:rsidR="007708B3" w:rsidRPr="009D1689" w:rsidRDefault="0060629A" w:rsidP="002806A1">
      <w:pPr>
        <w:shd w:val="clear" w:color="auto" w:fill="FFFFFF"/>
        <w:rPr>
          <w:szCs w:val="24"/>
        </w:rPr>
      </w:pPr>
      <w:r w:rsidRPr="009D1689">
        <w:rPr>
          <w:szCs w:val="24"/>
        </w:rPr>
        <w:t>No consultation was undertaken regarding t</w:t>
      </w:r>
      <w:r w:rsidR="00906E64" w:rsidRPr="009D1689">
        <w:rPr>
          <w:szCs w:val="24"/>
        </w:rPr>
        <w:t>he amendments in the</w:t>
      </w:r>
      <w:r w:rsidR="000E6045" w:rsidRPr="009D1689">
        <w:rPr>
          <w:szCs w:val="24"/>
        </w:rPr>
        <w:t xml:space="preserve"> Determination</w:t>
      </w:r>
      <w:r w:rsidR="00906E64" w:rsidRPr="009D1689">
        <w:rPr>
          <w:szCs w:val="24"/>
        </w:rPr>
        <w:t xml:space="preserve"> </w:t>
      </w:r>
      <w:r w:rsidRPr="009D1689">
        <w:rPr>
          <w:szCs w:val="24"/>
        </w:rPr>
        <w:t xml:space="preserve">as they </w:t>
      </w:r>
      <w:r w:rsidR="00906E64" w:rsidRPr="009D1689">
        <w:rPr>
          <w:szCs w:val="24"/>
        </w:rPr>
        <w:t xml:space="preserve">are minor and machinery in nature and </w:t>
      </w:r>
      <w:r w:rsidRPr="009D1689">
        <w:rPr>
          <w:szCs w:val="24"/>
        </w:rPr>
        <w:t xml:space="preserve">intended to </w:t>
      </w:r>
      <w:bookmarkStart w:id="0" w:name="_Hlk138060047"/>
      <w:r w:rsidR="0035073E" w:rsidRPr="009D1689">
        <w:rPr>
          <w:szCs w:val="24"/>
        </w:rPr>
        <w:t>ensure consistent arrangements for certain MBS services provided by general practitioners and other medical practitioners.</w:t>
      </w:r>
      <w:bookmarkEnd w:id="0"/>
      <w:r w:rsidR="0035073E" w:rsidRPr="009D1689">
        <w:rPr>
          <w:szCs w:val="24"/>
        </w:rPr>
        <w:t xml:space="preserve"> </w:t>
      </w:r>
    </w:p>
    <w:p w14:paraId="2412D134" w14:textId="6E5DA089" w:rsidR="00967E51" w:rsidRPr="009D1689" w:rsidRDefault="005C394E" w:rsidP="008E55C9">
      <w:pPr>
        <w:tabs>
          <w:tab w:val="left" w:pos="567"/>
        </w:tabs>
        <w:spacing w:before="240"/>
        <w:rPr>
          <w:szCs w:val="24"/>
        </w:rPr>
      </w:pPr>
      <w:r w:rsidRPr="009D1689">
        <w:rPr>
          <w:szCs w:val="24"/>
        </w:rPr>
        <w:t xml:space="preserve">The Determination is a legislative instrument for the purposes of the </w:t>
      </w:r>
      <w:r w:rsidRPr="009D1689">
        <w:rPr>
          <w:i/>
          <w:iCs/>
          <w:szCs w:val="24"/>
        </w:rPr>
        <w:t>Legislation Act</w:t>
      </w:r>
      <w:r w:rsidR="000F4ACE" w:rsidRPr="009D1689">
        <w:rPr>
          <w:i/>
          <w:iCs/>
          <w:szCs w:val="24"/>
        </w:rPr>
        <w:t> </w:t>
      </w:r>
      <w:r w:rsidRPr="009D1689">
        <w:rPr>
          <w:i/>
          <w:iCs/>
          <w:szCs w:val="24"/>
        </w:rPr>
        <w:t>2003</w:t>
      </w:r>
      <w:r w:rsidRPr="009D1689">
        <w:rPr>
          <w:szCs w:val="24"/>
        </w:rPr>
        <w:t>.</w:t>
      </w:r>
    </w:p>
    <w:p w14:paraId="7D61677A" w14:textId="05B168D1" w:rsidR="005C394E" w:rsidRPr="009D1689" w:rsidRDefault="00297AD0" w:rsidP="00906E64">
      <w:pPr>
        <w:tabs>
          <w:tab w:val="left" w:pos="567"/>
        </w:tabs>
        <w:spacing w:before="240"/>
        <w:rPr>
          <w:szCs w:val="24"/>
        </w:rPr>
      </w:pPr>
      <w:r w:rsidRPr="009D1689">
        <w:rPr>
          <w:szCs w:val="24"/>
        </w:rPr>
        <w:lastRenderedPageBreak/>
        <w:t xml:space="preserve">The </w:t>
      </w:r>
      <w:r w:rsidR="00967E51" w:rsidRPr="009D1689">
        <w:rPr>
          <w:szCs w:val="24"/>
        </w:rPr>
        <w:t>Determination</w:t>
      </w:r>
      <w:r w:rsidRPr="009D1689">
        <w:rPr>
          <w:szCs w:val="24"/>
        </w:rPr>
        <w:t xml:space="preserve"> </w:t>
      </w:r>
      <w:r w:rsidR="007524B0" w:rsidRPr="009D1689">
        <w:rPr>
          <w:szCs w:val="24"/>
        </w:rPr>
        <w:t xml:space="preserve">commences </w:t>
      </w:r>
      <w:r w:rsidR="00C63FDC" w:rsidRPr="009D1689">
        <w:rPr>
          <w:szCs w:val="24"/>
        </w:rPr>
        <w:t>on</w:t>
      </w:r>
      <w:r w:rsidR="00906E64" w:rsidRPr="009D1689">
        <w:rPr>
          <w:szCs w:val="24"/>
        </w:rPr>
        <w:t xml:space="preserve"> 1</w:t>
      </w:r>
      <w:r w:rsidR="003E1CAC" w:rsidRPr="009D1689">
        <w:rPr>
          <w:szCs w:val="24"/>
        </w:rPr>
        <w:t> </w:t>
      </w:r>
      <w:r w:rsidR="00906E64" w:rsidRPr="009D1689">
        <w:rPr>
          <w:szCs w:val="24"/>
        </w:rPr>
        <w:t>July</w:t>
      </w:r>
      <w:r w:rsidR="003E1CAC" w:rsidRPr="009D1689">
        <w:rPr>
          <w:szCs w:val="24"/>
        </w:rPr>
        <w:t> </w:t>
      </w:r>
      <w:r w:rsidR="00906E64" w:rsidRPr="009D1689">
        <w:rPr>
          <w:szCs w:val="24"/>
        </w:rPr>
        <w:t>2023.</w:t>
      </w:r>
    </w:p>
    <w:p w14:paraId="2412D135" w14:textId="5D180414" w:rsidR="006C138D" w:rsidRPr="009D1689" w:rsidRDefault="005C394E" w:rsidP="006C138D">
      <w:pPr>
        <w:tabs>
          <w:tab w:val="left" w:pos="567"/>
        </w:tabs>
        <w:spacing w:before="240"/>
        <w:rPr>
          <w:szCs w:val="24"/>
        </w:rPr>
      </w:pPr>
      <w:r w:rsidRPr="009D1689">
        <w:rPr>
          <w:szCs w:val="24"/>
        </w:rPr>
        <w:t xml:space="preserve">Details of the Determination are set out in the </w:t>
      </w:r>
      <w:r w:rsidRPr="009D1689">
        <w:rPr>
          <w:szCs w:val="24"/>
          <w:u w:val="single"/>
        </w:rPr>
        <w:t>Attachment</w:t>
      </w:r>
      <w:r w:rsidRPr="009D1689">
        <w:rPr>
          <w:szCs w:val="24"/>
        </w:rPr>
        <w:t>.</w:t>
      </w:r>
    </w:p>
    <w:p w14:paraId="6FA5EA70" w14:textId="77777777" w:rsidR="005C394E" w:rsidRPr="009D1689" w:rsidRDefault="005C394E" w:rsidP="00574E71">
      <w:pPr>
        <w:rPr>
          <w:szCs w:val="24"/>
        </w:rPr>
      </w:pPr>
    </w:p>
    <w:p w14:paraId="2412D139" w14:textId="12030012" w:rsidR="00A1739A" w:rsidRPr="009D1689" w:rsidRDefault="00A1739A" w:rsidP="005C394E">
      <w:pPr>
        <w:rPr>
          <w:szCs w:val="24"/>
        </w:rPr>
      </w:pPr>
    </w:p>
    <w:p w14:paraId="2412D13A" w14:textId="5F3D52F5" w:rsidR="00A1739A" w:rsidRPr="009D1689" w:rsidRDefault="00A1739A" w:rsidP="000337CB">
      <w:pPr>
        <w:ind w:left="6663" w:hanging="3119"/>
        <w:rPr>
          <w:szCs w:val="24"/>
        </w:rPr>
      </w:pPr>
      <w:r w:rsidRPr="009D1689">
        <w:rPr>
          <w:szCs w:val="24"/>
          <w:u w:val="single"/>
        </w:rPr>
        <w:t>Authority</w:t>
      </w:r>
      <w:r w:rsidR="00967E51" w:rsidRPr="009D1689">
        <w:rPr>
          <w:szCs w:val="24"/>
        </w:rPr>
        <w:t xml:space="preserve">:     Subsection </w:t>
      </w:r>
      <w:r w:rsidRPr="009D1689">
        <w:rPr>
          <w:szCs w:val="24"/>
        </w:rPr>
        <w:t>3</w:t>
      </w:r>
      <w:proofErr w:type="gramStart"/>
      <w:r w:rsidR="00967E51" w:rsidRPr="009D1689">
        <w:rPr>
          <w:szCs w:val="24"/>
        </w:rPr>
        <w:t>C</w:t>
      </w:r>
      <w:r w:rsidRPr="009D1689">
        <w:rPr>
          <w:szCs w:val="24"/>
        </w:rPr>
        <w:t>(</w:t>
      </w:r>
      <w:proofErr w:type="gramEnd"/>
      <w:r w:rsidRPr="009D1689">
        <w:rPr>
          <w:szCs w:val="24"/>
        </w:rPr>
        <w:t>1) of the</w:t>
      </w:r>
    </w:p>
    <w:p w14:paraId="141BD984" w14:textId="4EA4670E" w:rsidR="00A1739A" w:rsidRPr="009D1689" w:rsidRDefault="00A1739A" w:rsidP="000337CB">
      <w:pPr>
        <w:tabs>
          <w:tab w:val="left" w:pos="4820"/>
        </w:tabs>
        <w:rPr>
          <w:i/>
          <w:szCs w:val="24"/>
        </w:rPr>
      </w:pPr>
      <w:r w:rsidRPr="009D1689">
        <w:rPr>
          <w:i/>
          <w:szCs w:val="24"/>
        </w:rPr>
        <w:tab/>
        <w:t>Health</w:t>
      </w:r>
      <w:r w:rsidR="00906E64" w:rsidRPr="009D1689">
        <w:rPr>
          <w:i/>
          <w:szCs w:val="24"/>
        </w:rPr>
        <w:t> </w:t>
      </w:r>
      <w:r w:rsidRPr="009D1689">
        <w:rPr>
          <w:i/>
          <w:szCs w:val="24"/>
        </w:rPr>
        <w:t>Insurance</w:t>
      </w:r>
      <w:r w:rsidR="00906E64" w:rsidRPr="009D1689">
        <w:rPr>
          <w:i/>
          <w:szCs w:val="24"/>
        </w:rPr>
        <w:t> </w:t>
      </w:r>
      <w:r w:rsidRPr="009D1689">
        <w:rPr>
          <w:i/>
          <w:szCs w:val="24"/>
        </w:rPr>
        <w:t>Act</w:t>
      </w:r>
      <w:r w:rsidR="00906E64" w:rsidRPr="009D1689">
        <w:rPr>
          <w:i/>
          <w:szCs w:val="24"/>
        </w:rPr>
        <w:t> </w:t>
      </w:r>
      <w:r w:rsidRPr="009D1689">
        <w:rPr>
          <w:i/>
          <w:szCs w:val="24"/>
        </w:rPr>
        <w:t>1973</w:t>
      </w:r>
    </w:p>
    <w:p w14:paraId="14126D10" w14:textId="77777777" w:rsidR="00906E64" w:rsidRPr="009D1689" w:rsidRDefault="00906E64" w:rsidP="000337CB">
      <w:pPr>
        <w:tabs>
          <w:tab w:val="left" w:pos="4820"/>
        </w:tabs>
        <w:rPr>
          <w:iCs/>
          <w:szCs w:val="24"/>
        </w:rPr>
      </w:pPr>
    </w:p>
    <w:p w14:paraId="2412D13B" w14:textId="182665CB" w:rsidR="00906E64" w:rsidRPr="009D1689" w:rsidRDefault="00906E64" w:rsidP="000337CB">
      <w:pPr>
        <w:tabs>
          <w:tab w:val="left" w:pos="4820"/>
        </w:tabs>
        <w:rPr>
          <w:szCs w:val="24"/>
        </w:rPr>
        <w:sectPr w:rsidR="00906E64" w:rsidRPr="009D1689" w:rsidSect="00235B6C">
          <w:headerReference w:type="default" r:id="rId8"/>
          <w:pgSz w:w="11906" w:h="16838"/>
          <w:pgMar w:top="1440" w:right="1800" w:bottom="1135" w:left="1800" w:header="708" w:footer="708" w:gutter="0"/>
          <w:pgNumType w:start="1"/>
          <w:cols w:space="708"/>
          <w:docGrid w:linePitch="360"/>
        </w:sectPr>
      </w:pPr>
    </w:p>
    <w:p w14:paraId="2412D13D" w14:textId="77777777" w:rsidR="006D5816" w:rsidRPr="009D1689" w:rsidRDefault="006D5816" w:rsidP="000337CB">
      <w:pPr>
        <w:pStyle w:val="BodyText"/>
        <w:jc w:val="right"/>
        <w:rPr>
          <w:szCs w:val="24"/>
        </w:rPr>
      </w:pPr>
      <w:r w:rsidRPr="009D1689">
        <w:rPr>
          <w:szCs w:val="24"/>
        </w:rPr>
        <w:lastRenderedPageBreak/>
        <w:t>ATTACHMENT</w:t>
      </w:r>
    </w:p>
    <w:p w14:paraId="2412D13E" w14:textId="77777777" w:rsidR="006D5816" w:rsidRPr="009D1689" w:rsidRDefault="006D5816" w:rsidP="000337CB">
      <w:pPr>
        <w:pStyle w:val="BodyText"/>
        <w:rPr>
          <w:szCs w:val="24"/>
        </w:rPr>
      </w:pPr>
    </w:p>
    <w:p w14:paraId="5B0C808A" w14:textId="3DB7BD79" w:rsidR="00215191" w:rsidRPr="009D1689" w:rsidRDefault="00A41364" w:rsidP="00186752">
      <w:pPr>
        <w:pStyle w:val="BodyText"/>
        <w:rPr>
          <w:i/>
          <w:iCs/>
        </w:rPr>
      </w:pPr>
      <w:r w:rsidRPr="009D1689">
        <w:rPr>
          <w:szCs w:val="24"/>
        </w:rPr>
        <w:t>Details of the</w:t>
      </w:r>
      <w:r w:rsidR="00E909C0" w:rsidRPr="009D1689">
        <w:rPr>
          <w:szCs w:val="24"/>
        </w:rPr>
        <w:t xml:space="preserve"> </w:t>
      </w:r>
      <w:r w:rsidR="00E909C0" w:rsidRPr="009D1689">
        <w:rPr>
          <w:i/>
          <w:iCs/>
          <w:szCs w:val="24"/>
        </w:rPr>
        <w:t>Health Insurance (Section 3C General Medical Services – Other Medical Practitioner) Amendment (No. 1) Determination 2023</w:t>
      </w:r>
    </w:p>
    <w:p w14:paraId="7BBEB147" w14:textId="720F9678" w:rsidR="00E70355" w:rsidRPr="009D1689" w:rsidRDefault="00E70355" w:rsidP="000337CB">
      <w:pPr>
        <w:pStyle w:val="BodyText"/>
        <w:rPr>
          <w:b w:val="0"/>
          <w:i/>
          <w:szCs w:val="24"/>
        </w:rPr>
      </w:pPr>
    </w:p>
    <w:p w14:paraId="2412D141" w14:textId="7C34D5F4" w:rsidR="00FE02C2" w:rsidRPr="009D1689" w:rsidRDefault="001B0111" w:rsidP="000337CB">
      <w:pPr>
        <w:pStyle w:val="BodyText"/>
        <w:rPr>
          <w:b w:val="0"/>
          <w:szCs w:val="24"/>
          <w:u w:val="single"/>
        </w:rPr>
      </w:pPr>
      <w:r w:rsidRPr="009D1689">
        <w:rPr>
          <w:b w:val="0"/>
          <w:szCs w:val="24"/>
          <w:u w:val="single"/>
        </w:rPr>
        <w:t>Section 1 – Name</w:t>
      </w:r>
    </w:p>
    <w:p w14:paraId="2412D142" w14:textId="77777777" w:rsidR="00FE02C2" w:rsidRPr="009D1689" w:rsidRDefault="00FE02C2" w:rsidP="000337CB">
      <w:pPr>
        <w:pStyle w:val="BodyText"/>
        <w:rPr>
          <w:b w:val="0"/>
          <w:szCs w:val="24"/>
        </w:rPr>
      </w:pPr>
    </w:p>
    <w:p w14:paraId="2412D144" w14:textId="50FD6A75" w:rsidR="00F83B6F" w:rsidRPr="009D1689" w:rsidRDefault="00BC7397" w:rsidP="00C67BC7">
      <w:pPr>
        <w:pStyle w:val="BodyText"/>
        <w:rPr>
          <w:i/>
          <w:iCs/>
        </w:rPr>
      </w:pPr>
      <w:r w:rsidRPr="009D1689">
        <w:rPr>
          <w:b w:val="0"/>
          <w:szCs w:val="24"/>
        </w:rPr>
        <w:t>S</w:t>
      </w:r>
      <w:r w:rsidR="00FE02C2" w:rsidRPr="009D1689">
        <w:rPr>
          <w:b w:val="0"/>
          <w:szCs w:val="24"/>
        </w:rPr>
        <w:t xml:space="preserve">ection </w:t>
      </w:r>
      <w:r w:rsidRPr="009D1689">
        <w:rPr>
          <w:b w:val="0"/>
          <w:szCs w:val="24"/>
        </w:rPr>
        <w:t xml:space="preserve">1 </w:t>
      </w:r>
      <w:r w:rsidR="00FE02C2" w:rsidRPr="009D1689">
        <w:rPr>
          <w:b w:val="0"/>
          <w:szCs w:val="24"/>
        </w:rPr>
        <w:t>provides</w:t>
      </w:r>
      <w:r w:rsidR="008B683E" w:rsidRPr="009D1689">
        <w:rPr>
          <w:b w:val="0"/>
          <w:szCs w:val="24"/>
        </w:rPr>
        <w:t xml:space="preserve"> for the </w:t>
      </w:r>
      <w:r w:rsidR="008B2094" w:rsidRPr="009D1689">
        <w:rPr>
          <w:b w:val="0"/>
          <w:szCs w:val="24"/>
        </w:rPr>
        <w:t>Determination</w:t>
      </w:r>
      <w:r w:rsidR="00FE02C2" w:rsidRPr="009D1689">
        <w:rPr>
          <w:b w:val="0"/>
          <w:szCs w:val="24"/>
        </w:rPr>
        <w:t xml:space="preserve"> to be referred to as the </w:t>
      </w:r>
      <w:r w:rsidR="0010495D" w:rsidRPr="009D1689">
        <w:rPr>
          <w:b w:val="0"/>
          <w:i/>
          <w:iCs/>
          <w:szCs w:val="24"/>
        </w:rPr>
        <w:t>Health Insurance (Section 3C General Medical Services – Other Medical Practitioner) Amendment (No. 1) Determination 2023</w:t>
      </w:r>
      <w:r w:rsidR="0010495D" w:rsidRPr="009D1689">
        <w:rPr>
          <w:b w:val="0"/>
          <w:szCs w:val="24"/>
        </w:rPr>
        <w:t>.</w:t>
      </w:r>
    </w:p>
    <w:p w14:paraId="68DAA207" w14:textId="77777777" w:rsidR="00FD602D" w:rsidRPr="009D1689" w:rsidRDefault="00FD602D" w:rsidP="00FD602D"/>
    <w:p w14:paraId="49D1E050" w14:textId="7FA8D2AA" w:rsidR="007A4089" w:rsidRPr="009D1689" w:rsidRDefault="00FE02C2" w:rsidP="000337CB">
      <w:pPr>
        <w:pStyle w:val="BodyText"/>
        <w:rPr>
          <w:b w:val="0"/>
          <w:szCs w:val="24"/>
          <w:u w:val="single"/>
        </w:rPr>
      </w:pPr>
      <w:r w:rsidRPr="009D1689">
        <w:rPr>
          <w:b w:val="0"/>
          <w:szCs w:val="24"/>
          <w:u w:val="single"/>
        </w:rPr>
        <w:t>Section 2 – Commencement</w:t>
      </w:r>
    </w:p>
    <w:p w14:paraId="2DCE2ED0" w14:textId="77777777" w:rsidR="007A4089" w:rsidRPr="009D1689" w:rsidRDefault="007A4089" w:rsidP="000337CB">
      <w:pPr>
        <w:pStyle w:val="BodyText"/>
        <w:rPr>
          <w:b w:val="0"/>
          <w:szCs w:val="24"/>
        </w:rPr>
      </w:pPr>
    </w:p>
    <w:p w14:paraId="2412D148" w14:textId="020ED460" w:rsidR="00510A4F" w:rsidRPr="009D1689" w:rsidRDefault="00510A4F" w:rsidP="000337CB">
      <w:pPr>
        <w:pStyle w:val="BodyText"/>
        <w:rPr>
          <w:b w:val="0"/>
          <w:szCs w:val="24"/>
        </w:rPr>
      </w:pPr>
      <w:r w:rsidRPr="009D1689">
        <w:rPr>
          <w:b w:val="0"/>
          <w:szCs w:val="24"/>
        </w:rPr>
        <w:t xml:space="preserve">Section 2 </w:t>
      </w:r>
      <w:r w:rsidR="00404F11" w:rsidRPr="009D1689">
        <w:rPr>
          <w:b w:val="0"/>
        </w:rPr>
        <w:t xml:space="preserve">provides </w:t>
      </w:r>
      <w:r w:rsidR="1A4D75F3" w:rsidRPr="009D1689">
        <w:rPr>
          <w:b w:val="0"/>
        </w:rPr>
        <w:t xml:space="preserve">for </w:t>
      </w:r>
      <w:r w:rsidR="00404F11" w:rsidRPr="009D1689">
        <w:rPr>
          <w:b w:val="0"/>
        </w:rPr>
        <w:t xml:space="preserve">the </w:t>
      </w:r>
      <w:r w:rsidR="008B2094" w:rsidRPr="009D1689">
        <w:rPr>
          <w:b w:val="0"/>
          <w:szCs w:val="24"/>
        </w:rPr>
        <w:t xml:space="preserve">Determination </w:t>
      </w:r>
      <w:r w:rsidR="1A4D75F3" w:rsidRPr="009D1689">
        <w:rPr>
          <w:b w:val="0"/>
        </w:rPr>
        <w:t xml:space="preserve">to commence </w:t>
      </w:r>
      <w:r w:rsidR="00C63FDC" w:rsidRPr="009D1689">
        <w:rPr>
          <w:b w:val="0"/>
          <w:szCs w:val="24"/>
        </w:rPr>
        <w:t>on</w:t>
      </w:r>
      <w:r w:rsidR="0010495D" w:rsidRPr="009D1689">
        <w:rPr>
          <w:b w:val="0"/>
          <w:szCs w:val="24"/>
        </w:rPr>
        <w:t xml:space="preserve"> 1 July</w:t>
      </w:r>
      <w:r w:rsidR="00E909C0" w:rsidRPr="009D1689">
        <w:rPr>
          <w:b w:val="0"/>
          <w:szCs w:val="24"/>
        </w:rPr>
        <w:t> </w:t>
      </w:r>
      <w:r w:rsidR="0010495D" w:rsidRPr="009D1689">
        <w:rPr>
          <w:b w:val="0"/>
          <w:szCs w:val="24"/>
        </w:rPr>
        <w:t>2023</w:t>
      </w:r>
      <w:r w:rsidR="00C63FDC" w:rsidRPr="009D1689">
        <w:rPr>
          <w:b w:val="0"/>
          <w:szCs w:val="24"/>
        </w:rPr>
        <w:t>.</w:t>
      </w:r>
    </w:p>
    <w:p w14:paraId="16C03200" w14:textId="77777777" w:rsidR="007E0017" w:rsidRPr="009D1689" w:rsidRDefault="007E0017" w:rsidP="000337CB">
      <w:pPr>
        <w:pStyle w:val="BodyText"/>
        <w:rPr>
          <w:b w:val="0"/>
          <w:szCs w:val="24"/>
        </w:rPr>
      </w:pPr>
    </w:p>
    <w:p w14:paraId="005D5660" w14:textId="77777777" w:rsidR="007A4089" w:rsidRPr="009D1689" w:rsidRDefault="00FE02C2" w:rsidP="000337CB">
      <w:pPr>
        <w:pStyle w:val="BodyText"/>
        <w:rPr>
          <w:b w:val="0"/>
          <w:szCs w:val="24"/>
          <w:u w:val="single"/>
        </w:rPr>
      </w:pPr>
      <w:r w:rsidRPr="009D1689">
        <w:rPr>
          <w:b w:val="0"/>
          <w:szCs w:val="24"/>
          <w:u w:val="single"/>
        </w:rPr>
        <w:t xml:space="preserve">Section 3 – </w:t>
      </w:r>
      <w:r w:rsidR="00E5798A" w:rsidRPr="009D1689">
        <w:rPr>
          <w:b w:val="0"/>
          <w:szCs w:val="24"/>
          <w:u w:val="single"/>
        </w:rPr>
        <w:t>Authority</w:t>
      </w:r>
    </w:p>
    <w:p w14:paraId="53BFA098" w14:textId="77777777" w:rsidR="007A4089" w:rsidRPr="009D1689" w:rsidRDefault="007A4089" w:rsidP="000337CB">
      <w:pPr>
        <w:pStyle w:val="BodyText"/>
        <w:rPr>
          <w:b w:val="0"/>
          <w:szCs w:val="24"/>
        </w:rPr>
      </w:pPr>
    </w:p>
    <w:p w14:paraId="2412D14B" w14:textId="60EB4E9C" w:rsidR="00FE02C2" w:rsidRPr="009D1689" w:rsidRDefault="00F83B6F" w:rsidP="000337CB">
      <w:pPr>
        <w:pStyle w:val="BodyText"/>
        <w:rPr>
          <w:b w:val="0"/>
        </w:rPr>
      </w:pPr>
      <w:r w:rsidRPr="009D1689">
        <w:rPr>
          <w:b w:val="0"/>
        </w:rPr>
        <w:t xml:space="preserve">Section 3 provides that the </w:t>
      </w:r>
      <w:r w:rsidR="008B2094" w:rsidRPr="009D1689">
        <w:rPr>
          <w:b w:val="0"/>
          <w:szCs w:val="24"/>
        </w:rPr>
        <w:t xml:space="preserve">Determination </w:t>
      </w:r>
      <w:r w:rsidR="00E5798A" w:rsidRPr="009D1689">
        <w:rPr>
          <w:b w:val="0"/>
        </w:rPr>
        <w:t xml:space="preserve">is made under </w:t>
      </w:r>
      <w:r w:rsidR="00367440" w:rsidRPr="009D1689">
        <w:rPr>
          <w:b w:val="0"/>
        </w:rPr>
        <w:t xml:space="preserve">subsection </w:t>
      </w:r>
      <w:r w:rsidR="00E5798A" w:rsidRPr="009D1689">
        <w:rPr>
          <w:b w:val="0"/>
        </w:rPr>
        <w:t>3</w:t>
      </w:r>
      <w:proofErr w:type="gramStart"/>
      <w:r w:rsidR="00E5798A" w:rsidRPr="009D1689">
        <w:rPr>
          <w:b w:val="0"/>
        </w:rPr>
        <w:t>C(</w:t>
      </w:r>
      <w:proofErr w:type="gramEnd"/>
      <w:r w:rsidR="00E5798A" w:rsidRPr="009D1689">
        <w:rPr>
          <w:b w:val="0"/>
        </w:rPr>
        <w:t xml:space="preserve">1) of the </w:t>
      </w:r>
      <w:r w:rsidR="00E5798A" w:rsidRPr="009D1689">
        <w:rPr>
          <w:b w:val="0"/>
          <w:i/>
        </w:rPr>
        <w:t>Health Insurance Act 1973</w:t>
      </w:r>
      <w:r w:rsidR="00E5798A" w:rsidRPr="009D1689">
        <w:rPr>
          <w:b w:val="0"/>
        </w:rPr>
        <w:t>.</w:t>
      </w:r>
    </w:p>
    <w:p w14:paraId="0DBF1241" w14:textId="77777777" w:rsidR="00E70355" w:rsidRPr="009D1689" w:rsidRDefault="00E70355" w:rsidP="000337CB">
      <w:pPr>
        <w:pStyle w:val="BodyText"/>
        <w:rPr>
          <w:b w:val="0"/>
        </w:rPr>
      </w:pPr>
    </w:p>
    <w:p w14:paraId="20CBF84A" w14:textId="77777777" w:rsidR="00C63FDC" w:rsidRPr="009D1689" w:rsidRDefault="00C63FDC" w:rsidP="00C63FDC">
      <w:pPr>
        <w:pStyle w:val="BodyText"/>
        <w:rPr>
          <w:b w:val="0"/>
          <w:szCs w:val="24"/>
          <w:u w:val="single"/>
        </w:rPr>
      </w:pPr>
      <w:r w:rsidRPr="009D1689">
        <w:rPr>
          <w:b w:val="0"/>
          <w:szCs w:val="24"/>
          <w:u w:val="single"/>
        </w:rPr>
        <w:t>Section 4 – Schedules</w:t>
      </w:r>
    </w:p>
    <w:p w14:paraId="4C010161" w14:textId="77777777" w:rsidR="00C63FDC" w:rsidRPr="009D1689" w:rsidRDefault="00C63FDC" w:rsidP="00C63FDC">
      <w:pPr>
        <w:pStyle w:val="BodyText"/>
        <w:rPr>
          <w:b w:val="0"/>
          <w:szCs w:val="24"/>
        </w:rPr>
      </w:pPr>
    </w:p>
    <w:p w14:paraId="5D9EBF8D" w14:textId="77777777" w:rsidR="00C63FDC" w:rsidRPr="009D1689" w:rsidRDefault="00C63FDC" w:rsidP="00C63FDC">
      <w:pPr>
        <w:pStyle w:val="BodyText"/>
        <w:rPr>
          <w:b w:val="0"/>
          <w:szCs w:val="24"/>
        </w:rPr>
      </w:pPr>
      <w:r w:rsidRPr="009D1689">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9D1689" w:rsidRDefault="007E0017" w:rsidP="00404F11">
      <w:pPr>
        <w:pStyle w:val="BodyText"/>
        <w:rPr>
          <w:b w:val="0"/>
          <w:szCs w:val="24"/>
        </w:rPr>
      </w:pPr>
    </w:p>
    <w:p w14:paraId="768D340E" w14:textId="77777777" w:rsidR="00C63FDC" w:rsidRPr="009D1689" w:rsidRDefault="00C63FDC" w:rsidP="00C63FDC">
      <w:pPr>
        <w:pStyle w:val="Header"/>
        <w:tabs>
          <w:tab w:val="num" w:pos="1080"/>
        </w:tabs>
        <w:rPr>
          <w:szCs w:val="24"/>
          <w:u w:val="single"/>
        </w:rPr>
      </w:pPr>
      <w:r w:rsidRPr="009D1689">
        <w:rPr>
          <w:szCs w:val="24"/>
          <w:u w:val="single"/>
        </w:rPr>
        <w:t>Schedule 1 – Amendments</w:t>
      </w:r>
    </w:p>
    <w:p w14:paraId="2212E577" w14:textId="77777777" w:rsidR="00C63FDC" w:rsidRPr="009D1689" w:rsidRDefault="00C63FDC" w:rsidP="00C63FDC">
      <w:pPr>
        <w:pStyle w:val="Header"/>
        <w:tabs>
          <w:tab w:val="num" w:pos="1080"/>
        </w:tabs>
        <w:rPr>
          <w:szCs w:val="24"/>
        </w:rPr>
      </w:pPr>
    </w:p>
    <w:p w14:paraId="45FB04BB" w14:textId="438DF079" w:rsidR="00E909C0" w:rsidRPr="009D1689" w:rsidRDefault="00E909C0" w:rsidP="00E909C0">
      <w:pPr>
        <w:ind w:right="91"/>
        <w:rPr>
          <w:b/>
          <w:i/>
          <w:iCs/>
          <w:color w:val="000000"/>
          <w:szCs w:val="24"/>
        </w:rPr>
      </w:pPr>
      <w:r w:rsidRPr="009D1689">
        <w:rPr>
          <w:i/>
          <w:iCs/>
          <w:color w:val="000000"/>
          <w:szCs w:val="24"/>
        </w:rPr>
        <w:t>Health Insurance (Section 3C General Medical Services – Other Medical Practitioner) Determination 20</w:t>
      </w:r>
      <w:r w:rsidR="00351948" w:rsidRPr="009D1689">
        <w:rPr>
          <w:i/>
          <w:iCs/>
          <w:color w:val="000000"/>
          <w:szCs w:val="24"/>
        </w:rPr>
        <w:t>18</w:t>
      </w:r>
      <w:r w:rsidR="00351948" w:rsidRPr="009D1689">
        <w:rPr>
          <w:color w:val="000000"/>
          <w:szCs w:val="24"/>
        </w:rPr>
        <w:t xml:space="preserve"> (OMP Determination)</w:t>
      </w:r>
    </w:p>
    <w:p w14:paraId="587A4034" w14:textId="77777777" w:rsidR="00E909C0" w:rsidRPr="009D1689" w:rsidRDefault="00E909C0" w:rsidP="00E909C0">
      <w:pPr>
        <w:ind w:right="91"/>
        <w:rPr>
          <w:color w:val="000000"/>
          <w:szCs w:val="24"/>
        </w:rPr>
      </w:pPr>
    </w:p>
    <w:p w14:paraId="5E4C02A9" w14:textId="610189B5" w:rsidR="00E909C0" w:rsidRPr="009D1689" w:rsidRDefault="00351948" w:rsidP="00E909C0">
      <w:pPr>
        <w:ind w:right="91"/>
        <w:rPr>
          <w:iCs/>
          <w:szCs w:val="24"/>
        </w:rPr>
      </w:pPr>
      <w:r w:rsidRPr="009D1689">
        <w:rPr>
          <w:b/>
          <w:bCs/>
          <w:color w:val="000000"/>
          <w:szCs w:val="24"/>
        </w:rPr>
        <w:t>Items 1 to 4</w:t>
      </w:r>
      <w:r w:rsidRPr="009D1689">
        <w:rPr>
          <w:color w:val="000000"/>
          <w:szCs w:val="24"/>
        </w:rPr>
        <w:t xml:space="preserve"> amend subsection 4(1) of the OMP Determination to insert </w:t>
      </w:r>
      <w:r w:rsidRPr="009D1689">
        <w:rPr>
          <w:color w:val="000000"/>
          <w:shd w:val="clear" w:color="auto" w:fill="FFFFFF"/>
        </w:rPr>
        <w:t>the definition of </w:t>
      </w:r>
      <w:r w:rsidRPr="009D1689">
        <w:rPr>
          <w:b/>
          <w:bCs/>
          <w:i/>
          <w:iCs/>
          <w:color w:val="000000"/>
          <w:shd w:val="clear" w:color="auto" w:fill="FFFFFF"/>
        </w:rPr>
        <w:t>2016</w:t>
      </w:r>
      <w:r w:rsidR="00352580" w:rsidRPr="009D1689">
        <w:rPr>
          <w:b/>
          <w:bCs/>
          <w:i/>
          <w:iCs/>
          <w:color w:val="000000"/>
          <w:shd w:val="clear" w:color="auto" w:fill="FFFFFF"/>
        </w:rPr>
        <w:t> </w:t>
      </w:r>
      <w:r w:rsidRPr="009D1689">
        <w:rPr>
          <w:b/>
          <w:bCs/>
          <w:i/>
          <w:iCs/>
          <w:color w:val="000000"/>
          <w:shd w:val="clear" w:color="auto" w:fill="FFFFFF"/>
        </w:rPr>
        <w:t>estimated resident population</w:t>
      </w:r>
      <w:r w:rsidRPr="009D1689" w:rsidDel="00351948">
        <w:rPr>
          <w:color w:val="000000"/>
          <w:szCs w:val="24"/>
        </w:rPr>
        <w:t xml:space="preserve"> </w:t>
      </w:r>
      <w:r w:rsidRPr="009D1689">
        <w:rPr>
          <w:color w:val="000000"/>
          <w:szCs w:val="24"/>
        </w:rPr>
        <w:t xml:space="preserve">and </w:t>
      </w:r>
      <w:r w:rsidRPr="009D1689">
        <w:rPr>
          <w:color w:val="000000"/>
          <w:shd w:val="clear" w:color="auto" w:fill="FFFFFF"/>
        </w:rPr>
        <w:t>update the definitions of </w:t>
      </w:r>
      <w:r w:rsidRPr="009D1689">
        <w:rPr>
          <w:b/>
          <w:bCs/>
          <w:i/>
          <w:iCs/>
          <w:color w:val="000000"/>
          <w:shd w:val="clear" w:color="auto" w:fill="FFFFFF"/>
        </w:rPr>
        <w:t>Modified Monash</w:t>
      </w:r>
      <w:r w:rsidR="000F4ACE" w:rsidRPr="009D1689">
        <w:rPr>
          <w:b/>
          <w:bCs/>
          <w:i/>
          <w:iCs/>
          <w:color w:val="000000"/>
          <w:shd w:val="clear" w:color="auto" w:fill="FFFFFF"/>
        </w:rPr>
        <w:t> </w:t>
      </w:r>
      <w:r w:rsidRPr="009D1689">
        <w:rPr>
          <w:b/>
          <w:bCs/>
          <w:i/>
          <w:iCs/>
          <w:color w:val="000000"/>
          <w:shd w:val="clear" w:color="auto" w:fill="FFFFFF"/>
        </w:rPr>
        <w:t>2 area</w:t>
      </w:r>
      <w:r w:rsidRPr="009D1689">
        <w:rPr>
          <w:color w:val="000000"/>
          <w:shd w:val="clear" w:color="auto" w:fill="FFFFFF"/>
        </w:rPr>
        <w:t>, </w:t>
      </w:r>
      <w:r w:rsidRPr="009D1689">
        <w:rPr>
          <w:b/>
          <w:bCs/>
          <w:i/>
          <w:iCs/>
          <w:color w:val="000000"/>
          <w:shd w:val="clear" w:color="auto" w:fill="FFFFFF"/>
        </w:rPr>
        <w:t>Modified Monash 3 area</w:t>
      </w:r>
      <w:r w:rsidRPr="009D1689">
        <w:rPr>
          <w:color w:val="000000"/>
          <w:shd w:val="clear" w:color="auto" w:fill="FFFFFF"/>
        </w:rPr>
        <w:t> and </w:t>
      </w:r>
      <w:r w:rsidRPr="009D1689">
        <w:rPr>
          <w:b/>
          <w:bCs/>
          <w:i/>
          <w:iCs/>
          <w:color w:val="000000"/>
          <w:shd w:val="clear" w:color="auto" w:fill="FFFFFF"/>
        </w:rPr>
        <w:t>Modified Monash 4 area</w:t>
      </w:r>
      <w:r w:rsidRPr="009D1689">
        <w:rPr>
          <w:color w:val="000000"/>
          <w:shd w:val="clear" w:color="auto" w:fill="FFFFFF"/>
        </w:rPr>
        <w:t> to replace references to the 2013</w:t>
      </w:r>
      <w:r w:rsidR="00352580" w:rsidRPr="009D1689">
        <w:rPr>
          <w:color w:val="000000"/>
          <w:shd w:val="clear" w:color="auto" w:fill="FFFFFF"/>
        </w:rPr>
        <w:t> </w:t>
      </w:r>
      <w:r w:rsidRPr="009D1689">
        <w:rPr>
          <w:color w:val="000000"/>
          <w:shd w:val="clear" w:color="auto" w:fill="FFFFFF"/>
        </w:rPr>
        <w:t>estimated resident population with the 2016</w:t>
      </w:r>
      <w:r w:rsidR="00352580" w:rsidRPr="009D1689">
        <w:rPr>
          <w:color w:val="000000"/>
          <w:shd w:val="clear" w:color="auto" w:fill="FFFFFF"/>
        </w:rPr>
        <w:t> </w:t>
      </w:r>
      <w:r w:rsidRPr="009D1689">
        <w:rPr>
          <w:color w:val="000000"/>
          <w:shd w:val="clear" w:color="auto" w:fill="FFFFFF"/>
        </w:rPr>
        <w:t xml:space="preserve">estimated resident population as </w:t>
      </w:r>
      <w:proofErr w:type="gramStart"/>
      <w:r w:rsidRPr="009D1689">
        <w:rPr>
          <w:color w:val="000000"/>
          <w:shd w:val="clear" w:color="auto" w:fill="FFFFFF"/>
        </w:rPr>
        <w:t>at</w:t>
      </w:r>
      <w:proofErr w:type="gramEnd"/>
      <w:r w:rsidRPr="009D1689">
        <w:rPr>
          <w:color w:val="000000"/>
          <w:shd w:val="clear" w:color="auto" w:fill="FFFFFF"/>
        </w:rPr>
        <w:t xml:space="preserve"> 30</w:t>
      </w:r>
      <w:r w:rsidR="00352580" w:rsidRPr="009D1689">
        <w:rPr>
          <w:color w:val="000000"/>
          <w:shd w:val="clear" w:color="auto" w:fill="FFFFFF"/>
        </w:rPr>
        <w:t> </w:t>
      </w:r>
      <w:r w:rsidRPr="009D1689">
        <w:rPr>
          <w:color w:val="000000"/>
          <w:shd w:val="clear" w:color="auto" w:fill="FFFFFF"/>
        </w:rPr>
        <w:t>June</w:t>
      </w:r>
      <w:r w:rsidR="00352580" w:rsidRPr="009D1689">
        <w:rPr>
          <w:color w:val="000000"/>
          <w:shd w:val="clear" w:color="auto" w:fill="FFFFFF"/>
        </w:rPr>
        <w:t> </w:t>
      </w:r>
      <w:r w:rsidRPr="009D1689">
        <w:rPr>
          <w:color w:val="000000"/>
          <w:shd w:val="clear" w:color="auto" w:fill="FFFFFF"/>
        </w:rPr>
        <w:t>2016, as published by the Australian Bureau of Statistics (ABS)</w:t>
      </w:r>
      <w:r w:rsidRPr="009D1689">
        <w:rPr>
          <w:color w:val="000000"/>
          <w:szCs w:val="24"/>
        </w:rPr>
        <w:t xml:space="preserve">. These changes will align the OMP Determination with changes to the </w:t>
      </w:r>
      <w:r w:rsidR="00355D14" w:rsidRPr="009D1689">
        <w:rPr>
          <w:i/>
          <w:szCs w:val="24"/>
        </w:rPr>
        <w:t>Health Insurance (General Medical Services Table) Regulations 2021</w:t>
      </w:r>
      <w:r w:rsidR="00355D14" w:rsidRPr="009D1689">
        <w:rPr>
          <w:iCs/>
          <w:szCs w:val="24"/>
        </w:rPr>
        <w:t xml:space="preserve"> (GMST) commencing on 1</w:t>
      </w:r>
      <w:r w:rsidR="00352580" w:rsidRPr="009D1689">
        <w:rPr>
          <w:iCs/>
          <w:szCs w:val="24"/>
        </w:rPr>
        <w:t> </w:t>
      </w:r>
      <w:r w:rsidR="00355D14" w:rsidRPr="009D1689">
        <w:rPr>
          <w:iCs/>
          <w:szCs w:val="24"/>
        </w:rPr>
        <w:t>July</w:t>
      </w:r>
      <w:r w:rsidR="00352580" w:rsidRPr="009D1689">
        <w:rPr>
          <w:iCs/>
          <w:szCs w:val="24"/>
        </w:rPr>
        <w:t> </w:t>
      </w:r>
      <w:r w:rsidR="00355D14" w:rsidRPr="009D1689">
        <w:rPr>
          <w:iCs/>
          <w:szCs w:val="24"/>
        </w:rPr>
        <w:t>2023, to ensure consistent arrangements for services with geographical restrictions provided by general practitioners and other medical practitioners (certain non-vocationally recognised medical practitioners working in general practice).</w:t>
      </w:r>
    </w:p>
    <w:p w14:paraId="7C64C66C" w14:textId="411D0EFA" w:rsidR="00355D14" w:rsidRPr="009D1689" w:rsidRDefault="00355D14" w:rsidP="00E909C0">
      <w:pPr>
        <w:ind w:right="91"/>
        <w:rPr>
          <w:iCs/>
          <w:szCs w:val="24"/>
        </w:rPr>
      </w:pPr>
    </w:p>
    <w:p w14:paraId="78471C8D" w14:textId="6D4AF2D0" w:rsidR="00355D14" w:rsidRPr="009D1689" w:rsidRDefault="00355D14" w:rsidP="00F024D8">
      <w:pPr>
        <w:ind w:right="91"/>
        <w:rPr>
          <w:color w:val="000000"/>
          <w:szCs w:val="24"/>
        </w:rPr>
      </w:pPr>
      <w:bookmarkStart w:id="1" w:name="_Hlk128135024"/>
      <w:r w:rsidRPr="009D1689">
        <w:rPr>
          <w:color w:val="000000"/>
          <w:szCs w:val="24"/>
        </w:rPr>
        <w:t xml:space="preserve">The referred to </w:t>
      </w:r>
      <w:r w:rsidR="0060629A" w:rsidRPr="009D1689">
        <w:rPr>
          <w:color w:val="000000"/>
          <w:szCs w:val="24"/>
        </w:rPr>
        <w:t xml:space="preserve">ABS </w:t>
      </w:r>
      <w:r w:rsidRPr="009D1689">
        <w:rPr>
          <w:color w:val="000000"/>
          <w:szCs w:val="24"/>
        </w:rPr>
        <w:t>information, which is incorporated by reference, is as existing on 17</w:t>
      </w:r>
      <w:r w:rsidR="00352580" w:rsidRPr="009D1689">
        <w:rPr>
          <w:color w:val="000000"/>
          <w:szCs w:val="24"/>
        </w:rPr>
        <w:t> </w:t>
      </w:r>
      <w:r w:rsidRPr="009D1689">
        <w:rPr>
          <w:color w:val="000000"/>
          <w:szCs w:val="24"/>
        </w:rPr>
        <w:t>March</w:t>
      </w:r>
      <w:r w:rsidR="00352580" w:rsidRPr="009D1689">
        <w:rPr>
          <w:color w:val="000000"/>
          <w:szCs w:val="24"/>
        </w:rPr>
        <w:t> </w:t>
      </w:r>
      <w:r w:rsidRPr="009D1689">
        <w:rPr>
          <w:color w:val="000000"/>
          <w:szCs w:val="24"/>
        </w:rPr>
        <w:t>2017 and is freely available on the ABS’s website.</w:t>
      </w:r>
      <w:bookmarkEnd w:id="1"/>
      <w:r w:rsidRPr="009D1689">
        <w:rPr>
          <w:color w:val="000000"/>
          <w:szCs w:val="24"/>
        </w:rPr>
        <w:t xml:space="preserve"> These changes will align the OMP</w:t>
      </w:r>
      <w:r w:rsidR="00352580" w:rsidRPr="009D1689">
        <w:rPr>
          <w:color w:val="000000"/>
          <w:szCs w:val="24"/>
        </w:rPr>
        <w:t> </w:t>
      </w:r>
      <w:r w:rsidRPr="009D1689">
        <w:rPr>
          <w:color w:val="000000"/>
          <w:szCs w:val="24"/>
        </w:rPr>
        <w:t>Determination with the current 2019</w:t>
      </w:r>
      <w:r w:rsidR="00352580" w:rsidRPr="009D1689">
        <w:rPr>
          <w:color w:val="000000"/>
          <w:szCs w:val="24"/>
        </w:rPr>
        <w:t> </w:t>
      </w:r>
      <w:r w:rsidRPr="009D1689">
        <w:rPr>
          <w:color w:val="000000"/>
          <w:szCs w:val="24"/>
        </w:rPr>
        <w:t xml:space="preserve">Modified Monash Model used by the Department of Health and Aged Care, which uses the estimated resident population as </w:t>
      </w:r>
      <w:proofErr w:type="gramStart"/>
      <w:r w:rsidRPr="009D1689">
        <w:rPr>
          <w:color w:val="000000"/>
          <w:szCs w:val="24"/>
        </w:rPr>
        <w:t>at</w:t>
      </w:r>
      <w:proofErr w:type="gramEnd"/>
      <w:r w:rsidRPr="009D1689">
        <w:rPr>
          <w:color w:val="000000"/>
          <w:szCs w:val="24"/>
        </w:rPr>
        <w:t xml:space="preserve"> 30</w:t>
      </w:r>
      <w:r w:rsidR="00352580" w:rsidRPr="009D1689">
        <w:rPr>
          <w:color w:val="000000"/>
          <w:szCs w:val="24"/>
        </w:rPr>
        <w:t> </w:t>
      </w:r>
      <w:r w:rsidRPr="009D1689">
        <w:rPr>
          <w:color w:val="000000"/>
          <w:szCs w:val="24"/>
        </w:rPr>
        <w:t>June</w:t>
      </w:r>
      <w:r w:rsidR="00352580" w:rsidRPr="009D1689">
        <w:rPr>
          <w:color w:val="000000"/>
          <w:szCs w:val="24"/>
        </w:rPr>
        <w:t> </w:t>
      </w:r>
      <w:r w:rsidRPr="009D1689">
        <w:rPr>
          <w:color w:val="000000"/>
          <w:szCs w:val="24"/>
        </w:rPr>
        <w:t>2016. The ABS has been consulted regarding the changes. For information regarding the 2019</w:t>
      </w:r>
      <w:r w:rsidR="00352580" w:rsidRPr="009D1689">
        <w:rPr>
          <w:color w:val="000000"/>
          <w:szCs w:val="24"/>
        </w:rPr>
        <w:t> </w:t>
      </w:r>
      <w:r w:rsidRPr="009D1689">
        <w:rPr>
          <w:color w:val="000000"/>
          <w:szCs w:val="24"/>
        </w:rPr>
        <w:t>Modified Monash Model, refer to the department’s website.</w:t>
      </w:r>
    </w:p>
    <w:p w14:paraId="12D45C79" w14:textId="77777777" w:rsidR="00355D14" w:rsidRPr="009D1689" w:rsidRDefault="00355D14" w:rsidP="00E909C0">
      <w:pPr>
        <w:ind w:right="91"/>
        <w:rPr>
          <w:color w:val="000000"/>
          <w:szCs w:val="24"/>
        </w:rPr>
      </w:pPr>
    </w:p>
    <w:p w14:paraId="0C7E649E" w14:textId="76291EA8" w:rsidR="00C63FDC" w:rsidRPr="009D1689" w:rsidRDefault="00C63FDC" w:rsidP="00C63FDC">
      <w:pPr>
        <w:pStyle w:val="Header"/>
        <w:tabs>
          <w:tab w:val="num" w:pos="1080"/>
        </w:tabs>
        <w:rPr>
          <w:iCs/>
          <w:szCs w:val="24"/>
        </w:rPr>
      </w:pPr>
    </w:p>
    <w:p w14:paraId="4F184883" w14:textId="0E896C8D" w:rsidR="000E6045" w:rsidRPr="009D1689" w:rsidRDefault="00355D14" w:rsidP="00352580">
      <w:pPr>
        <w:pStyle w:val="Header"/>
        <w:tabs>
          <w:tab w:val="num" w:pos="1080"/>
        </w:tabs>
        <w:rPr>
          <w:szCs w:val="24"/>
        </w:rPr>
      </w:pPr>
      <w:r w:rsidRPr="009D1689">
        <w:rPr>
          <w:b/>
          <w:bCs/>
          <w:iCs/>
          <w:szCs w:val="24"/>
        </w:rPr>
        <w:lastRenderedPageBreak/>
        <w:t xml:space="preserve">Item </w:t>
      </w:r>
      <w:r w:rsidRPr="009D1689">
        <w:rPr>
          <w:iCs/>
          <w:szCs w:val="24"/>
        </w:rPr>
        <w:t>5 amends subclause 1.5.1(4) of the OMP Determination</w:t>
      </w:r>
      <w:r w:rsidR="000E6045" w:rsidRPr="009D1689">
        <w:rPr>
          <w:iCs/>
          <w:szCs w:val="24"/>
        </w:rPr>
        <w:t xml:space="preserve"> to </w:t>
      </w:r>
      <w:r w:rsidR="000E6045" w:rsidRPr="009D1689">
        <w:rPr>
          <w:szCs w:val="24"/>
        </w:rPr>
        <w:t>ensure</w:t>
      </w:r>
      <w:r w:rsidRPr="009D1689">
        <w:rPr>
          <w:iCs/>
          <w:szCs w:val="24"/>
        </w:rPr>
        <w:t xml:space="preserve"> </w:t>
      </w:r>
      <w:r w:rsidR="000E6045" w:rsidRPr="009D1689">
        <w:rPr>
          <w:iCs/>
          <w:szCs w:val="24"/>
        </w:rPr>
        <w:t>that</w:t>
      </w:r>
      <w:r w:rsidRPr="009D1689">
        <w:rPr>
          <w:iCs/>
          <w:szCs w:val="24"/>
        </w:rPr>
        <w:t xml:space="preserve"> arrangements for</w:t>
      </w:r>
      <w:r w:rsidR="000E6045" w:rsidRPr="009D1689">
        <w:rPr>
          <w:iCs/>
          <w:szCs w:val="24"/>
        </w:rPr>
        <w:t xml:space="preserve"> health assessment services </w:t>
      </w:r>
      <w:r w:rsidRPr="009D1689">
        <w:rPr>
          <w:iCs/>
          <w:szCs w:val="24"/>
        </w:rPr>
        <w:t xml:space="preserve">provided by other medical practitioners </w:t>
      </w:r>
      <w:r w:rsidR="000E6045" w:rsidRPr="009D1689">
        <w:rPr>
          <w:iCs/>
          <w:szCs w:val="24"/>
        </w:rPr>
        <w:t>a</w:t>
      </w:r>
      <w:r w:rsidRPr="009D1689">
        <w:rPr>
          <w:iCs/>
          <w:szCs w:val="24"/>
        </w:rPr>
        <w:t xml:space="preserve">re consistent with </w:t>
      </w:r>
      <w:r w:rsidR="000E6045" w:rsidRPr="009D1689">
        <w:rPr>
          <w:iCs/>
          <w:szCs w:val="24"/>
        </w:rPr>
        <w:t>general practitioner</w:t>
      </w:r>
      <w:r w:rsidR="00524E00" w:rsidRPr="009D1689">
        <w:rPr>
          <w:iCs/>
          <w:szCs w:val="24"/>
        </w:rPr>
        <w:t xml:space="preserve"> health assessment services</w:t>
      </w:r>
      <w:r w:rsidRPr="009D1689">
        <w:rPr>
          <w:iCs/>
          <w:szCs w:val="24"/>
        </w:rPr>
        <w:t>.</w:t>
      </w:r>
      <w:r w:rsidR="00524E00" w:rsidRPr="009D1689">
        <w:rPr>
          <w:iCs/>
          <w:szCs w:val="24"/>
        </w:rPr>
        <w:t xml:space="preserve"> This change is administrative in nature and intended to ensure the OMP Determination aligns with existing policy relating to health assessment services.</w:t>
      </w:r>
    </w:p>
    <w:p w14:paraId="617F4A4B" w14:textId="77777777" w:rsidR="000E6045" w:rsidRPr="009D1689" w:rsidRDefault="000E6045" w:rsidP="000E6045">
      <w:pPr>
        <w:pStyle w:val="Header"/>
        <w:tabs>
          <w:tab w:val="num" w:pos="1080"/>
        </w:tabs>
        <w:rPr>
          <w:szCs w:val="24"/>
        </w:rPr>
      </w:pPr>
    </w:p>
    <w:p w14:paraId="21DF9DDC" w14:textId="4D31B08C" w:rsidR="00331752" w:rsidRPr="009D1689" w:rsidRDefault="00331752" w:rsidP="00614B01">
      <w:pPr>
        <w:pStyle w:val="ItemHead"/>
        <w:rPr>
          <w:b w:val="0"/>
          <w:szCs w:val="24"/>
        </w:rPr>
      </w:pPr>
      <w:r w:rsidRPr="009D1689">
        <w:rPr>
          <w:b w:val="0"/>
          <w:szCs w:val="24"/>
          <w:u w:val="single"/>
        </w:rPr>
        <w:br w:type="page"/>
      </w:r>
    </w:p>
    <w:p w14:paraId="2412D14E" w14:textId="632B4BE9" w:rsidR="00A17F2C" w:rsidRPr="009D1689" w:rsidRDefault="00A17F2C" w:rsidP="008D136F">
      <w:pPr>
        <w:pStyle w:val="Header"/>
        <w:tabs>
          <w:tab w:val="num" w:pos="1080"/>
        </w:tabs>
        <w:jc w:val="center"/>
        <w:rPr>
          <w:b/>
          <w:sz w:val="28"/>
          <w:szCs w:val="28"/>
        </w:rPr>
      </w:pPr>
      <w:r w:rsidRPr="009D1689">
        <w:rPr>
          <w:b/>
          <w:sz w:val="28"/>
          <w:szCs w:val="28"/>
        </w:rPr>
        <w:lastRenderedPageBreak/>
        <w:t>Statement of Compatibility with Human Rights</w:t>
      </w:r>
    </w:p>
    <w:p w14:paraId="2412D14F" w14:textId="77777777" w:rsidR="00A17F2C" w:rsidRPr="009D1689" w:rsidRDefault="00A17F2C" w:rsidP="000337CB">
      <w:pPr>
        <w:spacing w:before="120" w:after="120"/>
        <w:jc w:val="center"/>
        <w:rPr>
          <w:szCs w:val="24"/>
        </w:rPr>
      </w:pPr>
      <w:r w:rsidRPr="009D1689">
        <w:rPr>
          <w:i/>
          <w:szCs w:val="24"/>
        </w:rPr>
        <w:t>Prepared in accordance with Part 3 of the Human Rights (Parliamentary Scrutiny) Act 2011</w:t>
      </w:r>
    </w:p>
    <w:p w14:paraId="751DE726" w14:textId="77777777" w:rsidR="002A6C77" w:rsidRPr="009D1689" w:rsidRDefault="002A6C77" w:rsidP="000337CB">
      <w:pPr>
        <w:tabs>
          <w:tab w:val="left" w:pos="1418"/>
        </w:tabs>
        <w:ind w:left="851"/>
        <w:jc w:val="center"/>
        <w:rPr>
          <w:b/>
          <w:i/>
          <w:iCs/>
        </w:rPr>
      </w:pPr>
    </w:p>
    <w:p w14:paraId="528ACB6E" w14:textId="27DB9626" w:rsidR="00E909C0" w:rsidRPr="009D1689" w:rsidRDefault="00E909C0" w:rsidP="00E909C0">
      <w:pPr>
        <w:tabs>
          <w:tab w:val="left" w:pos="1418"/>
        </w:tabs>
        <w:ind w:left="851"/>
        <w:jc w:val="center"/>
        <w:rPr>
          <w:b/>
          <w:i/>
          <w:iCs/>
        </w:rPr>
      </w:pPr>
      <w:r w:rsidRPr="009D1689">
        <w:rPr>
          <w:i/>
          <w:iCs/>
        </w:rPr>
        <w:t>Health Insurance (Section 3C General Medical Services – Other Medical Practitioner) Amendment (No. 1) Determination 2023</w:t>
      </w:r>
    </w:p>
    <w:p w14:paraId="1BF56C38" w14:textId="77777777" w:rsidR="007708B3" w:rsidRPr="009D1689" w:rsidRDefault="007708B3" w:rsidP="000337CB">
      <w:pPr>
        <w:tabs>
          <w:tab w:val="left" w:pos="1418"/>
        </w:tabs>
        <w:ind w:left="851"/>
        <w:jc w:val="center"/>
        <w:rPr>
          <w:b/>
          <w:i/>
          <w:szCs w:val="24"/>
        </w:rPr>
      </w:pPr>
    </w:p>
    <w:p w14:paraId="2412D153" w14:textId="0EE4B7D7" w:rsidR="00A17F2C" w:rsidRPr="009D1689" w:rsidRDefault="00A17F2C" w:rsidP="000337CB">
      <w:pPr>
        <w:jc w:val="center"/>
        <w:rPr>
          <w:szCs w:val="24"/>
        </w:rPr>
      </w:pPr>
      <w:r w:rsidRPr="009D1689">
        <w:rPr>
          <w:szCs w:val="24"/>
        </w:rPr>
        <w:t xml:space="preserve">This </w:t>
      </w:r>
      <w:r w:rsidR="0046022A" w:rsidRPr="009D1689">
        <w:rPr>
          <w:szCs w:val="24"/>
        </w:rPr>
        <w:t>instrument</w:t>
      </w:r>
      <w:r w:rsidRPr="009D1689">
        <w:rPr>
          <w:szCs w:val="24"/>
        </w:rPr>
        <w:t xml:space="preserve"> is compatible with the human rights and freedoms recognised or declared in the international instruments listed in section 3 of the </w:t>
      </w:r>
      <w:r w:rsidRPr="009D1689">
        <w:rPr>
          <w:i/>
          <w:szCs w:val="24"/>
        </w:rPr>
        <w:t>Human Rights (Parliamentary Scrutiny) Act</w:t>
      </w:r>
      <w:r w:rsidR="0007250D" w:rsidRPr="009D1689">
        <w:rPr>
          <w:i/>
          <w:szCs w:val="24"/>
        </w:rPr>
        <w:t> </w:t>
      </w:r>
      <w:r w:rsidRPr="009D1689">
        <w:rPr>
          <w:i/>
          <w:szCs w:val="24"/>
        </w:rPr>
        <w:t>2011</w:t>
      </w:r>
      <w:r w:rsidRPr="009D1689">
        <w:rPr>
          <w:szCs w:val="24"/>
        </w:rPr>
        <w:t>.</w:t>
      </w:r>
    </w:p>
    <w:p w14:paraId="7EDA9098" w14:textId="306A78E1" w:rsidR="006E6BBF" w:rsidRPr="009D1689" w:rsidRDefault="006E6BBF" w:rsidP="008734F5">
      <w:pPr>
        <w:spacing w:before="120" w:after="120"/>
        <w:rPr>
          <w:b/>
          <w:szCs w:val="24"/>
        </w:rPr>
      </w:pPr>
      <w:r w:rsidRPr="009D1689">
        <w:rPr>
          <w:b/>
          <w:szCs w:val="24"/>
        </w:rPr>
        <w:t xml:space="preserve">Overview of the </w:t>
      </w:r>
      <w:r w:rsidR="00B86A9F" w:rsidRPr="009D1689">
        <w:rPr>
          <w:b/>
          <w:szCs w:val="24"/>
        </w:rPr>
        <w:t>Determination</w:t>
      </w:r>
    </w:p>
    <w:p w14:paraId="470E0F09" w14:textId="77777777" w:rsidR="00352580" w:rsidRPr="009D1689" w:rsidRDefault="00352580" w:rsidP="00352580">
      <w:pPr>
        <w:ind w:right="-483"/>
        <w:rPr>
          <w:szCs w:val="24"/>
        </w:rPr>
      </w:pPr>
      <w:r w:rsidRPr="009D1689">
        <w:rPr>
          <w:szCs w:val="24"/>
        </w:rPr>
        <w:t xml:space="preserve">The purpose of the </w:t>
      </w:r>
      <w:r w:rsidRPr="009D1689">
        <w:rPr>
          <w:i/>
          <w:iCs/>
          <w:szCs w:val="24"/>
        </w:rPr>
        <w:t>Health Insurance (Section 3C General Medical Services – Other Medical Practitioner) Amendment (No. 1) Determination 2023</w:t>
      </w:r>
      <w:r w:rsidRPr="009D1689">
        <w:rPr>
          <w:szCs w:val="24"/>
        </w:rPr>
        <w:t xml:space="preserve"> (the Determination) is to make administrative amendments to the </w:t>
      </w:r>
      <w:r w:rsidRPr="009D1689">
        <w:rPr>
          <w:i/>
          <w:iCs/>
        </w:rPr>
        <w:t>Health Insurance (Section 3C General Medical Services – Other Medical Practitioner) Determination 2018</w:t>
      </w:r>
      <w:r w:rsidRPr="009D1689">
        <w:t xml:space="preserve"> (the OMP Determination)</w:t>
      </w:r>
      <w:r w:rsidRPr="009D1689">
        <w:rPr>
          <w:szCs w:val="24"/>
        </w:rPr>
        <w:t>.</w:t>
      </w:r>
    </w:p>
    <w:p w14:paraId="0163AD9B" w14:textId="77777777" w:rsidR="00352580" w:rsidRPr="009D1689" w:rsidRDefault="00352580" w:rsidP="00352580">
      <w:pPr>
        <w:ind w:right="-483"/>
        <w:rPr>
          <w:szCs w:val="24"/>
        </w:rPr>
      </w:pPr>
    </w:p>
    <w:p w14:paraId="6807C4E9" w14:textId="77777777" w:rsidR="00352580" w:rsidRPr="009D1689" w:rsidRDefault="00352580" w:rsidP="00352580">
      <w:pPr>
        <w:ind w:right="-483"/>
        <w:rPr>
          <w:iCs/>
          <w:szCs w:val="24"/>
        </w:rPr>
      </w:pPr>
      <w:r w:rsidRPr="009D1689">
        <w:rPr>
          <w:iCs/>
          <w:szCs w:val="24"/>
        </w:rPr>
        <w:t>The Determination will amend:</w:t>
      </w:r>
    </w:p>
    <w:p w14:paraId="39C8B9E3" w14:textId="25E2F4A4" w:rsidR="00352580" w:rsidRPr="009D1689" w:rsidRDefault="00352580" w:rsidP="00352580">
      <w:pPr>
        <w:numPr>
          <w:ilvl w:val="0"/>
          <w:numId w:val="41"/>
        </w:numPr>
        <w:spacing w:before="120"/>
        <w:ind w:left="714" w:right="-482" w:hanging="357"/>
        <w:rPr>
          <w:szCs w:val="24"/>
        </w:rPr>
      </w:pPr>
      <w:r w:rsidRPr="009D1689">
        <w:rPr>
          <w:szCs w:val="24"/>
        </w:rPr>
        <w:t xml:space="preserve">the definitions for </w:t>
      </w:r>
      <w:r w:rsidRPr="009D1689">
        <w:rPr>
          <w:b/>
          <w:bCs/>
          <w:i/>
          <w:iCs/>
          <w:szCs w:val="24"/>
        </w:rPr>
        <w:t>Modified Monash 2 area</w:t>
      </w:r>
      <w:r w:rsidRPr="009D1689">
        <w:rPr>
          <w:szCs w:val="24"/>
        </w:rPr>
        <w:t xml:space="preserve">, </w:t>
      </w:r>
      <w:r w:rsidRPr="009D1689">
        <w:rPr>
          <w:b/>
          <w:bCs/>
          <w:i/>
          <w:iCs/>
          <w:szCs w:val="24"/>
        </w:rPr>
        <w:t>Modified Monash 3 area</w:t>
      </w:r>
      <w:r w:rsidRPr="009D1689">
        <w:rPr>
          <w:szCs w:val="24"/>
        </w:rPr>
        <w:t xml:space="preserve"> and </w:t>
      </w:r>
      <w:r w:rsidRPr="009D1689">
        <w:rPr>
          <w:b/>
          <w:bCs/>
          <w:i/>
          <w:iCs/>
          <w:szCs w:val="24"/>
        </w:rPr>
        <w:t>Modified Monash 4 area</w:t>
      </w:r>
      <w:r w:rsidRPr="009D1689">
        <w:rPr>
          <w:szCs w:val="24"/>
        </w:rPr>
        <w:t xml:space="preserve"> at subsection 4(1) to replace references to the 2013 estimated resident population with the 2016 estimated resident population and insert a definition for </w:t>
      </w:r>
      <w:r w:rsidRPr="009D1689">
        <w:rPr>
          <w:b/>
          <w:bCs/>
          <w:i/>
          <w:iCs/>
          <w:szCs w:val="24"/>
        </w:rPr>
        <w:t>2016</w:t>
      </w:r>
      <w:r w:rsidR="000F4ACE" w:rsidRPr="009D1689">
        <w:rPr>
          <w:b/>
          <w:bCs/>
          <w:i/>
          <w:iCs/>
          <w:szCs w:val="24"/>
        </w:rPr>
        <w:t> </w:t>
      </w:r>
      <w:r w:rsidRPr="009D1689">
        <w:rPr>
          <w:b/>
          <w:bCs/>
          <w:i/>
          <w:iCs/>
          <w:szCs w:val="24"/>
        </w:rPr>
        <w:t>estimated resident population</w:t>
      </w:r>
      <w:r w:rsidRPr="009D1689">
        <w:rPr>
          <w:szCs w:val="24"/>
        </w:rPr>
        <w:t xml:space="preserve"> in line with the definition in the general medical services table as </w:t>
      </w:r>
      <w:proofErr w:type="gramStart"/>
      <w:r w:rsidRPr="009D1689">
        <w:rPr>
          <w:szCs w:val="24"/>
        </w:rPr>
        <w:t>at</w:t>
      </w:r>
      <w:proofErr w:type="gramEnd"/>
      <w:r w:rsidRPr="009D1689">
        <w:rPr>
          <w:szCs w:val="24"/>
        </w:rPr>
        <w:t xml:space="preserve"> 30 June 2016, as published by the Australian Bureau of Statistics (ABS).</w:t>
      </w:r>
    </w:p>
    <w:p w14:paraId="74D11275" w14:textId="5C4DA92B" w:rsidR="008C0317" w:rsidRPr="009D1689" w:rsidRDefault="008C0317" w:rsidP="00427AF7">
      <w:pPr>
        <w:numPr>
          <w:ilvl w:val="0"/>
          <w:numId w:val="41"/>
        </w:numPr>
        <w:spacing w:before="120"/>
        <w:ind w:left="714" w:right="-482" w:hanging="357"/>
        <w:rPr>
          <w:szCs w:val="24"/>
        </w:rPr>
      </w:pPr>
      <w:r w:rsidRPr="009D1689">
        <w:rPr>
          <w:szCs w:val="24"/>
        </w:rPr>
        <w:t xml:space="preserve">subclause 1.5.1(4) to ensure that arrangements for health assessment services provided by other medical practitioners (certain non-vocationally recognised medical practitioners working in general practice) </w:t>
      </w:r>
      <w:r w:rsidRPr="009D1689">
        <w:rPr>
          <w:iCs/>
          <w:szCs w:val="24"/>
        </w:rPr>
        <w:t>are consistent with general practitioner health assessment services</w:t>
      </w:r>
      <w:r w:rsidRPr="009D1689">
        <w:rPr>
          <w:szCs w:val="24"/>
        </w:rPr>
        <w:t>.</w:t>
      </w:r>
    </w:p>
    <w:p w14:paraId="0624194F" w14:textId="31EB9E47" w:rsidR="00E62428" w:rsidRPr="009D1689" w:rsidRDefault="00E62428" w:rsidP="002A6C77">
      <w:pPr>
        <w:ind w:right="-482"/>
        <w:rPr>
          <w:iCs/>
        </w:rPr>
      </w:pPr>
    </w:p>
    <w:p w14:paraId="2412D15C" w14:textId="7830E091" w:rsidR="00A17F2C" w:rsidRPr="009D1689" w:rsidRDefault="00A17F2C" w:rsidP="002A6C77">
      <w:pPr>
        <w:ind w:right="-482"/>
        <w:rPr>
          <w:b/>
          <w:szCs w:val="24"/>
        </w:rPr>
      </w:pPr>
      <w:r w:rsidRPr="009D1689">
        <w:rPr>
          <w:b/>
          <w:szCs w:val="24"/>
        </w:rPr>
        <w:t>Human rights implications</w:t>
      </w:r>
    </w:p>
    <w:p w14:paraId="449665F0" w14:textId="4F68ED9C" w:rsidR="00806020" w:rsidRPr="009D1689" w:rsidRDefault="00806020" w:rsidP="00806020">
      <w:pPr>
        <w:spacing w:before="120" w:after="120"/>
        <w:rPr>
          <w:szCs w:val="24"/>
        </w:rPr>
      </w:pPr>
      <w:r w:rsidRPr="009D1689">
        <w:rPr>
          <w:szCs w:val="24"/>
        </w:rPr>
        <w:t>This instrument engages Articles 9 and 12 of the International Covenant on Economic Social and Cultural Rights (ICESCR), specifically the rights to health and social security.</w:t>
      </w:r>
    </w:p>
    <w:p w14:paraId="2412D15E" w14:textId="1567A7A0" w:rsidR="00A17F2C" w:rsidRPr="009D1689" w:rsidRDefault="00A17F2C" w:rsidP="00806020">
      <w:pPr>
        <w:spacing w:before="120" w:after="120"/>
        <w:rPr>
          <w:i/>
          <w:szCs w:val="24"/>
        </w:rPr>
      </w:pPr>
      <w:r w:rsidRPr="009D1689">
        <w:rPr>
          <w:i/>
          <w:szCs w:val="24"/>
        </w:rPr>
        <w:t>The Right to Health</w:t>
      </w:r>
    </w:p>
    <w:p w14:paraId="2412D15F" w14:textId="77777777" w:rsidR="00A17F2C" w:rsidRPr="009D1689" w:rsidRDefault="00A17F2C" w:rsidP="000337CB">
      <w:pPr>
        <w:spacing w:before="120" w:after="120"/>
        <w:rPr>
          <w:szCs w:val="24"/>
        </w:rPr>
      </w:pPr>
      <w:r w:rsidRPr="009D1689">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D1689">
        <w:rPr>
          <w:szCs w:val="24"/>
        </w:rPr>
        <w:t>healthy, but</w:t>
      </w:r>
      <w:proofErr w:type="gramEnd"/>
      <w:r w:rsidRPr="009D1689">
        <w:rPr>
          <w:szCs w:val="24"/>
        </w:rPr>
        <w:t xml:space="preserve"> is a right to a system of health protection which provides equality of opportunity for people to enjoy the highest attainable level of health. </w:t>
      </w:r>
    </w:p>
    <w:p w14:paraId="2412D160" w14:textId="3CAD736C" w:rsidR="00A17F2C" w:rsidRPr="009D1689" w:rsidRDefault="00A17F2C" w:rsidP="000337CB">
      <w:pPr>
        <w:spacing w:before="120" w:after="120"/>
        <w:rPr>
          <w:szCs w:val="24"/>
        </w:rPr>
      </w:pPr>
      <w:r w:rsidRPr="009D1689">
        <w:rPr>
          <w:szCs w:val="24"/>
        </w:rPr>
        <w:t xml:space="preserve">The Committee reports that the </w:t>
      </w:r>
      <w:r w:rsidRPr="009D1689">
        <w:rPr>
          <w:i/>
          <w:szCs w:val="24"/>
        </w:rPr>
        <w:t>‘highest attainable standard of health’</w:t>
      </w:r>
      <w:r w:rsidRPr="009D1689">
        <w:rPr>
          <w:szCs w:val="24"/>
        </w:rPr>
        <w:t xml:space="preserve"> </w:t>
      </w:r>
      <w:proofErr w:type="gramStart"/>
      <w:r w:rsidRPr="009D1689">
        <w:rPr>
          <w:szCs w:val="24"/>
        </w:rPr>
        <w:t>takes into account</w:t>
      </w:r>
      <w:proofErr w:type="gramEnd"/>
      <w:r w:rsidRPr="009D1689">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412D161" w14:textId="0CD95C2C" w:rsidR="00A17F2C" w:rsidRPr="009D1689" w:rsidRDefault="00A17F2C" w:rsidP="000337CB">
      <w:pPr>
        <w:spacing w:before="120" w:after="120"/>
        <w:rPr>
          <w:i/>
          <w:szCs w:val="24"/>
        </w:rPr>
      </w:pPr>
      <w:r w:rsidRPr="009D1689">
        <w:rPr>
          <w:i/>
          <w:szCs w:val="24"/>
        </w:rPr>
        <w:t>The Right to Social Security</w:t>
      </w:r>
    </w:p>
    <w:p w14:paraId="2412D162" w14:textId="77777777" w:rsidR="00A17F2C" w:rsidRPr="009D1689" w:rsidRDefault="00A17F2C" w:rsidP="000337CB">
      <w:pPr>
        <w:spacing w:before="120" w:after="120"/>
        <w:rPr>
          <w:szCs w:val="24"/>
        </w:rPr>
      </w:pPr>
      <w:r w:rsidRPr="009D1689">
        <w:rPr>
          <w:szCs w:val="24"/>
        </w:rPr>
        <w:t>The right to social security is contained in Article 9 of the ICESCR. It requires that a country must, within its maximum available resources, ensure access to a social security scheme that</w:t>
      </w:r>
      <w:r w:rsidR="00BA69CB" w:rsidRPr="009D1689">
        <w:rPr>
          <w:szCs w:val="24"/>
        </w:rPr>
        <w:t xml:space="preserve"> </w:t>
      </w:r>
      <w:r w:rsidRPr="009D1689">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D1689">
        <w:rPr>
          <w:szCs w:val="24"/>
        </w:rPr>
        <w:t>in an effort to</w:t>
      </w:r>
      <w:proofErr w:type="gramEnd"/>
      <w:r w:rsidRPr="009D1689">
        <w:rPr>
          <w:szCs w:val="24"/>
        </w:rPr>
        <w:t xml:space="preserve"> satisfy, as a matter of priority, this minimum obligation.</w:t>
      </w:r>
    </w:p>
    <w:p w14:paraId="0345FFEA" w14:textId="2A5A9406" w:rsidR="00A46B56" w:rsidRPr="009D1689" w:rsidRDefault="00A17F2C" w:rsidP="000337CB">
      <w:pPr>
        <w:spacing w:before="120" w:after="120"/>
        <w:rPr>
          <w:szCs w:val="24"/>
        </w:rPr>
      </w:pPr>
      <w:r w:rsidRPr="009D1689">
        <w:rPr>
          <w:szCs w:val="24"/>
        </w:rPr>
        <w:lastRenderedPageBreak/>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9D1689">
        <w:rPr>
          <w:szCs w:val="24"/>
        </w:rPr>
        <w:t>Government</w:t>
      </w:r>
      <w:proofErr w:type="gramEnd"/>
      <w:r w:rsidRPr="009D1689">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9D1689" w:rsidRDefault="00A46B56" w:rsidP="00A46B56">
      <w:pPr>
        <w:shd w:val="clear" w:color="auto" w:fill="FFFFFF"/>
        <w:spacing w:before="120" w:after="120"/>
        <w:rPr>
          <w:color w:val="000000"/>
          <w:szCs w:val="24"/>
        </w:rPr>
      </w:pPr>
      <w:r w:rsidRPr="009D1689">
        <w:rPr>
          <w:i/>
          <w:iCs/>
          <w:color w:val="000000"/>
          <w:szCs w:val="24"/>
        </w:rPr>
        <w:t>The right of equality and non-discrimination</w:t>
      </w:r>
    </w:p>
    <w:p w14:paraId="11907FD2" w14:textId="60D83985" w:rsidR="00A46B56" w:rsidRPr="009D1689" w:rsidRDefault="00A46B56" w:rsidP="00A46B56">
      <w:pPr>
        <w:spacing w:before="120" w:after="120"/>
        <w:rPr>
          <w:szCs w:val="24"/>
        </w:rPr>
      </w:pPr>
      <w:r w:rsidRPr="009D1689">
        <w:rPr>
          <w:color w:val="000000"/>
          <w:szCs w:val="24"/>
        </w:rPr>
        <w:t>The rights of equality and non-discrimination are contained in articles 2, 16 and 26</w:t>
      </w:r>
      <w:r w:rsidR="0007250D" w:rsidRPr="009D1689">
        <w:rPr>
          <w:color w:val="000000"/>
          <w:szCs w:val="24"/>
        </w:rPr>
        <w:t> </w:t>
      </w:r>
      <w:r w:rsidRPr="009D1689">
        <w:rPr>
          <w:color w:val="000000"/>
          <w:szCs w:val="24"/>
        </w:rPr>
        <w:t>of the International Covenant on Civil and Political Rights (ICCPR). Article</w:t>
      </w:r>
      <w:r w:rsidR="0007250D" w:rsidRPr="009D1689">
        <w:rPr>
          <w:color w:val="000000"/>
          <w:szCs w:val="24"/>
        </w:rPr>
        <w:t> </w:t>
      </w:r>
      <w:r w:rsidRPr="009D1689">
        <w:rPr>
          <w:color w:val="000000"/>
          <w:szCs w:val="24"/>
        </w:rPr>
        <w:t xml:space="preserve">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9D1689">
        <w:rPr>
          <w:color w:val="000000"/>
          <w:szCs w:val="24"/>
        </w:rPr>
        <w:t>birth</w:t>
      </w:r>
      <w:proofErr w:type="gramEnd"/>
      <w:r w:rsidRPr="009D1689">
        <w:rPr>
          <w:color w:val="000000"/>
          <w:szCs w:val="24"/>
        </w:rPr>
        <w:t xml:space="preserve"> or other status.</w:t>
      </w:r>
    </w:p>
    <w:p w14:paraId="2412D164" w14:textId="09B1B9A3" w:rsidR="00A17F2C" w:rsidRPr="009D1689" w:rsidRDefault="00A17F2C" w:rsidP="000337CB">
      <w:pPr>
        <w:spacing w:before="120" w:after="120"/>
        <w:rPr>
          <w:szCs w:val="24"/>
          <w:u w:val="single"/>
        </w:rPr>
      </w:pPr>
      <w:r w:rsidRPr="009D1689">
        <w:rPr>
          <w:szCs w:val="24"/>
          <w:u w:val="single"/>
        </w:rPr>
        <w:t>Analysis</w:t>
      </w:r>
    </w:p>
    <w:p w14:paraId="5CED5F70" w14:textId="358575C0" w:rsidR="0079191B" w:rsidRPr="009D1689" w:rsidRDefault="00806020" w:rsidP="00302F5C">
      <w:pPr>
        <w:rPr>
          <w:rFonts w:eastAsia="Calibri"/>
          <w:b/>
          <w:szCs w:val="24"/>
          <w:lang w:eastAsia="en-US"/>
        </w:rPr>
      </w:pPr>
      <w:r w:rsidRPr="009D1689">
        <w:rPr>
          <w:szCs w:val="24"/>
        </w:rPr>
        <w:t xml:space="preserve">This instrument </w:t>
      </w:r>
      <w:r w:rsidR="00717BCE" w:rsidRPr="009D1689">
        <w:rPr>
          <w:szCs w:val="24"/>
        </w:rPr>
        <w:t xml:space="preserve">maintains the rights to health and social security and the right of equality and non-discrimination as it is administrative in nature and </w:t>
      </w:r>
      <w:r w:rsidRPr="009D1689">
        <w:rPr>
          <w:szCs w:val="24"/>
        </w:rPr>
        <w:t xml:space="preserve">will </w:t>
      </w:r>
      <w:r w:rsidR="00B15781" w:rsidRPr="009D1689">
        <w:rPr>
          <w:szCs w:val="24"/>
        </w:rPr>
        <w:t xml:space="preserve">ensure that </w:t>
      </w:r>
      <w:r w:rsidR="0060629A" w:rsidRPr="009D1689">
        <w:rPr>
          <w:szCs w:val="24"/>
        </w:rPr>
        <w:t xml:space="preserve">arrangements for services provided by </w:t>
      </w:r>
      <w:r w:rsidR="002A2D9F" w:rsidRPr="009D1689">
        <w:rPr>
          <w:szCs w:val="24"/>
        </w:rPr>
        <w:t xml:space="preserve">certain non-vocationally recognised medical practitioners working in general practice </w:t>
      </w:r>
      <w:r w:rsidR="0060629A" w:rsidRPr="009D1689">
        <w:rPr>
          <w:iCs/>
          <w:szCs w:val="24"/>
        </w:rPr>
        <w:t>are consistent</w:t>
      </w:r>
      <w:r w:rsidR="002A2D9F" w:rsidRPr="009D1689">
        <w:rPr>
          <w:iCs/>
          <w:szCs w:val="24"/>
        </w:rPr>
        <w:t xml:space="preserve"> with </w:t>
      </w:r>
      <w:r w:rsidR="00C1697C" w:rsidRPr="009D1689">
        <w:rPr>
          <w:iCs/>
          <w:szCs w:val="24"/>
        </w:rPr>
        <w:t>t</w:t>
      </w:r>
      <w:r w:rsidR="0060629A" w:rsidRPr="009D1689">
        <w:rPr>
          <w:iCs/>
          <w:szCs w:val="24"/>
        </w:rPr>
        <w:t>he arrangements for relevant general practitioner services</w:t>
      </w:r>
      <w:r w:rsidR="0039170C" w:rsidRPr="009D1689">
        <w:rPr>
          <w:szCs w:val="24"/>
        </w:rPr>
        <w:t>.</w:t>
      </w:r>
    </w:p>
    <w:p w14:paraId="2412D166" w14:textId="2B80E1E1" w:rsidR="00A17F2C" w:rsidRPr="009D1689" w:rsidRDefault="00A17F2C" w:rsidP="004B7CB9">
      <w:pPr>
        <w:spacing w:before="120" w:after="120" w:line="276" w:lineRule="auto"/>
        <w:rPr>
          <w:rFonts w:eastAsia="Calibri"/>
          <w:b/>
          <w:szCs w:val="24"/>
          <w:lang w:eastAsia="en-US"/>
        </w:rPr>
      </w:pPr>
      <w:r w:rsidRPr="009D1689">
        <w:rPr>
          <w:rFonts w:eastAsia="Calibri"/>
          <w:b/>
          <w:szCs w:val="24"/>
          <w:lang w:eastAsia="en-US"/>
        </w:rPr>
        <w:t>Conclusion</w:t>
      </w:r>
    </w:p>
    <w:p w14:paraId="2412D167" w14:textId="30A32FDC" w:rsidR="00A17F2C" w:rsidRPr="009D1689" w:rsidRDefault="006E6BBF" w:rsidP="000337CB">
      <w:pPr>
        <w:rPr>
          <w:szCs w:val="24"/>
        </w:rPr>
      </w:pPr>
      <w:r w:rsidRPr="009D1689">
        <w:rPr>
          <w:szCs w:val="24"/>
        </w:rPr>
        <w:t xml:space="preserve">This </w:t>
      </w:r>
      <w:r w:rsidR="0046022A" w:rsidRPr="009D1689">
        <w:rPr>
          <w:szCs w:val="24"/>
        </w:rPr>
        <w:t>instrument</w:t>
      </w:r>
      <w:r w:rsidRPr="009D1689">
        <w:rPr>
          <w:szCs w:val="24"/>
        </w:rPr>
        <w:t xml:space="preserve"> </w:t>
      </w:r>
      <w:r w:rsidR="00F15284" w:rsidRPr="009D1689">
        <w:rPr>
          <w:szCs w:val="24"/>
        </w:rPr>
        <w:t xml:space="preserve">is compatible with human rights as it </w:t>
      </w:r>
      <w:r w:rsidR="007C7403" w:rsidRPr="009D1689">
        <w:rPr>
          <w:szCs w:val="24"/>
        </w:rPr>
        <w:t xml:space="preserve">maintains the </w:t>
      </w:r>
      <w:r w:rsidR="00910EF6" w:rsidRPr="009D1689">
        <w:rPr>
          <w:szCs w:val="24"/>
        </w:rPr>
        <w:t>right to health</w:t>
      </w:r>
      <w:r w:rsidR="00717BCE" w:rsidRPr="009D1689">
        <w:rPr>
          <w:szCs w:val="24"/>
        </w:rPr>
        <w:t>,</w:t>
      </w:r>
      <w:r w:rsidR="00910EF6" w:rsidRPr="009D1689">
        <w:rPr>
          <w:szCs w:val="24"/>
        </w:rPr>
        <w:t xml:space="preserve"> the right to social security</w:t>
      </w:r>
      <w:r w:rsidR="005C394E" w:rsidRPr="009D1689">
        <w:rPr>
          <w:szCs w:val="24"/>
        </w:rPr>
        <w:t xml:space="preserve"> </w:t>
      </w:r>
      <w:bookmarkStart w:id="2" w:name="_Hlk129952180"/>
      <w:r w:rsidR="005C394E" w:rsidRPr="009D1689">
        <w:rPr>
          <w:szCs w:val="24"/>
        </w:rPr>
        <w:t>and the right of equality and non-discrimination</w:t>
      </w:r>
      <w:bookmarkEnd w:id="2"/>
      <w:r w:rsidR="00614B01" w:rsidRPr="009D1689">
        <w:rPr>
          <w:szCs w:val="24"/>
        </w:rPr>
        <w:t>.</w:t>
      </w:r>
    </w:p>
    <w:p w14:paraId="2412D168" w14:textId="77777777" w:rsidR="00F15284" w:rsidRPr="009D1689" w:rsidRDefault="00F15284" w:rsidP="000337CB">
      <w:pPr>
        <w:rPr>
          <w:rFonts w:eastAsia="Calibri"/>
          <w:szCs w:val="24"/>
          <w:lang w:eastAsia="en-US"/>
        </w:rPr>
      </w:pPr>
    </w:p>
    <w:p w14:paraId="75A46380" w14:textId="77777777" w:rsidR="00C67BC7" w:rsidRPr="009D1689" w:rsidRDefault="00C67BC7" w:rsidP="000F2948">
      <w:pPr>
        <w:jc w:val="center"/>
        <w:rPr>
          <w:b/>
          <w:bCs/>
        </w:rPr>
      </w:pPr>
    </w:p>
    <w:p w14:paraId="3FCA2462" w14:textId="77777777" w:rsidR="00E909C0" w:rsidRPr="009D1689" w:rsidRDefault="00E909C0" w:rsidP="00E909C0">
      <w:pPr>
        <w:spacing w:line="240" w:lineRule="atLeast"/>
        <w:ind w:right="-23"/>
        <w:jc w:val="center"/>
        <w:rPr>
          <w:b/>
          <w:bCs/>
        </w:rPr>
      </w:pPr>
      <w:r w:rsidRPr="009D1689">
        <w:rPr>
          <w:b/>
          <w:bCs/>
        </w:rPr>
        <w:t>Daniel McCabe</w:t>
      </w:r>
    </w:p>
    <w:p w14:paraId="48E29280" w14:textId="77777777" w:rsidR="00E909C0" w:rsidRPr="009D1689" w:rsidRDefault="00E909C0" w:rsidP="00E909C0">
      <w:pPr>
        <w:spacing w:line="240" w:lineRule="atLeast"/>
        <w:ind w:right="-23"/>
        <w:jc w:val="center"/>
        <w:rPr>
          <w:b/>
          <w:bCs/>
        </w:rPr>
      </w:pPr>
      <w:r w:rsidRPr="009D1689">
        <w:rPr>
          <w:b/>
          <w:bCs/>
        </w:rPr>
        <w:t>First Assistant Secretary</w:t>
      </w:r>
    </w:p>
    <w:p w14:paraId="371B1C9B" w14:textId="77777777" w:rsidR="00E909C0" w:rsidRPr="009D1689" w:rsidRDefault="00E909C0" w:rsidP="00E909C0">
      <w:pPr>
        <w:spacing w:line="240" w:lineRule="atLeast"/>
        <w:ind w:right="-23"/>
        <w:jc w:val="center"/>
        <w:rPr>
          <w:b/>
          <w:bCs/>
        </w:rPr>
      </w:pPr>
      <w:r w:rsidRPr="009D1689">
        <w:rPr>
          <w:b/>
          <w:bCs/>
        </w:rPr>
        <w:t>Medicare Benefits and Digital Health Division</w:t>
      </w:r>
    </w:p>
    <w:p w14:paraId="26253390" w14:textId="77777777" w:rsidR="00E909C0" w:rsidRPr="009D1689" w:rsidRDefault="00E909C0" w:rsidP="00E909C0">
      <w:pPr>
        <w:spacing w:line="240" w:lineRule="atLeast"/>
        <w:ind w:right="-23"/>
        <w:jc w:val="center"/>
        <w:rPr>
          <w:b/>
          <w:bCs/>
        </w:rPr>
      </w:pPr>
      <w:r w:rsidRPr="009D1689">
        <w:rPr>
          <w:b/>
          <w:bCs/>
        </w:rPr>
        <w:t>Health Resourcing Group</w:t>
      </w:r>
    </w:p>
    <w:p w14:paraId="2412D16E" w14:textId="5DE9FA5B" w:rsidR="00636C51" w:rsidRPr="0020245D" w:rsidRDefault="00E909C0" w:rsidP="0060629A">
      <w:pPr>
        <w:jc w:val="center"/>
        <w:rPr>
          <w:rFonts w:eastAsia="Calibri"/>
          <w:szCs w:val="24"/>
          <w:lang w:eastAsia="en-US"/>
        </w:rPr>
      </w:pPr>
      <w:r w:rsidRPr="009D1689">
        <w:rPr>
          <w:b/>
          <w:bCs/>
        </w:rPr>
        <w:t>Department of Health and Aged Care</w:t>
      </w:r>
    </w:p>
    <w:sectPr w:rsidR="00636C51" w:rsidRPr="0020245D" w:rsidSect="00B15781">
      <w:headerReference w:type="even" r:id="rId9"/>
      <w:headerReference w:type="default" r:id="rId10"/>
      <w:headerReference w:type="first" r:id="rId11"/>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0FF6" w14:textId="77777777" w:rsidR="00557EFF" w:rsidRDefault="00557EFF">
      <w:r>
        <w:separator/>
      </w:r>
    </w:p>
  </w:endnote>
  <w:endnote w:type="continuationSeparator" w:id="0">
    <w:p w14:paraId="38C890E4" w14:textId="77777777" w:rsidR="00557EFF" w:rsidRDefault="0055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A279" w14:textId="77777777" w:rsidR="00557EFF" w:rsidRDefault="00557EFF">
      <w:r>
        <w:separator/>
      </w:r>
    </w:p>
  </w:footnote>
  <w:footnote w:type="continuationSeparator" w:id="0">
    <w:p w14:paraId="74C3401F" w14:textId="77777777" w:rsidR="00557EFF" w:rsidRDefault="0055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FD1330"/>
    <w:multiLevelType w:val="hybridMultilevel"/>
    <w:tmpl w:val="4E1C193A"/>
    <w:lvl w:ilvl="0" w:tplc="3B266CAA">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F7B5DCB"/>
    <w:multiLevelType w:val="hybridMultilevel"/>
    <w:tmpl w:val="4E1C193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C61E01"/>
    <w:multiLevelType w:val="hybridMultilevel"/>
    <w:tmpl w:val="4E1C193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C01D8F"/>
    <w:multiLevelType w:val="hybridMultilevel"/>
    <w:tmpl w:val="641A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CC48B0"/>
    <w:multiLevelType w:val="hybridMultilevel"/>
    <w:tmpl w:val="7F403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4FE32C3"/>
    <w:multiLevelType w:val="hybridMultilevel"/>
    <w:tmpl w:val="51DCD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C7099F"/>
    <w:multiLevelType w:val="hybridMultilevel"/>
    <w:tmpl w:val="4E1C193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125976"/>
    <w:multiLevelType w:val="hybridMultilevel"/>
    <w:tmpl w:val="B0ECE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020DDF"/>
    <w:multiLevelType w:val="hybridMultilevel"/>
    <w:tmpl w:val="C82E497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num w:numId="1">
    <w:abstractNumId w:val="28"/>
  </w:num>
  <w:num w:numId="2">
    <w:abstractNumId w:val="1"/>
  </w:num>
  <w:num w:numId="3">
    <w:abstractNumId w:val="2"/>
  </w:num>
  <w:num w:numId="4">
    <w:abstractNumId w:val="14"/>
  </w:num>
  <w:num w:numId="5">
    <w:abstractNumId w:val="20"/>
  </w:num>
  <w:num w:numId="6">
    <w:abstractNumId w:val="12"/>
  </w:num>
  <w:num w:numId="7">
    <w:abstractNumId w:val="36"/>
  </w:num>
  <w:num w:numId="8">
    <w:abstractNumId w:val="8"/>
  </w:num>
  <w:num w:numId="9">
    <w:abstractNumId w:val="5"/>
  </w:num>
  <w:num w:numId="10">
    <w:abstractNumId w:val="38"/>
  </w:num>
  <w:num w:numId="11">
    <w:abstractNumId w:val="34"/>
  </w:num>
  <w:num w:numId="12">
    <w:abstractNumId w:val="15"/>
  </w:num>
  <w:num w:numId="13">
    <w:abstractNumId w:val="17"/>
  </w:num>
  <w:num w:numId="14">
    <w:abstractNumId w:val="31"/>
  </w:num>
  <w:num w:numId="15">
    <w:abstractNumId w:val="9"/>
  </w:num>
  <w:num w:numId="16">
    <w:abstractNumId w:val="22"/>
  </w:num>
  <w:num w:numId="17">
    <w:abstractNumId w:val="25"/>
  </w:num>
  <w:num w:numId="18">
    <w:abstractNumId w:val="23"/>
  </w:num>
  <w:num w:numId="19">
    <w:abstractNumId w:val="3"/>
  </w:num>
  <w:num w:numId="20">
    <w:abstractNumId w:val="1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1"/>
  </w:num>
  <w:num w:numId="26">
    <w:abstractNumId w:val="4"/>
  </w:num>
  <w:num w:numId="27">
    <w:abstractNumId w:val="18"/>
  </w:num>
  <w:num w:numId="28">
    <w:abstractNumId w:val="37"/>
  </w:num>
  <w:num w:numId="29">
    <w:abstractNumId w:val="19"/>
  </w:num>
  <w:num w:numId="30">
    <w:abstractNumId w:val="32"/>
  </w:num>
  <w:num w:numId="31">
    <w:abstractNumId w:val="16"/>
  </w:num>
  <w:num w:numId="32">
    <w:abstractNumId w:val="30"/>
  </w:num>
  <w:num w:numId="33">
    <w:abstractNumId w:val="6"/>
    <w:lvlOverride w:ilvl="0">
      <w:startOverride w:val="1"/>
    </w:lvlOverride>
    <w:lvlOverride w:ilvl="1"/>
    <w:lvlOverride w:ilvl="2"/>
    <w:lvlOverride w:ilvl="3"/>
    <w:lvlOverride w:ilvl="4"/>
    <w:lvlOverride w:ilvl="5"/>
    <w:lvlOverride w:ilvl="6"/>
    <w:lvlOverride w:ilvl="7"/>
    <w:lvlOverride w:ilvl="8"/>
  </w:num>
  <w:num w:numId="34">
    <w:abstractNumId w:val="39"/>
  </w:num>
  <w:num w:numId="35">
    <w:abstractNumId w:val="6"/>
  </w:num>
  <w:num w:numId="36">
    <w:abstractNumId w:val="10"/>
  </w:num>
  <w:num w:numId="37">
    <w:abstractNumId w:val="35"/>
  </w:num>
  <w:num w:numId="38">
    <w:abstractNumId w:val="26"/>
  </w:num>
  <w:num w:numId="39">
    <w:abstractNumId w:val="27"/>
  </w:num>
  <w:num w:numId="40">
    <w:abstractNumId w:val="29"/>
  </w:num>
  <w:num w:numId="41">
    <w:abstractNumId w:val="33"/>
  </w:num>
  <w:num w:numId="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5C33"/>
    <w:rsid w:val="00016774"/>
    <w:rsid w:val="000203B4"/>
    <w:rsid w:val="00021EFA"/>
    <w:rsid w:val="000237F2"/>
    <w:rsid w:val="00024158"/>
    <w:rsid w:val="00024A1D"/>
    <w:rsid w:val="00025F64"/>
    <w:rsid w:val="0002704E"/>
    <w:rsid w:val="0002728B"/>
    <w:rsid w:val="00027830"/>
    <w:rsid w:val="000303CA"/>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50D"/>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0C35"/>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6EFC"/>
    <w:rsid w:val="000D7803"/>
    <w:rsid w:val="000E0C87"/>
    <w:rsid w:val="000E1ACD"/>
    <w:rsid w:val="000E1EB3"/>
    <w:rsid w:val="000E3444"/>
    <w:rsid w:val="000E4AFA"/>
    <w:rsid w:val="000E534F"/>
    <w:rsid w:val="000E6045"/>
    <w:rsid w:val="000E66FA"/>
    <w:rsid w:val="000E7163"/>
    <w:rsid w:val="000F14A0"/>
    <w:rsid w:val="000F1575"/>
    <w:rsid w:val="000F162A"/>
    <w:rsid w:val="000F1714"/>
    <w:rsid w:val="000F249E"/>
    <w:rsid w:val="000F2948"/>
    <w:rsid w:val="000F2AFC"/>
    <w:rsid w:val="000F37A0"/>
    <w:rsid w:val="000F4ACE"/>
    <w:rsid w:val="000F548E"/>
    <w:rsid w:val="000F5E76"/>
    <w:rsid w:val="000F6853"/>
    <w:rsid w:val="001000CE"/>
    <w:rsid w:val="00104751"/>
    <w:rsid w:val="0010495D"/>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4E4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2F76"/>
    <w:rsid w:val="00263279"/>
    <w:rsid w:val="002643FC"/>
    <w:rsid w:val="00274073"/>
    <w:rsid w:val="0027545F"/>
    <w:rsid w:val="0027610D"/>
    <w:rsid w:val="002806A1"/>
    <w:rsid w:val="00281918"/>
    <w:rsid w:val="00281D5F"/>
    <w:rsid w:val="00284483"/>
    <w:rsid w:val="00284749"/>
    <w:rsid w:val="00285256"/>
    <w:rsid w:val="00287AEF"/>
    <w:rsid w:val="00287B08"/>
    <w:rsid w:val="00290B98"/>
    <w:rsid w:val="002944D4"/>
    <w:rsid w:val="00296763"/>
    <w:rsid w:val="0029737E"/>
    <w:rsid w:val="00297AD0"/>
    <w:rsid w:val="002A0CC8"/>
    <w:rsid w:val="002A1E2C"/>
    <w:rsid w:val="002A2D9F"/>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073E"/>
    <w:rsid w:val="00351948"/>
    <w:rsid w:val="0035214B"/>
    <w:rsid w:val="00352580"/>
    <w:rsid w:val="003527D6"/>
    <w:rsid w:val="00353351"/>
    <w:rsid w:val="00353622"/>
    <w:rsid w:val="0035389C"/>
    <w:rsid w:val="00355D14"/>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1CAC"/>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27AF7"/>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6BEF"/>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583"/>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181A"/>
    <w:rsid w:val="0052430B"/>
    <w:rsid w:val="00524E00"/>
    <w:rsid w:val="00525D51"/>
    <w:rsid w:val="00532CD3"/>
    <w:rsid w:val="005345A9"/>
    <w:rsid w:val="00534C4A"/>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57EF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394E"/>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629A"/>
    <w:rsid w:val="00607971"/>
    <w:rsid w:val="00611A4E"/>
    <w:rsid w:val="006122C0"/>
    <w:rsid w:val="0061281D"/>
    <w:rsid w:val="00613C46"/>
    <w:rsid w:val="00614085"/>
    <w:rsid w:val="00614B01"/>
    <w:rsid w:val="00616889"/>
    <w:rsid w:val="00617F77"/>
    <w:rsid w:val="00623004"/>
    <w:rsid w:val="006237CC"/>
    <w:rsid w:val="00627C91"/>
    <w:rsid w:val="00635031"/>
    <w:rsid w:val="006369D4"/>
    <w:rsid w:val="00636C51"/>
    <w:rsid w:val="006407FA"/>
    <w:rsid w:val="00642537"/>
    <w:rsid w:val="006427B2"/>
    <w:rsid w:val="00642BEB"/>
    <w:rsid w:val="006448A4"/>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17BCE"/>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28F2"/>
    <w:rsid w:val="007E4A69"/>
    <w:rsid w:val="007E4B14"/>
    <w:rsid w:val="007E4B4C"/>
    <w:rsid w:val="007E7ABF"/>
    <w:rsid w:val="007F0907"/>
    <w:rsid w:val="007F0D24"/>
    <w:rsid w:val="007F10B5"/>
    <w:rsid w:val="007F1C81"/>
    <w:rsid w:val="007F6ABA"/>
    <w:rsid w:val="00800A5B"/>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648B"/>
    <w:rsid w:val="008464CA"/>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96A5B"/>
    <w:rsid w:val="008A153F"/>
    <w:rsid w:val="008A54A9"/>
    <w:rsid w:val="008A6188"/>
    <w:rsid w:val="008A79C6"/>
    <w:rsid w:val="008B2094"/>
    <w:rsid w:val="008B28F2"/>
    <w:rsid w:val="008B444F"/>
    <w:rsid w:val="008B683E"/>
    <w:rsid w:val="008C0317"/>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E55C9"/>
    <w:rsid w:val="008F1AA9"/>
    <w:rsid w:val="008F7C5B"/>
    <w:rsid w:val="00901C4E"/>
    <w:rsid w:val="00904502"/>
    <w:rsid w:val="009049C0"/>
    <w:rsid w:val="00906257"/>
    <w:rsid w:val="009069D6"/>
    <w:rsid w:val="00906E64"/>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6A8"/>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05E6"/>
    <w:rsid w:val="0099448D"/>
    <w:rsid w:val="00995A06"/>
    <w:rsid w:val="00996BF2"/>
    <w:rsid w:val="009A222A"/>
    <w:rsid w:val="009A26CA"/>
    <w:rsid w:val="009A6FE7"/>
    <w:rsid w:val="009B1BCA"/>
    <w:rsid w:val="009B1FD2"/>
    <w:rsid w:val="009B3AEB"/>
    <w:rsid w:val="009B7AE2"/>
    <w:rsid w:val="009C3EB5"/>
    <w:rsid w:val="009C42BD"/>
    <w:rsid w:val="009C444B"/>
    <w:rsid w:val="009D1689"/>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87D87"/>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C7A9F"/>
    <w:rsid w:val="00BD0628"/>
    <w:rsid w:val="00BD1ED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3BFB"/>
    <w:rsid w:val="00C154E6"/>
    <w:rsid w:val="00C158B5"/>
    <w:rsid w:val="00C1697C"/>
    <w:rsid w:val="00C16E23"/>
    <w:rsid w:val="00C17ED8"/>
    <w:rsid w:val="00C2082B"/>
    <w:rsid w:val="00C20DBA"/>
    <w:rsid w:val="00C23920"/>
    <w:rsid w:val="00C23B22"/>
    <w:rsid w:val="00C33771"/>
    <w:rsid w:val="00C3411B"/>
    <w:rsid w:val="00C34230"/>
    <w:rsid w:val="00C3661B"/>
    <w:rsid w:val="00C42112"/>
    <w:rsid w:val="00C435EB"/>
    <w:rsid w:val="00C45768"/>
    <w:rsid w:val="00C4692B"/>
    <w:rsid w:val="00C46A0C"/>
    <w:rsid w:val="00C473F7"/>
    <w:rsid w:val="00C501E5"/>
    <w:rsid w:val="00C5100A"/>
    <w:rsid w:val="00C51884"/>
    <w:rsid w:val="00C53964"/>
    <w:rsid w:val="00C549BC"/>
    <w:rsid w:val="00C54F71"/>
    <w:rsid w:val="00C56251"/>
    <w:rsid w:val="00C5667B"/>
    <w:rsid w:val="00C56A65"/>
    <w:rsid w:val="00C56FE0"/>
    <w:rsid w:val="00C6072B"/>
    <w:rsid w:val="00C6094D"/>
    <w:rsid w:val="00C62733"/>
    <w:rsid w:val="00C62FDC"/>
    <w:rsid w:val="00C63FDC"/>
    <w:rsid w:val="00C67BC7"/>
    <w:rsid w:val="00C70A5A"/>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1DD9"/>
    <w:rsid w:val="00CC26A8"/>
    <w:rsid w:val="00CC4CED"/>
    <w:rsid w:val="00CC6EBB"/>
    <w:rsid w:val="00CD4A21"/>
    <w:rsid w:val="00CE1B73"/>
    <w:rsid w:val="00CE3A6F"/>
    <w:rsid w:val="00CE63F9"/>
    <w:rsid w:val="00CF0A31"/>
    <w:rsid w:val="00CF1E87"/>
    <w:rsid w:val="00CF240F"/>
    <w:rsid w:val="00CF34FA"/>
    <w:rsid w:val="00CF4B5F"/>
    <w:rsid w:val="00CF4FAD"/>
    <w:rsid w:val="00CF5C15"/>
    <w:rsid w:val="00CF6201"/>
    <w:rsid w:val="00CF6B2F"/>
    <w:rsid w:val="00D01D5A"/>
    <w:rsid w:val="00D03B00"/>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91A"/>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13A"/>
    <w:rsid w:val="00E201A2"/>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428"/>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0"/>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24D8"/>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2280"/>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421"/>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 w:val="1A4D75F3"/>
    <w:rsid w:val="2ED983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906E64"/>
    <w:rPr>
      <w:color w:val="605E5C"/>
      <w:shd w:val="clear" w:color="auto" w:fill="E1DFDD"/>
    </w:rPr>
  </w:style>
  <w:style w:type="character" w:styleId="FollowedHyperlink">
    <w:name w:val="FollowedHyperlink"/>
    <w:basedOn w:val="DefaultParagraphFont"/>
    <w:uiPriority w:val="99"/>
    <w:semiHidden/>
    <w:unhideWhenUsed/>
    <w:rsid w:val="001049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87063400">
      <w:bodyDiv w:val="1"/>
      <w:marLeft w:val="0"/>
      <w:marRight w:val="0"/>
      <w:marTop w:val="0"/>
      <w:marBottom w:val="0"/>
      <w:divBdr>
        <w:top w:val="none" w:sz="0" w:space="0" w:color="auto"/>
        <w:left w:val="none" w:sz="0" w:space="0" w:color="auto"/>
        <w:bottom w:val="none" w:sz="0" w:space="0" w:color="auto"/>
        <w:right w:val="none" w:sz="0" w:space="0" w:color="auto"/>
      </w:divBdr>
    </w:div>
    <w:div w:id="221334231">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70886817">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717431">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849088">
      <w:bodyDiv w:val="1"/>
      <w:marLeft w:val="0"/>
      <w:marRight w:val="0"/>
      <w:marTop w:val="0"/>
      <w:marBottom w:val="0"/>
      <w:divBdr>
        <w:top w:val="none" w:sz="0" w:space="0" w:color="auto"/>
        <w:left w:val="none" w:sz="0" w:space="0" w:color="auto"/>
        <w:bottom w:val="none" w:sz="0" w:space="0" w:color="auto"/>
        <w:right w:val="none" w:sz="0" w:space="0" w:color="auto"/>
      </w:divBdr>
    </w:div>
    <w:div w:id="1522814972">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33333050">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2023-06-16T03:11:00Z</dcterms:created>
  <dcterms:modified xsi:type="dcterms:W3CDTF">2023-06-27T06:20:00Z</dcterms:modified>
</cp:coreProperties>
</file>