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2B039" w14:textId="77777777" w:rsidR="00FB640B" w:rsidRPr="00171C64" w:rsidRDefault="0057002B" w:rsidP="00BB0CF2">
      <w:pPr>
        <w:pStyle w:val="ESTitleHeader"/>
      </w:pPr>
      <w:r w:rsidRPr="00171C64">
        <w:t>EXPLANATORY STATEMENT</w:t>
      </w:r>
    </w:p>
    <w:p w14:paraId="475F34C7" w14:textId="2647691A" w:rsidR="0057002B" w:rsidRPr="00171C64" w:rsidRDefault="0057002B" w:rsidP="00BB0CF2">
      <w:pPr>
        <w:pStyle w:val="ESTitleDecisionMaker"/>
      </w:pPr>
      <w:r w:rsidRPr="00171C64">
        <w:t xml:space="preserve">Issued by authority of the </w:t>
      </w:r>
      <w:r w:rsidR="00D6072D" w:rsidRPr="00171C64">
        <w:t xml:space="preserve">Minister for </w:t>
      </w:r>
      <w:r w:rsidR="00995A7C">
        <w:t>Home</w:t>
      </w:r>
      <w:r w:rsidR="00D6072D" w:rsidRPr="00171C64">
        <w:t xml:space="preserve"> Affairs</w:t>
      </w:r>
    </w:p>
    <w:p w14:paraId="2A78875E" w14:textId="77777777" w:rsidR="0057002B" w:rsidRPr="00171C64" w:rsidRDefault="00D6072D" w:rsidP="00BB0CF2">
      <w:pPr>
        <w:pStyle w:val="ESTitleEnablingLegislation"/>
      </w:pPr>
      <w:r w:rsidRPr="00171C64">
        <w:t>Migration Regulations 1994</w:t>
      </w:r>
    </w:p>
    <w:p w14:paraId="6CEDE927" w14:textId="1D02F5D6" w:rsidR="0057002B" w:rsidRPr="00995A7C" w:rsidRDefault="00025B2B" w:rsidP="00847390">
      <w:pPr>
        <w:pStyle w:val="ESTitleInstrumentName"/>
        <w:spacing w:line="240" w:lineRule="auto"/>
      </w:pPr>
      <w:bookmarkStart w:id="0" w:name="_GoBack"/>
      <w:r>
        <w:rPr>
          <w:rFonts w:eastAsia="Times New Roman"/>
          <w:color w:val="000000"/>
        </w:rPr>
        <w:t>Migration (Specified Qualifications Applicable for Extension of Subclass 485 V</w:t>
      </w:r>
      <w:r w:rsidR="00995A7C" w:rsidRPr="00995A7C">
        <w:rPr>
          <w:rFonts w:eastAsia="Times New Roman"/>
          <w:color w:val="000000"/>
        </w:rPr>
        <w:t>isa) Instrument (LIN</w:t>
      </w:r>
      <w:r>
        <w:rPr>
          <w:rFonts w:eastAsia="Times New Roman"/>
          <w:color w:val="000000"/>
        </w:rPr>
        <w:t xml:space="preserve"> </w:t>
      </w:r>
      <w:bookmarkEnd w:id="0"/>
      <w:r w:rsidR="00995A7C" w:rsidRPr="00995A7C">
        <w:rPr>
          <w:rFonts w:eastAsia="Times New Roman"/>
          <w:color w:val="000000"/>
        </w:rPr>
        <w:t>23/048)</w:t>
      </w:r>
      <w:r w:rsidR="008A3C6B">
        <w:rPr>
          <w:rFonts w:eastAsia="Times New Roman"/>
          <w:color w:val="000000"/>
        </w:rPr>
        <w:t xml:space="preserve"> 2023</w:t>
      </w:r>
    </w:p>
    <w:p w14:paraId="7E166C5C" w14:textId="66F8279A" w:rsidR="0057002B" w:rsidRPr="00847390" w:rsidRDefault="0057002B" w:rsidP="005F07F3">
      <w:pPr>
        <w:pStyle w:val="ESPara"/>
      </w:pPr>
      <w:r w:rsidRPr="00171C64">
        <w:t>The inst</w:t>
      </w:r>
      <w:r w:rsidR="00D6072D" w:rsidRPr="00171C64">
        <w:t>rument</w:t>
      </w:r>
      <w:r w:rsidR="00D6072D" w:rsidRPr="00995A7C">
        <w:t xml:space="preserve">, </w:t>
      </w:r>
      <w:r w:rsidR="00AF4BD3" w:rsidRPr="00995A7C">
        <w:t>d</w:t>
      </w:r>
      <w:r w:rsidR="00D6072D" w:rsidRPr="00995A7C">
        <w:t>epartmental reference LIN</w:t>
      </w:r>
      <w:r w:rsidR="00025B2B">
        <w:t xml:space="preserve"> </w:t>
      </w:r>
      <w:r w:rsidR="00D6072D" w:rsidRPr="00995A7C">
        <w:t>23/04</w:t>
      </w:r>
      <w:r w:rsidR="00995A7C" w:rsidRPr="00995A7C">
        <w:t>8</w:t>
      </w:r>
      <w:r w:rsidRPr="00995A7C">
        <w:t xml:space="preserve">, is made under </w:t>
      </w:r>
      <w:r w:rsidR="008A3C6B" w:rsidRPr="00995A7C">
        <w:rPr>
          <w:rFonts w:eastAsia="Times New Roman"/>
          <w:color w:val="000000"/>
        </w:rPr>
        <w:t>paragraph 1229(2</w:t>
      </w:r>
      <w:r w:rsidR="008A3C6B">
        <w:rPr>
          <w:rFonts w:eastAsia="Times New Roman"/>
          <w:color w:val="000000"/>
        </w:rPr>
        <w:t>A</w:t>
      </w:r>
      <w:proofErr w:type="gramStart"/>
      <w:r w:rsidR="008A3C6B" w:rsidRPr="00995A7C">
        <w:rPr>
          <w:rFonts w:eastAsia="Times New Roman"/>
          <w:color w:val="000000"/>
        </w:rPr>
        <w:t>)(</w:t>
      </w:r>
      <w:proofErr w:type="gramEnd"/>
      <w:r w:rsidR="008A3C6B" w:rsidRPr="00995A7C">
        <w:rPr>
          <w:rFonts w:eastAsia="Times New Roman"/>
          <w:color w:val="000000"/>
        </w:rPr>
        <w:t xml:space="preserve">b) </w:t>
      </w:r>
      <w:r w:rsidR="00995A7C" w:rsidRPr="00995A7C">
        <w:t xml:space="preserve">of </w:t>
      </w:r>
      <w:r w:rsidR="00025B2B">
        <w:t xml:space="preserve">Schedule 1 to </w:t>
      </w:r>
      <w:r w:rsidR="00995A7C" w:rsidRPr="00995A7C">
        <w:rPr>
          <w:rFonts w:eastAsia="Times New Roman"/>
          <w:color w:val="000000"/>
        </w:rPr>
        <w:t xml:space="preserve">the </w:t>
      </w:r>
      <w:r w:rsidR="00995A7C" w:rsidRPr="00995A7C">
        <w:rPr>
          <w:rFonts w:eastAsia="Times New Roman"/>
          <w:i/>
          <w:color w:val="000000"/>
        </w:rPr>
        <w:t>Migration Regulations 1994</w:t>
      </w:r>
      <w:r w:rsidR="00995A7C" w:rsidRPr="00995A7C">
        <w:rPr>
          <w:rFonts w:eastAsia="Times New Roman"/>
          <w:color w:val="000000"/>
        </w:rPr>
        <w:t xml:space="preserve"> (the Migration Regu</w:t>
      </w:r>
      <w:r w:rsidR="00995A7C">
        <w:rPr>
          <w:rFonts w:eastAsia="Times New Roman"/>
          <w:color w:val="000000"/>
        </w:rPr>
        <w:t>la</w:t>
      </w:r>
      <w:r w:rsidR="00995A7C" w:rsidRPr="00995A7C">
        <w:rPr>
          <w:rFonts w:eastAsia="Times New Roman"/>
          <w:color w:val="000000"/>
        </w:rPr>
        <w:t>tions)</w:t>
      </w:r>
      <w:r w:rsidR="008A3C6B">
        <w:rPr>
          <w:rFonts w:eastAsia="Times New Roman"/>
          <w:i/>
          <w:color w:val="000000"/>
        </w:rPr>
        <w:t xml:space="preserve">. </w:t>
      </w:r>
    </w:p>
    <w:p w14:paraId="0C7D3A5D" w14:textId="70A9069C" w:rsidR="00BD598E" w:rsidRPr="00847390" w:rsidRDefault="006F5E55" w:rsidP="005F07F3">
      <w:pPr>
        <w:pStyle w:val="ESPara"/>
      </w:pPr>
      <w:r w:rsidRPr="00847390">
        <w:t xml:space="preserve">The instrument commences on </w:t>
      </w:r>
      <w:r w:rsidR="00847390">
        <w:t>1 July 2023</w:t>
      </w:r>
      <w:r w:rsidR="00326126">
        <w:t xml:space="preserve">. The instrument is </w:t>
      </w:r>
      <w:r w:rsidR="00BD598E" w:rsidRPr="00847390">
        <w:t xml:space="preserve">a </w:t>
      </w:r>
      <w:r w:rsidR="00AA4557" w:rsidRPr="00847390">
        <w:t>legislative</w:t>
      </w:r>
      <w:r w:rsidR="00BD598E" w:rsidRPr="00847390">
        <w:t xml:space="preserve"> instrument for </w:t>
      </w:r>
      <w:r w:rsidR="00B75478" w:rsidRPr="00847390">
        <w:t xml:space="preserve">the </w:t>
      </w:r>
      <w:r w:rsidR="00A87683">
        <w:t xml:space="preserve">purposes of the </w:t>
      </w:r>
      <w:r w:rsidR="00100DFC" w:rsidRPr="00847390">
        <w:rPr>
          <w:i/>
        </w:rPr>
        <w:t>Legislation Act 2003</w:t>
      </w:r>
      <w:r w:rsidR="00100DFC" w:rsidRPr="00847390">
        <w:t xml:space="preserve"> (the Legislation Act)</w:t>
      </w:r>
      <w:r w:rsidR="00BD598E" w:rsidRPr="00847390">
        <w:t xml:space="preserve">. </w:t>
      </w:r>
    </w:p>
    <w:p w14:paraId="3B34A84D" w14:textId="77777777" w:rsidR="00B75478" w:rsidRPr="00847390" w:rsidRDefault="00BD598E" w:rsidP="005F07F3">
      <w:pPr>
        <w:pStyle w:val="ESHeading"/>
      </w:pPr>
      <w:r w:rsidRPr="00847390">
        <w:t>Purpose</w:t>
      </w:r>
      <w:r w:rsidR="00BB0CF2" w:rsidRPr="00847390">
        <w:t xml:space="preserve"> </w:t>
      </w:r>
    </w:p>
    <w:p w14:paraId="320B6BBC" w14:textId="5F1D43D3" w:rsidR="00326126" w:rsidRDefault="00326126" w:rsidP="005F07F3">
      <w:pPr>
        <w:pStyle w:val="ESSubparaHeader"/>
        <w:shd w:val="clear" w:color="auto" w:fill="FFFFFF"/>
        <w:spacing w:before="100" w:beforeAutospacing="1" w:after="0"/>
      </w:pPr>
      <w:r>
        <w:t xml:space="preserve">The purpose of the instrument is to specify the qualifications that entitle certain graduates from Australian educational institutions to apply for an additional </w:t>
      </w:r>
      <w:r w:rsidR="00A87683">
        <w:t xml:space="preserve">Subclass 485 </w:t>
      </w:r>
      <w:r>
        <w:t>Temporary Graduate visa in the Post-Study Work stream at no cost</w:t>
      </w:r>
      <w:r w:rsidR="00025B2B">
        <w:t xml:space="preserve"> </w:t>
      </w:r>
      <w:proofErr w:type="gramStart"/>
      <w:r w:rsidR="00025B2B">
        <w:t xml:space="preserve">– </w:t>
      </w:r>
      <w:r>
        <w:t xml:space="preserve"> i.e</w:t>
      </w:r>
      <w:proofErr w:type="gramEnd"/>
      <w:r>
        <w:t>. without paying a visa application charge (VAC).</w:t>
      </w:r>
    </w:p>
    <w:p w14:paraId="26D17834" w14:textId="77777777" w:rsidR="00326126" w:rsidRDefault="00326126" w:rsidP="005F07F3">
      <w:pPr>
        <w:pStyle w:val="ESSubparaHeader"/>
        <w:numPr>
          <w:ilvl w:val="0"/>
          <w:numId w:val="0"/>
        </w:numPr>
        <w:shd w:val="clear" w:color="auto" w:fill="FFFFFF"/>
        <w:spacing w:before="0" w:after="0"/>
        <w:ind w:left="720"/>
      </w:pPr>
    </w:p>
    <w:p w14:paraId="2C5213D0" w14:textId="65228496" w:rsidR="00326126" w:rsidRDefault="00847390" w:rsidP="005F07F3">
      <w:pPr>
        <w:pStyle w:val="ESSubparaHeader"/>
        <w:shd w:val="clear" w:color="auto" w:fill="FFFFFF"/>
        <w:spacing w:before="0" w:after="0"/>
      </w:pPr>
      <w:r w:rsidRPr="00847390">
        <w:t xml:space="preserve">The Migration Regulations, as amended from 1 July 2023 by the </w:t>
      </w:r>
      <w:r w:rsidRPr="00847390">
        <w:rPr>
          <w:i/>
          <w:iCs/>
        </w:rPr>
        <w:t xml:space="preserve">Migration Amendment (Extension of Subclass 485 (Temporary Graduate) Visa and Increase in Subclass 500 (Student) Visa Work Hours) Regulations 2023, </w:t>
      </w:r>
      <w:r w:rsidRPr="00847390">
        <w:t>provid</w:t>
      </w:r>
      <w:r>
        <w:t>e</w:t>
      </w:r>
      <w:r w:rsidRPr="00847390">
        <w:t xml:space="preserve"> the Minister with flexibility to extend post-study stay in Australia with unrestricted work rights for certain international students who have graduated from an Australian higher education provider</w:t>
      </w:r>
      <w:r>
        <w:t>. The policy is to provide the extended stay to graduates with specified qualific</w:t>
      </w:r>
      <w:r w:rsidR="00326126">
        <w:t>ations that are in high demand.</w:t>
      </w:r>
    </w:p>
    <w:p w14:paraId="5A6982B0" w14:textId="77777777" w:rsidR="005F07F3" w:rsidRDefault="005F07F3" w:rsidP="005F07F3">
      <w:pPr>
        <w:pStyle w:val="ESSubparaHeader"/>
        <w:numPr>
          <w:ilvl w:val="0"/>
          <w:numId w:val="0"/>
        </w:numPr>
        <w:shd w:val="clear" w:color="auto" w:fill="FFFFFF"/>
        <w:spacing w:before="0" w:after="0"/>
        <w:ind w:left="720"/>
        <w:rPr>
          <w:rFonts w:eastAsia="Times New Roman"/>
          <w:lang w:eastAsia="en-AU"/>
        </w:rPr>
      </w:pPr>
    </w:p>
    <w:p w14:paraId="6415EC80" w14:textId="6E8543BA" w:rsidR="00847390" w:rsidRPr="005F07F3" w:rsidRDefault="005F07F3" w:rsidP="005F07F3">
      <w:pPr>
        <w:pStyle w:val="ESSubparaHeader"/>
        <w:shd w:val="clear" w:color="auto" w:fill="FFFFFF"/>
        <w:spacing w:before="0" w:after="0"/>
        <w:rPr>
          <w:rFonts w:eastAsia="Times New Roman"/>
          <w:lang w:eastAsia="en-AU"/>
        </w:rPr>
      </w:pPr>
      <w:r>
        <w:rPr>
          <w:rFonts w:eastAsia="Times New Roman"/>
          <w:lang w:eastAsia="en-AU"/>
        </w:rPr>
        <w:t>T</w:t>
      </w:r>
      <w:r w:rsidR="00847390">
        <w:rPr>
          <w:rFonts w:eastAsia="Times New Roman"/>
          <w:lang w:eastAsia="en-AU"/>
        </w:rPr>
        <w:t xml:space="preserve">he </w:t>
      </w:r>
      <w:r w:rsidR="00847390" w:rsidRPr="00847390">
        <w:rPr>
          <w:rFonts w:eastAsia="Times New Roman"/>
          <w:lang w:eastAsia="en-AU"/>
        </w:rPr>
        <w:t>extended stay will be implemented</w:t>
      </w:r>
      <w:r w:rsidR="00326126">
        <w:rPr>
          <w:rFonts w:eastAsia="Times New Roman"/>
          <w:lang w:eastAsia="en-AU"/>
        </w:rPr>
        <w:t>, under policy,</w:t>
      </w:r>
      <w:r w:rsidR="00847390" w:rsidRPr="00847390">
        <w:rPr>
          <w:rFonts w:eastAsia="Times New Roman"/>
          <w:lang w:eastAsia="en-AU"/>
        </w:rPr>
        <w:t xml:space="preserve"> from 1 July 2023. Current settings, detailed in published policy, will be </w:t>
      </w:r>
      <w:r w:rsidR="00847390" w:rsidRPr="005F07F3">
        <w:rPr>
          <w:rFonts w:eastAsia="Times New Roman"/>
          <w:lang w:eastAsia="en-AU"/>
        </w:rPr>
        <w:t>increased by t</w:t>
      </w:r>
      <w:r w:rsidR="00025B2B">
        <w:rPr>
          <w:rFonts w:eastAsia="Times New Roman"/>
          <w:lang w:eastAsia="en-AU"/>
        </w:rPr>
        <w:t>wo years. This will extend post-</w:t>
      </w:r>
      <w:r w:rsidR="00847390" w:rsidRPr="005F07F3">
        <w:rPr>
          <w:rFonts w:eastAsia="Times New Roman"/>
          <w:lang w:eastAsia="en-AU"/>
        </w:rPr>
        <w:t>study stay in Australia from:</w:t>
      </w:r>
    </w:p>
    <w:p w14:paraId="381EC8B0" w14:textId="77777777" w:rsidR="00847390" w:rsidRPr="005F07F3" w:rsidRDefault="00847390" w:rsidP="005F07F3">
      <w:pPr>
        <w:numPr>
          <w:ilvl w:val="0"/>
          <w:numId w:val="13"/>
        </w:numPr>
        <w:shd w:val="clear" w:color="auto" w:fill="FFFFFF"/>
        <w:spacing w:before="100" w:beforeAutospacing="1" w:after="100" w:afterAutospacing="1" w:line="276" w:lineRule="auto"/>
        <w:rPr>
          <w:rFonts w:ascii="Times New Roman" w:eastAsia="Times New Roman" w:hAnsi="Times New Roman" w:cs="Times New Roman"/>
          <w:lang w:eastAsia="en-AU"/>
        </w:rPr>
      </w:pPr>
      <w:r w:rsidRPr="005F07F3">
        <w:rPr>
          <w:rFonts w:ascii="Times New Roman" w:eastAsia="Times New Roman" w:hAnsi="Times New Roman" w:cs="Times New Roman"/>
          <w:lang w:eastAsia="en-AU"/>
        </w:rPr>
        <w:t>two years to four years for select Bachelor degrees</w:t>
      </w:r>
    </w:p>
    <w:p w14:paraId="1005C7C8" w14:textId="77777777" w:rsidR="00847390" w:rsidRPr="005F07F3" w:rsidRDefault="00847390" w:rsidP="005F07F3">
      <w:pPr>
        <w:numPr>
          <w:ilvl w:val="0"/>
          <w:numId w:val="13"/>
        </w:numPr>
        <w:shd w:val="clear" w:color="auto" w:fill="FFFFFF"/>
        <w:spacing w:before="100" w:beforeAutospacing="1" w:after="100" w:afterAutospacing="1" w:line="276" w:lineRule="auto"/>
        <w:rPr>
          <w:rFonts w:ascii="Times New Roman" w:eastAsia="Times New Roman" w:hAnsi="Times New Roman" w:cs="Times New Roman"/>
          <w:lang w:eastAsia="en-AU"/>
        </w:rPr>
      </w:pPr>
      <w:r w:rsidRPr="005F07F3">
        <w:rPr>
          <w:rFonts w:ascii="Times New Roman" w:eastAsia="Times New Roman" w:hAnsi="Times New Roman" w:cs="Times New Roman"/>
          <w:lang w:eastAsia="en-AU"/>
        </w:rPr>
        <w:t>three years to five years for select Masters degrees</w:t>
      </w:r>
    </w:p>
    <w:p w14:paraId="48CDEDD7" w14:textId="3F6252B1" w:rsidR="00847390" w:rsidRPr="005F07F3" w:rsidRDefault="00847390" w:rsidP="005F07F3">
      <w:pPr>
        <w:numPr>
          <w:ilvl w:val="0"/>
          <w:numId w:val="13"/>
        </w:numPr>
        <w:shd w:val="clear" w:color="auto" w:fill="FFFFFF"/>
        <w:spacing w:before="100" w:beforeAutospacing="1" w:after="100" w:afterAutospacing="1" w:line="276" w:lineRule="auto"/>
        <w:rPr>
          <w:rFonts w:ascii="Times New Roman" w:eastAsia="Times New Roman" w:hAnsi="Times New Roman" w:cs="Times New Roman"/>
          <w:lang w:eastAsia="en-AU"/>
        </w:rPr>
      </w:pPr>
      <w:proofErr w:type="gramStart"/>
      <w:r w:rsidRPr="005F07F3">
        <w:rPr>
          <w:rFonts w:ascii="Times New Roman" w:eastAsia="Times New Roman" w:hAnsi="Times New Roman" w:cs="Times New Roman"/>
          <w:lang w:eastAsia="en-AU"/>
        </w:rPr>
        <w:t>four</w:t>
      </w:r>
      <w:proofErr w:type="gramEnd"/>
      <w:r w:rsidRPr="005F07F3">
        <w:rPr>
          <w:rFonts w:ascii="Times New Roman" w:eastAsia="Times New Roman" w:hAnsi="Times New Roman" w:cs="Times New Roman"/>
          <w:lang w:eastAsia="en-AU"/>
        </w:rPr>
        <w:t xml:space="preserve"> years to six years for all Doctoral degrees.</w:t>
      </w:r>
    </w:p>
    <w:p w14:paraId="0AC2A045" w14:textId="5E11B004" w:rsidR="008A3C6B" w:rsidRDefault="008A3C6B" w:rsidP="008A3C6B">
      <w:pPr>
        <w:pStyle w:val="ESSubparaHeader"/>
      </w:pPr>
      <w:r w:rsidRPr="005F07F3">
        <w:rPr>
          <w:lang w:eastAsia="en-AU"/>
        </w:rPr>
        <w:t>For applicants who have not received the additional two years</w:t>
      </w:r>
      <w:r w:rsidR="00025B2B">
        <w:rPr>
          <w:lang w:eastAsia="en-AU"/>
        </w:rPr>
        <w:t>’</w:t>
      </w:r>
      <w:r w:rsidRPr="005F07F3">
        <w:rPr>
          <w:lang w:eastAsia="en-AU"/>
        </w:rPr>
        <w:t xml:space="preserve"> stay under the policy outlined above, there will be the </w:t>
      </w:r>
      <w:r w:rsidRPr="00E4531E">
        <w:rPr>
          <w:lang w:eastAsia="en-AU"/>
        </w:rPr>
        <w:t>option</w:t>
      </w:r>
      <w:r w:rsidRPr="005F07F3">
        <w:rPr>
          <w:lang w:eastAsia="en-AU"/>
        </w:rPr>
        <w:t xml:space="preserve"> of applying for another </w:t>
      </w:r>
      <w:r w:rsidRPr="005F07F3">
        <w:t xml:space="preserve">Temporary Graduate visa in the Post-Study Work </w:t>
      </w:r>
      <w:proofErr w:type="gramStart"/>
      <w:r w:rsidRPr="005F07F3">
        <w:t>stream</w:t>
      </w:r>
      <w:proofErr w:type="gramEnd"/>
      <w:r>
        <w:t xml:space="preserve"> at no cost</w:t>
      </w:r>
      <w:r w:rsidRPr="004C4FC6">
        <w:t>.  I</w:t>
      </w:r>
      <w:r w:rsidRPr="004C4FC6">
        <w:rPr>
          <w:rStyle w:val="ui-provider"/>
        </w:rPr>
        <w:t>f the relevant visa criteria are satisfied, the policy is to grant that visa for a period that will provide the applicant with an additional two year stay in Australia.</w:t>
      </w:r>
      <w:r w:rsidRPr="004C4FC6">
        <w:t xml:space="preserve"> A Temporary Graduate visa in the Post-Study Work stream, based on a ‘nil VAC</w:t>
      </w:r>
      <w:r w:rsidR="00025B2B">
        <w:t>’</w:t>
      </w:r>
      <w:r w:rsidRPr="004C4FC6">
        <w:t xml:space="preserve"> application, will be granted for two years.  The two year period will be calculated from the date that the visa held at time of application was originally scheduled to cease. The purpose of the nil VAC visa is to provide a two year extension to the visa held by the applicant at that time, because they hold a specified degree.</w:t>
      </w:r>
      <w:r w:rsidRPr="005F07F3">
        <w:t xml:space="preserve"> </w:t>
      </w:r>
      <w:r>
        <w:t xml:space="preserve">To make an application for that additional visa at no cost, an </w:t>
      </w:r>
      <w:r w:rsidRPr="005F07F3">
        <w:t xml:space="preserve">applicant </w:t>
      </w:r>
      <w:r>
        <w:t>m</w:t>
      </w:r>
      <w:r w:rsidRPr="005F07F3">
        <w:t xml:space="preserve">ust hold a qualification specified by the Minister in a legislative instrument made for the purposes </w:t>
      </w:r>
      <w:r w:rsidRPr="004C4FC6">
        <w:t>of paragraph 1229(2A</w:t>
      </w:r>
      <w:proofErr w:type="gramStart"/>
      <w:r w:rsidRPr="004C4FC6">
        <w:t>)(</w:t>
      </w:r>
      <w:proofErr w:type="gramEnd"/>
      <w:r w:rsidRPr="004C4FC6">
        <w:t xml:space="preserve">b) of Schedule 1 to </w:t>
      </w:r>
      <w:r w:rsidRPr="004C4FC6">
        <w:lastRenderedPageBreak/>
        <w:t>the Migration Regulations</w:t>
      </w:r>
      <w:r w:rsidRPr="005F07F3">
        <w:t>. This list of qualifications specified in the instrum</w:t>
      </w:r>
      <w:r>
        <w:t>e</w:t>
      </w:r>
      <w:r w:rsidRPr="005F07F3">
        <w:t>nt is the same list that inform</w:t>
      </w:r>
      <w:r>
        <w:t>s</w:t>
      </w:r>
      <w:r w:rsidRPr="005F07F3">
        <w:t xml:space="preserve"> the policy to grant extended visas as set out in paragraph 5</w:t>
      </w:r>
      <w:r>
        <w:t xml:space="preserve"> above</w:t>
      </w:r>
      <w:r w:rsidRPr="005F07F3">
        <w:t>.</w:t>
      </w:r>
    </w:p>
    <w:p w14:paraId="5740C04B" w14:textId="6381EF35" w:rsidR="00415883" w:rsidRDefault="00415883" w:rsidP="002949E5">
      <w:pPr>
        <w:pStyle w:val="ESSubparaHeader"/>
      </w:pPr>
      <w:r>
        <w:t>Government accepted the working group recommendation to use the Skills Priority List (SPL) as a basis for identifying occupations in verified skills shortage. The SPL is a methodologically robust, tested and nationally comprehensive model that identifies Australian skills needs both current and over a five-year forecasting horizon. Only occupations listed as currently in shortage and with strong to moderate future demand were considered for inclusion. To derive the list of eligible qualifications, in-scope occupations were identified by reference to the Commonwealth Register of Institutions and Courses for Overseas Students (CRICOS).</w:t>
      </w:r>
    </w:p>
    <w:p w14:paraId="125324D5" w14:textId="77777777" w:rsidR="008B24C8" w:rsidRPr="005F07F3" w:rsidRDefault="008B24C8" w:rsidP="00100DFC">
      <w:pPr>
        <w:pStyle w:val="ESHeading"/>
      </w:pPr>
      <w:r w:rsidRPr="005F07F3">
        <w:t>Consultation</w:t>
      </w:r>
    </w:p>
    <w:p w14:paraId="5E696ABE" w14:textId="2E6F3ED6" w:rsidR="00415883" w:rsidRPr="001F12DB" w:rsidRDefault="00415883" w:rsidP="00415883">
      <w:pPr>
        <w:pStyle w:val="ESSubparaHeader"/>
        <w:rPr>
          <w:shd w:val="clear" w:color="auto" w:fill="FFFFFF"/>
        </w:rPr>
      </w:pPr>
      <w:r w:rsidRPr="001F12DB">
        <w:rPr>
          <w:shd w:val="clear" w:color="auto" w:fill="FFFFFF"/>
        </w:rPr>
        <w:t>Consultation has been undertaken with other government agencies and peak body representatives. The Post Study Work Rights Working Group was established to advise the Ministers for Home Affairs and Education on the extension of post study work rights for international graduates and on the appropriate number of hours for student work hour restrictions.</w:t>
      </w:r>
      <w:r w:rsidRPr="001F12DB">
        <w:t xml:space="preserve"> </w:t>
      </w:r>
      <w:r w:rsidRPr="001F12DB">
        <w:rPr>
          <w:shd w:val="clear" w:color="auto" w:fill="FFFFFF"/>
        </w:rPr>
        <w:t xml:space="preserve">The working group included representatives from the Council of International Education, the National Tertiary Education Union, Universities Australia, and the Departments of Home Affairs and Education. Information regarding the changes was also shared through the Education Visa Consultative Committee (EVCC). EVCC is a forum for the Department to discuss visa/border issues as they emerge in regard to the International Education sector with both industry and other government stakeholders. Public consultation was not considered necessary or appropriate as the amendments are entirely beneficial to visa applicants, there is no disadvantageous impact on visa applicant’s rights, and no liabilities are imposed. This accords with the consultation requirements in section 17 of the Legislation Act. </w:t>
      </w:r>
    </w:p>
    <w:p w14:paraId="3D4D2F3A" w14:textId="4C8C798E" w:rsidR="008B24C8" w:rsidRPr="00415883" w:rsidRDefault="008B24C8" w:rsidP="009E4CF0">
      <w:pPr>
        <w:pStyle w:val="ESPara"/>
      </w:pPr>
      <w:r w:rsidRPr="00171C64">
        <w:t xml:space="preserve">The Office of </w:t>
      </w:r>
      <w:r w:rsidR="00171C64" w:rsidRPr="00171C64">
        <w:t xml:space="preserve">Impact </w:t>
      </w:r>
      <w:r w:rsidR="00171C64" w:rsidRPr="00415883">
        <w:t>Analysis (OIA)</w:t>
      </w:r>
      <w:r w:rsidRPr="00415883">
        <w:t xml:space="preserve"> was also consulted and considered that the instrument dealt with matters of a minor or machinery nature and no regulatory </w:t>
      </w:r>
      <w:r w:rsidR="005063B0">
        <w:t xml:space="preserve">impact statement was required. </w:t>
      </w:r>
      <w:r w:rsidRPr="00415883">
        <w:t>The OBPR reference number is</w:t>
      </w:r>
      <w:r w:rsidR="00171C64" w:rsidRPr="00415883">
        <w:t xml:space="preserve"> </w:t>
      </w:r>
      <w:r w:rsidR="00415883" w:rsidRPr="00415883">
        <w:t>OBPR22-03858</w:t>
      </w:r>
      <w:r w:rsidRPr="00415883">
        <w:t>.</w:t>
      </w:r>
    </w:p>
    <w:p w14:paraId="5519A075" w14:textId="77777777" w:rsidR="00AA4557" w:rsidRPr="00171C64" w:rsidRDefault="00464080" w:rsidP="00100DFC">
      <w:pPr>
        <w:pStyle w:val="ESHeading"/>
      </w:pPr>
      <w:r w:rsidRPr="00171C64">
        <w:t>Details</w:t>
      </w:r>
      <w:r w:rsidR="00AA4557" w:rsidRPr="00171C64">
        <w:t xml:space="preserve"> of the instrument</w:t>
      </w:r>
    </w:p>
    <w:p w14:paraId="532D80EB" w14:textId="53E2E1CB" w:rsidR="00AA4557" w:rsidRPr="00171C64" w:rsidRDefault="00AA4557" w:rsidP="002D167E">
      <w:pPr>
        <w:pStyle w:val="ESPara"/>
      </w:pPr>
      <w:r w:rsidRPr="00171C64">
        <w:t>Section 1 sets out</w:t>
      </w:r>
      <w:r w:rsidR="00E03DCC" w:rsidRPr="00171C64">
        <w:t xml:space="preserve"> the name of the instrument.</w:t>
      </w:r>
    </w:p>
    <w:p w14:paraId="13B79E1A" w14:textId="7C2FF6ED" w:rsidR="00AA4557" w:rsidRDefault="00AA4557" w:rsidP="002D167E">
      <w:pPr>
        <w:pStyle w:val="ESPara"/>
      </w:pPr>
      <w:r w:rsidRPr="005A0376">
        <w:t xml:space="preserve">Section 2 provides for the commencement of the instrument on </w:t>
      </w:r>
      <w:r w:rsidR="005A0376" w:rsidRPr="005A0376">
        <w:t>1 July 2023</w:t>
      </w:r>
      <w:r w:rsidR="0074002D" w:rsidRPr="005A0376">
        <w:t>.</w:t>
      </w:r>
    </w:p>
    <w:p w14:paraId="5720EBBD" w14:textId="446C66B3" w:rsidR="00025B2B" w:rsidRPr="005A0376" w:rsidRDefault="00025B2B" w:rsidP="00025B2B">
      <w:pPr>
        <w:pStyle w:val="ESPara"/>
      </w:pPr>
      <w:r>
        <w:t xml:space="preserve">Section 3 provides that the instrument is made under </w:t>
      </w:r>
      <w:r w:rsidRPr="00025B2B">
        <w:t>paragraph 1229(2A</w:t>
      </w:r>
      <w:proofErr w:type="gramStart"/>
      <w:r w:rsidRPr="00025B2B">
        <w:t>)(</w:t>
      </w:r>
      <w:proofErr w:type="gramEnd"/>
      <w:r w:rsidRPr="00025B2B">
        <w:t>b) of Schedule 1 to the Regulations.</w:t>
      </w:r>
    </w:p>
    <w:p w14:paraId="4FE5D3A2" w14:textId="4B541B56" w:rsidR="005A0376" w:rsidRPr="00811EB2" w:rsidRDefault="00AA4F77" w:rsidP="005A0376">
      <w:pPr>
        <w:pStyle w:val="ESSubparaHeader"/>
      </w:pPr>
      <w:r w:rsidRPr="005A0376">
        <w:t>S</w:t>
      </w:r>
      <w:r w:rsidR="0074002D" w:rsidRPr="005A0376">
        <w:t xml:space="preserve">ection </w:t>
      </w:r>
      <w:r w:rsidR="00025B2B">
        <w:t>4</w:t>
      </w:r>
      <w:r w:rsidR="0074002D" w:rsidRPr="005A0376">
        <w:t xml:space="preserve"> </w:t>
      </w:r>
      <w:r w:rsidR="005A0376" w:rsidRPr="005A0376">
        <w:t xml:space="preserve">defines </w:t>
      </w:r>
      <w:r w:rsidR="00025B2B">
        <w:t xml:space="preserve">several expressions relied on in the instrument, including </w:t>
      </w:r>
      <w:r w:rsidR="00025B2B" w:rsidRPr="00025B2B">
        <w:rPr>
          <w:b/>
          <w:i/>
        </w:rPr>
        <w:t>Australian Qualifications Framework</w:t>
      </w:r>
      <w:r w:rsidR="00025B2B">
        <w:t xml:space="preserve">, </w:t>
      </w:r>
      <w:r w:rsidR="00025B2B" w:rsidRPr="00025B2B">
        <w:rPr>
          <w:b/>
          <w:i/>
        </w:rPr>
        <w:t>course</w:t>
      </w:r>
      <w:r w:rsidR="00025B2B">
        <w:t xml:space="preserve">, </w:t>
      </w:r>
      <w:r w:rsidR="00025B2B" w:rsidRPr="00025B2B">
        <w:rPr>
          <w:b/>
          <w:i/>
        </w:rPr>
        <w:t>CRICOS</w:t>
      </w:r>
      <w:r w:rsidR="00025B2B">
        <w:t xml:space="preserve">, </w:t>
      </w:r>
      <w:r w:rsidR="00025B2B" w:rsidRPr="00025B2B">
        <w:rPr>
          <w:b/>
          <w:i/>
        </w:rPr>
        <w:t>CRICOS code</w:t>
      </w:r>
      <w:r w:rsidR="00025B2B">
        <w:t xml:space="preserve"> and </w:t>
      </w:r>
      <w:r w:rsidR="00025B2B" w:rsidRPr="00025B2B">
        <w:rPr>
          <w:b/>
          <w:i/>
        </w:rPr>
        <w:t>provider</w:t>
      </w:r>
      <w:r w:rsidR="00025B2B">
        <w:t xml:space="preserve">. </w:t>
      </w:r>
    </w:p>
    <w:p w14:paraId="12027196" w14:textId="2892E921" w:rsidR="00811EB2" w:rsidRDefault="005A0376" w:rsidP="00811EB2">
      <w:pPr>
        <w:pStyle w:val="ESSubparaHeader"/>
      </w:pPr>
      <w:r w:rsidRPr="00811EB2">
        <w:t xml:space="preserve">Section </w:t>
      </w:r>
      <w:r w:rsidR="00025B2B">
        <w:t>5</w:t>
      </w:r>
      <w:r w:rsidRPr="00811EB2">
        <w:t xml:space="preserve"> provides that </w:t>
      </w:r>
      <w:r w:rsidR="00025B2B">
        <w:t>a</w:t>
      </w:r>
      <w:r w:rsidR="000B3E92">
        <w:t xml:space="preserve"> qualification </w:t>
      </w:r>
      <w:r w:rsidR="00025B2B">
        <w:t xml:space="preserve">under the Australian Qualifications Framework that is </w:t>
      </w:r>
      <w:r w:rsidR="00D71F49">
        <w:t>awarded</w:t>
      </w:r>
      <w:r w:rsidR="00025B2B">
        <w:t xml:space="preserve"> as a result of completing a course </w:t>
      </w:r>
      <w:r w:rsidR="000B3E92">
        <w:t xml:space="preserve">specified </w:t>
      </w:r>
      <w:r w:rsidR="00811EB2" w:rsidRPr="00811EB2">
        <w:t xml:space="preserve">by reference to </w:t>
      </w:r>
      <w:r w:rsidR="00025B2B">
        <w:t>a</w:t>
      </w:r>
      <w:r w:rsidR="00811EB2" w:rsidRPr="00811EB2">
        <w:t xml:space="preserve"> CRICOS code in column </w:t>
      </w:r>
      <w:r w:rsidR="00811EB2">
        <w:t>2</w:t>
      </w:r>
      <w:r w:rsidR="00811EB2" w:rsidRPr="00811EB2">
        <w:t xml:space="preserve"> of the table in </w:t>
      </w:r>
      <w:r w:rsidR="00025B2B">
        <w:t xml:space="preserve">the Schedule to </w:t>
      </w:r>
      <w:r w:rsidR="00811EB2" w:rsidRPr="00811EB2">
        <w:t>this instrument is a specified qualification for the purposes of paragraph 1229(2</w:t>
      </w:r>
      <w:r w:rsidR="00A87683">
        <w:t>A</w:t>
      </w:r>
      <w:r w:rsidR="00811EB2" w:rsidRPr="00811EB2">
        <w:t>)(b) of Schedule 1 to the Regulations.</w:t>
      </w:r>
    </w:p>
    <w:p w14:paraId="205C71D3" w14:textId="4B1F63AB" w:rsidR="00351E92" w:rsidRPr="005A167D" w:rsidRDefault="00025B2B" w:rsidP="005A167D">
      <w:pPr>
        <w:pStyle w:val="ESPara"/>
      </w:pPr>
      <w:r>
        <w:t xml:space="preserve">The </w:t>
      </w:r>
      <w:r w:rsidR="0074002D">
        <w:t xml:space="preserve">Schedule </w:t>
      </w:r>
      <w:r>
        <w:t>to</w:t>
      </w:r>
      <w:r w:rsidR="00A87683">
        <w:t xml:space="preserve"> this instrument</w:t>
      </w:r>
      <w:r w:rsidR="00811EB2">
        <w:t xml:space="preserve"> lists the specified qualification</w:t>
      </w:r>
      <w:r w:rsidR="006C2683">
        <w:t>s</w:t>
      </w:r>
      <w:r w:rsidR="00811EB2">
        <w:t xml:space="preserve"> by reference to their CRICOS code which is a unique identifier for every course provided by each registered education provider. The </w:t>
      </w:r>
      <w:r w:rsidR="00811EB2">
        <w:lastRenderedPageBreak/>
        <w:t xml:space="preserve">table in </w:t>
      </w:r>
      <w:r>
        <w:t xml:space="preserve">the </w:t>
      </w:r>
      <w:r w:rsidR="00811EB2">
        <w:t xml:space="preserve">Schedule </w:t>
      </w:r>
      <w:r>
        <w:t>to this instrument</w:t>
      </w:r>
      <w:r w:rsidR="00811EB2">
        <w:t xml:space="preserve"> also includes the name of the relevant course and the name of the education provider. </w:t>
      </w:r>
    </w:p>
    <w:p w14:paraId="69BB3115" w14:textId="4F5B9B92" w:rsidR="00AA4557" w:rsidRPr="00811EB2" w:rsidRDefault="000B3E92" w:rsidP="00811EB2">
      <w:pPr>
        <w:pStyle w:val="ESPara"/>
        <w:numPr>
          <w:ilvl w:val="0"/>
          <w:numId w:val="0"/>
        </w:numPr>
        <w:rPr>
          <w:b/>
          <w:i/>
        </w:rPr>
      </w:pPr>
      <w:r>
        <w:rPr>
          <w:b/>
          <w:i/>
        </w:rPr>
        <w:t>Parliamentary scrutiny etc.</w:t>
      </w:r>
      <w:r w:rsidR="00AA4557" w:rsidRPr="00811EB2">
        <w:rPr>
          <w:b/>
          <w:i/>
        </w:rPr>
        <w:t xml:space="preserve"> </w:t>
      </w:r>
    </w:p>
    <w:p w14:paraId="4D56EFAF" w14:textId="739A7919" w:rsidR="00E03DCC" w:rsidRPr="00171C64" w:rsidRDefault="00E03DCC" w:rsidP="002D167E">
      <w:pPr>
        <w:pStyle w:val="ESPara"/>
      </w:pPr>
      <w:r w:rsidRPr="00171C64">
        <w:t xml:space="preserve">The instrument is exempt from disallowance under section 42 of the Legislation Act.  This is because </w:t>
      </w:r>
      <w:r w:rsidR="00661C13">
        <w:t xml:space="preserve">an instrument made under </w:t>
      </w:r>
      <w:r w:rsidR="008A3C6B">
        <w:t>Schedule 1 to</w:t>
      </w:r>
      <w:r w:rsidR="00811EB2">
        <w:t xml:space="preserve"> the Migration </w:t>
      </w:r>
      <w:r w:rsidR="00661C13">
        <w:t xml:space="preserve">Regulations </w:t>
      </w:r>
      <w:r w:rsidRPr="00171C64">
        <w:t xml:space="preserve">is prescribed </w:t>
      </w:r>
      <w:r w:rsidR="00CA6DA0">
        <w:t xml:space="preserve">by </w:t>
      </w:r>
      <w:proofErr w:type="spellStart"/>
      <w:r w:rsidR="00CA6DA0">
        <w:t>subitem</w:t>
      </w:r>
      <w:proofErr w:type="spellEnd"/>
      <w:r w:rsidR="00CA6DA0">
        <w:t xml:space="preserve"> 20(b) of the table </w:t>
      </w:r>
      <w:r w:rsidRPr="00171C64">
        <w:t xml:space="preserve">in section 10 of the </w:t>
      </w:r>
      <w:r w:rsidRPr="00171C64">
        <w:rPr>
          <w:i/>
        </w:rPr>
        <w:t>Legislation (Exemptions and Other Matters) Regulation 2015</w:t>
      </w:r>
      <w:r w:rsidR="00A87683">
        <w:rPr>
          <w:i/>
        </w:rPr>
        <w:t xml:space="preserve"> </w:t>
      </w:r>
      <w:r w:rsidR="00A87683">
        <w:t>as exempt from disallowance</w:t>
      </w:r>
      <w:r w:rsidRPr="00171C64">
        <w:t xml:space="preserve">. </w:t>
      </w:r>
      <w:r w:rsidR="00661C13">
        <w:t>As a result, a Statement of Compatibility with Human Rights is not required.</w:t>
      </w:r>
      <w:r w:rsidRPr="00171C64">
        <w:t xml:space="preserve"> </w:t>
      </w:r>
    </w:p>
    <w:p w14:paraId="7EBE17B3" w14:textId="77777777" w:rsidR="007E4691" w:rsidRPr="00171C64" w:rsidRDefault="007E4691" w:rsidP="00915032">
      <w:pPr>
        <w:rPr>
          <w:rFonts w:ascii="Times New Roman" w:hAnsi="Times New Roman" w:cs="Times New Roman"/>
        </w:rPr>
      </w:pPr>
    </w:p>
    <w:sectPr w:rsidR="007E4691" w:rsidRPr="00171C64" w:rsidSect="004F5C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297D5" w14:textId="77777777" w:rsidR="00D851CD" w:rsidRDefault="00D851CD" w:rsidP="00104604">
      <w:pPr>
        <w:spacing w:after="0" w:line="240" w:lineRule="auto"/>
      </w:pPr>
      <w:r>
        <w:separator/>
      </w:r>
    </w:p>
  </w:endnote>
  <w:endnote w:type="continuationSeparator" w:id="0">
    <w:p w14:paraId="01E4EB66" w14:textId="77777777" w:rsidR="00D851CD" w:rsidRDefault="00D851CD" w:rsidP="0010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E859" w14:textId="77777777" w:rsidR="004D030F" w:rsidRDefault="004D0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919"/>
      <w:docPartObj>
        <w:docPartGallery w:val="Page Numbers (Bottom of Page)"/>
        <w:docPartUnique/>
      </w:docPartObj>
    </w:sdtPr>
    <w:sdtEndPr>
      <w:rPr>
        <w:noProof/>
      </w:rPr>
    </w:sdtEndPr>
    <w:sdtContent>
      <w:p w14:paraId="79F992E5" w14:textId="4636BBEF" w:rsidR="00104604" w:rsidRDefault="00104604">
        <w:pPr>
          <w:pStyle w:val="Footer"/>
          <w:jc w:val="right"/>
        </w:pPr>
        <w:r>
          <w:fldChar w:fldCharType="begin"/>
        </w:r>
        <w:r>
          <w:instrText xml:space="preserve"> PAGE   \* MERGEFORMAT </w:instrText>
        </w:r>
        <w:r>
          <w:fldChar w:fldCharType="separate"/>
        </w:r>
        <w:r w:rsidR="004D030F">
          <w:rPr>
            <w:noProof/>
          </w:rPr>
          <w:t>1</w:t>
        </w:r>
        <w:r>
          <w:rPr>
            <w:noProof/>
          </w:rPr>
          <w:fldChar w:fldCharType="end"/>
        </w:r>
      </w:p>
    </w:sdtContent>
  </w:sdt>
  <w:p w14:paraId="4A50A14E" w14:textId="77777777" w:rsidR="00104604" w:rsidRDefault="00104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4C588" w14:textId="77777777" w:rsidR="004D030F" w:rsidRDefault="004D0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DC068" w14:textId="77777777" w:rsidR="00D851CD" w:rsidRDefault="00D851CD" w:rsidP="00104604">
      <w:pPr>
        <w:spacing w:after="0" w:line="240" w:lineRule="auto"/>
      </w:pPr>
      <w:r>
        <w:separator/>
      </w:r>
    </w:p>
  </w:footnote>
  <w:footnote w:type="continuationSeparator" w:id="0">
    <w:p w14:paraId="24B787E2" w14:textId="77777777" w:rsidR="00D851CD" w:rsidRDefault="00D851CD" w:rsidP="0010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A587" w14:textId="77777777" w:rsidR="004D030F" w:rsidRDefault="004D03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288D" w14:textId="77777777" w:rsidR="004D030F" w:rsidRDefault="004D03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A25D" w14:textId="77777777" w:rsidR="004D030F" w:rsidRDefault="004D0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7489"/>
    <w:multiLevelType w:val="multilevel"/>
    <w:tmpl w:val="FD0C51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AE532A9"/>
    <w:multiLevelType w:val="hybridMultilevel"/>
    <w:tmpl w:val="C5E0D4C8"/>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14788C"/>
    <w:multiLevelType w:val="multilevel"/>
    <w:tmpl w:val="6D70E2A8"/>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decimal"/>
      <w:pStyle w:val="ListNumber4"/>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3"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C036E8"/>
    <w:multiLevelType w:val="multilevel"/>
    <w:tmpl w:val="E416BAD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7EED2BD4"/>
    <w:multiLevelType w:val="multilevel"/>
    <w:tmpl w:val="1B74B75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3"/>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2D"/>
    <w:rsid w:val="00014D77"/>
    <w:rsid w:val="000230F6"/>
    <w:rsid w:val="00025B2B"/>
    <w:rsid w:val="00030377"/>
    <w:rsid w:val="00056946"/>
    <w:rsid w:val="00061E66"/>
    <w:rsid w:val="000B3E92"/>
    <w:rsid w:val="000D014F"/>
    <w:rsid w:val="00100DFC"/>
    <w:rsid w:val="00104604"/>
    <w:rsid w:val="00162B38"/>
    <w:rsid w:val="00171C64"/>
    <w:rsid w:val="00176E6F"/>
    <w:rsid w:val="001826CF"/>
    <w:rsid w:val="0019164E"/>
    <w:rsid w:val="001C7A98"/>
    <w:rsid w:val="00212BE9"/>
    <w:rsid w:val="002402E0"/>
    <w:rsid w:val="00276830"/>
    <w:rsid w:val="002949E5"/>
    <w:rsid w:val="002D167E"/>
    <w:rsid w:val="002E7954"/>
    <w:rsid w:val="002E7B73"/>
    <w:rsid w:val="002F4A31"/>
    <w:rsid w:val="00313F91"/>
    <w:rsid w:val="00326126"/>
    <w:rsid w:val="00351E92"/>
    <w:rsid w:val="00413D15"/>
    <w:rsid w:val="00415883"/>
    <w:rsid w:val="00421114"/>
    <w:rsid w:val="00446D00"/>
    <w:rsid w:val="00457D4A"/>
    <w:rsid w:val="00464080"/>
    <w:rsid w:val="004C4FC6"/>
    <w:rsid w:val="004D030F"/>
    <w:rsid w:val="004D2D91"/>
    <w:rsid w:val="004F5CE4"/>
    <w:rsid w:val="005063B0"/>
    <w:rsid w:val="005139D7"/>
    <w:rsid w:val="0053366C"/>
    <w:rsid w:val="00560B24"/>
    <w:rsid w:val="0057002B"/>
    <w:rsid w:val="00595CA2"/>
    <w:rsid w:val="005A0376"/>
    <w:rsid w:val="005A167D"/>
    <w:rsid w:val="005A3733"/>
    <w:rsid w:val="005F07F3"/>
    <w:rsid w:val="00604E06"/>
    <w:rsid w:val="00623724"/>
    <w:rsid w:val="0064114B"/>
    <w:rsid w:val="0064147B"/>
    <w:rsid w:val="00645790"/>
    <w:rsid w:val="00661C13"/>
    <w:rsid w:val="00670E64"/>
    <w:rsid w:val="00697307"/>
    <w:rsid w:val="006A11A9"/>
    <w:rsid w:val="006C2683"/>
    <w:rsid w:val="006E64DD"/>
    <w:rsid w:val="006F5E55"/>
    <w:rsid w:val="0074002D"/>
    <w:rsid w:val="00796A1D"/>
    <w:rsid w:val="007C6AA4"/>
    <w:rsid w:val="007E4691"/>
    <w:rsid w:val="00811EB2"/>
    <w:rsid w:val="008414A2"/>
    <w:rsid w:val="00847390"/>
    <w:rsid w:val="00855516"/>
    <w:rsid w:val="0088407D"/>
    <w:rsid w:val="008A3C6B"/>
    <w:rsid w:val="008B24C8"/>
    <w:rsid w:val="00915032"/>
    <w:rsid w:val="00937DD8"/>
    <w:rsid w:val="00993C48"/>
    <w:rsid w:val="00995A7C"/>
    <w:rsid w:val="009C2016"/>
    <w:rsid w:val="009E4CF0"/>
    <w:rsid w:val="009F32E6"/>
    <w:rsid w:val="00A06CF4"/>
    <w:rsid w:val="00A26174"/>
    <w:rsid w:val="00A54B9D"/>
    <w:rsid w:val="00A87683"/>
    <w:rsid w:val="00AA4557"/>
    <w:rsid w:val="00AA4F77"/>
    <w:rsid w:val="00AA5789"/>
    <w:rsid w:val="00AE06BB"/>
    <w:rsid w:val="00AF4BD3"/>
    <w:rsid w:val="00B33907"/>
    <w:rsid w:val="00B445D9"/>
    <w:rsid w:val="00B65A06"/>
    <w:rsid w:val="00B75478"/>
    <w:rsid w:val="00B92C05"/>
    <w:rsid w:val="00BA03CD"/>
    <w:rsid w:val="00BB0CF2"/>
    <w:rsid w:val="00BB6ECD"/>
    <w:rsid w:val="00BC6BE1"/>
    <w:rsid w:val="00BD598E"/>
    <w:rsid w:val="00BE2A5E"/>
    <w:rsid w:val="00BE3E7F"/>
    <w:rsid w:val="00C81A5E"/>
    <w:rsid w:val="00C930F2"/>
    <w:rsid w:val="00CA6DA0"/>
    <w:rsid w:val="00D40E1E"/>
    <w:rsid w:val="00D6072D"/>
    <w:rsid w:val="00D71F49"/>
    <w:rsid w:val="00D851CD"/>
    <w:rsid w:val="00D87EFE"/>
    <w:rsid w:val="00DC6583"/>
    <w:rsid w:val="00E03DCC"/>
    <w:rsid w:val="00E45FE2"/>
    <w:rsid w:val="00E47EBF"/>
    <w:rsid w:val="00E8319D"/>
    <w:rsid w:val="00EA0663"/>
    <w:rsid w:val="00EA12C9"/>
    <w:rsid w:val="00F47B88"/>
    <w:rsid w:val="00FD15F8"/>
    <w:rsid w:val="00FE0FEE"/>
    <w:rsid w:val="00FF3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66DE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styleId="ListNumber">
    <w:name w:val="List Number"/>
    <w:basedOn w:val="ListBullet"/>
    <w:uiPriority w:val="3"/>
    <w:semiHidden/>
    <w:unhideWhenUsed/>
    <w:qFormat/>
    <w:rsid w:val="00171C64"/>
    <w:pPr>
      <w:numPr>
        <w:numId w:val="5"/>
      </w:numPr>
      <w:tabs>
        <w:tab w:val="num" w:pos="360"/>
      </w:tabs>
      <w:spacing w:before="120" w:after="120" w:line="264" w:lineRule="auto"/>
      <w:ind w:left="360" w:hanging="360"/>
      <w:contextualSpacing w:val="0"/>
    </w:pPr>
  </w:style>
  <w:style w:type="paragraph" w:styleId="ListNumber2">
    <w:name w:val="List Number 2"/>
    <w:basedOn w:val="ListBullet2"/>
    <w:uiPriority w:val="3"/>
    <w:semiHidden/>
    <w:unhideWhenUsed/>
    <w:rsid w:val="00171C64"/>
    <w:pPr>
      <w:numPr>
        <w:ilvl w:val="1"/>
        <w:numId w:val="5"/>
      </w:numPr>
      <w:tabs>
        <w:tab w:val="num" w:pos="360"/>
      </w:tabs>
      <w:spacing w:before="120" w:after="120" w:line="264" w:lineRule="auto"/>
      <w:ind w:left="643" w:hanging="360"/>
      <w:contextualSpacing w:val="0"/>
    </w:pPr>
  </w:style>
  <w:style w:type="paragraph" w:styleId="ListNumber3">
    <w:name w:val="List Number 3"/>
    <w:basedOn w:val="ListBullet3"/>
    <w:uiPriority w:val="3"/>
    <w:semiHidden/>
    <w:unhideWhenUsed/>
    <w:rsid w:val="00171C64"/>
    <w:pPr>
      <w:numPr>
        <w:ilvl w:val="2"/>
        <w:numId w:val="5"/>
      </w:numPr>
      <w:tabs>
        <w:tab w:val="num" w:pos="360"/>
      </w:tabs>
      <w:spacing w:before="120" w:after="120" w:line="264" w:lineRule="auto"/>
      <w:ind w:left="926" w:hanging="360"/>
      <w:contextualSpacing w:val="0"/>
    </w:pPr>
  </w:style>
  <w:style w:type="paragraph" w:styleId="ListNumber4">
    <w:name w:val="List Number 4"/>
    <w:basedOn w:val="ListNumber"/>
    <w:uiPriority w:val="3"/>
    <w:semiHidden/>
    <w:unhideWhenUsed/>
    <w:rsid w:val="00171C64"/>
    <w:pPr>
      <w:numPr>
        <w:ilvl w:val="3"/>
      </w:numPr>
      <w:tabs>
        <w:tab w:val="num" w:pos="360"/>
      </w:tabs>
      <w:ind w:left="2880" w:hanging="360"/>
    </w:pPr>
  </w:style>
  <w:style w:type="paragraph" w:styleId="ListBullet">
    <w:name w:val="List Bullet"/>
    <w:basedOn w:val="Normal"/>
    <w:uiPriority w:val="99"/>
    <w:semiHidden/>
    <w:unhideWhenUsed/>
    <w:rsid w:val="00171C64"/>
    <w:pPr>
      <w:numPr>
        <w:numId w:val="7"/>
      </w:numPr>
      <w:contextualSpacing/>
    </w:pPr>
  </w:style>
  <w:style w:type="paragraph" w:styleId="ListBullet2">
    <w:name w:val="List Bullet 2"/>
    <w:basedOn w:val="Normal"/>
    <w:uiPriority w:val="99"/>
    <w:semiHidden/>
    <w:unhideWhenUsed/>
    <w:rsid w:val="00171C64"/>
    <w:pPr>
      <w:tabs>
        <w:tab w:val="num" w:pos="720"/>
      </w:tabs>
      <w:ind w:left="720" w:hanging="720"/>
      <w:contextualSpacing/>
    </w:pPr>
  </w:style>
  <w:style w:type="paragraph" w:styleId="ListBullet3">
    <w:name w:val="List Bullet 3"/>
    <w:basedOn w:val="Normal"/>
    <w:uiPriority w:val="99"/>
    <w:semiHidden/>
    <w:unhideWhenUsed/>
    <w:rsid w:val="00171C64"/>
    <w:pPr>
      <w:tabs>
        <w:tab w:val="num" w:pos="720"/>
      </w:tabs>
      <w:ind w:left="720" w:hanging="720"/>
      <w:contextualSpacing/>
    </w:pPr>
  </w:style>
  <w:style w:type="character" w:styleId="CommentReference">
    <w:name w:val="annotation reference"/>
    <w:basedOn w:val="DefaultParagraphFont"/>
    <w:uiPriority w:val="99"/>
    <w:semiHidden/>
    <w:unhideWhenUsed/>
    <w:rsid w:val="00171C64"/>
    <w:rPr>
      <w:sz w:val="16"/>
      <w:szCs w:val="16"/>
    </w:rPr>
  </w:style>
  <w:style w:type="paragraph" w:styleId="CommentText">
    <w:name w:val="annotation text"/>
    <w:basedOn w:val="Normal"/>
    <w:link w:val="CommentTextChar"/>
    <w:uiPriority w:val="99"/>
    <w:semiHidden/>
    <w:unhideWhenUsed/>
    <w:rsid w:val="00171C64"/>
    <w:pPr>
      <w:spacing w:line="240" w:lineRule="auto"/>
    </w:pPr>
    <w:rPr>
      <w:sz w:val="20"/>
      <w:szCs w:val="20"/>
    </w:rPr>
  </w:style>
  <w:style w:type="character" w:customStyle="1" w:styleId="CommentTextChar">
    <w:name w:val="Comment Text Char"/>
    <w:basedOn w:val="DefaultParagraphFont"/>
    <w:link w:val="CommentText"/>
    <w:uiPriority w:val="99"/>
    <w:semiHidden/>
    <w:rsid w:val="00171C64"/>
    <w:rPr>
      <w:sz w:val="20"/>
      <w:szCs w:val="20"/>
    </w:rPr>
  </w:style>
  <w:style w:type="paragraph" w:styleId="CommentSubject">
    <w:name w:val="annotation subject"/>
    <w:basedOn w:val="CommentText"/>
    <w:next w:val="CommentText"/>
    <w:link w:val="CommentSubjectChar"/>
    <w:uiPriority w:val="99"/>
    <w:semiHidden/>
    <w:unhideWhenUsed/>
    <w:rsid w:val="00171C64"/>
    <w:rPr>
      <w:b/>
      <w:bCs/>
    </w:rPr>
  </w:style>
  <w:style w:type="character" w:customStyle="1" w:styleId="CommentSubjectChar">
    <w:name w:val="Comment Subject Char"/>
    <w:basedOn w:val="CommentTextChar"/>
    <w:link w:val="CommentSubject"/>
    <w:uiPriority w:val="99"/>
    <w:semiHidden/>
    <w:rsid w:val="00171C64"/>
    <w:rPr>
      <w:b/>
      <w:bCs/>
      <w:sz w:val="20"/>
      <w:szCs w:val="20"/>
    </w:rPr>
  </w:style>
  <w:style w:type="paragraph" w:styleId="BalloonText">
    <w:name w:val="Balloon Text"/>
    <w:basedOn w:val="Normal"/>
    <w:link w:val="BalloonTextChar"/>
    <w:uiPriority w:val="99"/>
    <w:semiHidden/>
    <w:unhideWhenUsed/>
    <w:rsid w:val="00171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C64"/>
    <w:rPr>
      <w:rFonts w:ascii="Segoe UI" w:hAnsi="Segoe UI" w:cs="Segoe UI"/>
      <w:sz w:val="18"/>
      <w:szCs w:val="18"/>
    </w:rPr>
  </w:style>
  <w:style w:type="paragraph" w:styleId="Header">
    <w:name w:val="header"/>
    <w:basedOn w:val="Normal"/>
    <w:link w:val="HeaderChar"/>
    <w:uiPriority w:val="99"/>
    <w:unhideWhenUsed/>
    <w:rsid w:val="00104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604"/>
  </w:style>
  <w:style w:type="paragraph" w:styleId="Footer">
    <w:name w:val="footer"/>
    <w:basedOn w:val="Normal"/>
    <w:link w:val="FooterChar"/>
    <w:uiPriority w:val="99"/>
    <w:unhideWhenUsed/>
    <w:rsid w:val="00104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604"/>
  </w:style>
  <w:style w:type="paragraph" w:styleId="Revision">
    <w:name w:val="Revision"/>
    <w:hidden/>
    <w:uiPriority w:val="99"/>
    <w:semiHidden/>
    <w:rsid w:val="002E7B73"/>
    <w:pPr>
      <w:spacing w:after="0" w:line="240" w:lineRule="auto"/>
    </w:pPr>
  </w:style>
  <w:style w:type="paragraph" w:styleId="NormalWeb">
    <w:name w:val="Normal (Web)"/>
    <w:basedOn w:val="Normal"/>
    <w:uiPriority w:val="99"/>
    <w:semiHidden/>
    <w:unhideWhenUsed/>
    <w:rsid w:val="0084739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5A0376"/>
    <w:rPr>
      <w:color w:val="0000FF"/>
      <w:u w:val="single"/>
    </w:rPr>
  </w:style>
  <w:style w:type="character" w:customStyle="1" w:styleId="ui-provider">
    <w:name w:val="ui-provider"/>
    <w:basedOn w:val="DefaultParagraphFont"/>
    <w:rsid w:val="008A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565878">
      <w:bodyDiv w:val="1"/>
      <w:marLeft w:val="0"/>
      <w:marRight w:val="0"/>
      <w:marTop w:val="0"/>
      <w:marBottom w:val="0"/>
      <w:divBdr>
        <w:top w:val="none" w:sz="0" w:space="0" w:color="auto"/>
        <w:left w:val="none" w:sz="0" w:space="0" w:color="auto"/>
        <w:bottom w:val="none" w:sz="0" w:space="0" w:color="auto"/>
        <w:right w:val="none" w:sz="0" w:space="0" w:color="auto"/>
      </w:divBdr>
    </w:div>
    <w:div w:id="1424762301">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8337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2023-06-27T07:13:00Z</dcterms:created>
  <dcterms:modified xsi:type="dcterms:W3CDTF">2023-06-27T07:13:00Z</dcterms:modified>
  <cp:category/>
</cp:coreProperties>
</file>