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45B89" w14:textId="43BBE783" w:rsidR="00AC7DB4" w:rsidRPr="00C2429A" w:rsidRDefault="00C2429A" w:rsidP="00AC7DB4">
      <w:pPr>
        <w:jc w:val="center"/>
        <w:rPr>
          <w:rFonts w:ascii="Times New Roman" w:hAnsi="Times New Roman" w:cs="Times New Roman"/>
          <w:b/>
          <w:bCs/>
          <w:u w:val="single"/>
        </w:rPr>
      </w:pPr>
      <w:bookmarkStart w:id="0" w:name="_GoBack"/>
      <w:bookmarkEnd w:id="0"/>
      <w:r w:rsidRPr="00C2429A">
        <w:rPr>
          <w:rFonts w:ascii="Times New Roman" w:hAnsi="Times New Roman" w:cs="Times New Roman"/>
          <w:b/>
          <w:bCs/>
          <w:u w:val="single"/>
        </w:rPr>
        <w:t>FOREIGN INFLUENCE TRANSPARENCY SCHEME AMENDMENT RULES 2023</w:t>
      </w:r>
    </w:p>
    <w:p w14:paraId="2A45FDBB" w14:textId="3D159FA4" w:rsidR="00AC7DB4" w:rsidRPr="00C2429A" w:rsidRDefault="00C2429A" w:rsidP="00AC7DB4">
      <w:pPr>
        <w:jc w:val="center"/>
        <w:rPr>
          <w:rFonts w:ascii="Times New Roman" w:hAnsi="Times New Roman" w:cs="Times New Roman"/>
          <w:b/>
          <w:bCs/>
          <w:u w:val="single"/>
        </w:rPr>
      </w:pPr>
      <w:r w:rsidRPr="00C2429A">
        <w:rPr>
          <w:rFonts w:ascii="Times New Roman" w:hAnsi="Times New Roman" w:cs="Times New Roman"/>
          <w:b/>
          <w:bCs/>
          <w:u w:val="single"/>
        </w:rPr>
        <w:t>EXPLANATORY STATEMENT</w:t>
      </w:r>
    </w:p>
    <w:p w14:paraId="282606A1" w14:textId="22BF3679" w:rsidR="00575270" w:rsidRDefault="00575270" w:rsidP="00AC7DB4">
      <w:pPr>
        <w:jc w:val="center"/>
        <w:rPr>
          <w:rFonts w:ascii="Times New Roman" w:hAnsi="Times New Roman" w:cs="Times New Roman"/>
          <w:sz w:val="22"/>
        </w:rPr>
      </w:pPr>
      <w:r w:rsidRPr="00C2429A">
        <w:rPr>
          <w:rFonts w:ascii="Times New Roman" w:hAnsi="Times New Roman" w:cs="Times New Roman"/>
          <w:sz w:val="22"/>
        </w:rPr>
        <w:t xml:space="preserve">Issued by </w:t>
      </w:r>
      <w:r w:rsidR="00C2429A">
        <w:rPr>
          <w:rFonts w:ascii="Times New Roman" w:hAnsi="Times New Roman" w:cs="Times New Roman"/>
          <w:sz w:val="22"/>
        </w:rPr>
        <w:t>a</w:t>
      </w:r>
      <w:r w:rsidRPr="00C2429A">
        <w:rPr>
          <w:rFonts w:ascii="Times New Roman" w:hAnsi="Times New Roman" w:cs="Times New Roman"/>
          <w:sz w:val="22"/>
        </w:rPr>
        <w:t>uthority of the Attorney-General</w:t>
      </w:r>
    </w:p>
    <w:p w14:paraId="1C998E69" w14:textId="5A2C288A" w:rsidR="00C2429A" w:rsidRPr="00C2429A" w:rsidRDefault="00C2429A" w:rsidP="00AC7DB4">
      <w:pPr>
        <w:jc w:val="center"/>
        <w:rPr>
          <w:rFonts w:ascii="Times New Roman" w:hAnsi="Times New Roman" w:cs="Times New Roman"/>
          <w:sz w:val="22"/>
        </w:rPr>
      </w:pPr>
      <w:r w:rsidRPr="00C2429A">
        <w:rPr>
          <w:rFonts w:ascii="Times New Roman" w:hAnsi="Times New Roman" w:cs="Times New Roman"/>
          <w:sz w:val="22"/>
        </w:rPr>
        <w:t xml:space="preserve">in compliance with section 15J of the </w:t>
      </w:r>
      <w:r w:rsidRPr="00C2429A">
        <w:rPr>
          <w:rFonts w:ascii="Times New Roman" w:hAnsi="Times New Roman" w:cs="Times New Roman"/>
          <w:i/>
          <w:sz w:val="22"/>
        </w:rPr>
        <w:t>Legislation Act 2003</w:t>
      </w:r>
    </w:p>
    <w:p w14:paraId="4941F55E" w14:textId="3B1A4F46" w:rsidR="00575270" w:rsidRPr="00AC7DB4" w:rsidRDefault="00AC7DB4" w:rsidP="00AC7DB4">
      <w:pPr>
        <w:jc w:val="both"/>
        <w:rPr>
          <w:rFonts w:ascii="Times New Roman" w:hAnsi="Times New Roman" w:cs="Times New Roman"/>
          <w:b/>
        </w:rPr>
      </w:pPr>
      <w:r w:rsidRPr="00AC7DB4">
        <w:rPr>
          <w:rFonts w:ascii="Times New Roman" w:hAnsi="Times New Roman" w:cs="Times New Roman"/>
          <w:b/>
        </w:rPr>
        <w:t>AUTHORITY</w:t>
      </w:r>
    </w:p>
    <w:p w14:paraId="026F060C" w14:textId="651494C0" w:rsidR="00575270" w:rsidRPr="00C2429A" w:rsidRDefault="00575270" w:rsidP="00AC7DB4">
      <w:pPr>
        <w:jc w:val="both"/>
        <w:rPr>
          <w:rFonts w:ascii="Times New Roman" w:hAnsi="Times New Roman" w:cs="Times New Roman"/>
          <w:i/>
          <w:sz w:val="22"/>
        </w:rPr>
      </w:pPr>
      <w:r w:rsidRPr="00C2429A">
        <w:rPr>
          <w:rFonts w:ascii="Times New Roman" w:hAnsi="Times New Roman" w:cs="Times New Roman"/>
          <w:sz w:val="22"/>
        </w:rPr>
        <w:t xml:space="preserve">The </w:t>
      </w:r>
      <w:r w:rsidR="007229D2" w:rsidRPr="00C2429A">
        <w:rPr>
          <w:rFonts w:ascii="Times New Roman" w:hAnsi="Times New Roman" w:cs="Times New Roman"/>
          <w:i/>
          <w:sz w:val="22"/>
        </w:rPr>
        <w:t>Foreign Influence Transparency Scheme Amendment Rules 202</w:t>
      </w:r>
      <w:r w:rsidR="00E16220" w:rsidRPr="00C2429A">
        <w:rPr>
          <w:rFonts w:ascii="Times New Roman" w:hAnsi="Times New Roman" w:cs="Times New Roman"/>
          <w:i/>
          <w:sz w:val="22"/>
        </w:rPr>
        <w:t>3</w:t>
      </w:r>
      <w:r w:rsidR="007229D2" w:rsidRPr="00C2429A">
        <w:rPr>
          <w:rFonts w:ascii="Times New Roman" w:hAnsi="Times New Roman" w:cs="Times New Roman"/>
          <w:i/>
          <w:sz w:val="22"/>
        </w:rPr>
        <w:t xml:space="preserve"> </w:t>
      </w:r>
      <w:r w:rsidRPr="00C2429A">
        <w:rPr>
          <w:rFonts w:ascii="Times New Roman" w:hAnsi="Times New Roman" w:cs="Times New Roman"/>
          <w:sz w:val="22"/>
        </w:rPr>
        <w:t>(the Rules) are made under section</w:t>
      </w:r>
      <w:r w:rsidR="00BB1882" w:rsidRPr="00C2429A">
        <w:rPr>
          <w:rFonts w:ascii="Times New Roman" w:hAnsi="Times New Roman" w:cs="Times New Roman"/>
          <w:sz w:val="22"/>
        </w:rPr>
        <w:t> </w:t>
      </w:r>
      <w:r w:rsidRPr="00C2429A">
        <w:rPr>
          <w:rFonts w:ascii="Times New Roman" w:hAnsi="Times New Roman" w:cs="Times New Roman"/>
          <w:sz w:val="22"/>
        </w:rPr>
        <w:t xml:space="preserve">71 of the </w:t>
      </w:r>
      <w:r w:rsidRPr="00C2429A">
        <w:rPr>
          <w:rFonts w:ascii="Times New Roman" w:hAnsi="Times New Roman" w:cs="Times New Roman"/>
          <w:i/>
          <w:sz w:val="22"/>
        </w:rPr>
        <w:t xml:space="preserve">Foreign Influence Transparency Scheme Act 2018 </w:t>
      </w:r>
      <w:r w:rsidRPr="00C2429A">
        <w:rPr>
          <w:rFonts w:ascii="Times New Roman" w:hAnsi="Times New Roman" w:cs="Times New Roman"/>
          <w:sz w:val="22"/>
        </w:rPr>
        <w:t xml:space="preserve">(the Act), for the purposes of section </w:t>
      </w:r>
      <w:r w:rsidR="004D6270" w:rsidRPr="00C2429A">
        <w:rPr>
          <w:rFonts w:ascii="Times New Roman" w:hAnsi="Times New Roman" w:cs="Times New Roman"/>
          <w:sz w:val="22"/>
        </w:rPr>
        <w:t>53</w:t>
      </w:r>
      <w:r w:rsidRPr="00C2429A">
        <w:rPr>
          <w:rFonts w:ascii="Times New Roman" w:hAnsi="Times New Roman" w:cs="Times New Roman"/>
          <w:sz w:val="22"/>
        </w:rPr>
        <w:t xml:space="preserve"> of the Act. The Act establishes the Foreign Influence Transparency Scheme (the </w:t>
      </w:r>
      <w:r w:rsidR="00DA3299" w:rsidRPr="00C2429A">
        <w:rPr>
          <w:rFonts w:ascii="Times New Roman" w:hAnsi="Times New Roman" w:cs="Times New Roman"/>
          <w:sz w:val="22"/>
        </w:rPr>
        <w:t>S</w:t>
      </w:r>
      <w:r w:rsidRPr="00C2429A">
        <w:rPr>
          <w:rFonts w:ascii="Times New Roman" w:hAnsi="Times New Roman" w:cs="Times New Roman"/>
          <w:sz w:val="22"/>
        </w:rPr>
        <w:t xml:space="preserve">cheme). The objective of the </w:t>
      </w:r>
      <w:r w:rsidR="00DA3299" w:rsidRPr="00C2429A">
        <w:rPr>
          <w:rFonts w:ascii="Times New Roman" w:hAnsi="Times New Roman" w:cs="Times New Roman"/>
          <w:sz w:val="22"/>
        </w:rPr>
        <w:t>S</w:t>
      </w:r>
      <w:r w:rsidRPr="00C2429A">
        <w:rPr>
          <w:rFonts w:ascii="Times New Roman" w:hAnsi="Times New Roman" w:cs="Times New Roman"/>
          <w:sz w:val="22"/>
        </w:rPr>
        <w:t>cheme is to provide transparency to the public and decision</w:t>
      </w:r>
      <w:r w:rsidR="0077624E" w:rsidRPr="00C2429A">
        <w:rPr>
          <w:rFonts w:ascii="Times New Roman" w:hAnsi="Times New Roman" w:cs="Times New Roman"/>
          <w:sz w:val="22"/>
        </w:rPr>
        <w:t>-</w:t>
      </w:r>
      <w:r w:rsidRPr="00C2429A">
        <w:rPr>
          <w:rFonts w:ascii="Times New Roman" w:hAnsi="Times New Roman" w:cs="Times New Roman"/>
          <w:sz w:val="22"/>
        </w:rPr>
        <w:t>makers about the nature, level and extent of foreign influence on Australia’s governmental and political processes.</w:t>
      </w:r>
    </w:p>
    <w:p w14:paraId="7168156B" w14:textId="77777777" w:rsidR="00BB1882" w:rsidRPr="00C2429A" w:rsidRDefault="00575270" w:rsidP="00AC7DB4">
      <w:pPr>
        <w:jc w:val="both"/>
        <w:rPr>
          <w:rFonts w:ascii="Times New Roman" w:hAnsi="Times New Roman" w:cs="Times New Roman"/>
          <w:sz w:val="22"/>
        </w:rPr>
      </w:pPr>
      <w:r w:rsidRPr="00C2429A">
        <w:rPr>
          <w:rFonts w:ascii="Times New Roman" w:hAnsi="Times New Roman" w:cs="Times New Roman"/>
          <w:sz w:val="22"/>
        </w:rPr>
        <w:t>Section 71 of the Act provides that the Minister may, by legislative instrument, make rules prescribing matters that are required or permitted by the Act to be prescribed by the rules, or that are necessary or convenient to be prescribed for carrying out or giving effect to the Act.</w:t>
      </w:r>
    </w:p>
    <w:p w14:paraId="6FE7C7CB" w14:textId="7AB0177D" w:rsidR="00196572" w:rsidRPr="00C2429A" w:rsidRDefault="00196572" w:rsidP="00AC7DB4">
      <w:pPr>
        <w:jc w:val="both"/>
        <w:rPr>
          <w:rFonts w:ascii="Times New Roman" w:hAnsi="Times New Roman" w:cs="Times New Roman"/>
          <w:sz w:val="22"/>
        </w:rPr>
      </w:pPr>
      <w:r w:rsidRPr="00C2429A">
        <w:rPr>
          <w:rFonts w:ascii="Times New Roman" w:hAnsi="Times New Roman" w:cs="Times New Roman"/>
          <w:sz w:val="22"/>
        </w:rPr>
        <w:t xml:space="preserve">Section </w:t>
      </w:r>
      <w:r w:rsidR="004D6270" w:rsidRPr="00C2429A">
        <w:rPr>
          <w:rFonts w:ascii="Times New Roman" w:hAnsi="Times New Roman" w:cs="Times New Roman"/>
          <w:sz w:val="22"/>
        </w:rPr>
        <w:t>53</w:t>
      </w:r>
      <w:r w:rsidRPr="00C2429A">
        <w:rPr>
          <w:rFonts w:ascii="Times New Roman" w:hAnsi="Times New Roman" w:cs="Times New Roman"/>
          <w:sz w:val="22"/>
        </w:rPr>
        <w:t xml:space="preserve"> of the Act</w:t>
      </w:r>
      <w:r w:rsidR="004D6270" w:rsidRPr="00C2429A">
        <w:rPr>
          <w:rFonts w:ascii="Times New Roman" w:hAnsi="Times New Roman" w:cs="Times New Roman"/>
          <w:sz w:val="22"/>
        </w:rPr>
        <w:t xml:space="preserve"> provides an authorisation for the Secretary to disclose scheme information for a range of specified purposes and to a person specified for that purpose. </w:t>
      </w:r>
      <w:r w:rsidR="00BB1882" w:rsidRPr="00C2429A">
        <w:rPr>
          <w:rFonts w:ascii="Times New Roman" w:hAnsi="Times New Roman" w:cs="Times New Roman"/>
          <w:sz w:val="22"/>
        </w:rPr>
        <w:t>I</w:t>
      </w:r>
      <w:r w:rsidR="001E36DB" w:rsidRPr="00C2429A">
        <w:rPr>
          <w:rFonts w:ascii="Times New Roman" w:hAnsi="Times New Roman" w:cs="Times New Roman"/>
          <w:sz w:val="22"/>
        </w:rPr>
        <w:t>tem </w:t>
      </w:r>
      <w:r w:rsidR="00BB1882" w:rsidRPr="00C2429A">
        <w:rPr>
          <w:rFonts w:ascii="Times New Roman" w:hAnsi="Times New Roman" w:cs="Times New Roman"/>
          <w:sz w:val="22"/>
        </w:rPr>
        <w:t>4 of subsection 53(1) provides that the Secretary may communicate scheme information to a person prescribed by the</w:t>
      </w:r>
      <w:r w:rsidR="00BB1882" w:rsidRPr="00C2429A">
        <w:rPr>
          <w:rFonts w:ascii="Times New Roman" w:hAnsi="Times New Roman" w:cs="Times New Roman"/>
          <w:i/>
          <w:sz w:val="22"/>
        </w:rPr>
        <w:t xml:space="preserve"> </w:t>
      </w:r>
      <w:r w:rsidR="002C2EA2">
        <w:rPr>
          <w:rFonts w:ascii="Times New Roman" w:hAnsi="Times New Roman" w:cs="Times New Roman"/>
          <w:sz w:val="22"/>
        </w:rPr>
        <w:t>rules</w:t>
      </w:r>
      <w:r w:rsidR="00BB1882" w:rsidRPr="00C2429A">
        <w:rPr>
          <w:rFonts w:ascii="Times New Roman" w:hAnsi="Times New Roman" w:cs="Times New Roman"/>
          <w:i/>
          <w:sz w:val="22"/>
        </w:rPr>
        <w:t xml:space="preserve"> </w:t>
      </w:r>
      <w:r w:rsidR="00BB1882" w:rsidRPr="00C2429A">
        <w:rPr>
          <w:rFonts w:ascii="Times New Roman" w:hAnsi="Times New Roman" w:cs="Times New Roman"/>
          <w:sz w:val="22"/>
        </w:rPr>
        <w:t>for a purpose prescribed by th</w:t>
      </w:r>
      <w:r w:rsidR="00572BEB" w:rsidRPr="00C2429A">
        <w:rPr>
          <w:rFonts w:ascii="Times New Roman" w:hAnsi="Times New Roman" w:cs="Times New Roman"/>
          <w:sz w:val="22"/>
        </w:rPr>
        <w:t>ose</w:t>
      </w:r>
      <w:r w:rsidR="00BB1882" w:rsidRPr="00C2429A">
        <w:rPr>
          <w:rFonts w:ascii="Times New Roman" w:hAnsi="Times New Roman" w:cs="Times New Roman"/>
          <w:sz w:val="22"/>
        </w:rPr>
        <w:t xml:space="preserve"> </w:t>
      </w:r>
      <w:r w:rsidR="002A3712" w:rsidRPr="00C2429A">
        <w:rPr>
          <w:rFonts w:ascii="Times New Roman" w:hAnsi="Times New Roman" w:cs="Times New Roman"/>
          <w:sz w:val="22"/>
        </w:rPr>
        <w:t>r</w:t>
      </w:r>
      <w:r w:rsidR="00BB1882" w:rsidRPr="00C2429A">
        <w:rPr>
          <w:rFonts w:ascii="Times New Roman" w:hAnsi="Times New Roman" w:cs="Times New Roman"/>
          <w:sz w:val="22"/>
        </w:rPr>
        <w:t>ules.</w:t>
      </w:r>
    </w:p>
    <w:p w14:paraId="2C5169BD" w14:textId="2C1C9E8D" w:rsidR="006159C5" w:rsidRPr="00AC7DB4" w:rsidRDefault="00AC7DB4" w:rsidP="00AC7DB4">
      <w:pPr>
        <w:jc w:val="both"/>
        <w:rPr>
          <w:rFonts w:ascii="Times New Roman" w:hAnsi="Times New Roman" w:cs="Times New Roman"/>
          <w:b/>
        </w:rPr>
      </w:pPr>
      <w:r w:rsidRPr="00AC7DB4">
        <w:rPr>
          <w:rFonts w:ascii="Times New Roman" w:hAnsi="Times New Roman" w:cs="Times New Roman"/>
          <w:b/>
        </w:rPr>
        <w:t>PURPOSE AND OPERATION OF THE RULES</w:t>
      </w:r>
    </w:p>
    <w:p w14:paraId="143AF9B0" w14:textId="734DB51D" w:rsidR="00517424" w:rsidRPr="00C2429A" w:rsidRDefault="00517424" w:rsidP="00517424">
      <w:pPr>
        <w:jc w:val="both"/>
        <w:rPr>
          <w:rFonts w:ascii="Times New Roman" w:hAnsi="Times New Roman" w:cs="Times New Roman"/>
          <w:b/>
          <w:bCs/>
          <w:i/>
          <w:sz w:val="22"/>
        </w:rPr>
      </w:pPr>
      <w:r w:rsidRPr="00C2429A">
        <w:rPr>
          <w:rFonts w:ascii="Times New Roman" w:hAnsi="Times New Roman" w:cs="Times New Roman"/>
          <w:sz w:val="22"/>
        </w:rPr>
        <w:t xml:space="preserve">The Rules </w:t>
      </w:r>
      <w:r w:rsidR="00A70C0A">
        <w:rPr>
          <w:rFonts w:ascii="Times New Roman" w:hAnsi="Times New Roman" w:cs="Times New Roman"/>
          <w:sz w:val="22"/>
        </w:rPr>
        <w:t xml:space="preserve">would </w:t>
      </w:r>
      <w:r w:rsidRPr="00C2429A">
        <w:rPr>
          <w:rFonts w:ascii="Times New Roman" w:hAnsi="Times New Roman" w:cs="Times New Roman"/>
          <w:sz w:val="22"/>
        </w:rPr>
        <w:t xml:space="preserve">prescribe matters for the purposes of section 53 of the Act, </w:t>
      </w:r>
      <w:r w:rsidR="00184B3C">
        <w:rPr>
          <w:rFonts w:ascii="Times New Roman" w:hAnsi="Times New Roman" w:cs="Times New Roman"/>
          <w:sz w:val="22"/>
        </w:rPr>
        <w:t>to</w:t>
      </w:r>
      <w:r w:rsidR="00184B3C" w:rsidRPr="00C2429A">
        <w:rPr>
          <w:rFonts w:ascii="Times New Roman" w:hAnsi="Times New Roman" w:cs="Times New Roman"/>
          <w:sz w:val="22"/>
        </w:rPr>
        <w:t xml:space="preserve"> </w:t>
      </w:r>
      <w:r w:rsidRPr="00C2429A">
        <w:rPr>
          <w:rFonts w:ascii="Times New Roman" w:hAnsi="Times New Roman" w:cs="Times New Roman"/>
          <w:sz w:val="22"/>
        </w:rPr>
        <w:t xml:space="preserve">allow the Secretary of the Attorney-General’s Department to </w:t>
      </w:r>
      <w:r>
        <w:rPr>
          <w:rFonts w:ascii="Times New Roman" w:hAnsi="Times New Roman" w:cs="Times New Roman"/>
          <w:sz w:val="22"/>
        </w:rPr>
        <w:t>communicate</w:t>
      </w:r>
      <w:r w:rsidRPr="00C2429A">
        <w:rPr>
          <w:rFonts w:ascii="Times New Roman" w:hAnsi="Times New Roman" w:cs="Times New Roman"/>
          <w:sz w:val="22"/>
        </w:rPr>
        <w:t xml:space="preserve"> </w:t>
      </w:r>
      <w:r>
        <w:rPr>
          <w:rFonts w:ascii="Times New Roman" w:hAnsi="Times New Roman" w:cs="Times New Roman"/>
          <w:sz w:val="22"/>
        </w:rPr>
        <w:t xml:space="preserve">scheme </w:t>
      </w:r>
      <w:r w:rsidRPr="00C2429A">
        <w:rPr>
          <w:rFonts w:ascii="Times New Roman" w:hAnsi="Times New Roman" w:cs="Times New Roman"/>
          <w:sz w:val="22"/>
        </w:rPr>
        <w:t xml:space="preserve">information </w:t>
      </w:r>
      <w:bookmarkStart w:id="1" w:name="_Hlk124340161"/>
      <w:r>
        <w:rPr>
          <w:rFonts w:ascii="Times New Roman" w:hAnsi="Times New Roman" w:cs="Times New Roman"/>
          <w:sz w:val="22"/>
        </w:rPr>
        <w:t xml:space="preserve">to the Minister responsible for </w:t>
      </w:r>
      <w:r w:rsidRPr="00C2429A">
        <w:rPr>
          <w:rFonts w:ascii="Times New Roman" w:hAnsi="Times New Roman" w:cs="Times New Roman"/>
          <w:sz w:val="22"/>
        </w:rPr>
        <w:t xml:space="preserve">the </w:t>
      </w:r>
      <w:r w:rsidRPr="00C2429A">
        <w:rPr>
          <w:rFonts w:ascii="Times New Roman" w:hAnsi="Times New Roman" w:cs="Times New Roman"/>
          <w:bCs/>
          <w:i/>
          <w:sz w:val="22"/>
        </w:rPr>
        <w:t xml:space="preserve">Australia’s Foreign Relations (State and Territory Arrangements) Act 2020 </w:t>
      </w:r>
      <w:r w:rsidRPr="00C2429A">
        <w:rPr>
          <w:rFonts w:ascii="Times New Roman" w:hAnsi="Times New Roman" w:cs="Times New Roman"/>
          <w:bCs/>
          <w:sz w:val="22"/>
        </w:rPr>
        <w:t>(Foreign Relations Act)</w:t>
      </w:r>
      <w:r>
        <w:rPr>
          <w:rFonts w:ascii="Times New Roman" w:hAnsi="Times New Roman" w:cs="Times New Roman"/>
          <w:bCs/>
          <w:sz w:val="22"/>
        </w:rPr>
        <w:t xml:space="preserve"> and their department, for the purposes of </w:t>
      </w:r>
      <w:r>
        <w:rPr>
          <w:rFonts w:ascii="Times New Roman" w:hAnsi="Times New Roman" w:cs="Times New Roman"/>
          <w:sz w:val="22"/>
        </w:rPr>
        <w:t xml:space="preserve">administering </w:t>
      </w:r>
      <w:r>
        <w:rPr>
          <w:rFonts w:ascii="Times New Roman" w:hAnsi="Times New Roman" w:cs="Times New Roman"/>
          <w:bCs/>
          <w:sz w:val="22"/>
        </w:rPr>
        <w:t>that Act</w:t>
      </w:r>
      <w:r w:rsidRPr="00C2429A">
        <w:rPr>
          <w:rFonts w:ascii="Times New Roman" w:hAnsi="Times New Roman" w:cs="Times New Roman"/>
          <w:i/>
          <w:sz w:val="22"/>
        </w:rPr>
        <w:t>.</w:t>
      </w:r>
      <w:bookmarkEnd w:id="1"/>
      <w:r w:rsidRPr="00C2429A">
        <w:rPr>
          <w:rFonts w:ascii="Times New Roman" w:hAnsi="Times New Roman" w:cs="Times New Roman"/>
          <w:sz w:val="22"/>
        </w:rPr>
        <w:t xml:space="preserve"> </w:t>
      </w:r>
    </w:p>
    <w:p w14:paraId="78C0239A" w14:textId="10F926D3" w:rsidR="007E2310" w:rsidRDefault="0096669A" w:rsidP="00AC7DB4">
      <w:pPr>
        <w:jc w:val="both"/>
        <w:rPr>
          <w:rFonts w:ascii="Times New Roman" w:hAnsi="Times New Roman" w:cs="Times New Roman"/>
          <w:sz w:val="22"/>
        </w:rPr>
      </w:pPr>
      <w:bookmarkStart w:id="2" w:name="_Hlk124340204"/>
      <w:r>
        <w:rPr>
          <w:rFonts w:ascii="Times New Roman" w:hAnsi="Times New Roman" w:cs="Times New Roman"/>
          <w:sz w:val="22"/>
        </w:rPr>
        <w:t>The Attorney-General’s Department</w:t>
      </w:r>
      <w:r w:rsidRPr="0096669A">
        <w:rPr>
          <w:rFonts w:ascii="Times New Roman" w:hAnsi="Times New Roman" w:cs="Times New Roman"/>
          <w:sz w:val="22"/>
        </w:rPr>
        <w:t xml:space="preserve"> administers the Scheme</w:t>
      </w:r>
      <w:r w:rsidR="005C57DE">
        <w:rPr>
          <w:rFonts w:ascii="Times New Roman" w:hAnsi="Times New Roman" w:cs="Times New Roman"/>
          <w:sz w:val="22"/>
        </w:rPr>
        <w:t>,</w:t>
      </w:r>
      <w:r w:rsidRPr="0096669A">
        <w:rPr>
          <w:rFonts w:ascii="Times New Roman" w:hAnsi="Times New Roman" w:cs="Times New Roman"/>
          <w:sz w:val="22"/>
        </w:rPr>
        <w:t xml:space="preserve"> </w:t>
      </w:r>
      <w:r>
        <w:rPr>
          <w:rFonts w:ascii="Times New Roman" w:hAnsi="Times New Roman" w:cs="Times New Roman"/>
          <w:sz w:val="22"/>
        </w:rPr>
        <w:t>which</w:t>
      </w:r>
      <w:r w:rsidR="001E36DB" w:rsidRPr="00C2429A">
        <w:rPr>
          <w:rFonts w:ascii="Times New Roman" w:hAnsi="Times New Roman" w:cs="Times New Roman"/>
          <w:sz w:val="22"/>
        </w:rPr>
        <w:t xml:space="preserve"> requires individuals and entities to register certain activities </w:t>
      </w:r>
      <w:r w:rsidR="005C57DE">
        <w:rPr>
          <w:rFonts w:ascii="Times New Roman" w:hAnsi="Times New Roman" w:cs="Times New Roman"/>
          <w:sz w:val="22"/>
        </w:rPr>
        <w:t>on a public register hosted by the department</w:t>
      </w:r>
      <w:r w:rsidR="001E36DB" w:rsidRPr="00C2429A">
        <w:rPr>
          <w:rFonts w:ascii="Times New Roman" w:hAnsi="Times New Roman" w:cs="Times New Roman"/>
          <w:sz w:val="22"/>
        </w:rPr>
        <w:t xml:space="preserve"> if they undertake those activities on behalf of a foreign principal.</w:t>
      </w:r>
      <w:bookmarkEnd w:id="2"/>
      <w:r w:rsidR="00227E37" w:rsidRPr="00C2429A">
        <w:rPr>
          <w:rFonts w:ascii="Times New Roman" w:hAnsi="Times New Roman" w:cs="Times New Roman"/>
          <w:sz w:val="22"/>
        </w:rPr>
        <w:t xml:space="preserve"> </w:t>
      </w:r>
      <w:r w:rsidR="00A1182E" w:rsidRPr="00C2429A">
        <w:rPr>
          <w:rFonts w:ascii="Times New Roman" w:hAnsi="Times New Roman" w:cs="Times New Roman"/>
          <w:sz w:val="22"/>
        </w:rPr>
        <w:t>T</w:t>
      </w:r>
      <w:r w:rsidR="00227E37" w:rsidRPr="00C2429A">
        <w:rPr>
          <w:rFonts w:ascii="Times New Roman" w:hAnsi="Times New Roman" w:cs="Times New Roman"/>
          <w:sz w:val="22"/>
        </w:rPr>
        <w:t xml:space="preserve">he </w:t>
      </w:r>
      <w:r w:rsidR="001E36DB" w:rsidRPr="00C2429A">
        <w:rPr>
          <w:rFonts w:ascii="Times New Roman" w:hAnsi="Times New Roman" w:cs="Times New Roman"/>
          <w:sz w:val="22"/>
        </w:rPr>
        <w:t>Secretary of the Attorney</w:t>
      </w:r>
      <w:r w:rsidR="005E7FFC" w:rsidRPr="00C2429A">
        <w:rPr>
          <w:rFonts w:ascii="Times New Roman" w:hAnsi="Times New Roman" w:cs="Times New Roman"/>
          <w:sz w:val="22"/>
        </w:rPr>
        <w:noBreakHyphen/>
      </w:r>
      <w:r w:rsidR="001E36DB" w:rsidRPr="00C2429A">
        <w:rPr>
          <w:rFonts w:ascii="Times New Roman" w:hAnsi="Times New Roman" w:cs="Times New Roman"/>
          <w:sz w:val="22"/>
        </w:rPr>
        <w:t>General’s Department has powers to obtain information and documents if the Secretary reasonably suspects that a person might be liable to register under th</w:t>
      </w:r>
      <w:r w:rsidR="00227E37" w:rsidRPr="00C2429A">
        <w:rPr>
          <w:rFonts w:ascii="Times New Roman" w:hAnsi="Times New Roman" w:cs="Times New Roman"/>
          <w:sz w:val="22"/>
        </w:rPr>
        <w:t xml:space="preserve">e </w:t>
      </w:r>
      <w:r w:rsidR="00DA3299" w:rsidRPr="00C2429A">
        <w:rPr>
          <w:rFonts w:ascii="Times New Roman" w:hAnsi="Times New Roman" w:cs="Times New Roman"/>
          <w:sz w:val="22"/>
        </w:rPr>
        <w:t>S</w:t>
      </w:r>
      <w:r w:rsidR="00227E37" w:rsidRPr="00C2429A">
        <w:rPr>
          <w:rFonts w:ascii="Times New Roman" w:hAnsi="Times New Roman" w:cs="Times New Roman"/>
          <w:sz w:val="22"/>
        </w:rPr>
        <w:t>cheme and has not registered</w:t>
      </w:r>
      <w:r w:rsidR="00A1182E" w:rsidRPr="00C2429A">
        <w:rPr>
          <w:rFonts w:ascii="Times New Roman" w:hAnsi="Times New Roman" w:cs="Times New Roman"/>
          <w:sz w:val="22"/>
        </w:rPr>
        <w:t xml:space="preserve"> (section 45)</w:t>
      </w:r>
      <w:r w:rsidR="00227E37" w:rsidRPr="00C2429A">
        <w:rPr>
          <w:rFonts w:ascii="Times New Roman" w:hAnsi="Times New Roman" w:cs="Times New Roman"/>
          <w:sz w:val="22"/>
        </w:rPr>
        <w:t xml:space="preserve">, or reasonably believes that a person (whether or not a registrant) has information or a document that is relevant to the operation of the </w:t>
      </w:r>
      <w:r w:rsidR="00DA3299" w:rsidRPr="00C2429A">
        <w:rPr>
          <w:rFonts w:ascii="Times New Roman" w:hAnsi="Times New Roman" w:cs="Times New Roman"/>
          <w:sz w:val="22"/>
        </w:rPr>
        <w:t>S</w:t>
      </w:r>
      <w:r w:rsidR="00227E37" w:rsidRPr="00C2429A">
        <w:rPr>
          <w:rFonts w:ascii="Times New Roman" w:hAnsi="Times New Roman" w:cs="Times New Roman"/>
          <w:sz w:val="22"/>
        </w:rPr>
        <w:t>cheme</w:t>
      </w:r>
      <w:r w:rsidR="00A1182E" w:rsidRPr="00C2429A">
        <w:rPr>
          <w:rFonts w:ascii="Times New Roman" w:hAnsi="Times New Roman" w:cs="Times New Roman"/>
          <w:sz w:val="22"/>
        </w:rPr>
        <w:t xml:space="preserve"> (section 46)</w:t>
      </w:r>
      <w:r w:rsidR="00227E37" w:rsidRPr="00C2429A">
        <w:rPr>
          <w:rFonts w:ascii="Times New Roman" w:hAnsi="Times New Roman" w:cs="Times New Roman"/>
          <w:sz w:val="22"/>
        </w:rPr>
        <w:t>.</w:t>
      </w:r>
      <w:r w:rsidR="007E2310">
        <w:rPr>
          <w:rFonts w:ascii="Times New Roman" w:hAnsi="Times New Roman" w:cs="Times New Roman"/>
          <w:sz w:val="22"/>
        </w:rPr>
        <w:t xml:space="preserve"> </w:t>
      </w:r>
      <w:r w:rsidR="006879E2" w:rsidRPr="00C2429A">
        <w:rPr>
          <w:rFonts w:ascii="Times New Roman" w:hAnsi="Times New Roman" w:cs="Times New Roman"/>
          <w:sz w:val="22"/>
        </w:rPr>
        <w:t>Section 50 of the Act provides that scheme information is i</w:t>
      </w:r>
      <w:r w:rsidR="001E36DB" w:rsidRPr="00C2429A">
        <w:rPr>
          <w:rFonts w:ascii="Times New Roman" w:hAnsi="Times New Roman" w:cs="Times New Roman"/>
          <w:sz w:val="22"/>
        </w:rPr>
        <w:t xml:space="preserve">nformation obtained by the Secretary, an APS employee of the department who has functions in relation to the </w:t>
      </w:r>
      <w:r w:rsidR="00DA3299" w:rsidRPr="00C2429A">
        <w:rPr>
          <w:rFonts w:ascii="Times New Roman" w:hAnsi="Times New Roman" w:cs="Times New Roman"/>
          <w:sz w:val="22"/>
        </w:rPr>
        <w:t>S</w:t>
      </w:r>
      <w:r w:rsidR="001E36DB" w:rsidRPr="00C2429A">
        <w:rPr>
          <w:rFonts w:ascii="Times New Roman" w:hAnsi="Times New Roman" w:cs="Times New Roman"/>
          <w:sz w:val="22"/>
        </w:rPr>
        <w:t xml:space="preserve">cheme, or any other person who performs functions in relation to the </w:t>
      </w:r>
      <w:r w:rsidR="00DA3299" w:rsidRPr="00C2429A">
        <w:rPr>
          <w:rFonts w:ascii="Times New Roman" w:hAnsi="Times New Roman" w:cs="Times New Roman"/>
          <w:sz w:val="22"/>
        </w:rPr>
        <w:t>S</w:t>
      </w:r>
      <w:r w:rsidR="001E36DB" w:rsidRPr="00C2429A">
        <w:rPr>
          <w:rFonts w:ascii="Times New Roman" w:hAnsi="Times New Roman" w:cs="Times New Roman"/>
          <w:sz w:val="22"/>
        </w:rPr>
        <w:t xml:space="preserve">cheme under an agreement with the Commonwealth, and which was obtained in the course of performing functions or exercising powers under the </w:t>
      </w:r>
      <w:r w:rsidR="00DA3299" w:rsidRPr="00C2429A">
        <w:rPr>
          <w:rFonts w:ascii="Times New Roman" w:hAnsi="Times New Roman" w:cs="Times New Roman"/>
          <w:sz w:val="22"/>
        </w:rPr>
        <w:t>S</w:t>
      </w:r>
      <w:r w:rsidR="001E36DB" w:rsidRPr="00C2429A">
        <w:rPr>
          <w:rFonts w:ascii="Times New Roman" w:hAnsi="Times New Roman" w:cs="Times New Roman"/>
          <w:sz w:val="22"/>
        </w:rPr>
        <w:t xml:space="preserve">cheme. </w:t>
      </w:r>
    </w:p>
    <w:p w14:paraId="06458766" w14:textId="7CEC9167" w:rsidR="00515347" w:rsidRPr="00C2429A" w:rsidRDefault="00D75E50" w:rsidP="00AC7DB4">
      <w:pPr>
        <w:jc w:val="both"/>
        <w:rPr>
          <w:rFonts w:ascii="Times New Roman" w:hAnsi="Times New Roman" w:cs="Times New Roman"/>
          <w:sz w:val="22"/>
        </w:rPr>
      </w:pPr>
      <w:bookmarkStart w:id="3" w:name="_Hlk124340287"/>
      <w:r>
        <w:rPr>
          <w:rFonts w:ascii="Times New Roman" w:hAnsi="Times New Roman" w:cs="Times New Roman"/>
          <w:sz w:val="22"/>
        </w:rPr>
        <w:t xml:space="preserve">The Department of Foreign Affairs and Trade (DFAT) </w:t>
      </w:r>
      <w:r w:rsidR="007E2310">
        <w:rPr>
          <w:rFonts w:ascii="Times New Roman" w:hAnsi="Times New Roman" w:cs="Times New Roman"/>
          <w:sz w:val="22"/>
        </w:rPr>
        <w:t>administers t</w:t>
      </w:r>
      <w:r w:rsidR="007E2310" w:rsidRPr="00C2429A">
        <w:rPr>
          <w:rFonts w:ascii="Times New Roman" w:hAnsi="Times New Roman" w:cs="Times New Roman"/>
          <w:sz w:val="22"/>
        </w:rPr>
        <w:t xml:space="preserve">he </w:t>
      </w:r>
      <w:bookmarkEnd w:id="3"/>
      <w:r w:rsidR="007E2310" w:rsidRPr="00C2429A">
        <w:rPr>
          <w:rFonts w:ascii="Times New Roman" w:hAnsi="Times New Roman" w:cs="Times New Roman"/>
          <w:sz w:val="22"/>
        </w:rPr>
        <w:t>Foreign Relations Act</w:t>
      </w:r>
      <w:r w:rsidR="007E2310">
        <w:rPr>
          <w:rFonts w:ascii="Times New Roman" w:hAnsi="Times New Roman" w:cs="Times New Roman"/>
          <w:sz w:val="22"/>
        </w:rPr>
        <w:t>, which</w:t>
      </w:r>
      <w:r w:rsidR="007E2310" w:rsidRPr="00C2429A">
        <w:rPr>
          <w:rFonts w:ascii="Times New Roman" w:hAnsi="Times New Roman" w:cs="Times New Roman"/>
          <w:sz w:val="22"/>
        </w:rPr>
        <w:t xml:space="preserve"> </w:t>
      </w:r>
      <w:r w:rsidR="00E94DA6" w:rsidRPr="00C2429A">
        <w:rPr>
          <w:rFonts w:ascii="Times New Roman" w:hAnsi="Times New Roman" w:cs="Times New Roman"/>
          <w:sz w:val="22"/>
        </w:rPr>
        <w:t>establishe</w:t>
      </w:r>
      <w:r w:rsidR="00E94DA6">
        <w:rPr>
          <w:rFonts w:ascii="Times New Roman" w:hAnsi="Times New Roman" w:cs="Times New Roman"/>
          <w:sz w:val="22"/>
        </w:rPr>
        <w:t>s</w:t>
      </w:r>
      <w:r w:rsidR="00E94DA6" w:rsidRPr="00C2429A">
        <w:rPr>
          <w:rFonts w:ascii="Times New Roman" w:hAnsi="Times New Roman" w:cs="Times New Roman"/>
          <w:sz w:val="22"/>
        </w:rPr>
        <w:t xml:space="preserve"> </w:t>
      </w:r>
      <w:r w:rsidR="007E2310" w:rsidRPr="00C2429A">
        <w:rPr>
          <w:rFonts w:ascii="Times New Roman" w:hAnsi="Times New Roman" w:cs="Times New Roman"/>
          <w:sz w:val="22"/>
        </w:rPr>
        <w:t>the Foreign Arrangements Scheme</w:t>
      </w:r>
      <w:r w:rsidR="007E2310">
        <w:rPr>
          <w:rFonts w:ascii="Times New Roman" w:hAnsi="Times New Roman" w:cs="Times New Roman"/>
          <w:sz w:val="22"/>
        </w:rPr>
        <w:t xml:space="preserve">. The purpose of the Foreign Arrangements Scheme </w:t>
      </w:r>
      <w:r w:rsidR="007E2310" w:rsidRPr="00C2429A">
        <w:rPr>
          <w:rFonts w:ascii="Times New Roman" w:hAnsi="Times New Roman" w:cs="Times New Roman"/>
          <w:sz w:val="22"/>
        </w:rPr>
        <w:t xml:space="preserve">is to ensure a consistent approach to foreign policy across all levels of Australian government. </w:t>
      </w:r>
      <w:r w:rsidR="00515347" w:rsidRPr="00C2429A">
        <w:rPr>
          <w:rFonts w:ascii="Times New Roman" w:hAnsi="Times New Roman" w:cs="Times New Roman"/>
          <w:sz w:val="22"/>
        </w:rPr>
        <w:t>Under the Foreign Arrangements Scheme, State</w:t>
      </w:r>
      <w:r w:rsidR="00572BEB" w:rsidRPr="00C2429A">
        <w:rPr>
          <w:rFonts w:ascii="Times New Roman" w:hAnsi="Times New Roman" w:cs="Times New Roman"/>
          <w:sz w:val="22"/>
        </w:rPr>
        <w:t xml:space="preserve"> and </w:t>
      </w:r>
      <w:r w:rsidR="00515347" w:rsidRPr="00C2429A">
        <w:rPr>
          <w:rFonts w:ascii="Times New Roman" w:hAnsi="Times New Roman" w:cs="Times New Roman"/>
          <w:sz w:val="22"/>
        </w:rPr>
        <w:t>Territory governments, local</w:t>
      </w:r>
      <w:r w:rsidR="006E5DA4" w:rsidRPr="00C2429A">
        <w:rPr>
          <w:rFonts w:ascii="Times New Roman" w:hAnsi="Times New Roman" w:cs="Times New Roman"/>
          <w:sz w:val="22"/>
        </w:rPr>
        <w:t> </w:t>
      </w:r>
      <w:r w:rsidR="00515347" w:rsidRPr="00C2429A">
        <w:rPr>
          <w:rFonts w:ascii="Times New Roman" w:hAnsi="Times New Roman" w:cs="Times New Roman"/>
          <w:sz w:val="22"/>
        </w:rPr>
        <w:t>governments and Australian public universities were required to notify the Minister for Foreign</w:t>
      </w:r>
      <w:r w:rsidR="00295C02" w:rsidRPr="00C2429A">
        <w:rPr>
          <w:rFonts w:ascii="Times New Roman" w:hAnsi="Times New Roman" w:cs="Times New Roman"/>
          <w:sz w:val="22"/>
        </w:rPr>
        <w:t> </w:t>
      </w:r>
      <w:r w:rsidR="00515347" w:rsidRPr="00C2429A">
        <w:rPr>
          <w:rFonts w:ascii="Times New Roman" w:hAnsi="Times New Roman" w:cs="Times New Roman"/>
          <w:sz w:val="22"/>
        </w:rPr>
        <w:t xml:space="preserve">Affairs of pre-existing arrangements that were in operation on commencement of the </w:t>
      </w:r>
      <w:r w:rsidR="00572BEB" w:rsidRPr="00C2429A">
        <w:rPr>
          <w:rFonts w:ascii="Times New Roman" w:hAnsi="Times New Roman" w:cs="Times New Roman"/>
          <w:sz w:val="22"/>
        </w:rPr>
        <w:t xml:space="preserve">Foreign Arrangements </w:t>
      </w:r>
      <w:r w:rsidR="00515347" w:rsidRPr="00C2429A">
        <w:rPr>
          <w:rFonts w:ascii="Times New Roman" w:hAnsi="Times New Roman" w:cs="Times New Roman"/>
          <w:sz w:val="22"/>
        </w:rPr>
        <w:t xml:space="preserve">Scheme. </w:t>
      </w:r>
      <w:r w:rsidR="00295C02" w:rsidRPr="00C2429A">
        <w:rPr>
          <w:rFonts w:ascii="Times New Roman" w:hAnsi="Times New Roman" w:cs="Times New Roman"/>
          <w:sz w:val="22"/>
        </w:rPr>
        <w:t>Pre</w:t>
      </w:r>
      <w:r w:rsidR="00E94DA6">
        <w:rPr>
          <w:rFonts w:ascii="Times New Roman" w:hAnsi="Times New Roman" w:cs="Times New Roman"/>
          <w:sz w:val="22"/>
        </w:rPr>
        <w:noBreakHyphen/>
      </w:r>
      <w:r w:rsidR="00295C02" w:rsidRPr="00C2429A">
        <w:rPr>
          <w:rFonts w:ascii="Times New Roman" w:hAnsi="Times New Roman" w:cs="Times New Roman"/>
          <w:sz w:val="22"/>
        </w:rPr>
        <w:t>existing c</w:t>
      </w:r>
      <w:r w:rsidR="00515347" w:rsidRPr="00C2429A">
        <w:rPr>
          <w:rFonts w:ascii="Times New Roman" w:hAnsi="Times New Roman" w:cs="Times New Roman"/>
          <w:sz w:val="22"/>
        </w:rPr>
        <w:t>ore foreign arrangements (between State</w:t>
      </w:r>
      <w:r w:rsidR="00572BEB" w:rsidRPr="00C2429A">
        <w:rPr>
          <w:rFonts w:ascii="Times New Roman" w:hAnsi="Times New Roman" w:cs="Times New Roman"/>
          <w:sz w:val="22"/>
        </w:rPr>
        <w:t xml:space="preserve"> and </w:t>
      </w:r>
      <w:r w:rsidR="00515347" w:rsidRPr="00C2429A">
        <w:rPr>
          <w:rFonts w:ascii="Times New Roman" w:hAnsi="Times New Roman" w:cs="Times New Roman"/>
          <w:sz w:val="22"/>
        </w:rPr>
        <w:t>Territory governments and foreign national governments) were required to be notified by 10</w:t>
      </w:r>
      <w:r w:rsidR="00572BEB" w:rsidRPr="00C2429A">
        <w:rPr>
          <w:rFonts w:ascii="Times New Roman" w:hAnsi="Times New Roman" w:cs="Times New Roman"/>
          <w:sz w:val="22"/>
        </w:rPr>
        <w:t> </w:t>
      </w:r>
      <w:r w:rsidR="00515347" w:rsidRPr="00C2429A">
        <w:rPr>
          <w:rFonts w:ascii="Times New Roman" w:hAnsi="Times New Roman" w:cs="Times New Roman"/>
          <w:sz w:val="22"/>
        </w:rPr>
        <w:t>March</w:t>
      </w:r>
      <w:r w:rsidR="00572BEB" w:rsidRPr="00C2429A">
        <w:rPr>
          <w:rFonts w:ascii="Times New Roman" w:hAnsi="Times New Roman" w:cs="Times New Roman"/>
          <w:sz w:val="22"/>
        </w:rPr>
        <w:t> </w:t>
      </w:r>
      <w:r w:rsidR="00515347" w:rsidRPr="00C2429A">
        <w:rPr>
          <w:rFonts w:ascii="Times New Roman" w:hAnsi="Times New Roman" w:cs="Times New Roman"/>
          <w:sz w:val="22"/>
        </w:rPr>
        <w:t xml:space="preserve">2021 and </w:t>
      </w:r>
      <w:r w:rsidR="00295C02" w:rsidRPr="00C2429A">
        <w:rPr>
          <w:rFonts w:ascii="Times New Roman" w:hAnsi="Times New Roman" w:cs="Times New Roman"/>
          <w:sz w:val="22"/>
        </w:rPr>
        <w:t xml:space="preserve">pre-existing </w:t>
      </w:r>
      <w:r w:rsidR="00515347" w:rsidRPr="00C2429A">
        <w:rPr>
          <w:rFonts w:ascii="Times New Roman" w:hAnsi="Times New Roman" w:cs="Times New Roman"/>
          <w:sz w:val="22"/>
        </w:rPr>
        <w:t>non</w:t>
      </w:r>
      <w:r w:rsidR="002E1E3E" w:rsidRPr="00C2429A">
        <w:rPr>
          <w:rFonts w:ascii="Times New Roman" w:hAnsi="Times New Roman" w:cs="Times New Roman"/>
          <w:sz w:val="22"/>
        </w:rPr>
        <w:noBreakHyphen/>
      </w:r>
      <w:r w:rsidR="00515347" w:rsidRPr="00C2429A">
        <w:rPr>
          <w:rFonts w:ascii="Times New Roman" w:hAnsi="Times New Roman" w:cs="Times New Roman"/>
          <w:sz w:val="22"/>
        </w:rPr>
        <w:t>core foreign arrangements (</w:t>
      </w:r>
      <w:r w:rsidR="00572BEB" w:rsidRPr="00C2429A">
        <w:rPr>
          <w:rFonts w:ascii="Times New Roman" w:hAnsi="Times New Roman" w:cs="Times New Roman"/>
          <w:sz w:val="22"/>
        </w:rPr>
        <w:t>S</w:t>
      </w:r>
      <w:r w:rsidR="00515347" w:rsidRPr="00C2429A">
        <w:rPr>
          <w:rFonts w:ascii="Times New Roman" w:hAnsi="Times New Roman" w:cs="Times New Roman"/>
          <w:sz w:val="22"/>
        </w:rPr>
        <w:t>tate</w:t>
      </w:r>
      <w:r w:rsidR="005C57DE">
        <w:rPr>
          <w:rFonts w:ascii="Times New Roman" w:hAnsi="Times New Roman" w:cs="Times New Roman"/>
          <w:sz w:val="22"/>
        </w:rPr>
        <w:t> </w:t>
      </w:r>
      <w:r w:rsidR="00572BEB" w:rsidRPr="00C2429A">
        <w:rPr>
          <w:rFonts w:ascii="Times New Roman" w:hAnsi="Times New Roman" w:cs="Times New Roman"/>
          <w:sz w:val="22"/>
        </w:rPr>
        <w:t>and T</w:t>
      </w:r>
      <w:r w:rsidR="00515347" w:rsidRPr="00C2429A">
        <w:rPr>
          <w:rFonts w:ascii="Times New Roman" w:hAnsi="Times New Roman" w:cs="Times New Roman"/>
          <w:sz w:val="22"/>
        </w:rPr>
        <w:t>erritory sub</w:t>
      </w:r>
      <w:r w:rsidR="00295C02" w:rsidRPr="00C2429A">
        <w:rPr>
          <w:rFonts w:ascii="Times New Roman" w:hAnsi="Times New Roman" w:cs="Times New Roman"/>
          <w:sz w:val="22"/>
        </w:rPr>
        <w:noBreakHyphen/>
      </w:r>
      <w:r w:rsidR="00515347" w:rsidRPr="00C2429A">
        <w:rPr>
          <w:rFonts w:ascii="Times New Roman" w:hAnsi="Times New Roman" w:cs="Times New Roman"/>
          <w:sz w:val="22"/>
        </w:rPr>
        <w:t>national, local government and university arrangements) were required to be notified by 10</w:t>
      </w:r>
      <w:r w:rsidR="00572BEB" w:rsidRPr="00C2429A">
        <w:rPr>
          <w:rFonts w:ascii="Times New Roman" w:hAnsi="Times New Roman" w:cs="Times New Roman"/>
          <w:sz w:val="22"/>
        </w:rPr>
        <w:t> </w:t>
      </w:r>
      <w:r w:rsidR="00515347" w:rsidRPr="00C2429A">
        <w:rPr>
          <w:rFonts w:ascii="Times New Roman" w:hAnsi="Times New Roman" w:cs="Times New Roman"/>
          <w:sz w:val="22"/>
        </w:rPr>
        <w:t>June</w:t>
      </w:r>
      <w:r w:rsidR="00572BEB" w:rsidRPr="00C2429A">
        <w:rPr>
          <w:rFonts w:ascii="Times New Roman" w:hAnsi="Times New Roman" w:cs="Times New Roman"/>
          <w:sz w:val="22"/>
        </w:rPr>
        <w:t xml:space="preserve"> </w:t>
      </w:r>
      <w:r w:rsidR="00515347" w:rsidRPr="00C2429A">
        <w:rPr>
          <w:rFonts w:ascii="Times New Roman" w:hAnsi="Times New Roman" w:cs="Times New Roman"/>
          <w:sz w:val="22"/>
        </w:rPr>
        <w:t>2021. As of 10</w:t>
      </w:r>
      <w:r w:rsidR="00572BEB" w:rsidRPr="00C2429A">
        <w:rPr>
          <w:rFonts w:ascii="Times New Roman" w:hAnsi="Times New Roman" w:cs="Times New Roman"/>
          <w:sz w:val="22"/>
        </w:rPr>
        <w:t> </w:t>
      </w:r>
      <w:r w:rsidR="00515347" w:rsidRPr="00C2429A">
        <w:rPr>
          <w:rFonts w:ascii="Times New Roman" w:hAnsi="Times New Roman" w:cs="Times New Roman"/>
          <w:sz w:val="22"/>
        </w:rPr>
        <w:t>March</w:t>
      </w:r>
      <w:r w:rsidR="00572BEB" w:rsidRPr="00C2429A">
        <w:rPr>
          <w:rFonts w:ascii="Times New Roman" w:hAnsi="Times New Roman" w:cs="Times New Roman"/>
          <w:sz w:val="22"/>
        </w:rPr>
        <w:t xml:space="preserve"> </w:t>
      </w:r>
      <w:r w:rsidR="00515347" w:rsidRPr="00C2429A">
        <w:rPr>
          <w:rFonts w:ascii="Times New Roman" w:hAnsi="Times New Roman" w:cs="Times New Roman"/>
          <w:sz w:val="22"/>
        </w:rPr>
        <w:t>2021, State</w:t>
      </w:r>
      <w:r w:rsidR="00572BEB" w:rsidRPr="00C2429A">
        <w:rPr>
          <w:rFonts w:ascii="Times New Roman" w:hAnsi="Times New Roman" w:cs="Times New Roman"/>
          <w:sz w:val="22"/>
        </w:rPr>
        <w:t xml:space="preserve"> and </w:t>
      </w:r>
      <w:r w:rsidR="00515347" w:rsidRPr="00C2429A">
        <w:rPr>
          <w:rFonts w:ascii="Times New Roman" w:hAnsi="Times New Roman" w:cs="Times New Roman"/>
          <w:sz w:val="22"/>
        </w:rPr>
        <w:t xml:space="preserve">Territory governments, local governments and Australian public universities have also been required to notify the Minister of prospective foreign arrangements and, for core arrangements, seek the Minister’s approval. The Minister may cancel, vary </w:t>
      </w:r>
      <w:r w:rsidR="00515347" w:rsidRPr="00C2429A">
        <w:rPr>
          <w:rFonts w:ascii="Times New Roman" w:hAnsi="Times New Roman" w:cs="Times New Roman"/>
          <w:sz w:val="22"/>
        </w:rPr>
        <w:lastRenderedPageBreak/>
        <w:t xml:space="preserve">or prevent an arrangement from proceeding where the arrangement is inconsistent with Australia’s foreign policy or </w:t>
      </w:r>
      <w:r w:rsidR="00161562">
        <w:rPr>
          <w:rFonts w:ascii="Times New Roman" w:hAnsi="Times New Roman" w:cs="Times New Roman"/>
          <w:sz w:val="22"/>
        </w:rPr>
        <w:t>adversely affects</w:t>
      </w:r>
      <w:r w:rsidR="00515347" w:rsidRPr="00C2429A">
        <w:rPr>
          <w:rFonts w:ascii="Times New Roman" w:hAnsi="Times New Roman" w:cs="Times New Roman"/>
          <w:sz w:val="22"/>
        </w:rPr>
        <w:t xml:space="preserve"> Australia’s foreign relations. </w:t>
      </w:r>
    </w:p>
    <w:p w14:paraId="26434295" w14:textId="1E765D48" w:rsidR="004C484E" w:rsidRPr="00C2429A" w:rsidRDefault="00515347" w:rsidP="00AC7DB4">
      <w:pPr>
        <w:jc w:val="both"/>
        <w:rPr>
          <w:rFonts w:ascii="Times New Roman" w:hAnsi="Times New Roman" w:cs="Times New Roman"/>
          <w:sz w:val="22"/>
        </w:rPr>
      </w:pPr>
      <w:r w:rsidRPr="00C2429A">
        <w:rPr>
          <w:rFonts w:ascii="Times New Roman" w:hAnsi="Times New Roman" w:cs="Times New Roman"/>
          <w:sz w:val="22"/>
        </w:rPr>
        <w:t>The Foreign Arrangements Scheme is part of a range of Government measures to protect Australia’s national interests. The Foreign Arrangements Scheme operates alongside, and is complementary to</w:t>
      </w:r>
      <w:r w:rsidR="001C764A" w:rsidRPr="00C2429A">
        <w:rPr>
          <w:rFonts w:ascii="Times New Roman" w:hAnsi="Times New Roman" w:cs="Times New Roman"/>
          <w:sz w:val="22"/>
        </w:rPr>
        <w:t>,</w:t>
      </w:r>
      <w:r w:rsidRPr="00C2429A">
        <w:rPr>
          <w:rFonts w:ascii="Times New Roman" w:hAnsi="Times New Roman" w:cs="Times New Roman"/>
          <w:sz w:val="22"/>
        </w:rPr>
        <w:t xml:space="preserve"> the Foreign Influence Transparency Scheme. </w:t>
      </w:r>
      <w:r w:rsidR="001C764A" w:rsidRPr="00C2429A">
        <w:rPr>
          <w:rFonts w:ascii="Times New Roman" w:hAnsi="Times New Roman" w:cs="Times New Roman"/>
          <w:sz w:val="22"/>
        </w:rPr>
        <w:t xml:space="preserve">Given the nature of the Foreign Arrangements Scheme and the arrangements that are within its remit, a </w:t>
      </w:r>
      <w:r w:rsidR="0003486F" w:rsidRPr="00C2429A">
        <w:rPr>
          <w:rFonts w:ascii="Times New Roman" w:hAnsi="Times New Roman" w:cs="Times New Roman"/>
          <w:sz w:val="22"/>
        </w:rPr>
        <w:t>small number</w:t>
      </w:r>
      <w:r w:rsidR="002E1E3E" w:rsidRPr="00C2429A">
        <w:rPr>
          <w:rFonts w:ascii="Times New Roman" w:hAnsi="Times New Roman" w:cs="Times New Roman"/>
          <w:sz w:val="22"/>
        </w:rPr>
        <w:t xml:space="preserve"> of entities may be within the scope of both </w:t>
      </w:r>
      <w:r w:rsidR="001C764A" w:rsidRPr="00C2429A">
        <w:rPr>
          <w:rFonts w:ascii="Times New Roman" w:hAnsi="Times New Roman" w:cs="Times New Roman"/>
          <w:sz w:val="22"/>
        </w:rPr>
        <w:t>schemes</w:t>
      </w:r>
      <w:r w:rsidR="002E1E3E" w:rsidRPr="00C2429A">
        <w:rPr>
          <w:rFonts w:ascii="Times New Roman" w:hAnsi="Times New Roman" w:cs="Times New Roman"/>
          <w:sz w:val="22"/>
        </w:rPr>
        <w:t>. For instance, an entity</w:t>
      </w:r>
      <w:r w:rsidR="0040071E" w:rsidRPr="00C2429A">
        <w:rPr>
          <w:rFonts w:ascii="Times New Roman" w:hAnsi="Times New Roman" w:cs="Times New Roman"/>
          <w:sz w:val="22"/>
        </w:rPr>
        <w:t xml:space="preserve"> </w:t>
      </w:r>
      <w:r w:rsidR="002E1E3E" w:rsidRPr="00C2429A">
        <w:rPr>
          <w:rFonts w:ascii="Times New Roman" w:hAnsi="Times New Roman" w:cs="Times New Roman"/>
          <w:sz w:val="22"/>
        </w:rPr>
        <w:t>may be involved in an arrangement required to be notified to the Minister</w:t>
      </w:r>
      <w:r w:rsidR="00DC22D4" w:rsidRPr="00C2429A">
        <w:rPr>
          <w:rFonts w:ascii="Times New Roman" w:hAnsi="Times New Roman" w:cs="Times New Roman"/>
          <w:sz w:val="22"/>
        </w:rPr>
        <w:t>,</w:t>
      </w:r>
      <w:r w:rsidR="002E1E3E" w:rsidRPr="00C2429A">
        <w:rPr>
          <w:rFonts w:ascii="Times New Roman" w:hAnsi="Times New Roman" w:cs="Times New Roman"/>
          <w:sz w:val="22"/>
        </w:rPr>
        <w:t xml:space="preserve"> </w:t>
      </w:r>
      <w:r w:rsidR="00B94BFD" w:rsidRPr="00C2429A">
        <w:rPr>
          <w:rFonts w:ascii="Times New Roman" w:hAnsi="Times New Roman" w:cs="Times New Roman"/>
          <w:sz w:val="22"/>
        </w:rPr>
        <w:t>whilst also</w:t>
      </w:r>
      <w:r w:rsidR="002E1E3E" w:rsidRPr="00C2429A">
        <w:rPr>
          <w:rFonts w:ascii="Times New Roman" w:hAnsi="Times New Roman" w:cs="Times New Roman"/>
          <w:sz w:val="22"/>
        </w:rPr>
        <w:t xml:space="preserve"> </w:t>
      </w:r>
      <w:r w:rsidR="00E94DA6">
        <w:rPr>
          <w:rFonts w:ascii="Times New Roman" w:hAnsi="Times New Roman" w:cs="Times New Roman"/>
          <w:sz w:val="22"/>
        </w:rPr>
        <w:t xml:space="preserve">being </w:t>
      </w:r>
      <w:r w:rsidR="002E1E3E" w:rsidRPr="00C2429A">
        <w:rPr>
          <w:rFonts w:ascii="Times New Roman" w:hAnsi="Times New Roman" w:cs="Times New Roman"/>
          <w:sz w:val="22"/>
        </w:rPr>
        <w:t xml:space="preserve">a foreign principal for the purposes of the </w:t>
      </w:r>
      <w:r w:rsidR="00DA3299" w:rsidRPr="00C2429A">
        <w:rPr>
          <w:rFonts w:ascii="Times New Roman" w:hAnsi="Times New Roman" w:cs="Times New Roman"/>
          <w:sz w:val="22"/>
        </w:rPr>
        <w:t>S</w:t>
      </w:r>
      <w:r w:rsidR="002E1E3E" w:rsidRPr="00C2429A">
        <w:rPr>
          <w:rFonts w:ascii="Times New Roman" w:hAnsi="Times New Roman" w:cs="Times New Roman"/>
          <w:sz w:val="22"/>
        </w:rPr>
        <w:t xml:space="preserve">cheme. </w:t>
      </w:r>
    </w:p>
    <w:p w14:paraId="473C4AA7" w14:textId="409FB69C" w:rsidR="006F76DA" w:rsidRDefault="0096669A" w:rsidP="0096669A">
      <w:pPr>
        <w:jc w:val="both"/>
        <w:rPr>
          <w:rFonts w:ascii="Times New Roman" w:hAnsi="Times New Roman" w:cs="Times New Roman"/>
          <w:sz w:val="22"/>
        </w:rPr>
      </w:pPr>
      <w:bookmarkStart w:id="4" w:name="_Hlk124345115"/>
      <w:bookmarkStart w:id="5" w:name="_Hlk112751947"/>
      <w:r>
        <w:rPr>
          <w:rFonts w:ascii="Times New Roman" w:hAnsi="Times New Roman" w:cs="Times New Roman"/>
          <w:sz w:val="22"/>
        </w:rPr>
        <w:t>T</w:t>
      </w:r>
      <w:r w:rsidR="007E2310" w:rsidRPr="00C2429A">
        <w:rPr>
          <w:rFonts w:ascii="Times New Roman" w:hAnsi="Times New Roman" w:cs="Times New Roman"/>
          <w:sz w:val="22"/>
        </w:rPr>
        <w:t>he Rules</w:t>
      </w:r>
      <w:r w:rsidR="005C57DE">
        <w:rPr>
          <w:rFonts w:ascii="Times New Roman" w:hAnsi="Times New Roman" w:cs="Times New Roman"/>
          <w:sz w:val="22"/>
        </w:rPr>
        <w:t xml:space="preserve"> would </w:t>
      </w:r>
      <w:r w:rsidR="00E94DA6">
        <w:rPr>
          <w:rFonts w:ascii="Times New Roman" w:hAnsi="Times New Roman" w:cs="Times New Roman"/>
          <w:sz w:val="22"/>
        </w:rPr>
        <w:t xml:space="preserve">authorise </w:t>
      </w:r>
      <w:r w:rsidR="005C57DE">
        <w:rPr>
          <w:rFonts w:ascii="Times New Roman" w:hAnsi="Times New Roman" w:cs="Times New Roman"/>
          <w:sz w:val="22"/>
        </w:rPr>
        <w:t xml:space="preserve">the Secretary of the Attorney-General’s Department, or their delegate, to communicate scheme information to the Foreign Minister and DFAT </w:t>
      </w:r>
      <w:r w:rsidR="00E94DA6">
        <w:rPr>
          <w:rFonts w:ascii="Times New Roman" w:hAnsi="Times New Roman" w:cs="Times New Roman"/>
          <w:sz w:val="22"/>
        </w:rPr>
        <w:t xml:space="preserve">for the purpose of </w:t>
      </w:r>
      <w:r w:rsidR="005C57DE">
        <w:rPr>
          <w:rFonts w:ascii="Times New Roman" w:hAnsi="Times New Roman" w:cs="Times New Roman"/>
          <w:sz w:val="22"/>
        </w:rPr>
        <w:t>administer</w:t>
      </w:r>
      <w:r w:rsidR="00E94DA6">
        <w:rPr>
          <w:rFonts w:ascii="Times New Roman" w:hAnsi="Times New Roman" w:cs="Times New Roman"/>
          <w:sz w:val="22"/>
        </w:rPr>
        <w:t>ing</w:t>
      </w:r>
      <w:r w:rsidR="005C57DE">
        <w:rPr>
          <w:rFonts w:ascii="Times New Roman" w:hAnsi="Times New Roman" w:cs="Times New Roman"/>
          <w:sz w:val="22"/>
        </w:rPr>
        <w:t xml:space="preserve"> the Foreign Relations Act</w:t>
      </w:r>
      <w:r w:rsidR="007E2310" w:rsidRPr="00C2429A">
        <w:rPr>
          <w:rFonts w:ascii="Times New Roman" w:hAnsi="Times New Roman" w:cs="Times New Roman"/>
          <w:sz w:val="22"/>
        </w:rPr>
        <w:t xml:space="preserve">. </w:t>
      </w:r>
      <w:bookmarkEnd w:id="4"/>
      <w:r w:rsidR="0042306D">
        <w:rPr>
          <w:rFonts w:ascii="Times New Roman" w:hAnsi="Times New Roman" w:cs="Times New Roman"/>
          <w:sz w:val="22"/>
        </w:rPr>
        <w:t>Given the potential for entities to be within the scope of both</w:t>
      </w:r>
      <w:r>
        <w:rPr>
          <w:rFonts w:ascii="Times New Roman" w:hAnsi="Times New Roman" w:cs="Times New Roman"/>
          <w:sz w:val="22"/>
        </w:rPr>
        <w:t xml:space="preserve"> schemes, the</w:t>
      </w:r>
      <w:r w:rsidR="004151AC" w:rsidRPr="00AC7DB4">
        <w:rPr>
          <w:rFonts w:ascii="Times New Roman" w:hAnsi="Times New Roman" w:cs="Times New Roman"/>
          <w:sz w:val="22"/>
        </w:rPr>
        <w:t xml:space="preserve"> </w:t>
      </w:r>
      <w:r w:rsidR="0042306D">
        <w:rPr>
          <w:rFonts w:ascii="Times New Roman" w:hAnsi="Times New Roman" w:cs="Times New Roman"/>
          <w:sz w:val="22"/>
        </w:rPr>
        <w:t xml:space="preserve">ability for the Attorney-General’s Department to share information obtained under the Scheme with the Minister for Foreign Affairs and DFAT for the purposes of administering the Foreign Arrangements Scheme </w:t>
      </w:r>
      <w:r w:rsidR="00627C91" w:rsidRPr="00AC7DB4">
        <w:rPr>
          <w:rFonts w:ascii="Times New Roman" w:hAnsi="Times New Roman" w:cs="Times New Roman"/>
          <w:sz w:val="22"/>
        </w:rPr>
        <w:t xml:space="preserve">would </w:t>
      </w:r>
      <w:r w:rsidR="009D30A8" w:rsidRPr="00AC7DB4">
        <w:rPr>
          <w:rFonts w:ascii="Times New Roman" w:hAnsi="Times New Roman" w:cs="Times New Roman"/>
          <w:sz w:val="22"/>
        </w:rPr>
        <w:t xml:space="preserve">improve the interoperability </w:t>
      </w:r>
      <w:r w:rsidR="000255BC" w:rsidRPr="00AC7DB4">
        <w:rPr>
          <w:rFonts w:ascii="Times New Roman" w:hAnsi="Times New Roman" w:cs="Times New Roman"/>
          <w:sz w:val="22"/>
        </w:rPr>
        <w:t>of the schemes</w:t>
      </w:r>
      <w:r w:rsidR="009E5FC7">
        <w:rPr>
          <w:rFonts w:ascii="Times New Roman" w:hAnsi="Times New Roman" w:cs="Times New Roman"/>
          <w:sz w:val="22"/>
        </w:rPr>
        <w:t>.</w:t>
      </w:r>
      <w:r w:rsidR="006F76DA">
        <w:rPr>
          <w:rFonts w:ascii="Times New Roman" w:hAnsi="Times New Roman" w:cs="Times New Roman"/>
          <w:sz w:val="22"/>
        </w:rPr>
        <w:t xml:space="preserve"> </w:t>
      </w:r>
      <w:r w:rsidR="009E5FC7">
        <w:rPr>
          <w:rFonts w:ascii="Times New Roman" w:hAnsi="Times New Roman" w:cs="Times New Roman"/>
          <w:sz w:val="22"/>
        </w:rPr>
        <w:t>A</w:t>
      </w:r>
      <w:r w:rsidR="006F76DA">
        <w:rPr>
          <w:rFonts w:ascii="Times New Roman" w:hAnsi="Times New Roman" w:cs="Times New Roman"/>
          <w:sz w:val="22"/>
        </w:rPr>
        <w:t xml:space="preserve"> decision under one Act may be relevant to the administration of the other. For example, a decision by the </w:t>
      </w:r>
      <w:r w:rsidR="006B140C">
        <w:rPr>
          <w:rFonts w:ascii="Times New Roman" w:hAnsi="Times New Roman" w:cs="Times New Roman"/>
          <w:sz w:val="22"/>
        </w:rPr>
        <w:t xml:space="preserve">Foreign </w:t>
      </w:r>
      <w:r w:rsidR="006F76DA">
        <w:rPr>
          <w:rFonts w:ascii="Times New Roman" w:hAnsi="Times New Roman" w:cs="Times New Roman"/>
          <w:sz w:val="22"/>
        </w:rPr>
        <w:t xml:space="preserve">Minister to cancel or vary an arrangement with an entity under the Foreign Arrangements Scheme may alter the way the </w:t>
      </w:r>
      <w:r w:rsidR="003F4E84">
        <w:rPr>
          <w:rFonts w:ascii="Times New Roman" w:hAnsi="Times New Roman" w:cs="Times New Roman"/>
          <w:sz w:val="22"/>
        </w:rPr>
        <w:t>Act</w:t>
      </w:r>
      <w:r w:rsidR="006F76DA">
        <w:rPr>
          <w:rFonts w:ascii="Times New Roman" w:hAnsi="Times New Roman" w:cs="Times New Roman"/>
          <w:sz w:val="22"/>
        </w:rPr>
        <w:t xml:space="preserve"> applies to the relevant entity.</w:t>
      </w:r>
      <w:r w:rsidR="003F4E84">
        <w:rPr>
          <w:rFonts w:ascii="Times New Roman" w:hAnsi="Times New Roman" w:cs="Times New Roman"/>
          <w:sz w:val="22"/>
        </w:rPr>
        <w:t xml:space="preserve"> </w:t>
      </w:r>
      <w:r w:rsidR="009207FF">
        <w:rPr>
          <w:rFonts w:ascii="Times New Roman" w:hAnsi="Times New Roman" w:cs="Times New Roman"/>
          <w:sz w:val="22"/>
        </w:rPr>
        <w:t>The Rules</w:t>
      </w:r>
      <w:r w:rsidR="003F4E84">
        <w:rPr>
          <w:rFonts w:ascii="Times New Roman" w:hAnsi="Times New Roman" w:cs="Times New Roman"/>
          <w:sz w:val="22"/>
        </w:rPr>
        <w:t xml:space="preserve"> </w:t>
      </w:r>
      <w:r w:rsidR="007362C2">
        <w:rPr>
          <w:rFonts w:ascii="Times New Roman" w:hAnsi="Times New Roman" w:cs="Times New Roman"/>
          <w:sz w:val="22"/>
        </w:rPr>
        <w:t xml:space="preserve">would </w:t>
      </w:r>
      <w:r w:rsidR="003F4E84">
        <w:rPr>
          <w:rFonts w:ascii="Times New Roman" w:hAnsi="Times New Roman" w:cs="Times New Roman"/>
          <w:sz w:val="22"/>
        </w:rPr>
        <w:t>ensure that the Attorney-General’s Department can provide the Minister</w:t>
      </w:r>
      <w:r w:rsidR="0042306D">
        <w:rPr>
          <w:rFonts w:ascii="Times New Roman" w:hAnsi="Times New Roman" w:cs="Times New Roman"/>
          <w:sz w:val="22"/>
        </w:rPr>
        <w:t xml:space="preserve"> for Foreign Affairs</w:t>
      </w:r>
      <w:r w:rsidR="003F4E84">
        <w:rPr>
          <w:rFonts w:ascii="Times New Roman" w:hAnsi="Times New Roman" w:cs="Times New Roman"/>
          <w:sz w:val="22"/>
        </w:rPr>
        <w:t xml:space="preserve"> and DFAT with visibility of matters arising under the Act that may be relevant to the administration of the Foreign Relations Act, which supports the efficient and appropriate administration of both schemes.</w:t>
      </w:r>
    </w:p>
    <w:bookmarkEnd w:id="5"/>
    <w:p w14:paraId="40AF3D73" w14:textId="77777777" w:rsidR="00AC7DB4" w:rsidRPr="00AC7DB4" w:rsidRDefault="00AC7DB4" w:rsidP="00AC7DB4">
      <w:pPr>
        <w:jc w:val="both"/>
        <w:rPr>
          <w:rFonts w:ascii="Times New Roman" w:hAnsi="Times New Roman" w:cs="Times New Roman"/>
          <w:b/>
        </w:rPr>
      </w:pPr>
      <w:r w:rsidRPr="00AC7DB4">
        <w:rPr>
          <w:rFonts w:ascii="Times New Roman" w:hAnsi="Times New Roman" w:cs="Times New Roman"/>
          <w:b/>
        </w:rPr>
        <w:t>CONSULTATION</w:t>
      </w:r>
    </w:p>
    <w:p w14:paraId="1DD54E81" w14:textId="40B955F0" w:rsidR="00AC7DB4" w:rsidRPr="00C2429A" w:rsidRDefault="00AC7DB4" w:rsidP="00AC7DB4">
      <w:pPr>
        <w:jc w:val="both"/>
        <w:rPr>
          <w:rFonts w:ascii="Times New Roman" w:hAnsi="Times New Roman" w:cs="Times New Roman"/>
          <w:bCs/>
          <w:sz w:val="22"/>
        </w:rPr>
      </w:pPr>
      <w:r w:rsidRPr="00C2429A">
        <w:rPr>
          <w:rFonts w:ascii="Times New Roman" w:hAnsi="Times New Roman" w:cs="Times New Roman"/>
          <w:bCs/>
          <w:sz w:val="22"/>
        </w:rPr>
        <w:t xml:space="preserve">The Attorney-General considered the general obligation to consult imposed by section 17 of the </w:t>
      </w:r>
      <w:r w:rsidRPr="00C2429A">
        <w:rPr>
          <w:rFonts w:ascii="Times New Roman" w:hAnsi="Times New Roman" w:cs="Times New Roman"/>
          <w:bCs/>
          <w:i/>
          <w:sz w:val="22"/>
        </w:rPr>
        <w:t>Legislation Act 2003</w:t>
      </w:r>
      <w:r w:rsidRPr="00C2429A">
        <w:rPr>
          <w:rFonts w:ascii="Times New Roman" w:hAnsi="Times New Roman" w:cs="Times New Roman"/>
          <w:bCs/>
          <w:sz w:val="22"/>
        </w:rPr>
        <w:t>. The Attorney-General was satisfied that consultation was appropriate and reasonably practicable to be undertaken. Before the Rules were made, the Attorney-General’s Department consulted DFAT, the Office of Impact Analysis</w:t>
      </w:r>
      <w:r w:rsidR="00276571">
        <w:rPr>
          <w:rFonts w:ascii="Times New Roman" w:hAnsi="Times New Roman" w:cs="Times New Roman"/>
          <w:bCs/>
          <w:sz w:val="22"/>
        </w:rPr>
        <w:t xml:space="preserve"> (OIA)</w:t>
      </w:r>
      <w:r w:rsidRPr="00C2429A">
        <w:rPr>
          <w:rFonts w:ascii="Times New Roman" w:hAnsi="Times New Roman" w:cs="Times New Roman"/>
          <w:bCs/>
          <w:sz w:val="22"/>
        </w:rPr>
        <w:t xml:space="preserve"> (formerly the Office of Best Practice Regulation), and the Office of the Australian Information Commissioner. The Attorney-General also consulted the Information Commissioner in accordance with subsection 53(2) of the Act. The feedback received was considered and where appropriate, incorporated into the finalised Rules.</w:t>
      </w:r>
    </w:p>
    <w:p w14:paraId="13FCA43A" w14:textId="020C19DC" w:rsidR="00AC7DB4" w:rsidRPr="00AC7DB4" w:rsidRDefault="00AC7DB4" w:rsidP="00AC7DB4">
      <w:pPr>
        <w:jc w:val="both"/>
        <w:rPr>
          <w:rFonts w:ascii="Times New Roman" w:hAnsi="Times New Roman" w:cs="Times New Roman"/>
          <w:b/>
        </w:rPr>
      </w:pPr>
      <w:r w:rsidRPr="00AC7DB4">
        <w:rPr>
          <w:rFonts w:ascii="Times New Roman" w:hAnsi="Times New Roman" w:cs="Times New Roman"/>
          <w:b/>
        </w:rPr>
        <w:t>REGULATORY IMPACT</w:t>
      </w:r>
    </w:p>
    <w:p w14:paraId="5E350548" w14:textId="1F09E54E" w:rsidR="00AC7DB4" w:rsidRDefault="00AC7DB4" w:rsidP="00AC7DB4">
      <w:pPr>
        <w:jc w:val="both"/>
        <w:rPr>
          <w:rFonts w:ascii="Times New Roman" w:hAnsi="Times New Roman" w:cs="Times New Roman"/>
          <w:sz w:val="22"/>
        </w:rPr>
      </w:pPr>
      <w:r w:rsidRPr="00C2429A">
        <w:rPr>
          <w:rFonts w:ascii="Times New Roman" w:hAnsi="Times New Roman" w:cs="Times New Roman"/>
          <w:sz w:val="22"/>
        </w:rPr>
        <w:t>The OIA considers that the Rules are unlikely to have a regulatory impact and advised that an Impact Analysis was not required. The OIA reference for this consultation is: 44767.</w:t>
      </w:r>
    </w:p>
    <w:p w14:paraId="4A05E152" w14:textId="77777777" w:rsidR="00AC7DB4" w:rsidRPr="00AC7DB4" w:rsidRDefault="00AC7DB4" w:rsidP="00AC7DB4">
      <w:pPr>
        <w:jc w:val="both"/>
        <w:rPr>
          <w:rFonts w:ascii="Times New Roman" w:hAnsi="Times New Roman" w:cs="Times New Roman"/>
          <w:b/>
        </w:rPr>
      </w:pPr>
      <w:r w:rsidRPr="00AC7DB4">
        <w:rPr>
          <w:rFonts w:ascii="Times New Roman" w:hAnsi="Times New Roman" w:cs="Times New Roman"/>
          <w:b/>
        </w:rPr>
        <w:t>PRIVACY IMPACT ASSESSMENT</w:t>
      </w:r>
    </w:p>
    <w:p w14:paraId="11FDA093" w14:textId="16118AA7" w:rsidR="00AC7DB4" w:rsidRPr="00C2429A" w:rsidRDefault="00AC7DB4" w:rsidP="00AC7DB4">
      <w:pPr>
        <w:jc w:val="both"/>
        <w:rPr>
          <w:rFonts w:ascii="Times New Roman" w:hAnsi="Times New Roman" w:cs="Times New Roman"/>
          <w:sz w:val="22"/>
        </w:rPr>
      </w:pPr>
      <w:r w:rsidRPr="00C2429A">
        <w:rPr>
          <w:rFonts w:ascii="Times New Roman" w:hAnsi="Times New Roman" w:cs="Times New Roman"/>
          <w:sz w:val="22"/>
        </w:rPr>
        <w:t xml:space="preserve">The Attorney-General’s Department instructed the Australian Government Solicitor (AGS) to complete a Privacy Impact Assessment of the Rules. AGS assessed the Rules to be a low to medium privacy risk project. While there is a potential for any disclosure of information to DFAT to have an impact on the privacy of an individual, </w:t>
      </w:r>
      <w:r>
        <w:rPr>
          <w:rFonts w:ascii="Times New Roman" w:hAnsi="Times New Roman" w:cs="Times New Roman"/>
          <w:sz w:val="22"/>
        </w:rPr>
        <w:t>a</w:t>
      </w:r>
      <w:r w:rsidRPr="00C2429A">
        <w:rPr>
          <w:rFonts w:ascii="Times New Roman" w:hAnsi="Times New Roman" w:cs="Times New Roman"/>
          <w:sz w:val="22"/>
        </w:rPr>
        <w:t>ny impact is unlikely to be significant. Further, it is expected that information will be shared infrequently as only a small number of entities may be within scope of both schemes, and very little of the scheme information would likely be personal information as the Foreign</w:t>
      </w:r>
      <w:r w:rsidR="005C57DE">
        <w:rPr>
          <w:rFonts w:ascii="Times New Roman" w:hAnsi="Times New Roman" w:cs="Times New Roman"/>
          <w:sz w:val="22"/>
        </w:rPr>
        <w:t> </w:t>
      </w:r>
      <w:r w:rsidRPr="00C2429A">
        <w:rPr>
          <w:rFonts w:ascii="Times New Roman" w:hAnsi="Times New Roman" w:cs="Times New Roman"/>
          <w:sz w:val="22"/>
        </w:rPr>
        <w:t>Relations</w:t>
      </w:r>
      <w:r w:rsidR="005C57DE">
        <w:rPr>
          <w:rFonts w:ascii="Times New Roman" w:hAnsi="Times New Roman" w:cs="Times New Roman"/>
          <w:sz w:val="22"/>
        </w:rPr>
        <w:t> </w:t>
      </w:r>
      <w:r w:rsidRPr="00C2429A">
        <w:rPr>
          <w:rFonts w:ascii="Times New Roman" w:hAnsi="Times New Roman" w:cs="Times New Roman"/>
          <w:sz w:val="22"/>
        </w:rPr>
        <w:t xml:space="preserve">Act primarily concerns entities who are not individuals. </w:t>
      </w:r>
    </w:p>
    <w:p w14:paraId="21F42D75" w14:textId="15D0ECE6" w:rsidR="00B80FD2" w:rsidRPr="00AC7DB4" w:rsidRDefault="00AC7DB4" w:rsidP="00AC7DB4">
      <w:pPr>
        <w:jc w:val="both"/>
        <w:rPr>
          <w:rFonts w:ascii="Times New Roman" w:hAnsi="Times New Roman" w:cs="Times New Roman"/>
        </w:rPr>
      </w:pPr>
      <w:r>
        <w:rPr>
          <w:rFonts w:ascii="Times New Roman" w:eastAsia="Calibri" w:hAnsi="Times New Roman" w:cs="Times New Roman"/>
          <w:b/>
        </w:rPr>
        <w:t>NOTES ON SECTIONS</w:t>
      </w:r>
    </w:p>
    <w:p w14:paraId="4E1B2332" w14:textId="6D94CEBF" w:rsidR="00704DFB" w:rsidRPr="00C2429A" w:rsidRDefault="00B80FD2" w:rsidP="00AC7DB4">
      <w:pPr>
        <w:jc w:val="both"/>
        <w:rPr>
          <w:rFonts w:ascii="Times New Roman" w:eastAsia="Calibri" w:hAnsi="Times New Roman" w:cs="Times New Roman"/>
          <w:sz w:val="22"/>
        </w:rPr>
      </w:pPr>
      <w:r w:rsidRPr="00C2429A">
        <w:rPr>
          <w:rFonts w:ascii="Times New Roman" w:eastAsia="Calibri" w:hAnsi="Times New Roman" w:cs="Times New Roman"/>
          <w:sz w:val="22"/>
        </w:rPr>
        <w:t xml:space="preserve">An explanation of the provisions of the Rules is provided in </w:t>
      </w:r>
      <w:r w:rsidRPr="00C2429A">
        <w:rPr>
          <w:rFonts w:ascii="Times New Roman" w:eastAsia="Calibri" w:hAnsi="Times New Roman" w:cs="Times New Roman"/>
          <w:sz w:val="22"/>
          <w:u w:val="single"/>
        </w:rPr>
        <w:t>Attachment A</w:t>
      </w:r>
      <w:r w:rsidRPr="00C2429A">
        <w:rPr>
          <w:rFonts w:ascii="Times New Roman" w:eastAsia="Calibri" w:hAnsi="Times New Roman" w:cs="Times New Roman"/>
          <w:sz w:val="22"/>
        </w:rPr>
        <w:t>.</w:t>
      </w:r>
    </w:p>
    <w:p w14:paraId="155150CD" w14:textId="174A2C24" w:rsidR="00B80FD2" w:rsidRPr="00AC7DB4" w:rsidRDefault="00AC7DB4" w:rsidP="00AC7DB4">
      <w:pPr>
        <w:jc w:val="both"/>
        <w:rPr>
          <w:rFonts w:ascii="Times New Roman" w:hAnsi="Times New Roman" w:cs="Times New Roman"/>
          <w:b/>
          <w:bCs/>
        </w:rPr>
      </w:pPr>
      <w:r w:rsidRPr="00AC7DB4">
        <w:rPr>
          <w:rFonts w:ascii="Times New Roman" w:hAnsi="Times New Roman" w:cs="Times New Roman"/>
          <w:b/>
          <w:bCs/>
        </w:rPr>
        <w:t>STATEMENT OF COMPATIBILITY WITH HUMAN RIGHTS</w:t>
      </w:r>
    </w:p>
    <w:p w14:paraId="7FA7CF86" w14:textId="6427052B" w:rsidR="00670393" w:rsidRPr="00C2429A" w:rsidRDefault="00B80FD2" w:rsidP="0096669A">
      <w:pPr>
        <w:jc w:val="both"/>
        <w:rPr>
          <w:rFonts w:ascii="Times New Roman" w:hAnsi="Times New Roman" w:cs="Times New Roman"/>
          <w:b/>
          <w:bCs/>
          <w:sz w:val="22"/>
        </w:rPr>
      </w:pPr>
      <w:r w:rsidRPr="00C2429A">
        <w:rPr>
          <w:rFonts w:ascii="Times New Roman" w:hAnsi="Times New Roman" w:cs="Times New Roman"/>
          <w:bCs/>
          <w:sz w:val="22"/>
        </w:rPr>
        <w:t>A statement of compatibility with human rights</w:t>
      </w:r>
      <w:r w:rsidR="00AC7DB4">
        <w:rPr>
          <w:rFonts w:ascii="Times New Roman" w:hAnsi="Times New Roman" w:cs="Times New Roman"/>
          <w:bCs/>
          <w:sz w:val="22"/>
        </w:rPr>
        <w:t xml:space="preserve">, prepared in accordance with Part 3 of the </w:t>
      </w:r>
      <w:r w:rsidR="00AC7DB4" w:rsidRPr="00AC7DB4">
        <w:rPr>
          <w:rFonts w:ascii="Times New Roman" w:hAnsi="Times New Roman" w:cs="Times New Roman"/>
          <w:bCs/>
          <w:i/>
          <w:sz w:val="22"/>
        </w:rPr>
        <w:t>Human Rights (Parliamentary Scrutiny) Act 2011</w:t>
      </w:r>
      <w:r w:rsidR="00AC7DB4">
        <w:rPr>
          <w:rFonts w:ascii="Times New Roman" w:hAnsi="Times New Roman" w:cs="Times New Roman"/>
          <w:bCs/>
          <w:sz w:val="22"/>
        </w:rPr>
        <w:t>,</w:t>
      </w:r>
      <w:r w:rsidRPr="00C2429A">
        <w:rPr>
          <w:rFonts w:ascii="Times New Roman" w:hAnsi="Times New Roman" w:cs="Times New Roman"/>
          <w:bCs/>
          <w:sz w:val="22"/>
        </w:rPr>
        <w:t xml:space="preserve"> is provided in </w:t>
      </w:r>
      <w:r w:rsidRPr="00C2429A">
        <w:rPr>
          <w:rFonts w:ascii="Times New Roman" w:hAnsi="Times New Roman" w:cs="Times New Roman"/>
          <w:bCs/>
          <w:sz w:val="22"/>
          <w:u w:val="single"/>
        </w:rPr>
        <w:t>Attachment B</w:t>
      </w:r>
      <w:r w:rsidRPr="00C2429A">
        <w:rPr>
          <w:rFonts w:ascii="Times New Roman" w:hAnsi="Times New Roman" w:cs="Times New Roman"/>
          <w:bCs/>
          <w:sz w:val="22"/>
        </w:rPr>
        <w:t xml:space="preserve">. </w:t>
      </w:r>
      <w:r w:rsidR="00670393" w:rsidRPr="00C2429A">
        <w:rPr>
          <w:rFonts w:ascii="Times New Roman" w:hAnsi="Times New Roman" w:cs="Times New Roman"/>
          <w:b/>
          <w:bCs/>
          <w:sz w:val="22"/>
        </w:rPr>
        <w:br w:type="page"/>
      </w:r>
    </w:p>
    <w:p w14:paraId="2EADEB11" w14:textId="748078D1" w:rsidR="00B80FD2" w:rsidRPr="00C2429A" w:rsidRDefault="00B80FD2" w:rsidP="00CF6107">
      <w:pPr>
        <w:jc w:val="right"/>
        <w:rPr>
          <w:rFonts w:ascii="Times New Roman" w:hAnsi="Times New Roman" w:cs="Times New Roman"/>
          <w:b/>
          <w:bCs/>
          <w:sz w:val="22"/>
        </w:rPr>
      </w:pPr>
      <w:r w:rsidRPr="00C2429A">
        <w:rPr>
          <w:rFonts w:ascii="Times New Roman" w:hAnsi="Times New Roman" w:cs="Times New Roman"/>
          <w:b/>
          <w:bCs/>
          <w:sz w:val="22"/>
        </w:rPr>
        <w:lastRenderedPageBreak/>
        <w:t>Attachment A</w:t>
      </w:r>
    </w:p>
    <w:p w14:paraId="611FC95C" w14:textId="25868687" w:rsidR="00B80FD2" w:rsidRPr="00CF6107" w:rsidRDefault="00B80FD2" w:rsidP="00AC7DB4">
      <w:pPr>
        <w:ind w:left="1452" w:hanging="1452"/>
        <w:jc w:val="both"/>
        <w:outlineLvl w:val="1"/>
        <w:rPr>
          <w:rFonts w:ascii="Times New Roman" w:eastAsia="Calibri" w:hAnsi="Times New Roman" w:cs="Times New Roman"/>
          <w:b/>
        </w:rPr>
      </w:pPr>
      <w:r w:rsidRPr="00CF6107">
        <w:rPr>
          <w:rFonts w:ascii="Times New Roman" w:eastAsia="Calibri" w:hAnsi="Times New Roman" w:cs="Times New Roman"/>
          <w:b/>
        </w:rPr>
        <w:t xml:space="preserve">NOTES ON </w:t>
      </w:r>
      <w:r w:rsidR="006C127B">
        <w:rPr>
          <w:rFonts w:ascii="Times New Roman" w:eastAsia="Calibri" w:hAnsi="Times New Roman" w:cs="Times New Roman"/>
          <w:b/>
        </w:rPr>
        <w:t>SECTIONS</w:t>
      </w:r>
      <w:r w:rsidR="006C127B" w:rsidRPr="00CF6107">
        <w:rPr>
          <w:rFonts w:ascii="Times New Roman" w:eastAsia="Calibri" w:hAnsi="Times New Roman" w:cs="Times New Roman"/>
          <w:b/>
        </w:rPr>
        <w:t xml:space="preserve"> </w:t>
      </w:r>
    </w:p>
    <w:p w14:paraId="013CBA61" w14:textId="1E0B6F38" w:rsidR="008735D8" w:rsidRPr="00CF6107" w:rsidRDefault="00CF6107" w:rsidP="00AC7DB4">
      <w:pPr>
        <w:ind w:right="91"/>
        <w:jc w:val="both"/>
        <w:rPr>
          <w:rFonts w:ascii="Times New Roman" w:eastAsia="Times New Roman" w:hAnsi="Times New Roman" w:cs="Times New Roman"/>
          <w:b/>
          <w:sz w:val="22"/>
          <w:u w:val="single"/>
          <w:lang w:eastAsia="en-AU"/>
        </w:rPr>
      </w:pPr>
      <w:bookmarkStart w:id="6" w:name="_Hlk124340582"/>
      <w:r w:rsidRPr="00CF6107">
        <w:rPr>
          <w:rFonts w:ascii="Times New Roman" w:eastAsia="Times New Roman" w:hAnsi="Times New Roman" w:cs="Times New Roman"/>
          <w:b/>
          <w:sz w:val="22"/>
          <w:u w:val="single"/>
          <w:lang w:eastAsia="en-AU"/>
        </w:rPr>
        <w:t>PART</w:t>
      </w:r>
      <w:r w:rsidR="008735D8" w:rsidRPr="00CF6107">
        <w:rPr>
          <w:rFonts w:ascii="Times New Roman" w:eastAsia="Times New Roman" w:hAnsi="Times New Roman" w:cs="Times New Roman"/>
          <w:b/>
          <w:sz w:val="22"/>
          <w:u w:val="single"/>
          <w:lang w:eastAsia="en-AU"/>
        </w:rPr>
        <w:t xml:space="preserve"> 1 - Preliminary</w:t>
      </w:r>
    </w:p>
    <w:bookmarkEnd w:id="6"/>
    <w:p w14:paraId="1293588E" w14:textId="54340DA0" w:rsidR="008735D8" w:rsidRPr="00CF6107" w:rsidRDefault="008735D8" w:rsidP="00AC7DB4">
      <w:pPr>
        <w:ind w:right="91"/>
        <w:jc w:val="both"/>
        <w:rPr>
          <w:rFonts w:ascii="Times New Roman" w:eastAsia="Times New Roman" w:hAnsi="Times New Roman" w:cs="Times New Roman"/>
          <w:b/>
          <w:sz w:val="22"/>
          <w:lang w:eastAsia="en-AU"/>
        </w:rPr>
      </w:pPr>
      <w:r w:rsidRPr="00CF6107">
        <w:rPr>
          <w:rFonts w:ascii="Times New Roman" w:eastAsia="Times New Roman" w:hAnsi="Times New Roman" w:cs="Times New Roman"/>
          <w:b/>
          <w:sz w:val="22"/>
          <w:lang w:eastAsia="en-AU"/>
        </w:rPr>
        <w:t xml:space="preserve">Section 1 </w:t>
      </w:r>
      <w:r w:rsidR="007D4F83" w:rsidRPr="00CF6107">
        <w:rPr>
          <w:rFonts w:ascii="Times New Roman" w:eastAsia="Times New Roman" w:hAnsi="Times New Roman" w:cs="Times New Roman"/>
          <w:b/>
          <w:sz w:val="22"/>
          <w:lang w:eastAsia="en-AU"/>
        </w:rPr>
        <w:t>–</w:t>
      </w:r>
      <w:r w:rsidRPr="00CF6107">
        <w:rPr>
          <w:rFonts w:ascii="Times New Roman" w:eastAsia="Times New Roman" w:hAnsi="Times New Roman" w:cs="Times New Roman"/>
          <w:b/>
          <w:sz w:val="22"/>
          <w:lang w:eastAsia="en-AU"/>
        </w:rPr>
        <w:t xml:space="preserve"> Name</w:t>
      </w:r>
      <w:r w:rsidR="007D4F83" w:rsidRPr="00CF6107">
        <w:rPr>
          <w:rFonts w:ascii="Times New Roman" w:eastAsia="Times New Roman" w:hAnsi="Times New Roman" w:cs="Times New Roman"/>
          <w:b/>
          <w:sz w:val="22"/>
          <w:lang w:eastAsia="en-AU"/>
        </w:rPr>
        <w:t xml:space="preserve"> </w:t>
      </w:r>
      <w:r w:rsidRPr="00CF6107">
        <w:rPr>
          <w:rFonts w:ascii="Times New Roman" w:eastAsia="Times New Roman" w:hAnsi="Times New Roman" w:cs="Times New Roman"/>
          <w:b/>
          <w:sz w:val="22"/>
          <w:lang w:eastAsia="en-AU"/>
        </w:rPr>
        <w:t>of Regulations</w:t>
      </w:r>
    </w:p>
    <w:p w14:paraId="7B6F20D6" w14:textId="1DE011EE" w:rsidR="007D4F83" w:rsidRPr="00C2429A" w:rsidRDefault="007D4F83" w:rsidP="00AC7DB4">
      <w:pPr>
        <w:pStyle w:val="Default"/>
        <w:spacing w:after="200"/>
        <w:jc w:val="both"/>
        <w:rPr>
          <w:sz w:val="22"/>
          <w:szCs w:val="22"/>
        </w:rPr>
      </w:pPr>
      <w:r w:rsidRPr="00C2429A">
        <w:rPr>
          <w:sz w:val="22"/>
          <w:szCs w:val="22"/>
        </w:rPr>
        <w:t xml:space="preserve">This section </w:t>
      </w:r>
      <w:r w:rsidR="00A70C0A">
        <w:rPr>
          <w:sz w:val="22"/>
          <w:szCs w:val="22"/>
        </w:rPr>
        <w:t xml:space="preserve">would </w:t>
      </w:r>
      <w:r w:rsidRPr="00C2429A">
        <w:rPr>
          <w:sz w:val="22"/>
          <w:szCs w:val="22"/>
        </w:rPr>
        <w:t xml:space="preserve">provide that the name of this instrument is the </w:t>
      </w:r>
      <w:r w:rsidR="007229D2" w:rsidRPr="00C2429A">
        <w:rPr>
          <w:i/>
          <w:sz w:val="22"/>
          <w:szCs w:val="22"/>
        </w:rPr>
        <w:t>Foreign Influence Transparency Scheme Amendment Rules 202</w:t>
      </w:r>
      <w:r w:rsidR="00E16220" w:rsidRPr="00C2429A">
        <w:rPr>
          <w:i/>
          <w:sz w:val="22"/>
          <w:szCs w:val="22"/>
        </w:rPr>
        <w:t>3</w:t>
      </w:r>
      <w:r w:rsidR="007229D2" w:rsidRPr="00C2429A">
        <w:rPr>
          <w:i/>
          <w:sz w:val="22"/>
          <w:szCs w:val="22"/>
        </w:rPr>
        <w:t>.</w:t>
      </w:r>
    </w:p>
    <w:p w14:paraId="66457CCA" w14:textId="2F578587" w:rsidR="008735D8" w:rsidRPr="00CF6107" w:rsidRDefault="008735D8" w:rsidP="00AC7DB4">
      <w:pPr>
        <w:ind w:right="91"/>
        <w:jc w:val="both"/>
        <w:rPr>
          <w:rFonts w:ascii="Times New Roman" w:eastAsia="Times New Roman" w:hAnsi="Times New Roman" w:cs="Times New Roman"/>
          <w:b/>
          <w:sz w:val="22"/>
          <w:lang w:eastAsia="en-AU"/>
        </w:rPr>
      </w:pPr>
      <w:r w:rsidRPr="00CF6107">
        <w:rPr>
          <w:rFonts w:ascii="Times New Roman" w:eastAsia="Times New Roman" w:hAnsi="Times New Roman" w:cs="Times New Roman"/>
          <w:b/>
          <w:sz w:val="22"/>
          <w:lang w:eastAsia="en-AU"/>
        </w:rPr>
        <w:t xml:space="preserve">Section 2 </w:t>
      </w:r>
      <w:r w:rsidR="007D4F83" w:rsidRPr="00CF6107">
        <w:rPr>
          <w:rFonts w:ascii="Times New Roman" w:eastAsia="Times New Roman" w:hAnsi="Times New Roman" w:cs="Times New Roman"/>
          <w:b/>
          <w:sz w:val="22"/>
          <w:lang w:eastAsia="en-AU"/>
        </w:rPr>
        <w:t>–</w:t>
      </w:r>
      <w:r w:rsidRPr="00CF6107">
        <w:rPr>
          <w:rFonts w:ascii="Times New Roman" w:eastAsia="Times New Roman" w:hAnsi="Times New Roman" w:cs="Times New Roman"/>
          <w:b/>
          <w:sz w:val="22"/>
          <w:lang w:eastAsia="en-AU"/>
        </w:rPr>
        <w:t xml:space="preserve"> Commencement</w:t>
      </w:r>
    </w:p>
    <w:p w14:paraId="031F9A13" w14:textId="381CA802" w:rsidR="008735D8" w:rsidRPr="00C2429A" w:rsidRDefault="008735D8" w:rsidP="00AC7DB4">
      <w:pPr>
        <w:ind w:right="91"/>
        <w:jc w:val="both"/>
        <w:rPr>
          <w:rFonts w:ascii="Times New Roman" w:eastAsia="Times New Roman" w:hAnsi="Times New Roman" w:cs="Times New Roman"/>
          <w:sz w:val="22"/>
          <w:lang w:eastAsia="en-AU"/>
        </w:rPr>
      </w:pPr>
      <w:r w:rsidRPr="00C2429A">
        <w:rPr>
          <w:rFonts w:ascii="Times New Roman" w:eastAsia="Times New Roman" w:hAnsi="Times New Roman" w:cs="Times New Roman"/>
          <w:sz w:val="22"/>
          <w:lang w:eastAsia="en-AU"/>
        </w:rPr>
        <w:t>This section</w:t>
      </w:r>
      <w:r w:rsidR="00A70C0A">
        <w:rPr>
          <w:rFonts w:ascii="Times New Roman" w:eastAsia="Times New Roman" w:hAnsi="Times New Roman" w:cs="Times New Roman"/>
          <w:sz w:val="22"/>
          <w:lang w:eastAsia="en-AU"/>
        </w:rPr>
        <w:t xml:space="preserve"> would</w:t>
      </w:r>
      <w:r w:rsidRPr="00C2429A">
        <w:rPr>
          <w:rFonts w:ascii="Times New Roman" w:eastAsia="Times New Roman" w:hAnsi="Times New Roman" w:cs="Times New Roman"/>
          <w:sz w:val="22"/>
          <w:lang w:eastAsia="en-AU"/>
        </w:rPr>
        <w:t xml:space="preserve"> provide for the </w:t>
      </w:r>
      <w:r w:rsidR="00CF6107">
        <w:rPr>
          <w:rFonts w:ascii="Times New Roman" w:eastAsia="Times New Roman" w:hAnsi="Times New Roman" w:cs="Times New Roman"/>
          <w:sz w:val="22"/>
          <w:lang w:eastAsia="en-AU"/>
        </w:rPr>
        <w:t>instrument</w:t>
      </w:r>
      <w:r w:rsidRPr="00C2429A">
        <w:rPr>
          <w:rFonts w:ascii="Times New Roman" w:eastAsia="Times New Roman" w:hAnsi="Times New Roman" w:cs="Times New Roman"/>
          <w:sz w:val="22"/>
          <w:lang w:eastAsia="en-AU"/>
        </w:rPr>
        <w:t xml:space="preserve"> to commence on the day after the instrument is registered.</w:t>
      </w:r>
    </w:p>
    <w:p w14:paraId="6B8CD21C" w14:textId="44BA2E82" w:rsidR="008735D8" w:rsidRPr="00CF6107" w:rsidRDefault="008735D8" w:rsidP="00AC7DB4">
      <w:pPr>
        <w:ind w:right="91"/>
        <w:jc w:val="both"/>
        <w:rPr>
          <w:rFonts w:ascii="Times New Roman" w:eastAsia="Times New Roman" w:hAnsi="Times New Roman" w:cs="Times New Roman"/>
          <w:b/>
          <w:sz w:val="22"/>
          <w:lang w:eastAsia="en-AU"/>
        </w:rPr>
      </w:pPr>
      <w:r w:rsidRPr="00CF6107">
        <w:rPr>
          <w:rFonts w:ascii="Times New Roman" w:eastAsia="Times New Roman" w:hAnsi="Times New Roman" w:cs="Times New Roman"/>
          <w:b/>
          <w:sz w:val="22"/>
          <w:lang w:eastAsia="en-AU"/>
        </w:rPr>
        <w:t xml:space="preserve">Section 3 </w:t>
      </w:r>
      <w:r w:rsidR="007D4F83" w:rsidRPr="00CF6107">
        <w:rPr>
          <w:rFonts w:ascii="Times New Roman" w:eastAsia="Times New Roman" w:hAnsi="Times New Roman" w:cs="Times New Roman"/>
          <w:b/>
          <w:sz w:val="22"/>
          <w:lang w:eastAsia="en-AU"/>
        </w:rPr>
        <w:t>–</w:t>
      </w:r>
      <w:r w:rsidRPr="00CF6107">
        <w:rPr>
          <w:rFonts w:ascii="Times New Roman" w:eastAsia="Times New Roman" w:hAnsi="Times New Roman" w:cs="Times New Roman"/>
          <w:b/>
          <w:sz w:val="22"/>
          <w:lang w:eastAsia="en-AU"/>
        </w:rPr>
        <w:t xml:space="preserve"> Authority</w:t>
      </w:r>
    </w:p>
    <w:p w14:paraId="13A948E7" w14:textId="3E6638AE" w:rsidR="008735D8" w:rsidRPr="00CF6107" w:rsidRDefault="007D4F83" w:rsidP="00CF6107">
      <w:pPr>
        <w:pStyle w:val="NoSpacing"/>
        <w:spacing w:after="200"/>
        <w:jc w:val="both"/>
        <w:rPr>
          <w:rFonts w:ascii="Times New Roman" w:hAnsi="Times New Roman" w:cs="Times New Roman"/>
          <w:sz w:val="22"/>
          <w:lang w:eastAsia="en-AU"/>
        </w:rPr>
      </w:pPr>
      <w:r w:rsidRPr="00C2429A">
        <w:rPr>
          <w:rFonts w:ascii="Times New Roman" w:hAnsi="Times New Roman" w:cs="Times New Roman"/>
          <w:sz w:val="22"/>
        </w:rPr>
        <w:t xml:space="preserve">This section </w:t>
      </w:r>
      <w:r w:rsidR="00A70C0A">
        <w:rPr>
          <w:rFonts w:ascii="Times New Roman" w:hAnsi="Times New Roman" w:cs="Times New Roman"/>
          <w:sz w:val="22"/>
        </w:rPr>
        <w:t xml:space="preserve">would </w:t>
      </w:r>
      <w:r w:rsidRPr="00C2429A">
        <w:rPr>
          <w:rFonts w:ascii="Times New Roman" w:hAnsi="Times New Roman" w:cs="Times New Roman"/>
          <w:sz w:val="22"/>
        </w:rPr>
        <w:t xml:space="preserve">provide that </w:t>
      </w:r>
      <w:r w:rsidR="00CF6107">
        <w:rPr>
          <w:rFonts w:ascii="Times New Roman" w:hAnsi="Times New Roman" w:cs="Times New Roman"/>
          <w:sz w:val="22"/>
        </w:rPr>
        <w:t>the instrument is</w:t>
      </w:r>
      <w:r w:rsidRPr="00C2429A">
        <w:rPr>
          <w:rFonts w:ascii="Times New Roman" w:hAnsi="Times New Roman" w:cs="Times New Roman"/>
          <w:sz w:val="22"/>
        </w:rPr>
        <w:t xml:space="preserve"> made under the </w:t>
      </w:r>
      <w:r w:rsidRPr="00C2429A">
        <w:rPr>
          <w:rFonts w:ascii="Times New Roman" w:hAnsi="Times New Roman" w:cs="Times New Roman"/>
          <w:i/>
          <w:sz w:val="22"/>
        </w:rPr>
        <w:t>Foreign Influence Transparency Scheme Act 2018</w:t>
      </w:r>
      <w:r w:rsidRPr="00C2429A">
        <w:rPr>
          <w:rFonts w:ascii="Times New Roman" w:hAnsi="Times New Roman" w:cs="Times New Roman"/>
          <w:sz w:val="22"/>
        </w:rPr>
        <w:t>.</w:t>
      </w:r>
    </w:p>
    <w:p w14:paraId="23A60664" w14:textId="5A257B97" w:rsidR="008735D8" w:rsidRPr="00CF6107" w:rsidRDefault="008735D8" w:rsidP="00AC7DB4">
      <w:pPr>
        <w:keepNext/>
        <w:ind w:right="748"/>
        <w:jc w:val="both"/>
        <w:rPr>
          <w:rFonts w:ascii="Times New Roman" w:eastAsia="Times New Roman" w:hAnsi="Times New Roman" w:cs="Times New Roman"/>
          <w:b/>
          <w:sz w:val="22"/>
          <w:lang w:eastAsia="en-AU"/>
        </w:rPr>
      </w:pPr>
      <w:r w:rsidRPr="00CF6107">
        <w:rPr>
          <w:rFonts w:ascii="Times New Roman" w:eastAsia="Times New Roman" w:hAnsi="Times New Roman" w:cs="Times New Roman"/>
          <w:b/>
          <w:sz w:val="22"/>
          <w:lang w:eastAsia="en-AU"/>
        </w:rPr>
        <w:t xml:space="preserve">Section 4 </w:t>
      </w:r>
      <w:r w:rsidR="007D4F83" w:rsidRPr="00CF6107">
        <w:rPr>
          <w:rFonts w:ascii="Times New Roman" w:eastAsia="Times New Roman" w:hAnsi="Times New Roman" w:cs="Times New Roman"/>
          <w:b/>
          <w:sz w:val="22"/>
          <w:lang w:eastAsia="en-AU"/>
        </w:rPr>
        <w:t>–</w:t>
      </w:r>
      <w:r w:rsidRPr="00CF6107">
        <w:rPr>
          <w:rFonts w:ascii="Times New Roman" w:eastAsia="Times New Roman" w:hAnsi="Times New Roman" w:cs="Times New Roman"/>
          <w:b/>
          <w:sz w:val="22"/>
          <w:lang w:eastAsia="en-AU"/>
        </w:rPr>
        <w:t xml:space="preserve"> Schedules</w:t>
      </w:r>
      <w:r w:rsidR="007D4F83" w:rsidRPr="00CF6107">
        <w:rPr>
          <w:rFonts w:ascii="Times New Roman" w:eastAsia="Times New Roman" w:hAnsi="Times New Roman" w:cs="Times New Roman"/>
          <w:b/>
          <w:sz w:val="22"/>
          <w:lang w:eastAsia="en-AU"/>
        </w:rPr>
        <w:t xml:space="preserve"> </w:t>
      </w:r>
    </w:p>
    <w:p w14:paraId="088A03D1" w14:textId="729950E3" w:rsidR="007D4F83" w:rsidRPr="00C2429A" w:rsidRDefault="008735D8" w:rsidP="00AC7DB4">
      <w:pPr>
        <w:keepNext/>
        <w:ind w:right="-46"/>
        <w:jc w:val="both"/>
        <w:rPr>
          <w:rFonts w:ascii="Times New Roman" w:eastAsia="Times New Roman" w:hAnsi="Times New Roman" w:cs="Times New Roman"/>
          <w:sz w:val="22"/>
          <w:lang w:eastAsia="en-AU"/>
        </w:rPr>
      </w:pPr>
      <w:r w:rsidRPr="00C2429A">
        <w:rPr>
          <w:rFonts w:ascii="Times New Roman" w:eastAsia="Times New Roman" w:hAnsi="Times New Roman" w:cs="Times New Roman"/>
          <w:sz w:val="22"/>
          <w:lang w:eastAsia="en-AU"/>
        </w:rPr>
        <w:t xml:space="preserve">This section </w:t>
      </w:r>
      <w:r w:rsidR="00BD1285">
        <w:rPr>
          <w:rFonts w:ascii="Times New Roman" w:eastAsia="Times New Roman" w:hAnsi="Times New Roman" w:cs="Times New Roman"/>
          <w:sz w:val="22"/>
          <w:lang w:eastAsia="en-AU"/>
        </w:rPr>
        <w:t xml:space="preserve">would </w:t>
      </w:r>
      <w:r w:rsidRPr="00C2429A">
        <w:rPr>
          <w:rFonts w:ascii="Times New Roman" w:eastAsia="Times New Roman" w:hAnsi="Times New Roman" w:cs="Times New Roman"/>
          <w:sz w:val="22"/>
          <w:lang w:eastAsia="en-AU"/>
        </w:rPr>
        <w:t>provide that each instrument that is specified in a Schedule to this instrument is amended or repealed as set out in the applicable items in the Schedule concerned, and any other item in a Schedule to this instrument has effect according to its terms.</w:t>
      </w:r>
    </w:p>
    <w:p w14:paraId="6D2300B7" w14:textId="7E9D7E1A" w:rsidR="007D4F83" w:rsidRPr="00CF6107" w:rsidRDefault="00CF6107" w:rsidP="00AC7DB4">
      <w:pPr>
        <w:keepNext/>
        <w:ind w:right="-46"/>
        <w:jc w:val="both"/>
        <w:rPr>
          <w:rFonts w:ascii="Times New Roman" w:eastAsia="Times New Roman" w:hAnsi="Times New Roman" w:cs="Times New Roman"/>
          <w:b/>
          <w:sz w:val="22"/>
          <w:u w:val="single"/>
          <w:lang w:eastAsia="en-AU"/>
        </w:rPr>
      </w:pPr>
      <w:bookmarkStart w:id="7" w:name="_Hlk124340599"/>
      <w:r w:rsidRPr="00CF6107">
        <w:rPr>
          <w:rFonts w:ascii="Times New Roman" w:eastAsia="Times New Roman" w:hAnsi="Times New Roman" w:cs="Times New Roman"/>
          <w:b/>
          <w:sz w:val="22"/>
          <w:u w:val="single"/>
          <w:lang w:eastAsia="en-AU"/>
        </w:rPr>
        <w:t>SCHEDULE</w:t>
      </w:r>
      <w:r w:rsidR="007D4F83" w:rsidRPr="00CF6107">
        <w:rPr>
          <w:rFonts w:ascii="Times New Roman" w:eastAsia="Times New Roman" w:hAnsi="Times New Roman" w:cs="Times New Roman"/>
          <w:b/>
          <w:sz w:val="22"/>
          <w:u w:val="single"/>
          <w:lang w:eastAsia="en-AU"/>
        </w:rPr>
        <w:t xml:space="preserve"> 1 – Amendments</w:t>
      </w:r>
    </w:p>
    <w:bookmarkEnd w:id="7"/>
    <w:p w14:paraId="3637B029" w14:textId="1AC13F20" w:rsidR="007229D2" w:rsidRPr="00C2429A" w:rsidRDefault="007229D2" w:rsidP="00AC7DB4">
      <w:pPr>
        <w:keepNext/>
        <w:ind w:right="-46"/>
        <w:jc w:val="both"/>
        <w:rPr>
          <w:rFonts w:ascii="Times New Roman" w:eastAsia="Times New Roman" w:hAnsi="Times New Roman" w:cs="Times New Roman"/>
          <w:sz w:val="22"/>
          <w:lang w:eastAsia="en-AU"/>
        </w:rPr>
      </w:pPr>
      <w:r w:rsidRPr="00C2429A">
        <w:rPr>
          <w:rFonts w:ascii="Times New Roman" w:eastAsia="Times New Roman" w:hAnsi="Times New Roman" w:cs="Times New Roman"/>
          <w:sz w:val="22"/>
          <w:lang w:eastAsia="en-AU"/>
        </w:rPr>
        <w:t>Th</w:t>
      </w:r>
      <w:r w:rsidR="00515347" w:rsidRPr="00C2429A">
        <w:rPr>
          <w:rFonts w:ascii="Times New Roman" w:eastAsia="Times New Roman" w:hAnsi="Times New Roman" w:cs="Times New Roman"/>
          <w:sz w:val="22"/>
          <w:lang w:eastAsia="en-AU"/>
        </w:rPr>
        <w:t>is</w:t>
      </w:r>
      <w:r w:rsidRPr="00C2429A">
        <w:rPr>
          <w:rFonts w:ascii="Times New Roman" w:eastAsia="Times New Roman" w:hAnsi="Times New Roman" w:cs="Times New Roman"/>
          <w:sz w:val="22"/>
          <w:lang w:eastAsia="en-AU"/>
        </w:rPr>
        <w:t xml:space="preserve"> section</w:t>
      </w:r>
      <w:r w:rsidR="007D4F83" w:rsidRPr="00C2429A">
        <w:rPr>
          <w:rFonts w:ascii="Times New Roman" w:eastAsia="Times New Roman" w:hAnsi="Times New Roman" w:cs="Times New Roman"/>
          <w:sz w:val="22"/>
          <w:lang w:eastAsia="en-AU"/>
        </w:rPr>
        <w:t xml:space="preserve"> </w:t>
      </w:r>
      <w:r w:rsidR="00BD1285">
        <w:rPr>
          <w:rFonts w:ascii="Times New Roman" w:eastAsia="Times New Roman" w:hAnsi="Times New Roman" w:cs="Times New Roman"/>
          <w:sz w:val="22"/>
          <w:lang w:eastAsia="en-AU"/>
        </w:rPr>
        <w:t xml:space="preserve">would </w:t>
      </w:r>
      <w:r w:rsidR="007D4F83" w:rsidRPr="00C2429A">
        <w:rPr>
          <w:rFonts w:ascii="Times New Roman" w:eastAsia="Times New Roman" w:hAnsi="Times New Roman" w:cs="Times New Roman"/>
          <w:sz w:val="22"/>
          <w:lang w:eastAsia="en-AU"/>
        </w:rPr>
        <w:t>amend</w:t>
      </w:r>
      <w:r w:rsidR="00BD1285">
        <w:rPr>
          <w:rFonts w:ascii="Times New Roman" w:eastAsia="Times New Roman" w:hAnsi="Times New Roman" w:cs="Times New Roman"/>
          <w:sz w:val="22"/>
          <w:lang w:eastAsia="en-AU"/>
        </w:rPr>
        <w:t xml:space="preserve"> </w:t>
      </w:r>
      <w:r w:rsidR="007D4F83" w:rsidRPr="00C2429A">
        <w:rPr>
          <w:rFonts w:ascii="Times New Roman" w:eastAsia="Times New Roman" w:hAnsi="Times New Roman" w:cs="Times New Roman"/>
          <w:sz w:val="22"/>
          <w:lang w:eastAsia="en-AU"/>
        </w:rPr>
        <w:t xml:space="preserve">the </w:t>
      </w:r>
      <w:r w:rsidR="00CF478E" w:rsidRPr="00C2429A">
        <w:rPr>
          <w:rFonts w:ascii="Times New Roman" w:hAnsi="Times New Roman" w:cs="Times New Roman"/>
          <w:i/>
          <w:sz w:val="22"/>
        </w:rPr>
        <w:t>Foreign Influence Transparency Scheme Rules 2018</w:t>
      </w:r>
      <w:r w:rsidR="00CF6107">
        <w:rPr>
          <w:rFonts w:ascii="Times New Roman" w:eastAsia="Times New Roman" w:hAnsi="Times New Roman" w:cs="Times New Roman"/>
          <w:sz w:val="22"/>
          <w:lang w:eastAsia="en-AU"/>
        </w:rPr>
        <w:t xml:space="preserve"> </w:t>
      </w:r>
      <w:r w:rsidR="00A70C0A">
        <w:rPr>
          <w:rFonts w:ascii="Times New Roman" w:eastAsia="Times New Roman" w:hAnsi="Times New Roman" w:cs="Times New Roman"/>
          <w:sz w:val="22"/>
          <w:lang w:eastAsia="en-AU"/>
        </w:rPr>
        <w:t xml:space="preserve">to insert a new Part 4 (Communicating and dealing with scheme information). The new Part </w:t>
      </w:r>
      <w:r w:rsidR="00BD1285">
        <w:rPr>
          <w:rFonts w:ascii="Times New Roman" w:eastAsia="Times New Roman" w:hAnsi="Times New Roman" w:cs="Times New Roman"/>
          <w:sz w:val="22"/>
          <w:lang w:eastAsia="en-AU"/>
        </w:rPr>
        <w:t>would</w:t>
      </w:r>
      <w:r w:rsidR="00A70C0A">
        <w:rPr>
          <w:rFonts w:ascii="Times New Roman" w:eastAsia="Times New Roman" w:hAnsi="Times New Roman" w:cs="Times New Roman"/>
          <w:sz w:val="22"/>
          <w:lang w:eastAsia="en-AU"/>
        </w:rPr>
        <w:t xml:space="preserve"> </w:t>
      </w:r>
      <w:r w:rsidRPr="00C2429A">
        <w:rPr>
          <w:rFonts w:ascii="Times New Roman" w:eastAsia="Times New Roman" w:hAnsi="Times New Roman" w:cs="Times New Roman"/>
          <w:sz w:val="22"/>
          <w:lang w:eastAsia="en-AU"/>
        </w:rPr>
        <w:t>prescrib</w:t>
      </w:r>
      <w:r w:rsidR="00BD1285">
        <w:rPr>
          <w:rFonts w:ascii="Times New Roman" w:eastAsia="Times New Roman" w:hAnsi="Times New Roman" w:cs="Times New Roman"/>
          <w:sz w:val="22"/>
          <w:lang w:eastAsia="en-AU"/>
        </w:rPr>
        <w:t>e</w:t>
      </w:r>
      <w:r w:rsidRPr="00C2429A">
        <w:rPr>
          <w:rFonts w:ascii="Times New Roman" w:eastAsia="Times New Roman" w:hAnsi="Times New Roman" w:cs="Times New Roman"/>
          <w:sz w:val="22"/>
          <w:lang w:eastAsia="en-AU"/>
        </w:rPr>
        <w:t xml:space="preserve"> an additional category of purposes and persons for which the Secretary is authorised to communicate scheme information. </w:t>
      </w:r>
      <w:r w:rsidR="00BD1285">
        <w:rPr>
          <w:rFonts w:ascii="Times New Roman" w:eastAsia="Times New Roman" w:hAnsi="Times New Roman" w:cs="Times New Roman"/>
          <w:sz w:val="22"/>
          <w:lang w:eastAsia="en-AU"/>
        </w:rPr>
        <w:t>New section 8</w:t>
      </w:r>
      <w:r w:rsidRPr="00C2429A">
        <w:rPr>
          <w:rFonts w:ascii="Times New Roman" w:eastAsia="Times New Roman" w:hAnsi="Times New Roman" w:cs="Times New Roman"/>
          <w:sz w:val="22"/>
          <w:lang w:eastAsia="en-AU"/>
        </w:rPr>
        <w:t xml:space="preserve"> </w:t>
      </w:r>
      <w:r w:rsidR="00BD1285">
        <w:rPr>
          <w:rFonts w:ascii="Times New Roman" w:eastAsia="Times New Roman" w:hAnsi="Times New Roman" w:cs="Times New Roman"/>
          <w:sz w:val="22"/>
          <w:lang w:eastAsia="en-AU"/>
        </w:rPr>
        <w:t xml:space="preserve">would </w:t>
      </w:r>
      <w:r w:rsidRPr="00C2429A">
        <w:rPr>
          <w:rFonts w:ascii="Times New Roman" w:eastAsia="Times New Roman" w:hAnsi="Times New Roman" w:cs="Times New Roman"/>
          <w:sz w:val="22"/>
          <w:lang w:eastAsia="en-AU"/>
        </w:rPr>
        <w:t>provid</w:t>
      </w:r>
      <w:r w:rsidR="00BD1285">
        <w:rPr>
          <w:rFonts w:ascii="Times New Roman" w:eastAsia="Times New Roman" w:hAnsi="Times New Roman" w:cs="Times New Roman"/>
          <w:sz w:val="22"/>
          <w:lang w:eastAsia="en-AU"/>
        </w:rPr>
        <w:t>e</w:t>
      </w:r>
      <w:r w:rsidRPr="00C2429A">
        <w:rPr>
          <w:rFonts w:ascii="Times New Roman" w:eastAsia="Times New Roman" w:hAnsi="Times New Roman" w:cs="Times New Roman"/>
          <w:sz w:val="22"/>
          <w:lang w:eastAsia="en-AU"/>
        </w:rPr>
        <w:t xml:space="preserve"> that administering the </w:t>
      </w:r>
      <w:r w:rsidRPr="00C2429A">
        <w:rPr>
          <w:rFonts w:ascii="Times New Roman" w:eastAsia="Times New Roman" w:hAnsi="Times New Roman" w:cs="Times New Roman"/>
          <w:i/>
          <w:sz w:val="22"/>
          <w:lang w:eastAsia="en-AU"/>
        </w:rPr>
        <w:t>Australia’s</w:t>
      </w:r>
      <w:r w:rsidR="00DA3299" w:rsidRPr="00C2429A">
        <w:rPr>
          <w:rFonts w:ascii="Times New Roman" w:eastAsia="Times New Roman" w:hAnsi="Times New Roman" w:cs="Times New Roman"/>
          <w:i/>
          <w:sz w:val="22"/>
          <w:lang w:eastAsia="en-AU"/>
        </w:rPr>
        <w:t> </w:t>
      </w:r>
      <w:r w:rsidRPr="00C2429A">
        <w:rPr>
          <w:rFonts w:ascii="Times New Roman" w:eastAsia="Times New Roman" w:hAnsi="Times New Roman" w:cs="Times New Roman"/>
          <w:i/>
          <w:sz w:val="22"/>
          <w:lang w:eastAsia="en-AU"/>
        </w:rPr>
        <w:t>Foreign Relations</w:t>
      </w:r>
      <w:r w:rsidRPr="00C2429A">
        <w:rPr>
          <w:rFonts w:ascii="Times New Roman" w:eastAsia="Times New Roman" w:hAnsi="Times New Roman" w:cs="Times New Roman"/>
          <w:sz w:val="22"/>
          <w:lang w:eastAsia="en-AU"/>
        </w:rPr>
        <w:t xml:space="preserve"> </w:t>
      </w:r>
      <w:r w:rsidRPr="00C2429A">
        <w:rPr>
          <w:rFonts w:ascii="Times New Roman" w:eastAsia="Times New Roman" w:hAnsi="Times New Roman" w:cs="Times New Roman"/>
          <w:i/>
          <w:sz w:val="22"/>
          <w:lang w:eastAsia="en-AU"/>
        </w:rPr>
        <w:t>(State and Territory Arrangements) Act 2020</w:t>
      </w:r>
      <w:r w:rsidRPr="00C2429A">
        <w:rPr>
          <w:rFonts w:ascii="Times New Roman" w:eastAsia="Times New Roman" w:hAnsi="Times New Roman" w:cs="Times New Roman"/>
          <w:sz w:val="22"/>
          <w:lang w:eastAsia="en-AU"/>
        </w:rPr>
        <w:t xml:space="preserve"> is a prescribed purpose for which the Secretary of the Attorney-General’s Department may communicate scheme information</w:t>
      </w:r>
      <w:r w:rsidR="00CF6107">
        <w:rPr>
          <w:rFonts w:ascii="Times New Roman" w:eastAsia="Times New Roman" w:hAnsi="Times New Roman" w:cs="Times New Roman"/>
          <w:sz w:val="22"/>
          <w:lang w:eastAsia="en-AU"/>
        </w:rPr>
        <w:t xml:space="preserve">. The section </w:t>
      </w:r>
      <w:r w:rsidR="00BD1285">
        <w:rPr>
          <w:rFonts w:ascii="Times New Roman" w:eastAsia="Times New Roman" w:hAnsi="Times New Roman" w:cs="Times New Roman"/>
          <w:sz w:val="22"/>
          <w:lang w:eastAsia="en-AU"/>
        </w:rPr>
        <w:t xml:space="preserve">would </w:t>
      </w:r>
      <w:r w:rsidR="00CF6107">
        <w:rPr>
          <w:rFonts w:ascii="Times New Roman" w:eastAsia="Times New Roman" w:hAnsi="Times New Roman" w:cs="Times New Roman"/>
          <w:sz w:val="22"/>
          <w:lang w:eastAsia="en-AU"/>
        </w:rPr>
        <w:t xml:space="preserve">provide that </w:t>
      </w:r>
      <w:r w:rsidRPr="00C2429A">
        <w:rPr>
          <w:rFonts w:ascii="Times New Roman" w:eastAsia="Times New Roman" w:hAnsi="Times New Roman" w:cs="Times New Roman"/>
          <w:sz w:val="22"/>
          <w:lang w:eastAsia="en-AU"/>
        </w:rPr>
        <w:t>either the Minister who has responsibility for administering that</w:t>
      </w:r>
      <w:r w:rsidR="00C2429A" w:rsidRPr="00C2429A">
        <w:rPr>
          <w:rFonts w:ascii="Times New Roman" w:eastAsia="Times New Roman" w:hAnsi="Times New Roman" w:cs="Times New Roman"/>
          <w:sz w:val="22"/>
          <w:lang w:eastAsia="en-AU"/>
        </w:rPr>
        <w:t xml:space="preserve"> </w:t>
      </w:r>
      <w:r w:rsidRPr="00C2429A">
        <w:rPr>
          <w:rFonts w:ascii="Times New Roman" w:eastAsia="Times New Roman" w:hAnsi="Times New Roman" w:cs="Times New Roman"/>
          <w:sz w:val="22"/>
          <w:lang w:eastAsia="en-AU"/>
        </w:rPr>
        <w:t>Act or the Departmen</w:t>
      </w:r>
      <w:r w:rsidR="00CF478E" w:rsidRPr="00C2429A">
        <w:rPr>
          <w:rFonts w:ascii="Times New Roman" w:eastAsia="Times New Roman" w:hAnsi="Times New Roman" w:cs="Times New Roman"/>
          <w:sz w:val="22"/>
          <w:lang w:eastAsia="en-AU"/>
        </w:rPr>
        <w:t xml:space="preserve">t administered by that Minister, </w:t>
      </w:r>
      <w:r w:rsidRPr="00C2429A">
        <w:rPr>
          <w:rFonts w:ascii="Times New Roman" w:eastAsia="Times New Roman" w:hAnsi="Times New Roman" w:cs="Times New Roman"/>
          <w:sz w:val="22"/>
          <w:lang w:eastAsia="en-AU"/>
        </w:rPr>
        <w:t>is a person to whom that information may be communicated for that purpose.</w:t>
      </w:r>
    </w:p>
    <w:p w14:paraId="2D03330F" w14:textId="77777777" w:rsidR="00A33EDD" w:rsidRPr="00C2429A" w:rsidRDefault="00A33EDD" w:rsidP="00AC7DB4">
      <w:pPr>
        <w:pStyle w:val="Default"/>
        <w:spacing w:after="200"/>
        <w:jc w:val="both"/>
        <w:rPr>
          <w:sz w:val="22"/>
          <w:szCs w:val="22"/>
        </w:rPr>
      </w:pPr>
    </w:p>
    <w:p w14:paraId="6ECA8AEE" w14:textId="77777777" w:rsidR="00867AD2" w:rsidRPr="00C2429A" w:rsidRDefault="00867AD2" w:rsidP="00AC7DB4">
      <w:pPr>
        <w:spacing w:line="276" w:lineRule="auto"/>
        <w:jc w:val="both"/>
        <w:rPr>
          <w:rFonts w:ascii="Times New Roman" w:hAnsi="Times New Roman" w:cs="Times New Roman"/>
          <w:sz w:val="22"/>
        </w:rPr>
      </w:pPr>
      <w:r w:rsidRPr="00C2429A">
        <w:rPr>
          <w:rFonts w:ascii="Times New Roman" w:hAnsi="Times New Roman" w:cs="Times New Roman"/>
          <w:sz w:val="22"/>
        </w:rPr>
        <w:br w:type="page"/>
      </w:r>
    </w:p>
    <w:p w14:paraId="6B40CD69" w14:textId="77777777" w:rsidR="00B80FD2" w:rsidRPr="00C2429A" w:rsidRDefault="00B80FD2" w:rsidP="00CF6107">
      <w:pPr>
        <w:spacing w:line="276" w:lineRule="auto"/>
        <w:jc w:val="right"/>
        <w:rPr>
          <w:sz w:val="22"/>
        </w:rPr>
      </w:pPr>
      <w:r w:rsidRPr="00C2429A">
        <w:rPr>
          <w:rFonts w:ascii="Times New Roman" w:hAnsi="Times New Roman" w:cs="Times New Roman"/>
          <w:b/>
          <w:sz w:val="22"/>
        </w:rPr>
        <w:lastRenderedPageBreak/>
        <w:t>Attachment B</w:t>
      </w:r>
    </w:p>
    <w:p w14:paraId="30152636" w14:textId="3F60B418" w:rsidR="00B80FD2" w:rsidRPr="00CF6107" w:rsidRDefault="00CF6107" w:rsidP="001D7913">
      <w:pPr>
        <w:jc w:val="center"/>
        <w:rPr>
          <w:rFonts w:ascii="Times New Roman" w:hAnsi="Times New Roman" w:cs="Times New Roman"/>
          <w:b/>
        </w:rPr>
      </w:pPr>
      <w:bookmarkStart w:id="8" w:name="_Hlk124340732"/>
      <w:bookmarkStart w:id="9" w:name="_Hlk124340737"/>
      <w:r>
        <w:rPr>
          <w:rFonts w:ascii="Times New Roman" w:hAnsi="Times New Roman" w:cs="Times New Roman"/>
          <w:b/>
        </w:rPr>
        <w:t xml:space="preserve">STATEMENT </w:t>
      </w:r>
      <w:bookmarkEnd w:id="8"/>
      <w:r>
        <w:rPr>
          <w:rFonts w:ascii="Times New Roman" w:hAnsi="Times New Roman" w:cs="Times New Roman"/>
          <w:b/>
        </w:rPr>
        <w:t>OF COMPABITILITY WITH HUMAN RIGHTS</w:t>
      </w:r>
    </w:p>
    <w:bookmarkEnd w:id="9"/>
    <w:p w14:paraId="620B1FA1" w14:textId="77777777" w:rsidR="001B5D89" w:rsidRPr="00C2429A" w:rsidRDefault="001B5D89" w:rsidP="001D7913">
      <w:pPr>
        <w:pStyle w:val="Default"/>
        <w:spacing w:after="200"/>
        <w:jc w:val="center"/>
        <w:rPr>
          <w:b/>
          <w:sz w:val="22"/>
          <w:szCs w:val="22"/>
        </w:rPr>
      </w:pPr>
      <w:r w:rsidRPr="00C2429A">
        <w:rPr>
          <w:i/>
          <w:sz w:val="22"/>
          <w:szCs w:val="22"/>
        </w:rPr>
        <w:t>Prepared in accordance with Part 3 of the Human Rights (Parliamentary Scrutiny) Act 2011</w:t>
      </w:r>
    </w:p>
    <w:p w14:paraId="5FC95959" w14:textId="3E951BD7" w:rsidR="001B5D89" w:rsidRPr="00876EDB" w:rsidRDefault="001B5D89" w:rsidP="001D7913">
      <w:pPr>
        <w:pStyle w:val="Default"/>
        <w:spacing w:after="200"/>
        <w:jc w:val="center"/>
        <w:rPr>
          <w:b/>
          <w:szCs w:val="22"/>
        </w:rPr>
      </w:pPr>
      <w:r w:rsidRPr="00876EDB">
        <w:rPr>
          <w:b/>
          <w:szCs w:val="22"/>
        </w:rPr>
        <w:t>Foreign Influence Transparency Scheme Amendment Rules 202</w:t>
      </w:r>
      <w:r w:rsidR="00E16220" w:rsidRPr="00876EDB">
        <w:rPr>
          <w:b/>
          <w:szCs w:val="22"/>
        </w:rPr>
        <w:t>3</w:t>
      </w:r>
    </w:p>
    <w:p w14:paraId="4A75A0D2" w14:textId="10A2DFB3" w:rsidR="001B5D89" w:rsidRPr="00C2429A" w:rsidRDefault="001B5D89" w:rsidP="001D7913">
      <w:pPr>
        <w:pStyle w:val="Default"/>
        <w:spacing w:after="200"/>
        <w:jc w:val="center"/>
        <w:rPr>
          <w:b/>
          <w:i/>
          <w:sz w:val="22"/>
          <w:szCs w:val="22"/>
        </w:rPr>
      </w:pPr>
      <w:r w:rsidRPr="00C2429A">
        <w:rPr>
          <w:sz w:val="22"/>
          <w:szCs w:val="22"/>
        </w:rPr>
        <w:t xml:space="preserve">The </w:t>
      </w:r>
      <w:r w:rsidRPr="00C2429A">
        <w:rPr>
          <w:i/>
          <w:sz w:val="22"/>
          <w:szCs w:val="22"/>
        </w:rPr>
        <w:t>Foreign Influence Transparency Scheme Amendment Rules 202</w:t>
      </w:r>
      <w:r w:rsidR="00E16220" w:rsidRPr="00C2429A">
        <w:rPr>
          <w:i/>
          <w:sz w:val="22"/>
          <w:szCs w:val="22"/>
        </w:rPr>
        <w:t>3</w:t>
      </w:r>
      <w:r w:rsidRPr="00C2429A">
        <w:rPr>
          <w:i/>
          <w:sz w:val="22"/>
          <w:szCs w:val="22"/>
        </w:rPr>
        <w:t xml:space="preserve"> </w:t>
      </w:r>
      <w:r w:rsidRPr="00C2429A">
        <w:rPr>
          <w:sz w:val="22"/>
          <w:szCs w:val="22"/>
        </w:rPr>
        <w:t>(the</w:t>
      </w:r>
      <w:r w:rsidRPr="00C2429A">
        <w:rPr>
          <w:b/>
          <w:i/>
          <w:sz w:val="22"/>
          <w:szCs w:val="22"/>
        </w:rPr>
        <w:t xml:space="preserve"> </w:t>
      </w:r>
      <w:r w:rsidRPr="00C2429A">
        <w:rPr>
          <w:sz w:val="22"/>
          <w:szCs w:val="22"/>
        </w:rPr>
        <w:t xml:space="preserve">Rules) are compatible with the human rights and freedoms recognised or declared in the international instruments listed in section 3 of the </w:t>
      </w:r>
      <w:r w:rsidRPr="00C2429A">
        <w:rPr>
          <w:i/>
          <w:iCs/>
          <w:sz w:val="22"/>
          <w:szCs w:val="22"/>
        </w:rPr>
        <w:t>Human Rights (Parliamentary Scrutiny) Act 2011</w:t>
      </w:r>
      <w:r w:rsidRPr="00C2429A">
        <w:rPr>
          <w:sz w:val="22"/>
          <w:szCs w:val="22"/>
        </w:rPr>
        <w:t>.</w:t>
      </w:r>
    </w:p>
    <w:p w14:paraId="1DA76AF0" w14:textId="3F3F5B0C" w:rsidR="001B5D89" w:rsidRPr="00C2429A" w:rsidRDefault="00231893" w:rsidP="00AC7DB4">
      <w:pPr>
        <w:pStyle w:val="Default"/>
        <w:spacing w:after="200"/>
        <w:jc w:val="both"/>
        <w:rPr>
          <w:sz w:val="22"/>
          <w:szCs w:val="22"/>
        </w:rPr>
      </w:pPr>
      <w:bookmarkStart w:id="10" w:name="_Hlk124340786"/>
      <w:r>
        <w:rPr>
          <w:b/>
          <w:sz w:val="22"/>
          <w:szCs w:val="22"/>
        </w:rPr>
        <w:t>Authority</w:t>
      </w:r>
    </w:p>
    <w:bookmarkEnd w:id="10"/>
    <w:p w14:paraId="3ABE3A13" w14:textId="77777777" w:rsidR="001B5D89" w:rsidRPr="00C2429A" w:rsidRDefault="001B5D89" w:rsidP="00AC7DB4">
      <w:pPr>
        <w:jc w:val="both"/>
        <w:rPr>
          <w:rFonts w:ascii="Times New Roman" w:hAnsi="Times New Roman" w:cs="Times New Roman"/>
          <w:sz w:val="22"/>
        </w:rPr>
      </w:pPr>
      <w:r w:rsidRPr="00C2429A">
        <w:rPr>
          <w:rFonts w:ascii="Times New Roman" w:hAnsi="Times New Roman" w:cs="Times New Roman"/>
          <w:sz w:val="22"/>
        </w:rPr>
        <w:t xml:space="preserve">Section 71 of the </w:t>
      </w:r>
      <w:r w:rsidRPr="00C2429A">
        <w:rPr>
          <w:rFonts w:ascii="Times New Roman" w:hAnsi="Times New Roman" w:cs="Times New Roman"/>
          <w:i/>
          <w:sz w:val="22"/>
        </w:rPr>
        <w:t>Foreign Influence Transparency Scheme Act 2018</w:t>
      </w:r>
      <w:r w:rsidRPr="00C2429A">
        <w:rPr>
          <w:rFonts w:ascii="Times New Roman" w:hAnsi="Times New Roman" w:cs="Times New Roman"/>
          <w:sz w:val="22"/>
        </w:rPr>
        <w:t xml:space="preserve"> (the Act) provides that the Minister may, by legislative instrument, make rules prescribing matters that are required or permitted by the Act to be prescribed by the rules, or that are necessary or convenient to be prescribed for carrying out or giving effect to the Act.</w:t>
      </w:r>
    </w:p>
    <w:p w14:paraId="2EC6D048" w14:textId="38F34090" w:rsidR="001B5D89" w:rsidRPr="00C2429A" w:rsidRDefault="001B5D89" w:rsidP="00AC7DB4">
      <w:pPr>
        <w:jc w:val="both"/>
        <w:rPr>
          <w:rFonts w:ascii="Times New Roman" w:hAnsi="Times New Roman" w:cs="Times New Roman"/>
          <w:sz w:val="22"/>
        </w:rPr>
      </w:pPr>
      <w:r w:rsidRPr="00C2429A">
        <w:rPr>
          <w:rFonts w:ascii="Times New Roman" w:hAnsi="Times New Roman" w:cs="Times New Roman"/>
          <w:sz w:val="22"/>
        </w:rPr>
        <w:t>Section 53 of the Act provides an authorisation for the Secretary to disclose scheme information for a range of specified purposes and to a person specified for that purpose. Item 4 of subsection 53(1) provides that the Secretary may communicate scheme information to a person prescribed by the</w:t>
      </w:r>
      <w:r w:rsidRPr="00C2429A">
        <w:rPr>
          <w:rFonts w:ascii="Times New Roman" w:hAnsi="Times New Roman" w:cs="Times New Roman"/>
          <w:i/>
          <w:sz w:val="22"/>
        </w:rPr>
        <w:t xml:space="preserve"> </w:t>
      </w:r>
      <w:r w:rsidR="00BD1285">
        <w:rPr>
          <w:rFonts w:ascii="Times New Roman" w:hAnsi="Times New Roman" w:cs="Times New Roman"/>
          <w:sz w:val="22"/>
        </w:rPr>
        <w:t>rules</w:t>
      </w:r>
      <w:r w:rsidRPr="00C2429A">
        <w:rPr>
          <w:rFonts w:ascii="Times New Roman" w:hAnsi="Times New Roman" w:cs="Times New Roman"/>
          <w:i/>
          <w:sz w:val="22"/>
        </w:rPr>
        <w:t xml:space="preserve"> </w:t>
      </w:r>
      <w:r w:rsidRPr="00C2429A">
        <w:rPr>
          <w:rFonts w:ascii="Times New Roman" w:hAnsi="Times New Roman" w:cs="Times New Roman"/>
          <w:sz w:val="22"/>
        </w:rPr>
        <w:t xml:space="preserve">for a purpose prescribed by the </w:t>
      </w:r>
      <w:r w:rsidR="00BD1285">
        <w:rPr>
          <w:rFonts w:ascii="Times New Roman" w:hAnsi="Times New Roman" w:cs="Times New Roman"/>
          <w:sz w:val="22"/>
        </w:rPr>
        <w:t>r</w:t>
      </w:r>
      <w:r w:rsidRPr="00C2429A">
        <w:rPr>
          <w:rFonts w:ascii="Times New Roman" w:hAnsi="Times New Roman" w:cs="Times New Roman"/>
          <w:sz w:val="22"/>
        </w:rPr>
        <w:t>ules.</w:t>
      </w:r>
    </w:p>
    <w:p w14:paraId="1317E2B5" w14:textId="4C0D1686" w:rsidR="00592855" w:rsidRDefault="00592855" w:rsidP="00AC7DB4">
      <w:pPr>
        <w:jc w:val="both"/>
        <w:rPr>
          <w:rFonts w:ascii="Times New Roman" w:hAnsi="Times New Roman" w:cs="Times New Roman"/>
          <w:b/>
          <w:sz w:val="22"/>
        </w:rPr>
      </w:pPr>
      <w:r w:rsidRPr="00C2429A">
        <w:rPr>
          <w:rFonts w:ascii="Times New Roman" w:hAnsi="Times New Roman" w:cs="Times New Roman"/>
          <w:b/>
          <w:sz w:val="22"/>
        </w:rPr>
        <w:t xml:space="preserve">Purpose and operation of the Rules </w:t>
      </w:r>
    </w:p>
    <w:p w14:paraId="22FDDB58" w14:textId="41F5FE9B" w:rsidR="00517424" w:rsidRPr="00C2429A" w:rsidRDefault="00517424" w:rsidP="00517424">
      <w:pPr>
        <w:jc w:val="both"/>
        <w:rPr>
          <w:rFonts w:ascii="Times New Roman" w:hAnsi="Times New Roman" w:cs="Times New Roman"/>
          <w:b/>
          <w:bCs/>
          <w:i/>
          <w:sz w:val="22"/>
        </w:rPr>
      </w:pPr>
      <w:r w:rsidRPr="00C2429A">
        <w:rPr>
          <w:rFonts w:ascii="Times New Roman" w:hAnsi="Times New Roman" w:cs="Times New Roman"/>
          <w:sz w:val="22"/>
        </w:rPr>
        <w:t xml:space="preserve">The Rules prescribe matters for the purposes of section 53 of the Act, </w:t>
      </w:r>
      <w:r w:rsidR="00184B3C">
        <w:rPr>
          <w:rFonts w:ascii="Times New Roman" w:hAnsi="Times New Roman" w:cs="Times New Roman"/>
          <w:sz w:val="22"/>
        </w:rPr>
        <w:t>to</w:t>
      </w:r>
      <w:r w:rsidR="00184B3C" w:rsidRPr="00C2429A">
        <w:rPr>
          <w:rFonts w:ascii="Times New Roman" w:hAnsi="Times New Roman" w:cs="Times New Roman"/>
          <w:sz w:val="22"/>
        </w:rPr>
        <w:t xml:space="preserve"> </w:t>
      </w:r>
      <w:r w:rsidRPr="00C2429A">
        <w:rPr>
          <w:rFonts w:ascii="Times New Roman" w:hAnsi="Times New Roman" w:cs="Times New Roman"/>
          <w:sz w:val="22"/>
        </w:rPr>
        <w:t xml:space="preserve">allow the Secretary of the Attorney-General’s Department to </w:t>
      </w:r>
      <w:r>
        <w:rPr>
          <w:rFonts w:ascii="Times New Roman" w:hAnsi="Times New Roman" w:cs="Times New Roman"/>
          <w:sz w:val="22"/>
        </w:rPr>
        <w:t>communicate</w:t>
      </w:r>
      <w:r w:rsidRPr="00C2429A">
        <w:rPr>
          <w:rFonts w:ascii="Times New Roman" w:hAnsi="Times New Roman" w:cs="Times New Roman"/>
          <w:sz w:val="22"/>
        </w:rPr>
        <w:t xml:space="preserve"> </w:t>
      </w:r>
      <w:r>
        <w:rPr>
          <w:rFonts w:ascii="Times New Roman" w:hAnsi="Times New Roman" w:cs="Times New Roman"/>
          <w:sz w:val="22"/>
        </w:rPr>
        <w:t xml:space="preserve">scheme </w:t>
      </w:r>
      <w:r w:rsidRPr="00C2429A">
        <w:rPr>
          <w:rFonts w:ascii="Times New Roman" w:hAnsi="Times New Roman" w:cs="Times New Roman"/>
          <w:sz w:val="22"/>
        </w:rPr>
        <w:t xml:space="preserve">information </w:t>
      </w:r>
      <w:bookmarkStart w:id="11" w:name="_Hlk124340885"/>
      <w:r>
        <w:rPr>
          <w:rFonts w:ascii="Times New Roman" w:hAnsi="Times New Roman" w:cs="Times New Roman"/>
          <w:sz w:val="22"/>
        </w:rPr>
        <w:t xml:space="preserve">to the Minister responsible for </w:t>
      </w:r>
      <w:r w:rsidRPr="00C2429A">
        <w:rPr>
          <w:rFonts w:ascii="Times New Roman" w:hAnsi="Times New Roman" w:cs="Times New Roman"/>
          <w:sz w:val="22"/>
        </w:rPr>
        <w:t xml:space="preserve">the </w:t>
      </w:r>
      <w:r w:rsidRPr="00C2429A">
        <w:rPr>
          <w:rFonts w:ascii="Times New Roman" w:hAnsi="Times New Roman" w:cs="Times New Roman"/>
          <w:bCs/>
          <w:i/>
          <w:sz w:val="22"/>
        </w:rPr>
        <w:t xml:space="preserve">Australia’s Foreign Relations (State and Territory Arrangements) Act 2020 </w:t>
      </w:r>
      <w:r w:rsidRPr="00C2429A">
        <w:rPr>
          <w:rFonts w:ascii="Times New Roman" w:hAnsi="Times New Roman" w:cs="Times New Roman"/>
          <w:bCs/>
          <w:sz w:val="22"/>
        </w:rPr>
        <w:t>(Foreign Relations Act)</w:t>
      </w:r>
      <w:r>
        <w:rPr>
          <w:rFonts w:ascii="Times New Roman" w:hAnsi="Times New Roman" w:cs="Times New Roman"/>
          <w:bCs/>
          <w:sz w:val="22"/>
        </w:rPr>
        <w:t xml:space="preserve"> and their department, for the purposes of </w:t>
      </w:r>
      <w:r>
        <w:rPr>
          <w:rFonts w:ascii="Times New Roman" w:hAnsi="Times New Roman" w:cs="Times New Roman"/>
          <w:sz w:val="22"/>
        </w:rPr>
        <w:t xml:space="preserve">administering </w:t>
      </w:r>
      <w:r w:rsidR="005C57DE">
        <w:rPr>
          <w:rFonts w:ascii="Times New Roman" w:hAnsi="Times New Roman" w:cs="Times New Roman"/>
          <w:bCs/>
          <w:sz w:val="22"/>
        </w:rPr>
        <w:t xml:space="preserve">the Foreign Relations </w:t>
      </w:r>
      <w:r>
        <w:rPr>
          <w:rFonts w:ascii="Times New Roman" w:hAnsi="Times New Roman" w:cs="Times New Roman"/>
          <w:bCs/>
          <w:sz w:val="22"/>
        </w:rPr>
        <w:t>Act</w:t>
      </w:r>
      <w:r w:rsidRPr="00C2429A">
        <w:rPr>
          <w:rFonts w:ascii="Times New Roman" w:hAnsi="Times New Roman" w:cs="Times New Roman"/>
          <w:i/>
          <w:sz w:val="22"/>
        </w:rPr>
        <w:t>.</w:t>
      </w:r>
      <w:r w:rsidRPr="00C2429A">
        <w:rPr>
          <w:rFonts w:ascii="Times New Roman" w:hAnsi="Times New Roman" w:cs="Times New Roman"/>
          <w:sz w:val="22"/>
        </w:rPr>
        <w:t xml:space="preserve"> </w:t>
      </w:r>
    </w:p>
    <w:p w14:paraId="6F19C67C" w14:textId="26169FD4" w:rsidR="00517424" w:rsidRDefault="00517424" w:rsidP="00AC7DB4">
      <w:pPr>
        <w:jc w:val="both"/>
        <w:rPr>
          <w:rFonts w:ascii="Times New Roman" w:hAnsi="Times New Roman" w:cs="Times New Roman"/>
          <w:sz w:val="22"/>
        </w:rPr>
      </w:pPr>
      <w:bookmarkStart w:id="12" w:name="_Hlk124341010"/>
      <w:bookmarkEnd w:id="11"/>
      <w:r>
        <w:rPr>
          <w:rFonts w:ascii="Times New Roman" w:hAnsi="Times New Roman" w:cs="Times New Roman"/>
          <w:sz w:val="22"/>
        </w:rPr>
        <w:t>The Attorney-General’s Department</w:t>
      </w:r>
      <w:r w:rsidRPr="0096669A">
        <w:rPr>
          <w:rFonts w:ascii="Times New Roman" w:hAnsi="Times New Roman" w:cs="Times New Roman"/>
          <w:sz w:val="22"/>
        </w:rPr>
        <w:t xml:space="preserve"> administers the</w:t>
      </w:r>
      <w:r>
        <w:rPr>
          <w:rFonts w:ascii="Times New Roman" w:hAnsi="Times New Roman" w:cs="Times New Roman"/>
          <w:sz w:val="22"/>
        </w:rPr>
        <w:t xml:space="preserve"> Act which established the</w:t>
      </w:r>
      <w:r w:rsidRPr="0096669A">
        <w:rPr>
          <w:rFonts w:ascii="Times New Roman" w:hAnsi="Times New Roman" w:cs="Times New Roman"/>
          <w:sz w:val="22"/>
        </w:rPr>
        <w:t xml:space="preserve"> </w:t>
      </w:r>
      <w:r>
        <w:rPr>
          <w:rFonts w:ascii="Times New Roman" w:hAnsi="Times New Roman" w:cs="Times New Roman"/>
          <w:sz w:val="22"/>
        </w:rPr>
        <w:t xml:space="preserve">Foreign Influence Transparency </w:t>
      </w:r>
      <w:r w:rsidRPr="0096669A">
        <w:rPr>
          <w:rFonts w:ascii="Times New Roman" w:hAnsi="Times New Roman" w:cs="Times New Roman"/>
          <w:sz w:val="22"/>
        </w:rPr>
        <w:t xml:space="preserve">Scheme </w:t>
      </w:r>
      <w:r>
        <w:rPr>
          <w:rFonts w:ascii="Times New Roman" w:hAnsi="Times New Roman" w:cs="Times New Roman"/>
          <w:sz w:val="22"/>
        </w:rPr>
        <w:t xml:space="preserve">(the Scheme). </w:t>
      </w:r>
      <w:bookmarkStart w:id="13" w:name="_Hlk124341016"/>
      <w:bookmarkEnd w:id="12"/>
      <w:r w:rsidRPr="00C2429A">
        <w:rPr>
          <w:rFonts w:ascii="Times New Roman" w:hAnsi="Times New Roman" w:cs="Times New Roman"/>
          <w:sz w:val="22"/>
        </w:rPr>
        <w:t>The objective of the Scheme is to provide transparency to the public and decision-makers about the nature, level and extent of foreign influence on Australia’s governmental and political processes.</w:t>
      </w:r>
      <w:r>
        <w:rPr>
          <w:rFonts w:ascii="Times New Roman" w:hAnsi="Times New Roman" w:cs="Times New Roman"/>
          <w:sz w:val="22"/>
        </w:rPr>
        <w:t xml:space="preserve"> </w:t>
      </w:r>
      <w:bookmarkEnd w:id="13"/>
      <w:r>
        <w:rPr>
          <w:rFonts w:ascii="Times New Roman" w:hAnsi="Times New Roman" w:cs="Times New Roman"/>
          <w:sz w:val="22"/>
        </w:rPr>
        <w:t>It which</w:t>
      </w:r>
      <w:r w:rsidRPr="00C2429A">
        <w:rPr>
          <w:rFonts w:ascii="Times New Roman" w:hAnsi="Times New Roman" w:cs="Times New Roman"/>
          <w:sz w:val="22"/>
        </w:rPr>
        <w:t xml:space="preserve"> requires individuals and entities to register certain activities under the Scheme if they undertake those activities on behalf of a foreign principal. The Secretary of the Attorney</w:t>
      </w:r>
      <w:r w:rsidRPr="00C2429A">
        <w:rPr>
          <w:rFonts w:ascii="Times New Roman" w:hAnsi="Times New Roman" w:cs="Times New Roman"/>
          <w:sz w:val="22"/>
        </w:rPr>
        <w:noBreakHyphen/>
        <w:t>General’s Department has powers to obtain information and documents if the Secretary reasonably suspects that a person might be liable to register under the Scheme and has not registered (section 45), or reasonably believes that a person (whether or not a registrant) has information or a document that is relevant to the operation of the Scheme (section 46).</w:t>
      </w:r>
      <w:r>
        <w:rPr>
          <w:rFonts w:ascii="Times New Roman" w:hAnsi="Times New Roman" w:cs="Times New Roman"/>
          <w:sz w:val="22"/>
        </w:rPr>
        <w:t xml:space="preserve"> </w:t>
      </w:r>
      <w:bookmarkStart w:id="14" w:name="_Hlk124341050"/>
      <w:r w:rsidRPr="00915912">
        <w:rPr>
          <w:rFonts w:ascii="Times New Roman" w:hAnsi="Times New Roman" w:cs="Times New Roman"/>
          <w:sz w:val="22"/>
        </w:rPr>
        <w:t>Section 50 of the Act provides that information obtained in the course of performing functions or exercising powers under the scheme is scheme information.</w:t>
      </w:r>
      <w:r>
        <w:rPr>
          <w:rFonts w:ascii="Times New Roman" w:hAnsi="Times New Roman" w:cs="Times New Roman"/>
          <w:sz w:val="22"/>
        </w:rPr>
        <w:t xml:space="preserve"> </w:t>
      </w:r>
      <w:bookmarkEnd w:id="14"/>
    </w:p>
    <w:p w14:paraId="26410D4F" w14:textId="3FB65D9A" w:rsidR="00D06509" w:rsidRPr="00C2429A" w:rsidRDefault="006B6DA1" w:rsidP="00AC7DB4">
      <w:pPr>
        <w:jc w:val="both"/>
        <w:rPr>
          <w:rFonts w:ascii="Times New Roman" w:hAnsi="Times New Roman" w:cs="Times New Roman"/>
          <w:sz w:val="22"/>
        </w:rPr>
      </w:pPr>
      <w:bookmarkStart w:id="15" w:name="_Hlk124341100"/>
      <w:r>
        <w:rPr>
          <w:rFonts w:ascii="Times New Roman" w:hAnsi="Times New Roman" w:cs="Times New Roman"/>
          <w:sz w:val="22"/>
        </w:rPr>
        <w:t>The Department of Foreign Affairs</w:t>
      </w:r>
      <w:r w:rsidR="007E2310">
        <w:rPr>
          <w:rFonts w:ascii="Times New Roman" w:hAnsi="Times New Roman" w:cs="Times New Roman"/>
          <w:sz w:val="22"/>
        </w:rPr>
        <w:t xml:space="preserve"> and Trade (DFAT)</w:t>
      </w:r>
      <w:r>
        <w:rPr>
          <w:rFonts w:ascii="Times New Roman" w:hAnsi="Times New Roman" w:cs="Times New Roman"/>
          <w:sz w:val="22"/>
        </w:rPr>
        <w:t xml:space="preserve"> administers t</w:t>
      </w:r>
      <w:r w:rsidR="00D06509" w:rsidRPr="00C2429A">
        <w:rPr>
          <w:rFonts w:ascii="Times New Roman" w:hAnsi="Times New Roman" w:cs="Times New Roman"/>
          <w:sz w:val="22"/>
        </w:rPr>
        <w:t>he Foreign Relations Act</w:t>
      </w:r>
      <w:r>
        <w:rPr>
          <w:rFonts w:ascii="Times New Roman" w:hAnsi="Times New Roman" w:cs="Times New Roman"/>
          <w:sz w:val="22"/>
        </w:rPr>
        <w:t>, which</w:t>
      </w:r>
      <w:r w:rsidR="00D06509" w:rsidRPr="00C2429A">
        <w:rPr>
          <w:rFonts w:ascii="Times New Roman" w:hAnsi="Times New Roman" w:cs="Times New Roman"/>
          <w:sz w:val="22"/>
        </w:rPr>
        <w:t xml:space="preserve"> </w:t>
      </w:r>
      <w:r w:rsidR="00932CEE" w:rsidRPr="00C2429A">
        <w:rPr>
          <w:rFonts w:ascii="Times New Roman" w:hAnsi="Times New Roman" w:cs="Times New Roman"/>
          <w:sz w:val="22"/>
        </w:rPr>
        <w:t>establishe</w:t>
      </w:r>
      <w:r w:rsidR="00932CEE">
        <w:rPr>
          <w:rFonts w:ascii="Times New Roman" w:hAnsi="Times New Roman" w:cs="Times New Roman"/>
          <w:sz w:val="22"/>
        </w:rPr>
        <w:t>s</w:t>
      </w:r>
      <w:r w:rsidR="00932CEE" w:rsidRPr="00C2429A">
        <w:rPr>
          <w:rFonts w:ascii="Times New Roman" w:hAnsi="Times New Roman" w:cs="Times New Roman"/>
          <w:sz w:val="22"/>
        </w:rPr>
        <w:t xml:space="preserve"> </w:t>
      </w:r>
      <w:r w:rsidR="00D06509" w:rsidRPr="00C2429A">
        <w:rPr>
          <w:rFonts w:ascii="Times New Roman" w:hAnsi="Times New Roman" w:cs="Times New Roman"/>
          <w:sz w:val="22"/>
        </w:rPr>
        <w:t>the Foreign Arrangements Scheme</w:t>
      </w:r>
      <w:r>
        <w:rPr>
          <w:rFonts w:ascii="Times New Roman" w:hAnsi="Times New Roman" w:cs="Times New Roman"/>
          <w:sz w:val="22"/>
        </w:rPr>
        <w:t xml:space="preserve">. </w:t>
      </w:r>
      <w:bookmarkEnd w:id="15"/>
      <w:r w:rsidR="003D49E0">
        <w:rPr>
          <w:rFonts w:ascii="Times New Roman" w:hAnsi="Times New Roman" w:cs="Times New Roman"/>
          <w:sz w:val="22"/>
        </w:rPr>
        <w:t>The</w:t>
      </w:r>
      <w:r>
        <w:rPr>
          <w:rFonts w:ascii="Times New Roman" w:hAnsi="Times New Roman" w:cs="Times New Roman"/>
          <w:sz w:val="22"/>
        </w:rPr>
        <w:t xml:space="preserve"> </w:t>
      </w:r>
      <w:r w:rsidR="007E2310">
        <w:rPr>
          <w:rFonts w:ascii="Times New Roman" w:hAnsi="Times New Roman" w:cs="Times New Roman"/>
          <w:sz w:val="22"/>
        </w:rPr>
        <w:t xml:space="preserve">purpose of the </w:t>
      </w:r>
      <w:r>
        <w:rPr>
          <w:rFonts w:ascii="Times New Roman" w:hAnsi="Times New Roman" w:cs="Times New Roman"/>
          <w:sz w:val="22"/>
        </w:rPr>
        <w:t>Foreign Arrangements Scheme</w:t>
      </w:r>
      <w:r w:rsidR="007E2310">
        <w:rPr>
          <w:rFonts w:ascii="Times New Roman" w:hAnsi="Times New Roman" w:cs="Times New Roman"/>
          <w:sz w:val="22"/>
        </w:rPr>
        <w:t xml:space="preserve"> </w:t>
      </w:r>
      <w:r w:rsidR="00D06509" w:rsidRPr="00C2429A">
        <w:rPr>
          <w:rFonts w:ascii="Times New Roman" w:hAnsi="Times New Roman" w:cs="Times New Roman"/>
          <w:sz w:val="22"/>
        </w:rPr>
        <w:t xml:space="preserve">is to ensure a consistent approach to foreign policy across all levels of Australian government. </w:t>
      </w:r>
      <w:bookmarkStart w:id="16" w:name="_Hlk124341145"/>
      <w:r>
        <w:rPr>
          <w:rFonts w:ascii="Times New Roman" w:hAnsi="Times New Roman" w:cs="Times New Roman"/>
          <w:sz w:val="22"/>
        </w:rPr>
        <w:t>It</w:t>
      </w:r>
      <w:r w:rsidRPr="006B6DA1">
        <w:rPr>
          <w:rFonts w:ascii="Times New Roman" w:hAnsi="Times New Roman" w:cs="Times New Roman"/>
          <w:sz w:val="22"/>
        </w:rPr>
        <w:t xml:space="preserve"> requires State and Territory entities to notify the Minister for Foreign Affairs of pre-existing and prospective arrangements with foreign entities. </w:t>
      </w:r>
      <w:bookmarkEnd w:id="16"/>
      <w:r w:rsidRPr="006B6DA1">
        <w:rPr>
          <w:rFonts w:ascii="Times New Roman" w:hAnsi="Times New Roman" w:cs="Times New Roman"/>
          <w:sz w:val="22"/>
        </w:rPr>
        <w:t xml:space="preserve">The Minister may cancel, vary or prevent an arrangement from proceeding if it is inconsistent with Australia’s foreign policy or adversely affects Australia’s foreign relations. </w:t>
      </w:r>
    </w:p>
    <w:p w14:paraId="0D5071AD" w14:textId="79A1D78B" w:rsidR="003F4E84" w:rsidRDefault="00D06509" w:rsidP="00AC7DB4">
      <w:pPr>
        <w:jc w:val="both"/>
        <w:rPr>
          <w:rFonts w:ascii="Times New Roman" w:hAnsi="Times New Roman" w:cs="Times New Roman"/>
          <w:sz w:val="22"/>
        </w:rPr>
      </w:pPr>
      <w:r w:rsidRPr="00C2429A">
        <w:rPr>
          <w:rFonts w:ascii="Times New Roman" w:hAnsi="Times New Roman" w:cs="Times New Roman"/>
          <w:sz w:val="22"/>
        </w:rPr>
        <w:t xml:space="preserve">The Foreign Arrangements Scheme is part of a range of Government measures to protect Australia’s national interests. The Foreign Arrangements Scheme operates alongside, and is complementary to, the Foreign Influence Transparency Scheme. Given the nature of the Foreign Arrangements Scheme and the arrangements that are within its remit, a small number of entities may be within the scope of both schemes. For instance, an entity may be involved in an arrangement required to be notified to the Minister, whilst also </w:t>
      </w:r>
      <w:r w:rsidR="003F4E84">
        <w:rPr>
          <w:rFonts w:ascii="Times New Roman" w:hAnsi="Times New Roman" w:cs="Times New Roman"/>
          <w:sz w:val="22"/>
        </w:rPr>
        <w:t xml:space="preserve">being </w:t>
      </w:r>
      <w:r w:rsidRPr="00C2429A">
        <w:rPr>
          <w:rFonts w:ascii="Times New Roman" w:hAnsi="Times New Roman" w:cs="Times New Roman"/>
          <w:sz w:val="22"/>
        </w:rPr>
        <w:t xml:space="preserve">a foreign principal for the purposes of the </w:t>
      </w:r>
      <w:r w:rsidR="00DA3299" w:rsidRPr="00C2429A">
        <w:rPr>
          <w:rFonts w:ascii="Times New Roman" w:hAnsi="Times New Roman" w:cs="Times New Roman"/>
          <w:sz w:val="22"/>
        </w:rPr>
        <w:t>S</w:t>
      </w:r>
      <w:r w:rsidRPr="00C2429A">
        <w:rPr>
          <w:rFonts w:ascii="Times New Roman" w:hAnsi="Times New Roman" w:cs="Times New Roman"/>
          <w:sz w:val="22"/>
        </w:rPr>
        <w:t xml:space="preserve">cheme. </w:t>
      </w:r>
    </w:p>
    <w:p w14:paraId="50D6D82C" w14:textId="1EB962CF" w:rsidR="007362C2" w:rsidRDefault="007362C2" w:rsidP="00AC7DB4">
      <w:pPr>
        <w:jc w:val="both"/>
        <w:rPr>
          <w:rFonts w:ascii="Times New Roman" w:hAnsi="Times New Roman" w:cs="Times New Roman"/>
          <w:sz w:val="22"/>
        </w:rPr>
      </w:pPr>
      <w:r>
        <w:rPr>
          <w:rFonts w:ascii="Times New Roman" w:hAnsi="Times New Roman" w:cs="Times New Roman"/>
          <w:sz w:val="22"/>
        </w:rPr>
        <w:lastRenderedPageBreak/>
        <w:t>T</w:t>
      </w:r>
      <w:r w:rsidRPr="00C2429A">
        <w:rPr>
          <w:rFonts w:ascii="Times New Roman" w:hAnsi="Times New Roman" w:cs="Times New Roman"/>
          <w:sz w:val="22"/>
        </w:rPr>
        <w:t>he Rules</w:t>
      </w:r>
      <w:r>
        <w:rPr>
          <w:rFonts w:ascii="Times New Roman" w:hAnsi="Times New Roman" w:cs="Times New Roman"/>
          <w:sz w:val="22"/>
        </w:rPr>
        <w:t xml:space="preserve"> would authorise the Secretary of the Attorney-General’s Department, or their delegate, to communicate scheme information to the Minister</w:t>
      </w:r>
      <w:r w:rsidR="0042306D">
        <w:rPr>
          <w:rFonts w:ascii="Times New Roman" w:hAnsi="Times New Roman" w:cs="Times New Roman"/>
          <w:sz w:val="22"/>
        </w:rPr>
        <w:t xml:space="preserve"> for Foreign Affairs</w:t>
      </w:r>
      <w:r>
        <w:rPr>
          <w:rFonts w:ascii="Times New Roman" w:hAnsi="Times New Roman" w:cs="Times New Roman"/>
          <w:sz w:val="22"/>
        </w:rPr>
        <w:t xml:space="preserve"> and DFAT for the purpose of administering the Foreign Relations Act</w:t>
      </w:r>
      <w:r w:rsidRPr="00C2429A">
        <w:rPr>
          <w:rFonts w:ascii="Times New Roman" w:hAnsi="Times New Roman" w:cs="Times New Roman"/>
          <w:sz w:val="22"/>
        </w:rPr>
        <w:t xml:space="preserve">. </w:t>
      </w:r>
      <w:r w:rsidR="00481CB9">
        <w:rPr>
          <w:rFonts w:ascii="Times New Roman" w:hAnsi="Times New Roman" w:cs="Times New Roman"/>
          <w:sz w:val="22"/>
        </w:rPr>
        <w:t>Given the potential for entities to be within the scope of both schemes, the</w:t>
      </w:r>
      <w:r w:rsidR="00481CB9" w:rsidRPr="00AC7DB4">
        <w:rPr>
          <w:rFonts w:ascii="Times New Roman" w:hAnsi="Times New Roman" w:cs="Times New Roman"/>
          <w:sz w:val="22"/>
        </w:rPr>
        <w:t xml:space="preserve"> </w:t>
      </w:r>
      <w:r w:rsidR="00481CB9">
        <w:rPr>
          <w:rFonts w:ascii="Times New Roman" w:hAnsi="Times New Roman" w:cs="Times New Roman"/>
          <w:sz w:val="22"/>
        </w:rPr>
        <w:t xml:space="preserve">ability for the Attorney-General’s Department to share information obtained under the Scheme with the Minister for Foreign Affairs and DFAT for the purposes of administering the Foreign Arrangements Scheme </w:t>
      </w:r>
      <w:r w:rsidRPr="00AC7DB4">
        <w:rPr>
          <w:rFonts w:ascii="Times New Roman" w:hAnsi="Times New Roman" w:cs="Times New Roman"/>
          <w:sz w:val="22"/>
        </w:rPr>
        <w:t>would improve the interoperability of the schemes</w:t>
      </w:r>
      <w:r>
        <w:rPr>
          <w:rFonts w:ascii="Times New Roman" w:hAnsi="Times New Roman" w:cs="Times New Roman"/>
          <w:sz w:val="22"/>
        </w:rPr>
        <w:t>. A decision under one Act may be relevant to the administration of the other. For example, a decision by the Minister</w:t>
      </w:r>
      <w:r w:rsidR="0042306D">
        <w:rPr>
          <w:rFonts w:ascii="Times New Roman" w:hAnsi="Times New Roman" w:cs="Times New Roman"/>
          <w:sz w:val="22"/>
        </w:rPr>
        <w:t xml:space="preserve"> for Foreign Affairs</w:t>
      </w:r>
      <w:r>
        <w:rPr>
          <w:rFonts w:ascii="Times New Roman" w:hAnsi="Times New Roman" w:cs="Times New Roman"/>
          <w:sz w:val="22"/>
        </w:rPr>
        <w:t xml:space="preserve"> to cancel or vary an arrangement with an entity under the Foreign Arrangements Scheme may alter the way the Act applies to the relevant entity. The Rules would also ensure that the Attorney-General’s Department can provide the Minister</w:t>
      </w:r>
      <w:r w:rsidR="0042306D">
        <w:rPr>
          <w:rFonts w:ascii="Times New Roman" w:hAnsi="Times New Roman" w:cs="Times New Roman"/>
          <w:sz w:val="22"/>
        </w:rPr>
        <w:t xml:space="preserve"> for Foreign Affairs</w:t>
      </w:r>
      <w:r>
        <w:rPr>
          <w:rFonts w:ascii="Times New Roman" w:hAnsi="Times New Roman" w:cs="Times New Roman"/>
          <w:sz w:val="22"/>
        </w:rPr>
        <w:t xml:space="preserve"> and DFAT with visibility of matters arising under the Act that may be relevant to the administration of the Foreign Relations Act, which supports the efficient and appropriate administration of both schemes.</w:t>
      </w:r>
    </w:p>
    <w:p w14:paraId="1EFD0CC9" w14:textId="77777777" w:rsidR="001B5D89" w:rsidRPr="00C2429A" w:rsidRDefault="001B5D89" w:rsidP="00AC7DB4">
      <w:pPr>
        <w:pStyle w:val="Default"/>
        <w:spacing w:after="200"/>
        <w:jc w:val="both"/>
        <w:rPr>
          <w:b/>
          <w:sz w:val="22"/>
          <w:szCs w:val="22"/>
        </w:rPr>
      </w:pPr>
      <w:r w:rsidRPr="00C2429A">
        <w:rPr>
          <w:b/>
          <w:sz w:val="22"/>
          <w:szCs w:val="22"/>
        </w:rPr>
        <w:t xml:space="preserve">Human rights implications </w:t>
      </w:r>
    </w:p>
    <w:p w14:paraId="6CE036BC" w14:textId="510473CA" w:rsidR="001B5D89" w:rsidRDefault="001B5D89" w:rsidP="00AC7DB4">
      <w:pPr>
        <w:pStyle w:val="Default"/>
        <w:spacing w:after="200"/>
        <w:jc w:val="both"/>
        <w:rPr>
          <w:sz w:val="22"/>
          <w:szCs w:val="22"/>
        </w:rPr>
      </w:pPr>
      <w:r w:rsidRPr="00C2429A">
        <w:rPr>
          <w:sz w:val="22"/>
          <w:szCs w:val="22"/>
        </w:rPr>
        <w:t xml:space="preserve">The Rules engage the right to privacy as contained in </w:t>
      </w:r>
      <w:r w:rsidR="000F5491" w:rsidRPr="00C2429A">
        <w:rPr>
          <w:sz w:val="22"/>
          <w:szCs w:val="22"/>
        </w:rPr>
        <w:t>a</w:t>
      </w:r>
      <w:r w:rsidRPr="00C2429A">
        <w:rPr>
          <w:sz w:val="22"/>
          <w:szCs w:val="22"/>
        </w:rPr>
        <w:t xml:space="preserve">rticle 17 of </w:t>
      </w:r>
      <w:r w:rsidR="001D7913">
        <w:rPr>
          <w:sz w:val="22"/>
          <w:szCs w:val="22"/>
        </w:rPr>
        <w:t xml:space="preserve">the </w:t>
      </w:r>
      <w:r w:rsidRPr="001D7913">
        <w:rPr>
          <w:i/>
          <w:sz w:val="22"/>
          <w:szCs w:val="22"/>
        </w:rPr>
        <w:t>International Covenant on Civil and Political Rights</w:t>
      </w:r>
      <w:r w:rsidRPr="00C2429A">
        <w:rPr>
          <w:sz w:val="22"/>
          <w:szCs w:val="22"/>
        </w:rPr>
        <w:t xml:space="preserve"> (ICCPR). </w:t>
      </w:r>
    </w:p>
    <w:p w14:paraId="1031ACD2" w14:textId="77777777" w:rsidR="0097657D" w:rsidRPr="008B52A1" w:rsidRDefault="0097657D" w:rsidP="0097657D">
      <w:pPr>
        <w:pStyle w:val="Default"/>
        <w:spacing w:after="200"/>
        <w:jc w:val="both"/>
        <w:rPr>
          <w:i/>
          <w:sz w:val="22"/>
          <w:szCs w:val="22"/>
        </w:rPr>
      </w:pPr>
      <w:r>
        <w:rPr>
          <w:i/>
          <w:sz w:val="22"/>
          <w:szCs w:val="22"/>
        </w:rPr>
        <w:t>Legitimate objective of the Rules</w:t>
      </w:r>
    </w:p>
    <w:p w14:paraId="5CBFB0AE" w14:textId="77777777" w:rsidR="0097657D" w:rsidRDefault="0097657D" w:rsidP="0097657D">
      <w:pPr>
        <w:pStyle w:val="Default"/>
        <w:spacing w:after="200"/>
        <w:jc w:val="both"/>
        <w:rPr>
          <w:sz w:val="22"/>
          <w:szCs w:val="22"/>
        </w:rPr>
      </w:pPr>
      <w:r w:rsidRPr="00C2429A">
        <w:rPr>
          <w:sz w:val="22"/>
          <w:szCs w:val="22"/>
        </w:rPr>
        <w:t xml:space="preserve">Under international human rights law, any limitation on rights and freedoms must be reasonable, necessary and proportionate for the pursuit of a legitimate objective. For an objective to be legitimate, it must address a pressing or substantial concern, and not simply seek an outcome regarded as desirable or convenient. </w:t>
      </w:r>
    </w:p>
    <w:p w14:paraId="40E9EC7C" w14:textId="3CDE3CAE" w:rsidR="0097657D" w:rsidRDefault="0097657D" w:rsidP="0097657D">
      <w:pPr>
        <w:pStyle w:val="Default"/>
        <w:spacing w:after="200"/>
        <w:jc w:val="both"/>
        <w:rPr>
          <w:rFonts w:eastAsia="Calibri"/>
          <w:sz w:val="22"/>
          <w:szCs w:val="22"/>
        </w:rPr>
      </w:pPr>
      <w:r w:rsidRPr="00C2429A">
        <w:rPr>
          <w:rFonts w:eastAsia="Calibri"/>
          <w:sz w:val="22"/>
          <w:szCs w:val="22"/>
        </w:rPr>
        <w:t xml:space="preserve">It is essential that all arms of government are able to perform their functions. This ensures the proper functioning of Australia’s representative democracy and its decision-making processes. The Rules </w:t>
      </w:r>
      <w:r w:rsidR="00D8569E">
        <w:rPr>
          <w:rFonts w:eastAsia="Calibri"/>
          <w:sz w:val="22"/>
          <w:szCs w:val="22"/>
        </w:rPr>
        <w:t xml:space="preserve">would </w:t>
      </w:r>
      <w:r w:rsidRPr="00C2429A">
        <w:rPr>
          <w:rFonts w:eastAsia="Calibri"/>
          <w:sz w:val="22"/>
          <w:szCs w:val="22"/>
        </w:rPr>
        <w:t xml:space="preserve">allow the Secretary of the Attorney-General’s Department to disclose scheme information to DFAT for the purposes of administering the Foreign Relations Act. The Rules therefore promote the legitimate objective of the Foreign Relations Act, which is to enable the Minister for Foreign Affairs to protect Australia’s foreign relations by ensuring that arrangements between State or Territory entities and foreign entities are not inconsistent with Australia’s foreign policy or adversely affect Australia’s foreign relations. </w:t>
      </w:r>
    </w:p>
    <w:p w14:paraId="32DAEB78" w14:textId="20390FA1" w:rsidR="00637098" w:rsidRPr="00637098" w:rsidRDefault="00637098" w:rsidP="00AC7DB4">
      <w:pPr>
        <w:pStyle w:val="Default"/>
        <w:spacing w:after="200"/>
        <w:jc w:val="both"/>
        <w:rPr>
          <w:i/>
          <w:sz w:val="22"/>
          <w:szCs w:val="22"/>
        </w:rPr>
      </w:pPr>
      <w:r>
        <w:rPr>
          <w:i/>
          <w:sz w:val="22"/>
          <w:szCs w:val="22"/>
        </w:rPr>
        <w:t>Right to privacy (article 17)</w:t>
      </w:r>
    </w:p>
    <w:p w14:paraId="408B2B33" w14:textId="2D37CA45" w:rsidR="00C84BC6" w:rsidRPr="00C2429A" w:rsidRDefault="00C84BC6" w:rsidP="00C84BC6">
      <w:pPr>
        <w:pStyle w:val="Default"/>
        <w:spacing w:after="200"/>
        <w:jc w:val="both"/>
        <w:rPr>
          <w:sz w:val="22"/>
          <w:szCs w:val="22"/>
        </w:rPr>
      </w:pPr>
      <w:r w:rsidRPr="00C2429A">
        <w:rPr>
          <w:sz w:val="22"/>
          <w:szCs w:val="22"/>
        </w:rPr>
        <w:t>Article 17(1) of the ICCPR provides that no one should be subjected to arbitrary or unlawful interference with their privacy, family, home or correspondence, nor to unlawful attacks on their honour and reputation. Furthermore, article 17(2) provides that everyone has the right to the protection of the law against such interference.</w:t>
      </w:r>
      <w:r w:rsidR="00333D0D">
        <w:rPr>
          <w:sz w:val="22"/>
          <w:szCs w:val="22"/>
        </w:rPr>
        <w:t xml:space="preserve"> </w:t>
      </w:r>
      <w:r w:rsidR="0097657D" w:rsidRPr="0097657D">
        <w:rPr>
          <w:sz w:val="22"/>
          <w:szCs w:val="22"/>
        </w:rPr>
        <w:t xml:space="preserve">The right may be limited when the limitation is lawful, not arbitrary, and reasonable, necessary and proportionate to achieve a legitimate objective. </w:t>
      </w:r>
    </w:p>
    <w:p w14:paraId="0F7C471F" w14:textId="77151DFD" w:rsidR="005B230D" w:rsidRDefault="00333D0D" w:rsidP="00A50B8A">
      <w:pPr>
        <w:pStyle w:val="Default"/>
        <w:spacing w:after="200"/>
        <w:jc w:val="both"/>
        <w:rPr>
          <w:sz w:val="22"/>
          <w:szCs w:val="22"/>
        </w:rPr>
      </w:pPr>
      <w:r w:rsidRPr="00C2429A">
        <w:rPr>
          <w:sz w:val="22"/>
          <w:szCs w:val="22"/>
        </w:rPr>
        <w:t>The Rules engage the right to privacy to the extent that the Secretary’s disclosure of scheme information to DFAT may involve disclosures of personal information</w:t>
      </w:r>
      <w:r w:rsidR="005B230D">
        <w:rPr>
          <w:sz w:val="22"/>
          <w:szCs w:val="22"/>
        </w:rPr>
        <w:t xml:space="preserve"> </w:t>
      </w:r>
      <w:r w:rsidR="00E422C6">
        <w:rPr>
          <w:sz w:val="22"/>
          <w:szCs w:val="22"/>
        </w:rPr>
        <w:t xml:space="preserve">within the meaning of </w:t>
      </w:r>
      <w:r w:rsidR="008A4D28">
        <w:rPr>
          <w:sz w:val="22"/>
          <w:szCs w:val="22"/>
        </w:rPr>
        <w:t>section 6 of the</w:t>
      </w:r>
      <w:r w:rsidR="00E422C6">
        <w:rPr>
          <w:sz w:val="22"/>
          <w:szCs w:val="22"/>
        </w:rPr>
        <w:t xml:space="preserve"> </w:t>
      </w:r>
      <w:r w:rsidR="00E422C6">
        <w:rPr>
          <w:i/>
          <w:sz w:val="22"/>
          <w:szCs w:val="22"/>
        </w:rPr>
        <w:t>Privacy Act 1988</w:t>
      </w:r>
      <w:r w:rsidR="0097386A">
        <w:rPr>
          <w:i/>
          <w:sz w:val="22"/>
          <w:szCs w:val="22"/>
        </w:rPr>
        <w:t xml:space="preserve"> </w:t>
      </w:r>
      <w:r w:rsidR="0097386A">
        <w:rPr>
          <w:sz w:val="22"/>
          <w:szCs w:val="22"/>
        </w:rPr>
        <w:t>(</w:t>
      </w:r>
      <w:proofErr w:type="spellStart"/>
      <w:r w:rsidR="0097386A">
        <w:rPr>
          <w:sz w:val="22"/>
          <w:szCs w:val="22"/>
        </w:rPr>
        <w:t>Cth</w:t>
      </w:r>
      <w:proofErr w:type="spellEnd"/>
      <w:r w:rsidR="0097386A">
        <w:rPr>
          <w:sz w:val="22"/>
          <w:szCs w:val="22"/>
        </w:rPr>
        <w:t>) (Privacy Act)</w:t>
      </w:r>
      <w:r w:rsidRPr="00C2429A">
        <w:rPr>
          <w:sz w:val="22"/>
          <w:szCs w:val="22"/>
        </w:rPr>
        <w:t xml:space="preserve">. </w:t>
      </w:r>
      <w:r w:rsidR="005B230D">
        <w:rPr>
          <w:sz w:val="22"/>
          <w:szCs w:val="22"/>
        </w:rPr>
        <w:t xml:space="preserve">This could include disclosures of sensitive information relating to a person’s political opinions or membership of a political association, also within the meaning of section 6 of the Privacy Act, </w:t>
      </w:r>
      <w:r w:rsidR="00777A04">
        <w:rPr>
          <w:sz w:val="22"/>
          <w:szCs w:val="22"/>
        </w:rPr>
        <w:t>where the department has obtained such information in the course of administering the Scheme, which</w:t>
      </w:r>
      <w:r w:rsidR="005B230D">
        <w:rPr>
          <w:sz w:val="22"/>
          <w:szCs w:val="22"/>
        </w:rPr>
        <w:t xml:space="preserve"> requires persons who undertake certain activities on behalf of foreign principals for the purpose of influencing federal political or governmental processes to register.</w:t>
      </w:r>
    </w:p>
    <w:p w14:paraId="06F2A8FF" w14:textId="2F884F38" w:rsidR="008A4D28" w:rsidRDefault="00647C33" w:rsidP="00A50B8A">
      <w:pPr>
        <w:pStyle w:val="Default"/>
        <w:spacing w:after="200"/>
        <w:jc w:val="both"/>
        <w:rPr>
          <w:sz w:val="22"/>
          <w:szCs w:val="22"/>
        </w:rPr>
      </w:pPr>
      <w:r>
        <w:rPr>
          <w:sz w:val="22"/>
          <w:szCs w:val="22"/>
        </w:rPr>
        <w:t xml:space="preserve">The likelihood of disclosing </w:t>
      </w:r>
      <w:r w:rsidR="00B2715E">
        <w:rPr>
          <w:sz w:val="22"/>
          <w:szCs w:val="22"/>
        </w:rPr>
        <w:t>per</w:t>
      </w:r>
      <w:r w:rsidR="006A2208">
        <w:rPr>
          <w:sz w:val="22"/>
          <w:szCs w:val="22"/>
        </w:rPr>
        <w:t>s</w:t>
      </w:r>
      <w:r w:rsidR="00B2715E">
        <w:rPr>
          <w:sz w:val="22"/>
          <w:szCs w:val="22"/>
        </w:rPr>
        <w:t xml:space="preserve">onal </w:t>
      </w:r>
      <w:r>
        <w:rPr>
          <w:sz w:val="22"/>
          <w:szCs w:val="22"/>
        </w:rPr>
        <w:t xml:space="preserve">information under the Rules </w:t>
      </w:r>
      <w:r w:rsidR="00333D0D" w:rsidRPr="00C2429A">
        <w:rPr>
          <w:sz w:val="22"/>
          <w:szCs w:val="22"/>
        </w:rPr>
        <w:t>will be limited</w:t>
      </w:r>
      <w:r>
        <w:rPr>
          <w:sz w:val="22"/>
          <w:szCs w:val="22"/>
        </w:rPr>
        <w:t xml:space="preserve"> because </w:t>
      </w:r>
      <w:r w:rsidRPr="00C2429A">
        <w:rPr>
          <w:sz w:val="22"/>
          <w:szCs w:val="22"/>
        </w:rPr>
        <w:t>the Foreign Relations Act concerns arrangements between entities not individuals</w:t>
      </w:r>
      <w:r>
        <w:rPr>
          <w:sz w:val="22"/>
          <w:szCs w:val="22"/>
        </w:rPr>
        <w:t xml:space="preserve">. As such, </w:t>
      </w:r>
      <w:r w:rsidR="00777A04">
        <w:rPr>
          <w:sz w:val="22"/>
          <w:szCs w:val="22"/>
        </w:rPr>
        <w:t xml:space="preserve">information that would be likely to be disclosed under the Rules would typically relate to entities rather than individuals, and therefore </w:t>
      </w:r>
      <w:r w:rsidR="00DA3A20">
        <w:rPr>
          <w:sz w:val="22"/>
          <w:szCs w:val="22"/>
        </w:rPr>
        <w:t>l</w:t>
      </w:r>
      <w:r w:rsidR="00333D0D" w:rsidRPr="00C2429A">
        <w:rPr>
          <w:sz w:val="22"/>
          <w:szCs w:val="22"/>
        </w:rPr>
        <w:t>ittle information disclosed under the Rules is likely to contain personal</w:t>
      </w:r>
      <w:r w:rsidR="006A2208">
        <w:rPr>
          <w:sz w:val="22"/>
          <w:szCs w:val="22"/>
        </w:rPr>
        <w:t xml:space="preserve"> </w:t>
      </w:r>
      <w:r w:rsidR="00DA3A20">
        <w:rPr>
          <w:sz w:val="22"/>
          <w:szCs w:val="22"/>
        </w:rPr>
        <w:t xml:space="preserve">or sensitive </w:t>
      </w:r>
      <w:r w:rsidR="006A2208">
        <w:rPr>
          <w:sz w:val="22"/>
          <w:szCs w:val="22"/>
        </w:rPr>
        <w:t>information</w:t>
      </w:r>
      <w:r w:rsidR="00333D0D" w:rsidRPr="00C2429A">
        <w:rPr>
          <w:sz w:val="22"/>
          <w:szCs w:val="22"/>
        </w:rPr>
        <w:t>.</w:t>
      </w:r>
      <w:r w:rsidR="00A50B8A">
        <w:rPr>
          <w:sz w:val="22"/>
          <w:szCs w:val="22"/>
        </w:rPr>
        <w:t xml:space="preserve"> </w:t>
      </w:r>
      <w:r w:rsidR="004464FF">
        <w:rPr>
          <w:sz w:val="22"/>
          <w:szCs w:val="22"/>
        </w:rPr>
        <w:t>However, where</w:t>
      </w:r>
      <w:r w:rsidR="00E53800">
        <w:rPr>
          <w:sz w:val="22"/>
          <w:szCs w:val="22"/>
        </w:rPr>
        <w:t xml:space="preserve"> information disclosed under the Rules </w:t>
      </w:r>
      <w:r>
        <w:rPr>
          <w:sz w:val="22"/>
          <w:szCs w:val="22"/>
        </w:rPr>
        <w:t>does</w:t>
      </w:r>
      <w:r w:rsidR="00E53800">
        <w:rPr>
          <w:sz w:val="22"/>
          <w:szCs w:val="22"/>
        </w:rPr>
        <w:t xml:space="preserve"> contain </w:t>
      </w:r>
      <w:r>
        <w:rPr>
          <w:sz w:val="22"/>
          <w:szCs w:val="22"/>
        </w:rPr>
        <w:t>such</w:t>
      </w:r>
      <w:r w:rsidR="004464FF">
        <w:rPr>
          <w:sz w:val="22"/>
          <w:szCs w:val="22"/>
        </w:rPr>
        <w:t xml:space="preserve"> </w:t>
      </w:r>
      <w:r w:rsidR="00E53800">
        <w:rPr>
          <w:sz w:val="22"/>
          <w:szCs w:val="22"/>
        </w:rPr>
        <w:t>information</w:t>
      </w:r>
      <w:r w:rsidR="004464FF">
        <w:rPr>
          <w:sz w:val="22"/>
          <w:szCs w:val="22"/>
        </w:rPr>
        <w:t xml:space="preserve">, </w:t>
      </w:r>
      <w:r w:rsidR="00E53800">
        <w:rPr>
          <w:sz w:val="22"/>
          <w:szCs w:val="22"/>
        </w:rPr>
        <w:t>the limitation on the right to privacy is nonetheless reasonable, necessary and proportionate</w:t>
      </w:r>
      <w:r w:rsidR="004464FF">
        <w:rPr>
          <w:sz w:val="22"/>
          <w:szCs w:val="22"/>
        </w:rPr>
        <w:t xml:space="preserve"> as </w:t>
      </w:r>
      <w:r>
        <w:rPr>
          <w:sz w:val="22"/>
          <w:szCs w:val="22"/>
        </w:rPr>
        <w:t>set out</w:t>
      </w:r>
      <w:r w:rsidR="004464FF">
        <w:rPr>
          <w:sz w:val="22"/>
          <w:szCs w:val="22"/>
        </w:rPr>
        <w:t xml:space="preserve"> below</w:t>
      </w:r>
      <w:r w:rsidR="00E53800">
        <w:rPr>
          <w:sz w:val="22"/>
          <w:szCs w:val="22"/>
        </w:rPr>
        <w:t>.</w:t>
      </w:r>
    </w:p>
    <w:p w14:paraId="07F44CC5" w14:textId="22204342" w:rsidR="003F4E84" w:rsidRDefault="00877D0A" w:rsidP="00A50B8A">
      <w:pPr>
        <w:pStyle w:val="Default"/>
        <w:spacing w:after="200"/>
        <w:jc w:val="both"/>
        <w:rPr>
          <w:sz w:val="22"/>
          <w:szCs w:val="22"/>
        </w:rPr>
      </w:pPr>
      <w:r w:rsidRPr="00C2429A">
        <w:rPr>
          <w:sz w:val="22"/>
          <w:szCs w:val="22"/>
        </w:rPr>
        <w:lastRenderedPageBreak/>
        <w:t xml:space="preserve">The limitation on the right to privacy is a necessary means of achieving </w:t>
      </w:r>
      <w:r w:rsidR="00D62F6D" w:rsidRPr="00C2429A">
        <w:rPr>
          <w:sz w:val="22"/>
          <w:szCs w:val="22"/>
        </w:rPr>
        <w:t>th</w:t>
      </w:r>
      <w:r w:rsidR="00E63FDA">
        <w:rPr>
          <w:sz w:val="22"/>
          <w:szCs w:val="22"/>
        </w:rPr>
        <w:t>e</w:t>
      </w:r>
      <w:r w:rsidRPr="00C2429A">
        <w:rPr>
          <w:sz w:val="22"/>
          <w:szCs w:val="22"/>
        </w:rPr>
        <w:t xml:space="preserve"> legitimate objective</w:t>
      </w:r>
      <w:r w:rsidR="0097657D">
        <w:rPr>
          <w:sz w:val="22"/>
          <w:szCs w:val="22"/>
        </w:rPr>
        <w:t xml:space="preserve"> </w:t>
      </w:r>
      <w:r w:rsidR="0097657D" w:rsidRPr="0097657D">
        <w:rPr>
          <w:sz w:val="22"/>
          <w:szCs w:val="22"/>
        </w:rPr>
        <w:t xml:space="preserve">of ensuring the </w:t>
      </w:r>
      <w:r w:rsidR="005F56E2">
        <w:rPr>
          <w:sz w:val="22"/>
          <w:szCs w:val="22"/>
        </w:rPr>
        <w:t xml:space="preserve">interoperability of the two </w:t>
      </w:r>
      <w:r w:rsidR="005F56E2" w:rsidRPr="005F56E2">
        <w:rPr>
          <w:sz w:val="22"/>
          <w:szCs w:val="22"/>
        </w:rPr>
        <w:t xml:space="preserve">schemes where </w:t>
      </w:r>
      <w:r w:rsidR="00481CB9">
        <w:rPr>
          <w:sz w:val="22"/>
          <w:szCs w:val="22"/>
        </w:rPr>
        <w:t>an entity may be subject to both schemes</w:t>
      </w:r>
      <w:r w:rsidR="005F56E2" w:rsidRPr="005F56E2">
        <w:rPr>
          <w:sz w:val="22"/>
          <w:szCs w:val="22"/>
        </w:rPr>
        <w:t xml:space="preserve"> </w:t>
      </w:r>
      <w:r w:rsidR="00481CB9">
        <w:rPr>
          <w:sz w:val="22"/>
          <w:szCs w:val="22"/>
        </w:rPr>
        <w:t>and</w:t>
      </w:r>
      <w:r w:rsidR="00481CB9" w:rsidRPr="005F56E2">
        <w:rPr>
          <w:sz w:val="22"/>
          <w:szCs w:val="22"/>
        </w:rPr>
        <w:t xml:space="preserve"> </w:t>
      </w:r>
      <w:r w:rsidR="005F56E2" w:rsidRPr="005F56E2">
        <w:rPr>
          <w:sz w:val="22"/>
        </w:rPr>
        <w:t>a decision under one Act may be relevant to the administration of the other</w:t>
      </w:r>
      <w:r w:rsidR="005F56E2" w:rsidRPr="005F56E2">
        <w:rPr>
          <w:sz w:val="22"/>
          <w:szCs w:val="22"/>
        </w:rPr>
        <w:t xml:space="preserve">. </w:t>
      </w:r>
      <w:r w:rsidR="00D62F6D" w:rsidRPr="005F56E2">
        <w:rPr>
          <w:sz w:val="22"/>
          <w:szCs w:val="22"/>
        </w:rPr>
        <w:t xml:space="preserve">The Rules are rationally </w:t>
      </w:r>
      <w:r w:rsidR="00D62F6D" w:rsidRPr="00C2429A">
        <w:rPr>
          <w:sz w:val="22"/>
          <w:szCs w:val="22"/>
        </w:rPr>
        <w:t xml:space="preserve">connected to this objective as they </w:t>
      </w:r>
      <w:r w:rsidR="005F56E2">
        <w:rPr>
          <w:sz w:val="22"/>
          <w:szCs w:val="22"/>
        </w:rPr>
        <w:t>ensure the Attorney-General’s Department can provide the Minister</w:t>
      </w:r>
      <w:r w:rsidR="0042306D">
        <w:rPr>
          <w:sz w:val="22"/>
          <w:szCs w:val="22"/>
        </w:rPr>
        <w:t xml:space="preserve"> for Foreign Affairs</w:t>
      </w:r>
      <w:r w:rsidR="005F56E2">
        <w:rPr>
          <w:sz w:val="22"/>
          <w:szCs w:val="22"/>
        </w:rPr>
        <w:t xml:space="preserve"> and DFAT with visibility of matters arising under the Act that may be relevant to the administration of the Foreign Relations Act, which supports the efficient and appropriate administration of both schemes. </w:t>
      </w:r>
    </w:p>
    <w:p w14:paraId="70D24E1D" w14:textId="58DCAF19" w:rsidR="0089116F" w:rsidRPr="00C2429A" w:rsidRDefault="00D31F44" w:rsidP="00AC7DB4">
      <w:pPr>
        <w:pStyle w:val="Default"/>
        <w:spacing w:after="200"/>
        <w:jc w:val="both"/>
        <w:rPr>
          <w:sz w:val="22"/>
          <w:szCs w:val="22"/>
        </w:rPr>
      </w:pPr>
      <w:r w:rsidRPr="00C2429A">
        <w:rPr>
          <w:color w:val="auto"/>
          <w:sz w:val="22"/>
          <w:szCs w:val="22"/>
        </w:rPr>
        <w:t>The</w:t>
      </w:r>
      <w:r w:rsidR="00EA550A" w:rsidRPr="00C2429A">
        <w:rPr>
          <w:color w:val="auto"/>
          <w:sz w:val="22"/>
          <w:szCs w:val="22"/>
        </w:rPr>
        <w:t xml:space="preserve"> Rules are </w:t>
      </w:r>
      <w:r w:rsidR="001162D3" w:rsidRPr="00C2429A">
        <w:rPr>
          <w:color w:val="auto"/>
          <w:sz w:val="22"/>
          <w:szCs w:val="22"/>
        </w:rPr>
        <w:t>proportionate to achieving the legitimate objective</w:t>
      </w:r>
      <w:r w:rsidR="00EF2A64" w:rsidRPr="00C2429A">
        <w:rPr>
          <w:color w:val="auto"/>
          <w:sz w:val="22"/>
          <w:szCs w:val="22"/>
        </w:rPr>
        <w:t xml:space="preserve"> and there are several limitations and safeguards </w:t>
      </w:r>
      <w:r w:rsidR="001B7101" w:rsidRPr="00C2429A">
        <w:rPr>
          <w:color w:val="auto"/>
          <w:sz w:val="22"/>
          <w:szCs w:val="22"/>
        </w:rPr>
        <w:t xml:space="preserve">in place </w:t>
      </w:r>
      <w:r w:rsidR="00EF2A64" w:rsidRPr="00C2429A">
        <w:rPr>
          <w:color w:val="auto"/>
          <w:sz w:val="22"/>
          <w:szCs w:val="22"/>
        </w:rPr>
        <w:t xml:space="preserve">which ensure that </w:t>
      </w:r>
      <w:r w:rsidR="00EF2A64" w:rsidRPr="00C2429A">
        <w:rPr>
          <w:sz w:val="22"/>
          <w:szCs w:val="22"/>
        </w:rPr>
        <w:t xml:space="preserve">any engagement of the right to privacy is consistent with </w:t>
      </w:r>
      <w:r w:rsidR="00BC6F4C" w:rsidRPr="00C2429A">
        <w:rPr>
          <w:sz w:val="22"/>
          <w:szCs w:val="22"/>
        </w:rPr>
        <w:t>a</w:t>
      </w:r>
      <w:r w:rsidR="00EF2A64" w:rsidRPr="00C2429A">
        <w:rPr>
          <w:sz w:val="22"/>
          <w:szCs w:val="22"/>
        </w:rPr>
        <w:t>rticle</w:t>
      </w:r>
      <w:r w:rsidR="00932CEE">
        <w:rPr>
          <w:sz w:val="22"/>
          <w:szCs w:val="22"/>
        </w:rPr>
        <w:t> </w:t>
      </w:r>
      <w:r w:rsidR="00EF2A64" w:rsidRPr="00C2429A">
        <w:rPr>
          <w:sz w:val="22"/>
          <w:szCs w:val="22"/>
        </w:rPr>
        <w:t>17 of the ICCPR</w:t>
      </w:r>
      <w:r w:rsidR="00EF2A64" w:rsidRPr="00C2429A">
        <w:rPr>
          <w:color w:val="auto"/>
          <w:sz w:val="22"/>
          <w:szCs w:val="22"/>
        </w:rPr>
        <w:t>.</w:t>
      </w:r>
      <w:r w:rsidR="001162D3" w:rsidRPr="00C2429A">
        <w:rPr>
          <w:color w:val="auto"/>
          <w:sz w:val="22"/>
          <w:szCs w:val="22"/>
        </w:rPr>
        <w:t xml:space="preserve"> </w:t>
      </w:r>
      <w:r w:rsidR="00AD3B23" w:rsidRPr="00C2429A">
        <w:rPr>
          <w:color w:val="auto"/>
          <w:sz w:val="22"/>
          <w:szCs w:val="22"/>
        </w:rPr>
        <w:t xml:space="preserve">The authority to disclose scheme information </w:t>
      </w:r>
      <w:r w:rsidR="00997A1F" w:rsidRPr="00C2429A">
        <w:rPr>
          <w:color w:val="auto"/>
          <w:sz w:val="22"/>
          <w:szCs w:val="22"/>
        </w:rPr>
        <w:t xml:space="preserve">under the Rules </w:t>
      </w:r>
      <w:r w:rsidR="00AD3B23" w:rsidRPr="00C2429A">
        <w:rPr>
          <w:color w:val="auto"/>
          <w:sz w:val="22"/>
          <w:szCs w:val="22"/>
        </w:rPr>
        <w:t xml:space="preserve">is limited. </w:t>
      </w:r>
      <w:r w:rsidR="00E8408A" w:rsidRPr="00C2429A">
        <w:rPr>
          <w:color w:val="auto"/>
          <w:sz w:val="22"/>
          <w:szCs w:val="22"/>
        </w:rPr>
        <w:t>S</w:t>
      </w:r>
      <w:r w:rsidR="00D96DF5" w:rsidRPr="00C2429A">
        <w:rPr>
          <w:color w:val="auto"/>
          <w:sz w:val="22"/>
          <w:szCs w:val="22"/>
        </w:rPr>
        <w:t>ubs</w:t>
      </w:r>
      <w:r w:rsidR="0089116F" w:rsidRPr="00C2429A">
        <w:rPr>
          <w:color w:val="auto"/>
          <w:sz w:val="22"/>
          <w:szCs w:val="22"/>
        </w:rPr>
        <w:t>ection</w:t>
      </w:r>
      <w:r w:rsidR="00932CEE">
        <w:rPr>
          <w:color w:val="auto"/>
          <w:sz w:val="22"/>
          <w:szCs w:val="22"/>
        </w:rPr>
        <w:t> </w:t>
      </w:r>
      <w:r w:rsidR="0089116F" w:rsidRPr="00C2429A">
        <w:rPr>
          <w:color w:val="auto"/>
          <w:sz w:val="22"/>
          <w:szCs w:val="22"/>
        </w:rPr>
        <w:t xml:space="preserve">53(1) </w:t>
      </w:r>
      <w:r w:rsidR="00E8408A" w:rsidRPr="00C2429A">
        <w:rPr>
          <w:color w:val="auto"/>
          <w:sz w:val="22"/>
          <w:szCs w:val="22"/>
        </w:rPr>
        <w:t>authorises</w:t>
      </w:r>
      <w:r w:rsidR="0089116F" w:rsidRPr="00C2429A">
        <w:rPr>
          <w:color w:val="auto"/>
          <w:sz w:val="22"/>
          <w:szCs w:val="22"/>
        </w:rPr>
        <w:t xml:space="preserve"> the Secretary </w:t>
      </w:r>
      <w:r w:rsidR="00E8408A" w:rsidRPr="00C2429A">
        <w:rPr>
          <w:color w:val="auto"/>
          <w:sz w:val="22"/>
          <w:szCs w:val="22"/>
        </w:rPr>
        <w:t xml:space="preserve">to </w:t>
      </w:r>
      <w:r w:rsidR="0089116F" w:rsidRPr="00C2429A">
        <w:rPr>
          <w:color w:val="auto"/>
          <w:sz w:val="22"/>
          <w:szCs w:val="22"/>
        </w:rPr>
        <w:t>disclose scheme information</w:t>
      </w:r>
      <w:r w:rsidR="00E8408A" w:rsidRPr="00C2429A">
        <w:rPr>
          <w:color w:val="auto"/>
          <w:sz w:val="22"/>
          <w:szCs w:val="22"/>
        </w:rPr>
        <w:t xml:space="preserve"> for a purpose prescribed by rules, and the Secretary has delegated this power under s</w:t>
      </w:r>
      <w:r w:rsidR="0089116F" w:rsidRPr="00C2429A">
        <w:rPr>
          <w:color w:val="auto"/>
          <w:sz w:val="22"/>
          <w:szCs w:val="22"/>
        </w:rPr>
        <w:t>ection</w:t>
      </w:r>
      <w:r w:rsidR="00DA3299" w:rsidRPr="00C2429A">
        <w:rPr>
          <w:color w:val="auto"/>
          <w:sz w:val="22"/>
          <w:szCs w:val="22"/>
        </w:rPr>
        <w:t> </w:t>
      </w:r>
      <w:r w:rsidR="0089116F" w:rsidRPr="00C2429A">
        <w:rPr>
          <w:color w:val="auto"/>
          <w:sz w:val="22"/>
          <w:szCs w:val="22"/>
        </w:rPr>
        <w:t xml:space="preserve">67 of the Act to </w:t>
      </w:r>
      <w:r w:rsidR="00E8408A" w:rsidRPr="00C2429A">
        <w:rPr>
          <w:color w:val="auto"/>
          <w:sz w:val="22"/>
          <w:szCs w:val="22"/>
        </w:rPr>
        <w:t>relevant</w:t>
      </w:r>
      <w:r w:rsidR="0089116F" w:rsidRPr="00C2429A">
        <w:rPr>
          <w:color w:val="auto"/>
          <w:sz w:val="22"/>
          <w:szCs w:val="22"/>
        </w:rPr>
        <w:t xml:space="preserve"> Senior Executive Service level employee</w:t>
      </w:r>
      <w:r w:rsidR="00E8408A" w:rsidRPr="00C2429A">
        <w:rPr>
          <w:color w:val="auto"/>
          <w:sz w:val="22"/>
          <w:szCs w:val="22"/>
        </w:rPr>
        <w:t>s</w:t>
      </w:r>
      <w:r w:rsidR="0089116F" w:rsidRPr="00C2429A">
        <w:rPr>
          <w:color w:val="auto"/>
          <w:sz w:val="22"/>
          <w:szCs w:val="22"/>
        </w:rPr>
        <w:t xml:space="preserve">. </w:t>
      </w:r>
      <w:r w:rsidR="0089116F" w:rsidRPr="00C2429A">
        <w:rPr>
          <w:sz w:val="22"/>
          <w:szCs w:val="22"/>
        </w:rPr>
        <w:t>This ensure</w:t>
      </w:r>
      <w:r w:rsidR="00E8408A" w:rsidRPr="00C2429A">
        <w:rPr>
          <w:sz w:val="22"/>
          <w:szCs w:val="22"/>
        </w:rPr>
        <w:t>s</w:t>
      </w:r>
      <w:r w:rsidR="0089116F" w:rsidRPr="00C2429A">
        <w:rPr>
          <w:sz w:val="22"/>
          <w:szCs w:val="22"/>
        </w:rPr>
        <w:t xml:space="preserve"> that authority to disclose scheme information is limited to officials with appropriate seniority within the Attorney-General’s Department.</w:t>
      </w:r>
    </w:p>
    <w:p w14:paraId="05E29617" w14:textId="4AEFC308" w:rsidR="00BD3358" w:rsidRPr="00C2429A" w:rsidRDefault="00D96DF5" w:rsidP="00AC7DB4">
      <w:pPr>
        <w:pStyle w:val="Default"/>
        <w:spacing w:after="200"/>
        <w:jc w:val="both"/>
        <w:rPr>
          <w:color w:val="auto"/>
          <w:sz w:val="22"/>
          <w:szCs w:val="22"/>
        </w:rPr>
      </w:pPr>
      <w:r w:rsidRPr="00C2429A">
        <w:rPr>
          <w:color w:val="auto"/>
          <w:sz w:val="22"/>
          <w:szCs w:val="22"/>
        </w:rPr>
        <w:t xml:space="preserve">The additional purpose and persons prescribed in the Rules are sufficiently narrow. </w:t>
      </w:r>
      <w:r w:rsidR="00706D50" w:rsidRPr="00C2429A">
        <w:rPr>
          <w:sz w:val="22"/>
          <w:szCs w:val="22"/>
        </w:rPr>
        <w:t>The</w:t>
      </w:r>
      <w:r w:rsidR="00DA3299" w:rsidRPr="00C2429A">
        <w:rPr>
          <w:sz w:val="22"/>
          <w:szCs w:val="22"/>
        </w:rPr>
        <w:t> </w:t>
      </w:r>
      <w:r w:rsidR="00706D50" w:rsidRPr="00C2429A">
        <w:rPr>
          <w:sz w:val="22"/>
          <w:szCs w:val="22"/>
        </w:rPr>
        <w:t xml:space="preserve">Secretary </w:t>
      </w:r>
      <w:r w:rsidR="001B5D89" w:rsidRPr="00C2429A">
        <w:rPr>
          <w:sz w:val="22"/>
          <w:szCs w:val="22"/>
        </w:rPr>
        <w:t>of the Attorney</w:t>
      </w:r>
      <w:r w:rsidR="005E7FFC" w:rsidRPr="00C2429A">
        <w:rPr>
          <w:sz w:val="22"/>
          <w:szCs w:val="22"/>
        </w:rPr>
        <w:noBreakHyphen/>
      </w:r>
      <w:r w:rsidR="001B5D89" w:rsidRPr="00C2429A">
        <w:rPr>
          <w:sz w:val="22"/>
          <w:szCs w:val="22"/>
        </w:rPr>
        <w:t xml:space="preserve">General’s Department </w:t>
      </w:r>
      <w:r w:rsidR="00706D50" w:rsidRPr="00C2429A">
        <w:rPr>
          <w:sz w:val="22"/>
          <w:szCs w:val="22"/>
        </w:rPr>
        <w:t xml:space="preserve">is </w:t>
      </w:r>
      <w:r w:rsidRPr="00C2429A">
        <w:rPr>
          <w:sz w:val="22"/>
          <w:szCs w:val="22"/>
        </w:rPr>
        <w:t>only</w:t>
      </w:r>
      <w:r w:rsidR="001B5D89" w:rsidRPr="00C2429A">
        <w:rPr>
          <w:sz w:val="22"/>
          <w:szCs w:val="22"/>
        </w:rPr>
        <w:t xml:space="preserve"> authorised to disclose information </w:t>
      </w:r>
      <w:r w:rsidRPr="00C2429A">
        <w:rPr>
          <w:sz w:val="22"/>
          <w:szCs w:val="22"/>
        </w:rPr>
        <w:t xml:space="preserve">under the Rules </w:t>
      </w:r>
      <w:r w:rsidR="001B5D89" w:rsidRPr="00C2429A">
        <w:rPr>
          <w:sz w:val="22"/>
          <w:szCs w:val="22"/>
        </w:rPr>
        <w:t xml:space="preserve">where it </w:t>
      </w:r>
      <w:r w:rsidRPr="00C2429A">
        <w:rPr>
          <w:sz w:val="22"/>
          <w:szCs w:val="22"/>
        </w:rPr>
        <w:t>is for the specified</w:t>
      </w:r>
      <w:r w:rsidR="001B5D89" w:rsidRPr="00C2429A">
        <w:rPr>
          <w:sz w:val="22"/>
          <w:szCs w:val="22"/>
        </w:rPr>
        <w:t xml:space="preserve"> purpose</w:t>
      </w:r>
      <w:r w:rsidR="00473A6F" w:rsidRPr="00C2429A">
        <w:rPr>
          <w:sz w:val="22"/>
          <w:szCs w:val="22"/>
        </w:rPr>
        <w:t>, and would not be able to collect information specifically for the purposes of DFAT administering the Foreign Relations Act</w:t>
      </w:r>
      <w:r w:rsidR="001B5D89" w:rsidRPr="00C2429A">
        <w:rPr>
          <w:sz w:val="22"/>
          <w:szCs w:val="22"/>
        </w:rPr>
        <w:t>.</w:t>
      </w:r>
      <w:r w:rsidR="001D7226" w:rsidRPr="00C2429A">
        <w:rPr>
          <w:sz w:val="22"/>
          <w:szCs w:val="22"/>
        </w:rPr>
        <w:t xml:space="preserve"> </w:t>
      </w:r>
      <w:r w:rsidR="00626B50">
        <w:rPr>
          <w:sz w:val="22"/>
          <w:szCs w:val="22"/>
        </w:rPr>
        <w:t>The Attorney-General’s Department will create a record of</w:t>
      </w:r>
      <w:r w:rsidR="00AE0EB1" w:rsidRPr="00C2429A">
        <w:rPr>
          <w:sz w:val="22"/>
          <w:szCs w:val="22"/>
        </w:rPr>
        <w:t xml:space="preserve"> each instance of proposed disclosure under the Rules, </w:t>
      </w:r>
      <w:r w:rsidR="00626B50">
        <w:rPr>
          <w:sz w:val="22"/>
          <w:szCs w:val="22"/>
        </w:rPr>
        <w:t>including</w:t>
      </w:r>
      <w:r w:rsidR="00626B50" w:rsidRPr="00C2429A">
        <w:rPr>
          <w:sz w:val="22"/>
          <w:szCs w:val="22"/>
        </w:rPr>
        <w:t xml:space="preserve"> </w:t>
      </w:r>
      <w:r w:rsidR="00AE0EB1" w:rsidRPr="00C2429A">
        <w:rPr>
          <w:sz w:val="22"/>
          <w:szCs w:val="22"/>
        </w:rPr>
        <w:t>the basis upon which the department is reasonably satisfied the disclosure is relevant to the administration of the Foreign</w:t>
      </w:r>
      <w:r w:rsidR="00DA3299" w:rsidRPr="00C2429A">
        <w:rPr>
          <w:sz w:val="22"/>
          <w:szCs w:val="22"/>
        </w:rPr>
        <w:t> </w:t>
      </w:r>
      <w:r w:rsidR="00AE0EB1" w:rsidRPr="00C2429A">
        <w:rPr>
          <w:sz w:val="22"/>
          <w:szCs w:val="22"/>
        </w:rPr>
        <w:t>Relations</w:t>
      </w:r>
      <w:r w:rsidR="00DA3299" w:rsidRPr="00C2429A">
        <w:rPr>
          <w:sz w:val="22"/>
          <w:szCs w:val="22"/>
        </w:rPr>
        <w:t> </w:t>
      </w:r>
      <w:r w:rsidR="00AE0EB1" w:rsidRPr="00C2429A">
        <w:rPr>
          <w:sz w:val="22"/>
          <w:szCs w:val="22"/>
        </w:rPr>
        <w:t>Act.</w:t>
      </w:r>
      <w:r w:rsidR="003E7D95" w:rsidRPr="00C2429A">
        <w:rPr>
          <w:sz w:val="22"/>
          <w:szCs w:val="22"/>
        </w:rPr>
        <w:t xml:space="preserve"> </w:t>
      </w:r>
    </w:p>
    <w:p w14:paraId="1514F17D" w14:textId="1E6F6C94" w:rsidR="00BD3358" w:rsidRPr="00C2429A" w:rsidRDefault="00B323F3" w:rsidP="00AC7DB4">
      <w:pPr>
        <w:pStyle w:val="Default"/>
        <w:spacing w:after="200"/>
        <w:jc w:val="both"/>
        <w:rPr>
          <w:sz w:val="22"/>
          <w:szCs w:val="22"/>
        </w:rPr>
      </w:pPr>
      <w:r w:rsidRPr="00C2429A">
        <w:rPr>
          <w:sz w:val="22"/>
          <w:szCs w:val="22"/>
        </w:rPr>
        <w:t xml:space="preserve">The </w:t>
      </w:r>
      <w:r w:rsidR="00626B50">
        <w:rPr>
          <w:sz w:val="22"/>
          <w:szCs w:val="22"/>
        </w:rPr>
        <w:t>Attorney-General’s Department</w:t>
      </w:r>
      <w:r w:rsidR="00626B50" w:rsidRPr="00C2429A">
        <w:rPr>
          <w:sz w:val="22"/>
          <w:szCs w:val="22"/>
        </w:rPr>
        <w:t xml:space="preserve"> </w:t>
      </w:r>
      <w:r w:rsidR="005213B9" w:rsidRPr="00C2429A">
        <w:rPr>
          <w:sz w:val="22"/>
          <w:szCs w:val="22"/>
        </w:rPr>
        <w:t xml:space="preserve">currently </w:t>
      </w:r>
      <w:r w:rsidR="00BD3358" w:rsidRPr="00C2429A">
        <w:rPr>
          <w:sz w:val="22"/>
          <w:szCs w:val="22"/>
        </w:rPr>
        <w:t xml:space="preserve">provides an information collection notice to registrants under the </w:t>
      </w:r>
      <w:r w:rsidR="00DA3299" w:rsidRPr="00C2429A">
        <w:rPr>
          <w:sz w:val="22"/>
          <w:szCs w:val="22"/>
        </w:rPr>
        <w:t>S</w:t>
      </w:r>
      <w:r w:rsidR="00BD3358" w:rsidRPr="00C2429A">
        <w:rPr>
          <w:sz w:val="22"/>
          <w:szCs w:val="22"/>
        </w:rPr>
        <w:t xml:space="preserve">cheme </w:t>
      </w:r>
      <w:r w:rsidR="00F6139C" w:rsidRPr="00C2429A">
        <w:rPr>
          <w:sz w:val="22"/>
          <w:szCs w:val="22"/>
        </w:rPr>
        <w:t>to</w:t>
      </w:r>
      <w:r w:rsidR="00BD3358" w:rsidRPr="00C2429A">
        <w:rPr>
          <w:sz w:val="22"/>
          <w:szCs w:val="22"/>
        </w:rPr>
        <w:t xml:space="preserve"> inform them of how the department uses</w:t>
      </w:r>
      <w:r w:rsidR="00D01260" w:rsidRPr="00C2429A">
        <w:rPr>
          <w:sz w:val="22"/>
          <w:szCs w:val="22"/>
        </w:rPr>
        <w:t xml:space="preserve"> and may </w:t>
      </w:r>
      <w:r w:rsidR="00A940CC" w:rsidRPr="00C2429A">
        <w:rPr>
          <w:sz w:val="22"/>
          <w:szCs w:val="22"/>
        </w:rPr>
        <w:t xml:space="preserve">potentially </w:t>
      </w:r>
      <w:r w:rsidR="00D01260" w:rsidRPr="00C2429A">
        <w:rPr>
          <w:sz w:val="22"/>
          <w:szCs w:val="22"/>
        </w:rPr>
        <w:t>disclose</w:t>
      </w:r>
      <w:r w:rsidR="00BD3358" w:rsidRPr="00C2429A">
        <w:rPr>
          <w:sz w:val="22"/>
          <w:szCs w:val="22"/>
        </w:rPr>
        <w:t xml:space="preserve"> their personal information to fulfil obligations under the Act. </w:t>
      </w:r>
      <w:r w:rsidR="00626B50">
        <w:rPr>
          <w:sz w:val="22"/>
          <w:szCs w:val="22"/>
        </w:rPr>
        <w:t>T</w:t>
      </w:r>
      <w:r w:rsidR="00BD3358" w:rsidRPr="00C2429A">
        <w:rPr>
          <w:sz w:val="22"/>
          <w:szCs w:val="22"/>
        </w:rPr>
        <w:t xml:space="preserve">he </w:t>
      </w:r>
      <w:r w:rsidRPr="00C2429A">
        <w:rPr>
          <w:sz w:val="22"/>
          <w:szCs w:val="22"/>
        </w:rPr>
        <w:t xml:space="preserve">department will update </w:t>
      </w:r>
      <w:r w:rsidR="00BD3358" w:rsidRPr="00C2429A">
        <w:rPr>
          <w:sz w:val="22"/>
          <w:szCs w:val="22"/>
        </w:rPr>
        <w:t>th</w:t>
      </w:r>
      <w:r w:rsidR="00D01260" w:rsidRPr="00C2429A">
        <w:rPr>
          <w:sz w:val="22"/>
          <w:szCs w:val="22"/>
        </w:rPr>
        <w:t>e</w:t>
      </w:r>
      <w:r w:rsidR="00BD3358" w:rsidRPr="00C2429A">
        <w:rPr>
          <w:sz w:val="22"/>
          <w:szCs w:val="22"/>
        </w:rPr>
        <w:t xml:space="preserve"> information collection notice to </w:t>
      </w:r>
      <w:r w:rsidR="00D01260" w:rsidRPr="00C2429A">
        <w:rPr>
          <w:sz w:val="22"/>
          <w:szCs w:val="22"/>
        </w:rPr>
        <w:t>ensure it contains</w:t>
      </w:r>
      <w:r w:rsidR="00BD3358" w:rsidRPr="00C2429A">
        <w:rPr>
          <w:sz w:val="22"/>
          <w:szCs w:val="22"/>
        </w:rPr>
        <w:t xml:space="preserve"> notification of </w:t>
      </w:r>
      <w:r w:rsidR="00D01260" w:rsidRPr="00C2429A">
        <w:rPr>
          <w:sz w:val="22"/>
          <w:szCs w:val="22"/>
        </w:rPr>
        <w:t xml:space="preserve">potential sharing of personal </w:t>
      </w:r>
      <w:r w:rsidR="00BD3358" w:rsidRPr="00C2429A">
        <w:rPr>
          <w:sz w:val="22"/>
          <w:szCs w:val="22"/>
        </w:rPr>
        <w:t xml:space="preserve">information </w:t>
      </w:r>
      <w:r w:rsidR="00F6139C" w:rsidRPr="00C2429A">
        <w:rPr>
          <w:sz w:val="22"/>
          <w:szCs w:val="22"/>
        </w:rPr>
        <w:t>with</w:t>
      </w:r>
      <w:r w:rsidR="00BD3358" w:rsidRPr="00C2429A">
        <w:rPr>
          <w:sz w:val="22"/>
          <w:szCs w:val="22"/>
        </w:rPr>
        <w:t xml:space="preserve"> DFAT</w:t>
      </w:r>
      <w:r w:rsidR="00D01260" w:rsidRPr="00C2429A">
        <w:rPr>
          <w:sz w:val="22"/>
          <w:szCs w:val="22"/>
        </w:rPr>
        <w:t xml:space="preserve"> for the purpose of the administration of the Foreign Relations Act</w:t>
      </w:r>
      <w:r w:rsidRPr="00C2429A">
        <w:rPr>
          <w:sz w:val="22"/>
          <w:szCs w:val="22"/>
        </w:rPr>
        <w:t>.</w:t>
      </w:r>
    </w:p>
    <w:p w14:paraId="32445247" w14:textId="609E7EDA" w:rsidR="00C07528" w:rsidRDefault="00626B50" w:rsidP="00AC7DB4">
      <w:pPr>
        <w:pStyle w:val="Default"/>
        <w:spacing w:after="200"/>
        <w:jc w:val="both"/>
        <w:rPr>
          <w:sz w:val="22"/>
          <w:szCs w:val="22"/>
        </w:rPr>
      </w:pPr>
      <w:r>
        <w:rPr>
          <w:sz w:val="22"/>
          <w:szCs w:val="22"/>
        </w:rPr>
        <w:t>T</w:t>
      </w:r>
      <w:r w:rsidR="001B18DD" w:rsidRPr="00C2429A">
        <w:rPr>
          <w:sz w:val="22"/>
          <w:szCs w:val="22"/>
        </w:rPr>
        <w:t xml:space="preserve">he </w:t>
      </w:r>
      <w:r>
        <w:rPr>
          <w:sz w:val="22"/>
          <w:szCs w:val="22"/>
        </w:rPr>
        <w:t xml:space="preserve">Attorney-General’s Department </w:t>
      </w:r>
      <w:r w:rsidR="001B18DD" w:rsidRPr="00C2429A">
        <w:rPr>
          <w:sz w:val="22"/>
          <w:szCs w:val="22"/>
        </w:rPr>
        <w:t>will develop procedures to ensure information shared is accurate and secur</w:t>
      </w:r>
      <w:r w:rsidR="006B4724" w:rsidRPr="00C2429A">
        <w:rPr>
          <w:sz w:val="22"/>
          <w:szCs w:val="22"/>
        </w:rPr>
        <w:t>ely</w:t>
      </w:r>
      <w:r w:rsidR="001B18DD" w:rsidRPr="00C2429A">
        <w:rPr>
          <w:sz w:val="22"/>
          <w:szCs w:val="22"/>
        </w:rPr>
        <w:t xml:space="preserve"> transferred</w:t>
      </w:r>
      <w:r>
        <w:rPr>
          <w:sz w:val="22"/>
          <w:szCs w:val="22"/>
        </w:rPr>
        <w:t>, consistent with</w:t>
      </w:r>
      <w:r w:rsidR="00393561" w:rsidRPr="00C2429A">
        <w:rPr>
          <w:sz w:val="22"/>
          <w:szCs w:val="22"/>
        </w:rPr>
        <w:t xml:space="preserve"> the</w:t>
      </w:r>
      <w:r w:rsidR="00C4436D" w:rsidRPr="00C2429A">
        <w:rPr>
          <w:sz w:val="22"/>
          <w:szCs w:val="22"/>
        </w:rPr>
        <w:t xml:space="preserve"> </w:t>
      </w:r>
      <w:r>
        <w:rPr>
          <w:sz w:val="22"/>
          <w:szCs w:val="22"/>
        </w:rPr>
        <w:t xml:space="preserve">Privacy Act </w:t>
      </w:r>
      <w:r w:rsidR="00C4436D" w:rsidRPr="00C2429A">
        <w:rPr>
          <w:sz w:val="22"/>
          <w:szCs w:val="22"/>
        </w:rPr>
        <w:t xml:space="preserve">and the </w:t>
      </w:r>
      <w:r w:rsidR="00393561" w:rsidRPr="00C2429A">
        <w:rPr>
          <w:sz w:val="22"/>
          <w:szCs w:val="22"/>
        </w:rPr>
        <w:t>Australian Government Protective Security Policy Framework</w:t>
      </w:r>
      <w:r>
        <w:rPr>
          <w:sz w:val="22"/>
          <w:szCs w:val="22"/>
        </w:rPr>
        <w:t xml:space="preserve"> (PSPF)</w:t>
      </w:r>
      <w:r w:rsidR="00393561" w:rsidRPr="00C2429A">
        <w:rPr>
          <w:sz w:val="22"/>
          <w:szCs w:val="22"/>
        </w:rPr>
        <w:t xml:space="preserve">. Once shared, scheme information </w:t>
      </w:r>
      <w:r>
        <w:rPr>
          <w:sz w:val="22"/>
          <w:szCs w:val="22"/>
        </w:rPr>
        <w:t xml:space="preserve">must also be stored in accordance with the Privacy Act and PSPF, and </w:t>
      </w:r>
      <w:r w:rsidR="003B0494">
        <w:rPr>
          <w:sz w:val="22"/>
          <w:szCs w:val="22"/>
        </w:rPr>
        <w:t>may</w:t>
      </w:r>
      <w:r w:rsidR="00D53719" w:rsidRPr="00C2429A">
        <w:rPr>
          <w:sz w:val="22"/>
          <w:szCs w:val="22"/>
        </w:rPr>
        <w:t xml:space="preserve"> </w:t>
      </w:r>
      <w:r w:rsidR="00393561" w:rsidRPr="00C2429A">
        <w:rPr>
          <w:sz w:val="22"/>
          <w:szCs w:val="22"/>
        </w:rPr>
        <w:t>be used or disclosed for the purposes for which it was obtained in accordance with section 5</w:t>
      </w:r>
      <w:r w:rsidR="00BC6F4C" w:rsidRPr="00C2429A">
        <w:rPr>
          <w:sz w:val="22"/>
          <w:szCs w:val="22"/>
        </w:rPr>
        <w:t>4</w:t>
      </w:r>
      <w:r w:rsidR="00393561" w:rsidRPr="00C2429A">
        <w:rPr>
          <w:sz w:val="22"/>
          <w:szCs w:val="22"/>
        </w:rPr>
        <w:t xml:space="preserve"> of the Act</w:t>
      </w:r>
      <w:r w:rsidR="00E63FDA">
        <w:rPr>
          <w:sz w:val="22"/>
          <w:szCs w:val="22"/>
        </w:rPr>
        <w:t xml:space="preserve"> (i.e. to administer the Foreign Relations Act)</w:t>
      </w:r>
      <w:r w:rsidR="00393561" w:rsidRPr="00C2429A">
        <w:rPr>
          <w:sz w:val="22"/>
          <w:szCs w:val="22"/>
        </w:rPr>
        <w:t xml:space="preserve">. </w:t>
      </w:r>
      <w:r>
        <w:rPr>
          <w:sz w:val="22"/>
          <w:szCs w:val="22"/>
        </w:rPr>
        <w:t>T</w:t>
      </w:r>
      <w:r w:rsidR="002435F1" w:rsidRPr="00C2429A">
        <w:rPr>
          <w:sz w:val="22"/>
          <w:szCs w:val="22"/>
        </w:rPr>
        <w:t xml:space="preserve">he department will also inform individuals who seek correction of their personal information that they may request the department notify other entities </w:t>
      </w:r>
      <w:r w:rsidR="0050090C" w:rsidRPr="00C2429A">
        <w:rPr>
          <w:sz w:val="22"/>
          <w:szCs w:val="22"/>
        </w:rPr>
        <w:t xml:space="preserve">to which the information </w:t>
      </w:r>
      <w:r w:rsidR="00E44885" w:rsidRPr="00C2429A">
        <w:rPr>
          <w:sz w:val="22"/>
          <w:szCs w:val="22"/>
        </w:rPr>
        <w:t xml:space="preserve">may </w:t>
      </w:r>
      <w:r w:rsidR="0050090C" w:rsidRPr="00C2429A">
        <w:rPr>
          <w:sz w:val="22"/>
          <w:szCs w:val="22"/>
        </w:rPr>
        <w:t>ha</w:t>
      </w:r>
      <w:r w:rsidR="00E44885" w:rsidRPr="00C2429A">
        <w:rPr>
          <w:sz w:val="22"/>
          <w:szCs w:val="22"/>
        </w:rPr>
        <w:t>ve</w:t>
      </w:r>
      <w:r w:rsidR="0050090C" w:rsidRPr="00C2429A">
        <w:rPr>
          <w:sz w:val="22"/>
          <w:szCs w:val="22"/>
        </w:rPr>
        <w:t xml:space="preserve"> been disclosed </w:t>
      </w:r>
      <w:r w:rsidR="002435F1" w:rsidRPr="00C2429A">
        <w:rPr>
          <w:sz w:val="22"/>
          <w:szCs w:val="22"/>
        </w:rPr>
        <w:t xml:space="preserve">about the correction of their personal information. </w:t>
      </w:r>
    </w:p>
    <w:p w14:paraId="20E640AF" w14:textId="333C555C" w:rsidR="00637098" w:rsidRPr="00637098" w:rsidRDefault="00637098" w:rsidP="00637098">
      <w:pPr>
        <w:pStyle w:val="Default"/>
        <w:spacing w:after="200"/>
        <w:jc w:val="both"/>
        <w:rPr>
          <w:sz w:val="22"/>
          <w:szCs w:val="22"/>
        </w:rPr>
      </w:pPr>
      <w:r w:rsidRPr="00637098">
        <w:rPr>
          <w:sz w:val="22"/>
          <w:szCs w:val="22"/>
        </w:rPr>
        <w:t xml:space="preserve">To the extent that the Rules allow for the disclosure of certain information and the subsequent limitation on the right to privacy, this limitation is reasonable, necessary and proportionate to support another Commonwealth agency to carry out its functions. </w:t>
      </w:r>
    </w:p>
    <w:p w14:paraId="5840D586" w14:textId="77777777" w:rsidR="001B5D89" w:rsidRPr="00876EDB" w:rsidRDefault="001B5D89" w:rsidP="00AC7DB4">
      <w:pPr>
        <w:pStyle w:val="Default"/>
        <w:spacing w:after="200"/>
        <w:jc w:val="both"/>
        <w:rPr>
          <w:b/>
          <w:sz w:val="22"/>
          <w:szCs w:val="22"/>
        </w:rPr>
      </w:pPr>
      <w:r w:rsidRPr="00876EDB">
        <w:rPr>
          <w:b/>
          <w:sz w:val="22"/>
          <w:szCs w:val="22"/>
        </w:rPr>
        <w:t>Conclusion</w:t>
      </w:r>
    </w:p>
    <w:p w14:paraId="69BEE74B" w14:textId="4932F7F6" w:rsidR="005F56E2" w:rsidRDefault="001B5D89" w:rsidP="00300819">
      <w:pPr>
        <w:pStyle w:val="Celltext"/>
        <w:spacing w:before="0" w:after="200"/>
        <w:jc w:val="both"/>
        <w:rPr>
          <w:sz w:val="22"/>
          <w:szCs w:val="22"/>
        </w:rPr>
      </w:pPr>
      <w:r w:rsidRPr="00C2429A">
        <w:rPr>
          <w:sz w:val="22"/>
          <w:szCs w:val="22"/>
        </w:rPr>
        <w:t xml:space="preserve">The Rules are compatible with human rights because to the extent that they limit </w:t>
      </w:r>
      <w:r w:rsidR="00915912">
        <w:rPr>
          <w:sz w:val="22"/>
          <w:szCs w:val="22"/>
        </w:rPr>
        <w:t>the right to privacy</w:t>
      </w:r>
      <w:r w:rsidRPr="00C2429A">
        <w:rPr>
          <w:sz w:val="22"/>
          <w:szCs w:val="22"/>
        </w:rPr>
        <w:t>, those limitations are reasonable, necessary and proportionate</w:t>
      </w:r>
      <w:r w:rsidR="00E63FDA">
        <w:rPr>
          <w:sz w:val="22"/>
          <w:szCs w:val="22"/>
        </w:rPr>
        <w:t xml:space="preserve"> in order to achieve a legitimate objective</w:t>
      </w:r>
      <w:r w:rsidRPr="00C2429A">
        <w:rPr>
          <w:sz w:val="22"/>
          <w:szCs w:val="22"/>
        </w:rPr>
        <w:t xml:space="preserve">. The Rules </w:t>
      </w:r>
      <w:r w:rsidR="00C05996" w:rsidRPr="00C2429A">
        <w:rPr>
          <w:sz w:val="22"/>
          <w:szCs w:val="22"/>
        </w:rPr>
        <w:t xml:space="preserve">allow </w:t>
      </w:r>
      <w:r w:rsidR="00915912">
        <w:rPr>
          <w:sz w:val="22"/>
          <w:szCs w:val="22"/>
        </w:rPr>
        <w:t xml:space="preserve">the </w:t>
      </w:r>
      <w:r w:rsidR="005C57DE">
        <w:rPr>
          <w:sz w:val="22"/>
          <w:szCs w:val="22"/>
        </w:rPr>
        <w:t xml:space="preserve">Secretary </w:t>
      </w:r>
      <w:r w:rsidR="00915912">
        <w:rPr>
          <w:sz w:val="22"/>
          <w:szCs w:val="22"/>
        </w:rPr>
        <w:t xml:space="preserve">to share </w:t>
      </w:r>
      <w:r w:rsidR="005C57DE">
        <w:rPr>
          <w:sz w:val="22"/>
          <w:szCs w:val="22"/>
        </w:rPr>
        <w:t xml:space="preserve">scheme </w:t>
      </w:r>
      <w:r w:rsidR="00915912">
        <w:rPr>
          <w:sz w:val="22"/>
          <w:szCs w:val="22"/>
        </w:rPr>
        <w:t xml:space="preserve">information </w:t>
      </w:r>
      <w:r w:rsidR="00C05996" w:rsidRPr="00C2429A">
        <w:rPr>
          <w:sz w:val="22"/>
          <w:szCs w:val="22"/>
        </w:rPr>
        <w:t xml:space="preserve">to </w:t>
      </w:r>
      <w:r w:rsidR="005C57DE">
        <w:rPr>
          <w:sz w:val="22"/>
          <w:szCs w:val="22"/>
        </w:rPr>
        <w:t>assist the Minister</w:t>
      </w:r>
      <w:r w:rsidR="0042306D">
        <w:rPr>
          <w:sz w:val="22"/>
          <w:szCs w:val="22"/>
        </w:rPr>
        <w:t xml:space="preserve"> for Foreign Affairs</w:t>
      </w:r>
      <w:r w:rsidR="005C57DE">
        <w:rPr>
          <w:sz w:val="22"/>
          <w:szCs w:val="22"/>
        </w:rPr>
        <w:t xml:space="preserve"> or DFAT to </w:t>
      </w:r>
      <w:r w:rsidR="00C05996" w:rsidRPr="00C2429A">
        <w:rPr>
          <w:sz w:val="22"/>
          <w:szCs w:val="22"/>
        </w:rPr>
        <w:t>perform functions under the Foreign Arrangement Scheme</w:t>
      </w:r>
      <w:r w:rsidR="0085151A" w:rsidRPr="00C2429A">
        <w:rPr>
          <w:sz w:val="22"/>
          <w:szCs w:val="22"/>
        </w:rPr>
        <w:t>,</w:t>
      </w:r>
      <w:r w:rsidR="00C05996" w:rsidRPr="00C2429A">
        <w:rPr>
          <w:sz w:val="22"/>
          <w:szCs w:val="22"/>
        </w:rPr>
        <w:t xml:space="preserve"> which </w:t>
      </w:r>
      <w:r w:rsidR="00300819">
        <w:rPr>
          <w:sz w:val="22"/>
          <w:szCs w:val="22"/>
        </w:rPr>
        <w:t>supports the efficient and appropriate administration of both schemes and ensures their interoperability</w:t>
      </w:r>
      <w:r w:rsidR="00300819" w:rsidRPr="00300819">
        <w:rPr>
          <w:sz w:val="22"/>
          <w:szCs w:val="22"/>
        </w:rPr>
        <w:t xml:space="preserve"> </w:t>
      </w:r>
      <w:r w:rsidR="00300819">
        <w:rPr>
          <w:sz w:val="22"/>
          <w:szCs w:val="22"/>
        </w:rPr>
        <w:t xml:space="preserve">where </w:t>
      </w:r>
      <w:r w:rsidR="00481CB9">
        <w:rPr>
          <w:sz w:val="22"/>
          <w:szCs w:val="22"/>
        </w:rPr>
        <w:t>an entity may be subject to both schemes</w:t>
      </w:r>
      <w:r w:rsidR="00302A58">
        <w:rPr>
          <w:sz w:val="22"/>
          <w:szCs w:val="22"/>
        </w:rPr>
        <w:t>.</w:t>
      </w:r>
    </w:p>
    <w:p w14:paraId="3AA86887" w14:textId="77777777" w:rsidR="005F56E2" w:rsidRPr="001D7913" w:rsidRDefault="005F56E2" w:rsidP="001D7913">
      <w:pPr>
        <w:pStyle w:val="Celltext"/>
        <w:spacing w:before="0" w:after="200"/>
        <w:jc w:val="both"/>
        <w:rPr>
          <w:sz w:val="22"/>
          <w:szCs w:val="22"/>
        </w:rPr>
      </w:pPr>
    </w:p>
    <w:sectPr w:rsidR="005F56E2" w:rsidRPr="001D7913" w:rsidSect="005809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80F47" w14:textId="77777777" w:rsidR="003D36CC" w:rsidRDefault="003D36CC" w:rsidP="001B5D89">
      <w:pPr>
        <w:spacing w:after="0"/>
      </w:pPr>
      <w:r>
        <w:separator/>
      </w:r>
    </w:p>
  </w:endnote>
  <w:endnote w:type="continuationSeparator" w:id="0">
    <w:p w14:paraId="61C8E611" w14:textId="77777777" w:rsidR="003D36CC" w:rsidRDefault="003D36CC" w:rsidP="001B5D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A02AD" w14:textId="77777777" w:rsidR="003D36CC" w:rsidRDefault="003D36CC" w:rsidP="001B5D89">
      <w:pPr>
        <w:spacing w:after="0"/>
      </w:pPr>
      <w:r>
        <w:separator/>
      </w:r>
    </w:p>
  </w:footnote>
  <w:footnote w:type="continuationSeparator" w:id="0">
    <w:p w14:paraId="069FBD0D" w14:textId="77777777" w:rsidR="003D36CC" w:rsidRDefault="003D36CC" w:rsidP="001B5D8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2044F"/>
    <w:multiLevelType w:val="hybridMultilevel"/>
    <w:tmpl w:val="B22C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EC1E6C"/>
    <w:multiLevelType w:val="hybridMultilevel"/>
    <w:tmpl w:val="A1106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453DA1"/>
    <w:multiLevelType w:val="hybridMultilevel"/>
    <w:tmpl w:val="64AA42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F61529A"/>
    <w:multiLevelType w:val="hybridMultilevel"/>
    <w:tmpl w:val="3482A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4941D5"/>
    <w:multiLevelType w:val="hybridMultilevel"/>
    <w:tmpl w:val="73A86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2C294E"/>
    <w:multiLevelType w:val="hybridMultilevel"/>
    <w:tmpl w:val="9CE45136"/>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6" w15:restartNumberingAfterBreak="0">
    <w:nsid w:val="437A5E01"/>
    <w:multiLevelType w:val="hybridMultilevel"/>
    <w:tmpl w:val="5216AC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6F01C32"/>
    <w:multiLevelType w:val="hybridMultilevel"/>
    <w:tmpl w:val="81BCB1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F279EC"/>
    <w:multiLevelType w:val="hybridMultilevel"/>
    <w:tmpl w:val="ED3CA52C"/>
    <w:lvl w:ilvl="0" w:tplc="D4F2FFF4">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2FB066B"/>
    <w:multiLevelType w:val="hybridMultilevel"/>
    <w:tmpl w:val="C71031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E6F612C"/>
    <w:multiLevelType w:val="hybridMultilevel"/>
    <w:tmpl w:val="23A4C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DEF0AD6"/>
    <w:multiLevelType w:val="hybridMultilevel"/>
    <w:tmpl w:val="EC18037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11"/>
  </w:num>
  <w:num w:numId="5">
    <w:abstractNumId w:val="4"/>
  </w:num>
  <w:num w:numId="6">
    <w:abstractNumId w:val="2"/>
  </w:num>
  <w:num w:numId="7">
    <w:abstractNumId w:val="9"/>
  </w:num>
  <w:num w:numId="8">
    <w:abstractNumId w:val="1"/>
  </w:num>
  <w:num w:numId="9">
    <w:abstractNumId w:val="10"/>
  </w:num>
  <w:num w:numId="10">
    <w:abstractNumId w:val="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F95"/>
    <w:rsid w:val="00000E8E"/>
    <w:rsid w:val="00002697"/>
    <w:rsid w:val="00022F79"/>
    <w:rsid w:val="000255BC"/>
    <w:rsid w:val="000334C5"/>
    <w:rsid w:val="0003486F"/>
    <w:rsid w:val="000407BF"/>
    <w:rsid w:val="000412AD"/>
    <w:rsid w:val="000418EE"/>
    <w:rsid w:val="000526FB"/>
    <w:rsid w:val="000603DA"/>
    <w:rsid w:val="00061F3A"/>
    <w:rsid w:val="000636D1"/>
    <w:rsid w:val="00066349"/>
    <w:rsid w:val="00067907"/>
    <w:rsid w:val="00071BDE"/>
    <w:rsid w:val="00072079"/>
    <w:rsid w:val="00083F10"/>
    <w:rsid w:val="00090843"/>
    <w:rsid w:val="00095647"/>
    <w:rsid w:val="000A3475"/>
    <w:rsid w:val="000A6718"/>
    <w:rsid w:val="000A7DDD"/>
    <w:rsid w:val="000B0420"/>
    <w:rsid w:val="000B277B"/>
    <w:rsid w:val="000B7B59"/>
    <w:rsid w:val="000C1759"/>
    <w:rsid w:val="000C3594"/>
    <w:rsid w:val="000C76C7"/>
    <w:rsid w:val="000D1AFF"/>
    <w:rsid w:val="000D25B8"/>
    <w:rsid w:val="000D2F6A"/>
    <w:rsid w:val="000E7711"/>
    <w:rsid w:val="000F5491"/>
    <w:rsid w:val="001162D3"/>
    <w:rsid w:val="00121F2F"/>
    <w:rsid w:val="0013111F"/>
    <w:rsid w:val="00137C11"/>
    <w:rsid w:val="0014182F"/>
    <w:rsid w:val="001457BC"/>
    <w:rsid w:val="00150D28"/>
    <w:rsid w:val="00161562"/>
    <w:rsid w:val="001627A2"/>
    <w:rsid w:val="00165B08"/>
    <w:rsid w:val="0016752C"/>
    <w:rsid w:val="00170C2F"/>
    <w:rsid w:val="001716D3"/>
    <w:rsid w:val="00180DE1"/>
    <w:rsid w:val="00184B3C"/>
    <w:rsid w:val="00185276"/>
    <w:rsid w:val="00185EE9"/>
    <w:rsid w:val="00186930"/>
    <w:rsid w:val="0018729D"/>
    <w:rsid w:val="00194C4C"/>
    <w:rsid w:val="00196572"/>
    <w:rsid w:val="00196F95"/>
    <w:rsid w:val="001B0FA3"/>
    <w:rsid w:val="001B18DD"/>
    <w:rsid w:val="001B1F7C"/>
    <w:rsid w:val="001B30FB"/>
    <w:rsid w:val="001B5D89"/>
    <w:rsid w:val="001B7101"/>
    <w:rsid w:val="001C35E2"/>
    <w:rsid w:val="001C5B5E"/>
    <w:rsid w:val="001C764A"/>
    <w:rsid w:val="001D2611"/>
    <w:rsid w:val="001D7226"/>
    <w:rsid w:val="001D7913"/>
    <w:rsid w:val="001E36DB"/>
    <w:rsid w:val="001E638F"/>
    <w:rsid w:val="001F0A3A"/>
    <w:rsid w:val="001F0F6E"/>
    <w:rsid w:val="001F2AB2"/>
    <w:rsid w:val="001F2F56"/>
    <w:rsid w:val="001F5A23"/>
    <w:rsid w:val="001F6657"/>
    <w:rsid w:val="002037D2"/>
    <w:rsid w:val="0021000E"/>
    <w:rsid w:val="0021026E"/>
    <w:rsid w:val="002223B7"/>
    <w:rsid w:val="0022421A"/>
    <w:rsid w:val="00227E37"/>
    <w:rsid w:val="00231893"/>
    <w:rsid w:val="00231FFF"/>
    <w:rsid w:val="002435F1"/>
    <w:rsid w:val="00244341"/>
    <w:rsid w:val="00252D14"/>
    <w:rsid w:val="00252E0E"/>
    <w:rsid w:val="0025357F"/>
    <w:rsid w:val="002648CC"/>
    <w:rsid w:val="00271900"/>
    <w:rsid w:val="002726EF"/>
    <w:rsid w:val="00274D2E"/>
    <w:rsid w:val="00276571"/>
    <w:rsid w:val="00282D5E"/>
    <w:rsid w:val="00286782"/>
    <w:rsid w:val="00295C02"/>
    <w:rsid w:val="002A0A2F"/>
    <w:rsid w:val="002A28C6"/>
    <w:rsid w:val="002A3712"/>
    <w:rsid w:val="002B2861"/>
    <w:rsid w:val="002C04DA"/>
    <w:rsid w:val="002C2EA2"/>
    <w:rsid w:val="002C5DFE"/>
    <w:rsid w:val="002C5EE8"/>
    <w:rsid w:val="002C6F5A"/>
    <w:rsid w:val="002D2DA0"/>
    <w:rsid w:val="002D6466"/>
    <w:rsid w:val="002D665C"/>
    <w:rsid w:val="002E1E3E"/>
    <w:rsid w:val="002E20E3"/>
    <w:rsid w:val="002E2E22"/>
    <w:rsid w:val="002E60D0"/>
    <w:rsid w:val="002F10A6"/>
    <w:rsid w:val="002F16B8"/>
    <w:rsid w:val="002F2931"/>
    <w:rsid w:val="00300819"/>
    <w:rsid w:val="00302A58"/>
    <w:rsid w:val="00303D07"/>
    <w:rsid w:val="00305454"/>
    <w:rsid w:val="00317D0D"/>
    <w:rsid w:val="00322509"/>
    <w:rsid w:val="00326F6E"/>
    <w:rsid w:val="00331F04"/>
    <w:rsid w:val="003326B6"/>
    <w:rsid w:val="00333D0D"/>
    <w:rsid w:val="00336169"/>
    <w:rsid w:val="003501F4"/>
    <w:rsid w:val="00351D16"/>
    <w:rsid w:val="00355D89"/>
    <w:rsid w:val="00360A97"/>
    <w:rsid w:val="00363CC1"/>
    <w:rsid w:val="003648FA"/>
    <w:rsid w:val="00372F6C"/>
    <w:rsid w:val="00374958"/>
    <w:rsid w:val="003847F3"/>
    <w:rsid w:val="00393561"/>
    <w:rsid w:val="003A22F1"/>
    <w:rsid w:val="003A39A5"/>
    <w:rsid w:val="003A46AD"/>
    <w:rsid w:val="003B0494"/>
    <w:rsid w:val="003C2766"/>
    <w:rsid w:val="003C3698"/>
    <w:rsid w:val="003D0C19"/>
    <w:rsid w:val="003D36CC"/>
    <w:rsid w:val="003D49E0"/>
    <w:rsid w:val="003D6451"/>
    <w:rsid w:val="003E7D95"/>
    <w:rsid w:val="003F4E84"/>
    <w:rsid w:val="0040071E"/>
    <w:rsid w:val="004151AC"/>
    <w:rsid w:val="004154AB"/>
    <w:rsid w:val="00416717"/>
    <w:rsid w:val="00416A40"/>
    <w:rsid w:val="0042306D"/>
    <w:rsid w:val="004234DA"/>
    <w:rsid w:val="00427F2D"/>
    <w:rsid w:val="00430B71"/>
    <w:rsid w:val="0044125F"/>
    <w:rsid w:val="00443644"/>
    <w:rsid w:val="00443AE8"/>
    <w:rsid w:val="004464FF"/>
    <w:rsid w:val="0044659F"/>
    <w:rsid w:val="00452389"/>
    <w:rsid w:val="00456EF2"/>
    <w:rsid w:val="004621F1"/>
    <w:rsid w:val="00465D13"/>
    <w:rsid w:val="00473A6F"/>
    <w:rsid w:val="00480207"/>
    <w:rsid w:val="00481CB9"/>
    <w:rsid w:val="004943E4"/>
    <w:rsid w:val="004B4701"/>
    <w:rsid w:val="004B4AFC"/>
    <w:rsid w:val="004C484E"/>
    <w:rsid w:val="004C7C75"/>
    <w:rsid w:val="004D3F11"/>
    <w:rsid w:val="004D6270"/>
    <w:rsid w:val="004F51CB"/>
    <w:rsid w:val="0050090C"/>
    <w:rsid w:val="005040F3"/>
    <w:rsid w:val="00515347"/>
    <w:rsid w:val="00517424"/>
    <w:rsid w:val="005213B9"/>
    <w:rsid w:val="00521F2A"/>
    <w:rsid w:val="00530487"/>
    <w:rsid w:val="00530EBA"/>
    <w:rsid w:val="00537C1E"/>
    <w:rsid w:val="0054282D"/>
    <w:rsid w:val="00543A38"/>
    <w:rsid w:val="00543C89"/>
    <w:rsid w:val="005512B9"/>
    <w:rsid w:val="00554C5F"/>
    <w:rsid w:val="00561F4F"/>
    <w:rsid w:val="00565BE4"/>
    <w:rsid w:val="00570BE5"/>
    <w:rsid w:val="00570F4E"/>
    <w:rsid w:val="00572BEB"/>
    <w:rsid w:val="00575270"/>
    <w:rsid w:val="0058092C"/>
    <w:rsid w:val="00592855"/>
    <w:rsid w:val="005A1FD8"/>
    <w:rsid w:val="005B230D"/>
    <w:rsid w:val="005C575E"/>
    <w:rsid w:val="005C57DE"/>
    <w:rsid w:val="005C5CED"/>
    <w:rsid w:val="005C5F6F"/>
    <w:rsid w:val="005D355B"/>
    <w:rsid w:val="005D5945"/>
    <w:rsid w:val="005E1924"/>
    <w:rsid w:val="005E7FFC"/>
    <w:rsid w:val="005F56E2"/>
    <w:rsid w:val="0061301D"/>
    <w:rsid w:val="006159C5"/>
    <w:rsid w:val="00624869"/>
    <w:rsid w:val="00626B50"/>
    <w:rsid w:val="00627C91"/>
    <w:rsid w:val="006350C9"/>
    <w:rsid w:val="00637098"/>
    <w:rsid w:val="0064744C"/>
    <w:rsid w:val="00647C33"/>
    <w:rsid w:val="006514E5"/>
    <w:rsid w:val="00652EBA"/>
    <w:rsid w:val="00662432"/>
    <w:rsid w:val="00670393"/>
    <w:rsid w:val="00681699"/>
    <w:rsid w:val="00682477"/>
    <w:rsid w:val="006879E2"/>
    <w:rsid w:val="00692C89"/>
    <w:rsid w:val="006A2208"/>
    <w:rsid w:val="006A2DB1"/>
    <w:rsid w:val="006B140C"/>
    <w:rsid w:val="006B1772"/>
    <w:rsid w:val="006B1FA0"/>
    <w:rsid w:val="006B3F2B"/>
    <w:rsid w:val="006B43CD"/>
    <w:rsid w:val="006B4724"/>
    <w:rsid w:val="006B6374"/>
    <w:rsid w:val="006B6DA1"/>
    <w:rsid w:val="006B718F"/>
    <w:rsid w:val="006C127B"/>
    <w:rsid w:val="006C6E6F"/>
    <w:rsid w:val="006D0091"/>
    <w:rsid w:val="006E5DA4"/>
    <w:rsid w:val="006E710E"/>
    <w:rsid w:val="006E7BB8"/>
    <w:rsid w:val="006F28E6"/>
    <w:rsid w:val="006F76DA"/>
    <w:rsid w:val="00704DFB"/>
    <w:rsid w:val="00705358"/>
    <w:rsid w:val="00706D50"/>
    <w:rsid w:val="00710CA9"/>
    <w:rsid w:val="007110C3"/>
    <w:rsid w:val="0071591C"/>
    <w:rsid w:val="00721A33"/>
    <w:rsid w:val="0072243D"/>
    <w:rsid w:val="007229D2"/>
    <w:rsid w:val="00730982"/>
    <w:rsid w:val="00732438"/>
    <w:rsid w:val="00735E95"/>
    <w:rsid w:val="007362C2"/>
    <w:rsid w:val="00736A5D"/>
    <w:rsid w:val="00750BB6"/>
    <w:rsid w:val="00751A66"/>
    <w:rsid w:val="0075752D"/>
    <w:rsid w:val="007660E0"/>
    <w:rsid w:val="0077624E"/>
    <w:rsid w:val="00777A04"/>
    <w:rsid w:val="00780598"/>
    <w:rsid w:val="00781027"/>
    <w:rsid w:val="00782D55"/>
    <w:rsid w:val="007949C4"/>
    <w:rsid w:val="00795917"/>
    <w:rsid w:val="007B07E0"/>
    <w:rsid w:val="007B0891"/>
    <w:rsid w:val="007B6F94"/>
    <w:rsid w:val="007C2D34"/>
    <w:rsid w:val="007C506D"/>
    <w:rsid w:val="007C721A"/>
    <w:rsid w:val="007D3FEC"/>
    <w:rsid w:val="007D4F83"/>
    <w:rsid w:val="007E1C7F"/>
    <w:rsid w:val="007E2310"/>
    <w:rsid w:val="007E2B21"/>
    <w:rsid w:val="007E5537"/>
    <w:rsid w:val="007E6C15"/>
    <w:rsid w:val="007F50DB"/>
    <w:rsid w:val="00801258"/>
    <w:rsid w:val="008108CA"/>
    <w:rsid w:val="008118AF"/>
    <w:rsid w:val="008240C7"/>
    <w:rsid w:val="00826137"/>
    <w:rsid w:val="008265F1"/>
    <w:rsid w:val="00832953"/>
    <w:rsid w:val="00836250"/>
    <w:rsid w:val="00840BCB"/>
    <w:rsid w:val="0085151A"/>
    <w:rsid w:val="008539DC"/>
    <w:rsid w:val="00861369"/>
    <w:rsid w:val="00864276"/>
    <w:rsid w:val="008649BE"/>
    <w:rsid w:val="00867AD2"/>
    <w:rsid w:val="008735D8"/>
    <w:rsid w:val="00876EDB"/>
    <w:rsid w:val="008771A2"/>
    <w:rsid w:val="00877A6B"/>
    <w:rsid w:val="00877C66"/>
    <w:rsid w:val="00877D0A"/>
    <w:rsid w:val="00884BBB"/>
    <w:rsid w:val="0089116F"/>
    <w:rsid w:val="00891DEE"/>
    <w:rsid w:val="00894749"/>
    <w:rsid w:val="008A4D28"/>
    <w:rsid w:val="008B21A2"/>
    <w:rsid w:val="008B2890"/>
    <w:rsid w:val="008B2A54"/>
    <w:rsid w:val="008B52A1"/>
    <w:rsid w:val="008C0191"/>
    <w:rsid w:val="008C20BB"/>
    <w:rsid w:val="008C2134"/>
    <w:rsid w:val="008C614F"/>
    <w:rsid w:val="008C7426"/>
    <w:rsid w:val="008D170D"/>
    <w:rsid w:val="008D508B"/>
    <w:rsid w:val="008D62C6"/>
    <w:rsid w:val="008D6F07"/>
    <w:rsid w:val="008D7634"/>
    <w:rsid w:val="008E2561"/>
    <w:rsid w:val="008E386F"/>
    <w:rsid w:val="008F2A6D"/>
    <w:rsid w:val="008F6A06"/>
    <w:rsid w:val="00900E73"/>
    <w:rsid w:val="00902F78"/>
    <w:rsid w:val="00905D2E"/>
    <w:rsid w:val="00907F36"/>
    <w:rsid w:val="00912836"/>
    <w:rsid w:val="00915912"/>
    <w:rsid w:val="00917A12"/>
    <w:rsid w:val="00920403"/>
    <w:rsid w:val="009207FF"/>
    <w:rsid w:val="00932CEE"/>
    <w:rsid w:val="00935D37"/>
    <w:rsid w:val="009374EB"/>
    <w:rsid w:val="00940132"/>
    <w:rsid w:val="009508E9"/>
    <w:rsid w:val="009519D9"/>
    <w:rsid w:val="009536AB"/>
    <w:rsid w:val="00955DD7"/>
    <w:rsid w:val="0096669A"/>
    <w:rsid w:val="00967846"/>
    <w:rsid w:val="00970E97"/>
    <w:rsid w:val="00973287"/>
    <w:rsid w:val="0097386A"/>
    <w:rsid w:val="0097657D"/>
    <w:rsid w:val="0098079F"/>
    <w:rsid w:val="00980B5A"/>
    <w:rsid w:val="00982919"/>
    <w:rsid w:val="009843B5"/>
    <w:rsid w:val="009870C3"/>
    <w:rsid w:val="0099108F"/>
    <w:rsid w:val="00996EDA"/>
    <w:rsid w:val="00997A1F"/>
    <w:rsid w:val="009A2708"/>
    <w:rsid w:val="009A733E"/>
    <w:rsid w:val="009B0EDD"/>
    <w:rsid w:val="009B153E"/>
    <w:rsid w:val="009B3A0F"/>
    <w:rsid w:val="009B4D1E"/>
    <w:rsid w:val="009B7445"/>
    <w:rsid w:val="009C003E"/>
    <w:rsid w:val="009C0795"/>
    <w:rsid w:val="009C2A39"/>
    <w:rsid w:val="009C358F"/>
    <w:rsid w:val="009C523D"/>
    <w:rsid w:val="009C6521"/>
    <w:rsid w:val="009C6AB3"/>
    <w:rsid w:val="009C6EC3"/>
    <w:rsid w:val="009D1128"/>
    <w:rsid w:val="009D2A60"/>
    <w:rsid w:val="009D30A8"/>
    <w:rsid w:val="009D39FB"/>
    <w:rsid w:val="009D6173"/>
    <w:rsid w:val="009D68A3"/>
    <w:rsid w:val="009E1666"/>
    <w:rsid w:val="009E49B5"/>
    <w:rsid w:val="009E5FC7"/>
    <w:rsid w:val="009F4E36"/>
    <w:rsid w:val="009F755B"/>
    <w:rsid w:val="00A070CF"/>
    <w:rsid w:val="00A07BA5"/>
    <w:rsid w:val="00A1182E"/>
    <w:rsid w:val="00A12C2E"/>
    <w:rsid w:val="00A148F2"/>
    <w:rsid w:val="00A16CF5"/>
    <w:rsid w:val="00A21E25"/>
    <w:rsid w:val="00A24DE9"/>
    <w:rsid w:val="00A33EDD"/>
    <w:rsid w:val="00A407E4"/>
    <w:rsid w:val="00A45DAC"/>
    <w:rsid w:val="00A50B8A"/>
    <w:rsid w:val="00A51293"/>
    <w:rsid w:val="00A52284"/>
    <w:rsid w:val="00A606E7"/>
    <w:rsid w:val="00A62F53"/>
    <w:rsid w:val="00A67790"/>
    <w:rsid w:val="00A70C0A"/>
    <w:rsid w:val="00A82A04"/>
    <w:rsid w:val="00A862A2"/>
    <w:rsid w:val="00A920E3"/>
    <w:rsid w:val="00A940CC"/>
    <w:rsid w:val="00AA6AAD"/>
    <w:rsid w:val="00AA6D56"/>
    <w:rsid w:val="00AB0586"/>
    <w:rsid w:val="00AC6405"/>
    <w:rsid w:val="00AC7DB4"/>
    <w:rsid w:val="00AD3B23"/>
    <w:rsid w:val="00AD4F85"/>
    <w:rsid w:val="00AE0EB1"/>
    <w:rsid w:val="00AF03B3"/>
    <w:rsid w:val="00AF316D"/>
    <w:rsid w:val="00B16485"/>
    <w:rsid w:val="00B2314E"/>
    <w:rsid w:val="00B24B9F"/>
    <w:rsid w:val="00B2715E"/>
    <w:rsid w:val="00B311E6"/>
    <w:rsid w:val="00B323F3"/>
    <w:rsid w:val="00B3537D"/>
    <w:rsid w:val="00B516D4"/>
    <w:rsid w:val="00B61CA4"/>
    <w:rsid w:val="00B736AB"/>
    <w:rsid w:val="00B7697F"/>
    <w:rsid w:val="00B77C89"/>
    <w:rsid w:val="00B8082F"/>
    <w:rsid w:val="00B80D4B"/>
    <w:rsid w:val="00B80FD2"/>
    <w:rsid w:val="00B87DB8"/>
    <w:rsid w:val="00B915D9"/>
    <w:rsid w:val="00B94BFD"/>
    <w:rsid w:val="00BA1CC0"/>
    <w:rsid w:val="00BA1E5C"/>
    <w:rsid w:val="00BA7727"/>
    <w:rsid w:val="00BB0A35"/>
    <w:rsid w:val="00BB10A4"/>
    <w:rsid w:val="00BB1882"/>
    <w:rsid w:val="00BC4760"/>
    <w:rsid w:val="00BC6F4C"/>
    <w:rsid w:val="00BD1285"/>
    <w:rsid w:val="00BD3358"/>
    <w:rsid w:val="00BE52A4"/>
    <w:rsid w:val="00BF25AD"/>
    <w:rsid w:val="00BF7275"/>
    <w:rsid w:val="00C05996"/>
    <w:rsid w:val="00C07528"/>
    <w:rsid w:val="00C140C7"/>
    <w:rsid w:val="00C14FB8"/>
    <w:rsid w:val="00C155A8"/>
    <w:rsid w:val="00C20426"/>
    <w:rsid w:val="00C21F01"/>
    <w:rsid w:val="00C2366F"/>
    <w:rsid w:val="00C2429A"/>
    <w:rsid w:val="00C4436D"/>
    <w:rsid w:val="00C4504D"/>
    <w:rsid w:val="00C53088"/>
    <w:rsid w:val="00C70192"/>
    <w:rsid w:val="00C84BC6"/>
    <w:rsid w:val="00C86119"/>
    <w:rsid w:val="00C86BC4"/>
    <w:rsid w:val="00C91149"/>
    <w:rsid w:val="00C950BD"/>
    <w:rsid w:val="00C9780F"/>
    <w:rsid w:val="00C97C6D"/>
    <w:rsid w:val="00CA268F"/>
    <w:rsid w:val="00CB2617"/>
    <w:rsid w:val="00CB6A1D"/>
    <w:rsid w:val="00CB7CB4"/>
    <w:rsid w:val="00CC2CF1"/>
    <w:rsid w:val="00CF1735"/>
    <w:rsid w:val="00CF1794"/>
    <w:rsid w:val="00CF376F"/>
    <w:rsid w:val="00CF478E"/>
    <w:rsid w:val="00CF6107"/>
    <w:rsid w:val="00CF66D1"/>
    <w:rsid w:val="00CF75A7"/>
    <w:rsid w:val="00CF7FEB"/>
    <w:rsid w:val="00D01260"/>
    <w:rsid w:val="00D06509"/>
    <w:rsid w:val="00D20A5F"/>
    <w:rsid w:val="00D2417A"/>
    <w:rsid w:val="00D269A4"/>
    <w:rsid w:val="00D307E1"/>
    <w:rsid w:val="00D30884"/>
    <w:rsid w:val="00D31F44"/>
    <w:rsid w:val="00D53719"/>
    <w:rsid w:val="00D61F33"/>
    <w:rsid w:val="00D62F6D"/>
    <w:rsid w:val="00D63F93"/>
    <w:rsid w:val="00D65572"/>
    <w:rsid w:val="00D67462"/>
    <w:rsid w:val="00D75E50"/>
    <w:rsid w:val="00D85475"/>
    <w:rsid w:val="00D8569E"/>
    <w:rsid w:val="00D95086"/>
    <w:rsid w:val="00D96DF5"/>
    <w:rsid w:val="00DA3299"/>
    <w:rsid w:val="00DA3A20"/>
    <w:rsid w:val="00DB6B0D"/>
    <w:rsid w:val="00DB7612"/>
    <w:rsid w:val="00DC22D4"/>
    <w:rsid w:val="00DC45C3"/>
    <w:rsid w:val="00DF21E1"/>
    <w:rsid w:val="00DF2CF8"/>
    <w:rsid w:val="00E0798C"/>
    <w:rsid w:val="00E16220"/>
    <w:rsid w:val="00E16453"/>
    <w:rsid w:val="00E20992"/>
    <w:rsid w:val="00E25BC0"/>
    <w:rsid w:val="00E2728C"/>
    <w:rsid w:val="00E35828"/>
    <w:rsid w:val="00E36659"/>
    <w:rsid w:val="00E422C6"/>
    <w:rsid w:val="00E44885"/>
    <w:rsid w:val="00E458A5"/>
    <w:rsid w:val="00E477EF"/>
    <w:rsid w:val="00E53800"/>
    <w:rsid w:val="00E63FDA"/>
    <w:rsid w:val="00E708BD"/>
    <w:rsid w:val="00E715E3"/>
    <w:rsid w:val="00E71CE1"/>
    <w:rsid w:val="00E762CE"/>
    <w:rsid w:val="00E8408A"/>
    <w:rsid w:val="00E84FF5"/>
    <w:rsid w:val="00E872D2"/>
    <w:rsid w:val="00E87D2B"/>
    <w:rsid w:val="00E945AC"/>
    <w:rsid w:val="00E94DA6"/>
    <w:rsid w:val="00EA067E"/>
    <w:rsid w:val="00EA24DA"/>
    <w:rsid w:val="00EA550A"/>
    <w:rsid w:val="00EB307E"/>
    <w:rsid w:val="00EC1BF2"/>
    <w:rsid w:val="00EC26BD"/>
    <w:rsid w:val="00EC2DC0"/>
    <w:rsid w:val="00EC300B"/>
    <w:rsid w:val="00EC6287"/>
    <w:rsid w:val="00ED0B40"/>
    <w:rsid w:val="00ED2A3E"/>
    <w:rsid w:val="00ED4A6E"/>
    <w:rsid w:val="00EE6FFF"/>
    <w:rsid w:val="00EF2A64"/>
    <w:rsid w:val="00EF5F8D"/>
    <w:rsid w:val="00F02902"/>
    <w:rsid w:val="00F12643"/>
    <w:rsid w:val="00F13503"/>
    <w:rsid w:val="00F16228"/>
    <w:rsid w:val="00F23473"/>
    <w:rsid w:val="00F348ED"/>
    <w:rsid w:val="00F37B23"/>
    <w:rsid w:val="00F40AB8"/>
    <w:rsid w:val="00F424F8"/>
    <w:rsid w:val="00F46C53"/>
    <w:rsid w:val="00F522EF"/>
    <w:rsid w:val="00F6139C"/>
    <w:rsid w:val="00F71C61"/>
    <w:rsid w:val="00F9573C"/>
    <w:rsid w:val="00F97EF6"/>
    <w:rsid w:val="00FB2982"/>
    <w:rsid w:val="00FB4C00"/>
    <w:rsid w:val="00FB727A"/>
    <w:rsid w:val="00FC3797"/>
    <w:rsid w:val="00FD2B79"/>
    <w:rsid w:val="00FD5B4F"/>
    <w:rsid w:val="00FD6BF4"/>
    <w:rsid w:val="00FE0436"/>
    <w:rsid w:val="00FE1D2A"/>
    <w:rsid w:val="00FE4B05"/>
    <w:rsid w:val="00FF3AA3"/>
    <w:rsid w:val="00FF56C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A7C22"/>
  <w15:docId w15:val="{30DAEF8C-DED8-400B-A913-CDD0A399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6F95"/>
    <w:pPr>
      <w:spacing w:line="240" w:lineRule="auto"/>
    </w:pPr>
    <w:rPr>
      <w:rFonts w:ascii="Arial" w:hAnsi="Arial"/>
      <w:sz w:val="24"/>
    </w:rPr>
  </w:style>
  <w:style w:type="paragraph" w:styleId="Heading1">
    <w:name w:val="heading 1"/>
    <w:basedOn w:val="Normal"/>
    <w:next w:val="Normal"/>
    <w:link w:val="Heading1Char"/>
    <w:uiPriority w:val="9"/>
    <w:qFormat/>
    <w:rsid w:val="003847F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5D1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finition">
    <w:name w:val="Definition"/>
    <w:aliases w:val="dd"/>
    <w:basedOn w:val="Normal"/>
    <w:rsid w:val="00840BCB"/>
    <w:pPr>
      <w:spacing w:before="180" w:after="0"/>
      <w:ind w:left="1134"/>
    </w:pPr>
    <w:rPr>
      <w:rFonts w:ascii="Times New Roman" w:eastAsia="Times New Roman" w:hAnsi="Times New Roman" w:cs="Times New Roman"/>
      <w:sz w:val="22"/>
      <w:szCs w:val="20"/>
      <w:lang w:eastAsia="en-AU"/>
    </w:rPr>
  </w:style>
  <w:style w:type="paragraph" w:customStyle="1" w:styleId="notedraft">
    <w:name w:val="note(draft)"/>
    <w:aliases w:val="nd"/>
    <w:basedOn w:val="Normal"/>
    <w:rsid w:val="00840BCB"/>
    <w:pPr>
      <w:spacing w:before="240" w:after="0"/>
      <w:ind w:left="284" w:hanging="284"/>
    </w:pPr>
    <w:rPr>
      <w:rFonts w:ascii="Times New Roman" w:eastAsia="Times New Roman" w:hAnsi="Times New Roman" w:cs="Times New Roman"/>
      <w:i/>
      <w:szCs w:val="20"/>
      <w:lang w:eastAsia="en-AU"/>
    </w:rPr>
  </w:style>
  <w:style w:type="paragraph" w:customStyle="1" w:styleId="paragraphsub">
    <w:name w:val="paragraph(sub)"/>
    <w:aliases w:val="aa"/>
    <w:basedOn w:val="Normal"/>
    <w:rsid w:val="00840BCB"/>
    <w:pPr>
      <w:tabs>
        <w:tab w:val="right" w:pos="1985"/>
      </w:tabs>
      <w:spacing w:before="40" w:after="0"/>
      <w:ind w:left="2098" w:hanging="2098"/>
    </w:pPr>
    <w:rPr>
      <w:rFonts w:ascii="Times New Roman" w:eastAsia="Times New Roman" w:hAnsi="Times New Roman" w:cs="Times New Roman"/>
      <w:sz w:val="22"/>
      <w:szCs w:val="20"/>
      <w:lang w:eastAsia="en-AU"/>
    </w:rPr>
  </w:style>
  <w:style w:type="paragraph" w:customStyle="1" w:styleId="paragraph">
    <w:name w:val="paragraph"/>
    <w:aliases w:val="a"/>
    <w:basedOn w:val="Normal"/>
    <w:rsid w:val="00840BCB"/>
    <w:pPr>
      <w:tabs>
        <w:tab w:val="right" w:pos="1531"/>
      </w:tabs>
      <w:spacing w:before="40" w:after="0"/>
      <w:ind w:left="1644" w:hanging="1644"/>
    </w:pPr>
    <w:rPr>
      <w:rFonts w:ascii="Times New Roman" w:eastAsia="Times New Roman" w:hAnsi="Times New Roman" w:cs="Times New Roman"/>
      <w:sz w:val="22"/>
      <w:szCs w:val="20"/>
      <w:lang w:eastAsia="en-AU"/>
    </w:rPr>
  </w:style>
  <w:style w:type="paragraph" w:customStyle="1" w:styleId="subsection2">
    <w:name w:val="subsection2"/>
    <w:aliases w:val="ss2"/>
    <w:basedOn w:val="Normal"/>
    <w:next w:val="Normal"/>
    <w:rsid w:val="00840BCB"/>
    <w:pPr>
      <w:spacing w:before="40" w:after="0"/>
      <w:ind w:left="1134"/>
    </w:pPr>
    <w:rPr>
      <w:rFonts w:ascii="Times New Roman" w:eastAsia="Times New Roman" w:hAnsi="Times New Roman" w:cs="Times New Roman"/>
      <w:sz w:val="22"/>
      <w:szCs w:val="20"/>
      <w:lang w:eastAsia="en-AU"/>
    </w:rPr>
  </w:style>
  <w:style w:type="paragraph" w:customStyle="1" w:styleId="notetext">
    <w:name w:val="note(text)"/>
    <w:aliases w:val="n"/>
    <w:basedOn w:val="Normal"/>
    <w:link w:val="notetextChar"/>
    <w:rsid w:val="00840BCB"/>
    <w:pPr>
      <w:spacing w:before="122" w:after="0"/>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link w:val="notetext"/>
    <w:rsid w:val="00840BCB"/>
    <w:rPr>
      <w:rFonts w:ascii="Times New Roman" w:eastAsia="Times New Roman" w:hAnsi="Times New Roman" w:cs="Times New Roman"/>
      <w:sz w:val="18"/>
      <w:szCs w:val="20"/>
      <w:lang w:eastAsia="en-AU"/>
    </w:rPr>
  </w:style>
  <w:style w:type="paragraph" w:styleId="ListParagraph">
    <w:name w:val="List Paragraph"/>
    <w:basedOn w:val="Normal"/>
    <w:uiPriority w:val="34"/>
    <w:qFormat/>
    <w:rsid w:val="002B2861"/>
    <w:pPr>
      <w:ind w:left="720"/>
      <w:contextualSpacing/>
    </w:pPr>
  </w:style>
  <w:style w:type="character" w:styleId="CommentReference">
    <w:name w:val="annotation reference"/>
    <w:basedOn w:val="DefaultParagraphFont"/>
    <w:uiPriority w:val="99"/>
    <w:semiHidden/>
    <w:unhideWhenUsed/>
    <w:rsid w:val="00EC26BD"/>
    <w:rPr>
      <w:sz w:val="16"/>
      <w:szCs w:val="16"/>
    </w:rPr>
  </w:style>
  <w:style w:type="paragraph" w:styleId="CommentText">
    <w:name w:val="annotation text"/>
    <w:basedOn w:val="Normal"/>
    <w:link w:val="CommentTextChar"/>
    <w:uiPriority w:val="99"/>
    <w:unhideWhenUsed/>
    <w:rsid w:val="00EC26BD"/>
    <w:rPr>
      <w:sz w:val="20"/>
      <w:szCs w:val="20"/>
    </w:rPr>
  </w:style>
  <w:style w:type="character" w:customStyle="1" w:styleId="CommentTextChar">
    <w:name w:val="Comment Text Char"/>
    <w:basedOn w:val="DefaultParagraphFont"/>
    <w:link w:val="CommentText"/>
    <w:uiPriority w:val="99"/>
    <w:rsid w:val="00EC26B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C26BD"/>
    <w:rPr>
      <w:b/>
      <w:bCs/>
    </w:rPr>
  </w:style>
  <w:style w:type="character" w:customStyle="1" w:styleId="CommentSubjectChar">
    <w:name w:val="Comment Subject Char"/>
    <w:basedOn w:val="CommentTextChar"/>
    <w:link w:val="CommentSubject"/>
    <w:uiPriority w:val="99"/>
    <w:semiHidden/>
    <w:rsid w:val="00EC26BD"/>
    <w:rPr>
      <w:rFonts w:ascii="Arial" w:hAnsi="Arial"/>
      <w:b/>
      <w:bCs/>
      <w:sz w:val="20"/>
      <w:szCs w:val="20"/>
    </w:rPr>
  </w:style>
  <w:style w:type="paragraph" w:styleId="BalloonText">
    <w:name w:val="Balloon Text"/>
    <w:basedOn w:val="Normal"/>
    <w:link w:val="BalloonTextChar"/>
    <w:uiPriority w:val="99"/>
    <w:semiHidden/>
    <w:unhideWhenUsed/>
    <w:rsid w:val="00EC26B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6BD"/>
    <w:rPr>
      <w:rFonts w:ascii="Tahoma" w:hAnsi="Tahoma" w:cs="Tahoma"/>
      <w:sz w:val="16"/>
      <w:szCs w:val="16"/>
    </w:rPr>
  </w:style>
  <w:style w:type="paragraph" w:styleId="NoSpacing">
    <w:name w:val="No Spacing"/>
    <w:uiPriority w:val="1"/>
    <w:qFormat/>
    <w:rsid w:val="007D4F83"/>
    <w:pPr>
      <w:spacing w:after="0" w:line="240" w:lineRule="auto"/>
    </w:pPr>
    <w:rPr>
      <w:rFonts w:ascii="Arial" w:hAnsi="Arial"/>
      <w:sz w:val="24"/>
    </w:rPr>
  </w:style>
  <w:style w:type="character" w:customStyle="1" w:styleId="Heading1Char">
    <w:name w:val="Heading 1 Char"/>
    <w:basedOn w:val="DefaultParagraphFont"/>
    <w:link w:val="Heading1"/>
    <w:uiPriority w:val="9"/>
    <w:rsid w:val="003847F3"/>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semiHidden/>
    <w:unhideWhenUsed/>
    <w:rsid w:val="001B5D89"/>
    <w:pPr>
      <w:spacing w:after="0"/>
    </w:pPr>
    <w:rPr>
      <w:sz w:val="20"/>
      <w:szCs w:val="20"/>
    </w:rPr>
  </w:style>
  <w:style w:type="character" w:customStyle="1" w:styleId="FootnoteTextChar">
    <w:name w:val="Footnote Text Char"/>
    <w:basedOn w:val="DefaultParagraphFont"/>
    <w:link w:val="FootnoteText"/>
    <w:uiPriority w:val="99"/>
    <w:semiHidden/>
    <w:rsid w:val="001B5D89"/>
    <w:rPr>
      <w:rFonts w:ascii="Arial" w:hAnsi="Arial"/>
      <w:sz w:val="20"/>
      <w:szCs w:val="20"/>
    </w:rPr>
  </w:style>
  <w:style w:type="character" w:styleId="FootnoteReference">
    <w:name w:val="footnote reference"/>
    <w:basedOn w:val="DefaultParagraphFont"/>
    <w:uiPriority w:val="99"/>
    <w:semiHidden/>
    <w:unhideWhenUsed/>
    <w:rsid w:val="001B5D89"/>
    <w:rPr>
      <w:vertAlign w:val="superscript"/>
    </w:rPr>
  </w:style>
  <w:style w:type="paragraph" w:customStyle="1" w:styleId="Celltext">
    <w:name w:val="Cell text"/>
    <w:basedOn w:val="Normal"/>
    <w:rsid w:val="00967846"/>
    <w:pPr>
      <w:spacing w:before="120" w:after="0"/>
    </w:pPr>
    <w:rPr>
      <w:rFonts w:ascii="Times New Roman" w:eastAsia="Times New Roman" w:hAnsi="Times New Roman" w:cs="Times New Roman"/>
      <w:szCs w:val="20"/>
      <w:lang w:eastAsia="en-AU"/>
    </w:rPr>
  </w:style>
  <w:style w:type="paragraph" w:styleId="Header">
    <w:name w:val="header"/>
    <w:basedOn w:val="Normal"/>
    <w:link w:val="HeaderChar"/>
    <w:uiPriority w:val="99"/>
    <w:unhideWhenUsed/>
    <w:rsid w:val="0016752C"/>
    <w:pPr>
      <w:tabs>
        <w:tab w:val="center" w:pos="4513"/>
        <w:tab w:val="right" w:pos="9026"/>
      </w:tabs>
      <w:spacing w:after="0"/>
    </w:pPr>
  </w:style>
  <w:style w:type="character" w:customStyle="1" w:styleId="HeaderChar">
    <w:name w:val="Header Char"/>
    <w:basedOn w:val="DefaultParagraphFont"/>
    <w:link w:val="Header"/>
    <w:uiPriority w:val="99"/>
    <w:rsid w:val="0016752C"/>
    <w:rPr>
      <w:rFonts w:ascii="Arial" w:hAnsi="Arial"/>
      <w:sz w:val="24"/>
    </w:rPr>
  </w:style>
  <w:style w:type="paragraph" w:styleId="Footer">
    <w:name w:val="footer"/>
    <w:basedOn w:val="Normal"/>
    <w:link w:val="FooterChar"/>
    <w:uiPriority w:val="99"/>
    <w:unhideWhenUsed/>
    <w:rsid w:val="0016752C"/>
    <w:pPr>
      <w:tabs>
        <w:tab w:val="center" w:pos="4513"/>
        <w:tab w:val="right" w:pos="9026"/>
      </w:tabs>
      <w:spacing w:after="0"/>
    </w:pPr>
  </w:style>
  <w:style w:type="character" w:customStyle="1" w:styleId="FooterChar">
    <w:name w:val="Footer Char"/>
    <w:basedOn w:val="DefaultParagraphFont"/>
    <w:link w:val="Footer"/>
    <w:uiPriority w:val="99"/>
    <w:rsid w:val="0016752C"/>
    <w:rPr>
      <w:rFonts w:ascii="Arial" w:hAnsi="Arial"/>
      <w:sz w:val="24"/>
    </w:rPr>
  </w:style>
  <w:style w:type="character" w:styleId="Hyperlink">
    <w:name w:val="Hyperlink"/>
    <w:basedOn w:val="DefaultParagraphFont"/>
    <w:uiPriority w:val="99"/>
    <w:unhideWhenUsed/>
    <w:rsid w:val="00295C02"/>
    <w:rPr>
      <w:color w:val="0000FF"/>
      <w:u w:val="single"/>
    </w:rPr>
  </w:style>
  <w:style w:type="character" w:styleId="UnresolvedMention">
    <w:name w:val="Unresolved Mention"/>
    <w:basedOn w:val="DefaultParagraphFont"/>
    <w:uiPriority w:val="99"/>
    <w:semiHidden/>
    <w:unhideWhenUsed/>
    <w:rsid w:val="00DF2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76857">
      <w:bodyDiv w:val="1"/>
      <w:marLeft w:val="0"/>
      <w:marRight w:val="0"/>
      <w:marTop w:val="0"/>
      <w:marBottom w:val="0"/>
      <w:divBdr>
        <w:top w:val="none" w:sz="0" w:space="0" w:color="auto"/>
        <w:left w:val="none" w:sz="0" w:space="0" w:color="auto"/>
        <w:bottom w:val="none" w:sz="0" w:space="0" w:color="auto"/>
        <w:right w:val="none" w:sz="0" w:space="0" w:color="auto"/>
      </w:divBdr>
    </w:div>
    <w:div w:id="246038036">
      <w:bodyDiv w:val="1"/>
      <w:marLeft w:val="0"/>
      <w:marRight w:val="0"/>
      <w:marTop w:val="0"/>
      <w:marBottom w:val="0"/>
      <w:divBdr>
        <w:top w:val="none" w:sz="0" w:space="0" w:color="auto"/>
        <w:left w:val="none" w:sz="0" w:space="0" w:color="auto"/>
        <w:bottom w:val="none" w:sz="0" w:space="0" w:color="auto"/>
        <w:right w:val="none" w:sz="0" w:space="0" w:color="auto"/>
      </w:divBdr>
    </w:div>
    <w:div w:id="578565915">
      <w:bodyDiv w:val="1"/>
      <w:marLeft w:val="0"/>
      <w:marRight w:val="0"/>
      <w:marTop w:val="0"/>
      <w:marBottom w:val="0"/>
      <w:divBdr>
        <w:top w:val="none" w:sz="0" w:space="0" w:color="auto"/>
        <w:left w:val="none" w:sz="0" w:space="0" w:color="auto"/>
        <w:bottom w:val="none" w:sz="0" w:space="0" w:color="auto"/>
        <w:right w:val="none" w:sz="0" w:space="0" w:color="auto"/>
      </w:divBdr>
    </w:div>
    <w:div w:id="729231034">
      <w:bodyDiv w:val="1"/>
      <w:marLeft w:val="0"/>
      <w:marRight w:val="0"/>
      <w:marTop w:val="0"/>
      <w:marBottom w:val="0"/>
      <w:divBdr>
        <w:top w:val="none" w:sz="0" w:space="0" w:color="auto"/>
        <w:left w:val="none" w:sz="0" w:space="0" w:color="auto"/>
        <w:bottom w:val="none" w:sz="0" w:space="0" w:color="auto"/>
        <w:right w:val="none" w:sz="0" w:space="0" w:color="auto"/>
      </w:divBdr>
    </w:div>
    <w:div w:id="988752940">
      <w:bodyDiv w:val="1"/>
      <w:marLeft w:val="0"/>
      <w:marRight w:val="0"/>
      <w:marTop w:val="0"/>
      <w:marBottom w:val="0"/>
      <w:divBdr>
        <w:top w:val="none" w:sz="0" w:space="0" w:color="auto"/>
        <w:left w:val="none" w:sz="0" w:space="0" w:color="auto"/>
        <w:bottom w:val="none" w:sz="0" w:space="0" w:color="auto"/>
        <w:right w:val="none" w:sz="0" w:space="0" w:color="auto"/>
      </w:divBdr>
      <w:divsChild>
        <w:div w:id="1251548707">
          <w:marLeft w:val="0"/>
          <w:marRight w:val="0"/>
          <w:marTop w:val="0"/>
          <w:marBottom w:val="0"/>
          <w:divBdr>
            <w:top w:val="none" w:sz="0" w:space="0" w:color="auto"/>
            <w:left w:val="none" w:sz="0" w:space="0" w:color="auto"/>
            <w:bottom w:val="none" w:sz="0" w:space="0" w:color="auto"/>
            <w:right w:val="none" w:sz="0" w:space="0" w:color="auto"/>
          </w:divBdr>
          <w:divsChild>
            <w:div w:id="386222264">
              <w:marLeft w:val="0"/>
              <w:marRight w:val="0"/>
              <w:marTop w:val="0"/>
              <w:marBottom w:val="0"/>
              <w:divBdr>
                <w:top w:val="none" w:sz="0" w:space="0" w:color="auto"/>
                <w:left w:val="none" w:sz="0" w:space="0" w:color="auto"/>
                <w:bottom w:val="none" w:sz="0" w:space="0" w:color="auto"/>
                <w:right w:val="none" w:sz="0" w:space="0" w:color="auto"/>
              </w:divBdr>
              <w:divsChild>
                <w:div w:id="1806965012">
                  <w:marLeft w:val="0"/>
                  <w:marRight w:val="0"/>
                  <w:marTop w:val="0"/>
                  <w:marBottom w:val="0"/>
                  <w:divBdr>
                    <w:top w:val="none" w:sz="0" w:space="0" w:color="auto"/>
                    <w:left w:val="none" w:sz="0" w:space="0" w:color="auto"/>
                    <w:bottom w:val="none" w:sz="0" w:space="0" w:color="auto"/>
                    <w:right w:val="none" w:sz="0" w:space="0" w:color="auto"/>
                  </w:divBdr>
                  <w:divsChild>
                    <w:div w:id="749741345">
                      <w:marLeft w:val="0"/>
                      <w:marRight w:val="0"/>
                      <w:marTop w:val="0"/>
                      <w:marBottom w:val="0"/>
                      <w:divBdr>
                        <w:top w:val="none" w:sz="0" w:space="0" w:color="auto"/>
                        <w:left w:val="none" w:sz="0" w:space="0" w:color="auto"/>
                        <w:bottom w:val="none" w:sz="0" w:space="0" w:color="auto"/>
                        <w:right w:val="none" w:sz="0" w:space="0" w:color="auto"/>
                      </w:divBdr>
                      <w:divsChild>
                        <w:div w:id="1950775562">
                          <w:marLeft w:val="0"/>
                          <w:marRight w:val="0"/>
                          <w:marTop w:val="0"/>
                          <w:marBottom w:val="0"/>
                          <w:divBdr>
                            <w:top w:val="none" w:sz="0" w:space="0" w:color="auto"/>
                            <w:left w:val="none" w:sz="0" w:space="0" w:color="auto"/>
                            <w:bottom w:val="none" w:sz="0" w:space="0" w:color="auto"/>
                            <w:right w:val="none" w:sz="0" w:space="0" w:color="auto"/>
                          </w:divBdr>
                          <w:divsChild>
                            <w:div w:id="958758580">
                              <w:marLeft w:val="0"/>
                              <w:marRight w:val="0"/>
                              <w:marTop w:val="0"/>
                              <w:marBottom w:val="0"/>
                              <w:divBdr>
                                <w:top w:val="none" w:sz="0" w:space="0" w:color="auto"/>
                                <w:left w:val="none" w:sz="0" w:space="0" w:color="auto"/>
                                <w:bottom w:val="none" w:sz="0" w:space="0" w:color="auto"/>
                                <w:right w:val="none" w:sz="0" w:space="0" w:color="auto"/>
                              </w:divBdr>
                              <w:divsChild>
                                <w:div w:id="520053164">
                                  <w:marLeft w:val="0"/>
                                  <w:marRight w:val="0"/>
                                  <w:marTop w:val="0"/>
                                  <w:marBottom w:val="0"/>
                                  <w:divBdr>
                                    <w:top w:val="none" w:sz="0" w:space="0" w:color="auto"/>
                                    <w:left w:val="none" w:sz="0" w:space="0" w:color="auto"/>
                                    <w:bottom w:val="none" w:sz="0" w:space="0" w:color="auto"/>
                                    <w:right w:val="none" w:sz="0" w:space="0" w:color="auto"/>
                                  </w:divBdr>
                                  <w:divsChild>
                                    <w:div w:id="1487043080">
                                      <w:marLeft w:val="0"/>
                                      <w:marRight w:val="0"/>
                                      <w:marTop w:val="0"/>
                                      <w:marBottom w:val="0"/>
                                      <w:divBdr>
                                        <w:top w:val="none" w:sz="0" w:space="0" w:color="auto"/>
                                        <w:left w:val="none" w:sz="0" w:space="0" w:color="auto"/>
                                        <w:bottom w:val="none" w:sz="0" w:space="0" w:color="auto"/>
                                        <w:right w:val="none" w:sz="0" w:space="0" w:color="auto"/>
                                      </w:divBdr>
                                      <w:divsChild>
                                        <w:div w:id="1434324782">
                                          <w:marLeft w:val="0"/>
                                          <w:marRight w:val="0"/>
                                          <w:marTop w:val="0"/>
                                          <w:marBottom w:val="0"/>
                                          <w:divBdr>
                                            <w:top w:val="none" w:sz="0" w:space="0" w:color="auto"/>
                                            <w:left w:val="none" w:sz="0" w:space="0" w:color="auto"/>
                                            <w:bottom w:val="none" w:sz="0" w:space="0" w:color="auto"/>
                                            <w:right w:val="none" w:sz="0" w:space="0" w:color="auto"/>
                                          </w:divBdr>
                                          <w:divsChild>
                                            <w:div w:id="815099987">
                                              <w:marLeft w:val="0"/>
                                              <w:marRight w:val="0"/>
                                              <w:marTop w:val="0"/>
                                              <w:marBottom w:val="0"/>
                                              <w:divBdr>
                                                <w:top w:val="none" w:sz="0" w:space="0" w:color="auto"/>
                                                <w:left w:val="none" w:sz="0" w:space="0" w:color="auto"/>
                                                <w:bottom w:val="none" w:sz="0" w:space="0" w:color="auto"/>
                                                <w:right w:val="none" w:sz="0" w:space="0" w:color="auto"/>
                                              </w:divBdr>
                                              <w:divsChild>
                                                <w:div w:id="1790320720">
                                                  <w:marLeft w:val="0"/>
                                                  <w:marRight w:val="0"/>
                                                  <w:marTop w:val="0"/>
                                                  <w:marBottom w:val="0"/>
                                                  <w:divBdr>
                                                    <w:top w:val="none" w:sz="0" w:space="0" w:color="auto"/>
                                                    <w:left w:val="none" w:sz="0" w:space="0" w:color="auto"/>
                                                    <w:bottom w:val="none" w:sz="0" w:space="0" w:color="auto"/>
                                                    <w:right w:val="none" w:sz="0" w:space="0" w:color="auto"/>
                                                  </w:divBdr>
                                                  <w:divsChild>
                                                    <w:div w:id="1650788699">
                                                      <w:marLeft w:val="0"/>
                                                      <w:marRight w:val="0"/>
                                                      <w:marTop w:val="0"/>
                                                      <w:marBottom w:val="0"/>
                                                      <w:divBdr>
                                                        <w:top w:val="none" w:sz="0" w:space="0" w:color="auto"/>
                                                        <w:left w:val="none" w:sz="0" w:space="0" w:color="auto"/>
                                                        <w:bottom w:val="none" w:sz="0" w:space="0" w:color="auto"/>
                                                        <w:right w:val="none" w:sz="0" w:space="0" w:color="auto"/>
                                                      </w:divBdr>
                                                      <w:divsChild>
                                                        <w:div w:id="87111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9449617">
      <w:bodyDiv w:val="1"/>
      <w:marLeft w:val="0"/>
      <w:marRight w:val="0"/>
      <w:marTop w:val="0"/>
      <w:marBottom w:val="0"/>
      <w:divBdr>
        <w:top w:val="none" w:sz="0" w:space="0" w:color="auto"/>
        <w:left w:val="none" w:sz="0" w:space="0" w:color="auto"/>
        <w:bottom w:val="none" w:sz="0" w:space="0" w:color="auto"/>
        <w:right w:val="none" w:sz="0" w:space="0" w:color="auto"/>
      </w:divBdr>
      <w:divsChild>
        <w:div w:id="1372683080">
          <w:marLeft w:val="0"/>
          <w:marRight w:val="0"/>
          <w:marTop w:val="0"/>
          <w:marBottom w:val="0"/>
          <w:divBdr>
            <w:top w:val="none" w:sz="0" w:space="0" w:color="auto"/>
            <w:left w:val="none" w:sz="0" w:space="0" w:color="auto"/>
            <w:bottom w:val="none" w:sz="0" w:space="0" w:color="auto"/>
            <w:right w:val="none" w:sz="0" w:space="0" w:color="auto"/>
          </w:divBdr>
        </w:div>
      </w:divsChild>
    </w:div>
    <w:div w:id="1188715519">
      <w:bodyDiv w:val="1"/>
      <w:marLeft w:val="0"/>
      <w:marRight w:val="0"/>
      <w:marTop w:val="0"/>
      <w:marBottom w:val="0"/>
      <w:divBdr>
        <w:top w:val="none" w:sz="0" w:space="0" w:color="auto"/>
        <w:left w:val="none" w:sz="0" w:space="0" w:color="auto"/>
        <w:bottom w:val="none" w:sz="0" w:space="0" w:color="auto"/>
        <w:right w:val="none" w:sz="0" w:space="0" w:color="auto"/>
      </w:divBdr>
    </w:div>
    <w:div w:id="1313096392">
      <w:bodyDiv w:val="1"/>
      <w:marLeft w:val="0"/>
      <w:marRight w:val="0"/>
      <w:marTop w:val="0"/>
      <w:marBottom w:val="0"/>
      <w:divBdr>
        <w:top w:val="none" w:sz="0" w:space="0" w:color="auto"/>
        <w:left w:val="none" w:sz="0" w:space="0" w:color="auto"/>
        <w:bottom w:val="none" w:sz="0" w:space="0" w:color="auto"/>
        <w:right w:val="none" w:sz="0" w:space="0" w:color="auto"/>
      </w:divBdr>
    </w:div>
    <w:div w:id="1322928068">
      <w:bodyDiv w:val="1"/>
      <w:marLeft w:val="0"/>
      <w:marRight w:val="0"/>
      <w:marTop w:val="0"/>
      <w:marBottom w:val="0"/>
      <w:divBdr>
        <w:top w:val="none" w:sz="0" w:space="0" w:color="auto"/>
        <w:left w:val="none" w:sz="0" w:space="0" w:color="auto"/>
        <w:bottom w:val="none" w:sz="0" w:space="0" w:color="auto"/>
        <w:right w:val="none" w:sz="0" w:space="0" w:color="auto"/>
      </w:divBdr>
      <w:divsChild>
        <w:div w:id="713315519">
          <w:marLeft w:val="0"/>
          <w:marRight w:val="0"/>
          <w:marTop w:val="0"/>
          <w:marBottom w:val="0"/>
          <w:divBdr>
            <w:top w:val="none" w:sz="0" w:space="0" w:color="auto"/>
            <w:left w:val="none" w:sz="0" w:space="0" w:color="auto"/>
            <w:bottom w:val="none" w:sz="0" w:space="0" w:color="auto"/>
            <w:right w:val="none" w:sz="0" w:space="0" w:color="auto"/>
          </w:divBdr>
          <w:divsChild>
            <w:div w:id="2077431771">
              <w:marLeft w:val="0"/>
              <w:marRight w:val="0"/>
              <w:marTop w:val="0"/>
              <w:marBottom w:val="0"/>
              <w:divBdr>
                <w:top w:val="none" w:sz="0" w:space="0" w:color="auto"/>
                <w:left w:val="none" w:sz="0" w:space="0" w:color="auto"/>
                <w:bottom w:val="none" w:sz="0" w:space="0" w:color="auto"/>
                <w:right w:val="none" w:sz="0" w:space="0" w:color="auto"/>
              </w:divBdr>
              <w:divsChild>
                <w:div w:id="7605502">
                  <w:marLeft w:val="0"/>
                  <w:marRight w:val="0"/>
                  <w:marTop w:val="0"/>
                  <w:marBottom w:val="0"/>
                  <w:divBdr>
                    <w:top w:val="none" w:sz="0" w:space="0" w:color="auto"/>
                    <w:left w:val="none" w:sz="0" w:space="0" w:color="auto"/>
                    <w:bottom w:val="none" w:sz="0" w:space="0" w:color="auto"/>
                    <w:right w:val="none" w:sz="0" w:space="0" w:color="auto"/>
                  </w:divBdr>
                  <w:divsChild>
                    <w:div w:id="1724524076">
                      <w:marLeft w:val="0"/>
                      <w:marRight w:val="0"/>
                      <w:marTop w:val="0"/>
                      <w:marBottom w:val="0"/>
                      <w:divBdr>
                        <w:top w:val="none" w:sz="0" w:space="0" w:color="auto"/>
                        <w:left w:val="none" w:sz="0" w:space="0" w:color="auto"/>
                        <w:bottom w:val="none" w:sz="0" w:space="0" w:color="auto"/>
                        <w:right w:val="none" w:sz="0" w:space="0" w:color="auto"/>
                      </w:divBdr>
                      <w:divsChild>
                        <w:div w:id="354815783">
                          <w:marLeft w:val="0"/>
                          <w:marRight w:val="0"/>
                          <w:marTop w:val="0"/>
                          <w:marBottom w:val="0"/>
                          <w:divBdr>
                            <w:top w:val="none" w:sz="0" w:space="0" w:color="auto"/>
                            <w:left w:val="none" w:sz="0" w:space="0" w:color="auto"/>
                            <w:bottom w:val="none" w:sz="0" w:space="0" w:color="auto"/>
                            <w:right w:val="none" w:sz="0" w:space="0" w:color="auto"/>
                          </w:divBdr>
                          <w:divsChild>
                            <w:div w:id="63919431">
                              <w:marLeft w:val="0"/>
                              <w:marRight w:val="0"/>
                              <w:marTop w:val="0"/>
                              <w:marBottom w:val="0"/>
                              <w:divBdr>
                                <w:top w:val="none" w:sz="0" w:space="0" w:color="auto"/>
                                <w:left w:val="none" w:sz="0" w:space="0" w:color="auto"/>
                                <w:bottom w:val="none" w:sz="0" w:space="0" w:color="auto"/>
                                <w:right w:val="none" w:sz="0" w:space="0" w:color="auto"/>
                              </w:divBdr>
                              <w:divsChild>
                                <w:div w:id="557207658">
                                  <w:marLeft w:val="0"/>
                                  <w:marRight w:val="0"/>
                                  <w:marTop w:val="0"/>
                                  <w:marBottom w:val="0"/>
                                  <w:divBdr>
                                    <w:top w:val="none" w:sz="0" w:space="0" w:color="auto"/>
                                    <w:left w:val="none" w:sz="0" w:space="0" w:color="auto"/>
                                    <w:bottom w:val="none" w:sz="0" w:space="0" w:color="auto"/>
                                    <w:right w:val="none" w:sz="0" w:space="0" w:color="auto"/>
                                  </w:divBdr>
                                  <w:divsChild>
                                    <w:div w:id="1333296635">
                                      <w:marLeft w:val="0"/>
                                      <w:marRight w:val="0"/>
                                      <w:marTop w:val="0"/>
                                      <w:marBottom w:val="0"/>
                                      <w:divBdr>
                                        <w:top w:val="none" w:sz="0" w:space="0" w:color="auto"/>
                                        <w:left w:val="none" w:sz="0" w:space="0" w:color="auto"/>
                                        <w:bottom w:val="none" w:sz="0" w:space="0" w:color="auto"/>
                                        <w:right w:val="none" w:sz="0" w:space="0" w:color="auto"/>
                                      </w:divBdr>
                                      <w:divsChild>
                                        <w:div w:id="1994138148">
                                          <w:marLeft w:val="0"/>
                                          <w:marRight w:val="0"/>
                                          <w:marTop w:val="0"/>
                                          <w:marBottom w:val="0"/>
                                          <w:divBdr>
                                            <w:top w:val="none" w:sz="0" w:space="0" w:color="auto"/>
                                            <w:left w:val="none" w:sz="0" w:space="0" w:color="auto"/>
                                            <w:bottom w:val="none" w:sz="0" w:space="0" w:color="auto"/>
                                            <w:right w:val="none" w:sz="0" w:space="0" w:color="auto"/>
                                          </w:divBdr>
                                          <w:divsChild>
                                            <w:div w:id="1812095486">
                                              <w:marLeft w:val="0"/>
                                              <w:marRight w:val="0"/>
                                              <w:marTop w:val="0"/>
                                              <w:marBottom w:val="0"/>
                                              <w:divBdr>
                                                <w:top w:val="none" w:sz="0" w:space="0" w:color="auto"/>
                                                <w:left w:val="none" w:sz="0" w:space="0" w:color="auto"/>
                                                <w:bottom w:val="none" w:sz="0" w:space="0" w:color="auto"/>
                                                <w:right w:val="none" w:sz="0" w:space="0" w:color="auto"/>
                                              </w:divBdr>
                                              <w:divsChild>
                                                <w:div w:id="1250625216">
                                                  <w:marLeft w:val="0"/>
                                                  <w:marRight w:val="0"/>
                                                  <w:marTop w:val="0"/>
                                                  <w:marBottom w:val="0"/>
                                                  <w:divBdr>
                                                    <w:top w:val="none" w:sz="0" w:space="0" w:color="auto"/>
                                                    <w:left w:val="none" w:sz="0" w:space="0" w:color="auto"/>
                                                    <w:bottom w:val="none" w:sz="0" w:space="0" w:color="auto"/>
                                                    <w:right w:val="none" w:sz="0" w:space="0" w:color="auto"/>
                                                  </w:divBdr>
                                                  <w:divsChild>
                                                    <w:div w:id="1484199596">
                                                      <w:marLeft w:val="0"/>
                                                      <w:marRight w:val="0"/>
                                                      <w:marTop w:val="0"/>
                                                      <w:marBottom w:val="0"/>
                                                      <w:divBdr>
                                                        <w:top w:val="none" w:sz="0" w:space="0" w:color="auto"/>
                                                        <w:left w:val="none" w:sz="0" w:space="0" w:color="auto"/>
                                                        <w:bottom w:val="none" w:sz="0" w:space="0" w:color="auto"/>
                                                        <w:right w:val="none" w:sz="0" w:space="0" w:color="auto"/>
                                                      </w:divBdr>
                                                      <w:divsChild>
                                                        <w:div w:id="29858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1451825">
      <w:bodyDiv w:val="1"/>
      <w:marLeft w:val="0"/>
      <w:marRight w:val="0"/>
      <w:marTop w:val="0"/>
      <w:marBottom w:val="0"/>
      <w:divBdr>
        <w:top w:val="none" w:sz="0" w:space="0" w:color="auto"/>
        <w:left w:val="none" w:sz="0" w:space="0" w:color="auto"/>
        <w:bottom w:val="none" w:sz="0" w:space="0" w:color="auto"/>
        <w:right w:val="none" w:sz="0" w:space="0" w:color="auto"/>
      </w:divBdr>
    </w:div>
    <w:div w:id="209531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8446385-4215-46D2-AA43-081ACFA3BA2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19D3891D1F9B34DADB3CA646A91E121" ma:contentTypeVersion="" ma:contentTypeDescription="PDMS Document Site Content Type" ma:contentTypeScope="" ma:versionID="79953830fa434ed37488ea02226d5c5f">
  <xsd:schema xmlns:xsd="http://www.w3.org/2001/XMLSchema" xmlns:xs="http://www.w3.org/2001/XMLSchema" xmlns:p="http://schemas.microsoft.com/office/2006/metadata/properties" xmlns:ns2="38446385-4215-46D2-AA43-081ACFA3BA23" targetNamespace="http://schemas.microsoft.com/office/2006/metadata/properties" ma:root="true" ma:fieldsID="6dc26ab3de2de671841c6d653a8bdd93" ns2:_="">
    <xsd:import namespace="38446385-4215-46D2-AA43-081ACFA3BA2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46385-4215-46D2-AA43-081ACFA3BA2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98610-6504-4B07-88CE-ED3462E21CCE}">
  <ds:schemaRefs>
    <ds:schemaRef ds:uri="http://schemas.microsoft.com/office/2006/metadata/properties"/>
    <ds:schemaRef ds:uri="38446385-4215-46D2-AA43-081ACFA3BA23"/>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purl.org/dc/terms/"/>
    <ds:schemaRef ds:uri="http://purl.org/dc/elements/1.1/"/>
    <ds:schemaRef ds:uri="http://www.w3.org/XML/1998/namespace"/>
  </ds:schemaRefs>
</ds:datastoreItem>
</file>

<file path=customXml/itemProps2.xml><?xml version="1.0" encoding="utf-8"?>
<ds:datastoreItem xmlns:ds="http://schemas.openxmlformats.org/officeDocument/2006/customXml" ds:itemID="{A81C6A91-8C57-4F73-9D88-7E5A8BEF0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46385-4215-46D2-AA43-081ACFA3B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3848F2-8F96-4394-95CD-A0C009AFF1DC}">
  <ds:schemaRefs>
    <ds:schemaRef ds:uri="http://schemas.microsoft.com/sharepoint/v3/contenttype/forms"/>
  </ds:schemaRefs>
</ds:datastoreItem>
</file>

<file path=customXml/itemProps4.xml><?xml version="1.0" encoding="utf-8"?>
<ds:datastoreItem xmlns:ds="http://schemas.openxmlformats.org/officeDocument/2006/customXml" ds:itemID="{79D1DE45-40E4-4E22-B717-471034255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3173</Words>
  <Characters>18091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Bigham, Emma</dc:creator>
  <cp:lastModifiedBy>Zhang, Karen</cp:lastModifiedBy>
  <cp:revision>2</cp:revision>
  <dcterms:created xsi:type="dcterms:W3CDTF">2023-06-29T06:50:00Z</dcterms:created>
  <dcterms:modified xsi:type="dcterms:W3CDTF">2023-06-29T06:50:00Z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0x010100266966F133664895A6EE3632470D45F500A19D3891D1F9B34DADB3CA646A91E121</vt:lpwstr>
  </property>
</Properties>
</file>