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E92B" w14:textId="66924344" w:rsidR="00D9450D" w:rsidRDefault="00D9450D" w:rsidP="00D80C04">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S</w:t>
      </w:r>
      <w:r w:rsidR="009C07A4">
        <w:rPr>
          <w:rFonts w:ascii="Times New Roman" w:eastAsia="Times New Roman" w:hAnsi="Times New Roman" w:cs="Times New Roman"/>
          <w:b/>
          <w:bCs/>
          <w:sz w:val="24"/>
          <w:u w:val="single"/>
          <w:lang w:eastAsia="en-AU"/>
        </w:rPr>
        <w:t>EAFARERS REHABILITATION AND COMPENSATION DIRECTIONS 2023</w:t>
      </w:r>
    </w:p>
    <w:p w14:paraId="142B7C72" w14:textId="77777777" w:rsidR="00D80C04" w:rsidRPr="007C5F93" w:rsidRDefault="00D80C04" w:rsidP="00D80C04">
      <w:pPr>
        <w:spacing w:after="120" w:line="360" w:lineRule="auto"/>
        <w:ind w:left="709" w:hanging="709"/>
        <w:jc w:val="center"/>
        <w:rPr>
          <w:rFonts w:ascii="Times New Roman" w:eastAsia="Times New Roman" w:hAnsi="Times New Roman" w:cs="Times New Roman"/>
          <w:b/>
          <w:bCs/>
          <w:sz w:val="24"/>
          <w:u w:val="single"/>
          <w:lang w:eastAsia="en-AU"/>
        </w:rPr>
      </w:pPr>
    </w:p>
    <w:p w14:paraId="21711780"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0A9F4D2A"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470F7A70" w14:textId="51FB705F"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w:t>
      </w:r>
      <w:r w:rsidR="009C07A4">
        <w:rPr>
          <w:rFonts w:ascii="Times New Roman" w:eastAsia="Times New Roman" w:hAnsi="Times New Roman" w:cs="Times New Roman"/>
          <w:bCs/>
          <w:lang w:eastAsia="en-AU"/>
        </w:rPr>
        <w:t>Employment and Workplace Relations</w:t>
      </w:r>
      <w:r w:rsidRPr="007C5F93">
        <w:rPr>
          <w:rFonts w:ascii="Times New Roman" w:eastAsia="Times New Roman" w:hAnsi="Times New Roman" w:cs="Times New Roman"/>
          <w:bCs/>
          <w:lang w:eastAsia="en-AU"/>
        </w:rPr>
        <w:t xml:space="preserve"> </w:t>
      </w:r>
    </w:p>
    <w:p w14:paraId="355E6848" w14:textId="40809011" w:rsidR="00D9450D" w:rsidRPr="007C5F93" w:rsidRDefault="00D9450D" w:rsidP="00A35C2F">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section </w:t>
      </w:r>
      <w:r w:rsidR="009C07A4">
        <w:rPr>
          <w:rFonts w:ascii="Times New Roman" w:hAnsi="Times New Roman" w:cs="Times New Roman"/>
        </w:rPr>
        <w:t>10</w:t>
      </w:r>
      <w:r w:rsidR="00775680">
        <w:rPr>
          <w:rFonts w:ascii="Times New Roman" w:hAnsi="Times New Roman" w:cs="Times New Roman"/>
        </w:rPr>
        <w:t>7</w:t>
      </w:r>
      <w:r w:rsidRPr="007C5F93">
        <w:rPr>
          <w:rFonts w:ascii="Times New Roman" w:hAnsi="Times New Roman" w:cs="Times New Roman"/>
        </w:rPr>
        <w:t xml:space="preserve"> of the </w:t>
      </w:r>
      <w:r w:rsidRPr="007C5F93">
        <w:rPr>
          <w:rFonts w:ascii="Times New Roman" w:hAnsi="Times New Roman" w:cs="Times New Roman"/>
          <w:i/>
        </w:rPr>
        <w:t>S</w:t>
      </w:r>
      <w:r w:rsidR="00775680">
        <w:rPr>
          <w:rFonts w:ascii="Times New Roman" w:hAnsi="Times New Roman" w:cs="Times New Roman"/>
          <w:i/>
        </w:rPr>
        <w:t xml:space="preserve">eafarers Rehabilitation and Compensation Act 1992 </w:t>
      </w:r>
    </w:p>
    <w:p w14:paraId="1BAFA14A" w14:textId="77777777" w:rsidR="00A35C2F" w:rsidRPr="007C5F93" w:rsidRDefault="00A35C2F" w:rsidP="00A35C2F">
      <w:pPr>
        <w:spacing w:after="120" w:line="360" w:lineRule="auto"/>
        <w:ind w:left="709" w:hanging="709"/>
        <w:jc w:val="center"/>
        <w:rPr>
          <w:rFonts w:ascii="Times New Roman" w:eastAsia="Times New Roman" w:hAnsi="Times New Roman" w:cs="Times New Roman"/>
          <w:bCs/>
          <w:lang w:eastAsia="en-AU"/>
        </w:rPr>
      </w:pPr>
    </w:p>
    <w:p w14:paraId="01D36482"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006F80B2" w14:textId="3C395A95" w:rsidR="00B409E3" w:rsidRDefault="004075A9" w:rsidP="004075A9">
      <w:pPr>
        <w:rPr>
          <w:rFonts w:ascii="Times New Roman" w:hAnsi="Times New Roman"/>
        </w:rPr>
      </w:pPr>
      <w:r w:rsidRPr="007A5493">
        <w:rPr>
          <w:rFonts w:ascii="Times New Roman" w:hAnsi="Times New Roman"/>
        </w:rPr>
        <w:t xml:space="preserve">The </w:t>
      </w:r>
      <w:r w:rsidRPr="007A5493">
        <w:rPr>
          <w:rFonts w:ascii="Times New Roman" w:hAnsi="Times New Roman"/>
          <w:i/>
        </w:rPr>
        <w:t xml:space="preserve">Seafarers </w:t>
      </w:r>
      <w:r w:rsidRPr="007A5493">
        <w:rPr>
          <w:rFonts w:ascii="Times New Roman" w:hAnsi="Times New Roman"/>
          <w:i/>
          <w:iCs/>
        </w:rPr>
        <w:t xml:space="preserve">Rehabilitation and Compensation Act 1992 </w:t>
      </w:r>
      <w:r w:rsidRPr="007A5493">
        <w:rPr>
          <w:rFonts w:ascii="Times New Roman" w:hAnsi="Times New Roman"/>
        </w:rPr>
        <w:t xml:space="preserve">(the </w:t>
      </w:r>
      <w:r w:rsidR="000424AF">
        <w:rPr>
          <w:rFonts w:ascii="Times New Roman" w:hAnsi="Times New Roman"/>
        </w:rPr>
        <w:t xml:space="preserve">Seafarers </w:t>
      </w:r>
      <w:r w:rsidRPr="007A5493">
        <w:rPr>
          <w:rFonts w:ascii="Times New Roman" w:hAnsi="Times New Roman"/>
        </w:rPr>
        <w:t xml:space="preserve">Act) provides workers’ compensation and rehabilitation arrangements for seafarers in </w:t>
      </w:r>
      <w:r w:rsidR="007D4873">
        <w:rPr>
          <w:rFonts w:ascii="Times New Roman" w:hAnsi="Times New Roman"/>
        </w:rPr>
        <w:t xml:space="preserve">a defined part </w:t>
      </w:r>
      <w:r w:rsidR="00B409E3">
        <w:rPr>
          <w:rFonts w:ascii="Times New Roman" w:hAnsi="Times New Roman"/>
        </w:rPr>
        <w:t xml:space="preserve">of </w:t>
      </w:r>
      <w:r w:rsidRPr="007A5493">
        <w:rPr>
          <w:rFonts w:ascii="Times New Roman" w:hAnsi="Times New Roman"/>
        </w:rPr>
        <w:t xml:space="preserve">the Australian maritime industry. </w:t>
      </w:r>
    </w:p>
    <w:p w14:paraId="7752D1C7" w14:textId="2CE88E7B" w:rsidR="00B409E3" w:rsidRDefault="00F779A0" w:rsidP="004075A9">
      <w:pPr>
        <w:rPr>
          <w:rFonts w:ascii="Times New Roman" w:hAnsi="Times New Roman"/>
        </w:rPr>
      </w:pPr>
      <w:r>
        <w:rPr>
          <w:rFonts w:ascii="Times New Roman" w:hAnsi="Times New Roman"/>
        </w:rPr>
        <w:t xml:space="preserve">The Seafarers Safety, Rehabilitation and Compensation </w:t>
      </w:r>
      <w:r w:rsidR="00B347AD">
        <w:rPr>
          <w:rFonts w:ascii="Times New Roman" w:hAnsi="Times New Roman"/>
        </w:rPr>
        <w:t xml:space="preserve">Authority (the </w:t>
      </w:r>
      <w:proofErr w:type="spellStart"/>
      <w:r w:rsidR="00B347AD">
        <w:rPr>
          <w:rFonts w:ascii="Times New Roman" w:hAnsi="Times New Roman"/>
        </w:rPr>
        <w:t>Seacare</w:t>
      </w:r>
      <w:proofErr w:type="spellEnd"/>
      <w:r w:rsidR="00B347AD">
        <w:rPr>
          <w:rFonts w:ascii="Times New Roman" w:hAnsi="Times New Roman"/>
        </w:rPr>
        <w:t xml:space="preserve"> Authority) is established by </w:t>
      </w:r>
      <w:r w:rsidR="00DC6FFB">
        <w:rPr>
          <w:rFonts w:ascii="Times New Roman" w:hAnsi="Times New Roman"/>
        </w:rPr>
        <w:t xml:space="preserve">section </w:t>
      </w:r>
      <w:r w:rsidR="006A6DE5">
        <w:rPr>
          <w:rFonts w:ascii="Times New Roman" w:hAnsi="Times New Roman"/>
        </w:rPr>
        <w:t xml:space="preserve">103 of the </w:t>
      </w:r>
      <w:r w:rsidR="000424AF">
        <w:rPr>
          <w:rFonts w:ascii="Times New Roman" w:hAnsi="Times New Roman"/>
        </w:rPr>
        <w:t xml:space="preserve">Seafarers </w:t>
      </w:r>
      <w:r w:rsidR="006A6DE5">
        <w:rPr>
          <w:rFonts w:ascii="Times New Roman" w:hAnsi="Times New Roman"/>
        </w:rPr>
        <w:t xml:space="preserve">Act. The </w:t>
      </w:r>
      <w:proofErr w:type="spellStart"/>
      <w:r w:rsidR="006A6DE5">
        <w:rPr>
          <w:rFonts w:ascii="Times New Roman" w:hAnsi="Times New Roman"/>
        </w:rPr>
        <w:t>Seacare</w:t>
      </w:r>
      <w:proofErr w:type="spellEnd"/>
      <w:r w:rsidR="006A6DE5">
        <w:rPr>
          <w:rFonts w:ascii="Times New Roman" w:hAnsi="Times New Roman"/>
        </w:rPr>
        <w:t xml:space="preserve"> Authority </w:t>
      </w:r>
      <w:r w:rsidR="000424AF">
        <w:rPr>
          <w:rFonts w:ascii="Times New Roman" w:hAnsi="Times New Roman"/>
        </w:rPr>
        <w:t xml:space="preserve">has </w:t>
      </w:r>
      <w:proofErr w:type="gramStart"/>
      <w:r w:rsidR="000424AF">
        <w:rPr>
          <w:rFonts w:ascii="Times New Roman" w:hAnsi="Times New Roman"/>
        </w:rPr>
        <w:t>a number of</w:t>
      </w:r>
      <w:proofErr w:type="gramEnd"/>
      <w:r w:rsidR="000424AF">
        <w:rPr>
          <w:rFonts w:ascii="Times New Roman" w:hAnsi="Times New Roman"/>
        </w:rPr>
        <w:t xml:space="preserve"> functions and powers under the Seafarers Act, including </w:t>
      </w:r>
      <w:r w:rsidR="00DE4D16">
        <w:rPr>
          <w:rFonts w:ascii="Times New Roman" w:hAnsi="Times New Roman"/>
        </w:rPr>
        <w:t xml:space="preserve">the power to grant </w:t>
      </w:r>
      <w:r w:rsidR="000C4353">
        <w:rPr>
          <w:rFonts w:ascii="Times New Roman" w:hAnsi="Times New Roman"/>
        </w:rPr>
        <w:t>exemptions f</w:t>
      </w:r>
      <w:r w:rsidR="00CC0003">
        <w:rPr>
          <w:rFonts w:ascii="Times New Roman" w:hAnsi="Times New Roman"/>
        </w:rPr>
        <w:t>ro</w:t>
      </w:r>
      <w:r w:rsidR="000C4353">
        <w:rPr>
          <w:rFonts w:ascii="Times New Roman" w:hAnsi="Times New Roman"/>
        </w:rPr>
        <w:t xml:space="preserve">m the operation of the </w:t>
      </w:r>
      <w:r w:rsidR="000D5163">
        <w:rPr>
          <w:rFonts w:ascii="Times New Roman" w:hAnsi="Times New Roman"/>
        </w:rPr>
        <w:t xml:space="preserve">Seafarers Act, the </w:t>
      </w:r>
      <w:r w:rsidR="000D5163" w:rsidRPr="00C46E7D">
        <w:rPr>
          <w:rFonts w:ascii="Times New Roman" w:hAnsi="Times New Roman"/>
          <w:i/>
          <w:iCs/>
        </w:rPr>
        <w:t>Seafarers Rehabilitation and Compensation Levy Act 1992</w:t>
      </w:r>
      <w:r w:rsidR="000D5163">
        <w:rPr>
          <w:rFonts w:ascii="Times New Roman" w:hAnsi="Times New Roman"/>
        </w:rPr>
        <w:t xml:space="preserve"> and the </w:t>
      </w:r>
      <w:r w:rsidR="000D5163" w:rsidRPr="00C46E7D">
        <w:rPr>
          <w:rFonts w:ascii="Times New Roman" w:hAnsi="Times New Roman"/>
          <w:i/>
          <w:iCs/>
        </w:rPr>
        <w:t>Seafarers Rehabilit</w:t>
      </w:r>
      <w:r w:rsidR="00AA5389" w:rsidRPr="00C46E7D">
        <w:rPr>
          <w:rFonts w:ascii="Times New Roman" w:hAnsi="Times New Roman"/>
          <w:i/>
          <w:iCs/>
        </w:rPr>
        <w:t xml:space="preserve">ation </w:t>
      </w:r>
      <w:r w:rsidR="0013496C" w:rsidRPr="00C46E7D">
        <w:rPr>
          <w:rFonts w:ascii="Times New Roman" w:hAnsi="Times New Roman"/>
          <w:i/>
          <w:iCs/>
        </w:rPr>
        <w:t>and Compensation Levy Collection Act 1992</w:t>
      </w:r>
      <w:r w:rsidR="00C46E7D" w:rsidRPr="00C46E7D">
        <w:rPr>
          <w:rFonts w:ascii="Times New Roman" w:hAnsi="Times New Roman"/>
          <w:i/>
          <w:iCs/>
        </w:rPr>
        <w:t xml:space="preserve"> </w:t>
      </w:r>
      <w:r w:rsidR="00C46E7D">
        <w:rPr>
          <w:rFonts w:ascii="Times New Roman" w:hAnsi="Times New Roman"/>
        </w:rPr>
        <w:t>under section 20A of the Seafarers Act.</w:t>
      </w:r>
    </w:p>
    <w:p w14:paraId="66F151FE" w14:textId="77777777" w:rsidR="00560D05" w:rsidRDefault="0065710C" w:rsidP="004075A9">
      <w:pPr>
        <w:rPr>
          <w:rFonts w:ascii="Times New Roman" w:hAnsi="Times New Roman"/>
        </w:rPr>
      </w:pPr>
      <w:r>
        <w:rPr>
          <w:rFonts w:ascii="Times New Roman" w:hAnsi="Times New Roman"/>
        </w:rPr>
        <w:t xml:space="preserve">Pursuant to section 107 </w:t>
      </w:r>
      <w:r w:rsidR="003B454E">
        <w:rPr>
          <w:rFonts w:ascii="Times New Roman" w:hAnsi="Times New Roman"/>
        </w:rPr>
        <w:t>of the Seafarers Act the Minister may</w:t>
      </w:r>
      <w:r w:rsidR="00DA6E80">
        <w:rPr>
          <w:rFonts w:ascii="Times New Roman" w:hAnsi="Times New Roman"/>
        </w:rPr>
        <w:t>, by notice in writing given to the Chairperson</w:t>
      </w:r>
      <w:r w:rsidR="00702D27">
        <w:rPr>
          <w:rFonts w:ascii="Times New Roman" w:hAnsi="Times New Roman"/>
        </w:rPr>
        <w:t xml:space="preserve">, give a direction to the </w:t>
      </w:r>
      <w:proofErr w:type="spellStart"/>
      <w:r w:rsidR="00702D27">
        <w:rPr>
          <w:rFonts w:ascii="Times New Roman" w:hAnsi="Times New Roman"/>
        </w:rPr>
        <w:t>Seacare</w:t>
      </w:r>
      <w:proofErr w:type="spellEnd"/>
      <w:r w:rsidR="00702D27">
        <w:rPr>
          <w:rFonts w:ascii="Times New Roman" w:hAnsi="Times New Roman"/>
        </w:rPr>
        <w:t xml:space="preserve"> Authority with respect to the performance of its functions or the exercise of its powers.</w:t>
      </w:r>
    </w:p>
    <w:p w14:paraId="41EC450E" w14:textId="1BCF6C92" w:rsidR="00702D27" w:rsidRDefault="00560D05" w:rsidP="004075A9">
      <w:pPr>
        <w:rPr>
          <w:rFonts w:ascii="Times New Roman" w:hAnsi="Times New Roman"/>
        </w:rPr>
      </w:pPr>
      <w:r>
        <w:rPr>
          <w:rFonts w:ascii="Times New Roman" w:hAnsi="Times New Roman"/>
        </w:rPr>
        <w:t>Since</w:t>
      </w:r>
      <w:r w:rsidR="00EE13B5">
        <w:rPr>
          <w:rFonts w:ascii="Times New Roman" w:hAnsi="Times New Roman"/>
        </w:rPr>
        <w:t xml:space="preserve"> </w:t>
      </w:r>
      <w:r w:rsidR="005E3CAE">
        <w:rPr>
          <w:rFonts w:ascii="Times New Roman" w:hAnsi="Times New Roman"/>
        </w:rPr>
        <w:t>6 September 2006</w:t>
      </w:r>
      <w:r w:rsidR="004E02F4">
        <w:rPr>
          <w:rFonts w:ascii="Times New Roman" w:hAnsi="Times New Roman"/>
        </w:rPr>
        <w:t xml:space="preserve">, the </w:t>
      </w:r>
      <w:proofErr w:type="spellStart"/>
      <w:r w:rsidR="004E02F4">
        <w:rPr>
          <w:rFonts w:ascii="Times New Roman" w:hAnsi="Times New Roman"/>
        </w:rPr>
        <w:t>Seacare</w:t>
      </w:r>
      <w:proofErr w:type="spellEnd"/>
      <w:r w:rsidR="004E02F4">
        <w:rPr>
          <w:rFonts w:ascii="Times New Roman" w:hAnsi="Times New Roman"/>
        </w:rPr>
        <w:t xml:space="preserve"> Authority has been subject to the Ministerial direction contained in the </w:t>
      </w:r>
      <w:r w:rsidR="00E71B91" w:rsidRPr="00C46E7D">
        <w:rPr>
          <w:rFonts w:ascii="Times New Roman" w:hAnsi="Times New Roman"/>
          <w:i/>
          <w:iCs/>
        </w:rPr>
        <w:t xml:space="preserve">Seafarers </w:t>
      </w:r>
      <w:r w:rsidR="00E71B91">
        <w:rPr>
          <w:rFonts w:ascii="Times New Roman" w:hAnsi="Times New Roman"/>
          <w:i/>
          <w:iCs/>
        </w:rPr>
        <w:t xml:space="preserve">Safety </w:t>
      </w:r>
      <w:r w:rsidR="00E71B91" w:rsidRPr="00C46E7D">
        <w:rPr>
          <w:rFonts w:ascii="Times New Roman" w:hAnsi="Times New Roman"/>
          <w:i/>
          <w:iCs/>
        </w:rPr>
        <w:t>Rehabilitation and Compensation</w:t>
      </w:r>
      <w:r w:rsidR="00E71B91">
        <w:rPr>
          <w:rFonts w:ascii="Times New Roman" w:hAnsi="Times New Roman"/>
          <w:i/>
          <w:iCs/>
        </w:rPr>
        <w:t xml:space="preserve"> Directions</w:t>
      </w:r>
      <w:r w:rsidR="00F3731C">
        <w:rPr>
          <w:rFonts w:ascii="Times New Roman" w:hAnsi="Times New Roman"/>
          <w:i/>
          <w:iCs/>
        </w:rPr>
        <w:t xml:space="preserve"> 2006</w:t>
      </w:r>
      <w:r w:rsidR="00E71B91">
        <w:rPr>
          <w:rFonts w:ascii="Times New Roman" w:hAnsi="Times New Roman"/>
          <w:i/>
          <w:iCs/>
        </w:rPr>
        <w:t xml:space="preserve"> (1)</w:t>
      </w:r>
      <w:r w:rsidR="00E71B91">
        <w:rPr>
          <w:rFonts w:ascii="Times New Roman" w:hAnsi="Times New Roman"/>
        </w:rPr>
        <w:t>.</w:t>
      </w:r>
      <w:r w:rsidR="00833960">
        <w:rPr>
          <w:rFonts w:ascii="Times New Roman" w:hAnsi="Times New Roman"/>
        </w:rPr>
        <w:t xml:space="preserve"> </w:t>
      </w:r>
    </w:p>
    <w:p w14:paraId="67ED2149" w14:textId="08A64F79" w:rsidR="005E3CAE" w:rsidRDefault="00DE2161" w:rsidP="004075A9">
      <w:pPr>
        <w:rPr>
          <w:rFonts w:ascii="Times New Roman" w:hAnsi="Times New Roman"/>
        </w:rPr>
      </w:pPr>
      <w:r>
        <w:rPr>
          <w:rFonts w:ascii="Times New Roman" w:hAnsi="Times New Roman"/>
        </w:rPr>
        <w:t>Pursuant to section 107 of the Seafarers Act</w:t>
      </w:r>
      <w:r w:rsidR="00193F16">
        <w:rPr>
          <w:rFonts w:ascii="Times New Roman" w:hAnsi="Times New Roman"/>
        </w:rPr>
        <w:t>,</w:t>
      </w:r>
      <w:r>
        <w:rPr>
          <w:rFonts w:ascii="Times New Roman" w:hAnsi="Times New Roman"/>
        </w:rPr>
        <w:t xml:space="preserve"> and subsection 33(3) of the </w:t>
      </w:r>
      <w:r w:rsidRPr="00DE2161">
        <w:rPr>
          <w:rFonts w:ascii="Times New Roman" w:hAnsi="Times New Roman"/>
          <w:i/>
          <w:iCs/>
        </w:rPr>
        <w:t>Acts Interpretation Act 1901</w:t>
      </w:r>
      <w:r>
        <w:rPr>
          <w:rFonts w:ascii="Times New Roman" w:hAnsi="Times New Roman"/>
        </w:rPr>
        <w:t>, t</w:t>
      </w:r>
      <w:r w:rsidR="005E3CAE">
        <w:rPr>
          <w:rFonts w:ascii="Times New Roman" w:hAnsi="Times New Roman"/>
        </w:rPr>
        <w:t xml:space="preserve">his instrument repeals </w:t>
      </w:r>
      <w:r w:rsidR="002508E8">
        <w:rPr>
          <w:rFonts w:ascii="Times New Roman" w:hAnsi="Times New Roman"/>
        </w:rPr>
        <w:t xml:space="preserve">the </w:t>
      </w:r>
      <w:r w:rsidR="002508E8" w:rsidRPr="00C46E7D">
        <w:rPr>
          <w:rFonts w:ascii="Times New Roman" w:hAnsi="Times New Roman"/>
          <w:i/>
          <w:iCs/>
        </w:rPr>
        <w:t xml:space="preserve">Seafarers </w:t>
      </w:r>
      <w:r w:rsidR="002508E8">
        <w:rPr>
          <w:rFonts w:ascii="Times New Roman" w:hAnsi="Times New Roman"/>
          <w:i/>
          <w:iCs/>
        </w:rPr>
        <w:t xml:space="preserve">Safety </w:t>
      </w:r>
      <w:r w:rsidR="002508E8" w:rsidRPr="00C46E7D">
        <w:rPr>
          <w:rFonts w:ascii="Times New Roman" w:hAnsi="Times New Roman"/>
          <w:i/>
          <w:iCs/>
        </w:rPr>
        <w:t>Rehabilitation and Compensation</w:t>
      </w:r>
      <w:r w:rsidR="002508E8">
        <w:rPr>
          <w:rFonts w:ascii="Times New Roman" w:hAnsi="Times New Roman"/>
          <w:i/>
          <w:iCs/>
        </w:rPr>
        <w:t xml:space="preserve"> Directions</w:t>
      </w:r>
      <w:r w:rsidR="00F3731C">
        <w:rPr>
          <w:rFonts w:ascii="Times New Roman" w:hAnsi="Times New Roman"/>
          <w:i/>
          <w:iCs/>
        </w:rPr>
        <w:t xml:space="preserve"> 2006</w:t>
      </w:r>
      <w:r w:rsidR="002508E8">
        <w:rPr>
          <w:rFonts w:ascii="Times New Roman" w:hAnsi="Times New Roman"/>
          <w:i/>
          <w:iCs/>
        </w:rPr>
        <w:t xml:space="preserve"> (1)</w:t>
      </w:r>
      <w:r w:rsidR="00462E19">
        <w:rPr>
          <w:rFonts w:ascii="Times New Roman" w:hAnsi="Times New Roman"/>
        </w:rPr>
        <w:t xml:space="preserve"> </w:t>
      </w:r>
      <w:r w:rsidR="002508E8">
        <w:rPr>
          <w:rFonts w:ascii="Times New Roman" w:hAnsi="Times New Roman"/>
        </w:rPr>
        <w:t xml:space="preserve">and </w:t>
      </w:r>
      <w:r w:rsidR="00462E19">
        <w:rPr>
          <w:rFonts w:ascii="Times New Roman" w:hAnsi="Times New Roman"/>
        </w:rPr>
        <w:t xml:space="preserve">provides </w:t>
      </w:r>
      <w:r w:rsidR="00CC0003">
        <w:rPr>
          <w:rFonts w:ascii="Times New Roman" w:hAnsi="Times New Roman"/>
        </w:rPr>
        <w:t>four</w:t>
      </w:r>
      <w:r w:rsidR="00462E19">
        <w:rPr>
          <w:rFonts w:ascii="Times New Roman" w:hAnsi="Times New Roman"/>
        </w:rPr>
        <w:t xml:space="preserve"> new directions to the </w:t>
      </w:r>
      <w:proofErr w:type="spellStart"/>
      <w:r w:rsidR="00462E19">
        <w:rPr>
          <w:rFonts w:ascii="Times New Roman" w:hAnsi="Times New Roman"/>
        </w:rPr>
        <w:t>Seacare</w:t>
      </w:r>
      <w:proofErr w:type="spellEnd"/>
      <w:r w:rsidR="00462E19">
        <w:rPr>
          <w:rFonts w:ascii="Times New Roman" w:hAnsi="Times New Roman"/>
        </w:rPr>
        <w:t xml:space="preserve"> Authority</w:t>
      </w:r>
      <w:r w:rsidR="00A2615A">
        <w:rPr>
          <w:rFonts w:ascii="Times New Roman" w:hAnsi="Times New Roman"/>
        </w:rPr>
        <w:t xml:space="preserve"> with respect to the performance of its functions </w:t>
      </w:r>
      <w:r w:rsidR="002D22D2">
        <w:rPr>
          <w:rFonts w:ascii="Times New Roman" w:hAnsi="Times New Roman"/>
        </w:rPr>
        <w:t>and</w:t>
      </w:r>
      <w:r w:rsidR="00A2615A">
        <w:rPr>
          <w:rFonts w:ascii="Times New Roman" w:hAnsi="Times New Roman"/>
        </w:rPr>
        <w:t xml:space="preserve"> the exercise of its powers</w:t>
      </w:r>
      <w:r w:rsidR="00E41E72">
        <w:rPr>
          <w:rFonts w:ascii="Times New Roman" w:hAnsi="Times New Roman"/>
        </w:rPr>
        <w:t xml:space="preserve">. </w:t>
      </w:r>
      <w:r w:rsidR="00CF21D0">
        <w:rPr>
          <w:rFonts w:ascii="Times New Roman" w:hAnsi="Times New Roman"/>
        </w:rPr>
        <w:t xml:space="preserve">Under this instrument the Minister directs the </w:t>
      </w:r>
      <w:proofErr w:type="spellStart"/>
      <w:r w:rsidR="00506148" w:rsidRPr="00506148">
        <w:rPr>
          <w:rFonts w:ascii="Times New Roman" w:hAnsi="Times New Roman"/>
        </w:rPr>
        <w:t>Seacare</w:t>
      </w:r>
      <w:proofErr w:type="spellEnd"/>
      <w:r w:rsidR="00506148" w:rsidRPr="00506148">
        <w:rPr>
          <w:rFonts w:ascii="Times New Roman" w:hAnsi="Times New Roman"/>
        </w:rPr>
        <w:t xml:space="preserve"> Authority to amend its Exemption Guidelines to specify that:</w:t>
      </w:r>
    </w:p>
    <w:p w14:paraId="39B153EC" w14:textId="2CC34866" w:rsidR="00855473" w:rsidRDefault="00590F52" w:rsidP="00855473">
      <w:pPr>
        <w:pStyle w:val="ListParagraph"/>
        <w:numPr>
          <w:ilvl w:val="0"/>
          <w:numId w:val="1"/>
        </w:numPr>
        <w:rPr>
          <w:rFonts w:ascii="Times New Roman" w:hAnsi="Times New Roman" w:cs="Times New Roman"/>
        </w:rPr>
      </w:pPr>
      <w:r>
        <w:rPr>
          <w:rFonts w:ascii="Times New Roman" w:hAnsi="Times New Roman" w:cs="Times New Roman"/>
        </w:rPr>
        <w:t>T</w:t>
      </w:r>
      <w:r w:rsidR="00855473" w:rsidRPr="00855473">
        <w:rPr>
          <w:rFonts w:ascii="Times New Roman" w:hAnsi="Times New Roman" w:cs="Times New Roman"/>
        </w:rPr>
        <w:t xml:space="preserve">he integrity and ongoing viability of the </w:t>
      </w:r>
      <w:proofErr w:type="spellStart"/>
      <w:r w:rsidR="00855473" w:rsidRPr="00855473">
        <w:rPr>
          <w:rFonts w:ascii="Times New Roman" w:hAnsi="Times New Roman" w:cs="Times New Roman"/>
        </w:rPr>
        <w:t>Seacare</w:t>
      </w:r>
      <w:proofErr w:type="spellEnd"/>
      <w:r w:rsidR="00855473" w:rsidRPr="00855473">
        <w:rPr>
          <w:rFonts w:ascii="Times New Roman" w:hAnsi="Times New Roman" w:cs="Times New Roman"/>
        </w:rPr>
        <w:t xml:space="preserve"> scheme is a primary factor in determining all applications for exemption from the operation of the Seafarers Act under section 20A of that Act</w:t>
      </w:r>
      <w:r w:rsidR="00794272">
        <w:rPr>
          <w:rFonts w:ascii="Times New Roman" w:hAnsi="Times New Roman" w:cs="Times New Roman"/>
        </w:rPr>
        <w:t xml:space="preserve">.  This guideline provides for an </w:t>
      </w:r>
      <w:r>
        <w:rPr>
          <w:rFonts w:ascii="Times New Roman" w:hAnsi="Times New Roman" w:cs="Times New Roman"/>
        </w:rPr>
        <w:t>overarching</w:t>
      </w:r>
      <w:r w:rsidR="00794272">
        <w:rPr>
          <w:rFonts w:ascii="Times New Roman" w:hAnsi="Times New Roman" w:cs="Times New Roman"/>
        </w:rPr>
        <w:t xml:space="preserve"> </w:t>
      </w:r>
      <w:r>
        <w:rPr>
          <w:rFonts w:ascii="Times New Roman" w:hAnsi="Times New Roman" w:cs="Times New Roman"/>
        </w:rPr>
        <w:t xml:space="preserve">objective of the </w:t>
      </w:r>
      <w:proofErr w:type="spellStart"/>
      <w:r w:rsidR="00794272">
        <w:rPr>
          <w:rFonts w:ascii="Times New Roman" w:hAnsi="Times New Roman" w:cs="Times New Roman"/>
        </w:rPr>
        <w:t>Seacare</w:t>
      </w:r>
      <w:proofErr w:type="spellEnd"/>
      <w:r w:rsidR="00794272">
        <w:rPr>
          <w:rFonts w:ascii="Times New Roman" w:hAnsi="Times New Roman" w:cs="Times New Roman"/>
        </w:rPr>
        <w:t xml:space="preserve"> Authority </w:t>
      </w:r>
      <w:r>
        <w:rPr>
          <w:rFonts w:ascii="Times New Roman" w:hAnsi="Times New Roman" w:cs="Times New Roman"/>
        </w:rPr>
        <w:t>in determining such applications.</w:t>
      </w:r>
    </w:p>
    <w:p w14:paraId="36BC9039" w14:textId="77777777" w:rsidR="00855473" w:rsidRDefault="00855473" w:rsidP="00855473">
      <w:pPr>
        <w:pStyle w:val="ListParagraph"/>
        <w:rPr>
          <w:rFonts w:ascii="Times New Roman" w:hAnsi="Times New Roman" w:cs="Times New Roman"/>
        </w:rPr>
      </w:pPr>
    </w:p>
    <w:p w14:paraId="455815D6" w14:textId="7C73708D" w:rsidR="00855473" w:rsidRDefault="00590F52" w:rsidP="00855473">
      <w:pPr>
        <w:pStyle w:val="ListParagraph"/>
        <w:numPr>
          <w:ilvl w:val="0"/>
          <w:numId w:val="1"/>
        </w:numPr>
        <w:rPr>
          <w:rFonts w:ascii="Times New Roman" w:hAnsi="Times New Roman" w:cs="Times New Roman"/>
        </w:rPr>
      </w:pPr>
      <w:r>
        <w:rPr>
          <w:rFonts w:ascii="Times New Roman" w:hAnsi="Times New Roman" w:cs="Times New Roman"/>
        </w:rPr>
        <w:t>A</w:t>
      </w:r>
      <w:r w:rsidR="00855473" w:rsidRPr="00855473">
        <w:rPr>
          <w:rFonts w:ascii="Times New Roman" w:hAnsi="Times New Roman" w:cs="Times New Roman"/>
        </w:rPr>
        <w:t xml:space="preserve"> reduction in workers’ compensation entitlements for affected seafarers is a primary factor in determining not to grant an exemption under section 20A of the Seafarers Act where the </w:t>
      </w:r>
      <w:proofErr w:type="spellStart"/>
      <w:r w:rsidR="00855473" w:rsidRPr="00855473">
        <w:rPr>
          <w:rFonts w:ascii="Times New Roman" w:hAnsi="Times New Roman" w:cs="Times New Roman"/>
        </w:rPr>
        <w:t>Seacare</w:t>
      </w:r>
      <w:proofErr w:type="spellEnd"/>
      <w:r w:rsidR="00855473" w:rsidRPr="00855473">
        <w:rPr>
          <w:rFonts w:ascii="Times New Roman" w:hAnsi="Times New Roman" w:cs="Times New Roman"/>
        </w:rPr>
        <w:t xml:space="preserve"> Authority is satisfied that a reduction in entitlements would be a likely outcome for the employees on a particular ship</w:t>
      </w:r>
      <w:r>
        <w:rPr>
          <w:rFonts w:ascii="Times New Roman" w:hAnsi="Times New Roman" w:cs="Times New Roman"/>
        </w:rPr>
        <w:t xml:space="preserve">, determined on a </w:t>
      </w:r>
      <w:proofErr w:type="gramStart"/>
      <w:r>
        <w:rPr>
          <w:rFonts w:ascii="Times New Roman" w:hAnsi="Times New Roman" w:cs="Times New Roman"/>
        </w:rPr>
        <w:t>case by case</w:t>
      </w:r>
      <w:proofErr w:type="gramEnd"/>
      <w:r>
        <w:rPr>
          <w:rFonts w:ascii="Times New Roman" w:hAnsi="Times New Roman" w:cs="Times New Roman"/>
        </w:rPr>
        <w:t xml:space="preserve"> basis.  </w:t>
      </w:r>
    </w:p>
    <w:p w14:paraId="693B6379" w14:textId="77777777" w:rsidR="00855473" w:rsidRPr="00855473" w:rsidRDefault="00855473" w:rsidP="00855473">
      <w:pPr>
        <w:pStyle w:val="ListParagraph"/>
        <w:rPr>
          <w:rFonts w:ascii="Times New Roman" w:hAnsi="Times New Roman" w:cs="Times New Roman"/>
        </w:rPr>
      </w:pPr>
    </w:p>
    <w:p w14:paraId="3E4443F9" w14:textId="028F923F" w:rsidR="008C105C" w:rsidRDefault="00590F52" w:rsidP="00855473">
      <w:pPr>
        <w:pStyle w:val="ListParagraph"/>
        <w:numPr>
          <w:ilvl w:val="0"/>
          <w:numId w:val="1"/>
        </w:numPr>
        <w:rPr>
          <w:rFonts w:ascii="Times New Roman" w:hAnsi="Times New Roman" w:cs="Times New Roman"/>
        </w:rPr>
      </w:pPr>
      <w:r>
        <w:rPr>
          <w:rFonts w:ascii="Times New Roman" w:hAnsi="Times New Roman" w:cs="Times New Roman"/>
        </w:rPr>
        <w:t>W</w:t>
      </w:r>
      <w:r w:rsidR="00855473" w:rsidRPr="00855473">
        <w:rPr>
          <w:rFonts w:ascii="Times New Roman" w:hAnsi="Times New Roman" w:cs="Times New Roman"/>
        </w:rPr>
        <w:t xml:space="preserve">here an applicant requests an exemption from the application of the Seafarers Act under section 20A on the grounds that workers’ compensation insurance under the Seafarers Act is </w:t>
      </w:r>
      <w:r w:rsidR="00855473" w:rsidRPr="00855473">
        <w:rPr>
          <w:rFonts w:ascii="Times New Roman" w:hAnsi="Times New Roman" w:cs="Times New Roman"/>
        </w:rPr>
        <w:lastRenderedPageBreak/>
        <w:t xml:space="preserve">unavailable, a primary factor in determining the application is whether the </w:t>
      </w:r>
      <w:proofErr w:type="spellStart"/>
      <w:r w:rsidR="00855473" w:rsidRPr="00855473">
        <w:rPr>
          <w:rFonts w:ascii="Times New Roman" w:hAnsi="Times New Roman" w:cs="Times New Roman"/>
        </w:rPr>
        <w:t>Seacare</w:t>
      </w:r>
      <w:proofErr w:type="spellEnd"/>
      <w:r w:rsidR="00855473" w:rsidRPr="00855473">
        <w:rPr>
          <w:rFonts w:ascii="Times New Roman" w:hAnsi="Times New Roman" w:cs="Times New Roman"/>
        </w:rPr>
        <w:t xml:space="preserve"> Authority is reasonably satisfied that the applicant has </w:t>
      </w:r>
      <w:r w:rsidR="00073BFD">
        <w:rPr>
          <w:rFonts w:ascii="Times New Roman" w:hAnsi="Times New Roman" w:cs="Times New Roman"/>
        </w:rPr>
        <w:t>taken all reasonable steps</w:t>
      </w:r>
      <w:r w:rsidR="00855473" w:rsidRPr="00855473">
        <w:rPr>
          <w:rFonts w:ascii="Times New Roman" w:hAnsi="Times New Roman" w:cs="Times New Roman"/>
        </w:rPr>
        <w:t xml:space="preserve"> to obtain insurance or indemnification for the applicant’s workers’ compensation liability under the Seafarers Act</w:t>
      </w:r>
      <w:r>
        <w:rPr>
          <w:rFonts w:ascii="Times New Roman" w:hAnsi="Times New Roman" w:cs="Times New Roman"/>
        </w:rPr>
        <w:t>.</w:t>
      </w:r>
    </w:p>
    <w:p w14:paraId="31DF6785" w14:textId="77777777" w:rsidR="00CC0003" w:rsidRPr="00CC0003" w:rsidRDefault="00CC0003" w:rsidP="00CC0003">
      <w:pPr>
        <w:pStyle w:val="ListParagraph"/>
        <w:rPr>
          <w:rFonts w:ascii="Times New Roman" w:hAnsi="Times New Roman" w:cs="Times New Roman"/>
        </w:rPr>
      </w:pPr>
    </w:p>
    <w:p w14:paraId="7809FA97" w14:textId="78969185" w:rsidR="00CC0003" w:rsidRPr="00CC0003" w:rsidRDefault="00590F52" w:rsidP="00CC0003">
      <w:pPr>
        <w:pStyle w:val="ListParagraph"/>
        <w:numPr>
          <w:ilvl w:val="0"/>
          <w:numId w:val="1"/>
        </w:numPr>
        <w:rPr>
          <w:rFonts w:ascii="Times New Roman" w:hAnsi="Times New Roman" w:cs="Times New Roman"/>
        </w:rPr>
      </w:pPr>
      <w:r>
        <w:rPr>
          <w:rFonts w:ascii="Times New Roman" w:hAnsi="Times New Roman" w:cs="Times New Roman"/>
        </w:rPr>
        <w:t>T</w:t>
      </w:r>
      <w:r w:rsidR="00CC0003" w:rsidRPr="00CC0003">
        <w:rPr>
          <w:rFonts w:ascii="Times New Roman" w:hAnsi="Times New Roman" w:cs="Times New Roman"/>
        </w:rPr>
        <w:t>he applicant has state or territory insurance in all jurisdictions in which it operates, is a primary factor in determining all applications for exemption from the operation of the Seafarers Act under section 20A of that Act.</w:t>
      </w:r>
      <w:r w:rsidR="00C25D6D">
        <w:rPr>
          <w:rFonts w:ascii="Times New Roman" w:hAnsi="Times New Roman" w:cs="Times New Roman"/>
        </w:rPr>
        <w:t xml:space="preserve">  </w:t>
      </w:r>
      <w:r w:rsidR="00C25D6D" w:rsidRPr="00C25D6D">
        <w:rPr>
          <w:rFonts w:ascii="Times New Roman" w:hAnsi="Times New Roman" w:cs="Times New Roman"/>
          <w:lang w:val="en-GB"/>
        </w:rPr>
        <w:t xml:space="preserve">This </w:t>
      </w:r>
      <w:bookmarkStart w:id="0" w:name="_Hlk138241104"/>
      <w:r w:rsidR="00C25D6D">
        <w:rPr>
          <w:rFonts w:ascii="Times New Roman" w:hAnsi="Times New Roman" w:cs="Times New Roman"/>
          <w:lang w:val="en-GB"/>
        </w:rPr>
        <w:t>direction</w:t>
      </w:r>
      <w:r w:rsidR="00C25D6D" w:rsidRPr="00C25D6D">
        <w:rPr>
          <w:rFonts w:ascii="Times New Roman" w:hAnsi="Times New Roman" w:cs="Times New Roman"/>
          <w:lang w:val="en-GB"/>
        </w:rPr>
        <w:t xml:space="preserve"> ensure</w:t>
      </w:r>
      <w:r w:rsidR="00C25D6D">
        <w:rPr>
          <w:rFonts w:ascii="Times New Roman" w:hAnsi="Times New Roman" w:cs="Times New Roman"/>
          <w:lang w:val="en-GB"/>
        </w:rPr>
        <w:t xml:space="preserve">s </w:t>
      </w:r>
      <w:r w:rsidR="00C25D6D" w:rsidRPr="00C25D6D">
        <w:rPr>
          <w:rFonts w:ascii="Times New Roman" w:hAnsi="Times New Roman" w:cs="Times New Roman"/>
          <w:lang w:val="en-GB"/>
        </w:rPr>
        <w:t xml:space="preserve">that the employer holds policies in each jurisdiction that would apply to a worker whose employment would be captured by the </w:t>
      </w:r>
      <w:proofErr w:type="spellStart"/>
      <w:r w:rsidR="00C25D6D" w:rsidRPr="00C25D6D">
        <w:rPr>
          <w:rFonts w:ascii="Times New Roman" w:hAnsi="Times New Roman" w:cs="Times New Roman"/>
          <w:lang w:val="en-GB"/>
        </w:rPr>
        <w:t>Seacare</w:t>
      </w:r>
      <w:proofErr w:type="spellEnd"/>
      <w:r w:rsidR="00C25D6D" w:rsidRPr="00C25D6D">
        <w:rPr>
          <w:rFonts w:ascii="Times New Roman" w:hAnsi="Times New Roman" w:cs="Times New Roman"/>
          <w:lang w:val="en-GB"/>
        </w:rPr>
        <w:t xml:space="preserve"> scheme if the exemption were not granted</w:t>
      </w:r>
      <w:r w:rsidR="00C25D6D">
        <w:rPr>
          <w:rFonts w:ascii="Times New Roman" w:hAnsi="Times New Roman" w:cs="Times New Roman"/>
          <w:lang w:val="en-GB"/>
        </w:rPr>
        <w:t>.</w:t>
      </w:r>
      <w:bookmarkEnd w:id="0"/>
    </w:p>
    <w:p w14:paraId="52B0404B" w14:textId="3FBE6931" w:rsidR="00794272" w:rsidRDefault="00794272" w:rsidP="001A746F">
      <w:pPr>
        <w:autoSpaceDE w:val="0"/>
        <w:autoSpaceDN w:val="0"/>
        <w:adjustRightInd w:val="0"/>
        <w:spacing w:before="120" w:after="120" w:line="240" w:lineRule="auto"/>
        <w:contextualSpacing/>
        <w:rPr>
          <w:rFonts w:ascii="Times New Roman" w:hAnsi="Times New Roman"/>
        </w:rPr>
      </w:pPr>
      <w:bookmarkStart w:id="1" w:name="_Hlk138279413"/>
      <w:r w:rsidRPr="00794272">
        <w:rPr>
          <w:rFonts w:ascii="Times New Roman" w:hAnsi="Times New Roman"/>
        </w:rPr>
        <w:t xml:space="preserve">The directions do not prevent the </w:t>
      </w:r>
      <w:proofErr w:type="spellStart"/>
      <w:r w:rsidRPr="00794272">
        <w:rPr>
          <w:rFonts w:ascii="Times New Roman" w:hAnsi="Times New Roman"/>
        </w:rPr>
        <w:t>Seacare</w:t>
      </w:r>
      <w:proofErr w:type="spellEnd"/>
      <w:r w:rsidRPr="00794272">
        <w:rPr>
          <w:rFonts w:ascii="Times New Roman" w:hAnsi="Times New Roman"/>
        </w:rPr>
        <w:t xml:space="preserve"> Authority from specifying further guidelines it considers necessary in respect of its determination of applications for exemptions under section 20A of the Seafarers Act, including the provision of guidance on the </w:t>
      </w:r>
      <w:proofErr w:type="spellStart"/>
      <w:r w:rsidRPr="00794272">
        <w:rPr>
          <w:rFonts w:ascii="Times New Roman" w:hAnsi="Times New Roman"/>
        </w:rPr>
        <w:t>Seacare</w:t>
      </w:r>
      <w:proofErr w:type="spellEnd"/>
      <w:r w:rsidRPr="00794272">
        <w:rPr>
          <w:rFonts w:ascii="Times New Roman" w:hAnsi="Times New Roman"/>
        </w:rPr>
        <w:t xml:space="preserve"> Authority’s approach to the application of guidelines made in accordance with these directions, provided that any such guidelines are not inconsistent with these directions.</w:t>
      </w:r>
      <w:r w:rsidR="00D207BF">
        <w:rPr>
          <w:rFonts w:ascii="Times New Roman" w:hAnsi="Times New Roman"/>
        </w:rPr>
        <w:t xml:space="preserve">  Such guidelines may include, for example, for the provision of </w:t>
      </w:r>
      <w:r w:rsidR="00D207BF" w:rsidRPr="00D207BF">
        <w:rPr>
          <w:rFonts w:ascii="Times New Roman" w:hAnsi="Times New Roman"/>
        </w:rPr>
        <w:t>exemptions where a ship is taking a voyage that is not its regular trading or operating pattern.</w:t>
      </w:r>
    </w:p>
    <w:bookmarkEnd w:id="1"/>
    <w:p w14:paraId="15D98F6E" w14:textId="77777777" w:rsidR="006C1465" w:rsidRDefault="006C1465" w:rsidP="006C1465">
      <w:pPr>
        <w:autoSpaceDE w:val="0"/>
        <w:autoSpaceDN w:val="0"/>
        <w:adjustRightInd w:val="0"/>
        <w:spacing w:before="120" w:after="120" w:line="240" w:lineRule="auto"/>
        <w:contextualSpacing/>
        <w:rPr>
          <w:rFonts w:ascii="Times New Roman" w:hAnsi="Times New Roman"/>
        </w:rPr>
      </w:pPr>
    </w:p>
    <w:p w14:paraId="0E9F02D4" w14:textId="1B1D6B76" w:rsidR="001A746F" w:rsidRDefault="001A746F" w:rsidP="001A746F">
      <w:pPr>
        <w:autoSpaceDE w:val="0"/>
        <w:autoSpaceDN w:val="0"/>
        <w:adjustRightInd w:val="0"/>
        <w:spacing w:before="120" w:after="120" w:line="240" w:lineRule="auto"/>
        <w:contextualSpacing/>
        <w:rPr>
          <w:rFonts w:ascii="Times New Roman" w:eastAsia="Times New Roman" w:hAnsi="Times New Roman"/>
        </w:rPr>
      </w:pPr>
      <w:r>
        <w:rPr>
          <w:rFonts w:ascii="Times New Roman" w:eastAsia="Times New Roman" w:hAnsi="Times New Roman"/>
          <w:lang w:eastAsia="en-AU"/>
        </w:rPr>
        <w:t>This instrument</w:t>
      </w:r>
      <w:r w:rsidRPr="00157E7E">
        <w:rPr>
          <w:rFonts w:ascii="Times New Roman" w:eastAsia="Times New Roman" w:hAnsi="Times New Roman"/>
          <w:lang w:eastAsia="en-AU"/>
        </w:rPr>
        <w:t xml:space="preserve"> is a legislative instrument for the purposes of the </w:t>
      </w:r>
      <w:r w:rsidRPr="00157E7E">
        <w:rPr>
          <w:rFonts w:ascii="Times New Roman" w:eastAsia="Times New Roman" w:hAnsi="Times New Roman"/>
          <w:i/>
          <w:lang w:eastAsia="en-AU"/>
        </w:rPr>
        <w:t>Legislation Act 2003</w:t>
      </w:r>
      <w:r>
        <w:rPr>
          <w:rFonts w:ascii="Times New Roman" w:eastAsia="Times New Roman" w:hAnsi="Times New Roman"/>
        </w:rPr>
        <w:t xml:space="preserve"> but is not subject to disallowance (see item 2 of section 9 of the </w:t>
      </w:r>
      <w:r w:rsidRPr="00F5558D">
        <w:rPr>
          <w:rFonts w:ascii="Times New Roman" w:eastAsia="Times New Roman" w:hAnsi="Times New Roman"/>
          <w:i/>
          <w:iCs/>
        </w:rPr>
        <w:t>Legislation (Exemptions and Other Matters) Regulation 2015</w:t>
      </w:r>
      <w:r>
        <w:rPr>
          <w:rFonts w:ascii="Times New Roman" w:eastAsia="Times New Roman" w:hAnsi="Times New Roman"/>
        </w:rPr>
        <w:t xml:space="preserve">) or sunsetting (see item 3 of section 11 of the </w:t>
      </w:r>
      <w:r w:rsidRPr="00F5558D">
        <w:rPr>
          <w:rFonts w:ascii="Times New Roman" w:eastAsia="Times New Roman" w:hAnsi="Times New Roman"/>
          <w:i/>
          <w:iCs/>
        </w:rPr>
        <w:t>Legislation (Exemptions and Other Matters) Regulation 2015</w:t>
      </w:r>
      <w:r>
        <w:rPr>
          <w:rFonts w:ascii="Times New Roman" w:eastAsia="Times New Roman" w:hAnsi="Times New Roman"/>
        </w:rPr>
        <w:t>).</w:t>
      </w:r>
    </w:p>
    <w:p w14:paraId="053C3B90" w14:textId="77777777" w:rsidR="001A746F" w:rsidRDefault="001A746F" w:rsidP="001A746F">
      <w:pPr>
        <w:autoSpaceDE w:val="0"/>
        <w:autoSpaceDN w:val="0"/>
        <w:adjustRightInd w:val="0"/>
        <w:spacing w:before="120" w:after="120" w:line="240" w:lineRule="auto"/>
        <w:contextualSpacing/>
        <w:rPr>
          <w:rFonts w:ascii="Times New Roman" w:eastAsia="Times New Roman" w:hAnsi="Times New Roman"/>
        </w:rPr>
      </w:pPr>
    </w:p>
    <w:p w14:paraId="72C5ADCB" w14:textId="41C25595" w:rsidR="001A746F" w:rsidRDefault="009169D2" w:rsidP="001A746F">
      <w:pPr>
        <w:autoSpaceDE w:val="0"/>
        <w:autoSpaceDN w:val="0"/>
        <w:adjustRightInd w:val="0"/>
        <w:spacing w:before="120" w:after="120" w:line="240" w:lineRule="auto"/>
        <w:contextualSpacing/>
        <w:rPr>
          <w:rFonts w:ascii="Times New Roman" w:eastAsia="Times New Roman" w:hAnsi="Times New Roman"/>
          <w:lang w:eastAsia="en-AU"/>
        </w:rPr>
      </w:pPr>
      <w:r>
        <w:rPr>
          <w:rFonts w:ascii="Times New Roman" w:eastAsia="Times New Roman" w:hAnsi="Times New Roman"/>
          <w:lang w:eastAsia="en-AU"/>
        </w:rPr>
        <w:t>T</w:t>
      </w:r>
      <w:r w:rsidR="001A746F">
        <w:rPr>
          <w:rFonts w:ascii="Times New Roman" w:eastAsia="Times New Roman" w:hAnsi="Times New Roman"/>
          <w:lang w:eastAsia="en-AU"/>
        </w:rPr>
        <w:t xml:space="preserve">his instrument commences on 1 </w:t>
      </w:r>
      <w:r w:rsidR="00B15CA4">
        <w:rPr>
          <w:rFonts w:ascii="Times New Roman" w:eastAsia="Times New Roman" w:hAnsi="Times New Roman"/>
          <w:lang w:eastAsia="en-AU"/>
        </w:rPr>
        <w:t>July</w:t>
      </w:r>
      <w:r w:rsidR="00881300">
        <w:rPr>
          <w:rFonts w:ascii="Times New Roman" w:eastAsia="Times New Roman" w:hAnsi="Times New Roman"/>
          <w:lang w:eastAsia="en-AU"/>
        </w:rPr>
        <w:t xml:space="preserve"> 2023</w:t>
      </w:r>
      <w:r w:rsidR="001A746F">
        <w:rPr>
          <w:rFonts w:ascii="Times New Roman" w:eastAsia="Times New Roman" w:hAnsi="Times New Roman"/>
          <w:lang w:eastAsia="en-AU"/>
        </w:rPr>
        <w:t>.</w:t>
      </w:r>
    </w:p>
    <w:p w14:paraId="196D3BE2" w14:textId="77777777" w:rsidR="001A746F" w:rsidRDefault="001A746F" w:rsidP="00D9450D">
      <w:pPr>
        <w:spacing w:after="120"/>
        <w:rPr>
          <w:rFonts w:ascii="Times New Roman" w:eastAsia="Times New Roman" w:hAnsi="Times New Roman" w:cs="Times New Roman"/>
          <w:b/>
          <w:sz w:val="24"/>
          <w:lang w:eastAsia="en-AU"/>
        </w:rPr>
      </w:pPr>
    </w:p>
    <w:p w14:paraId="58F95A10" w14:textId="27704754"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CONSULTATION</w:t>
      </w:r>
    </w:p>
    <w:p w14:paraId="2AB21EC7" w14:textId="481FDC67" w:rsidR="00C20A20" w:rsidRDefault="004955A5" w:rsidP="004955A5">
      <w:pPr>
        <w:spacing w:after="120"/>
        <w:rPr>
          <w:rFonts w:ascii="Times New Roman" w:hAnsi="Times New Roman" w:cs="Times New Roman"/>
        </w:rPr>
      </w:pPr>
      <w:r w:rsidRPr="007C5F93">
        <w:rPr>
          <w:rFonts w:ascii="Times New Roman" w:hAnsi="Times New Roman" w:cs="Times New Roman"/>
        </w:rPr>
        <w:t>Consultation was undertaken with</w:t>
      </w:r>
      <w:r w:rsidR="00C20A20">
        <w:rPr>
          <w:rFonts w:ascii="Times New Roman" w:hAnsi="Times New Roman" w:cs="Times New Roman"/>
        </w:rPr>
        <w:t xml:space="preserve"> stakeholders including</w:t>
      </w:r>
      <w:r w:rsidRPr="007C5F93">
        <w:rPr>
          <w:rFonts w:ascii="Times New Roman" w:hAnsi="Times New Roman" w:cs="Times New Roman"/>
        </w:rPr>
        <w:t xml:space="preserve"> </w:t>
      </w:r>
      <w:r w:rsidR="00B75A5C">
        <w:rPr>
          <w:rFonts w:ascii="Times New Roman" w:hAnsi="Times New Roman" w:cs="Times New Roman"/>
        </w:rPr>
        <w:t>Comcare</w:t>
      </w:r>
      <w:r w:rsidR="00093976">
        <w:rPr>
          <w:rFonts w:ascii="Times New Roman" w:hAnsi="Times New Roman" w:cs="Times New Roman"/>
        </w:rPr>
        <w:t>,</w:t>
      </w:r>
      <w:r w:rsidR="00B75A5C">
        <w:rPr>
          <w:rFonts w:ascii="Times New Roman" w:hAnsi="Times New Roman" w:cs="Times New Roman"/>
        </w:rPr>
        <w:t xml:space="preserve"> the </w:t>
      </w:r>
      <w:proofErr w:type="spellStart"/>
      <w:r w:rsidR="00B75A5C">
        <w:rPr>
          <w:rFonts w:ascii="Times New Roman" w:hAnsi="Times New Roman" w:cs="Times New Roman"/>
        </w:rPr>
        <w:t>Seacare</w:t>
      </w:r>
      <w:proofErr w:type="spellEnd"/>
      <w:r w:rsidR="00B75A5C">
        <w:rPr>
          <w:rFonts w:ascii="Times New Roman" w:hAnsi="Times New Roman" w:cs="Times New Roman"/>
        </w:rPr>
        <w:t xml:space="preserve"> Authority</w:t>
      </w:r>
      <w:r w:rsidR="00C20A20">
        <w:rPr>
          <w:rFonts w:ascii="Times New Roman" w:hAnsi="Times New Roman" w:cs="Times New Roman"/>
        </w:rPr>
        <w:t>,</w:t>
      </w:r>
      <w:r w:rsidR="001060DB" w:rsidRPr="001060DB">
        <w:rPr>
          <w:rFonts w:ascii="Times New Roman" w:hAnsi="Times New Roman" w:cs="Times New Roman"/>
        </w:rPr>
        <w:t xml:space="preserve"> </w:t>
      </w:r>
      <w:r w:rsidR="00326768">
        <w:rPr>
          <w:rFonts w:ascii="Times New Roman" w:hAnsi="Times New Roman" w:cs="Times New Roman"/>
        </w:rPr>
        <w:t xml:space="preserve">scheme employers, </w:t>
      </w:r>
      <w:r w:rsidR="001060DB" w:rsidRPr="001060DB">
        <w:rPr>
          <w:rFonts w:ascii="Times New Roman" w:hAnsi="Times New Roman" w:cs="Times New Roman"/>
        </w:rPr>
        <w:t xml:space="preserve">the </w:t>
      </w:r>
      <w:r w:rsidR="00895AAA">
        <w:rPr>
          <w:rFonts w:ascii="Times New Roman" w:hAnsi="Times New Roman" w:cs="Times New Roman"/>
        </w:rPr>
        <w:t xml:space="preserve">maritime unions (the </w:t>
      </w:r>
      <w:r w:rsidR="001060DB" w:rsidRPr="001060DB">
        <w:rPr>
          <w:rFonts w:ascii="Times New Roman" w:hAnsi="Times New Roman" w:cs="Times New Roman"/>
        </w:rPr>
        <w:t>Maritime Union of Australia</w:t>
      </w:r>
      <w:r w:rsidR="00895AAA">
        <w:rPr>
          <w:rFonts w:ascii="Times New Roman" w:hAnsi="Times New Roman" w:cs="Times New Roman"/>
        </w:rPr>
        <w:t>, the Institute of Marine and Power Engineers and the Australian Maritime Officers Union)</w:t>
      </w:r>
      <w:r w:rsidR="00C20A20">
        <w:rPr>
          <w:rFonts w:ascii="Times New Roman" w:hAnsi="Times New Roman" w:cs="Times New Roman"/>
        </w:rPr>
        <w:t>,</w:t>
      </w:r>
      <w:r w:rsidR="001060DB" w:rsidRPr="001060DB">
        <w:rPr>
          <w:rFonts w:ascii="Times New Roman" w:hAnsi="Times New Roman" w:cs="Times New Roman"/>
        </w:rPr>
        <w:t xml:space="preserve"> the Australian Council of Trade Unions, Maritime Industry Australia Limited and the Australian Resources and Energy Employer Association (AREEA)</w:t>
      </w:r>
      <w:r w:rsidR="008F6943">
        <w:rPr>
          <w:rFonts w:ascii="Times New Roman" w:hAnsi="Times New Roman" w:cs="Times New Roman"/>
        </w:rPr>
        <w:t xml:space="preserve"> </w:t>
      </w:r>
      <w:r w:rsidR="00394808">
        <w:rPr>
          <w:rFonts w:ascii="Times New Roman" w:hAnsi="Times New Roman" w:cs="Times New Roman"/>
        </w:rPr>
        <w:t>over the period</w:t>
      </w:r>
      <w:r w:rsidR="008F6943">
        <w:rPr>
          <w:rFonts w:ascii="Times New Roman" w:hAnsi="Times New Roman" w:cs="Times New Roman"/>
        </w:rPr>
        <w:t xml:space="preserve"> </w:t>
      </w:r>
      <w:r w:rsidR="00394808">
        <w:rPr>
          <w:rFonts w:ascii="Times New Roman" w:hAnsi="Times New Roman" w:cs="Times New Roman"/>
        </w:rPr>
        <w:t xml:space="preserve">February </w:t>
      </w:r>
      <w:r w:rsidR="00100F76">
        <w:rPr>
          <w:rFonts w:ascii="Times New Roman" w:hAnsi="Times New Roman" w:cs="Times New Roman"/>
        </w:rPr>
        <w:t xml:space="preserve">to </w:t>
      </w:r>
      <w:r w:rsidR="00B15CA4">
        <w:rPr>
          <w:rFonts w:ascii="Times New Roman" w:hAnsi="Times New Roman" w:cs="Times New Roman"/>
        </w:rPr>
        <w:t>June 2023</w:t>
      </w:r>
      <w:r w:rsidR="00394808">
        <w:rPr>
          <w:rFonts w:ascii="Times New Roman" w:hAnsi="Times New Roman" w:cs="Times New Roman"/>
        </w:rPr>
        <w:t xml:space="preserve">. </w:t>
      </w:r>
    </w:p>
    <w:p w14:paraId="6E9658CB" w14:textId="408E1651" w:rsidR="00794272" w:rsidRDefault="00794272" w:rsidP="004955A5">
      <w:pPr>
        <w:spacing w:after="120"/>
        <w:rPr>
          <w:rFonts w:ascii="Times New Roman" w:hAnsi="Times New Roman" w:cs="Times New Roman"/>
        </w:rPr>
      </w:pPr>
      <w:r>
        <w:rPr>
          <w:rFonts w:ascii="Times New Roman" w:hAnsi="Times New Roman" w:cs="Times New Roman"/>
        </w:rPr>
        <w:t>In making this instrument, the Minister has considered the feedback provided through that consultation process.</w:t>
      </w:r>
    </w:p>
    <w:p w14:paraId="6AA3C613" w14:textId="5BA19432" w:rsidR="003D4B6B" w:rsidRDefault="003D4B6B" w:rsidP="00D9450D">
      <w:pPr>
        <w:spacing w:after="120"/>
        <w:rPr>
          <w:rFonts w:ascii="Times New Roman" w:eastAsia="Times New Roman" w:hAnsi="Times New Roman" w:cs="Times New Roman"/>
          <w:b/>
          <w:sz w:val="24"/>
          <w:lang w:eastAsia="en-AU"/>
        </w:rPr>
      </w:pPr>
    </w:p>
    <w:p w14:paraId="19AF2682" w14:textId="67B48E73" w:rsidR="00995546" w:rsidRDefault="00995546" w:rsidP="00995546">
      <w:pPr>
        <w:spacing w:line="240" w:lineRule="auto"/>
        <w:contextualSpacing/>
        <w:rPr>
          <w:rFonts w:ascii="Times New Roman" w:eastAsia="Times New Roman" w:hAnsi="Times New Roman"/>
          <w:b/>
          <w:sz w:val="24"/>
          <w:szCs w:val="24"/>
        </w:rPr>
      </w:pPr>
      <w:r>
        <w:rPr>
          <w:rFonts w:ascii="Times New Roman" w:eastAsia="Times New Roman" w:hAnsi="Times New Roman"/>
          <w:b/>
          <w:caps/>
          <w:sz w:val="24"/>
          <w:szCs w:val="24"/>
        </w:rPr>
        <w:t xml:space="preserve">REGULATION IMPACT </w:t>
      </w:r>
      <w:r w:rsidR="0067220A">
        <w:rPr>
          <w:rFonts w:ascii="Times New Roman" w:eastAsia="Times New Roman" w:hAnsi="Times New Roman"/>
          <w:b/>
          <w:caps/>
          <w:sz w:val="24"/>
          <w:szCs w:val="24"/>
        </w:rPr>
        <w:t>ANALYSIS</w:t>
      </w:r>
    </w:p>
    <w:p w14:paraId="6F64FE46" w14:textId="77777777" w:rsidR="00995546" w:rsidRDefault="00995546" w:rsidP="00995546">
      <w:pPr>
        <w:autoSpaceDE w:val="0"/>
        <w:autoSpaceDN w:val="0"/>
        <w:adjustRightInd w:val="0"/>
        <w:spacing w:before="120" w:after="120" w:line="240" w:lineRule="auto"/>
        <w:contextualSpacing/>
        <w:rPr>
          <w:rFonts w:ascii="Times New Roman" w:eastAsia="Times New Roman" w:hAnsi="Times New Roman"/>
          <w:lang w:eastAsia="en-AU"/>
        </w:rPr>
      </w:pPr>
    </w:p>
    <w:p w14:paraId="107BB45A" w14:textId="43CE3330" w:rsidR="00995546" w:rsidRPr="001A3742" w:rsidRDefault="00995546" w:rsidP="00995546">
      <w:pPr>
        <w:autoSpaceDE w:val="0"/>
        <w:autoSpaceDN w:val="0"/>
        <w:adjustRightInd w:val="0"/>
        <w:spacing w:before="120" w:after="120" w:line="240" w:lineRule="auto"/>
        <w:contextualSpacing/>
        <w:rPr>
          <w:rFonts w:ascii="Times New Roman" w:eastAsia="Times New Roman" w:hAnsi="Times New Roman"/>
          <w:color w:val="000000" w:themeColor="text1"/>
          <w:lang w:eastAsia="en-AU"/>
        </w:rPr>
      </w:pPr>
      <w:r w:rsidRPr="001A3742">
        <w:rPr>
          <w:rFonts w:ascii="Times New Roman" w:eastAsia="Times New Roman" w:hAnsi="Times New Roman"/>
          <w:color w:val="000000" w:themeColor="text1"/>
          <w:lang w:eastAsia="en-AU"/>
        </w:rPr>
        <w:t xml:space="preserve">The Office of </w:t>
      </w:r>
      <w:r w:rsidR="00FE0464" w:rsidRPr="001A3742">
        <w:rPr>
          <w:rFonts w:ascii="Times New Roman" w:eastAsia="Times New Roman" w:hAnsi="Times New Roman"/>
          <w:color w:val="000000" w:themeColor="text1"/>
          <w:lang w:eastAsia="en-AU"/>
        </w:rPr>
        <w:t>Impact Analysis</w:t>
      </w:r>
      <w:r w:rsidRPr="001A3742">
        <w:rPr>
          <w:rFonts w:ascii="Times New Roman" w:eastAsia="Times New Roman" w:hAnsi="Times New Roman"/>
          <w:color w:val="000000" w:themeColor="text1"/>
          <w:lang w:eastAsia="en-AU"/>
        </w:rPr>
        <w:t xml:space="preserve"> was consulted regarding this instrument and indicated that</w:t>
      </w:r>
      <w:r w:rsidR="001A3742">
        <w:rPr>
          <w:rFonts w:ascii="Times New Roman" w:eastAsia="Times New Roman" w:hAnsi="Times New Roman"/>
          <w:color w:val="000000" w:themeColor="text1"/>
          <w:lang w:eastAsia="en-AU"/>
        </w:rPr>
        <w:t xml:space="preserve"> </w:t>
      </w:r>
      <w:r w:rsidR="001A3742" w:rsidRPr="001A3742">
        <w:rPr>
          <w:rFonts w:ascii="Times New Roman" w:eastAsia="Times New Roman" w:hAnsi="Times New Roman"/>
          <w:color w:val="000000" w:themeColor="text1"/>
          <w:lang w:eastAsia="en-AU"/>
        </w:rPr>
        <w:t xml:space="preserve">preparation of impact analysis </w:t>
      </w:r>
      <w:r w:rsidR="001A3742">
        <w:rPr>
          <w:rFonts w:ascii="Times New Roman" w:eastAsia="Times New Roman" w:hAnsi="Times New Roman"/>
          <w:color w:val="000000" w:themeColor="text1"/>
          <w:lang w:eastAsia="en-AU"/>
        </w:rPr>
        <w:t>i</w:t>
      </w:r>
      <w:r w:rsidRPr="001A3742">
        <w:rPr>
          <w:rFonts w:ascii="Times New Roman" w:eastAsia="Times New Roman" w:hAnsi="Times New Roman"/>
          <w:color w:val="000000" w:themeColor="text1"/>
          <w:lang w:eastAsia="en-AU"/>
        </w:rPr>
        <w:t>s not required (O</w:t>
      </w:r>
      <w:r w:rsidR="00FE0464" w:rsidRPr="001A3742">
        <w:rPr>
          <w:rFonts w:ascii="Times New Roman" w:eastAsia="Times New Roman" w:hAnsi="Times New Roman"/>
          <w:color w:val="000000" w:themeColor="text1"/>
          <w:lang w:eastAsia="en-AU"/>
        </w:rPr>
        <w:t>IA23-04538</w:t>
      </w:r>
      <w:r w:rsidRPr="001A3742">
        <w:rPr>
          <w:rFonts w:ascii="Times New Roman" w:eastAsia="Times New Roman" w:hAnsi="Times New Roman"/>
          <w:color w:val="000000" w:themeColor="text1"/>
          <w:lang w:eastAsia="en-AU"/>
        </w:rPr>
        <w:t>).</w:t>
      </w:r>
    </w:p>
    <w:p w14:paraId="5E2164D3" w14:textId="77777777" w:rsidR="001A746F" w:rsidRPr="007C5F93" w:rsidRDefault="001A746F" w:rsidP="00D9450D">
      <w:pPr>
        <w:spacing w:after="120"/>
        <w:rPr>
          <w:rFonts w:ascii="Times New Roman" w:eastAsia="Times New Roman" w:hAnsi="Times New Roman" w:cs="Times New Roman"/>
          <w:b/>
          <w:sz w:val="24"/>
          <w:lang w:eastAsia="en-AU"/>
        </w:rPr>
      </w:pPr>
    </w:p>
    <w:p w14:paraId="5C70AF0D" w14:textId="77777777" w:rsidR="00D9450D" w:rsidRPr="007C5F93" w:rsidRDefault="00D9450D" w:rsidP="00560D05">
      <w:pPr>
        <w:pageBreakBefore/>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STATEMENT OF COMPATIBILITY WITH HUMAN RIGHTS</w:t>
      </w:r>
    </w:p>
    <w:p w14:paraId="69F87AAF" w14:textId="77777777" w:rsidR="00D9450D" w:rsidRPr="007C5F93" w:rsidRDefault="00D9450D" w:rsidP="00D9450D">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7C877A2A" w14:textId="284B190C" w:rsidR="00D9450D" w:rsidRPr="007C5F93" w:rsidRDefault="000A6B93" w:rsidP="00D9450D">
      <w:pPr>
        <w:rPr>
          <w:rFonts w:ascii="Times New Roman" w:hAnsi="Times New Roman" w:cs="Times New Roman"/>
          <w:b/>
          <w:lang w:eastAsia="en-AU"/>
        </w:rPr>
      </w:pPr>
      <w:r>
        <w:rPr>
          <w:rFonts w:ascii="Times New Roman" w:hAnsi="Times New Roman" w:cs="Times New Roman"/>
          <w:b/>
        </w:rPr>
        <w:t>Seafarers Rehabilitation and Compensation Directions 2023</w:t>
      </w:r>
    </w:p>
    <w:p w14:paraId="7466A15B" w14:textId="77777777" w:rsidR="00D9450D" w:rsidRPr="007C5F93" w:rsidRDefault="00D9450D" w:rsidP="00D9450D">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204902E4" w14:textId="77777777" w:rsidR="00D9450D" w:rsidRPr="007C5F93" w:rsidRDefault="00D9450D" w:rsidP="00D9450D">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3E11A507" w14:textId="562247E0" w:rsidR="000A6B93" w:rsidRDefault="000A6B93" w:rsidP="000A6B93">
      <w:pPr>
        <w:rPr>
          <w:rFonts w:ascii="Times New Roman" w:hAnsi="Times New Roman"/>
        </w:rPr>
      </w:pPr>
      <w:r w:rsidRPr="007A5493">
        <w:rPr>
          <w:rFonts w:ascii="Times New Roman" w:hAnsi="Times New Roman"/>
        </w:rPr>
        <w:t xml:space="preserve">The </w:t>
      </w:r>
      <w:r w:rsidRPr="007A5493">
        <w:rPr>
          <w:rFonts w:ascii="Times New Roman" w:hAnsi="Times New Roman"/>
          <w:i/>
        </w:rPr>
        <w:t xml:space="preserve">Seafarers </w:t>
      </w:r>
      <w:r w:rsidRPr="007A5493">
        <w:rPr>
          <w:rFonts w:ascii="Times New Roman" w:hAnsi="Times New Roman"/>
          <w:i/>
          <w:iCs/>
        </w:rPr>
        <w:t xml:space="preserve">Rehabilitation and Compensation Act 1992 </w:t>
      </w:r>
      <w:r w:rsidRPr="007A5493">
        <w:rPr>
          <w:rFonts w:ascii="Times New Roman" w:hAnsi="Times New Roman"/>
        </w:rPr>
        <w:t xml:space="preserve">(the </w:t>
      </w:r>
      <w:r>
        <w:rPr>
          <w:rFonts w:ascii="Times New Roman" w:hAnsi="Times New Roman"/>
        </w:rPr>
        <w:t xml:space="preserve">Seafarers </w:t>
      </w:r>
      <w:r w:rsidRPr="007A5493">
        <w:rPr>
          <w:rFonts w:ascii="Times New Roman" w:hAnsi="Times New Roman"/>
        </w:rPr>
        <w:t xml:space="preserve">Act) provides workers’ compensation and rehabilitation arrangements for approximately </w:t>
      </w:r>
      <w:r w:rsidR="00326768">
        <w:rPr>
          <w:rFonts w:ascii="Times New Roman" w:hAnsi="Times New Roman"/>
        </w:rPr>
        <w:t>2,500</w:t>
      </w:r>
      <w:r w:rsidRPr="007A5493">
        <w:rPr>
          <w:rFonts w:ascii="Times New Roman" w:hAnsi="Times New Roman"/>
        </w:rPr>
        <w:t xml:space="preserve"> seafarers in </w:t>
      </w:r>
      <w:r>
        <w:rPr>
          <w:rFonts w:ascii="Times New Roman" w:hAnsi="Times New Roman"/>
        </w:rPr>
        <w:t xml:space="preserve">a defined part of </w:t>
      </w:r>
      <w:r w:rsidRPr="007A5493">
        <w:rPr>
          <w:rFonts w:ascii="Times New Roman" w:hAnsi="Times New Roman"/>
        </w:rPr>
        <w:t xml:space="preserve">the Australian maritime industry. </w:t>
      </w:r>
    </w:p>
    <w:p w14:paraId="45F4C519" w14:textId="77777777" w:rsidR="000A6B93" w:rsidRDefault="000A6B93" w:rsidP="000A6B93">
      <w:pPr>
        <w:rPr>
          <w:rFonts w:ascii="Times New Roman" w:hAnsi="Times New Roman"/>
        </w:rPr>
      </w:pPr>
      <w:r>
        <w:rPr>
          <w:rFonts w:ascii="Times New Roman" w:hAnsi="Times New Roman"/>
        </w:rPr>
        <w:t xml:space="preserve">The Seafarers Safety, Rehabilitation and Compensation Authority (the </w:t>
      </w:r>
      <w:proofErr w:type="spellStart"/>
      <w:r>
        <w:rPr>
          <w:rFonts w:ascii="Times New Roman" w:hAnsi="Times New Roman"/>
        </w:rPr>
        <w:t>Seacare</w:t>
      </w:r>
      <w:proofErr w:type="spellEnd"/>
      <w:r>
        <w:rPr>
          <w:rFonts w:ascii="Times New Roman" w:hAnsi="Times New Roman"/>
        </w:rPr>
        <w:t xml:space="preserve"> Authority) is established by section 103 of the Seafarers Act. The </w:t>
      </w:r>
      <w:proofErr w:type="spellStart"/>
      <w:r>
        <w:rPr>
          <w:rFonts w:ascii="Times New Roman" w:hAnsi="Times New Roman"/>
        </w:rPr>
        <w:t>Seacare</w:t>
      </w:r>
      <w:proofErr w:type="spellEnd"/>
      <w:r>
        <w:rPr>
          <w:rFonts w:ascii="Times New Roman" w:hAnsi="Times New Roman"/>
        </w:rPr>
        <w:t xml:space="preserve"> Authority has </w:t>
      </w:r>
      <w:proofErr w:type="gramStart"/>
      <w:r>
        <w:rPr>
          <w:rFonts w:ascii="Times New Roman" w:hAnsi="Times New Roman"/>
        </w:rPr>
        <w:t>a number of</w:t>
      </w:r>
      <w:proofErr w:type="gramEnd"/>
      <w:r>
        <w:rPr>
          <w:rFonts w:ascii="Times New Roman" w:hAnsi="Times New Roman"/>
        </w:rPr>
        <w:t xml:space="preserve"> functions and powers under the Seafarers Act, including the power to grant exemptions form the operation of the Seafarers Act, the </w:t>
      </w:r>
      <w:r w:rsidRPr="00C46E7D">
        <w:rPr>
          <w:rFonts w:ascii="Times New Roman" w:hAnsi="Times New Roman"/>
          <w:i/>
          <w:iCs/>
        </w:rPr>
        <w:t>Seafarers Rehabilitation and Compensation Levy Act 1992</w:t>
      </w:r>
      <w:r>
        <w:rPr>
          <w:rFonts w:ascii="Times New Roman" w:hAnsi="Times New Roman"/>
        </w:rPr>
        <w:t xml:space="preserve">; and the </w:t>
      </w:r>
      <w:r w:rsidRPr="00C46E7D">
        <w:rPr>
          <w:rFonts w:ascii="Times New Roman" w:hAnsi="Times New Roman"/>
          <w:i/>
          <w:iCs/>
        </w:rPr>
        <w:t xml:space="preserve">Seafarers Rehabilitation and Compensation Levy Collection Act 1992 </w:t>
      </w:r>
      <w:r>
        <w:rPr>
          <w:rFonts w:ascii="Times New Roman" w:hAnsi="Times New Roman"/>
        </w:rPr>
        <w:t>under section 20A of the Seafarers Act.</w:t>
      </w:r>
    </w:p>
    <w:p w14:paraId="5A3A3BD4" w14:textId="77777777" w:rsidR="000A6B93" w:rsidRDefault="000A6B93" w:rsidP="000A6B93">
      <w:pPr>
        <w:rPr>
          <w:rFonts w:ascii="Times New Roman" w:hAnsi="Times New Roman"/>
        </w:rPr>
      </w:pPr>
      <w:r>
        <w:rPr>
          <w:rFonts w:ascii="Times New Roman" w:hAnsi="Times New Roman"/>
        </w:rPr>
        <w:t xml:space="preserve">Pursuant to section 107 of the Seafarers Act the Minister may, by notice in writing given to the Chairperson, give a direction to the </w:t>
      </w:r>
      <w:proofErr w:type="spellStart"/>
      <w:r>
        <w:rPr>
          <w:rFonts w:ascii="Times New Roman" w:hAnsi="Times New Roman"/>
        </w:rPr>
        <w:t>Seacare</w:t>
      </w:r>
      <w:proofErr w:type="spellEnd"/>
      <w:r>
        <w:rPr>
          <w:rFonts w:ascii="Times New Roman" w:hAnsi="Times New Roman"/>
        </w:rPr>
        <w:t xml:space="preserve"> Authority with respect to the performance of its functions or the exercise of its powers.</w:t>
      </w:r>
    </w:p>
    <w:p w14:paraId="07161580" w14:textId="229B36D9" w:rsidR="000A6B93" w:rsidRDefault="000A6B93" w:rsidP="000A6B93">
      <w:pPr>
        <w:rPr>
          <w:rFonts w:ascii="Times New Roman" w:hAnsi="Times New Roman"/>
        </w:rPr>
      </w:pPr>
      <w:r>
        <w:rPr>
          <w:rFonts w:ascii="Times New Roman" w:hAnsi="Times New Roman"/>
        </w:rPr>
        <w:t xml:space="preserve">On and from 6 September 2006, the </w:t>
      </w:r>
      <w:proofErr w:type="spellStart"/>
      <w:r>
        <w:rPr>
          <w:rFonts w:ascii="Times New Roman" w:hAnsi="Times New Roman"/>
        </w:rPr>
        <w:t>Seacare</w:t>
      </w:r>
      <w:proofErr w:type="spellEnd"/>
      <w:r>
        <w:rPr>
          <w:rFonts w:ascii="Times New Roman" w:hAnsi="Times New Roman"/>
        </w:rPr>
        <w:t xml:space="preserve"> Authority has been subject to the Ministerial directions contained in the </w:t>
      </w:r>
      <w:r w:rsidRPr="00C46E7D">
        <w:rPr>
          <w:rFonts w:ascii="Times New Roman" w:hAnsi="Times New Roman"/>
          <w:i/>
          <w:iCs/>
        </w:rPr>
        <w:t xml:space="preserve">Seafarers </w:t>
      </w:r>
      <w:r>
        <w:rPr>
          <w:rFonts w:ascii="Times New Roman" w:hAnsi="Times New Roman"/>
          <w:i/>
          <w:iCs/>
        </w:rPr>
        <w:t xml:space="preserve">Safety </w:t>
      </w:r>
      <w:r w:rsidRPr="00C46E7D">
        <w:rPr>
          <w:rFonts w:ascii="Times New Roman" w:hAnsi="Times New Roman"/>
          <w:i/>
          <w:iCs/>
        </w:rPr>
        <w:t>Rehabilitation and Compensation</w:t>
      </w:r>
      <w:r>
        <w:rPr>
          <w:rFonts w:ascii="Times New Roman" w:hAnsi="Times New Roman"/>
          <w:i/>
          <w:iCs/>
        </w:rPr>
        <w:t xml:space="preserve"> Directions </w:t>
      </w:r>
      <w:r w:rsidR="00D35C6A">
        <w:rPr>
          <w:rFonts w:ascii="Times New Roman" w:eastAsia="Calibri" w:hAnsi="Times New Roman" w:cs="Times New Roman"/>
          <w:i/>
        </w:rPr>
        <w:t xml:space="preserve">2006 </w:t>
      </w:r>
      <w:r>
        <w:rPr>
          <w:rFonts w:ascii="Times New Roman" w:hAnsi="Times New Roman"/>
          <w:i/>
          <w:iCs/>
        </w:rPr>
        <w:t>(1)</w:t>
      </w:r>
      <w:r>
        <w:rPr>
          <w:rFonts w:ascii="Times New Roman" w:hAnsi="Times New Roman"/>
        </w:rPr>
        <w:t xml:space="preserve">. </w:t>
      </w:r>
    </w:p>
    <w:p w14:paraId="75438F09" w14:textId="0D878237" w:rsidR="000A6B93" w:rsidRDefault="000A6B93" w:rsidP="000A6B93">
      <w:pPr>
        <w:rPr>
          <w:rFonts w:ascii="Times New Roman" w:hAnsi="Times New Roman"/>
        </w:rPr>
      </w:pPr>
      <w:r>
        <w:rPr>
          <w:rFonts w:ascii="Times New Roman" w:hAnsi="Times New Roman"/>
        </w:rPr>
        <w:t xml:space="preserve">Pursuant to section 107 of the Seafarers Act and subsection 33(3) of the </w:t>
      </w:r>
      <w:r w:rsidRPr="00DE2161">
        <w:rPr>
          <w:rFonts w:ascii="Times New Roman" w:hAnsi="Times New Roman"/>
          <w:i/>
          <w:iCs/>
        </w:rPr>
        <w:t>Acts Interpretation Act 1901</w:t>
      </w:r>
      <w:r>
        <w:rPr>
          <w:rFonts w:ascii="Times New Roman" w:hAnsi="Times New Roman"/>
        </w:rPr>
        <w:t xml:space="preserve">, this instrument repeals the </w:t>
      </w:r>
      <w:r w:rsidRPr="00C46E7D">
        <w:rPr>
          <w:rFonts w:ascii="Times New Roman" w:hAnsi="Times New Roman"/>
          <w:i/>
          <w:iCs/>
        </w:rPr>
        <w:t xml:space="preserve">Seafarers </w:t>
      </w:r>
      <w:r>
        <w:rPr>
          <w:rFonts w:ascii="Times New Roman" w:hAnsi="Times New Roman"/>
          <w:i/>
          <w:iCs/>
        </w:rPr>
        <w:t xml:space="preserve">Safety </w:t>
      </w:r>
      <w:r w:rsidRPr="00C46E7D">
        <w:rPr>
          <w:rFonts w:ascii="Times New Roman" w:hAnsi="Times New Roman"/>
          <w:i/>
          <w:iCs/>
        </w:rPr>
        <w:t>Rehabilitation and Compensation</w:t>
      </w:r>
      <w:r>
        <w:rPr>
          <w:rFonts w:ascii="Times New Roman" w:hAnsi="Times New Roman"/>
          <w:i/>
          <w:iCs/>
        </w:rPr>
        <w:t xml:space="preserve"> Directions</w:t>
      </w:r>
      <w:r w:rsidR="00D35C6A">
        <w:rPr>
          <w:rFonts w:ascii="Times New Roman" w:hAnsi="Times New Roman"/>
          <w:i/>
          <w:iCs/>
        </w:rPr>
        <w:t xml:space="preserve"> </w:t>
      </w:r>
      <w:r w:rsidR="00D35C6A">
        <w:rPr>
          <w:rFonts w:ascii="Times New Roman" w:eastAsia="Calibri" w:hAnsi="Times New Roman" w:cs="Times New Roman"/>
          <w:i/>
        </w:rPr>
        <w:t xml:space="preserve">2006 </w:t>
      </w:r>
      <w:r>
        <w:rPr>
          <w:rFonts w:ascii="Times New Roman" w:hAnsi="Times New Roman"/>
          <w:i/>
          <w:iCs/>
        </w:rPr>
        <w:t>(1)</w:t>
      </w:r>
      <w:r>
        <w:rPr>
          <w:rFonts w:ascii="Times New Roman" w:hAnsi="Times New Roman"/>
        </w:rPr>
        <w:t xml:space="preserve"> and provides three new directions to the </w:t>
      </w:r>
      <w:proofErr w:type="spellStart"/>
      <w:r>
        <w:rPr>
          <w:rFonts w:ascii="Times New Roman" w:hAnsi="Times New Roman"/>
        </w:rPr>
        <w:t>Seacare</w:t>
      </w:r>
      <w:proofErr w:type="spellEnd"/>
      <w:r>
        <w:rPr>
          <w:rFonts w:ascii="Times New Roman" w:hAnsi="Times New Roman"/>
        </w:rPr>
        <w:t xml:space="preserve"> Authority. Under this instrument the Minister directs the </w:t>
      </w:r>
      <w:proofErr w:type="spellStart"/>
      <w:r w:rsidRPr="00506148">
        <w:rPr>
          <w:rFonts w:ascii="Times New Roman" w:hAnsi="Times New Roman"/>
        </w:rPr>
        <w:t>Seacare</w:t>
      </w:r>
      <w:proofErr w:type="spellEnd"/>
      <w:r w:rsidRPr="00506148">
        <w:rPr>
          <w:rFonts w:ascii="Times New Roman" w:hAnsi="Times New Roman"/>
        </w:rPr>
        <w:t xml:space="preserve"> Authority to amend its Exemption Guidelines to specify that:</w:t>
      </w:r>
    </w:p>
    <w:p w14:paraId="02D01A52" w14:textId="5BE41926" w:rsidR="006E4D7C" w:rsidRDefault="006E4D7C" w:rsidP="006E4D7C">
      <w:pPr>
        <w:pStyle w:val="ListParagraph"/>
        <w:numPr>
          <w:ilvl w:val="0"/>
          <w:numId w:val="3"/>
        </w:numPr>
        <w:rPr>
          <w:rFonts w:ascii="Times New Roman" w:hAnsi="Times New Roman" w:cs="Times New Roman"/>
        </w:rPr>
      </w:pPr>
      <w:r w:rsidRPr="006E4D7C">
        <w:rPr>
          <w:rFonts w:ascii="Times New Roman" w:hAnsi="Times New Roman" w:cs="Times New Roman"/>
        </w:rPr>
        <w:t xml:space="preserve">the integrity and ongoing viability of the </w:t>
      </w:r>
      <w:proofErr w:type="spellStart"/>
      <w:r w:rsidRPr="006E4D7C">
        <w:rPr>
          <w:rFonts w:ascii="Times New Roman" w:hAnsi="Times New Roman" w:cs="Times New Roman"/>
        </w:rPr>
        <w:t>Seacare</w:t>
      </w:r>
      <w:proofErr w:type="spellEnd"/>
      <w:r w:rsidRPr="006E4D7C">
        <w:rPr>
          <w:rFonts w:ascii="Times New Roman" w:hAnsi="Times New Roman" w:cs="Times New Roman"/>
        </w:rPr>
        <w:t xml:space="preserve"> scheme is a primary factor in determining all applications for exemption from the operation of the Seafarers Act under section 20A of that Act; and</w:t>
      </w:r>
    </w:p>
    <w:p w14:paraId="58A5ADAE" w14:textId="77777777" w:rsidR="006E4D7C" w:rsidRDefault="006E4D7C" w:rsidP="006E4D7C">
      <w:pPr>
        <w:pStyle w:val="ListParagraph"/>
        <w:rPr>
          <w:rFonts w:ascii="Times New Roman" w:hAnsi="Times New Roman" w:cs="Times New Roman"/>
        </w:rPr>
      </w:pPr>
    </w:p>
    <w:p w14:paraId="64CB7258" w14:textId="05B63441" w:rsidR="006E4D7C" w:rsidRDefault="006E4D7C" w:rsidP="006E4D7C">
      <w:pPr>
        <w:pStyle w:val="ListParagraph"/>
        <w:numPr>
          <w:ilvl w:val="0"/>
          <w:numId w:val="3"/>
        </w:numPr>
        <w:rPr>
          <w:rFonts w:ascii="Times New Roman" w:hAnsi="Times New Roman" w:cs="Times New Roman"/>
        </w:rPr>
      </w:pPr>
      <w:r w:rsidRPr="006E4D7C">
        <w:rPr>
          <w:rFonts w:ascii="Times New Roman" w:hAnsi="Times New Roman" w:cs="Times New Roman"/>
        </w:rPr>
        <w:t xml:space="preserve">a reduction in workers’ compensation entitlements for affected seafarers is a primary factor in determining not to grant an exemption under section 20A of the Seafarers Act where the </w:t>
      </w:r>
      <w:proofErr w:type="spellStart"/>
      <w:r w:rsidRPr="006E4D7C">
        <w:rPr>
          <w:rFonts w:ascii="Times New Roman" w:hAnsi="Times New Roman" w:cs="Times New Roman"/>
        </w:rPr>
        <w:t>Seacare</w:t>
      </w:r>
      <w:proofErr w:type="spellEnd"/>
      <w:r w:rsidRPr="006E4D7C">
        <w:rPr>
          <w:rFonts w:ascii="Times New Roman" w:hAnsi="Times New Roman" w:cs="Times New Roman"/>
        </w:rPr>
        <w:t xml:space="preserve"> Authority is satisfied that a reduction in entitlements would be a likely outcome for the employees on a particular ship; and</w:t>
      </w:r>
    </w:p>
    <w:p w14:paraId="122E3384" w14:textId="77777777" w:rsidR="006E4D7C" w:rsidRPr="006E4D7C" w:rsidRDefault="006E4D7C" w:rsidP="006E4D7C">
      <w:pPr>
        <w:pStyle w:val="ListParagraph"/>
        <w:rPr>
          <w:rFonts w:ascii="Times New Roman" w:hAnsi="Times New Roman" w:cs="Times New Roman"/>
        </w:rPr>
      </w:pPr>
    </w:p>
    <w:p w14:paraId="576525F9" w14:textId="3135ED16" w:rsidR="000A6B93" w:rsidRDefault="006E4D7C" w:rsidP="006E4D7C">
      <w:pPr>
        <w:pStyle w:val="ListParagraph"/>
        <w:numPr>
          <w:ilvl w:val="0"/>
          <w:numId w:val="3"/>
        </w:numPr>
        <w:rPr>
          <w:rFonts w:ascii="Times New Roman" w:hAnsi="Times New Roman" w:cs="Times New Roman"/>
        </w:rPr>
      </w:pPr>
      <w:r w:rsidRPr="006E4D7C">
        <w:rPr>
          <w:rFonts w:ascii="Times New Roman" w:hAnsi="Times New Roman" w:cs="Times New Roman"/>
        </w:rPr>
        <w:t xml:space="preserve">where an applicant requests an exemption from the application of the Seafarers Act under section 20A on the grounds that workers’ compensation insurance under the Seafarers Act is unavailable, a primary factor in determining the application is whether the </w:t>
      </w:r>
      <w:proofErr w:type="spellStart"/>
      <w:r w:rsidRPr="006E4D7C">
        <w:rPr>
          <w:rFonts w:ascii="Times New Roman" w:hAnsi="Times New Roman" w:cs="Times New Roman"/>
        </w:rPr>
        <w:t>Seacare</w:t>
      </w:r>
      <w:proofErr w:type="spellEnd"/>
      <w:r w:rsidRPr="006E4D7C">
        <w:rPr>
          <w:rFonts w:ascii="Times New Roman" w:hAnsi="Times New Roman" w:cs="Times New Roman"/>
        </w:rPr>
        <w:t xml:space="preserve"> Authority is reasonably satisfied that the applicant has </w:t>
      </w:r>
      <w:r w:rsidR="00794272">
        <w:rPr>
          <w:rFonts w:ascii="Times New Roman" w:hAnsi="Times New Roman" w:cs="Times New Roman"/>
        </w:rPr>
        <w:t>taken all reasonable steps</w:t>
      </w:r>
      <w:r w:rsidRPr="006E4D7C">
        <w:rPr>
          <w:rFonts w:ascii="Times New Roman" w:hAnsi="Times New Roman" w:cs="Times New Roman"/>
        </w:rPr>
        <w:t xml:space="preserve"> to obtain insurance or indemnification for the applicant’s workers’ compensation liability under the Seafarers Act.</w:t>
      </w:r>
    </w:p>
    <w:p w14:paraId="1BF2FBCC" w14:textId="77777777" w:rsidR="00B15CA4" w:rsidRPr="00B15CA4" w:rsidRDefault="00B15CA4" w:rsidP="00B15CA4">
      <w:pPr>
        <w:pStyle w:val="ListParagraph"/>
        <w:rPr>
          <w:rFonts w:ascii="Times New Roman" w:hAnsi="Times New Roman" w:cs="Times New Roman"/>
        </w:rPr>
      </w:pPr>
    </w:p>
    <w:p w14:paraId="59047B17" w14:textId="784D433B" w:rsidR="00B15CA4" w:rsidRPr="00B15CA4" w:rsidRDefault="00B15CA4" w:rsidP="00B15CA4">
      <w:pPr>
        <w:pStyle w:val="ListParagraph"/>
        <w:numPr>
          <w:ilvl w:val="0"/>
          <w:numId w:val="3"/>
        </w:numPr>
        <w:rPr>
          <w:rFonts w:ascii="Times New Roman" w:hAnsi="Times New Roman" w:cs="Times New Roman"/>
        </w:rPr>
      </w:pPr>
      <w:r w:rsidRPr="00CC0003">
        <w:rPr>
          <w:rFonts w:ascii="Times New Roman" w:hAnsi="Times New Roman" w:cs="Times New Roman"/>
        </w:rPr>
        <w:t>the applicant has state or territory insurance in all jurisdictions in which it operates, is a primary factor in determining all applications for exemption from the operation of the Seafarers Act under section 20A of that Act.</w:t>
      </w:r>
    </w:p>
    <w:p w14:paraId="349CA526" w14:textId="640CBABF"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lastRenderedPageBreak/>
        <w:t>Human rights implications</w:t>
      </w:r>
    </w:p>
    <w:p w14:paraId="78787632" w14:textId="7CD539F5" w:rsidR="00E051C4" w:rsidRPr="007C5F93" w:rsidRDefault="00E051C4" w:rsidP="00E051C4">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proofErr w:type="gramStart"/>
      <w:r w:rsidRPr="007C5F93">
        <w:rPr>
          <w:rFonts w:ascii="Times New Roman" w:eastAsia="Times New Roman" w:hAnsi="Times New Roman" w:cs="Times New Roman"/>
          <w:bCs/>
          <w:lang w:eastAsia="en-AU"/>
        </w:rPr>
        <w:t>.</w:t>
      </w:r>
      <w:r w:rsidRPr="007C5F93">
        <w:rPr>
          <w:rFonts w:ascii="Times New Roman" w:eastAsia="Times New Roman" w:hAnsi="Times New Roman" w:cs="Times New Roman"/>
          <w:bCs/>
          <w:vertAlign w:val="superscript"/>
          <w:lang w:eastAsia="en-AU"/>
        </w:rPr>
        <w:footnoteReference w:customMarkFollows="1" w:id="1"/>
        <w:t>1</w:t>
      </w:r>
      <w:proofErr w:type="gramEnd"/>
      <w:r w:rsidRPr="007C5F93">
        <w:rPr>
          <w:rFonts w:ascii="Times New Roman" w:eastAsia="Times New Roman" w:hAnsi="Times New Roman" w:cs="Times New Roman"/>
          <w:bCs/>
          <w:lang w:eastAsia="en-AU"/>
        </w:rPr>
        <w:t xml:space="preserve"> </w:t>
      </w:r>
    </w:p>
    <w:p w14:paraId="405B62BC" w14:textId="5FB60D91" w:rsidR="00E051C4" w:rsidRDefault="00E051C4" w:rsidP="00E051C4">
      <w:pPr>
        <w:spacing w:after="120"/>
        <w:rPr>
          <w:rFonts w:ascii="Times New Roman" w:hAnsi="Times New Roman" w:cs="Times New Roman"/>
        </w:rPr>
      </w:pPr>
      <w:r w:rsidRPr="007C5F93">
        <w:rPr>
          <w:rFonts w:ascii="Times New Roman" w:hAnsi="Times New Roman" w:cs="Times New Roman"/>
        </w:rPr>
        <w:t xml:space="preserve">Workers’ compensation is analogous to social insurance in that it provides payment of wages and medical costs to employees for injuries occurring </w:t>
      </w:r>
      <w:proofErr w:type="gramStart"/>
      <w:r w:rsidRPr="007C5F93">
        <w:rPr>
          <w:rFonts w:ascii="Times New Roman" w:hAnsi="Times New Roman" w:cs="Times New Roman"/>
        </w:rPr>
        <w:t>as a result of</w:t>
      </w:r>
      <w:proofErr w:type="gramEnd"/>
      <w:r w:rsidRPr="007C5F93">
        <w:rPr>
          <w:rFonts w:ascii="Times New Roman" w:hAnsi="Times New Roman" w:cs="Times New Roman"/>
        </w:rPr>
        <w:t xml:space="preserve"> their employment. </w:t>
      </w:r>
    </w:p>
    <w:p w14:paraId="7EAC843E" w14:textId="59D66441" w:rsidR="005364EB" w:rsidRDefault="008D26CA" w:rsidP="00E051C4">
      <w:pPr>
        <w:spacing w:after="120"/>
        <w:rPr>
          <w:rFonts w:ascii="Times New Roman" w:hAnsi="Times New Roman"/>
        </w:rPr>
      </w:pPr>
      <w:r>
        <w:rPr>
          <w:rFonts w:ascii="Times New Roman" w:hAnsi="Times New Roman" w:cs="Times New Roman"/>
        </w:rPr>
        <w:t xml:space="preserve">This instrument engages but does not limit human rights. </w:t>
      </w:r>
      <w:r w:rsidR="00F3731C">
        <w:rPr>
          <w:rFonts w:ascii="Times New Roman" w:hAnsi="Times New Roman" w:cs="Times New Roman"/>
        </w:rPr>
        <w:t xml:space="preserve">By repealing the </w:t>
      </w:r>
      <w:r w:rsidR="00F3731C" w:rsidRPr="00C46E7D">
        <w:rPr>
          <w:rFonts w:ascii="Times New Roman" w:hAnsi="Times New Roman"/>
          <w:i/>
          <w:iCs/>
        </w:rPr>
        <w:t xml:space="preserve">Seafarers </w:t>
      </w:r>
      <w:r w:rsidR="00F3731C">
        <w:rPr>
          <w:rFonts w:ascii="Times New Roman" w:hAnsi="Times New Roman"/>
          <w:i/>
          <w:iCs/>
        </w:rPr>
        <w:t xml:space="preserve">Safety </w:t>
      </w:r>
      <w:r w:rsidR="00F3731C" w:rsidRPr="00C46E7D">
        <w:rPr>
          <w:rFonts w:ascii="Times New Roman" w:hAnsi="Times New Roman"/>
          <w:i/>
          <w:iCs/>
        </w:rPr>
        <w:t>Rehabilitation and Compensation</w:t>
      </w:r>
      <w:r w:rsidR="00F3731C">
        <w:rPr>
          <w:rFonts w:ascii="Times New Roman" w:hAnsi="Times New Roman"/>
          <w:i/>
          <w:iCs/>
        </w:rPr>
        <w:t xml:space="preserve"> Directions 2006 (1)</w:t>
      </w:r>
      <w:r w:rsidR="00F3731C">
        <w:rPr>
          <w:rFonts w:ascii="Times New Roman" w:hAnsi="Times New Roman"/>
        </w:rPr>
        <w:t xml:space="preserve"> and making </w:t>
      </w:r>
      <w:r w:rsidR="00AB06B7">
        <w:rPr>
          <w:rFonts w:ascii="Times New Roman" w:hAnsi="Times New Roman"/>
        </w:rPr>
        <w:t xml:space="preserve">new </w:t>
      </w:r>
      <w:r w:rsidR="00AB67A2">
        <w:rPr>
          <w:rFonts w:ascii="Times New Roman" w:hAnsi="Times New Roman"/>
        </w:rPr>
        <w:t xml:space="preserve">general </w:t>
      </w:r>
      <w:r w:rsidR="00AB06B7">
        <w:rPr>
          <w:rFonts w:ascii="Times New Roman" w:hAnsi="Times New Roman"/>
        </w:rPr>
        <w:t xml:space="preserve">directions </w:t>
      </w:r>
      <w:r w:rsidR="008243AB">
        <w:rPr>
          <w:rFonts w:ascii="Times New Roman" w:hAnsi="Times New Roman"/>
        </w:rPr>
        <w:t xml:space="preserve">intended to bolster the </w:t>
      </w:r>
      <w:proofErr w:type="spellStart"/>
      <w:r w:rsidR="008243AB">
        <w:rPr>
          <w:rFonts w:ascii="Times New Roman" w:hAnsi="Times New Roman"/>
        </w:rPr>
        <w:t>Seacare</w:t>
      </w:r>
      <w:proofErr w:type="spellEnd"/>
      <w:r w:rsidR="008243AB">
        <w:rPr>
          <w:rFonts w:ascii="Times New Roman" w:hAnsi="Times New Roman"/>
        </w:rPr>
        <w:t xml:space="preserve"> Authority’s scrutiny of </w:t>
      </w:r>
      <w:r w:rsidR="00907E4A">
        <w:rPr>
          <w:rFonts w:ascii="Times New Roman" w:hAnsi="Times New Roman"/>
        </w:rPr>
        <w:t>exemption applications, this instrument</w:t>
      </w:r>
      <w:r w:rsidR="00A7620E">
        <w:rPr>
          <w:rFonts w:ascii="Times New Roman" w:hAnsi="Times New Roman"/>
        </w:rPr>
        <w:t xml:space="preserve"> </w:t>
      </w:r>
      <w:r w:rsidR="006674E0">
        <w:rPr>
          <w:rFonts w:ascii="Times New Roman" w:hAnsi="Times New Roman"/>
        </w:rPr>
        <w:t xml:space="preserve">ensures that </w:t>
      </w:r>
      <w:r w:rsidR="00BB4003">
        <w:rPr>
          <w:rFonts w:ascii="Times New Roman" w:hAnsi="Times New Roman"/>
        </w:rPr>
        <w:t xml:space="preserve">the jurisdictional </w:t>
      </w:r>
      <w:r w:rsidR="006674E0">
        <w:rPr>
          <w:rFonts w:ascii="Times New Roman" w:hAnsi="Times New Roman"/>
        </w:rPr>
        <w:t xml:space="preserve">coverage of the Seafarers Act is maintained </w:t>
      </w:r>
      <w:r w:rsidR="00BB4003">
        <w:rPr>
          <w:rFonts w:ascii="Times New Roman" w:hAnsi="Times New Roman"/>
        </w:rPr>
        <w:t>in accorda</w:t>
      </w:r>
      <w:r w:rsidR="009317A2">
        <w:rPr>
          <w:rFonts w:ascii="Times New Roman" w:hAnsi="Times New Roman"/>
        </w:rPr>
        <w:t xml:space="preserve">nce with </w:t>
      </w:r>
      <w:r w:rsidR="00A67359">
        <w:rPr>
          <w:rFonts w:ascii="Times New Roman" w:hAnsi="Times New Roman"/>
        </w:rPr>
        <w:t xml:space="preserve">the </w:t>
      </w:r>
      <w:r w:rsidR="000D79C2">
        <w:rPr>
          <w:rFonts w:ascii="Times New Roman" w:hAnsi="Times New Roman"/>
        </w:rPr>
        <w:t>legislative coverage provisions</w:t>
      </w:r>
      <w:r w:rsidR="009317A2">
        <w:rPr>
          <w:rFonts w:ascii="Times New Roman" w:hAnsi="Times New Roman"/>
        </w:rPr>
        <w:t xml:space="preserve"> as much as possible.</w:t>
      </w:r>
    </w:p>
    <w:p w14:paraId="2E44A163"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 xml:space="preserve">Conclusion </w:t>
      </w:r>
    </w:p>
    <w:p w14:paraId="19F01AAD" w14:textId="24AF581B" w:rsidR="00D9450D" w:rsidRPr="007C5F93" w:rsidRDefault="00E051C4" w:rsidP="00D9450D">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2B3C0BCE" w14:textId="77777777" w:rsidR="00E051C4" w:rsidRPr="007C5F93" w:rsidRDefault="00E051C4" w:rsidP="00D9450D">
      <w:pPr>
        <w:spacing w:after="120"/>
        <w:rPr>
          <w:rFonts w:ascii="Times New Roman" w:hAnsi="Times New Roman" w:cs="Times New Roman"/>
        </w:rPr>
      </w:pPr>
    </w:p>
    <w:p w14:paraId="399DB714" w14:textId="7ADDEA7E" w:rsidR="00D9450D" w:rsidRPr="007C5F93" w:rsidRDefault="00CA1228" w:rsidP="00E051C4">
      <w:pPr>
        <w:spacing w:after="120"/>
        <w:jc w:val="center"/>
        <w:rPr>
          <w:rFonts w:ascii="Times New Roman" w:hAnsi="Times New Roman" w:cs="Times New Roman"/>
          <w:b/>
        </w:rPr>
      </w:pPr>
      <w:r>
        <w:rPr>
          <w:rFonts w:ascii="Times New Roman" w:hAnsi="Times New Roman" w:cs="Times New Roman"/>
          <w:b/>
        </w:rPr>
        <w:t>The Hon Tony Burke MP</w:t>
      </w:r>
    </w:p>
    <w:p w14:paraId="72853A8D" w14:textId="055DA89A"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w:t>
      </w:r>
      <w:r w:rsidR="009501D9">
        <w:rPr>
          <w:rFonts w:ascii="Times New Roman" w:hAnsi="Times New Roman" w:cs="Times New Roman"/>
        </w:rPr>
        <w:t>Employment and Workplace Relations</w:t>
      </w:r>
      <w:r w:rsidRPr="007C5F93">
        <w:rPr>
          <w:rFonts w:ascii="Times New Roman" w:hAnsi="Times New Roman" w:cs="Times New Roman"/>
        </w:rPr>
        <w:t xml:space="preserve"> </w:t>
      </w:r>
    </w:p>
    <w:p w14:paraId="1D7A21E6" w14:textId="77777777" w:rsidR="002E0E7E" w:rsidRPr="007C5F93" w:rsidRDefault="002E0E7E" w:rsidP="00C90CC8">
      <w:pPr>
        <w:spacing w:after="120"/>
        <w:rPr>
          <w:rFonts w:ascii="Times New Roman" w:hAnsi="Times New Roman" w:cs="Times New Roman"/>
          <w:b/>
        </w:rPr>
      </w:pPr>
    </w:p>
    <w:p w14:paraId="4EF4598C" w14:textId="77777777" w:rsidR="003A1A2A" w:rsidRPr="007C5F93" w:rsidRDefault="003A1A2A" w:rsidP="00622EC1">
      <w:pPr>
        <w:pageBreakBefore/>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A</w:t>
      </w:r>
    </w:p>
    <w:p w14:paraId="0F1C2DE6" w14:textId="77777777" w:rsidR="003A1A2A" w:rsidRPr="007C5F93" w:rsidRDefault="003A1A2A" w:rsidP="003A1A2A">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6F9EF917" w14:textId="77777777" w:rsidR="00F44CA8" w:rsidRPr="007C5F93" w:rsidRDefault="00F44CA8" w:rsidP="00F44CA8">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40C6DDBE" w14:textId="2B6C3986"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00331B8C" w:rsidRPr="00331B8C">
        <w:rPr>
          <w:rFonts w:ascii="Times New Roman" w:hAnsi="Times New Roman" w:cs="Times New Roman"/>
          <w:i/>
        </w:rPr>
        <w:t>Seafarers Rehabilitation and Compensation Directions 2023.</w:t>
      </w:r>
    </w:p>
    <w:p w14:paraId="28359B91"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B9DBF7A" w14:textId="74F858FA" w:rsidR="00F44CA8" w:rsidRPr="009169D2" w:rsidRDefault="00F44CA8" w:rsidP="009169D2">
      <w:pPr>
        <w:spacing w:after="220" w:line="240" w:lineRule="auto"/>
        <w:rPr>
          <w:rFonts w:ascii="Times New Roman" w:hAnsi="Times New Roman" w:cs="Times New Roman"/>
        </w:rPr>
      </w:pPr>
      <w:r w:rsidRPr="007C5F93">
        <w:rPr>
          <w:rFonts w:ascii="Times New Roman" w:hAnsi="Times New Roman" w:cs="Times New Roman"/>
        </w:rPr>
        <w:t>Section 2 provides that</w:t>
      </w:r>
      <w:r w:rsidR="009169D2">
        <w:rPr>
          <w:rFonts w:ascii="Times New Roman" w:hAnsi="Times New Roman" w:cs="Times New Roman"/>
        </w:rPr>
        <w:t xml:space="preserve"> </w:t>
      </w:r>
      <w:r w:rsidR="00251518" w:rsidRPr="009169D2">
        <w:rPr>
          <w:rFonts w:ascii="Times New Roman" w:hAnsi="Times New Roman" w:cs="Times New Roman"/>
        </w:rPr>
        <w:t xml:space="preserve">the instrument commences on </w:t>
      </w:r>
      <w:r w:rsidR="001D718B">
        <w:rPr>
          <w:rFonts w:ascii="Times New Roman" w:hAnsi="Times New Roman" w:cs="Times New Roman"/>
        </w:rPr>
        <w:t>1 July</w:t>
      </w:r>
      <w:r w:rsidR="002C4CA6">
        <w:rPr>
          <w:rFonts w:ascii="Times New Roman" w:hAnsi="Times New Roman" w:cs="Times New Roman"/>
        </w:rPr>
        <w:t xml:space="preserve"> 2023</w:t>
      </w:r>
      <w:r w:rsidR="00251518" w:rsidRPr="009169D2">
        <w:rPr>
          <w:rFonts w:ascii="Times New Roman" w:hAnsi="Times New Roman" w:cs="Times New Roman"/>
        </w:rPr>
        <w:t>.</w:t>
      </w:r>
      <w:r w:rsidRPr="009169D2">
        <w:rPr>
          <w:rFonts w:ascii="Times New Roman" w:hAnsi="Times New Roman" w:cs="Times New Roman"/>
        </w:rPr>
        <w:t xml:space="preserve"> </w:t>
      </w:r>
    </w:p>
    <w:p w14:paraId="5DC76ED4"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46F3AE1B" w14:textId="58764255"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instrument is made under </w:t>
      </w:r>
      <w:r w:rsidR="00251518">
        <w:rPr>
          <w:rFonts w:ascii="Times New Roman" w:hAnsi="Times New Roman" w:cs="Times New Roman"/>
        </w:rPr>
        <w:t>section 107</w:t>
      </w:r>
      <w:r w:rsidRPr="007C5F93">
        <w:rPr>
          <w:rFonts w:ascii="Times New Roman" w:hAnsi="Times New Roman" w:cs="Times New Roman"/>
        </w:rPr>
        <w:t xml:space="preserve"> of the </w:t>
      </w:r>
      <w:r w:rsidRPr="007C5F93">
        <w:rPr>
          <w:rFonts w:ascii="Times New Roman" w:hAnsi="Times New Roman" w:cs="Times New Roman"/>
          <w:i/>
        </w:rPr>
        <w:t>S</w:t>
      </w:r>
      <w:r w:rsidR="00251518">
        <w:rPr>
          <w:rFonts w:ascii="Times New Roman" w:hAnsi="Times New Roman" w:cs="Times New Roman"/>
          <w:i/>
        </w:rPr>
        <w:t xml:space="preserve">eafarers </w:t>
      </w:r>
      <w:r w:rsidR="006C1ED2">
        <w:rPr>
          <w:rFonts w:ascii="Times New Roman" w:hAnsi="Times New Roman" w:cs="Times New Roman"/>
          <w:i/>
        </w:rPr>
        <w:t>Rehabilitation and Compensation Act 1992</w:t>
      </w:r>
      <w:r w:rsidRPr="007C5F93">
        <w:rPr>
          <w:rFonts w:ascii="Times New Roman" w:hAnsi="Times New Roman" w:cs="Times New Roman"/>
          <w:i/>
        </w:rPr>
        <w:t>.</w:t>
      </w:r>
    </w:p>
    <w:p w14:paraId="0D6B1BA7"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611080FA"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130D036" w14:textId="6BC723F6"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5 – </w:t>
      </w:r>
      <w:r w:rsidR="002D22D2">
        <w:rPr>
          <w:rFonts w:ascii="Times New Roman" w:hAnsi="Times New Roman" w:cs="Times New Roman"/>
          <w:b/>
        </w:rPr>
        <w:t>Directions</w:t>
      </w:r>
    </w:p>
    <w:p w14:paraId="45D7E023" w14:textId="293B724A" w:rsidR="006C1ED2"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5 </w:t>
      </w:r>
      <w:r w:rsidR="00963559">
        <w:rPr>
          <w:rFonts w:ascii="Times New Roman" w:hAnsi="Times New Roman" w:cs="Times New Roman"/>
        </w:rPr>
        <w:t>provide</w:t>
      </w:r>
      <w:r w:rsidR="002D22D2">
        <w:rPr>
          <w:rFonts w:ascii="Times New Roman" w:hAnsi="Times New Roman" w:cs="Times New Roman"/>
        </w:rPr>
        <w:t xml:space="preserve">s </w:t>
      </w:r>
      <w:r w:rsidR="00B15CA4">
        <w:rPr>
          <w:rFonts w:ascii="Times New Roman" w:hAnsi="Times New Roman" w:cs="Times New Roman"/>
        </w:rPr>
        <w:t>four</w:t>
      </w:r>
      <w:r w:rsidR="002D22D2">
        <w:rPr>
          <w:rFonts w:ascii="Times New Roman" w:hAnsi="Times New Roman" w:cs="Times New Roman"/>
        </w:rPr>
        <w:t xml:space="preserve"> Ministerial</w:t>
      </w:r>
      <w:r w:rsidR="00963559">
        <w:rPr>
          <w:rFonts w:ascii="Times New Roman" w:hAnsi="Times New Roman" w:cs="Times New Roman"/>
        </w:rPr>
        <w:t xml:space="preserve"> directions to the </w:t>
      </w:r>
      <w:r w:rsidR="00155EE3" w:rsidRPr="00155EE3">
        <w:rPr>
          <w:rFonts w:ascii="Times New Roman" w:hAnsi="Times New Roman" w:cs="Times New Roman"/>
        </w:rPr>
        <w:t>Seafarers Safety, Rehabilitation and Compensation Authority</w:t>
      </w:r>
      <w:r w:rsidR="00155EE3">
        <w:rPr>
          <w:rFonts w:ascii="Times New Roman" w:hAnsi="Times New Roman" w:cs="Times New Roman"/>
        </w:rPr>
        <w:t xml:space="preserve">, </w:t>
      </w:r>
      <w:r w:rsidR="002D22D2">
        <w:rPr>
          <w:rFonts w:ascii="Times New Roman" w:hAnsi="Times New Roman"/>
        </w:rPr>
        <w:t>with respect to the performance of its functions and the exercise of its powers.</w:t>
      </w:r>
      <w:r w:rsidR="00A5201E">
        <w:rPr>
          <w:rFonts w:ascii="Times New Roman" w:hAnsi="Times New Roman" w:cs="Times New Roman"/>
        </w:rPr>
        <w:t xml:space="preserve"> </w:t>
      </w:r>
    </w:p>
    <w:p w14:paraId="04A5AB3A" w14:textId="1F982538"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6 – </w:t>
      </w:r>
      <w:r w:rsidR="00155EE3">
        <w:rPr>
          <w:rFonts w:ascii="Times New Roman" w:hAnsi="Times New Roman" w:cs="Times New Roman"/>
          <w:b/>
        </w:rPr>
        <w:t>Schedule</w:t>
      </w:r>
    </w:p>
    <w:p w14:paraId="62A675AF" w14:textId="5BD8D492"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6 </w:t>
      </w:r>
      <w:r w:rsidR="00155EE3" w:rsidRPr="007C5F93">
        <w:rPr>
          <w:rFonts w:ascii="Times New Roman" w:hAnsi="Times New Roman" w:cs="Times New Roman"/>
        </w:rPr>
        <w:t xml:space="preserve">provides that </w:t>
      </w:r>
      <w:r w:rsidR="00155EE3" w:rsidRPr="007C5F93">
        <w:rPr>
          <w:rFonts w:ascii="Times New Roman" w:hAnsi="Times New Roman" w:cs="Times New Roman"/>
          <w:color w:val="000000" w:themeColor="text1"/>
        </w:rPr>
        <w:t>each instrument that is specified in Schedule</w:t>
      </w:r>
      <w:r w:rsidR="00155EE3">
        <w:rPr>
          <w:rFonts w:ascii="Times New Roman" w:hAnsi="Times New Roman" w:cs="Times New Roman"/>
          <w:color w:val="000000" w:themeColor="text1"/>
        </w:rPr>
        <w:t xml:space="preserve"> 1</w:t>
      </w:r>
      <w:r w:rsidR="00155EE3" w:rsidRPr="007C5F93">
        <w:rPr>
          <w:rFonts w:ascii="Times New Roman" w:hAnsi="Times New Roman" w:cs="Times New Roman"/>
          <w:color w:val="000000" w:themeColor="text1"/>
        </w:rPr>
        <w:t xml:space="preserve"> to the instrument is </w:t>
      </w:r>
      <w:r w:rsidR="00155EE3" w:rsidRPr="007C5F93">
        <w:rPr>
          <w:rFonts w:ascii="Times New Roman" w:hAnsi="Times New Roman" w:cs="Times New Roman"/>
        </w:rPr>
        <w:t>amended or repealed as set out in the applicable items in that Schedule, and any other item in that Schedule has effect according to its term</w:t>
      </w:r>
      <w:r w:rsidR="00155EE3">
        <w:rPr>
          <w:rFonts w:ascii="Times New Roman" w:hAnsi="Times New Roman" w:cs="Times New Roman"/>
        </w:rPr>
        <w:t>s</w:t>
      </w:r>
      <w:r w:rsidR="00155EE3" w:rsidRPr="007C5F93">
        <w:rPr>
          <w:rFonts w:ascii="Times New Roman" w:hAnsi="Times New Roman" w:cs="Times New Roman"/>
        </w:rPr>
        <w:t>.</w:t>
      </w:r>
    </w:p>
    <w:p w14:paraId="26FD9B75"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Schedule 1 – Repeals </w:t>
      </w:r>
    </w:p>
    <w:p w14:paraId="488897F4" w14:textId="0D4346A3" w:rsidR="003A1A2A" w:rsidRPr="007C5F93" w:rsidRDefault="00F44CA8" w:rsidP="00B15CA4">
      <w:pPr>
        <w:spacing w:after="220" w:line="240" w:lineRule="auto"/>
        <w:rPr>
          <w:rFonts w:ascii="Times New Roman" w:hAnsi="Times New Roman" w:cs="Times New Roman"/>
          <w:b/>
        </w:rPr>
      </w:pPr>
      <w:r w:rsidRPr="007C5F93">
        <w:rPr>
          <w:rFonts w:ascii="Times New Roman" w:eastAsia="Calibri" w:hAnsi="Times New Roman" w:cs="Times New Roman"/>
        </w:rPr>
        <w:t xml:space="preserve">Schedule 1 to the instrument repeals the </w:t>
      </w:r>
      <w:r w:rsidRPr="007C5F93">
        <w:rPr>
          <w:rFonts w:ascii="Times New Roman" w:eastAsia="Calibri" w:hAnsi="Times New Roman" w:cs="Times New Roman"/>
          <w:i/>
        </w:rPr>
        <w:t>S</w:t>
      </w:r>
      <w:r w:rsidR="00BA178F">
        <w:rPr>
          <w:rFonts w:ascii="Times New Roman" w:eastAsia="Calibri" w:hAnsi="Times New Roman" w:cs="Times New Roman"/>
          <w:i/>
        </w:rPr>
        <w:t>eafarers Safety Rehabilitation and Compensation Directions 2006 (1)</w:t>
      </w:r>
      <w:r w:rsidRPr="007C5F93">
        <w:rPr>
          <w:rFonts w:ascii="Times New Roman" w:eastAsia="Calibri" w:hAnsi="Times New Roman" w:cs="Times New Roman"/>
          <w:i/>
        </w:rPr>
        <w:t xml:space="preserve"> </w:t>
      </w:r>
      <w:r w:rsidRPr="007C5F93">
        <w:rPr>
          <w:rFonts w:ascii="Times New Roman" w:hAnsi="Times New Roman" w:cs="Times New Roman"/>
        </w:rPr>
        <w:t xml:space="preserve">in its entirety. </w:t>
      </w:r>
    </w:p>
    <w:p w14:paraId="3B3A5344" w14:textId="77777777" w:rsidR="003A1A2A" w:rsidRPr="007C5F93" w:rsidRDefault="003A1A2A" w:rsidP="002E0E7E">
      <w:pPr>
        <w:spacing w:after="120"/>
        <w:rPr>
          <w:rFonts w:ascii="Times New Roman" w:hAnsi="Times New Roman" w:cs="Times New Roman"/>
          <w:b/>
        </w:rPr>
      </w:pPr>
    </w:p>
    <w:p w14:paraId="4799398F" w14:textId="77777777" w:rsidR="003A1A2A" w:rsidRPr="007C5F93" w:rsidRDefault="003A1A2A" w:rsidP="002E0E7E">
      <w:pPr>
        <w:spacing w:after="120"/>
        <w:rPr>
          <w:rFonts w:ascii="Times New Roman" w:hAnsi="Times New Roman" w:cs="Times New Roman"/>
          <w:b/>
        </w:rPr>
      </w:pPr>
    </w:p>
    <w:p w14:paraId="5C420554" w14:textId="77777777" w:rsidR="003A1A2A" w:rsidRPr="007C5F93" w:rsidRDefault="003A1A2A" w:rsidP="002E0E7E">
      <w:pPr>
        <w:spacing w:after="120"/>
        <w:rPr>
          <w:rFonts w:ascii="Times New Roman" w:hAnsi="Times New Roman" w:cs="Times New Roman"/>
          <w:b/>
        </w:rPr>
      </w:pPr>
    </w:p>
    <w:p w14:paraId="6BD3544F" w14:textId="77777777" w:rsidR="003A1A2A" w:rsidRPr="007C5F93" w:rsidRDefault="003A1A2A" w:rsidP="002E0E7E">
      <w:pPr>
        <w:spacing w:after="120"/>
        <w:rPr>
          <w:rFonts w:ascii="Times New Roman" w:hAnsi="Times New Roman" w:cs="Times New Roman"/>
          <w:b/>
        </w:rPr>
      </w:pPr>
    </w:p>
    <w:p w14:paraId="14AF5D17" w14:textId="19793587" w:rsidR="002E0E7E" w:rsidRPr="007C5F93" w:rsidRDefault="002E0E7E" w:rsidP="002E0E7E">
      <w:pPr>
        <w:spacing w:after="120"/>
        <w:rPr>
          <w:rFonts w:ascii="Times New Roman" w:hAnsi="Times New Roman" w:cs="Times New Roman"/>
          <w:b/>
        </w:rPr>
      </w:pPr>
    </w:p>
    <w:sectPr w:rsidR="002E0E7E" w:rsidRPr="007C5F9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1532" w14:textId="77777777" w:rsidR="00E574B1" w:rsidRDefault="00E574B1" w:rsidP="00D9450D">
      <w:pPr>
        <w:spacing w:after="0" w:line="240" w:lineRule="auto"/>
      </w:pPr>
      <w:r>
        <w:separator/>
      </w:r>
    </w:p>
  </w:endnote>
  <w:endnote w:type="continuationSeparator" w:id="0">
    <w:p w14:paraId="235F42B1" w14:textId="77777777" w:rsidR="00E574B1" w:rsidRDefault="00E574B1"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65456"/>
      <w:docPartObj>
        <w:docPartGallery w:val="Page Numbers (Bottom of Page)"/>
        <w:docPartUnique/>
      </w:docPartObj>
    </w:sdtPr>
    <w:sdtEndPr>
      <w:rPr>
        <w:rFonts w:ascii="Times New Roman" w:hAnsi="Times New Roman" w:cs="Times New Roman"/>
        <w:noProof/>
      </w:rPr>
    </w:sdtEndPr>
    <w:sdtContent>
      <w:p w14:paraId="765D355C" w14:textId="0B14E475"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130E6E">
          <w:rPr>
            <w:rFonts w:ascii="Times New Roman" w:hAnsi="Times New Roman" w:cs="Times New Roman"/>
            <w:noProof/>
          </w:rPr>
          <w:t>1</w:t>
        </w:r>
        <w:r w:rsidRPr="00A35C2F">
          <w:rPr>
            <w:rFonts w:ascii="Times New Roman" w:hAnsi="Times New Roman" w:cs="Times New Roman"/>
            <w:noProof/>
          </w:rPr>
          <w:fldChar w:fldCharType="end"/>
        </w:r>
      </w:p>
    </w:sdtContent>
  </w:sdt>
  <w:p w14:paraId="4241365E" w14:textId="77777777" w:rsidR="00A35C2F" w:rsidRDefault="00A3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0029" w14:textId="77777777" w:rsidR="00E574B1" w:rsidRDefault="00E574B1" w:rsidP="00D9450D">
      <w:pPr>
        <w:spacing w:after="0" w:line="240" w:lineRule="auto"/>
      </w:pPr>
      <w:r>
        <w:separator/>
      </w:r>
    </w:p>
  </w:footnote>
  <w:footnote w:type="continuationSeparator" w:id="0">
    <w:p w14:paraId="54A4ECD6" w14:textId="77777777" w:rsidR="00E574B1" w:rsidRDefault="00E574B1" w:rsidP="00D9450D">
      <w:pPr>
        <w:spacing w:after="0" w:line="240" w:lineRule="auto"/>
      </w:pPr>
      <w:r>
        <w:continuationSeparator/>
      </w:r>
    </w:p>
  </w:footnote>
  <w:footnote w:id="1">
    <w:p w14:paraId="2B5C3532"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CB9"/>
    <w:multiLevelType w:val="hybridMultilevel"/>
    <w:tmpl w:val="E8D4980E"/>
    <w:lvl w:ilvl="0" w:tplc="83EA50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6D6462"/>
    <w:multiLevelType w:val="hybridMultilevel"/>
    <w:tmpl w:val="7406A0CA"/>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B705D8"/>
    <w:multiLevelType w:val="hybridMultilevel"/>
    <w:tmpl w:val="7406A0CA"/>
    <w:lvl w:ilvl="0" w:tplc="0E40FB34">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D71257"/>
    <w:multiLevelType w:val="hybridMultilevel"/>
    <w:tmpl w:val="F14C778A"/>
    <w:lvl w:ilvl="0" w:tplc="62D88B3C">
      <w:start w:val="1"/>
      <w:numFmt w:val="lowerLetter"/>
      <w:lvlText w:val="(%1)"/>
      <w:lvlJc w:val="left"/>
      <w:pPr>
        <w:ind w:left="1080" w:hanging="360"/>
      </w:pPr>
      <w:rPr>
        <w:rFonts w:cstheme="minorBidi" w:hint="default"/>
        <w:color w:val="00000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56100429">
    <w:abstractNumId w:val="2"/>
  </w:num>
  <w:num w:numId="2" w16cid:durableId="70127375">
    <w:abstractNumId w:val="3"/>
  </w:num>
  <w:num w:numId="3" w16cid:durableId="175466959">
    <w:abstractNumId w:val="1"/>
  </w:num>
  <w:num w:numId="4" w16cid:durableId="174837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0D"/>
    <w:rsid w:val="0001674A"/>
    <w:rsid w:val="00041F34"/>
    <w:rsid w:val="000424AF"/>
    <w:rsid w:val="0006582B"/>
    <w:rsid w:val="00073BFD"/>
    <w:rsid w:val="00081A47"/>
    <w:rsid w:val="0009336D"/>
    <w:rsid w:val="00093976"/>
    <w:rsid w:val="000A20CF"/>
    <w:rsid w:val="000A6B93"/>
    <w:rsid w:val="000C4353"/>
    <w:rsid w:val="000D5163"/>
    <w:rsid w:val="000D79C2"/>
    <w:rsid w:val="000F12F4"/>
    <w:rsid w:val="00100F76"/>
    <w:rsid w:val="001060DB"/>
    <w:rsid w:val="00130E6E"/>
    <w:rsid w:val="0013496C"/>
    <w:rsid w:val="001439D0"/>
    <w:rsid w:val="0014612A"/>
    <w:rsid w:val="00155EE3"/>
    <w:rsid w:val="00182314"/>
    <w:rsid w:val="00193F16"/>
    <w:rsid w:val="00196837"/>
    <w:rsid w:val="001A0380"/>
    <w:rsid w:val="001A3742"/>
    <w:rsid w:val="001A746F"/>
    <w:rsid w:val="001D718B"/>
    <w:rsid w:val="00224682"/>
    <w:rsid w:val="00233E5A"/>
    <w:rsid w:val="002508E8"/>
    <w:rsid w:val="00251518"/>
    <w:rsid w:val="00251870"/>
    <w:rsid w:val="00253102"/>
    <w:rsid w:val="0026008C"/>
    <w:rsid w:val="002C489A"/>
    <w:rsid w:val="002C4CA6"/>
    <w:rsid w:val="002D22D2"/>
    <w:rsid w:val="002E0E7E"/>
    <w:rsid w:val="002E5420"/>
    <w:rsid w:val="002F200F"/>
    <w:rsid w:val="00326768"/>
    <w:rsid w:val="00331B8C"/>
    <w:rsid w:val="00347E5B"/>
    <w:rsid w:val="00371167"/>
    <w:rsid w:val="00372C9F"/>
    <w:rsid w:val="00374588"/>
    <w:rsid w:val="003776D7"/>
    <w:rsid w:val="0039288E"/>
    <w:rsid w:val="00394808"/>
    <w:rsid w:val="003A1A2A"/>
    <w:rsid w:val="003A6BB4"/>
    <w:rsid w:val="003B454E"/>
    <w:rsid w:val="003D4B6B"/>
    <w:rsid w:val="004075A9"/>
    <w:rsid w:val="00436B08"/>
    <w:rsid w:val="00436FEE"/>
    <w:rsid w:val="00451C77"/>
    <w:rsid w:val="00462E19"/>
    <w:rsid w:val="004665DE"/>
    <w:rsid w:val="0048585A"/>
    <w:rsid w:val="00486771"/>
    <w:rsid w:val="00491A9E"/>
    <w:rsid w:val="004955A5"/>
    <w:rsid w:val="004E02F4"/>
    <w:rsid w:val="004E6860"/>
    <w:rsid w:val="004F2723"/>
    <w:rsid w:val="00506148"/>
    <w:rsid w:val="005364EB"/>
    <w:rsid w:val="00554DAF"/>
    <w:rsid w:val="00560D05"/>
    <w:rsid w:val="00566C59"/>
    <w:rsid w:val="00590F52"/>
    <w:rsid w:val="005923A9"/>
    <w:rsid w:val="005976E2"/>
    <w:rsid w:val="005C643F"/>
    <w:rsid w:val="005D0326"/>
    <w:rsid w:val="005E3CAE"/>
    <w:rsid w:val="005F47B4"/>
    <w:rsid w:val="00602FE6"/>
    <w:rsid w:val="00622EC1"/>
    <w:rsid w:val="006409D8"/>
    <w:rsid w:val="006540A9"/>
    <w:rsid w:val="0065710C"/>
    <w:rsid w:val="006674E0"/>
    <w:rsid w:val="0067220A"/>
    <w:rsid w:val="00673008"/>
    <w:rsid w:val="006804BE"/>
    <w:rsid w:val="006A6DE5"/>
    <w:rsid w:val="006C1465"/>
    <w:rsid w:val="006C1ED2"/>
    <w:rsid w:val="006C4D42"/>
    <w:rsid w:val="006E4D7C"/>
    <w:rsid w:val="00702D27"/>
    <w:rsid w:val="007105BC"/>
    <w:rsid w:val="00713149"/>
    <w:rsid w:val="00736263"/>
    <w:rsid w:val="00745786"/>
    <w:rsid w:val="00751C96"/>
    <w:rsid w:val="0075417B"/>
    <w:rsid w:val="00767C2A"/>
    <w:rsid w:val="00775680"/>
    <w:rsid w:val="0079380C"/>
    <w:rsid w:val="00794272"/>
    <w:rsid w:val="00796FE2"/>
    <w:rsid w:val="007C5F93"/>
    <w:rsid w:val="007D4873"/>
    <w:rsid w:val="008234D0"/>
    <w:rsid w:val="008243AB"/>
    <w:rsid w:val="00833960"/>
    <w:rsid w:val="00835845"/>
    <w:rsid w:val="008462FB"/>
    <w:rsid w:val="00855473"/>
    <w:rsid w:val="00870623"/>
    <w:rsid w:val="00881300"/>
    <w:rsid w:val="00894F2D"/>
    <w:rsid w:val="00895AAA"/>
    <w:rsid w:val="008C105C"/>
    <w:rsid w:val="008D1312"/>
    <w:rsid w:val="008D26CA"/>
    <w:rsid w:val="008D5D47"/>
    <w:rsid w:val="008E0783"/>
    <w:rsid w:val="008F6943"/>
    <w:rsid w:val="0090339E"/>
    <w:rsid w:val="00907E4A"/>
    <w:rsid w:val="0091375A"/>
    <w:rsid w:val="009169D2"/>
    <w:rsid w:val="00925E22"/>
    <w:rsid w:val="009317A2"/>
    <w:rsid w:val="00935244"/>
    <w:rsid w:val="00941481"/>
    <w:rsid w:val="00945F27"/>
    <w:rsid w:val="009501D9"/>
    <w:rsid w:val="0095078B"/>
    <w:rsid w:val="00963559"/>
    <w:rsid w:val="00992AAC"/>
    <w:rsid w:val="00995546"/>
    <w:rsid w:val="009A3625"/>
    <w:rsid w:val="009B23CA"/>
    <w:rsid w:val="009B3E01"/>
    <w:rsid w:val="009C07A4"/>
    <w:rsid w:val="009C4B6E"/>
    <w:rsid w:val="009D0A61"/>
    <w:rsid w:val="009F5457"/>
    <w:rsid w:val="00A14358"/>
    <w:rsid w:val="00A2615A"/>
    <w:rsid w:val="00A30A12"/>
    <w:rsid w:val="00A35C2F"/>
    <w:rsid w:val="00A4006F"/>
    <w:rsid w:val="00A5201E"/>
    <w:rsid w:val="00A67359"/>
    <w:rsid w:val="00A7620E"/>
    <w:rsid w:val="00A8693B"/>
    <w:rsid w:val="00AA5389"/>
    <w:rsid w:val="00AB06B7"/>
    <w:rsid w:val="00AB67A2"/>
    <w:rsid w:val="00AC4D9F"/>
    <w:rsid w:val="00AC560F"/>
    <w:rsid w:val="00AD0969"/>
    <w:rsid w:val="00B01DB3"/>
    <w:rsid w:val="00B15CA4"/>
    <w:rsid w:val="00B167EA"/>
    <w:rsid w:val="00B347AD"/>
    <w:rsid w:val="00B409E3"/>
    <w:rsid w:val="00B47149"/>
    <w:rsid w:val="00B75A5C"/>
    <w:rsid w:val="00BA178F"/>
    <w:rsid w:val="00BA2FE2"/>
    <w:rsid w:val="00BB1666"/>
    <w:rsid w:val="00BB4003"/>
    <w:rsid w:val="00BC36A5"/>
    <w:rsid w:val="00C04AC9"/>
    <w:rsid w:val="00C20A20"/>
    <w:rsid w:val="00C25D6D"/>
    <w:rsid w:val="00C46E7D"/>
    <w:rsid w:val="00C629D7"/>
    <w:rsid w:val="00C85928"/>
    <w:rsid w:val="00C90CC8"/>
    <w:rsid w:val="00CA1228"/>
    <w:rsid w:val="00CA6502"/>
    <w:rsid w:val="00CB0908"/>
    <w:rsid w:val="00CC0003"/>
    <w:rsid w:val="00CC0D70"/>
    <w:rsid w:val="00CD4965"/>
    <w:rsid w:val="00CE13AC"/>
    <w:rsid w:val="00CF21D0"/>
    <w:rsid w:val="00CF6665"/>
    <w:rsid w:val="00D207BF"/>
    <w:rsid w:val="00D35C6A"/>
    <w:rsid w:val="00D52150"/>
    <w:rsid w:val="00D62003"/>
    <w:rsid w:val="00D80C04"/>
    <w:rsid w:val="00D9450D"/>
    <w:rsid w:val="00DA6E80"/>
    <w:rsid w:val="00DB2C16"/>
    <w:rsid w:val="00DB70B9"/>
    <w:rsid w:val="00DC6FFB"/>
    <w:rsid w:val="00DE2161"/>
    <w:rsid w:val="00DE4D16"/>
    <w:rsid w:val="00E051C4"/>
    <w:rsid w:val="00E21051"/>
    <w:rsid w:val="00E268E0"/>
    <w:rsid w:val="00E41E72"/>
    <w:rsid w:val="00E46638"/>
    <w:rsid w:val="00E5442C"/>
    <w:rsid w:val="00E574B1"/>
    <w:rsid w:val="00E71B91"/>
    <w:rsid w:val="00E941C8"/>
    <w:rsid w:val="00EB49E9"/>
    <w:rsid w:val="00EB60DC"/>
    <w:rsid w:val="00EB7F32"/>
    <w:rsid w:val="00ED0065"/>
    <w:rsid w:val="00EE13B5"/>
    <w:rsid w:val="00EE6BBD"/>
    <w:rsid w:val="00EF4BFC"/>
    <w:rsid w:val="00F05BD6"/>
    <w:rsid w:val="00F3731C"/>
    <w:rsid w:val="00F37923"/>
    <w:rsid w:val="00F44CA8"/>
    <w:rsid w:val="00F53184"/>
    <w:rsid w:val="00F5558D"/>
    <w:rsid w:val="00F61BAB"/>
    <w:rsid w:val="00F7521D"/>
    <w:rsid w:val="00F779A0"/>
    <w:rsid w:val="00F82A1C"/>
    <w:rsid w:val="00F948C6"/>
    <w:rsid w:val="00FA3173"/>
    <w:rsid w:val="00FD37CB"/>
    <w:rsid w:val="00FE03A4"/>
    <w:rsid w:val="00FE0464"/>
    <w:rsid w:val="00FF5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9495"/>
  <w15:chartTrackingRefBased/>
  <w15:docId w15:val="{EEDEAD14-6011-4625-9E75-1EAEAE1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51C4"/>
    <w:rPr>
      <w:sz w:val="16"/>
      <w:szCs w:val="16"/>
    </w:rPr>
  </w:style>
  <w:style w:type="paragraph" w:styleId="CommentText">
    <w:name w:val="annotation text"/>
    <w:basedOn w:val="Normal"/>
    <w:link w:val="CommentTextChar"/>
    <w:uiPriority w:val="99"/>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 w:type="paragraph" w:styleId="ListParagraph">
    <w:name w:val="List Paragraph"/>
    <w:basedOn w:val="Normal"/>
    <w:uiPriority w:val="34"/>
    <w:qFormat/>
    <w:rsid w:val="00506148"/>
    <w:pPr>
      <w:ind w:left="720"/>
      <w:contextualSpacing/>
    </w:pPr>
  </w:style>
  <w:style w:type="paragraph" w:styleId="Revision">
    <w:name w:val="Revision"/>
    <w:hidden/>
    <w:uiPriority w:val="99"/>
    <w:semiHidden/>
    <w:rsid w:val="00672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66A365BE4F7C4D892812C2CBE240EF" ma:contentTypeVersion="" ma:contentTypeDescription="PDMS Document Site Content Type" ma:contentTypeScope="" ma:versionID="dfc9a027d7b835bd9b2353f5b75ec9bb">
  <xsd:schema xmlns:xsd="http://www.w3.org/2001/XMLSchema" xmlns:xs="http://www.w3.org/2001/XMLSchema" xmlns:p="http://schemas.microsoft.com/office/2006/metadata/properties" xmlns:ns2="59B85C97-871D-4F19-8E3F-DDCED3889E2A" targetNamespace="http://schemas.microsoft.com/office/2006/metadata/properties" ma:root="true" ma:fieldsID="d2eca5f49140da8db366004ff1e389b0" ns2:_="">
    <xsd:import namespace="59B85C97-871D-4F19-8E3F-DDCED3889E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5C97-871D-4F19-8E3F-DDCED3889E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9B85C97-871D-4F19-8E3F-DDCED3889E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A93C-A4BA-46B7-8921-24A14FA9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5C97-871D-4F19-8E3F-DDCED3889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25CB9-A279-4016-A682-753A25A4CD9A}">
  <ds:schemaRefs>
    <ds:schemaRef ds:uri="59B85C97-871D-4F19-8E3F-DDCED3889E2A"/>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945D135F-B0ED-43EF-97D2-C20572E7808D}">
  <ds:schemaRefs>
    <ds:schemaRef ds:uri="http://schemas.microsoft.com/sharepoint/v3/contenttype/forms"/>
  </ds:schemaRefs>
</ds:datastoreItem>
</file>

<file path=customXml/itemProps4.xml><?xml version="1.0" encoding="utf-8"?>
<ds:datastoreItem xmlns:ds="http://schemas.openxmlformats.org/officeDocument/2006/customXml" ds:itemID="{867C833E-AB00-410F-8625-951D8C6F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8951</Characters>
  <Application>Microsoft Office Word</Application>
  <DocSecurity>0</DocSecurity>
  <Lines>331</Lines>
  <Paragraphs>221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Loretta</dc:creator>
  <cp:keywords/>
  <dc:description/>
  <cp:lastModifiedBy>LEHMANN,Peter</cp:lastModifiedBy>
  <cp:revision>2</cp:revision>
  <dcterms:created xsi:type="dcterms:W3CDTF">2023-06-30T05:37:00Z</dcterms:created>
  <dcterms:modified xsi:type="dcterms:W3CDTF">2023-06-30T05:37:00Z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0x010100266966F133664895A6EE3632470D45F5009C66A365BE4F7C4D892812C2CBE240EF</vt:lpwstr>
  </property>
  <property fmtid="{D5CDD505-2E9C-101B-9397-08002B2CF9AE}" pid="3" name="MSIP_Label_79d889eb-932f-4752-8739-64d25806ef64_Enabled">
    <vt:lpwstr>true</vt:lpwstr>
  </property>
  <property fmtid="{D5CDD505-2E9C-101B-9397-08002B2CF9AE}" pid="4" name="MSIP_Label_79d889eb-932f-4752-8739-64d25806ef64_SetDate">
    <vt:lpwstr>2023-03-01T21:56:40Z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d1b5e80e-04f4-41e0-87a2-d43c94c00a79</vt:lpwstr>
  </property>
  <property fmtid="{D5CDD505-2E9C-101B-9397-08002B2CF9AE}" pid="9" name="MSIP_Label_79d889eb-932f-4752-8739-64d25806ef64_ContentBits">
    <vt:lpwstr>0</vt:lpwstr>
  </property>
</Properties>
</file>