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7DD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767FAC" wp14:editId="500CA3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E93C" w14:textId="77777777" w:rsidR="00715914" w:rsidRPr="00E500D4" w:rsidRDefault="00715914" w:rsidP="00715914">
      <w:pPr>
        <w:rPr>
          <w:sz w:val="19"/>
        </w:rPr>
      </w:pPr>
    </w:p>
    <w:p w14:paraId="377DED64" w14:textId="77777777" w:rsidR="008C45A2" w:rsidRPr="00A83868" w:rsidRDefault="008C45A2" w:rsidP="008C45A2">
      <w:pPr>
        <w:pStyle w:val="ShortT"/>
      </w:pPr>
      <w:r>
        <w:t>Seafarers Rehabilitation and Compensation Directions 2023</w:t>
      </w:r>
    </w:p>
    <w:p w14:paraId="55D59144" w14:textId="77777777" w:rsidR="008C45A2" w:rsidRPr="00DA182D" w:rsidRDefault="008C45A2" w:rsidP="008C45A2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TONY BURKE</w:t>
      </w:r>
      <w:r w:rsidRPr="00DA182D">
        <w:rPr>
          <w:szCs w:val="22"/>
        </w:rPr>
        <w:t>,</w:t>
      </w:r>
      <w:r>
        <w:rPr>
          <w:szCs w:val="22"/>
        </w:rPr>
        <w:t xml:space="preserve"> Minister for Employment and Workplace Relations</w:t>
      </w:r>
      <w:r w:rsidRPr="00DA182D">
        <w:rPr>
          <w:szCs w:val="22"/>
        </w:rPr>
        <w:t xml:space="preserve">, </w:t>
      </w:r>
      <w:r>
        <w:rPr>
          <w:szCs w:val="22"/>
        </w:rPr>
        <w:t>give the following directions to the Seafarers Safety, Rehabilitation and Compensation Authority.</w:t>
      </w:r>
    </w:p>
    <w:p w14:paraId="5340268F" w14:textId="4A36087F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F3533">
        <w:rPr>
          <w:szCs w:val="22"/>
        </w:rPr>
        <w:t xml:space="preserve"> 30 June 2023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90412CC" w14:textId="77777777" w:rsidR="008C45A2" w:rsidRDefault="008C45A2" w:rsidP="008C45A2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TONY BURKE</w:t>
      </w:r>
    </w:p>
    <w:p w14:paraId="4C51D7D4" w14:textId="77777777" w:rsidR="008C45A2" w:rsidRPr="008E0027" w:rsidRDefault="008C45A2" w:rsidP="008C45A2">
      <w:pPr>
        <w:pStyle w:val="SignCoverPageEnd"/>
        <w:rPr>
          <w:sz w:val="22"/>
        </w:rPr>
      </w:pPr>
      <w:r>
        <w:rPr>
          <w:sz w:val="22"/>
        </w:rPr>
        <w:t>Minister for Employment and Workplace Relations</w:t>
      </w:r>
    </w:p>
    <w:p w14:paraId="56B57B4B" w14:textId="77777777" w:rsidR="00554826" w:rsidRDefault="00554826" w:rsidP="00554826"/>
    <w:p w14:paraId="0B47E389" w14:textId="77777777" w:rsidR="00554826" w:rsidRPr="00ED79B6" w:rsidRDefault="00554826" w:rsidP="00554826"/>
    <w:p w14:paraId="5FF0B8D6" w14:textId="77777777" w:rsidR="00F6696E" w:rsidRDefault="00F6696E" w:rsidP="00F6696E"/>
    <w:p w14:paraId="30EFE12E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D9E69B7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A434A3B" w14:textId="1780CA45" w:rsidR="008C45A2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C45A2">
        <w:rPr>
          <w:noProof/>
        </w:rPr>
        <w:t>1  Name</w:t>
      </w:r>
      <w:r w:rsidR="008C45A2">
        <w:rPr>
          <w:noProof/>
        </w:rPr>
        <w:tab/>
      </w:r>
      <w:r w:rsidR="008C45A2">
        <w:rPr>
          <w:noProof/>
        </w:rPr>
        <w:fldChar w:fldCharType="begin"/>
      </w:r>
      <w:r w:rsidR="008C45A2">
        <w:rPr>
          <w:noProof/>
        </w:rPr>
        <w:instrText xml:space="preserve"> PAGEREF _Toc138406082 \h </w:instrText>
      </w:r>
      <w:r w:rsidR="008C45A2">
        <w:rPr>
          <w:noProof/>
        </w:rPr>
      </w:r>
      <w:r w:rsidR="008C45A2">
        <w:rPr>
          <w:noProof/>
        </w:rPr>
        <w:fldChar w:fldCharType="separate"/>
      </w:r>
      <w:r w:rsidR="008C45A2">
        <w:rPr>
          <w:noProof/>
        </w:rPr>
        <w:t>1</w:t>
      </w:r>
      <w:r w:rsidR="008C45A2">
        <w:rPr>
          <w:noProof/>
        </w:rPr>
        <w:fldChar w:fldCharType="end"/>
      </w:r>
    </w:p>
    <w:p w14:paraId="3283B5F7" w14:textId="35B279EC" w:rsidR="008C45A2" w:rsidRDefault="008C45A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_Toc138406083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1E89A3A" w14:textId="3BBC96C7" w:rsidR="008C45A2" w:rsidRDefault="008C45A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_Toc138406084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3716036" w14:textId="29A72FF2" w:rsidR="008C45A2" w:rsidRDefault="008C45A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_Toc138406085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84D9DA" w14:textId="28B27A3A" w:rsidR="008C45A2" w:rsidRDefault="008C45A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Directions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_Toc138406086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A64FB1" w14:textId="1F1DDFAD" w:rsidR="008C45A2" w:rsidRDefault="008C45A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6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_Toc138406087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54C2ECB" w14:textId="57A62163" w:rsidR="008C45A2" w:rsidRDefault="008C45A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_Toc138406088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6ABCE08" w14:textId="6D226A35" w:rsidR="008C45A2" w:rsidRDefault="008C45A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Seafarers Safety Rehabilitation and Compensation Directions 2006 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_Toc138406089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AE91C6C" w14:textId="280BC9CC" w:rsidR="00F6696E" w:rsidRDefault="00B418CB" w:rsidP="00F6696E">
      <w:pPr>
        <w:outlineLvl w:val="0"/>
      </w:pPr>
      <w:r>
        <w:fldChar w:fldCharType="end"/>
      </w:r>
    </w:p>
    <w:p w14:paraId="2BF41EBF" w14:textId="77777777" w:rsidR="00F6696E" w:rsidRPr="00A802BC" w:rsidRDefault="00F6696E" w:rsidP="00F6696E">
      <w:pPr>
        <w:outlineLvl w:val="0"/>
        <w:rPr>
          <w:sz w:val="20"/>
        </w:rPr>
      </w:pPr>
    </w:p>
    <w:p w14:paraId="4F4C521D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A476EF" w14:textId="77777777" w:rsidR="008C45A2" w:rsidRPr="009C2562" w:rsidRDefault="008C45A2" w:rsidP="008C45A2">
      <w:pPr>
        <w:pStyle w:val="ActHead5"/>
        <w:pageBreakBefore/>
      </w:pPr>
      <w:bookmarkStart w:id="0" w:name="_Toc138239150"/>
      <w:bookmarkStart w:id="1" w:name="_Toc138406082"/>
      <w:bookmarkStart w:id="2" w:name="_Toc454781205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0"/>
      <w:bookmarkEnd w:id="1"/>
      <w:r>
        <w:tab/>
      </w:r>
    </w:p>
    <w:p w14:paraId="677391CD" w14:textId="77777777" w:rsidR="008C45A2" w:rsidRPr="00453EE7" w:rsidRDefault="008C45A2" w:rsidP="008C45A2">
      <w:pPr>
        <w:pStyle w:val="subsection"/>
        <w:rPr>
          <w:iCs/>
        </w:rPr>
      </w:pPr>
      <w:r w:rsidRPr="009C2562">
        <w:tab/>
      </w:r>
      <w:r w:rsidRPr="009C2562">
        <w:tab/>
        <w:t xml:space="preserve">This </w:t>
      </w:r>
      <w:bookmarkStart w:id="3" w:name="BKCheck15B_3"/>
      <w:bookmarkEnd w:id="3"/>
      <w:r>
        <w:t xml:space="preserve">instrument is the </w:t>
      </w:r>
      <w:r>
        <w:rPr>
          <w:i/>
        </w:rPr>
        <w:t>Seafarers Rehabilitation and Compensation Directions 2023</w:t>
      </w:r>
      <w:r>
        <w:rPr>
          <w:iCs/>
        </w:rPr>
        <w:t>.</w:t>
      </w:r>
    </w:p>
    <w:p w14:paraId="57AD63A7" w14:textId="77777777" w:rsidR="008C45A2" w:rsidRDefault="008C45A2" w:rsidP="008C45A2">
      <w:pPr>
        <w:pStyle w:val="ActHead5"/>
      </w:pPr>
      <w:bookmarkStart w:id="4" w:name="_Toc138239151"/>
      <w:bookmarkStart w:id="5" w:name="_Toc138406083"/>
      <w:r>
        <w:t>2  Commencement</w:t>
      </w:r>
      <w:bookmarkEnd w:id="4"/>
      <w:bookmarkEnd w:id="5"/>
    </w:p>
    <w:p w14:paraId="31D4D303" w14:textId="77777777" w:rsidR="008C45A2" w:rsidRPr="00D431B2" w:rsidRDefault="008C45A2" w:rsidP="008C45A2">
      <w:pPr>
        <w:pStyle w:val="subsection"/>
        <w:ind w:firstLine="0"/>
      </w:pPr>
      <w:r w:rsidRPr="00D431B2">
        <w:t>This instrument commences on 1 July 2023.</w:t>
      </w:r>
    </w:p>
    <w:p w14:paraId="4CAFEFA8" w14:textId="77777777" w:rsidR="008C45A2" w:rsidRDefault="008C45A2" w:rsidP="008C45A2">
      <w:pPr>
        <w:pStyle w:val="ActHead5"/>
      </w:pPr>
      <w:bookmarkStart w:id="6" w:name="_Toc138239152"/>
      <w:bookmarkStart w:id="7" w:name="_Toc138406084"/>
      <w:r>
        <w:t>3  Authority</w:t>
      </w:r>
      <w:bookmarkEnd w:id="6"/>
      <w:bookmarkEnd w:id="7"/>
    </w:p>
    <w:p w14:paraId="1489EA82" w14:textId="77777777" w:rsidR="008C45A2" w:rsidRPr="00264187" w:rsidRDefault="008C45A2" w:rsidP="008C45A2">
      <w:pPr>
        <w:pStyle w:val="subsection"/>
        <w:rPr>
          <w:szCs w:val="22"/>
        </w:rPr>
      </w:pPr>
      <w:r>
        <w:tab/>
      </w:r>
      <w:r>
        <w:tab/>
      </w:r>
      <w:r w:rsidRPr="00AD5C4B">
        <w:rPr>
          <w:szCs w:val="22"/>
        </w:rPr>
        <w:t>This instrument is made under section 10</w:t>
      </w:r>
      <w:r>
        <w:rPr>
          <w:szCs w:val="22"/>
        </w:rPr>
        <w:t>7</w:t>
      </w:r>
      <w:r w:rsidRPr="00AD5C4B">
        <w:rPr>
          <w:szCs w:val="22"/>
        </w:rPr>
        <w:t xml:space="preserve"> of</w:t>
      </w:r>
      <w:r>
        <w:rPr>
          <w:szCs w:val="22"/>
        </w:rPr>
        <w:t xml:space="preserve"> the </w:t>
      </w:r>
      <w:r>
        <w:rPr>
          <w:i/>
        </w:rPr>
        <w:t>Seafarers Rehabilitation and Compensation Act 1992.</w:t>
      </w:r>
    </w:p>
    <w:p w14:paraId="09F634FA" w14:textId="77777777" w:rsidR="008C45A2" w:rsidRPr="00554826" w:rsidRDefault="008C45A2" w:rsidP="008C45A2">
      <w:pPr>
        <w:pStyle w:val="ActHead5"/>
      </w:pPr>
      <w:bookmarkStart w:id="8" w:name="_Toc138239153"/>
      <w:bookmarkStart w:id="9" w:name="_Toc138406085"/>
      <w:r w:rsidRPr="00554826">
        <w:t>4  Definitions</w:t>
      </w:r>
      <w:bookmarkEnd w:id="8"/>
      <w:bookmarkEnd w:id="9"/>
    </w:p>
    <w:p w14:paraId="455B13B1" w14:textId="77777777" w:rsidR="008C45A2" w:rsidRPr="009C2562" w:rsidRDefault="008C45A2" w:rsidP="008C45A2">
      <w:pPr>
        <w:pStyle w:val="subsection"/>
      </w:pPr>
      <w:r w:rsidRPr="009C2562">
        <w:tab/>
      </w:r>
      <w:r>
        <w:tab/>
      </w:r>
      <w:r w:rsidRPr="009C2562">
        <w:t>In this instrument:</w:t>
      </w:r>
    </w:p>
    <w:p w14:paraId="520F41F8" w14:textId="77777777" w:rsidR="008C45A2" w:rsidRPr="009E06D5" w:rsidRDefault="008C45A2" w:rsidP="008C45A2">
      <w:pPr>
        <w:pStyle w:val="Definition"/>
        <w:rPr>
          <w:bCs/>
          <w:iCs/>
        </w:rPr>
      </w:pPr>
      <w:r>
        <w:rPr>
          <w:b/>
          <w:i/>
        </w:rPr>
        <w:t xml:space="preserve">Seafarers Act </w:t>
      </w:r>
      <w:r>
        <w:rPr>
          <w:bCs/>
          <w:iCs/>
        </w:rPr>
        <w:t xml:space="preserve">means the </w:t>
      </w:r>
      <w:r>
        <w:rPr>
          <w:i/>
        </w:rPr>
        <w:t>Seafarers Rehabilitation and Compensation Act 1992</w:t>
      </w:r>
      <w:r>
        <w:rPr>
          <w:iCs/>
        </w:rPr>
        <w:t>.</w:t>
      </w:r>
    </w:p>
    <w:p w14:paraId="2E62AAAD" w14:textId="77777777" w:rsidR="008C45A2" w:rsidRDefault="008C45A2" w:rsidP="008C45A2">
      <w:pPr>
        <w:pStyle w:val="Definition"/>
        <w:rPr>
          <w:b/>
          <w:i/>
        </w:rPr>
      </w:pPr>
      <w:r w:rsidRPr="009E06D5">
        <w:rPr>
          <w:b/>
          <w:bCs/>
          <w:i/>
          <w:iCs/>
          <w:color w:val="000000"/>
          <w:szCs w:val="22"/>
          <w:shd w:val="clear" w:color="auto" w:fill="FFFFFF"/>
        </w:rPr>
        <w:t>Exemption Guidelines</w:t>
      </w:r>
      <w:r>
        <w:rPr>
          <w:color w:val="000000"/>
          <w:szCs w:val="22"/>
          <w:shd w:val="clear" w:color="auto" w:fill="FFFFFF"/>
        </w:rPr>
        <w:t xml:space="preserve"> means the exemption guidelines adopted by the </w:t>
      </w:r>
      <w:proofErr w:type="spellStart"/>
      <w:r>
        <w:t>Seacare</w:t>
      </w:r>
      <w:proofErr w:type="spellEnd"/>
      <w:r>
        <w:t xml:space="preserve"> Authority to assist in determining requests for exemption from the application of </w:t>
      </w:r>
      <w:r>
        <w:rPr>
          <w:bCs/>
          <w:iCs/>
        </w:rPr>
        <w:t xml:space="preserve">the Seafarers Act. </w:t>
      </w:r>
    </w:p>
    <w:p w14:paraId="1A3A71B0" w14:textId="77777777" w:rsidR="008C45A2" w:rsidRPr="0050759B" w:rsidRDefault="008C45A2" w:rsidP="008C45A2">
      <w:pPr>
        <w:pStyle w:val="Definition"/>
        <w:rPr>
          <w:szCs w:val="22"/>
        </w:rPr>
      </w:pPr>
      <w:proofErr w:type="spellStart"/>
      <w:r>
        <w:rPr>
          <w:b/>
          <w:i/>
        </w:rPr>
        <w:t>Seacare</w:t>
      </w:r>
      <w:proofErr w:type="spellEnd"/>
      <w:r>
        <w:rPr>
          <w:b/>
          <w:i/>
        </w:rPr>
        <w:t xml:space="preserve"> </w:t>
      </w:r>
      <w:r w:rsidRPr="009C2562">
        <w:rPr>
          <w:b/>
          <w:i/>
        </w:rPr>
        <w:t>A</w:t>
      </w:r>
      <w:r>
        <w:rPr>
          <w:b/>
          <w:i/>
        </w:rPr>
        <w:t xml:space="preserve">uthority </w:t>
      </w:r>
      <w:r w:rsidRPr="009C2562">
        <w:t>means the</w:t>
      </w:r>
      <w:r>
        <w:t xml:space="preserve"> Seafarers Safety, Rehabilitation and Compensation Authority.</w:t>
      </w:r>
    </w:p>
    <w:p w14:paraId="05A1A9FB" w14:textId="77777777" w:rsidR="008C45A2" w:rsidRPr="004D2700" w:rsidRDefault="008C45A2" w:rsidP="008C45A2">
      <w:pPr>
        <w:pStyle w:val="ActHead5"/>
      </w:pPr>
      <w:bookmarkStart w:id="10" w:name="_Toc138239154"/>
      <w:bookmarkStart w:id="11" w:name="_Toc138406086"/>
      <w:bookmarkEnd w:id="2"/>
      <w:r>
        <w:t xml:space="preserve">5  </w:t>
      </w:r>
      <w:r w:rsidRPr="00F20D14">
        <w:t>D</w:t>
      </w:r>
      <w:r>
        <w:t>irections</w:t>
      </w:r>
      <w:bookmarkEnd w:id="10"/>
      <w:bookmarkEnd w:id="11"/>
    </w:p>
    <w:p w14:paraId="2602B8E2" w14:textId="77777777" w:rsidR="008C45A2" w:rsidRDefault="008C45A2" w:rsidP="008C45A2">
      <w:pPr>
        <w:ind w:left="720" w:firstLine="414"/>
        <w:rPr>
          <w:color w:val="000000"/>
          <w:szCs w:val="22"/>
          <w:shd w:val="clear" w:color="auto" w:fill="FFFFFF"/>
        </w:rPr>
      </w:pPr>
    </w:p>
    <w:p w14:paraId="517B8081" w14:textId="77777777" w:rsidR="008C45A2" w:rsidRPr="00F07520" w:rsidRDefault="008C45A2" w:rsidP="008C45A2">
      <w:pPr>
        <w:ind w:left="720" w:firstLine="414"/>
        <w:rPr>
          <w:color w:val="000000"/>
          <w:szCs w:val="22"/>
          <w:shd w:val="clear" w:color="auto" w:fill="FFFFFF"/>
        </w:rPr>
      </w:pPr>
      <w:r w:rsidRPr="00F07520">
        <w:rPr>
          <w:color w:val="000000"/>
          <w:szCs w:val="22"/>
          <w:shd w:val="clear" w:color="auto" w:fill="FFFFFF"/>
        </w:rPr>
        <w:t>I direct the </w:t>
      </w:r>
      <w:proofErr w:type="spellStart"/>
      <w:r w:rsidRPr="00F07520">
        <w:rPr>
          <w:color w:val="000000"/>
          <w:szCs w:val="22"/>
          <w:shd w:val="clear" w:color="auto" w:fill="FFFFFF"/>
        </w:rPr>
        <w:t>Seacare</w:t>
      </w:r>
      <w:proofErr w:type="spellEnd"/>
      <w:r w:rsidRPr="00F07520">
        <w:rPr>
          <w:color w:val="000000"/>
          <w:szCs w:val="22"/>
          <w:shd w:val="clear" w:color="auto" w:fill="FFFFFF"/>
        </w:rPr>
        <w:t xml:space="preserve"> Authority </w:t>
      </w:r>
      <w:r>
        <w:rPr>
          <w:color w:val="000000"/>
          <w:szCs w:val="22"/>
          <w:shd w:val="clear" w:color="auto" w:fill="FFFFFF"/>
        </w:rPr>
        <w:t xml:space="preserve">to </w:t>
      </w:r>
      <w:r w:rsidRPr="00F07520">
        <w:rPr>
          <w:color w:val="000000"/>
          <w:szCs w:val="22"/>
          <w:shd w:val="clear" w:color="auto" w:fill="FFFFFF"/>
        </w:rPr>
        <w:t>amend its Exemption Guidelines to specify</w:t>
      </w:r>
      <w:r>
        <w:rPr>
          <w:color w:val="000000"/>
          <w:szCs w:val="22"/>
          <w:shd w:val="clear" w:color="auto" w:fill="FFFFFF"/>
        </w:rPr>
        <w:t xml:space="preserve"> that:</w:t>
      </w:r>
    </w:p>
    <w:p w14:paraId="09FDBCDE" w14:textId="77777777" w:rsidR="008C45A2" w:rsidRPr="00F07520" w:rsidRDefault="008C45A2" w:rsidP="008C45A2">
      <w:pPr>
        <w:ind w:left="720"/>
        <w:rPr>
          <w:color w:val="000000"/>
          <w:szCs w:val="22"/>
          <w:shd w:val="clear" w:color="auto" w:fill="FFFFFF"/>
        </w:rPr>
      </w:pPr>
    </w:p>
    <w:p w14:paraId="6643489E" w14:textId="77777777" w:rsidR="008C45A2" w:rsidRPr="00680582" w:rsidRDefault="008C45A2" w:rsidP="008C45A2">
      <w:pPr>
        <w:pStyle w:val="ListParagraph"/>
        <w:numPr>
          <w:ilvl w:val="0"/>
          <w:numId w:val="14"/>
        </w:numPr>
        <w:ind w:left="1560" w:hanging="426"/>
        <w:rPr>
          <w:rFonts w:cs="Times New Roman"/>
          <w:color w:val="000000" w:themeColor="text1"/>
          <w:szCs w:val="22"/>
        </w:rPr>
      </w:pPr>
      <w:r>
        <w:t xml:space="preserve">the integrity and ongoing viability of the </w:t>
      </w:r>
      <w:proofErr w:type="spellStart"/>
      <w:r>
        <w:t>Seacare</w:t>
      </w:r>
      <w:proofErr w:type="spellEnd"/>
      <w:r>
        <w:t xml:space="preserve"> scheme </w:t>
      </w:r>
      <w:r>
        <w:rPr>
          <w:color w:val="000000"/>
          <w:shd w:val="clear" w:color="auto" w:fill="FFFFFF"/>
        </w:rPr>
        <w:t xml:space="preserve">is a primary factor in determining all applications for exemption </w:t>
      </w:r>
      <w:r>
        <w:rPr>
          <w:rFonts w:cs="Times New Roman"/>
          <w:color w:val="000000" w:themeColor="text1"/>
          <w:szCs w:val="22"/>
        </w:rPr>
        <w:t>from the operation of the Seafarers Act</w:t>
      </w:r>
      <w:r>
        <w:rPr>
          <w:color w:val="000000"/>
          <w:shd w:val="clear" w:color="auto" w:fill="FFFFFF"/>
        </w:rPr>
        <w:t xml:space="preserve"> under section 20A of that Act; and</w:t>
      </w:r>
    </w:p>
    <w:p w14:paraId="3E45C98A" w14:textId="77777777" w:rsidR="008C45A2" w:rsidRPr="00D2042C" w:rsidRDefault="008C45A2" w:rsidP="008C45A2"/>
    <w:p w14:paraId="16517B71" w14:textId="77777777" w:rsidR="008C45A2" w:rsidRDefault="008C45A2" w:rsidP="008C45A2">
      <w:pPr>
        <w:pStyle w:val="ListParagraph"/>
        <w:numPr>
          <w:ilvl w:val="0"/>
          <w:numId w:val="14"/>
        </w:numPr>
        <w:ind w:left="1560" w:hanging="426"/>
      </w:pPr>
      <w:r w:rsidRPr="00D2042C">
        <w:t xml:space="preserve">a reduction in workers’ compensation entitlements for affected seafarers is a </w:t>
      </w:r>
      <w:r>
        <w:t xml:space="preserve">primary </w:t>
      </w:r>
      <w:r w:rsidRPr="00D2042C">
        <w:t xml:space="preserve">factor in determining not to grant an exemption </w:t>
      </w:r>
      <w:r>
        <w:t xml:space="preserve">under </w:t>
      </w:r>
      <w:r>
        <w:rPr>
          <w:color w:val="000000"/>
          <w:shd w:val="clear" w:color="auto" w:fill="FFFFFF"/>
        </w:rPr>
        <w:t xml:space="preserve">section 20A of the Seafarers Act </w:t>
      </w:r>
      <w:r w:rsidRPr="00D2042C">
        <w:t xml:space="preserve">where the </w:t>
      </w:r>
      <w:proofErr w:type="spellStart"/>
      <w:r w:rsidRPr="00D2042C">
        <w:t>Seacare</w:t>
      </w:r>
      <w:proofErr w:type="spellEnd"/>
      <w:r w:rsidRPr="00D2042C">
        <w:t xml:space="preserve"> Authority is satisfied that </w:t>
      </w:r>
      <w:r>
        <w:t xml:space="preserve">a reduction in entitlements </w:t>
      </w:r>
      <w:r w:rsidRPr="00D2042C">
        <w:t>would be a likely outcome for the employee</w:t>
      </w:r>
      <w:r>
        <w:t>s</w:t>
      </w:r>
      <w:r w:rsidRPr="00D2042C">
        <w:t xml:space="preserve"> on </w:t>
      </w:r>
      <w:r>
        <w:t>a</w:t>
      </w:r>
      <w:r w:rsidRPr="00D2042C">
        <w:t xml:space="preserve"> particular ship; and</w:t>
      </w:r>
    </w:p>
    <w:p w14:paraId="4EF95C64" w14:textId="77777777" w:rsidR="008C45A2" w:rsidRDefault="008C45A2" w:rsidP="008C45A2">
      <w:pPr>
        <w:pStyle w:val="ListParagraph"/>
      </w:pPr>
    </w:p>
    <w:p w14:paraId="4F5A46F6" w14:textId="77777777" w:rsidR="008C45A2" w:rsidRDefault="008C45A2" w:rsidP="008C45A2">
      <w:pPr>
        <w:pStyle w:val="ListParagraph"/>
        <w:numPr>
          <w:ilvl w:val="0"/>
          <w:numId w:val="14"/>
        </w:numPr>
        <w:ind w:left="1560" w:hanging="426"/>
      </w:pPr>
      <w:r w:rsidRPr="00D2042C">
        <w:t xml:space="preserve">where </w:t>
      </w:r>
      <w:r>
        <w:t>an applicant requests an exemption from th</w:t>
      </w:r>
      <w:r w:rsidRPr="00D2042C">
        <w:t>e application of the Seafarers Act under section 20A on the grounds that workers’ compensation insurance under the Sea</w:t>
      </w:r>
      <w:r>
        <w:t xml:space="preserve">farers </w:t>
      </w:r>
      <w:r w:rsidRPr="00D2042C">
        <w:t xml:space="preserve">Act is unavailable, a primary factor in determining the application is whether the </w:t>
      </w:r>
      <w:proofErr w:type="spellStart"/>
      <w:r w:rsidRPr="00D2042C">
        <w:t>Seacare</w:t>
      </w:r>
      <w:proofErr w:type="spellEnd"/>
      <w:r w:rsidRPr="00D2042C">
        <w:t xml:space="preserve"> Authority is reasonably satisfied that the applicant has </w:t>
      </w:r>
      <w:r>
        <w:t xml:space="preserve">taken all reasonable steps </w:t>
      </w:r>
      <w:r w:rsidRPr="00D2042C">
        <w:t>to obtain insurance or indemnification for the applicant’s workers’ compensation liability under the</w:t>
      </w:r>
      <w:r>
        <w:t xml:space="preserve"> Seafarers</w:t>
      </w:r>
      <w:r w:rsidRPr="00D2042C">
        <w:t xml:space="preserve"> Act</w:t>
      </w:r>
      <w:r>
        <w:t>; and</w:t>
      </w:r>
    </w:p>
    <w:p w14:paraId="55613504" w14:textId="77777777" w:rsidR="008C45A2" w:rsidRDefault="008C45A2" w:rsidP="008C45A2">
      <w:pPr>
        <w:pStyle w:val="ListParagraph"/>
      </w:pPr>
    </w:p>
    <w:p w14:paraId="0D3BB8A4" w14:textId="77777777" w:rsidR="008C45A2" w:rsidRPr="00724391" w:rsidRDefault="008C45A2" w:rsidP="008C45A2">
      <w:pPr>
        <w:pStyle w:val="ListParagraph"/>
        <w:numPr>
          <w:ilvl w:val="0"/>
          <w:numId w:val="14"/>
        </w:numPr>
        <w:ind w:left="1560"/>
      </w:pPr>
      <w:r w:rsidRPr="00724391">
        <w:lastRenderedPageBreak/>
        <w:t>the applicant has state or territory insurance in all jurisdictions in which it operates</w:t>
      </w:r>
      <w:r>
        <w:t>,</w:t>
      </w:r>
      <w:r w:rsidRPr="00724391">
        <w:t xml:space="preserve"> is a primary factor in determining all applications for exemption from the operation of the Seafarers Act under section 20A of that Act.</w:t>
      </w:r>
    </w:p>
    <w:p w14:paraId="47272B6B" w14:textId="77777777" w:rsidR="008C45A2" w:rsidRPr="00E4480C" w:rsidRDefault="008C45A2" w:rsidP="008C45A2">
      <w:pPr>
        <w:pStyle w:val="ActHead5"/>
      </w:pPr>
      <w:bookmarkStart w:id="12" w:name="_Toc138239155"/>
      <w:bookmarkStart w:id="13" w:name="_Toc138406087"/>
      <w:r w:rsidRPr="000442B6">
        <w:t xml:space="preserve">6  </w:t>
      </w:r>
      <w:r>
        <w:t>Schedule</w:t>
      </w:r>
      <w:bookmarkEnd w:id="12"/>
      <w:bookmarkEnd w:id="13"/>
      <w:r w:rsidRPr="00A86A3E">
        <w:rPr>
          <w:color w:val="000000"/>
          <w:szCs w:val="22"/>
          <w:lang w:eastAsia="en-US"/>
        </w:rPr>
        <w:t xml:space="preserve"> </w:t>
      </w:r>
    </w:p>
    <w:p w14:paraId="44B9786B" w14:textId="77777777" w:rsidR="008C45A2" w:rsidRPr="00B516D8" w:rsidRDefault="008C45A2" w:rsidP="008C45A2">
      <w:pPr>
        <w:pStyle w:val="subsection"/>
        <w:rPr>
          <w:color w:val="000000"/>
          <w:szCs w:val="22"/>
          <w:lang w:eastAsia="en-US"/>
        </w:rPr>
      </w:pPr>
      <w:r>
        <w:tab/>
      </w:r>
      <w:r>
        <w:tab/>
        <w:t xml:space="preserve">Each instrument that is specified in Schedule 1 to this instrument is amended or repealed as set out in the applicable items </w:t>
      </w:r>
      <w:r w:rsidRPr="00083F48">
        <w:t xml:space="preserve">in the Schedule concerned, and any other item in a Schedule to </w:t>
      </w:r>
      <w:r>
        <w:t>this instrument</w:t>
      </w:r>
      <w:r w:rsidRPr="00083F48">
        <w:t xml:space="preserve"> has effect according to its terms.</w:t>
      </w:r>
    </w:p>
    <w:p w14:paraId="062AE5A8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6B91D7F" w14:textId="77777777" w:rsidR="00D6537E" w:rsidRPr="004E1307" w:rsidRDefault="004E1307" w:rsidP="00D6537E">
      <w:pPr>
        <w:pStyle w:val="ActHead6"/>
      </w:pPr>
      <w:bookmarkStart w:id="14" w:name="_Toc138406088"/>
      <w:r>
        <w:lastRenderedPageBreak/>
        <w:t xml:space="preserve">Schedule </w:t>
      </w:r>
      <w:r w:rsidR="00D6537E" w:rsidRPr="004E1307">
        <w:t>1—Repeals</w:t>
      </w:r>
      <w:bookmarkEnd w:id="14"/>
    </w:p>
    <w:p w14:paraId="3EFCDA41" w14:textId="77777777" w:rsidR="008C45A2" w:rsidRPr="001B3B58" w:rsidRDefault="008C45A2" w:rsidP="008C45A2">
      <w:pPr>
        <w:pStyle w:val="ActHead9"/>
      </w:pPr>
      <w:bookmarkStart w:id="15" w:name="_Toc120529428"/>
      <w:bookmarkStart w:id="16" w:name="_Toc138239157"/>
      <w:bookmarkStart w:id="17" w:name="_Toc138406089"/>
      <w:r w:rsidRPr="00260E2C">
        <w:t>S</w:t>
      </w:r>
      <w:r>
        <w:t xml:space="preserve">eafarers </w:t>
      </w:r>
      <w:bookmarkEnd w:id="15"/>
      <w:r>
        <w:t>Safety Rehabilitation and Compensation Directions 2006 (1)</w:t>
      </w:r>
      <w:bookmarkEnd w:id="16"/>
      <w:bookmarkEnd w:id="17"/>
    </w:p>
    <w:p w14:paraId="054DD18C" w14:textId="77777777" w:rsidR="008C45A2" w:rsidRDefault="008C45A2" w:rsidP="008C45A2">
      <w:pPr>
        <w:pStyle w:val="OPCParaBase"/>
      </w:pPr>
    </w:p>
    <w:p w14:paraId="156CAAD9" w14:textId="77777777" w:rsidR="008C45A2" w:rsidRPr="00D431B2" w:rsidRDefault="008C45A2" w:rsidP="008C45A2">
      <w:pPr>
        <w:pStyle w:val="OPCParaBase"/>
        <w:rPr>
          <w:b/>
          <w:i/>
        </w:rPr>
      </w:pPr>
      <w:r w:rsidRPr="00D431B2">
        <w:t xml:space="preserve">Note: See section 6.  </w:t>
      </w:r>
    </w:p>
    <w:p w14:paraId="04E30926" w14:textId="77777777" w:rsidR="008C45A2" w:rsidRPr="004F376E" w:rsidRDefault="008C45A2" w:rsidP="008C45A2">
      <w:pPr>
        <w:pStyle w:val="ItemHead"/>
      </w:pPr>
      <w:r>
        <w:t xml:space="preserve">1  </w:t>
      </w:r>
      <w:r w:rsidRPr="004F376E">
        <w:t>The whole of the instrument</w:t>
      </w:r>
    </w:p>
    <w:p w14:paraId="14E2A0C4" w14:textId="77777777" w:rsidR="008C45A2" w:rsidRDefault="008C45A2" w:rsidP="008C45A2">
      <w:pPr>
        <w:pStyle w:val="Item"/>
        <w:rPr>
          <w:szCs w:val="22"/>
        </w:rPr>
      </w:pPr>
      <w:r w:rsidRPr="00474716">
        <w:t>Repeal the instrument.</w:t>
      </w:r>
    </w:p>
    <w:p w14:paraId="094062D2" w14:textId="77777777" w:rsidR="00554826" w:rsidRPr="00554826" w:rsidRDefault="00554826" w:rsidP="00554826"/>
    <w:p w14:paraId="061BBD27" w14:textId="052C65A7" w:rsidR="00554826" w:rsidRDefault="00554826">
      <w:pPr>
        <w:spacing w:line="240" w:lineRule="auto"/>
      </w:pPr>
    </w:p>
    <w:sectPr w:rsidR="00554826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2F6C" w14:textId="77777777" w:rsidR="008C45A2" w:rsidRDefault="008C45A2" w:rsidP="00715914">
      <w:pPr>
        <w:spacing w:line="240" w:lineRule="auto"/>
      </w:pPr>
      <w:r>
        <w:separator/>
      </w:r>
    </w:p>
  </w:endnote>
  <w:endnote w:type="continuationSeparator" w:id="0">
    <w:p w14:paraId="48DC15BE" w14:textId="77777777" w:rsidR="008C45A2" w:rsidRDefault="008C45A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614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A03CDF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06BF81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ED821F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C45A2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BA592F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2BB91C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008A0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0D4160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048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7704D25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E2D39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DBF6D5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C45A2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99455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1060BE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057FD7" w14:textId="77777777" w:rsidR="0072147A" w:rsidRDefault="0072147A" w:rsidP="00A369E3">
          <w:pPr>
            <w:rPr>
              <w:sz w:val="18"/>
            </w:rPr>
          </w:pPr>
        </w:p>
      </w:tc>
    </w:tr>
  </w:tbl>
  <w:p w14:paraId="4002C075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A537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8F5B57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A5E00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917851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C18AC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5400A9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587F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735042E1" w14:textId="77777777" w:rsidTr="00A87A58">
      <w:tc>
        <w:tcPr>
          <w:tcW w:w="365" w:type="pct"/>
        </w:tcPr>
        <w:p w14:paraId="2EFCC453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20462DE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C45A2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51B9C2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402B16E" w14:textId="77777777" w:rsidTr="00A87A58">
      <w:tc>
        <w:tcPr>
          <w:tcW w:w="5000" w:type="pct"/>
          <w:gridSpan w:val="3"/>
        </w:tcPr>
        <w:p w14:paraId="6922B83B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265DCEC9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4664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3FBEFEE4" w14:textId="77777777" w:rsidTr="00A87A58">
      <w:tc>
        <w:tcPr>
          <w:tcW w:w="947" w:type="pct"/>
        </w:tcPr>
        <w:p w14:paraId="74B14C8E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0D2E8CF" w14:textId="03ED00A1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F3533">
            <w:rPr>
              <w:i/>
              <w:noProof/>
              <w:sz w:val="18"/>
            </w:rPr>
            <w:t>Seafarers Rehabilitation and Compensation Directions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63A258A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7178ABE" w14:textId="77777777" w:rsidTr="00A87A58">
      <w:tc>
        <w:tcPr>
          <w:tcW w:w="5000" w:type="pct"/>
          <w:gridSpan w:val="3"/>
        </w:tcPr>
        <w:p w14:paraId="1D454FEA" w14:textId="77777777" w:rsidR="00F6696E" w:rsidRDefault="00F6696E" w:rsidP="000850AC">
          <w:pPr>
            <w:rPr>
              <w:sz w:val="18"/>
            </w:rPr>
          </w:pPr>
        </w:p>
      </w:tc>
    </w:tr>
  </w:tbl>
  <w:p w14:paraId="2D32607C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C81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DC9C20D" w14:textId="77777777" w:rsidTr="00A87A58">
      <w:tc>
        <w:tcPr>
          <w:tcW w:w="365" w:type="pct"/>
        </w:tcPr>
        <w:p w14:paraId="26C60254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554154D" w14:textId="3E82889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F3533">
            <w:rPr>
              <w:i/>
              <w:noProof/>
              <w:sz w:val="18"/>
            </w:rPr>
            <w:t>Seafarers Rehabilitation and Compensation Directions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5C1FB1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169194E" w14:textId="77777777" w:rsidTr="00A87A58">
      <w:tc>
        <w:tcPr>
          <w:tcW w:w="5000" w:type="pct"/>
          <w:gridSpan w:val="3"/>
        </w:tcPr>
        <w:p w14:paraId="10261E67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7FC8E8A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EC7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3C25522" w14:textId="77777777" w:rsidTr="00A87A58">
      <w:tc>
        <w:tcPr>
          <w:tcW w:w="947" w:type="pct"/>
        </w:tcPr>
        <w:p w14:paraId="5C60F277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E4299AC" w14:textId="3FF4288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F3533">
            <w:rPr>
              <w:i/>
              <w:noProof/>
              <w:sz w:val="18"/>
            </w:rPr>
            <w:t>Seafarers Rehabilitation and Compensation Directions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C0E182E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0903F59" w14:textId="77777777" w:rsidTr="00A87A58">
      <w:tc>
        <w:tcPr>
          <w:tcW w:w="5000" w:type="pct"/>
          <w:gridSpan w:val="3"/>
        </w:tcPr>
        <w:p w14:paraId="4148CA93" w14:textId="77777777" w:rsidR="008C2EAC" w:rsidRDefault="008C2EAC" w:rsidP="000850AC">
          <w:pPr>
            <w:rPr>
              <w:sz w:val="18"/>
            </w:rPr>
          </w:pPr>
        </w:p>
      </w:tc>
    </w:tr>
  </w:tbl>
  <w:p w14:paraId="58DAF9EB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2F88" w14:textId="77777777" w:rsidR="008C45A2" w:rsidRDefault="008C45A2" w:rsidP="00715914">
      <w:pPr>
        <w:spacing w:line="240" w:lineRule="auto"/>
      </w:pPr>
      <w:r>
        <w:separator/>
      </w:r>
    </w:p>
  </w:footnote>
  <w:footnote w:type="continuationSeparator" w:id="0">
    <w:p w14:paraId="4D565E73" w14:textId="77777777" w:rsidR="008C45A2" w:rsidRDefault="008C45A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F1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EA4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B09B" w14:textId="77777777" w:rsidR="008C45A2" w:rsidRDefault="008C45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BF8F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C64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F521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D939" w14:textId="77777777" w:rsidR="004E1307" w:rsidRDefault="004E1307" w:rsidP="00715914">
    <w:pPr>
      <w:rPr>
        <w:sz w:val="20"/>
      </w:rPr>
    </w:pPr>
  </w:p>
  <w:p w14:paraId="632B2743" w14:textId="77777777" w:rsidR="004E1307" w:rsidRDefault="004E1307" w:rsidP="00715914">
    <w:pPr>
      <w:rPr>
        <w:sz w:val="20"/>
      </w:rPr>
    </w:pPr>
  </w:p>
  <w:p w14:paraId="098E2117" w14:textId="77777777" w:rsidR="004E1307" w:rsidRPr="007A1328" w:rsidRDefault="004E1307" w:rsidP="00715914">
    <w:pPr>
      <w:rPr>
        <w:sz w:val="20"/>
      </w:rPr>
    </w:pPr>
  </w:p>
  <w:p w14:paraId="2C982A7A" w14:textId="77777777" w:rsidR="004E1307" w:rsidRPr="007A1328" w:rsidRDefault="004E1307" w:rsidP="00715914">
    <w:pPr>
      <w:rPr>
        <w:b/>
        <w:sz w:val="24"/>
      </w:rPr>
    </w:pPr>
  </w:p>
  <w:p w14:paraId="64A249D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4672" w14:textId="77777777" w:rsidR="004E1307" w:rsidRPr="007A1328" w:rsidRDefault="004E1307" w:rsidP="00715914">
    <w:pPr>
      <w:jc w:val="right"/>
      <w:rPr>
        <w:sz w:val="20"/>
      </w:rPr>
    </w:pPr>
  </w:p>
  <w:p w14:paraId="1FC2413B" w14:textId="77777777" w:rsidR="004E1307" w:rsidRPr="007A1328" w:rsidRDefault="004E1307" w:rsidP="00715914">
    <w:pPr>
      <w:jc w:val="right"/>
      <w:rPr>
        <w:sz w:val="20"/>
      </w:rPr>
    </w:pPr>
  </w:p>
  <w:p w14:paraId="7A4D48A6" w14:textId="77777777" w:rsidR="004E1307" w:rsidRPr="007A1328" w:rsidRDefault="004E1307" w:rsidP="00715914">
    <w:pPr>
      <w:jc w:val="right"/>
      <w:rPr>
        <w:sz w:val="20"/>
      </w:rPr>
    </w:pPr>
  </w:p>
  <w:p w14:paraId="01E90ECE" w14:textId="77777777" w:rsidR="004E1307" w:rsidRPr="007A1328" w:rsidRDefault="004E1307" w:rsidP="00715914">
    <w:pPr>
      <w:jc w:val="right"/>
      <w:rPr>
        <w:b/>
        <w:sz w:val="24"/>
      </w:rPr>
    </w:pPr>
  </w:p>
  <w:p w14:paraId="64E9AA1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CD71257"/>
    <w:multiLevelType w:val="hybridMultilevel"/>
    <w:tmpl w:val="F14C778A"/>
    <w:lvl w:ilvl="0" w:tplc="62D88B3C">
      <w:start w:val="1"/>
      <w:numFmt w:val="lowerLetter"/>
      <w:lvlText w:val="(%1)"/>
      <w:lvlJc w:val="left"/>
      <w:pPr>
        <w:ind w:left="1080" w:hanging="360"/>
      </w:pPr>
      <w:rPr>
        <w:rFonts w:cstheme="minorBidi"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807066">
    <w:abstractNumId w:val="9"/>
  </w:num>
  <w:num w:numId="2" w16cid:durableId="1773237508">
    <w:abstractNumId w:val="7"/>
  </w:num>
  <w:num w:numId="3" w16cid:durableId="360861922">
    <w:abstractNumId w:val="6"/>
  </w:num>
  <w:num w:numId="4" w16cid:durableId="308872240">
    <w:abstractNumId w:val="5"/>
  </w:num>
  <w:num w:numId="5" w16cid:durableId="1197934697">
    <w:abstractNumId w:val="4"/>
  </w:num>
  <w:num w:numId="6" w16cid:durableId="1462729743">
    <w:abstractNumId w:val="8"/>
  </w:num>
  <w:num w:numId="7" w16cid:durableId="293142754">
    <w:abstractNumId w:val="3"/>
  </w:num>
  <w:num w:numId="8" w16cid:durableId="1675109716">
    <w:abstractNumId w:val="2"/>
  </w:num>
  <w:num w:numId="9" w16cid:durableId="1352758000">
    <w:abstractNumId w:val="1"/>
  </w:num>
  <w:num w:numId="10" w16cid:durableId="1955283607">
    <w:abstractNumId w:val="0"/>
  </w:num>
  <w:num w:numId="11" w16cid:durableId="1131943222">
    <w:abstractNumId w:val="12"/>
  </w:num>
  <w:num w:numId="12" w16cid:durableId="297032712">
    <w:abstractNumId w:val="10"/>
  </w:num>
  <w:num w:numId="13" w16cid:durableId="19938486">
    <w:abstractNumId w:val="11"/>
  </w:num>
  <w:num w:numId="14" w16cid:durableId="1593464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A2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C45A2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131B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3533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A2645"/>
  <w15:docId w15:val="{B154A48B-D858-4D17-931C-D3AE9C7A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locked/>
    <w:rsid w:val="008C45A2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8C4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2801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1</TotalTime>
  <Pages>7</Pages>
  <Words>492</Words>
  <Characters>2650</Characters>
  <Application>Microsoft Office Word</Application>
  <DocSecurity>0</DocSecurity>
  <Lines>98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LEHMANN,Peter</dc:creator>
  <cp:lastModifiedBy>LEHMANN,Peter</cp:lastModifiedBy>
  <cp:revision>3</cp:revision>
  <dcterms:created xsi:type="dcterms:W3CDTF">2023-06-30T05:36:00Z</dcterms:created>
  <dcterms:modified xsi:type="dcterms:W3CDTF">2023-06-30T06:01:00Z</dcterms:modified>
</cp:coreProperties>
</file>