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2CE43EE8"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75 Transfers) 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p>
    <w:p w14:paraId="73C1AA73" w14:textId="77777777" w:rsidR="00625A03" w:rsidRDefault="00625A03" w:rsidP="00940F98">
      <w:pPr>
        <w:pStyle w:val="Heading3"/>
        <w:keepNext w:val="0"/>
        <w:keepLines/>
        <w:spacing w:after="0"/>
        <w:rPr>
          <w:iCs/>
          <w:sz w:val="22"/>
          <w:szCs w:val="22"/>
        </w:rPr>
      </w:pP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w:t>
      </w:r>
      <w:proofErr w:type="gramStart"/>
      <w:r w:rsidRPr="004625DC">
        <w:rPr>
          <w:sz w:val="24"/>
        </w:rPr>
        <w:t>in the nature of administrative</w:t>
      </w:r>
      <w:proofErr w:type="gramEnd"/>
      <w:r w:rsidRPr="004625DC">
        <w:rPr>
          <w:sz w:val="24"/>
        </w:rPr>
        <w:t xml:space="preserve"> changes only, relating to the Executive Government’s decisions about the allocation of functions to particular entities</w:t>
      </w:r>
      <w:r>
        <w:rPr>
          <w:sz w:val="24"/>
        </w:rPr>
        <w:t>.</w:t>
      </w:r>
    </w:p>
    <w:p w14:paraId="30E4364F" w14:textId="77777777" w:rsidR="008155EC" w:rsidRDefault="008155EC" w:rsidP="008155EC">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57A14F58" w14:textId="777EAAEA" w:rsidR="007B5177" w:rsidRPr="00E61125" w:rsidRDefault="008155EC" w:rsidP="008155EC">
      <w:pPr>
        <w:rPr>
          <w:sz w:val="24"/>
          <w:szCs w:val="24"/>
        </w:rPr>
      </w:pPr>
      <w:r w:rsidRPr="00092F5B">
        <w:rPr>
          <w:sz w:val="24"/>
          <w:szCs w:val="24"/>
        </w:rPr>
        <w:t xml:space="preserve">The </w:t>
      </w:r>
      <w:r w:rsidR="007B5177" w:rsidRPr="00092F5B">
        <w:rPr>
          <w:sz w:val="24"/>
          <w:szCs w:val="24"/>
        </w:rPr>
        <w:t xml:space="preserve">Australian Submarine Agency (ASA) was established </w:t>
      </w:r>
      <w:r w:rsidR="00740BB2" w:rsidRPr="00092F5B">
        <w:rPr>
          <w:sz w:val="24"/>
          <w:szCs w:val="24"/>
        </w:rPr>
        <w:t>as an Executive Agency commencing on 1 July 2023.</w:t>
      </w:r>
      <w:r w:rsidR="00092F5B" w:rsidRPr="00092F5B">
        <w:rPr>
          <w:sz w:val="24"/>
          <w:szCs w:val="24"/>
        </w:rPr>
        <w:t xml:space="preserve"> It</w:t>
      </w:r>
      <w:r w:rsidR="00E61125">
        <w:rPr>
          <w:sz w:val="24"/>
          <w:szCs w:val="24"/>
        </w:rPr>
        <w:t xml:space="preserve"> has </w:t>
      </w:r>
      <w:r w:rsidR="00092F5B" w:rsidRPr="00092F5B">
        <w:rPr>
          <w:sz w:val="24"/>
          <w:szCs w:val="24"/>
        </w:rPr>
        <w:t>also commence</w:t>
      </w:r>
      <w:r w:rsidR="00E61125">
        <w:rPr>
          <w:sz w:val="24"/>
          <w:szCs w:val="24"/>
        </w:rPr>
        <w:t>d</w:t>
      </w:r>
      <w:r w:rsidR="00092F5B" w:rsidRPr="00092F5B">
        <w:rPr>
          <w:sz w:val="24"/>
          <w:szCs w:val="24"/>
        </w:rPr>
        <w:t xml:space="preserve"> as a </w:t>
      </w:r>
      <w:r w:rsidR="00092F5B" w:rsidRPr="00092F5B">
        <w:rPr>
          <w:sz w:val="24"/>
          <w:szCs w:val="24"/>
          <w:lang w:eastAsia="en-AU"/>
        </w:rPr>
        <w:t>non-corporate Commonwealth entity for the purposes of the</w:t>
      </w:r>
      <w:r w:rsidR="00092F5B" w:rsidRPr="00092F5B">
        <w:rPr>
          <w:i/>
          <w:sz w:val="24"/>
          <w:szCs w:val="24"/>
        </w:rPr>
        <w:t xml:space="preserve"> Public Governance, Performance and Accountability Act 2013</w:t>
      </w:r>
      <w:r w:rsidR="00092F5B" w:rsidRPr="00092F5B">
        <w:rPr>
          <w:sz w:val="24"/>
          <w:szCs w:val="24"/>
        </w:rPr>
        <w:t xml:space="preserve"> (PGPA Act)</w:t>
      </w:r>
      <w:r w:rsidR="00C12E4D">
        <w:rPr>
          <w:sz w:val="24"/>
          <w:szCs w:val="24"/>
        </w:rPr>
        <w:t>,</w:t>
      </w:r>
      <w:r w:rsidR="008C6BEA">
        <w:rPr>
          <w:sz w:val="24"/>
          <w:szCs w:val="24"/>
        </w:rPr>
        <w:t xml:space="preserve"> on the same day.</w:t>
      </w:r>
      <w:r w:rsidR="00E61125">
        <w:rPr>
          <w:sz w:val="24"/>
          <w:szCs w:val="24"/>
        </w:rPr>
        <w:t xml:space="preserve"> </w:t>
      </w:r>
      <w:r w:rsidR="00E61125" w:rsidRPr="00E61125">
        <w:rPr>
          <w:sz w:val="24"/>
          <w:szCs w:val="24"/>
        </w:rPr>
        <w:t>The ASA</w:t>
      </w:r>
      <w:r w:rsidR="00E61125">
        <w:rPr>
          <w:sz w:val="24"/>
          <w:szCs w:val="24"/>
        </w:rPr>
        <w:t xml:space="preserve"> is</w:t>
      </w:r>
      <w:r w:rsidR="00E61125" w:rsidRPr="00E61125">
        <w:rPr>
          <w:sz w:val="24"/>
          <w:szCs w:val="24"/>
        </w:rPr>
        <w:t xml:space="preserve"> </w:t>
      </w:r>
      <w:r w:rsidR="00E61125" w:rsidRPr="00E61125">
        <w:rPr>
          <w:color w:val="000000"/>
          <w:sz w:val="24"/>
          <w:szCs w:val="24"/>
          <w:lang w:eastAsia="en-AU"/>
        </w:rPr>
        <w:t>part of the Defence portfolio</w:t>
      </w:r>
      <w:r w:rsidR="00E61125">
        <w:rPr>
          <w:color w:val="000000"/>
          <w:sz w:val="24"/>
          <w:szCs w:val="24"/>
          <w:lang w:eastAsia="en-AU"/>
        </w:rPr>
        <w:t>.</w:t>
      </w:r>
    </w:p>
    <w:p w14:paraId="233F086C" w14:textId="676D13DB" w:rsidR="00864BD4" w:rsidRPr="00092F5B" w:rsidRDefault="00864BD4" w:rsidP="008155EC">
      <w:pPr>
        <w:rPr>
          <w:sz w:val="24"/>
          <w:szCs w:val="24"/>
        </w:rPr>
      </w:pPr>
      <w:r>
        <w:rPr>
          <w:sz w:val="24"/>
          <w:szCs w:val="24"/>
        </w:rPr>
        <w:t>T</w:t>
      </w:r>
      <w:r w:rsidRPr="00864BD4">
        <w:rPr>
          <w:sz w:val="24"/>
          <w:szCs w:val="24"/>
        </w:rPr>
        <w:t xml:space="preserve">he ASA will be responsible and accountable for the management and oversight of the safe and secure delivery of Australia’s nuclear-powered submarine program including the acquisition, construction, delivery, </w:t>
      </w:r>
      <w:proofErr w:type="gramStart"/>
      <w:r w:rsidRPr="00864BD4">
        <w:rPr>
          <w:sz w:val="24"/>
          <w:szCs w:val="24"/>
        </w:rPr>
        <w:t>sustainment</w:t>
      </w:r>
      <w:proofErr w:type="gramEnd"/>
      <w:r w:rsidRPr="00864BD4">
        <w:rPr>
          <w:sz w:val="24"/>
          <w:szCs w:val="24"/>
        </w:rPr>
        <w:t xml:space="preserve"> and disposal of nuclear-powered submarines. The ASA will also be responsible for maintaining the technical governance of the nuclear</w:t>
      </w:r>
      <w:r w:rsidR="00E61125">
        <w:rPr>
          <w:sz w:val="24"/>
          <w:szCs w:val="24"/>
        </w:rPr>
        <w:noBreakHyphen/>
      </w:r>
      <w:r w:rsidRPr="00864BD4">
        <w:rPr>
          <w:sz w:val="24"/>
          <w:szCs w:val="24"/>
        </w:rPr>
        <w:t>powered submarine capability.</w:t>
      </w:r>
    </w:p>
    <w:p w14:paraId="2B23E302" w14:textId="0877681E" w:rsidR="00EA7262" w:rsidRDefault="00C12E4D" w:rsidP="006F2F8C">
      <w:pPr>
        <w:rPr>
          <w:iCs/>
          <w:sz w:val="24"/>
          <w:szCs w:val="24"/>
        </w:rPr>
      </w:pPr>
      <w:r w:rsidRPr="00C12E4D">
        <w:rPr>
          <w:sz w:val="24"/>
          <w:szCs w:val="24"/>
        </w:rPr>
        <w:t xml:space="preserve">The </w:t>
      </w:r>
      <w:r w:rsidR="008155EC" w:rsidRPr="00C12E4D">
        <w:rPr>
          <w:i/>
          <w:iCs/>
          <w:sz w:val="24"/>
          <w:szCs w:val="24"/>
        </w:rPr>
        <w:t xml:space="preserve">Public Governance, Performance and Accountability (Section 75 Transfers) </w:t>
      </w:r>
      <w:r w:rsidR="008155EC" w:rsidRPr="00E61125">
        <w:rPr>
          <w:i/>
          <w:iCs/>
          <w:sz w:val="24"/>
          <w:szCs w:val="24"/>
        </w:rPr>
        <w:t>Determination 202</w:t>
      </w:r>
      <w:r w:rsidR="007A5312" w:rsidRPr="00E61125">
        <w:rPr>
          <w:i/>
          <w:iCs/>
          <w:sz w:val="24"/>
          <w:szCs w:val="24"/>
        </w:rPr>
        <w:t>3</w:t>
      </w:r>
      <w:r w:rsidR="008155EC" w:rsidRPr="00E61125">
        <w:rPr>
          <w:i/>
          <w:iCs/>
          <w:sz w:val="24"/>
          <w:szCs w:val="24"/>
        </w:rPr>
        <w:t>-202</w:t>
      </w:r>
      <w:r w:rsidR="007A5312" w:rsidRPr="00E61125">
        <w:rPr>
          <w:i/>
          <w:iCs/>
          <w:sz w:val="24"/>
          <w:szCs w:val="24"/>
        </w:rPr>
        <w:t>4</w:t>
      </w:r>
      <w:r w:rsidR="008155EC" w:rsidRPr="00E61125">
        <w:rPr>
          <w:i/>
          <w:iCs/>
          <w:sz w:val="24"/>
          <w:szCs w:val="24"/>
        </w:rPr>
        <w:t xml:space="preserve"> </w:t>
      </w:r>
      <w:r w:rsidR="008155EC" w:rsidRPr="00E61125">
        <w:rPr>
          <w:sz w:val="24"/>
          <w:szCs w:val="24"/>
        </w:rPr>
        <w:t>reflect</w:t>
      </w:r>
      <w:r w:rsidR="00FA64E5" w:rsidRPr="00E61125">
        <w:rPr>
          <w:sz w:val="24"/>
          <w:szCs w:val="24"/>
        </w:rPr>
        <w:t>s</w:t>
      </w:r>
      <w:r w:rsidR="008155EC" w:rsidRPr="00E61125">
        <w:rPr>
          <w:sz w:val="24"/>
          <w:szCs w:val="24"/>
        </w:rPr>
        <w:t xml:space="preserve"> the transfer of appropriations </w:t>
      </w:r>
      <w:r w:rsidRPr="00E61125">
        <w:rPr>
          <w:sz w:val="24"/>
          <w:szCs w:val="24"/>
        </w:rPr>
        <w:t xml:space="preserve">from the Department of Defence to </w:t>
      </w:r>
      <w:r w:rsidR="00DF5529" w:rsidRPr="00E61125">
        <w:rPr>
          <w:sz w:val="24"/>
          <w:szCs w:val="24"/>
        </w:rPr>
        <w:t>the ASA and adds the outcome statement for the ASA.</w:t>
      </w:r>
      <w:bookmarkStart w:id="2" w:name="OLE_LINK1"/>
      <w:bookmarkStart w:id="3" w:name="OLE_LINK2"/>
      <w:r w:rsidR="004C3BF7">
        <w:rPr>
          <w:sz w:val="24"/>
          <w:szCs w:val="24"/>
        </w:rPr>
        <w:t xml:space="preserve"> </w:t>
      </w:r>
      <w:r w:rsidR="00331AF2" w:rsidRPr="00E61125">
        <w:rPr>
          <w:iCs/>
          <w:sz w:val="24"/>
          <w:szCs w:val="24"/>
        </w:rPr>
        <w:t xml:space="preserve">The determination </w:t>
      </w:r>
      <w:r w:rsidR="00754187">
        <w:rPr>
          <w:iCs/>
          <w:sz w:val="24"/>
          <w:szCs w:val="24"/>
        </w:rPr>
        <w:t xml:space="preserve">does not </w:t>
      </w:r>
      <w:r w:rsidR="00331AF2" w:rsidRPr="00E61125">
        <w:rPr>
          <w:iCs/>
          <w:sz w:val="24"/>
          <w:szCs w:val="24"/>
        </w:rPr>
        <w:t>change the total amount appropriated by Parliament.</w:t>
      </w:r>
    </w:p>
    <w:p w14:paraId="001250FB" w14:textId="77777777" w:rsidR="00AF7955" w:rsidRPr="00AF7955" w:rsidRDefault="00AF7955" w:rsidP="00AF7955">
      <w:pPr>
        <w:rPr>
          <w:sz w:val="24"/>
          <w:szCs w:val="24"/>
        </w:rPr>
      </w:pPr>
      <w:r w:rsidRPr="00AF7955">
        <w:rPr>
          <w:sz w:val="24"/>
          <w:szCs w:val="24"/>
        </w:rPr>
        <w:t xml:space="preserve">The determination is a legislative instrument for the purposes of section 8 of the </w:t>
      </w:r>
      <w:r w:rsidRPr="00AF7955">
        <w:rPr>
          <w:i/>
          <w:iCs/>
          <w:sz w:val="24"/>
          <w:szCs w:val="24"/>
        </w:rPr>
        <w:t>Legislation Act 2003</w:t>
      </w:r>
      <w:r w:rsidRPr="00AF7955">
        <w:rPr>
          <w:sz w:val="24"/>
          <w:szCs w:val="24"/>
        </w:rPr>
        <w:t>.</w:t>
      </w:r>
    </w:p>
    <w:bookmarkEnd w:id="2"/>
    <w:bookmarkEnd w:id="3"/>
    <w:p w14:paraId="1AC88B36" w14:textId="77777777" w:rsidR="003048C9" w:rsidRPr="00D22E3F" w:rsidRDefault="00B42DF8">
      <w:pPr>
        <w:pStyle w:val="Heading3"/>
        <w:keepNext w:val="0"/>
        <w:keepLines/>
        <w:spacing w:after="0"/>
        <w:rPr>
          <w:iCs/>
          <w:szCs w:val="24"/>
        </w:rPr>
      </w:pPr>
      <w:r w:rsidRPr="00D22E3F">
        <w:rPr>
          <w:iCs/>
          <w:szCs w:val="24"/>
        </w:rPr>
        <w:t>Commencement</w:t>
      </w:r>
    </w:p>
    <w:p w14:paraId="1A915509" w14:textId="0714FC18" w:rsidR="003048C9" w:rsidRPr="00E61125" w:rsidRDefault="00ED0889" w:rsidP="12ACCAD3">
      <w:pPr>
        <w:rPr>
          <w:b/>
          <w:bCs/>
          <w:sz w:val="24"/>
          <w:szCs w:val="24"/>
        </w:rPr>
      </w:pPr>
      <w:r w:rsidRPr="00E61125">
        <w:rPr>
          <w:sz w:val="24"/>
          <w:szCs w:val="24"/>
        </w:rPr>
        <w:t xml:space="preserve">The determination commences on </w:t>
      </w:r>
      <w:r w:rsidR="00F718DE">
        <w:rPr>
          <w:sz w:val="24"/>
          <w:szCs w:val="24"/>
        </w:rPr>
        <w:t xml:space="preserve">1 </w:t>
      </w:r>
      <w:r w:rsidR="00CA2D43" w:rsidRPr="00E61125">
        <w:rPr>
          <w:sz w:val="24"/>
          <w:szCs w:val="24"/>
        </w:rPr>
        <w:t>July 202</w:t>
      </w:r>
      <w:r w:rsidR="00650B5D" w:rsidRPr="00E61125">
        <w:rPr>
          <w:sz w:val="24"/>
          <w:szCs w:val="24"/>
        </w:rPr>
        <w:t>3</w:t>
      </w:r>
      <w:r w:rsidR="00D51722" w:rsidRPr="00E61125">
        <w:rPr>
          <w:sz w:val="24"/>
          <w:szCs w:val="24"/>
        </w:rPr>
        <w:t>.</w:t>
      </w:r>
    </w:p>
    <w:p w14:paraId="48702069" w14:textId="77777777" w:rsidR="00D22E3F" w:rsidRDefault="00D22E3F">
      <w:pPr>
        <w:spacing w:before="0" w:after="200" w:line="276" w:lineRule="auto"/>
        <w:rPr>
          <w:b/>
          <w:bCs/>
          <w:iCs/>
          <w:sz w:val="24"/>
          <w:szCs w:val="24"/>
        </w:rPr>
      </w:pPr>
      <w:r>
        <w:rPr>
          <w:iCs/>
          <w:szCs w:val="24"/>
        </w:rPr>
        <w:br w:type="page"/>
      </w:r>
    </w:p>
    <w:p w14:paraId="66E955A3" w14:textId="1FE621C3" w:rsidR="00146C4C" w:rsidRPr="00D22E3F" w:rsidRDefault="00146C4C" w:rsidP="0067455D">
      <w:pPr>
        <w:pStyle w:val="Heading3"/>
        <w:keepNext w:val="0"/>
        <w:keepLines/>
        <w:spacing w:after="0"/>
        <w:rPr>
          <w:iCs/>
          <w:szCs w:val="24"/>
        </w:rPr>
      </w:pPr>
      <w:r w:rsidRPr="00D22E3F">
        <w:rPr>
          <w:iCs/>
          <w:szCs w:val="24"/>
        </w:rPr>
        <w:lastRenderedPageBreak/>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73056354"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B57E08" w:rsidRPr="00D22E3F">
        <w:rPr>
          <w:sz w:val="24"/>
          <w:szCs w:val="24"/>
        </w:rPr>
        <w:t>determination</w:t>
      </w:r>
      <w:r w:rsidR="0067455D" w:rsidRPr="00D22E3F">
        <w:rPr>
          <w:sz w:val="24"/>
          <w:szCs w:val="24"/>
        </w:rPr>
        <w:t>.</w:t>
      </w:r>
    </w:p>
    <w:p w14:paraId="20873B03" w14:textId="5F3323B2" w:rsidR="00146C4C" w:rsidRPr="00D22E3F" w:rsidRDefault="00F9268B" w:rsidP="0067455D">
      <w:pPr>
        <w:rPr>
          <w:sz w:val="24"/>
          <w:szCs w:val="24"/>
        </w:rPr>
      </w:pPr>
      <w:r w:rsidRPr="00D22E3F">
        <w:rPr>
          <w:sz w:val="24"/>
          <w:szCs w:val="24"/>
        </w:rPr>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B57E08" w:rsidRPr="00D22E3F">
        <w:rPr>
          <w:sz w:val="24"/>
          <w:szCs w:val="24"/>
        </w:rPr>
        <w:t>75</w:t>
      </w:r>
      <w:r w:rsidR="00146C4C" w:rsidRPr="00D22E3F">
        <w:rPr>
          <w:sz w:val="24"/>
          <w:szCs w:val="24"/>
        </w:rPr>
        <w:t xml:space="preserve">(7) of the </w:t>
      </w:r>
      <w:r w:rsidR="00B57E08" w:rsidRPr="00D22E3F">
        <w:rPr>
          <w:sz w:val="24"/>
          <w:szCs w:val="24"/>
        </w:rPr>
        <w:t>PGP</w:t>
      </w:r>
      <w:r w:rsidR="00146C4C" w:rsidRPr="00D22E3F">
        <w:rPr>
          <w:sz w:val="24"/>
          <w:szCs w:val="24"/>
        </w:rPr>
        <w:t xml:space="preserve">A Act.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1F3AF6A9"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B57E08" w:rsidRPr="00E84959">
        <w:rPr>
          <w:sz w:val="24"/>
          <w:szCs w:val="24"/>
        </w:rPr>
        <w:t>determination</w:t>
      </w:r>
      <w:r w:rsidR="00A41A34" w:rsidRPr="00E84959">
        <w:rPr>
          <w:sz w:val="24"/>
          <w:szCs w:val="24"/>
        </w:rPr>
        <w:t>.</w:t>
      </w:r>
    </w:p>
    <w:p w14:paraId="4C4BCC1C" w14:textId="468DE6B0" w:rsidR="00E95D13" w:rsidRPr="00D22E3F" w:rsidRDefault="00E95D13" w:rsidP="00D22E3F">
      <w:pPr>
        <w:pStyle w:val="Heading3"/>
        <w:keepNext w:val="0"/>
        <w:keepLines/>
        <w:spacing w:after="0"/>
        <w:rPr>
          <w:iCs/>
          <w:szCs w:val="24"/>
        </w:rPr>
      </w:pPr>
      <w:r w:rsidRPr="00D22E3F">
        <w:rPr>
          <w:iCs/>
          <w:szCs w:val="24"/>
        </w:rPr>
        <w:t xml:space="preserve">Summary of </w:t>
      </w:r>
      <w:r w:rsidR="00C8490B">
        <w:rPr>
          <w:iCs/>
          <w:szCs w:val="24"/>
        </w:rPr>
        <w:t>amendments</w:t>
      </w:r>
    </w:p>
    <w:p w14:paraId="47BB0C85" w14:textId="63FCB535" w:rsidR="00173AC2" w:rsidRPr="00CA1EAF" w:rsidRDefault="00B57889" w:rsidP="00C94E87">
      <w:pPr>
        <w:pStyle w:val="ItemHead"/>
        <w:numPr>
          <w:ilvl w:val="0"/>
          <w:numId w:val="2"/>
        </w:numPr>
        <w:spacing w:after="220"/>
        <w:ind w:left="720"/>
        <w:rPr>
          <w:rFonts w:ascii="Times New Roman" w:hAnsi="Times New Roman"/>
          <w:b w:val="0"/>
          <w:szCs w:val="24"/>
        </w:rPr>
      </w:pPr>
      <w:r w:rsidRPr="00CA1EAF">
        <w:rPr>
          <w:rFonts w:ascii="Times New Roman" w:hAnsi="Times New Roman"/>
          <w:b w:val="0"/>
          <w:szCs w:val="24"/>
        </w:rPr>
        <w:t xml:space="preserve">Section 5 of the determination </w:t>
      </w:r>
      <w:r w:rsidR="002F1132" w:rsidRPr="00CA1EAF">
        <w:rPr>
          <w:rFonts w:ascii="Times New Roman" w:hAnsi="Times New Roman"/>
          <w:b w:val="0"/>
          <w:szCs w:val="24"/>
        </w:rPr>
        <w:t xml:space="preserve">applies to the </w:t>
      </w:r>
      <w:r w:rsidR="002F1132" w:rsidRPr="00CA1EAF">
        <w:rPr>
          <w:rFonts w:ascii="Times New Roman" w:hAnsi="Times New Roman"/>
          <w:b w:val="0"/>
          <w:i/>
          <w:iCs/>
          <w:szCs w:val="24"/>
        </w:rPr>
        <w:t>Appropriation</w:t>
      </w:r>
      <w:r w:rsidR="00081940" w:rsidRPr="00CA1EAF">
        <w:rPr>
          <w:rFonts w:ascii="Times New Roman" w:hAnsi="Times New Roman"/>
          <w:b w:val="0"/>
          <w:i/>
          <w:iCs/>
          <w:szCs w:val="24"/>
        </w:rPr>
        <w:t xml:space="preserve"> Act</w:t>
      </w:r>
      <w:r w:rsidR="009E33A8" w:rsidRPr="00CA1EAF">
        <w:rPr>
          <w:rFonts w:ascii="Times New Roman" w:hAnsi="Times New Roman"/>
          <w:b w:val="0"/>
          <w:i/>
          <w:iCs/>
          <w:szCs w:val="24"/>
        </w:rPr>
        <w:t xml:space="preserve"> (No. 1) 2023-2024</w:t>
      </w:r>
      <w:r w:rsidR="009E33A8" w:rsidRPr="00CA1EAF">
        <w:rPr>
          <w:rFonts w:ascii="Times New Roman" w:hAnsi="Times New Roman"/>
          <w:b w:val="0"/>
          <w:szCs w:val="24"/>
        </w:rPr>
        <w:t xml:space="preserve"> and has effect as if Schedule 1 to the Act included </w:t>
      </w:r>
      <w:r w:rsidR="00505636" w:rsidRPr="00CA1EAF">
        <w:rPr>
          <w:rFonts w:ascii="Times New Roman" w:hAnsi="Times New Roman"/>
          <w:b w:val="0"/>
          <w:szCs w:val="24"/>
        </w:rPr>
        <w:t xml:space="preserve">a departmental item for </w:t>
      </w:r>
      <w:r w:rsidR="002003F4" w:rsidRPr="00CA1EAF">
        <w:rPr>
          <w:rFonts w:ascii="Times New Roman" w:hAnsi="Times New Roman"/>
          <w:b w:val="0"/>
          <w:szCs w:val="24"/>
        </w:rPr>
        <w:t xml:space="preserve">the </w:t>
      </w:r>
      <w:r w:rsidR="00B85A74" w:rsidRPr="00CA1EAF">
        <w:rPr>
          <w:rFonts w:ascii="Times New Roman" w:hAnsi="Times New Roman"/>
          <w:b w:val="0"/>
          <w:szCs w:val="24"/>
        </w:rPr>
        <w:t>ASA</w:t>
      </w:r>
      <w:r w:rsidR="00A0267B" w:rsidRPr="00CA1EAF">
        <w:rPr>
          <w:rFonts w:ascii="Times New Roman" w:hAnsi="Times New Roman"/>
          <w:b w:val="0"/>
          <w:szCs w:val="24"/>
        </w:rPr>
        <w:t xml:space="preserve"> and the outcome for that entity as set out in paragraph 5(</w:t>
      </w:r>
      <w:r w:rsidR="00C80217" w:rsidRPr="00CA1EAF">
        <w:rPr>
          <w:rFonts w:ascii="Times New Roman" w:hAnsi="Times New Roman"/>
          <w:b w:val="0"/>
          <w:szCs w:val="24"/>
        </w:rPr>
        <w:t>2)(b)</w:t>
      </w:r>
      <w:r w:rsidR="00505636" w:rsidRPr="00CA1EAF">
        <w:rPr>
          <w:rFonts w:ascii="Times New Roman" w:hAnsi="Times New Roman"/>
          <w:b w:val="0"/>
          <w:szCs w:val="24"/>
        </w:rPr>
        <w:t>.</w:t>
      </w:r>
      <w:r w:rsidR="00084D89">
        <w:rPr>
          <w:rFonts w:ascii="Times New Roman" w:hAnsi="Times New Roman"/>
          <w:b w:val="0"/>
          <w:szCs w:val="24"/>
        </w:rPr>
        <w:t xml:space="preserve"> Subsection </w:t>
      </w:r>
      <w:r w:rsidR="00C94E87">
        <w:rPr>
          <w:rFonts w:ascii="Times New Roman" w:hAnsi="Times New Roman"/>
          <w:b w:val="0"/>
          <w:szCs w:val="24"/>
        </w:rPr>
        <w:t xml:space="preserve">5(3) of the determination has effect as if appropriation </w:t>
      </w:r>
      <w:r w:rsidR="00F9268B" w:rsidRPr="00CA1EAF">
        <w:rPr>
          <w:rFonts w:ascii="Times New Roman" w:hAnsi="Times New Roman"/>
          <w:b w:val="0"/>
          <w:szCs w:val="24"/>
        </w:rPr>
        <w:t>items in Schedule </w:t>
      </w:r>
      <w:r w:rsidR="00460D61" w:rsidRPr="00CA1EAF">
        <w:rPr>
          <w:rFonts w:ascii="Times New Roman" w:hAnsi="Times New Roman"/>
          <w:b w:val="0"/>
          <w:szCs w:val="24"/>
        </w:rPr>
        <w:t>1</w:t>
      </w:r>
      <w:r w:rsidR="00707C29" w:rsidRPr="00CA1EAF">
        <w:rPr>
          <w:rFonts w:ascii="Times New Roman" w:hAnsi="Times New Roman"/>
          <w:b w:val="0"/>
          <w:szCs w:val="24"/>
        </w:rPr>
        <w:t xml:space="preserve"> to the </w:t>
      </w:r>
      <w:r w:rsidR="009B70EA" w:rsidRPr="00CA1EAF">
        <w:rPr>
          <w:rFonts w:ascii="Times New Roman" w:hAnsi="Times New Roman"/>
          <w:b w:val="0"/>
          <w:szCs w:val="24"/>
        </w:rPr>
        <w:t>Act</w:t>
      </w:r>
      <w:r w:rsidR="00460D61" w:rsidRPr="00CA1EAF">
        <w:rPr>
          <w:rFonts w:ascii="Times New Roman" w:hAnsi="Times New Roman"/>
          <w:b w:val="0"/>
          <w:szCs w:val="24"/>
        </w:rPr>
        <w:t xml:space="preserve"> were increased or decreased </w:t>
      </w:r>
      <w:r w:rsidR="00B65920">
        <w:rPr>
          <w:rFonts w:ascii="Times New Roman" w:hAnsi="Times New Roman"/>
          <w:b w:val="0"/>
          <w:szCs w:val="24"/>
        </w:rPr>
        <w:t xml:space="preserve">in accordance with the table included in </w:t>
      </w:r>
      <w:r w:rsidR="00C341A4">
        <w:rPr>
          <w:rFonts w:ascii="Times New Roman" w:hAnsi="Times New Roman"/>
          <w:b w:val="0"/>
          <w:szCs w:val="24"/>
        </w:rPr>
        <w:t xml:space="preserve">the </w:t>
      </w:r>
      <w:r w:rsidR="00B65920">
        <w:rPr>
          <w:rFonts w:ascii="Times New Roman" w:hAnsi="Times New Roman"/>
          <w:b w:val="0"/>
          <w:szCs w:val="24"/>
        </w:rPr>
        <w:t>subsection.</w:t>
      </w:r>
    </w:p>
    <w:tbl>
      <w:tblPr>
        <w:tblW w:w="8646"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6"/>
        <w:gridCol w:w="3458"/>
        <w:gridCol w:w="2346"/>
        <w:gridCol w:w="2226"/>
      </w:tblGrid>
      <w:tr w:rsidR="009770E3" w:rsidRPr="007E2089" w14:paraId="7DA2915B" w14:textId="77777777" w:rsidTr="007E1D5D">
        <w:trPr>
          <w:cantSplit/>
          <w:trHeight w:val="566"/>
        </w:trPr>
        <w:tc>
          <w:tcPr>
            <w:tcW w:w="616" w:type="dxa"/>
            <w:tcBorders>
              <w:top w:val="single" w:sz="4" w:space="0" w:color="auto"/>
              <w:left w:val="single" w:sz="4" w:space="0" w:color="auto"/>
              <w:bottom w:val="single" w:sz="4" w:space="0" w:color="auto"/>
              <w:right w:val="single" w:sz="4" w:space="0" w:color="auto"/>
            </w:tcBorders>
          </w:tcPr>
          <w:p w14:paraId="37CF44F6" w14:textId="77777777" w:rsidR="009F1523" w:rsidRPr="007E2089" w:rsidRDefault="009F1523" w:rsidP="0045079F">
            <w:pPr>
              <w:keepNext/>
              <w:keepLines/>
              <w:rPr>
                <w:b/>
                <w:bCs/>
                <w:color w:val="000000"/>
                <w:sz w:val="20"/>
                <w:lang w:eastAsia="en-AU"/>
              </w:rPr>
            </w:pPr>
            <w:r w:rsidRPr="007E2089">
              <w:rPr>
                <w:b/>
                <w:bCs/>
                <w:color w:val="000000"/>
                <w:sz w:val="20"/>
                <w:lang w:eastAsia="en-AU"/>
              </w:rPr>
              <w:t>Item</w:t>
            </w:r>
          </w:p>
        </w:tc>
        <w:tc>
          <w:tcPr>
            <w:tcW w:w="3458" w:type="dxa"/>
            <w:tcBorders>
              <w:top w:val="single" w:sz="4" w:space="0" w:color="auto"/>
              <w:left w:val="single" w:sz="4" w:space="0" w:color="auto"/>
              <w:bottom w:val="single" w:sz="4" w:space="0" w:color="auto"/>
              <w:right w:val="single" w:sz="4" w:space="0" w:color="auto"/>
            </w:tcBorders>
            <w:hideMark/>
          </w:tcPr>
          <w:p w14:paraId="25955AE0" w14:textId="77777777" w:rsidR="009F1523" w:rsidRPr="007E2089" w:rsidRDefault="009F1523" w:rsidP="0045079F">
            <w:pPr>
              <w:keepNext/>
              <w:keepLines/>
              <w:rPr>
                <w:b/>
                <w:bCs/>
                <w:color w:val="000000"/>
                <w:sz w:val="20"/>
                <w:lang w:eastAsia="en-AU"/>
              </w:rPr>
            </w:pPr>
            <w:r w:rsidRPr="007E2089">
              <w:rPr>
                <w:b/>
                <w:bCs/>
                <w:color w:val="000000"/>
                <w:sz w:val="20"/>
                <w:lang w:eastAsia="en-AU"/>
              </w:rPr>
              <w:t xml:space="preserve">Entity </w:t>
            </w:r>
          </w:p>
        </w:tc>
        <w:tc>
          <w:tcPr>
            <w:tcW w:w="2346" w:type="dxa"/>
            <w:tcBorders>
              <w:top w:val="single" w:sz="4" w:space="0" w:color="auto"/>
              <w:left w:val="single" w:sz="4" w:space="0" w:color="auto"/>
              <w:bottom w:val="single" w:sz="4" w:space="0" w:color="auto"/>
              <w:right w:val="single" w:sz="4" w:space="0" w:color="auto"/>
            </w:tcBorders>
            <w:hideMark/>
          </w:tcPr>
          <w:p w14:paraId="6DCBFE1E" w14:textId="77777777" w:rsidR="009F1523" w:rsidRPr="007E2089" w:rsidRDefault="009F1523" w:rsidP="0045079F">
            <w:pPr>
              <w:rPr>
                <w:b/>
                <w:bCs/>
                <w:color w:val="000000"/>
                <w:sz w:val="20"/>
                <w:lang w:eastAsia="en-AU"/>
              </w:rPr>
            </w:pPr>
            <w:r w:rsidRPr="007E2089">
              <w:rPr>
                <w:b/>
                <w:bCs/>
                <w:color w:val="000000"/>
                <w:sz w:val="20"/>
                <w:lang w:eastAsia="en-AU"/>
              </w:rPr>
              <w:t>Appropriation item</w:t>
            </w:r>
          </w:p>
        </w:tc>
        <w:tc>
          <w:tcPr>
            <w:tcW w:w="2226" w:type="dxa"/>
            <w:tcBorders>
              <w:top w:val="single" w:sz="4" w:space="0" w:color="auto"/>
              <w:left w:val="single" w:sz="4" w:space="0" w:color="auto"/>
              <w:bottom w:val="single" w:sz="4" w:space="0" w:color="auto"/>
              <w:right w:val="single" w:sz="4" w:space="0" w:color="auto"/>
            </w:tcBorders>
            <w:shd w:val="clear" w:color="000000" w:fill="FFFFFF"/>
            <w:hideMark/>
          </w:tcPr>
          <w:p w14:paraId="419EA166" w14:textId="763B9050" w:rsidR="009F1523" w:rsidRPr="007E2089" w:rsidRDefault="00512912" w:rsidP="007E1D5D">
            <w:pPr>
              <w:jc w:val="right"/>
              <w:rPr>
                <w:b/>
                <w:bCs/>
                <w:color w:val="000000"/>
                <w:sz w:val="20"/>
                <w:lang w:eastAsia="en-AU"/>
              </w:rPr>
            </w:pPr>
            <w:r>
              <w:rPr>
                <w:b/>
                <w:bCs/>
                <w:color w:val="000000"/>
                <w:sz w:val="20"/>
                <w:lang w:eastAsia="en-AU"/>
              </w:rPr>
              <w:t xml:space="preserve">Total increase/decrease </w:t>
            </w:r>
            <w:r w:rsidR="009770E3" w:rsidRPr="007E2089">
              <w:rPr>
                <w:b/>
                <w:bCs/>
                <w:color w:val="000000"/>
                <w:sz w:val="20"/>
                <w:lang w:eastAsia="en-AU"/>
              </w:rPr>
              <w:t xml:space="preserve">by the </w:t>
            </w:r>
            <w:r w:rsidR="00CB2D7C">
              <w:rPr>
                <w:b/>
                <w:bCs/>
                <w:color w:val="000000"/>
                <w:sz w:val="20"/>
                <w:lang w:eastAsia="en-AU"/>
              </w:rPr>
              <w:t>d</w:t>
            </w:r>
            <w:r w:rsidR="009770E3" w:rsidRPr="007E2089">
              <w:rPr>
                <w:b/>
                <w:bCs/>
                <w:color w:val="000000"/>
                <w:sz w:val="20"/>
                <w:lang w:eastAsia="en-AU"/>
              </w:rPr>
              <w:t>etermination</w:t>
            </w:r>
            <w:r w:rsidR="009770E3" w:rsidRPr="007E2089" w:rsidDel="009770E3">
              <w:rPr>
                <w:b/>
                <w:bCs/>
                <w:color w:val="000000"/>
                <w:sz w:val="20"/>
                <w:lang w:eastAsia="en-AU"/>
              </w:rPr>
              <w:t xml:space="preserve"> </w:t>
            </w:r>
            <w:r w:rsidR="009F1523" w:rsidRPr="007E2089">
              <w:rPr>
                <w:b/>
                <w:bCs/>
                <w:color w:val="000000"/>
                <w:sz w:val="20"/>
                <w:lang w:eastAsia="en-AU"/>
              </w:rPr>
              <w:t>($)</w:t>
            </w:r>
          </w:p>
        </w:tc>
      </w:tr>
      <w:tr w:rsidR="00966D13" w:rsidRPr="007E2089" w14:paraId="24AFF9D2" w14:textId="77777777" w:rsidTr="007E1D5D">
        <w:trPr>
          <w:cantSplit/>
          <w:trHeight w:val="381"/>
        </w:trPr>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14:paraId="5ADE17A5" w14:textId="4EA71B44" w:rsidR="00966D13" w:rsidRPr="007E2089" w:rsidRDefault="00966D13" w:rsidP="00966D13">
            <w:pPr>
              <w:pStyle w:val="Tabletext"/>
              <w:rPr>
                <w:color w:val="000000"/>
                <w:sz w:val="20"/>
              </w:rPr>
            </w:pPr>
            <w:r w:rsidRPr="007E2089">
              <w:rPr>
                <w:color w:val="000000"/>
                <w:sz w:val="20"/>
              </w:rPr>
              <w:t>1</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153E021D" w14:textId="7A13719B" w:rsidR="00966D13" w:rsidRPr="007E2089" w:rsidRDefault="00966D13" w:rsidP="00966D13">
            <w:pPr>
              <w:pStyle w:val="Tabletext"/>
              <w:rPr>
                <w:color w:val="000000"/>
                <w:sz w:val="20"/>
              </w:rPr>
            </w:pPr>
            <w:r w:rsidRPr="007E2089">
              <w:rPr>
                <w:color w:val="000000"/>
                <w:sz w:val="20"/>
              </w:rPr>
              <w:t xml:space="preserve">Department of </w:t>
            </w:r>
            <w:r w:rsidR="00813A34" w:rsidRPr="007E2089">
              <w:rPr>
                <w:color w:val="000000"/>
                <w:sz w:val="20"/>
              </w:rPr>
              <w:t>Defence</w:t>
            </w:r>
          </w:p>
        </w:tc>
        <w:tc>
          <w:tcPr>
            <w:tcW w:w="2346" w:type="dxa"/>
            <w:tcBorders>
              <w:top w:val="single" w:sz="4" w:space="0" w:color="auto"/>
              <w:left w:val="nil"/>
              <w:bottom w:val="single" w:sz="4" w:space="0" w:color="auto"/>
              <w:right w:val="single" w:sz="4" w:space="0" w:color="auto"/>
            </w:tcBorders>
            <w:shd w:val="clear" w:color="auto" w:fill="auto"/>
            <w:vAlign w:val="center"/>
          </w:tcPr>
          <w:p w14:paraId="06E3DEF7" w14:textId="6FB8CE53" w:rsidR="00966D13" w:rsidRPr="007E2089" w:rsidRDefault="00966D13" w:rsidP="00966D13">
            <w:pPr>
              <w:pStyle w:val="Tabletext"/>
              <w:rPr>
                <w:color w:val="000000"/>
                <w:sz w:val="20"/>
              </w:rPr>
            </w:pPr>
            <w:r w:rsidRPr="007E2089">
              <w:rPr>
                <w:color w:val="000000"/>
                <w:sz w:val="20"/>
              </w:rPr>
              <w:t>Departmental item</w:t>
            </w:r>
          </w:p>
        </w:tc>
        <w:tc>
          <w:tcPr>
            <w:tcW w:w="2226" w:type="dxa"/>
            <w:tcBorders>
              <w:top w:val="single" w:sz="4" w:space="0" w:color="auto"/>
              <w:left w:val="single" w:sz="4" w:space="0" w:color="BFBFBF"/>
              <w:bottom w:val="single" w:sz="4" w:space="0" w:color="auto"/>
              <w:right w:val="single" w:sz="4" w:space="0" w:color="auto"/>
            </w:tcBorders>
            <w:shd w:val="clear" w:color="auto" w:fill="auto"/>
            <w:vAlign w:val="center"/>
          </w:tcPr>
          <w:p w14:paraId="6EED67B2" w14:textId="0224E8A0" w:rsidR="00966D13" w:rsidRPr="007E2089" w:rsidRDefault="00966D13" w:rsidP="00966D13">
            <w:pPr>
              <w:pStyle w:val="Tabletext"/>
              <w:jc w:val="right"/>
              <w:rPr>
                <w:color w:val="000000"/>
                <w:sz w:val="20"/>
              </w:rPr>
            </w:pPr>
            <w:r w:rsidRPr="007E2089">
              <w:rPr>
                <w:color w:val="000000"/>
                <w:sz w:val="20"/>
              </w:rPr>
              <w:t>-</w:t>
            </w:r>
            <w:r w:rsidR="006B7B95" w:rsidRPr="007E2089">
              <w:rPr>
                <w:color w:val="000000"/>
                <w:sz w:val="20"/>
              </w:rPr>
              <w:t>327,334,362.00</w:t>
            </w:r>
          </w:p>
        </w:tc>
      </w:tr>
      <w:tr w:rsidR="00966D13" w:rsidRPr="007E2089" w14:paraId="5D60E0C0" w14:textId="77777777" w:rsidTr="007E1D5D">
        <w:trPr>
          <w:cantSplit/>
          <w:trHeight w:val="449"/>
        </w:trPr>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14:paraId="6CF74E6A" w14:textId="302566B2" w:rsidR="00966D13" w:rsidRPr="007E2089" w:rsidRDefault="006B7B95" w:rsidP="00966D13">
            <w:pPr>
              <w:pStyle w:val="Tabletext"/>
              <w:rPr>
                <w:color w:val="000000"/>
                <w:sz w:val="20"/>
              </w:rPr>
            </w:pPr>
            <w:r w:rsidRPr="007E2089">
              <w:rPr>
                <w:color w:val="000000"/>
                <w:sz w:val="20"/>
              </w:rPr>
              <w:t>2</w:t>
            </w:r>
          </w:p>
        </w:tc>
        <w:tc>
          <w:tcPr>
            <w:tcW w:w="3458" w:type="dxa"/>
            <w:tcBorders>
              <w:top w:val="nil"/>
              <w:left w:val="single" w:sz="4" w:space="0" w:color="auto"/>
              <w:bottom w:val="single" w:sz="4" w:space="0" w:color="auto"/>
              <w:right w:val="single" w:sz="4" w:space="0" w:color="auto"/>
            </w:tcBorders>
            <w:shd w:val="clear" w:color="000000" w:fill="FFFFFF"/>
            <w:vAlign w:val="center"/>
          </w:tcPr>
          <w:p w14:paraId="66881B09" w14:textId="392E881C" w:rsidR="00966D13" w:rsidRPr="007E2089" w:rsidRDefault="006B7B95" w:rsidP="00966D13">
            <w:pPr>
              <w:pStyle w:val="Tabletext"/>
              <w:rPr>
                <w:color w:val="000000"/>
                <w:sz w:val="20"/>
              </w:rPr>
            </w:pPr>
            <w:r w:rsidRPr="007E2089">
              <w:rPr>
                <w:color w:val="000000"/>
                <w:sz w:val="20"/>
              </w:rPr>
              <w:t>Australian Submarine Agency</w:t>
            </w:r>
          </w:p>
        </w:tc>
        <w:tc>
          <w:tcPr>
            <w:tcW w:w="2346" w:type="dxa"/>
            <w:tcBorders>
              <w:top w:val="nil"/>
              <w:left w:val="nil"/>
              <w:bottom w:val="single" w:sz="4" w:space="0" w:color="auto"/>
              <w:right w:val="single" w:sz="4" w:space="0" w:color="auto"/>
            </w:tcBorders>
            <w:shd w:val="clear" w:color="auto" w:fill="auto"/>
            <w:vAlign w:val="center"/>
          </w:tcPr>
          <w:p w14:paraId="0E822315" w14:textId="2243FF37" w:rsidR="00966D13" w:rsidRPr="007E2089" w:rsidRDefault="00813A34" w:rsidP="00966D13">
            <w:pPr>
              <w:pStyle w:val="Tabletext"/>
              <w:rPr>
                <w:color w:val="000000"/>
                <w:sz w:val="20"/>
              </w:rPr>
            </w:pPr>
            <w:r w:rsidRPr="007E2089">
              <w:rPr>
                <w:color w:val="000000"/>
                <w:sz w:val="20"/>
              </w:rPr>
              <w:t>Departmental item</w:t>
            </w:r>
          </w:p>
        </w:tc>
        <w:tc>
          <w:tcPr>
            <w:tcW w:w="2226" w:type="dxa"/>
            <w:tcBorders>
              <w:top w:val="single" w:sz="4" w:space="0" w:color="auto"/>
              <w:left w:val="single" w:sz="4" w:space="0" w:color="BFBFBF"/>
              <w:bottom w:val="single" w:sz="4" w:space="0" w:color="auto"/>
              <w:right w:val="single" w:sz="4" w:space="0" w:color="auto"/>
            </w:tcBorders>
            <w:shd w:val="clear" w:color="auto" w:fill="auto"/>
            <w:vAlign w:val="center"/>
          </w:tcPr>
          <w:p w14:paraId="318884F1" w14:textId="3BD34C1E" w:rsidR="00966D13" w:rsidRPr="007E2089" w:rsidRDefault="00C21132" w:rsidP="00966D13">
            <w:pPr>
              <w:pStyle w:val="Tabletext"/>
              <w:jc w:val="right"/>
              <w:rPr>
                <w:color w:val="000000"/>
                <w:sz w:val="20"/>
              </w:rPr>
            </w:pPr>
            <w:r w:rsidRPr="007E2089">
              <w:rPr>
                <w:color w:val="000000"/>
                <w:sz w:val="20"/>
              </w:rPr>
              <w:t>+</w:t>
            </w:r>
            <w:r w:rsidR="006B7B95" w:rsidRPr="007E2089">
              <w:rPr>
                <w:color w:val="000000"/>
                <w:sz w:val="20"/>
              </w:rPr>
              <w:t>327,334,362.00</w:t>
            </w:r>
          </w:p>
        </w:tc>
      </w:tr>
    </w:tbl>
    <w:p w14:paraId="5E90CE55" w14:textId="77777777" w:rsidR="006236A7" w:rsidRDefault="006236A7" w:rsidP="00056D8F">
      <w:pPr>
        <w:spacing w:before="0" w:after="0"/>
        <w:ind w:left="360"/>
        <w:rPr>
          <w:sz w:val="18"/>
          <w:szCs w:val="24"/>
        </w:rPr>
      </w:pPr>
      <w:r w:rsidRPr="006236A7">
        <w:rPr>
          <w:sz w:val="18"/>
          <w:szCs w:val="24"/>
        </w:rPr>
        <w:t>Note: A positive amount reflects an increase in an appropriation item and a negative amount reflects a decrease in an appropriation item.</w:t>
      </w:r>
    </w:p>
    <w:p w14:paraId="48BB1167" w14:textId="7CFA319A" w:rsidR="008231FA" w:rsidRDefault="00352A56" w:rsidP="008231FA">
      <w:pPr>
        <w:pStyle w:val="ItemHead"/>
        <w:numPr>
          <w:ilvl w:val="0"/>
          <w:numId w:val="2"/>
        </w:numPr>
        <w:spacing w:after="220"/>
        <w:ind w:left="720"/>
        <w:rPr>
          <w:rFonts w:ascii="Times New Roman" w:hAnsi="Times New Roman"/>
          <w:b w:val="0"/>
          <w:szCs w:val="24"/>
        </w:rPr>
      </w:pPr>
      <w:r>
        <w:rPr>
          <w:rFonts w:ascii="Times New Roman" w:hAnsi="Times New Roman"/>
          <w:b w:val="0"/>
          <w:szCs w:val="24"/>
        </w:rPr>
        <w:t xml:space="preserve">Section 6 of the </w:t>
      </w:r>
      <w:r w:rsidRPr="00CA1EAF">
        <w:rPr>
          <w:rFonts w:ascii="Times New Roman" w:hAnsi="Times New Roman"/>
          <w:b w:val="0"/>
          <w:szCs w:val="24"/>
        </w:rPr>
        <w:t xml:space="preserve">determination applies to the </w:t>
      </w:r>
      <w:r w:rsidRPr="00CA1EAF">
        <w:rPr>
          <w:rFonts w:ascii="Times New Roman" w:hAnsi="Times New Roman"/>
          <w:b w:val="0"/>
          <w:i/>
          <w:iCs/>
          <w:szCs w:val="24"/>
        </w:rPr>
        <w:t xml:space="preserve">Appropriation Act (No. </w:t>
      </w:r>
      <w:r>
        <w:rPr>
          <w:rFonts w:ascii="Times New Roman" w:hAnsi="Times New Roman"/>
          <w:b w:val="0"/>
          <w:i/>
          <w:iCs/>
          <w:szCs w:val="24"/>
        </w:rPr>
        <w:t>2</w:t>
      </w:r>
      <w:r w:rsidRPr="00CA1EAF">
        <w:rPr>
          <w:rFonts w:ascii="Times New Roman" w:hAnsi="Times New Roman"/>
          <w:b w:val="0"/>
          <w:i/>
          <w:iCs/>
          <w:szCs w:val="24"/>
        </w:rPr>
        <w:t>) 2023-2024</w:t>
      </w:r>
      <w:r w:rsidRPr="00CA1EAF">
        <w:rPr>
          <w:rFonts w:ascii="Times New Roman" w:hAnsi="Times New Roman"/>
          <w:b w:val="0"/>
          <w:szCs w:val="24"/>
        </w:rPr>
        <w:t xml:space="preserve"> and has effect as if</w:t>
      </w:r>
      <w:r w:rsidRPr="0063088C">
        <w:rPr>
          <w:rFonts w:ascii="Times New Roman" w:hAnsi="Times New Roman"/>
          <w:b w:val="0"/>
          <w:szCs w:val="24"/>
        </w:rPr>
        <w:t xml:space="preserve"> </w:t>
      </w:r>
      <w:r w:rsidR="00042015">
        <w:rPr>
          <w:rFonts w:ascii="Times New Roman" w:hAnsi="Times New Roman"/>
          <w:b w:val="0"/>
          <w:szCs w:val="24"/>
        </w:rPr>
        <w:t xml:space="preserve">Schedule 2 to the Act </w:t>
      </w:r>
      <w:r w:rsidR="00293652">
        <w:rPr>
          <w:rFonts w:ascii="Times New Roman" w:hAnsi="Times New Roman"/>
          <w:b w:val="0"/>
          <w:szCs w:val="24"/>
        </w:rPr>
        <w:t xml:space="preserve">included </w:t>
      </w:r>
      <w:proofErr w:type="spellStart"/>
      <w:proofErr w:type="gramStart"/>
      <w:r w:rsidR="005409F0" w:rsidRPr="0063088C">
        <w:rPr>
          <w:rFonts w:ascii="Times New Roman" w:hAnsi="Times New Roman"/>
          <w:b w:val="0"/>
          <w:szCs w:val="24"/>
        </w:rPr>
        <w:t>an other</w:t>
      </w:r>
      <w:proofErr w:type="spellEnd"/>
      <w:proofErr w:type="gramEnd"/>
      <w:r w:rsidR="005409F0" w:rsidRPr="0063088C">
        <w:rPr>
          <w:rFonts w:ascii="Times New Roman" w:hAnsi="Times New Roman"/>
          <w:b w:val="0"/>
          <w:szCs w:val="24"/>
        </w:rPr>
        <w:t xml:space="preserve"> departmental item for </w:t>
      </w:r>
      <w:r w:rsidR="00293652">
        <w:rPr>
          <w:rFonts w:ascii="Times New Roman" w:hAnsi="Times New Roman"/>
          <w:b w:val="0"/>
          <w:szCs w:val="24"/>
        </w:rPr>
        <w:t>the ASA</w:t>
      </w:r>
      <w:r w:rsidR="005409F0" w:rsidRPr="0063088C">
        <w:rPr>
          <w:rFonts w:ascii="Times New Roman" w:hAnsi="Times New Roman"/>
          <w:b w:val="0"/>
          <w:szCs w:val="24"/>
        </w:rPr>
        <w:t xml:space="preserve">. </w:t>
      </w:r>
      <w:r w:rsidR="008231FA">
        <w:rPr>
          <w:rFonts w:ascii="Times New Roman" w:hAnsi="Times New Roman"/>
          <w:b w:val="0"/>
          <w:szCs w:val="24"/>
        </w:rPr>
        <w:t xml:space="preserve">Subsection 6(3) of the determination has effect as if appropriation </w:t>
      </w:r>
      <w:r w:rsidR="008231FA" w:rsidRPr="00CA1EAF">
        <w:rPr>
          <w:rFonts w:ascii="Times New Roman" w:hAnsi="Times New Roman"/>
          <w:b w:val="0"/>
          <w:szCs w:val="24"/>
        </w:rPr>
        <w:t>items in Schedule </w:t>
      </w:r>
      <w:r w:rsidR="008231FA">
        <w:rPr>
          <w:rFonts w:ascii="Times New Roman" w:hAnsi="Times New Roman"/>
          <w:b w:val="0"/>
          <w:szCs w:val="24"/>
        </w:rPr>
        <w:t>2</w:t>
      </w:r>
      <w:r w:rsidR="008231FA" w:rsidRPr="00CA1EAF">
        <w:rPr>
          <w:rFonts w:ascii="Times New Roman" w:hAnsi="Times New Roman"/>
          <w:b w:val="0"/>
          <w:szCs w:val="24"/>
        </w:rPr>
        <w:t xml:space="preserve"> to the Act were increased or decreased </w:t>
      </w:r>
      <w:r w:rsidR="008231FA">
        <w:rPr>
          <w:rFonts w:ascii="Times New Roman" w:hAnsi="Times New Roman"/>
          <w:b w:val="0"/>
          <w:szCs w:val="24"/>
        </w:rPr>
        <w:t>in accordance with the table included in the subsection.</w:t>
      </w:r>
    </w:p>
    <w:tbl>
      <w:tblPr>
        <w:tblW w:w="8646"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6"/>
        <w:gridCol w:w="3458"/>
        <w:gridCol w:w="2346"/>
        <w:gridCol w:w="2226"/>
      </w:tblGrid>
      <w:tr w:rsidR="008231FA" w:rsidRPr="007E2089" w14:paraId="51524031" w14:textId="77777777" w:rsidTr="001B450A">
        <w:trPr>
          <w:cantSplit/>
          <w:trHeight w:val="566"/>
        </w:trPr>
        <w:tc>
          <w:tcPr>
            <w:tcW w:w="616" w:type="dxa"/>
            <w:tcBorders>
              <w:top w:val="single" w:sz="4" w:space="0" w:color="auto"/>
              <w:left w:val="single" w:sz="4" w:space="0" w:color="auto"/>
              <w:bottom w:val="single" w:sz="4" w:space="0" w:color="auto"/>
              <w:right w:val="single" w:sz="4" w:space="0" w:color="auto"/>
            </w:tcBorders>
          </w:tcPr>
          <w:p w14:paraId="7C887F86" w14:textId="77777777" w:rsidR="008231FA" w:rsidRPr="007E2089" w:rsidRDefault="008231FA" w:rsidP="001B450A">
            <w:pPr>
              <w:keepNext/>
              <w:keepLines/>
              <w:rPr>
                <w:b/>
                <w:bCs/>
                <w:color w:val="000000"/>
                <w:sz w:val="20"/>
                <w:lang w:eastAsia="en-AU"/>
              </w:rPr>
            </w:pPr>
            <w:r w:rsidRPr="007E2089">
              <w:rPr>
                <w:b/>
                <w:bCs/>
                <w:color w:val="000000"/>
                <w:sz w:val="20"/>
                <w:lang w:eastAsia="en-AU"/>
              </w:rPr>
              <w:t>Item</w:t>
            </w:r>
          </w:p>
        </w:tc>
        <w:tc>
          <w:tcPr>
            <w:tcW w:w="3458" w:type="dxa"/>
            <w:tcBorders>
              <w:top w:val="single" w:sz="4" w:space="0" w:color="auto"/>
              <w:left w:val="single" w:sz="4" w:space="0" w:color="auto"/>
              <w:bottom w:val="single" w:sz="4" w:space="0" w:color="auto"/>
              <w:right w:val="single" w:sz="4" w:space="0" w:color="auto"/>
            </w:tcBorders>
            <w:hideMark/>
          </w:tcPr>
          <w:p w14:paraId="1B913CC1" w14:textId="77777777" w:rsidR="008231FA" w:rsidRPr="007E2089" w:rsidRDefault="008231FA" w:rsidP="001B450A">
            <w:pPr>
              <w:keepNext/>
              <w:keepLines/>
              <w:rPr>
                <w:b/>
                <w:bCs/>
                <w:color w:val="000000"/>
                <w:sz w:val="20"/>
                <w:lang w:eastAsia="en-AU"/>
              </w:rPr>
            </w:pPr>
            <w:r w:rsidRPr="007E2089">
              <w:rPr>
                <w:b/>
                <w:bCs/>
                <w:color w:val="000000"/>
                <w:sz w:val="20"/>
                <w:lang w:eastAsia="en-AU"/>
              </w:rPr>
              <w:t xml:space="preserve">Entity </w:t>
            </w:r>
          </w:p>
        </w:tc>
        <w:tc>
          <w:tcPr>
            <w:tcW w:w="2346" w:type="dxa"/>
            <w:tcBorders>
              <w:top w:val="single" w:sz="4" w:space="0" w:color="auto"/>
              <w:left w:val="single" w:sz="4" w:space="0" w:color="auto"/>
              <w:bottom w:val="single" w:sz="4" w:space="0" w:color="auto"/>
              <w:right w:val="single" w:sz="4" w:space="0" w:color="auto"/>
            </w:tcBorders>
            <w:hideMark/>
          </w:tcPr>
          <w:p w14:paraId="2DD4825E" w14:textId="77777777" w:rsidR="008231FA" w:rsidRPr="007E2089" w:rsidRDefault="008231FA" w:rsidP="001B450A">
            <w:pPr>
              <w:rPr>
                <w:b/>
                <w:bCs/>
                <w:color w:val="000000"/>
                <w:sz w:val="20"/>
                <w:lang w:eastAsia="en-AU"/>
              </w:rPr>
            </w:pPr>
            <w:r w:rsidRPr="007E2089">
              <w:rPr>
                <w:b/>
                <w:bCs/>
                <w:color w:val="000000"/>
                <w:sz w:val="20"/>
                <w:lang w:eastAsia="en-AU"/>
              </w:rPr>
              <w:t>Appropriation item</w:t>
            </w:r>
          </w:p>
        </w:tc>
        <w:tc>
          <w:tcPr>
            <w:tcW w:w="2226" w:type="dxa"/>
            <w:tcBorders>
              <w:top w:val="single" w:sz="4" w:space="0" w:color="auto"/>
              <w:left w:val="single" w:sz="4" w:space="0" w:color="auto"/>
              <w:bottom w:val="single" w:sz="4" w:space="0" w:color="auto"/>
              <w:right w:val="single" w:sz="4" w:space="0" w:color="auto"/>
            </w:tcBorders>
            <w:shd w:val="clear" w:color="000000" w:fill="FFFFFF"/>
            <w:hideMark/>
          </w:tcPr>
          <w:p w14:paraId="4C9A2A36" w14:textId="77777777" w:rsidR="008231FA" w:rsidRPr="007E2089" w:rsidRDefault="008231FA" w:rsidP="001B450A">
            <w:pPr>
              <w:jc w:val="right"/>
              <w:rPr>
                <w:b/>
                <w:bCs/>
                <w:color w:val="000000"/>
                <w:sz w:val="20"/>
                <w:lang w:eastAsia="en-AU"/>
              </w:rPr>
            </w:pPr>
            <w:r>
              <w:rPr>
                <w:b/>
                <w:bCs/>
                <w:color w:val="000000"/>
                <w:sz w:val="20"/>
                <w:lang w:eastAsia="en-AU"/>
              </w:rPr>
              <w:t xml:space="preserve">Total increase/decrease </w:t>
            </w:r>
            <w:r w:rsidRPr="007E2089">
              <w:rPr>
                <w:b/>
                <w:bCs/>
                <w:color w:val="000000"/>
                <w:sz w:val="20"/>
                <w:lang w:eastAsia="en-AU"/>
              </w:rPr>
              <w:t xml:space="preserve">by the </w:t>
            </w:r>
            <w:r>
              <w:rPr>
                <w:b/>
                <w:bCs/>
                <w:color w:val="000000"/>
                <w:sz w:val="20"/>
                <w:lang w:eastAsia="en-AU"/>
              </w:rPr>
              <w:t>d</w:t>
            </w:r>
            <w:r w:rsidRPr="007E2089">
              <w:rPr>
                <w:b/>
                <w:bCs/>
                <w:color w:val="000000"/>
                <w:sz w:val="20"/>
                <w:lang w:eastAsia="en-AU"/>
              </w:rPr>
              <w:t>etermination</w:t>
            </w:r>
            <w:r w:rsidRPr="007E2089" w:rsidDel="009770E3">
              <w:rPr>
                <w:b/>
                <w:bCs/>
                <w:color w:val="000000"/>
                <w:sz w:val="20"/>
                <w:lang w:eastAsia="en-AU"/>
              </w:rPr>
              <w:t xml:space="preserve"> </w:t>
            </w:r>
            <w:r w:rsidRPr="007E2089">
              <w:rPr>
                <w:b/>
                <w:bCs/>
                <w:color w:val="000000"/>
                <w:sz w:val="20"/>
                <w:lang w:eastAsia="en-AU"/>
              </w:rPr>
              <w:t>($)</w:t>
            </w:r>
          </w:p>
        </w:tc>
      </w:tr>
      <w:tr w:rsidR="008231FA" w:rsidRPr="007E2089" w14:paraId="46ADF26A" w14:textId="77777777" w:rsidTr="001B450A">
        <w:trPr>
          <w:cantSplit/>
          <w:trHeight w:val="381"/>
        </w:trPr>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14:paraId="5B758B30" w14:textId="77777777" w:rsidR="008231FA" w:rsidRPr="007E2089" w:rsidRDefault="008231FA" w:rsidP="001B450A">
            <w:pPr>
              <w:pStyle w:val="Tabletext"/>
              <w:rPr>
                <w:color w:val="000000"/>
                <w:sz w:val="20"/>
              </w:rPr>
            </w:pPr>
            <w:r w:rsidRPr="007E2089">
              <w:rPr>
                <w:color w:val="000000"/>
                <w:sz w:val="20"/>
              </w:rPr>
              <w:t>1</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4769A626" w14:textId="77777777" w:rsidR="008231FA" w:rsidRPr="007E2089" w:rsidRDefault="008231FA" w:rsidP="001B450A">
            <w:pPr>
              <w:pStyle w:val="Tabletext"/>
              <w:rPr>
                <w:color w:val="000000"/>
                <w:sz w:val="20"/>
              </w:rPr>
            </w:pPr>
            <w:r w:rsidRPr="007E2089">
              <w:rPr>
                <w:color w:val="000000"/>
                <w:sz w:val="20"/>
              </w:rPr>
              <w:t>Department of Defence</w:t>
            </w:r>
          </w:p>
        </w:tc>
        <w:tc>
          <w:tcPr>
            <w:tcW w:w="2346" w:type="dxa"/>
            <w:tcBorders>
              <w:top w:val="single" w:sz="4" w:space="0" w:color="auto"/>
              <w:left w:val="nil"/>
              <w:bottom w:val="single" w:sz="4" w:space="0" w:color="auto"/>
              <w:right w:val="single" w:sz="4" w:space="0" w:color="auto"/>
            </w:tcBorders>
            <w:shd w:val="clear" w:color="auto" w:fill="auto"/>
            <w:vAlign w:val="center"/>
          </w:tcPr>
          <w:p w14:paraId="3B17E75B" w14:textId="77777777" w:rsidR="008231FA" w:rsidRPr="007E2089" w:rsidRDefault="008231FA" w:rsidP="001B450A">
            <w:pPr>
              <w:pStyle w:val="Tabletext"/>
              <w:rPr>
                <w:color w:val="000000"/>
                <w:sz w:val="20"/>
              </w:rPr>
            </w:pPr>
            <w:r w:rsidRPr="007E2089">
              <w:rPr>
                <w:color w:val="000000"/>
                <w:sz w:val="20"/>
              </w:rPr>
              <w:t>Departmental item</w:t>
            </w:r>
          </w:p>
        </w:tc>
        <w:tc>
          <w:tcPr>
            <w:tcW w:w="2226" w:type="dxa"/>
            <w:tcBorders>
              <w:top w:val="single" w:sz="4" w:space="0" w:color="auto"/>
              <w:left w:val="single" w:sz="4" w:space="0" w:color="BFBFBF"/>
              <w:bottom w:val="single" w:sz="4" w:space="0" w:color="auto"/>
              <w:right w:val="single" w:sz="4" w:space="0" w:color="auto"/>
            </w:tcBorders>
            <w:shd w:val="clear" w:color="auto" w:fill="auto"/>
            <w:vAlign w:val="center"/>
          </w:tcPr>
          <w:p w14:paraId="1F1368F3" w14:textId="251FB8DB" w:rsidR="008231FA" w:rsidRPr="007E2089" w:rsidRDefault="008231FA" w:rsidP="001B450A">
            <w:pPr>
              <w:pStyle w:val="Tabletext"/>
              <w:jc w:val="right"/>
              <w:rPr>
                <w:color w:val="000000"/>
                <w:sz w:val="20"/>
              </w:rPr>
            </w:pPr>
            <w:r w:rsidRPr="007E2089">
              <w:rPr>
                <w:color w:val="000000"/>
                <w:sz w:val="20"/>
              </w:rPr>
              <w:t>-</w:t>
            </w:r>
            <w:r>
              <w:rPr>
                <w:color w:val="000000"/>
                <w:sz w:val="20"/>
              </w:rPr>
              <w:t>62</w:t>
            </w:r>
            <w:r w:rsidRPr="007E2089">
              <w:rPr>
                <w:color w:val="000000"/>
                <w:sz w:val="20"/>
              </w:rPr>
              <w:t>,</w:t>
            </w:r>
            <w:r>
              <w:rPr>
                <w:color w:val="000000"/>
                <w:sz w:val="20"/>
              </w:rPr>
              <w:t>759</w:t>
            </w:r>
            <w:r w:rsidRPr="007E2089">
              <w:rPr>
                <w:color w:val="000000"/>
                <w:sz w:val="20"/>
              </w:rPr>
              <w:t>,</w:t>
            </w:r>
            <w:r>
              <w:rPr>
                <w:color w:val="000000"/>
                <w:sz w:val="20"/>
              </w:rPr>
              <w:t>000</w:t>
            </w:r>
            <w:r w:rsidRPr="007E2089">
              <w:rPr>
                <w:color w:val="000000"/>
                <w:sz w:val="20"/>
              </w:rPr>
              <w:t>.00</w:t>
            </w:r>
          </w:p>
        </w:tc>
      </w:tr>
      <w:tr w:rsidR="008231FA" w:rsidRPr="007E2089" w14:paraId="76C38FDE" w14:textId="77777777" w:rsidTr="001B450A">
        <w:trPr>
          <w:cantSplit/>
          <w:trHeight w:val="449"/>
        </w:trPr>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14:paraId="1A39B8EF" w14:textId="77777777" w:rsidR="008231FA" w:rsidRPr="007E2089" w:rsidRDefault="008231FA" w:rsidP="001B450A">
            <w:pPr>
              <w:pStyle w:val="Tabletext"/>
              <w:rPr>
                <w:color w:val="000000"/>
                <w:sz w:val="20"/>
              </w:rPr>
            </w:pPr>
            <w:r w:rsidRPr="007E2089">
              <w:rPr>
                <w:color w:val="000000"/>
                <w:sz w:val="20"/>
              </w:rPr>
              <w:t>2</w:t>
            </w:r>
          </w:p>
        </w:tc>
        <w:tc>
          <w:tcPr>
            <w:tcW w:w="3458" w:type="dxa"/>
            <w:tcBorders>
              <w:top w:val="nil"/>
              <w:left w:val="single" w:sz="4" w:space="0" w:color="auto"/>
              <w:bottom w:val="single" w:sz="4" w:space="0" w:color="auto"/>
              <w:right w:val="single" w:sz="4" w:space="0" w:color="auto"/>
            </w:tcBorders>
            <w:shd w:val="clear" w:color="000000" w:fill="FFFFFF"/>
            <w:vAlign w:val="center"/>
          </w:tcPr>
          <w:p w14:paraId="337855EF" w14:textId="77777777" w:rsidR="008231FA" w:rsidRPr="007E2089" w:rsidRDefault="008231FA" w:rsidP="001B450A">
            <w:pPr>
              <w:pStyle w:val="Tabletext"/>
              <w:rPr>
                <w:color w:val="000000"/>
                <w:sz w:val="20"/>
              </w:rPr>
            </w:pPr>
            <w:r w:rsidRPr="007E2089">
              <w:rPr>
                <w:color w:val="000000"/>
                <w:sz w:val="20"/>
              </w:rPr>
              <w:t>Australian Submarine Agency</w:t>
            </w:r>
          </w:p>
        </w:tc>
        <w:tc>
          <w:tcPr>
            <w:tcW w:w="2346" w:type="dxa"/>
            <w:tcBorders>
              <w:top w:val="nil"/>
              <w:left w:val="nil"/>
              <w:bottom w:val="single" w:sz="4" w:space="0" w:color="auto"/>
              <w:right w:val="single" w:sz="4" w:space="0" w:color="auto"/>
            </w:tcBorders>
            <w:shd w:val="clear" w:color="auto" w:fill="auto"/>
            <w:vAlign w:val="center"/>
          </w:tcPr>
          <w:p w14:paraId="2A8572A4" w14:textId="77777777" w:rsidR="008231FA" w:rsidRPr="007E2089" w:rsidRDefault="008231FA" w:rsidP="001B450A">
            <w:pPr>
              <w:pStyle w:val="Tabletext"/>
              <w:rPr>
                <w:color w:val="000000"/>
                <w:sz w:val="20"/>
              </w:rPr>
            </w:pPr>
            <w:r w:rsidRPr="007E2089">
              <w:rPr>
                <w:color w:val="000000"/>
                <w:sz w:val="20"/>
              </w:rPr>
              <w:t>Departmental item</w:t>
            </w:r>
          </w:p>
        </w:tc>
        <w:tc>
          <w:tcPr>
            <w:tcW w:w="2226" w:type="dxa"/>
            <w:tcBorders>
              <w:top w:val="single" w:sz="4" w:space="0" w:color="auto"/>
              <w:left w:val="single" w:sz="4" w:space="0" w:color="BFBFBF"/>
              <w:bottom w:val="single" w:sz="4" w:space="0" w:color="auto"/>
              <w:right w:val="single" w:sz="4" w:space="0" w:color="auto"/>
            </w:tcBorders>
            <w:shd w:val="clear" w:color="auto" w:fill="auto"/>
            <w:vAlign w:val="center"/>
          </w:tcPr>
          <w:p w14:paraId="5C8BB5A0" w14:textId="62D3E0AF" w:rsidR="008231FA" w:rsidRPr="007E2089" w:rsidRDefault="008231FA" w:rsidP="001B450A">
            <w:pPr>
              <w:pStyle w:val="Tabletext"/>
              <w:jc w:val="right"/>
              <w:rPr>
                <w:color w:val="000000"/>
                <w:sz w:val="20"/>
              </w:rPr>
            </w:pPr>
            <w:r w:rsidRPr="007E2089">
              <w:rPr>
                <w:color w:val="000000"/>
                <w:sz w:val="20"/>
              </w:rPr>
              <w:t>+</w:t>
            </w:r>
            <w:r>
              <w:rPr>
                <w:color w:val="000000"/>
                <w:sz w:val="20"/>
              </w:rPr>
              <w:t>6</w:t>
            </w:r>
            <w:r w:rsidR="00A64E1B">
              <w:rPr>
                <w:color w:val="000000"/>
                <w:sz w:val="20"/>
              </w:rPr>
              <w:t>2</w:t>
            </w:r>
            <w:r w:rsidRPr="007E2089">
              <w:rPr>
                <w:color w:val="000000"/>
                <w:sz w:val="20"/>
              </w:rPr>
              <w:t>,</w:t>
            </w:r>
            <w:r>
              <w:rPr>
                <w:color w:val="000000"/>
                <w:sz w:val="20"/>
              </w:rPr>
              <w:t>759</w:t>
            </w:r>
            <w:r w:rsidRPr="007E2089">
              <w:rPr>
                <w:color w:val="000000"/>
                <w:sz w:val="20"/>
              </w:rPr>
              <w:t>,</w:t>
            </w:r>
            <w:r>
              <w:rPr>
                <w:color w:val="000000"/>
                <w:sz w:val="20"/>
              </w:rPr>
              <w:t>000</w:t>
            </w:r>
            <w:r w:rsidRPr="007E2089">
              <w:rPr>
                <w:color w:val="000000"/>
                <w:sz w:val="20"/>
              </w:rPr>
              <w:t>.00</w:t>
            </w:r>
          </w:p>
        </w:tc>
      </w:tr>
    </w:tbl>
    <w:p w14:paraId="40967B46" w14:textId="77777777" w:rsidR="00EF135C" w:rsidRDefault="00EF135C" w:rsidP="008231FA">
      <w:pPr>
        <w:spacing w:before="0" w:after="0"/>
        <w:ind w:left="360"/>
        <w:rPr>
          <w:sz w:val="18"/>
          <w:szCs w:val="24"/>
        </w:rPr>
      </w:pPr>
      <w:r w:rsidRPr="006236A7">
        <w:rPr>
          <w:sz w:val="18"/>
          <w:szCs w:val="24"/>
        </w:rPr>
        <w:t>Note: A positive amount reflects an increase in an appropriation item and a negative amount reflects a decrease in an appropriation item.</w:t>
      </w:r>
    </w:p>
    <w:p w14:paraId="1DDCC24B" w14:textId="77777777" w:rsidR="005409F0" w:rsidRPr="006236A7" w:rsidRDefault="005409F0" w:rsidP="006236A7">
      <w:pPr>
        <w:spacing w:before="0" w:after="0"/>
        <w:rPr>
          <w:sz w:val="18"/>
          <w:szCs w:val="24"/>
        </w:rPr>
      </w:pPr>
    </w:p>
    <w:sectPr w:rsidR="005409F0"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3EA2" w14:textId="77777777" w:rsidR="005A1621" w:rsidRDefault="005A1621" w:rsidP="00752CCB">
      <w:pPr>
        <w:spacing w:before="0" w:after="0"/>
      </w:pPr>
      <w:r>
        <w:separator/>
      </w:r>
    </w:p>
  </w:endnote>
  <w:endnote w:type="continuationSeparator" w:id="0">
    <w:p w14:paraId="128CF5A4" w14:textId="77777777" w:rsidR="005A1621" w:rsidRDefault="005A1621" w:rsidP="00752C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40E6" w14:textId="77777777" w:rsidR="005A1621" w:rsidRDefault="005A1621" w:rsidP="00752CCB">
      <w:pPr>
        <w:spacing w:before="0" w:after="0"/>
      </w:pPr>
      <w:r>
        <w:separator/>
      </w:r>
    </w:p>
  </w:footnote>
  <w:footnote w:type="continuationSeparator" w:id="0">
    <w:p w14:paraId="58811EC7" w14:textId="77777777" w:rsidR="005A1621" w:rsidRDefault="005A1621" w:rsidP="00752C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4511A"/>
    <w:multiLevelType w:val="multilevel"/>
    <w:tmpl w:val="EA5E96EA"/>
    <w:numStyleLink w:val="KeyPoints"/>
  </w:abstractNum>
  <w:abstractNum w:abstractNumId="3"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7818390">
    <w:abstractNumId w:val="17"/>
  </w:num>
  <w:num w:numId="2" w16cid:durableId="2115635259">
    <w:abstractNumId w:val="6"/>
  </w:num>
  <w:num w:numId="3" w16cid:durableId="1676178715">
    <w:abstractNumId w:val="11"/>
  </w:num>
  <w:num w:numId="4" w16cid:durableId="675376961">
    <w:abstractNumId w:val="4"/>
  </w:num>
  <w:num w:numId="5" w16cid:durableId="1312826368">
    <w:abstractNumId w:val="15"/>
  </w:num>
  <w:num w:numId="6" w16cid:durableId="491333130">
    <w:abstractNumId w:val="16"/>
  </w:num>
  <w:num w:numId="7" w16cid:durableId="1186096239">
    <w:abstractNumId w:val="0"/>
  </w:num>
  <w:num w:numId="8" w16cid:durableId="1002659470">
    <w:abstractNumId w:val="8"/>
  </w:num>
  <w:num w:numId="9" w16cid:durableId="1673681932">
    <w:abstractNumId w:val="12"/>
  </w:num>
  <w:num w:numId="10" w16cid:durableId="298389289">
    <w:abstractNumId w:val="5"/>
  </w:num>
  <w:num w:numId="11" w16cid:durableId="456602873">
    <w:abstractNumId w:val="18"/>
  </w:num>
  <w:num w:numId="12" w16cid:durableId="541793517">
    <w:abstractNumId w:val="19"/>
  </w:num>
  <w:num w:numId="13" w16cid:durableId="9722226">
    <w:abstractNumId w:val="1"/>
  </w:num>
  <w:num w:numId="14" w16cid:durableId="600341350">
    <w:abstractNumId w:val="13"/>
  </w:num>
  <w:num w:numId="15" w16cid:durableId="859247383">
    <w:abstractNumId w:val="10"/>
  </w:num>
  <w:num w:numId="16" w16cid:durableId="1567717409">
    <w:abstractNumId w:val="9"/>
  </w:num>
  <w:num w:numId="17" w16cid:durableId="1544557909">
    <w:abstractNumId w:val="14"/>
  </w:num>
  <w:num w:numId="18" w16cid:durableId="709648960">
    <w:abstractNumId w:val="3"/>
  </w:num>
  <w:num w:numId="19" w16cid:durableId="1928342797">
    <w:abstractNumId w:val="20"/>
  </w:num>
  <w:num w:numId="20" w16cid:durableId="1911621994">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7"/>
  </w:num>
  <w:num w:numId="22" w16cid:durableId="813526592">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922"/>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DC"/>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03F4"/>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DDA"/>
    <w:rsid w:val="00267FF2"/>
    <w:rsid w:val="00270562"/>
    <w:rsid w:val="00270728"/>
    <w:rsid w:val="002709E5"/>
    <w:rsid w:val="00270DCE"/>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A56"/>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09B"/>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71"/>
    <w:rsid w:val="0053743D"/>
    <w:rsid w:val="00537551"/>
    <w:rsid w:val="005408A4"/>
    <w:rsid w:val="005409CA"/>
    <w:rsid w:val="005409F0"/>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62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4F59"/>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7A"/>
    <w:rsid w:val="007A6E96"/>
    <w:rsid w:val="007A7375"/>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177"/>
    <w:rsid w:val="007B5778"/>
    <w:rsid w:val="007B5DB9"/>
    <w:rsid w:val="007B6A2B"/>
    <w:rsid w:val="007B6B3C"/>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684"/>
    <w:rsid w:val="0081475B"/>
    <w:rsid w:val="00814BE3"/>
    <w:rsid w:val="00814CB2"/>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4BD4"/>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303"/>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472"/>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BEA"/>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3F6F"/>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A8E"/>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3A8"/>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0F2C"/>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277"/>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E1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55"/>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952"/>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920"/>
    <w:rsid w:val="00B65F3A"/>
    <w:rsid w:val="00B66049"/>
    <w:rsid w:val="00B663B6"/>
    <w:rsid w:val="00B668D7"/>
    <w:rsid w:val="00B66AAC"/>
    <w:rsid w:val="00B6764A"/>
    <w:rsid w:val="00B67DDA"/>
    <w:rsid w:val="00B67FD6"/>
    <w:rsid w:val="00B707CB"/>
    <w:rsid w:val="00B70D48"/>
    <w:rsid w:val="00B70E6F"/>
    <w:rsid w:val="00B71438"/>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A7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539F"/>
    <w:rsid w:val="00C354BF"/>
    <w:rsid w:val="00C35957"/>
    <w:rsid w:val="00C35C2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62A1"/>
    <w:rsid w:val="00C8648B"/>
    <w:rsid w:val="00C868A6"/>
    <w:rsid w:val="00C86CFA"/>
    <w:rsid w:val="00C872A8"/>
    <w:rsid w:val="00C872F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2D7C"/>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95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FIN33509-419751877-16518</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https://financegovau.sharepoint.com/sites/M365_DoF_50033509/_layouts/15/DocIdRedir.aspx?ID=FIN33509-419751877-16518</Url>
      <Description>FIN33509-419751877-16518</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2.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3.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4.xml><?xml version="1.0" encoding="utf-8"?>
<ds:datastoreItem xmlns:ds="http://schemas.openxmlformats.org/officeDocument/2006/customXml" ds:itemID="{CB931B59-320A-4DB3-A65F-C6E94382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6.xml><?xml version="1.0" encoding="utf-8"?>
<ds:datastoreItem xmlns:ds="http://schemas.openxmlformats.org/officeDocument/2006/customXml" ds:itemID="{0A7264F7-F8D3-4403-95F5-E79B62A6D7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783</Words>
  <Characters>4296</Characters>
  <Application>Microsoft Office Word</Application>
  <DocSecurity>0</DocSecurity>
  <Lines>171</Lines>
  <Paragraphs>126</Paragraphs>
  <ScaleCrop>false</ScaleCrop>
  <Company>FINANCE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58</cp:revision>
  <cp:lastPrinted>2019-06-26T01:42:00Z</cp:lastPrinted>
  <dcterms:created xsi:type="dcterms:W3CDTF">2023-06-27T02:43:00Z</dcterms:created>
  <dcterms:modified xsi:type="dcterms:W3CDTF">2023-06-29T23:04:00Z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v=2022.1;a=SHA256;h=BD3B56712CE80B096786A7596D1DAF85D6CE69E7C87FEA9B6005C78DEE790F6B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B00C1F76246EB00FC006451BD64FF38A171979D236DDB7583FC694E3BE9B24FA</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e594b203d7e440ef91b6d175be5689d9</vt:lpwstr>
  </property>
  <property fmtid="{D5CDD505-2E9C-101B-9397-08002B2CF9AE}" pid="20" name="PM_InsertionValue">
    <vt:lpwstr>OFFICIAL</vt:lpwstr>
  </property>
  <property fmtid="{D5CDD505-2E9C-101B-9397-08002B2CF9AE}" pid="21" name="PM_Originator_Hash_SHA1">
    <vt:lpwstr>568CEB289AE6FA34B6EEAD81CC6F8ABA200C8A51</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F253183CD40864FA499AF30A8B2080DD</vt:lpwstr>
  </property>
  <property fmtid="{D5CDD505-2E9C-101B-9397-08002B2CF9AE}" pid="32" name="PM_Hash_Salt">
    <vt:lpwstr>92866D4B4E3BEF5BE155A4223E32968E</vt:lpwstr>
  </property>
  <property fmtid="{D5CDD505-2E9C-101B-9397-08002B2CF9AE}" pid="33" name="PM_Hash_SHA1">
    <vt:lpwstr>00CA9EB1D502FEC36A8D3AD6F073453B17DB4888</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de27f4fd-5ad7-4c5f-93e5-112d5bd957ae</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