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3223137F"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C61FC9">
        <w:rPr>
          <w:sz w:val="36"/>
          <w:szCs w:val="36"/>
        </w:rPr>
        <w:t>20</w:t>
      </w:r>
      <w:r w:rsidR="00D2416F">
        <w:rPr>
          <w:sz w:val="36"/>
          <w:szCs w:val="36"/>
        </w:rPr>
        <w:t>2</w:t>
      </w:r>
      <w:r w:rsidR="00F21B16">
        <w:rPr>
          <w:sz w:val="36"/>
          <w:szCs w:val="36"/>
        </w:rPr>
        <w:t>3</w:t>
      </w:r>
      <w:r w:rsidR="00C61FC9">
        <w:rPr>
          <w:sz w:val="36"/>
          <w:szCs w:val="36"/>
        </w:rPr>
        <w:t>-</w:t>
      </w:r>
      <w:r w:rsidR="00467D03">
        <w:rPr>
          <w:sz w:val="36"/>
          <w:szCs w:val="36"/>
        </w:rPr>
        <w:t>2</w:t>
      </w:r>
      <w:r w:rsidR="00347521">
        <w:rPr>
          <w:sz w:val="36"/>
          <w:szCs w:val="36"/>
        </w:rPr>
        <w:br/>
      </w:r>
      <w:r w:rsidR="004D1170" w:rsidRPr="004D1170">
        <w:rPr>
          <w:i/>
          <w:sz w:val="36"/>
          <w:szCs w:val="36"/>
        </w:rPr>
        <w:t>Amendments to Australian Accounting Standards – International Tax Reform – Pillar Two Model Rules</w:t>
      </w:r>
    </w:p>
    <w:p w14:paraId="13976967" w14:textId="77777777" w:rsidR="006776BD" w:rsidRPr="006776BD" w:rsidRDefault="006776BD" w:rsidP="006776BD">
      <w:pPr>
        <w:pStyle w:val="CoverSubtitle"/>
        <w:spacing w:after="3120"/>
        <w:rPr>
          <w:sz w:val="32"/>
          <w:szCs w:val="32"/>
        </w:rPr>
      </w:pPr>
    </w:p>
    <w:p w14:paraId="13976968" w14:textId="02B61FA4" w:rsidR="00414BC3" w:rsidRPr="00F62F5C" w:rsidRDefault="004D1170" w:rsidP="00D2416F">
      <w:pPr>
        <w:pStyle w:val="CoverDate"/>
        <w:tabs>
          <w:tab w:val="left" w:pos="3794"/>
          <w:tab w:val="left" w:pos="6232"/>
        </w:tabs>
        <w:spacing w:before="840"/>
        <w:jc w:val="center"/>
        <w:rPr>
          <w:b/>
          <w:sz w:val="28"/>
          <w:szCs w:val="28"/>
        </w:rPr>
      </w:pPr>
      <w:r>
        <w:rPr>
          <w:b/>
          <w:sz w:val="28"/>
          <w:szCs w:val="28"/>
        </w:rPr>
        <w:t xml:space="preserve">June </w:t>
      </w:r>
      <w:r w:rsidR="00225101">
        <w:rPr>
          <w:b/>
          <w:sz w:val="28"/>
          <w:szCs w:val="28"/>
        </w:rPr>
        <w:t>20</w:t>
      </w:r>
      <w:r w:rsidR="00D2416F">
        <w:rPr>
          <w:b/>
          <w:sz w:val="28"/>
          <w:szCs w:val="28"/>
        </w:rPr>
        <w:t>2</w:t>
      </w:r>
      <w:r>
        <w:rPr>
          <w:b/>
          <w:sz w:val="28"/>
          <w:szCs w:val="28"/>
        </w:rPr>
        <w:t>3</w:t>
      </w:r>
    </w:p>
    <w:p w14:paraId="13976969" w14:textId="77777777" w:rsidR="00414BC3" w:rsidRDefault="002703C7">
      <w:pPr>
        <w:sectPr w:rsidR="00414BC3" w:rsidSect="00B93CE4">
          <w:pgSz w:w="11907" w:h="16840"/>
          <w:pgMar w:top="1134" w:right="1134" w:bottom="1134" w:left="1134" w:header="720" w:footer="720" w:gutter="0"/>
          <w:cols w:space="720"/>
        </w:sectPr>
      </w:pPr>
      <w: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3.1pt;height:95.9pt;z-index:251658240;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2050" DrawAspect="Content" ObjectID="_1749302680" r:id="rId9"/>
        </w:object>
      </w:r>
    </w:p>
    <w:p w14:paraId="1397696A" w14:textId="77777777" w:rsidR="00414BC3" w:rsidRDefault="00414BC3">
      <w:pPr>
        <w:pStyle w:val="Heading1"/>
      </w:pPr>
      <w:r>
        <w:lastRenderedPageBreak/>
        <w:t>EXPLANATORY STATEMENT</w:t>
      </w:r>
    </w:p>
    <w:p w14:paraId="1397696B" w14:textId="18C66F39" w:rsidR="00FD4C0C" w:rsidRDefault="006B1B4A" w:rsidP="00FD4C0C">
      <w:pPr>
        <w:pStyle w:val="Heading2"/>
      </w:pPr>
      <w:r>
        <w:t>Standards Amended by</w:t>
      </w:r>
      <w:r w:rsidR="00FD4C0C">
        <w:t xml:space="preserve"> AASB </w:t>
      </w:r>
      <w:r w:rsidR="00C068D8">
        <w:t>20</w:t>
      </w:r>
      <w:r w:rsidR="00D2416F">
        <w:t>2</w:t>
      </w:r>
      <w:r w:rsidR="004D1170">
        <w:t>3</w:t>
      </w:r>
      <w:r w:rsidR="00C068D8">
        <w:t>-</w:t>
      </w:r>
      <w:r w:rsidR="004D1170">
        <w:t>2</w:t>
      </w:r>
    </w:p>
    <w:p w14:paraId="41C34540" w14:textId="42EAD65C" w:rsidR="002A6880" w:rsidRPr="002A6880" w:rsidRDefault="002A6880" w:rsidP="002A6880">
      <w:pPr>
        <w:pStyle w:val="NoNumPlain1"/>
      </w:pPr>
      <w:r w:rsidRPr="002A6880">
        <w:t>This Standard makes amendments to AASB 1</w:t>
      </w:r>
      <w:r w:rsidR="00934970">
        <w:t>1</w:t>
      </w:r>
      <w:r w:rsidR="004D1170">
        <w:t>2</w:t>
      </w:r>
      <w:r w:rsidRPr="002A6880">
        <w:t xml:space="preserve"> </w:t>
      </w:r>
      <w:r w:rsidR="004D1170">
        <w:rPr>
          <w:i/>
          <w:iCs/>
        </w:rPr>
        <w:t>Income Taxes</w:t>
      </w:r>
      <w:r w:rsidRPr="002A6880">
        <w:rPr>
          <w:i/>
          <w:iCs/>
        </w:rPr>
        <w:t xml:space="preserve"> </w:t>
      </w:r>
      <w:r w:rsidRPr="002A6880">
        <w:t>(</w:t>
      </w:r>
      <w:r w:rsidR="00995438">
        <w:t xml:space="preserve">August </w:t>
      </w:r>
      <w:r w:rsidRPr="002A6880">
        <w:t>201</w:t>
      </w:r>
      <w:r w:rsidR="00E2749C">
        <w:t>5</w:t>
      </w:r>
      <w:r w:rsidRPr="002A6880">
        <w:t>)</w:t>
      </w:r>
      <w:r w:rsidR="0067073C">
        <w:rPr>
          <w:sz w:val="19"/>
          <w:szCs w:val="19"/>
        </w:rPr>
        <w:t>.</w:t>
      </w:r>
    </w:p>
    <w:p w14:paraId="5D91CD3D" w14:textId="7121F69A" w:rsidR="002A6880" w:rsidRDefault="002A6880" w:rsidP="002A6880">
      <w:pPr>
        <w:pStyle w:val="NoNumPlain1"/>
      </w:pPr>
      <w:r w:rsidRPr="002A6880">
        <w:t xml:space="preserve">These amendments arise from the issuance of International Financial Reporting Standard </w:t>
      </w:r>
      <w:r w:rsidR="008A6ADF" w:rsidRPr="008A6ADF">
        <w:rPr>
          <w:i/>
        </w:rPr>
        <w:t xml:space="preserve">International Tax Reform—Pillar Two Model Rules </w:t>
      </w:r>
      <w:r w:rsidR="008A6ADF" w:rsidRPr="00BF542F">
        <w:rPr>
          <w:iCs/>
        </w:rPr>
        <w:t>(Amendments to IAS 12)</w:t>
      </w:r>
      <w:r w:rsidRPr="002A6880">
        <w:t xml:space="preserve"> by the International Accounting Standards Board (IASB) in </w:t>
      </w:r>
      <w:r w:rsidR="008A6ADF">
        <w:t>May 2023</w:t>
      </w:r>
      <w:r w:rsidRPr="002A6880">
        <w:t>.</w:t>
      </w:r>
    </w:p>
    <w:p w14:paraId="13976970" w14:textId="644BBD81" w:rsidR="00FD4C0C" w:rsidRDefault="00FD4C0C" w:rsidP="00FD4C0C">
      <w:pPr>
        <w:pStyle w:val="Heading2"/>
      </w:pPr>
      <w:r>
        <w:t xml:space="preserve">Main Features of AASB </w:t>
      </w:r>
      <w:r w:rsidR="00C068D8">
        <w:t>20</w:t>
      </w:r>
      <w:r w:rsidR="00D2416F">
        <w:t>2</w:t>
      </w:r>
      <w:r w:rsidR="008A6ADF">
        <w:t>3</w:t>
      </w:r>
      <w:r w:rsidR="00C068D8">
        <w:t>-</w:t>
      </w:r>
      <w:r w:rsidR="008A6ADF">
        <w:t>2</w:t>
      </w:r>
    </w:p>
    <w:p w14:paraId="53DE48C0" w14:textId="77777777" w:rsidR="001A5D6F" w:rsidRDefault="001A5D6F" w:rsidP="001A5D6F">
      <w:pPr>
        <w:pStyle w:val="NoNumPlain1"/>
      </w:pPr>
      <w:r>
        <w:t>This Standard amends AASB 112 to introduce:</w:t>
      </w:r>
    </w:p>
    <w:p w14:paraId="1199E1BE" w14:textId="5082F8F9" w:rsidR="001A5D6F" w:rsidRDefault="001A5D6F" w:rsidP="001A5D6F">
      <w:pPr>
        <w:pStyle w:val="NoNumPlain1"/>
        <w:numPr>
          <w:ilvl w:val="0"/>
          <w:numId w:val="18"/>
        </w:numPr>
        <w:ind w:left="782" w:hanging="782"/>
      </w:pPr>
      <w:r>
        <w:t>a mandatory temporary exception to accounting for deferred taxes arising from the implementation of the Pillar Two model rules published by the Organisation for Economic Co-operation and Development (OECD); and</w:t>
      </w:r>
    </w:p>
    <w:p w14:paraId="27E7CD5A" w14:textId="5ACE2905" w:rsidR="008F53E7" w:rsidRDefault="001A5D6F" w:rsidP="001A5D6F">
      <w:pPr>
        <w:pStyle w:val="NoNumPlain1"/>
        <w:numPr>
          <w:ilvl w:val="0"/>
          <w:numId w:val="18"/>
        </w:numPr>
        <w:ind w:left="782" w:hanging="782"/>
      </w:pPr>
      <w:r>
        <w:t>targeted disclosure requirements to help financial statement users better understand an entity’s exposure to income taxes arising from the reform, particularly in periods before legislation implementing the rules is in effect.</w:t>
      </w:r>
      <w:r w:rsidR="001B490C">
        <w:t xml:space="preserve"> </w:t>
      </w:r>
    </w:p>
    <w:p w14:paraId="13976972" w14:textId="77777777" w:rsidR="00FD4C0C" w:rsidRDefault="00FD4C0C" w:rsidP="006B1B4A">
      <w:pPr>
        <w:pStyle w:val="Heading3"/>
      </w:pPr>
      <w:r>
        <w:t>Application Date</w:t>
      </w:r>
    </w:p>
    <w:p w14:paraId="064873F0" w14:textId="0D91CBB2" w:rsidR="002A6880" w:rsidRPr="002A6880" w:rsidRDefault="002A6880" w:rsidP="002A6880">
      <w:pPr>
        <w:pStyle w:val="NoNumPlain1"/>
      </w:pPr>
      <w:r w:rsidRPr="002A6880">
        <w:t xml:space="preserve">This Standard applies to annual periods </w:t>
      </w:r>
      <w:bookmarkStart w:id="0" w:name="ApplyText"/>
      <w:r w:rsidRPr="002A6880">
        <w:t>beginning</w:t>
      </w:r>
      <w:bookmarkEnd w:id="0"/>
      <w:r w:rsidRPr="002A6880">
        <w:t xml:space="preserve"> on or after </w:t>
      </w:r>
      <w:bookmarkStart w:id="1" w:name="ApplyDate"/>
      <w:r w:rsidRPr="002A6880">
        <w:t>1 January 202</w:t>
      </w:r>
      <w:r w:rsidR="001A5D6F">
        <w:t>3 that end on or after 30 June 202</w:t>
      </w:r>
      <w:r w:rsidR="0028374D">
        <w:t>3</w:t>
      </w:r>
      <w:bookmarkEnd w:id="1"/>
      <w:r w:rsidRPr="002A6880">
        <w:t>.  Earlier application is permitted</w:t>
      </w:r>
      <w:r w:rsidR="00855B93">
        <w:t>.</w:t>
      </w:r>
    </w:p>
    <w:p w14:paraId="13976976" w14:textId="47CB03F5" w:rsidR="00EA0A87" w:rsidRPr="001D1FFA" w:rsidRDefault="00EA0A87" w:rsidP="00EA0A87">
      <w:pPr>
        <w:pStyle w:val="Heading2"/>
      </w:pPr>
      <w:r w:rsidRPr="001D1FFA">
        <w:t>Consultation Prior to Issuing this Standard</w:t>
      </w:r>
    </w:p>
    <w:p w14:paraId="13B835F0" w14:textId="79B41940" w:rsidR="005B0AB4" w:rsidRPr="00EB406E" w:rsidRDefault="00D948E2" w:rsidP="005B0AB4">
      <w:pPr>
        <w:pStyle w:val="NoNumPlain1"/>
      </w:pPr>
      <w:r>
        <w:t xml:space="preserve">The AASB issued </w:t>
      </w:r>
      <w:r w:rsidR="00CD0A54" w:rsidRPr="00C06546">
        <w:t>ED</w:t>
      </w:r>
      <w:r w:rsidR="00345A43" w:rsidRPr="00C06546">
        <w:t xml:space="preserve"> </w:t>
      </w:r>
      <w:r w:rsidR="00AA0395" w:rsidRPr="00C06546">
        <w:t>3</w:t>
      </w:r>
      <w:r w:rsidR="00F73E27">
        <w:t>22</w:t>
      </w:r>
      <w:r w:rsidR="00345A43" w:rsidRPr="00C06546">
        <w:t xml:space="preserve"> </w:t>
      </w:r>
      <w:r w:rsidR="00ED08B8" w:rsidRPr="00ED08B8">
        <w:rPr>
          <w:i/>
        </w:rPr>
        <w:t>International Tax Reform – Pillar Two Model Rules</w:t>
      </w:r>
      <w:r w:rsidR="00345A43" w:rsidRPr="00C06546">
        <w:rPr>
          <w:i/>
        </w:rPr>
        <w:t xml:space="preserve"> </w:t>
      </w:r>
      <w:r w:rsidR="00345A43" w:rsidRPr="00C06546">
        <w:t xml:space="preserve">in </w:t>
      </w:r>
      <w:r w:rsidR="00ED08B8">
        <w:t>January 2023</w:t>
      </w:r>
      <w:r w:rsidR="00985250">
        <w:t xml:space="preserve"> for public comment</w:t>
      </w:r>
      <w:r w:rsidR="00C04EB7" w:rsidRPr="00C06546">
        <w:t xml:space="preserve">, with comments due by </w:t>
      </w:r>
      <w:r w:rsidR="00ED08B8">
        <w:t>24</w:t>
      </w:r>
      <w:r w:rsidR="004F5926" w:rsidRPr="00C06546">
        <w:t> </w:t>
      </w:r>
      <w:r w:rsidR="00226895" w:rsidRPr="00C06546">
        <w:t xml:space="preserve">February </w:t>
      </w:r>
      <w:r w:rsidR="008C1FEB" w:rsidRPr="00C06546">
        <w:t>202</w:t>
      </w:r>
      <w:r w:rsidR="00ED08B8">
        <w:t>3</w:t>
      </w:r>
      <w:r w:rsidR="00345A43" w:rsidRPr="00C06546">
        <w:t>.</w:t>
      </w:r>
      <w:r w:rsidR="00E574C8" w:rsidRPr="00C06546">
        <w:t xml:space="preserve"> </w:t>
      </w:r>
      <w:r w:rsidR="00345A43" w:rsidRPr="00C06546">
        <w:t xml:space="preserve"> ED </w:t>
      </w:r>
      <w:r w:rsidR="008C1FEB" w:rsidRPr="00C06546">
        <w:t>3</w:t>
      </w:r>
      <w:r w:rsidR="00ED08B8">
        <w:t>22</w:t>
      </w:r>
      <w:r w:rsidR="008C1FEB" w:rsidRPr="00C06546">
        <w:t xml:space="preserve"> </w:t>
      </w:r>
      <w:r w:rsidR="00345A43" w:rsidRPr="00C06546">
        <w:t xml:space="preserve">incorporated </w:t>
      </w:r>
      <w:r w:rsidR="00226895" w:rsidRPr="00C06546">
        <w:t>IASB</w:t>
      </w:r>
      <w:r w:rsidR="005B0AB4">
        <w:t xml:space="preserve"> Exposure Draft </w:t>
      </w:r>
      <w:r w:rsidR="00345A43" w:rsidRPr="00C06546">
        <w:t>ED/</w:t>
      </w:r>
      <w:r w:rsidR="00226895" w:rsidRPr="00C06546">
        <w:t>202</w:t>
      </w:r>
      <w:r w:rsidR="00ED08B8">
        <w:t>3</w:t>
      </w:r>
      <w:r w:rsidR="00345A43" w:rsidRPr="00C06546">
        <w:t>/</w:t>
      </w:r>
      <w:r w:rsidR="00ED08B8">
        <w:t>1</w:t>
      </w:r>
      <w:r w:rsidR="005B0AB4">
        <w:t xml:space="preserve"> </w:t>
      </w:r>
      <w:r w:rsidR="005B0AB4" w:rsidRPr="00BA5153">
        <w:rPr>
          <w:i/>
        </w:rPr>
        <w:t>International Tax Reform—Pillar Two Model Rules</w:t>
      </w:r>
      <w:r w:rsidR="000A1AB9">
        <w:rPr>
          <w:i/>
        </w:rPr>
        <w:t>.</w:t>
      </w:r>
    </w:p>
    <w:p w14:paraId="63E89960" w14:textId="6DBDC655" w:rsidR="005E4C0C" w:rsidRDefault="00345A43" w:rsidP="005B0AB4">
      <w:pPr>
        <w:pStyle w:val="NoNumPlain1"/>
      </w:pPr>
      <w:r w:rsidRPr="00C06546">
        <w:t>The AASB received</w:t>
      </w:r>
      <w:r w:rsidR="00391989">
        <w:t xml:space="preserve"> one</w:t>
      </w:r>
      <w:r w:rsidRPr="00C06546">
        <w:t xml:space="preserve"> </w:t>
      </w:r>
      <w:r w:rsidR="000A1AB9">
        <w:t xml:space="preserve">comment letter on </w:t>
      </w:r>
      <w:r w:rsidRPr="00C06546">
        <w:t>ED 3</w:t>
      </w:r>
      <w:r w:rsidR="00ED08B8">
        <w:t>22</w:t>
      </w:r>
      <w:r w:rsidR="00C63734">
        <w:t>,</w:t>
      </w:r>
      <w:r w:rsidR="00CC779C">
        <w:t xml:space="preserve"> which was supportive of the proposed amendments</w:t>
      </w:r>
      <w:r w:rsidR="00E12D6E">
        <w:t xml:space="preserve"> and suggested additional disclosures</w:t>
      </w:r>
      <w:r w:rsidR="00D04F30">
        <w:t xml:space="preserve"> that</w:t>
      </w:r>
      <w:r w:rsidR="00E12D6E">
        <w:t xml:space="preserve"> may be helpful to users of the financial statements.</w:t>
      </w:r>
      <w:r w:rsidR="000A1AB9">
        <w:t xml:space="preserve">  </w:t>
      </w:r>
      <w:r w:rsidR="0070090E">
        <w:t>T</w:t>
      </w:r>
      <w:r w:rsidR="00E12D6E">
        <w:t xml:space="preserve">he </w:t>
      </w:r>
      <w:r w:rsidR="000A1AB9">
        <w:t>AASB made a submission to the IASB on ED/2023/1</w:t>
      </w:r>
      <w:r w:rsidR="00DC552A">
        <w:t xml:space="preserve"> supporting the IASB</w:t>
      </w:r>
      <w:r w:rsidR="002703C7">
        <w:t>’</w:t>
      </w:r>
      <w:r w:rsidR="00DC552A">
        <w:t xml:space="preserve">s </w:t>
      </w:r>
      <w:r w:rsidR="00661038">
        <w:t>proposed amendments</w:t>
      </w:r>
      <w:r w:rsidR="0070090E">
        <w:t xml:space="preserve"> and </w:t>
      </w:r>
      <w:r w:rsidR="008343DD">
        <w:t>suggesting additional matters for the IASB</w:t>
      </w:r>
      <w:r w:rsidR="002703C7">
        <w:t>’</w:t>
      </w:r>
      <w:r w:rsidR="008343DD">
        <w:t>s consideration</w:t>
      </w:r>
      <w:r w:rsidR="00C04EB7" w:rsidRPr="00C06546">
        <w:t>.</w:t>
      </w:r>
    </w:p>
    <w:p w14:paraId="6E70967F" w14:textId="41C6377C" w:rsidR="00C05016" w:rsidRDefault="00391989" w:rsidP="005B0AB4">
      <w:pPr>
        <w:pStyle w:val="NoNumPlain1"/>
      </w:pPr>
      <w:r>
        <w:t xml:space="preserve">The IASB analysed the feedback it received on the </w:t>
      </w:r>
      <w:r w:rsidR="00840DF9" w:rsidRPr="00C549FE">
        <w:t xml:space="preserve">proposed amendments and decided to finalise </w:t>
      </w:r>
      <w:r w:rsidR="00840DF9">
        <w:t>the</w:t>
      </w:r>
      <w:r w:rsidR="00840DF9" w:rsidRPr="00C549FE">
        <w:t xml:space="preserve"> amendments</w:t>
      </w:r>
      <w:r w:rsidR="00840DF9">
        <w:t xml:space="preserve"> after making some minor changes</w:t>
      </w:r>
      <w:r w:rsidR="008343DD">
        <w:t xml:space="preserve"> to the proposed disclosure requirements</w:t>
      </w:r>
      <w:r w:rsidR="0044721A">
        <w:t xml:space="preserve">, which addressed the </w:t>
      </w:r>
      <w:r w:rsidR="0044721A" w:rsidRPr="0044721A">
        <w:t>Board’s concerns</w:t>
      </w:r>
      <w:r w:rsidR="00840DF9">
        <w:t>.</w:t>
      </w:r>
      <w:r w:rsidR="00840DF9" w:rsidRPr="006F1866">
        <w:t xml:space="preserve"> </w:t>
      </w:r>
      <w:r w:rsidR="005A5A29">
        <w:t xml:space="preserve"> </w:t>
      </w:r>
      <w:r w:rsidR="00840DF9" w:rsidRPr="006F1866">
        <w:t xml:space="preserve">The </w:t>
      </w:r>
      <w:r w:rsidR="00840DF9">
        <w:t>IASB</w:t>
      </w:r>
      <w:r w:rsidR="00840DF9" w:rsidRPr="006F1866">
        <w:t xml:space="preserve"> concluded that </w:t>
      </w:r>
      <w:r w:rsidR="00840DF9">
        <w:t xml:space="preserve">these amendments will </w:t>
      </w:r>
      <w:r w:rsidR="00227FB6">
        <w:t>provide companies temporary relief from accounting for deferred taxes arising from the OECD</w:t>
      </w:r>
      <w:r w:rsidR="002703C7">
        <w:t>’</w:t>
      </w:r>
      <w:r w:rsidR="00227FB6">
        <w:t>s international tax reform</w:t>
      </w:r>
      <w:r w:rsidR="008261A7">
        <w:t xml:space="preserve"> and </w:t>
      </w:r>
      <w:r w:rsidR="00C05016">
        <w:t xml:space="preserve">provide information that will </w:t>
      </w:r>
      <w:r w:rsidR="00C05016" w:rsidRPr="00C05016">
        <w:t>help investors better understand a company’s exposure to income taxes arising from the reform, particularly before legislation implementing the rules is in effect</w:t>
      </w:r>
      <w:r w:rsidR="00840DF9">
        <w:t xml:space="preserve">. </w:t>
      </w:r>
      <w:r w:rsidR="005A5A29">
        <w:t xml:space="preserve"> </w:t>
      </w:r>
      <w:r w:rsidR="00840DF9">
        <w:t>The IASB set an effective date for the amendments of annual periods beginning on or after 1 January 2023, with earlier application permitted</w:t>
      </w:r>
      <w:r w:rsidR="00840DF9" w:rsidRPr="00F07536">
        <w:t>.</w:t>
      </w:r>
      <w:r w:rsidR="00840DF9">
        <w:t xml:space="preserve"> </w:t>
      </w:r>
    </w:p>
    <w:p w14:paraId="30DE465D" w14:textId="4930CE32" w:rsidR="00391989" w:rsidRPr="00C06546" w:rsidRDefault="00840DF9" w:rsidP="005B0AB4">
      <w:pPr>
        <w:pStyle w:val="NoNumPlain1"/>
      </w:pPr>
      <w:r>
        <w:t xml:space="preserve">The AASB considered and adopted the amendments made by the IASB to </w:t>
      </w:r>
      <w:r w:rsidR="008509A0">
        <w:t xml:space="preserve">IAS 12 </w:t>
      </w:r>
      <w:r>
        <w:t>in finalising AASB 202</w:t>
      </w:r>
      <w:r w:rsidR="006F422A">
        <w:t>3</w:t>
      </w:r>
      <w:r>
        <w:t>-</w:t>
      </w:r>
      <w:r w:rsidR="006F422A">
        <w:t>2</w:t>
      </w:r>
      <w:r>
        <w:t xml:space="preserve"> and the amendments to AASB </w:t>
      </w:r>
      <w:r w:rsidR="006F422A">
        <w:t>112</w:t>
      </w:r>
      <w:r>
        <w:t>.</w:t>
      </w:r>
      <w:r w:rsidR="008535B7">
        <w:t xml:space="preserve">  The AASB set an effective date </w:t>
      </w:r>
      <w:r w:rsidR="005A5A29">
        <w:t xml:space="preserve">of </w:t>
      </w:r>
      <w:r w:rsidR="008535B7">
        <w:t>annual periods beginning on or after 1 January 2023 that end on or after 30 June 2023</w:t>
      </w:r>
      <w:r w:rsidR="005A5A29">
        <w:t>, with earlier application permitted</w:t>
      </w:r>
      <w:r w:rsidR="008535B7">
        <w:t>.</w:t>
      </w:r>
    </w:p>
    <w:p w14:paraId="28B06DC9" w14:textId="4C7E3456" w:rsidR="004607FB" w:rsidRDefault="004607FB" w:rsidP="00026782">
      <w:pPr>
        <w:pStyle w:val="NoNumPlain1"/>
      </w:pPr>
      <w:r>
        <w:t>A Regulation Impact Statement (RIS) has not been prepared in connection with the issue of AASB 202</w:t>
      </w:r>
      <w:r w:rsidR="008535B7">
        <w:t>3</w:t>
      </w:r>
      <w:r>
        <w:t>-</w:t>
      </w:r>
      <w:r w:rsidR="008535B7">
        <w:t>2</w:t>
      </w:r>
      <w:r w:rsidR="00F52782">
        <w:t xml:space="preserve"> </w:t>
      </w:r>
      <w:r>
        <w:t>as the amendments made do not have a substantial direct or indirect impact on business or competition.</w:t>
      </w:r>
    </w:p>
    <w:p w14:paraId="0AE931A0" w14:textId="7EB10F8C"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77777777"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lastRenderedPageBreak/>
        <w:t>Copyright</w:t>
      </w:r>
    </w:p>
    <w:p w14:paraId="1ABA0E69" w14:textId="23A7FF29"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5A95B658"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Pr>
          <w:lang w:eastAsia="en-AU"/>
        </w:rPr>
        <w:t xml:space="preserve"> </w:t>
      </w:r>
      <w:r w:rsidRPr="0062766C">
        <w:t xml:space="preserve">The AASB’s Standards are exempt from sunsetting because a more stringent review process than sunsetting applies to the Standards. </w:t>
      </w:r>
      <w:r>
        <w:t xml:space="preserve"> </w:t>
      </w:r>
      <w:r w:rsidRPr="0062766C">
        <w:t>This review process ensures Australia’s A</w:t>
      </w:r>
      <w:r>
        <w:t>ccoun</w:t>
      </w:r>
      <w:r w:rsidRPr="0062766C">
        <w:t xml:space="preserve">ting Standards regime remains consistent with international Standards. </w:t>
      </w:r>
      <w:r>
        <w:t xml:space="preserve"> </w:t>
      </w:r>
      <w:r w:rsidRPr="0062766C">
        <w:t xml:space="preserve">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w:t>
      </w:r>
      <w:r>
        <w:t xml:space="preserve"> </w:t>
      </w:r>
      <w:r w:rsidRPr="0062766C">
        <w:t xml:space="preserve">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w:t>
      </w:r>
      <w:r>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 xml:space="preserve">AASB Standards. </w:t>
      </w:r>
      <w:r>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225C75">
      <w:pPr>
        <w:pStyle w:val="Heading2"/>
        <w:spacing w:before="72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029513D2" w:rsidR="00E770E5" w:rsidRDefault="00A90A3D" w:rsidP="00A90A3D">
      <w:pPr>
        <w:pStyle w:val="Heading3"/>
        <w:spacing w:after="360"/>
        <w:jc w:val="center"/>
      </w:pPr>
      <w:r w:rsidRPr="00347521">
        <w:t xml:space="preserve">Accounting Standard AASB </w:t>
      </w:r>
      <w:r w:rsidR="00D2416F">
        <w:t>202</w:t>
      </w:r>
      <w:r w:rsidR="00661038">
        <w:t>3</w:t>
      </w:r>
      <w:r>
        <w:t>-</w:t>
      </w:r>
      <w:r w:rsidR="00661038">
        <w:t>2</w:t>
      </w:r>
      <w:r>
        <w:br/>
      </w:r>
      <w:r w:rsidR="00AB18E2" w:rsidRPr="00AB18E2">
        <w:rPr>
          <w:i/>
          <w:iCs w:val="0"/>
        </w:rPr>
        <w:t>Amendments to Australian Accounting Standards – International Tax Reform – Pillar Two Model Rules</w:t>
      </w:r>
    </w:p>
    <w:p w14:paraId="1397697D" w14:textId="77777777" w:rsidR="00A90A3D" w:rsidRDefault="00A90A3D" w:rsidP="00A90A3D">
      <w:pPr>
        <w:pStyle w:val="Heading3"/>
      </w:pPr>
      <w:r>
        <w:t>Overview of the Accounting Standard</w:t>
      </w:r>
    </w:p>
    <w:p w14:paraId="0453E001" w14:textId="62A05C0B" w:rsidR="00AB18E2" w:rsidRDefault="00AB18E2" w:rsidP="00AB18E2">
      <w:pPr>
        <w:pStyle w:val="NoNumPlain1"/>
      </w:pPr>
      <w:r>
        <w:t xml:space="preserve">This Standard amends AASB 112 </w:t>
      </w:r>
      <w:r w:rsidR="008509A0">
        <w:rPr>
          <w:i/>
          <w:iCs/>
        </w:rPr>
        <w:t xml:space="preserve">Income Taxes </w:t>
      </w:r>
      <w:r>
        <w:t>to introduce:</w:t>
      </w:r>
    </w:p>
    <w:p w14:paraId="20C5339F" w14:textId="77777777" w:rsidR="00AB18E2" w:rsidRDefault="00AB18E2" w:rsidP="00AB18E2">
      <w:pPr>
        <w:pStyle w:val="NoNumPlain1"/>
        <w:numPr>
          <w:ilvl w:val="0"/>
          <w:numId w:val="22"/>
        </w:numPr>
        <w:ind w:left="782" w:hanging="782"/>
      </w:pPr>
      <w:r>
        <w:t>a mandatory temporary exception to accounting for deferred taxes arising from the implementation of the Pillar Two model rules published by the Organisation for Economic Co-operation and Development (OECD); and</w:t>
      </w:r>
    </w:p>
    <w:p w14:paraId="485A2983" w14:textId="77777777" w:rsidR="00AB18E2" w:rsidRDefault="00AB18E2" w:rsidP="00AB18E2">
      <w:pPr>
        <w:pStyle w:val="NoNumPlain1"/>
        <w:numPr>
          <w:ilvl w:val="0"/>
          <w:numId w:val="22"/>
        </w:numPr>
        <w:ind w:left="782" w:hanging="782"/>
      </w:pPr>
      <w:r>
        <w:t xml:space="preserve">targeted disclosure requirements to help financial statement users better understand an entity’s exposure to income taxes arising from the reform, particularly in periods before legislation implementing the rules is in effect. </w:t>
      </w:r>
    </w:p>
    <w:p w14:paraId="2A6A0522" w14:textId="10BAB744" w:rsidR="00866B9F" w:rsidRDefault="00866B9F" w:rsidP="00866B9F">
      <w:pPr>
        <w:pStyle w:val="NoNumPlain1"/>
      </w:pPr>
      <w:r w:rsidRPr="002A6880">
        <w:t xml:space="preserve">These amendments arise from the issuance of International Financial Reporting Standard </w:t>
      </w:r>
      <w:r w:rsidRPr="008A6ADF">
        <w:rPr>
          <w:i/>
        </w:rPr>
        <w:t xml:space="preserve">International Tax Reform—Pillar Two Model Rules </w:t>
      </w:r>
      <w:r w:rsidRPr="00BF542F">
        <w:rPr>
          <w:iCs/>
        </w:rPr>
        <w:t>(Amendments to IAS 12)</w:t>
      </w:r>
      <w:r w:rsidRPr="002A6880">
        <w:t xml:space="preserve"> by the International Accounting Standards Board (IASB) in </w:t>
      </w:r>
      <w:r>
        <w:t>May 2023</w:t>
      </w:r>
      <w:r w:rsidRPr="002A6880">
        <w:t>.</w:t>
      </w:r>
    </w:p>
    <w:p w14:paraId="1397697F" w14:textId="4A4A57DB" w:rsidR="00A90A3D" w:rsidRDefault="00A90A3D" w:rsidP="00A90A3D">
      <w:pPr>
        <w:pStyle w:val="Heading3"/>
      </w:pPr>
      <w:r>
        <w:t>Human Rights Implications</w:t>
      </w:r>
    </w:p>
    <w:p w14:paraId="13976980"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14B6" w14:textId="77777777" w:rsidR="00870C00" w:rsidRDefault="00870C00">
      <w:r>
        <w:separator/>
      </w:r>
    </w:p>
  </w:endnote>
  <w:endnote w:type="continuationSeparator" w:id="0">
    <w:p w14:paraId="1E985D50" w14:textId="77777777" w:rsidR="00870C00" w:rsidRDefault="00870C00">
      <w:r>
        <w:continuationSeparator/>
      </w:r>
    </w:p>
  </w:endnote>
  <w:endnote w:type="continuationNotice" w:id="1">
    <w:p w14:paraId="04970643" w14:textId="77777777" w:rsidR="00870C00" w:rsidRDefault="00870C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7D398E42"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2416F">
      <w:rPr>
        <w:b/>
      </w:rPr>
      <w:t>20</w:t>
    </w:r>
    <w:r w:rsidR="00AB18E2">
      <w:rPr>
        <w:b/>
      </w:rPr>
      <w:t>23-</w:t>
    </w:r>
    <w:r w:rsidR="00D2416F">
      <w:rPr>
        <w:b/>
      </w:rPr>
      <w:t>2</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564C" w14:textId="77777777" w:rsidR="00870C00" w:rsidRDefault="00870C00">
      <w:r>
        <w:separator/>
      </w:r>
    </w:p>
  </w:footnote>
  <w:footnote w:type="continuationSeparator" w:id="0">
    <w:p w14:paraId="639EDB99" w14:textId="77777777" w:rsidR="00870C00" w:rsidRDefault="00870C00">
      <w:r>
        <w:continuationSeparator/>
      </w:r>
    </w:p>
  </w:footnote>
  <w:footnote w:type="continuationNotice" w:id="1">
    <w:p w14:paraId="2F1A105A" w14:textId="77777777" w:rsidR="00870C00" w:rsidRDefault="00870C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0"/>
  </w:num>
  <w:num w:numId="2" w16cid:durableId="1429426008">
    <w:abstractNumId w:val="17"/>
  </w:num>
  <w:num w:numId="3" w16cid:durableId="1559124823">
    <w:abstractNumId w:val="13"/>
  </w:num>
  <w:num w:numId="4" w16cid:durableId="142161562">
    <w:abstractNumId w:val="1"/>
  </w:num>
  <w:num w:numId="5" w16cid:durableId="458110039">
    <w:abstractNumId w:val="9"/>
  </w:num>
  <w:num w:numId="6" w16cid:durableId="750128220">
    <w:abstractNumId w:val="8"/>
  </w:num>
  <w:num w:numId="7" w16cid:durableId="511379662">
    <w:abstractNumId w:val="11"/>
  </w:num>
  <w:num w:numId="8" w16cid:durableId="372267131">
    <w:abstractNumId w:val="7"/>
  </w:num>
  <w:num w:numId="9" w16cid:durableId="97040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5"/>
  </w:num>
  <w:num w:numId="12" w16cid:durableId="1696614698">
    <w:abstractNumId w:val="14"/>
  </w:num>
  <w:num w:numId="13" w16cid:durableId="1462574602">
    <w:abstractNumId w:val="14"/>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19"/>
  </w:num>
  <w:num w:numId="15" w16cid:durableId="239173273">
    <w:abstractNumId w:val="5"/>
  </w:num>
  <w:num w:numId="16" w16cid:durableId="647250156">
    <w:abstractNumId w:val="16"/>
  </w:num>
  <w:num w:numId="17" w16cid:durableId="740257289">
    <w:abstractNumId w:val="6"/>
  </w:num>
  <w:num w:numId="18" w16cid:durableId="1654673979">
    <w:abstractNumId w:val="18"/>
  </w:num>
  <w:num w:numId="19" w16cid:durableId="1017077237">
    <w:abstractNumId w:val="4"/>
  </w:num>
  <w:num w:numId="20" w16cid:durableId="1059590281">
    <w:abstractNumId w:val="3"/>
  </w:num>
  <w:num w:numId="21" w16cid:durableId="109471013">
    <w:abstractNumId w:val="2"/>
  </w:num>
  <w:num w:numId="22" w16cid:durableId="2054308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tKwFAOLrHUctAAAA"/>
  </w:docVars>
  <w:rsids>
    <w:rsidRoot w:val="00D429C8"/>
    <w:rsid w:val="000018C8"/>
    <w:rsid w:val="00002AB8"/>
    <w:rsid w:val="00005371"/>
    <w:rsid w:val="0000582C"/>
    <w:rsid w:val="00005A5B"/>
    <w:rsid w:val="00006415"/>
    <w:rsid w:val="00007EF5"/>
    <w:rsid w:val="0001484E"/>
    <w:rsid w:val="000204A6"/>
    <w:rsid w:val="00021F54"/>
    <w:rsid w:val="00024D2A"/>
    <w:rsid w:val="00026782"/>
    <w:rsid w:val="00031DBC"/>
    <w:rsid w:val="00032964"/>
    <w:rsid w:val="000340ED"/>
    <w:rsid w:val="00040513"/>
    <w:rsid w:val="000408F8"/>
    <w:rsid w:val="000422D0"/>
    <w:rsid w:val="0004439B"/>
    <w:rsid w:val="00045495"/>
    <w:rsid w:val="00055755"/>
    <w:rsid w:val="00056DE8"/>
    <w:rsid w:val="000623C8"/>
    <w:rsid w:val="0006511D"/>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A30"/>
    <w:rsid w:val="000A47AF"/>
    <w:rsid w:val="000A4C11"/>
    <w:rsid w:val="000A55AB"/>
    <w:rsid w:val="000B07AF"/>
    <w:rsid w:val="000C7398"/>
    <w:rsid w:val="000D380C"/>
    <w:rsid w:val="000D41A4"/>
    <w:rsid w:val="000D428B"/>
    <w:rsid w:val="000D5A37"/>
    <w:rsid w:val="000E6E09"/>
    <w:rsid w:val="000E7F81"/>
    <w:rsid w:val="000F281A"/>
    <w:rsid w:val="000F2911"/>
    <w:rsid w:val="000F4C2A"/>
    <w:rsid w:val="001019DD"/>
    <w:rsid w:val="0010290A"/>
    <w:rsid w:val="00104195"/>
    <w:rsid w:val="001107F1"/>
    <w:rsid w:val="00111680"/>
    <w:rsid w:val="001218DE"/>
    <w:rsid w:val="00121C54"/>
    <w:rsid w:val="00125833"/>
    <w:rsid w:val="00126540"/>
    <w:rsid w:val="00127125"/>
    <w:rsid w:val="0012730F"/>
    <w:rsid w:val="001311D0"/>
    <w:rsid w:val="00131465"/>
    <w:rsid w:val="00131C3F"/>
    <w:rsid w:val="00141D3C"/>
    <w:rsid w:val="00143ED2"/>
    <w:rsid w:val="00144CC0"/>
    <w:rsid w:val="00145D0F"/>
    <w:rsid w:val="00150682"/>
    <w:rsid w:val="0015670A"/>
    <w:rsid w:val="001639EB"/>
    <w:rsid w:val="00164A51"/>
    <w:rsid w:val="0018198F"/>
    <w:rsid w:val="00183A24"/>
    <w:rsid w:val="00190DF0"/>
    <w:rsid w:val="001934F4"/>
    <w:rsid w:val="00195D9C"/>
    <w:rsid w:val="001A3A3D"/>
    <w:rsid w:val="001A4178"/>
    <w:rsid w:val="001A5D6F"/>
    <w:rsid w:val="001B14BE"/>
    <w:rsid w:val="001B490C"/>
    <w:rsid w:val="001B50B0"/>
    <w:rsid w:val="001B6F82"/>
    <w:rsid w:val="001C510E"/>
    <w:rsid w:val="001C7634"/>
    <w:rsid w:val="001D0117"/>
    <w:rsid w:val="001D11AD"/>
    <w:rsid w:val="001D1FFA"/>
    <w:rsid w:val="001D25AD"/>
    <w:rsid w:val="001D69FD"/>
    <w:rsid w:val="001D7DA0"/>
    <w:rsid w:val="001E0872"/>
    <w:rsid w:val="001E0EA2"/>
    <w:rsid w:val="001E26D3"/>
    <w:rsid w:val="001E2BEB"/>
    <w:rsid w:val="001E4107"/>
    <w:rsid w:val="001E50B3"/>
    <w:rsid w:val="001E5C5D"/>
    <w:rsid w:val="001F3ED4"/>
    <w:rsid w:val="001F648A"/>
    <w:rsid w:val="001F6C93"/>
    <w:rsid w:val="001F7111"/>
    <w:rsid w:val="00200047"/>
    <w:rsid w:val="0020218F"/>
    <w:rsid w:val="0020261B"/>
    <w:rsid w:val="00203B57"/>
    <w:rsid w:val="00205EE9"/>
    <w:rsid w:val="00206A47"/>
    <w:rsid w:val="00212B63"/>
    <w:rsid w:val="00214B06"/>
    <w:rsid w:val="00216D67"/>
    <w:rsid w:val="00220F1B"/>
    <w:rsid w:val="00223EED"/>
    <w:rsid w:val="00225101"/>
    <w:rsid w:val="00225C75"/>
    <w:rsid w:val="00226895"/>
    <w:rsid w:val="00226D88"/>
    <w:rsid w:val="00227FB6"/>
    <w:rsid w:val="00230E6D"/>
    <w:rsid w:val="0023104C"/>
    <w:rsid w:val="00234DBE"/>
    <w:rsid w:val="00236896"/>
    <w:rsid w:val="00243728"/>
    <w:rsid w:val="00247FC3"/>
    <w:rsid w:val="002600A4"/>
    <w:rsid w:val="00266D81"/>
    <w:rsid w:val="00267D86"/>
    <w:rsid w:val="002703C7"/>
    <w:rsid w:val="00272C26"/>
    <w:rsid w:val="00273574"/>
    <w:rsid w:val="00282A29"/>
    <w:rsid w:val="0028374D"/>
    <w:rsid w:val="00284D8D"/>
    <w:rsid w:val="002A46EC"/>
    <w:rsid w:val="002A4C26"/>
    <w:rsid w:val="002A6880"/>
    <w:rsid w:val="002B36F5"/>
    <w:rsid w:val="002C0FEE"/>
    <w:rsid w:val="002D4E3D"/>
    <w:rsid w:val="002D6726"/>
    <w:rsid w:val="002D6D7A"/>
    <w:rsid w:val="002E2390"/>
    <w:rsid w:val="002E6AE0"/>
    <w:rsid w:val="002F49F8"/>
    <w:rsid w:val="002F6757"/>
    <w:rsid w:val="002F724F"/>
    <w:rsid w:val="0030160B"/>
    <w:rsid w:val="0032467B"/>
    <w:rsid w:val="0033233B"/>
    <w:rsid w:val="003329B8"/>
    <w:rsid w:val="0033786B"/>
    <w:rsid w:val="0034440A"/>
    <w:rsid w:val="00345A43"/>
    <w:rsid w:val="0034635D"/>
    <w:rsid w:val="003469FC"/>
    <w:rsid w:val="00347521"/>
    <w:rsid w:val="00352568"/>
    <w:rsid w:val="00352D10"/>
    <w:rsid w:val="00357735"/>
    <w:rsid w:val="00377953"/>
    <w:rsid w:val="00384832"/>
    <w:rsid w:val="00384DE0"/>
    <w:rsid w:val="00385E62"/>
    <w:rsid w:val="0039164A"/>
    <w:rsid w:val="00391989"/>
    <w:rsid w:val="00391DC5"/>
    <w:rsid w:val="003959F6"/>
    <w:rsid w:val="00396BCD"/>
    <w:rsid w:val="003975D1"/>
    <w:rsid w:val="00397D98"/>
    <w:rsid w:val="003A09B8"/>
    <w:rsid w:val="003A1E87"/>
    <w:rsid w:val="003A2645"/>
    <w:rsid w:val="003A5EC1"/>
    <w:rsid w:val="003B4FF3"/>
    <w:rsid w:val="003C1874"/>
    <w:rsid w:val="003C701F"/>
    <w:rsid w:val="003C7139"/>
    <w:rsid w:val="003D1F98"/>
    <w:rsid w:val="003D3301"/>
    <w:rsid w:val="003E05BE"/>
    <w:rsid w:val="003E145B"/>
    <w:rsid w:val="003E5E16"/>
    <w:rsid w:val="003F01EE"/>
    <w:rsid w:val="003F02D6"/>
    <w:rsid w:val="003F1B8F"/>
    <w:rsid w:val="003F5B8A"/>
    <w:rsid w:val="00400192"/>
    <w:rsid w:val="00402FB3"/>
    <w:rsid w:val="0041172E"/>
    <w:rsid w:val="0041320B"/>
    <w:rsid w:val="00413230"/>
    <w:rsid w:val="00413838"/>
    <w:rsid w:val="00413F93"/>
    <w:rsid w:val="00414BC3"/>
    <w:rsid w:val="00416FE6"/>
    <w:rsid w:val="004179BF"/>
    <w:rsid w:val="004209B2"/>
    <w:rsid w:val="0043213F"/>
    <w:rsid w:val="00434707"/>
    <w:rsid w:val="00434740"/>
    <w:rsid w:val="00442527"/>
    <w:rsid w:val="00445C5B"/>
    <w:rsid w:val="0044721A"/>
    <w:rsid w:val="00457DCC"/>
    <w:rsid w:val="004605B1"/>
    <w:rsid w:val="004607FB"/>
    <w:rsid w:val="00462D2E"/>
    <w:rsid w:val="0046675A"/>
    <w:rsid w:val="00466C21"/>
    <w:rsid w:val="00467D03"/>
    <w:rsid w:val="004772DF"/>
    <w:rsid w:val="0047780E"/>
    <w:rsid w:val="00484224"/>
    <w:rsid w:val="00493DD4"/>
    <w:rsid w:val="004A25C5"/>
    <w:rsid w:val="004A4C97"/>
    <w:rsid w:val="004A793F"/>
    <w:rsid w:val="004B136A"/>
    <w:rsid w:val="004B1D54"/>
    <w:rsid w:val="004C0714"/>
    <w:rsid w:val="004C1746"/>
    <w:rsid w:val="004C290D"/>
    <w:rsid w:val="004C3B43"/>
    <w:rsid w:val="004C62D2"/>
    <w:rsid w:val="004D1170"/>
    <w:rsid w:val="004D2BDB"/>
    <w:rsid w:val="004E696F"/>
    <w:rsid w:val="004F063D"/>
    <w:rsid w:val="004F5926"/>
    <w:rsid w:val="005002D9"/>
    <w:rsid w:val="00512D58"/>
    <w:rsid w:val="00512F90"/>
    <w:rsid w:val="00520E9E"/>
    <w:rsid w:val="00526DA0"/>
    <w:rsid w:val="00532273"/>
    <w:rsid w:val="005324F0"/>
    <w:rsid w:val="0053377E"/>
    <w:rsid w:val="005352D8"/>
    <w:rsid w:val="00540A97"/>
    <w:rsid w:val="00540E70"/>
    <w:rsid w:val="0054748E"/>
    <w:rsid w:val="00551058"/>
    <w:rsid w:val="0055197A"/>
    <w:rsid w:val="00553133"/>
    <w:rsid w:val="00556F21"/>
    <w:rsid w:val="00557E5F"/>
    <w:rsid w:val="00565477"/>
    <w:rsid w:val="00565A4C"/>
    <w:rsid w:val="00570C59"/>
    <w:rsid w:val="0057408A"/>
    <w:rsid w:val="005845A2"/>
    <w:rsid w:val="005856F5"/>
    <w:rsid w:val="005874FB"/>
    <w:rsid w:val="00590D31"/>
    <w:rsid w:val="00592267"/>
    <w:rsid w:val="00596B1D"/>
    <w:rsid w:val="00597161"/>
    <w:rsid w:val="005A0715"/>
    <w:rsid w:val="005A5A29"/>
    <w:rsid w:val="005B0AB4"/>
    <w:rsid w:val="005B238F"/>
    <w:rsid w:val="005B39FC"/>
    <w:rsid w:val="005B7BB7"/>
    <w:rsid w:val="005D5F81"/>
    <w:rsid w:val="005E2750"/>
    <w:rsid w:val="005E2BBE"/>
    <w:rsid w:val="005E4C0C"/>
    <w:rsid w:val="005F0581"/>
    <w:rsid w:val="005F1173"/>
    <w:rsid w:val="005F14BD"/>
    <w:rsid w:val="005F3AA4"/>
    <w:rsid w:val="005F4451"/>
    <w:rsid w:val="005F75FF"/>
    <w:rsid w:val="006104FA"/>
    <w:rsid w:val="0061517C"/>
    <w:rsid w:val="006163AE"/>
    <w:rsid w:val="00616B47"/>
    <w:rsid w:val="00620A91"/>
    <w:rsid w:val="00626AC2"/>
    <w:rsid w:val="0063194F"/>
    <w:rsid w:val="00632D20"/>
    <w:rsid w:val="00635FA2"/>
    <w:rsid w:val="0064180B"/>
    <w:rsid w:val="0064180C"/>
    <w:rsid w:val="00646823"/>
    <w:rsid w:val="006575CF"/>
    <w:rsid w:val="00661038"/>
    <w:rsid w:val="006628B2"/>
    <w:rsid w:val="006638BF"/>
    <w:rsid w:val="00664EE6"/>
    <w:rsid w:val="00666164"/>
    <w:rsid w:val="00667DFB"/>
    <w:rsid w:val="0067073C"/>
    <w:rsid w:val="0067195B"/>
    <w:rsid w:val="00672100"/>
    <w:rsid w:val="006776BD"/>
    <w:rsid w:val="00677EC0"/>
    <w:rsid w:val="00684668"/>
    <w:rsid w:val="00685257"/>
    <w:rsid w:val="00686B7C"/>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D4CF4"/>
    <w:rsid w:val="006D5858"/>
    <w:rsid w:val="006D6B35"/>
    <w:rsid w:val="006E776F"/>
    <w:rsid w:val="006F217C"/>
    <w:rsid w:val="006F3F09"/>
    <w:rsid w:val="006F422A"/>
    <w:rsid w:val="006F46DE"/>
    <w:rsid w:val="00700221"/>
    <w:rsid w:val="0070090E"/>
    <w:rsid w:val="0070643A"/>
    <w:rsid w:val="00706D55"/>
    <w:rsid w:val="00711664"/>
    <w:rsid w:val="00717627"/>
    <w:rsid w:val="007178F3"/>
    <w:rsid w:val="00720919"/>
    <w:rsid w:val="00720A2E"/>
    <w:rsid w:val="00722CEF"/>
    <w:rsid w:val="007231BD"/>
    <w:rsid w:val="007261ED"/>
    <w:rsid w:val="007303BE"/>
    <w:rsid w:val="00731975"/>
    <w:rsid w:val="007322D6"/>
    <w:rsid w:val="007328C0"/>
    <w:rsid w:val="00735E30"/>
    <w:rsid w:val="00741AD2"/>
    <w:rsid w:val="00743146"/>
    <w:rsid w:val="00753A73"/>
    <w:rsid w:val="00753C86"/>
    <w:rsid w:val="00755B4C"/>
    <w:rsid w:val="00755D8C"/>
    <w:rsid w:val="00757555"/>
    <w:rsid w:val="007676C0"/>
    <w:rsid w:val="007729D8"/>
    <w:rsid w:val="00772FD5"/>
    <w:rsid w:val="00774277"/>
    <w:rsid w:val="00781C08"/>
    <w:rsid w:val="00783BEC"/>
    <w:rsid w:val="00785522"/>
    <w:rsid w:val="00787825"/>
    <w:rsid w:val="00791279"/>
    <w:rsid w:val="00791336"/>
    <w:rsid w:val="00794926"/>
    <w:rsid w:val="007A487E"/>
    <w:rsid w:val="007B02E3"/>
    <w:rsid w:val="007B3132"/>
    <w:rsid w:val="007B323F"/>
    <w:rsid w:val="007B4653"/>
    <w:rsid w:val="007B539D"/>
    <w:rsid w:val="007C13D0"/>
    <w:rsid w:val="007C1E39"/>
    <w:rsid w:val="007C1FC7"/>
    <w:rsid w:val="007C2A76"/>
    <w:rsid w:val="007C2B04"/>
    <w:rsid w:val="007D1E4B"/>
    <w:rsid w:val="007D22EA"/>
    <w:rsid w:val="007D6D1B"/>
    <w:rsid w:val="007E548A"/>
    <w:rsid w:val="007F4E20"/>
    <w:rsid w:val="007F559F"/>
    <w:rsid w:val="00802C2B"/>
    <w:rsid w:val="00813CFA"/>
    <w:rsid w:val="00822659"/>
    <w:rsid w:val="008261A7"/>
    <w:rsid w:val="0082668C"/>
    <w:rsid w:val="00826FE1"/>
    <w:rsid w:val="00830F6B"/>
    <w:rsid w:val="008343DD"/>
    <w:rsid w:val="00835C4B"/>
    <w:rsid w:val="008377FF"/>
    <w:rsid w:val="00840DF9"/>
    <w:rsid w:val="00840E63"/>
    <w:rsid w:val="008412BD"/>
    <w:rsid w:val="00843BF6"/>
    <w:rsid w:val="0084574B"/>
    <w:rsid w:val="00846DF4"/>
    <w:rsid w:val="008509A0"/>
    <w:rsid w:val="008535B7"/>
    <w:rsid w:val="00854BCD"/>
    <w:rsid w:val="00855B93"/>
    <w:rsid w:val="00857B51"/>
    <w:rsid w:val="00857D06"/>
    <w:rsid w:val="00861618"/>
    <w:rsid w:val="00866B9F"/>
    <w:rsid w:val="00870C00"/>
    <w:rsid w:val="00874B2D"/>
    <w:rsid w:val="00882101"/>
    <w:rsid w:val="008824C2"/>
    <w:rsid w:val="00891737"/>
    <w:rsid w:val="00896AE0"/>
    <w:rsid w:val="008A471F"/>
    <w:rsid w:val="008A6ADF"/>
    <w:rsid w:val="008B63BA"/>
    <w:rsid w:val="008B66C2"/>
    <w:rsid w:val="008C1BD9"/>
    <w:rsid w:val="008C1FEB"/>
    <w:rsid w:val="008C5B82"/>
    <w:rsid w:val="008C70DC"/>
    <w:rsid w:val="008C7E56"/>
    <w:rsid w:val="008D3E1A"/>
    <w:rsid w:val="008E0FA7"/>
    <w:rsid w:val="008E4294"/>
    <w:rsid w:val="008E4AEA"/>
    <w:rsid w:val="008E704E"/>
    <w:rsid w:val="008F344A"/>
    <w:rsid w:val="008F53E7"/>
    <w:rsid w:val="008F6E8E"/>
    <w:rsid w:val="008F73FD"/>
    <w:rsid w:val="00902A7E"/>
    <w:rsid w:val="00905ED9"/>
    <w:rsid w:val="00906821"/>
    <w:rsid w:val="0090761D"/>
    <w:rsid w:val="00907DFB"/>
    <w:rsid w:val="00912BD6"/>
    <w:rsid w:val="00913B8E"/>
    <w:rsid w:val="009143FD"/>
    <w:rsid w:val="00916B64"/>
    <w:rsid w:val="00917770"/>
    <w:rsid w:val="009178BF"/>
    <w:rsid w:val="00920660"/>
    <w:rsid w:val="00930915"/>
    <w:rsid w:val="0093220C"/>
    <w:rsid w:val="00934282"/>
    <w:rsid w:val="00934970"/>
    <w:rsid w:val="00936AD7"/>
    <w:rsid w:val="009476A5"/>
    <w:rsid w:val="00956812"/>
    <w:rsid w:val="00957D59"/>
    <w:rsid w:val="00963C4D"/>
    <w:rsid w:val="009707EC"/>
    <w:rsid w:val="00970EDD"/>
    <w:rsid w:val="00972EC0"/>
    <w:rsid w:val="009839D3"/>
    <w:rsid w:val="00985250"/>
    <w:rsid w:val="00995438"/>
    <w:rsid w:val="00997560"/>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451E"/>
    <w:rsid w:val="009F2CD1"/>
    <w:rsid w:val="009F7265"/>
    <w:rsid w:val="00A019FC"/>
    <w:rsid w:val="00A02299"/>
    <w:rsid w:val="00A02CA7"/>
    <w:rsid w:val="00A033D0"/>
    <w:rsid w:val="00A043F0"/>
    <w:rsid w:val="00A04C1F"/>
    <w:rsid w:val="00A07B58"/>
    <w:rsid w:val="00A108EA"/>
    <w:rsid w:val="00A12B2F"/>
    <w:rsid w:val="00A13412"/>
    <w:rsid w:val="00A14C37"/>
    <w:rsid w:val="00A2422B"/>
    <w:rsid w:val="00A24F6F"/>
    <w:rsid w:val="00A33757"/>
    <w:rsid w:val="00A41043"/>
    <w:rsid w:val="00A41EF3"/>
    <w:rsid w:val="00A43C4F"/>
    <w:rsid w:val="00A46379"/>
    <w:rsid w:val="00A479AE"/>
    <w:rsid w:val="00A531DE"/>
    <w:rsid w:val="00A56177"/>
    <w:rsid w:val="00A61CB2"/>
    <w:rsid w:val="00A63682"/>
    <w:rsid w:val="00A802A3"/>
    <w:rsid w:val="00A8344C"/>
    <w:rsid w:val="00A90590"/>
    <w:rsid w:val="00A90A3D"/>
    <w:rsid w:val="00A92FFA"/>
    <w:rsid w:val="00A9484D"/>
    <w:rsid w:val="00A94F2A"/>
    <w:rsid w:val="00A97AA9"/>
    <w:rsid w:val="00A97B77"/>
    <w:rsid w:val="00A97E68"/>
    <w:rsid w:val="00AA0395"/>
    <w:rsid w:val="00AB18E2"/>
    <w:rsid w:val="00AB2137"/>
    <w:rsid w:val="00AB61AB"/>
    <w:rsid w:val="00AB7BA8"/>
    <w:rsid w:val="00AC2063"/>
    <w:rsid w:val="00AC2CA9"/>
    <w:rsid w:val="00AD44F9"/>
    <w:rsid w:val="00AE1F8A"/>
    <w:rsid w:val="00AF02A8"/>
    <w:rsid w:val="00AF3C4B"/>
    <w:rsid w:val="00AF61C3"/>
    <w:rsid w:val="00AF7057"/>
    <w:rsid w:val="00B00C1B"/>
    <w:rsid w:val="00B02951"/>
    <w:rsid w:val="00B06683"/>
    <w:rsid w:val="00B10AB1"/>
    <w:rsid w:val="00B127B5"/>
    <w:rsid w:val="00B13409"/>
    <w:rsid w:val="00B223A3"/>
    <w:rsid w:val="00B238A4"/>
    <w:rsid w:val="00B259A2"/>
    <w:rsid w:val="00B44EFA"/>
    <w:rsid w:val="00B50A3C"/>
    <w:rsid w:val="00B5196B"/>
    <w:rsid w:val="00B528E1"/>
    <w:rsid w:val="00B53860"/>
    <w:rsid w:val="00B54797"/>
    <w:rsid w:val="00B67434"/>
    <w:rsid w:val="00B716EA"/>
    <w:rsid w:val="00B72216"/>
    <w:rsid w:val="00B805A9"/>
    <w:rsid w:val="00B81972"/>
    <w:rsid w:val="00B842DF"/>
    <w:rsid w:val="00B85DBC"/>
    <w:rsid w:val="00B93CE4"/>
    <w:rsid w:val="00BA44B8"/>
    <w:rsid w:val="00BA5153"/>
    <w:rsid w:val="00BB2459"/>
    <w:rsid w:val="00BB74CE"/>
    <w:rsid w:val="00BD0B5B"/>
    <w:rsid w:val="00BE1DD0"/>
    <w:rsid w:val="00BE2C0C"/>
    <w:rsid w:val="00BE6290"/>
    <w:rsid w:val="00BE66D4"/>
    <w:rsid w:val="00BF542F"/>
    <w:rsid w:val="00C04EB7"/>
    <w:rsid w:val="00C05016"/>
    <w:rsid w:val="00C05354"/>
    <w:rsid w:val="00C06546"/>
    <w:rsid w:val="00C068D8"/>
    <w:rsid w:val="00C119CC"/>
    <w:rsid w:val="00C1395D"/>
    <w:rsid w:val="00C14CCB"/>
    <w:rsid w:val="00C21F45"/>
    <w:rsid w:val="00C2384B"/>
    <w:rsid w:val="00C23936"/>
    <w:rsid w:val="00C313B4"/>
    <w:rsid w:val="00C32AEE"/>
    <w:rsid w:val="00C34A0B"/>
    <w:rsid w:val="00C35A20"/>
    <w:rsid w:val="00C36497"/>
    <w:rsid w:val="00C43F58"/>
    <w:rsid w:val="00C50B67"/>
    <w:rsid w:val="00C546C0"/>
    <w:rsid w:val="00C55425"/>
    <w:rsid w:val="00C6133A"/>
    <w:rsid w:val="00C61FC6"/>
    <w:rsid w:val="00C61FC9"/>
    <w:rsid w:val="00C634BB"/>
    <w:rsid w:val="00C63734"/>
    <w:rsid w:val="00C661A8"/>
    <w:rsid w:val="00C742AA"/>
    <w:rsid w:val="00C744B3"/>
    <w:rsid w:val="00C758E7"/>
    <w:rsid w:val="00C80CE0"/>
    <w:rsid w:val="00C813F4"/>
    <w:rsid w:val="00C82A8C"/>
    <w:rsid w:val="00C92E61"/>
    <w:rsid w:val="00C93AFB"/>
    <w:rsid w:val="00CA1593"/>
    <w:rsid w:val="00CA20FA"/>
    <w:rsid w:val="00CA401C"/>
    <w:rsid w:val="00CA518E"/>
    <w:rsid w:val="00CB49A1"/>
    <w:rsid w:val="00CB74B0"/>
    <w:rsid w:val="00CC546B"/>
    <w:rsid w:val="00CC779C"/>
    <w:rsid w:val="00CD0A54"/>
    <w:rsid w:val="00CD1AB2"/>
    <w:rsid w:val="00CD50A4"/>
    <w:rsid w:val="00CE070C"/>
    <w:rsid w:val="00CF19C5"/>
    <w:rsid w:val="00CF3D4E"/>
    <w:rsid w:val="00CF4D2F"/>
    <w:rsid w:val="00CF72F6"/>
    <w:rsid w:val="00D02AD3"/>
    <w:rsid w:val="00D03547"/>
    <w:rsid w:val="00D03A28"/>
    <w:rsid w:val="00D04F30"/>
    <w:rsid w:val="00D06196"/>
    <w:rsid w:val="00D10418"/>
    <w:rsid w:val="00D15C0A"/>
    <w:rsid w:val="00D17CF4"/>
    <w:rsid w:val="00D2416F"/>
    <w:rsid w:val="00D2418C"/>
    <w:rsid w:val="00D24634"/>
    <w:rsid w:val="00D24B3E"/>
    <w:rsid w:val="00D27169"/>
    <w:rsid w:val="00D27E14"/>
    <w:rsid w:val="00D3041D"/>
    <w:rsid w:val="00D32242"/>
    <w:rsid w:val="00D33B89"/>
    <w:rsid w:val="00D40502"/>
    <w:rsid w:val="00D429C8"/>
    <w:rsid w:val="00D43163"/>
    <w:rsid w:val="00D511B3"/>
    <w:rsid w:val="00D5323B"/>
    <w:rsid w:val="00D5363A"/>
    <w:rsid w:val="00D67C43"/>
    <w:rsid w:val="00D71916"/>
    <w:rsid w:val="00D71B35"/>
    <w:rsid w:val="00D74C19"/>
    <w:rsid w:val="00D81427"/>
    <w:rsid w:val="00D82053"/>
    <w:rsid w:val="00D850DE"/>
    <w:rsid w:val="00D930DE"/>
    <w:rsid w:val="00D948E2"/>
    <w:rsid w:val="00D96A9D"/>
    <w:rsid w:val="00DA2E07"/>
    <w:rsid w:val="00DA32D2"/>
    <w:rsid w:val="00DA505F"/>
    <w:rsid w:val="00DB5798"/>
    <w:rsid w:val="00DC2925"/>
    <w:rsid w:val="00DC552A"/>
    <w:rsid w:val="00DD1167"/>
    <w:rsid w:val="00DD2F16"/>
    <w:rsid w:val="00DD3B65"/>
    <w:rsid w:val="00DD3FDF"/>
    <w:rsid w:val="00DD7166"/>
    <w:rsid w:val="00DE2BF2"/>
    <w:rsid w:val="00DE2EAB"/>
    <w:rsid w:val="00DF183B"/>
    <w:rsid w:val="00DF23D7"/>
    <w:rsid w:val="00E00D64"/>
    <w:rsid w:val="00E030B5"/>
    <w:rsid w:val="00E04398"/>
    <w:rsid w:val="00E079C1"/>
    <w:rsid w:val="00E113C4"/>
    <w:rsid w:val="00E11F07"/>
    <w:rsid w:val="00E12D6E"/>
    <w:rsid w:val="00E1658F"/>
    <w:rsid w:val="00E24278"/>
    <w:rsid w:val="00E2740C"/>
    <w:rsid w:val="00E2749C"/>
    <w:rsid w:val="00E332B9"/>
    <w:rsid w:val="00E34411"/>
    <w:rsid w:val="00E401CE"/>
    <w:rsid w:val="00E41A44"/>
    <w:rsid w:val="00E41E4F"/>
    <w:rsid w:val="00E443CF"/>
    <w:rsid w:val="00E4487C"/>
    <w:rsid w:val="00E463EF"/>
    <w:rsid w:val="00E574C8"/>
    <w:rsid w:val="00E770E5"/>
    <w:rsid w:val="00E7777B"/>
    <w:rsid w:val="00E8259F"/>
    <w:rsid w:val="00E84132"/>
    <w:rsid w:val="00E90C7E"/>
    <w:rsid w:val="00E928A7"/>
    <w:rsid w:val="00E938FD"/>
    <w:rsid w:val="00EA0A87"/>
    <w:rsid w:val="00EA0CF7"/>
    <w:rsid w:val="00EA56FD"/>
    <w:rsid w:val="00EA6908"/>
    <w:rsid w:val="00EB406E"/>
    <w:rsid w:val="00EB7E6E"/>
    <w:rsid w:val="00EC1092"/>
    <w:rsid w:val="00EC3CE5"/>
    <w:rsid w:val="00ED03F7"/>
    <w:rsid w:val="00ED08B8"/>
    <w:rsid w:val="00ED5250"/>
    <w:rsid w:val="00EE1FA6"/>
    <w:rsid w:val="00EF1E68"/>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52782"/>
    <w:rsid w:val="00F5288D"/>
    <w:rsid w:val="00F52CE1"/>
    <w:rsid w:val="00F61BCB"/>
    <w:rsid w:val="00F62F5C"/>
    <w:rsid w:val="00F63F3B"/>
    <w:rsid w:val="00F657DB"/>
    <w:rsid w:val="00F71510"/>
    <w:rsid w:val="00F73E27"/>
    <w:rsid w:val="00F7512E"/>
    <w:rsid w:val="00F81864"/>
    <w:rsid w:val="00F81F26"/>
    <w:rsid w:val="00F8246A"/>
    <w:rsid w:val="00F82A0B"/>
    <w:rsid w:val="00F82FF2"/>
    <w:rsid w:val="00F93501"/>
    <w:rsid w:val="00F93520"/>
    <w:rsid w:val="00FA30CB"/>
    <w:rsid w:val="00FA59D7"/>
    <w:rsid w:val="00FA7C5C"/>
    <w:rsid w:val="00FB0481"/>
    <w:rsid w:val="00FB0CFC"/>
    <w:rsid w:val="00FB158E"/>
    <w:rsid w:val="00FB3DED"/>
    <w:rsid w:val="00FB455A"/>
    <w:rsid w:val="00FB46AD"/>
    <w:rsid w:val="00FB4D41"/>
    <w:rsid w:val="00FB4E69"/>
    <w:rsid w:val="00FC6232"/>
    <w:rsid w:val="00FD4C0C"/>
    <w:rsid w:val="00FD741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1087</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AASB2022-6_ES_12-22</vt:lpstr>
    </vt:vector>
  </TitlesOfParts>
  <Company>AASB</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AASB2023-2_ES_06-23</dc:title>
  <dc:subject/>
  <dc:creator>.</dc:creator>
  <cp:keywords/>
  <cp:lastModifiedBy>Kimberley Carney</cp:lastModifiedBy>
  <cp:revision>46</cp:revision>
  <cp:lastPrinted>2022-12-20T05:14:00Z</cp:lastPrinted>
  <dcterms:created xsi:type="dcterms:W3CDTF">2023-06-22T05:11:00Z</dcterms:created>
  <dcterms:modified xsi:type="dcterms:W3CDTF">2023-06-26T06:38:00Z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