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4112FDB" w14:textId="77777777" w:rsidTr="00A22E0D">
        <w:tc>
          <w:tcPr>
            <w:tcW w:w="4661" w:type="dxa"/>
          </w:tcPr>
          <w:p w14:paraId="36F1D9BE" w14:textId="77777777" w:rsidR="00090A6F" w:rsidRPr="0000292B" w:rsidRDefault="00364B30">
            <w:pPr>
              <w:pStyle w:val="CoverStandard"/>
            </w:pPr>
            <w:r>
              <w:t>AASB</w:t>
            </w:r>
            <w:r w:rsidR="00831497">
              <w:t xml:space="preserve"> Standard</w:t>
            </w:r>
          </w:p>
        </w:tc>
        <w:tc>
          <w:tcPr>
            <w:tcW w:w="4661" w:type="dxa"/>
          </w:tcPr>
          <w:p w14:paraId="773B2589" w14:textId="15329073" w:rsidR="00090A6F" w:rsidRPr="0000292B" w:rsidRDefault="00831497">
            <w:pPr>
              <w:pStyle w:val="CoverNumber"/>
            </w:pPr>
            <w:r>
              <w:t>AASB</w:t>
            </w:r>
            <w:r w:rsidR="00090A6F" w:rsidRPr="0000292B">
              <w:t xml:space="preserve"> </w:t>
            </w:r>
            <w:bookmarkStart w:id="0" w:name="DocNo"/>
            <w:sdt>
              <w:sdtPr>
                <w:id w:val="-1615288477"/>
                <w:lock w:val="contentLocked"/>
                <w:placeholder>
                  <w:docPart w:val="DefaultPlaceholder_-1854013440"/>
                </w:placeholder>
                <w:group/>
              </w:sdtPr>
              <w:sdtEndPr/>
              <w:sdtContent>
                <w:r w:rsidR="00EE40B6">
                  <w:t>2023-</w:t>
                </w:r>
                <w:r w:rsidR="004800DC">
                  <w:t>2</w:t>
                </w:r>
                <w:bookmarkEnd w:id="0"/>
              </w:sdtContent>
            </w:sdt>
          </w:p>
          <w:bookmarkStart w:id="1" w:name="DocDate"/>
          <w:p w14:paraId="331BFEF8" w14:textId="7F137B25" w:rsidR="00090A6F" w:rsidRPr="0000292B" w:rsidRDefault="003050FF">
            <w:pPr>
              <w:pStyle w:val="CoverDate"/>
            </w:pPr>
            <w:sdt>
              <w:sdtPr>
                <w:id w:val="1389377905"/>
                <w:lock w:val="contentLocked"/>
                <w:placeholder>
                  <w:docPart w:val="DefaultPlaceholder_-1854013440"/>
                </w:placeholder>
                <w:group/>
              </w:sdtPr>
              <w:sdtEndPr/>
              <w:sdtContent>
                <w:r w:rsidR="004800DC">
                  <w:t>June</w:t>
                </w:r>
                <w:bookmarkEnd w:id="1"/>
              </w:sdtContent>
            </w:sdt>
            <w:r w:rsidR="00EE40B6" w:rsidRPr="005670FE">
              <w:t xml:space="preserve"> </w:t>
            </w:r>
            <w:r w:rsidR="005670FE">
              <w:t>2023</w:t>
            </w:r>
          </w:p>
        </w:tc>
      </w:tr>
    </w:tbl>
    <w:bookmarkStart w:id="2" w:name="DocTitle" w:displacedByCustomXml="next"/>
    <w:sdt>
      <w:sdtPr>
        <w:id w:val="-1251352112"/>
        <w:lock w:val="contentLocked"/>
        <w:placeholder>
          <w:docPart w:val="DefaultPlaceholder_-1854013440"/>
        </w:placeholder>
        <w:group/>
      </w:sdtPr>
      <w:sdtEndPr/>
      <w:sdtContent>
        <w:p w14:paraId="3265D481" w14:textId="0426AC85" w:rsidR="00090A6F" w:rsidRPr="0000292B" w:rsidRDefault="00EE40B6" w:rsidP="007476CD">
          <w:pPr>
            <w:pStyle w:val="CoverTitle"/>
            <w:jc w:val="left"/>
          </w:pPr>
          <w:r>
            <w:t>Amendments to Australian Accounting Standards – International Tax Reform – Pillar Two Model Rules</w:t>
          </w:r>
        </w:p>
        <w:bookmarkEnd w:id="2" w:displacedByCustomXml="next"/>
      </w:sdtContent>
    </w:sdt>
    <w:p w14:paraId="07961A94" w14:textId="77777777" w:rsidR="00C5022C" w:rsidRPr="00C5022C" w:rsidRDefault="002B7803" w:rsidP="00C5022C">
      <w:pPr>
        <w:pStyle w:val="CoverSubtitle"/>
      </w:pPr>
      <w:r>
        <w:t>[</w:t>
      </w:r>
      <w:bookmarkStart w:id="3" w:name="AmendingNos"/>
      <w:r w:rsidR="00EE40B6">
        <w:t>AASB 112</w:t>
      </w:r>
      <w:bookmarkEnd w:id="3"/>
      <w:r>
        <w:t>]</w:t>
      </w:r>
    </w:p>
    <w:p w14:paraId="24865EB5" w14:textId="77777777" w:rsidR="00737714" w:rsidRPr="0000292B" w:rsidRDefault="00737714" w:rsidP="00737714"/>
    <w:p w14:paraId="51EC0F68" w14:textId="77777777" w:rsidR="00090A6F" w:rsidRPr="0000292B" w:rsidRDefault="008B643A" w:rsidP="007476CD">
      <w:pPr>
        <w:spacing w:before="7800"/>
        <w:sectPr w:rsidR="00090A6F" w:rsidRPr="0000292B" w:rsidSect="00D74C6A">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aperSrc w:first="7" w:other="7"/>
          <w:cols w:space="720"/>
        </w:sectPr>
      </w:pPr>
      <w:r>
        <w:rPr>
          <w:noProof/>
          <w:lang w:eastAsia="en-AU"/>
        </w:rPr>
        <w:drawing>
          <wp:inline distT="0" distB="0" distL="0" distR="0" wp14:anchorId="2C481712" wp14:editId="6C5FB9DF">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6817F7D3"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7A8B3AD5"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4A5CEDC5" w14:textId="77777777" w:rsidR="00895809" w:rsidRPr="0000292B" w:rsidRDefault="00895809" w:rsidP="00895809">
      <w:r w:rsidRPr="0000292B">
        <w:t>Australian Accounting Standards Board</w:t>
      </w:r>
    </w:p>
    <w:p w14:paraId="6A1A8A16" w14:textId="77777777" w:rsidR="00895809" w:rsidRPr="0000292B" w:rsidRDefault="00895809" w:rsidP="00895809">
      <w:r>
        <w:t>PO Box 204</w:t>
      </w:r>
    </w:p>
    <w:p w14:paraId="173060EF" w14:textId="77777777" w:rsidR="00895809" w:rsidRPr="0000292B" w:rsidRDefault="00895809" w:rsidP="00895809">
      <w:r>
        <w:t>Collins Street West</w:t>
      </w:r>
    </w:p>
    <w:p w14:paraId="36037CBA" w14:textId="77777777" w:rsidR="00895809" w:rsidRPr="0000292B" w:rsidRDefault="00895809" w:rsidP="00895809">
      <w:r>
        <w:t>Victoria   8007</w:t>
      </w:r>
    </w:p>
    <w:p w14:paraId="3ED4C57C" w14:textId="77777777" w:rsidR="00895809" w:rsidRDefault="00895809" w:rsidP="00895809">
      <w:pPr>
        <w:pStyle w:val="CoverContact"/>
        <w:spacing w:after="200"/>
      </w:pPr>
      <w:r w:rsidRPr="0000292B">
        <w:t>AUSTRALIA</w:t>
      </w:r>
    </w:p>
    <w:p w14:paraId="03A8FEB1" w14:textId="77777777" w:rsidR="00737714" w:rsidRDefault="0034243B" w:rsidP="00B82F15">
      <w:pPr>
        <w:pStyle w:val="CoverContact"/>
      </w:pPr>
      <w:r>
        <w:t>Phone:</w:t>
      </w:r>
      <w:r>
        <w:tab/>
        <w:t>(03) 9617 7600</w:t>
      </w:r>
    </w:p>
    <w:p w14:paraId="053F7B36" w14:textId="77777777" w:rsidR="00E96D45" w:rsidRDefault="00DB00CD" w:rsidP="00DB00CD">
      <w:pPr>
        <w:pStyle w:val="CoverContact"/>
      </w:pPr>
      <w:r>
        <w:t>E-mail:</w:t>
      </w:r>
      <w:r>
        <w:tab/>
      </w:r>
      <w:r w:rsidR="0034243B">
        <w:t>standard</w:t>
      </w:r>
      <w:r>
        <w:t>@aasb.gov</w:t>
      </w:r>
      <w:r w:rsidRPr="00C5022C">
        <w:t>.au</w:t>
      </w:r>
    </w:p>
    <w:p w14:paraId="6F666EDA" w14:textId="77777777" w:rsidR="00E96D45" w:rsidRPr="00E96D45" w:rsidRDefault="00DB00CD" w:rsidP="00DB00CD">
      <w:pPr>
        <w:pStyle w:val="CoverContact"/>
        <w:spacing w:after="240"/>
      </w:pPr>
      <w:r>
        <w:t>Website:</w:t>
      </w:r>
      <w:r>
        <w:tab/>
        <w:t>www.aasb.gov.au</w:t>
      </w:r>
    </w:p>
    <w:p w14:paraId="47B78FCA" w14:textId="77777777" w:rsidR="00090A6F" w:rsidRPr="0000292B" w:rsidRDefault="00090A6F" w:rsidP="00F13C5A">
      <w:pPr>
        <w:pStyle w:val="Heading1"/>
      </w:pPr>
      <w:r w:rsidRPr="0000292B">
        <w:t xml:space="preserve">Other </w:t>
      </w:r>
      <w:r w:rsidR="005655CE" w:rsidRPr="0000292B">
        <w:t>enquiries</w:t>
      </w:r>
    </w:p>
    <w:p w14:paraId="6814161E"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65A15FA7" w14:textId="77777777" w:rsidR="00090A6F" w:rsidRPr="0000292B" w:rsidRDefault="00923261">
      <w:pPr>
        <w:pStyle w:val="CoverContact"/>
      </w:pPr>
      <w:r>
        <w:t>E-mail:</w:t>
      </w:r>
      <w:r>
        <w:tab/>
        <w:t>standard@aasb.gov</w:t>
      </w:r>
      <w:r w:rsidR="00090A6F" w:rsidRPr="0000292B">
        <w:t>.au</w:t>
      </w:r>
    </w:p>
    <w:p w14:paraId="7ADF72F0" w14:textId="77777777" w:rsidR="00276BC5" w:rsidRDefault="00276BC5" w:rsidP="00895809">
      <w:pPr>
        <w:pStyle w:val="NoNumPlain1"/>
        <w:spacing w:before="6240"/>
      </w:pPr>
      <w:r>
        <w:t>COPYRIGHT</w:t>
      </w:r>
    </w:p>
    <w:p w14:paraId="69496941" w14:textId="77777777" w:rsidR="00276BC5" w:rsidRDefault="00276BC5" w:rsidP="00276BC5">
      <w:pPr>
        <w:pStyle w:val="NoNumPlain1"/>
      </w:pPr>
      <w:r>
        <w:t xml:space="preserve">© Commonwealth of Australia </w:t>
      </w:r>
      <w:bookmarkStart w:id="4" w:name="Year"/>
      <w:r w:rsidR="00EE40B6">
        <w:t>2023</w:t>
      </w:r>
      <w:bookmarkEnd w:id="4"/>
    </w:p>
    <w:p w14:paraId="4057DD6C" w14:textId="745C77BB"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EE40B6">
        <w:t xml:space="preserve">Managing </w:t>
      </w:r>
      <w:r w:rsidRPr="00DE4E67">
        <w:t xml:space="preserve">Director, Australian Accounting Standards Board, </w:t>
      </w:r>
      <w:r w:rsidR="00895809">
        <w:t>PO Box </w:t>
      </w:r>
      <w:r w:rsidRPr="00DE4E67">
        <w:t>204, Collins Street West, Victoria 8007.</w:t>
      </w:r>
    </w:p>
    <w:p w14:paraId="05D646EA" w14:textId="6200AEF0" w:rsidR="00276BC5" w:rsidRPr="00DE4E67" w:rsidRDefault="00276BC5" w:rsidP="00895809">
      <w:pPr>
        <w:spacing w:after="200"/>
      </w:pPr>
      <w:r w:rsidRPr="00DE4E67">
        <w:t>All existing rights in this material are reserved outside Australia.</w:t>
      </w:r>
      <w:r w:rsidR="00895809">
        <w:t xml:space="preserve">  </w:t>
      </w:r>
      <w:r w:rsidRPr="00DE4E67">
        <w:t>Reproduction outside Australia in unaltered form (retaining this notice) is permitted for personal and non-commercial use only.  Further information and requests for authorisation to reproduce</w:t>
      </w:r>
      <w:r w:rsidR="00EE40B6">
        <w:t xml:space="preserve"> </w:t>
      </w:r>
      <w:bookmarkStart w:id="5" w:name="_Hlk136961006"/>
      <w:r w:rsidR="00EE40B6">
        <w:t xml:space="preserve">IFRS Foundation copyright material </w:t>
      </w:r>
      <w:bookmarkEnd w:id="5"/>
      <w:r w:rsidRPr="00DE4E67">
        <w:t xml:space="preserve">for commercial purposes outside Australia should be addressed to the </w:t>
      </w:r>
      <w:r>
        <w:t>IFRS</w:t>
      </w:r>
      <w:r w:rsidRPr="00DE4E67">
        <w:t xml:space="preserve"> Foundation at www.</w:t>
      </w:r>
      <w:r>
        <w:t>ifrs</w:t>
      </w:r>
      <w:r w:rsidRPr="00DE4E67">
        <w:t>.org.</w:t>
      </w:r>
    </w:p>
    <w:p w14:paraId="086B27D9" w14:textId="77777777" w:rsidR="007455F0" w:rsidRPr="0000292B" w:rsidRDefault="006D4700" w:rsidP="006D4700">
      <w:r>
        <w:t xml:space="preserve">ISSN </w:t>
      </w:r>
      <w:bookmarkStart w:id="6" w:name="ISSN"/>
      <w:r w:rsidR="00EE40B6">
        <w:t>1036-4803</w:t>
      </w:r>
      <w:bookmarkEnd w:id="6"/>
    </w:p>
    <w:p w14:paraId="11E46316" w14:textId="77777777" w:rsidR="00090A6F" w:rsidRPr="0000292B" w:rsidRDefault="00090A6F">
      <w:pPr>
        <w:sectPr w:rsidR="00090A6F" w:rsidRPr="0000292B" w:rsidSect="00D74C6A">
          <w:footerReference w:type="default" r:id="rId17"/>
          <w:pgSz w:w="11907" w:h="16840" w:code="9"/>
          <w:pgMar w:top="1418" w:right="1418" w:bottom="1418" w:left="1418" w:header="709" w:footer="709" w:gutter="0"/>
          <w:paperSrc w:first="7" w:other="7"/>
          <w:cols w:space="720"/>
        </w:sectPr>
      </w:pPr>
    </w:p>
    <w:p w14:paraId="01B9FFC3" w14:textId="77777777" w:rsidR="00090A6F" w:rsidRPr="0000292B" w:rsidRDefault="005655CE">
      <w:pPr>
        <w:pStyle w:val="Heading1"/>
      </w:pPr>
      <w:r w:rsidRPr="0000292B">
        <w:lastRenderedPageBreak/>
        <w:t>Contents</w:t>
      </w:r>
    </w:p>
    <w:p w14:paraId="57959B3A" w14:textId="5946EA16" w:rsidR="00090A6F" w:rsidRPr="0000292B" w:rsidRDefault="00090A6F" w:rsidP="007476CD">
      <w:pPr>
        <w:pStyle w:val="ContentsCapsPlain"/>
        <w:spacing w:before="400"/>
      </w:pPr>
      <w:r w:rsidRPr="0000292B">
        <w:t>Preface</w:t>
      </w:r>
    </w:p>
    <w:p w14:paraId="2170F38A" w14:textId="77777777" w:rsidR="00090A6F" w:rsidRPr="0000292B" w:rsidRDefault="00090A6F" w:rsidP="007476CD">
      <w:pPr>
        <w:pStyle w:val="ContentsCapsBold"/>
      </w:pPr>
      <w:r w:rsidRPr="0000292B">
        <w:t>Accounting Standard</w:t>
      </w:r>
    </w:p>
    <w:p w14:paraId="053BBC18" w14:textId="25573A96" w:rsidR="00090A6F" w:rsidRDefault="00090A6F" w:rsidP="005D551C">
      <w:pPr>
        <w:pStyle w:val="ContentsCapsBold"/>
        <w:spacing w:after="200"/>
        <w:jc w:val="left"/>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AC3978" w:rsidRPr="00AC3978">
        <w:rPr>
          <w:iCs/>
        </w:rPr>
        <w:t>2023-2</w:t>
      </w:r>
      <w:r w:rsidR="009C2479"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5D551C">
        <w:rPr>
          <w:i/>
        </w:rPr>
        <w:instrText xml:space="preserve"> \* MERGEFORMAT </w:instrText>
      </w:r>
      <w:r w:rsidR="00CC1DF4" w:rsidRPr="00CC1DF4">
        <w:rPr>
          <w:i/>
        </w:rPr>
        <w:fldChar w:fldCharType="separate"/>
      </w:r>
      <w:r w:rsidR="00AC3978" w:rsidRPr="00AC3978">
        <w:rPr>
          <w:i/>
        </w:rPr>
        <w:t>Amendments to Australian Accounting Standards – International Tax Reform – Pillar Two Model Rules</w:t>
      </w:r>
      <w:r w:rsidR="00CC1DF4" w:rsidRPr="00CC1DF4">
        <w:rPr>
          <w:i/>
        </w:rPr>
        <w:fldChar w:fldCharType="end"/>
      </w:r>
    </w:p>
    <w:p w14:paraId="550EA6EE" w14:textId="77777777" w:rsidR="00090A6F" w:rsidRPr="0000292B" w:rsidRDefault="009965BA" w:rsidP="00EE40B6">
      <w:pPr>
        <w:pStyle w:val="ContentsParaHead"/>
      </w:pPr>
      <w:r>
        <w:t>from page</w:t>
      </w:r>
    </w:p>
    <w:p w14:paraId="2E26DB5E" w14:textId="7AA5980E" w:rsidR="00090A6F" w:rsidRPr="0000292B" w:rsidRDefault="00090A6F" w:rsidP="00AC3978">
      <w:pPr>
        <w:pStyle w:val="ContentsLevel1"/>
        <w:ind w:right="-1"/>
      </w:pPr>
      <w:bookmarkStart w:id="7" w:name="TOCRange"/>
      <w:r w:rsidRPr="0000292B">
        <w:t>Objective</w:t>
      </w:r>
      <w:r w:rsidRPr="0000292B">
        <w:tab/>
      </w:r>
      <w:r w:rsidR="00342CF2">
        <w:t>5</w:t>
      </w:r>
    </w:p>
    <w:p w14:paraId="23BA7600" w14:textId="3DC73B69" w:rsidR="00090A6F" w:rsidRDefault="00090A6F" w:rsidP="00AC3978">
      <w:pPr>
        <w:pStyle w:val="ContentsLevel1"/>
        <w:ind w:right="-1"/>
      </w:pPr>
      <w:r w:rsidRPr="0000292B">
        <w:t>Application</w:t>
      </w:r>
      <w:r w:rsidRPr="0000292B">
        <w:tab/>
      </w:r>
      <w:r w:rsidR="00342CF2">
        <w:t>5</w:t>
      </w:r>
    </w:p>
    <w:p w14:paraId="11C467A4" w14:textId="1F3EFB65" w:rsidR="00090A6F" w:rsidRDefault="00EE40B6" w:rsidP="00AC3978">
      <w:pPr>
        <w:pStyle w:val="ContentsLevel1"/>
        <w:ind w:right="-1"/>
      </w:pPr>
      <w:r>
        <w:t>Amendments to AASB 112</w:t>
      </w:r>
      <w:r>
        <w:tab/>
      </w:r>
      <w:bookmarkStart w:id="8" w:name="ContentsMarker"/>
      <w:bookmarkEnd w:id="8"/>
      <w:r w:rsidR="00342CF2">
        <w:t>5</w:t>
      </w:r>
    </w:p>
    <w:p w14:paraId="65CC90BA" w14:textId="432D3C40" w:rsidR="00342CF2" w:rsidRDefault="00342CF2" w:rsidP="00AC3978">
      <w:pPr>
        <w:pStyle w:val="ContentsLevel1"/>
        <w:ind w:right="-1"/>
      </w:pPr>
      <w:r>
        <w:t xml:space="preserve">COMMENCEMENT OF THE LEGISLATIVE INSTRUMENT </w:t>
      </w:r>
      <w:r>
        <w:tab/>
        <w:t>6</w:t>
      </w:r>
    </w:p>
    <w:p w14:paraId="0DDA8030" w14:textId="77777777" w:rsidR="00342CF2" w:rsidRDefault="00342CF2" w:rsidP="00EE40B6">
      <w:pPr>
        <w:pStyle w:val="ContentsLevel1"/>
      </w:pPr>
    </w:p>
    <w:p w14:paraId="6E30C5D9" w14:textId="77777777" w:rsidR="00342CF2" w:rsidRPr="0000292B" w:rsidRDefault="00342CF2" w:rsidP="00EE40B6">
      <w:pPr>
        <w:pStyle w:val="ContentsLevel1"/>
      </w:pPr>
    </w:p>
    <w:bookmarkEnd w:id="7"/>
    <w:p w14:paraId="36C8C636" w14:textId="77777777" w:rsidR="0034243B" w:rsidRDefault="0034243B" w:rsidP="00EE40B6">
      <w:pPr>
        <w:pStyle w:val="ContentsCapsBold"/>
        <w:spacing w:after="60"/>
      </w:pPr>
      <w:r>
        <w:t>aVailable on the AASB website</w:t>
      </w:r>
    </w:p>
    <w:p w14:paraId="4F68D1F8" w14:textId="6E48F097" w:rsidR="0034243B" w:rsidRDefault="0034243B" w:rsidP="00EE40B6">
      <w:pPr>
        <w:pStyle w:val="ContentsCapsBoldPg"/>
        <w:spacing w:after="60"/>
      </w:pPr>
      <w:r>
        <w:t xml:space="preserve">IASB </w:t>
      </w:r>
      <w:r w:rsidR="00EE40B6">
        <w:t xml:space="preserve">Basis for </w:t>
      </w:r>
      <w:r>
        <w:t>Conclusions – Amendments</w:t>
      </w:r>
    </w:p>
    <w:p w14:paraId="034BF475" w14:textId="77777777" w:rsidR="0034243B" w:rsidRDefault="0034243B" w:rsidP="0034243B">
      <w:pPr>
        <w:pStyle w:val="ContentsCapsBoldPg"/>
      </w:pPr>
    </w:p>
    <w:p w14:paraId="0DA128C4" w14:textId="77777777" w:rsidR="00342CF2" w:rsidRPr="00342CF2" w:rsidRDefault="00342CF2" w:rsidP="00342CF2">
      <w:pPr>
        <w:pStyle w:val="ContentsLevel1"/>
      </w:pPr>
    </w:p>
    <w:p w14:paraId="13EDEC6C" w14:textId="0ED33F37"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AC3978" w:rsidRPr="00AC3978">
        <w:rPr>
          <w:iCs/>
        </w:rPr>
        <w:t>2023-2</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C3978" w:rsidRPr="00AC3978">
        <w:rPr>
          <w:i/>
        </w:rPr>
        <w:t>Amendments to Australian Accounting Standards – International Tax Reform – Pillar Two Model Rules</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Pr="0000292B">
        <w:t xml:space="preserve"> </w:t>
      </w:r>
      <w:r w:rsidR="00342CF2">
        <w:t>5</w:t>
      </w:r>
      <w:r w:rsidR="00501F2A">
        <w:t>–</w:t>
      </w:r>
      <w:r w:rsidR="00342CF2">
        <w:t>6</w:t>
      </w:r>
      <w:r w:rsidRPr="0000292B">
        <w:t>. All the pa</w:t>
      </w:r>
      <w:r w:rsidR="009C2479">
        <w:t>ragraphs have equal authority.</w:t>
      </w:r>
    </w:p>
    <w:p w14:paraId="29939C64" w14:textId="77777777" w:rsidR="00090A6F" w:rsidRPr="0000292B" w:rsidRDefault="00090A6F" w:rsidP="003F4F43">
      <w:pPr>
        <w:pStyle w:val="ContentsBox"/>
        <w:pBdr>
          <w:top w:val="none" w:sz="0" w:space="0" w:color="auto"/>
          <w:left w:val="none" w:sz="0" w:space="0" w:color="auto"/>
          <w:bottom w:val="none" w:sz="0" w:space="0" w:color="auto"/>
          <w:right w:val="none" w:sz="0" w:space="0" w:color="auto"/>
        </w:pBdr>
        <w:spacing w:after="0"/>
      </w:pPr>
    </w:p>
    <w:p w14:paraId="1EE378CE" w14:textId="77777777" w:rsidR="00090A6F" w:rsidRPr="0000292B" w:rsidRDefault="00090A6F">
      <w:pPr>
        <w:sectPr w:rsidR="00090A6F" w:rsidRPr="0000292B" w:rsidSect="00D74C6A">
          <w:footerReference w:type="default" r:id="rId18"/>
          <w:pgSz w:w="11907" w:h="16840" w:code="9"/>
          <w:pgMar w:top="1418" w:right="1418" w:bottom="1418" w:left="1418" w:header="709" w:footer="709" w:gutter="0"/>
          <w:paperSrc w:first="7" w:other="7"/>
          <w:cols w:space="720"/>
        </w:sectPr>
      </w:pPr>
    </w:p>
    <w:p w14:paraId="179E2D76" w14:textId="77777777" w:rsidR="00090A6F" w:rsidRPr="0000292B" w:rsidRDefault="00090A6F">
      <w:pPr>
        <w:pStyle w:val="Heading1"/>
      </w:pPr>
      <w:r w:rsidRPr="0000292B">
        <w:lastRenderedPageBreak/>
        <w:t>Preface</w:t>
      </w:r>
    </w:p>
    <w:p w14:paraId="2A42CB4E" w14:textId="23114079" w:rsidR="000F64CC" w:rsidRPr="0000292B" w:rsidRDefault="00CA61C5" w:rsidP="007476CD">
      <w:pPr>
        <w:pStyle w:val="Heading2"/>
        <w:spacing w:before="400"/>
      </w:pPr>
      <w:r>
        <w:t xml:space="preserve">Standards amended by AASB </w:t>
      </w:r>
      <w:r>
        <w:fldChar w:fldCharType="begin" w:fldLock="1"/>
      </w:r>
      <w:r>
        <w:instrText xml:space="preserve"> REF DocNo \* charformat</w:instrText>
      </w:r>
      <w:r>
        <w:fldChar w:fldCharType="separate"/>
      </w:r>
      <w:r w:rsidR="00AC3978">
        <w:t>2023-2</w:t>
      </w:r>
      <w:r>
        <w:fldChar w:fldCharType="end"/>
      </w:r>
    </w:p>
    <w:p w14:paraId="5F7E3518" w14:textId="1C2EE073" w:rsidR="008A16EB" w:rsidRDefault="009C2479" w:rsidP="005A2514">
      <w:pPr>
        <w:pStyle w:val="NoNumPlain1"/>
      </w:pPr>
      <w:r>
        <w:t xml:space="preserve">This Standard makes amendments to </w:t>
      </w:r>
      <w:r w:rsidR="00EE40B6">
        <w:t xml:space="preserve">AASB 112 </w:t>
      </w:r>
      <w:r w:rsidR="00EE40B6">
        <w:rPr>
          <w:i/>
          <w:iCs/>
        </w:rPr>
        <w:t xml:space="preserve">Income Taxes </w:t>
      </w:r>
      <w:r w:rsidR="00EE40B6">
        <w:t>(August 2015)</w:t>
      </w:r>
      <w:r w:rsidR="005A2514">
        <w:t>.</w:t>
      </w:r>
    </w:p>
    <w:p w14:paraId="13DE5F83" w14:textId="102D66E0"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9" w:name="ArisingTitle"/>
      <w:r w:rsidR="00EE40B6" w:rsidRPr="00EE40B6">
        <w:rPr>
          <w:i/>
        </w:rPr>
        <w:t>International Tax Reform—Pillar Two Model Rules</w:t>
      </w:r>
      <w:bookmarkEnd w:id="9"/>
      <w:r w:rsidR="008A16EB">
        <w:t xml:space="preserve"> </w:t>
      </w:r>
      <w:r w:rsidR="00B84A36">
        <w:rPr>
          <w:iCs/>
        </w:rPr>
        <w:t>(</w:t>
      </w:r>
      <w:r w:rsidR="00B84A36" w:rsidRPr="00DE63C2">
        <w:rPr>
          <w:iCs/>
        </w:rPr>
        <w:t xml:space="preserve">Amendments to IAS </w:t>
      </w:r>
      <w:r w:rsidR="00B84A36">
        <w:rPr>
          <w:iCs/>
        </w:rPr>
        <w:t xml:space="preserve">12) </w:t>
      </w:r>
      <w:r w:rsidR="008A16EB">
        <w:t xml:space="preserve">by the International Accounting Standards Board (IASB) in </w:t>
      </w:r>
      <w:bookmarkStart w:id="10" w:name="ArisingDate"/>
      <w:r w:rsidR="00EE40B6">
        <w:t>May 2023</w:t>
      </w:r>
      <w:bookmarkEnd w:id="10"/>
      <w:r w:rsidR="008A16EB">
        <w:t>.</w:t>
      </w:r>
    </w:p>
    <w:p w14:paraId="699DB08B" w14:textId="77777777" w:rsidR="00090A6F" w:rsidRDefault="00F22AF2" w:rsidP="007476CD">
      <w:pPr>
        <w:pStyle w:val="Heading2"/>
        <w:spacing w:before="400"/>
      </w:pPr>
      <w:r>
        <w:t>Main features of this Standard</w:t>
      </w:r>
    </w:p>
    <w:p w14:paraId="618AB4BD" w14:textId="77777777" w:rsidR="00F22AF2" w:rsidRDefault="00F22AF2" w:rsidP="007476CD">
      <w:pPr>
        <w:pStyle w:val="Heading2Indent1"/>
        <w:ind w:left="782"/>
      </w:pPr>
      <w:r>
        <w:t>Main requirements</w:t>
      </w:r>
    </w:p>
    <w:p w14:paraId="37685699" w14:textId="2BD7DED4" w:rsidR="00EE40B6" w:rsidRDefault="00EE40B6" w:rsidP="00EE40B6">
      <w:pPr>
        <w:pStyle w:val="NoNumPlain1"/>
      </w:pPr>
      <w:r w:rsidRPr="00EE40B6">
        <w:t>Th</w:t>
      </w:r>
      <w:r>
        <w:t>is Standard amends AASB 112 to introduce:</w:t>
      </w:r>
    </w:p>
    <w:p w14:paraId="314C17EA" w14:textId="41A056CD" w:rsidR="00EE40B6" w:rsidRDefault="00EE40B6" w:rsidP="00AE55A9">
      <w:pPr>
        <w:pStyle w:val="NoNumPlain1"/>
        <w:numPr>
          <w:ilvl w:val="0"/>
          <w:numId w:val="12"/>
        </w:numPr>
        <w:ind w:left="782" w:hanging="782"/>
      </w:pPr>
      <w:r>
        <w:t xml:space="preserve">a mandatory </w:t>
      </w:r>
      <w:r w:rsidRPr="00EE40B6">
        <w:t xml:space="preserve">temporary exception to accounting for deferred taxes </w:t>
      </w:r>
      <w:r w:rsidR="00AE55A9">
        <w:t xml:space="preserve">arising from the implementation of the </w:t>
      </w:r>
      <w:r w:rsidRPr="00EE40B6">
        <w:t xml:space="preserve">Pillar Two </w:t>
      </w:r>
      <w:r w:rsidR="00AE55A9">
        <w:t xml:space="preserve">model </w:t>
      </w:r>
      <w:r w:rsidRPr="00EE40B6">
        <w:t>rules published by the Organisation for Economic Co-operation and Development (OECD)</w:t>
      </w:r>
      <w:r>
        <w:t>; and</w:t>
      </w:r>
    </w:p>
    <w:p w14:paraId="02000D64" w14:textId="5BFCE7F4" w:rsidR="00EE40B6" w:rsidRDefault="00EE40B6" w:rsidP="00AE55A9">
      <w:pPr>
        <w:pStyle w:val="NoNumPlain1"/>
        <w:numPr>
          <w:ilvl w:val="0"/>
          <w:numId w:val="12"/>
        </w:numPr>
        <w:ind w:left="782" w:hanging="782"/>
      </w:pPr>
      <w:r>
        <w:t>targeted disclosure requirements to help financial statement users better understand an entity</w:t>
      </w:r>
      <w:r w:rsidR="003F4F43">
        <w:t>’</w:t>
      </w:r>
      <w:r>
        <w:t xml:space="preserve">s exposure </w:t>
      </w:r>
      <w:r w:rsidR="00342CF2">
        <w:t xml:space="preserve">to </w:t>
      </w:r>
      <w:r w:rsidR="00AE55A9">
        <w:t>income taxes arising from the reform, particularly in periods before legislation implementing the rules is in effect.</w:t>
      </w:r>
    </w:p>
    <w:p w14:paraId="5EF809B4" w14:textId="600A0904" w:rsidR="00F22AF2" w:rsidRDefault="00F22AF2" w:rsidP="007476CD">
      <w:pPr>
        <w:pStyle w:val="Heading2Indent1"/>
        <w:ind w:left="782"/>
      </w:pPr>
      <w:r>
        <w:t>Application date</w:t>
      </w:r>
    </w:p>
    <w:p w14:paraId="6C992FE8" w14:textId="61AC120B" w:rsidR="00F22AF2" w:rsidRPr="00F22AF2" w:rsidRDefault="00B16904" w:rsidP="00F22AF2">
      <w:pPr>
        <w:pStyle w:val="NoNumPlain1"/>
      </w:pPr>
      <w:r>
        <w:t xml:space="preserve">This Standard applies to annual periods </w:t>
      </w:r>
      <w:bookmarkStart w:id="11" w:name="ApplyText"/>
      <w:r w:rsidR="00350665">
        <w:t>beginning</w:t>
      </w:r>
      <w:bookmarkEnd w:id="11"/>
      <w:r>
        <w:t xml:space="preserve"> on or after</w:t>
      </w:r>
      <w:r w:rsidR="00867FB0">
        <w:t xml:space="preserve"> </w:t>
      </w:r>
      <w:bookmarkStart w:id="12" w:name="ApplyDate"/>
      <w:r w:rsidR="00EE40B6">
        <w:t>1 </w:t>
      </w:r>
      <w:r w:rsidR="00350665">
        <w:t>January</w:t>
      </w:r>
      <w:r w:rsidR="009D6D37">
        <w:t xml:space="preserve"> </w:t>
      </w:r>
      <w:r w:rsidR="00EE40B6">
        <w:t>202</w:t>
      </w:r>
      <w:r w:rsidR="00350665">
        <w:t>3 that end on or after 30 June 2023</w:t>
      </w:r>
      <w:bookmarkEnd w:id="12"/>
      <w:r>
        <w:t>.  Earlier application is permitted.</w:t>
      </w:r>
    </w:p>
    <w:p w14:paraId="4BCFB83D" w14:textId="77777777" w:rsidR="00F22AF2" w:rsidRPr="0000292B" w:rsidRDefault="00F22AF2"/>
    <w:p w14:paraId="7ADBD7CB" w14:textId="77777777" w:rsidR="00090A6F" w:rsidRPr="0000292B" w:rsidRDefault="00090A6F">
      <w:pPr>
        <w:sectPr w:rsidR="00090A6F" w:rsidRPr="0000292B" w:rsidSect="00D74C6A">
          <w:footerReference w:type="default" r:id="rId19"/>
          <w:pgSz w:w="11907" w:h="16840" w:code="9"/>
          <w:pgMar w:top="1418" w:right="1418" w:bottom="1418" w:left="1418" w:header="709" w:footer="709" w:gutter="0"/>
          <w:paperSrc w:first="7" w:other="7"/>
          <w:cols w:space="720"/>
        </w:sectPr>
      </w:pPr>
    </w:p>
    <w:p w14:paraId="5EF28C91" w14:textId="5CBFB5A2"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AC3978" w:rsidRPr="00AC3978">
        <w:rPr>
          <w:iCs/>
        </w:rPr>
        <w:t>2023-2</w:t>
      </w:r>
      <w:r w:rsidR="001662B8" w:rsidRPr="00BC0D5D">
        <w:rPr>
          <w:iCs/>
        </w:rPr>
        <w:fldChar w:fldCharType="end"/>
      </w:r>
    </w:p>
    <w:p w14:paraId="1A078067" w14:textId="3A5E66B4" w:rsidR="001662B8" w:rsidRDefault="001662B8" w:rsidP="00B84A36">
      <w:pPr>
        <w:pStyle w:val="NoNumPlain1"/>
        <w:spacing w:before="0" w:after="0"/>
      </w:pPr>
      <w:r>
        <w:t>The Australian Accounting Standards Board makes Accounting Standard AASB</w:t>
      </w:r>
      <w:r w:rsidR="00B84A36">
        <w:t xml:space="preserve"> </w:t>
      </w:r>
      <w:fldSimple w:instr=" REF DocNo  \* charformat " w:fldLock="1">
        <w:r w:rsidR="00AC3978">
          <w:t>2023-2</w:t>
        </w:r>
      </w:fldSimple>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AC3978" w:rsidRPr="00AC3978">
        <w:rPr>
          <w:i/>
        </w:rPr>
        <w:t>Amendments to Australian Accounting Standards – International Tax Reform – Pillar Two Model Rules</w:t>
      </w:r>
      <w:r w:rsidR="00CC1DF4" w:rsidRPr="00CC1DF4">
        <w:rPr>
          <w:i/>
        </w:rPr>
        <w:fldChar w:fldCharType="end"/>
      </w:r>
      <w:bookmarkStart w:id="13" w:name="CorpsAct"/>
      <w:r w:rsidR="002B7803">
        <w:rPr>
          <w:i/>
          <w:iCs/>
        </w:rPr>
        <w:t xml:space="preserve"> </w:t>
      </w:r>
      <w:r>
        <w:t>under section</w:t>
      </w:r>
      <w:r w:rsidR="00B84A36">
        <w:t xml:space="preserve"> </w:t>
      </w:r>
      <w:r>
        <w:t xml:space="preserve">334 of the </w:t>
      </w:r>
      <w:r>
        <w:rPr>
          <w:i/>
          <w:iCs/>
        </w:rPr>
        <w:t>Corporations Act 2001</w:t>
      </w:r>
      <w:bookmarkEnd w:id="13"/>
      <w:r>
        <w:t>.</w:t>
      </w:r>
    </w:p>
    <w:p w14:paraId="634DEF35" w14:textId="77777777" w:rsidR="003F4F43" w:rsidRPr="003766A0" w:rsidRDefault="003F4F43" w:rsidP="003F4F43">
      <w:pPr>
        <w:pStyle w:val="BodyText"/>
        <w:spacing w:after="0"/>
        <w:jc w:val="right"/>
        <w:rPr>
          <w:lang w:eastAsia="en-AU"/>
        </w:rPr>
      </w:pPr>
      <w:r>
        <w:rPr>
          <w:lang w:eastAsia="en-AU"/>
        </w:rPr>
        <w:t>Keith Kendall</w:t>
      </w:r>
    </w:p>
    <w:p w14:paraId="3FDEA297" w14:textId="03A82D95" w:rsidR="003F4F43" w:rsidRPr="003766A0" w:rsidRDefault="003F4F43" w:rsidP="003F4F43">
      <w:pPr>
        <w:pStyle w:val="BodyText"/>
        <w:tabs>
          <w:tab w:val="left" w:pos="191"/>
          <w:tab w:val="right" w:pos="9071"/>
        </w:tabs>
        <w:jc w:val="left"/>
        <w:rPr>
          <w:lang w:eastAsia="en-AU"/>
        </w:rPr>
      </w:pPr>
      <w:r w:rsidRPr="003766A0">
        <w:rPr>
          <w:lang w:eastAsia="en-AU"/>
        </w:rPr>
        <w:t xml:space="preserve">Dated </w:t>
      </w:r>
      <w:r w:rsidR="00AC3978">
        <w:rPr>
          <w:lang w:eastAsia="en-AU"/>
        </w:rPr>
        <w:t>22 June 2023</w:t>
      </w:r>
      <w:r>
        <w:rPr>
          <w:lang w:eastAsia="en-AU"/>
        </w:rPr>
        <w:tab/>
      </w:r>
      <w:r w:rsidRPr="003766A0">
        <w:rPr>
          <w:lang w:eastAsia="en-AU"/>
        </w:rPr>
        <w:t>Chair – AASB</w:t>
      </w:r>
    </w:p>
    <w:p w14:paraId="574057EE" w14:textId="7EAB5B40"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AC3978" w:rsidRPr="00AC3978">
        <w:rPr>
          <w:iCs/>
        </w:rPr>
        <w:t>2023-2</w:t>
      </w:r>
      <w:r w:rsidR="00BC0D5D" w:rsidRPr="00BC0D5D">
        <w:rPr>
          <w:iCs/>
        </w:rPr>
        <w:fldChar w:fldCharType="end"/>
      </w:r>
    </w:p>
    <w:p w14:paraId="5A7A3494" w14:textId="1F6CB172" w:rsidR="00090A6F" w:rsidRDefault="00CC1DF4" w:rsidP="003E1900">
      <w:pPr>
        <w:pStyle w:val="Heading1Italic"/>
        <w:spacing w:before="0"/>
      </w:pPr>
      <w:r>
        <w:fldChar w:fldCharType="begin" w:fldLock="1"/>
      </w:r>
      <w:r>
        <w:instrText xml:space="preserve"> REF DocTitle \* charformat</w:instrText>
      </w:r>
      <w:r>
        <w:fldChar w:fldCharType="separate"/>
      </w:r>
      <w:r w:rsidR="00AC3978">
        <w:t>Amendments to Australian Accounting Standards – International Tax Reform – Pillar Two Model Rules</w:t>
      </w:r>
      <w:r>
        <w:fldChar w:fldCharType="end"/>
      </w:r>
    </w:p>
    <w:p w14:paraId="1D3FF9EB" w14:textId="77777777" w:rsidR="00090A6F" w:rsidRPr="0000292B" w:rsidRDefault="00090A6F" w:rsidP="00FC30DA">
      <w:pPr>
        <w:pStyle w:val="Heading2"/>
      </w:pPr>
      <w:bookmarkStart w:id="14" w:name="TOCStart"/>
      <w:bookmarkEnd w:id="14"/>
      <w:r w:rsidRPr="0000292B">
        <w:t>Objective</w:t>
      </w:r>
    </w:p>
    <w:p w14:paraId="432EC45B" w14:textId="334D2345" w:rsidR="001662B8" w:rsidRPr="0000292B" w:rsidRDefault="00867FB0" w:rsidP="00D631C4">
      <w:pPr>
        <w:pStyle w:val="NoNumPlain1"/>
      </w:pPr>
      <w:r>
        <w:t>This</w:t>
      </w:r>
      <w:r w:rsidR="001662B8">
        <w:t xml:space="preserve"> Standard </w:t>
      </w:r>
      <w:r>
        <w:t>amends</w:t>
      </w:r>
      <w:r w:rsidR="00AE55A9">
        <w:t xml:space="preserve"> </w:t>
      </w:r>
      <w:r w:rsidR="00EE40B6">
        <w:t xml:space="preserve">AASB 112 </w:t>
      </w:r>
      <w:r w:rsidR="00EE40B6" w:rsidRPr="00EE40B6">
        <w:rPr>
          <w:i/>
        </w:rPr>
        <w:t>Income Taxes</w:t>
      </w:r>
      <w:r w:rsidR="00AE55A9">
        <w:rPr>
          <w:i/>
        </w:rPr>
        <w:t xml:space="preserve"> </w:t>
      </w:r>
      <w:r w:rsidR="001662B8">
        <w:t>a</w:t>
      </w:r>
      <w:bookmarkStart w:id="15" w:name="StndObj"/>
      <w:bookmarkEnd w:id="15"/>
      <w:r w:rsidR="001662B8">
        <w:t>s a consequence of the issuance of</w:t>
      </w:r>
      <w:r>
        <w:t xml:space="preserve"> International Financial Reporting Standard</w:t>
      </w:r>
      <w:r w:rsidR="001662B8">
        <w:t xml:space="preserve"> </w:t>
      </w:r>
      <w:r w:rsidRPr="00867FB0">
        <w:rPr>
          <w:i/>
        </w:rPr>
        <w:fldChar w:fldCharType="begin" w:fldLock="1"/>
      </w:r>
      <w:r w:rsidRPr="00867FB0">
        <w:rPr>
          <w:i/>
        </w:rPr>
        <w:instrText xml:space="preserve"> REF ArisingTitle \* charformat</w:instrText>
      </w:r>
      <w:r w:rsidR="007C5438">
        <w:rPr>
          <w:i/>
        </w:rPr>
        <w:instrText xml:space="preserve"> \* MERGEFORMAT </w:instrText>
      </w:r>
      <w:r w:rsidRPr="00867FB0">
        <w:rPr>
          <w:i/>
        </w:rPr>
        <w:fldChar w:fldCharType="separate"/>
      </w:r>
      <w:r w:rsidR="00AC3978" w:rsidRPr="00EE40B6">
        <w:rPr>
          <w:i/>
        </w:rPr>
        <w:t>International Tax Reform—Pillar Two Model Rules</w:t>
      </w:r>
      <w:r w:rsidRPr="00867FB0">
        <w:rPr>
          <w:i/>
        </w:rPr>
        <w:fldChar w:fldCharType="end"/>
      </w:r>
      <w:r w:rsidR="001662B8">
        <w:t xml:space="preserve"> </w:t>
      </w:r>
      <w:r w:rsidR="00B84A36">
        <w:rPr>
          <w:iCs/>
        </w:rPr>
        <w:t>(</w:t>
      </w:r>
      <w:r w:rsidR="00B84A36" w:rsidRPr="00DE63C2">
        <w:rPr>
          <w:iCs/>
        </w:rPr>
        <w:t xml:space="preserve">Amendments to IAS </w:t>
      </w:r>
      <w:r w:rsidR="00B84A36">
        <w:rPr>
          <w:iCs/>
        </w:rPr>
        <w:t xml:space="preserve">12) </w:t>
      </w:r>
      <w:r>
        <w:t xml:space="preserve">by the International Accounting Standards Board </w:t>
      </w:r>
      <w:r w:rsidR="001662B8">
        <w:t>in</w:t>
      </w:r>
      <w:r w:rsidR="00742E4B">
        <w:t xml:space="preserve"> </w:t>
      </w:r>
      <w:r>
        <w:fldChar w:fldCharType="begin" w:fldLock="1"/>
      </w:r>
      <w:r>
        <w:instrText xml:space="preserve"> REF ArisingDate \* charformat</w:instrText>
      </w:r>
      <w:r>
        <w:fldChar w:fldCharType="separate"/>
      </w:r>
      <w:r w:rsidR="00AC3978">
        <w:t>May 2023</w:t>
      </w:r>
      <w:r>
        <w:fldChar w:fldCharType="end"/>
      </w:r>
      <w:r w:rsidR="001662B8">
        <w:t>.</w:t>
      </w:r>
    </w:p>
    <w:p w14:paraId="742FB4B7" w14:textId="77777777" w:rsidR="00090A6F" w:rsidRPr="0000292B" w:rsidRDefault="00090A6F">
      <w:pPr>
        <w:pStyle w:val="Heading2"/>
      </w:pPr>
      <w:r w:rsidRPr="0000292B">
        <w:t>Application</w:t>
      </w:r>
    </w:p>
    <w:p w14:paraId="368157F6" w14:textId="7E2087ED" w:rsidR="005A6AC7" w:rsidRPr="005A6AC7" w:rsidRDefault="005A6AC7" w:rsidP="00D631C4">
      <w:pPr>
        <w:pStyle w:val="NoNumPlain1"/>
        <w:rPr>
          <w:i/>
        </w:rPr>
      </w:pPr>
      <w:r>
        <w:t xml:space="preserve">The amendments set out in this Standard apply to entities and financial statements in accordance with the application </w:t>
      </w:r>
      <w:r w:rsidR="00B84A36">
        <w:t xml:space="preserve">of </w:t>
      </w:r>
      <w:r w:rsidR="00AE55A9">
        <w:t xml:space="preserve">AASB 112 </w:t>
      </w:r>
      <w:r>
        <w:t xml:space="preserve">set out in AASB 1057 </w:t>
      </w:r>
      <w:r>
        <w:rPr>
          <w:i/>
        </w:rPr>
        <w:t>Application of Australian Accounting Standards.</w:t>
      </w:r>
    </w:p>
    <w:p w14:paraId="0B81962F" w14:textId="3862328E" w:rsidR="00090A6F" w:rsidRDefault="00090A6F" w:rsidP="00D631C4">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AC3978">
        <w:t>beginning</w:t>
      </w:r>
      <w:r w:rsidR="005A6AC7">
        <w:fldChar w:fldCharType="end"/>
      </w:r>
      <w:r w:rsidRPr="00027E8B">
        <w:t xml:space="preserve"> on or </w:t>
      </w:r>
      <w:r w:rsidR="00AE55A9">
        <w:t xml:space="preserve">after </w:t>
      </w:r>
      <w:r w:rsidR="005A6AC7">
        <w:fldChar w:fldCharType="begin" w:fldLock="1"/>
      </w:r>
      <w:r w:rsidR="005A6AC7">
        <w:instrText xml:space="preserve"> REF ApplyDate \* charformat</w:instrText>
      </w:r>
      <w:r w:rsidR="005A6AC7">
        <w:fldChar w:fldCharType="separate"/>
      </w:r>
      <w:r w:rsidR="00AC3978">
        <w:t>1 January 2023 that end on or after 30 June 2023</w:t>
      </w:r>
      <w:r w:rsidR="005A6AC7">
        <w:fldChar w:fldCharType="end"/>
      </w:r>
      <w:r w:rsidRPr="00027E8B">
        <w:t>.</w:t>
      </w:r>
      <w:r w:rsidR="00AE55A9">
        <w:t xml:space="preserve">  </w:t>
      </w:r>
      <w:bookmarkStart w:id="16" w:name="EarlyYesPara"/>
      <w:r w:rsidR="00BB61A1">
        <w:t>Earlier application is permitted</w:t>
      </w:r>
      <w:r w:rsidRPr="0000292B">
        <w:t>.</w:t>
      </w:r>
    </w:p>
    <w:bookmarkEnd w:id="16"/>
    <w:p w14:paraId="7F774DF3" w14:textId="77777777" w:rsidR="00EE40B6" w:rsidRDefault="00EE40B6">
      <w:pPr>
        <w:pStyle w:val="Heading2"/>
      </w:pPr>
      <w:r>
        <w:t xml:space="preserve">Amendments to </w:t>
      </w:r>
      <w:bookmarkStart w:id="17" w:name="StndNo2"/>
      <w:r>
        <w:t>AASB 112</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endment Instruments"/>
        <w:tblDescription w:val="This table explains the amendments made to AASB 112."/>
      </w:tblPr>
      <w:tblGrid>
        <w:gridCol w:w="9061"/>
      </w:tblGrid>
      <w:tr w:rsidR="00AE55A9" w14:paraId="467C85D9" w14:textId="77777777" w:rsidTr="00BF2A43">
        <w:tc>
          <w:tcPr>
            <w:tcW w:w="5000" w:type="pct"/>
          </w:tcPr>
          <w:p w14:paraId="78B157A6" w14:textId="20F234F5" w:rsidR="00AE55A9" w:rsidRDefault="00AE55A9" w:rsidP="00BF2A43">
            <w:pPr>
              <w:pStyle w:val="NoNumPlain1"/>
              <w:jc w:val="left"/>
            </w:pPr>
            <w:r>
              <w:t xml:space="preserve">Paragraphs 4A, 88A–88D (including their related heading and the </w:t>
            </w:r>
            <w:r w:rsidR="00B84A36" w:rsidRPr="005326AE">
              <w:t>example</w:t>
            </w:r>
            <w:r w:rsidR="00D93D4F" w:rsidRPr="005326AE">
              <w:t>s</w:t>
            </w:r>
            <w:r>
              <w:t xml:space="preserve">) and 98M are added. </w:t>
            </w:r>
            <w:r w:rsidR="00342CF2">
              <w:t>Ellipses (…) are used to help provide the context within which amendments are made.</w:t>
            </w:r>
          </w:p>
        </w:tc>
      </w:tr>
    </w:tbl>
    <w:p w14:paraId="36B674BA" w14:textId="4A1333CD" w:rsidR="00AE55A9" w:rsidRPr="008C70FE" w:rsidRDefault="00AE55A9" w:rsidP="00AE55A9">
      <w:pPr>
        <w:pStyle w:val="IASBSectionTitle1NonInd"/>
        <w:rPr>
          <w:lang w:val="en-AU"/>
        </w:rPr>
      </w:pPr>
      <w:r w:rsidRPr="008C70FE">
        <w:rPr>
          <w:lang w:val="en-AU"/>
        </w:rPr>
        <w:t>Scope</w:t>
      </w:r>
    </w:p>
    <w:p w14:paraId="10A8DB04" w14:textId="3BE8CD28" w:rsidR="00AE55A9" w:rsidRPr="008C70FE" w:rsidRDefault="00AE55A9" w:rsidP="00AE55A9">
      <w:pPr>
        <w:pStyle w:val="IASBNormalnpara"/>
        <w:rPr>
          <w:lang w:val="en-AU"/>
        </w:rPr>
      </w:pPr>
      <w:r w:rsidRPr="008C70FE">
        <w:rPr>
          <w:lang w:val="en-AU"/>
        </w:rPr>
        <w:tab/>
      </w:r>
      <w:r w:rsidR="00D93D4F" w:rsidRPr="008C70FE">
        <w:rPr>
          <w:lang w:val="en-AU"/>
        </w:rPr>
        <w:t>…</w:t>
      </w:r>
    </w:p>
    <w:p w14:paraId="38E6DAF5" w14:textId="74BA540B" w:rsidR="00AE55A9" w:rsidRPr="008C70FE" w:rsidRDefault="00AE55A9" w:rsidP="00AE55A9">
      <w:pPr>
        <w:pStyle w:val="IASBNormalnpara"/>
        <w:rPr>
          <w:lang w:val="en-AU"/>
        </w:rPr>
      </w:pPr>
      <w:r w:rsidRPr="008C70FE">
        <w:rPr>
          <w:lang w:val="en-AU"/>
        </w:rPr>
        <w:t>4A</w:t>
      </w:r>
      <w:r w:rsidRPr="008C70FE">
        <w:rPr>
          <w:lang w:val="en-AU"/>
        </w:rPr>
        <w:tab/>
        <w:t>This Standard applies to income taxes arising from tax law enacted or substantively enacted to implement the Pillar Two model rules published by the Organisation for Economic Co-operation and Development (OECD), including tax law that implements qualified domestic minimum top-up taxes described in those rules. Such tax law, and the income taxes arising from it, are hereafter referred to as ‘Pillar Two legislation’ and ‘Pillar Two income taxes’. As an exception to the requirements in this Standard, an entity shall neither recognise nor disclose information about deferred tax assets and liabilities related to Pillar Two income taxes.</w:t>
      </w:r>
    </w:p>
    <w:p w14:paraId="0B6AACD1" w14:textId="1EA5CF05" w:rsidR="00AE55A9" w:rsidRPr="008C70FE" w:rsidRDefault="00AE55A9" w:rsidP="00AE55A9">
      <w:pPr>
        <w:pStyle w:val="IASBNormalnpara"/>
        <w:rPr>
          <w:lang w:val="en-AU"/>
        </w:rPr>
      </w:pPr>
      <w:r w:rsidRPr="008C70FE">
        <w:rPr>
          <w:lang w:val="en-AU"/>
        </w:rPr>
        <w:tab/>
      </w:r>
      <w:r w:rsidR="00D93D4F" w:rsidRPr="008C70FE">
        <w:rPr>
          <w:lang w:val="en-AU"/>
        </w:rPr>
        <w:t>…</w:t>
      </w:r>
    </w:p>
    <w:p w14:paraId="1674902A" w14:textId="77777777" w:rsidR="00AE55A9" w:rsidRPr="008C70FE" w:rsidRDefault="00AE55A9" w:rsidP="00AE55A9">
      <w:pPr>
        <w:pStyle w:val="IASBSectionTitle1NonInd"/>
        <w:rPr>
          <w:lang w:val="en-AU"/>
        </w:rPr>
      </w:pPr>
      <w:r w:rsidRPr="008C70FE">
        <w:rPr>
          <w:lang w:val="en-AU"/>
        </w:rPr>
        <w:t>Disclosure</w:t>
      </w:r>
    </w:p>
    <w:p w14:paraId="10CB649E" w14:textId="1FB3BE9C" w:rsidR="00AE55A9" w:rsidRPr="008C70FE" w:rsidRDefault="00AE55A9" w:rsidP="00AE55A9">
      <w:pPr>
        <w:pStyle w:val="IASBNormalnpara"/>
        <w:rPr>
          <w:lang w:val="en-AU"/>
        </w:rPr>
      </w:pPr>
      <w:r w:rsidRPr="008C70FE">
        <w:rPr>
          <w:lang w:val="en-AU"/>
        </w:rPr>
        <w:tab/>
      </w:r>
      <w:r w:rsidR="00D93D4F" w:rsidRPr="008C70FE">
        <w:rPr>
          <w:lang w:val="en-AU"/>
        </w:rPr>
        <w:t>…</w:t>
      </w:r>
    </w:p>
    <w:p w14:paraId="65DFAE34" w14:textId="77777777" w:rsidR="00AE55A9" w:rsidRPr="008C70FE" w:rsidRDefault="00AE55A9" w:rsidP="00AE55A9">
      <w:pPr>
        <w:pStyle w:val="IASBSectionTitle2Ind"/>
        <w:rPr>
          <w:lang w:val="en-AU"/>
        </w:rPr>
      </w:pPr>
      <w:r w:rsidRPr="008C70FE">
        <w:rPr>
          <w:lang w:val="en-AU"/>
        </w:rPr>
        <w:lastRenderedPageBreak/>
        <w:t>International tax reform—Pillar Two model rules</w:t>
      </w:r>
    </w:p>
    <w:p w14:paraId="512AF28E" w14:textId="77777777" w:rsidR="00AE55A9" w:rsidRPr="008C70FE" w:rsidRDefault="00AE55A9" w:rsidP="00AE55A9">
      <w:pPr>
        <w:pStyle w:val="IASBNormalnpara"/>
        <w:rPr>
          <w:lang w:val="en-AU"/>
        </w:rPr>
      </w:pPr>
      <w:r w:rsidRPr="008C70FE">
        <w:rPr>
          <w:b/>
          <w:lang w:val="en-AU"/>
        </w:rPr>
        <w:t>88A</w:t>
      </w:r>
      <w:r w:rsidRPr="008C70FE">
        <w:rPr>
          <w:lang w:val="en-AU"/>
        </w:rPr>
        <w:tab/>
      </w:r>
      <w:r w:rsidRPr="008C70FE">
        <w:rPr>
          <w:b/>
          <w:lang w:val="en-AU"/>
        </w:rPr>
        <w:t>An entity shall disclose that it has applied the exception to recognising and disclosing information about deferred tax assets and liabilities related to Pillar Two income taxes (see paragraph 4A).</w:t>
      </w:r>
    </w:p>
    <w:p w14:paraId="77A8207A" w14:textId="77777777" w:rsidR="00AE55A9" w:rsidRPr="008C70FE" w:rsidRDefault="00AE55A9" w:rsidP="00AE55A9">
      <w:pPr>
        <w:pStyle w:val="IASBNormalnpara"/>
        <w:rPr>
          <w:lang w:val="en-AU"/>
        </w:rPr>
      </w:pPr>
      <w:r w:rsidRPr="008C70FE">
        <w:rPr>
          <w:b/>
          <w:lang w:val="en-AU"/>
        </w:rPr>
        <w:t>88B</w:t>
      </w:r>
      <w:r w:rsidRPr="008C70FE">
        <w:rPr>
          <w:lang w:val="en-AU"/>
        </w:rPr>
        <w:tab/>
      </w:r>
      <w:r w:rsidRPr="008C70FE">
        <w:rPr>
          <w:b/>
          <w:lang w:val="en-AU"/>
        </w:rPr>
        <w:t>An entity shall disclose separately its current tax expense (income) related to Pillar Two income taxes.</w:t>
      </w:r>
    </w:p>
    <w:p w14:paraId="07F2E1EF" w14:textId="77777777" w:rsidR="00AE55A9" w:rsidRPr="008C70FE" w:rsidRDefault="00AE55A9" w:rsidP="00AE55A9">
      <w:pPr>
        <w:pStyle w:val="IASBNormalnpara"/>
        <w:rPr>
          <w:lang w:val="en-AU"/>
        </w:rPr>
      </w:pPr>
      <w:r w:rsidRPr="008C70FE">
        <w:rPr>
          <w:b/>
          <w:lang w:val="en-AU"/>
        </w:rPr>
        <w:t>88C</w:t>
      </w:r>
      <w:r w:rsidRPr="008C70FE">
        <w:rPr>
          <w:lang w:val="en-AU"/>
        </w:rPr>
        <w:tab/>
      </w:r>
      <w:r w:rsidRPr="008C70FE">
        <w:rPr>
          <w:b/>
          <w:lang w:val="en-AU"/>
        </w:rPr>
        <w:t>In periods in which Pillar Two legislation is enacted or substantively enacted but not yet in effect, an entity shall disclose known or reasonably estimable information that helps users of financial statements understand the entity’s exposure to Pillar Two income taxes arising from that legislation.</w:t>
      </w:r>
    </w:p>
    <w:p w14:paraId="0BD239D0" w14:textId="77777777" w:rsidR="00AE55A9" w:rsidRPr="008C70FE" w:rsidRDefault="00AE55A9" w:rsidP="00AE55A9">
      <w:pPr>
        <w:pStyle w:val="IASBNormalnpara"/>
        <w:rPr>
          <w:lang w:val="en-AU"/>
        </w:rPr>
      </w:pPr>
      <w:r w:rsidRPr="008C70FE">
        <w:rPr>
          <w:lang w:val="en-AU"/>
        </w:rPr>
        <w:t>88D</w:t>
      </w:r>
      <w:r w:rsidRPr="008C70FE">
        <w:rPr>
          <w:lang w:val="en-AU"/>
        </w:rPr>
        <w:tab/>
        <w:t>To meet the disclosure objective in paragraph 88C, an entity shall disclose qualitative and quantitative information about its exposure to Pillar Two income taxes at the end of the reporting period. This information does not have to reflect all the specific requirements of the Pillar Two legislation and can be provided in the form of an indicative range. To the extent information is not known or reasonably estimable, an entity shall instead disclose a statement to that effect and disclose information about the entity’s progress in assessing its exposure.</w:t>
      </w:r>
    </w:p>
    <w:p w14:paraId="1B008594" w14:textId="77777777" w:rsidR="00AE55A9" w:rsidRPr="008C70FE" w:rsidRDefault="00AE55A9" w:rsidP="00AE55A9">
      <w:pPr>
        <w:pStyle w:val="IASBNormalnpara"/>
        <w:rPr>
          <w:lang w:val="en-AU"/>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s illlustrating Pillar Two disclosures"/>
        <w:tblDescription w:val="Examples relevant for periods in which Pillar Two legislation is enacted or substantively enacted but not yet in effect."/>
      </w:tblPr>
      <w:tblGrid>
        <w:gridCol w:w="8244"/>
      </w:tblGrid>
      <w:tr w:rsidR="00AE55A9" w14:paraId="78F455D3" w14:textId="77777777" w:rsidTr="00BF2A43">
        <w:trPr>
          <w:tblHeader/>
        </w:trPr>
        <w:tc>
          <w:tcPr>
            <w:tcW w:w="8244" w:type="dxa"/>
          </w:tcPr>
          <w:p w14:paraId="7E114E43" w14:textId="77777777" w:rsidR="00AE55A9" w:rsidRPr="008C70FE" w:rsidRDefault="00AE55A9" w:rsidP="00E839CF">
            <w:pPr>
              <w:pStyle w:val="IASBTableHeaderArial"/>
              <w:rPr>
                <w:lang w:val="en-AU"/>
              </w:rPr>
            </w:pPr>
            <w:r w:rsidRPr="008C70FE">
              <w:rPr>
                <w:lang w:val="en-AU"/>
              </w:rPr>
              <w:t>Examples illustrating paragraphs 88C–88D</w:t>
            </w:r>
          </w:p>
        </w:tc>
      </w:tr>
      <w:tr w:rsidR="00AE55A9" w14:paraId="3C61E71A" w14:textId="77777777" w:rsidTr="00BF2A43">
        <w:tc>
          <w:tcPr>
            <w:tcW w:w="8244" w:type="dxa"/>
            <w:tcMar>
              <w:bottom w:w="85" w:type="dxa"/>
            </w:tcMar>
          </w:tcPr>
          <w:p w14:paraId="508D78A9" w14:textId="24B2F8D1" w:rsidR="00AE55A9" w:rsidRPr="008C70FE" w:rsidRDefault="00AE55A9" w:rsidP="00E839CF">
            <w:pPr>
              <w:pStyle w:val="IASBTableNormal"/>
              <w:rPr>
                <w:lang w:val="en-AU"/>
              </w:rPr>
            </w:pPr>
            <w:r w:rsidRPr="008C70FE">
              <w:rPr>
                <w:lang w:val="en-AU"/>
              </w:rPr>
              <w:t>Examples of information an entity could disclose to meet the objective and requirements in paragraphs 88C–88D include:</w:t>
            </w:r>
          </w:p>
          <w:p w14:paraId="5E5AD2B8" w14:textId="77777777" w:rsidR="00AE55A9" w:rsidRPr="008C70FE" w:rsidRDefault="00AE55A9" w:rsidP="00E839CF">
            <w:pPr>
              <w:pStyle w:val="IASBNormalL1"/>
              <w:jc w:val="left"/>
              <w:rPr>
                <w:lang w:val="en-AU"/>
              </w:rPr>
            </w:pPr>
            <w:r w:rsidRPr="008C70FE">
              <w:rPr>
                <w:lang w:val="en-AU"/>
              </w:rPr>
              <w:t>(a)</w:t>
            </w:r>
            <w:r w:rsidRPr="008C70FE">
              <w:rPr>
                <w:lang w:val="en-AU"/>
              </w:rPr>
              <w:tab/>
              <w:t>qualitative information such as information about how an entity is affected by Pillar Two legislation and the main jurisdictions in which exposures to Pillar Two income taxes might exist; and</w:t>
            </w:r>
          </w:p>
          <w:p w14:paraId="5D52C930" w14:textId="77777777" w:rsidR="00AE55A9" w:rsidRPr="008C70FE" w:rsidRDefault="00AE55A9" w:rsidP="00E839CF">
            <w:pPr>
              <w:pStyle w:val="IASBNormalL1"/>
              <w:jc w:val="left"/>
              <w:rPr>
                <w:lang w:val="en-AU"/>
              </w:rPr>
            </w:pPr>
            <w:r w:rsidRPr="008C70FE">
              <w:rPr>
                <w:lang w:val="en-AU"/>
              </w:rPr>
              <w:t>(b)</w:t>
            </w:r>
            <w:r w:rsidRPr="008C70FE">
              <w:rPr>
                <w:lang w:val="en-AU"/>
              </w:rPr>
              <w:tab/>
              <w:t>quantitative information such as:</w:t>
            </w:r>
          </w:p>
          <w:p w14:paraId="4BFD294D" w14:textId="77777777" w:rsidR="00AE55A9" w:rsidRPr="008C70FE" w:rsidRDefault="00AE55A9" w:rsidP="00E839CF">
            <w:pPr>
              <w:pStyle w:val="IASBNormalL2"/>
              <w:jc w:val="left"/>
              <w:rPr>
                <w:lang w:val="en-AU"/>
              </w:rPr>
            </w:pPr>
            <w:r w:rsidRPr="008C70FE">
              <w:rPr>
                <w:lang w:val="en-AU"/>
              </w:rPr>
              <w:t>(i)</w:t>
            </w:r>
            <w:r w:rsidRPr="008C70FE">
              <w:rPr>
                <w:lang w:val="en-AU"/>
              </w:rPr>
              <w:tab/>
              <w:t>an indication of the proportion of an entity’s profits that might be subject to Pillar Two income taxes and the average effective tax rate applicable to those profits; or</w:t>
            </w:r>
          </w:p>
          <w:p w14:paraId="1C0165F4" w14:textId="77777777" w:rsidR="00AE55A9" w:rsidRDefault="00AE55A9" w:rsidP="00B11C67">
            <w:pPr>
              <w:pStyle w:val="IASBNormalL2"/>
              <w:jc w:val="left"/>
              <w:rPr>
                <w:lang w:val="en-AU"/>
              </w:rPr>
            </w:pPr>
            <w:r w:rsidRPr="008C70FE">
              <w:rPr>
                <w:lang w:val="en-AU"/>
              </w:rPr>
              <w:t>(ii)</w:t>
            </w:r>
            <w:r w:rsidRPr="008C70FE">
              <w:rPr>
                <w:lang w:val="en-AU"/>
              </w:rPr>
              <w:tab/>
              <w:t>an indication of how the entity’s average effective tax rate would have changed if Pillar Two legislation had been in effect.</w:t>
            </w:r>
          </w:p>
          <w:p w14:paraId="4A265A45" w14:textId="77777777" w:rsidR="00AE55A9" w:rsidRPr="008C70FE" w:rsidRDefault="00AE55A9" w:rsidP="00E839CF">
            <w:pPr>
              <w:pStyle w:val="IASBNormalL2"/>
              <w:jc w:val="left"/>
              <w:rPr>
                <w:lang w:val="en-AU"/>
              </w:rPr>
            </w:pPr>
          </w:p>
        </w:tc>
      </w:tr>
    </w:tbl>
    <w:p w14:paraId="12EBA8B7" w14:textId="77777777" w:rsidR="00AE55A9" w:rsidRPr="008C70FE" w:rsidRDefault="00AE55A9" w:rsidP="00AE55A9">
      <w:pPr>
        <w:pStyle w:val="IASBNormalnpara"/>
        <w:rPr>
          <w:lang w:val="en-AU"/>
        </w:rPr>
      </w:pPr>
    </w:p>
    <w:p w14:paraId="75B426E7" w14:textId="33B0D1FE" w:rsidR="00AE55A9" w:rsidRPr="008C70FE" w:rsidRDefault="00AE55A9" w:rsidP="00AE55A9">
      <w:pPr>
        <w:pStyle w:val="IASBNormalnpara"/>
        <w:rPr>
          <w:lang w:val="en-AU"/>
        </w:rPr>
      </w:pPr>
      <w:r w:rsidRPr="008C70FE">
        <w:rPr>
          <w:lang w:val="en-AU"/>
        </w:rPr>
        <w:tab/>
      </w:r>
      <w:r w:rsidR="00D93D4F" w:rsidRPr="008C70FE">
        <w:rPr>
          <w:lang w:val="en-AU"/>
        </w:rPr>
        <w:t>…</w:t>
      </w:r>
    </w:p>
    <w:p w14:paraId="1B45757D" w14:textId="77777777" w:rsidR="00AE55A9" w:rsidRPr="008C70FE" w:rsidRDefault="00AE55A9" w:rsidP="00AE55A9">
      <w:pPr>
        <w:pStyle w:val="IASBSectionTitle1NonInd"/>
        <w:rPr>
          <w:lang w:val="en-AU"/>
        </w:rPr>
      </w:pPr>
      <w:r w:rsidRPr="008C70FE">
        <w:rPr>
          <w:lang w:val="en-AU"/>
        </w:rPr>
        <w:t>Effective date</w:t>
      </w:r>
    </w:p>
    <w:p w14:paraId="52B902C4" w14:textId="2AAC54EC" w:rsidR="00AE55A9" w:rsidRPr="008C70FE" w:rsidRDefault="00AE55A9" w:rsidP="00AE55A9">
      <w:pPr>
        <w:pStyle w:val="IASBNormalnpara"/>
        <w:rPr>
          <w:lang w:val="en-AU"/>
        </w:rPr>
      </w:pPr>
      <w:r w:rsidRPr="008C70FE">
        <w:rPr>
          <w:lang w:val="en-AU"/>
        </w:rPr>
        <w:tab/>
      </w:r>
      <w:r w:rsidR="00D93D4F" w:rsidRPr="008C70FE">
        <w:rPr>
          <w:lang w:val="en-AU"/>
        </w:rPr>
        <w:t>…</w:t>
      </w:r>
    </w:p>
    <w:p w14:paraId="1EAC088D" w14:textId="4A116A9E" w:rsidR="00AE55A9" w:rsidRPr="008C70FE" w:rsidRDefault="00AE55A9" w:rsidP="00AE55A9">
      <w:pPr>
        <w:pStyle w:val="IASBNormalnpara"/>
        <w:rPr>
          <w:lang w:val="en-AU"/>
        </w:rPr>
      </w:pPr>
      <w:r w:rsidRPr="008C70FE">
        <w:rPr>
          <w:lang w:val="en-AU"/>
        </w:rPr>
        <w:t>98M</w:t>
      </w:r>
      <w:r w:rsidRPr="008C70FE">
        <w:rPr>
          <w:lang w:val="en-AU"/>
        </w:rPr>
        <w:tab/>
      </w:r>
      <w:r w:rsidR="00342CF2" w:rsidRPr="008C70FE">
        <w:rPr>
          <w:lang w:val="en-AU"/>
        </w:rPr>
        <w:t xml:space="preserve">AASB </w:t>
      </w:r>
      <w:r w:rsidR="00D631C4" w:rsidRPr="008C70FE">
        <w:rPr>
          <w:lang w:val="en-AU"/>
        </w:rPr>
        <w:fldChar w:fldCharType="begin" w:fldLock="1"/>
      </w:r>
      <w:r w:rsidR="00D631C4" w:rsidRPr="008C70FE">
        <w:rPr>
          <w:lang w:val="en-AU"/>
        </w:rPr>
        <w:instrText xml:space="preserve"> REF DocNo  \* charformat </w:instrText>
      </w:r>
      <w:r w:rsidR="00D631C4" w:rsidRPr="008C70FE">
        <w:rPr>
          <w:lang w:val="en-AU"/>
        </w:rPr>
        <w:fldChar w:fldCharType="separate"/>
      </w:r>
      <w:r w:rsidR="00AC3978" w:rsidRPr="00AC3978">
        <w:rPr>
          <w:lang w:val="en-AU"/>
        </w:rPr>
        <w:t>2023-2</w:t>
      </w:r>
      <w:r w:rsidR="00D631C4" w:rsidRPr="008C70FE">
        <w:rPr>
          <w:lang w:val="en-AU"/>
        </w:rPr>
        <w:fldChar w:fldCharType="end"/>
      </w:r>
      <w:r w:rsidR="00D631C4" w:rsidRPr="008C70FE">
        <w:rPr>
          <w:lang w:val="en-AU"/>
        </w:rPr>
        <w:t xml:space="preserve"> </w:t>
      </w:r>
      <w:r w:rsidR="00D631C4" w:rsidRPr="008C70FE">
        <w:rPr>
          <w:i/>
          <w:lang w:val="en-AU"/>
        </w:rPr>
        <w:fldChar w:fldCharType="begin" w:fldLock="1"/>
      </w:r>
      <w:r w:rsidR="00D631C4" w:rsidRPr="008C70FE">
        <w:rPr>
          <w:i/>
          <w:lang w:val="en-AU"/>
        </w:rPr>
        <w:instrText xml:space="preserve"> REF DocTitle \* charformat </w:instrText>
      </w:r>
      <w:r w:rsidR="00D631C4" w:rsidRPr="008C70FE">
        <w:rPr>
          <w:i/>
          <w:lang w:val="en-AU"/>
        </w:rPr>
        <w:fldChar w:fldCharType="separate"/>
      </w:r>
      <w:r w:rsidR="00AC3978" w:rsidRPr="00AC3978">
        <w:rPr>
          <w:i/>
          <w:lang w:val="en-AU"/>
        </w:rPr>
        <w:t>Amendments to Australian Accounting Standards – International Tax Reform – Pillar Two Model Rules</w:t>
      </w:r>
      <w:r w:rsidR="00D631C4" w:rsidRPr="008C70FE">
        <w:rPr>
          <w:i/>
          <w:lang w:val="en-AU"/>
        </w:rPr>
        <w:fldChar w:fldCharType="end"/>
      </w:r>
      <w:r w:rsidRPr="008C70FE">
        <w:rPr>
          <w:lang w:val="en-AU"/>
        </w:rPr>
        <w:t xml:space="preserve">, issued in </w:t>
      </w:r>
      <w:r w:rsidR="00093B27" w:rsidRPr="008C70FE">
        <w:rPr>
          <w:lang w:val="en-AU"/>
        </w:rPr>
        <w:t>June 2023</w:t>
      </w:r>
      <w:r w:rsidRPr="008C70FE">
        <w:rPr>
          <w:lang w:val="en-AU"/>
        </w:rPr>
        <w:t>, added paragraphs 4A and 88A–88D. An entity shall:</w:t>
      </w:r>
    </w:p>
    <w:p w14:paraId="48D0B98D" w14:textId="60CB9D57" w:rsidR="00AE55A9" w:rsidRPr="009A2D6E" w:rsidRDefault="00AE55A9" w:rsidP="00AE55A9">
      <w:pPr>
        <w:pStyle w:val="IASBNormalnparaL1"/>
        <w:rPr>
          <w:lang w:val="en-AU"/>
        </w:rPr>
      </w:pPr>
      <w:r w:rsidRPr="008C70FE">
        <w:rPr>
          <w:lang w:val="en-AU"/>
        </w:rPr>
        <w:t>(a)</w:t>
      </w:r>
      <w:r w:rsidRPr="008C70FE">
        <w:rPr>
          <w:lang w:val="en-AU"/>
        </w:rPr>
        <w:tab/>
        <w:t xml:space="preserve">apply paragraphs 4A and 88A immediately upon the issue of these amendments and retrospectively in accordance with </w:t>
      </w:r>
      <w:r w:rsidR="00D631C4" w:rsidRPr="008C70FE">
        <w:rPr>
          <w:lang w:val="en-AU"/>
        </w:rPr>
        <w:t>AASB 108</w:t>
      </w:r>
      <w:r w:rsidRPr="009A2D6E">
        <w:rPr>
          <w:lang w:val="en-AU"/>
        </w:rPr>
        <w:t>; and</w:t>
      </w:r>
    </w:p>
    <w:p w14:paraId="0A6B3622" w14:textId="0A460A50" w:rsidR="00AE55A9" w:rsidRPr="009A2D6E" w:rsidRDefault="00AE55A9" w:rsidP="00AE55A9">
      <w:pPr>
        <w:pStyle w:val="IASBNormalnparaL1"/>
        <w:rPr>
          <w:lang w:val="en-AU"/>
        </w:rPr>
      </w:pPr>
      <w:r w:rsidRPr="009A2D6E">
        <w:rPr>
          <w:lang w:val="en-AU"/>
        </w:rPr>
        <w:t>(b)</w:t>
      </w:r>
      <w:r w:rsidRPr="009A2D6E">
        <w:rPr>
          <w:lang w:val="en-AU"/>
        </w:rPr>
        <w:tab/>
        <w:t xml:space="preserve">apply paragraphs 88B–88D for </w:t>
      </w:r>
      <w:r w:rsidR="001B7109" w:rsidRPr="009A2D6E">
        <w:rPr>
          <w:lang w:val="en-AU"/>
        </w:rPr>
        <w:t xml:space="preserve">annual </w:t>
      </w:r>
      <w:r w:rsidRPr="009A2D6E">
        <w:rPr>
          <w:lang w:val="en-AU"/>
        </w:rPr>
        <w:t xml:space="preserve">reporting periods </w:t>
      </w:r>
      <w:r w:rsidR="00A51D99" w:rsidRPr="009A2D6E">
        <w:rPr>
          <w:lang w:val="en-AU"/>
        </w:rPr>
        <w:t xml:space="preserve">beginning </w:t>
      </w:r>
      <w:r w:rsidRPr="009A2D6E">
        <w:rPr>
          <w:lang w:val="en-AU"/>
        </w:rPr>
        <w:t xml:space="preserve">on or after </w:t>
      </w:r>
      <w:r w:rsidR="002F57F9" w:rsidRPr="009A2D6E">
        <w:rPr>
          <w:lang w:val="en-AU"/>
        </w:rPr>
        <w:t xml:space="preserve">1 January </w:t>
      </w:r>
      <w:r w:rsidRPr="009A2D6E">
        <w:rPr>
          <w:lang w:val="en-AU"/>
        </w:rPr>
        <w:t>2023</w:t>
      </w:r>
      <w:r w:rsidR="002F57F9" w:rsidRPr="009A2D6E">
        <w:rPr>
          <w:lang w:val="en-AU"/>
        </w:rPr>
        <w:t xml:space="preserve"> that end </w:t>
      </w:r>
      <w:r w:rsidR="0034182F" w:rsidRPr="009A2D6E">
        <w:rPr>
          <w:lang w:val="en-AU"/>
        </w:rPr>
        <w:t>on or after 30 June 2023</w:t>
      </w:r>
      <w:r w:rsidRPr="009A2D6E">
        <w:rPr>
          <w:lang w:val="en-AU"/>
        </w:rPr>
        <w:t>. An entity is not required to disclose the information required by these paragraphs for any interim period ending on or before 31 December 2023.</w:t>
      </w:r>
    </w:p>
    <w:p w14:paraId="6CD79CEA" w14:textId="77777777" w:rsidR="00EE40B6" w:rsidRDefault="00EE40B6">
      <w:pPr>
        <w:pStyle w:val="Heading2"/>
      </w:pPr>
      <w:r>
        <w:t>Commencement of the legislative instrument</w:t>
      </w:r>
    </w:p>
    <w:p w14:paraId="26ABAE27" w14:textId="23C72A0F" w:rsidR="00EE40B6" w:rsidRPr="0000292B" w:rsidRDefault="00EE40B6" w:rsidP="000812F8">
      <w:pPr>
        <w:pStyle w:val="NoNumPlain1"/>
      </w:pPr>
      <w:r>
        <w:t xml:space="preserve">For legal purposes, this legislative instrument commences on </w:t>
      </w:r>
      <w:bookmarkStart w:id="18" w:name="CommenceDate"/>
      <w:r w:rsidR="00791B5A">
        <w:t>29 June 202</w:t>
      </w:r>
      <w:r>
        <w:t>3</w:t>
      </w:r>
      <w:bookmarkEnd w:id="18"/>
      <w:r>
        <w:t>.</w:t>
      </w:r>
    </w:p>
    <w:p w14:paraId="2344CC6F" w14:textId="77777777" w:rsidR="00EE40B6" w:rsidRDefault="00EE40B6" w:rsidP="005A6AC7">
      <w:pPr>
        <w:pStyle w:val="NoNumPlain1"/>
      </w:pPr>
    </w:p>
    <w:sectPr w:rsidR="00EE40B6" w:rsidSect="00D74C6A">
      <w:headerReference w:type="default" r:id="rId20"/>
      <w:footerReference w:type="default" r:id="rId21"/>
      <w:headerReference w:type="first" r:id="rId22"/>
      <w:footerReference w:type="first" r:id="rId23"/>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FE96" w14:textId="77777777" w:rsidR="004C6ED8" w:rsidRDefault="004C6ED8">
      <w:r>
        <w:separator/>
      </w:r>
    </w:p>
  </w:endnote>
  <w:endnote w:type="continuationSeparator" w:id="0">
    <w:p w14:paraId="0D4F9C8C" w14:textId="77777777" w:rsidR="004C6ED8" w:rsidRDefault="004C6ED8">
      <w:r>
        <w:continuationSeparator/>
      </w:r>
    </w:p>
  </w:endnote>
  <w:endnote w:type="continuationNotice" w:id="1">
    <w:p w14:paraId="11E05D8D" w14:textId="77777777" w:rsidR="004C6ED8" w:rsidRDefault="004C6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3C40" w14:textId="77777777" w:rsidR="00D36466" w:rsidRDefault="00D36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CE55" w14:textId="77777777" w:rsidR="00D36466" w:rsidRDefault="00D36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6B8B" w14:textId="77777777" w:rsidR="00D36466" w:rsidRDefault="00D364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8F8B" w14:textId="5A463629"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3978" w:rsidRPr="00AC3978">
      <w:rPr>
        <w:b/>
      </w:rPr>
      <w:t>2023-2</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A1C4" w14:textId="307BB362"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3978" w:rsidRPr="00AC3978">
      <w:rPr>
        <w:b/>
      </w:rPr>
      <w:t>2023-2</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A743" w14:textId="764EB5A9"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3978" w:rsidRPr="00AC3978">
      <w:rPr>
        <w:b/>
      </w:rPr>
      <w:t>2023-2</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05E9" w14:textId="0BC30EAB"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AC3978" w:rsidRPr="00AC3978">
      <w:rPr>
        <w:b/>
      </w:rPr>
      <w:t>2023-2</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1F65"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EEF9" w14:textId="77777777" w:rsidR="004C6ED8" w:rsidRDefault="004C6ED8">
      <w:r>
        <w:separator/>
      </w:r>
    </w:p>
  </w:footnote>
  <w:footnote w:type="continuationSeparator" w:id="0">
    <w:p w14:paraId="7332F2C4" w14:textId="77777777" w:rsidR="004C6ED8" w:rsidRDefault="004C6ED8">
      <w:r>
        <w:continuationSeparator/>
      </w:r>
    </w:p>
  </w:footnote>
  <w:footnote w:type="continuationNotice" w:id="1">
    <w:p w14:paraId="5E484EED" w14:textId="77777777" w:rsidR="004C6ED8" w:rsidRDefault="004C6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023E" w14:textId="77777777" w:rsidR="00D36466" w:rsidRDefault="00D36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FCB8" w14:textId="77777777" w:rsidR="00D36466" w:rsidRDefault="00D36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2EA7" w14:textId="77777777" w:rsidR="00D36466" w:rsidRDefault="00D364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C63D" w14:textId="77777777" w:rsidR="00A96702" w:rsidRPr="00AC3978" w:rsidRDefault="00A96702" w:rsidP="00AC39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A3C4"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1BE737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76E4E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3" w15:restartNumberingAfterBreak="0">
    <w:nsid w:val="033B1ABC"/>
    <w:multiLevelType w:val="hybridMultilevel"/>
    <w:tmpl w:val="C6A661D2"/>
    <w:lvl w:ilvl="0" w:tplc="4FEEE048">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F92581"/>
    <w:multiLevelType w:val="multilevel"/>
    <w:tmpl w:val="AD5ABFF2"/>
    <w:numStyleLink w:val="AASBSubNumbers"/>
  </w:abstractNum>
  <w:abstractNum w:abstractNumId="5" w15:restartNumberingAfterBreak="0">
    <w:nsid w:val="07544036"/>
    <w:multiLevelType w:val="hybridMultilevel"/>
    <w:tmpl w:val="533A2D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0"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3" w15:restartNumberingAfterBreak="0">
    <w:nsid w:val="6DBE5531"/>
    <w:multiLevelType w:val="hybridMultilevel"/>
    <w:tmpl w:val="C41CE24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2488755">
    <w:abstractNumId w:val="11"/>
  </w:num>
  <w:num w:numId="2" w16cid:durableId="3443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268551">
    <w:abstractNumId w:val="14"/>
  </w:num>
  <w:num w:numId="4" w16cid:durableId="1323120472">
    <w:abstractNumId w:val="6"/>
  </w:num>
  <w:num w:numId="5" w16cid:durableId="845560011">
    <w:abstractNumId w:val="7"/>
  </w:num>
  <w:num w:numId="6" w16cid:durableId="1716002019">
    <w:abstractNumId w:val="12"/>
  </w:num>
  <w:num w:numId="7" w16cid:durableId="1685789922">
    <w:abstractNumId w:val="8"/>
  </w:num>
  <w:num w:numId="8" w16cid:durableId="387918561">
    <w:abstractNumId w:val="9"/>
  </w:num>
  <w:num w:numId="9" w16cid:durableId="1954552500">
    <w:abstractNumId w:val="4"/>
  </w:num>
  <w:num w:numId="10" w16cid:durableId="478230792">
    <w:abstractNumId w:val="2"/>
  </w:num>
  <w:num w:numId="11" w16cid:durableId="1254515678">
    <w:abstractNumId w:val="10"/>
  </w:num>
  <w:num w:numId="12" w16cid:durableId="2037727062">
    <w:abstractNumId w:val="5"/>
  </w:num>
  <w:num w:numId="13" w16cid:durableId="426002779">
    <w:abstractNumId w:val="13"/>
  </w:num>
  <w:num w:numId="14" w16cid:durableId="222446976">
    <w:abstractNumId w:val="3"/>
  </w:num>
  <w:num w:numId="15" w16cid:durableId="237830897">
    <w:abstractNumId w:val="1"/>
  </w:num>
  <w:num w:numId="16" w16cid:durableId="3782093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Mjc1NDA2NDcxsDBS0lEKTi0uzszPAykwrwUAiKxquywAAAA="/>
  </w:docVars>
  <w:rsids>
    <w:rsidRoot w:val="00EE40B6"/>
    <w:rsid w:val="0000292B"/>
    <w:rsid w:val="00027E8B"/>
    <w:rsid w:val="0004455B"/>
    <w:rsid w:val="00057D6C"/>
    <w:rsid w:val="000625F2"/>
    <w:rsid w:val="00074133"/>
    <w:rsid w:val="000812F8"/>
    <w:rsid w:val="00090A6F"/>
    <w:rsid w:val="00093B27"/>
    <w:rsid w:val="00096027"/>
    <w:rsid w:val="000B733C"/>
    <w:rsid w:val="000C3EB0"/>
    <w:rsid w:val="000C6AA6"/>
    <w:rsid w:val="000D7B40"/>
    <w:rsid w:val="000F64CC"/>
    <w:rsid w:val="00110B96"/>
    <w:rsid w:val="001162C5"/>
    <w:rsid w:val="001206CF"/>
    <w:rsid w:val="001309BB"/>
    <w:rsid w:val="001662B8"/>
    <w:rsid w:val="00171F51"/>
    <w:rsid w:val="001761C6"/>
    <w:rsid w:val="001864D4"/>
    <w:rsid w:val="0019286F"/>
    <w:rsid w:val="001A0C8F"/>
    <w:rsid w:val="001B33A5"/>
    <w:rsid w:val="001B42C7"/>
    <w:rsid w:val="001B7109"/>
    <w:rsid w:val="001C225F"/>
    <w:rsid w:val="001C553E"/>
    <w:rsid w:val="001F78DF"/>
    <w:rsid w:val="00207A1E"/>
    <w:rsid w:val="0022022E"/>
    <w:rsid w:val="002222F2"/>
    <w:rsid w:val="002242A6"/>
    <w:rsid w:val="00254B16"/>
    <w:rsid w:val="00273C4A"/>
    <w:rsid w:val="00276BC5"/>
    <w:rsid w:val="0028086D"/>
    <w:rsid w:val="00283482"/>
    <w:rsid w:val="002941BF"/>
    <w:rsid w:val="0029647E"/>
    <w:rsid w:val="002A201D"/>
    <w:rsid w:val="002B7803"/>
    <w:rsid w:val="002F19B7"/>
    <w:rsid w:val="002F1CD0"/>
    <w:rsid w:val="002F57F9"/>
    <w:rsid w:val="00307F26"/>
    <w:rsid w:val="003231B6"/>
    <w:rsid w:val="003251D8"/>
    <w:rsid w:val="0033581C"/>
    <w:rsid w:val="0034182F"/>
    <w:rsid w:val="0034243B"/>
    <w:rsid w:val="00342CF2"/>
    <w:rsid w:val="00343FFB"/>
    <w:rsid w:val="00350665"/>
    <w:rsid w:val="00364B30"/>
    <w:rsid w:val="00364EDD"/>
    <w:rsid w:val="00367DC9"/>
    <w:rsid w:val="00377B8D"/>
    <w:rsid w:val="00382796"/>
    <w:rsid w:val="0039009E"/>
    <w:rsid w:val="003A488F"/>
    <w:rsid w:val="003B0CAA"/>
    <w:rsid w:val="003B0E71"/>
    <w:rsid w:val="003B6633"/>
    <w:rsid w:val="003C28CD"/>
    <w:rsid w:val="003D1DD4"/>
    <w:rsid w:val="003E0A68"/>
    <w:rsid w:val="003E1900"/>
    <w:rsid w:val="003E53B8"/>
    <w:rsid w:val="003F4F43"/>
    <w:rsid w:val="00400B56"/>
    <w:rsid w:val="00401ECA"/>
    <w:rsid w:val="004150BD"/>
    <w:rsid w:val="00422E4D"/>
    <w:rsid w:val="00426876"/>
    <w:rsid w:val="00434D86"/>
    <w:rsid w:val="00436A2D"/>
    <w:rsid w:val="004407E6"/>
    <w:rsid w:val="0044702C"/>
    <w:rsid w:val="00460FBB"/>
    <w:rsid w:val="004634A2"/>
    <w:rsid w:val="00470CE9"/>
    <w:rsid w:val="0047683E"/>
    <w:rsid w:val="004800DC"/>
    <w:rsid w:val="0048155F"/>
    <w:rsid w:val="00487CF6"/>
    <w:rsid w:val="00493B12"/>
    <w:rsid w:val="004961F8"/>
    <w:rsid w:val="004A417F"/>
    <w:rsid w:val="004B038C"/>
    <w:rsid w:val="004B736C"/>
    <w:rsid w:val="004C1FD8"/>
    <w:rsid w:val="004C5BDE"/>
    <w:rsid w:val="004C6ED8"/>
    <w:rsid w:val="004D3804"/>
    <w:rsid w:val="004D3809"/>
    <w:rsid w:val="004D4D1C"/>
    <w:rsid w:val="004D5DA2"/>
    <w:rsid w:val="004F55FE"/>
    <w:rsid w:val="00500E80"/>
    <w:rsid w:val="00501F2A"/>
    <w:rsid w:val="005051CB"/>
    <w:rsid w:val="00511C34"/>
    <w:rsid w:val="005166B2"/>
    <w:rsid w:val="005326AE"/>
    <w:rsid w:val="0053452C"/>
    <w:rsid w:val="00535EC5"/>
    <w:rsid w:val="0056274D"/>
    <w:rsid w:val="00563DC9"/>
    <w:rsid w:val="005655CE"/>
    <w:rsid w:val="005670FE"/>
    <w:rsid w:val="00577065"/>
    <w:rsid w:val="0058004D"/>
    <w:rsid w:val="00580BC4"/>
    <w:rsid w:val="005818B6"/>
    <w:rsid w:val="00590051"/>
    <w:rsid w:val="005A2514"/>
    <w:rsid w:val="005A3069"/>
    <w:rsid w:val="005A6637"/>
    <w:rsid w:val="005A6AC7"/>
    <w:rsid w:val="005B146F"/>
    <w:rsid w:val="005D551C"/>
    <w:rsid w:val="005D6293"/>
    <w:rsid w:val="005D71D1"/>
    <w:rsid w:val="005E6BE4"/>
    <w:rsid w:val="005F43E6"/>
    <w:rsid w:val="00602261"/>
    <w:rsid w:val="00625A6C"/>
    <w:rsid w:val="00641282"/>
    <w:rsid w:val="00652DF8"/>
    <w:rsid w:val="006959AC"/>
    <w:rsid w:val="006A3AE9"/>
    <w:rsid w:val="006A40E5"/>
    <w:rsid w:val="006A69BA"/>
    <w:rsid w:val="006B0CD6"/>
    <w:rsid w:val="006C2E37"/>
    <w:rsid w:val="006D055E"/>
    <w:rsid w:val="006D134A"/>
    <w:rsid w:val="006D4700"/>
    <w:rsid w:val="006D7679"/>
    <w:rsid w:val="006E0353"/>
    <w:rsid w:val="006E2C39"/>
    <w:rsid w:val="00714340"/>
    <w:rsid w:val="007219F7"/>
    <w:rsid w:val="007333C2"/>
    <w:rsid w:val="00737714"/>
    <w:rsid w:val="00742E4B"/>
    <w:rsid w:val="007455F0"/>
    <w:rsid w:val="0074583B"/>
    <w:rsid w:val="007476CD"/>
    <w:rsid w:val="00751F6A"/>
    <w:rsid w:val="00753AAA"/>
    <w:rsid w:val="007554ED"/>
    <w:rsid w:val="00755E40"/>
    <w:rsid w:val="00756FF6"/>
    <w:rsid w:val="0076127E"/>
    <w:rsid w:val="0078116B"/>
    <w:rsid w:val="00791B5A"/>
    <w:rsid w:val="007A6BC3"/>
    <w:rsid w:val="007A7014"/>
    <w:rsid w:val="007C5438"/>
    <w:rsid w:val="007F1D3D"/>
    <w:rsid w:val="00812637"/>
    <w:rsid w:val="00813227"/>
    <w:rsid w:val="00815AF9"/>
    <w:rsid w:val="00820794"/>
    <w:rsid w:val="00831497"/>
    <w:rsid w:val="0084166D"/>
    <w:rsid w:val="008459E8"/>
    <w:rsid w:val="008622B9"/>
    <w:rsid w:val="00864ADE"/>
    <w:rsid w:val="00867FB0"/>
    <w:rsid w:val="00871A12"/>
    <w:rsid w:val="00877680"/>
    <w:rsid w:val="00881BBE"/>
    <w:rsid w:val="00895809"/>
    <w:rsid w:val="008A16EB"/>
    <w:rsid w:val="008A6182"/>
    <w:rsid w:val="008B1D94"/>
    <w:rsid w:val="008B4C8D"/>
    <w:rsid w:val="008B643A"/>
    <w:rsid w:val="008C1C4A"/>
    <w:rsid w:val="008C60B1"/>
    <w:rsid w:val="008C6BD0"/>
    <w:rsid w:val="008C70FE"/>
    <w:rsid w:val="008D2EBD"/>
    <w:rsid w:val="008E7333"/>
    <w:rsid w:val="008F0A81"/>
    <w:rsid w:val="008F3EBA"/>
    <w:rsid w:val="008F4AC5"/>
    <w:rsid w:val="008F5963"/>
    <w:rsid w:val="00923261"/>
    <w:rsid w:val="009256B7"/>
    <w:rsid w:val="00960F37"/>
    <w:rsid w:val="00970C7A"/>
    <w:rsid w:val="009721DB"/>
    <w:rsid w:val="00972BFA"/>
    <w:rsid w:val="009965BA"/>
    <w:rsid w:val="009A2D6E"/>
    <w:rsid w:val="009B6535"/>
    <w:rsid w:val="009C2479"/>
    <w:rsid w:val="009D06F8"/>
    <w:rsid w:val="009D6D37"/>
    <w:rsid w:val="009D73F1"/>
    <w:rsid w:val="00A011B5"/>
    <w:rsid w:val="00A03AA4"/>
    <w:rsid w:val="00A05041"/>
    <w:rsid w:val="00A13F82"/>
    <w:rsid w:val="00A16664"/>
    <w:rsid w:val="00A22743"/>
    <w:rsid w:val="00A22E0D"/>
    <w:rsid w:val="00A316D1"/>
    <w:rsid w:val="00A41ED3"/>
    <w:rsid w:val="00A45C3D"/>
    <w:rsid w:val="00A47FA2"/>
    <w:rsid w:val="00A51A7E"/>
    <w:rsid w:val="00A51D99"/>
    <w:rsid w:val="00A55F4F"/>
    <w:rsid w:val="00A561F4"/>
    <w:rsid w:val="00A60C47"/>
    <w:rsid w:val="00A6237D"/>
    <w:rsid w:val="00A748BA"/>
    <w:rsid w:val="00A74962"/>
    <w:rsid w:val="00A83862"/>
    <w:rsid w:val="00A8486C"/>
    <w:rsid w:val="00A96702"/>
    <w:rsid w:val="00A97EB2"/>
    <w:rsid w:val="00AA14A9"/>
    <w:rsid w:val="00AB780A"/>
    <w:rsid w:val="00AC3978"/>
    <w:rsid w:val="00AC4315"/>
    <w:rsid w:val="00AD42DA"/>
    <w:rsid w:val="00AE55A9"/>
    <w:rsid w:val="00AF61B8"/>
    <w:rsid w:val="00B110AD"/>
    <w:rsid w:val="00B11C67"/>
    <w:rsid w:val="00B16904"/>
    <w:rsid w:val="00B2067B"/>
    <w:rsid w:val="00B2371B"/>
    <w:rsid w:val="00B2436D"/>
    <w:rsid w:val="00B271BA"/>
    <w:rsid w:val="00B3429E"/>
    <w:rsid w:val="00B74237"/>
    <w:rsid w:val="00B82F15"/>
    <w:rsid w:val="00B84A36"/>
    <w:rsid w:val="00B92A20"/>
    <w:rsid w:val="00BA3AB4"/>
    <w:rsid w:val="00BA4622"/>
    <w:rsid w:val="00BB4C9F"/>
    <w:rsid w:val="00BB61A1"/>
    <w:rsid w:val="00BC0794"/>
    <w:rsid w:val="00BC0D5D"/>
    <w:rsid w:val="00BD118F"/>
    <w:rsid w:val="00BE2F68"/>
    <w:rsid w:val="00BE38FC"/>
    <w:rsid w:val="00BF2A43"/>
    <w:rsid w:val="00C03C7B"/>
    <w:rsid w:val="00C3493B"/>
    <w:rsid w:val="00C37458"/>
    <w:rsid w:val="00C438DD"/>
    <w:rsid w:val="00C43CD1"/>
    <w:rsid w:val="00C449C5"/>
    <w:rsid w:val="00C45020"/>
    <w:rsid w:val="00C5022C"/>
    <w:rsid w:val="00C552FD"/>
    <w:rsid w:val="00C63573"/>
    <w:rsid w:val="00C73F13"/>
    <w:rsid w:val="00C95D8A"/>
    <w:rsid w:val="00CA61C5"/>
    <w:rsid w:val="00CB719A"/>
    <w:rsid w:val="00CC1DF4"/>
    <w:rsid w:val="00CC6FCD"/>
    <w:rsid w:val="00CD5D1C"/>
    <w:rsid w:val="00CE2F8C"/>
    <w:rsid w:val="00CE45D4"/>
    <w:rsid w:val="00CE4662"/>
    <w:rsid w:val="00CF75CA"/>
    <w:rsid w:val="00CF7B67"/>
    <w:rsid w:val="00D00FD5"/>
    <w:rsid w:val="00D160C2"/>
    <w:rsid w:val="00D276B9"/>
    <w:rsid w:val="00D36466"/>
    <w:rsid w:val="00D52086"/>
    <w:rsid w:val="00D54F5C"/>
    <w:rsid w:val="00D631C4"/>
    <w:rsid w:val="00D67336"/>
    <w:rsid w:val="00D74038"/>
    <w:rsid w:val="00D74C6A"/>
    <w:rsid w:val="00D93D4F"/>
    <w:rsid w:val="00D942EB"/>
    <w:rsid w:val="00D96A64"/>
    <w:rsid w:val="00DA2A7B"/>
    <w:rsid w:val="00DB00CD"/>
    <w:rsid w:val="00DC7E1B"/>
    <w:rsid w:val="00DD1DDC"/>
    <w:rsid w:val="00DD3718"/>
    <w:rsid w:val="00DD7E7A"/>
    <w:rsid w:val="00DF39E3"/>
    <w:rsid w:val="00E033B7"/>
    <w:rsid w:val="00E06C2F"/>
    <w:rsid w:val="00E10901"/>
    <w:rsid w:val="00E23863"/>
    <w:rsid w:val="00E24399"/>
    <w:rsid w:val="00E274C6"/>
    <w:rsid w:val="00E41399"/>
    <w:rsid w:val="00E4762D"/>
    <w:rsid w:val="00E47F86"/>
    <w:rsid w:val="00E57C96"/>
    <w:rsid w:val="00E63279"/>
    <w:rsid w:val="00E64696"/>
    <w:rsid w:val="00E706D8"/>
    <w:rsid w:val="00E74BD5"/>
    <w:rsid w:val="00E7592A"/>
    <w:rsid w:val="00E839DA"/>
    <w:rsid w:val="00E90B4F"/>
    <w:rsid w:val="00E915E3"/>
    <w:rsid w:val="00E9325C"/>
    <w:rsid w:val="00E94DA2"/>
    <w:rsid w:val="00E96229"/>
    <w:rsid w:val="00E96D45"/>
    <w:rsid w:val="00E97B4B"/>
    <w:rsid w:val="00EB197A"/>
    <w:rsid w:val="00EB4197"/>
    <w:rsid w:val="00EB4756"/>
    <w:rsid w:val="00EC4AFD"/>
    <w:rsid w:val="00ED0067"/>
    <w:rsid w:val="00ED06E4"/>
    <w:rsid w:val="00EE2509"/>
    <w:rsid w:val="00EE3D03"/>
    <w:rsid w:val="00EE40B6"/>
    <w:rsid w:val="00EE740D"/>
    <w:rsid w:val="00F13C5A"/>
    <w:rsid w:val="00F14BDB"/>
    <w:rsid w:val="00F22AF2"/>
    <w:rsid w:val="00F2602A"/>
    <w:rsid w:val="00F2677A"/>
    <w:rsid w:val="00F27D29"/>
    <w:rsid w:val="00F424C9"/>
    <w:rsid w:val="00F66B41"/>
    <w:rsid w:val="00F70811"/>
    <w:rsid w:val="00F82A0E"/>
    <w:rsid w:val="00F85E20"/>
    <w:rsid w:val="00F970FB"/>
    <w:rsid w:val="00FB39CB"/>
    <w:rsid w:val="00FB6E45"/>
    <w:rsid w:val="00FC2254"/>
    <w:rsid w:val="00FC30DA"/>
    <w:rsid w:val="00FC64EE"/>
    <w:rsid w:val="00FE2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35A9C44"/>
  <w15:docId w15:val="{E7B48B2E-8302-4893-A265-5F43C236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styleId="PlaceholderText">
    <w:name w:val="Placeholder Text"/>
    <w:basedOn w:val="DefaultParagraphFont"/>
    <w:uiPriority w:val="99"/>
    <w:semiHidden/>
    <w:rsid w:val="00EE40B6"/>
    <w:rPr>
      <w:color w:val="808080"/>
    </w:rPr>
  </w:style>
  <w:style w:type="paragraph" w:customStyle="1" w:styleId="IASBNormalnpara">
    <w:name w:val="IASB Normal npara"/>
    <w:basedOn w:val="Normal"/>
    <w:rsid w:val="00AE55A9"/>
    <w:pPr>
      <w:spacing w:before="100"/>
      <w:ind w:left="782" w:hanging="782"/>
    </w:pPr>
    <w:rPr>
      <w:lang w:val="en-US"/>
    </w:rPr>
  </w:style>
  <w:style w:type="paragraph" w:customStyle="1" w:styleId="IASBSectionTitle1NonInd">
    <w:name w:val="IASB Section Title 1 NonInd"/>
    <w:basedOn w:val="Normal"/>
    <w:rsid w:val="00AE55A9"/>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AE55A9"/>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AE55A9"/>
    <w:pPr>
      <w:ind w:left="1564"/>
    </w:pPr>
  </w:style>
  <w:style w:type="paragraph" w:customStyle="1" w:styleId="IASBNormalL1">
    <w:name w:val="IASB Normal L1"/>
    <w:basedOn w:val="IASBNormalnpara"/>
    <w:rsid w:val="00AE55A9"/>
  </w:style>
  <w:style w:type="paragraph" w:customStyle="1" w:styleId="IASBNormalL2">
    <w:name w:val="IASB Normal L2"/>
    <w:basedOn w:val="IASBNormalL1"/>
    <w:rsid w:val="00AE55A9"/>
    <w:pPr>
      <w:ind w:left="1564"/>
    </w:pPr>
  </w:style>
  <w:style w:type="paragraph" w:customStyle="1" w:styleId="IASBTableNormal">
    <w:name w:val="IASB Table Normal"/>
    <w:basedOn w:val="Normal"/>
    <w:rsid w:val="00AE55A9"/>
    <w:pPr>
      <w:spacing w:before="80" w:after="60"/>
      <w:jc w:val="left"/>
    </w:pPr>
    <w:rPr>
      <w:lang w:val="en-GB" w:eastAsia="en-GB"/>
    </w:rPr>
  </w:style>
  <w:style w:type="paragraph" w:customStyle="1" w:styleId="IASBTableHeaderArial">
    <w:name w:val="IASB Table Header Arial"/>
    <w:basedOn w:val="Normal"/>
    <w:qFormat/>
    <w:rsid w:val="00AE55A9"/>
    <w:pPr>
      <w:keepNext/>
      <w:spacing w:before="120" w:after="100"/>
      <w:jc w:val="left"/>
    </w:pPr>
    <w:rPr>
      <w:rFonts w:ascii="Arial" w:hAnsi="Arial"/>
      <w:b/>
      <w:sz w:val="18"/>
      <w:lang w:val="en-GB" w:eastAsia="en-GB"/>
    </w:rPr>
  </w:style>
  <w:style w:type="paragraph" w:styleId="Revision">
    <w:name w:val="Revision"/>
    <w:hidden/>
    <w:uiPriority w:val="99"/>
    <w:semiHidden/>
    <w:rsid w:val="005A6637"/>
    <w:rPr>
      <w:sz w:val="19"/>
      <w:lang w:eastAsia="en-US"/>
    </w:rPr>
  </w:style>
  <w:style w:type="character" w:styleId="CommentReference">
    <w:name w:val="annotation reference"/>
    <w:basedOn w:val="DefaultParagraphFont"/>
    <w:semiHidden/>
    <w:unhideWhenUsed/>
    <w:rsid w:val="005A6637"/>
    <w:rPr>
      <w:sz w:val="16"/>
      <w:szCs w:val="16"/>
    </w:rPr>
  </w:style>
  <w:style w:type="paragraph" w:styleId="CommentText">
    <w:name w:val="annotation text"/>
    <w:basedOn w:val="Normal"/>
    <w:link w:val="CommentTextChar"/>
    <w:unhideWhenUsed/>
    <w:rsid w:val="005A6637"/>
    <w:rPr>
      <w:sz w:val="20"/>
    </w:rPr>
  </w:style>
  <w:style w:type="character" w:customStyle="1" w:styleId="CommentTextChar">
    <w:name w:val="Comment Text Char"/>
    <w:basedOn w:val="DefaultParagraphFont"/>
    <w:link w:val="CommentText"/>
    <w:rsid w:val="005A6637"/>
    <w:rPr>
      <w:lang w:eastAsia="en-US"/>
    </w:rPr>
  </w:style>
  <w:style w:type="paragraph" w:styleId="CommentSubject">
    <w:name w:val="annotation subject"/>
    <w:basedOn w:val="CommentText"/>
    <w:next w:val="CommentText"/>
    <w:link w:val="CommentSubjectChar"/>
    <w:semiHidden/>
    <w:unhideWhenUsed/>
    <w:rsid w:val="005A6637"/>
    <w:rPr>
      <w:b/>
      <w:bCs/>
    </w:rPr>
  </w:style>
  <w:style w:type="character" w:customStyle="1" w:styleId="CommentSubjectChar">
    <w:name w:val="Comment Subject Char"/>
    <w:basedOn w:val="CommentTextChar"/>
    <w:link w:val="CommentSubject"/>
    <w:semiHidden/>
    <w:rsid w:val="005A6637"/>
    <w:rPr>
      <w:b/>
      <w:bCs/>
      <w:lang w:eastAsia="en-US"/>
    </w:rPr>
  </w:style>
  <w:style w:type="paragraph" w:styleId="BodyText">
    <w:name w:val="Body Text"/>
    <w:basedOn w:val="Normal"/>
    <w:link w:val="BodyTextChar"/>
    <w:unhideWhenUsed/>
    <w:rsid w:val="005A6637"/>
    <w:pPr>
      <w:spacing w:after="120"/>
    </w:pPr>
  </w:style>
  <w:style w:type="character" w:customStyle="1" w:styleId="BodyTextChar">
    <w:name w:val="Body Text Char"/>
    <w:basedOn w:val="DefaultParagraphFont"/>
    <w:link w:val="BodyText"/>
    <w:rsid w:val="005A6637"/>
    <w:rPr>
      <w:sz w:val="19"/>
      <w:lang w:eastAsia="en-US"/>
    </w:rPr>
  </w:style>
  <w:style w:type="character" w:customStyle="1" w:styleId="HeaderChar">
    <w:name w:val="Header Char"/>
    <w:basedOn w:val="DefaultParagraphFont"/>
    <w:link w:val="Header"/>
    <w:rsid w:val="00273C4A"/>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hn\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05C924-3672-446A-AB46-139D1CF99F82}"/>
      </w:docPartPr>
      <w:docPartBody>
        <w:p w:rsidR="00083B37" w:rsidRDefault="008E40D3">
          <w:r w:rsidRPr="006C3F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D3"/>
    <w:rsid w:val="00083B37"/>
    <w:rsid w:val="00700B82"/>
    <w:rsid w:val="008E4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0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821C3-00EA-46A5-8D5F-F5FD41216991}">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4e2d1ddd-4ff2-4144-ad72-d941cc701c35"/>
    <ds:schemaRef ds:uri="http://purl.org/dc/dcmitype/"/>
  </ds:schemaRefs>
</ds:datastoreItem>
</file>

<file path=customXml/itemProps2.xml><?xml version="1.0" encoding="utf-8"?>
<ds:datastoreItem xmlns:ds="http://schemas.openxmlformats.org/officeDocument/2006/customXml" ds:itemID="{D1660860-9CE2-4828-8B89-E5C48DFB63AE}">
  <ds:schemaRefs>
    <ds:schemaRef ds:uri="http://schemas.microsoft.com/sharepoint/v3/contenttype/forms"/>
  </ds:schemaRefs>
</ds:datastoreItem>
</file>

<file path=customXml/itemProps3.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AmendingIFRS.dotx</Template>
  <TotalTime>12</TotalTime>
  <Pages>6</Pages>
  <Words>1128</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AASB 2023-2 International Tax Reform - Pillar Two Model Rules</vt:lpstr>
    </vt:vector>
  </TitlesOfParts>
  <Company>Australian Accounting Standards Board</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2023-2 (6/23)</dc:title>
  <dc:subject/>
  <dc:creator>.</dc:creator>
  <cp:lastModifiedBy>Kathleen John</cp:lastModifiedBy>
  <cp:revision>10</cp:revision>
  <cp:lastPrinted>2023-06-26T05:09:00Z</cp:lastPrinted>
  <dcterms:created xsi:type="dcterms:W3CDTF">2023-06-22T04:52:00Z</dcterms:created>
  <dcterms:modified xsi:type="dcterms:W3CDTF">2023-06-26T05:09:00Z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ad4348de-b169-492a-96d9-a9537df4c003</vt:lpwstr>
  </property>
  <property fmtid="{D5CDD505-2E9C-101B-9397-08002B2CF9AE}" pid="4" name="SecurityClassification">
    <vt:lpwstr>Official</vt:lpwstr>
  </property>
</Properties>
</file>