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Layout w:type="fixed"/>
        <w:tblLook w:val="0000" w:firstRow="0" w:lastRow="0" w:firstColumn="0" w:lastColumn="0" w:noHBand="0" w:noVBand="0"/>
        <w:tblCaption w:val="Cover page header for AASB amending Standard"/>
        <w:tblDescription w:val="Identification that the pronouncement is an AASB Standard, the Standard number, and the month of issue of the AASB amending Standard"/>
      </w:tblPr>
      <w:tblGrid>
        <w:gridCol w:w="4661"/>
        <w:gridCol w:w="4661"/>
      </w:tblGrid>
      <w:tr w:rsidR="00090A6F" w:rsidRPr="0000292B" w14:paraId="5F22FAE9" w14:textId="77777777" w:rsidTr="00A22E0D">
        <w:tc>
          <w:tcPr>
            <w:tcW w:w="4661" w:type="dxa"/>
          </w:tcPr>
          <w:p w14:paraId="5F22FAE6" w14:textId="77777777" w:rsidR="00090A6F" w:rsidRPr="0000292B" w:rsidRDefault="00364B30">
            <w:pPr>
              <w:pStyle w:val="CoverStandard"/>
            </w:pPr>
            <w:r>
              <w:t>AASB</w:t>
            </w:r>
            <w:r w:rsidR="00831497">
              <w:t xml:space="preserve"> Standard</w:t>
            </w:r>
          </w:p>
        </w:tc>
        <w:tc>
          <w:tcPr>
            <w:tcW w:w="4661" w:type="dxa"/>
          </w:tcPr>
          <w:p w14:paraId="5F22FAE7" w14:textId="0743FEBF" w:rsidR="00090A6F" w:rsidRPr="0000292B" w:rsidRDefault="00831497">
            <w:pPr>
              <w:pStyle w:val="CoverNumber"/>
            </w:pPr>
            <w:r>
              <w:t>AASB</w:t>
            </w:r>
            <w:r w:rsidR="00090A6F" w:rsidRPr="0000292B">
              <w:t xml:space="preserve"> </w:t>
            </w:r>
            <w:bookmarkStart w:id="0" w:name="DocNo"/>
            <w:sdt>
              <w:sdtPr>
                <w:id w:val="-1390409222"/>
                <w:lock w:val="contentLocked"/>
                <w:placeholder>
                  <w:docPart w:val="DefaultPlaceholder_-1854013440"/>
                </w:placeholder>
                <w:group/>
              </w:sdtPr>
              <w:sdtContent>
                <w:r w:rsidR="00BB598F">
                  <w:t>202</w:t>
                </w:r>
                <w:r w:rsidR="002C128D">
                  <w:t>3-</w:t>
                </w:r>
                <w:r w:rsidR="007205D9">
                  <w:t>1</w:t>
                </w:r>
                <w:bookmarkEnd w:id="0"/>
              </w:sdtContent>
            </w:sdt>
          </w:p>
          <w:p w14:paraId="5F22FAE8" w14:textId="1ADE7B7A" w:rsidR="00090A6F" w:rsidRPr="0000292B" w:rsidRDefault="004474A8">
            <w:pPr>
              <w:pStyle w:val="CoverDate"/>
            </w:pPr>
            <w:bookmarkStart w:id="1" w:name="DocDate"/>
            <w:r>
              <w:t>June</w:t>
            </w:r>
            <w:r w:rsidR="00FB624A" w:rsidRPr="005732F4">
              <w:t xml:space="preserve"> 202</w:t>
            </w:r>
            <w:r w:rsidR="00FB624A">
              <w:t>3</w:t>
            </w:r>
            <w:bookmarkEnd w:id="1"/>
          </w:p>
        </w:tc>
      </w:tr>
    </w:tbl>
    <w:bookmarkStart w:id="2" w:name="DocTitle" w:displacedByCustomXml="next"/>
    <w:sdt>
      <w:sdtPr>
        <w:id w:val="-932275068"/>
        <w:lock w:val="contentLocked"/>
        <w:placeholder>
          <w:docPart w:val="DefaultPlaceholder_-1854013440"/>
        </w:placeholder>
        <w:group/>
      </w:sdtPr>
      <w:sdtContent>
        <w:p w14:paraId="5F22FAEA" w14:textId="2BA7ECE5" w:rsidR="00090A6F" w:rsidRPr="0000292B" w:rsidRDefault="00BB598F" w:rsidP="00D25859">
          <w:pPr>
            <w:pStyle w:val="CoverTitle"/>
            <w:jc w:val="left"/>
          </w:pPr>
          <w:r>
            <w:t>Amendments to Australian Accounting Standards</w:t>
          </w:r>
          <w:r w:rsidR="00243317" w:rsidRPr="00637016">
            <w:t xml:space="preserve"> – </w:t>
          </w:r>
          <w:r>
            <w:t>Supplier Finance Arrangements</w:t>
          </w:r>
        </w:p>
        <w:bookmarkEnd w:id="2" w:displacedByCustomXml="next"/>
      </w:sdtContent>
    </w:sdt>
    <w:p w14:paraId="5F22FAEB" w14:textId="21B80A7F" w:rsidR="00C5022C" w:rsidRPr="00C5022C" w:rsidRDefault="002B7803" w:rsidP="00C5022C">
      <w:pPr>
        <w:pStyle w:val="CoverSubtitle"/>
      </w:pPr>
      <w:r>
        <w:t>[</w:t>
      </w:r>
      <w:bookmarkStart w:id="3" w:name="AmendingNos"/>
      <w:r w:rsidR="00BB598F">
        <w:t>AASB 7 &amp; AAS</w:t>
      </w:r>
      <w:r w:rsidR="00931E75">
        <w:t>B</w:t>
      </w:r>
      <w:r w:rsidR="00FB423F">
        <w:t xml:space="preserve"> </w:t>
      </w:r>
      <w:r w:rsidR="00931E75">
        <w:t>107</w:t>
      </w:r>
      <w:bookmarkEnd w:id="3"/>
      <w:r>
        <w:t>]</w:t>
      </w:r>
    </w:p>
    <w:p w14:paraId="7AFA9D07" w14:textId="77777777" w:rsidR="00CD1A81" w:rsidRDefault="00CD1A81" w:rsidP="00DE63C2">
      <w:pPr>
        <w:spacing w:before="7800"/>
        <w:jc w:val="left"/>
        <w:sectPr w:rsidR="00CD1A81" w:rsidSect="00D74C6A">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09" w:footer="709" w:gutter="0"/>
          <w:paperSrc w:first="7" w:other="7"/>
          <w:cols w:space="720"/>
        </w:sectPr>
      </w:pPr>
      <w:r w:rsidRPr="005732F4">
        <w:rPr>
          <w:noProof/>
          <w:lang w:eastAsia="en-AU"/>
        </w:rPr>
        <w:drawing>
          <wp:inline distT="0" distB="0" distL="0" distR="0" wp14:anchorId="6CDCF24D" wp14:editId="4750A884">
            <wp:extent cx="1677600" cy="1332000"/>
            <wp:effectExtent l="0" t="0" r="0" b="1905"/>
            <wp:docPr id="187329993" name="Picture 187329993" descr="Australian crest, with text naming the Australian Government and the Australian Accounting Standards Board" title="Logo of the Australian Accounting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ASB_stack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77600" cy="1332000"/>
                    </a:xfrm>
                    <a:prstGeom prst="rect">
                      <a:avLst/>
                    </a:prstGeom>
                    <a:noFill/>
                    <a:ln>
                      <a:noFill/>
                    </a:ln>
                  </pic:spPr>
                </pic:pic>
              </a:graphicData>
            </a:graphic>
          </wp:inline>
        </w:drawing>
      </w:r>
    </w:p>
    <w:p w14:paraId="5F22FAEE" w14:textId="77777777" w:rsidR="00737714" w:rsidRPr="0000292B" w:rsidRDefault="00737714" w:rsidP="00F13C5A">
      <w:pPr>
        <w:pStyle w:val="Heading1"/>
      </w:pPr>
      <w:r w:rsidRPr="0000292B">
        <w:lastRenderedPageBreak/>
        <w:t xml:space="preserve">Obtaining a </w:t>
      </w:r>
      <w:r w:rsidR="005655CE">
        <w:t>c</w:t>
      </w:r>
      <w:r w:rsidRPr="0000292B">
        <w:t xml:space="preserve">opy of this </w:t>
      </w:r>
      <w:r w:rsidR="00C5022C">
        <w:t>Accounting Standard</w:t>
      </w:r>
    </w:p>
    <w:p w14:paraId="5F22FAEF" w14:textId="77777777" w:rsidR="00737714" w:rsidRPr="0000292B" w:rsidRDefault="00737714" w:rsidP="00895809">
      <w:pPr>
        <w:spacing w:after="200"/>
      </w:pPr>
      <w:r w:rsidRPr="0000292B">
        <w:t xml:space="preserve">This </w:t>
      </w:r>
      <w:r w:rsidR="00C5022C">
        <w:t>Standard</w:t>
      </w:r>
      <w:r w:rsidRPr="0000292B">
        <w:t xml:space="preserve"> is available o</w:t>
      </w:r>
      <w:r w:rsidR="00923261">
        <w:t>n the AASB website: www.aasb.gov</w:t>
      </w:r>
      <w:r w:rsidRPr="0000292B">
        <w:t>.au.</w:t>
      </w:r>
    </w:p>
    <w:p w14:paraId="5F22FAF0" w14:textId="77777777" w:rsidR="00895809" w:rsidRPr="0000292B" w:rsidRDefault="00895809" w:rsidP="00895809">
      <w:r w:rsidRPr="0000292B">
        <w:t>Australian Accounting Standards Board</w:t>
      </w:r>
    </w:p>
    <w:p w14:paraId="5F22FAF1" w14:textId="77777777" w:rsidR="00895809" w:rsidRPr="0000292B" w:rsidRDefault="00895809" w:rsidP="00895809">
      <w:r>
        <w:t>PO Box 204</w:t>
      </w:r>
    </w:p>
    <w:p w14:paraId="5F22FAF2" w14:textId="77777777" w:rsidR="00895809" w:rsidRPr="0000292B" w:rsidRDefault="00895809" w:rsidP="00895809">
      <w:r>
        <w:t>Collins Street West</w:t>
      </w:r>
    </w:p>
    <w:p w14:paraId="5F22FAF3" w14:textId="77777777" w:rsidR="00895809" w:rsidRPr="0000292B" w:rsidRDefault="00895809" w:rsidP="00895809">
      <w:r>
        <w:t>Victoria   8007</w:t>
      </w:r>
    </w:p>
    <w:p w14:paraId="5F22FAF4" w14:textId="77777777" w:rsidR="00895809" w:rsidRDefault="00895809" w:rsidP="00895809">
      <w:pPr>
        <w:pStyle w:val="CoverContact"/>
        <w:spacing w:after="200"/>
      </w:pPr>
      <w:r w:rsidRPr="0000292B">
        <w:t>AUSTRALIA</w:t>
      </w:r>
    </w:p>
    <w:p w14:paraId="5F22FAF5" w14:textId="77777777" w:rsidR="00737714" w:rsidRDefault="0034243B" w:rsidP="00B82F15">
      <w:pPr>
        <w:pStyle w:val="CoverContact"/>
      </w:pPr>
      <w:r>
        <w:t>Phone:</w:t>
      </w:r>
      <w:r>
        <w:tab/>
        <w:t>(03) 9617 7600</w:t>
      </w:r>
    </w:p>
    <w:p w14:paraId="5F22FAF6" w14:textId="77777777" w:rsidR="00E96D45" w:rsidRDefault="00DB00CD" w:rsidP="00DB00CD">
      <w:pPr>
        <w:pStyle w:val="CoverContact"/>
      </w:pPr>
      <w:r>
        <w:t>E-mail:</w:t>
      </w:r>
      <w:r>
        <w:tab/>
      </w:r>
      <w:r w:rsidR="0034243B">
        <w:t>standard</w:t>
      </w:r>
      <w:r>
        <w:t>@aasb.gov</w:t>
      </w:r>
      <w:r w:rsidRPr="00C5022C">
        <w:t>.au</w:t>
      </w:r>
    </w:p>
    <w:p w14:paraId="5F22FAF7" w14:textId="77777777" w:rsidR="00E96D45" w:rsidRPr="00E96D45" w:rsidRDefault="00DB00CD" w:rsidP="00DB00CD">
      <w:pPr>
        <w:pStyle w:val="CoverContact"/>
        <w:spacing w:after="240"/>
      </w:pPr>
      <w:r>
        <w:t>Website:</w:t>
      </w:r>
      <w:r>
        <w:tab/>
        <w:t>www.aasb.gov.au</w:t>
      </w:r>
    </w:p>
    <w:p w14:paraId="5F22FAF8" w14:textId="77777777" w:rsidR="00090A6F" w:rsidRPr="0000292B" w:rsidRDefault="00090A6F" w:rsidP="00F13C5A">
      <w:pPr>
        <w:pStyle w:val="Heading1"/>
      </w:pPr>
      <w:r w:rsidRPr="0000292B">
        <w:t xml:space="preserve">Other </w:t>
      </w:r>
      <w:r w:rsidR="005655CE" w:rsidRPr="0000292B">
        <w:t>enquiries</w:t>
      </w:r>
    </w:p>
    <w:p w14:paraId="5F22FAF9" w14:textId="77777777" w:rsidR="00090A6F" w:rsidRPr="0000292B" w:rsidRDefault="00090A6F" w:rsidP="00B82F15">
      <w:pPr>
        <w:pStyle w:val="CoverContact"/>
      </w:pPr>
      <w:r w:rsidRPr="0000292B">
        <w:t>Phone:</w:t>
      </w:r>
      <w:r w:rsidRPr="0000292B">
        <w:tab/>
        <w:t xml:space="preserve">(03) </w:t>
      </w:r>
      <w:r w:rsidRPr="00B82F15">
        <w:t>9617</w:t>
      </w:r>
      <w:r w:rsidRPr="0000292B">
        <w:t xml:space="preserve"> 7600</w:t>
      </w:r>
    </w:p>
    <w:p w14:paraId="5F22FAFA" w14:textId="77777777" w:rsidR="00090A6F" w:rsidRPr="0000292B" w:rsidRDefault="00923261">
      <w:pPr>
        <w:pStyle w:val="CoverContact"/>
      </w:pPr>
      <w:r>
        <w:t>E-mail:</w:t>
      </w:r>
      <w:r>
        <w:tab/>
        <w:t>standard@aasb.gov</w:t>
      </w:r>
      <w:r w:rsidR="00090A6F" w:rsidRPr="0000292B">
        <w:t>.au</w:t>
      </w:r>
    </w:p>
    <w:p w14:paraId="5F22FAFB" w14:textId="77777777" w:rsidR="00276BC5" w:rsidRDefault="00276BC5" w:rsidP="00DE63C2">
      <w:pPr>
        <w:pStyle w:val="NoNumPlain1"/>
        <w:spacing w:before="6000"/>
      </w:pPr>
      <w:r>
        <w:t>COPYRIGHT</w:t>
      </w:r>
    </w:p>
    <w:p w14:paraId="5F22FAFC" w14:textId="77777777" w:rsidR="00276BC5" w:rsidRDefault="00276BC5" w:rsidP="00276BC5">
      <w:pPr>
        <w:pStyle w:val="NoNumPlain1"/>
      </w:pPr>
      <w:r>
        <w:t xml:space="preserve">© Commonwealth of Australia </w:t>
      </w:r>
      <w:bookmarkStart w:id="4" w:name="Year"/>
      <w:r w:rsidR="00BB598F">
        <w:t>2023</w:t>
      </w:r>
      <w:bookmarkEnd w:id="4"/>
    </w:p>
    <w:p w14:paraId="5F22FAFD" w14:textId="3352F2B4" w:rsidR="00276BC5" w:rsidRPr="00DE4E67" w:rsidRDefault="00276BC5" w:rsidP="00276BC5">
      <w:pPr>
        <w:pStyle w:val="NoNumPlain1"/>
      </w:pPr>
      <w:r w:rsidRPr="00DE4E67">
        <w:t xml:space="preserve">This AASB Standard contains </w:t>
      </w:r>
      <w:r>
        <w:t>IFRS</w:t>
      </w:r>
      <w:r w:rsidRPr="00DE4E67">
        <w:t xml:space="preserve"> Foundation copyright material.  Reproduction within Australia in unaltered form (retaining this notice) is permitted for personal and non</w:t>
      </w:r>
      <w:r w:rsidR="00895809">
        <w:t>-</w:t>
      </w:r>
      <w:r w:rsidRPr="00DE4E67">
        <w:t xml:space="preserve">commercial use subject to the inclusion of an acknowledgment of the source.  Requests and enquiries concerning reproduction and rights for commercial purposes within Australia should be addressed to The </w:t>
      </w:r>
      <w:r w:rsidR="00CF60CC">
        <w:t xml:space="preserve">Managing </w:t>
      </w:r>
      <w:r w:rsidRPr="00DE4E67">
        <w:t xml:space="preserve">Director, Australian Accounting Standards Board, </w:t>
      </w:r>
      <w:r w:rsidR="00895809">
        <w:t>PO</w:t>
      </w:r>
      <w:r w:rsidR="00CF60CC">
        <w:t xml:space="preserve"> </w:t>
      </w:r>
      <w:r w:rsidR="00895809">
        <w:t>Box</w:t>
      </w:r>
      <w:r w:rsidR="00CF60CC">
        <w:t xml:space="preserve"> </w:t>
      </w:r>
      <w:r w:rsidRPr="00DE4E67">
        <w:t>204, Collins Street West, Victoria 8007.</w:t>
      </w:r>
    </w:p>
    <w:p w14:paraId="5F22FAFE" w14:textId="5005F623" w:rsidR="00276BC5" w:rsidRPr="00DE4E67" w:rsidRDefault="00276BC5" w:rsidP="00895809">
      <w:pPr>
        <w:spacing w:after="200"/>
      </w:pPr>
      <w:r w:rsidRPr="00DE4E67">
        <w:t>All existing rights in this material are reserved outside Australia.</w:t>
      </w:r>
      <w:r w:rsidR="00895809">
        <w:t xml:space="preserve">  </w:t>
      </w:r>
      <w:r w:rsidRPr="00DE4E67">
        <w:t xml:space="preserve">Reproduction outside Australia in unaltered form (retaining this notice) is permitted for personal and non-commercial use only.  Further information and requests for authorisation to reproduce </w:t>
      </w:r>
      <w:r w:rsidR="00AC5EB7">
        <w:t xml:space="preserve">IFRS Foundation copyright material </w:t>
      </w:r>
      <w:r w:rsidRPr="00DE4E67">
        <w:t xml:space="preserve">for commercial purposes outside Australia should be addressed to the </w:t>
      </w:r>
      <w:r>
        <w:t>IFRS</w:t>
      </w:r>
      <w:r w:rsidRPr="00DE4E67">
        <w:t xml:space="preserve"> Foundation at www.</w:t>
      </w:r>
      <w:r>
        <w:t>ifrs</w:t>
      </w:r>
      <w:r w:rsidRPr="00DE4E67">
        <w:t>.org.</w:t>
      </w:r>
    </w:p>
    <w:p w14:paraId="5F22FAFF" w14:textId="77777777" w:rsidR="007455F0" w:rsidRPr="0000292B" w:rsidRDefault="006D4700" w:rsidP="006D4700">
      <w:r>
        <w:t xml:space="preserve">ISSN </w:t>
      </w:r>
      <w:bookmarkStart w:id="5" w:name="ISSN"/>
      <w:r w:rsidR="00BB598F">
        <w:t>1036-4803</w:t>
      </w:r>
      <w:bookmarkEnd w:id="5"/>
    </w:p>
    <w:p w14:paraId="5F22FB00" w14:textId="77777777" w:rsidR="00090A6F" w:rsidRPr="0000292B" w:rsidRDefault="00090A6F">
      <w:pPr>
        <w:sectPr w:rsidR="00090A6F" w:rsidRPr="0000292B" w:rsidSect="00D74C6A">
          <w:footerReference w:type="default" r:id="rId18"/>
          <w:pgSz w:w="11907" w:h="16840" w:code="9"/>
          <w:pgMar w:top="1418" w:right="1418" w:bottom="1418" w:left="1418" w:header="709" w:footer="709" w:gutter="0"/>
          <w:paperSrc w:first="7" w:other="7"/>
          <w:cols w:space="720"/>
        </w:sectPr>
      </w:pPr>
    </w:p>
    <w:p w14:paraId="5F22FB01" w14:textId="77777777" w:rsidR="00090A6F" w:rsidRPr="0000292B" w:rsidRDefault="005655CE">
      <w:pPr>
        <w:pStyle w:val="Heading1"/>
      </w:pPr>
      <w:r w:rsidRPr="0000292B">
        <w:lastRenderedPageBreak/>
        <w:t>Contents</w:t>
      </w:r>
    </w:p>
    <w:p w14:paraId="5F22FB02" w14:textId="77777777" w:rsidR="00090A6F" w:rsidRPr="0000292B" w:rsidRDefault="00090A6F" w:rsidP="00DE63C2">
      <w:pPr>
        <w:pStyle w:val="ContentsCapsPlain"/>
        <w:spacing w:before="400"/>
      </w:pPr>
      <w:r w:rsidRPr="0000292B">
        <w:t>Preface</w:t>
      </w:r>
    </w:p>
    <w:p w14:paraId="5F22FB03" w14:textId="77777777" w:rsidR="00090A6F" w:rsidRPr="0000292B" w:rsidRDefault="00090A6F">
      <w:pPr>
        <w:pStyle w:val="ContentsCapsBold"/>
      </w:pPr>
      <w:r w:rsidRPr="0000292B">
        <w:t>Accounting Standard</w:t>
      </w:r>
    </w:p>
    <w:p w14:paraId="5F22FB04" w14:textId="0FEBA726" w:rsidR="00090A6F" w:rsidRDefault="00090A6F" w:rsidP="00DE63C2">
      <w:pPr>
        <w:pStyle w:val="ContentsCapsBold"/>
        <w:jc w:val="left"/>
        <w:rPr>
          <w:i/>
          <w:iCs/>
        </w:rPr>
      </w:pPr>
      <w:r w:rsidRPr="0000292B">
        <w:t xml:space="preserve">AASB </w:t>
      </w:r>
      <w:r w:rsidR="009C2479" w:rsidRPr="00BC0D5D">
        <w:rPr>
          <w:iCs/>
        </w:rPr>
        <w:fldChar w:fldCharType="begin" w:fldLock="1"/>
      </w:r>
      <w:r w:rsidR="009C2479" w:rsidRPr="00BC0D5D">
        <w:rPr>
          <w:iCs/>
        </w:rPr>
        <w:instrText xml:space="preserve"> REF </w:instrText>
      </w:r>
      <w:r w:rsidR="009C2479">
        <w:rPr>
          <w:iCs/>
        </w:rPr>
        <w:instrText>Doc</w:instrText>
      </w:r>
      <w:r w:rsidR="009C2479" w:rsidRPr="00BC0D5D">
        <w:rPr>
          <w:iCs/>
        </w:rPr>
        <w:instrText xml:space="preserve">No \* charformat </w:instrText>
      </w:r>
      <w:r w:rsidR="009C2479" w:rsidRPr="00BC0D5D">
        <w:rPr>
          <w:iCs/>
        </w:rPr>
        <w:fldChar w:fldCharType="separate"/>
      </w:r>
      <w:r w:rsidR="007205D9" w:rsidRPr="007205D9">
        <w:rPr>
          <w:iCs/>
        </w:rPr>
        <w:t>2023-1</w:t>
      </w:r>
      <w:r w:rsidR="009C2479" w:rsidRPr="00BC0D5D">
        <w:rPr>
          <w:iCs/>
        </w:rPr>
        <w:fldChar w:fldCharType="end"/>
      </w:r>
      <w:r w:rsidRPr="0000292B">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7205D9" w:rsidRPr="007205D9">
        <w:rPr>
          <w:i/>
        </w:rPr>
        <w:t>Amendments to Australian Accounting Standards – Supplier Finance Arrangements</w:t>
      </w:r>
      <w:r w:rsidR="00CC1DF4" w:rsidRPr="00CC1DF4">
        <w:rPr>
          <w:i/>
        </w:rPr>
        <w:fldChar w:fldCharType="end"/>
      </w:r>
    </w:p>
    <w:p w14:paraId="5F22FB05" w14:textId="77777777" w:rsidR="002B7803" w:rsidRPr="002B7803" w:rsidRDefault="002B7803" w:rsidP="002B7803"/>
    <w:p w14:paraId="5F22FB06" w14:textId="7A625BF6" w:rsidR="00090A6F" w:rsidRPr="0000292B" w:rsidRDefault="009965BA">
      <w:pPr>
        <w:pStyle w:val="ContentsParaHead"/>
      </w:pPr>
      <w:r w:rsidRPr="00DC76B0">
        <w:t>from page</w:t>
      </w:r>
    </w:p>
    <w:p w14:paraId="5C9E7407" w14:textId="77777777" w:rsidR="00D1523A" w:rsidRPr="00637016" w:rsidRDefault="00D1523A" w:rsidP="00D1523A">
      <w:pPr>
        <w:pStyle w:val="ContentsLevel1"/>
        <w:ind w:right="-1"/>
      </w:pPr>
      <w:bookmarkStart w:id="6" w:name="TOCRange"/>
      <w:r w:rsidRPr="00637016">
        <w:t>Objective</w:t>
      </w:r>
      <w:r w:rsidRPr="00637016">
        <w:tab/>
      </w:r>
      <w:r>
        <w:t>5</w:t>
      </w:r>
    </w:p>
    <w:p w14:paraId="5F22FB08" w14:textId="725D06AC" w:rsidR="00090A6F" w:rsidRDefault="00D1523A" w:rsidP="00D1523A">
      <w:pPr>
        <w:pStyle w:val="ContentsLevel1"/>
        <w:ind w:right="-1"/>
      </w:pPr>
      <w:r w:rsidRPr="00637016">
        <w:t>Application</w:t>
      </w:r>
      <w:r w:rsidRPr="00637016">
        <w:tab/>
      </w:r>
      <w:r>
        <w:t>5</w:t>
      </w:r>
    </w:p>
    <w:p w14:paraId="5F22FB09" w14:textId="3D900077" w:rsidR="00BB598F" w:rsidRDefault="00BB598F" w:rsidP="00D1523A">
      <w:pPr>
        <w:pStyle w:val="ContentsLevel1"/>
        <w:ind w:right="-1"/>
      </w:pPr>
      <w:r>
        <w:t xml:space="preserve">Amendments to AASB </w:t>
      </w:r>
      <w:r w:rsidR="0051532E">
        <w:t>10</w:t>
      </w:r>
      <w:r>
        <w:t>7</w:t>
      </w:r>
      <w:r>
        <w:tab/>
      </w:r>
      <w:r w:rsidR="00D45363">
        <w:t>5</w:t>
      </w:r>
    </w:p>
    <w:p w14:paraId="5F22FB0A" w14:textId="5B289BC1" w:rsidR="00BB598F" w:rsidRDefault="00BB598F" w:rsidP="00D1523A">
      <w:pPr>
        <w:pStyle w:val="ContentsLevel1"/>
        <w:ind w:right="-1"/>
      </w:pPr>
      <w:r>
        <w:t>Amendments to AASB 7</w:t>
      </w:r>
      <w:r>
        <w:tab/>
      </w:r>
      <w:r w:rsidR="00D45363">
        <w:t>6</w:t>
      </w:r>
    </w:p>
    <w:p w14:paraId="7A8C6FDE" w14:textId="77777777" w:rsidR="00FF775A" w:rsidRPr="00637016" w:rsidRDefault="00FF775A" w:rsidP="00FF775A">
      <w:pPr>
        <w:pStyle w:val="ContentsLevel1"/>
        <w:ind w:right="-1"/>
      </w:pPr>
      <w:r w:rsidRPr="00637016">
        <w:t>Commencement of the legislative instrument</w:t>
      </w:r>
      <w:r w:rsidRPr="00637016">
        <w:tab/>
      </w:r>
      <w:r>
        <w:t>7</w:t>
      </w:r>
    </w:p>
    <w:p w14:paraId="5F22FB0C" w14:textId="7E1FDBA4" w:rsidR="0034243B" w:rsidRDefault="0034243B" w:rsidP="00DC76B0">
      <w:pPr>
        <w:pStyle w:val="ContentsCapsBold"/>
        <w:spacing w:before="400" w:after="120"/>
      </w:pPr>
      <w:bookmarkStart w:id="7" w:name="ContentsMarker"/>
      <w:bookmarkEnd w:id="6"/>
      <w:bookmarkEnd w:id="7"/>
      <w:r>
        <w:t>aVailable on the AASB website</w:t>
      </w:r>
    </w:p>
    <w:p w14:paraId="08FC7E6A" w14:textId="2B69794D" w:rsidR="001E4DC9" w:rsidRDefault="001E4DC9" w:rsidP="00DE63C2">
      <w:pPr>
        <w:pStyle w:val="ContentsCapsBoldPg"/>
        <w:spacing w:after="60"/>
      </w:pPr>
      <w:r>
        <w:t xml:space="preserve">IASB Implementation </w:t>
      </w:r>
      <w:r w:rsidR="000D4FF5">
        <w:t xml:space="preserve">guidance </w:t>
      </w:r>
      <w:r>
        <w:t>– Amendments</w:t>
      </w:r>
    </w:p>
    <w:p w14:paraId="701F9C74" w14:textId="1035A375" w:rsidR="00657C0C" w:rsidRPr="00637016" w:rsidRDefault="00657C0C" w:rsidP="00657C0C">
      <w:pPr>
        <w:pStyle w:val="ContentsCapsBoldPg"/>
        <w:spacing w:after="60"/>
      </w:pPr>
      <w:r w:rsidRPr="00637016">
        <w:t xml:space="preserve">IASB </w:t>
      </w:r>
      <w:r w:rsidR="001E4DC9">
        <w:t xml:space="preserve">Bases </w:t>
      </w:r>
      <w:r w:rsidRPr="00637016">
        <w:t>for Conclusions – Amendments</w:t>
      </w:r>
    </w:p>
    <w:p w14:paraId="460D5274" w14:textId="77777777" w:rsidR="000D4FF5" w:rsidRPr="00FF775A" w:rsidRDefault="000D4FF5" w:rsidP="000D4FF5">
      <w:pPr>
        <w:pStyle w:val="ContentsLevel1"/>
      </w:pPr>
    </w:p>
    <w:p w14:paraId="198EE13A" w14:textId="77777777" w:rsidR="00FF775A" w:rsidRPr="00FF775A" w:rsidRDefault="00FF775A" w:rsidP="00354C1E">
      <w:pPr>
        <w:pStyle w:val="ContentsLevel1"/>
      </w:pPr>
    </w:p>
    <w:p w14:paraId="5F22FB0F" w14:textId="6761E79E" w:rsidR="00090A6F" w:rsidRPr="0000292B" w:rsidRDefault="00090A6F">
      <w:pPr>
        <w:pStyle w:val="ContentsBox"/>
      </w:pPr>
      <w:r w:rsidRPr="0000292B">
        <w:t xml:space="preserve">Australian Accounting Standard AASB </w:t>
      </w:r>
      <w:r w:rsidR="00BC0D5D" w:rsidRPr="00BC0D5D">
        <w:rPr>
          <w:iCs/>
        </w:rPr>
        <w:fldChar w:fldCharType="begin" w:fldLock="1"/>
      </w:r>
      <w:r w:rsidR="00BC0D5D" w:rsidRPr="00BC0D5D">
        <w:rPr>
          <w:iCs/>
        </w:rPr>
        <w:instrText xml:space="preserve"> REF </w:instrText>
      </w:r>
      <w:r w:rsidR="009C2479">
        <w:rPr>
          <w:iCs/>
        </w:rPr>
        <w:instrText>Doc</w:instrText>
      </w:r>
      <w:r w:rsidR="00BC0D5D" w:rsidRPr="00BC0D5D">
        <w:rPr>
          <w:iCs/>
        </w:rPr>
        <w:instrText xml:space="preserve">No \* charformat </w:instrText>
      </w:r>
      <w:r w:rsidR="00BC0D5D" w:rsidRPr="00BC0D5D">
        <w:rPr>
          <w:iCs/>
        </w:rPr>
        <w:fldChar w:fldCharType="separate"/>
      </w:r>
      <w:r w:rsidR="007205D9" w:rsidRPr="007205D9">
        <w:rPr>
          <w:iCs/>
        </w:rPr>
        <w:t>2023-1</w:t>
      </w:r>
      <w:r w:rsidR="00BC0D5D" w:rsidRPr="00BC0D5D">
        <w:rPr>
          <w:iCs/>
        </w:rPr>
        <w:fldChar w:fldCharType="end"/>
      </w:r>
      <w:r w:rsidRPr="0000292B">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7205D9" w:rsidRPr="007205D9">
        <w:rPr>
          <w:i/>
        </w:rPr>
        <w:t>Amendments to Australian Accounting Standards – Supplier Finance Arrangements</w:t>
      </w:r>
      <w:r w:rsidR="00CC1DF4" w:rsidRPr="00CC1DF4">
        <w:rPr>
          <w:i/>
        </w:rPr>
        <w:fldChar w:fldCharType="end"/>
      </w:r>
      <w:r w:rsidRPr="0000292B">
        <w:rPr>
          <w:i/>
          <w:iCs/>
        </w:rPr>
        <w:t xml:space="preserve"> </w:t>
      </w:r>
      <w:r w:rsidRPr="0000292B">
        <w:t xml:space="preserve">is set out </w:t>
      </w:r>
      <w:r w:rsidR="005655CE">
        <w:t>o</w:t>
      </w:r>
      <w:r w:rsidRPr="0000292B">
        <w:t xml:space="preserve">n </w:t>
      </w:r>
      <w:r w:rsidR="005655CE">
        <w:t>pages</w:t>
      </w:r>
      <w:r w:rsidR="00FB423F">
        <w:t xml:space="preserve"> 5–7</w:t>
      </w:r>
      <w:r w:rsidRPr="0000292B">
        <w:t>. All the pa</w:t>
      </w:r>
      <w:r w:rsidR="009C2479">
        <w:t>ragraphs have equal authority.</w:t>
      </w:r>
    </w:p>
    <w:p w14:paraId="5F22FB10" w14:textId="77777777" w:rsidR="00090A6F" w:rsidRPr="0000292B" w:rsidRDefault="00090A6F" w:rsidP="00FB423F">
      <w:pPr>
        <w:pStyle w:val="ContentsBox"/>
        <w:pBdr>
          <w:top w:val="none" w:sz="0" w:space="0" w:color="auto"/>
          <w:left w:val="none" w:sz="0" w:space="0" w:color="auto"/>
          <w:bottom w:val="none" w:sz="0" w:space="0" w:color="auto"/>
          <w:right w:val="none" w:sz="0" w:space="0" w:color="auto"/>
        </w:pBdr>
        <w:spacing w:after="0"/>
      </w:pPr>
    </w:p>
    <w:p w14:paraId="5F22FB11" w14:textId="77777777" w:rsidR="00090A6F" w:rsidRPr="0000292B" w:rsidRDefault="00090A6F" w:rsidP="00FB423F">
      <w:pPr>
        <w:sectPr w:rsidR="00090A6F" w:rsidRPr="0000292B" w:rsidSect="00D74C6A">
          <w:footerReference w:type="default" r:id="rId19"/>
          <w:pgSz w:w="11907" w:h="16840" w:code="9"/>
          <w:pgMar w:top="1418" w:right="1418" w:bottom="1418" w:left="1418" w:header="709" w:footer="709" w:gutter="0"/>
          <w:paperSrc w:first="7" w:other="7"/>
          <w:cols w:space="720"/>
        </w:sectPr>
      </w:pPr>
    </w:p>
    <w:p w14:paraId="5F22FB12" w14:textId="77777777" w:rsidR="00090A6F" w:rsidRPr="0000292B" w:rsidRDefault="00090A6F">
      <w:pPr>
        <w:pStyle w:val="Heading1"/>
      </w:pPr>
      <w:r w:rsidRPr="0000292B">
        <w:lastRenderedPageBreak/>
        <w:t>Preface</w:t>
      </w:r>
    </w:p>
    <w:p w14:paraId="5F22FB13" w14:textId="40D4FD92" w:rsidR="000F64CC" w:rsidRPr="0000292B" w:rsidRDefault="00CA61C5" w:rsidP="00DE63C2">
      <w:pPr>
        <w:pStyle w:val="IASBSectionTitle1NonInd"/>
      </w:pPr>
      <w:r>
        <w:t xml:space="preserve">Standards amended by AASB </w:t>
      </w:r>
      <w:r>
        <w:fldChar w:fldCharType="begin" w:fldLock="1"/>
      </w:r>
      <w:r>
        <w:instrText xml:space="preserve"> REF DocNo \* charformat</w:instrText>
      </w:r>
      <w:r>
        <w:fldChar w:fldCharType="separate"/>
      </w:r>
      <w:r w:rsidR="007205D9">
        <w:t>2023-1</w:t>
      </w:r>
      <w:r>
        <w:fldChar w:fldCharType="end"/>
      </w:r>
    </w:p>
    <w:p w14:paraId="5390B463" w14:textId="443A35A8" w:rsidR="00657A0C" w:rsidRPr="00DC76B0" w:rsidRDefault="009C2479" w:rsidP="005A2514">
      <w:pPr>
        <w:pStyle w:val="NoNumPlain1"/>
        <w:rPr>
          <w:i/>
        </w:rPr>
      </w:pPr>
      <w:r>
        <w:t xml:space="preserve">This Standard makes amendments to </w:t>
      </w:r>
      <w:r w:rsidR="007B59C8" w:rsidRPr="007B59C8">
        <w:t xml:space="preserve">AASB </w:t>
      </w:r>
      <w:r w:rsidR="000577D0" w:rsidRPr="00DC76B0">
        <w:t>107</w:t>
      </w:r>
      <w:r w:rsidR="002817A6">
        <w:t xml:space="preserve"> </w:t>
      </w:r>
      <w:r w:rsidR="000577D0" w:rsidRPr="00DC76B0">
        <w:rPr>
          <w:i/>
        </w:rPr>
        <w:t>Statement of Cash Flows</w:t>
      </w:r>
      <w:r w:rsidR="00801CFA">
        <w:rPr>
          <w:i/>
          <w:iCs/>
        </w:rPr>
        <w:t xml:space="preserve"> </w:t>
      </w:r>
      <w:r w:rsidR="00801CFA" w:rsidRPr="00DC76B0">
        <w:t>(</w:t>
      </w:r>
      <w:r w:rsidR="00240C14">
        <w:t>August 20</w:t>
      </w:r>
      <w:r w:rsidR="00F84E09">
        <w:t>15</w:t>
      </w:r>
      <w:r w:rsidR="00801CFA" w:rsidRPr="00DC76B0">
        <w:t>)</w:t>
      </w:r>
      <w:r w:rsidR="006F7F60" w:rsidRPr="006F7F60">
        <w:t xml:space="preserve"> </w:t>
      </w:r>
      <w:r w:rsidR="006F7F60">
        <w:t xml:space="preserve">and </w:t>
      </w:r>
      <w:r w:rsidR="006F7F60" w:rsidRPr="007B59C8">
        <w:t>AASB 7</w:t>
      </w:r>
      <w:r w:rsidR="006F7F60">
        <w:t xml:space="preserve"> </w:t>
      </w:r>
      <w:r w:rsidR="006F7F60" w:rsidRPr="000057DD">
        <w:rPr>
          <w:i/>
          <w:iCs/>
        </w:rPr>
        <w:t>Financial Instruments: Disclosures</w:t>
      </w:r>
      <w:r w:rsidR="006F7F60">
        <w:t xml:space="preserve"> (</w:t>
      </w:r>
      <w:r w:rsidR="003A6716">
        <w:t>August 2015</w:t>
      </w:r>
      <w:r w:rsidR="006F7F60">
        <w:t>)</w:t>
      </w:r>
      <w:r w:rsidR="00863527">
        <w:t>.</w:t>
      </w:r>
    </w:p>
    <w:p w14:paraId="5F22FB16" w14:textId="719506FB" w:rsidR="008A16EB" w:rsidRDefault="00401ECA" w:rsidP="00401ECA">
      <w:pPr>
        <w:pStyle w:val="NoNumPlain1"/>
      </w:pPr>
      <w:r>
        <w:t xml:space="preserve">These </w:t>
      </w:r>
      <w:r w:rsidR="00460FBB">
        <w:t>a</w:t>
      </w:r>
      <w:r>
        <w:t>mendments arise from</w:t>
      </w:r>
      <w:r w:rsidR="00D00FD5">
        <w:t xml:space="preserve"> the issuance of </w:t>
      </w:r>
      <w:r w:rsidR="008A16EB">
        <w:t xml:space="preserve">International Financial Reporting Standard </w:t>
      </w:r>
      <w:bookmarkStart w:id="8" w:name="ArisingTitle"/>
      <w:r w:rsidR="00BB598F" w:rsidRPr="00BB598F">
        <w:rPr>
          <w:i/>
        </w:rPr>
        <w:t>Supplier Finance Arrangements</w:t>
      </w:r>
      <w:bookmarkEnd w:id="8"/>
      <w:r w:rsidR="00D916B8" w:rsidRPr="00DE63C2">
        <w:rPr>
          <w:iCs/>
        </w:rPr>
        <w:t xml:space="preserve"> </w:t>
      </w:r>
      <w:r w:rsidR="002817A6">
        <w:rPr>
          <w:iCs/>
        </w:rPr>
        <w:t>(</w:t>
      </w:r>
      <w:r w:rsidR="00D916B8" w:rsidRPr="00DE63C2">
        <w:rPr>
          <w:iCs/>
        </w:rPr>
        <w:t>Amendments to IAS 7 and IFRS 7</w:t>
      </w:r>
      <w:r w:rsidR="002817A6">
        <w:rPr>
          <w:iCs/>
        </w:rPr>
        <w:t>)</w:t>
      </w:r>
      <w:r w:rsidR="008A16EB">
        <w:t xml:space="preserve"> by the International Accounting Standards Board (IASB) in </w:t>
      </w:r>
      <w:bookmarkStart w:id="9" w:name="ArisingDate"/>
      <w:r w:rsidR="006250EB">
        <w:t>May</w:t>
      </w:r>
      <w:r w:rsidR="00BB598F">
        <w:t xml:space="preserve"> 2023</w:t>
      </w:r>
      <w:bookmarkEnd w:id="9"/>
      <w:r w:rsidR="008A16EB">
        <w:t>.</w:t>
      </w:r>
    </w:p>
    <w:p w14:paraId="5F22FB18" w14:textId="77777777" w:rsidR="00090A6F" w:rsidRDefault="00F22AF2" w:rsidP="00DE63C2">
      <w:pPr>
        <w:pStyle w:val="IASBSectionTitle1NonInd"/>
      </w:pPr>
      <w:r>
        <w:t>Main features of this Standard</w:t>
      </w:r>
    </w:p>
    <w:p w14:paraId="5F22FB19" w14:textId="77777777" w:rsidR="00F22AF2" w:rsidRDefault="00F22AF2" w:rsidP="00DE63C2">
      <w:pPr>
        <w:pStyle w:val="Heading2Indent1"/>
        <w:ind w:left="782"/>
      </w:pPr>
      <w:r>
        <w:t>Main requirements</w:t>
      </w:r>
    </w:p>
    <w:p w14:paraId="50B771AD" w14:textId="5C215E7B" w:rsidR="00872C3A" w:rsidRDefault="00E83E7E" w:rsidP="00313A6B">
      <w:pPr>
        <w:pStyle w:val="NoNumPlain1"/>
      </w:pPr>
      <w:r w:rsidRPr="00637016">
        <w:t>T</w:t>
      </w:r>
      <w:r w:rsidRPr="005E1C5F">
        <w:t xml:space="preserve">his Standard amends AASB </w:t>
      </w:r>
      <w:r w:rsidR="006F7F60">
        <w:t>10</w:t>
      </w:r>
      <w:r w:rsidR="006F6FAC" w:rsidRPr="005E1C5F">
        <w:t>7 and AASB 7</w:t>
      </w:r>
      <w:r w:rsidR="008F4ECA" w:rsidRPr="00DC76B0">
        <w:t xml:space="preserve"> to </w:t>
      </w:r>
      <w:r w:rsidR="00291D7A">
        <w:t>require</w:t>
      </w:r>
      <w:r w:rsidR="009941F6">
        <w:t xml:space="preserve"> an entity to provide additional </w:t>
      </w:r>
      <w:r w:rsidR="00AA3045">
        <w:t>disclosures</w:t>
      </w:r>
      <w:r w:rsidR="009941F6">
        <w:t xml:space="preserve"> about its</w:t>
      </w:r>
      <w:r w:rsidR="008F4ECA" w:rsidRPr="00DC76B0">
        <w:t xml:space="preserve"> supplier finance arrangements</w:t>
      </w:r>
      <w:r w:rsidR="00BC7694">
        <w:t xml:space="preserve">. The additional information will </w:t>
      </w:r>
      <w:r w:rsidR="006701AF">
        <w:t xml:space="preserve">enable users of financial statements </w:t>
      </w:r>
      <w:r w:rsidR="00BC7694">
        <w:t>to assess</w:t>
      </w:r>
      <w:r w:rsidR="002F46B6">
        <w:t xml:space="preserve"> how supplier finance arrangements affect</w:t>
      </w:r>
      <w:r w:rsidR="0018254E">
        <w:t xml:space="preserve"> an entity’s</w:t>
      </w:r>
      <w:r w:rsidR="008F4ECA" w:rsidRPr="00DC76B0">
        <w:t xml:space="preserve"> liabilities, cash </w:t>
      </w:r>
      <w:r w:rsidR="00872C3A">
        <w:t xml:space="preserve">flows </w:t>
      </w:r>
      <w:r w:rsidR="008F4ECA" w:rsidRPr="00DC76B0">
        <w:t>and exposure to liquidity risk.</w:t>
      </w:r>
      <w:r w:rsidR="005E1C5F" w:rsidRPr="005E1C5F">
        <w:t xml:space="preserve"> </w:t>
      </w:r>
    </w:p>
    <w:p w14:paraId="1D34E4F2" w14:textId="45EE3E93" w:rsidR="00E83E7E" w:rsidRPr="00637016" w:rsidRDefault="005E1C5F" w:rsidP="00313A6B">
      <w:pPr>
        <w:pStyle w:val="NoNumPlain1"/>
      </w:pPr>
      <w:r w:rsidRPr="00DC76B0">
        <w:t xml:space="preserve">The amendments require </w:t>
      </w:r>
      <w:r w:rsidR="00EF2211">
        <w:t>an entity</w:t>
      </w:r>
      <w:r w:rsidR="00276481">
        <w:t xml:space="preserve"> </w:t>
      </w:r>
      <w:r w:rsidRPr="00DC76B0">
        <w:t>to disclose</w:t>
      </w:r>
      <w:r w:rsidR="00617B9A">
        <w:t xml:space="preserve"> </w:t>
      </w:r>
      <w:r w:rsidRPr="00DC76B0">
        <w:t>the terms and conditions</w:t>
      </w:r>
      <w:r w:rsidR="00E83CBB">
        <w:t xml:space="preserve"> of the arrangements</w:t>
      </w:r>
      <w:r w:rsidR="00617B9A">
        <w:t xml:space="preserve">, </w:t>
      </w:r>
      <w:r w:rsidRPr="00DC76B0">
        <w:t xml:space="preserve">the </w:t>
      </w:r>
      <w:r w:rsidR="00255805">
        <w:t xml:space="preserve">carrying </w:t>
      </w:r>
      <w:r w:rsidRPr="00DC76B0">
        <w:t>amount of the liabilities that are part of the arrangements, the</w:t>
      </w:r>
      <w:r w:rsidR="00D66790">
        <w:t xml:space="preserve"> carrying</w:t>
      </w:r>
      <w:r w:rsidRPr="00DC76B0">
        <w:t xml:space="preserve"> amounts </w:t>
      </w:r>
      <w:r w:rsidR="00E25FBE">
        <w:t xml:space="preserve">of those liabilities </w:t>
      </w:r>
      <w:r w:rsidRPr="00DC76B0">
        <w:t xml:space="preserve">for which the suppliers have already received payment from the finance providers, </w:t>
      </w:r>
      <w:r w:rsidR="00383ACC">
        <w:t xml:space="preserve">the </w:t>
      </w:r>
      <w:r w:rsidRPr="00DC76B0">
        <w:t xml:space="preserve">range of payment due </w:t>
      </w:r>
      <w:r w:rsidR="00872C3A">
        <w:t xml:space="preserve">dates </w:t>
      </w:r>
      <w:r w:rsidRPr="00DC76B0">
        <w:t>and</w:t>
      </w:r>
      <w:r w:rsidR="00313A6B">
        <w:t xml:space="preserve"> </w:t>
      </w:r>
      <w:r w:rsidR="00AB2EED">
        <w:t xml:space="preserve">the </w:t>
      </w:r>
      <w:r w:rsidR="00BF5C17">
        <w:t>effect of non-cash changes</w:t>
      </w:r>
      <w:r w:rsidR="00E83E7E">
        <w:t>.</w:t>
      </w:r>
    </w:p>
    <w:p w14:paraId="5F22FB1B" w14:textId="77777777" w:rsidR="00F22AF2" w:rsidRDefault="00F22AF2" w:rsidP="00DE63C2">
      <w:pPr>
        <w:pStyle w:val="Heading2Indent1"/>
        <w:ind w:left="782"/>
      </w:pPr>
      <w:r>
        <w:t>Application date</w:t>
      </w:r>
    </w:p>
    <w:p w14:paraId="5F22FB1C" w14:textId="253D12CD" w:rsidR="00F22AF2" w:rsidRPr="00F22AF2" w:rsidRDefault="00B16904" w:rsidP="00F22AF2">
      <w:pPr>
        <w:pStyle w:val="NoNumPlain1"/>
      </w:pPr>
      <w:r>
        <w:t xml:space="preserve">This Standard applies to annual periods </w:t>
      </w:r>
      <w:bookmarkStart w:id="10" w:name="ApplyText"/>
      <w:r>
        <w:t>beginning</w:t>
      </w:r>
      <w:bookmarkEnd w:id="10"/>
      <w:r>
        <w:t xml:space="preserve"> on or after</w:t>
      </w:r>
      <w:r w:rsidR="00867FB0">
        <w:t xml:space="preserve"> </w:t>
      </w:r>
      <w:bookmarkStart w:id="11" w:name="ApplyDate"/>
      <w:r w:rsidR="00BB598F">
        <w:t>1 January 2024</w:t>
      </w:r>
      <w:bookmarkEnd w:id="11"/>
      <w:r w:rsidDel="0045683D">
        <w:t xml:space="preserve">. </w:t>
      </w:r>
      <w:r>
        <w:t>Earlier application is</w:t>
      </w:r>
      <w:r w:rsidR="005D4277" w:rsidRPr="005D4277">
        <w:t xml:space="preserve"> </w:t>
      </w:r>
      <w:r w:rsidR="005D4277" w:rsidRPr="00637016">
        <w:t>permitt</w:t>
      </w:r>
      <w:r w:rsidR="005D4277">
        <w:t>ed.</w:t>
      </w:r>
    </w:p>
    <w:p w14:paraId="5F22FB1D" w14:textId="77777777" w:rsidR="00F22AF2" w:rsidRPr="0000292B" w:rsidRDefault="00F22AF2"/>
    <w:p w14:paraId="5F22FB1E" w14:textId="77777777" w:rsidR="00090A6F" w:rsidRPr="0000292B" w:rsidRDefault="00090A6F">
      <w:pPr>
        <w:sectPr w:rsidR="00090A6F" w:rsidRPr="0000292B" w:rsidSect="00D74C6A">
          <w:footerReference w:type="default" r:id="rId20"/>
          <w:pgSz w:w="11907" w:h="16840" w:code="9"/>
          <w:pgMar w:top="1418" w:right="1418" w:bottom="1418" w:left="1418" w:header="709" w:footer="709" w:gutter="0"/>
          <w:paperSrc w:first="7" w:other="7"/>
          <w:cols w:space="720"/>
        </w:sectPr>
      </w:pPr>
    </w:p>
    <w:p w14:paraId="5F22FB1F" w14:textId="609BA3D2" w:rsidR="001662B8" w:rsidRPr="0000292B" w:rsidRDefault="00F13C5A" w:rsidP="001662B8">
      <w:pPr>
        <w:pStyle w:val="Heading1"/>
      </w:pPr>
      <w:r w:rsidRPr="0000292B">
        <w:lastRenderedPageBreak/>
        <w:t xml:space="preserve">Accounting Standard </w:t>
      </w:r>
      <w:r w:rsidR="001662B8" w:rsidRPr="0000292B">
        <w:t xml:space="preserve">AASB </w:t>
      </w:r>
      <w:r w:rsidR="001662B8" w:rsidRPr="00BC0D5D">
        <w:rPr>
          <w:iCs/>
        </w:rPr>
        <w:fldChar w:fldCharType="begin" w:fldLock="1"/>
      </w:r>
      <w:r w:rsidR="001662B8" w:rsidRPr="00BC0D5D">
        <w:rPr>
          <w:iCs/>
        </w:rPr>
        <w:instrText xml:space="preserve"> REF </w:instrText>
      </w:r>
      <w:r w:rsidR="001662B8">
        <w:rPr>
          <w:iCs/>
        </w:rPr>
        <w:instrText>Doc</w:instrText>
      </w:r>
      <w:r w:rsidR="001662B8" w:rsidRPr="00BC0D5D">
        <w:rPr>
          <w:iCs/>
        </w:rPr>
        <w:instrText xml:space="preserve">No \* charformat </w:instrText>
      </w:r>
      <w:r w:rsidR="001662B8" w:rsidRPr="00BC0D5D">
        <w:rPr>
          <w:iCs/>
        </w:rPr>
        <w:fldChar w:fldCharType="separate"/>
      </w:r>
      <w:r w:rsidR="007205D9" w:rsidRPr="007205D9">
        <w:rPr>
          <w:iCs/>
        </w:rPr>
        <w:t>2023-1</w:t>
      </w:r>
      <w:r w:rsidR="001662B8" w:rsidRPr="00BC0D5D">
        <w:rPr>
          <w:iCs/>
        </w:rPr>
        <w:fldChar w:fldCharType="end"/>
      </w:r>
    </w:p>
    <w:p w14:paraId="5F22FB20" w14:textId="01A3013C" w:rsidR="001662B8" w:rsidRDefault="001662B8" w:rsidP="00872C3A">
      <w:pPr>
        <w:pStyle w:val="NoNumPlain1"/>
        <w:spacing w:before="0" w:after="120"/>
      </w:pPr>
      <w:r>
        <w:t>The Australian Accounting Standards Board makes Accounting Standard AASB</w:t>
      </w:r>
      <w:r w:rsidR="009D7187">
        <w:t xml:space="preserve"> </w:t>
      </w:r>
      <w:r>
        <w:fldChar w:fldCharType="begin" w:fldLock="1"/>
      </w:r>
      <w:r>
        <w:instrText>REF DocNo  \* charformat</w:instrText>
      </w:r>
      <w:r>
        <w:fldChar w:fldCharType="separate"/>
      </w:r>
      <w:r w:rsidR="007205D9">
        <w:t>2023-1</w:t>
      </w:r>
      <w:r>
        <w:fldChar w:fldCharType="end"/>
      </w:r>
      <w:r>
        <w:t xml:space="preserve"> </w:t>
      </w:r>
      <w:r w:rsidR="00CC1DF4" w:rsidRPr="00CC1DF4">
        <w:rPr>
          <w:i/>
        </w:rPr>
        <w:fldChar w:fldCharType="begin" w:fldLock="1"/>
      </w:r>
      <w:r w:rsidR="00CC1DF4" w:rsidRPr="00CC1DF4">
        <w:rPr>
          <w:i/>
        </w:rPr>
        <w:instrText xml:space="preserve"> REF DocTitle \* charformat </w:instrText>
      </w:r>
      <w:r w:rsidR="00CC1DF4" w:rsidRPr="00CC1DF4">
        <w:rPr>
          <w:i/>
        </w:rPr>
        <w:fldChar w:fldCharType="separate"/>
      </w:r>
      <w:r w:rsidR="007205D9" w:rsidRPr="007205D9">
        <w:rPr>
          <w:i/>
        </w:rPr>
        <w:t>Amendments to Australian Accounting Standards – Supplier Finance Arrangements</w:t>
      </w:r>
      <w:r w:rsidR="00CC1DF4" w:rsidRPr="00CC1DF4">
        <w:rPr>
          <w:i/>
        </w:rPr>
        <w:fldChar w:fldCharType="end"/>
      </w:r>
      <w:bookmarkStart w:id="12" w:name="CorpsAct"/>
      <w:r w:rsidR="002B7803">
        <w:rPr>
          <w:i/>
          <w:iCs/>
        </w:rPr>
        <w:t xml:space="preserve"> </w:t>
      </w:r>
      <w:r>
        <w:t xml:space="preserve">under section 334 of the </w:t>
      </w:r>
      <w:r>
        <w:rPr>
          <w:i/>
          <w:iCs/>
        </w:rPr>
        <w:t>Corporations Act 2001</w:t>
      </w:r>
      <w:bookmarkEnd w:id="12"/>
      <w:r>
        <w:t>.</w:t>
      </w:r>
    </w:p>
    <w:p w14:paraId="4F399063" w14:textId="77777777" w:rsidR="00841B1E" w:rsidRPr="003766A0" w:rsidRDefault="00841B1E" w:rsidP="00841B1E">
      <w:pPr>
        <w:pStyle w:val="BodyText"/>
        <w:spacing w:after="0"/>
        <w:jc w:val="right"/>
        <w:rPr>
          <w:lang w:eastAsia="en-AU"/>
        </w:rPr>
      </w:pPr>
      <w:r>
        <w:rPr>
          <w:lang w:eastAsia="en-AU"/>
        </w:rPr>
        <w:t>Keith Kendall</w:t>
      </w:r>
    </w:p>
    <w:p w14:paraId="6E64FEFA" w14:textId="7B5B9ABB" w:rsidR="00841B1E" w:rsidRPr="003766A0" w:rsidRDefault="00841B1E" w:rsidP="00841B1E">
      <w:pPr>
        <w:pStyle w:val="BodyText"/>
        <w:tabs>
          <w:tab w:val="left" w:pos="191"/>
          <w:tab w:val="right" w:pos="9071"/>
        </w:tabs>
        <w:jc w:val="left"/>
        <w:rPr>
          <w:lang w:eastAsia="en-AU"/>
        </w:rPr>
      </w:pPr>
      <w:r w:rsidRPr="003766A0">
        <w:rPr>
          <w:lang w:eastAsia="en-AU"/>
        </w:rPr>
        <w:t xml:space="preserve">Dated </w:t>
      </w:r>
      <w:r w:rsidR="008D2785">
        <w:rPr>
          <w:lang w:eastAsia="en-AU"/>
        </w:rPr>
        <w:t>22 June 2023</w:t>
      </w:r>
      <w:r>
        <w:rPr>
          <w:lang w:eastAsia="en-AU"/>
        </w:rPr>
        <w:tab/>
      </w:r>
      <w:r w:rsidRPr="003766A0">
        <w:rPr>
          <w:lang w:eastAsia="en-AU"/>
        </w:rPr>
        <w:t>Chair – AASB</w:t>
      </w:r>
    </w:p>
    <w:p w14:paraId="5F22FB27" w14:textId="1A527CE8" w:rsidR="00090A6F" w:rsidRPr="0000292B" w:rsidRDefault="00F13C5A" w:rsidP="00867FB0">
      <w:pPr>
        <w:pStyle w:val="Heading1"/>
        <w:spacing w:after="0"/>
      </w:pPr>
      <w:r w:rsidRPr="0000292B">
        <w:t xml:space="preserve">Accounting Standard </w:t>
      </w:r>
      <w:r w:rsidR="00090A6F" w:rsidRPr="0000292B">
        <w:t xml:space="preserve">AASB </w:t>
      </w:r>
      <w:r w:rsidR="00BC0D5D" w:rsidRPr="00BC0D5D">
        <w:rPr>
          <w:iCs/>
        </w:rPr>
        <w:fldChar w:fldCharType="begin" w:fldLock="1"/>
      </w:r>
      <w:r w:rsidR="00BC0D5D" w:rsidRPr="00BC0D5D">
        <w:rPr>
          <w:iCs/>
        </w:rPr>
        <w:instrText xml:space="preserve"> REF </w:instrText>
      </w:r>
      <w:r w:rsidR="001662B8">
        <w:rPr>
          <w:iCs/>
        </w:rPr>
        <w:instrText>Doc</w:instrText>
      </w:r>
      <w:r w:rsidR="00BC0D5D" w:rsidRPr="00BC0D5D">
        <w:rPr>
          <w:iCs/>
        </w:rPr>
        <w:instrText xml:space="preserve">No \* charformat </w:instrText>
      </w:r>
      <w:r w:rsidR="00BC0D5D" w:rsidRPr="00BC0D5D">
        <w:rPr>
          <w:iCs/>
        </w:rPr>
        <w:fldChar w:fldCharType="separate"/>
      </w:r>
      <w:r w:rsidR="007205D9" w:rsidRPr="007205D9">
        <w:rPr>
          <w:iCs/>
        </w:rPr>
        <w:t>2023-1</w:t>
      </w:r>
      <w:r w:rsidR="00BC0D5D" w:rsidRPr="00BC0D5D">
        <w:rPr>
          <w:iCs/>
        </w:rPr>
        <w:fldChar w:fldCharType="end"/>
      </w:r>
    </w:p>
    <w:p w14:paraId="5F22FB28" w14:textId="2DB5C20F" w:rsidR="00090A6F" w:rsidRDefault="00CC1DF4" w:rsidP="003E1900">
      <w:pPr>
        <w:pStyle w:val="Heading1Italic"/>
        <w:spacing w:before="0"/>
      </w:pPr>
      <w:r>
        <w:fldChar w:fldCharType="begin" w:fldLock="1"/>
      </w:r>
      <w:r>
        <w:instrText xml:space="preserve"> REF DocTitle \* charformat</w:instrText>
      </w:r>
      <w:r>
        <w:fldChar w:fldCharType="separate"/>
      </w:r>
      <w:r w:rsidR="007205D9">
        <w:t>Amendments to Australian Accounting Standards</w:t>
      </w:r>
      <w:r w:rsidR="007205D9" w:rsidRPr="00637016">
        <w:t xml:space="preserve"> – </w:t>
      </w:r>
      <w:r w:rsidR="007205D9">
        <w:t>Supplier Finance Arrangements</w:t>
      </w:r>
      <w:r>
        <w:fldChar w:fldCharType="end"/>
      </w:r>
    </w:p>
    <w:p w14:paraId="5F22FB29" w14:textId="77777777" w:rsidR="00090A6F" w:rsidRPr="0000292B" w:rsidRDefault="00090A6F" w:rsidP="00FC30DA">
      <w:pPr>
        <w:pStyle w:val="Heading2"/>
      </w:pPr>
      <w:bookmarkStart w:id="13" w:name="TOCStart"/>
      <w:bookmarkEnd w:id="13"/>
      <w:r w:rsidRPr="0000292B">
        <w:t>Objective</w:t>
      </w:r>
    </w:p>
    <w:p w14:paraId="5F22FB2A" w14:textId="77777777" w:rsidR="00090A6F" w:rsidRDefault="00867FB0" w:rsidP="00822BC9">
      <w:pPr>
        <w:pStyle w:val="NoNumPlain1"/>
      </w:pPr>
      <w:r>
        <w:t>This</w:t>
      </w:r>
      <w:r w:rsidR="001662B8">
        <w:t xml:space="preserve"> Standard </w:t>
      </w:r>
      <w:r>
        <w:t>amends</w:t>
      </w:r>
      <w:r w:rsidR="001662B8">
        <w:t>:</w:t>
      </w:r>
    </w:p>
    <w:p w14:paraId="00965AED" w14:textId="5FE355DB" w:rsidR="006154D2" w:rsidRDefault="00E6767B" w:rsidP="00DE63C2">
      <w:pPr>
        <w:pStyle w:val="NumPlainA"/>
        <w:tabs>
          <w:tab w:val="clear" w:pos="510"/>
        </w:tabs>
        <w:ind w:left="782" w:hanging="782"/>
      </w:pPr>
      <w:r w:rsidRPr="00E9278C">
        <w:t>AASB 107</w:t>
      </w:r>
      <w:r w:rsidR="00F67ED4">
        <w:t xml:space="preserve"> </w:t>
      </w:r>
      <w:r w:rsidRPr="00E9278C">
        <w:rPr>
          <w:i/>
          <w:iCs/>
        </w:rPr>
        <w:t>Statement of Cash Flows</w:t>
      </w:r>
      <w:r>
        <w:rPr>
          <w:i/>
          <w:iCs/>
        </w:rPr>
        <w:t xml:space="preserve"> </w:t>
      </w:r>
      <w:r w:rsidRPr="00E9278C">
        <w:t>(</w:t>
      </w:r>
      <w:r w:rsidR="00403B8F">
        <w:t>August 201</w:t>
      </w:r>
      <w:r w:rsidR="00421290">
        <w:t>5</w:t>
      </w:r>
      <w:r w:rsidRPr="00E9278C">
        <w:t>)</w:t>
      </w:r>
      <w:r w:rsidR="006154D2">
        <w:t>; and</w:t>
      </w:r>
    </w:p>
    <w:p w14:paraId="5F22FB2C" w14:textId="2F61A533" w:rsidR="00BB598F" w:rsidRDefault="006154D2" w:rsidP="00DE63C2">
      <w:pPr>
        <w:pStyle w:val="NumPlainA"/>
        <w:tabs>
          <w:tab w:val="clear" w:pos="510"/>
        </w:tabs>
        <w:ind w:left="782" w:hanging="782"/>
      </w:pPr>
      <w:r w:rsidRPr="007B59C8">
        <w:t>AASB 7</w:t>
      </w:r>
      <w:r w:rsidR="00F67ED4">
        <w:t xml:space="preserve"> </w:t>
      </w:r>
      <w:r w:rsidRPr="00DC76B0">
        <w:rPr>
          <w:i/>
        </w:rPr>
        <w:t>Financial Instruments: Disclosures</w:t>
      </w:r>
      <w:r>
        <w:t xml:space="preserve"> (</w:t>
      </w:r>
      <w:r w:rsidR="00421290">
        <w:t>August 2015</w:t>
      </w:r>
      <w:r w:rsidR="00E6767B" w:rsidRPr="00E9278C">
        <w:t>)</w:t>
      </w:r>
      <w:r w:rsidR="00B820B5">
        <w:t>;</w:t>
      </w:r>
    </w:p>
    <w:p w14:paraId="5F22FB2D" w14:textId="613A6002" w:rsidR="001662B8" w:rsidRPr="0000292B" w:rsidRDefault="001662B8" w:rsidP="00822BC9">
      <w:pPr>
        <w:pStyle w:val="NoNumPlain1"/>
      </w:pPr>
      <w:r>
        <w:t>a</w:t>
      </w:r>
      <w:bookmarkStart w:id="14" w:name="StndObj"/>
      <w:bookmarkEnd w:id="14"/>
      <w:r>
        <w:t>s a consequence of the issuance of</w:t>
      </w:r>
      <w:r w:rsidR="00867FB0">
        <w:t xml:space="preserve"> International Financial Reporting Standard</w:t>
      </w:r>
      <w:r w:rsidR="00512E6F" w:rsidRPr="00512E6F">
        <w:rPr>
          <w:i/>
        </w:rPr>
        <w:t xml:space="preserve"> </w:t>
      </w:r>
      <w:r w:rsidR="00512E6F" w:rsidRPr="00BB598F">
        <w:rPr>
          <w:i/>
        </w:rPr>
        <w:t>Supplier Finance Arrangements</w:t>
      </w:r>
      <w:r w:rsidR="00512E6F" w:rsidRPr="00DE63C2">
        <w:rPr>
          <w:iCs/>
        </w:rPr>
        <w:t xml:space="preserve"> </w:t>
      </w:r>
      <w:bookmarkStart w:id="15" w:name="_Hlk136962344"/>
      <w:r w:rsidR="00B820B5">
        <w:rPr>
          <w:iCs/>
        </w:rPr>
        <w:t>(</w:t>
      </w:r>
      <w:r w:rsidR="00512E6F" w:rsidRPr="00DE63C2">
        <w:rPr>
          <w:iCs/>
        </w:rPr>
        <w:t xml:space="preserve">Amendments to IAS </w:t>
      </w:r>
      <w:bookmarkEnd w:id="15"/>
      <w:r w:rsidR="00512E6F" w:rsidRPr="00DE63C2">
        <w:rPr>
          <w:iCs/>
        </w:rPr>
        <w:t>7 and IFRS 7</w:t>
      </w:r>
      <w:r w:rsidR="00B820B5">
        <w:rPr>
          <w:iCs/>
        </w:rPr>
        <w:t>)</w:t>
      </w:r>
      <w:r w:rsidR="00512E6F">
        <w:t xml:space="preserve"> by the International Accounting Standards Board </w:t>
      </w:r>
      <w:r>
        <w:t>in</w:t>
      </w:r>
      <w:r w:rsidR="0013109D">
        <w:t xml:space="preserve"> </w:t>
      </w:r>
      <w:r w:rsidR="00867FB0">
        <w:fldChar w:fldCharType="begin" w:fldLock="1"/>
      </w:r>
      <w:r w:rsidR="00867FB0">
        <w:instrText xml:space="preserve"> REF ArisingDate \* charformat</w:instrText>
      </w:r>
      <w:r w:rsidR="00867FB0">
        <w:fldChar w:fldCharType="separate"/>
      </w:r>
      <w:r w:rsidR="007205D9">
        <w:t>May 2023</w:t>
      </w:r>
      <w:r w:rsidR="00867FB0">
        <w:fldChar w:fldCharType="end"/>
      </w:r>
      <w:r>
        <w:t>.</w:t>
      </w:r>
    </w:p>
    <w:p w14:paraId="5F22FB2E" w14:textId="77777777" w:rsidR="00090A6F" w:rsidRPr="0000292B" w:rsidRDefault="00090A6F" w:rsidP="00C8206F">
      <w:pPr>
        <w:pStyle w:val="Heading2"/>
      </w:pPr>
      <w:r w:rsidRPr="0000292B">
        <w:t>Application</w:t>
      </w:r>
    </w:p>
    <w:p w14:paraId="5F22FB30" w14:textId="2944E2F9" w:rsidR="005A6AC7" w:rsidRPr="005A6AC7" w:rsidRDefault="005A6AC7" w:rsidP="00822BC9">
      <w:pPr>
        <w:pStyle w:val="NoNumPlain1"/>
        <w:rPr>
          <w:i/>
        </w:rPr>
      </w:pPr>
      <w:r>
        <w:t xml:space="preserve">The amendments set out in this Standard apply to entities and financial statements in accordance with the application of </w:t>
      </w:r>
      <w:r w:rsidR="0004707F">
        <w:t xml:space="preserve">AASB </w:t>
      </w:r>
      <w:r w:rsidR="00C655C5">
        <w:t>10</w:t>
      </w:r>
      <w:r w:rsidR="0004707F">
        <w:t>7 and AASB 7</w:t>
      </w:r>
      <w:r w:rsidDel="0004707F">
        <w:t xml:space="preserve"> </w:t>
      </w:r>
      <w:r>
        <w:t xml:space="preserve">set out in AASB 1057 </w:t>
      </w:r>
      <w:r>
        <w:rPr>
          <w:i/>
        </w:rPr>
        <w:t>Application of Australian Accounting Standards.</w:t>
      </w:r>
    </w:p>
    <w:p w14:paraId="5F22FB32" w14:textId="338463D6" w:rsidR="00090A6F" w:rsidRPr="0000292B" w:rsidDel="00875572" w:rsidRDefault="00090A6F" w:rsidP="00822BC9">
      <w:pPr>
        <w:pStyle w:val="NoNumPlain1"/>
      </w:pPr>
      <w:r w:rsidRPr="00027E8B">
        <w:t xml:space="preserve">This Standard applies to annual periods </w:t>
      </w:r>
      <w:r w:rsidR="005A6AC7">
        <w:fldChar w:fldCharType="begin" w:fldLock="1"/>
      </w:r>
      <w:r w:rsidR="005A6AC7">
        <w:instrText xml:space="preserve"> REF ApplyText \* charformat</w:instrText>
      </w:r>
      <w:r w:rsidR="005A6AC7">
        <w:fldChar w:fldCharType="separate"/>
      </w:r>
      <w:r w:rsidR="007205D9">
        <w:t>beginning</w:t>
      </w:r>
      <w:r w:rsidR="005A6AC7">
        <w:fldChar w:fldCharType="end"/>
      </w:r>
      <w:r w:rsidRPr="00027E8B">
        <w:t xml:space="preserve"> on or after </w:t>
      </w:r>
      <w:r w:rsidR="005A6AC7">
        <w:fldChar w:fldCharType="begin" w:fldLock="1"/>
      </w:r>
      <w:r w:rsidR="005A6AC7">
        <w:instrText xml:space="preserve"> REF ApplyDate \* charformat</w:instrText>
      </w:r>
      <w:r w:rsidR="005A6AC7">
        <w:fldChar w:fldCharType="separate"/>
      </w:r>
      <w:r w:rsidR="007205D9">
        <w:t>1 January 2024</w:t>
      </w:r>
      <w:r w:rsidR="005A6AC7">
        <w:fldChar w:fldCharType="end"/>
      </w:r>
      <w:r w:rsidRPr="00027E8B">
        <w:t>.</w:t>
      </w:r>
      <w:r w:rsidR="00875572" w:rsidRPr="00875572">
        <w:t xml:space="preserve"> </w:t>
      </w:r>
      <w:r w:rsidR="00875572" w:rsidRPr="00637016">
        <w:t>This Standard may be applied to annual periods beginning before 1 January 202</w:t>
      </w:r>
      <w:r w:rsidR="00875572">
        <w:t>4</w:t>
      </w:r>
      <w:r w:rsidR="00875572" w:rsidRPr="00637016">
        <w:t>.</w:t>
      </w:r>
      <w:bookmarkStart w:id="16" w:name="EarlyYesPara"/>
      <w:r w:rsidR="00972225">
        <w:t xml:space="preserve"> </w:t>
      </w:r>
      <w:r w:rsidRPr="0000292B" w:rsidDel="00875572">
        <w:t xml:space="preserve">When an entity applies this Standard to </w:t>
      </w:r>
      <w:r w:rsidR="00590051" w:rsidDel="00875572">
        <w:t xml:space="preserve">such </w:t>
      </w:r>
      <w:r w:rsidRPr="0000292B" w:rsidDel="00875572">
        <w:t>an annual period</w:t>
      </w:r>
      <w:r w:rsidR="00590051" w:rsidDel="00875572">
        <w:t>,</w:t>
      </w:r>
      <w:r w:rsidRPr="0000292B" w:rsidDel="00875572">
        <w:t xml:space="preserve"> it shall disclose that fact.</w:t>
      </w:r>
    </w:p>
    <w:bookmarkEnd w:id="16"/>
    <w:p w14:paraId="5F22FB33" w14:textId="3C825CB5" w:rsidR="00090A6F" w:rsidRDefault="0048155F" w:rsidP="00822BC9">
      <w:pPr>
        <w:pStyle w:val="NoNumPlain1"/>
      </w:pPr>
      <w:r w:rsidDel="00875572">
        <w:t>This Standard uses underlining, striking out and other typographical material to identify some of the amendments to a Standard, in order to make the amendments more understandable. However, the amendments made by this Standard do not include that underlining, striking out or</w:t>
      </w:r>
      <w:r w:rsidR="003B6633" w:rsidDel="00875572">
        <w:t xml:space="preserve"> other typographical material.</w:t>
      </w:r>
      <w:r w:rsidR="00254B16" w:rsidDel="00875572">
        <w:t xml:space="preserve"> </w:t>
      </w:r>
      <w:r w:rsidR="00254B16">
        <w:t>Ellipses (…) are used to help provide the context within which amendments are made and also to indicate text that is not amended.</w:t>
      </w:r>
    </w:p>
    <w:p w14:paraId="5F9009E3" w14:textId="77777777" w:rsidR="001652BD" w:rsidRPr="00296220" w:rsidRDefault="001652BD" w:rsidP="001652BD">
      <w:pPr>
        <w:pStyle w:val="Heading2"/>
      </w:pPr>
      <w:r w:rsidRPr="00296220">
        <w:t>Amendments to AASB 107</w:t>
      </w:r>
    </w:p>
    <w:tbl>
      <w:tblPr>
        <w:tblW w:w="4961"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Caption w:val="Amendments to AASB 107"/>
        <w:tblDescription w:val="Information relating to amendments to AASB 107"/>
      </w:tblPr>
      <w:tblGrid>
        <w:gridCol w:w="8990"/>
      </w:tblGrid>
      <w:tr w:rsidR="001652BD" w:rsidRPr="00296220" w14:paraId="07E30116" w14:textId="77777777" w:rsidTr="00AD0E0D">
        <w:tc>
          <w:tcPr>
            <w:tcW w:w="5000" w:type="pct"/>
          </w:tcPr>
          <w:p w14:paraId="33D8312B" w14:textId="702B6F1B" w:rsidR="001652BD" w:rsidRPr="00296220" w:rsidRDefault="001652BD">
            <w:pPr>
              <w:pStyle w:val="IASBTableArial"/>
              <w:spacing w:after="120"/>
              <w:rPr>
                <w:lang w:val="en-AU"/>
              </w:rPr>
            </w:pPr>
            <w:r w:rsidRPr="00296220">
              <w:rPr>
                <w:lang w:val="en-AU"/>
              </w:rPr>
              <w:t xml:space="preserve">Paragraphs 44F–44H and their related heading and paragraphs 62–63 are added. For ease of reading, these paragraphs and </w:t>
            </w:r>
            <w:r w:rsidR="00D866AA" w:rsidRPr="00296220">
              <w:rPr>
                <w:lang w:val="en-AU"/>
              </w:rPr>
              <w:t xml:space="preserve">the heading </w:t>
            </w:r>
            <w:r w:rsidRPr="00296220">
              <w:rPr>
                <w:lang w:val="en-AU"/>
              </w:rPr>
              <w:t>have not been underlined. The heading before paragraph 53 is amended. New text in that heading is underlined.</w:t>
            </w:r>
          </w:p>
        </w:tc>
      </w:tr>
    </w:tbl>
    <w:p w14:paraId="2AAD60E4" w14:textId="77777777" w:rsidR="001652BD" w:rsidRPr="00296220" w:rsidRDefault="001652BD" w:rsidP="001652BD">
      <w:pPr>
        <w:pStyle w:val="IASBSectionTitle1NonInd"/>
        <w:rPr>
          <w:lang w:val="en-AU"/>
        </w:rPr>
      </w:pPr>
      <w:r w:rsidRPr="00296220">
        <w:rPr>
          <w:lang w:val="en-AU"/>
        </w:rPr>
        <w:t>Supplier finance arrangements</w:t>
      </w:r>
    </w:p>
    <w:p w14:paraId="586AD1A2" w14:textId="77777777" w:rsidR="001652BD" w:rsidRPr="00296220" w:rsidRDefault="001652BD" w:rsidP="001652BD">
      <w:pPr>
        <w:pStyle w:val="IASBNormalnpara"/>
        <w:spacing w:after="100"/>
        <w:rPr>
          <w:lang w:val="en-AU"/>
        </w:rPr>
      </w:pPr>
      <w:r w:rsidRPr="00296220">
        <w:rPr>
          <w:b/>
          <w:lang w:val="en-AU"/>
        </w:rPr>
        <w:t>44F</w:t>
      </w:r>
      <w:r w:rsidRPr="00296220">
        <w:rPr>
          <w:lang w:val="en-AU"/>
        </w:rPr>
        <w:tab/>
      </w:r>
      <w:r w:rsidRPr="00296220">
        <w:rPr>
          <w:b/>
          <w:lang w:val="en-AU"/>
        </w:rPr>
        <w:t>An entity shall disclose information about its supplier finance arrangements (as described in paragraph 44G) that enables users of financial statements to assess the effects of those arrangements on the entity’s liabilities and cash flows and on the entity’s exposure to liquidity risk.</w:t>
      </w:r>
    </w:p>
    <w:p w14:paraId="14F926A5" w14:textId="598E2D89" w:rsidR="001652BD" w:rsidRPr="00296220" w:rsidRDefault="001652BD" w:rsidP="001652BD">
      <w:pPr>
        <w:pStyle w:val="IASBNormalnpara"/>
        <w:spacing w:after="100"/>
        <w:rPr>
          <w:lang w:val="en-AU"/>
        </w:rPr>
      </w:pPr>
      <w:r w:rsidRPr="00296220">
        <w:rPr>
          <w:lang w:val="en-AU"/>
        </w:rPr>
        <w:t>44G</w:t>
      </w:r>
      <w:r w:rsidRPr="00296220">
        <w:rPr>
          <w:lang w:val="en-AU"/>
        </w:rPr>
        <w:tab/>
        <w:t xml:space="preserve">Supplier finance arrangements are characterised by one or more finance providers offering to pay amounts an entity owes its suppliers and the entity agreeing to pay according to the terms and conditions of the arrangements at the same date as, or a date later than, suppliers are paid. These arrangements provide the entity with extended payment terms, or the entity’s suppliers with early payment terms, compared to the related invoice payment due date. Supplier finance arrangements are often referred to as supply chain finance, payables finance or reverse factoring arrangements. Arrangements that are solely credit enhancements for the </w:t>
      </w:r>
      <w:r w:rsidRPr="00296220">
        <w:rPr>
          <w:lang w:val="en-AU"/>
        </w:rPr>
        <w:lastRenderedPageBreak/>
        <w:t>entity (for example, financial guarantees including letters of credit used as guarantees) or instruments used by the entity to settle directly with a supplier the amounts owed (for example, credit cards) are not supplier finance arrangements.</w:t>
      </w:r>
    </w:p>
    <w:p w14:paraId="354C45E8" w14:textId="77777777" w:rsidR="001652BD" w:rsidRPr="00296220" w:rsidRDefault="001652BD" w:rsidP="001652BD">
      <w:pPr>
        <w:pStyle w:val="IASBNormalnpara"/>
        <w:spacing w:after="100"/>
        <w:rPr>
          <w:lang w:val="en-AU"/>
        </w:rPr>
      </w:pPr>
      <w:r w:rsidRPr="00296220">
        <w:rPr>
          <w:lang w:val="en-AU"/>
        </w:rPr>
        <w:t>44H</w:t>
      </w:r>
      <w:r w:rsidRPr="00296220">
        <w:rPr>
          <w:lang w:val="en-AU"/>
        </w:rPr>
        <w:tab/>
        <w:t>To meet the objectives in paragraph 44F, an entity shall disclose in aggregate for its supplier finance arrangements:</w:t>
      </w:r>
    </w:p>
    <w:p w14:paraId="4A22B770" w14:textId="77777777" w:rsidR="001652BD" w:rsidRPr="00296220" w:rsidRDefault="001652BD" w:rsidP="001652BD">
      <w:pPr>
        <w:pStyle w:val="IASBNormalnparaL1"/>
        <w:spacing w:after="100"/>
        <w:rPr>
          <w:lang w:val="en-AU"/>
        </w:rPr>
      </w:pPr>
      <w:r w:rsidRPr="00296220">
        <w:rPr>
          <w:lang w:val="en-AU"/>
        </w:rPr>
        <w:t>(a)</w:t>
      </w:r>
      <w:r w:rsidRPr="00296220">
        <w:rPr>
          <w:lang w:val="en-AU"/>
        </w:rPr>
        <w:tab/>
        <w:t>the terms and conditions of the arrangements (for example, extended payment terms and security or guarantees provided). However, an entity shall disclose separately the terms and conditions of arrangements that have dissimilar terms and conditions.</w:t>
      </w:r>
    </w:p>
    <w:p w14:paraId="30E41B94" w14:textId="77777777" w:rsidR="001652BD" w:rsidRPr="00296220" w:rsidRDefault="001652BD" w:rsidP="001652BD">
      <w:pPr>
        <w:pStyle w:val="IASBNormalnparaL1"/>
        <w:spacing w:after="100"/>
        <w:rPr>
          <w:lang w:val="en-AU"/>
        </w:rPr>
      </w:pPr>
      <w:r w:rsidRPr="00296220">
        <w:rPr>
          <w:lang w:val="en-AU"/>
        </w:rPr>
        <w:t>(b)</w:t>
      </w:r>
      <w:r w:rsidRPr="00296220">
        <w:rPr>
          <w:lang w:val="en-AU"/>
        </w:rPr>
        <w:tab/>
        <w:t>as at the beginning and end of the reporting period:</w:t>
      </w:r>
    </w:p>
    <w:p w14:paraId="3A02D914" w14:textId="77777777" w:rsidR="001652BD" w:rsidRPr="00296220" w:rsidRDefault="001652BD" w:rsidP="001652BD">
      <w:pPr>
        <w:pStyle w:val="IASBNormalnparaL2"/>
        <w:spacing w:after="100"/>
        <w:rPr>
          <w:lang w:val="en-AU"/>
        </w:rPr>
      </w:pPr>
      <w:r w:rsidRPr="00296220">
        <w:rPr>
          <w:lang w:val="en-AU"/>
        </w:rPr>
        <w:t>(i)</w:t>
      </w:r>
      <w:r w:rsidRPr="00296220">
        <w:rPr>
          <w:lang w:val="en-AU"/>
        </w:rPr>
        <w:tab/>
        <w:t>the carrying amounts, and associated line items presented in the entity’s statement of financial position, of the financial liabilities that are part of a supplier finance arrangement.</w:t>
      </w:r>
    </w:p>
    <w:p w14:paraId="1A4EA5B7" w14:textId="77777777" w:rsidR="001652BD" w:rsidRPr="00296220" w:rsidRDefault="001652BD" w:rsidP="001652BD">
      <w:pPr>
        <w:pStyle w:val="IASBNormalnparaL2"/>
        <w:spacing w:after="100"/>
        <w:rPr>
          <w:lang w:val="en-AU"/>
        </w:rPr>
      </w:pPr>
      <w:r w:rsidRPr="00296220">
        <w:rPr>
          <w:lang w:val="en-AU"/>
        </w:rPr>
        <w:t>(ii)</w:t>
      </w:r>
      <w:r w:rsidRPr="00296220">
        <w:rPr>
          <w:lang w:val="en-AU"/>
        </w:rPr>
        <w:tab/>
        <w:t>the carrying amounts, and associated line items, of the financial liabilities disclosed under (i) for which suppliers have already received payment from the finance providers.</w:t>
      </w:r>
    </w:p>
    <w:p w14:paraId="563821F7" w14:textId="77777777" w:rsidR="001652BD" w:rsidRPr="00296220" w:rsidRDefault="001652BD" w:rsidP="001652BD">
      <w:pPr>
        <w:pStyle w:val="IASBNormalnparaL2"/>
        <w:spacing w:after="100"/>
        <w:rPr>
          <w:lang w:val="en-AU"/>
        </w:rPr>
      </w:pPr>
      <w:r w:rsidRPr="00296220">
        <w:rPr>
          <w:lang w:val="en-AU"/>
        </w:rPr>
        <w:t>(iii)</w:t>
      </w:r>
      <w:r w:rsidRPr="00296220">
        <w:rPr>
          <w:lang w:val="en-AU"/>
        </w:rPr>
        <w:tab/>
        <w:t>the range of payment due dates (for example, 30–40 days after the invoice date) for both the financial liabilities disclosed under (i) and comparable trade payables that are not part of a supplier finance arrangement. Comparable trade payables are, for example, trade payables of the entity within the same line of business or jurisdiction as the financial liabilities disclosed under (i). If ranges of payment due dates are wide, an entity shall disclose explanatory information about those ranges or disclose additional ranges (for example, stratified ranges).</w:t>
      </w:r>
    </w:p>
    <w:p w14:paraId="427BDB52" w14:textId="77777777" w:rsidR="001652BD" w:rsidRPr="00296220" w:rsidRDefault="001652BD" w:rsidP="001652BD">
      <w:pPr>
        <w:pStyle w:val="IASBNormalnparaL1"/>
        <w:spacing w:after="100"/>
        <w:rPr>
          <w:lang w:val="en-AU"/>
        </w:rPr>
      </w:pPr>
      <w:r w:rsidRPr="00296220">
        <w:rPr>
          <w:lang w:val="en-AU"/>
        </w:rPr>
        <w:t>(c)</w:t>
      </w:r>
      <w:r w:rsidRPr="00296220">
        <w:rPr>
          <w:lang w:val="en-AU"/>
        </w:rPr>
        <w:tab/>
        <w:t>the type and effect of non-cash changes in the carrying amounts of the financial liabilities disclosed under (b)(i). Examples of non-cash changes include the effect of business combinations, exchange differences or other transactions that do not require the use of cash or cash equivalents (see paragraph 43).</w:t>
      </w:r>
    </w:p>
    <w:p w14:paraId="2499A36B" w14:textId="0598EF53" w:rsidR="001652BD" w:rsidRPr="00296220" w:rsidRDefault="001652BD" w:rsidP="001652BD">
      <w:pPr>
        <w:pStyle w:val="IASBNormalnpara"/>
        <w:spacing w:after="100"/>
        <w:rPr>
          <w:lang w:val="en-AU"/>
        </w:rPr>
      </w:pPr>
      <w:r w:rsidRPr="00296220">
        <w:rPr>
          <w:lang w:val="en-AU"/>
        </w:rPr>
        <w:tab/>
      </w:r>
      <w:r w:rsidR="00044895" w:rsidRPr="00296220">
        <w:rPr>
          <w:lang w:val="en-AU"/>
        </w:rPr>
        <w:t>…</w:t>
      </w:r>
    </w:p>
    <w:p w14:paraId="351F166A" w14:textId="3E75BA9C" w:rsidR="001652BD" w:rsidRPr="00296220" w:rsidRDefault="001652BD" w:rsidP="001652BD">
      <w:pPr>
        <w:pStyle w:val="IASBSectionTitle1NonInd"/>
        <w:rPr>
          <w:lang w:val="en-AU"/>
        </w:rPr>
      </w:pPr>
      <w:r w:rsidRPr="00296220">
        <w:rPr>
          <w:lang w:val="en-AU"/>
        </w:rPr>
        <w:t>Effective date</w:t>
      </w:r>
      <w:r w:rsidRPr="00296220">
        <w:rPr>
          <w:u w:val="single"/>
          <w:lang w:val="en-AU"/>
        </w:rPr>
        <w:t xml:space="preserve"> and transition</w:t>
      </w:r>
    </w:p>
    <w:p w14:paraId="04ABB27C" w14:textId="6608FF68" w:rsidR="001652BD" w:rsidRPr="00296220" w:rsidRDefault="00044895" w:rsidP="001652BD">
      <w:pPr>
        <w:pStyle w:val="IASBNormalnpara"/>
        <w:spacing w:after="100"/>
        <w:rPr>
          <w:lang w:val="en-AU"/>
        </w:rPr>
      </w:pPr>
      <w:r w:rsidRPr="00296220">
        <w:rPr>
          <w:lang w:val="en-AU"/>
        </w:rPr>
        <w:t>53</w:t>
      </w:r>
      <w:r w:rsidR="001652BD" w:rsidRPr="00296220">
        <w:rPr>
          <w:lang w:val="en-AU"/>
        </w:rPr>
        <w:tab/>
      </w:r>
      <w:r w:rsidRPr="00296220">
        <w:rPr>
          <w:lang w:val="en-AU"/>
        </w:rPr>
        <w:t>…</w:t>
      </w:r>
    </w:p>
    <w:p w14:paraId="49EAE795" w14:textId="0092E21C" w:rsidR="001652BD" w:rsidRPr="00296220" w:rsidRDefault="001652BD" w:rsidP="001652BD">
      <w:pPr>
        <w:pStyle w:val="IASBNormalnpara"/>
        <w:spacing w:after="100"/>
        <w:rPr>
          <w:lang w:val="en-AU"/>
        </w:rPr>
      </w:pPr>
      <w:r w:rsidRPr="00296220">
        <w:rPr>
          <w:lang w:val="en-AU"/>
        </w:rPr>
        <w:t>62</w:t>
      </w:r>
      <w:r w:rsidRPr="00296220">
        <w:rPr>
          <w:lang w:val="en-AU"/>
        </w:rPr>
        <w:tab/>
      </w:r>
      <w:r w:rsidR="00447A3D" w:rsidRPr="00296220">
        <w:rPr>
          <w:lang w:val="en-AU"/>
        </w:rPr>
        <w:t>AASB 2023-</w:t>
      </w:r>
      <w:r w:rsidR="00421678">
        <w:rPr>
          <w:lang w:val="en-AU"/>
        </w:rPr>
        <w:t>1</w:t>
      </w:r>
      <w:r w:rsidR="00447A3D" w:rsidRPr="00296220">
        <w:rPr>
          <w:lang w:val="en-AU"/>
        </w:rPr>
        <w:t xml:space="preserve"> </w:t>
      </w:r>
      <w:r w:rsidR="00447A3D" w:rsidRPr="00296220">
        <w:rPr>
          <w:i/>
          <w:iCs/>
          <w:lang w:val="en-AU"/>
        </w:rPr>
        <w:t>Amendments to Australian Accounting Standards –</w:t>
      </w:r>
      <w:r w:rsidR="00447A3D" w:rsidRPr="00296220">
        <w:rPr>
          <w:lang w:val="en-AU"/>
        </w:rPr>
        <w:t xml:space="preserve"> </w:t>
      </w:r>
      <w:r w:rsidRPr="00296220">
        <w:rPr>
          <w:i/>
          <w:lang w:val="en-AU"/>
        </w:rPr>
        <w:t>Supplier Finance Arrangements</w:t>
      </w:r>
      <w:r w:rsidRPr="00296220">
        <w:rPr>
          <w:lang w:val="en-AU"/>
        </w:rPr>
        <w:t xml:space="preserve">, issued in </w:t>
      </w:r>
      <w:r w:rsidR="00447A3D" w:rsidRPr="00296220">
        <w:rPr>
          <w:lang w:val="en-AU"/>
        </w:rPr>
        <w:t xml:space="preserve">June </w:t>
      </w:r>
      <w:r w:rsidRPr="00296220">
        <w:rPr>
          <w:lang w:val="en-AU"/>
        </w:rPr>
        <w:t xml:space="preserve">2023, added paragraphs 44F–44H. An entity shall apply those amendments for annual reporting periods beginning on or after 1 January 2024. Earlier application is permitted. If an entity applies those amendments for an earlier period, it shall disclose that fact. </w:t>
      </w:r>
    </w:p>
    <w:p w14:paraId="53C3233B" w14:textId="71C27403" w:rsidR="001652BD" w:rsidRPr="00296220" w:rsidRDefault="001652BD" w:rsidP="001652BD">
      <w:pPr>
        <w:pStyle w:val="IASBNormalnpara"/>
        <w:spacing w:after="100"/>
        <w:rPr>
          <w:lang w:val="en-AU"/>
        </w:rPr>
      </w:pPr>
      <w:r w:rsidRPr="00296220">
        <w:rPr>
          <w:lang w:val="en-AU"/>
        </w:rPr>
        <w:t>63</w:t>
      </w:r>
      <w:r w:rsidRPr="00296220">
        <w:rPr>
          <w:lang w:val="en-AU"/>
        </w:rPr>
        <w:tab/>
        <w:t xml:space="preserve">In applying </w:t>
      </w:r>
      <w:r w:rsidR="00447A3D" w:rsidRPr="00296220">
        <w:rPr>
          <w:lang w:val="en-AU"/>
        </w:rPr>
        <w:t>AASB 2023-</w:t>
      </w:r>
      <w:r w:rsidR="00421678">
        <w:rPr>
          <w:lang w:val="en-AU"/>
        </w:rPr>
        <w:t>1</w:t>
      </w:r>
      <w:r w:rsidRPr="00296220">
        <w:rPr>
          <w:lang w:val="en-AU"/>
        </w:rPr>
        <w:t>, an entity is not required to disclose:</w:t>
      </w:r>
    </w:p>
    <w:p w14:paraId="002B820D" w14:textId="77777777" w:rsidR="001652BD" w:rsidRPr="00296220" w:rsidRDefault="001652BD" w:rsidP="001652BD">
      <w:pPr>
        <w:pStyle w:val="IASBNormalnparaL1"/>
        <w:spacing w:after="100"/>
        <w:rPr>
          <w:lang w:val="en-AU"/>
        </w:rPr>
      </w:pPr>
      <w:r w:rsidRPr="00296220">
        <w:rPr>
          <w:lang w:val="en-AU"/>
        </w:rPr>
        <w:t>(a)</w:t>
      </w:r>
      <w:r w:rsidRPr="00296220">
        <w:rPr>
          <w:lang w:val="en-AU"/>
        </w:rPr>
        <w:tab/>
        <w:t>comparative information for any reporting periods presented before the beginning of the annual reporting period in which the entity first applies those amendments.</w:t>
      </w:r>
    </w:p>
    <w:p w14:paraId="2028EA9E" w14:textId="77777777" w:rsidR="001652BD" w:rsidRPr="00296220" w:rsidRDefault="001652BD" w:rsidP="001652BD">
      <w:pPr>
        <w:pStyle w:val="IASBNormalnparaL1"/>
        <w:spacing w:after="100"/>
        <w:rPr>
          <w:lang w:val="en-AU"/>
        </w:rPr>
      </w:pPr>
      <w:r w:rsidRPr="00296220">
        <w:rPr>
          <w:lang w:val="en-AU"/>
        </w:rPr>
        <w:t>(b)</w:t>
      </w:r>
      <w:r w:rsidRPr="00296220">
        <w:rPr>
          <w:lang w:val="en-AU"/>
        </w:rPr>
        <w:tab/>
        <w:t>the information otherwise required by paragraph 44H(b)(ii)–(iii) as at the beginning of the annual reporting period in which the entity first applies those amendments.</w:t>
      </w:r>
    </w:p>
    <w:p w14:paraId="5CBD6439" w14:textId="77777777" w:rsidR="001652BD" w:rsidRPr="00296220" w:rsidRDefault="001652BD" w:rsidP="001652BD">
      <w:pPr>
        <w:pStyle w:val="IASBNormalnparaL1"/>
        <w:spacing w:after="100"/>
        <w:rPr>
          <w:lang w:val="en-AU"/>
        </w:rPr>
      </w:pPr>
      <w:r w:rsidRPr="00296220">
        <w:rPr>
          <w:lang w:val="en-AU"/>
        </w:rPr>
        <w:t>(c)</w:t>
      </w:r>
      <w:r w:rsidRPr="00296220">
        <w:rPr>
          <w:lang w:val="en-AU"/>
        </w:rPr>
        <w:tab/>
        <w:t>the information otherwise required by paragraphs 44F–44H for any interim period presented within the annual reporting period in which the entity first applies those amendments.</w:t>
      </w:r>
    </w:p>
    <w:p w14:paraId="61D94778" w14:textId="021CD092" w:rsidR="00A05430" w:rsidRPr="00296220" w:rsidRDefault="00A05430" w:rsidP="00A05430">
      <w:pPr>
        <w:pStyle w:val="Heading2"/>
      </w:pPr>
      <w:r w:rsidRPr="00296220">
        <w:t>Amendments to AASB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mendments to AASB 7"/>
        <w:tblDescription w:val="Information relating to the amendments to AASB 7"/>
      </w:tblPr>
      <w:tblGrid>
        <w:gridCol w:w="9061"/>
      </w:tblGrid>
      <w:tr w:rsidR="00A05430" w:rsidRPr="00296220" w14:paraId="440019CD" w14:textId="77777777" w:rsidTr="00AD0E0D">
        <w:tc>
          <w:tcPr>
            <w:tcW w:w="50" w:type="pct"/>
          </w:tcPr>
          <w:p w14:paraId="6797C226" w14:textId="19048F99" w:rsidR="00A05430" w:rsidRPr="00296220" w:rsidRDefault="000220A5" w:rsidP="00DC76B0">
            <w:pPr>
              <w:pStyle w:val="IASBTableArial"/>
              <w:spacing w:after="120"/>
              <w:rPr>
                <w:lang w:val="en-AU"/>
              </w:rPr>
            </w:pPr>
            <w:r w:rsidRPr="00296220">
              <w:rPr>
                <w:lang w:val="en-AU"/>
              </w:rPr>
              <w:t xml:space="preserve">Paragraph 44JJ is added. In Appendix B, paragraph B11F is amended. </w:t>
            </w:r>
            <w:r w:rsidR="00616163" w:rsidRPr="00296220">
              <w:rPr>
                <w:lang w:val="en-AU"/>
              </w:rPr>
              <w:t>Deleted text is struck</w:t>
            </w:r>
            <w:r w:rsidR="006A0880" w:rsidRPr="00296220">
              <w:rPr>
                <w:lang w:val="en-AU"/>
              </w:rPr>
              <w:t xml:space="preserve"> </w:t>
            </w:r>
            <w:r w:rsidR="00616163" w:rsidRPr="00296220">
              <w:rPr>
                <w:lang w:val="en-AU"/>
              </w:rPr>
              <w:t>through and new text is underlined.</w:t>
            </w:r>
          </w:p>
        </w:tc>
      </w:tr>
    </w:tbl>
    <w:p w14:paraId="52EA99D3" w14:textId="77777777" w:rsidR="00A05430" w:rsidRPr="00296220" w:rsidRDefault="00A05430" w:rsidP="003F7D2F">
      <w:pPr>
        <w:pStyle w:val="IASBSectionTitle1NonInd"/>
        <w:rPr>
          <w:lang w:val="en-AU"/>
        </w:rPr>
      </w:pPr>
      <w:r w:rsidRPr="00296220">
        <w:rPr>
          <w:lang w:val="en-AU"/>
        </w:rPr>
        <w:t>Effective date and transition</w:t>
      </w:r>
    </w:p>
    <w:p w14:paraId="0D1C1104" w14:textId="78896051" w:rsidR="00A05430" w:rsidRPr="00296220" w:rsidRDefault="00A05430" w:rsidP="00EF661C">
      <w:pPr>
        <w:pStyle w:val="IASBNormalnpara"/>
        <w:spacing w:after="100"/>
        <w:rPr>
          <w:lang w:val="en-AU"/>
        </w:rPr>
      </w:pPr>
      <w:r w:rsidRPr="00296220">
        <w:rPr>
          <w:lang w:val="en-AU"/>
        </w:rPr>
        <w:tab/>
      </w:r>
      <w:r w:rsidR="00D17F95">
        <w:rPr>
          <w:lang w:val="en-AU"/>
        </w:rPr>
        <w:t>…</w:t>
      </w:r>
    </w:p>
    <w:p w14:paraId="08C5865F" w14:textId="5BC3F570" w:rsidR="00A05430" w:rsidRPr="00296220" w:rsidRDefault="00A05430" w:rsidP="003F7D2F">
      <w:pPr>
        <w:pStyle w:val="IASBNormalnpara"/>
        <w:keepLines/>
        <w:spacing w:after="100"/>
        <w:rPr>
          <w:lang w:val="en-AU"/>
        </w:rPr>
      </w:pPr>
      <w:r w:rsidRPr="00296220">
        <w:rPr>
          <w:u w:val="single"/>
          <w:lang w:val="en-AU"/>
        </w:rPr>
        <w:lastRenderedPageBreak/>
        <w:t>44JJ</w:t>
      </w:r>
      <w:r w:rsidRPr="00296220">
        <w:rPr>
          <w:lang w:val="en-AU"/>
        </w:rPr>
        <w:tab/>
      </w:r>
      <w:r w:rsidR="00447A3D" w:rsidRPr="00296220">
        <w:rPr>
          <w:u w:val="single"/>
          <w:lang w:val="en-AU"/>
        </w:rPr>
        <w:t>AASB 2023-</w:t>
      </w:r>
      <w:r w:rsidR="00421678">
        <w:rPr>
          <w:u w:val="single"/>
          <w:lang w:val="en-AU"/>
        </w:rPr>
        <w:t>1</w:t>
      </w:r>
      <w:r w:rsidR="00447A3D" w:rsidRPr="00296220">
        <w:rPr>
          <w:u w:val="single"/>
          <w:lang w:val="en-AU"/>
        </w:rPr>
        <w:t xml:space="preserve"> </w:t>
      </w:r>
      <w:r w:rsidR="00447A3D" w:rsidRPr="00296220">
        <w:rPr>
          <w:i/>
          <w:iCs/>
          <w:u w:val="single"/>
          <w:lang w:val="en-AU"/>
        </w:rPr>
        <w:t>Amendments to Australian Accounting Standards –</w:t>
      </w:r>
      <w:r w:rsidR="00447A3D" w:rsidRPr="00296220">
        <w:rPr>
          <w:u w:val="single"/>
          <w:lang w:val="en-AU"/>
        </w:rPr>
        <w:t xml:space="preserve"> </w:t>
      </w:r>
      <w:r w:rsidRPr="00296220">
        <w:rPr>
          <w:i/>
          <w:u w:val="single"/>
          <w:lang w:val="en-AU"/>
        </w:rPr>
        <w:t>Supplier Finance Arrangements</w:t>
      </w:r>
      <w:r w:rsidRPr="00296220">
        <w:rPr>
          <w:u w:val="single"/>
          <w:lang w:val="en-AU"/>
        </w:rPr>
        <w:t xml:space="preserve">, issued in </w:t>
      </w:r>
      <w:r w:rsidR="00447A3D" w:rsidRPr="00296220">
        <w:rPr>
          <w:u w:val="single"/>
          <w:lang w:val="en-AU"/>
        </w:rPr>
        <w:t xml:space="preserve">June </w:t>
      </w:r>
      <w:r w:rsidRPr="00296220">
        <w:rPr>
          <w:u w:val="single"/>
          <w:lang w:val="en-AU"/>
        </w:rPr>
        <w:t>2023, which also amended</w:t>
      </w:r>
      <w:r w:rsidR="00447A3D" w:rsidRPr="00296220">
        <w:rPr>
          <w:u w:val="single"/>
          <w:lang w:val="en-AU"/>
        </w:rPr>
        <w:t xml:space="preserve"> AASB 107</w:t>
      </w:r>
      <w:r w:rsidR="0038139C" w:rsidRPr="00296220">
        <w:rPr>
          <w:u w:val="single"/>
          <w:lang w:val="en-AU"/>
        </w:rPr>
        <w:t xml:space="preserve"> </w:t>
      </w:r>
      <w:r w:rsidR="0038139C" w:rsidRPr="00296220">
        <w:rPr>
          <w:i/>
          <w:iCs/>
          <w:u w:val="single"/>
          <w:lang w:val="en-AU"/>
        </w:rPr>
        <w:t>Statement of Cash Flows</w:t>
      </w:r>
      <w:r w:rsidRPr="00296220">
        <w:rPr>
          <w:u w:val="single"/>
          <w:lang w:val="en-AU"/>
        </w:rPr>
        <w:t>, amended paragraph B11F. An entity shall apply that amendment when it applies the amendments to</w:t>
      </w:r>
      <w:r w:rsidR="00447A3D" w:rsidRPr="00296220">
        <w:rPr>
          <w:u w:val="single"/>
          <w:lang w:val="en-AU"/>
        </w:rPr>
        <w:t xml:space="preserve"> AASB 107</w:t>
      </w:r>
      <w:r w:rsidRPr="00296220">
        <w:rPr>
          <w:u w:val="single"/>
          <w:lang w:val="en-AU"/>
        </w:rPr>
        <w:t>.</w:t>
      </w:r>
    </w:p>
    <w:p w14:paraId="1CC09BAB" w14:textId="4AAB4492" w:rsidR="00A05430" w:rsidRPr="00296220" w:rsidRDefault="00A05430" w:rsidP="00DC76B0">
      <w:pPr>
        <w:pStyle w:val="IASBNormalnpara"/>
        <w:spacing w:after="100"/>
        <w:rPr>
          <w:lang w:val="en-AU"/>
        </w:rPr>
      </w:pPr>
      <w:r w:rsidRPr="00296220">
        <w:rPr>
          <w:lang w:val="en-AU"/>
        </w:rPr>
        <w:tab/>
      </w:r>
      <w:r w:rsidR="0038139C" w:rsidRPr="00296220">
        <w:rPr>
          <w:lang w:val="en-AU"/>
        </w:rPr>
        <w:t>…</w:t>
      </w:r>
    </w:p>
    <w:p w14:paraId="55C910A6" w14:textId="2F32CD8D" w:rsidR="00E2348E" w:rsidRPr="00296220" w:rsidRDefault="00E2348E" w:rsidP="00C8206F">
      <w:pPr>
        <w:pStyle w:val="paragraph"/>
        <w:keepNext/>
        <w:spacing w:before="300" w:beforeAutospacing="0" w:after="0" w:afterAutospacing="0"/>
        <w:textAlignment w:val="baseline"/>
        <w:rPr>
          <w:rFonts w:ascii="Segoe UI" w:hAnsi="Segoe UI" w:cs="Segoe UI"/>
          <w:b/>
          <w:bCs/>
          <w:sz w:val="26"/>
          <w:szCs w:val="26"/>
        </w:rPr>
      </w:pPr>
      <w:r w:rsidRPr="00296220">
        <w:rPr>
          <w:rStyle w:val="normaltextrun"/>
          <w:rFonts w:ascii="Arial" w:hAnsi="Arial" w:cs="Arial"/>
          <w:b/>
          <w:bCs/>
          <w:sz w:val="26"/>
          <w:szCs w:val="26"/>
        </w:rPr>
        <w:t>Appendix B</w:t>
      </w:r>
      <w:r w:rsidRPr="00296220">
        <w:rPr>
          <w:rFonts w:ascii="Arial" w:hAnsi="Arial" w:cs="Arial"/>
          <w:b/>
          <w:bCs/>
          <w:sz w:val="26"/>
          <w:szCs w:val="26"/>
        </w:rPr>
        <w:br/>
      </w:r>
      <w:r w:rsidRPr="00296220">
        <w:rPr>
          <w:rStyle w:val="normaltextrun"/>
          <w:rFonts w:ascii="Arial" w:hAnsi="Arial" w:cs="Arial"/>
          <w:b/>
          <w:bCs/>
          <w:sz w:val="26"/>
          <w:szCs w:val="26"/>
        </w:rPr>
        <w:t>Application guidance</w:t>
      </w:r>
    </w:p>
    <w:p w14:paraId="7023B4FF" w14:textId="4584C458" w:rsidR="0038139C" w:rsidRPr="00296220" w:rsidRDefault="0038139C" w:rsidP="0038139C">
      <w:pPr>
        <w:pStyle w:val="IASBNormalnpara"/>
        <w:spacing w:after="100"/>
        <w:rPr>
          <w:lang w:val="en-AU"/>
        </w:rPr>
      </w:pPr>
      <w:r w:rsidRPr="00296220">
        <w:rPr>
          <w:lang w:val="en-AU"/>
        </w:rPr>
        <w:tab/>
        <w:t>…</w:t>
      </w:r>
    </w:p>
    <w:p w14:paraId="4D0D9F3E" w14:textId="112F3690" w:rsidR="00E2348E" w:rsidRPr="00296220" w:rsidRDefault="00E2348E" w:rsidP="00DE63C2">
      <w:pPr>
        <w:pStyle w:val="IASBSectionTitle1NonInd"/>
        <w:rPr>
          <w:b w:val="0"/>
          <w:lang w:val="en-AU"/>
        </w:rPr>
      </w:pPr>
      <w:r w:rsidRPr="00296220">
        <w:rPr>
          <w:rStyle w:val="normaltextrun"/>
          <w:bCs/>
          <w:szCs w:val="26"/>
          <w:lang w:val="en-AU"/>
        </w:rPr>
        <w:t>Nature and extent of risks arising from financial instruments</w:t>
      </w:r>
      <w:r w:rsidRPr="00296220">
        <w:rPr>
          <w:lang w:val="en-AU"/>
        </w:rPr>
        <w:br/>
      </w:r>
      <w:r w:rsidRPr="00296220">
        <w:rPr>
          <w:rStyle w:val="normaltextrun"/>
          <w:bCs/>
          <w:szCs w:val="26"/>
          <w:lang w:val="en-AU"/>
        </w:rPr>
        <w:t>(paragraphs 31–42)</w:t>
      </w:r>
    </w:p>
    <w:p w14:paraId="3E0F1370" w14:textId="77777777" w:rsidR="0038139C" w:rsidRPr="00296220" w:rsidRDefault="0038139C" w:rsidP="0038139C">
      <w:pPr>
        <w:pStyle w:val="IASBNormalnpara"/>
        <w:spacing w:after="100"/>
        <w:rPr>
          <w:lang w:val="en-AU"/>
        </w:rPr>
      </w:pPr>
      <w:r w:rsidRPr="00296220">
        <w:rPr>
          <w:lang w:val="en-AU"/>
        </w:rPr>
        <w:tab/>
        <w:t>…</w:t>
      </w:r>
    </w:p>
    <w:p w14:paraId="6B1F861E" w14:textId="32A6D43D" w:rsidR="00E2348E" w:rsidRPr="00296220" w:rsidRDefault="00E2348E" w:rsidP="00DE63C2">
      <w:pPr>
        <w:pStyle w:val="paragraph"/>
        <w:keepNext/>
        <w:spacing w:before="240" w:beforeAutospacing="0" w:after="200" w:afterAutospacing="0"/>
        <w:ind w:left="780"/>
        <w:textAlignment w:val="baseline"/>
        <w:rPr>
          <w:rFonts w:ascii="Segoe UI" w:hAnsi="Segoe UI" w:cs="Segoe UI"/>
          <w:b/>
          <w:bCs/>
          <w:sz w:val="26"/>
          <w:szCs w:val="26"/>
        </w:rPr>
      </w:pPr>
      <w:r w:rsidRPr="00296220">
        <w:rPr>
          <w:rStyle w:val="normaltextrun"/>
          <w:rFonts w:ascii="Arial" w:hAnsi="Arial" w:cs="Arial"/>
          <w:b/>
          <w:bCs/>
          <w:sz w:val="26"/>
          <w:szCs w:val="26"/>
        </w:rPr>
        <w:t>Quantitative liquidity risk disclosures (paragraphs 34(a) and 39(a) and (b))</w:t>
      </w:r>
    </w:p>
    <w:p w14:paraId="03EC5D51" w14:textId="77777777" w:rsidR="0038139C" w:rsidRPr="00296220" w:rsidRDefault="0038139C" w:rsidP="0038139C">
      <w:pPr>
        <w:pStyle w:val="IASBNormalnpara"/>
        <w:spacing w:after="100"/>
        <w:rPr>
          <w:lang w:val="en-AU"/>
        </w:rPr>
      </w:pPr>
      <w:r w:rsidRPr="00296220">
        <w:rPr>
          <w:lang w:val="en-AU"/>
        </w:rPr>
        <w:tab/>
        <w:t>…</w:t>
      </w:r>
    </w:p>
    <w:p w14:paraId="2F9A93D4" w14:textId="10484D17" w:rsidR="006027E5" w:rsidRPr="00296220" w:rsidRDefault="006027E5" w:rsidP="00354C1E">
      <w:pPr>
        <w:pStyle w:val="IASBNormalnpara"/>
        <w:keepNext/>
        <w:spacing w:after="100"/>
        <w:rPr>
          <w:lang w:val="en-AU"/>
        </w:rPr>
      </w:pPr>
      <w:r w:rsidRPr="00296220">
        <w:rPr>
          <w:lang w:val="en-AU"/>
        </w:rPr>
        <w:t>B11F</w:t>
      </w:r>
      <w:r w:rsidRPr="00296220">
        <w:rPr>
          <w:lang w:val="en-AU"/>
        </w:rPr>
        <w:tab/>
        <w:t>Other factors that an entity might consider in providing the disclosure required in paragraph 39(c) include, but are not limited to, whether the entity:</w:t>
      </w:r>
    </w:p>
    <w:p w14:paraId="5825EC01" w14:textId="0609548C" w:rsidR="006027E5" w:rsidRPr="00296220" w:rsidRDefault="006027E5" w:rsidP="00DE63C2">
      <w:pPr>
        <w:pStyle w:val="IASBNormalnparaL1"/>
        <w:rPr>
          <w:lang w:val="en-AU"/>
        </w:rPr>
      </w:pPr>
      <w:r w:rsidRPr="00296220">
        <w:rPr>
          <w:lang w:val="en-AU"/>
        </w:rPr>
        <w:t>(a)</w:t>
      </w:r>
      <w:r w:rsidRPr="00296220">
        <w:rPr>
          <w:lang w:val="en-AU"/>
        </w:rPr>
        <w:tab/>
        <w:t>has committed borrowing facilities (</w:t>
      </w:r>
      <w:proofErr w:type="gramStart"/>
      <w:r w:rsidRPr="00296220">
        <w:rPr>
          <w:lang w:val="en-AU"/>
        </w:rPr>
        <w:t>eg</w:t>
      </w:r>
      <w:proofErr w:type="gramEnd"/>
      <w:r w:rsidRPr="00296220">
        <w:rPr>
          <w:lang w:val="en-AU"/>
        </w:rPr>
        <w:t xml:space="preserve"> commercial paper facilities) or other lines of credit (eg stand-by credit facilities) that it can access to meet liquidity needs;</w:t>
      </w:r>
    </w:p>
    <w:p w14:paraId="41DBC0D9" w14:textId="71ACB28E" w:rsidR="006027E5" w:rsidRPr="00296220" w:rsidRDefault="006027E5" w:rsidP="00DE63C2">
      <w:pPr>
        <w:pStyle w:val="IASBNormalnparaL1"/>
        <w:rPr>
          <w:lang w:val="en-AU"/>
        </w:rPr>
      </w:pPr>
      <w:r w:rsidRPr="00296220">
        <w:rPr>
          <w:lang w:val="en-AU"/>
        </w:rPr>
        <w:t>(b)</w:t>
      </w:r>
      <w:r w:rsidRPr="00296220">
        <w:rPr>
          <w:lang w:val="en-AU"/>
        </w:rPr>
        <w:tab/>
        <w:t>holds deposits at central banks to meet liquidity needs;</w:t>
      </w:r>
    </w:p>
    <w:p w14:paraId="2682208C" w14:textId="7A1921D6" w:rsidR="006027E5" w:rsidRPr="00296220" w:rsidRDefault="006027E5" w:rsidP="00DE63C2">
      <w:pPr>
        <w:pStyle w:val="IASBNormalnparaL1"/>
        <w:rPr>
          <w:lang w:val="en-AU"/>
        </w:rPr>
      </w:pPr>
      <w:r w:rsidRPr="00296220">
        <w:rPr>
          <w:lang w:val="en-AU"/>
        </w:rPr>
        <w:t>(c)</w:t>
      </w:r>
      <w:r w:rsidRPr="00296220">
        <w:rPr>
          <w:lang w:val="en-AU"/>
        </w:rPr>
        <w:tab/>
        <w:t>has very diverse funding sources;</w:t>
      </w:r>
    </w:p>
    <w:p w14:paraId="69275AEC" w14:textId="6066EAA2" w:rsidR="006027E5" w:rsidRPr="00296220" w:rsidRDefault="006027E5" w:rsidP="00DE63C2">
      <w:pPr>
        <w:pStyle w:val="IASBNormalnparaL1"/>
        <w:rPr>
          <w:lang w:val="en-AU"/>
        </w:rPr>
      </w:pPr>
      <w:r w:rsidRPr="00296220">
        <w:rPr>
          <w:lang w:val="en-AU"/>
        </w:rPr>
        <w:t>(d)</w:t>
      </w:r>
      <w:r w:rsidRPr="00296220">
        <w:rPr>
          <w:lang w:val="en-AU"/>
        </w:rPr>
        <w:tab/>
        <w:t>has significant concentrations of liquidity risk in either its assets or its funding sources;</w:t>
      </w:r>
    </w:p>
    <w:p w14:paraId="25D7F530" w14:textId="701825B5" w:rsidR="006027E5" w:rsidRPr="00296220" w:rsidRDefault="006027E5" w:rsidP="00DE63C2">
      <w:pPr>
        <w:pStyle w:val="IASBNormalnparaL1"/>
        <w:rPr>
          <w:lang w:val="en-AU"/>
        </w:rPr>
      </w:pPr>
      <w:r w:rsidRPr="00296220">
        <w:rPr>
          <w:lang w:val="en-AU"/>
        </w:rPr>
        <w:t>(e)</w:t>
      </w:r>
      <w:r w:rsidRPr="00296220">
        <w:rPr>
          <w:lang w:val="en-AU"/>
        </w:rPr>
        <w:tab/>
        <w:t>has internal control processes and contingency plans for managing liquidity risk;</w:t>
      </w:r>
    </w:p>
    <w:p w14:paraId="68E60A07" w14:textId="66B7AF0B" w:rsidR="006027E5" w:rsidRPr="00296220" w:rsidRDefault="006027E5" w:rsidP="00DE63C2">
      <w:pPr>
        <w:pStyle w:val="IASBNormalnparaL1"/>
        <w:rPr>
          <w:lang w:val="en-AU"/>
        </w:rPr>
      </w:pPr>
      <w:r w:rsidRPr="00296220">
        <w:rPr>
          <w:lang w:val="en-AU"/>
        </w:rPr>
        <w:t>(f)</w:t>
      </w:r>
      <w:r w:rsidRPr="00296220">
        <w:rPr>
          <w:lang w:val="en-AU"/>
        </w:rPr>
        <w:tab/>
        <w:t>has instruments that include accelerated repayment terms (</w:t>
      </w:r>
      <w:proofErr w:type="gramStart"/>
      <w:r w:rsidRPr="00296220">
        <w:rPr>
          <w:lang w:val="en-AU"/>
        </w:rPr>
        <w:t>eg</w:t>
      </w:r>
      <w:proofErr w:type="gramEnd"/>
      <w:r w:rsidRPr="00296220">
        <w:rPr>
          <w:lang w:val="en-AU"/>
        </w:rPr>
        <w:t xml:space="preserve"> on the downgrade of the entity’s credit rating);</w:t>
      </w:r>
    </w:p>
    <w:p w14:paraId="5C1B9558" w14:textId="17142DC0" w:rsidR="006027E5" w:rsidRPr="00296220" w:rsidRDefault="006027E5" w:rsidP="00DE63C2">
      <w:pPr>
        <w:pStyle w:val="IASBNormalnparaL1"/>
        <w:rPr>
          <w:lang w:val="en-AU"/>
        </w:rPr>
      </w:pPr>
      <w:r w:rsidRPr="00296220">
        <w:rPr>
          <w:lang w:val="en-AU"/>
        </w:rPr>
        <w:t>(g)</w:t>
      </w:r>
      <w:r w:rsidRPr="00296220">
        <w:rPr>
          <w:lang w:val="en-AU"/>
        </w:rPr>
        <w:tab/>
        <w:t>has instruments that could require the posting of collateral (</w:t>
      </w:r>
      <w:proofErr w:type="gramStart"/>
      <w:r w:rsidRPr="00296220">
        <w:rPr>
          <w:lang w:val="en-AU"/>
        </w:rPr>
        <w:t>eg</w:t>
      </w:r>
      <w:proofErr w:type="gramEnd"/>
      <w:r w:rsidRPr="00296220">
        <w:rPr>
          <w:lang w:val="en-AU"/>
        </w:rPr>
        <w:t xml:space="preserve"> margin calls for derivatives);</w:t>
      </w:r>
    </w:p>
    <w:p w14:paraId="293D32E7" w14:textId="00695308" w:rsidR="006027E5" w:rsidRPr="00296220" w:rsidRDefault="006027E5" w:rsidP="00DE63C2">
      <w:pPr>
        <w:pStyle w:val="IASBNormalnparaL1"/>
        <w:rPr>
          <w:lang w:val="en-AU"/>
        </w:rPr>
      </w:pPr>
      <w:r w:rsidRPr="00296220">
        <w:rPr>
          <w:lang w:val="en-AU"/>
        </w:rPr>
        <w:t>(h)</w:t>
      </w:r>
      <w:r w:rsidRPr="00296220">
        <w:rPr>
          <w:lang w:val="en-AU"/>
        </w:rPr>
        <w:tab/>
        <w:t xml:space="preserve">has instruments that allow the entity to choose whether it settles its financial liabilities by delivering cash (or another financial asset) or by delivering its own shares; </w:t>
      </w:r>
      <w:r w:rsidR="008C4A3C" w:rsidRPr="00296220">
        <w:rPr>
          <w:strike/>
          <w:lang w:val="en-AU"/>
        </w:rPr>
        <w:t>or</w:t>
      </w:r>
    </w:p>
    <w:p w14:paraId="2BD68AE8" w14:textId="743907B5" w:rsidR="006027E5" w:rsidRPr="00296220" w:rsidRDefault="006027E5" w:rsidP="00DE63C2">
      <w:pPr>
        <w:pStyle w:val="IASBNormalnparaL1"/>
        <w:rPr>
          <w:lang w:val="en-AU"/>
        </w:rPr>
      </w:pPr>
      <w:r w:rsidRPr="00296220">
        <w:rPr>
          <w:lang w:val="en-AU"/>
        </w:rPr>
        <w:t>(i)</w:t>
      </w:r>
      <w:r w:rsidRPr="00296220">
        <w:rPr>
          <w:lang w:val="en-AU"/>
        </w:rPr>
        <w:tab/>
        <w:t>has instruments that are subject to master netting agreements</w:t>
      </w:r>
      <w:r w:rsidRPr="00296220">
        <w:rPr>
          <w:u w:val="single"/>
          <w:lang w:val="en-AU"/>
        </w:rPr>
        <w:t>; or</w:t>
      </w:r>
    </w:p>
    <w:p w14:paraId="609BA897" w14:textId="5A2EE9E5" w:rsidR="006027E5" w:rsidRPr="00296220" w:rsidRDefault="006027E5" w:rsidP="00DE63C2">
      <w:pPr>
        <w:pStyle w:val="IASBNormalnparaL1"/>
        <w:rPr>
          <w:lang w:val="en-AU"/>
        </w:rPr>
      </w:pPr>
      <w:r w:rsidRPr="00296220">
        <w:rPr>
          <w:u w:val="single"/>
          <w:lang w:val="en-AU"/>
        </w:rPr>
        <w:t>(j)</w:t>
      </w:r>
      <w:r w:rsidRPr="00296220">
        <w:rPr>
          <w:lang w:val="en-AU"/>
        </w:rPr>
        <w:tab/>
      </w:r>
      <w:r w:rsidRPr="00296220">
        <w:rPr>
          <w:u w:val="single"/>
          <w:lang w:val="en-AU"/>
        </w:rPr>
        <w:t xml:space="preserve">has accessed, or has access to, facilities under supplier finance arrangements (as described in paragraph 44G of </w:t>
      </w:r>
      <w:r w:rsidR="00424BC6" w:rsidRPr="00296220">
        <w:rPr>
          <w:u w:val="single"/>
          <w:lang w:val="en-AU"/>
        </w:rPr>
        <w:t>AASB</w:t>
      </w:r>
      <w:r w:rsidRPr="00296220">
        <w:rPr>
          <w:u w:val="single"/>
          <w:lang w:val="en-AU"/>
        </w:rPr>
        <w:t xml:space="preserve"> 7) that provide the entity with extended payment terms or the entity’s suppliers with early payment terms</w:t>
      </w:r>
      <w:r w:rsidRPr="00296220">
        <w:rPr>
          <w:lang w:val="en-AU"/>
        </w:rPr>
        <w:t>.</w:t>
      </w:r>
    </w:p>
    <w:p w14:paraId="5F22FB38" w14:textId="77777777" w:rsidR="00BB598F" w:rsidRPr="00296220" w:rsidRDefault="00BB598F" w:rsidP="00616163">
      <w:pPr>
        <w:pStyle w:val="Heading2"/>
      </w:pPr>
      <w:r w:rsidRPr="00296220">
        <w:t>Commencement of the legislative instrument</w:t>
      </w:r>
    </w:p>
    <w:p w14:paraId="5F22FB3A" w14:textId="79C3E1F4" w:rsidR="00BB598F" w:rsidRPr="00296220" w:rsidRDefault="00BB598F" w:rsidP="00822BC9">
      <w:pPr>
        <w:pStyle w:val="NoNumPlain1"/>
      </w:pPr>
      <w:r w:rsidRPr="00296220">
        <w:t xml:space="preserve">For legal purposes, this legislative instrument commences on </w:t>
      </w:r>
      <w:bookmarkStart w:id="17" w:name="CommenceDate"/>
      <w:r w:rsidRPr="00296220">
        <w:t>31 December 2023</w:t>
      </w:r>
      <w:bookmarkEnd w:id="17"/>
      <w:r w:rsidRPr="00296220">
        <w:t>.</w:t>
      </w:r>
    </w:p>
    <w:p w14:paraId="16C82DC0" w14:textId="77777777" w:rsidR="0069759B" w:rsidRPr="00296220" w:rsidRDefault="0069759B" w:rsidP="00822BC9">
      <w:pPr>
        <w:pStyle w:val="NoNumPlain1"/>
      </w:pPr>
    </w:p>
    <w:sectPr w:rsidR="0069759B" w:rsidRPr="00296220" w:rsidSect="00D74C6A">
      <w:headerReference w:type="default" r:id="rId21"/>
      <w:footerReference w:type="default" r:id="rId22"/>
      <w:headerReference w:type="first" r:id="rId23"/>
      <w:footerReference w:type="first" r:id="rId24"/>
      <w:pgSz w:w="11907" w:h="16840" w:code="9"/>
      <w:pgMar w:top="1418" w:right="1418" w:bottom="1418" w:left="1418" w:header="709" w:footer="709" w:gutter="0"/>
      <w:paperSrc w:first="7" w:other="7"/>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6E167" w14:textId="77777777" w:rsidR="002537A6" w:rsidRDefault="002537A6">
      <w:r>
        <w:separator/>
      </w:r>
    </w:p>
  </w:endnote>
  <w:endnote w:type="continuationSeparator" w:id="0">
    <w:p w14:paraId="4B5BA661" w14:textId="77777777" w:rsidR="002537A6" w:rsidRDefault="002537A6">
      <w:r>
        <w:continuationSeparator/>
      </w:r>
    </w:p>
  </w:endnote>
  <w:endnote w:type="continuationNotice" w:id="1">
    <w:p w14:paraId="359F4243" w14:textId="77777777" w:rsidR="002537A6" w:rsidRDefault="0025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34F5" w14:textId="77777777" w:rsidR="007205D9" w:rsidRDefault="007205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A545" w14:textId="77777777" w:rsidR="007205D9" w:rsidRDefault="007205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D333" w14:textId="77777777" w:rsidR="007205D9" w:rsidRDefault="007205D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FB47" w14:textId="6454376E"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7205D9" w:rsidRPr="007205D9">
      <w:rPr>
        <w:b/>
      </w:rPr>
      <w:t>2023-1</w:t>
    </w:r>
    <w:r>
      <w:rPr>
        <w:b/>
      </w:rPr>
      <w:fldChar w:fldCharType="end"/>
    </w:r>
    <w:r>
      <w:rPr>
        <w:b/>
      </w:rPr>
      <w:tab/>
    </w:r>
    <w:r>
      <w:fldChar w:fldCharType="begin"/>
    </w:r>
    <w:r>
      <w:instrText>PAGE</w:instrText>
    </w:r>
    <w:r>
      <w:fldChar w:fldCharType="separate"/>
    </w:r>
    <w:r w:rsidR="001C553E">
      <w:rPr>
        <w:noProof/>
      </w:rPr>
      <w:t>2</w:t>
    </w:r>
    <w:r>
      <w:fldChar w:fldCharType="end"/>
    </w:r>
    <w:r>
      <w:tab/>
    </w:r>
    <w:r>
      <w:rPr>
        <w:b/>
        <w:bCs/>
      </w:rPr>
      <w:t>COPYRIGHT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FB48" w14:textId="169D43CF"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7205D9" w:rsidRPr="007205D9">
      <w:rPr>
        <w:b/>
      </w:rPr>
      <w:t>2023-1</w:t>
    </w:r>
    <w:r>
      <w:rPr>
        <w:b/>
      </w:rPr>
      <w:fldChar w:fldCharType="end"/>
    </w:r>
    <w:r>
      <w:rPr>
        <w:b/>
      </w:rPr>
      <w:tab/>
    </w:r>
    <w:r>
      <w:fldChar w:fldCharType="begin"/>
    </w:r>
    <w:r>
      <w:instrText>PAGE</w:instrText>
    </w:r>
    <w:r>
      <w:fldChar w:fldCharType="separate"/>
    </w:r>
    <w:r w:rsidR="001C553E">
      <w:rPr>
        <w:noProof/>
      </w:rPr>
      <w:t>3</w:t>
    </w:r>
    <w:r>
      <w:fldChar w:fldCharType="end"/>
    </w:r>
    <w:r>
      <w:tab/>
    </w:r>
    <w:r>
      <w:rPr>
        <w:b/>
        <w:bCs/>
      </w:rPr>
      <w:t>CONTENTS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FB49" w14:textId="393A2B04"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7205D9" w:rsidRPr="007205D9">
      <w:rPr>
        <w:b/>
      </w:rPr>
      <w:t>2023-1</w:t>
    </w:r>
    <w:r>
      <w:rPr>
        <w:b/>
      </w:rPr>
      <w:fldChar w:fldCharType="end"/>
    </w:r>
    <w:r>
      <w:rPr>
        <w:b/>
      </w:rPr>
      <w:tab/>
    </w:r>
    <w:r>
      <w:fldChar w:fldCharType="begin"/>
    </w:r>
    <w:r>
      <w:instrText>PAGE</w:instrText>
    </w:r>
    <w:r>
      <w:fldChar w:fldCharType="separate"/>
    </w:r>
    <w:r w:rsidR="001C553E">
      <w:rPr>
        <w:noProof/>
      </w:rPr>
      <w:t>4</w:t>
    </w:r>
    <w:r>
      <w:fldChar w:fldCharType="end"/>
    </w:r>
    <w:r>
      <w:tab/>
    </w:r>
    <w:r>
      <w:rPr>
        <w:b/>
        <w:bCs/>
      </w:rPr>
      <w:t>PREFACE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FB4B" w14:textId="1101239E" w:rsidR="00A96702" w:rsidRDefault="00A96702">
    <w:pPr>
      <w:pStyle w:val="Footer"/>
      <w:rPr>
        <w:b/>
      </w:rPr>
    </w:pPr>
    <w:r>
      <w:rPr>
        <w:b/>
      </w:rPr>
      <w:t xml:space="preserve">AASB </w:t>
    </w:r>
    <w:r>
      <w:rPr>
        <w:b/>
      </w:rPr>
      <w:fldChar w:fldCharType="begin" w:fldLock="1"/>
    </w:r>
    <w:r>
      <w:rPr>
        <w:b/>
      </w:rPr>
      <w:instrText xml:space="preserve"> REF DocNo  \* charformat </w:instrText>
    </w:r>
    <w:r>
      <w:rPr>
        <w:b/>
      </w:rPr>
      <w:fldChar w:fldCharType="separate"/>
    </w:r>
    <w:r w:rsidR="007205D9" w:rsidRPr="007205D9">
      <w:rPr>
        <w:b/>
      </w:rPr>
      <w:t>2023-1</w:t>
    </w:r>
    <w:r>
      <w:rPr>
        <w:b/>
      </w:rPr>
      <w:fldChar w:fldCharType="end"/>
    </w:r>
    <w:r>
      <w:rPr>
        <w:b/>
      </w:rPr>
      <w:tab/>
    </w:r>
    <w:r>
      <w:fldChar w:fldCharType="begin"/>
    </w:r>
    <w:r>
      <w:instrText>PAGE</w:instrText>
    </w:r>
    <w:r>
      <w:fldChar w:fldCharType="separate"/>
    </w:r>
    <w:r w:rsidR="001C553E">
      <w:rPr>
        <w:noProof/>
      </w:rPr>
      <w:t>5</w:t>
    </w:r>
    <w:r>
      <w:fldChar w:fldCharType="end"/>
    </w:r>
    <w:r>
      <w:tab/>
    </w:r>
    <w:r>
      <w:rPr>
        <w:b/>
        <w:bCs/>
      </w:rPr>
      <w:t>STANDARD</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FB4D" w14:textId="77777777" w:rsidR="00A96702" w:rsidRDefault="00A96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D194" w14:textId="77777777" w:rsidR="002537A6" w:rsidRDefault="002537A6">
      <w:r>
        <w:separator/>
      </w:r>
    </w:p>
  </w:footnote>
  <w:footnote w:type="continuationSeparator" w:id="0">
    <w:p w14:paraId="457C6025" w14:textId="77777777" w:rsidR="002537A6" w:rsidRDefault="002537A6">
      <w:r>
        <w:continuationSeparator/>
      </w:r>
    </w:p>
  </w:footnote>
  <w:footnote w:type="continuationNotice" w:id="1">
    <w:p w14:paraId="2FB2D127" w14:textId="77777777" w:rsidR="002537A6" w:rsidRDefault="00253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1CDC" w14:textId="77777777" w:rsidR="007205D9" w:rsidRDefault="007205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F15B6" w14:textId="77777777" w:rsidR="007205D9" w:rsidRDefault="007205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283A4" w14:textId="77777777" w:rsidR="007205D9" w:rsidRDefault="007205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FB4A" w14:textId="77777777" w:rsidR="00A96702" w:rsidRPr="00205E09" w:rsidRDefault="00A96702" w:rsidP="00205E0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FB4C" w14:textId="77777777" w:rsidR="00A96702" w:rsidRDefault="00A96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7DE"/>
    <w:multiLevelType w:val="multilevel"/>
    <w:tmpl w:val="8DC64E64"/>
    <w:styleLink w:val="AASBSubNumbersBold"/>
    <w:lvl w:ilvl="0">
      <w:start w:val="1"/>
      <w:numFmt w:val="none"/>
      <w:pStyle w:val="SubNumBold1"/>
      <w:suff w:val="nothing"/>
      <w:lvlText w:val="%1"/>
      <w:lvlJc w:val="left"/>
      <w:pPr>
        <w:ind w:left="1021" w:hanging="511"/>
      </w:pPr>
      <w:rPr>
        <w:rFonts w:hint="default"/>
      </w:rPr>
    </w:lvl>
    <w:lvl w:ilvl="1">
      <w:start w:val="1"/>
      <w:numFmt w:val="lowerLetter"/>
      <w:pStyle w:val="SubNumBold2"/>
      <w:lvlText w:val="(%2)"/>
      <w:lvlJc w:val="left"/>
      <w:pPr>
        <w:tabs>
          <w:tab w:val="num" w:pos="1020"/>
        </w:tabs>
        <w:ind w:left="1531" w:hanging="511"/>
      </w:pPr>
      <w:rPr>
        <w:rFonts w:hint="default"/>
      </w:rPr>
    </w:lvl>
    <w:lvl w:ilvl="2">
      <w:start w:val="1"/>
      <w:numFmt w:val="lowerRoman"/>
      <w:pStyle w:val="SubNumBold3"/>
      <w:lvlText w:val="(%3)"/>
      <w:lvlJc w:val="left"/>
      <w:pPr>
        <w:tabs>
          <w:tab w:val="num" w:pos="1530"/>
        </w:tabs>
        <w:ind w:left="2041" w:hanging="511"/>
      </w:pPr>
      <w:rPr>
        <w:rFonts w:hint="default"/>
      </w:rPr>
    </w:lvl>
    <w:lvl w:ilvl="3">
      <w:start w:val="1"/>
      <w:numFmt w:val="upperLetter"/>
      <w:pStyle w:val="SubNumBold4"/>
      <w:lvlText w:val="(%4)"/>
      <w:lvlJc w:val="left"/>
      <w:pPr>
        <w:tabs>
          <w:tab w:val="num" w:pos="2040"/>
        </w:tabs>
        <w:ind w:left="2551" w:hanging="511"/>
      </w:pPr>
      <w:rPr>
        <w:rFonts w:hint="default"/>
      </w:rPr>
    </w:lvl>
    <w:lvl w:ilvl="4">
      <w:start w:val="1"/>
      <w:numFmt w:val="lowerLetter"/>
      <w:lvlText w:val="(%5)"/>
      <w:lvlJc w:val="left"/>
      <w:pPr>
        <w:tabs>
          <w:tab w:val="num" w:pos="2550"/>
        </w:tabs>
        <w:ind w:left="3061" w:hanging="511"/>
      </w:pPr>
      <w:rPr>
        <w:rFonts w:hint="default"/>
      </w:rPr>
    </w:lvl>
    <w:lvl w:ilvl="5">
      <w:start w:val="1"/>
      <w:numFmt w:val="lowerRoman"/>
      <w:lvlText w:val="(%6)"/>
      <w:lvlJc w:val="left"/>
      <w:pPr>
        <w:tabs>
          <w:tab w:val="num" w:pos="3060"/>
        </w:tabs>
        <w:ind w:left="3571" w:hanging="511"/>
      </w:pPr>
      <w:rPr>
        <w:rFonts w:hint="default"/>
      </w:rPr>
    </w:lvl>
    <w:lvl w:ilvl="6">
      <w:start w:val="1"/>
      <w:numFmt w:val="decimal"/>
      <w:lvlText w:val="%7."/>
      <w:lvlJc w:val="left"/>
      <w:pPr>
        <w:tabs>
          <w:tab w:val="num" w:pos="3570"/>
        </w:tabs>
        <w:ind w:left="4081" w:hanging="511"/>
      </w:pPr>
      <w:rPr>
        <w:rFonts w:hint="default"/>
      </w:rPr>
    </w:lvl>
    <w:lvl w:ilvl="7">
      <w:start w:val="1"/>
      <w:numFmt w:val="lowerLetter"/>
      <w:lvlText w:val="%8."/>
      <w:lvlJc w:val="left"/>
      <w:pPr>
        <w:tabs>
          <w:tab w:val="num" w:pos="4080"/>
        </w:tabs>
        <w:ind w:left="4591" w:hanging="511"/>
      </w:pPr>
      <w:rPr>
        <w:rFonts w:hint="default"/>
      </w:rPr>
    </w:lvl>
    <w:lvl w:ilvl="8">
      <w:start w:val="1"/>
      <w:numFmt w:val="lowerRoman"/>
      <w:lvlText w:val="%9."/>
      <w:lvlJc w:val="left"/>
      <w:pPr>
        <w:tabs>
          <w:tab w:val="num" w:pos="4590"/>
        </w:tabs>
        <w:ind w:left="5101" w:hanging="511"/>
      </w:pPr>
      <w:rPr>
        <w:rFonts w:hint="default"/>
      </w:rPr>
    </w:lvl>
  </w:abstractNum>
  <w:abstractNum w:abstractNumId="1" w15:restartNumberingAfterBreak="0">
    <w:nsid w:val="03F92581"/>
    <w:multiLevelType w:val="multilevel"/>
    <w:tmpl w:val="AD5ABFF2"/>
    <w:numStyleLink w:val="AASBSubNumbers"/>
  </w:abstractNum>
  <w:abstractNum w:abstractNumId="2" w15:restartNumberingAfterBreak="0">
    <w:nsid w:val="13E035C2"/>
    <w:multiLevelType w:val="multilevel"/>
    <w:tmpl w:val="95A2D1B2"/>
    <w:lvl w:ilvl="0">
      <w:start w:val="1"/>
      <w:numFmt w:val="decimal"/>
      <w:pStyle w:val="NumBC1"/>
      <w:lvlText w:val="BC%1"/>
      <w:lvlJc w:val="left"/>
      <w:pPr>
        <w:tabs>
          <w:tab w:val="num" w:pos="624"/>
        </w:tabs>
        <w:ind w:left="624" w:hanging="624"/>
      </w:pPr>
      <w:rPr>
        <w:rFonts w:hint="default"/>
        <w:b w:val="0"/>
        <w:bCs w:val="0"/>
        <w:u w:val="none"/>
      </w:rPr>
    </w:lvl>
    <w:lvl w:ilvl="1">
      <w:start w:val="1"/>
      <w:numFmt w:val="lowerLetter"/>
      <w:pStyle w:val="NumBC2"/>
      <w:lvlText w:val="(%2)"/>
      <w:lvlJc w:val="left"/>
      <w:pPr>
        <w:tabs>
          <w:tab w:val="num" w:pos="1247"/>
        </w:tabs>
        <w:ind w:left="1247" w:hanging="623"/>
      </w:pPr>
      <w:rPr>
        <w:rFonts w:hint="default"/>
        <w:b w:val="0"/>
        <w:bCs w:val="0"/>
        <w:u w:val="none"/>
      </w:rPr>
    </w:lvl>
    <w:lvl w:ilvl="2">
      <w:start w:val="1"/>
      <w:numFmt w:val="lowerRoman"/>
      <w:pStyle w:val="NumBC3"/>
      <w:lvlText w:val="(%3)"/>
      <w:lvlJc w:val="left"/>
      <w:pPr>
        <w:tabs>
          <w:tab w:val="num" w:pos="1871"/>
        </w:tabs>
        <w:ind w:left="1871" w:hanging="624"/>
      </w:pPr>
      <w:rPr>
        <w:rFonts w:hint="default"/>
        <w:b w:val="0"/>
        <w:bCs w:val="0"/>
        <w:u w:val="none"/>
      </w:rPr>
    </w:lvl>
    <w:lvl w:ilvl="3">
      <w:start w:val="1"/>
      <w:numFmt w:val="upperLetter"/>
      <w:pStyle w:val="NumBC4"/>
      <w:lvlText w:val="(%4)"/>
      <w:lvlJc w:val="left"/>
      <w:pPr>
        <w:tabs>
          <w:tab w:val="num" w:pos="2495"/>
        </w:tabs>
        <w:ind w:left="2495" w:hanging="624"/>
      </w:pPr>
      <w:rPr>
        <w:rFonts w:hint="default"/>
        <w:b w:val="0"/>
        <w:bCs w:val="0"/>
        <w:u w:val="none"/>
      </w:rPr>
    </w:lvl>
    <w:lvl w:ilvl="4">
      <w:start w:val="1"/>
      <w:numFmt w:val="upperRoman"/>
      <w:lvlText w:val="%5"/>
      <w:lvlJc w:val="left"/>
      <w:pPr>
        <w:tabs>
          <w:tab w:val="num" w:pos="3543"/>
        </w:tabs>
        <w:ind w:left="3543" w:hanging="708"/>
      </w:pPr>
      <w:rPr>
        <w:rFonts w:hint="default"/>
        <w:b w:val="0"/>
        <w:bCs w:val="0"/>
        <w:u w:val="none"/>
      </w:rPr>
    </w:lvl>
    <w:lvl w:ilvl="5">
      <w:start w:val="1"/>
      <w:numFmt w:val="decimal"/>
      <w:lvlText w:val="%6"/>
      <w:lvlJc w:val="left"/>
      <w:pPr>
        <w:tabs>
          <w:tab w:val="num" w:pos="4253"/>
        </w:tabs>
        <w:ind w:left="4253" w:hanging="709"/>
      </w:pPr>
      <w:rPr>
        <w:rFonts w:hint="default"/>
      </w:rPr>
    </w:lvl>
    <w:lvl w:ilvl="6">
      <w:start w:val="1"/>
      <w:numFmt w:val="lowerLetter"/>
      <w:lvlText w:val="%7)"/>
      <w:lvlJc w:val="left"/>
      <w:pPr>
        <w:tabs>
          <w:tab w:val="num" w:pos="4961"/>
        </w:tabs>
        <w:ind w:left="4961" w:hanging="708"/>
      </w:pPr>
      <w:rPr>
        <w:rFonts w:hint="default"/>
      </w:rPr>
    </w:lvl>
    <w:lvl w:ilvl="7">
      <w:start w:val="1"/>
      <w:numFmt w:val="lowerRoman"/>
      <w:lvlText w:val="%8)"/>
      <w:lvlJc w:val="left"/>
      <w:pPr>
        <w:tabs>
          <w:tab w:val="num" w:pos="5670"/>
        </w:tabs>
        <w:ind w:left="5670" w:hanging="709"/>
      </w:pPr>
      <w:rPr>
        <w:rFonts w:hint="default"/>
      </w:rPr>
    </w:lvl>
    <w:lvl w:ilvl="8">
      <w:start w:val="1"/>
      <w:numFmt w:val="lowerRoman"/>
      <w:lvlText w:val="%9)"/>
      <w:lvlJc w:val="left"/>
      <w:pPr>
        <w:tabs>
          <w:tab w:val="num" w:pos="6379"/>
        </w:tabs>
        <w:ind w:left="6379" w:hanging="709"/>
      </w:pPr>
      <w:rPr>
        <w:rFonts w:hint="default"/>
      </w:rPr>
    </w:lvl>
  </w:abstractNum>
  <w:abstractNum w:abstractNumId="3" w15:restartNumberingAfterBreak="0">
    <w:nsid w:val="22217511"/>
    <w:multiLevelType w:val="multilevel"/>
    <w:tmpl w:val="017AF28C"/>
    <w:styleLink w:val="Bullets"/>
    <w:lvl w:ilvl="0">
      <w:start w:val="1"/>
      <w:numFmt w:val="bullet"/>
      <w:lvlText w:val=""/>
      <w:lvlJc w:val="left"/>
      <w:pPr>
        <w:ind w:left="504" w:hanging="504"/>
      </w:pPr>
      <w:rPr>
        <w:rFonts w:ascii="Symbol" w:hAnsi="Symbol" w:hint="default"/>
        <w:color w:val="auto"/>
      </w:rPr>
    </w:lvl>
    <w:lvl w:ilvl="1">
      <w:start w:val="1"/>
      <w:numFmt w:val="bullet"/>
      <w:lvlText w:val=""/>
      <w:lvlJc w:val="left"/>
      <w:pPr>
        <w:ind w:left="1008" w:hanging="504"/>
      </w:pPr>
      <w:rPr>
        <w:rFonts w:ascii="Symbol" w:hAnsi="Symbol" w:hint="default"/>
        <w:color w:val="auto"/>
      </w:rPr>
    </w:lvl>
    <w:lvl w:ilvl="2">
      <w:start w:val="1"/>
      <w:numFmt w:val="bullet"/>
      <w:lvlText w:val=""/>
      <w:lvlJc w:val="left"/>
      <w:pPr>
        <w:ind w:left="1512" w:hanging="504"/>
      </w:pPr>
      <w:rPr>
        <w:rFonts w:ascii="Symbol" w:hAnsi="Symbol" w:hint="default"/>
        <w:color w:val="auto"/>
      </w:rPr>
    </w:lvl>
    <w:lvl w:ilvl="3">
      <w:start w:val="1"/>
      <w:numFmt w:val="bullet"/>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4" w15:restartNumberingAfterBreak="0">
    <w:nsid w:val="2576465B"/>
    <w:multiLevelType w:val="multilevel"/>
    <w:tmpl w:val="D9F888A8"/>
    <w:lvl w:ilvl="0">
      <w:start w:val="1"/>
      <w:numFmt w:val="lowerLetter"/>
      <w:pStyle w:val="NumPlainA"/>
      <w:lvlText w:val="(%1)"/>
      <w:lvlJc w:val="left"/>
      <w:pPr>
        <w:tabs>
          <w:tab w:val="num" w:pos="510"/>
        </w:tabs>
        <w:ind w:left="510" w:hanging="510"/>
      </w:pPr>
      <w:rPr>
        <w:rFonts w:hint="default"/>
      </w:rPr>
    </w:lvl>
    <w:lvl w:ilvl="1">
      <w:start w:val="1"/>
      <w:numFmt w:val="lowerRoman"/>
      <w:pStyle w:val="NumPlainA2"/>
      <w:lvlText w:val="(%2)"/>
      <w:lvlJc w:val="left"/>
      <w:pPr>
        <w:tabs>
          <w:tab w:val="num" w:pos="1021"/>
        </w:tabs>
        <w:ind w:left="1021" w:hanging="511"/>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A7A35E2"/>
    <w:multiLevelType w:val="multilevel"/>
    <w:tmpl w:val="AD5ABFF2"/>
    <w:styleLink w:val="AASBSubNumbers"/>
    <w:lvl w:ilvl="0">
      <w:start w:val="1"/>
      <w:numFmt w:val="none"/>
      <w:pStyle w:val="SubNumPlain1"/>
      <w:suff w:val="nothing"/>
      <w:lvlText w:val="%1"/>
      <w:lvlJc w:val="left"/>
      <w:pPr>
        <w:ind w:left="1021" w:hanging="511"/>
      </w:pPr>
      <w:rPr>
        <w:rFonts w:hint="default"/>
      </w:rPr>
    </w:lvl>
    <w:lvl w:ilvl="1">
      <w:start w:val="1"/>
      <w:numFmt w:val="lowerLetter"/>
      <w:pStyle w:val="SubNumPlain2"/>
      <w:lvlText w:val="(%2)"/>
      <w:lvlJc w:val="left"/>
      <w:pPr>
        <w:ind w:left="1531" w:hanging="511"/>
      </w:pPr>
      <w:rPr>
        <w:rFonts w:hint="default"/>
      </w:rPr>
    </w:lvl>
    <w:lvl w:ilvl="2">
      <w:start w:val="1"/>
      <w:numFmt w:val="lowerRoman"/>
      <w:pStyle w:val="SubNumPlain3"/>
      <w:lvlText w:val="(%3)"/>
      <w:lvlJc w:val="left"/>
      <w:pPr>
        <w:ind w:left="2041" w:hanging="511"/>
      </w:pPr>
      <w:rPr>
        <w:rFonts w:hint="default"/>
      </w:rPr>
    </w:lvl>
    <w:lvl w:ilvl="3">
      <w:start w:val="1"/>
      <w:numFmt w:val="upperLetter"/>
      <w:pStyle w:val="SubNumPlain4"/>
      <w:lvlText w:val="(%4)"/>
      <w:lvlJc w:val="left"/>
      <w:pPr>
        <w:ind w:left="2551" w:hanging="511"/>
      </w:pPr>
      <w:rPr>
        <w:rFonts w:hint="default"/>
      </w:rPr>
    </w:lvl>
    <w:lvl w:ilvl="4">
      <w:start w:val="1"/>
      <w:numFmt w:val="lowerLetter"/>
      <w:lvlText w:val="(%5)"/>
      <w:lvlJc w:val="left"/>
      <w:pPr>
        <w:ind w:left="3061" w:hanging="511"/>
      </w:pPr>
      <w:rPr>
        <w:rFonts w:hint="default"/>
      </w:rPr>
    </w:lvl>
    <w:lvl w:ilvl="5">
      <w:start w:val="1"/>
      <w:numFmt w:val="lowerRoman"/>
      <w:lvlText w:val="(%6)"/>
      <w:lvlJc w:val="left"/>
      <w:pPr>
        <w:ind w:left="3571" w:hanging="511"/>
      </w:pPr>
      <w:rPr>
        <w:rFonts w:hint="default"/>
      </w:rPr>
    </w:lvl>
    <w:lvl w:ilvl="6">
      <w:start w:val="1"/>
      <w:numFmt w:val="decimal"/>
      <w:lvlText w:val="%7."/>
      <w:lvlJc w:val="left"/>
      <w:pPr>
        <w:ind w:left="4081" w:hanging="511"/>
      </w:pPr>
      <w:rPr>
        <w:rFonts w:hint="default"/>
      </w:rPr>
    </w:lvl>
    <w:lvl w:ilvl="7">
      <w:start w:val="1"/>
      <w:numFmt w:val="lowerLetter"/>
      <w:lvlText w:val="%8."/>
      <w:lvlJc w:val="left"/>
      <w:pPr>
        <w:ind w:left="4591" w:hanging="511"/>
      </w:pPr>
      <w:rPr>
        <w:rFonts w:hint="default"/>
      </w:rPr>
    </w:lvl>
    <w:lvl w:ilvl="8">
      <w:start w:val="1"/>
      <w:numFmt w:val="lowerRoman"/>
      <w:lvlText w:val="%9."/>
      <w:lvlJc w:val="left"/>
      <w:pPr>
        <w:ind w:left="5101" w:hanging="511"/>
      </w:pPr>
      <w:rPr>
        <w:rFonts w:hint="default"/>
      </w:rPr>
    </w:lvl>
  </w:abstractNum>
  <w:abstractNum w:abstractNumId="6" w15:restartNumberingAfterBreak="0">
    <w:nsid w:val="409A1B8D"/>
    <w:multiLevelType w:val="multilevel"/>
    <w:tmpl w:val="60C4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5555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542243"/>
    <w:multiLevelType w:val="multilevel"/>
    <w:tmpl w:val="BDF015A6"/>
    <w:lvl w:ilvl="0">
      <w:start w:val="1"/>
      <w:numFmt w:val="decimal"/>
      <w:pStyle w:val="NumPlain1"/>
      <w:lvlText w:val="%1"/>
      <w:lvlJc w:val="left"/>
      <w:pPr>
        <w:tabs>
          <w:tab w:val="num" w:pos="510"/>
        </w:tabs>
        <w:ind w:left="510" w:hanging="510"/>
      </w:pPr>
      <w:rPr>
        <w:rFonts w:hint="default"/>
      </w:rPr>
    </w:lvl>
    <w:lvl w:ilvl="1">
      <w:start w:val="1"/>
      <w:numFmt w:val="lowerLetter"/>
      <w:pStyle w:val="NumPlain2"/>
      <w:lvlText w:val="(%2)"/>
      <w:lvlJc w:val="left"/>
      <w:pPr>
        <w:tabs>
          <w:tab w:val="num" w:pos="1021"/>
        </w:tabs>
        <w:ind w:left="1021" w:hanging="511"/>
      </w:pPr>
      <w:rPr>
        <w:rFonts w:hint="default"/>
      </w:rPr>
    </w:lvl>
    <w:lvl w:ilvl="2">
      <w:start w:val="1"/>
      <w:numFmt w:val="lowerRoman"/>
      <w:pStyle w:val="NumPlain3"/>
      <w:lvlText w:val="(%3)"/>
      <w:lvlJc w:val="left"/>
      <w:pPr>
        <w:tabs>
          <w:tab w:val="num" w:pos="1531"/>
        </w:tabs>
        <w:ind w:left="1531" w:hanging="510"/>
      </w:pPr>
      <w:rPr>
        <w:rFonts w:hint="default"/>
      </w:rPr>
    </w:lvl>
    <w:lvl w:ilvl="3">
      <w:start w:val="1"/>
      <w:numFmt w:val="upperLetter"/>
      <w:pStyle w:val="NumPlain4"/>
      <w:lvlText w:val="(%4)"/>
      <w:lvlJc w:val="left"/>
      <w:pPr>
        <w:tabs>
          <w:tab w:val="num" w:pos="2041"/>
        </w:tabs>
        <w:ind w:left="2041" w:hanging="51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9" w15:restartNumberingAfterBreak="0">
    <w:nsid w:val="6D2B46A3"/>
    <w:multiLevelType w:val="multilevel"/>
    <w:tmpl w:val="A80ECEA6"/>
    <w:lvl w:ilvl="0">
      <w:start w:val="1"/>
      <w:numFmt w:val="bullet"/>
      <w:pStyle w:val="Bullet1"/>
      <w:lvlText w:val=""/>
      <w:lvlJc w:val="left"/>
      <w:pPr>
        <w:ind w:left="504" w:hanging="504"/>
      </w:pPr>
      <w:rPr>
        <w:rFonts w:ascii="Symbol" w:hAnsi="Symbol" w:hint="default"/>
        <w:color w:val="auto"/>
      </w:rPr>
    </w:lvl>
    <w:lvl w:ilvl="1">
      <w:start w:val="1"/>
      <w:numFmt w:val="bullet"/>
      <w:pStyle w:val="Bullet2"/>
      <w:lvlText w:val=""/>
      <w:lvlJc w:val="left"/>
      <w:pPr>
        <w:ind w:left="1008" w:hanging="504"/>
      </w:pPr>
      <w:rPr>
        <w:rFonts w:ascii="Symbol" w:hAnsi="Symbol" w:hint="default"/>
        <w:color w:val="auto"/>
      </w:rPr>
    </w:lvl>
    <w:lvl w:ilvl="2">
      <w:start w:val="1"/>
      <w:numFmt w:val="bullet"/>
      <w:pStyle w:val="Bullet3"/>
      <w:lvlText w:val=""/>
      <w:lvlJc w:val="left"/>
      <w:pPr>
        <w:ind w:left="1512" w:hanging="504"/>
      </w:pPr>
      <w:rPr>
        <w:rFonts w:ascii="Symbol" w:hAnsi="Symbol" w:hint="default"/>
        <w:color w:val="auto"/>
      </w:rPr>
    </w:lvl>
    <w:lvl w:ilvl="3">
      <w:start w:val="1"/>
      <w:numFmt w:val="bullet"/>
      <w:pStyle w:val="Bullet4"/>
      <w:lvlText w:val=""/>
      <w:lvlJc w:val="left"/>
      <w:pPr>
        <w:ind w:left="2016" w:hanging="504"/>
      </w:pPr>
      <w:rPr>
        <w:rFonts w:ascii="Symbol" w:hAnsi="Symbol" w:hint="default"/>
        <w:color w:val="auto"/>
      </w:rPr>
    </w:lvl>
    <w:lvl w:ilvl="4">
      <w:start w:val="1"/>
      <w:numFmt w:val="none"/>
      <w:lvlText w:val=""/>
      <w:lvlJc w:val="left"/>
      <w:pPr>
        <w:ind w:left="2520" w:hanging="504"/>
      </w:pPr>
      <w:rPr>
        <w:rFonts w:hint="default"/>
      </w:rPr>
    </w:lvl>
    <w:lvl w:ilvl="5">
      <w:start w:val="1"/>
      <w:numFmt w:val="none"/>
      <w:lvlText w:val=""/>
      <w:lvlJc w:val="left"/>
      <w:pPr>
        <w:ind w:left="3024" w:hanging="504"/>
      </w:pPr>
      <w:rPr>
        <w:rFonts w:hint="default"/>
      </w:rPr>
    </w:lvl>
    <w:lvl w:ilvl="6">
      <w:start w:val="1"/>
      <w:numFmt w:val="none"/>
      <w:lvlText w:val=""/>
      <w:lvlJc w:val="left"/>
      <w:pPr>
        <w:ind w:left="3528" w:hanging="504"/>
      </w:pPr>
      <w:rPr>
        <w:rFonts w:hint="default"/>
      </w:rPr>
    </w:lvl>
    <w:lvl w:ilvl="7">
      <w:start w:val="1"/>
      <w:numFmt w:val="none"/>
      <w:lvlText w:val=""/>
      <w:lvlJc w:val="left"/>
      <w:pPr>
        <w:ind w:left="4032" w:hanging="504"/>
      </w:pPr>
      <w:rPr>
        <w:rFonts w:hint="default"/>
      </w:rPr>
    </w:lvl>
    <w:lvl w:ilvl="8">
      <w:start w:val="1"/>
      <w:numFmt w:val="none"/>
      <w:lvlText w:val=""/>
      <w:lvlJc w:val="left"/>
      <w:pPr>
        <w:ind w:left="4536" w:hanging="504"/>
      </w:pPr>
      <w:rPr>
        <w:rFonts w:hint="default"/>
      </w:rPr>
    </w:lvl>
  </w:abstractNum>
  <w:abstractNum w:abstractNumId="10" w15:restartNumberingAfterBreak="0">
    <w:nsid w:val="7034512C"/>
    <w:multiLevelType w:val="hybridMultilevel"/>
    <w:tmpl w:val="87A659DC"/>
    <w:lvl w:ilvl="0" w:tplc="0D1C2E8A">
      <w:start w:val="1"/>
      <w:numFmt w:val="decimal"/>
      <w:lvlRestart w:val="0"/>
      <w:pStyle w:val="NumberedList"/>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6065738">
    <w:abstractNumId w:val="8"/>
  </w:num>
  <w:num w:numId="2" w16cid:durableId="8201247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8425113">
    <w:abstractNumId w:val="10"/>
  </w:num>
  <w:num w:numId="4" w16cid:durableId="1466509603">
    <w:abstractNumId w:val="2"/>
  </w:num>
  <w:num w:numId="5" w16cid:durableId="38626345">
    <w:abstractNumId w:val="3"/>
  </w:num>
  <w:num w:numId="6" w16cid:durableId="2089421934">
    <w:abstractNumId w:val="9"/>
  </w:num>
  <w:num w:numId="7" w16cid:durableId="1011763036">
    <w:abstractNumId w:val="4"/>
  </w:num>
  <w:num w:numId="8" w16cid:durableId="2093698189">
    <w:abstractNumId w:val="5"/>
  </w:num>
  <w:num w:numId="9" w16cid:durableId="1618676516">
    <w:abstractNumId w:val="1"/>
  </w:num>
  <w:num w:numId="10" w16cid:durableId="1488327943">
    <w:abstractNumId w:val="0"/>
  </w:num>
  <w:num w:numId="11" w16cid:durableId="1101294453">
    <w:abstractNumId w:val="7"/>
  </w:num>
  <w:num w:numId="12" w16cid:durableId="8685324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24"/>
  <w:displayHorizontalDrawingGridEvery w:val="0"/>
  <w:displayVerticalDrawingGridEvery w:val="0"/>
  <w:doNotShadeFormData/>
  <w:noPunctuationKerning/>
  <w:characterSpacingControl w:val="doNotCompress"/>
  <w:hdrShapeDefaults>
    <o:shapedefaults v:ext="edit" spidmax="2050">
      <o:colormru v:ext="edit" colors="#ddd,silver,#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1tzA3NzM1NTWzNDVT0lEKTi0uzszPAykwqQUAVVehRCwAAAA="/>
  </w:docVars>
  <w:rsids>
    <w:rsidRoot w:val="00BB598F"/>
    <w:rsid w:val="00000A2A"/>
    <w:rsid w:val="0000292B"/>
    <w:rsid w:val="000050A7"/>
    <w:rsid w:val="000068BC"/>
    <w:rsid w:val="00007176"/>
    <w:rsid w:val="000220A5"/>
    <w:rsid w:val="00026B87"/>
    <w:rsid w:val="00027E8B"/>
    <w:rsid w:val="00030053"/>
    <w:rsid w:val="00032C3B"/>
    <w:rsid w:val="00034EA0"/>
    <w:rsid w:val="0004455B"/>
    <w:rsid w:val="00044895"/>
    <w:rsid w:val="0004707F"/>
    <w:rsid w:val="000577D0"/>
    <w:rsid w:val="000625F2"/>
    <w:rsid w:val="0007044C"/>
    <w:rsid w:val="0007378A"/>
    <w:rsid w:val="00074133"/>
    <w:rsid w:val="00077719"/>
    <w:rsid w:val="00080269"/>
    <w:rsid w:val="000807AB"/>
    <w:rsid w:val="000812F8"/>
    <w:rsid w:val="00082CBC"/>
    <w:rsid w:val="00090A6F"/>
    <w:rsid w:val="00096027"/>
    <w:rsid w:val="000A021E"/>
    <w:rsid w:val="000B733C"/>
    <w:rsid w:val="000C3EB0"/>
    <w:rsid w:val="000D4FF5"/>
    <w:rsid w:val="000D7B40"/>
    <w:rsid w:val="000F64CC"/>
    <w:rsid w:val="00104CCB"/>
    <w:rsid w:val="00110B96"/>
    <w:rsid w:val="001162C5"/>
    <w:rsid w:val="001206CF"/>
    <w:rsid w:val="00126C96"/>
    <w:rsid w:val="0013109D"/>
    <w:rsid w:val="00146FD2"/>
    <w:rsid w:val="00147FFD"/>
    <w:rsid w:val="001627A0"/>
    <w:rsid w:val="00162C04"/>
    <w:rsid w:val="00164472"/>
    <w:rsid w:val="001652BD"/>
    <w:rsid w:val="001662B8"/>
    <w:rsid w:val="00171F51"/>
    <w:rsid w:val="001761C6"/>
    <w:rsid w:val="0018254E"/>
    <w:rsid w:val="001864D4"/>
    <w:rsid w:val="00190200"/>
    <w:rsid w:val="0019134B"/>
    <w:rsid w:val="0019286F"/>
    <w:rsid w:val="001A0C8F"/>
    <w:rsid w:val="001B16A2"/>
    <w:rsid w:val="001B33A5"/>
    <w:rsid w:val="001C225F"/>
    <w:rsid w:val="001C553E"/>
    <w:rsid w:val="001D6E65"/>
    <w:rsid w:val="001E4DC9"/>
    <w:rsid w:val="001E5F12"/>
    <w:rsid w:val="001F78DF"/>
    <w:rsid w:val="00202D18"/>
    <w:rsid w:val="00205E09"/>
    <w:rsid w:val="00210636"/>
    <w:rsid w:val="0021176E"/>
    <w:rsid w:val="0022022E"/>
    <w:rsid w:val="00222092"/>
    <w:rsid w:val="00225E3F"/>
    <w:rsid w:val="0022705E"/>
    <w:rsid w:val="00240C14"/>
    <w:rsid w:val="00243317"/>
    <w:rsid w:val="002537A6"/>
    <w:rsid w:val="002541B5"/>
    <w:rsid w:val="00254B16"/>
    <w:rsid w:val="00255805"/>
    <w:rsid w:val="00255A81"/>
    <w:rsid w:val="00260087"/>
    <w:rsid w:val="00263C2E"/>
    <w:rsid w:val="002723D6"/>
    <w:rsid w:val="00276481"/>
    <w:rsid w:val="00276BC5"/>
    <w:rsid w:val="0028086D"/>
    <w:rsid w:val="002817A6"/>
    <w:rsid w:val="00283482"/>
    <w:rsid w:val="00283FBA"/>
    <w:rsid w:val="00291485"/>
    <w:rsid w:val="00291D7A"/>
    <w:rsid w:val="00296220"/>
    <w:rsid w:val="0029647E"/>
    <w:rsid w:val="00297D48"/>
    <w:rsid w:val="002A201D"/>
    <w:rsid w:val="002A5D84"/>
    <w:rsid w:val="002A7721"/>
    <w:rsid w:val="002B7803"/>
    <w:rsid w:val="002C128D"/>
    <w:rsid w:val="002C2667"/>
    <w:rsid w:val="002D33E6"/>
    <w:rsid w:val="002E3031"/>
    <w:rsid w:val="002F1CD0"/>
    <w:rsid w:val="002F46B6"/>
    <w:rsid w:val="00307F26"/>
    <w:rsid w:val="00313A6B"/>
    <w:rsid w:val="003251D8"/>
    <w:rsid w:val="00331D1F"/>
    <w:rsid w:val="00331D8A"/>
    <w:rsid w:val="0033581C"/>
    <w:rsid w:val="0034243B"/>
    <w:rsid w:val="00344BAE"/>
    <w:rsid w:val="00354C1E"/>
    <w:rsid w:val="00354ED5"/>
    <w:rsid w:val="003572EB"/>
    <w:rsid w:val="00364B30"/>
    <w:rsid w:val="00367DC9"/>
    <w:rsid w:val="00372F49"/>
    <w:rsid w:val="00377B8D"/>
    <w:rsid w:val="0038139C"/>
    <w:rsid w:val="00382796"/>
    <w:rsid w:val="00383ACC"/>
    <w:rsid w:val="0039009E"/>
    <w:rsid w:val="003A488F"/>
    <w:rsid w:val="003A6716"/>
    <w:rsid w:val="003B0A60"/>
    <w:rsid w:val="003B0CAA"/>
    <w:rsid w:val="003B0E71"/>
    <w:rsid w:val="003B6633"/>
    <w:rsid w:val="003C6B28"/>
    <w:rsid w:val="003D1C2F"/>
    <w:rsid w:val="003D1DD4"/>
    <w:rsid w:val="003D308D"/>
    <w:rsid w:val="003E067A"/>
    <w:rsid w:val="003E0A68"/>
    <w:rsid w:val="003E1900"/>
    <w:rsid w:val="003E5735"/>
    <w:rsid w:val="003F4859"/>
    <w:rsid w:val="003F7D2F"/>
    <w:rsid w:val="00401ECA"/>
    <w:rsid w:val="00403B8F"/>
    <w:rsid w:val="004150BD"/>
    <w:rsid w:val="00421290"/>
    <w:rsid w:val="00421678"/>
    <w:rsid w:val="00422E4D"/>
    <w:rsid w:val="00424BC6"/>
    <w:rsid w:val="00426876"/>
    <w:rsid w:val="00434D86"/>
    <w:rsid w:val="00436A2D"/>
    <w:rsid w:val="00446464"/>
    <w:rsid w:val="0044702C"/>
    <w:rsid w:val="004474A8"/>
    <w:rsid w:val="00447A3D"/>
    <w:rsid w:val="0045683D"/>
    <w:rsid w:val="00460FBB"/>
    <w:rsid w:val="00465CB2"/>
    <w:rsid w:val="00470CE9"/>
    <w:rsid w:val="00473404"/>
    <w:rsid w:val="00475859"/>
    <w:rsid w:val="0047683E"/>
    <w:rsid w:val="00481216"/>
    <w:rsid w:val="0048155F"/>
    <w:rsid w:val="00484F83"/>
    <w:rsid w:val="00487CF6"/>
    <w:rsid w:val="004961F8"/>
    <w:rsid w:val="004A417F"/>
    <w:rsid w:val="004A681F"/>
    <w:rsid w:val="004B038C"/>
    <w:rsid w:val="004B736C"/>
    <w:rsid w:val="004C12B4"/>
    <w:rsid w:val="004C1FD8"/>
    <w:rsid w:val="004C5BDE"/>
    <w:rsid w:val="004D3809"/>
    <w:rsid w:val="004D4D1C"/>
    <w:rsid w:val="004E3B85"/>
    <w:rsid w:val="004F1612"/>
    <w:rsid w:val="004F55FE"/>
    <w:rsid w:val="00500E80"/>
    <w:rsid w:val="00511C34"/>
    <w:rsid w:val="00512E6F"/>
    <w:rsid w:val="0051532E"/>
    <w:rsid w:val="005166B2"/>
    <w:rsid w:val="0053452C"/>
    <w:rsid w:val="00535EC5"/>
    <w:rsid w:val="00536384"/>
    <w:rsid w:val="005405C6"/>
    <w:rsid w:val="00540901"/>
    <w:rsid w:val="0056274D"/>
    <w:rsid w:val="00564DF1"/>
    <w:rsid w:val="005655CE"/>
    <w:rsid w:val="00577065"/>
    <w:rsid w:val="0058004D"/>
    <w:rsid w:val="0058021B"/>
    <w:rsid w:val="00580BC4"/>
    <w:rsid w:val="00583E50"/>
    <w:rsid w:val="00590051"/>
    <w:rsid w:val="005A2514"/>
    <w:rsid w:val="005A6AC7"/>
    <w:rsid w:val="005B146F"/>
    <w:rsid w:val="005B1607"/>
    <w:rsid w:val="005C0CE8"/>
    <w:rsid w:val="005D4277"/>
    <w:rsid w:val="005D45C7"/>
    <w:rsid w:val="005E00BD"/>
    <w:rsid w:val="005E1C5F"/>
    <w:rsid w:val="005E6BE4"/>
    <w:rsid w:val="005F63B6"/>
    <w:rsid w:val="00602261"/>
    <w:rsid w:val="006027E5"/>
    <w:rsid w:val="006154D2"/>
    <w:rsid w:val="00616163"/>
    <w:rsid w:val="00617B9A"/>
    <w:rsid w:val="006250EB"/>
    <w:rsid w:val="0062583F"/>
    <w:rsid w:val="00625A6C"/>
    <w:rsid w:val="00635D92"/>
    <w:rsid w:val="00641282"/>
    <w:rsid w:val="00643967"/>
    <w:rsid w:val="00652DF8"/>
    <w:rsid w:val="00657A0C"/>
    <w:rsid w:val="00657C0C"/>
    <w:rsid w:val="006701AF"/>
    <w:rsid w:val="00686E1B"/>
    <w:rsid w:val="00691A1F"/>
    <w:rsid w:val="0069759B"/>
    <w:rsid w:val="00697643"/>
    <w:rsid w:val="006A0880"/>
    <w:rsid w:val="006A3AE9"/>
    <w:rsid w:val="006A40E5"/>
    <w:rsid w:val="006B0CD6"/>
    <w:rsid w:val="006B171D"/>
    <w:rsid w:val="006C2E37"/>
    <w:rsid w:val="006D055E"/>
    <w:rsid w:val="006D134A"/>
    <w:rsid w:val="006D4700"/>
    <w:rsid w:val="006D7679"/>
    <w:rsid w:val="006E10D2"/>
    <w:rsid w:val="006E2C39"/>
    <w:rsid w:val="006E5968"/>
    <w:rsid w:val="006F0BDA"/>
    <w:rsid w:val="006F6FAC"/>
    <w:rsid w:val="006F7F60"/>
    <w:rsid w:val="00707068"/>
    <w:rsid w:val="00714340"/>
    <w:rsid w:val="007205D9"/>
    <w:rsid w:val="007219F7"/>
    <w:rsid w:val="00730376"/>
    <w:rsid w:val="00730B99"/>
    <w:rsid w:val="007321D3"/>
    <w:rsid w:val="007333C2"/>
    <w:rsid w:val="00737714"/>
    <w:rsid w:val="00740365"/>
    <w:rsid w:val="00742E4B"/>
    <w:rsid w:val="007455F0"/>
    <w:rsid w:val="00751F6A"/>
    <w:rsid w:val="00752BF5"/>
    <w:rsid w:val="007554ED"/>
    <w:rsid w:val="00755E40"/>
    <w:rsid w:val="00756FF6"/>
    <w:rsid w:val="0076127E"/>
    <w:rsid w:val="0078116B"/>
    <w:rsid w:val="007A6BC3"/>
    <w:rsid w:val="007A77D8"/>
    <w:rsid w:val="007B4AED"/>
    <w:rsid w:val="007B59C8"/>
    <w:rsid w:val="007C15ED"/>
    <w:rsid w:val="007D6C3D"/>
    <w:rsid w:val="007E70AB"/>
    <w:rsid w:val="007F1D3D"/>
    <w:rsid w:val="007F38F1"/>
    <w:rsid w:val="00801CFA"/>
    <w:rsid w:val="00805D74"/>
    <w:rsid w:val="00812637"/>
    <w:rsid w:val="00813227"/>
    <w:rsid w:val="008138E0"/>
    <w:rsid w:val="008178D1"/>
    <w:rsid w:val="00820794"/>
    <w:rsid w:val="00822BC9"/>
    <w:rsid w:val="00831497"/>
    <w:rsid w:val="00841B1E"/>
    <w:rsid w:val="008459E8"/>
    <w:rsid w:val="00850114"/>
    <w:rsid w:val="00853FCB"/>
    <w:rsid w:val="008622B9"/>
    <w:rsid w:val="00863527"/>
    <w:rsid w:val="00864ADE"/>
    <w:rsid w:val="00867FB0"/>
    <w:rsid w:val="00871A12"/>
    <w:rsid w:val="00872C3A"/>
    <w:rsid w:val="008745A9"/>
    <w:rsid w:val="00875572"/>
    <w:rsid w:val="00875605"/>
    <w:rsid w:val="00881BBE"/>
    <w:rsid w:val="0088277B"/>
    <w:rsid w:val="00891617"/>
    <w:rsid w:val="00892517"/>
    <w:rsid w:val="00895809"/>
    <w:rsid w:val="00897051"/>
    <w:rsid w:val="008A16EB"/>
    <w:rsid w:val="008A6182"/>
    <w:rsid w:val="008B1D94"/>
    <w:rsid w:val="008B371C"/>
    <w:rsid w:val="008B4C8D"/>
    <w:rsid w:val="008B643A"/>
    <w:rsid w:val="008C1C4A"/>
    <w:rsid w:val="008C4A3C"/>
    <w:rsid w:val="008C60B1"/>
    <w:rsid w:val="008C6BD0"/>
    <w:rsid w:val="008D277E"/>
    <w:rsid w:val="008D2785"/>
    <w:rsid w:val="008D2EBD"/>
    <w:rsid w:val="008D5EE9"/>
    <w:rsid w:val="008D790F"/>
    <w:rsid w:val="008F0A81"/>
    <w:rsid w:val="008F3EBA"/>
    <w:rsid w:val="008F4242"/>
    <w:rsid w:val="008F4AC5"/>
    <w:rsid w:val="008F4ECA"/>
    <w:rsid w:val="008F5963"/>
    <w:rsid w:val="00923261"/>
    <w:rsid w:val="009232B6"/>
    <w:rsid w:val="009256B7"/>
    <w:rsid w:val="009264FF"/>
    <w:rsid w:val="00931E75"/>
    <w:rsid w:val="0096044B"/>
    <w:rsid w:val="00961A38"/>
    <w:rsid w:val="00970C7A"/>
    <w:rsid w:val="00971416"/>
    <w:rsid w:val="009721DB"/>
    <w:rsid w:val="00972225"/>
    <w:rsid w:val="00972BFA"/>
    <w:rsid w:val="00975B16"/>
    <w:rsid w:val="00976FFA"/>
    <w:rsid w:val="00983527"/>
    <w:rsid w:val="00991B7E"/>
    <w:rsid w:val="00993852"/>
    <w:rsid w:val="009941F6"/>
    <w:rsid w:val="009965BA"/>
    <w:rsid w:val="009A6419"/>
    <w:rsid w:val="009B4AB7"/>
    <w:rsid w:val="009B60AC"/>
    <w:rsid w:val="009B6535"/>
    <w:rsid w:val="009C2479"/>
    <w:rsid w:val="009C6CDF"/>
    <w:rsid w:val="009D06F8"/>
    <w:rsid w:val="009D1F32"/>
    <w:rsid w:val="009D7187"/>
    <w:rsid w:val="009D73F1"/>
    <w:rsid w:val="009E5E22"/>
    <w:rsid w:val="00A05041"/>
    <w:rsid w:val="00A05430"/>
    <w:rsid w:val="00A12270"/>
    <w:rsid w:val="00A13F82"/>
    <w:rsid w:val="00A16664"/>
    <w:rsid w:val="00A22E0D"/>
    <w:rsid w:val="00A277DF"/>
    <w:rsid w:val="00A35DE8"/>
    <w:rsid w:val="00A41ED3"/>
    <w:rsid w:val="00A47FA2"/>
    <w:rsid w:val="00A51A7E"/>
    <w:rsid w:val="00A55348"/>
    <w:rsid w:val="00A55F4F"/>
    <w:rsid w:val="00A576E1"/>
    <w:rsid w:val="00A607A3"/>
    <w:rsid w:val="00A6237D"/>
    <w:rsid w:val="00A7379E"/>
    <w:rsid w:val="00A748BA"/>
    <w:rsid w:val="00A83862"/>
    <w:rsid w:val="00A8486C"/>
    <w:rsid w:val="00A941A0"/>
    <w:rsid w:val="00A96702"/>
    <w:rsid w:val="00A97EB2"/>
    <w:rsid w:val="00AA14A9"/>
    <w:rsid w:val="00AA3045"/>
    <w:rsid w:val="00AB2EED"/>
    <w:rsid w:val="00AB6CD6"/>
    <w:rsid w:val="00AB780A"/>
    <w:rsid w:val="00AC26E8"/>
    <w:rsid w:val="00AC2F4C"/>
    <w:rsid w:val="00AC4315"/>
    <w:rsid w:val="00AC5EB7"/>
    <w:rsid w:val="00AD0E0D"/>
    <w:rsid w:val="00AD331A"/>
    <w:rsid w:val="00AD42DA"/>
    <w:rsid w:val="00AE190E"/>
    <w:rsid w:val="00AE1CD8"/>
    <w:rsid w:val="00AF61B8"/>
    <w:rsid w:val="00B110AD"/>
    <w:rsid w:val="00B13C28"/>
    <w:rsid w:val="00B16904"/>
    <w:rsid w:val="00B271BA"/>
    <w:rsid w:val="00B3429E"/>
    <w:rsid w:val="00B40240"/>
    <w:rsid w:val="00B469D8"/>
    <w:rsid w:val="00B53B25"/>
    <w:rsid w:val="00B71172"/>
    <w:rsid w:val="00B74237"/>
    <w:rsid w:val="00B74A1F"/>
    <w:rsid w:val="00B74ABD"/>
    <w:rsid w:val="00B77BE9"/>
    <w:rsid w:val="00B820B5"/>
    <w:rsid w:val="00B82F15"/>
    <w:rsid w:val="00B853AF"/>
    <w:rsid w:val="00B87408"/>
    <w:rsid w:val="00BA2E80"/>
    <w:rsid w:val="00BA3AB4"/>
    <w:rsid w:val="00BA4622"/>
    <w:rsid w:val="00BA75C8"/>
    <w:rsid w:val="00BA7A8F"/>
    <w:rsid w:val="00BB4C9F"/>
    <w:rsid w:val="00BB598F"/>
    <w:rsid w:val="00BC0794"/>
    <w:rsid w:val="00BC0D5D"/>
    <w:rsid w:val="00BC4AF5"/>
    <w:rsid w:val="00BC7694"/>
    <w:rsid w:val="00BE2F68"/>
    <w:rsid w:val="00BE38FC"/>
    <w:rsid w:val="00BE57CF"/>
    <w:rsid w:val="00BF5C17"/>
    <w:rsid w:val="00BF72A3"/>
    <w:rsid w:val="00C03C7B"/>
    <w:rsid w:val="00C14A93"/>
    <w:rsid w:val="00C326E2"/>
    <w:rsid w:val="00C3493B"/>
    <w:rsid w:val="00C37458"/>
    <w:rsid w:val="00C41AC5"/>
    <w:rsid w:val="00C42C85"/>
    <w:rsid w:val="00C438DD"/>
    <w:rsid w:val="00C43CD1"/>
    <w:rsid w:val="00C45020"/>
    <w:rsid w:val="00C46C1A"/>
    <w:rsid w:val="00C5022C"/>
    <w:rsid w:val="00C5225E"/>
    <w:rsid w:val="00C552FD"/>
    <w:rsid w:val="00C63573"/>
    <w:rsid w:val="00C655C5"/>
    <w:rsid w:val="00C700C4"/>
    <w:rsid w:val="00C8206F"/>
    <w:rsid w:val="00C935D1"/>
    <w:rsid w:val="00C95D8A"/>
    <w:rsid w:val="00C970A5"/>
    <w:rsid w:val="00CA61C5"/>
    <w:rsid w:val="00CB719A"/>
    <w:rsid w:val="00CC1DF4"/>
    <w:rsid w:val="00CC4F13"/>
    <w:rsid w:val="00CC6FCD"/>
    <w:rsid w:val="00CD1A81"/>
    <w:rsid w:val="00CD5D1C"/>
    <w:rsid w:val="00CE2F8C"/>
    <w:rsid w:val="00CE6DF2"/>
    <w:rsid w:val="00CF4EBF"/>
    <w:rsid w:val="00CF60CC"/>
    <w:rsid w:val="00CF75CA"/>
    <w:rsid w:val="00CF7B67"/>
    <w:rsid w:val="00D0023C"/>
    <w:rsid w:val="00D00FD5"/>
    <w:rsid w:val="00D046E8"/>
    <w:rsid w:val="00D05052"/>
    <w:rsid w:val="00D1523A"/>
    <w:rsid w:val="00D17F95"/>
    <w:rsid w:val="00D25859"/>
    <w:rsid w:val="00D27566"/>
    <w:rsid w:val="00D4252A"/>
    <w:rsid w:val="00D45363"/>
    <w:rsid w:val="00D47993"/>
    <w:rsid w:val="00D52086"/>
    <w:rsid w:val="00D54F5C"/>
    <w:rsid w:val="00D55CDA"/>
    <w:rsid w:val="00D66790"/>
    <w:rsid w:val="00D66D54"/>
    <w:rsid w:val="00D67336"/>
    <w:rsid w:val="00D74038"/>
    <w:rsid w:val="00D74C6A"/>
    <w:rsid w:val="00D866AA"/>
    <w:rsid w:val="00D90310"/>
    <w:rsid w:val="00D916B8"/>
    <w:rsid w:val="00D91B28"/>
    <w:rsid w:val="00D942EB"/>
    <w:rsid w:val="00D94742"/>
    <w:rsid w:val="00D96A64"/>
    <w:rsid w:val="00D970AC"/>
    <w:rsid w:val="00DA2A7B"/>
    <w:rsid w:val="00DA795D"/>
    <w:rsid w:val="00DB00CD"/>
    <w:rsid w:val="00DB7861"/>
    <w:rsid w:val="00DC64AC"/>
    <w:rsid w:val="00DC76B0"/>
    <w:rsid w:val="00DC7E1B"/>
    <w:rsid w:val="00DD1DDC"/>
    <w:rsid w:val="00DD3718"/>
    <w:rsid w:val="00DD7E7A"/>
    <w:rsid w:val="00DE63C2"/>
    <w:rsid w:val="00DF39E3"/>
    <w:rsid w:val="00E00577"/>
    <w:rsid w:val="00E033B7"/>
    <w:rsid w:val="00E06C2F"/>
    <w:rsid w:val="00E10962"/>
    <w:rsid w:val="00E17610"/>
    <w:rsid w:val="00E2348E"/>
    <w:rsid w:val="00E24399"/>
    <w:rsid w:val="00E25FBE"/>
    <w:rsid w:val="00E274C6"/>
    <w:rsid w:val="00E41399"/>
    <w:rsid w:val="00E615BE"/>
    <w:rsid w:val="00E63279"/>
    <w:rsid w:val="00E6767B"/>
    <w:rsid w:val="00E710E1"/>
    <w:rsid w:val="00E730C2"/>
    <w:rsid w:val="00E74BD5"/>
    <w:rsid w:val="00E7592A"/>
    <w:rsid w:val="00E75B4F"/>
    <w:rsid w:val="00E839DA"/>
    <w:rsid w:val="00E83CBB"/>
    <w:rsid w:val="00E83E7E"/>
    <w:rsid w:val="00E90B4F"/>
    <w:rsid w:val="00E915E3"/>
    <w:rsid w:val="00E9325C"/>
    <w:rsid w:val="00E94DA2"/>
    <w:rsid w:val="00E96D45"/>
    <w:rsid w:val="00E97B4B"/>
    <w:rsid w:val="00EB4197"/>
    <w:rsid w:val="00EB4756"/>
    <w:rsid w:val="00EC0590"/>
    <w:rsid w:val="00EC4AFD"/>
    <w:rsid w:val="00EC524E"/>
    <w:rsid w:val="00EC7332"/>
    <w:rsid w:val="00ED0067"/>
    <w:rsid w:val="00ED06E4"/>
    <w:rsid w:val="00EE2509"/>
    <w:rsid w:val="00EE27AD"/>
    <w:rsid w:val="00EE3D03"/>
    <w:rsid w:val="00EE6CAB"/>
    <w:rsid w:val="00EE740D"/>
    <w:rsid w:val="00EF2211"/>
    <w:rsid w:val="00EF65F7"/>
    <w:rsid w:val="00EF661C"/>
    <w:rsid w:val="00F13C5A"/>
    <w:rsid w:val="00F14BDB"/>
    <w:rsid w:val="00F22AF2"/>
    <w:rsid w:val="00F23CDF"/>
    <w:rsid w:val="00F24225"/>
    <w:rsid w:val="00F2677A"/>
    <w:rsid w:val="00F27D29"/>
    <w:rsid w:val="00F32EF4"/>
    <w:rsid w:val="00F3378F"/>
    <w:rsid w:val="00F424C9"/>
    <w:rsid w:val="00F536BA"/>
    <w:rsid w:val="00F60FEF"/>
    <w:rsid w:val="00F61833"/>
    <w:rsid w:val="00F66B41"/>
    <w:rsid w:val="00F67ED4"/>
    <w:rsid w:val="00F70811"/>
    <w:rsid w:val="00F71BD0"/>
    <w:rsid w:val="00F73060"/>
    <w:rsid w:val="00F77B0E"/>
    <w:rsid w:val="00F823E2"/>
    <w:rsid w:val="00F82A0E"/>
    <w:rsid w:val="00F84E09"/>
    <w:rsid w:val="00F93282"/>
    <w:rsid w:val="00F970FB"/>
    <w:rsid w:val="00FA15A0"/>
    <w:rsid w:val="00FB13EE"/>
    <w:rsid w:val="00FB1C11"/>
    <w:rsid w:val="00FB39CB"/>
    <w:rsid w:val="00FB423F"/>
    <w:rsid w:val="00FB624A"/>
    <w:rsid w:val="00FB656E"/>
    <w:rsid w:val="00FC2254"/>
    <w:rsid w:val="00FC30DA"/>
    <w:rsid w:val="00FC46E7"/>
    <w:rsid w:val="00FC4756"/>
    <w:rsid w:val="00FC64EE"/>
    <w:rsid w:val="00FE4B58"/>
    <w:rsid w:val="00FF775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silver,#eaeaea"/>
    </o:shapedefaults>
    <o:shapelayout v:ext="edit">
      <o:idmap v:ext="edit" data="2"/>
    </o:shapelayout>
  </w:shapeDefaults>
  <w:decimalSymbol w:val="."/>
  <w:listSeparator w:val=","/>
  <w14:docId w14:val="5F22FAE6"/>
  <w15:docId w15:val="{695D1102-2DE6-41A4-9E83-1F8F2E7C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25F2"/>
    <w:pPr>
      <w:jc w:val="both"/>
    </w:pPr>
    <w:rPr>
      <w:sz w:val="19"/>
      <w:lang w:eastAsia="en-US"/>
    </w:rPr>
  </w:style>
  <w:style w:type="paragraph" w:styleId="Heading1">
    <w:name w:val="heading 1"/>
    <w:basedOn w:val="Normal"/>
    <w:next w:val="Normal"/>
    <w:qFormat/>
    <w:rsid w:val="003E1900"/>
    <w:pPr>
      <w:keepNext/>
      <w:spacing w:before="400" w:after="200"/>
      <w:jc w:val="left"/>
      <w:outlineLvl w:val="0"/>
    </w:pPr>
    <w:rPr>
      <w:rFonts w:ascii="Arial" w:hAnsi="Arial" w:cs="Arial"/>
      <w:b/>
      <w:bCs/>
      <w:sz w:val="26"/>
      <w:szCs w:val="32"/>
    </w:rPr>
  </w:style>
  <w:style w:type="paragraph" w:styleId="Heading2">
    <w:name w:val="heading 2"/>
    <w:basedOn w:val="Heading1"/>
    <w:next w:val="Normal"/>
    <w:qFormat/>
    <w:rsid w:val="00F13C5A"/>
    <w:pPr>
      <w:pBdr>
        <w:bottom w:val="single" w:sz="4" w:space="1" w:color="auto"/>
      </w:pBdr>
      <w:spacing w:before="600"/>
      <w:outlineLvl w:val="1"/>
    </w:pPr>
    <w:rPr>
      <w:bCs w:val="0"/>
      <w:iCs/>
      <w:szCs w:val="28"/>
    </w:rPr>
  </w:style>
  <w:style w:type="paragraph" w:styleId="Heading3">
    <w:name w:val="heading 3"/>
    <w:basedOn w:val="Heading2"/>
    <w:next w:val="Normal"/>
    <w:qFormat/>
    <w:rsid w:val="001C553E"/>
    <w:pPr>
      <w:spacing w:before="400"/>
      <w:outlineLvl w:val="2"/>
    </w:pPr>
    <w:rPr>
      <w:bCs/>
      <w:szCs w:val="26"/>
    </w:rPr>
  </w:style>
  <w:style w:type="paragraph" w:styleId="Heading4">
    <w:name w:val="heading 4"/>
    <w:basedOn w:val="Heading3"/>
    <w:next w:val="Normal"/>
    <w:qFormat/>
    <w:rsid w:val="001C553E"/>
    <w:pPr>
      <w:pBdr>
        <w:bottom w:val="none" w:sz="0" w:space="0" w:color="auto"/>
      </w:pBdr>
      <w:spacing w:before="100"/>
      <w:ind w:left="782"/>
      <w:outlineLvl w:val="3"/>
    </w:pPr>
    <w:rPr>
      <w:bCs w:val="0"/>
      <w:szCs w:val="28"/>
    </w:rPr>
  </w:style>
  <w:style w:type="paragraph" w:styleId="Heading5">
    <w:name w:val="heading 5"/>
    <w:basedOn w:val="Heading4"/>
    <w:next w:val="Normal"/>
    <w:qFormat/>
    <w:rsid w:val="001C553E"/>
    <w:pPr>
      <w:outlineLvl w:val="4"/>
    </w:pPr>
    <w:rPr>
      <w:bCs/>
      <w:i/>
      <w:iCs w:val="0"/>
      <w:sz w:val="18"/>
      <w:szCs w:val="26"/>
    </w:rPr>
  </w:style>
  <w:style w:type="paragraph" w:styleId="Heading6">
    <w:name w:val="heading 6"/>
    <w:basedOn w:val="Heading5"/>
    <w:next w:val="Normal"/>
    <w:qFormat/>
    <w:pPr>
      <w:outlineLvl w:val="5"/>
    </w:pPr>
    <w:rPr>
      <w:b w:val="0"/>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spacing w:line="160" w:lineRule="exact"/>
      <w:ind w:left="340" w:hanging="340"/>
    </w:pPr>
    <w:rPr>
      <w:sz w:val="16"/>
    </w:rPr>
  </w:style>
  <w:style w:type="paragraph" w:customStyle="1" w:styleId="Heading1Italic">
    <w:name w:val="Heading 1 Italic"/>
    <w:basedOn w:val="Heading1"/>
    <w:next w:val="Normal"/>
    <w:rsid w:val="00580BC4"/>
    <w:pPr>
      <w:spacing w:before="240"/>
    </w:pPr>
    <w:rPr>
      <w:i/>
    </w:rPr>
  </w:style>
  <w:style w:type="paragraph" w:customStyle="1" w:styleId="Heading2Indent1">
    <w:name w:val="Heading 2 Indent1"/>
    <w:basedOn w:val="Heading2"/>
    <w:next w:val="Normal"/>
    <w:rsid w:val="00580BC4"/>
    <w:pPr>
      <w:pBdr>
        <w:bottom w:val="none" w:sz="0" w:space="0" w:color="auto"/>
      </w:pBdr>
      <w:spacing w:before="240"/>
      <w:ind w:left="510"/>
    </w:pPr>
  </w:style>
  <w:style w:type="paragraph" w:customStyle="1" w:styleId="Heading3Indent1">
    <w:name w:val="Heading 3 Indent1"/>
    <w:basedOn w:val="Heading3"/>
    <w:next w:val="Normal"/>
    <w:rsid w:val="00580BC4"/>
    <w:pPr>
      <w:pBdr>
        <w:bottom w:val="none" w:sz="0" w:space="0" w:color="auto"/>
      </w:pBdr>
      <w:ind w:left="510"/>
    </w:pPr>
  </w:style>
  <w:style w:type="paragraph" w:customStyle="1" w:styleId="Heading4Indent1">
    <w:name w:val="Heading 4 Indent1"/>
    <w:basedOn w:val="Heading4"/>
    <w:next w:val="Normal"/>
    <w:rsid w:val="001C553E"/>
    <w:pPr>
      <w:ind w:left="1293"/>
    </w:pPr>
  </w:style>
  <w:style w:type="paragraph" w:customStyle="1" w:styleId="Heading5Indent1">
    <w:name w:val="Heading 5 Indent1"/>
    <w:basedOn w:val="Heading5"/>
    <w:next w:val="Normal"/>
    <w:rsid w:val="001C553E"/>
    <w:pPr>
      <w:ind w:left="1293"/>
    </w:pPr>
  </w:style>
  <w:style w:type="paragraph" w:customStyle="1" w:styleId="Heading6Indent1">
    <w:name w:val="Heading 6 Indent1"/>
    <w:basedOn w:val="Heading6"/>
    <w:next w:val="Normal"/>
    <w:rsid w:val="001C553E"/>
    <w:pPr>
      <w:ind w:left="1293"/>
    </w:pPr>
  </w:style>
  <w:style w:type="paragraph" w:styleId="Header">
    <w:name w:val="header"/>
    <w:basedOn w:val="Normal"/>
    <w:link w:val="HeaderChar"/>
    <w:rsid w:val="00D74C6A"/>
    <w:pPr>
      <w:tabs>
        <w:tab w:val="center" w:pos="4536"/>
        <w:tab w:val="right" w:pos="9072"/>
      </w:tabs>
    </w:pPr>
  </w:style>
  <w:style w:type="paragraph" w:styleId="Footer">
    <w:name w:val="footer"/>
    <w:basedOn w:val="Normal"/>
    <w:rsid w:val="00D74C6A"/>
    <w:pPr>
      <w:tabs>
        <w:tab w:val="center" w:pos="4536"/>
        <w:tab w:val="right" w:pos="9072"/>
      </w:tabs>
    </w:pPr>
  </w:style>
  <w:style w:type="paragraph" w:customStyle="1" w:styleId="CoverStandard">
    <w:name w:val="Cover Standard"/>
    <w:basedOn w:val="Normal"/>
    <w:next w:val="Normal"/>
    <w:pPr>
      <w:spacing w:line="280" w:lineRule="exact"/>
    </w:pPr>
    <w:rPr>
      <w:b/>
      <w:sz w:val="28"/>
    </w:rPr>
  </w:style>
  <w:style w:type="paragraph" w:customStyle="1" w:styleId="CoverNumber">
    <w:name w:val="Cover Number"/>
    <w:basedOn w:val="Normal"/>
    <w:next w:val="Normal"/>
    <w:pPr>
      <w:spacing w:line="320" w:lineRule="exact"/>
      <w:jc w:val="right"/>
    </w:pPr>
    <w:rPr>
      <w:b/>
      <w:caps/>
      <w:sz w:val="32"/>
    </w:rPr>
  </w:style>
  <w:style w:type="paragraph" w:customStyle="1" w:styleId="CoverRelease">
    <w:name w:val="Cover Release"/>
    <w:basedOn w:val="Normal"/>
    <w:next w:val="Normal"/>
    <w:pPr>
      <w:spacing w:line="240" w:lineRule="exact"/>
    </w:pPr>
    <w:rPr>
      <w:sz w:val="24"/>
    </w:rPr>
  </w:style>
  <w:style w:type="paragraph" w:customStyle="1" w:styleId="CoverDate">
    <w:name w:val="Cover Date"/>
    <w:basedOn w:val="Normal"/>
    <w:next w:val="Normal"/>
    <w:pPr>
      <w:spacing w:line="240" w:lineRule="exact"/>
      <w:jc w:val="right"/>
    </w:pPr>
    <w:rPr>
      <w:sz w:val="24"/>
    </w:rPr>
  </w:style>
  <w:style w:type="paragraph" w:customStyle="1" w:styleId="CoverTitle">
    <w:name w:val="Cover Title"/>
    <w:basedOn w:val="Normal"/>
    <w:rsid w:val="00500E80"/>
    <w:pPr>
      <w:spacing w:before="800" w:after="500" w:line="500" w:lineRule="exact"/>
    </w:pPr>
    <w:rPr>
      <w:b/>
      <w:sz w:val="50"/>
    </w:rPr>
  </w:style>
  <w:style w:type="paragraph" w:customStyle="1" w:styleId="CoverBox">
    <w:name w:val="Cover Box"/>
    <w:basedOn w:val="Normal"/>
    <w:pPr>
      <w:pBdr>
        <w:top w:val="double" w:sz="4" w:space="1" w:color="auto"/>
        <w:left w:val="double" w:sz="4" w:space="4" w:color="auto"/>
        <w:bottom w:val="double" w:sz="4" w:space="1" w:color="auto"/>
        <w:right w:val="double" w:sz="4" w:space="4" w:color="auto"/>
      </w:pBdr>
    </w:pPr>
  </w:style>
  <w:style w:type="paragraph" w:customStyle="1" w:styleId="CoverContact">
    <w:name w:val="Cover Contact"/>
    <w:basedOn w:val="Normal"/>
    <w:next w:val="Normal"/>
    <w:rsid w:val="00B82F15"/>
    <w:pPr>
      <w:tabs>
        <w:tab w:val="left" w:pos="907"/>
      </w:tabs>
    </w:pPr>
  </w:style>
  <w:style w:type="paragraph" w:customStyle="1" w:styleId="CoverLeadPara">
    <w:name w:val="Cover LeadPara"/>
    <w:basedOn w:val="Normal"/>
    <w:next w:val="Normal"/>
    <w:rsid w:val="00F13C5A"/>
    <w:pPr>
      <w:spacing w:after="100"/>
    </w:pPr>
  </w:style>
  <w:style w:type="paragraph" w:customStyle="1" w:styleId="ContentsCapsPlainPg">
    <w:name w:val="Contents CapsPlainPg"/>
    <w:basedOn w:val="Normal"/>
    <w:next w:val="ContentsLevel1"/>
    <w:rsid w:val="00F13C5A"/>
    <w:pPr>
      <w:tabs>
        <w:tab w:val="right" w:pos="6237"/>
      </w:tabs>
      <w:spacing w:after="200"/>
      <w:ind w:left="170" w:right="1134" w:hanging="170"/>
    </w:pPr>
  </w:style>
  <w:style w:type="paragraph" w:customStyle="1" w:styleId="ContentsLevel1">
    <w:name w:val="Contents Level1"/>
    <w:basedOn w:val="Normal"/>
    <w:rsid w:val="001A0C8F"/>
    <w:pPr>
      <w:tabs>
        <w:tab w:val="right" w:pos="9072"/>
      </w:tabs>
      <w:spacing w:after="60"/>
      <w:ind w:left="170" w:right="1134" w:hanging="170"/>
      <w:jc w:val="left"/>
    </w:pPr>
    <w:rPr>
      <w:b/>
      <w:caps/>
    </w:rPr>
  </w:style>
  <w:style w:type="paragraph" w:customStyle="1" w:styleId="ContentsCapsBoldPg">
    <w:name w:val="Contents CapsBoldPg"/>
    <w:basedOn w:val="ContentsCapsPlainPg"/>
    <w:next w:val="ContentsLevel1"/>
    <w:rsid w:val="00F13C5A"/>
    <w:rPr>
      <w:b/>
    </w:rPr>
  </w:style>
  <w:style w:type="paragraph" w:customStyle="1" w:styleId="ContentsLevel2">
    <w:name w:val="Contents Level2"/>
    <w:basedOn w:val="ContentsLevel1"/>
    <w:rsid w:val="001A0C8F"/>
    <w:pPr>
      <w:ind w:left="510"/>
    </w:pPr>
    <w:rPr>
      <w:b w:val="0"/>
      <w:caps w:val="0"/>
    </w:rPr>
  </w:style>
  <w:style w:type="paragraph" w:customStyle="1" w:styleId="ContentsLevel3">
    <w:name w:val="Contents Level3"/>
    <w:basedOn w:val="ContentsLevel2"/>
    <w:pPr>
      <w:ind w:left="850"/>
    </w:pPr>
  </w:style>
  <w:style w:type="paragraph" w:customStyle="1" w:styleId="ContentsLevel4">
    <w:name w:val="Contents Level4"/>
    <w:basedOn w:val="ContentsLevel3"/>
    <w:pPr>
      <w:ind w:left="1191"/>
    </w:pPr>
  </w:style>
  <w:style w:type="paragraph" w:customStyle="1" w:styleId="ContentsBox">
    <w:name w:val="Contents Box"/>
    <w:basedOn w:val="Normal"/>
    <w:rsid w:val="00972BFA"/>
    <w:pPr>
      <w:pBdr>
        <w:top w:val="single" w:sz="4" w:space="1" w:color="auto"/>
        <w:left w:val="single" w:sz="4" w:space="4" w:color="auto"/>
        <w:bottom w:val="single" w:sz="4" w:space="1" w:color="auto"/>
        <w:right w:val="single" w:sz="4" w:space="4" w:color="auto"/>
      </w:pBdr>
      <w:spacing w:after="100"/>
    </w:pPr>
  </w:style>
  <w:style w:type="paragraph" w:styleId="TOC1">
    <w:name w:val="toc 1"/>
    <w:basedOn w:val="Normal"/>
    <w:next w:val="Normal"/>
    <w:autoRedefine/>
    <w:semiHidden/>
    <w:rsid w:val="00AC4315"/>
  </w:style>
  <w:style w:type="character" w:styleId="Hyperlink">
    <w:name w:val="Hyperlink"/>
    <w:basedOn w:val="DefaultParagraphFont"/>
    <w:rsid w:val="00737714"/>
    <w:rPr>
      <w:color w:val="0000FF"/>
      <w:u w:val="single"/>
    </w:rPr>
  </w:style>
  <w:style w:type="paragraph" w:customStyle="1" w:styleId="NumPlainA">
    <w:name w:val="Num PlainA"/>
    <w:basedOn w:val="Normal"/>
    <w:qFormat/>
    <w:rsid w:val="00580BC4"/>
    <w:pPr>
      <w:numPr>
        <w:numId w:val="7"/>
      </w:numPr>
      <w:spacing w:before="100" w:after="100"/>
    </w:pPr>
  </w:style>
  <w:style w:type="paragraph" w:customStyle="1" w:styleId="NoNumPlain1">
    <w:name w:val="NoNum Plain1"/>
    <w:basedOn w:val="Normal"/>
    <w:qFormat/>
    <w:rsid w:val="00580BC4"/>
    <w:pPr>
      <w:spacing w:before="100" w:after="100"/>
    </w:pPr>
  </w:style>
  <w:style w:type="paragraph" w:customStyle="1" w:styleId="NoNumPlain2">
    <w:name w:val="NoNum Plain2"/>
    <w:basedOn w:val="NoNumPlain1"/>
    <w:pPr>
      <w:ind w:left="510"/>
    </w:pPr>
  </w:style>
  <w:style w:type="paragraph" w:customStyle="1" w:styleId="NoNumPlain3">
    <w:name w:val="NoNum Plain3"/>
    <w:basedOn w:val="NoNumPlain2"/>
    <w:pPr>
      <w:ind w:left="1021"/>
    </w:pPr>
  </w:style>
  <w:style w:type="paragraph" w:customStyle="1" w:styleId="NoNumPlain4">
    <w:name w:val="NoNum Plain4"/>
    <w:basedOn w:val="NoNumPlain3"/>
    <w:pPr>
      <w:ind w:left="1531"/>
    </w:pPr>
  </w:style>
  <w:style w:type="paragraph" w:customStyle="1" w:styleId="NoNumBold1">
    <w:name w:val="NoNum Bold1"/>
    <w:basedOn w:val="Normal"/>
    <w:qFormat/>
    <w:rsid w:val="00580BC4"/>
    <w:pPr>
      <w:spacing w:before="100" w:after="100"/>
    </w:pPr>
    <w:rPr>
      <w:b/>
    </w:rPr>
  </w:style>
  <w:style w:type="paragraph" w:customStyle="1" w:styleId="NoNumBold2">
    <w:name w:val="NoNum Bold2"/>
    <w:basedOn w:val="NoNumBold1"/>
    <w:pPr>
      <w:ind w:left="510"/>
    </w:pPr>
  </w:style>
  <w:style w:type="paragraph" w:customStyle="1" w:styleId="NoNumBold3">
    <w:name w:val="NoNum Bold3"/>
    <w:basedOn w:val="NoNumBold2"/>
    <w:pPr>
      <w:ind w:left="1021"/>
    </w:pPr>
  </w:style>
  <w:style w:type="paragraph" w:customStyle="1" w:styleId="NoNumBold4">
    <w:name w:val="NoNum Bold4"/>
    <w:basedOn w:val="NoNumBold3"/>
    <w:pPr>
      <w:ind w:left="1531"/>
    </w:pPr>
  </w:style>
  <w:style w:type="paragraph" w:customStyle="1" w:styleId="NumPlain1">
    <w:name w:val="Num Plain1"/>
    <w:basedOn w:val="Normal"/>
    <w:link w:val="NumPlain1Char"/>
    <w:qFormat/>
    <w:rsid w:val="00580BC4"/>
    <w:pPr>
      <w:numPr>
        <w:numId w:val="1"/>
      </w:numPr>
      <w:spacing w:before="100" w:after="100"/>
    </w:pPr>
  </w:style>
  <w:style w:type="paragraph" w:customStyle="1" w:styleId="NumPlain2">
    <w:name w:val="Num Plain2"/>
    <w:basedOn w:val="NumPlain1"/>
    <w:rsid w:val="00426876"/>
    <w:pPr>
      <w:numPr>
        <w:ilvl w:val="1"/>
      </w:numPr>
    </w:pPr>
  </w:style>
  <w:style w:type="paragraph" w:customStyle="1" w:styleId="NumPlain3">
    <w:name w:val="Num Plain3"/>
    <w:basedOn w:val="NumPlain2"/>
    <w:rsid w:val="00426876"/>
    <w:pPr>
      <w:numPr>
        <w:ilvl w:val="2"/>
      </w:numPr>
    </w:pPr>
  </w:style>
  <w:style w:type="paragraph" w:customStyle="1" w:styleId="NumPlain4">
    <w:name w:val="Num Plain4"/>
    <w:basedOn w:val="NumPlain3"/>
    <w:rsid w:val="00426876"/>
    <w:pPr>
      <w:numPr>
        <w:ilvl w:val="3"/>
      </w:numPr>
    </w:pPr>
  </w:style>
  <w:style w:type="paragraph" w:customStyle="1" w:styleId="Bullet1">
    <w:name w:val="Bullet1"/>
    <w:basedOn w:val="Normal"/>
    <w:qFormat/>
    <w:rsid w:val="00580BC4"/>
    <w:pPr>
      <w:numPr>
        <w:numId w:val="6"/>
      </w:numPr>
      <w:spacing w:before="100" w:after="100"/>
      <w:ind w:left="505" w:hanging="505"/>
    </w:pPr>
  </w:style>
  <w:style w:type="paragraph" w:customStyle="1" w:styleId="Bullet2">
    <w:name w:val="Bullet2"/>
    <w:basedOn w:val="Normal"/>
    <w:rsid w:val="00972BFA"/>
    <w:pPr>
      <w:numPr>
        <w:ilvl w:val="1"/>
        <w:numId w:val="6"/>
      </w:numPr>
      <w:spacing w:after="200"/>
      <w:ind w:left="1010" w:hanging="505"/>
    </w:pPr>
  </w:style>
  <w:style w:type="paragraph" w:customStyle="1" w:styleId="Bullet3">
    <w:name w:val="Bullet3"/>
    <w:basedOn w:val="Normal"/>
    <w:rsid w:val="00972BFA"/>
    <w:pPr>
      <w:numPr>
        <w:ilvl w:val="2"/>
        <w:numId w:val="6"/>
      </w:numPr>
      <w:spacing w:after="200"/>
      <w:ind w:left="1514" w:hanging="505"/>
    </w:pPr>
  </w:style>
  <w:style w:type="paragraph" w:customStyle="1" w:styleId="CommentsPage">
    <w:name w:val="CommentsPage"/>
    <w:basedOn w:val="Normal"/>
    <w:next w:val="Normal"/>
  </w:style>
  <w:style w:type="paragraph" w:customStyle="1" w:styleId="Bullet4">
    <w:name w:val="Bullet4"/>
    <w:basedOn w:val="Normal"/>
    <w:rsid w:val="00972BFA"/>
    <w:pPr>
      <w:numPr>
        <w:ilvl w:val="3"/>
        <w:numId w:val="6"/>
      </w:numPr>
      <w:spacing w:after="200"/>
      <w:ind w:left="2019" w:hanging="505"/>
    </w:pPr>
  </w:style>
  <w:style w:type="paragraph" w:customStyle="1" w:styleId="ContentsCapsPlain">
    <w:name w:val="Contents CapsPlain"/>
    <w:basedOn w:val="Normal"/>
    <w:next w:val="ContentsLevel1"/>
    <w:rsid w:val="0034243B"/>
    <w:pPr>
      <w:spacing w:after="200"/>
    </w:pPr>
    <w:rPr>
      <w:caps/>
    </w:rPr>
  </w:style>
  <w:style w:type="paragraph" w:customStyle="1" w:styleId="ContentsCapsBold">
    <w:name w:val="Contents CapsBold"/>
    <w:basedOn w:val="ContentsCapsPlain"/>
    <w:next w:val="ContentsLevel1"/>
    <w:rsid w:val="00F13C5A"/>
    <w:pPr>
      <w:spacing w:after="0"/>
    </w:pPr>
    <w:rPr>
      <w:b/>
    </w:rPr>
  </w:style>
  <w:style w:type="paragraph" w:customStyle="1" w:styleId="ContentsParaHead">
    <w:name w:val="Contents ParaHead"/>
    <w:basedOn w:val="Normal"/>
    <w:next w:val="Normal"/>
    <w:pPr>
      <w:spacing w:after="60"/>
      <w:jc w:val="right"/>
    </w:pPr>
    <w:rPr>
      <w:i/>
    </w:rPr>
  </w:style>
  <w:style w:type="paragraph" w:styleId="DocumentMap">
    <w:name w:val="Document Map"/>
    <w:basedOn w:val="Normal"/>
    <w:semiHidden/>
    <w:pPr>
      <w:shd w:val="clear" w:color="auto" w:fill="000080"/>
    </w:pPr>
    <w:rPr>
      <w:rFonts w:ascii="Tahoma" w:hAnsi="Tahoma" w:cs="Tahoma"/>
    </w:rPr>
  </w:style>
  <w:style w:type="paragraph" w:customStyle="1" w:styleId="ContentsLevel1NoIndent">
    <w:name w:val="Contents Level1 NoIndent"/>
    <w:basedOn w:val="ContentsLevel1"/>
    <w:pPr>
      <w:ind w:left="0" w:firstLine="0"/>
    </w:pPr>
  </w:style>
  <w:style w:type="paragraph" w:customStyle="1" w:styleId="AppendixNo">
    <w:name w:val="AppendixNo"/>
    <w:basedOn w:val="Normal"/>
    <w:next w:val="Normal"/>
    <w:rsid w:val="000625F2"/>
    <w:pPr>
      <w:keepNext/>
      <w:spacing w:after="200"/>
      <w:jc w:val="left"/>
      <w:outlineLvl w:val="0"/>
    </w:pPr>
    <w:rPr>
      <w:rFonts w:ascii="Arial" w:hAnsi="Arial"/>
      <w:b/>
      <w:sz w:val="26"/>
      <w:szCs w:val="28"/>
    </w:rPr>
  </w:style>
  <w:style w:type="paragraph" w:customStyle="1" w:styleId="BCHanging0">
    <w:name w:val="BC Hanging0"/>
    <w:basedOn w:val="NoNumPlain1"/>
    <w:qFormat/>
    <w:rsid w:val="0058004D"/>
    <w:pPr>
      <w:ind w:left="624" w:hanging="624"/>
    </w:pPr>
  </w:style>
  <w:style w:type="paragraph" w:customStyle="1" w:styleId="AppendixNote">
    <w:name w:val="AppendixNote"/>
    <w:basedOn w:val="Normal"/>
    <w:next w:val="Normal"/>
    <w:rsid w:val="00972BFA"/>
    <w:pPr>
      <w:spacing w:after="200"/>
    </w:pPr>
    <w:rPr>
      <w:i/>
      <w:iCs/>
    </w:rPr>
  </w:style>
  <w:style w:type="paragraph" w:customStyle="1" w:styleId="AppendixText">
    <w:name w:val="AppendixText"/>
    <w:basedOn w:val="Normal"/>
    <w:rsid w:val="00580BC4"/>
    <w:pPr>
      <w:spacing w:before="100" w:after="100"/>
    </w:pPr>
  </w:style>
  <w:style w:type="paragraph" w:customStyle="1" w:styleId="AppendixTitle">
    <w:name w:val="AppendixTitle"/>
    <w:basedOn w:val="Normal"/>
    <w:next w:val="AppendixNote"/>
    <w:rsid w:val="000625F2"/>
    <w:pPr>
      <w:keepNext/>
      <w:spacing w:after="200"/>
      <w:jc w:val="left"/>
      <w:outlineLvl w:val="0"/>
    </w:pPr>
    <w:rPr>
      <w:rFonts w:ascii="Arial" w:hAnsi="Arial"/>
      <w:b/>
      <w:sz w:val="26"/>
      <w:szCs w:val="28"/>
    </w:rPr>
  </w:style>
  <w:style w:type="paragraph" w:customStyle="1" w:styleId="NoNumBC2">
    <w:name w:val="NoNum BC2"/>
    <w:basedOn w:val="NoNumPlain1"/>
    <w:rsid w:val="0058004D"/>
    <w:pPr>
      <w:ind w:left="624"/>
    </w:pPr>
  </w:style>
  <w:style w:type="paragraph" w:customStyle="1" w:styleId="BCHanging1">
    <w:name w:val="BC Hanging1"/>
    <w:basedOn w:val="NoNumBC2"/>
    <w:rsid w:val="0058004D"/>
    <w:pPr>
      <w:ind w:left="1248" w:hanging="624"/>
    </w:pPr>
  </w:style>
  <w:style w:type="paragraph" w:customStyle="1" w:styleId="BCHanging2">
    <w:name w:val="BC Hanging2"/>
    <w:basedOn w:val="BCHanging1"/>
    <w:rsid w:val="0058004D"/>
    <w:pPr>
      <w:ind w:left="1871"/>
    </w:pPr>
  </w:style>
  <w:style w:type="paragraph" w:customStyle="1" w:styleId="BCHanging3">
    <w:name w:val="BC Hanging3"/>
    <w:basedOn w:val="BCHanging1"/>
    <w:rsid w:val="0058004D"/>
    <w:pPr>
      <w:ind w:left="2495"/>
    </w:pPr>
  </w:style>
  <w:style w:type="paragraph" w:customStyle="1" w:styleId="CoverSubtitle">
    <w:name w:val="Cover Subtitle"/>
    <w:basedOn w:val="CoverTitle"/>
    <w:rsid w:val="00500E80"/>
    <w:pPr>
      <w:spacing w:before="0" w:after="0"/>
    </w:pPr>
    <w:rPr>
      <w:sz w:val="40"/>
      <w:szCs w:val="40"/>
    </w:rPr>
  </w:style>
  <w:style w:type="paragraph" w:customStyle="1" w:styleId="NumberedList">
    <w:name w:val="NumberedList"/>
    <w:basedOn w:val="Normal"/>
    <w:qFormat/>
    <w:rsid w:val="00580BC4"/>
    <w:pPr>
      <w:numPr>
        <w:numId w:val="3"/>
      </w:numPr>
      <w:spacing w:before="100" w:after="100"/>
    </w:pPr>
  </w:style>
  <w:style w:type="paragraph" w:customStyle="1" w:styleId="NumBold1">
    <w:name w:val="Num Bold1"/>
    <w:basedOn w:val="NumPlain1"/>
    <w:qFormat/>
    <w:rsid w:val="00027E8B"/>
    <w:rPr>
      <w:b/>
    </w:rPr>
  </w:style>
  <w:style w:type="paragraph" w:customStyle="1" w:styleId="NumBold2">
    <w:name w:val="Num Bold2"/>
    <w:basedOn w:val="NumPlain2"/>
    <w:rsid w:val="00027E8B"/>
    <w:rPr>
      <w:b/>
    </w:rPr>
  </w:style>
  <w:style w:type="paragraph" w:customStyle="1" w:styleId="NumBold3">
    <w:name w:val="Num Bold3"/>
    <w:basedOn w:val="NumPlain3"/>
    <w:rsid w:val="00027E8B"/>
    <w:rPr>
      <w:b/>
    </w:rPr>
  </w:style>
  <w:style w:type="paragraph" w:customStyle="1" w:styleId="NumBold4">
    <w:name w:val="Num Bold4"/>
    <w:basedOn w:val="NumPlain4"/>
    <w:rsid w:val="00027E8B"/>
    <w:rPr>
      <w:b/>
    </w:rPr>
  </w:style>
  <w:style w:type="paragraph" w:customStyle="1" w:styleId="PlainHanging1">
    <w:name w:val="Plain Hanging1"/>
    <w:basedOn w:val="NoNumPlain2"/>
    <w:rsid w:val="0039009E"/>
    <w:pPr>
      <w:ind w:left="1020" w:hanging="510"/>
    </w:pPr>
  </w:style>
  <w:style w:type="paragraph" w:customStyle="1" w:styleId="PlainHanging2">
    <w:name w:val="Plain Hanging2"/>
    <w:basedOn w:val="PlainHanging1"/>
    <w:rsid w:val="0039009E"/>
    <w:pPr>
      <w:ind w:left="1531"/>
    </w:pPr>
  </w:style>
  <w:style w:type="paragraph" w:customStyle="1" w:styleId="PlainHanging3">
    <w:name w:val="Plain Hanging3"/>
    <w:basedOn w:val="PlainHanging1"/>
    <w:rsid w:val="0039009E"/>
    <w:pPr>
      <w:ind w:left="2041"/>
    </w:pPr>
  </w:style>
  <w:style w:type="paragraph" w:customStyle="1" w:styleId="PlainHanging4">
    <w:name w:val="Plain Hanging4"/>
    <w:basedOn w:val="PlainHanging1"/>
    <w:rsid w:val="0039009E"/>
    <w:pPr>
      <w:ind w:left="2551"/>
    </w:pPr>
  </w:style>
  <w:style w:type="paragraph" w:customStyle="1" w:styleId="BoldHanging1">
    <w:name w:val="Bold Hanging1"/>
    <w:basedOn w:val="PlainHanging1"/>
    <w:rsid w:val="0039009E"/>
    <w:rPr>
      <w:b/>
    </w:rPr>
  </w:style>
  <w:style w:type="paragraph" w:customStyle="1" w:styleId="BoldHanging2">
    <w:name w:val="Bold Hanging2"/>
    <w:basedOn w:val="PlainHanging2"/>
    <w:rsid w:val="0039009E"/>
    <w:rPr>
      <w:b/>
    </w:rPr>
  </w:style>
  <w:style w:type="paragraph" w:customStyle="1" w:styleId="BoldHanging3">
    <w:name w:val="Bold Hanging3"/>
    <w:basedOn w:val="PlainHanging3"/>
    <w:rsid w:val="0039009E"/>
    <w:rPr>
      <w:b/>
    </w:rPr>
  </w:style>
  <w:style w:type="paragraph" w:customStyle="1" w:styleId="BoldHanging4">
    <w:name w:val="Bold Hanging4"/>
    <w:basedOn w:val="PlainHanging4"/>
    <w:rsid w:val="0039009E"/>
    <w:rPr>
      <w:b/>
    </w:rPr>
  </w:style>
  <w:style w:type="paragraph" w:customStyle="1" w:styleId="PlainHanging0">
    <w:name w:val="Plain Hanging0"/>
    <w:basedOn w:val="PlainHanging1"/>
    <w:qFormat/>
    <w:rsid w:val="003A488F"/>
    <w:pPr>
      <w:ind w:left="510"/>
    </w:pPr>
  </w:style>
  <w:style w:type="paragraph" w:customStyle="1" w:styleId="BoldHanging0">
    <w:name w:val="Bold Hanging0"/>
    <w:basedOn w:val="PlainHanging0"/>
    <w:qFormat/>
    <w:rsid w:val="003A488F"/>
    <w:rPr>
      <w:b/>
    </w:rPr>
  </w:style>
  <w:style w:type="paragraph" w:customStyle="1" w:styleId="BCHanging4">
    <w:name w:val="BC Hanging4"/>
    <w:basedOn w:val="BCHanging1"/>
    <w:rsid w:val="0058004D"/>
    <w:pPr>
      <w:ind w:left="3119"/>
    </w:pPr>
  </w:style>
  <w:style w:type="paragraph" w:customStyle="1" w:styleId="NoNumBC3">
    <w:name w:val="NoNum BC3"/>
    <w:basedOn w:val="NoNumBC2"/>
    <w:rsid w:val="0058004D"/>
    <w:pPr>
      <w:ind w:left="1247"/>
    </w:pPr>
  </w:style>
  <w:style w:type="paragraph" w:customStyle="1" w:styleId="NoNumBC4">
    <w:name w:val="NoNum BC4"/>
    <w:basedOn w:val="NoNumBC3"/>
    <w:rsid w:val="0058004D"/>
    <w:pPr>
      <w:ind w:left="1871"/>
    </w:pPr>
  </w:style>
  <w:style w:type="paragraph" w:customStyle="1" w:styleId="NumBC1">
    <w:name w:val="Num BC1"/>
    <w:basedOn w:val="Normal"/>
    <w:qFormat/>
    <w:rsid w:val="00580BC4"/>
    <w:pPr>
      <w:numPr>
        <w:numId w:val="4"/>
      </w:numPr>
      <w:spacing w:before="100" w:after="100"/>
    </w:pPr>
  </w:style>
  <w:style w:type="paragraph" w:customStyle="1" w:styleId="NumBC2">
    <w:name w:val="Num BC2"/>
    <w:basedOn w:val="NumBC1"/>
    <w:rsid w:val="00426876"/>
    <w:pPr>
      <w:numPr>
        <w:ilvl w:val="1"/>
      </w:numPr>
    </w:pPr>
  </w:style>
  <w:style w:type="paragraph" w:customStyle="1" w:styleId="NumBC3">
    <w:name w:val="Num BC3"/>
    <w:basedOn w:val="NumBC2"/>
    <w:rsid w:val="00426876"/>
    <w:pPr>
      <w:numPr>
        <w:ilvl w:val="2"/>
      </w:numPr>
    </w:pPr>
  </w:style>
  <w:style w:type="paragraph" w:customStyle="1" w:styleId="NumBC4">
    <w:name w:val="Num BC4"/>
    <w:basedOn w:val="NumBC3"/>
    <w:rsid w:val="00426876"/>
    <w:pPr>
      <w:numPr>
        <w:ilvl w:val="3"/>
      </w:numPr>
    </w:pPr>
  </w:style>
  <w:style w:type="numbering" w:customStyle="1" w:styleId="Bullets">
    <w:name w:val="Bullets"/>
    <w:uiPriority w:val="99"/>
    <w:rsid w:val="00F27D29"/>
    <w:pPr>
      <w:numPr>
        <w:numId w:val="5"/>
      </w:numPr>
    </w:pPr>
  </w:style>
  <w:style w:type="paragraph" w:customStyle="1" w:styleId="NumPlainA2">
    <w:name w:val="Num PlainA2"/>
    <w:basedOn w:val="NumPlainA"/>
    <w:rsid w:val="00171F51"/>
    <w:pPr>
      <w:numPr>
        <w:ilvl w:val="1"/>
      </w:numPr>
      <w:outlineLvl w:val="1"/>
    </w:pPr>
  </w:style>
  <w:style w:type="table" w:styleId="TableGrid">
    <w:name w:val="Table Grid"/>
    <w:basedOn w:val="TableNormal"/>
    <w:rsid w:val="00C0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NumPlain1">
    <w:name w:val="SubNum Plain1"/>
    <w:basedOn w:val="PlainHanging1"/>
    <w:qFormat/>
    <w:rsid w:val="00A96702"/>
    <w:pPr>
      <w:numPr>
        <w:numId w:val="9"/>
      </w:numPr>
    </w:pPr>
  </w:style>
  <w:style w:type="paragraph" w:customStyle="1" w:styleId="SubNumPlain2">
    <w:name w:val="SubNum Plain2"/>
    <w:basedOn w:val="PlainHanging2"/>
    <w:qFormat/>
    <w:rsid w:val="00A96702"/>
    <w:pPr>
      <w:numPr>
        <w:ilvl w:val="1"/>
        <w:numId w:val="9"/>
      </w:numPr>
    </w:pPr>
  </w:style>
  <w:style w:type="paragraph" w:customStyle="1" w:styleId="SubNumPlain3">
    <w:name w:val="SubNum Plain3"/>
    <w:basedOn w:val="PlainHanging3"/>
    <w:qFormat/>
    <w:rsid w:val="00A96702"/>
    <w:pPr>
      <w:numPr>
        <w:ilvl w:val="2"/>
        <w:numId w:val="9"/>
      </w:numPr>
    </w:pPr>
  </w:style>
  <w:style w:type="paragraph" w:customStyle="1" w:styleId="SubNumPlain4">
    <w:name w:val="SubNum Plain4"/>
    <w:basedOn w:val="PlainHanging4"/>
    <w:qFormat/>
    <w:rsid w:val="00A96702"/>
    <w:pPr>
      <w:numPr>
        <w:ilvl w:val="3"/>
        <w:numId w:val="9"/>
      </w:numPr>
    </w:pPr>
  </w:style>
  <w:style w:type="paragraph" w:customStyle="1" w:styleId="SubNumBold1">
    <w:name w:val="SubNum Bold1"/>
    <w:basedOn w:val="BoldHanging1"/>
    <w:qFormat/>
    <w:rsid w:val="00A96702"/>
    <w:pPr>
      <w:numPr>
        <w:numId w:val="10"/>
      </w:numPr>
    </w:pPr>
  </w:style>
  <w:style w:type="paragraph" w:customStyle="1" w:styleId="SubNumBold2">
    <w:name w:val="SubNum Bold2"/>
    <w:basedOn w:val="BoldHanging2"/>
    <w:qFormat/>
    <w:rsid w:val="00A96702"/>
    <w:pPr>
      <w:numPr>
        <w:ilvl w:val="1"/>
        <w:numId w:val="10"/>
      </w:numPr>
    </w:pPr>
  </w:style>
  <w:style w:type="paragraph" w:customStyle="1" w:styleId="SubNumBold3">
    <w:name w:val="SubNum Bold3"/>
    <w:basedOn w:val="BoldHanging3"/>
    <w:qFormat/>
    <w:rsid w:val="00A96702"/>
    <w:pPr>
      <w:numPr>
        <w:ilvl w:val="2"/>
        <w:numId w:val="10"/>
      </w:numPr>
    </w:pPr>
  </w:style>
  <w:style w:type="paragraph" w:customStyle="1" w:styleId="SubNumBold4">
    <w:name w:val="SubNum Bold4"/>
    <w:basedOn w:val="BoldHanging4"/>
    <w:qFormat/>
    <w:rsid w:val="00A96702"/>
    <w:pPr>
      <w:numPr>
        <w:ilvl w:val="3"/>
        <w:numId w:val="10"/>
      </w:numPr>
    </w:pPr>
  </w:style>
  <w:style w:type="numbering" w:customStyle="1" w:styleId="AASBSubNumbers">
    <w:name w:val="AASB SubNumbers"/>
    <w:uiPriority w:val="99"/>
    <w:rsid w:val="00A96702"/>
    <w:pPr>
      <w:numPr>
        <w:numId w:val="8"/>
      </w:numPr>
    </w:pPr>
  </w:style>
  <w:style w:type="numbering" w:customStyle="1" w:styleId="AASBSubNumbersBold">
    <w:name w:val="AASB SubNumbers Bold"/>
    <w:uiPriority w:val="99"/>
    <w:rsid w:val="00A96702"/>
    <w:pPr>
      <w:numPr>
        <w:numId w:val="10"/>
      </w:numPr>
    </w:pPr>
  </w:style>
  <w:style w:type="character" w:customStyle="1" w:styleId="NumPlain1Char">
    <w:name w:val="Num Plain1 Char"/>
    <w:basedOn w:val="DefaultParagraphFont"/>
    <w:link w:val="NumPlain1"/>
    <w:rsid w:val="000812F8"/>
    <w:rPr>
      <w:sz w:val="19"/>
      <w:lang w:eastAsia="en-US"/>
    </w:rPr>
  </w:style>
  <w:style w:type="paragraph" w:styleId="BalloonText">
    <w:name w:val="Balloon Text"/>
    <w:basedOn w:val="Normal"/>
    <w:link w:val="BalloonTextChar"/>
    <w:semiHidden/>
    <w:unhideWhenUsed/>
    <w:rsid w:val="001A0C8F"/>
    <w:rPr>
      <w:rFonts w:ascii="Segoe UI" w:hAnsi="Segoe UI" w:cs="Segoe UI"/>
      <w:sz w:val="18"/>
      <w:szCs w:val="18"/>
    </w:rPr>
  </w:style>
  <w:style w:type="character" w:customStyle="1" w:styleId="BalloonTextChar">
    <w:name w:val="Balloon Text Char"/>
    <w:basedOn w:val="DefaultParagraphFont"/>
    <w:link w:val="BalloonText"/>
    <w:semiHidden/>
    <w:rsid w:val="001A0C8F"/>
    <w:rPr>
      <w:rFonts w:ascii="Segoe UI" w:hAnsi="Segoe UI" w:cs="Segoe UI"/>
      <w:sz w:val="18"/>
      <w:szCs w:val="18"/>
      <w:lang w:eastAsia="en-US"/>
    </w:rPr>
  </w:style>
  <w:style w:type="character" w:styleId="PlaceholderText">
    <w:name w:val="Placeholder Text"/>
    <w:basedOn w:val="DefaultParagraphFont"/>
    <w:uiPriority w:val="99"/>
    <w:semiHidden/>
    <w:rsid w:val="00971416"/>
    <w:rPr>
      <w:color w:val="808080"/>
    </w:rPr>
  </w:style>
  <w:style w:type="paragraph" w:styleId="Revision">
    <w:name w:val="Revision"/>
    <w:hidden/>
    <w:uiPriority w:val="99"/>
    <w:semiHidden/>
    <w:rsid w:val="00657C0C"/>
    <w:rPr>
      <w:sz w:val="19"/>
      <w:lang w:eastAsia="en-US"/>
    </w:rPr>
  </w:style>
  <w:style w:type="character" w:styleId="Emphasis">
    <w:name w:val="Emphasis"/>
    <w:basedOn w:val="DefaultParagraphFont"/>
    <w:uiPriority w:val="20"/>
    <w:qFormat/>
    <w:rsid w:val="000577D0"/>
    <w:rPr>
      <w:i/>
      <w:iCs/>
    </w:rPr>
  </w:style>
  <w:style w:type="character" w:customStyle="1" w:styleId="wdyuqq">
    <w:name w:val="wdyuqq"/>
    <w:basedOn w:val="DefaultParagraphFont"/>
    <w:rsid w:val="00FA15A0"/>
  </w:style>
  <w:style w:type="paragraph" w:customStyle="1" w:styleId="IASBTableArial">
    <w:name w:val="IASB Table Arial"/>
    <w:basedOn w:val="Normal"/>
    <w:rsid w:val="00CE6DF2"/>
    <w:pPr>
      <w:spacing w:before="120"/>
      <w:jc w:val="left"/>
    </w:pPr>
    <w:rPr>
      <w:rFonts w:ascii="Arial" w:hAnsi="Arial"/>
      <w:sz w:val="18"/>
      <w:lang w:val="en-GB" w:eastAsia="en-GB"/>
    </w:rPr>
  </w:style>
  <w:style w:type="paragraph" w:customStyle="1" w:styleId="IASBNormalnpara">
    <w:name w:val="IASB Normal npara"/>
    <w:basedOn w:val="Normal"/>
    <w:rsid w:val="004C12B4"/>
    <w:pPr>
      <w:spacing w:before="100"/>
      <w:ind w:left="782" w:hanging="782"/>
    </w:pPr>
    <w:rPr>
      <w:lang w:val="en-US"/>
    </w:rPr>
  </w:style>
  <w:style w:type="paragraph" w:customStyle="1" w:styleId="IASBSectionTitle1NonInd">
    <w:name w:val="IASB Section Title 1 NonInd"/>
    <w:basedOn w:val="Normal"/>
    <w:rsid w:val="004C12B4"/>
    <w:pPr>
      <w:keepNext/>
      <w:keepLines/>
      <w:pBdr>
        <w:bottom w:val="single" w:sz="4" w:space="0" w:color="auto"/>
      </w:pBdr>
      <w:spacing w:before="400" w:after="200"/>
      <w:jc w:val="left"/>
    </w:pPr>
    <w:rPr>
      <w:rFonts w:ascii="Arial" w:hAnsi="Arial" w:cs="Arial"/>
      <w:b/>
      <w:sz w:val="26"/>
      <w:lang w:val="en-US"/>
    </w:rPr>
  </w:style>
  <w:style w:type="paragraph" w:customStyle="1" w:styleId="IASBNormalnparaL1">
    <w:name w:val="IASB Normal nparaL1"/>
    <w:basedOn w:val="IASBNormalnpara"/>
    <w:rsid w:val="004C12B4"/>
    <w:pPr>
      <w:ind w:left="1564"/>
    </w:pPr>
  </w:style>
  <w:style w:type="paragraph" w:customStyle="1" w:styleId="IASBNormalnparaL2">
    <w:name w:val="IASB Normal nparaL2"/>
    <w:basedOn w:val="IASBNormalnparaL1"/>
    <w:rsid w:val="004C12B4"/>
    <w:pPr>
      <w:ind w:left="2347"/>
    </w:pPr>
  </w:style>
  <w:style w:type="paragraph" w:styleId="NormalWeb">
    <w:name w:val="Normal (Web)"/>
    <w:basedOn w:val="Normal"/>
    <w:uiPriority w:val="99"/>
    <w:semiHidden/>
    <w:unhideWhenUsed/>
    <w:rsid w:val="005E1C5F"/>
    <w:pPr>
      <w:spacing w:before="100" w:beforeAutospacing="1" w:after="100" w:afterAutospacing="1"/>
      <w:jc w:val="left"/>
    </w:pPr>
    <w:rPr>
      <w:sz w:val="24"/>
      <w:szCs w:val="24"/>
      <w:lang w:eastAsia="zh-CN"/>
    </w:rPr>
  </w:style>
  <w:style w:type="character" w:styleId="CommentReference">
    <w:name w:val="annotation reference"/>
    <w:basedOn w:val="DefaultParagraphFont"/>
    <w:semiHidden/>
    <w:unhideWhenUsed/>
    <w:rsid w:val="00331D8A"/>
    <w:rPr>
      <w:sz w:val="16"/>
      <w:szCs w:val="16"/>
    </w:rPr>
  </w:style>
  <w:style w:type="paragraph" w:styleId="CommentText">
    <w:name w:val="annotation text"/>
    <w:basedOn w:val="Normal"/>
    <w:link w:val="CommentTextChar"/>
    <w:unhideWhenUsed/>
    <w:rsid w:val="00331D8A"/>
    <w:rPr>
      <w:sz w:val="20"/>
    </w:rPr>
  </w:style>
  <w:style w:type="character" w:customStyle="1" w:styleId="CommentTextChar">
    <w:name w:val="Comment Text Char"/>
    <w:basedOn w:val="DefaultParagraphFont"/>
    <w:link w:val="CommentText"/>
    <w:rsid w:val="00331D8A"/>
    <w:rPr>
      <w:lang w:eastAsia="en-US"/>
    </w:rPr>
  </w:style>
  <w:style w:type="paragraph" w:styleId="CommentSubject">
    <w:name w:val="annotation subject"/>
    <w:basedOn w:val="CommentText"/>
    <w:next w:val="CommentText"/>
    <w:link w:val="CommentSubjectChar"/>
    <w:semiHidden/>
    <w:unhideWhenUsed/>
    <w:rsid w:val="00331D8A"/>
    <w:rPr>
      <w:b/>
      <w:bCs/>
    </w:rPr>
  </w:style>
  <w:style w:type="character" w:customStyle="1" w:styleId="CommentSubjectChar">
    <w:name w:val="Comment Subject Char"/>
    <w:basedOn w:val="CommentTextChar"/>
    <w:link w:val="CommentSubject"/>
    <w:semiHidden/>
    <w:rsid w:val="00331D8A"/>
    <w:rPr>
      <w:b/>
      <w:bCs/>
      <w:lang w:eastAsia="en-US"/>
    </w:rPr>
  </w:style>
  <w:style w:type="paragraph" w:customStyle="1" w:styleId="paragraph">
    <w:name w:val="paragraph"/>
    <w:basedOn w:val="Normal"/>
    <w:rsid w:val="000A021E"/>
    <w:pPr>
      <w:spacing w:before="100" w:beforeAutospacing="1" w:after="100" w:afterAutospacing="1"/>
      <w:jc w:val="left"/>
    </w:pPr>
    <w:rPr>
      <w:sz w:val="24"/>
      <w:szCs w:val="24"/>
      <w:lang w:eastAsia="en-AU"/>
    </w:rPr>
  </w:style>
  <w:style w:type="character" w:customStyle="1" w:styleId="normaltextrun">
    <w:name w:val="normaltextrun"/>
    <w:basedOn w:val="DefaultParagraphFont"/>
    <w:rsid w:val="000A021E"/>
  </w:style>
  <w:style w:type="character" w:customStyle="1" w:styleId="scxw156536743">
    <w:name w:val="scxw156536743"/>
    <w:basedOn w:val="DefaultParagraphFont"/>
    <w:rsid w:val="000A021E"/>
  </w:style>
  <w:style w:type="character" w:customStyle="1" w:styleId="eop">
    <w:name w:val="eop"/>
    <w:basedOn w:val="DefaultParagraphFont"/>
    <w:rsid w:val="000A021E"/>
  </w:style>
  <w:style w:type="character" w:customStyle="1" w:styleId="HeaderChar">
    <w:name w:val="Header Char"/>
    <w:basedOn w:val="DefaultParagraphFont"/>
    <w:link w:val="Header"/>
    <w:uiPriority w:val="99"/>
    <w:rsid w:val="00FB13EE"/>
    <w:rPr>
      <w:sz w:val="19"/>
      <w:lang w:eastAsia="en-US"/>
    </w:rPr>
  </w:style>
  <w:style w:type="paragraph" w:styleId="BodyText">
    <w:name w:val="Body Text"/>
    <w:basedOn w:val="Normal"/>
    <w:link w:val="BodyTextChar"/>
    <w:unhideWhenUsed/>
    <w:rsid w:val="00841B1E"/>
    <w:pPr>
      <w:spacing w:after="120"/>
    </w:pPr>
  </w:style>
  <w:style w:type="character" w:customStyle="1" w:styleId="BodyTextChar">
    <w:name w:val="Body Text Char"/>
    <w:basedOn w:val="DefaultParagraphFont"/>
    <w:link w:val="BodyText"/>
    <w:rsid w:val="00841B1E"/>
    <w:rPr>
      <w:sz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318983">
      <w:bodyDiv w:val="1"/>
      <w:marLeft w:val="0"/>
      <w:marRight w:val="0"/>
      <w:marTop w:val="0"/>
      <w:marBottom w:val="0"/>
      <w:divBdr>
        <w:top w:val="none" w:sz="0" w:space="0" w:color="auto"/>
        <w:left w:val="none" w:sz="0" w:space="0" w:color="auto"/>
        <w:bottom w:val="none" w:sz="0" w:space="0" w:color="auto"/>
        <w:right w:val="none" w:sz="0" w:space="0" w:color="auto"/>
      </w:divBdr>
      <w:divsChild>
        <w:div w:id="6491024">
          <w:marLeft w:val="0"/>
          <w:marRight w:val="0"/>
          <w:marTop w:val="0"/>
          <w:marBottom w:val="0"/>
          <w:divBdr>
            <w:top w:val="none" w:sz="0" w:space="0" w:color="auto"/>
            <w:left w:val="none" w:sz="0" w:space="0" w:color="auto"/>
            <w:bottom w:val="none" w:sz="0" w:space="0" w:color="auto"/>
            <w:right w:val="none" w:sz="0" w:space="0" w:color="auto"/>
          </w:divBdr>
        </w:div>
        <w:div w:id="81530228">
          <w:marLeft w:val="0"/>
          <w:marRight w:val="0"/>
          <w:marTop w:val="0"/>
          <w:marBottom w:val="0"/>
          <w:divBdr>
            <w:top w:val="none" w:sz="0" w:space="0" w:color="auto"/>
            <w:left w:val="none" w:sz="0" w:space="0" w:color="auto"/>
            <w:bottom w:val="none" w:sz="0" w:space="0" w:color="auto"/>
            <w:right w:val="none" w:sz="0" w:space="0" w:color="auto"/>
          </w:divBdr>
        </w:div>
        <w:div w:id="168521849">
          <w:marLeft w:val="0"/>
          <w:marRight w:val="0"/>
          <w:marTop w:val="0"/>
          <w:marBottom w:val="0"/>
          <w:divBdr>
            <w:top w:val="none" w:sz="0" w:space="0" w:color="auto"/>
            <w:left w:val="none" w:sz="0" w:space="0" w:color="auto"/>
            <w:bottom w:val="none" w:sz="0" w:space="0" w:color="auto"/>
            <w:right w:val="none" w:sz="0" w:space="0" w:color="auto"/>
          </w:divBdr>
        </w:div>
        <w:div w:id="237520317">
          <w:marLeft w:val="0"/>
          <w:marRight w:val="0"/>
          <w:marTop w:val="0"/>
          <w:marBottom w:val="0"/>
          <w:divBdr>
            <w:top w:val="none" w:sz="0" w:space="0" w:color="auto"/>
            <w:left w:val="none" w:sz="0" w:space="0" w:color="auto"/>
            <w:bottom w:val="none" w:sz="0" w:space="0" w:color="auto"/>
            <w:right w:val="none" w:sz="0" w:space="0" w:color="auto"/>
          </w:divBdr>
        </w:div>
        <w:div w:id="514930055">
          <w:marLeft w:val="0"/>
          <w:marRight w:val="0"/>
          <w:marTop w:val="0"/>
          <w:marBottom w:val="0"/>
          <w:divBdr>
            <w:top w:val="none" w:sz="0" w:space="0" w:color="auto"/>
            <w:left w:val="none" w:sz="0" w:space="0" w:color="auto"/>
            <w:bottom w:val="none" w:sz="0" w:space="0" w:color="auto"/>
            <w:right w:val="none" w:sz="0" w:space="0" w:color="auto"/>
          </w:divBdr>
        </w:div>
      </w:divsChild>
    </w:div>
    <w:div w:id="1509322707">
      <w:bodyDiv w:val="1"/>
      <w:marLeft w:val="0"/>
      <w:marRight w:val="0"/>
      <w:marTop w:val="0"/>
      <w:marBottom w:val="0"/>
      <w:divBdr>
        <w:top w:val="none" w:sz="0" w:space="0" w:color="auto"/>
        <w:left w:val="none" w:sz="0" w:space="0" w:color="auto"/>
        <w:bottom w:val="none" w:sz="0" w:space="0" w:color="auto"/>
        <w:right w:val="none" w:sz="0" w:space="0" w:color="auto"/>
      </w:divBdr>
    </w:div>
    <w:div w:id="1786851393">
      <w:bodyDiv w:val="1"/>
      <w:marLeft w:val="0"/>
      <w:marRight w:val="0"/>
      <w:marTop w:val="0"/>
      <w:marBottom w:val="0"/>
      <w:divBdr>
        <w:top w:val="none" w:sz="0" w:space="0" w:color="auto"/>
        <w:left w:val="none" w:sz="0" w:space="0" w:color="auto"/>
        <w:bottom w:val="none" w:sz="0" w:space="0" w:color="auto"/>
        <w:right w:val="none" w:sz="0" w:space="0" w:color="auto"/>
      </w:divBdr>
    </w:div>
    <w:div w:id="2085489511">
      <w:bodyDiv w:val="1"/>
      <w:marLeft w:val="0"/>
      <w:marRight w:val="0"/>
      <w:marTop w:val="0"/>
      <w:marBottom w:val="0"/>
      <w:divBdr>
        <w:top w:val="none" w:sz="0" w:space="0" w:color="auto"/>
        <w:left w:val="none" w:sz="0" w:space="0" w:color="auto"/>
        <w:bottom w:val="none" w:sz="0" w:space="0" w:color="auto"/>
        <w:right w:val="none" w:sz="0" w:space="0" w:color="auto"/>
      </w:divBdr>
      <w:divsChild>
        <w:div w:id="419059061">
          <w:marLeft w:val="0"/>
          <w:marRight w:val="0"/>
          <w:marTop w:val="0"/>
          <w:marBottom w:val="0"/>
          <w:divBdr>
            <w:top w:val="none" w:sz="0" w:space="0" w:color="auto"/>
            <w:left w:val="none" w:sz="0" w:space="0" w:color="auto"/>
            <w:bottom w:val="none" w:sz="0" w:space="0" w:color="auto"/>
            <w:right w:val="none" w:sz="0" w:space="0" w:color="auto"/>
          </w:divBdr>
        </w:div>
        <w:div w:id="454757303">
          <w:marLeft w:val="0"/>
          <w:marRight w:val="0"/>
          <w:marTop w:val="0"/>
          <w:marBottom w:val="0"/>
          <w:divBdr>
            <w:top w:val="none" w:sz="0" w:space="0" w:color="auto"/>
            <w:left w:val="none" w:sz="0" w:space="0" w:color="auto"/>
            <w:bottom w:val="none" w:sz="0" w:space="0" w:color="auto"/>
            <w:right w:val="none" w:sz="0" w:space="0" w:color="auto"/>
          </w:divBdr>
        </w:div>
        <w:div w:id="990988733">
          <w:marLeft w:val="0"/>
          <w:marRight w:val="0"/>
          <w:marTop w:val="0"/>
          <w:marBottom w:val="0"/>
          <w:divBdr>
            <w:top w:val="none" w:sz="0" w:space="0" w:color="auto"/>
            <w:left w:val="none" w:sz="0" w:space="0" w:color="auto"/>
            <w:bottom w:val="none" w:sz="0" w:space="0" w:color="auto"/>
            <w:right w:val="none" w:sz="0" w:space="0" w:color="auto"/>
          </w:divBdr>
        </w:div>
        <w:div w:id="1101340327">
          <w:marLeft w:val="0"/>
          <w:marRight w:val="0"/>
          <w:marTop w:val="0"/>
          <w:marBottom w:val="0"/>
          <w:divBdr>
            <w:top w:val="none" w:sz="0" w:space="0" w:color="auto"/>
            <w:left w:val="none" w:sz="0" w:space="0" w:color="auto"/>
            <w:bottom w:val="none" w:sz="0" w:space="0" w:color="auto"/>
            <w:right w:val="none" w:sz="0" w:space="0" w:color="auto"/>
          </w:divBdr>
        </w:div>
        <w:div w:id="1151604622">
          <w:marLeft w:val="0"/>
          <w:marRight w:val="0"/>
          <w:marTop w:val="0"/>
          <w:marBottom w:val="0"/>
          <w:divBdr>
            <w:top w:val="none" w:sz="0" w:space="0" w:color="auto"/>
            <w:left w:val="none" w:sz="0" w:space="0" w:color="auto"/>
            <w:bottom w:val="none" w:sz="0" w:space="0" w:color="auto"/>
            <w:right w:val="none" w:sz="0" w:space="0" w:color="auto"/>
          </w:divBdr>
        </w:div>
        <w:div w:id="1641497772">
          <w:marLeft w:val="0"/>
          <w:marRight w:val="0"/>
          <w:marTop w:val="0"/>
          <w:marBottom w:val="0"/>
          <w:divBdr>
            <w:top w:val="none" w:sz="0" w:space="0" w:color="auto"/>
            <w:left w:val="none" w:sz="0" w:space="0" w:color="auto"/>
            <w:bottom w:val="none" w:sz="0" w:space="0" w:color="auto"/>
            <w:right w:val="none" w:sz="0" w:space="0" w:color="auto"/>
          </w:divBdr>
        </w:div>
        <w:div w:id="1776755414">
          <w:marLeft w:val="0"/>
          <w:marRight w:val="0"/>
          <w:marTop w:val="0"/>
          <w:marBottom w:val="0"/>
          <w:divBdr>
            <w:top w:val="none" w:sz="0" w:space="0" w:color="auto"/>
            <w:left w:val="none" w:sz="0" w:space="0" w:color="auto"/>
            <w:bottom w:val="none" w:sz="0" w:space="0" w:color="auto"/>
            <w:right w:val="none" w:sz="0" w:space="0" w:color="auto"/>
          </w:divBdr>
        </w:div>
        <w:div w:id="1863082267">
          <w:marLeft w:val="0"/>
          <w:marRight w:val="0"/>
          <w:marTop w:val="0"/>
          <w:marBottom w:val="0"/>
          <w:divBdr>
            <w:top w:val="none" w:sz="0" w:space="0" w:color="auto"/>
            <w:left w:val="none" w:sz="0" w:space="0" w:color="auto"/>
            <w:bottom w:val="none" w:sz="0" w:space="0" w:color="auto"/>
            <w:right w:val="none" w:sz="0" w:space="0" w:color="auto"/>
          </w:divBdr>
        </w:div>
        <w:div w:id="2056349298">
          <w:marLeft w:val="0"/>
          <w:marRight w:val="0"/>
          <w:marTop w:val="0"/>
          <w:marBottom w:val="0"/>
          <w:divBdr>
            <w:top w:val="none" w:sz="0" w:space="0" w:color="auto"/>
            <w:left w:val="none" w:sz="0" w:space="0" w:color="auto"/>
            <w:bottom w:val="none" w:sz="0" w:space="0" w:color="auto"/>
            <w:right w:val="none" w:sz="0" w:space="0" w:color="auto"/>
          </w:divBdr>
        </w:div>
        <w:div w:id="2056850302">
          <w:marLeft w:val="0"/>
          <w:marRight w:val="0"/>
          <w:marTop w:val="0"/>
          <w:marBottom w:val="0"/>
          <w:divBdr>
            <w:top w:val="none" w:sz="0" w:space="0" w:color="auto"/>
            <w:left w:val="none" w:sz="0" w:space="0" w:color="auto"/>
            <w:bottom w:val="none" w:sz="0" w:space="0" w:color="auto"/>
            <w:right w:val="none" w:sz="0" w:space="0" w:color="auto"/>
          </w:divBdr>
        </w:div>
        <w:div w:id="2067027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8.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john\AUSTRALIAN%20ACCOUNTING%20STANDARDS%20-%20AUDITING%20AND%20ASSURANCE%20STANDARDS%20BOARD\OfficeTemplates%20-%20Documents\Templates\AmendingIF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35507A6-45BA-45DA-8110-C1D6D3AC1750}"/>
      </w:docPartPr>
      <w:docPartBody>
        <w:p w:rsidR="00320689" w:rsidRDefault="00E37996">
          <w:r w:rsidRPr="00A214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996"/>
    <w:rsid w:val="002910F9"/>
    <w:rsid w:val="00320689"/>
    <w:rsid w:val="003A41C1"/>
    <w:rsid w:val="005140A0"/>
    <w:rsid w:val="007B746D"/>
    <w:rsid w:val="00A21509"/>
    <w:rsid w:val="00B41CA7"/>
    <w:rsid w:val="00B6334B"/>
    <w:rsid w:val="00BC650B"/>
    <w:rsid w:val="00BD4400"/>
    <w:rsid w:val="00E37996"/>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99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2" ma:contentTypeDescription="Create a new document." ma:contentTypeScope="" ma:versionID="1af8892b87a24bd1894bfe8ab8be90cd">
  <xsd:schema xmlns:xsd="http://www.w3.org/2001/XMLSchema" xmlns:xs="http://www.w3.org/2001/XMLSchema" xmlns:p="http://schemas.microsoft.com/office/2006/metadata/properties" xmlns:ns2="4e2d1ddd-4ff2-4144-ad72-d941cc701c35" targetNamespace="http://schemas.microsoft.com/office/2006/metadata/properties" ma:root="true" ma:fieldsID="2885e049d223e860e3d7cee3cf39b381" ns2:_="">
    <xsd:import namespace="4e2d1ddd-4ff2-4144-ad72-d941cc701c3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6DEA3F-A32E-4C68-BDEC-601352BEA69E}">
  <ds:schemaRefs>
    <ds:schemaRef ds:uri="http://schemas.openxmlformats.org/officeDocument/2006/bibliography"/>
  </ds:schemaRefs>
</ds:datastoreItem>
</file>

<file path=customXml/itemProps2.xml><?xml version="1.0" encoding="utf-8"?>
<ds:datastoreItem xmlns:ds="http://schemas.openxmlformats.org/officeDocument/2006/customXml" ds:itemID="{30DE2E35-0955-47ED-B855-2960DFA819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2d1ddd-4ff2-4144-ad72-d941cc701c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F821C3-00EA-46A5-8D5F-F5FD412169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660860-9CE2-4828-8B89-E5C48DFB63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AmendingIFRS.dotx</Template>
  <TotalTime>1488</TotalTime>
  <Pages>7</Pages>
  <Words>1720</Words>
  <Characters>9807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AASB 2023-1 Supplier Finance Arrangements</vt:lpstr>
    </vt:vector>
  </TitlesOfParts>
  <Company>Australian Accounting Standards Board</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AASB 2023-1 (6/23)</dc:title>
  <dc:subject/>
  <dc:creator>.</dc:creator>
  <cp:keywords/>
  <cp:lastModifiedBy>Kathleen John</cp:lastModifiedBy>
  <cp:revision>192</cp:revision>
  <cp:lastPrinted>2023-06-29T00:25:00Z</cp:lastPrinted>
  <dcterms:created xsi:type="dcterms:W3CDTF">2023-06-02T21:32:00Z</dcterms:created>
  <dcterms:modified xsi:type="dcterms:W3CDTF">2023-06-29T00:25:00Z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y fmtid="{D5CDD505-2E9C-101B-9397-08002B2CF9AE}" pid="3" name="GrammarlyDocumentId">
    <vt:lpwstr>89920f0c23e009ef49624cf200598f6bf68c5fb925ca5609212baf254d5bae26</vt:lpwstr>
  </property>
  <property fmtid="{D5CDD505-2E9C-101B-9397-08002B2CF9AE}" pid="4" name="SecurityClassification">
    <vt:lpwstr>Official</vt:lpwstr>
  </property>
</Properties>
</file>