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CFB7F2B" w14:textId="31642A46"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704857">
        <w:rPr>
          <w:rFonts w:ascii="Times New Roman" w:hAnsi="Times New Roman" w:cs="Times New Roman"/>
          <w:sz w:val="24"/>
          <w:szCs w:val="24"/>
          <w:u w:val="single"/>
        </w:rPr>
        <w:t xml:space="preserve">Minister for Resources </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4376E85" w14:textId="6AB68436" w:rsidR="00704857" w:rsidRPr="00704857" w:rsidRDefault="00704857" w:rsidP="00704857">
      <w:pPr>
        <w:pStyle w:val="Heading5"/>
        <w:spacing w:before="0" w:after="120" w:line="240" w:lineRule="auto"/>
        <w:jc w:val="center"/>
        <w:rPr>
          <w:rFonts w:ascii="Times New Roman" w:eastAsiaTheme="minorHAnsi" w:hAnsi="Times New Roman" w:cs="Times New Roman"/>
          <w:i/>
          <w:color w:val="auto"/>
          <w:sz w:val="24"/>
          <w:szCs w:val="24"/>
        </w:rPr>
      </w:pPr>
      <w:r w:rsidRPr="00704857">
        <w:rPr>
          <w:rFonts w:ascii="Times New Roman" w:eastAsiaTheme="minorHAnsi" w:hAnsi="Times New Roman" w:cs="Times New Roman"/>
          <w:i/>
          <w:color w:val="auto"/>
          <w:sz w:val="24"/>
          <w:szCs w:val="24"/>
        </w:rPr>
        <w:t>Industry Research and Development (Resources Sector Methane Abatement Technology Development</w:t>
      </w:r>
      <w:r w:rsidR="00C937FA">
        <w:rPr>
          <w:rFonts w:ascii="Times New Roman" w:eastAsiaTheme="minorHAnsi" w:hAnsi="Times New Roman" w:cs="Times New Roman"/>
          <w:i/>
          <w:color w:val="auto"/>
          <w:sz w:val="24"/>
          <w:szCs w:val="24"/>
        </w:rPr>
        <w:t xml:space="preserve"> Program</w:t>
      </w:r>
      <w:r w:rsidRPr="00704857">
        <w:rPr>
          <w:rFonts w:ascii="Times New Roman" w:eastAsiaTheme="minorHAnsi" w:hAnsi="Times New Roman" w:cs="Times New Roman"/>
          <w:i/>
          <w:color w:val="auto"/>
          <w:sz w:val="24"/>
          <w:szCs w:val="24"/>
        </w:rPr>
        <w:t>) Instrument 202</w:t>
      </w:r>
      <w:r w:rsidR="00CA796B">
        <w:rPr>
          <w:rFonts w:ascii="Times New Roman" w:eastAsiaTheme="minorHAnsi" w:hAnsi="Times New Roman" w:cs="Times New Roman"/>
          <w:i/>
          <w:color w:val="auto"/>
          <w:sz w:val="24"/>
          <w:szCs w:val="24"/>
        </w:rPr>
        <w:t>3</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0CF2F081"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C352BF">
        <w:rPr>
          <w:rFonts w:ascii="Times New Roman" w:hAnsi="Times New Roman" w:cs="Times New Roman"/>
          <w:sz w:val="24"/>
          <w:szCs w:val="24"/>
        </w:rPr>
        <w:t>-</w:t>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6917CEA8" w14:textId="049718F9" w:rsidR="00704857" w:rsidRDefault="00704857"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704857">
        <w:rPr>
          <w:rFonts w:ascii="Times New Roman" w:hAnsi="Times New Roman" w:cs="Times New Roman"/>
          <w:i/>
          <w:sz w:val="24"/>
          <w:szCs w:val="24"/>
        </w:rPr>
        <w:t xml:space="preserve">Industry Research and Development (Resources Sector Methane Abatement Technology Development) </w:t>
      </w:r>
      <w:r w:rsidRPr="00DF50EE">
        <w:rPr>
          <w:rFonts w:ascii="Times New Roman" w:hAnsi="Times New Roman" w:cs="Times New Roman"/>
          <w:i/>
          <w:sz w:val="24"/>
          <w:szCs w:val="24"/>
        </w:rPr>
        <w:t>Instrument 202</w:t>
      </w:r>
      <w:r w:rsidR="00C937FA">
        <w:rPr>
          <w:rFonts w:ascii="Times New Roman" w:hAnsi="Times New Roman" w:cs="Times New Roman"/>
          <w:i/>
          <w:sz w:val="24"/>
          <w:szCs w:val="24"/>
        </w:rPr>
        <w:t>3</w:t>
      </w:r>
      <w:r w:rsidR="003B3B5B" w:rsidRPr="00DF50EE">
        <w:rPr>
          <w:rFonts w:ascii="Times New Roman" w:hAnsi="Times New Roman" w:cs="Times New Roman"/>
          <w:sz w:val="24"/>
          <w:szCs w:val="24"/>
        </w:rPr>
        <w:t xml:space="preserve"> (the Legislative Instrument) is to prescribe the </w:t>
      </w:r>
      <w:r w:rsidRPr="0039233E">
        <w:rPr>
          <w:rFonts w:ascii="Times New Roman" w:hAnsi="Times New Roman" w:cs="Times New Roman"/>
          <w:i/>
          <w:sz w:val="24"/>
          <w:szCs w:val="24"/>
        </w:rPr>
        <w:t>Resources Sector Methane Abatement Technology Development</w:t>
      </w:r>
      <w:r w:rsidR="0039233E" w:rsidRPr="0039233E">
        <w:rPr>
          <w:rFonts w:ascii="Times New Roman" w:hAnsi="Times New Roman" w:cs="Times New Roman"/>
          <w:i/>
          <w:sz w:val="24"/>
          <w:szCs w:val="24"/>
        </w:rPr>
        <w:t xml:space="preserve"> Program</w:t>
      </w:r>
      <w:r w:rsidR="003B3B5B" w:rsidRPr="00DF50EE">
        <w:rPr>
          <w:rFonts w:ascii="Times New Roman" w:hAnsi="Times New Roman" w:cs="Times New Roman"/>
          <w:sz w:val="24"/>
          <w:szCs w:val="24"/>
        </w:rPr>
        <w:t xml:space="preserve"> (the</w:t>
      </w:r>
      <w:r w:rsidR="00CA796B">
        <w:rPr>
          <w:rFonts w:ascii="Times New Roman" w:hAnsi="Times New Roman" w:cs="Times New Roman"/>
          <w:sz w:val="24"/>
          <w:szCs w:val="24"/>
        </w:rPr>
        <w:t> </w:t>
      </w:r>
      <w:r w:rsidR="003B3B5B" w:rsidRPr="00DF50EE">
        <w:rPr>
          <w:rFonts w:ascii="Times New Roman" w:hAnsi="Times New Roman" w:cs="Times New Roman"/>
          <w:sz w:val="24"/>
          <w:szCs w:val="24"/>
        </w:rPr>
        <w:t>Program). The funding for the Pr</w:t>
      </w:r>
      <w:r w:rsidRPr="00DF50EE">
        <w:rPr>
          <w:rFonts w:ascii="Times New Roman" w:hAnsi="Times New Roman" w:cs="Times New Roman"/>
          <w:sz w:val="24"/>
          <w:szCs w:val="24"/>
        </w:rPr>
        <w:t xml:space="preserve">ogram has been secured through </w:t>
      </w:r>
      <w:r w:rsidR="003B3B5B" w:rsidRPr="00DF50EE">
        <w:rPr>
          <w:rFonts w:ascii="Times New Roman" w:hAnsi="Times New Roman" w:cs="Times New Roman"/>
          <w:sz w:val="24"/>
          <w:szCs w:val="24"/>
        </w:rPr>
        <w:t>the Department of Industry, Science</w:t>
      </w:r>
      <w:r w:rsidR="00C410EA" w:rsidRPr="00DF50EE">
        <w:rPr>
          <w:rFonts w:ascii="Times New Roman" w:hAnsi="Times New Roman" w:cs="Times New Roman"/>
          <w:sz w:val="24"/>
          <w:szCs w:val="24"/>
        </w:rPr>
        <w:t xml:space="preserve"> and Resources</w:t>
      </w:r>
      <w:r w:rsidRPr="00DF50EE">
        <w:rPr>
          <w:rFonts w:ascii="Times New Roman" w:hAnsi="Times New Roman" w:cs="Times New Roman"/>
          <w:sz w:val="24"/>
          <w:szCs w:val="24"/>
        </w:rPr>
        <w:t xml:space="preserve"> </w:t>
      </w:r>
      <w:r w:rsidR="00C937FA">
        <w:rPr>
          <w:rFonts w:ascii="Times New Roman" w:hAnsi="Times New Roman" w:cs="Times New Roman"/>
          <w:sz w:val="24"/>
          <w:szCs w:val="24"/>
        </w:rPr>
        <w:t xml:space="preserve">(the Department) </w:t>
      </w:r>
      <w:r w:rsidRPr="00DF50EE">
        <w:rPr>
          <w:rFonts w:ascii="Times New Roman" w:hAnsi="Times New Roman" w:cs="Times New Roman"/>
          <w:sz w:val="24"/>
          <w:szCs w:val="24"/>
        </w:rPr>
        <w:t>2022-2023</w:t>
      </w:r>
      <w:r w:rsidR="003B3B5B" w:rsidRPr="00DF50EE">
        <w:rPr>
          <w:rFonts w:ascii="Times New Roman" w:hAnsi="Times New Roman" w:cs="Times New Roman"/>
          <w:sz w:val="24"/>
          <w:szCs w:val="24"/>
        </w:rPr>
        <w:t xml:space="preserve"> Budget. The Program provides $</w:t>
      </w:r>
      <w:r w:rsidRPr="00DF50EE">
        <w:rPr>
          <w:rFonts w:ascii="Times New Roman" w:hAnsi="Times New Roman" w:cs="Times New Roman"/>
          <w:sz w:val="24"/>
          <w:szCs w:val="24"/>
        </w:rPr>
        <w:t>10 million</w:t>
      </w:r>
      <w:r w:rsidR="003B3B5B" w:rsidRPr="00DF50EE">
        <w:rPr>
          <w:rFonts w:ascii="Times New Roman" w:hAnsi="Times New Roman" w:cs="Times New Roman"/>
          <w:sz w:val="24"/>
          <w:szCs w:val="24"/>
        </w:rPr>
        <w:t xml:space="preserve"> as part of the</w:t>
      </w:r>
      <w:r w:rsidR="003B3B5B">
        <w:rPr>
          <w:rFonts w:ascii="Times New Roman" w:hAnsi="Times New Roman" w:cs="Times New Roman"/>
          <w:sz w:val="24"/>
          <w:szCs w:val="24"/>
        </w:rPr>
        <w:t xml:space="preserve"> Australian Government’s commitment to </w:t>
      </w:r>
      <w:r>
        <w:rPr>
          <w:rFonts w:ascii="Times New Roman" w:hAnsi="Times New Roman" w:cs="Times New Roman"/>
          <w:sz w:val="24"/>
          <w:szCs w:val="24"/>
        </w:rPr>
        <w:t>reducing methane emissions from the resources sector</w:t>
      </w:r>
      <w:r w:rsidR="003B3B5B">
        <w:rPr>
          <w:rFonts w:ascii="Times New Roman" w:hAnsi="Times New Roman" w:cs="Times New Roman"/>
          <w:sz w:val="24"/>
          <w:szCs w:val="24"/>
        </w:rPr>
        <w:t xml:space="preserve">. </w:t>
      </w:r>
    </w:p>
    <w:p w14:paraId="6CFB7F33" w14:textId="33A5CC58" w:rsidR="003B3B5B" w:rsidRDefault="00704857"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fund eligible </w:t>
      </w:r>
      <w:r w:rsidR="00311AF7">
        <w:rPr>
          <w:rFonts w:ascii="Times New Roman" w:hAnsi="Times New Roman" w:cs="Times New Roman"/>
          <w:sz w:val="24"/>
          <w:szCs w:val="24"/>
        </w:rPr>
        <w:t xml:space="preserve">projects </w:t>
      </w:r>
      <w:r>
        <w:rPr>
          <w:rFonts w:ascii="Times New Roman" w:hAnsi="Times New Roman" w:cs="Times New Roman"/>
          <w:sz w:val="24"/>
          <w:szCs w:val="24"/>
        </w:rPr>
        <w:t xml:space="preserve">to advance the maturity of methane abatement technologies for use in the resources sector. </w:t>
      </w:r>
      <w:r w:rsidR="006A1AEF">
        <w:rPr>
          <w:rFonts w:ascii="Times New Roman" w:hAnsi="Times New Roman" w:cs="Times New Roman"/>
          <w:sz w:val="24"/>
          <w:szCs w:val="24"/>
        </w:rPr>
        <w:t xml:space="preserve">This includes enabling technologies, such as those that support methane safety and utilisation. </w:t>
      </w:r>
      <w:r>
        <w:rPr>
          <w:rFonts w:ascii="Times New Roman" w:hAnsi="Times New Roman" w:cs="Times New Roman"/>
          <w:sz w:val="24"/>
          <w:szCs w:val="24"/>
        </w:rPr>
        <w:t>This research will accelerate the commercialisation and deployment</w:t>
      </w:r>
      <w:r w:rsidR="00AB53E7">
        <w:rPr>
          <w:rFonts w:ascii="Times New Roman" w:hAnsi="Times New Roman" w:cs="Times New Roman"/>
          <w:sz w:val="24"/>
          <w:szCs w:val="24"/>
        </w:rPr>
        <w:t xml:space="preserve"> of key technologies</w:t>
      </w:r>
      <w:r>
        <w:rPr>
          <w:rFonts w:ascii="Times New Roman" w:hAnsi="Times New Roman" w:cs="Times New Roman"/>
          <w:sz w:val="24"/>
          <w:szCs w:val="24"/>
        </w:rPr>
        <w:t xml:space="preserve">. Ultimately, the </w:t>
      </w:r>
      <w:r w:rsidR="0092134B">
        <w:rPr>
          <w:rFonts w:ascii="Times New Roman" w:hAnsi="Times New Roman" w:cs="Times New Roman"/>
          <w:sz w:val="24"/>
          <w:szCs w:val="24"/>
        </w:rPr>
        <w:t>P</w:t>
      </w:r>
      <w:r>
        <w:rPr>
          <w:rFonts w:ascii="Times New Roman" w:hAnsi="Times New Roman" w:cs="Times New Roman"/>
          <w:sz w:val="24"/>
          <w:szCs w:val="24"/>
        </w:rPr>
        <w:t xml:space="preserve">rogram seeks to reduce greenhouse </w:t>
      </w:r>
      <w:r w:rsidR="00311AF7">
        <w:rPr>
          <w:rFonts w:ascii="Times New Roman" w:hAnsi="Times New Roman" w:cs="Times New Roman"/>
          <w:sz w:val="24"/>
          <w:szCs w:val="24"/>
        </w:rPr>
        <w:t xml:space="preserve">gas </w:t>
      </w:r>
      <w:r>
        <w:rPr>
          <w:rFonts w:ascii="Times New Roman" w:hAnsi="Times New Roman" w:cs="Times New Roman"/>
          <w:sz w:val="24"/>
          <w:szCs w:val="24"/>
        </w:rPr>
        <w:t>emissions to support Australia’s emissions reduction targets and climate agenda.</w:t>
      </w:r>
    </w:p>
    <w:p w14:paraId="6CFB7F34" w14:textId="3648AD03"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Fund</w:t>
      </w:r>
      <w:r w:rsidR="00DF50EE">
        <w:rPr>
          <w:rFonts w:ascii="Times New Roman" w:hAnsi="Times New Roman" w:cs="Times New Roman"/>
          <w:sz w:val="24"/>
          <w:szCs w:val="24"/>
        </w:rPr>
        <w:t xml:space="preserve">ing is available to successful </w:t>
      </w:r>
      <w:r w:rsidR="00704857">
        <w:rPr>
          <w:rFonts w:ascii="Times New Roman" w:hAnsi="Times New Roman" w:cs="Times New Roman"/>
          <w:sz w:val="24"/>
          <w:szCs w:val="24"/>
        </w:rPr>
        <w:t xml:space="preserve">universities, </w:t>
      </w:r>
      <w:proofErr w:type="gramStart"/>
      <w:r w:rsidR="00704857">
        <w:rPr>
          <w:rFonts w:ascii="Times New Roman" w:hAnsi="Times New Roman" w:cs="Times New Roman"/>
          <w:sz w:val="24"/>
          <w:szCs w:val="24"/>
        </w:rPr>
        <w:t>publicly-funded</w:t>
      </w:r>
      <w:proofErr w:type="gramEnd"/>
      <w:r w:rsidR="00704857">
        <w:rPr>
          <w:rFonts w:ascii="Times New Roman" w:hAnsi="Times New Roman" w:cs="Times New Roman"/>
          <w:sz w:val="24"/>
          <w:szCs w:val="24"/>
        </w:rPr>
        <w:t xml:space="preserve"> research organisations and non-profit research organisations</w:t>
      </w:r>
      <w:r w:rsidRPr="00152E85">
        <w:rPr>
          <w:rFonts w:ascii="Times New Roman" w:hAnsi="Times New Roman" w:cs="Times New Roman"/>
          <w:sz w:val="24"/>
          <w:szCs w:val="24"/>
        </w:rPr>
        <w:t xml:space="preserve"> to undertake eligible projects to </w:t>
      </w:r>
      <w:r w:rsidR="00DF50EE">
        <w:rPr>
          <w:rFonts w:ascii="Times New Roman" w:hAnsi="Times New Roman" w:cs="Times New Roman"/>
          <w:sz w:val="24"/>
          <w:szCs w:val="24"/>
        </w:rPr>
        <w:t xml:space="preserve">increase the technology readiness level of target methane abatement technologies for the resource sector. </w:t>
      </w:r>
    </w:p>
    <w:p w14:paraId="6CFB7F35" w14:textId="4BDC8E1D"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Funding authorised by this Legislative</w:t>
      </w:r>
      <w:r w:rsidR="00272643">
        <w:rPr>
          <w:rFonts w:ascii="Times New Roman" w:hAnsi="Times New Roman" w:cs="Times New Roman"/>
          <w:sz w:val="24"/>
          <w:szCs w:val="24"/>
        </w:rPr>
        <w:t xml:space="preserve"> Instrument comes from Program 1.3: Supporting a Strong Resources Sector, Outcome 1</w:t>
      </w:r>
      <w:r w:rsidR="00283BDB">
        <w:rPr>
          <w:rFonts w:ascii="Times New Roman" w:hAnsi="Times New Roman" w:cs="Times New Roman"/>
          <w:sz w:val="24"/>
          <w:szCs w:val="24"/>
        </w:rPr>
        <w:t xml:space="preserve">, as set out in the </w:t>
      </w:r>
      <w:r w:rsidR="00272643">
        <w:rPr>
          <w:rFonts w:ascii="Times New Roman" w:hAnsi="Times New Roman" w:cs="Times New Roman"/>
          <w:i/>
          <w:sz w:val="24"/>
          <w:szCs w:val="24"/>
        </w:rPr>
        <w:t>Portfolio Budget Statements 2022-23</w:t>
      </w:r>
      <w:r w:rsidR="00283BDB">
        <w:rPr>
          <w:rFonts w:ascii="Times New Roman" w:hAnsi="Times New Roman" w:cs="Times New Roman"/>
          <w:i/>
          <w:sz w:val="24"/>
          <w:szCs w:val="24"/>
        </w:rPr>
        <w:t>, Budget Relate</w:t>
      </w:r>
      <w:r w:rsidR="00272643">
        <w:rPr>
          <w:rFonts w:ascii="Times New Roman" w:hAnsi="Times New Roman" w:cs="Times New Roman"/>
          <w:i/>
          <w:sz w:val="24"/>
          <w:szCs w:val="24"/>
        </w:rPr>
        <w:t>d Paper No. 1.11</w:t>
      </w:r>
      <w:r w:rsidR="00283BDB">
        <w:rPr>
          <w:rFonts w:ascii="Times New Roman" w:hAnsi="Times New Roman" w:cs="Times New Roman"/>
          <w:i/>
          <w:sz w:val="24"/>
          <w:szCs w:val="24"/>
        </w:rPr>
        <w:t>, Industry, Science</w:t>
      </w:r>
      <w:r w:rsidR="00C410EA">
        <w:rPr>
          <w:rFonts w:ascii="Times New Roman" w:hAnsi="Times New Roman" w:cs="Times New Roman"/>
          <w:i/>
          <w:sz w:val="24"/>
          <w:szCs w:val="24"/>
        </w:rPr>
        <w:t xml:space="preserve"> and Resources</w:t>
      </w:r>
      <w:r w:rsidR="00272643">
        <w:rPr>
          <w:rFonts w:ascii="Times New Roman" w:hAnsi="Times New Roman" w:cs="Times New Roman"/>
          <w:i/>
          <w:sz w:val="24"/>
          <w:szCs w:val="24"/>
        </w:rPr>
        <w:t xml:space="preserve"> Portfolio </w:t>
      </w:r>
      <w:r w:rsidR="00272643" w:rsidRPr="00761CE9">
        <w:rPr>
          <w:rFonts w:ascii="Times New Roman" w:hAnsi="Times New Roman" w:cs="Times New Roman"/>
          <w:sz w:val="24"/>
          <w:szCs w:val="24"/>
        </w:rPr>
        <w:t>(</w:t>
      </w:r>
      <w:hyperlink r:id="rId13" w:history="1">
        <w:r w:rsidR="00272643" w:rsidRPr="00761CE9">
          <w:rPr>
            <w:rStyle w:val="Hyperlink"/>
            <w:rFonts w:ascii="Times New Roman" w:hAnsi="Times New Roman" w:cs="Times New Roman"/>
            <w:sz w:val="24"/>
            <w:szCs w:val="24"/>
          </w:rPr>
          <w:t>https://www.industry.gov.au/sites/default/files/2022-10/October_2022-23_Industry%2C%20Science%20and%20Resources_PBS.pdf</w:t>
        </w:r>
      </w:hyperlink>
      <w:r w:rsidR="00283BDB" w:rsidRPr="00761CE9">
        <w:rPr>
          <w:rFonts w:ascii="Times New Roman" w:hAnsi="Times New Roman" w:cs="Times New Roman"/>
          <w:sz w:val="24"/>
          <w:szCs w:val="24"/>
        </w:rPr>
        <w:t>)</w:t>
      </w:r>
      <w:r w:rsidR="00283BDB">
        <w:rPr>
          <w:rFonts w:ascii="Times New Roman" w:hAnsi="Times New Roman" w:cs="Times New Roman"/>
          <w:i/>
          <w:sz w:val="24"/>
          <w:szCs w:val="24"/>
        </w:rPr>
        <w:t xml:space="preserve"> </w:t>
      </w:r>
      <w:r w:rsidR="00272643">
        <w:rPr>
          <w:rFonts w:ascii="Times New Roman" w:hAnsi="Times New Roman" w:cs="Times New Roman"/>
          <w:sz w:val="24"/>
          <w:szCs w:val="24"/>
        </w:rPr>
        <w:t>at page 41</w:t>
      </w:r>
      <w:r w:rsidR="00283BDB" w:rsidRPr="00283BDB">
        <w:rPr>
          <w:rFonts w:ascii="Times New Roman" w:hAnsi="Times New Roman" w:cs="Times New Roman"/>
          <w:sz w:val="24"/>
          <w:szCs w:val="24"/>
        </w:rPr>
        <w:t>.</w:t>
      </w:r>
    </w:p>
    <w:p w14:paraId="6CFB7F37" w14:textId="5F014526"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Pr>
          <w:rFonts w:ascii="Times New Roman" w:hAnsi="Times New Roman" w:cs="Times New Roman"/>
          <w:sz w:val="24"/>
          <w:szCs w:val="24"/>
        </w:rPr>
        <w:t xml:space="preserve">delivered </w:t>
      </w:r>
      <w:r w:rsidR="00DF50EE">
        <w:rPr>
          <w:rFonts w:ascii="Times New Roman" w:hAnsi="Times New Roman" w:cs="Times New Roman"/>
          <w:sz w:val="24"/>
          <w:szCs w:val="24"/>
        </w:rPr>
        <w:t xml:space="preserve">by </w:t>
      </w:r>
      <w:r w:rsidR="00745D4E" w:rsidRPr="00DF50EE">
        <w:rPr>
          <w:rFonts w:ascii="Times New Roman" w:hAnsi="Times New Roman" w:cs="Times New Roman"/>
          <w:sz w:val="24"/>
          <w:szCs w:val="24"/>
        </w:rPr>
        <w:t>AusInd</w:t>
      </w:r>
      <w:r w:rsidR="00C352BF">
        <w:rPr>
          <w:rFonts w:ascii="Times New Roman" w:hAnsi="Times New Roman" w:cs="Times New Roman"/>
          <w:sz w:val="24"/>
          <w:szCs w:val="24"/>
        </w:rPr>
        <w:t>u</w:t>
      </w:r>
      <w:r w:rsidR="00745D4E" w:rsidRPr="00DF50EE">
        <w:rPr>
          <w:rFonts w:ascii="Times New Roman" w:hAnsi="Times New Roman" w:cs="Times New Roman"/>
          <w:sz w:val="24"/>
          <w:szCs w:val="24"/>
        </w:rPr>
        <w:t>stry</w:t>
      </w:r>
      <w:r w:rsidRPr="00DF50EE">
        <w:rPr>
          <w:rFonts w:ascii="Times New Roman" w:hAnsi="Times New Roman" w:cs="Times New Roman"/>
          <w:sz w:val="24"/>
          <w:szCs w:val="24"/>
        </w:rPr>
        <w:t xml:space="preserve">, which is a specialised design, </w:t>
      </w:r>
      <w:proofErr w:type="gramStart"/>
      <w:r w:rsidRPr="00DF50EE">
        <w:rPr>
          <w:rFonts w:ascii="Times New Roman" w:hAnsi="Times New Roman" w:cs="Times New Roman"/>
          <w:sz w:val="24"/>
          <w:szCs w:val="24"/>
        </w:rPr>
        <w:t>management</w:t>
      </w:r>
      <w:proofErr w:type="gramEnd"/>
      <w:r w:rsidRPr="00DF50EE">
        <w:rPr>
          <w:rFonts w:ascii="Times New Roman" w:hAnsi="Times New Roman" w:cs="Times New Roman"/>
          <w:sz w:val="24"/>
          <w:szCs w:val="24"/>
        </w:rPr>
        <w:t xml:space="preserve"> and delivery body </w:t>
      </w:r>
      <w:r w:rsidR="00745D4E" w:rsidRPr="00DF50EE">
        <w:rPr>
          <w:rFonts w:ascii="Times New Roman" w:hAnsi="Times New Roman" w:cs="Times New Roman"/>
          <w:sz w:val="24"/>
          <w:szCs w:val="24"/>
        </w:rPr>
        <w:t xml:space="preserve">within </w:t>
      </w:r>
      <w:r w:rsidR="00DF50EE" w:rsidRPr="00DF50EE">
        <w:rPr>
          <w:rFonts w:ascii="Times New Roman" w:hAnsi="Times New Roman" w:cs="Times New Roman"/>
          <w:sz w:val="24"/>
          <w:szCs w:val="24"/>
        </w:rPr>
        <w:t>the Department</w:t>
      </w:r>
      <w:r w:rsidR="00A548EE" w:rsidRPr="00DF50EE">
        <w:rPr>
          <w:rFonts w:ascii="Times New Roman" w:hAnsi="Times New Roman" w:cs="Times New Roman"/>
          <w:sz w:val="24"/>
          <w:szCs w:val="24"/>
        </w:rPr>
        <w:t xml:space="preserve"> </w:t>
      </w:r>
      <w:r w:rsidRPr="00DF50EE">
        <w:rPr>
          <w:rFonts w:ascii="Times New Roman" w:hAnsi="Times New Roman" w:cs="Times New Roman"/>
          <w:sz w:val="24"/>
          <w:szCs w:val="24"/>
        </w:rPr>
        <w:t>with extensive expertise and capability in delivering similar programs</w:t>
      </w:r>
      <w:r w:rsidR="00DF50EE" w:rsidRPr="00DF50EE">
        <w:rPr>
          <w:rFonts w:ascii="Times New Roman" w:hAnsi="Times New Roman" w:cs="Times New Roman"/>
          <w:sz w:val="24"/>
          <w:szCs w:val="24"/>
        </w:rPr>
        <w:t>.</w:t>
      </w:r>
      <w:r w:rsidRPr="00DF50EE">
        <w:rPr>
          <w:rFonts w:ascii="Times New Roman" w:hAnsi="Times New Roman" w:cs="Times New Roman"/>
          <w:sz w:val="24"/>
          <w:szCs w:val="24"/>
        </w:rPr>
        <w:t xml:space="preserve"> </w:t>
      </w:r>
    </w:p>
    <w:p w14:paraId="04248D79" w14:textId="2D89DD0E" w:rsidR="007D0BEA" w:rsidRDefault="00DF50EE" w:rsidP="007D0BEA">
      <w:pPr>
        <w:spacing w:before="240" w:after="240"/>
        <w:rPr>
          <w:rStyle w:val="ui-provider"/>
        </w:rPr>
      </w:pPr>
      <w:r>
        <w:rPr>
          <w:rFonts w:ascii="Times New Roman" w:hAnsi="Times New Roman" w:cs="Times New Roman"/>
          <w:sz w:val="24"/>
          <w:szCs w:val="24"/>
        </w:rPr>
        <w:t xml:space="preserve">The Program is a </w:t>
      </w:r>
      <w:r w:rsidR="00283BDB" w:rsidRPr="00DF50EE">
        <w:rPr>
          <w:rFonts w:ascii="Times New Roman" w:hAnsi="Times New Roman" w:cs="Times New Roman"/>
          <w:sz w:val="24"/>
          <w:szCs w:val="24"/>
        </w:rPr>
        <w:t>competitive, merits</w:t>
      </w:r>
      <w:r w:rsidR="00EC1098">
        <w:rPr>
          <w:rFonts w:ascii="Times New Roman" w:hAnsi="Times New Roman" w:cs="Times New Roman"/>
          <w:sz w:val="24"/>
          <w:szCs w:val="24"/>
        </w:rPr>
        <w:t>-</w:t>
      </w:r>
      <w:r w:rsidR="00283BDB" w:rsidRPr="00DF50EE">
        <w:rPr>
          <w:rFonts w:ascii="Times New Roman" w:hAnsi="Times New Roman" w:cs="Times New Roman"/>
          <w:sz w:val="24"/>
          <w:szCs w:val="24"/>
        </w:rPr>
        <w:t xml:space="preserve">based grants program. The Program is administered by the Department in accordance with the </w:t>
      </w:r>
      <w:r w:rsidR="00283BDB" w:rsidRPr="00DF50EE">
        <w:rPr>
          <w:rFonts w:ascii="Times New Roman" w:hAnsi="Times New Roman" w:cs="Times New Roman"/>
          <w:i/>
          <w:sz w:val="24"/>
          <w:szCs w:val="24"/>
        </w:rPr>
        <w:t>Commonwealth Grant Rules and Guidelines 2017</w:t>
      </w:r>
      <w:r w:rsidRPr="00DF50EE">
        <w:rPr>
          <w:rFonts w:ascii="Times New Roman" w:hAnsi="Times New Roman" w:cs="Times New Roman"/>
          <w:i/>
          <w:sz w:val="24"/>
          <w:szCs w:val="24"/>
        </w:rPr>
        <w:t>.</w:t>
      </w:r>
      <w:r w:rsidR="00283BDB" w:rsidRPr="00DF50EE">
        <w:rPr>
          <w:rFonts w:ascii="Times New Roman" w:hAnsi="Times New Roman" w:cs="Times New Roman"/>
          <w:i/>
          <w:sz w:val="24"/>
          <w:szCs w:val="24"/>
        </w:rPr>
        <w:t xml:space="preserve"> </w:t>
      </w:r>
      <w:r w:rsidR="00283BDB" w:rsidRPr="00DF50EE">
        <w:rPr>
          <w:rFonts w:ascii="Times New Roman" w:hAnsi="Times New Roman" w:cs="Times New Roman"/>
          <w:sz w:val="24"/>
          <w:szCs w:val="24"/>
        </w:rPr>
        <w:t xml:space="preserve">Eligibility and merit criteria </w:t>
      </w:r>
      <w:r w:rsidR="00283BDB" w:rsidRPr="007D0BEA">
        <w:rPr>
          <w:rFonts w:ascii="Times New Roman" w:hAnsi="Times New Roman" w:cs="Times New Roman"/>
          <w:sz w:val="24"/>
          <w:szCs w:val="24"/>
        </w:rPr>
        <w:t xml:space="preserve">are outlined in the Program guidelines, available at </w:t>
      </w:r>
      <w:hyperlink r:id="rId14" w:history="1">
        <w:r w:rsidR="007D0BEA" w:rsidRPr="007D0BEA">
          <w:rPr>
            <w:rStyle w:val="Hyperlink"/>
            <w:rFonts w:ascii="Times New Roman" w:hAnsi="Times New Roman" w:cs="Times New Roman"/>
            <w:sz w:val="24"/>
            <w:szCs w:val="24"/>
          </w:rPr>
          <w:t>https://business.gov.au/grants-and-programs/</w:t>
        </w:r>
      </w:hyperlink>
      <w:r w:rsidR="007D0BEA" w:rsidRPr="007D0BEA">
        <w:rPr>
          <w:rStyle w:val="ui-provider"/>
          <w:rFonts w:ascii="Times New Roman" w:hAnsi="Times New Roman" w:cs="Times New Roman"/>
          <w:sz w:val="24"/>
          <w:szCs w:val="24"/>
        </w:rPr>
        <w:t>.</w:t>
      </w:r>
    </w:p>
    <w:p w14:paraId="6CFB7F3B" w14:textId="01A6BCD9" w:rsidR="00283BDB" w:rsidRDefault="007D0BEA" w:rsidP="007D0BEA">
      <w:pPr>
        <w:spacing w:before="240" w:after="240"/>
        <w:rPr>
          <w:rFonts w:ascii="Times New Roman" w:hAnsi="Times New Roman" w:cs="Times New Roman"/>
          <w:sz w:val="24"/>
          <w:szCs w:val="24"/>
        </w:rPr>
      </w:pPr>
      <w:r w:rsidRPr="007D0BEA">
        <w:rPr>
          <w:rFonts w:ascii="Times New Roman" w:hAnsi="Times New Roman" w:cs="Times New Roman"/>
          <w:sz w:val="24"/>
          <w:szCs w:val="24"/>
        </w:rPr>
        <w:t>S</w:t>
      </w:r>
      <w:r w:rsidR="00283BDB" w:rsidRPr="002D299D">
        <w:rPr>
          <w:rFonts w:ascii="Times New Roman" w:hAnsi="Times New Roman" w:cs="Times New Roman"/>
          <w:sz w:val="24"/>
          <w:szCs w:val="24"/>
        </w:rPr>
        <w:t xml:space="preserve">pending decisions will be made by </w:t>
      </w:r>
      <w:r w:rsidR="00283BDB" w:rsidRPr="00A652E3">
        <w:rPr>
          <w:rFonts w:ascii="Times New Roman" w:hAnsi="Times New Roman" w:cs="Times New Roman"/>
          <w:sz w:val="24"/>
          <w:szCs w:val="24"/>
        </w:rPr>
        <w:t xml:space="preserve">the </w:t>
      </w:r>
      <w:r w:rsidR="00283BDB" w:rsidRPr="00F2498D">
        <w:rPr>
          <w:rFonts w:ascii="Times New Roman" w:hAnsi="Times New Roman" w:cs="Times New Roman"/>
          <w:sz w:val="24"/>
          <w:szCs w:val="24"/>
        </w:rPr>
        <w:t xml:space="preserve">Program Delegate who is the Manager responsible for administering the Program, </w:t>
      </w:r>
      <w:proofErr w:type="gramStart"/>
      <w:r w:rsidR="00283BDB" w:rsidRPr="00F2498D">
        <w:rPr>
          <w:rFonts w:ascii="Times New Roman" w:hAnsi="Times New Roman" w:cs="Times New Roman"/>
          <w:sz w:val="24"/>
          <w:szCs w:val="24"/>
        </w:rPr>
        <w:t>taking into account</w:t>
      </w:r>
      <w:proofErr w:type="gramEnd"/>
      <w:r w:rsidR="00283BDB" w:rsidRPr="00F2498D">
        <w:rPr>
          <w:rFonts w:ascii="Times New Roman" w:hAnsi="Times New Roman" w:cs="Times New Roman"/>
          <w:sz w:val="24"/>
          <w:szCs w:val="24"/>
        </w:rPr>
        <w:t xml:space="preserve"> the recommendations of an independent assessment committee.</w:t>
      </w:r>
      <w:r w:rsidR="00283BDB">
        <w:rPr>
          <w:rFonts w:ascii="Times New Roman" w:hAnsi="Times New Roman" w:cs="Times New Roman"/>
          <w:sz w:val="24"/>
          <w:szCs w:val="24"/>
        </w:rPr>
        <w:t xml:space="preserve"> </w:t>
      </w:r>
      <w:r w:rsidR="00745D4E">
        <w:rPr>
          <w:rFonts w:ascii="Times New Roman" w:hAnsi="Times New Roman" w:cs="Times New Roman"/>
          <w:sz w:val="24"/>
          <w:szCs w:val="24"/>
        </w:rPr>
        <w:t xml:space="preserve">The Program Delegate is </w:t>
      </w:r>
      <w:r w:rsidR="0010134E">
        <w:rPr>
          <w:rFonts w:ascii="Times New Roman" w:hAnsi="Times New Roman" w:cs="Times New Roman"/>
          <w:sz w:val="24"/>
          <w:szCs w:val="24"/>
        </w:rPr>
        <w:t xml:space="preserve">an </w:t>
      </w:r>
      <w:r w:rsidR="00745D4E">
        <w:rPr>
          <w:rFonts w:ascii="Times New Roman" w:hAnsi="Times New Roman" w:cs="Times New Roman"/>
          <w:sz w:val="24"/>
          <w:szCs w:val="24"/>
        </w:rPr>
        <w:t xml:space="preserve">officer who holds delegation under the Department’s general financial framework, including delegation under the </w:t>
      </w:r>
      <w:r w:rsidR="00745D4E">
        <w:rPr>
          <w:rFonts w:ascii="Times New Roman" w:hAnsi="Times New Roman" w:cs="Times New Roman"/>
          <w:i/>
          <w:sz w:val="24"/>
          <w:szCs w:val="24"/>
        </w:rPr>
        <w:t xml:space="preserve">Public Governance, Performance and Accountability Act </w:t>
      </w:r>
      <w:r w:rsidR="00A81EDF">
        <w:rPr>
          <w:rFonts w:ascii="Times New Roman" w:hAnsi="Times New Roman" w:cs="Times New Roman"/>
          <w:i/>
          <w:sz w:val="24"/>
          <w:szCs w:val="24"/>
        </w:rPr>
        <w:t>2013</w:t>
      </w:r>
      <w:r w:rsidR="00745D4E">
        <w:rPr>
          <w:rFonts w:ascii="Times New Roman" w:hAnsi="Times New Roman" w:cs="Times New Roman"/>
          <w:sz w:val="24"/>
          <w:szCs w:val="24"/>
        </w:rPr>
        <w:t>, and sections 34 and 35 of the IR&amp;D</w:t>
      </w:r>
      <w:r w:rsidR="00810868">
        <w:rPr>
          <w:rFonts w:ascii="Times New Roman" w:hAnsi="Times New Roman" w:cs="Times New Roman"/>
          <w:sz w:val="24"/>
          <w:szCs w:val="24"/>
        </w:rPr>
        <w:t> </w:t>
      </w:r>
      <w:r w:rsidR="00745D4E">
        <w:rPr>
          <w:rFonts w:ascii="Times New Roman" w:hAnsi="Times New Roman" w:cs="Times New Roman"/>
          <w:sz w:val="24"/>
          <w:szCs w:val="24"/>
        </w:rPr>
        <w:t>Act.</w:t>
      </w:r>
    </w:p>
    <w:p w14:paraId="6CFB7F3D" w14:textId="66D63F13" w:rsidR="00283BDB" w:rsidRDefault="00283BDB" w:rsidP="008F1E01">
      <w:pPr>
        <w:spacing w:before="240" w:after="240"/>
        <w:rPr>
          <w:rFonts w:ascii="Times New Roman" w:hAnsi="Times New Roman" w:cs="Times New Roman"/>
          <w:sz w:val="24"/>
          <w:szCs w:val="24"/>
        </w:rPr>
      </w:pPr>
      <w:r w:rsidRPr="00DF50EE">
        <w:rPr>
          <w:rFonts w:ascii="Times New Roman" w:hAnsi="Times New Roman" w:cs="Times New Roman"/>
          <w:sz w:val="24"/>
          <w:szCs w:val="24"/>
        </w:rPr>
        <w:t xml:space="preserve">Grants </w:t>
      </w:r>
      <w:r w:rsidR="00493166" w:rsidRPr="00DF50EE">
        <w:rPr>
          <w:rFonts w:ascii="Times New Roman" w:hAnsi="Times New Roman" w:cs="Times New Roman"/>
          <w:sz w:val="24"/>
          <w:szCs w:val="24"/>
        </w:rPr>
        <w:t xml:space="preserve">will be a minimum of </w:t>
      </w:r>
      <w:r w:rsidR="00DF50EE" w:rsidRPr="00DF50EE">
        <w:rPr>
          <w:rFonts w:ascii="Times New Roman" w:hAnsi="Times New Roman" w:cs="Times New Roman"/>
          <w:sz w:val="24"/>
          <w:szCs w:val="24"/>
        </w:rPr>
        <w:t>$1 million</w:t>
      </w:r>
      <w:r w:rsidR="00493166" w:rsidRPr="00DF50EE">
        <w:rPr>
          <w:rFonts w:ascii="Times New Roman" w:hAnsi="Times New Roman" w:cs="Times New Roman"/>
          <w:sz w:val="24"/>
          <w:szCs w:val="24"/>
        </w:rPr>
        <w:t xml:space="preserve"> </w:t>
      </w:r>
      <w:r w:rsidR="00210AF9">
        <w:rPr>
          <w:rFonts w:ascii="Times New Roman" w:hAnsi="Times New Roman" w:cs="Times New Roman"/>
          <w:sz w:val="24"/>
          <w:szCs w:val="24"/>
        </w:rPr>
        <w:t xml:space="preserve">and </w:t>
      </w:r>
      <w:r w:rsidRPr="00DF50EE">
        <w:rPr>
          <w:rFonts w:ascii="Times New Roman" w:hAnsi="Times New Roman" w:cs="Times New Roman"/>
          <w:sz w:val="24"/>
          <w:szCs w:val="24"/>
        </w:rPr>
        <w:t xml:space="preserve">up to a maximum of </w:t>
      </w:r>
      <w:r w:rsidR="00DF50EE" w:rsidRPr="00DF50EE">
        <w:rPr>
          <w:rFonts w:ascii="Times New Roman" w:hAnsi="Times New Roman" w:cs="Times New Roman"/>
          <w:sz w:val="24"/>
          <w:szCs w:val="24"/>
        </w:rPr>
        <w:t>$</w:t>
      </w:r>
      <w:r w:rsidR="006A1AEF">
        <w:rPr>
          <w:rFonts w:ascii="Times New Roman" w:hAnsi="Times New Roman" w:cs="Times New Roman"/>
          <w:sz w:val="24"/>
          <w:szCs w:val="24"/>
        </w:rPr>
        <w:t>5</w:t>
      </w:r>
      <w:r w:rsidR="00DF50EE" w:rsidRPr="00DF50EE">
        <w:rPr>
          <w:rFonts w:ascii="Times New Roman" w:hAnsi="Times New Roman" w:cs="Times New Roman"/>
          <w:sz w:val="24"/>
          <w:szCs w:val="24"/>
        </w:rPr>
        <w:t> million.</w:t>
      </w:r>
      <w:r w:rsidR="00152E85" w:rsidRPr="00DF50EE">
        <w:rPr>
          <w:rFonts w:ascii="Times New Roman" w:hAnsi="Times New Roman" w:cs="Times New Roman"/>
          <w:sz w:val="24"/>
          <w:szCs w:val="24"/>
        </w:rPr>
        <w:t xml:space="preserve"> The grant amount may be up to</w:t>
      </w:r>
      <w:r w:rsidR="00DF50EE" w:rsidRPr="00DF50EE">
        <w:rPr>
          <w:rFonts w:ascii="Times New Roman" w:hAnsi="Times New Roman" w:cs="Times New Roman"/>
          <w:sz w:val="24"/>
          <w:szCs w:val="24"/>
        </w:rPr>
        <w:t xml:space="preserve"> 100%</w:t>
      </w:r>
      <w:r w:rsidR="00152E85" w:rsidRPr="00DF50EE">
        <w:rPr>
          <w:rFonts w:ascii="Times New Roman" w:hAnsi="Times New Roman" w:cs="Times New Roman"/>
          <w:sz w:val="24"/>
          <w:szCs w:val="24"/>
        </w:rPr>
        <w:t xml:space="preserve"> of eligible project costs. </w:t>
      </w:r>
      <w:r w:rsidR="00745D4E" w:rsidRPr="00DF50EE">
        <w:rPr>
          <w:rFonts w:ascii="Times New Roman" w:hAnsi="Times New Roman" w:cs="Times New Roman"/>
          <w:sz w:val="24"/>
          <w:szCs w:val="24"/>
        </w:rPr>
        <w:t xml:space="preserve">The total amount of </w:t>
      </w:r>
      <w:r w:rsidR="00E01AB1">
        <w:rPr>
          <w:rFonts w:ascii="Times New Roman" w:hAnsi="Times New Roman" w:cs="Times New Roman"/>
          <w:sz w:val="24"/>
          <w:szCs w:val="24"/>
        </w:rPr>
        <w:t>grant funding available is</w:t>
      </w:r>
      <w:r w:rsidR="00745D4E" w:rsidRPr="00DF50EE">
        <w:rPr>
          <w:rFonts w:ascii="Times New Roman" w:hAnsi="Times New Roman" w:cs="Times New Roman"/>
          <w:sz w:val="24"/>
          <w:szCs w:val="24"/>
        </w:rPr>
        <w:t xml:space="preserve"> $</w:t>
      </w:r>
      <w:r w:rsidR="00DF50EE" w:rsidRPr="00DF50EE">
        <w:rPr>
          <w:rFonts w:ascii="Times New Roman" w:hAnsi="Times New Roman" w:cs="Times New Roman"/>
          <w:sz w:val="24"/>
          <w:szCs w:val="24"/>
        </w:rPr>
        <w:t>8.5 million</w:t>
      </w:r>
      <w:r w:rsidR="00484E22" w:rsidRPr="00DF50EE">
        <w:rPr>
          <w:rFonts w:ascii="Times New Roman" w:hAnsi="Times New Roman" w:cs="Times New Roman"/>
          <w:sz w:val="24"/>
          <w:szCs w:val="24"/>
        </w:rPr>
        <w:t>.</w:t>
      </w:r>
      <w:r w:rsidRPr="00DF50EE">
        <w:rPr>
          <w:rFonts w:ascii="Times New Roman" w:hAnsi="Times New Roman" w:cs="Times New Roman"/>
          <w:sz w:val="24"/>
          <w:szCs w:val="24"/>
        </w:rPr>
        <w:t xml:space="preserve"> </w:t>
      </w:r>
      <w:r w:rsidR="00E01AB1">
        <w:rPr>
          <w:rFonts w:ascii="Times New Roman" w:hAnsi="Times New Roman" w:cs="Times New Roman"/>
          <w:sz w:val="24"/>
          <w:szCs w:val="24"/>
        </w:rPr>
        <w:t>Departmental funding and preliminary research funding makes up the balance of the $10 million program.</w:t>
      </w:r>
    </w:p>
    <w:p w14:paraId="6CFB7F3F" w14:textId="6744D509" w:rsidR="00283BDB" w:rsidRDefault="00283BDB" w:rsidP="008F1E01">
      <w:pPr>
        <w:spacing w:before="240" w:after="240"/>
        <w:rPr>
          <w:rFonts w:ascii="Times New Roman" w:hAnsi="Times New Roman" w:cs="Times New Roman"/>
          <w:sz w:val="24"/>
          <w:szCs w:val="24"/>
        </w:rPr>
      </w:pPr>
      <w:r w:rsidRPr="00DF50EE">
        <w:rPr>
          <w:rFonts w:ascii="Times New Roman" w:hAnsi="Times New Roman" w:cs="Times New Roman"/>
          <w:sz w:val="24"/>
          <w:szCs w:val="24"/>
        </w:rPr>
        <w:t>The Program involves the allocation of finite resources between competing applicants</w:t>
      </w:r>
      <w:r w:rsidR="00745D4E" w:rsidRPr="00DF50EE">
        <w:rPr>
          <w:rFonts w:ascii="Times New Roman" w:hAnsi="Times New Roman" w:cs="Times New Roman"/>
          <w:sz w:val="24"/>
          <w:szCs w:val="24"/>
        </w:rPr>
        <w:t xml:space="preserve"> and therefore falls within the category of decisions that would not usually be subject to merits review according to paragraph 4.11 of the Administrative Review Council guide, </w:t>
      </w:r>
      <w:r w:rsidR="00745D4E" w:rsidRPr="00DF50EE">
        <w:rPr>
          <w:rFonts w:ascii="Times New Roman" w:hAnsi="Times New Roman" w:cs="Times New Roman"/>
          <w:i/>
          <w:sz w:val="24"/>
          <w:szCs w:val="24"/>
        </w:rPr>
        <w:t>What decisions should be subject to merits review?</w:t>
      </w:r>
      <w:r w:rsidR="00745D4E" w:rsidRPr="00DF50EE">
        <w:rPr>
          <w:rFonts w:ascii="Times New Roman" w:hAnsi="Times New Roman" w:cs="Times New Roman"/>
          <w:sz w:val="24"/>
          <w:szCs w:val="24"/>
        </w:rPr>
        <w:t xml:space="preserve"> available at </w:t>
      </w:r>
      <w:hyperlink r:id="rId15" w:history="1">
        <w:r w:rsidR="00745D4E" w:rsidRPr="00DF50EE">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Pr="00DF50EE">
        <w:rPr>
          <w:rFonts w:ascii="Times New Roman" w:hAnsi="Times New Roman" w:cs="Times New Roman"/>
          <w:sz w:val="24"/>
          <w:szCs w:val="24"/>
        </w:rPr>
        <w:t xml:space="preserve">. In addition, there is a robust and extensive assessment process, an enquiry and feedback process, and an existing complaints mechanism for affected applicants. Therefore, external merits review does not apply to decisions about the provision of grants under the Program. </w:t>
      </w:r>
    </w:p>
    <w:p w14:paraId="6CFB7F41" w14:textId="023823B5" w:rsidR="00152E85" w:rsidRPr="00415164" w:rsidRDefault="00152E85" w:rsidP="008F1E01">
      <w:pPr>
        <w:spacing w:before="240" w:after="240"/>
        <w:rPr>
          <w:rFonts w:ascii="Times New Roman" w:hAnsi="Times New Roman" w:cs="Times New Roman"/>
          <w:sz w:val="24"/>
          <w:szCs w:val="24"/>
        </w:rPr>
      </w:pPr>
      <w:r w:rsidRPr="00415164">
        <w:rPr>
          <w:rFonts w:ascii="Times New Roman" w:hAnsi="Times New Roman" w:cs="Times New Roman"/>
          <w:sz w:val="24"/>
          <w:szCs w:val="24"/>
        </w:rPr>
        <w:t>Applications will be assessed against the eligibility criteria and merit criteria set out in the</w:t>
      </w:r>
      <w:r w:rsidR="0092134B">
        <w:rPr>
          <w:rFonts w:ascii="Times New Roman" w:hAnsi="Times New Roman" w:cs="Times New Roman"/>
          <w:sz w:val="24"/>
          <w:szCs w:val="24"/>
        </w:rPr>
        <w:t> </w:t>
      </w:r>
      <w:r w:rsidRPr="00415164">
        <w:rPr>
          <w:rFonts w:ascii="Times New Roman" w:hAnsi="Times New Roman" w:cs="Times New Roman"/>
          <w:sz w:val="24"/>
          <w:szCs w:val="24"/>
        </w:rPr>
        <w:t xml:space="preserve">Program guidelines in two stages. At first instance, applications will be assessed by AusIndustry against the eligibility criteria. An independent assessment committee will then consider eligible applications against the merit criteria. This will include comparing the </w:t>
      </w:r>
      <w:r w:rsidRPr="00415164">
        <w:rPr>
          <w:rFonts w:ascii="Times New Roman" w:hAnsi="Times New Roman" w:cs="Times New Roman"/>
          <w:sz w:val="24"/>
          <w:szCs w:val="24"/>
        </w:rPr>
        <w:lastRenderedPageBreak/>
        <w:t>applications and scoring each application out of 100. The committee may comprise representatives from the Australian Government, selected state and territory governments, and other independent technical experts. The independent assessment committee may seek input from independent experts to inform their assessments.</w:t>
      </w:r>
    </w:p>
    <w:p w14:paraId="6CFB7F42" w14:textId="71A0BFD0" w:rsidR="00152E85" w:rsidRDefault="00152E85" w:rsidP="008F1E01">
      <w:pPr>
        <w:spacing w:before="240" w:after="240"/>
        <w:rPr>
          <w:rFonts w:ascii="Times New Roman" w:hAnsi="Times New Roman" w:cs="Times New Roman"/>
          <w:sz w:val="24"/>
          <w:szCs w:val="24"/>
        </w:rPr>
      </w:pPr>
      <w:r w:rsidRPr="00952380">
        <w:rPr>
          <w:rFonts w:ascii="Times New Roman" w:hAnsi="Times New Roman" w:cs="Times New Roman"/>
          <w:sz w:val="24"/>
          <w:szCs w:val="24"/>
        </w:rPr>
        <w:t xml:space="preserve">Applications must address the eligibility and merit </w:t>
      </w:r>
      <w:proofErr w:type="gramStart"/>
      <w:r w:rsidRPr="00952380">
        <w:rPr>
          <w:rFonts w:ascii="Times New Roman" w:hAnsi="Times New Roman" w:cs="Times New Roman"/>
          <w:sz w:val="24"/>
          <w:szCs w:val="24"/>
        </w:rPr>
        <w:t>criteria, and</w:t>
      </w:r>
      <w:proofErr w:type="gramEnd"/>
      <w:r w:rsidRPr="00952380">
        <w:rPr>
          <w:rFonts w:ascii="Times New Roman" w:hAnsi="Times New Roman" w:cs="Times New Roman"/>
          <w:sz w:val="24"/>
          <w:szCs w:val="24"/>
        </w:rPr>
        <w:t xml:space="preserve">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6CFB7F44" w14:textId="3EBE91A6" w:rsidR="00152E85" w:rsidRDefault="00152E85" w:rsidP="00152E85">
      <w:pPr>
        <w:spacing w:before="240" w:after="240"/>
        <w:rPr>
          <w:rFonts w:ascii="Times New Roman" w:hAnsi="Times New Roman" w:cs="Times New Roman"/>
          <w:sz w:val="24"/>
          <w:szCs w:val="24"/>
        </w:rPr>
      </w:pPr>
      <w:r w:rsidRPr="00F2498D">
        <w:rPr>
          <w:rFonts w:ascii="Times New Roman" w:hAnsi="Times New Roman" w:cs="Times New Roman"/>
          <w:sz w:val="24"/>
          <w:szCs w:val="24"/>
        </w:rPr>
        <w:t xml:space="preserve">After considering the applications, the independent assessment committee will make recommendations to the Program Delegate regarding those applications suitable for funding. The Program Delegate will make the final decision about which grants to approve, taking into consideration the independent assessment committee’s recommendations, and the availability of grant funds. The Program Delegate will not approve funding if there are insufficient </w:t>
      </w:r>
      <w:r w:rsidR="0092134B">
        <w:rPr>
          <w:rFonts w:ascii="Times New Roman" w:hAnsi="Times New Roman" w:cs="Times New Roman"/>
          <w:sz w:val="24"/>
          <w:szCs w:val="24"/>
        </w:rPr>
        <w:t>p</w:t>
      </w:r>
      <w:r w:rsidRPr="00F2498D">
        <w:rPr>
          <w:rFonts w:ascii="Times New Roman" w:hAnsi="Times New Roman" w:cs="Times New Roman"/>
          <w:sz w:val="24"/>
          <w:szCs w:val="24"/>
        </w:rPr>
        <w:t xml:space="preserve">rogram funds available across relevant financial years for the Program. </w:t>
      </w:r>
    </w:p>
    <w:p w14:paraId="6CFB7F46" w14:textId="2FE65E4E" w:rsidR="002E4586" w:rsidRDefault="002E4586" w:rsidP="002E4586">
      <w:pPr>
        <w:spacing w:before="240" w:after="240"/>
        <w:rPr>
          <w:rFonts w:ascii="Times New Roman" w:hAnsi="Times New Roman" w:cs="Times New Roman"/>
          <w:sz w:val="24"/>
          <w:szCs w:val="24"/>
        </w:rPr>
      </w:pPr>
      <w:r w:rsidRPr="00F2498D">
        <w:rPr>
          <w:rFonts w:ascii="Times New Roman" w:hAnsi="Times New Roman" w:cs="Times New Roman"/>
          <w:sz w:val="24"/>
          <w:szCs w:val="24"/>
        </w:rPr>
        <w:t>Both successful and unsuccessful applicants will be informed in writing. Unsuccessful applicants have an opportunity to discuss the outcome with the Department and can submit a new application for the same or similar pro</w:t>
      </w:r>
      <w:r w:rsidR="00F2498D" w:rsidRPr="00F2498D">
        <w:rPr>
          <w:rFonts w:ascii="Times New Roman" w:hAnsi="Times New Roman" w:cs="Times New Roman"/>
          <w:sz w:val="24"/>
          <w:szCs w:val="24"/>
        </w:rPr>
        <w:t xml:space="preserve">ject in future funding rounds. </w:t>
      </w:r>
      <w:r w:rsidRPr="00F2498D">
        <w:rPr>
          <w:rFonts w:ascii="Times New Roman" w:hAnsi="Times New Roman" w:cs="Times New Roman"/>
          <w:sz w:val="24"/>
          <w:szCs w:val="24"/>
        </w:rPr>
        <w:t xml:space="preserve">Where this occurs, applicants should include new or more information to address the weaknesses identified in their previous application. </w:t>
      </w:r>
    </w:p>
    <w:p w14:paraId="6CFB7F47"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543FEF1E" w14:textId="77777777"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are the following: </w:t>
      </w:r>
    </w:p>
    <w:p w14:paraId="636F3BE2" w14:textId="77777777" w:rsidR="00335A7B" w:rsidRPr="005147B5" w:rsidRDefault="00335A7B" w:rsidP="00335A7B">
      <w:pPr>
        <w:spacing w:before="240" w:after="240"/>
        <w:rPr>
          <w:rFonts w:ascii="Times New Roman" w:hAnsi="Times New Roman" w:cs="Times New Roman"/>
          <w:b/>
          <w:sz w:val="24"/>
          <w:szCs w:val="24"/>
          <w:u w:val="single"/>
        </w:rPr>
      </w:pPr>
      <w:r w:rsidRPr="007D0F25">
        <w:rPr>
          <w:rFonts w:ascii="Times New Roman" w:hAnsi="Times New Roman" w:cs="Times New Roman"/>
          <w:b/>
          <w:sz w:val="24"/>
          <w:szCs w:val="24"/>
          <w:u w:val="single"/>
        </w:rPr>
        <w:t>External affairs power</w:t>
      </w:r>
    </w:p>
    <w:p w14:paraId="138B1479" w14:textId="3953BF7D" w:rsidR="009A23A6" w:rsidRDefault="00335A7B" w:rsidP="00335A7B">
      <w:pPr>
        <w:spacing w:before="240" w:after="240"/>
        <w:rPr>
          <w:rFonts w:ascii="Times New Roman" w:hAnsi="Times New Roman" w:cs="Times New Roman"/>
          <w:sz w:val="24"/>
          <w:szCs w:val="24"/>
        </w:rPr>
      </w:pPr>
      <w:r w:rsidRPr="007D0F25">
        <w:rPr>
          <w:rFonts w:ascii="Times New Roman" w:hAnsi="Times New Roman" w:cs="Times New Roman"/>
          <w:sz w:val="24"/>
          <w:szCs w:val="24"/>
        </w:rPr>
        <w:t xml:space="preserve">The Legislative Instrument specifies that the legislative power in respect of which it is made is the external affairs power </w:t>
      </w:r>
      <w:proofErr w:type="gramStart"/>
      <w:r w:rsidRPr="007D0F25">
        <w:rPr>
          <w:rFonts w:ascii="Times New Roman" w:hAnsi="Times New Roman" w:cs="Times New Roman"/>
          <w:sz w:val="24"/>
          <w:szCs w:val="24"/>
        </w:rPr>
        <w:t xml:space="preserve">( </w:t>
      </w:r>
      <w:r w:rsidR="009A23A6">
        <w:rPr>
          <w:rFonts w:ascii="Times New Roman" w:hAnsi="Times New Roman" w:cs="Times New Roman"/>
          <w:sz w:val="24"/>
          <w:szCs w:val="24"/>
        </w:rPr>
        <w:t>section</w:t>
      </w:r>
      <w:proofErr w:type="gramEnd"/>
      <w:r w:rsidR="009A23A6">
        <w:rPr>
          <w:rFonts w:ascii="Times New Roman" w:hAnsi="Times New Roman" w:cs="Times New Roman"/>
          <w:sz w:val="24"/>
          <w:szCs w:val="24"/>
        </w:rPr>
        <w:t xml:space="preserve"> </w:t>
      </w:r>
      <w:r w:rsidRPr="007D0F25">
        <w:rPr>
          <w:rFonts w:ascii="Times New Roman" w:hAnsi="Times New Roman" w:cs="Times New Roman"/>
          <w:sz w:val="24"/>
          <w:szCs w:val="24"/>
        </w:rPr>
        <w:t xml:space="preserve">51(xxix) of the Constitution). </w:t>
      </w:r>
    </w:p>
    <w:p w14:paraId="1730B6D8" w14:textId="61F03727" w:rsidR="009A23A6" w:rsidRDefault="009A23A6" w:rsidP="00335A7B">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51(xxix) of the Constitution empowers the Parliament to make laws with respect to ‘external </w:t>
      </w:r>
      <w:proofErr w:type="gramStart"/>
      <w:r>
        <w:rPr>
          <w:rFonts w:ascii="Times New Roman" w:hAnsi="Times New Roman" w:cs="Times New Roman"/>
          <w:sz w:val="24"/>
          <w:szCs w:val="24"/>
        </w:rPr>
        <w:t>affairs’</w:t>
      </w:r>
      <w:proofErr w:type="gramEnd"/>
      <w:r>
        <w:rPr>
          <w:rFonts w:ascii="Times New Roman" w:hAnsi="Times New Roman" w:cs="Times New Roman"/>
          <w:sz w:val="24"/>
          <w:szCs w:val="24"/>
        </w:rPr>
        <w:t>. The external affairs power supports legislation implementing Australia’s international obligations under treaties to which it is a party.</w:t>
      </w:r>
    </w:p>
    <w:p w14:paraId="60F646FE" w14:textId="77777777"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t xml:space="preserve">Australia has the following international obligations under the Kyoto Protocol, the Paris </w:t>
      </w:r>
      <w:proofErr w:type="gramStart"/>
      <w:r>
        <w:rPr>
          <w:rFonts w:ascii="Times New Roman" w:hAnsi="Times New Roman" w:cs="Times New Roman"/>
          <w:sz w:val="24"/>
          <w:szCs w:val="24"/>
        </w:rPr>
        <w:t>Agreement</w:t>
      </w:r>
      <w:proofErr w:type="gramEnd"/>
      <w:r>
        <w:rPr>
          <w:rFonts w:ascii="Times New Roman" w:hAnsi="Times New Roman" w:cs="Times New Roman"/>
          <w:sz w:val="24"/>
          <w:szCs w:val="24"/>
        </w:rPr>
        <w:t xml:space="preserve"> and the United Nations Framework Convention on Climate Change (UNFCCC). </w:t>
      </w:r>
    </w:p>
    <w:p w14:paraId="630E7050" w14:textId="77777777"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Article 10(b) of the Kyoto Protocol obliges parties to formulate, implement, </w:t>
      </w:r>
      <w:proofErr w:type="gramStart"/>
      <w:r>
        <w:rPr>
          <w:rFonts w:ascii="Times New Roman" w:hAnsi="Times New Roman" w:cs="Times New Roman"/>
          <w:sz w:val="24"/>
          <w:szCs w:val="24"/>
        </w:rPr>
        <w:t>publish</w:t>
      </w:r>
      <w:proofErr w:type="gramEnd"/>
      <w:r>
        <w:rPr>
          <w:rFonts w:ascii="Times New Roman" w:hAnsi="Times New Roman" w:cs="Times New Roman"/>
          <w:sz w:val="24"/>
          <w:szCs w:val="24"/>
        </w:rPr>
        <w:t xml:space="preserve"> and regularly update national, and where appropriate, regional programmes containing measures to mitigate climate change and measures to facilitate adequate adaptation to climate change in the energy, transport, and industry sectors as well as agriculture, forestry and waste management.</w:t>
      </w:r>
    </w:p>
    <w:p w14:paraId="3BF7986F" w14:textId="77777777"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t xml:space="preserve">Article 4.2 of the Paris Agreement obliges parties to prepare, communicate and maintain successive nationally determined contributions that they intend to achieve, and pursue domestic mitigation measures, with the aim of achieving the objectives of such contributions. </w:t>
      </w:r>
    </w:p>
    <w:p w14:paraId="249FBF54" w14:textId="77777777"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t xml:space="preserve">Article 4(1)(b) of the UNFCCC obliges parties to formulate, implement, </w:t>
      </w:r>
      <w:proofErr w:type="gramStart"/>
      <w:r>
        <w:rPr>
          <w:rFonts w:ascii="Times New Roman" w:hAnsi="Times New Roman" w:cs="Times New Roman"/>
          <w:sz w:val="24"/>
          <w:szCs w:val="24"/>
        </w:rPr>
        <w:t>publish</w:t>
      </w:r>
      <w:proofErr w:type="gramEnd"/>
      <w:r>
        <w:rPr>
          <w:rFonts w:ascii="Times New Roman" w:hAnsi="Times New Roman" w:cs="Times New Roman"/>
          <w:sz w:val="24"/>
          <w:szCs w:val="24"/>
        </w:rPr>
        <w:t xml:space="preserve"> and regularly update national and, where appropriate, regional programmes containing measures to mitigate climate change by addressing anthropogenic emissions by sources and removals by sinks of all greenhouse gases not controlled by the Montreal Protocol, and measures to facilitate adaptation to climate change.</w:t>
      </w:r>
    </w:p>
    <w:p w14:paraId="1F7BCDAA" w14:textId="77777777"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t xml:space="preserve">Article 4(1)(c) of the UNFCCC obliges parties to promote and cooperate in the development, </w:t>
      </w:r>
      <w:proofErr w:type="gramStart"/>
      <w:r>
        <w:rPr>
          <w:rFonts w:ascii="Times New Roman" w:hAnsi="Times New Roman" w:cs="Times New Roman"/>
          <w:sz w:val="24"/>
          <w:szCs w:val="24"/>
        </w:rPr>
        <w:t>application</w:t>
      </w:r>
      <w:proofErr w:type="gramEnd"/>
      <w:r>
        <w:rPr>
          <w:rFonts w:ascii="Times New Roman" w:hAnsi="Times New Roman" w:cs="Times New Roman"/>
          <w:sz w:val="24"/>
          <w:szCs w:val="24"/>
        </w:rPr>
        <w:t xml:space="preserve"> and diffusion, including transfer, of technologies, practices and processes that control, reduce or prevent anthropogenic emissions of greenhouse gases not controlled by the Montreal Protocol in all relevant sectors, including the energy, transport, industry, agriculture, forestry and waste management sectors.</w:t>
      </w:r>
    </w:p>
    <w:p w14:paraId="32894EA9" w14:textId="6B8DA58F" w:rsidR="009A23A6" w:rsidRDefault="009A23A6" w:rsidP="009A23A6">
      <w:pPr>
        <w:spacing w:before="240" w:after="240"/>
        <w:rPr>
          <w:rFonts w:ascii="Times New Roman" w:hAnsi="Times New Roman" w:cs="Times New Roman"/>
          <w:sz w:val="24"/>
          <w:szCs w:val="24"/>
        </w:rPr>
      </w:pPr>
      <w:r>
        <w:rPr>
          <w:rFonts w:ascii="Times New Roman" w:hAnsi="Times New Roman" w:cs="Times New Roman"/>
          <w:sz w:val="24"/>
          <w:szCs w:val="24"/>
        </w:rPr>
        <w:t>Article 4(2)(a) of the UNFCCC obliges parties to adopt national policies and take corresponding measures on the mitigation of climate change, by limiting their anthropogenic emissions of greenhouse gases and protecting and enhancing their greenhouse gas sinks and reservoirs.</w:t>
      </w:r>
    </w:p>
    <w:p w14:paraId="23D55395" w14:textId="53A87DFF" w:rsidR="00335A7B" w:rsidRDefault="009A23A6" w:rsidP="00335A7B">
      <w:pPr>
        <w:spacing w:before="240" w:after="240"/>
        <w:rPr>
          <w:rFonts w:ascii="Times New Roman" w:hAnsi="Times New Roman"/>
          <w:sz w:val="24"/>
          <w:szCs w:val="24"/>
        </w:rPr>
      </w:pPr>
      <w:r>
        <w:rPr>
          <w:rFonts w:ascii="Times New Roman" w:hAnsi="Times New Roman"/>
          <w:sz w:val="24"/>
          <w:szCs w:val="24"/>
        </w:rPr>
        <w:t>F</w:t>
      </w:r>
      <w:r w:rsidR="00335A7B" w:rsidRPr="007D0F25">
        <w:rPr>
          <w:rFonts w:ascii="Times New Roman" w:hAnsi="Times New Roman"/>
          <w:sz w:val="24"/>
          <w:szCs w:val="24"/>
        </w:rPr>
        <w:t xml:space="preserve">unding provided under the Legislative Instrument will </w:t>
      </w:r>
      <w:r w:rsidR="00335A7B">
        <w:rPr>
          <w:rFonts w:ascii="Times New Roman" w:hAnsi="Times New Roman"/>
          <w:sz w:val="24"/>
          <w:szCs w:val="24"/>
        </w:rPr>
        <w:t>encourage measures that reduce emissions, by providing funding to</w:t>
      </w:r>
      <w:r w:rsidR="00335A7B" w:rsidRPr="00AF1F2B">
        <w:rPr>
          <w:rFonts w:ascii="Times New Roman" w:hAnsi="Times New Roman"/>
          <w:sz w:val="24"/>
          <w:szCs w:val="24"/>
        </w:rPr>
        <w:t xml:space="preserve"> increase research into technologies that have </w:t>
      </w:r>
      <w:r w:rsidR="00335A7B" w:rsidRPr="00151CE8">
        <w:rPr>
          <w:rFonts w:ascii="Times New Roman" w:hAnsi="Times New Roman"/>
          <w:sz w:val="24"/>
          <w:szCs w:val="24"/>
        </w:rPr>
        <w:t>high potential for methane reduction</w:t>
      </w:r>
      <w:r w:rsidR="00335A7B" w:rsidRPr="00AF1F2B">
        <w:rPr>
          <w:rFonts w:ascii="Times New Roman" w:hAnsi="Times New Roman"/>
          <w:sz w:val="24"/>
          <w:szCs w:val="24"/>
        </w:rPr>
        <w:t>, specifically in the coal and gas sectors</w:t>
      </w:r>
      <w:r w:rsidR="00335A7B">
        <w:rPr>
          <w:rFonts w:ascii="Times New Roman" w:hAnsi="Times New Roman"/>
          <w:sz w:val="24"/>
          <w:szCs w:val="24"/>
        </w:rPr>
        <w:t xml:space="preserve">. </w:t>
      </w:r>
    </w:p>
    <w:p w14:paraId="1B1382FE" w14:textId="07F46C4C" w:rsidR="00C937FA" w:rsidRDefault="00C937FA" w:rsidP="00335A7B">
      <w:pPr>
        <w:spacing w:before="240" w:after="240"/>
        <w:rPr>
          <w:rFonts w:ascii="Times New Roman" w:hAnsi="Times New Roman"/>
          <w:sz w:val="24"/>
          <w:szCs w:val="24"/>
        </w:rPr>
      </w:pPr>
      <w:bookmarkStart w:id="0" w:name="_Hlk130371479"/>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bookmarkEnd w:id="0"/>
    </w:p>
    <w:p w14:paraId="59B6F544" w14:textId="78E98534" w:rsidR="00335A7B" w:rsidRPr="000C50D8" w:rsidRDefault="00335A7B" w:rsidP="000C50D8">
      <w:pPr>
        <w:spacing w:before="240" w:after="240"/>
        <w:rPr>
          <w:rFonts w:ascii="Times New Roman" w:hAnsi="Times New Roman" w:cs="Times New Roman"/>
          <w:b/>
          <w:sz w:val="24"/>
          <w:szCs w:val="24"/>
          <w:u w:val="single"/>
        </w:rPr>
      </w:pPr>
      <w:r w:rsidRPr="0030271A">
        <w:rPr>
          <w:rFonts w:ascii="Times New Roman" w:hAnsi="Times New Roman" w:cs="Times New Roman"/>
          <w:b/>
          <w:sz w:val="24"/>
          <w:szCs w:val="24"/>
          <w:u w:val="single"/>
        </w:rPr>
        <w:t>Background</w:t>
      </w:r>
    </w:p>
    <w:p w14:paraId="5AEC25FE" w14:textId="14D60DB0" w:rsidR="00335A7B" w:rsidRDefault="003418E2" w:rsidP="00335A7B">
      <w:pPr>
        <w:spacing w:before="240" w:after="240"/>
        <w:rPr>
          <w:rFonts w:ascii="Times New Roman" w:hAnsi="Times New Roman" w:cs="Times New Roman"/>
          <w:sz w:val="24"/>
          <w:szCs w:val="24"/>
        </w:rPr>
      </w:pPr>
      <w:r>
        <w:rPr>
          <w:rFonts w:ascii="Times New Roman" w:hAnsi="Times New Roman" w:cs="Times New Roman"/>
          <w:sz w:val="24"/>
          <w:szCs w:val="24"/>
        </w:rPr>
        <w:t>Australia has legislated targets of net zero emissions by 2050 and a 43% cut on 2005</w:t>
      </w:r>
      <w:r w:rsidR="00CA796B">
        <w:rPr>
          <w:rFonts w:ascii="Times New Roman" w:hAnsi="Times New Roman" w:cs="Times New Roman"/>
          <w:sz w:val="24"/>
          <w:szCs w:val="24"/>
        </w:rPr>
        <w:t> </w:t>
      </w:r>
      <w:r>
        <w:rPr>
          <w:rFonts w:ascii="Times New Roman" w:hAnsi="Times New Roman" w:cs="Times New Roman"/>
          <w:sz w:val="24"/>
          <w:szCs w:val="24"/>
        </w:rPr>
        <w:t>emissions by 2030. The country is also joining international climate initiatives, such as the Global Methane Pledge, which commits signatories to collectively pursuing a 30% cut in methane emissions compared to 2020, by 2030.</w:t>
      </w:r>
    </w:p>
    <w:p w14:paraId="3523ECA7" w14:textId="3936CA02" w:rsidR="003418E2" w:rsidRPr="005E323A" w:rsidRDefault="003418E2" w:rsidP="00335A7B">
      <w:pPr>
        <w:spacing w:before="240" w:after="240"/>
        <w:rPr>
          <w:rFonts w:ascii="Times New Roman" w:hAnsi="Times New Roman" w:cs="Times New Roman"/>
          <w:sz w:val="24"/>
          <w:szCs w:val="24"/>
        </w:rPr>
      </w:pPr>
      <w:r>
        <w:rPr>
          <w:rFonts w:ascii="Times New Roman" w:hAnsi="Times New Roman" w:cs="Times New Roman"/>
          <w:sz w:val="24"/>
          <w:szCs w:val="24"/>
        </w:rPr>
        <w:t xml:space="preserve">Methane emissions represent about 25% of Australia’s total greenhouse </w:t>
      </w:r>
      <w:r w:rsidR="00311AF7">
        <w:rPr>
          <w:rFonts w:ascii="Times New Roman" w:hAnsi="Times New Roman" w:cs="Times New Roman"/>
          <w:sz w:val="24"/>
          <w:szCs w:val="24"/>
        </w:rPr>
        <w:t xml:space="preserve">gas </w:t>
      </w:r>
      <w:r>
        <w:rPr>
          <w:rFonts w:ascii="Times New Roman" w:hAnsi="Times New Roman" w:cs="Times New Roman"/>
          <w:sz w:val="24"/>
          <w:szCs w:val="24"/>
        </w:rPr>
        <w:t>emissions. The resources sector is the second largest contributor to this figure, producing almost 30% of Australia’s methane. Reducing these emissions in the short term will be critical to slowing global heating and meeting the goals of the Paris Climate Agreement.</w:t>
      </w:r>
    </w:p>
    <w:p w14:paraId="307A5784" w14:textId="5C8787A5" w:rsidR="00335A7B" w:rsidRPr="005E323A" w:rsidRDefault="00335A7B" w:rsidP="00335A7B">
      <w:pPr>
        <w:spacing w:before="240" w:after="240"/>
        <w:rPr>
          <w:rFonts w:ascii="Times New Roman" w:hAnsi="Times New Roman" w:cs="Times New Roman"/>
          <w:sz w:val="24"/>
          <w:szCs w:val="24"/>
        </w:rPr>
      </w:pPr>
      <w:r w:rsidRPr="005E323A">
        <w:rPr>
          <w:rFonts w:ascii="Times New Roman" w:hAnsi="Times New Roman" w:cs="Times New Roman"/>
          <w:sz w:val="24"/>
          <w:szCs w:val="24"/>
        </w:rPr>
        <w:lastRenderedPageBreak/>
        <w:t xml:space="preserve">Research, </w:t>
      </w:r>
      <w:proofErr w:type="gramStart"/>
      <w:r w:rsidRPr="005E323A">
        <w:rPr>
          <w:rFonts w:ascii="Times New Roman" w:hAnsi="Times New Roman" w:cs="Times New Roman"/>
          <w:sz w:val="24"/>
          <w:szCs w:val="24"/>
        </w:rPr>
        <w:t>development</w:t>
      </w:r>
      <w:proofErr w:type="gramEnd"/>
      <w:r w:rsidRPr="005E323A">
        <w:rPr>
          <w:rFonts w:ascii="Times New Roman" w:hAnsi="Times New Roman" w:cs="Times New Roman"/>
          <w:sz w:val="24"/>
          <w:szCs w:val="24"/>
        </w:rPr>
        <w:t xml:space="preserve"> and demonstration projects addressing fugitive methane emissions from coal or gas production are currently out of scope for existing Government funding for low emissions technologies through the Australian Renewable Energy Agency </w:t>
      </w:r>
      <w:r>
        <w:rPr>
          <w:rFonts w:ascii="Times New Roman" w:hAnsi="Times New Roman" w:cs="Times New Roman"/>
          <w:sz w:val="24"/>
          <w:szCs w:val="24"/>
        </w:rPr>
        <w:t>and</w:t>
      </w:r>
      <w:r w:rsidRPr="005E323A">
        <w:rPr>
          <w:rFonts w:ascii="Times New Roman" w:hAnsi="Times New Roman" w:cs="Times New Roman"/>
          <w:sz w:val="24"/>
          <w:szCs w:val="24"/>
        </w:rPr>
        <w:t xml:space="preserve"> the Clean</w:t>
      </w:r>
      <w:r w:rsidR="00CA796B">
        <w:rPr>
          <w:rFonts w:ascii="Times New Roman" w:hAnsi="Times New Roman" w:cs="Times New Roman"/>
          <w:sz w:val="24"/>
          <w:szCs w:val="24"/>
        </w:rPr>
        <w:t> </w:t>
      </w:r>
      <w:r w:rsidRPr="005E323A">
        <w:rPr>
          <w:rFonts w:ascii="Times New Roman" w:hAnsi="Times New Roman" w:cs="Times New Roman"/>
          <w:sz w:val="24"/>
          <w:szCs w:val="24"/>
        </w:rPr>
        <w:t>Energy F</w:t>
      </w:r>
      <w:r>
        <w:rPr>
          <w:rFonts w:ascii="Times New Roman" w:hAnsi="Times New Roman" w:cs="Times New Roman"/>
          <w:sz w:val="24"/>
          <w:szCs w:val="24"/>
        </w:rPr>
        <w:t>inance Corporation. The Program</w:t>
      </w:r>
      <w:r w:rsidRPr="005E323A">
        <w:rPr>
          <w:rFonts w:ascii="Times New Roman" w:hAnsi="Times New Roman" w:cs="Times New Roman"/>
          <w:sz w:val="24"/>
          <w:szCs w:val="24"/>
        </w:rPr>
        <w:t xml:space="preserve"> aim</w:t>
      </w:r>
      <w:r>
        <w:rPr>
          <w:rFonts w:ascii="Times New Roman" w:hAnsi="Times New Roman" w:cs="Times New Roman"/>
          <w:sz w:val="24"/>
          <w:szCs w:val="24"/>
        </w:rPr>
        <w:t>s</w:t>
      </w:r>
      <w:r w:rsidRPr="005E323A">
        <w:rPr>
          <w:rFonts w:ascii="Times New Roman" w:hAnsi="Times New Roman" w:cs="Times New Roman"/>
          <w:sz w:val="24"/>
          <w:szCs w:val="24"/>
        </w:rPr>
        <w:t xml:space="preserve"> to address this gap and provide near term support for </w:t>
      </w:r>
      <w:r w:rsidR="003418E2">
        <w:rPr>
          <w:rFonts w:ascii="Times New Roman" w:hAnsi="Times New Roman" w:cs="Times New Roman"/>
          <w:sz w:val="24"/>
          <w:szCs w:val="24"/>
        </w:rPr>
        <w:t xml:space="preserve">researchers to grow the maturity of valuable abatement technologies and enable the resources sector </w:t>
      </w:r>
      <w:r w:rsidRPr="005E323A">
        <w:rPr>
          <w:rFonts w:ascii="Times New Roman" w:hAnsi="Times New Roman" w:cs="Times New Roman"/>
          <w:sz w:val="24"/>
          <w:szCs w:val="24"/>
        </w:rPr>
        <w:t xml:space="preserve">to reduce </w:t>
      </w:r>
      <w:r w:rsidR="003418E2">
        <w:rPr>
          <w:rFonts w:ascii="Times New Roman" w:hAnsi="Times New Roman" w:cs="Times New Roman"/>
          <w:sz w:val="24"/>
          <w:szCs w:val="24"/>
        </w:rPr>
        <w:t xml:space="preserve">its </w:t>
      </w:r>
      <w:r w:rsidRPr="005E323A">
        <w:rPr>
          <w:rFonts w:ascii="Times New Roman" w:hAnsi="Times New Roman" w:cs="Times New Roman"/>
          <w:sz w:val="24"/>
          <w:szCs w:val="24"/>
        </w:rPr>
        <w:t>emissions.</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3ACC5EB" w14:textId="1ED6A65B" w:rsidR="00335A7B"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sidRPr="00335A7B">
        <w:rPr>
          <w:rFonts w:ascii="Times New Roman" w:hAnsi="Times New Roman" w:cs="Times New Roman"/>
          <w:sz w:val="24"/>
          <w:szCs w:val="24"/>
        </w:rPr>
        <w:t xml:space="preserve">, </w:t>
      </w:r>
      <w:r w:rsidRPr="000C50D8">
        <w:rPr>
          <w:rFonts w:ascii="Times New Roman" w:hAnsi="Times New Roman" w:cs="Times New Roman"/>
          <w:sz w:val="24"/>
          <w:szCs w:val="24"/>
        </w:rPr>
        <w:t>the Attorney-General’s Department has been consulted on this Legislative Instrument.</w:t>
      </w:r>
    </w:p>
    <w:p w14:paraId="6CFB7F73" w14:textId="15C5DFFB" w:rsidR="005B0B52" w:rsidRDefault="00335A7B" w:rsidP="000C50D8">
      <w:pPr>
        <w:spacing w:before="240" w:after="240"/>
        <w:rPr>
          <w:rFonts w:ascii="Times New Roman" w:hAnsi="Times New Roman" w:cs="Times New Roman"/>
          <w:sz w:val="24"/>
          <w:szCs w:val="24"/>
        </w:rPr>
      </w:pPr>
      <w:r>
        <w:rPr>
          <w:rFonts w:ascii="Times New Roman" w:hAnsi="Times New Roman" w:cs="Times New Roman"/>
          <w:sz w:val="24"/>
          <w:szCs w:val="24"/>
        </w:rPr>
        <w:t xml:space="preserve">The Department has engaged with industry and research stakeholders, </w:t>
      </w:r>
      <w:r w:rsidR="00B22A41">
        <w:rPr>
          <w:rFonts w:ascii="Times New Roman" w:hAnsi="Times New Roman" w:cs="Times New Roman"/>
          <w:sz w:val="24"/>
          <w:szCs w:val="24"/>
        </w:rPr>
        <w:t xml:space="preserve">and </w:t>
      </w:r>
      <w:r>
        <w:rPr>
          <w:rFonts w:ascii="Times New Roman" w:hAnsi="Times New Roman" w:cs="Times New Roman"/>
          <w:sz w:val="24"/>
          <w:szCs w:val="24"/>
        </w:rPr>
        <w:t>Commonwealth, agencies regarding the Program.</w:t>
      </w:r>
    </w:p>
    <w:p w14:paraId="4E84943C" w14:textId="77777777" w:rsidR="00761CE9" w:rsidRDefault="00761CE9" w:rsidP="00761CE9">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4F37ACA5" w14:textId="77777777" w:rsidR="00761CE9" w:rsidRDefault="00761CE9" w:rsidP="00761CE9">
      <w:pPr>
        <w:spacing w:before="240" w:after="240"/>
        <w:rPr>
          <w:rFonts w:ascii="Times New Roman" w:hAnsi="Times New Roman" w:cs="Times New Roman"/>
          <w:b/>
          <w:sz w:val="24"/>
          <w:szCs w:val="24"/>
          <w:u w:val="single"/>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CFB7F76" w14:textId="07D64C64"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w:t>
      </w:r>
      <w:r w:rsidR="00865CBF">
        <w:rPr>
          <w:rFonts w:ascii="Times New Roman" w:hAnsi="Times New Roman" w:cs="Times New Roman"/>
          <w:sz w:val="24"/>
          <w:szCs w:val="24"/>
        </w:rPr>
        <w:t xml:space="preserve">ulatory burden is likely to be </w:t>
      </w:r>
      <w:r w:rsidRPr="00865CBF">
        <w:rPr>
          <w:rFonts w:ascii="Times New Roman" w:hAnsi="Times New Roman" w:cs="Times New Roman"/>
          <w:sz w:val="24"/>
          <w:szCs w:val="24"/>
        </w:rPr>
        <w:t>minor</w:t>
      </w:r>
      <w:r>
        <w:rPr>
          <w:rFonts w:ascii="Times New Roman" w:hAnsi="Times New Roman" w:cs="Times New Roman"/>
          <w:sz w:val="24"/>
          <w:szCs w:val="24"/>
        </w:rPr>
        <w:t xml:space="preserve"> (OBPR</w:t>
      </w:r>
      <w:r w:rsidR="00865CBF">
        <w:rPr>
          <w:rFonts w:ascii="Times New Roman" w:hAnsi="Times New Roman" w:cs="Times New Roman"/>
          <w:sz w:val="24"/>
          <w:szCs w:val="24"/>
        </w:rPr>
        <w:t>22-03392</w:t>
      </w:r>
      <w:r>
        <w:rPr>
          <w:rFonts w:ascii="Times New Roman" w:hAnsi="Times New Roman" w:cs="Times New Roman"/>
          <w:sz w:val="24"/>
          <w:szCs w:val="24"/>
        </w:rPr>
        <w:t xml:space="preserve">). </w:t>
      </w:r>
    </w:p>
    <w:p w14:paraId="45451F80" w14:textId="42FC0CAC" w:rsidR="00865CBF" w:rsidRDefault="00A47F09" w:rsidP="00DF78AE">
      <w:pPr>
        <w:spacing w:before="120" w:after="120"/>
        <w:rPr>
          <w:rFonts w:ascii="Times New Roman" w:hAnsi="Times New Roman" w:cs="Times New Roman"/>
          <w:sz w:val="24"/>
          <w:szCs w:val="24"/>
        </w:rPr>
      </w:pPr>
      <w:r>
        <w:rPr>
          <w:rFonts w:ascii="Times New Roman" w:hAnsi="Times New Roman" w:cs="Times New Roman"/>
          <w:sz w:val="24"/>
          <w:szCs w:val="24"/>
        </w:rPr>
        <w:t>The R</w:t>
      </w:r>
      <w:r w:rsidR="00BA117A">
        <w:rPr>
          <w:rFonts w:ascii="Times New Roman" w:hAnsi="Times New Roman" w:cs="Times New Roman"/>
          <w:sz w:val="24"/>
          <w:szCs w:val="24"/>
        </w:rPr>
        <w:t xml:space="preserve">egulation </w:t>
      </w:r>
      <w:r>
        <w:rPr>
          <w:rFonts w:ascii="Times New Roman" w:hAnsi="Times New Roman" w:cs="Times New Roman"/>
          <w:sz w:val="24"/>
          <w:szCs w:val="24"/>
        </w:rPr>
        <w:t>I</w:t>
      </w:r>
      <w:r w:rsidR="00BA117A">
        <w:rPr>
          <w:rFonts w:ascii="Times New Roman" w:hAnsi="Times New Roman" w:cs="Times New Roman"/>
          <w:sz w:val="24"/>
          <w:szCs w:val="24"/>
        </w:rPr>
        <w:t xml:space="preserve">mpact </w:t>
      </w:r>
      <w:r>
        <w:rPr>
          <w:rFonts w:ascii="Times New Roman" w:hAnsi="Times New Roman" w:cs="Times New Roman"/>
          <w:sz w:val="24"/>
          <w:szCs w:val="24"/>
        </w:rPr>
        <w:t>S</w:t>
      </w:r>
      <w:r w:rsidR="00BA117A">
        <w:rPr>
          <w:rFonts w:ascii="Times New Roman" w:hAnsi="Times New Roman" w:cs="Times New Roman"/>
          <w:sz w:val="24"/>
          <w:szCs w:val="24"/>
        </w:rPr>
        <w:t>tatement</w:t>
      </w:r>
      <w:r>
        <w:rPr>
          <w:rFonts w:ascii="Times New Roman" w:hAnsi="Times New Roman" w:cs="Times New Roman"/>
          <w:sz w:val="24"/>
          <w:szCs w:val="24"/>
        </w:rPr>
        <w:t xml:space="preserve"> is included a</w:t>
      </w:r>
      <w:r w:rsidR="00BA117A">
        <w:rPr>
          <w:rFonts w:ascii="Times New Roman" w:hAnsi="Times New Roman" w:cs="Times New Roman"/>
          <w:sz w:val="24"/>
          <w:szCs w:val="24"/>
        </w:rPr>
        <w:t>t</w:t>
      </w:r>
      <w:r>
        <w:rPr>
          <w:rFonts w:ascii="Times New Roman" w:hAnsi="Times New Roman" w:cs="Times New Roman"/>
          <w:sz w:val="24"/>
          <w:szCs w:val="24"/>
        </w:rPr>
        <w:t xml:space="preserve"> </w:t>
      </w:r>
      <w:r w:rsidRPr="00BA117A">
        <w:rPr>
          <w:rFonts w:ascii="Times New Roman" w:hAnsi="Times New Roman" w:cs="Times New Roman"/>
          <w:b/>
          <w:bCs/>
          <w:sz w:val="24"/>
          <w:szCs w:val="24"/>
          <w:u w:val="single"/>
        </w:rPr>
        <w:t>Attachment C</w:t>
      </w:r>
      <w:r>
        <w:rPr>
          <w:rFonts w:ascii="Times New Roman" w:hAnsi="Times New Roman" w:cs="Times New Roman"/>
          <w:sz w:val="24"/>
          <w:szCs w:val="24"/>
        </w:rPr>
        <w:t>.</w:t>
      </w:r>
    </w:p>
    <w:p w14:paraId="14E81CFB" w14:textId="77777777" w:rsidR="00C937FA" w:rsidRDefault="00C937FA" w:rsidP="000D0E22">
      <w:pPr>
        <w:spacing w:before="240" w:after="240"/>
        <w:rPr>
          <w:rFonts w:ascii="Times New Roman" w:hAnsi="Times New Roman" w:cs="Times New Roman"/>
          <w:b/>
          <w:sz w:val="24"/>
          <w:szCs w:val="24"/>
          <w:u w:val="single"/>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564902D4" w14:textId="40F7AEA2" w:rsidR="00C937FA" w:rsidRDefault="00C937FA" w:rsidP="00E50BEC">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6CFB7F7E" w14:textId="1D785D98"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A74A89" w:rsidRPr="00E50BEC">
        <w:rPr>
          <w:rFonts w:ascii="Times New Roman" w:hAnsi="Times New Roman" w:cs="Times New Roman"/>
          <w:b/>
          <w:i/>
          <w:iCs/>
          <w:sz w:val="24"/>
          <w:szCs w:val="24"/>
          <w:u w:val="single"/>
        </w:rPr>
        <w:t>Industry Research and Development (Resources Sector Methane Abatement Technology Development) Instrument 202</w:t>
      </w:r>
      <w:r w:rsidR="00CA796B">
        <w:rPr>
          <w:rFonts w:ascii="Times New Roman" w:hAnsi="Times New Roman" w:cs="Times New Roman"/>
          <w:b/>
          <w:i/>
          <w:iCs/>
          <w:sz w:val="24"/>
          <w:szCs w:val="24"/>
          <w:u w:val="single"/>
        </w:rPr>
        <w:t>3</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2DAB4B0A"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39233E" w:rsidRPr="0039233E">
        <w:rPr>
          <w:rFonts w:ascii="Times New Roman" w:hAnsi="Times New Roman" w:cs="Times New Roman"/>
          <w:i/>
          <w:sz w:val="24"/>
          <w:szCs w:val="24"/>
        </w:rPr>
        <w:t>Industry Research and Development (Resources Sector Methane Abatement Technology Development</w:t>
      </w:r>
      <w:r w:rsidR="00C937FA">
        <w:rPr>
          <w:rFonts w:ascii="Times New Roman" w:hAnsi="Times New Roman" w:cs="Times New Roman"/>
          <w:i/>
          <w:sz w:val="24"/>
          <w:szCs w:val="24"/>
        </w:rPr>
        <w:t xml:space="preserve"> Program</w:t>
      </w:r>
      <w:r w:rsidR="0039233E" w:rsidRPr="0039233E">
        <w:rPr>
          <w:rFonts w:ascii="Times New Roman" w:hAnsi="Times New Roman" w:cs="Times New Roman"/>
          <w:i/>
          <w:sz w:val="24"/>
          <w:szCs w:val="24"/>
        </w:rPr>
        <w:t>) Instrument 202</w:t>
      </w:r>
      <w:r w:rsidR="00CA796B">
        <w:rPr>
          <w:rFonts w:ascii="Times New Roman" w:hAnsi="Times New Roman" w:cs="Times New Roman"/>
          <w:i/>
          <w:sz w:val="24"/>
          <w:szCs w:val="24"/>
        </w:rPr>
        <w:t>3</w:t>
      </w:r>
      <w:r w:rsidRPr="00761CE9">
        <w:rPr>
          <w:rFonts w:ascii="Times New Roman" w:hAnsi="Times New Roman" w:cs="Times New Roman"/>
          <w:sz w:val="24"/>
          <w:szCs w:val="24"/>
        </w:rPr>
        <w:t>.</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799E0755"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0C50D8">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5A35A32E"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0D1DE59B" w14:textId="6B9117BE" w:rsidR="00B25634" w:rsidRDefault="00B25634" w:rsidP="00B25634">
      <w:pPr>
        <w:spacing w:before="240"/>
        <w:rPr>
          <w:rFonts w:ascii="Times New Roman" w:hAnsi="Times New Roman" w:cs="Times New Roman"/>
          <w:sz w:val="24"/>
          <w:szCs w:val="24"/>
          <w:lang w:val="en-GB"/>
        </w:rPr>
      </w:pPr>
      <w:r>
        <w:rPr>
          <w:rFonts w:ascii="Times New Roman" w:hAnsi="Times New Roman" w:cs="Times New Roman"/>
          <w:sz w:val="24"/>
          <w:szCs w:val="24"/>
        </w:rPr>
        <w:t xml:space="preserve">The </w:t>
      </w:r>
      <w:r>
        <w:rPr>
          <w:rFonts w:ascii="Times New Roman" w:hAnsi="Times New Roman" w:cs="Times New Roman"/>
          <w:sz w:val="24"/>
          <w:szCs w:val="24"/>
          <w:lang w:val="en-GB"/>
        </w:rPr>
        <w:t>UNFCCC,</w:t>
      </w:r>
      <w:r w:rsidRPr="00CE18A8">
        <w:rPr>
          <w:rFonts w:ascii="Times New Roman" w:hAnsi="Times New Roman" w:cs="Times New Roman"/>
          <w:sz w:val="24"/>
          <w:szCs w:val="24"/>
          <w:lang w:val="en-GB"/>
        </w:rPr>
        <w:t xml:space="preserve"> Kyoto Protocol </w:t>
      </w:r>
      <w:r>
        <w:rPr>
          <w:rFonts w:ascii="Times New Roman" w:hAnsi="Times New Roman" w:cs="Times New Roman"/>
          <w:sz w:val="24"/>
          <w:szCs w:val="24"/>
          <w:lang w:val="en-GB"/>
        </w:rPr>
        <w:t xml:space="preserve">and Paris Agreement </w:t>
      </w:r>
      <w:r w:rsidRPr="00CE18A8">
        <w:rPr>
          <w:rFonts w:ascii="Times New Roman" w:hAnsi="Times New Roman" w:cs="Times New Roman"/>
          <w:sz w:val="24"/>
          <w:szCs w:val="24"/>
          <w:lang w:val="en-GB"/>
        </w:rPr>
        <w:t xml:space="preserve">are defined in the same way as </w:t>
      </w:r>
      <w:r w:rsidR="00290510">
        <w:rPr>
          <w:rFonts w:ascii="Times New Roman" w:hAnsi="Times New Roman" w:cs="Times New Roman"/>
          <w:sz w:val="24"/>
          <w:szCs w:val="24"/>
          <w:lang w:val="en-GB"/>
        </w:rPr>
        <w:t xml:space="preserve">in </w:t>
      </w:r>
      <w:r w:rsidRPr="00CE18A8">
        <w:rPr>
          <w:rFonts w:ascii="Times New Roman" w:hAnsi="Times New Roman" w:cs="Times New Roman"/>
          <w:sz w:val="24"/>
          <w:szCs w:val="24"/>
          <w:lang w:val="en-GB"/>
        </w:rPr>
        <w:t>other Commonwealth legislation and are available from the Australian Treaty Series</w:t>
      </w:r>
      <w:r>
        <w:rPr>
          <w:rFonts w:ascii="Times New Roman" w:hAnsi="Times New Roman" w:cs="Times New Roman"/>
          <w:sz w:val="24"/>
          <w:szCs w:val="24"/>
          <w:lang w:val="en-GB"/>
        </w:rPr>
        <w:t xml:space="preserve"> </w:t>
      </w:r>
      <w:r w:rsidRPr="00CE18A8">
        <w:rPr>
          <w:rFonts w:ascii="Times New Roman" w:hAnsi="Times New Roman" w:cs="Times New Roman"/>
          <w:sz w:val="24"/>
          <w:szCs w:val="24"/>
          <w:lang w:val="en-GB"/>
        </w:rPr>
        <w:t>at</w:t>
      </w:r>
      <w:r>
        <w:rPr>
          <w:rFonts w:ascii="Times New Roman" w:hAnsi="Times New Roman" w:cs="Times New Roman"/>
          <w:sz w:val="24"/>
          <w:szCs w:val="24"/>
          <w:lang w:val="en-GB"/>
        </w:rPr>
        <w:t>:</w:t>
      </w:r>
      <w:r w:rsidRPr="00CE18A8">
        <w:rPr>
          <w:rFonts w:ascii="Times New Roman" w:hAnsi="Times New Roman" w:cs="Times New Roman"/>
          <w:sz w:val="24"/>
          <w:szCs w:val="24"/>
          <w:lang w:val="en-GB"/>
        </w:rPr>
        <w:t> </w:t>
      </w:r>
      <w:hyperlink r:id="rId22" w:history="1">
        <w:r w:rsidRPr="00CE18A8">
          <w:rPr>
            <w:rStyle w:val="Hyperlink"/>
            <w:rFonts w:ascii="Times New Roman" w:hAnsi="Times New Roman" w:cs="Times New Roman"/>
            <w:sz w:val="24"/>
            <w:szCs w:val="24"/>
            <w:lang w:val="en-GB"/>
          </w:rPr>
          <w:t>http://www.austlii.edu.au/au/other/dfat/treaties/ATS/</w:t>
        </w:r>
      </w:hyperlink>
      <w:r w:rsidRPr="00CE18A8">
        <w:rPr>
          <w:rFonts w:ascii="Times New Roman" w:hAnsi="Times New Roman" w:cs="Times New Roman"/>
          <w:sz w:val="24"/>
          <w:szCs w:val="24"/>
          <w:lang w:val="en-GB"/>
        </w:rPr>
        <w:t>. These treaties are defined for the purpose of specifying the external affairs power as a relevant legislative power for the Legislative Instrument under subsection 33(3) of the IR&amp;D Act</w:t>
      </w:r>
      <w:r>
        <w:rPr>
          <w:rFonts w:ascii="Times New Roman" w:hAnsi="Times New Roman" w:cs="Times New Roman"/>
          <w:sz w:val="24"/>
          <w:szCs w:val="24"/>
          <w:lang w:val="en-GB"/>
        </w:rPr>
        <w:t>.</w:t>
      </w:r>
    </w:p>
    <w:p w14:paraId="4EFE2EF8" w14:textId="2F716C7C" w:rsidR="00B25634" w:rsidRDefault="00B25634" w:rsidP="00B25634">
      <w:pPr>
        <w:spacing w:before="240"/>
        <w:rPr>
          <w:rFonts w:ascii="Times New Roman" w:hAnsi="Times New Roman" w:cs="Times New Roman"/>
          <w:sz w:val="24"/>
          <w:szCs w:val="24"/>
        </w:rPr>
      </w:pPr>
      <w:r>
        <w:rPr>
          <w:rFonts w:ascii="Times New Roman" w:hAnsi="Times New Roman" w:cs="Times New Roman"/>
          <w:sz w:val="24"/>
          <w:szCs w:val="24"/>
          <w:lang w:val="en-GB"/>
        </w:rPr>
        <w:t xml:space="preserve">The </w:t>
      </w:r>
      <w:r w:rsidRPr="00CE18A8">
        <w:rPr>
          <w:rFonts w:ascii="Times New Roman" w:hAnsi="Times New Roman" w:cs="Times New Roman"/>
          <w:sz w:val="24"/>
          <w:szCs w:val="24"/>
          <w:lang w:val="en-GB"/>
        </w:rPr>
        <w:t xml:space="preserve">text of the treaties is not applied, </w:t>
      </w:r>
      <w:proofErr w:type="gramStart"/>
      <w:r w:rsidRPr="00CE18A8">
        <w:rPr>
          <w:rFonts w:ascii="Times New Roman" w:hAnsi="Times New Roman" w:cs="Times New Roman"/>
          <w:sz w:val="24"/>
          <w:szCs w:val="24"/>
          <w:lang w:val="en-GB"/>
        </w:rPr>
        <w:t>adopted</w:t>
      </w:r>
      <w:proofErr w:type="gramEnd"/>
      <w:r w:rsidRPr="00CE18A8">
        <w:rPr>
          <w:rFonts w:ascii="Times New Roman" w:hAnsi="Times New Roman" w:cs="Times New Roman"/>
          <w:sz w:val="24"/>
          <w:szCs w:val="24"/>
          <w:lang w:val="en-GB"/>
        </w:rPr>
        <w:t xml:space="preserve"> or incorporated by the Legislative Instrument and so subsection 14(2) of the </w:t>
      </w:r>
      <w:r w:rsidRPr="00CE18A8">
        <w:rPr>
          <w:rFonts w:ascii="Times New Roman" w:hAnsi="Times New Roman" w:cs="Times New Roman"/>
          <w:i/>
          <w:iCs/>
          <w:sz w:val="24"/>
          <w:szCs w:val="24"/>
          <w:lang w:val="en-GB"/>
        </w:rPr>
        <w:t>Legislation Act 2003</w:t>
      </w:r>
      <w:r w:rsidRPr="00CE18A8">
        <w:rPr>
          <w:rFonts w:ascii="Times New Roman" w:hAnsi="Times New Roman" w:cs="Times New Roman"/>
          <w:sz w:val="24"/>
          <w:szCs w:val="24"/>
          <w:lang w:val="en-GB"/>
        </w:rPr>
        <w:t> does not apply to limit the reference to these treaties as in force for Australia from time to time. Australia continues to implement the obligations under these treaties as amended over time, such as in relation to Australia’s ratification of the Doha Amendment to the Kyoto Protocol, which commenced on 31 December 2020</w:t>
      </w:r>
      <w:r>
        <w:rPr>
          <w:rFonts w:ascii="Times New Roman" w:hAnsi="Times New Roman" w:cs="Times New Roman"/>
          <w:sz w:val="24"/>
          <w:szCs w:val="24"/>
          <w:lang w:val="en-GB"/>
        </w:rPr>
        <w:t>.</w:t>
      </w:r>
    </w:p>
    <w:p w14:paraId="6CFB7F88" w14:textId="1492D7A9"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39233E" w:rsidRPr="0039233E">
        <w:rPr>
          <w:rFonts w:ascii="Times New Roman" w:hAnsi="Times New Roman" w:cs="Times New Roman"/>
          <w:i/>
          <w:sz w:val="24"/>
          <w:szCs w:val="24"/>
        </w:rPr>
        <w:t>Resources Sector Methane Abatement Technology Development Program</w:t>
      </w:r>
    </w:p>
    <w:p w14:paraId="6CFB7F8A" w14:textId="159CCFC3"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22E9BB7B" w14:textId="3BDB30B3" w:rsidR="00F53C80" w:rsidRPr="00F53C80" w:rsidRDefault="00F53C80" w:rsidP="00F53C80">
      <w:pPr>
        <w:spacing w:before="240" w:after="240"/>
        <w:rPr>
          <w:rFonts w:ascii="Times New Roman" w:hAnsi="Times New Roman" w:cs="Times New Roman"/>
          <w:sz w:val="24"/>
          <w:szCs w:val="24"/>
        </w:rPr>
      </w:pPr>
      <w:r w:rsidRPr="00F53C80">
        <w:rPr>
          <w:rFonts w:ascii="Times New Roman" w:hAnsi="Times New Roman" w:cs="Times New Roman"/>
          <w:sz w:val="24"/>
          <w:szCs w:val="24"/>
        </w:rPr>
        <w:t xml:space="preserve">The </w:t>
      </w:r>
      <w:r w:rsidR="0092134B">
        <w:rPr>
          <w:rFonts w:ascii="Times New Roman" w:hAnsi="Times New Roman" w:cs="Times New Roman"/>
          <w:sz w:val="24"/>
          <w:szCs w:val="24"/>
        </w:rPr>
        <w:t>P</w:t>
      </w:r>
      <w:r w:rsidRPr="00F53C80">
        <w:rPr>
          <w:rFonts w:ascii="Times New Roman" w:hAnsi="Times New Roman" w:cs="Times New Roman"/>
          <w:sz w:val="24"/>
          <w:szCs w:val="24"/>
        </w:rPr>
        <w:t>rogram provides funding for research and development into technologies that will:</w:t>
      </w:r>
    </w:p>
    <w:p w14:paraId="7BCA22C4" w14:textId="2E237F11" w:rsidR="00F53C80" w:rsidRPr="001A62CD" w:rsidRDefault="00F53C80" w:rsidP="001A62CD">
      <w:pPr>
        <w:pStyle w:val="ListParagraph"/>
        <w:numPr>
          <w:ilvl w:val="0"/>
          <w:numId w:val="12"/>
        </w:numPr>
        <w:spacing w:before="240" w:after="240"/>
        <w:rPr>
          <w:rFonts w:ascii="Times New Roman" w:hAnsi="Times New Roman" w:cs="Times New Roman"/>
          <w:sz w:val="24"/>
          <w:szCs w:val="24"/>
        </w:rPr>
      </w:pPr>
      <w:r w:rsidRPr="001A62CD">
        <w:rPr>
          <w:rFonts w:ascii="Times New Roman" w:hAnsi="Times New Roman" w:cs="Times New Roman"/>
          <w:sz w:val="24"/>
          <w:szCs w:val="24"/>
        </w:rPr>
        <w:t>alone, or when used in combination with other technologies, abate methane emissions in the resources sector; or</w:t>
      </w:r>
    </w:p>
    <w:p w14:paraId="6CFB7F8C" w14:textId="0F5F5BD8" w:rsidR="00242B2A" w:rsidRPr="00F53C80" w:rsidRDefault="00F53C80" w:rsidP="001A62CD">
      <w:pPr>
        <w:pStyle w:val="ListParagraph"/>
        <w:numPr>
          <w:ilvl w:val="0"/>
          <w:numId w:val="12"/>
        </w:numPr>
        <w:spacing w:before="240" w:after="240"/>
        <w:rPr>
          <w:rFonts w:ascii="Times New Roman" w:hAnsi="Times New Roman" w:cs="Times New Roman"/>
          <w:sz w:val="24"/>
          <w:szCs w:val="24"/>
        </w:rPr>
      </w:pPr>
      <w:r w:rsidRPr="001A62CD">
        <w:rPr>
          <w:rFonts w:ascii="Times New Roman" w:hAnsi="Times New Roman" w:cs="Times New Roman"/>
          <w:sz w:val="24"/>
          <w:szCs w:val="24"/>
        </w:rPr>
        <w:lastRenderedPageBreak/>
        <w:t>support other technologies that abate methane emissions in the resources sector.</w:t>
      </w:r>
      <w:r w:rsidRPr="00F53C80">
        <w:rPr>
          <w:rFonts w:ascii="Times New Roman" w:hAnsi="Times New Roman" w:cs="Times New Roman"/>
          <w:sz w:val="24"/>
          <w:szCs w:val="24"/>
        </w:rPr>
        <w:t xml:space="preserve"> </w:t>
      </w:r>
      <w:r w:rsidR="006A1AEF" w:rsidRPr="00F53C80">
        <w:rPr>
          <w:rFonts w:ascii="Times New Roman" w:hAnsi="Times New Roman" w:cs="Times New Roman"/>
          <w:sz w:val="24"/>
          <w:szCs w:val="24"/>
        </w:rPr>
        <w:t xml:space="preserve">This includes enabling technologies that support others to abate methane emissions by </w:t>
      </w:r>
      <w:r w:rsidR="00400CC0">
        <w:rPr>
          <w:rFonts w:ascii="Times New Roman" w:hAnsi="Times New Roman" w:cs="Times New Roman"/>
          <w:sz w:val="24"/>
          <w:szCs w:val="24"/>
        </w:rPr>
        <w:t>enabling</w:t>
      </w:r>
      <w:r w:rsidR="00400CC0" w:rsidRPr="00F53C80">
        <w:rPr>
          <w:rFonts w:ascii="Times New Roman" w:hAnsi="Times New Roman" w:cs="Times New Roman"/>
          <w:sz w:val="24"/>
          <w:szCs w:val="24"/>
        </w:rPr>
        <w:t xml:space="preserve"> </w:t>
      </w:r>
      <w:r w:rsidR="006A1AEF" w:rsidRPr="00F53C80">
        <w:rPr>
          <w:rFonts w:ascii="Times New Roman" w:hAnsi="Times New Roman" w:cs="Times New Roman"/>
          <w:sz w:val="24"/>
          <w:szCs w:val="24"/>
        </w:rPr>
        <w:t>methane safety or utilisation.</w:t>
      </w:r>
    </w:p>
    <w:p w14:paraId="6CFB7F8D" w14:textId="6DD39782"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0C50D8">
        <w:rPr>
          <w:rFonts w:ascii="Times New Roman" w:hAnsi="Times New Roman" w:cs="Times New Roman"/>
          <w:b/>
          <w:sz w:val="24"/>
          <w:szCs w:val="24"/>
        </w:rPr>
        <w:t>Specified Legislative Power</w:t>
      </w:r>
    </w:p>
    <w:p w14:paraId="6A1A43E2" w14:textId="77777777" w:rsidR="0039233E" w:rsidRPr="0039233E" w:rsidRDefault="0039233E" w:rsidP="0039233E">
      <w:pPr>
        <w:spacing w:after="240"/>
        <w:contextualSpacing/>
        <w:rPr>
          <w:rFonts w:ascii="Times New Roman" w:hAnsi="Times New Roman" w:cs="Times New Roman"/>
          <w:sz w:val="24"/>
          <w:szCs w:val="24"/>
        </w:rPr>
      </w:pPr>
      <w:r w:rsidRPr="0039233E">
        <w:rPr>
          <w:rFonts w:ascii="Times New Roman" w:hAnsi="Times New Roman" w:cs="Times New Roman"/>
          <w:sz w:val="24"/>
          <w:szCs w:val="24"/>
        </w:rPr>
        <w:t>For the purposes of subsection 33(3) of the Act, the power of the Parliament to make laws with respect to external affairs (within the meaning of paragraph 51(xxix) of the Constitution), as it relates to measures that would assist Australia to meet its obligations under one or more of the following, is specified:</w:t>
      </w:r>
    </w:p>
    <w:p w14:paraId="0CAB11CB" w14:textId="77777777" w:rsidR="0039233E" w:rsidRPr="0039233E" w:rsidRDefault="0039233E" w:rsidP="0039233E">
      <w:pPr>
        <w:spacing w:after="240"/>
        <w:contextualSpacing/>
        <w:rPr>
          <w:rFonts w:ascii="Times New Roman" w:hAnsi="Times New Roman" w:cs="Times New Roman"/>
          <w:sz w:val="24"/>
          <w:szCs w:val="24"/>
        </w:rPr>
      </w:pPr>
      <w:r w:rsidRPr="0039233E">
        <w:rPr>
          <w:rFonts w:ascii="Times New Roman" w:hAnsi="Times New Roman" w:cs="Times New Roman"/>
          <w:sz w:val="24"/>
          <w:szCs w:val="24"/>
        </w:rPr>
        <w:t>(a)</w:t>
      </w:r>
      <w:r w:rsidRPr="0039233E">
        <w:rPr>
          <w:rFonts w:ascii="Times New Roman" w:hAnsi="Times New Roman" w:cs="Times New Roman"/>
          <w:sz w:val="24"/>
          <w:szCs w:val="24"/>
        </w:rPr>
        <w:tab/>
        <w:t xml:space="preserve">the Kyoto Protocol, particularly Article </w:t>
      </w:r>
      <w:proofErr w:type="gramStart"/>
      <w:r w:rsidRPr="0039233E">
        <w:rPr>
          <w:rFonts w:ascii="Times New Roman" w:hAnsi="Times New Roman" w:cs="Times New Roman"/>
          <w:sz w:val="24"/>
          <w:szCs w:val="24"/>
        </w:rPr>
        <w:t>10;</w:t>
      </w:r>
      <w:proofErr w:type="gramEnd"/>
    </w:p>
    <w:p w14:paraId="19D64050" w14:textId="77777777" w:rsidR="0039233E" w:rsidRPr="0039233E" w:rsidRDefault="0039233E" w:rsidP="0039233E">
      <w:pPr>
        <w:spacing w:after="240"/>
        <w:contextualSpacing/>
        <w:rPr>
          <w:rFonts w:ascii="Times New Roman" w:hAnsi="Times New Roman" w:cs="Times New Roman"/>
          <w:sz w:val="24"/>
          <w:szCs w:val="24"/>
        </w:rPr>
      </w:pPr>
      <w:r w:rsidRPr="0039233E">
        <w:rPr>
          <w:rFonts w:ascii="Times New Roman" w:hAnsi="Times New Roman" w:cs="Times New Roman"/>
          <w:sz w:val="24"/>
          <w:szCs w:val="24"/>
        </w:rPr>
        <w:t>(b)</w:t>
      </w:r>
      <w:r w:rsidRPr="0039233E">
        <w:rPr>
          <w:rFonts w:ascii="Times New Roman" w:hAnsi="Times New Roman" w:cs="Times New Roman"/>
          <w:sz w:val="24"/>
          <w:szCs w:val="24"/>
        </w:rPr>
        <w:tab/>
        <w:t xml:space="preserve">the Paris Agreement, particularly Article </w:t>
      </w:r>
      <w:proofErr w:type="gramStart"/>
      <w:r w:rsidRPr="0039233E">
        <w:rPr>
          <w:rFonts w:ascii="Times New Roman" w:hAnsi="Times New Roman" w:cs="Times New Roman"/>
          <w:sz w:val="24"/>
          <w:szCs w:val="24"/>
        </w:rPr>
        <w:t>4;</w:t>
      </w:r>
      <w:proofErr w:type="gramEnd"/>
    </w:p>
    <w:p w14:paraId="298B8ABD" w14:textId="77777777" w:rsidR="0039233E" w:rsidRDefault="0039233E" w:rsidP="0039233E">
      <w:pPr>
        <w:spacing w:after="240"/>
        <w:contextualSpacing/>
        <w:rPr>
          <w:rFonts w:ascii="Times New Roman" w:hAnsi="Times New Roman" w:cs="Times New Roman"/>
          <w:sz w:val="24"/>
          <w:szCs w:val="24"/>
        </w:rPr>
      </w:pPr>
      <w:r w:rsidRPr="0039233E">
        <w:rPr>
          <w:rFonts w:ascii="Times New Roman" w:hAnsi="Times New Roman" w:cs="Times New Roman"/>
          <w:sz w:val="24"/>
          <w:szCs w:val="24"/>
        </w:rPr>
        <w:t>(c)</w:t>
      </w:r>
      <w:r w:rsidRPr="0039233E">
        <w:rPr>
          <w:rFonts w:ascii="Times New Roman" w:hAnsi="Times New Roman" w:cs="Times New Roman"/>
          <w:sz w:val="24"/>
          <w:szCs w:val="24"/>
        </w:rPr>
        <w:tab/>
        <w:t xml:space="preserve">the United Nations Framework Convention on Climate Change, particularly Article 4. </w:t>
      </w:r>
    </w:p>
    <w:p w14:paraId="29FB10A1" w14:textId="77777777" w:rsidR="0039233E" w:rsidRDefault="0039233E" w:rsidP="0039233E">
      <w:pPr>
        <w:spacing w:after="240"/>
        <w:contextualSpacing/>
        <w:rPr>
          <w:rFonts w:ascii="Times New Roman" w:hAnsi="Times New Roman" w:cs="Times New Roman"/>
          <w:sz w:val="24"/>
          <w:szCs w:val="24"/>
        </w:rPr>
      </w:pPr>
    </w:p>
    <w:p w14:paraId="6CFB7F93"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06A6A9D" w14:textId="039A4A7C" w:rsidR="00C937FA" w:rsidRPr="00BA117A" w:rsidRDefault="00C937FA" w:rsidP="00E50BEC">
      <w:pPr>
        <w:spacing w:before="360" w:after="120"/>
        <w:jc w:val="right"/>
        <w:rPr>
          <w:rFonts w:ascii="Times New Roman" w:hAnsi="Times New Roman" w:cs="Times New Roman"/>
          <w:b/>
          <w:sz w:val="24"/>
          <w:szCs w:val="24"/>
          <w:u w:val="single"/>
        </w:rPr>
      </w:pPr>
      <w:r w:rsidRPr="00BA117A">
        <w:rPr>
          <w:rFonts w:ascii="Times New Roman" w:hAnsi="Times New Roman" w:cs="Times New Roman"/>
          <w:b/>
          <w:sz w:val="24"/>
          <w:szCs w:val="24"/>
          <w:u w:val="single"/>
        </w:rPr>
        <w:lastRenderedPageBreak/>
        <w:t>Attachment B</w:t>
      </w:r>
    </w:p>
    <w:p w14:paraId="6CFB7F94" w14:textId="0D84F2FC"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E37A405" w14:textId="62E81A18" w:rsidR="0039233E" w:rsidRDefault="0039233E" w:rsidP="00547F8D">
      <w:pPr>
        <w:spacing w:before="240" w:after="240"/>
        <w:jc w:val="center"/>
        <w:rPr>
          <w:rFonts w:ascii="Times New Roman" w:hAnsi="Times New Roman" w:cs="Times New Roman"/>
          <w:i/>
          <w:sz w:val="24"/>
          <w:szCs w:val="24"/>
        </w:rPr>
      </w:pPr>
      <w:r w:rsidRPr="0039233E">
        <w:rPr>
          <w:rFonts w:ascii="Times New Roman" w:hAnsi="Times New Roman" w:cs="Times New Roman"/>
          <w:i/>
          <w:sz w:val="24"/>
          <w:szCs w:val="24"/>
        </w:rPr>
        <w:t>Industry Research and Development (Resources Sector Methane Abatement Technology Development</w:t>
      </w:r>
      <w:r w:rsidR="00C937FA">
        <w:rPr>
          <w:rFonts w:ascii="Times New Roman" w:hAnsi="Times New Roman" w:cs="Times New Roman"/>
          <w:i/>
          <w:sz w:val="24"/>
          <w:szCs w:val="24"/>
        </w:rPr>
        <w:t xml:space="preserve"> Program</w:t>
      </w:r>
      <w:r w:rsidRPr="0039233E">
        <w:rPr>
          <w:rFonts w:ascii="Times New Roman" w:hAnsi="Times New Roman" w:cs="Times New Roman"/>
          <w:i/>
          <w:sz w:val="24"/>
          <w:szCs w:val="24"/>
        </w:rPr>
        <w:t>) Instrument 202</w:t>
      </w:r>
      <w:r w:rsidR="00CA796B">
        <w:rPr>
          <w:rFonts w:ascii="Times New Roman" w:hAnsi="Times New Roman" w:cs="Times New Roman"/>
          <w:i/>
          <w:sz w:val="24"/>
          <w:szCs w:val="24"/>
        </w:rPr>
        <w:t>3</w:t>
      </w:r>
      <w:r w:rsidRPr="0039233E">
        <w:rPr>
          <w:rFonts w:ascii="Times New Roman" w:hAnsi="Times New Roman" w:cs="Times New Roman"/>
          <w:i/>
          <w:sz w:val="24"/>
          <w:szCs w:val="24"/>
        </w:rPr>
        <w:t xml:space="preserve"> </w:t>
      </w:r>
    </w:p>
    <w:p w14:paraId="6CFB7F97" w14:textId="679C37FE"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CFB7F9A" w14:textId="2D50408E" w:rsidR="00547F8D" w:rsidRPr="00547F8D" w:rsidRDefault="0092134B" w:rsidP="0092134B">
      <w:pPr>
        <w:spacing w:before="120" w:after="120"/>
        <w:rPr>
          <w:rFonts w:ascii="Times New Roman" w:hAnsi="Times New Roman" w:cs="Times New Roman"/>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w:t>
      </w:r>
      <w:r w:rsidRPr="0039233E">
        <w:rPr>
          <w:rFonts w:ascii="Times New Roman" w:hAnsi="Times New Roman" w:cs="Times New Roman"/>
          <w:i/>
          <w:sz w:val="24"/>
          <w:szCs w:val="24"/>
        </w:rPr>
        <w:t>Resources Sector Methane Abatement Technology Development</w:t>
      </w:r>
      <w:r w:rsidRPr="00D22C0E">
        <w:rPr>
          <w:rFonts w:ascii="Times New Roman" w:hAnsi="Times New Roman" w:cs="Times New Roman"/>
          <w:i/>
          <w:sz w:val="24"/>
          <w:szCs w:val="24"/>
        </w:rPr>
        <w:t xml:space="preserve"> </w:t>
      </w:r>
      <w:r w:rsidRPr="00783788">
        <w:rPr>
          <w:rFonts w:ascii="Times New Roman" w:hAnsi="Times New Roman" w:cs="Times New Roman"/>
          <w:i/>
          <w:sz w:val="24"/>
          <w:szCs w:val="24"/>
        </w:rPr>
        <w:t>Program</w:t>
      </w:r>
      <w:r>
        <w:rPr>
          <w:rFonts w:ascii="Times New Roman" w:hAnsi="Times New Roman" w:cs="Times New Roman"/>
          <w:i/>
          <w:sz w:val="24"/>
          <w:szCs w:val="24"/>
        </w:rPr>
        <w:t>) Instrument 2023</w:t>
      </w:r>
      <w:r w:rsidRPr="00B226AA">
        <w:rPr>
          <w:rFonts w:ascii="Times New Roman" w:hAnsi="Times New Roman" w:cs="Times New Roman"/>
          <w:iCs/>
          <w:sz w:val="24"/>
          <w:szCs w:val="24"/>
        </w:rPr>
        <w:t xml:space="preserve"> (</w:t>
      </w:r>
      <w:r>
        <w:rPr>
          <w:rFonts w:ascii="Times New Roman" w:hAnsi="Times New Roman" w:cs="Times New Roman"/>
          <w:iCs/>
          <w:sz w:val="24"/>
          <w:szCs w:val="24"/>
        </w:rPr>
        <w:t xml:space="preserve">the </w:t>
      </w:r>
      <w:r w:rsidRPr="00F93BAC">
        <w:rPr>
          <w:rFonts w:ascii="Times New Roman" w:hAnsi="Times New Roman" w:cs="Times New Roman"/>
          <w:sz w:val="24"/>
          <w:szCs w:val="24"/>
        </w:rPr>
        <w:t>Legislative Instrument</w:t>
      </w:r>
      <w:r>
        <w:rPr>
          <w:rFonts w:ascii="Times New Roman" w:hAnsi="Times New Roman" w:cs="Times New Roman"/>
          <w:sz w:val="24"/>
          <w:szCs w:val="24"/>
        </w:rPr>
        <w:t>)</w:t>
      </w:r>
      <w:r w:rsidRPr="00F93BAC">
        <w:rPr>
          <w:rFonts w:ascii="Times New Roman" w:hAnsi="Times New Roman" w:cs="Times New Roman"/>
          <w:sz w:val="24"/>
          <w:szCs w:val="24"/>
        </w:rPr>
        <w:t xml:space="preserve"> provides legislative authority to commit Commonwealth funding for the</w:t>
      </w:r>
      <w:r>
        <w:rPr>
          <w:rFonts w:ascii="Times New Roman" w:hAnsi="Times New Roman" w:cs="Times New Roman"/>
          <w:sz w:val="24"/>
          <w:szCs w:val="24"/>
        </w:rPr>
        <w:t xml:space="preserve"> </w:t>
      </w:r>
      <w:r w:rsidR="00C937FA" w:rsidRPr="00E50BEC">
        <w:rPr>
          <w:rFonts w:ascii="Times New Roman" w:hAnsi="Times New Roman" w:cs="Times New Roman"/>
          <w:iCs/>
          <w:sz w:val="24"/>
          <w:szCs w:val="24"/>
        </w:rPr>
        <w:t>Resources Sector Methane Abatement Technology Development Program</w:t>
      </w:r>
      <w:r w:rsidR="00C937FA">
        <w:rPr>
          <w:rFonts w:ascii="Times New Roman" w:hAnsi="Times New Roman" w:cs="Times New Roman"/>
          <w:sz w:val="24"/>
          <w:szCs w:val="24"/>
        </w:rPr>
        <w:t xml:space="preserve"> (the </w:t>
      </w:r>
      <w:r w:rsidR="0039233E">
        <w:rPr>
          <w:rFonts w:ascii="Times New Roman" w:hAnsi="Times New Roman" w:cs="Times New Roman"/>
          <w:sz w:val="24"/>
          <w:szCs w:val="24"/>
        </w:rPr>
        <w:t>Program</w:t>
      </w:r>
      <w:r w:rsidR="00C937FA">
        <w:rPr>
          <w:rFonts w:ascii="Times New Roman" w:hAnsi="Times New Roman" w:cs="Times New Roman"/>
          <w:sz w:val="24"/>
          <w:szCs w:val="24"/>
        </w:rPr>
        <w:t>)</w:t>
      </w:r>
      <w:r>
        <w:rPr>
          <w:rFonts w:ascii="Times New Roman" w:hAnsi="Times New Roman" w:cs="Times New Roman"/>
          <w:sz w:val="24"/>
          <w:szCs w:val="24"/>
        </w:rPr>
        <w:t>. The Program</w:t>
      </w:r>
      <w:r w:rsidR="0039233E">
        <w:rPr>
          <w:rFonts w:ascii="Times New Roman" w:hAnsi="Times New Roman" w:cs="Times New Roman"/>
          <w:sz w:val="24"/>
          <w:szCs w:val="24"/>
        </w:rPr>
        <w:t xml:space="preserve"> will fund research and development of technologies that will reduce methane emissions from the resources sector. The objective of this research is to reduce costs and accelerate deployment of methane abatement technology within the industry. Ultimately, this policy seeks to mitigate greenhouse emissions from Australian industry.</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CFB7F9E" w14:textId="733AE766" w:rsidR="00C14989" w:rsidRPr="00A74A89" w:rsidRDefault="00A74A89" w:rsidP="00B94870">
      <w:pPr>
        <w:spacing w:after="0"/>
        <w:rPr>
          <w:rFonts w:ascii="Times New Roman" w:hAnsi="Times New Roman" w:cs="Times New Roman"/>
          <w:sz w:val="24"/>
          <w:szCs w:val="24"/>
        </w:rPr>
      </w:pPr>
      <w:r w:rsidRPr="00A74A89">
        <w:rPr>
          <w:rFonts w:ascii="Times New Roman" w:hAnsi="Times New Roman" w:cs="Times New Roman"/>
          <w:sz w:val="24"/>
          <w:szCs w:val="24"/>
        </w:rPr>
        <w:t xml:space="preserve">This Legislative Instrument </w:t>
      </w:r>
      <w:r w:rsidR="00C14989" w:rsidRPr="00A74A89">
        <w:rPr>
          <w:rFonts w:ascii="Times New Roman" w:hAnsi="Times New Roman" w:cs="Times New Roman"/>
          <w:sz w:val="24"/>
          <w:szCs w:val="24"/>
        </w:rPr>
        <w:t>does not engage any of the applicable rights or freedoms</w:t>
      </w:r>
      <w:r w:rsidRPr="00A74A89">
        <w:rPr>
          <w:rFonts w:ascii="Times New Roman" w:hAnsi="Times New Roman" w:cs="Times New Roman"/>
          <w:sz w:val="24"/>
          <w:szCs w:val="24"/>
        </w:rPr>
        <w:t>.</w:t>
      </w:r>
    </w:p>
    <w:p w14:paraId="6CFB7F9F" w14:textId="77777777" w:rsidR="00547F8D" w:rsidRPr="00A74A89" w:rsidRDefault="00547F8D" w:rsidP="00882263">
      <w:pPr>
        <w:spacing w:before="240" w:after="240"/>
        <w:rPr>
          <w:rFonts w:ascii="Times New Roman" w:hAnsi="Times New Roman" w:cs="Times New Roman"/>
          <w:b/>
          <w:sz w:val="24"/>
          <w:szCs w:val="24"/>
        </w:rPr>
      </w:pPr>
      <w:r w:rsidRPr="00A74A89">
        <w:rPr>
          <w:rFonts w:ascii="Times New Roman" w:hAnsi="Times New Roman" w:cs="Times New Roman"/>
          <w:b/>
          <w:sz w:val="24"/>
          <w:szCs w:val="24"/>
        </w:rPr>
        <w:t>Conclusion</w:t>
      </w:r>
    </w:p>
    <w:p w14:paraId="6CFB7FA0" w14:textId="49736539" w:rsidR="00547F8D" w:rsidRPr="00A74A89" w:rsidRDefault="00547F8D" w:rsidP="00547F8D">
      <w:pPr>
        <w:spacing w:before="120" w:after="120"/>
        <w:rPr>
          <w:rFonts w:ascii="Times New Roman" w:hAnsi="Times New Roman" w:cs="Times New Roman"/>
          <w:sz w:val="24"/>
          <w:szCs w:val="24"/>
        </w:rPr>
      </w:pPr>
      <w:r w:rsidRPr="00A74A89">
        <w:rPr>
          <w:rFonts w:ascii="Times New Roman" w:hAnsi="Times New Roman" w:cs="Times New Roman"/>
          <w:sz w:val="24"/>
          <w:szCs w:val="24"/>
        </w:rPr>
        <w:t xml:space="preserve">This </w:t>
      </w:r>
      <w:r w:rsidR="00882263" w:rsidRPr="00A74A89">
        <w:rPr>
          <w:rFonts w:ascii="Times New Roman" w:hAnsi="Times New Roman" w:cs="Times New Roman"/>
          <w:sz w:val="24"/>
          <w:szCs w:val="24"/>
        </w:rPr>
        <w:t xml:space="preserve">Legislative Instrument </w:t>
      </w:r>
      <w:r w:rsidRPr="00A74A89">
        <w:rPr>
          <w:rFonts w:ascii="Times New Roman" w:hAnsi="Times New Roman" w:cs="Times New Roman"/>
          <w:sz w:val="24"/>
          <w:szCs w:val="24"/>
        </w:rPr>
        <w:t>is compatible with human rights as it does not raise any human rights issues.</w:t>
      </w:r>
    </w:p>
    <w:p w14:paraId="6CFB7FA1" w14:textId="77777777" w:rsidR="00547F8D" w:rsidRPr="00A74A89" w:rsidRDefault="00547F8D" w:rsidP="00547F8D">
      <w:pPr>
        <w:spacing w:before="120" w:after="120"/>
        <w:jc w:val="center"/>
        <w:rPr>
          <w:rFonts w:ascii="Times New Roman" w:hAnsi="Times New Roman" w:cs="Times New Roman"/>
          <w:sz w:val="24"/>
          <w:szCs w:val="24"/>
        </w:rPr>
      </w:pPr>
    </w:p>
    <w:p w14:paraId="6CFB7FA2" w14:textId="68C4004F" w:rsidR="00882263" w:rsidRDefault="00E46ABB" w:rsidP="00547F8D">
      <w:pPr>
        <w:spacing w:before="120" w:after="120"/>
        <w:jc w:val="center"/>
        <w:rPr>
          <w:rFonts w:ascii="Times New Roman" w:hAnsi="Times New Roman" w:cs="Times New Roman"/>
          <w:b/>
          <w:sz w:val="24"/>
          <w:szCs w:val="24"/>
        </w:rPr>
      </w:pPr>
      <w:r w:rsidRPr="00A74A89">
        <w:rPr>
          <w:rFonts w:ascii="Times New Roman" w:hAnsi="Times New Roman" w:cs="Times New Roman"/>
          <w:b/>
          <w:sz w:val="24"/>
          <w:szCs w:val="24"/>
        </w:rPr>
        <w:t xml:space="preserve">Hon </w:t>
      </w:r>
      <w:r w:rsidR="00A74A89" w:rsidRPr="00A74A89">
        <w:rPr>
          <w:rFonts w:ascii="Times New Roman" w:hAnsi="Times New Roman" w:cs="Times New Roman"/>
          <w:b/>
          <w:sz w:val="24"/>
          <w:szCs w:val="24"/>
        </w:rPr>
        <w:t>Madeleine King MP</w:t>
      </w:r>
    </w:p>
    <w:p w14:paraId="658A632A" w14:textId="77777777" w:rsidR="0010134E" w:rsidRDefault="00A74A89" w:rsidP="00DB0463">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Minister for Resources </w:t>
      </w:r>
    </w:p>
    <w:p w14:paraId="0ECDE861" w14:textId="77777777" w:rsidR="0010134E" w:rsidRDefault="0010134E">
      <w:pPr>
        <w:rPr>
          <w:rFonts w:ascii="Times New Roman" w:hAnsi="Times New Roman" w:cs="Times New Roman"/>
          <w:b/>
          <w:sz w:val="24"/>
          <w:szCs w:val="24"/>
        </w:rPr>
      </w:pPr>
      <w:r>
        <w:rPr>
          <w:rFonts w:ascii="Times New Roman" w:hAnsi="Times New Roman" w:cs="Times New Roman"/>
          <w:b/>
          <w:sz w:val="24"/>
          <w:szCs w:val="24"/>
        </w:rPr>
        <w:br w:type="page"/>
      </w:r>
    </w:p>
    <w:p w14:paraId="6CFB7FA3" w14:textId="7D3DE71A" w:rsidR="006472E0" w:rsidRPr="00BA117A" w:rsidRDefault="0010134E" w:rsidP="00E50BEC">
      <w:pPr>
        <w:spacing w:before="360" w:after="120"/>
        <w:jc w:val="right"/>
        <w:rPr>
          <w:rFonts w:ascii="Times New Roman" w:hAnsi="Times New Roman" w:cs="Times New Roman"/>
          <w:b/>
          <w:sz w:val="24"/>
          <w:szCs w:val="24"/>
          <w:u w:val="single"/>
        </w:rPr>
      </w:pPr>
      <w:r w:rsidRPr="00BA117A">
        <w:rPr>
          <w:rFonts w:ascii="Times New Roman" w:hAnsi="Times New Roman" w:cs="Times New Roman"/>
          <w:b/>
          <w:sz w:val="24"/>
          <w:szCs w:val="24"/>
          <w:u w:val="single"/>
        </w:rPr>
        <w:lastRenderedPageBreak/>
        <w:t>Attachment C</w:t>
      </w:r>
    </w:p>
    <w:p w14:paraId="6FF5393E" w14:textId="77777777" w:rsidR="0010134E" w:rsidRPr="008675B4" w:rsidRDefault="0010134E" w:rsidP="0010134E">
      <w:pPr>
        <w:pStyle w:val="Heading1"/>
      </w:pPr>
      <w:r w:rsidRPr="008675B4">
        <w:t xml:space="preserve">Minor Regulation Impact Statement </w:t>
      </w:r>
    </w:p>
    <w:p w14:paraId="2DA1FB15" w14:textId="77777777" w:rsidR="0010134E" w:rsidRPr="008675B4" w:rsidRDefault="0010134E" w:rsidP="0010134E">
      <w:pPr>
        <w:pStyle w:val="Heading2"/>
      </w:pPr>
      <w:proofErr w:type="spellStart"/>
      <w:r>
        <w:t>Supporting</w:t>
      </w:r>
      <w:proofErr w:type="spellEnd"/>
      <w:r>
        <w:t xml:space="preserve"> </w:t>
      </w:r>
      <w:proofErr w:type="spellStart"/>
      <w:r>
        <w:t>Resources</w:t>
      </w:r>
      <w:proofErr w:type="spellEnd"/>
      <w:r>
        <w:t xml:space="preserve"> </w:t>
      </w:r>
      <w:proofErr w:type="spellStart"/>
      <w:r>
        <w:t>Sector</w:t>
      </w:r>
      <w:proofErr w:type="spellEnd"/>
      <w:r>
        <w:t xml:space="preserve"> </w:t>
      </w:r>
      <w:proofErr w:type="spellStart"/>
      <w:r>
        <w:t>Methane</w:t>
      </w:r>
      <w:proofErr w:type="spellEnd"/>
      <w:r>
        <w:t xml:space="preserve"> Reduction</w:t>
      </w:r>
    </w:p>
    <w:p w14:paraId="3A2A1C56" w14:textId="77777777" w:rsidR="0010134E" w:rsidRPr="005B6A4B" w:rsidRDefault="0010134E" w:rsidP="0010134E">
      <w:pPr>
        <w:pStyle w:val="Heading3"/>
      </w:pPr>
      <w:r>
        <w:t>Department of Industry, Science and Resources</w:t>
      </w:r>
    </w:p>
    <w:p w14:paraId="7C8DE28F" w14:textId="77777777" w:rsidR="0010134E" w:rsidRDefault="0010134E" w:rsidP="0010134E">
      <w:pPr>
        <w:pStyle w:val="Heading3"/>
      </w:pPr>
      <w:r w:rsidRPr="005B6A4B">
        <w:t xml:space="preserve">OBPR Reference number: </w:t>
      </w:r>
      <w:r w:rsidRPr="002B5222">
        <w:t>OBPR22-03392</w:t>
      </w:r>
    </w:p>
    <w:p w14:paraId="6A39878D" w14:textId="77777777" w:rsidR="0010134E" w:rsidRPr="002504C7" w:rsidRDefault="0010134E" w:rsidP="0010134E">
      <w:pPr>
        <w:pStyle w:val="Heading3"/>
      </w:pPr>
      <w:r w:rsidRPr="002504C7">
        <w:t>Summary of the proposed policy and any options considered:</w:t>
      </w:r>
    </w:p>
    <w:p w14:paraId="3C1212F3" w14:textId="77777777" w:rsidR="0010134E" w:rsidRDefault="0010134E" w:rsidP="0010134E">
      <w:pPr>
        <w:pStyle w:val="BodyText"/>
      </w:pPr>
      <w:r>
        <w:t xml:space="preserve">This proposal seeks to repurpose </w:t>
      </w:r>
      <w:r w:rsidRPr="00AA1714">
        <w:t>$9.8</w:t>
      </w:r>
      <w:r>
        <w:t xml:space="preserve"> million from 2022-23 to 2024-25 to fund research, development and demonstration projects that advance new commercially viable options for methane abatement in the resources sector. </w:t>
      </w:r>
    </w:p>
    <w:p w14:paraId="1C6DCF3E" w14:textId="77777777" w:rsidR="0010134E" w:rsidRDefault="0010134E" w:rsidP="0010134E">
      <w:pPr>
        <w:pStyle w:val="BodyText"/>
      </w:pPr>
      <w:r>
        <w:t xml:space="preserve">As a first step, the department will procure research services through an open tender process to conduct a stocktake of barriers to methane abatement in the resources industry. This stocktake will consider what industry is currently doing and where the greatest opportunities are for reducing methane emissions through further research, </w:t>
      </w:r>
      <w:proofErr w:type="gramStart"/>
      <w:r>
        <w:t>development</w:t>
      </w:r>
      <w:proofErr w:type="gramEnd"/>
      <w:r>
        <w:t xml:space="preserve"> and deployment. </w:t>
      </w:r>
    </w:p>
    <w:p w14:paraId="3BB444A2" w14:textId="77777777" w:rsidR="0010134E" w:rsidRDefault="0010134E" w:rsidP="0010134E">
      <w:pPr>
        <w:pStyle w:val="BodyText"/>
      </w:pPr>
      <w:r>
        <w:t xml:space="preserve">The priority research technologies identified by the stocktake will become the focus of a subsequent competitive grant round open to universities, </w:t>
      </w:r>
      <w:proofErr w:type="gramStart"/>
      <w:r>
        <w:t>publicly-funded</w:t>
      </w:r>
      <w:proofErr w:type="gramEnd"/>
      <w:r>
        <w:t xml:space="preserve"> research organisations (PFROs) and non-profit research organisations. The Minister for Resources will agree the final list of priority technologies in correspondence with the Prime Minister, Finance </w:t>
      </w:r>
      <w:proofErr w:type="gramStart"/>
      <w:r>
        <w:t>Minister</w:t>
      </w:r>
      <w:proofErr w:type="gramEnd"/>
      <w:r>
        <w:t xml:space="preserve"> and Treasurer. A single round of research grant applications that will target the priority technologies will follow in 2023.</w:t>
      </w:r>
    </w:p>
    <w:p w14:paraId="0DB9BCCB" w14:textId="77777777" w:rsidR="0010134E" w:rsidRPr="002504C7" w:rsidRDefault="0010134E" w:rsidP="0010134E">
      <w:pPr>
        <w:pStyle w:val="Heading3"/>
      </w:pPr>
      <w:r w:rsidRPr="002504C7">
        <w:t xml:space="preserve">What are the regulatory impacts associated with this proposal? Explain.  </w:t>
      </w:r>
    </w:p>
    <w:p w14:paraId="298C653B" w14:textId="77777777" w:rsidR="0010134E" w:rsidRPr="002B5222" w:rsidRDefault="0010134E" w:rsidP="0010134E">
      <w:pPr>
        <w:contextualSpacing/>
        <w:rPr>
          <w:rFonts w:cstheme="minorHAnsi"/>
          <w:u w:val="single"/>
          <w:bdr w:val="none" w:sz="0" w:space="0" w:color="auto" w:frame="1"/>
          <w:lang w:val="en" w:eastAsia="en-AU"/>
        </w:rPr>
      </w:pPr>
      <w:r w:rsidRPr="002B5222">
        <w:rPr>
          <w:rFonts w:cstheme="minorHAnsi"/>
        </w:rPr>
        <w:t xml:space="preserve">Participation in the program is voluntary and no regulatory burden will be imposed on any entity not </w:t>
      </w:r>
      <w:r>
        <w:rPr>
          <w:rFonts w:cstheme="minorHAnsi"/>
        </w:rPr>
        <w:t xml:space="preserve">bidding for the procurement or </w:t>
      </w:r>
      <w:r w:rsidRPr="002B5222">
        <w:rPr>
          <w:rFonts w:cstheme="minorHAnsi"/>
        </w:rPr>
        <w:t xml:space="preserve">applying for grant funding. </w:t>
      </w:r>
      <w:r>
        <w:rPr>
          <w:rFonts w:cstheme="minorHAnsi"/>
        </w:rPr>
        <w:t>Organisations</w:t>
      </w:r>
      <w:r w:rsidRPr="002B5222">
        <w:rPr>
          <w:rFonts w:cstheme="minorHAnsi"/>
        </w:rPr>
        <w:t xml:space="preserve"> </w:t>
      </w:r>
      <w:r>
        <w:rPr>
          <w:rFonts w:cstheme="minorHAnsi"/>
        </w:rPr>
        <w:t>that</w:t>
      </w:r>
      <w:r w:rsidRPr="002B5222">
        <w:rPr>
          <w:rFonts w:cstheme="minorHAnsi"/>
        </w:rPr>
        <w:t xml:space="preserve"> </w:t>
      </w:r>
      <w:r>
        <w:rPr>
          <w:rFonts w:cstheme="minorHAnsi"/>
        </w:rPr>
        <w:t>seeking to participate in the procurement and grant program</w:t>
      </w:r>
      <w:r w:rsidRPr="002B5222">
        <w:rPr>
          <w:rFonts w:cstheme="minorHAnsi"/>
        </w:rPr>
        <w:t xml:space="preserve"> will incur administrative costs in: </w:t>
      </w:r>
    </w:p>
    <w:p w14:paraId="0A1445BB" w14:textId="77777777" w:rsidR="0010134E" w:rsidRPr="002B5222" w:rsidRDefault="0010134E" w:rsidP="0010134E">
      <w:pPr>
        <w:pStyle w:val="ListBullet2"/>
        <w:numPr>
          <w:ilvl w:val="0"/>
          <w:numId w:val="17"/>
        </w:numPr>
        <w:spacing w:after="120" w:line="276" w:lineRule="auto"/>
        <w:ind w:hanging="357"/>
        <w:contextualSpacing/>
        <w:rPr>
          <w:rFonts w:asciiTheme="minorHAnsi" w:eastAsiaTheme="minorHAnsi" w:hAnsiTheme="minorHAnsi" w:cstheme="minorHAnsi"/>
          <w:sz w:val="20"/>
          <w:szCs w:val="22"/>
        </w:rPr>
      </w:pPr>
      <w:r w:rsidRPr="002B5222">
        <w:rPr>
          <w:rFonts w:asciiTheme="minorHAnsi" w:eastAsiaTheme="minorHAnsi" w:hAnsiTheme="minorHAnsi" w:cstheme="minorHAnsi"/>
          <w:sz w:val="20"/>
          <w:szCs w:val="22"/>
        </w:rPr>
        <w:t xml:space="preserve">familiarisation with the new program and assessing whether to proceed with an application </w:t>
      </w:r>
    </w:p>
    <w:p w14:paraId="46C3BA60" w14:textId="77777777" w:rsidR="0010134E" w:rsidRDefault="0010134E" w:rsidP="0010134E">
      <w:pPr>
        <w:pStyle w:val="ListBullet2"/>
        <w:numPr>
          <w:ilvl w:val="0"/>
          <w:numId w:val="17"/>
        </w:numPr>
        <w:spacing w:after="120" w:line="276" w:lineRule="auto"/>
        <w:ind w:hanging="357"/>
        <w:contextualSpacing/>
        <w:rPr>
          <w:rFonts w:asciiTheme="minorHAnsi" w:eastAsiaTheme="minorHAnsi" w:hAnsiTheme="minorHAnsi" w:cstheme="minorHAnsi"/>
          <w:sz w:val="20"/>
          <w:szCs w:val="22"/>
        </w:rPr>
      </w:pPr>
      <w:r w:rsidRPr="002B5222">
        <w:rPr>
          <w:rFonts w:asciiTheme="minorHAnsi" w:eastAsiaTheme="minorHAnsi" w:hAnsiTheme="minorHAnsi" w:cstheme="minorHAnsi"/>
          <w:sz w:val="20"/>
          <w:szCs w:val="22"/>
        </w:rPr>
        <w:t xml:space="preserve">completing an application to demonstrate eligibility and apply for funding </w:t>
      </w:r>
    </w:p>
    <w:p w14:paraId="5DD1CB7E" w14:textId="77777777" w:rsidR="0010134E" w:rsidRPr="002B5222" w:rsidRDefault="0010134E" w:rsidP="0010134E">
      <w:pPr>
        <w:pStyle w:val="ListBullet2"/>
        <w:numPr>
          <w:ilvl w:val="0"/>
          <w:numId w:val="17"/>
        </w:numPr>
        <w:spacing w:after="0" w:line="276" w:lineRule="auto"/>
        <w:ind w:hanging="357"/>
        <w:contextualSpacing/>
        <w:rPr>
          <w:rFonts w:asciiTheme="minorHAnsi" w:eastAsiaTheme="minorHAnsi" w:hAnsiTheme="minorHAnsi" w:cstheme="minorHAnsi"/>
          <w:sz w:val="20"/>
          <w:szCs w:val="22"/>
        </w:rPr>
      </w:pPr>
      <w:r w:rsidRPr="002B5222">
        <w:rPr>
          <w:rFonts w:asciiTheme="minorHAnsi" w:eastAsiaTheme="minorHAnsi" w:hAnsiTheme="minorHAnsi" w:cstheme="minorHAnsi"/>
          <w:sz w:val="20"/>
          <w:szCs w:val="22"/>
        </w:rPr>
        <w:t>complying with reporting requireme</w:t>
      </w:r>
      <w:r>
        <w:rPr>
          <w:rFonts w:asciiTheme="minorHAnsi" w:eastAsiaTheme="minorHAnsi" w:hAnsiTheme="minorHAnsi" w:cstheme="minorHAnsi"/>
          <w:sz w:val="20"/>
          <w:szCs w:val="22"/>
        </w:rPr>
        <w:t>nts for successful applicants.</w:t>
      </w:r>
    </w:p>
    <w:p w14:paraId="547879B6" w14:textId="77777777" w:rsidR="0010134E" w:rsidRPr="002504C7" w:rsidRDefault="0010134E" w:rsidP="0010134E">
      <w:pPr>
        <w:pStyle w:val="Heading3"/>
      </w:pPr>
      <w:r>
        <w:rPr>
          <w:rFonts w:cs="Times New Roman"/>
          <w:szCs w:val="22"/>
        </w:rPr>
        <w:t>What</w:t>
      </w:r>
      <w:r w:rsidRPr="002504C7">
        <w:t xml:space="preserve"> are the regulatory costs/savings associated with this proposal? Explain and quantify. Have offsets been identified for increases in regulatory costs? If not, why? </w:t>
      </w:r>
    </w:p>
    <w:p w14:paraId="2CE22C43" w14:textId="77777777" w:rsidR="0010134E" w:rsidRPr="001A7076" w:rsidRDefault="0010134E" w:rsidP="0010134E">
      <w:pPr>
        <w:pStyle w:val="BodyText"/>
        <w:rPr>
          <w:rFonts w:cstheme="minorHAnsi"/>
        </w:rPr>
      </w:pPr>
      <w:r w:rsidRPr="001A7076">
        <w:rPr>
          <w:rFonts w:cstheme="minorHAnsi"/>
        </w:rPr>
        <w:t xml:space="preserve">A regulatory offset has not been identified. The Department of Industry, Science, and Resources anticipates that the Business Grants Hub process poses the lowest possible regulatory costs for grant applicants. </w:t>
      </w:r>
    </w:p>
    <w:p w14:paraId="7BC8C474" w14:textId="77777777" w:rsidR="0010134E" w:rsidRPr="001A7076" w:rsidRDefault="0010134E" w:rsidP="0010134E">
      <w:pPr>
        <w:rPr>
          <w:rFonts w:cstheme="minorHAnsi"/>
        </w:rPr>
      </w:pPr>
      <w:r w:rsidRPr="001A7076">
        <w:rPr>
          <w:rFonts w:cstheme="minorHAnsi"/>
        </w:rPr>
        <w:t xml:space="preserve">The total regulatory (administrative) cost incurred for this proposal over the duration of the program is approximately </w:t>
      </w:r>
      <w:r>
        <w:rPr>
          <w:rFonts w:cstheme="minorHAnsi"/>
        </w:rPr>
        <w:t>$0.058</w:t>
      </w:r>
      <w:r w:rsidRPr="004D383F">
        <w:rPr>
          <w:rFonts w:cstheme="minorHAnsi"/>
        </w:rPr>
        <w:t> million</w:t>
      </w:r>
      <w:r w:rsidRPr="001A7076">
        <w:rPr>
          <w:rFonts w:cstheme="minorHAnsi"/>
        </w:rPr>
        <w:t>. This is based on:</w:t>
      </w:r>
    </w:p>
    <w:tbl>
      <w:tblPr>
        <w:tblStyle w:val="TableGrid"/>
        <w:tblW w:w="0" w:type="auto"/>
        <w:tblLook w:val="04A0" w:firstRow="1" w:lastRow="0" w:firstColumn="1" w:lastColumn="0" w:noHBand="0" w:noVBand="1"/>
      </w:tblPr>
      <w:tblGrid>
        <w:gridCol w:w="5325"/>
        <w:gridCol w:w="1860"/>
        <w:gridCol w:w="1831"/>
      </w:tblGrid>
      <w:tr w:rsidR="0010134E" w14:paraId="59CE8FB9" w14:textId="77777777" w:rsidTr="006E0E29">
        <w:tc>
          <w:tcPr>
            <w:tcW w:w="0" w:type="auto"/>
          </w:tcPr>
          <w:p w14:paraId="6025863B" w14:textId="77777777" w:rsidR="0010134E" w:rsidRDefault="0010134E" w:rsidP="006E0E29">
            <w:pPr>
              <w:rPr>
                <w:rFonts w:ascii="Times New Roman" w:hAnsi="Times New Roman" w:cs="Times New Roman"/>
                <w:b/>
                <w:sz w:val="24"/>
              </w:rPr>
            </w:pPr>
          </w:p>
        </w:tc>
        <w:tc>
          <w:tcPr>
            <w:tcW w:w="0" w:type="auto"/>
          </w:tcPr>
          <w:p w14:paraId="1A9B7B73" w14:textId="77777777" w:rsidR="0010134E" w:rsidRDefault="0010134E" w:rsidP="006E0E29">
            <w:pPr>
              <w:rPr>
                <w:rFonts w:ascii="Times New Roman" w:hAnsi="Times New Roman" w:cs="Times New Roman"/>
                <w:b/>
                <w:sz w:val="24"/>
              </w:rPr>
            </w:pPr>
            <w:r>
              <w:rPr>
                <w:rFonts w:ascii="Times New Roman" w:hAnsi="Times New Roman" w:cs="Times New Roman"/>
                <w:b/>
                <w:sz w:val="24"/>
              </w:rPr>
              <w:t>Procurement</w:t>
            </w:r>
          </w:p>
        </w:tc>
        <w:tc>
          <w:tcPr>
            <w:tcW w:w="0" w:type="auto"/>
          </w:tcPr>
          <w:p w14:paraId="59DBA179" w14:textId="77777777" w:rsidR="0010134E" w:rsidRDefault="0010134E" w:rsidP="006E0E29">
            <w:pPr>
              <w:rPr>
                <w:rFonts w:ascii="Times New Roman" w:hAnsi="Times New Roman" w:cs="Times New Roman"/>
                <w:b/>
                <w:sz w:val="24"/>
              </w:rPr>
            </w:pPr>
            <w:r>
              <w:rPr>
                <w:rFonts w:ascii="Times New Roman" w:hAnsi="Times New Roman" w:cs="Times New Roman"/>
                <w:b/>
                <w:sz w:val="24"/>
              </w:rPr>
              <w:t>Grants program</w:t>
            </w:r>
          </w:p>
        </w:tc>
      </w:tr>
      <w:tr w:rsidR="0010134E" w14:paraId="76F0D5A1" w14:textId="77777777" w:rsidTr="006E0E29">
        <w:tc>
          <w:tcPr>
            <w:tcW w:w="0" w:type="auto"/>
          </w:tcPr>
          <w:p w14:paraId="646C9435" w14:textId="77777777" w:rsidR="0010134E" w:rsidRPr="001A7076" w:rsidRDefault="0010134E" w:rsidP="006E0E29">
            <w:pPr>
              <w:rPr>
                <w:rFonts w:cstheme="minorHAnsi"/>
              </w:rPr>
            </w:pPr>
            <w:r w:rsidRPr="001A7076">
              <w:rPr>
                <w:rFonts w:cstheme="minorHAnsi"/>
              </w:rPr>
              <w:t>Hourly labour cost</w:t>
            </w:r>
          </w:p>
        </w:tc>
        <w:tc>
          <w:tcPr>
            <w:tcW w:w="0" w:type="auto"/>
            <w:gridSpan w:val="2"/>
          </w:tcPr>
          <w:p w14:paraId="347E9397" w14:textId="77777777" w:rsidR="0010134E" w:rsidRDefault="0010134E" w:rsidP="006E0E29">
            <w:pPr>
              <w:rPr>
                <w:rFonts w:ascii="Times New Roman" w:hAnsi="Times New Roman" w:cs="Times New Roman"/>
                <w:b/>
                <w:sz w:val="24"/>
              </w:rPr>
            </w:pPr>
            <w:r w:rsidRPr="00B7278C">
              <w:rPr>
                <w:rFonts w:cs="Times New Roman"/>
                <w:szCs w:val="22"/>
              </w:rPr>
              <w:t>$73.05 per hour (hourly cost of $41.74 x 1.75 for on-costs)</w:t>
            </w:r>
          </w:p>
        </w:tc>
      </w:tr>
      <w:tr w:rsidR="0010134E" w14:paraId="282A2681" w14:textId="77777777" w:rsidTr="006E0E29">
        <w:tc>
          <w:tcPr>
            <w:tcW w:w="0" w:type="auto"/>
          </w:tcPr>
          <w:p w14:paraId="10407029" w14:textId="77777777" w:rsidR="0010134E" w:rsidRPr="001A7076" w:rsidRDefault="0010134E" w:rsidP="006E0E29">
            <w:pPr>
              <w:rPr>
                <w:rFonts w:cstheme="minorHAnsi"/>
              </w:rPr>
            </w:pPr>
            <w:r w:rsidRPr="001A7076">
              <w:rPr>
                <w:rFonts w:cstheme="minorHAnsi"/>
              </w:rPr>
              <w:t>Estimated number of applicants</w:t>
            </w:r>
          </w:p>
        </w:tc>
        <w:tc>
          <w:tcPr>
            <w:tcW w:w="0" w:type="auto"/>
          </w:tcPr>
          <w:p w14:paraId="131B9350" w14:textId="77777777" w:rsidR="0010134E" w:rsidRPr="001A7076" w:rsidRDefault="0010134E" w:rsidP="006E0E29">
            <w:pPr>
              <w:rPr>
                <w:rFonts w:cstheme="minorHAnsi"/>
              </w:rPr>
            </w:pPr>
            <w:r w:rsidRPr="001A7076">
              <w:rPr>
                <w:rFonts w:cstheme="minorHAnsi"/>
              </w:rPr>
              <w:t>5</w:t>
            </w:r>
          </w:p>
        </w:tc>
        <w:tc>
          <w:tcPr>
            <w:tcW w:w="0" w:type="auto"/>
          </w:tcPr>
          <w:p w14:paraId="23EF234E" w14:textId="77777777" w:rsidR="0010134E" w:rsidRPr="001A7076" w:rsidRDefault="0010134E" w:rsidP="006E0E29">
            <w:pPr>
              <w:rPr>
                <w:rFonts w:cstheme="minorHAnsi"/>
              </w:rPr>
            </w:pPr>
            <w:r>
              <w:rPr>
                <w:rFonts w:cstheme="minorHAnsi"/>
              </w:rPr>
              <w:t>20</w:t>
            </w:r>
          </w:p>
        </w:tc>
      </w:tr>
      <w:tr w:rsidR="0010134E" w14:paraId="2783FFF2" w14:textId="77777777" w:rsidTr="006E0E29">
        <w:tc>
          <w:tcPr>
            <w:tcW w:w="0" w:type="auto"/>
          </w:tcPr>
          <w:p w14:paraId="7413DB0F" w14:textId="77777777" w:rsidR="0010134E" w:rsidRDefault="0010134E" w:rsidP="006E0E29">
            <w:pPr>
              <w:rPr>
                <w:rFonts w:ascii="Times New Roman" w:hAnsi="Times New Roman" w:cs="Times New Roman"/>
                <w:b/>
                <w:sz w:val="24"/>
              </w:rPr>
            </w:pPr>
            <w:r>
              <w:rPr>
                <w:rFonts w:cs="Times New Roman"/>
                <w:szCs w:val="22"/>
              </w:rPr>
              <w:t>Hours</w:t>
            </w:r>
            <w:r w:rsidRPr="00B7278C">
              <w:rPr>
                <w:rFonts w:cs="Times New Roman"/>
                <w:szCs w:val="22"/>
              </w:rPr>
              <w:t xml:space="preserve"> taken for </w:t>
            </w:r>
            <w:r>
              <w:rPr>
                <w:rFonts w:cs="Times New Roman"/>
                <w:szCs w:val="22"/>
              </w:rPr>
              <w:t>organisations</w:t>
            </w:r>
            <w:r w:rsidRPr="00B7278C">
              <w:rPr>
                <w:rFonts w:cs="Times New Roman"/>
                <w:szCs w:val="22"/>
              </w:rPr>
              <w:t xml:space="preserve"> to familiarise</w:t>
            </w:r>
            <w:r>
              <w:rPr>
                <w:rFonts w:cs="Times New Roman"/>
                <w:szCs w:val="22"/>
              </w:rPr>
              <w:t xml:space="preserve"> themselves</w:t>
            </w:r>
            <w:r w:rsidRPr="00B7278C">
              <w:rPr>
                <w:rFonts w:cs="Times New Roman"/>
                <w:szCs w:val="22"/>
              </w:rPr>
              <w:t xml:space="preserve"> with the program and assess whether to proceed with an application</w:t>
            </w:r>
          </w:p>
        </w:tc>
        <w:tc>
          <w:tcPr>
            <w:tcW w:w="0" w:type="auto"/>
          </w:tcPr>
          <w:p w14:paraId="38C7B121" w14:textId="77777777" w:rsidR="0010134E" w:rsidRPr="001A7076" w:rsidRDefault="0010134E" w:rsidP="006E0E29">
            <w:pPr>
              <w:rPr>
                <w:rFonts w:cstheme="minorHAnsi"/>
              </w:rPr>
            </w:pPr>
            <w:r w:rsidRPr="001A7076">
              <w:rPr>
                <w:rFonts w:cstheme="minorHAnsi"/>
              </w:rPr>
              <w:t>2</w:t>
            </w:r>
          </w:p>
        </w:tc>
        <w:tc>
          <w:tcPr>
            <w:tcW w:w="0" w:type="auto"/>
          </w:tcPr>
          <w:p w14:paraId="5FE3215E" w14:textId="77777777" w:rsidR="0010134E" w:rsidRPr="001A7076" w:rsidRDefault="0010134E" w:rsidP="006E0E29">
            <w:pPr>
              <w:rPr>
                <w:rFonts w:cstheme="minorHAnsi"/>
              </w:rPr>
            </w:pPr>
            <w:r>
              <w:rPr>
                <w:rFonts w:cstheme="minorHAnsi"/>
              </w:rPr>
              <w:t>2</w:t>
            </w:r>
          </w:p>
        </w:tc>
      </w:tr>
      <w:tr w:rsidR="0010134E" w14:paraId="5A776CAE" w14:textId="77777777" w:rsidTr="006E0E29">
        <w:tc>
          <w:tcPr>
            <w:tcW w:w="0" w:type="auto"/>
          </w:tcPr>
          <w:p w14:paraId="0DFEB6DE" w14:textId="77777777" w:rsidR="0010134E" w:rsidRDefault="0010134E" w:rsidP="006E0E29">
            <w:pPr>
              <w:rPr>
                <w:rFonts w:ascii="Times New Roman" w:hAnsi="Times New Roman" w:cs="Times New Roman"/>
                <w:b/>
                <w:sz w:val="24"/>
              </w:rPr>
            </w:pPr>
            <w:r>
              <w:rPr>
                <w:rFonts w:cs="Times New Roman"/>
                <w:szCs w:val="22"/>
              </w:rPr>
              <w:t xml:space="preserve">time taken to prepare an </w:t>
            </w:r>
            <w:r w:rsidRPr="00B7278C">
              <w:rPr>
                <w:rFonts w:cs="Times New Roman"/>
                <w:szCs w:val="22"/>
              </w:rPr>
              <w:t>application</w:t>
            </w:r>
          </w:p>
        </w:tc>
        <w:tc>
          <w:tcPr>
            <w:tcW w:w="0" w:type="auto"/>
          </w:tcPr>
          <w:p w14:paraId="7FBA0EDA" w14:textId="77777777" w:rsidR="0010134E" w:rsidRPr="001A7076" w:rsidRDefault="0010134E" w:rsidP="006E0E29">
            <w:pPr>
              <w:rPr>
                <w:rFonts w:cstheme="minorHAnsi"/>
              </w:rPr>
            </w:pPr>
            <w:r>
              <w:rPr>
                <w:rFonts w:cstheme="minorHAnsi"/>
              </w:rPr>
              <w:t>22.5</w:t>
            </w:r>
          </w:p>
        </w:tc>
        <w:tc>
          <w:tcPr>
            <w:tcW w:w="0" w:type="auto"/>
          </w:tcPr>
          <w:p w14:paraId="1FD8C7D8" w14:textId="77777777" w:rsidR="0010134E" w:rsidRPr="001A7076" w:rsidRDefault="0010134E" w:rsidP="006E0E29">
            <w:pPr>
              <w:rPr>
                <w:rFonts w:cstheme="minorHAnsi"/>
              </w:rPr>
            </w:pPr>
            <w:r>
              <w:rPr>
                <w:rFonts w:cstheme="minorHAnsi"/>
              </w:rPr>
              <w:t>22.5</w:t>
            </w:r>
          </w:p>
        </w:tc>
      </w:tr>
      <w:tr w:rsidR="0010134E" w14:paraId="395D39C2" w14:textId="77777777" w:rsidTr="006E0E29">
        <w:tc>
          <w:tcPr>
            <w:tcW w:w="0" w:type="auto"/>
          </w:tcPr>
          <w:p w14:paraId="3291266E" w14:textId="77777777" w:rsidR="0010134E" w:rsidRPr="00B7278C" w:rsidRDefault="0010134E" w:rsidP="006E0E29">
            <w:pPr>
              <w:rPr>
                <w:rFonts w:cs="Times New Roman"/>
                <w:szCs w:val="22"/>
              </w:rPr>
            </w:pPr>
            <w:r>
              <w:rPr>
                <w:rFonts w:cs="Times New Roman"/>
                <w:szCs w:val="22"/>
              </w:rPr>
              <w:t>Grants delivered</w:t>
            </w:r>
          </w:p>
        </w:tc>
        <w:tc>
          <w:tcPr>
            <w:tcW w:w="0" w:type="auto"/>
          </w:tcPr>
          <w:p w14:paraId="057C0DED" w14:textId="77777777" w:rsidR="0010134E" w:rsidRPr="001A7076" w:rsidRDefault="0010134E" w:rsidP="006E0E29">
            <w:pPr>
              <w:rPr>
                <w:rFonts w:cstheme="minorHAnsi"/>
              </w:rPr>
            </w:pPr>
            <w:r>
              <w:rPr>
                <w:rFonts w:cstheme="minorHAnsi"/>
              </w:rPr>
              <w:t>N/A</w:t>
            </w:r>
          </w:p>
        </w:tc>
        <w:tc>
          <w:tcPr>
            <w:tcW w:w="0" w:type="auto"/>
          </w:tcPr>
          <w:p w14:paraId="032EE6E9" w14:textId="77777777" w:rsidR="0010134E" w:rsidRPr="001A7076" w:rsidRDefault="0010134E" w:rsidP="006E0E29">
            <w:pPr>
              <w:rPr>
                <w:rFonts w:cstheme="minorHAnsi"/>
              </w:rPr>
            </w:pPr>
            <w:r>
              <w:rPr>
                <w:rFonts w:cstheme="minorHAnsi"/>
              </w:rPr>
              <w:t>5</w:t>
            </w:r>
          </w:p>
        </w:tc>
      </w:tr>
      <w:tr w:rsidR="0010134E" w14:paraId="624FE698" w14:textId="77777777" w:rsidTr="006E0E29">
        <w:tc>
          <w:tcPr>
            <w:tcW w:w="0" w:type="auto"/>
          </w:tcPr>
          <w:p w14:paraId="487D9B66" w14:textId="77777777" w:rsidR="0010134E" w:rsidRDefault="0010134E" w:rsidP="006E0E29">
            <w:pPr>
              <w:rPr>
                <w:rFonts w:ascii="Times New Roman" w:hAnsi="Times New Roman" w:cs="Times New Roman"/>
                <w:b/>
                <w:sz w:val="24"/>
              </w:rPr>
            </w:pPr>
            <w:r>
              <w:rPr>
                <w:rFonts w:cs="Times New Roman"/>
                <w:szCs w:val="22"/>
              </w:rPr>
              <w:t>Hours</w:t>
            </w:r>
            <w:r w:rsidRPr="00B7278C">
              <w:rPr>
                <w:rFonts w:cs="Times New Roman"/>
                <w:szCs w:val="22"/>
              </w:rPr>
              <w:t xml:space="preserve"> taken to comply with reporting requirements</w:t>
            </w:r>
          </w:p>
        </w:tc>
        <w:tc>
          <w:tcPr>
            <w:tcW w:w="0" w:type="auto"/>
          </w:tcPr>
          <w:p w14:paraId="15BF7352" w14:textId="77777777" w:rsidR="0010134E" w:rsidRPr="001A7076" w:rsidRDefault="0010134E" w:rsidP="006E0E29">
            <w:pPr>
              <w:rPr>
                <w:rFonts w:cstheme="minorHAnsi"/>
              </w:rPr>
            </w:pPr>
            <w:r>
              <w:rPr>
                <w:rFonts w:cstheme="minorHAnsi"/>
              </w:rPr>
              <w:t>N/A</w:t>
            </w:r>
          </w:p>
        </w:tc>
        <w:tc>
          <w:tcPr>
            <w:tcW w:w="0" w:type="auto"/>
          </w:tcPr>
          <w:p w14:paraId="6CB7CD67" w14:textId="77777777" w:rsidR="0010134E" w:rsidRPr="001A7076" w:rsidRDefault="0010134E" w:rsidP="006E0E29">
            <w:pPr>
              <w:rPr>
                <w:rFonts w:cstheme="minorHAnsi"/>
              </w:rPr>
            </w:pPr>
            <w:r>
              <w:rPr>
                <w:rFonts w:cstheme="minorHAnsi"/>
              </w:rPr>
              <w:t>25</w:t>
            </w:r>
          </w:p>
        </w:tc>
      </w:tr>
      <w:tr w:rsidR="0010134E" w14:paraId="22927A8C" w14:textId="77777777" w:rsidTr="006E0E29">
        <w:tc>
          <w:tcPr>
            <w:tcW w:w="0" w:type="auto"/>
            <w:shd w:val="clear" w:color="auto" w:fill="D9D9D9" w:themeFill="background1" w:themeFillShade="D9"/>
          </w:tcPr>
          <w:p w14:paraId="2E4E50ED" w14:textId="77777777" w:rsidR="0010134E" w:rsidRDefault="0010134E" w:rsidP="006E0E29">
            <w:pPr>
              <w:rPr>
                <w:rFonts w:ascii="Times New Roman" w:hAnsi="Times New Roman" w:cs="Times New Roman"/>
                <w:b/>
                <w:sz w:val="24"/>
              </w:rPr>
            </w:pPr>
            <w:r>
              <w:rPr>
                <w:rFonts w:ascii="Times New Roman" w:hAnsi="Times New Roman" w:cs="Times New Roman"/>
                <w:b/>
                <w:sz w:val="24"/>
              </w:rPr>
              <w:t>Sub-total ($)</w:t>
            </w:r>
          </w:p>
        </w:tc>
        <w:tc>
          <w:tcPr>
            <w:tcW w:w="0" w:type="auto"/>
            <w:shd w:val="clear" w:color="auto" w:fill="D9D9D9" w:themeFill="background1" w:themeFillShade="D9"/>
          </w:tcPr>
          <w:p w14:paraId="0D8369AB" w14:textId="77777777" w:rsidR="0010134E" w:rsidRPr="001A7076" w:rsidRDefault="0010134E" w:rsidP="006E0E29">
            <w:pPr>
              <w:rPr>
                <w:rFonts w:cstheme="minorHAnsi"/>
              </w:rPr>
            </w:pPr>
            <w:r>
              <w:rPr>
                <w:rFonts w:cstheme="minorHAnsi"/>
              </w:rPr>
              <w:t>8,950</w:t>
            </w:r>
          </w:p>
        </w:tc>
        <w:tc>
          <w:tcPr>
            <w:tcW w:w="0" w:type="auto"/>
            <w:shd w:val="clear" w:color="auto" w:fill="D9D9D9" w:themeFill="background1" w:themeFillShade="D9"/>
          </w:tcPr>
          <w:p w14:paraId="0579893C" w14:textId="77777777" w:rsidR="0010134E" w:rsidRPr="001A7076" w:rsidRDefault="0010134E" w:rsidP="006E0E29">
            <w:pPr>
              <w:rPr>
                <w:rFonts w:cstheme="minorHAnsi"/>
              </w:rPr>
            </w:pPr>
            <w:r>
              <w:rPr>
                <w:rFonts w:cstheme="minorHAnsi"/>
              </w:rPr>
              <w:t>44,900</w:t>
            </w:r>
          </w:p>
        </w:tc>
      </w:tr>
      <w:tr w:rsidR="0010134E" w14:paraId="6F201686" w14:textId="77777777" w:rsidTr="006E0E29">
        <w:tc>
          <w:tcPr>
            <w:tcW w:w="0" w:type="auto"/>
            <w:shd w:val="clear" w:color="auto" w:fill="BFBFBF" w:themeFill="background1" w:themeFillShade="BF"/>
          </w:tcPr>
          <w:p w14:paraId="687405BA" w14:textId="77777777" w:rsidR="0010134E" w:rsidRDefault="0010134E" w:rsidP="006E0E29">
            <w:pPr>
              <w:rPr>
                <w:rFonts w:ascii="Times New Roman" w:hAnsi="Times New Roman" w:cs="Times New Roman"/>
                <w:b/>
                <w:sz w:val="24"/>
              </w:rPr>
            </w:pPr>
            <w:r>
              <w:rPr>
                <w:rFonts w:ascii="Times New Roman" w:hAnsi="Times New Roman" w:cs="Times New Roman"/>
                <w:b/>
                <w:sz w:val="24"/>
              </w:rPr>
              <w:t>Grand total ($)</w:t>
            </w:r>
          </w:p>
        </w:tc>
        <w:tc>
          <w:tcPr>
            <w:tcW w:w="0" w:type="auto"/>
            <w:gridSpan w:val="2"/>
            <w:shd w:val="clear" w:color="auto" w:fill="BFBFBF" w:themeFill="background1" w:themeFillShade="BF"/>
          </w:tcPr>
          <w:p w14:paraId="460CAB9A" w14:textId="77777777" w:rsidR="0010134E" w:rsidRPr="009D4710" w:rsidRDefault="0010134E" w:rsidP="006E0E29">
            <w:pPr>
              <w:rPr>
                <w:rFonts w:cstheme="minorHAnsi"/>
                <w:b/>
              </w:rPr>
            </w:pPr>
            <w:r>
              <w:rPr>
                <w:rFonts w:cstheme="minorHAnsi"/>
                <w:b/>
              </w:rPr>
              <w:t>53,850</w:t>
            </w:r>
          </w:p>
        </w:tc>
      </w:tr>
    </w:tbl>
    <w:p w14:paraId="3D0CFBE1" w14:textId="77777777" w:rsidR="0010134E" w:rsidRPr="00B7278C" w:rsidRDefault="0010134E" w:rsidP="0010134E">
      <w:pPr>
        <w:rPr>
          <w:rFonts w:ascii="Times New Roman" w:hAnsi="Times New Roman" w:cs="Times New Roman"/>
          <w:b/>
          <w:sz w:val="24"/>
        </w:rPr>
      </w:pPr>
    </w:p>
    <w:p w14:paraId="3627C17A" w14:textId="77777777" w:rsidR="0010134E" w:rsidRDefault="0010134E" w:rsidP="0010134E">
      <w:pPr>
        <w:pStyle w:val="Heading3"/>
      </w:pPr>
      <w:r>
        <w:t xml:space="preserve">Regulatory burden </w:t>
      </w:r>
      <w:r w:rsidRPr="008675B4">
        <w:t>estimate</w:t>
      </w:r>
      <w:r>
        <w:t xml:space="preserve"> (RBE) table</w:t>
      </w:r>
    </w:p>
    <w:p w14:paraId="2E363DE3" w14:textId="77777777" w:rsidR="0010134E" w:rsidRPr="004957C1" w:rsidRDefault="0010134E" w:rsidP="0010134E">
      <w:pPr>
        <w:pStyle w:val="BodyText"/>
      </w:pPr>
      <w:r>
        <w:t xml:space="preserve">This table can be used to present quantifiable impacts using the Regulatory Burden Measurement Framework. Please refer to the Regulatory Measurement Framework Guidance Note, available on the OBPR website, for more information. </w:t>
      </w:r>
    </w:p>
    <w:tbl>
      <w:tblPr>
        <w:tblStyle w:val="PMCTableStyle2"/>
        <w:tblW w:w="0" w:type="auto"/>
        <w:tblLook w:val="0660" w:firstRow="1" w:lastRow="1" w:firstColumn="0" w:lastColumn="0" w:noHBand="1" w:noVBand="1"/>
      </w:tblPr>
      <w:tblGrid>
        <w:gridCol w:w="2111"/>
        <w:gridCol w:w="1482"/>
        <w:gridCol w:w="1401"/>
        <w:gridCol w:w="2232"/>
        <w:gridCol w:w="235"/>
        <w:gridCol w:w="1555"/>
      </w:tblGrid>
      <w:tr w:rsidR="0010134E" w14:paraId="44F760ED" w14:textId="77777777" w:rsidTr="006E0E29">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71F0FBC3" w14:textId="77777777" w:rsidR="0010134E" w:rsidRDefault="0010134E" w:rsidP="006E0E29">
            <w:pPr>
              <w:pStyle w:val="TableHeading"/>
            </w:pPr>
            <w:r>
              <w:t>Average annual regulatory costs</w:t>
            </w:r>
          </w:p>
        </w:tc>
      </w:tr>
      <w:tr w:rsidR="0010134E" w:rsidRPr="00BC1972" w14:paraId="1188D2A6" w14:textId="77777777" w:rsidTr="006E0E29">
        <w:trPr>
          <w:trHeight w:val="350"/>
        </w:trPr>
        <w:tc>
          <w:tcPr>
            <w:tcW w:w="2547" w:type="dxa"/>
          </w:tcPr>
          <w:p w14:paraId="614E2BF4" w14:textId="77777777" w:rsidR="0010134E" w:rsidRPr="00BC1972" w:rsidRDefault="0010134E" w:rsidP="006E0E29">
            <w:pPr>
              <w:pStyle w:val="TableBody"/>
            </w:pPr>
            <w:r>
              <w:t>Change in costs ($ million)</w:t>
            </w:r>
          </w:p>
        </w:tc>
        <w:tc>
          <w:tcPr>
            <w:tcW w:w="1538" w:type="dxa"/>
          </w:tcPr>
          <w:p w14:paraId="0EF910E7" w14:textId="77777777" w:rsidR="0010134E" w:rsidRPr="00BC1972" w:rsidRDefault="0010134E" w:rsidP="006E0E29">
            <w:pPr>
              <w:pStyle w:val="TableBody"/>
            </w:pPr>
            <w:r>
              <w:t>Individuals</w:t>
            </w:r>
          </w:p>
        </w:tc>
        <w:tc>
          <w:tcPr>
            <w:tcW w:w="1482" w:type="dxa"/>
          </w:tcPr>
          <w:p w14:paraId="040A188E" w14:textId="77777777" w:rsidR="0010134E" w:rsidRPr="00BC1972" w:rsidRDefault="0010134E" w:rsidP="006E0E29">
            <w:pPr>
              <w:pStyle w:val="TableBullet"/>
              <w:numPr>
                <w:ilvl w:val="0"/>
                <w:numId w:val="0"/>
              </w:numPr>
              <w:ind w:left="19"/>
            </w:pPr>
            <w:r>
              <w:t>Business</w:t>
            </w:r>
            <w:r w:rsidRPr="00BC1972">
              <w:t xml:space="preserve"> </w:t>
            </w:r>
          </w:p>
        </w:tc>
        <w:tc>
          <w:tcPr>
            <w:tcW w:w="2531" w:type="dxa"/>
          </w:tcPr>
          <w:p w14:paraId="125CC0A0" w14:textId="77777777" w:rsidR="0010134E" w:rsidRPr="00BC1972" w:rsidRDefault="0010134E" w:rsidP="006E0E29">
            <w:pPr>
              <w:pStyle w:val="TableBody"/>
            </w:pPr>
            <w:r>
              <w:t>Community organisations</w:t>
            </w:r>
          </w:p>
        </w:tc>
        <w:tc>
          <w:tcPr>
            <w:tcW w:w="2096" w:type="dxa"/>
            <w:gridSpan w:val="2"/>
          </w:tcPr>
          <w:p w14:paraId="0B568714" w14:textId="77777777" w:rsidR="0010134E" w:rsidRPr="00BC1972" w:rsidRDefault="0010134E" w:rsidP="006E0E29">
            <w:pPr>
              <w:pStyle w:val="TableNumbering"/>
              <w:numPr>
                <w:ilvl w:val="0"/>
                <w:numId w:val="0"/>
              </w:numPr>
            </w:pPr>
            <w:r>
              <w:t>Total change in cost</w:t>
            </w:r>
          </w:p>
        </w:tc>
      </w:tr>
      <w:tr w:rsidR="0010134E" w:rsidRPr="00BC1972" w14:paraId="1BAB5AE5" w14:textId="77777777" w:rsidTr="006E0E29">
        <w:trPr>
          <w:cnfStyle w:val="010000000000" w:firstRow="0" w:lastRow="1" w:firstColumn="0" w:lastColumn="0" w:oddVBand="0" w:evenVBand="0" w:oddHBand="0" w:evenHBand="0" w:firstRowFirstColumn="0" w:firstRowLastColumn="0" w:lastRowFirstColumn="0" w:lastRowLastColumn="0"/>
          <w:trHeight w:val="350"/>
        </w:trPr>
        <w:tc>
          <w:tcPr>
            <w:tcW w:w="2547" w:type="dxa"/>
          </w:tcPr>
          <w:p w14:paraId="4905EF9D" w14:textId="77777777" w:rsidR="0010134E" w:rsidRPr="00BC1972" w:rsidRDefault="0010134E" w:rsidP="006E0E29">
            <w:pPr>
              <w:pStyle w:val="TableBody"/>
            </w:pPr>
            <w:r>
              <w:t>Total, by sector</w:t>
            </w:r>
          </w:p>
        </w:tc>
        <w:tc>
          <w:tcPr>
            <w:tcW w:w="1538" w:type="dxa"/>
          </w:tcPr>
          <w:p w14:paraId="03C6348D" w14:textId="77777777" w:rsidR="0010134E" w:rsidRPr="00BC1972" w:rsidRDefault="0010134E" w:rsidP="006E0E29">
            <w:pPr>
              <w:pStyle w:val="TableBody"/>
            </w:pPr>
            <w:r>
              <w:t>$0</w:t>
            </w:r>
          </w:p>
        </w:tc>
        <w:tc>
          <w:tcPr>
            <w:tcW w:w="1482" w:type="dxa"/>
          </w:tcPr>
          <w:p w14:paraId="65DAC8E2" w14:textId="77777777" w:rsidR="0010134E" w:rsidRPr="00BC1972" w:rsidRDefault="0010134E" w:rsidP="006E0E29">
            <w:pPr>
              <w:pStyle w:val="TableBullet"/>
              <w:numPr>
                <w:ilvl w:val="0"/>
                <w:numId w:val="0"/>
              </w:numPr>
            </w:pPr>
            <w:r>
              <w:t>$0.058</w:t>
            </w:r>
          </w:p>
        </w:tc>
        <w:tc>
          <w:tcPr>
            <w:tcW w:w="2866" w:type="dxa"/>
            <w:gridSpan w:val="2"/>
          </w:tcPr>
          <w:p w14:paraId="155960C5" w14:textId="77777777" w:rsidR="0010134E" w:rsidRPr="00BC1972" w:rsidRDefault="0010134E" w:rsidP="006E0E29">
            <w:pPr>
              <w:pStyle w:val="TableNumbering"/>
              <w:numPr>
                <w:ilvl w:val="0"/>
                <w:numId w:val="0"/>
              </w:numPr>
              <w:ind w:left="284" w:hanging="284"/>
            </w:pPr>
            <w:r>
              <w:t>$0</w:t>
            </w:r>
          </w:p>
        </w:tc>
        <w:tc>
          <w:tcPr>
            <w:tcW w:w="1761" w:type="dxa"/>
          </w:tcPr>
          <w:p w14:paraId="20E210CD" w14:textId="77777777" w:rsidR="0010134E" w:rsidRPr="00BC1972" w:rsidRDefault="0010134E" w:rsidP="006E0E29">
            <w:pPr>
              <w:pStyle w:val="TableNumbering"/>
              <w:numPr>
                <w:ilvl w:val="0"/>
                <w:numId w:val="0"/>
              </w:numPr>
              <w:ind w:left="284" w:hanging="284"/>
            </w:pPr>
            <w:r w:rsidRPr="004872E2">
              <w:rPr>
                <w:rFonts w:cstheme="minorHAnsi"/>
                <w:lang w:eastAsia="en-AU"/>
              </w:rPr>
              <w:t>$</w:t>
            </w:r>
            <w:r>
              <w:rPr>
                <w:rFonts w:cstheme="minorHAnsi"/>
                <w:lang w:eastAsia="en-AU"/>
              </w:rPr>
              <w:t>0.058</w:t>
            </w:r>
          </w:p>
        </w:tc>
      </w:tr>
    </w:tbl>
    <w:p w14:paraId="17CAD58A" w14:textId="77777777" w:rsidR="0010134E" w:rsidRPr="00D970B5" w:rsidRDefault="0010134E" w:rsidP="0010134E">
      <w:pPr>
        <w:pStyle w:val="BodyText"/>
      </w:pPr>
    </w:p>
    <w:p w14:paraId="5B6EDA82" w14:textId="77777777" w:rsidR="0010134E" w:rsidRPr="00D970B5" w:rsidRDefault="0010134E" w:rsidP="0010134E">
      <w:pPr>
        <w:pStyle w:val="BodyText"/>
      </w:pPr>
    </w:p>
    <w:p w14:paraId="71544955" w14:textId="77777777" w:rsidR="0010134E" w:rsidRPr="00547F8D" w:rsidRDefault="0010134E" w:rsidP="00DB0463">
      <w:pPr>
        <w:spacing w:before="120" w:after="120"/>
        <w:jc w:val="center"/>
        <w:rPr>
          <w:rFonts w:ascii="Times New Roman" w:hAnsi="Times New Roman" w:cs="Times New Roman"/>
          <w:b/>
          <w:sz w:val="24"/>
          <w:szCs w:val="24"/>
        </w:rPr>
      </w:pPr>
    </w:p>
    <w:sectPr w:rsidR="0010134E"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72B4" w14:textId="77777777" w:rsidR="0085625D" w:rsidRDefault="0085625D" w:rsidP="007173D4">
      <w:pPr>
        <w:spacing w:after="0" w:line="240" w:lineRule="auto"/>
      </w:pPr>
      <w:r>
        <w:separator/>
      </w:r>
    </w:p>
  </w:endnote>
  <w:endnote w:type="continuationSeparator" w:id="0">
    <w:p w14:paraId="6C78CCC3" w14:textId="77777777" w:rsidR="0085625D" w:rsidRDefault="0085625D" w:rsidP="007173D4">
      <w:pPr>
        <w:spacing w:after="0" w:line="240" w:lineRule="auto"/>
      </w:pPr>
      <w:r>
        <w:continuationSeparator/>
      </w:r>
    </w:p>
  </w:endnote>
  <w:endnote w:type="continuationNotice" w:id="1">
    <w:p w14:paraId="473BE79D" w14:textId="77777777" w:rsidR="0085625D" w:rsidRDefault="00856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2BDB" w14:textId="77777777" w:rsidR="00744707" w:rsidRDefault="00744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91919"/>
      <w:docPartObj>
        <w:docPartGallery w:val="Page Numbers (Bottom of Page)"/>
        <w:docPartUnique/>
      </w:docPartObj>
    </w:sdtPr>
    <w:sdtEndPr>
      <w:rPr>
        <w:noProof/>
      </w:rPr>
    </w:sdtEndPr>
    <w:sdtContent>
      <w:p w14:paraId="290A3E36" w14:textId="5AF50B4D" w:rsidR="00C937FA" w:rsidRDefault="00C937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5A71A" w14:textId="77777777" w:rsidR="00C937FA" w:rsidRDefault="00C9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D9C7" w14:textId="77777777" w:rsidR="00744707" w:rsidRDefault="0074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5046" w14:textId="77777777" w:rsidR="0085625D" w:rsidRDefault="0085625D" w:rsidP="007173D4">
      <w:pPr>
        <w:spacing w:after="0" w:line="240" w:lineRule="auto"/>
      </w:pPr>
      <w:r>
        <w:separator/>
      </w:r>
    </w:p>
  </w:footnote>
  <w:footnote w:type="continuationSeparator" w:id="0">
    <w:p w14:paraId="2B91DD5E" w14:textId="77777777" w:rsidR="0085625D" w:rsidRDefault="0085625D" w:rsidP="007173D4">
      <w:pPr>
        <w:spacing w:after="0" w:line="240" w:lineRule="auto"/>
      </w:pPr>
      <w:r>
        <w:continuationSeparator/>
      </w:r>
    </w:p>
  </w:footnote>
  <w:footnote w:type="continuationNotice" w:id="1">
    <w:p w14:paraId="38B85B07" w14:textId="77777777" w:rsidR="0085625D" w:rsidRDefault="00856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404B" w14:textId="77777777" w:rsidR="00744707" w:rsidRDefault="00744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021F" w14:textId="77777777" w:rsidR="00744707" w:rsidRDefault="00744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996" w14:textId="77777777" w:rsidR="00744707" w:rsidRDefault="00744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F7B08"/>
    <w:multiLevelType w:val="hybridMultilevel"/>
    <w:tmpl w:val="FA2AA154"/>
    <w:lvl w:ilvl="0" w:tplc="C0642C9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45BC2"/>
    <w:multiLevelType w:val="multilevel"/>
    <w:tmpl w:val="E5E89F92"/>
    <w:numStyleLink w:val="BulletList"/>
  </w:abstractNum>
  <w:abstractNum w:abstractNumId="6"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236F5"/>
    <w:multiLevelType w:val="hybridMultilevel"/>
    <w:tmpl w:val="843A27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439E3902"/>
    <w:multiLevelType w:val="hybridMultilevel"/>
    <w:tmpl w:val="966C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62373256"/>
    <w:multiLevelType w:val="hybridMultilevel"/>
    <w:tmpl w:val="8580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8C46F02"/>
    <w:multiLevelType w:val="hybridMultilevel"/>
    <w:tmpl w:val="D5A6E23C"/>
    <w:lvl w:ilvl="0" w:tplc="CC567F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B59DA"/>
    <w:multiLevelType w:val="hybridMultilevel"/>
    <w:tmpl w:val="A2FE9054"/>
    <w:lvl w:ilvl="0" w:tplc="170C937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860525">
    <w:abstractNumId w:val="10"/>
  </w:num>
  <w:num w:numId="2" w16cid:durableId="751582799">
    <w:abstractNumId w:val="6"/>
  </w:num>
  <w:num w:numId="3" w16cid:durableId="1527983980">
    <w:abstractNumId w:val="4"/>
  </w:num>
  <w:num w:numId="4" w16cid:durableId="974139702">
    <w:abstractNumId w:val="2"/>
  </w:num>
  <w:num w:numId="5" w16cid:durableId="1086417756">
    <w:abstractNumId w:val="14"/>
  </w:num>
  <w:num w:numId="6" w16cid:durableId="1277833377">
    <w:abstractNumId w:val="11"/>
  </w:num>
  <w:num w:numId="7" w16cid:durableId="1625192499">
    <w:abstractNumId w:val="0"/>
  </w:num>
  <w:num w:numId="8" w16cid:durableId="350299055">
    <w:abstractNumId w:val="15"/>
  </w:num>
  <w:num w:numId="9" w16cid:durableId="1880817683">
    <w:abstractNumId w:val="9"/>
  </w:num>
  <w:num w:numId="10" w16cid:durableId="993802868">
    <w:abstractNumId w:val="13"/>
  </w:num>
  <w:num w:numId="11" w16cid:durableId="1482191816">
    <w:abstractNumId w:val="16"/>
  </w:num>
  <w:num w:numId="12" w16cid:durableId="586184400">
    <w:abstractNumId w:val="7"/>
  </w:num>
  <w:num w:numId="13" w16cid:durableId="2006206244">
    <w:abstractNumId w:val="12"/>
  </w:num>
  <w:num w:numId="14" w16cid:durableId="85421891">
    <w:abstractNumId w:val="8"/>
  </w:num>
  <w:num w:numId="15" w16cid:durableId="318577666">
    <w:abstractNumId w:val="1"/>
  </w:num>
  <w:num w:numId="16" w16cid:durableId="1359812322">
    <w:abstractNumId w:val="5"/>
  </w:num>
  <w:num w:numId="17" w16cid:durableId="1831946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53CD"/>
    <w:rsid w:val="0002688F"/>
    <w:rsid w:val="0004580C"/>
    <w:rsid w:val="00056D85"/>
    <w:rsid w:val="000828DA"/>
    <w:rsid w:val="00085D5B"/>
    <w:rsid w:val="00087A04"/>
    <w:rsid w:val="000903E2"/>
    <w:rsid w:val="000A408C"/>
    <w:rsid w:val="000B1964"/>
    <w:rsid w:val="000C1A7B"/>
    <w:rsid w:val="000C50D8"/>
    <w:rsid w:val="000D0E22"/>
    <w:rsid w:val="000E645D"/>
    <w:rsid w:val="0010134E"/>
    <w:rsid w:val="00104050"/>
    <w:rsid w:val="001212FA"/>
    <w:rsid w:val="00136360"/>
    <w:rsid w:val="0013767C"/>
    <w:rsid w:val="00151CE8"/>
    <w:rsid w:val="00152E85"/>
    <w:rsid w:val="00162FBC"/>
    <w:rsid w:val="00176597"/>
    <w:rsid w:val="00190B6E"/>
    <w:rsid w:val="00194996"/>
    <w:rsid w:val="00194B5B"/>
    <w:rsid w:val="00195303"/>
    <w:rsid w:val="001A25A1"/>
    <w:rsid w:val="001A62CD"/>
    <w:rsid w:val="001B15A9"/>
    <w:rsid w:val="001B48FD"/>
    <w:rsid w:val="001E1AC4"/>
    <w:rsid w:val="001E3CF1"/>
    <w:rsid w:val="001E63DA"/>
    <w:rsid w:val="00206A0D"/>
    <w:rsid w:val="00210AF9"/>
    <w:rsid w:val="0022060E"/>
    <w:rsid w:val="0023269D"/>
    <w:rsid w:val="00242A93"/>
    <w:rsid w:val="00242B2A"/>
    <w:rsid w:val="00255598"/>
    <w:rsid w:val="00266CC0"/>
    <w:rsid w:val="00272643"/>
    <w:rsid w:val="0028008C"/>
    <w:rsid w:val="00283BDB"/>
    <w:rsid w:val="00290510"/>
    <w:rsid w:val="002A2EBB"/>
    <w:rsid w:val="002A3B78"/>
    <w:rsid w:val="002C3EA0"/>
    <w:rsid w:val="002D299D"/>
    <w:rsid w:val="002D598A"/>
    <w:rsid w:val="002E3309"/>
    <w:rsid w:val="002E3895"/>
    <w:rsid w:val="002E4586"/>
    <w:rsid w:val="00301CB7"/>
    <w:rsid w:val="00311AF7"/>
    <w:rsid w:val="00317CE3"/>
    <w:rsid w:val="00327C3F"/>
    <w:rsid w:val="00335A7B"/>
    <w:rsid w:val="0033742F"/>
    <w:rsid w:val="003418E2"/>
    <w:rsid w:val="00356316"/>
    <w:rsid w:val="00366EF0"/>
    <w:rsid w:val="003673FD"/>
    <w:rsid w:val="00374C86"/>
    <w:rsid w:val="0039233E"/>
    <w:rsid w:val="003B382C"/>
    <w:rsid w:val="003B3B5B"/>
    <w:rsid w:val="003B4811"/>
    <w:rsid w:val="003B4AC9"/>
    <w:rsid w:val="003C4665"/>
    <w:rsid w:val="003D0303"/>
    <w:rsid w:val="00400CC0"/>
    <w:rsid w:val="00404BDD"/>
    <w:rsid w:val="00406265"/>
    <w:rsid w:val="00413E37"/>
    <w:rsid w:val="00415164"/>
    <w:rsid w:val="004267DE"/>
    <w:rsid w:val="004659C8"/>
    <w:rsid w:val="004712B2"/>
    <w:rsid w:val="00484E22"/>
    <w:rsid w:val="00493058"/>
    <w:rsid w:val="00493166"/>
    <w:rsid w:val="004D572A"/>
    <w:rsid w:val="004E6CE8"/>
    <w:rsid w:val="005335A0"/>
    <w:rsid w:val="00540985"/>
    <w:rsid w:val="00547F8D"/>
    <w:rsid w:val="00550458"/>
    <w:rsid w:val="0057377C"/>
    <w:rsid w:val="00583ABF"/>
    <w:rsid w:val="005A3FDE"/>
    <w:rsid w:val="005B0B52"/>
    <w:rsid w:val="005B0E82"/>
    <w:rsid w:val="005B41D2"/>
    <w:rsid w:val="005C610B"/>
    <w:rsid w:val="005F309E"/>
    <w:rsid w:val="005F3B9E"/>
    <w:rsid w:val="005F7812"/>
    <w:rsid w:val="00601822"/>
    <w:rsid w:val="006256D9"/>
    <w:rsid w:val="00632FDC"/>
    <w:rsid w:val="00645402"/>
    <w:rsid w:val="006472E0"/>
    <w:rsid w:val="00647AAE"/>
    <w:rsid w:val="006623FA"/>
    <w:rsid w:val="006745C3"/>
    <w:rsid w:val="00675B4A"/>
    <w:rsid w:val="00697982"/>
    <w:rsid w:val="006A0DC5"/>
    <w:rsid w:val="006A1AEF"/>
    <w:rsid w:val="006A684F"/>
    <w:rsid w:val="006C76FA"/>
    <w:rsid w:val="006E7465"/>
    <w:rsid w:val="00704857"/>
    <w:rsid w:val="007173D4"/>
    <w:rsid w:val="0072540E"/>
    <w:rsid w:val="00726F25"/>
    <w:rsid w:val="00744707"/>
    <w:rsid w:val="00745D4E"/>
    <w:rsid w:val="00750EDE"/>
    <w:rsid w:val="00757485"/>
    <w:rsid w:val="00757C94"/>
    <w:rsid w:val="00761CE9"/>
    <w:rsid w:val="007646EF"/>
    <w:rsid w:val="00787B2D"/>
    <w:rsid w:val="00796E1D"/>
    <w:rsid w:val="007C19F5"/>
    <w:rsid w:val="007C6B4D"/>
    <w:rsid w:val="007D0BEA"/>
    <w:rsid w:val="007D1141"/>
    <w:rsid w:val="007F7B99"/>
    <w:rsid w:val="00810868"/>
    <w:rsid w:val="008204DC"/>
    <w:rsid w:val="00843270"/>
    <w:rsid w:val="0085625D"/>
    <w:rsid w:val="0086243D"/>
    <w:rsid w:val="00865CBF"/>
    <w:rsid w:val="00867E86"/>
    <w:rsid w:val="00870772"/>
    <w:rsid w:val="00871024"/>
    <w:rsid w:val="00875AF8"/>
    <w:rsid w:val="0088048F"/>
    <w:rsid w:val="00882263"/>
    <w:rsid w:val="00884E9C"/>
    <w:rsid w:val="00893C8B"/>
    <w:rsid w:val="008B037A"/>
    <w:rsid w:val="008B2A85"/>
    <w:rsid w:val="008D4229"/>
    <w:rsid w:val="008E1ECB"/>
    <w:rsid w:val="008F1E01"/>
    <w:rsid w:val="00901AC9"/>
    <w:rsid w:val="0091181F"/>
    <w:rsid w:val="0091379A"/>
    <w:rsid w:val="0092134B"/>
    <w:rsid w:val="00945804"/>
    <w:rsid w:val="00952380"/>
    <w:rsid w:val="00956FD8"/>
    <w:rsid w:val="00970B21"/>
    <w:rsid w:val="00984893"/>
    <w:rsid w:val="0098662D"/>
    <w:rsid w:val="009876E0"/>
    <w:rsid w:val="009929A1"/>
    <w:rsid w:val="0099387B"/>
    <w:rsid w:val="009A23A6"/>
    <w:rsid w:val="009A7451"/>
    <w:rsid w:val="009B5B3F"/>
    <w:rsid w:val="009C61F0"/>
    <w:rsid w:val="009D19C6"/>
    <w:rsid w:val="009D316C"/>
    <w:rsid w:val="009D7DCE"/>
    <w:rsid w:val="009E64DB"/>
    <w:rsid w:val="009F35F7"/>
    <w:rsid w:val="00A24DE6"/>
    <w:rsid w:val="00A30ACB"/>
    <w:rsid w:val="00A32E68"/>
    <w:rsid w:val="00A3450D"/>
    <w:rsid w:val="00A47F09"/>
    <w:rsid w:val="00A548EE"/>
    <w:rsid w:val="00A61AC3"/>
    <w:rsid w:val="00A652E3"/>
    <w:rsid w:val="00A74A89"/>
    <w:rsid w:val="00A81EDF"/>
    <w:rsid w:val="00AA1DCF"/>
    <w:rsid w:val="00AB1798"/>
    <w:rsid w:val="00AB53E7"/>
    <w:rsid w:val="00AB5F99"/>
    <w:rsid w:val="00AC32C5"/>
    <w:rsid w:val="00AE2D73"/>
    <w:rsid w:val="00B00CEB"/>
    <w:rsid w:val="00B12A20"/>
    <w:rsid w:val="00B22A41"/>
    <w:rsid w:val="00B24586"/>
    <w:rsid w:val="00B25634"/>
    <w:rsid w:val="00B340BE"/>
    <w:rsid w:val="00B373FB"/>
    <w:rsid w:val="00B42EE3"/>
    <w:rsid w:val="00B5792D"/>
    <w:rsid w:val="00B60369"/>
    <w:rsid w:val="00B6710E"/>
    <w:rsid w:val="00B733A2"/>
    <w:rsid w:val="00B902FB"/>
    <w:rsid w:val="00B94870"/>
    <w:rsid w:val="00B950C6"/>
    <w:rsid w:val="00B95D50"/>
    <w:rsid w:val="00B962EA"/>
    <w:rsid w:val="00BA117A"/>
    <w:rsid w:val="00BB70FB"/>
    <w:rsid w:val="00BC70B2"/>
    <w:rsid w:val="00BD7DBD"/>
    <w:rsid w:val="00C13374"/>
    <w:rsid w:val="00C14989"/>
    <w:rsid w:val="00C2234C"/>
    <w:rsid w:val="00C352BF"/>
    <w:rsid w:val="00C410EA"/>
    <w:rsid w:val="00C4255E"/>
    <w:rsid w:val="00C46681"/>
    <w:rsid w:val="00C5469D"/>
    <w:rsid w:val="00C60CDB"/>
    <w:rsid w:val="00C84A75"/>
    <w:rsid w:val="00C84EED"/>
    <w:rsid w:val="00C937FA"/>
    <w:rsid w:val="00C96D2E"/>
    <w:rsid w:val="00CA796B"/>
    <w:rsid w:val="00CB28FA"/>
    <w:rsid w:val="00CC2F73"/>
    <w:rsid w:val="00CD29AE"/>
    <w:rsid w:val="00CF55B4"/>
    <w:rsid w:val="00D32812"/>
    <w:rsid w:val="00D37D88"/>
    <w:rsid w:val="00D45DFF"/>
    <w:rsid w:val="00D574DD"/>
    <w:rsid w:val="00DB0463"/>
    <w:rsid w:val="00DD529E"/>
    <w:rsid w:val="00DE1726"/>
    <w:rsid w:val="00DF1D41"/>
    <w:rsid w:val="00DF50EE"/>
    <w:rsid w:val="00DF78AE"/>
    <w:rsid w:val="00E01AB1"/>
    <w:rsid w:val="00E045BF"/>
    <w:rsid w:val="00E047FE"/>
    <w:rsid w:val="00E32874"/>
    <w:rsid w:val="00E46ABB"/>
    <w:rsid w:val="00E50BEC"/>
    <w:rsid w:val="00E60DB3"/>
    <w:rsid w:val="00E62471"/>
    <w:rsid w:val="00E94E87"/>
    <w:rsid w:val="00EA0CC8"/>
    <w:rsid w:val="00EA191F"/>
    <w:rsid w:val="00EA6127"/>
    <w:rsid w:val="00EA689D"/>
    <w:rsid w:val="00EB48AB"/>
    <w:rsid w:val="00EC1098"/>
    <w:rsid w:val="00ED4698"/>
    <w:rsid w:val="00EE0A25"/>
    <w:rsid w:val="00EE1BD4"/>
    <w:rsid w:val="00F05F4B"/>
    <w:rsid w:val="00F078AB"/>
    <w:rsid w:val="00F07A71"/>
    <w:rsid w:val="00F2138D"/>
    <w:rsid w:val="00F2498D"/>
    <w:rsid w:val="00F249DF"/>
    <w:rsid w:val="00F512F2"/>
    <w:rsid w:val="00F53C80"/>
    <w:rsid w:val="00F610BA"/>
    <w:rsid w:val="00F655F7"/>
    <w:rsid w:val="00F71859"/>
    <w:rsid w:val="00F93161"/>
    <w:rsid w:val="00FA6F9C"/>
    <w:rsid w:val="00FC3985"/>
    <w:rsid w:val="00FC74D4"/>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B7F1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3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3">
    <w:name w:val="heading 3"/>
    <w:basedOn w:val="Normal"/>
    <w:next w:val="Normal"/>
    <w:link w:val="Heading3Char"/>
    <w:uiPriority w:val="9"/>
    <w:semiHidden/>
    <w:unhideWhenUsed/>
    <w:qFormat/>
    <w:rsid w:val="001013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70485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rsid w:val="00704857"/>
    <w:rPr>
      <w:rFonts w:asciiTheme="majorHAnsi" w:eastAsiaTheme="majorEastAsia" w:hAnsiTheme="majorHAnsi" w:cstheme="majorBidi"/>
      <w:color w:val="365F91" w:themeColor="accent1" w:themeShade="BF"/>
    </w:rPr>
  </w:style>
  <w:style w:type="paragraph" w:customStyle="1" w:styleId="subsection">
    <w:name w:val="subsection"/>
    <w:aliases w:val="ss,Subsection"/>
    <w:basedOn w:val="Normal"/>
    <w:link w:val="subsectionChar"/>
    <w:rsid w:val="00F249D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F249D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249DF"/>
    <w:rPr>
      <w:rFonts w:ascii="Times New Roman" w:eastAsia="Times New Roman" w:hAnsi="Times New Roman" w:cs="Times New Roman"/>
      <w:szCs w:val="20"/>
      <w:lang w:eastAsia="en-AU"/>
    </w:rPr>
  </w:style>
  <w:style w:type="paragraph" w:styleId="Revision">
    <w:name w:val="Revision"/>
    <w:hidden/>
    <w:uiPriority w:val="99"/>
    <w:semiHidden/>
    <w:rsid w:val="006A1AEF"/>
    <w:pPr>
      <w:spacing w:after="0" w:line="240" w:lineRule="auto"/>
    </w:pPr>
  </w:style>
  <w:style w:type="character" w:customStyle="1" w:styleId="Heading1Char">
    <w:name w:val="Heading 1 Char"/>
    <w:basedOn w:val="DefaultParagraphFont"/>
    <w:link w:val="Heading1"/>
    <w:uiPriority w:val="9"/>
    <w:rsid w:val="001013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0134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10134E"/>
    <w:pPr>
      <w:spacing w:after="0" w:line="240" w:lineRule="auto"/>
    </w:pPr>
    <w:rPr>
      <w:color w:val="262626" w:themeColor="text1" w:themeTint="D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Paragraph"/>
    <w:uiPriority w:val="11"/>
    <w:qFormat/>
    <w:rsid w:val="0010134E"/>
    <w:pPr>
      <w:numPr>
        <w:numId w:val="13"/>
      </w:numPr>
      <w:spacing w:before="40" w:after="40" w:line="240" w:lineRule="auto"/>
      <w:contextualSpacing w:val="0"/>
    </w:pPr>
    <w:rPr>
      <w:color w:val="262626" w:themeColor="text1" w:themeTint="D9"/>
      <w:sz w:val="18"/>
      <w:szCs w:val="20"/>
    </w:rPr>
  </w:style>
  <w:style w:type="paragraph" w:styleId="BodyText">
    <w:name w:val="Body Text"/>
    <w:basedOn w:val="Normal"/>
    <w:link w:val="BodyTextChar"/>
    <w:qFormat/>
    <w:rsid w:val="0010134E"/>
    <w:pPr>
      <w:spacing w:after="120" w:line="264" w:lineRule="auto"/>
    </w:pPr>
    <w:rPr>
      <w:color w:val="262626" w:themeColor="text1" w:themeTint="D9"/>
      <w:sz w:val="20"/>
      <w:szCs w:val="20"/>
    </w:rPr>
  </w:style>
  <w:style w:type="character" w:customStyle="1" w:styleId="BodyTextChar">
    <w:name w:val="Body Text Char"/>
    <w:basedOn w:val="DefaultParagraphFont"/>
    <w:link w:val="BodyText"/>
    <w:rsid w:val="0010134E"/>
    <w:rPr>
      <w:color w:val="262626" w:themeColor="text1" w:themeTint="D9"/>
      <w:sz w:val="20"/>
      <w:szCs w:val="20"/>
    </w:rPr>
  </w:style>
  <w:style w:type="paragraph" w:customStyle="1" w:styleId="TableBody">
    <w:name w:val="Table Body"/>
    <w:basedOn w:val="Normal"/>
    <w:uiPriority w:val="11"/>
    <w:qFormat/>
    <w:rsid w:val="0010134E"/>
    <w:pPr>
      <w:spacing w:before="40" w:after="40" w:line="264" w:lineRule="auto"/>
    </w:pPr>
    <w:rPr>
      <w:color w:val="262626" w:themeColor="text1" w:themeTint="D9"/>
      <w:sz w:val="18"/>
      <w:szCs w:val="20"/>
    </w:rPr>
  </w:style>
  <w:style w:type="paragraph" w:customStyle="1" w:styleId="TableHeading">
    <w:name w:val="Table Heading"/>
    <w:basedOn w:val="Normal"/>
    <w:uiPriority w:val="11"/>
    <w:qFormat/>
    <w:rsid w:val="0010134E"/>
    <w:pPr>
      <w:spacing w:after="120" w:line="264" w:lineRule="auto"/>
    </w:pPr>
    <w:rPr>
      <w:rFonts w:asciiTheme="majorHAnsi" w:hAnsiTheme="majorHAnsi"/>
      <w:bCs/>
      <w:color w:val="FFFFFF" w:themeColor="background1"/>
      <w:sz w:val="18"/>
      <w:szCs w:val="20"/>
    </w:rPr>
  </w:style>
  <w:style w:type="table" w:customStyle="1" w:styleId="PMCTableStyle2">
    <w:name w:val="PMC Table Style 2"/>
    <w:basedOn w:val="TableNormal"/>
    <w:uiPriority w:val="99"/>
    <w:rsid w:val="0010134E"/>
    <w:pPr>
      <w:spacing w:before="60" w:after="60" w:line="264" w:lineRule="auto"/>
    </w:pPr>
    <w:rPr>
      <w:color w:val="262626" w:themeColor="text1" w:themeTint="D9"/>
      <w:sz w:val="20"/>
      <w:szCs w:val="20"/>
    </w:rPr>
    <w:tblPr>
      <w:tblStyleRowBandSize w:val="1"/>
      <w:tblBorders>
        <w:top w:val="single" w:sz="4" w:space="0" w:color="ECF1F8" w:themeColor="accent1" w:themeTint="1A"/>
        <w:left w:val="single" w:sz="4" w:space="0" w:color="ECF1F8" w:themeColor="accent1" w:themeTint="1A"/>
        <w:bottom w:val="single" w:sz="18"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TableNumbering">
    <w:name w:val="Table Numbering"/>
    <w:uiPriority w:val="11"/>
    <w:qFormat/>
    <w:rsid w:val="0010134E"/>
    <w:pPr>
      <w:numPr>
        <w:numId w:val="14"/>
      </w:numPr>
      <w:spacing w:before="40" w:after="40" w:line="240" w:lineRule="auto"/>
      <w:ind w:left="284" w:hanging="284"/>
    </w:pPr>
    <w:rPr>
      <w:color w:val="262626" w:themeColor="text1" w:themeTint="D9"/>
      <w:sz w:val="18"/>
      <w:szCs w:val="20"/>
    </w:rPr>
  </w:style>
  <w:style w:type="numbering" w:customStyle="1" w:styleId="BulletList">
    <w:name w:val="Bullet List"/>
    <w:uiPriority w:val="99"/>
    <w:rsid w:val="0010134E"/>
    <w:pPr>
      <w:numPr>
        <w:numId w:val="15"/>
      </w:numPr>
    </w:pPr>
  </w:style>
  <w:style w:type="paragraph" w:styleId="ListBullet">
    <w:name w:val="List Bullet"/>
    <w:basedOn w:val="Normal"/>
    <w:uiPriority w:val="99"/>
    <w:unhideWhenUsed/>
    <w:qFormat/>
    <w:rsid w:val="0010134E"/>
    <w:pPr>
      <w:numPr>
        <w:numId w:val="16"/>
      </w:numPr>
      <w:spacing w:line="240" w:lineRule="auto"/>
    </w:pPr>
    <w:rPr>
      <w:rFonts w:ascii="Times New Roman" w:eastAsiaTheme="minorEastAsia" w:hAnsi="Times New Roman"/>
      <w:sz w:val="24"/>
      <w:szCs w:val="24"/>
    </w:rPr>
  </w:style>
  <w:style w:type="paragraph" w:styleId="ListBullet2">
    <w:name w:val="List Bullet 2"/>
    <w:basedOn w:val="Normal"/>
    <w:uiPriority w:val="99"/>
    <w:unhideWhenUsed/>
    <w:rsid w:val="0010134E"/>
    <w:pPr>
      <w:numPr>
        <w:ilvl w:val="1"/>
        <w:numId w:val="16"/>
      </w:numPr>
      <w:spacing w:line="240" w:lineRule="auto"/>
    </w:pPr>
    <w:rPr>
      <w:rFonts w:ascii="Times New Roman" w:eastAsiaTheme="minorEastAsia" w:hAnsi="Times New Roman"/>
      <w:sz w:val="24"/>
      <w:szCs w:val="24"/>
    </w:rPr>
  </w:style>
  <w:style w:type="paragraph" w:styleId="ListBullet3">
    <w:name w:val="List Bullet 3"/>
    <w:basedOn w:val="Normal"/>
    <w:uiPriority w:val="99"/>
    <w:unhideWhenUsed/>
    <w:rsid w:val="0010134E"/>
    <w:pPr>
      <w:numPr>
        <w:ilvl w:val="2"/>
        <w:numId w:val="16"/>
      </w:numPr>
      <w:spacing w:line="240" w:lineRule="auto"/>
    </w:pPr>
    <w:rPr>
      <w:rFonts w:ascii="Times New Roman" w:eastAsiaTheme="minorEastAsia" w:hAnsi="Times New Roman"/>
      <w:sz w:val="24"/>
      <w:szCs w:val="24"/>
    </w:rPr>
  </w:style>
  <w:style w:type="paragraph" w:styleId="ListBullet4">
    <w:name w:val="List Bullet 4"/>
    <w:basedOn w:val="Normal"/>
    <w:uiPriority w:val="99"/>
    <w:unhideWhenUsed/>
    <w:rsid w:val="0010134E"/>
    <w:pPr>
      <w:numPr>
        <w:ilvl w:val="3"/>
        <w:numId w:val="16"/>
      </w:numPr>
      <w:spacing w:line="240" w:lineRule="auto"/>
    </w:pPr>
    <w:rPr>
      <w:rFonts w:ascii="Times New Roman" w:eastAsiaTheme="minorEastAsia" w:hAnsi="Times New Roman"/>
      <w:sz w:val="24"/>
      <w:szCs w:val="24"/>
    </w:rPr>
  </w:style>
  <w:style w:type="paragraph" w:styleId="ListBullet5">
    <w:name w:val="List Bullet 5"/>
    <w:basedOn w:val="Normal"/>
    <w:uiPriority w:val="99"/>
    <w:unhideWhenUsed/>
    <w:rsid w:val="0010134E"/>
    <w:pPr>
      <w:numPr>
        <w:ilvl w:val="4"/>
        <w:numId w:val="16"/>
      </w:numPr>
      <w:spacing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884E9C"/>
    <w:rPr>
      <w:color w:val="605E5C"/>
      <w:shd w:val="clear" w:color="auto" w:fill="E1DFDD"/>
    </w:rPr>
  </w:style>
  <w:style w:type="character" w:customStyle="1" w:styleId="ui-provider">
    <w:name w:val="ui-provider"/>
    <w:basedOn w:val="DefaultParagraphFont"/>
    <w:rsid w:val="007D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124">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097484904">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ustry.gov.au/sites/default/files/2022-10/October_2022-23_Industry%2C%20Science%20and%20Resources_PB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g.gov.au/legal-system/administrative-law/administrative-review-council-publications/what-decisions-should-be-subject-merit-review-1999"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usiness.gov.au/grants-and-programs/" TargetMode="External"/><Relationship Id="rId22" Type="http://schemas.openxmlformats.org/officeDocument/2006/relationships/hyperlink" Target="http://www.austlii.edu.au/au/other/dfat/treaties/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 D o c u m e n t s ! 4 8 1 6 4 2 7 2 . 3 < / d o c u m e n t i d >  
     < s e n d e r i d > R A Y A N D < / s e n d e r i d >  
     < s e n d e r e m a i l > A N D R E W . R A Y @ A G S . G O V . A U < / s e n d e r e m a i l >  
     < l a s t m o d i f i e d > 2 0 2 3 - 0 5 - 3 1 T 1 5 : 1 6 : 0 0 . 0 0 0 0 0 0 0 + 1 0 : 0 0 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3" ma:contentTypeDescription="Create a new document." ma:contentTypeScope="" ma:versionID="6d04c8ee37a9471108600e2a2373eda8">
  <xsd:schema xmlns:xsd="http://www.w3.org/2001/XMLSchema" xmlns:xs="http://www.w3.org/2001/XMLSchema" xmlns:p="http://schemas.microsoft.com/office/2006/metadata/properties" xmlns:ns1="http://schemas.microsoft.com/sharepoint/v3" xmlns:ns2="a36bd50b-1532-4c22-b385-5c082c960938" xmlns:ns3="e950eb60-a35e-4b14-88a9-41f408f74491" targetNamespace="http://schemas.microsoft.com/office/2006/metadata/properties" ma:root="true" ma:fieldsID="b6a0c14836afc808d309fba2b5bf80e7" ns1:_="" ns2:_="" ns3:_="">
    <xsd:import namespace="http://schemas.microsoft.com/sharepoint/v3"/>
    <xsd:import namespace="a36bd50b-1532-4c22-b385-5c082c960938"/>
    <xsd:import namespace="e950eb60-a35e-4b14-88a9-41f408f7449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6</Value>
      <Value>1198</Value>
      <Value>3</Value>
      <Value>387</Value>
      <Value>337</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18430010-98b5-433b-b735-18c3b60944ca</TermId>
        </TermInfo>
      </Terms>
    </adb9bed2e36e4a93af574aeb444da63e>
    <_dlc_DocId xmlns="a36bd50b-1532-4c22-b385-5c082c960938">SEF43VY7DDAF-750892886-496</_dlc_DocId>
    <_dlc_DocIdUrl xmlns="a36bd50b-1532-4c22-b385-5c082c960938">
      <Url>https://dochub.prod.protected.ind/div/corporate/businessfunctions/legalservices/practicemgmt/toolstemplates/_layouts/15/DocIdRedir.aspx?ID=SEF43VY7DDAF-750892886-496</Url>
      <Description>SEF43VY7DDAF-750892886-496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4AFA-ED0E-48D9-9949-F5B9365FC5F5}">
  <ds:schemaRefs>
    <ds:schemaRef ds:uri="http://schemas.microsoft.com/sharepoint/events"/>
  </ds:schemaRefs>
</ds:datastoreItem>
</file>

<file path=customXml/itemProps2.xml><?xml version="1.0" encoding="utf-8"?>
<ds:datastoreItem xmlns:ds="http://schemas.openxmlformats.org/officeDocument/2006/customXml" ds:itemID="{68493DDA-DB92-41EE-A3D2-F0BDFFD4E5F8}">
  <ds:schemaRefs>
    <ds:schemaRef ds:uri="http://www.imanage.com/work/xmlschema"/>
  </ds:schemaRefs>
</ds:datastoreItem>
</file>

<file path=customXml/itemProps3.xml><?xml version="1.0" encoding="utf-8"?>
<ds:datastoreItem xmlns:ds="http://schemas.openxmlformats.org/officeDocument/2006/customXml" ds:itemID="{3BA5E1F6-40D0-4F90-BE10-7F81D196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08A6D-DDAB-4356-947F-F239DB1ED056}">
  <ds:schemaRefs>
    <ds:schemaRef ds:uri="http://purl.org/dc/dcmitype/"/>
    <ds:schemaRef ds:uri="http://schemas.microsoft.com/sharepoint/v3"/>
    <ds:schemaRef ds:uri="http://www.w3.org/XML/1998/namespace"/>
    <ds:schemaRef ds:uri="http://schemas.microsoft.com/office/2006/documentManagement/types"/>
    <ds:schemaRef ds:uri="e950eb60-a35e-4b14-88a9-41f408f74491"/>
    <ds:schemaRef ds:uri="a36bd50b-1532-4c22-b385-5c082c960938"/>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6.xml><?xml version="1.0" encoding="utf-8"?>
<ds:datastoreItem xmlns:ds="http://schemas.openxmlformats.org/officeDocument/2006/customXml" ds:itemID="{47458CEC-28A8-4467-BAE2-F93C776E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2886</Words>
  <Characters>17491</Characters>
  <Application>Microsoft Office Word</Application>
  <DocSecurity>0</DocSecurity>
  <Lines>647</Lines>
  <Paragraphs>424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2</cp:revision>
  <dcterms:created xsi:type="dcterms:W3CDTF">2023-06-29T06:03:00Z</dcterms:created>
  <dcterms:modified xsi:type="dcterms:W3CDTF">2023-06-29T06:03:00Z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387;#2017|5f6de30b-6e1e-4c09-9e51-982258231536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337;#Legislation and Regulation|6cbc66f5-f4a2-4565-a58b-d5f2d2ac9bd0</vt:lpwstr>
  </property>
  <property fmtid="{D5CDD505-2E9C-101B-9397-08002B2CF9AE}" pid="7" name="DocHub_Keywords">
    <vt:lpwstr>1198;#legislative|18430010-98b5-433b-b735-18c3b60944ca</vt:lpwstr>
  </property>
  <property fmtid="{D5CDD505-2E9C-101B-9397-08002B2CF9AE}" pid="8" name="DocHub_DocumentType">
    <vt:lpwstr>6;#Template|9b48ba34-650a-488d-9fe8-e5181e10b797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ies>
</file>