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A51F" w14:textId="77777777" w:rsidR="005A316D" w:rsidRPr="00343BF1" w:rsidRDefault="00166803" w:rsidP="005A316D">
      <w:pPr>
        <w:rPr>
          <w:color w:val="000000"/>
        </w:rPr>
      </w:pPr>
      <w:r>
        <w:rPr>
          <w:noProof/>
          <w:color w:val="000000"/>
          <w:lang w:val="en-AU"/>
        </w:rPr>
        <w:drawing>
          <wp:inline distT="0" distB="0" distL="0" distR="0" wp14:anchorId="12718BDB" wp14:editId="0ED315DA">
            <wp:extent cx="1419225" cy="1104900"/>
            <wp:effectExtent l="0" t="0" r="952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55DD2" w14:textId="149ABB1C" w:rsidR="005A316D" w:rsidRPr="0028666B" w:rsidRDefault="002D7460" w:rsidP="0028666B">
      <w:pPr>
        <w:pStyle w:val="Title"/>
        <w:spacing w:before="240" w:after="240"/>
        <w:rPr>
          <w:color w:val="000000"/>
          <w:sz w:val="32"/>
          <w:szCs w:val="32"/>
        </w:rPr>
      </w:pPr>
      <w:bookmarkStart w:id="0" w:name="bkDocumentTitle"/>
      <w:bookmarkEnd w:id="0"/>
      <w:r w:rsidRPr="0028666B">
        <w:rPr>
          <w:color w:val="000000"/>
          <w:sz w:val="32"/>
          <w:szCs w:val="32"/>
        </w:rPr>
        <w:t>Insurance E</w:t>
      </w:r>
      <w:r w:rsidR="00B75D09" w:rsidRPr="0028666B">
        <w:rPr>
          <w:color w:val="000000"/>
          <w:sz w:val="32"/>
          <w:szCs w:val="32"/>
        </w:rPr>
        <w:t>xemption</w:t>
      </w:r>
      <w:r w:rsidRPr="0028666B">
        <w:rPr>
          <w:color w:val="000000"/>
          <w:sz w:val="32"/>
          <w:szCs w:val="32"/>
        </w:rPr>
        <w:t xml:space="preserve"> D</w:t>
      </w:r>
      <w:r w:rsidR="005A316D" w:rsidRPr="0028666B">
        <w:rPr>
          <w:color w:val="000000"/>
          <w:sz w:val="32"/>
          <w:szCs w:val="32"/>
        </w:rPr>
        <w:t xml:space="preserve">etermination No. </w:t>
      </w:r>
      <w:r w:rsidR="00EC57D0" w:rsidRPr="0028666B">
        <w:rPr>
          <w:color w:val="000000"/>
          <w:sz w:val="32"/>
          <w:szCs w:val="32"/>
        </w:rPr>
        <w:t>1</w:t>
      </w:r>
      <w:r w:rsidR="00441DF7" w:rsidRPr="0028666B">
        <w:rPr>
          <w:color w:val="000000"/>
          <w:sz w:val="32"/>
          <w:szCs w:val="32"/>
        </w:rPr>
        <w:t xml:space="preserve"> of 20</w:t>
      </w:r>
      <w:r w:rsidR="006F1D4B" w:rsidRPr="0028666B">
        <w:rPr>
          <w:color w:val="000000"/>
          <w:sz w:val="32"/>
          <w:szCs w:val="32"/>
        </w:rPr>
        <w:t>2</w:t>
      </w:r>
      <w:r w:rsidR="00441DF7" w:rsidRPr="0028666B">
        <w:rPr>
          <w:color w:val="000000"/>
          <w:sz w:val="32"/>
          <w:szCs w:val="32"/>
        </w:rPr>
        <w:t>3</w:t>
      </w:r>
    </w:p>
    <w:p w14:paraId="209D06AD" w14:textId="77777777" w:rsidR="005A316D" w:rsidRDefault="00B75D09" w:rsidP="0028666B">
      <w:pPr>
        <w:pStyle w:val="Title"/>
        <w:spacing w:before="240" w:after="240"/>
        <w:rPr>
          <w:color w:val="000000"/>
        </w:rPr>
      </w:pPr>
      <w:r>
        <w:rPr>
          <w:color w:val="000000"/>
          <w:sz w:val="28"/>
          <w:szCs w:val="28"/>
        </w:rPr>
        <w:t xml:space="preserve">Audit requirements relating to certain yearly </w:t>
      </w:r>
      <w:r w:rsidR="009D6D7D">
        <w:rPr>
          <w:color w:val="000000"/>
          <w:sz w:val="28"/>
          <w:szCs w:val="28"/>
        </w:rPr>
        <w:t>statutory accounts</w:t>
      </w:r>
      <w:r w:rsidR="005A316D" w:rsidRPr="00066FA2">
        <w:rPr>
          <w:color w:val="000000"/>
        </w:rPr>
        <w:t xml:space="preserve"> </w:t>
      </w:r>
    </w:p>
    <w:p w14:paraId="4315D5F7" w14:textId="77777777" w:rsidR="005A316D" w:rsidRPr="002D7460" w:rsidRDefault="002D7460" w:rsidP="0028666B">
      <w:pPr>
        <w:pStyle w:val="ActTitle"/>
        <w:spacing w:before="240"/>
        <w:rPr>
          <w:rFonts w:cs="Arial"/>
          <w:i w:val="0"/>
          <w:color w:val="000000"/>
        </w:rPr>
      </w:pPr>
      <w:bookmarkStart w:id="1" w:name="bkActName"/>
      <w:bookmarkEnd w:id="1"/>
      <w:r>
        <w:rPr>
          <w:rFonts w:cs="Arial"/>
          <w:color w:val="000000"/>
        </w:rPr>
        <w:t>Insurance Act 1973</w:t>
      </w:r>
    </w:p>
    <w:p w14:paraId="37BE4AA2" w14:textId="07079383" w:rsidR="005A316D" w:rsidRPr="00D15BA2" w:rsidRDefault="005A316D" w:rsidP="00EB791B">
      <w:pPr>
        <w:pStyle w:val="IntroTo"/>
        <w:ind w:left="0" w:firstLine="0"/>
        <w:jc w:val="both"/>
        <w:rPr>
          <w:szCs w:val="24"/>
        </w:rPr>
      </w:pPr>
      <w:bookmarkStart w:id="2" w:name="bkAddressee"/>
      <w:bookmarkEnd w:id="2"/>
      <w:r w:rsidRPr="00D15BA2">
        <w:rPr>
          <w:szCs w:val="24"/>
        </w:rPr>
        <w:t xml:space="preserve">I, </w:t>
      </w:r>
      <w:r w:rsidR="003B12DE">
        <w:rPr>
          <w:szCs w:val="24"/>
        </w:rPr>
        <w:t>Bruce Young</w:t>
      </w:r>
      <w:r w:rsidRPr="00D15BA2">
        <w:rPr>
          <w:szCs w:val="24"/>
        </w:rPr>
        <w:t xml:space="preserve">, a delegate of APRA, </w:t>
      </w:r>
      <w:r w:rsidRPr="00D15BA2">
        <w:rPr>
          <w:color w:val="000000"/>
          <w:szCs w:val="24"/>
        </w:rPr>
        <w:t xml:space="preserve">under </w:t>
      </w:r>
      <w:r w:rsidR="002D7460">
        <w:rPr>
          <w:color w:val="000000"/>
          <w:szCs w:val="24"/>
        </w:rPr>
        <w:t xml:space="preserve">subsection 7(1) of the </w:t>
      </w:r>
      <w:r w:rsidR="002D7460">
        <w:rPr>
          <w:i/>
          <w:color w:val="000000"/>
          <w:szCs w:val="24"/>
        </w:rPr>
        <w:t>Insurance Act</w:t>
      </w:r>
      <w:r w:rsidR="000370C9">
        <w:rPr>
          <w:i/>
          <w:color w:val="000000"/>
          <w:szCs w:val="24"/>
        </w:rPr>
        <w:t xml:space="preserve"> 1973</w:t>
      </w:r>
      <w:r w:rsidRPr="00D15BA2">
        <w:rPr>
          <w:color w:val="000000"/>
          <w:szCs w:val="24"/>
        </w:rPr>
        <w:t xml:space="preserve"> (the Act)</w:t>
      </w:r>
      <w:r w:rsidR="005E7F19">
        <w:rPr>
          <w:color w:val="000000"/>
          <w:szCs w:val="24"/>
        </w:rPr>
        <w:t xml:space="preserve">, </w:t>
      </w:r>
      <w:r w:rsidR="0028666B">
        <w:rPr>
          <w:color w:val="000000"/>
          <w:szCs w:val="24"/>
        </w:rPr>
        <w:t xml:space="preserve">exempt </w:t>
      </w:r>
      <w:r w:rsidR="00FF2953">
        <w:rPr>
          <w:szCs w:val="24"/>
        </w:rPr>
        <w:t>each</w:t>
      </w:r>
      <w:r w:rsidRPr="00D15BA2">
        <w:rPr>
          <w:szCs w:val="24"/>
        </w:rPr>
        <w:t xml:space="preserve"> </w:t>
      </w:r>
      <w:r w:rsidR="00913CF8">
        <w:rPr>
          <w:szCs w:val="24"/>
        </w:rPr>
        <w:t xml:space="preserve">class of </w:t>
      </w:r>
      <w:r w:rsidR="002D7460">
        <w:rPr>
          <w:szCs w:val="24"/>
        </w:rPr>
        <w:t xml:space="preserve">person </w:t>
      </w:r>
      <w:r w:rsidR="005F39C0">
        <w:rPr>
          <w:szCs w:val="24"/>
        </w:rPr>
        <w:t>mentioned</w:t>
      </w:r>
      <w:r w:rsidR="002D7460">
        <w:rPr>
          <w:szCs w:val="24"/>
        </w:rPr>
        <w:t xml:space="preserve"> in the first column of</w:t>
      </w:r>
      <w:r w:rsidRPr="00D15BA2">
        <w:rPr>
          <w:szCs w:val="24"/>
        </w:rPr>
        <w:t xml:space="preserve"> the Schedule</w:t>
      </w:r>
      <w:r w:rsidR="009D6D7D">
        <w:rPr>
          <w:szCs w:val="24"/>
        </w:rPr>
        <w:t xml:space="preserve"> from </w:t>
      </w:r>
      <w:r w:rsidR="005F39C0">
        <w:rPr>
          <w:szCs w:val="24"/>
        </w:rPr>
        <w:t>the</w:t>
      </w:r>
      <w:r w:rsidR="002D7460">
        <w:rPr>
          <w:szCs w:val="24"/>
        </w:rPr>
        <w:t xml:space="preserve"> </w:t>
      </w:r>
      <w:r w:rsidR="00A22644">
        <w:rPr>
          <w:szCs w:val="24"/>
        </w:rPr>
        <w:t xml:space="preserve">provision </w:t>
      </w:r>
      <w:r w:rsidR="00913CF8">
        <w:rPr>
          <w:szCs w:val="24"/>
        </w:rPr>
        <w:t xml:space="preserve">mentioned </w:t>
      </w:r>
      <w:r w:rsidR="00BA4D99">
        <w:rPr>
          <w:szCs w:val="24"/>
        </w:rPr>
        <w:t xml:space="preserve">in </w:t>
      </w:r>
      <w:r w:rsidR="002D7460">
        <w:rPr>
          <w:szCs w:val="24"/>
        </w:rPr>
        <w:t xml:space="preserve">the </w:t>
      </w:r>
      <w:r w:rsidR="00913CF8">
        <w:rPr>
          <w:szCs w:val="24"/>
        </w:rPr>
        <w:t xml:space="preserve">corresponding row of the </w:t>
      </w:r>
      <w:r w:rsidR="002D7460">
        <w:rPr>
          <w:szCs w:val="24"/>
        </w:rPr>
        <w:t>second column</w:t>
      </w:r>
      <w:r w:rsidR="00A22644">
        <w:rPr>
          <w:szCs w:val="24"/>
        </w:rPr>
        <w:t xml:space="preserve"> of the Schedule</w:t>
      </w:r>
      <w:r w:rsidRPr="00D15BA2">
        <w:rPr>
          <w:szCs w:val="24"/>
        </w:rPr>
        <w:t>.</w:t>
      </w:r>
    </w:p>
    <w:p w14:paraId="1A4203E4" w14:textId="77777777" w:rsidR="005A316D" w:rsidRPr="00D15BA2" w:rsidRDefault="005A316D" w:rsidP="00EB791B">
      <w:pPr>
        <w:jc w:val="both"/>
        <w:rPr>
          <w:sz w:val="24"/>
          <w:szCs w:val="24"/>
        </w:rPr>
      </w:pPr>
    </w:p>
    <w:p w14:paraId="719C0FE7" w14:textId="06837BBA" w:rsidR="005A316D" w:rsidRPr="008615BB" w:rsidRDefault="002D7460" w:rsidP="00EB791B">
      <w:pPr>
        <w:jc w:val="both"/>
        <w:rPr>
          <w:sz w:val="24"/>
          <w:szCs w:val="24"/>
        </w:rPr>
      </w:pPr>
      <w:r w:rsidRPr="2A36C7AF">
        <w:rPr>
          <w:color w:val="000000" w:themeColor="text1"/>
          <w:sz w:val="24"/>
          <w:szCs w:val="24"/>
        </w:rPr>
        <w:t xml:space="preserve">This </w:t>
      </w:r>
      <w:r w:rsidR="00D03699" w:rsidRPr="008615BB">
        <w:rPr>
          <w:color w:val="000000" w:themeColor="text1"/>
          <w:sz w:val="24"/>
          <w:szCs w:val="24"/>
        </w:rPr>
        <w:t xml:space="preserve">instrument </w:t>
      </w:r>
      <w:r w:rsidRPr="008615BB">
        <w:rPr>
          <w:color w:val="000000" w:themeColor="text1"/>
          <w:sz w:val="24"/>
          <w:szCs w:val="24"/>
        </w:rPr>
        <w:t>commence</w:t>
      </w:r>
      <w:r w:rsidR="00F14128" w:rsidRPr="008615BB">
        <w:rPr>
          <w:color w:val="000000" w:themeColor="text1"/>
          <w:sz w:val="24"/>
          <w:szCs w:val="24"/>
        </w:rPr>
        <w:t>s</w:t>
      </w:r>
      <w:r w:rsidRPr="008615BB">
        <w:rPr>
          <w:color w:val="000000" w:themeColor="text1"/>
          <w:sz w:val="24"/>
          <w:szCs w:val="24"/>
        </w:rPr>
        <w:t xml:space="preserve"> </w:t>
      </w:r>
      <w:r w:rsidR="00405DE0" w:rsidRPr="008615BB">
        <w:rPr>
          <w:sz w:val="24"/>
          <w:szCs w:val="24"/>
        </w:rPr>
        <w:t>upon registration on the Federal Register of Legislation</w:t>
      </w:r>
      <w:r w:rsidR="00124980" w:rsidRPr="008615BB">
        <w:rPr>
          <w:sz w:val="24"/>
          <w:szCs w:val="24"/>
        </w:rPr>
        <w:t>.</w:t>
      </w:r>
    </w:p>
    <w:p w14:paraId="0B1AF51A" w14:textId="77777777" w:rsidR="005A316D" w:rsidRPr="008615BB" w:rsidRDefault="005A316D" w:rsidP="00EB791B">
      <w:pPr>
        <w:jc w:val="both"/>
        <w:rPr>
          <w:sz w:val="24"/>
          <w:szCs w:val="24"/>
        </w:rPr>
      </w:pPr>
    </w:p>
    <w:p w14:paraId="24399461" w14:textId="21222F6D" w:rsidR="003514AA" w:rsidRPr="00AF2A1D" w:rsidRDefault="003514AA" w:rsidP="00EB791B">
      <w:pPr>
        <w:jc w:val="both"/>
        <w:rPr>
          <w:sz w:val="24"/>
          <w:szCs w:val="24"/>
        </w:rPr>
      </w:pPr>
      <w:r w:rsidRPr="008615BB">
        <w:rPr>
          <w:sz w:val="24"/>
          <w:szCs w:val="24"/>
        </w:rPr>
        <w:t>Dated</w:t>
      </w:r>
      <w:r w:rsidR="00473562" w:rsidRPr="008615BB">
        <w:rPr>
          <w:sz w:val="24"/>
          <w:szCs w:val="24"/>
        </w:rPr>
        <w:t>:</w:t>
      </w:r>
      <w:r w:rsidR="008615BB" w:rsidRPr="008615BB">
        <w:rPr>
          <w:sz w:val="24"/>
          <w:szCs w:val="24"/>
        </w:rPr>
        <w:t xml:space="preserve"> 3 July</w:t>
      </w:r>
      <w:r w:rsidR="0028666B" w:rsidRPr="008615BB">
        <w:rPr>
          <w:sz w:val="24"/>
          <w:szCs w:val="24"/>
        </w:rPr>
        <w:t xml:space="preserve"> </w:t>
      </w:r>
      <w:r w:rsidR="006F1D4B" w:rsidRPr="008615BB">
        <w:rPr>
          <w:sz w:val="24"/>
          <w:szCs w:val="24"/>
        </w:rPr>
        <w:t>2023</w:t>
      </w:r>
    </w:p>
    <w:p w14:paraId="4FFE0DFA" w14:textId="77777777" w:rsidR="002D7460" w:rsidRDefault="002D7460" w:rsidP="00EB791B">
      <w:pPr>
        <w:jc w:val="both"/>
        <w:rPr>
          <w:noProof/>
          <w:sz w:val="24"/>
          <w:szCs w:val="24"/>
          <w:lang w:val="en-AU"/>
        </w:rPr>
      </w:pPr>
    </w:p>
    <w:p w14:paraId="05026E35" w14:textId="77777777" w:rsidR="00124980" w:rsidRPr="00904CE8" w:rsidRDefault="00124980" w:rsidP="00EB791B">
      <w:pPr>
        <w:jc w:val="both"/>
        <w:rPr>
          <w:i/>
          <w:sz w:val="24"/>
          <w:szCs w:val="24"/>
        </w:rPr>
      </w:pPr>
    </w:p>
    <w:p w14:paraId="494AAB10" w14:textId="0E15FE41" w:rsidR="002D3DF4" w:rsidRPr="008109E9" w:rsidRDefault="003B12DE" w:rsidP="00EB791B">
      <w:pPr>
        <w:jc w:val="both"/>
        <w:rPr>
          <w:sz w:val="24"/>
          <w:szCs w:val="24"/>
        </w:rPr>
      </w:pPr>
      <w:r>
        <w:rPr>
          <w:sz w:val="24"/>
          <w:szCs w:val="24"/>
        </w:rPr>
        <w:t>Bruce Young</w:t>
      </w:r>
    </w:p>
    <w:p w14:paraId="50916D69" w14:textId="2D5BF922" w:rsidR="002D3DF4" w:rsidRPr="003B12DE" w:rsidRDefault="002D3DF4" w:rsidP="00EB791B">
      <w:pPr>
        <w:jc w:val="both"/>
        <w:rPr>
          <w:sz w:val="24"/>
          <w:szCs w:val="24"/>
        </w:rPr>
      </w:pPr>
      <w:r w:rsidRPr="003B12DE">
        <w:rPr>
          <w:sz w:val="24"/>
          <w:szCs w:val="24"/>
        </w:rPr>
        <w:t xml:space="preserve">Executive </w:t>
      </w:r>
      <w:r w:rsidR="006F1D4B" w:rsidRPr="003B12DE">
        <w:rPr>
          <w:sz w:val="24"/>
          <w:szCs w:val="24"/>
        </w:rPr>
        <w:t>Director</w:t>
      </w:r>
    </w:p>
    <w:p w14:paraId="761F44DC" w14:textId="644DA0A8" w:rsidR="008114F1" w:rsidRDefault="003B12DE" w:rsidP="00EB791B">
      <w:pPr>
        <w:jc w:val="both"/>
        <w:rPr>
          <w:sz w:val="24"/>
          <w:szCs w:val="24"/>
        </w:rPr>
      </w:pPr>
      <w:r w:rsidRPr="003B12DE">
        <w:rPr>
          <w:sz w:val="24"/>
          <w:szCs w:val="24"/>
        </w:rPr>
        <w:t xml:space="preserve">Technology and Data </w:t>
      </w:r>
      <w:r w:rsidR="006F1D4B" w:rsidRPr="003B12DE">
        <w:rPr>
          <w:sz w:val="24"/>
          <w:szCs w:val="24"/>
        </w:rPr>
        <w:t>Division</w:t>
      </w:r>
      <w:r w:rsidR="00441DF7">
        <w:rPr>
          <w:sz w:val="24"/>
          <w:szCs w:val="24"/>
        </w:rPr>
        <w:t xml:space="preserve"> </w:t>
      </w:r>
    </w:p>
    <w:p w14:paraId="28A1A575" w14:textId="77777777" w:rsidR="005A316D" w:rsidRDefault="005A316D" w:rsidP="00EB791B">
      <w:pPr>
        <w:jc w:val="both"/>
      </w:pPr>
    </w:p>
    <w:p w14:paraId="5C5544F5" w14:textId="77777777" w:rsidR="005A316D" w:rsidRDefault="005A316D" w:rsidP="00EB791B">
      <w:pPr>
        <w:jc w:val="both"/>
      </w:pPr>
    </w:p>
    <w:p w14:paraId="4E434178" w14:textId="77777777" w:rsidR="005A316D" w:rsidRPr="00EF6FA9" w:rsidRDefault="005A316D" w:rsidP="00EB791B">
      <w:pPr>
        <w:pStyle w:val="IH"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EF6FA9">
        <w:rPr>
          <w:rFonts w:ascii="Times New Roman" w:hAnsi="Times New Roman"/>
        </w:rPr>
        <w:t>nterpretation</w:t>
      </w:r>
    </w:p>
    <w:p w14:paraId="053389F7" w14:textId="77777777" w:rsidR="005A316D" w:rsidRDefault="005A316D" w:rsidP="00EB791B">
      <w:pPr>
        <w:pStyle w:val="IP"/>
        <w:spacing w:before="0" w:after="120"/>
      </w:pPr>
      <w:r w:rsidRPr="00EF6FA9">
        <w:t xml:space="preserve">In this </w:t>
      </w:r>
      <w:r w:rsidR="00FF2953">
        <w:t>instrument:</w:t>
      </w:r>
    </w:p>
    <w:p w14:paraId="25407564" w14:textId="77777777" w:rsidR="00814E39" w:rsidRPr="00814E39" w:rsidRDefault="00814E39" w:rsidP="00EB791B">
      <w:pPr>
        <w:pStyle w:val="definition"/>
        <w:spacing w:before="0" w:after="120"/>
      </w:pPr>
      <w:r>
        <w:rPr>
          <w:b/>
          <w:i/>
        </w:rPr>
        <w:t>app</w:t>
      </w:r>
      <w:r w:rsidR="00441DF7">
        <w:rPr>
          <w:b/>
          <w:i/>
        </w:rPr>
        <w:t>ointed</w:t>
      </w:r>
      <w:r>
        <w:rPr>
          <w:b/>
          <w:i/>
        </w:rPr>
        <w:t xml:space="preserve"> auditor</w:t>
      </w:r>
      <w:r>
        <w:t xml:space="preserve"> means an auditor who has been app</w:t>
      </w:r>
      <w:r w:rsidR="00441DF7">
        <w:t>ointed</w:t>
      </w:r>
      <w:r>
        <w:t xml:space="preserve"> under section </w:t>
      </w:r>
      <w:r w:rsidR="00D6561D">
        <w:t>39</w:t>
      </w:r>
      <w:r>
        <w:t xml:space="preserve"> of the Act.</w:t>
      </w:r>
    </w:p>
    <w:p w14:paraId="34E43AB2" w14:textId="77777777" w:rsidR="005A316D" w:rsidRDefault="005A316D" w:rsidP="00EB791B">
      <w:pPr>
        <w:pStyle w:val="definition"/>
        <w:spacing w:before="0" w:after="120"/>
      </w:pPr>
      <w:r w:rsidRPr="00EF6FA9">
        <w:rPr>
          <w:b/>
          <w:i/>
        </w:rPr>
        <w:t xml:space="preserve">APRA </w:t>
      </w:r>
      <w:r w:rsidRPr="00EF6FA9">
        <w:t>means the Australian Prudential Regulation Authority.</w:t>
      </w:r>
    </w:p>
    <w:p w14:paraId="32AC8F70" w14:textId="7A975F6A" w:rsidR="001C362D" w:rsidRDefault="00773B6A" w:rsidP="00EB791B">
      <w:pPr>
        <w:pStyle w:val="definition"/>
        <w:spacing w:before="0" w:after="120"/>
      </w:pPr>
      <w:r>
        <w:rPr>
          <w:b/>
          <w:bCs/>
          <w:i/>
          <w:iCs/>
        </w:rPr>
        <w:t>E</w:t>
      </w:r>
      <w:r w:rsidR="00BA4D99" w:rsidRPr="2A36C7AF">
        <w:rPr>
          <w:b/>
          <w:bCs/>
          <w:i/>
          <w:iCs/>
        </w:rPr>
        <w:t xml:space="preserve">xempt </w:t>
      </w:r>
      <w:r w:rsidR="00BA4D99" w:rsidRPr="4132DAE4" w:rsidDel="00BA4D99">
        <w:rPr>
          <w:b/>
          <w:bCs/>
          <w:i/>
          <w:iCs/>
        </w:rPr>
        <w:t>R</w:t>
      </w:r>
      <w:r w:rsidR="001C362D" w:rsidRPr="4132DAE4">
        <w:rPr>
          <w:b/>
          <w:bCs/>
          <w:i/>
          <w:iCs/>
        </w:rPr>
        <w:t xml:space="preserve">eporting </w:t>
      </w:r>
      <w:r w:rsidR="00BA4D99" w:rsidRPr="4132DAE4" w:rsidDel="00BA4D99">
        <w:rPr>
          <w:b/>
          <w:bCs/>
          <w:i/>
          <w:iCs/>
        </w:rPr>
        <w:t>S</w:t>
      </w:r>
      <w:r w:rsidR="001C362D" w:rsidRPr="4132DAE4">
        <w:rPr>
          <w:b/>
          <w:bCs/>
          <w:i/>
          <w:iCs/>
        </w:rPr>
        <w:t>tandard</w:t>
      </w:r>
      <w:r w:rsidR="00334D63" w:rsidRPr="4132DAE4">
        <w:rPr>
          <w:b/>
          <w:bCs/>
          <w:i/>
          <w:iCs/>
        </w:rPr>
        <w:t>s</w:t>
      </w:r>
      <w:r w:rsidR="001C362D">
        <w:t xml:space="preserve"> means </w:t>
      </w:r>
      <w:r w:rsidR="00EE4AFF" w:rsidRPr="2A36C7AF">
        <w:rPr>
          <w:i/>
          <w:iCs/>
        </w:rPr>
        <w:t>R</w:t>
      </w:r>
      <w:r w:rsidR="001C362D" w:rsidRPr="2A36C7AF">
        <w:rPr>
          <w:i/>
          <w:iCs/>
        </w:rPr>
        <w:t xml:space="preserve">eporting </w:t>
      </w:r>
      <w:r w:rsidR="00EE4AFF" w:rsidRPr="2A36C7AF">
        <w:rPr>
          <w:i/>
          <w:iCs/>
        </w:rPr>
        <w:t>S</w:t>
      </w:r>
      <w:r w:rsidR="001C362D" w:rsidRPr="2A36C7AF">
        <w:rPr>
          <w:i/>
          <w:iCs/>
        </w:rPr>
        <w:t xml:space="preserve">tandard </w:t>
      </w:r>
      <w:r w:rsidR="001E7813" w:rsidRPr="2A36C7AF">
        <w:rPr>
          <w:i/>
          <w:iCs/>
        </w:rPr>
        <w:t>GRS 400.0</w:t>
      </w:r>
      <w:r w:rsidR="00EE4AFF" w:rsidRPr="2A36C7AF">
        <w:rPr>
          <w:i/>
          <w:iCs/>
          <w:lang w:eastAsia="en-AU"/>
        </w:rPr>
        <w:t xml:space="preserve"> </w:t>
      </w:r>
      <w:r w:rsidR="00EE4AFF" w:rsidRPr="2A36C7AF">
        <w:rPr>
          <w:i/>
          <w:iCs/>
          <w:lang w:val="en-US"/>
        </w:rPr>
        <w:t>Statement of Risk by Country</w:t>
      </w:r>
      <w:r w:rsidR="001E7813">
        <w:t xml:space="preserve">, </w:t>
      </w:r>
      <w:r w:rsidR="00EE4AFF" w:rsidRPr="2A36C7AF">
        <w:rPr>
          <w:i/>
          <w:iCs/>
        </w:rPr>
        <w:t xml:space="preserve">Reporting Standard </w:t>
      </w:r>
      <w:r w:rsidR="001E7813" w:rsidRPr="2A36C7AF">
        <w:rPr>
          <w:i/>
          <w:iCs/>
        </w:rPr>
        <w:t>GRS 420.0</w:t>
      </w:r>
      <w:r w:rsidR="006E544B">
        <w:t xml:space="preserve"> </w:t>
      </w:r>
      <w:r w:rsidR="00A4262D" w:rsidRPr="2A36C7AF">
        <w:rPr>
          <w:i/>
          <w:iCs/>
          <w:lang w:val="en-US"/>
        </w:rPr>
        <w:t>Insurance Revenue and Incurred Claims by State and Territory of Australia</w:t>
      </w:r>
      <w:r w:rsidR="000647CD" w:rsidRPr="2A36C7AF">
        <w:rPr>
          <w:i/>
          <w:iCs/>
          <w:lang w:val="en-US"/>
        </w:rPr>
        <w:t>,</w:t>
      </w:r>
      <w:r w:rsidR="00441DF7">
        <w:t xml:space="preserve"> </w:t>
      </w:r>
      <w:r w:rsidR="00956216" w:rsidRPr="2A36C7AF">
        <w:rPr>
          <w:i/>
          <w:iCs/>
        </w:rPr>
        <w:t>Reporting Standard GRS 460.0 Reinsurance Assets by Counterparty</w:t>
      </w:r>
      <w:r w:rsidR="00956216">
        <w:t xml:space="preserve"> and </w:t>
      </w:r>
      <w:r w:rsidR="00956216" w:rsidRPr="2A36C7AF">
        <w:rPr>
          <w:i/>
          <w:iCs/>
        </w:rPr>
        <w:t>Reporting Standard GRS 460.1</w:t>
      </w:r>
      <w:r w:rsidR="00956216">
        <w:t xml:space="preserve"> </w:t>
      </w:r>
      <w:r w:rsidR="00956216" w:rsidRPr="2A36C7AF">
        <w:rPr>
          <w:i/>
          <w:iCs/>
        </w:rPr>
        <w:t>Exposure Analysis by Reinsurance Counterparty</w:t>
      </w:r>
      <w:r w:rsidR="006E544B" w:rsidRPr="2A36C7AF">
        <w:rPr>
          <w:lang w:val="en-US"/>
        </w:rPr>
        <w:t>,</w:t>
      </w:r>
      <w:r w:rsidR="001C362D" w:rsidRPr="2A36C7AF">
        <w:rPr>
          <w:b/>
          <w:bCs/>
        </w:rPr>
        <w:t xml:space="preserve"> </w:t>
      </w:r>
      <w:r w:rsidR="00197DFB">
        <w:t>determined by</w:t>
      </w:r>
      <w:r w:rsidR="001C362D">
        <w:t xml:space="preserve"> Financial Sector (Collection of Data) Determinations Nos.</w:t>
      </w:r>
      <w:r w:rsidR="00B80365">
        <w:t xml:space="preserve"> 88</w:t>
      </w:r>
      <w:r w:rsidR="00441DF7">
        <w:t xml:space="preserve">, </w:t>
      </w:r>
      <w:r w:rsidR="00B41A64">
        <w:t>90</w:t>
      </w:r>
      <w:r w:rsidR="000647CD">
        <w:t>,</w:t>
      </w:r>
      <w:r w:rsidR="00441DF7">
        <w:t xml:space="preserve"> </w:t>
      </w:r>
      <w:r w:rsidR="00B41A64">
        <w:t>92</w:t>
      </w:r>
      <w:r w:rsidR="000647CD">
        <w:t xml:space="preserve"> and </w:t>
      </w:r>
      <w:r w:rsidR="00B41A64">
        <w:t>94</w:t>
      </w:r>
      <w:r w:rsidR="00441DF7">
        <w:t xml:space="preserve"> </w:t>
      </w:r>
      <w:r w:rsidR="00BA4D99">
        <w:t>of 20</w:t>
      </w:r>
      <w:r w:rsidR="000647CD">
        <w:t>23</w:t>
      </w:r>
      <w:r w:rsidR="00BA4D99">
        <w:t xml:space="preserve"> </w:t>
      </w:r>
      <w:r w:rsidR="001C362D">
        <w:t>respectively.</w:t>
      </w:r>
      <w:r w:rsidR="0075436D">
        <w:t xml:space="preserve"> </w:t>
      </w:r>
    </w:p>
    <w:p w14:paraId="06D6B58D" w14:textId="47E3D1B7" w:rsidR="4132DAE4" w:rsidRDefault="4132DAE4" w:rsidP="4132DAE4">
      <w:pPr>
        <w:pStyle w:val="definition"/>
        <w:spacing w:before="0" w:after="120"/>
      </w:pPr>
    </w:p>
    <w:p w14:paraId="21078E30" w14:textId="3A8D6E51" w:rsidR="00BA4D99" w:rsidRPr="001C362D" w:rsidRDefault="00BA4D99" w:rsidP="00BA4D99">
      <w:pPr>
        <w:pStyle w:val="definition"/>
        <w:spacing w:before="0" w:after="240"/>
        <w:rPr>
          <w:sz w:val="20"/>
          <w:szCs w:val="20"/>
        </w:rPr>
      </w:pPr>
    </w:p>
    <w:p w14:paraId="39E67A64" w14:textId="6E6D388F" w:rsidR="00B20A39" w:rsidRDefault="00B20A39">
      <w:pPr>
        <w:rPr>
          <w:sz w:val="24"/>
          <w:szCs w:val="24"/>
          <w:lang w:val="en-AU" w:eastAsia="en-US"/>
        </w:rPr>
      </w:pPr>
      <w:r>
        <w:br w:type="page"/>
      </w:r>
    </w:p>
    <w:p w14:paraId="59F21595" w14:textId="77777777" w:rsidR="002105CF" w:rsidRDefault="005A316D" w:rsidP="002D7460">
      <w:pPr>
        <w:pStyle w:val="AS"/>
        <w:rPr>
          <w:rStyle w:val="CharSchNo"/>
        </w:rPr>
      </w:pPr>
      <w:r>
        <w:rPr>
          <w:rStyle w:val="CharSchNo"/>
        </w:rPr>
        <w:lastRenderedPageBreak/>
        <w:t>Schedule</w:t>
      </w:r>
      <w:r w:rsidR="00814E39">
        <w:rPr>
          <w:rStyle w:val="CharSchNo"/>
        </w:rPr>
        <w:t xml:space="preserve"> </w:t>
      </w:r>
    </w:p>
    <w:p w14:paraId="3732EB5E" w14:textId="77777777" w:rsidR="002D7460" w:rsidRDefault="002D7460" w:rsidP="002D7460">
      <w:pPr>
        <w:pStyle w:val="ASre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5"/>
      </w:tblGrid>
      <w:tr w:rsidR="002D7460" w:rsidRPr="001C1C2D" w14:paraId="343FC34B" w14:textId="77777777" w:rsidTr="001C1C2D">
        <w:tc>
          <w:tcPr>
            <w:tcW w:w="4264" w:type="dxa"/>
            <w:shd w:val="clear" w:color="auto" w:fill="auto"/>
          </w:tcPr>
          <w:p w14:paraId="377C40C0" w14:textId="77777777" w:rsidR="002D7460" w:rsidRPr="001C1C2D" w:rsidRDefault="002D7460" w:rsidP="002D7460">
            <w:pPr>
              <w:rPr>
                <w:b/>
                <w:sz w:val="24"/>
                <w:szCs w:val="24"/>
                <w:lang w:val="en-AU"/>
              </w:rPr>
            </w:pPr>
            <w:r w:rsidRPr="001C1C2D">
              <w:rPr>
                <w:b/>
                <w:sz w:val="24"/>
                <w:szCs w:val="24"/>
                <w:lang w:val="en-AU"/>
              </w:rPr>
              <w:t xml:space="preserve">Person </w:t>
            </w:r>
            <w:proofErr w:type="gramStart"/>
            <w:r w:rsidRPr="001C1C2D">
              <w:rPr>
                <w:b/>
                <w:sz w:val="24"/>
                <w:szCs w:val="24"/>
                <w:lang w:val="en-AU"/>
              </w:rPr>
              <w:t>exempt</w:t>
            </w:r>
            <w:proofErr w:type="gramEnd"/>
          </w:p>
        </w:tc>
        <w:tc>
          <w:tcPr>
            <w:tcW w:w="4265" w:type="dxa"/>
            <w:shd w:val="clear" w:color="auto" w:fill="auto"/>
          </w:tcPr>
          <w:p w14:paraId="34CCEA28" w14:textId="77777777" w:rsidR="002D7460" w:rsidRPr="001C1C2D" w:rsidRDefault="00A22644" w:rsidP="002D7460">
            <w:pPr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Provision</w:t>
            </w:r>
            <w:r w:rsidRPr="001C1C2D">
              <w:rPr>
                <w:b/>
                <w:sz w:val="24"/>
                <w:szCs w:val="24"/>
                <w:lang w:val="en-AU"/>
              </w:rPr>
              <w:t xml:space="preserve"> </w:t>
            </w:r>
            <w:r w:rsidR="002D7460" w:rsidRPr="001C1C2D">
              <w:rPr>
                <w:b/>
                <w:sz w:val="24"/>
                <w:szCs w:val="24"/>
                <w:lang w:val="en-AU"/>
              </w:rPr>
              <w:t>from which person exempt</w:t>
            </w:r>
          </w:p>
        </w:tc>
      </w:tr>
      <w:tr w:rsidR="002D7460" w:rsidRPr="001C1C2D" w14:paraId="36833901" w14:textId="77777777" w:rsidTr="001C1C2D">
        <w:tc>
          <w:tcPr>
            <w:tcW w:w="4264" w:type="dxa"/>
            <w:shd w:val="clear" w:color="auto" w:fill="auto"/>
          </w:tcPr>
          <w:p w14:paraId="0D33E805" w14:textId="77777777" w:rsidR="002D7460" w:rsidRPr="001C1C2D" w:rsidRDefault="00BA4D99" w:rsidP="00BA4D99">
            <w:pPr>
              <w:rPr>
                <w:sz w:val="24"/>
                <w:szCs w:val="24"/>
                <w:lang w:val="en-AU"/>
              </w:rPr>
            </w:pPr>
            <w:r w:rsidRPr="001C1C2D">
              <w:rPr>
                <w:sz w:val="24"/>
                <w:szCs w:val="24"/>
                <w:lang w:val="en-AU"/>
              </w:rPr>
              <w:t>Appointed</w:t>
            </w:r>
            <w:r w:rsidR="002D7460" w:rsidRPr="001C1C2D">
              <w:rPr>
                <w:sz w:val="24"/>
                <w:szCs w:val="24"/>
                <w:lang w:val="en-AU"/>
              </w:rPr>
              <w:t xml:space="preserve"> auditor of a general insurer</w:t>
            </w:r>
          </w:p>
        </w:tc>
        <w:tc>
          <w:tcPr>
            <w:tcW w:w="4265" w:type="dxa"/>
            <w:shd w:val="clear" w:color="auto" w:fill="auto"/>
          </w:tcPr>
          <w:p w14:paraId="1B58BE24" w14:textId="0812A741" w:rsidR="002D7460" w:rsidRPr="001C1C2D" w:rsidRDefault="002D7460" w:rsidP="00BA4D99">
            <w:pPr>
              <w:rPr>
                <w:sz w:val="24"/>
                <w:szCs w:val="24"/>
                <w:lang w:val="en-AU"/>
              </w:rPr>
            </w:pPr>
            <w:r w:rsidRPr="001C1C2D">
              <w:rPr>
                <w:sz w:val="24"/>
                <w:szCs w:val="24"/>
                <w:lang w:val="en-AU"/>
              </w:rPr>
              <w:t>The requirement in paragraph 49J(1)(a)</w:t>
            </w:r>
            <w:r w:rsidR="00BA4D99" w:rsidRPr="001C1C2D">
              <w:rPr>
                <w:sz w:val="24"/>
                <w:szCs w:val="24"/>
                <w:lang w:val="en-AU"/>
              </w:rPr>
              <w:t xml:space="preserve"> to audit yearly statutory accounts</w:t>
            </w:r>
            <w:r w:rsidRPr="001C1C2D">
              <w:rPr>
                <w:sz w:val="24"/>
                <w:szCs w:val="24"/>
                <w:lang w:val="en-AU"/>
              </w:rPr>
              <w:t xml:space="preserve">, but only to the extent that </w:t>
            </w:r>
            <w:r w:rsidR="00BA4D99" w:rsidRPr="001C1C2D">
              <w:rPr>
                <w:sz w:val="24"/>
                <w:szCs w:val="24"/>
                <w:lang w:val="en-AU"/>
              </w:rPr>
              <w:t>the paragraph would require</w:t>
            </w:r>
            <w:r w:rsidRPr="001C1C2D">
              <w:rPr>
                <w:sz w:val="24"/>
                <w:szCs w:val="24"/>
                <w:lang w:val="en-AU"/>
              </w:rPr>
              <w:t xml:space="preserve"> the auditing of </w:t>
            </w:r>
            <w:r w:rsidR="009D6D7D" w:rsidRPr="001C1C2D">
              <w:rPr>
                <w:sz w:val="24"/>
                <w:szCs w:val="24"/>
                <w:lang w:val="en-AU"/>
              </w:rPr>
              <w:t xml:space="preserve">the </w:t>
            </w:r>
            <w:r w:rsidR="00BA4D99" w:rsidRPr="001C1C2D">
              <w:rPr>
                <w:sz w:val="24"/>
                <w:szCs w:val="24"/>
                <w:lang w:val="en-AU"/>
              </w:rPr>
              <w:t xml:space="preserve">information required by the </w:t>
            </w:r>
            <w:r w:rsidR="00773B6A">
              <w:rPr>
                <w:sz w:val="24"/>
                <w:szCs w:val="24"/>
                <w:lang w:val="en-AU"/>
              </w:rPr>
              <w:t>E</w:t>
            </w:r>
            <w:r w:rsidR="00BA4D99" w:rsidRPr="001C1C2D">
              <w:rPr>
                <w:sz w:val="24"/>
                <w:szCs w:val="24"/>
                <w:lang w:val="en-AU"/>
              </w:rPr>
              <w:t>xempt Reporting Standards</w:t>
            </w:r>
            <w:r w:rsidR="004A6A82">
              <w:rPr>
                <w:sz w:val="24"/>
                <w:szCs w:val="24"/>
                <w:lang w:val="en-AU"/>
              </w:rPr>
              <w:t>.</w:t>
            </w:r>
          </w:p>
        </w:tc>
      </w:tr>
      <w:tr w:rsidR="001E7813" w:rsidRPr="001C1C2D" w14:paraId="39E05BF3" w14:textId="77777777" w:rsidTr="001C1C2D">
        <w:tc>
          <w:tcPr>
            <w:tcW w:w="4264" w:type="dxa"/>
            <w:shd w:val="clear" w:color="auto" w:fill="auto"/>
          </w:tcPr>
          <w:p w14:paraId="632EB19B" w14:textId="77777777" w:rsidR="001E7813" w:rsidRPr="001C1C2D" w:rsidRDefault="00BA4D99" w:rsidP="002D7460">
            <w:pPr>
              <w:rPr>
                <w:sz w:val="24"/>
                <w:szCs w:val="24"/>
                <w:lang w:val="en-AU"/>
              </w:rPr>
            </w:pPr>
            <w:r w:rsidRPr="001C1C2D">
              <w:rPr>
                <w:sz w:val="24"/>
                <w:szCs w:val="24"/>
                <w:lang w:val="en-AU"/>
              </w:rPr>
              <w:t>General insurer</w:t>
            </w:r>
          </w:p>
        </w:tc>
        <w:tc>
          <w:tcPr>
            <w:tcW w:w="4265" w:type="dxa"/>
            <w:shd w:val="clear" w:color="auto" w:fill="auto"/>
          </w:tcPr>
          <w:p w14:paraId="116063C6" w14:textId="2F738AC3" w:rsidR="001E7813" w:rsidRPr="001C1C2D" w:rsidRDefault="001E7813" w:rsidP="00BA4D99">
            <w:pPr>
              <w:rPr>
                <w:sz w:val="24"/>
                <w:szCs w:val="24"/>
                <w:lang w:val="en-AU"/>
              </w:rPr>
            </w:pPr>
            <w:r w:rsidRPr="001C1C2D">
              <w:rPr>
                <w:sz w:val="24"/>
                <w:szCs w:val="24"/>
                <w:lang w:val="en-AU"/>
              </w:rPr>
              <w:t>The requirement in paragraph 49</w:t>
            </w:r>
            <w:proofErr w:type="gramStart"/>
            <w:r w:rsidRPr="001C1C2D">
              <w:rPr>
                <w:sz w:val="24"/>
                <w:szCs w:val="24"/>
                <w:lang w:val="en-AU"/>
              </w:rPr>
              <w:t>J(</w:t>
            </w:r>
            <w:proofErr w:type="gramEnd"/>
            <w:r w:rsidRPr="001C1C2D">
              <w:rPr>
                <w:sz w:val="24"/>
                <w:szCs w:val="24"/>
                <w:lang w:val="en-AU"/>
              </w:rPr>
              <w:t>2)</w:t>
            </w:r>
            <w:r w:rsidR="00BA4D99" w:rsidRPr="001C1C2D">
              <w:rPr>
                <w:sz w:val="24"/>
                <w:szCs w:val="24"/>
                <w:lang w:val="en-AU"/>
              </w:rPr>
              <w:t xml:space="preserve"> to make arrangements for the auditing of yearly statutory accounts</w:t>
            </w:r>
            <w:r w:rsidRPr="001C1C2D">
              <w:rPr>
                <w:sz w:val="24"/>
                <w:szCs w:val="24"/>
                <w:lang w:val="en-AU"/>
              </w:rPr>
              <w:t>, but only to the extent that</w:t>
            </w:r>
            <w:r w:rsidR="00BA4D99" w:rsidRPr="001C1C2D">
              <w:rPr>
                <w:sz w:val="24"/>
                <w:szCs w:val="24"/>
                <w:lang w:val="en-AU"/>
              </w:rPr>
              <w:t xml:space="preserve"> the subsection would require</w:t>
            </w:r>
            <w:r w:rsidRPr="001C1C2D">
              <w:rPr>
                <w:sz w:val="24"/>
                <w:szCs w:val="24"/>
                <w:lang w:val="en-AU"/>
              </w:rPr>
              <w:t xml:space="preserve"> a general insurer to make arrangements for the auditing of the </w:t>
            </w:r>
            <w:r w:rsidR="00575CDD">
              <w:rPr>
                <w:sz w:val="24"/>
                <w:szCs w:val="24"/>
                <w:lang w:val="en-AU"/>
              </w:rPr>
              <w:t>E</w:t>
            </w:r>
            <w:r w:rsidR="00BA4D99" w:rsidRPr="001C1C2D">
              <w:rPr>
                <w:sz w:val="24"/>
                <w:szCs w:val="24"/>
                <w:lang w:val="en-AU"/>
              </w:rPr>
              <w:t>xempt Reporting Standards</w:t>
            </w:r>
            <w:r w:rsidRPr="001C1C2D">
              <w:rPr>
                <w:sz w:val="24"/>
                <w:szCs w:val="24"/>
                <w:lang w:val="en-AU"/>
              </w:rPr>
              <w:t>.</w:t>
            </w:r>
          </w:p>
        </w:tc>
      </w:tr>
      <w:tr w:rsidR="002D7460" w:rsidRPr="001C1C2D" w14:paraId="46D75AB6" w14:textId="77777777" w:rsidTr="001C1C2D">
        <w:tc>
          <w:tcPr>
            <w:tcW w:w="4264" w:type="dxa"/>
            <w:shd w:val="clear" w:color="auto" w:fill="auto"/>
          </w:tcPr>
          <w:p w14:paraId="6F345BE1" w14:textId="77777777" w:rsidR="002D7460" w:rsidRPr="001C1C2D" w:rsidRDefault="002D7460" w:rsidP="004A6A82">
            <w:pPr>
              <w:rPr>
                <w:sz w:val="24"/>
                <w:szCs w:val="24"/>
                <w:lang w:val="en-AU"/>
              </w:rPr>
            </w:pPr>
            <w:r w:rsidRPr="001C1C2D">
              <w:rPr>
                <w:sz w:val="24"/>
                <w:szCs w:val="24"/>
                <w:lang w:val="en-AU"/>
              </w:rPr>
              <w:t>App</w:t>
            </w:r>
            <w:r w:rsidR="00BA4D99" w:rsidRPr="001C1C2D">
              <w:rPr>
                <w:sz w:val="24"/>
                <w:szCs w:val="24"/>
                <w:lang w:val="en-AU"/>
              </w:rPr>
              <w:t>ointed</w:t>
            </w:r>
            <w:r w:rsidRPr="001C1C2D">
              <w:rPr>
                <w:sz w:val="24"/>
                <w:szCs w:val="24"/>
                <w:lang w:val="en-AU"/>
              </w:rPr>
              <w:t xml:space="preserve"> auditor of a general insurer</w:t>
            </w:r>
          </w:p>
        </w:tc>
        <w:tc>
          <w:tcPr>
            <w:tcW w:w="4265" w:type="dxa"/>
            <w:shd w:val="clear" w:color="auto" w:fill="auto"/>
          </w:tcPr>
          <w:p w14:paraId="46B5C870" w14:textId="3AC09F63" w:rsidR="002D7460" w:rsidRPr="001C1C2D" w:rsidRDefault="002D7460" w:rsidP="00BA4D99">
            <w:pPr>
              <w:rPr>
                <w:sz w:val="24"/>
                <w:szCs w:val="24"/>
                <w:lang w:val="en-AU"/>
              </w:rPr>
            </w:pPr>
            <w:r w:rsidRPr="001C1C2D">
              <w:rPr>
                <w:sz w:val="24"/>
                <w:szCs w:val="24"/>
                <w:lang w:val="en-AU"/>
              </w:rPr>
              <w:t>The requirement in paragraph 49</w:t>
            </w:r>
            <w:proofErr w:type="gramStart"/>
            <w:r w:rsidRPr="001C1C2D">
              <w:rPr>
                <w:sz w:val="24"/>
                <w:szCs w:val="24"/>
                <w:lang w:val="en-AU"/>
              </w:rPr>
              <w:t>J(</w:t>
            </w:r>
            <w:proofErr w:type="gramEnd"/>
            <w:r w:rsidR="001E7813" w:rsidRPr="001C1C2D">
              <w:rPr>
                <w:sz w:val="24"/>
                <w:szCs w:val="24"/>
                <w:lang w:val="en-AU"/>
              </w:rPr>
              <w:t>3)</w:t>
            </w:r>
            <w:r w:rsidR="00BA4D99" w:rsidRPr="001C1C2D">
              <w:rPr>
                <w:sz w:val="24"/>
                <w:szCs w:val="24"/>
                <w:lang w:val="en-AU"/>
              </w:rPr>
              <w:t xml:space="preserve"> to give a certificate in relation to yearly statutory accounts</w:t>
            </w:r>
            <w:r w:rsidR="001E7813" w:rsidRPr="001C1C2D">
              <w:rPr>
                <w:sz w:val="24"/>
                <w:szCs w:val="24"/>
                <w:lang w:val="en-AU"/>
              </w:rPr>
              <w:t>,</w:t>
            </w:r>
            <w:r w:rsidRPr="001C1C2D">
              <w:rPr>
                <w:sz w:val="24"/>
                <w:szCs w:val="24"/>
                <w:lang w:val="en-AU"/>
              </w:rPr>
              <w:t xml:space="preserve"> but only to the extent that </w:t>
            </w:r>
            <w:r w:rsidR="00BA4D99" w:rsidRPr="001C1C2D">
              <w:rPr>
                <w:sz w:val="24"/>
                <w:szCs w:val="24"/>
                <w:lang w:val="en-AU"/>
              </w:rPr>
              <w:t>the subsection would require</w:t>
            </w:r>
            <w:r w:rsidRPr="001C1C2D">
              <w:rPr>
                <w:sz w:val="24"/>
                <w:szCs w:val="24"/>
                <w:lang w:val="en-AU"/>
              </w:rPr>
              <w:t xml:space="preserve"> the giving of a certificate in relation to </w:t>
            </w:r>
            <w:r w:rsidR="009D6D7D" w:rsidRPr="001C1C2D">
              <w:rPr>
                <w:sz w:val="24"/>
                <w:szCs w:val="24"/>
                <w:lang w:val="en-AU"/>
              </w:rPr>
              <w:t xml:space="preserve">the </w:t>
            </w:r>
            <w:r w:rsidR="00BA4D99" w:rsidRPr="001C1C2D">
              <w:rPr>
                <w:sz w:val="24"/>
                <w:szCs w:val="24"/>
                <w:lang w:val="en-AU"/>
              </w:rPr>
              <w:t xml:space="preserve">information required by the </w:t>
            </w:r>
            <w:r w:rsidR="00575CDD">
              <w:rPr>
                <w:sz w:val="24"/>
                <w:szCs w:val="24"/>
                <w:lang w:val="en-AU"/>
              </w:rPr>
              <w:t>E</w:t>
            </w:r>
            <w:r w:rsidR="00BA4D99" w:rsidRPr="001C1C2D">
              <w:rPr>
                <w:sz w:val="24"/>
                <w:szCs w:val="24"/>
                <w:lang w:val="en-AU"/>
              </w:rPr>
              <w:t>xempt Reporting Standards</w:t>
            </w:r>
            <w:r w:rsidRPr="001C1C2D">
              <w:rPr>
                <w:sz w:val="24"/>
                <w:szCs w:val="24"/>
                <w:lang w:val="en-AU"/>
              </w:rPr>
              <w:t>.</w:t>
            </w:r>
          </w:p>
        </w:tc>
      </w:tr>
      <w:tr w:rsidR="002D7460" w:rsidRPr="001C1C2D" w14:paraId="7443D408" w14:textId="77777777" w:rsidTr="001C1C2D">
        <w:tc>
          <w:tcPr>
            <w:tcW w:w="4264" w:type="dxa"/>
            <w:shd w:val="clear" w:color="auto" w:fill="auto"/>
          </w:tcPr>
          <w:p w14:paraId="4EBFD2C8" w14:textId="77777777" w:rsidR="002D7460" w:rsidRPr="001C1C2D" w:rsidRDefault="002D7460" w:rsidP="002D7460">
            <w:pPr>
              <w:rPr>
                <w:sz w:val="24"/>
                <w:szCs w:val="24"/>
                <w:lang w:val="en-AU"/>
              </w:rPr>
            </w:pPr>
            <w:r w:rsidRPr="001C1C2D">
              <w:rPr>
                <w:sz w:val="24"/>
                <w:szCs w:val="24"/>
                <w:lang w:val="en-AU"/>
              </w:rPr>
              <w:t>General insurer</w:t>
            </w:r>
          </w:p>
        </w:tc>
        <w:tc>
          <w:tcPr>
            <w:tcW w:w="4265" w:type="dxa"/>
            <w:shd w:val="clear" w:color="auto" w:fill="auto"/>
          </w:tcPr>
          <w:p w14:paraId="30061441" w14:textId="05FCAFB9" w:rsidR="002D7460" w:rsidRPr="001C1C2D" w:rsidRDefault="002D7460" w:rsidP="00BA4D99">
            <w:pPr>
              <w:rPr>
                <w:sz w:val="24"/>
                <w:szCs w:val="24"/>
                <w:lang w:val="en-AU"/>
              </w:rPr>
            </w:pPr>
            <w:r w:rsidRPr="001C1C2D">
              <w:rPr>
                <w:sz w:val="24"/>
                <w:szCs w:val="24"/>
                <w:lang w:val="en-AU"/>
              </w:rPr>
              <w:t>The requirement in paragraph 49L(1)(a)</w:t>
            </w:r>
            <w:r w:rsidR="00BA4D99" w:rsidRPr="001C1C2D">
              <w:rPr>
                <w:sz w:val="24"/>
                <w:szCs w:val="24"/>
                <w:lang w:val="en-AU"/>
              </w:rPr>
              <w:t xml:space="preserve"> to lodge a certificate in relation to yearly statutory accounts</w:t>
            </w:r>
            <w:r w:rsidRPr="001C1C2D">
              <w:rPr>
                <w:sz w:val="24"/>
                <w:szCs w:val="24"/>
                <w:lang w:val="en-AU"/>
              </w:rPr>
              <w:t xml:space="preserve">, but only to the extent that </w:t>
            </w:r>
            <w:r w:rsidR="00BA4D99" w:rsidRPr="001C1C2D">
              <w:rPr>
                <w:sz w:val="24"/>
                <w:szCs w:val="24"/>
                <w:lang w:val="en-AU"/>
              </w:rPr>
              <w:t>the subsection would require</w:t>
            </w:r>
            <w:r w:rsidRPr="001C1C2D">
              <w:rPr>
                <w:sz w:val="24"/>
                <w:szCs w:val="24"/>
                <w:lang w:val="en-AU"/>
              </w:rPr>
              <w:t xml:space="preserve"> the lodging of a certificate in relation to </w:t>
            </w:r>
            <w:r w:rsidR="009D6D7D" w:rsidRPr="001C1C2D">
              <w:rPr>
                <w:sz w:val="24"/>
                <w:szCs w:val="24"/>
                <w:lang w:val="en-AU"/>
              </w:rPr>
              <w:t xml:space="preserve">the </w:t>
            </w:r>
            <w:r w:rsidR="00BA4D99" w:rsidRPr="001C1C2D">
              <w:rPr>
                <w:sz w:val="24"/>
                <w:szCs w:val="24"/>
                <w:lang w:val="en-AU"/>
              </w:rPr>
              <w:t xml:space="preserve">information required by the </w:t>
            </w:r>
            <w:r w:rsidR="00575CDD">
              <w:rPr>
                <w:sz w:val="24"/>
                <w:szCs w:val="24"/>
                <w:lang w:val="en-AU"/>
              </w:rPr>
              <w:t>E</w:t>
            </w:r>
            <w:r w:rsidR="00BA4D99" w:rsidRPr="001C1C2D">
              <w:rPr>
                <w:sz w:val="24"/>
                <w:szCs w:val="24"/>
                <w:lang w:val="en-AU"/>
              </w:rPr>
              <w:t>xempt Reporting Standards</w:t>
            </w:r>
            <w:r w:rsidRPr="001C1C2D">
              <w:rPr>
                <w:sz w:val="24"/>
                <w:szCs w:val="24"/>
                <w:lang w:val="en-AU"/>
              </w:rPr>
              <w:t>.</w:t>
            </w:r>
          </w:p>
        </w:tc>
      </w:tr>
    </w:tbl>
    <w:p w14:paraId="692A2F9D" w14:textId="77777777" w:rsidR="002D7460" w:rsidRDefault="002D7460" w:rsidP="002D7460">
      <w:pPr>
        <w:rPr>
          <w:lang w:val="en-AU"/>
        </w:rPr>
      </w:pPr>
    </w:p>
    <w:sectPr w:rsidR="002D7460" w:rsidSect="006F1D4B">
      <w:headerReference w:type="default" r:id="rId10"/>
      <w:footerReference w:type="even" r:id="rId11"/>
      <w:footerReference w:type="default" r:id="rId12"/>
      <w:pgSz w:w="11907" w:h="16840" w:code="9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8DBD" w14:textId="77777777" w:rsidR="004C1F24" w:rsidRDefault="004C1F24">
      <w:r>
        <w:separator/>
      </w:r>
    </w:p>
  </w:endnote>
  <w:endnote w:type="continuationSeparator" w:id="0">
    <w:p w14:paraId="4F171F11" w14:textId="77777777" w:rsidR="004C1F24" w:rsidRDefault="004C1F24">
      <w:r>
        <w:continuationSeparator/>
      </w:r>
    </w:p>
  </w:endnote>
  <w:endnote w:type="continuationNotice" w:id="1">
    <w:p w14:paraId="0489137E" w14:textId="77777777" w:rsidR="004C1F24" w:rsidRDefault="004C1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A54B" w14:textId="77777777" w:rsidR="00984677" w:rsidRDefault="00984677" w:rsidP="002908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F3471" w14:textId="77777777" w:rsidR="00984677" w:rsidRDefault="00984677" w:rsidP="00290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E34B" w14:textId="77777777" w:rsidR="00984677" w:rsidRDefault="00984677" w:rsidP="00290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31AA" w14:textId="77777777" w:rsidR="004C1F24" w:rsidRDefault="004C1F24">
      <w:r>
        <w:separator/>
      </w:r>
    </w:p>
  </w:footnote>
  <w:footnote w:type="continuationSeparator" w:id="0">
    <w:p w14:paraId="79301285" w14:textId="77777777" w:rsidR="004C1F24" w:rsidRDefault="004C1F24">
      <w:r>
        <w:continuationSeparator/>
      </w:r>
    </w:p>
  </w:footnote>
  <w:footnote w:type="continuationNotice" w:id="1">
    <w:p w14:paraId="6B6AB860" w14:textId="77777777" w:rsidR="004C1F24" w:rsidRDefault="004C1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F695" w14:textId="77777777" w:rsidR="00984677" w:rsidRPr="00374DEA" w:rsidRDefault="00984677" w:rsidP="002908F1">
    <w:pPr>
      <w:pStyle w:val="Header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C9"/>
    <w:rsid w:val="00000F7C"/>
    <w:rsid w:val="000370C9"/>
    <w:rsid w:val="00054DDA"/>
    <w:rsid w:val="000647CD"/>
    <w:rsid w:val="00066A75"/>
    <w:rsid w:val="000758AA"/>
    <w:rsid w:val="0009675E"/>
    <w:rsid w:val="000C675E"/>
    <w:rsid w:val="000C7D1C"/>
    <w:rsid w:val="000D2E0C"/>
    <w:rsid w:val="000F5872"/>
    <w:rsid w:val="00100A0C"/>
    <w:rsid w:val="00124980"/>
    <w:rsid w:val="00146177"/>
    <w:rsid w:val="00150749"/>
    <w:rsid w:val="00155B50"/>
    <w:rsid w:val="001666F3"/>
    <w:rsid w:val="00166803"/>
    <w:rsid w:val="0018002A"/>
    <w:rsid w:val="00195A15"/>
    <w:rsid w:val="00197DFB"/>
    <w:rsid w:val="001B1DF2"/>
    <w:rsid w:val="001C1C2D"/>
    <w:rsid w:val="001C362D"/>
    <w:rsid w:val="001E7813"/>
    <w:rsid w:val="002105CF"/>
    <w:rsid w:val="0021797E"/>
    <w:rsid w:val="00223C1F"/>
    <w:rsid w:val="00235AAE"/>
    <w:rsid w:val="00242B58"/>
    <w:rsid w:val="00247D51"/>
    <w:rsid w:val="00277A9B"/>
    <w:rsid w:val="0028666B"/>
    <w:rsid w:val="002908F1"/>
    <w:rsid w:val="002A6A06"/>
    <w:rsid w:val="002C26F8"/>
    <w:rsid w:val="002D0D8D"/>
    <w:rsid w:val="002D3DF4"/>
    <w:rsid w:val="002D7460"/>
    <w:rsid w:val="002E6FFE"/>
    <w:rsid w:val="0030450E"/>
    <w:rsid w:val="0031107D"/>
    <w:rsid w:val="003226AB"/>
    <w:rsid w:val="00334D63"/>
    <w:rsid w:val="003419A5"/>
    <w:rsid w:val="003514AA"/>
    <w:rsid w:val="00374DEA"/>
    <w:rsid w:val="00375ECC"/>
    <w:rsid w:val="003A29DD"/>
    <w:rsid w:val="003B12DE"/>
    <w:rsid w:val="003B14BD"/>
    <w:rsid w:val="003F2112"/>
    <w:rsid w:val="00401A70"/>
    <w:rsid w:val="00404615"/>
    <w:rsid w:val="00405DE0"/>
    <w:rsid w:val="00412514"/>
    <w:rsid w:val="00433050"/>
    <w:rsid w:val="00434315"/>
    <w:rsid w:val="00441DF7"/>
    <w:rsid w:val="00451862"/>
    <w:rsid w:val="00456C60"/>
    <w:rsid w:val="00470065"/>
    <w:rsid w:val="00470854"/>
    <w:rsid w:val="00470BE8"/>
    <w:rsid w:val="00473562"/>
    <w:rsid w:val="004735AE"/>
    <w:rsid w:val="00475ECF"/>
    <w:rsid w:val="004870DE"/>
    <w:rsid w:val="004A6A82"/>
    <w:rsid w:val="004C1F24"/>
    <w:rsid w:val="004F0FB1"/>
    <w:rsid w:val="00513DAD"/>
    <w:rsid w:val="00553A05"/>
    <w:rsid w:val="00560162"/>
    <w:rsid w:val="00561A2E"/>
    <w:rsid w:val="00567259"/>
    <w:rsid w:val="00575CDD"/>
    <w:rsid w:val="005805C2"/>
    <w:rsid w:val="00587227"/>
    <w:rsid w:val="005A26E0"/>
    <w:rsid w:val="005A316D"/>
    <w:rsid w:val="005B5D96"/>
    <w:rsid w:val="005B5E6C"/>
    <w:rsid w:val="005B7366"/>
    <w:rsid w:val="005C38DE"/>
    <w:rsid w:val="005C69A9"/>
    <w:rsid w:val="005E04D7"/>
    <w:rsid w:val="005E79EE"/>
    <w:rsid w:val="005E7F19"/>
    <w:rsid w:val="005F39C0"/>
    <w:rsid w:val="00600111"/>
    <w:rsid w:val="0061102D"/>
    <w:rsid w:val="00633537"/>
    <w:rsid w:val="00634715"/>
    <w:rsid w:val="006549C5"/>
    <w:rsid w:val="0069390B"/>
    <w:rsid w:val="006955F7"/>
    <w:rsid w:val="006A68C7"/>
    <w:rsid w:val="006A75B4"/>
    <w:rsid w:val="006B7936"/>
    <w:rsid w:val="006D7FDE"/>
    <w:rsid w:val="006E37DE"/>
    <w:rsid w:val="006E544B"/>
    <w:rsid w:val="006F1D4B"/>
    <w:rsid w:val="006F3D3C"/>
    <w:rsid w:val="00721AE4"/>
    <w:rsid w:val="0072665F"/>
    <w:rsid w:val="007422BC"/>
    <w:rsid w:val="0075096C"/>
    <w:rsid w:val="0075436D"/>
    <w:rsid w:val="00767C96"/>
    <w:rsid w:val="00773B6A"/>
    <w:rsid w:val="007A0D9C"/>
    <w:rsid w:val="0080025C"/>
    <w:rsid w:val="008114F1"/>
    <w:rsid w:val="00814E39"/>
    <w:rsid w:val="008615BB"/>
    <w:rsid w:val="0087084B"/>
    <w:rsid w:val="00890C89"/>
    <w:rsid w:val="0089669F"/>
    <w:rsid w:val="008D1028"/>
    <w:rsid w:val="008D4530"/>
    <w:rsid w:val="008E71CD"/>
    <w:rsid w:val="008F4491"/>
    <w:rsid w:val="00904CE8"/>
    <w:rsid w:val="009101E0"/>
    <w:rsid w:val="00913CF8"/>
    <w:rsid w:val="00915E9B"/>
    <w:rsid w:val="00925C2F"/>
    <w:rsid w:val="00956216"/>
    <w:rsid w:val="0097410E"/>
    <w:rsid w:val="009767E7"/>
    <w:rsid w:val="00977ED4"/>
    <w:rsid w:val="00984677"/>
    <w:rsid w:val="00984D4D"/>
    <w:rsid w:val="00987ECB"/>
    <w:rsid w:val="00994BB0"/>
    <w:rsid w:val="009A3287"/>
    <w:rsid w:val="009A4479"/>
    <w:rsid w:val="009B41B9"/>
    <w:rsid w:val="009C6C21"/>
    <w:rsid w:val="009D3890"/>
    <w:rsid w:val="009D6D7D"/>
    <w:rsid w:val="009E64E8"/>
    <w:rsid w:val="00A143BB"/>
    <w:rsid w:val="00A22644"/>
    <w:rsid w:val="00A23A13"/>
    <w:rsid w:val="00A41F07"/>
    <w:rsid w:val="00A4262D"/>
    <w:rsid w:val="00A73CBA"/>
    <w:rsid w:val="00A779EF"/>
    <w:rsid w:val="00A91452"/>
    <w:rsid w:val="00AC59F8"/>
    <w:rsid w:val="00AF7ECD"/>
    <w:rsid w:val="00B01933"/>
    <w:rsid w:val="00B02027"/>
    <w:rsid w:val="00B04E38"/>
    <w:rsid w:val="00B20A39"/>
    <w:rsid w:val="00B2629E"/>
    <w:rsid w:val="00B41A64"/>
    <w:rsid w:val="00B455F4"/>
    <w:rsid w:val="00B75D09"/>
    <w:rsid w:val="00B76F59"/>
    <w:rsid w:val="00B80365"/>
    <w:rsid w:val="00B8296E"/>
    <w:rsid w:val="00B97410"/>
    <w:rsid w:val="00BA4D99"/>
    <w:rsid w:val="00BB3D24"/>
    <w:rsid w:val="00BC4DE9"/>
    <w:rsid w:val="00BC7E05"/>
    <w:rsid w:val="00BD7F90"/>
    <w:rsid w:val="00C06930"/>
    <w:rsid w:val="00C100BB"/>
    <w:rsid w:val="00C512AA"/>
    <w:rsid w:val="00C943D3"/>
    <w:rsid w:val="00CA11DA"/>
    <w:rsid w:val="00CB0CA8"/>
    <w:rsid w:val="00CE6E75"/>
    <w:rsid w:val="00CF32F5"/>
    <w:rsid w:val="00D03699"/>
    <w:rsid w:val="00D03FAD"/>
    <w:rsid w:val="00D040D6"/>
    <w:rsid w:val="00D053F9"/>
    <w:rsid w:val="00D115A9"/>
    <w:rsid w:val="00D15BA2"/>
    <w:rsid w:val="00D3242D"/>
    <w:rsid w:val="00D43560"/>
    <w:rsid w:val="00D50E0F"/>
    <w:rsid w:val="00D6561D"/>
    <w:rsid w:val="00D707CB"/>
    <w:rsid w:val="00D76630"/>
    <w:rsid w:val="00D81B92"/>
    <w:rsid w:val="00D825E8"/>
    <w:rsid w:val="00DA18D4"/>
    <w:rsid w:val="00DA29F0"/>
    <w:rsid w:val="00DA324C"/>
    <w:rsid w:val="00DC7C2E"/>
    <w:rsid w:val="00DD07F9"/>
    <w:rsid w:val="00DD3D13"/>
    <w:rsid w:val="00E16A71"/>
    <w:rsid w:val="00E257E3"/>
    <w:rsid w:val="00E41DBE"/>
    <w:rsid w:val="00E7261A"/>
    <w:rsid w:val="00E84F44"/>
    <w:rsid w:val="00EA6E3A"/>
    <w:rsid w:val="00EB791B"/>
    <w:rsid w:val="00EC23F2"/>
    <w:rsid w:val="00EC57D0"/>
    <w:rsid w:val="00EE4AFF"/>
    <w:rsid w:val="00EE73F6"/>
    <w:rsid w:val="00EF4E7C"/>
    <w:rsid w:val="00F14128"/>
    <w:rsid w:val="00F277C9"/>
    <w:rsid w:val="00F8543D"/>
    <w:rsid w:val="00F9729C"/>
    <w:rsid w:val="00FA19CE"/>
    <w:rsid w:val="00FA77A7"/>
    <w:rsid w:val="00FC1CA3"/>
    <w:rsid w:val="00FC2A59"/>
    <w:rsid w:val="00FC6EF5"/>
    <w:rsid w:val="00FE434D"/>
    <w:rsid w:val="00FF2953"/>
    <w:rsid w:val="00FF2EE5"/>
    <w:rsid w:val="00FF7751"/>
    <w:rsid w:val="05815DF9"/>
    <w:rsid w:val="0895408E"/>
    <w:rsid w:val="18306538"/>
    <w:rsid w:val="2A36C7AF"/>
    <w:rsid w:val="4004F0D7"/>
    <w:rsid w:val="4132DAE4"/>
    <w:rsid w:val="588D8290"/>
    <w:rsid w:val="7823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5F126"/>
  <w15:docId w15:val="{AC43592F-4BCC-424E-AAB4-F35688C4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890C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90C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0C89"/>
    <w:pPr>
      <w:keepNext/>
      <w:ind w:left="720" w:right="-1326"/>
      <w:outlineLvl w:val="6"/>
    </w:pPr>
    <w:rPr>
      <w:b/>
      <w:snapToGrid w:val="0"/>
      <w:color w:val="000000"/>
      <w:sz w:val="24"/>
      <w:lang w:eastAsia="en-US"/>
    </w:rPr>
  </w:style>
  <w:style w:type="paragraph" w:styleId="Heading8">
    <w:name w:val="heading 8"/>
    <w:basedOn w:val="Normal"/>
    <w:next w:val="Normal"/>
    <w:qFormat/>
    <w:rsid w:val="00890C89"/>
    <w:pPr>
      <w:keepNext/>
      <w:ind w:left="720" w:right="-1610"/>
      <w:outlineLvl w:val="7"/>
    </w:pPr>
    <w:rPr>
      <w:snapToGrid w:val="0"/>
      <w:sz w:val="24"/>
      <w:u w:val="single"/>
      <w:lang w:eastAsia="en-US"/>
    </w:rPr>
  </w:style>
  <w:style w:type="paragraph" w:styleId="Heading9">
    <w:name w:val="heading 9"/>
    <w:basedOn w:val="Normal"/>
    <w:next w:val="Normal"/>
    <w:qFormat/>
    <w:rsid w:val="00890C89"/>
    <w:pPr>
      <w:keepNext/>
      <w:ind w:left="709"/>
      <w:outlineLvl w:val="8"/>
    </w:pPr>
    <w:rPr>
      <w:b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i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Pr>
      <w:snapToGrid w:val="0"/>
      <w:sz w:val="24"/>
      <w:lang w:val="en-AU" w:eastAsia="en-US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 w:val="24"/>
      <w:lang w:val="en-AU"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43560"/>
    <w:rPr>
      <w:rFonts w:ascii="Tahoma" w:hAnsi="Tahoma" w:cs="Tahoma"/>
      <w:sz w:val="16"/>
      <w:szCs w:val="16"/>
    </w:rPr>
  </w:style>
  <w:style w:type="paragraph" w:customStyle="1" w:styleId="IntroTo">
    <w:name w:val="IntroTo:"/>
    <w:basedOn w:val="Normal"/>
    <w:rsid w:val="00FC6EF5"/>
    <w:pPr>
      <w:ind w:left="720" w:hanging="720"/>
    </w:pPr>
    <w:rPr>
      <w:sz w:val="24"/>
      <w:lang w:val="en-AU" w:eastAsia="en-US"/>
    </w:rPr>
  </w:style>
  <w:style w:type="paragraph" w:styleId="CommentSubject">
    <w:name w:val="annotation subject"/>
    <w:basedOn w:val="CommentText"/>
    <w:next w:val="CommentText"/>
    <w:semiHidden/>
    <w:rsid w:val="00FC6EF5"/>
    <w:rPr>
      <w:b/>
      <w:bCs/>
    </w:rPr>
  </w:style>
  <w:style w:type="paragraph" w:styleId="Title">
    <w:name w:val="Title"/>
    <w:basedOn w:val="Normal"/>
    <w:next w:val="ActTitle"/>
    <w:qFormat/>
    <w:rsid w:val="005A316D"/>
    <w:pPr>
      <w:spacing w:before="480"/>
    </w:pPr>
    <w:rPr>
      <w:rFonts w:ascii="Arial" w:hAnsi="Arial" w:cs="Arial"/>
      <w:b/>
      <w:bCs/>
      <w:sz w:val="40"/>
      <w:szCs w:val="40"/>
      <w:lang w:val="en-AU" w:eastAsia="en-US"/>
    </w:rPr>
  </w:style>
  <w:style w:type="paragraph" w:customStyle="1" w:styleId="ActTitle">
    <w:name w:val="Act Title"/>
    <w:basedOn w:val="Normal"/>
    <w:next w:val="IntroTo"/>
    <w:rsid w:val="005A316D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  <w:lang w:val="en-AU"/>
    </w:rPr>
  </w:style>
  <w:style w:type="paragraph" w:customStyle="1" w:styleId="IH">
    <w:name w:val="IH"/>
    <w:aliases w:val="Interpretation heading"/>
    <w:basedOn w:val="Normal"/>
    <w:next w:val="Normal"/>
    <w:rsid w:val="005A316D"/>
    <w:pPr>
      <w:keepNext/>
      <w:spacing w:before="480"/>
      <w:ind w:left="964" w:hanging="964"/>
    </w:pPr>
    <w:rPr>
      <w:rFonts w:ascii="Arial" w:hAnsi="Arial"/>
      <w:b/>
      <w:sz w:val="24"/>
      <w:szCs w:val="24"/>
      <w:lang w:val="en-AU" w:eastAsia="en-US"/>
    </w:rPr>
  </w:style>
  <w:style w:type="paragraph" w:customStyle="1" w:styleId="IP">
    <w:name w:val="IP"/>
    <w:aliases w:val="Interpretation paragraph"/>
    <w:basedOn w:val="Normal"/>
    <w:next w:val="Normal"/>
    <w:rsid w:val="005A316D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val="en-AU" w:eastAsia="en-US"/>
    </w:rPr>
  </w:style>
  <w:style w:type="paragraph" w:customStyle="1" w:styleId="definition">
    <w:name w:val="definition"/>
    <w:basedOn w:val="Normal"/>
    <w:rsid w:val="005A316D"/>
    <w:pPr>
      <w:spacing w:before="80" w:line="260" w:lineRule="exact"/>
      <w:jc w:val="both"/>
    </w:pPr>
    <w:rPr>
      <w:sz w:val="24"/>
      <w:szCs w:val="24"/>
      <w:lang w:val="en-AU" w:eastAsia="en-US"/>
    </w:rPr>
  </w:style>
  <w:style w:type="paragraph" w:customStyle="1" w:styleId="AS">
    <w:name w:val="AS"/>
    <w:aliases w:val="Schedule title Amendment"/>
    <w:basedOn w:val="Normal"/>
    <w:next w:val="ASref"/>
    <w:rsid w:val="005A316D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  <w:lang w:val="en-AU"/>
    </w:rPr>
  </w:style>
  <w:style w:type="paragraph" w:customStyle="1" w:styleId="ASref">
    <w:name w:val="AS ref"/>
    <w:basedOn w:val="Normal"/>
    <w:next w:val="Normal"/>
    <w:rsid w:val="005A316D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  <w:lang w:val="en-AU"/>
    </w:rPr>
  </w:style>
  <w:style w:type="character" w:customStyle="1" w:styleId="CharSchNo">
    <w:name w:val="CharSchNo"/>
    <w:basedOn w:val="DefaultParagraphFont"/>
    <w:rsid w:val="005A316D"/>
  </w:style>
  <w:style w:type="character" w:customStyle="1" w:styleId="CharSchText">
    <w:name w:val="CharSchText"/>
    <w:basedOn w:val="DefaultParagraphFont"/>
    <w:rsid w:val="005A316D"/>
  </w:style>
  <w:style w:type="paragraph" w:styleId="BodyTextIndent3">
    <w:name w:val="Body Text Indent 3"/>
    <w:basedOn w:val="Normal"/>
    <w:rsid w:val="00890C89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Normal"/>
    <w:rsid w:val="00890C89"/>
    <w:pPr>
      <w:ind w:left="720" w:right="-1610"/>
    </w:pPr>
    <w:rPr>
      <w:snapToGrid w:val="0"/>
      <w:sz w:val="24"/>
      <w:lang w:eastAsia="en-US"/>
    </w:rPr>
  </w:style>
  <w:style w:type="paragraph" w:styleId="BodyText3">
    <w:name w:val="Body Text 3"/>
    <w:basedOn w:val="Normal"/>
    <w:rsid w:val="00890C89"/>
    <w:rPr>
      <w:rFonts w:ascii="Arial Narrow" w:hAnsi="Arial Narrow"/>
      <w:i/>
      <w:sz w:val="24"/>
      <w:lang w:val="en-AU"/>
    </w:rPr>
  </w:style>
  <w:style w:type="character" w:styleId="Emphasis">
    <w:name w:val="Emphasis"/>
    <w:qFormat/>
    <w:rsid w:val="00890C89"/>
    <w:rPr>
      <w:i/>
    </w:rPr>
  </w:style>
  <w:style w:type="table" w:styleId="TableGrid">
    <w:name w:val="Table Grid"/>
    <w:basedOn w:val="TableNormal"/>
    <w:rsid w:val="002D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6E7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3f81f-5545-4105-9cf3-1e567ff68fe4" xsi:nil="true"/>
    <lcf76f155ced4ddcb4097134ff3c332f xmlns="5e7d1d2f-1d1d-4328-b1c4-d23268d86024">
      <Terms xmlns="http://schemas.microsoft.com/office/infopath/2007/PartnerControls"/>
    </lcf76f155ced4ddcb4097134ff3c332f>
    <_Flow_SignoffStatus xmlns="5e7d1d2f-1d1d-4328-b1c4-d23268d860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38772D2D18A4A95DEC4D9E6BF9669" ma:contentTypeVersion="13" ma:contentTypeDescription="Create a new document." ma:contentTypeScope="" ma:versionID="7fafe8677cf6653b801dc42f4c4ea9f3">
  <xsd:schema xmlns:xsd="http://www.w3.org/2001/XMLSchema" xmlns:xs="http://www.w3.org/2001/XMLSchema" xmlns:p="http://schemas.microsoft.com/office/2006/metadata/properties" xmlns:ns2="0873f81f-5545-4105-9cf3-1e567ff68fe4" xmlns:ns3="5e7d1d2f-1d1d-4328-b1c4-d23268d86024" targetNamespace="http://schemas.microsoft.com/office/2006/metadata/properties" ma:root="true" ma:fieldsID="63804def8ae17406e9d5689385dd02cb" ns2:_="" ns3:_="">
    <xsd:import namespace="0873f81f-5545-4105-9cf3-1e567ff68fe4"/>
    <xsd:import namespace="5e7d1d2f-1d1d-4328-b1c4-d23268d86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3f81f-5545-4105-9cf3-1e567ff68f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950e9f-e51d-461d-9678-60f115673650}" ma:internalName="TaxCatchAll" ma:showField="CatchAllData" ma:web="0873f81f-5545-4105-9cf3-1e567ff68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d1d2f-1d1d-4328-b1c4-d23268d86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ff776a0-f2ac-455d-9889-a58141000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7B24C-E217-486B-908F-9A3DFF823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3D62F-96C5-4E39-909D-825DDAE91B20}">
  <ds:schemaRefs>
    <ds:schemaRef ds:uri="http://schemas.microsoft.com/office/2006/metadata/properties"/>
    <ds:schemaRef ds:uri="0873f81f-5545-4105-9cf3-1e567ff68fe4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5e7d1d2f-1d1d-4328-b1c4-d23268d8602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BE83D6-A16C-4874-A1D6-04CE30F3C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3f81f-5545-4105-9cf3-1e567ff68fe4"/>
    <ds:schemaRef ds:uri="5e7d1d2f-1d1d-4328-b1c4-d23268d86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2010</Characters>
  <Application>Microsoft Office Word</Application>
  <DocSecurity>4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Reporting Standard</vt:lpstr>
    </vt:vector>
  </TitlesOfParts>
  <Company>APRA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Reporting Standard</dc:title>
  <dc:subject/>
  <dc:creator>Lap Top</dc:creator>
  <cp:keywords>[SEC=OFFICIAL]</cp:keywords>
  <cp:lastModifiedBy>Toni Michalis</cp:lastModifiedBy>
  <cp:revision>2</cp:revision>
  <cp:lastPrinted>2013-10-21T00:28:00Z</cp:lastPrinted>
  <dcterms:created xsi:type="dcterms:W3CDTF">2023-07-04T02:32:00Z</dcterms:created>
  <dcterms:modified xsi:type="dcterms:W3CDTF">2023-07-04T02:32:00Z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MSIP_Label_c0129afb-6481-4f92-bc9f-5a4a6346364d_Name">
    <vt:lpwstr>OFFICIAL</vt:lpwstr>
  </property>
  <property fmtid="{D5CDD505-2E9C-101B-9397-08002B2CF9AE}" pid="6" name="PM_Note">
    <vt:lpwstr/>
  </property>
  <property fmtid="{D5CDD505-2E9C-101B-9397-08002B2CF9AE}" pid="7" name="PMHMAC">
    <vt:lpwstr>v=2022.1;a=SHA256;h=B2465351C679FF40442EBDF63E59763CB1F9835C6EF7E0302FF12E0C0613630C</vt:lpwstr>
  </property>
  <property fmtid="{D5CDD505-2E9C-101B-9397-08002B2CF9AE}" pid="8" name="PM_Qualifier">
    <vt:lpwstr/>
  </property>
  <property fmtid="{D5CDD505-2E9C-101B-9397-08002B2CF9AE}" pid="9" name="MSIP_Label_c0129afb-6481-4f92-bc9f-5a4a6346364d_Method">
    <vt:lpwstr>Privileged</vt:lpwstr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2023-04-20T01:14:59Z</vt:lpwstr>
  </property>
  <property fmtid="{D5CDD505-2E9C-101B-9397-08002B2CF9AE}" pid="13" name="PM_Markers">
    <vt:lpwstr/>
  </property>
  <property fmtid="{D5CDD505-2E9C-101B-9397-08002B2CF9AE}" pid="14" name="MSIP_Label_c0129afb-6481-4f92-bc9f-5a4a6346364d_SiteId">
    <vt:lpwstr>c05e3ffd-b491-4431-9809-e61d4dc78816</vt:lpwstr>
  </property>
  <property fmtid="{D5CDD505-2E9C-101B-9397-08002B2CF9AE}" pid="15" name="MSIP_Label_c0129afb-6481-4f92-bc9f-5a4a6346364d_ContentBits">
    <vt:lpwstr>0</vt:lpwstr>
  </property>
  <property fmtid="{D5CDD505-2E9C-101B-9397-08002B2CF9AE}" pid="16" name="MSIP_Label_c0129afb-6481-4f92-bc9f-5a4a6346364d_Enabled">
    <vt:lpwstr>true</vt:lpwstr>
  </property>
  <property fmtid="{D5CDD505-2E9C-101B-9397-08002B2CF9AE}" pid="17" name="PM_Hash_Salt_Prev">
    <vt:lpwstr>7C3E6298733FDE530CB8BD0D1BAAAE03</vt:lpwstr>
  </property>
  <property fmtid="{D5CDD505-2E9C-101B-9397-08002B2CF9AE}" pid="18" name="MSIP_Label_c0129afb-6481-4f92-bc9f-5a4a6346364d_SetDate">
    <vt:lpwstr>2023-04-20T01:14:59Z</vt:lpwstr>
  </property>
  <property fmtid="{D5CDD505-2E9C-101B-9397-08002B2CF9AE}" pid="19" name="MSIP_Label_c0129afb-6481-4f92-bc9f-5a4a6346364d_ActionId">
    <vt:lpwstr>648d5b3e3e7a4431b1558f9a16c8625d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C3AD57350F36D8E1BD75F8F67CB06D435C9C43CA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D2CC90D1C54E43278B1669BA311F3175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6E3018F28A186D2E5FF5207C041E7A82E907C3008E071057026A53705873B72E</vt:lpwstr>
  </property>
  <property fmtid="{D5CDD505-2E9C-101B-9397-08002B2CF9AE}" pid="29" name="PM_OriginatorDomainName_SHA256">
    <vt:lpwstr>ECBDE2B44A971754412B3FB70606937A119CC0D4B6C1B658A40FBD41C30BE3EC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">
    <vt:lpwstr>8104BEE6AD2DE4889140F460AEE49604</vt:lpwstr>
  </property>
  <property fmtid="{D5CDD505-2E9C-101B-9397-08002B2CF9AE}" pid="33" name="PM_Hash_SHA1">
    <vt:lpwstr>97A86F1430D96AB3F3F9DAD5A1530323862C4766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0x01010055938772D2D18A4A95DEC4D9E6BF9669</vt:lpwstr>
  </property>
  <property fmtid="{D5CDD505-2E9C-101B-9397-08002B2CF9AE}" pid="37" name="MediaServiceImageTags">
    <vt:lpwstr/>
  </property>
</Properties>
</file>