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2BDB" w14:textId="77777777" w:rsidR="005E7E92" w:rsidRPr="00C03A53" w:rsidRDefault="005E7E92" w:rsidP="005E7E92">
      <w:pPr>
        <w:shd w:val="clear" w:color="auto" w:fill="FFFFFF"/>
        <w:spacing w:after="0" w:line="240" w:lineRule="auto"/>
        <w:jc w:val="center"/>
        <w:rPr>
          <w:rFonts w:ascii="Times New Roman" w:eastAsia="Times New Roman" w:hAnsi="Times New Roman" w:cs="Times New Roman"/>
          <w:sz w:val="24"/>
          <w:szCs w:val="24"/>
          <w:lang w:eastAsia="en-AU"/>
        </w:rPr>
      </w:pPr>
      <w:r w:rsidRPr="00C03A53">
        <w:rPr>
          <w:rFonts w:ascii="Times New Roman" w:eastAsia="Times New Roman" w:hAnsi="Times New Roman" w:cs="Times New Roman"/>
          <w:b/>
          <w:bCs/>
          <w:sz w:val="24"/>
          <w:szCs w:val="24"/>
          <w:u w:val="single"/>
          <w:lang w:eastAsia="en-AU"/>
        </w:rPr>
        <w:t>EXPLANATORY STATEMENT</w:t>
      </w:r>
    </w:p>
    <w:p w14:paraId="2EC95B1C" w14:textId="77777777" w:rsidR="005E7E92" w:rsidRPr="00C03A53" w:rsidRDefault="005E7E92" w:rsidP="005E7E92">
      <w:pPr>
        <w:shd w:val="clear" w:color="auto" w:fill="FFFFFF"/>
        <w:spacing w:after="0" w:line="240" w:lineRule="auto"/>
        <w:rPr>
          <w:rFonts w:ascii="Times New Roman" w:eastAsia="Times New Roman" w:hAnsi="Times New Roman" w:cs="Times New Roman"/>
          <w:sz w:val="24"/>
          <w:szCs w:val="24"/>
          <w:lang w:eastAsia="en-AU"/>
        </w:rPr>
      </w:pPr>
      <w:r w:rsidRPr="00C03A53">
        <w:rPr>
          <w:rFonts w:ascii="Times New Roman" w:eastAsia="Times New Roman" w:hAnsi="Times New Roman" w:cs="Times New Roman"/>
          <w:sz w:val="24"/>
          <w:szCs w:val="24"/>
          <w:lang w:eastAsia="en-AU"/>
        </w:rPr>
        <w:t> </w:t>
      </w:r>
    </w:p>
    <w:p w14:paraId="7DB8FFE2" w14:textId="77777777" w:rsidR="005E7E92" w:rsidRPr="00C03A53" w:rsidRDefault="005E7E92" w:rsidP="005E7E92">
      <w:pPr>
        <w:shd w:val="clear" w:color="auto" w:fill="FFFFFF"/>
        <w:spacing w:after="0" w:line="240" w:lineRule="auto"/>
        <w:jc w:val="center"/>
        <w:rPr>
          <w:rFonts w:ascii="Times New Roman" w:eastAsia="Times New Roman" w:hAnsi="Times New Roman" w:cs="Times New Roman"/>
          <w:sz w:val="24"/>
          <w:szCs w:val="24"/>
          <w:lang w:eastAsia="en-AU"/>
        </w:rPr>
      </w:pPr>
      <w:r w:rsidRPr="00C03A53">
        <w:rPr>
          <w:rFonts w:ascii="Times New Roman" w:eastAsia="Times New Roman" w:hAnsi="Times New Roman" w:cs="Times New Roman"/>
          <w:sz w:val="24"/>
          <w:szCs w:val="24"/>
          <w:u w:val="single"/>
          <w:lang w:eastAsia="en-AU"/>
        </w:rPr>
        <w:t>Issued by Authority of the Minister for Climate Change and Energy</w:t>
      </w:r>
    </w:p>
    <w:p w14:paraId="3D3D8294" w14:textId="77777777" w:rsidR="005E7E92" w:rsidRPr="00C03A53" w:rsidRDefault="005E7E92" w:rsidP="005E7E92">
      <w:pPr>
        <w:shd w:val="clear" w:color="auto" w:fill="FFFFFF"/>
        <w:spacing w:after="0" w:line="240" w:lineRule="auto"/>
        <w:ind w:left="1247" w:hanging="1247"/>
        <w:jc w:val="center"/>
        <w:rPr>
          <w:rFonts w:ascii="Times New Roman" w:eastAsia="Times New Roman" w:hAnsi="Times New Roman" w:cs="Times New Roman"/>
          <w:sz w:val="24"/>
          <w:szCs w:val="24"/>
          <w:lang w:eastAsia="en-AU"/>
        </w:rPr>
      </w:pPr>
      <w:r w:rsidRPr="00C03A53">
        <w:rPr>
          <w:rFonts w:ascii="Times New Roman" w:eastAsia="Times New Roman" w:hAnsi="Times New Roman" w:cs="Times New Roman"/>
          <w:i/>
          <w:iCs/>
          <w:sz w:val="24"/>
          <w:szCs w:val="24"/>
          <w:lang w:eastAsia="en-AU"/>
        </w:rPr>
        <w:t> </w:t>
      </w:r>
    </w:p>
    <w:p w14:paraId="7BC73CCE" w14:textId="77777777" w:rsidR="005E7E92" w:rsidRPr="00C03A53" w:rsidRDefault="005E7E92" w:rsidP="005E7E92">
      <w:pPr>
        <w:pStyle w:val="PlainParagraph"/>
        <w:jc w:val="center"/>
        <w:rPr>
          <w:rFonts w:ascii="Times New Roman" w:hAnsi="Times New Roman" w:cs="Times New Roman"/>
          <w:i/>
          <w:sz w:val="24"/>
          <w:szCs w:val="24"/>
        </w:rPr>
      </w:pPr>
      <w:r w:rsidRPr="00C03A53">
        <w:rPr>
          <w:rFonts w:ascii="Times New Roman" w:hAnsi="Times New Roman" w:cs="Times New Roman"/>
          <w:i/>
          <w:sz w:val="24"/>
          <w:szCs w:val="24"/>
        </w:rPr>
        <w:t>Carbon Credits (Carbon Farming Initiative) Amendment (Specified Tree Planting) Rule 2023</w:t>
      </w:r>
    </w:p>
    <w:p w14:paraId="2574B142" w14:textId="37F8B809" w:rsidR="005E7E92" w:rsidRPr="00C03A53" w:rsidRDefault="005E7E92" w:rsidP="00324E4C">
      <w:pPr>
        <w:shd w:val="clear" w:color="auto" w:fill="FFFFFF"/>
        <w:spacing w:after="0" w:line="240" w:lineRule="auto"/>
        <w:rPr>
          <w:rFonts w:ascii="Times New Roman" w:eastAsia="Times New Roman" w:hAnsi="Times New Roman" w:cs="Times New Roman"/>
          <w:iCs/>
          <w:sz w:val="24"/>
          <w:szCs w:val="24"/>
          <w:lang w:eastAsia="en-AU"/>
        </w:rPr>
      </w:pPr>
    </w:p>
    <w:p w14:paraId="08C105B9" w14:textId="77777777" w:rsidR="005E7E92" w:rsidRPr="00C03A53" w:rsidRDefault="005E7E92" w:rsidP="005E7E92">
      <w:pPr>
        <w:pStyle w:val="PlainParagraph"/>
        <w:jc w:val="center"/>
        <w:rPr>
          <w:rFonts w:ascii="Times New Roman" w:hAnsi="Times New Roman" w:cs="Times New Roman"/>
          <w:i/>
          <w:sz w:val="24"/>
          <w:szCs w:val="24"/>
        </w:rPr>
      </w:pPr>
      <w:r w:rsidRPr="00C03A53">
        <w:rPr>
          <w:rFonts w:ascii="Times New Roman" w:hAnsi="Times New Roman" w:cs="Times New Roman"/>
          <w:i/>
          <w:sz w:val="24"/>
          <w:szCs w:val="24"/>
        </w:rPr>
        <w:t>Carbon Credits (Carbon Farming Initiative) Act 2011</w:t>
      </w:r>
    </w:p>
    <w:p w14:paraId="70054E64" w14:textId="77777777" w:rsidR="005E7E92" w:rsidRPr="00C03A53" w:rsidRDefault="005E7E92" w:rsidP="005E7E92">
      <w:pPr>
        <w:rPr>
          <w:rFonts w:ascii="Times New Roman" w:hAnsi="Times New Roman" w:cs="Times New Roman"/>
          <w:b/>
          <w:bCs/>
          <w:sz w:val="24"/>
          <w:szCs w:val="24"/>
        </w:rPr>
      </w:pPr>
    </w:p>
    <w:p w14:paraId="169D3769" w14:textId="77777777" w:rsidR="005E7E92" w:rsidRPr="00C03A53" w:rsidRDefault="005E7E92" w:rsidP="005E7E92">
      <w:pPr>
        <w:rPr>
          <w:rFonts w:ascii="Times New Roman" w:hAnsi="Times New Roman" w:cs="Times New Roman"/>
          <w:b/>
          <w:bCs/>
          <w:sz w:val="24"/>
          <w:szCs w:val="24"/>
        </w:rPr>
      </w:pPr>
      <w:r w:rsidRPr="00C03A53">
        <w:rPr>
          <w:rFonts w:ascii="Times New Roman" w:hAnsi="Times New Roman" w:cs="Times New Roman"/>
          <w:b/>
          <w:bCs/>
          <w:sz w:val="24"/>
          <w:szCs w:val="24"/>
        </w:rPr>
        <w:t>Legislative Authority</w:t>
      </w:r>
    </w:p>
    <w:p w14:paraId="1D3566A7" w14:textId="77777777" w:rsidR="008000B1" w:rsidRPr="00C03A53" w:rsidRDefault="008000B1" w:rsidP="008000B1">
      <w:pPr>
        <w:rPr>
          <w:rFonts w:ascii="Times New Roman" w:hAnsi="Times New Roman" w:cs="Times New Roman"/>
          <w:bCs/>
          <w:sz w:val="24"/>
          <w:szCs w:val="24"/>
        </w:rPr>
      </w:pPr>
      <w:r w:rsidRPr="00C03A53">
        <w:rPr>
          <w:rFonts w:ascii="Times New Roman" w:hAnsi="Times New Roman" w:cs="Times New Roman"/>
          <w:bCs/>
          <w:sz w:val="24"/>
          <w:szCs w:val="24"/>
        </w:rPr>
        <w:t xml:space="preserve">Section 308 of the </w:t>
      </w:r>
      <w:r w:rsidRPr="00C03A53">
        <w:rPr>
          <w:rFonts w:ascii="Times New Roman" w:hAnsi="Times New Roman" w:cs="Times New Roman"/>
          <w:bCs/>
          <w:i/>
          <w:sz w:val="24"/>
          <w:szCs w:val="24"/>
        </w:rPr>
        <w:t xml:space="preserve">Carbon Credits (Carbon Farming Initiative) Act 2011 </w:t>
      </w:r>
      <w:r w:rsidRPr="00C03A53">
        <w:rPr>
          <w:rFonts w:ascii="Times New Roman" w:hAnsi="Times New Roman" w:cs="Times New Roman"/>
          <w:bCs/>
          <w:sz w:val="24"/>
          <w:szCs w:val="24"/>
        </w:rPr>
        <w:t>(the Act) provides that the Minister may make legislative rules required or permitted by the Act to be prescribed by the legislative</w:t>
      </w:r>
      <w:r w:rsidRPr="00C03A53">
        <w:rPr>
          <w:rFonts w:ascii="Times New Roman" w:hAnsi="Times New Roman" w:cs="Times New Roman"/>
          <w:b/>
          <w:bCs/>
          <w:i/>
          <w:iCs/>
          <w:sz w:val="24"/>
          <w:szCs w:val="24"/>
        </w:rPr>
        <w:t> </w:t>
      </w:r>
      <w:r w:rsidRPr="00C03A53">
        <w:rPr>
          <w:rFonts w:ascii="Times New Roman" w:hAnsi="Times New Roman" w:cs="Times New Roman"/>
          <w:bCs/>
          <w:sz w:val="24"/>
          <w:szCs w:val="24"/>
        </w:rPr>
        <w:t xml:space="preserve">rules, or necessary or convenient to be prescribed for carrying out or giving effect to the Act. The </w:t>
      </w:r>
      <w:r w:rsidRPr="00C03A53">
        <w:rPr>
          <w:rFonts w:ascii="Times New Roman" w:hAnsi="Times New Roman" w:cs="Times New Roman"/>
          <w:bCs/>
          <w:i/>
          <w:iCs/>
          <w:sz w:val="24"/>
          <w:szCs w:val="24"/>
        </w:rPr>
        <w:t xml:space="preserve">Carbon Credits (Carbon Farming Initiative) Rule 2015 </w:t>
      </w:r>
      <w:r w:rsidRPr="00C03A53">
        <w:rPr>
          <w:rFonts w:ascii="Times New Roman" w:hAnsi="Times New Roman" w:cs="Times New Roman"/>
          <w:bCs/>
          <w:sz w:val="24"/>
          <w:szCs w:val="24"/>
        </w:rPr>
        <w:t xml:space="preserve">(the Principal Rule) is made under section 308 of the Act.  </w:t>
      </w:r>
    </w:p>
    <w:p w14:paraId="24AFD3C2" w14:textId="79A5FB05" w:rsidR="008000B1" w:rsidRPr="00C03A53" w:rsidRDefault="008000B1" w:rsidP="008000B1">
      <w:pPr>
        <w:rPr>
          <w:rFonts w:ascii="Times New Roman" w:hAnsi="Times New Roman" w:cs="Times New Roman"/>
          <w:bCs/>
          <w:iCs/>
          <w:sz w:val="24"/>
          <w:szCs w:val="24"/>
        </w:rPr>
      </w:pPr>
      <w:r w:rsidRPr="00C03A53">
        <w:rPr>
          <w:rFonts w:ascii="Times New Roman" w:hAnsi="Times New Roman" w:cs="Times New Roman"/>
          <w:sz w:val="24"/>
          <w:szCs w:val="24"/>
        </w:rPr>
        <w:t xml:space="preserve">The power in section 308 to make legislative rules includes the power to vary or revoke such rules, in like manner and subject to like conditions (relying on subsection 33(3) of the </w:t>
      </w:r>
      <w:r w:rsidRPr="00C03A53">
        <w:rPr>
          <w:rFonts w:ascii="Times New Roman" w:hAnsi="Times New Roman" w:cs="Times New Roman"/>
          <w:i/>
          <w:sz w:val="24"/>
          <w:szCs w:val="24"/>
        </w:rPr>
        <w:t>Acts Interpretation Act 1901</w:t>
      </w:r>
      <w:r w:rsidR="00806239" w:rsidRPr="00C03A53">
        <w:rPr>
          <w:rFonts w:ascii="Times New Roman" w:hAnsi="Times New Roman" w:cs="Times New Roman"/>
          <w:i/>
          <w:sz w:val="24"/>
          <w:szCs w:val="24"/>
        </w:rPr>
        <w:t xml:space="preserve"> </w:t>
      </w:r>
      <w:r w:rsidRPr="00C03A53">
        <w:rPr>
          <w:rFonts w:ascii="Times New Roman" w:hAnsi="Times New Roman" w:cs="Times New Roman"/>
          <w:iCs/>
          <w:sz w:val="24"/>
          <w:szCs w:val="24"/>
        </w:rPr>
        <w:t>(AI Act)).</w:t>
      </w:r>
    </w:p>
    <w:p w14:paraId="085B9112" w14:textId="3C6D9163" w:rsidR="008000B1" w:rsidRPr="00C03A53" w:rsidRDefault="008000B1" w:rsidP="00475276">
      <w:pPr>
        <w:rPr>
          <w:rFonts w:ascii="Times New Roman" w:hAnsi="Times New Roman" w:cs="Times New Roman"/>
          <w:sz w:val="24"/>
          <w:szCs w:val="24"/>
        </w:rPr>
      </w:pPr>
      <w:r w:rsidRPr="00C03A53">
        <w:rPr>
          <w:rFonts w:ascii="Times New Roman" w:hAnsi="Times New Roman" w:cs="Times New Roman"/>
          <w:bCs/>
          <w:sz w:val="24"/>
          <w:szCs w:val="24"/>
        </w:rPr>
        <w:t xml:space="preserve">Section 56 of the Act empowers the Minister to make legislative rules specifying an offsets project as an </w:t>
      </w:r>
      <w:r w:rsidRPr="00C03A53">
        <w:rPr>
          <w:rFonts w:ascii="Times New Roman" w:hAnsi="Times New Roman" w:cs="Times New Roman"/>
          <w:b/>
          <w:bCs/>
          <w:i/>
          <w:sz w:val="24"/>
          <w:szCs w:val="24"/>
        </w:rPr>
        <w:t>excluded offsets project</w:t>
      </w:r>
      <w:r w:rsidRPr="00C03A53">
        <w:rPr>
          <w:rFonts w:ascii="Times New Roman" w:hAnsi="Times New Roman" w:cs="Times New Roman"/>
          <w:bCs/>
          <w:sz w:val="24"/>
          <w:szCs w:val="24"/>
        </w:rPr>
        <w:t xml:space="preserve"> for the purposes of the Act. </w:t>
      </w:r>
      <w:r w:rsidRPr="00C03A53">
        <w:rPr>
          <w:rFonts w:ascii="Times New Roman" w:hAnsi="Times New Roman" w:cs="Times New Roman"/>
          <w:sz w:val="24"/>
          <w:szCs w:val="24"/>
        </w:rPr>
        <w:t>The</w:t>
      </w:r>
      <w:r w:rsidRPr="00C03A53">
        <w:rPr>
          <w:rFonts w:ascii="Times New Roman" w:hAnsi="Times New Roman" w:cs="Times New Roman"/>
          <w:i/>
          <w:iCs/>
          <w:sz w:val="24"/>
          <w:szCs w:val="24"/>
        </w:rPr>
        <w:t xml:space="preserve"> Carbon Credits (Carbon Farming Initiative) Amendment (Specified Tree Planting) Rule 2023</w:t>
      </w:r>
      <w:r w:rsidRPr="00C03A53">
        <w:rPr>
          <w:rFonts w:ascii="Times New Roman" w:hAnsi="Times New Roman" w:cs="Times New Roman"/>
          <w:sz w:val="24"/>
          <w:szCs w:val="24"/>
        </w:rPr>
        <w:t xml:space="preserve"> (the Amendment Rule is made for the purposes of section 56 of the Act.</w:t>
      </w:r>
    </w:p>
    <w:p w14:paraId="3F5622C8" w14:textId="77777777" w:rsidR="005E7E92" w:rsidRPr="00C03A53" w:rsidRDefault="005E7E92" w:rsidP="005E7E92">
      <w:pPr>
        <w:rPr>
          <w:rFonts w:ascii="Times New Roman" w:hAnsi="Times New Roman" w:cs="Times New Roman"/>
          <w:b/>
          <w:bCs/>
          <w:sz w:val="24"/>
          <w:szCs w:val="24"/>
        </w:rPr>
      </w:pPr>
      <w:r w:rsidRPr="00C03A53">
        <w:rPr>
          <w:rFonts w:ascii="Times New Roman" w:hAnsi="Times New Roman" w:cs="Times New Roman"/>
          <w:b/>
          <w:bCs/>
          <w:sz w:val="24"/>
          <w:szCs w:val="24"/>
        </w:rPr>
        <w:t>Purpose</w:t>
      </w:r>
    </w:p>
    <w:p w14:paraId="23480B96" w14:textId="77777777" w:rsidR="00AC5BD9" w:rsidRPr="00C03A53" w:rsidRDefault="008000B1" w:rsidP="00C41B1B">
      <w:pPr>
        <w:spacing w:after="0"/>
        <w:rPr>
          <w:rFonts w:ascii="Times New Roman" w:hAnsi="Times New Roman" w:cs="Times New Roman"/>
          <w:sz w:val="24"/>
          <w:szCs w:val="24"/>
        </w:rPr>
      </w:pPr>
      <w:r w:rsidRPr="00C03A53">
        <w:rPr>
          <w:rFonts w:ascii="Times New Roman" w:hAnsi="Times New Roman" w:cs="Times New Roman"/>
          <w:sz w:val="24"/>
          <w:szCs w:val="24"/>
        </w:rPr>
        <w:t xml:space="preserve">The </w:t>
      </w:r>
      <w:r w:rsidRPr="00C03A53">
        <w:rPr>
          <w:rFonts w:ascii="Times New Roman" w:hAnsi="Times New Roman" w:cs="Times New Roman"/>
          <w:bCs/>
          <w:iCs/>
          <w:sz w:val="24"/>
          <w:szCs w:val="24"/>
        </w:rPr>
        <w:t>Amendment R</w:t>
      </w:r>
      <w:r w:rsidRPr="00C03A53">
        <w:rPr>
          <w:rFonts w:ascii="Times New Roman" w:hAnsi="Times New Roman" w:cs="Times New Roman"/>
          <w:sz w:val="24"/>
          <w:szCs w:val="24"/>
        </w:rPr>
        <w:t xml:space="preserve">ule </w:t>
      </w:r>
      <w:r w:rsidRPr="00C03A53">
        <w:rPr>
          <w:rFonts w:ascii="Times New Roman" w:hAnsi="Times New Roman" w:cs="Times New Roman"/>
          <w:bCs/>
          <w:sz w:val="24"/>
          <w:szCs w:val="24"/>
        </w:rPr>
        <w:t>amends the Principal Rule</w:t>
      </w:r>
      <w:r w:rsidRPr="00C03A53">
        <w:rPr>
          <w:rFonts w:ascii="Times New Roman" w:hAnsi="Times New Roman" w:cs="Times New Roman"/>
          <w:i/>
          <w:sz w:val="24"/>
          <w:szCs w:val="24"/>
        </w:rPr>
        <w:t xml:space="preserve"> </w:t>
      </w:r>
      <w:r w:rsidRPr="00C03A53">
        <w:rPr>
          <w:rFonts w:ascii="Times New Roman" w:hAnsi="Times New Roman" w:cs="Times New Roman"/>
          <w:sz w:val="24"/>
          <w:szCs w:val="24"/>
        </w:rPr>
        <w:t>to</w:t>
      </w:r>
      <w:r w:rsidR="00152E2F" w:rsidRPr="00C03A53">
        <w:rPr>
          <w:rFonts w:ascii="Times New Roman" w:hAnsi="Times New Roman" w:cs="Times New Roman"/>
          <w:sz w:val="24"/>
          <w:szCs w:val="24"/>
        </w:rPr>
        <w:t xml:space="preserve"> insert a new condition under section 20AB in which specified tree planting is not considered an ‘excluded offsets project’, and, </w:t>
      </w:r>
    </w:p>
    <w:p w14:paraId="1B5E7B2E" w14:textId="4C25830D" w:rsidR="00152E2F" w:rsidRPr="00C03A53" w:rsidRDefault="00152E2F" w:rsidP="00475276">
      <w:pPr>
        <w:rPr>
          <w:rFonts w:ascii="Times New Roman" w:hAnsi="Times New Roman" w:cs="Times New Roman"/>
          <w:sz w:val="24"/>
          <w:szCs w:val="24"/>
        </w:rPr>
      </w:pPr>
      <w:r w:rsidRPr="00C03A53">
        <w:rPr>
          <w:rFonts w:ascii="Times New Roman" w:hAnsi="Times New Roman" w:cs="Times New Roman"/>
          <w:sz w:val="24"/>
          <w:szCs w:val="24"/>
        </w:rPr>
        <w:t>to repeal the whole of section 20AB</w:t>
      </w:r>
      <w:r w:rsidR="00CC7ACB" w:rsidRPr="00C03A53">
        <w:rPr>
          <w:rFonts w:ascii="Times New Roman" w:hAnsi="Times New Roman" w:cs="Times New Roman"/>
          <w:sz w:val="24"/>
          <w:szCs w:val="24"/>
        </w:rPr>
        <w:t xml:space="preserve"> on 1 June 2024</w:t>
      </w:r>
      <w:r w:rsidRPr="00C03A53">
        <w:rPr>
          <w:rFonts w:ascii="Times New Roman" w:hAnsi="Times New Roman" w:cs="Times New Roman"/>
          <w:sz w:val="24"/>
          <w:szCs w:val="24"/>
        </w:rPr>
        <w:t xml:space="preserve">. </w:t>
      </w:r>
    </w:p>
    <w:p w14:paraId="0C2833C9" w14:textId="7E87C1D1" w:rsidR="008000B1" w:rsidRPr="00C03A53" w:rsidRDefault="008000B1" w:rsidP="00475276">
      <w:pPr>
        <w:rPr>
          <w:rFonts w:ascii="Times New Roman" w:hAnsi="Times New Roman" w:cs="Times New Roman"/>
          <w:sz w:val="24"/>
          <w:szCs w:val="24"/>
        </w:rPr>
      </w:pPr>
      <w:r w:rsidRPr="00C03A53">
        <w:rPr>
          <w:rFonts w:ascii="Times New Roman" w:hAnsi="Times New Roman" w:cs="Times New Roman"/>
          <w:sz w:val="24"/>
          <w:szCs w:val="24"/>
        </w:rPr>
        <w:t>This removes specified tree planting activities from the types of ‘excluded offsets projects’ for the purposes of the Act. An excluded offsets project is not eligible for crediting of greenhouse gas emissions reduction resulting from that activity.</w:t>
      </w:r>
    </w:p>
    <w:p w14:paraId="7D5768A1" w14:textId="77777777" w:rsidR="008000B1" w:rsidRPr="00C03A53" w:rsidRDefault="008000B1" w:rsidP="008000B1">
      <w:pPr>
        <w:rPr>
          <w:rFonts w:ascii="Times New Roman" w:hAnsi="Times New Roman" w:cs="Times New Roman"/>
          <w:b/>
          <w:bCs/>
          <w:sz w:val="24"/>
          <w:szCs w:val="24"/>
        </w:rPr>
      </w:pPr>
      <w:r w:rsidRPr="00C03A53">
        <w:rPr>
          <w:rFonts w:ascii="Times New Roman" w:hAnsi="Times New Roman" w:cs="Times New Roman"/>
          <w:b/>
          <w:bCs/>
          <w:sz w:val="24"/>
          <w:szCs w:val="24"/>
        </w:rPr>
        <w:t xml:space="preserve">Impact and effect </w:t>
      </w:r>
    </w:p>
    <w:p w14:paraId="17122C4D" w14:textId="2D80F04A" w:rsidR="007E45AB" w:rsidRPr="00C03A53" w:rsidRDefault="007E45AB" w:rsidP="00475276">
      <w:pPr>
        <w:rPr>
          <w:rFonts w:ascii="Times New Roman" w:hAnsi="Times New Roman" w:cs="Times New Roman"/>
          <w:sz w:val="24"/>
          <w:szCs w:val="24"/>
        </w:rPr>
      </w:pPr>
      <w:r w:rsidRPr="00C03A53">
        <w:rPr>
          <w:rFonts w:ascii="Times New Roman" w:hAnsi="Times New Roman" w:cs="Times New Roman"/>
          <w:sz w:val="24"/>
          <w:szCs w:val="24"/>
        </w:rPr>
        <w:t xml:space="preserve">Schedule 1 of the Amendment Rule allows </w:t>
      </w:r>
      <w:r w:rsidR="000F4534" w:rsidRPr="00C03A53">
        <w:rPr>
          <w:rFonts w:ascii="Times New Roman" w:hAnsi="Times New Roman" w:cs="Times New Roman"/>
          <w:sz w:val="24"/>
          <w:szCs w:val="24"/>
        </w:rPr>
        <w:t>specified tree planting</w:t>
      </w:r>
      <w:r w:rsidRPr="00C03A53">
        <w:rPr>
          <w:rFonts w:ascii="Times New Roman" w:hAnsi="Times New Roman" w:cs="Times New Roman"/>
          <w:sz w:val="24"/>
          <w:szCs w:val="24"/>
        </w:rPr>
        <w:t xml:space="preserve"> projects to be registered as a project eligible for the issuance of Australian Carbon Credit Units (ACCUs) if they would not begin the crediting period for their project until </w:t>
      </w:r>
      <w:r w:rsidR="00CC7ACB" w:rsidRPr="00C03A53">
        <w:rPr>
          <w:rFonts w:ascii="Times New Roman" w:hAnsi="Times New Roman" w:cs="Times New Roman"/>
          <w:sz w:val="24"/>
          <w:szCs w:val="24"/>
        </w:rPr>
        <w:t>1 June 2024</w:t>
      </w:r>
      <w:r w:rsidRPr="00C03A53">
        <w:rPr>
          <w:rFonts w:ascii="Times New Roman" w:hAnsi="Times New Roman" w:cs="Times New Roman"/>
          <w:sz w:val="24"/>
          <w:szCs w:val="24"/>
        </w:rPr>
        <w:t xml:space="preserve">. This new, interim, provision has the effect of enabling projects that would otherwise be subject to the other conditions of section 20AB </w:t>
      </w:r>
      <w:r w:rsidR="009F69A0" w:rsidRPr="00C03A53">
        <w:rPr>
          <w:rFonts w:ascii="Times New Roman" w:hAnsi="Times New Roman" w:cs="Times New Roman"/>
          <w:sz w:val="24"/>
          <w:szCs w:val="24"/>
        </w:rPr>
        <w:t>of the Princip</w:t>
      </w:r>
      <w:r w:rsidR="00597DD0" w:rsidRPr="00C03A53">
        <w:rPr>
          <w:rFonts w:ascii="Times New Roman" w:hAnsi="Times New Roman" w:cs="Times New Roman"/>
          <w:sz w:val="24"/>
          <w:szCs w:val="24"/>
        </w:rPr>
        <w:t>al</w:t>
      </w:r>
      <w:r w:rsidR="009F69A0" w:rsidRPr="00C03A53">
        <w:rPr>
          <w:rFonts w:ascii="Times New Roman" w:hAnsi="Times New Roman" w:cs="Times New Roman"/>
          <w:sz w:val="24"/>
          <w:szCs w:val="24"/>
        </w:rPr>
        <w:t xml:space="preserve"> Rule </w:t>
      </w:r>
      <w:r w:rsidRPr="00C03A53">
        <w:rPr>
          <w:rFonts w:ascii="Times New Roman" w:hAnsi="Times New Roman" w:cs="Times New Roman"/>
          <w:sz w:val="24"/>
          <w:szCs w:val="24"/>
        </w:rPr>
        <w:t xml:space="preserve">to be able to commence as soon as the whole of section 20AB is repealed by Schedule 2 of the Amendment Rule.  </w:t>
      </w:r>
    </w:p>
    <w:p w14:paraId="1D55D4B0" w14:textId="0DAB0991" w:rsidR="008000B1" w:rsidRPr="00C03A53" w:rsidRDefault="008000B1" w:rsidP="00475276">
      <w:pPr>
        <w:rPr>
          <w:rFonts w:ascii="Times New Roman" w:hAnsi="Times New Roman" w:cs="Times New Roman"/>
          <w:sz w:val="24"/>
          <w:szCs w:val="24"/>
        </w:rPr>
      </w:pPr>
      <w:r w:rsidRPr="00C03A53">
        <w:rPr>
          <w:rFonts w:ascii="Times New Roman" w:hAnsi="Times New Roman" w:cs="Times New Roman"/>
          <w:sz w:val="24"/>
          <w:szCs w:val="24"/>
        </w:rPr>
        <w:t xml:space="preserve">The effect of the Amendment Rule is that </w:t>
      </w:r>
      <w:r w:rsidR="000F4534" w:rsidRPr="00C03A53">
        <w:rPr>
          <w:rFonts w:ascii="Times New Roman" w:hAnsi="Times New Roman" w:cs="Times New Roman"/>
          <w:sz w:val="24"/>
          <w:szCs w:val="24"/>
        </w:rPr>
        <w:t xml:space="preserve">specified tree planting projects </w:t>
      </w:r>
      <w:r w:rsidRPr="00C03A53">
        <w:rPr>
          <w:rFonts w:ascii="Times New Roman" w:hAnsi="Times New Roman" w:cs="Times New Roman"/>
          <w:sz w:val="24"/>
          <w:szCs w:val="24"/>
        </w:rPr>
        <w:t xml:space="preserve">no longer have to meet certain additional conditions to manage the potential impacts of those kinds of projects on water </w:t>
      </w:r>
      <w:r w:rsidR="00C41B1B" w:rsidRPr="00C03A53">
        <w:rPr>
          <w:rFonts w:ascii="Times New Roman" w:hAnsi="Times New Roman" w:cs="Times New Roman"/>
          <w:sz w:val="24"/>
          <w:szCs w:val="24"/>
        </w:rPr>
        <w:t>availability before</w:t>
      </w:r>
      <w:r w:rsidRPr="00C03A53">
        <w:rPr>
          <w:rFonts w:ascii="Times New Roman" w:hAnsi="Times New Roman" w:cs="Times New Roman"/>
          <w:sz w:val="24"/>
          <w:szCs w:val="24"/>
        </w:rPr>
        <w:t xml:space="preserve"> they can be submitted for registration as a project eligible for the issuance of Australian Carbon Credit Units (ACCUs). </w:t>
      </w:r>
      <w:r w:rsidR="002E3406" w:rsidRPr="00C03A53">
        <w:rPr>
          <w:rFonts w:ascii="Times New Roman" w:hAnsi="Times New Roman" w:cs="Times New Roman"/>
          <w:sz w:val="24"/>
          <w:szCs w:val="24"/>
        </w:rPr>
        <w:t>T</w:t>
      </w:r>
      <w:r w:rsidR="000F4534" w:rsidRPr="00C03A53">
        <w:rPr>
          <w:rFonts w:ascii="Times New Roman" w:hAnsi="Times New Roman" w:cs="Times New Roman"/>
          <w:sz w:val="24"/>
          <w:szCs w:val="24"/>
        </w:rPr>
        <w:t xml:space="preserve">he types of </w:t>
      </w:r>
      <w:r w:rsidR="00152374" w:rsidRPr="00C03A53">
        <w:rPr>
          <w:rFonts w:ascii="Times New Roman" w:hAnsi="Times New Roman" w:cs="Times New Roman"/>
          <w:sz w:val="24"/>
          <w:szCs w:val="24"/>
        </w:rPr>
        <w:t xml:space="preserve">ACCU </w:t>
      </w:r>
      <w:r w:rsidR="000F4534" w:rsidRPr="00C03A53">
        <w:rPr>
          <w:rFonts w:ascii="Times New Roman" w:hAnsi="Times New Roman" w:cs="Times New Roman"/>
          <w:sz w:val="24"/>
          <w:szCs w:val="24"/>
        </w:rPr>
        <w:t xml:space="preserve">projects that are </w:t>
      </w:r>
      <w:r w:rsidR="000F4534" w:rsidRPr="00C03A53">
        <w:rPr>
          <w:rFonts w:ascii="Times New Roman" w:hAnsi="Times New Roman" w:cs="Times New Roman"/>
          <w:sz w:val="24"/>
          <w:szCs w:val="24"/>
        </w:rPr>
        <w:lastRenderedPageBreak/>
        <w:t>subject to the changes are plantation forestry, farm forestry</w:t>
      </w:r>
      <w:r w:rsidR="002E3406" w:rsidRPr="00C03A53">
        <w:rPr>
          <w:rFonts w:ascii="Times New Roman" w:hAnsi="Times New Roman" w:cs="Times New Roman"/>
          <w:sz w:val="24"/>
          <w:szCs w:val="24"/>
        </w:rPr>
        <w:t>,</w:t>
      </w:r>
      <w:r w:rsidR="000F4534" w:rsidRPr="00C03A53">
        <w:rPr>
          <w:rFonts w:ascii="Times New Roman" w:hAnsi="Times New Roman" w:cs="Times New Roman"/>
          <w:sz w:val="24"/>
          <w:szCs w:val="24"/>
        </w:rPr>
        <w:t xml:space="preserve"> and permanent planting</w:t>
      </w:r>
      <w:r w:rsidR="002E3406" w:rsidRPr="00C03A53">
        <w:rPr>
          <w:rFonts w:ascii="Times New Roman" w:hAnsi="Times New Roman" w:cs="Times New Roman"/>
          <w:sz w:val="24"/>
          <w:szCs w:val="24"/>
        </w:rPr>
        <w:t xml:space="preserve"> that are not environmental planting</w:t>
      </w:r>
      <w:r w:rsidR="000F4534" w:rsidRPr="00C03A53">
        <w:rPr>
          <w:rFonts w:ascii="Times New Roman" w:hAnsi="Times New Roman" w:cs="Times New Roman"/>
          <w:sz w:val="24"/>
          <w:szCs w:val="24"/>
        </w:rPr>
        <w:t xml:space="preserve"> projects.</w:t>
      </w:r>
    </w:p>
    <w:p w14:paraId="04A3352A" w14:textId="4396D2F7" w:rsidR="005E7E92" w:rsidRPr="00C03A53" w:rsidRDefault="005E7E92" w:rsidP="00475276">
      <w:pPr>
        <w:rPr>
          <w:rFonts w:ascii="Times New Roman" w:hAnsi="Times New Roman" w:cs="Times New Roman"/>
          <w:sz w:val="24"/>
          <w:szCs w:val="24"/>
        </w:rPr>
      </w:pPr>
      <w:r w:rsidRPr="00C03A53">
        <w:rPr>
          <w:rFonts w:ascii="Times New Roman" w:hAnsi="Times New Roman" w:cs="Times New Roman"/>
          <w:sz w:val="24"/>
          <w:szCs w:val="24"/>
        </w:rPr>
        <w:t>Removal of these requirements will reduce regulatory burden and thereby facilitate uptake of projects that assist in achieving the objects of the Act, which relevantly include:</w:t>
      </w:r>
    </w:p>
    <w:p w14:paraId="043B510C" w14:textId="77777777" w:rsidR="005E7E92" w:rsidRPr="00C03A53" w:rsidRDefault="005E7E92" w:rsidP="00806239">
      <w:pPr>
        <w:pStyle w:val="ListParagraph"/>
        <w:numPr>
          <w:ilvl w:val="0"/>
          <w:numId w:val="6"/>
        </w:numPr>
        <w:rPr>
          <w:rFonts w:ascii="Times New Roman" w:hAnsi="Times New Roman" w:cs="Times New Roman"/>
          <w:sz w:val="24"/>
          <w:szCs w:val="24"/>
        </w:rPr>
      </w:pPr>
      <w:r w:rsidRPr="00C03A53">
        <w:rPr>
          <w:rFonts w:ascii="Times New Roman" w:hAnsi="Times New Roman" w:cs="Times New Roman"/>
          <w:sz w:val="24"/>
          <w:szCs w:val="24"/>
        </w:rPr>
        <w:t>removing greenhouse gases from the atmosphere, and avoiding emissions of greenhouse gases, to meet Australia’s international obligations under the Climate Change Convention, the Kyoto Protocol, the Paris Agreement, and any other international agreement;</w:t>
      </w:r>
    </w:p>
    <w:p w14:paraId="72A0E317" w14:textId="77777777" w:rsidR="005E7E92" w:rsidRPr="00C03A53" w:rsidRDefault="005E7E92" w:rsidP="00806239">
      <w:pPr>
        <w:pStyle w:val="ListParagraph"/>
        <w:numPr>
          <w:ilvl w:val="0"/>
          <w:numId w:val="6"/>
        </w:numPr>
        <w:rPr>
          <w:rFonts w:ascii="Times New Roman" w:hAnsi="Times New Roman" w:cs="Times New Roman"/>
          <w:sz w:val="24"/>
          <w:szCs w:val="24"/>
        </w:rPr>
      </w:pPr>
      <w:r w:rsidRPr="00C03A53">
        <w:rPr>
          <w:rFonts w:ascii="Times New Roman" w:hAnsi="Times New Roman" w:cs="Times New Roman"/>
          <w:sz w:val="24"/>
          <w:szCs w:val="24"/>
        </w:rPr>
        <w:t xml:space="preserve">creating incentives for people to carry on certain offsets projects; </w:t>
      </w:r>
    </w:p>
    <w:p w14:paraId="2134F03B" w14:textId="77777777" w:rsidR="005E7E92" w:rsidRPr="00C03A53" w:rsidRDefault="005E7E92" w:rsidP="00475276">
      <w:pPr>
        <w:pStyle w:val="ListParagraph"/>
        <w:numPr>
          <w:ilvl w:val="0"/>
          <w:numId w:val="6"/>
        </w:numPr>
        <w:rPr>
          <w:rFonts w:ascii="Times New Roman" w:hAnsi="Times New Roman" w:cs="Times New Roman"/>
          <w:sz w:val="24"/>
          <w:szCs w:val="24"/>
        </w:rPr>
      </w:pPr>
      <w:r w:rsidRPr="00C03A53">
        <w:rPr>
          <w:rFonts w:ascii="Times New Roman" w:hAnsi="Times New Roman" w:cs="Times New Roman"/>
          <w:sz w:val="24"/>
          <w:szCs w:val="24"/>
        </w:rPr>
        <w:t>increasing carbon abatement in a manner that is consistent with the protection of Australia’s natural environment, and improves resilience to the effects of climate change; and</w:t>
      </w:r>
    </w:p>
    <w:p w14:paraId="06F0B91D" w14:textId="77777777" w:rsidR="005E7E92" w:rsidRPr="00C03A53" w:rsidRDefault="005E7E92" w:rsidP="00475276">
      <w:pPr>
        <w:pStyle w:val="ListParagraph"/>
        <w:numPr>
          <w:ilvl w:val="0"/>
          <w:numId w:val="6"/>
        </w:numPr>
        <w:rPr>
          <w:rFonts w:ascii="Times New Roman" w:hAnsi="Times New Roman" w:cs="Times New Roman"/>
          <w:sz w:val="24"/>
          <w:szCs w:val="24"/>
        </w:rPr>
      </w:pPr>
      <w:r w:rsidRPr="00C03A53">
        <w:rPr>
          <w:rFonts w:ascii="Times New Roman" w:hAnsi="Times New Roman" w:cs="Times New Roman"/>
          <w:sz w:val="24"/>
          <w:szCs w:val="24"/>
        </w:rPr>
        <w:t xml:space="preserve">facilitating the achievement of Australia’s greenhouse gas emissions reduction targets. </w:t>
      </w:r>
    </w:p>
    <w:p w14:paraId="5BFA516B" w14:textId="554929C8" w:rsidR="005E7E92" w:rsidRPr="00C03A53" w:rsidRDefault="005E7E92" w:rsidP="00475276">
      <w:pPr>
        <w:rPr>
          <w:rFonts w:ascii="Times New Roman" w:hAnsi="Times New Roman" w:cs="Times New Roman"/>
          <w:sz w:val="24"/>
          <w:szCs w:val="24"/>
        </w:rPr>
      </w:pPr>
      <w:r w:rsidRPr="00C03A53">
        <w:rPr>
          <w:rFonts w:ascii="Times New Roman" w:hAnsi="Times New Roman" w:cs="Times New Roman"/>
          <w:sz w:val="24"/>
          <w:szCs w:val="24"/>
        </w:rPr>
        <w:t xml:space="preserve">Australia’s greenhouse gas emissions reduction targets, which reflect its nationally determined contribution under the Paris Agreement, have been legislated in the </w:t>
      </w:r>
      <w:r w:rsidRPr="00C03A53">
        <w:rPr>
          <w:rFonts w:ascii="Times New Roman" w:hAnsi="Times New Roman" w:cs="Times New Roman"/>
          <w:i/>
          <w:sz w:val="24"/>
          <w:szCs w:val="24"/>
        </w:rPr>
        <w:t>Climate Change Act 2022</w:t>
      </w:r>
      <w:r w:rsidRPr="00C03A53">
        <w:rPr>
          <w:rFonts w:ascii="Times New Roman" w:hAnsi="Times New Roman" w:cs="Times New Roman"/>
          <w:sz w:val="24"/>
          <w:szCs w:val="24"/>
        </w:rPr>
        <w:t xml:space="preserve"> as a reduction of greenhouse gas emissions of 43</w:t>
      </w:r>
      <w:r w:rsidR="00217A92" w:rsidRPr="00C03A53">
        <w:rPr>
          <w:rFonts w:ascii="Times New Roman" w:hAnsi="Times New Roman" w:cs="Times New Roman"/>
          <w:sz w:val="24"/>
          <w:szCs w:val="24"/>
        </w:rPr>
        <w:t>%</w:t>
      </w:r>
      <w:r w:rsidRPr="00C03A53">
        <w:rPr>
          <w:rFonts w:ascii="Times New Roman" w:hAnsi="Times New Roman" w:cs="Times New Roman"/>
          <w:sz w:val="24"/>
          <w:szCs w:val="24"/>
        </w:rPr>
        <w:t xml:space="preserve"> below 2005 levels by 2030, and net zero emissions by 2050.  </w:t>
      </w:r>
    </w:p>
    <w:p w14:paraId="2D126571" w14:textId="5B744DAC" w:rsidR="005E7E92" w:rsidRPr="00C03A53" w:rsidRDefault="005E7E92" w:rsidP="005E7E92">
      <w:pPr>
        <w:rPr>
          <w:rFonts w:ascii="Times New Roman" w:hAnsi="Times New Roman" w:cs="Times New Roman"/>
          <w:b/>
          <w:bCs/>
          <w:sz w:val="24"/>
          <w:szCs w:val="24"/>
        </w:rPr>
      </w:pPr>
      <w:r w:rsidRPr="00C03A53">
        <w:rPr>
          <w:rFonts w:ascii="Times New Roman" w:hAnsi="Times New Roman" w:cs="Times New Roman"/>
          <w:b/>
          <w:bCs/>
          <w:sz w:val="24"/>
          <w:szCs w:val="24"/>
        </w:rPr>
        <w:t>Background</w:t>
      </w:r>
    </w:p>
    <w:p w14:paraId="35CA6549" w14:textId="00AB1FCD" w:rsidR="005E7E92" w:rsidRPr="00C03A53" w:rsidRDefault="005E7E92" w:rsidP="00475276">
      <w:pPr>
        <w:rPr>
          <w:rFonts w:ascii="Times New Roman" w:hAnsi="Times New Roman" w:cs="Times New Roman"/>
          <w:sz w:val="24"/>
          <w:szCs w:val="24"/>
        </w:rPr>
      </w:pPr>
      <w:bookmarkStart w:id="0" w:name="_Hlk125557179"/>
      <w:r w:rsidRPr="00C03A53">
        <w:rPr>
          <w:rFonts w:ascii="Times New Roman" w:hAnsi="Times New Roman" w:cs="Times New Roman"/>
          <w:sz w:val="24"/>
          <w:szCs w:val="24"/>
        </w:rPr>
        <w:t>The Act enables the crediting of</w:t>
      </w:r>
      <w:r w:rsidRPr="00C03A53">
        <w:rPr>
          <w:sz w:val="24"/>
          <w:szCs w:val="24"/>
        </w:rPr>
        <w:t xml:space="preserve"> </w:t>
      </w:r>
      <w:r w:rsidRPr="00C03A53">
        <w:rPr>
          <w:rFonts w:ascii="Times New Roman" w:hAnsi="Times New Roman" w:cs="Times New Roman"/>
          <w:sz w:val="24"/>
          <w:szCs w:val="24"/>
        </w:rPr>
        <w:t xml:space="preserve">greenhouse gas abatement from emissions reduction activities across Australia. Greenhouse gas abatement is achieved by either reducing or avoiding emissions, or by removing carbon from the atmosphere and storing it. ACCUs may be issued for abatement that has been achieved as a result of an eligible offsets project. </w:t>
      </w:r>
      <w:r w:rsidR="00806239" w:rsidRPr="00C03A53">
        <w:rPr>
          <w:rFonts w:ascii="Times New Roman" w:hAnsi="Times New Roman" w:cs="Times New Roman"/>
          <w:sz w:val="24"/>
          <w:szCs w:val="24"/>
        </w:rPr>
        <w:br/>
      </w:r>
      <w:r w:rsidR="008A4C24" w:rsidRPr="00C03A53">
        <w:rPr>
          <w:rFonts w:ascii="Times New Roman" w:hAnsi="Times New Roman" w:cs="Times New Roman"/>
          <w:sz w:val="24"/>
          <w:szCs w:val="24"/>
        </w:rPr>
        <w:t>One ACCU is issued for each tonne of abatement from a project.</w:t>
      </w:r>
    </w:p>
    <w:bookmarkEnd w:id="0"/>
    <w:p w14:paraId="309C7511" w14:textId="573C3943" w:rsidR="005E7E92" w:rsidRPr="00C03A53" w:rsidRDefault="005E7E92" w:rsidP="00475276">
      <w:pPr>
        <w:rPr>
          <w:rFonts w:ascii="Times New Roman" w:hAnsi="Times New Roman" w:cs="Times New Roman"/>
          <w:sz w:val="24"/>
          <w:szCs w:val="24"/>
        </w:rPr>
      </w:pPr>
      <w:r w:rsidRPr="00C03A53">
        <w:rPr>
          <w:rFonts w:ascii="Times New Roman" w:hAnsi="Times New Roman" w:cs="Times New Roman"/>
          <w:sz w:val="24"/>
          <w:szCs w:val="24"/>
        </w:rPr>
        <w:t xml:space="preserve">Offsets projects are not eligible to register to generate ACCUs if they are ‘excluded offsets projects’ (paragraph 27(4)(m) of the Act). The Minister can, under section 56 of the Act, make legislative rules specifying a kind of project as an excluded offsets project, subject to the statutory precondition in subsection 56(2). </w:t>
      </w:r>
    </w:p>
    <w:p w14:paraId="55778F61" w14:textId="77777777" w:rsidR="00E669D7" w:rsidRPr="00C03A53" w:rsidRDefault="005E7E92" w:rsidP="00475276">
      <w:pPr>
        <w:rPr>
          <w:rFonts w:ascii="Times New Roman" w:hAnsi="Times New Roman" w:cs="Times New Roman"/>
          <w:sz w:val="24"/>
          <w:szCs w:val="24"/>
        </w:rPr>
      </w:pPr>
      <w:r w:rsidRPr="00C03A53">
        <w:rPr>
          <w:rFonts w:ascii="Times New Roman" w:hAnsi="Times New Roman" w:cs="Times New Roman"/>
          <w:sz w:val="24"/>
          <w:szCs w:val="24"/>
        </w:rPr>
        <w:t xml:space="preserve">In 2011, specified tree planting was originally specified, in regulation 3.37 of the </w:t>
      </w:r>
      <w:r w:rsidRPr="00C03A53">
        <w:rPr>
          <w:rFonts w:ascii="Times New Roman" w:hAnsi="Times New Roman" w:cs="Times New Roman"/>
          <w:i/>
          <w:sz w:val="24"/>
          <w:szCs w:val="24"/>
        </w:rPr>
        <w:t>Carbon Credits (Carbon Farming Initiative) Regulations 2011</w:t>
      </w:r>
      <w:r w:rsidRPr="00C03A53">
        <w:rPr>
          <w:rFonts w:ascii="Times New Roman" w:hAnsi="Times New Roman" w:cs="Times New Roman"/>
          <w:sz w:val="24"/>
          <w:szCs w:val="24"/>
        </w:rPr>
        <w:t xml:space="preserve"> (the </w:t>
      </w:r>
      <w:r w:rsidR="007816EB" w:rsidRPr="00C03A53">
        <w:rPr>
          <w:rFonts w:ascii="Times New Roman" w:hAnsi="Times New Roman" w:cs="Times New Roman"/>
          <w:sz w:val="24"/>
          <w:szCs w:val="24"/>
        </w:rPr>
        <w:t>R</w:t>
      </w:r>
      <w:r w:rsidRPr="00C03A53">
        <w:rPr>
          <w:rFonts w:ascii="Times New Roman" w:hAnsi="Times New Roman" w:cs="Times New Roman"/>
          <w:sz w:val="24"/>
          <w:szCs w:val="24"/>
        </w:rPr>
        <w:t xml:space="preserve">egulations), as a kind of excluded offsets project, except where certain conditions were met. The </w:t>
      </w:r>
      <w:r w:rsidR="00225C45" w:rsidRPr="00C03A53">
        <w:rPr>
          <w:rFonts w:ascii="Times New Roman" w:hAnsi="Times New Roman" w:cs="Times New Roman"/>
          <w:sz w:val="24"/>
          <w:szCs w:val="24"/>
        </w:rPr>
        <w:t>conditions</w:t>
      </w:r>
      <w:r w:rsidRPr="00C03A53">
        <w:rPr>
          <w:rFonts w:ascii="Times New Roman" w:hAnsi="Times New Roman" w:cs="Times New Roman"/>
          <w:sz w:val="24"/>
          <w:szCs w:val="24"/>
        </w:rPr>
        <w:t xml:space="preserve"> covered situations where </w:t>
      </w:r>
      <w:r w:rsidR="005862DD" w:rsidRPr="00C03A53">
        <w:rPr>
          <w:rFonts w:ascii="Times New Roman" w:hAnsi="Times New Roman" w:cs="Times New Roman"/>
          <w:sz w:val="24"/>
          <w:szCs w:val="24"/>
        </w:rPr>
        <w:t xml:space="preserve">impacts on </w:t>
      </w:r>
      <w:r w:rsidRPr="00C03A53">
        <w:rPr>
          <w:rFonts w:ascii="Times New Roman" w:hAnsi="Times New Roman" w:cs="Times New Roman"/>
          <w:sz w:val="24"/>
          <w:szCs w:val="24"/>
        </w:rPr>
        <w:t xml:space="preserve">water </w:t>
      </w:r>
      <w:r w:rsidR="005862DD" w:rsidRPr="00C03A53">
        <w:rPr>
          <w:rFonts w:ascii="Times New Roman" w:hAnsi="Times New Roman" w:cs="Times New Roman"/>
          <w:sz w:val="24"/>
          <w:szCs w:val="24"/>
        </w:rPr>
        <w:t>availability</w:t>
      </w:r>
      <w:r w:rsidRPr="00C03A53">
        <w:rPr>
          <w:rFonts w:ascii="Times New Roman" w:hAnsi="Times New Roman" w:cs="Times New Roman"/>
          <w:sz w:val="24"/>
          <w:szCs w:val="24"/>
        </w:rPr>
        <w:t xml:space="preserve"> would be unlikely to be material or could be managed appropriately. This was done to manage potential adverse impacts of these projects on water availability. Since the creation of the </w:t>
      </w:r>
      <w:r w:rsidR="005862DD" w:rsidRPr="00C03A53">
        <w:rPr>
          <w:rFonts w:ascii="Times New Roman" w:hAnsi="Times New Roman" w:cs="Times New Roman"/>
          <w:sz w:val="24"/>
          <w:szCs w:val="24"/>
        </w:rPr>
        <w:t>Emissions Reduction Fund</w:t>
      </w:r>
      <w:r w:rsidRPr="00C03A53">
        <w:rPr>
          <w:rFonts w:ascii="Times New Roman" w:hAnsi="Times New Roman" w:cs="Times New Roman"/>
          <w:sz w:val="24"/>
          <w:szCs w:val="24"/>
        </w:rPr>
        <w:t xml:space="preserve">, the Regulations were gradually transferred into the Principal Rule through amending instruments. </w:t>
      </w:r>
    </w:p>
    <w:p w14:paraId="7D43D4F4" w14:textId="40B1171D" w:rsidR="005E7E92" w:rsidRPr="00C03A53" w:rsidRDefault="00E669D7" w:rsidP="00475276">
      <w:pPr>
        <w:rPr>
          <w:rFonts w:ascii="Times New Roman" w:hAnsi="Times New Roman" w:cs="Times New Roman"/>
          <w:sz w:val="24"/>
          <w:szCs w:val="24"/>
        </w:rPr>
      </w:pPr>
      <w:r w:rsidRPr="00C03A53">
        <w:rPr>
          <w:rFonts w:ascii="Times New Roman" w:hAnsi="Times New Roman" w:cs="Times New Roman"/>
          <w:sz w:val="24"/>
          <w:szCs w:val="24"/>
        </w:rPr>
        <w:t xml:space="preserve">In April 2022, regulation 3.37 was incorporated into the Principal Rule by the </w:t>
      </w:r>
      <w:r w:rsidRPr="00C03A53">
        <w:rPr>
          <w:rFonts w:ascii="Times New Roman" w:hAnsi="Times New Roman" w:cs="Times New Roman"/>
          <w:i/>
          <w:sz w:val="24"/>
          <w:szCs w:val="24"/>
        </w:rPr>
        <w:t>Carbon Credits (Carbon Farming Initiative) Amendment (Excluded Offsets Project) Rule 2022</w:t>
      </w:r>
      <w:r w:rsidRPr="00C03A53">
        <w:rPr>
          <w:rFonts w:ascii="Times New Roman" w:hAnsi="Times New Roman" w:cs="Times New Roman"/>
          <w:iCs/>
          <w:sz w:val="24"/>
          <w:szCs w:val="24"/>
        </w:rPr>
        <w:t>, which inserted section 20AB into the Principal Rule.</w:t>
      </w:r>
      <w:r w:rsidRPr="00C03A53">
        <w:rPr>
          <w:rFonts w:ascii="Times New Roman" w:hAnsi="Times New Roman" w:cs="Times New Roman"/>
          <w:sz w:val="24"/>
          <w:szCs w:val="24"/>
        </w:rPr>
        <w:t xml:space="preserve"> Section 20AB has been colloquially known as the ‘water rule’.  </w:t>
      </w:r>
    </w:p>
    <w:p w14:paraId="2E4D954B" w14:textId="4E8A3F22" w:rsidR="005E7E92" w:rsidRPr="00C03A53" w:rsidRDefault="005E7E92" w:rsidP="00475276">
      <w:pPr>
        <w:rPr>
          <w:rFonts w:ascii="Times New Roman" w:hAnsi="Times New Roman" w:cs="Times New Roman"/>
          <w:i/>
          <w:sz w:val="24"/>
          <w:szCs w:val="24"/>
        </w:rPr>
      </w:pPr>
      <w:r w:rsidRPr="00C03A53">
        <w:rPr>
          <w:rFonts w:ascii="Times New Roman" w:hAnsi="Times New Roman" w:cs="Times New Roman"/>
          <w:sz w:val="24"/>
          <w:szCs w:val="24"/>
        </w:rPr>
        <w:t>The ‘water rule’ provided that specified tree planting – defined to mean the planting of trees in an area that, according to the C</w:t>
      </w:r>
      <w:r w:rsidR="002E3B62" w:rsidRPr="00C03A53">
        <w:rPr>
          <w:rFonts w:ascii="Times New Roman" w:hAnsi="Times New Roman" w:cs="Times New Roman"/>
          <w:sz w:val="24"/>
          <w:szCs w:val="24"/>
        </w:rPr>
        <w:t xml:space="preserve">arbon Farming Initiative </w:t>
      </w:r>
      <w:r w:rsidRPr="00C03A53">
        <w:rPr>
          <w:rFonts w:ascii="Times New Roman" w:hAnsi="Times New Roman" w:cs="Times New Roman"/>
          <w:sz w:val="24"/>
          <w:szCs w:val="24"/>
        </w:rPr>
        <w:t xml:space="preserve">rainfall map, receives more than 600 millimetres long-term average </w:t>
      </w:r>
      <w:r w:rsidR="001A4063" w:rsidRPr="00C03A53">
        <w:rPr>
          <w:rFonts w:ascii="Times New Roman" w:hAnsi="Times New Roman" w:cs="Times New Roman"/>
          <w:sz w:val="24"/>
          <w:szCs w:val="24"/>
        </w:rPr>
        <w:t xml:space="preserve">annual </w:t>
      </w:r>
      <w:r w:rsidRPr="00C03A53">
        <w:rPr>
          <w:rFonts w:ascii="Times New Roman" w:hAnsi="Times New Roman" w:cs="Times New Roman"/>
          <w:sz w:val="24"/>
          <w:szCs w:val="24"/>
        </w:rPr>
        <w:t xml:space="preserve">rainfall – </w:t>
      </w:r>
      <w:r w:rsidR="001A4063" w:rsidRPr="00C03A53">
        <w:rPr>
          <w:rFonts w:ascii="Times New Roman" w:hAnsi="Times New Roman" w:cs="Times New Roman"/>
          <w:sz w:val="24"/>
          <w:szCs w:val="24"/>
        </w:rPr>
        <w:t>was an</w:t>
      </w:r>
      <w:r w:rsidRPr="00C03A53">
        <w:rPr>
          <w:rFonts w:ascii="Times New Roman" w:hAnsi="Times New Roman" w:cs="Times New Roman"/>
          <w:sz w:val="24"/>
          <w:szCs w:val="24"/>
        </w:rPr>
        <w:t xml:space="preserve"> excluded offsets project, unless </w:t>
      </w:r>
      <w:r w:rsidR="001A4063" w:rsidRPr="00C03A53">
        <w:rPr>
          <w:rFonts w:ascii="Times New Roman" w:hAnsi="Times New Roman" w:cs="Times New Roman"/>
          <w:sz w:val="24"/>
          <w:szCs w:val="24"/>
        </w:rPr>
        <w:lastRenderedPageBreak/>
        <w:t>the project</w:t>
      </w:r>
      <w:r w:rsidRPr="00C03A53">
        <w:rPr>
          <w:rFonts w:ascii="Times New Roman" w:hAnsi="Times New Roman" w:cs="Times New Roman"/>
          <w:sz w:val="24"/>
          <w:szCs w:val="24"/>
        </w:rPr>
        <w:t xml:space="preserve"> met the conditions set out in subsections 20AB(2) to (6) or subsection (9) of the Principal Rule. To meet the conditions, these projects were required to:  </w:t>
      </w:r>
    </w:p>
    <w:p w14:paraId="71653370" w14:textId="15A7DB73" w:rsidR="005E7E92" w:rsidRPr="00C03A53" w:rsidRDefault="005E7E92" w:rsidP="00475276">
      <w:pPr>
        <w:pStyle w:val="ListParagraph"/>
        <w:numPr>
          <w:ilvl w:val="0"/>
          <w:numId w:val="5"/>
        </w:numPr>
        <w:rPr>
          <w:rFonts w:ascii="Times New Roman" w:hAnsi="Times New Roman" w:cs="Times New Roman"/>
          <w:sz w:val="24"/>
          <w:szCs w:val="24"/>
        </w:rPr>
      </w:pPr>
      <w:r w:rsidRPr="00C03A53">
        <w:rPr>
          <w:rFonts w:ascii="Times New Roman" w:hAnsi="Times New Roman" w:cs="Times New Roman"/>
          <w:sz w:val="24"/>
          <w:szCs w:val="24"/>
        </w:rPr>
        <w:t>be a permanent planting that is also an environmental planting;</w:t>
      </w:r>
      <w:r w:rsidR="002E5506" w:rsidRPr="00C03A53">
        <w:rPr>
          <w:rFonts w:ascii="Times New Roman" w:hAnsi="Times New Roman" w:cs="Times New Roman"/>
          <w:sz w:val="24"/>
          <w:szCs w:val="24"/>
        </w:rPr>
        <w:t xml:space="preserve"> or</w:t>
      </w:r>
    </w:p>
    <w:p w14:paraId="52733DAE" w14:textId="531642F0" w:rsidR="005E7E92" w:rsidRPr="00C03A53" w:rsidRDefault="005E7E92" w:rsidP="00475276">
      <w:pPr>
        <w:pStyle w:val="ListParagraph"/>
        <w:numPr>
          <w:ilvl w:val="0"/>
          <w:numId w:val="5"/>
        </w:numPr>
        <w:rPr>
          <w:rFonts w:ascii="Times New Roman" w:hAnsi="Times New Roman" w:cs="Times New Roman"/>
          <w:sz w:val="24"/>
          <w:szCs w:val="24"/>
        </w:rPr>
      </w:pPr>
      <w:r w:rsidRPr="00C03A53">
        <w:rPr>
          <w:rFonts w:ascii="Times New Roman" w:hAnsi="Times New Roman" w:cs="Times New Roman"/>
          <w:sz w:val="24"/>
          <w:szCs w:val="24"/>
        </w:rPr>
        <w:t>demonstrate that the planting contributes to the mitigation of dryland salinity in accordance with Salinity Guidelines; or</w:t>
      </w:r>
    </w:p>
    <w:p w14:paraId="2A122EEE" w14:textId="3FCF7523" w:rsidR="005E7E92" w:rsidRPr="00C03A53" w:rsidRDefault="005E7E92" w:rsidP="00475276">
      <w:pPr>
        <w:pStyle w:val="ListParagraph"/>
        <w:numPr>
          <w:ilvl w:val="0"/>
          <w:numId w:val="5"/>
        </w:numPr>
        <w:rPr>
          <w:rFonts w:ascii="Times New Roman" w:hAnsi="Times New Roman" w:cs="Times New Roman"/>
          <w:sz w:val="24"/>
          <w:szCs w:val="24"/>
        </w:rPr>
      </w:pPr>
      <w:r w:rsidRPr="00C03A53">
        <w:rPr>
          <w:rFonts w:ascii="Times New Roman" w:hAnsi="Times New Roman" w:cs="Times New Roman"/>
          <w:sz w:val="24"/>
          <w:szCs w:val="24"/>
        </w:rPr>
        <w:t>be located in a region where the Department of Climate Change, Energy, the Environment and Water</w:t>
      </w:r>
      <w:r w:rsidR="00F41644" w:rsidRPr="00C03A53">
        <w:rPr>
          <w:rFonts w:ascii="Times New Roman" w:hAnsi="Times New Roman" w:cs="Times New Roman"/>
          <w:sz w:val="24"/>
          <w:szCs w:val="24"/>
        </w:rPr>
        <w:t xml:space="preserve"> (the </w:t>
      </w:r>
      <w:r w:rsidR="00217A92" w:rsidRPr="00C03A53">
        <w:rPr>
          <w:rFonts w:ascii="Times New Roman" w:hAnsi="Times New Roman" w:cs="Times New Roman"/>
          <w:sz w:val="24"/>
          <w:szCs w:val="24"/>
        </w:rPr>
        <w:t>d</w:t>
      </w:r>
      <w:r w:rsidR="00F41644" w:rsidRPr="00C03A53">
        <w:rPr>
          <w:rFonts w:ascii="Times New Roman" w:hAnsi="Times New Roman" w:cs="Times New Roman"/>
          <w:sz w:val="24"/>
          <w:szCs w:val="24"/>
        </w:rPr>
        <w:t xml:space="preserve">epartment) </w:t>
      </w:r>
      <w:r w:rsidRPr="00C03A53">
        <w:rPr>
          <w:rFonts w:ascii="Times New Roman" w:hAnsi="Times New Roman" w:cs="Times New Roman"/>
          <w:sz w:val="24"/>
          <w:szCs w:val="24"/>
        </w:rPr>
        <w:t xml:space="preserve">has determined that the commitments by the relevant state or territory government under the National Water Initiative </w:t>
      </w:r>
      <w:r w:rsidR="002E5506" w:rsidRPr="00C03A53">
        <w:rPr>
          <w:rFonts w:ascii="Times New Roman" w:hAnsi="Times New Roman" w:cs="Times New Roman"/>
          <w:sz w:val="24"/>
          <w:szCs w:val="24"/>
        </w:rPr>
        <w:t xml:space="preserve">(NWI) </w:t>
      </w:r>
      <w:r w:rsidRPr="00C03A53">
        <w:rPr>
          <w:rFonts w:ascii="Times New Roman" w:hAnsi="Times New Roman" w:cs="Times New Roman"/>
          <w:sz w:val="24"/>
          <w:szCs w:val="24"/>
        </w:rPr>
        <w:t>to manage water interception by plantations have been adequately implemented; or</w:t>
      </w:r>
    </w:p>
    <w:p w14:paraId="169F1776" w14:textId="205DFA02" w:rsidR="005E7E92" w:rsidRPr="00C03A53" w:rsidRDefault="005E7E92" w:rsidP="00475276">
      <w:pPr>
        <w:pStyle w:val="ListParagraph"/>
        <w:numPr>
          <w:ilvl w:val="0"/>
          <w:numId w:val="5"/>
        </w:numPr>
        <w:ind w:left="357" w:hanging="357"/>
        <w:rPr>
          <w:rFonts w:ascii="Times New Roman" w:hAnsi="Times New Roman" w:cs="Times New Roman"/>
          <w:sz w:val="24"/>
          <w:szCs w:val="24"/>
        </w:rPr>
      </w:pPr>
      <w:r w:rsidRPr="00C03A53">
        <w:rPr>
          <w:rFonts w:ascii="Times New Roman" w:hAnsi="Times New Roman" w:cs="Times New Roman"/>
          <w:sz w:val="24"/>
          <w:szCs w:val="24"/>
        </w:rPr>
        <w:t>be in a region specified as one which receives more than 600</w:t>
      </w:r>
      <w:r w:rsidR="002E5506" w:rsidRPr="00C03A53">
        <w:rPr>
          <w:rFonts w:ascii="Times New Roman" w:hAnsi="Times New Roman" w:cs="Times New Roman"/>
          <w:sz w:val="24"/>
          <w:szCs w:val="24"/>
        </w:rPr>
        <w:t xml:space="preserve"> millimetres</w:t>
      </w:r>
      <w:r w:rsidRPr="00C03A53">
        <w:rPr>
          <w:rFonts w:ascii="Times New Roman" w:hAnsi="Times New Roman" w:cs="Times New Roman"/>
          <w:sz w:val="24"/>
          <w:szCs w:val="24"/>
        </w:rPr>
        <w:t xml:space="preserve"> long-term average annual rainfall, and in which tree planting is unlikely to have a material adverse impact on water availability; or</w:t>
      </w:r>
    </w:p>
    <w:p w14:paraId="7053C9C7" w14:textId="77777777" w:rsidR="005E7E92" w:rsidRPr="00C03A53" w:rsidRDefault="005E7E92" w:rsidP="00475276">
      <w:pPr>
        <w:pStyle w:val="ListParagraph"/>
        <w:numPr>
          <w:ilvl w:val="0"/>
          <w:numId w:val="5"/>
        </w:numPr>
        <w:ind w:left="357" w:hanging="357"/>
        <w:rPr>
          <w:rFonts w:ascii="Times New Roman" w:hAnsi="Times New Roman" w:cs="Times New Roman"/>
          <w:sz w:val="24"/>
          <w:szCs w:val="24"/>
        </w:rPr>
      </w:pPr>
      <w:r w:rsidRPr="00C03A53">
        <w:rPr>
          <w:rFonts w:ascii="Times New Roman" w:hAnsi="Times New Roman" w:cs="Times New Roman"/>
          <w:sz w:val="24"/>
          <w:szCs w:val="24"/>
        </w:rPr>
        <w:t>be conducted by a project proponent holding a suitable water access entitlement that met certain specified requirements; or</w:t>
      </w:r>
    </w:p>
    <w:p w14:paraId="77BD7D15" w14:textId="315E950E" w:rsidR="00F162FC" w:rsidRPr="00C03A53" w:rsidRDefault="005E7E92" w:rsidP="00F162FC">
      <w:pPr>
        <w:pStyle w:val="ListParagraph"/>
        <w:numPr>
          <w:ilvl w:val="0"/>
          <w:numId w:val="5"/>
        </w:numPr>
        <w:ind w:left="357" w:hanging="357"/>
        <w:rPr>
          <w:rFonts w:ascii="Times New Roman" w:hAnsi="Times New Roman" w:cs="Times New Roman"/>
          <w:sz w:val="24"/>
          <w:szCs w:val="24"/>
        </w:rPr>
      </w:pPr>
      <w:r w:rsidRPr="00C03A53">
        <w:rPr>
          <w:rFonts w:ascii="Times New Roman" w:hAnsi="Times New Roman" w:cs="Times New Roman"/>
          <w:sz w:val="24"/>
          <w:szCs w:val="24"/>
        </w:rPr>
        <w:t xml:space="preserve">be located in a region where a water access entitlement cannot be obtained, </w:t>
      </w:r>
      <w:r w:rsidR="001639F9" w:rsidRPr="00C03A53">
        <w:rPr>
          <w:rFonts w:ascii="Times New Roman" w:hAnsi="Times New Roman" w:cs="Times New Roman"/>
          <w:sz w:val="24"/>
          <w:szCs w:val="24"/>
        </w:rPr>
        <w:t xml:space="preserve">and </w:t>
      </w:r>
      <w:r w:rsidRPr="00C03A53">
        <w:rPr>
          <w:rFonts w:ascii="Times New Roman" w:hAnsi="Times New Roman" w:cs="Times New Roman"/>
          <w:sz w:val="24"/>
          <w:szCs w:val="24"/>
        </w:rPr>
        <w:t xml:space="preserve">where the </w:t>
      </w:r>
      <w:r w:rsidR="005862DD" w:rsidRPr="00C03A53">
        <w:rPr>
          <w:rFonts w:ascii="Times New Roman" w:hAnsi="Times New Roman" w:cs="Times New Roman"/>
          <w:sz w:val="24"/>
          <w:szCs w:val="24"/>
        </w:rPr>
        <w:t xml:space="preserve">Clean Energy </w:t>
      </w:r>
      <w:r w:rsidRPr="00C03A53">
        <w:rPr>
          <w:rFonts w:ascii="Times New Roman" w:hAnsi="Times New Roman" w:cs="Times New Roman"/>
          <w:sz w:val="24"/>
          <w:szCs w:val="24"/>
        </w:rPr>
        <w:t xml:space="preserve">Regulator was satisfied, after seeking the advice of the relevant </w:t>
      </w:r>
      <w:r w:rsidR="00195940" w:rsidRPr="00C03A53">
        <w:rPr>
          <w:rFonts w:ascii="Times New Roman" w:hAnsi="Times New Roman" w:cs="Times New Roman"/>
          <w:sz w:val="24"/>
          <w:szCs w:val="24"/>
        </w:rPr>
        <w:t>s</w:t>
      </w:r>
      <w:r w:rsidRPr="00C03A53">
        <w:rPr>
          <w:rFonts w:ascii="Times New Roman" w:hAnsi="Times New Roman" w:cs="Times New Roman"/>
          <w:sz w:val="24"/>
          <w:szCs w:val="24"/>
        </w:rPr>
        <w:t xml:space="preserve">tate or </w:t>
      </w:r>
      <w:r w:rsidR="00195940" w:rsidRPr="00C03A53">
        <w:rPr>
          <w:rFonts w:ascii="Times New Roman" w:hAnsi="Times New Roman" w:cs="Times New Roman"/>
          <w:sz w:val="24"/>
          <w:szCs w:val="24"/>
        </w:rPr>
        <w:t>t</w:t>
      </w:r>
      <w:r w:rsidRPr="00C03A53">
        <w:rPr>
          <w:rFonts w:ascii="Times New Roman" w:hAnsi="Times New Roman" w:cs="Times New Roman"/>
          <w:sz w:val="24"/>
          <w:szCs w:val="24"/>
        </w:rPr>
        <w:t>erritory agency that manages the water resource and other expert advice as necessary, that there is no material impact on water availability</w:t>
      </w:r>
      <w:r w:rsidR="001639F9" w:rsidRPr="00C03A53">
        <w:rPr>
          <w:rFonts w:ascii="Times New Roman" w:hAnsi="Times New Roman" w:cs="Times New Roman"/>
          <w:sz w:val="24"/>
          <w:szCs w:val="24"/>
        </w:rPr>
        <w:t>,</w:t>
      </w:r>
      <w:r w:rsidRPr="00C03A53">
        <w:rPr>
          <w:rFonts w:ascii="Times New Roman" w:hAnsi="Times New Roman" w:cs="Times New Roman"/>
          <w:sz w:val="24"/>
          <w:szCs w:val="24"/>
        </w:rPr>
        <w:t xml:space="preserve"> or on the reliability of existing water access entitlements</w:t>
      </w:r>
      <w:r w:rsidR="001639F9" w:rsidRPr="00C03A53">
        <w:rPr>
          <w:rFonts w:ascii="Times New Roman" w:hAnsi="Times New Roman" w:cs="Times New Roman"/>
          <w:sz w:val="24"/>
          <w:szCs w:val="24"/>
        </w:rPr>
        <w:t>,</w:t>
      </w:r>
      <w:r w:rsidRPr="00C03A53">
        <w:rPr>
          <w:rFonts w:ascii="Times New Roman" w:hAnsi="Times New Roman" w:cs="Times New Roman"/>
          <w:sz w:val="24"/>
          <w:szCs w:val="24"/>
        </w:rPr>
        <w:t xml:space="preserve"> in or near the project area</w:t>
      </w:r>
      <w:r w:rsidR="001639F9" w:rsidRPr="00C03A53">
        <w:rPr>
          <w:rFonts w:ascii="Times New Roman" w:hAnsi="Times New Roman" w:cs="Times New Roman"/>
          <w:sz w:val="24"/>
          <w:szCs w:val="24"/>
        </w:rPr>
        <w:t>,</w:t>
      </w:r>
      <w:r w:rsidRPr="00C03A53">
        <w:rPr>
          <w:rFonts w:ascii="Times New Roman" w:hAnsi="Times New Roman" w:cs="Times New Roman"/>
          <w:sz w:val="24"/>
          <w:szCs w:val="24"/>
        </w:rPr>
        <w:t xml:space="preserve"> for the duration of the project. </w:t>
      </w:r>
    </w:p>
    <w:p w14:paraId="1DDA6998" w14:textId="66B0F2B8" w:rsidR="00FD2593" w:rsidRPr="00C03A53" w:rsidRDefault="00FD2593" w:rsidP="00C41B1B">
      <w:pPr>
        <w:rPr>
          <w:rFonts w:ascii="Times New Roman" w:hAnsi="Times New Roman" w:cs="Times New Roman"/>
          <w:sz w:val="24"/>
          <w:szCs w:val="24"/>
        </w:rPr>
      </w:pPr>
      <w:r w:rsidRPr="00C03A53">
        <w:rPr>
          <w:rFonts w:ascii="Times New Roman" w:hAnsi="Times New Roman" w:cs="Times New Roman"/>
          <w:sz w:val="24"/>
          <w:szCs w:val="24"/>
        </w:rPr>
        <w:t xml:space="preserve">In practice since the ‘water rule’ was introduced, these conditions have most commonly applied to the registration of new plantation forestry and, to a lesser extent, farm forestry ACCU projects.  </w:t>
      </w:r>
    </w:p>
    <w:p w14:paraId="737E8AC9" w14:textId="77777777" w:rsidR="00427E5C" w:rsidRPr="00C03A53" w:rsidRDefault="00427E5C" w:rsidP="00427E5C">
      <w:pPr>
        <w:spacing w:before="120" w:after="120"/>
        <w:rPr>
          <w:rFonts w:ascii="Times New Roman" w:hAnsi="Times New Roman" w:cs="Times New Roman"/>
          <w:b/>
          <w:bCs/>
          <w:sz w:val="24"/>
          <w:szCs w:val="24"/>
        </w:rPr>
      </w:pPr>
      <w:r w:rsidRPr="00C03A53">
        <w:rPr>
          <w:rFonts w:ascii="Times New Roman" w:hAnsi="Times New Roman" w:cs="Times New Roman"/>
          <w:b/>
          <w:bCs/>
          <w:sz w:val="24"/>
          <w:szCs w:val="24"/>
        </w:rPr>
        <w:t>Legislative criteria</w:t>
      </w:r>
    </w:p>
    <w:p w14:paraId="589F3AB4" w14:textId="77777777" w:rsidR="00427E5C" w:rsidRPr="00C03A53" w:rsidRDefault="00427E5C" w:rsidP="00475276">
      <w:pPr>
        <w:rPr>
          <w:rFonts w:ascii="Times New Roman" w:hAnsi="Times New Roman" w:cs="Times New Roman"/>
          <w:bCs/>
          <w:sz w:val="24"/>
          <w:szCs w:val="24"/>
        </w:rPr>
      </w:pPr>
      <w:r w:rsidRPr="00C03A53">
        <w:rPr>
          <w:rFonts w:ascii="Times New Roman" w:hAnsi="Times New Roman" w:cs="Times New Roman"/>
          <w:bCs/>
          <w:sz w:val="24"/>
          <w:szCs w:val="24"/>
        </w:rPr>
        <w:t>Under subsection 56(2) of the Act, before making legislative rules specifying a particular kind of project as an excluded offsets project, the Minister must have regard to whether there is a material risk that that kind of project will have a material adverse impact on one or more of the following:</w:t>
      </w:r>
    </w:p>
    <w:p w14:paraId="6F9BE4A1" w14:textId="77777777" w:rsidR="00427E5C" w:rsidRPr="00C03A53" w:rsidRDefault="00427E5C" w:rsidP="00475276">
      <w:pPr>
        <w:pStyle w:val="ListParagraph"/>
        <w:numPr>
          <w:ilvl w:val="0"/>
          <w:numId w:val="11"/>
        </w:numPr>
        <w:rPr>
          <w:rFonts w:ascii="Times New Roman" w:hAnsi="Times New Roman" w:cs="Times New Roman"/>
          <w:bCs/>
          <w:sz w:val="24"/>
          <w:szCs w:val="24"/>
        </w:rPr>
      </w:pPr>
      <w:r w:rsidRPr="00C03A53">
        <w:rPr>
          <w:rFonts w:ascii="Times New Roman" w:hAnsi="Times New Roman" w:cs="Times New Roman"/>
          <w:bCs/>
          <w:sz w:val="24"/>
          <w:szCs w:val="24"/>
        </w:rPr>
        <w:t>the availability of water;</w:t>
      </w:r>
    </w:p>
    <w:p w14:paraId="4A9EDB24" w14:textId="77777777" w:rsidR="00427E5C" w:rsidRPr="00C03A53" w:rsidRDefault="00427E5C" w:rsidP="00475276">
      <w:pPr>
        <w:pStyle w:val="ListParagraph"/>
        <w:numPr>
          <w:ilvl w:val="0"/>
          <w:numId w:val="11"/>
        </w:numPr>
        <w:rPr>
          <w:rFonts w:ascii="Times New Roman" w:hAnsi="Times New Roman" w:cs="Times New Roman"/>
          <w:bCs/>
          <w:sz w:val="24"/>
          <w:szCs w:val="24"/>
        </w:rPr>
      </w:pPr>
      <w:r w:rsidRPr="00C03A53">
        <w:rPr>
          <w:rFonts w:ascii="Times New Roman" w:hAnsi="Times New Roman" w:cs="Times New Roman"/>
          <w:bCs/>
          <w:sz w:val="24"/>
          <w:szCs w:val="24"/>
        </w:rPr>
        <w:t>the conservation of biodiversity;</w:t>
      </w:r>
    </w:p>
    <w:p w14:paraId="4B49C839" w14:textId="77777777" w:rsidR="00427E5C" w:rsidRPr="00C03A53" w:rsidRDefault="00427E5C" w:rsidP="00475276">
      <w:pPr>
        <w:pStyle w:val="ListParagraph"/>
        <w:numPr>
          <w:ilvl w:val="0"/>
          <w:numId w:val="11"/>
        </w:numPr>
        <w:rPr>
          <w:rFonts w:ascii="Times New Roman" w:hAnsi="Times New Roman" w:cs="Times New Roman"/>
          <w:bCs/>
          <w:sz w:val="24"/>
          <w:szCs w:val="24"/>
        </w:rPr>
      </w:pPr>
      <w:r w:rsidRPr="00C03A53">
        <w:rPr>
          <w:rFonts w:ascii="Times New Roman" w:hAnsi="Times New Roman" w:cs="Times New Roman"/>
          <w:bCs/>
          <w:sz w:val="24"/>
          <w:szCs w:val="24"/>
        </w:rPr>
        <w:t>employment;</w:t>
      </w:r>
    </w:p>
    <w:p w14:paraId="68930BDF" w14:textId="77777777" w:rsidR="00427E5C" w:rsidRPr="00C03A53" w:rsidRDefault="00427E5C" w:rsidP="00475276">
      <w:pPr>
        <w:pStyle w:val="ListParagraph"/>
        <w:numPr>
          <w:ilvl w:val="0"/>
          <w:numId w:val="11"/>
        </w:numPr>
        <w:rPr>
          <w:rFonts w:ascii="Times New Roman" w:hAnsi="Times New Roman" w:cs="Times New Roman"/>
          <w:bCs/>
          <w:sz w:val="24"/>
          <w:szCs w:val="24"/>
        </w:rPr>
      </w:pPr>
      <w:r w:rsidRPr="00C03A53">
        <w:rPr>
          <w:rFonts w:ascii="Times New Roman" w:hAnsi="Times New Roman" w:cs="Times New Roman"/>
          <w:bCs/>
          <w:sz w:val="24"/>
          <w:szCs w:val="24"/>
        </w:rPr>
        <w:t>the local community;</w:t>
      </w:r>
    </w:p>
    <w:p w14:paraId="6C3B49B1" w14:textId="77777777" w:rsidR="00427E5C" w:rsidRPr="00C03A53" w:rsidRDefault="00427E5C" w:rsidP="00475276">
      <w:pPr>
        <w:pStyle w:val="ListParagraph"/>
        <w:numPr>
          <w:ilvl w:val="0"/>
          <w:numId w:val="11"/>
        </w:numPr>
        <w:rPr>
          <w:rFonts w:ascii="Times New Roman" w:hAnsi="Times New Roman" w:cs="Times New Roman"/>
          <w:bCs/>
          <w:sz w:val="24"/>
          <w:szCs w:val="24"/>
        </w:rPr>
      </w:pPr>
      <w:r w:rsidRPr="00C03A53">
        <w:rPr>
          <w:rFonts w:ascii="Times New Roman" w:hAnsi="Times New Roman" w:cs="Times New Roman"/>
          <w:bCs/>
          <w:sz w:val="24"/>
          <w:szCs w:val="24"/>
        </w:rPr>
        <w:t xml:space="preserve">land access for agricultural production. </w:t>
      </w:r>
    </w:p>
    <w:p w14:paraId="566DC686" w14:textId="32394407" w:rsidR="00B93BE9" w:rsidRPr="00C03A53" w:rsidRDefault="00427E5C" w:rsidP="00475276">
      <w:pPr>
        <w:rPr>
          <w:rFonts w:ascii="Times New Roman" w:hAnsi="Times New Roman" w:cs="Times New Roman"/>
          <w:i/>
          <w:iCs/>
          <w:sz w:val="24"/>
          <w:szCs w:val="24"/>
        </w:rPr>
      </w:pPr>
      <w:r w:rsidRPr="00C03A53">
        <w:rPr>
          <w:rFonts w:ascii="Times New Roman" w:hAnsi="Times New Roman" w:cs="Times New Roman"/>
          <w:bCs/>
          <w:sz w:val="24"/>
          <w:szCs w:val="24"/>
        </w:rPr>
        <w:t>Subsection 33(3) of the AI Act has the relevant effect that the Minister can vary or revoke rules made for the purposes of section 56 of the Act, provided that the variation or revocation complies with the same statutory preconditions as apply to making the rules. This means that the Minister, when deciding whether to amend the Principal Rule to r</w:t>
      </w:r>
      <w:r w:rsidR="00C41B1B" w:rsidRPr="00C03A53">
        <w:rPr>
          <w:rFonts w:ascii="Times New Roman" w:hAnsi="Times New Roman" w:cs="Times New Roman"/>
          <w:bCs/>
          <w:sz w:val="24"/>
          <w:szCs w:val="24"/>
        </w:rPr>
        <w:t>epeal s</w:t>
      </w:r>
      <w:r w:rsidRPr="00C03A53">
        <w:rPr>
          <w:rFonts w:ascii="Times New Roman" w:hAnsi="Times New Roman" w:cs="Times New Roman"/>
          <w:bCs/>
          <w:sz w:val="24"/>
          <w:szCs w:val="24"/>
        </w:rPr>
        <w:t xml:space="preserve">ection 20AB, was required to have regard to the matters listed in subsection 56(2) of the Act. </w:t>
      </w:r>
      <w:r w:rsidRPr="00C03A53">
        <w:rPr>
          <w:rFonts w:ascii="Times New Roman" w:hAnsi="Times New Roman" w:cs="Times New Roman"/>
          <w:bCs/>
          <w:sz w:val="24"/>
          <w:szCs w:val="24"/>
        </w:rPr>
        <w:br/>
        <w:t>The Minister’s consideration of these matters is set out below.</w:t>
      </w:r>
    </w:p>
    <w:p w14:paraId="6F3F63A6" w14:textId="77C65E11" w:rsidR="00D31A92" w:rsidRPr="00C03A53" w:rsidRDefault="00A80857" w:rsidP="00475276">
      <w:pPr>
        <w:rPr>
          <w:rFonts w:ascii="Times New Roman" w:hAnsi="Times New Roman" w:cs="Times New Roman"/>
          <w:i/>
          <w:iCs/>
          <w:sz w:val="24"/>
          <w:szCs w:val="24"/>
        </w:rPr>
      </w:pPr>
      <w:r w:rsidRPr="00C03A53">
        <w:rPr>
          <w:rFonts w:ascii="Times New Roman" w:hAnsi="Times New Roman" w:cs="Times New Roman"/>
          <w:i/>
          <w:iCs/>
          <w:sz w:val="24"/>
          <w:szCs w:val="24"/>
        </w:rPr>
        <w:t>a)</w:t>
      </w:r>
      <w:r w:rsidRPr="00C03A53">
        <w:rPr>
          <w:rFonts w:ascii="Times New Roman" w:hAnsi="Times New Roman" w:cs="Times New Roman"/>
          <w:i/>
          <w:iCs/>
          <w:sz w:val="24"/>
          <w:szCs w:val="24"/>
        </w:rPr>
        <w:tab/>
      </w:r>
      <w:r w:rsidR="004B5E98" w:rsidRPr="00C03A53">
        <w:rPr>
          <w:rFonts w:ascii="Times New Roman" w:hAnsi="Times New Roman" w:cs="Times New Roman"/>
          <w:i/>
          <w:iCs/>
          <w:sz w:val="24"/>
          <w:szCs w:val="24"/>
        </w:rPr>
        <w:t>Availability of water</w:t>
      </w:r>
    </w:p>
    <w:p w14:paraId="288BB20A" w14:textId="78002E74" w:rsidR="003571AA" w:rsidRPr="00C03A53" w:rsidRDefault="003571AA" w:rsidP="00475276">
      <w:pPr>
        <w:rPr>
          <w:rFonts w:ascii="Times New Roman" w:hAnsi="Times New Roman" w:cs="Times New Roman"/>
          <w:sz w:val="24"/>
          <w:szCs w:val="24"/>
        </w:rPr>
      </w:pPr>
      <w:r w:rsidRPr="00C03A53">
        <w:rPr>
          <w:rFonts w:ascii="Times New Roman" w:hAnsi="Times New Roman" w:cs="Times New Roman"/>
          <w:sz w:val="24"/>
          <w:szCs w:val="24"/>
        </w:rPr>
        <w:t>The</w:t>
      </w:r>
      <w:r w:rsidRPr="00C03A53">
        <w:rPr>
          <w:rFonts w:ascii="Times New Roman" w:hAnsi="Times New Roman" w:cs="Times New Roman"/>
          <w:i/>
          <w:iCs/>
          <w:sz w:val="24"/>
          <w:szCs w:val="24"/>
        </w:rPr>
        <w:t xml:space="preserve"> Intergovernmental Agreement on a </w:t>
      </w:r>
      <w:r w:rsidR="006F2AED" w:rsidRPr="00C03A53">
        <w:rPr>
          <w:rFonts w:ascii="Times New Roman" w:hAnsi="Times New Roman" w:cs="Times New Roman"/>
          <w:i/>
          <w:iCs/>
          <w:sz w:val="24"/>
          <w:szCs w:val="24"/>
        </w:rPr>
        <w:t xml:space="preserve">National Water Initiative </w:t>
      </w:r>
      <w:r w:rsidR="006F2AED" w:rsidRPr="00C03A53">
        <w:rPr>
          <w:rFonts w:ascii="Times New Roman" w:hAnsi="Times New Roman" w:cs="Times New Roman"/>
          <w:sz w:val="24"/>
          <w:szCs w:val="24"/>
        </w:rPr>
        <w:t>(NWI)</w:t>
      </w:r>
      <w:r w:rsidR="00354721" w:rsidRPr="00C03A53">
        <w:rPr>
          <w:rFonts w:ascii="Times New Roman" w:hAnsi="Times New Roman" w:cs="Times New Roman"/>
          <w:sz w:val="24"/>
          <w:szCs w:val="24"/>
        </w:rPr>
        <w:t xml:space="preserve"> was agreed by all states and territories and the Commonwealth in 2004. </w:t>
      </w:r>
      <w:r w:rsidR="00372505" w:rsidRPr="00C03A53">
        <w:rPr>
          <w:rFonts w:ascii="Times New Roman" w:hAnsi="Times New Roman" w:cs="Times New Roman"/>
          <w:sz w:val="24"/>
          <w:szCs w:val="24"/>
        </w:rPr>
        <w:t xml:space="preserve">The NWI </w:t>
      </w:r>
      <w:r w:rsidRPr="00C03A53">
        <w:rPr>
          <w:rFonts w:ascii="Times New Roman" w:hAnsi="Times New Roman" w:cs="Times New Roman"/>
          <w:sz w:val="24"/>
          <w:szCs w:val="24"/>
        </w:rPr>
        <w:t>identified large-scale plantation forestry a</w:t>
      </w:r>
      <w:r w:rsidR="00372505" w:rsidRPr="00C03A53">
        <w:rPr>
          <w:rFonts w:ascii="Times New Roman" w:hAnsi="Times New Roman" w:cs="Times New Roman"/>
          <w:sz w:val="24"/>
          <w:szCs w:val="24"/>
        </w:rPr>
        <w:t>s a land use change activit</w:t>
      </w:r>
      <w:r w:rsidR="001C4081" w:rsidRPr="00C03A53">
        <w:rPr>
          <w:rFonts w:ascii="Times New Roman" w:hAnsi="Times New Roman" w:cs="Times New Roman"/>
          <w:sz w:val="24"/>
          <w:szCs w:val="24"/>
        </w:rPr>
        <w:t>y with</w:t>
      </w:r>
      <w:r w:rsidR="00372505" w:rsidRPr="00C03A53">
        <w:rPr>
          <w:rFonts w:ascii="Times New Roman" w:hAnsi="Times New Roman" w:cs="Times New Roman"/>
          <w:sz w:val="24"/>
          <w:szCs w:val="24"/>
        </w:rPr>
        <w:t xml:space="preserve"> potential to </w:t>
      </w:r>
      <w:r w:rsidRPr="00C03A53">
        <w:rPr>
          <w:rFonts w:ascii="Times New Roman" w:hAnsi="Times New Roman" w:cs="Times New Roman"/>
          <w:sz w:val="24"/>
          <w:szCs w:val="24"/>
        </w:rPr>
        <w:t xml:space="preserve">intercept significant </w:t>
      </w:r>
      <w:r w:rsidRPr="00C03A53">
        <w:rPr>
          <w:rFonts w:ascii="Times New Roman" w:hAnsi="Times New Roman" w:cs="Times New Roman"/>
          <w:sz w:val="24"/>
          <w:szCs w:val="24"/>
        </w:rPr>
        <w:lastRenderedPageBreak/>
        <w:t>quantities of water</w:t>
      </w:r>
      <w:r w:rsidR="00180C89" w:rsidRPr="00C03A53">
        <w:rPr>
          <w:rFonts w:ascii="Times New Roman" w:hAnsi="Times New Roman" w:cs="Times New Roman"/>
          <w:sz w:val="24"/>
          <w:szCs w:val="24"/>
        </w:rPr>
        <w:t xml:space="preserve"> (clause 55 of the NWI)</w:t>
      </w:r>
      <w:r w:rsidRPr="00C03A53">
        <w:rPr>
          <w:rFonts w:ascii="Times New Roman" w:hAnsi="Times New Roman" w:cs="Times New Roman"/>
          <w:sz w:val="24"/>
          <w:szCs w:val="24"/>
        </w:rPr>
        <w:t xml:space="preserve">. Parties </w:t>
      </w:r>
      <w:r w:rsidR="00372505" w:rsidRPr="00C03A53">
        <w:rPr>
          <w:rFonts w:ascii="Times New Roman" w:hAnsi="Times New Roman" w:cs="Times New Roman"/>
          <w:sz w:val="24"/>
          <w:szCs w:val="24"/>
        </w:rPr>
        <w:t>agreed that the states and territories are responsible for managing water interception by land use change activities</w:t>
      </w:r>
      <w:r w:rsidR="001C4081" w:rsidRPr="00C03A53">
        <w:rPr>
          <w:rFonts w:ascii="Times New Roman" w:hAnsi="Times New Roman" w:cs="Times New Roman"/>
          <w:sz w:val="24"/>
          <w:szCs w:val="24"/>
        </w:rPr>
        <w:t>,</w:t>
      </w:r>
      <w:r w:rsidR="00372505" w:rsidRPr="00C03A53">
        <w:rPr>
          <w:rFonts w:ascii="Times New Roman" w:hAnsi="Times New Roman" w:cs="Times New Roman"/>
          <w:sz w:val="24"/>
          <w:szCs w:val="24"/>
        </w:rPr>
        <w:t xml:space="preserve"> and </w:t>
      </w:r>
      <w:r w:rsidR="00AC32DB" w:rsidRPr="00C03A53">
        <w:rPr>
          <w:rFonts w:ascii="Times New Roman" w:hAnsi="Times New Roman" w:cs="Times New Roman"/>
          <w:sz w:val="24"/>
          <w:szCs w:val="24"/>
        </w:rPr>
        <w:t xml:space="preserve">for </w:t>
      </w:r>
      <w:r w:rsidR="00372505" w:rsidRPr="00C03A53">
        <w:rPr>
          <w:rFonts w:ascii="Times New Roman" w:hAnsi="Times New Roman" w:cs="Times New Roman"/>
          <w:sz w:val="24"/>
          <w:szCs w:val="24"/>
        </w:rPr>
        <w:t>implementing specified measures to address it (clause 57</w:t>
      </w:r>
      <w:r w:rsidR="00180C89" w:rsidRPr="00C03A53">
        <w:rPr>
          <w:rFonts w:ascii="Times New Roman" w:hAnsi="Times New Roman" w:cs="Times New Roman"/>
          <w:sz w:val="24"/>
          <w:szCs w:val="24"/>
        </w:rPr>
        <w:t xml:space="preserve"> of the NWI)</w:t>
      </w:r>
      <w:r w:rsidRPr="00C03A53">
        <w:rPr>
          <w:rFonts w:ascii="Times New Roman" w:hAnsi="Times New Roman" w:cs="Times New Roman"/>
          <w:sz w:val="24"/>
          <w:szCs w:val="24"/>
        </w:rPr>
        <w:t xml:space="preserve">. </w:t>
      </w:r>
      <w:r w:rsidR="006F2AED" w:rsidRPr="00C03A53">
        <w:rPr>
          <w:rFonts w:ascii="Times New Roman" w:hAnsi="Times New Roman" w:cs="Times New Roman"/>
          <w:sz w:val="24"/>
          <w:szCs w:val="24"/>
        </w:rPr>
        <w:t>S</w:t>
      </w:r>
      <w:r w:rsidR="00D26E3E" w:rsidRPr="00C03A53">
        <w:rPr>
          <w:rFonts w:ascii="Times New Roman" w:hAnsi="Times New Roman" w:cs="Times New Roman"/>
          <w:sz w:val="24"/>
          <w:szCs w:val="24"/>
        </w:rPr>
        <w:t xml:space="preserve">ection 20AB of the Principal Rule </w:t>
      </w:r>
      <w:r w:rsidR="006F2AED" w:rsidRPr="00C03A53">
        <w:rPr>
          <w:rFonts w:ascii="Times New Roman" w:hAnsi="Times New Roman" w:cs="Times New Roman"/>
          <w:sz w:val="24"/>
          <w:szCs w:val="24"/>
        </w:rPr>
        <w:t>was drafted to recognise</w:t>
      </w:r>
      <w:r w:rsidR="00D26E3E" w:rsidRPr="00C03A53">
        <w:rPr>
          <w:rFonts w:ascii="Times New Roman" w:hAnsi="Times New Roman" w:cs="Times New Roman"/>
          <w:sz w:val="24"/>
          <w:szCs w:val="24"/>
        </w:rPr>
        <w:t xml:space="preserve"> state and territory government responsibilities for water management</w:t>
      </w:r>
      <w:r w:rsidR="004211FF" w:rsidRPr="00C03A53">
        <w:rPr>
          <w:rFonts w:ascii="Times New Roman" w:hAnsi="Times New Roman" w:cs="Times New Roman"/>
          <w:sz w:val="24"/>
          <w:szCs w:val="24"/>
        </w:rPr>
        <w:t>,</w:t>
      </w:r>
      <w:r w:rsidR="00D26E3E" w:rsidRPr="00C03A53">
        <w:rPr>
          <w:rFonts w:ascii="Times New Roman" w:hAnsi="Times New Roman" w:cs="Times New Roman"/>
          <w:sz w:val="24"/>
          <w:szCs w:val="24"/>
        </w:rPr>
        <w:t xml:space="preserve"> and </w:t>
      </w:r>
      <w:r w:rsidR="004E7554" w:rsidRPr="00C03A53">
        <w:rPr>
          <w:rFonts w:ascii="Times New Roman" w:hAnsi="Times New Roman" w:cs="Times New Roman"/>
          <w:sz w:val="24"/>
          <w:szCs w:val="24"/>
        </w:rPr>
        <w:t xml:space="preserve">their </w:t>
      </w:r>
      <w:r w:rsidR="00D26E3E" w:rsidRPr="00C03A53">
        <w:rPr>
          <w:rFonts w:ascii="Times New Roman" w:hAnsi="Times New Roman" w:cs="Times New Roman"/>
          <w:sz w:val="24"/>
          <w:szCs w:val="24"/>
        </w:rPr>
        <w:t>commitments under the NWI to manage water interception by plantations.</w:t>
      </w:r>
    </w:p>
    <w:p w14:paraId="0B2B8923" w14:textId="091CD6A0" w:rsidR="00F02A70" w:rsidRPr="00C03A53" w:rsidRDefault="00E310EE" w:rsidP="00475276">
      <w:pPr>
        <w:rPr>
          <w:rFonts w:ascii="Times New Roman" w:hAnsi="Times New Roman" w:cs="Times New Roman"/>
          <w:sz w:val="24"/>
          <w:szCs w:val="24"/>
        </w:rPr>
      </w:pPr>
      <w:r w:rsidRPr="00C03A53">
        <w:rPr>
          <w:rFonts w:ascii="Times New Roman" w:hAnsi="Times New Roman" w:cs="Times New Roman"/>
          <w:sz w:val="24"/>
          <w:szCs w:val="24"/>
        </w:rPr>
        <w:t xml:space="preserve">The total national area of plantations has been declining since 2014-15, with relatively small areas of new plantations being established and larger areas of existing plantations being converted to other land uses. </w:t>
      </w:r>
      <w:r w:rsidR="00F02A70" w:rsidRPr="00C03A53">
        <w:rPr>
          <w:rFonts w:ascii="Times New Roman" w:hAnsi="Times New Roman" w:cs="Times New Roman"/>
          <w:sz w:val="24"/>
          <w:szCs w:val="24"/>
        </w:rPr>
        <w:t>The potential to generate ACCUs</w:t>
      </w:r>
      <w:r w:rsidRPr="00C03A53">
        <w:rPr>
          <w:rFonts w:ascii="Times New Roman" w:hAnsi="Times New Roman" w:cs="Times New Roman"/>
          <w:sz w:val="24"/>
          <w:szCs w:val="24"/>
        </w:rPr>
        <w:t>, which may improve financial viability of new plantations,</w:t>
      </w:r>
      <w:r w:rsidR="00F02A70" w:rsidRPr="00C03A53">
        <w:rPr>
          <w:rFonts w:ascii="Times New Roman" w:hAnsi="Times New Roman" w:cs="Times New Roman"/>
          <w:sz w:val="24"/>
          <w:szCs w:val="24"/>
        </w:rPr>
        <w:t xml:space="preserve"> is one of </w:t>
      </w:r>
      <w:proofErr w:type="gramStart"/>
      <w:r w:rsidR="00F02A70" w:rsidRPr="00C03A53">
        <w:rPr>
          <w:rFonts w:ascii="Times New Roman" w:hAnsi="Times New Roman" w:cs="Times New Roman"/>
          <w:sz w:val="24"/>
          <w:szCs w:val="24"/>
        </w:rPr>
        <w:t>many</w:t>
      </w:r>
      <w:proofErr w:type="gramEnd"/>
      <w:r w:rsidR="00F02A70" w:rsidRPr="00C03A53">
        <w:rPr>
          <w:rFonts w:ascii="Times New Roman" w:hAnsi="Times New Roman" w:cs="Times New Roman"/>
          <w:sz w:val="24"/>
          <w:szCs w:val="24"/>
        </w:rPr>
        <w:t xml:space="preserve"> considerations in decisions to establish plantations. </w:t>
      </w:r>
      <w:proofErr w:type="gramStart"/>
      <w:r w:rsidR="00F02A70" w:rsidRPr="00C03A53">
        <w:rPr>
          <w:rFonts w:ascii="Times New Roman" w:hAnsi="Times New Roman" w:cs="Times New Roman"/>
          <w:sz w:val="24"/>
          <w:szCs w:val="24"/>
        </w:rPr>
        <w:t>Some</w:t>
      </w:r>
      <w:proofErr w:type="gramEnd"/>
      <w:r w:rsidR="00F02A70" w:rsidRPr="00C03A53">
        <w:rPr>
          <w:rFonts w:ascii="Times New Roman" w:hAnsi="Times New Roman" w:cs="Times New Roman"/>
          <w:sz w:val="24"/>
          <w:szCs w:val="24"/>
        </w:rPr>
        <w:t xml:space="preserve"> plantations </w:t>
      </w:r>
      <w:r w:rsidR="00525B30" w:rsidRPr="00C03A53">
        <w:rPr>
          <w:rFonts w:ascii="Times New Roman" w:hAnsi="Times New Roman" w:cs="Times New Roman"/>
          <w:sz w:val="24"/>
          <w:szCs w:val="24"/>
        </w:rPr>
        <w:t>may not</w:t>
      </w:r>
      <w:r w:rsidR="00F02A70" w:rsidRPr="00C03A53">
        <w:rPr>
          <w:rFonts w:ascii="Times New Roman" w:hAnsi="Times New Roman" w:cs="Times New Roman"/>
          <w:sz w:val="24"/>
          <w:szCs w:val="24"/>
        </w:rPr>
        <w:t xml:space="preserve"> be established with the intent of earning ACCUs, and some may not </w:t>
      </w:r>
      <w:r w:rsidR="00525B30" w:rsidRPr="00C03A53">
        <w:rPr>
          <w:rFonts w:ascii="Times New Roman" w:hAnsi="Times New Roman" w:cs="Times New Roman"/>
          <w:sz w:val="24"/>
          <w:szCs w:val="24"/>
        </w:rPr>
        <w:t>meet</w:t>
      </w:r>
      <w:r w:rsidR="00F02A70" w:rsidRPr="00C03A53">
        <w:rPr>
          <w:rFonts w:ascii="Times New Roman" w:hAnsi="Times New Roman" w:cs="Times New Roman"/>
          <w:sz w:val="24"/>
          <w:szCs w:val="24"/>
        </w:rPr>
        <w:t xml:space="preserve"> ACCU scheme </w:t>
      </w:r>
      <w:r w:rsidR="00525B30" w:rsidRPr="00C03A53">
        <w:rPr>
          <w:rFonts w:ascii="Times New Roman" w:hAnsi="Times New Roman" w:cs="Times New Roman"/>
          <w:sz w:val="24"/>
          <w:szCs w:val="24"/>
        </w:rPr>
        <w:t xml:space="preserve">eligibility </w:t>
      </w:r>
      <w:r w:rsidR="00F02A70" w:rsidRPr="00C03A53">
        <w:rPr>
          <w:rFonts w:ascii="Times New Roman" w:hAnsi="Times New Roman" w:cs="Times New Roman"/>
          <w:sz w:val="24"/>
          <w:szCs w:val="24"/>
        </w:rPr>
        <w:t xml:space="preserve">requirements. However, whether or not plantations earn ACCUs does not affect their impact on water availability. Consequently, management of water interception by plantations requires a holistic approach, irrespective of whether growers intend to generate ACCUs from their plantations. </w:t>
      </w:r>
    </w:p>
    <w:p w14:paraId="38AE65BA" w14:textId="77777777" w:rsidR="00CC7ACB" w:rsidRPr="00C03A53" w:rsidRDefault="008029AB" w:rsidP="00475276">
      <w:pPr>
        <w:rPr>
          <w:rFonts w:ascii="Times New Roman" w:hAnsi="Times New Roman" w:cs="Times New Roman"/>
          <w:sz w:val="24"/>
          <w:szCs w:val="24"/>
        </w:rPr>
      </w:pPr>
      <w:r w:rsidRPr="00C03A53">
        <w:rPr>
          <w:rFonts w:ascii="Times New Roman" w:hAnsi="Times New Roman" w:cs="Times New Roman"/>
          <w:sz w:val="24"/>
          <w:szCs w:val="24"/>
        </w:rPr>
        <w:t>T</w:t>
      </w:r>
      <w:r w:rsidR="00F02A70" w:rsidRPr="00C03A53">
        <w:rPr>
          <w:rFonts w:ascii="Times New Roman" w:hAnsi="Times New Roman" w:cs="Times New Roman"/>
          <w:sz w:val="24"/>
          <w:szCs w:val="24"/>
        </w:rPr>
        <w:t xml:space="preserve">he Amendment Rule </w:t>
      </w:r>
      <w:r w:rsidRPr="00C03A53">
        <w:rPr>
          <w:rFonts w:ascii="Times New Roman" w:hAnsi="Times New Roman" w:cs="Times New Roman"/>
          <w:sz w:val="24"/>
          <w:szCs w:val="24"/>
        </w:rPr>
        <w:t xml:space="preserve">recognises the role of state and territory governments in water management. </w:t>
      </w:r>
      <w:r w:rsidR="00AC5BD9" w:rsidRPr="00C03A53">
        <w:rPr>
          <w:rFonts w:ascii="Times New Roman" w:hAnsi="Times New Roman" w:cs="Times New Roman"/>
          <w:sz w:val="24"/>
          <w:szCs w:val="24"/>
        </w:rPr>
        <w:t xml:space="preserve">Schedule 1 commences on the day after the Amendment Rule is registered, to allow </w:t>
      </w:r>
      <w:r w:rsidR="00E436CA" w:rsidRPr="00C03A53">
        <w:rPr>
          <w:rFonts w:ascii="Times New Roman" w:hAnsi="Times New Roman" w:cs="Times New Roman"/>
          <w:sz w:val="24"/>
          <w:szCs w:val="24"/>
        </w:rPr>
        <w:t>specified tree planting projects</w:t>
      </w:r>
      <w:r w:rsidR="00AC5BD9" w:rsidRPr="00C03A53">
        <w:rPr>
          <w:rFonts w:ascii="Times New Roman" w:hAnsi="Times New Roman" w:cs="Times New Roman"/>
          <w:sz w:val="24"/>
          <w:szCs w:val="24"/>
        </w:rPr>
        <w:t xml:space="preserve"> to be declared eligible offsets projects, but not to start these projects, before the day that section 20AB is repealed by Schedule 2. </w:t>
      </w:r>
    </w:p>
    <w:p w14:paraId="46B6012A" w14:textId="46067025" w:rsidR="00AC5BD9" w:rsidRPr="00C03A53" w:rsidRDefault="009F69A0" w:rsidP="00475276">
      <w:pPr>
        <w:rPr>
          <w:rFonts w:ascii="Times New Roman" w:hAnsi="Times New Roman" w:cs="Times New Roman"/>
          <w:sz w:val="24"/>
          <w:szCs w:val="24"/>
        </w:rPr>
      </w:pPr>
      <w:r w:rsidRPr="00C03A53">
        <w:rPr>
          <w:rFonts w:ascii="Times New Roman" w:hAnsi="Times New Roman" w:cs="Times New Roman"/>
          <w:sz w:val="24"/>
          <w:szCs w:val="24"/>
        </w:rPr>
        <w:t xml:space="preserve">Schedule </w:t>
      </w:r>
      <w:r w:rsidR="00C41B1B" w:rsidRPr="00C03A53">
        <w:rPr>
          <w:rFonts w:ascii="Times New Roman" w:hAnsi="Times New Roman" w:cs="Times New Roman"/>
          <w:sz w:val="24"/>
          <w:szCs w:val="24"/>
        </w:rPr>
        <w:t>2 commences</w:t>
      </w:r>
      <w:r w:rsidR="00F02A70" w:rsidRPr="00C03A53">
        <w:rPr>
          <w:rFonts w:ascii="Times New Roman" w:hAnsi="Times New Roman" w:cs="Times New Roman"/>
          <w:sz w:val="24"/>
          <w:szCs w:val="24"/>
        </w:rPr>
        <w:t xml:space="preserve"> </w:t>
      </w:r>
      <w:r w:rsidR="00CC7ACB" w:rsidRPr="00C03A53">
        <w:rPr>
          <w:rFonts w:ascii="Times New Roman" w:hAnsi="Times New Roman" w:cs="Times New Roman"/>
          <w:sz w:val="24"/>
          <w:szCs w:val="24"/>
        </w:rPr>
        <w:t>on 1 June 2024</w:t>
      </w:r>
      <w:r w:rsidR="00F02A70" w:rsidRPr="00C03A53">
        <w:rPr>
          <w:rFonts w:ascii="Times New Roman" w:hAnsi="Times New Roman" w:cs="Times New Roman"/>
          <w:sz w:val="24"/>
          <w:szCs w:val="24"/>
        </w:rPr>
        <w:t xml:space="preserve">, </w:t>
      </w:r>
      <w:r w:rsidR="008029AB" w:rsidRPr="00C03A53">
        <w:rPr>
          <w:rFonts w:ascii="Times New Roman" w:hAnsi="Times New Roman" w:cs="Times New Roman"/>
          <w:sz w:val="24"/>
          <w:szCs w:val="24"/>
        </w:rPr>
        <w:t>to</w:t>
      </w:r>
      <w:r w:rsidR="00F02A70" w:rsidRPr="00C03A53">
        <w:rPr>
          <w:rFonts w:ascii="Times New Roman" w:hAnsi="Times New Roman" w:cs="Times New Roman"/>
          <w:sz w:val="24"/>
          <w:szCs w:val="24"/>
        </w:rPr>
        <w:t xml:space="preserve"> </w:t>
      </w:r>
      <w:r w:rsidR="008029AB" w:rsidRPr="00C03A53">
        <w:rPr>
          <w:rFonts w:ascii="Times New Roman" w:hAnsi="Times New Roman" w:cs="Times New Roman"/>
          <w:sz w:val="24"/>
          <w:szCs w:val="24"/>
        </w:rPr>
        <w:t>a</w:t>
      </w:r>
      <w:r w:rsidR="00F02A70" w:rsidRPr="00C03A53">
        <w:rPr>
          <w:rFonts w:ascii="Times New Roman" w:hAnsi="Times New Roman" w:cs="Times New Roman"/>
          <w:sz w:val="24"/>
          <w:szCs w:val="24"/>
        </w:rPr>
        <w:t>llow states and territories time</w:t>
      </w:r>
      <w:r w:rsidR="008029AB" w:rsidRPr="00C03A53">
        <w:rPr>
          <w:rFonts w:ascii="Times New Roman" w:hAnsi="Times New Roman" w:cs="Times New Roman"/>
          <w:sz w:val="24"/>
          <w:szCs w:val="24"/>
        </w:rPr>
        <w:t>, where necessary,</w:t>
      </w:r>
      <w:r w:rsidR="00F02A70" w:rsidRPr="00C03A53">
        <w:rPr>
          <w:rFonts w:ascii="Times New Roman" w:hAnsi="Times New Roman" w:cs="Times New Roman"/>
          <w:sz w:val="24"/>
          <w:szCs w:val="24"/>
        </w:rPr>
        <w:t xml:space="preserve"> to implement any additional measures necessary to manage the impacts of plantation projects, consistent with their obligations under the NWI</w:t>
      </w:r>
      <w:r w:rsidR="00AC5BD9" w:rsidRPr="00C03A53">
        <w:rPr>
          <w:rFonts w:ascii="Times New Roman" w:hAnsi="Times New Roman" w:cs="Times New Roman"/>
          <w:sz w:val="24"/>
          <w:szCs w:val="24"/>
        </w:rPr>
        <w:t>. In the interim, Schedule 1 provides that tree planting activities that would otherwise be excluded offsets projects cannot commence in practice until after section 20AB of the Principal Rule ha</w:t>
      </w:r>
      <w:r w:rsidR="00CC7ACB" w:rsidRPr="00C03A53">
        <w:rPr>
          <w:rFonts w:ascii="Times New Roman" w:hAnsi="Times New Roman" w:cs="Times New Roman"/>
          <w:sz w:val="24"/>
          <w:szCs w:val="24"/>
        </w:rPr>
        <w:t>s</w:t>
      </w:r>
      <w:r w:rsidR="00AC5BD9" w:rsidRPr="00C03A53">
        <w:rPr>
          <w:rFonts w:ascii="Times New Roman" w:hAnsi="Times New Roman" w:cs="Times New Roman"/>
          <w:sz w:val="24"/>
          <w:szCs w:val="24"/>
        </w:rPr>
        <w:t xml:space="preserve"> been re</w:t>
      </w:r>
      <w:r w:rsidR="00CC7ACB" w:rsidRPr="00C03A53">
        <w:rPr>
          <w:rFonts w:ascii="Times New Roman" w:hAnsi="Times New Roman" w:cs="Times New Roman"/>
          <w:sz w:val="24"/>
          <w:szCs w:val="24"/>
        </w:rPr>
        <w:t>pealed</w:t>
      </w:r>
      <w:r w:rsidR="00AC5BD9" w:rsidRPr="00C03A53">
        <w:rPr>
          <w:rFonts w:ascii="Times New Roman" w:hAnsi="Times New Roman" w:cs="Times New Roman"/>
          <w:sz w:val="24"/>
          <w:szCs w:val="24"/>
        </w:rPr>
        <w:t xml:space="preserve">. </w:t>
      </w:r>
    </w:p>
    <w:p w14:paraId="225BBC95" w14:textId="6D0CBE6D" w:rsidR="00DD1CA9" w:rsidRPr="00C03A53" w:rsidRDefault="00DC76CC" w:rsidP="00475276">
      <w:pPr>
        <w:rPr>
          <w:rFonts w:ascii="Times New Roman" w:hAnsi="Times New Roman" w:cs="Times New Roman"/>
          <w:sz w:val="24"/>
          <w:szCs w:val="24"/>
        </w:rPr>
      </w:pPr>
      <w:r w:rsidRPr="00C03A53">
        <w:rPr>
          <w:rFonts w:ascii="Times New Roman" w:hAnsi="Times New Roman" w:cs="Times New Roman"/>
          <w:sz w:val="24"/>
          <w:szCs w:val="24"/>
        </w:rPr>
        <w:t>E</w:t>
      </w:r>
      <w:r w:rsidR="007816EB" w:rsidRPr="00C03A53">
        <w:rPr>
          <w:rFonts w:ascii="Times New Roman" w:hAnsi="Times New Roman" w:cs="Times New Roman"/>
          <w:sz w:val="24"/>
          <w:szCs w:val="24"/>
        </w:rPr>
        <w:t xml:space="preserve">xperience from application of section 20AB </w:t>
      </w:r>
      <w:r w:rsidR="00B01DCB" w:rsidRPr="00C03A53">
        <w:rPr>
          <w:rFonts w:ascii="Times New Roman" w:hAnsi="Times New Roman" w:cs="Times New Roman"/>
          <w:sz w:val="24"/>
          <w:szCs w:val="24"/>
        </w:rPr>
        <w:t xml:space="preserve">of the Principal Rule </w:t>
      </w:r>
      <w:r w:rsidR="007816EB" w:rsidRPr="00C03A53">
        <w:rPr>
          <w:rFonts w:ascii="Times New Roman" w:hAnsi="Times New Roman" w:cs="Times New Roman"/>
          <w:sz w:val="24"/>
          <w:szCs w:val="24"/>
        </w:rPr>
        <w:t xml:space="preserve">shows </w:t>
      </w:r>
      <w:r w:rsidR="00710B9D" w:rsidRPr="00C03A53">
        <w:rPr>
          <w:rFonts w:ascii="Times New Roman" w:hAnsi="Times New Roman" w:cs="Times New Roman"/>
          <w:sz w:val="24"/>
          <w:szCs w:val="24"/>
        </w:rPr>
        <w:t xml:space="preserve">there are </w:t>
      </w:r>
      <w:r w:rsidR="00FC0B34" w:rsidRPr="00C03A53">
        <w:rPr>
          <w:rFonts w:ascii="Times New Roman" w:hAnsi="Times New Roman" w:cs="Times New Roman"/>
          <w:sz w:val="24"/>
          <w:szCs w:val="24"/>
        </w:rPr>
        <w:t xml:space="preserve">current </w:t>
      </w:r>
      <w:r w:rsidR="00710B9D" w:rsidRPr="00C03A53">
        <w:rPr>
          <w:rFonts w:ascii="Times New Roman" w:hAnsi="Times New Roman" w:cs="Times New Roman"/>
          <w:sz w:val="24"/>
          <w:szCs w:val="24"/>
        </w:rPr>
        <w:t xml:space="preserve">circumstances in which </w:t>
      </w:r>
      <w:r w:rsidR="00E04771" w:rsidRPr="00C03A53">
        <w:rPr>
          <w:rFonts w:ascii="Times New Roman" w:hAnsi="Times New Roman" w:cs="Times New Roman"/>
          <w:sz w:val="24"/>
          <w:szCs w:val="24"/>
        </w:rPr>
        <w:t xml:space="preserve">plantation forestry ACCU projects </w:t>
      </w:r>
      <w:r w:rsidR="007816EB" w:rsidRPr="00C03A53">
        <w:rPr>
          <w:rFonts w:ascii="Times New Roman" w:hAnsi="Times New Roman" w:cs="Times New Roman"/>
          <w:sz w:val="24"/>
          <w:szCs w:val="24"/>
        </w:rPr>
        <w:t xml:space="preserve">can </w:t>
      </w:r>
      <w:r w:rsidR="00710B9D" w:rsidRPr="00C03A53">
        <w:rPr>
          <w:rFonts w:ascii="Times New Roman" w:hAnsi="Times New Roman" w:cs="Times New Roman"/>
          <w:sz w:val="24"/>
          <w:szCs w:val="24"/>
        </w:rPr>
        <w:t xml:space="preserve">go ahead </w:t>
      </w:r>
      <w:r w:rsidR="007816EB" w:rsidRPr="00C03A53">
        <w:rPr>
          <w:rFonts w:ascii="Times New Roman" w:hAnsi="Times New Roman" w:cs="Times New Roman"/>
          <w:sz w:val="24"/>
          <w:szCs w:val="24"/>
        </w:rPr>
        <w:t xml:space="preserve">without </w:t>
      </w:r>
      <w:r w:rsidR="00710B9D" w:rsidRPr="00C03A53">
        <w:rPr>
          <w:rFonts w:ascii="Times New Roman" w:hAnsi="Times New Roman" w:cs="Times New Roman"/>
          <w:sz w:val="24"/>
          <w:szCs w:val="24"/>
        </w:rPr>
        <w:t xml:space="preserve">having adverse impacts on water availability. For example, </w:t>
      </w:r>
      <w:r w:rsidR="00B01DCB" w:rsidRPr="00C03A53">
        <w:rPr>
          <w:rFonts w:ascii="Times New Roman" w:hAnsi="Times New Roman" w:cs="Times New Roman"/>
          <w:sz w:val="24"/>
          <w:szCs w:val="24"/>
        </w:rPr>
        <w:t xml:space="preserve">in accordance with </w:t>
      </w:r>
      <w:r w:rsidR="00197D05" w:rsidRPr="00C03A53">
        <w:rPr>
          <w:rFonts w:ascii="Times New Roman" w:hAnsi="Times New Roman" w:cs="Times New Roman"/>
          <w:sz w:val="24"/>
          <w:szCs w:val="24"/>
        </w:rPr>
        <w:t>subs</w:t>
      </w:r>
      <w:r w:rsidR="00E04771" w:rsidRPr="00C03A53">
        <w:rPr>
          <w:rFonts w:ascii="Times New Roman" w:hAnsi="Times New Roman" w:cs="Times New Roman"/>
          <w:sz w:val="24"/>
          <w:szCs w:val="24"/>
        </w:rPr>
        <w:t>ection 20AB</w:t>
      </w:r>
      <w:r w:rsidR="00197D05" w:rsidRPr="00C03A53">
        <w:rPr>
          <w:rFonts w:ascii="Times New Roman" w:hAnsi="Times New Roman" w:cs="Times New Roman"/>
          <w:sz w:val="24"/>
          <w:szCs w:val="24"/>
        </w:rPr>
        <w:t>(5)</w:t>
      </w:r>
      <w:r w:rsidR="00E04771" w:rsidRPr="00C03A53">
        <w:rPr>
          <w:rFonts w:ascii="Times New Roman" w:hAnsi="Times New Roman" w:cs="Times New Roman"/>
          <w:sz w:val="24"/>
          <w:szCs w:val="24"/>
        </w:rPr>
        <w:t xml:space="preserve">, </w:t>
      </w:r>
      <w:r w:rsidR="00B01DCB" w:rsidRPr="00C03A53">
        <w:rPr>
          <w:rFonts w:ascii="Times New Roman" w:hAnsi="Times New Roman" w:cs="Times New Roman"/>
          <w:sz w:val="24"/>
          <w:szCs w:val="24"/>
        </w:rPr>
        <w:t xml:space="preserve">the </w:t>
      </w:r>
      <w:r w:rsidR="008B4356" w:rsidRPr="00C03A53">
        <w:rPr>
          <w:rFonts w:ascii="Times New Roman" w:hAnsi="Times New Roman" w:cs="Times New Roman"/>
          <w:sz w:val="24"/>
          <w:szCs w:val="24"/>
        </w:rPr>
        <w:t xml:space="preserve">Australian </w:t>
      </w:r>
      <w:r w:rsidR="00B01DCB" w:rsidRPr="00C03A53">
        <w:rPr>
          <w:rFonts w:ascii="Times New Roman" w:hAnsi="Times New Roman" w:cs="Times New Roman"/>
          <w:sz w:val="24"/>
          <w:szCs w:val="24"/>
        </w:rPr>
        <w:t xml:space="preserve">Government has specified </w:t>
      </w:r>
      <w:proofErr w:type="gramStart"/>
      <w:r w:rsidR="00B01DCB" w:rsidRPr="00C03A53">
        <w:rPr>
          <w:rFonts w:ascii="Times New Roman" w:hAnsi="Times New Roman" w:cs="Times New Roman"/>
          <w:sz w:val="24"/>
          <w:szCs w:val="24"/>
        </w:rPr>
        <w:t>several</w:t>
      </w:r>
      <w:proofErr w:type="gramEnd"/>
      <w:r w:rsidR="00B01DCB" w:rsidRPr="00C03A53">
        <w:rPr>
          <w:rFonts w:ascii="Times New Roman" w:hAnsi="Times New Roman" w:cs="Times New Roman"/>
          <w:sz w:val="24"/>
          <w:szCs w:val="24"/>
        </w:rPr>
        <w:t xml:space="preserve"> </w:t>
      </w:r>
      <w:r w:rsidR="00197D05" w:rsidRPr="00C03A53">
        <w:rPr>
          <w:rFonts w:ascii="Times New Roman" w:hAnsi="Times New Roman" w:cs="Times New Roman"/>
          <w:sz w:val="24"/>
          <w:szCs w:val="24"/>
        </w:rPr>
        <w:t>regions</w:t>
      </w:r>
      <w:r w:rsidR="00E04771" w:rsidRPr="00C03A53">
        <w:rPr>
          <w:rFonts w:ascii="Times New Roman" w:hAnsi="Times New Roman" w:cs="Times New Roman"/>
          <w:sz w:val="24"/>
          <w:szCs w:val="24"/>
        </w:rPr>
        <w:t xml:space="preserve"> in which tree planting is unlikely to have a material adverse impact on water availability</w:t>
      </w:r>
      <w:r w:rsidR="00197D05" w:rsidRPr="00C03A53">
        <w:rPr>
          <w:rFonts w:ascii="Times New Roman" w:hAnsi="Times New Roman" w:cs="Times New Roman"/>
          <w:sz w:val="24"/>
          <w:szCs w:val="24"/>
        </w:rPr>
        <w:t xml:space="preserve">. The </w:t>
      </w:r>
      <w:r w:rsidR="008B4356" w:rsidRPr="00C03A53">
        <w:rPr>
          <w:rFonts w:ascii="Times New Roman" w:hAnsi="Times New Roman" w:cs="Times New Roman"/>
          <w:sz w:val="24"/>
          <w:szCs w:val="24"/>
        </w:rPr>
        <w:t>g</w:t>
      </w:r>
      <w:r w:rsidR="00197D05" w:rsidRPr="00C03A53">
        <w:rPr>
          <w:rFonts w:ascii="Times New Roman" w:hAnsi="Times New Roman" w:cs="Times New Roman"/>
          <w:sz w:val="24"/>
          <w:szCs w:val="24"/>
        </w:rPr>
        <w:t>overnment specified these regions after taking into account risk-based assessments</w:t>
      </w:r>
      <w:r w:rsidR="007839D0" w:rsidRPr="00C03A53">
        <w:rPr>
          <w:rFonts w:ascii="Times New Roman" w:hAnsi="Times New Roman" w:cs="Times New Roman"/>
          <w:sz w:val="24"/>
          <w:szCs w:val="24"/>
        </w:rPr>
        <w:t xml:space="preserve">, which found </w:t>
      </w:r>
      <w:r w:rsidR="002A5353" w:rsidRPr="00C03A53">
        <w:rPr>
          <w:rFonts w:ascii="Times New Roman" w:hAnsi="Times New Roman" w:cs="Times New Roman"/>
          <w:sz w:val="24"/>
          <w:szCs w:val="24"/>
        </w:rPr>
        <w:t xml:space="preserve">that, in </w:t>
      </w:r>
      <w:proofErr w:type="gramStart"/>
      <w:r w:rsidR="002A5353" w:rsidRPr="00C03A53">
        <w:rPr>
          <w:rFonts w:ascii="Times New Roman" w:hAnsi="Times New Roman" w:cs="Times New Roman"/>
          <w:sz w:val="24"/>
          <w:szCs w:val="24"/>
        </w:rPr>
        <w:t>most of</w:t>
      </w:r>
      <w:proofErr w:type="gramEnd"/>
      <w:r w:rsidR="002A5353" w:rsidRPr="00C03A53">
        <w:rPr>
          <w:rFonts w:ascii="Times New Roman" w:hAnsi="Times New Roman" w:cs="Times New Roman"/>
          <w:sz w:val="24"/>
          <w:szCs w:val="24"/>
        </w:rPr>
        <w:t xml:space="preserve"> the assessed</w:t>
      </w:r>
      <w:r w:rsidR="007839D0" w:rsidRPr="00C03A53">
        <w:rPr>
          <w:rFonts w:ascii="Times New Roman" w:hAnsi="Times New Roman" w:cs="Times New Roman"/>
          <w:sz w:val="24"/>
          <w:szCs w:val="24"/>
        </w:rPr>
        <w:t xml:space="preserve"> regions</w:t>
      </w:r>
      <w:r w:rsidR="002A5353" w:rsidRPr="00C03A53">
        <w:rPr>
          <w:rFonts w:ascii="Times New Roman" w:hAnsi="Times New Roman" w:cs="Times New Roman"/>
          <w:sz w:val="24"/>
          <w:szCs w:val="24"/>
        </w:rPr>
        <w:t>,</w:t>
      </w:r>
      <w:r w:rsidR="007839D0" w:rsidRPr="00C03A53">
        <w:rPr>
          <w:rFonts w:ascii="Times New Roman" w:hAnsi="Times New Roman" w:cs="Times New Roman"/>
          <w:sz w:val="24"/>
          <w:szCs w:val="24"/>
        </w:rPr>
        <w:t xml:space="preserve"> impacts are </w:t>
      </w:r>
      <w:r w:rsidR="00BF2E98" w:rsidRPr="00C03A53">
        <w:rPr>
          <w:rFonts w:ascii="Times New Roman" w:hAnsi="Times New Roman" w:cs="Times New Roman"/>
          <w:sz w:val="24"/>
          <w:szCs w:val="24"/>
        </w:rPr>
        <w:t>manageable,</w:t>
      </w:r>
      <w:r w:rsidR="007839D0" w:rsidRPr="00C03A53">
        <w:rPr>
          <w:rFonts w:ascii="Times New Roman" w:hAnsi="Times New Roman" w:cs="Times New Roman"/>
          <w:sz w:val="24"/>
          <w:szCs w:val="24"/>
        </w:rPr>
        <w:t xml:space="preserve"> and plantings can be established without having adverse impacts on water availability</w:t>
      </w:r>
      <w:r w:rsidR="00197D05" w:rsidRPr="00C03A53">
        <w:rPr>
          <w:rFonts w:ascii="Times New Roman" w:hAnsi="Times New Roman" w:cs="Times New Roman"/>
          <w:sz w:val="24"/>
          <w:szCs w:val="24"/>
        </w:rPr>
        <w:t>.</w:t>
      </w:r>
      <w:r w:rsidR="007D3FF0" w:rsidRPr="00C03A53">
        <w:rPr>
          <w:rFonts w:ascii="Times New Roman" w:hAnsi="Times New Roman" w:cs="Times New Roman"/>
          <w:sz w:val="24"/>
          <w:szCs w:val="24"/>
        </w:rPr>
        <w:t xml:space="preserve"> The assessments included: </w:t>
      </w:r>
      <w:r w:rsidR="00197D05" w:rsidRPr="00C03A53">
        <w:rPr>
          <w:rFonts w:ascii="Times New Roman" w:hAnsi="Times New Roman" w:cs="Times New Roman"/>
          <w:sz w:val="24"/>
          <w:szCs w:val="24"/>
        </w:rPr>
        <w:t xml:space="preserve"> </w:t>
      </w:r>
    </w:p>
    <w:p w14:paraId="12E42C7D" w14:textId="0202B614" w:rsidR="00A012A0" w:rsidRPr="00C03A53" w:rsidRDefault="00A012A0" w:rsidP="00475276">
      <w:pPr>
        <w:pStyle w:val="ListParagraph"/>
        <w:numPr>
          <w:ilvl w:val="0"/>
          <w:numId w:val="8"/>
        </w:numPr>
        <w:rPr>
          <w:rFonts w:ascii="Times New Roman" w:hAnsi="Times New Roman" w:cs="Times New Roman"/>
          <w:sz w:val="24"/>
          <w:szCs w:val="24"/>
        </w:rPr>
      </w:pPr>
      <w:r w:rsidRPr="00C03A53">
        <w:rPr>
          <w:rFonts w:ascii="Times New Roman" w:hAnsi="Times New Roman" w:cs="Times New Roman"/>
          <w:sz w:val="24"/>
          <w:szCs w:val="24"/>
        </w:rPr>
        <w:t xml:space="preserve">identifying where there is no evidence of plantations intercepting water that would otherwise be available for regulated consumption or environmental </w:t>
      </w:r>
      <w:r w:rsidR="00C41B1B" w:rsidRPr="00C03A53">
        <w:rPr>
          <w:rFonts w:ascii="Times New Roman" w:hAnsi="Times New Roman" w:cs="Times New Roman"/>
          <w:sz w:val="24"/>
          <w:szCs w:val="24"/>
        </w:rPr>
        <w:t>use.</w:t>
      </w:r>
    </w:p>
    <w:p w14:paraId="568B6797" w14:textId="77777777" w:rsidR="00A012A0" w:rsidRPr="00C03A53" w:rsidRDefault="00A012A0" w:rsidP="00475276">
      <w:pPr>
        <w:pStyle w:val="ListParagraph"/>
        <w:numPr>
          <w:ilvl w:val="0"/>
          <w:numId w:val="8"/>
        </w:numPr>
        <w:rPr>
          <w:rFonts w:ascii="Times New Roman" w:hAnsi="Times New Roman" w:cs="Times New Roman"/>
          <w:sz w:val="24"/>
          <w:szCs w:val="24"/>
        </w:rPr>
      </w:pPr>
      <w:r w:rsidRPr="00C03A53">
        <w:rPr>
          <w:rFonts w:ascii="Times New Roman" w:hAnsi="Times New Roman" w:cs="Times New Roman"/>
          <w:sz w:val="24"/>
          <w:szCs w:val="24"/>
        </w:rPr>
        <w:t>considering state and regional arrangements in place, the region’s water allocations, risks to water resources, and monitoring and reporting.</w:t>
      </w:r>
    </w:p>
    <w:p w14:paraId="3A294FD7" w14:textId="3AB7BDE0" w:rsidR="00575C2C" w:rsidRPr="00C03A53" w:rsidRDefault="00BE000C" w:rsidP="00475276">
      <w:pPr>
        <w:rPr>
          <w:rFonts w:ascii="Times New Roman" w:hAnsi="Times New Roman" w:cs="Times New Roman"/>
          <w:sz w:val="24"/>
          <w:szCs w:val="24"/>
        </w:rPr>
      </w:pPr>
      <w:proofErr w:type="gramStart"/>
      <w:r w:rsidRPr="00C03A53">
        <w:rPr>
          <w:rFonts w:ascii="Times New Roman" w:hAnsi="Times New Roman" w:cs="Times New Roman"/>
          <w:sz w:val="24"/>
          <w:szCs w:val="24"/>
        </w:rPr>
        <w:t>Some</w:t>
      </w:r>
      <w:proofErr w:type="gramEnd"/>
      <w:r w:rsidRPr="00C03A53">
        <w:rPr>
          <w:rFonts w:ascii="Times New Roman" w:hAnsi="Times New Roman" w:cs="Times New Roman"/>
          <w:sz w:val="24"/>
          <w:szCs w:val="24"/>
        </w:rPr>
        <w:t xml:space="preserve"> plantation forestry projects have met the requirements of section 20AB by being located in a specified region. </w:t>
      </w:r>
      <w:proofErr w:type="gramStart"/>
      <w:r w:rsidRPr="00C03A53">
        <w:rPr>
          <w:rFonts w:ascii="Times New Roman" w:hAnsi="Times New Roman" w:cs="Times New Roman"/>
          <w:sz w:val="24"/>
          <w:szCs w:val="24"/>
        </w:rPr>
        <w:t>Several</w:t>
      </w:r>
      <w:proofErr w:type="gramEnd"/>
      <w:r w:rsidRPr="00C03A53">
        <w:rPr>
          <w:rFonts w:ascii="Times New Roman" w:hAnsi="Times New Roman" w:cs="Times New Roman"/>
          <w:sz w:val="24"/>
          <w:szCs w:val="24"/>
        </w:rPr>
        <w:t xml:space="preserve"> projects have met other conditions under section 20AB.</w:t>
      </w:r>
    </w:p>
    <w:p w14:paraId="7F9A9188" w14:textId="3A83B44B" w:rsidR="005855D7" w:rsidRPr="00C03A53" w:rsidRDefault="005E7E92" w:rsidP="00475276">
      <w:pPr>
        <w:rPr>
          <w:rFonts w:ascii="Times New Roman" w:hAnsi="Times New Roman" w:cs="Times New Roman"/>
          <w:sz w:val="24"/>
          <w:szCs w:val="24"/>
        </w:rPr>
      </w:pPr>
      <w:r w:rsidRPr="00C03A53">
        <w:rPr>
          <w:rFonts w:ascii="Times New Roman" w:hAnsi="Times New Roman" w:cs="Times New Roman"/>
          <w:sz w:val="24"/>
          <w:szCs w:val="24"/>
        </w:rPr>
        <w:t xml:space="preserve">Other existing </w:t>
      </w:r>
      <w:r w:rsidR="00B965E4" w:rsidRPr="00C03A53">
        <w:rPr>
          <w:rFonts w:ascii="Times New Roman" w:hAnsi="Times New Roman" w:cs="Times New Roman"/>
          <w:sz w:val="24"/>
          <w:szCs w:val="24"/>
        </w:rPr>
        <w:t>requirements</w:t>
      </w:r>
      <w:r w:rsidRPr="00C03A53">
        <w:rPr>
          <w:rFonts w:ascii="Times New Roman" w:hAnsi="Times New Roman" w:cs="Times New Roman"/>
          <w:sz w:val="24"/>
          <w:szCs w:val="24"/>
        </w:rPr>
        <w:t xml:space="preserve"> </w:t>
      </w:r>
      <w:r w:rsidR="00A1686A" w:rsidRPr="00C03A53">
        <w:rPr>
          <w:rFonts w:ascii="Times New Roman" w:hAnsi="Times New Roman" w:cs="Times New Roman"/>
          <w:sz w:val="24"/>
          <w:szCs w:val="24"/>
        </w:rPr>
        <w:t xml:space="preserve">for ACCU projects </w:t>
      </w:r>
      <w:r w:rsidRPr="00C03A53">
        <w:rPr>
          <w:rFonts w:ascii="Times New Roman" w:hAnsi="Times New Roman" w:cs="Times New Roman"/>
          <w:sz w:val="24"/>
          <w:szCs w:val="24"/>
        </w:rPr>
        <w:t xml:space="preserve">will </w:t>
      </w:r>
      <w:r w:rsidR="00920C94" w:rsidRPr="00C03A53">
        <w:rPr>
          <w:rFonts w:ascii="Times New Roman" w:hAnsi="Times New Roman" w:cs="Times New Roman"/>
          <w:sz w:val="24"/>
          <w:szCs w:val="24"/>
        </w:rPr>
        <w:t xml:space="preserve">continue to </w:t>
      </w:r>
      <w:r w:rsidR="001422D6" w:rsidRPr="00C03A53">
        <w:rPr>
          <w:rFonts w:ascii="Times New Roman" w:hAnsi="Times New Roman" w:cs="Times New Roman"/>
          <w:sz w:val="24"/>
          <w:szCs w:val="24"/>
        </w:rPr>
        <w:t>provide for</w:t>
      </w:r>
      <w:r w:rsidRPr="00C03A53">
        <w:rPr>
          <w:rFonts w:ascii="Times New Roman" w:hAnsi="Times New Roman" w:cs="Times New Roman"/>
          <w:sz w:val="24"/>
          <w:szCs w:val="24"/>
        </w:rPr>
        <w:t xml:space="preserve"> manage</w:t>
      </w:r>
      <w:r w:rsidR="001422D6" w:rsidRPr="00C03A53">
        <w:rPr>
          <w:rFonts w:ascii="Times New Roman" w:hAnsi="Times New Roman" w:cs="Times New Roman"/>
          <w:sz w:val="24"/>
          <w:szCs w:val="24"/>
        </w:rPr>
        <w:t>ment of</w:t>
      </w:r>
      <w:r w:rsidRPr="00C03A53">
        <w:rPr>
          <w:rFonts w:ascii="Times New Roman" w:hAnsi="Times New Roman" w:cs="Times New Roman"/>
          <w:sz w:val="24"/>
          <w:szCs w:val="24"/>
        </w:rPr>
        <w:t xml:space="preserve"> any potential effects of plantation forestry and farm forestry projects on water availability. </w:t>
      </w:r>
      <w:r w:rsidR="00427E5C" w:rsidRPr="00C03A53">
        <w:rPr>
          <w:rFonts w:ascii="Times New Roman" w:hAnsi="Times New Roman" w:cs="Times New Roman"/>
          <w:sz w:val="24"/>
          <w:szCs w:val="24"/>
        </w:rPr>
        <w:br/>
      </w:r>
      <w:r w:rsidR="00DC76CC" w:rsidRPr="00C03A53">
        <w:rPr>
          <w:rFonts w:ascii="Times New Roman" w:hAnsi="Times New Roman" w:cs="Times New Roman"/>
          <w:sz w:val="24"/>
          <w:szCs w:val="24"/>
        </w:rPr>
        <w:t>In particular, a</w:t>
      </w:r>
      <w:r w:rsidRPr="00C03A53">
        <w:rPr>
          <w:rFonts w:ascii="Times New Roman" w:hAnsi="Times New Roman" w:cs="Times New Roman"/>
          <w:sz w:val="24"/>
          <w:szCs w:val="24"/>
        </w:rPr>
        <w:t>ll projects must comply with environmental, water and planning regulations at all levels of government</w:t>
      </w:r>
      <w:r w:rsidR="00BA626D" w:rsidRPr="00C03A53">
        <w:rPr>
          <w:rFonts w:ascii="Times New Roman" w:hAnsi="Times New Roman" w:cs="Times New Roman"/>
          <w:sz w:val="24"/>
          <w:szCs w:val="24"/>
        </w:rPr>
        <w:t>,</w:t>
      </w:r>
      <w:r w:rsidRPr="00C03A53">
        <w:rPr>
          <w:rFonts w:ascii="Times New Roman" w:hAnsi="Times New Roman" w:cs="Times New Roman"/>
          <w:sz w:val="24"/>
          <w:szCs w:val="24"/>
        </w:rPr>
        <w:t xml:space="preserve"> and </w:t>
      </w:r>
      <w:r w:rsidR="00BA626D" w:rsidRPr="00C03A53">
        <w:rPr>
          <w:rFonts w:ascii="Times New Roman" w:hAnsi="Times New Roman" w:cs="Times New Roman"/>
          <w:sz w:val="24"/>
          <w:szCs w:val="24"/>
        </w:rPr>
        <w:t xml:space="preserve">must </w:t>
      </w:r>
      <w:r w:rsidRPr="00C03A53">
        <w:rPr>
          <w:rFonts w:ascii="Times New Roman" w:hAnsi="Times New Roman" w:cs="Times New Roman"/>
          <w:sz w:val="24"/>
          <w:szCs w:val="24"/>
        </w:rPr>
        <w:t>have all necessary approvals before they can receive credits (section 28 of the Act).</w:t>
      </w:r>
    </w:p>
    <w:p w14:paraId="66CE9CF7" w14:textId="72BDBEDD" w:rsidR="004B5E98" w:rsidRPr="00C03A53" w:rsidRDefault="00A80857" w:rsidP="00475276">
      <w:pPr>
        <w:rPr>
          <w:rFonts w:ascii="Times New Roman" w:hAnsi="Times New Roman" w:cs="Times New Roman"/>
          <w:i/>
          <w:iCs/>
          <w:sz w:val="24"/>
          <w:szCs w:val="24"/>
        </w:rPr>
      </w:pPr>
      <w:r w:rsidRPr="00C03A53">
        <w:rPr>
          <w:rFonts w:ascii="Times New Roman" w:hAnsi="Times New Roman" w:cs="Times New Roman"/>
          <w:i/>
          <w:iCs/>
          <w:sz w:val="24"/>
          <w:szCs w:val="24"/>
        </w:rPr>
        <w:lastRenderedPageBreak/>
        <w:t>b)</w:t>
      </w:r>
      <w:r w:rsidRPr="00C03A53">
        <w:rPr>
          <w:rFonts w:ascii="Times New Roman" w:hAnsi="Times New Roman" w:cs="Times New Roman"/>
          <w:i/>
          <w:iCs/>
          <w:sz w:val="24"/>
          <w:szCs w:val="24"/>
        </w:rPr>
        <w:tab/>
      </w:r>
      <w:r w:rsidR="00972B7C" w:rsidRPr="00C03A53">
        <w:rPr>
          <w:rFonts w:ascii="Times New Roman" w:hAnsi="Times New Roman" w:cs="Times New Roman"/>
          <w:i/>
          <w:iCs/>
          <w:sz w:val="24"/>
          <w:szCs w:val="24"/>
        </w:rPr>
        <w:t>C</w:t>
      </w:r>
      <w:r w:rsidR="0054490E" w:rsidRPr="00C03A53">
        <w:rPr>
          <w:rFonts w:ascii="Times New Roman" w:hAnsi="Times New Roman" w:cs="Times New Roman"/>
          <w:i/>
          <w:iCs/>
          <w:sz w:val="24"/>
          <w:szCs w:val="24"/>
        </w:rPr>
        <w:t xml:space="preserve">onservation of </w:t>
      </w:r>
      <w:r w:rsidR="00061CA0" w:rsidRPr="00C03A53">
        <w:rPr>
          <w:rFonts w:ascii="Times New Roman" w:hAnsi="Times New Roman" w:cs="Times New Roman"/>
          <w:i/>
          <w:iCs/>
          <w:sz w:val="24"/>
          <w:szCs w:val="24"/>
        </w:rPr>
        <w:t>b</w:t>
      </w:r>
      <w:r w:rsidR="004B5E98" w:rsidRPr="00C03A53">
        <w:rPr>
          <w:rFonts w:ascii="Times New Roman" w:hAnsi="Times New Roman" w:cs="Times New Roman"/>
          <w:i/>
          <w:iCs/>
          <w:sz w:val="24"/>
          <w:szCs w:val="24"/>
        </w:rPr>
        <w:t>iodiversity</w:t>
      </w:r>
    </w:p>
    <w:p w14:paraId="14F6FE4F" w14:textId="17C7757D" w:rsidR="00ED4012" w:rsidRPr="00C03A53" w:rsidRDefault="003F08CF" w:rsidP="00475276">
      <w:pPr>
        <w:rPr>
          <w:rFonts w:ascii="Times New Roman" w:hAnsi="Times New Roman" w:cs="Times New Roman"/>
          <w:sz w:val="24"/>
          <w:szCs w:val="24"/>
        </w:rPr>
      </w:pPr>
      <w:r w:rsidRPr="00C03A53">
        <w:rPr>
          <w:rFonts w:ascii="Times New Roman" w:hAnsi="Times New Roman" w:cs="Times New Roman"/>
          <w:sz w:val="24"/>
          <w:szCs w:val="24"/>
        </w:rPr>
        <w:t>Section 20AA relevantly specifies the following kinds of project as excluded offsets projects:</w:t>
      </w:r>
    </w:p>
    <w:p w14:paraId="5C4AF0D3" w14:textId="1222A341" w:rsidR="009974CD" w:rsidRPr="00C03A53" w:rsidRDefault="00A2708E" w:rsidP="00475276">
      <w:pPr>
        <w:pStyle w:val="ListParagraph"/>
        <w:numPr>
          <w:ilvl w:val="0"/>
          <w:numId w:val="8"/>
        </w:numPr>
        <w:rPr>
          <w:rFonts w:ascii="Times New Roman" w:hAnsi="Times New Roman" w:cs="Times New Roman"/>
          <w:sz w:val="24"/>
          <w:szCs w:val="24"/>
        </w:rPr>
      </w:pPr>
      <w:r w:rsidRPr="00C03A53">
        <w:rPr>
          <w:rFonts w:ascii="Times New Roman" w:hAnsi="Times New Roman" w:cs="Times New Roman"/>
          <w:sz w:val="24"/>
          <w:szCs w:val="24"/>
        </w:rPr>
        <w:t>planting of a species in an area where it is a known weed species</w:t>
      </w:r>
    </w:p>
    <w:p w14:paraId="7070C0AC" w14:textId="388B2BCF" w:rsidR="009974CD" w:rsidRPr="00C03A53" w:rsidRDefault="00A2708E" w:rsidP="00475276">
      <w:pPr>
        <w:pStyle w:val="ListParagraph"/>
        <w:numPr>
          <w:ilvl w:val="0"/>
          <w:numId w:val="8"/>
        </w:numPr>
        <w:rPr>
          <w:rFonts w:ascii="Times New Roman" w:hAnsi="Times New Roman" w:cs="Times New Roman"/>
          <w:sz w:val="24"/>
          <w:szCs w:val="24"/>
        </w:rPr>
      </w:pPr>
      <w:r w:rsidRPr="00C03A53">
        <w:rPr>
          <w:rFonts w:ascii="Times New Roman" w:hAnsi="Times New Roman" w:cs="Times New Roman"/>
          <w:sz w:val="24"/>
          <w:szCs w:val="24"/>
        </w:rPr>
        <w:t xml:space="preserve">establishing vegetation </w:t>
      </w:r>
      <w:r w:rsidR="009974CD" w:rsidRPr="00C03A53">
        <w:rPr>
          <w:rFonts w:ascii="Times New Roman" w:hAnsi="Times New Roman" w:cs="Times New Roman"/>
          <w:sz w:val="24"/>
          <w:szCs w:val="24"/>
        </w:rPr>
        <w:t xml:space="preserve">on land where </w:t>
      </w:r>
      <w:r w:rsidRPr="00C03A53">
        <w:rPr>
          <w:rFonts w:ascii="Times New Roman" w:hAnsi="Times New Roman" w:cs="Times New Roman"/>
          <w:sz w:val="24"/>
          <w:szCs w:val="24"/>
        </w:rPr>
        <w:t xml:space="preserve">a </w:t>
      </w:r>
      <w:r w:rsidR="009974CD" w:rsidRPr="00C03A53">
        <w:rPr>
          <w:rFonts w:ascii="Times New Roman" w:hAnsi="Times New Roman" w:cs="Times New Roman"/>
          <w:sz w:val="24"/>
          <w:szCs w:val="24"/>
        </w:rPr>
        <w:t xml:space="preserve">native forest has been illegally cleared or </w:t>
      </w:r>
      <w:r w:rsidRPr="00C03A53">
        <w:rPr>
          <w:rFonts w:ascii="Times New Roman" w:hAnsi="Times New Roman" w:cs="Times New Roman"/>
          <w:sz w:val="24"/>
          <w:szCs w:val="24"/>
        </w:rPr>
        <w:t xml:space="preserve">a </w:t>
      </w:r>
      <w:r w:rsidR="009974CD" w:rsidRPr="00C03A53">
        <w:rPr>
          <w:rFonts w:ascii="Times New Roman" w:hAnsi="Times New Roman" w:cs="Times New Roman"/>
          <w:sz w:val="24"/>
          <w:szCs w:val="24"/>
        </w:rPr>
        <w:t xml:space="preserve">wetland </w:t>
      </w:r>
      <w:r w:rsidRPr="00C03A53">
        <w:rPr>
          <w:rFonts w:ascii="Times New Roman" w:hAnsi="Times New Roman" w:cs="Times New Roman"/>
          <w:sz w:val="24"/>
          <w:szCs w:val="24"/>
        </w:rPr>
        <w:t xml:space="preserve">has been </w:t>
      </w:r>
      <w:r w:rsidR="009974CD" w:rsidRPr="00C03A53">
        <w:rPr>
          <w:rFonts w:ascii="Times New Roman" w:hAnsi="Times New Roman" w:cs="Times New Roman"/>
          <w:sz w:val="24"/>
          <w:szCs w:val="24"/>
        </w:rPr>
        <w:t>illegally drained</w:t>
      </w:r>
    </w:p>
    <w:p w14:paraId="309C7D2C" w14:textId="564AF5BC" w:rsidR="009974CD" w:rsidRPr="00C03A53" w:rsidRDefault="00A2708E" w:rsidP="00475276">
      <w:pPr>
        <w:pStyle w:val="ListParagraph"/>
        <w:numPr>
          <w:ilvl w:val="0"/>
          <w:numId w:val="8"/>
        </w:numPr>
        <w:rPr>
          <w:rFonts w:ascii="Times New Roman" w:hAnsi="Times New Roman" w:cs="Times New Roman"/>
          <w:sz w:val="24"/>
          <w:szCs w:val="24"/>
        </w:rPr>
      </w:pPr>
      <w:r w:rsidRPr="00C03A53">
        <w:rPr>
          <w:rFonts w:ascii="Times New Roman" w:hAnsi="Times New Roman" w:cs="Times New Roman"/>
          <w:sz w:val="24"/>
          <w:szCs w:val="24"/>
        </w:rPr>
        <w:t xml:space="preserve">establishing vegetation </w:t>
      </w:r>
      <w:r w:rsidR="009974CD" w:rsidRPr="00C03A53">
        <w:rPr>
          <w:rFonts w:ascii="Times New Roman" w:hAnsi="Times New Roman" w:cs="Times New Roman"/>
          <w:sz w:val="24"/>
          <w:szCs w:val="24"/>
        </w:rPr>
        <w:t xml:space="preserve">on land </w:t>
      </w:r>
      <w:r w:rsidR="003900D3" w:rsidRPr="00C03A53">
        <w:rPr>
          <w:rFonts w:ascii="Times New Roman" w:hAnsi="Times New Roman" w:cs="Times New Roman"/>
          <w:sz w:val="24"/>
          <w:szCs w:val="24"/>
        </w:rPr>
        <w:t>where there has been</w:t>
      </w:r>
      <w:r w:rsidR="009974CD" w:rsidRPr="00C03A53">
        <w:rPr>
          <w:rFonts w:ascii="Times New Roman" w:hAnsi="Times New Roman" w:cs="Times New Roman"/>
          <w:sz w:val="24"/>
          <w:szCs w:val="24"/>
        </w:rPr>
        <w:t xml:space="preserve"> legal clear</w:t>
      </w:r>
      <w:r w:rsidR="003900D3" w:rsidRPr="00C03A53">
        <w:rPr>
          <w:rFonts w:ascii="Times New Roman" w:hAnsi="Times New Roman" w:cs="Times New Roman"/>
          <w:sz w:val="24"/>
          <w:szCs w:val="24"/>
        </w:rPr>
        <w:t>ing of native forest</w:t>
      </w:r>
      <w:r w:rsidR="009974CD" w:rsidRPr="00C03A53">
        <w:rPr>
          <w:rFonts w:ascii="Times New Roman" w:hAnsi="Times New Roman" w:cs="Times New Roman"/>
          <w:sz w:val="24"/>
          <w:szCs w:val="24"/>
        </w:rPr>
        <w:t xml:space="preserve"> </w:t>
      </w:r>
      <w:r w:rsidR="003900D3" w:rsidRPr="00C03A53">
        <w:rPr>
          <w:rFonts w:ascii="Times New Roman" w:hAnsi="Times New Roman" w:cs="Times New Roman"/>
          <w:sz w:val="24"/>
          <w:szCs w:val="24"/>
        </w:rPr>
        <w:t xml:space="preserve">or </w:t>
      </w:r>
      <w:r w:rsidR="009974CD" w:rsidRPr="00C03A53">
        <w:rPr>
          <w:rFonts w:ascii="Times New Roman" w:hAnsi="Times New Roman" w:cs="Times New Roman"/>
          <w:sz w:val="24"/>
          <w:szCs w:val="24"/>
        </w:rPr>
        <w:t>drain</w:t>
      </w:r>
      <w:r w:rsidR="003900D3" w:rsidRPr="00C03A53">
        <w:rPr>
          <w:rFonts w:ascii="Times New Roman" w:hAnsi="Times New Roman" w:cs="Times New Roman"/>
          <w:sz w:val="24"/>
          <w:szCs w:val="24"/>
        </w:rPr>
        <w:t>ing of a wetland</w:t>
      </w:r>
      <w:r w:rsidR="009974CD" w:rsidRPr="00C03A53">
        <w:rPr>
          <w:rFonts w:ascii="Times New Roman" w:hAnsi="Times New Roman" w:cs="Times New Roman"/>
          <w:sz w:val="24"/>
          <w:szCs w:val="24"/>
        </w:rPr>
        <w:t>, within 7 years of application for registration of a project (or 5 years where land ownership has changed.</w:t>
      </w:r>
    </w:p>
    <w:p w14:paraId="5CF020D9" w14:textId="7FC0F05A" w:rsidR="00972B7C" w:rsidRPr="00C03A53" w:rsidRDefault="003F08CF" w:rsidP="00475276">
      <w:pPr>
        <w:rPr>
          <w:rFonts w:ascii="Times New Roman" w:hAnsi="Times New Roman" w:cs="Times New Roman"/>
          <w:sz w:val="24"/>
          <w:szCs w:val="24"/>
        </w:rPr>
      </w:pPr>
      <w:r w:rsidRPr="00C03A53">
        <w:rPr>
          <w:rFonts w:ascii="Times New Roman" w:hAnsi="Times New Roman" w:cs="Times New Roman"/>
          <w:sz w:val="24"/>
          <w:szCs w:val="24"/>
        </w:rPr>
        <w:t xml:space="preserve">Specifying these kinds of projects as excluded offsets projects provides ongoing protection against projects having adverse impacts on biodiversity, </w:t>
      </w:r>
      <w:r w:rsidR="009974CD" w:rsidRPr="00C03A53">
        <w:rPr>
          <w:rFonts w:ascii="Times New Roman" w:hAnsi="Times New Roman" w:cs="Times New Roman"/>
          <w:sz w:val="24"/>
          <w:szCs w:val="24"/>
        </w:rPr>
        <w:t>by preventing projects that would use weed species and providing a disincentive to clear native vegetation for the purpose of conducting an ACCU project</w:t>
      </w:r>
      <w:r w:rsidR="00972B7C" w:rsidRPr="00C03A53">
        <w:rPr>
          <w:rFonts w:ascii="Times New Roman" w:hAnsi="Times New Roman" w:cs="Times New Roman"/>
          <w:sz w:val="24"/>
          <w:szCs w:val="24"/>
        </w:rPr>
        <w:t>.</w:t>
      </w:r>
    </w:p>
    <w:p w14:paraId="6A3D96AF" w14:textId="4F3BDE00" w:rsidR="00475276" w:rsidRPr="00C03A53" w:rsidRDefault="00972B7C" w:rsidP="00475276">
      <w:pPr>
        <w:rPr>
          <w:rFonts w:ascii="Times New Roman" w:hAnsi="Times New Roman" w:cs="Times New Roman"/>
          <w:sz w:val="24"/>
          <w:szCs w:val="24"/>
        </w:rPr>
      </w:pPr>
      <w:r w:rsidRPr="00C03A53">
        <w:rPr>
          <w:rFonts w:ascii="Times New Roman" w:hAnsi="Times New Roman" w:cs="Times New Roman"/>
          <w:sz w:val="24"/>
          <w:szCs w:val="24"/>
        </w:rPr>
        <w:t xml:space="preserve">The ongoing </w:t>
      </w:r>
      <w:r w:rsidR="00EF20FD" w:rsidRPr="00C03A53">
        <w:rPr>
          <w:rFonts w:ascii="Times New Roman" w:hAnsi="Times New Roman" w:cs="Times New Roman"/>
          <w:sz w:val="24"/>
          <w:szCs w:val="24"/>
        </w:rPr>
        <w:t>requirements for ACCU</w:t>
      </w:r>
      <w:r w:rsidRPr="00C03A53">
        <w:rPr>
          <w:rFonts w:ascii="Times New Roman" w:hAnsi="Times New Roman" w:cs="Times New Roman"/>
          <w:sz w:val="24"/>
          <w:szCs w:val="24"/>
        </w:rPr>
        <w:t xml:space="preserve"> projects </w:t>
      </w:r>
      <w:r w:rsidR="00EF20FD" w:rsidRPr="00C03A53">
        <w:rPr>
          <w:rFonts w:ascii="Times New Roman" w:hAnsi="Times New Roman" w:cs="Times New Roman"/>
          <w:sz w:val="24"/>
          <w:szCs w:val="24"/>
        </w:rPr>
        <w:t xml:space="preserve">to </w:t>
      </w:r>
      <w:r w:rsidRPr="00C03A53">
        <w:rPr>
          <w:rFonts w:ascii="Times New Roman" w:hAnsi="Times New Roman" w:cs="Times New Roman"/>
          <w:sz w:val="24"/>
          <w:szCs w:val="24"/>
        </w:rPr>
        <w:t xml:space="preserve">comply with </w:t>
      </w:r>
      <w:r w:rsidR="00EF20FD" w:rsidRPr="00C03A53">
        <w:rPr>
          <w:rFonts w:ascii="Times New Roman" w:hAnsi="Times New Roman" w:cs="Times New Roman"/>
          <w:sz w:val="24"/>
          <w:szCs w:val="24"/>
        </w:rPr>
        <w:t xml:space="preserve">regulations, </w:t>
      </w:r>
      <w:r w:rsidRPr="00C03A53">
        <w:rPr>
          <w:rFonts w:ascii="Times New Roman" w:hAnsi="Times New Roman" w:cs="Times New Roman"/>
          <w:sz w:val="24"/>
          <w:szCs w:val="24"/>
        </w:rPr>
        <w:t xml:space="preserve">and </w:t>
      </w:r>
      <w:r w:rsidR="00EF20FD" w:rsidRPr="00C03A53">
        <w:rPr>
          <w:rFonts w:ascii="Times New Roman" w:hAnsi="Times New Roman" w:cs="Times New Roman"/>
          <w:sz w:val="24"/>
          <w:szCs w:val="24"/>
        </w:rPr>
        <w:t xml:space="preserve">to </w:t>
      </w:r>
      <w:r w:rsidRPr="00C03A53">
        <w:rPr>
          <w:rFonts w:ascii="Times New Roman" w:hAnsi="Times New Roman" w:cs="Times New Roman"/>
          <w:sz w:val="24"/>
          <w:szCs w:val="24"/>
        </w:rPr>
        <w:t>have all necessary approvals before they can receive credits</w:t>
      </w:r>
      <w:r w:rsidR="00EF20FD" w:rsidRPr="00C03A53">
        <w:rPr>
          <w:rFonts w:ascii="Times New Roman" w:hAnsi="Times New Roman" w:cs="Times New Roman"/>
          <w:sz w:val="24"/>
          <w:szCs w:val="24"/>
        </w:rPr>
        <w:t>, also support protection of biodiversity.</w:t>
      </w:r>
    </w:p>
    <w:p w14:paraId="562964E1" w14:textId="5FE93FBB" w:rsidR="00972B7C" w:rsidRPr="00C03A53" w:rsidRDefault="00972B7C" w:rsidP="00475276">
      <w:pPr>
        <w:rPr>
          <w:rFonts w:ascii="Times New Roman" w:hAnsi="Times New Roman" w:cs="Times New Roman"/>
          <w:i/>
          <w:iCs/>
          <w:sz w:val="24"/>
          <w:szCs w:val="24"/>
        </w:rPr>
      </w:pPr>
      <w:r w:rsidRPr="00C03A53">
        <w:rPr>
          <w:rFonts w:ascii="Times New Roman" w:hAnsi="Times New Roman" w:cs="Times New Roman"/>
          <w:i/>
          <w:iCs/>
          <w:sz w:val="24"/>
          <w:szCs w:val="24"/>
        </w:rPr>
        <w:t>c)</w:t>
      </w:r>
      <w:r w:rsidRPr="00C03A53">
        <w:rPr>
          <w:rFonts w:ascii="Times New Roman" w:hAnsi="Times New Roman" w:cs="Times New Roman"/>
          <w:i/>
          <w:iCs/>
          <w:sz w:val="24"/>
          <w:szCs w:val="24"/>
        </w:rPr>
        <w:tab/>
        <w:t>Employment</w:t>
      </w:r>
    </w:p>
    <w:p w14:paraId="59733BAD" w14:textId="718B3683" w:rsidR="004C577A" w:rsidRPr="00C03A53" w:rsidRDefault="004C577A" w:rsidP="00475276">
      <w:pPr>
        <w:rPr>
          <w:rFonts w:ascii="Times New Roman" w:hAnsi="Times New Roman" w:cs="Times New Roman"/>
          <w:sz w:val="24"/>
          <w:szCs w:val="24"/>
        </w:rPr>
      </w:pPr>
      <w:r w:rsidRPr="00C03A53">
        <w:rPr>
          <w:rFonts w:ascii="Times New Roman" w:hAnsi="Times New Roman" w:cs="Times New Roman"/>
          <w:sz w:val="24"/>
          <w:szCs w:val="24"/>
        </w:rPr>
        <w:t xml:space="preserve">New </w:t>
      </w:r>
      <w:r w:rsidR="00E436CA" w:rsidRPr="00C03A53">
        <w:rPr>
          <w:rFonts w:ascii="Times New Roman" w:hAnsi="Times New Roman" w:cs="Times New Roman"/>
          <w:sz w:val="24"/>
          <w:szCs w:val="24"/>
        </w:rPr>
        <w:t>specified tree planting</w:t>
      </w:r>
      <w:r w:rsidRPr="00C03A53">
        <w:rPr>
          <w:rFonts w:ascii="Times New Roman" w:hAnsi="Times New Roman" w:cs="Times New Roman"/>
          <w:sz w:val="24"/>
          <w:szCs w:val="24"/>
        </w:rPr>
        <w:t xml:space="preserve"> ACCU projects are expected to be mainly located in Regional Forestry Hubs. The Australian Government has supported establishment of 11 Regional Forestry Hubs since 2019, in regions where forest growing, processing and transport operations are well-established and where there is good potential for industry growth. Establishing projects in these areas could provide benefits for employment in forest industries.</w:t>
      </w:r>
    </w:p>
    <w:p w14:paraId="57FFF77C" w14:textId="28CA5D27" w:rsidR="004C577A" w:rsidRPr="00C03A53" w:rsidRDefault="004C577A" w:rsidP="00475276">
      <w:pPr>
        <w:rPr>
          <w:rFonts w:ascii="Times New Roman" w:hAnsi="Times New Roman" w:cs="Times New Roman"/>
          <w:i/>
          <w:iCs/>
          <w:sz w:val="24"/>
          <w:szCs w:val="24"/>
        </w:rPr>
      </w:pPr>
      <w:r w:rsidRPr="00C03A53">
        <w:rPr>
          <w:rFonts w:ascii="Times New Roman" w:hAnsi="Times New Roman" w:cs="Times New Roman"/>
          <w:i/>
          <w:iCs/>
          <w:sz w:val="24"/>
          <w:szCs w:val="24"/>
        </w:rPr>
        <w:t>d)</w:t>
      </w:r>
      <w:r w:rsidRPr="00C03A53">
        <w:rPr>
          <w:rFonts w:ascii="Times New Roman" w:hAnsi="Times New Roman" w:cs="Times New Roman"/>
          <w:i/>
          <w:iCs/>
          <w:sz w:val="24"/>
          <w:szCs w:val="24"/>
        </w:rPr>
        <w:tab/>
        <w:t>Local community</w:t>
      </w:r>
    </w:p>
    <w:p w14:paraId="488BB4F2" w14:textId="165D9D93" w:rsidR="009974CD" w:rsidRPr="00C03A53" w:rsidRDefault="00BC5E74" w:rsidP="00475276">
      <w:pPr>
        <w:rPr>
          <w:rFonts w:ascii="Times New Roman" w:hAnsi="Times New Roman" w:cs="Times New Roman"/>
          <w:sz w:val="24"/>
          <w:szCs w:val="24"/>
        </w:rPr>
      </w:pPr>
      <w:r w:rsidRPr="00C03A53">
        <w:rPr>
          <w:rFonts w:ascii="Times New Roman" w:hAnsi="Times New Roman" w:cs="Times New Roman"/>
          <w:sz w:val="24"/>
          <w:szCs w:val="24"/>
        </w:rPr>
        <w:t>S</w:t>
      </w:r>
      <w:r w:rsidR="0034140D" w:rsidRPr="00C03A53">
        <w:rPr>
          <w:rFonts w:ascii="Times New Roman" w:hAnsi="Times New Roman" w:cs="Times New Roman"/>
          <w:sz w:val="24"/>
          <w:szCs w:val="24"/>
        </w:rPr>
        <w:t xml:space="preserve">ection 20AA of the Principal Rule </w:t>
      </w:r>
      <w:r w:rsidR="008B0CAA" w:rsidRPr="00C03A53">
        <w:rPr>
          <w:rFonts w:ascii="Times New Roman" w:hAnsi="Times New Roman" w:cs="Times New Roman"/>
          <w:sz w:val="24"/>
          <w:szCs w:val="24"/>
        </w:rPr>
        <w:t>specifies</w:t>
      </w:r>
      <w:r w:rsidRPr="00C03A53">
        <w:rPr>
          <w:rFonts w:ascii="Times New Roman" w:hAnsi="Times New Roman" w:cs="Times New Roman"/>
          <w:sz w:val="24"/>
          <w:szCs w:val="24"/>
        </w:rPr>
        <w:t xml:space="preserve"> projects that involve </w:t>
      </w:r>
      <w:r w:rsidR="0034140D" w:rsidRPr="00C03A53">
        <w:rPr>
          <w:rFonts w:ascii="Times New Roman" w:hAnsi="Times New Roman" w:cs="Times New Roman"/>
          <w:sz w:val="24"/>
          <w:szCs w:val="24"/>
        </w:rPr>
        <w:t>establishing a forest under a specific forestry managed investment scheme</w:t>
      </w:r>
      <w:r w:rsidR="008B0CAA" w:rsidRPr="00C03A53">
        <w:rPr>
          <w:rFonts w:ascii="Times New Roman" w:hAnsi="Times New Roman" w:cs="Times New Roman"/>
          <w:sz w:val="24"/>
          <w:szCs w:val="24"/>
        </w:rPr>
        <w:t xml:space="preserve"> as excluded offsets projects</w:t>
      </w:r>
      <w:r w:rsidRPr="00C03A53">
        <w:rPr>
          <w:rFonts w:ascii="Times New Roman" w:hAnsi="Times New Roman" w:cs="Times New Roman"/>
          <w:sz w:val="24"/>
          <w:szCs w:val="24"/>
        </w:rPr>
        <w:t>.</w:t>
      </w:r>
      <w:r w:rsidR="0034140D" w:rsidRPr="00C03A53">
        <w:rPr>
          <w:rFonts w:ascii="Times New Roman" w:hAnsi="Times New Roman" w:cs="Times New Roman"/>
          <w:sz w:val="24"/>
          <w:szCs w:val="24"/>
        </w:rPr>
        <w:t xml:space="preserve"> </w:t>
      </w:r>
      <w:r w:rsidRPr="00C03A53">
        <w:rPr>
          <w:rFonts w:ascii="Times New Roman" w:hAnsi="Times New Roman" w:cs="Times New Roman"/>
          <w:sz w:val="24"/>
          <w:szCs w:val="24"/>
        </w:rPr>
        <w:t>This</w:t>
      </w:r>
      <w:r w:rsidR="009974CD" w:rsidRPr="00C03A53">
        <w:rPr>
          <w:rFonts w:ascii="Times New Roman" w:hAnsi="Times New Roman" w:cs="Times New Roman"/>
          <w:sz w:val="24"/>
          <w:szCs w:val="24"/>
        </w:rPr>
        <w:t xml:space="preserve"> </w:t>
      </w:r>
      <w:r w:rsidR="001F45F0" w:rsidRPr="00C03A53">
        <w:rPr>
          <w:rFonts w:ascii="Times New Roman" w:hAnsi="Times New Roman" w:cs="Times New Roman"/>
          <w:sz w:val="24"/>
          <w:szCs w:val="24"/>
        </w:rPr>
        <w:t xml:space="preserve">ongoing exclusion </w:t>
      </w:r>
      <w:r w:rsidR="009974CD" w:rsidRPr="00C03A53">
        <w:rPr>
          <w:rFonts w:ascii="Times New Roman" w:hAnsi="Times New Roman" w:cs="Times New Roman"/>
          <w:sz w:val="24"/>
          <w:szCs w:val="24"/>
        </w:rPr>
        <w:t xml:space="preserve">ensures the additive effect of forestry managed investment scheme taxation incentives and the </w:t>
      </w:r>
      <w:r w:rsidR="005B2960" w:rsidRPr="00C03A53">
        <w:rPr>
          <w:rFonts w:ascii="Times New Roman" w:hAnsi="Times New Roman" w:cs="Times New Roman"/>
          <w:sz w:val="24"/>
          <w:szCs w:val="24"/>
        </w:rPr>
        <w:t>ACCU</w:t>
      </w:r>
      <w:r w:rsidR="009974CD" w:rsidRPr="00C03A53">
        <w:rPr>
          <w:rFonts w:ascii="Times New Roman" w:hAnsi="Times New Roman" w:cs="Times New Roman"/>
          <w:sz w:val="24"/>
          <w:szCs w:val="24"/>
        </w:rPr>
        <w:t xml:space="preserve"> scheme does not have adverse impacts </w:t>
      </w:r>
      <w:r w:rsidR="005B2960" w:rsidRPr="00C03A53">
        <w:rPr>
          <w:rFonts w:ascii="Times New Roman" w:hAnsi="Times New Roman" w:cs="Times New Roman"/>
          <w:sz w:val="24"/>
          <w:szCs w:val="24"/>
        </w:rPr>
        <w:t xml:space="preserve">on </w:t>
      </w:r>
      <w:r w:rsidR="009974CD" w:rsidRPr="00C03A53">
        <w:rPr>
          <w:rFonts w:ascii="Times New Roman" w:hAnsi="Times New Roman" w:cs="Times New Roman"/>
          <w:sz w:val="24"/>
          <w:szCs w:val="24"/>
        </w:rPr>
        <w:t>communities.</w:t>
      </w:r>
    </w:p>
    <w:p w14:paraId="302D3BD6" w14:textId="47EE761A" w:rsidR="005B2960" w:rsidRPr="00C03A53" w:rsidRDefault="005B2960" w:rsidP="00475276">
      <w:pPr>
        <w:rPr>
          <w:rFonts w:ascii="Times New Roman" w:hAnsi="Times New Roman" w:cs="Times New Roman"/>
          <w:sz w:val="24"/>
          <w:szCs w:val="24"/>
        </w:rPr>
      </w:pPr>
      <w:r w:rsidRPr="00C03A53">
        <w:rPr>
          <w:rFonts w:ascii="Times New Roman" w:hAnsi="Times New Roman" w:cs="Times New Roman"/>
          <w:sz w:val="24"/>
          <w:szCs w:val="24"/>
        </w:rPr>
        <w:t>The expected establishment of plantation forestry projects mainly in Regional Forestry Hubs could also provide benefits for communities associated with forest industries in these regions.</w:t>
      </w:r>
    </w:p>
    <w:p w14:paraId="0A1B3AAF" w14:textId="7B08CDFD" w:rsidR="0034140D" w:rsidRPr="00C03A53" w:rsidRDefault="0034140D" w:rsidP="00475276">
      <w:pPr>
        <w:rPr>
          <w:rFonts w:ascii="Times New Roman" w:hAnsi="Times New Roman" w:cs="Times New Roman"/>
          <w:i/>
          <w:iCs/>
          <w:sz w:val="24"/>
          <w:szCs w:val="24"/>
        </w:rPr>
      </w:pPr>
      <w:r w:rsidRPr="00C03A53">
        <w:rPr>
          <w:rFonts w:ascii="Times New Roman" w:hAnsi="Times New Roman" w:cs="Times New Roman"/>
          <w:i/>
          <w:iCs/>
          <w:sz w:val="24"/>
          <w:szCs w:val="24"/>
        </w:rPr>
        <w:t>e)</w:t>
      </w:r>
      <w:r w:rsidRPr="00C03A53">
        <w:rPr>
          <w:rFonts w:ascii="Times New Roman" w:hAnsi="Times New Roman" w:cs="Times New Roman"/>
          <w:i/>
          <w:iCs/>
          <w:sz w:val="24"/>
          <w:szCs w:val="24"/>
        </w:rPr>
        <w:tab/>
        <w:t>Land access for agricultural production</w:t>
      </w:r>
    </w:p>
    <w:p w14:paraId="3DABB15B" w14:textId="77383CDB" w:rsidR="00152374" w:rsidRPr="00C03A53" w:rsidRDefault="008B0CAA" w:rsidP="00475276">
      <w:pPr>
        <w:rPr>
          <w:rFonts w:ascii="Times New Roman" w:hAnsi="Times New Roman" w:cs="Times New Roman"/>
          <w:sz w:val="24"/>
          <w:szCs w:val="24"/>
        </w:rPr>
      </w:pPr>
      <w:r w:rsidRPr="00C03A53">
        <w:rPr>
          <w:rFonts w:ascii="Times New Roman" w:hAnsi="Times New Roman" w:cs="Times New Roman"/>
          <w:sz w:val="24"/>
          <w:szCs w:val="24"/>
        </w:rPr>
        <w:t>Section 20B of the Principal Rule specifies projects that involve the establishment of a new plantation forest as an excluded offsets project in certain circumstances where the Agriculture Minister considers the project would have an undesirable impact on agricultural production in the region.</w:t>
      </w:r>
      <w:r w:rsidR="00152374" w:rsidRPr="00C03A53">
        <w:rPr>
          <w:rFonts w:ascii="Times New Roman" w:hAnsi="Times New Roman" w:cs="Times New Roman"/>
          <w:sz w:val="24"/>
          <w:szCs w:val="24"/>
        </w:rPr>
        <w:t xml:space="preserve"> This ongoing exclusion ensures that potential adverse impacts of plantation forestry projects on land access for agricultural production </w:t>
      </w:r>
      <w:r w:rsidR="00F162FC" w:rsidRPr="00C03A53">
        <w:rPr>
          <w:rFonts w:ascii="Times New Roman" w:hAnsi="Times New Roman" w:cs="Times New Roman"/>
          <w:sz w:val="24"/>
          <w:szCs w:val="24"/>
        </w:rPr>
        <w:t xml:space="preserve">is considered before a new eligible offsets project can be declared under section 27 of the Act. </w:t>
      </w:r>
    </w:p>
    <w:p w14:paraId="63A48ACC" w14:textId="77777777" w:rsidR="008B0CAA" w:rsidRPr="00C03A53" w:rsidRDefault="008B0CAA" w:rsidP="00475276">
      <w:pPr>
        <w:rPr>
          <w:rFonts w:ascii="Times New Roman" w:hAnsi="Times New Roman" w:cs="Times New Roman"/>
          <w:sz w:val="24"/>
          <w:szCs w:val="24"/>
        </w:rPr>
      </w:pPr>
      <w:r w:rsidRPr="00C03A53">
        <w:rPr>
          <w:rFonts w:ascii="Times New Roman" w:hAnsi="Times New Roman" w:cs="Times New Roman"/>
          <w:sz w:val="24"/>
          <w:szCs w:val="24"/>
        </w:rPr>
        <w:t>The exclusion on projects with forests established under a managed investment scheme also provides protection against adverse impacts on land access for agricultural production.</w:t>
      </w:r>
    </w:p>
    <w:p w14:paraId="15871C0A" w14:textId="77777777" w:rsidR="00226903" w:rsidRPr="00C03A53" w:rsidRDefault="00226903" w:rsidP="00475276">
      <w:pPr>
        <w:rPr>
          <w:rFonts w:ascii="Times New Roman" w:hAnsi="Times New Roman" w:cs="Times New Roman"/>
          <w:i/>
          <w:iCs/>
          <w:sz w:val="24"/>
          <w:szCs w:val="24"/>
        </w:rPr>
      </w:pPr>
      <w:r w:rsidRPr="00C03A53">
        <w:rPr>
          <w:rFonts w:ascii="Times New Roman" w:hAnsi="Times New Roman" w:cs="Times New Roman"/>
          <w:i/>
          <w:iCs/>
          <w:sz w:val="24"/>
          <w:szCs w:val="24"/>
        </w:rPr>
        <w:t>Conclusion</w:t>
      </w:r>
    </w:p>
    <w:p w14:paraId="6EBE02EC" w14:textId="3903103E" w:rsidR="00226903" w:rsidRPr="00C03A53" w:rsidRDefault="00226903" w:rsidP="00475276">
      <w:pPr>
        <w:rPr>
          <w:rFonts w:ascii="Times New Roman" w:hAnsi="Times New Roman" w:cs="Times New Roman"/>
          <w:b/>
          <w:sz w:val="24"/>
          <w:szCs w:val="24"/>
        </w:rPr>
      </w:pPr>
      <w:r w:rsidRPr="00C03A53">
        <w:rPr>
          <w:rFonts w:ascii="Times New Roman" w:hAnsi="Times New Roman" w:cs="Times New Roman"/>
          <w:sz w:val="24"/>
          <w:szCs w:val="24"/>
        </w:rPr>
        <w:lastRenderedPageBreak/>
        <w:t xml:space="preserve">For the reasons set out above, the Minister considered that the kind of project covered by section 20AB is unlikely to have a material adverse impact on the availability of water, the conservation of biodiversity, employment, the local </w:t>
      </w:r>
      <w:r w:rsidR="00C41B1B" w:rsidRPr="00C03A53">
        <w:rPr>
          <w:rFonts w:ascii="Times New Roman" w:hAnsi="Times New Roman" w:cs="Times New Roman"/>
          <w:sz w:val="24"/>
          <w:szCs w:val="24"/>
        </w:rPr>
        <w:t>community,</w:t>
      </w:r>
      <w:r w:rsidRPr="00C03A53">
        <w:rPr>
          <w:rFonts w:ascii="Times New Roman" w:hAnsi="Times New Roman" w:cs="Times New Roman"/>
          <w:sz w:val="24"/>
          <w:szCs w:val="24"/>
        </w:rPr>
        <w:t xml:space="preserve"> or land access for agricultural production – and therefore should not be specified as an excluded offsets project. The Minister therefore considered that it was appropriate to remove section 20AB from the Principal Rule</w:t>
      </w:r>
      <w:r w:rsidR="00E54FFD" w:rsidRPr="00C03A53">
        <w:rPr>
          <w:rFonts w:ascii="Times New Roman" w:hAnsi="Times New Roman" w:cs="Times New Roman"/>
          <w:sz w:val="24"/>
          <w:szCs w:val="24"/>
        </w:rPr>
        <w:t>, and to allow these projects to be declared eligible offsets projects, but not to commence, before it is removed</w:t>
      </w:r>
      <w:r w:rsidRPr="00C03A53">
        <w:rPr>
          <w:rFonts w:ascii="Times New Roman" w:hAnsi="Times New Roman" w:cs="Times New Roman"/>
          <w:sz w:val="24"/>
          <w:szCs w:val="24"/>
        </w:rPr>
        <w:t>.</w:t>
      </w:r>
    </w:p>
    <w:p w14:paraId="692BF2CB" w14:textId="7E506EF7" w:rsidR="005E7E92" w:rsidRPr="00C03A53" w:rsidRDefault="005E7E92" w:rsidP="00475276">
      <w:pPr>
        <w:rPr>
          <w:rFonts w:ascii="Times New Roman" w:hAnsi="Times New Roman" w:cs="Times New Roman"/>
          <w:b/>
          <w:sz w:val="24"/>
          <w:szCs w:val="24"/>
        </w:rPr>
      </w:pPr>
      <w:r w:rsidRPr="00C03A53">
        <w:rPr>
          <w:rFonts w:ascii="Times New Roman" w:hAnsi="Times New Roman" w:cs="Times New Roman"/>
          <w:b/>
          <w:sz w:val="24"/>
          <w:szCs w:val="24"/>
        </w:rPr>
        <w:t>Consultation</w:t>
      </w:r>
    </w:p>
    <w:p w14:paraId="26D970FC" w14:textId="77777777" w:rsidR="008B0CAA" w:rsidRPr="00C03A53" w:rsidRDefault="008B0CAA" w:rsidP="00475276">
      <w:pPr>
        <w:pStyle w:val="base-text-paragraphnonumbers"/>
        <w:spacing w:before="0" w:after="160" w:line="259" w:lineRule="auto"/>
        <w:ind w:left="0"/>
        <w:rPr>
          <w:sz w:val="24"/>
          <w:szCs w:val="24"/>
        </w:rPr>
      </w:pPr>
      <w:r w:rsidRPr="00C03A53">
        <w:rPr>
          <w:sz w:val="24"/>
          <w:szCs w:val="24"/>
        </w:rPr>
        <w:t xml:space="preserve">Public consultation on the proposed repeal of section 20AB of the Principal Rule was undertaken from 4 October 2022 to 15 November 2022. Twenty submissions were received in response to the consultation paper. </w:t>
      </w:r>
    </w:p>
    <w:p w14:paraId="7C049F7A" w14:textId="2726D097" w:rsidR="005E7E92" w:rsidRPr="00C03A53" w:rsidRDefault="005E7E92" w:rsidP="00475276">
      <w:pPr>
        <w:pStyle w:val="base-text-paragraphnonumbers"/>
        <w:spacing w:before="0" w:after="160" w:line="259" w:lineRule="auto"/>
        <w:ind w:left="0"/>
        <w:rPr>
          <w:sz w:val="24"/>
          <w:szCs w:val="24"/>
        </w:rPr>
      </w:pPr>
      <w:r w:rsidRPr="00C03A53">
        <w:rPr>
          <w:sz w:val="24"/>
          <w:szCs w:val="24"/>
        </w:rPr>
        <w:t xml:space="preserve">The Minister for Climate Change and Energy wrote to state and territory government water and agriculture ministers to invite their comments on the proposed amendment. </w:t>
      </w:r>
      <w:r w:rsidR="00475276" w:rsidRPr="00C03A53">
        <w:rPr>
          <w:sz w:val="24"/>
          <w:szCs w:val="24"/>
        </w:rPr>
        <w:br/>
      </w:r>
      <w:r w:rsidRPr="00C03A53">
        <w:rPr>
          <w:sz w:val="24"/>
          <w:szCs w:val="24"/>
        </w:rPr>
        <w:t xml:space="preserve">The </w:t>
      </w:r>
      <w:r w:rsidR="008B4356" w:rsidRPr="00C03A53">
        <w:rPr>
          <w:sz w:val="24"/>
          <w:szCs w:val="24"/>
        </w:rPr>
        <w:t>d</w:t>
      </w:r>
      <w:r w:rsidRPr="00C03A53">
        <w:rPr>
          <w:sz w:val="24"/>
          <w:szCs w:val="24"/>
        </w:rPr>
        <w:t xml:space="preserve">epartment </w:t>
      </w:r>
      <w:r w:rsidR="008A3147" w:rsidRPr="00C03A53">
        <w:rPr>
          <w:sz w:val="24"/>
          <w:szCs w:val="24"/>
        </w:rPr>
        <w:t>discussed the proposal</w:t>
      </w:r>
      <w:r w:rsidRPr="00C03A53">
        <w:rPr>
          <w:sz w:val="24"/>
          <w:szCs w:val="24"/>
        </w:rPr>
        <w:t xml:space="preserve"> with </w:t>
      </w:r>
      <w:r w:rsidR="008A3147" w:rsidRPr="00C03A53">
        <w:rPr>
          <w:sz w:val="24"/>
          <w:szCs w:val="24"/>
        </w:rPr>
        <w:t xml:space="preserve">relevant </w:t>
      </w:r>
      <w:r w:rsidRPr="00C03A53">
        <w:rPr>
          <w:sz w:val="24"/>
          <w:szCs w:val="24"/>
        </w:rPr>
        <w:t xml:space="preserve">state and territory agencies. </w:t>
      </w:r>
    </w:p>
    <w:p w14:paraId="4A4295F5" w14:textId="66BE60EA" w:rsidR="00A511E9" w:rsidRPr="00C03A53" w:rsidRDefault="007B098C" w:rsidP="00475276">
      <w:pPr>
        <w:pStyle w:val="base-text-paragraphnonumbers"/>
        <w:spacing w:before="0" w:after="160" w:line="259" w:lineRule="auto"/>
        <w:ind w:left="0"/>
        <w:rPr>
          <w:sz w:val="24"/>
          <w:szCs w:val="24"/>
        </w:rPr>
      </w:pPr>
      <w:r w:rsidRPr="00C03A53">
        <w:rPr>
          <w:sz w:val="24"/>
          <w:szCs w:val="24"/>
        </w:rPr>
        <w:t xml:space="preserve">Submissions were received both in support of and opposing the proposed amendments. </w:t>
      </w:r>
      <w:r w:rsidR="008B0CAA" w:rsidRPr="00C03A53">
        <w:rPr>
          <w:sz w:val="24"/>
          <w:szCs w:val="24"/>
        </w:rPr>
        <w:br/>
      </w:r>
      <w:r w:rsidRPr="00C03A53">
        <w:rPr>
          <w:sz w:val="24"/>
          <w:szCs w:val="24"/>
        </w:rPr>
        <w:t>The majority supported the proposed amendments.</w:t>
      </w:r>
      <w:r w:rsidR="0054612E" w:rsidRPr="00C03A53">
        <w:rPr>
          <w:sz w:val="24"/>
          <w:szCs w:val="24"/>
        </w:rPr>
        <w:t xml:space="preserve"> </w:t>
      </w:r>
      <w:r w:rsidR="00A511E9" w:rsidRPr="00C03A53">
        <w:rPr>
          <w:sz w:val="24"/>
          <w:szCs w:val="24"/>
        </w:rPr>
        <w:t xml:space="preserve">The commencement date </w:t>
      </w:r>
      <w:r w:rsidR="00CC7ACB" w:rsidRPr="00C03A53">
        <w:rPr>
          <w:sz w:val="24"/>
          <w:szCs w:val="24"/>
        </w:rPr>
        <w:t>1 June 2024 for repeal of section 20AB</w:t>
      </w:r>
      <w:r w:rsidR="00A511E9" w:rsidRPr="00C03A53">
        <w:rPr>
          <w:sz w:val="24"/>
          <w:szCs w:val="24"/>
        </w:rPr>
        <w:t>was adopted i</w:t>
      </w:r>
      <w:r w:rsidR="0004740C" w:rsidRPr="00C03A53">
        <w:rPr>
          <w:sz w:val="24"/>
          <w:szCs w:val="24"/>
        </w:rPr>
        <w:t xml:space="preserve">n light of comments received in relation to </w:t>
      </w:r>
      <w:r w:rsidR="004211FF" w:rsidRPr="00C03A53">
        <w:rPr>
          <w:sz w:val="24"/>
          <w:szCs w:val="24"/>
        </w:rPr>
        <w:t xml:space="preserve">the ongoing need to </w:t>
      </w:r>
      <w:r w:rsidR="0004740C" w:rsidRPr="00C03A53">
        <w:rPr>
          <w:sz w:val="24"/>
          <w:szCs w:val="24"/>
        </w:rPr>
        <w:t>manag</w:t>
      </w:r>
      <w:r w:rsidR="004211FF" w:rsidRPr="00C03A53">
        <w:rPr>
          <w:sz w:val="24"/>
          <w:szCs w:val="24"/>
        </w:rPr>
        <w:t>e</w:t>
      </w:r>
      <w:r w:rsidR="0004740C" w:rsidRPr="00C03A53">
        <w:rPr>
          <w:sz w:val="24"/>
          <w:szCs w:val="24"/>
        </w:rPr>
        <w:t xml:space="preserve"> impacts </w:t>
      </w:r>
      <w:r w:rsidR="004211FF" w:rsidRPr="00C03A53">
        <w:rPr>
          <w:sz w:val="24"/>
          <w:szCs w:val="24"/>
        </w:rPr>
        <w:t xml:space="preserve">plantations </w:t>
      </w:r>
      <w:r w:rsidR="0004740C" w:rsidRPr="00C03A53">
        <w:rPr>
          <w:sz w:val="24"/>
          <w:szCs w:val="24"/>
        </w:rPr>
        <w:t xml:space="preserve">on water availability. </w:t>
      </w:r>
      <w:r w:rsidR="00475276" w:rsidRPr="00C03A53">
        <w:rPr>
          <w:sz w:val="24"/>
          <w:szCs w:val="24"/>
        </w:rPr>
        <w:br/>
      </w:r>
      <w:r w:rsidR="0004740C" w:rsidRPr="00C03A53">
        <w:rPr>
          <w:sz w:val="24"/>
          <w:szCs w:val="24"/>
        </w:rPr>
        <w:t>Th</w:t>
      </w:r>
      <w:r w:rsidR="00A511E9" w:rsidRPr="00C03A53">
        <w:rPr>
          <w:sz w:val="24"/>
          <w:szCs w:val="24"/>
        </w:rPr>
        <w:t>e commencement date</w:t>
      </w:r>
      <w:r w:rsidR="0004740C" w:rsidRPr="00C03A53">
        <w:rPr>
          <w:sz w:val="24"/>
          <w:szCs w:val="24"/>
        </w:rPr>
        <w:t xml:space="preserve"> takes into account timing of renewal of the NWI, and implementation by state and territory governments, while maintaining the policy intent of the proposed amendments.</w:t>
      </w:r>
    </w:p>
    <w:p w14:paraId="5866FEDC" w14:textId="77777777" w:rsidR="005E7E92" w:rsidRPr="00C03A53" w:rsidRDefault="005E7E92" w:rsidP="00475276">
      <w:pPr>
        <w:pStyle w:val="base-text-paragraphnonumbers"/>
        <w:spacing w:before="0" w:after="160" w:line="259" w:lineRule="auto"/>
        <w:ind w:left="0"/>
        <w:rPr>
          <w:b/>
          <w:sz w:val="24"/>
          <w:szCs w:val="24"/>
        </w:rPr>
      </w:pPr>
      <w:r w:rsidRPr="00C03A53">
        <w:rPr>
          <w:b/>
          <w:sz w:val="24"/>
          <w:szCs w:val="24"/>
        </w:rPr>
        <w:t>Regulatory Impact</w:t>
      </w:r>
    </w:p>
    <w:p w14:paraId="024C1B5D" w14:textId="3C09B6FA" w:rsidR="005E7E92" w:rsidRPr="00C03A53" w:rsidRDefault="005E7E92" w:rsidP="00475276">
      <w:pPr>
        <w:rPr>
          <w:rFonts w:ascii="Times New Roman" w:hAnsi="Times New Roman" w:cs="Times New Roman"/>
          <w:sz w:val="24"/>
          <w:szCs w:val="24"/>
        </w:rPr>
      </w:pPr>
      <w:r w:rsidRPr="00C03A53">
        <w:rPr>
          <w:rFonts w:ascii="Times New Roman" w:hAnsi="Times New Roman" w:cs="Times New Roman"/>
          <w:sz w:val="24"/>
          <w:szCs w:val="24"/>
        </w:rPr>
        <w:t xml:space="preserve">The </w:t>
      </w:r>
      <w:r w:rsidR="008B4356" w:rsidRPr="00C03A53">
        <w:rPr>
          <w:rFonts w:ascii="Times New Roman" w:hAnsi="Times New Roman" w:cs="Times New Roman"/>
          <w:sz w:val="24"/>
          <w:szCs w:val="24"/>
        </w:rPr>
        <w:t>d</w:t>
      </w:r>
      <w:r w:rsidRPr="00C03A53">
        <w:rPr>
          <w:rFonts w:ascii="Times New Roman" w:hAnsi="Times New Roman" w:cs="Times New Roman"/>
          <w:sz w:val="24"/>
          <w:szCs w:val="24"/>
        </w:rPr>
        <w:t xml:space="preserve">epartment consulted the Office of </w:t>
      </w:r>
      <w:r w:rsidR="008A3147" w:rsidRPr="00C03A53">
        <w:rPr>
          <w:rFonts w:ascii="Times New Roman" w:hAnsi="Times New Roman" w:cs="Times New Roman"/>
          <w:sz w:val="24"/>
          <w:szCs w:val="24"/>
        </w:rPr>
        <w:t>Impact Assessment</w:t>
      </w:r>
      <w:r w:rsidRPr="00C03A53">
        <w:rPr>
          <w:rFonts w:ascii="Times New Roman" w:hAnsi="Times New Roman" w:cs="Times New Roman"/>
          <w:sz w:val="24"/>
          <w:szCs w:val="24"/>
        </w:rPr>
        <w:t xml:space="preserve"> on the need for a Regulation Impact Statement (RIS). </w:t>
      </w:r>
      <w:r w:rsidR="00920C94" w:rsidRPr="00C03A53">
        <w:rPr>
          <w:rFonts w:ascii="Times New Roman" w:hAnsi="Times New Roman" w:cs="Times New Roman"/>
          <w:sz w:val="24"/>
          <w:szCs w:val="24"/>
        </w:rPr>
        <w:t xml:space="preserve">The </w:t>
      </w:r>
      <w:r w:rsidR="008B0CAA" w:rsidRPr="00C03A53">
        <w:rPr>
          <w:rFonts w:ascii="Times New Roman" w:hAnsi="Times New Roman" w:cs="Times New Roman"/>
          <w:sz w:val="24"/>
          <w:szCs w:val="24"/>
        </w:rPr>
        <w:t>o</w:t>
      </w:r>
      <w:r w:rsidR="00920C94" w:rsidRPr="00C03A53">
        <w:rPr>
          <w:rFonts w:ascii="Times New Roman" w:hAnsi="Times New Roman" w:cs="Times New Roman"/>
          <w:sz w:val="24"/>
          <w:szCs w:val="24"/>
        </w:rPr>
        <w:t>ffice</w:t>
      </w:r>
      <w:r w:rsidRPr="00C03A53">
        <w:rPr>
          <w:rFonts w:ascii="Times New Roman" w:hAnsi="Times New Roman" w:cs="Times New Roman"/>
          <w:sz w:val="24"/>
          <w:szCs w:val="24"/>
        </w:rPr>
        <w:t xml:space="preserve"> advised that a RIS was not required (ref ID OBPR22-02661).</w:t>
      </w:r>
    </w:p>
    <w:p w14:paraId="4983353E" w14:textId="77777777" w:rsidR="008B0CAA" w:rsidRPr="00C03A53" w:rsidRDefault="008B0CAA" w:rsidP="00475276">
      <w:pPr>
        <w:rPr>
          <w:rFonts w:ascii="Times New Roman" w:hAnsi="Times New Roman" w:cs="Times New Roman"/>
          <w:b/>
          <w:bCs/>
          <w:sz w:val="24"/>
          <w:szCs w:val="24"/>
        </w:rPr>
      </w:pPr>
      <w:r w:rsidRPr="00C03A53">
        <w:rPr>
          <w:rFonts w:ascii="Times New Roman" w:hAnsi="Times New Roman" w:cs="Times New Roman"/>
          <w:b/>
          <w:bCs/>
          <w:sz w:val="24"/>
          <w:szCs w:val="24"/>
        </w:rPr>
        <w:t>Details and Operation</w:t>
      </w:r>
    </w:p>
    <w:p w14:paraId="499E6882" w14:textId="77777777" w:rsidR="008B0CAA" w:rsidRPr="00C03A53" w:rsidRDefault="008B0CAA" w:rsidP="00475276">
      <w:pPr>
        <w:shd w:val="clear" w:color="auto" w:fill="FFFFFF"/>
        <w:rPr>
          <w:rFonts w:ascii="Times New Roman" w:eastAsia="Times New Roman" w:hAnsi="Times New Roman" w:cs="Times New Roman"/>
          <w:sz w:val="24"/>
          <w:szCs w:val="20"/>
        </w:rPr>
      </w:pPr>
      <w:r w:rsidRPr="00C03A53">
        <w:rPr>
          <w:rFonts w:ascii="Times New Roman" w:eastAsia="Times New Roman" w:hAnsi="Times New Roman" w:cs="Times New Roman"/>
          <w:sz w:val="24"/>
          <w:szCs w:val="20"/>
        </w:rPr>
        <w:t xml:space="preserve">Details of the Amendment Rule are set out in </w:t>
      </w:r>
      <w:r w:rsidRPr="00C03A53">
        <w:rPr>
          <w:rFonts w:ascii="Times New Roman" w:eastAsia="Times New Roman" w:hAnsi="Times New Roman" w:cs="Times New Roman"/>
          <w:sz w:val="24"/>
          <w:szCs w:val="20"/>
          <w:u w:val="single"/>
        </w:rPr>
        <w:t>Attachment A</w:t>
      </w:r>
      <w:r w:rsidRPr="00C03A53">
        <w:rPr>
          <w:rFonts w:ascii="Times New Roman" w:eastAsia="Times New Roman" w:hAnsi="Times New Roman" w:cs="Times New Roman"/>
          <w:sz w:val="24"/>
          <w:szCs w:val="20"/>
        </w:rPr>
        <w:t>.</w:t>
      </w:r>
    </w:p>
    <w:p w14:paraId="5D1C2D06" w14:textId="4A32F960" w:rsidR="008B0CAA" w:rsidRPr="00C03A53" w:rsidRDefault="00E54FFD" w:rsidP="00475276">
      <w:pPr>
        <w:tabs>
          <w:tab w:val="left" w:pos="1134"/>
          <w:tab w:val="left" w:pos="1701"/>
          <w:tab w:val="right" w:pos="9072"/>
        </w:tabs>
        <w:rPr>
          <w:rFonts w:ascii="Times New Roman" w:hAnsi="Times New Roman" w:cs="Times New Roman"/>
          <w:sz w:val="24"/>
          <w:szCs w:val="24"/>
          <w:lang w:val="en-US"/>
        </w:rPr>
      </w:pPr>
      <w:r w:rsidRPr="00C03A53">
        <w:rPr>
          <w:rFonts w:ascii="Times New Roman" w:hAnsi="Times New Roman" w:cs="Times New Roman"/>
          <w:sz w:val="24"/>
          <w:szCs w:val="24"/>
          <w:lang w:val="en-US"/>
        </w:rPr>
        <w:t>Schedule 1 of t</w:t>
      </w:r>
      <w:r w:rsidR="008B0CAA" w:rsidRPr="00C03A53">
        <w:rPr>
          <w:rFonts w:ascii="Times New Roman" w:hAnsi="Times New Roman" w:cs="Times New Roman"/>
          <w:sz w:val="24"/>
          <w:szCs w:val="24"/>
          <w:lang w:val="en-US"/>
        </w:rPr>
        <w:t xml:space="preserve">he Amendment Rule commences on the day after </w:t>
      </w:r>
      <w:r w:rsidR="009A6C9D" w:rsidRPr="00C03A53">
        <w:rPr>
          <w:rFonts w:ascii="Times New Roman" w:hAnsi="Times New Roman" w:cs="Times New Roman"/>
          <w:sz w:val="24"/>
          <w:szCs w:val="24"/>
          <w:lang w:val="en-US"/>
        </w:rPr>
        <w:t>it is</w:t>
      </w:r>
      <w:r w:rsidR="008B0CAA" w:rsidRPr="00C03A53">
        <w:rPr>
          <w:rFonts w:ascii="Times New Roman" w:hAnsi="Times New Roman" w:cs="Times New Roman"/>
          <w:sz w:val="24"/>
          <w:szCs w:val="24"/>
          <w:lang w:val="en-US"/>
        </w:rPr>
        <w:t xml:space="preserve"> registered.</w:t>
      </w:r>
      <w:r w:rsidRPr="00C03A53">
        <w:rPr>
          <w:rFonts w:ascii="Times New Roman" w:hAnsi="Times New Roman" w:cs="Times New Roman"/>
          <w:sz w:val="24"/>
          <w:szCs w:val="24"/>
          <w:lang w:val="en-US"/>
        </w:rPr>
        <w:t xml:space="preserve"> Schedule 2 of the Amendment Rule commences on </w:t>
      </w:r>
      <w:r w:rsidR="00CC7ACB" w:rsidRPr="00C03A53">
        <w:rPr>
          <w:rFonts w:ascii="Times New Roman" w:hAnsi="Times New Roman" w:cs="Times New Roman"/>
          <w:sz w:val="24"/>
          <w:szCs w:val="24"/>
          <w:lang w:val="en-US"/>
        </w:rPr>
        <w:t>1 June 2024</w:t>
      </w:r>
      <w:r w:rsidRPr="00C03A53">
        <w:rPr>
          <w:rFonts w:ascii="Times New Roman" w:hAnsi="Times New Roman" w:cs="Times New Roman"/>
          <w:sz w:val="24"/>
          <w:szCs w:val="24"/>
          <w:lang w:val="en-US"/>
        </w:rPr>
        <w:t xml:space="preserve">. </w:t>
      </w:r>
    </w:p>
    <w:p w14:paraId="1CF82B4E" w14:textId="77777777" w:rsidR="008B0CAA" w:rsidRPr="00C03A53" w:rsidRDefault="008B0CAA" w:rsidP="00475276">
      <w:pPr>
        <w:rPr>
          <w:rFonts w:ascii="Times New Roman" w:hAnsi="Times New Roman" w:cs="Times New Roman"/>
          <w:b/>
          <w:bCs/>
          <w:sz w:val="24"/>
          <w:szCs w:val="24"/>
        </w:rPr>
      </w:pPr>
      <w:r w:rsidRPr="00C03A53">
        <w:rPr>
          <w:rFonts w:ascii="Times New Roman" w:hAnsi="Times New Roman" w:cs="Times New Roman"/>
          <w:b/>
          <w:bCs/>
          <w:sz w:val="24"/>
          <w:szCs w:val="24"/>
        </w:rPr>
        <w:t>Other</w:t>
      </w:r>
    </w:p>
    <w:p w14:paraId="1DF0D020" w14:textId="77777777" w:rsidR="008B0CAA" w:rsidRPr="00C03A53" w:rsidRDefault="008B0CAA" w:rsidP="00475276">
      <w:pPr>
        <w:rPr>
          <w:rFonts w:ascii="Times New Roman" w:hAnsi="Times New Roman" w:cs="Times New Roman"/>
          <w:sz w:val="24"/>
          <w:szCs w:val="24"/>
          <w:lang w:val="en-US"/>
        </w:rPr>
      </w:pPr>
      <w:r w:rsidRPr="00C03A53">
        <w:rPr>
          <w:rFonts w:ascii="Times New Roman" w:hAnsi="Times New Roman" w:cs="Times New Roman"/>
          <w:sz w:val="24"/>
          <w:szCs w:val="24"/>
          <w:lang w:val="en-US"/>
        </w:rPr>
        <w:t xml:space="preserve">The Amendment Rule is a legislative instrument for the purposes of the </w:t>
      </w:r>
      <w:r w:rsidRPr="00C03A53">
        <w:rPr>
          <w:rFonts w:ascii="Times New Roman" w:hAnsi="Times New Roman" w:cs="Times New Roman"/>
          <w:i/>
          <w:iCs/>
          <w:sz w:val="24"/>
          <w:szCs w:val="24"/>
          <w:lang w:val="en-US"/>
        </w:rPr>
        <w:t>Legislation Act 2003</w:t>
      </w:r>
      <w:r w:rsidRPr="00C03A53">
        <w:rPr>
          <w:rFonts w:ascii="Times New Roman" w:hAnsi="Times New Roman" w:cs="Times New Roman"/>
          <w:sz w:val="24"/>
          <w:szCs w:val="24"/>
          <w:lang w:val="en-US"/>
        </w:rPr>
        <w:t>.</w:t>
      </w:r>
    </w:p>
    <w:p w14:paraId="3A6D1240" w14:textId="77777777" w:rsidR="008B0CAA" w:rsidRPr="00C03A53" w:rsidRDefault="008B0CAA" w:rsidP="00475276">
      <w:pPr>
        <w:tabs>
          <w:tab w:val="left" w:pos="1134"/>
          <w:tab w:val="left" w:pos="1701"/>
          <w:tab w:val="right" w:pos="9072"/>
        </w:tabs>
        <w:rPr>
          <w:rFonts w:ascii="Times New Roman" w:hAnsi="Times New Roman" w:cs="Times New Roman"/>
          <w:sz w:val="24"/>
          <w:szCs w:val="24"/>
        </w:rPr>
      </w:pPr>
      <w:r w:rsidRPr="00C03A53">
        <w:rPr>
          <w:rFonts w:ascii="Times New Roman" w:eastAsia="Times New Roman" w:hAnsi="Times New Roman" w:cs="Times New Roman"/>
          <w:iCs/>
          <w:sz w:val="24"/>
          <w:szCs w:val="24"/>
          <w:lang w:eastAsia="en-AU"/>
        </w:rPr>
        <w:t>The</w:t>
      </w:r>
      <w:r w:rsidRPr="00C03A53">
        <w:rPr>
          <w:rFonts w:ascii="Times New Roman" w:hAnsi="Times New Roman" w:cs="Times New Roman"/>
          <w:sz w:val="24"/>
          <w:szCs w:val="24"/>
        </w:rPr>
        <w:t xml:space="preserve"> Amendment </w:t>
      </w:r>
      <w:r w:rsidRPr="00C03A53">
        <w:rPr>
          <w:rFonts w:ascii="Times New Roman" w:eastAsia="Times New Roman" w:hAnsi="Times New Roman" w:cs="Times New Roman"/>
          <w:iCs/>
          <w:sz w:val="24"/>
          <w:szCs w:val="24"/>
          <w:lang w:eastAsia="en-AU"/>
        </w:rPr>
        <w:t>Rule is</w:t>
      </w:r>
      <w:r w:rsidRPr="00C03A53">
        <w:rPr>
          <w:rFonts w:ascii="Times New Roman" w:hAnsi="Times New Roman" w:cs="Times New Roman"/>
          <w:sz w:val="24"/>
          <w:szCs w:val="24"/>
        </w:rPr>
        <w:t xml:space="preserve"> compatible with the human rights and freedoms recognised or declared under section 3 of the </w:t>
      </w:r>
      <w:r w:rsidRPr="00C03A53">
        <w:rPr>
          <w:rFonts w:ascii="Times New Roman" w:hAnsi="Times New Roman" w:cs="Times New Roman"/>
          <w:i/>
          <w:sz w:val="24"/>
          <w:szCs w:val="24"/>
        </w:rPr>
        <w:t>Human Rights (Parliamentary Scrutiny) Act 2011.</w:t>
      </w:r>
      <w:r w:rsidRPr="00C03A53">
        <w:rPr>
          <w:rFonts w:ascii="Times New Roman" w:hAnsi="Times New Roman" w:cs="Times New Roman"/>
          <w:sz w:val="24"/>
          <w:szCs w:val="24"/>
        </w:rPr>
        <w:t xml:space="preserve"> A full statement of compatibility is set out in </w:t>
      </w:r>
      <w:r w:rsidRPr="00C03A53">
        <w:rPr>
          <w:rFonts w:ascii="Times New Roman" w:hAnsi="Times New Roman" w:cs="Times New Roman"/>
          <w:sz w:val="24"/>
          <w:szCs w:val="24"/>
          <w:u w:val="single"/>
        </w:rPr>
        <w:t>Attachment B</w:t>
      </w:r>
      <w:r w:rsidRPr="00C03A53">
        <w:rPr>
          <w:rFonts w:ascii="Times New Roman" w:hAnsi="Times New Roman" w:cs="Times New Roman"/>
          <w:sz w:val="24"/>
          <w:szCs w:val="24"/>
        </w:rPr>
        <w:t>.</w:t>
      </w:r>
    </w:p>
    <w:p w14:paraId="0A59AB42" w14:textId="77777777" w:rsidR="00CB5C33" w:rsidRPr="00C03A53" w:rsidRDefault="00CB5C33" w:rsidP="005E7E92">
      <w:pPr>
        <w:shd w:val="clear" w:color="auto" w:fill="FFFFFF"/>
        <w:spacing w:before="240" w:after="240" w:line="253" w:lineRule="atLeast"/>
        <w:rPr>
          <w:sz w:val="24"/>
          <w:szCs w:val="24"/>
        </w:rPr>
      </w:pPr>
    </w:p>
    <w:p w14:paraId="5A68B079" w14:textId="77777777" w:rsidR="005E7E92" w:rsidRPr="00C03A53" w:rsidRDefault="005E7E92" w:rsidP="005E7E92">
      <w:pPr>
        <w:pStyle w:val="PlainParagraph"/>
        <w:jc w:val="right"/>
        <w:rPr>
          <w:rFonts w:ascii="Times New Roman" w:hAnsi="Times New Roman" w:cs="Times New Roman"/>
          <w:b/>
          <w:caps/>
          <w:sz w:val="24"/>
          <w:szCs w:val="24"/>
          <w:u w:val="single"/>
        </w:rPr>
      </w:pPr>
    </w:p>
    <w:p w14:paraId="7D46FFF3" w14:textId="77777777" w:rsidR="005E7E92" w:rsidRPr="00C03A53" w:rsidRDefault="005E7E92" w:rsidP="005E7E92">
      <w:pPr>
        <w:pStyle w:val="PlainParagraph"/>
        <w:jc w:val="right"/>
        <w:rPr>
          <w:rFonts w:ascii="Times New Roman" w:hAnsi="Times New Roman" w:cs="Times New Roman"/>
          <w:b/>
          <w:caps/>
          <w:sz w:val="24"/>
          <w:szCs w:val="24"/>
          <w:u w:val="single"/>
        </w:rPr>
      </w:pPr>
      <w:r w:rsidRPr="00C03A53">
        <w:rPr>
          <w:rFonts w:ascii="Times New Roman" w:hAnsi="Times New Roman" w:cs="Times New Roman"/>
          <w:b/>
          <w:caps/>
          <w:sz w:val="24"/>
          <w:szCs w:val="24"/>
          <w:u w:val="single"/>
        </w:rPr>
        <w:br w:type="column"/>
      </w:r>
      <w:r w:rsidRPr="00C03A53">
        <w:rPr>
          <w:rFonts w:ascii="Times New Roman" w:hAnsi="Times New Roman" w:cs="Times New Roman"/>
          <w:b/>
          <w:caps/>
          <w:sz w:val="24"/>
          <w:szCs w:val="24"/>
          <w:u w:val="single"/>
        </w:rPr>
        <w:lastRenderedPageBreak/>
        <w:t>Attachment A</w:t>
      </w:r>
    </w:p>
    <w:p w14:paraId="27D60B75" w14:textId="28BB9792" w:rsidR="005E7E92" w:rsidRPr="00C03A53" w:rsidRDefault="005E7E92" w:rsidP="005E7E92">
      <w:pPr>
        <w:pStyle w:val="PlainParagraph"/>
        <w:rPr>
          <w:rFonts w:ascii="Times New Roman" w:hAnsi="Times New Roman" w:cs="Times New Roman"/>
          <w:b/>
          <w:sz w:val="24"/>
          <w:szCs w:val="24"/>
          <w:u w:val="single"/>
        </w:rPr>
      </w:pPr>
      <w:r w:rsidRPr="00C03A53">
        <w:rPr>
          <w:rFonts w:ascii="Times New Roman" w:hAnsi="Times New Roman" w:cs="Times New Roman"/>
          <w:b/>
          <w:sz w:val="24"/>
          <w:szCs w:val="24"/>
          <w:u w:val="single"/>
        </w:rPr>
        <w:t>Details of the Carbon Credits (Carbon Farming Initiative) Amendment (Specified Tree Planting) Rule 2023</w:t>
      </w:r>
    </w:p>
    <w:p w14:paraId="59825CD9" w14:textId="77777777" w:rsidR="005E7E92" w:rsidRPr="00C03A53" w:rsidRDefault="005E7E92" w:rsidP="002550CA">
      <w:pPr>
        <w:pStyle w:val="PlainParagraph"/>
        <w:spacing w:before="0" w:after="160" w:line="259" w:lineRule="auto"/>
        <w:rPr>
          <w:rFonts w:ascii="Times New Roman" w:hAnsi="Times New Roman" w:cs="Times New Roman"/>
          <w:sz w:val="24"/>
          <w:szCs w:val="24"/>
          <w:u w:val="single"/>
        </w:rPr>
      </w:pPr>
      <w:r w:rsidRPr="00C03A53">
        <w:rPr>
          <w:rFonts w:ascii="Times New Roman" w:hAnsi="Times New Roman" w:cs="Times New Roman"/>
          <w:sz w:val="24"/>
          <w:szCs w:val="24"/>
          <w:u w:val="single"/>
        </w:rPr>
        <w:t>Section 1 – Name</w:t>
      </w:r>
    </w:p>
    <w:p w14:paraId="7930C666" w14:textId="159ABE4B" w:rsidR="005E7E92" w:rsidRPr="00C03A53" w:rsidRDefault="005E7E92" w:rsidP="002550CA">
      <w:pPr>
        <w:pStyle w:val="PlainParagraph"/>
        <w:spacing w:before="0" w:after="160" w:line="259" w:lineRule="auto"/>
        <w:rPr>
          <w:rFonts w:ascii="Times New Roman" w:hAnsi="Times New Roman" w:cs="Times New Roman"/>
          <w:sz w:val="24"/>
          <w:szCs w:val="24"/>
        </w:rPr>
      </w:pPr>
      <w:r w:rsidRPr="00C03A53">
        <w:rPr>
          <w:rFonts w:ascii="Times New Roman" w:hAnsi="Times New Roman" w:cs="Times New Roman"/>
          <w:sz w:val="24"/>
          <w:szCs w:val="24"/>
        </w:rPr>
        <w:t xml:space="preserve">Section 1 provides that the name of the Amendment Rule is the </w:t>
      </w:r>
      <w:r w:rsidRPr="00C03A53">
        <w:rPr>
          <w:rFonts w:ascii="Times New Roman" w:hAnsi="Times New Roman" w:cs="Times New Roman"/>
          <w:i/>
          <w:sz w:val="24"/>
          <w:szCs w:val="24"/>
        </w:rPr>
        <w:t>Carbon Credits (Carbon Farming Initiative) Amendment (Specified Tree Planting) Rule 2023</w:t>
      </w:r>
      <w:r w:rsidR="00475276" w:rsidRPr="00C03A53">
        <w:rPr>
          <w:rFonts w:ascii="Times New Roman" w:hAnsi="Times New Roman" w:cs="Times New Roman"/>
          <w:sz w:val="24"/>
          <w:szCs w:val="24"/>
        </w:rPr>
        <w:t xml:space="preserve"> (the Amendment Rule).</w:t>
      </w:r>
    </w:p>
    <w:p w14:paraId="5F382187" w14:textId="77777777" w:rsidR="005E7E92" w:rsidRPr="00C03A53" w:rsidRDefault="005E7E92" w:rsidP="002550CA">
      <w:pPr>
        <w:rPr>
          <w:rFonts w:ascii="Times New Roman" w:eastAsia="Times New Roman" w:hAnsi="Times New Roman" w:cs="Times New Roman"/>
          <w:sz w:val="24"/>
          <w:szCs w:val="24"/>
          <w:u w:val="single"/>
        </w:rPr>
      </w:pPr>
      <w:r w:rsidRPr="00C03A53">
        <w:rPr>
          <w:rFonts w:ascii="Times New Roman" w:eastAsia="Times New Roman" w:hAnsi="Times New Roman" w:cs="Times New Roman"/>
          <w:sz w:val="24"/>
          <w:szCs w:val="24"/>
          <w:u w:val="single"/>
        </w:rPr>
        <w:t>Section 2 – Commencement</w:t>
      </w:r>
    </w:p>
    <w:p w14:paraId="32409546" w14:textId="3D2798B6" w:rsidR="005E7E92" w:rsidRPr="00C03A53" w:rsidRDefault="005E7E92" w:rsidP="002550CA">
      <w:pPr>
        <w:rPr>
          <w:rFonts w:ascii="Times New Roman" w:eastAsia="Times New Roman" w:hAnsi="Times New Roman" w:cs="Times New Roman"/>
          <w:sz w:val="24"/>
          <w:szCs w:val="24"/>
        </w:rPr>
      </w:pPr>
      <w:r w:rsidRPr="00C03A53">
        <w:rPr>
          <w:rFonts w:ascii="Times New Roman" w:eastAsia="Times New Roman" w:hAnsi="Times New Roman" w:cs="Times New Roman"/>
          <w:sz w:val="24"/>
          <w:szCs w:val="24"/>
        </w:rPr>
        <w:t xml:space="preserve">Section 2 provides for </w:t>
      </w:r>
      <w:r w:rsidR="00E54FFD" w:rsidRPr="00C03A53">
        <w:rPr>
          <w:rFonts w:ascii="Times New Roman" w:eastAsia="Times New Roman" w:hAnsi="Times New Roman" w:cs="Times New Roman"/>
          <w:sz w:val="24"/>
          <w:szCs w:val="24"/>
        </w:rPr>
        <w:t xml:space="preserve">Schedule 1 of </w:t>
      </w:r>
      <w:r w:rsidRPr="00C03A53">
        <w:rPr>
          <w:rFonts w:ascii="Times New Roman" w:eastAsia="Times New Roman" w:hAnsi="Times New Roman" w:cs="Times New Roman"/>
          <w:sz w:val="24"/>
          <w:szCs w:val="24"/>
        </w:rPr>
        <w:t xml:space="preserve">the </w:t>
      </w:r>
      <w:r w:rsidRPr="00C03A53">
        <w:rPr>
          <w:rFonts w:ascii="Times New Roman" w:hAnsi="Times New Roman" w:cs="Times New Roman"/>
          <w:sz w:val="24"/>
          <w:szCs w:val="24"/>
        </w:rPr>
        <w:t>Amendment Rule</w:t>
      </w:r>
      <w:r w:rsidRPr="00C03A53">
        <w:rPr>
          <w:rFonts w:ascii="Times New Roman" w:eastAsia="Times New Roman" w:hAnsi="Times New Roman" w:cs="Times New Roman"/>
          <w:sz w:val="24"/>
          <w:szCs w:val="24"/>
        </w:rPr>
        <w:t xml:space="preserve"> to commence </w:t>
      </w:r>
      <w:r w:rsidR="00E54FFD" w:rsidRPr="00C03A53">
        <w:rPr>
          <w:rFonts w:ascii="Times New Roman" w:eastAsia="Times New Roman" w:hAnsi="Times New Roman" w:cs="Times New Roman"/>
          <w:sz w:val="24"/>
          <w:szCs w:val="24"/>
        </w:rPr>
        <w:t>the day</w:t>
      </w:r>
      <w:r w:rsidRPr="00C03A53">
        <w:rPr>
          <w:rFonts w:ascii="Times New Roman" w:eastAsia="Times New Roman" w:hAnsi="Times New Roman" w:cs="Times New Roman"/>
          <w:sz w:val="24"/>
          <w:szCs w:val="24"/>
        </w:rPr>
        <w:t xml:space="preserve"> after it is registered on the Federal Register of Legislation</w:t>
      </w:r>
      <w:r w:rsidR="00E54FFD" w:rsidRPr="00C03A53">
        <w:rPr>
          <w:rFonts w:ascii="Times New Roman" w:eastAsia="Times New Roman" w:hAnsi="Times New Roman" w:cs="Times New Roman"/>
          <w:sz w:val="24"/>
          <w:szCs w:val="24"/>
        </w:rPr>
        <w:t xml:space="preserve"> and for Schedule 2 to commence </w:t>
      </w:r>
      <w:r w:rsidR="00CC7ACB" w:rsidRPr="00C03A53">
        <w:rPr>
          <w:rFonts w:ascii="Times New Roman" w:eastAsia="Times New Roman" w:hAnsi="Times New Roman" w:cs="Times New Roman"/>
          <w:sz w:val="24"/>
          <w:szCs w:val="24"/>
        </w:rPr>
        <w:t>1 June 2024</w:t>
      </w:r>
      <w:r w:rsidR="00E54FFD" w:rsidRPr="00C03A53">
        <w:rPr>
          <w:rFonts w:ascii="Times New Roman" w:eastAsia="Times New Roman" w:hAnsi="Times New Roman" w:cs="Times New Roman"/>
          <w:sz w:val="24"/>
          <w:szCs w:val="24"/>
        </w:rPr>
        <w:t>.</w:t>
      </w:r>
    </w:p>
    <w:p w14:paraId="35CD50C7" w14:textId="77777777" w:rsidR="005E7E92" w:rsidRPr="00C03A53" w:rsidRDefault="005E7E92" w:rsidP="002550CA">
      <w:pPr>
        <w:ind w:left="1440" w:hanging="1440"/>
        <w:rPr>
          <w:rFonts w:ascii="Times New Roman" w:eastAsia="Times New Roman" w:hAnsi="Times New Roman" w:cs="Times New Roman"/>
          <w:sz w:val="24"/>
          <w:szCs w:val="24"/>
          <w:u w:val="single"/>
        </w:rPr>
      </w:pPr>
      <w:r w:rsidRPr="00C03A53">
        <w:rPr>
          <w:rFonts w:ascii="Times New Roman" w:eastAsia="Times New Roman" w:hAnsi="Times New Roman" w:cs="Times New Roman"/>
          <w:sz w:val="24"/>
          <w:szCs w:val="24"/>
          <w:u w:val="single"/>
        </w:rPr>
        <w:t xml:space="preserve">Section 3 – Authority </w:t>
      </w:r>
    </w:p>
    <w:p w14:paraId="3A0CBA6A" w14:textId="77777777" w:rsidR="00475276" w:rsidRPr="00C03A53" w:rsidRDefault="00475276" w:rsidP="002550CA">
      <w:pPr>
        <w:pStyle w:val="PlainParagraph"/>
        <w:spacing w:before="0" w:after="160" w:line="259" w:lineRule="auto"/>
        <w:rPr>
          <w:rFonts w:ascii="Times New Roman" w:hAnsi="Times New Roman" w:cs="Times New Roman"/>
          <w:sz w:val="24"/>
          <w:szCs w:val="24"/>
        </w:rPr>
      </w:pPr>
      <w:r w:rsidRPr="00C03A53">
        <w:rPr>
          <w:rFonts w:ascii="Times New Roman" w:hAnsi="Times New Roman" w:cs="Times New Roman"/>
          <w:sz w:val="24"/>
          <w:szCs w:val="24"/>
        </w:rPr>
        <w:t>Section 3 provides that the Amendment Rule is made under section 308 of the Act.</w:t>
      </w:r>
    </w:p>
    <w:p w14:paraId="15585A7D" w14:textId="77777777" w:rsidR="00475276" w:rsidRPr="00C03A53" w:rsidRDefault="00475276" w:rsidP="002550CA">
      <w:pPr>
        <w:rPr>
          <w:rFonts w:ascii="Times New Roman" w:eastAsia="Times New Roman" w:hAnsi="Times New Roman" w:cs="Times New Roman"/>
          <w:sz w:val="24"/>
          <w:szCs w:val="24"/>
          <w:u w:val="single"/>
        </w:rPr>
      </w:pPr>
      <w:r w:rsidRPr="00C03A53">
        <w:rPr>
          <w:rFonts w:ascii="Times New Roman" w:eastAsia="Times New Roman" w:hAnsi="Times New Roman" w:cs="Times New Roman"/>
          <w:sz w:val="24"/>
          <w:szCs w:val="24"/>
          <w:u w:val="single"/>
        </w:rPr>
        <w:t>Section 4 – Schedules</w:t>
      </w:r>
    </w:p>
    <w:p w14:paraId="7994290D" w14:textId="635EAF78" w:rsidR="00475276" w:rsidRPr="00C03A53" w:rsidRDefault="00475276" w:rsidP="002550CA">
      <w:pPr>
        <w:pStyle w:val="PlainParagraph"/>
        <w:spacing w:before="0" w:after="160" w:line="259" w:lineRule="auto"/>
        <w:rPr>
          <w:rFonts w:ascii="Times New Roman" w:hAnsi="Times New Roman" w:cs="Times New Roman"/>
          <w:sz w:val="24"/>
          <w:szCs w:val="24"/>
        </w:rPr>
      </w:pPr>
      <w:r w:rsidRPr="00C03A53">
        <w:rPr>
          <w:rFonts w:ascii="Times New Roman" w:hAnsi="Times New Roman" w:cs="Times New Roman"/>
          <w:sz w:val="24"/>
          <w:szCs w:val="24"/>
        </w:rPr>
        <w:t xml:space="preserve">Section 4 has the effect that the Amendment Rule amends the </w:t>
      </w:r>
      <w:r w:rsidRPr="00C03A53">
        <w:rPr>
          <w:rFonts w:ascii="Times New Roman" w:hAnsi="Times New Roman" w:cs="Times New Roman"/>
          <w:i/>
          <w:iCs/>
          <w:sz w:val="24"/>
          <w:szCs w:val="24"/>
        </w:rPr>
        <w:t>Carbon Credits (Carbon Farming Initiative) Rule 2015</w:t>
      </w:r>
      <w:r w:rsidRPr="00C03A53">
        <w:rPr>
          <w:rFonts w:ascii="Times New Roman" w:hAnsi="Times New Roman" w:cs="Times New Roman"/>
          <w:sz w:val="24"/>
          <w:szCs w:val="24"/>
        </w:rPr>
        <w:t xml:space="preserve"> (the Principal Rule) in the manner set out in the Schedule</w:t>
      </w:r>
      <w:r w:rsidR="00E54FFD" w:rsidRPr="00C03A53">
        <w:rPr>
          <w:rFonts w:ascii="Times New Roman" w:hAnsi="Times New Roman" w:cs="Times New Roman"/>
          <w:sz w:val="24"/>
          <w:szCs w:val="24"/>
        </w:rPr>
        <w:t>s</w:t>
      </w:r>
      <w:r w:rsidRPr="00C03A53">
        <w:rPr>
          <w:rFonts w:ascii="Times New Roman" w:hAnsi="Times New Roman" w:cs="Times New Roman"/>
          <w:sz w:val="24"/>
          <w:szCs w:val="24"/>
        </w:rPr>
        <w:t>.</w:t>
      </w:r>
    </w:p>
    <w:p w14:paraId="43F7C80A" w14:textId="38AEE025" w:rsidR="00475276" w:rsidRPr="00C03A53" w:rsidRDefault="00475276" w:rsidP="002550CA">
      <w:pPr>
        <w:pStyle w:val="PlainParagraph"/>
        <w:spacing w:before="0" w:after="160" w:line="259" w:lineRule="auto"/>
        <w:rPr>
          <w:rFonts w:ascii="Times New Roman" w:hAnsi="Times New Roman" w:cs="Times New Roman"/>
          <w:sz w:val="24"/>
          <w:szCs w:val="24"/>
          <w:u w:val="single"/>
        </w:rPr>
      </w:pPr>
      <w:r w:rsidRPr="00C03A53">
        <w:rPr>
          <w:rFonts w:ascii="Times New Roman" w:hAnsi="Times New Roman" w:cs="Times New Roman"/>
          <w:sz w:val="24"/>
          <w:szCs w:val="24"/>
          <w:u w:val="single"/>
        </w:rPr>
        <w:t xml:space="preserve">Schedule 1 – Amendments </w:t>
      </w:r>
      <w:r w:rsidR="00E54FFD" w:rsidRPr="00C03A53">
        <w:rPr>
          <w:rFonts w:ascii="Times New Roman" w:hAnsi="Times New Roman" w:cs="Times New Roman"/>
          <w:sz w:val="24"/>
          <w:szCs w:val="24"/>
          <w:u w:val="single"/>
        </w:rPr>
        <w:t>commencing on the day after registration</w:t>
      </w:r>
    </w:p>
    <w:p w14:paraId="13C20C44" w14:textId="3D18C9F2" w:rsidR="00475276" w:rsidRPr="00C03A53" w:rsidRDefault="00475276" w:rsidP="002550CA">
      <w:pPr>
        <w:pStyle w:val="PlainParagraph"/>
        <w:spacing w:before="0" w:after="160" w:line="259" w:lineRule="auto"/>
        <w:rPr>
          <w:rFonts w:ascii="Times New Roman" w:hAnsi="Times New Roman" w:cs="Times New Roman"/>
          <w:sz w:val="24"/>
          <w:szCs w:val="24"/>
        </w:rPr>
      </w:pPr>
      <w:r w:rsidRPr="00C03A53">
        <w:rPr>
          <w:rFonts w:ascii="Times New Roman" w:hAnsi="Times New Roman" w:cs="Times New Roman"/>
          <w:sz w:val="24"/>
          <w:szCs w:val="24"/>
        </w:rPr>
        <w:t>This Schedule sets out amendments to the Principal Rule made by the Amendment Rule.</w:t>
      </w:r>
    </w:p>
    <w:p w14:paraId="10D3196B" w14:textId="081914FA" w:rsidR="005E7E92" w:rsidRPr="00C03A53" w:rsidRDefault="005E7E92" w:rsidP="002550CA">
      <w:pPr>
        <w:keepNext/>
        <w:rPr>
          <w:rFonts w:ascii="Times New Roman" w:hAnsi="Times New Roman" w:cs="Times New Roman"/>
          <w:sz w:val="24"/>
          <w:szCs w:val="24"/>
        </w:rPr>
      </w:pPr>
      <w:r w:rsidRPr="00C03A53">
        <w:rPr>
          <w:rFonts w:ascii="Times New Roman" w:hAnsi="Times New Roman" w:cs="Times New Roman"/>
          <w:sz w:val="24"/>
          <w:szCs w:val="24"/>
          <w:u w:val="single"/>
        </w:rPr>
        <w:t xml:space="preserve">Item 1 </w:t>
      </w:r>
      <w:r w:rsidRPr="00C03A53">
        <w:rPr>
          <w:rFonts w:ascii="Times New Roman" w:eastAsia="Times New Roman" w:hAnsi="Times New Roman" w:cs="Times New Roman"/>
          <w:sz w:val="24"/>
          <w:szCs w:val="24"/>
          <w:u w:val="single"/>
        </w:rPr>
        <w:t xml:space="preserve">– </w:t>
      </w:r>
      <w:r w:rsidRPr="00C03A53">
        <w:rPr>
          <w:rFonts w:ascii="Times New Roman" w:hAnsi="Times New Roman" w:cs="Times New Roman"/>
          <w:sz w:val="24"/>
          <w:szCs w:val="24"/>
          <w:u w:val="single"/>
        </w:rPr>
        <w:t>S</w:t>
      </w:r>
      <w:r w:rsidR="00E54FFD" w:rsidRPr="00C03A53">
        <w:rPr>
          <w:rFonts w:ascii="Times New Roman" w:hAnsi="Times New Roman" w:cs="Times New Roman"/>
          <w:sz w:val="24"/>
          <w:szCs w:val="24"/>
          <w:u w:val="single"/>
        </w:rPr>
        <w:t>ubs</w:t>
      </w:r>
      <w:r w:rsidRPr="00C03A53">
        <w:rPr>
          <w:rFonts w:ascii="Times New Roman" w:hAnsi="Times New Roman" w:cs="Times New Roman"/>
          <w:sz w:val="24"/>
          <w:szCs w:val="24"/>
          <w:u w:val="single"/>
        </w:rPr>
        <w:t>ection 20AB</w:t>
      </w:r>
      <w:r w:rsidR="00E54FFD" w:rsidRPr="00C03A53">
        <w:rPr>
          <w:rFonts w:ascii="Times New Roman" w:hAnsi="Times New Roman" w:cs="Times New Roman"/>
          <w:sz w:val="24"/>
          <w:szCs w:val="24"/>
          <w:u w:val="single"/>
        </w:rPr>
        <w:t>(1)</w:t>
      </w:r>
    </w:p>
    <w:p w14:paraId="2FCC38A1" w14:textId="331A42AD" w:rsidR="00E54FFD" w:rsidRPr="00C03A53" w:rsidRDefault="005E7E92" w:rsidP="002550CA">
      <w:pPr>
        <w:ind w:right="91"/>
        <w:rPr>
          <w:rFonts w:ascii="Times New Roman" w:hAnsi="Times New Roman" w:cs="Times New Roman"/>
          <w:sz w:val="24"/>
          <w:szCs w:val="24"/>
        </w:rPr>
      </w:pPr>
      <w:r w:rsidRPr="00C03A53">
        <w:rPr>
          <w:rFonts w:ascii="Times New Roman" w:hAnsi="Times New Roman" w:cs="Times New Roman"/>
          <w:sz w:val="24"/>
          <w:szCs w:val="24"/>
        </w:rPr>
        <w:t xml:space="preserve">This item </w:t>
      </w:r>
      <w:r w:rsidR="00E54FFD" w:rsidRPr="00C03A53">
        <w:rPr>
          <w:rFonts w:ascii="Times New Roman" w:hAnsi="Times New Roman" w:cs="Times New Roman"/>
          <w:sz w:val="24"/>
          <w:szCs w:val="24"/>
        </w:rPr>
        <w:t>omits the words “subsections (2) to (6)” from subsection 20AB(1) of the Princip</w:t>
      </w:r>
      <w:r w:rsidR="00597DD0" w:rsidRPr="00C03A53">
        <w:rPr>
          <w:rFonts w:ascii="Times New Roman" w:hAnsi="Times New Roman" w:cs="Times New Roman"/>
          <w:sz w:val="24"/>
          <w:szCs w:val="24"/>
        </w:rPr>
        <w:t>al</w:t>
      </w:r>
      <w:r w:rsidR="00E54FFD" w:rsidRPr="00C03A53">
        <w:rPr>
          <w:rFonts w:ascii="Times New Roman" w:hAnsi="Times New Roman" w:cs="Times New Roman"/>
          <w:sz w:val="24"/>
          <w:szCs w:val="24"/>
        </w:rPr>
        <w:t xml:space="preserve"> Rule and substitutes them with “subsections (1A) to (6)</w:t>
      </w:r>
      <w:r w:rsidR="00597DD0" w:rsidRPr="00C03A53">
        <w:rPr>
          <w:rFonts w:ascii="Times New Roman" w:hAnsi="Times New Roman" w:cs="Times New Roman"/>
          <w:sz w:val="24"/>
          <w:szCs w:val="24"/>
        </w:rPr>
        <w:t>”</w:t>
      </w:r>
      <w:r w:rsidR="00E54FFD" w:rsidRPr="00C03A53">
        <w:rPr>
          <w:rFonts w:ascii="Times New Roman" w:hAnsi="Times New Roman" w:cs="Times New Roman"/>
          <w:sz w:val="24"/>
          <w:szCs w:val="24"/>
        </w:rPr>
        <w:t xml:space="preserve">. </w:t>
      </w:r>
      <w:r w:rsidR="00234275" w:rsidRPr="00C03A53">
        <w:rPr>
          <w:rFonts w:ascii="Times New Roman" w:hAnsi="Times New Roman" w:cs="Times New Roman"/>
          <w:sz w:val="24"/>
          <w:szCs w:val="24"/>
        </w:rPr>
        <w:t xml:space="preserve">This substitution allows a new subsection (1A) to be included within the listed circumstances in which specified tree planting projects are not considered to be excluded offsets projects under paragraph 27(4)(m) and subsection 56(1) the Act.  </w:t>
      </w:r>
    </w:p>
    <w:p w14:paraId="086F063D" w14:textId="316B1565" w:rsidR="00E54FFD" w:rsidRPr="00C03A53" w:rsidRDefault="00E54FFD" w:rsidP="00E54FFD">
      <w:pPr>
        <w:keepNext/>
        <w:rPr>
          <w:rFonts w:ascii="Times New Roman" w:hAnsi="Times New Roman" w:cs="Times New Roman"/>
          <w:sz w:val="24"/>
          <w:szCs w:val="24"/>
        </w:rPr>
      </w:pPr>
      <w:r w:rsidRPr="00C03A53">
        <w:rPr>
          <w:rFonts w:ascii="Times New Roman" w:hAnsi="Times New Roman" w:cs="Times New Roman"/>
          <w:sz w:val="24"/>
          <w:szCs w:val="24"/>
          <w:u w:val="single"/>
        </w:rPr>
        <w:t xml:space="preserve">Item 2 </w:t>
      </w:r>
      <w:r w:rsidRPr="00C03A53">
        <w:rPr>
          <w:rFonts w:ascii="Times New Roman" w:eastAsia="Times New Roman" w:hAnsi="Times New Roman" w:cs="Times New Roman"/>
          <w:sz w:val="24"/>
          <w:szCs w:val="24"/>
          <w:u w:val="single"/>
        </w:rPr>
        <w:t xml:space="preserve">– </w:t>
      </w:r>
      <w:r w:rsidRPr="00C03A53">
        <w:rPr>
          <w:rFonts w:ascii="Times New Roman" w:hAnsi="Times New Roman" w:cs="Times New Roman"/>
          <w:sz w:val="24"/>
          <w:szCs w:val="24"/>
          <w:u w:val="single"/>
        </w:rPr>
        <w:t>After subsection 20AB(1)</w:t>
      </w:r>
    </w:p>
    <w:p w14:paraId="1CB39F12" w14:textId="16AE5227" w:rsidR="00E54FFD" w:rsidRPr="00C03A53" w:rsidRDefault="00234275" w:rsidP="002550CA">
      <w:pPr>
        <w:ind w:right="91"/>
        <w:rPr>
          <w:rFonts w:ascii="Times New Roman" w:hAnsi="Times New Roman" w:cs="Times New Roman"/>
          <w:sz w:val="24"/>
          <w:szCs w:val="24"/>
        </w:rPr>
      </w:pPr>
      <w:r w:rsidRPr="00C03A53">
        <w:rPr>
          <w:rFonts w:ascii="Times New Roman" w:hAnsi="Times New Roman" w:cs="Times New Roman"/>
          <w:sz w:val="24"/>
          <w:szCs w:val="24"/>
        </w:rPr>
        <w:t>This item inserts a new subsection (1A) after subsection 20AB(1) of the Princip</w:t>
      </w:r>
      <w:r w:rsidR="00597DD0" w:rsidRPr="00C03A53">
        <w:rPr>
          <w:rFonts w:ascii="Times New Roman" w:hAnsi="Times New Roman" w:cs="Times New Roman"/>
          <w:sz w:val="24"/>
          <w:szCs w:val="24"/>
        </w:rPr>
        <w:t>al</w:t>
      </w:r>
      <w:r w:rsidRPr="00C03A53">
        <w:rPr>
          <w:rFonts w:ascii="Times New Roman" w:hAnsi="Times New Roman" w:cs="Times New Roman"/>
          <w:sz w:val="24"/>
          <w:szCs w:val="24"/>
        </w:rPr>
        <w:t xml:space="preserve"> Rule. This subsection sets out that specified tree planting is not an excluded offsets project if an application for a declaration of the project under section 27 of the Act includes: </w:t>
      </w:r>
    </w:p>
    <w:p w14:paraId="09644F95" w14:textId="59BEFFFC" w:rsidR="00234275" w:rsidRPr="00C03A53" w:rsidRDefault="00234275" w:rsidP="00234275">
      <w:pPr>
        <w:pStyle w:val="ListParagraph"/>
        <w:numPr>
          <w:ilvl w:val="0"/>
          <w:numId w:val="8"/>
        </w:numPr>
        <w:ind w:right="91"/>
        <w:rPr>
          <w:rFonts w:ascii="Times New Roman" w:hAnsi="Times New Roman" w:cs="Times New Roman"/>
          <w:sz w:val="24"/>
          <w:szCs w:val="24"/>
        </w:rPr>
      </w:pPr>
      <w:r w:rsidRPr="00C03A53">
        <w:rPr>
          <w:rFonts w:ascii="Times New Roman" w:hAnsi="Times New Roman" w:cs="Times New Roman"/>
          <w:sz w:val="24"/>
          <w:szCs w:val="24"/>
        </w:rPr>
        <w:t xml:space="preserve">a statement to the effect that the crediting period for the project should begin on or after </w:t>
      </w:r>
      <w:r w:rsidR="00CC7ACB" w:rsidRPr="00C03A53">
        <w:rPr>
          <w:rFonts w:ascii="Times New Roman" w:hAnsi="Times New Roman" w:cs="Times New Roman"/>
          <w:sz w:val="24"/>
          <w:szCs w:val="24"/>
        </w:rPr>
        <w:t>1 June 2024</w:t>
      </w:r>
      <w:r w:rsidRPr="00C03A53">
        <w:rPr>
          <w:rFonts w:ascii="Times New Roman" w:hAnsi="Times New Roman" w:cs="Times New Roman"/>
          <w:sz w:val="24"/>
          <w:szCs w:val="24"/>
        </w:rPr>
        <w:t xml:space="preserve">, which is defined as the </w:t>
      </w:r>
      <w:r w:rsidRPr="00C03A53">
        <w:rPr>
          <w:rFonts w:ascii="Times New Roman" w:hAnsi="Times New Roman" w:cs="Times New Roman"/>
          <w:b/>
          <w:bCs/>
          <w:i/>
          <w:iCs/>
          <w:sz w:val="24"/>
          <w:szCs w:val="24"/>
        </w:rPr>
        <w:t>eligibility date</w:t>
      </w:r>
      <w:r w:rsidRPr="00C03A53">
        <w:rPr>
          <w:rFonts w:ascii="Times New Roman" w:hAnsi="Times New Roman" w:cs="Times New Roman"/>
          <w:sz w:val="24"/>
          <w:szCs w:val="24"/>
        </w:rPr>
        <w:t>; and</w:t>
      </w:r>
    </w:p>
    <w:p w14:paraId="52159159" w14:textId="2C6B1109" w:rsidR="00234275" w:rsidRPr="00C03A53" w:rsidRDefault="00234275" w:rsidP="00C41B1B">
      <w:pPr>
        <w:pStyle w:val="ListParagraph"/>
        <w:numPr>
          <w:ilvl w:val="0"/>
          <w:numId w:val="8"/>
        </w:numPr>
        <w:ind w:right="91"/>
        <w:rPr>
          <w:rFonts w:ascii="Times New Roman" w:hAnsi="Times New Roman" w:cs="Times New Roman"/>
          <w:sz w:val="24"/>
          <w:szCs w:val="24"/>
        </w:rPr>
      </w:pPr>
      <w:r w:rsidRPr="00C03A53">
        <w:rPr>
          <w:rFonts w:ascii="Times New Roman" w:hAnsi="Times New Roman" w:cs="Times New Roman"/>
          <w:sz w:val="24"/>
          <w:szCs w:val="24"/>
        </w:rPr>
        <w:t xml:space="preserve">an undertaking that that date will not be varied to an earlier date than the </w:t>
      </w:r>
      <w:r w:rsidR="00E94377" w:rsidRPr="00C03A53">
        <w:rPr>
          <w:rFonts w:ascii="Times New Roman" w:hAnsi="Times New Roman" w:cs="Times New Roman"/>
          <w:sz w:val="24"/>
          <w:szCs w:val="24"/>
        </w:rPr>
        <w:t>eligibility</w:t>
      </w:r>
      <w:r w:rsidRPr="00C03A53">
        <w:rPr>
          <w:rFonts w:ascii="Times New Roman" w:hAnsi="Times New Roman" w:cs="Times New Roman"/>
          <w:sz w:val="24"/>
          <w:szCs w:val="24"/>
        </w:rPr>
        <w:t xml:space="preserve"> date.</w:t>
      </w:r>
    </w:p>
    <w:p w14:paraId="25E27AED" w14:textId="26F79EF4" w:rsidR="00E54FFD" w:rsidRPr="00C03A53" w:rsidRDefault="00E94377" w:rsidP="002550CA">
      <w:pPr>
        <w:ind w:right="91"/>
        <w:rPr>
          <w:rFonts w:ascii="Times New Roman" w:hAnsi="Times New Roman" w:cs="Times New Roman"/>
          <w:sz w:val="24"/>
          <w:szCs w:val="24"/>
        </w:rPr>
      </w:pPr>
      <w:r w:rsidRPr="00C03A53">
        <w:rPr>
          <w:rFonts w:ascii="Times New Roman" w:hAnsi="Times New Roman" w:cs="Times New Roman"/>
          <w:sz w:val="24"/>
          <w:szCs w:val="24"/>
        </w:rPr>
        <w:t xml:space="preserve">Under paragraph 27(3)(cb) of the Act, a declaration of an offsets project as an eligible offsets project must identify the crediting period or periods for the project. The </w:t>
      </w:r>
      <w:r w:rsidRPr="00C03A53">
        <w:rPr>
          <w:rFonts w:ascii="Times New Roman" w:hAnsi="Times New Roman" w:cs="Times New Roman"/>
          <w:b/>
          <w:bCs/>
          <w:i/>
          <w:iCs/>
          <w:sz w:val="24"/>
          <w:szCs w:val="24"/>
        </w:rPr>
        <w:t>start time</w:t>
      </w:r>
      <w:r w:rsidRPr="00C03A53">
        <w:rPr>
          <w:rFonts w:ascii="Times New Roman" w:hAnsi="Times New Roman" w:cs="Times New Roman"/>
          <w:sz w:val="24"/>
          <w:szCs w:val="24"/>
        </w:rPr>
        <w:t xml:space="preserve"> of the crediting period is defined by subsection 69(4) of the Act and includes a statement to the effect that a crediting period for a project should begin at a specified time that is included in an application for the declaration of an eligible offsets project. </w:t>
      </w:r>
    </w:p>
    <w:p w14:paraId="6F56E2EC" w14:textId="5BBBBFA4" w:rsidR="00E94377" w:rsidRPr="00C03A53" w:rsidRDefault="00E94377" w:rsidP="00C41B1B">
      <w:pPr>
        <w:spacing w:after="0"/>
        <w:ind w:right="91"/>
        <w:rPr>
          <w:rFonts w:ascii="Times New Roman" w:hAnsi="Times New Roman" w:cs="Times New Roman"/>
          <w:sz w:val="24"/>
          <w:szCs w:val="24"/>
        </w:rPr>
      </w:pPr>
      <w:r w:rsidRPr="00C03A53">
        <w:rPr>
          <w:rFonts w:ascii="Times New Roman" w:hAnsi="Times New Roman" w:cs="Times New Roman"/>
          <w:sz w:val="24"/>
          <w:szCs w:val="24"/>
        </w:rPr>
        <w:t>Subsection 20AB(1A) allows specified tree planting projects to be declared eligible offsets projects if they set</w:t>
      </w:r>
      <w:r w:rsidR="006D40F0" w:rsidRPr="00C03A53">
        <w:rPr>
          <w:rFonts w:ascii="Times New Roman" w:hAnsi="Times New Roman" w:cs="Times New Roman"/>
          <w:sz w:val="24"/>
          <w:szCs w:val="24"/>
        </w:rPr>
        <w:t>, and do not bring forward,</w:t>
      </w:r>
      <w:r w:rsidRPr="00C03A53">
        <w:rPr>
          <w:rFonts w:ascii="Times New Roman" w:hAnsi="Times New Roman" w:cs="Times New Roman"/>
          <w:sz w:val="24"/>
          <w:szCs w:val="24"/>
        </w:rPr>
        <w:t xml:space="preserve"> a </w:t>
      </w:r>
      <w:r w:rsidR="006D40F0" w:rsidRPr="00C03A53">
        <w:rPr>
          <w:rFonts w:ascii="Times New Roman" w:hAnsi="Times New Roman" w:cs="Times New Roman"/>
          <w:sz w:val="24"/>
          <w:szCs w:val="24"/>
        </w:rPr>
        <w:t xml:space="preserve">start time that is on </w:t>
      </w:r>
      <w:r w:rsidR="00C41B1B" w:rsidRPr="00C03A53">
        <w:rPr>
          <w:rFonts w:ascii="Times New Roman" w:hAnsi="Times New Roman" w:cs="Times New Roman"/>
          <w:sz w:val="24"/>
          <w:szCs w:val="24"/>
        </w:rPr>
        <w:t>or after 1 June 2024</w:t>
      </w:r>
      <w:r w:rsidR="006D40F0" w:rsidRPr="00C03A53">
        <w:rPr>
          <w:rFonts w:ascii="Times New Roman" w:hAnsi="Times New Roman" w:cs="Times New Roman"/>
          <w:sz w:val="24"/>
          <w:szCs w:val="24"/>
        </w:rPr>
        <w:t xml:space="preserve">. On </w:t>
      </w:r>
      <w:r w:rsidR="006D40F0" w:rsidRPr="00C03A53">
        <w:rPr>
          <w:rFonts w:ascii="Times New Roman" w:hAnsi="Times New Roman" w:cs="Times New Roman"/>
          <w:sz w:val="24"/>
          <w:szCs w:val="24"/>
        </w:rPr>
        <w:lastRenderedPageBreak/>
        <w:t>this date Schedule 2 of the Amendment Rule commences, repealing the whole of section 20AB of the Princip</w:t>
      </w:r>
      <w:r w:rsidR="00597DD0" w:rsidRPr="00C03A53">
        <w:rPr>
          <w:rFonts w:ascii="Times New Roman" w:hAnsi="Times New Roman" w:cs="Times New Roman"/>
          <w:sz w:val="24"/>
          <w:szCs w:val="24"/>
        </w:rPr>
        <w:t>al</w:t>
      </w:r>
      <w:r w:rsidR="006D40F0" w:rsidRPr="00C03A53">
        <w:rPr>
          <w:rFonts w:ascii="Times New Roman" w:hAnsi="Times New Roman" w:cs="Times New Roman"/>
          <w:sz w:val="24"/>
          <w:szCs w:val="24"/>
        </w:rPr>
        <w:t xml:space="preserve"> Rule.  </w:t>
      </w:r>
    </w:p>
    <w:p w14:paraId="1C0F53BD" w14:textId="77777777" w:rsidR="00C41B1B" w:rsidRPr="00C03A53" w:rsidRDefault="00C41B1B" w:rsidP="00C41B1B">
      <w:pPr>
        <w:spacing w:after="0"/>
        <w:ind w:right="91"/>
        <w:rPr>
          <w:rFonts w:ascii="Times New Roman" w:hAnsi="Times New Roman" w:cs="Times New Roman"/>
          <w:sz w:val="24"/>
          <w:szCs w:val="24"/>
        </w:rPr>
      </w:pPr>
    </w:p>
    <w:p w14:paraId="21DF00E1" w14:textId="11C1B69B" w:rsidR="00E54FFD" w:rsidRPr="00C03A53" w:rsidRDefault="00E54FFD" w:rsidP="00E54FFD">
      <w:pPr>
        <w:pStyle w:val="PlainParagraph"/>
        <w:spacing w:before="0" w:after="160" w:line="259" w:lineRule="auto"/>
        <w:rPr>
          <w:rFonts w:ascii="Times New Roman" w:hAnsi="Times New Roman" w:cs="Times New Roman"/>
          <w:sz w:val="24"/>
          <w:szCs w:val="24"/>
          <w:u w:val="single"/>
        </w:rPr>
      </w:pPr>
      <w:r w:rsidRPr="00C03A53">
        <w:rPr>
          <w:rFonts w:ascii="Times New Roman" w:hAnsi="Times New Roman" w:cs="Times New Roman"/>
          <w:sz w:val="24"/>
          <w:szCs w:val="24"/>
          <w:u w:val="single"/>
        </w:rPr>
        <w:t xml:space="preserve">Schedule </w:t>
      </w:r>
      <w:r w:rsidR="006D40F0" w:rsidRPr="00C03A53">
        <w:rPr>
          <w:rFonts w:ascii="Times New Roman" w:hAnsi="Times New Roman" w:cs="Times New Roman"/>
          <w:sz w:val="24"/>
          <w:szCs w:val="24"/>
          <w:u w:val="single"/>
        </w:rPr>
        <w:t>2</w:t>
      </w:r>
      <w:r w:rsidRPr="00C03A53">
        <w:rPr>
          <w:rFonts w:ascii="Times New Roman" w:hAnsi="Times New Roman" w:cs="Times New Roman"/>
          <w:sz w:val="24"/>
          <w:szCs w:val="24"/>
          <w:u w:val="single"/>
        </w:rPr>
        <w:t xml:space="preserve"> – Amendments commencing </w:t>
      </w:r>
      <w:r w:rsidR="00CC7ACB" w:rsidRPr="00C03A53">
        <w:rPr>
          <w:rFonts w:ascii="Times New Roman" w:hAnsi="Times New Roman" w:cs="Times New Roman"/>
          <w:sz w:val="24"/>
          <w:szCs w:val="24"/>
          <w:u w:val="single"/>
        </w:rPr>
        <w:t>1 June 2024</w:t>
      </w:r>
    </w:p>
    <w:p w14:paraId="033182F8" w14:textId="77777777" w:rsidR="00E54FFD" w:rsidRPr="00C03A53" w:rsidRDefault="00E54FFD" w:rsidP="00E54FFD">
      <w:pPr>
        <w:pStyle w:val="PlainParagraph"/>
        <w:spacing w:before="0" w:after="160" w:line="259" w:lineRule="auto"/>
        <w:rPr>
          <w:rFonts w:ascii="Times New Roman" w:hAnsi="Times New Roman" w:cs="Times New Roman"/>
          <w:sz w:val="24"/>
          <w:szCs w:val="24"/>
        </w:rPr>
      </w:pPr>
      <w:r w:rsidRPr="00C03A53">
        <w:rPr>
          <w:rFonts w:ascii="Times New Roman" w:hAnsi="Times New Roman" w:cs="Times New Roman"/>
          <w:sz w:val="24"/>
          <w:szCs w:val="24"/>
        </w:rPr>
        <w:t>This Schedule sets out amendments to the Principal Rule made by the Amendment Rule.</w:t>
      </w:r>
    </w:p>
    <w:p w14:paraId="1D7A25A9" w14:textId="77777777" w:rsidR="00E54FFD" w:rsidRPr="00C03A53" w:rsidRDefault="00E54FFD" w:rsidP="00E54FFD">
      <w:pPr>
        <w:keepNext/>
        <w:rPr>
          <w:rFonts w:ascii="Times New Roman" w:hAnsi="Times New Roman" w:cs="Times New Roman"/>
          <w:sz w:val="24"/>
          <w:szCs w:val="24"/>
        </w:rPr>
      </w:pPr>
      <w:r w:rsidRPr="00C03A53">
        <w:rPr>
          <w:rFonts w:ascii="Times New Roman" w:hAnsi="Times New Roman" w:cs="Times New Roman"/>
          <w:sz w:val="24"/>
          <w:szCs w:val="24"/>
          <w:u w:val="single"/>
        </w:rPr>
        <w:t xml:space="preserve">Item 1 </w:t>
      </w:r>
      <w:r w:rsidRPr="00C03A53">
        <w:rPr>
          <w:rFonts w:ascii="Times New Roman" w:eastAsia="Times New Roman" w:hAnsi="Times New Roman" w:cs="Times New Roman"/>
          <w:sz w:val="24"/>
          <w:szCs w:val="24"/>
          <w:u w:val="single"/>
        </w:rPr>
        <w:t xml:space="preserve">– </w:t>
      </w:r>
      <w:r w:rsidRPr="00C03A53">
        <w:rPr>
          <w:rFonts w:ascii="Times New Roman" w:hAnsi="Times New Roman" w:cs="Times New Roman"/>
          <w:sz w:val="24"/>
          <w:szCs w:val="24"/>
          <w:u w:val="single"/>
        </w:rPr>
        <w:t>Section 20AB</w:t>
      </w:r>
    </w:p>
    <w:p w14:paraId="72037566" w14:textId="77777777" w:rsidR="00E54FFD" w:rsidRPr="00C03A53" w:rsidRDefault="00E54FFD" w:rsidP="00E54FFD">
      <w:pPr>
        <w:ind w:right="91"/>
        <w:rPr>
          <w:rFonts w:ascii="Times New Roman" w:hAnsi="Times New Roman" w:cs="Times New Roman"/>
          <w:sz w:val="24"/>
          <w:szCs w:val="24"/>
        </w:rPr>
      </w:pPr>
      <w:r w:rsidRPr="00C03A53">
        <w:rPr>
          <w:rFonts w:ascii="Times New Roman" w:hAnsi="Times New Roman" w:cs="Times New Roman"/>
          <w:sz w:val="24"/>
          <w:szCs w:val="24"/>
        </w:rPr>
        <w:t>This item repeals section 20AB of the Principal Rule, which provides that ‘specified tree planting’ is an excluded offset project, unless it falls within the listed circumstances in which specified tree planting projects are not considered to be excluded offsets projects.</w:t>
      </w:r>
    </w:p>
    <w:p w14:paraId="0534CE3C" w14:textId="77777777" w:rsidR="00E54FFD" w:rsidRPr="00C03A53" w:rsidRDefault="00E54FFD" w:rsidP="002550CA">
      <w:pPr>
        <w:ind w:right="91"/>
        <w:rPr>
          <w:rFonts w:ascii="Times New Roman" w:hAnsi="Times New Roman" w:cs="Times New Roman"/>
          <w:sz w:val="24"/>
          <w:szCs w:val="24"/>
        </w:rPr>
      </w:pPr>
    </w:p>
    <w:p w14:paraId="6EA05543" w14:textId="77777777" w:rsidR="005E7E92" w:rsidRPr="00C03A53" w:rsidRDefault="005E7E92" w:rsidP="005E7E92">
      <w:pPr>
        <w:spacing w:before="120" w:after="120"/>
        <w:ind w:right="91"/>
        <w:jc w:val="center"/>
        <w:rPr>
          <w:rFonts w:ascii="Times New Roman" w:eastAsia="Times New Roman" w:hAnsi="Times New Roman" w:cs="Times New Roman"/>
          <w:b/>
          <w:sz w:val="24"/>
          <w:szCs w:val="24"/>
        </w:rPr>
      </w:pPr>
      <w:r w:rsidRPr="00C03A53">
        <w:rPr>
          <w:rFonts w:ascii="Times New Roman" w:hAnsi="Times New Roman" w:cs="Times New Roman"/>
          <w:sz w:val="24"/>
          <w:szCs w:val="24"/>
        </w:rPr>
        <w:br w:type="column"/>
      </w:r>
      <w:r w:rsidRPr="00C03A53">
        <w:rPr>
          <w:rFonts w:ascii="Times New Roman" w:eastAsia="Times New Roman" w:hAnsi="Times New Roman" w:cs="Times New Roman"/>
          <w:b/>
          <w:sz w:val="24"/>
          <w:szCs w:val="24"/>
        </w:rPr>
        <w:lastRenderedPageBreak/>
        <w:t>Statement of Compatibility with Human Rights</w:t>
      </w:r>
    </w:p>
    <w:p w14:paraId="17F3CCF9" w14:textId="77777777" w:rsidR="005E7E92" w:rsidRPr="00C03A53" w:rsidRDefault="005E7E92" w:rsidP="005E7E92">
      <w:pPr>
        <w:spacing w:after="0" w:line="240" w:lineRule="auto"/>
        <w:jc w:val="center"/>
        <w:rPr>
          <w:rFonts w:ascii="Times New Roman" w:eastAsia="Times New Roman" w:hAnsi="Times New Roman" w:cs="Times New Roman"/>
          <w:b/>
          <w:sz w:val="24"/>
          <w:szCs w:val="24"/>
        </w:rPr>
      </w:pPr>
    </w:p>
    <w:p w14:paraId="7F0B3A01" w14:textId="77777777" w:rsidR="005E7E92" w:rsidRPr="00C03A53" w:rsidRDefault="005E7E92" w:rsidP="005E7E92">
      <w:pPr>
        <w:spacing w:after="0" w:line="240" w:lineRule="auto"/>
        <w:jc w:val="center"/>
        <w:rPr>
          <w:rFonts w:ascii="Times New Roman" w:eastAsia="Times New Roman" w:hAnsi="Times New Roman" w:cs="Times New Roman"/>
          <w:sz w:val="24"/>
          <w:szCs w:val="24"/>
        </w:rPr>
      </w:pPr>
      <w:r w:rsidRPr="00C03A53">
        <w:rPr>
          <w:rFonts w:ascii="Times New Roman" w:eastAsia="Times New Roman" w:hAnsi="Times New Roman" w:cs="Times New Roman"/>
          <w:i/>
          <w:sz w:val="24"/>
          <w:szCs w:val="24"/>
        </w:rPr>
        <w:t>Prepared in accordance with Part 3 of the Human Rights (Parliamentary Scrutiny) Act 2011</w:t>
      </w:r>
    </w:p>
    <w:p w14:paraId="6CBD387D" w14:textId="77777777" w:rsidR="005E7E92" w:rsidRPr="00C03A53" w:rsidRDefault="005E7E92" w:rsidP="005E7E92">
      <w:pPr>
        <w:spacing w:after="0" w:line="240" w:lineRule="auto"/>
        <w:jc w:val="center"/>
        <w:rPr>
          <w:rFonts w:ascii="Times New Roman" w:eastAsia="Times New Roman" w:hAnsi="Times New Roman" w:cs="Times New Roman"/>
          <w:sz w:val="24"/>
          <w:szCs w:val="24"/>
        </w:rPr>
      </w:pPr>
    </w:p>
    <w:p w14:paraId="322D04A1" w14:textId="77777777" w:rsidR="005E7E92" w:rsidRPr="00C03A53" w:rsidRDefault="005E7E92" w:rsidP="005E7E92">
      <w:pPr>
        <w:pStyle w:val="PlainParagraph"/>
        <w:jc w:val="center"/>
        <w:rPr>
          <w:rFonts w:ascii="Times New Roman" w:hAnsi="Times New Roman" w:cs="Times New Roman"/>
          <w:i/>
          <w:sz w:val="24"/>
          <w:szCs w:val="24"/>
        </w:rPr>
      </w:pPr>
      <w:r w:rsidRPr="00C03A53">
        <w:rPr>
          <w:rFonts w:ascii="Times New Roman" w:hAnsi="Times New Roman" w:cs="Times New Roman"/>
          <w:i/>
          <w:sz w:val="24"/>
          <w:szCs w:val="24"/>
        </w:rPr>
        <w:t>Carbon Credits (Carbon Farming Initiative) Amendment (Specified Tree Planting) Rule 2023</w:t>
      </w:r>
    </w:p>
    <w:p w14:paraId="041759A7" w14:textId="77777777" w:rsidR="005E7E92" w:rsidRPr="00C03A53" w:rsidRDefault="005E7E92" w:rsidP="005E7E92">
      <w:pPr>
        <w:spacing w:after="0" w:line="240" w:lineRule="auto"/>
        <w:jc w:val="center"/>
        <w:rPr>
          <w:rFonts w:ascii="Times New Roman" w:eastAsia="Times New Roman" w:hAnsi="Times New Roman" w:cs="Times New Roman"/>
          <w:sz w:val="24"/>
          <w:szCs w:val="24"/>
        </w:rPr>
      </w:pPr>
    </w:p>
    <w:p w14:paraId="0ED701E2" w14:textId="77777777" w:rsidR="005E7E92" w:rsidRPr="00C03A53" w:rsidRDefault="005E7E92" w:rsidP="002550CA">
      <w:pPr>
        <w:rPr>
          <w:rFonts w:ascii="Times New Roman" w:eastAsia="Times New Roman" w:hAnsi="Times New Roman" w:cs="Times New Roman"/>
          <w:sz w:val="24"/>
          <w:szCs w:val="24"/>
        </w:rPr>
      </w:pPr>
      <w:r w:rsidRPr="00C03A53">
        <w:rPr>
          <w:rFonts w:ascii="Times New Roman" w:eastAsia="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C03A53">
        <w:rPr>
          <w:rFonts w:ascii="Times New Roman" w:eastAsia="Times New Roman" w:hAnsi="Times New Roman" w:cs="Times New Roman"/>
          <w:i/>
          <w:sz w:val="24"/>
          <w:szCs w:val="24"/>
        </w:rPr>
        <w:t>Human Rights (Parliamentary Scrutiny) Act 2011</w:t>
      </w:r>
      <w:r w:rsidRPr="00C03A53">
        <w:rPr>
          <w:rFonts w:ascii="Times New Roman" w:eastAsia="Times New Roman" w:hAnsi="Times New Roman" w:cs="Times New Roman"/>
          <w:sz w:val="24"/>
          <w:szCs w:val="24"/>
        </w:rPr>
        <w:t>.</w:t>
      </w:r>
    </w:p>
    <w:p w14:paraId="09C98B48" w14:textId="77777777" w:rsidR="005E7E92" w:rsidRPr="00C03A53" w:rsidRDefault="005E7E92" w:rsidP="002550CA">
      <w:pPr>
        <w:jc w:val="both"/>
        <w:rPr>
          <w:rFonts w:ascii="Times New Roman" w:eastAsia="Times New Roman" w:hAnsi="Times New Roman" w:cs="Times New Roman"/>
          <w:b/>
          <w:sz w:val="24"/>
          <w:szCs w:val="24"/>
        </w:rPr>
      </w:pPr>
      <w:r w:rsidRPr="00C03A53">
        <w:rPr>
          <w:rFonts w:ascii="Times New Roman" w:eastAsia="Times New Roman" w:hAnsi="Times New Roman" w:cs="Times New Roman"/>
          <w:b/>
          <w:sz w:val="24"/>
          <w:szCs w:val="24"/>
        </w:rPr>
        <w:t>Overview of the Legislative Instrument</w:t>
      </w:r>
    </w:p>
    <w:p w14:paraId="13F0FB70" w14:textId="7420834D" w:rsidR="005E7E92" w:rsidRPr="00C03A53" w:rsidRDefault="005E7E92" w:rsidP="002550CA">
      <w:pPr>
        <w:rPr>
          <w:rFonts w:ascii="Times New Roman" w:hAnsi="Times New Roman" w:cs="Times New Roman"/>
          <w:sz w:val="24"/>
          <w:szCs w:val="24"/>
        </w:rPr>
      </w:pPr>
      <w:r w:rsidRPr="00C03A53">
        <w:rPr>
          <w:rFonts w:ascii="Times New Roman" w:hAnsi="Times New Roman" w:cs="Times New Roman"/>
          <w:sz w:val="24"/>
          <w:szCs w:val="24"/>
        </w:rPr>
        <w:t xml:space="preserve">The purpose of the </w:t>
      </w:r>
      <w:r w:rsidRPr="00C03A53">
        <w:rPr>
          <w:rFonts w:ascii="Times New Roman" w:hAnsi="Times New Roman" w:cs="Times New Roman"/>
          <w:bCs/>
          <w:i/>
          <w:iCs/>
          <w:sz w:val="24"/>
          <w:szCs w:val="24"/>
        </w:rPr>
        <w:t>Carbon Credits (Carbon Farming Initiative) Amendment (</w:t>
      </w:r>
      <w:r w:rsidRPr="00C03A53">
        <w:rPr>
          <w:rFonts w:ascii="Times New Roman" w:hAnsi="Times New Roman" w:cs="Times New Roman"/>
          <w:i/>
          <w:sz w:val="24"/>
          <w:szCs w:val="24"/>
        </w:rPr>
        <w:t>Specified Tree Planting</w:t>
      </w:r>
      <w:r w:rsidRPr="00C03A53">
        <w:rPr>
          <w:rFonts w:ascii="Times New Roman" w:hAnsi="Times New Roman" w:cs="Times New Roman"/>
          <w:bCs/>
          <w:i/>
          <w:iCs/>
          <w:sz w:val="24"/>
          <w:szCs w:val="24"/>
        </w:rPr>
        <w:t xml:space="preserve">) Rule 2023 </w:t>
      </w:r>
      <w:r w:rsidRPr="00C03A53">
        <w:rPr>
          <w:rFonts w:ascii="Times New Roman" w:hAnsi="Times New Roman" w:cs="Times New Roman"/>
          <w:bCs/>
          <w:iCs/>
          <w:sz w:val="24"/>
          <w:szCs w:val="24"/>
        </w:rPr>
        <w:t xml:space="preserve">(the </w:t>
      </w:r>
      <w:r w:rsidR="002550CA" w:rsidRPr="00C03A53">
        <w:rPr>
          <w:rFonts w:ascii="Times New Roman" w:hAnsi="Times New Roman" w:cs="Times New Roman"/>
          <w:bCs/>
          <w:iCs/>
          <w:sz w:val="24"/>
          <w:szCs w:val="24"/>
        </w:rPr>
        <w:t>Amendment Rule</w:t>
      </w:r>
      <w:r w:rsidRPr="00C03A53">
        <w:rPr>
          <w:rFonts w:ascii="Times New Roman" w:hAnsi="Times New Roman" w:cs="Times New Roman"/>
          <w:sz w:val="24"/>
          <w:szCs w:val="24"/>
        </w:rPr>
        <w:t xml:space="preserve">) </w:t>
      </w:r>
      <w:r w:rsidR="00EE642B" w:rsidRPr="00C03A53">
        <w:rPr>
          <w:rFonts w:ascii="Times New Roman" w:hAnsi="Times New Roman" w:cs="Times New Roman"/>
          <w:sz w:val="24"/>
          <w:szCs w:val="24"/>
        </w:rPr>
        <w:t xml:space="preserve">is to </w:t>
      </w:r>
      <w:r w:rsidRPr="00C03A53">
        <w:rPr>
          <w:rFonts w:ascii="Times New Roman" w:hAnsi="Times New Roman" w:cs="Times New Roman"/>
          <w:bCs/>
          <w:sz w:val="24"/>
          <w:szCs w:val="24"/>
        </w:rPr>
        <w:t xml:space="preserve">amend the </w:t>
      </w:r>
      <w:r w:rsidRPr="00C03A53">
        <w:rPr>
          <w:rFonts w:ascii="Times New Roman" w:hAnsi="Times New Roman" w:cs="Times New Roman"/>
          <w:i/>
          <w:sz w:val="24"/>
          <w:szCs w:val="24"/>
        </w:rPr>
        <w:t xml:space="preserve">Carbon Credits (Carbon Farming Initiative) Rule 2015 </w:t>
      </w:r>
      <w:r w:rsidRPr="00C03A53">
        <w:rPr>
          <w:rFonts w:ascii="Times New Roman" w:hAnsi="Times New Roman" w:cs="Times New Roman"/>
          <w:sz w:val="24"/>
          <w:szCs w:val="24"/>
        </w:rPr>
        <w:t>(the Principal Rule)</w:t>
      </w:r>
      <w:r w:rsidR="002550CA" w:rsidRPr="00C03A53">
        <w:rPr>
          <w:rFonts w:ascii="Times New Roman" w:hAnsi="Times New Roman" w:cs="Times New Roman"/>
          <w:sz w:val="24"/>
          <w:szCs w:val="24"/>
        </w:rPr>
        <w:t xml:space="preserve"> to repeal section 20AB</w:t>
      </w:r>
      <w:r w:rsidRPr="00C03A53">
        <w:rPr>
          <w:rFonts w:ascii="Times New Roman" w:hAnsi="Times New Roman" w:cs="Times New Roman"/>
          <w:i/>
          <w:sz w:val="24"/>
          <w:szCs w:val="24"/>
        </w:rPr>
        <w:t>.</w:t>
      </w:r>
      <w:r w:rsidRPr="00C03A53">
        <w:rPr>
          <w:rFonts w:ascii="Times New Roman" w:hAnsi="Times New Roman" w:cs="Times New Roman"/>
          <w:sz w:val="24"/>
          <w:szCs w:val="24"/>
        </w:rPr>
        <w:t xml:space="preserve"> Th</w:t>
      </w:r>
      <w:r w:rsidR="002550CA" w:rsidRPr="00C03A53">
        <w:rPr>
          <w:rFonts w:ascii="Times New Roman" w:hAnsi="Times New Roman" w:cs="Times New Roman"/>
          <w:sz w:val="24"/>
          <w:szCs w:val="24"/>
        </w:rPr>
        <w:t>is has the effect of</w:t>
      </w:r>
      <w:r w:rsidRPr="00C03A53">
        <w:rPr>
          <w:rFonts w:ascii="Times New Roman" w:hAnsi="Times New Roman" w:cs="Times New Roman"/>
          <w:sz w:val="24"/>
          <w:szCs w:val="24"/>
        </w:rPr>
        <w:t xml:space="preserve"> remov</w:t>
      </w:r>
      <w:r w:rsidR="002550CA" w:rsidRPr="00C03A53">
        <w:rPr>
          <w:rFonts w:ascii="Times New Roman" w:hAnsi="Times New Roman" w:cs="Times New Roman"/>
          <w:sz w:val="24"/>
          <w:szCs w:val="24"/>
        </w:rPr>
        <w:t>ing</w:t>
      </w:r>
      <w:r w:rsidRPr="00C03A53">
        <w:rPr>
          <w:rFonts w:ascii="Times New Roman" w:hAnsi="Times New Roman" w:cs="Times New Roman"/>
          <w:sz w:val="24"/>
          <w:szCs w:val="24"/>
        </w:rPr>
        <w:t xml:space="preserve"> specified tree planting activities from the types of ‘excluded offsets projects’ that are not eligible for crediting of greenhouse gas emissions reduction resulting from that activity. </w:t>
      </w:r>
    </w:p>
    <w:p w14:paraId="1EEAA698" w14:textId="03F0DEED" w:rsidR="005E7E92" w:rsidRPr="00C03A53" w:rsidRDefault="00CC7ACB" w:rsidP="002550CA">
      <w:pPr>
        <w:rPr>
          <w:rFonts w:ascii="Times New Roman" w:hAnsi="Times New Roman" w:cs="Times New Roman"/>
          <w:sz w:val="24"/>
          <w:szCs w:val="24"/>
        </w:rPr>
      </w:pPr>
      <w:r w:rsidRPr="00C03A53">
        <w:rPr>
          <w:rFonts w:ascii="Times New Roman" w:hAnsi="Times New Roman" w:cs="Times New Roman"/>
          <w:sz w:val="24"/>
          <w:szCs w:val="24"/>
        </w:rPr>
        <w:t>T</w:t>
      </w:r>
      <w:r w:rsidR="005E7E92" w:rsidRPr="00C03A53">
        <w:rPr>
          <w:rFonts w:ascii="Times New Roman" w:hAnsi="Times New Roman" w:cs="Times New Roman"/>
          <w:sz w:val="24"/>
          <w:szCs w:val="24"/>
        </w:rPr>
        <w:t xml:space="preserve">he </w:t>
      </w:r>
      <w:r w:rsidR="002550CA" w:rsidRPr="00C03A53">
        <w:rPr>
          <w:rFonts w:ascii="Times New Roman" w:hAnsi="Times New Roman" w:cs="Times New Roman"/>
          <w:sz w:val="24"/>
          <w:szCs w:val="24"/>
        </w:rPr>
        <w:t>Amendment Rule</w:t>
      </w:r>
      <w:r w:rsidR="005E7E92" w:rsidRPr="00C03A53">
        <w:rPr>
          <w:rFonts w:ascii="Times New Roman" w:hAnsi="Times New Roman" w:cs="Times New Roman"/>
          <w:sz w:val="24"/>
          <w:szCs w:val="24"/>
        </w:rPr>
        <w:t xml:space="preserve"> will mean that </w:t>
      </w:r>
      <w:r w:rsidR="00E436CA" w:rsidRPr="00C03A53">
        <w:rPr>
          <w:rFonts w:ascii="Times New Roman" w:hAnsi="Times New Roman" w:cs="Times New Roman"/>
          <w:sz w:val="24"/>
          <w:szCs w:val="24"/>
        </w:rPr>
        <w:t>specified tree planting</w:t>
      </w:r>
      <w:r w:rsidR="005E7E92" w:rsidRPr="00C03A53">
        <w:rPr>
          <w:rFonts w:ascii="Times New Roman" w:hAnsi="Times New Roman" w:cs="Times New Roman"/>
          <w:sz w:val="24"/>
          <w:szCs w:val="24"/>
        </w:rPr>
        <w:t xml:space="preserve"> projects do not have to meet certain additional conditions to manage the potential impacts of those kinds of projects on water availability, before they can apply to register a project eligible for Australian Carbon Credit Units. Removal of th</w:t>
      </w:r>
      <w:r w:rsidR="00EE642B" w:rsidRPr="00C03A53">
        <w:rPr>
          <w:rFonts w:ascii="Times New Roman" w:hAnsi="Times New Roman" w:cs="Times New Roman"/>
          <w:sz w:val="24"/>
          <w:szCs w:val="24"/>
        </w:rPr>
        <w:t>is</w:t>
      </w:r>
      <w:r w:rsidR="005E7E92" w:rsidRPr="00C03A53">
        <w:rPr>
          <w:rFonts w:ascii="Times New Roman" w:hAnsi="Times New Roman" w:cs="Times New Roman"/>
          <w:sz w:val="24"/>
          <w:szCs w:val="24"/>
        </w:rPr>
        <w:t xml:space="preserve"> requirement will reduce regulatory burden and thereby facilitate uptake of projects that support progress against Australia’s greenhouse gas emissions reduction targets set by the </w:t>
      </w:r>
      <w:r w:rsidR="005E7E92" w:rsidRPr="00C03A53">
        <w:rPr>
          <w:rFonts w:ascii="Times New Roman" w:hAnsi="Times New Roman" w:cs="Times New Roman"/>
          <w:i/>
          <w:sz w:val="24"/>
          <w:szCs w:val="24"/>
        </w:rPr>
        <w:t>Climate Change Act 2022</w:t>
      </w:r>
      <w:r w:rsidR="005E7E92" w:rsidRPr="00C03A53">
        <w:rPr>
          <w:rFonts w:ascii="Times New Roman" w:hAnsi="Times New Roman" w:cs="Times New Roman"/>
          <w:sz w:val="24"/>
          <w:szCs w:val="24"/>
        </w:rPr>
        <w:t xml:space="preserve">. </w:t>
      </w:r>
    </w:p>
    <w:p w14:paraId="2B05E3D2" w14:textId="77777777" w:rsidR="005E7E92" w:rsidRPr="00C03A53" w:rsidRDefault="005E7E92" w:rsidP="002550CA">
      <w:pPr>
        <w:jc w:val="both"/>
        <w:rPr>
          <w:rFonts w:ascii="Times New Roman" w:eastAsia="Times New Roman" w:hAnsi="Times New Roman" w:cs="Times New Roman"/>
          <w:b/>
          <w:sz w:val="24"/>
          <w:szCs w:val="24"/>
        </w:rPr>
      </w:pPr>
      <w:r w:rsidRPr="00C03A53">
        <w:rPr>
          <w:rFonts w:ascii="Times New Roman" w:eastAsia="Times New Roman" w:hAnsi="Times New Roman" w:cs="Times New Roman"/>
          <w:b/>
          <w:sz w:val="24"/>
          <w:szCs w:val="24"/>
        </w:rPr>
        <w:t>Human rights implications</w:t>
      </w:r>
    </w:p>
    <w:p w14:paraId="08EA470E" w14:textId="77777777" w:rsidR="005E7E92" w:rsidRPr="00C03A53" w:rsidRDefault="005E7E92" w:rsidP="002550CA">
      <w:pPr>
        <w:rPr>
          <w:rFonts w:ascii="Times New Roman" w:eastAsia="Times New Roman" w:hAnsi="Times New Roman" w:cs="Times New Roman"/>
          <w:sz w:val="24"/>
          <w:szCs w:val="24"/>
        </w:rPr>
      </w:pPr>
      <w:r w:rsidRPr="00C03A53">
        <w:rPr>
          <w:rFonts w:ascii="Times New Roman" w:eastAsia="Times New Roman" w:hAnsi="Times New Roman" w:cs="Times New Roman"/>
          <w:sz w:val="24"/>
          <w:szCs w:val="24"/>
        </w:rPr>
        <w:t>This Legislative Instrument does not engage any of the applicable rights or freedoms.</w:t>
      </w:r>
    </w:p>
    <w:p w14:paraId="127D5199" w14:textId="77777777" w:rsidR="005E7E92" w:rsidRPr="00C03A53" w:rsidRDefault="005E7E92" w:rsidP="002550CA">
      <w:pPr>
        <w:jc w:val="both"/>
        <w:rPr>
          <w:rFonts w:ascii="Times New Roman" w:eastAsia="Times New Roman" w:hAnsi="Times New Roman" w:cs="Times New Roman"/>
          <w:b/>
          <w:sz w:val="24"/>
          <w:szCs w:val="24"/>
        </w:rPr>
      </w:pPr>
      <w:r w:rsidRPr="00C03A53">
        <w:rPr>
          <w:rFonts w:ascii="Times New Roman" w:eastAsia="Times New Roman" w:hAnsi="Times New Roman" w:cs="Times New Roman"/>
          <w:b/>
          <w:sz w:val="24"/>
          <w:szCs w:val="24"/>
        </w:rPr>
        <w:t>Conclusion</w:t>
      </w:r>
    </w:p>
    <w:p w14:paraId="3A45F98B" w14:textId="77777777" w:rsidR="005E7E92" w:rsidRPr="00C03A53" w:rsidRDefault="005E7E92" w:rsidP="002550CA">
      <w:pPr>
        <w:rPr>
          <w:rFonts w:ascii="Times New Roman" w:eastAsia="Times New Roman" w:hAnsi="Times New Roman" w:cs="Times New Roman"/>
          <w:sz w:val="24"/>
          <w:szCs w:val="24"/>
        </w:rPr>
      </w:pPr>
      <w:r w:rsidRPr="00C03A53">
        <w:rPr>
          <w:rFonts w:ascii="Times New Roman" w:eastAsia="Times New Roman" w:hAnsi="Times New Roman" w:cs="Times New Roman"/>
          <w:sz w:val="24"/>
          <w:szCs w:val="24"/>
        </w:rPr>
        <w:t>This Legislative Instrument is compatible with human rights as it does not raise any human rights issues.</w:t>
      </w:r>
    </w:p>
    <w:p w14:paraId="2983183F" w14:textId="77777777" w:rsidR="005E7E92" w:rsidRPr="00C03A53" w:rsidRDefault="005E7E92" w:rsidP="002550CA">
      <w:pPr>
        <w:rPr>
          <w:rFonts w:ascii="Times New Roman" w:eastAsia="Times New Roman" w:hAnsi="Times New Roman" w:cs="Times New Roman"/>
          <w:sz w:val="24"/>
          <w:szCs w:val="24"/>
        </w:rPr>
      </w:pPr>
    </w:p>
    <w:p w14:paraId="2545FF0E" w14:textId="4D1E9D2B" w:rsidR="005E7E92" w:rsidRPr="00C03A53" w:rsidRDefault="005E7E92" w:rsidP="005E7E92">
      <w:pPr>
        <w:jc w:val="center"/>
        <w:rPr>
          <w:rFonts w:ascii="Times New Roman" w:hAnsi="Times New Roman" w:cs="Times New Roman"/>
          <w:b/>
          <w:bCs/>
          <w:sz w:val="24"/>
          <w:szCs w:val="24"/>
        </w:rPr>
      </w:pPr>
      <w:r w:rsidRPr="00C03A53">
        <w:rPr>
          <w:rFonts w:ascii="Times New Roman" w:hAnsi="Times New Roman" w:cs="Times New Roman"/>
          <w:b/>
          <w:bCs/>
          <w:sz w:val="24"/>
          <w:szCs w:val="24"/>
        </w:rPr>
        <w:t>The Hon Chris Bowen MP</w:t>
      </w:r>
    </w:p>
    <w:p w14:paraId="09569195" w14:textId="77777777" w:rsidR="005E7E92" w:rsidRPr="00C03A53" w:rsidRDefault="005E7E92" w:rsidP="005E7E92">
      <w:pPr>
        <w:jc w:val="center"/>
        <w:rPr>
          <w:rFonts w:ascii="Times New Roman" w:hAnsi="Times New Roman" w:cs="Times New Roman"/>
          <w:b/>
          <w:bCs/>
          <w:sz w:val="24"/>
          <w:szCs w:val="24"/>
        </w:rPr>
      </w:pPr>
      <w:r w:rsidRPr="00C03A53">
        <w:rPr>
          <w:rFonts w:ascii="Times New Roman" w:hAnsi="Times New Roman" w:cs="Times New Roman"/>
          <w:b/>
          <w:bCs/>
          <w:sz w:val="24"/>
          <w:szCs w:val="24"/>
        </w:rPr>
        <w:t>Minister for Climate Change and Energy</w:t>
      </w:r>
    </w:p>
    <w:p w14:paraId="591BBE45" w14:textId="77777777" w:rsidR="005E7E92" w:rsidRPr="00C03A53" w:rsidRDefault="005E7E92" w:rsidP="005E7E92"/>
    <w:p w14:paraId="5B0CCD48" w14:textId="77777777" w:rsidR="00B45C0C" w:rsidRPr="00C03A53" w:rsidRDefault="00B45C0C" w:rsidP="005E7E92"/>
    <w:sectPr w:rsidR="00B45C0C" w:rsidRPr="00C03A5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D641" w14:textId="77777777" w:rsidR="0040373D" w:rsidRDefault="0018457A">
      <w:pPr>
        <w:spacing w:after="0" w:line="240" w:lineRule="auto"/>
      </w:pPr>
      <w:r>
        <w:separator/>
      </w:r>
    </w:p>
  </w:endnote>
  <w:endnote w:type="continuationSeparator" w:id="0">
    <w:p w14:paraId="4A149978" w14:textId="77777777" w:rsidR="0040373D" w:rsidRDefault="0018457A">
      <w:pPr>
        <w:spacing w:after="0" w:line="240" w:lineRule="auto"/>
      </w:pPr>
      <w:r>
        <w:continuationSeparator/>
      </w:r>
    </w:p>
  </w:endnote>
  <w:endnote w:type="continuationNotice" w:id="1">
    <w:p w14:paraId="0077B724" w14:textId="77777777" w:rsidR="003B1202" w:rsidRDefault="003B12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467961"/>
      <w:docPartObj>
        <w:docPartGallery w:val="Page Numbers (Bottom of Page)"/>
        <w:docPartUnique/>
      </w:docPartObj>
    </w:sdtPr>
    <w:sdtEndPr>
      <w:rPr>
        <w:noProof/>
      </w:rPr>
    </w:sdtEndPr>
    <w:sdtContent>
      <w:p w14:paraId="689EF4DD" w14:textId="5DDBABDE" w:rsidR="00006E62" w:rsidRDefault="00006E62">
        <w:pPr>
          <w:pStyle w:val="Footer"/>
          <w:jc w:val="right"/>
        </w:pPr>
        <w:r>
          <w:fldChar w:fldCharType="begin"/>
        </w:r>
        <w:r>
          <w:instrText xml:space="preserve"> PAGE   \* MERGEFORMAT </w:instrText>
        </w:r>
        <w:r>
          <w:fldChar w:fldCharType="separate"/>
        </w:r>
        <w:r w:rsidR="00C7442B">
          <w:rPr>
            <w:noProof/>
          </w:rPr>
          <w:t>6</w:t>
        </w:r>
        <w:r>
          <w:rPr>
            <w:noProof/>
          </w:rPr>
          <w:fldChar w:fldCharType="end"/>
        </w:r>
      </w:p>
    </w:sdtContent>
  </w:sdt>
  <w:p w14:paraId="266AD97F" w14:textId="77777777" w:rsidR="00667969" w:rsidRDefault="00BF2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C9D8" w14:textId="77777777" w:rsidR="0040373D" w:rsidRDefault="0018457A">
      <w:pPr>
        <w:spacing w:after="0" w:line="240" w:lineRule="auto"/>
      </w:pPr>
      <w:r>
        <w:separator/>
      </w:r>
    </w:p>
  </w:footnote>
  <w:footnote w:type="continuationSeparator" w:id="0">
    <w:p w14:paraId="067DDCD0" w14:textId="77777777" w:rsidR="0040373D" w:rsidRDefault="0018457A">
      <w:pPr>
        <w:spacing w:after="0" w:line="240" w:lineRule="auto"/>
      </w:pPr>
      <w:r>
        <w:continuationSeparator/>
      </w:r>
    </w:p>
  </w:footnote>
  <w:footnote w:type="continuationNotice" w:id="1">
    <w:p w14:paraId="29B7B57A" w14:textId="77777777" w:rsidR="003B1202" w:rsidRDefault="003B12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lvl>
    <w:lvl w:ilvl="2">
      <w:start w:val="1"/>
      <w:numFmt w:val="none"/>
      <w:pStyle w:val="ListBullet3"/>
      <w:lvlText w:val=":"/>
      <w:lvlJc w:val="left"/>
      <w:pPr>
        <w:ind w:left="1106" w:hanging="369"/>
      </w:pPr>
    </w:lvl>
    <w:lvl w:ilvl="3">
      <w:start w:val="1"/>
      <w:numFmt w:val="none"/>
      <w:pStyle w:val="ListBullet4"/>
      <w:lvlText w:val=""/>
      <w:lvlJc w:val="left"/>
      <w:pPr>
        <w:ind w:left="1474" w:hanging="368"/>
      </w:pPr>
      <w:rPr>
        <w:color w:val="auto"/>
      </w:rPr>
    </w:lvl>
    <w:lvl w:ilvl="4">
      <w:start w:val="1"/>
      <w:numFmt w:val="none"/>
      <w:pStyle w:val="ListBullet5"/>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1" w15:restartNumberingAfterBreak="0">
    <w:nsid w:val="0B3F31A3"/>
    <w:multiLevelType w:val="hybridMultilevel"/>
    <w:tmpl w:val="F71E05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3A968E9"/>
    <w:multiLevelType w:val="hybridMultilevel"/>
    <w:tmpl w:val="00840D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4A320C"/>
    <w:multiLevelType w:val="multilevel"/>
    <w:tmpl w:val="7BD4E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77182"/>
    <w:multiLevelType w:val="multilevel"/>
    <w:tmpl w:val="2632A42E"/>
    <w:lvl w:ilvl="0">
      <w:start w:val="1"/>
      <w:numFmt w:val="lowerLetter"/>
      <w:lvlText w:val="%1)"/>
      <w:lvlJc w:val="left"/>
      <w:pPr>
        <w:ind w:left="738" w:hanging="369"/>
      </w:pPr>
      <w:rPr>
        <w:rFonts w:hint="default"/>
      </w:rPr>
    </w:lvl>
    <w:lvl w:ilvl="1">
      <w:start w:val="1"/>
      <w:numFmt w:val="none"/>
      <w:lvlText w:val="-"/>
      <w:lvlJc w:val="left"/>
      <w:pPr>
        <w:ind w:left="1106" w:hanging="368"/>
      </w:pPr>
    </w:lvl>
    <w:lvl w:ilvl="2">
      <w:start w:val="1"/>
      <w:numFmt w:val="none"/>
      <w:lvlText w:val=":"/>
      <w:lvlJc w:val="left"/>
      <w:pPr>
        <w:ind w:left="1475" w:hanging="369"/>
      </w:pPr>
    </w:lvl>
    <w:lvl w:ilvl="3">
      <w:start w:val="1"/>
      <w:numFmt w:val="none"/>
      <w:lvlText w:val=""/>
      <w:lvlJc w:val="left"/>
      <w:pPr>
        <w:ind w:left="1843" w:hanging="368"/>
      </w:pPr>
      <w:rPr>
        <w:color w:val="auto"/>
      </w:rPr>
    </w:lvl>
    <w:lvl w:ilvl="4">
      <w:start w:val="1"/>
      <w:numFmt w:val="none"/>
      <w:lvlText w:val=""/>
      <w:lvlJc w:val="left"/>
      <w:pPr>
        <w:ind w:left="2169" w:hanging="360"/>
      </w:pPr>
      <w:rPr>
        <w:color w:val="auto"/>
      </w:rPr>
    </w:lvl>
    <w:lvl w:ilvl="5">
      <w:start w:val="1"/>
      <w:numFmt w:val="none"/>
      <w:lvlText w:val=""/>
      <w:lvlJc w:val="left"/>
      <w:pPr>
        <w:ind w:left="2529" w:hanging="360"/>
      </w:pPr>
      <w:rPr>
        <w:color w:val="auto"/>
      </w:rPr>
    </w:lvl>
    <w:lvl w:ilvl="6">
      <w:start w:val="1"/>
      <w:numFmt w:val="none"/>
      <w:lvlText w:val=""/>
      <w:lvlJc w:val="left"/>
      <w:pPr>
        <w:ind w:left="2889" w:hanging="360"/>
      </w:pPr>
      <w:rPr>
        <w:color w:val="auto"/>
      </w:rPr>
    </w:lvl>
    <w:lvl w:ilvl="7">
      <w:start w:val="1"/>
      <w:numFmt w:val="none"/>
      <w:lvlText w:val=""/>
      <w:lvlJc w:val="left"/>
      <w:pPr>
        <w:ind w:left="3249" w:hanging="360"/>
      </w:pPr>
      <w:rPr>
        <w:color w:val="auto"/>
      </w:rPr>
    </w:lvl>
    <w:lvl w:ilvl="8">
      <w:start w:val="1"/>
      <w:numFmt w:val="none"/>
      <w:lvlText w:val=""/>
      <w:lvlJc w:val="left"/>
      <w:pPr>
        <w:ind w:left="3609" w:hanging="360"/>
      </w:pPr>
      <w:rPr>
        <w:color w:val="auto"/>
      </w:rPr>
    </w:lvl>
  </w:abstractNum>
  <w:abstractNum w:abstractNumId="6" w15:restartNumberingAfterBreak="0">
    <w:nsid w:val="1DCC6554"/>
    <w:multiLevelType w:val="hybridMultilevel"/>
    <w:tmpl w:val="4E360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7F76A39"/>
    <w:multiLevelType w:val="hybridMultilevel"/>
    <w:tmpl w:val="D04A55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1E3A85"/>
    <w:multiLevelType w:val="multilevel"/>
    <w:tmpl w:val="2632A42E"/>
    <w:lvl w:ilvl="0">
      <w:start w:val="1"/>
      <w:numFmt w:val="lowerLetter"/>
      <w:lvlText w:val="%1)"/>
      <w:lvlJc w:val="left"/>
      <w:pPr>
        <w:ind w:left="738" w:hanging="369"/>
      </w:pPr>
      <w:rPr>
        <w:rFonts w:hint="default"/>
      </w:rPr>
    </w:lvl>
    <w:lvl w:ilvl="1">
      <w:start w:val="1"/>
      <w:numFmt w:val="none"/>
      <w:lvlText w:val="-"/>
      <w:lvlJc w:val="left"/>
      <w:pPr>
        <w:ind w:left="1106" w:hanging="368"/>
      </w:pPr>
    </w:lvl>
    <w:lvl w:ilvl="2">
      <w:start w:val="1"/>
      <w:numFmt w:val="none"/>
      <w:lvlText w:val=":"/>
      <w:lvlJc w:val="left"/>
      <w:pPr>
        <w:ind w:left="1475" w:hanging="369"/>
      </w:pPr>
    </w:lvl>
    <w:lvl w:ilvl="3">
      <w:start w:val="1"/>
      <w:numFmt w:val="none"/>
      <w:lvlText w:val=""/>
      <w:lvlJc w:val="left"/>
      <w:pPr>
        <w:ind w:left="1843" w:hanging="368"/>
      </w:pPr>
      <w:rPr>
        <w:color w:val="auto"/>
      </w:rPr>
    </w:lvl>
    <w:lvl w:ilvl="4">
      <w:start w:val="1"/>
      <w:numFmt w:val="none"/>
      <w:lvlText w:val=""/>
      <w:lvlJc w:val="left"/>
      <w:pPr>
        <w:ind w:left="2169" w:hanging="360"/>
      </w:pPr>
      <w:rPr>
        <w:color w:val="auto"/>
      </w:rPr>
    </w:lvl>
    <w:lvl w:ilvl="5">
      <w:start w:val="1"/>
      <w:numFmt w:val="none"/>
      <w:lvlText w:val=""/>
      <w:lvlJc w:val="left"/>
      <w:pPr>
        <w:ind w:left="2529" w:hanging="360"/>
      </w:pPr>
      <w:rPr>
        <w:color w:val="auto"/>
      </w:rPr>
    </w:lvl>
    <w:lvl w:ilvl="6">
      <w:start w:val="1"/>
      <w:numFmt w:val="none"/>
      <w:lvlText w:val=""/>
      <w:lvlJc w:val="left"/>
      <w:pPr>
        <w:ind w:left="2889" w:hanging="360"/>
      </w:pPr>
      <w:rPr>
        <w:color w:val="auto"/>
      </w:rPr>
    </w:lvl>
    <w:lvl w:ilvl="7">
      <w:start w:val="1"/>
      <w:numFmt w:val="none"/>
      <w:lvlText w:val=""/>
      <w:lvlJc w:val="left"/>
      <w:pPr>
        <w:ind w:left="3249" w:hanging="360"/>
      </w:pPr>
      <w:rPr>
        <w:color w:val="auto"/>
      </w:rPr>
    </w:lvl>
    <w:lvl w:ilvl="8">
      <w:start w:val="1"/>
      <w:numFmt w:val="none"/>
      <w:lvlText w:val=""/>
      <w:lvlJc w:val="left"/>
      <w:pPr>
        <w:ind w:left="3609" w:hanging="360"/>
      </w:pPr>
      <w:rPr>
        <w:color w:val="auto"/>
      </w:rPr>
    </w:lvl>
  </w:abstractNum>
  <w:abstractNum w:abstractNumId="11" w15:restartNumberingAfterBreak="0">
    <w:nsid w:val="3FDF06B1"/>
    <w:multiLevelType w:val="hybridMultilevel"/>
    <w:tmpl w:val="DCCAB7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E02570"/>
    <w:multiLevelType w:val="hybridMultilevel"/>
    <w:tmpl w:val="E722C786"/>
    <w:lvl w:ilvl="0" w:tplc="0C090001">
      <w:start w:val="1"/>
      <w:numFmt w:val="bullet"/>
      <w:lvlText w:val=""/>
      <w:lvlJc w:val="left"/>
      <w:pPr>
        <w:ind w:left="354" w:hanging="360"/>
      </w:pPr>
      <w:rPr>
        <w:rFonts w:ascii="Symbol" w:hAnsi="Symbol" w:hint="default"/>
      </w:rPr>
    </w:lvl>
    <w:lvl w:ilvl="1" w:tplc="0C090003" w:tentative="1">
      <w:start w:val="1"/>
      <w:numFmt w:val="bullet"/>
      <w:lvlText w:val="o"/>
      <w:lvlJc w:val="left"/>
      <w:pPr>
        <w:ind w:left="1074" w:hanging="360"/>
      </w:pPr>
      <w:rPr>
        <w:rFonts w:ascii="Courier New" w:hAnsi="Courier New" w:cs="Courier New" w:hint="default"/>
      </w:rPr>
    </w:lvl>
    <w:lvl w:ilvl="2" w:tplc="0C090005" w:tentative="1">
      <w:start w:val="1"/>
      <w:numFmt w:val="bullet"/>
      <w:lvlText w:val=""/>
      <w:lvlJc w:val="left"/>
      <w:pPr>
        <w:ind w:left="1794" w:hanging="360"/>
      </w:pPr>
      <w:rPr>
        <w:rFonts w:ascii="Wingdings" w:hAnsi="Wingdings" w:hint="default"/>
      </w:rPr>
    </w:lvl>
    <w:lvl w:ilvl="3" w:tplc="0C090001" w:tentative="1">
      <w:start w:val="1"/>
      <w:numFmt w:val="bullet"/>
      <w:lvlText w:val=""/>
      <w:lvlJc w:val="left"/>
      <w:pPr>
        <w:ind w:left="2514" w:hanging="360"/>
      </w:pPr>
      <w:rPr>
        <w:rFonts w:ascii="Symbol" w:hAnsi="Symbol" w:hint="default"/>
      </w:rPr>
    </w:lvl>
    <w:lvl w:ilvl="4" w:tplc="0C090003" w:tentative="1">
      <w:start w:val="1"/>
      <w:numFmt w:val="bullet"/>
      <w:lvlText w:val="o"/>
      <w:lvlJc w:val="left"/>
      <w:pPr>
        <w:ind w:left="3234" w:hanging="360"/>
      </w:pPr>
      <w:rPr>
        <w:rFonts w:ascii="Courier New" w:hAnsi="Courier New" w:cs="Courier New" w:hint="default"/>
      </w:rPr>
    </w:lvl>
    <w:lvl w:ilvl="5" w:tplc="0C090005" w:tentative="1">
      <w:start w:val="1"/>
      <w:numFmt w:val="bullet"/>
      <w:lvlText w:val=""/>
      <w:lvlJc w:val="left"/>
      <w:pPr>
        <w:ind w:left="3954" w:hanging="360"/>
      </w:pPr>
      <w:rPr>
        <w:rFonts w:ascii="Wingdings" w:hAnsi="Wingdings" w:hint="default"/>
      </w:rPr>
    </w:lvl>
    <w:lvl w:ilvl="6" w:tplc="0C090001" w:tentative="1">
      <w:start w:val="1"/>
      <w:numFmt w:val="bullet"/>
      <w:lvlText w:val=""/>
      <w:lvlJc w:val="left"/>
      <w:pPr>
        <w:ind w:left="4674" w:hanging="360"/>
      </w:pPr>
      <w:rPr>
        <w:rFonts w:ascii="Symbol" w:hAnsi="Symbol" w:hint="default"/>
      </w:rPr>
    </w:lvl>
    <w:lvl w:ilvl="7" w:tplc="0C090003" w:tentative="1">
      <w:start w:val="1"/>
      <w:numFmt w:val="bullet"/>
      <w:lvlText w:val="o"/>
      <w:lvlJc w:val="left"/>
      <w:pPr>
        <w:ind w:left="5394" w:hanging="360"/>
      </w:pPr>
      <w:rPr>
        <w:rFonts w:ascii="Courier New" w:hAnsi="Courier New" w:cs="Courier New" w:hint="default"/>
      </w:rPr>
    </w:lvl>
    <w:lvl w:ilvl="8" w:tplc="0C090005" w:tentative="1">
      <w:start w:val="1"/>
      <w:numFmt w:val="bullet"/>
      <w:lvlText w:val=""/>
      <w:lvlJc w:val="left"/>
      <w:pPr>
        <w:ind w:left="6114" w:hanging="360"/>
      </w:pPr>
      <w:rPr>
        <w:rFonts w:ascii="Wingdings" w:hAnsi="Wingdings" w:hint="default"/>
      </w:rPr>
    </w:lvl>
  </w:abstractNum>
  <w:abstractNum w:abstractNumId="13" w15:restartNumberingAfterBreak="0">
    <w:nsid w:val="495C0373"/>
    <w:multiLevelType w:val="multilevel"/>
    <w:tmpl w:val="2632A42E"/>
    <w:lvl w:ilvl="0">
      <w:start w:val="1"/>
      <w:numFmt w:val="lowerLetter"/>
      <w:lvlText w:val="%1)"/>
      <w:lvlJc w:val="left"/>
      <w:pPr>
        <w:ind w:left="794" w:hanging="369"/>
      </w:pPr>
      <w:rPr>
        <w:rFonts w:hint="default"/>
      </w:rPr>
    </w:lvl>
    <w:lvl w:ilvl="1">
      <w:start w:val="1"/>
      <w:numFmt w:val="none"/>
      <w:lvlText w:val="-"/>
      <w:lvlJc w:val="left"/>
      <w:pPr>
        <w:ind w:left="1106" w:hanging="368"/>
      </w:pPr>
    </w:lvl>
    <w:lvl w:ilvl="2">
      <w:start w:val="1"/>
      <w:numFmt w:val="none"/>
      <w:lvlText w:val=":"/>
      <w:lvlJc w:val="left"/>
      <w:pPr>
        <w:ind w:left="1475" w:hanging="369"/>
      </w:pPr>
    </w:lvl>
    <w:lvl w:ilvl="3">
      <w:start w:val="1"/>
      <w:numFmt w:val="none"/>
      <w:lvlText w:val=""/>
      <w:lvlJc w:val="left"/>
      <w:pPr>
        <w:ind w:left="1843" w:hanging="368"/>
      </w:pPr>
      <w:rPr>
        <w:color w:val="auto"/>
      </w:rPr>
    </w:lvl>
    <w:lvl w:ilvl="4">
      <w:start w:val="1"/>
      <w:numFmt w:val="none"/>
      <w:lvlText w:val=""/>
      <w:lvlJc w:val="left"/>
      <w:pPr>
        <w:ind w:left="2169" w:hanging="360"/>
      </w:pPr>
      <w:rPr>
        <w:color w:val="auto"/>
      </w:rPr>
    </w:lvl>
    <w:lvl w:ilvl="5">
      <w:start w:val="1"/>
      <w:numFmt w:val="none"/>
      <w:lvlText w:val=""/>
      <w:lvlJc w:val="left"/>
      <w:pPr>
        <w:ind w:left="2529" w:hanging="360"/>
      </w:pPr>
      <w:rPr>
        <w:color w:val="auto"/>
      </w:rPr>
    </w:lvl>
    <w:lvl w:ilvl="6">
      <w:start w:val="1"/>
      <w:numFmt w:val="none"/>
      <w:lvlText w:val=""/>
      <w:lvlJc w:val="left"/>
      <w:pPr>
        <w:ind w:left="2889" w:hanging="360"/>
      </w:pPr>
      <w:rPr>
        <w:color w:val="auto"/>
      </w:rPr>
    </w:lvl>
    <w:lvl w:ilvl="7">
      <w:start w:val="1"/>
      <w:numFmt w:val="none"/>
      <w:lvlText w:val=""/>
      <w:lvlJc w:val="left"/>
      <w:pPr>
        <w:ind w:left="3249" w:hanging="360"/>
      </w:pPr>
      <w:rPr>
        <w:color w:val="auto"/>
      </w:rPr>
    </w:lvl>
    <w:lvl w:ilvl="8">
      <w:start w:val="1"/>
      <w:numFmt w:val="none"/>
      <w:lvlText w:val=""/>
      <w:lvlJc w:val="left"/>
      <w:pPr>
        <w:ind w:left="3609" w:hanging="360"/>
      </w:pPr>
      <w:rPr>
        <w:color w:val="auto"/>
      </w:rPr>
    </w:lvl>
  </w:abstractNum>
  <w:abstractNum w:abstractNumId="14" w15:restartNumberingAfterBreak="0">
    <w:nsid w:val="55F3132F"/>
    <w:multiLevelType w:val="hybridMultilevel"/>
    <w:tmpl w:val="42EA5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6" w15:restartNumberingAfterBreak="0">
    <w:nsid w:val="6407243B"/>
    <w:multiLevelType w:val="hybridMultilevel"/>
    <w:tmpl w:val="E4BEDBE2"/>
    <w:lvl w:ilvl="0" w:tplc="7F381B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7174913">
    <w:abstractNumId w:val="7"/>
    <w:lvlOverride w:ilvl="0">
      <w:startOverride w:val="1"/>
      <w:lvl w:ilvl="0">
        <w:start w:val="1"/>
        <w:numFmt w:val="decimal"/>
        <w:lvlText w:val=""/>
        <w:lvlJc w:val="left"/>
        <w:pPr>
          <w:ind w:left="369" w:hanging="369"/>
        </w:pPr>
        <w:rPr>
          <w:rFonts w:ascii="Symbol" w:hAnsi="Symbol" w:hint="default"/>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491993104">
    <w:abstractNumId w:val="0"/>
  </w:num>
  <w:num w:numId="3" w16cid:durableId="1728723101">
    <w:abstractNumId w:val="1"/>
  </w:num>
  <w:num w:numId="4" w16cid:durableId="523128401">
    <w:abstractNumId w:val="15"/>
  </w:num>
  <w:num w:numId="5" w16cid:durableId="91903408">
    <w:abstractNumId w:val="8"/>
  </w:num>
  <w:num w:numId="6" w16cid:durableId="2044624254">
    <w:abstractNumId w:val="12"/>
  </w:num>
  <w:num w:numId="7" w16cid:durableId="49154617">
    <w:abstractNumId w:val="13"/>
  </w:num>
  <w:num w:numId="8" w16cid:durableId="1155758696">
    <w:abstractNumId w:val="11"/>
  </w:num>
  <w:num w:numId="9" w16cid:durableId="2024741480">
    <w:abstractNumId w:val="5"/>
  </w:num>
  <w:num w:numId="10" w16cid:durableId="499975820">
    <w:abstractNumId w:val="10"/>
  </w:num>
  <w:num w:numId="11" w16cid:durableId="1913272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7664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18"/>
    <w:rsid w:val="00006E62"/>
    <w:rsid w:val="0002230E"/>
    <w:rsid w:val="0004740C"/>
    <w:rsid w:val="00061CA0"/>
    <w:rsid w:val="000714FC"/>
    <w:rsid w:val="00081946"/>
    <w:rsid w:val="00084510"/>
    <w:rsid w:val="00085EA2"/>
    <w:rsid w:val="000D2F0F"/>
    <w:rsid w:val="000E227B"/>
    <w:rsid w:val="000E3336"/>
    <w:rsid w:val="000F4534"/>
    <w:rsid w:val="001422D6"/>
    <w:rsid w:val="00152374"/>
    <w:rsid w:val="00152E2F"/>
    <w:rsid w:val="0016313C"/>
    <w:rsid w:val="001639F9"/>
    <w:rsid w:val="00180C89"/>
    <w:rsid w:val="0018457A"/>
    <w:rsid w:val="001923C7"/>
    <w:rsid w:val="00195940"/>
    <w:rsid w:val="00197D05"/>
    <w:rsid w:val="001A4063"/>
    <w:rsid w:val="001C4081"/>
    <w:rsid w:val="001D6890"/>
    <w:rsid w:val="001E4E75"/>
    <w:rsid w:val="001F05E1"/>
    <w:rsid w:val="001F45F0"/>
    <w:rsid w:val="001F4E06"/>
    <w:rsid w:val="001F5F39"/>
    <w:rsid w:val="00213280"/>
    <w:rsid w:val="00217A92"/>
    <w:rsid w:val="00225C45"/>
    <w:rsid w:val="00226903"/>
    <w:rsid w:val="00234275"/>
    <w:rsid w:val="00244696"/>
    <w:rsid w:val="002550CA"/>
    <w:rsid w:val="00261A1E"/>
    <w:rsid w:val="00266483"/>
    <w:rsid w:val="002714AB"/>
    <w:rsid w:val="002769EB"/>
    <w:rsid w:val="002970FA"/>
    <w:rsid w:val="002A5353"/>
    <w:rsid w:val="002C6D4D"/>
    <w:rsid w:val="002E3406"/>
    <w:rsid w:val="002E3B62"/>
    <w:rsid w:val="002E5506"/>
    <w:rsid w:val="00324E4C"/>
    <w:rsid w:val="003360CC"/>
    <w:rsid w:val="0034140D"/>
    <w:rsid w:val="0034472E"/>
    <w:rsid w:val="00354721"/>
    <w:rsid w:val="003571AA"/>
    <w:rsid w:val="0036232F"/>
    <w:rsid w:val="00372505"/>
    <w:rsid w:val="003839FB"/>
    <w:rsid w:val="003900D3"/>
    <w:rsid w:val="003A0662"/>
    <w:rsid w:val="003A4117"/>
    <w:rsid w:val="003B1202"/>
    <w:rsid w:val="003F08CF"/>
    <w:rsid w:val="00400DB0"/>
    <w:rsid w:val="0040373D"/>
    <w:rsid w:val="004042FD"/>
    <w:rsid w:val="004211FF"/>
    <w:rsid w:val="00427E5C"/>
    <w:rsid w:val="004501E8"/>
    <w:rsid w:val="004520C9"/>
    <w:rsid w:val="00452DBC"/>
    <w:rsid w:val="00475276"/>
    <w:rsid w:val="004B2818"/>
    <w:rsid w:val="004B5E98"/>
    <w:rsid w:val="004C49F3"/>
    <w:rsid w:val="004C577A"/>
    <w:rsid w:val="004C5CCC"/>
    <w:rsid w:val="004E7554"/>
    <w:rsid w:val="0050104B"/>
    <w:rsid w:val="00513803"/>
    <w:rsid w:val="00523BEE"/>
    <w:rsid w:val="00525B30"/>
    <w:rsid w:val="00535BFA"/>
    <w:rsid w:val="0054490E"/>
    <w:rsid w:val="0054612E"/>
    <w:rsid w:val="00564741"/>
    <w:rsid w:val="00575C2C"/>
    <w:rsid w:val="005855D7"/>
    <w:rsid w:val="005862DD"/>
    <w:rsid w:val="00591868"/>
    <w:rsid w:val="005952FF"/>
    <w:rsid w:val="00597DD0"/>
    <w:rsid w:val="005B0F34"/>
    <w:rsid w:val="005B2960"/>
    <w:rsid w:val="005C29A2"/>
    <w:rsid w:val="005D6412"/>
    <w:rsid w:val="005E7E92"/>
    <w:rsid w:val="006615AD"/>
    <w:rsid w:val="006658A5"/>
    <w:rsid w:val="00670195"/>
    <w:rsid w:val="006A70E6"/>
    <w:rsid w:val="006B6136"/>
    <w:rsid w:val="006C339C"/>
    <w:rsid w:val="006D40F0"/>
    <w:rsid w:val="006F2AED"/>
    <w:rsid w:val="006F37D6"/>
    <w:rsid w:val="00705B9A"/>
    <w:rsid w:val="00710B9D"/>
    <w:rsid w:val="007174E9"/>
    <w:rsid w:val="0075273F"/>
    <w:rsid w:val="007816EB"/>
    <w:rsid w:val="007839D0"/>
    <w:rsid w:val="007B098C"/>
    <w:rsid w:val="007D3FF0"/>
    <w:rsid w:val="007D6AB3"/>
    <w:rsid w:val="007E45AB"/>
    <w:rsid w:val="008000B1"/>
    <w:rsid w:val="008027B1"/>
    <w:rsid w:val="008029AB"/>
    <w:rsid w:val="00806239"/>
    <w:rsid w:val="00811DC1"/>
    <w:rsid w:val="0084429A"/>
    <w:rsid w:val="00847DBB"/>
    <w:rsid w:val="00855ECD"/>
    <w:rsid w:val="00866DD3"/>
    <w:rsid w:val="00876130"/>
    <w:rsid w:val="008A3147"/>
    <w:rsid w:val="008A4C24"/>
    <w:rsid w:val="008B08B7"/>
    <w:rsid w:val="008B0CAA"/>
    <w:rsid w:val="008B4356"/>
    <w:rsid w:val="008E5ADA"/>
    <w:rsid w:val="008E5D16"/>
    <w:rsid w:val="008E7C48"/>
    <w:rsid w:val="008F0725"/>
    <w:rsid w:val="00905FD0"/>
    <w:rsid w:val="0090790D"/>
    <w:rsid w:val="00912122"/>
    <w:rsid w:val="009127A0"/>
    <w:rsid w:val="00920C94"/>
    <w:rsid w:val="00932BE2"/>
    <w:rsid w:val="00933257"/>
    <w:rsid w:val="009356DD"/>
    <w:rsid w:val="00971FF4"/>
    <w:rsid w:val="00972B7C"/>
    <w:rsid w:val="0099207A"/>
    <w:rsid w:val="009974CD"/>
    <w:rsid w:val="009A6C9D"/>
    <w:rsid w:val="009F69A0"/>
    <w:rsid w:val="00A012A0"/>
    <w:rsid w:val="00A013B1"/>
    <w:rsid w:val="00A01AE3"/>
    <w:rsid w:val="00A1686A"/>
    <w:rsid w:val="00A172F8"/>
    <w:rsid w:val="00A25DD8"/>
    <w:rsid w:val="00A2708E"/>
    <w:rsid w:val="00A511E9"/>
    <w:rsid w:val="00A62C92"/>
    <w:rsid w:val="00A80857"/>
    <w:rsid w:val="00AA00AE"/>
    <w:rsid w:val="00AA07BE"/>
    <w:rsid w:val="00AC32DB"/>
    <w:rsid w:val="00AC5BD9"/>
    <w:rsid w:val="00AE66A9"/>
    <w:rsid w:val="00B01DCB"/>
    <w:rsid w:val="00B22FFB"/>
    <w:rsid w:val="00B31099"/>
    <w:rsid w:val="00B45C0C"/>
    <w:rsid w:val="00B47ADB"/>
    <w:rsid w:val="00B511E9"/>
    <w:rsid w:val="00B701FF"/>
    <w:rsid w:val="00B802FD"/>
    <w:rsid w:val="00B834C7"/>
    <w:rsid w:val="00B93BE9"/>
    <w:rsid w:val="00B965E4"/>
    <w:rsid w:val="00BA626D"/>
    <w:rsid w:val="00BC44A4"/>
    <w:rsid w:val="00BC5E74"/>
    <w:rsid w:val="00BE000C"/>
    <w:rsid w:val="00BF2E5A"/>
    <w:rsid w:val="00BF2E98"/>
    <w:rsid w:val="00C010E8"/>
    <w:rsid w:val="00C03A53"/>
    <w:rsid w:val="00C240D2"/>
    <w:rsid w:val="00C41B1B"/>
    <w:rsid w:val="00C422BC"/>
    <w:rsid w:val="00C543A0"/>
    <w:rsid w:val="00C650B6"/>
    <w:rsid w:val="00C7442B"/>
    <w:rsid w:val="00C92DDB"/>
    <w:rsid w:val="00CB5C33"/>
    <w:rsid w:val="00CC4330"/>
    <w:rsid w:val="00CC7ACB"/>
    <w:rsid w:val="00D05C39"/>
    <w:rsid w:val="00D20265"/>
    <w:rsid w:val="00D26E3E"/>
    <w:rsid w:val="00D31A92"/>
    <w:rsid w:val="00D37D5E"/>
    <w:rsid w:val="00D457F6"/>
    <w:rsid w:val="00D808BF"/>
    <w:rsid w:val="00D824D5"/>
    <w:rsid w:val="00D9081C"/>
    <w:rsid w:val="00DA2B0C"/>
    <w:rsid w:val="00DC76CC"/>
    <w:rsid w:val="00DD1CA9"/>
    <w:rsid w:val="00E04771"/>
    <w:rsid w:val="00E22F06"/>
    <w:rsid w:val="00E310EE"/>
    <w:rsid w:val="00E436CA"/>
    <w:rsid w:val="00E44326"/>
    <w:rsid w:val="00E54FFD"/>
    <w:rsid w:val="00E669D7"/>
    <w:rsid w:val="00E77AFB"/>
    <w:rsid w:val="00E84706"/>
    <w:rsid w:val="00E93369"/>
    <w:rsid w:val="00E94377"/>
    <w:rsid w:val="00EA7DC2"/>
    <w:rsid w:val="00EB2BCA"/>
    <w:rsid w:val="00EC3295"/>
    <w:rsid w:val="00EC5BA9"/>
    <w:rsid w:val="00ED4012"/>
    <w:rsid w:val="00EE642B"/>
    <w:rsid w:val="00EF20FD"/>
    <w:rsid w:val="00F02A70"/>
    <w:rsid w:val="00F162FC"/>
    <w:rsid w:val="00F2067E"/>
    <w:rsid w:val="00F41644"/>
    <w:rsid w:val="00F51DF3"/>
    <w:rsid w:val="00F61012"/>
    <w:rsid w:val="00FC0B34"/>
    <w:rsid w:val="00FD2593"/>
    <w:rsid w:val="00FD31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B4E2"/>
  <w15:chartTrackingRefBased/>
  <w15:docId w15:val="{2156176B-EB90-443D-82E5-DA01CDE1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aliases w:val="PP"/>
    <w:basedOn w:val="Normal"/>
    <w:link w:val="PlainParagraphChar"/>
    <w:qFormat/>
    <w:rsid w:val="001D6890"/>
    <w:pPr>
      <w:spacing w:before="140" w:after="140" w:line="280" w:lineRule="atLeast"/>
    </w:pPr>
    <w:rPr>
      <w:rFonts w:ascii="Arial" w:eastAsia="Times New Roman" w:hAnsi="Arial" w:cs="Arial"/>
      <w:lang w:eastAsia="en-AU"/>
    </w:rPr>
  </w:style>
  <w:style w:type="character" w:styleId="CommentReference">
    <w:name w:val="annotation reference"/>
    <w:basedOn w:val="DefaultParagraphFont"/>
    <w:uiPriority w:val="99"/>
    <w:semiHidden/>
    <w:unhideWhenUsed/>
    <w:rsid w:val="001D6890"/>
    <w:rPr>
      <w:sz w:val="16"/>
      <w:szCs w:val="16"/>
    </w:rPr>
  </w:style>
  <w:style w:type="paragraph" w:styleId="CommentText">
    <w:name w:val="annotation text"/>
    <w:basedOn w:val="Normal"/>
    <w:link w:val="CommentTextChar"/>
    <w:uiPriority w:val="99"/>
    <w:unhideWhenUsed/>
    <w:rsid w:val="001D6890"/>
    <w:pPr>
      <w:spacing w:after="0" w:line="240" w:lineRule="auto"/>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1D6890"/>
    <w:rPr>
      <w:rFonts w:ascii="Arial" w:eastAsia="Times New Roman" w:hAnsi="Arial" w:cs="Arial"/>
      <w:sz w:val="20"/>
      <w:szCs w:val="20"/>
      <w:lang w:eastAsia="en-AU"/>
    </w:rPr>
  </w:style>
  <w:style w:type="character" w:customStyle="1" w:styleId="PlainParagraphChar">
    <w:name w:val="Plain Paragraph Char"/>
    <w:aliases w:val="PP Char"/>
    <w:basedOn w:val="DefaultParagraphFont"/>
    <w:link w:val="PlainParagraph"/>
    <w:rsid w:val="001D6890"/>
    <w:rPr>
      <w:rFonts w:ascii="Arial" w:eastAsia="Times New Roman" w:hAnsi="Arial" w:cs="Arial"/>
      <w:lang w:eastAsia="en-AU"/>
    </w:rPr>
  </w:style>
  <w:style w:type="paragraph" w:styleId="BalloonText">
    <w:name w:val="Balloon Text"/>
    <w:basedOn w:val="Normal"/>
    <w:link w:val="BalloonTextChar"/>
    <w:uiPriority w:val="99"/>
    <w:semiHidden/>
    <w:unhideWhenUsed/>
    <w:rsid w:val="001D6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8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D6890"/>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D6890"/>
    <w:rPr>
      <w:rFonts w:ascii="Arial" w:eastAsia="Times New Roman" w:hAnsi="Arial" w:cs="Arial"/>
      <w:b/>
      <w:bCs/>
      <w:sz w:val="20"/>
      <w:szCs w:val="20"/>
      <w:lang w:eastAsia="en-AU"/>
    </w:rPr>
  </w:style>
  <w:style w:type="paragraph" w:customStyle="1" w:styleId="base-text-paragraphnonumbers">
    <w:name w:val="base-text-paragraph no numbers"/>
    <w:basedOn w:val="Normal"/>
    <w:uiPriority w:val="99"/>
    <w:rsid w:val="001D6890"/>
    <w:pPr>
      <w:spacing w:before="120" w:after="120" w:line="240" w:lineRule="auto"/>
      <w:ind w:left="1134"/>
    </w:pPr>
    <w:rPr>
      <w:rFonts w:ascii="Times New Roman" w:eastAsia="Times New Roman" w:hAnsi="Times New Roman" w:cs="Times New Roman"/>
      <w:lang w:eastAsia="en-AU"/>
    </w:rPr>
  </w:style>
  <w:style w:type="paragraph" w:styleId="ListParagraph">
    <w:name w:val="List Paragraph"/>
    <w:basedOn w:val="Normal"/>
    <w:uiPriority w:val="34"/>
    <w:qFormat/>
    <w:rsid w:val="00261A1E"/>
    <w:pPr>
      <w:ind w:left="720"/>
      <w:contextualSpacing/>
    </w:pPr>
  </w:style>
  <w:style w:type="character" w:styleId="Hyperlink">
    <w:name w:val="Hyperlink"/>
    <w:basedOn w:val="DefaultParagraphFont"/>
    <w:uiPriority w:val="99"/>
    <w:unhideWhenUsed/>
    <w:rsid w:val="005E7E92"/>
    <w:rPr>
      <w:color w:val="0563C1" w:themeColor="hyperlink"/>
      <w:u w:val="single"/>
    </w:rPr>
  </w:style>
  <w:style w:type="paragraph" w:styleId="Header">
    <w:name w:val="header"/>
    <w:basedOn w:val="Normal"/>
    <w:link w:val="HeaderChar"/>
    <w:uiPriority w:val="99"/>
    <w:unhideWhenUsed/>
    <w:rsid w:val="005E7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E92"/>
  </w:style>
  <w:style w:type="paragraph" w:styleId="Footer">
    <w:name w:val="footer"/>
    <w:basedOn w:val="Normal"/>
    <w:link w:val="FooterChar"/>
    <w:uiPriority w:val="99"/>
    <w:unhideWhenUsed/>
    <w:rsid w:val="005E7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E92"/>
  </w:style>
  <w:style w:type="character" w:styleId="FollowedHyperlink">
    <w:name w:val="FollowedHyperlink"/>
    <w:basedOn w:val="DefaultParagraphFont"/>
    <w:uiPriority w:val="99"/>
    <w:semiHidden/>
    <w:unhideWhenUsed/>
    <w:rsid w:val="005E7E92"/>
    <w:rPr>
      <w:color w:val="954F72" w:themeColor="followedHyperlink"/>
      <w:u w:val="single"/>
    </w:rPr>
  </w:style>
  <w:style w:type="paragraph" w:styleId="ListBullet">
    <w:name w:val="List Bullet"/>
    <w:basedOn w:val="Normal"/>
    <w:uiPriority w:val="99"/>
    <w:semiHidden/>
    <w:unhideWhenUsed/>
    <w:qFormat/>
    <w:rsid w:val="003571AA"/>
    <w:pPr>
      <w:numPr>
        <w:numId w:val="2"/>
      </w:numPr>
      <w:spacing w:after="200" w:line="276" w:lineRule="auto"/>
    </w:pPr>
    <w:rPr>
      <w:rFonts w:ascii="Arial" w:eastAsia="Calibri" w:hAnsi="Arial" w:cs="Times New Roman"/>
    </w:rPr>
  </w:style>
  <w:style w:type="paragraph" w:styleId="ListBullet2">
    <w:name w:val="List Bullet 2"/>
    <w:basedOn w:val="Normal"/>
    <w:uiPriority w:val="99"/>
    <w:semiHidden/>
    <w:unhideWhenUsed/>
    <w:rsid w:val="003571A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semiHidden/>
    <w:unhideWhenUsed/>
    <w:rsid w:val="003571A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semiHidden/>
    <w:unhideWhenUsed/>
    <w:rsid w:val="003571A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semiHidden/>
    <w:unhideWhenUsed/>
    <w:rsid w:val="003571AA"/>
    <w:pPr>
      <w:numPr>
        <w:ilvl w:val="4"/>
        <w:numId w:val="2"/>
      </w:numPr>
      <w:spacing w:after="200" w:line="276" w:lineRule="auto"/>
    </w:pPr>
    <w:rPr>
      <w:rFonts w:ascii="Arial" w:eastAsia="Calibri" w:hAnsi="Arial" w:cs="Times New Roman"/>
    </w:rPr>
  </w:style>
  <w:style w:type="numbering" w:customStyle="1" w:styleId="BulletList">
    <w:name w:val="Bullet List"/>
    <w:uiPriority w:val="99"/>
    <w:rsid w:val="003571AA"/>
    <w:pPr>
      <w:numPr>
        <w:numId w:val="2"/>
      </w:numPr>
    </w:pPr>
  </w:style>
  <w:style w:type="paragraph" w:styleId="Revision">
    <w:name w:val="Revision"/>
    <w:hidden/>
    <w:uiPriority w:val="99"/>
    <w:semiHidden/>
    <w:rsid w:val="002A5353"/>
    <w:pPr>
      <w:spacing w:after="0" w:line="240" w:lineRule="auto"/>
    </w:pPr>
  </w:style>
  <w:style w:type="character" w:styleId="UnresolvedMention">
    <w:name w:val="Unresolved Mention"/>
    <w:basedOn w:val="DefaultParagraphFont"/>
    <w:uiPriority w:val="99"/>
    <w:semiHidden/>
    <w:unhideWhenUsed/>
    <w:rsid w:val="00152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493">
      <w:bodyDiv w:val="1"/>
      <w:marLeft w:val="0"/>
      <w:marRight w:val="0"/>
      <w:marTop w:val="0"/>
      <w:marBottom w:val="0"/>
      <w:divBdr>
        <w:top w:val="none" w:sz="0" w:space="0" w:color="auto"/>
        <w:left w:val="none" w:sz="0" w:space="0" w:color="auto"/>
        <w:bottom w:val="none" w:sz="0" w:space="0" w:color="auto"/>
        <w:right w:val="none" w:sz="0" w:space="0" w:color="auto"/>
      </w:divBdr>
    </w:div>
    <w:div w:id="168831712">
      <w:bodyDiv w:val="1"/>
      <w:marLeft w:val="0"/>
      <w:marRight w:val="0"/>
      <w:marTop w:val="0"/>
      <w:marBottom w:val="0"/>
      <w:divBdr>
        <w:top w:val="none" w:sz="0" w:space="0" w:color="auto"/>
        <w:left w:val="none" w:sz="0" w:space="0" w:color="auto"/>
        <w:bottom w:val="none" w:sz="0" w:space="0" w:color="auto"/>
        <w:right w:val="none" w:sz="0" w:space="0" w:color="auto"/>
      </w:divBdr>
    </w:div>
    <w:div w:id="274992413">
      <w:bodyDiv w:val="1"/>
      <w:marLeft w:val="0"/>
      <w:marRight w:val="0"/>
      <w:marTop w:val="0"/>
      <w:marBottom w:val="0"/>
      <w:divBdr>
        <w:top w:val="none" w:sz="0" w:space="0" w:color="auto"/>
        <w:left w:val="none" w:sz="0" w:space="0" w:color="auto"/>
        <w:bottom w:val="none" w:sz="0" w:space="0" w:color="auto"/>
        <w:right w:val="none" w:sz="0" w:space="0" w:color="auto"/>
      </w:divBdr>
    </w:div>
    <w:div w:id="491919468">
      <w:bodyDiv w:val="1"/>
      <w:marLeft w:val="0"/>
      <w:marRight w:val="0"/>
      <w:marTop w:val="0"/>
      <w:marBottom w:val="0"/>
      <w:divBdr>
        <w:top w:val="none" w:sz="0" w:space="0" w:color="auto"/>
        <w:left w:val="none" w:sz="0" w:space="0" w:color="auto"/>
        <w:bottom w:val="none" w:sz="0" w:space="0" w:color="auto"/>
        <w:right w:val="none" w:sz="0" w:space="0" w:color="auto"/>
      </w:divBdr>
    </w:div>
    <w:div w:id="575821047">
      <w:bodyDiv w:val="1"/>
      <w:marLeft w:val="0"/>
      <w:marRight w:val="0"/>
      <w:marTop w:val="0"/>
      <w:marBottom w:val="0"/>
      <w:divBdr>
        <w:top w:val="none" w:sz="0" w:space="0" w:color="auto"/>
        <w:left w:val="none" w:sz="0" w:space="0" w:color="auto"/>
        <w:bottom w:val="none" w:sz="0" w:space="0" w:color="auto"/>
        <w:right w:val="none" w:sz="0" w:space="0" w:color="auto"/>
      </w:divBdr>
    </w:div>
    <w:div w:id="609823083">
      <w:bodyDiv w:val="1"/>
      <w:marLeft w:val="0"/>
      <w:marRight w:val="0"/>
      <w:marTop w:val="0"/>
      <w:marBottom w:val="0"/>
      <w:divBdr>
        <w:top w:val="none" w:sz="0" w:space="0" w:color="auto"/>
        <w:left w:val="none" w:sz="0" w:space="0" w:color="auto"/>
        <w:bottom w:val="none" w:sz="0" w:space="0" w:color="auto"/>
        <w:right w:val="none" w:sz="0" w:space="0" w:color="auto"/>
      </w:divBdr>
    </w:div>
    <w:div w:id="625503278">
      <w:bodyDiv w:val="1"/>
      <w:marLeft w:val="0"/>
      <w:marRight w:val="0"/>
      <w:marTop w:val="0"/>
      <w:marBottom w:val="0"/>
      <w:divBdr>
        <w:top w:val="none" w:sz="0" w:space="0" w:color="auto"/>
        <w:left w:val="none" w:sz="0" w:space="0" w:color="auto"/>
        <w:bottom w:val="none" w:sz="0" w:space="0" w:color="auto"/>
        <w:right w:val="none" w:sz="0" w:space="0" w:color="auto"/>
      </w:divBdr>
    </w:div>
    <w:div w:id="754934983">
      <w:bodyDiv w:val="1"/>
      <w:marLeft w:val="0"/>
      <w:marRight w:val="0"/>
      <w:marTop w:val="0"/>
      <w:marBottom w:val="0"/>
      <w:divBdr>
        <w:top w:val="none" w:sz="0" w:space="0" w:color="auto"/>
        <w:left w:val="none" w:sz="0" w:space="0" w:color="auto"/>
        <w:bottom w:val="none" w:sz="0" w:space="0" w:color="auto"/>
        <w:right w:val="none" w:sz="0" w:space="0" w:color="auto"/>
      </w:divBdr>
    </w:div>
    <w:div w:id="788358513">
      <w:bodyDiv w:val="1"/>
      <w:marLeft w:val="0"/>
      <w:marRight w:val="0"/>
      <w:marTop w:val="0"/>
      <w:marBottom w:val="0"/>
      <w:divBdr>
        <w:top w:val="none" w:sz="0" w:space="0" w:color="auto"/>
        <w:left w:val="none" w:sz="0" w:space="0" w:color="auto"/>
        <w:bottom w:val="none" w:sz="0" w:space="0" w:color="auto"/>
        <w:right w:val="none" w:sz="0" w:space="0" w:color="auto"/>
      </w:divBdr>
    </w:div>
    <w:div w:id="1020011379">
      <w:bodyDiv w:val="1"/>
      <w:marLeft w:val="0"/>
      <w:marRight w:val="0"/>
      <w:marTop w:val="0"/>
      <w:marBottom w:val="0"/>
      <w:divBdr>
        <w:top w:val="none" w:sz="0" w:space="0" w:color="auto"/>
        <w:left w:val="none" w:sz="0" w:space="0" w:color="auto"/>
        <w:bottom w:val="none" w:sz="0" w:space="0" w:color="auto"/>
        <w:right w:val="none" w:sz="0" w:space="0" w:color="auto"/>
      </w:divBdr>
    </w:div>
    <w:div w:id="1037580567">
      <w:bodyDiv w:val="1"/>
      <w:marLeft w:val="0"/>
      <w:marRight w:val="0"/>
      <w:marTop w:val="0"/>
      <w:marBottom w:val="0"/>
      <w:divBdr>
        <w:top w:val="none" w:sz="0" w:space="0" w:color="auto"/>
        <w:left w:val="none" w:sz="0" w:space="0" w:color="auto"/>
        <w:bottom w:val="none" w:sz="0" w:space="0" w:color="auto"/>
        <w:right w:val="none" w:sz="0" w:space="0" w:color="auto"/>
      </w:divBdr>
    </w:div>
    <w:div w:id="1048645373">
      <w:bodyDiv w:val="1"/>
      <w:marLeft w:val="0"/>
      <w:marRight w:val="0"/>
      <w:marTop w:val="0"/>
      <w:marBottom w:val="0"/>
      <w:divBdr>
        <w:top w:val="none" w:sz="0" w:space="0" w:color="auto"/>
        <w:left w:val="none" w:sz="0" w:space="0" w:color="auto"/>
        <w:bottom w:val="none" w:sz="0" w:space="0" w:color="auto"/>
        <w:right w:val="none" w:sz="0" w:space="0" w:color="auto"/>
      </w:divBdr>
    </w:div>
    <w:div w:id="1121800396">
      <w:bodyDiv w:val="1"/>
      <w:marLeft w:val="0"/>
      <w:marRight w:val="0"/>
      <w:marTop w:val="0"/>
      <w:marBottom w:val="0"/>
      <w:divBdr>
        <w:top w:val="none" w:sz="0" w:space="0" w:color="auto"/>
        <w:left w:val="none" w:sz="0" w:space="0" w:color="auto"/>
        <w:bottom w:val="none" w:sz="0" w:space="0" w:color="auto"/>
        <w:right w:val="none" w:sz="0" w:space="0" w:color="auto"/>
      </w:divBdr>
    </w:div>
    <w:div w:id="1407531961">
      <w:bodyDiv w:val="1"/>
      <w:marLeft w:val="0"/>
      <w:marRight w:val="0"/>
      <w:marTop w:val="0"/>
      <w:marBottom w:val="0"/>
      <w:divBdr>
        <w:top w:val="none" w:sz="0" w:space="0" w:color="auto"/>
        <w:left w:val="none" w:sz="0" w:space="0" w:color="auto"/>
        <w:bottom w:val="none" w:sz="0" w:space="0" w:color="auto"/>
        <w:right w:val="none" w:sz="0" w:space="0" w:color="auto"/>
      </w:divBdr>
    </w:div>
    <w:div w:id="1518040134">
      <w:bodyDiv w:val="1"/>
      <w:marLeft w:val="0"/>
      <w:marRight w:val="0"/>
      <w:marTop w:val="0"/>
      <w:marBottom w:val="0"/>
      <w:divBdr>
        <w:top w:val="none" w:sz="0" w:space="0" w:color="auto"/>
        <w:left w:val="none" w:sz="0" w:space="0" w:color="auto"/>
        <w:bottom w:val="none" w:sz="0" w:space="0" w:color="auto"/>
        <w:right w:val="none" w:sz="0" w:space="0" w:color="auto"/>
      </w:divBdr>
    </w:div>
    <w:div w:id="1671442896">
      <w:bodyDiv w:val="1"/>
      <w:marLeft w:val="0"/>
      <w:marRight w:val="0"/>
      <w:marTop w:val="0"/>
      <w:marBottom w:val="0"/>
      <w:divBdr>
        <w:top w:val="none" w:sz="0" w:space="0" w:color="auto"/>
        <w:left w:val="none" w:sz="0" w:space="0" w:color="auto"/>
        <w:bottom w:val="none" w:sz="0" w:space="0" w:color="auto"/>
        <w:right w:val="none" w:sz="0" w:space="0" w:color="auto"/>
      </w:divBdr>
    </w:div>
    <w:div w:id="1750348510">
      <w:bodyDiv w:val="1"/>
      <w:marLeft w:val="0"/>
      <w:marRight w:val="0"/>
      <w:marTop w:val="0"/>
      <w:marBottom w:val="0"/>
      <w:divBdr>
        <w:top w:val="none" w:sz="0" w:space="0" w:color="auto"/>
        <w:left w:val="none" w:sz="0" w:space="0" w:color="auto"/>
        <w:bottom w:val="none" w:sz="0" w:space="0" w:color="auto"/>
        <w:right w:val="none" w:sz="0" w:space="0" w:color="auto"/>
      </w:divBdr>
    </w:div>
    <w:div w:id="18804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F535F7F-0D36-46D4-A5F8-BD30DE099D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C190221F06DB46B140395A5BD9750F" ma:contentTypeVersion="" ma:contentTypeDescription="PDMS Document Site Content Type" ma:contentTypeScope="" ma:versionID="c5b58283b43cda185257d5916de0bdaa">
  <xsd:schema xmlns:xsd="http://www.w3.org/2001/XMLSchema" xmlns:xs="http://www.w3.org/2001/XMLSchema" xmlns:p="http://schemas.microsoft.com/office/2006/metadata/properties" xmlns:ns2="4F535F7F-0D36-46D4-A5F8-BD30DE099D94" targetNamespace="http://schemas.microsoft.com/office/2006/metadata/properties" ma:root="true" ma:fieldsID="852067ec077dd5f9f487ed44f0546a7b" ns2:_="">
    <xsd:import namespace="4F535F7F-0D36-46D4-A5F8-BD30DE099D9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35F7F-0D36-46D4-A5F8-BD30DE099D9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2812C-9A16-40E4-9939-53B8459AFA1C}">
  <ds:schemaRefs>
    <ds:schemaRef ds:uri="http://schemas.microsoft.com/sharepoint/v3/contenttype/forms"/>
  </ds:schemaRefs>
</ds:datastoreItem>
</file>

<file path=customXml/itemProps2.xml><?xml version="1.0" encoding="utf-8"?>
<ds:datastoreItem xmlns:ds="http://schemas.openxmlformats.org/officeDocument/2006/customXml" ds:itemID="{AFF1902D-1088-46B2-B353-82D3BAE0C3DD}">
  <ds:schemaRefs>
    <ds:schemaRef ds:uri="http://www.w3.org/XML/1998/namespace"/>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4F535F7F-0D36-46D4-A5F8-BD30DE099D94"/>
    <ds:schemaRef ds:uri="http://schemas.microsoft.com/office/2006/metadata/properties"/>
  </ds:schemaRefs>
</ds:datastoreItem>
</file>

<file path=customXml/itemProps3.xml><?xml version="1.0" encoding="utf-8"?>
<ds:datastoreItem xmlns:ds="http://schemas.openxmlformats.org/officeDocument/2006/customXml" ds:itemID="{5DEAE41C-49F7-4909-9D07-3A5D3DD8B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35F7F-0D36-46D4-A5F8-BD30DE099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4428</TotalTime>
  <Pages>9</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Alderton, Georgia</dc:creator>
  <cp:keywords/>
  <dc:description/>
  <cp:lastModifiedBy>Kwan, Kelvin</cp:lastModifiedBy>
  <cp:revision>140</cp:revision>
  <dcterms:created xsi:type="dcterms:W3CDTF">2022-08-03T02:52:00Z</dcterms:created>
  <dcterms:modified xsi:type="dcterms:W3CDTF">2023-07-06T23:45:00Z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0x010100266966F133664895A6EE3632470D45F50028C190221F06DB46B140395A5BD9750F</vt:lpwstr>
  </property>
  <property fmtid="{D5CDD505-2E9C-101B-9397-08002B2CF9AE}" pid="3" name="DocHub_Year">
    <vt:lpwstr>1787;#2023|4fbcaf2e-c858-4248-836e-58ac5eb285ca</vt:lpwstr>
  </property>
  <property fmtid="{D5CDD505-2E9C-101B-9397-08002B2CF9AE}" pid="4" name="DocHub_DocumentType">
    <vt:lpwstr>50;#Brief|b7e64b99-5aaf-414e-afb1-f6ec93007836</vt:lpwstr>
  </property>
  <property fmtid="{D5CDD505-2E9C-101B-9397-08002B2CF9AE}" pid="5" name="DocHub_SecurityClassification">
    <vt:lpwstr>3;#OFFICIAL|6106d03b-a1a0-4e30-9d91-d5e9fb4314f9</vt:lpwstr>
  </property>
  <property fmtid="{D5CDD505-2E9C-101B-9397-08002B2CF9AE}" pid="6" name="DocHub_Keywords">
    <vt:lpwstr>459;#Water rule|baa6a6a7-19be-4437-96d7-e3474d6b172d;#1543;#Plantation Forestry|6a3354da-d540-45ef-865a-ef3d37781f46</vt:lpwstr>
  </property>
  <property fmtid="{D5CDD505-2E9C-101B-9397-08002B2CF9AE}" pid="7" name="DocHub_WorkActivity">
    <vt:lpwstr>184;#Legislation and Regulation|6cbc66f5-f4a2-4565-a58b-d5f2d2ac9bd0</vt:lpwstr>
  </property>
  <property fmtid="{D5CDD505-2E9C-101B-9397-08002B2CF9AE}" pid="8" name="Template Filename">
    <vt:lpwstr/>
  </property>
  <property fmtid="{D5CDD505-2E9C-101B-9397-08002B2CF9AE}" pid="9" name="checkforsharepointfields">
    <vt:lpwstr>True</vt:lpwstr>
  </property>
  <property fmtid="{D5CDD505-2E9C-101B-9397-08002B2CF9AE}" pid="10" name="iManageRef">
    <vt:lpwstr>Updated</vt:lpwstr>
  </property>
  <property fmtid="{D5CDD505-2E9C-101B-9397-08002B2CF9AE}" pid="11" name="WSFooter">
    <vt:lpwstr>43296970</vt:lpwstr>
  </property>
  <property fmtid="{D5CDD505-2E9C-101B-9397-08002B2CF9AE}" pid="12" name="LeadingLawyers">
    <vt:lpwstr>Removed</vt:lpwstr>
  </property>
  <property fmtid="{D5CDD505-2E9C-101B-9397-08002B2CF9AE}" pid="13" name="ObjectiveRef">
    <vt:lpwstr>Removed</vt:lpwstr>
  </property>
  <property fmtid="{D5CDD505-2E9C-101B-9397-08002B2CF9AE}" pid="14" name="_CopySource">
    <vt:lpwstr>MS22-001957 001 Attachment C - Explanatory Statement.DOCX</vt:lpwstr>
  </property>
</Properties>
</file>