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FD2A2" w14:textId="77777777" w:rsidR="00013F77" w:rsidRPr="00013F77" w:rsidRDefault="00013F77" w:rsidP="00013F77">
      <w:pPr>
        <w:shd w:val="clear" w:color="auto" w:fill="FFFFFF" w:themeFill="background1"/>
        <w:spacing w:before="100" w:beforeAutospacing="1" w:after="100" w:afterAutospacing="1" w:line="240" w:lineRule="auto"/>
        <w:jc w:val="center"/>
        <w:rPr>
          <w:rFonts w:ascii="Times New Roman" w:eastAsia="Times New Roman" w:hAnsi="Times New Roman" w:cs="Times New Roman"/>
          <w:b/>
          <w:sz w:val="24"/>
          <w:szCs w:val="24"/>
          <w:lang w:val="en-US" w:eastAsia="en-AU"/>
        </w:rPr>
      </w:pPr>
      <w:r w:rsidRPr="00013F77">
        <w:rPr>
          <w:rFonts w:ascii="Times New Roman" w:eastAsia="Times New Roman" w:hAnsi="Times New Roman" w:cs="Times New Roman"/>
          <w:b/>
          <w:sz w:val="24"/>
          <w:szCs w:val="24"/>
          <w:lang w:eastAsia="en-AU"/>
        </w:rPr>
        <w:t>EXPLANATORY STATEMENT</w:t>
      </w:r>
    </w:p>
    <w:p w14:paraId="2CB47B66" w14:textId="29116068" w:rsidR="00012BE7" w:rsidRDefault="00012BE7" w:rsidP="000A265D">
      <w:pPr>
        <w:shd w:val="clear" w:color="auto" w:fill="FFFFFF" w:themeFill="background1"/>
        <w:spacing w:after="0" w:line="240" w:lineRule="auto"/>
        <w:jc w:val="center"/>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Issued by the authority of the Minister for Indigenous Australians</w:t>
      </w:r>
    </w:p>
    <w:p w14:paraId="1AAC3416" w14:textId="77777777" w:rsidR="00012BE7" w:rsidRDefault="00012BE7" w:rsidP="000A265D">
      <w:pPr>
        <w:shd w:val="clear" w:color="auto" w:fill="FFFFFF" w:themeFill="background1"/>
        <w:spacing w:after="0" w:line="240" w:lineRule="auto"/>
        <w:jc w:val="center"/>
        <w:rPr>
          <w:rFonts w:ascii="Times New Roman" w:eastAsia="Times New Roman" w:hAnsi="Times New Roman" w:cs="Times New Roman"/>
          <w:sz w:val="24"/>
          <w:szCs w:val="24"/>
          <w:u w:val="single"/>
          <w:lang w:eastAsia="en-AU"/>
        </w:rPr>
      </w:pPr>
    </w:p>
    <w:p w14:paraId="2AECED57" w14:textId="5707F42F" w:rsidR="00012BE7" w:rsidRDefault="00012BE7" w:rsidP="000A265D">
      <w:pPr>
        <w:shd w:val="clear" w:color="auto" w:fill="FFFFFF" w:themeFill="background1"/>
        <w:spacing w:after="0" w:line="240" w:lineRule="auto"/>
        <w:jc w:val="center"/>
        <w:rPr>
          <w:rFonts w:ascii="Times New Roman" w:eastAsia="Times New Roman" w:hAnsi="Times New Roman" w:cs="Times New Roman"/>
          <w:sz w:val="24"/>
          <w:szCs w:val="24"/>
          <w:u w:val="single"/>
          <w:lang w:eastAsia="en-AU"/>
        </w:rPr>
      </w:pPr>
      <w:r w:rsidRPr="00D4041B">
        <w:rPr>
          <w:rFonts w:ascii="Times New Roman" w:eastAsia="Times New Roman" w:hAnsi="Times New Roman" w:cs="Times New Roman"/>
          <w:i/>
          <w:sz w:val="24"/>
          <w:szCs w:val="24"/>
          <w:lang w:eastAsia="en-AU"/>
        </w:rPr>
        <w:t>Social Security Act 1991</w:t>
      </w:r>
    </w:p>
    <w:p w14:paraId="2E776452" w14:textId="77777777" w:rsidR="00012BE7" w:rsidRPr="00E26E32" w:rsidRDefault="00012BE7" w:rsidP="000A265D">
      <w:pPr>
        <w:shd w:val="clear" w:color="auto" w:fill="FFFFFF" w:themeFill="background1"/>
        <w:spacing w:after="0" w:line="240" w:lineRule="auto"/>
        <w:jc w:val="center"/>
        <w:rPr>
          <w:rFonts w:ascii="Times New Roman" w:eastAsia="Times New Roman" w:hAnsi="Times New Roman" w:cs="Times New Roman"/>
          <w:sz w:val="24"/>
          <w:szCs w:val="24"/>
          <w:u w:val="single"/>
          <w:lang w:eastAsia="en-AU"/>
        </w:rPr>
      </w:pPr>
    </w:p>
    <w:p w14:paraId="2837D539" w14:textId="4AA81182" w:rsidR="004C6DB9" w:rsidRPr="00013F77" w:rsidRDefault="00013F77" w:rsidP="000A265D">
      <w:pPr>
        <w:shd w:val="clear" w:color="auto" w:fill="FFFFFF" w:themeFill="background1"/>
        <w:spacing w:after="0" w:line="240" w:lineRule="auto"/>
        <w:jc w:val="center"/>
        <w:rPr>
          <w:rFonts w:ascii="Times New Roman" w:eastAsia="Times New Roman" w:hAnsi="Times New Roman" w:cs="Times New Roman"/>
          <w:i/>
          <w:sz w:val="24"/>
          <w:szCs w:val="24"/>
          <w:lang w:val="en-US" w:eastAsia="en-AU"/>
        </w:rPr>
      </w:pPr>
      <w:r w:rsidRPr="00013F77">
        <w:rPr>
          <w:rFonts w:ascii="Times New Roman" w:eastAsia="Times New Roman" w:hAnsi="Times New Roman" w:cs="Times New Roman"/>
          <w:b/>
          <w:i/>
          <w:sz w:val="24"/>
          <w:szCs w:val="24"/>
          <w:lang w:eastAsia="en-AU"/>
        </w:rPr>
        <w:t>Social Security (Remote Engagement Program Payment) Determination 2023</w:t>
      </w:r>
    </w:p>
    <w:p w14:paraId="259B32AE" w14:textId="77777777" w:rsidR="000A265D" w:rsidRDefault="000A265D" w:rsidP="000A265D">
      <w:pPr>
        <w:spacing w:after="0" w:line="240" w:lineRule="auto"/>
        <w:rPr>
          <w:rFonts w:ascii="Times New Roman" w:hAnsi="Times New Roman" w:cs="Times New Roman"/>
          <w:b/>
          <w:sz w:val="24"/>
          <w:szCs w:val="24"/>
        </w:rPr>
      </w:pPr>
    </w:p>
    <w:p w14:paraId="607CC8F0" w14:textId="77777777" w:rsidR="00E26E32" w:rsidRDefault="00E26E32" w:rsidP="000A265D">
      <w:pPr>
        <w:spacing w:after="0" w:line="240" w:lineRule="auto"/>
        <w:rPr>
          <w:rFonts w:ascii="Times New Roman" w:hAnsi="Times New Roman" w:cs="Times New Roman"/>
          <w:b/>
          <w:sz w:val="24"/>
          <w:szCs w:val="24"/>
        </w:rPr>
      </w:pPr>
    </w:p>
    <w:p w14:paraId="0293B0EE" w14:textId="48C24924" w:rsidR="00012BE7" w:rsidRPr="00012BE7" w:rsidRDefault="00012BE7" w:rsidP="000A265D">
      <w:pPr>
        <w:spacing w:after="0" w:line="240" w:lineRule="auto"/>
        <w:rPr>
          <w:rFonts w:ascii="Times New Roman" w:hAnsi="Times New Roman" w:cs="Times New Roman"/>
          <w:b/>
          <w:sz w:val="24"/>
          <w:szCs w:val="24"/>
        </w:rPr>
      </w:pPr>
      <w:r w:rsidRPr="00012BE7">
        <w:rPr>
          <w:rFonts w:ascii="Times New Roman" w:hAnsi="Times New Roman" w:cs="Times New Roman"/>
          <w:b/>
          <w:sz w:val="24"/>
          <w:szCs w:val="24"/>
        </w:rPr>
        <w:t>GENERAL MATTERS</w:t>
      </w:r>
    </w:p>
    <w:p w14:paraId="17DBDED8" w14:textId="77777777" w:rsidR="00012BE7" w:rsidRDefault="00012BE7" w:rsidP="000A265D">
      <w:pPr>
        <w:spacing w:after="0" w:line="240" w:lineRule="auto"/>
        <w:rPr>
          <w:rFonts w:ascii="Times New Roman" w:hAnsi="Times New Roman" w:cs="Times New Roman"/>
          <w:b/>
          <w:sz w:val="24"/>
          <w:szCs w:val="24"/>
        </w:rPr>
      </w:pPr>
    </w:p>
    <w:p w14:paraId="5CB8B040" w14:textId="0E480F29" w:rsidR="00241562" w:rsidRPr="004A314D" w:rsidRDefault="00012BE7" w:rsidP="000A265D">
      <w:pPr>
        <w:spacing w:after="0" w:line="240" w:lineRule="auto"/>
        <w:rPr>
          <w:rFonts w:ascii="Times New Roman" w:hAnsi="Times New Roman" w:cs="Times New Roman"/>
          <w:b/>
          <w:sz w:val="24"/>
          <w:szCs w:val="24"/>
        </w:rPr>
      </w:pPr>
      <w:r w:rsidRPr="004A314D">
        <w:rPr>
          <w:rFonts w:ascii="Times New Roman" w:hAnsi="Times New Roman" w:cs="Times New Roman"/>
          <w:b/>
          <w:sz w:val="24"/>
          <w:szCs w:val="24"/>
        </w:rPr>
        <w:t xml:space="preserve">Purpose </w:t>
      </w:r>
      <w:r>
        <w:rPr>
          <w:rFonts w:ascii="Times New Roman" w:hAnsi="Times New Roman" w:cs="Times New Roman"/>
          <w:b/>
          <w:sz w:val="24"/>
          <w:szCs w:val="24"/>
        </w:rPr>
        <w:t>and operation</w:t>
      </w:r>
    </w:p>
    <w:p w14:paraId="2C6F77A3" w14:textId="7D7A4FCA" w:rsidR="00B87F0D" w:rsidRDefault="00D4041B" w:rsidP="00E43269">
      <w:pPr>
        <w:pStyle w:val="Numberedparagraph"/>
        <w:numPr>
          <w:ilvl w:val="0"/>
          <w:numId w:val="0"/>
        </w:numPr>
        <w:jc w:val="left"/>
      </w:pPr>
      <w:r>
        <w:t xml:space="preserve">The </w:t>
      </w:r>
      <w:r w:rsidRPr="00E26E32">
        <w:rPr>
          <w:i/>
        </w:rPr>
        <w:t>Social Security (Remote Engagement Program Payment) Determination 2023</w:t>
      </w:r>
      <w:r w:rsidR="00012BE7">
        <w:t xml:space="preserve"> (the </w:t>
      </w:r>
      <w:r>
        <w:t>Instrument)</w:t>
      </w:r>
      <w:r w:rsidR="00095EF3">
        <w:t xml:space="preserve"> is made under Part 2.13 of the </w:t>
      </w:r>
      <w:r w:rsidR="00095EF3">
        <w:rPr>
          <w:i/>
        </w:rPr>
        <w:t>Social Security Act 1991</w:t>
      </w:r>
      <w:r w:rsidR="00095EF3">
        <w:t xml:space="preserve"> (the Act). </w:t>
      </w:r>
    </w:p>
    <w:p w14:paraId="4F17013B" w14:textId="0C606852" w:rsidR="00095EF3" w:rsidRDefault="00095EF3" w:rsidP="00E43269">
      <w:pPr>
        <w:pStyle w:val="Numberedparagraph"/>
        <w:numPr>
          <w:ilvl w:val="0"/>
          <w:numId w:val="0"/>
        </w:numPr>
        <w:jc w:val="left"/>
      </w:pPr>
      <w:r>
        <w:t>Subsection 661A(2) of the Act allows the Minister to determine (a) an arrangement to be the remote engagement program, and (b) a part of th</w:t>
      </w:r>
      <w:bookmarkStart w:id="0" w:name="_GoBack"/>
      <w:bookmarkEnd w:id="0"/>
      <w:r>
        <w:t>e remote engagement program to be a remote engagement placement. Subsection 661</w:t>
      </w:r>
      <w:r w:rsidR="00871464">
        <w:t>E(2)</w:t>
      </w:r>
      <w:r>
        <w:t xml:space="preserve"> of the Act allows the Minister to determine the rate of payment of a remote engagement program payment. </w:t>
      </w:r>
    </w:p>
    <w:p w14:paraId="3A56A8CD" w14:textId="7F85EDB8" w:rsidR="00012BE7" w:rsidRDefault="00095EF3" w:rsidP="00E43269">
      <w:pPr>
        <w:pStyle w:val="Numberedparagraph"/>
        <w:numPr>
          <w:ilvl w:val="0"/>
          <w:numId w:val="0"/>
        </w:numPr>
        <w:jc w:val="left"/>
      </w:pPr>
      <w:r>
        <w:t xml:space="preserve">This Instrument determines the arrangement that is the remote engagement program and the part of that program that is a remote engagement placement. It also determines the rate of payment of a remote engagement program payment. </w:t>
      </w:r>
    </w:p>
    <w:p w14:paraId="4FFDAD05" w14:textId="57886BA9" w:rsidR="0050739D" w:rsidRPr="00B87F0D" w:rsidRDefault="00AB1D4F" w:rsidP="00E43269">
      <w:pPr>
        <w:pStyle w:val="Numberedparagraph"/>
        <w:numPr>
          <w:ilvl w:val="0"/>
          <w:numId w:val="0"/>
        </w:numPr>
        <w:jc w:val="left"/>
      </w:pPr>
      <w:r>
        <w:rPr>
          <w:color w:val="000000"/>
          <w:shd w:val="clear" w:color="auto" w:fill="FFFFFF"/>
        </w:rPr>
        <w:t>T</w:t>
      </w:r>
      <w:r w:rsidR="00E51157">
        <w:rPr>
          <w:color w:val="000000"/>
          <w:shd w:val="clear" w:color="auto" w:fill="FFFFFF"/>
        </w:rPr>
        <w:t xml:space="preserve">his Instrument </w:t>
      </w:r>
      <w:r>
        <w:rPr>
          <w:color w:val="000000"/>
          <w:shd w:val="clear" w:color="auto" w:fill="FFFFFF"/>
        </w:rPr>
        <w:t xml:space="preserve">is required under </w:t>
      </w:r>
      <w:r w:rsidR="0050739D">
        <w:rPr>
          <w:color w:val="000000"/>
          <w:shd w:val="clear" w:color="auto" w:fill="FFFFFF"/>
        </w:rPr>
        <w:t>paragraphs 661A(2)(a) and (b) and subsection 661E(2)</w:t>
      </w:r>
      <w:r w:rsidR="00F16111">
        <w:rPr>
          <w:color w:val="000000"/>
          <w:shd w:val="clear" w:color="auto" w:fill="FFFFFF"/>
        </w:rPr>
        <w:t xml:space="preserve"> of the Act</w:t>
      </w:r>
      <w:r w:rsidR="0050739D">
        <w:rPr>
          <w:color w:val="000000"/>
          <w:shd w:val="clear" w:color="auto" w:fill="FFFFFF"/>
        </w:rPr>
        <w:t xml:space="preserve"> to make remote engagement program payments to participants in the remote engagement program trial</w:t>
      </w:r>
      <w:r w:rsidR="00B4347C">
        <w:rPr>
          <w:color w:val="000000"/>
          <w:shd w:val="clear" w:color="auto" w:fill="FFFFFF"/>
        </w:rPr>
        <w:t>s</w:t>
      </w:r>
      <w:r w:rsidR="0050739D">
        <w:rPr>
          <w:color w:val="000000"/>
          <w:shd w:val="clear" w:color="auto" w:fill="FFFFFF"/>
        </w:rPr>
        <w:t xml:space="preserve">. </w:t>
      </w:r>
    </w:p>
    <w:p w14:paraId="6888B64C" w14:textId="70DECA8A" w:rsidR="00012BE7" w:rsidRDefault="00012BE7" w:rsidP="00E85F77">
      <w:pPr>
        <w:spacing w:before="360"/>
        <w:rPr>
          <w:rFonts w:ascii="Times New Roman" w:hAnsi="Times New Roman" w:cs="Times New Roman"/>
          <w:b/>
          <w:sz w:val="24"/>
          <w:szCs w:val="24"/>
        </w:rPr>
      </w:pPr>
      <w:r>
        <w:rPr>
          <w:rFonts w:ascii="Times New Roman" w:hAnsi="Times New Roman" w:cs="Times New Roman"/>
          <w:b/>
          <w:sz w:val="24"/>
          <w:szCs w:val="24"/>
        </w:rPr>
        <w:t>Background</w:t>
      </w:r>
      <w:r w:rsidR="002C557A">
        <w:rPr>
          <w:rFonts w:ascii="Times New Roman" w:hAnsi="Times New Roman" w:cs="Times New Roman"/>
          <w:b/>
          <w:sz w:val="24"/>
          <w:szCs w:val="24"/>
        </w:rPr>
        <w:t xml:space="preserve"> and Objectives</w:t>
      </w:r>
    </w:p>
    <w:p w14:paraId="2239ACAB" w14:textId="77777777" w:rsidR="0028357F" w:rsidRPr="00AE67B2" w:rsidRDefault="0028357F" w:rsidP="0028357F">
      <w:pPr>
        <w:pStyle w:val="Numberedparagraph"/>
        <w:numPr>
          <w:ilvl w:val="0"/>
          <w:numId w:val="0"/>
        </w:numPr>
      </w:pPr>
      <w:r w:rsidRPr="00AE67B2">
        <w:t>The Government has committed to replace the Community Development Program (CDP) with a new program with real jobs, proper wages and decent conditions – developed in partnership with First Nations peoples.</w:t>
      </w:r>
    </w:p>
    <w:p w14:paraId="71255181" w14:textId="77AB4165" w:rsidR="0028357F" w:rsidRPr="00AE67B2" w:rsidRDefault="00726505" w:rsidP="0028357F">
      <w:pPr>
        <w:pStyle w:val="Numberedparagraph"/>
        <w:numPr>
          <w:ilvl w:val="0"/>
          <w:numId w:val="0"/>
        </w:numPr>
        <w:rPr>
          <w:szCs w:val="24"/>
        </w:rPr>
      </w:pPr>
      <w:r>
        <w:rPr>
          <w:szCs w:val="24"/>
        </w:rPr>
        <w:t xml:space="preserve">The remote engagement program </w:t>
      </w:r>
      <w:r w:rsidR="0028357F" w:rsidRPr="00AE67B2">
        <w:rPr>
          <w:szCs w:val="24"/>
        </w:rPr>
        <w:t>will use a co-design approach to trial approaches which may be adopted in the develop</w:t>
      </w:r>
      <w:r>
        <w:rPr>
          <w:szCs w:val="24"/>
        </w:rPr>
        <w:t>ment of a new program. The remote engagement program</w:t>
      </w:r>
      <w:r w:rsidR="0028357F" w:rsidRPr="00AE67B2">
        <w:rPr>
          <w:szCs w:val="24"/>
        </w:rPr>
        <w:t xml:space="preserve"> will </w:t>
      </w:r>
      <w:r>
        <w:rPr>
          <w:szCs w:val="24"/>
        </w:rPr>
        <w:t xml:space="preserve">be trialled </w:t>
      </w:r>
      <w:r w:rsidR="0028357F" w:rsidRPr="00AE67B2">
        <w:rPr>
          <w:szCs w:val="24"/>
        </w:rPr>
        <w:t>in CDP Region 3 – Ngaanyatjarra Lands.</w:t>
      </w:r>
    </w:p>
    <w:p w14:paraId="3FB4A9CA" w14:textId="522BC0A6" w:rsidR="0028357F" w:rsidRPr="00AE67B2" w:rsidRDefault="0028357F" w:rsidP="0028357F">
      <w:pPr>
        <w:pStyle w:val="Numberedparagraph"/>
        <w:numPr>
          <w:ilvl w:val="0"/>
          <w:numId w:val="0"/>
        </w:numPr>
      </w:pPr>
      <w:r w:rsidRPr="00AE67B2">
        <w:t xml:space="preserve">A key objective of the </w:t>
      </w:r>
      <w:r w:rsidR="00726505">
        <w:rPr>
          <w:szCs w:val="24"/>
        </w:rPr>
        <w:t>remote engagement program</w:t>
      </w:r>
      <w:r w:rsidR="00726505" w:rsidRPr="00AE67B2">
        <w:rPr>
          <w:szCs w:val="24"/>
        </w:rPr>
        <w:t xml:space="preserve"> </w:t>
      </w:r>
      <w:r w:rsidRPr="00AE67B2">
        <w:t xml:space="preserve">is to test ideas and understand barriers to employment in remote areas. The key components of the </w:t>
      </w:r>
      <w:r w:rsidR="00726505">
        <w:rPr>
          <w:szCs w:val="24"/>
        </w:rPr>
        <w:t>remote engagement program</w:t>
      </w:r>
      <w:r w:rsidR="00726505" w:rsidRPr="00AE67B2">
        <w:rPr>
          <w:szCs w:val="24"/>
        </w:rPr>
        <w:t xml:space="preserve"> </w:t>
      </w:r>
      <w:r w:rsidRPr="00AE67B2">
        <w:t xml:space="preserve">are the </w:t>
      </w:r>
      <w:r w:rsidR="00726505">
        <w:rPr>
          <w:szCs w:val="24"/>
        </w:rPr>
        <w:t>remote engagement p</w:t>
      </w:r>
      <w:r w:rsidRPr="00AE67B2">
        <w:t xml:space="preserve">lacement and the </w:t>
      </w:r>
      <w:r w:rsidR="00726505">
        <w:rPr>
          <w:szCs w:val="24"/>
        </w:rPr>
        <w:t>remote engagement program</w:t>
      </w:r>
      <w:r w:rsidR="00726505" w:rsidRPr="00AE67B2">
        <w:rPr>
          <w:szCs w:val="24"/>
        </w:rPr>
        <w:t xml:space="preserve"> </w:t>
      </w:r>
      <w:r w:rsidRPr="00AE67B2">
        <w:t xml:space="preserve">payment, which </w:t>
      </w:r>
      <w:r w:rsidR="00D32194">
        <w:t>will trial</w:t>
      </w:r>
      <w:r w:rsidR="00871464">
        <w:t xml:space="preserve"> </w:t>
      </w:r>
      <w:r w:rsidRPr="00AE67B2">
        <w:t>an incentive for eligible participants to participate in a placement designed to build skills that will support them to find and maintain employment and cont</w:t>
      </w:r>
      <w:r w:rsidR="00726505">
        <w:t xml:space="preserve">ribute to their community. </w:t>
      </w:r>
    </w:p>
    <w:p w14:paraId="0E248D06" w14:textId="5EDE3C0A" w:rsidR="00945176" w:rsidRDefault="00945176" w:rsidP="00945176">
      <w:pPr>
        <w:pStyle w:val="Numberedparagraph"/>
        <w:numPr>
          <w:ilvl w:val="0"/>
          <w:numId w:val="0"/>
        </w:numPr>
      </w:pPr>
      <w:r>
        <w:t xml:space="preserve">The </w:t>
      </w:r>
      <w:r>
        <w:rPr>
          <w:szCs w:val="24"/>
        </w:rPr>
        <w:t>remote engagement program</w:t>
      </w:r>
      <w:r w:rsidR="00871464">
        <w:rPr>
          <w:szCs w:val="24"/>
        </w:rPr>
        <w:t xml:space="preserve"> trial</w:t>
      </w:r>
      <w:r w:rsidRPr="00AE67B2">
        <w:rPr>
          <w:szCs w:val="24"/>
        </w:rPr>
        <w:t xml:space="preserve"> </w:t>
      </w:r>
      <w:r w:rsidRPr="00AE67B2">
        <w:t>provides an opportunity to test incentives for economic and community participation in a very remote region of Australia that is a significant distance from a regional centre. Specifically, whether receiving an additional $190 a fortnight in suppl</w:t>
      </w:r>
      <w:r>
        <w:t>ementary income support payment</w:t>
      </w:r>
      <w:r w:rsidRPr="00AE67B2">
        <w:t xml:space="preserve"> is an incentive </w:t>
      </w:r>
      <w:r>
        <w:t xml:space="preserve">for jobseekers </w:t>
      </w:r>
      <w:r w:rsidRPr="00AE67B2">
        <w:t>to participate in a placement</w:t>
      </w:r>
      <w:r>
        <w:t xml:space="preserve"> for at least 15 hours per week.</w:t>
      </w:r>
    </w:p>
    <w:p w14:paraId="2B42DAC0" w14:textId="58ECC2BF" w:rsidR="00945176" w:rsidRDefault="00945176" w:rsidP="00945176">
      <w:pPr>
        <w:pStyle w:val="Numberedparagraph"/>
        <w:numPr>
          <w:ilvl w:val="0"/>
          <w:numId w:val="0"/>
        </w:numPr>
      </w:pPr>
      <w:r>
        <w:t xml:space="preserve">The </w:t>
      </w:r>
      <w:r>
        <w:rPr>
          <w:szCs w:val="24"/>
        </w:rPr>
        <w:t>remote engagement program</w:t>
      </w:r>
      <w:r w:rsidRPr="00AE67B2">
        <w:rPr>
          <w:szCs w:val="24"/>
        </w:rPr>
        <w:t xml:space="preserve"> </w:t>
      </w:r>
      <w:r w:rsidR="00871464">
        <w:rPr>
          <w:szCs w:val="24"/>
        </w:rPr>
        <w:t xml:space="preserve">trial </w:t>
      </w:r>
      <w:r>
        <w:t xml:space="preserve">will be administered through a </w:t>
      </w:r>
      <w:r w:rsidRPr="00AB1D4F">
        <w:t>new part to Annexure</w:t>
      </w:r>
      <w:r>
        <w:t xml:space="preserve"> 1 to the existing Head Agreement for the</w:t>
      </w:r>
      <w:r w:rsidRPr="00EA006D">
        <w:t xml:space="preserve"> Community</w:t>
      </w:r>
      <w:r>
        <w:t xml:space="preserve"> Development Program 2019 – 2024, which </w:t>
      </w:r>
      <w:r w:rsidR="00AE690D">
        <w:t xml:space="preserve">applies </w:t>
      </w:r>
      <w:r>
        <w:t xml:space="preserve">only to </w:t>
      </w:r>
      <w:r>
        <w:rPr>
          <w:szCs w:val="24"/>
        </w:rPr>
        <w:t>remote engagement program</w:t>
      </w:r>
      <w:r w:rsidRPr="00AE67B2">
        <w:rPr>
          <w:szCs w:val="24"/>
        </w:rPr>
        <w:t xml:space="preserve"> </w:t>
      </w:r>
      <w:r>
        <w:t xml:space="preserve">providers. The </w:t>
      </w:r>
      <w:r>
        <w:rPr>
          <w:szCs w:val="24"/>
        </w:rPr>
        <w:t>remote engagement program</w:t>
      </w:r>
      <w:r w:rsidR="00871464">
        <w:rPr>
          <w:szCs w:val="24"/>
        </w:rPr>
        <w:t xml:space="preserve"> </w:t>
      </w:r>
      <w:r>
        <w:t xml:space="preserve">and this Instrument have no impact on arrangements for CDP participants outside CDP Region 3. </w:t>
      </w:r>
    </w:p>
    <w:p w14:paraId="10E281D4" w14:textId="1701C819" w:rsidR="0028357F" w:rsidRPr="00AE67B2" w:rsidRDefault="0028357F" w:rsidP="0028357F">
      <w:pPr>
        <w:pStyle w:val="Numberedparagraph"/>
        <w:numPr>
          <w:ilvl w:val="0"/>
          <w:numId w:val="0"/>
        </w:numPr>
      </w:pPr>
      <w:r w:rsidRPr="00AE67B2">
        <w:lastRenderedPageBreak/>
        <w:t xml:space="preserve">In order to participate in a </w:t>
      </w:r>
      <w:r w:rsidR="00726505">
        <w:rPr>
          <w:szCs w:val="24"/>
        </w:rPr>
        <w:t>remote engagement p</w:t>
      </w:r>
      <w:r w:rsidRPr="00AE67B2">
        <w:t xml:space="preserve">lacement, an eligible participant will need to </w:t>
      </w:r>
      <w:r w:rsidR="00726505">
        <w:t>enter into a</w:t>
      </w:r>
      <w:r w:rsidRPr="00AE67B2">
        <w:t xml:space="preserve"> Remote Engagement Program Placement Agreement</w:t>
      </w:r>
      <w:r w:rsidR="00726505">
        <w:t>.</w:t>
      </w:r>
      <w:r w:rsidRPr="00AE67B2">
        <w:t xml:space="preserve"> The Remote Engagement Program Placement Agreement will also be signed by the organisation hosting the </w:t>
      </w:r>
      <w:r w:rsidR="00726505">
        <w:rPr>
          <w:szCs w:val="24"/>
        </w:rPr>
        <w:t>remote engagement p</w:t>
      </w:r>
      <w:r w:rsidR="00726505">
        <w:t xml:space="preserve">lacement </w:t>
      </w:r>
      <w:r w:rsidRPr="00AE67B2">
        <w:t xml:space="preserve">and the </w:t>
      </w:r>
      <w:r w:rsidR="00726505">
        <w:rPr>
          <w:szCs w:val="24"/>
        </w:rPr>
        <w:t>remote engagement program provider</w:t>
      </w:r>
      <w:r w:rsidRPr="00AE67B2">
        <w:t xml:space="preserve">. </w:t>
      </w:r>
    </w:p>
    <w:p w14:paraId="5C9B5484" w14:textId="77777777" w:rsidR="0028357F" w:rsidRPr="00412F30" w:rsidRDefault="0028357F" w:rsidP="0028357F">
      <w:pPr>
        <w:pStyle w:val="Numberedparagraph"/>
        <w:numPr>
          <w:ilvl w:val="0"/>
          <w:numId w:val="0"/>
        </w:numPr>
      </w:pPr>
      <w:r w:rsidRPr="00412F30">
        <w:t>The Remote Engagement Program Placement Agreement will set out the:</w:t>
      </w:r>
    </w:p>
    <w:p w14:paraId="4E063620" w14:textId="65E0EF62" w:rsidR="0028357F" w:rsidRPr="00412F30" w:rsidRDefault="0028357F" w:rsidP="0028357F">
      <w:pPr>
        <w:pStyle w:val="Numberedparagraph"/>
        <w:numPr>
          <w:ilvl w:val="0"/>
          <w:numId w:val="35"/>
        </w:numPr>
      </w:pPr>
      <w:r w:rsidRPr="00412F30">
        <w:t xml:space="preserve">Hours and location of the </w:t>
      </w:r>
      <w:r w:rsidR="00726505" w:rsidRPr="00412F30">
        <w:rPr>
          <w:szCs w:val="24"/>
        </w:rPr>
        <w:t>remote engagement p</w:t>
      </w:r>
      <w:r w:rsidRPr="00412F30">
        <w:t>lacement;</w:t>
      </w:r>
    </w:p>
    <w:p w14:paraId="5F575239" w14:textId="77FB78A7" w:rsidR="0028357F" w:rsidRPr="00412F30" w:rsidRDefault="0028357F" w:rsidP="0028357F">
      <w:pPr>
        <w:pStyle w:val="Numberedparagraph"/>
        <w:numPr>
          <w:ilvl w:val="0"/>
          <w:numId w:val="35"/>
        </w:numPr>
      </w:pPr>
      <w:r w:rsidRPr="00412F30">
        <w:t xml:space="preserve">Duties and activities to be undertaken as part of the </w:t>
      </w:r>
      <w:r w:rsidR="00726505" w:rsidRPr="00412F30">
        <w:rPr>
          <w:szCs w:val="24"/>
        </w:rPr>
        <w:t>remote engagement pl</w:t>
      </w:r>
      <w:r w:rsidRPr="00412F30">
        <w:t>acement; and</w:t>
      </w:r>
    </w:p>
    <w:p w14:paraId="33FA446D" w14:textId="1C67527A" w:rsidR="0028357F" w:rsidRPr="00167E5F" w:rsidRDefault="0028357F" w:rsidP="0028357F">
      <w:pPr>
        <w:pStyle w:val="Numberedparagraph"/>
        <w:numPr>
          <w:ilvl w:val="0"/>
          <w:numId w:val="35"/>
        </w:numPr>
      </w:pPr>
      <w:r w:rsidRPr="00412F30">
        <w:t xml:space="preserve">Circumstances in which a </w:t>
      </w:r>
      <w:r w:rsidR="00726505" w:rsidRPr="00412F30">
        <w:rPr>
          <w:szCs w:val="24"/>
        </w:rPr>
        <w:t>remote engagement p</w:t>
      </w:r>
      <w:r w:rsidRPr="00412F30">
        <w:t>lacement may be cancelled or amended.</w:t>
      </w:r>
    </w:p>
    <w:p w14:paraId="231FDCC5" w14:textId="42946B56" w:rsidR="0028357F" w:rsidRPr="00AE67B2" w:rsidRDefault="00726505" w:rsidP="0028357F">
      <w:pPr>
        <w:pStyle w:val="Numberedparagraph"/>
        <w:numPr>
          <w:ilvl w:val="0"/>
          <w:numId w:val="0"/>
        </w:numPr>
      </w:pPr>
      <w:r>
        <w:t>Each eligible participant</w:t>
      </w:r>
      <w:r w:rsidR="0028357F" w:rsidRPr="00AE67B2">
        <w:t xml:space="preserve"> who has executed a Remote Engagement Pro</w:t>
      </w:r>
      <w:r w:rsidR="00556609">
        <w:t>gram Placement Agreement with a</w:t>
      </w:r>
      <w:r w:rsidR="0028357F" w:rsidRPr="00AE67B2">
        <w:t xml:space="preserve"> </w:t>
      </w:r>
      <w:r>
        <w:rPr>
          <w:szCs w:val="24"/>
        </w:rPr>
        <w:t>remote engagement program</w:t>
      </w:r>
      <w:r w:rsidRPr="00AE67B2">
        <w:rPr>
          <w:szCs w:val="24"/>
        </w:rPr>
        <w:t xml:space="preserve"> </w:t>
      </w:r>
      <w:r>
        <w:rPr>
          <w:szCs w:val="24"/>
        </w:rPr>
        <w:t>p</w:t>
      </w:r>
      <w:r w:rsidR="00556609">
        <w:t>rovider and a</w:t>
      </w:r>
      <w:r w:rsidR="0028357F" w:rsidRPr="00AE67B2">
        <w:t xml:space="preserve"> </w:t>
      </w:r>
      <w:r>
        <w:rPr>
          <w:szCs w:val="24"/>
        </w:rPr>
        <w:t>remote engagement program host</w:t>
      </w:r>
      <w:r w:rsidR="0028357F" w:rsidRPr="00AE67B2">
        <w:t xml:space="preserve"> may be entitled to receive a </w:t>
      </w:r>
      <w:r>
        <w:rPr>
          <w:szCs w:val="24"/>
        </w:rPr>
        <w:t>remote engagement program</w:t>
      </w:r>
      <w:r w:rsidRPr="00AE67B2">
        <w:rPr>
          <w:szCs w:val="24"/>
        </w:rPr>
        <w:t xml:space="preserve"> </w:t>
      </w:r>
      <w:r>
        <w:rPr>
          <w:szCs w:val="24"/>
        </w:rPr>
        <w:t>payment</w:t>
      </w:r>
      <w:r w:rsidR="00150DBC">
        <w:rPr>
          <w:szCs w:val="24"/>
        </w:rPr>
        <w:t xml:space="preserve"> each fortnight</w:t>
      </w:r>
      <w:r w:rsidR="0028357F" w:rsidRPr="00AE67B2">
        <w:t xml:space="preserve"> if </w:t>
      </w:r>
      <w:r w:rsidR="00CA2460">
        <w:rPr>
          <w:rStyle w:val="ui-provider"/>
          <w:rFonts w:eastAsiaTheme="majorEastAsia"/>
        </w:rPr>
        <w:t>they meet the requirements of their remote engagement placement.</w:t>
      </w:r>
    </w:p>
    <w:p w14:paraId="773470B2" w14:textId="65249FC7" w:rsidR="0028357F" w:rsidRPr="00AE67B2" w:rsidRDefault="00020768" w:rsidP="0028357F">
      <w:pPr>
        <w:pStyle w:val="Numberedparagraph"/>
        <w:numPr>
          <w:ilvl w:val="0"/>
          <w:numId w:val="0"/>
        </w:numPr>
      </w:pPr>
      <w:r>
        <w:t>T</w:t>
      </w:r>
      <w:r w:rsidR="0028357F" w:rsidRPr="00AE67B2">
        <w:t>here are two CDP providers in CDP Region 3 – Ngaanyatjarra Lands WA. Paupiyala</w:t>
      </w:r>
      <w:r w:rsidR="00871464">
        <w:t xml:space="preserve"> </w:t>
      </w:r>
      <w:r w:rsidR="0028357F" w:rsidRPr="00AE67B2">
        <w:t xml:space="preserve">Tjarutja Aboriginal Corporation provides CDP services to </w:t>
      </w:r>
      <w:r w:rsidR="00AD1A0F" w:rsidRPr="00AD1A0F">
        <w:t>Tjuntjuntjara</w:t>
      </w:r>
      <w:r w:rsidR="00AD1A0F">
        <w:t xml:space="preserve"> </w:t>
      </w:r>
      <w:r w:rsidR="0028357F" w:rsidRPr="00AE67B2">
        <w:t>and Ngaanyatjarra Council Aboriginal Corporation provides CDP services to all other parts of CDP Region 3.</w:t>
      </w:r>
    </w:p>
    <w:p w14:paraId="31D45D51" w14:textId="7F37275A" w:rsidR="0028357F" w:rsidRPr="00AE67B2" w:rsidRDefault="0028357F" w:rsidP="0028357F">
      <w:pPr>
        <w:pStyle w:val="Numberedparagraph"/>
        <w:numPr>
          <w:ilvl w:val="0"/>
          <w:numId w:val="0"/>
        </w:numPr>
      </w:pPr>
      <w:r w:rsidRPr="00CA2460">
        <w:t>A period of co-design and consultation in CDP Region 3 – Ngaanyatjarra Lands, facilitated via both CDP providers, informed the decision that the rate of</w:t>
      </w:r>
      <w:r w:rsidR="00726505" w:rsidRPr="00CA2460">
        <w:t xml:space="preserve"> the </w:t>
      </w:r>
      <w:r w:rsidR="00726505" w:rsidRPr="00CA2460">
        <w:rPr>
          <w:szCs w:val="24"/>
        </w:rPr>
        <w:t>remote engagement p</w:t>
      </w:r>
      <w:r w:rsidRPr="00CA2460">
        <w:t xml:space="preserve">ayment will be set at $190 per fortnight. </w:t>
      </w:r>
      <w:r w:rsidR="00AE690D" w:rsidRPr="00CA2460">
        <w:t>Co-design and consultation have also informed the other parts of the trial.</w:t>
      </w:r>
      <w:r w:rsidR="00AE690D">
        <w:t xml:space="preserve"> </w:t>
      </w:r>
    </w:p>
    <w:p w14:paraId="1A836309" w14:textId="5E85E323" w:rsidR="0050739D" w:rsidRPr="00012BE7" w:rsidRDefault="0050739D" w:rsidP="0050739D">
      <w:pPr>
        <w:spacing w:before="360"/>
        <w:rPr>
          <w:rFonts w:ascii="Times New Roman" w:hAnsi="Times New Roman" w:cs="Times New Roman"/>
          <w:i/>
          <w:sz w:val="24"/>
          <w:szCs w:val="24"/>
        </w:rPr>
      </w:pPr>
      <w:r w:rsidRPr="00012BE7">
        <w:rPr>
          <w:rFonts w:ascii="Times New Roman" w:hAnsi="Times New Roman" w:cs="Times New Roman"/>
          <w:i/>
          <w:sz w:val="24"/>
          <w:szCs w:val="24"/>
        </w:rPr>
        <w:t>Commencement</w:t>
      </w:r>
    </w:p>
    <w:p w14:paraId="3D7B028C" w14:textId="4C9FF6AB" w:rsidR="0050739D" w:rsidRPr="00012BE7" w:rsidRDefault="00E560EF" w:rsidP="0050739D">
      <w:pPr>
        <w:spacing w:before="360"/>
        <w:rPr>
          <w:rFonts w:ascii="Times New Roman" w:hAnsi="Times New Roman" w:cs="Times New Roman"/>
          <w:sz w:val="24"/>
          <w:szCs w:val="24"/>
        </w:rPr>
      </w:pPr>
      <w:r>
        <w:rPr>
          <w:rFonts w:ascii="Times New Roman" w:hAnsi="Times New Roman" w:cs="Times New Roman"/>
          <w:sz w:val="24"/>
          <w:szCs w:val="24"/>
        </w:rPr>
        <w:t>The</w:t>
      </w:r>
      <w:r w:rsidR="0050739D">
        <w:rPr>
          <w:rFonts w:ascii="Times New Roman" w:hAnsi="Times New Roman" w:cs="Times New Roman"/>
          <w:sz w:val="24"/>
          <w:szCs w:val="24"/>
        </w:rPr>
        <w:t xml:space="preserve"> Instrument commences on </w:t>
      </w:r>
      <w:r w:rsidR="00687A5C">
        <w:rPr>
          <w:rFonts w:ascii="Times New Roman" w:hAnsi="Times New Roman" w:cs="Times New Roman"/>
          <w:sz w:val="24"/>
          <w:szCs w:val="24"/>
        </w:rPr>
        <w:t>the day after th</w:t>
      </w:r>
      <w:r w:rsidR="00E51157">
        <w:rPr>
          <w:rFonts w:ascii="Times New Roman" w:hAnsi="Times New Roman" w:cs="Times New Roman"/>
          <w:sz w:val="24"/>
          <w:szCs w:val="24"/>
        </w:rPr>
        <w:t>e I</w:t>
      </w:r>
      <w:r w:rsidR="00687A5C">
        <w:rPr>
          <w:rFonts w:ascii="Times New Roman" w:hAnsi="Times New Roman" w:cs="Times New Roman"/>
          <w:sz w:val="24"/>
          <w:szCs w:val="24"/>
        </w:rPr>
        <w:t>nstrument is registered</w:t>
      </w:r>
      <w:r w:rsidR="0028357F">
        <w:rPr>
          <w:rFonts w:ascii="Times New Roman" w:hAnsi="Times New Roman" w:cs="Times New Roman"/>
          <w:sz w:val="24"/>
          <w:szCs w:val="24"/>
        </w:rPr>
        <w:t xml:space="preserve">. </w:t>
      </w:r>
    </w:p>
    <w:p w14:paraId="331D8A21" w14:textId="77777777" w:rsidR="0050739D" w:rsidRDefault="0050739D" w:rsidP="0050739D">
      <w:pPr>
        <w:spacing w:before="360"/>
        <w:rPr>
          <w:rFonts w:ascii="Times New Roman" w:hAnsi="Times New Roman" w:cs="Times New Roman"/>
          <w:i/>
          <w:sz w:val="24"/>
          <w:szCs w:val="24"/>
        </w:rPr>
      </w:pPr>
      <w:r>
        <w:rPr>
          <w:rFonts w:ascii="Times New Roman" w:hAnsi="Times New Roman" w:cs="Times New Roman"/>
          <w:i/>
          <w:sz w:val="24"/>
          <w:szCs w:val="24"/>
        </w:rPr>
        <w:t>Disallowance</w:t>
      </w:r>
    </w:p>
    <w:p w14:paraId="4329AA67" w14:textId="27342512" w:rsidR="0050739D" w:rsidRPr="0050739D" w:rsidRDefault="0050739D" w:rsidP="0050739D">
      <w:pPr>
        <w:spacing w:before="360"/>
        <w:rPr>
          <w:rFonts w:ascii="Times New Roman" w:hAnsi="Times New Roman" w:cs="Times New Roman"/>
          <w:sz w:val="24"/>
          <w:szCs w:val="24"/>
        </w:rPr>
      </w:pPr>
      <w:r w:rsidRPr="00012BE7">
        <w:rPr>
          <w:rFonts w:ascii="Times New Roman" w:hAnsi="Times New Roman" w:cs="Times New Roman"/>
          <w:sz w:val="24"/>
          <w:szCs w:val="24"/>
        </w:rPr>
        <w:t xml:space="preserve">The </w:t>
      </w:r>
      <w:r>
        <w:rPr>
          <w:rFonts w:ascii="Times New Roman" w:hAnsi="Times New Roman" w:cs="Times New Roman"/>
          <w:sz w:val="24"/>
          <w:szCs w:val="24"/>
        </w:rPr>
        <w:t>Instrument</w:t>
      </w:r>
      <w:r w:rsidRPr="00012BE7">
        <w:rPr>
          <w:rFonts w:ascii="Times New Roman" w:hAnsi="Times New Roman" w:cs="Times New Roman"/>
          <w:sz w:val="24"/>
          <w:szCs w:val="24"/>
        </w:rPr>
        <w:t xml:space="preserve"> is a legislative instrument for the purposes of the </w:t>
      </w:r>
      <w:r w:rsidRPr="00012BE7">
        <w:rPr>
          <w:rFonts w:ascii="Times New Roman" w:hAnsi="Times New Roman" w:cs="Times New Roman"/>
          <w:i/>
          <w:sz w:val="24"/>
          <w:szCs w:val="24"/>
        </w:rPr>
        <w:t>Legislation Act 2003</w:t>
      </w:r>
      <w:r w:rsidRPr="00012BE7">
        <w:rPr>
          <w:rFonts w:ascii="Times New Roman" w:hAnsi="Times New Roman" w:cs="Times New Roman"/>
          <w:sz w:val="24"/>
          <w:szCs w:val="24"/>
        </w:rPr>
        <w:t xml:space="preserve"> and subject to disallowance.</w:t>
      </w:r>
    </w:p>
    <w:p w14:paraId="2520CACD" w14:textId="1D47DA26" w:rsidR="00012BE7" w:rsidRDefault="00012BE7" w:rsidP="00E85F77">
      <w:pPr>
        <w:spacing w:before="360"/>
        <w:rPr>
          <w:rFonts w:ascii="Times New Roman" w:hAnsi="Times New Roman" w:cs="Times New Roman"/>
          <w:b/>
          <w:sz w:val="24"/>
          <w:szCs w:val="24"/>
        </w:rPr>
      </w:pPr>
      <w:r>
        <w:rPr>
          <w:rFonts w:ascii="Times New Roman" w:hAnsi="Times New Roman" w:cs="Times New Roman"/>
          <w:b/>
          <w:sz w:val="24"/>
          <w:szCs w:val="24"/>
        </w:rPr>
        <w:t>Consultation</w:t>
      </w:r>
    </w:p>
    <w:p w14:paraId="050EAE0B" w14:textId="00969BAE" w:rsidR="0028357F" w:rsidRDefault="00561A6F" w:rsidP="0028357F">
      <w:pPr>
        <w:spacing w:before="360"/>
        <w:rPr>
          <w:rFonts w:ascii="Times New Roman" w:hAnsi="Times New Roman" w:cs="Times New Roman"/>
          <w:color w:val="000000"/>
          <w:sz w:val="24"/>
          <w:szCs w:val="24"/>
        </w:rPr>
      </w:pPr>
      <w:r w:rsidRPr="00561A6F">
        <w:rPr>
          <w:rFonts w:ascii="Times New Roman" w:hAnsi="Times New Roman" w:cs="Times New Roman"/>
          <w:color w:val="000000"/>
          <w:sz w:val="24"/>
          <w:szCs w:val="24"/>
        </w:rPr>
        <w:t xml:space="preserve">The two </w:t>
      </w:r>
      <w:r w:rsidR="00E560EF" w:rsidRPr="00E560EF">
        <w:rPr>
          <w:rFonts w:ascii="Times New Roman" w:hAnsi="Times New Roman" w:cs="Times New Roman"/>
          <w:color w:val="000000"/>
          <w:sz w:val="24"/>
          <w:szCs w:val="24"/>
        </w:rPr>
        <w:t xml:space="preserve">remote engagement program </w:t>
      </w:r>
      <w:r w:rsidRPr="00561A6F">
        <w:rPr>
          <w:rFonts w:ascii="Times New Roman" w:hAnsi="Times New Roman" w:cs="Times New Roman"/>
          <w:color w:val="000000"/>
          <w:sz w:val="24"/>
          <w:szCs w:val="24"/>
        </w:rPr>
        <w:t xml:space="preserve">providers, the </w:t>
      </w:r>
      <w:r w:rsidR="0028357F" w:rsidRPr="00561A6F">
        <w:rPr>
          <w:rFonts w:ascii="Times New Roman" w:hAnsi="Times New Roman" w:cs="Times New Roman"/>
          <w:color w:val="000000"/>
          <w:sz w:val="24"/>
          <w:szCs w:val="24"/>
        </w:rPr>
        <w:t>Paupiyala T</w:t>
      </w:r>
      <w:r w:rsidRPr="00561A6F">
        <w:rPr>
          <w:rFonts w:ascii="Times New Roman" w:hAnsi="Times New Roman" w:cs="Times New Roman"/>
          <w:color w:val="000000"/>
          <w:sz w:val="24"/>
          <w:szCs w:val="24"/>
        </w:rPr>
        <w:t xml:space="preserve">jarutja Aboriginal Corporation </w:t>
      </w:r>
      <w:r w:rsidR="0028357F" w:rsidRPr="00561A6F">
        <w:rPr>
          <w:rFonts w:ascii="Times New Roman" w:hAnsi="Times New Roman" w:cs="Times New Roman"/>
          <w:color w:val="000000"/>
          <w:sz w:val="24"/>
          <w:szCs w:val="24"/>
        </w:rPr>
        <w:t>and the Ngaanyatjarra Council Aboriginal Corporation</w:t>
      </w:r>
      <w:r w:rsidRPr="00561A6F">
        <w:rPr>
          <w:rFonts w:ascii="Times New Roman" w:hAnsi="Times New Roman" w:cs="Times New Roman"/>
          <w:color w:val="000000"/>
          <w:sz w:val="24"/>
          <w:szCs w:val="24"/>
        </w:rPr>
        <w:t>,</w:t>
      </w:r>
      <w:r w:rsidR="0028357F" w:rsidRPr="00561A6F">
        <w:rPr>
          <w:rFonts w:ascii="Times New Roman" w:hAnsi="Times New Roman" w:cs="Times New Roman"/>
          <w:color w:val="000000"/>
          <w:sz w:val="24"/>
          <w:szCs w:val="24"/>
        </w:rPr>
        <w:t xml:space="preserve"> have engaged with communities </w:t>
      </w:r>
      <w:r w:rsidR="0093387D">
        <w:rPr>
          <w:rFonts w:ascii="Times New Roman" w:hAnsi="Times New Roman" w:cs="Times New Roman"/>
          <w:color w:val="000000"/>
          <w:sz w:val="24"/>
          <w:szCs w:val="24"/>
        </w:rPr>
        <w:t>regarding</w:t>
      </w:r>
      <w:r w:rsidR="0028357F" w:rsidRPr="00561A6F">
        <w:rPr>
          <w:rFonts w:ascii="Times New Roman" w:hAnsi="Times New Roman" w:cs="Times New Roman"/>
          <w:color w:val="000000"/>
          <w:sz w:val="24"/>
          <w:szCs w:val="24"/>
        </w:rPr>
        <w:t xml:space="preserve"> the </w:t>
      </w:r>
      <w:r w:rsidR="00E560EF" w:rsidRPr="00E560EF">
        <w:rPr>
          <w:rFonts w:ascii="Times New Roman" w:hAnsi="Times New Roman" w:cs="Times New Roman"/>
          <w:color w:val="000000"/>
          <w:sz w:val="24"/>
          <w:szCs w:val="24"/>
        </w:rPr>
        <w:t xml:space="preserve">remote engagement program </w:t>
      </w:r>
      <w:r w:rsidR="0028357F" w:rsidRPr="00561A6F">
        <w:rPr>
          <w:rFonts w:ascii="Times New Roman" w:hAnsi="Times New Roman" w:cs="Times New Roman"/>
          <w:color w:val="000000"/>
          <w:sz w:val="24"/>
          <w:szCs w:val="24"/>
        </w:rPr>
        <w:t xml:space="preserve">and sought agreement from their respective </w:t>
      </w:r>
      <w:r w:rsidR="0093387D">
        <w:rPr>
          <w:rFonts w:ascii="Times New Roman" w:hAnsi="Times New Roman" w:cs="Times New Roman"/>
          <w:color w:val="000000"/>
          <w:sz w:val="24"/>
          <w:szCs w:val="24"/>
        </w:rPr>
        <w:t>c</w:t>
      </w:r>
      <w:r w:rsidR="0028357F" w:rsidRPr="00561A6F">
        <w:rPr>
          <w:rFonts w:ascii="Times New Roman" w:hAnsi="Times New Roman" w:cs="Times New Roman"/>
          <w:color w:val="000000"/>
          <w:sz w:val="24"/>
          <w:szCs w:val="24"/>
        </w:rPr>
        <w:t xml:space="preserve">ommunity </w:t>
      </w:r>
      <w:r w:rsidR="0093387D">
        <w:rPr>
          <w:rFonts w:ascii="Times New Roman" w:hAnsi="Times New Roman" w:cs="Times New Roman"/>
          <w:color w:val="000000"/>
          <w:sz w:val="24"/>
          <w:szCs w:val="24"/>
        </w:rPr>
        <w:t>b</w:t>
      </w:r>
      <w:r w:rsidR="0028357F" w:rsidRPr="00561A6F">
        <w:rPr>
          <w:rFonts w:ascii="Times New Roman" w:hAnsi="Times New Roman" w:cs="Times New Roman"/>
          <w:color w:val="000000"/>
          <w:sz w:val="24"/>
          <w:szCs w:val="24"/>
        </w:rPr>
        <w:t>oard</w:t>
      </w:r>
      <w:r w:rsidRPr="00561A6F">
        <w:rPr>
          <w:rFonts w:ascii="Times New Roman" w:hAnsi="Times New Roman" w:cs="Times New Roman"/>
          <w:color w:val="000000"/>
          <w:sz w:val="24"/>
          <w:szCs w:val="24"/>
        </w:rPr>
        <w:t>s</w:t>
      </w:r>
      <w:r w:rsidR="0028357F" w:rsidRPr="00561A6F">
        <w:rPr>
          <w:rFonts w:ascii="Times New Roman" w:hAnsi="Times New Roman" w:cs="Times New Roman"/>
          <w:color w:val="000000"/>
          <w:sz w:val="24"/>
          <w:szCs w:val="24"/>
        </w:rPr>
        <w:t xml:space="preserve">.   </w:t>
      </w:r>
    </w:p>
    <w:p w14:paraId="5C09EF1D" w14:textId="69331A2F" w:rsidR="00CB71E3" w:rsidRPr="00561A6F" w:rsidRDefault="00AE690D" w:rsidP="0028357F">
      <w:pPr>
        <w:spacing w:before="360"/>
        <w:rPr>
          <w:rFonts w:ascii="Times New Roman" w:hAnsi="Times New Roman" w:cs="Times New Roman"/>
          <w:sz w:val="24"/>
          <w:szCs w:val="24"/>
        </w:rPr>
      </w:pPr>
      <w:r w:rsidRPr="00F16111">
        <w:rPr>
          <w:rFonts w:ascii="Times New Roman" w:hAnsi="Times New Roman" w:cs="Times New Roman"/>
          <w:sz w:val="24"/>
          <w:szCs w:val="24"/>
        </w:rPr>
        <w:t xml:space="preserve">Co-design and consultation with the providers and </w:t>
      </w:r>
      <w:r w:rsidR="00CB71E3" w:rsidRPr="00F16111">
        <w:rPr>
          <w:rFonts w:ascii="Times New Roman" w:hAnsi="Times New Roman" w:cs="Times New Roman"/>
          <w:sz w:val="24"/>
          <w:szCs w:val="24"/>
        </w:rPr>
        <w:t xml:space="preserve">the broader communities have </w:t>
      </w:r>
      <w:r w:rsidRPr="00F16111">
        <w:rPr>
          <w:rFonts w:ascii="Times New Roman" w:hAnsi="Times New Roman" w:cs="Times New Roman"/>
          <w:sz w:val="24"/>
          <w:szCs w:val="24"/>
        </w:rPr>
        <w:t xml:space="preserve">informed the </w:t>
      </w:r>
      <w:r w:rsidR="00CB71E3" w:rsidRPr="00F16111">
        <w:rPr>
          <w:rFonts w:ascii="Times New Roman" w:hAnsi="Times New Roman" w:cs="Times New Roman"/>
          <w:sz w:val="24"/>
          <w:szCs w:val="24"/>
        </w:rPr>
        <w:t xml:space="preserve">design of the </w:t>
      </w:r>
      <w:r w:rsidRPr="00F16111">
        <w:rPr>
          <w:rFonts w:ascii="Times New Roman" w:hAnsi="Times New Roman" w:cs="Times New Roman"/>
          <w:sz w:val="24"/>
          <w:szCs w:val="24"/>
        </w:rPr>
        <w:t>remote engagement program</w:t>
      </w:r>
      <w:r w:rsidR="00E51157">
        <w:rPr>
          <w:rFonts w:ascii="Times New Roman" w:hAnsi="Times New Roman" w:cs="Times New Roman"/>
          <w:sz w:val="24"/>
          <w:szCs w:val="24"/>
        </w:rPr>
        <w:t>,</w:t>
      </w:r>
      <w:r w:rsidRPr="00F16111">
        <w:rPr>
          <w:rFonts w:ascii="Times New Roman" w:hAnsi="Times New Roman" w:cs="Times New Roman"/>
          <w:sz w:val="24"/>
          <w:szCs w:val="24"/>
        </w:rPr>
        <w:t xml:space="preserve"> </w:t>
      </w:r>
      <w:r w:rsidR="00CB71E3" w:rsidRPr="00F16111">
        <w:rPr>
          <w:rFonts w:ascii="Times New Roman" w:hAnsi="Times New Roman" w:cs="Times New Roman"/>
          <w:sz w:val="24"/>
          <w:szCs w:val="24"/>
        </w:rPr>
        <w:t xml:space="preserve">including </w:t>
      </w:r>
      <w:r w:rsidRPr="00F16111">
        <w:rPr>
          <w:rFonts w:ascii="Times New Roman" w:hAnsi="Times New Roman" w:cs="Times New Roman"/>
          <w:sz w:val="24"/>
          <w:szCs w:val="24"/>
        </w:rPr>
        <w:t xml:space="preserve">for the purpose of this </w:t>
      </w:r>
      <w:r w:rsidR="00E51157">
        <w:rPr>
          <w:rFonts w:ascii="Times New Roman" w:hAnsi="Times New Roman" w:cs="Times New Roman"/>
          <w:sz w:val="24"/>
          <w:szCs w:val="24"/>
        </w:rPr>
        <w:t>I</w:t>
      </w:r>
      <w:r w:rsidRPr="00F16111">
        <w:rPr>
          <w:rFonts w:ascii="Times New Roman" w:hAnsi="Times New Roman" w:cs="Times New Roman"/>
          <w:sz w:val="24"/>
          <w:szCs w:val="24"/>
        </w:rPr>
        <w:t>nstrument the rate of fortnightly payment</w:t>
      </w:r>
      <w:r w:rsidR="00CB71E3" w:rsidRPr="00F16111">
        <w:rPr>
          <w:rFonts w:ascii="Times New Roman" w:hAnsi="Times New Roman" w:cs="Times New Roman"/>
          <w:sz w:val="24"/>
          <w:szCs w:val="24"/>
        </w:rPr>
        <w:t>.</w:t>
      </w:r>
    </w:p>
    <w:p w14:paraId="1F3783C9" w14:textId="4E900BB8" w:rsidR="0028357F" w:rsidRPr="003629B5" w:rsidRDefault="0028357F" w:rsidP="0028357F">
      <w:pPr>
        <w:pStyle w:val="Default"/>
      </w:pPr>
      <w:r w:rsidRPr="00561A6F">
        <w:t>The Departments of the Prime Minister and Cabinet; Employment and Workplace Relations; Social Services (including Services Australia); the Treasury and Finan</w:t>
      </w:r>
      <w:r w:rsidR="00E51157">
        <w:t>ce were also consulted on this I</w:t>
      </w:r>
      <w:r w:rsidRPr="00561A6F">
        <w:t>nstrument.</w:t>
      </w:r>
      <w:r w:rsidRPr="003629B5">
        <w:t xml:space="preserve"> </w:t>
      </w:r>
    </w:p>
    <w:p w14:paraId="0B93D55B" w14:textId="77777777" w:rsidR="00E560EF" w:rsidRDefault="00E560EF" w:rsidP="00C23CD3">
      <w:pPr>
        <w:rPr>
          <w:rFonts w:ascii="Times New Roman" w:hAnsi="Times New Roman" w:cs="Times New Roman"/>
          <w:sz w:val="24"/>
          <w:szCs w:val="24"/>
        </w:rPr>
      </w:pPr>
    </w:p>
    <w:p w14:paraId="09635679" w14:textId="0F42AA81" w:rsidR="00C23CD3" w:rsidRPr="00C23CD3" w:rsidRDefault="00C23CD3" w:rsidP="00C23CD3">
      <w:pPr>
        <w:rPr>
          <w:rFonts w:ascii="Times New Roman" w:hAnsi="Times New Roman" w:cs="Times New Roman"/>
          <w:b/>
          <w:sz w:val="24"/>
          <w:szCs w:val="24"/>
          <w:highlight w:val="yellow"/>
        </w:rPr>
      </w:pPr>
      <w:r>
        <w:rPr>
          <w:rFonts w:ascii="Times New Roman" w:hAnsi="Times New Roman" w:cs="Times New Roman"/>
          <w:b/>
          <w:sz w:val="24"/>
          <w:szCs w:val="24"/>
        </w:rPr>
        <w:lastRenderedPageBreak/>
        <w:t>Statement of Compatibility w</w:t>
      </w:r>
      <w:r w:rsidRPr="00C23CD3">
        <w:rPr>
          <w:rFonts w:ascii="Times New Roman" w:hAnsi="Times New Roman" w:cs="Times New Roman"/>
          <w:b/>
          <w:sz w:val="24"/>
          <w:szCs w:val="24"/>
        </w:rPr>
        <w:t>ith Human Rights</w:t>
      </w:r>
    </w:p>
    <w:p w14:paraId="3D53E180" w14:textId="64BC6118" w:rsidR="00012BE7" w:rsidRDefault="00C23CD3" w:rsidP="00C23CD3">
      <w:pPr>
        <w:spacing w:before="360"/>
        <w:rPr>
          <w:rFonts w:ascii="Times New Roman" w:hAnsi="Times New Roman" w:cs="Times New Roman"/>
          <w:sz w:val="24"/>
        </w:rPr>
      </w:pPr>
      <w:r w:rsidRPr="007356FC">
        <w:rPr>
          <w:rFonts w:ascii="Times New Roman" w:hAnsi="Times New Roman" w:cs="Times New Roman"/>
          <w:sz w:val="24"/>
        </w:rPr>
        <w:t>The Statement of C</w:t>
      </w:r>
      <w:r w:rsidRPr="00C23CD3">
        <w:rPr>
          <w:rFonts w:ascii="Times New Roman" w:hAnsi="Times New Roman" w:cs="Times New Roman"/>
          <w:sz w:val="24"/>
        </w:rPr>
        <w:t xml:space="preserve">ompatibility with Human Rights commences from page </w:t>
      </w:r>
      <w:r w:rsidR="006B17B4">
        <w:rPr>
          <w:rFonts w:ascii="Times New Roman" w:hAnsi="Times New Roman" w:cs="Times New Roman"/>
          <w:sz w:val="24"/>
        </w:rPr>
        <w:t>6</w:t>
      </w:r>
      <w:r w:rsidRPr="00C23CD3">
        <w:rPr>
          <w:rFonts w:ascii="Times New Roman" w:hAnsi="Times New Roman" w:cs="Times New Roman"/>
          <w:sz w:val="24"/>
        </w:rPr>
        <w:t>.</w:t>
      </w:r>
    </w:p>
    <w:p w14:paraId="20282F43" w14:textId="705FF8C2" w:rsidR="00C23CD3" w:rsidRPr="00726505" w:rsidRDefault="007356FC" w:rsidP="00C23CD3">
      <w:pPr>
        <w:spacing w:before="360"/>
        <w:rPr>
          <w:rFonts w:ascii="Times New Roman" w:hAnsi="Times New Roman" w:cs="Times New Roman"/>
          <w:b/>
          <w:sz w:val="24"/>
        </w:rPr>
      </w:pPr>
      <w:r w:rsidRPr="00726505">
        <w:rPr>
          <w:rFonts w:ascii="Times New Roman" w:hAnsi="Times New Roman" w:cs="Times New Roman"/>
          <w:b/>
          <w:sz w:val="24"/>
        </w:rPr>
        <w:t>COMMON INSTRUME</w:t>
      </w:r>
      <w:r w:rsidR="00C23CD3" w:rsidRPr="00726505">
        <w:rPr>
          <w:rFonts w:ascii="Times New Roman" w:hAnsi="Times New Roman" w:cs="Times New Roman"/>
          <w:b/>
          <w:sz w:val="24"/>
        </w:rPr>
        <w:t>N</w:t>
      </w:r>
      <w:r w:rsidRPr="00726505">
        <w:rPr>
          <w:rFonts w:ascii="Times New Roman" w:hAnsi="Times New Roman" w:cs="Times New Roman"/>
          <w:b/>
          <w:sz w:val="24"/>
        </w:rPr>
        <w:t>T</w:t>
      </w:r>
      <w:r w:rsidR="00C23CD3" w:rsidRPr="00726505">
        <w:rPr>
          <w:rFonts w:ascii="Times New Roman" w:hAnsi="Times New Roman" w:cs="Times New Roman"/>
          <w:b/>
          <w:sz w:val="24"/>
        </w:rPr>
        <w:t xml:space="preserve"> SPECIFIC MATTERS</w:t>
      </w:r>
    </w:p>
    <w:p w14:paraId="10E1314E" w14:textId="77777777" w:rsidR="00D76A97" w:rsidRPr="0028357F" w:rsidRDefault="00D76A97" w:rsidP="00D76A97">
      <w:pPr>
        <w:spacing w:before="360"/>
        <w:rPr>
          <w:rFonts w:ascii="Times New Roman" w:hAnsi="Times New Roman" w:cs="Times New Roman"/>
          <w:b/>
          <w:sz w:val="24"/>
          <w:u w:val="single"/>
        </w:rPr>
      </w:pPr>
      <w:r>
        <w:rPr>
          <w:rFonts w:ascii="Times New Roman" w:hAnsi="Times New Roman" w:cs="Times New Roman"/>
          <w:b/>
          <w:sz w:val="24"/>
          <w:u w:val="single"/>
        </w:rPr>
        <w:t>Availability of independent review</w:t>
      </w:r>
    </w:p>
    <w:p w14:paraId="340E6BF9" w14:textId="54216B2A" w:rsidR="00D76A97" w:rsidRPr="00AE690D" w:rsidRDefault="00D76A97" w:rsidP="00C23CD3">
      <w:pPr>
        <w:spacing w:before="360"/>
        <w:rPr>
          <w:rFonts w:ascii="Times New Roman" w:hAnsi="Times New Roman" w:cs="Times New Roman"/>
          <w:color w:val="000000"/>
          <w:sz w:val="24"/>
          <w:szCs w:val="24"/>
          <w:shd w:val="clear" w:color="auto" w:fill="FFFFFF"/>
        </w:rPr>
      </w:pPr>
      <w:r w:rsidRPr="00AD58A8">
        <w:rPr>
          <w:rFonts w:ascii="Times New Roman" w:hAnsi="Times New Roman" w:cs="Times New Roman"/>
          <w:color w:val="000000"/>
          <w:sz w:val="24"/>
          <w:shd w:val="clear" w:color="auto" w:fill="FFFFFF"/>
        </w:rPr>
        <w:t>Under subsection 23(17) of the </w:t>
      </w:r>
      <w:r w:rsidRPr="00AD58A8">
        <w:rPr>
          <w:rFonts w:ascii="Times New Roman" w:hAnsi="Times New Roman" w:cs="Times New Roman"/>
          <w:iCs/>
          <w:color w:val="000000"/>
          <w:sz w:val="24"/>
          <w:shd w:val="clear" w:color="auto" w:fill="FFFFFF"/>
        </w:rPr>
        <w:t>Act</w:t>
      </w:r>
      <w:r w:rsidRPr="00AD58A8">
        <w:rPr>
          <w:rFonts w:ascii="Times New Roman" w:hAnsi="Times New Roman" w:cs="Times New Roman"/>
          <w:color w:val="000000"/>
          <w:sz w:val="24"/>
          <w:shd w:val="clear" w:color="auto" w:fill="FFFFFF"/>
        </w:rPr>
        <w:t xml:space="preserve">, legislative instruments made under the Act form part of the social security law. </w:t>
      </w:r>
      <w:r w:rsidRPr="00D951F7">
        <w:rPr>
          <w:rFonts w:ascii="Times New Roman" w:hAnsi="Times New Roman" w:cs="Times New Roman"/>
          <w:color w:val="000000"/>
          <w:sz w:val="24"/>
          <w:shd w:val="clear" w:color="auto" w:fill="FFFFFF"/>
        </w:rPr>
        <w:t>Decisions made under the social security law</w:t>
      </w:r>
      <w:r w:rsidRPr="00AD58A8">
        <w:rPr>
          <w:rFonts w:ascii="Times New Roman" w:hAnsi="Times New Roman" w:cs="Times New Roman"/>
          <w:color w:val="000000"/>
          <w:sz w:val="24"/>
          <w:shd w:val="clear" w:color="auto" w:fill="FFFFFF"/>
        </w:rPr>
        <w:t xml:space="preserve"> are subject to internal and external merits review </w:t>
      </w:r>
      <w:r w:rsidR="00F606F6">
        <w:rPr>
          <w:rFonts w:ascii="Times New Roman" w:hAnsi="Times New Roman" w:cs="Times New Roman"/>
          <w:color w:val="000000"/>
          <w:sz w:val="24"/>
          <w:shd w:val="clear" w:color="auto" w:fill="FFFFFF"/>
        </w:rPr>
        <w:t>according to</w:t>
      </w:r>
      <w:r w:rsidR="00F606F6" w:rsidRPr="00AD58A8">
        <w:rPr>
          <w:rFonts w:ascii="Times New Roman" w:hAnsi="Times New Roman" w:cs="Times New Roman"/>
          <w:color w:val="000000"/>
          <w:sz w:val="24"/>
          <w:shd w:val="clear" w:color="auto" w:fill="FFFFFF"/>
        </w:rPr>
        <w:t xml:space="preserve"> </w:t>
      </w:r>
      <w:r w:rsidRPr="00AD58A8">
        <w:rPr>
          <w:rFonts w:ascii="Times New Roman" w:hAnsi="Times New Roman" w:cs="Times New Roman"/>
          <w:color w:val="000000"/>
          <w:sz w:val="24"/>
          <w:shd w:val="clear" w:color="auto" w:fill="FFFFFF"/>
        </w:rPr>
        <w:t xml:space="preserve">Parts 4 and 4A of the </w:t>
      </w:r>
      <w:r w:rsidRPr="00AD58A8">
        <w:rPr>
          <w:rFonts w:ascii="Times New Roman" w:hAnsi="Times New Roman" w:cs="Times New Roman"/>
          <w:i/>
          <w:color w:val="000000"/>
          <w:sz w:val="24"/>
          <w:shd w:val="clear" w:color="auto" w:fill="FFFFFF"/>
        </w:rPr>
        <w:t xml:space="preserve">Social Security </w:t>
      </w:r>
      <w:r w:rsidRPr="00AE690D">
        <w:rPr>
          <w:rFonts w:ascii="Times New Roman" w:hAnsi="Times New Roman" w:cs="Times New Roman"/>
          <w:i/>
          <w:color w:val="000000"/>
          <w:sz w:val="24"/>
          <w:szCs w:val="24"/>
          <w:shd w:val="clear" w:color="auto" w:fill="FFFFFF"/>
        </w:rPr>
        <w:t>(Administration) Act 1999</w:t>
      </w:r>
      <w:r w:rsidRPr="00AE690D">
        <w:rPr>
          <w:rFonts w:ascii="Times New Roman" w:hAnsi="Times New Roman" w:cs="Times New Roman"/>
          <w:color w:val="000000"/>
          <w:sz w:val="24"/>
          <w:szCs w:val="24"/>
          <w:shd w:val="clear" w:color="auto" w:fill="FFFFFF"/>
        </w:rPr>
        <w:t>.</w:t>
      </w:r>
      <w:r w:rsidR="00322C7D" w:rsidRPr="00AE690D">
        <w:rPr>
          <w:rFonts w:ascii="Times New Roman" w:hAnsi="Times New Roman" w:cs="Times New Roman"/>
          <w:color w:val="000000"/>
          <w:sz w:val="24"/>
          <w:szCs w:val="24"/>
          <w:shd w:val="clear" w:color="auto" w:fill="FFFFFF"/>
        </w:rPr>
        <w:t xml:space="preserve"> </w:t>
      </w:r>
    </w:p>
    <w:p w14:paraId="6E3B7DF0" w14:textId="48E8E976" w:rsidR="00F606F6" w:rsidRPr="00AE690D" w:rsidRDefault="00C722E6" w:rsidP="00C23CD3">
      <w:pPr>
        <w:spacing w:before="360"/>
        <w:rPr>
          <w:rFonts w:ascii="Times New Roman" w:hAnsi="Times New Roman" w:cs="Times New Roman"/>
          <w:color w:val="000000"/>
          <w:sz w:val="24"/>
          <w:szCs w:val="24"/>
          <w:shd w:val="clear" w:color="auto" w:fill="FFFFFF"/>
        </w:rPr>
      </w:pPr>
      <w:r w:rsidRPr="0051020C">
        <w:rPr>
          <w:rFonts w:ascii="Times New Roman" w:hAnsi="Times New Roman" w:cs="Times New Roman"/>
          <w:color w:val="000000"/>
          <w:sz w:val="24"/>
          <w:szCs w:val="24"/>
          <w:shd w:val="clear" w:color="auto" w:fill="FFFFFF"/>
        </w:rPr>
        <w:t xml:space="preserve">Participants will be provided with information about the remote engagement program trial including qualification criteria for receipt of the remote engagement program payment, participation requirements for remote engagement placements and </w:t>
      </w:r>
      <w:r w:rsidR="00413760" w:rsidRPr="0051020C">
        <w:rPr>
          <w:rFonts w:ascii="Times New Roman" w:hAnsi="Times New Roman" w:cs="Times New Roman"/>
          <w:color w:val="000000"/>
          <w:sz w:val="24"/>
          <w:szCs w:val="24"/>
          <w:shd w:val="clear" w:color="auto" w:fill="FFFFFF"/>
        </w:rPr>
        <w:t xml:space="preserve">the </w:t>
      </w:r>
      <w:r w:rsidRPr="0051020C">
        <w:rPr>
          <w:rFonts w:ascii="Times New Roman" w:hAnsi="Times New Roman" w:cs="Times New Roman"/>
          <w:color w:val="000000"/>
          <w:sz w:val="24"/>
          <w:szCs w:val="24"/>
          <w:shd w:val="clear" w:color="auto" w:fill="FFFFFF"/>
        </w:rPr>
        <w:t xml:space="preserve">various supports available to them. </w:t>
      </w:r>
      <w:r w:rsidR="00F606F6" w:rsidRPr="0051020C">
        <w:rPr>
          <w:rFonts w:ascii="Times New Roman" w:hAnsi="Times New Roman" w:cs="Times New Roman"/>
          <w:color w:val="000000"/>
          <w:sz w:val="24"/>
          <w:szCs w:val="24"/>
          <w:shd w:val="clear" w:color="auto" w:fill="FFFFFF"/>
        </w:rPr>
        <w:t xml:space="preserve">Participants will be notified of complaint, feedback and review options </w:t>
      </w:r>
      <w:r w:rsidR="0051020C" w:rsidRPr="0051020C">
        <w:rPr>
          <w:rFonts w:ascii="Times New Roman" w:hAnsi="Times New Roman" w:cs="Times New Roman"/>
          <w:color w:val="000000"/>
          <w:sz w:val="24"/>
          <w:szCs w:val="24"/>
          <w:shd w:val="clear" w:color="auto" w:fill="FFFFFF"/>
        </w:rPr>
        <w:t>including contact</w:t>
      </w:r>
      <w:r w:rsidR="00915F58" w:rsidRPr="0051020C">
        <w:rPr>
          <w:rFonts w:ascii="Times New Roman" w:hAnsi="Times New Roman" w:cs="Times New Roman"/>
          <w:color w:val="000000"/>
          <w:sz w:val="24"/>
          <w:szCs w:val="24"/>
          <w:shd w:val="clear" w:color="auto" w:fill="FFFFFF"/>
        </w:rPr>
        <w:t xml:space="preserve"> information for </w:t>
      </w:r>
      <w:r w:rsidR="00F606F6" w:rsidRPr="0051020C">
        <w:rPr>
          <w:rFonts w:ascii="Times New Roman" w:hAnsi="Times New Roman" w:cs="Times New Roman"/>
          <w:sz w:val="24"/>
          <w:szCs w:val="24"/>
        </w:rPr>
        <w:t xml:space="preserve">Services Australia and </w:t>
      </w:r>
      <w:r w:rsidR="00915F58" w:rsidRPr="0051020C">
        <w:rPr>
          <w:rFonts w:ascii="Times New Roman" w:hAnsi="Times New Roman" w:cs="Times New Roman"/>
          <w:sz w:val="24"/>
          <w:szCs w:val="24"/>
        </w:rPr>
        <w:t xml:space="preserve">the </w:t>
      </w:r>
      <w:r w:rsidR="00F606F6" w:rsidRPr="0051020C">
        <w:rPr>
          <w:rFonts w:ascii="Times New Roman" w:hAnsi="Times New Roman" w:cs="Times New Roman"/>
          <w:sz w:val="24"/>
          <w:szCs w:val="24"/>
        </w:rPr>
        <w:t>National Customer Service Line for participants seeking further support</w:t>
      </w:r>
      <w:r w:rsidR="00413760" w:rsidRPr="0051020C">
        <w:rPr>
          <w:rFonts w:ascii="Times New Roman" w:hAnsi="Times New Roman" w:cs="Times New Roman"/>
          <w:sz w:val="24"/>
          <w:szCs w:val="24"/>
        </w:rPr>
        <w:t>, as well as</w:t>
      </w:r>
      <w:r w:rsidR="00F606F6" w:rsidRPr="0051020C">
        <w:rPr>
          <w:rFonts w:ascii="Times New Roman" w:hAnsi="Times New Roman" w:cs="Times New Roman"/>
          <w:sz w:val="24"/>
          <w:szCs w:val="24"/>
        </w:rPr>
        <w:t xml:space="preserve"> NIAA Complaints contact details.</w:t>
      </w:r>
    </w:p>
    <w:p w14:paraId="4D50C324" w14:textId="48C2E3D6" w:rsidR="006B03C0" w:rsidRPr="00C27C69" w:rsidRDefault="00C27C69" w:rsidP="00C27C69">
      <w:pPr>
        <w:spacing w:before="360"/>
        <w:rPr>
          <w:rFonts w:ascii="Times New Roman" w:hAnsi="Times New Roman" w:cs="Times New Roman"/>
          <w:b/>
          <w:sz w:val="24"/>
          <w:u w:val="single"/>
        </w:rPr>
      </w:pPr>
      <w:r>
        <w:rPr>
          <w:rFonts w:ascii="Times New Roman" w:hAnsi="Times New Roman" w:cs="Times New Roman"/>
          <w:b/>
          <w:sz w:val="24"/>
          <w:u w:val="single"/>
        </w:rPr>
        <w:t>Incorporation by reference</w:t>
      </w:r>
    </w:p>
    <w:p w14:paraId="36BB67C9" w14:textId="7326CC3B" w:rsidR="00AE690D" w:rsidRDefault="007D35AD" w:rsidP="006B03C0">
      <w:pPr>
        <w:pStyle w:val="Numberedparagraph"/>
        <w:numPr>
          <w:ilvl w:val="0"/>
          <w:numId w:val="0"/>
        </w:numPr>
      </w:pPr>
      <w:r w:rsidRPr="007D35AD">
        <w:t xml:space="preserve">Paragraph 15J(2)(c) of the </w:t>
      </w:r>
      <w:r w:rsidRPr="007D35AD">
        <w:rPr>
          <w:i/>
        </w:rPr>
        <w:t>Legislation Act 2003</w:t>
      </w:r>
      <w:r w:rsidRPr="007D35AD">
        <w:t xml:space="preserve"> provides that all documents referred to in instruments must be described, and an indication given a</w:t>
      </w:r>
      <w:r w:rsidR="00023E69">
        <w:t xml:space="preserve">s to how they can be obtained. </w:t>
      </w:r>
      <w:r w:rsidR="00AE690D">
        <w:t xml:space="preserve">The remote engagement program is described as the arrangement set out in Part G of Annexure 1 </w:t>
      </w:r>
      <w:r w:rsidR="006B17B4">
        <w:t>to</w:t>
      </w:r>
      <w:r w:rsidR="00AE690D">
        <w:t xml:space="preserve"> the Head Agreement for the Community Development Program 2019 -2024 between the Commonwealth and Paupiyala Tjarutja Aboriginal Corporation</w:t>
      </w:r>
      <w:r w:rsidR="006B17B4">
        <w:t>,</w:t>
      </w:r>
      <w:r w:rsidR="00AE690D">
        <w:t xml:space="preserve"> and the Commonwealth and the Ngaanyatjarra Council Aboriginal Corporation. The documents are incorporate</w:t>
      </w:r>
      <w:r w:rsidR="006B17B4">
        <w:t>d</w:t>
      </w:r>
      <w:r w:rsidR="00AE690D">
        <w:t xml:space="preserve"> as in</w:t>
      </w:r>
      <w:r w:rsidR="0051020C">
        <w:t xml:space="preserve"> </w:t>
      </w:r>
      <w:r w:rsidR="00AE690D">
        <w:t xml:space="preserve">force on </w:t>
      </w:r>
      <w:r w:rsidR="004036CB">
        <w:t>3</w:t>
      </w:r>
      <w:r w:rsidR="00E51157">
        <w:t xml:space="preserve"> July 2023. </w:t>
      </w:r>
    </w:p>
    <w:p w14:paraId="5647B349" w14:textId="23DD6002" w:rsidR="00AE690D" w:rsidRDefault="00046212" w:rsidP="006B03C0">
      <w:pPr>
        <w:pStyle w:val="Numberedparagraph"/>
        <w:numPr>
          <w:ilvl w:val="0"/>
          <w:numId w:val="0"/>
        </w:numPr>
      </w:pPr>
      <w:r>
        <w:t>The n</w:t>
      </w:r>
      <w:r w:rsidR="00AE690D">
        <w:t>ew Part G of Annexure 1 to the</w:t>
      </w:r>
      <w:r w:rsidR="00AE690D" w:rsidRPr="002D65EA">
        <w:t xml:space="preserve"> </w:t>
      </w:r>
      <w:r w:rsidR="00AE690D">
        <w:t>Head Agreement for the Community Development Program 2019-2024 for each provider</w:t>
      </w:r>
      <w:r>
        <w:t xml:space="preserve"> is available on the NIAA’s website and</w:t>
      </w:r>
      <w:r w:rsidR="00AE690D">
        <w:t xml:space="preserve"> sets out the parameters of the remote engagement program and forms the basis of </w:t>
      </w:r>
      <w:r w:rsidR="00AE690D" w:rsidRPr="00C27C69">
        <w:t>the commercial arrangements for providers’ service delivery obligations.</w:t>
      </w:r>
    </w:p>
    <w:p w14:paraId="65B2F048" w14:textId="1BD9E8E8" w:rsidR="00AE690D" w:rsidRDefault="008903BE" w:rsidP="00AE690D">
      <w:pPr>
        <w:pStyle w:val="Numberedparagraph"/>
        <w:numPr>
          <w:ilvl w:val="0"/>
          <w:numId w:val="0"/>
        </w:numPr>
        <w:rPr>
          <w:szCs w:val="24"/>
        </w:rPr>
      </w:pPr>
      <w:r>
        <w:t>R</w:t>
      </w:r>
      <w:r w:rsidR="00AE690D" w:rsidRPr="002D65EA">
        <w:rPr>
          <w:szCs w:val="24"/>
        </w:rPr>
        <w:t xml:space="preserve">emote engagement program </w:t>
      </w:r>
      <w:r w:rsidR="00AE690D" w:rsidRPr="002D65EA">
        <w:t xml:space="preserve">participants </w:t>
      </w:r>
      <w:r w:rsidR="00AE690D">
        <w:t xml:space="preserve">will be provided with information </w:t>
      </w:r>
      <w:r w:rsidR="00AE690D" w:rsidRPr="002D65EA">
        <w:t xml:space="preserve">on the </w:t>
      </w:r>
      <w:r w:rsidR="00AE690D" w:rsidRPr="002D65EA">
        <w:rPr>
          <w:szCs w:val="24"/>
        </w:rPr>
        <w:t xml:space="preserve">remote engagement </w:t>
      </w:r>
      <w:r w:rsidR="00CA2460">
        <w:rPr>
          <w:szCs w:val="24"/>
        </w:rPr>
        <w:t xml:space="preserve">program </w:t>
      </w:r>
      <w:r w:rsidR="00AE690D" w:rsidRPr="002D65EA">
        <w:rPr>
          <w:szCs w:val="24"/>
        </w:rPr>
        <w:t>p</w:t>
      </w:r>
      <w:r w:rsidR="00AE690D" w:rsidRPr="002D65EA">
        <w:t xml:space="preserve">ayment and </w:t>
      </w:r>
      <w:r w:rsidR="00AE690D" w:rsidRPr="002D65EA">
        <w:rPr>
          <w:szCs w:val="24"/>
        </w:rPr>
        <w:t>remote engagement p</w:t>
      </w:r>
      <w:r w:rsidR="00AE690D" w:rsidRPr="002D65EA">
        <w:t>lacement</w:t>
      </w:r>
      <w:r w:rsidR="00AE690D">
        <w:t>, including how they can access or change a remote engagement placement, participation requirements, and how remote engagement place</w:t>
      </w:r>
      <w:r w:rsidR="00AE690D" w:rsidRPr="0051020C">
        <w:t>ments may be brought to an end, by accessing fact sheets that will</w:t>
      </w:r>
      <w:r w:rsidR="0051020C" w:rsidRPr="0051020C">
        <w:t xml:space="preserve"> be</w:t>
      </w:r>
      <w:r w:rsidR="00AE690D" w:rsidRPr="0051020C">
        <w:t xml:space="preserve"> made available to remote engagement program participants through their remote engagement program provider. Th</w:t>
      </w:r>
      <w:r w:rsidR="00AE690D">
        <w:t>e fact sheets</w:t>
      </w:r>
      <w:r w:rsidR="00AE690D" w:rsidRPr="002D65EA">
        <w:t xml:space="preserve"> will include Services Australia contact information and National Customer Service Line contact information for participants </w:t>
      </w:r>
      <w:r w:rsidR="00AE690D" w:rsidRPr="00C27C69">
        <w:rPr>
          <w:szCs w:val="24"/>
        </w:rPr>
        <w:t xml:space="preserve">seeking further support. </w:t>
      </w:r>
    </w:p>
    <w:p w14:paraId="5BB5ACA1" w14:textId="298E18B2" w:rsidR="00AE690D" w:rsidRDefault="00AE690D" w:rsidP="00AE690D">
      <w:pPr>
        <w:pStyle w:val="Numberedparagraph"/>
        <w:numPr>
          <w:ilvl w:val="0"/>
          <w:numId w:val="0"/>
        </w:numPr>
      </w:pPr>
      <w:r>
        <w:t>Participants will also receive information about the program through the agreement that will be entered into between the participant, host organisation and REP provider. REP Providers have a positive obligation to explain content of agreements</w:t>
      </w:r>
      <w:r w:rsidR="0051020C">
        <w:t xml:space="preserve"> and fact sheets</w:t>
      </w:r>
      <w:r>
        <w:t xml:space="preserve"> to participants. </w:t>
      </w:r>
    </w:p>
    <w:p w14:paraId="04EE27F0" w14:textId="5A8D2D77" w:rsidR="00CB71E3" w:rsidRDefault="00AE690D" w:rsidP="00AE690D">
      <w:pPr>
        <w:pStyle w:val="Numberedparagraph"/>
        <w:numPr>
          <w:ilvl w:val="0"/>
          <w:numId w:val="0"/>
        </w:numPr>
      </w:pPr>
      <w:r>
        <w:lastRenderedPageBreak/>
        <w:t>These steps ensure that individuals understand the program and their placement, the benefit to them, how they can change or end a placement, the complaint process and eligibility requirements in a way that is more directly relevant for the general public and participants in particular.</w:t>
      </w:r>
    </w:p>
    <w:p w14:paraId="015E021F" w14:textId="43FEB36D" w:rsidR="007031BB" w:rsidRPr="005E55F6" w:rsidRDefault="007031BB" w:rsidP="007031BB">
      <w:pPr>
        <w:spacing w:before="360"/>
        <w:rPr>
          <w:rFonts w:ascii="Times New Roman" w:hAnsi="Times New Roman" w:cs="Times New Roman"/>
          <w:b/>
          <w:sz w:val="24"/>
        </w:rPr>
      </w:pPr>
      <w:r w:rsidRPr="005E55F6">
        <w:rPr>
          <w:rFonts w:ascii="Times New Roman" w:hAnsi="Times New Roman" w:cs="Times New Roman"/>
          <w:b/>
          <w:sz w:val="24"/>
        </w:rPr>
        <w:t>Regulatory Impact Assessment</w:t>
      </w:r>
    </w:p>
    <w:p w14:paraId="0E842240" w14:textId="77777777" w:rsidR="007031BB" w:rsidRPr="002C557A" w:rsidRDefault="007031BB" w:rsidP="007031BB">
      <w:pPr>
        <w:spacing w:before="360"/>
        <w:rPr>
          <w:rFonts w:ascii="Times New Roman" w:hAnsi="Times New Roman" w:cs="Times New Roman"/>
          <w:sz w:val="24"/>
        </w:rPr>
      </w:pPr>
      <w:r w:rsidRPr="005E55F6">
        <w:rPr>
          <w:rFonts w:ascii="Times New Roman" w:hAnsi="Times New Roman" w:cs="Times New Roman"/>
          <w:sz w:val="24"/>
        </w:rPr>
        <w:t>The Determination does not require a Regulatory Impact Statement (Reference OBPR ID 43345). It is not regulatory in nature nor will it affect business activity.  It will have no, or minimal, compliance cost or competition impact.</w:t>
      </w:r>
    </w:p>
    <w:p w14:paraId="37132B43" w14:textId="7F984444" w:rsidR="00224BC7" w:rsidRPr="00ED432C" w:rsidRDefault="00224BC7" w:rsidP="0028357F">
      <w:pPr>
        <w:pStyle w:val="Numberedparagraph"/>
        <w:numPr>
          <w:ilvl w:val="0"/>
          <w:numId w:val="0"/>
        </w:numPr>
      </w:pPr>
    </w:p>
    <w:p w14:paraId="076EDB6A" w14:textId="162BF6BB" w:rsidR="005D282A" w:rsidRPr="00241562" w:rsidRDefault="005D282A" w:rsidP="005D282A">
      <w:pPr>
        <w:pStyle w:val="ListParagraph"/>
      </w:pPr>
    </w:p>
    <w:p w14:paraId="6C3F3EF9" w14:textId="33108B7F" w:rsidR="005D282A" w:rsidRPr="00E47325" w:rsidRDefault="005D282A" w:rsidP="0068767E">
      <w:pPr>
        <w:pStyle w:val="Numberedparagraph"/>
        <w:rPr>
          <w:b/>
        </w:rPr>
      </w:pPr>
      <w:r w:rsidRPr="00E47325">
        <w:rPr>
          <w:b/>
          <w:szCs w:val="24"/>
        </w:rPr>
        <w:br w:type="page"/>
      </w:r>
    </w:p>
    <w:p w14:paraId="700CD945" w14:textId="0DB0238A" w:rsidR="00511BE2" w:rsidRPr="004F575F" w:rsidRDefault="00511BE2" w:rsidP="00E43269">
      <w:pPr>
        <w:shd w:val="clear" w:color="auto" w:fill="FFFFFF" w:themeFill="background1"/>
        <w:spacing w:before="120" w:after="0" w:line="360" w:lineRule="auto"/>
        <w:contextualSpacing/>
        <w:rPr>
          <w:rFonts w:ascii="Times New Roman" w:eastAsia="Times New Roman" w:hAnsi="Times New Roman" w:cs="Times New Roman"/>
          <w:b/>
          <w:sz w:val="24"/>
          <w:szCs w:val="24"/>
          <w:lang w:eastAsia="en-AU"/>
        </w:rPr>
      </w:pPr>
      <w:r w:rsidRPr="4AC13303">
        <w:rPr>
          <w:rFonts w:ascii="Times New Roman" w:eastAsia="Times New Roman" w:hAnsi="Times New Roman" w:cs="Times New Roman"/>
          <w:b/>
          <w:sz w:val="24"/>
          <w:szCs w:val="24"/>
          <w:lang w:eastAsia="en-AU"/>
        </w:rPr>
        <w:lastRenderedPageBreak/>
        <w:t>NOTES ON CLAUSES</w:t>
      </w:r>
    </w:p>
    <w:p w14:paraId="1F95A077" w14:textId="77777777" w:rsidR="00B31EDF" w:rsidRPr="005D615C" w:rsidRDefault="00B31EDF" w:rsidP="00B31EDF">
      <w:pPr>
        <w:shd w:val="clear" w:color="auto" w:fill="FFFFFF" w:themeFill="background1"/>
        <w:spacing w:before="240" w:after="0" w:line="240" w:lineRule="auto"/>
        <w:rPr>
          <w:rFonts w:ascii="Times New Roman" w:eastAsia="Times New Roman" w:hAnsi="Times New Roman" w:cs="Times New Roman"/>
          <w:sz w:val="24"/>
          <w:szCs w:val="24"/>
          <w:u w:val="single"/>
          <w:lang w:eastAsia="en-AU"/>
        </w:rPr>
      </w:pPr>
      <w:r w:rsidRPr="005D615C">
        <w:rPr>
          <w:rFonts w:ascii="Times New Roman" w:eastAsia="Times New Roman" w:hAnsi="Times New Roman" w:cs="Times New Roman"/>
          <w:sz w:val="24"/>
          <w:szCs w:val="24"/>
          <w:u w:val="single"/>
          <w:lang w:eastAsia="en-AU"/>
        </w:rPr>
        <w:t>Clause 1</w:t>
      </w:r>
      <w:r>
        <w:rPr>
          <w:rFonts w:ascii="Times New Roman" w:eastAsia="Times New Roman" w:hAnsi="Times New Roman" w:cs="Times New Roman"/>
          <w:sz w:val="24"/>
          <w:szCs w:val="24"/>
          <w:u w:val="single"/>
          <w:lang w:eastAsia="en-AU"/>
        </w:rPr>
        <w:t xml:space="preserve"> </w:t>
      </w:r>
      <w:r w:rsidRPr="005D615C">
        <w:rPr>
          <w:rFonts w:ascii="Times New Roman" w:eastAsia="Times New Roman" w:hAnsi="Times New Roman" w:cs="Times New Roman"/>
          <w:sz w:val="24"/>
          <w:szCs w:val="24"/>
          <w:u w:val="single"/>
          <w:lang w:eastAsia="en-AU"/>
        </w:rPr>
        <w:t>–</w:t>
      </w:r>
      <w:r>
        <w:rPr>
          <w:rFonts w:ascii="Times New Roman" w:eastAsia="Times New Roman" w:hAnsi="Times New Roman" w:cs="Times New Roman"/>
          <w:sz w:val="24"/>
          <w:szCs w:val="24"/>
          <w:u w:val="single"/>
          <w:lang w:eastAsia="en-AU"/>
        </w:rPr>
        <w:t xml:space="preserve"> Name</w:t>
      </w:r>
    </w:p>
    <w:p w14:paraId="4A39BC43" w14:textId="5256F4F3" w:rsidR="00B31EDF" w:rsidRPr="00A62DE4" w:rsidRDefault="00B31EDF" w:rsidP="00B31EDF">
      <w:pPr>
        <w:pStyle w:val="Numberedparagraph"/>
        <w:spacing w:before="240"/>
        <w:rPr>
          <w:lang w:val="en-US"/>
        </w:rPr>
      </w:pPr>
      <w:r>
        <w:rPr>
          <w:lang w:val="en-US"/>
        </w:rPr>
        <w:t>C</w:t>
      </w:r>
      <w:r w:rsidRPr="00A62DE4">
        <w:rPr>
          <w:lang w:val="en-US"/>
        </w:rPr>
        <w:t xml:space="preserve">lause </w:t>
      </w:r>
      <w:r>
        <w:rPr>
          <w:lang w:val="en-US"/>
        </w:rPr>
        <w:t xml:space="preserve">1 </w:t>
      </w:r>
      <w:r w:rsidRPr="00A62DE4">
        <w:rPr>
          <w:lang w:val="en-US"/>
        </w:rPr>
        <w:t xml:space="preserve">provides </w:t>
      </w:r>
      <w:r>
        <w:rPr>
          <w:lang w:val="en-US"/>
        </w:rPr>
        <w:t>for the Instrument to</w:t>
      </w:r>
      <w:r w:rsidRPr="00A62DE4">
        <w:rPr>
          <w:lang w:val="en-US"/>
        </w:rPr>
        <w:t xml:space="preserve"> be cited as the </w:t>
      </w:r>
      <w:r>
        <w:rPr>
          <w:i/>
          <w:noProof/>
        </w:rPr>
        <w:t>Social Security (Remote Engagement Program Payment) Determination 2023</w:t>
      </w:r>
      <w:r w:rsidRPr="00231B4F">
        <w:t>.</w:t>
      </w:r>
    </w:p>
    <w:p w14:paraId="23F837AC" w14:textId="77777777" w:rsidR="00B31EDF" w:rsidRPr="005D615C" w:rsidRDefault="00B31EDF" w:rsidP="00B31EDF">
      <w:pPr>
        <w:pStyle w:val="CABNETParagraph"/>
        <w:spacing w:before="240" w:after="0"/>
        <w:rPr>
          <w:rFonts w:ascii="Times New Roman" w:eastAsia="Times New Roman" w:hAnsi="Times New Roman" w:cs="Times New Roman"/>
          <w:sz w:val="24"/>
          <w:szCs w:val="24"/>
          <w:u w:val="single"/>
          <w:lang w:eastAsia="en-AU"/>
        </w:rPr>
      </w:pPr>
      <w:r w:rsidRPr="005D615C">
        <w:rPr>
          <w:rFonts w:ascii="Times New Roman" w:eastAsia="Times New Roman" w:hAnsi="Times New Roman" w:cs="Times New Roman"/>
          <w:sz w:val="24"/>
          <w:szCs w:val="24"/>
          <w:u w:val="single"/>
          <w:lang w:eastAsia="en-AU"/>
        </w:rPr>
        <w:t>Clause 2 – Commencement</w:t>
      </w:r>
    </w:p>
    <w:p w14:paraId="047C9974" w14:textId="25AC82D9" w:rsidR="00B31EDF" w:rsidRPr="00A62DE4" w:rsidRDefault="00B31EDF" w:rsidP="00B31EDF">
      <w:pPr>
        <w:pStyle w:val="Numberedparagraph"/>
        <w:spacing w:before="240"/>
        <w:rPr>
          <w:lang w:val="en-US"/>
        </w:rPr>
      </w:pPr>
      <w:r>
        <w:rPr>
          <w:lang w:val="en-US"/>
        </w:rPr>
        <w:t>C</w:t>
      </w:r>
      <w:r w:rsidRPr="005D615C">
        <w:rPr>
          <w:lang w:val="en-US"/>
        </w:rPr>
        <w:t xml:space="preserve">lause 2 </w:t>
      </w:r>
      <w:r>
        <w:rPr>
          <w:lang w:val="en-US"/>
        </w:rPr>
        <w:t xml:space="preserve">sets out the commencement details for the </w:t>
      </w:r>
      <w:r w:rsidRPr="00B31EDF">
        <w:rPr>
          <w:lang w:val="en-US"/>
        </w:rPr>
        <w:t xml:space="preserve">Instrument. Specifically, the table in subclause 2(1) </w:t>
      </w:r>
      <w:r w:rsidRPr="00B31EDF">
        <w:t xml:space="preserve">provides that the whole of the Instrument will commence on </w:t>
      </w:r>
      <w:r w:rsidR="00E51157">
        <w:t>the day after the I</w:t>
      </w:r>
      <w:r w:rsidR="00EA17AB">
        <w:t>nstrument is registered</w:t>
      </w:r>
      <w:r w:rsidRPr="00B31EDF">
        <w:t xml:space="preserve">.  </w:t>
      </w:r>
    </w:p>
    <w:p w14:paraId="3B17B40F" w14:textId="77777777" w:rsidR="00B31EDF" w:rsidRPr="005D615C" w:rsidRDefault="00B31EDF" w:rsidP="00B31EDF">
      <w:pPr>
        <w:shd w:val="clear" w:color="auto" w:fill="FFFFFF" w:themeFill="background1"/>
        <w:spacing w:before="240" w:after="0" w:line="240" w:lineRule="auto"/>
        <w:rPr>
          <w:rFonts w:ascii="Times New Roman" w:eastAsia="Times New Roman" w:hAnsi="Times New Roman" w:cs="Times New Roman"/>
          <w:sz w:val="24"/>
          <w:szCs w:val="24"/>
          <w:u w:val="single"/>
          <w:lang w:eastAsia="en-AU"/>
        </w:rPr>
      </w:pPr>
      <w:r w:rsidRPr="005D615C">
        <w:rPr>
          <w:rFonts w:ascii="Times New Roman" w:eastAsia="Times New Roman" w:hAnsi="Times New Roman" w:cs="Times New Roman"/>
          <w:sz w:val="24"/>
          <w:szCs w:val="24"/>
          <w:u w:val="single"/>
          <w:lang w:eastAsia="en-AU"/>
        </w:rPr>
        <w:t xml:space="preserve">Clause 3 – </w:t>
      </w:r>
      <w:r>
        <w:rPr>
          <w:rFonts w:ascii="Times New Roman" w:eastAsia="Times New Roman" w:hAnsi="Times New Roman" w:cs="Times New Roman"/>
          <w:sz w:val="24"/>
          <w:szCs w:val="24"/>
          <w:u w:val="single"/>
          <w:lang w:eastAsia="en-AU"/>
        </w:rPr>
        <w:t>Authority</w:t>
      </w:r>
    </w:p>
    <w:p w14:paraId="5CEA4727" w14:textId="5F77C038" w:rsidR="00B31EDF" w:rsidRPr="00B31EDF" w:rsidRDefault="00B31EDF" w:rsidP="00B31EDF">
      <w:pPr>
        <w:pStyle w:val="Numberedparagraph"/>
        <w:spacing w:before="240"/>
        <w:rPr>
          <w:lang w:val="en-US"/>
        </w:rPr>
      </w:pPr>
      <w:r w:rsidRPr="006431B7">
        <w:rPr>
          <w:lang w:val="en-US"/>
        </w:rPr>
        <w:t xml:space="preserve">Clause 3 provides that the </w:t>
      </w:r>
      <w:r>
        <w:rPr>
          <w:lang w:val="en-US"/>
        </w:rPr>
        <w:t>I</w:t>
      </w:r>
      <w:r w:rsidRPr="006431B7">
        <w:rPr>
          <w:lang w:val="en-US"/>
        </w:rPr>
        <w:t xml:space="preserve">nstrument is made under the </w:t>
      </w:r>
      <w:r w:rsidRPr="00C510C9">
        <w:rPr>
          <w:i/>
          <w:lang w:val="en-US"/>
        </w:rPr>
        <w:t>Social Security Act 1991.</w:t>
      </w:r>
    </w:p>
    <w:p w14:paraId="22B87A3D" w14:textId="77777777" w:rsidR="00B31EDF" w:rsidRPr="006431B7" w:rsidRDefault="00B31EDF" w:rsidP="00B31EDF">
      <w:pPr>
        <w:pStyle w:val="Numberedparagraph"/>
        <w:numPr>
          <w:ilvl w:val="0"/>
          <w:numId w:val="0"/>
        </w:numPr>
        <w:spacing w:before="240"/>
        <w:rPr>
          <w:u w:val="single"/>
          <w:lang w:val="en-US"/>
        </w:rPr>
      </w:pPr>
      <w:r w:rsidRPr="006431B7">
        <w:rPr>
          <w:u w:val="single"/>
          <w:lang w:val="en-US"/>
        </w:rPr>
        <w:t>Clause 4 – Definitions</w:t>
      </w:r>
    </w:p>
    <w:p w14:paraId="1A362C30" w14:textId="77777777" w:rsidR="00B31EDF" w:rsidRDefault="00B31EDF" w:rsidP="00B31EDF">
      <w:pPr>
        <w:pStyle w:val="Numberedparagraph"/>
        <w:rPr>
          <w:lang w:val="en-US"/>
        </w:rPr>
      </w:pPr>
      <w:r>
        <w:rPr>
          <w:lang w:val="en-US"/>
        </w:rPr>
        <w:t>Clause</w:t>
      </w:r>
      <w:r w:rsidRPr="006431B7">
        <w:rPr>
          <w:lang w:val="en-US"/>
        </w:rPr>
        <w:t xml:space="preserve"> 4 provides </w:t>
      </w:r>
      <w:r>
        <w:rPr>
          <w:lang w:val="en-US"/>
        </w:rPr>
        <w:t xml:space="preserve">the meaning of terms used in the Instrument. </w:t>
      </w:r>
    </w:p>
    <w:p w14:paraId="2B49DF7E" w14:textId="0C264639" w:rsidR="00B31EDF" w:rsidRPr="00B72A1A" w:rsidRDefault="00B31EDF" w:rsidP="00B31EDF">
      <w:pPr>
        <w:pStyle w:val="Numberedparagraph"/>
        <w:numPr>
          <w:ilvl w:val="0"/>
          <w:numId w:val="0"/>
        </w:numPr>
        <w:ind w:left="360"/>
        <w:rPr>
          <w:lang w:val="en-US"/>
        </w:rPr>
      </w:pPr>
      <w:r>
        <w:rPr>
          <w:lang w:val="en-US"/>
        </w:rPr>
        <w:t xml:space="preserve">The note at clause 4 provides that the expressions </w:t>
      </w:r>
      <w:r>
        <w:rPr>
          <w:i/>
          <w:lang w:val="en-US"/>
        </w:rPr>
        <w:t xml:space="preserve">remote </w:t>
      </w:r>
      <w:r w:rsidRPr="00B72A1A">
        <w:rPr>
          <w:i/>
          <w:lang w:val="en-US"/>
        </w:rPr>
        <w:t>engagement placement</w:t>
      </w:r>
      <w:r>
        <w:rPr>
          <w:lang w:val="en-US"/>
        </w:rPr>
        <w:t xml:space="preserve"> and </w:t>
      </w:r>
      <w:r>
        <w:rPr>
          <w:i/>
          <w:lang w:val="en-US"/>
        </w:rPr>
        <w:t xml:space="preserve">remote engagement program </w:t>
      </w:r>
      <w:r>
        <w:rPr>
          <w:lang w:val="en-US"/>
        </w:rPr>
        <w:t>are defined in the Act.</w:t>
      </w:r>
    </w:p>
    <w:p w14:paraId="3D734FF7" w14:textId="51CA8439" w:rsidR="00B31EDF" w:rsidRPr="009C2459" w:rsidRDefault="00D642E1" w:rsidP="009C2459">
      <w:pPr>
        <w:pStyle w:val="ItemHead"/>
        <w:keepNext w:val="0"/>
        <w:spacing w:before="120" w:after="120"/>
        <w:ind w:firstLine="0"/>
        <w:jc w:val="both"/>
        <w:rPr>
          <w:rFonts w:ascii="Times New Roman" w:hAnsi="Times New Roman"/>
          <w:b w:val="0"/>
        </w:rPr>
      </w:pPr>
      <w:r w:rsidRPr="00E43269">
        <w:rPr>
          <w:rFonts w:ascii="Times New Roman" w:hAnsi="Times New Roman"/>
          <w:i/>
        </w:rPr>
        <w:t>Act</w:t>
      </w:r>
      <w:r w:rsidRPr="00D642E1">
        <w:rPr>
          <w:rFonts w:ascii="Times New Roman" w:hAnsi="Times New Roman"/>
          <w:b w:val="0"/>
        </w:rPr>
        <w:t xml:space="preserve"> means the </w:t>
      </w:r>
      <w:r w:rsidR="009C2459">
        <w:rPr>
          <w:rFonts w:ascii="Times New Roman" w:hAnsi="Times New Roman"/>
          <w:b w:val="0"/>
          <w:i/>
        </w:rPr>
        <w:t>Social Security Act 1991.</w:t>
      </w:r>
    </w:p>
    <w:p w14:paraId="22D95841" w14:textId="77777777" w:rsidR="00B31EDF" w:rsidRDefault="00B31EDF" w:rsidP="00B31EDF">
      <w:pPr>
        <w:pStyle w:val="Item"/>
        <w:spacing w:line="276" w:lineRule="auto"/>
        <w:ind w:left="0"/>
        <w:rPr>
          <w:kern w:val="28"/>
          <w:sz w:val="24"/>
          <w:u w:val="single"/>
        </w:rPr>
      </w:pPr>
      <w:r w:rsidRPr="00310526">
        <w:rPr>
          <w:kern w:val="28"/>
          <w:sz w:val="24"/>
          <w:u w:val="single"/>
        </w:rPr>
        <w:t xml:space="preserve">Clause 5 – Remote Engagement Program </w:t>
      </w:r>
    </w:p>
    <w:p w14:paraId="13128B06" w14:textId="5F4F6E11" w:rsidR="00F8477B" w:rsidRPr="00F8477B" w:rsidRDefault="00B31EDF" w:rsidP="00860642">
      <w:pPr>
        <w:pStyle w:val="Numberedparagraph"/>
      </w:pPr>
      <w:r>
        <w:t xml:space="preserve">Clause 5 provides </w:t>
      </w:r>
      <w:r w:rsidR="00F8477B">
        <w:t xml:space="preserve">for the arrangements that are the remote engagement program for the purposes of paragraph 661A(2)(a) of the </w:t>
      </w:r>
      <w:r w:rsidR="00F8477B">
        <w:rPr>
          <w:i/>
        </w:rPr>
        <w:t>Social Security Act 1991.</w:t>
      </w:r>
      <w:r w:rsidR="00F8477B">
        <w:t xml:space="preserve"> Specifically, subclause (a) provides </w:t>
      </w:r>
      <w:r>
        <w:t xml:space="preserve">that </w:t>
      </w:r>
      <w:r w:rsidRPr="002A68B9">
        <w:t>the arrangement</w:t>
      </w:r>
      <w:r w:rsidR="00F8477B" w:rsidRPr="002A68B9">
        <w:t xml:space="preserve"> </w:t>
      </w:r>
      <w:r w:rsidRPr="002A68B9">
        <w:t>set out in Part G of Annexure 1 to the Head Agreement for the Community Development Program</w:t>
      </w:r>
      <w:r w:rsidRPr="00412F30">
        <w:t xml:space="preserve"> 2019</w:t>
      </w:r>
      <w:r w:rsidRPr="00412F30">
        <w:noBreakHyphen/>
        <w:t>2024</w:t>
      </w:r>
      <w:r w:rsidR="00F8477B" w:rsidRPr="00412F30">
        <w:t xml:space="preserve">, as in force on </w:t>
      </w:r>
      <w:r w:rsidR="004036CB">
        <w:t>3</w:t>
      </w:r>
      <w:r w:rsidR="00F8477B" w:rsidRPr="00412F30">
        <w:t xml:space="preserve"> July 2023, between the Commonwealth and the </w:t>
      </w:r>
      <w:r w:rsidR="00F8477B" w:rsidRPr="00C27C69">
        <w:rPr>
          <w:rFonts w:cstheme="minorHAnsi"/>
        </w:rPr>
        <w:t xml:space="preserve">Paupiyala Tjarutja Aboriginal Corporation is the remote engagement program. Subclause (b) provides that </w:t>
      </w:r>
      <w:r w:rsidR="00F8477B" w:rsidRPr="00C27C69">
        <w:t>the arrangement set out in Part G of Annexure 1 to the Head Agreement for the Community Development Program 2019</w:t>
      </w:r>
      <w:r w:rsidR="00F8477B" w:rsidRPr="00C27C69">
        <w:noBreakHyphen/>
        <w:t xml:space="preserve">2024, as in force on </w:t>
      </w:r>
      <w:r w:rsidR="004036CB">
        <w:t>3</w:t>
      </w:r>
      <w:r w:rsidR="00F8477B" w:rsidRPr="00C27C69">
        <w:t xml:space="preserve"> July 2023, between the Commonwealth</w:t>
      </w:r>
      <w:r w:rsidR="00F8477B" w:rsidRPr="00C27C69">
        <w:rPr>
          <w:rFonts w:cstheme="minorHAnsi"/>
        </w:rPr>
        <w:t xml:space="preserve"> and the Ngaanyatjarra Council Aboriginal Corporation,</w:t>
      </w:r>
      <w:r w:rsidR="00F8477B">
        <w:rPr>
          <w:rFonts w:cstheme="minorHAnsi"/>
        </w:rPr>
        <w:t xml:space="preserve"> is also the remote engagement program. </w:t>
      </w:r>
    </w:p>
    <w:p w14:paraId="59C88BDC" w14:textId="2127C884" w:rsidR="00D642E1" w:rsidRDefault="00B54A93" w:rsidP="00D642E1">
      <w:pPr>
        <w:pStyle w:val="ItemHead"/>
        <w:keepNext w:val="0"/>
        <w:spacing w:before="120" w:after="120"/>
        <w:jc w:val="both"/>
        <w:rPr>
          <w:rFonts w:ascii="Times New Roman" w:hAnsi="Times New Roman"/>
          <w:b w:val="0"/>
          <w:u w:val="single"/>
        </w:rPr>
      </w:pPr>
      <w:r w:rsidRPr="00B54A93">
        <w:rPr>
          <w:rFonts w:ascii="Times New Roman" w:hAnsi="Times New Roman"/>
          <w:b w:val="0"/>
          <w:u w:val="single"/>
        </w:rPr>
        <w:t xml:space="preserve">Clause 6 </w:t>
      </w:r>
      <w:r>
        <w:rPr>
          <w:rFonts w:ascii="Times New Roman" w:hAnsi="Times New Roman"/>
          <w:b w:val="0"/>
          <w:u w:val="single"/>
        </w:rPr>
        <w:t>–</w:t>
      </w:r>
      <w:r w:rsidRPr="00B54A93">
        <w:rPr>
          <w:rFonts w:ascii="Times New Roman" w:hAnsi="Times New Roman"/>
          <w:b w:val="0"/>
          <w:u w:val="single"/>
        </w:rPr>
        <w:t xml:space="preserve"> </w:t>
      </w:r>
      <w:r>
        <w:rPr>
          <w:rFonts w:ascii="Times New Roman" w:hAnsi="Times New Roman"/>
          <w:b w:val="0"/>
          <w:u w:val="single"/>
        </w:rPr>
        <w:t>Remote Engagement Placement</w:t>
      </w:r>
    </w:p>
    <w:p w14:paraId="7492714F" w14:textId="61B2909F" w:rsidR="00E43269" w:rsidRPr="00860642" w:rsidRDefault="00B31EDF" w:rsidP="00860642">
      <w:pPr>
        <w:pStyle w:val="Numberedparagraph"/>
      </w:pPr>
      <w:r>
        <w:t xml:space="preserve">Clause 6 provides </w:t>
      </w:r>
      <w:r w:rsidR="00F8477B">
        <w:t xml:space="preserve">for the parts of the remote engagement program that are a remote engagement </w:t>
      </w:r>
      <w:r w:rsidR="00150DBC">
        <w:t>placement</w:t>
      </w:r>
      <w:r w:rsidR="00F8477B">
        <w:t xml:space="preserve"> under the program. Specifically, subclause (a) provides that a remote engagement placement is the REP Placement set out in Part G of Annexure 1 to the Head Agreement mentioned in paragraph 5(a) of the Instrument, which refers to the agreement between the Commonwealth and the </w:t>
      </w:r>
      <w:r w:rsidR="00F8477B">
        <w:rPr>
          <w:rFonts w:cstheme="minorHAnsi"/>
        </w:rPr>
        <w:t xml:space="preserve">Paupiyala Tjarutja Aboriginal Corporation. Subclause (b) provides that </w:t>
      </w:r>
      <w:r w:rsidR="00F8477B">
        <w:t xml:space="preserve">that a remote engagement placement is the REP Placement set out in Part G of Annexure 1 to the Head Agreement mentioned in paragraph 5(b) of the Instrument, which refers to the agreement between the Commonwealth and the </w:t>
      </w:r>
      <w:r w:rsidR="00F8477B">
        <w:rPr>
          <w:rFonts w:cstheme="minorHAnsi"/>
        </w:rPr>
        <w:t>Ngaanyatjarra Council Aboriginal Corporation.</w:t>
      </w:r>
    </w:p>
    <w:p w14:paraId="1DC1FC56" w14:textId="43BE3F62" w:rsidR="00B54A93" w:rsidRPr="00B54A93" w:rsidRDefault="00B54A93" w:rsidP="00B54A93">
      <w:pPr>
        <w:pStyle w:val="ItemHead"/>
        <w:keepNext w:val="0"/>
        <w:spacing w:before="120" w:after="120"/>
        <w:jc w:val="both"/>
        <w:rPr>
          <w:rFonts w:ascii="Times New Roman" w:hAnsi="Times New Roman"/>
          <w:b w:val="0"/>
          <w:u w:val="single"/>
        </w:rPr>
      </w:pPr>
      <w:r w:rsidRPr="00B54A93">
        <w:rPr>
          <w:rFonts w:ascii="Times New Roman" w:hAnsi="Times New Roman"/>
          <w:b w:val="0"/>
          <w:u w:val="single"/>
        </w:rPr>
        <w:t xml:space="preserve">Clause 7 – Remote Engagement Program Payment </w:t>
      </w:r>
    </w:p>
    <w:p w14:paraId="7197250C" w14:textId="04064A54" w:rsidR="00F9529C" w:rsidRPr="0054547F" w:rsidRDefault="00A84329" w:rsidP="00A84329">
      <w:pPr>
        <w:pStyle w:val="Numberedparagraph"/>
        <w:sectPr w:rsidR="00F9529C" w:rsidRPr="0054547F" w:rsidSect="005C53D8">
          <w:footerReference w:type="default" r:id="rId11"/>
          <w:pgSz w:w="11906" w:h="16838"/>
          <w:pgMar w:top="1440" w:right="1440" w:bottom="1440" w:left="1440" w:header="708" w:footer="708" w:gutter="0"/>
          <w:cols w:space="708"/>
          <w:docGrid w:linePitch="360"/>
        </w:sectPr>
      </w:pPr>
      <w:r>
        <w:t xml:space="preserve">Clause 7 provides that the </w:t>
      </w:r>
      <w:r w:rsidRPr="00231B4F">
        <w:t>rate</w:t>
      </w:r>
      <w:r>
        <w:t xml:space="preserve"> of payment </w:t>
      </w:r>
      <w:r w:rsidRPr="00231B4F">
        <w:t>per fortnight of the remote engagement program payment is $190</w:t>
      </w:r>
      <w:r>
        <w:t xml:space="preserve"> for the purposes of 661E(2) of the Act. </w:t>
      </w:r>
      <w:r w:rsidR="00A17732">
        <w:t xml:space="preserve"> </w:t>
      </w:r>
    </w:p>
    <w:p w14:paraId="74E21D11" w14:textId="77777777" w:rsidR="004A314D" w:rsidRPr="004A314D" w:rsidRDefault="004A314D" w:rsidP="004A314D">
      <w:pPr>
        <w:spacing w:before="240" w:after="100" w:afterAutospacing="1" w:line="240" w:lineRule="auto"/>
        <w:contextualSpacing/>
        <w:jc w:val="center"/>
        <w:rPr>
          <w:rFonts w:ascii="Times New Roman" w:hAnsi="Times New Roman" w:cs="Times New Roman"/>
          <w:b/>
          <w:sz w:val="24"/>
          <w:szCs w:val="24"/>
        </w:rPr>
      </w:pPr>
      <w:r w:rsidRPr="004A314D">
        <w:rPr>
          <w:rFonts w:ascii="Times New Roman" w:hAnsi="Times New Roman" w:cs="Times New Roman"/>
          <w:b/>
          <w:sz w:val="24"/>
          <w:szCs w:val="24"/>
        </w:rPr>
        <w:lastRenderedPageBreak/>
        <w:t>STATEMENT OF COMPATIBILITY WITH HUMAN RIGHTS</w:t>
      </w:r>
    </w:p>
    <w:p w14:paraId="21821D53" w14:textId="77777777" w:rsidR="004A314D" w:rsidRPr="004A314D" w:rsidRDefault="004A314D" w:rsidP="004A314D">
      <w:pPr>
        <w:spacing w:before="240" w:after="100" w:afterAutospacing="1" w:line="240" w:lineRule="auto"/>
        <w:contextualSpacing/>
        <w:jc w:val="center"/>
        <w:rPr>
          <w:rFonts w:ascii="Times New Roman" w:hAnsi="Times New Roman" w:cs="Times New Roman"/>
          <w:i/>
          <w:sz w:val="24"/>
          <w:szCs w:val="24"/>
        </w:rPr>
      </w:pPr>
      <w:r w:rsidRPr="004A314D">
        <w:rPr>
          <w:rFonts w:ascii="Times New Roman" w:hAnsi="Times New Roman" w:cs="Times New Roman"/>
          <w:i/>
          <w:sz w:val="24"/>
          <w:szCs w:val="24"/>
        </w:rPr>
        <w:t>Prepared in accordance with Part 3 of the Human Rights (Parliamentary Scrutiny) Act 2011</w:t>
      </w:r>
    </w:p>
    <w:p w14:paraId="17ABAE47" w14:textId="77777777" w:rsidR="004A314D" w:rsidRPr="004A314D" w:rsidRDefault="004A314D" w:rsidP="004A314D">
      <w:pPr>
        <w:spacing w:before="240" w:after="100" w:afterAutospacing="1" w:line="240" w:lineRule="auto"/>
        <w:contextualSpacing/>
        <w:jc w:val="both"/>
        <w:rPr>
          <w:rFonts w:ascii="Times New Roman" w:hAnsi="Times New Roman" w:cs="Times New Roman"/>
          <w:sz w:val="24"/>
          <w:szCs w:val="24"/>
        </w:rPr>
      </w:pPr>
    </w:p>
    <w:p w14:paraId="3049AB51" w14:textId="2B15E1B3" w:rsidR="004A314D" w:rsidRPr="004A314D" w:rsidRDefault="006E474F" w:rsidP="00E43269">
      <w:pPr>
        <w:spacing w:before="240" w:after="100" w:afterAutospacing="1" w:line="240" w:lineRule="auto"/>
        <w:contextualSpacing/>
        <w:jc w:val="center"/>
        <w:rPr>
          <w:rFonts w:ascii="Times New Roman" w:hAnsi="Times New Roman" w:cs="Times New Roman"/>
          <w:b/>
          <w:sz w:val="24"/>
          <w:szCs w:val="24"/>
        </w:rPr>
      </w:pPr>
      <w:r w:rsidRPr="004A314D">
        <w:rPr>
          <w:rFonts w:ascii="Times New Roman" w:hAnsi="Times New Roman" w:cs="Times New Roman"/>
          <w:b/>
          <w:sz w:val="24"/>
          <w:szCs w:val="24"/>
        </w:rPr>
        <w:t>Social Security (Remote Engagement Program</w:t>
      </w:r>
      <w:r>
        <w:rPr>
          <w:rFonts w:ascii="Times New Roman" w:hAnsi="Times New Roman" w:cs="Times New Roman"/>
          <w:b/>
          <w:sz w:val="24"/>
          <w:szCs w:val="24"/>
        </w:rPr>
        <w:t xml:space="preserve"> Payment</w:t>
      </w:r>
      <w:r w:rsidRPr="004A314D">
        <w:rPr>
          <w:rFonts w:ascii="Times New Roman" w:hAnsi="Times New Roman" w:cs="Times New Roman"/>
          <w:b/>
          <w:sz w:val="24"/>
          <w:szCs w:val="24"/>
        </w:rPr>
        <w:t xml:space="preserve">) </w:t>
      </w:r>
      <w:r>
        <w:rPr>
          <w:rFonts w:ascii="Times New Roman" w:hAnsi="Times New Roman" w:cs="Times New Roman"/>
          <w:b/>
          <w:sz w:val="24"/>
          <w:szCs w:val="24"/>
        </w:rPr>
        <w:t>Determination 2023</w:t>
      </w:r>
    </w:p>
    <w:p w14:paraId="153E0DE2" w14:textId="77777777" w:rsidR="004A314D" w:rsidRPr="004A314D" w:rsidRDefault="004A314D" w:rsidP="004A314D">
      <w:pPr>
        <w:spacing w:before="240" w:after="100" w:afterAutospacing="1" w:line="240" w:lineRule="auto"/>
        <w:contextualSpacing/>
        <w:jc w:val="both"/>
        <w:rPr>
          <w:rFonts w:ascii="Times New Roman" w:hAnsi="Times New Roman" w:cs="Times New Roman"/>
          <w:b/>
          <w:sz w:val="24"/>
          <w:szCs w:val="24"/>
        </w:rPr>
      </w:pPr>
    </w:p>
    <w:p w14:paraId="27DC4D7B" w14:textId="77777777" w:rsidR="00B31EDF" w:rsidRDefault="00B31EDF" w:rsidP="00B31EDF">
      <w:pPr>
        <w:spacing w:before="240" w:after="100" w:afterAutospacing="1" w:line="240" w:lineRule="auto"/>
        <w:contextualSpacing/>
        <w:jc w:val="both"/>
        <w:rPr>
          <w:rFonts w:ascii="Times New Roman" w:hAnsi="Times New Roman" w:cs="Times New Roman"/>
          <w:i/>
          <w:sz w:val="24"/>
          <w:szCs w:val="24"/>
        </w:rPr>
      </w:pPr>
      <w:r w:rsidRPr="004A314D">
        <w:rPr>
          <w:rFonts w:ascii="Times New Roman" w:hAnsi="Times New Roman" w:cs="Times New Roman"/>
          <w:sz w:val="24"/>
          <w:szCs w:val="24"/>
        </w:rPr>
        <w:t xml:space="preserve">This </w:t>
      </w:r>
      <w:r>
        <w:rPr>
          <w:rFonts w:ascii="Times New Roman" w:hAnsi="Times New Roman" w:cs="Times New Roman"/>
          <w:sz w:val="24"/>
          <w:szCs w:val="24"/>
        </w:rPr>
        <w:t>Instrument</w:t>
      </w:r>
      <w:r w:rsidRPr="004A314D">
        <w:rPr>
          <w:rFonts w:ascii="Times New Roman" w:hAnsi="Times New Roman" w:cs="Times New Roman"/>
          <w:sz w:val="24"/>
          <w:szCs w:val="24"/>
        </w:rPr>
        <w:t xml:space="preserve"> is compatible with the human rights and freedoms recognised or declared in the international instruments listed in section 3 of the </w:t>
      </w:r>
      <w:r w:rsidRPr="004A314D">
        <w:rPr>
          <w:rFonts w:ascii="Times New Roman" w:hAnsi="Times New Roman" w:cs="Times New Roman"/>
          <w:i/>
          <w:sz w:val="24"/>
          <w:szCs w:val="24"/>
        </w:rPr>
        <w:t>Human Rights (Parliamentary Scrutiny) Act 2011.</w:t>
      </w:r>
    </w:p>
    <w:p w14:paraId="49952F64" w14:textId="77777777" w:rsidR="00B31EDF" w:rsidRDefault="00B31EDF" w:rsidP="00B31EDF">
      <w:pPr>
        <w:spacing w:before="240" w:after="100" w:afterAutospacing="1" w:line="240" w:lineRule="auto"/>
        <w:ind w:left="284" w:hanging="284"/>
        <w:contextualSpacing/>
        <w:jc w:val="both"/>
        <w:rPr>
          <w:rFonts w:ascii="Times New Roman" w:hAnsi="Times New Roman" w:cs="Times New Roman"/>
          <w:i/>
          <w:sz w:val="24"/>
          <w:szCs w:val="24"/>
        </w:rPr>
      </w:pPr>
    </w:p>
    <w:p w14:paraId="7B47E2A5" w14:textId="77777777" w:rsidR="00B31EDF" w:rsidRDefault="00B31EDF" w:rsidP="00B31EDF">
      <w:pPr>
        <w:spacing w:before="240" w:after="100" w:afterAutospacing="1" w:line="24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OVERVIEW</w:t>
      </w:r>
    </w:p>
    <w:p w14:paraId="38C69235" w14:textId="06C317EE" w:rsidR="00D76A97" w:rsidRPr="00880182" w:rsidRDefault="00D76A97" w:rsidP="00D76A97">
      <w:pPr>
        <w:pStyle w:val="Numberedparagraph"/>
        <w:numPr>
          <w:ilvl w:val="0"/>
          <w:numId w:val="0"/>
        </w:numPr>
        <w:spacing w:before="240" w:after="160" w:line="276" w:lineRule="auto"/>
        <w:jc w:val="left"/>
      </w:pPr>
      <w:r w:rsidRPr="00880182">
        <w:rPr>
          <w:szCs w:val="24"/>
        </w:rPr>
        <w:t xml:space="preserve">This Instrument facilitates the making of the remote engagement program payment for participants in the Remote Engagement Program Trial (remote engagement program). </w:t>
      </w:r>
      <w:r w:rsidRPr="00880182">
        <w:t xml:space="preserve">This Instrument determines the arrangement that is the remote engagement program and the part of that program that is a remote engagement placement. It also determines the rate of payment of a remote engagement program payment. </w:t>
      </w:r>
    </w:p>
    <w:p w14:paraId="14638743" w14:textId="632574DA" w:rsidR="004A314D" w:rsidRPr="004A314D" w:rsidRDefault="00F16111" w:rsidP="00D76A97">
      <w:pPr>
        <w:pStyle w:val="Numberedparagraph"/>
        <w:numPr>
          <w:ilvl w:val="0"/>
          <w:numId w:val="0"/>
        </w:numPr>
        <w:spacing w:before="240" w:after="160" w:line="276" w:lineRule="auto"/>
        <w:jc w:val="left"/>
        <w:rPr>
          <w:b/>
          <w:i/>
          <w:szCs w:val="24"/>
        </w:rPr>
      </w:pPr>
      <w:r>
        <w:rPr>
          <w:color w:val="000000"/>
          <w:shd w:val="clear" w:color="auto" w:fill="FFFFFF"/>
        </w:rPr>
        <w:t>T</w:t>
      </w:r>
      <w:r w:rsidR="00670068">
        <w:rPr>
          <w:color w:val="000000"/>
          <w:shd w:val="clear" w:color="auto" w:fill="FFFFFF"/>
        </w:rPr>
        <w:t xml:space="preserve">his </w:t>
      </w:r>
      <w:r w:rsidR="00E51157">
        <w:rPr>
          <w:color w:val="000000"/>
          <w:shd w:val="clear" w:color="auto" w:fill="FFFFFF"/>
        </w:rPr>
        <w:t>Instrument</w:t>
      </w:r>
      <w:r w:rsidR="00D76A97" w:rsidRPr="00880182">
        <w:rPr>
          <w:color w:val="000000"/>
          <w:shd w:val="clear" w:color="auto" w:fill="FFFFFF"/>
        </w:rPr>
        <w:t xml:space="preserve"> </w:t>
      </w:r>
      <w:r w:rsidR="00AE690D">
        <w:rPr>
          <w:color w:val="000000"/>
          <w:shd w:val="clear" w:color="auto" w:fill="FFFFFF"/>
        </w:rPr>
        <w:t xml:space="preserve">is required under </w:t>
      </w:r>
      <w:r w:rsidR="00D76A97" w:rsidRPr="00880182">
        <w:rPr>
          <w:color w:val="000000"/>
          <w:shd w:val="clear" w:color="auto" w:fill="FFFFFF"/>
        </w:rPr>
        <w:t xml:space="preserve">661A(2) and subsection 661E(2) of the </w:t>
      </w:r>
      <w:r w:rsidR="00D76A97" w:rsidRPr="00880182">
        <w:rPr>
          <w:i/>
          <w:color w:val="000000"/>
          <w:shd w:val="clear" w:color="auto" w:fill="FFFFFF"/>
        </w:rPr>
        <w:t>Social Security Act 1991</w:t>
      </w:r>
      <w:r w:rsidR="00D76A97" w:rsidRPr="00880182">
        <w:rPr>
          <w:color w:val="000000"/>
          <w:shd w:val="clear" w:color="auto" w:fill="FFFFFF"/>
        </w:rPr>
        <w:t xml:space="preserve">, to </w:t>
      </w:r>
      <w:r w:rsidR="00AE690D">
        <w:rPr>
          <w:color w:val="000000"/>
          <w:shd w:val="clear" w:color="auto" w:fill="FFFFFF"/>
        </w:rPr>
        <w:t xml:space="preserve">establish the remote engagement program and </w:t>
      </w:r>
      <w:r w:rsidR="00D76A97" w:rsidRPr="00880182">
        <w:rPr>
          <w:color w:val="000000"/>
          <w:shd w:val="clear" w:color="auto" w:fill="FFFFFF"/>
        </w:rPr>
        <w:t>make remote engagement program p</w:t>
      </w:r>
      <w:r w:rsidR="00D76A97">
        <w:rPr>
          <w:color w:val="000000"/>
          <w:shd w:val="clear" w:color="auto" w:fill="FFFFFF"/>
        </w:rPr>
        <w:t>ayments to participants in the remote engagement p</w:t>
      </w:r>
      <w:r w:rsidR="00D76A97" w:rsidRPr="00880182">
        <w:rPr>
          <w:color w:val="000000"/>
          <w:shd w:val="clear" w:color="auto" w:fill="FFFFFF"/>
        </w:rPr>
        <w:t xml:space="preserve">rogram. </w:t>
      </w:r>
    </w:p>
    <w:p w14:paraId="4948C1FF" w14:textId="77777777" w:rsidR="004A314D" w:rsidRPr="004A314D" w:rsidRDefault="004A314D" w:rsidP="004A314D">
      <w:pPr>
        <w:shd w:val="clear" w:color="auto" w:fill="FFFFFF" w:themeFill="background1"/>
        <w:spacing w:before="100" w:beforeAutospacing="1" w:after="100" w:afterAutospacing="1" w:line="240" w:lineRule="auto"/>
        <w:rPr>
          <w:rFonts w:ascii="Times New Roman" w:hAnsi="Times New Roman" w:cs="Times New Roman"/>
          <w:b/>
          <w:sz w:val="24"/>
          <w:szCs w:val="24"/>
        </w:rPr>
      </w:pPr>
      <w:r w:rsidRPr="004A314D">
        <w:rPr>
          <w:rFonts w:ascii="Times New Roman" w:hAnsi="Times New Roman" w:cs="Times New Roman"/>
          <w:b/>
          <w:sz w:val="24"/>
          <w:szCs w:val="24"/>
        </w:rPr>
        <w:t>PURPOSE AND OBJECTIVES</w:t>
      </w:r>
    </w:p>
    <w:p w14:paraId="74B8E552" w14:textId="5E90E6E2" w:rsidR="008D7896" w:rsidRPr="00C048B8" w:rsidRDefault="00D76A97" w:rsidP="00C048B8">
      <w:pPr>
        <w:pStyle w:val="Numberedparagraph"/>
        <w:numPr>
          <w:ilvl w:val="0"/>
          <w:numId w:val="0"/>
        </w:numPr>
        <w:spacing w:before="240" w:after="160" w:line="276" w:lineRule="auto"/>
      </w:pPr>
      <w:r w:rsidRPr="00880182">
        <w:t>The purpose of the Instrument is to</w:t>
      </w:r>
      <w:r w:rsidR="00AE690D">
        <w:t xml:space="preserve"> establish the remote engagement program and </w:t>
      </w:r>
      <w:r w:rsidRPr="00880182">
        <w:t>enable to remote engagement program payment</w:t>
      </w:r>
      <w:r>
        <w:t xml:space="preserve">. The objective of the remote engagement program </w:t>
      </w:r>
      <w:r w:rsidRPr="00880182">
        <w:t xml:space="preserve">is to </w:t>
      </w:r>
      <w:r w:rsidR="00AE690D">
        <w:t xml:space="preserve">trial </w:t>
      </w:r>
      <w:r w:rsidRPr="00880182">
        <w:t>ideas and understand barriers to employment in remote areas</w:t>
      </w:r>
      <w:r w:rsidRPr="00DF4643">
        <w:t xml:space="preserve">. The key components of the remote engagement program are the remote engagement placement and the remote engagement program payment, which </w:t>
      </w:r>
      <w:r w:rsidR="00580DCB">
        <w:t xml:space="preserve">will trial </w:t>
      </w:r>
      <w:r w:rsidRPr="00DF4643">
        <w:t xml:space="preserve">an incentive for eligible participants to participate in a placement designed to build skills that will support them to find and maintain employment and contribute to their community. </w:t>
      </w:r>
    </w:p>
    <w:p w14:paraId="14FAF670" w14:textId="37698A36" w:rsidR="004A314D" w:rsidRPr="004A314D" w:rsidRDefault="004A314D" w:rsidP="004A314D">
      <w:pPr>
        <w:spacing w:before="240" w:after="100" w:afterAutospacing="1" w:line="240" w:lineRule="auto"/>
        <w:contextualSpacing/>
        <w:jc w:val="both"/>
        <w:rPr>
          <w:rFonts w:ascii="Times New Roman" w:hAnsi="Times New Roman" w:cs="Times New Roman"/>
          <w:b/>
          <w:sz w:val="24"/>
          <w:szCs w:val="24"/>
        </w:rPr>
      </w:pPr>
      <w:r w:rsidRPr="004A314D">
        <w:rPr>
          <w:rFonts w:ascii="Times New Roman" w:hAnsi="Times New Roman" w:cs="Times New Roman"/>
          <w:b/>
          <w:sz w:val="24"/>
          <w:szCs w:val="24"/>
        </w:rPr>
        <w:t>Human rights implications</w:t>
      </w:r>
    </w:p>
    <w:p w14:paraId="7ACCE254" w14:textId="64682E6E" w:rsidR="004A314D" w:rsidRPr="004A314D" w:rsidRDefault="00E47325" w:rsidP="00E43269">
      <w:pPr>
        <w:pStyle w:val="SOCformatting"/>
        <w:numPr>
          <w:ilvl w:val="0"/>
          <w:numId w:val="0"/>
        </w:numPr>
        <w:ind w:left="720" w:hanging="360"/>
      </w:pPr>
      <w:r>
        <w:t xml:space="preserve"> </w:t>
      </w:r>
      <w:r w:rsidR="004A314D" w:rsidRPr="004A314D">
        <w:t xml:space="preserve">This </w:t>
      </w:r>
      <w:r w:rsidR="00E51157">
        <w:t>Instrument</w:t>
      </w:r>
      <w:r w:rsidR="004A314D" w:rsidRPr="004A314D">
        <w:t xml:space="preserve"> engages the following human rights:</w:t>
      </w:r>
    </w:p>
    <w:p w14:paraId="1426CF38" w14:textId="4708D8A8" w:rsidR="00D76A97" w:rsidRPr="00880182" w:rsidRDefault="00D76A97" w:rsidP="00D76A97">
      <w:pPr>
        <w:numPr>
          <w:ilvl w:val="0"/>
          <w:numId w:val="2"/>
        </w:numPr>
        <w:spacing w:before="240" w:line="276" w:lineRule="auto"/>
        <w:contextualSpacing/>
        <w:jc w:val="both"/>
        <w:rPr>
          <w:rFonts w:ascii="Times New Roman" w:hAnsi="Times New Roman" w:cs="Times New Roman"/>
          <w:sz w:val="24"/>
          <w:szCs w:val="24"/>
        </w:rPr>
      </w:pPr>
      <w:r w:rsidRPr="00880182">
        <w:rPr>
          <w:rFonts w:ascii="Times New Roman" w:hAnsi="Times New Roman" w:cs="Times New Roman"/>
          <w:i/>
          <w:sz w:val="24"/>
          <w:szCs w:val="24"/>
        </w:rPr>
        <w:t>Right to work:</w:t>
      </w:r>
      <w:r w:rsidRPr="00880182">
        <w:rPr>
          <w:rFonts w:ascii="Times New Roman" w:hAnsi="Times New Roman" w:cs="Times New Roman"/>
          <w:sz w:val="24"/>
          <w:szCs w:val="24"/>
        </w:rPr>
        <w:t xml:space="preserve"> Article 6 of the </w:t>
      </w:r>
      <w:r w:rsidRPr="00880182">
        <w:rPr>
          <w:rFonts w:ascii="Times New Roman" w:eastAsia="Calibri" w:hAnsi="Times New Roman" w:cs="Times New Roman"/>
          <w:sz w:val="24"/>
          <w:szCs w:val="24"/>
        </w:rPr>
        <w:t>International Covenant on Economic, Soci</w:t>
      </w:r>
      <w:r w:rsidR="002E3A13">
        <w:rPr>
          <w:rFonts w:ascii="Times New Roman" w:eastAsia="Calibri" w:hAnsi="Times New Roman" w:cs="Times New Roman"/>
          <w:sz w:val="24"/>
          <w:szCs w:val="24"/>
        </w:rPr>
        <w:t>al and Cultural Rights (ICESCR).</w:t>
      </w:r>
    </w:p>
    <w:p w14:paraId="2FE85BFB" w14:textId="4F0BE81A" w:rsidR="00D76A97" w:rsidRPr="00833382" w:rsidRDefault="00D76A97" w:rsidP="00D76A97">
      <w:pPr>
        <w:numPr>
          <w:ilvl w:val="0"/>
          <w:numId w:val="2"/>
        </w:numPr>
        <w:spacing w:before="240" w:line="276" w:lineRule="auto"/>
        <w:contextualSpacing/>
        <w:jc w:val="both"/>
        <w:rPr>
          <w:rFonts w:ascii="Times New Roman" w:eastAsia="Calibri" w:hAnsi="Times New Roman" w:cs="Times New Roman"/>
          <w:sz w:val="24"/>
          <w:szCs w:val="24"/>
        </w:rPr>
      </w:pPr>
      <w:r w:rsidRPr="00880182">
        <w:rPr>
          <w:rFonts w:ascii="Times New Roman" w:hAnsi="Times New Roman" w:cs="Times New Roman"/>
          <w:i/>
          <w:sz w:val="24"/>
          <w:szCs w:val="24"/>
        </w:rPr>
        <w:t>Right to social security</w:t>
      </w:r>
      <w:r w:rsidRPr="00880182">
        <w:rPr>
          <w:rFonts w:ascii="Times New Roman" w:hAnsi="Times New Roman" w:cs="Times New Roman"/>
          <w:sz w:val="24"/>
          <w:szCs w:val="24"/>
        </w:rPr>
        <w:t>: Article 9 of the ICESCR</w:t>
      </w:r>
      <w:r w:rsidR="002E3A13">
        <w:rPr>
          <w:rFonts w:ascii="Times New Roman" w:hAnsi="Times New Roman" w:cs="Times New Roman"/>
          <w:sz w:val="24"/>
          <w:szCs w:val="24"/>
        </w:rPr>
        <w:t>.</w:t>
      </w:r>
    </w:p>
    <w:p w14:paraId="16D40F14" w14:textId="5EE23355" w:rsidR="00833382" w:rsidRPr="00880182" w:rsidRDefault="00833382" w:rsidP="00833382">
      <w:pPr>
        <w:numPr>
          <w:ilvl w:val="0"/>
          <w:numId w:val="2"/>
        </w:numPr>
        <w:spacing w:before="240" w:line="276" w:lineRule="auto"/>
        <w:contextualSpacing/>
        <w:jc w:val="both"/>
        <w:rPr>
          <w:rFonts w:ascii="Times New Roman" w:eastAsia="Calibri" w:hAnsi="Times New Roman" w:cs="Times New Roman"/>
          <w:sz w:val="24"/>
          <w:szCs w:val="24"/>
        </w:rPr>
      </w:pPr>
      <w:r>
        <w:rPr>
          <w:rFonts w:ascii="Times New Roman" w:hAnsi="Times New Roman" w:cs="Times New Roman"/>
          <w:i/>
          <w:sz w:val="24"/>
          <w:szCs w:val="24"/>
        </w:rPr>
        <w:t>Right to an adequate standard of living:</w:t>
      </w:r>
      <w:r>
        <w:rPr>
          <w:rFonts w:ascii="Times New Roman" w:hAnsi="Times New Roman" w:cs="Times New Roman"/>
          <w:sz w:val="24"/>
          <w:szCs w:val="24"/>
        </w:rPr>
        <w:t xml:space="preserve"> Article 1</w:t>
      </w:r>
      <w:r w:rsidRPr="00833382">
        <w:rPr>
          <w:rFonts w:ascii="Times New Roman" w:hAnsi="Times New Roman" w:cs="Times New Roman"/>
          <w:sz w:val="24"/>
          <w:szCs w:val="24"/>
        </w:rPr>
        <w:t>1(1) of the ICESCR</w:t>
      </w:r>
      <w:r>
        <w:rPr>
          <w:rFonts w:ascii="Times New Roman" w:hAnsi="Times New Roman" w:cs="Times New Roman"/>
          <w:sz w:val="24"/>
          <w:szCs w:val="24"/>
        </w:rPr>
        <w:t>.</w:t>
      </w:r>
    </w:p>
    <w:p w14:paraId="46A5B913" w14:textId="77777777" w:rsidR="002E3A13" w:rsidRDefault="00D76A97" w:rsidP="002E3A13">
      <w:pPr>
        <w:numPr>
          <w:ilvl w:val="0"/>
          <w:numId w:val="2"/>
        </w:numPr>
        <w:spacing w:before="240" w:line="276" w:lineRule="auto"/>
        <w:contextualSpacing/>
        <w:jc w:val="both"/>
        <w:rPr>
          <w:rFonts w:ascii="Times New Roman" w:eastAsia="Calibri" w:hAnsi="Times New Roman" w:cs="Times New Roman"/>
          <w:sz w:val="24"/>
          <w:szCs w:val="24"/>
        </w:rPr>
      </w:pPr>
      <w:r w:rsidRPr="00880182">
        <w:rPr>
          <w:rFonts w:ascii="Times New Roman" w:eastAsia="Calibri" w:hAnsi="Times New Roman" w:cs="Times New Roman"/>
          <w:i/>
          <w:sz w:val="24"/>
          <w:szCs w:val="24"/>
        </w:rPr>
        <w:t>Right of equality and non-discrimination</w:t>
      </w:r>
      <w:r w:rsidRPr="00880182">
        <w:rPr>
          <w:rFonts w:ascii="Times New Roman" w:eastAsia="Calibri" w:hAnsi="Times New Roman" w:cs="Times New Roman"/>
          <w:sz w:val="24"/>
          <w:szCs w:val="24"/>
        </w:rPr>
        <w:t>: Article 2 of the ICESCR, Articles 2, 16 and 26 of the International Covenant on Civil and Political Rights (ICCPR), Article 5 of the International Convention on the Elimination of All Forms of Racial Discrimination (CERD) and Article 5 of the Convention on the Rights of Persons with Disabilities (CRPD).</w:t>
      </w:r>
    </w:p>
    <w:p w14:paraId="3F28672F" w14:textId="7C10FE3E" w:rsidR="00872301" w:rsidRDefault="002E3A13" w:rsidP="002E3A13">
      <w:pPr>
        <w:numPr>
          <w:ilvl w:val="0"/>
          <w:numId w:val="2"/>
        </w:numPr>
        <w:spacing w:before="24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Right to self-determination: </w:t>
      </w:r>
      <w:r w:rsidRPr="002E3A13">
        <w:rPr>
          <w:rFonts w:ascii="Times New Roman" w:eastAsia="Calibri" w:hAnsi="Times New Roman" w:cs="Times New Roman"/>
          <w:sz w:val="24"/>
          <w:szCs w:val="24"/>
        </w:rPr>
        <w:t>Article 1 of the ICCPR and Article 1 of the ICESCR</w:t>
      </w:r>
      <w:r>
        <w:rPr>
          <w:rFonts w:ascii="Times New Roman" w:eastAsia="Calibri" w:hAnsi="Times New Roman" w:cs="Times New Roman"/>
          <w:sz w:val="24"/>
          <w:szCs w:val="24"/>
        </w:rPr>
        <w:t>.</w:t>
      </w:r>
    </w:p>
    <w:p w14:paraId="606E421D" w14:textId="77777777" w:rsidR="002E3A13" w:rsidRPr="002E3A13" w:rsidRDefault="002E3A13" w:rsidP="002E3A13">
      <w:pPr>
        <w:spacing w:before="240" w:line="276" w:lineRule="auto"/>
        <w:ind w:left="720"/>
        <w:contextualSpacing/>
        <w:jc w:val="both"/>
        <w:rPr>
          <w:rFonts w:ascii="Times New Roman" w:eastAsia="Calibri" w:hAnsi="Times New Roman" w:cs="Times New Roman"/>
          <w:sz w:val="24"/>
          <w:szCs w:val="24"/>
        </w:rPr>
      </w:pPr>
    </w:p>
    <w:p w14:paraId="1F6A5645" w14:textId="7CA740CC" w:rsidR="004A314D" w:rsidRPr="004A314D" w:rsidRDefault="004A314D" w:rsidP="00E43269">
      <w:pPr>
        <w:autoSpaceDE w:val="0"/>
        <w:autoSpaceDN w:val="0"/>
        <w:adjustRightInd w:val="0"/>
        <w:spacing w:before="240" w:after="100" w:afterAutospacing="1" w:line="240" w:lineRule="auto"/>
        <w:contextualSpacing/>
        <w:jc w:val="both"/>
        <w:rPr>
          <w:rFonts w:ascii="Times New Roman" w:eastAsia="Calibri" w:hAnsi="Times New Roman" w:cs="Times New Roman"/>
          <w:b/>
          <w:i/>
          <w:sz w:val="24"/>
          <w:szCs w:val="24"/>
        </w:rPr>
      </w:pPr>
      <w:r w:rsidRPr="004A314D">
        <w:rPr>
          <w:rFonts w:ascii="Times New Roman" w:eastAsia="Calibri" w:hAnsi="Times New Roman" w:cs="Times New Roman"/>
          <w:b/>
          <w:i/>
          <w:sz w:val="24"/>
          <w:szCs w:val="24"/>
        </w:rPr>
        <w:lastRenderedPageBreak/>
        <w:t>Right to work</w:t>
      </w:r>
    </w:p>
    <w:p w14:paraId="73B21107" w14:textId="77777777" w:rsidR="00D76A97" w:rsidRPr="00880182" w:rsidRDefault="00D76A97" w:rsidP="00D76A97">
      <w:pPr>
        <w:pStyle w:val="SOCformatting"/>
        <w:numPr>
          <w:ilvl w:val="0"/>
          <w:numId w:val="0"/>
        </w:numPr>
        <w:spacing w:before="240" w:after="160" w:line="276" w:lineRule="auto"/>
        <w:ind w:left="284"/>
      </w:pPr>
      <w:r w:rsidRPr="00880182">
        <w:t xml:space="preserve">Article 6(1) of the ICESCR recognises the right of everyone to work, including the opportunity to gain their living by work which they freely choose or accept. Article 6(2) of the ICESCR further provides that the progressive realisation of this right by States includes implementing technical and vocational guidance and training program, and policies which facilitate full and productive employment. </w:t>
      </w:r>
    </w:p>
    <w:p w14:paraId="11443BB2" w14:textId="29ED1680" w:rsidR="00D76A97" w:rsidRPr="00880182" w:rsidRDefault="00D76A97" w:rsidP="00D76A97">
      <w:pPr>
        <w:pStyle w:val="Numberedparagraph"/>
        <w:numPr>
          <w:ilvl w:val="0"/>
          <w:numId w:val="0"/>
        </w:numPr>
        <w:spacing w:before="240" w:after="160" w:line="276" w:lineRule="auto"/>
        <w:ind w:left="284"/>
      </w:pPr>
      <w:r w:rsidRPr="00880182">
        <w:t xml:space="preserve">This Instrument will enable the payment of the remote engagement program payment to remote jobseekers participating in remote engagement placements under the remote engagement program. By enabling the remote engagement program payment, the Instrument strengthens existing incentives for remote jobseekers to actively engage with Commonwealth employment programs, which in turn will improve their skills and assist jobseekers to transition to, and remain in, paid work in the open labour market. The Instrument therefore advances the right to work. </w:t>
      </w:r>
    </w:p>
    <w:p w14:paraId="00BB7687" w14:textId="77777777" w:rsidR="00820B2B" w:rsidRPr="00E43269" w:rsidRDefault="00820B2B" w:rsidP="00E43269">
      <w:pPr>
        <w:pStyle w:val="Numberedparagraph"/>
        <w:numPr>
          <w:ilvl w:val="0"/>
          <w:numId w:val="0"/>
        </w:numPr>
        <w:rPr>
          <w:b/>
          <w:i/>
        </w:rPr>
      </w:pPr>
      <w:r w:rsidRPr="00E43269">
        <w:rPr>
          <w:b/>
          <w:i/>
        </w:rPr>
        <w:t xml:space="preserve">Right to social security and right to adequate standard of living </w:t>
      </w:r>
    </w:p>
    <w:p w14:paraId="4E4D3401" w14:textId="77777777" w:rsidR="00D76A97" w:rsidRPr="00880182" w:rsidRDefault="00D76A97" w:rsidP="00D76A97">
      <w:pPr>
        <w:pStyle w:val="Numberedparagraph"/>
        <w:numPr>
          <w:ilvl w:val="0"/>
          <w:numId w:val="0"/>
        </w:numPr>
        <w:spacing w:before="240" w:after="160" w:line="276" w:lineRule="auto"/>
        <w:ind w:left="284"/>
      </w:pPr>
      <w:r w:rsidRPr="00880182">
        <w:t xml:space="preserve">Article 9 of the ICESCR recognises the right of everyone to social security, including social insurance. Article 11(1) of the ICESCR recognises the right of everyone to have an adequate standard of living for themselves. </w:t>
      </w:r>
    </w:p>
    <w:p w14:paraId="02D0ECFA" w14:textId="77777777" w:rsidR="00D76A97" w:rsidRPr="00880182" w:rsidRDefault="00D76A97" w:rsidP="00D76A97">
      <w:pPr>
        <w:pStyle w:val="Numberedparagraph"/>
        <w:numPr>
          <w:ilvl w:val="0"/>
          <w:numId w:val="0"/>
        </w:numPr>
        <w:spacing w:before="240" w:after="160" w:line="276" w:lineRule="auto"/>
        <w:ind w:left="284"/>
      </w:pPr>
      <w:r w:rsidRPr="00880182">
        <w:t>The United Nations Committee on Economic, Social and Cultural Rights (the ESCR Committee) has stated that the right to social security is of ‘central importance in guaranteeing human dignity for all persons when they are faced with circumstances that deprive them of their capacity to fully realise their Covenant rights’.</w:t>
      </w:r>
      <w:r w:rsidRPr="00880182">
        <w:rPr>
          <w:rStyle w:val="FootnoteReference"/>
        </w:rPr>
        <w:footnoteReference w:id="2"/>
      </w:r>
      <w:r w:rsidRPr="00880182">
        <w:t xml:space="preserve"> The ESCR Committee further noted that the right to social security encompasses the right to access and maintain benefits, and must be sufficient to afford an adequate standard of living.</w:t>
      </w:r>
      <w:r w:rsidRPr="00880182">
        <w:rPr>
          <w:rStyle w:val="FootnoteReference"/>
        </w:rPr>
        <w:footnoteReference w:id="3"/>
      </w:r>
      <w:r w:rsidRPr="00880182">
        <w:t xml:space="preserve"> </w:t>
      </w:r>
    </w:p>
    <w:p w14:paraId="17586273" w14:textId="6F873AFA" w:rsidR="004A314D" w:rsidRPr="00050B74" w:rsidRDefault="00D76A97" w:rsidP="00D76A97">
      <w:pPr>
        <w:pStyle w:val="Numberedparagraph"/>
        <w:numPr>
          <w:ilvl w:val="0"/>
          <w:numId w:val="0"/>
        </w:numPr>
        <w:spacing w:before="240" w:after="160" w:line="276" w:lineRule="auto"/>
        <w:ind w:left="284"/>
      </w:pPr>
      <w:r w:rsidRPr="00880182">
        <w:t xml:space="preserve">The Instrument advances the right to social security by enabling the payment of the remote engagement program payment, which increases the social security benefits available to participants in the remote engagement placement. This allows those individuals to improve their </w:t>
      </w:r>
      <w:r w:rsidRPr="008D7896">
        <w:t>standard of living</w:t>
      </w:r>
      <w:r w:rsidR="008D7896" w:rsidRPr="008D7896">
        <w:t xml:space="preserve"> </w:t>
      </w:r>
      <w:r w:rsidR="00656D80">
        <w:t xml:space="preserve">while </w:t>
      </w:r>
      <w:r w:rsidR="008D7896" w:rsidRPr="008D7896">
        <w:t xml:space="preserve">building skills </w:t>
      </w:r>
      <w:r w:rsidR="00656D80">
        <w:t xml:space="preserve">and experience to support them to </w:t>
      </w:r>
      <w:r w:rsidR="008D7896" w:rsidRPr="008D7896">
        <w:t>find a job and contribute to their community</w:t>
      </w:r>
      <w:r w:rsidRPr="008D7896">
        <w:t>. The</w:t>
      </w:r>
      <w:r w:rsidRPr="00880182">
        <w:t xml:space="preserve"> Instrument therefore advances the rights to social security and an adequate standard of living.</w:t>
      </w:r>
      <w:r w:rsidR="002C415B" w:rsidRPr="00050B74">
        <w:rPr>
          <w:rFonts w:eastAsia="Calibri"/>
          <w:b/>
          <w:i/>
          <w:szCs w:val="24"/>
        </w:rPr>
        <w:tab/>
      </w:r>
    </w:p>
    <w:p w14:paraId="4000B28C" w14:textId="77777777" w:rsidR="00E958E8" w:rsidRDefault="00E958E8">
      <w:pPr>
        <w:rPr>
          <w:rFonts w:ascii="Times New Roman" w:eastAsia="Calibri" w:hAnsi="Times New Roman" w:cs="Times New Roman"/>
          <w:b/>
          <w:i/>
          <w:sz w:val="24"/>
          <w:szCs w:val="24"/>
        </w:rPr>
      </w:pPr>
      <w:r>
        <w:rPr>
          <w:rFonts w:ascii="Times New Roman" w:eastAsia="Calibri" w:hAnsi="Times New Roman" w:cs="Times New Roman"/>
          <w:b/>
          <w:i/>
          <w:sz w:val="24"/>
          <w:szCs w:val="24"/>
        </w:rPr>
        <w:br w:type="page"/>
      </w:r>
    </w:p>
    <w:p w14:paraId="3109EB59" w14:textId="54724CFF" w:rsidR="001709C8" w:rsidRPr="004A314D" w:rsidRDefault="004A314D" w:rsidP="004A314D">
      <w:pPr>
        <w:autoSpaceDE w:val="0"/>
        <w:autoSpaceDN w:val="0"/>
        <w:adjustRightInd w:val="0"/>
        <w:spacing w:before="240" w:after="100" w:afterAutospacing="1" w:line="240" w:lineRule="auto"/>
        <w:contextualSpacing/>
        <w:jc w:val="both"/>
        <w:rPr>
          <w:rFonts w:ascii="Times New Roman" w:eastAsia="Calibri" w:hAnsi="Times New Roman" w:cs="Times New Roman"/>
          <w:b/>
          <w:i/>
          <w:sz w:val="24"/>
          <w:szCs w:val="24"/>
        </w:rPr>
      </w:pPr>
      <w:r w:rsidRPr="004A314D">
        <w:rPr>
          <w:rFonts w:ascii="Times New Roman" w:eastAsia="Calibri" w:hAnsi="Times New Roman" w:cs="Times New Roman"/>
          <w:b/>
          <w:i/>
          <w:sz w:val="24"/>
          <w:szCs w:val="24"/>
        </w:rPr>
        <w:lastRenderedPageBreak/>
        <w:t>Rights of equality and non-discrimination</w:t>
      </w:r>
    </w:p>
    <w:p w14:paraId="02EAE15E" w14:textId="77777777" w:rsidR="00D76A97" w:rsidRPr="00DF4643" w:rsidRDefault="00D76A97" w:rsidP="00D76A97">
      <w:pPr>
        <w:pStyle w:val="Numberedparagraph"/>
        <w:numPr>
          <w:ilvl w:val="0"/>
          <w:numId w:val="0"/>
        </w:numPr>
        <w:spacing w:before="240" w:after="160" w:line="276" w:lineRule="auto"/>
        <w:ind w:left="284"/>
      </w:pPr>
      <w:r w:rsidRPr="00880182">
        <w:t xml:space="preserve">The rights of equality and non-discrimination are contained in Articles 2, 3, 16 and 26 of the ICCPR, Article 2 of the ICESCR, Article 5 of the CERD and Article 5 of the CRPD. These rights recognise that all human beings have the right to be treated equally and not to </w:t>
      </w:r>
      <w:r w:rsidRPr="00DF4643">
        <w:t xml:space="preserve">be discriminated against. </w:t>
      </w:r>
    </w:p>
    <w:p w14:paraId="40081A90" w14:textId="250DD638" w:rsidR="002E3A13" w:rsidRDefault="00D76A97" w:rsidP="00833382">
      <w:pPr>
        <w:pStyle w:val="Numberedparagraph"/>
        <w:numPr>
          <w:ilvl w:val="0"/>
          <w:numId w:val="0"/>
        </w:numPr>
        <w:spacing w:before="240" w:after="160" w:line="276" w:lineRule="auto"/>
        <w:ind w:left="284"/>
      </w:pPr>
      <w:r w:rsidRPr="00DF4643">
        <w:t xml:space="preserve">The Instrument advances the rights of equality and non-discrimination by </w:t>
      </w:r>
      <w:r w:rsidR="008D7896" w:rsidRPr="00DF4643">
        <w:t xml:space="preserve">facilitating the remote engagement program trial, which will explore </w:t>
      </w:r>
      <w:r w:rsidR="00580DCB">
        <w:t xml:space="preserve">ways to overcome </w:t>
      </w:r>
      <w:r w:rsidR="008D7896" w:rsidRPr="00DF4643">
        <w:t xml:space="preserve">the barriers faced by remote job seekers in reaching full economic participation. The bespoke nature of the remote engagement program trial recognises the challenges of the remote labour market and aims to inform measures that build economic participation for job seekers in remote areas. Participants in the remote engagement program trial will be provided with opportunities to enhance their employment prospects through </w:t>
      </w:r>
      <w:r w:rsidR="00DF4643" w:rsidRPr="00DF4643">
        <w:t xml:space="preserve">hosted placements, </w:t>
      </w:r>
      <w:r w:rsidR="008D7896" w:rsidRPr="00DF4643">
        <w:t>which</w:t>
      </w:r>
      <w:r w:rsidR="00A812D0">
        <w:t xml:space="preserve"> will</w:t>
      </w:r>
      <w:r w:rsidR="008D7896" w:rsidRPr="00DF4643">
        <w:t xml:space="preserve"> build their skills and employability. The Instrument therefore promotes equality through facilitating the trialling of new measures that</w:t>
      </w:r>
      <w:r w:rsidR="00DF4643" w:rsidRPr="00DF4643">
        <w:t xml:space="preserve"> aim to build economic participation for remote job seekers, increase opportunities to gain skills, and overcome the </w:t>
      </w:r>
      <w:r w:rsidR="00580DCB">
        <w:t xml:space="preserve">differences </w:t>
      </w:r>
      <w:r w:rsidR="00DF4643" w:rsidRPr="00DF4643">
        <w:t xml:space="preserve">in employment opportunities and consequential disadvantage experienced in parts of remote Australia. </w:t>
      </w:r>
    </w:p>
    <w:p w14:paraId="6F2282B3" w14:textId="77777777" w:rsidR="002E3A13" w:rsidRPr="00580DCB" w:rsidRDefault="002E3A13" w:rsidP="002E3A13">
      <w:pPr>
        <w:shd w:val="clear" w:color="auto" w:fill="FFFFFF"/>
        <w:spacing w:line="253" w:lineRule="atLeast"/>
        <w:rPr>
          <w:rFonts w:ascii="Calibri" w:eastAsia="Times New Roman" w:hAnsi="Calibri" w:cs="Calibri"/>
          <w:b/>
          <w:color w:val="000000"/>
          <w:lang w:eastAsia="en-AU"/>
        </w:rPr>
      </w:pPr>
      <w:r w:rsidRPr="00580DCB">
        <w:rPr>
          <w:rFonts w:ascii="Times New Roman" w:eastAsia="Times New Roman" w:hAnsi="Times New Roman" w:cs="Times New Roman"/>
          <w:b/>
          <w:i/>
          <w:iCs/>
          <w:color w:val="000000"/>
          <w:sz w:val="24"/>
          <w:szCs w:val="24"/>
          <w:lang w:eastAsia="en-AU"/>
        </w:rPr>
        <w:t>Right to self-determination</w:t>
      </w:r>
    </w:p>
    <w:p w14:paraId="187C0A04" w14:textId="6FFF3701" w:rsidR="002E3A13" w:rsidRPr="00580DCB" w:rsidRDefault="002E3A13" w:rsidP="00833382">
      <w:pPr>
        <w:shd w:val="clear" w:color="auto" w:fill="FFFFFF"/>
        <w:spacing w:line="276" w:lineRule="auto"/>
        <w:ind w:left="284"/>
        <w:rPr>
          <w:rFonts w:ascii="Times New Roman" w:eastAsia="Times New Roman" w:hAnsi="Times New Roman" w:cs="Times New Roman"/>
          <w:color w:val="000000"/>
          <w:sz w:val="24"/>
          <w:szCs w:val="24"/>
          <w:lang w:eastAsia="en-AU"/>
        </w:rPr>
      </w:pPr>
      <w:r w:rsidRPr="00580DCB">
        <w:rPr>
          <w:rFonts w:ascii="Times New Roman" w:eastAsia="Times New Roman" w:hAnsi="Times New Roman" w:cs="Times New Roman"/>
          <w:color w:val="000000"/>
          <w:sz w:val="24"/>
          <w:szCs w:val="24"/>
          <w:lang w:eastAsia="en-AU"/>
        </w:rPr>
        <w:t>The right to self-determination is contained in Article 1 of the ICCPR and Article 1 of the ICESCR. This right recognises that all peoples have the right of self-determination, and that by virtue of that right they freely determine their political status and freely pursue their economic, social and cultural development.</w:t>
      </w:r>
    </w:p>
    <w:p w14:paraId="635720ED" w14:textId="31EE8E45" w:rsidR="002E3A13" w:rsidRPr="00833382" w:rsidRDefault="002E3A13" w:rsidP="00833382">
      <w:pPr>
        <w:shd w:val="clear" w:color="auto" w:fill="FFFFFF"/>
        <w:spacing w:line="276" w:lineRule="auto"/>
        <w:ind w:left="284"/>
        <w:rPr>
          <w:rFonts w:ascii="Times New Roman" w:eastAsia="Times New Roman" w:hAnsi="Times New Roman" w:cs="Times New Roman"/>
          <w:color w:val="000000"/>
          <w:sz w:val="24"/>
          <w:szCs w:val="24"/>
          <w:lang w:eastAsia="en-AU"/>
        </w:rPr>
      </w:pPr>
      <w:r w:rsidRPr="00580DCB">
        <w:rPr>
          <w:rFonts w:ascii="Times New Roman" w:eastAsia="Times New Roman" w:hAnsi="Times New Roman" w:cs="Times New Roman"/>
          <w:color w:val="000000"/>
          <w:sz w:val="24"/>
          <w:szCs w:val="24"/>
          <w:lang w:eastAsia="en-AU"/>
        </w:rPr>
        <w:t xml:space="preserve">The Instrument advances the right to self-determination by facilitating the remote engagement program trial, which will be developed in partnership with First Nations peoples. The remote engagement program trial will </w:t>
      </w:r>
      <w:r w:rsidR="00E80C91" w:rsidRPr="00580DCB">
        <w:rPr>
          <w:rFonts w:ascii="Times New Roman" w:eastAsia="Times New Roman" w:hAnsi="Times New Roman" w:cs="Times New Roman"/>
          <w:color w:val="000000"/>
          <w:sz w:val="24"/>
          <w:szCs w:val="24"/>
          <w:lang w:eastAsia="en-AU"/>
        </w:rPr>
        <w:t xml:space="preserve">test ideas and </w:t>
      </w:r>
      <w:r w:rsidRPr="00580DCB">
        <w:rPr>
          <w:rFonts w:ascii="Times New Roman" w:eastAsia="Times New Roman" w:hAnsi="Times New Roman" w:cs="Times New Roman"/>
          <w:color w:val="000000"/>
          <w:sz w:val="24"/>
          <w:szCs w:val="24"/>
          <w:lang w:eastAsia="en-AU"/>
        </w:rPr>
        <w:t>explore the barriers faced by remote job seekers in reaching full economic participation</w:t>
      </w:r>
      <w:r w:rsidR="00A812D0">
        <w:rPr>
          <w:rFonts w:ascii="Times New Roman" w:eastAsia="Times New Roman" w:hAnsi="Times New Roman" w:cs="Times New Roman"/>
          <w:color w:val="000000"/>
          <w:sz w:val="24"/>
          <w:szCs w:val="24"/>
          <w:lang w:eastAsia="en-AU"/>
        </w:rPr>
        <w:t xml:space="preserve"> in a remote labour market</w:t>
      </w:r>
      <w:r w:rsidR="00E80C91" w:rsidRPr="00580DCB">
        <w:rPr>
          <w:rFonts w:ascii="Times New Roman" w:eastAsia="Times New Roman" w:hAnsi="Times New Roman" w:cs="Times New Roman"/>
          <w:color w:val="000000"/>
          <w:sz w:val="24"/>
          <w:szCs w:val="24"/>
          <w:lang w:eastAsia="en-AU"/>
        </w:rPr>
        <w:t>. This will ensure that First Nations individuals and communities will have a say in the development of the new program to replace the Community Development</w:t>
      </w:r>
      <w:r w:rsidR="00194FFF" w:rsidRPr="00580DCB">
        <w:rPr>
          <w:rFonts w:ascii="Times New Roman" w:eastAsia="Times New Roman" w:hAnsi="Times New Roman" w:cs="Times New Roman"/>
          <w:color w:val="000000"/>
          <w:sz w:val="24"/>
          <w:szCs w:val="24"/>
          <w:lang w:eastAsia="en-AU"/>
        </w:rPr>
        <w:t xml:space="preserve"> Program</w:t>
      </w:r>
      <w:r w:rsidR="00E80C91" w:rsidRPr="00580DCB">
        <w:rPr>
          <w:rFonts w:ascii="Times New Roman" w:eastAsia="Times New Roman" w:hAnsi="Times New Roman" w:cs="Times New Roman"/>
          <w:color w:val="000000"/>
          <w:sz w:val="24"/>
          <w:szCs w:val="24"/>
          <w:lang w:eastAsia="en-AU"/>
        </w:rPr>
        <w:t xml:space="preserve">, and that the new program is tailored to the needs of remote communities. This Instrument </w:t>
      </w:r>
      <w:r w:rsidR="00833382" w:rsidRPr="00580DCB">
        <w:rPr>
          <w:rFonts w:ascii="Times New Roman" w:eastAsia="Times New Roman" w:hAnsi="Times New Roman" w:cs="Times New Roman"/>
          <w:color w:val="000000"/>
          <w:sz w:val="24"/>
          <w:szCs w:val="24"/>
          <w:lang w:eastAsia="en-AU"/>
        </w:rPr>
        <w:t>promotes the right to self-determination by facilitating</w:t>
      </w:r>
      <w:r w:rsidR="00E80C91" w:rsidRPr="00580DCB">
        <w:rPr>
          <w:rFonts w:ascii="Times New Roman" w:eastAsia="Times New Roman" w:hAnsi="Times New Roman" w:cs="Times New Roman"/>
          <w:color w:val="000000"/>
          <w:sz w:val="24"/>
          <w:szCs w:val="24"/>
          <w:lang w:eastAsia="en-AU"/>
        </w:rPr>
        <w:t xml:space="preserve"> the making of the remote engagement program payment to eligible participants in a remote engagement placement</w:t>
      </w:r>
      <w:r w:rsidR="00833382" w:rsidRPr="00580DCB">
        <w:rPr>
          <w:rFonts w:ascii="Times New Roman" w:eastAsia="Times New Roman" w:hAnsi="Times New Roman" w:cs="Times New Roman"/>
          <w:color w:val="000000"/>
          <w:sz w:val="24"/>
          <w:szCs w:val="24"/>
          <w:lang w:eastAsia="en-AU"/>
        </w:rPr>
        <w:t xml:space="preserve">, thereby allowing recipients to freely pursue economic and cultural development. </w:t>
      </w:r>
    </w:p>
    <w:p w14:paraId="4312FAF5" w14:textId="2B74604D" w:rsidR="00D76A97" w:rsidRDefault="004A314D" w:rsidP="00D76A97">
      <w:pPr>
        <w:autoSpaceDE w:val="0"/>
        <w:autoSpaceDN w:val="0"/>
        <w:adjustRightInd w:val="0"/>
        <w:spacing w:before="240" w:after="100" w:afterAutospacing="1" w:line="276" w:lineRule="auto"/>
        <w:contextualSpacing/>
        <w:jc w:val="both"/>
        <w:rPr>
          <w:rFonts w:ascii="Times New Roman" w:eastAsia="Calibri" w:hAnsi="Times New Roman" w:cs="Times New Roman"/>
          <w:b/>
          <w:i/>
          <w:sz w:val="24"/>
          <w:szCs w:val="24"/>
        </w:rPr>
      </w:pPr>
      <w:r w:rsidRPr="00535F5A">
        <w:rPr>
          <w:rFonts w:ascii="Times New Roman" w:eastAsia="Calibri" w:hAnsi="Times New Roman" w:cs="Times New Roman"/>
          <w:b/>
          <w:i/>
          <w:sz w:val="24"/>
          <w:szCs w:val="24"/>
        </w:rPr>
        <w:t>Conclusion</w:t>
      </w:r>
    </w:p>
    <w:p w14:paraId="2A9F3E45" w14:textId="77777777" w:rsidR="00C048B8" w:rsidRDefault="00C048B8" w:rsidP="00D76A97">
      <w:pPr>
        <w:autoSpaceDE w:val="0"/>
        <w:autoSpaceDN w:val="0"/>
        <w:adjustRightInd w:val="0"/>
        <w:spacing w:before="240" w:after="100" w:afterAutospacing="1" w:line="276" w:lineRule="auto"/>
        <w:contextualSpacing/>
        <w:jc w:val="both"/>
        <w:rPr>
          <w:rFonts w:ascii="Times New Roman" w:eastAsia="Calibri" w:hAnsi="Times New Roman" w:cs="Times New Roman"/>
          <w:b/>
          <w:i/>
          <w:sz w:val="24"/>
          <w:szCs w:val="24"/>
        </w:rPr>
      </w:pPr>
    </w:p>
    <w:p w14:paraId="0CF440FD" w14:textId="5C9506C4" w:rsidR="00833382" w:rsidRDefault="00D76A97" w:rsidP="00D76A97">
      <w:pPr>
        <w:autoSpaceDE w:val="0"/>
        <w:autoSpaceDN w:val="0"/>
        <w:adjustRightInd w:val="0"/>
        <w:spacing w:before="240" w:after="100" w:afterAutospacing="1" w:line="276" w:lineRule="auto"/>
        <w:contextualSpacing/>
        <w:jc w:val="both"/>
        <w:rPr>
          <w:rFonts w:ascii="Times New Roman" w:hAnsi="Times New Roman" w:cs="Times New Roman"/>
          <w:sz w:val="24"/>
        </w:rPr>
      </w:pPr>
      <w:r w:rsidRPr="00880182">
        <w:rPr>
          <w:rFonts w:ascii="Times New Roman" w:hAnsi="Times New Roman" w:cs="Times New Roman"/>
          <w:sz w:val="24"/>
        </w:rPr>
        <w:t>The Instrument is compatible with human rights because it promotes</w:t>
      </w:r>
      <w:r w:rsidR="00833382">
        <w:rPr>
          <w:rFonts w:ascii="Times New Roman" w:hAnsi="Times New Roman" w:cs="Times New Roman"/>
          <w:sz w:val="24"/>
        </w:rPr>
        <w:t xml:space="preserve"> the right to work, the rights to social security and an adequate standard of living, the rights of equality and non-discrimination and the right to self-determination. </w:t>
      </w:r>
    </w:p>
    <w:p w14:paraId="0B67D415" w14:textId="7471C937" w:rsidR="004A314D" w:rsidRPr="004A314D" w:rsidRDefault="004A314D" w:rsidP="00D76A97">
      <w:pPr>
        <w:pStyle w:val="Numberedparagraph"/>
        <w:numPr>
          <w:ilvl w:val="0"/>
          <w:numId w:val="0"/>
        </w:numPr>
        <w:ind w:left="284"/>
      </w:pPr>
    </w:p>
    <w:sectPr w:rsidR="004A314D" w:rsidRPr="004A314D" w:rsidSect="00986FF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E3E96" w14:textId="77777777" w:rsidR="007C26DC" w:rsidRDefault="007C26DC" w:rsidP="008547D2">
      <w:pPr>
        <w:spacing w:after="0" w:line="240" w:lineRule="auto"/>
      </w:pPr>
      <w:r>
        <w:separator/>
      </w:r>
    </w:p>
  </w:endnote>
  <w:endnote w:type="continuationSeparator" w:id="0">
    <w:p w14:paraId="51BD20E2" w14:textId="77777777" w:rsidR="007C26DC" w:rsidRDefault="007C26DC" w:rsidP="008547D2">
      <w:pPr>
        <w:spacing w:after="0" w:line="240" w:lineRule="auto"/>
      </w:pPr>
      <w:r>
        <w:continuationSeparator/>
      </w:r>
    </w:p>
  </w:endnote>
  <w:endnote w:type="continuationNotice" w:id="1">
    <w:p w14:paraId="178BA009" w14:textId="77777777" w:rsidR="007C26DC" w:rsidRDefault="007C26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17087813"/>
      <w:docPartObj>
        <w:docPartGallery w:val="Page Numbers (Bottom of Page)"/>
        <w:docPartUnique/>
      </w:docPartObj>
    </w:sdtPr>
    <w:sdtEndPr>
      <w:rPr>
        <w:noProof/>
      </w:rPr>
    </w:sdtEndPr>
    <w:sdtContent>
      <w:p w14:paraId="5572784A" w14:textId="6422695A" w:rsidR="0095401B" w:rsidRPr="0043540C" w:rsidRDefault="0095401B">
        <w:pPr>
          <w:pStyle w:val="Footer"/>
          <w:jc w:val="right"/>
          <w:rPr>
            <w:rFonts w:ascii="Times New Roman" w:hAnsi="Times New Roman" w:cs="Times New Roman"/>
          </w:rPr>
        </w:pPr>
        <w:r w:rsidRPr="0043540C">
          <w:rPr>
            <w:rFonts w:ascii="Times New Roman" w:hAnsi="Times New Roman" w:cs="Times New Roman"/>
          </w:rPr>
          <w:fldChar w:fldCharType="begin"/>
        </w:r>
        <w:r w:rsidRPr="0043540C">
          <w:rPr>
            <w:rFonts w:ascii="Times New Roman" w:hAnsi="Times New Roman" w:cs="Times New Roman"/>
          </w:rPr>
          <w:instrText xml:space="preserve"> PAGE   \* MERGEFORMAT </w:instrText>
        </w:r>
        <w:r w:rsidRPr="0043540C">
          <w:rPr>
            <w:rFonts w:ascii="Times New Roman" w:hAnsi="Times New Roman" w:cs="Times New Roman"/>
          </w:rPr>
          <w:fldChar w:fldCharType="separate"/>
        </w:r>
        <w:r w:rsidR="003E56ED">
          <w:rPr>
            <w:rFonts w:ascii="Times New Roman" w:hAnsi="Times New Roman" w:cs="Times New Roman"/>
            <w:noProof/>
          </w:rPr>
          <w:t>4</w:t>
        </w:r>
        <w:r w:rsidRPr="0043540C">
          <w:rPr>
            <w:rFonts w:ascii="Times New Roman" w:hAnsi="Times New Roman" w:cs="Times New Roman"/>
            <w:noProof/>
          </w:rPr>
          <w:fldChar w:fldCharType="end"/>
        </w:r>
      </w:p>
    </w:sdtContent>
  </w:sdt>
  <w:p w14:paraId="406E87DE" w14:textId="77777777" w:rsidR="0095401B" w:rsidRDefault="00954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4DCB4" w14:textId="77777777" w:rsidR="0095401B" w:rsidRDefault="00954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383045"/>
      <w:docPartObj>
        <w:docPartGallery w:val="Page Numbers (Bottom of Page)"/>
        <w:docPartUnique/>
      </w:docPartObj>
    </w:sdtPr>
    <w:sdtEndPr>
      <w:rPr>
        <w:rFonts w:ascii="Times New Roman" w:hAnsi="Times New Roman" w:cs="Times New Roman"/>
        <w:noProof/>
      </w:rPr>
    </w:sdtEndPr>
    <w:sdtContent>
      <w:p w14:paraId="4B4ED52F" w14:textId="64A3A26E" w:rsidR="0095401B" w:rsidRPr="002A45E4" w:rsidRDefault="0095401B">
        <w:pPr>
          <w:pStyle w:val="Footer"/>
          <w:jc w:val="right"/>
          <w:rPr>
            <w:rFonts w:ascii="Times New Roman" w:hAnsi="Times New Roman" w:cs="Times New Roman"/>
          </w:rPr>
        </w:pPr>
        <w:r w:rsidRPr="002A45E4">
          <w:rPr>
            <w:rFonts w:ascii="Times New Roman" w:hAnsi="Times New Roman" w:cs="Times New Roman"/>
          </w:rPr>
          <w:fldChar w:fldCharType="begin"/>
        </w:r>
        <w:r w:rsidRPr="002A45E4">
          <w:rPr>
            <w:rFonts w:ascii="Times New Roman" w:hAnsi="Times New Roman" w:cs="Times New Roman"/>
          </w:rPr>
          <w:instrText xml:space="preserve"> PAGE   \* MERGEFORMAT </w:instrText>
        </w:r>
        <w:r w:rsidRPr="002A45E4">
          <w:rPr>
            <w:rFonts w:ascii="Times New Roman" w:hAnsi="Times New Roman" w:cs="Times New Roman"/>
          </w:rPr>
          <w:fldChar w:fldCharType="separate"/>
        </w:r>
        <w:r w:rsidR="003E56ED">
          <w:rPr>
            <w:rFonts w:ascii="Times New Roman" w:hAnsi="Times New Roman" w:cs="Times New Roman"/>
            <w:noProof/>
          </w:rPr>
          <w:t>8</w:t>
        </w:r>
        <w:r w:rsidRPr="002A45E4">
          <w:rPr>
            <w:rFonts w:ascii="Times New Roman" w:hAnsi="Times New Roman" w:cs="Times New Roman"/>
            <w:noProof/>
          </w:rPr>
          <w:fldChar w:fldCharType="end"/>
        </w:r>
      </w:p>
    </w:sdtContent>
  </w:sdt>
  <w:p w14:paraId="01584A30" w14:textId="77777777" w:rsidR="0095401B" w:rsidRDefault="009540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B32CF" w14:textId="77777777" w:rsidR="0095401B" w:rsidRDefault="00954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B2E56" w14:textId="77777777" w:rsidR="007C26DC" w:rsidRDefault="007C26DC" w:rsidP="008547D2">
      <w:pPr>
        <w:spacing w:after="0" w:line="240" w:lineRule="auto"/>
      </w:pPr>
      <w:r>
        <w:separator/>
      </w:r>
    </w:p>
  </w:footnote>
  <w:footnote w:type="continuationSeparator" w:id="0">
    <w:p w14:paraId="7AD2442D" w14:textId="77777777" w:rsidR="007C26DC" w:rsidRDefault="007C26DC" w:rsidP="008547D2">
      <w:pPr>
        <w:spacing w:after="0" w:line="240" w:lineRule="auto"/>
      </w:pPr>
      <w:r>
        <w:continuationSeparator/>
      </w:r>
    </w:p>
  </w:footnote>
  <w:footnote w:type="continuationNotice" w:id="1">
    <w:p w14:paraId="45D34825" w14:textId="77777777" w:rsidR="007C26DC" w:rsidRDefault="007C26DC">
      <w:pPr>
        <w:spacing w:after="0" w:line="240" w:lineRule="auto"/>
      </w:pPr>
    </w:p>
  </w:footnote>
  <w:footnote w:id="2">
    <w:p w14:paraId="74BEFB35" w14:textId="77777777" w:rsidR="00D76A97" w:rsidRPr="00E43269" w:rsidRDefault="00D76A97" w:rsidP="00D76A97">
      <w:pPr>
        <w:pStyle w:val="FootnoteText"/>
        <w:rPr>
          <w:rFonts w:ascii="Times New Roman" w:hAnsi="Times New Roman" w:cs="Times New Roman"/>
        </w:rPr>
      </w:pPr>
      <w:r w:rsidRPr="00E43269">
        <w:rPr>
          <w:rStyle w:val="FootnoteReference"/>
          <w:rFonts w:ascii="Times New Roman" w:hAnsi="Times New Roman" w:cs="Times New Roman"/>
        </w:rPr>
        <w:footnoteRef/>
      </w:r>
      <w:r w:rsidRPr="00E43269">
        <w:rPr>
          <w:rFonts w:ascii="Times New Roman" w:hAnsi="Times New Roman" w:cs="Times New Roman"/>
        </w:rPr>
        <w:t xml:space="preserve"> UN Committee on Economic, Social and Cultural Rights (CESCR), General Comment No. 19: The right to social security (Art. 9 of the Covenant), 4 February 2008, E/C.12/GC/19 at [1].</w:t>
      </w:r>
    </w:p>
  </w:footnote>
  <w:footnote w:id="3">
    <w:p w14:paraId="5DB80BC6" w14:textId="77777777" w:rsidR="00D76A97" w:rsidRDefault="00D76A97" w:rsidP="00D76A97">
      <w:pPr>
        <w:pStyle w:val="FootnoteText"/>
      </w:pPr>
      <w:r w:rsidRPr="00E43269">
        <w:rPr>
          <w:rStyle w:val="FootnoteReference"/>
          <w:rFonts w:ascii="Times New Roman" w:hAnsi="Times New Roman" w:cs="Times New Roman"/>
        </w:rPr>
        <w:footnoteRef/>
      </w:r>
      <w:r w:rsidRPr="00E43269">
        <w:rPr>
          <w:rFonts w:ascii="Times New Roman" w:hAnsi="Times New Roman" w:cs="Times New Roman"/>
        </w:rPr>
        <w:t xml:space="preserve"> Ibid, at [2], [22].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06A3" w14:textId="77777777" w:rsidR="0095401B" w:rsidRDefault="00954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E039" w14:textId="53A55B5B" w:rsidR="0095401B" w:rsidRDefault="00954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9EA93" w14:textId="77777777" w:rsidR="0095401B" w:rsidRDefault="00954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69C"/>
    <w:multiLevelType w:val="hybridMultilevel"/>
    <w:tmpl w:val="8E34C206"/>
    <w:lvl w:ilvl="0" w:tplc="2F90F3A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B3738"/>
    <w:multiLevelType w:val="hybridMultilevel"/>
    <w:tmpl w:val="F3441672"/>
    <w:lvl w:ilvl="0" w:tplc="91422F9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 w15:restartNumberingAfterBreak="0">
    <w:nsid w:val="03E819CF"/>
    <w:multiLevelType w:val="hybridMultilevel"/>
    <w:tmpl w:val="E0CA515E"/>
    <w:lvl w:ilvl="0" w:tplc="6F383444">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1CB6B81A">
      <w:start w:val="10"/>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852F9E"/>
    <w:multiLevelType w:val="hybridMultilevel"/>
    <w:tmpl w:val="5B2C443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3E43C1"/>
    <w:multiLevelType w:val="hybridMultilevel"/>
    <w:tmpl w:val="F3441672"/>
    <w:lvl w:ilvl="0" w:tplc="91422F9C">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 w15:restartNumberingAfterBreak="0">
    <w:nsid w:val="13153184"/>
    <w:multiLevelType w:val="hybridMultilevel"/>
    <w:tmpl w:val="C37CE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0F4283"/>
    <w:multiLevelType w:val="hybridMultilevel"/>
    <w:tmpl w:val="BE32025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7" w15:restartNumberingAfterBreak="0">
    <w:nsid w:val="17EF5318"/>
    <w:multiLevelType w:val="hybridMultilevel"/>
    <w:tmpl w:val="AE1ACEE8"/>
    <w:lvl w:ilvl="0" w:tplc="0C090001">
      <w:start w:val="1"/>
      <w:numFmt w:val="bullet"/>
      <w:lvlText w:val=""/>
      <w:lvlJc w:val="left"/>
      <w:pPr>
        <w:ind w:left="720" w:hanging="360"/>
      </w:pPr>
      <w:rPr>
        <w:rFonts w:ascii="Symbol" w:hAnsi="Symbol" w:hint="default"/>
      </w:rPr>
    </w:lvl>
    <w:lvl w:ilvl="1" w:tplc="2F90F3A0">
      <w:start w:val="1"/>
      <w:numFmt w:val="lowerLetter"/>
      <w:lvlText w:val="(%2)"/>
      <w:lvlJc w:val="left"/>
      <w:pPr>
        <w:ind w:left="1440" w:hanging="360"/>
      </w:pPr>
      <w:rPr>
        <w:rFonts w:hint="default"/>
      </w:rPr>
    </w:lvl>
    <w:lvl w:ilvl="2" w:tplc="B29EC322">
      <w:start w:val="1"/>
      <w:numFmt w:val="lowerLetter"/>
      <w:lvlText w:val="%3."/>
      <w:lvlJc w:val="left"/>
      <w:pPr>
        <w:ind w:left="2340" w:hanging="360"/>
      </w:pPr>
      <w:rPr>
        <w:rFonts w:hint="default"/>
      </w:rPr>
    </w:lvl>
    <w:lvl w:ilvl="3" w:tplc="53B8136E">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6B64A5"/>
    <w:multiLevelType w:val="hybridMultilevel"/>
    <w:tmpl w:val="78B65882"/>
    <w:lvl w:ilvl="0" w:tplc="AC605E2C">
      <w:start w:val="1"/>
      <w:numFmt w:val="decimal"/>
      <w:lvlText w:val="%1."/>
      <w:lvlJc w:val="left"/>
      <w:pPr>
        <w:ind w:left="720" w:hanging="360"/>
      </w:pPr>
      <w:rPr>
        <w:rFonts w:ascii="Times New Roman" w:hAnsi="Times New Roman" w:cs="Times New Roman"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0776D5"/>
    <w:multiLevelType w:val="hybridMultilevel"/>
    <w:tmpl w:val="462A1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5F4694"/>
    <w:multiLevelType w:val="hybridMultilevel"/>
    <w:tmpl w:val="DEF047B6"/>
    <w:lvl w:ilvl="0" w:tplc="3D9E290A">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2710DB5"/>
    <w:multiLevelType w:val="hybridMultilevel"/>
    <w:tmpl w:val="279A8C5E"/>
    <w:lvl w:ilvl="0" w:tplc="98740938">
      <w:start w:val="10"/>
      <w:numFmt w:val="decimal"/>
      <w:pStyle w:val="SOC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A35E0C"/>
    <w:multiLevelType w:val="hybridMultilevel"/>
    <w:tmpl w:val="6D62E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B21EBB"/>
    <w:multiLevelType w:val="hybridMultilevel"/>
    <w:tmpl w:val="4F96A708"/>
    <w:lvl w:ilvl="0" w:tplc="2F90F3A0">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9705FE9"/>
    <w:multiLevelType w:val="hybridMultilevel"/>
    <w:tmpl w:val="E46C9B46"/>
    <w:lvl w:ilvl="0" w:tplc="2F90F3A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8B3132"/>
    <w:multiLevelType w:val="hybridMultilevel"/>
    <w:tmpl w:val="329E3C58"/>
    <w:lvl w:ilvl="0" w:tplc="BC6293D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323733E8"/>
    <w:multiLevelType w:val="hybridMultilevel"/>
    <w:tmpl w:val="E384DCDE"/>
    <w:lvl w:ilvl="0" w:tplc="1316BB6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4060658"/>
    <w:multiLevelType w:val="hybridMultilevel"/>
    <w:tmpl w:val="E6F84B0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2774F368">
      <w:start w:val="12"/>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793275"/>
    <w:multiLevelType w:val="hybridMultilevel"/>
    <w:tmpl w:val="96C47E78"/>
    <w:lvl w:ilvl="0" w:tplc="23E2D604">
      <w:start w:val="1"/>
      <w:numFmt w:val="decimal"/>
      <w:pStyle w:val="SOCformatting"/>
      <w:lvlText w:val="%1."/>
      <w:lvlJc w:val="left"/>
      <w:pPr>
        <w:ind w:left="720" w:hanging="360"/>
      </w:pPr>
      <w:rPr>
        <w:b w:val="0"/>
      </w:rPr>
    </w:lvl>
    <w:lvl w:ilvl="1" w:tplc="A9D62AC2">
      <w:start w:val="1"/>
      <w:numFmt w:val="lowerLetter"/>
      <w:pStyle w:val="Subparagraph"/>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FF0319"/>
    <w:multiLevelType w:val="hybridMultilevel"/>
    <w:tmpl w:val="E8967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6013AD"/>
    <w:multiLevelType w:val="hybridMultilevel"/>
    <w:tmpl w:val="0C44DC6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48010420"/>
    <w:multiLevelType w:val="hybridMultilevel"/>
    <w:tmpl w:val="F3441672"/>
    <w:lvl w:ilvl="0" w:tplc="91422F9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2" w15:restartNumberingAfterBreak="0">
    <w:nsid w:val="55D521C0"/>
    <w:multiLevelType w:val="hybridMultilevel"/>
    <w:tmpl w:val="F76203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5C0C0C3C"/>
    <w:multiLevelType w:val="hybridMultilevel"/>
    <w:tmpl w:val="492ECE7A"/>
    <w:lvl w:ilvl="0" w:tplc="A1EC7E86">
      <w:start w:val="1"/>
      <w:numFmt w:val="decimal"/>
      <w:pStyle w:val="Numberedparagraph"/>
      <w:lvlText w:val="%1."/>
      <w:lvlJc w:val="left"/>
      <w:pPr>
        <w:ind w:left="360" w:hanging="360"/>
      </w:pPr>
      <w:rPr>
        <w:rFonts w:ascii="Times New Roman" w:hAnsi="Times New Roman" w:cs="Times New Roman" w:hint="default"/>
        <w:b w:val="0"/>
        <w:i w:val="0"/>
        <w:sz w:val="24"/>
        <w:szCs w:val="24"/>
      </w:rPr>
    </w:lvl>
    <w:lvl w:ilvl="1" w:tplc="0C090001">
      <w:start w:val="1"/>
      <w:numFmt w:val="bullet"/>
      <w:lvlText w:val=""/>
      <w:lvlJc w:val="left"/>
      <w:pPr>
        <w:ind w:left="2007" w:hanging="360"/>
      </w:pPr>
      <w:rPr>
        <w:rFonts w:ascii="Symbol" w:hAnsi="Symbol" w:hint="default"/>
      </w:rPr>
    </w:lvl>
    <w:lvl w:ilvl="2" w:tplc="BC6293D4">
      <w:start w:val="1"/>
      <w:numFmt w:val="lowerLetter"/>
      <w:lvlText w:val="(%3)"/>
      <w:lvlJc w:val="left"/>
      <w:pPr>
        <w:ind w:left="2907" w:hanging="360"/>
      </w:pPr>
      <w:rPr>
        <w:rFonts w:hint="default"/>
      </w:r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5C3D5BEC"/>
    <w:multiLevelType w:val="hybridMultilevel"/>
    <w:tmpl w:val="C268C726"/>
    <w:lvl w:ilvl="0" w:tplc="ACE68092">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7B20E1"/>
    <w:multiLevelType w:val="hybridMultilevel"/>
    <w:tmpl w:val="F3441672"/>
    <w:lvl w:ilvl="0" w:tplc="91422F9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6" w15:restartNumberingAfterBreak="0">
    <w:nsid w:val="6E8A030B"/>
    <w:multiLevelType w:val="hybridMultilevel"/>
    <w:tmpl w:val="CA14E6F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72A4DD5"/>
    <w:multiLevelType w:val="hybridMultilevel"/>
    <w:tmpl w:val="68C250BA"/>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7867533E"/>
    <w:multiLevelType w:val="hybridMultilevel"/>
    <w:tmpl w:val="9294DF4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9" w15:restartNumberingAfterBreak="0">
    <w:nsid w:val="7C7C64E0"/>
    <w:multiLevelType w:val="hybridMultilevel"/>
    <w:tmpl w:val="993C01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C9A692F"/>
    <w:multiLevelType w:val="hybridMultilevel"/>
    <w:tmpl w:val="390AB6BA"/>
    <w:lvl w:ilvl="0" w:tplc="D1403908">
      <w:start w:val="1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2"/>
  </w:num>
  <w:num w:numId="4">
    <w:abstractNumId w:val="29"/>
  </w:num>
  <w:num w:numId="5">
    <w:abstractNumId w:val="24"/>
  </w:num>
  <w:num w:numId="6">
    <w:abstractNumId w:val="9"/>
  </w:num>
  <w:num w:numId="7">
    <w:abstractNumId w:val="14"/>
  </w:num>
  <w:num w:numId="8">
    <w:abstractNumId w:val="28"/>
  </w:num>
  <w:num w:numId="9">
    <w:abstractNumId w:val="12"/>
  </w:num>
  <w:num w:numId="10">
    <w:abstractNumId w:val="8"/>
  </w:num>
  <w:num w:numId="11">
    <w:abstractNumId w:val="23"/>
  </w:num>
  <w:num w:numId="12">
    <w:abstractNumId w:val="20"/>
  </w:num>
  <w:num w:numId="13">
    <w:abstractNumId w:val="2"/>
  </w:num>
  <w:num w:numId="14">
    <w:abstractNumId w:val="21"/>
  </w:num>
  <w:num w:numId="15">
    <w:abstractNumId w:val="25"/>
  </w:num>
  <w:num w:numId="16">
    <w:abstractNumId w:val="1"/>
  </w:num>
  <w:num w:numId="17">
    <w:abstractNumId w:val="4"/>
  </w:num>
  <w:num w:numId="18">
    <w:abstractNumId w:val="17"/>
  </w:num>
  <w:num w:numId="19">
    <w:abstractNumId w:val="27"/>
  </w:num>
  <w:num w:numId="20">
    <w:abstractNumId w:val="11"/>
  </w:num>
  <w:num w:numId="21">
    <w:abstractNumId w:val="23"/>
    <w:lvlOverride w:ilvl="0">
      <w:startOverride w:val="13"/>
    </w:lvlOverride>
  </w:num>
  <w:num w:numId="22">
    <w:abstractNumId w:val="10"/>
  </w:num>
  <w:num w:numId="23">
    <w:abstractNumId w:val="3"/>
  </w:num>
  <w:num w:numId="24">
    <w:abstractNumId w:val="26"/>
  </w:num>
  <w:num w:numId="25">
    <w:abstractNumId w:val="0"/>
  </w:num>
  <w:num w:numId="26">
    <w:abstractNumId w:val="7"/>
  </w:num>
  <w:num w:numId="27">
    <w:abstractNumId w:val="6"/>
  </w:num>
  <w:num w:numId="28">
    <w:abstractNumId w:val="23"/>
  </w:num>
  <w:num w:numId="29">
    <w:abstractNumId w:val="23"/>
    <w:lvlOverride w:ilvl="0">
      <w:startOverride w:val="1"/>
    </w:lvlOverride>
  </w:num>
  <w:num w:numId="30">
    <w:abstractNumId w:val="13"/>
  </w:num>
  <w:num w:numId="31">
    <w:abstractNumId w:val="23"/>
  </w:num>
  <w:num w:numId="32">
    <w:abstractNumId w:val="23"/>
  </w:num>
  <w:num w:numId="33">
    <w:abstractNumId w:val="30"/>
  </w:num>
  <w:num w:numId="34">
    <w:abstractNumId w:val="23"/>
  </w:num>
  <w:num w:numId="35">
    <w:abstractNumId w:val="5"/>
  </w:num>
  <w:num w:numId="36">
    <w:abstractNumId w:val="16"/>
  </w:num>
  <w:num w:numId="3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32C0EBF-69B2-4A85-BED5-EA09E239C6B7}"/>
    <w:docVar w:name="dgnword-eventsink" w:val="455152320"/>
  </w:docVars>
  <w:rsids>
    <w:rsidRoot w:val="004C6DB9"/>
    <w:rsid w:val="000005AB"/>
    <w:rsid w:val="00005EAC"/>
    <w:rsid w:val="0001042C"/>
    <w:rsid w:val="00012BE7"/>
    <w:rsid w:val="00013F77"/>
    <w:rsid w:val="000168D2"/>
    <w:rsid w:val="00017A19"/>
    <w:rsid w:val="00020768"/>
    <w:rsid w:val="00023E69"/>
    <w:rsid w:val="00023F10"/>
    <w:rsid w:val="00024FD2"/>
    <w:rsid w:val="00032900"/>
    <w:rsid w:val="0003304C"/>
    <w:rsid w:val="00034542"/>
    <w:rsid w:val="00036548"/>
    <w:rsid w:val="00041658"/>
    <w:rsid w:val="00043A71"/>
    <w:rsid w:val="00044B3D"/>
    <w:rsid w:val="00044D57"/>
    <w:rsid w:val="00046212"/>
    <w:rsid w:val="000502AE"/>
    <w:rsid w:val="0005039D"/>
    <w:rsid w:val="00050B74"/>
    <w:rsid w:val="00064386"/>
    <w:rsid w:val="000645C1"/>
    <w:rsid w:val="000744DF"/>
    <w:rsid w:val="00077CFB"/>
    <w:rsid w:val="000811BC"/>
    <w:rsid w:val="00094AF1"/>
    <w:rsid w:val="00095EF3"/>
    <w:rsid w:val="00096106"/>
    <w:rsid w:val="000A265D"/>
    <w:rsid w:val="000A2A5C"/>
    <w:rsid w:val="000B0340"/>
    <w:rsid w:val="000B0B1C"/>
    <w:rsid w:val="000C0AA9"/>
    <w:rsid w:val="000D50FD"/>
    <w:rsid w:val="000E0EEF"/>
    <w:rsid w:val="000E38CE"/>
    <w:rsid w:val="000E4049"/>
    <w:rsid w:val="000E4888"/>
    <w:rsid w:val="000E633B"/>
    <w:rsid w:val="000F7186"/>
    <w:rsid w:val="001004D3"/>
    <w:rsid w:val="0010581D"/>
    <w:rsid w:val="00113F48"/>
    <w:rsid w:val="00115752"/>
    <w:rsid w:val="00115CE7"/>
    <w:rsid w:val="001206CB"/>
    <w:rsid w:val="001226A0"/>
    <w:rsid w:val="001246B9"/>
    <w:rsid w:val="00133AD2"/>
    <w:rsid w:val="00141E28"/>
    <w:rsid w:val="0014380D"/>
    <w:rsid w:val="00144431"/>
    <w:rsid w:val="00147527"/>
    <w:rsid w:val="00150DBC"/>
    <w:rsid w:val="00151B69"/>
    <w:rsid w:val="0015769B"/>
    <w:rsid w:val="0016002E"/>
    <w:rsid w:val="00167E5F"/>
    <w:rsid w:val="001709C8"/>
    <w:rsid w:val="00170D65"/>
    <w:rsid w:val="0017180A"/>
    <w:rsid w:val="00177A7B"/>
    <w:rsid w:val="00180E4B"/>
    <w:rsid w:val="00180FE2"/>
    <w:rsid w:val="00182941"/>
    <w:rsid w:val="00184F36"/>
    <w:rsid w:val="0019265C"/>
    <w:rsid w:val="00193207"/>
    <w:rsid w:val="00194FFF"/>
    <w:rsid w:val="001A28C9"/>
    <w:rsid w:val="001A68E5"/>
    <w:rsid w:val="001B1CF3"/>
    <w:rsid w:val="001B4466"/>
    <w:rsid w:val="001B48F2"/>
    <w:rsid w:val="001C6401"/>
    <w:rsid w:val="001D1C8A"/>
    <w:rsid w:val="001D4270"/>
    <w:rsid w:val="001D6BFB"/>
    <w:rsid w:val="001E041C"/>
    <w:rsid w:val="001E07F4"/>
    <w:rsid w:val="001E1C86"/>
    <w:rsid w:val="001E53DE"/>
    <w:rsid w:val="001E5DFD"/>
    <w:rsid w:val="001E6183"/>
    <w:rsid w:val="001E723D"/>
    <w:rsid w:val="001F2A42"/>
    <w:rsid w:val="001F572D"/>
    <w:rsid w:val="001F7AC8"/>
    <w:rsid w:val="00200507"/>
    <w:rsid w:val="0020184E"/>
    <w:rsid w:val="00204630"/>
    <w:rsid w:val="00205D0A"/>
    <w:rsid w:val="00215FD7"/>
    <w:rsid w:val="002176D6"/>
    <w:rsid w:val="00222E46"/>
    <w:rsid w:val="00224BC7"/>
    <w:rsid w:val="00225BAB"/>
    <w:rsid w:val="002314E2"/>
    <w:rsid w:val="00236250"/>
    <w:rsid w:val="00241562"/>
    <w:rsid w:val="00242E39"/>
    <w:rsid w:val="0024386B"/>
    <w:rsid w:val="00247FAF"/>
    <w:rsid w:val="002515FA"/>
    <w:rsid w:val="00253E01"/>
    <w:rsid w:val="00260ACC"/>
    <w:rsid w:val="00263C8D"/>
    <w:rsid w:val="002664AC"/>
    <w:rsid w:val="00272D29"/>
    <w:rsid w:val="00275A28"/>
    <w:rsid w:val="00281DB6"/>
    <w:rsid w:val="0028357F"/>
    <w:rsid w:val="0028744E"/>
    <w:rsid w:val="00291E54"/>
    <w:rsid w:val="0029402A"/>
    <w:rsid w:val="002A45E4"/>
    <w:rsid w:val="002A68B9"/>
    <w:rsid w:val="002A6B13"/>
    <w:rsid w:val="002B1CEB"/>
    <w:rsid w:val="002B251C"/>
    <w:rsid w:val="002B7A69"/>
    <w:rsid w:val="002C3049"/>
    <w:rsid w:val="002C415B"/>
    <w:rsid w:val="002C4434"/>
    <w:rsid w:val="002C463B"/>
    <w:rsid w:val="002C557A"/>
    <w:rsid w:val="002D41AA"/>
    <w:rsid w:val="002D65EA"/>
    <w:rsid w:val="002D72A1"/>
    <w:rsid w:val="002E193B"/>
    <w:rsid w:val="002E3A13"/>
    <w:rsid w:val="002E4901"/>
    <w:rsid w:val="002F075A"/>
    <w:rsid w:val="002F51DF"/>
    <w:rsid w:val="002F7A3F"/>
    <w:rsid w:val="00304908"/>
    <w:rsid w:val="003076D0"/>
    <w:rsid w:val="00310526"/>
    <w:rsid w:val="0031276C"/>
    <w:rsid w:val="003152F0"/>
    <w:rsid w:val="003179DD"/>
    <w:rsid w:val="003208D8"/>
    <w:rsid w:val="00322C7D"/>
    <w:rsid w:val="00323852"/>
    <w:rsid w:val="00327F7E"/>
    <w:rsid w:val="00340629"/>
    <w:rsid w:val="003443BC"/>
    <w:rsid w:val="00347019"/>
    <w:rsid w:val="00357A4C"/>
    <w:rsid w:val="00363EBC"/>
    <w:rsid w:val="00366406"/>
    <w:rsid w:val="0037461D"/>
    <w:rsid w:val="00376C0B"/>
    <w:rsid w:val="003822A3"/>
    <w:rsid w:val="00390E98"/>
    <w:rsid w:val="0039261B"/>
    <w:rsid w:val="00396D1A"/>
    <w:rsid w:val="003A5097"/>
    <w:rsid w:val="003A7D0E"/>
    <w:rsid w:val="003B3DD7"/>
    <w:rsid w:val="003B72B0"/>
    <w:rsid w:val="003C2ED5"/>
    <w:rsid w:val="003C3B84"/>
    <w:rsid w:val="003C45A9"/>
    <w:rsid w:val="003C725C"/>
    <w:rsid w:val="003D481C"/>
    <w:rsid w:val="003D4DA7"/>
    <w:rsid w:val="003D5D6C"/>
    <w:rsid w:val="003E121E"/>
    <w:rsid w:val="003E56ED"/>
    <w:rsid w:val="003F07EF"/>
    <w:rsid w:val="003F0BD6"/>
    <w:rsid w:val="003F6B7C"/>
    <w:rsid w:val="004036CB"/>
    <w:rsid w:val="00407C66"/>
    <w:rsid w:val="004108AE"/>
    <w:rsid w:val="00411300"/>
    <w:rsid w:val="004124F6"/>
    <w:rsid w:val="00412F30"/>
    <w:rsid w:val="00413760"/>
    <w:rsid w:val="00415BB1"/>
    <w:rsid w:val="00424B46"/>
    <w:rsid w:val="0042532F"/>
    <w:rsid w:val="00434917"/>
    <w:rsid w:val="0043540C"/>
    <w:rsid w:val="0043603E"/>
    <w:rsid w:val="004365FB"/>
    <w:rsid w:val="00436675"/>
    <w:rsid w:val="00436C48"/>
    <w:rsid w:val="0043734A"/>
    <w:rsid w:val="00442F66"/>
    <w:rsid w:val="00450D15"/>
    <w:rsid w:val="00451D48"/>
    <w:rsid w:val="00452751"/>
    <w:rsid w:val="00466F30"/>
    <w:rsid w:val="004741CC"/>
    <w:rsid w:val="004856B2"/>
    <w:rsid w:val="0048612D"/>
    <w:rsid w:val="00487540"/>
    <w:rsid w:val="00492E18"/>
    <w:rsid w:val="004936E7"/>
    <w:rsid w:val="00497C4C"/>
    <w:rsid w:val="004A314D"/>
    <w:rsid w:val="004A3197"/>
    <w:rsid w:val="004B0248"/>
    <w:rsid w:val="004B261F"/>
    <w:rsid w:val="004C3859"/>
    <w:rsid w:val="004C66EA"/>
    <w:rsid w:val="004C6DB9"/>
    <w:rsid w:val="004D6584"/>
    <w:rsid w:val="004E15AF"/>
    <w:rsid w:val="004E4CF1"/>
    <w:rsid w:val="004F1452"/>
    <w:rsid w:val="004F575F"/>
    <w:rsid w:val="0050739D"/>
    <w:rsid w:val="0051020C"/>
    <w:rsid w:val="00511BE2"/>
    <w:rsid w:val="005213F8"/>
    <w:rsid w:val="00521D32"/>
    <w:rsid w:val="005256AB"/>
    <w:rsid w:val="00532BBB"/>
    <w:rsid w:val="00535AF1"/>
    <w:rsid w:val="00535F5A"/>
    <w:rsid w:val="00536458"/>
    <w:rsid w:val="0054547F"/>
    <w:rsid w:val="00551A8F"/>
    <w:rsid w:val="00553A3F"/>
    <w:rsid w:val="00555BE6"/>
    <w:rsid w:val="00556609"/>
    <w:rsid w:val="00561A6F"/>
    <w:rsid w:val="00571C8C"/>
    <w:rsid w:val="00574A2A"/>
    <w:rsid w:val="00580DCB"/>
    <w:rsid w:val="00583458"/>
    <w:rsid w:val="00583CAE"/>
    <w:rsid w:val="005863B1"/>
    <w:rsid w:val="00587593"/>
    <w:rsid w:val="00587ABA"/>
    <w:rsid w:val="00590924"/>
    <w:rsid w:val="005913B2"/>
    <w:rsid w:val="00592392"/>
    <w:rsid w:val="00595893"/>
    <w:rsid w:val="0059787D"/>
    <w:rsid w:val="00597BC3"/>
    <w:rsid w:val="00597C80"/>
    <w:rsid w:val="005B19FD"/>
    <w:rsid w:val="005B490E"/>
    <w:rsid w:val="005B58BB"/>
    <w:rsid w:val="005B58EE"/>
    <w:rsid w:val="005C320B"/>
    <w:rsid w:val="005C4747"/>
    <w:rsid w:val="005C53D8"/>
    <w:rsid w:val="005C565E"/>
    <w:rsid w:val="005D0456"/>
    <w:rsid w:val="005D1020"/>
    <w:rsid w:val="005D19E6"/>
    <w:rsid w:val="005D282A"/>
    <w:rsid w:val="005D3A00"/>
    <w:rsid w:val="005D615C"/>
    <w:rsid w:val="005E278C"/>
    <w:rsid w:val="005E55F6"/>
    <w:rsid w:val="005E569D"/>
    <w:rsid w:val="005E61D8"/>
    <w:rsid w:val="005F32FE"/>
    <w:rsid w:val="005F3BDE"/>
    <w:rsid w:val="005F65DE"/>
    <w:rsid w:val="00601B91"/>
    <w:rsid w:val="0060627D"/>
    <w:rsid w:val="0061120A"/>
    <w:rsid w:val="00613D5B"/>
    <w:rsid w:val="00615418"/>
    <w:rsid w:val="00621026"/>
    <w:rsid w:val="00623A4E"/>
    <w:rsid w:val="006316DE"/>
    <w:rsid w:val="00641040"/>
    <w:rsid w:val="006431B7"/>
    <w:rsid w:val="00654721"/>
    <w:rsid w:val="00656D80"/>
    <w:rsid w:val="00657E4A"/>
    <w:rsid w:val="00660FE1"/>
    <w:rsid w:val="00661B45"/>
    <w:rsid w:val="00665521"/>
    <w:rsid w:val="006665EE"/>
    <w:rsid w:val="00670068"/>
    <w:rsid w:val="00671127"/>
    <w:rsid w:val="00672FA7"/>
    <w:rsid w:val="00674F7B"/>
    <w:rsid w:val="006767AB"/>
    <w:rsid w:val="006819D8"/>
    <w:rsid w:val="006875E3"/>
    <w:rsid w:val="0068767E"/>
    <w:rsid w:val="00687A5C"/>
    <w:rsid w:val="00694035"/>
    <w:rsid w:val="006A2D58"/>
    <w:rsid w:val="006A664E"/>
    <w:rsid w:val="006B03C0"/>
    <w:rsid w:val="006B17B4"/>
    <w:rsid w:val="006B531F"/>
    <w:rsid w:val="006B54AF"/>
    <w:rsid w:val="006B77EE"/>
    <w:rsid w:val="006B7DF9"/>
    <w:rsid w:val="006C1D64"/>
    <w:rsid w:val="006C79CD"/>
    <w:rsid w:val="006D3B8F"/>
    <w:rsid w:val="006E182B"/>
    <w:rsid w:val="006E474F"/>
    <w:rsid w:val="006E579C"/>
    <w:rsid w:val="006F0843"/>
    <w:rsid w:val="006F3A51"/>
    <w:rsid w:val="006F46CB"/>
    <w:rsid w:val="006F7CA1"/>
    <w:rsid w:val="007031BB"/>
    <w:rsid w:val="00707129"/>
    <w:rsid w:val="00711ABA"/>
    <w:rsid w:val="00717783"/>
    <w:rsid w:val="00723F0C"/>
    <w:rsid w:val="007263F6"/>
    <w:rsid w:val="00726505"/>
    <w:rsid w:val="00726F9F"/>
    <w:rsid w:val="00733810"/>
    <w:rsid w:val="007356FC"/>
    <w:rsid w:val="00737CF6"/>
    <w:rsid w:val="007410CF"/>
    <w:rsid w:val="0074178E"/>
    <w:rsid w:val="007420F8"/>
    <w:rsid w:val="00743F93"/>
    <w:rsid w:val="00746BC4"/>
    <w:rsid w:val="007522B5"/>
    <w:rsid w:val="00754D69"/>
    <w:rsid w:val="00757443"/>
    <w:rsid w:val="00765D81"/>
    <w:rsid w:val="00766D06"/>
    <w:rsid w:val="00770678"/>
    <w:rsid w:val="007718C5"/>
    <w:rsid w:val="007723E6"/>
    <w:rsid w:val="0077466B"/>
    <w:rsid w:val="007752C4"/>
    <w:rsid w:val="007761AA"/>
    <w:rsid w:val="0077679C"/>
    <w:rsid w:val="0078092A"/>
    <w:rsid w:val="00782A14"/>
    <w:rsid w:val="00793A7C"/>
    <w:rsid w:val="007A0D76"/>
    <w:rsid w:val="007A381F"/>
    <w:rsid w:val="007A74EB"/>
    <w:rsid w:val="007B3087"/>
    <w:rsid w:val="007B7282"/>
    <w:rsid w:val="007C26DC"/>
    <w:rsid w:val="007C27D0"/>
    <w:rsid w:val="007D35AD"/>
    <w:rsid w:val="007E6151"/>
    <w:rsid w:val="007F0CA0"/>
    <w:rsid w:val="007F41C8"/>
    <w:rsid w:val="0080622F"/>
    <w:rsid w:val="008114F1"/>
    <w:rsid w:val="00815AA5"/>
    <w:rsid w:val="00820B2B"/>
    <w:rsid w:val="0082695A"/>
    <w:rsid w:val="00827424"/>
    <w:rsid w:val="008278FA"/>
    <w:rsid w:val="00833382"/>
    <w:rsid w:val="00836E77"/>
    <w:rsid w:val="008455F8"/>
    <w:rsid w:val="00847F46"/>
    <w:rsid w:val="0085007F"/>
    <w:rsid w:val="00851472"/>
    <w:rsid w:val="00851557"/>
    <w:rsid w:val="00851CE7"/>
    <w:rsid w:val="008525A3"/>
    <w:rsid w:val="008547D2"/>
    <w:rsid w:val="00860642"/>
    <w:rsid w:val="008608B7"/>
    <w:rsid w:val="00861952"/>
    <w:rsid w:val="008658DD"/>
    <w:rsid w:val="00871464"/>
    <w:rsid w:val="00872301"/>
    <w:rsid w:val="008739C8"/>
    <w:rsid w:val="00880F47"/>
    <w:rsid w:val="00882D12"/>
    <w:rsid w:val="008875CC"/>
    <w:rsid w:val="008903BE"/>
    <w:rsid w:val="00895242"/>
    <w:rsid w:val="008A0603"/>
    <w:rsid w:val="008A502C"/>
    <w:rsid w:val="008B1A37"/>
    <w:rsid w:val="008C1622"/>
    <w:rsid w:val="008C1FF9"/>
    <w:rsid w:val="008C2711"/>
    <w:rsid w:val="008C5740"/>
    <w:rsid w:val="008D3B83"/>
    <w:rsid w:val="008D7896"/>
    <w:rsid w:val="008D7F3B"/>
    <w:rsid w:val="008E0142"/>
    <w:rsid w:val="008E2AB5"/>
    <w:rsid w:val="008E51FD"/>
    <w:rsid w:val="008E5804"/>
    <w:rsid w:val="008E6690"/>
    <w:rsid w:val="008E6A00"/>
    <w:rsid w:val="008E7D96"/>
    <w:rsid w:val="008F31DE"/>
    <w:rsid w:val="008F6FDC"/>
    <w:rsid w:val="00913F00"/>
    <w:rsid w:val="00913F33"/>
    <w:rsid w:val="00914D40"/>
    <w:rsid w:val="00915DB2"/>
    <w:rsid w:val="00915F58"/>
    <w:rsid w:val="00916C23"/>
    <w:rsid w:val="009224AF"/>
    <w:rsid w:val="00923040"/>
    <w:rsid w:val="00926F1C"/>
    <w:rsid w:val="00926FD8"/>
    <w:rsid w:val="00927517"/>
    <w:rsid w:val="0093387D"/>
    <w:rsid w:val="009364E1"/>
    <w:rsid w:val="00945176"/>
    <w:rsid w:val="00950269"/>
    <w:rsid w:val="0095401B"/>
    <w:rsid w:val="00955273"/>
    <w:rsid w:val="00960494"/>
    <w:rsid w:val="00963DD3"/>
    <w:rsid w:val="00967CB3"/>
    <w:rsid w:val="009827F1"/>
    <w:rsid w:val="00983ECD"/>
    <w:rsid w:val="009842A6"/>
    <w:rsid w:val="00985513"/>
    <w:rsid w:val="009864F2"/>
    <w:rsid w:val="00986FFC"/>
    <w:rsid w:val="00987ACD"/>
    <w:rsid w:val="009A13CD"/>
    <w:rsid w:val="009A59E3"/>
    <w:rsid w:val="009B530A"/>
    <w:rsid w:val="009C1C36"/>
    <w:rsid w:val="009C2459"/>
    <w:rsid w:val="009C5312"/>
    <w:rsid w:val="009C5488"/>
    <w:rsid w:val="009D3031"/>
    <w:rsid w:val="009D3D6A"/>
    <w:rsid w:val="009D4871"/>
    <w:rsid w:val="009D6115"/>
    <w:rsid w:val="009D7959"/>
    <w:rsid w:val="009E2029"/>
    <w:rsid w:val="009E2E0E"/>
    <w:rsid w:val="009E5592"/>
    <w:rsid w:val="009F2333"/>
    <w:rsid w:val="009F5638"/>
    <w:rsid w:val="00A009C2"/>
    <w:rsid w:val="00A10637"/>
    <w:rsid w:val="00A10703"/>
    <w:rsid w:val="00A12A2A"/>
    <w:rsid w:val="00A163FB"/>
    <w:rsid w:val="00A17732"/>
    <w:rsid w:val="00A251EF"/>
    <w:rsid w:val="00A2531D"/>
    <w:rsid w:val="00A2739F"/>
    <w:rsid w:val="00A37EFB"/>
    <w:rsid w:val="00A40EE6"/>
    <w:rsid w:val="00A41821"/>
    <w:rsid w:val="00A41C03"/>
    <w:rsid w:val="00A4678A"/>
    <w:rsid w:val="00A47923"/>
    <w:rsid w:val="00A51C56"/>
    <w:rsid w:val="00A541F4"/>
    <w:rsid w:val="00A573F5"/>
    <w:rsid w:val="00A5770B"/>
    <w:rsid w:val="00A62DE4"/>
    <w:rsid w:val="00A62FE9"/>
    <w:rsid w:val="00A72B5A"/>
    <w:rsid w:val="00A74F8B"/>
    <w:rsid w:val="00A812D0"/>
    <w:rsid w:val="00A81B9F"/>
    <w:rsid w:val="00A8404D"/>
    <w:rsid w:val="00A84329"/>
    <w:rsid w:val="00A868CE"/>
    <w:rsid w:val="00A929E3"/>
    <w:rsid w:val="00AA28F8"/>
    <w:rsid w:val="00AA4DF2"/>
    <w:rsid w:val="00AB1D4F"/>
    <w:rsid w:val="00AB43B4"/>
    <w:rsid w:val="00AC2606"/>
    <w:rsid w:val="00AC6535"/>
    <w:rsid w:val="00AC6FD7"/>
    <w:rsid w:val="00AC79E0"/>
    <w:rsid w:val="00AD1A0F"/>
    <w:rsid w:val="00AD1AE9"/>
    <w:rsid w:val="00AD5476"/>
    <w:rsid w:val="00AD58A8"/>
    <w:rsid w:val="00AE2DBF"/>
    <w:rsid w:val="00AE3208"/>
    <w:rsid w:val="00AE690D"/>
    <w:rsid w:val="00AE7AC3"/>
    <w:rsid w:val="00B22FF5"/>
    <w:rsid w:val="00B31EDF"/>
    <w:rsid w:val="00B34DC0"/>
    <w:rsid w:val="00B36430"/>
    <w:rsid w:val="00B3712F"/>
    <w:rsid w:val="00B4028B"/>
    <w:rsid w:val="00B4347C"/>
    <w:rsid w:val="00B522B1"/>
    <w:rsid w:val="00B528EB"/>
    <w:rsid w:val="00B53E8F"/>
    <w:rsid w:val="00B5476A"/>
    <w:rsid w:val="00B548CA"/>
    <w:rsid w:val="00B54A93"/>
    <w:rsid w:val="00B57BB2"/>
    <w:rsid w:val="00B57D12"/>
    <w:rsid w:val="00B655B8"/>
    <w:rsid w:val="00B7284B"/>
    <w:rsid w:val="00B72A1A"/>
    <w:rsid w:val="00B757DF"/>
    <w:rsid w:val="00B86EA5"/>
    <w:rsid w:val="00B87158"/>
    <w:rsid w:val="00B87F0D"/>
    <w:rsid w:val="00B92E01"/>
    <w:rsid w:val="00B96C9A"/>
    <w:rsid w:val="00BA33F5"/>
    <w:rsid w:val="00BA49B6"/>
    <w:rsid w:val="00BB0761"/>
    <w:rsid w:val="00BB5B1C"/>
    <w:rsid w:val="00BB6D69"/>
    <w:rsid w:val="00BC6B65"/>
    <w:rsid w:val="00BC7818"/>
    <w:rsid w:val="00BC7CB0"/>
    <w:rsid w:val="00BD154E"/>
    <w:rsid w:val="00BD3B21"/>
    <w:rsid w:val="00BD421F"/>
    <w:rsid w:val="00BD4461"/>
    <w:rsid w:val="00BD69EA"/>
    <w:rsid w:val="00BD738D"/>
    <w:rsid w:val="00BD7726"/>
    <w:rsid w:val="00BF169D"/>
    <w:rsid w:val="00BF6E29"/>
    <w:rsid w:val="00C00C32"/>
    <w:rsid w:val="00C01DA8"/>
    <w:rsid w:val="00C048B8"/>
    <w:rsid w:val="00C066CF"/>
    <w:rsid w:val="00C10DEF"/>
    <w:rsid w:val="00C13913"/>
    <w:rsid w:val="00C158C1"/>
    <w:rsid w:val="00C200BB"/>
    <w:rsid w:val="00C22D87"/>
    <w:rsid w:val="00C22EB2"/>
    <w:rsid w:val="00C23CD3"/>
    <w:rsid w:val="00C2542A"/>
    <w:rsid w:val="00C255B4"/>
    <w:rsid w:val="00C27C69"/>
    <w:rsid w:val="00C30659"/>
    <w:rsid w:val="00C510C9"/>
    <w:rsid w:val="00C64C75"/>
    <w:rsid w:val="00C66B1B"/>
    <w:rsid w:val="00C722E6"/>
    <w:rsid w:val="00C77C15"/>
    <w:rsid w:val="00C916E7"/>
    <w:rsid w:val="00C96E25"/>
    <w:rsid w:val="00C974EC"/>
    <w:rsid w:val="00CA2460"/>
    <w:rsid w:val="00CA716F"/>
    <w:rsid w:val="00CA73BD"/>
    <w:rsid w:val="00CA7C4F"/>
    <w:rsid w:val="00CB018C"/>
    <w:rsid w:val="00CB32B2"/>
    <w:rsid w:val="00CB3C5E"/>
    <w:rsid w:val="00CB69F9"/>
    <w:rsid w:val="00CB70B2"/>
    <w:rsid w:val="00CB71E3"/>
    <w:rsid w:val="00CC1021"/>
    <w:rsid w:val="00CC45B0"/>
    <w:rsid w:val="00CD0EE3"/>
    <w:rsid w:val="00CD4159"/>
    <w:rsid w:val="00CE114D"/>
    <w:rsid w:val="00CE4365"/>
    <w:rsid w:val="00CE7990"/>
    <w:rsid w:val="00CF634D"/>
    <w:rsid w:val="00CF6A1A"/>
    <w:rsid w:val="00D0106F"/>
    <w:rsid w:val="00D01CAB"/>
    <w:rsid w:val="00D074DE"/>
    <w:rsid w:val="00D14040"/>
    <w:rsid w:val="00D17717"/>
    <w:rsid w:val="00D24AD0"/>
    <w:rsid w:val="00D259B7"/>
    <w:rsid w:val="00D3046C"/>
    <w:rsid w:val="00D31839"/>
    <w:rsid w:val="00D31ACC"/>
    <w:rsid w:val="00D32194"/>
    <w:rsid w:val="00D40129"/>
    <w:rsid w:val="00D4041B"/>
    <w:rsid w:val="00D444A3"/>
    <w:rsid w:val="00D445BE"/>
    <w:rsid w:val="00D5313E"/>
    <w:rsid w:val="00D534B1"/>
    <w:rsid w:val="00D541A2"/>
    <w:rsid w:val="00D549B9"/>
    <w:rsid w:val="00D55867"/>
    <w:rsid w:val="00D642E1"/>
    <w:rsid w:val="00D67522"/>
    <w:rsid w:val="00D679D2"/>
    <w:rsid w:val="00D74329"/>
    <w:rsid w:val="00D76A97"/>
    <w:rsid w:val="00D77D77"/>
    <w:rsid w:val="00D84E1C"/>
    <w:rsid w:val="00D85951"/>
    <w:rsid w:val="00D85DF5"/>
    <w:rsid w:val="00D9087C"/>
    <w:rsid w:val="00D911A9"/>
    <w:rsid w:val="00D9313F"/>
    <w:rsid w:val="00D95304"/>
    <w:rsid w:val="00D97671"/>
    <w:rsid w:val="00DA2098"/>
    <w:rsid w:val="00DA3669"/>
    <w:rsid w:val="00DA46F2"/>
    <w:rsid w:val="00DD0098"/>
    <w:rsid w:val="00DD1EED"/>
    <w:rsid w:val="00DE4D44"/>
    <w:rsid w:val="00DE705F"/>
    <w:rsid w:val="00DF053F"/>
    <w:rsid w:val="00DF1514"/>
    <w:rsid w:val="00DF4643"/>
    <w:rsid w:val="00E04327"/>
    <w:rsid w:val="00E128EF"/>
    <w:rsid w:val="00E1429E"/>
    <w:rsid w:val="00E15065"/>
    <w:rsid w:val="00E26E32"/>
    <w:rsid w:val="00E4069E"/>
    <w:rsid w:val="00E43269"/>
    <w:rsid w:val="00E47325"/>
    <w:rsid w:val="00E51157"/>
    <w:rsid w:val="00E54D08"/>
    <w:rsid w:val="00E55761"/>
    <w:rsid w:val="00E560EF"/>
    <w:rsid w:val="00E66C2D"/>
    <w:rsid w:val="00E70F94"/>
    <w:rsid w:val="00E80C91"/>
    <w:rsid w:val="00E85F77"/>
    <w:rsid w:val="00E8646A"/>
    <w:rsid w:val="00E93532"/>
    <w:rsid w:val="00E958E8"/>
    <w:rsid w:val="00EA006D"/>
    <w:rsid w:val="00EA0285"/>
    <w:rsid w:val="00EA17AB"/>
    <w:rsid w:val="00EA5750"/>
    <w:rsid w:val="00EA6000"/>
    <w:rsid w:val="00EB3C8D"/>
    <w:rsid w:val="00EB4837"/>
    <w:rsid w:val="00ED432C"/>
    <w:rsid w:val="00ED5D8C"/>
    <w:rsid w:val="00EF1B50"/>
    <w:rsid w:val="00EF1F35"/>
    <w:rsid w:val="00EF5434"/>
    <w:rsid w:val="00F01AEC"/>
    <w:rsid w:val="00F03F47"/>
    <w:rsid w:val="00F16111"/>
    <w:rsid w:val="00F22ABF"/>
    <w:rsid w:val="00F26F0C"/>
    <w:rsid w:val="00F31C45"/>
    <w:rsid w:val="00F4032C"/>
    <w:rsid w:val="00F4130E"/>
    <w:rsid w:val="00F45FAF"/>
    <w:rsid w:val="00F53CBA"/>
    <w:rsid w:val="00F5518B"/>
    <w:rsid w:val="00F56B93"/>
    <w:rsid w:val="00F5706C"/>
    <w:rsid w:val="00F57FED"/>
    <w:rsid w:val="00F606F6"/>
    <w:rsid w:val="00F7432C"/>
    <w:rsid w:val="00F770AA"/>
    <w:rsid w:val="00F80F62"/>
    <w:rsid w:val="00F82193"/>
    <w:rsid w:val="00F8477B"/>
    <w:rsid w:val="00F84830"/>
    <w:rsid w:val="00F85AD7"/>
    <w:rsid w:val="00F91F7F"/>
    <w:rsid w:val="00F9529C"/>
    <w:rsid w:val="00F95484"/>
    <w:rsid w:val="00F96541"/>
    <w:rsid w:val="00FA1835"/>
    <w:rsid w:val="00FA2BF9"/>
    <w:rsid w:val="00FA70A0"/>
    <w:rsid w:val="00FB1758"/>
    <w:rsid w:val="00FB3C35"/>
    <w:rsid w:val="00FB7A4F"/>
    <w:rsid w:val="00FB7F8E"/>
    <w:rsid w:val="00FC25CE"/>
    <w:rsid w:val="00FC3F97"/>
    <w:rsid w:val="00FC4FFE"/>
    <w:rsid w:val="00FD3732"/>
    <w:rsid w:val="00FD6BA0"/>
    <w:rsid w:val="00FE2869"/>
    <w:rsid w:val="00FE6103"/>
    <w:rsid w:val="00FF02EC"/>
    <w:rsid w:val="00FF4EA5"/>
    <w:rsid w:val="00FF7BA3"/>
    <w:rsid w:val="00FF7DD8"/>
    <w:rsid w:val="1137CA18"/>
    <w:rsid w:val="4AC13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685EE"/>
  <w15:chartTrackingRefBased/>
  <w15:docId w15:val="{AD7D1620-E638-4F59-A196-D7D8D5EA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6D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DB9"/>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914D40"/>
    <w:rPr>
      <w:sz w:val="16"/>
      <w:szCs w:val="16"/>
    </w:rPr>
  </w:style>
  <w:style w:type="paragraph" w:styleId="CommentText">
    <w:name w:val="annotation text"/>
    <w:basedOn w:val="Normal"/>
    <w:link w:val="CommentTextChar"/>
    <w:uiPriority w:val="99"/>
    <w:unhideWhenUsed/>
    <w:rsid w:val="00914D40"/>
    <w:pPr>
      <w:spacing w:line="240" w:lineRule="auto"/>
    </w:pPr>
    <w:rPr>
      <w:sz w:val="20"/>
      <w:szCs w:val="20"/>
    </w:rPr>
  </w:style>
  <w:style w:type="character" w:customStyle="1" w:styleId="CommentTextChar">
    <w:name w:val="Comment Text Char"/>
    <w:basedOn w:val="DefaultParagraphFont"/>
    <w:link w:val="CommentText"/>
    <w:uiPriority w:val="99"/>
    <w:rsid w:val="00914D40"/>
    <w:rPr>
      <w:sz w:val="20"/>
      <w:szCs w:val="20"/>
    </w:rPr>
  </w:style>
  <w:style w:type="paragraph" w:styleId="CommentSubject">
    <w:name w:val="annotation subject"/>
    <w:basedOn w:val="CommentText"/>
    <w:next w:val="CommentText"/>
    <w:link w:val="CommentSubjectChar"/>
    <w:uiPriority w:val="99"/>
    <w:semiHidden/>
    <w:unhideWhenUsed/>
    <w:rsid w:val="00914D40"/>
    <w:rPr>
      <w:b/>
      <w:bCs/>
    </w:rPr>
  </w:style>
  <w:style w:type="character" w:customStyle="1" w:styleId="CommentSubjectChar">
    <w:name w:val="Comment Subject Char"/>
    <w:basedOn w:val="CommentTextChar"/>
    <w:link w:val="CommentSubject"/>
    <w:uiPriority w:val="99"/>
    <w:semiHidden/>
    <w:rsid w:val="00914D40"/>
    <w:rPr>
      <w:b/>
      <w:bCs/>
      <w:sz w:val="20"/>
      <w:szCs w:val="20"/>
    </w:rPr>
  </w:style>
  <w:style w:type="paragraph" w:styleId="BalloonText">
    <w:name w:val="Balloon Text"/>
    <w:basedOn w:val="Normal"/>
    <w:link w:val="BalloonTextChar"/>
    <w:uiPriority w:val="99"/>
    <w:semiHidden/>
    <w:unhideWhenUsed/>
    <w:rsid w:val="00914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D40"/>
    <w:rPr>
      <w:rFonts w:ascii="Segoe UI" w:hAnsi="Segoe UI" w:cs="Segoe UI"/>
      <w:sz w:val="18"/>
      <w:szCs w:val="18"/>
    </w:rPr>
  </w:style>
  <w:style w:type="character" w:customStyle="1" w:styleId="CABNETParagraphChar">
    <w:name w:val="CABNET Paragraph. Char"/>
    <w:basedOn w:val="DefaultParagraphFont"/>
    <w:link w:val="CABNETParagraph"/>
    <w:uiPriority w:val="98"/>
    <w:locked/>
    <w:rsid w:val="0028744E"/>
    <w:rPr>
      <w:rFonts w:ascii="Arial" w:hAnsi="Arial" w:cstheme="minorHAnsi"/>
    </w:rPr>
  </w:style>
  <w:style w:type="paragraph" w:customStyle="1" w:styleId="CABNETParagraph">
    <w:name w:val="CABNET Paragraph."/>
    <w:basedOn w:val="Normal"/>
    <w:link w:val="CABNETParagraphChar"/>
    <w:uiPriority w:val="98"/>
    <w:qFormat/>
    <w:rsid w:val="0028744E"/>
    <w:pPr>
      <w:spacing w:before="120" w:after="120" w:line="240" w:lineRule="auto"/>
    </w:pPr>
    <w:rPr>
      <w:rFonts w:ascii="Arial" w:hAnsi="Arial" w:cstheme="minorHAnsi"/>
    </w:rPr>
  </w:style>
  <w:style w:type="paragraph" w:styleId="ListParagraph">
    <w:name w:val="List Paragraph"/>
    <w:aliases w:val="Bullet Point,Bullet point,Bullet points,CV text,Content descriptions,Dot pt,F5 List Paragraph,L,List Paragraph1,List Paragraph11,List Paragraph111,Main,Medium Grid 1 - Accent 21,NFP GP Bulleted List,Numbered Paragraph,Recommendation,Table"/>
    <w:basedOn w:val="Normal"/>
    <w:link w:val="ListParagraphChar"/>
    <w:uiPriority w:val="34"/>
    <w:qFormat/>
    <w:rsid w:val="00613D5B"/>
    <w:pPr>
      <w:ind w:left="720"/>
      <w:contextualSpacing/>
    </w:pPr>
  </w:style>
  <w:style w:type="paragraph" w:styleId="Header">
    <w:name w:val="header"/>
    <w:basedOn w:val="Normal"/>
    <w:link w:val="HeaderChar"/>
    <w:uiPriority w:val="99"/>
    <w:unhideWhenUsed/>
    <w:rsid w:val="00854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7D2"/>
  </w:style>
  <w:style w:type="paragraph" w:styleId="Footer">
    <w:name w:val="footer"/>
    <w:basedOn w:val="Normal"/>
    <w:link w:val="FooterChar"/>
    <w:uiPriority w:val="99"/>
    <w:unhideWhenUsed/>
    <w:rsid w:val="00854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7D2"/>
  </w:style>
  <w:style w:type="paragraph" w:customStyle="1" w:styleId="ActHead9">
    <w:name w:val="ActHead 9"/>
    <w:aliases w:val="aat"/>
    <w:basedOn w:val="Normal"/>
    <w:next w:val="ItemHead"/>
    <w:qFormat/>
    <w:rsid w:val="00F9529C"/>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Item">
    <w:name w:val="Item"/>
    <w:aliases w:val="i"/>
    <w:basedOn w:val="Normal"/>
    <w:next w:val="ItemHead"/>
    <w:rsid w:val="00F9529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F9529C"/>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styleId="Emphasis">
    <w:name w:val="Emphasis"/>
    <w:basedOn w:val="DefaultParagraphFont"/>
    <w:uiPriority w:val="20"/>
    <w:qFormat/>
    <w:rsid w:val="00F9529C"/>
    <w:rPr>
      <w:i/>
      <w:iCs/>
    </w:rPr>
  </w:style>
  <w:style w:type="character" w:customStyle="1" w:styleId="CharDivText">
    <w:name w:val="CharDivText"/>
    <w:basedOn w:val="DefaultParagraphFont"/>
    <w:uiPriority w:val="1"/>
    <w:qFormat/>
    <w:rsid w:val="007A381F"/>
  </w:style>
  <w:style w:type="paragraph" w:styleId="NormalWeb">
    <w:name w:val="Normal (Web)"/>
    <w:basedOn w:val="Normal"/>
    <w:uiPriority w:val="99"/>
    <w:semiHidden/>
    <w:unhideWhenUsed/>
    <w:rsid w:val="003C3B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C3B84"/>
    <w:rPr>
      <w:b/>
      <w:bCs/>
    </w:rPr>
  </w:style>
  <w:style w:type="paragraph" w:styleId="FootnoteText">
    <w:name w:val="footnote text"/>
    <w:basedOn w:val="Normal"/>
    <w:link w:val="FootnoteTextChar"/>
    <w:uiPriority w:val="99"/>
    <w:semiHidden/>
    <w:unhideWhenUsed/>
    <w:rsid w:val="008C16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1622"/>
    <w:rPr>
      <w:sz w:val="20"/>
      <w:szCs w:val="20"/>
    </w:rPr>
  </w:style>
  <w:style w:type="character" w:styleId="FootnoteReference">
    <w:name w:val="footnote reference"/>
    <w:basedOn w:val="DefaultParagraphFont"/>
    <w:uiPriority w:val="99"/>
    <w:semiHidden/>
    <w:unhideWhenUsed/>
    <w:rsid w:val="008C1622"/>
    <w:rPr>
      <w:vertAlign w:val="superscript"/>
    </w:rPr>
  </w:style>
  <w:style w:type="paragraph" w:styleId="EndnoteText">
    <w:name w:val="endnote text"/>
    <w:basedOn w:val="Normal"/>
    <w:link w:val="EndnoteTextChar"/>
    <w:uiPriority w:val="99"/>
    <w:semiHidden/>
    <w:unhideWhenUsed/>
    <w:rsid w:val="008C16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1622"/>
    <w:rPr>
      <w:sz w:val="20"/>
      <w:szCs w:val="20"/>
    </w:rPr>
  </w:style>
  <w:style w:type="character" w:styleId="EndnoteReference">
    <w:name w:val="endnote reference"/>
    <w:basedOn w:val="DefaultParagraphFont"/>
    <w:uiPriority w:val="99"/>
    <w:semiHidden/>
    <w:unhideWhenUsed/>
    <w:rsid w:val="008C1622"/>
    <w:rPr>
      <w:vertAlign w:val="superscript"/>
    </w:rPr>
  </w:style>
  <w:style w:type="paragraph" w:customStyle="1" w:styleId="paragraph">
    <w:name w:val="paragraph"/>
    <w:aliases w:val="a"/>
    <w:basedOn w:val="Normal"/>
    <w:rsid w:val="00077CF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077CF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077CF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4">
    <w:name w:val="ActHead 4"/>
    <w:aliases w:val="sd"/>
    <w:basedOn w:val="Normal"/>
    <w:next w:val="Normal"/>
    <w:qFormat/>
    <w:rsid w:val="00180E4B"/>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rPr>
  </w:style>
  <w:style w:type="character" w:customStyle="1" w:styleId="CharSubdNo">
    <w:name w:val="CharSubdNo"/>
    <w:basedOn w:val="DefaultParagraphFont"/>
    <w:uiPriority w:val="1"/>
    <w:qFormat/>
    <w:rsid w:val="00180E4B"/>
  </w:style>
  <w:style w:type="character" w:customStyle="1" w:styleId="CharSubdText">
    <w:name w:val="CharSubdText"/>
    <w:basedOn w:val="DefaultParagraphFont"/>
    <w:uiPriority w:val="1"/>
    <w:qFormat/>
    <w:rsid w:val="00180E4B"/>
  </w:style>
  <w:style w:type="character" w:customStyle="1" w:styleId="ListParagraphChar">
    <w:name w:val="List Paragraph Char"/>
    <w:aliases w:val="Bullet Point Char,Bullet point Char,Bullet points Char,CV text Char,Content descriptions Char,Dot pt Char,F5 List Paragraph Char,L Char,List Paragraph1 Char,List Paragraph11 Char,List Paragraph111 Char,Main Char,Recommendation Char"/>
    <w:basedOn w:val="DefaultParagraphFont"/>
    <w:link w:val="ListParagraph"/>
    <w:uiPriority w:val="34"/>
    <w:qFormat/>
    <w:rsid w:val="005E278C"/>
  </w:style>
  <w:style w:type="paragraph" w:styleId="Revision">
    <w:name w:val="Revision"/>
    <w:hidden/>
    <w:uiPriority w:val="99"/>
    <w:semiHidden/>
    <w:rsid w:val="00CC45B0"/>
    <w:pPr>
      <w:spacing w:after="0" w:line="240" w:lineRule="auto"/>
    </w:pPr>
  </w:style>
  <w:style w:type="paragraph" w:customStyle="1" w:styleId="ActHead5">
    <w:name w:val="ActHead 5"/>
    <w:aliases w:val="s"/>
    <w:basedOn w:val="Normal"/>
    <w:next w:val="subsection"/>
    <w:link w:val="ActHead5Char"/>
    <w:qFormat/>
    <w:rsid w:val="004D6584"/>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4D6584"/>
  </w:style>
  <w:style w:type="paragraph" w:customStyle="1" w:styleId="subsection">
    <w:name w:val="subsection"/>
    <w:aliases w:val="ss"/>
    <w:basedOn w:val="Normal"/>
    <w:link w:val="subsectionChar"/>
    <w:rsid w:val="004D6584"/>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4D6584"/>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4D6584"/>
    <w:rPr>
      <w:rFonts w:ascii="Times New Roman" w:eastAsia="Times New Roman" w:hAnsi="Times New Roman" w:cs="Times New Roman"/>
      <w:b/>
      <w:kern w:val="28"/>
      <w:sz w:val="24"/>
      <w:szCs w:val="20"/>
      <w:lang w:eastAsia="en-AU"/>
    </w:rPr>
  </w:style>
  <w:style w:type="character" w:styleId="Hyperlink">
    <w:name w:val="Hyperlink"/>
    <w:basedOn w:val="DefaultParagraphFont"/>
    <w:uiPriority w:val="99"/>
    <w:unhideWhenUsed/>
    <w:rsid w:val="004A314D"/>
    <w:rPr>
      <w:color w:val="0000FF"/>
      <w:u w:val="single"/>
    </w:rPr>
  </w:style>
  <w:style w:type="paragraph" w:customStyle="1" w:styleId="Numberedparagraph">
    <w:name w:val="Numbered paragraph"/>
    <w:basedOn w:val="ItemHead"/>
    <w:link w:val="NumberedparagraphChar"/>
    <w:qFormat/>
    <w:rsid w:val="00D31ACC"/>
    <w:pPr>
      <w:keepNext w:val="0"/>
      <w:numPr>
        <w:numId w:val="11"/>
      </w:numPr>
      <w:spacing w:before="120" w:after="120"/>
      <w:jc w:val="both"/>
    </w:pPr>
    <w:rPr>
      <w:rFonts w:ascii="Times New Roman" w:hAnsi="Times New Roman"/>
      <w:b w:val="0"/>
    </w:rPr>
  </w:style>
  <w:style w:type="paragraph" w:customStyle="1" w:styleId="Subparagraph">
    <w:name w:val="Sub paragraph"/>
    <w:basedOn w:val="ListParagraph"/>
    <w:link w:val="SubparagraphChar"/>
    <w:qFormat/>
    <w:rsid w:val="00D31ACC"/>
    <w:pPr>
      <w:numPr>
        <w:ilvl w:val="1"/>
        <w:numId w:val="1"/>
      </w:numPr>
      <w:spacing w:after="0" w:line="240" w:lineRule="auto"/>
    </w:pPr>
    <w:rPr>
      <w:rFonts w:ascii="Times New Roman" w:hAnsi="Times New Roman" w:cs="Times New Roman"/>
      <w:sz w:val="24"/>
      <w:szCs w:val="24"/>
    </w:rPr>
  </w:style>
  <w:style w:type="character" w:customStyle="1" w:styleId="NumberedparagraphChar">
    <w:name w:val="Numbered paragraph Char"/>
    <w:basedOn w:val="DefaultParagraphFont"/>
    <w:link w:val="Numberedparagraph"/>
    <w:rsid w:val="00D31ACC"/>
    <w:rPr>
      <w:rFonts w:ascii="Times New Roman" w:eastAsia="Times New Roman" w:hAnsi="Times New Roman" w:cs="Times New Roman"/>
      <w:kern w:val="28"/>
      <w:sz w:val="24"/>
      <w:szCs w:val="20"/>
      <w:lang w:eastAsia="en-AU"/>
    </w:rPr>
  </w:style>
  <w:style w:type="paragraph" w:customStyle="1" w:styleId="SOCformatting">
    <w:name w:val="SOC formatting"/>
    <w:basedOn w:val="Normal"/>
    <w:link w:val="SOCformattingChar"/>
    <w:qFormat/>
    <w:rsid w:val="00D85DF5"/>
    <w:pPr>
      <w:numPr>
        <w:numId w:val="1"/>
      </w:numPr>
      <w:spacing w:after="0" w:line="240" w:lineRule="auto"/>
      <w:contextualSpacing/>
    </w:pPr>
    <w:rPr>
      <w:rFonts w:ascii="Times New Roman" w:eastAsia="Calibri" w:hAnsi="Times New Roman" w:cs="Times New Roman"/>
      <w:sz w:val="24"/>
      <w:szCs w:val="24"/>
    </w:rPr>
  </w:style>
  <w:style w:type="character" w:customStyle="1" w:styleId="SubparagraphChar">
    <w:name w:val="Sub paragraph Char"/>
    <w:basedOn w:val="ListParagraphChar"/>
    <w:link w:val="Subparagraph"/>
    <w:rsid w:val="00D31ACC"/>
    <w:rPr>
      <w:rFonts w:ascii="Times New Roman" w:hAnsi="Times New Roman" w:cs="Times New Roman"/>
      <w:sz w:val="24"/>
      <w:szCs w:val="24"/>
    </w:rPr>
  </w:style>
  <w:style w:type="character" w:customStyle="1" w:styleId="SOCformattingChar">
    <w:name w:val="SOC formatting Char"/>
    <w:basedOn w:val="DefaultParagraphFont"/>
    <w:link w:val="SOCformatting"/>
    <w:rsid w:val="00D85DF5"/>
    <w:rPr>
      <w:rFonts w:ascii="Times New Roman" w:eastAsia="Calibri" w:hAnsi="Times New Roman" w:cs="Times New Roman"/>
      <w:sz w:val="24"/>
      <w:szCs w:val="24"/>
    </w:rPr>
  </w:style>
  <w:style w:type="paragraph" w:customStyle="1" w:styleId="SOC2">
    <w:name w:val="SOC2"/>
    <w:basedOn w:val="ListParagraph"/>
    <w:link w:val="SOC2Char"/>
    <w:qFormat/>
    <w:rsid w:val="000E4049"/>
    <w:pPr>
      <w:numPr>
        <w:numId w:val="20"/>
      </w:numPr>
      <w:tabs>
        <w:tab w:val="left" w:pos="426"/>
      </w:tabs>
      <w:ind w:left="284" w:hanging="426"/>
    </w:pPr>
    <w:rPr>
      <w:rFonts w:ascii="Times New Roman" w:hAnsi="Times New Roman" w:cs="Times New Roman"/>
      <w:sz w:val="24"/>
      <w:szCs w:val="24"/>
    </w:rPr>
  </w:style>
  <w:style w:type="character" w:customStyle="1" w:styleId="SOC2Char">
    <w:name w:val="SOC2 Char"/>
    <w:basedOn w:val="ListParagraphChar"/>
    <w:link w:val="SOC2"/>
    <w:rsid w:val="000E4049"/>
    <w:rPr>
      <w:rFonts w:ascii="Times New Roman" w:hAnsi="Times New Roman" w:cs="Times New Roman"/>
      <w:sz w:val="24"/>
      <w:szCs w:val="24"/>
    </w:rPr>
  </w:style>
  <w:style w:type="paragraph" w:customStyle="1" w:styleId="Definition">
    <w:name w:val="Definition"/>
    <w:aliases w:val="dd"/>
    <w:basedOn w:val="Normal"/>
    <w:rsid w:val="00347019"/>
    <w:pPr>
      <w:spacing w:before="180" w:after="0" w:line="240" w:lineRule="auto"/>
      <w:ind w:left="1134"/>
    </w:pPr>
    <w:rPr>
      <w:rFonts w:ascii="Times New Roman" w:eastAsia="Times New Roman" w:hAnsi="Times New Roman" w:cs="Times New Roman"/>
      <w:szCs w:val="20"/>
      <w:lang w:eastAsia="en-AU"/>
    </w:rPr>
  </w:style>
  <w:style w:type="character" w:styleId="BookTitle">
    <w:name w:val="Book Title"/>
    <w:basedOn w:val="DefaultParagraphFont"/>
    <w:uiPriority w:val="33"/>
    <w:qFormat/>
    <w:rsid w:val="007356FC"/>
  </w:style>
  <w:style w:type="paragraph" w:customStyle="1" w:styleId="Default">
    <w:name w:val="Default"/>
    <w:rsid w:val="002835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draft">
    <w:name w:val="note(draft)"/>
    <w:aliases w:val="nd"/>
    <w:basedOn w:val="Normal"/>
    <w:rsid w:val="00F8477B"/>
    <w:pPr>
      <w:spacing w:before="240" w:after="0" w:line="240" w:lineRule="auto"/>
      <w:ind w:left="284" w:hanging="284"/>
    </w:pPr>
    <w:rPr>
      <w:rFonts w:ascii="Times New Roman" w:eastAsia="Times New Roman" w:hAnsi="Times New Roman" w:cs="Times New Roman"/>
      <w:i/>
      <w:sz w:val="24"/>
      <w:szCs w:val="20"/>
      <w:lang w:eastAsia="en-AU"/>
    </w:rPr>
  </w:style>
  <w:style w:type="character" w:customStyle="1" w:styleId="ui-provider">
    <w:name w:val="ui-provider"/>
    <w:basedOn w:val="DefaultParagraphFont"/>
    <w:rsid w:val="00CA2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72401">
      <w:bodyDiv w:val="1"/>
      <w:marLeft w:val="0"/>
      <w:marRight w:val="0"/>
      <w:marTop w:val="0"/>
      <w:marBottom w:val="0"/>
      <w:divBdr>
        <w:top w:val="none" w:sz="0" w:space="0" w:color="auto"/>
        <w:left w:val="none" w:sz="0" w:space="0" w:color="auto"/>
        <w:bottom w:val="none" w:sz="0" w:space="0" w:color="auto"/>
        <w:right w:val="none" w:sz="0" w:space="0" w:color="auto"/>
      </w:divBdr>
      <w:divsChild>
        <w:div w:id="1287272799">
          <w:marLeft w:val="0"/>
          <w:marRight w:val="0"/>
          <w:marTop w:val="0"/>
          <w:marBottom w:val="0"/>
          <w:divBdr>
            <w:top w:val="none" w:sz="0" w:space="0" w:color="auto"/>
            <w:left w:val="none" w:sz="0" w:space="0" w:color="auto"/>
            <w:bottom w:val="none" w:sz="0" w:space="0" w:color="auto"/>
            <w:right w:val="none" w:sz="0" w:space="0" w:color="auto"/>
          </w:divBdr>
          <w:divsChild>
            <w:div w:id="1107698182">
              <w:marLeft w:val="0"/>
              <w:marRight w:val="0"/>
              <w:marTop w:val="0"/>
              <w:marBottom w:val="0"/>
              <w:divBdr>
                <w:top w:val="none" w:sz="0" w:space="0" w:color="auto"/>
                <w:left w:val="none" w:sz="0" w:space="0" w:color="auto"/>
                <w:bottom w:val="none" w:sz="0" w:space="0" w:color="auto"/>
                <w:right w:val="none" w:sz="0" w:space="0" w:color="auto"/>
              </w:divBdr>
              <w:divsChild>
                <w:div w:id="295181996">
                  <w:marLeft w:val="0"/>
                  <w:marRight w:val="0"/>
                  <w:marTop w:val="0"/>
                  <w:marBottom w:val="0"/>
                  <w:divBdr>
                    <w:top w:val="none" w:sz="0" w:space="0" w:color="auto"/>
                    <w:left w:val="none" w:sz="0" w:space="0" w:color="auto"/>
                    <w:bottom w:val="none" w:sz="0" w:space="0" w:color="auto"/>
                    <w:right w:val="none" w:sz="0" w:space="0" w:color="auto"/>
                  </w:divBdr>
                  <w:divsChild>
                    <w:div w:id="1594968687">
                      <w:marLeft w:val="0"/>
                      <w:marRight w:val="0"/>
                      <w:marTop w:val="0"/>
                      <w:marBottom w:val="0"/>
                      <w:divBdr>
                        <w:top w:val="none" w:sz="0" w:space="0" w:color="auto"/>
                        <w:left w:val="none" w:sz="0" w:space="0" w:color="auto"/>
                        <w:bottom w:val="none" w:sz="0" w:space="0" w:color="auto"/>
                        <w:right w:val="none" w:sz="0" w:space="0" w:color="auto"/>
                      </w:divBdr>
                      <w:divsChild>
                        <w:div w:id="1419717714">
                          <w:marLeft w:val="0"/>
                          <w:marRight w:val="0"/>
                          <w:marTop w:val="0"/>
                          <w:marBottom w:val="0"/>
                          <w:divBdr>
                            <w:top w:val="none" w:sz="0" w:space="0" w:color="auto"/>
                            <w:left w:val="none" w:sz="0" w:space="0" w:color="auto"/>
                            <w:bottom w:val="none" w:sz="0" w:space="0" w:color="auto"/>
                            <w:right w:val="none" w:sz="0" w:space="0" w:color="auto"/>
                          </w:divBdr>
                          <w:divsChild>
                            <w:div w:id="314725537">
                              <w:marLeft w:val="0"/>
                              <w:marRight w:val="0"/>
                              <w:marTop w:val="0"/>
                              <w:marBottom w:val="0"/>
                              <w:divBdr>
                                <w:top w:val="none" w:sz="0" w:space="0" w:color="auto"/>
                                <w:left w:val="none" w:sz="0" w:space="0" w:color="auto"/>
                                <w:bottom w:val="none" w:sz="0" w:space="0" w:color="auto"/>
                                <w:right w:val="none" w:sz="0" w:space="0" w:color="auto"/>
                              </w:divBdr>
                              <w:divsChild>
                                <w:div w:id="2145351071">
                                  <w:marLeft w:val="0"/>
                                  <w:marRight w:val="0"/>
                                  <w:marTop w:val="0"/>
                                  <w:marBottom w:val="0"/>
                                  <w:divBdr>
                                    <w:top w:val="none" w:sz="0" w:space="0" w:color="auto"/>
                                    <w:left w:val="none" w:sz="0" w:space="0" w:color="auto"/>
                                    <w:bottom w:val="none" w:sz="0" w:space="0" w:color="auto"/>
                                    <w:right w:val="none" w:sz="0" w:space="0" w:color="auto"/>
                                  </w:divBdr>
                                  <w:divsChild>
                                    <w:div w:id="1686637048">
                                      <w:marLeft w:val="0"/>
                                      <w:marRight w:val="0"/>
                                      <w:marTop w:val="0"/>
                                      <w:marBottom w:val="0"/>
                                      <w:divBdr>
                                        <w:top w:val="none" w:sz="0" w:space="0" w:color="auto"/>
                                        <w:left w:val="none" w:sz="0" w:space="0" w:color="auto"/>
                                        <w:bottom w:val="none" w:sz="0" w:space="0" w:color="auto"/>
                                        <w:right w:val="none" w:sz="0" w:space="0" w:color="auto"/>
                                      </w:divBdr>
                                      <w:divsChild>
                                        <w:div w:id="904491072">
                                          <w:marLeft w:val="0"/>
                                          <w:marRight w:val="0"/>
                                          <w:marTop w:val="0"/>
                                          <w:marBottom w:val="0"/>
                                          <w:divBdr>
                                            <w:top w:val="none" w:sz="0" w:space="0" w:color="auto"/>
                                            <w:left w:val="none" w:sz="0" w:space="0" w:color="auto"/>
                                            <w:bottom w:val="none" w:sz="0" w:space="0" w:color="auto"/>
                                            <w:right w:val="none" w:sz="0" w:space="0" w:color="auto"/>
                                          </w:divBdr>
                                          <w:divsChild>
                                            <w:div w:id="2060008126">
                                              <w:marLeft w:val="0"/>
                                              <w:marRight w:val="0"/>
                                              <w:marTop w:val="0"/>
                                              <w:marBottom w:val="0"/>
                                              <w:divBdr>
                                                <w:top w:val="none" w:sz="0" w:space="0" w:color="auto"/>
                                                <w:left w:val="none" w:sz="0" w:space="0" w:color="auto"/>
                                                <w:bottom w:val="none" w:sz="0" w:space="0" w:color="auto"/>
                                                <w:right w:val="none" w:sz="0" w:space="0" w:color="auto"/>
                                              </w:divBdr>
                                              <w:divsChild>
                                                <w:div w:id="7486141">
                                                  <w:marLeft w:val="0"/>
                                                  <w:marRight w:val="0"/>
                                                  <w:marTop w:val="0"/>
                                                  <w:marBottom w:val="0"/>
                                                  <w:divBdr>
                                                    <w:top w:val="none" w:sz="0" w:space="0" w:color="auto"/>
                                                    <w:left w:val="none" w:sz="0" w:space="0" w:color="auto"/>
                                                    <w:bottom w:val="none" w:sz="0" w:space="0" w:color="auto"/>
                                                    <w:right w:val="none" w:sz="0" w:space="0" w:color="auto"/>
                                                  </w:divBdr>
                                                  <w:divsChild>
                                                    <w:div w:id="442501934">
                                                      <w:marLeft w:val="0"/>
                                                      <w:marRight w:val="0"/>
                                                      <w:marTop w:val="0"/>
                                                      <w:marBottom w:val="0"/>
                                                      <w:divBdr>
                                                        <w:top w:val="none" w:sz="0" w:space="0" w:color="auto"/>
                                                        <w:left w:val="none" w:sz="0" w:space="0" w:color="auto"/>
                                                        <w:bottom w:val="none" w:sz="0" w:space="0" w:color="auto"/>
                                                        <w:right w:val="none" w:sz="0" w:space="0" w:color="auto"/>
                                                      </w:divBdr>
                                                      <w:divsChild>
                                                        <w:div w:id="1145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940593">
      <w:bodyDiv w:val="1"/>
      <w:marLeft w:val="0"/>
      <w:marRight w:val="0"/>
      <w:marTop w:val="0"/>
      <w:marBottom w:val="0"/>
      <w:divBdr>
        <w:top w:val="none" w:sz="0" w:space="0" w:color="auto"/>
        <w:left w:val="none" w:sz="0" w:space="0" w:color="auto"/>
        <w:bottom w:val="none" w:sz="0" w:space="0" w:color="auto"/>
        <w:right w:val="none" w:sz="0" w:space="0" w:color="auto"/>
      </w:divBdr>
    </w:div>
    <w:div w:id="363671966">
      <w:bodyDiv w:val="1"/>
      <w:marLeft w:val="0"/>
      <w:marRight w:val="0"/>
      <w:marTop w:val="0"/>
      <w:marBottom w:val="0"/>
      <w:divBdr>
        <w:top w:val="none" w:sz="0" w:space="0" w:color="auto"/>
        <w:left w:val="none" w:sz="0" w:space="0" w:color="auto"/>
        <w:bottom w:val="none" w:sz="0" w:space="0" w:color="auto"/>
        <w:right w:val="none" w:sz="0" w:space="0" w:color="auto"/>
      </w:divBdr>
    </w:div>
    <w:div w:id="485633945">
      <w:bodyDiv w:val="1"/>
      <w:marLeft w:val="0"/>
      <w:marRight w:val="0"/>
      <w:marTop w:val="0"/>
      <w:marBottom w:val="0"/>
      <w:divBdr>
        <w:top w:val="none" w:sz="0" w:space="0" w:color="auto"/>
        <w:left w:val="none" w:sz="0" w:space="0" w:color="auto"/>
        <w:bottom w:val="none" w:sz="0" w:space="0" w:color="auto"/>
        <w:right w:val="none" w:sz="0" w:space="0" w:color="auto"/>
      </w:divBdr>
    </w:div>
    <w:div w:id="636423096">
      <w:bodyDiv w:val="1"/>
      <w:marLeft w:val="0"/>
      <w:marRight w:val="0"/>
      <w:marTop w:val="0"/>
      <w:marBottom w:val="0"/>
      <w:divBdr>
        <w:top w:val="none" w:sz="0" w:space="0" w:color="auto"/>
        <w:left w:val="none" w:sz="0" w:space="0" w:color="auto"/>
        <w:bottom w:val="none" w:sz="0" w:space="0" w:color="auto"/>
        <w:right w:val="none" w:sz="0" w:space="0" w:color="auto"/>
      </w:divBdr>
    </w:div>
    <w:div w:id="670530338">
      <w:bodyDiv w:val="1"/>
      <w:marLeft w:val="0"/>
      <w:marRight w:val="0"/>
      <w:marTop w:val="0"/>
      <w:marBottom w:val="0"/>
      <w:divBdr>
        <w:top w:val="none" w:sz="0" w:space="0" w:color="auto"/>
        <w:left w:val="none" w:sz="0" w:space="0" w:color="auto"/>
        <w:bottom w:val="none" w:sz="0" w:space="0" w:color="auto"/>
        <w:right w:val="none" w:sz="0" w:space="0" w:color="auto"/>
      </w:divBdr>
    </w:div>
    <w:div w:id="803549261">
      <w:bodyDiv w:val="1"/>
      <w:marLeft w:val="0"/>
      <w:marRight w:val="0"/>
      <w:marTop w:val="0"/>
      <w:marBottom w:val="0"/>
      <w:divBdr>
        <w:top w:val="none" w:sz="0" w:space="0" w:color="auto"/>
        <w:left w:val="none" w:sz="0" w:space="0" w:color="auto"/>
        <w:bottom w:val="none" w:sz="0" w:space="0" w:color="auto"/>
        <w:right w:val="none" w:sz="0" w:space="0" w:color="auto"/>
      </w:divBdr>
    </w:div>
    <w:div w:id="1375155614">
      <w:bodyDiv w:val="1"/>
      <w:marLeft w:val="0"/>
      <w:marRight w:val="0"/>
      <w:marTop w:val="0"/>
      <w:marBottom w:val="0"/>
      <w:divBdr>
        <w:top w:val="none" w:sz="0" w:space="0" w:color="auto"/>
        <w:left w:val="none" w:sz="0" w:space="0" w:color="auto"/>
        <w:bottom w:val="none" w:sz="0" w:space="0" w:color="auto"/>
        <w:right w:val="none" w:sz="0" w:space="0" w:color="auto"/>
      </w:divBdr>
    </w:div>
    <w:div w:id="1456173696">
      <w:bodyDiv w:val="1"/>
      <w:marLeft w:val="0"/>
      <w:marRight w:val="0"/>
      <w:marTop w:val="0"/>
      <w:marBottom w:val="0"/>
      <w:divBdr>
        <w:top w:val="none" w:sz="0" w:space="0" w:color="auto"/>
        <w:left w:val="none" w:sz="0" w:space="0" w:color="auto"/>
        <w:bottom w:val="none" w:sz="0" w:space="0" w:color="auto"/>
        <w:right w:val="none" w:sz="0" w:space="0" w:color="auto"/>
      </w:divBdr>
    </w:div>
    <w:div w:id="1687560058">
      <w:bodyDiv w:val="1"/>
      <w:marLeft w:val="0"/>
      <w:marRight w:val="0"/>
      <w:marTop w:val="0"/>
      <w:marBottom w:val="0"/>
      <w:divBdr>
        <w:top w:val="none" w:sz="0" w:space="0" w:color="auto"/>
        <w:left w:val="none" w:sz="0" w:space="0" w:color="auto"/>
        <w:bottom w:val="none" w:sz="0" w:space="0" w:color="auto"/>
        <w:right w:val="none" w:sz="0" w:space="0" w:color="auto"/>
      </w:divBdr>
    </w:div>
    <w:div w:id="1689406838">
      <w:bodyDiv w:val="1"/>
      <w:marLeft w:val="0"/>
      <w:marRight w:val="0"/>
      <w:marTop w:val="0"/>
      <w:marBottom w:val="0"/>
      <w:divBdr>
        <w:top w:val="none" w:sz="0" w:space="0" w:color="auto"/>
        <w:left w:val="none" w:sz="0" w:space="0" w:color="auto"/>
        <w:bottom w:val="none" w:sz="0" w:space="0" w:color="auto"/>
        <w:right w:val="none" w:sz="0" w:space="0" w:color="auto"/>
      </w:divBdr>
    </w:div>
    <w:div w:id="2003309318">
      <w:bodyDiv w:val="1"/>
      <w:marLeft w:val="0"/>
      <w:marRight w:val="0"/>
      <w:marTop w:val="0"/>
      <w:marBottom w:val="0"/>
      <w:divBdr>
        <w:top w:val="none" w:sz="0" w:space="0" w:color="auto"/>
        <w:left w:val="none" w:sz="0" w:space="0" w:color="auto"/>
        <w:bottom w:val="none" w:sz="0" w:space="0" w:color="auto"/>
        <w:right w:val="none" w:sz="0" w:space="0" w:color="auto"/>
      </w:divBdr>
    </w:div>
    <w:div w:id="202520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32B84A6872528F41B613D99B516BEDB0" ma:contentTypeVersion="27" ma:contentTypeDescription="ShareHub Document" ma:contentTypeScope="" ma:versionID="662c665b2577a445a26a3c2256b4a001">
  <xsd:schema xmlns:xsd="http://www.w3.org/2001/XMLSchema" xmlns:xs="http://www.w3.org/2001/XMLSchema" xmlns:p="http://schemas.microsoft.com/office/2006/metadata/properties" xmlns:ns1="e5cb917f-4135-4f26-866f-3bac1ed7ab3e" xmlns:ns3="27bba60b-8344-4f77-bb4d-4abea71fd4ad" xmlns:ns4="685f9fda-bd71-4433-b331-92feb9553089" targetNamespace="http://schemas.microsoft.com/office/2006/metadata/properties" ma:root="true" ma:fieldsID="3785b2fe39821356d0a41c4625248f8a" ns1:_="" ns3:_="" ns4:_="">
    <xsd:import namespace="e5cb917f-4135-4f26-866f-3bac1ed7ab3e"/>
    <xsd:import namespace="27bba60b-8344-4f77-bb4d-4abea71fd4ad"/>
    <xsd:import namespace="685f9fda-bd71-4433-b331-92feb9553089"/>
    <xsd:element name="properties">
      <xsd:complexType>
        <xsd:sequence>
          <xsd:element name="documentManagement">
            <xsd:complexType>
              <xsd:all>
                <xsd:element ref="ns1:ShareHubID" minOccurs="0"/>
                <xsd:element ref="ns4:NonRecordJustification" minOccurs="0"/>
                <xsd:element ref="ns1:PMCNotes" minOccurs="0"/>
                <xsd:element ref="ns3:mc5611b894cf49d8aeeb8ebf39dc09bc" minOccurs="0"/>
                <xsd:element ref="ns3:TaxCatchAll" minOccurs="0"/>
                <xsd:element ref="ns3:TaxCatchAllLabel" minOccurs="0"/>
                <xsd:element ref="ns3:jd1c641577414dfdab1686c9d5d0dbd0" minOccurs="0"/>
                <xsd:element ref="ns1:SharedWithUsers" minOccurs="0"/>
                <xsd:element ref="ns1:ffe37d11f77144aa8109b2494d6cf1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b917f-4135-4f26-866f-3bac1ed7ab3e"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fe37d11f77144aa8109b2494d6cf1a5" ma:index="18" nillable="true" ma:taxonomy="true" ma:internalName="ffe37d11f77144aa8109b2494d6cf1a5" ma:taxonomyFieldName="ESearchTags" ma:displayName="Tags" ma:fieldId="{ffe37d11-f771-44aa-8109-b2494d6cf1a5}"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bba60b-8344-4f77-bb4d-4abea71fd4ad" elementFormDefault="qualified">
    <xsd:import namespace="http://schemas.microsoft.com/office/2006/documentManagement/types"/>
    <xsd:import namespace="http://schemas.microsoft.com/office/infopath/2007/PartnerControls"/>
    <xsd:element name="mc5611b894cf49d8aeeb8ebf39dc09bc" ma:index="8" nillable="true" ma:taxonomy="true" ma:internalName="mc5611b894cf49d8aeeb8ebf39dc09bc" ma:taxonomyFieldName="HPRMSecurityLevel" ma:displayName="Security Classification" ma:default="690;#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83722-46d8-42df-b934-158ffd081fe0}" ma:internalName="TaxCatchAll" ma:showField="CatchAllData"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83722-46d8-42df-b934-158ffd081fe0}" ma:internalName="TaxCatchAllLabel" ma:readOnly="true" ma:showField="CatchAllDataLabel"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HubID xmlns="e5cb917f-4135-4f26-866f-3bac1ed7ab3e">PDOC23-29893</ShareHubID>
    <PMCNotes xmlns="e5cb917f-4135-4f26-866f-3bac1ed7ab3e" xsi:nil="true"/>
    <mc5611b894cf49d8aeeb8ebf39dc09bc xmlns="27bba60b-8344-4f77-bb4d-4abea71fd4a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27bba60b-8344-4f77-bb4d-4abea71fd4ad">
      <Terms xmlns="http://schemas.microsoft.com/office/infopath/2007/PartnerControls"/>
    </jd1c641577414dfdab1686c9d5d0dbd0>
    <TaxCatchAll xmlns="27bba60b-8344-4f77-bb4d-4abea71fd4ad">
      <Value>690</Value>
    </TaxCatchAll>
    <NonRecordJustification xmlns="685f9fda-bd71-4433-b331-92feb9553089">None</NonRecordJustification>
    <ffe37d11f77144aa8109b2494d6cf1a5 xmlns="e5cb917f-4135-4f26-866f-3bac1ed7ab3e">
      <Terms xmlns="http://schemas.microsoft.com/office/infopath/2007/PartnerControls"/>
    </ffe37d11f77144aa8109b2494d6cf1a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17BD9-E1A2-4E71-9B71-2BC1A5A75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b917f-4135-4f26-866f-3bac1ed7ab3e"/>
    <ds:schemaRef ds:uri="27bba60b-8344-4f77-bb4d-4abea71fd4a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EFE54-F6BD-456F-A1BA-F964939B63BB}">
  <ds:schemaRefs>
    <ds:schemaRef ds:uri="http://schemas.microsoft.com/sharepoint/v3/contenttype/forms"/>
  </ds:schemaRefs>
</ds:datastoreItem>
</file>

<file path=customXml/itemProps3.xml><?xml version="1.0" encoding="utf-8"?>
<ds:datastoreItem xmlns:ds="http://schemas.openxmlformats.org/officeDocument/2006/customXml" ds:itemID="{C30FB8BA-692B-4C96-B5E0-61F1A498D5A8}">
  <ds:schemaRefs>
    <ds:schemaRef ds:uri="http://schemas.microsoft.com/office/2006/metadata/properties"/>
    <ds:schemaRef ds:uri="http://schemas.microsoft.com/office/infopath/2007/PartnerControls"/>
    <ds:schemaRef ds:uri="e5cb917f-4135-4f26-866f-3bac1ed7ab3e"/>
    <ds:schemaRef ds:uri="27bba60b-8344-4f77-bb4d-4abea71fd4ad"/>
    <ds:schemaRef ds:uri="685f9fda-bd71-4433-b331-92feb9553089"/>
  </ds:schemaRefs>
</ds:datastoreItem>
</file>

<file path=customXml/itemProps4.xml><?xml version="1.0" encoding="utf-8"?>
<ds:datastoreItem xmlns:ds="http://schemas.openxmlformats.org/officeDocument/2006/customXml" ds:itemID="{F5E2B9F4-D5B8-4F30-B74C-DB57E683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Vanessa</dc:creator>
  <cp:keywords/>
  <dc:description/>
  <cp:lastModifiedBy>Legal Services Branch</cp:lastModifiedBy>
  <cp:revision>2</cp:revision>
  <dcterms:created xsi:type="dcterms:W3CDTF">2023-07-10T01:04:00Z</dcterms:created>
  <dcterms:modified xsi:type="dcterms:W3CDTF">2023-07-10T01:04:00Z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0x0101002825A64A6E1845A99A9D8EE8A5686ECB0032B84A6872528F41B613D99B516BEDB0</vt:lpwstr>
  </property>
  <property fmtid="{D5CDD505-2E9C-101B-9397-08002B2CF9AE}" pid="3" name="HPRMSecurityLevel">
    <vt:lpwstr>690;#OFFICIAL|11463c70-78df-4e3b-b0ff-f66cd3cb26ec</vt:lpwstr>
  </property>
  <property fmtid="{D5CDD505-2E9C-101B-9397-08002B2CF9AE}" pid="4" name="ESearchTags">
    <vt:lpwstr/>
  </property>
  <property fmtid="{D5CDD505-2E9C-101B-9397-08002B2CF9AE}" pid="5" name="HPRMSecurityCaveat">
    <vt:lpwstr/>
  </property>
</Properties>
</file>