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C399" w14:textId="77777777" w:rsidR="00C3438F" w:rsidRPr="00601B0E" w:rsidRDefault="00C3438F" w:rsidP="00C3438F">
      <w:pPr>
        <w:jc w:val="center"/>
        <w:rPr>
          <w:b/>
          <w:sz w:val="40"/>
          <w:szCs w:val="40"/>
        </w:rPr>
      </w:pPr>
      <w:bookmarkStart w:id="0" w:name="_GoBack"/>
      <w:bookmarkEnd w:id="0"/>
    </w:p>
    <w:p w14:paraId="07B77A4F" w14:textId="0CD6496C" w:rsidR="00C3438F" w:rsidRPr="005643E4" w:rsidRDefault="00C3438F" w:rsidP="00313F5B">
      <w:pPr>
        <w:jc w:val="center"/>
      </w:pPr>
      <w:r w:rsidRPr="005643E4">
        <w:rPr>
          <w:b/>
          <w:sz w:val="40"/>
          <w:szCs w:val="40"/>
        </w:rPr>
        <w:t xml:space="preserve">Vehicle Standard (Australian Design Rule </w:t>
      </w:r>
      <w:r w:rsidR="00313F5B" w:rsidRPr="005643E4">
        <w:rPr>
          <w:b/>
          <w:sz w:val="40"/>
          <w:szCs w:val="40"/>
        </w:rPr>
        <w:t>108</w:t>
      </w:r>
      <w:r w:rsidRPr="005643E4">
        <w:rPr>
          <w:b/>
          <w:sz w:val="40"/>
          <w:szCs w:val="40"/>
        </w:rPr>
        <w:t xml:space="preserve">/00 – </w:t>
      </w:r>
      <w:r w:rsidR="00F80779" w:rsidRPr="005643E4">
        <w:rPr>
          <w:b/>
          <w:sz w:val="40"/>
          <w:szCs w:val="40"/>
        </w:rPr>
        <w:t>Reversing Technologies</w:t>
      </w:r>
      <w:r w:rsidRPr="005643E4">
        <w:rPr>
          <w:b/>
          <w:sz w:val="40"/>
          <w:szCs w:val="40"/>
        </w:rPr>
        <w:t>) 202</w:t>
      </w:r>
      <w:r w:rsidR="00625A4C" w:rsidRPr="005643E4">
        <w:rPr>
          <w:b/>
          <w:sz w:val="40"/>
          <w:szCs w:val="40"/>
        </w:rPr>
        <w:t>3</w:t>
      </w:r>
    </w:p>
    <w:p w14:paraId="24DBE53F" w14:textId="77777777" w:rsidR="00C3438F" w:rsidRPr="005643E4" w:rsidRDefault="00C3438F" w:rsidP="00C3438F"/>
    <w:p w14:paraId="22F657E0" w14:textId="77777777" w:rsidR="00C3438F" w:rsidRPr="005643E4" w:rsidRDefault="00C3438F" w:rsidP="00C3438F"/>
    <w:p w14:paraId="5F95EE1F" w14:textId="77777777" w:rsidR="00C3438F" w:rsidRPr="005643E4" w:rsidRDefault="00C3438F" w:rsidP="00C3438F"/>
    <w:p w14:paraId="15DD173C" w14:textId="77777777" w:rsidR="0060744E" w:rsidRPr="005643E4" w:rsidRDefault="0060744E" w:rsidP="00C3438F"/>
    <w:p w14:paraId="5DD10D3F" w14:textId="77777777" w:rsidR="0060744E" w:rsidRPr="005643E4" w:rsidRDefault="0060744E" w:rsidP="00C3438F"/>
    <w:p w14:paraId="37F6096C" w14:textId="77777777" w:rsidR="00C3438F" w:rsidRPr="005643E4" w:rsidRDefault="00C3438F" w:rsidP="00C3438F">
      <w:pPr>
        <w:jc w:val="center"/>
      </w:pPr>
      <w:r w:rsidRPr="005643E4">
        <w:t xml:space="preserve">Made under section 12 of the </w:t>
      </w:r>
      <w:r w:rsidRPr="005643E4">
        <w:rPr>
          <w:i/>
        </w:rPr>
        <w:t>Road Vehicle Standards Act 2018</w:t>
      </w:r>
    </w:p>
    <w:p w14:paraId="74D43E69" w14:textId="77777777" w:rsidR="00C3438F" w:rsidRPr="005643E4" w:rsidRDefault="00C3438F" w:rsidP="00C3438F"/>
    <w:p w14:paraId="0D6B3B9B" w14:textId="77777777" w:rsidR="00C3438F" w:rsidRPr="005643E4" w:rsidRDefault="00C3438F" w:rsidP="00C3438F"/>
    <w:p w14:paraId="65DA6DB7" w14:textId="77777777" w:rsidR="00C3438F" w:rsidRPr="005643E4" w:rsidRDefault="00C3438F" w:rsidP="00C3438F"/>
    <w:p w14:paraId="07AFFF78" w14:textId="77777777" w:rsidR="00C3438F" w:rsidRPr="005643E4" w:rsidRDefault="00C3438F" w:rsidP="00C3438F"/>
    <w:p w14:paraId="05E846FC" w14:textId="77777777" w:rsidR="00C3438F" w:rsidRPr="005643E4" w:rsidRDefault="00C3438F" w:rsidP="00C3438F"/>
    <w:p w14:paraId="3AF7E15A" w14:textId="77777777" w:rsidR="00C3438F" w:rsidRPr="005643E4" w:rsidRDefault="00C3438F" w:rsidP="00C3438F">
      <w:pPr>
        <w:jc w:val="center"/>
        <w:rPr>
          <w:b/>
          <w:bCs/>
          <w:sz w:val="40"/>
        </w:rPr>
      </w:pPr>
      <w:r w:rsidRPr="005643E4">
        <w:rPr>
          <w:b/>
          <w:bCs/>
          <w:sz w:val="40"/>
        </w:rPr>
        <w:t>Explanatory Statement</w:t>
      </w:r>
    </w:p>
    <w:p w14:paraId="528D0F30" w14:textId="77777777" w:rsidR="00C3438F" w:rsidRPr="005643E4" w:rsidRDefault="00C3438F" w:rsidP="00C3438F"/>
    <w:p w14:paraId="088C87F2" w14:textId="77777777" w:rsidR="00C3438F" w:rsidRPr="005643E4" w:rsidRDefault="00C3438F" w:rsidP="00C3438F"/>
    <w:p w14:paraId="12480AC9" w14:textId="77777777" w:rsidR="00C3438F" w:rsidRPr="005643E4" w:rsidRDefault="00C3438F" w:rsidP="00C3438F"/>
    <w:p w14:paraId="70D27983" w14:textId="77777777" w:rsidR="00C3438F" w:rsidRPr="005643E4" w:rsidRDefault="00C3438F" w:rsidP="00C3438F"/>
    <w:p w14:paraId="558C9525" w14:textId="77777777" w:rsidR="00C3438F" w:rsidRPr="005643E4" w:rsidRDefault="00C3438F" w:rsidP="00C3438F"/>
    <w:p w14:paraId="0D427E57" w14:textId="77777777" w:rsidR="00C3438F" w:rsidRPr="005643E4" w:rsidRDefault="00C3438F" w:rsidP="00C3438F">
      <w:pPr>
        <w:jc w:val="center"/>
      </w:pPr>
      <w:r w:rsidRPr="005643E4">
        <w:t xml:space="preserve">Approved by the Hon </w:t>
      </w:r>
      <w:r w:rsidR="00FC292F" w:rsidRPr="005643E4">
        <w:t>Carol Brown MP,</w:t>
      </w:r>
      <w:r w:rsidRPr="005643E4">
        <w:t xml:space="preserve"> </w:t>
      </w:r>
      <w:r w:rsidR="00FC292F" w:rsidRPr="005643E4">
        <w:t>Assistant Minister for Infrastructure and Transport</w:t>
      </w:r>
    </w:p>
    <w:p w14:paraId="4AF59789" w14:textId="77777777" w:rsidR="00C3438F" w:rsidRPr="005643E4" w:rsidRDefault="00C3438F" w:rsidP="00C3438F"/>
    <w:p w14:paraId="4AC34AFF" w14:textId="77777777" w:rsidR="00C3438F" w:rsidRPr="005643E4" w:rsidRDefault="00C3438F" w:rsidP="00C3438F"/>
    <w:p w14:paraId="4120E583" w14:textId="77777777" w:rsidR="00C3438F" w:rsidRPr="005643E4" w:rsidRDefault="00C3438F" w:rsidP="00C3438F"/>
    <w:p w14:paraId="2611BA5E" w14:textId="77777777" w:rsidR="00C3438F" w:rsidRPr="005643E4" w:rsidRDefault="00C3438F" w:rsidP="00C3438F"/>
    <w:p w14:paraId="11277195" w14:textId="77777777" w:rsidR="00C3438F" w:rsidRPr="005643E4" w:rsidRDefault="00C3438F" w:rsidP="00C3438F"/>
    <w:p w14:paraId="313D14E8" w14:textId="10FD8C11" w:rsidR="00C3438F" w:rsidRPr="005643E4" w:rsidRDefault="001F14B3" w:rsidP="00C3438F">
      <w:pPr>
        <w:jc w:val="center"/>
        <w:rPr>
          <w:b/>
          <w:bCs/>
          <w:sz w:val="40"/>
        </w:rPr>
      </w:pPr>
      <w:r w:rsidRPr="005643E4">
        <w:rPr>
          <w:b/>
          <w:bCs/>
          <w:sz w:val="40"/>
        </w:rPr>
        <w:t>Ju</w:t>
      </w:r>
      <w:r w:rsidR="00B67D11">
        <w:rPr>
          <w:b/>
          <w:bCs/>
          <w:sz w:val="40"/>
        </w:rPr>
        <w:t>ne</w:t>
      </w:r>
      <w:r w:rsidR="00431D20" w:rsidRPr="005643E4">
        <w:rPr>
          <w:b/>
          <w:bCs/>
          <w:sz w:val="40"/>
        </w:rPr>
        <w:t xml:space="preserve"> </w:t>
      </w:r>
      <w:r w:rsidR="00C3438F" w:rsidRPr="005643E4">
        <w:rPr>
          <w:b/>
          <w:bCs/>
          <w:sz w:val="40"/>
        </w:rPr>
        <w:t>202</w:t>
      </w:r>
      <w:r w:rsidR="00EE64C2" w:rsidRPr="005643E4">
        <w:rPr>
          <w:b/>
          <w:bCs/>
          <w:sz w:val="40"/>
        </w:rPr>
        <w:t>3</w:t>
      </w:r>
    </w:p>
    <w:p w14:paraId="0F57CF77" w14:textId="77777777" w:rsidR="00C3438F" w:rsidRPr="005643E4" w:rsidRDefault="00C3438F" w:rsidP="00C3438F"/>
    <w:p w14:paraId="36BED123" w14:textId="77777777" w:rsidR="00C3438F" w:rsidRPr="005643E4" w:rsidRDefault="00C3438F" w:rsidP="00C3438F"/>
    <w:p w14:paraId="5169FB70" w14:textId="77777777" w:rsidR="00C3438F" w:rsidRPr="005643E4" w:rsidRDefault="00C3438F" w:rsidP="00C3438F">
      <w:pPr>
        <w:pStyle w:val="ContentsHeading"/>
        <w:sectPr w:rsidR="00C3438F" w:rsidRPr="005643E4" w:rsidSect="00674C6F">
          <w:headerReference w:type="default" r:id="rId8"/>
          <w:pgSz w:w="11906" w:h="16838" w:code="9"/>
          <w:pgMar w:top="1440" w:right="1474" w:bottom="1440" w:left="1474" w:header="709" w:footer="709" w:gutter="0"/>
          <w:pgNumType w:start="1"/>
          <w:cols w:space="708"/>
          <w:titlePg/>
          <w:docGrid w:linePitch="360"/>
        </w:sectPr>
      </w:pPr>
    </w:p>
    <w:p w14:paraId="69DFDBB7" w14:textId="77777777" w:rsidR="00C3438F" w:rsidRPr="005643E4" w:rsidRDefault="00C3438F" w:rsidP="00C3438F">
      <w:pPr>
        <w:pStyle w:val="ContentsHeading"/>
      </w:pPr>
    </w:p>
    <w:p w14:paraId="4BFCE820" w14:textId="77777777" w:rsidR="00C3438F" w:rsidRPr="005643E4" w:rsidRDefault="00C3438F" w:rsidP="00C3438F">
      <w:pPr>
        <w:pStyle w:val="ContentsHeading"/>
      </w:pPr>
      <w:r w:rsidRPr="005643E4">
        <w:t>CONTENTS</w:t>
      </w:r>
    </w:p>
    <w:p w14:paraId="4061FC00" w14:textId="77777777" w:rsidR="00C3438F" w:rsidRPr="005643E4" w:rsidRDefault="00C3438F" w:rsidP="00C3438F">
      <w:pPr>
        <w:pStyle w:val="ContentsHeading"/>
      </w:pPr>
    </w:p>
    <w:p w14:paraId="0A0D66D1" w14:textId="77777777" w:rsidR="00C3438F" w:rsidRPr="005643E4" w:rsidRDefault="00C3438F" w:rsidP="00C3438F">
      <w:pPr>
        <w:pStyle w:val="TOC1"/>
        <w:rPr>
          <w:noProof/>
        </w:rPr>
      </w:pPr>
      <w:r w:rsidRPr="005643E4">
        <w:rPr>
          <w:noProof/>
        </w:rPr>
        <w:t>1.</w:t>
      </w:r>
      <w:r w:rsidRPr="005643E4">
        <w:rPr>
          <w:noProof/>
        </w:rPr>
        <w:tab/>
        <w:t>LEGISLATIVE AUTHORITY</w:t>
      </w:r>
      <w:r w:rsidRPr="005643E4">
        <w:rPr>
          <w:noProof/>
        </w:rPr>
        <w:tab/>
        <w:t>3</w:t>
      </w:r>
    </w:p>
    <w:p w14:paraId="3F2E1919" w14:textId="77777777" w:rsidR="00F73DC1" w:rsidRPr="005643E4" w:rsidRDefault="00F73DC1" w:rsidP="00F73DC1">
      <w:pPr>
        <w:pStyle w:val="TOC2"/>
        <w:rPr>
          <w:noProof/>
        </w:rPr>
      </w:pPr>
      <w:r w:rsidRPr="005643E4">
        <w:rPr>
          <w:noProof/>
        </w:rPr>
        <w:t>1.1.</w:t>
      </w:r>
      <w:r w:rsidRPr="005643E4">
        <w:rPr>
          <w:noProof/>
        </w:rPr>
        <w:tab/>
        <w:t>National Road Vehicle Standards</w:t>
      </w:r>
      <w:r w:rsidRPr="005643E4">
        <w:rPr>
          <w:noProof/>
        </w:rPr>
        <w:tab/>
        <w:t>3</w:t>
      </w:r>
    </w:p>
    <w:p w14:paraId="66859E42" w14:textId="77777777" w:rsidR="00F73DC1" w:rsidRPr="005643E4" w:rsidRDefault="00F73DC1" w:rsidP="00F73DC1">
      <w:pPr>
        <w:pStyle w:val="TOC2"/>
        <w:rPr>
          <w:noProof/>
        </w:rPr>
      </w:pPr>
      <w:r w:rsidRPr="005643E4">
        <w:rPr>
          <w:noProof/>
        </w:rPr>
        <w:t>1.2.</w:t>
      </w:r>
      <w:r w:rsidRPr="005643E4">
        <w:rPr>
          <w:noProof/>
        </w:rPr>
        <w:tab/>
      </w:r>
      <w:r w:rsidR="004D57F3" w:rsidRPr="005643E4">
        <w:rPr>
          <w:noProof/>
        </w:rPr>
        <w:t>Exemption from Sunsetting</w:t>
      </w:r>
      <w:r w:rsidRPr="005643E4">
        <w:rPr>
          <w:noProof/>
        </w:rPr>
        <w:tab/>
        <w:t>3</w:t>
      </w:r>
    </w:p>
    <w:p w14:paraId="2F154370" w14:textId="77777777" w:rsidR="00C3438F" w:rsidRPr="005643E4" w:rsidRDefault="00C3438F" w:rsidP="00C3438F">
      <w:pPr>
        <w:pStyle w:val="TOC1"/>
        <w:rPr>
          <w:noProof/>
        </w:rPr>
      </w:pPr>
      <w:r w:rsidRPr="005643E4">
        <w:rPr>
          <w:noProof/>
        </w:rPr>
        <w:t>2.</w:t>
      </w:r>
      <w:r w:rsidRPr="005643E4">
        <w:rPr>
          <w:noProof/>
        </w:rPr>
        <w:tab/>
        <w:t>PURPOSE AND OPERATION</w:t>
      </w:r>
      <w:r w:rsidRPr="005643E4">
        <w:rPr>
          <w:noProof/>
        </w:rPr>
        <w:tab/>
      </w:r>
      <w:r w:rsidR="00EB59A6" w:rsidRPr="005643E4">
        <w:rPr>
          <w:noProof/>
        </w:rPr>
        <w:t>4</w:t>
      </w:r>
    </w:p>
    <w:p w14:paraId="5DC8E405" w14:textId="77777777" w:rsidR="00C3438F" w:rsidRPr="005643E4" w:rsidRDefault="00C3438F" w:rsidP="00C3438F">
      <w:pPr>
        <w:pStyle w:val="TOC2"/>
        <w:rPr>
          <w:noProof/>
        </w:rPr>
      </w:pPr>
      <w:r w:rsidRPr="005643E4">
        <w:rPr>
          <w:noProof/>
        </w:rPr>
        <w:t>2.1.</w:t>
      </w:r>
      <w:r w:rsidRPr="005643E4">
        <w:rPr>
          <w:noProof/>
        </w:rPr>
        <w:tab/>
        <w:t xml:space="preserve">Overview of the </w:t>
      </w:r>
      <w:r w:rsidR="00EB59A6" w:rsidRPr="005643E4">
        <w:rPr>
          <w:noProof/>
        </w:rPr>
        <w:t>Regulatory Framework</w:t>
      </w:r>
      <w:r w:rsidRPr="005643E4">
        <w:rPr>
          <w:noProof/>
        </w:rPr>
        <w:tab/>
      </w:r>
      <w:r w:rsidR="00EB59A6" w:rsidRPr="005643E4">
        <w:rPr>
          <w:noProof/>
        </w:rPr>
        <w:t>4</w:t>
      </w:r>
    </w:p>
    <w:p w14:paraId="7EE086D4" w14:textId="77777777" w:rsidR="00EB59A6" w:rsidRPr="005643E4" w:rsidRDefault="00EB59A6" w:rsidP="00EB59A6">
      <w:pPr>
        <w:pStyle w:val="TOC2"/>
        <w:rPr>
          <w:noProof/>
        </w:rPr>
      </w:pPr>
      <w:r w:rsidRPr="005643E4">
        <w:rPr>
          <w:noProof/>
        </w:rPr>
        <w:t>2.2.</w:t>
      </w:r>
      <w:r w:rsidRPr="005643E4">
        <w:rPr>
          <w:noProof/>
        </w:rPr>
        <w:tab/>
        <w:t>Overview of the ADR</w:t>
      </w:r>
      <w:r w:rsidRPr="005643E4">
        <w:rPr>
          <w:noProof/>
        </w:rPr>
        <w:tab/>
        <w:t>5</w:t>
      </w:r>
    </w:p>
    <w:p w14:paraId="06A16C41" w14:textId="77777777" w:rsidR="005C03A8" w:rsidRPr="005643E4" w:rsidRDefault="005C03A8" w:rsidP="005C03A8">
      <w:pPr>
        <w:pStyle w:val="TOC2"/>
        <w:rPr>
          <w:noProof/>
        </w:rPr>
      </w:pPr>
      <w:r w:rsidRPr="005643E4">
        <w:rPr>
          <w:noProof/>
        </w:rPr>
        <w:t>2.3.</w:t>
      </w:r>
      <w:r w:rsidRPr="005643E4">
        <w:rPr>
          <w:noProof/>
        </w:rPr>
        <w:tab/>
        <w:t>Effect of the ADR</w:t>
      </w:r>
      <w:r w:rsidRPr="005643E4">
        <w:rPr>
          <w:noProof/>
        </w:rPr>
        <w:tab/>
        <w:t>5</w:t>
      </w:r>
    </w:p>
    <w:p w14:paraId="79C2A931" w14:textId="77777777" w:rsidR="00DC159E" w:rsidRPr="005643E4" w:rsidRDefault="00C3438F" w:rsidP="00DC159E">
      <w:pPr>
        <w:pStyle w:val="TOC2"/>
        <w:rPr>
          <w:noProof/>
        </w:rPr>
      </w:pPr>
      <w:r w:rsidRPr="005643E4">
        <w:rPr>
          <w:noProof/>
        </w:rPr>
        <w:t>2</w:t>
      </w:r>
      <w:r w:rsidR="00EB59A6" w:rsidRPr="005643E4">
        <w:rPr>
          <w:noProof/>
        </w:rPr>
        <w:t>.</w:t>
      </w:r>
      <w:r w:rsidR="005C03A8" w:rsidRPr="005643E4">
        <w:rPr>
          <w:noProof/>
        </w:rPr>
        <w:t>4</w:t>
      </w:r>
      <w:r w:rsidRPr="005643E4">
        <w:rPr>
          <w:noProof/>
        </w:rPr>
        <w:t>.</w:t>
      </w:r>
      <w:r w:rsidRPr="005643E4">
        <w:rPr>
          <w:noProof/>
        </w:rPr>
        <w:tab/>
      </w:r>
      <w:r w:rsidR="00F73DC1" w:rsidRPr="005643E4">
        <w:rPr>
          <w:noProof/>
        </w:rPr>
        <w:t>Reversing Technologies</w:t>
      </w:r>
      <w:r w:rsidRPr="005643E4">
        <w:rPr>
          <w:noProof/>
        </w:rPr>
        <w:tab/>
      </w:r>
      <w:r w:rsidR="00431D20" w:rsidRPr="005643E4">
        <w:rPr>
          <w:noProof/>
        </w:rPr>
        <w:t>5</w:t>
      </w:r>
    </w:p>
    <w:p w14:paraId="3BE1A3C1" w14:textId="77777777" w:rsidR="00795781" w:rsidRPr="005643E4" w:rsidRDefault="00EB59A6" w:rsidP="00795781">
      <w:pPr>
        <w:pStyle w:val="TOC2"/>
        <w:rPr>
          <w:noProof/>
        </w:rPr>
      </w:pPr>
      <w:r w:rsidRPr="005643E4">
        <w:rPr>
          <w:noProof/>
        </w:rPr>
        <w:t>2.</w:t>
      </w:r>
      <w:r w:rsidR="005C03A8" w:rsidRPr="005643E4">
        <w:rPr>
          <w:noProof/>
        </w:rPr>
        <w:t>5</w:t>
      </w:r>
      <w:r w:rsidR="00795781" w:rsidRPr="005643E4">
        <w:rPr>
          <w:noProof/>
        </w:rPr>
        <w:t>.</w:t>
      </w:r>
      <w:r w:rsidR="00795781" w:rsidRPr="005643E4">
        <w:rPr>
          <w:noProof/>
        </w:rPr>
        <w:tab/>
        <w:t>Performance Requirements</w:t>
      </w:r>
      <w:r w:rsidR="00795781" w:rsidRPr="005643E4">
        <w:rPr>
          <w:noProof/>
        </w:rPr>
        <w:tab/>
      </w:r>
      <w:r w:rsidRPr="005643E4">
        <w:rPr>
          <w:noProof/>
        </w:rPr>
        <w:t>6</w:t>
      </w:r>
    </w:p>
    <w:p w14:paraId="5A53ECC4" w14:textId="77777777" w:rsidR="00F73DC1" w:rsidRPr="005643E4" w:rsidRDefault="00DE4104" w:rsidP="00F73DC1">
      <w:pPr>
        <w:pStyle w:val="TOC2"/>
        <w:rPr>
          <w:noProof/>
        </w:rPr>
      </w:pPr>
      <w:r w:rsidRPr="005643E4">
        <w:rPr>
          <w:noProof/>
        </w:rPr>
        <w:t>2</w:t>
      </w:r>
      <w:r w:rsidR="00EB59A6" w:rsidRPr="005643E4">
        <w:rPr>
          <w:noProof/>
        </w:rPr>
        <w:t>.</w:t>
      </w:r>
      <w:r w:rsidR="005C03A8" w:rsidRPr="005643E4">
        <w:rPr>
          <w:noProof/>
        </w:rPr>
        <w:t>6</w:t>
      </w:r>
      <w:r w:rsidR="00F73DC1" w:rsidRPr="005643E4">
        <w:rPr>
          <w:noProof/>
        </w:rPr>
        <w:t>.</w:t>
      </w:r>
      <w:r w:rsidR="00F73DC1" w:rsidRPr="005643E4">
        <w:rPr>
          <w:noProof/>
        </w:rPr>
        <w:tab/>
        <w:t>Exemptions and Alternative Procedures</w:t>
      </w:r>
      <w:r w:rsidR="00F73DC1" w:rsidRPr="005643E4">
        <w:rPr>
          <w:noProof/>
        </w:rPr>
        <w:tab/>
      </w:r>
      <w:r w:rsidR="00EB59A6" w:rsidRPr="005643E4">
        <w:rPr>
          <w:noProof/>
        </w:rPr>
        <w:t>8</w:t>
      </w:r>
    </w:p>
    <w:p w14:paraId="60AF0A3F" w14:textId="77777777" w:rsidR="00F73DC1" w:rsidRPr="005643E4" w:rsidRDefault="00EB59A6" w:rsidP="00F73DC1">
      <w:pPr>
        <w:pStyle w:val="TOC2"/>
        <w:rPr>
          <w:noProof/>
        </w:rPr>
      </w:pPr>
      <w:r w:rsidRPr="005643E4">
        <w:rPr>
          <w:noProof/>
        </w:rPr>
        <w:t>2.</w:t>
      </w:r>
      <w:r w:rsidR="005C03A8" w:rsidRPr="005643E4">
        <w:rPr>
          <w:noProof/>
        </w:rPr>
        <w:t>7</w:t>
      </w:r>
      <w:r w:rsidR="00F73DC1" w:rsidRPr="005643E4">
        <w:rPr>
          <w:noProof/>
        </w:rPr>
        <w:t>.</w:t>
      </w:r>
      <w:r w:rsidR="00F73DC1" w:rsidRPr="005643E4">
        <w:rPr>
          <w:noProof/>
        </w:rPr>
        <w:tab/>
        <w:t>Alternative Standards</w:t>
      </w:r>
      <w:r w:rsidR="00F73DC1" w:rsidRPr="005643E4">
        <w:rPr>
          <w:noProof/>
        </w:rPr>
        <w:tab/>
      </w:r>
      <w:r w:rsidR="00431D20" w:rsidRPr="005643E4">
        <w:rPr>
          <w:noProof/>
        </w:rPr>
        <w:t>9</w:t>
      </w:r>
    </w:p>
    <w:p w14:paraId="3628F412" w14:textId="79B90B93" w:rsidR="00C3438F" w:rsidRPr="005643E4" w:rsidRDefault="00C3438F" w:rsidP="00C3438F">
      <w:pPr>
        <w:pStyle w:val="TOC1"/>
        <w:rPr>
          <w:noProof/>
        </w:rPr>
      </w:pPr>
      <w:r w:rsidRPr="005643E4">
        <w:rPr>
          <w:noProof/>
        </w:rPr>
        <w:t>3.</w:t>
      </w:r>
      <w:r w:rsidRPr="005643E4">
        <w:rPr>
          <w:noProof/>
        </w:rPr>
        <w:tab/>
        <w:t>MATTERS INCORPORATED BY REFERENCE</w:t>
      </w:r>
      <w:r w:rsidRPr="005643E4">
        <w:rPr>
          <w:noProof/>
        </w:rPr>
        <w:tab/>
      </w:r>
      <w:r w:rsidR="00B52163">
        <w:rPr>
          <w:noProof/>
        </w:rPr>
        <w:t>9</w:t>
      </w:r>
    </w:p>
    <w:p w14:paraId="5C282091" w14:textId="0C3F51DB" w:rsidR="00C3438F" w:rsidRPr="005643E4" w:rsidRDefault="00C3438F" w:rsidP="00C3438F">
      <w:pPr>
        <w:pStyle w:val="TOC2"/>
        <w:rPr>
          <w:noProof/>
        </w:rPr>
      </w:pPr>
      <w:r w:rsidRPr="005643E4">
        <w:rPr>
          <w:noProof/>
        </w:rPr>
        <w:t>3.1.</w:t>
      </w:r>
      <w:r w:rsidRPr="005643E4">
        <w:rPr>
          <w:noProof/>
        </w:rPr>
        <w:tab/>
        <w:t>Legislative Instruments</w:t>
      </w:r>
      <w:r w:rsidRPr="005643E4">
        <w:rPr>
          <w:noProof/>
        </w:rPr>
        <w:tab/>
      </w:r>
      <w:r w:rsidR="00B52163">
        <w:rPr>
          <w:noProof/>
        </w:rPr>
        <w:t>9</w:t>
      </w:r>
    </w:p>
    <w:p w14:paraId="0A764634" w14:textId="77777777" w:rsidR="00075A74" w:rsidRPr="005643E4" w:rsidRDefault="00075A74" w:rsidP="00075A74">
      <w:pPr>
        <w:pStyle w:val="TOC2"/>
        <w:rPr>
          <w:noProof/>
        </w:rPr>
      </w:pPr>
      <w:r w:rsidRPr="005643E4">
        <w:rPr>
          <w:noProof/>
        </w:rPr>
        <w:t>3.2.</w:t>
      </w:r>
      <w:r w:rsidRPr="005643E4">
        <w:rPr>
          <w:noProof/>
        </w:rPr>
        <w:tab/>
        <w:t>Other Documents</w:t>
      </w:r>
      <w:r w:rsidRPr="005643E4">
        <w:rPr>
          <w:noProof/>
        </w:rPr>
        <w:tab/>
      </w:r>
      <w:r w:rsidR="00597462" w:rsidRPr="005643E4">
        <w:rPr>
          <w:noProof/>
        </w:rPr>
        <w:t>10</w:t>
      </w:r>
    </w:p>
    <w:p w14:paraId="766FDF1A" w14:textId="077A3937" w:rsidR="00C3438F" w:rsidRPr="005643E4" w:rsidRDefault="00C3438F" w:rsidP="00C3438F">
      <w:pPr>
        <w:pStyle w:val="TOC1"/>
        <w:rPr>
          <w:noProof/>
        </w:rPr>
      </w:pPr>
      <w:r w:rsidRPr="005643E4">
        <w:rPr>
          <w:noProof/>
        </w:rPr>
        <w:t>4.</w:t>
      </w:r>
      <w:r w:rsidRPr="005643E4">
        <w:rPr>
          <w:noProof/>
        </w:rPr>
        <w:tab/>
        <w:t>CONSULTATION</w:t>
      </w:r>
      <w:r w:rsidRPr="005643E4">
        <w:rPr>
          <w:noProof/>
        </w:rPr>
        <w:tab/>
      </w:r>
      <w:r w:rsidR="00431D20" w:rsidRPr="005643E4">
        <w:rPr>
          <w:noProof/>
        </w:rPr>
        <w:t>1</w:t>
      </w:r>
      <w:r w:rsidR="00B52163">
        <w:rPr>
          <w:noProof/>
        </w:rPr>
        <w:t>1</w:t>
      </w:r>
    </w:p>
    <w:p w14:paraId="3CCEDAB6" w14:textId="7AC4C796" w:rsidR="00C3438F" w:rsidRPr="005643E4" w:rsidRDefault="00C3438F" w:rsidP="00C3438F">
      <w:pPr>
        <w:pStyle w:val="TOC2"/>
        <w:rPr>
          <w:noProof/>
        </w:rPr>
      </w:pPr>
      <w:r w:rsidRPr="005643E4">
        <w:rPr>
          <w:noProof/>
        </w:rPr>
        <w:t>4.1.</w:t>
      </w:r>
      <w:r w:rsidRPr="005643E4">
        <w:rPr>
          <w:noProof/>
        </w:rPr>
        <w:tab/>
        <w:t>General Consultation Arrangements</w:t>
      </w:r>
      <w:r w:rsidRPr="005643E4">
        <w:rPr>
          <w:noProof/>
        </w:rPr>
        <w:tab/>
      </w:r>
      <w:r w:rsidR="00431D20" w:rsidRPr="005643E4">
        <w:rPr>
          <w:noProof/>
        </w:rPr>
        <w:t>1</w:t>
      </w:r>
      <w:r w:rsidR="00B52163">
        <w:rPr>
          <w:noProof/>
        </w:rPr>
        <w:t>1</w:t>
      </w:r>
    </w:p>
    <w:p w14:paraId="66A9521B" w14:textId="77777777" w:rsidR="00075A74" w:rsidRPr="005643E4" w:rsidRDefault="00574B18" w:rsidP="00075A74">
      <w:pPr>
        <w:pStyle w:val="TOC2"/>
        <w:rPr>
          <w:noProof/>
        </w:rPr>
      </w:pPr>
      <w:r w:rsidRPr="005643E4">
        <w:rPr>
          <w:noProof/>
        </w:rPr>
        <w:t>4.2</w:t>
      </w:r>
      <w:r w:rsidR="00075A74" w:rsidRPr="005643E4">
        <w:rPr>
          <w:noProof/>
        </w:rPr>
        <w:t>.</w:t>
      </w:r>
      <w:r w:rsidR="00075A74" w:rsidRPr="005643E4">
        <w:rPr>
          <w:noProof/>
        </w:rPr>
        <w:tab/>
        <w:t>Spec</w:t>
      </w:r>
      <w:r w:rsidRPr="005643E4">
        <w:rPr>
          <w:noProof/>
        </w:rPr>
        <w:t>ific Consultation Arrangements</w:t>
      </w:r>
      <w:r w:rsidRPr="005643E4">
        <w:rPr>
          <w:noProof/>
        </w:rPr>
        <w:tab/>
      </w:r>
      <w:r w:rsidR="00431D20" w:rsidRPr="005643E4">
        <w:rPr>
          <w:noProof/>
        </w:rPr>
        <w:t>1</w:t>
      </w:r>
      <w:r w:rsidR="005A4074" w:rsidRPr="005643E4">
        <w:rPr>
          <w:noProof/>
        </w:rPr>
        <w:t>2</w:t>
      </w:r>
    </w:p>
    <w:p w14:paraId="08BFB56C" w14:textId="5D0E2C61" w:rsidR="00C3438F" w:rsidRPr="005643E4" w:rsidRDefault="00953374" w:rsidP="00C3438F">
      <w:pPr>
        <w:pStyle w:val="TOC1"/>
        <w:rPr>
          <w:noProof/>
        </w:rPr>
      </w:pPr>
      <w:r w:rsidRPr="005643E4">
        <w:rPr>
          <w:noProof/>
        </w:rPr>
        <w:t>5.</w:t>
      </w:r>
      <w:r w:rsidRPr="005643E4">
        <w:rPr>
          <w:noProof/>
        </w:rPr>
        <w:tab/>
        <w:t>REGULATORY IMPACT</w:t>
      </w:r>
      <w:r w:rsidRPr="005643E4">
        <w:rPr>
          <w:noProof/>
        </w:rPr>
        <w:tab/>
      </w:r>
      <w:r w:rsidR="004372D6" w:rsidRPr="005643E4">
        <w:rPr>
          <w:noProof/>
        </w:rPr>
        <w:t>1</w:t>
      </w:r>
      <w:r w:rsidR="00B52163">
        <w:rPr>
          <w:noProof/>
        </w:rPr>
        <w:t>2</w:t>
      </w:r>
    </w:p>
    <w:p w14:paraId="3D9F9B05" w14:textId="60A7648C" w:rsidR="00C3438F" w:rsidRPr="005643E4" w:rsidRDefault="00953374" w:rsidP="00C3438F">
      <w:pPr>
        <w:pStyle w:val="TOC2"/>
        <w:rPr>
          <w:noProof/>
        </w:rPr>
      </w:pPr>
      <w:r w:rsidRPr="005643E4">
        <w:rPr>
          <w:noProof/>
        </w:rPr>
        <w:t>5.1.</w:t>
      </w:r>
      <w:r w:rsidRPr="005643E4">
        <w:rPr>
          <w:noProof/>
        </w:rPr>
        <w:tab/>
        <w:t>Benefits and Costs</w:t>
      </w:r>
      <w:r w:rsidRPr="005643E4">
        <w:rPr>
          <w:noProof/>
        </w:rPr>
        <w:tab/>
      </w:r>
      <w:r w:rsidR="004372D6" w:rsidRPr="005643E4">
        <w:rPr>
          <w:noProof/>
        </w:rPr>
        <w:t>1</w:t>
      </w:r>
      <w:r w:rsidR="00B52163">
        <w:rPr>
          <w:noProof/>
        </w:rPr>
        <w:t>2</w:t>
      </w:r>
    </w:p>
    <w:p w14:paraId="2F0ADDCB" w14:textId="53E51B69" w:rsidR="00C3438F" w:rsidRPr="005643E4" w:rsidRDefault="00C3438F" w:rsidP="00C3438F">
      <w:pPr>
        <w:pStyle w:val="TOC2"/>
        <w:rPr>
          <w:noProof/>
        </w:rPr>
      </w:pPr>
      <w:r w:rsidRPr="005643E4">
        <w:rPr>
          <w:noProof/>
        </w:rPr>
        <w:t>5.</w:t>
      </w:r>
      <w:r w:rsidR="00574B18" w:rsidRPr="005643E4">
        <w:rPr>
          <w:noProof/>
        </w:rPr>
        <w:t>2</w:t>
      </w:r>
      <w:r w:rsidR="00953374" w:rsidRPr="005643E4">
        <w:rPr>
          <w:noProof/>
        </w:rPr>
        <w:t>.</w:t>
      </w:r>
      <w:r w:rsidR="00953374" w:rsidRPr="005643E4">
        <w:rPr>
          <w:noProof/>
        </w:rPr>
        <w:tab/>
      </w:r>
      <w:r w:rsidR="00BE243D">
        <w:rPr>
          <w:noProof/>
        </w:rPr>
        <w:t>Impact Analysis</w:t>
      </w:r>
      <w:r w:rsidR="00953374" w:rsidRPr="005643E4">
        <w:rPr>
          <w:noProof/>
        </w:rPr>
        <w:tab/>
      </w:r>
      <w:r w:rsidR="004372D6" w:rsidRPr="005643E4">
        <w:rPr>
          <w:noProof/>
        </w:rPr>
        <w:t>1</w:t>
      </w:r>
      <w:r w:rsidR="00B52163">
        <w:rPr>
          <w:noProof/>
        </w:rPr>
        <w:t>3</w:t>
      </w:r>
    </w:p>
    <w:p w14:paraId="4EEB7974" w14:textId="1BBCC464" w:rsidR="00C3438F" w:rsidRPr="005643E4" w:rsidRDefault="00C3438F" w:rsidP="00C3438F">
      <w:pPr>
        <w:pStyle w:val="TOC1"/>
        <w:rPr>
          <w:noProof/>
        </w:rPr>
      </w:pPr>
      <w:r w:rsidRPr="005643E4">
        <w:rPr>
          <w:noProof/>
        </w:rPr>
        <w:t>6.</w:t>
      </w:r>
      <w:r w:rsidRPr="005643E4">
        <w:rPr>
          <w:noProof/>
        </w:rPr>
        <w:tab/>
        <w:t>STATEMENT OF C</w:t>
      </w:r>
      <w:r w:rsidR="00574B18" w:rsidRPr="005643E4">
        <w:rPr>
          <w:noProof/>
        </w:rPr>
        <w:t>O</w:t>
      </w:r>
      <w:r w:rsidR="00953374" w:rsidRPr="005643E4">
        <w:rPr>
          <w:noProof/>
        </w:rPr>
        <w:t>MPATIBILITY WITH HUMAN RIGHTS</w:t>
      </w:r>
      <w:r w:rsidR="00953374" w:rsidRPr="005643E4">
        <w:rPr>
          <w:noProof/>
        </w:rPr>
        <w:tab/>
      </w:r>
      <w:r w:rsidR="00431D20" w:rsidRPr="005643E4">
        <w:rPr>
          <w:noProof/>
        </w:rPr>
        <w:t>1</w:t>
      </w:r>
      <w:r w:rsidR="00B52163">
        <w:rPr>
          <w:noProof/>
        </w:rPr>
        <w:t>3</w:t>
      </w:r>
    </w:p>
    <w:p w14:paraId="3A9F46A2" w14:textId="701587E5" w:rsidR="00C3438F" w:rsidRPr="005643E4" w:rsidRDefault="00C3438F" w:rsidP="00C3438F">
      <w:pPr>
        <w:pStyle w:val="TOC2"/>
        <w:rPr>
          <w:noProof/>
        </w:rPr>
      </w:pPr>
      <w:r w:rsidRPr="005643E4">
        <w:rPr>
          <w:noProof/>
        </w:rPr>
        <w:t>6.1.</w:t>
      </w:r>
      <w:r w:rsidRPr="005643E4">
        <w:rPr>
          <w:noProof/>
        </w:rPr>
        <w:tab/>
        <w:t>Overview</w:t>
      </w:r>
      <w:r w:rsidRPr="005643E4">
        <w:rPr>
          <w:noProof/>
        </w:rPr>
        <w:tab/>
      </w:r>
      <w:r w:rsidR="00431D20" w:rsidRPr="005643E4">
        <w:rPr>
          <w:noProof/>
        </w:rPr>
        <w:t>1</w:t>
      </w:r>
      <w:r w:rsidR="00B52163">
        <w:rPr>
          <w:noProof/>
        </w:rPr>
        <w:t>3</w:t>
      </w:r>
    </w:p>
    <w:p w14:paraId="0B65997C" w14:textId="1BEDAE2B" w:rsidR="00C3438F" w:rsidRPr="005643E4" w:rsidRDefault="00C3438F" w:rsidP="00C3438F">
      <w:pPr>
        <w:pStyle w:val="TOC2"/>
        <w:rPr>
          <w:noProof/>
        </w:rPr>
      </w:pPr>
      <w:r w:rsidRPr="005643E4">
        <w:rPr>
          <w:noProof/>
        </w:rPr>
        <w:t>6.2.</w:t>
      </w:r>
      <w:r w:rsidRPr="005643E4">
        <w:rPr>
          <w:noProof/>
        </w:rPr>
        <w:tab/>
        <w:t>Human Rights Implications</w:t>
      </w:r>
      <w:r w:rsidRPr="005643E4">
        <w:rPr>
          <w:noProof/>
        </w:rPr>
        <w:tab/>
      </w:r>
      <w:r w:rsidR="00431D20" w:rsidRPr="005643E4">
        <w:rPr>
          <w:noProof/>
        </w:rPr>
        <w:t>1</w:t>
      </w:r>
      <w:r w:rsidR="00B52163">
        <w:rPr>
          <w:noProof/>
        </w:rPr>
        <w:t>3</w:t>
      </w:r>
    </w:p>
    <w:p w14:paraId="53BDDB59" w14:textId="03262DC8" w:rsidR="00C3438F" w:rsidRPr="005643E4" w:rsidRDefault="00C3438F" w:rsidP="00C3438F">
      <w:pPr>
        <w:pStyle w:val="TOC2"/>
        <w:rPr>
          <w:noProof/>
        </w:rPr>
      </w:pPr>
      <w:r w:rsidRPr="005643E4">
        <w:rPr>
          <w:noProof/>
        </w:rPr>
        <w:t>6.3.</w:t>
      </w:r>
      <w:r w:rsidRPr="005643E4">
        <w:rPr>
          <w:noProof/>
        </w:rPr>
        <w:tab/>
        <w:t>Conclusion</w:t>
      </w:r>
      <w:r w:rsidRPr="005643E4">
        <w:rPr>
          <w:noProof/>
        </w:rPr>
        <w:tab/>
      </w:r>
      <w:r w:rsidR="00431D20" w:rsidRPr="005643E4">
        <w:rPr>
          <w:noProof/>
        </w:rPr>
        <w:t>1</w:t>
      </w:r>
      <w:r w:rsidR="00B52163">
        <w:rPr>
          <w:noProof/>
        </w:rPr>
        <w:t>3</w:t>
      </w:r>
    </w:p>
    <w:p w14:paraId="3594D31A" w14:textId="77777777" w:rsidR="00C3438F" w:rsidRPr="005643E4" w:rsidRDefault="00C3438F" w:rsidP="00C3438F">
      <w:pPr>
        <w:pStyle w:val="HeadingLevel1"/>
        <w:tabs>
          <w:tab w:val="clear" w:pos="3970"/>
          <w:tab w:val="num" w:pos="3119"/>
        </w:tabs>
        <w:ind w:left="851"/>
      </w:pPr>
      <w:r w:rsidRPr="005643E4">
        <w:rPr>
          <w:noProo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3307"/>
      <w:r w:rsidRPr="005643E4">
        <w:lastRenderedPageBreak/>
        <w:t xml:space="preserve">legislative </w:t>
      </w:r>
      <w:bookmarkEnd w:id="1"/>
      <w:bookmarkEnd w:id="2"/>
      <w:r w:rsidRPr="005643E4">
        <w:t>Authority</w:t>
      </w:r>
      <w:bookmarkEnd w:id="3"/>
      <w:bookmarkEnd w:id="4"/>
      <w:bookmarkEnd w:id="5"/>
      <w:bookmarkEnd w:id="6"/>
      <w:bookmarkEnd w:id="7"/>
      <w:bookmarkEnd w:id="8"/>
      <w:bookmarkEnd w:id="9"/>
    </w:p>
    <w:p w14:paraId="29736A42" w14:textId="77777777" w:rsidR="00906702" w:rsidRPr="005643E4" w:rsidRDefault="00906702" w:rsidP="00906702">
      <w:pPr>
        <w:pStyle w:val="HeadingLevel2"/>
        <w:tabs>
          <w:tab w:val="num" w:pos="993"/>
        </w:tabs>
        <w:ind w:left="851"/>
      </w:pPr>
      <w:r w:rsidRPr="005643E4">
        <w:t>National Road Vehicle Standards</w:t>
      </w:r>
    </w:p>
    <w:p w14:paraId="4BC02956" w14:textId="77777777" w:rsidR="002B5184" w:rsidRPr="005643E4" w:rsidRDefault="00906702" w:rsidP="004C0609">
      <w:pPr>
        <w:pStyle w:val="HeadingLevel2"/>
        <w:numPr>
          <w:ilvl w:val="0"/>
          <w:numId w:val="0"/>
        </w:numPr>
        <w:tabs>
          <w:tab w:val="num" w:pos="3970"/>
        </w:tabs>
      </w:pPr>
      <w:r w:rsidRPr="005643E4">
        <w:t>National Road Vehicle Standard (Australian Design Rule 108/00 – Reversing Technologies) 202</w:t>
      </w:r>
      <w:r w:rsidR="00033ECA" w:rsidRPr="005643E4">
        <w:t>3</w:t>
      </w:r>
      <w:r w:rsidRPr="005643E4">
        <w:t>, also referred to as ADR 108/00, is made under</w:t>
      </w:r>
      <w:r w:rsidR="002B5184" w:rsidRPr="005643E4">
        <w:t xml:space="preserve"> section 12 of</w:t>
      </w:r>
      <w:r w:rsidRPr="005643E4">
        <w:t xml:space="preserve"> the </w:t>
      </w:r>
      <w:r w:rsidRPr="005643E4">
        <w:rPr>
          <w:i/>
        </w:rPr>
        <w:t>Road Vehicle Standards Act 2018</w:t>
      </w:r>
      <w:r w:rsidRPr="005643E4">
        <w:t xml:space="preserve"> (the Act).</w:t>
      </w:r>
      <w:r w:rsidR="002B5184" w:rsidRPr="005643E4">
        <w:t xml:space="preserve"> Section 12 of the Act allows the Minister to determine National Road Vehicle Standards.</w:t>
      </w:r>
      <w:r w:rsidRPr="005643E4">
        <w:t xml:space="preserve"> </w:t>
      </w:r>
    </w:p>
    <w:p w14:paraId="25FEAD66" w14:textId="77777777" w:rsidR="0008788B" w:rsidRPr="005643E4" w:rsidRDefault="004D57F3" w:rsidP="00906702">
      <w:pPr>
        <w:pStyle w:val="HeadingLevel2"/>
        <w:tabs>
          <w:tab w:val="num" w:pos="993"/>
        </w:tabs>
        <w:ind w:left="851"/>
      </w:pPr>
      <w:r w:rsidRPr="005643E4">
        <w:t>Exemption from Sunsetting</w:t>
      </w:r>
    </w:p>
    <w:p w14:paraId="364EDDC6" w14:textId="77777777" w:rsidR="004D57F3" w:rsidRPr="005643E4" w:rsidRDefault="004D57F3" w:rsidP="004C0609">
      <w:pPr>
        <w:pStyle w:val="HeadingLevel2"/>
        <w:numPr>
          <w:ilvl w:val="0"/>
          <w:numId w:val="0"/>
        </w:numPr>
        <w:tabs>
          <w:tab w:val="num" w:pos="3970"/>
        </w:tabs>
        <w:rPr>
          <w:i/>
        </w:rPr>
      </w:pPr>
      <w:r w:rsidRPr="005643E4">
        <w:t xml:space="preserve">ADR 108/00 is exempt from the sunsetting provisions of the </w:t>
      </w:r>
      <w:r w:rsidRPr="005643E4">
        <w:rPr>
          <w:i/>
        </w:rPr>
        <w:t>Legislation Act 2003.</w:t>
      </w:r>
    </w:p>
    <w:p w14:paraId="0A9EC5DB" w14:textId="77777777" w:rsidR="004D57F3" w:rsidRPr="005643E4" w:rsidRDefault="004D57F3" w:rsidP="0060744E">
      <w:pPr>
        <w:pStyle w:val="Subsubsection"/>
      </w:pPr>
      <w:r w:rsidRPr="005643E4">
        <w:t>Source of the Exemption</w:t>
      </w:r>
    </w:p>
    <w:p w14:paraId="08191CA2" w14:textId="77777777" w:rsidR="004D57F3" w:rsidRPr="005643E4" w:rsidRDefault="004D57F3" w:rsidP="004D57F3">
      <w:r w:rsidRPr="005643E4">
        <w:t xml:space="preserve">A standard made under section 12 of the Act is not subject to the sunsetting provisions of section 50 of the </w:t>
      </w:r>
      <w:r w:rsidRPr="005643E4">
        <w:rPr>
          <w:i/>
        </w:rPr>
        <w:t>Legislation (Exemptions and Other Matters) Act 2003</w:t>
      </w:r>
      <w:r w:rsidRPr="005643E4">
        <w:t xml:space="preserve"> through section 12 of the </w:t>
      </w:r>
      <w:r w:rsidRPr="005643E4">
        <w:rPr>
          <w:i/>
        </w:rPr>
        <w:t>Legislation (Exemptions and Other Matters) Regulation 2015</w:t>
      </w:r>
      <w:r w:rsidRPr="005643E4">
        <w:t xml:space="preserve"> (table item 56C). A similar exemption was previously granted in respect of national road vehicle standards made under section 7 of the </w:t>
      </w:r>
      <w:r w:rsidRPr="005643E4">
        <w:rPr>
          <w:i/>
        </w:rPr>
        <w:t>Motor Vehicle Standards Act 1989</w:t>
      </w:r>
      <w:r w:rsidRPr="005643E4">
        <w:t xml:space="preserve"> (MVSA) (item 40, section 12 of the </w:t>
      </w:r>
      <w:r w:rsidRPr="005643E4">
        <w:rPr>
          <w:i/>
        </w:rPr>
        <w:t>Legislation (Exemptions and Other Matters) Regulation 2015</w:t>
      </w:r>
      <w:r w:rsidRPr="005643E4">
        <w:t>). This exemption is important to ensure that ADR 108/00 continues to remain in force, and available to regulators and industry.</w:t>
      </w:r>
    </w:p>
    <w:p w14:paraId="466C1D90" w14:textId="77777777" w:rsidR="004D57F3" w:rsidRPr="005643E4" w:rsidRDefault="004D57F3" w:rsidP="004D57F3">
      <w:pPr>
        <w:pStyle w:val="Subsubsection"/>
      </w:pPr>
      <w:r w:rsidRPr="005643E4">
        <w:t>Justification</w:t>
      </w:r>
    </w:p>
    <w:p w14:paraId="3CB6E552" w14:textId="77777777" w:rsidR="004D57F3" w:rsidRPr="005643E4" w:rsidRDefault="004D57F3" w:rsidP="004D57F3">
      <w:r w:rsidRPr="005643E4">
        <w:t xml:space="preserve">It is appropriate that standards made under section 12 of the Act, also known as the Australian Design Rules (ADRs), remain enduring and effective to regulate ongoing road worthiness of vehicles throughout their useful life and reduce regulatory burden on vehicle manufacturers. </w:t>
      </w:r>
    </w:p>
    <w:p w14:paraId="4F88439E" w14:textId="77777777" w:rsidR="004D57F3" w:rsidRPr="005643E4" w:rsidRDefault="004D57F3" w:rsidP="004D57F3">
      <w:pPr>
        <w:pStyle w:val="Subsubsubsection"/>
      </w:pPr>
      <w:r w:rsidRPr="005643E4">
        <w:t>Intergovernmental dependencies</w:t>
      </w:r>
    </w:p>
    <w:p w14:paraId="3996F385" w14:textId="77777777" w:rsidR="004D57F3" w:rsidRPr="005643E4" w:rsidRDefault="004D57F3" w:rsidP="004D57F3">
      <w:r w:rsidRPr="005643E4">
        <w:t xml:space="preserve">The exemption concerns ADRs which facilitate the establishment and operation of the intergovernmental vehicle standard regime that Commonwealth, State and Territory governments rely on to regulate the safety of vehicles on public roads. </w:t>
      </w:r>
    </w:p>
    <w:p w14:paraId="6F08F71A" w14:textId="77777777" w:rsidR="004D57F3" w:rsidRPr="005643E4" w:rsidRDefault="004D57F3" w:rsidP="004D57F3">
      <w:r w:rsidRPr="005643E4">
        <w:t xml:space="preserve">The Commonwealth uses the ADRs as the basis on which approvals to supply types of road vehicles to the market are granted under the </w:t>
      </w:r>
      <w:r w:rsidRPr="005643E4">
        <w:rPr>
          <w:i/>
        </w:rPr>
        <w:t>Road Vehicle Standards Rules 2019</w:t>
      </w:r>
      <w:r w:rsidRPr="005643E4">
        <w:t>. 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45FC8CB7" w14:textId="77777777" w:rsidR="004D57F3" w:rsidRPr="005643E4" w:rsidRDefault="004D57F3" w:rsidP="004D57F3">
      <w:r w:rsidRPr="005643E4">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04AF3475" w14:textId="77777777" w:rsidR="004D57F3" w:rsidRPr="005643E4" w:rsidRDefault="004D57F3" w:rsidP="004D57F3">
      <w:r w:rsidRPr="005643E4">
        <w:t xml:space="preserve">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government may result in variations to in-service regulations. Having different vehicle standards across the states and territories </w:t>
      </w:r>
      <w:r w:rsidRPr="005643E4">
        <w:lastRenderedPageBreak/>
        <w:t>would make the scheme operate contrary to the underlying policy intent of the Act which is to set nationally consistent performance based standards.</w:t>
      </w:r>
    </w:p>
    <w:p w14:paraId="507C162A" w14:textId="77777777" w:rsidR="004D57F3" w:rsidRPr="005643E4" w:rsidRDefault="004D57F3" w:rsidP="004D57F3">
      <w:pPr>
        <w:pStyle w:val="Subsubsubsection"/>
      </w:pPr>
      <w:r w:rsidRPr="005643E4">
        <w:t>Commercial dependencies</w:t>
      </w:r>
    </w:p>
    <w:p w14:paraId="436B22CC" w14:textId="77777777" w:rsidR="004D57F3" w:rsidRPr="005643E4" w:rsidRDefault="004D57F3" w:rsidP="004D57F3">
      <w:r w:rsidRPr="005643E4">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0022C847" w14:textId="2EB912AD" w:rsidR="004D57F3" w:rsidRPr="005643E4" w:rsidRDefault="003A60D4" w:rsidP="004D57F3">
      <w:pPr>
        <w:pStyle w:val="Subsubsection"/>
      </w:pPr>
      <w:r w:rsidRPr="005643E4">
        <w:t>Review of Australian Design Rules</w:t>
      </w:r>
    </w:p>
    <w:p w14:paraId="5169E8F0" w14:textId="0D0E5613" w:rsidR="004D57F3" w:rsidRPr="005643E4" w:rsidRDefault="00021A88" w:rsidP="004D57F3">
      <w:r w:rsidRPr="005643E4">
        <w:t xml:space="preserve">Despite </w:t>
      </w:r>
      <w:r w:rsidR="004D57F3" w:rsidRPr="005643E4">
        <w:t>exemption from sunsetting</w:t>
      </w:r>
      <w:r w:rsidR="00D47176" w:rsidRPr="005643E4">
        <w:t>,</w:t>
      </w:r>
      <w:r w:rsidR="004D57F3" w:rsidRPr="005643E4">
        <w:t xml:space="preserve"> ADRs are subject to regular reviews, when developments in vehicle technology necessitate updates to requirements. </w:t>
      </w:r>
    </w:p>
    <w:p w14:paraId="671A3247" w14:textId="361BE920" w:rsidR="00906702" w:rsidRDefault="004D57F3" w:rsidP="00D56275">
      <w:r w:rsidRPr="005643E4">
        <w:t xml:space="preserve">Reviews of the ADRs ensure the ongoing effectiveness of a nationally consistent system of technical regulations for vehicle design, which are closely aligned, wherever appropriate with leading international standards such as United Nations regulations. </w:t>
      </w:r>
      <w:r w:rsidR="00021A88" w:rsidRPr="005643E4">
        <w:t xml:space="preserve">Aligning with such standards </w:t>
      </w:r>
      <w:r w:rsidRPr="005643E4">
        <w:t>facilitate</w:t>
      </w:r>
      <w:r w:rsidR="00021A88" w:rsidRPr="005643E4">
        <w:t>s</w:t>
      </w:r>
      <w:r w:rsidRPr="005643E4">
        <w:t xml:space="preserve"> the rapid introduction of the latest safety devices and technological advances into the Australian market, </w:t>
      </w:r>
      <w:r w:rsidR="005C7EF6" w:rsidRPr="005643E4">
        <w:t>reducing regulatory burden</w:t>
      </w:r>
      <w:r w:rsidRPr="005643E4">
        <w:t>.</w:t>
      </w:r>
    </w:p>
    <w:p w14:paraId="67CB4C43" w14:textId="77777777" w:rsidR="00B52163" w:rsidRPr="005643E4" w:rsidRDefault="00B52163" w:rsidP="00D56275"/>
    <w:p w14:paraId="7307B604" w14:textId="77777777" w:rsidR="00C3438F" w:rsidRPr="005643E4" w:rsidRDefault="00C3438F" w:rsidP="00C3438F">
      <w:pPr>
        <w:pStyle w:val="HeadingLevel1"/>
        <w:tabs>
          <w:tab w:val="clear" w:pos="3970"/>
          <w:tab w:val="num" w:pos="3119"/>
        </w:tabs>
        <w:ind w:left="851"/>
      </w:pPr>
      <w:bookmarkStart w:id="10" w:name="_Toc46333217"/>
      <w:bookmarkStart w:id="11" w:name="_Toc46333471"/>
      <w:bookmarkStart w:id="12" w:name="_Toc46333625"/>
      <w:bookmarkStart w:id="13" w:name="_Toc46333790"/>
      <w:bookmarkStart w:id="14" w:name="_Toc46333904"/>
      <w:bookmarkStart w:id="15" w:name="_Toc46334640"/>
      <w:bookmarkStart w:id="16" w:name="_Toc47693308"/>
      <w:r w:rsidRPr="005643E4">
        <w:t>Purpose and Operation</w:t>
      </w:r>
      <w:bookmarkEnd w:id="10"/>
      <w:bookmarkEnd w:id="11"/>
      <w:bookmarkEnd w:id="12"/>
      <w:bookmarkEnd w:id="13"/>
      <w:bookmarkEnd w:id="14"/>
      <w:bookmarkEnd w:id="15"/>
      <w:bookmarkEnd w:id="16"/>
    </w:p>
    <w:p w14:paraId="09DEAAB2" w14:textId="77777777" w:rsidR="00021A88" w:rsidRPr="005643E4" w:rsidRDefault="00021A88" w:rsidP="00021A88">
      <w:pPr>
        <w:pStyle w:val="HeadingLevel2"/>
        <w:tabs>
          <w:tab w:val="num" w:pos="993"/>
        </w:tabs>
        <w:ind w:left="851"/>
      </w:pPr>
      <w:bookmarkStart w:id="17" w:name="_Toc167864614"/>
      <w:r w:rsidRPr="005643E4">
        <w:t>Overview of the Regulatory Framework</w:t>
      </w:r>
    </w:p>
    <w:p w14:paraId="3E47303A" w14:textId="77777777" w:rsidR="00021A88" w:rsidRPr="005643E4" w:rsidRDefault="00021A88" w:rsidP="00021A88">
      <w:r w:rsidRPr="005643E4">
        <w:t xml:space="preserve">The Act establishes a framework to regulate the importation and first </w:t>
      </w:r>
      <w:r w:rsidR="00CA078B" w:rsidRPr="005643E4">
        <w:t xml:space="preserve">provision </w:t>
      </w:r>
      <w:r w:rsidRPr="005643E4">
        <w:t xml:space="preserve">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w:t>
      </w:r>
      <w:r w:rsidR="005B5CB3" w:rsidRPr="005643E4">
        <w:t xml:space="preserve">ADRs </w:t>
      </w:r>
      <w:r w:rsidRPr="005643E4">
        <w:t>were determined as national standards. As of 2018, the MVSA has been replaced by the Act.</w:t>
      </w:r>
    </w:p>
    <w:p w14:paraId="4C11F870" w14:textId="77777777" w:rsidR="00D67B5B" w:rsidRPr="005643E4" w:rsidRDefault="00D67B5B" w:rsidP="00D67B5B">
      <w:r w:rsidRPr="005643E4">
        <w:t>A majority of Australian road vehicle standards such as ADR 108/00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6874B295" w14:textId="2AB304F1" w:rsidR="00D67B5B" w:rsidRPr="005643E4" w:rsidRDefault="00D67B5B" w:rsidP="00021A88">
      <w:r w:rsidRPr="005643E4">
        <w:t xml:space="preserve">ADRs often directly incorporate United Nations (UN) Regulations as an appendix, where the appendix provides the technical requirements of the ADR and the rest of the ADR facilitates its application to Australia. To this end, </w:t>
      </w:r>
      <w:r w:rsidR="008063DA" w:rsidRPr="005643E4">
        <w:t>clause</w:t>
      </w:r>
      <w:r w:rsidRPr="005643E4">
        <w:t xml:space="preserve"> 6 creates exemptions and alternate procedures. For instance, manufacturers are exempt from requirements that pertain to UN type approvals, and instead, need to comply with the approvals process set out in the Act. Likewise, </w:t>
      </w:r>
      <w:r w:rsidR="008063DA" w:rsidRPr="005643E4">
        <w:t>clause</w:t>
      </w:r>
      <w:r w:rsidRPr="005643E4">
        <w:t xml:space="preserve"> 7 provides for the acceptance of certain alternate standards that have equivalent requirements to the appendix. For instance, a vehicle covered by a type approval under the UN Regulation would comply with the ADR.</w:t>
      </w:r>
    </w:p>
    <w:p w14:paraId="5FF3EC6C" w14:textId="77777777" w:rsidR="00021A88" w:rsidRPr="005643E4" w:rsidRDefault="00021A88" w:rsidP="00021A88">
      <w:r w:rsidRPr="005643E4">
        <w:t xml:space="preserve">Under the Act, the ADRs are </w:t>
      </w:r>
      <w:r w:rsidR="005B5CB3" w:rsidRPr="005643E4">
        <w:t>n</w:t>
      </w:r>
      <w:r w:rsidRPr="005643E4">
        <w:t xml:space="preserve">ational </w:t>
      </w:r>
      <w:r w:rsidR="005B5CB3" w:rsidRPr="005643E4">
        <w:t>r</w:t>
      </w:r>
      <w:r w:rsidRPr="005643E4">
        <w:t xml:space="preserve">oad </w:t>
      </w:r>
      <w:r w:rsidR="005B5CB3" w:rsidRPr="005643E4">
        <w:t>v</w:t>
      </w:r>
      <w:r w:rsidRPr="005643E4">
        <w:t xml:space="preserve">ehicle </w:t>
      </w:r>
      <w:r w:rsidR="005B5CB3" w:rsidRPr="005643E4">
        <w:t>s</w:t>
      </w:r>
      <w:r w:rsidRPr="005643E4">
        <w:t xml:space="preserve">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w:t>
      </w:r>
      <w:r w:rsidRPr="005643E4">
        <w:lastRenderedPageBreak/>
        <w:t>Vehicle Standards legislation. Vehicles approved under these regulatory pathways can be provided to the market in Australia for use in transport. ADRs apply equally to imported and locally manufactured vehicles.</w:t>
      </w:r>
    </w:p>
    <w:p w14:paraId="2BC1D376" w14:textId="77777777" w:rsidR="00B7302E" w:rsidRPr="005643E4" w:rsidRDefault="00C3438F" w:rsidP="00DC159E">
      <w:pPr>
        <w:pStyle w:val="HeadingLevel2"/>
        <w:tabs>
          <w:tab w:val="num" w:pos="2411"/>
        </w:tabs>
        <w:ind w:left="851"/>
      </w:pPr>
      <w:r w:rsidRPr="005643E4">
        <w:t>Overview of the ADR</w:t>
      </w:r>
    </w:p>
    <w:p w14:paraId="45DA22BE" w14:textId="77777777" w:rsidR="00B7302E" w:rsidRPr="005643E4" w:rsidRDefault="00B7302E" w:rsidP="00B7302E">
      <w:r w:rsidRPr="005643E4">
        <w:t>The purpose of ADR 108/00 is to specify requirements for Reversing Aids for new passenger vehicles (ADR vehicle categories MA, MB, and MC), new omnibuses (ADR vehicle categories MD and ME)</w:t>
      </w:r>
      <w:r w:rsidR="00CA078B" w:rsidRPr="005643E4">
        <w:t xml:space="preserve"> and</w:t>
      </w:r>
      <w:r w:rsidRPr="005643E4">
        <w:t xml:space="preserve"> new goods vehicles (ADR vehicle </w:t>
      </w:r>
      <w:r w:rsidR="00CA078B" w:rsidRPr="005643E4">
        <w:t xml:space="preserve">categories </w:t>
      </w:r>
      <w:r w:rsidRPr="005643E4">
        <w:t>NA</w:t>
      </w:r>
      <w:r w:rsidR="00CA078B" w:rsidRPr="005643E4">
        <w:t>, NB and NC</w:t>
      </w:r>
      <w:r w:rsidRPr="005643E4">
        <w:t xml:space="preserve">), to reduce </w:t>
      </w:r>
      <w:r w:rsidR="005B063C" w:rsidRPr="005643E4">
        <w:t xml:space="preserve">deaths or injuries from </w:t>
      </w:r>
      <w:r w:rsidRPr="005643E4">
        <w:t>reversing</w:t>
      </w:r>
      <w:r w:rsidR="005B063C" w:rsidRPr="005643E4">
        <w:t xml:space="preserve"> vehicles. </w:t>
      </w:r>
      <w:r w:rsidRPr="005643E4">
        <w:t xml:space="preserve"> </w:t>
      </w:r>
      <w:r w:rsidR="005B063C" w:rsidRPr="005643E4">
        <w:t xml:space="preserve">The ADR achieves this by </w:t>
      </w:r>
      <w:r w:rsidRPr="005643E4">
        <w:t xml:space="preserve">increasing the driver’s awareness or vision of vulnerable road users behind a vehicle.   </w:t>
      </w:r>
    </w:p>
    <w:p w14:paraId="5C73BACC" w14:textId="77777777" w:rsidR="00B4748F" w:rsidRPr="005643E4" w:rsidRDefault="00B4748F" w:rsidP="00B4748F">
      <w:r w:rsidRPr="005643E4">
        <w:t xml:space="preserve">ADR 108/00 </w:t>
      </w:r>
      <w:r w:rsidR="005B063C" w:rsidRPr="005643E4">
        <w:t xml:space="preserve">specifies </w:t>
      </w:r>
      <w:r w:rsidRPr="005643E4">
        <w:t>the requirements for the fitment of reversing technologies</w:t>
      </w:r>
      <w:r w:rsidR="005B063C" w:rsidRPr="005643E4">
        <w:t xml:space="preserve"> such as mirrors, cameras or sensors and includes</w:t>
      </w:r>
      <w:r w:rsidRPr="005643E4">
        <w:t xml:space="preserve"> performance </w:t>
      </w:r>
      <w:r w:rsidR="005B063C" w:rsidRPr="005643E4">
        <w:t xml:space="preserve">and installation </w:t>
      </w:r>
      <w:r w:rsidRPr="005643E4">
        <w:t xml:space="preserve">requirements to </w:t>
      </w:r>
      <w:r w:rsidR="000D5178" w:rsidRPr="005643E4">
        <w:t>maximise the effectiveness of the technology</w:t>
      </w:r>
      <w:r w:rsidRPr="005643E4">
        <w:t>.</w:t>
      </w:r>
    </w:p>
    <w:p w14:paraId="5ED213E7" w14:textId="77777777" w:rsidR="00EF54FA" w:rsidRPr="005643E4" w:rsidRDefault="00EF54FA" w:rsidP="00B4748F">
      <w:r w:rsidRPr="005643E4">
        <w:t xml:space="preserve">Exemptions from mandatory fitment of reversing technologies are provided </w:t>
      </w:r>
      <w:r w:rsidR="00041677" w:rsidRPr="005643E4">
        <w:t xml:space="preserve">for manufacturers of </w:t>
      </w:r>
      <w:r w:rsidR="00041677" w:rsidRPr="005643E4">
        <w:rPr>
          <w:i/>
        </w:rPr>
        <w:t>‘Partially Completed Vehicle’</w:t>
      </w:r>
      <w:r w:rsidR="00041677" w:rsidRPr="005643E4">
        <w:t xml:space="preserve"> (such as </w:t>
      </w:r>
      <w:r w:rsidR="00041677" w:rsidRPr="005643E4">
        <w:rPr>
          <w:i/>
        </w:rPr>
        <w:t>‘Chassis-cab’</w:t>
      </w:r>
      <w:r w:rsidR="00041677" w:rsidRPr="005643E4">
        <w:t xml:space="preserve"> and </w:t>
      </w:r>
      <w:r w:rsidR="00041677" w:rsidRPr="005643E4">
        <w:rPr>
          <w:i/>
        </w:rPr>
        <w:t>‘Chassis-cowl’</w:t>
      </w:r>
      <w:r w:rsidR="00041677" w:rsidRPr="005643E4">
        <w:t xml:space="preserve">) and </w:t>
      </w:r>
      <w:r w:rsidR="00041677" w:rsidRPr="005643E4">
        <w:rPr>
          <w:i/>
        </w:rPr>
        <w:t>‘Prime Mover’</w:t>
      </w:r>
      <w:r w:rsidR="00041677" w:rsidRPr="005643E4">
        <w:t xml:space="preserve">, noting that completed vehicles are required to comply with the regulation. </w:t>
      </w:r>
    </w:p>
    <w:p w14:paraId="3C525F0F" w14:textId="77777777" w:rsidR="00D31DB9" w:rsidRPr="005643E4" w:rsidRDefault="00D31DB9" w:rsidP="00D31DB9">
      <w:pPr>
        <w:pStyle w:val="HeadingLevel2"/>
        <w:tabs>
          <w:tab w:val="num" w:pos="2411"/>
        </w:tabs>
        <w:ind w:left="851"/>
      </w:pPr>
      <w:r w:rsidRPr="005643E4">
        <w:t>Effect of the ADR</w:t>
      </w:r>
    </w:p>
    <w:p w14:paraId="3F1589A2" w14:textId="77777777" w:rsidR="00D31DB9" w:rsidRPr="005643E4" w:rsidRDefault="00D31DB9" w:rsidP="002B2EE0">
      <w:r w:rsidRPr="005643E4">
        <w:t>The standard will apply to new passenger vehicles (ADR vehicle categories MA, MB, and MC), new omnibuses (ADR vehicle categories MD and ME) and new goods vehicles (ADR vehicle categories NA, NB and NC). New model vehicles will need to be certified to this standard from 1 March 2025</w:t>
      </w:r>
      <w:r w:rsidR="003E5985" w:rsidRPr="005643E4">
        <w:t xml:space="preserve"> and all new vehicles will need to be certified to this standard from 1 March 2027.</w:t>
      </w:r>
    </w:p>
    <w:p w14:paraId="384DD4C2" w14:textId="30D15AAF" w:rsidR="00D31DB9" w:rsidRPr="005643E4" w:rsidRDefault="003E5985" w:rsidP="002B2EE0">
      <w:r w:rsidRPr="005643E4">
        <w:t>Vehicles to which this standard applies must meet the requirements of clause 5.1 as varied by</w:t>
      </w:r>
      <w:r w:rsidR="002B2EE0" w:rsidRPr="005643E4">
        <w:t xml:space="preserve"> </w:t>
      </w:r>
      <w:r w:rsidR="00285FA1" w:rsidRPr="005643E4">
        <w:t>clause</w:t>
      </w:r>
      <w:r w:rsidRPr="005643E4">
        <w:t xml:space="preserve"> 6 </w:t>
      </w:r>
      <w:r w:rsidR="00285FA1" w:rsidRPr="005643E4">
        <w:t>(</w:t>
      </w:r>
      <w:r w:rsidRPr="005643E4">
        <w:t>Exemptions and Alternative Procedures</w:t>
      </w:r>
      <w:r w:rsidR="00285FA1" w:rsidRPr="005643E4">
        <w:t>)</w:t>
      </w:r>
      <w:r w:rsidRPr="005643E4">
        <w:t>, or the alternative standard listed under clause 7.</w:t>
      </w:r>
    </w:p>
    <w:p w14:paraId="1CE7E634" w14:textId="77777777" w:rsidR="00B4748F" w:rsidRPr="005643E4" w:rsidRDefault="00B4748F" w:rsidP="00B4748F">
      <w:pPr>
        <w:pStyle w:val="HeadingLevel2"/>
        <w:tabs>
          <w:tab w:val="num" w:pos="993"/>
        </w:tabs>
        <w:ind w:left="851"/>
      </w:pPr>
      <w:r w:rsidRPr="005643E4">
        <w:t>Reversing Technologies</w:t>
      </w:r>
    </w:p>
    <w:p w14:paraId="0777168F" w14:textId="77777777" w:rsidR="000911F5" w:rsidRPr="005643E4" w:rsidRDefault="00E02E2B" w:rsidP="000911F5">
      <w:r w:rsidRPr="005643E4">
        <w:t>Reversing collisions primarily target crashes involving pedestrian</w:t>
      </w:r>
      <w:r w:rsidR="00E204F3" w:rsidRPr="005643E4">
        <w:t>s</w:t>
      </w:r>
      <w:r w:rsidRPr="005643E4">
        <w:t xml:space="preserve"> or vulnerable road user</w:t>
      </w:r>
      <w:r w:rsidR="00E204F3" w:rsidRPr="005643E4">
        <w:t>s</w:t>
      </w:r>
      <w:r w:rsidRPr="005643E4">
        <w:t xml:space="preserve"> (VRU</w:t>
      </w:r>
      <w:r w:rsidR="00FD094B" w:rsidRPr="005643E4">
        <w:t>s</w:t>
      </w:r>
      <w:r w:rsidRPr="005643E4">
        <w:t xml:space="preserve">) such as cyclists. </w:t>
      </w:r>
      <w:r w:rsidR="00E204F3" w:rsidRPr="005643E4">
        <w:t xml:space="preserve">It is </w:t>
      </w:r>
      <w:r w:rsidRPr="005643E4">
        <w:t>particular</w:t>
      </w:r>
      <w:r w:rsidR="00E204F3" w:rsidRPr="005643E4">
        <w:t>ly</w:t>
      </w:r>
      <w:r w:rsidRPr="005643E4">
        <w:t xml:space="preserve"> concern</w:t>
      </w:r>
      <w:r w:rsidR="00E204F3" w:rsidRPr="005643E4">
        <w:t>ing</w:t>
      </w:r>
      <w:r w:rsidRPr="005643E4">
        <w:t xml:space="preserve"> that reversing collisions often affect small children and the elderly who are particularly vulnerable to </w:t>
      </w:r>
      <w:r w:rsidR="005B063C" w:rsidRPr="005643E4">
        <w:t xml:space="preserve">death </w:t>
      </w:r>
      <w:r w:rsidRPr="005643E4">
        <w:t>and severe or permanent injury when hit.</w:t>
      </w:r>
      <w:r w:rsidR="000E085F" w:rsidRPr="005643E4">
        <w:t xml:space="preserve"> </w:t>
      </w:r>
      <w:r w:rsidRPr="005643E4">
        <w:t>These crashes typically occ</w:t>
      </w:r>
      <w:r w:rsidR="00157876" w:rsidRPr="005643E4">
        <w:t xml:space="preserve">ur </w:t>
      </w:r>
      <w:r w:rsidR="005B063C" w:rsidRPr="005643E4">
        <w:t xml:space="preserve">in </w:t>
      </w:r>
      <w:r w:rsidR="00157876" w:rsidRPr="005643E4">
        <w:t>low speed locations and on</w:t>
      </w:r>
      <w:r w:rsidRPr="005643E4">
        <w:t xml:space="preserve"> private propert</w:t>
      </w:r>
      <w:r w:rsidR="00E204F3" w:rsidRPr="005643E4">
        <w:t>ies</w:t>
      </w:r>
      <w:r w:rsidRPr="005643E4">
        <w:t xml:space="preserve">, where vehicles perform low-speed manoeuvres such as entering or leaving parking spaces, turning corners and other situations where </w:t>
      </w:r>
      <w:r w:rsidR="00FD094B" w:rsidRPr="005643E4">
        <w:t>the view behind reversing vehicles may be obstructed</w:t>
      </w:r>
      <w:r w:rsidRPr="005643E4">
        <w:t>.</w:t>
      </w:r>
    </w:p>
    <w:p w14:paraId="7EA9323A" w14:textId="77777777" w:rsidR="000911F5" w:rsidRPr="005643E4" w:rsidRDefault="0058254D" w:rsidP="000911F5">
      <w:r w:rsidRPr="005643E4">
        <w:t>Factors contribut</w:t>
      </w:r>
      <w:r w:rsidR="00E204F3" w:rsidRPr="005643E4">
        <w:t>ing</w:t>
      </w:r>
      <w:r w:rsidRPr="005643E4">
        <w:t xml:space="preserve"> to reversing collisions include </w:t>
      </w:r>
      <w:r w:rsidR="00E204F3" w:rsidRPr="005643E4">
        <w:t xml:space="preserve">the </w:t>
      </w:r>
      <w:r w:rsidR="000E085F" w:rsidRPr="005643E4">
        <w:t>pedestrian</w:t>
      </w:r>
      <w:r w:rsidR="00E204F3" w:rsidRPr="005643E4">
        <w:t>’</w:t>
      </w:r>
      <w:r w:rsidR="000E085F" w:rsidRPr="005643E4">
        <w:t xml:space="preserve">s </w:t>
      </w:r>
      <w:r w:rsidR="00E204F3" w:rsidRPr="005643E4">
        <w:t>failure</w:t>
      </w:r>
      <w:r w:rsidR="000E085F" w:rsidRPr="005643E4">
        <w:t xml:space="preserve"> to see the reversing vehicle, anticipate its manoeuvres, or get out of the vehicle’s path</w:t>
      </w:r>
      <w:r w:rsidR="00FD094B" w:rsidRPr="005643E4">
        <w:t>:</w:t>
      </w:r>
      <w:r w:rsidR="000E085F" w:rsidRPr="005643E4">
        <w:t xml:space="preserve"> </w:t>
      </w:r>
      <w:r w:rsidR="00DF2BEB" w:rsidRPr="005643E4">
        <w:t xml:space="preserve">in all of these scenarios the </w:t>
      </w:r>
      <w:r w:rsidR="000E085F" w:rsidRPr="005643E4">
        <w:t xml:space="preserve">driver </w:t>
      </w:r>
      <w:r w:rsidR="00DF2BEB" w:rsidRPr="005643E4">
        <w:t xml:space="preserve">is </w:t>
      </w:r>
      <w:r w:rsidR="000E085F" w:rsidRPr="005643E4">
        <w:t xml:space="preserve">generally </w:t>
      </w:r>
      <w:r w:rsidR="00DF2BEB" w:rsidRPr="005643E4">
        <w:t xml:space="preserve">unable </w:t>
      </w:r>
      <w:r w:rsidR="000E085F" w:rsidRPr="005643E4">
        <w:t xml:space="preserve">to see the pedestrian before the collision. </w:t>
      </w:r>
      <w:r w:rsidR="00DF2BEB" w:rsidRPr="005643E4">
        <w:t>With</w:t>
      </w:r>
      <w:r w:rsidR="000E085F" w:rsidRPr="005643E4">
        <w:t xml:space="preserve"> young children, they </w:t>
      </w:r>
      <w:r w:rsidR="00DF2BEB" w:rsidRPr="005643E4">
        <w:t xml:space="preserve">often </w:t>
      </w:r>
      <w:r w:rsidR="000E085F" w:rsidRPr="005643E4">
        <w:t xml:space="preserve">fail to recognise and respond to potential risks in their environment </w:t>
      </w:r>
      <w:r w:rsidR="00DF2BEB" w:rsidRPr="005643E4">
        <w:t>and due to their size are less likely to be seen by the driver.</w:t>
      </w:r>
    </w:p>
    <w:p w14:paraId="3BF8E9CF" w14:textId="77777777" w:rsidR="00431D20" w:rsidRPr="005643E4" w:rsidRDefault="00BE6C3F" w:rsidP="00986AEA">
      <w:r w:rsidRPr="005643E4">
        <w:t xml:space="preserve">The introduction of ADR 108/00 and </w:t>
      </w:r>
      <w:r w:rsidR="00884723" w:rsidRPr="005643E4">
        <w:t>its incorporated</w:t>
      </w:r>
      <w:r w:rsidRPr="005643E4">
        <w:t xml:space="preserve"> United Nations Regulation No. 158 – </w:t>
      </w:r>
      <w:r w:rsidR="00570BC7" w:rsidRPr="005643E4">
        <w:t>UN REGULATION ON UNIFORM PROVISIONS CONCERNING THE APPROVAL OF DEVICES AND MOTOR VEHICLES WITH REGARD TO THE DRIVER’S AWARENESS OF VULNERABLE ROAD USERS BEHIND VEHICLES WHEN REVERSING</w:t>
      </w:r>
      <w:r w:rsidRPr="005643E4">
        <w:t xml:space="preserve"> (UN R158) ensures the benefits provided through these technologies are spread across the whole vehicle fleet. </w:t>
      </w:r>
      <w:r w:rsidR="006742A6" w:rsidRPr="005643E4">
        <w:t xml:space="preserve">This standard provides manufacturers </w:t>
      </w:r>
      <w:r w:rsidR="00A27B1E" w:rsidRPr="005643E4">
        <w:t xml:space="preserve">with </w:t>
      </w:r>
      <w:r w:rsidR="006742A6" w:rsidRPr="005643E4">
        <w:t xml:space="preserve">minimum </w:t>
      </w:r>
      <w:r w:rsidR="006742A6" w:rsidRPr="005643E4">
        <w:lastRenderedPageBreak/>
        <w:t xml:space="preserve">performance </w:t>
      </w:r>
      <w:r w:rsidR="00A27B1E" w:rsidRPr="005643E4">
        <w:t xml:space="preserve">requirements for </w:t>
      </w:r>
      <w:r w:rsidR="006742A6" w:rsidRPr="005643E4">
        <w:t xml:space="preserve">reversing technologies to be installed on new model vehicles. Harmonisation with international regulations </w:t>
      </w:r>
      <w:r w:rsidRPr="005643E4">
        <w:t>minimise</w:t>
      </w:r>
      <w:r w:rsidR="00A27B1E" w:rsidRPr="005643E4">
        <w:t>s</w:t>
      </w:r>
      <w:r w:rsidRPr="005643E4">
        <w:t xml:space="preserve"> costs associated with reversing technologies development, provides manufacturers the flexibility to incorporate or adapt systems that have already been developed and tested for markets with </w:t>
      </w:r>
      <w:r w:rsidR="00A27B1E" w:rsidRPr="005643E4">
        <w:t>similar</w:t>
      </w:r>
      <w:r w:rsidRPr="005643E4">
        <w:t xml:space="preserve"> requirements. It also enable</w:t>
      </w:r>
      <w:r w:rsidR="00A27B1E" w:rsidRPr="005643E4">
        <w:t xml:space="preserve">s testing and certification frameworks in other markets to be </w:t>
      </w:r>
      <w:r w:rsidRPr="005643E4">
        <w:t>levera</w:t>
      </w:r>
      <w:r w:rsidR="00A27B1E" w:rsidRPr="005643E4">
        <w:t>ged.</w:t>
      </w:r>
      <w:r w:rsidRPr="005643E4">
        <w:t xml:space="preserve"> </w:t>
      </w:r>
    </w:p>
    <w:p w14:paraId="572E8516" w14:textId="77777777" w:rsidR="00B4748F" w:rsidRPr="005643E4" w:rsidRDefault="00B4748F" w:rsidP="00FD094B">
      <w:pPr>
        <w:pStyle w:val="HeadingLevel2"/>
        <w:tabs>
          <w:tab w:val="num" w:pos="993"/>
        </w:tabs>
        <w:ind w:left="851"/>
      </w:pPr>
      <w:r w:rsidRPr="005643E4">
        <w:t>Performance Requirements</w:t>
      </w:r>
    </w:p>
    <w:p w14:paraId="2EB4837F" w14:textId="77777777" w:rsidR="009D63C9" w:rsidRPr="005643E4" w:rsidRDefault="009D63C9" w:rsidP="009D63C9">
      <w:r w:rsidRPr="005643E4">
        <w:t xml:space="preserve">ADR 108/00 prescribes requirements for fitment of at least one means of </w:t>
      </w:r>
      <w:r w:rsidR="00C60B9A" w:rsidRPr="005643E4">
        <w:t xml:space="preserve">rear visibility </w:t>
      </w:r>
      <w:r w:rsidRPr="005643E4">
        <w:t xml:space="preserve">or detection to the driver </w:t>
      </w:r>
      <w:r w:rsidR="00A16479" w:rsidRPr="005643E4">
        <w:t>when</w:t>
      </w:r>
      <w:r w:rsidRPr="005643E4">
        <w:t xml:space="preserve"> reversing. Devices for means of </w:t>
      </w:r>
      <w:r w:rsidR="00C60B9A" w:rsidRPr="005643E4">
        <w:t xml:space="preserve">rear visibility </w:t>
      </w:r>
      <w:r w:rsidRPr="005643E4">
        <w:t>includes direct vision, close-proximity rear-view mirrors, rear-view camera systems or devices for indirect vision</w:t>
      </w:r>
      <w:r w:rsidR="00E971AB" w:rsidRPr="005643E4">
        <w:t>, where d</w:t>
      </w:r>
      <w:r w:rsidRPr="005643E4">
        <w:t xml:space="preserve">evices </w:t>
      </w:r>
      <w:r w:rsidR="00E971AB" w:rsidRPr="005643E4">
        <w:t xml:space="preserve">for </w:t>
      </w:r>
      <w:r w:rsidRPr="005643E4">
        <w:t xml:space="preserve">detection may be a sensor system. </w:t>
      </w:r>
    </w:p>
    <w:p w14:paraId="5E256531" w14:textId="4AD074C5" w:rsidR="004D2F84" w:rsidRPr="005643E4" w:rsidRDefault="004D2F84" w:rsidP="009D63C9">
      <w:r w:rsidRPr="005643E4">
        <w:t xml:space="preserve">Clause 5.1 requires that all applicable vehicles be fitted with reversing technologies and meet the requirements set out in Appendix A of </w:t>
      </w:r>
      <w:r w:rsidR="00CA2135" w:rsidRPr="005643E4">
        <w:t>ADR 108/00</w:t>
      </w:r>
      <w:r w:rsidRPr="005643E4">
        <w:t xml:space="preserve">, as varied by </w:t>
      </w:r>
      <w:r w:rsidR="00285FA1" w:rsidRPr="005643E4">
        <w:t xml:space="preserve">clause </w:t>
      </w:r>
      <w:r w:rsidRPr="005643E4">
        <w:t>6 </w:t>
      </w:r>
      <w:r w:rsidR="00285FA1" w:rsidRPr="005643E4">
        <w:t>(</w:t>
      </w:r>
      <w:r w:rsidRPr="005643E4">
        <w:t>Exemptions and Alternative Procedures</w:t>
      </w:r>
      <w:r w:rsidR="00285FA1" w:rsidRPr="005643E4">
        <w:t>)</w:t>
      </w:r>
      <w:r w:rsidRPr="005643E4">
        <w:t>. Appendix A is the UN R158.</w:t>
      </w:r>
    </w:p>
    <w:p w14:paraId="5BA802A2" w14:textId="77777777" w:rsidR="00B37EA0" w:rsidRPr="005643E4" w:rsidRDefault="00E04ADC" w:rsidP="005439BA">
      <w:pPr>
        <w:pStyle w:val="Subsubsection"/>
      </w:pPr>
      <w:r w:rsidRPr="005643E4">
        <w:t>Backing event</w:t>
      </w:r>
    </w:p>
    <w:p w14:paraId="5779E807" w14:textId="77777777" w:rsidR="009D63C9" w:rsidRPr="005643E4" w:rsidRDefault="003830B4" w:rsidP="00CC7F42">
      <w:r w:rsidRPr="005643E4">
        <w:t xml:space="preserve">Reversing aids are to be operational during a </w:t>
      </w:r>
      <w:r w:rsidR="00E04ADC" w:rsidRPr="005643E4">
        <w:t>backing event</w:t>
      </w:r>
      <w:r w:rsidRPr="005643E4">
        <w:t>.</w:t>
      </w:r>
      <w:r w:rsidR="00E130F8" w:rsidRPr="005643E4">
        <w:t xml:space="preserve"> </w:t>
      </w:r>
      <w:r w:rsidR="009D63C9" w:rsidRPr="005643E4">
        <w:t xml:space="preserve">A </w:t>
      </w:r>
      <w:r w:rsidR="00E04ADC" w:rsidRPr="005643E4">
        <w:t>backing event</w:t>
      </w:r>
      <w:r w:rsidR="009D63C9" w:rsidRPr="005643E4">
        <w:t xml:space="preserve"> </w:t>
      </w:r>
      <w:r w:rsidR="00A16479" w:rsidRPr="005643E4">
        <w:t>commences</w:t>
      </w:r>
      <w:r w:rsidR="009D63C9" w:rsidRPr="005643E4">
        <w:t xml:space="preserve"> when the vehicle is engaged in reverse</w:t>
      </w:r>
      <w:r w:rsidR="00A16479" w:rsidRPr="005643E4">
        <w:t>,</w:t>
      </w:r>
      <w:r w:rsidR="009D63C9" w:rsidRPr="005643E4">
        <w:t xml:space="preserve"> and ends when one of the following </w:t>
      </w:r>
      <w:r w:rsidR="005A40DA" w:rsidRPr="005643E4">
        <w:t xml:space="preserve">forward motion </w:t>
      </w:r>
      <w:r w:rsidR="009D63C9" w:rsidRPr="005643E4">
        <w:t>conditions is met</w:t>
      </w:r>
      <w:r w:rsidR="00A16479" w:rsidRPr="005643E4">
        <w:t>;</w:t>
      </w:r>
      <w:r w:rsidR="009D63C9" w:rsidRPr="005643E4">
        <w:t xml:space="preserve"> the vehicle speed is less than 16 km/h, distance travelled is less than 10 meters, continuous duration is less than 10 seconds or </w:t>
      </w:r>
      <w:r w:rsidR="005A40DA" w:rsidRPr="005643E4">
        <w:t xml:space="preserve">if </w:t>
      </w:r>
      <w:r w:rsidR="009D63C9" w:rsidRPr="005643E4">
        <w:t>the vehicle’s direction selector is not placed in reverse.</w:t>
      </w:r>
    </w:p>
    <w:p w14:paraId="7AC732F3" w14:textId="77777777" w:rsidR="00A6776D" w:rsidRPr="005643E4" w:rsidRDefault="00986AEA" w:rsidP="001D3FBF">
      <w:pPr>
        <w:pStyle w:val="Subsubsection"/>
      </w:pPr>
      <w:r w:rsidRPr="005643E4">
        <w:t>Rear-view Camera System Requirements</w:t>
      </w:r>
    </w:p>
    <w:p w14:paraId="46FA8F62" w14:textId="77777777" w:rsidR="00004C1A" w:rsidRPr="005643E4" w:rsidRDefault="00DB721C" w:rsidP="003830B4">
      <w:r w:rsidRPr="005643E4">
        <w:t>Rear-v</w:t>
      </w:r>
      <w:r w:rsidR="00004C1A" w:rsidRPr="005643E4">
        <w:t>i</w:t>
      </w:r>
      <w:r w:rsidRPr="005643E4">
        <w:t>ew c</w:t>
      </w:r>
      <w:r w:rsidR="00004C1A" w:rsidRPr="005643E4">
        <w:t>amera system</w:t>
      </w:r>
      <w:r w:rsidR="005A40DA" w:rsidRPr="005643E4">
        <w:t>s are</w:t>
      </w:r>
      <w:r w:rsidR="00004C1A" w:rsidRPr="005643E4">
        <w:t xml:space="preserve"> intended to </w:t>
      </w:r>
      <w:r w:rsidR="00E04ADC" w:rsidRPr="005643E4">
        <w:t xml:space="preserve">display </w:t>
      </w:r>
      <w:r w:rsidR="005A40DA" w:rsidRPr="005643E4">
        <w:t>an</w:t>
      </w:r>
      <w:r w:rsidR="00004C1A" w:rsidRPr="005643E4">
        <w:t xml:space="preserve"> image of the outside world </w:t>
      </w:r>
      <w:r w:rsidR="005A40DA" w:rsidRPr="005643E4">
        <w:t xml:space="preserve">to provide the driver with </w:t>
      </w:r>
      <w:r w:rsidR="00004C1A" w:rsidRPr="005643E4">
        <w:t xml:space="preserve">a clear view </w:t>
      </w:r>
      <w:r w:rsidR="005A40DA" w:rsidRPr="005643E4">
        <w:t xml:space="preserve">of what is behind the </w:t>
      </w:r>
      <w:r w:rsidR="00004C1A" w:rsidRPr="005643E4">
        <w:t xml:space="preserve">vehicle. It usually consists of a rear-view camera and a </w:t>
      </w:r>
      <w:r w:rsidR="00E04ADC" w:rsidRPr="005643E4">
        <w:t>monitor</w:t>
      </w:r>
      <w:r w:rsidR="005A40DA" w:rsidRPr="005643E4">
        <w:t xml:space="preserve"> in</w:t>
      </w:r>
      <w:r w:rsidR="00F95E2E" w:rsidRPr="005643E4">
        <w:t>side</w:t>
      </w:r>
      <w:r w:rsidR="005A40DA" w:rsidRPr="005643E4">
        <w:t xml:space="preserve"> the vehicle cabin</w:t>
      </w:r>
      <w:r w:rsidR="00004C1A" w:rsidRPr="005643E4">
        <w:t>.</w:t>
      </w:r>
    </w:p>
    <w:p w14:paraId="155B8D3A" w14:textId="77777777" w:rsidR="0041416E" w:rsidRPr="005643E4" w:rsidRDefault="009D06D5" w:rsidP="003D10E6">
      <w:r w:rsidRPr="005643E4">
        <w:t xml:space="preserve">Some vehicles may have cameras </w:t>
      </w:r>
      <w:r w:rsidR="00A45541" w:rsidRPr="005643E4">
        <w:t xml:space="preserve">other than those used for rear-view mounted at the </w:t>
      </w:r>
      <w:r w:rsidR="0041416E" w:rsidRPr="005643E4">
        <w:t xml:space="preserve">front and the </w:t>
      </w:r>
      <w:r w:rsidR="00A45541" w:rsidRPr="005643E4">
        <w:t xml:space="preserve">sides </w:t>
      </w:r>
      <w:r w:rsidRPr="005643E4">
        <w:t>of the vehicle</w:t>
      </w:r>
      <w:r w:rsidR="00A45541" w:rsidRPr="005643E4">
        <w:t xml:space="preserve">. These cameras may use the same </w:t>
      </w:r>
      <w:r w:rsidR="00E04ADC" w:rsidRPr="005643E4">
        <w:t>monitor</w:t>
      </w:r>
      <w:r w:rsidR="00A45541" w:rsidRPr="005643E4">
        <w:t xml:space="preserve"> as the rear-view camera</w:t>
      </w:r>
      <w:r w:rsidRPr="005643E4">
        <w:t xml:space="preserve"> </w:t>
      </w:r>
      <w:r w:rsidR="00A45541" w:rsidRPr="005643E4">
        <w:t xml:space="preserve">system </w:t>
      </w:r>
      <w:r w:rsidRPr="005643E4">
        <w:t xml:space="preserve">with changes to the system’s field of view settings </w:t>
      </w:r>
      <w:r w:rsidR="00A45541" w:rsidRPr="005643E4">
        <w:t xml:space="preserve">making it </w:t>
      </w:r>
      <w:r w:rsidRPr="005643E4">
        <w:t xml:space="preserve">possible to </w:t>
      </w:r>
      <w:r w:rsidR="00A45541" w:rsidRPr="005643E4">
        <w:t>view the other</w:t>
      </w:r>
      <w:r w:rsidRPr="005643E4">
        <w:t xml:space="preserve"> cameras. </w:t>
      </w:r>
      <w:r w:rsidR="00640758" w:rsidRPr="005643E4">
        <w:t xml:space="preserve">The </w:t>
      </w:r>
      <w:r w:rsidR="007B547B" w:rsidRPr="005643E4">
        <w:t>rear-view camera system</w:t>
      </w:r>
      <w:r w:rsidR="00640758" w:rsidRPr="005643E4">
        <w:t xml:space="preserve"> must default to the rear-view image at the beginning of each </w:t>
      </w:r>
      <w:r w:rsidR="00E04ADC" w:rsidRPr="005643E4">
        <w:t>backing event</w:t>
      </w:r>
      <w:r w:rsidR="00A45541" w:rsidRPr="005643E4">
        <w:t xml:space="preserve"> </w:t>
      </w:r>
      <w:r w:rsidR="00640758" w:rsidRPr="005643E4">
        <w:t xml:space="preserve">regardless of any </w:t>
      </w:r>
      <w:r w:rsidR="005A40DA" w:rsidRPr="005643E4">
        <w:t xml:space="preserve">changes </w:t>
      </w:r>
      <w:r w:rsidR="00640758" w:rsidRPr="005643E4">
        <w:t xml:space="preserve">to the field of view </w:t>
      </w:r>
      <w:r w:rsidR="005A40DA" w:rsidRPr="005643E4">
        <w:t xml:space="preserve">settings </w:t>
      </w:r>
      <w:r w:rsidR="00640758" w:rsidRPr="005643E4">
        <w:t xml:space="preserve">that </w:t>
      </w:r>
      <w:r w:rsidR="005A40DA" w:rsidRPr="005643E4">
        <w:t xml:space="preserve">have </w:t>
      </w:r>
      <w:r w:rsidR="00640758" w:rsidRPr="005643E4">
        <w:t xml:space="preserve">previously </w:t>
      </w:r>
      <w:r w:rsidR="005A40DA" w:rsidRPr="005643E4">
        <w:t>been made</w:t>
      </w:r>
      <w:r w:rsidR="00640758" w:rsidRPr="005643E4">
        <w:t xml:space="preserve">. </w:t>
      </w:r>
    </w:p>
    <w:p w14:paraId="7445AFC0" w14:textId="77777777" w:rsidR="00640758" w:rsidRPr="005643E4" w:rsidRDefault="00F846DC" w:rsidP="003D10E6">
      <w:r w:rsidRPr="005643E4">
        <w:t xml:space="preserve">The rear-view camera system must show the defined field of vision within two seconds of the start of the </w:t>
      </w:r>
      <w:r w:rsidR="00E04ADC" w:rsidRPr="005643E4">
        <w:t>backing event</w:t>
      </w:r>
      <w:r w:rsidRPr="005643E4">
        <w:t xml:space="preserve"> and remain visible until either; the driver modifies the view, or the vehicle direction selector is no longer in the reverse position.</w:t>
      </w:r>
      <w:r w:rsidR="00E04ADC" w:rsidRPr="005643E4">
        <w:t xml:space="preserve"> </w:t>
      </w:r>
      <w:r w:rsidR="00640758" w:rsidRPr="005643E4">
        <w:t xml:space="preserve">The rear-view image can be manually switched off when the vehicle detects </w:t>
      </w:r>
      <w:r w:rsidR="007B4080" w:rsidRPr="005643E4">
        <w:t>that a trailer is being towed</w:t>
      </w:r>
      <w:r w:rsidR="00640758" w:rsidRPr="005643E4">
        <w:t>.</w:t>
      </w:r>
    </w:p>
    <w:p w14:paraId="3074561B" w14:textId="77777777" w:rsidR="003D10E6" w:rsidRPr="005643E4" w:rsidRDefault="00004C1A" w:rsidP="003D10E6">
      <w:r w:rsidRPr="005643E4">
        <w:t xml:space="preserve">The </w:t>
      </w:r>
      <w:r w:rsidR="00E04ADC" w:rsidRPr="005643E4">
        <w:t>monitor</w:t>
      </w:r>
      <w:r w:rsidR="00A45541" w:rsidRPr="005643E4">
        <w:t xml:space="preserve"> </w:t>
      </w:r>
      <w:r w:rsidRPr="005643E4">
        <w:t xml:space="preserve">shall be visible without any obstruction from the </w:t>
      </w:r>
      <w:r w:rsidR="007B4080" w:rsidRPr="005643E4">
        <w:t>driving position</w:t>
      </w:r>
      <w:r w:rsidRPr="005643E4">
        <w:t xml:space="preserve">. Whilst reversing, the </w:t>
      </w:r>
      <w:r w:rsidR="003D10E6" w:rsidRPr="005643E4">
        <w:t>overlays on the monitor</w:t>
      </w:r>
      <w:r w:rsidRPr="005643E4">
        <w:t xml:space="preserve"> shall only </w:t>
      </w:r>
      <w:r w:rsidR="00F95E2E" w:rsidRPr="005643E4">
        <w:t xml:space="preserve">display </w:t>
      </w:r>
      <w:r w:rsidRPr="005643E4">
        <w:t>rearward driving-related visual information or safety-related information.</w:t>
      </w:r>
      <w:r w:rsidR="003D10E6" w:rsidRPr="005643E4">
        <w:t xml:space="preserve"> Overlays for other purposes in the required field of vision are not allowed. </w:t>
      </w:r>
    </w:p>
    <w:p w14:paraId="7A181F4C" w14:textId="77777777" w:rsidR="003D10E6" w:rsidRPr="005643E4" w:rsidRDefault="003D10E6" w:rsidP="003D10E6">
      <w:r w:rsidRPr="005643E4">
        <w:t>Manually activated overlays are allowed only when the driver needs to activate a rearward driving-related function or safety-related function (e.g. cleaning of the lens or activation of trailer hitch view) or requires specific information in such an environment. The driver may have an option to close the overlay.</w:t>
      </w:r>
    </w:p>
    <w:p w14:paraId="0A75B07B" w14:textId="77777777" w:rsidR="00B37EA0" w:rsidRPr="005643E4" w:rsidRDefault="00A6776D" w:rsidP="003D10E6">
      <w:pPr>
        <w:pStyle w:val="Subsubsection"/>
      </w:pPr>
      <w:r w:rsidRPr="005643E4">
        <w:t>Detection systems</w:t>
      </w:r>
    </w:p>
    <w:p w14:paraId="60001A8D" w14:textId="77777777" w:rsidR="00A6776D" w:rsidRPr="005643E4" w:rsidRDefault="00A6776D" w:rsidP="00A6776D">
      <w:r w:rsidRPr="005643E4">
        <w:t xml:space="preserve">Detection systems use signals to alert the driver when objects </w:t>
      </w:r>
      <w:r w:rsidR="00F95E2E" w:rsidRPr="005643E4">
        <w:t>are close</w:t>
      </w:r>
      <w:r w:rsidRPr="005643E4">
        <w:t xml:space="preserve"> to the vehicle using at least two types of signal from </w:t>
      </w:r>
      <w:r w:rsidRPr="005643E4">
        <w:rPr>
          <w:lang w:val="en-US"/>
        </w:rPr>
        <w:t xml:space="preserve">audible, optical, and haptic. Within 0.6 seconds of a </w:t>
      </w:r>
      <w:r w:rsidR="00E04ADC" w:rsidRPr="005643E4">
        <w:rPr>
          <w:lang w:val="en-US"/>
        </w:rPr>
        <w:t xml:space="preserve">backing </w:t>
      </w:r>
      <w:r w:rsidR="00E04ADC" w:rsidRPr="005643E4">
        <w:rPr>
          <w:lang w:val="en-US"/>
        </w:rPr>
        <w:lastRenderedPageBreak/>
        <w:t>event</w:t>
      </w:r>
      <w:r w:rsidRPr="005643E4">
        <w:rPr>
          <w:lang w:val="en-US"/>
        </w:rPr>
        <w:t xml:space="preserve"> starting</w:t>
      </w:r>
      <w:r w:rsidR="00251D79" w:rsidRPr="005643E4">
        <w:rPr>
          <w:lang w:val="en-US"/>
        </w:rPr>
        <w:t>,</w:t>
      </w:r>
      <w:r w:rsidRPr="005643E4">
        <w:rPr>
          <w:lang w:val="en-US"/>
        </w:rPr>
        <w:t xml:space="preserve"> audible or haptic feedback must be given to the driver so they are aware that the system is active.</w:t>
      </w:r>
    </w:p>
    <w:p w14:paraId="7F077214" w14:textId="77777777" w:rsidR="004D2F84" w:rsidRPr="005643E4" w:rsidRDefault="00A6776D" w:rsidP="00A6776D">
      <w:pPr>
        <w:rPr>
          <w:lang w:val="en-US"/>
        </w:rPr>
      </w:pPr>
      <w:r w:rsidRPr="005643E4">
        <w:rPr>
          <w:lang w:val="en-US"/>
        </w:rPr>
        <w:t xml:space="preserve">The detection system shall be activated when the </w:t>
      </w:r>
      <w:r w:rsidR="00E04ADC" w:rsidRPr="005643E4">
        <w:rPr>
          <w:lang w:val="en-US"/>
        </w:rPr>
        <w:t>backing event</w:t>
      </w:r>
      <w:r w:rsidRPr="005643E4">
        <w:rPr>
          <w:lang w:val="en-US"/>
        </w:rPr>
        <w:t xml:space="preserve"> starts and remain active as long as the vehicle direction selector is in the reverse position. If the system is unable to properly function</w:t>
      </w:r>
      <w:r w:rsidR="003838E9" w:rsidRPr="005643E4">
        <w:rPr>
          <w:lang w:val="en-US"/>
        </w:rPr>
        <w:t>,</w:t>
      </w:r>
      <w:r w:rsidRPr="005643E4">
        <w:rPr>
          <w:lang w:val="en-US"/>
        </w:rPr>
        <w:t xml:space="preserve"> the system </w:t>
      </w:r>
      <w:r w:rsidR="00F95E2E" w:rsidRPr="005643E4">
        <w:rPr>
          <w:lang w:val="en-US"/>
        </w:rPr>
        <w:t xml:space="preserve">must </w:t>
      </w:r>
      <w:r w:rsidRPr="005643E4">
        <w:rPr>
          <w:lang w:val="en-US"/>
        </w:rPr>
        <w:t xml:space="preserve">automatically shut off or the driver </w:t>
      </w:r>
      <w:r w:rsidR="00F95E2E" w:rsidRPr="005643E4">
        <w:rPr>
          <w:lang w:val="en-US"/>
        </w:rPr>
        <w:t xml:space="preserve">must </w:t>
      </w:r>
      <w:r w:rsidRPr="005643E4">
        <w:rPr>
          <w:lang w:val="en-US"/>
        </w:rPr>
        <w:t xml:space="preserve">be able to deactivate the system manually. </w:t>
      </w:r>
      <w:r w:rsidR="004D2F84" w:rsidRPr="005643E4">
        <w:rPr>
          <w:lang w:val="en-US"/>
        </w:rPr>
        <w:t>As long as one-information signal remains active, the driver is able to de-activ</w:t>
      </w:r>
      <w:r w:rsidR="00682435" w:rsidRPr="005643E4">
        <w:rPr>
          <w:lang w:val="en-US"/>
        </w:rPr>
        <w:t>ate</w:t>
      </w:r>
      <w:r w:rsidR="004D2F84" w:rsidRPr="005643E4">
        <w:rPr>
          <w:lang w:val="en-US"/>
        </w:rPr>
        <w:t xml:space="preserve"> the other information signals. The detection system can be switched off </w:t>
      </w:r>
      <w:r w:rsidR="004D2F84" w:rsidRPr="005643E4">
        <w:t>when the vehicle detects a coupling by means of a coupling device.</w:t>
      </w:r>
    </w:p>
    <w:p w14:paraId="5BB067D1" w14:textId="77777777" w:rsidR="00A34DB5" w:rsidRPr="005643E4" w:rsidRDefault="00A34DB5" w:rsidP="00680A35">
      <w:pPr>
        <w:pStyle w:val="Subsubsection"/>
      </w:pPr>
      <w:r w:rsidRPr="005643E4">
        <w:t>Rear-View Field of Vision Performance and Limitations</w:t>
      </w:r>
    </w:p>
    <w:p w14:paraId="198BB530" w14:textId="77777777" w:rsidR="00CC7F42" w:rsidRPr="005643E4" w:rsidRDefault="00041790" w:rsidP="00586E18">
      <w:r w:rsidRPr="005643E4">
        <w:t>This National Road Vehicle Standard</w:t>
      </w:r>
      <w:r w:rsidR="00586E18" w:rsidRPr="005643E4">
        <w:t xml:space="preserve"> requires that devices for means of vision </w:t>
      </w:r>
      <w:r w:rsidR="00F95E2E" w:rsidRPr="005643E4">
        <w:t xml:space="preserve">are </w:t>
      </w:r>
      <w:r w:rsidR="00586E18" w:rsidRPr="005643E4">
        <w:t>tested to provide a close-proximity rear-view field of vision through detection of nine equally spaced circular cylinder</w:t>
      </w:r>
      <w:r w:rsidRPr="005643E4">
        <w:t>s</w:t>
      </w:r>
      <w:r w:rsidR="00586E18" w:rsidRPr="005643E4">
        <w:t xml:space="preserve"> 0.8m high and 0.3m in external diameter, placed in three rows </w:t>
      </w:r>
      <w:r w:rsidRPr="005643E4">
        <w:t xml:space="preserve">at </w:t>
      </w:r>
      <w:r w:rsidR="00586E18" w:rsidRPr="005643E4">
        <w:t xml:space="preserve">the rear of the vehicle. </w:t>
      </w:r>
      <w:r w:rsidR="003A10FC" w:rsidRPr="005643E4">
        <w:t xml:space="preserve">Using a test object height of 0.8m is advantageous for the detection of children at the rear of the vehicle as their </w:t>
      </w:r>
      <w:r w:rsidR="00CC7F42" w:rsidRPr="005643E4">
        <w:t xml:space="preserve">average height is between 66 cm </w:t>
      </w:r>
      <w:r w:rsidRPr="005643E4">
        <w:t xml:space="preserve">and </w:t>
      </w:r>
      <w:r w:rsidR="00CC7F42" w:rsidRPr="005643E4">
        <w:t>104 cm.</w:t>
      </w:r>
    </w:p>
    <w:p w14:paraId="1FB2BA5F" w14:textId="77777777" w:rsidR="00586E18" w:rsidRPr="005643E4" w:rsidRDefault="00586E18" w:rsidP="00586E18">
      <w:r w:rsidRPr="005643E4">
        <w:t xml:space="preserve">The minimum performance field of vision covers a rectangular area </w:t>
      </w:r>
      <w:r w:rsidR="00E971AB" w:rsidRPr="005643E4">
        <w:t xml:space="preserve">from </w:t>
      </w:r>
      <w:r w:rsidRPr="005643E4">
        <w:t xml:space="preserve">0.3m </w:t>
      </w:r>
      <w:r w:rsidR="00E971AB" w:rsidRPr="005643E4">
        <w:t xml:space="preserve">to </w:t>
      </w:r>
      <w:r w:rsidRPr="005643E4">
        <w:t>3.5m behind the vehicle in a parallel direction relative to the vehicle width.</w:t>
      </w:r>
      <w:r w:rsidR="003A10FC" w:rsidRPr="005643E4">
        <w:t xml:space="preserve"> Th</w:t>
      </w:r>
      <w:r w:rsidR="00D4469F" w:rsidRPr="005643E4">
        <w:t>is provides visibility for objects in the rear at a close-proximity and at a distance.</w:t>
      </w:r>
    </w:p>
    <w:p w14:paraId="26A49060" w14:textId="77777777" w:rsidR="00586E18" w:rsidRPr="005643E4" w:rsidRDefault="00586E18" w:rsidP="00586E18">
      <w:r w:rsidRPr="005643E4">
        <w:t>Demonstration of meeting the requirements for ‘field of vision’ can be achieved via:</w:t>
      </w:r>
    </w:p>
    <w:p w14:paraId="12437FC1" w14:textId="77777777" w:rsidR="00586E18" w:rsidRPr="005643E4" w:rsidRDefault="00586E18" w:rsidP="00586E18">
      <w:pPr>
        <w:pStyle w:val="ListParagraph"/>
        <w:numPr>
          <w:ilvl w:val="0"/>
          <w:numId w:val="3"/>
        </w:numPr>
        <w:spacing w:before="0" w:after="160" w:line="259" w:lineRule="auto"/>
      </w:pPr>
      <w:r w:rsidRPr="005643E4">
        <w:t xml:space="preserve">the direct view from the driver’s </w:t>
      </w:r>
      <w:r w:rsidR="00682435" w:rsidRPr="005643E4">
        <w:t>position</w:t>
      </w:r>
      <w:r w:rsidRPr="005643E4">
        <w:t>;</w:t>
      </w:r>
    </w:p>
    <w:p w14:paraId="4288D087" w14:textId="77777777" w:rsidR="00586E18" w:rsidRPr="005643E4" w:rsidRDefault="00586E18" w:rsidP="00586E18">
      <w:pPr>
        <w:pStyle w:val="ListParagraph"/>
        <w:numPr>
          <w:ilvl w:val="0"/>
          <w:numId w:val="3"/>
        </w:numPr>
        <w:spacing w:before="0" w:after="160" w:line="259" w:lineRule="auto"/>
      </w:pPr>
      <w:r w:rsidRPr="005643E4">
        <w:t>the driver’s looking back ocular points combined with a close-proximity rear-view mirror installed at the rear end of the vehicle supporting this direct view;</w:t>
      </w:r>
    </w:p>
    <w:p w14:paraId="15B4947A" w14:textId="77777777" w:rsidR="00586E18" w:rsidRPr="005643E4" w:rsidRDefault="00586E18" w:rsidP="00586E18">
      <w:pPr>
        <w:pStyle w:val="ListParagraph"/>
        <w:numPr>
          <w:ilvl w:val="0"/>
          <w:numId w:val="3"/>
        </w:numPr>
        <w:spacing w:before="0" w:after="160" w:line="259" w:lineRule="auto"/>
      </w:pPr>
      <w:r w:rsidRPr="005643E4">
        <w:t>a device of indirect vision approved to UN Regulation No. 46;</w:t>
      </w:r>
    </w:p>
    <w:p w14:paraId="4BB0C018" w14:textId="77777777" w:rsidR="00586E18" w:rsidRPr="005643E4" w:rsidRDefault="00586E18" w:rsidP="00586E18">
      <w:pPr>
        <w:pStyle w:val="ListParagraph"/>
        <w:numPr>
          <w:ilvl w:val="0"/>
          <w:numId w:val="3"/>
        </w:numPr>
        <w:spacing w:before="0" w:after="160" w:line="259" w:lineRule="auto"/>
      </w:pPr>
      <w:r w:rsidRPr="005643E4">
        <w:t>a device of indirect vision complying with this Regulation;</w:t>
      </w:r>
    </w:p>
    <w:p w14:paraId="56C64643" w14:textId="77777777" w:rsidR="00586E18" w:rsidRPr="005643E4" w:rsidRDefault="00586E18" w:rsidP="00586E18">
      <w:pPr>
        <w:pStyle w:val="ListParagraph"/>
        <w:numPr>
          <w:ilvl w:val="0"/>
          <w:numId w:val="3"/>
        </w:numPr>
        <w:spacing w:before="0" w:after="160" w:line="259" w:lineRule="auto"/>
      </w:pPr>
      <w:r w:rsidRPr="005643E4">
        <w:t>a device of detection system that complies with this Regulation except for the field of detection (e.g. very short range); or</w:t>
      </w:r>
    </w:p>
    <w:p w14:paraId="0F82679D" w14:textId="77777777" w:rsidR="00586E18" w:rsidRPr="005643E4" w:rsidRDefault="00586E18" w:rsidP="00586E18">
      <w:pPr>
        <w:pStyle w:val="ListParagraph"/>
        <w:numPr>
          <w:ilvl w:val="0"/>
          <w:numId w:val="3"/>
        </w:numPr>
        <w:spacing w:before="0" w:after="160" w:line="259" w:lineRule="auto"/>
      </w:pPr>
      <w:r w:rsidRPr="005643E4">
        <w:t>a combination of devices except a combination of rear-view camera systems and mirror(s) or close-proximity rear-view mirror.</w:t>
      </w:r>
    </w:p>
    <w:p w14:paraId="18CD9B66" w14:textId="77777777" w:rsidR="001A38C1" w:rsidRPr="005643E4" w:rsidRDefault="00586E18" w:rsidP="008A760E">
      <w:r w:rsidRPr="005643E4">
        <w:t xml:space="preserve">"Field of vision" means the section of the space above ground level which is monitored with the help of a device for indirect vision. Unless otherwise stated, this is based on the view offered by a device and/or devices other than mirrors. </w:t>
      </w:r>
    </w:p>
    <w:p w14:paraId="22CF55B9" w14:textId="77777777" w:rsidR="004808BA" w:rsidRPr="005643E4" w:rsidRDefault="004808BA" w:rsidP="00922C16">
      <w:pPr>
        <w:pStyle w:val="Subsubsection"/>
      </w:pPr>
      <w:r w:rsidRPr="005643E4">
        <w:t>Field of Detection Requirements</w:t>
      </w:r>
    </w:p>
    <w:p w14:paraId="0718607E" w14:textId="77777777" w:rsidR="00E04ADC" w:rsidRPr="005643E4" w:rsidRDefault="00E04ADC" w:rsidP="00E04ADC">
      <w:r w:rsidRPr="005643E4">
        <w:t>This National Road Vehicle Standard requires that the detection system is tested to provide information other than vision</w:t>
      </w:r>
      <w:r w:rsidR="00682435" w:rsidRPr="005643E4">
        <w:t>,</w:t>
      </w:r>
      <w:r w:rsidRPr="005643E4">
        <w:t xml:space="preserve"> through</w:t>
      </w:r>
      <w:r w:rsidR="00682435" w:rsidRPr="005643E4">
        <w:t xml:space="preserve"> the</w:t>
      </w:r>
      <w:r w:rsidRPr="005643E4">
        <w:t xml:space="preserve"> detection of </w:t>
      </w:r>
      <w:r w:rsidR="00682435" w:rsidRPr="005643E4">
        <w:t xml:space="preserve">an </w:t>
      </w:r>
      <w:r w:rsidRPr="005643E4">
        <w:t xml:space="preserve">even or odd number </w:t>
      </w:r>
      <w:r w:rsidR="0039681C" w:rsidRPr="005643E4">
        <w:t xml:space="preserve">of </w:t>
      </w:r>
      <w:r w:rsidRPr="005643E4">
        <w:t xml:space="preserve">poles, placed in various locations to the rear of the vehicle. The minimum performance field of detection covers a rectangular area from 0.2m to 1.0m behind the vehicle in a parallel direction relative to the vehicle width. The minimum detection rate required is 90% of the area from 0.2m </w:t>
      </w:r>
      <w:r w:rsidR="00F95E2E" w:rsidRPr="005643E4">
        <w:t xml:space="preserve">to </w:t>
      </w:r>
      <w:r w:rsidRPr="005643E4">
        <w:t xml:space="preserve">0.6m behind the vehicle and 87% of the area from 0.6m </w:t>
      </w:r>
      <w:r w:rsidR="00F95E2E" w:rsidRPr="005643E4">
        <w:t xml:space="preserve">to </w:t>
      </w:r>
      <w:r w:rsidRPr="005643E4">
        <w:t xml:space="preserve">1.0m behind the vehicle. </w:t>
      </w:r>
    </w:p>
    <w:p w14:paraId="4D3A83C9" w14:textId="77777777" w:rsidR="00E04ADC" w:rsidRPr="005643E4" w:rsidRDefault="00E04ADC" w:rsidP="00E04ADC">
      <w:r w:rsidRPr="005643E4">
        <w:t xml:space="preserve">An alternative simplified method is also provided where 10 poles are evenly spaced within the field of detection area at 0.05m from the edges, to which the minimum detection rate required is 100%. </w:t>
      </w:r>
    </w:p>
    <w:p w14:paraId="58DE90D5" w14:textId="77777777" w:rsidR="001272CD" w:rsidRPr="005643E4" w:rsidRDefault="00E04ADC" w:rsidP="00E04ADC">
      <w:r w:rsidRPr="005643E4">
        <w:t xml:space="preserve">The high detection rate of the two methodologies prescribed in </w:t>
      </w:r>
      <w:r w:rsidR="00F95E2E" w:rsidRPr="005643E4">
        <w:t xml:space="preserve">this National Road Vehicle Standard </w:t>
      </w:r>
      <w:r w:rsidRPr="005643E4">
        <w:t>mitigates disadvantages associated with detection systems (i.e. ultrasonic-</w:t>
      </w:r>
      <w:r w:rsidRPr="005643E4">
        <w:lastRenderedPageBreak/>
        <w:t>sensors/radars) where the system might fail to detect objects or detect “ghost targets” and misinterpret the surroundings.</w:t>
      </w:r>
    </w:p>
    <w:p w14:paraId="6D671AE9" w14:textId="77777777" w:rsidR="000524CE" w:rsidRPr="005643E4" w:rsidRDefault="001272CD" w:rsidP="001272CD">
      <w:r w:rsidRPr="005643E4">
        <w:t>Demonstration of meeting the requirements using audible signals requires</w:t>
      </w:r>
      <w:r w:rsidR="00712464" w:rsidRPr="005643E4">
        <w:t xml:space="preserve"> the provision of audible information in accordance to ISO 15006:2011 whilst an object is detected in the ‘field of detection’. The</w:t>
      </w:r>
      <w:r w:rsidRPr="005643E4">
        <w:t xml:space="preserve"> rear distance of the object relative to the vehicle is identified at two </w:t>
      </w:r>
      <w:r w:rsidR="00712464" w:rsidRPr="005643E4">
        <w:t xml:space="preserve">or more </w:t>
      </w:r>
      <w:r w:rsidR="000524CE" w:rsidRPr="005643E4">
        <w:t>levels. These zones differentiated by levels (distance) and detection width may be indicated by changing the frequency of intermittent sound, where a faster intermittent sound or continuous sound shall be used as the distance becomes closer.</w:t>
      </w:r>
    </w:p>
    <w:p w14:paraId="27804D30" w14:textId="77777777" w:rsidR="001272CD" w:rsidRPr="005643E4" w:rsidRDefault="008E32CB" w:rsidP="001272CD">
      <w:pPr>
        <w:rPr>
          <w:lang w:val="en-US"/>
        </w:rPr>
      </w:pPr>
      <w:r w:rsidRPr="005643E4">
        <w:t xml:space="preserve">The audible signal must </w:t>
      </w:r>
      <w:r w:rsidR="00C14D0A" w:rsidRPr="005643E4">
        <w:t xml:space="preserve">sound for </w:t>
      </w:r>
      <w:r w:rsidRPr="005643E4">
        <w:t xml:space="preserve">as long as the object is detected, and can only </w:t>
      </w:r>
      <w:r w:rsidR="00C14D0A" w:rsidRPr="005643E4">
        <w:t xml:space="preserve">cease </w:t>
      </w:r>
      <w:r w:rsidRPr="005643E4">
        <w:t xml:space="preserve">when the object is no longer detected or when the system is deactivated. To reduce the driver’s discomfort, </w:t>
      </w:r>
      <w:r w:rsidRPr="005643E4">
        <w:rPr>
          <w:lang w:val="en-US"/>
        </w:rPr>
        <w:t>the audible signal can be automatically suspended temporarily after a certain time set by the manufacturer has elapsed, provided that the system remains activated. If, while the audible signal is automatically suspended temporarily, the distance to the object becomes short, the audible signal shall be automatically resumed. If the distance to the object becomes long, the audible signal may remain suspended.</w:t>
      </w:r>
    </w:p>
    <w:p w14:paraId="001DFDB0" w14:textId="77777777" w:rsidR="001272CD" w:rsidRPr="005643E4" w:rsidRDefault="001272CD" w:rsidP="001272CD">
      <w:r w:rsidRPr="005643E4">
        <w:t>Demonstration of meeting the requirements for ‘field of detection’ using optical signals requires that information to be placed on a monitor, where the monitor can also be used for other information such as meter cluster displays. Overlay of optical information is allowed in accordance with the overlay requirements of the rear-view camera system.</w:t>
      </w:r>
    </w:p>
    <w:p w14:paraId="1999F4D9" w14:textId="77777777" w:rsidR="001272CD" w:rsidRPr="005643E4" w:rsidRDefault="003838E9" w:rsidP="001272CD">
      <w:r w:rsidRPr="005643E4">
        <w:t>A d</w:t>
      </w:r>
      <w:r w:rsidR="001272CD" w:rsidRPr="005643E4">
        <w:t xml:space="preserve">river must be able to recognise non-operation of the detection system (i.e. detection system failure by either warning indication, display information, black screen </w:t>
      </w:r>
      <w:r w:rsidR="00C20F09" w:rsidRPr="005643E4">
        <w:t xml:space="preserve">or </w:t>
      </w:r>
      <w:r w:rsidR="001272CD" w:rsidRPr="005643E4">
        <w:t>absence of status indicators). Other information for the driver should be made available and explained in the operator’s manual.</w:t>
      </w:r>
    </w:p>
    <w:p w14:paraId="4252ED3E" w14:textId="77777777" w:rsidR="00173523" w:rsidRPr="005643E4" w:rsidRDefault="00643FE9" w:rsidP="00617313">
      <w:r w:rsidRPr="005643E4">
        <w:t>"Field of detection" means the section of the tri-dimensional space above ground level.</w:t>
      </w:r>
    </w:p>
    <w:p w14:paraId="02644584" w14:textId="77777777" w:rsidR="00A34DB5" w:rsidRPr="005643E4" w:rsidRDefault="00A34DB5" w:rsidP="00A34DB5">
      <w:pPr>
        <w:pStyle w:val="HeadingLevel2"/>
        <w:tabs>
          <w:tab w:val="num" w:pos="2411"/>
        </w:tabs>
        <w:ind w:left="851"/>
      </w:pPr>
      <w:r w:rsidRPr="005643E4">
        <w:t xml:space="preserve">Exemptions and Alternative Procedures </w:t>
      </w:r>
    </w:p>
    <w:p w14:paraId="5BCB8469" w14:textId="77777777" w:rsidR="00973988" w:rsidRPr="005643E4" w:rsidRDefault="00973988" w:rsidP="00973988">
      <w:pPr>
        <w:pStyle w:val="Subsubsection"/>
      </w:pPr>
      <w:r w:rsidRPr="005643E4">
        <w:t>Exemptions</w:t>
      </w:r>
    </w:p>
    <w:p w14:paraId="29A3977A" w14:textId="77777777" w:rsidR="00960ED3" w:rsidRPr="005643E4" w:rsidRDefault="00960ED3" w:rsidP="005906D2">
      <w:r w:rsidRPr="005643E4">
        <w:t xml:space="preserve">Clause 3.3 of this standard </w:t>
      </w:r>
      <w:r w:rsidR="003152E3" w:rsidRPr="005643E4">
        <w:t xml:space="preserve">provides exemptions for manufacturers of </w:t>
      </w:r>
      <w:r w:rsidR="003152E3" w:rsidRPr="005643E4">
        <w:rPr>
          <w:i/>
        </w:rPr>
        <w:t>‘Partially Completed Vehicle’</w:t>
      </w:r>
      <w:r w:rsidR="003152E3" w:rsidRPr="005643E4">
        <w:t xml:space="preserve"> (such as </w:t>
      </w:r>
      <w:r w:rsidR="003152E3" w:rsidRPr="005643E4">
        <w:rPr>
          <w:i/>
        </w:rPr>
        <w:t>‘Chassis-cab’</w:t>
      </w:r>
      <w:r w:rsidR="003152E3" w:rsidRPr="005643E4">
        <w:t xml:space="preserve"> and </w:t>
      </w:r>
      <w:r w:rsidR="003152E3" w:rsidRPr="005643E4">
        <w:rPr>
          <w:i/>
        </w:rPr>
        <w:t>‘Chassis-cowl’</w:t>
      </w:r>
      <w:r w:rsidR="003152E3" w:rsidRPr="005643E4">
        <w:t xml:space="preserve">) and </w:t>
      </w:r>
      <w:r w:rsidR="003152E3" w:rsidRPr="005643E4">
        <w:rPr>
          <w:i/>
        </w:rPr>
        <w:t>‘Prime Mover’</w:t>
      </w:r>
      <w:r w:rsidR="003152E3" w:rsidRPr="005643E4">
        <w:t xml:space="preserve">, noting that completed vehicles are required to comply with the </w:t>
      </w:r>
      <w:r w:rsidR="003207CA" w:rsidRPr="005643E4">
        <w:t>regulation</w:t>
      </w:r>
      <w:r w:rsidR="003152E3" w:rsidRPr="005643E4">
        <w:t xml:space="preserve">. This clause was added after submissions received </w:t>
      </w:r>
      <w:r w:rsidR="00CE01CA" w:rsidRPr="005643E4">
        <w:t xml:space="preserve">by industry </w:t>
      </w:r>
      <w:r w:rsidR="003152E3" w:rsidRPr="005643E4">
        <w:t>during the public consultation requested exemptions</w:t>
      </w:r>
      <w:r w:rsidR="003207CA" w:rsidRPr="005643E4">
        <w:t xml:space="preserve"> </w:t>
      </w:r>
      <w:r w:rsidR="003152E3" w:rsidRPr="005643E4">
        <w:t>for vehicle types where installation of means of rear visibility or detection is incompatible with their on-road use.</w:t>
      </w:r>
    </w:p>
    <w:p w14:paraId="03F6D9F2" w14:textId="7B79EB49" w:rsidR="005906D2" w:rsidRPr="005643E4" w:rsidRDefault="00285FA1" w:rsidP="005906D2">
      <w:r w:rsidRPr="005643E4">
        <w:t>Clause</w:t>
      </w:r>
      <w:r w:rsidR="005906D2" w:rsidRPr="005643E4">
        <w:t xml:space="preserve"> 6 creates exemptions from some requirements of Appendix A (UN R158) which pertain to gaining a Type Approval in the UN context. This is because they are not required in the Australian context where the Commonwealth administers approvals through the Act and the ADRs. Consequently, manufacturers supplying new vehicles to Australia are exempt from most administrative (non-technical) requirements of UN R158. </w:t>
      </w:r>
    </w:p>
    <w:p w14:paraId="3013DC5A" w14:textId="160995DD" w:rsidR="00A63708" w:rsidRPr="005643E4" w:rsidRDefault="00412A51" w:rsidP="005906D2">
      <w:r w:rsidRPr="005643E4">
        <w:t xml:space="preserve">Clause 6.1 states that, </w:t>
      </w:r>
      <w:r w:rsidR="00C26DC6" w:rsidRPr="005643E4">
        <w:t>paragraphs</w:t>
      </w:r>
      <w:r w:rsidRPr="005643E4">
        <w:t xml:space="preserve"> 3, </w:t>
      </w:r>
      <w:r w:rsidR="003207CA" w:rsidRPr="005643E4">
        <w:t xml:space="preserve">4, </w:t>
      </w:r>
      <w:r w:rsidRPr="005643E4">
        <w:t xml:space="preserve">5, 7, 8, 9, 10, 11, 13, 14, 18, 19, 20, 21, 22 and annexes </w:t>
      </w:r>
      <w:r w:rsidR="003207CA" w:rsidRPr="005643E4">
        <w:t xml:space="preserve">1, 2, </w:t>
      </w:r>
      <w:r w:rsidRPr="005643E4">
        <w:t>3</w:t>
      </w:r>
      <w:r w:rsidR="003207CA" w:rsidRPr="005643E4">
        <w:t xml:space="preserve">, </w:t>
      </w:r>
      <w:r w:rsidRPr="005643E4">
        <w:t>4</w:t>
      </w:r>
      <w:r w:rsidR="003207CA" w:rsidRPr="005643E4">
        <w:t xml:space="preserve"> and 5</w:t>
      </w:r>
      <w:r w:rsidRPr="005643E4">
        <w:t xml:space="preserve"> of UN R158 are not required for the purposes of complying with ADR 108/00. This is because they refer to gaining a Type Approval in the UN context.</w:t>
      </w:r>
    </w:p>
    <w:p w14:paraId="04F92E75" w14:textId="77777777" w:rsidR="00973988" w:rsidRPr="005643E4" w:rsidRDefault="00973988" w:rsidP="00973988">
      <w:pPr>
        <w:pStyle w:val="Subsubsection"/>
      </w:pPr>
      <w:r w:rsidRPr="005643E4">
        <w:t>Alternative Procedures</w:t>
      </w:r>
    </w:p>
    <w:p w14:paraId="6677F619" w14:textId="08C70C2A" w:rsidR="008B05F5" w:rsidRPr="005643E4" w:rsidRDefault="00285FA1" w:rsidP="008B05F5">
      <w:r w:rsidRPr="005643E4">
        <w:t>Clause</w:t>
      </w:r>
      <w:r w:rsidR="008B05F5" w:rsidRPr="005643E4">
        <w:t xml:space="preserve"> 6 identifies procedures to which vehicles may comply, which are acceptable alternatives to those created by UN R158. These have been adapted for the Australian market </w:t>
      </w:r>
      <w:r w:rsidR="008B05F5" w:rsidRPr="005643E4">
        <w:lastRenderedPageBreak/>
        <w:t>to enable vehicle manufacturer</w:t>
      </w:r>
      <w:r w:rsidR="00B66C7E" w:rsidRPr="005643E4">
        <w:t>s</w:t>
      </w:r>
      <w:r w:rsidR="008B05F5" w:rsidRPr="005643E4">
        <w:t xml:space="preserve"> to demonstrate compliance to ADR 108/00 where they have not gained a type approval in the UN context.</w:t>
      </w:r>
    </w:p>
    <w:p w14:paraId="232914BF" w14:textId="572A68AB" w:rsidR="002A2241" w:rsidRPr="005643E4" w:rsidRDefault="00730297" w:rsidP="008B05F5">
      <w:r w:rsidRPr="005643E4">
        <w:t>Clause</w:t>
      </w:r>
      <w:r w:rsidR="00344AE0" w:rsidRPr="005643E4">
        <w:t>s</w:t>
      </w:r>
      <w:r w:rsidRPr="005643E4">
        <w:t xml:space="preserve"> 6.2</w:t>
      </w:r>
      <w:r w:rsidR="00524EC3" w:rsidRPr="005643E4">
        <w:t xml:space="preserve">, </w:t>
      </w:r>
      <w:r w:rsidRPr="005643E4">
        <w:t>6.3</w:t>
      </w:r>
      <w:r w:rsidR="00524EC3" w:rsidRPr="005643E4">
        <w:t>, 6.7, 6.8 and 6.9</w:t>
      </w:r>
      <w:r w:rsidR="00BD4811" w:rsidRPr="005643E4">
        <w:t xml:space="preserve"> </w:t>
      </w:r>
      <w:r w:rsidR="00524EC3" w:rsidRPr="005643E4">
        <w:t>clarif</w:t>
      </w:r>
      <w:r w:rsidR="00344AE0" w:rsidRPr="005643E4">
        <w:t>y</w:t>
      </w:r>
      <w:r w:rsidR="00524EC3" w:rsidRPr="005643E4">
        <w:t xml:space="preserve"> where in paragraphs 15.2.2 and 16.1.1.4 of Appendix A, paragraph 1.2.2 of Annex 7 in Appendix A, and paragraphs 1.3.2 and 1.42 of Annex 10 in Appendix A</w:t>
      </w:r>
      <w:r w:rsidR="002A2241" w:rsidRPr="005643E4">
        <w:t>, it is to be substituted with language accurate to the Australian context. The purpose is to replace language in Appendix A which originally referred to the UN application process.</w:t>
      </w:r>
    </w:p>
    <w:p w14:paraId="7A0D99EE" w14:textId="77777777" w:rsidR="00730297" w:rsidRPr="005643E4" w:rsidRDefault="00730297" w:rsidP="008B05F5">
      <w:r w:rsidRPr="005643E4">
        <w:t>Clause 6.4 omits paragraph 16.3 of Appendix A</w:t>
      </w:r>
      <w:r w:rsidR="002A2241" w:rsidRPr="005643E4">
        <w:t xml:space="preserve"> to replace language in Appendix A, which originally referred to the UN application process with language accurate to the Australian context.</w:t>
      </w:r>
    </w:p>
    <w:p w14:paraId="76D748A7" w14:textId="378F15C8" w:rsidR="008B05F5" w:rsidRPr="005643E4" w:rsidRDefault="008B05F5" w:rsidP="00973988">
      <w:r w:rsidRPr="005643E4">
        <w:t>Clause 6.</w:t>
      </w:r>
      <w:r w:rsidR="00181938" w:rsidRPr="005643E4">
        <w:t>5</w:t>
      </w:r>
      <w:r w:rsidRPr="005643E4">
        <w:t xml:space="preserve"> clarifies where in the Introduction and paragraphs 15.1 and 15.2.1.3 of Appendix A refers to “UN Regulation No. 46”, it is to be substituted by “Australian Design Rule 14/02 – Rear Vision Mirrors”</w:t>
      </w:r>
      <w:r w:rsidR="00CF671D" w:rsidRPr="005643E4">
        <w:t xml:space="preserve">. The purpose of this clause is </w:t>
      </w:r>
      <w:r w:rsidR="00D74FE9" w:rsidRPr="005643E4">
        <w:t xml:space="preserve">to </w:t>
      </w:r>
      <w:r w:rsidR="00CF671D" w:rsidRPr="005643E4">
        <w:t xml:space="preserve">ensure compliance with the ADR that incorporates the mentioned UN Regulation. </w:t>
      </w:r>
    </w:p>
    <w:p w14:paraId="3C0B1EFC" w14:textId="77777777" w:rsidR="00181938" w:rsidRPr="005643E4" w:rsidRDefault="00181938" w:rsidP="00973988">
      <w:r w:rsidRPr="005643E4">
        <w:t xml:space="preserve">Clause 6.6 clarifies where paragraph 15.1.2 of Appendix A refers to “UN </w:t>
      </w:r>
      <w:r w:rsidR="00FF0E0C" w:rsidRPr="005643E4">
        <w:t>R</w:t>
      </w:r>
      <w:r w:rsidRPr="005643E4">
        <w:t>egulation No. 79”, it is to be substituted by “Australian Design Rule 90/00 – Steering Systems”. The purpose of this clause is to ensure compliance with the ADR that incorporates the mentioned UN Regulation.</w:t>
      </w:r>
    </w:p>
    <w:p w14:paraId="11B08E2E" w14:textId="10FE57EB" w:rsidR="00181938" w:rsidRPr="005643E4" w:rsidRDefault="00FF0E0C" w:rsidP="00973988">
      <w:r w:rsidRPr="005643E4">
        <w:t xml:space="preserve">Clause 6.10 omits paragraph 1.4 of Appendix A as it overlaps with requirements in </w:t>
      </w:r>
      <w:r w:rsidR="008063DA" w:rsidRPr="005643E4">
        <w:t>clause</w:t>
      </w:r>
      <w:r w:rsidRPr="005643E4">
        <w:t xml:space="preserve"> 3 of the ADR.</w:t>
      </w:r>
    </w:p>
    <w:p w14:paraId="3D4B2C04" w14:textId="77777777" w:rsidR="00A34DB5" w:rsidRPr="005643E4" w:rsidRDefault="00A34DB5" w:rsidP="00C3438F">
      <w:pPr>
        <w:pStyle w:val="HeadingLevel2"/>
        <w:tabs>
          <w:tab w:val="num" w:pos="2411"/>
        </w:tabs>
        <w:ind w:left="851"/>
      </w:pPr>
      <w:r w:rsidRPr="005643E4">
        <w:t>Alternative Standards</w:t>
      </w:r>
    </w:p>
    <w:p w14:paraId="07E45CDD" w14:textId="7AC680D0" w:rsidR="00D87CB1" w:rsidRPr="005643E4" w:rsidRDefault="008063DA" w:rsidP="00C3438F">
      <w:r w:rsidRPr="005643E4">
        <w:t>Clause</w:t>
      </w:r>
      <w:r w:rsidR="00D87CB1" w:rsidRPr="005643E4">
        <w:t xml:space="preserve"> 7 sets out standards which are considered to be equivalent to ADR 108/00. If a vehicle meets the requirements of one of these standards, it also complies with ADR 108/00. These alternative standards are acceptable because they do not compromise the performance requirements set out in</w:t>
      </w:r>
      <w:r w:rsidR="00634503" w:rsidRPr="005643E4">
        <w:t xml:space="preserve"> UN R158</w:t>
      </w:r>
      <w:r w:rsidR="00D87CB1" w:rsidRPr="005643E4">
        <w:t xml:space="preserve">. Vehicle manufacturers have the flexibility to demonstrate compliance to ADR 108/00 through clause 5.1 and Appendix A as varied by </w:t>
      </w:r>
      <w:r w:rsidR="00344AE0" w:rsidRPr="005643E4">
        <w:t>clause</w:t>
      </w:r>
      <w:r w:rsidR="00D87CB1" w:rsidRPr="005643E4">
        <w:t xml:space="preserve"> 6 </w:t>
      </w:r>
      <w:r w:rsidR="00344AE0" w:rsidRPr="005643E4">
        <w:t>(</w:t>
      </w:r>
      <w:r w:rsidR="00D87CB1" w:rsidRPr="005643E4">
        <w:t>Exemptions and Alternative Procedures</w:t>
      </w:r>
      <w:r w:rsidR="00344AE0" w:rsidRPr="005643E4">
        <w:t>)</w:t>
      </w:r>
      <w:r w:rsidR="00D87CB1" w:rsidRPr="005643E4">
        <w:t xml:space="preserve">, or through </w:t>
      </w:r>
      <w:r w:rsidR="00344AE0" w:rsidRPr="005643E4">
        <w:t>clause</w:t>
      </w:r>
      <w:r w:rsidR="00D87CB1" w:rsidRPr="005643E4">
        <w:t xml:space="preserve"> 7 </w:t>
      </w:r>
      <w:r w:rsidR="00344AE0" w:rsidRPr="005643E4">
        <w:t>(</w:t>
      </w:r>
      <w:r w:rsidR="00D87CB1" w:rsidRPr="005643E4">
        <w:t>Alternative Standards</w:t>
      </w:r>
      <w:r w:rsidR="00344AE0" w:rsidRPr="005643E4">
        <w:t>)</w:t>
      </w:r>
      <w:r w:rsidR="00D87CB1" w:rsidRPr="005643E4">
        <w:t>.</w:t>
      </w:r>
    </w:p>
    <w:p w14:paraId="0811EE30" w14:textId="76FE6A2A" w:rsidR="00D56275" w:rsidRDefault="008063DA" w:rsidP="00C3438F">
      <w:r w:rsidRPr="005643E4">
        <w:t>Clause</w:t>
      </w:r>
      <w:r w:rsidR="00A305FC" w:rsidRPr="005643E4">
        <w:t xml:space="preserve"> </w:t>
      </w:r>
      <w:r w:rsidR="00D87CB1" w:rsidRPr="005643E4">
        <w:t xml:space="preserve">7 identifies UN R158, as an acceptable alternate standard and is applicable for the purposes of this national standard as </w:t>
      </w:r>
      <w:r w:rsidR="00FA16A2" w:rsidRPr="005643E4">
        <w:t xml:space="preserve">it </w:t>
      </w:r>
      <w:r w:rsidR="00D87CB1" w:rsidRPr="005643E4">
        <w:t>relate</w:t>
      </w:r>
      <w:r w:rsidR="00FA16A2" w:rsidRPr="005643E4">
        <w:t>s</w:t>
      </w:r>
      <w:r w:rsidR="00D87CB1" w:rsidRPr="005643E4">
        <w:t xml:space="preserve"> to technical requirements with respect to </w:t>
      </w:r>
      <w:r w:rsidR="008B05F5" w:rsidRPr="005643E4">
        <w:t>the performance of reversing technologies.</w:t>
      </w:r>
    </w:p>
    <w:p w14:paraId="193BBC28" w14:textId="77777777" w:rsidR="00B52163" w:rsidRPr="005643E4" w:rsidRDefault="00B52163" w:rsidP="00C3438F"/>
    <w:bookmarkEnd w:id="17"/>
    <w:p w14:paraId="32EB6328" w14:textId="77777777" w:rsidR="00C3438F" w:rsidRPr="005643E4" w:rsidRDefault="00C3438F" w:rsidP="00C3438F">
      <w:pPr>
        <w:pStyle w:val="MainHeading"/>
        <w:tabs>
          <w:tab w:val="clear" w:pos="3970"/>
          <w:tab w:val="num" w:pos="3119"/>
        </w:tabs>
        <w:ind w:left="851"/>
        <w:rPr>
          <w:b w:val="0"/>
        </w:rPr>
      </w:pPr>
      <w:r w:rsidRPr="005643E4">
        <w:rPr>
          <w:rStyle w:val="HeadingLevel1Char"/>
          <w:b/>
        </w:rPr>
        <w:t>MATTERS INCORPORATED BY REFERENCE</w:t>
      </w:r>
    </w:p>
    <w:p w14:paraId="0B47C675" w14:textId="77777777" w:rsidR="00C3438F" w:rsidRPr="005643E4" w:rsidRDefault="00C3438F" w:rsidP="00C3438F">
      <w:pPr>
        <w:pStyle w:val="HeadingLevel2"/>
        <w:tabs>
          <w:tab w:val="num" w:pos="851"/>
        </w:tabs>
        <w:ind w:left="851"/>
      </w:pPr>
      <w:bookmarkStart w:id="18" w:name="_Toc47693317"/>
      <w:bookmarkStart w:id="19" w:name="_Toc167864615"/>
      <w:r w:rsidRPr="005643E4">
        <w:t>Legislative Instruments</w:t>
      </w:r>
      <w:bookmarkEnd w:id="18"/>
    </w:p>
    <w:p w14:paraId="5B953092" w14:textId="036AD40D" w:rsidR="00C3438F" w:rsidRPr="005643E4" w:rsidRDefault="00290A0C" w:rsidP="00C3438F">
      <w:r w:rsidRPr="005643E4">
        <w:t>Clauses 3.1, and 4</w:t>
      </w:r>
      <w:r w:rsidR="00C3438F" w:rsidRPr="005643E4">
        <w:t>.1</w:t>
      </w:r>
      <w:r w:rsidR="00B66C7E" w:rsidRPr="005643E4">
        <w:t>.1</w:t>
      </w:r>
      <w:r w:rsidR="00C3438F" w:rsidRPr="005643E4">
        <w:t xml:space="preserve"> include reference</w:t>
      </w:r>
      <w:r w:rsidR="00EF07E9" w:rsidRPr="005643E4">
        <w:t>s</w:t>
      </w:r>
      <w:r w:rsidR="00C3438F" w:rsidRPr="005643E4">
        <w:t xml:space="preserve"> to the Vehicle Standard (Australian Design Rule Definitions and Vehicle Categories) 2005. This sets out definitions for many terms used in the ADRs, including the vehicle categories used in ADR applicability tables.</w:t>
      </w:r>
    </w:p>
    <w:p w14:paraId="0575487B" w14:textId="77777777" w:rsidR="00290A0C" w:rsidRPr="005643E4" w:rsidRDefault="00290A0C" w:rsidP="00C3438F">
      <w:r w:rsidRPr="005643E4">
        <w:t>Clause 6.</w:t>
      </w:r>
      <w:r w:rsidR="00FC292F" w:rsidRPr="005643E4">
        <w:t>5</w:t>
      </w:r>
      <w:r w:rsidRPr="005643E4">
        <w:t xml:space="preserve"> includes a reference to the Vehicle Standard (Australian Design Rule 14/02 – Rear Vision Mirrors) 2006. This standard specifies requirements for rear vision mirrors and other devices which provide the driver with a clear and reasonably unobstructed view to the rear.</w:t>
      </w:r>
    </w:p>
    <w:p w14:paraId="28FFB759" w14:textId="77777777" w:rsidR="00FC292F" w:rsidRPr="005643E4" w:rsidRDefault="00FC292F" w:rsidP="00C3438F">
      <w:r w:rsidRPr="005643E4">
        <w:t>Clause 6.6 includes a reference to Vehicle Standard (Australian Design Rule 90/00 – Steering Systems) 2018. This standard ensures safe steering under normal operating and failure conditions.</w:t>
      </w:r>
    </w:p>
    <w:p w14:paraId="75299A16" w14:textId="77777777" w:rsidR="00C3438F" w:rsidRPr="005643E4" w:rsidRDefault="00C3438F" w:rsidP="00C3438F">
      <w:r w:rsidRPr="005643E4">
        <w:lastRenderedPageBreak/>
        <w:t xml:space="preserve">The ADRs may be freely accessed online through the Federal Register of Legislation. The website is </w:t>
      </w:r>
      <w:r w:rsidRPr="005643E4">
        <w:rPr>
          <w:b/>
        </w:rPr>
        <w:t>www.legislation.gov.au</w:t>
      </w:r>
      <w:r w:rsidRPr="005643E4">
        <w:t>.</w:t>
      </w:r>
    </w:p>
    <w:p w14:paraId="58092624" w14:textId="34559871" w:rsidR="00C3438F" w:rsidRPr="005643E4" w:rsidRDefault="00C3438F" w:rsidP="00C3438F">
      <w:r w:rsidRPr="005643E4">
        <w:t xml:space="preserve">In accordance with </w:t>
      </w:r>
      <w:r w:rsidR="008063DA" w:rsidRPr="005643E4">
        <w:t>paragraph</w:t>
      </w:r>
      <w:r w:rsidRPr="005643E4">
        <w:t xml:space="preserve"> 12(2)(b) of the Act, </w:t>
      </w:r>
      <w:r w:rsidR="00D31DB9" w:rsidRPr="005643E4">
        <w:t xml:space="preserve">each of these </w:t>
      </w:r>
      <w:r w:rsidRPr="005643E4">
        <w:t>ADR</w:t>
      </w:r>
      <w:r w:rsidR="0092633F" w:rsidRPr="005643E4">
        <w:t>s are</w:t>
      </w:r>
      <w:r w:rsidRPr="005643E4">
        <w:t xml:space="preserve"> incorporated as in force or existing from time to time. </w:t>
      </w:r>
    </w:p>
    <w:p w14:paraId="72091F7F" w14:textId="77777777" w:rsidR="00B64111" w:rsidRPr="005643E4" w:rsidRDefault="00B64111" w:rsidP="00B64111">
      <w:pPr>
        <w:pStyle w:val="HeadingLevel2"/>
        <w:tabs>
          <w:tab w:val="num" w:pos="851"/>
        </w:tabs>
        <w:ind w:left="851"/>
      </w:pPr>
      <w:r w:rsidRPr="005643E4">
        <w:t>Other Documents</w:t>
      </w:r>
    </w:p>
    <w:p w14:paraId="630A44F8" w14:textId="77777777" w:rsidR="003838E9" w:rsidRPr="005643E4" w:rsidRDefault="003838E9" w:rsidP="001530AB">
      <w:pPr>
        <w:pStyle w:val="HeadingLevel2"/>
        <w:numPr>
          <w:ilvl w:val="0"/>
          <w:numId w:val="0"/>
        </w:numPr>
        <w:tabs>
          <w:tab w:val="num" w:pos="3970"/>
        </w:tabs>
      </w:pPr>
      <w:r w:rsidRPr="005643E4">
        <w:t>ADR 108/00 incorporates references to a number of technical standards that are routinely accessed by vehicle manufacturers as part of their professional library, including to ensure that vehicles comply with existing vehicle identification requirements in many other countries/regions of the world.</w:t>
      </w:r>
    </w:p>
    <w:p w14:paraId="1C04C56C" w14:textId="77777777" w:rsidR="001530AB" w:rsidRPr="005643E4" w:rsidRDefault="001530AB" w:rsidP="001530AB">
      <w:pPr>
        <w:pStyle w:val="HeadingLevel2"/>
        <w:numPr>
          <w:ilvl w:val="0"/>
          <w:numId w:val="0"/>
        </w:numPr>
        <w:tabs>
          <w:tab w:val="num" w:pos="3970"/>
        </w:tabs>
        <w:rPr>
          <w:i/>
        </w:rPr>
      </w:pPr>
      <w:r w:rsidRPr="005643E4">
        <w:rPr>
          <w:i/>
        </w:rPr>
        <w:t xml:space="preserve">International Organization for Standardization </w:t>
      </w:r>
    </w:p>
    <w:p w14:paraId="7E168637" w14:textId="77777777" w:rsidR="001530AB" w:rsidRPr="005643E4" w:rsidRDefault="001530AB" w:rsidP="001530AB">
      <w:r w:rsidRPr="005643E4">
        <w:t xml:space="preserve">The footnote of </w:t>
      </w:r>
      <w:r w:rsidR="00C76883" w:rsidRPr="005643E4">
        <w:t xml:space="preserve">Annex 2 in </w:t>
      </w:r>
      <w:r w:rsidRPr="005643E4">
        <w:t>Appendix A include</w:t>
      </w:r>
      <w:r w:rsidR="006B4600" w:rsidRPr="005643E4">
        <w:t>s</w:t>
      </w:r>
      <w:r w:rsidRPr="005643E4">
        <w:t xml:space="preserve"> a reference to ISO 612:1978</w:t>
      </w:r>
      <w:r w:rsidR="00C76883" w:rsidRPr="005643E4">
        <w:t>. This standard defines terms relating to dimensions of motor vehicles and towed vehicles.</w:t>
      </w:r>
    </w:p>
    <w:p w14:paraId="4127DED9" w14:textId="77777777" w:rsidR="001530AB" w:rsidRPr="005643E4" w:rsidRDefault="001530AB" w:rsidP="001530AB">
      <w:r w:rsidRPr="005643E4">
        <w:t>Paragraph 2.1.2.1.1 of Appendix A includes a reference to ISO 9241-302:2008</w:t>
      </w:r>
      <w:r w:rsidR="00C76883" w:rsidRPr="005643E4">
        <w:t>. This standard covers ergonomics of human-computer interaction and includes comprehensive terminology for electronic visual displays and explains the terms and definitions used in the other parts of ISO 9241.</w:t>
      </w:r>
    </w:p>
    <w:p w14:paraId="319CEFD8" w14:textId="77777777" w:rsidR="001530AB" w:rsidRPr="005643E4" w:rsidRDefault="001530AB" w:rsidP="001530AB">
      <w:r w:rsidRPr="005643E4">
        <w:t>Paragraph 17.2.2 of Appendix A includes a reference to ISO 15006:2011</w:t>
      </w:r>
      <w:r w:rsidR="00C76883" w:rsidRPr="005643E4">
        <w:t xml:space="preserve">. This standard provides ergonomic specifications for the presentation of auditory information related to transport information and control systems (TICS) through speech or sounds. It applies primarily to the use of auditory displays to the driver when the vehicle is in motion, but it may also be applied when the vehicle is stationary. </w:t>
      </w:r>
    </w:p>
    <w:p w14:paraId="6CA9F01B" w14:textId="77777777" w:rsidR="001530AB" w:rsidRPr="005643E4" w:rsidRDefault="001530AB" w:rsidP="001530AB">
      <w:r w:rsidRPr="005643E4">
        <w:t xml:space="preserve">Paragraph 1.1, 1.3.1, 1.3.2 and 1.4.3 of </w:t>
      </w:r>
      <w:r w:rsidR="00C76883" w:rsidRPr="005643E4">
        <w:t xml:space="preserve">Annex 10 in </w:t>
      </w:r>
      <w:r w:rsidRPr="005643E4">
        <w:t>Appendix A includes references to ISO 17386:2010</w:t>
      </w:r>
      <w:r w:rsidR="00C76883" w:rsidRPr="005643E4">
        <w:t>. This standard specifies minimum functionality requirements in light-duty vehicles fitted with MALSO (Manoeuvring Aids for Low Speed Operation) systems.</w:t>
      </w:r>
    </w:p>
    <w:p w14:paraId="4E6D3651" w14:textId="77777777" w:rsidR="001530AB" w:rsidRPr="005643E4" w:rsidRDefault="001530AB" w:rsidP="001530AB">
      <w:r w:rsidRPr="005643E4">
        <w:t>ISO 612:1978, ISO 9241-302:2008, ISO 15006:2011 and ISO 17386:2010 are available for purchase only from the International Organization for Standardization (ISO) and various associated national standards bodies. While not freely available, these ISO standards are all readily accessible and widely used by vehicle manufacturers and test facilities.</w:t>
      </w:r>
      <w:r w:rsidR="00392AAE" w:rsidRPr="005643E4">
        <w:t xml:space="preserve"> </w:t>
      </w:r>
      <w:r w:rsidR="00C9724D" w:rsidRPr="005643E4">
        <w:t>Section 49 of t</w:t>
      </w:r>
      <w:r w:rsidR="00483D9F" w:rsidRPr="005643E4">
        <w:t>he explanatory memorandum for the Road Vehicle Standards Bill 2018</w:t>
      </w:r>
      <w:r w:rsidR="00C9724D" w:rsidRPr="005643E4">
        <w:t xml:space="preserve"> explains</w:t>
      </w:r>
      <w:r w:rsidR="00483D9F" w:rsidRPr="005643E4">
        <w:t xml:space="preserve"> the importance of being able to incorporate technical standards that are not available free of charge and this arrangement was accepted by the Parliament through the passing of the Road Vehicle Standards Bill 2018.</w:t>
      </w:r>
    </w:p>
    <w:p w14:paraId="4EC99AAA" w14:textId="52C5F6D9" w:rsidR="001530AB" w:rsidRPr="005643E4" w:rsidRDefault="001530AB" w:rsidP="001530AB">
      <w:r w:rsidRPr="005643E4">
        <w:t xml:space="preserve">In accordance with </w:t>
      </w:r>
      <w:r w:rsidR="008063DA" w:rsidRPr="005643E4">
        <w:t>paragraph</w:t>
      </w:r>
      <w:r w:rsidRPr="005643E4">
        <w:t xml:space="preserve"> 14(1)(b) and </w:t>
      </w:r>
      <w:r w:rsidR="008063DA" w:rsidRPr="005643E4">
        <w:t xml:space="preserve">subsection </w:t>
      </w:r>
      <w:r w:rsidRPr="005643E4">
        <w:t xml:space="preserve">14(2) of the </w:t>
      </w:r>
      <w:r w:rsidRPr="005643E4">
        <w:rPr>
          <w:i/>
        </w:rPr>
        <w:t>Legislation Act 2003</w:t>
      </w:r>
      <w:r w:rsidRPr="005643E4">
        <w:t xml:space="preserve">, each of these ISO standards are incorporated as in force on the date this </w:t>
      </w:r>
      <w:r w:rsidR="00D330CF" w:rsidRPr="005643E4">
        <w:t>N</w:t>
      </w:r>
      <w:r w:rsidRPr="005643E4">
        <w:t xml:space="preserve">ational </w:t>
      </w:r>
      <w:r w:rsidR="00D330CF" w:rsidRPr="005643E4">
        <w:t>R</w:t>
      </w:r>
      <w:r w:rsidRPr="005643E4">
        <w:t xml:space="preserve">oad </w:t>
      </w:r>
      <w:r w:rsidR="00D330CF" w:rsidRPr="005643E4">
        <w:t>V</w:t>
      </w:r>
      <w:r w:rsidRPr="005643E4">
        <w:t xml:space="preserve">ehicle </w:t>
      </w:r>
      <w:r w:rsidR="00D330CF" w:rsidRPr="005643E4">
        <w:t>S</w:t>
      </w:r>
      <w:r w:rsidRPr="005643E4">
        <w:t>tandard is made.</w:t>
      </w:r>
    </w:p>
    <w:p w14:paraId="273F5269" w14:textId="5EFB8DFB" w:rsidR="00597462" w:rsidRPr="005643E4" w:rsidRDefault="00392AAE" w:rsidP="00207193">
      <w:r w:rsidRPr="005643E4">
        <w:t>S</w:t>
      </w:r>
      <w:r w:rsidR="008063DA" w:rsidRPr="005643E4">
        <w:t>ubs</w:t>
      </w:r>
      <w:r w:rsidRPr="005643E4">
        <w:t>ection 12</w:t>
      </w:r>
      <w:r w:rsidR="008063DA" w:rsidRPr="005643E4">
        <w:t>(2)</w:t>
      </w:r>
      <w:r w:rsidR="001530AB" w:rsidRPr="005643E4">
        <w:t xml:space="preserve">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w:t>
      </w:r>
    </w:p>
    <w:p w14:paraId="43495A24" w14:textId="77777777" w:rsidR="00075A74" w:rsidRPr="005643E4" w:rsidRDefault="008F3C55" w:rsidP="00075A74">
      <w:pPr>
        <w:pStyle w:val="HeadingLevel2"/>
        <w:numPr>
          <w:ilvl w:val="0"/>
          <w:numId w:val="0"/>
        </w:numPr>
        <w:tabs>
          <w:tab w:val="num" w:pos="3970"/>
        </w:tabs>
        <w:rPr>
          <w:i/>
        </w:rPr>
      </w:pPr>
      <w:r w:rsidRPr="005643E4">
        <w:rPr>
          <w:i/>
        </w:rPr>
        <w:t>United Nations Regulations and / or Resolutions</w:t>
      </w:r>
    </w:p>
    <w:p w14:paraId="7013E24E" w14:textId="12381AA4" w:rsidR="008F3C55" w:rsidRPr="005643E4" w:rsidRDefault="008F3C55" w:rsidP="00C3438F">
      <w:r w:rsidRPr="005643E4">
        <w:t>Clause 6.</w:t>
      </w:r>
      <w:r w:rsidR="00FC292F" w:rsidRPr="005643E4">
        <w:t>5</w:t>
      </w:r>
      <w:r w:rsidRPr="005643E4">
        <w:t xml:space="preserve">. of this standard includes a reference to United Nations Regulation No. 46 – UNIFORM PROVISIONS CONCERNING THE APPROVAL OF DEVICES FOR INDIRECT VISION OF MOTOR VEHICLES WITH REGARD TO THE INSTALLATION OF THESE DEVICES (Australian Design Rule 14/02 – Rear Vision Mirrors). This is an </w:t>
      </w:r>
      <w:r w:rsidRPr="005643E4">
        <w:lastRenderedPageBreak/>
        <w:t xml:space="preserve">international standard for the installation of compulsory and </w:t>
      </w:r>
      <w:r w:rsidR="00B52C9B" w:rsidRPr="005643E4">
        <w:t xml:space="preserve">optional </w:t>
      </w:r>
      <w:r w:rsidRPr="005643E4">
        <w:t xml:space="preserve">devices for indirect vision on </w:t>
      </w:r>
      <w:r w:rsidR="00B52C9B" w:rsidRPr="005643E4">
        <w:t>passenger vehicles, omnibuses, goods vehicles and 2-wheeled moped with bodywork at least partly enclosing the driver.</w:t>
      </w:r>
    </w:p>
    <w:p w14:paraId="45DDB243" w14:textId="19CE8CF9" w:rsidR="00DC159E" w:rsidRPr="005643E4" w:rsidRDefault="00285FA1" w:rsidP="00DC159E">
      <w:r w:rsidRPr="005643E4">
        <w:t>Clause</w:t>
      </w:r>
      <w:r w:rsidR="00B66C7E" w:rsidRPr="005643E4">
        <w:t xml:space="preserve"> </w:t>
      </w:r>
      <w:r w:rsidR="00075A74" w:rsidRPr="005643E4">
        <w:t xml:space="preserve">7 of this standard </w:t>
      </w:r>
      <w:r w:rsidR="008F3C55" w:rsidRPr="005643E4">
        <w:t>includes a reference</w:t>
      </w:r>
      <w:r w:rsidR="00075A74" w:rsidRPr="005643E4">
        <w:t xml:space="preserve"> to United Nations Regulation No. 158 – </w:t>
      </w:r>
      <w:r w:rsidR="00C60B9A" w:rsidRPr="005643E4">
        <w:t>UN REGULATION ON UNIFORM PROVISIONS CONCERNING THE APPROVAL OF DEVICES AND MOTOR VEHICLES WITH REGARD TO THE DRIVER’S AWARENESS OF VULNERABLE ROAD USERS BEHIND VEHICLES WHEN REVERSING</w:t>
      </w:r>
      <w:r w:rsidR="00DC159E" w:rsidRPr="005643E4">
        <w:t>.</w:t>
      </w:r>
      <w:r w:rsidR="008F3C55" w:rsidRPr="005643E4">
        <w:t xml:space="preserve"> This is an international standard for the provisions for reversing motion concerning awareness of vulnerable road users</w:t>
      </w:r>
      <w:r w:rsidR="00176CC4" w:rsidRPr="005643E4">
        <w:t>’</w:t>
      </w:r>
      <w:r w:rsidR="008F3C55" w:rsidRPr="005643E4">
        <w:t xml:space="preserve"> proximity.</w:t>
      </w:r>
    </w:p>
    <w:p w14:paraId="650C8BC7" w14:textId="77777777" w:rsidR="00B52C9B" w:rsidRPr="005643E4" w:rsidRDefault="00B52C9B" w:rsidP="00DC159E">
      <w:r w:rsidRPr="005643E4">
        <w:t xml:space="preserve">Paragraph </w:t>
      </w:r>
      <w:r w:rsidR="00B43901" w:rsidRPr="005643E4">
        <w:t>16.4 and 17.4</w:t>
      </w:r>
      <w:r w:rsidRPr="005643E4">
        <w:t xml:space="preserve"> of Appendix A includes a reference to United Nations Regulation No. 10 – UNIFORM PROVISIONS CONCERNING THE APPROVAL OF VEHICLES WITH REGARD TO ELECTROMAGNETIC COMPATIBILITY. This is </w:t>
      </w:r>
      <w:r w:rsidR="00E961F4" w:rsidRPr="005643E4">
        <w:t>an international standard cover</w:t>
      </w:r>
      <w:r w:rsidR="006B4600" w:rsidRPr="005643E4">
        <w:t>ing</w:t>
      </w:r>
      <w:r w:rsidR="00E961F4" w:rsidRPr="005643E4">
        <w:t xml:space="preserve"> </w:t>
      </w:r>
      <w:r w:rsidRPr="005643E4">
        <w:t>electromagnetic compatibility of all vehicles.</w:t>
      </w:r>
    </w:p>
    <w:p w14:paraId="2D5B5086" w14:textId="77777777" w:rsidR="00715E77" w:rsidRPr="005643E4" w:rsidRDefault="00181938" w:rsidP="00DC159E">
      <w:r w:rsidRPr="005643E4">
        <w:t>Clause 6.2 of this standard and p</w:t>
      </w:r>
      <w:r w:rsidR="00715E77" w:rsidRPr="005643E4">
        <w:t>aragraph 15.2.2 of Appendix A includes a reference to United Nations Regulation No. 43 –</w:t>
      </w:r>
      <w:r w:rsidR="00E961F4" w:rsidRPr="005643E4">
        <w:t>UNIFORM PROVISIONS CONCERNING THE APPROVAL OF SAFETY GLAZING MATERIALS AND THEIR INSTALLATION OF VEHICLES. This international standard</w:t>
      </w:r>
      <w:r w:rsidR="00C447F1" w:rsidRPr="005643E4">
        <w:t xml:space="preserve"> covers the requirements of safety glazing materials intended for installation as windscreens or other panes, or as partitioning </w:t>
      </w:r>
      <w:r w:rsidR="00176CC4" w:rsidRPr="005643E4">
        <w:t xml:space="preserve">in </w:t>
      </w:r>
      <w:r w:rsidR="00C447F1" w:rsidRPr="005643E4">
        <w:t>all vehicles.</w:t>
      </w:r>
    </w:p>
    <w:p w14:paraId="232CE87E" w14:textId="77777777" w:rsidR="007000DD" w:rsidRPr="005643E4" w:rsidRDefault="00FC292F" w:rsidP="00DC159E">
      <w:r w:rsidRPr="005643E4">
        <w:t xml:space="preserve">Clause 6.6 of this standard and </w:t>
      </w:r>
      <w:r w:rsidR="00181938" w:rsidRPr="005643E4">
        <w:t>p</w:t>
      </w:r>
      <w:r w:rsidR="00B43901" w:rsidRPr="005643E4">
        <w:t>aragraph 15.1.2 of Appendix A includes a reference to United Nations Regulation No. 79 – UNIFORM PROVISIONS CONCERNING THE APPROVAL OF VEHICLES WITH REGARD TO STEERING EQUIPMENT</w:t>
      </w:r>
      <w:r w:rsidRPr="005643E4">
        <w:t xml:space="preserve"> (Australian Design Rule 90/00 – Steering Systems)</w:t>
      </w:r>
      <w:r w:rsidR="00B43901" w:rsidRPr="005643E4">
        <w:t>. This is an international standard establishing uniform provisions for the layout and performance of steering systems fitted to vehicles used on the road.</w:t>
      </w:r>
    </w:p>
    <w:p w14:paraId="0CDFEC03" w14:textId="18107C66" w:rsidR="00B43901" w:rsidRPr="005643E4" w:rsidRDefault="00B43901" w:rsidP="00DC159E">
      <w:r w:rsidRPr="005643E4">
        <w:t xml:space="preserve">Paragraph 12.4 and 15.2.2 of Appendix A and </w:t>
      </w:r>
      <w:r w:rsidR="00B46BA1" w:rsidRPr="005643E4">
        <w:t>p</w:t>
      </w:r>
      <w:r w:rsidRPr="005643E4">
        <w:t xml:space="preserve">aragraph 13.3.2 of Annex 9 in Appendix </w:t>
      </w:r>
      <w:r w:rsidRPr="005643E4">
        <w:rPr>
          <w:caps/>
        </w:rPr>
        <w:t>A</w:t>
      </w:r>
      <w:r w:rsidRPr="005643E4">
        <w:t xml:space="preserve"> include reference</w:t>
      </w:r>
      <w:r w:rsidR="007000DD" w:rsidRPr="005643E4">
        <w:t>s</w:t>
      </w:r>
      <w:r w:rsidRPr="005643E4">
        <w:t xml:space="preserve"> to the Consolidated Resolution on the Construction of Vehicles (R.E.3) (ECE/TRANS/WP.29/78/Rev.6, para. 2.2.5.4.). This international standard </w:t>
      </w:r>
      <w:r w:rsidR="00300C3C" w:rsidRPr="005643E4">
        <w:t>provides information on the legal texts under the framework of the 1958 Agreement (UN Regulations, Rules and specific requirements) applicable in the vehicle design, aiming for the improvement of safety and the protection of the environment.</w:t>
      </w:r>
    </w:p>
    <w:p w14:paraId="056DF873" w14:textId="77777777" w:rsidR="00D31DB9" w:rsidRPr="005643E4" w:rsidRDefault="00D31DB9" w:rsidP="00D31DB9">
      <w:r w:rsidRPr="005643E4">
        <w:t xml:space="preserve">The United Nations Regulations may be freely accessed online through the UN World Forum for the Harmonization of Vehicle Regulations (WP.29). The WP.29 website is </w:t>
      </w:r>
      <w:r w:rsidRPr="005643E4">
        <w:rPr>
          <w:b/>
        </w:rPr>
        <w:t>www.unece.org/trans/main/welcwp29.html</w:t>
      </w:r>
    </w:p>
    <w:p w14:paraId="66E10095" w14:textId="4515BE94" w:rsidR="008F3C55" w:rsidRDefault="00B52C9B" w:rsidP="00DC159E">
      <w:r w:rsidRPr="005643E4">
        <w:t xml:space="preserve">In accordance with </w:t>
      </w:r>
      <w:r w:rsidR="00340D87" w:rsidRPr="005643E4">
        <w:t>paragraph</w:t>
      </w:r>
      <w:r w:rsidR="008063DA" w:rsidRPr="005643E4">
        <w:t xml:space="preserve"> </w:t>
      </w:r>
      <w:r w:rsidRPr="005643E4">
        <w:t xml:space="preserve">14(1)(b) and </w:t>
      </w:r>
      <w:r w:rsidR="00340D87" w:rsidRPr="005643E4">
        <w:t xml:space="preserve">subsection </w:t>
      </w:r>
      <w:r w:rsidRPr="005643E4">
        <w:t xml:space="preserve">14(2) of the </w:t>
      </w:r>
      <w:r w:rsidRPr="005643E4">
        <w:rPr>
          <w:i/>
        </w:rPr>
        <w:t>Legislation Act 2003</w:t>
      </w:r>
      <w:r w:rsidRPr="005643E4">
        <w:t>, each of these UN documents are incorporated as in force on the date this national road vehicle standard is made.</w:t>
      </w:r>
    </w:p>
    <w:p w14:paraId="6E3D0BCE" w14:textId="77777777" w:rsidR="00B52163" w:rsidRPr="005643E4" w:rsidRDefault="00B52163" w:rsidP="00DC159E"/>
    <w:p w14:paraId="60E045CB" w14:textId="77777777" w:rsidR="00C3438F" w:rsidRPr="005643E4" w:rsidRDefault="00C3438F" w:rsidP="00C3438F">
      <w:pPr>
        <w:pStyle w:val="HeadingLevel1"/>
        <w:tabs>
          <w:tab w:val="clear" w:pos="3970"/>
          <w:tab w:val="num" w:pos="3686"/>
        </w:tabs>
        <w:ind w:left="851"/>
      </w:pPr>
      <w:bookmarkStart w:id="20" w:name="_Toc504999786"/>
      <w:bookmarkStart w:id="21" w:name="_Toc504999787"/>
      <w:bookmarkStart w:id="22" w:name="_Toc504999788"/>
      <w:bookmarkStart w:id="23" w:name="_Toc47693319"/>
      <w:bookmarkStart w:id="24" w:name="_Toc505092263"/>
      <w:bookmarkStart w:id="25" w:name="_Toc46333221"/>
      <w:bookmarkStart w:id="26" w:name="_Toc46333475"/>
      <w:bookmarkStart w:id="27" w:name="_Toc46333629"/>
      <w:bookmarkStart w:id="28" w:name="_Toc46333794"/>
      <w:bookmarkStart w:id="29" w:name="_Toc46333908"/>
      <w:bookmarkStart w:id="30" w:name="_Toc46334644"/>
      <w:bookmarkEnd w:id="20"/>
      <w:bookmarkEnd w:id="21"/>
      <w:bookmarkEnd w:id="22"/>
      <w:r w:rsidRPr="005643E4">
        <w:t>Consultation</w:t>
      </w:r>
      <w:bookmarkEnd w:id="23"/>
      <w:r w:rsidRPr="005643E4">
        <w:t xml:space="preserve"> </w:t>
      </w:r>
      <w:bookmarkEnd w:id="19"/>
      <w:bookmarkEnd w:id="24"/>
      <w:bookmarkEnd w:id="25"/>
      <w:bookmarkEnd w:id="26"/>
      <w:bookmarkEnd w:id="27"/>
      <w:bookmarkEnd w:id="28"/>
      <w:bookmarkEnd w:id="29"/>
      <w:bookmarkEnd w:id="30"/>
    </w:p>
    <w:p w14:paraId="16E26BA5" w14:textId="77777777" w:rsidR="00C3438F" w:rsidRPr="005643E4" w:rsidRDefault="00C3438F" w:rsidP="00C3438F">
      <w:pPr>
        <w:pStyle w:val="HeadingLevel2"/>
        <w:numPr>
          <w:ilvl w:val="0"/>
          <w:numId w:val="0"/>
        </w:numPr>
      </w:pPr>
      <w:bookmarkStart w:id="31" w:name="_Toc318271645"/>
      <w:bookmarkStart w:id="32" w:name="_Toc317171517"/>
      <w:bookmarkStart w:id="33" w:name="_Toc317171391"/>
      <w:bookmarkStart w:id="34" w:name="_Toc317158948"/>
      <w:bookmarkStart w:id="35" w:name="_Toc318272904"/>
      <w:bookmarkStart w:id="36" w:name="_Toc319402529"/>
      <w:r w:rsidRPr="005643E4">
        <w:t>4.1.</w:t>
      </w:r>
      <w:r w:rsidRPr="005643E4">
        <w:tab/>
        <w:t>General Consultation Arrangements</w:t>
      </w:r>
    </w:p>
    <w:p w14:paraId="074845D4" w14:textId="77777777" w:rsidR="00C3438F" w:rsidRPr="005643E4" w:rsidRDefault="00C3438F" w:rsidP="00C3438F">
      <w:r w:rsidRPr="005643E4">
        <w:t xml:space="preserve">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w:t>
      </w:r>
      <w:r w:rsidRPr="005643E4">
        <w:lastRenderedPageBreak/>
        <w:t>consulted, depend on the degree of impact the new or amended standard is expected to have on industry or road users.</w:t>
      </w:r>
    </w:p>
    <w:p w14:paraId="7AAB81EC" w14:textId="0B7EC8D1" w:rsidR="00C3438F" w:rsidRPr="005643E4" w:rsidRDefault="00C3438F" w:rsidP="00C3438F">
      <w:pPr>
        <w:rPr>
          <w:i/>
        </w:rPr>
      </w:pPr>
      <w:r w:rsidRPr="005643E4">
        <w:t xml:space="preserve">Proposals that are regarded as significant need to be supported by </w:t>
      </w:r>
      <w:r w:rsidR="0026194D">
        <w:t xml:space="preserve">an Impact Analysis (IA) </w:t>
      </w:r>
      <w:r w:rsidRPr="005643E4">
        <w:t xml:space="preserve">meeting the requirements of the </w:t>
      </w:r>
      <w:r w:rsidR="0026194D">
        <w:t xml:space="preserve">Office of Impact Analysis (OIA) </w:t>
      </w:r>
      <w:r w:rsidRPr="005643E4">
        <w:t xml:space="preserve">as published in the </w:t>
      </w:r>
      <w:r w:rsidRPr="005643E4">
        <w:rPr>
          <w:i/>
        </w:rPr>
        <w:t xml:space="preserve">Australian Government Guide to Regulatory Impact Analysis </w:t>
      </w:r>
      <w:r w:rsidRPr="005643E4">
        <w:t xml:space="preserve">or the </w:t>
      </w:r>
      <w:r w:rsidRPr="005643E4">
        <w:rPr>
          <w:i/>
        </w:rPr>
        <w:t>Regulatory Impact Analysis Guide for Ministers’ Meetings and National Standard Setting Bodies.</w:t>
      </w:r>
    </w:p>
    <w:p w14:paraId="20A42582" w14:textId="77777777" w:rsidR="00C3438F" w:rsidRPr="005643E4" w:rsidRDefault="00C3438F" w:rsidP="00C3438F">
      <w:r w:rsidRPr="005643E4">
        <w:t xml:space="preserve">4.2. </w:t>
      </w:r>
      <w:r w:rsidRPr="005643E4">
        <w:tab/>
        <w:t>Specific Consultation Arrangements</w:t>
      </w:r>
    </w:p>
    <w:p w14:paraId="543FBFEC" w14:textId="77777777" w:rsidR="00597462" w:rsidRPr="005643E4" w:rsidRDefault="00597462" w:rsidP="00597462">
      <w:pPr>
        <w:rPr>
          <w:b/>
        </w:rPr>
      </w:pPr>
      <w:r w:rsidRPr="005643E4">
        <w:t xml:space="preserve">A six-week public consultation was undertaken from 30 March 2022 to 11 May 2022. As part of the consultation, </w:t>
      </w:r>
      <w:r w:rsidR="00D31DB9" w:rsidRPr="005643E4">
        <w:t>the RIS released for consultative purposes</w:t>
      </w:r>
      <w:r w:rsidRPr="005643E4">
        <w:t>, a draft version of the national road vehicle standard ADR 108/00 – Reversing Technologies based on United Nations Regulation No. 158, the ADR 108/00 – Reversing Technologies Explanatory Statement and feedback form was published on the Department</w:t>
      </w:r>
      <w:r w:rsidR="00056B69" w:rsidRPr="005643E4">
        <w:t xml:space="preserve"> of Infrastructure, Transport, Regional Development, Communication and the Arts</w:t>
      </w:r>
      <w:r w:rsidRPr="005643E4">
        <w:t>’</w:t>
      </w:r>
      <w:r w:rsidR="00056B69" w:rsidRPr="005643E4">
        <w:t xml:space="preserve"> (the department) </w:t>
      </w:r>
      <w:r w:rsidRPr="005643E4">
        <w:t xml:space="preserve">website at </w:t>
      </w:r>
      <w:r w:rsidR="00257C3B" w:rsidRPr="005643E4">
        <w:rPr>
          <w:b/>
        </w:rPr>
        <w:t>https://www.infrastructure.gov.au/have-your-say/reversing-aid-technologies-vehicles</w:t>
      </w:r>
    </w:p>
    <w:p w14:paraId="2CB29674" w14:textId="77777777" w:rsidR="00597462" w:rsidRPr="005643E4" w:rsidRDefault="00597462" w:rsidP="00597462">
      <w:r w:rsidRPr="005643E4">
        <w:t>The department provided three ways to comment: 1) Completing the webform and attaching the feedback form on the department’s website; 2) Emailing the feedback form to the Vehicle Standards Section email address; or 3) Mailing the provided feedback form to the Vehicle Standards Section postal address.</w:t>
      </w:r>
    </w:p>
    <w:p w14:paraId="5A42B230" w14:textId="77777777" w:rsidR="00597462" w:rsidRPr="005643E4" w:rsidRDefault="00597462" w:rsidP="00597462">
      <w:r w:rsidRPr="005643E4">
        <w:t>An email was also sent on 30 March 2022 to inform senior representatives of state and territory governments, key industry representatives and representative organisations of consumer and road safety users. In addition, a notice was published in the Office of Road Safety newsletter and social media posts were released on 30 March 2022 from the department’s official account on Twitter, Facebook and LinkedIn to increase public awareness and engagement.</w:t>
      </w:r>
    </w:p>
    <w:p w14:paraId="4BBAB14E" w14:textId="77777777" w:rsidR="005A4074" w:rsidRPr="005643E4" w:rsidRDefault="0015299C" w:rsidP="00597462">
      <w:r w:rsidRPr="005643E4">
        <w:t>Formal feedback was received from members of the public, state government agencies, industry</w:t>
      </w:r>
      <w:r w:rsidR="001D3917" w:rsidRPr="005643E4">
        <w:t>, vehicle safety organisations</w:t>
      </w:r>
      <w:r w:rsidRPr="005643E4">
        <w:t xml:space="preserve"> and not-for-profit organisations for the protection of children on roads. A majority of feedback strongly supported the implementation of a new ADR mandating reversing technologies on light, medium and heavy vehicles.</w:t>
      </w:r>
    </w:p>
    <w:p w14:paraId="5430DD51" w14:textId="77777777" w:rsidR="00C3438F" w:rsidRPr="005643E4" w:rsidRDefault="00C3438F" w:rsidP="00C3438F">
      <w:pPr>
        <w:pStyle w:val="HeadingLevel1"/>
        <w:tabs>
          <w:tab w:val="clear" w:pos="3970"/>
          <w:tab w:val="num" w:pos="851"/>
        </w:tabs>
        <w:ind w:left="851"/>
      </w:pPr>
      <w:bookmarkStart w:id="37" w:name="_Toc47693322"/>
      <w:bookmarkStart w:id="38" w:name="_Toc505092267"/>
      <w:bookmarkStart w:id="39" w:name="_Toc46333225"/>
      <w:bookmarkStart w:id="40" w:name="_Toc46333479"/>
      <w:bookmarkStart w:id="41" w:name="_Toc46333633"/>
      <w:bookmarkStart w:id="42" w:name="_Toc46333798"/>
      <w:bookmarkStart w:id="43" w:name="_Toc46333912"/>
      <w:bookmarkStart w:id="44" w:name="_Toc46334648"/>
      <w:r w:rsidRPr="005643E4">
        <w:t>Regulatory Impact</w:t>
      </w:r>
      <w:bookmarkEnd w:id="37"/>
    </w:p>
    <w:p w14:paraId="71A76069" w14:textId="77777777" w:rsidR="00C3438F" w:rsidRPr="005643E4" w:rsidRDefault="00C3438F" w:rsidP="00C3438F">
      <w:pPr>
        <w:pStyle w:val="HeadingLevel2"/>
        <w:tabs>
          <w:tab w:val="num" w:pos="851"/>
        </w:tabs>
        <w:ind w:left="851"/>
      </w:pPr>
      <w:bookmarkStart w:id="45" w:name="_Toc167864616"/>
      <w:bookmarkStart w:id="46" w:name="_Toc505092264"/>
      <w:bookmarkStart w:id="47" w:name="_Toc46333222"/>
      <w:bookmarkStart w:id="48" w:name="_Toc46333476"/>
      <w:bookmarkStart w:id="49" w:name="_Toc46333630"/>
      <w:bookmarkStart w:id="50" w:name="_Toc46333795"/>
      <w:bookmarkStart w:id="51" w:name="_Toc46333909"/>
      <w:bookmarkStart w:id="52" w:name="_Toc46334645"/>
      <w:bookmarkStart w:id="53" w:name="_Toc47693323"/>
      <w:r w:rsidRPr="005643E4">
        <w:t>B</w:t>
      </w:r>
      <w:bookmarkEnd w:id="45"/>
      <w:r w:rsidRPr="005643E4">
        <w:t>enefits and Costs</w:t>
      </w:r>
      <w:bookmarkEnd w:id="46"/>
      <w:bookmarkEnd w:id="47"/>
      <w:bookmarkEnd w:id="48"/>
      <w:bookmarkEnd w:id="49"/>
      <w:bookmarkEnd w:id="50"/>
      <w:bookmarkEnd w:id="51"/>
      <w:bookmarkEnd w:id="52"/>
      <w:bookmarkEnd w:id="53"/>
    </w:p>
    <w:p w14:paraId="3D2AA33E" w14:textId="77777777" w:rsidR="00C3438F" w:rsidRPr="005643E4" w:rsidRDefault="00C047A1" w:rsidP="00C3438F">
      <w:pPr>
        <w:keepLines/>
      </w:pPr>
      <w:r w:rsidRPr="005643E4">
        <w:t xml:space="preserve">ADR </w:t>
      </w:r>
      <w:r w:rsidR="00313F5B" w:rsidRPr="005643E4">
        <w:t xml:space="preserve">108/00 </w:t>
      </w:r>
      <w:r w:rsidR="00C3438F" w:rsidRPr="005643E4">
        <w:t xml:space="preserve">is expected to prevent </w:t>
      </w:r>
      <w:r w:rsidRPr="005643E4">
        <w:t>at least 1</w:t>
      </w:r>
      <w:r w:rsidR="001E0E87" w:rsidRPr="005643E4">
        <w:t>3</w:t>
      </w:r>
      <w:r w:rsidR="00C3438F" w:rsidRPr="005643E4">
        <w:t xml:space="preserve"> fatalities and </w:t>
      </w:r>
      <w:r w:rsidR="001E0E87" w:rsidRPr="005643E4">
        <w:t>1</w:t>
      </w:r>
      <w:r w:rsidRPr="005643E4">
        <w:t>40</w:t>
      </w:r>
      <w:r w:rsidR="00C3438F" w:rsidRPr="005643E4">
        <w:t xml:space="preserve"> serious injuries</w:t>
      </w:r>
      <w:r w:rsidR="00EE7E2D" w:rsidRPr="005643E4">
        <w:t xml:space="preserve"> </w:t>
      </w:r>
      <w:r w:rsidR="00C3438F" w:rsidRPr="005643E4">
        <w:t xml:space="preserve">with this reduction in road trauma providing a net benefit of </w:t>
      </w:r>
      <w:r w:rsidRPr="005643E4">
        <w:t xml:space="preserve">approximately </w:t>
      </w:r>
      <w:r w:rsidR="001E0E87" w:rsidRPr="005643E4">
        <w:t>-</w:t>
      </w:r>
      <w:r w:rsidR="00C3438F" w:rsidRPr="005643E4">
        <w:t>$</w:t>
      </w:r>
      <w:r w:rsidR="001E0E87" w:rsidRPr="005643E4">
        <w:t>25.6</w:t>
      </w:r>
      <w:r w:rsidR="00C3438F" w:rsidRPr="005643E4">
        <w:t xml:space="preserve"> million to the community.</w:t>
      </w:r>
    </w:p>
    <w:p w14:paraId="27C5482F" w14:textId="3B94D0CE" w:rsidR="00117CA2" w:rsidRPr="005643E4" w:rsidRDefault="00C3438F" w:rsidP="00C3438F">
      <w:pPr>
        <w:keepLines/>
      </w:pPr>
      <w:r w:rsidRPr="005643E4">
        <w:t xml:space="preserve">The Regulatory Burden Measurement shows </w:t>
      </w:r>
      <w:r w:rsidR="001279A5" w:rsidRPr="005643E4">
        <w:t>a total</w:t>
      </w:r>
      <w:r w:rsidRPr="005643E4">
        <w:t xml:space="preserve"> increase in cost of $</w:t>
      </w:r>
      <w:r w:rsidR="001E0E87" w:rsidRPr="005643E4">
        <w:t>12.3</w:t>
      </w:r>
      <w:r w:rsidRPr="005643E4">
        <w:t xml:space="preserve"> million per annum associated with the additional </w:t>
      </w:r>
      <w:r w:rsidR="001279A5" w:rsidRPr="005643E4">
        <w:t>costs</w:t>
      </w:r>
      <w:r w:rsidRPr="005643E4">
        <w:t xml:space="preserve"> required for </w:t>
      </w:r>
      <w:r w:rsidR="00C047A1" w:rsidRPr="005643E4">
        <w:t>f</w:t>
      </w:r>
      <w:r w:rsidR="001279A5" w:rsidRPr="005643E4">
        <w:t xml:space="preserve">itment of reverse parking </w:t>
      </w:r>
      <w:r w:rsidR="00597462" w:rsidRPr="005643E4">
        <w:t>cameras (without the display) as</w:t>
      </w:r>
      <w:r w:rsidR="00117CA2" w:rsidRPr="005643E4">
        <w:t xml:space="preserve"> the minimum for manufacturers to ensure compliance with the legislation</w:t>
      </w:r>
      <w:r w:rsidRPr="005643E4">
        <w:t xml:space="preserve">. </w:t>
      </w:r>
      <w:r w:rsidR="00117CA2" w:rsidRPr="005643E4">
        <w:t xml:space="preserve">The total increase in cost will be </w:t>
      </w:r>
      <w:r w:rsidR="00392263" w:rsidRPr="005643E4">
        <w:t>$</w:t>
      </w:r>
      <w:r w:rsidR="00597462" w:rsidRPr="005643E4">
        <w:t>1</w:t>
      </w:r>
      <w:r w:rsidR="001D3917" w:rsidRPr="005643E4">
        <w:t>0</w:t>
      </w:r>
      <w:r w:rsidR="00597462" w:rsidRPr="005643E4">
        <w:t>6</w:t>
      </w:r>
      <w:r w:rsidR="00392263" w:rsidRPr="005643E4">
        <w:t xml:space="preserve"> million which is outweighed by savings of </w:t>
      </w:r>
      <w:r w:rsidR="00597462" w:rsidRPr="005643E4">
        <w:t>$80.6</w:t>
      </w:r>
      <w:r w:rsidR="00392263" w:rsidRPr="005643E4">
        <w:t xml:space="preserve"> million to the community</w:t>
      </w:r>
      <w:r w:rsidR="00E90A8A" w:rsidRPr="005643E4">
        <w:t xml:space="preserve"> resulting in a Benefit Cost Ratio of </w:t>
      </w:r>
      <w:r w:rsidR="00597462" w:rsidRPr="005643E4">
        <w:t>0.76</w:t>
      </w:r>
      <w:r w:rsidR="00E90A8A" w:rsidRPr="005643E4">
        <w:t>.</w:t>
      </w:r>
    </w:p>
    <w:p w14:paraId="566EF190" w14:textId="77777777" w:rsidR="00930406" w:rsidRPr="005643E4" w:rsidRDefault="0069111B" w:rsidP="00C3438F">
      <w:pPr>
        <w:keepLines/>
      </w:pPr>
      <w:r w:rsidRPr="005643E4">
        <w:t>While the benefit-cost analysis supporting this RIS does not demonstrate a net benefit for Option 2: Introduce new ADR aligned with UN R158, this option is the recommended option. The reason for this recommendation is that Option 2 achieves other Australian Government objectives.</w:t>
      </w:r>
    </w:p>
    <w:p w14:paraId="79360DE1" w14:textId="77777777" w:rsidR="00930406" w:rsidRPr="005643E4" w:rsidRDefault="00930406" w:rsidP="00C3438F">
      <w:pPr>
        <w:keepLines/>
      </w:pPr>
      <w:r w:rsidRPr="005643E4">
        <w:lastRenderedPageBreak/>
        <w:t xml:space="preserve">Under this </w:t>
      </w:r>
      <w:r w:rsidR="008E5D8C" w:rsidRPr="005643E4">
        <w:t>o</w:t>
      </w:r>
      <w:r w:rsidRPr="005643E4">
        <w:t>ption, the UN Regulation for reversing aids to prevent reversing collisions will be mandated for all vehicles. These vehicles include ADR categories for passenger vehicles MA, MB and MC; omnibuses MD and ME; and goods vehicles NA, NB and NC. Harmonising the ADRs with international vehicle standards is a longstanding Australian Government policy.</w:t>
      </w:r>
    </w:p>
    <w:p w14:paraId="29BF7883" w14:textId="3BDFE75D" w:rsidR="0069111B" w:rsidRPr="005643E4" w:rsidRDefault="00930406" w:rsidP="00C3438F">
      <w:pPr>
        <w:keepLines/>
      </w:pPr>
      <w:r w:rsidRPr="005643E4">
        <w:t xml:space="preserve">Another important Australian Government objective is supporting the National Road Safety Strategy 2021-30 (NRSS). Reaching Vision Zero by 2050 as agreed by Infrastructure and Transport Ministers requires stronger actions than previously if deaths and serious injuries are no longer an acceptable price of mobility. Implementing </w:t>
      </w:r>
      <w:r w:rsidR="008E5D8C" w:rsidRPr="005643E4">
        <w:t>this option</w:t>
      </w:r>
      <w:r w:rsidRPr="005643E4">
        <w:t xml:space="preserve"> contributes to a number of priorities identified in the NRSS, including pursuing technological improvements and uptake of safer vehicles, improving heavy vehicle safety and focusing on vulnerable road users. Notably, one area of focus for demonstrating the 2050 Vision Zero target, is a target of zero deaths of children 7</w:t>
      </w:r>
      <w:r w:rsidR="0026194D">
        <w:t xml:space="preserve"> </w:t>
      </w:r>
      <w:r w:rsidRPr="005643E4">
        <w:t>years and under by 2030.</w:t>
      </w:r>
    </w:p>
    <w:p w14:paraId="317EF229" w14:textId="77777777" w:rsidR="004F2227" w:rsidRPr="005643E4" w:rsidRDefault="00930406" w:rsidP="0069111B">
      <w:pPr>
        <w:keepLines/>
      </w:pPr>
      <w:r w:rsidRPr="005643E4">
        <w:t>Option 2 contributes to all those objectives and priorities and therefore remains the recommended policy option.</w:t>
      </w:r>
    </w:p>
    <w:p w14:paraId="6E1CEE0D" w14:textId="74453978" w:rsidR="00C3438F" w:rsidRPr="005643E4" w:rsidRDefault="00BE243D" w:rsidP="00C3438F">
      <w:pPr>
        <w:pStyle w:val="HeadingLevel2"/>
        <w:tabs>
          <w:tab w:val="num" w:pos="851"/>
        </w:tabs>
        <w:ind w:left="851"/>
      </w:pPr>
      <w:r>
        <w:t>Impact Analysis</w:t>
      </w:r>
    </w:p>
    <w:p w14:paraId="0A97A837" w14:textId="47B42E61" w:rsidR="00C50635" w:rsidRDefault="00C3438F" w:rsidP="00C3438F">
      <w:r w:rsidRPr="005643E4">
        <w:t>A</w:t>
      </w:r>
      <w:r w:rsidR="0026194D">
        <w:t xml:space="preserve">n IA </w:t>
      </w:r>
      <w:r w:rsidRPr="005643E4">
        <w:t xml:space="preserve">was completed to analyse the policy options for the fitment of </w:t>
      </w:r>
      <w:r w:rsidR="00C047A1" w:rsidRPr="005643E4">
        <w:t>reversing technologies in light, medium and heavy vehicles</w:t>
      </w:r>
      <w:r w:rsidRPr="005643E4">
        <w:t>. The best option is implementation of a mandatory standard under the Act, to</w:t>
      </w:r>
      <w:r w:rsidR="006B4600" w:rsidRPr="005643E4">
        <w:t xml:space="preserve"> fit</w:t>
      </w:r>
      <w:r w:rsidRPr="005643E4">
        <w:t xml:space="preserve"> </w:t>
      </w:r>
      <w:r w:rsidR="00C047A1" w:rsidRPr="005643E4">
        <w:t>reversing aids technologies to light, medium and heavy vehicles</w:t>
      </w:r>
      <w:r w:rsidRPr="005643E4">
        <w:t>. The O</w:t>
      </w:r>
      <w:r w:rsidR="0026194D">
        <w:t>IA</w:t>
      </w:r>
      <w:r w:rsidRPr="005643E4">
        <w:t xml:space="preserve"> reference number for the RIS is </w:t>
      </w:r>
      <w:r w:rsidR="00C047A1" w:rsidRPr="005643E4">
        <w:t>OBPR21-01084</w:t>
      </w:r>
      <w:r w:rsidRPr="005643E4">
        <w:t>.</w:t>
      </w:r>
    </w:p>
    <w:p w14:paraId="6F53A7B3" w14:textId="77777777" w:rsidR="00B52163" w:rsidRPr="005643E4" w:rsidRDefault="00B52163" w:rsidP="00C3438F"/>
    <w:p w14:paraId="1FB1C58B" w14:textId="77777777" w:rsidR="00C3438F" w:rsidRPr="005643E4" w:rsidRDefault="00C3438F" w:rsidP="00C3438F">
      <w:pPr>
        <w:pStyle w:val="HeadingLevel1"/>
        <w:tabs>
          <w:tab w:val="clear" w:pos="3970"/>
          <w:tab w:val="num" w:pos="851"/>
        </w:tabs>
        <w:ind w:left="851"/>
      </w:pPr>
      <w:bookmarkStart w:id="54" w:name="_Toc47693325"/>
      <w:r w:rsidRPr="005643E4">
        <w:t>STATEMENT OF COMPATIBILITY WITH HUMAN RIGHTS</w:t>
      </w:r>
      <w:bookmarkEnd w:id="31"/>
      <w:bookmarkEnd w:id="32"/>
      <w:bookmarkEnd w:id="33"/>
      <w:bookmarkEnd w:id="34"/>
      <w:bookmarkEnd w:id="35"/>
      <w:bookmarkEnd w:id="36"/>
      <w:bookmarkEnd w:id="38"/>
      <w:bookmarkEnd w:id="39"/>
      <w:bookmarkEnd w:id="40"/>
      <w:bookmarkEnd w:id="41"/>
      <w:bookmarkEnd w:id="42"/>
      <w:bookmarkEnd w:id="43"/>
      <w:bookmarkEnd w:id="44"/>
      <w:bookmarkEnd w:id="54"/>
    </w:p>
    <w:p w14:paraId="01F41947" w14:textId="77777777" w:rsidR="00C3438F" w:rsidRPr="005643E4" w:rsidRDefault="00C3438F" w:rsidP="00C3438F">
      <w:r w:rsidRPr="005643E4">
        <w:t xml:space="preserve">The following Statement is prepared in accordance with Part 3 of the </w:t>
      </w:r>
      <w:r w:rsidRPr="005643E4">
        <w:rPr>
          <w:i/>
          <w:iCs/>
        </w:rPr>
        <w:t>Human Rights (Parliamentary Scrutiny) Act 2011.</w:t>
      </w:r>
    </w:p>
    <w:p w14:paraId="0C7A599D" w14:textId="77777777" w:rsidR="00C3438F" w:rsidRPr="005643E4" w:rsidRDefault="00C3438F" w:rsidP="00C3438F">
      <w:pPr>
        <w:pStyle w:val="HeadingLevel2"/>
        <w:tabs>
          <w:tab w:val="num" w:pos="851"/>
        </w:tabs>
        <w:ind w:left="851"/>
      </w:pPr>
      <w:bookmarkStart w:id="55" w:name="_Toc318271646"/>
      <w:bookmarkStart w:id="56" w:name="_Toc317171518"/>
      <w:bookmarkStart w:id="57" w:name="_Toc317171392"/>
      <w:bookmarkStart w:id="58" w:name="_Toc318272905"/>
      <w:bookmarkStart w:id="59" w:name="_Toc319402530"/>
      <w:bookmarkStart w:id="60" w:name="_Toc505092268"/>
      <w:bookmarkStart w:id="61" w:name="_Toc46333226"/>
      <w:bookmarkStart w:id="62" w:name="_Toc46333480"/>
      <w:bookmarkStart w:id="63" w:name="_Toc46333634"/>
      <w:bookmarkStart w:id="64" w:name="_Toc46333799"/>
      <w:bookmarkStart w:id="65" w:name="_Toc46333913"/>
      <w:bookmarkStart w:id="66" w:name="_Toc46334649"/>
      <w:bookmarkStart w:id="67" w:name="_Toc47693326"/>
      <w:r w:rsidRPr="005643E4">
        <w:t>Overview</w:t>
      </w:r>
      <w:bookmarkEnd w:id="55"/>
      <w:bookmarkEnd w:id="56"/>
      <w:bookmarkEnd w:id="57"/>
      <w:bookmarkEnd w:id="58"/>
      <w:bookmarkEnd w:id="59"/>
      <w:bookmarkEnd w:id="60"/>
      <w:bookmarkEnd w:id="61"/>
      <w:bookmarkEnd w:id="62"/>
      <w:bookmarkEnd w:id="63"/>
      <w:bookmarkEnd w:id="64"/>
      <w:bookmarkEnd w:id="65"/>
      <w:bookmarkEnd w:id="66"/>
      <w:bookmarkEnd w:id="67"/>
    </w:p>
    <w:p w14:paraId="4CCCA4F1" w14:textId="77777777" w:rsidR="00C3438F" w:rsidRPr="005643E4" w:rsidRDefault="00C047A1" w:rsidP="00C3438F">
      <w:r w:rsidRPr="005643E4">
        <w:t xml:space="preserve">ADR </w:t>
      </w:r>
      <w:r w:rsidR="00313F5B" w:rsidRPr="005643E4">
        <w:t xml:space="preserve">108/00 </w:t>
      </w:r>
      <w:r w:rsidR="00C3438F" w:rsidRPr="005643E4">
        <w:t xml:space="preserve">is a new legislative instrument. It </w:t>
      </w:r>
      <w:r w:rsidRPr="005643E4">
        <w:t>specifies requirements for reversing technologies fitted to light, medium and heavy vehicles</w:t>
      </w:r>
      <w:r w:rsidR="0015299C" w:rsidRPr="005643E4">
        <w:t>, to avoid or mitigate the severity of reversing collisions and impacts with pedestrians or vulnerable road users.</w:t>
      </w:r>
    </w:p>
    <w:p w14:paraId="61E09844" w14:textId="77777777" w:rsidR="00C3438F" w:rsidRPr="005643E4" w:rsidRDefault="00C3438F" w:rsidP="00C3438F">
      <w:pPr>
        <w:pStyle w:val="HeadingLevel2"/>
        <w:tabs>
          <w:tab w:val="num" w:pos="851"/>
        </w:tabs>
        <w:ind w:left="851"/>
      </w:pPr>
      <w:bookmarkStart w:id="68" w:name="_Toc318271647"/>
      <w:bookmarkStart w:id="69" w:name="_Toc317171519"/>
      <w:bookmarkStart w:id="70" w:name="_Toc317171393"/>
      <w:bookmarkStart w:id="71" w:name="_Toc318272906"/>
      <w:bookmarkStart w:id="72" w:name="_Toc319402531"/>
      <w:bookmarkStart w:id="73" w:name="_Toc505092269"/>
      <w:bookmarkStart w:id="74" w:name="_Toc46333227"/>
      <w:bookmarkStart w:id="75" w:name="_Toc46333481"/>
      <w:bookmarkStart w:id="76" w:name="_Toc46333635"/>
      <w:bookmarkStart w:id="77" w:name="_Toc46333800"/>
      <w:bookmarkStart w:id="78" w:name="_Toc46333914"/>
      <w:bookmarkStart w:id="79" w:name="_Toc46334650"/>
      <w:bookmarkStart w:id="80" w:name="_Toc47693327"/>
      <w:r w:rsidRPr="005643E4">
        <w:t>Human Rights Implications</w:t>
      </w:r>
      <w:bookmarkEnd w:id="68"/>
      <w:bookmarkEnd w:id="69"/>
      <w:bookmarkEnd w:id="70"/>
      <w:bookmarkEnd w:id="71"/>
      <w:bookmarkEnd w:id="72"/>
      <w:bookmarkEnd w:id="73"/>
      <w:bookmarkEnd w:id="74"/>
      <w:bookmarkEnd w:id="75"/>
      <w:bookmarkEnd w:id="76"/>
      <w:bookmarkEnd w:id="77"/>
      <w:bookmarkEnd w:id="78"/>
      <w:bookmarkEnd w:id="79"/>
      <w:bookmarkEnd w:id="80"/>
    </w:p>
    <w:p w14:paraId="003E5AC0" w14:textId="77777777" w:rsidR="00C3438F" w:rsidRPr="005643E4" w:rsidRDefault="00C047A1" w:rsidP="00C3438F">
      <w:r w:rsidRPr="005643E4">
        <w:t xml:space="preserve">ADR </w:t>
      </w:r>
      <w:r w:rsidR="00313F5B" w:rsidRPr="005643E4">
        <w:t xml:space="preserve">108/00 </w:t>
      </w:r>
      <w:r w:rsidR="00C3438F" w:rsidRPr="005643E4">
        <w:t xml:space="preserve">does not engage any of the human rights and freedoms recognised or declared in the international instruments listed in section 3 of the </w:t>
      </w:r>
      <w:r w:rsidR="00C3438F" w:rsidRPr="005643E4">
        <w:rPr>
          <w:i/>
          <w:iCs/>
        </w:rPr>
        <w:t>Human Rights (Parliamentary Scrutiny) Act 2011</w:t>
      </w:r>
      <w:r w:rsidR="00C3438F" w:rsidRPr="005643E4">
        <w:t>.</w:t>
      </w:r>
    </w:p>
    <w:p w14:paraId="732C1665" w14:textId="77777777" w:rsidR="00C3438F" w:rsidRPr="005643E4" w:rsidRDefault="00C3438F" w:rsidP="00C3438F">
      <w:pPr>
        <w:pStyle w:val="HeadingLevel2"/>
        <w:tabs>
          <w:tab w:val="num" w:pos="851"/>
        </w:tabs>
        <w:ind w:left="851"/>
      </w:pPr>
      <w:bookmarkStart w:id="81" w:name="_Toc319402532"/>
      <w:bookmarkStart w:id="82" w:name="_Toc505092270"/>
      <w:bookmarkStart w:id="83" w:name="_Toc46333228"/>
      <w:bookmarkStart w:id="84" w:name="_Toc46333482"/>
      <w:bookmarkStart w:id="85" w:name="_Toc46333636"/>
      <w:bookmarkStart w:id="86" w:name="_Toc46333801"/>
      <w:bookmarkStart w:id="87" w:name="_Toc46333915"/>
      <w:bookmarkStart w:id="88" w:name="_Toc46334651"/>
      <w:bookmarkStart w:id="89" w:name="_Toc47693328"/>
      <w:r w:rsidRPr="005643E4">
        <w:t>Conclusion</w:t>
      </w:r>
      <w:bookmarkEnd w:id="81"/>
      <w:bookmarkEnd w:id="82"/>
      <w:bookmarkEnd w:id="83"/>
      <w:bookmarkEnd w:id="84"/>
      <w:bookmarkEnd w:id="85"/>
      <w:bookmarkEnd w:id="86"/>
      <w:bookmarkEnd w:id="87"/>
      <w:bookmarkEnd w:id="88"/>
      <w:bookmarkEnd w:id="89"/>
    </w:p>
    <w:p w14:paraId="7D6405B1" w14:textId="77777777" w:rsidR="00C3438F" w:rsidRPr="00601B0E" w:rsidRDefault="00C3438F" w:rsidP="00C3438F">
      <w:r w:rsidRPr="005643E4">
        <w:t xml:space="preserve">ADR </w:t>
      </w:r>
      <w:r w:rsidR="00313F5B" w:rsidRPr="005643E4">
        <w:t xml:space="preserve">108/00 </w:t>
      </w:r>
      <w:r w:rsidRPr="005643E4">
        <w:t>is compatible with human rights, as it does not raise any human rights issues.</w:t>
      </w:r>
    </w:p>
    <w:p w14:paraId="013B6033" w14:textId="77777777" w:rsidR="005009A5" w:rsidRDefault="005009A5"/>
    <w:sectPr w:rsidR="005009A5" w:rsidSect="002B5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EF27" w14:textId="77777777" w:rsidR="00DD4854" w:rsidRDefault="00DD4854">
      <w:pPr>
        <w:spacing w:before="0" w:after="0"/>
      </w:pPr>
      <w:r>
        <w:separator/>
      </w:r>
    </w:p>
  </w:endnote>
  <w:endnote w:type="continuationSeparator" w:id="0">
    <w:p w14:paraId="59F998F8" w14:textId="77777777" w:rsidR="00DD4854" w:rsidRDefault="00DD48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522B6" w14:textId="77777777" w:rsidR="00DD4854" w:rsidRDefault="00DD4854">
      <w:pPr>
        <w:spacing w:before="0" w:after="0"/>
      </w:pPr>
      <w:r>
        <w:separator/>
      </w:r>
    </w:p>
  </w:footnote>
  <w:footnote w:type="continuationSeparator" w:id="0">
    <w:p w14:paraId="3ADDB483" w14:textId="77777777" w:rsidR="00DD4854" w:rsidRDefault="00DD48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224"/>
      <w:gridCol w:w="343"/>
    </w:tblGrid>
    <w:tr w:rsidR="00674C6F" w:rsidRPr="005F7AFE" w14:paraId="10BE833A" w14:textId="77777777" w:rsidTr="00DC5D58">
      <w:tc>
        <w:tcPr>
          <w:tcW w:w="7938" w:type="dxa"/>
          <w:shd w:val="clear" w:color="auto" w:fill="auto"/>
          <w:vAlign w:val="center"/>
        </w:tcPr>
        <w:p w14:paraId="495565BD" w14:textId="77777777" w:rsidR="00674C6F" w:rsidRPr="008A05F7" w:rsidRDefault="009B5A3D" w:rsidP="00C047A1">
          <w:pPr>
            <w:pStyle w:val="Header"/>
            <w:spacing w:before="0" w:after="0"/>
            <w:rPr>
              <w:szCs w:val="20"/>
            </w:rPr>
          </w:pPr>
          <w:r w:rsidRPr="00DC33CF">
            <w:t>Vehicle Standard (</w:t>
          </w:r>
          <w:r w:rsidRPr="00A03992">
            <w:rPr>
              <w:szCs w:val="20"/>
            </w:rPr>
            <w:t xml:space="preserve">Australian Design Rule </w:t>
          </w:r>
          <w:r w:rsidR="00D8109D">
            <w:rPr>
              <w:szCs w:val="20"/>
            </w:rPr>
            <w:t>108</w:t>
          </w:r>
          <w:r w:rsidR="00C047A1">
            <w:rPr>
              <w:szCs w:val="20"/>
            </w:rPr>
            <w:t>/00</w:t>
          </w:r>
          <w:r w:rsidRPr="00A03992">
            <w:rPr>
              <w:szCs w:val="20"/>
            </w:rPr>
            <w:t xml:space="preserve"> </w:t>
          </w:r>
          <w:r>
            <w:rPr>
              <w:szCs w:val="20"/>
            </w:rPr>
            <w:t xml:space="preserve">– </w:t>
          </w:r>
          <w:r w:rsidR="00C047A1">
            <w:rPr>
              <w:szCs w:val="20"/>
            </w:rPr>
            <w:t>Reversing Technologies</w:t>
          </w:r>
          <w:r w:rsidR="00C047A1">
            <w:t>) 202</w:t>
          </w:r>
          <w:r w:rsidR="00340D87">
            <w:t>3</w:t>
          </w:r>
        </w:p>
      </w:tc>
      <w:tc>
        <w:tcPr>
          <w:tcW w:w="567" w:type="dxa"/>
          <w:gridSpan w:val="2"/>
          <w:shd w:val="clear" w:color="auto" w:fill="auto"/>
          <w:vAlign w:val="center"/>
        </w:tcPr>
        <w:p w14:paraId="6C2CE0F2" w14:textId="7279A318" w:rsidR="00674C6F" w:rsidRPr="005F7AFE" w:rsidRDefault="009B5A3D" w:rsidP="00674C6F">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290742">
            <w:rPr>
              <w:noProof/>
              <w:spacing w:val="-2"/>
              <w:sz w:val="20"/>
              <w:szCs w:val="20"/>
              <w:lang w:val="x-none" w:eastAsia="x-none"/>
            </w:rPr>
            <w:t>9</w:t>
          </w:r>
          <w:r w:rsidRPr="005F7AFE">
            <w:rPr>
              <w:spacing w:val="-2"/>
              <w:sz w:val="20"/>
              <w:szCs w:val="20"/>
              <w:lang w:val="x-none" w:eastAsia="x-none"/>
            </w:rPr>
            <w:fldChar w:fldCharType="end"/>
          </w:r>
        </w:p>
      </w:tc>
    </w:tr>
    <w:tr w:rsidR="00674C6F" w:rsidRPr="005F7AFE" w14:paraId="1EFA5753" w14:textId="77777777" w:rsidTr="00674C6F">
      <w:tc>
        <w:tcPr>
          <w:tcW w:w="8162" w:type="dxa"/>
          <w:gridSpan w:val="2"/>
          <w:tcBorders>
            <w:bottom w:val="single" w:sz="4" w:space="0" w:color="auto"/>
          </w:tcBorders>
          <w:shd w:val="clear" w:color="auto" w:fill="auto"/>
          <w:vAlign w:val="center"/>
        </w:tcPr>
        <w:p w14:paraId="77BCFD57" w14:textId="77777777" w:rsidR="00674C6F" w:rsidRPr="00DC33CF" w:rsidRDefault="009B5A3D" w:rsidP="00674C6F">
          <w:pPr>
            <w:pStyle w:val="Header"/>
            <w:spacing w:before="0" w:after="0"/>
          </w:pPr>
          <w:r>
            <w:t>Explanatory Statement</w:t>
          </w:r>
        </w:p>
      </w:tc>
      <w:tc>
        <w:tcPr>
          <w:tcW w:w="343" w:type="dxa"/>
          <w:tcBorders>
            <w:bottom w:val="single" w:sz="4" w:space="0" w:color="auto"/>
          </w:tcBorders>
          <w:shd w:val="clear" w:color="auto" w:fill="auto"/>
          <w:vAlign w:val="center"/>
        </w:tcPr>
        <w:p w14:paraId="284FF86E" w14:textId="77777777" w:rsidR="00674C6F" w:rsidRPr="005F7AFE" w:rsidRDefault="00674C6F" w:rsidP="00674C6F">
          <w:pPr>
            <w:tabs>
              <w:tab w:val="center" w:pos="4153"/>
              <w:tab w:val="right" w:pos="8306"/>
            </w:tabs>
            <w:suppressAutoHyphens/>
            <w:spacing w:before="0" w:after="0"/>
            <w:jc w:val="center"/>
            <w:rPr>
              <w:spacing w:val="-2"/>
              <w:sz w:val="20"/>
              <w:szCs w:val="20"/>
              <w:lang w:val="x-none" w:eastAsia="x-none"/>
            </w:rPr>
          </w:pPr>
        </w:p>
      </w:tc>
    </w:tr>
  </w:tbl>
  <w:p w14:paraId="04F4C9F2" w14:textId="77777777" w:rsidR="00674C6F" w:rsidRDefault="00674C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B7B"/>
    <w:multiLevelType w:val="hybridMultilevel"/>
    <w:tmpl w:val="42C8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E6BCD"/>
    <w:multiLevelType w:val="multilevel"/>
    <w:tmpl w:val="5B2C35CE"/>
    <w:numStyleLink w:val="Bullets"/>
  </w:abstractNum>
  <w:abstractNum w:abstractNumId="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58F7506F"/>
    <w:multiLevelType w:val="multilevel"/>
    <w:tmpl w:val="9D8EFF2A"/>
    <w:lvl w:ilvl="0">
      <w:start w:val="1"/>
      <w:numFmt w:val="decimal"/>
      <w:pStyle w:val="MainHeading"/>
      <w:lvlText w:val="%1."/>
      <w:lvlJc w:val="left"/>
      <w:pPr>
        <w:tabs>
          <w:tab w:val="num" w:pos="3970"/>
        </w:tabs>
        <w:ind w:left="3970" w:hanging="85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section"/>
      <w:lvlText w:val="%1.%2."/>
      <w:lvlJc w:val="left"/>
      <w:pPr>
        <w:tabs>
          <w:tab w:val="num" w:pos="3829"/>
        </w:tabs>
        <w:ind w:left="3829"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1419"/>
        </w:tabs>
        <w:ind w:left="1419"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5C486CE2"/>
    <w:multiLevelType w:val="hybridMultilevel"/>
    <w:tmpl w:val="B468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502A70"/>
    <w:multiLevelType w:val="hybridMultilevel"/>
    <w:tmpl w:val="8E4EB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D169D1"/>
    <w:multiLevelType w:val="hybridMultilevel"/>
    <w:tmpl w:val="92D0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8F"/>
    <w:rsid w:val="0000373A"/>
    <w:rsid w:val="00004C1A"/>
    <w:rsid w:val="00012327"/>
    <w:rsid w:val="00013B6D"/>
    <w:rsid w:val="00014E83"/>
    <w:rsid w:val="00021A88"/>
    <w:rsid w:val="00024024"/>
    <w:rsid w:val="00033ECA"/>
    <w:rsid w:val="00041677"/>
    <w:rsid w:val="00041790"/>
    <w:rsid w:val="00045E24"/>
    <w:rsid w:val="000524CE"/>
    <w:rsid w:val="00056B4E"/>
    <w:rsid w:val="00056B69"/>
    <w:rsid w:val="000677D6"/>
    <w:rsid w:val="00075A74"/>
    <w:rsid w:val="0008529D"/>
    <w:rsid w:val="0008788B"/>
    <w:rsid w:val="000911F5"/>
    <w:rsid w:val="000A1DCB"/>
    <w:rsid w:val="000A3813"/>
    <w:rsid w:val="000A6926"/>
    <w:rsid w:val="000D5178"/>
    <w:rsid w:val="000E085F"/>
    <w:rsid w:val="000E1592"/>
    <w:rsid w:val="001063FB"/>
    <w:rsid w:val="00110753"/>
    <w:rsid w:val="00112338"/>
    <w:rsid w:val="00117CA2"/>
    <w:rsid w:val="00117E6E"/>
    <w:rsid w:val="001268AE"/>
    <w:rsid w:val="001272CD"/>
    <w:rsid w:val="001279A5"/>
    <w:rsid w:val="00131AB7"/>
    <w:rsid w:val="001438EB"/>
    <w:rsid w:val="0015299C"/>
    <w:rsid w:val="001530AB"/>
    <w:rsid w:val="00157876"/>
    <w:rsid w:val="0017034F"/>
    <w:rsid w:val="00173523"/>
    <w:rsid w:val="00176CC4"/>
    <w:rsid w:val="00177683"/>
    <w:rsid w:val="00180DF4"/>
    <w:rsid w:val="00181938"/>
    <w:rsid w:val="001826A8"/>
    <w:rsid w:val="001866F6"/>
    <w:rsid w:val="001A38C1"/>
    <w:rsid w:val="001C493C"/>
    <w:rsid w:val="001C4E85"/>
    <w:rsid w:val="001D3917"/>
    <w:rsid w:val="001D3FBF"/>
    <w:rsid w:val="001D55D4"/>
    <w:rsid w:val="001D62BB"/>
    <w:rsid w:val="001E0E87"/>
    <w:rsid w:val="001E612A"/>
    <w:rsid w:val="001F003E"/>
    <w:rsid w:val="001F14B3"/>
    <w:rsid w:val="00207193"/>
    <w:rsid w:val="00215C90"/>
    <w:rsid w:val="00231A6D"/>
    <w:rsid w:val="00251D79"/>
    <w:rsid w:val="002522FA"/>
    <w:rsid w:val="00252A0D"/>
    <w:rsid w:val="00257C3B"/>
    <w:rsid w:val="0026194D"/>
    <w:rsid w:val="00272723"/>
    <w:rsid w:val="002779D1"/>
    <w:rsid w:val="00285FA1"/>
    <w:rsid w:val="00290742"/>
    <w:rsid w:val="00290A0C"/>
    <w:rsid w:val="002A2241"/>
    <w:rsid w:val="002A4AEC"/>
    <w:rsid w:val="002B2EE0"/>
    <w:rsid w:val="002B5184"/>
    <w:rsid w:val="002C6511"/>
    <w:rsid w:val="002C6A3D"/>
    <w:rsid w:val="002D45A9"/>
    <w:rsid w:val="002E5961"/>
    <w:rsid w:val="00300C3C"/>
    <w:rsid w:val="003060E2"/>
    <w:rsid w:val="00311467"/>
    <w:rsid w:val="00313F5B"/>
    <w:rsid w:val="003152E3"/>
    <w:rsid w:val="003207CA"/>
    <w:rsid w:val="00323A11"/>
    <w:rsid w:val="00333BFE"/>
    <w:rsid w:val="003360B3"/>
    <w:rsid w:val="00340D87"/>
    <w:rsid w:val="00344AE0"/>
    <w:rsid w:val="00356DE4"/>
    <w:rsid w:val="00366622"/>
    <w:rsid w:val="003724EB"/>
    <w:rsid w:val="00377E8C"/>
    <w:rsid w:val="003830B4"/>
    <w:rsid w:val="003838E9"/>
    <w:rsid w:val="00392263"/>
    <w:rsid w:val="00392AAE"/>
    <w:rsid w:val="0039681C"/>
    <w:rsid w:val="003A10FC"/>
    <w:rsid w:val="003A60D4"/>
    <w:rsid w:val="003A77DC"/>
    <w:rsid w:val="003B3064"/>
    <w:rsid w:val="003D10E6"/>
    <w:rsid w:val="003E1774"/>
    <w:rsid w:val="003E2B0F"/>
    <w:rsid w:val="003E3E4F"/>
    <w:rsid w:val="003E5985"/>
    <w:rsid w:val="00412A51"/>
    <w:rsid w:val="0041416E"/>
    <w:rsid w:val="00416A90"/>
    <w:rsid w:val="004174A4"/>
    <w:rsid w:val="004204F9"/>
    <w:rsid w:val="00426056"/>
    <w:rsid w:val="00431D20"/>
    <w:rsid w:val="004372D6"/>
    <w:rsid w:val="004665A1"/>
    <w:rsid w:val="004714DD"/>
    <w:rsid w:val="004808BA"/>
    <w:rsid w:val="00483D9F"/>
    <w:rsid w:val="004B5E76"/>
    <w:rsid w:val="004C0609"/>
    <w:rsid w:val="004C0C22"/>
    <w:rsid w:val="004D1ED6"/>
    <w:rsid w:val="004D2A7C"/>
    <w:rsid w:val="004D2F84"/>
    <w:rsid w:val="004D57F3"/>
    <w:rsid w:val="004E7FF6"/>
    <w:rsid w:val="004F131F"/>
    <w:rsid w:val="004F2227"/>
    <w:rsid w:val="0050018A"/>
    <w:rsid w:val="005009A5"/>
    <w:rsid w:val="00524EC3"/>
    <w:rsid w:val="00537716"/>
    <w:rsid w:val="005439BA"/>
    <w:rsid w:val="005643E4"/>
    <w:rsid w:val="00570BC7"/>
    <w:rsid w:val="0057124B"/>
    <w:rsid w:val="00574B18"/>
    <w:rsid w:val="00582113"/>
    <w:rsid w:val="0058254D"/>
    <w:rsid w:val="00586E18"/>
    <w:rsid w:val="005906D2"/>
    <w:rsid w:val="00597462"/>
    <w:rsid w:val="005A4074"/>
    <w:rsid w:val="005A40DA"/>
    <w:rsid w:val="005B063C"/>
    <w:rsid w:val="005B5CB3"/>
    <w:rsid w:val="005B7913"/>
    <w:rsid w:val="005C03A8"/>
    <w:rsid w:val="005C15C7"/>
    <w:rsid w:val="005C7EF6"/>
    <w:rsid w:val="00604B10"/>
    <w:rsid w:val="00606224"/>
    <w:rsid w:val="0060744E"/>
    <w:rsid w:val="00617313"/>
    <w:rsid w:val="006211AB"/>
    <w:rsid w:val="00625A4C"/>
    <w:rsid w:val="00634503"/>
    <w:rsid w:val="00640758"/>
    <w:rsid w:val="00643FE9"/>
    <w:rsid w:val="0065428F"/>
    <w:rsid w:val="00656999"/>
    <w:rsid w:val="00661F01"/>
    <w:rsid w:val="00673744"/>
    <w:rsid w:val="006742A6"/>
    <w:rsid w:val="00674C6F"/>
    <w:rsid w:val="00680A35"/>
    <w:rsid w:val="00682435"/>
    <w:rsid w:val="0069111B"/>
    <w:rsid w:val="00692E83"/>
    <w:rsid w:val="00696AF8"/>
    <w:rsid w:val="006A2AAA"/>
    <w:rsid w:val="006B2362"/>
    <w:rsid w:val="006B4600"/>
    <w:rsid w:val="006D3649"/>
    <w:rsid w:val="006E05F4"/>
    <w:rsid w:val="006E3FAF"/>
    <w:rsid w:val="006E5E34"/>
    <w:rsid w:val="006E6134"/>
    <w:rsid w:val="007000DD"/>
    <w:rsid w:val="00712464"/>
    <w:rsid w:val="00715E77"/>
    <w:rsid w:val="00730297"/>
    <w:rsid w:val="00770A1A"/>
    <w:rsid w:val="007711E2"/>
    <w:rsid w:val="007754A7"/>
    <w:rsid w:val="00782F90"/>
    <w:rsid w:val="00795781"/>
    <w:rsid w:val="007978FD"/>
    <w:rsid w:val="007A3548"/>
    <w:rsid w:val="007B4080"/>
    <w:rsid w:val="007B547B"/>
    <w:rsid w:val="007C5E1D"/>
    <w:rsid w:val="007D11EA"/>
    <w:rsid w:val="007D23EE"/>
    <w:rsid w:val="00800F4F"/>
    <w:rsid w:val="00802AD2"/>
    <w:rsid w:val="008063DA"/>
    <w:rsid w:val="00820AE0"/>
    <w:rsid w:val="008219C4"/>
    <w:rsid w:val="00834A72"/>
    <w:rsid w:val="00852369"/>
    <w:rsid w:val="00884723"/>
    <w:rsid w:val="00885015"/>
    <w:rsid w:val="008A760E"/>
    <w:rsid w:val="008B05F5"/>
    <w:rsid w:val="008B6ED9"/>
    <w:rsid w:val="008D2E28"/>
    <w:rsid w:val="008E32CB"/>
    <w:rsid w:val="008E33DA"/>
    <w:rsid w:val="008E5D8C"/>
    <w:rsid w:val="008F3C55"/>
    <w:rsid w:val="0090269E"/>
    <w:rsid w:val="00906702"/>
    <w:rsid w:val="00907D99"/>
    <w:rsid w:val="009163DF"/>
    <w:rsid w:val="00922C16"/>
    <w:rsid w:val="00924B5F"/>
    <w:rsid w:val="0092633F"/>
    <w:rsid w:val="00930406"/>
    <w:rsid w:val="00953374"/>
    <w:rsid w:val="00960ED3"/>
    <w:rsid w:val="00973988"/>
    <w:rsid w:val="00982887"/>
    <w:rsid w:val="00986AEA"/>
    <w:rsid w:val="009A63AD"/>
    <w:rsid w:val="009B5A3D"/>
    <w:rsid w:val="009D06D5"/>
    <w:rsid w:val="009D63C9"/>
    <w:rsid w:val="009E1D8A"/>
    <w:rsid w:val="009E1ECF"/>
    <w:rsid w:val="00A03D5A"/>
    <w:rsid w:val="00A16479"/>
    <w:rsid w:val="00A20466"/>
    <w:rsid w:val="00A27B1E"/>
    <w:rsid w:val="00A305FC"/>
    <w:rsid w:val="00A34DB5"/>
    <w:rsid w:val="00A45541"/>
    <w:rsid w:val="00A63708"/>
    <w:rsid w:val="00A6776D"/>
    <w:rsid w:val="00A80EE8"/>
    <w:rsid w:val="00AE64A8"/>
    <w:rsid w:val="00AF2F01"/>
    <w:rsid w:val="00AF4C72"/>
    <w:rsid w:val="00B048A5"/>
    <w:rsid w:val="00B05772"/>
    <w:rsid w:val="00B37519"/>
    <w:rsid w:val="00B37EA0"/>
    <w:rsid w:val="00B43901"/>
    <w:rsid w:val="00B46440"/>
    <w:rsid w:val="00B46BA1"/>
    <w:rsid w:val="00B4748F"/>
    <w:rsid w:val="00B50C4A"/>
    <w:rsid w:val="00B52163"/>
    <w:rsid w:val="00B52C9B"/>
    <w:rsid w:val="00B631CB"/>
    <w:rsid w:val="00B64111"/>
    <w:rsid w:val="00B6625F"/>
    <w:rsid w:val="00B66C7E"/>
    <w:rsid w:val="00B67D11"/>
    <w:rsid w:val="00B7302E"/>
    <w:rsid w:val="00B813B0"/>
    <w:rsid w:val="00BA4562"/>
    <w:rsid w:val="00BD4811"/>
    <w:rsid w:val="00BE1427"/>
    <w:rsid w:val="00BE243D"/>
    <w:rsid w:val="00BE6C3F"/>
    <w:rsid w:val="00BF27A6"/>
    <w:rsid w:val="00C00821"/>
    <w:rsid w:val="00C047A1"/>
    <w:rsid w:val="00C10F5D"/>
    <w:rsid w:val="00C14D0A"/>
    <w:rsid w:val="00C20F09"/>
    <w:rsid w:val="00C2672A"/>
    <w:rsid w:val="00C26DC6"/>
    <w:rsid w:val="00C3438F"/>
    <w:rsid w:val="00C376A0"/>
    <w:rsid w:val="00C447F1"/>
    <w:rsid w:val="00C46A6F"/>
    <w:rsid w:val="00C50635"/>
    <w:rsid w:val="00C55518"/>
    <w:rsid w:val="00C60B9A"/>
    <w:rsid w:val="00C76883"/>
    <w:rsid w:val="00C9724D"/>
    <w:rsid w:val="00CA078B"/>
    <w:rsid w:val="00CA2135"/>
    <w:rsid w:val="00CC7F42"/>
    <w:rsid w:val="00CE01CA"/>
    <w:rsid w:val="00CE2AB3"/>
    <w:rsid w:val="00CF671D"/>
    <w:rsid w:val="00D0054F"/>
    <w:rsid w:val="00D049E5"/>
    <w:rsid w:val="00D31DB9"/>
    <w:rsid w:val="00D330CF"/>
    <w:rsid w:val="00D40E0F"/>
    <w:rsid w:val="00D4469F"/>
    <w:rsid w:val="00D47176"/>
    <w:rsid w:val="00D47DBB"/>
    <w:rsid w:val="00D5232D"/>
    <w:rsid w:val="00D56275"/>
    <w:rsid w:val="00D67B5B"/>
    <w:rsid w:val="00D74FE9"/>
    <w:rsid w:val="00D8109D"/>
    <w:rsid w:val="00D87CB1"/>
    <w:rsid w:val="00DA7246"/>
    <w:rsid w:val="00DB721C"/>
    <w:rsid w:val="00DC159E"/>
    <w:rsid w:val="00DC5D1B"/>
    <w:rsid w:val="00DC5D58"/>
    <w:rsid w:val="00DC7388"/>
    <w:rsid w:val="00DD4854"/>
    <w:rsid w:val="00DE01EF"/>
    <w:rsid w:val="00DE02F8"/>
    <w:rsid w:val="00DE0958"/>
    <w:rsid w:val="00DE3DB6"/>
    <w:rsid w:val="00DE4104"/>
    <w:rsid w:val="00DF13B5"/>
    <w:rsid w:val="00DF2BEB"/>
    <w:rsid w:val="00E02E2B"/>
    <w:rsid w:val="00E04ADC"/>
    <w:rsid w:val="00E130F8"/>
    <w:rsid w:val="00E13F28"/>
    <w:rsid w:val="00E14AFA"/>
    <w:rsid w:val="00E204F3"/>
    <w:rsid w:val="00E2553E"/>
    <w:rsid w:val="00E63CF5"/>
    <w:rsid w:val="00E73F76"/>
    <w:rsid w:val="00E74A5B"/>
    <w:rsid w:val="00E90A8A"/>
    <w:rsid w:val="00E961F4"/>
    <w:rsid w:val="00E971AB"/>
    <w:rsid w:val="00EA7CFA"/>
    <w:rsid w:val="00EB59A6"/>
    <w:rsid w:val="00EC2374"/>
    <w:rsid w:val="00EE64C2"/>
    <w:rsid w:val="00EE7E2D"/>
    <w:rsid w:val="00EF07E9"/>
    <w:rsid w:val="00EF54FA"/>
    <w:rsid w:val="00F05B14"/>
    <w:rsid w:val="00F14F91"/>
    <w:rsid w:val="00F1725A"/>
    <w:rsid w:val="00F26D2E"/>
    <w:rsid w:val="00F41351"/>
    <w:rsid w:val="00F55D79"/>
    <w:rsid w:val="00F73DC1"/>
    <w:rsid w:val="00F770C8"/>
    <w:rsid w:val="00F80779"/>
    <w:rsid w:val="00F846DC"/>
    <w:rsid w:val="00F95E2E"/>
    <w:rsid w:val="00F97C72"/>
    <w:rsid w:val="00FA16A2"/>
    <w:rsid w:val="00FB1063"/>
    <w:rsid w:val="00FC292F"/>
    <w:rsid w:val="00FD094B"/>
    <w:rsid w:val="00FD167F"/>
    <w:rsid w:val="00FF0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21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38F"/>
    <w:pPr>
      <w:spacing w:before="120" w:after="12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 section"/>
    <w:basedOn w:val="Normal"/>
    <w:next w:val="Normal"/>
    <w:rsid w:val="00C3438F"/>
    <w:pPr>
      <w:numPr>
        <w:ilvl w:val="1"/>
        <w:numId w:val="1"/>
      </w:numPr>
      <w:outlineLvl w:val="1"/>
    </w:pPr>
  </w:style>
  <w:style w:type="paragraph" w:customStyle="1" w:styleId="Subsubsection">
    <w:name w:val="Subsub section"/>
    <w:basedOn w:val="Normal"/>
    <w:next w:val="Normal"/>
    <w:rsid w:val="00C3438F"/>
    <w:pPr>
      <w:numPr>
        <w:ilvl w:val="2"/>
        <w:numId w:val="1"/>
      </w:numPr>
    </w:pPr>
  </w:style>
  <w:style w:type="paragraph" w:customStyle="1" w:styleId="Subsubsubsection">
    <w:name w:val="Subsubsub section"/>
    <w:basedOn w:val="Normal"/>
    <w:next w:val="Normal"/>
    <w:rsid w:val="00C3438F"/>
    <w:pPr>
      <w:numPr>
        <w:ilvl w:val="3"/>
        <w:numId w:val="1"/>
      </w:numPr>
      <w:tabs>
        <w:tab w:val="clear" w:pos="1419"/>
        <w:tab w:val="num" w:pos="851"/>
      </w:tabs>
      <w:ind w:left="851"/>
    </w:pPr>
  </w:style>
  <w:style w:type="paragraph" w:styleId="TOC1">
    <w:name w:val="toc 1"/>
    <w:basedOn w:val="Normal"/>
    <w:next w:val="Normal"/>
    <w:link w:val="TOC1Char"/>
    <w:autoRedefine/>
    <w:uiPriority w:val="39"/>
    <w:rsid w:val="00C3438F"/>
    <w:pPr>
      <w:tabs>
        <w:tab w:val="left" w:pos="851"/>
        <w:tab w:val="left" w:leader="dot" w:pos="8108"/>
      </w:tabs>
      <w:ind w:left="851" w:hanging="851"/>
    </w:pPr>
    <w:rPr>
      <w:caps/>
    </w:rPr>
  </w:style>
  <w:style w:type="paragraph" w:styleId="Header">
    <w:name w:val="header"/>
    <w:aliases w:val="6_G"/>
    <w:basedOn w:val="Normal"/>
    <w:link w:val="HeaderChar"/>
    <w:uiPriority w:val="99"/>
    <w:rsid w:val="00C3438F"/>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3438F"/>
    <w:rPr>
      <w:rFonts w:ascii="Times New Roman" w:eastAsia="Times New Roman" w:hAnsi="Times New Roman" w:cs="Times New Roman"/>
      <w:sz w:val="20"/>
      <w:szCs w:val="24"/>
      <w:lang w:eastAsia="en-AU"/>
    </w:rPr>
  </w:style>
  <w:style w:type="paragraph" w:styleId="TOC2">
    <w:name w:val="toc 2"/>
    <w:basedOn w:val="Normal"/>
    <w:next w:val="Normal"/>
    <w:autoRedefine/>
    <w:uiPriority w:val="39"/>
    <w:rsid w:val="00C3438F"/>
    <w:pPr>
      <w:tabs>
        <w:tab w:val="left" w:pos="851"/>
        <w:tab w:val="left" w:leader="dot" w:pos="8108"/>
      </w:tabs>
    </w:pPr>
  </w:style>
  <w:style w:type="paragraph" w:customStyle="1" w:styleId="MainHeading">
    <w:name w:val="Main Heading"/>
    <w:basedOn w:val="Normal"/>
    <w:next w:val="Normal"/>
    <w:rsid w:val="00C3438F"/>
    <w:pPr>
      <w:numPr>
        <w:numId w:val="1"/>
      </w:numPr>
      <w:spacing w:before="240"/>
      <w:outlineLvl w:val="0"/>
    </w:pPr>
    <w:rPr>
      <w:b/>
      <w:caps/>
    </w:rPr>
  </w:style>
  <w:style w:type="paragraph" w:customStyle="1" w:styleId="StyledotArialLeft0cmFirstline0cmAfter12pt">
    <w:name w:val="Style dot + Arial Left:  0 cm First line:  0 cm After:  12 pt"/>
    <w:basedOn w:val="Normal"/>
    <w:rsid w:val="00C3438F"/>
    <w:pPr>
      <w:spacing w:after="240"/>
    </w:pPr>
    <w:rPr>
      <w:szCs w:val="20"/>
    </w:rPr>
  </w:style>
  <w:style w:type="paragraph" w:customStyle="1" w:styleId="HeadingLevel1">
    <w:name w:val="Heading Level 1"/>
    <w:basedOn w:val="MainHeading"/>
    <w:link w:val="HeadingLevel1Char"/>
    <w:qFormat/>
    <w:rsid w:val="00C3438F"/>
    <w:pPr>
      <w:keepNext/>
    </w:pPr>
  </w:style>
  <w:style w:type="paragraph" w:customStyle="1" w:styleId="HeadingLevel2">
    <w:name w:val="Heading Level 2"/>
    <w:basedOn w:val="Subsection"/>
    <w:link w:val="HeadingLevel2Char"/>
    <w:qFormat/>
    <w:rsid w:val="00C3438F"/>
    <w:pPr>
      <w:keepNext/>
    </w:pPr>
  </w:style>
  <w:style w:type="character" w:customStyle="1" w:styleId="HeadingLevel1Char">
    <w:name w:val="Heading Level 1 Char"/>
    <w:basedOn w:val="DefaultParagraphFont"/>
    <w:link w:val="HeadingLevel1"/>
    <w:rsid w:val="00C3438F"/>
    <w:rPr>
      <w:rFonts w:ascii="Times New Roman" w:eastAsia="Times New Roman" w:hAnsi="Times New Roman" w:cs="Times New Roman"/>
      <w:b/>
      <w:caps/>
      <w:sz w:val="24"/>
      <w:szCs w:val="24"/>
      <w:lang w:eastAsia="en-AU"/>
    </w:rPr>
  </w:style>
  <w:style w:type="character" w:customStyle="1" w:styleId="HeadingLevel2Char">
    <w:name w:val="Heading Level 2 Char"/>
    <w:basedOn w:val="DefaultParagraphFont"/>
    <w:link w:val="HeadingLevel2"/>
    <w:rsid w:val="00C3438F"/>
    <w:rPr>
      <w:rFonts w:ascii="Times New Roman" w:eastAsia="Times New Roman" w:hAnsi="Times New Roman" w:cs="Times New Roman"/>
      <w:sz w:val="24"/>
      <w:szCs w:val="24"/>
      <w:lang w:eastAsia="en-AU"/>
    </w:rPr>
  </w:style>
  <w:style w:type="paragraph" w:customStyle="1" w:styleId="ContentsHeading">
    <w:name w:val="Contents Heading"/>
    <w:basedOn w:val="Normal"/>
    <w:link w:val="ContentsHeadingChar"/>
    <w:qFormat/>
    <w:rsid w:val="00C3438F"/>
    <w:pPr>
      <w:tabs>
        <w:tab w:val="left" w:pos="900"/>
      </w:tabs>
      <w:spacing w:before="0" w:after="0"/>
      <w:jc w:val="center"/>
    </w:pPr>
    <w:rPr>
      <w:b/>
    </w:rPr>
  </w:style>
  <w:style w:type="character" w:customStyle="1" w:styleId="ContentsHeadingChar">
    <w:name w:val="Contents Heading Char"/>
    <w:link w:val="ContentsHeading"/>
    <w:rsid w:val="00C3438F"/>
    <w:rPr>
      <w:rFonts w:ascii="Times New Roman" w:eastAsia="Times New Roman" w:hAnsi="Times New Roman" w:cs="Times New Roman"/>
      <w:b/>
      <w:sz w:val="24"/>
      <w:szCs w:val="24"/>
      <w:lang w:eastAsia="en-AU"/>
    </w:rPr>
  </w:style>
  <w:style w:type="character" w:customStyle="1" w:styleId="TOC1Char">
    <w:name w:val="TOC 1 Char"/>
    <w:link w:val="TOC1"/>
    <w:uiPriority w:val="39"/>
    <w:rsid w:val="00C3438F"/>
    <w:rPr>
      <w:rFonts w:ascii="Times New Roman" w:eastAsia="Times New Roman" w:hAnsi="Times New Roman" w:cs="Times New Roman"/>
      <w:caps/>
      <w:sz w:val="24"/>
      <w:szCs w:val="24"/>
      <w:lang w:eastAsia="en-AU"/>
    </w:rPr>
  </w:style>
  <w:style w:type="paragraph" w:customStyle="1" w:styleId="ESNormal">
    <w:name w:val="ES_Normal"/>
    <w:link w:val="ESNormalChar"/>
    <w:qFormat/>
    <w:rsid w:val="00C3438F"/>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C3438F"/>
    <w:rPr>
      <w:rFonts w:ascii="Times New Roman" w:hAnsi="Times New Roman"/>
      <w:sz w:val="24"/>
    </w:rPr>
  </w:style>
  <w:style w:type="paragraph" w:styleId="Footer">
    <w:name w:val="footer"/>
    <w:basedOn w:val="Normal"/>
    <w:link w:val="FooterChar"/>
    <w:uiPriority w:val="99"/>
    <w:unhideWhenUsed/>
    <w:rsid w:val="00C047A1"/>
    <w:pPr>
      <w:tabs>
        <w:tab w:val="center" w:pos="4513"/>
        <w:tab w:val="right" w:pos="9026"/>
      </w:tabs>
      <w:spacing w:before="0" w:after="0"/>
    </w:pPr>
  </w:style>
  <w:style w:type="character" w:customStyle="1" w:styleId="FooterChar">
    <w:name w:val="Footer Char"/>
    <w:basedOn w:val="DefaultParagraphFont"/>
    <w:link w:val="Footer"/>
    <w:uiPriority w:val="99"/>
    <w:rsid w:val="00C047A1"/>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F27A6"/>
    <w:rPr>
      <w:sz w:val="16"/>
      <w:szCs w:val="16"/>
    </w:rPr>
  </w:style>
  <w:style w:type="paragraph" w:styleId="CommentText">
    <w:name w:val="annotation text"/>
    <w:basedOn w:val="Normal"/>
    <w:link w:val="CommentTextChar"/>
    <w:uiPriority w:val="99"/>
    <w:semiHidden/>
    <w:unhideWhenUsed/>
    <w:rsid w:val="00BF27A6"/>
    <w:rPr>
      <w:sz w:val="20"/>
      <w:szCs w:val="20"/>
    </w:rPr>
  </w:style>
  <w:style w:type="character" w:customStyle="1" w:styleId="CommentTextChar">
    <w:name w:val="Comment Text Char"/>
    <w:basedOn w:val="DefaultParagraphFont"/>
    <w:link w:val="CommentText"/>
    <w:uiPriority w:val="99"/>
    <w:semiHidden/>
    <w:rsid w:val="00BF27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27A6"/>
    <w:rPr>
      <w:b/>
      <w:bCs/>
    </w:rPr>
  </w:style>
  <w:style w:type="character" w:customStyle="1" w:styleId="CommentSubjectChar">
    <w:name w:val="Comment Subject Char"/>
    <w:basedOn w:val="CommentTextChar"/>
    <w:link w:val="CommentSubject"/>
    <w:uiPriority w:val="99"/>
    <w:semiHidden/>
    <w:rsid w:val="00BF27A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F27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A6"/>
    <w:rPr>
      <w:rFonts w:ascii="Segoe UI" w:eastAsia="Times New Roman" w:hAnsi="Segoe UI" w:cs="Segoe UI"/>
      <w:sz w:val="18"/>
      <w:szCs w:val="18"/>
      <w:lang w:eastAsia="en-AU"/>
    </w:rPr>
  </w:style>
  <w:style w:type="paragraph" w:styleId="ListParagraph">
    <w:name w:val="List Paragraph"/>
    <w:basedOn w:val="Normal"/>
    <w:uiPriority w:val="34"/>
    <w:qFormat/>
    <w:rsid w:val="00A34DB5"/>
    <w:pPr>
      <w:ind w:left="720"/>
      <w:contextualSpacing/>
    </w:pPr>
  </w:style>
  <w:style w:type="paragraph" w:customStyle="1" w:styleId="MainHeadding">
    <w:name w:val="Main Headding"/>
    <w:basedOn w:val="Normal"/>
    <w:next w:val="Normal"/>
    <w:rsid w:val="004D57F3"/>
    <w:pPr>
      <w:tabs>
        <w:tab w:val="num" w:pos="851"/>
      </w:tabs>
      <w:spacing w:before="240"/>
      <w:ind w:left="851" w:hanging="851"/>
      <w:outlineLvl w:val="0"/>
    </w:pPr>
    <w:rPr>
      <w:b/>
      <w:caps/>
    </w:rPr>
  </w:style>
  <w:style w:type="character" w:styleId="Hyperlink">
    <w:name w:val="Hyperlink"/>
    <w:basedOn w:val="DefaultParagraphFont"/>
    <w:uiPriority w:val="99"/>
    <w:unhideWhenUsed/>
    <w:rsid w:val="00B43901"/>
    <w:rPr>
      <w:color w:val="0563C1" w:themeColor="hyperlink"/>
      <w:u w:val="single"/>
    </w:rPr>
  </w:style>
  <w:style w:type="character" w:customStyle="1" w:styleId="UnresolvedMention1">
    <w:name w:val="Unresolved Mention1"/>
    <w:basedOn w:val="DefaultParagraphFont"/>
    <w:uiPriority w:val="99"/>
    <w:semiHidden/>
    <w:unhideWhenUsed/>
    <w:rsid w:val="00257C3B"/>
    <w:rPr>
      <w:color w:val="605E5C"/>
      <w:shd w:val="clear" w:color="auto" w:fill="E1DFDD"/>
    </w:rPr>
  </w:style>
  <w:style w:type="paragraph" w:customStyle="1" w:styleId="Bullet1">
    <w:name w:val="Bullet 1"/>
    <w:basedOn w:val="Normal"/>
    <w:uiPriority w:val="3"/>
    <w:qFormat/>
    <w:rsid w:val="00257C3B"/>
    <w:pPr>
      <w:numPr>
        <w:numId w:val="7"/>
      </w:numPr>
      <w:suppressAutoHyphens/>
      <w:spacing w:before="80" w:after="80"/>
    </w:pPr>
    <w:rPr>
      <w:rFonts w:asciiTheme="minorHAnsi" w:eastAsiaTheme="minorHAnsi" w:hAnsiTheme="minorHAnsi" w:cstheme="minorBidi"/>
      <w:color w:val="000000" w:themeColor="text1"/>
      <w:kern w:val="12"/>
      <w:sz w:val="20"/>
      <w:szCs w:val="20"/>
      <w:lang w:val="x-none" w:eastAsia="en-US"/>
    </w:rPr>
  </w:style>
  <w:style w:type="paragraph" w:customStyle="1" w:styleId="Bullet2">
    <w:name w:val="Bullet 2"/>
    <w:basedOn w:val="Bullet1"/>
    <w:uiPriority w:val="3"/>
    <w:rsid w:val="00257C3B"/>
    <w:pPr>
      <w:numPr>
        <w:ilvl w:val="1"/>
      </w:numPr>
    </w:pPr>
  </w:style>
  <w:style w:type="paragraph" w:customStyle="1" w:styleId="Bullet3">
    <w:name w:val="Bullet 3"/>
    <w:basedOn w:val="Bullet2"/>
    <w:uiPriority w:val="3"/>
    <w:rsid w:val="00257C3B"/>
    <w:pPr>
      <w:numPr>
        <w:ilvl w:val="2"/>
      </w:numPr>
    </w:pPr>
  </w:style>
  <w:style w:type="numbering" w:customStyle="1" w:styleId="Bullets">
    <w:name w:val="Bullets"/>
    <w:uiPriority w:val="99"/>
    <w:rsid w:val="00257C3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48007">
      <w:bodyDiv w:val="1"/>
      <w:marLeft w:val="0"/>
      <w:marRight w:val="0"/>
      <w:marTop w:val="0"/>
      <w:marBottom w:val="0"/>
      <w:divBdr>
        <w:top w:val="none" w:sz="0" w:space="0" w:color="auto"/>
        <w:left w:val="none" w:sz="0" w:space="0" w:color="auto"/>
        <w:bottom w:val="none" w:sz="0" w:space="0" w:color="auto"/>
        <w:right w:val="none" w:sz="0" w:space="0" w:color="auto"/>
      </w:divBdr>
    </w:div>
    <w:div w:id="420488489">
      <w:bodyDiv w:val="1"/>
      <w:marLeft w:val="0"/>
      <w:marRight w:val="0"/>
      <w:marTop w:val="0"/>
      <w:marBottom w:val="0"/>
      <w:divBdr>
        <w:top w:val="none" w:sz="0" w:space="0" w:color="auto"/>
        <w:left w:val="none" w:sz="0" w:space="0" w:color="auto"/>
        <w:bottom w:val="none" w:sz="0" w:space="0" w:color="auto"/>
        <w:right w:val="none" w:sz="0" w:space="0" w:color="auto"/>
      </w:divBdr>
    </w:div>
    <w:div w:id="437942865">
      <w:bodyDiv w:val="1"/>
      <w:marLeft w:val="0"/>
      <w:marRight w:val="0"/>
      <w:marTop w:val="0"/>
      <w:marBottom w:val="0"/>
      <w:divBdr>
        <w:top w:val="none" w:sz="0" w:space="0" w:color="auto"/>
        <w:left w:val="none" w:sz="0" w:space="0" w:color="auto"/>
        <w:bottom w:val="none" w:sz="0" w:space="0" w:color="auto"/>
        <w:right w:val="none" w:sz="0" w:space="0" w:color="auto"/>
      </w:divBdr>
    </w:div>
    <w:div w:id="1326281232">
      <w:bodyDiv w:val="1"/>
      <w:marLeft w:val="0"/>
      <w:marRight w:val="0"/>
      <w:marTop w:val="0"/>
      <w:marBottom w:val="0"/>
      <w:divBdr>
        <w:top w:val="none" w:sz="0" w:space="0" w:color="auto"/>
        <w:left w:val="none" w:sz="0" w:space="0" w:color="auto"/>
        <w:bottom w:val="none" w:sz="0" w:space="0" w:color="auto"/>
        <w:right w:val="none" w:sz="0" w:space="0" w:color="auto"/>
      </w:divBdr>
    </w:div>
    <w:div w:id="1438598379">
      <w:bodyDiv w:val="1"/>
      <w:marLeft w:val="0"/>
      <w:marRight w:val="0"/>
      <w:marTop w:val="0"/>
      <w:marBottom w:val="0"/>
      <w:divBdr>
        <w:top w:val="none" w:sz="0" w:space="0" w:color="auto"/>
        <w:left w:val="none" w:sz="0" w:space="0" w:color="auto"/>
        <w:bottom w:val="none" w:sz="0" w:space="0" w:color="auto"/>
        <w:right w:val="none" w:sz="0" w:space="0" w:color="auto"/>
      </w:divBdr>
    </w:div>
    <w:div w:id="1776364938">
      <w:bodyDiv w:val="1"/>
      <w:marLeft w:val="0"/>
      <w:marRight w:val="0"/>
      <w:marTop w:val="0"/>
      <w:marBottom w:val="0"/>
      <w:divBdr>
        <w:top w:val="none" w:sz="0" w:space="0" w:color="auto"/>
        <w:left w:val="none" w:sz="0" w:space="0" w:color="auto"/>
        <w:bottom w:val="none" w:sz="0" w:space="0" w:color="auto"/>
        <w:right w:val="none" w:sz="0" w:space="0" w:color="auto"/>
      </w:divBdr>
    </w:div>
    <w:div w:id="17962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99B1-CCBB-4DD8-9D60-27F6F1CF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5299</Words>
  <Characters>30206</Characters>
  <Application>Microsoft Office Word</Application>
  <DocSecurity>0</DocSecurity>
  <Lines>251</Lines>
  <Paragraphs>70</Paragraphs>
  <ScaleCrop>false</ScaleCrop>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2023-07-04T00:45:00Z</dcterms:created>
  <dcterms:modified xsi:type="dcterms:W3CDTF">2023-07-04T00:45:00Z</dcterms:modified>
</cp:coreProperties>
</file>