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7D28" w14:textId="3D3A9098" w:rsidR="00F109D4" w:rsidRPr="00AF6425" w:rsidRDefault="00F109D4" w:rsidP="00647BB7">
      <w:pPr>
        <w:pStyle w:val="Heading1"/>
        <w:spacing w:after="360"/>
        <w:rPr>
          <w:rFonts w:ascii="Times New Roman" w:hAnsi="Times New Roman"/>
          <w:sz w:val="24"/>
          <w:szCs w:val="24"/>
        </w:rPr>
      </w:pPr>
      <w:r w:rsidRPr="00AF6425">
        <w:rPr>
          <w:rFonts w:ascii="Times New Roman" w:hAnsi="Times New Roman"/>
          <w:sz w:val="24"/>
          <w:szCs w:val="24"/>
        </w:rPr>
        <w:t>EXPLANATORY</w:t>
      </w:r>
      <w:r w:rsidR="009A130F" w:rsidRPr="00AF6425">
        <w:rPr>
          <w:rFonts w:ascii="Times New Roman" w:hAnsi="Times New Roman"/>
          <w:sz w:val="24"/>
          <w:szCs w:val="24"/>
        </w:rPr>
        <w:t xml:space="preserve"> S</w:t>
      </w:r>
      <w:r w:rsidR="003203D7" w:rsidRPr="00AF6425">
        <w:rPr>
          <w:rFonts w:ascii="Times New Roman" w:hAnsi="Times New Roman"/>
          <w:sz w:val="24"/>
          <w:szCs w:val="24"/>
        </w:rPr>
        <w:t>TATEMENT</w:t>
      </w:r>
    </w:p>
    <w:p w14:paraId="58431EC1" w14:textId="125E0152" w:rsidR="007662C7" w:rsidRPr="00AF6425" w:rsidRDefault="00F109D4" w:rsidP="003E1CE3">
      <w:pPr>
        <w:pStyle w:val="Heading2"/>
        <w:jc w:val="center"/>
        <w:rPr>
          <w:sz w:val="24"/>
          <w:szCs w:val="24"/>
        </w:rPr>
      </w:pPr>
      <w:r w:rsidRPr="00AF6425">
        <w:rPr>
          <w:sz w:val="24"/>
          <w:szCs w:val="24"/>
        </w:rPr>
        <w:t xml:space="preserve">Issued by authority of </w:t>
      </w:r>
      <w:sdt>
        <w:sdtPr>
          <w:rPr>
            <w:rStyle w:val="DefaultChar"/>
          </w:rPr>
          <w:id w:val="-1025254589"/>
          <w:placeholder>
            <w:docPart w:val="F9588E71EB3F4751A7A04F48F06A916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42648" w:rsidRPr="00AF6425">
            <w:rPr>
              <w:rStyle w:val="DefaultChar"/>
            </w:rPr>
            <w:t>the Assistant Treasurer and Minister for Financial Services</w:t>
          </w:r>
        </w:sdtContent>
      </w:sdt>
      <w:r w:rsidR="00076178" w:rsidRPr="00AF6425">
        <w:rPr>
          <w:sz w:val="24"/>
          <w:szCs w:val="24"/>
        </w:rPr>
        <w:t xml:space="preserve"> </w:t>
      </w:r>
    </w:p>
    <w:p w14:paraId="21FFA6EF" w14:textId="795D7366" w:rsidR="00F109D4" w:rsidRPr="00AF6425" w:rsidRDefault="005042F3" w:rsidP="003C7907">
      <w:pPr>
        <w:spacing w:before="240" w:after="240"/>
        <w:jc w:val="center"/>
        <w:rPr>
          <w:i/>
        </w:rPr>
      </w:pPr>
      <w:r w:rsidRPr="00AF6425">
        <w:rPr>
          <w:i/>
        </w:rPr>
        <w:t>Competition and Consumer Act 2010</w:t>
      </w:r>
    </w:p>
    <w:p w14:paraId="67B3E9FA" w14:textId="31042B66" w:rsidR="00F109D4" w:rsidRPr="00AF6425" w:rsidRDefault="00CD6616" w:rsidP="00AA1689">
      <w:pPr>
        <w:tabs>
          <w:tab w:val="left" w:pos="1418"/>
        </w:tabs>
        <w:spacing w:before="0" w:after="240"/>
        <w:jc w:val="center"/>
        <w:rPr>
          <w:i/>
        </w:rPr>
      </w:pPr>
      <w:r w:rsidRPr="00AF6425">
        <w:rPr>
          <w:i/>
        </w:rPr>
        <w:t xml:space="preserve">Consumer Data Right (Authorised Deposit-Taking Institutions) </w:t>
      </w:r>
      <w:r w:rsidR="005C1214" w:rsidRPr="00AF6425">
        <w:rPr>
          <w:i/>
        </w:rPr>
        <w:t xml:space="preserve">Amendment </w:t>
      </w:r>
      <w:r w:rsidRPr="00AF6425">
        <w:rPr>
          <w:i/>
        </w:rPr>
        <w:t>Designation 20</w:t>
      </w:r>
      <w:r w:rsidR="00E32DA0" w:rsidRPr="00AF6425">
        <w:rPr>
          <w:i/>
        </w:rPr>
        <w:t>2</w:t>
      </w:r>
      <w:r w:rsidR="00631F3C" w:rsidRPr="00AF6425">
        <w:rPr>
          <w:i/>
        </w:rPr>
        <w:t>3</w:t>
      </w:r>
    </w:p>
    <w:p w14:paraId="0153E344" w14:textId="6B7E5D18" w:rsidR="008C1C6F" w:rsidRPr="00AF6425" w:rsidRDefault="008C1C6F" w:rsidP="008C1C6F">
      <w:pPr>
        <w:pStyle w:val="NormalWeb"/>
        <w:rPr>
          <w:color w:val="000000"/>
        </w:rPr>
      </w:pPr>
      <w:r w:rsidRPr="00AF6425">
        <w:rPr>
          <w:color w:val="000000"/>
        </w:rPr>
        <w:t xml:space="preserve">Subsection 56AC(2) of the </w:t>
      </w:r>
      <w:r w:rsidRPr="00AF6425">
        <w:rPr>
          <w:i/>
          <w:iCs/>
          <w:color w:val="000000"/>
        </w:rPr>
        <w:t>Competition and Consumer Act 2010</w:t>
      </w:r>
      <w:r w:rsidRPr="00AF6425">
        <w:rPr>
          <w:color w:val="000000"/>
        </w:rPr>
        <w:t xml:space="preserve"> </w:t>
      </w:r>
      <w:r w:rsidR="0075259B" w:rsidRPr="00AF6425">
        <w:rPr>
          <w:color w:val="000000"/>
        </w:rPr>
        <w:t xml:space="preserve">(the Act) </w:t>
      </w:r>
      <w:r w:rsidRPr="00AF6425">
        <w:rPr>
          <w:color w:val="000000"/>
        </w:rPr>
        <w:t>provides that the Minister may, by</w:t>
      </w:r>
      <w:r w:rsidR="00A46E1D" w:rsidRPr="00AF6425">
        <w:rPr>
          <w:color w:val="000000"/>
        </w:rPr>
        <w:t xml:space="preserve"> </w:t>
      </w:r>
      <w:r w:rsidRPr="00AF6425">
        <w:rPr>
          <w:color w:val="000000"/>
        </w:rPr>
        <w:t xml:space="preserve">legislative instrument, designate a sector of the Australian economy </w:t>
      </w:r>
      <w:r w:rsidR="00347DD4" w:rsidRPr="00AF6425">
        <w:rPr>
          <w:color w:val="000000"/>
        </w:rPr>
        <w:t>as</w:t>
      </w:r>
      <w:r w:rsidRPr="00AF6425">
        <w:rPr>
          <w:color w:val="000000"/>
        </w:rPr>
        <w:t xml:space="preserve"> subject to the consumer data right</w:t>
      </w:r>
      <w:r w:rsidR="004A1C77" w:rsidRPr="00AF6425">
        <w:rPr>
          <w:color w:val="000000"/>
        </w:rPr>
        <w:t xml:space="preserve"> (</w:t>
      </w:r>
      <w:r w:rsidR="00347DD4" w:rsidRPr="00AF6425">
        <w:rPr>
          <w:color w:val="000000"/>
        </w:rPr>
        <w:t xml:space="preserve">the </w:t>
      </w:r>
      <w:r w:rsidR="00F1746E" w:rsidRPr="00AF6425">
        <w:rPr>
          <w:color w:val="000000"/>
        </w:rPr>
        <w:t>C</w:t>
      </w:r>
      <w:r w:rsidR="004A1C77" w:rsidRPr="00AF6425">
        <w:rPr>
          <w:color w:val="000000"/>
        </w:rPr>
        <w:t>DR)</w:t>
      </w:r>
      <w:r w:rsidRPr="00AF6425">
        <w:rPr>
          <w:color w:val="000000"/>
        </w:rPr>
        <w:t xml:space="preserve">. The </w:t>
      </w:r>
      <w:r w:rsidR="00F1746E" w:rsidRPr="00AF6425">
        <w:rPr>
          <w:color w:val="000000"/>
        </w:rPr>
        <w:t xml:space="preserve">CDR </w:t>
      </w:r>
      <w:r w:rsidR="00280473" w:rsidRPr="00AF6425">
        <w:rPr>
          <w:color w:val="000000"/>
        </w:rPr>
        <w:t xml:space="preserve">scheme </w:t>
      </w:r>
      <w:r w:rsidRPr="00AF6425">
        <w:rPr>
          <w:color w:val="000000"/>
        </w:rPr>
        <w:t>is set out in Part</w:t>
      </w:r>
      <w:r w:rsidR="00CE7A47" w:rsidRPr="00AF6425">
        <w:rPr>
          <w:color w:val="000000"/>
        </w:rPr>
        <w:t> </w:t>
      </w:r>
      <w:proofErr w:type="spellStart"/>
      <w:r w:rsidRPr="00AF6425">
        <w:rPr>
          <w:color w:val="000000"/>
        </w:rPr>
        <w:t>IVD</w:t>
      </w:r>
      <w:proofErr w:type="spellEnd"/>
      <w:r w:rsidRPr="00AF6425">
        <w:rPr>
          <w:color w:val="000000"/>
        </w:rPr>
        <w:t xml:space="preserve"> of th</w:t>
      </w:r>
      <w:r w:rsidR="001B4185" w:rsidRPr="00AF6425">
        <w:rPr>
          <w:color w:val="000000"/>
        </w:rPr>
        <w:t>e</w:t>
      </w:r>
      <w:r w:rsidR="00C225C1" w:rsidRPr="00AF6425">
        <w:rPr>
          <w:color w:val="000000"/>
        </w:rPr>
        <w:t xml:space="preserve"> Act</w:t>
      </w:r>
      <w:r w:rsidR="00280473" w:rsidRPr="00AF6425">
        <w:rPr>
          <w:color w:val="000000"/>
        </w:rPr>
        <w:t xml:space="preserve"> and the </w:t>
      </w:r>
      <w:r w:rsidR="00280473" w:rsidRPr="00AF6425">
        <w:rPr>
          <w:i/>
          <w:iCs/>
          <w:color w:val="000000"/>
        </w:rPr>
        <w:t xml:space="preserve">Competition and Consumer (Consumer Data Right) Rules 2020 </w:t>
      </w:r>
      <w:r w:rsidR="00280473" w:rsidRPr="00AF6425">
        <w:rPr>
          <w:iCs/>
          <w:color w:val="000000"/>
        </w:rPr>
        <w:t>(the Rules)</w:t>
      </w:r>
      <w:r w:rsidRPr="00AF6425">
        <w:rPr>
          <w:color w:val="000000"/>
        </w:rPr>
        <w:t>.</w:t>
      </w:r>
    </w:p>
    <w:p w14:paraId="4FCB6CE6" w14:textId="20C219D9" w:rsidR="006477DF" w:rsidRPr="00AF6425" w:rsidRDefault="00CF5D4E" w:rsidP="008C1C6F">
      <w:pPr>
        <w:pStyle w:val="NormalWeb"/>
        <w:rPr>
          <w:color w:val="000000"/>
        </w:rPr>
      </w:pPr>
      <w:r w:rsidRPr="00AF6425">
        <w:rPr>
          <w:color w:val="000000"/>
        </w:rPr>
        <w:t xml:space="preserve">Subsection 33(3) of the </w:t>
      </w:r>
      <w:r w:rsidRPr="00AF6425">
        <w:rPr>
          <w:i/>
          <w:iCs/>
          <w:color w:val="000000"/>
        </w:rPr>
        <w:t>Acts Interpretation Act 1901</w:t>
      </w:r>
      <w:r w:rsidRPr="00AF6425">
        <w:rPr>
          <w:color w:val="000000"/>
        </w:rPr>
        <w:t xml:space="preserve"> </w:t>
      </w:r>
      <w:r w:rsidR="00FC776C" w:rsidRPr="00AF6425">
        <w:rPr>
          <w:color w:val="000000"/>
        </w:rPr>
        <w:t xml:space="preserve">provides that a power to make an instrument includes </w:t>
      </w:r>
      <w:r w:rsidR="00A766CB" w:rsidRPr="00AF6425">
        <w:rPr>
          <w:color w:val="000000"/>
        </w:rPr>
        <w:t xml:space="preserve">(inter alia) </w:t>
      </w:r>
      <w:r w:rsidR="00FC776C" w:rsidRPr="00AF6425">
        <w:rPr>
          <w:color w:val="000000"/>
        </w:rPr>
        <w:t>a p</w:t>
      </w:r>
      <w:r w:rsidR="006477DF" w:rsidRPr="00AF6425">
        <w:rPr>
          <w:color w:val="000000"/>
        </w:rPr>
        <w:t xml:space="preserve">ower to </w:t>
      </w:r>
      <w:r w:rsidR="00AF4F8B" w:rsidRPr="00AF6425">
        <w:rPr>
          <w:color w:val="000000"/>
        </w:rPr>
        <w:t>amend</w:t>
      </w:r>
      <w:r w:rsidR="00A766CB" w:rsidRPr="00AF6425">
        <w:rPr>
          <w:color w:val="000000"/>
        </w:rPr>
        <w:t xml:space="preserve"> </w:t>
      </w:r>
      <w:r w:rsidR="00857D07" w:rsidRPr="00AF6425">
        <w:rPr>
          <w:color w:val="000000"/>
        </w:rPr>
        <w:t xml:space="preserve">the </w:t>
      </w:r>
      <w:r w:rsidR="00A766CB" w:rsidRPr="00AF6425">
        <w:rPr>
          <w:color w:val="000000"/>
        </w:rPr>
        <w:t xml:space="preserve">instrument. </w:t>
      </w:r>
      <w:r w:rsidR="006477DF" w:rsidRPr="00AF6425">
        <w:rPr>
          <w:color w:val="000000"/>
        </w:rPr>
        <w:t xml:space="preserve"> </w:t>
      </w:r>
    </w:p>
    <w:p w14:paraId="0A4253D7" w14:textId="48293033" w:rsidR="008C1C6F" w:rsidRPr="00AF6425" w:rsidRDefault="008C1C6F" w:rsidP="008C1C6F">
      <w:pPr>
        <w:pStyle w:val="NormalWeb"/>
        <w:rPr>
          <w:color w:val="000000"/>
        </w:rPr>
      </w:pPr>
      <w:r w:rsidRPr="00AF6425">
        <w:rPr>
          <w:color w:val="000000"/>
        </w:rPr>
        <w:t xml:space="preserve">The purpose of the </w:t>
      </w:r>
      <w:r w:rsidRPr="00AF6425">
        <w:rPr>
          <w:i/>
          <w:iCs/>
          <w:color w:val="000000"/>
        </w:rPr>
        <w:t xml:space="preserve">Consumer Data Right (Authorised </w:t>
      </w:r>
      <w:r w:rsidR="007C6901" w:rsidRPr="00AF6425">
        <w:rPr>
          <w:i/>
          <w:iCs/>
          <w:color w:val="000000"/>
        </w:rPr>
        <w:t xml:space="preserve">Deposit-Taking </w:t>
      </w:r>
      <w:r w:rsidR="009D23E1" w:rsidRPr="00AF6425">
        <w:rPr>
          <w:i/>
          <w:iCs/>
          <w:color w:val="000000"/>
        </w:rPr>
        <w:t>Institutions</w:t>
      </w:r>
      <w:r w:rsidRPr="00AF6425">
        <w:rPr>
          <w:i/>
          <w:iCs/>
          <w:color w:val="000000"/>
        </w:rPr>
        <w:t xml:space="preserve">) </w:t>
      </w:r>
      <w:r w:rsidR="005C1214" w:rsidRPr="00AF6425">
        <w:rPr>
          <w:i/>
          <w:iCs/>
          <w:color w:val="000000"/>
        </w:rPr>
        <w:t xml:space="preserve">Amendment </w:t>
      </w:r>
      <w:r w:rsidRPr="00AF6425">
        <w:rPr>
          <w:i/>
          <w:iCs/>
          <w:color w:val="000000"/>
        </w:rPr>
        <w:t>Designation 202</w:t>
      </w:r>
      <w:r w:rsidR="001E4D8C" w:rsidRPr="00AF6425">
        <w:rPr>
          <w:i/>
          <w:iCs/>
          <w:color w:val="000000"/>
        </w:rPr>
        <w:t>3</w:t>
      </w:r>
      <w:r w:rsidRPr="00AF6425">
        <w:rPr>
          <w:color w:val="000000"/>
        </w:rPr>
        <w:t xml:space="preserve"> (the </w:t>
      </w:r>
      <w:r w:rsidR="00E43DCE" w:rsidRPr="00AF6425">
        <w:rPr>
          <w:color w:val="000000"/>
        </w:rPr>
        <w:t>a</w:t>
      </w:r>
      <w:r w:rsidR="00B2283C" w:rsidRPr="00AF6425">
        <w:rPr>
          <w:color w:val="000000"/>
        </w:rPr>
        <w:t xml:space="preserve">mendment </w:t>
      </w:r>
      <w:r w:rsidRPr="00AF6425">
        <w:rPr>
          <w:color w:val="000000"/>
        </w:rPr>
        <w:t xml:space="preserve">Designation) is to </w:t>
      </w:r>
      <w:r w:rsidR="006D360A" w:rsidRPr="00AF6425">
        <w:rPr>
          <w:color w:val="000000"/>
        </w:rPr>
        <w:t xml:space="preserve">make a minor and technical amendment to </w:t>
      </w:r>
      <w:r w:rsidR="00615522" w:rsidRPr="00AF6425">
        <w:rPr>
          <w:color w:val="000000"/>
        </w:rPr>
        <w:t xml:space="preserve">clarify the scope of </w:t>
      </w:r>
      <w:r w:rsidR="0070262C" w:rsidRPr="00AF6425">
        <w:rPr>
          <w:color w:val="000000"/>
        </w:rPr>
        <w:t xml:space="preserve">the definition of </w:t>
      </w:r>
      <w:r w:rsidR="00DD1F18" w:rsidRPr="00AF6425">
        <w:rPr>
          <w:color w:val="000000"/>
        </w:rPr>
        <w:t>‘</w:t>
      </w:r>
      <w:r w:rsidR="0070262C" w:rsidRPr="00AF6425">
        <w:rPr>
          <w:color w:val="000000"/>
        </w:rPr>
        <w:t>product</w:t>
      </w:r>
      <w:r w:rsidR="00DD1F18" w:rsidRPr="00AF6425">
        <w:rPr>
          <w:color w:val="000000"/>
        </w:rPr>
        <w:t>’</w:t>
      </w:r>
      <w:r w:rsidR="0070262C" w:rsidRPr="00AF6425">
        <w:rPr>
          <w:color w:val="000000"/>
        </w:rPr>
        <w:t xml:space="preserve"> </w:t>
      </w:r>
      <w:r w:rsidR="00BA2A42" w:rsidRPr="00AF6425">
        <w:rPr>
          <w:color w:val="000000"/>
        </w:rPr>
        <w:t xml:space="preserve">in </w:t>
      </w:r>
      <w:r w:rsidR="008052ED" w:rsidRPr="00AF6425">
        <w:rPr>
          <w:color w:val="000000"/>
        </w:rPr>
        <w:t xml:space="preserve">the </w:t>
      </w:r>
      <w:r w:rsidR="002A4AF5" w:rsidRPr="00AF6425">
        <w:rPr>
          <w:i/>
          <w:iCs/>
          <w:color w:val="000000"/>
        </w:rPr>
        <w:t>Consumer Data Right Amendment (Authorised Deposit-Taking Institutions) Designation 2019</w:t>
      </w:r>
      <w:r w:rsidR="002A5D11" w:rsidRPr="00AF6425">
        <w:rPr>
          <w:color w:val="000000"/>
        </w:rPr>
        <w:t xml:space="preserve"> (the principal Designation)</w:t>
      </w:r>
      <w:r w:rsidR="00B77973" w:rsidRPr="00AF6425">
        <w:rPr>
          <w:i/>
          <w:iCs/>
          <w:color w:val="000000"/>
        </w:rPr>
        <w:t>.</w:t>
      </w:r>
      <w:r w:rsidR="00EA0CEE" w:rsidRPr="00AF6425">
        <w:rPr>
          <w:color w:val="000000"/>
        </w:rPr>
        <w:t xml:space="preserve"> </w:t>
      </w:r>
      <w:r w:rsidR="00F56550" w:rsidRPr="00AF6425">
        <w:rPr>
          <w:color w:val="000000"/>
        </w:rPr>
        <w:t>Th</w:t>
      </w:r>
      <w:r w:rsidR="006D2673" w:rsidRPr="00AF6425">
        <w:rPr>
          <w:color w:val="000000"/>
        </w:rPr>
        <w:t>e</w:t>
      </w:r>
      <w:r w:rsidR="00F56550" w:rsidRPr="00AF6425">
        <w:rPr>
          <w:color w:val="000000"/>
        </w:rPr>
        <w:t xml:space="preserve"> amendment </w:t>
      </w:r>
      <w:r w:rsidR="00F34849" w:rsidRPr="00AF6425">
        <w:rPr>
          <w:color w:val="000000"/>
        </w:rPr>
        <w:t xml:space="preserve">explicitly extends the </w:t>
      </w:r>
      <w:r w:rsidR="007B43A3" w:rsidRPr="00AF6425">
        <w:rPr>
          <w:color w:val="000000"/>
        </w:rPr>
        <w:t xml:space="preserve">definition </w:t>
      </w:r>
      <w:r w:rsidR="00F34849" w:rsidRPr="00AF6425">
        <w:rPr>
          <w:color w:val="000000"/>
        </w:rPr>
        <w:t>of ‘product’ to leas</w:t>
      </w:r>
      <w:r w:rsidR="005F5FB2" w:rsidRPr="00AF6425">
        <w:rPr>
          <w:color w:val="000000"/>
        </w:rPr>
        <w:t>e</w:t>
      </w:r>
      <w:r w:rsidR="00F34849" w:rsidRPr="00AF6425">
        <w:rPr>
          <w:color w:val="000000"/>
        </w:rPr>
        <w:t xml:space="preserve"> products</w:t>
      </w:r>
      <w:r w:rsidR="00357438" w:rsidRPr="00AF6425">
        <w:rPr>
          <w:color w:val="000000"/>
        </w:rPr>
        <w:t>.</w:t>
      </w:r>
      <w:r w:rsidR="00DD4BD6" w:rsidRPr="00AF6425">
        <w:rPr>
          <w:color w:val="000000"/>
        </w:rPr>
        <w:t xml:space="preserve"> </w:t>
      </w:r>
      <w:r w:rsidR="001B73FB" w:rsidRPr="00AF6425">
        <w:rPr>
          <w:color w:val="000000"/>
        </w:rPr>
        <w:t xml:space="preserve">These </w:t>
      </w:r>
      <w:r w:rsidR="00460F63" w:rsidRPr="00AF6425">
        <w:rPr>
          <w:color w:val="000000"/>
        </w:rPr>
        <w:t>products</w:t>
      </w:r>
      <w:r w:rsidR="00571461" w:rsidRPr="00AF6425">
        <w:rPr>
          <w:color w:val="000000"/>
        </w:rPr>
        <w:t xml:space="preserve"> were always intended to be captured</w:t>
      </w:r>
      <w:r w:rsidR="007F6B3C" w:rsidRPr="00AF6425">
        <w:rPr>
          <w:color w:val="000000"/>
        </w:rPr>
        <w:t>.</w:t>
      </w:r>
      <w:r w:rsidR="00357438" w:rsidRPr="00AF6425">
        <w:rPr>
          <w:color w:val="000000"/>
        </w:rPr>
        <w:t xml:space="preserve"> </w:t>
      </w:r>
      <w:r w:rsidR="003F3496" w:rsidRPr="00AF6425">
        <w:rPr>
          <w:color w:val="000000"/>
        </w:rPr>
        <w:t>L</w:t>
      </w:r>
      <w:r w:rsidR="005F5FB2" w:rsidRPr="00AF6425">
        <w:t>ease products, including consumer leases and asset finance, fall within the prescribed list of banking products</w:t>
      </w:r>
      <w:r w:rsidR="006837F7" w:rsidRPr="00AF6425">
        <w:t xml:space="preserve"> in the Rules</w:t>
      </w:r>
      <w:r w:rsidR="005F5FB2" w:rsidRPr="00AF6425">
        <w:t>.</w:t>
      </w:r>
      <w:r w:rsidR="003F3496" w:rsidRPr="00AF6425">
        <w:t xml:space="preserve"> </w:t>
      </w:r>
      <w:r w:rsidR="005F5FB2" w:rsidRPr="00AF6425">
        <w:t>The sector is currently operating consistently with these obligations.</w:t>
      </w:r>
    </w:p>
    <w:p w14:paraId="5E6DC5E4" w14:textId="024DF264" w:rsidR="00A90142" w:rsidRPr="00AF6425" w:rsidRDefault="00A90142" w:rsidP="00A90142">
      <w:pPr>
        <w:spacing w:before="240"/>
        <w:rPr>
          <w:color w:val="000000"/>
          <w:shd w:val="clear" w:color="auto" w:fill="FFFFFF"/>
        </w:rPr>
      </w:pPr>
      <w:r w:rsidRPr="00AF6425">
        <w:t>Subsection 56AD(1) of the Act requires the Minister to consider a range of factors</w:t>
      </w:r>
      <w:r w:rsidR="004F1280" w:rsidRPr="00AF6425">
        <w:t>,</w:t>
      </w:r>
      <w:r w:rsidRPr="00AF6425">
        <w:t xml:space="preserve"> </w:t>
      </w:r>
      <w:r w:rsidRPr="00AF6425">
        <w:rPr>
          <w:color w:val="000000" w:themeColor="text1"/>
        </w:rPr>
        <w:t>includ</w:t>
      </w:r>
      <w:r w:rsidR="00C90091" w:rsidRPr="00AF6425">
        <w:rPr>
          <w:color w:val="000000" w:themeColor="text1"/>
        </w:rPr>
        <w:t>ing</w:t>
      </w:r>
      <w:r w:rsidR="004F1280" w:rsidRPr="00AF6425">
        <w:rPr>
          <w:color w:val="000000" w:themeColor="text1"/>
        </w:rPr>
        <w:t>:</w:t>
      </w:r>
      <w:r w:rsidRPr="00AF6425">
        <w:rPr>
          <w:color w:val="000000" w:themeColor="text1"/>
        </w:rPr>
        <w:t xml:space="preserve"> the effect of the instrument on the interests of consumers</w:t>
      </w:r>
      <w:r w:rsidR="004F1280" w:rsidRPr="00AF6425">
        <w:rPr>
          <w:color w:val="000000" w:themeColor="text1"/>
        </w:rPr>
        <w:t>;</w:t>
      </w:r>
      <w:r w:rsidRPr="00AF6425">
        <w:rPr>
          <w:color w:val="000000" w:themeColor="text1"/>
        </w:rPr>
        <w:t xml:space="preserve"> the efficiency of the </w:t>
      </w:r>
      <w:r w:rsidR="763F215B" w:rsidRPr="00AF6425">
        <w:rPr>
          <w:color w:val="000000" w:themeColor="text1"/>
        </w:rPr>
        <w:t xml:space="preserve">relevant </w:t>
      </w:r>
      <w:r w:rsidRPr="00AF6425">
        <w:rPr>
          <w:color w:val="000000" w:themeColor="text1"/>
        </w:rPr>
        <w:t>market</w:t>
      </w:r>
      <w:r w:rsidR="004F1280" w:rsidRPr="00AF6425">
        <w:rPr>
          <w:color w:val="000000" w:themeColor="text1"/>
        </w:rPr>
        <w:t>;</w:t>
      </w:r>
      <w:r w:rsidRPr="00AF6425">
        <w:rPr>
          <w:color w:val="000000" w:themeColor="text1"/>
        </w:rPr>
        <w:t xml:space="preserve"> the privacy of consumer data</w:t>
      </w:r>
      <w:r w:rsidR="004F1280" w:rsidRPr="00AF6425">
        <w:rPr>
          <w:color w:val="000000" w:themeColor="text1"/>
        </w:rPr>
        <w:t>;</w:t>
      </w:r>
      <w:r w:rsidRPr="00AF6425">
        <w:rPr>
          <w:color w:val="000000" w:themeColor="text1"/>
        </w:rPr>
        <w:t xml:space="preserve"> the promotion of competition</w:t>
      </w:r>
      <w:r w:rsidR="00473BCB" w:rsidRPr="00AF6425">
        <w:rPr>
          <w:color w:val="000000" w:themeColor="text1"/>
        </w:rPr>
        <w:t>;</w:t>
      </w:r>
      <w:r w:rsidRPr="00AF6425">
        <w:rPr>
          <w:color w:val="000000" w:themeColor="text1"/>
        </w:rPr>
        <w:t xml:space="preserve"> </w:t>
      </w:r>
      <w:r w:rsidR="2752D78F" w:rsidRPr="00AF6425">
        <w:rPr>
          <w:color w:val="000000" w:themeColor="text1"/>
        </w:rPr>
        <w:t xml:space="preserve">promoting data-driven innovation; </w:t>
      </w:r>
      <w:r w:rsidRPr="00AF6425">
        <w:rPr>
          <w:color w:val="000000" w:themeColor="text1"/>
        </w:rPr>
        <w:t xml:space="preserve">and the public interest. In making the </w:t>
      </w:r>
      <w:r w:rsidR="00E43DCE" w:rsidRPr="00AF6425">
        <w:rPr>
          <w:color w:val="000000" w:themeColor="text1"/>
        </w:rPr>
        <w:t>a</w:t>
      </w:r>
      <w:r w:rsidR="00B2283C" w:rsidRPr="00AF6425">
        <w:rPr>
          <w:color w:val="000000" w:themeColor="text1"/>
        </w:rPr>
        <w:t xml:space="preserve">mendment </w:t>
      </w:r>
      <w:r w:rsidRPr="00AF6425">
        <w:rPr>
          <w:color w:val="000000" w:themeColor="text1"/>
        </w:rPr>
        <w:t xml:space="preserve">Designation, the Minister has considered </w:t>
      </w:r>
      <w:r w:rsidR="00473BCB" w:rsidRPr="00AF6425">
        <w:rPr>
          <w:color w:val="000000" w:themeColor="text1"/>
        </w:rPr>
        <w:t xml:space="preserve">all </w:t>
      </w:r>
      <w:r w:rsidR="001D4207" w:rsidRPr="00AF6425">
        <w:rPr>
          <w:color w:val="000000" w:themeColor="text1"/>
        </w:rPr>
        <w:t xml:space="preserve">requisite </w:t>
      </w:r>
      <w:r w:rsidRPr="00AF6425">
        <w:rPr>
          <w:color w:val="000000" w:themeColor="text1"/>
        </w:rPr>
        <w:t>factors.</w:t>
      </w:r>
    </w:p>
    <w:p w14:paraId="344DA481" w14:textId="3835C9DF" w:rsidR="00A90142" w:rsidRPr="00AF6425" w:rsidRDefault="00A90142" w:rsidP="00A90142">
      <w:pPr>
        <w:spacing w:before="240"/>
        <w:rPr>
          <w:color w:val="000000"/>
          <w:shd w:val="clear" w:color="auto" w:fill="FFFFFF"/>
        </w:rPr>
      </w:pPr>
      <w:r w:rsidRPr="00AF6425">
        <w:rPr>
          <w:color w:val="000000"/>
          <w:shd w:val="clear" w:color="auto" w:fill="FFFFFF"/>
        </w:rPr>
        <w:t>Subsection 56AD(2) of the Act requires the Minister</w:t>
      </w:r>
      <w:r w:rsidR="009D1552" w:rsidRPr="00AF6425">
        <w:rPr>
          <w:color w:val="000000"/>
          <w:shd w:val="clear" w:color="auto" w:fill="FFFFFF"/>
        </w:rPr>
        <w:t xml:space="preserve"> </w:t>
      </w:r>
      <w:r w:rsidRPr="00AF6425">
        <w:rPr>
          <w:color w:val="000000"/>
          <w:shd w:val="clear" w:color="auto" w:fill="FFFFFF"/>
        </w:rPr>
        <w:t>to be satisfied that the Secretary to the Treasury has arranged for analysis, consultation and a report in relation to the instrument, and to wait at least 60 days after publication of that report</w:t>
      </w:r>
      <w:r w:rsidR="009D1552" w:rsidRPr="00AF6425">
        <w:rPr>
          <w:color w:val="000000"/>
          <w:shd w:val="clear" w:color="auto" w:fill="FFFFFF"/>
        </w:rPr>
        <w:t>, before making a designation instrument</w:t>
      </w:r>
      <w:r w:rsidRPr="00AF6425">
        <w:rPr>
          <w:color w:val="000000"/>
          <w:shd w:val="clear" w:color="auto" w:fill="FFFFFF"/>
        </w:rPr>
        <w:t xml:space="preserve">. </w:t>
      </w:r>
    </w:p>
    <w:p w14:paraId="21ACC4A7" w14:textId="686D79AE" w:rsidR="00A90142" w:rsidRPr="00AF6425" w:rsidRDefault="00A90142" w:rsidP="00A90142">
      <w:pPr>
        <w:spacing w:before="240"/>
      </w:pPr>
      <w:r w:rsidRPr="00AF6425">
        <w:rPr>
          <w:color w:val="000000"/>
          <w:shd w:val="clear" w:color="auto" w:fill="FFFFFF"/>
        </w:rPr>
        <w:t xml:space="preserve">The Minister has complied with these requirements. The Government released </w:t>
      </w:r>
      <w:r w:rsidR="00FB74D9" w:rsidRPr="00AF6425">
        <w:rPr>
          <w:color w:val="000000"/>
          <w:shd w:val="clear" w:color="auto" w:fill="FFFFFF"/>
        </w:rPr>
        <w:t>an</w:t>
      </w:r>
      <w:r w:rsidRPr="00AF6425">
        <w:rPr>
          <w:color w:val="000000"/>
          <w:shd w:val="clear" w:color="auto" w:fill="FFFFFF"/>
        </w:rPr>
        <w:t xml:space="preserve"> </w:t>
      </w:r>
      <w:r w:rsidR="00957365" w:rsidRPr="00AF6425">
        <w:rPr>
          <w:color w:val="000000"/>
          <w:shd w:val="clear" w:color="auto" w:fill="FFFFFF"/>
        </w:rPr>
        <w:t xml:space="preserve">Open Banking </w:t>
      </w:r>
      <w:r w:rsidRPr="00AF6425">
        <w:rPr>
          <w:color w:val="000000"/>
          <w:shd w:val="clear" w:color="auto" w:fill="FFFFFF"/>
        </w:rPr>
        <w:t xml:space="preserve">sectoral assessment consultation paper </w:t>
      </w:r>
      <w:r w:rsidR="00A92099" w:rsidRPr="00AF6425">
        <w:rPr>
          <w:color w:val="000000"/>
          <w:shd w:val="clear" w:color="auto" w:fill="FFFFFF"/>
        </w:rPr>
        <w:t xml:space="preserve">on </w:t>
      </w:r>
      <w:r w:rsidR="005944A1" w:rsidRPr="00AF6425">
        <w:rPr>
          <w:color w:val="000000"/>
          <w:shd w:val="clear" w:color="auto" w:fill="FFFFFF"/>
        </w:rPr>
        <w:t xml:space="preserve">the </w:t>
      </w:r>
      <w:r w:rsidR="00A92099" w:rsidRPr="00AF6425">
        <w:rPr>
          <w:color w:val="000000"/>
          <w:shd w:val="clear" w:color="auto" w:fill="FFFFFF"/>
        </w:rPr>
        <w:t xml:space="preserve">amendment on </w:t>
      </w:r>
      <w:r w:rsidR="009F0FA8" w:rsidRPr="00AF6425">
        <w:rPr>
          <w:color w:val="000000"/>
          <w:shd w:val="clear" w:color="auto" w:fill="FFFFFF"/>
        </w:rPr>
        <w:t xml:space="preserve">19 August </w:t>
      </w:r>
      <w:r w:rsidRPr="00AF6425">
        <w:rPr>
          <w:color w:val="000000"/>
          <w:shd w:val="clear" w:color="auto" w:fill="FFFFFF"/>
        </w:rPr>
        <w:t>2022</w:t>
      </w:r>
      <w:r w:rsidR="00235CBB" w:rsidRPr="00AF6425">
        <w:rPr>
          <w:color w:val="000000"/>
          <w:shd w:val="clear" w:color="auto" w:fill="FFFFFF"/>
        </w:rPr>
        <w:t xml:space="preserve"> and </w:t>
      </w:r>
      <w:r w:rsidRPr="00AF6425">
        <w:rPr>
          <w:color w:val="000000"/>
          <w:szCs w:val="24"/>
        </w:rPr>
        <w:t xml:space="preserve">conducted a four-week consultation on the draft </w:t>
      </w:r>
      <w:r w:rsidR="00E43DCE" w:rsidRPr="00AF6425">
        <w:rPr>
          <w:color w:val="000000"/>
          <w:szCs w:val="24"/>
        </w:rPr>
        <w:t>a</w:t>
      </w:r>
      <w:r w:rsidR="00323488" w:rsidRPr="00AF6425">
        <w:rPr>
          <w:color w:val="000000"/>
          <w:szCs w:val="24"/>
        </w:rPr>
        <w:t xml:space="preserve">mendment </w:t>
      </w:r>
      <w:r w:rsidRPr="00AF6425">
        <w:rPr>
          <w:color w:val="000000"/>
          <w:szCs w:val="24"/>
        </w:rPr>
        <w:t>Designation. The submissions received did not necessitat</w:t>
      </w:r>
      <w:r w:rsidR="006E7413" w:rsidRPr="00AF6425">
        <w:rPr>
          <w:color w:val="000000"/>
          <w:szCs w:val="24"/>
        </w:rPr>
        <w:t xml:space="preserve">e </w:t>
      </w:r>
      <w:r w:rsidR="00A1275F" w:rsidRPr="00AF6425">
        <w:rPr>
          <w:color w:val="000000"/>
          <w:szCs w:val="24"/>
        </w:rPr>
        <w:t xml:space="preserve">any </w:t>
      </w:r>
      <w:r w:rsidRPr="00AF6425">
        <w:rPr>
          <w:color w:val="000000"/>
          <w:szCs w:val="24"/>
        </w:rPr>
        <w:t xml:space="preserve">changes to the </w:t>
      </w:r>
      <w:r w:rsidR="00996DFD" w:rsidRPr="00AF6425">
        <w:rPr>
          <w:color w:val="000000"/>
          <w:szCs w:val="24"/>
        </w:rPr>
        <w:t>instrument</w:t>
      </w:r>
      <w:r w:rsidRPr="00AF6425">
        <w:rPr>
          <w:color w:val="000000"/>
          <w:szCs w:val="24"/>
        </w:rPr>
        <w:t xml:space="preserve">. </w:t>
      </w:r>
      <w:r w:rsidR="00094B54" w:rsidRPr="00AF6425">
        <w:rPr>
          <w:color w:val="000000"/>
          <w:szCs w:val="24"/>
        </w:rPr>
        <w:t xml:space="preserve">The final report </w:t>
      </w:r>
      <w:r w:rsidR="0091183C" w:rsidRPr="00AF6425">
        <w:rPr>
          <w:color w:val="000000"/>
          <w:szCs w:val="24"/>
        </w:rPr>
        <w:t xml:space="preserve">on the </w:t>
      </w:r>
      <w:r w:rsidR="006E7413" w:rsidRPr="00AF6425">
        <w:rPr>
          <w:color w:val="000000"/>
          <w:szCs w:val="24"/>
        </w:rPr>
        <w:t>Instrument</w:t>
      </w:r>
      <w:r w:rsidR="0091183C" w:rsidRPr="00AF6425">
        <w:rPr>
          <w:color w:val="000000"/>
          <w:szCs w:val="24"/>
        </w:rPr>
        <w:t xml:space="preserve"> </w:t>
      </w:r>
      <w:r w:rsidR="000D3AA2" w:rsidRPr="00AF6425">
        <w:rPr>
          <w:color w:val="000000"/>
          <w:szCs w:val="24"/>
        </w:rPr>
        <w:t xml:space="preserve">was </w:t>
      </w:r>
      <w:r w:rsidR="00E6020B" w:rsidRPr="00AF6425">
        <w:rPr>
          <w:color w:val="000000"/>
          <w:szCs w:val="24"/>
        </w:rPr>
        <w:t>published</w:t>
      </w:r>
      <w:r w:rsidR="0091183C" w:rsidRPr="00AF6425">
        <w:rPr>
          <w:color w:val="000000"/>
          <w:szCs w:val="24"/>
        </w:rPr>
        <w:t xml:space="preserve"> on</w:t>
      </w:r>
      <w:r w:rsidR="003E6D75" w:rsidRPr="00AF6425">
        <w:rPr>
          <w:color w:val="000000"/>
          <w:szCs w:val="24"/>
        </w:rPr>
        <w:t xml:space="preserve"> 1 November</w:t>
      </w:r>
      <w:r w:rsidR="005C12DB" w:rsidRPr="00AF6425">
        <w:rPr>
          <w:color w:val="000000"/>
          <w:szCs w:val="24"/>
        </w:rPr>
        <w:t xml:space="preserve"> 2022</w:t>
      </w:r>
      <w:r w:rsidR="003E6D75" w:rsidRPr="00AF6425">
        <w:rPr>
          <w:color w:val="000000"/>
          <w:szCs w:val="24"/>
        </w:rPr>
        <w:t>.</w:t>
      </w:r>
      <w:r w:rsidRPr="00AF6425">
        <w:t xml:space="preserve"> </w:t>
      </w:r>
    </w:p>
    <w:p w14:paraId="7C0101B2" w14:textId="41D2CDF1" w:rsidR="00A90142" w:rsidRPr="00AF6425" w:rsidRDefault="00A90142" w:rsidP="00A90142">
      <w:pPr>
        <w:spacing w:before="240"/>
        <w:rPr>
          <w:color w:val="000000"/>
          <w:shd w:val="clear" w:color="auto" w:fill="FFFFFF"/>
        </w:rPr>
      </w:pPr>
      <w:r w:rsidRPr="00AF6425">
        <w:rPr>
          <w:color w:val="000000"/>
          <w:shd w:val="clear" w:color="auto" w:fill="FFFFFF"/>
        </w:rPr>
        <w:t xml:space="preserve">Subsection 56AD(3) of the Act requires the Minister to consult the Information Commissioner about the likely effect of making the instrument on the privacy or confidentiality of consumers’ information. The Minister has complied with this </w:t>
      </w:r>
      <w:r w:rsidRPr="00AF6425">
        <w:rPr>
          <w:color w:val="000000"/>
          <w:shd w:val="clear" w:color="auto" w:fill="FFFFFF"/>
        </w:rPr>
        <w:lastRenderedPageBreak/>
        <w:t xml:space="preserve">requirement, including by considering the Information Commissioner’s report on the draft </w:t>
      </w:r>
      <w:r w:rsidR="00E43DCE" w:rsidRPr="00AF6425">
        <w:rPr>
          <w:color w:val="000000"/>
          <w:shd w:val="clear" w:color="auto" w:fill="FFFFFF"/>
        </w:rPr>
        <w:t>a</w:t>
      </w:r>
      <w:r w:rsidR="00AE47F4" w:rsidRPr="00AF6425">
        <w:rPr>
          <w:color w:val="000000"/>
          <w:shd w:val="clear" w:color="auto" w:fill="FFFFFF"/>
        </w:rPr>
        <w:t xml:space="preserve">mendment </w:t>
      </w:r>
      <w:r w:rsidRPr="00AF6425">
        <w:rPr>
          <w:color w:val="000000"/>
          <w:shd w:val="clear" w:color="auto" w:fill="FFFFFF"/>
        </w:rPr>
        <w:t>Designation.</w:t>
      </w:r>
    </w:p>
    <w:p w14:paraId="2C7118BE" w14:textId="77777777" w:rsidR="007C6CDE" w:rsidRPr="00AF6425" w:rsidRDefault="007C6CDE" w:rsidP="007C6CDE">
      <w:pPr>
        <w:spacing w:before="240"/>
      </w:pPr>
      <w:r w:rsidRPr="00AF6425">
        <w:t xml:space="preserve">The amendment Designation is a legislative instrument for the purposes of the </w:t>
      </w:r>
      <w:r w:rsidRPr="00AF6425">
        <w:rPr>
          <w:i/>
        </w:rPr>
        <w:t>Legislation Act 2003</w:t>
      </w:r>
      <w:r w:rsidRPr="00AF6425">
        <w:t>.</w:t>
      </w:r>
    </w:p>
    <w:p w14:paraId="487BE80A" w14:textId="77777777" w:rsidR="00A026B2" w:rsidRPr="00AF6425" w:rsidRDefault="00A026B2" w:rsidP="00A026B2">
      <w:pPr>
        <w:spacing w:before="240"/>
        <w:rPr>
          <w:i/>
        </w:rPr>
      </w:pPr>
      <w:r w:rsidRPr="00AF6425">
        <w:t>The amendment Designation commenced on the day after it was registered.</w:t>
      </w:r>
    </w:p>
    <w:p w14:paraId="0BC6C126" w14:textId="4DBFAEE5" w:rsidR="002C226C" w:rsidRPr="00AF6425" w:rsidRDefault="002C226C" w:rsidP="002C226C">
      <w:pPr>
        <w:spacing w:before="240"/>
        <w:rPr>
          <w:color w:val="000000"/>
          <w:shd w:val="clear" w:color="auto" w:fill="FFFFFF"/>
        </w:rPr>
      </w:pPr>
      <w:r w:rsidRPr="00AF6425">
        <w:rPr>
          <w:color w:val="000000"/>
          <w:shd w:val="clear" w:color="auto" w:fill="FFFFFF"/>
        </w:rPr>
        <w:t xml:space="preserve">Details of the </w:t>
      </w:r>
      <w:r w:rsidR="005C12DB" w:rsidRPr="00AF6425">
        <w:rPr>
          <w:color w:val="000000"/>
          <w:shd w:val="clear" w:color="auto" w:fill="FFFFFF"/>
        </w:rPr>
        <w:t xml:space="preserve">amendment </w:t>
      </w:r>
      <w:r w:rsidR="009F0D96" w:rsidRPr="00AF6425">
        <w:rPr>
          <w:color w:val="000000"/>
          <w:shd w:val="clear" w:color="auto" w:fill="FFFFFF"/>
        </w:rPr>
        <w:t>Designation</w:t>
      </w:r>
      <w:r w:rsidR="00EB2AEF" w:rsidRPr="00AF6425">
        <w:rPr>
          <w:color w:val="000000"/>
          <w:shd w:val="clear" w:color="auto" w:fill="FFFFFF"/>
        </w:rPr>
        <w:t xml:space="preserve"> are set out in</w:t>
      </w:r>
      <w:r w:rsidRPr="00AF6425">
        <w:rPr>
          <w:color w:val="000000"/>
          <w:shd w:val="clear" w:color="auto" w:fill="FFFFFF"/>
        </w:rPr>
        <w:t xml:space="preserve"> </w:t>
      </w:r>
      <w:r w:rsidRPr="00AF6425">
        <w:rPr>
          <w:color w:val="000000"/>
          <w:u w:val="single"/>
          <w:shd w:val="clear" w:color="auto" w:fill="FFFFFF"/>
        </w:rPr>
        <w:t>Attachment</w:t>
      </w:r>
      <w:r w:rsidR="00EB2AEF" w:rsidRPr="00AF6425">
        <w:rPr>
          <w:color w:val="000000"/>
          <w:u w:val="single"/>
          <w:shd w:val="clear" w:color="auto" w:fill="FFFFFF"/>
        </w:rPr>
        <w:t xml:space="preserve"> </w:t>
      </w:r>
      <w:r w:rsidR="009F0D96" w:rsidRPr="00AF6425">
        <w:rPr>
          <w:color w:val="000000"/>
          <w:u w:val="single"/>
          <w:shd w:val="clear" w:color="auto" w:fill="FFFFFF"/>
        </w:rPr>
        <w:t>A</w:t>
      </w:r>
      <w:r w:rsidR="009F0D96" w:rsidRPr="00AF6425">
        <w:rPr>
          <w:color w:val="000000"/>
          <w:shd w:val="clear" w:color="auto" w:fill="FFFFFF"/>
        </w:rPr>
        <w:t>.</w:t>
      </w:r>
    </w:p>
    <w:p w14:paraId="73BF699C" w14:textId="77777777" w:rsidR="007C6CDE" w:rsidRPr="00AF6425" w:rsidRDefault="00E5418B" w:rsidP="006B560A">
      <w:pPr>
        <w:spacing w:before="240"/>
        <w:rPr>
          <w:color w:val="000000"/>
          <w:u w:val="single"/>
          <w:shd w:val="clear" w:color="auto" w:fill="FFFFFF"/>
        </w:rPr>
      </w:pPr>
      <w:r w:rsidRPr="00AF6425">
        <w:rPr>
          <w:color w:val="000000"/>
          <w:shd w:val="clear" w:color="auto" w:fill="FFFFFF"/>
        </w:rPr>
        <w:t xml:space="preserve">A Statement of Compatibility with Human Rights is at </w:t>
      </w:r>
      <w:r w:rsidRPr="00AF6425">
        <w:rPr>
          <w:color w:val="000000"/>
          <w:u w:val="single"/>
          <w:shd w:val="clear" w:color="auto" w:fill="FFFFFF"/>
        </w:rPr>
        <w:t>Attachment B</w:t>
      </w:r>
    </w:p>
    <w:p w14:paraId="4355BB15" w14:textId="639EBD9B" w:rsidR="00E5418B" w:rsidRPr="00AF6425" w:rsidRDefault="007C6CDE" w:rsidP="006B560A">
      <w:pPr>
        <w:spacing w:before="240"/>
        <w:rPr>
          <w:color w:val="000000"/>
          <w:shd w:val="clear" w:color="auto" w:fill="FFFFFF"/>
        </w:rPr>
      </w:pPr>
      <w:r w:rsidRPr="00AF6425">
        <w:t>The Office of Impact Analysis has been (</w:t>
      </w:r>
      <w:proofErr w:type="spellStart"/>
      <w:r w:rsidRPr="00AF6425">
        <w:t>OIA</w:t>
      </w:r>
      <w:proofErr w:type="spellEnd"/>
      <w:r w:rsidRPr="00AF6425">
        <w:t xml:space="preserve">) has been consulted (ref: </w:t>
      </w:r>
      <w:r w:rsidR="009A5CBD" w:rsidRPr="00AF6425">
        <w:t>OBPR22</w:t>
      </w:r>
      <w:r w:rsidR="00F969AA" w:rsidRPr="00AF6425">
        <w:noBreakHyphen/>
      </w:r>
      <w:r w:rsidR="009A5CBD" w:rsidRPr="00AF6425">
        <w:t>02740</w:t>
      </w:r>
      <w:r w:rsidRPr="00AF6425">
        <w:t xml:space="preserve">) and agreed that </w:t>
      </w:r>
      <w:r w:rsidR="00B97478" w:rsidRPr="00AF6425">
        <w:rPr>
          <w:color w:val="000000"/>
        </w:rPr>
        <w:t>amendment Designation</w:t>
      </w:r>
      <w:r w:rsidR="00B97478" w:rsidRPr="00AF6425">
        <w:t xml:space="preserve"> is </w:t>
      </w:r>
      <w:r w:rsidR="00143949" w:rsidRPr="00AF6425">
        <w:t>unlikely to have a more than minor regulatory impact, and therefore the preparation of a</w:t>
      </w:r>
      <w:r w:rsidR="008449C6" w:rsidRPr="00AF6425">
        <w:t>n Impact Analysis</w:t>
      </w:r>
      <w:r w:rsidR="00143949" w:rsidRPr="00AF6425">
        <w:t xml:space="preserve"> is not required</w:t>
      </w:r>
      <w:r w:rsidR="00F724A5" w:rsidRPr="00AF6425">
        <w:t>.</w:t>
      </w:r>
    </w:p>
    <w:p w14:paraId="08FB4A0D" w14:textId="11E47062" w:rsidR="00EA4DD8" w:rsidRPr="00AF6425" w:rsidRDefault="00EA4DD8" w:rsidP="00EA4DD8">
      <w:pPr>
        <w:pageBreakBefore/>
        <w:spacing w:before="240"/>
        <w:jc w:val="right"/>
        <w:rPr>
          <w:b/>
          <w:u w:val="single"/>
        </w:rPr>
      </w:pPr>
      <w:r w:rsidRPr="00AF6425">
        <w:rPr>
          <w:b/>
          <w:u w:val="single"/>
        </w:rPr>
        <w:lastRenderedPageBreak/>
        <w:t xml:space="preserve">ATTACHMENT </w:t>
      </w:r>
      <w:r w:rsidR="00392580" w:rsidRPr="00AF6425">
        <w:rPr>
          <w:b/>
          <w:u w:val="single"/>
        </w:rPr>
        <w:t>A</w:t>
      </w:r>
    </w:p>
    <w:p w14:paraId="3035D876" w14:textId="10172859" w:rsidR="00D51B3C" w:rsidRPr="00AF6425" w:rsidRDefault="00D51B3C" w:rsidP="00D51B3C">
      <w:pPr>
        <w:pStyle w:val="Heading2"/>
        <w:rPr>
          <w:i/>
          <w:sz w:val="24"/>
          <w:szCs w:val="24"/>
        </w:rPr>
      </w:pPr>
      <w:r w:rsidRPr="00AF6425">
        <w:rPr>
          <w:sz w:val="24"/>
          <w:szCs w:val="24"/>
        </w:rPr>
        <w:t xml:space="preserve">Details of the </w:t>
      </w:r>
      <w:r w:rsidRPr="00AF6425">
        <w:rPr>
          <w:i/>
          <w:sz w:val="24"/>
          <w:szCs w:val="24"/>
        </w:rPr>
        <w:t>Consumer Data Right (Authorised Deposit</w:t>
      </w:r>
      <w:r w:rsidRPr="00AF6425">
        <w:rPr>
          <w:i/>
          <w:sz w:val="24"/>
          <w:szCs w:val="24"/>
        </w:rPr>
        <w:noBreakHyphen/>
        <w:t xml:space="preserve">Taking Institutions) </w:t>
      </w:r>
      <w:r w:rsidR="00697401" w:rsidRPr="00AF6425">
        <w:rPr>
          <w:i/>
          <w:sz w:val="24"/>
          <w:szCs w:val="24"/>
        </w:rPr>
        <w:t xml:space="preserve">Amendment </w:t>
      </w:r>
      <w:r w:rsidRPr="00AF6425">
        <w:rPr>
          <w:i/>
          <w:sz w:val="24"/>
          <w:szCs w:val="24"/>
        </w:rPr>
        <w:t>Designation 202</w:t>
      </w:r>
      <w:r w:rsidR="00E43DCE" w:rsidRPr="00AF6425">
        <w:rPr>
          <w:i/>
          <w:sz w:val="24"/>
          <w:szCs w:val="24"/>
        </w:rPr>
        <w:t>3</w:t>
      </w:r>
    </w:p>
    <w:p w14:paraId="1CBDFAF0" w14:textId="77777777" w:rsidR="00D51B3C" w:rsidRPr="00AF6425" w:rsidRDefault="00D51B3C" w:rsidP="00D51B3C">
      <w:pPr>
        <w:pStyle w:val="Heading3"/>
      </w:pPr>
      <w:r w:rsidRPr="00AF6425">
        <w:t>Section 1</w:t>
      </w:r>
      <w:r w:rsidRPr="00AF6425">
        <w:rPr>
          <w:rFonts w:ascii="Calibri" w:hAnsi="Calibri"/>
        </w:rPr>
        <w:t>—</w:t>
      </w:r>
      <w:r w:rsidRPr="00AF6425">
        <w:t>Name</w:t>
      </w:r>
    </w:p>
    <w:p w14:paraId="3F509B62" w14:textId="6373A417" w:rsidR="00D51B3C" w:rsidRPr="00AF6425" w:rsidRDefault="00D51B3C" w:rsidP="00D51B3C">
      <w:pPr>
        <w:rPr>
          <w:iCs/>
        </w:rPr>
      </w:pPr>
      <w:r w:rsidRPr="00AF6425">
        <w:t xml:space="preserve">This section provides that the title of the </w:t>
      </w:r>
      <w:r w:rsidR="00E43DCE" w:rsidRPr="00AF6425">
        <w:t>a</w:t>
      </w:r>
      <w:r w:rsidR="00EA2B73" w:rsidRPr="00AF6425">
        <w:t xml:space="preserve">mendment </w:t>
      </w:r>
      <w:r w:rsidR="00E329EB" w:rsidRPr="00AF6425">
        <w:t>D</w:t>
      </w:r>
      <w:r w:rsidRPr="00AF6425">
        <w:t xml:space="preserve">esignation is the </w:t>
      </w:r>
      <w:r w:rsidRPr="00AF6425">
        <w:rPr>
          <w:i/>
        </w:rPr>
        <w:t>Consumer Data Right (Authorised Deposit</w:t>
      </w:r>
      <w:r w:rsidRPr="00AF6425">
        <w:rPr>
          <w:i/>
        </w:rPr>
        <w:noBreakHyphen/>
        <w:t>Taking Institutions) </w:t>
      </w:r>
      <w:r w:rsidR="00697401" w:rsidRPr="00AF6425">
        <w:rPr>
          <w:i/>
        </w:rPr>
        <w:t xml:space="preserve">Amendment </w:t>
      </w:r>
      <w:r w:rsidRPr="00AF6425">
        <w:rPr>
          <w:i/>
        </w:rPr>
        <w:t>Designation 20</w:t>
      </w:r>
      <w:r w:rsidR="00080F7C" w:rsidRPr="00AF6425">
        <w:rPr>
          <w:i/>
        </w:rPr>
        <w:t>2</w:t>
      </w:r>
      <w:r w:rsidR="00E43DCE" w:rsidRPr="00AF6425">
        <w:rPr>
          <w:i/>
        </w:rPr>
        <w:t>3</w:t>
      </w:r>
      <w:r w:rsidR="00092403" w:rsidRPr="00AF6425">
        <w:rPr>
          <w:iCs/>
        </w:rPr>
        <w:t>.</w:t>
      </w:r>
    </w:p>
    <w:p w14:paraId="1265E269" w14:textId="77777777" w:rsidR="00D51B3C" w:rsidRPr="00AF6425" w:rsidRDefault="00D51B3C" w:rsidP="00D51B3C">
      <w:pPr>
        <w:pStyle w:val="Heading3"/>
      </w:pPr>
      <w:r w:rsidRPr="00AF6425">
        <w:t>Section 2</w:t>
      </w:r>
      <w:r w:rsidRPr="00AF6425">
        <w:rPr>
          <w:rFonts w:ascii="Calibri" w:hAnsi="Calibri"/>
        </w:rPr>
        <w:t>—</w:t>
      </w:r>
      <w:r w:rsidRPr="00AF6425">
        <w:t>Commencement</w:t>
      </w:r>
    </w:p>
    <w:p w14:paraId="69AB8785" w14:textId="666AE450" w:rsidR="00D51B3C" w:rsidRPr="00AF6425" w:rsidRDefault="00D51B3C" w:rsidP="00D51B3C">
      <w:r w:rsidRPr="00AF6425">
        <w:t xml:space="preserve">This section provides that the </w:t>
      </w:r>
      <w:r w:rsidR="00E43DCE" w:rsidRPr="00AF6425">
        <w:t>amendment Designation</w:t>
      </w:r>
      <w:r w:rsidR="00B134BF" w:rsidRPr="00AF6425">
        <w:t xml:space="preserve"> </w:t>
      </w:r>
      <w:r w:rsidRPr="00AF6425">
        <w:t xml:space="preserve">will commence on the day after </w:t>
      </w:r>
      <w:r w:rsidR="00B134BF" w:rsidRPr="00AF6425">
        <w:t xml:space="preserve">it </w:t>
      </w:r>
      <w:r w:rsidRPr="00AF6425">
        <w:t>is registered.</w:t>
      </w:r>
    </w:p>
    <w:p w14:paraId="747AEE0D" w14:textId="77777777" w:rsidR="00D51B3C" w:rsidRPr="00AF6425" w:rsidRDefault="00D51B3C" w:rsidP="00D51B3C">
      <w:pPr>
        <w:pStyle w:val="Heading3"/>
      </w:pPr>
      <w:r w:rsidRPr="00AF6425">
        <w:t>Section 3</w:t>
      </w:r>
      <w:r w:rsidRPr="00AF6425">
        <w:rPr>
          <w:rFonts w:ascii="Calibri" w:hAnsi="Calibri"/>
        </w:rPr>
        <w:t>—</w:t>
      </w:r>
      <w:r w:rsidRPr="00AF6425">
        <w:t>Authority</w:t>
      </w:r>
    </w:p>
    <w:p w14:paraId="2B0B68C7" w14:textId="2DC5C8B9" w:rsidR="00D51B3C" w:rsidRPr="00AF6425" w:rsidRDefault="00D51B3C" w:rsidP="00D51B3C">
      <w:pPr>
        <w:rPr>
          <w:i/>
        </w:rPr>
      </w:pPr>
      <w:r w:rsidRPr="00AF6425">
        <w:t xml:space="preserve">This section states that the </w:t>
      </w:r>
      <w:r w:rsidR="00E43DCE" w:rsidRPr="00AF6425">
        <w:t>amendment Designation</w:t>
      </w:r>
      <w:r w:rsidR="005402C1" w:rsidRPr="00AF6425">
        <w:t xml:space="preserve"> </w:t>
      </w:r>
      <w:r w:rsidRPr="00AF6425">
        <w:t xml:space="preserve">is made under subsection 56AC(2) of the Act. </w:t>
      </w:r>
    </w:p>
    <w:p w14:paraId="189989E0" w14:textId="72177AED" w:rsidR="00EA4DD8" w:rsidRPr="00AF6425" w:rsidRDefault="00EA4DD8" w:rsidP="00EA4DD8">
      <w:pPr>
        <w:spacing w:before="240"/>
        <w:ind w:right="91"/>
        <w:rPr>
          <w:b/>
          <w:bCs/>
        </w:rPr>
      </w:pPr>
      <w:r w:rsidRPr="00AF6425">
        <w:rPr>
          <w:b/>
          <w:bCs/>
        </w:rPr>
        <w:t>Section 4</w:t>
      </w:r>
      <w:r w:rsidR="00951E8E" w:rsidRPr="00AF6425">
        <w:rPr>
          <w:rFonts w:ascii="Calibri" w:hAnsi="Calibri"/>
        </w:rPr>
        <w:t>—</w:t>
      </w:r>
      <w:r w:rsidRPr="00AF6425">
        <w:rPr>
          <w:b/>
          <w:bCs/>
        </w:rPr>
        <w:t>Schedule</w:t>
      </w:r>
    </w:p>
    <w:p w14:paraId="554B17F0" w14:textId="0A31494E" w:rsidR="00EA4DD8" w:rsidRPr="00AF6425" w:rsidRDefault="00EA4DD8" w:rsidP="00EA4DD8">
      <w:pPr>
        <w:spacing w:before="240" w:after="200"/>
        <w:ind w:right="91"/>
        <w:rPr>
          <w:u w:val="single"/>
        </w:rPr>
      </w:pPr>
      <w:r w:rsidRPr="00AF6425">
        <w:t xml:space="preserve">This section provides that each instrument that is specified in </w:t>
      </w:r>
      <w:r w:rsidR="00AC3DB9" w:rsidRPr="00AF6425">
        <w:t>a</w:t>
      </w:r>
      <w:r w:rsidRPr="00AF6425">
        <w:t xml:space="preserve"> Schedule to this instrument will be amended or repealed as set out in the applicable items in the Schedule, and </w:t>
      </w:r>
      <w:r w:rsidR="00E43DCE" w:rsidRPr="00AF6425">
        <w:t xml:space="preserve">that </w:t>
      </w:r>
      <w:r w:rsidRPr="00AF6425">
        <w:t>any other item in the Schedule to this instrument has effect according to its terms.</w:t>
      </w:r>
    </w:p>
    <w:p w14:paraId="630FA2FA" w14:textId="7389C7A9" w:rsidR="00EA4DD8" w:rsidRPr="00AF6425" w:rsidRDefault="00EA4DD8" w:rsidP="00044976">
      <w:pPr>
        <w:spacing w:after="0"/>
        <w:ind w:right="91"/>
        <w:rPr>
          <w:b/>
          <w:bCs/>
        </w:rPr>
      </w:pPr>
      <w:r w:rsidRPr="00AF6425">
        <w:rPr>
          <w:b/>
          <w:bCs/>
        </w:rPr>
        <w:t xml:space="preserve">Schedule 1 – Amendments </w:t>
      </w:r>
    </w:p>
    <w:p w14:paraId="7BDFD127" w14:textId="38F2F203" w:rsidR="00F26605" w:rsidRPr="00AF6425" w:rsidRDefault="00F26605" w:rsidP="00875DAF">
      <w:pPr>
        <w:rPr>
          <w:b/>
          <w:iCs/>
        </w:rPr>
      </w:pPr>
      <w:r w:rsidRPr="00AF6425">
        <w:rPr>
          <w:b/>
          <w:iCs/>
        </w:rPr>
        <w:t xml:space="preserve">Item </w:t>
      </w:r>
      <w:r w:rsidR="000478BE" w:rsidRPr="00AF6425">
        <w:rPr>
          <w:b/>
          <w:iCs/>
        </w:rPr>
        <w:t>[</w:t>
      </w:r>
      <w:r w:rsidRPr="00AF6425">
        <w:rPr>
          <w:b/>
          <w:iCs/>
        </w:rPr>
        <w:t>1</w:t>
      </w:r>
      <w:r w:rsidR="000478BE" w:rsidRPr="00AF6425">
        <w:rPr>
          <w:b/>
          <w:iCs/>
        </w:rPr>
        <w:t xml:space="preserve">] </w:t>
      </w:r>
      <w:r w:rsidR="00DA791B" w:rsidRPr="00AF6425">
        <w:rPr>
          <w:b/>
          <w:iCs/>
        </w:rPr>
        <w:t>–</w:t>
      </w:r>
      <w:r w:rsidR="000478BE" w:rsidRPr="00AF6425">
        <w:rPr>
          <w:b/>
          <w:iCs/>
        </w:rPr>
        <w:t xml:space="preserve"> </w:t>
      </w:r>
      <w:r w:rsidR="00E1761D" w:rsidRPr="00AF6425">
        <w:rPr>
          <w:b/>
          <w:iCs/>
        </w:rPr>
        <w:t xml:space="preserve">Paragraph </w:t>
      </w:r>
      <w:r w:rsidR="00DA791B" w:rsidRPr="00AF6425">
        <w:rPr>
          <w:b/>
          <w:iCs/>
        </w:rPr>
        <w:t>4(2)</w:t>
      </w:r>
      <w:r w:rsidR="00E1761D" w:rsidRPr="00AF6425">
        <w:rPr>
          <w:b/>
          <w:iCs/>
        </w:rPr>
        <w:t>(a)</w:t>
      </w:r>
      <w:r w:rsidR="008974F3" w:rsidRPr="00AF6425">
        <w:rPr>
          <w:b/>
          <w:iCs/>
        </w:rPr>
        <w:t xml:space="preserve"> </w:t>
      </w:r>
    </w:p>
    <w:p w14:paraId="6ABD3E4A" w14:textId="4DAAA29B" w:rsidR="00521ADA" w:rsidRPr="00AF6425" w:rsidRDefault="00AF6C41" w:rsidP="00521ADA">
      <w:pPr>
        <w:shd w:val="clear" w:color="auto" w:fill="FFFFFF"/>
        <w:rPr>
          <w:color w:val="000000"/>
          <w:szCs w:val="24"/>
        </w:rPr>
      </w:pPr>
      <w:r w:rsidRPr="00AF6425">
        <w:rPr>
          <w:bCs/>
          <w:iCs/>
        </w:rPr>
        <w:t xml:space="preserve">Item 1 amends </w:t>
      </w:r>
      <w:r w:rsidR="0026463C" w:rsidRPr="00AF6425">
        <w:rPr>
          <w:bCs/>
          <w:iCs/>
        </w:rPr>
        <w:t xml:space="preserve">paragraph 4(2)(a) of the principal Designation </w:t>
      </w:r>
      <w:r w:rsidR="005C7787" w:rsidRPr="00AF6425">
        <w:rPr>
          <w:bCs/>
          <w:iCs/>
        </w:rPr>
        <w:t>by inserting new subparagraph (a)(</w:t>
      </w:r>
      <w:proofErr w:type="spellStart"/>
      <w:r w:rsidR="005C7787" w:rsidRPr="00AF6425">
        <w:rPr>
          <w:bCs/>
          <w:iCs/>
        </w:rPr>
        <w:t>iia</w:t>
      </w:r>
      <w:proofErr w:type="spellEnd"/>
      <w:r w:rsidR="005C7787" w:rsidRPr="00AF6425">
        <w:rPr>
          <w:bCs/>
          <w:iCs/>
        </w:rPr>
        <w:t xml:space="preserve">), relating to letting </w:t>
      </w:r>
      <w:r w:rsidR="00213177" w:rsidRPr="00AF6425">
        <w:rPr>
          <w:bCs/>
          <w:iCs/>
        </w:rPr>
        <w:t xml:space="preserve">goods </w:t>
      </w:r>
      <w:r w:rsidR="005C7787" w:rsidRPr="00AF6425">
        <w:rPr>
          <w:bCs/>
          <w:iCs/>
        </w:rPr>
        <w:t>on hire</w:t>
      </w:r>
      <w:r w:rsidR="00213177" w:rsidRPr="00AF6425">
        <w:rPr>
          <w:bCs/>
          <w:iCs/>
        </w:rPr>
        <w:t>, including on hire-purchase</w:t>
      </w:r>
      <w:r w:rsidR="0060472B" w:rsidRPr="00AF6425">
        <w:rPr>
          <w:bCs/>
          <w:iCs/>
        </w:rPr>
        <w:t xml:space="preserve">. The intention is to clarify that </w:t>
      </w:r>
      <w:r w:rsidR="00521ADA" w:rsidRPr="00AF6425">
        <w:rPr>
          <w:bCs/>
          <w:iCs/>
        </w:rPr>
        <w:t xml:space="preserve">the definition of </w:t>
      </w:r>
      <w:r w:rsidR="00521ADA" w:rsidRPr="00AF6425">
        <w:rPr>
          <w:b/>
          <w:i/>
        </w:rPr>
        <w:t>product</w:t>
      </w:r>
      <w:r w:rsidR="00521ADA" w:rsidRPr="00AF6425">
        <w:rPr>
          <w:bCs/>
          <w:iCs/>
        </w:rPr>
        <w:t xml:space="preserve"> in </w:t>
      </w:r>
      <w:r w:rsidRPr="00AF6425">
        <w:rPr>
          <w:bCs/>
          <w:iCs/>
        </w:rPr>
        <w:t xml:space="preserve">subsection 4(2) </w:t>
      </w:r>
      <w:r w:rsidR="00521ADA" w:rsidRPr="00AF6425">
        <w:rPr>
          <w:color w:val="000000"/>
          <w:szCs w:val="24"/>
        </w:rPr>
        <w:t xml:space="preserve">includes a lease, including a lease of the following kinds: </w:t>
      </w:r>
    </w:p>
    <w:p w14:paraId="790B8867" w14:textId="77777777" w:rsidR="00521ADA" w:rsidRPr="00AF6425" w:rsidRDefault="00521ADA" w:rsidP="00521ADA">
      <w:pPr>
        <w:pStyle w:val="Bullet"/>
      </w:pPr>
      <w:r w:rsidRPr="00AF6425">
        <w:t>a consumer lease;</w:t>
      </w:r>
    </w:p>
    <w:p w14:paraId="4A7CD8BE" w14:textId="77777777" w:rsidR="00521ADA" w:rsidRPr="00AF6425" w:rsidRDefault="00521ADA" w:rsidP="00521ADA">
      <w:pPr>
        <w:pStyle w:val="Bullet"/>
      </w:pPr>
      <w:r w:rsidRPr="00AF6425">
        <w:t>an equipment operating lease;</w:t>
      </w:r>
    </w:p>
    <w:p w14:paraId="3293DEA5" w14:textId="77777777" w:rsidR="00521ADA" w:rsidRPr="00AF6425" w:rsidRDefault="00521ADA" w:rsidP="00521ADA">
      <w:pPr>
        <w:pStyle w:val="Bullet"/>
      </w:pPr>
      <w:r w:rsidRPr="00AF6425">
        <w:t>a finance lease (for either a vehicle or equipment);</w:t>
      </w:r>
    </w:p>
    <w:p w14:paraId="6DD12FD0" w14:textId="77777777" w:rsidR="00521ADA" w:rsidRPr="00AF6425" w:rsidRDefault="00521ADA" w:rsidP="00521ADA">
      <w:pPr>
        <w:pStyle w:val="Bullet"/>
        <w:rPr>
          <w:sz w:val="22"/>
        </w:rPr>
      </w:pPr>
      <w:r w:rsidRPr="00AF6425">
        <w:t xml:space="preserve">a novated lease (used for car finance when employees salary </w:t>
      </w:r>
      <w:proofErr w:type="gramStart"/>
      <w:r w:rsidRPr="00AF6425">
        <w:t>sacrifice</w:t>
      </w:r>
      <w:proofErr w:type="gramEnd"/>
      <w:r w:rsidRPr="00AF6425">
        <w:t xml:space="preserve"> through their employer, with the lessor making the lease arrangement with the employer);</w:t>
      </w:r>
    </w:p>
    <w:p w14:paraId="0D243088" w14:textId="77777777" w:rsidR="00521ADA" w:rsidRPr="00AF6425" w:rsidRDefault="00521ADA" w:rsidP="00521ADA">
      <w:pPr>
        <w:pStyle w:val="Bullet"/>
        <w:rPr>
          <w:sz w:val="22"/>
        </w:rPr>
      </w:pPr>
      <w:r w:rsidRPr="00AF6425">
        <w:t>vehicle fleet leasing;</w:t>
      </w:r>
    </w:p>
    <w:p w14:paraId="40668F86" w14:textId="792C8DA2" w:rsidR="00521ADA" w:rsidRPr="00AF6425" w:rsidRDefault="00521ADA" w:rsidP="00521ADA">
      <w:pPr>
        <w:pStyle w:val="Bullet"/>
        <w:rPr>
          <w:sz w:val="22"/>
        </w:rPr>
      </w:pPr>
      <w:r w:rsidRPr="00AF6425">
        <w:t xml:space="preserve">asset finance or </w:t>
      </w:r>
      <w:r w:rsidR="00806A07" w:rsidRPr="00AF6425">
        <w:t>‘</w:t>
      </w:r>
      <w:r w:rsidRPr="00AF6425">
        <w:t>asset purchase</w:t>
      </w:r>
      <w:r w:rsidR="00806A07" w:rsidRPr="00AF6425">
        <w:t>’</w:t>
      </w:r>
      <w:r w:rsidRPr="00AF6425">
        <w:t xml:space="preserve"> (the provider purchases and owns the asset, and the customer buys it from the provider in instalments over an agreed period, with ownership transferring to the customer upon final payment).</w:t>
      </w:r>
    </w:p>
    <w:p w14:paraId="29674DE6" w14:textId="3FBBF53B" w:rsidR="00AF6C41" w:rsidRPr="00AF6425" w:rsidRDefault="00382249" w:rsidP="00875DAF">
      <w:pPr>
        <w:rPr>
          <w:bCs/>
          <w:iCs/>
        </w:rPr>
      </w:pPr>
      <w:r w:rsidRPr="00AF6425">
        <w:t>It is i</w:t>
      </w:r>
      <w:r w:rsidR="00521ADA" w:rsidRPr="00AF6425">
        <w:t>ntended to capture a lease whether or not the lessee has a right or obligation to purchase the goods to which the lease relates.</w:t>
      </w:r>
    </w:p>
    <w:p w14:paraId="27D5E95F" w14:textId="3A45F5B2" w:rsidR="00875DAF" w:rsidRPr="00AF6425" w:rsidRDefault="00C4641D" w:rsidP="00875DAF">
      <w:r w:rsidRPr="00AF6425">
        <w:rPr>
          <w:bCs/>
          <w:iCs/>
        </w:rPr>
        <w:lastRenderedPageBreak/>
        <w:t xml:space="preserve">Currently, </w:t>
      </w:r>
      <w:r w:rsidR="00806A07" w:rsidRPr="00AF6425">
        <w:rPr>
          <w:bCs/>
          <w:iCs/>
        </w:rPr>
        <w:t>‘</w:t>
      </w:r>
      <w:r w:rsidRPr="00AF6425">
        <w:rPr>
          <w:bCs/>
          <w:iCs/>
        </w:rPr>
        <w:t>p</w:t>
      </w:r>
      <w:r w:rsidR="00875DAF" w:rsidRPr="00AF6425">
        <w:rPr>
          <w:bCs/>
          <w:iCs/>
        </w:rPr>
        <w:t>roduct</w:t>
      </w:r>
      <w:r w:rsidR="00806A07" w:rsidRPr="00AF6425">
        <w:rPr>
          <w:bCs/>
          <w:iCs/>
        </w:rPr>
        <w:t>’</w:t>
      </w:r>
      <w:r w:rsidR="00875DAF" w:rsidRPr="00AF6425">
        <w:rPr>
          <w:bCs/>
          <w:iCs/>
        </w:rPr>
        <w:t xml:space="preserve"> </w:t>
      </w:r>
      <w:r w:rsidR="00875DAF" w:rsidRPr="00AF6425">
        <w:t xml:space="preserve">is defined in subsection 4(2) of the </w:t>
      </w:r>
      <w:r w:rsidRPr="00AF6425">
        <w:t xml:space="preserve">principal Designation </w:t>
      </w:r>
      <w:r w:rsidR="00875DAF" w:rsidRPr="00AF6425">
        <w:t>as a good or service that is or has been offered or supplied to a person in connection with:</w:t>
      </w:r>
    </w:p>
    <w:p w14:paraId="5466A253" w14:textId="77777777" w:rsidR="00875DAF" w:rsidRPr="00AF6425" w:rsidRDefault="00875DAF" w:rsidP="00875DAF">
      <w:pPr>
        <w:pStyle w:val="Bullet"/>
        <w:numPr>
          <w:ilvl w:val="0"/>
          <w:numId w:val="4"/>
        </w:numPr>
      </w:pPr>
      <w:r w:rsidRPr="00AF6425">
        <w:t xml:space="preserve">taking money on deposit, for example a savings account; </w:t>
      </w:r>
    </w:p>
    <w:p w14:paraId="006E2891" w14:textId="77777777" w:rsidR="00875DAF" w:rsidRPr="00AF6425" w:rsidRDefault="00875DAF" w:rsidP="00875DAF">
      <w:pPr>
        <w:pStyle w:val="Bullet"/>
        <w:numPr>
          <w:ilvl w:val="0"/>
          <w:numId w:val="4"/>
        </w:numPr>
      </w:pPr>
      <w:r w:rsidRPr="00AF6425">
        <w:t xml:space="preserve">making advances of money, for example a mortgage or credit card;  </w:t>
      </w:r>
    </w:p>
    <w:p w14:paraId="1D16F10F" w14:textId="77777777" w:rsidR="00875DAF" w:rsidRPr="00AF6425" w:rsidRDefault="00875DAF" w:rsidP="00875DAF">
      <w:pPr>
        <w:pStyle w:val="Bullet"/>
        <w:numPr>
          <w:ilvl w:val="0"/>
          <w:numId w:val="4"/>
        </w:numPr>
      </w:pPr>
      <w:r w:rsidRPr="00AF6425">
        <w:t xml:space="preserve">another financial activity prescribed by regulations for the purposes of the definition of a banking business. </w:t>
      </w:r>
    </w:p>
    <w:p w14:paraId="142A90A3" w14:textId="77777777" w:rsidR="00875DAF" w:rsidRPr="00AF6425" w:rsidRDefault="00875DAF" w:rsidP="00875DAF">
      <w:r w:rsidRPr="00AF6425">
        <w:t xml:space="preserve">A </w:t>
      </w:r>
      <w:r w:rsidRPr="00AF6425">
        <w:rPr>
          <w:b/>
          <w:i/>
        </w:rPr>
        <w:t>product</w:t>
      </w:r>
      <w:r w:rsidRPr="00AF6425">
        <w:t xml:space="preserve"> also includes a purchased payment facility that is or has been offered or supplied to a person. </w:t>
      </w:r>
    </w:p>
    <w:p w14:paraId="69EC390B" w14:textId="6DC8BC3E" w:rsidR="00EA4DD8" w:rsidRPr="00AF6425" w:rsidRDefault="001F1DB9" w:rsidP="00521ADA">
      <w:pPr>
        <w:shd w:val="clear" w:color="auto" w:fill="FFFFFF"/>
        <w:rPr>
          <w:color w:val="000000"/>
        </w:rPr>
      </w:pPr>
      <w:r w:rsidRPr="00AF6425">
        <w:rPr>
          <w:color w:val="000000"/>
        </w:rPr>
        <w:t xml:space="preserve">This amendment will put </w:t>
      </w:r>
      <w:r w:rsidR="00E43DCE" w:rsidRPr="00AF6425">
        <w:rPr>
          <w:color w:val="000000"/>
        </w:rPr>
        <w:t xml:space="preserve">it </w:t>
      </w:r>
      <w:r w:rsidRPr="00AF6425">
        <w:rPr>
          <w:color w:val="000000"/>
        </w:rPr>
        <w:t xml:space="preserve">beyond doubt that the definition of </w:t>
      </w:r>
      <w:r w:rsidR="00806A07" w:rsidRPr="00AF6425">
        <w:rPr>
          <w:color w:val="000000"/>
        </w:rPr>
        <w:t>‘</w:t>
      </w:r>
      <w:r w:rsidRPr="00AF6425">
        <w:rPr>
          <w:color w:val="000000"/>
        </w:rPr>
        <w:t>product</w:t>
      </w:r>
      <w:r w:rsidR="00806A07" w:rsidRPr="00AF6425">
        <w:rPr>
          <w:color w:val="000000"/>
        </w:rPr>
        <w:t>’</w:t>
      </w:r>
      <w:r w:rsidRPr="00AF6425">
        <w:rPr>
          <w:color w:val="000000"/>
        </w:rPr>
        <w:t xml:space="preserve"> in the principal Designation extends to leases.</w:t>
      </w:r>
    </w:p>
    <w:p w14:paraId="0D7436C5" w14:textId="77777777" w:rsidR="009236A1" w:rsidRPr="00AF6425" w:rsidRDefault="009236A1">
      <w:pPr>
        <w:spacing w:before="0" w:after="0"/>
        <w:rPr>
          <w:color w:val="000000"/>
        </w:rPr>
      </w:pPr>
      <w:r w:rsidRPr="00AF6425">
        <w:rPr>
          <w:color w:val="000000"/>
        </w:rPr>
        <w:br w:type="page"/>
      </w:r>
    </w:p>
    <w:p w14:paraId="5156669A" w14:textId="35D6D348" w:rsidR="00662C7C" w:rsidRPr="00AF6425" w:rsidRDefault="00662C7C" w:rsidP="00662C7C">
      <w:pPr>
        <w:shd w:val="clear" w:color="auto" w:fill="FFFFFF"/>
        <w:spacing w:before="240" w:after="60" w:line="285" w:lineRule="atLeast"/>
        <w:jc w:val="right"/>
        <w:outlineLvl w:val="0"/>
        <w:rPr>
          <w:rFonts w:ascii="Arial Bold" w:hAnsi="Arial Bold"/>
          <w:b/>
          <w:bCs/>
          <w:color w:val="000000"/>
          <w:kern w:val="36"/>
          <w:sz w:val="28"/>
          <w:szCs w:val="28"/>
          <w:u w:val="single"/>
        </w:rPr>
      </w:pPr>
      <w:r w:rsidRPr="00AF6425">
        <w:rPr>
          <w:b/>
          <w:bCs/>
          <w:color w:val="000000"/>
          <w:kern w:val="36"/>
          <w:szCs w:val="24"/>
          <w:u w:val="single"/>
        </w:rPr>
        <w:lastRenderedPageBreak/>
        <w:t>ATTACHMENT B</w:t>
      </w:r>
    </w:p>
    <w:p w14:paraId="7AAAF4F6" w14:textId="77777777" w:rsidR="00662C7C" w:rsidRPr="00AF6425" w:rsidRDefault="00662C7C" w:rsidP="00662C7C">
      <w:pPr>
        <w:shd w:val="clear" w:color="auto" w:fill="FFFFFF"/>
        <w:spacing w:before="240" w:line="264" w:lineRule="atLeast"/>
        <w:outlineLvl w:val="2"/>
        <w:rPr>
          <w:b/>
          <w:bCs/>
          <w:color w:val="000000"/>
          <w:szCs w:val="24"/>
        </w:rPr>
      </w:pPr>
      <w:r w:rsidRPr="00AF6425">
        <w:rPr>
          <w:b/>
          <w:bCs/>
          <w:color w:val="000000"/>
          <w:szCs w:val="24"/>
        </w:rPr>
        <w:t>Statement of Compatibility with Human Rights</w:t>
      </w:r>
    </w:p>
    <w:p w14:paraId="0B848B77" w14:textId="77777777" w:rsidR="00662C7C" w:rsidRPr="00AF6425" w:rsidRDefault="00662C7C" w:rsidP="00662C7C">
      <w:pPr>
        <w:shd w:val="clear" w:color="auto" w:fill="FFFFFF"/>
        <w:spacing w:before="240"/>
        <w:jc w:val="center"/>
        <w:rPr>
          <w:color w:val="000000"/>
          <w:szCs w:val="24"/>
        </w:rPr>
      </w:pPr>
      <w:r w:rsidRPr="00AF6425">
        <w:rPr>
          <w:i/>
          <w:iCs/>
          <w:color w:val="000000"/>
          <w:szCs w:val="24"/>
        </w:rPr>
        <w:t>Prepared in accordance with Part 3 of the Human Rights (Parliamentary Scrutiny) Act 2011</w:t>
      </w:r>
    </w:p>
    <w:p w14:paraId="76E6FEB6" w14:textId="2BFEF00C" w:rsidR="00662C7C" w:rsidRPr="00AF6425" w:rsidRDefault="00662C7C" w:rsidP="00662C7C">
      <w:pPr>
        <w:shd w:val="clear" w:color="auto" w:fill="FFFFFF"/>
        <w:spacing w:before="240" w:line="264" w:lineRule="atLeast"/>
        <w:jc w:val="center"/>
        <w:outlineLvl w:val="2"/>
        <w:rPr>
          <w:b/>
          <w:bCs/>
          <w:color w:val="000000"/>
          <w:szCs w:val="24"/>
        </w:rPr>
      </w:pPr>
      <w:r w:rsidRPr="00AF6425">
        <w:rPr>
          <w:b/>
          <w:bCs/>
          <w:i/>
          <w:iCs/>
          <w:color w:val="000000"/>
          <w:szCs w:val="24"/>
        </w:rPr>
        <w:t xml:space="preserve">Consumer Data Right </w:t>
      </w:r>
      <w:r w:rsidR="00AC3D20" w:rsidRPr="00AF6425">
        <w:rPr>
          <w:b/>
          <w:bCs/>
          <w:i/>
        </w:rPr>
        <w:t>(Authorised Deposit-Taking Institutions) Amendment</w:t>
      </w:r>
      <w:r w:rsidR="00AC3D20" w:rsidRPr="00AF6425">
        <w:rPr>
          <w:b/>
          <w:bCs/>
          <w:i/>
          <w:iCs/>
          <w:color w:val="000000"/>
          <w:szCs w:val="24"/>
        </w:rPr>
        <w:t xml:space="preserve"> </w:t>
      </w:r>
      <w:r w:rsidRPr="00AF6425">
        <w:rPr>
          <w:b/>
          <w:bCs/>
          <w:i/>
          <w:iCs/>
          <w:color w:val="000000"/>
          <w:szCs w:val="24"/>
        </w:rPr>
        <w:t>Designation 202</w:t>
      </w:r>
      <w:r w:rsidR="00AC3D20" w:rsidRPr="00AF6425">
        <w:rPr>
          <w:b/>
          <w:bCs/>
          <w:i/>
          <w:iCs/>
          <w:color w:val="000000"/>
          <w:szCs w:val="24"/>
        </w:rPr>
        <w:t>3</w:t>
      </w:r>
    </w:p>
    <w:p w14:paraId="16C68BF3" w14:textId="50150DDD" w:rsidR="00662C7C" w:rsidRPr="00AF6425" w:rsidRDefault="00662C7C" w:rsidP="00662C7C">
      <w:pPr>
        <w:shd w:val="clear" w:color="auto" w:fill="FFFFFF"/>
        <w:spacing w:before="240"/>
        <w:rPr>
          <w:color w:val="000000"/>
          <w:szCs w:val="24"/>
        </w:rPr>
      </w:pPr>
      <w:r w:rsidRPr="00AF6425">
        <w:rPr>
          <w:color w:val="000000"/>
          <w:szCs w:val="24"/>
        </w:rPr>
        <w:t>The </w:t>
      </w:r>
      <w:r w:rsidRPr="00AF6425">
        <w:rPr>
          <w:i/>
          <w:iCs/>
          <w:color w:val="000000"/>
          <w:szCs w:val="24"/>
        </w:rPr>
        <w:t xml:space="preserve">Consumer Data Right </w:t>
      </w:r>
      <w:r w:rsidR="00E640B0" w:rsidRPr="00AF6425">
        <w:rPr>
          <w:i/>
        </w:rPr>
        <w:t>(Authorised Deposit-Taking Institutions) Amendment</w:t>
      </w:r>
      <w:r w:rsidR="00E640B0" w:rsidRPr="00AF6425">
        <w:rPr>
          <w:i/>
          <w:iCs/>
          <w:color w:val="000000"/>
          <w:szCs w:val="24"/>
        </w:rPr>
        <w:t xml:space="preserve"> </w:t>
      </w:r>
      <w:r w:rsidRPr="00AF6425">
        <w:rPr>
          <w:i/>
          <w:iCs/>
          <w:color w:val="000000"/>
          <w:szCs w:val="24"/>
        </w:rPr>
        <w:t>Designation 202</w:t>
      </w:r>
      <w:r w:rsidR="00E640B0" w:rsidRPr="00AF6425">
        <w:rPr>
          <w:i/>
          <w:iCs/>
          <w:color w:val="000000"/>
          <w:szCs w:val="24"/>
        </w:rPr>
        <w:t>3</w:t>
      </w:r>
      <w:r w:rsidRPr="00AF6425">
        <w:rPr>
          <w:i/>
          <w:iCs/>
          <w:color w:val="000000"/>
          <w:szCs w:val="24"/>
        </w:rPr>
        <w:t xml:space="preserve"> </w:t>
      </w:r>
      <w:r w:rsidR="00E2630C" w:rsidRPr="00AF6425">
        <w:rPr>
          <w:iCs/>
          <w:color w:val="000000"/>
          <w:szCs w:val="24"/>
        </w:rPr>
        <w:t xml:space="preserve">(the Legislative Instrument) </w:t>
      </w:r>
      <w:r w:rsidRPr="00AF6425">
        <w:rPr>
          <w:color w:val="000000"/>
          <w:szCs w:val="24"/>
        </w:rPr>
        <w:t>is compatible with the human rights and freedoms recognised or declared in the international instruments listed in section 3 of the </w:t>
      </w:r>
      <w:r w:rsidRPr="00AF6425">
        <w:rPr>
          <w:i/>
          <w:iCs/>
          <w:color w:val="000000"/>
          <w:szCs w:val="24"/>
        </w:rPr>
        <w:t>Human Rights (Parliamentary Scrutiny) Act 2011</w:t>
      </w:r>
      <w:r w:rsidR="006431CE" w:rsidRPr="00AF6425">
        <w:rPr>
          <w:i/>
          <w:iCs/>
          <w:color w:val="000000"/>
          <w:szCs w:val="24"/>
        </w:rPr>
        <w:t xml:space="preserve"> </w:t>
      </w:r>
      <w:r w:rsidR="006431CE" w:rsidRPr="00AF6425">
        <w:rPr>
          <w:iCs/>
          <w:color w:val="000000"/>
          <w:szCs w:val="24"/>
        </w:rPr>
        <w:t>(the relevant rights and freedoms)</w:t>
      </w:r>
      <w:r w:rsidRPr="00AF6425">
        <w:rPr>
          <w:color w:val="000000"/>
          <w:szCs w:val="24"/>
        </w:rPr>
        <w:t>.</w:t>
      </w:r>
    </w:p>
    <w:p w14:paraId="59F39842" w14:textId="77777777" w:rsidR="00662C7C" w:rsidRPr="00AF6425" w:rsidRDefault="00662C7C" w:rsidP="00662C7C">
      <w:pPr>
        <w:shd w:val="clear" w:color="auto" w:fill="FFFFFF"/>
        <w:spacing w:before="240" w:line="264" w:lineRule="atLeast"/>
        <w:outlineLvl w:val="2"/>
        <w:rPr>
          <w:b/>
          <w:bCs/>
          <w:color w:val="000000"/>
          <w:szCs w:val="24"/>
        </w:rPr>
      </w:pPr>
      <w:r w:rsidRPr="00AF6425">
        <w:rPr>
          <w:b/>
          <w:bCs/>
          <w:color w:val="000000"/>
          <w:szCs w:val="24"/>
        </w:rPr>
        <w:t>Overview of the Legislative Instrument</w:t>
      </w:r>
    </w:p>
    <w:p w14:paraId="31534BF8" w14:textId="4E4D0E98" w:rsidR="00662C7C" w:rsidRPr="00AF6425" w:rsidRDefault="00C25CBF" w:rsidP="00A53545">
      <w:pPr>
        <w:pStyle w:val="NormalWeb"/>
        <w:rPr>
          <w:color w:val="000000"/>
        </w:rPr>
      </w:pPr>
      <w:r w:rsidRPr="00AF6425">
        <w:rPr>
          <w:color w:val="000000"/>
        </w:rPr>
        <w:t xml:space="preserve">The </w:t>
      </w:r>
      <w:r w:rsidR="00F555AA" w:rsidRPr="00AF6425">
        <w:rPr>
          <w:color w:val="000000"/>
        </w:rPr>
        <w:t xml:space="preserve">consumer data right </w:t>
      </w:r>
      <w:r w:rsidR="00B7617B" w:rsidRPr="00AF6425">
        <w:rPr>
          <w:color w:val="000000"/>
        </w:rPr>
        <w:t xml:space="preserve">scheme </w:t>
      </w:r>
      <w:r w:rsidR="00802222" w:rsidRPr="00AF6425">
        <w:rPr>
          <w:color w:val="000000"/>
        </w:rPr>
        <w:t xml:space="preserve">(the CDR scheme) </w:t>
      </w:r>
      <w:r w:rsidRPr="00AF6425">
        <w:rPr>
          <w:color w:val="000000"/>
        </w:rPr>
        <w:t>is set out in Part </w:t>
      </w:r>
      <w:proofErr w:type="spellStart"/>
      <w:r w:rsidRPr="00AF6425">
        <w:rPr>
          <w:color w:val="000000"/>
        </w:rPr>
        <w:t>IVD</w:t>
      </w:r>
      <w:proofErr w:type="spellEnd"/>
      <w:r w:rsidRPr="00AF6425">
        <w:rPr>
          <w:color w:val="000000"/>
        </w:rPr>
        <w:t xml:space="preserve"> of the </w:t>
      </w:r>
      <w:r w:rsidRPr="00AF6425">
        <w:rPr>
          <w:i/>
          <w:iCs/>
          <w:color w:val="000000"/>
        </w:rPr>
        <w:t>Competition and Consumer Act 2010</w:t>
      </w:r>
      <w:r w:rsidRPr="00AF6425">
        <w:rPr>
          <w:color w:val="000000"/>
        </w:rPr>
        <w:t> </w:t>
      </w:r>
      <w:r w:rsidR="0022585A" w:rsidRPr="00AF6425">
        <w:rPr>
          <w:color w:val="000000"/>
        </w:rPr>
        <w:t xml:space="preserve">(the </w:t>
      </w:r>
      <w:r w:rsidRPr="00AF6425">
        <w:rPr>
          <w:color w:val="000000"/>
        </w:rPr>
        <w:t>Act</w:t>
      </w:r>
      <w:r w:rsidR="0022585A" w:rsidRPr="00AF6425">
        <w:rPr>
          <w:color w:val="000000"/>
        </w:rPr>
        <w:t>)</w:t>
      </w:r>
      <w:r w:rsidR="00B7617B" w:rsidRPr="00AF6425">
        <w:rPr>
          <w:color w:val="000000"/>
        </w:rPr>
        <w:t xml:space="preserve"> and the </w:t>
      </w:r>
      <w:r w:rsidR="00B7617B" w:rsidRPr="00AF6425">
        <w:rPr>
          <w:i/>
          <w:iCs/>
          <w:color w:val="000000"/>
        </w:rPr>
        <w:t>Competition and Consumer (</w:t>
      </w:r>
      <w:r w:rsidR="006B318E" w:rsidRPr="00AF6425">
        <w:rPr>
          <w:i/>
          <w:iCs/>
          <w:color w:val="000000"/>
        </w:rPr>
        <w:t>Consumer Data Right) Rules 2020</w:t>
      </w:r>
      <w:r w:rsidR="00C408C8" w:rsidRPr="00AF6425">
        <w:rPr>
          <w:i/>
          <w:iCs/>
          <w:color w:val="000000"/>
        </w:rPr>
        <w:t xml:space="preserve"> </w:t>
      </w:r>
      <w:r w:rsidR="00C408C8" w:rsidRPr="00AF6425">
        <w:rPr>
          <w:iCs/>
          <w:color w:val="000000"/>
        </w:rPr>
        <w:t>(the Rules)</w:t>
      </w:r>
      <w:r w:rsidRPr="00AF6425">
        <w:rPr>
          <w:color w:val="000000"/>
        </w:rPr>
        <w:t>.</w:t>
      </w:r>
      <w:r w:rsidR="0022585A" w:rsidRPr="00AF6425">
        <w:rPr>
          <w:color w:val="000000"/>
        </w:rPr>
        <w:t xml:space="preserve"> </w:t>
      </w:r>
      <w:r w:rsidR="00662C7C" w:rsidRPr="00AF6425">
        <w:rPr>
          <w:color w:val="000000"/>
        </w:rPr>
        <w:t>The</w:t>
      </w:r>
      <w:r w:rsidR="00F555AA" w:rsidRPr="00AF6425">
        <w:rPr>
          <w:color w:val="000000"/>
        </w:rPr>
        <w:t xml:space="preserve"> CDR scheme </w:t>
      </w:r>
      <w:r w:rsidR="00662C7C" w:rsidRPr="00AF6425">
        <w:rPr>
          <w:color w:val="000000"/>
        </w:rPr>
        <w:t xml:space="preserve">provides individuals and businesses with a right to authorise </w:t>
      </w:r>
      <w:r w:rsidR="00615171" w:rsidRPr="00AF6425">
        <w:rPr>
          <w:color w:val="000000"/>
        </w:rPr>
        <w:t xml:space="preserve">accredited third parties to </w:t>
      </w:r>
      <w:r w:rsidR="00662C7C" w:rsidRPr="00AF6425">
        <w:rPr>
          <w:color w:val="000000"/>
        </w:rPr>
        <w:t>secure</w:t>
      </w:r>
      <w:r w:rsidR="00BE518A" w:rsidRPr="00AF6425">
        <w:rPr>
          <w:color w:val="000000"/>
        </w:rPr>
        <w:t>ly</w:t>
      </w:r>
      <w:r w:rsidR="00662C7C" w:rsidRPr="00AF6425">
        <w:rPr>
          <w:color w:val="000000"/>
        </w:rPr>
        <w:t xml:space="preserve"> access data relating to them</w:t>
      </w:r>
      <w:r w:rsidR="00BE518A" w:rsidRPr="00AF6425">
        <w:rPr>
          <w:color w:val="000000"/>
        </w:rPr>
        <w:t>.</w:t>
      </w:r>
      <w:r w:rsidR="00662C7C" w:rsidRPr="00AF6425">
        <w:rPr>
          <w:color w:val="000000"/>
        </w:rPr>
        <w:t xml:space="preserve"> There is also the capacity for individuals and businesses to access this data themselves. In addition, the </w:t>
      </w:r>
      <w:r w:rsidR="001D039A" w:rsidRPr="00AF6425">
        <w:rPr>
          <w:color w:val="000000"/>
        </w:rPr>
        <w:t xml:space="preserve">CDR scheme </w:t>
      </w:r>
      <w:r w:rsidR="00662C7C" w:rsidRPr="00AF6425">
        <w:rPr>
          <w:color w:val="000000"/>
        </w:rPr>
        <w:t>requires businesses in designated sectors to provide information on specified products that they offer.</w:t>
      </w:r>
    </w:p>
    <w:p w14:paraId="63964747" w14:textId="5655817D" w:rsidR="00662C7C" w:rsidRPr="00AF6425" w:rsidRDefault="00662C7C" w:rsidP="00662C7C">
      <w:pPr>
        <w:shd w:val="clear" w:color="auto" w:fill="FFFFFF"/>
        <w:spacing w:before="240"/>
        <w:rPr>
          <w:color w:val="000000"/>
          <w:szCs w:val="24"/>
        </w:rPr>
      </w:pPr>
      <w:r w:rsidRPr="00AF6425">
        <w:rPr>
          <w:color w:val="000000"/>
          <w:szCs w:val="24"/>
        </w:rPr>
        <w:t>The</w:t>
      </w:r>
      <w:r w:rsidR="001D039A" w:rsidRPr="00AF6425">
        <w:rPr>
          <w:color w:val="000000"/>
          <w:szCs w:val="24"/>
        </w:rPr>
        <w:t xml:space="preserve"> </w:t>
      </w:r>
      <w:r w:rsidR="001D039A" w:rsidRPr="00AF6425">
        <w:rPr>
          <w:color w:val="000000"/>
        </w:rPr>
        <w:t>CDR scheme</w:t>
      </w:r>
      <w:r w:rsidRPr="00AF6425">
        <w:rPr>
          <w:color w:val="000000"/>
          <w:szCs w:val="24"/>
        </w:rPr>
        <w:t xml:space="preserve"> is designed to </w:t>
      </w:r>
      <w:r w:rsidR="00E10D97" w:rsidRPr="00AF6425">
        <w:rPr>
          <w:color w:val="000000"/>
          <w:szCs w:val="24"/>
        </w:rPr>
        <w:t>maximise consumer cho</w:t>
      </w:r>
      <w:r w:rsidR="009B643C" w:rsidRPr="00AF6425">
        <w:rPr>
          <w:color w:val="000000"/>
          <w:szCs w:val="24"/>
        </w:rPr>
        <w:t xml:space="preserve">ice, </w:t>
      </w:r>
      <w:r w:rsidRPr="00AF6425">
        <w:rPr>
          <w:color w:val="000000"/>
          <w:szCs w:val="24"/>
        </w:rPr>
        <w:t xml:space="preserve">enhance </w:t>
      </w:r>
      <w:r w:rsidR="009B643C" w:rsidRPr="00AF6425">
        <w:rPr>
          <w:color w:val="000000"/>
          <w:szCs w:val="24"/>
        </w:rPr>
        <w:t>individuals</w:t>
      </w:r>
      <w:r w:rsidRPr="00AF6425">
        <w:rPr>
          <w:color w:val="000000"/>
          <w:szCs w:val="24"/>
        </w:rPr>
        <w:t xml:space="preserve">’ control over their own information and facilitate management of their finances and product services. </w:t>
      </w:r>
    </w:p>
    <w:p w14:paraId="5C831AD1" w14:textId="0884EF45" w:rsidR="00584584" w:rsidRPr="00AF6425" w:rsidRDefault="00662C7C" w:rsidP="00A53545">
      <w:pPr>
        <w:shd w:val="clear" w:color="auto" w:fill="FFFFFF"/>
        <w:spacing w:before="240"/>
        <w:rPr>
          <w:color w:val="000000"/>
        </w:rPr>
      </w:pPr>
      <w:r w:rsidRPr="00AF6425">
        <w:rPr>
          <w:color w:val="000000"/>
          <w:szCs w:val="24"/>
        </w:rPr>
        <w:t>The </w:t>
      </w:r>
      <w:r w:rsidRPr="00AF6425">
        <w:rPr>
          <w:i/>
          <w:iCs/>
          <w:color w:val="000000"/>
          <w:szCs w:val="24"/>
        </w:rPr>
        <w:t xml:space="preserve">Consumer Data </w:t>
      </w:r>
      <w:r w:rsidR="00101CDC" w:rsidRPr="00AF6425">
        <w:rPr>
          <w:i/>
        </w:rPr>
        <w:t xml:space="preserve">(Authorised Deposit-Taking Institutions) </w:t>
      </w:r>
      <w:r w:rsidRPr="00AF6425">
        <w:rPr>
          <w:i/>
          <w:iCs/>
          <w:color w:val="000000"/>
          <w:szCs w:val="24"/>
        </w:rPr>
        <w:t>Designation 20</w:t>
      </w:r>
      <w:r w:rsidR="00101CDC" w:rsidRPr="00AF6425">
        <w:rPr>
          <w:i/>
          <w:iCs/>
          <w:color w:val="000000"/>
          <w:szCs w:val="24"/>
        </w:rPr>
        <w:t>19</w:t>
      </w:r>
      <w:r w:rsidR="00A6668C" w:rsidRPr="00AF6425">
        <w:rPr>
          <w:i/>
          <w:iCs/>
          <w:color w:val="000000"/>
        </w:rPr>
        <w:t xml:space="preserve"> </w:t>
      </w:r>
      <w:r w:rsidR="00A6668C" w:rsidRPr="00AF6425">
        <w:rPr>
          <w:iCs/>
          <w:color w:val="000000"/>
        </w:rPr>
        <w:t>(the principal Designation)</w:t>
      </w:r>
      <w:r w:rsidRPr="00AF6425">
        <w:rPr>
          <w:i/>
          <w:iCs/>
          <w:color w:val="000000"/>
          <w:szCs w:val="24"/>
        </w:rPr>
        <w:t xml:space="preserve"> </w:t>
      </w:r>
      <w:r w:rsidRPr="00AF6425">
        <w:rPr>
          <w:color w:val="000000"/>
          <w:szCs w:val="24"/>
        </w:rPr>
        <w:t xml:space="preserve">designates the </w:t>
      </w:r>
      <w:r w:rsidR="00423119" w:rsidRPr="00AF6425">
        <w:rPr>
          <w:color w:val="000000"/>
          <w:szCs w:val="24"/>
        </w:rPr>
        <w:t xml:space="preserve">banking </w:t>
      </w:r>
      <w:r w:rsidR="00101CDC" w:rsidRPr="00AF6425">
        <w:rPr>
          <w:color w:val="000000"/>
          <w:szCs w:val="24"/>
        </w:rPr>
        <w:t>s</w:t>
      </w:r>
      <w:r w:rsidRPr="00AF6425">
        <w:rPr>
          <w:color w:val="000000"/>
          <w:szCs w:val="24"/>
        </w:rPr>
        <w:t xml:space="preserve">ector as </w:t>
      </w:r>
      <w:r w:rsidR="00C861FA" w:rsidRPr="00AF6425">
        <w:rPr>
          <w:color w:val="000000"/>
          <w:szCs w:val="24"/>
        </w:rPr>
        <w:t xml:space="preserve">subject to </w:t>
      </w:r>
      <w:r w:rsidRPr="00AF6425">
        <w:rPr>
          <w:color w:val="000000"/>
          <w:szCs w:val="24"/>
        </w:rPr>
        <w:t xml:space="preserve">the </w:t>
      </w:r>
      <w:r w:rsidR="00852896" w:rsidRPr="00AF6425">
        <w:rPr>
          <w:color w:val="000000"/>
          <w:szCs w:val="24"/>
        </w:rPr>
        <w:t>CDR scheme</w:t>
      </w:r>
      <w:r w:rsidRPr="00AF6425">
        <w:rPr>
          <w:color w:val="000000"/>
          <w:szCs w:val="24"/>
        </w:rPr>
        <w:t xml:space="preserve">. </w:t>
      </w:r>
      <w:r w:rsidR="00E2630C" w:rsidRPr="00AF6425">
        <w:rPr>
          <w:color w:val="000000"/>
        </w:rPr>
        <w:t xml:space="preserve">The Legislative Instrument </w:t>
      </w:r>
      <w:r w:rsidR="00584584" w:rsidRPr="00AF6425">
        <w:rPr>
          <w:color w:val="000000"/>
        </w:rPr>
        <w:t>make</w:t>
      </w:r>
      <w:r w:rsidR="00E2630C" w:rsidRPr="00AF6425">
        <w:rPr>
          <w:color w:val="000000"/>
        </w:rPr>
        <w:t>s</w:t>
      </w:r>
      <w:r w:rsidR="00584584" w:rsidRPr="00AF6425">
        <w:rPr>
          <w:color w:val="000000"/>
        </w:rPr>
        <w:t xml:space="preserve"> a minor and technical amendment </w:t>
      </w:r>
      <w:r w:rsidR="00EE7900" w:rsidRPr="00AF6425">
        <w:rPr>
          <w:color w:val="000000"/>
        </w:rPr>
        <w:t xml:space="preserve">to the principal Designation </w:t>
      </w:r>
      <w:r w:rsidR="00584584" w:rsidRPr="00AF6425">
        <w:rPr>
          <w:color w:val="000000"/>
        </w:rPr>
        <w:t xml:space="preserve">to clarify the scope of the definition of </w:t>
      </w:r>
      <w:r w:rsidR="00584584" w:rsidRPr="00AF6425">
        <w:rPr>
          <w:b/>
          <w:bCs/>
          <w:i/>
          <w:iCs/>
          <w:color w:val="000000"/>
        </w:rPr>
        <w:t>product</w:t>
      </w:r>
      <w:r w:rsidR="00584584" w:rsidRPr="00AF6425">
        <w:rPr>
          <w:i/>
          <w:iCs/>
          <w:color w:val="000000"/>
        </w:rPr>
        <w:t>.</w:t>
      </w:r>
      <w:r w:rsidR="00584584" w:rsidRPr="00AF6425">
        <w:rPr>
          <w:color w:val="000000"/>
        </w:rPr>
        <w:t xml:space="preserve"> Th</w:t>
      </w:r>
      <w:r w:rsidR="00EE7900" w:rsidRPr="00AF6425">
        <w:rPr>
          <w:color w:val="000000"/>
        </w:rPr>
        <w:t>e</w:t>
      </w:r>
      <w:r w:rsidR="00584584" w:rsidRPr="00AF6425">
        <w:rPr>
          <w:color w:val="000000"/>
        </w:rPr>
        <w:t xml:space="preserve"> amendment will ensure that the definition of ‘product’ in the principal Designation extends to leases. </w:t>
      </w:r>
    </w:p>
    <w:p w14:paraId="4AAE6E07" w14:textId="2CA8BAB0" w:rsidR="00662C7C" w:rsidRPr="00AF6425" w:rsidRDefault="00662C7C" w:rsidP="00584584">
      <w:pPr>
        <w:shd w:val="clear" w:color="auto" w:fill="FFFFFF"/>
        <w:spacing w:before="240"/>
        <w:rPr>
          <w:b/>
          <w:bCs/>
          <w:color w:val="000000"/>
          <w:szCs w:val="24"/>
        </w:rPr>
      </w:pPr>
      <w:r w:rsidRPr="00AF6425">
        <w:rPr>
          <w:b/>
          <w:bCs/>
          <w:color w:val="000000"/>
          <w:szCs w:val="24"/>
        </w:rPr>
        <w:t>Human rights implications</w:t>
      </w:r>
    </w:p>
    <w:p w14:paraId="20BFE839" w14:textId="66E1AADD" w:rsidR="00662C7C" w:rsidRPr="00AF6425" w:rsidRDefault="00662C7C" w:rsidP="00662C7C">
      <w:pPr>
        <w:shd w:val="clear" w:color="auto" w:fill="FFFFFF"/>
        <w:spacing w:before="240"/>
        <w:rPr>
          <w:color w:val="000000"/>
          <w:szCs w:val="24"/>
        </w:rPr>
      </w:pPr>
      <w:r w:rsidRPr="00AF6425">
        <w:rPr>
          <w:color w:val="000000"/>
          <w:szCs w:val="24"/>
        </w:rPr>
        <w:t>The </w:t>
      </w:r>
      <w:r w:rsidR="00BE6A79" w:rsidRPr="00AF6425">
        <w:rPr>
          <w:color w:val="000000"/>
          <w:szCs w:val="24"/>
        </w:rPr>
        <w:t>principal Designation</w:t>
      </w:r>
      <w:r w:rsidR="001E6DC6" w:rsidRPr="00AF6425">
        <w:rPr>
          <w:color w:val="000000"/>
          <w:szCs w:val="24"/>
        </w:rPr>
        <w:t>, and by extension the Legislative Instrument,</w:t>
      </w:r>
      <w:r w:rsidR="00BE6A79" w:rsidRPr="00AF6425">
        <w:rPr>
          <w:color w:val="000000"/>
          <w:szCs w:val="24"/>
        </w:rPr>
        <w:t xml:space="preserve"> </w:t>
      </w:r>
      <w:r w:rsidRPr="00AF6425">
        <w:rPr>
          <w:color w:val="000000"/>
          <w:szCs w:val="24"/>
        </w:rPr>
        <w:t>engage the right to protection from arbitrary or unlawful in</w:t>
      </w:r>
      <w:r w:rsidR="00BA74A2" w:rsidRPr="00AF6425">
        <w:rPr>
          <w:color w:val="000000"/>
          <w:szCs w:val="24"/>
        </w:rPr>
        <w:t>ter</w:t>
      </w:r>
      <w:r w:rsidRPr="00AF6425">
        <w:rPr>
          <w:color w:val="000000"/>
          <w:szCs w:val="24"/>
        </w:rPr>
        <w:t>ference with privacy under Article 17 of the International Covenant on Civil and Political Rights (</w:t>
      </w:r>
      <w:r w:rsidR="00547E3D" w:rsidRPr="00AF6425">
        <w:rPr>
          <w:color w:val="000000"/>
          <w:szCs w:val="24"/>
        </w:rPr>
        <w:t xml:space="preserve">the </w:t>
      </w:r>
      <w:r w:rsidRPr="00AF6425">
        <w:rPr>
          <w:color w:val="000000"/>
          <w:szCs w:val="24"/>
        </w:rPr>
        <w:t xml:space="preserve">ICCPR). </w:t>
      </w:r>
      <w:r w:rsidR="00604387" w:rsidRPr="00AF6425">
        <w:rPr>
          <w:color w:val="000000"/>
          <w:szCs w:val="24"/>
        </w:rPr>
        <w:t>The</w:t>
      </w:r>
      <w:r w:rsidR="000830E4" w:rsidRPr="00AF6425">
        <w:rPr>
          <w:color w:val="000000"/>
          <w:szCs w:val="24"/>
        </w:rPr>
        <w:t xml:space="preserve"> principal Designation </w:t>
      </w:r>
      <w:r w:rsidRPr="00AF6425">
        <w:rPr>
          <w:color w:val="000000"/>
          <w:szCs w:val="24"/>
        </w:rPr>
        <w:t>creates the potential for a person to directly access personal information about themselves</w:t>
      </w:r>
      <w:r w:rsidR="002E5DAF" w:rsidRPr="00AF6425">
        <w:rPr>
          <w:color w:val="000000"/>
          <w:szCs w:val="24"/>
        </w:rPr>
        <w:t>,</w:t>
      </w:r>
      <w:r w:rsidRPr="00AF6425">
        <w:rPr>
          <w:color w:val="000000"/>
          <w:szCs w:val="24"/>
        </w:rPr>
        <w:t xml:space="preserve"> or to direct another person or entity to disclose personal information about themselves to a third person or entity</w:t>
      </w:r>
      <w:r w:rsidR="00CE50E4" w:rsidRPr="00AF6425">
        <w:rPr>
          <w:color w:val="000000"/>
          <w:szCs w:val="24"/>
        </w:rPr>
        <w:t>.</w:t>
      </w:r>
    </w:p>
    <w:p w14:paraId="7D3C98D6" w14:textId="77777777" w:rsidR="00662C7C" w:rsidRPr="00AF6425" w:rsidRDefault="00662C7C" w:rsidP="00662C7C">
      <w:pPr>
        <w:shd w:val="clear" w:color="auto" w:fill="FFFFFF"/>
        <w:spacing w:before="240"/>
        <w:rPr>
          <w:color w:val="000000"/>
          <w:szCs w:val="24"/>
        </w:rPr>
      </w:pPr>
      <w:r w:rsidRPr="00AF6425">
        <w:rPr>
          <w:color w:val="000000"/>
          <w:szCs w:val="24"/>
        </w:rPr>
        <w:t>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in terms of proportionality and necessity: any interference with privacy must be proportional to the end sought and necessary in the relevant circumstances.</w:t>
      </w:r>
    </w:p>
    <w:p w14:paraId="18C04A8C" w14:textId="4321F642" w:rsidR="00662C7C" w:rsidRPr="00AF6425" w:rsidRDefault="00662C7C" w:rsidP="00662C7C">
      <w:pPr>
        <w:shd w:val="clear" w:color="auto" w:fill="FFFFFF"/>
        <w:spacing w:before="240"/>
        <w:rPr>
          <w:color w:val="000000"/>
          <w:szCs w:val="24"/>
        </w:rPr>
      </w:pPr>
      <w:r w:rsidRPr="00AF6425">
        <w:rPr>
          <w:color w:val="000000"/>
          <w:szCs w:val="24"/>
        </w:rPr>
        <w:lastRenderedPageBreak/>
        <w:t xml:space="preserve">Under the </w:t>
      </w:r>
      <w:r w:rsidR="00274C88" w:rsidRPr="00AF6425">
        <w:rPr>
          <w:color w:val="000000"/>
          <w:szCs w:val="24"/>
        </w:rPr>
        <w:t>CDR scheme</w:t>
      </w:r>
      <w:r w:rsidRPr="00AF6425">
        <w:rPr>
          <w:color w:val="000000"/>
          <w:szCs w:val="24"/>
        </w:rPr>
        <w:t>, the disclosure of personal information is generally only permitted with the express consent of the individual</w:t>
      </w:r>
      <w:r w:rsidR="00291A7D" w:rsidRPr="00AF6425">
        <w:rPr>
          <w:color w:val="000000"/>
          <w:szCs w:val="24"/>
        </w:rPr>
        <w:t xml:space="preserve"> concerned</w:t>
      </w:r>
      <w:r w:rsidRPr="00AF6425">
        <w:rPr>
          <w:color w:val="000000"/>
          <w:szCs w:val="24"/>
        </w:rPr>
        <w:t>. The exception to this, set out in the</w:t>
      </w:r>
      <w:r w:rsidR="00CE2224" w:rsidRPr="00AF6425">
        <w:rPr>
          <w:color w:val="000000"/>
          <w:szCs w:val="24"/>
        </w:rPr>
        <w:t xml:space="preserve"> Rules</w:t>
      </w:r>
      <w:r w:rsidRPr="00AF6425">
        <w:t xml:space="preserve">, relates to situations where seeking express consent from another account holder in relation to a joint account could cause physical, psychological or financial harm or abuse to a person. </w:t>
      </w:r>
    </w:p>
    <w:p w14:paraId="23F899A1" w14:textId="15528651" w:rsidR="00662C7C" w:rsidRPr="00AF6425" w:rsidRDefault="00662C7C" w:rsidP="00662C7C">
      <w:pPr>
        <w:shd w:val="clear" w:color="auto" w:fill="FFFFFF"/>
        <w:spacing w:before="240"/>
        <w:rPr>
          <w:color w:val="000000"/>
          <w:szCs w:val="24"/>
        </w:rPr>
      </w:pPr>
      <w:r w:rsidRPr="00AF6425">
        <w:rPr>
          <w:color w:val="000000"/>
          <w:szCs w:val="24"/>
        </w:rPr>
        <w:t>The </w:t>
      </w:r>
      <w:r w:rsidR="00EA77AC" w:rsidRPr="00AF6425">
        <w:rPr>
          <w:color w:val="000000"/>
          <w:szCs w:val="24"/>
        </w:rPr>
        <w:t xml:space="preserve">Act </w:t>
      </w:r>
      <w:r w:rsidRPr="00AF6425">
        <w:rPr>
          <w:color w:val="000000"/>
          <w:szCs w:val="24"/>
        </w:rPr>
        <w:t xml:space="preserve">protects against arbitrary interference with privacy by establishing a set of </w:t>
      </w:r>
      <w:r w:rsidR="009C3ACA" w:rsidRPr="00AF6425">
        <w:rPr>
          <w:color w:val="000000"/>
          <w:szCs w:val="24"/>
        </w:rPr>
        <w:t>CDR-</w:t>
      </w:r>
      <w:r w:rsidRPr="00AF6425">
        <w:rPr>
          <w:color w:val="000000"/>
          <w:szCs w:val="24"/>
        </w:rPr>
        <w:t xml:space="preserve">specific privacy safeguards, modelled on the existing Australian Privacy Principles but with additional obligations. The </w:t>
      </w:r>
      <w:r w:rsidR="009C3ACA" w:rsidRPr="00AF6425">
        <w:rPr>
          <w:color w:val="000000"/>
          <w:szCs w:val="24"/>
        </w:rPr>
        <w:t xml:space="preserve">CDR-specific </w:t>
      </w:r>
      <w:r w:rsidRPr="00AF6425">
        <w:rPr>
          <w:color w:val="000000"/>
          <w:szCs w:val="24"/>
        </w:rPr>
        <w:t>privacy safeguards are the following:</w:t>
      </w:r>
    </w:p>
    <w:p w14:paraId="132A74E1" w14:textId="0255BCAB"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 xml:space="preserve">restrictions on the use, collection and disclosure of information received through the </w:t>
      </w:r>
      <w:r w:rsidR="00073128" w:rsidRPr="00AF6425">
        <w:rPr>
          <w:color w:val="000000"/>
          <w:szCs w:val="24"/>
        </w:rPr>
        <w:t>R</w:t>
      </w:r>
      <w:r w:rsidRPr="00AF6425">
        <w:rPr>
          <w:color w:val="000000"/>
          <w:szCs w:val="24"/>
        </w:rPr>
        <w:t>ules, including information derived from th</w:t>
      </w:r>
      <w:r w:rsidR="00073128" w:rsidRPr="00AF6425">
        <w:rPr>
          <w:color w:val="000000"/>
          <w:szCs w:val="24"/>
        </w:rPr>
        <w:t>at</w:t>
      </w:r>
      <w:r w:rsidRPr="00AF6425">
        <w:rPr>
          <w:color w:val="000000"/>
          <w:szCs w:val="24"/>
        </w:rPr>
        <w:t xml:space="preserve"> information (in general, the consumer’s express consent is required);</w:t>
      </w:r>
    </w:p>
    <w:p w14:paraId="5ED2A8D7" w14:textId="2B2877BF"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 xml:space="preserve">requirements to have in place privacy policies that </w:t>
      </w:r>
      <w:r w:rsidR="00073128" w:rsidRPr="00AF6425">
        <w:rPr>
          <w:color w:val="000000"/>
          <w:szCs w:val="24"/>
        </w:rPr>
        <w:t xml:space="preserve">are </w:t>
      </w:r>
      <w:r w:rsidRPr="00AF6425">
        <w:rPr>
          <w:color w:val="000000"/>
          <w:szCs w:val="24"/>
        </w:rPr>
        <w:t>easily accessible and clearly set out a complaints handling process;</w:t>
      </w:r>
    </w:p>
    <w:p w14:paraId="52A4166C" w14:textId="777777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obligations on data holders and accredited data recipients to correct information;</w:t>
      </w:r>
    </w:p>
    <w:p w14:paraId="7BFD10A9" w14:textId="777777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obligations on data holders and accredited data recipients to notify the consumer when information is disclosed;</w:t>
      </w:r>
    </w:p>
    <w:p w14:paraId="36752505" w14:textId="516A9A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requirements to destroy information that is purportedly shared under the</w:t>
      </w:r>
      <w:r w:rsidR="00117E97" w:rsidRPr="00AF6425">
        <w:rPr>
          <w:color w:val="000000"/>
          <w:szCs w:val="24"/>
        </w:rPr>
        <w:t xml:space="preserve"> Rules </w:t>
      </w:r>
      <w:r w:rsidRPr="00AF6425">
        <w:rPr>
          <w:color w:val="000000"/>
          <w:szCs w:val="24"/>
        </w:rPr>
        <w:t>but has been disclosed in error;</w:t>
      </w:r>
    </w:p>
    <w:p w14:paraId="471A13F2" w14:textId="777777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strong powers for regulators, including the Office of the Australian Information Commissioner (</w:t>
      </w:r>
      <w:proofErr w:type="spellStart"/>
      <w:r w:rsidRPr="00AF6425">
        <w:rPr>
          <w:color w:val="000000"/>
          <w:szCs w:val="24"/>
        </w:rPr>
        <w:t>OAIC</w:t>
      </w:r>
      <w:proofErr w:type="spellEnd"/>
      <w:r w:rsidRPr="00AF6425">
        <w:rPr>
          <w:color w:val="000000"/>
          <w:szCs w:val="24"/>
        </w:rPr>
        <w:t>);</w:t>
      </w:r>
    </w:p>
    <w:p w14:paraId="4E7C10AB" w14:textId="777777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 xml:space="preserve">restrictions on direct marketing; </w:t>
      </w:r>
    </w:p>
    <w:p w14:paraId="08983D3A" w14:textId="77777777"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remedies for breaches, including through external dispute resolution arrangements.</w:t>
      </w:r>
    </w:p>
    <w:p w14:paraId="53718A06" w14:textId="5C66635E" w:rsidR="00662C7C" w:rsidRPr="00AF6425" w:rsidRDefault="00662C7C" w:rsidP="00662C7C">
      <w:pPr>
        <w:shd w:val="clear" w:color="auto" w:fill="FFFFFF"/>
        <w:spacing w:before="240"/>
        <w:rPr>
          <w:color w:val="000000"/>
          <w:szCs w:val="24"/>
        </w:rPr>
      </w:pPr>
      <w:r w:rsidRPr="00AF6425">
        <w:rPr>
          <w:color w:val="000000"/>
          <w:szCs w:val="24"/>
        </w:rPr>
        <w:t xml:space="preserve">The </w:t>
      </w:r>
      <w:proofErr w:type="spellStart"/>
      <w:r w:rsidRPr="00AF6425">
        <w:rPr>
          <w:color w:val="000000"/>
          <w:szCs w:val="24"/>
        </w:rPr>
        <w:t>OAIC</w:t>
      </w:r>
      <w:proofErr w:type="spellEnd"/>
      <w:r w:rsidRPr="00AF6425">
        <w:rPr>
          <w:color w:val="000000"/>
          <w:szCs w:val="24"/>
        </w:rPr>
        <w:t xml:space="preserve"> advise</w:t>
      </w:r>
      <w:r w:rsidR="004C7121" w:rsidRPr="00AF6425">
        <w:rPr>
          <w:color w:val="000000"/>
          <w:szCs w:val="24"/>
        </w:rPr>
        <w:t>s</w:t>
      </w:r>
      <w:r w:rsidRPr="00AF6425">
        <w:rPr>
          <w:color w:val="000000"/>
          <w:szCs w:val="24"/>
        </w:rPr>
        <w:t xml:space="preserve"> on and enforce</w:t>
      </w:r>
      <w:r w:rsidR="004C7121" w:rsidRPr="00AF6425">
        <w:rPr>
          <w:color w:val="000000"/>
          <w:szCs w:val="24"/>
        </w:rPr>
        <w:t>s</w:t>
      </w:r>
      <w:r w:rsidRPr="00AF6425">
        <w:rPr>
          <w:color w:val="000000"/>
          <w:szCs w:val="24"/>
        </w:rPr>
        <w:t xml:space="preserve"> privacy protections and provide</w:t>
      </w:r>
      <w:r w:rsidR="004C7121" w:rsidRPr="00AF6425">
        <w:rPr>
          <w:color w:val="000000"/>
          <w:szCs w:val="24"/>
        </w:rPr>
        <w:t>s</w:t>
      </w:r>
      <w:r w:rsidRPr="00AF6425">
        <w:rPr>
          <w:color w:val="000000"/>
          <w:szCs w:val="24"/>
        </w:rPr>
        <w:t xml:space="preserve"> complaint handling for breaches of the </w:t>
      </w:r>
      <w:r w:rsidR="004C7121" w:rsidRPr="00AF6425">
        <w:rPr>
          <w:color w:val="000000"/>
          <w:szCs w:val="24"/>
        </w:rPr>
        <w:t>p</w:t>
      </w:r>
      <w:r w:rsidRPr="00AF6425">
        <w:rPr>
          <w:color w:val="000000"/>
          <w:szCs w:val="24"/>
        </w:rPr>
        <w:t xml:space="preserve">rivacy </w:t>
      </w:r>
      <w:r w:rsidR="004C7121" w:rsidRPr="00AF6425">
        <w:rPr>
          <w:color w:val="000000"/>
          <w:szCs w:val="24"/>
        </w:rPr>
        <w:t>s</w:t>
      </w:r>
      <w:r w:rsidRPr="00AF6425">
        <w:rPr>
          <w:color w:val="000000"/>
          <w:szCs w:val="24"/>
        </w:rPr>
        <w:t>afeguards. Consumers have a range of avenues to seek remedies for breaches of their privacy or confidentiality including access to internal and external dispute resolution and direct rights of action.</w:t>
      </w:r>
    </w:p>
    <w:p w14:paraId="45C8EB9C" w14:textId="36441586" w:rsidR="00662C7C" w:rsidRPr="00AF6425" w:rsidRDefault="00662C7C" w:rsidP="00662C7C">
      <w:pPr>
        <w:shd w:val="clear" w:color="auto" w:fill="FFFFFF"/>
        <w:spacing w:before="240"/>
        <w:rPr>
          <w:color w:val="000000"/>
          <w:szCs w:val="24"/>
        </w:rPr>
      </w:pPr>
      <w:r w:rsidRPr="00AF6425">
        <w:rPr>
          <w:color w:val="000000"/>
          <w:szCs w:val="24"/>
        </w:rPr>
        <w:t>The </w:t>
      </w:r>
      <w:r w:rsidR="00CF2A7D" w:rsidRPr="00AF6425">
        <w:rPr>
          <w:color w:val="000000"/>
          <w:szCs w:val="24"/>
        </w:rPr>
        <w:t>Act</w:t>
      </w:r>
      <w:r w:rsidRPr="00AF6425">
        <w:rPr>
          <w:color w:val="000000"/>
          <w:szCs w:val="24"/>
        </w:rPr>
        <w:t xml:space="preserve"> also creates an accreditation process that provides protection against arbitrary or unlawful interference with privacy. Only trusted and accredited third parties </w:t>
      </w:r>
      <w:r w:rsidR="00CF2A7D" w:rsidRPr="00AF6425">
        <w:rPr>
          <w:color w:val="000000"/>
          <w:szCs w:val="24"/>
        </w:rPr>
        <w:t xml:space="preserve">may </w:t>
      </w:r>
      <w:r w:rsidRPr="00AF6425">
        <w:rPr>
          <w:color w:val="000000"/>
          <w:szCs w:val="24"/>
        </w:rPr>
        <w:t xml:space="preserve">access data from data holders at the customer’s direction. The ACCC is responsible for accrediting entities. The </w:t>
      </w:r>
      <w:r w:rsidR="002E579E" w:rsidRPr="00AF6425">
        <w:rPr>
          <w:color w:val="000000"/>
          <w:szCs w:val="24"/>
        </w:rPr>
        <w:t xml:space="preserve">accreditation </w:t>
      </w:r>
      <w:r w:rsidRPr="00AF6425">
        <w:rPr>
          <w:color w:val="000000"/>
          <w:szCs w:val="24"/>
        </w:rPr>
        <w:t>requirements, set out in the</w:t>
      </w:r>
      <w:r w:rsidR="00A821EE" w:rsidRPr="00AF6425">
        <w:t xml:space="preserve"> Rules</w:t>
      </w:r>
      <w:r w:rsidRPr="00AF6425">
        <w:t xml:space="preserve">, </w:t>
      </w:r>
      <w:r w:rsidRPr="00AF6425">
        <w:rPr>
          <w:color w:val="000000"/>
          <w:szCs w:val="24"/>
        </w:rPr>
        <w:t>address matters such as:</w:t>
      </w:r>
    </w:p>
    <w:p w14:paraId="48039AEF" w14:textId="2765BDBA"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having systems, resources and procedures in place</w:t>
      </w:r>
      <w:r w:rsidR="00F32AA4" w:rsidRPr="00AF6425">
        <w:rPr>
          <w:color w:val="000000"/>
          <w:szCs w:val="24"/>
        </w:rPr>
        <w:t xml:space="preserve"> to </w:t>
      </w:r>
      <w:r w:rsidRPr="00AF6425">
        <w:rPr>
          <w:color w:val="000000"/>
          <w:szCs w:val="24"/>
        </w:rPr>
        <w:t xml:space="preserve">enable an entity to comply with </w:t>
      </w:r>
      <w:r w:rsidR="00F32AA4" w:rsidRPr="00AF6425">
        <w:rPr>
          <w:color w:val="000000"/>
          <w:szCs w:val="24"/>
        </w:rPr>
        <w:t xml:space="preserve">its CDR </w:t>
      </w:r>
      <w:r w:rsidRPr="00AF6425">
        <w:rPr>
          <w:color w:val="000000"/>
          <w:szCs w:val="24"/>
        </w:rPr>
        <w:t>obligations</w:t>
      </w:r>
      <w:r w:rsidR="00F32AA4" w:rsidRPr="00AF6425">
        <w:rPr>
          <w:color w:val="000000"/>
          <w:szCs w:val="24"/>
        </w:rPr>
        <w:t>,</w:t>
      </w:r>
      <w:r w:rsidRPr="00AF6425">
        <w:rPr>
          <w:color w:val="000000"/>
          <w:szCs w:val="24"/>
        </w:rPr>
        <w:t xml:space="preserve"> including </w:t>
      </w:r>
      <w:r w:rsidR="00A92CF9" w:rsidRPr="00AF6425">
        <w:rPr>
          <w:color w:val="000000"/>
          <w:szCs w:val="24"/>
        </w:rPr>
        <w:t xml:space="preserve">in relation to </w:t>
      </w:r>
      <w:r w:rsidRPr="00AF6425">
        <w:rPr>
          <w:color w:val="000000"/>
          <w:szCs w:val="24"/>
        </w:rPr>
        <w:t>the security of information; and</w:t>
      </w:r>
    </w:p>
    <w:p w14:paraId="4D5BA5CE" w14:textId="257F6D10" w:rsidR="00662C7C" w:rsidRPr="00AF6425" w:rsidRDefault="00662C7C" w:rsidP="00662C7C">
      <w:pPr>
        <w:shd w:val="clear" w:color="auto" w:fill="FFFFFF"/>
        <w:spacing w:before="240"/>
        <w:ind w:left="567" w:hanging="567"/>
        <w:rPr>
          <w:color w:val="000000"/>
          <w:szCs w:val="24"/>
        </w:rPr>
      </w:pPr>
      <w:r w:rsidRPr="00AF6425">
        <w:rPr>
          <w:color w:val="000000"/>
          <w:szCs w:val="24"/>
        </w:rPr>
        <w:t>•</w:t>
      </w:r>
      <w:r w:rsidRPr="00AF6425">
        <w:rPr>
          <w:color w:val="000000"/>
          <w:sz w:val="14"/>
          <w:szCs w:val="14"/>
        </w:rPr>
        <w:t>              </w:t>
      </w:r>
      <w:r w:rsidRPr="00AF6425">
        <w:rPr>
          <w:color w:val="000000"/>
          <w:szCs w:val="24"/>
        </w:rPr>
        <w:t>having internal dispute resolution procedures in place and being a member of a recognised external dispute resolution body.</w:t>
      </w:r>
      <w:r w:rsidR="006431CE" w:rsidRPr="00AF6425">
        <w:rPr>
          <w:color w:val="000000"/>
          <w:szCs w:val="24"/>
        </w:rPr>
        <w:t xml:space="preserve"> </w:t>
      </w:r>
    </w:p>
    <w:p w14:paraId="77D08702" w14:textId="77777777" w:rsidR="00662C7C" w:rsidRPr="00AF6425" w:rsidRDefault="00662C7C" w:rsidP="00662C7C">
      <w:pPr>
        <w:shd w:val="clear" w:color="auto" w:fill="FFFFFF"/>
        <w:spacing w:before="240" w:line="264" w:lineRule="atLeast"/>
        <w:outlineLvl w:val="2"/>
        <w:rPr>
          <w:b/>
          <w:bCs/>
          <w:color w:val="000000"/>
          <w:szCs w:val="24"/>
        </w:rPr>
      </w:pPr>
      <w:r w:rsidRPr="00AF6425">
        <w:rPr>
          <w:b/>
          <w:bCs/>
          <w:color w:val="000000"/>
          <w:szCs w:val="24"/>
        </w:rPr>
        <w:lastRenderedPageBreak/>
        <w:t>Conclusion</w:t>
      </w:r>
    </w:p>
    <w:p w14:paraId="15D853A9" w14:textId="23B68C9F" w:rsidR="00662C7C" w:rsidRPr="00EA4DD8" w:rsidRDefault="00662C7C" w:rsidP="00662C7C">
      <w:pPr>
        <w:shd w:val="clear" w:color="auto" w:fill="FFFFFF"/>
        <w:spacing w:before="240"/>
      </w:pPr>
      <w:r w:rsidRPr="00AF6425">
        <w:rPr>
          <w:color w:val="000000"/>
          <w:szCs w:val="24"/>
        </w:rPr>
        <w:t>The</w:t>
      </w:r>
      <w:r w:rsidR="00852DD5" w:rsidRPr="00AF6425">
        <w:rPr>
          <w:color w:val="000000"/>
          <w:szCs w:val="24"/>
        </w:rPr>
        <w:t xml:space="preserve"> Legislative Instrument </w:t>
      </w:r>
      <w:r w:rsidRPr="00AF6425">
        <w:rPr>
          <w:color w:val="000000"/>
          <w:szCs w:val="24"/>
        </w:rPr>
        <w:t xml:space="preserve">is compatible with </w:t>
      </w:r>
      <w:r w:rsidR="006431CE" w:rsidRPr="00AF6425">
        <w:rPr>
          <w:color w:val="000000"/>
          <w:szCs w:val="24"/>
        </w:rPr>
        <w:t xml:space="preserve">the relevant rights and freedoms. </w:t>
      </w:r>
      <w:r w:rsidR="001E34F6" w:rsidRPr="00AF6425">
        <w:rPr>
          <w:color w:val="000000"/>
          <w:szCs w:val="24"/>
        </w:rPr>
        <w:t xml:space="preserve">It is a component of the </w:t>
      </w:r>
      <w:r w:rsidR="007D3920" w:rsidRPr="00AF6425">
        <w:rPr>
          <w:color w:val="000000"/>
          <w:szCs w:val="24"/>
        </w:rPr>
        <w:t xml:space="preserve">CDR scheme, </w:t>
      </w:r>
      <w:r w:rsidR="009C3D07" w:rsidRPr="00AF6425">
        <w:rPr>
          <w:color w:val="000000"/>
          <w:szCs w:val="24"/>
        </w:rPr>
        <w:t xml:space="preserve">which contains </w:t>
      </w:r>
      <w:r w:rsidR="007D5B5E" w:rsidRPr="00AF6425">
        <w:rPr>
          <w:color w:val="000000"/>
          <w:szCs w:val="24"/>
        </w:rPr>
        <w:t>robust safeguards against arbitrary interference with privacy. T</w:t>
      </w:r>
      <w:r w:rsidRPr="00AF6425">
        <w:rPr>
          <w:color w:val="000000"/>
          <w:szCs w:val="24"/>
        </w:rPr>
        <w:t xml:space="preserve">o the extent that </w:t>
      </w:r>
      <w:r w:rsidR="007D5B5E" w:rsidRPr="00AF6425">
        <w:rPr>
          <w:color w:val="000000"/>
          <w:szCs w:val="24"/>
        </w:rPr>
        <w:t xml:space="preserve">the </w:t>
      </w:r>
      <w:r w:rsidR="00412369" w:rsidRPr="00AF6425">
        <w:rPr>
          <w:color w:val="000000"/>
          <w:szCs w:val="24"/>
        </w:rPr>
        <w:t xml:space="preserve">CDR </w:t>
      </w:r>
      <w:r w:rsidR="007D5B5E" w:rsidRPr="00AF6425">
        <w:rPr>
          <w:color w:val="000000"/>
          <w:szCs w:val="24"/>
        </w:rPr>
        <w:t xml:space="preserve">scheme </w:t>
      </w:r>
      <w:r w:rsidR="00412369" w:rsidRPr="00AF6425">
        <w:rPr>
          <w:color w:val="000000"/>
          <w:szCs w:val="24"/>
        </w:rPr>
        <w:t xml:space="preserve">limits </w:t>
      </w:r>
      <w:r w:rsidR="00033698" w:rsidRPr="00AF6425">
        <w:rPr>
          <w:color w:val="000000"/>
          <w:szCs w:val="24"/>
        </w:rPr>
        <w:t xml:space="preserve">the relevant rights and freedoms, </w:t>
      </w:r>
      <w:r w:rsidRPr="00AF6425">
        <w:rPr>
          <w:color w:val="000000"/>
          <w:szCs w:val="24"/>
        </w:rPr>
        <w:t>those limitations are reasonable, proportionate and necessary.</w:t>
      </w:r>
    </w:p>
    <w:p w14:paraId="270E3EA8" w14:textId="77777777" w:rsidR="00662C7C" w:rsidRDefault="00662C7C" w:rsidP="00662C7C">
      <w:pPr>
        <w:pStyle w:val="Bullet"/>
        <w:numPr>
          <w:ilvl w:val="0"/>
          <w:numId w:val="0"/>
        </w:numPr>
        <w:spacing w:before="0"/>
        <w:ind w:left="567"/>
      </w:pPr>
    </w:p>
    <w:p w14:paraId="6DE1428C" w14:textId="77777777" w:rsidR="00662C7C" w:rsidRDefault="00662C7C" w:rsidP="00521ADA">
      <w:pPr>
        <w:shd w:val="clear" w:color="auto" w:fill="FFFFFF"/>
      </w:pPr>
    </w:p>
    <w:p w14:paraId="4EE20AF1" w14:textId="77777777" w:rsidR="00662C7C" w:rsidRPr="008E60FC" w:rsidRDefault="00662C7C" w:rsidP="00521ADA">
      <w:pPr>
        <w:shd w:val="clear" w:color="auto" w:fill="FFFFFF"/>
      </w:pPr>
    </w:p>
    <w:sectPr w:rsidR="00662C7C" w:rsidRPr="008E60FC"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1083" w14:textId="77777777" w:rsidR="00210A94" w:rsidRDefault="00210A94" w:rsidP="00954679">
      <w:pPr>
        <w:spacing w:before="0" w:after="0"/>
      </w:pPr>
      <w:r>
        <w:separator/>
      </w:r>
    </w:p>
  </w:endnote>
  <w:endnote w:type="continuationSeparator" w:id="0">
    <w:p w14:paraId="6361972F" w14:textId="77777777" w:rsidR="00210A94" w:rsidRDefault="00210A94" w:rsidP="00954679">
      <w:pPr>
        <w:spacing w:before="0" w:after="0"/>
      </w:pPr>
      <w:r>
        <w:continuationSeparator/>
      </w:r>
    </w:p>
  </w:endnote>
  <w:endnote w:type="continuationNotice" w:id="1">
    <w:p w14:paraId="24BACA65" w14:textId="77777777" w:rsidR="00210A94" w:rsidRDefault="00210A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C2E475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80E0" w14:textId="77777777" w:rsidR="00210A94" w:rsidRDefault="00210A94" w:rsidP="00954679">
      <w:pPr>
        <w:spacing w:before="0" w:after="0"/>
      </w:pPr>
      <w:r>
        <w:separator/>
      </w:r>
    </w:p>
  </w:footnote>
  <w:footnote w:type="continuationSeparator" w:id="0">
    <w:p w14:paraId="1EE7F75D" w14:textId="77777777" w:rsidR="00210A94" w:rsidRDefault="00210A94" w:rsidP="00954679">
      <w:pPr>
        <w:spacing w:before="0" w:after="0"/>
      </w:pPr>
      <w:r>
        <w:continuationSeparator/>
      </w:r>
    </w:p>
  </w:footnote>
  <w:footnote w:type="continuationNotice" w:id="1">
    <w:p w14:paraId="39DA6AC3" w14:textId="77777777" w:rsidR="00210A94" w:rsidRDefault="00210A9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7619004">
    <w:abstractNumId w:val="1"/>
  </w:num>
  <w:num w:numId="2" w16cid:durableId="1244797070">
    <w:abstractNumId w:val="2"/>
  </w:num>
  <w:num w:numId="3" w16cid:durableId="538083089">
    <w:abstractNumId w:val="0"/>
  </w:num>
  <w:num w:numId="4" w16cid:durableId="90475437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DAED90-70A4-489F-81ED-26CDDA37390B}"/>
    <w:docVar w:name="dgnword-eventsink" w:val="2789360946256"/>
    <w:docVar w:name="dgnword-lastRevisionsView" w:val="0"/>
  </w:docVars>
  <w:rsids>
    <w:rsidRoot w:val="00FD37B3"/>
    <w:rsid w:val="00013390"/>
    <w:rsid w:val="00016EA2"/>
    <w:rsid w:val="0002693A"/>
    <w:rsid w:val="000309D1"/>
    <w:rsid w:val="00033698"/>
    <w:rsid w:val="00044976"/>
    <w:rsid w:val="000478BE"/>
    <w:rsid w:val="00051B43"/>
    <w:rsid w:val="00060D25"/>
    <w:rsid w:val="00073128"/>
    <w:rsid w:val="00076178"/>
    <w:rsid w:val="00080F7C"/>
    <w:rsid w:val="000830E4"/>
    <w:rsid w:val="0008681E"/>
    <w:rsid w:val="00092403"/>
    <w:rsid w:val="00094B54"/>
    <w:rsid w:val="00095211"/>
    <w:rsid w:val="000A49B0"/>
    <w:rsid w:val="000A60C1"/>
    <w:rsid w:val="000B2BFF"/>
    <w:rsid w:val="000B39A1"/>
    <w:rsid w:val="000C10DF"/>
    <w:rsid w:val="000C2904"/>
    <w:rsid w:val="000C6935"/>
    <w:rsid w:val="000D2E2C"/>
    <w:rsid w:val="000D3AA2"/>
    <w:rsid w:val="000E32E3"/>
    <w:rsid w:val="000F0546"/>
    <w:rsid w:val="00101CDC"/>
    <w:rsid w:val="00113B45"/>
    <w:rsid w:val="00116C6D"/>
    <w:rsid w:val="00117C02"/>
    <w:rsid w:val="00117E97"/>
    <w:rsid w:val="00143949"/>
    <w:rsid w:val="00153BA5"/>
    <w:rsid w:val="001B0048"/>
    <w:rsid w:val="001B4185"/>
    <w:rsid w:val="001B73FB"/>
    <w:rsid w:val="001B7535"/>
    <w:rsid w:val="001C6A07"/>
    <w:rsid w:val="001D039A"/>
    <w:rsid w:val="001D4207"/>
    <w:rsid w:val="001E34F6"/>
    <w:rsid w:val="001E4D8C"/>
    <w:rsid w:val="001E6A74"/>
    <w:rsid w:val="001E6DC6"/>
    <w:rsid w:val="001F1DB9"/>
    <w:rsid w:val="001F41D0"/>
    <w:rsid w:val="002045EB"/>
    <w:rsid w:val="00210A94"/>
    <w:rsid w:val="00213177"/>
    <w:rsid w:val="00220F16"/>
    <w:rsid w:val="0022585A"/>
    <w:rsid w:val="00231FBB"/>
    <w:rsid w:val="00232380"/>
    <w:rsid w:val="00233FD6"/>
    <w:rsid w:val="00235CBB"/>
    <w:rsid w:val="00254C5B"/>
    <w:rsid w:val="0026463C"/>
    <w:rsid w:val="00273900"/>
    <w:rsid w:val="002749B8"/>
    <w:rsid w:val="00274C88"/>
    <w:rsid w:val="00280473"/>
    <w:rsid w:val="00291A7D"/>
    <w:rsid w:val="002A4AF5"/>
    <w:rsid w:val="002A5D11"/>
    <w:rsid w:val="002A7E1F"/>
    <w:rsid w:val="002C226C"/>
    <w:rsid w:val="002D1859"/>
    <w:rsid w:val="002E3BBD"/>
    <w:rsid w:val="002E579E"/>
    <w:rsid w:val="002E5DAF"/>
    <w:rsid w:val="002F022D"/>
    <w:rsid w:val="002F0F5E"/>
    <w:rsid w:val="002F4553"/>
    <w:rsid w:val="002F4AE5"/>
    <w:rsid w:val="002F7AA9"/>
    <w:rsid w:val="003041FA"/>
    <w:rsid w:val="003203D7"/>
    <w:rsid w:val="00323488"/>
    <w:rsid w:val="003342CD"/>
    <w:rsid w:val="00335042"/>
    <w:rsid w:val="00347DD4"/>
    <w:rsid w:val="00357438"/>
    <w:rsid w:val="00362B70"/>
    <w:rsid w:val="00372A9B"/>
    <w:rsid w:val="00382249"/>
    <w:rsid w:val="00392580"/>
    <w:rsid w:val="00392BBA"/>
    <w:rsid w:val="0039390E"/>
    <w:rsid w:val="003954FD"/>
    <w:rsid w:val="003959B0"/>
    <w:rsid w:val="003B27D1"/>
    <w:rsid w:val="003C7907"/>
    <w:rsid w:val="003D60D7"/>
    <w:rsid w:val="003E01E0"/>
    <w:rsid w:val="003E191F"/>
    <w:rsid w:val="003E1CE3"/>
    <w:rsid w:val="003E6D75"/>
    <w:rsid w:val="003F3496"/>
    <w:rsid w:val="00412369"/>
    <w:rsid w:val="00423119"/>
    <w:rsid w:val="0043304A"/>
    <w:rsid w:val="0043451E"/>
    <w:rsid w:val="0045565E"/>
    <w:rsid w:val="00460F63"/>
    <w:rsid w:val="00462095"/>
    <w:rsid w:val="00462F1C"/>
    <w:rsid w:val="00473BCB"/>
    <w:rsid w:val="00482B81"/>
    <w:rsid w:val="00482D4C"/>
    <w:rsid w:val="00490197"/>
    <w:rsid w:val="00497F69"/>
    <w:rsid w:val="004A02A3"/>
    <w:rsid w:val="004A1623"/>
    <w:rsid w:val="004A1C77"/>
    <w:rsid w:val="004B3976"/>
    <w:rsid w:val="004B3C0F"/>
    <w:rsid w:val="004C05E4"/>
    <w:rsid w:val="004C7121"/>
    <w:rsid w:val="004D4F24"/>
    <w:rsid w:val="004E39E1"/>
    <w:rsid w:val="004F1280"/>
    <w:rsid w:val="004F56D0"/>
    <w:rsid w:val="00503E44"/>
    <w:rsid w:val="005042F3"/>
    <w:rsid w:val="00510574"/>
    <w:rsid w:val="00515283"/>
    <w:rsid w:val="00521ADA"/>
    <w:rsid w:val="00533926"/>
    <w:rsid w:val="005402C1"/>
    <w:rsid w:val="00547E3D"/>
    <w:rsid w:val="00550BD6"/>
    <w:rsid w:val="005525CF"/>
    <w:rsid w:val="0055675D"/>
    <w:rsid w:val="0056197C"/>
    <w:rsid w:val="0056611D"/>
    <w:rsid w:val="00566E8F"/>
    <w:rsid w:val="00571461"/>
    <w:rsid w:val="0057422E"/>
    <w:rsid w:val="005803FC"/>
    <w:rsid w:val="005833BE"/>
    <w:rsid w:val="00584584"/>
    <w:rsid w:val="005944A1"/>
    <w:rsid w:val="00595773"/>
    <w:rsid w:val="005A4651"/>
    <w:rsid w:val="005C1214"/>
    <w:rsid w:val="005C12DB"/>
    <w:rsid w:val="005C3567"/>
    <w:rsid w:val="005C4F04"/>
    <w:rsid w:val="005C7787"/>
    <w:rsid w:val="005D4AF1"/>
    <w:rsid w:val="005D6DDF"/>
    <w:rsid w:val="005D7D5A"/>
    <w:rsid w:val="005E4BAC"/>
    <w:rsid w:val="005F5FB2"/>
    <w:rsid w:val="00600D06"/>
    <w:rsid w:val="0060130D"/>
    <w:rsid w:val="00602B6A"/>
    <w:rsid w:val="00604387"/>
    <w:rsid w:val="0060472B"/>
    <w:rsid w:val="006100E5"/>
    <w:rsid w:val="00615171"/>
    <w:rsid w:val="00615522"/>
    <w:rsid w:val="006214D0"/>
    <w:rsid w:val="006224D8"/>
    <w:rsid w:val="00631F3C"/>
    <w:rsid w:val="0064129F"/>
    <w:rsid w:val="006431CE"/>
    <w:rsid w:val="006477DF"/>
    <w:rsid w:val="00647BB7"/>
    <w:rsid w:val="00653CEA"/>
    <w:rsid w:val="00660F75"/>
    <w:rsid w:val="00662C7C"/>
    <w:rsid w:val="0067675A"/>
    <w:rsid w:val="00680297"/>
    <w:rsid w:val="006837F7"/>
    <w:rsid w:val="006873CE"/>
    <w:rsid w:val="00697401"/>
    <w:rsid w:val="006A0786"/>
    <w:rsid w:val="006B318E"/>
    <w:rsid w:val="006B4EB6"/>
    <w:rsid w:val="006B560A"/>
    <w:rsid w:val="006C3CE2"/>
    <w:rsid w:val="006C590A"/>
    <w:rsid w:val="006D2673"/>
    <w:rsid w:val="006D360A"/>
    <w:rsid w:val="006E0002"/>
    <w:rsid w:val="006E7413"/>
    <w:rsid w:val="006E77BA"/>
    <w:rsid w:val="006F42A5"/>
    <w:rsid w:val="006F6D85"/>
    <w:rsid w:val="0070262C"/>
    <w:rsid w:val="00710E94"/>
    <w:rsid w:val="00727D8A"/>
    <w:rsid w:val="007319D6"/>
    <w:rsid w:val="00731FEA"/>
    <w:rsid w:val="00736F61"/>
    <w:rsid w:val="00742253"/>
    <w:rsid w:val="0075259B"/>
    <w:rsid w:val="00765A89"/>
    <w:rsid w:val="007662C7"/>
    <w:rsid w:val="00776306"/>
    <w:rsid w:val="007A55A7"/>
    <w:rsid w:val="007B1F10"/>
    <w:rsid w:val="007B335E"/>
    <w:rsid w:val="007B43A3"/>
    <w:rsid w:val="007C370A"/>
    <w:rsid w:val="007C4C3E"/>
    <w:rsid w:val="007C4FC4"/>
    <w:rsid w:val="007C6901"/>
    <w:rsid w:val="007C6CDE"/>
    <w:rsid w:val="007C7D64"/>
    <w:rsid w:val="007D3920"/>
    <w:rsid w:val="007D5B5E"/>
    <w:rsid w:val="007E018D"/>
    <w:rsid w:val="007F1B71"/>
    <w:rsid w:val="007F6B3C"/>
    <w:rsid w:val="00802222"/>
    <w:rsid w:val="008052ED"/>
    <w:rsid w:val="00806A07"/>
    <w:rsid w:val="00807E7D"/>
    <w:rsid w:val="00814938"/>
    <w:rsid w:val="0081509B"/>
    <w:rsid w:val="00831675"/>
    <w:rsid w:val="00834264"/>
    <w:rsid w:val="008449C6"/>
    <w:rsid w:val="00852896"/>
    <w:rsid w:val="00852DD5"/>
    <w:rsid w:val="008530A0"/>
    <w:rsid w:val="00856900"/>
    <w:rsid w:val="00857D07"/>
    <w:rsid w:val="00875672"/>
    <w:rsid w:val="00875DAF"/>
    <w:rsid w:val="0088467C"/>
    <w:rsid w:val="00894579"/>
    <w:rsid w:val="008974F3"/>
    <w:rsid w:val="00897DE5"/>
    <w:rsid w:val="008A5B67"/>
    <w:rsid w:val="008A5CCD"/>
    <w:rsid w:val="008B17C3"/>
    <w:rsid w:val="008C051D"/>
    <w:rsid w:val="008C1C6F"/>
    <w:rsid w:val="008D16F7"/>
    <w:rsid w:val="008E1427"/>
    <w:rsid w:val="008E60FC"/>
    <w:rsid w:val="008F553D"/>
    <w:rsid w:val="0091183C"/>
    <w:rsid w:val="009143A0"/>
    <w:rsid w:val="009236A1"/>
    <w:rsid w:val="00934277"/>
    <w:rsid w:val="00936902"/>
    <w:rsid w:val="00951E8E"/>
    <w:rsid w:val="00954679"/>
    <w:rsid w:val="00957365"/>
    <w:rsid w:val="00957F69"/>
    <w:rsid w:val="00963921"/>
    <w:rsid w:val="00977739"/>
    <w:rsid w:val="00996DFD"/>
    <w:rsid w:val="009A130F"/>
    <w:rsid w:val="009A5CBD"/>
    <w:rsid w:val="009B35B5"/>
    <w:rsid w:val="009B643C"/>
    <w:rsid w:val="009C3ACA"/>
    <w:rsid w:val="009C3D07"/>
    <w:rsid w:val="009C489E"/>
    <w:rsid w:val="009C584A"/>
    <w:rsid w:val="009C6A1E"/>
    <w:rsid w:val="009D1552"/>
    <w:rsid w:val="009D23E1"/>
    <w:rsid w:val="009D53FF"/>
    <w:rsid w:val="009E2F86"/>
    <w:rsid w:val="009F0D96"/>
    <w:rsid w:val="009F0FA8"/>
    <w:rsid w:val="00A026B2"/>
    <w:rsid w:val="00A12209"/>
    <w:rsid w:val="00A1275F"/>
    <w:rsid w:val="00A34CA4"/>
    <w:rsid w:val="00A36DF3"/>
    <w:rsid w:val="00A37B52"/>
    <w:rsid w:val="00A43D4D"/>
    <w:rsid w:val="00A46E1D"/>
    <w:rsid w:val="00A532DD"/>
    <w:rsid w:val="00A53545"/>
    <w:rsid w:val="00A6668C"/>
    <w:rsid w:val="00A67C0F"/>
    <w:rsid w:val="00A70321"/>
    <w:rsid w:val="00A766CB"/>
    <w:rsid w:val="00A80BCF"/>
    <w:rsid w:val="00A821EE"/>
    <w:rsid w:val="00A8369C"/>
    <w:rsid w:val="00A84046"/>
    <w:rsid w:val="00A90142"/>
    <w:rsid w:val="00A92099"/>
    <w:rsid w:val="00A92CF9"/>
    <w:rsid w:val="00AA1689"/>
    <w:rsid w:val="00AA5770"/>
    <w:rsid w:val="00AB74B8"/>
    <w:rsid w:val="00AC1D15"/>
    <w:rsid w:val="00AC3D20"/>
    <w:rsid w:val="00AC3DB9"/>
    <w:rsid w:val="00AD4FCC"/>
    <w:rsid w:val="00AE47F4"/>
    <w:rsid w:val="00AF4F8B"/>
    <w:rsid w:val="00AF6425"/>
    <w:rsid w:val="00AF6C41"/>
    <w:rsid w:val="00B0409B"/>
    <w:rsid w:val="00B07B0C"/>
    <w:rsid w:val="00B134BF"/>
    <w:rsid w:val="00B2283C"/>
    <w:rsid w:val="00B25563"/>
    <w:rsid w:val="00B26D48"/>
    <w:rsid w:val="00B417F3"/>
    <w:rsid w:val="00B42EE1"/>
    <w:rsid w:val="00B6155C"/>
    <w:rsid w:val="00B7617B"/>
    <w:rsid w:val="00B77973"/>
    <w:rsid w:val="00B81CE0"/>
    <w:rsid w:val="00B8293D"/>
    <w:rsid w:val="00B92478"/>
    <w:rsid w:val="00B97478"/>
    <w:rsid w:val="00B978F8"/>
    <w:rsid w:val="00BA2A42"/>
    <w:rsid w:val="00BA6188"/>
    <w:rsid w:val="00BA74A2"/>
    <w:rsid w:val="00BB0D9E"/>
    <w:rsid w:val="00BD61A2"/>
    <w:rsid w:val="00BE2C95"/>
    <w:rsid w:val="00BE3444"/>
    <w:rsid w:val="00BE484D"/>
    <w:rsid w:val="00BE518A"/>
    <w:rsid w:val="00BE6A79"/>
    <w:rsid w:val="00C1498D"/>
    <w:rsid w:val="00C225C1"/>
    <w:rsid w:val="00C25CBF"/>
    <w:rsid w:val="00C37E05"/>
    <w:rsid w:val="00C408C8"/>
    <w:rsid w:val="00C4641D"/>
    <w:rsid w:val="00C47789"/>
    <w:rsid w:val="00C53E02"/>
    <w:rsid w:val="00C55D29"/>
    <w:rsid w:val="00C76F32"/>
    <w:rsid w:val="00C861FA"/>
    <w:rsid w:val="00C90091"/>
    <w:rsid w:val="00C975B4"/>
    <w:rsid w:val="00CA0BE9"/>
    <w:rsid w:val="00CA138D"/>
    <w:rsid w:val="00CA476E"/>
    <w:rsid w:val="00CC3A48"/>
    <w:rsid w:val="00CC7641"/>
    <w:rsid w:val="00CD0FF1"/>
    <w:rsid w:val="00CD1699"/>
    <w:rsid w:val="00CD6616"/>
    <w:rsid w:val="00CE2224"/>
    <w:rsid w:val="00CE50E4"/>
    <w:rsid w:val="00CE62AD"/>
    <w:rsid w:val="00CE7A47"/>
    <w:rsid w:val="00CF14B3"/>
    <w:rsid w:val="00CF2A7D"/>
    <w:rsid w:val="00CF5D4E"/>
    <w:rsid w:val="00D104C9"/>
    <w:rsid w:val="00D13794"/>
    <w:rsid w:val="00D24052"/>
    <w:rsid w:val="00D24386"/>
    <w:rsid w:val="00D31575"/>
    <w:rsid w:val="00D34626"/>
    <w:rsid w:val="00D3493B"/>
    <w:rsid w:val="00D34FB4"/>
    <w:rsid w:val="00D4257A"/>
    <w:rsid w:val="00D42648"/>
    <w:rsid w:val="00D42B58"/>
    <w:rsid w:val="00D51B3C"/>
    <w:rsid w:val="00D54B18"/>
    <w:rsid w:val="00D62665"/>
    <w:rsid w:val="00D66C71"/>
    <w:rsid w:val="00D82E47"/>
    <w:rsid w:val="00D85602"/>
    <w:rsid w:val="00DA791B"/>
    <w:rsid w:val="00DB3B34"/>
    <w:rsid w:val="00DC0CDE"/>
    <w:rsid w:val="00DC4D72"/>
    <w:rsid w:val="00DD1F18"/>
    <w:rsid w:val="00DD4BD6"/>
    <w:rsid w:val="00DE4C52"/>
    <w:rsid w:val="00E0624D"/>
    <w:rsid w:val="00E10D97"/>
    <w:rsid w:val="00E1761D"/>
    <w:rsid w:val="00E2630C"/>
    <w:rsid w:val="00E329EB"/>
    <w:rsid w:val="00E32DA0"/>
    <w:rsid w:val="00E353A3"/>
    <w:rsid w:val="00E411FB"/>
    <w:rsid w:val="00E43DCE"/>
    <w:rsid w:val="00E4438C"/>
    <w:rsid w:val="00E457F3"/>
    <w:rsid w:val="00E470AB"/>
    <w:rsid w:val="00E5418B"/>
    <w:rsid w:val="00E6020B"/>
    <w:rsid w:val="00E60354"/>
    <w:rsid w:val="00E640B0"/>
    <w:rsid w:val="00E6549E"/>
    <w:rsid w:val="00E800C4"/>
    <w:rsid w:val="00EA0CEE"/>
    <w:rsid w:val="00EA2B73"/>
    <w:rsid w:val="00EA4DD8"/>
    <w:rsid w:val="00EA77AC"/>
    <w:rsid w:val="00EB0411"/>
    <w:rsid w:val="00EB2AEF"/>
    <w:rsid w:val="00EB7E71"/>
    <w:rsid w:val="00EE3F9E"/>
    <w:rsid w:val="00EE7900"/>
    <w:rsid w:val="00F109D4"/>
    <w:rsid w:val="00F15EE9"/>
    <w:rsid w:val="00F1746E"/>
    <w:rsid w:val="00F26605"/>
    <w:rsid w:val="00F32AA4"/>
    <w:rsid w:val="00F34849"/>
    <w:rsid w:val="00F47585"/>
    <w:rsid w:val="00F555AA"/>
    <w:rsid w:val="00F56550"/>
    <w:rsid w:val="00F724A5"/>
    <w:rsid w:val="00F82F78"/>
    <w:rsid w:val="00F85E6F"/>
    <w:rsid w:val="00F943F9"/>
    <w:rsid w:val="00F969AA"/>
    <w:rsid w:val="00FB74D9"/>
    <w:rsid w:val="00FC776C"/>
    <w:rsid w:val="00FD37B3"/>
    <w:rsid w:val="00FD45F0"/>
    <w:rsid w:val="00FE04E4"/>
    <w:rsid w:val="00FE73F9"/>
    <w:rsid w:val="00FF1057"/>
    <w:rsid w:val="00FF3E25"/>
    <w:rsid w:val="00FF62C3"/>
    <w:rsid w:val="19D5C9D5"/>
    <w:rsid w:val="2752D78F"/>
    <w:rsid w:val="2C7590BB"/>
    <w:rsid w:val="60908D65"/>
    <w:rsid w:val="763F215B"/>
    <w:rsid w:val="799D02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C9E4"/>
  <w15:docId w15:val="{2EB3EF67-1115-4463-8136-EC3B6F2F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Bullet + line,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unhideWhenUsed/>
    <w:rsid w:val="008C1C6F"/>
    <w:pPr>
      <w:spacing w:before="100" w:beforeAutospacing="1" w:after="100" w:afterAutospacing="1"/>
    </w:pPr>
    <w:rPr>
      <w:szCs w:val="24"/>
    </w:rPr>
  </w:style>
  <w:style w:type="character" w:customStyle="1" w:styleId="Heading2Char">
    <w:name w:val="Heading 2 Char"/>
    <w:basedOn w:val="DefaultParagraphFont"/>
    <w:link w:val="Heading2"/>
    <w:rsid w:val="00D51B3C"/>
    <w:rPr>
      <w:b/>
      <w:sz w:val="28"/>
      <w:u w:val="single"/>
    </w:rPr>
  </w:style>
  <w:style w:type="paragraph" w:styleId="Revision">
    <w:name w:val="Revision"/>
    <w:hidden/>
    <w:uiPriority w:val="99"/>
    <w:semiHidden/>
    <w:rsid w:val="004A1623"/>
    <w:rPr>
      <w:sz w:val="24"/>
    </w:rPr>
  </w:style>
  <w:style w:type="paragraph" w:styleId="FootnoteText">
    <w:name w:val="footnote text"/>
    <w:basedOn w:val="Normal"/>
    <w:link w:val="FootnoteTextChar"/>
    <w:uiPriority w:val="99"/>
    <w:semiHidden/>
    <w:unhideWhenUsed/>
    <w:rsid w:val="00662C7C"/>
    <w:pPr>
      <w:spacing w:before="0" w:after="0"/>
    </w:pPr>
    <w:rPr>
      <w:sz w:val="20"/>
    </w:rPr>
  </w:style>
  <w:style w:type="character" w:customStyle="1" w:styleId="FootnoteTextChar">
    <w:name w:val="Footnote Text Char"/>
    <w:basedOn w:val="DefaultParagraphFont"/>
    <w:link w:val="FootnoteText"/>
    <w:uiPriority w:val="99"/>
    <w:semiHidden/>
    <w:rsid w:val="00662C7C"/>
  </w:style>
  <w:style w:type="character" w:styleId="FootnoteReference">
    <w:name w:val="footnote reference"/>
    <w:basedOn w:val="DefaultParagraphFont"/>
    <w:uiPriority w:val="99"/>
    <w:semiHidden/>
    <w:unhideWhenUsed/>
    <w:rsid w:val="00662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8689">
      <w:bodyDiv w:val="1"/>
      <w:marLeft w:val="0"/>
      <w:marRight w:val="0"/>
      <w:marTop w:val="0"/>
      <w:marBottom w:val="0"/>
      <w:divBdr>
        <w:top w:val="none" w:sz="0" w:space="0" w:color="auto"/>
        <w:left w:val="none" w:sz="0" w:space="0" w:color="auto"/>
        <w:bottom w:val="none" w:sz="0" w:space="0" w:color="auto"/>
        <w:right w:val="none" w:sz="0" w:space="0" w:color="auto"/>
      </w:divBdr>
    </w:div>
    <w:div w:id="783693381">
      <w:bodyDiv w:val="1"/>
      <w:marLeft w:val="0"/>
      <w:marRight w:val="0"/>
      <w:marTop w:val="0"/>
      <w:marBottom w:val="0"/>
      <w:divBdr>
        <w:top w:val="none" w:sz="0" w:space="0" w:color="auto"/>
        <w:left w:val="none" w:sz="0" w:space="0" w:color="auto"/>
        <w:bottom w:val="none" w:sz="0" w:space="0" w:color="auto"/>
        <w:right w:val="none" w:sz="0" w:space="0" w:color="auto"/>
      </w:divBdr>
    </w:div>
    <w:div w:id="1377315358">
      <w:bodyDiv w:val="1"/>
      <w:marLeft w:val="0"/>
      <w:marRight w:val="0"/>
      <w:marTop w:val="0"/>
      <w:marBottom w:val="0"/>
      <w:divBdr>
        <w:top w:val="none" w:sz="0" w:space="0" w:color="auto"/>
        <w:left w:val="none" w:sz="0" w:space="0" w:color="auto"/>
        <w:bottom w:val="none" w:sz="0" w:space="0" w:color="auto"/>
        <w:right w:val="none" w:sz="0" w:space="0" w:color="auto"/>
      </w:divBdr>
    </w:div>
    <w:div w:id="1600870843">
      <w:bodyDiv w:val="1"/>
      <w:marLeft w:val="0"/>
      <w:marRight w:val="0"/>
      <w:marTop w:val="0"/>
      <w:marBottom w:val="0"/>
      <w:divBdr>
        <w:top w:val="none" w:sz="0" w:space="0" w:color="auto"/>
        <w:left w:val="none" w:sz="0" w:space="0" w:color="auto"/>
        <w:bottom w:val="none" w:sz="0" w:space="0" w:color="auto"/>
        <w:right w:val="none" w:sz="0" w:space="0" w:color="auto"/>
      </w:divBdr>
    </w:div>
    <w:div w:id="165795372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588E71EB3F4751A7A04F48F06A916B"/>
        <w:category>
          <w:name w:val="General"/>
          <w:gallery w:val="placeholder"/>
        </w:category>
        <w:types>
          <w:type w:val="bbPlcHdr"/>
        </w:types>
        <w:behaviors>
          <w:behavior w:val="content"/>
        </w:behaviors>
        <w:guid w:val="{846B4D6A-FBF6-46F7-9605-D4CF1C0DCDAF}"/>
      </w:docPartPr>
      <w:docPartBody>
        <w:p w:rsidR="00B14910" w:rsidRDefault="002E3BBD">
          <w:pPr>
            <w:pStyle w:val="F9588E71EB3F4751A7A04F48F06A916B"/>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10"/>
    <w:rsid w:val="000D4B42"/>
    <w:rsid w:val="002428C9"/>
    <w:rsid w:val="002C6702"/>
    <w:rsid w:val="002E3BBD"/>
    <w:rsid w:val="004304DD"/>
    <w:rsid w:val="00442243"/>
    <w:rsid w:val="00482B50"/>
    <w:rsid w:val="004B3816"/>
    <w:rsid w:val="00B14910"/>
    <w:rsid w:val="00B73E3E"/>
    <w:rsid w:val="00BE1F0F"/>
    <w:rsid w:val="00DF1D6F"/>
    <w:rsid w:val="00F20B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4DD"/>
    <w:rPr>
      <w:color w:val="808080"/>
    </w:rPr>
  </w:style>
  <w:style w:type="paragraph" w:customStyle="1" w:styleId="F9588E71EB3F4751A7A04F48F06A916B">
    <w:name w:val="F9588E71EB3F4751A7A04F48F06A9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40</Value>
      <Value>36</Value>
      <Value>1</Value>
      <Value>35</Value>
    </TaxCatchAll>
    <_dlc_DocId xmlns="fe39d773-a83d-4623-ae74-f25711a76616">S574FYTY5PW6-969949929-138</_dlc_DocId>
    <_dlc_DocIdUrl xmlns="fe39d773-a83d-4623-ae74-f25711a76616">
      <Url>https://austreasury.sharepoint.com/sites/leg-cord-function/_layouts/15/DocIdRedir.aspx?ID=S574FYTY5PW6-969949929-138</Url>
      <Description>S574FYTY5PW6-969949929-138</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lcf76f155ced4ddcb4097134ff3c332f xmlns="30b813c2-29e2-43aa-bac2-1ed67b791c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fe39d773-a83d-4623-ae74-f25711a76616"/>
    <ds:schemaRef ds:uri="42f4cb5a-261c-4c59-b165-7132460581a3"/>
    <ds:schemaRef ds:uri="http://purl.org/dc/terms/"/>
    <ds:schemaRef ds:uri="http://purl.org/dc/dcmitype/"/>
    <ds:schemaRef ds:uri="http://purl.org/dc/elements/1.1/"/>
    <ds:schemaRef ds:uri="30b813c2-29e2-43aa-bac2-1ed67b791ce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f38c824-6e29-4496-8487-69f397e7ed29"/>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D122569-D844-446E-9949-C0F7C9AEC76D}"/>
</file>

<file path=customXml/itemProps5.xml><?xml version="1.0" encoding="utf-8"?>
<ds:datastoreItem xmlns:ds="http://schemas.openxmlformats.org/officeDocument/2006/customXml" ds:itemID="{9D754398-21CC-42C3-B054-E29CE0923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23</TotalTime>
  <Pages>7</Pages>
  <Words>1688</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Brinsmead, Faye</dc:creator>
  <cp:keywords/>
  <cp:lastModifiedBy>Anderson, Roslyn</cp:lastModifiedBy>
  <cp:revision>16</cp:revision>
  <cp:lastPrinted>2019-02-18T18:23:00Z</cp:lastPrinted>
  <dcterms:created xsi:type="dcterms:W3CDTF">2023-02-08T01:12:00Z</dcterms:created>
  <dcterms:modified xsi:type="dcterms:W3CDTF">2023-02-14T04:01:00Z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0x010100B569D256E75E71428C72445DFBB99E7A</vt:lpwstr>
  </property>
  <property fmtid="{D5CDD505-2E9C-101B-9397-08002B2CF9AE}" pid="8" name="TSYRecordClass">
    <vt:lpwstr>1;#AE-20260-Destroy 7 years after action completed|623f5ec9-ec5d-4824-8e13-9c9bfc51fe7e</vt:lpwstr>
  </property>
  <property fmtid="{D5CDD505-2E9C-101B-9397-08002B2CF9AE}" pid="9" name="_dlc_DocIdItemGuid">
    <vt:lpwstr>59926fc9-c345-4999-9aa0-26dcc54ee393</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KWizComPasteProgress">
    <vt:lpwstr>movefinished</vt:lpwstr>
  </property>
  <property fmtid="{D5CDD505-2E9C-101B-9397-08002B2CF9AE}" pid="14" name="KWizComPasteSourceItemData">
    <vt:lpwstr>http://tweb/sites/rg/ldp|3e9e1e1b-a03e-4050-b480-d3d935ff1042|3812|DELETED</vt:lpwstr>
  </property>
  <property fmtid="{D5CDD505-2E9C-101B-9397-08002B2CF9AE}" pid="15" name="_dlc_DocIdPersistID ">
    <vt:lpwstr>0</vt:lpwstr>
  </property>
  <property fmtid="{D5CDD505-2E9C-101B-9397-08002B2CF9AE}" pid="16" name="_dlc_DocIdPersistID">
    <vt:lpwstr>1</vt:lpwstr>
  </property>
  <property fmtid="{D5CDD505-2E9C-101B-9397-08002B2CF9AE}" pid="17" name="eTheme">
    <vt:lpwstr>1;#Law Design|318dd2d2-18da-4b8e-a458-14db2c1af95f</vt:lpwstr>
  </property>
  <property fmtid="{D5CDD505-2E9C-101B-9397-08002B2CF9AE}" pid="18" name="eTopic">
    <vt:lpwstr>81;#Consumer Data Right|62ed8273-6037-4ab0-b44b-2fccb4b8f0df</vt:lpwstr>
  </property>
  <property fmtid="{D5CDD505-2E9C-101B-9397-08002B2CF9AE}" pid="19" name="eActivity">
    <vt:lpwstr>28</vt:lpwstr>
  </property>
  <property fmtid="{D5CDD505-2E9C-101B-9397-08002B2CF9AE}" pid="20" name="Order">
    <vt:r8>91300</vt:r8>
  </property>
  <property fmtid="{D5CDD505-2E9C-101B-9397-08002B2CF9AE}" pid="21" name="TSYStatus">
    <vt:lpwstr/>
  </property>
  <property fmtid="{D5CDD505-2E9C-101B-9397-08002B2CF9AE}" pid="22" name="MediaServiceImageTags">
    <vt:lpwstr/>
  </property>
  <property fmtid="{D5CDD505-2E9C-101B-9397-08002B2CF9AE}" pid="23" name="eDocumentType">
    <vt:lpwstr>50;#Explanatory Memorandum|faf76e06-3cdb-48f5-b70e-ae5aeebaff66</vt:lpwstr>
  </property>
  <property fmtid="{D5CDD505-2E9C-101B-9397-08002B2CF9AE}" pid="24" name="EmailAttachments">
    <vt:bool>false</vt:bool>
  </property>
  <property fmtid="{D5CDD505-2E9C-101B-9397-08002B2CF9AE}" pid="25" name="Topic">
    <vt:lpwstr>36;#Legislation Coordination|58c6712e-e847-48f4-81ab-b25e2bbd3986</vt:lpwstr>
  </property>
  <property fmtid="{D5CDD505-2E9C-101B-9397-08002B2CF9AE}" pid="26" name="Activity">
    <vt:lpwstr>35;#Legislation management|cb630f2f-9155-496b-ad0f-d960eb1bf90c</vt:lpwstr>
  </property>
  <property fmtid="{D5CDD505-2E9C-101B-9397-08002B2CF9AE}" pid="27" name="Document Type">
    <vt:lpwstr>40;#Explanatory materials|45cbb05c-9508-47f1-902e-7b8414a82b21</vt:lpwstr>
  </property>
  <property fmtid="{D5CDD505-2E9C-101B-9397-08002B2CF9AE}" pid="28" name="_docset_NoMedatataSyncRequired">
    <vt:lpwstr>False</vt:lpwstr>
  </property>
</Properties>
</file>