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7773B" w14:textId="627E648D" w:rsidR="00E62DD4" w:rsidRPr="00A03930" w:rsidRDefault="00E62DD4" w:rsidP="00E62DD4">
      <w:pPr>
        <w:pStyle w:val="NormalBold"/>
        <w:jc w:val="center"/>
        <w:rPr>
          <w:rFonts w:ascii="Times New Roman" w:hAnsi="Times New Roman" w:cs="Times New Roman"/>
          <w:sz w:val="28"/>
          <w:szCs w:val="28"/>
        </w:rPr>
      </w:pPr>
      <w:r w:rsidRPr="00A03930">
        <w:rPr>
          <w:rFonts w:ascii="Times New Roman" w:hAnsi="Times New Roman" w:cs="Times New Roman"/>
          <w:sz w:val="28"/>
          <w:szCs w:val="28"/>
        </w:rPr>
        <w:t>Explanatory Statement</w:t>
      </w:r>
    </w:p>
    <w:p w14:paraId="2F05EF0C" w14:textId="714EFAFF" w:rsidR="00E62DD4" w:rsidRPr="00A03930" w:rsidRDefault="00E62DD4" w:rsidP="00E62DD4">
      <w:pPr>
        <w:jc w:val="center"/>
        <w:rPr>
          <w:rFonts w:ascii="Times New Roman" w:hAnsi="Times New Roman"/>
        </w:rPr>
      </w:pPr>
      <w:r w:rsidRPr="00A03930">
        <w:rPr>
          <w:rFonts w:ascii="Times New Roman" w:hAnsi="Times New Roman"/>
        </w:rPr>
        <w:t xml:space="preserve">Issued by the </w:t>
      </w:r>
      <w:r w:rsidR="001E02A2">
        <w:rPr>
          <w:rFonts w:ascii="Times New Roman" w:hAnsi="Times New Roman"/>
        </w:rPr>
        <w:t>a</w:t>
      </w:r>
      <w:r w:rsidRPr="00A03930">
        <w:rPr>
          <w:rFonts w:ascii="Times New Roman" w:hAnsi="Times New Roman"/>
        </w:rPr>
        <w:t>uthority of the Minister for Communications</w:t>
      </w:r>
    </w:p>
    <w:p w14:paraId="11B06652" w14:textId="77777777" w:rsidR="00E62DD4" w:rsidRPr="00A03930" w:rsidRDefault="00E62DD4" w:rsidP="00E62DD4">
      <w:pPr>
        <w:jc w:val="center"/>
        <w:rPr>
          <w:rFonts w:ascii="Times New Roman" w:hAnsi="Times New Roman"/>
          <w:i/>
        </w:rPr>
      </w:pPr>
      <w:r w:rsidRPr="00A03930">
        <w:rPr>
          <w:rFonts w:ascii="Times New Roman" w:hAnsi="Times New Roman"/>
          <w:i/>
        </w:rPr>
        <w:t>Telecommunications (Consumer Protection and Service Standards) Act 1997</w:t>
      </w:r>
    </w:p>
    <w:p w14:paraId="37520BCA" w14:textId="77777777" w:rsidR="00E62DD4" w:rsidRPr="00A03930" w:rsidRDefault="00E62DD4" w:rsidP="00E62DD4">
      <w:pPr>
        <w:jc w:val="center"/>
        <w:rPr>
          <w:rFonts w:ascii="Times New Roman" w:hAnsi="Times New Roman"/>
          <w:b/>
          <w:i/>
        </w:rPr>
      </w:pPr>
      <w:r w:rsidRPr="00A03930">
        <w:rPr>
          <w:rFonts w:ascii="Times New Roman" w:hAnsi="Times New Roman"/>
          <w:b/>
          <w:i/>
        </w:rPr>
        <w:t>Telecommunications (Customer Service Guarantee) Direction 2023</w:t>
      </w:r>
    </w:p>
    <w:p w14:paraId="619B2078" w14:textId="77777777" w:rsidR="00E62DD4" w:rsidRPr="00A03930" w:rsidRDefault="00E62DD4" w:rsidP="00E62DD4">
      <w:pPr>
        <w:rPr>
          <w:rFonts w:ascii="Times New Roman" w:hAnsi="Times New Roman"/>
          <w:b/>
        </w:rPr>
      </w:pPr>
      <w:r w:rsidRPr="00A03930">
        <w:rPr>
          <w:rFonts w:ascii="Times New Roman" w:hAnsi="Times New Roman"/>
          <w:b/>
        </w:rPr>
        <w:t>Authority</w:t>
      </w:r>
    </w:p>
    <w:p w14:paraId="1FA8AEE8" w14:textId="1DD5CC52" w:rsidR="009C1F0C" w:rsidRPr="00A03930" w:rsidRDefault="009C1F0C" w:rsidP="00E62DD4">
      <w:pPr>
        <w:rPr>
          <w:rFonts w:ascii="Times New Roman" w:hAnsi="Times New Roman"/>
        </w:rPr>
      </w:pPr>
      <w:r w:rsidRPr="00A03930">
        <w:rPr>
          <w:rFonts w:ascii="Times New Roman" w:hAnsi="Times New Roman"/>
        </w:rPr>
        <w:t xml:space="preserve">The </w:t>
      </w:r>
      <w:r w:rsidRPr="00A03930">
        <w:rPr>
          <w:rFonts w:ascii="Times New Roman" w:hAnsi="Times New Roman"/>
          <w:i/>
        </w:rPr>
        <w:t xml:space="preserve">Telecommunications (Customer Service Guarantee) Direction 2023 </w:t>
      </w:r>
      <w:r w:rsidRPr="00A03930">
        <w:rPr>
          <w:rFonts w:ascii="Times New Roman" w:hAnsi="Times New Roman"/>
        </w:rPr>
        <w:t xml:space="preserve">(the Direction) is made under subsection 124(2) of the </w:t>
      </w:r>
      <w:r w:rsidRPr="00A03930">
        <w:rPr>
          <w:rFonts w:ascii="Times New Roman" w:hAnsi="Times New Roman"/>
          <w:i/>
        </w:rPr>
        <w:t xml:space="preserve">Telecommunications (Consumer Protection and Service Standards) Act 1997 </w:t>
      </w:r>
      <w:r w:rsidRPr="00A03930">
        <w:rPr>
          <w:rFonts w:ascii="Times New Roman" w:hAnsi="Times New Roman"/>
        </w:rPr>
        <w:t xml:space="preserve">(the Act). </w:t>
      </w:r>
    </w:p>
    <w:p w14:paraId="080CCA94" w14:textId="59321270" w:rsidR="009C1F0C" w:rsidRPr="00A03930" w:rsidRDefault="003531CC" w:rsidP="00E62DD4">
      <w:pPr>
        <w:rPr>
          <w:rFonts w:ascii="Times New Roman" w:hAnsi="Times New Roman"/>
        </w:rPr>
      </w:pPr>
      <w:r w:rsidRPr="00A03930">
        <w:rPr>
          <w:rFonts w:ascii="Times New Roman" w:hAnsi="Times New Roman"/>
        </w:rPr>
        <w:t>Part 5 of the Act creates a scheme so that performance standards (and associated benchmarks) can be applied to carriage service providers</w:t>
      </w:r>
      <w:r w:rsidR="009C79E0" w:rsidRPr="00A03930">
        <w:rPr>
          <w:rFonts w:ascii="Times New Roman" w:hAnsi="Times New Roman"/>
        </w:rPr>
        <w:t xml:space="preserve"> (CSPs)</w:t>
      </w:r>
      <w:r w:rsidRPr="00A03930">
        <w:rPr>
          <w:rFonts w:ascii="Times New Roman" w:hAnsi="Times New Roman"/>
        </w:rPr>
        <w:t xml:space="preserve">. </w:t>
      </w:r>
      <w:r w:rsidR="009C1F0C" w:rsidRPr="00A03930">
        <w:rPr>
          <w:rFonts w:ascii="Times New Roman" w:hAnsi="Times New Roman"/>
        </w:rPr>
        <w:t>Section 124</w:t>
      </w:r>
      <w:r w:rsidRPr="00A03930">
        <w:rPr>
          <w:rFonts w:ascii="Times New Roman" w:hAnsi="Times New Roman"/>
        </w:rPr>
        <w:t xml:space="preserve"> of the Act</w:t>
      </w:r>
      <w:r w:rsidR="009C1F0C" w:rsidRPr="00A03930">
        <w:rPr>
          <w:rFonts w:ascii="Times New Roman" w:hAnsi="Times New Roman"/>
        </w:rPr>
        <w:t xml:space="preserve"> provides authority for the Minister for Communications to direct the A</w:t>
      </w:r>
      <w:r w:rsidR="00980C8F">
        <w:rPr>
          <w:rFonts w:ascii="Times New Roman" w:hAnsi="Times New Roman"/>
        </w:rPr>
        <w:t xml:space="preserve">ustralian </w:t>
      </w:r>
      <w:r w:rsidR="009C1F0C" w:rsidRPr="00A03930">
        <w:rPr>
          <w:rFonts w:ascii="Times New Roman" w:hAnsi="Times New Roman"/>
        </w:rPr>
        <w:t>C</w:t>
      </w:r>
      <w:r w:rsidR="00980C8F">
        <w:rPr>
          <w:rFonts w:ascii="Times New Roman" w:hAnsi="Times New Roman"/>
        </w:rPr>
        <w:t xml:space="preserve">ommunications and </w:t>
      </w:r>
      <w:r w:rsidR="009C1F0C" w:rsidRPr="00A03930">
        <w:rPr>
          <w:rFonts w:ascii="Times New Roman" w:hAnsi="Times New Roman"/>
        </w:rPr>
        <w:t>M</w:t>
      </w:r>
      <w:r w:rsidR="00980C8F">
        <w:rPr>
          <w:rFonts w:ascii="Times New Roman" w:hAnsi="Times New Roman"/>
        </w:rPr>
        <w:t xml:space="preserve">edia </w:t>
      </w:r>
      <w:r w:rsidR="009C1F0C" w:rsidRPr="00A03930">
        <w:rPr>
          <w:rFonts w:ascii="Times New Roman" w:hAnsi="Times New Roman"/>
        </w:rPr>
        <w:t>A</w:t>
      </w:r>
      <w:r w:rsidR="00980C8F">
        <w:rPr>
          <w:rFonts w:ascii="Times New Roman" w:hAnsi="Times New Roman"/>
        </w:rPr>
        <w:t>uthority (ACMA)</w:t>
      </w:r>
      <w:r w:rsidR="009C1F0C" w:rsidRPr="00A03930">
        <w:rPr>
          <w:rFonts w:ascii="Times New Roman" w:hAnsi="Times New Roman"/>
        </w:rPr>
        <w:t xml:space="preserve"> to make performance standards that </w:t>
      </w:r>
      <w:r w:rsidR="009C79E0" w:rsidRPr="00A03930">
        <w:rPr>
          <w:rFonts w:ascii="Times New Roman" w:hAnsi="Times New Roman"/>
        </w:rPr>
        <w:t>CSPs</w:t>
      </w:r>
      <w:r w:rsidR="009C1F0C" w:rsidRPr="00A03930">
        <w:rPr>
          <w:rFonts w:ascii="Times New Roman" w:hAnsi="Times New Roman"/>
        </w:rPr>
        <w:t xml:space="preserve"> must comply with. Under section 115 of the Act, the ACMA has the power to make such performance standards in relation to any matter concerning the supply of carriage services to customers, including</w:t>
      </w:r>
      <w:r w:rsidR="00127E59" w:rsidRPr="00A03930">
        <w:rPr>
          <w:rFonts w:ascii="Times New Roman" w:hAnsi="Times New Roman"/>
        </w:rPr>
        <w:t xml:space="preserve"> </w:t>
      </w:r>
      <w:r w:rsidR="009C1F0C" w:rsidRPr="00A03930">
        <w:rPr>
          <w:rFonts w:ascii="Times New Roman" w:hAnsi="Times New Roman"/>
        </w:rPr>
        <w:t>connection, fault rectification and appointment-keeping. The ACMA can only make or vary performance standards if directed to do so by the Minister</w:t>
      </w:r>
      <w:r w:rsidRPr="00A03930">
        <w:rPr>
          <w:rFonts w:ascii="Times New Roman" w:hAnsi="Times New Roman"/>
        </w:rPr>
        <w:t xml:space="preserve"> under section 124</w:t>
      </w:r>
      <w:r w:rsidR="00DD09A4" w:rsidRPr="00A03930">
        <w:rPr>
          <w:rFonts w:ascii="Times New Roman" w:hAnsi="Times New Roman"/>
        </w:rPr>
        <w:t xml:space="preserve">. </w:t>
      </w:r>
      <w:r w:rsidR="00E33D65">
        <w:rPr>
          <w:rFonts w:ascii="Times New Roman" w:hAnsi="Times New Roman"/>
        </w:rPr>
        <w:t>The ACMA can also determine a scale of damages where performance standards are missed</w:t>
      </w:r>
      <w:r w:rsidR="00180B75">
        <w:rPr>
          <w:rFonts w:ascii="Times New Roman" w:hAnsi="Times New Roman"/>
        </w:rPr>
        <w:t xml:space="preserve"> under section 117 and determine waiver provisions under section </w:t>
      </w:r>
      <w:r w:rsidR="00E33D65">
        <w:rPr>
          <w:rFonts w:ascii="Times New Roman" w:eastAsiaTheme="minorHAnsi" w:hAnsi="Times New Roman"/>
          <w:kern w:val="24"/>
          <w:lang w:eastAsia="en-US"/>
        </w:rPr>
        <w:t>120.</w:t>
      </w:r>
    </w:p>
    <w:p w14:paraId="16C907A8" w14:textId="4228F39E" w:rsidR="00127E59" w:rsidRPr="00A03930" w:rsidRDefault="00E62DD4" w:rsidP="00E62DD4">
      <w:pPr>
        <w:rPr>
          <w:rFonts w:ascii="Times New Roman" w:hAnsi="Times New Roman"/>
          <w:b/>
        </w:rPr>
      </w:pPr>
      <w:r w:rsidRPr="00A03930">
        <w:rPr>
          <w:rFonts w:ascii="Times New Roman" w:hAnsi="Times New Roman"/>
          <w:b/>
        </w:rPr>
        <w:t>Purpose</w:t>
      </w:r>
      <w:r w:rsidR="005C75F5" w:rsidRPr="00A03930">
        <w:rPr>
          <w:rFonts w:ascii="Times New Roman" w:hAnsi="Times New Roman"/>
          <w:b/>
        </w:rPr>
        <w:t xml:space="preserve"> and operation</w:t>
      </w:r>
    </w:p>
    <w:p w14:paraId="7ABE2A08" w14:textId="5E4A7A73" w:rsidR="00FB6F4F" w:rsidRPr="00FB6F4F" w:rsidRDefault="00127E59" w:rsidP="00E62DD4">
      <w:pPr>
        <w:rPr>
          <w:rFonts w:ascii="Times New Roman" w:hAnsi="Times New Roman"/>
        </w:rPr>
      </w:pPr>
      <w:r w:rsidRPr="00A03930">
        <w:rPr>
          <w:rFonts w:ascii="Times New Roman" w:hAnsi="Times New Roman"/>
        </w:rPr>
        <w:t>The</w:t>
      </w:r>
      <w:r w:rsidR="003531CC" w:rsidRPr="00A03930">
        <w:rPr>
          <w:rFonts w:ascii="Times New Roman" w:hAnsi="Times New Roman"/>
        </w:rPr>
        <w:t xml:space="preserve"> purpose of th</w:t>
      </w:r>
      <w:r w:rsidR="0032535A" w:rsidRPr="00A03930">
        <w:rPr>
          <w:rFonts w:ascii="Times New Roman" w:hAnsi="Times New Roman"/>
        </w:rPr>
        <w:t>e</w:t>
      </w:r>
      <w:r w:rsidRPr="00A03930">
        <w:rPr>
          <w:rFonts w:ascii="Times New Roman" w:hAnsi="Times New Roman"/>
        </w:rPr>
        <w:t xml:space="preserve"> Direction </w:t>
      </w:r>
      <w:r w:rsidR="003531CC" w:rsidRPr="00A03930">
        <w:rPr>
          <w:rFonts w:ascii="Times New Roman" w:hAnsi="Times New Roman"/>
        </w:rPr>
        <w:t>is to</w:t>
      </w:r>
      <w:r w:rsidR="006F6DB0" w:rsidRPr="00A03930">
        <w:rPr>
          <w:rFonts w:ascii="Times New Roman" w:hAnsi="Times New Roman"/>
        </w:rPr>
        <w:t xml:space="preserve"> require</w:t>
      </w:r>
      <w:r w:rsidR="003531CC" w:rsidRPr="00A03930">
        <w:rPr>
          <w:rFonts w:ascii="Times New Roman" w:hAnsi="Times New Roman"/>
        </w:rPr>
        <w:t xml:space="preserve"> </w:t>
      </w:r>
      <w:r w:rsidR="00522ED4">
        <w:rPr>
          <w:rFonts w:ascii="Times New Roman" w:hAnsi="Times New Roman"/>
        </w:rPr>
        <w:t xml:space="preserve">the </w:t>
      </w:r>
      <w:r w:rsidRPr="00A03930">
        <w:rPr>
          <w:rFonts w:ascii="Times New Roman" w:hAnsi="Times New Roman"/>
        </w:rPr>
        <w:t xml:space="preserve">ACMA to remake the </w:t>
      </w:r>
      <w:r w:rsidRPr="00A03930">
        <w:rPr>
          <w:rFonts w:ascii="Times New Roman" w:hAnsi="Times New Roman"/>
          <w:i/>
        </w:rPr>
        <w:t xml:space="preserve">Telecommunications (Customer Service Guarantee) Standard 2011 </w:t>
      </w:r>
      <w:r w:rsidRPr="00A03930">
        <w:rPr>
          <w:rFonts w:ascii="Times New Roman" w:hAnsi="Times New Roman"/>
        </w:rPr>
        <w:t xml:space="preserve">(the </w:t>
      </w:r>
      <w:r w:rsidR="006F6DB0" w:rsidRPr="00A03930">
        <w:rPr>
          <w:rFonts w:ascii="Times New Roman" w:hAnsi="Times New Roman"/>
        </w:rPr>
        <w:t xml:space="preserve">2011 </w:t>
      </w:r>
      <w:r w:rsidRPr="00A03930">
        <w:rPr>
          <w:rFonts w:ascii="Times New Roman" w:hAnsi="Times New Roman"/>
        </w:rPr>
        <w:t>CSG Standard) largely as it exists</w:t>
      </w:r>
      <w:r w:rsidR="00452302">
        <w:rPr>
          <w:rFonts w:ascii="Times New Roman" w:hAnsi="Times New Roman"/>
        </w:rPr>
        <w:t xml:space="preserve"> for a period of three years</w:t>
      </w:r>
      <w:r w:rsidRPr="00A03930">
        <w:rPr>
          <w:rFonts w:ascii="Times New Roman" w:hAnsi="Times New Roman"/>
        </w:rPr>
        <w:t>, with some necessary updating and minor amendments</w:t>
      </w:r>
      <w:r w:rsidR="006F6DB0" w:rsidRPr="00A03930">
        <w:rPr>
          <w:rFonts w:ascii="Times New Roman" w:hAnsi="Times New Roman"/>
        </w:rPr>
        <w:t>.</w:t>
      </w:r>
      <w:r w:rsidRPr="00A03930">
        <w:rPr>
          <w:rFonts w:ascii="Times New Roman" w:hAnsi="Times New Roman"/>
        </w:rPr>
        <w:t xml:space="preserve"> This </w:t>
      </w:r>
      <w:r w:rsidR="003531CC" w:rsidRPr="00A03930">
        <w:rPr>
          <w:rFonts w:ascii="Times New Roman" w:hAnsi="Times New Roman"/>
        </w:rPr>
        <w:t>will</w:t>
      </w:r>
      <w:r w:rsidRPr="00A03930">
        <w:rPr>
          <w:rFonts w:ascii="Times New Roman" w:hAnsi="Times New Roman"/>
        </w:rPr>
        <w:t xml:space="preserve"> contin</w:t>
      </w:r>
      <w:r w:rsidR="003531CC" w:rsidRPr="00A03930">
        <w:rPr>
          <w:rFonts w:ascii="Times New Roman" w:hAnsi="Times New Roman"/>
        </w:rPr>
        <w:t>ue</w:t>
      </w:r>
      <w:r w:rsidRPr="00A03930">
        <w:rPr>
          <w:rFonts w:ascii="Times New Roman" w:hAnsi="Times New Roman"/>
        </w:rPr>
        <w:t xml:space="preserve"> </w:t>
      </w:r>
      <w:r w:rsidR="002C09E1">
        <w:rPr>
          <w:rFonts w:ascii="Times New Roman" w:hAnsi="Times New Roman"/>
        </w:rPr>
        <w:t xml:space="preserve">existing </w:t>
      </w:r>
      <w:r w:rsidRPr="00A03930">
        <w:rPr>
          <w:rFonts w:ascii="Times New Roman" w:hAnsi="Times New Roman"/>
        </w:rPr>
        <w:t xml:space="preserve">Customer Service Guarantee (CSG) </w:t>
      </w:r>
      <w:r w:rsidR="003531CC" w:rsidRPr="00A03930">
        <w:rPr>
          <w:rFonts w:ascii="Times New Roman" w:hAnsi="Times New Roman"/>
        </w:rPr>
        <w:t>arrangements</w:t>
      </w:r>
      <w:r w:rsidRPr="00A03930">
        <w:rPr>
          <w:rFonts w:ascii="Times New Roman" w:hAnsi="Times New Roman"/>
        </w:rPr>
        <w:t xml:space="preserve">, which </w:t>
      </w:r>
      <w:r w:rsidR="002C09E1">
        <w:rPr>
          <w:rFonts w:ascii="Times New Roman" w:hAnsi="Times New Roman"/>
        </w:rPr>
        <w:t>set</w:t>
      </w:r>
      <w:r w:rsidR="002C09E1" w:rsidRPr="00A03930">
        <w:rPr>
          <w:rFonts w:ascii="Times New Roman" w:hAnsi="Times New Roman"/>
        </w:rPr>
        <w:t xml:space="preserve"> </w:t>
      </w:r>
      <w:r w:rsidR="002C09E1">
        <w:rPr>
          <w:rFonts w:ascii="Times New Roman" w:hAnsi="Times New Roman"/>
        </w:rPr>
        <w:t xml:space="preserve">maximum </w:t>
      </w:r>
      <w:r w:rsidR="003531CC" w:rsidRPr="00A03930">
        <w:rPr>
          <w:rFonts w:ascii="Times New Roman" w:hAnsi="Times New Roman"/>
        </w:rPr>
        <w:t>timeframes for connection</w:t>
      </w:r>
      <w:r w:rsidR="002C09E1">
        <w:rPr>
          <w:rFonts w:ascii="Times New Roman" w:hAnsi="Times New Roman"/>
        </w:rPr>
        <w:t xml:space="preserve"> and</w:t>
      </w:r>
      <w:r w:rsidR="003531CC" w:rsidRPr="00A03930">
        <w:rPr>
          <w:rFonts w:ascii="Times New Roman" w:hAnsi="Times New Roman"/>
        </w:rPr>
        <w:t xml:space="preserve"> repairs </w:t>
      </w:r>
      <w:r w:rsidR="002C09E1">
        <w:rPr>
          <w:rFonts w:ascii="Times New Roman" w:hAnsi="Times New Roman"/>
        </w:rPr>
        <w:t xml:space="preserve">of </w:t>
      </w:r>
      <w:r w:rsidR="00DD09A4" w:rsidRPr="00A03930">
        <w:rPr>
          <w:rFonts w:ascii="Times New Roman" w:hAnsi="Times New Roman"/>
        </w:rPr>
        <w:t xml:space="preserve">retail </w:t>
      </w:r>
      <w:r w:rsidR="003531CC" w:rsidRPr="00A03930">
        <w:rPr>
          <w:rFonts w:ascii="Times New Roman" w:hAnsi="Times New Roman"/>
        </w:rPr>
        <w:t>fixed telephone services</w:t>
      </w:r>
      <w:r w:rsidR="002C09E1">
        <w:rPr>
          <w:rFonts w:ascii="Times New Roman" w:hAnsi="Times New Roman"/>
        </w:rPr>
        <w:t>, including associated appointment</w:t>
      </w:r>
      <w:r w:rsidR="00F84195">
        <w:rPr>
          <w:rFonts w:ascii="Times New Roman" w:hAnsi="Times New Roman"/>
        </w:rPr>
        <w:t>-</w:t>
      </w:r>
      <w:r w:rsidR="002C09E1">
        <w:rPr>
          <w:rFonts w:ascii="Times New Roman" w:hAnsi="Times New Roman"/>
        </w:rPr>
        <w:t>keeping</w:t>
      </w:r>
      <w:r w:rsidR="002C09E1" w:rsidRPr="00A03930">
        <w:rPr>
          <w:rFonts w:ascii="Times New Roman" w:hAnsi="Times New Roman"/>
        </w:rPr>
        <w:t xml:space="preserve"> </w:t>
      </w:r>
      <w:r w:rsidR="002C09E1">
        <w:rPr>
          <w:rFonts w:ascii="Times New Roman" w:hAnsi="Times New Roman"/>
        </w:rPr>
        <w:t>arrangements.</w:t>
      </w:r>
      <w:r w:rsidR="00FB6F4F">
        <w:rPr>
          <w:rFonts w:ascii="Times New Roman" w:hAnsi="Times New Roman"/>
        </w:rPr>
        <w:t xml:space="preserve"> </w:t>
      </w:r>
      <w:r w:rsidR="00EB6CCD">
        <w:rPr>
          <w:rFonts w:ascii="Times New Roman" w:hAnsi="Times New Roman"/>
        </w:rPr>
        <w:t xml:space="preserve">This decision follows a thematic review of the CSG framework and the individual instruments that are due to sunset on 1 October 2023. </w:t>
      </w:r>
      <w:r w:rsidR="00FB6F4F">
        <w:rPr>
          <w:rFonts w:ascii="Times New Roman" w:hAnsi="Times New Roman"/>
        </w:rPr>
        <w:t xml:space="preserve">The Direction </w:t>
      </w:r>
      <w:r w:rsidR="00880604">
        <w:rPr>
          <w:rFonts w:ascii="Times New Roman" w:hAnsi="Times New Roman"/>
        </w:rPr>
        <w:t xml:space="preserve">supersedes and so will </w:t>
      </w:r>
      <w:r w:rsidR="00FB6F4F">
        <w:rPr>
          <w:rFonts w:ascii="Times New Roman" w:hAnsi="Times New Roman"/>
        </w:rPr>
        <w:t xml:space="preserve">revokes the </w:t>
      </w:r>
      <w:r w:rsidR="00880604">
        <w:rPr>
          <w:rFonts w:ascii="Times New Roman" w:hAnsi="Times New Roman"/>
        </w:rPr>
        <w:t xml:space="preserve">earlier </w:t>
      </w:r>
      <w:r w:rsidR="00FB6F4F">
        <w:rPr>
          <w:rFonts w:ascii="Times New Roman" w:hAnsi="Times New Roman"/>
          <w:i/>
        </w:rPr>
        <w:t>Telecommunications (Customer Service Guarantee) Direction (No. 1) 2011</w:t>
      </w:r>
      <w:r w:rsidR="002011FF">
        <w:rPr>
          <w:rFonts w:ascii="Times New Roman" w:hAnsi="Times New Roman"/>
        </w:rPr>
        <w:t>.</w:t>
      </w:r>
    </w:p>
    <w:p w14:paraId="75D7F80F" w14:textId="276CBFBF" w:rsidR="00F84195" w:rsidRPr="00A03930" w:rsidRDefault="003531CC" w:rsidP="00E62DD4">
      <w:pPr>
        <w:rPr>
          <w:rFonts w:ascii="Times New Roman" w:hAnsi="Times New Roman"/>
        </w:rPr>
      </w:pPr>
      <w:r w:rsidRPr="00A03930">
        <w:rPr>
          <w:rFonts w:ascii="Times New Roman" w:hAnsi="Times New Roman"/>
        </w:rPr>
        <w:t xml:space="preserve">The </w:t>
      </w:r>
      <w:r w:rsidR="006F6DB0" w:rsidRPr="00A03930">
        <w:rPr>
          <w:rFonts w:ascii="Times New Roman" w:hAnsi="Times New Roman"/>
        </w:rPr>
        <w:t xml:space="preserve">2011 </w:t>
      </w:r>
      <w:r w:rsidRPr="00A03930">
        <w:rPr>
          <w:rFonts w:ascii="Times New Roman" w:hAnsi="Times New Roman"/>
        </w:rPr>
        <w:t xml:space="preserve">CSG Standard </w:t>
      </w:r>
      <w:r w:rsidR="00880604">
        <w:rPr>
          <w:rFonts w:ascii="Times New Roman" w:hAnsi="Times New Roman"/>
        </w:rPr>
        <w:t xml:space="preserve">also sets out </w:t>
      </w:r>
      <w:r w:rsidR="00127E59" w:rsidRPr="00A03930">
        <w:rPr>
          <w:rFonts w:ascii="Times New Roman" w:hAnsi="Times New Roman"/>
        </w:rPr>
        <w:t xml:space="preserve">compensation to be paid to individual consumers where </w:t>
      </w:r>
      <w:r w:rsidR="00880604">
        <w:rPr>
          <w:rFonts w:ascii="Times New Roman" w:hAnsi="Times New Roman"/>
        </w:rPr>
        <w:t>relevant timeframes</w:t>
      </w:r>
      <w:r w:rsidR="00880604" w:rsidRPr="00A03930">
        <w:rPr>
          <w:rFonts w:ascii="Times New Roman" w:hAnsi="Times New Roman"/>
        </w:rPr>
        <w:t xml:space="preserve"> </w:t>
      </w:r>
      <w:r w:rsidR="00127E59" w:rsidRPr="00A03930">
        <w:rPr>
          <w:rFonts w:ascii="Times New Roman" w:hAnsi="Times New Roman"/>
        </w:rPr>
        <w:t>are not met.</w:t>
      </w:r>
      <w:r w:rsidRPr="00A03930">
        <w:rPr>
          <w:rFonts w:ascii="Times New Roman" w:hAnsi="Times New Roman"/>
        </w:rPr>
        <w:t xml:space="preserve"> </w:t>
      </w:r>
      <w:r w:rsidR="00880604">
        <w:rPr>
          <w:rFonts w:ascii="Times New Roman" w:hAnsi="Times New Roman"/>
        </w:rPr>
        <w:t xml:space="preserve">However, carriage service </w:t>
      </w:r>
      <w:r w:rsidR="00F84195">
        <w:rPr>
          <w:rFonts w:ascii="Times New Roman" w:hAnsi="Times New Roman"/>
        </w:rPr>
        <w:t xml:space="preserve">providers are not required to pay compensation if they offer to provide customers with an interim service (such as a mobile phone) or an alternative service (such as a call diversion to another landline or mobile service). </w:t>
      </w:r>
      <w:r w:rsidRPr="00A03930">
        <w:rPr>
          <w:rFonts w:ascii="Times New Roman" w:hAnsi="Times New Roman"/>
        </w:rPr>
        <w:t>Th</w:t>
      </w:r>
      <w:r w:rsidR="00E9645A">
        <w:rPr>
          <w:rFonts w:ascii="Times New Roman" w:hAnsi="Times New Roman"/>
        </w:rPr>
        <w:t xml:space="preserve">e </w:t>
      </w:r>
      <w:r w:rsidR="00F84195">
        <w:rPr>
          <w:rFonts w:ascii="Times New Roman" w:hAnsi="Times New Roman"/>
        </w:rPr>
        <w:t>CSG Standard</w:t>
      </w:r>
      <w:r w:rsidR="00FB6F4F">
        <w:rPr>
          <w:rFonts w:ascii="Times New Roman" w:hAnsi="Times New Roman"/>
        </w:rPr>
        <w:t xml:space="preserve"> </w:t>
      </w:r>
      <w:r w:rsidRPr="00A03930">
        <w:rPr>
          <w:rFonts w:ascii="Times New Roman" w:hAnsi="Times New Roman"/>
        </w:rPr>
        <w:t xml:space="preserve">is complemented by CSG benchmarks made by the Minister (requiring 90% compliance with the </w:t>
      </w:r>
      <w:r w:rsidR="006F6DB0" w:rsidRPr="00A03930">
        <w:rPr>
          <w:rFonts w:ascii="Times New Roman" w:hAnsi="Times New Roman"/>
        </w:rPr>
        <w:t>CSG s</w:t>
      </w:r>
      <w:r w:rsidRPr="00A03930">
        <w:rPr>
          <w:rFonts w:ascii="Times New Roman" w:hAnsi="Times New Roman"/>
        </w:rPr>
        <w:t>tandard</w:t>
      </w:r>
      <w:r w:rsidR="006F6DB0" w:rsidRPr="00A03930">
        <w:rPr>
          <w:rFonts w:ascii="Times New Roman" w:hAnsi="Times New Roman"/>
        </w:rPr>
        <w:t>s</w:t>
      </w:r>
      <w:r w:rsidRPr="00A03930">
        <w:rPr>
          <w:rFonts w:ascii="Times New Roman" w:hAnsi="Times New Roman"/>
        </w:rPr>
        <w:t>) and CSG record-keeping rules</w:t>
      </w:r>
      <w:r w:rsidR="002C09E1">
        <w:rPr>
          <w:rFonts w:ascii="Times New Roman" w:hAnsi="Times New Roman"/>
        </w:rPr>
        <w:t xml:space="preserve"> (RKRs)</w:t>
      </w:r>
      <w:r w:rsidRPr="00A03930">
        <w:rPr>
          <w:rFonts w:ascii="Times New Roman" w:hAnsi="Times New Roman"/>
        </w:rPr>
        <w:t xml:space="preserve"> made by the ACMA. The </w:t>
      </w:r>
      <w:r w:rsidR="002C09E1">
        <w:rPr>
          <w:rFonts w:ascii="Times New Roman" w:hAnsi="Times New Roman"/>
        </w:rPr>
        <w:t xml:space="preserve">CSG </w:t>
      </w:r>
      <w:r w:rsidRPr="00A03930">
        <w:rPr>
          <w:rFonts w:ascii="Times New Roman" w:hAnsi="Times New Roman"/>
        </w:rPr>
        <w:t xml:space="preserve">arrangements complement the Universal Service Obligation (USO), under which Telstra has a statutory and contractual obligation to provide </w:t>
      </w:r>
      <w:r w:rsidR="00FD1993">
        <w:rPr>
          <w:rFonts w:ascii="Times New Roman" w:hAnsi="Times New Roman"/>
        </w:rPr>
        <w:t>standard telephone services (STS)</w:t>
      </w:r>
      <w:r w:rsidRPr="00A03930">
        <w:rPr>
          <w:rFonts w:ascii="Times New Roman" w:hAnsi="Times New Roman"/>
        </w:rPr>
        <w:t xml:space="preserve"> on reasonable request nationally.</w:t>
      </w:r>
    </w:p>
    <w:p w14:paraId="45C155B6" w14:textId="3FC34F58" w:rsidR="00C10C1B" w:rsidRPr="00A03930" w:rsidRDefault="00C10C1B" w:rsidP="00E62DD4">
      <w:pPr>
        <w:rPr>
          <w:rFonts w:ascii="Times New Roman" w:hAnsi="Times New Roman"/>
          <w:u w:val="single"/>
        </w:rPr>
      </w:pPr>
      <w:r w:rsidRPr="00A03930">
        <w:rPr>
          <w:rFonts w:ascii="Times New Roman" w:hAnsi="Times New Roman"/>
        </w:rPr>
        <w:t xml:space="preserve">Details of the Direction are set out in </w:t>
      </w:r>
      <w:r w:rsidRPr="00A03930">
        <w:rPr>
          <w:rFonts w:ascii="Times New Roman" w:hAnsi="Times New Roman"/>
          <w:u w:val="single"/>
        </w:rPr>
        <w:t>Attachment A</w:t>
      </w:r>
      <w:r w:rsidRPr="00180B75">
        <w:rPr>
          <w:rFonts w:ascii="Times New Roman" w:hAnsi="Times New Roman"/>
        </w:rPr>
        <w:t>.</w:t>
      </w:r>
      <w:r w:rsidRPr="00A03930">
        <w:rPr>
          <w:rFonts w:ascii="Times New Roman" w:hAnsi="Times New Roman"/>
          <w:u w:val="single"/>
        </w:rPr>
        <w:t xml:space="preserve"> </w:t>
      </w:r>
    </w:p>
    <w:p w14:paraId="71B651D1" w14:textId="77777777" w:rsidR="00564347" w:rsidRDefault="00564347" w:rsidP="00E62DD4">
      <w:pPr>
        <w:rPr>
          <w:rFonts w:ascii="Times New Roman" w:hAnsi="Times New Roman"/>
          <w:b/>
        </w:rPr>
      </w:pPr>
      <w:bookmarkStart w:id="0" w:name="_GoBack"/>
    </w:p>
    <w:bookmarkEnd w:id="0"/>
    <w:p w14:paraId="5E5900CF" w14:textId="7A6DA8CC" w:rsidR="00127E59" w:rsidRDefault="009C1F0C" w:rsidP="00E62DD4">
      <w:pPr>
        <w:rPr>
          <w:rFonts w:ascii="Times New Roman" w:hAnsi="Times New Roman"/>
          <w:b/>
        </w:rPr>
      </w:pPr>
      <w:r w:rsidRPr="00A03930">
        <w:rPr>
          <w:rFonts w:ascii="Times New Roman" w:hAnsi="Times New Roman"/>
          <w:b/>
        </w:rPr>
        <w:lastRenderedPageBreak/>
        <w:t>Background</w:t>
      </w:r>
    </w:p>
    <w:p w14:paraId="062A4655" w14:textId="77777777" w:rsidR="00F84195" w:rsidRPr="00A03930" w:rsidRDefault="00F84195" w:rsidP="00F84195">
      <w:pPr>
        <w:rPr>
          <w:rFonts w:ascii="Times New Roman" w:hAnsi="Times New Roman"/>
        </w:rPr>
      </w:pPr>
      <w:r w:rsidRPr="00A03930">
        <w:rPr>
          <w:rFonts w:ascii="Times New Roman" w:hAnsi="Times New Roman"/>
        </w:rPr>
        <w:t xml:space="preserve">The CSG </w:t>
      </w:r>
      <w:r>
        <w:rPr>
          <w:rFonts w:ascii="Times New Roman" w:hAnsi="Times New Roman"/>
        </w:rPr>
        <w:t xml:space="preserve">Standard, CSG benchmarks and CSG RKRs </w:t>
      </w:r>
      <w:r w:rsidRPr="00A03930">
        <w:rPr>
          <w:rFonts w:ascii="Times New Roman" w:hAnsi="Times New Roman"/>
        </w:rPr>
        <w:t>are due to sunset on 1 October 2023 in accordance with the</w:t>
      </w:r>
      <w:r w:rsidRPr="00A03930">
        <w:rPr>
          <w:rFonts w:ascii="Times New Roman" w:hAnsi="Times New Roman"/>
          <w:i/>
        </w:rPr>
        <w:t xml:space="preserve"> Legislation Act 2003. </w:t>
      </w:r>
      <w:r w:rsidRPr="00A03930">
        <w:rPr>
          <w:rFonts w:ascii="Times New Roman" w:hAnsi="Times New Roman"/>
        </w:rPr>
        <w:t>Accordingly, they were the subject of a thematic review of the CSG, which had regard to the details of the individual instruments as well as the scheme as a whole. The review considered the future role and utility of the CSG, noting arrangements have not been substantially changed since its introduction in 1997 and there have been significant changes in the industry</w:t>
      </w:r>
      <w:r>
        <w:rPr>
          <w:rFonts w:ascii="Times New Roman" w:hAnsi="Times New Roman"/>
        </w:rPr>
        <w:t xml:space="preserve"> over this time</w:t>
      </w:r>
      <w:r w:rsidRPr="00A03930">
        <w:rPr>
          <w:rFonts w:ascii="Times New Roman" w:hAnsi="Times New Roman"/>
        </w:rPr>
        <w:t xml:space="preserve">. </w:t>
      </w:r>
    </w:p>
    <w:p w14:paraId="1ED8D1FE" w14:textId="5EE3F3CE" w:rsidR="00F84195" w:rsidRPr="00A03930" w:rsidRDefault="00F84195" w:rsidP="00F84195">
      <w:pPr>
        <w:rPr>
          <w:rFonts w:ascii="Times New Roman" w:hAnsi="Times New Roman"/>
        </w:rPr>
      </w:pPr>
      <w:r w:rsidRPr="00A03930">
        <w:rPr>
          <w:rFonts w:ascii="Times New Roman" w:hAnsi="Times New Roman"/>
        </w:rPr>
        <w:t>Notably, the CSG was originally put in place when Telstra operated the network over which voice services were delivered, and also supplied most of these services. However, most CSG services are now supplied over the National Broadband Network (NBN) or wholesale broadband networks operated by other Statutory Infrastructure Providers (SIPs), although Telstra still provides services over its own legacy copper and wireless networks in regional and remote areas outside the NBN fixed line footprint (</w:t>
      </w:r>
      <w:r w:rsidR="00880604">
        <w:rPr>
          <w:rFonts w:ascii="Times New Roman" w:hAnsi="Times New Roman"/>
        </w:rPr>
        <w:t xml:space="preserve">around </w:t>
      </w:r>
      <w:r w:rsidRPr="00A03930">
        <w:rPr>
          <w:rFonts w:ascii="Times New Roman" w:hAnsi="Times New Roman"/>
        </w:rPr>
        <w:t xml:space="preserve">8% of all premises nationally). </w:t>
      </w:r>
    </w:p>
    <w:p w14:paraId="353BC06D" w14:textId="1A0BE659" w:rsidR="00F84195" w:rsidRDefault="00F84195" w:rsidP="00E62DD4">
      <w:pPr>
        <w:rPr>
          <w:rFonts w:ascii="Times New Roman" w:hAnsi="Times New Roman"/>
        </w:rPr>
      </w:pPr>
      <w:r w:rsidRPr="00A03930">
        <w:rPr>
          <w:rFonts w:ascii="Times New Roman" w:hAnsi="Times New Roman"/>
        </w:rPr>
        <w:t>Following th</w:t>
      </w:r>
      <w:r w:rsidR="00880604">
        <w:rPr>
          <w:rFonts w:ascii="Times New Roman" w:hAnsi="Times New Roman"/>
        </w:rPr>
        <w:t>e thematic</w:t>
      </w:r>
      <w:r w:rsidRPr="00A03930">
        <w:rPr>
          <w:rFonts w:ascii="Times New Roman" w:hAnsi="Times New Roman"/>
        </w:rPr>
        <w:t xml:space="preserve"> review, the Minister </w:t>
      </w:r>
      <w:r w:rsidR="00880604">
        <w:rPr>
          <w:rFonts w:ascii="Times New Roman" w:hAnsi="Times New Roman"/>
        </w:rPr>
        <w:t xml:space="preserve">publicly indicated she would </w:t>
      </w:r>
      <w:r w:rsidRPr="00A03930">
        <w:rPr>
          <w:rFonts w:ascii="Times New Roman" w:hAnsi="Times New Roman"/>
        </w:rPr>
        <w:t>direct the ACMA to remake the 2011 CSG Standard for a further three years, with some minor amendments to update outdated terms and remove unnecessary provisions. This will continue protections for consumers, particularly for consumers</w:t>
      </w:r>
      <w:r w:rsidR="00BD2A1E">
        <w:rPr>
          <w:rFonts w:ascii="Times New Roman" w:hAnsi="Times New Roman"/>
        </w:rPr>
        <w:t xml:space="preserve"> of voice services</w:t>
      </w:r>
      <w:r w:rsidRPr="00A03930">
        <w:rPr>
          <w:rFonts w:ascii="Times New Roman" w:hAnsi="Times New Roman"/>
        </w:rPr>
        <w:t xml:space="preserve"> in regional and remote areas that rely on Telstra’s legacy networks. At the same time, the Government will further consider long-term arrangements while complementary protections at the wholesale level are bedded down. </w:t>
      </w:r>
    </w:p>
    <w:p w14:paraId="4295D568" w14:textId="45BEBBF0" w:rsidR="00F84195" w:rsidRPr="00F84195" w:rsidRDefault="00F84195" w:rsidP="00E62DD4">
      <w:pPr>
        <w:rPr>
          <w:rFonts w:ascii="Times New Roman" w:hAnsi="Times New Roman"/>
        </w:rPr>
      </w:pPr>
      <w:r>
        <w:rPr>
          <w:rFonts w:ascii="Times New Roman" w:hAnsi="Times New Roman"/>
        </w:rPr>
        <w:t>To continue existing CSG arrangements, a</w:t>
      </w:r>
      <w:r w:rsidRPr="00A03930">
        <w:rPr>
          <w:rFonts w:ascii="Times New Roman" w:hAnsi="Times New Roman"/>
        </w:rPr>
        <w:t>fter the ACMA makes a new CSG Standard</w:t>
      </w:r>
      <w:r>
        <w:rPr>
          <w:rFonts w:ascii="Times New Roman" w:hAnsi="Times New Roman"/>
        </w:rPr>
        <w:t xml:space="preserve"> </w:t>
      </w:r>
      <w:r w:rsidR="00180B75">
        <w:rPr>
          <w:rFonts w:ascii="Times New Roman" w:hAnsi="Times New Roman"/>
        </w:rPr>
        <w:t xml:space="preserve">in accordance with the terms of this Direction, </w:t>
      </w:r>
      <w:r w:rsidRPr="00A03930">
        <w:rPr>
          <w:rFonts w:ascii="Times New Roman" w:hAnsi="Times New Roman"/>
        </w:rPr>
        <w:t xml:space="preserve">the Minister will </w:t>
      </w:r>
      <w:r>
        <w:rPr>
          <w:rFonts w:ascii="Times New Roman" w:hAnsi="Times New Roman"/>
        </w:rPr>
        <w:t xml:space="preserve">need to consider </w:t>
      </w:r>
      <w:r w:rsidRPr="00A03930">
        <w:rPr>
          <w:rFonts w:ascii="Times New Roman" w:hAnsi="Times New Roman"/>
        </w:rPr>
        <w:t>remak</w:t>
      </w:r>
      <w:r>
        <w:rPr>
          <w:rFonts w:ascii="Times New Roman" w:hAnsi="Times New Roman"/>
        </w:rPr>
        <w:t>ing</w:t>
      </w:r>
      <w:r w:rsidRPr="00A03930">
        <w:rPr>
          <w:rFonts w:ascii="Times New Roman" w:hAnsi="Times New Roman"/>
        </w:rPr>
        <w:t xml:space="preserve"> the </w:t>
      </w:r>
      <w:r w:rsidR="00E33D65">
        <w:rPr>
          <w:rFonts w:ascii="Times New Roman" w:hAnsi="Times New Roman"/>
        </w:rPr>
        <w:t xml:space="preserve">existing </w:t>
      </w:r>
      <w:r w:rsidRPr="00A03930">
        <w:rPr>
          <w:rFonts w:ascii="Times New Roman" w:hAnsi="Times New Roman"/>
        </w:rPr>
        <w:t>CSG benchmarks and</w:t>
      </w:r>
      <w:r w:rsidR="00E9645A">
        <w:rPr>
          <w:rFonts w:ascii="Times New Roman" w:hAnsi="Times New Roman"/>
        </w:rPr>
        <w:t>,</w:t>
      </w:r>
      <w:r w:rsidRPr="00A03930">
        <w:rPr>
          <w:rFonts w:ascii="Times New Roman" w:hAnsi="Times New Roman"/>
        </w:rPr>
        <w:t xml:space="preserve"> </w:t>
      </w:r>
      <w:r>
        <w:rPr>
          <w:rFonts w:ascii="Times New Roman" w:hAnsi="Times New Roman"/>
        </w:rPr>
        <w:t>similarly</w:t>
      </w:r>
      <w:r w:rsidR="00E9645A">
        <w:rPr>
          <w:rFonts w:ascii="Times New Roman" w:hAnsi="Times New Roman"/>
        </w:rPr>
        <w:t>,</w:t>
      </w:r>
      <w:r>
        <w:rPr>
          <w:rFonts w:ascii="Times New Roman" w:hAnsi="Times New Roman"/>
        </w:rPr>
        <w:t xml:space="preserve"> </w:t>
      </w:r>
      <w:r w:rsidRPr="00A03930">
        <w:rPr>
          <w:rFonts w:ascii="Times New Roman" w:hAnsi="Times New Roman"/>
        </w:rPr>
        <w:t xml:space="preserve">the ACMA will </w:t>
      </w:r>
      <w:r>
        <w:rPr>
          <w:rFonts w:ascii="Times New Roman" w:hAnsi="Times New Roman"/>
        </w:rPr>
        <w:t xml:space="preserve">also need to consider </w:t>
      </w:r>
      <w:r w:rsidRPr="00A03930">
        <w:rPr>
          <w:rFonts w:ascii="Times New Roman" w:hAnsi="Times New Roman"/>
        </w:rPr>
        <w:t>remak</w:t>
      </w:r>
      <w:r w:rsidR="00E9645A">
        <w:rPr>
          <w:rFonts w:ascii="Times New Roman" w:hAnsi="Times New Roman"/>
        </w:rPr>
        <w:t>ing</w:t>
      </w:r>
      <w:r w:rsidRPr="00A03930">
        <w:rPr>
          <w:rFonts w:ascii="Times New Roman" w:hAnsi="Times New Roman"/>
        </w:rPr>
        <w:t xml:space="preserve"> </w:t>
      </w:r>
      <w:r w:rsidR="00E33D65">
        <w:rPr>
          <w:rFonts w:ascii="Times New Roman" w:hAnsi="Times New Roman"/>
        </w:rPr>
        <w:t xml:space="preserve">existing </w:t>
      </w:r>
      <w:r w:rsidRPr="00A03930">
        <w:rPr>
          <w:rFonts w:ascii="Times New Roman" w:hAnsi="Times New Roman"/>
        </w:rPr>
        <w:t xml:space="preserve">CSG record-keeping rules. </w:t>
      </w:r>
    </w:p>
    <w:p w14:paraId="4892D072" w14:textId="77777777" w:rsidR="00E62DD4" w:rsidRPr="00A03930" w:rsidRDefault="00E62DD4" w:rsidP="00E62DD4">
      <w:pPr>
        <w:rPr>
          <w:rFonts w:ascii="Times New Roman" w:hAnsi="Times New Roman"/>
          <w:b/>
        </w:rPr>
      </w:pPr>
      <w:r w:rsidRPr="00A03930">
        <w:rPr>
          <w:rFonts w:ascii="Times New Roman" w:hAnsi="Times New Roman"/>
          <w:b/>
        </w:rPr>
        <w:t>Consultation</w:t>
      </w:r>
    </w:p>
    <w:p w14:paraId="60C82673" w14:textId="5CAB7BC3" w:rsidR="00B51895" w:rsidRPr="00A03930" w:rsidRDefault="009C1F0C" w:rsidP="00E62DD4">
      <w:pPr>
        <w:rPr>
          <w:rFonts w:ascii="Times New Roman" w:hAnsi="Times New Roman"/>
        </w:rPr>
      </w:pPr>
      <w:r w:rsidRPr="00A03930">
        <w:rPr>
          <w:rFonts w:ascii="Times New Roman" w:hAnsi="Times New Roman"/>
        </w:rPr>
        <w:t xml:space="preserve">The Department of Infrastructure, Transport, Regional Development, Communications and the Arts (the Department) undertook public consultation on the thematic review of the CSG from 17 February to 27 March 2023. The Department received 14 submissions, including from industry, government, consumer groups and members of the public. </w:t>
      </w:r>
      <w:r w:rsidR="00B51895" w:rsidRPr="00A03930">
        <w:rPr>
          <w:rFonts w:ascii="Times New Roman" w:hAnsi="Times New Roman"/>
        </w:rPr>
        <w:t xml:space="preserve">Submissions set out the varying perspectives of stakeholders on the CSG but agreed that timeframes for connections, repairs and appointments remain important for consumers. This is particularly the case for consumers </w:t>
      </w:r>
      <w:r w:rsidR="002C09E1">
        <w:rPr>
          <w:rFonts w:ascii="Times New Roman" w:hAnsi="Times New Roman"/>
        </w:rPr>
        <w:t xml:space="preserve">of voice services </w:t>
      </w:r>
      <w:r w:rsidR="00B51895" w:rsidRPr="00A03930">
        <w:rPr>
          <w:rFonts w:ascii="Times New Roman" w:hAnsi="Times New Roman"/>
        </w:rPr>
        <w:t xml:space="preserve">in regional and remote areas outside the NBN fixed line footprint that rely on Telstra’s legacy copper and wireless networks. </w:t>
      </w:r>
    </w:p>
    <w:p w14:paraId="1A86460E" w14:textId="483F6D5E" w:rsidR="00B51895" w:rsidRDefault="00B51895" w:rsidP="00E62DD4">
      <w:pPr>
        <w:rPr>
          <w:rFonts w:ascii="Times New Roman" w:hAnsi="Times New Roman"/>
        </w:rPr>
      </w:pPr>
      <w:r w:rsidRPr="00A03930">
        <w:rPr>
          <w:rFonts w:ascii="Times New Roman" w:hAnsi="Times New Roman"/>
        </w:rPr>
        <w:t xml:space="preserve">Submissions also placed a strong emphasis on dealing with these matters effectively at the network or wholesale level, although there were mixed views about the long-term need for retail CSG arrangements in future. </w:t>
      </w:r>
    </w:p>
    <w:p w14:paraId="7415102E" w14:textId="7E9FD1DE" w:rsidR="003307A8" w:rsidRDefault="00E33D65" w:rsidP="00E62DD4">
      <w:pPr>
        <w:rPr>
          <w:rFonts w:ascii="Times New Roman" w:hAnsi="Times New Roman"/>
        </w:rPr>
      </w:pPr>
      <w:r w:rsidRPr="00180B75">
        <w:rPr>
          <w:rFonts w:ascii="Times New Roman" w:hAnsi="Times New Roman"/>
        </w:rPr>
        <w:t xml:space="preserve">ACMA views were sought on the detail of the </w:t>
      </w:r>
      <w:r w:rsidR="00880604">
        <w:rPr>
          <w:rFonts w:ascii="Times New Roman" w:hAnsi="Times New Roman"/>
        </w:rPr>
        <w:t>D</w:t>
      </w:r>
      <w:r w:rsidR="00880604" w:rsidRPr="00180B75">
        <w:rPr>
          <w:rFonts w:ascii="Times New Roman" w:hAnsi="Times New Roman"/>
        </w:rPr>
        <w:t>irection</w:t>
      </w:r>
      <w:r w:rsidR="00180B75" w:rsidRPr="00180B75">
        <w:rPr>
          <w:rFonts w:ascii="Times New Roman" w:hAnsi="Times New Roman"/>
        </w:rPr>
        <w:t xml:space="preserve">. </w:t>
      </w:r>
      <w:r w:rsidR="00880604">
        <w:rPr>
          <w:rFonts w:ascii="Times New Roman" w:hAnsi="Times New Roman"/>
        </w:rPr>
        <w:t>In preparing the Direction, the Department sought v</w:t>
      </w:r>
      <w:r w:rsidR="00180B75" w:rsidRPr="00180B75">
        <w:rPr>
          <w:rFonts w:ascii="Times New Roman" w:hAnsi="Times New Roman"/>
        </w:rPr>
        <w:t xml:space="preserve">iews </w:t>
      </w:r>
      <w:r w:rsidR="00880604">
        <w:rPr>
          <w:rFonts w:ascii="Times New Roman" w:hAnsi="Times New Roman"/>
        </w:rPr>
        <w:t xml:space="preserve">on the detail of a draft Direction </w:t>
      </w:r>
      <w:r w:rsidR="00180B75" w:rsidRPr="00180B75">
        <w:rPr>
          <w:rFonts w:ascii="Times New Roman" w:hAnsi="Times New Roman"/>
        </w:rPr>
        <w:t xml:space="preserve">from </w:t>
      </w:r>
      <w:r w:rsidR="00880604">
        <w:rPr>
          <w:rFonts w:ascii="Times New Roman" w:hAnsi="Times New Roman"/>
        </w:rPr>
        <w:t xml:space="preserve">key </w:t>
      </w:r>
      <w:r w:rsidR="00180B75" w:rsidRPr="00180B75">
        <w:rPr>
          <w:rFonts w:ascii="Times New Roman" w:hAnsi="Times New Roman"/>
        </w:rPr>
        <w:t>stakeholders that made submissions to the CSG thematic review.</w:t>
      </w:r>
      <w:r w:rsidR="009F0716">
        <w:rPr>
          <w:rFonts w:ascii="Times New Roman" w:hAnsi="Times New Roman"/>
        </w:rPr>
        <w:t xml:space="preserve"> No </w:t>
      </w:r>
      <w:r w:rsidR="00880604">
        <w:rPr>
          <w:rFonts w:ascii="Times New Roman" w:hAnsi="Times New Roman"/>
        </w:rPr>
        <w:t xml:space="preserve">substantive </w:t>
      </w:r>
      <w:r w:rsidR="003307A8">
        <w:rPr>
          <w:rFonts w:ascii="Times New Roman" w:hAnsi="Times New Roman"/>
        </w:rPr>
        <w:t>concerns</w:t>
      </w:r>
      <w:r w:rsidR="009F0716">
        <w:rPr>
          <w:rFonts w:ascii="Times New Roman" w:hAnsi="Times New Roman"/>
        </w:rPr>
        <w:t xml:space="preserve"> were raised about the </w:t>
      </w:r>
      <w:r w:rsidR="00880604">
        <w:rPr>
          <w:rFonts w:ascii="Times New Roman" w:hAnsi="Times New Roman"/>
        </w:rPr>
        <w:t xml:space="preserve">proposed </w:t>
      </w:r>
      <w:r w:rsidR="009F0716">
        <w:rPr>
          <w:rFonts w:ascii="Times New Roman" w:hAnsi="Times New Roman"/>
        </w:rPr>
        <w:t>detailed drafting of the Direction</w:t>
      </w:r>
      <w:r w:rsidR="003307A8">
        <w:rPr>
          <w:rFonts w:ascii="Times New Roman" w:hAnsi="Times New Roman"/>
        </w:rPr>
        <w:t xml:space="preserve">. </w:t>
      </w:r>
      <w:r w:rsidR="00880604">
        <w:rPr>
          <w:rFonts w:ascii="Times New Roman" w:hAnsi="Times New Roman"/>
        </w:rPr>
        <w:t xml:space="preserve">Some </w:t>
      </w:r>
      <w:r w:rsidR="003307A8">
        <w:rPr>
          <w:rFonts w:ascii="Times New Roman" w:hAnsi="Times New Roman"/>
        </w:rPr>
        <w:t xml:space="preserve">stakeholders that provided comments also reiterated support expressed in their submissions for future reform of CSG arrangements. </w:t>
      </w:r>
    </w:p>
    <w:p w14:paraId="4453779B" w14:textId="3C70AA95" w:rsidR="00E33D65" w:rsidRDefault="00180B75" w:rsidP="00E62DD4">
      <w:pPr>
        <w:rPr>
          <w:rFonts w:ascii="Times New Roman" w:hAnsi="Times New Roman"/>
        </w:rPr>
      </w:pPr>
      <w:r>
        <w:rPr>
          <w:rFonts w:ascii="Times New Roman" w:hAnsi="Times New Roman"/>
        </w:rPr>
        <w:t xml:space="preserve"> </w:t>
      </w:r>
    </w:p>
    <w:p w14:paraId="76629DA6" w14:textId="4046D0A2" w:rsidR="002B62FD" w:rsidRDefault="002B62FD" w:rsidP="00E62DD4">
      <w:pPr>
        <w:rPr>
          <w:rFonts w:ascii="Times New Roman" w:hAnsi="Times New Roman"/>
        </w:rPr>
      </w:pPr>
    </w:p>
    <w:p w14:paraId="4CC2E4C5" w14:textId="77777777" w:rsidR="00E62DD4" w:rsidRPr="00A03930" w:rsidRDefault="00E62DD4" w:rsidP="00E62DD4">
      <w:pPr>
        <w:rPr>
          <w:rFonts w:ascii="Times New Roman" w:hAnsi="Times New Roman"/>
          <w:b/>
        </w:rPr>
      </w:pPr>
      <w:r w:rsidRPr="00A03930">
        <w:rPr>
          <w:rFonts w:ascii="Times New Roman" w:hAnsi="Times New Roman"/>
          <w:b/>
        </w:rPr>
        <w:t>Regulatory Impact Statement</w:t>
      </w:r>
    </w:p>
    <w:p w14:paraId="09ECDD3C" w14:textId="68235FF8" w:rsidR="00BE5786" w:rsidRPr="00A03930" w:rsidRDefault="00BE5786" w:rsidP="00E62DD4">
      <w:pPr>
        <w:rPr>
          <w:rFonts w:ascii="Times New Roman" w:hAnsi="Times New Roman"/>
        </w:rPr>
      </w:pPr>
      <w:r w:rsidRPr="00A03930">
        <w:rPr>
          <w:rFonts w:ascii="Times New Roman" w:hAnsi="Times New Roman"/>
        </w:rPr>
        <w:t xml:space="preserve">The </w:t>
      </w:r>
      <w:r w:rsidR="00534326">
        <w:rPr>
          <w:rFonts w:ascii="Times New Roman" w:hAnsi="Times New Roman"/>
        </w:rPr>
        <w:t>Office of Impact A</w:t>
      </w:r>
      <w:r w:rsidR="00522ED4">
        <w:rPr>
          <w:rFonts w:ascii="Times New Roman" w:hAnsi="Times New Roman"/>
        </w:rPr>
        <w:t>nalysis</w:t>
      </w:r>
      <w:r w:rsidR="00534326">
        <w:rPr>
          <w:rFonts w:ascii="Times New Roman" w:hAnsi="Times New Roman"/>
        </w:rPr>
        <w:t xml:space="preserve"> (</w:t>
      </w:r>
      <w:r w:rsidRPr="00A03930">
        <w:rPr>
          <w:rFonts w:ascii="Times New Roman" w:hAnsi="Times New Roman"/>
        </w:rPr>
        <w:t>OIA</w:t>
      </w:r>
      <w:r w:rsidR="00534326">
        <w:rPr>
          <w:rFonts w:ascii="Times New Roman" w:hAnsi="Times New Roman"/>
        </w:rPr>
        <w:t>)</w:t>
      </w:r>
      <w:r w:rsidRPr="00A03930">
        <w:rPr>
          <w:rFonts w:ascii="Times New Roman" w:hAnsi="Times New Roman"/>
        </w:rPr>
        <w:t xml:space="preserve"> </w:t>
      </w:r>
      <w:r w:rsidR="00534326">
        <w:rPr>
          <w:rFonts w:ascii="Times New Roman" w:hAnsi="Times New Roman"/>
        </w:rPr>
        <w:t xml:space="preserve">has </w:t>
      </w:r>
      <w:r w:rsidRPr="00A03930">
        <w:rPr>
          <w:rFonts w:ascii="Times New Roman" w:hAnsi="Times New Roman"/>
        </w:rPr>
        <w:t xml:space="preserve">assessed the proposal as having a no more than minor regulatory impact and advised no IA was required (OIA reference: 23-04883). </w:t>
      </w:r>
    </w:p>
    <w:p w14:paraId="4D10C8EF" w14:textId="384202CF" w:rsidR="00E62DD4" w:rsidRPr="00A03930" w:rsidRDefault="00E62DD4" w:rsidP="00180B75">
      <w:pPr>
        <w:keepNext/>
        <w:keepLines/>
        <w:rPr>
          <w:rFonts w:ascii="Times New Roman" w:hAnsi="Times New Roman"/>
          <w:b/>
        </w:rPr>
      </w:pPr>
      <w:r w:rsidRPr="00A03930">
        <w:rPr>
          <w:rFonts w:ascii="Times New Roman" w:hAnsi="Times New Roman"/>
          <w:b/>
        </w:rPr>
        <w:t>Statement of compatibility with human rights</w:t>
      </w:r>
    </w:p>
    <w:p w14:paraId="66CD471C" w14:textId="62FFC3AC" w:rsidR="00C00878" w:rsidRPr="00A95064" w:rsidRDefault="00BE5786" w:rsidP="00180B75">
      <w:pPr>
        <w:keepNext/>
        <w:keepLines/>
        <w:rPr>
          <w:rFonts w:ascii="Times New Roman" w:hAnsi="Times New Roman"/>
        </w:rPr>
      </w:pPr>
      <w:r w:rsidRPr="00A03930">
        <w:rPr>
          <w:rFonts w:ascii="Times New Roman" w:hAnsi="Times New Roman"/>
        </w:rPr>
        <w:t xml:space="preserve">A statement of compatibility with human rights for the purposes of Part 3 of the </w:t>
      </w:r>
      <w:r w:rsidRPr="00A03930">
        <w:rPr>
          <w:rFonts w:ascii="Times New Roman" w:hAnsi="Times New Roman"/>
          <w:i/>
        </w:rPr>
        <w:t xml:space="preserve">Human Rights (Parliamentary Scrutiny) Act 2011 </w:t>
      </w:r>
      <w:r w:rsidRPr="00A03930">
        <w:rPr>
          <w:rFonts w:ascii="Times New Roman" w:hAnsi="Times New Roman"/>
        </w:rPr>
        <w:t xml:space="preserve">is set out at </w:t>
      </w:r>
      <w:r w:rsidRPr="00A03930">
        <w:rPr>
          <w:rFonts w:ascii="Times New Roman" w:hAnsi="Times New Roman"/>
          <w:u w:val="single"/>
        </w:rPr>
        <w:t>Attachment B</w:t>
      </w:r>
      <w:r w:rsidRPr="00A95064">
        <w:rPr>
          <w:rFonts w:ascii="Times New Roman" w:hAnsi="Times New Roman"/>
        </w:rPr>
        <w:t xml:space="preserve">. </w:t>
      </w:r>
    </w:p>
    <w:p w14:paraId="1922AE1E" w14:textId="77777777" w:rsidR="00180B75" w:rsidRDefault="00180B75" w:rsidP="00E62DD4">
      <w:pPr>
        <w:ind w:right="91"/>
        <w:jc w:val="right"/>
        <w:rPr>
          <w:rFonts w:ascii="Times New Roman" w:hAnsi="Times New Roman"/>
          <w:b/>
          <w:sz w:val="28"/>
          <w:szCs w:val="28"/>
        </w:rPr>
      </w:pPr>
      <w:r>
        <w:rPr>
          <w:rFonts w:ascii="Times New Roman" w:hAnsi="Times New Roman"/>
          <w:b/>
          <w:sz w:val="28"/>
          <w:szCs w:val="28"/>
        </w:rPr>
        <w:br w:type="page"/>
      </w:r>
    </w:p>
    <w:p w14:paraId="552C7535" w14:textId="3E2B2B23" w:rsidR="00E62DD4" w:rsidRPr="00A03930" w:rsidRDefault="00E62DD4" w:rsidP="00E62DD4">
      <w:pPr>
        <w:ind w:right="91"/>
        <w:jc w:val="right"/>
        <w:rPr>
          <w:rFonts w:ascii="Times New Roman" w:hAnsi="Times New Roman"/>
          <w:b/>
          <w:sz w:val="28"/>
          <w:szCs w:val="28"/>
        </w:rPr>
      </w:pPr>
      <w:r w:rsidRPr="00A03930">
        <w:rPr>
          <w:rFonts w:ascii="Times New Roman" w:hAnsi="Times New Roman"/>
          <w:b/>
          <w:sz w:val="28"/>
          <w:szCs w:val="28"/>
        </w:rPr>
        <w:lastRenderedPageBreak/>
        <w:t>Attachment A</w:t>
      </w:r>
    </w:p>
    <w:p w14:paraId="25994880" w14:textId="77777777" w:rsidR="00E62DD4" w:rsidRPr="00A03930" w:rsidRDefault="00E62DD4" w:rsidP="00E62DD4">
      <w:pPr>
        <w:ind w:right="-711"/>
        <w:rPr>
          <w:rFonts w:ascii="Times New Roman" w:hAnsi="Times New Roman"/>
          <w:b/>
          <w:i/>
          <w:sz w:val="28"/>
          <w:szCs w:val="28"/>
        </w:rPr>
      </w:pPr>
      <w:r w:rsidRPr="00A03930">
        <w:rPr>
          <w:rFonts w:ascii="Times New Roman" w:hAnsi="Times New Roman"/>
          <w:b/>
          <w:sz w:val="28"/>
          <w:szCs w:val="28"/>
        </w:rPr>
        <w:t xml:space="preserve">Details of the </w:t>
      </w:r>
      <w:r w:rsidRPr="00A03930">
        <w:rPr>
          <w:rFonts w:ascii="Times New Roman" w:hAnsi="Times New Roman"/>
          <w:b/>
          <w:i/>
          <w:sz w:val="28"/>
          <w:szCs w:val="28"/>
        </w:rPr>
        <w:t>Telecommunications (Customer Service Guarantee) Direction 2023</w:t>
      </w:r>
    </w:p>
    <w:p w14:paraId="047F0C9A" w14:textId="77777777" w:rsidR="00E62DD4" w:rsidRPr="00A03930" w:rsidRDefault="00E62DD4" w:rsidP="00E62DD4">
      <w:pPr>
        <w:widowControl w:val="0"/>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1 – Name</w:t>
      </w:r>
    </w:p>
    <w:p w14:paraId="191328F8" w14:textId="77777777" w:rsidR="00E62DD4" w:rsidRPr="00A03930" w:rsidRDefault="00E62DD4" w:rsidP="00E62DD4">
      <w:pPr>
        <w:widowControl w:val="0"/>
        <w:ind w:right="91"/>
        <w:rPr>
          <w:rFonts w:ascii="Times New Roman" w:eastAsiaTheme="minorHAnsi" w:hAnsi="Times New Roman"/>
          <w:i/>
          <w:kern w:val="24"/>
          <w:lang w:eastAsia="en-US"/>
        </w:rPr>
      </w:pPr>
      <w:r w:rsidRPr="00A03930">
        <w:rPr>
          <w:rFonts w:ascii="Times New Roman" w:eastAsiaTheme="minorHAnsi" w:hAnsi="Times New Roman"/>
          <w:kern w:val="24"/>
          <w:lang w:eastAsia="en-US"/>
        </w:rPr>
        <w:t xml:space="preserve">Section 1 provides that the name of the Direction is the </w:t>
      </w:r>
      <w:r w:rsidRPr="00A03930">
        <w:rPr>
          <w:rFonts w:ascii="Times New Roman" w:eastAsiaTheme="minorHAnsi" w:hAnsi="Times New Roman"/>
          <w:i/>
          <w:kern w:val="24"/>
          <w:lang w:eastAsia="en-US"/>
        </w:rPr>
        <w:t xml:space="preserve">Telecommunications (Customer Service Guarantee) Direction 2023. </w:t>
      </w:r>
    </w:p>
    <w:p w14:paraId="0F176E57" w14:textId="77777777" w:rsidR="00E62DD4" w:rsidRPr="00A03930" w:rsidRDefault="00E62DD4" w:rsidP="00E62DD4">
      <w:pPr>
        <w:widowControl w:val="0"/>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2 – Commencement</w:t>
      </w:r>
    </w:p>
    <w:p w14:paraId="10F0B495" w14:textId="7000DE3D" w:rsidR="00E62DD4" w:rsidRPr="00A03930" w:rsidRDefault="00E62DD4"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Section 2 provides that the Direction will commence on the day after it is registered on the Federal Register of Legisl</w:t>
      </w:r>
      <w:r w:rsidR="00B712AE">
        <w:rPr>
          <w:rFonts w:ascii="Times New Roman" w:eastAsiaTheme="minorHAnsi" w:hAnsi="Times New Roman"/>
          <w:kern w:val="24"/>
          <w:lang w:eastAsia="en-US"/>
        </w:rPr>
        <w:t>ation</w:t>
      </w:r>
      <w:r w:rsidRPr="00A03930">
        <w:rPr>
          <w:rFonts w:ascii="Times New Roman" w:eastAsiaTheme="minorHAnsi" w:hAnsi="Times New Roman"/>
          <w:kern w:val="24"/>
          <w:lang w:eastAsia="en-US"/>
        </w:rPr>
        <w:t xml:space="preserve">. </w:t>
      </w:r>
    </w:p>
    <w:p w14:paraId="7D4C7BB6" w14:textId="77777777" w:rsidR="00E62DD4" w:rsidRPr="00A03930" w:rsidRDefault="00E62DD4" w:rsidP="00E62DD4">
      <w:pPr>
        <w:widowControl w:val="0"/>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3 – Authority</w:t>
      </w:r>
    </w:p>
    <w:p w14:paraId="7A32EF2C" w14:textId="3025A6B4" w:rsidR="00E62DD4" w:rsidRPr="00A03930" w:rsidRDefault="00E62DD4" w:rsidP="00E62DD4">
      <w:pPr>
        <w:widowControl w:val="0"/>
        <w:ind w:right="91"/>
        <w:rPr>
          <w:rFonts w:ascii="Times New Roman" w:eastAsiaTheme="minorHAnsi" w:hAnsi="Times New Roman"/>
          <w:i/>
          <w:kern w:val="24"/>
          <w:lang w:eastAsia="en-US"/>
        </w:rPr>
      </w:pPr>
      <w:r w:rsidRPr="00A03930">
        <w:rPr>
          <w:rFonts w:ascii="Times New Roman" w:eastAsiaTheme="minorHAnsi" w:hAnsi="Times New Roman"/>
          <w:kern w:val="24"/>
          <w:lang w:eastAsia="en-US"/>
        </w:rPr>
        <w:t xml:space="preserve">Section 3 states that the Direction is made under section 124 of the </w:t>
      </w:r>
      <w:r w:rsidRPr="00A03930">
        <w:rPr>
          <w:rFonts w:ascii="Times New Roman" w:eastAsiaTheme="minorHAnsi" w:hAnsi="Times New Roman"/>
          <w:i/>
          <w:kern w:val="24"/>
          <w:lang w:eastAsia="en-US"/>
        </w:rPr>
        <w:t xml:space="preserve">Telecommunications (Consumer Protection and Service Standards) Act 1999. </w:t>
      </w:r>
    </w:p>
    <w:p w14:paraId="0F0E6725" w14:textId="77777777" w:rsidR="00E62DD4" w:rsidRPr="00A03930" w:rsidRDefault="00E62DD4" w:rsidP="00E62DD4">
      <w:pPr>
        <w:widowControl w:val="0"/>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4 – Definitions</w:t>
      </w:r>
    </w:p>
    <w:p w14:paraId="3697A92B" w14:textId="77777777" w:rsidR="00E62DD4" w:rsidRPr="00A03930" w:rsidRDefault="00E62DD4"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Section 4 sets out definitions for key terms used in the Direction. </w:t>
      </w:r>
    </w:p>
    <w:p w14:paraId="7341AF55" w14:textId="77777777" w:rsidR="00E62DD4" w:rsidRPr="00A03930" w:rsidRDefault="00E62DD4" w:rsidP="00E62DD4">
      <w:pPr>
        <w:widowControl w:val="0"/>
        <w:ind w:right="91"/>
        <w:rPr>
          <w:rFonts w:ascii="Times New Roman" w:eastAsiaTheme="minorHAnsi" w:hAnsi="Times New Roman"/>
          <w:i/>
          <w:kern w:val="24"/>
          <w:lang w:eastAsia="en-US"/>
        </w:rPr>
      </w:pPr>
      <w:r w:rsidRPr="00A03930">
        <w:rPr>
          <w:rFonts w:ascii="Times New Roman" w:eastAsiaTheme="minorHAnsi" w:hAnsi="Times New Roman"/>
          <w:kern w:val="24"/>
          <w:lang w:eastAsia="en-US"/>
        </w:rPr>
        <w:t xml:space="preserve">The term </w:t>
      </w:r>
      <w:r w:rsidRPr="00A03930">
        <w:rPr>
          <w:rFonts w:ascii="Times New Roman" w:eastAsiaTheme="minorHAnsi" w:hAnsi="Times New Roman"/>
          <w:i/>
          <w:kern w:val="24"/>
          <w:lang w:eastAsia="en-US"/>
        </w:rPr>
        <w:t xml:space="preserve">Act </w:t>
      </w:r>
      <w:r w:rsidRPr="00A03930">
        <w:rPr>
          <w:rFonts w:ascii="Times New Roman" w:eastAsiaTheme="minorHAnsi" w:hAnsi="Times New Roman"/>
          <w:kern w:val="24"/>
          <w:lang w:eastAsia="en-US"/>
        </w:rPr>
        <w:t xml:space="preserve">is defined to mean the </w:t>
      </w:r>
      <w:r w:rsidRPr="00A03930">
        <w:rPr>
          <w:rFonts w:ascii="Times New Roman" w:eastAsiaTheme="minorHAnsi" w:hAnsi="Times New Roman"/>
          <w:i/>
          <w:kern w:val="24"/>
          <w:lang w:eastAsia="en-US"/>
        </w:rPr>
        <w:t xml:space="preserve">Telecommunications (Consumer Protection and Service Standards) Act 1999. </w:t>
      </w:r>
    </w:p>
    <w:p w14:paraId="39F0527B" w14:textId="77777777" w:rsidR="00E62DD4" w:rsidRPr="00A03930" w:rsidRDefault="00E62DD4"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The term </w:t>
      </w:r>
      <w:r w:rsidRPr="00A03930">
        <w:rPr>
          <w:rFonts w:ascii="Times New Roman" w:eastAsiaTheme="minorHAnsi" w:hAnsi="Times New Roman"/>
          <w:i/>
          <w:kern w:val="24"/>
          <w:lang w:eastAsia="en-US"/>
        </w:rPr>
        <w:t xml:space="preserve">ACMA </w:t>
      </w:r>
      <w:r w:rsidRPr="00A03930">
        <w:rPr>
          <w:rFonts w:ascii="Times New Roman" w:eastAsiaTheme="minorHAnsi" w:hAnsi="Times New Roman"/>
          <w:kern w:val="24"/>
          <w:lang w:eastAsia="en-US"/>
        </w:rPr>
        <w:t xml:space="preserve">is defined to mean the Australian Communications and Media Authority. </w:t>
      </w:r>
    </w:p>
    <w:p w14:paraId="5399033D" w14:textId="2D36B5B5" w:rsidR="00E62DD4" w:rsidRDefault="00E62DD4"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The term </w:t>
      </w:r>
      <w:r w:rsidRPr="00A03930">
        <w:rPr>
          <w:rFonts w:ascii="Times New Roman" w:eastAsiaTheme="minorHAnsi" w:hAnsi="Times New Roman"/>
          <w:i/>
          <w:kern w:val="24"/>
          <w:lang w:eastAsia="en-US"/>
        </w:rPr>
        <w:t xml:space="preserve">CSG Standard </w:t>
      </w:r>
      <w:r w:rsidRPr="00A03930">
        <w:rPr>
          <w:rFonts w:ascii="Times New Roman" w:eastAsiaTheme="minorHAnsi" w:hAnsi="Times New Roman"/>
          <w:kern w:val="24"/>
          <w:lang w:eastAsia="en-US"/>
        </w:rPr>
        <w:t xml:space="preserve">is defined to mean an instrument made under </w:t>
      </w:r>
      <w:r w:rsidR="002376D2">
        <w:rPr>
          <w:rFonts w:ascii="Times New Roman" w:eastAsiaTheme="minorHAnsi" w:hAnsi="Times New Roman"/>
          <w:kern w:val="24"/>
          <w:lang w:eastAsia="en-US"/>
        </w:rPr>
        <w:t>sections 115, 117 and 120</w:t>
      </w:r>
      <w:r w:rsidRPr="00A03930">
        <w:rPr>
          <w:rFonts w:ascii="Times New Roman" w:eastAsiaTheme="minorHAnsi" w:hAnsi="Times New Roman"/>
          <w:kern w:val="24"/>
          <w:lang w:eastAsia="en-US"/>
        </w:rPr>
        <w:t xml:space="preserve"> of the Act. </w:t>
      </w:r>
    </w:p>
    <w:p w14:paraId="19B01CEF" w14:textId="1F4B85D9" w:rsidR="00DF03A7" w:rsidRDefault="00DF03A7" w:rsidP="00E62DD4">
      <w:pPr>
        <w:widowControl w:val="0"/>
        <w:ind w:right="91"/>
        <w:rPr>
          <w:rFonts w:ascii="Times New Roman" w:eastAsiaTheme="minorHAnsi" w:hAnsi="Times New Roman"/>
          <w:kern w:val="24"/>
          <w:lang w:eastAsia="en-US"/>
        </w:rPr>
      </w:pPr>
      <w:r w:rsidRPr="00B94090">
        <w:rPr>
          <w:rFonts w:ascii="Times New Roman" w:eastAsiaTheme="minorHAnsi" w:hAnsi="Times New Roman"/>
          <w:kern w:val="24"/>
          <w:lang w:eastAsia="en-US"/>
        </w:rPr>
        <w:t xml:space="preserve">The term </w:t>
      </w:r>
      <w:r w:rsidRPr="00B94090">
        <w:rPr>
          <w:rFonts w:ascii="Times New Roman" w:eastAsiaTheme="minorHAnsi" w:hAnsi="Times New Roman"/>
          <w:i/>
          <w:kern w:val="24"/>
          <w:lang w:eastAsia="en-US"/>
        </w:rPr>
        <w:t xml:space="preserve">new CSG Standard </w:t>
      </w:r>
      <w:r w:rsidRPr="00B94090">
        <w:rPr>
          <w:rFonts w:ascii="Times New Roman" w:eastAsiaTheme="minorHAnsi" w:hAnsi="Times New Roman"/>
          <w:kern w:val="24"/>
          <w:lang w:eastAsia="en-US"/>
        </w:rPr>
        <w:t>is defined to mean</w:t>
      </w:r>
      <w:r w:rsidR="002376D2" w:rsidRPr="00B94090">
        <w:rPr>
          <w:rFonts w:ascii="Times New Roman" w:eastAsiaTheme="minorHAnsi" w:hAnsi="Times New Roman"/>
          <w:kern w:val="24"/>
          <w:lang w:eastAsia="en-US"/>
        </w:rPr>
        <w:t xml:space="preserve"> the legislative instrument to be made by the ACMA subject to the direction in section 6.</w:t>
      </w:r>
      <w:r w:rsidR="002376D2">
        <w:rPr>
          <w:rFonts w:ascii="Times New Roman" w:eastAsiaTheme="minorHAnsi" w:hAnsi="Times New Roman"/>
          <w:kern w:val="24"/>
          <w:lang w:eastAsia="en-US"/>
        </w:rPr>
        <w:t xml:space="preserve"> </w:t>
      </w:r>
    </w:p>
    <w:p w14:paraId="1B796BDA" w14:textId="6406F887" w:rsidR="00DF03A7" w:rsidRPr="00DF03A7" w:rsidRDefault="00DF03A7" w:rsidP="00E62DD4">
      <w:pPr>
        <w:widowControl w:val="0"/>
        <w:ind w:right="91"/>
        <w:rPr>
          <w:rFonts w:ascii="Times New Roman" w:eastAsiaTheme="minorHAnsi" w:hAnsi="Times New Roman"/>
          <w:i/>
          <w:kern w:val="24"/>
          <w:lang w:eastAsia="en-US"/>
        </w:rPr>
      </w:pPr>
      <w:r>
        <w:rPr>
          <w:rFonts w:ascii="Times New Roman" w:eastAsiaTheme="minorHAnsi" w:hAnsi="Times New Roman"/>
          <w:kern w:val="24"/>
          <w:lang w:eastAsia="en-US"/>
        </w:rPr>
        <w:t xml:space="preserve">The term </w:t>
      </w:r>
      <w:r>
        <w:rPr>
          <w:rFonts w:ascii="Times New Roman" w:eastAsiaTheme="minorHAnsi" w:hAnsi="Times New Roman"/>
          <w:i/>
          <w:kern w:val="24"/>
          <w:lang w:eastAsia="en-US"/>
        </w:rPr>
        <w:t xml:space="preserve">2011 CSG Amendment Standard </w:t>
      </w:r>
      <w:r>
        <w:rPr>
          <w:rFonts w:ascii="Times New Roman" w:eastAsiaTheme="minorHAnsi" w:hAnsi="Times New Roman"/>
          <w:kern w:val="24"/>
          <w:lang w:eastAsia="en-US"/>
        </w:rPr>
        <w:t xml:space="preserve">is defined to mean the </w:t>
      </w:r>
      <w:r>
        <w:rPr>
          <w:rFonts w:ascii="Times New Roman" w:eastAsiaTheme="minorHAnsi" w:hAnsi="Times New Roman"/>
          <w:i/>
          <w:kern w:val="24"/>
          <w:lang w:eastAsia="en-US"/>
        </w:rPr>
        <w:t xml:space="preserve">Telecommunications (Customer Service Guarantee) Amendment Standard 2011 (No. 1). </w:t>
      </w:r>
    </w:p>
    <w:p w14:paraId="301E0ABC" w14:textId="55313977" w:rsidR="00E62DD4" w:rsidRDefault="00E62DD4" w:rsidP="00E62DD4">
      <w:pPr>
        <w:widowControl w:val="0"/>
        <w:ind w:right="91"/>
        <w:rPr>
          <w:rFonts w:ascii="Times New Roman" w:eastAsiaTheme="minorHAnsi" w:hAnsi="Times New Roman"/>
          <w:i/>
          <w:kern w:val="24"/>
          <w:lang w:eastAsia="en-US"/>
        </w:rPr>
      </w:pPr>
      <w:r w:rsidRPr="00A03930">
        <w:rPr>
          <w:rFonts w:ascii="Times New Roman" w:eastAsiaTheme="minorHAnsi" w:hAnsi="Times New Roman"/>
          <w:kern w:val="24"/>
          <w:lang w:eastAsia="en-US"/>
        </w:rPr>
        <w:t xml:space="preserve">The term </w:t>
      </w:r>
      <w:r w:rsidRPr="00A03930">
        <w:rPr>
          <w:rFonts w:ascii="Times New Roman" w:eastAsiaTheme="minorHAnsi" w:hAnsi="Times New Roman"/>
          <w:i/>
          <w:kern w:val="24"/>
          <w:lang w:eastAsia="en-US"/>
        </w:rPr>
        <w:t xml:space="preserve">2011 CSG Standard </w:t>
      </w:r>
      <w:r w:rsidRPr="00A03930">
        <w:rPr>
          <w:rFonts w:ascii="Times New Roman" w:eastAsiaTheme="minorHAnsi" w:hAnsi="Times New Roman"/>
          <w:kern w:val="24"/>
          <w:lang w:eastAsia="en-US"/>
        </w:rPr>
        <w:t xml:space="preserve">is defined to mean the </w:t>
      </w:r>
      <w:r w:rsidRPr="00A03930">
        <w:rPr>
          <w:rFonts w:ascii="Times New Roman" w:eastAsiaTheme="minorHAnsi" w:hAnsi="Times New Roman"/>
          <w:i/>
          <w:kern w:val="24"/>
          <w:lang w:eastAsia="en-US"/>
        </w:rPr>
        <w:t xml:space="preserve">Telecommunications (Customer Service Guarantee) Standard 2011. </w:t>
      </w:r>
    </w:p>
    <w:p w14:paraId="5C7675AD" w14:textId="768C0B85" w:rsidR="00AA095D" w:rsidRPr="00AA095D" w:rsidRDefault="00AA095D"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The term </w:t>
      </w:r>
      <w:r>
        <w:rPr>
          <w:rFonts w:ascii="Times New Roman" w:eastAsiaTheme="minorHAnsi" w:hAnsi="Times New Roman"/>
          <w:i/>
          <w:kern w:val="24"/>
          <w:lang w:eastAsia="en-US"/>
        </w:rPr>
        <w:t xml:space="preserve">TIO </w:t>
      </w:r>
      <w:r>
        <w:rPr>
          <w:rFonts w:ascii="Times New Roman" w:eastAsiaTheme="minorHAnsi" w:hAnsi="Times New Roman"/>
          <w:kern w:val="24"/>
          <w:lang w:eastAsia="en-US"/>
        </w:rPr>
        <w:t xml:space="preserve">is defined to mean the Telecommunications Industry Ombudsman. </w:t>
      </w:r>
    </w:p>
    <w:p w14:paraId="0B8EA465" w14:textId="19798A53" w:rsidR="00E62DD4" w:rsidRPr="00A03930" w:rsidRDefault="00E62DD4" w:rsidP="003F779B">
      <w:pPr>
        <w:widowControl w:val="0"/>
        <w:tabs>
          <w:tab w:val="left" w:pos="3321"/>
        </w:tabs>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5 – Schedules</w:t>
      </w:r>
      <w:r w:rsidR="003F779B" w:rsidRPr="00A03930">
        <w:rPr>
          <w:rFonts w:ascii="Times New Roman" w:eastAsiaTheme="minorHAnsi" w:hAnsi="Times New Roman"/>
          <w:b/>
          <w:kern w:val="24"/>
          <w:lang w:eastAsia="en-US"/>
        </w:rPr>
        <w:tab/>
      </w:r>
    </w:p>
    <w:p w14:paraId="66BC446D" w14:textId="6D8066DC" w:rsidR="003F779B" w:rsidRPr="00A03930" w:rsidRDefault="003F779B" w:rsidP="003F779B">
      <w:pPr>
        <w:widowControl w:val="0"/>
        <w:tabs>
          <w:tab w:val="left" w:pos="3321"/>
        </w:tabs>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Section 5 provides that </w:t>
      </w:r>
      <w:r w:rsidRPr="00A03930">
        <w:rPr>
          <w:rFonts w:ascii="Times New Roman" w:hAnsi="Times New Roman"/>
        </w:rPr>
        <w:t>each instrument that is specified in a given Schedule to this instrument is amended or repealed as set out in the applicable items in that Schedule, and any other item in a Schedule to this instrument has effect according to its terms.</w:t>
      </w:r>
    </w:p>
    <w:p w14:paraId="7A455EDA" w14:textId="77777777" w:rsidR="00E62DD4" w:rsidRPr="00A03930" w:rsidRDefault="00E62DD4" w:rsidP="00E62DD4">
      <w:pPr>
        <w:widowControl w:val="0"/>
        <w:ind w:right="91"/>
        <w:rPr>
          <w:rFonts w:ascii="Times New Roman" w:eastAsiaTheme="minorHAnsi" w:hAnsi="Times New Roman"/>
          <w:b/>
          <w:kern w:val="24"/>
          <w:lang w:eastAsia="en-US"/>
        </w:rPr>
      </w:pPr>
      <w:r w:rsidRPr="00A03930">
        <w:rPr>
          <w:rFonts w:ascii="Times New Roman" w:eastAsiaTheme="minorHAnsi" w:hAnsi="Times New Roman"/>
          <w:b/>
          <w:kern w:val="24"/>
          <w:lang w:eastAsia="en-US"/>
        </w:rPr>
        <w:t>Section 6 – Direction to make a new CSG Standard</w:t>
      </w:r>
    </w:p>
    <w:p w14:paraId="046619B4" w14:textId="53DA532B" w:rsidR="002446D0"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Subsection 6(1) directs the ACMA to make a new CSG Standard to commence on or before 1 October 2023 in substantially the same terms as the 2011 CSG Standard, subject to the </w:t>
      </w:r>
      <w:r w:rsidRPr="00A03930">
        <w:rPr>
          <w:rFonts w:ascii="Times New Roman" w:eastAsiaTheme="minorHAnsi" w:hAnsi="Times New Roman"/>
          <w:kern w:val="24"/>
          <w:lang w:eastAsia="en-US"/>
        </w:rPr>
        <w:lastRenderedPageBreak/>
        <w:t xml:space="preserve">terms set out in the Direction (subsection 6(2) and Schedule 1). </w:t>
      </w:r>
    </w:p>
    <w:p w14:paraId="5CA50247" w14:textId="6C7F4C2B" w:rsidR="003F779B" w:rsidRPr="002446D0" w:rsidRDefault="002446D0"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For avoidance of doubt, subsection 6(1) specifies that the terms of the 2011 CSG Standard includes all amendments made by the </w:t>
      </w:r>
      <w:r>
        <w:rPr>
          <w:rFonts w:ascii="Times New Roman" w:eastAsiaTheme="minorHAnsi" w:hAnsi="Times New Roman"/>
          <w:i/>
          <w:kern w:val="24"/>
          <w:lang w:eastAsia="en-US"/>
        </w:rPr>
        <w:t xml:space="preserve">Telecommunications (Customer Service Guarantee) Amendment Standard 2011 </w:t>
      </w:r>
      <w:r w:rsidRPr="002446D0">
        <w:rPr>
          <w:rFonts w:ascii="Times New Roman" w:eastAsiaTheme="minorHAnsi" w:hAnsi="Times New Roman"/>
          <w:i/>
          <w:kern w:val="24"/>
          <w:lang w:eastAsia="en-US"/>
        </w:rPr>
        <w:t>(No. 1)</w:t>
      </w:r>
      <w:r>
        <w:rPr>
          <w:rFonts w:ascii="Times New Roman" w:eastAsiaTheme="minorHAnsi" w:hAnsi="Times New Roman"/>
          <w:kern w:val="24"/>
          <w:lang w:eastAsia="en-US"/>
        </w:rPr>
        <w:t xml:space="preserve"> (the 2011 CSG Amendment Standard). The 2011 CSG Amendment Standard was made by the ACMA in 2011 to streamline the waiver requirements in the 2011 CSG Standard and update it to reflect amendments to s</w:t>
      </w:r>
      <w:r w:rsidR="00C30E39">
        <w:rPr>
          <w:rFonts w:ascii="Times New Roman" w:eastAsiaTheme="minorHAnsi" w:hAnsi="Times New Roman"/>
          <w:kern w:val="24"/>
          <w:lang w:eastAsia="en-US"/>
        </w:rPr>
        <w:t>ection</w:t>
      </w:r>
      <w:r w:rsidR="00522ED4">
        <w:rPr>
          <w:rFonts w:ascii="Times New Roman" w:eastAsiaTheme="minorHAnsi" w:hAnsi="Times New Roman"/>
          <w:kern w:val="24"/>
          <w:lang w:eastAsia="en-US"/>
        </w:rPr>
        <w:t xml:space="preserve"> </w:t>
      </w:r>
      <w:r>
        <w:rPr>
          <w:rFonts w:ascii="Times New Roman" w:eastAsiaTheme="minorHAnsi" w:hAnsi="Times New Roman"/>
          <w:kern w:val="24"/>
          <w:lang w:eastAsia="en-US"/>
        </w:rPr>
        <w:t xml:space="preserve">120 of the Act. </w:t>
      </w:r>
    </w:p>
    <w:p w14:paraId="599007BF" w14:textId="6F0F8155" w:rsidR="003F779B" w:rsidRPr="00A03930"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Subsections 6(2) and 6(3) set out the broad terms in which </w:t>
      </w:r>
      <w:r w:rsidR="00522ED4">
        <w:rPr>
          <w:rFonts w:ascii="Times New Roman" w:eastAsiaTheme="minorHAnsi" w:hAnsi="Times New Roman"/>
          <w:kern w:val="24"/>
          <w:lang w:eastAsia="en-US"/>
        </w:rPr>
        <w:t xml:space="preserve">the </w:t>
      </w:r>
      <w:r w:rsidRPr="00A03930">
        <w:rPr>
          <w:rFonts w:ascii="Times New Roman" w:eastAsiaTheme="minorHAnsi" w:hAnsi="Times New Roman"/>
          <w:kern w:val="24"/>
          <w:lang w:eastAsia="en-US"/>
        </w:rPr>
        <w:t xml:space="preserve">ACMA must make the new CSG Standard. </w:t>
      </w:r>
    </w:p>
    <w:p w14:paraId="7B3D66B5" w14:textId="40065546" w:rsidR="003F779B" w:rsidRPr="00A03930"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Paragraph 6(2)(a) provides that the ACMA must ensure the new CSG standard repeals the existing 2011 CSG Standard, in accordance with subsection 12</w:t>
      </w:r>
      <w:r w:rsidR="00C30E39">
        <w:rPr>
          <w:rFonts w:ascii="Times New Roman" w:eastAsiaTheme="minorHAnsi" w:hAnsi="Times New Roman"/>
          <w:kern w:val="24"/>
          <w:lang w:eastAsia="en-US"/>
        </w:rPr>
        <w:t>5</w:t>
      </w:r>
      <w:r w:rsidRPr="00A03930">
        <w:rPr>
          <w:rFonts w:ascii="Times New Roman" w:eastAsiaTheme="minorHAnsi" w:hAnsi="Times New Roman"/>
          <w:kern w:val="24"/>
          <w:lang w:eastAsia="en-US"/>
        </w:rPr>
        <w:t xml:space="preserve">(2) of the Act. </w:t>
      </w:r>
    </w:p>
    <w:p w14:paraId="0C5AA291" w14:textId="450541DC" w:rsidR="003F779B" w:rsidRPr="00A03930"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Paragraph 6(2)(b) provides that the new CSG Standard must cease 36 months (i.e. three years) after commencement. </w:t>
      </w:r>
      <w:r w:rsidR="0047029C" w:rsidRPr="00A03930">
        <w:rPr>
          <w:rFonts w:ascii="Times New Roman" w:eastAsiaTheme="minorHAnsi" w:hAnsi="Times New Roman"/>
          <w:kern w:val="24"/>
          <w:lang w:eastAsia="en-US"/>
        </w:rPr>
        <w:t xml:space="preserve">The standard sunsetting date for legislative instruments is 10 years under the </w:t>
      </w:r>
      <w:r w:rsidR="0047029C" w:rsidRPr="00A03930">
        <w:rPr>
          <w:rFonts w:ascii="Times New Roman" w:eastAsiaTheme="minorHAnsi" w:hAnsi="Times New Roman"/>
          <w:i/>
          <w:kern w:val="24"/>
          <w:lang w:eastAsia="en-US"/>
        </w:rPr>
        <w:t xml:space="preserve">Legislation Act 2003, </w:t>
      </w:r>
      <w:r w:rsidR="0047029C" w:rsidRPr="00A03930">
        <w:rPr>
          <w:rFonts w:ascii="Times New Roman" w:eastAsiaTheme="minorHAnsi" w:hAnsi="Times New Roman"/>
          <w:kern w:val="24"/>
          <w:lang w:eastAsia="en-US"/>
        </w:rPr>
        <w:t xml:space="preserve">as was the case for the CSG instruments made in 2011. However, the Minister has decided to rollover CSG arrangements for a shorter period to provide ongoing protections for consumers while </w:t>
      </w:r>
      <w:r w:rsidR="00A03930" w:rsidRPr="00A03930">
        <w:rPr>
          <w:rFonts w:ascii="Times New Roman" w:eastAsiaTheme="minorHAnsi" w:hAnsi="Times New Roman"/>
          <w:kern w:val="24"/>
          <w:lang w:eastAsia="en-US"/>
        </w:rPr>
        <w:t xml:space="preserve">complementary safeguards at the wholesale level are bedded down and </w:t>
      </w:r>
      <w:r w:rsidR="0047029C" w:rsidRPr="00A03930">
        <w:rPr>
          <w:rFonts w:ascii="Times New Roman" w:eastAsiaTheme="minorHAnsi" w:hAnsi="Times New Roman"/>
          <w:kern w:val="24"/>
          <w:lang w:eastAsia="en-US"/>
        </w:rPr>
        <w:t xml:space="preserve">longer-term reform </w:t>
      </w:r>
      <w:r w:rsidR="00A03930" w:rsidRPr="00A03930">
        <w:rPr>
          <w:rFonts w:ascii="Times New Roman" w:eastAsiaTheme="minorHAnsi" w:hAnsi="Times New Roman"/>
          <w:kern w:val="24"/>
          <w:lang w:eastAsia="en-US"/>
        </w:rPr>
        <w:t xml:space="preserve">is considered in more detail. </w:t>
      </w:r>
    </w:p>
    <w:p w14:paraId="62847323" w14:textId="33C7CB6A" w:rsidR="003F779B"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 xml:space="preserve">Paragraph 6(3)(a) provides that in making the new CSG Standard, the ACMA </w:t>
      </w:r>
      <w:r w:rsidR="00534326">
        <w:rPr>
          <w:rFonts w:ascii="Times New Roman" w:eastAsiaTheme="minorHAnsi" w:hAnsi="Times New Roman"/>
          <w:kern w:val="24"/>
          <w:lang w:eastAsia="en-US"/>
        </w:rPr>
        <w:t>is able to</w:t>
      </w:r>
      <w:r w:rsidR="00534326" w:rsidRPr="00A03930">
        <w:rPr>
          <w:rFonts w:ascii="Times New Roman" w:eastAsiaTheme="minorHAnsi" w:hAnsi="Times New Roman"/>
          <w:kern w:val="24"/>
          <w:lang w:eastAsia="en-US"/>
        </w:rPr>
        <w:t xml:space="preserve"> </w:t>
      </w:r>
      <w:r w:rsidRPr="00A03930">
        <w:rPr>
          <w:rFonts w:ascii="Times New Roman" w:eastAsiaTheme="minorHAnsi" w:hAnsi="Times New Roman"/>
          <w:kern w:val="24"/>
          <w:lang w:eastAsia="en-US"/>
        </w:rPr>
        <w:t xml:space="preserve">correct </w:t>
      </w:r>
      <w:r w:rsidR="00534326">
        <w:rPr>
          <w:rFonts w:ascii="Times New Roman" w:eastAsiaTheme="minorHAnsi" w:hAnsi="Times New Roman"/>
          <w:kern w:val="24"/>
          <w:lang w:eastAsia="en-US"/>
        </w:rPr>
        <w:t xml:space="preserve">any </w:t>
      </w:r>
      <w:r w:rsidRPr="00A03930">
        <w:rPr>
          <w:rFonts w:ascii="Times New Roman" w:eastAsiaTheme="minorHAnsi" w:hAnsi="Times New Roman"/>
          <w:kern w:val="24"/>
          <w:lang w:eastAsia="en-US"/>
        </w:rPr>
        <w:t xml:space="preserve">grammatical, typographical and formatting errors it identifies in the 2011 CSG Standard.  </w:t>
      </w:r>
    </w:p>
    <w:p w14:paraId="12D375F5" w14:textId="234A6A7D" w:rsidR="004A435D" w:rsidRDefault="004A435D"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Paragraph 6(3)(b) provides that the ACMA may insert additional notes to provisions in the new CSG Standard, where it considers reasonable. </w:t>
      </w:r>
    </w:p>
    <w:p w14:paraId="4AA8D57C" w14:textId="59215051" w:rsidR="004A435D" w:rsidRPr="00A03930" w:rsidRDefault="004A435D"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Paragraph 6(3)(c) </w:t>
      </w:r>
      <w:r w:rsidR="00DF03A7">
        <w:rPr>
          <w:rFonts w:ascii="Times New Roman" w:eastAsiaTheme="minorHAnsi" w:hAnsi="Times New Roman"/>
          <w:kern w:val="24"/>
          <w:lang w:eastAsia="en-US"/>
        </w:rPr>
        <w:t>provides that the ACMA may make any formatting changes that it considers reasonable</w:t>
      </w:r>
      <w:r w:rsidR="002376D2">
        <w:rPr>
          <w:rFonts w:ascii="Times New Roman" w:eastAsiaTheme="minorHAnsi" w:hAnsi="Times New Roman"/>
          <w:kern w:val="24"/>
          <w:lang w:eastAsia="en-US"/>
        </w:rPr>
        <w:t xml:space="preserve"> when making the new CSG Standard</w:t>
      </w:r>
      <w:r w:rsidR="00DF03A7">
        <w:rPr>
          <w:rFonts w:ascii="Times New Roman" w:eastAsiaTheme="minorHAnsi" w:hAnsi="Times New Roman"/>
          <w:kern w:val="24"/>
          <w:lang w:eastAsia="en-US"/>
        </w:rPr>
        <w:t xml:space="preserve">. Whereas paragraph 6(3)(a) allows </w:t>
      </w:r>
      <w:r w:rsidR="00522ED4">
        <w:rPr>
          <w:rFonts w:ascii="Times New Roman" w:eastAsiaTheme="minorHAnsi" w:hAnsi="Times New Roman"/>
          <w:kern w:val="24"/>
          <w:lang w:eastAsia="en-US"/>
        </w:rPr>
        <w:t xml:space="preserve">the </w:t>
      </w:r>
      <w:r w:rsidR="00DF03A7">
        <w:rPr>
          <w:rFonts w:ascii="Times New Roman" w:eastAsiaTheme="minorHAnsi" w:hAnsi="Times New Roman"/>
          <w:kern w:val="24"/>
          <w:lang w:eastAsia="en-US"/>
        </w:rPr>
        <w:t>ACMA to correct formatting errors</w:t>
      </w:r>
      <w:r w:rsidR="00C30E39">
        <w:rPr>
          <w:rFonts w:ascii="Times New Roman" w:eastAsiaTheme="minorHAnsi" w:hAnsi="Times New Roman"/>
          <w:kern w:val="24"/>
          <w:lang w:eastAsia="en-US"/>
        </w:rPr>
        <w:t xml:space="preserve"> that </w:t>
      </w:r>
      <w:r w:rsidR="00522ED4">
        <w:rPr>
          <w:rFonts w:ascii="Times New Roman" w:eastAsiaTheme="minorHAnsi" w:hAnsi="Times New Roman"/>
          <w:kern w:val="24"/>
          <w:lang w:eastAsia="en-US"/>
        </w:rPr>
        <w:t>may be</w:t>
      </w:r>
      <w:r w:rsidR="00C30E39">
        <w:rPr>
          <w:rFonts w:ascii="Times New Roman" w:eastAsiaTheme="minorHAnsi" w:hAnsi="Times New Roman"/>
          <w:kern w:val="24"/>
          <w:lang w:eastAsia="en-US"/>
        </w:rPr>
        <w:t xml:space="preserve"> present in the 2011 CSG Standard</w:t>
      </w:r>
      <w:r w:rsidR="00DF03A7">
        <w:rPr>
          <w:rFonts w:ascii="Times New Roman" w:eastAsiaTheme="minorHAnsi" w:hAnsi="Times New Roman"/>
          <w:kern w:val="24"/>
          <w:lang w:eastAsia="en-US"/>
        </w:rPr>
        <w:t xml:space="preserve">, this </w:t>
      </w:r>
      <w:r w:rsidR="00923860">
        <w:rPr>
          <w:rFonts w:ascii="Times New Roman" w:eastAsiaTheme="minorHAnsi" w:hAnsi="Times New Roman"/>
          <w:kern w:val="24"/>
          <w:lang w:eastAsia="en-US"/>
        </w:rPr>
        <w:t xml:space="preserve">provision </w:t>
      </w:r>
      <w:r w:rsidR="00DF03A7">
        <w:rPr>
          <w:rFonts w:ascii="Times New Roman" w:eastAsiaTheme="minorHAnsi" w:hAnsi="Times New Roman"/>
          <w:kern w:val="24"/>
          <w:lang w:eastAsia="en-US"/>
        </w:rPr>
        <w:t xml:space="preserve">is intended to allow </w:t>
      </w:r>
      <w:r w:rsidR="00522ED4">
        <w:rPr>
          <w:rFonts w:ascii="Times New Roman" w:eastAsiaTheme="minorHAnsi" w:hAnsi="Times New Roman"/>
          <w:kern w:val="24"/>
          <w:lang w:eastAsia="en-US"/>
        </w:rPr>
        <w:t xml:space="preserve">the </w:t>
      </w:r>
      <w:r w:rsidR="00DF03A7">
        <w:rPr>
          <w:rFonts w:ascii="Times New Roman" w:eastAsiaTheme="minorHAnsi" w:hAnsi="Times New Roman"/>
          <w:kern w:val="24"/>
          <w:lang w:eastAsia="en-US"/>
        </w:rPr>
        <w:t xml:space="preserve">ACMA to address any formatting issues that may be caused as a result of making a new CSG Standard by the terms of this Direction, such as </w:t>
      </w:r>
      <w:r w:rsidR="00C30E39">
        <w:rPr>
          <w:rFonts w:ascii="Times New Roman" w:eastAsiaTheme="minorHAnsi" w:hAnsi="Times New Roman"/>
          <w:kern w:val="24"/>
          <w:lang w:eastAsia="en-US"/>
        </w:rPr>
        <w:t xml:space="preserve">the </w:t>
      </w:r>
      <w:r w:rsidR="00E33D65">
        <w:rPr>
          <w:rFonts w:ascii="Times New Roman" w:eastAsiaTheme="minorHAnsi" w:hAnsi="Times New Roman"/>
          <w:kern w:val="24"/>
          <w:lang w:eastAsia="en-US"/>
        </w:rPr>
        <w:t>re</w:t>
      </w:r>
      <w:r w:rsidR="00DF03A7">
        <w:rPr>
          <w:rFonts w:ascii="Times New Roman" w:eastAsiaTheme="minorHAnsi" w:hAnsi="Times New Roman"/>
          <w:kern w:val="24"/>
          <w:lang w:eastAsia="en-US"/>
        </w:rPr>
        <w:t xml:space="preserve">numbering of provisions due to the removal of specific provisions.     </w:t>
      </w:r>
    </w:p>
    <w:p w14:paraId="2DF87A67" w14:textId="498E29D1" w:rsidR="003F779B" w:rsidRPr="00A03930" w:rsidRDefault="003F779B" w:rsidP="00E62DD4">
      <w:pPr>
        <w:widowControl w:val="0"/>
        <w:ind w:right="91"/>
        <w:rPr>
          <w:rFonts w:ascii="Times New Roman" w:eastAsiaTheme="minorHAnsi" w:hAnsi="Times New Roman"/>
          <w:kern w:val="24"/>
          <w:lang w:eastAsia="en-US"/>
        </w:rPr>
      </w:pPr>
      <w:r w:rsidRPr="00A03930">
        <w:rPr>
          <w:rFonts w:ascii="Times New Roman" w:eastAsiaTheme="minorHAnsi" w:hAnsi="Times New Roman"/>
          <w:kern w:val="24"/>
          <w:lang w:eastAsia="en-US"/>
        </w:rPr>
        <w:t>Paragraph 6(3)(</w:t>
      </w:r>
      <w:r w:rsidR="004A435D">
        <w:rPr>
          <w:rFonts w:ascii="Times New Roman" w:eastAsiaTheme="minorHAnsi" w:hAnsi="Times New Roman"/>
          <w:kern w:val="24"/>
          <w:lang w:eastAsia="en-US"/>
        </w:rPr>
        <w:t>d</w:t>
      </w:r>
      <w:r w:rsidRPr="00A03930">
        <w:rPr>
          <w:rFonts w:ascii="Times New Roman" w:eastAsiaTheme="minorHAnsi" w:hAnsi="Times New Roman"/>
          <w:kern w:val="24"/>
          <w:lang w:eastAsia="en-US"/>
        </w:rPr>
        <w:t xml:space="preserve">) provides that the ACMA must also include any transitional matters which it considers reasonable, including but not limited to accommodating </w:t>
      </w:r>
      <w:r w:rsidR="00C00878" w:rsidRPr="00A03930">
        <w:rPr>
          <w:rFonts w:ascii="Times New Roman" w:eastAsiaTheme="minorHAnsi" w:hAnsi="Times New Roman"/>
          <w:kern w:val="24"/>
          <w:lang w:eastAsia="en-US"/>
        </w:rPr>
        <w:t xml:space="preserve">for </w:t>
      </w:r>
      <w:r w:rsidRPr="00A03930">
        <w:rPr>
          <w:rFonts w:ascii="Times New Roman" w:eastAsiaTheme="minorHAnsi" w:hAnsi="Times New Roman"/>
          <w:kern w:val="24"/>
          <w:lang w:eastAsia="en-US"/>
        </w:rPr>
        <w:t>the repeal of the 2011 CSG Standard</w:t>
      </w:r>
      <w:r w:rsidR="004A435D">
        <w:rPr>
          <w:rFonts w:ascii="Times New Roman" w:eastAsiaTheme="minorHAnsi" w:hAnsi="Times New Roman"/>
          <w:kern w:val="24"/>
          <w:lang w:eastAsia="en-US"/>
        </w:rPr>
        <w:t xml:space="preserve"> and the 2011 CSG Amendment Standard</w:t>
      </w:r>
      <w:r w:rsidRPr="00A03930">
        <w:rPr>
          <w:rFonts w:ascii="Times New Roman" w:eastAsiaTheme="minorHAnsi" w:hAnsi="Times New Roman"/>
          <w:kern w:val="24"/>
          <w:lang w:eastAsia="en-US"/>
        </w:rPr>
        <w:t>.</w:t>
      </w:r>
      <w:r w:rsidR="004A435D">
        <w:rPr>
          <w:rFonts w:ascii="Times New Roman" w:eastAsiaTheme="minorHAnsi" w:hAnsi="Times New Roman"/>
          <w:kern w:val="24"/>
          <w:lang w:eastAsia="en-US"/>
        </w:rPr>
        <w:t xml:space="preserve"> </w:t>
      </w:r>
      <w:r w:rsidR="002376D2">
        <w:rPr>
          <w:rFonts w:ascii="Times New Roman" w:eastAsiaTheme="minorHAnsi" w:hAnsi="Times New Roman"/>
          <w:kern w:val="24"/>
          <w:lang w:eastAsia="en-US"/>
        </w:rPr>
        <w:t xml:space="preserve">Schedule 1 of the Direction also includes specific directions to </w:t>
      </w:r>
      <w:r w:rsidR="00522ED4">
        <w:rPr>
          <w:rFonts w:ascii="Times New Roman" w:eastAsiaTheme="minorHAnsi" w:hAnsi="Times New Roman"/>
          <w:kern w:val="24"/>
          <w:lang w:eastAsia="en-US"/>
        </w:rPr>
        <w:t xml:space="preserve">the </w:t>
      </w:r>
      <w:r w:rsidR="002376D2">
        <w:rPr>
          <w:rFonts w:ascii="Times New Roman" w:eastAsiaTheme="minorHAnsi" w:hAnsi="Times New Roman"/>
          <w:kern w:val="24"/>
          <w:lang w:eastAsia="en-US"/>
        </w:rPr>
        <w:t xml:space="preserve">ACMA to address transitional matters, </w:t>
      </w:r>
      <w:r w:rsidR="00923860">
        <w:rPr>
          <w:rFonts w:ascii="Times New Roman" w:eastAsiaTheme="minorHAnsi" w:hAnsi="Times New Roman"/>
          <w:kern w:val="24"/>
          <w:lang w:eastAsia="en-US"/>
        </w:rPr>
        <w:t>which are</w:t>
      </w:r>
      <w:r w:rsidR="002376D2">
        <w:rPr>
          <w:rFonts w:ascii="Times New Roman" w:eastAsiaTheme="minorHAnsi" w:hAnsi="Times New Roman"/>
          <w:kern w:val="24"/>
          <w:lang w:eastAsia="en-US"/>
        </w:rPr>
        <w:t xml:space="preserve"> detailed further below. </w:t>
      </w:r>
    </w:p>
    <w:p w14:paraId="39863117" w14:textId="3AC5D9BB" w:rsidR="00D07509" w:rsidRPr="00A03930" w:rsidRDefault="00E62DD4" w:rsidP="00E62DD4">
      <w:pPr>
        <w:widowControl w:val="0"/>
        <w:ind w:right="91"/>
        <w:rPr>
          <w:rFonts w:ascii="Times New Roman" w:eastAsiaTheme="minorHAnsi" w:hAnsi="Times New Roman"/>
          <w:b/>
          <w:kern w:val="24"/>
          <w:sz w:val="28"/>
          <w:szCs w:val="28"/>
          <w:lang w:eastAsia="en-US"/>
        </w:rPr>
      </w:pPr>
      <w:r w:rsidRPr="00A03930">
        <w:rPr>
          <w:rFonts w:ascii="Times New Roman" w:eastAsiaTheme="minorHAnsi" w:hAnsi="Times New Roman"/>
          <w:b/>
          <w:kern w:val="24"/>
          <w:sz w:val="28"/>
          <w:szCs w:val="28"/>
          <w:lang w:eastAsia="en-US"/>
        </w:rPr>
        <w:t>Schedule 1 – Terms of new CSG Standard</w:t>
      </w:r>
    </w:p>
    <w:p w14:paraId="77E12E0F" w14:textId="533EAD21" w:rsidR="00F809D2" w:rsidRPr="00F809D2" w:rsidRDefault="00F809D2"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Schedule 1 sets out a number of specific directions to </w:t>
      </w:r>
      <w:r w:rsidR="00522ED4">
        <w:rPr>
          <w:rFonts w:ascii="Times New Roman" w:eastAsiaTheme="minorHAnsi" w:hAnsi="Times New Roman"/>
          <w:kern w:val="24"/>
          <w:lang w:eastAsia="en-US"/>
        </w:rPr>
        <w:t xml:space="preserve">the </w:t>
      </w:r>
      <w:r>
        <w:rPr>
          <w:rFonts w:ascii="Times New Roman" w:eastAsiaTheme="minorHAnsi" w:hAnsi="Times New Roman"/>
          <w:kern w:val="24"/>
          <w:lang w:eastAsia="en-US"/>
        </w:rPr>
        <w:t>ACMA to make amendments to certain provisions of the 2011 CSG Standard when making the new CSG Standard. These directions are set out in a table with 2</w:t>
      </w:r>
      <w:r w:rsidR="00926E96">
        <w:rPr>
          <w:rFonts w:ascii="Times New Roman" w:eastAsiaTheme="minorHAnsi" w:hAnsi="Times New Roman"/>
          <w:kern w:val="24"/>
          <w:lang w:eastAsia="en-US"/>
        </w:rPr>
        <w:t>3</w:t>
      </w:r>
      <w:r>
        <w:rPr>
          <w:rFonts w:ascii="Times New Roman" w:eastAsiaTheme="minorHAnsi" w:hAnsi="Times New Roman"/>
          <w:kern w:val="24"/>
          <w:lang w:eastAsia="en-US"/>
        </w:rPr>
        <w:t xml:space="preserve"> items, which are detailed below. </w:t>
      </w:r>
      <w:r w:rsidR="00923860">
        <w:rPr>
          <w:rFonts w:ascii="Times New Roman" w:eastAsiaTheme="minorHAnsi" w:hAnsi="Times New Roman"/>
          <w:kern w:val="24"/>
          <w:lang w:eastAsia="en-US"/>
        </w:rPr>
        <w:t>The Direction clarifies that n</w:t>
      </w:r>
      <w:r>
        <w:rPr>
          <w:rFonts w:ascii="Times New Roman" w:eastAsiaTheme="minorHAnsi" w:hAnsi="Times New Roman"/>
          <w:kern w:val="24"/>
          <w:lang w:eastAsia="en-US"/>
        </w:rPr>
        <w:t xml:space="preserve">one of the </w:t>
      </w:r>
      <w:r w:rsidR="00923860">
        <w:rPr>
          <w:rFonts w:ascii="Times New Roman" w:eastAsiaTheme="minorHAnsi" w:hAnsi="Times New Roman"/>
          <w:kern w:val="24"/>
          <w:lang w:eastAsia="en-US"/>
        </w:rPr>
        <w:t xml:space="preserve">specific </w:t>
      </w:r>
      <w:r>
        <w:rPr>
          <w:rFonts w:ascii="Times New Roman" w:eastAsiaTheme="minorHAnsi" w:hAnsi="Times New Roman"/>
          <w:kern w:val="24"/>
          <w:lang w:eastAsia="en-US"/>
        </w:rPr>
        <w:t xml:space="preserve">directions limit ACMA’s ability to make other minor changes </w:t>
      </w:r>
      <w:r w:rsidR="00923860">
        <w:rPr>
          <w:rFonts w:ascii="Times New Roman" w:eastAsiaTheme="minorHAnsi" w:hAnsi="Times New Roman"/>
          <w:kern w:val="24"/>
          <w:lang w:eastAsia="en-US"/>
        </w:rPr>
        <w:t>of the types specified in</w:t>
      </w:r>
      <w:r>
        <w:rPr>
          <w:rFonts w:ascii="Times New Roman" w:eastAsiaTheme="minorHAnsi" w:hAnsi="Times New Roman"/>
          <w:kern w:val="24"/>
          <w:lang w:eastAsia="en-US"/>
        </w:rPr>
        <w:t xml:space="preserve"> subsection 6(3) of the Direction. </w:t>
      </w:r>
    </w:p>
    <w:p w14:paraId="2FC31E94" w14:textId="72A7D591" w:rsidR="002446D0" w:rsidRDefault="002446D0" w:rsidP="00926E96">
      <w:pPr>
        <w:widowControl w:val="0"/>
        <w:ind w:right="91"/>
        <w:rPr>
          <w:rFonts w:ascii="Times New Roman" w:hAnsi="Times New Roman"/>
        </w:rPr>
      </w:pPr>
      <w:r>
        <w:rPr>
          <w:rFonts w:ascii="Times New Roman" w:eastAsiaTheme="minorHAnsi" w:hAnsi="Times New Roman"/>
          <w:kern w:val="24"/>
          <w:lang w:eastAsia="en-US"/>
        </w:rPr>
        <w:t>Item 1</w:t>
      </w:r>
      <w:r w:rsidR="00F809D2">
        <w:rPr>
          <w:rFonts w:ascii="Times New Roman" w:eastAsiaTheme="minorHAnsi" w:hAnsi="Times New Roman"/>
          <w:kern w:val="24"/>
          <w:lang w:eastAsia="en-US"/>
        </w:rPr>
        <w:t xml:space="preserve"> </w:t>
      </w:r>
      <w:r w:rsidRPr="00A03930">
        <w:rPr>
          <w:rFonts w:ascii="Times New Roman" w:eastAsiaTheme="minorHAnsi" w:hAnsi="Times New Roman"/>
          <w:kern w:val="24"/>
          <w:lang w:eastAsia="en-US"/>
        </w:rPr>
        <w:t xml:space="preserve">directs the ACMA to </w:t>
      </w:r>
      <w:r>
        <w:rPr>
          <w:rFonts w:ascii="Times New Roman" w:hAnsi="Times New Roman"/>
        </w:rPr>
        <w:t>update</w:t>
      </w:r>
      <w:r w:rsidRPr="00A03930">
        <w:rPr>
          <w:rFonts w:ascii="Times New Roman" w:hAnsi="Times New Roman"/>
        </w:rPr>
        <w:t xml:space="preserve"> </w:t>
      </w:r>
      <w:r>
        <w:rPr>
          <w:rFonts w:ascii="Times New Roman" w:hAnsi="Times New Roman"/>
        </w:rPr>
        <w:t xml:space="preserve">some existing </w:t>
      </w:r>
      <w:r w:rsidRPr="00A03930">
        <w:rPr>
          <w:rFonts w:ascii="Times New Roman" w:hAnsi="Times New Roman"/>
        </w:rPr>
        <w:t>references</w:t>
      </w:r>
      <w:r>
        <w:rPr>
          <w:rFonts w:ascii="Times New Roman" w:hAnsi="Times New Roman"/>
        </w:rPr>
        <w:t xml:space="preserve"> in section 2 </w:t>
      </w:r>
      <w:r w:rsidR="00522ED4">
        <w:rPr>
          <w:rFonts w:ascii="Times New Roman" w:hAnsi="Times New Roman"/>
        </w:rPr>
        <w:t xml:space="preserve">of </w:t>
      </w:r>
      <w:r w:rsidR="00F809D2">
        <w:rPr>
          <w:rFonts w:ascii="Times New Roman" w:hAnsi="Times New Roman"/>
        </w:rPr>
        <w:t xml:space="preserve">the 2011 CSG </w:t>
      </w:r>
      <w:r w:rsidR="00F809D2">
        <w:rPr>
          <w:rFonts w:ascii="Times New Roman" w:hAnsi="Times New Roman"/>
        </w:rPr>
        <w:lastRenderedPageBreak/>
        <w:t>Standard</w:t>
      </w:r>
      <w:r>
        <w:rPr>
          <w:rFonts w:ascii="Times New Roman" w:hAnsi="Times New Roman"/>
        </w:rPr>
        <w:t xml:space="preserve">. </w:t>
      </w:r>
      <w:r w:rsidR="00926E96">
        <w:rPr>
          <w:rFonts w:ascii="Times New Roman" w:hAnsi="Times New Roman"/>
        </w:rPr>
        <w:t xml:space="preserve">Items 1(a) and (b) require </w:t>
      </w:r>
      <w:r>
        <w:rPr>
          <w:rFonts w:ascii="Times New Roman" w:hAnsi="Times New Roman"/>
        </w:rPr>
        <w:t xml:space="preserve">ACMA to replace references </w:t>
      </w:r>
      <w:r w:rsidRPr="00A03930">
        <w:rPr>
          <w:rFonts w:ascii="Times New Roman" w:hAnsi="Times New Roman"/>
        </w:rPr>
        <w:t xml:space="preserve">to the “Federal Register of Legislative Instruments” </w:t>
      </w:r>
      <w:r>
        <w:rPr>
          <w:rFonts w:ascii="Times New Roman" w:hAnsi="Times New Roman"/>
        </w:rPr>
        <w:t>with references to the</w:t>
      </w:r>
      <w:r w:rsidRPr="00A03930">
        <w:rPr>
          <w:rFonts w:ascii="Times New Roman" w:hAnsi="Times New Roman"/>
        </w:rPr>
        <w:t xml:space="preserve"> “Federal Register of Legislation”</w:t>
      </w:r>
      <w:r>
        <w:rPr>
          <w:rFonts w:ascii="Times New Roman" w:hAnsi="Times New Roman"/>
        </w:rPr>
        <w:t>, and replace all</w:t>
      </w:r>
      <w:r w:rsidRPr="00A03930">
        <w:rPr>
          <w:rFonts w:ascii="Times New Roman" w:hAnsi="Times New Roman"/>
        </w:rPr>
        <w:t xml:space="preserve"> references to the “</w:t>
      </w:r>
      <w:r w:rsidRPr="001A52C1">
        <w:rPr>
          <w:rFonts w:ascii="Times New Roman" w:hAnsi="Times New Roman"/>
        </w:rPr>
        <w:t>Legislative Instruments Act 2003</w:t>
      </w:r>
      <w:r w:rsidRPr="00A03930">
        <w:rPr>
          <w:rFonts w:ascii="Times New Roman" w:hAnsi="Times New Roman"/>
          <w:i/>
        </w:rPr>
        <w:t>”</w:t>
      </w:r>
      <w:r w:rsidRPr="00A03930">
        <w:rPr>
          <w:rFonts w:ascii="Times New Roman" w:hAnsi="Times New Roman"/>
        </w:rPr>
        <w:t xml:space="preserve"> with references to the “</w:t>
      </w:r>
      <w:r w:rsidRPr="001A52C1">
        <w:rPr>
          <w:rFonts w:ascii="Times New Roman" w:hAnsi="Times New Roman"/>
        </w:rPr>
        <w:t>Legislation Act 2003</w:t>
      </w:r>
      <w:r w:rsidRPr="00650946">
        <w:rPr>
          <w:rFonts w:ascii="Times New Roman" w:hAnsi="Times New Roman"/>
        </w:rPr>
        <w:t xml:space="preserve">”. These changes reflect that the names of the register and Act were changed in 2016 by the </w:t>
      </w:r>
      <w:r w:rsidRPr="00650946">
        <w:rPr>
          <w:rFonts w:ascii="Times New Roman" w:hAnsi="Times New Roman"/>
          <w:i/>
        </w:rPr>
        <w:t xml:space="preserve">Acts and Instruments (Framework Reform Act) 2015. </w:t>
      </w:r>
      <w:r w:rsidR="00926E96" w:rsidRPr="00650946">
        <w:rPr>
          <w:rFonts w:ascii="Times New Roman" w:hAnsi="Times New Roman"/>
        </w:rPr>
        <w:t xml:space="preserve">Additionally, item 1(c) requires ACMA to remove </w:t>
      </w:r>
      <w:r w:rsidR="00C26C79" w:rsidRPr="00650946">
        <w:rPr>
          <w:rFonts w:ascii="Times New Roman" w:hAnsi="Times New Roman"/>
        </w:rPr>
        <w:t>an outdated</w:t>
      </w:r>
      <w:r w:rsidR="00926E96" w:rsidRPr="00650946">
        <w:rPr>
          <w:rFonts w:ascii="Times New Roman" w:hAnsi="Times New Roman"/>
        </w:rPr>
        <w:t xml:space="preserve"> URL </w:t>
      </w:r>
      <w:r w:rsidR="00C26C79" w:rsidRPr="00650946">
        <w:rPr>
          <w:rFonts w:ascii="Times New Roman" w:hAnsi="Times New Roman"/>
        </w:rPr>
        <w:t>(</w:t>
      </w:r>
      <w:hyperlink r:id="rId11" w:history="1">
        <w:r w:rsidR="00C26C79" w:rsidRPr="00650946">
          <w:rPr>
            <w:rStyle w:val="Hyperlink"/>
            <w:rFonts w:ascii="Times New Roman" w:hAnsi="Times New Roman"/>
            <w:color w:val="auto"/>
          </w:rPr>
          <w:t>www.frli.gov.au</w:t>
        </w:r>
      </w:hyperlink>
      <w:r w:rsidR="00C26C79" w:rsidRPr="00650946">
        <w:rPr>
          <w:rFonts w:ascii="Times New Roman" w:hAnsi="Times New Roman"/>
        </w:rPr>
        <w:t>)</w:t>
      </w:r>
      <w:r w:rsidR="00B37153" w:rsidRPr="00650946">
        <w:rPr>
          <w:rFonts w:ascii="Times New Roman" w:hAnsi="Times New Roman"/>
        </w:rPr>
        <w:t xml:space="preserve"> from the note in section 2</w:t>
      </w:r>
      <w:r w:rsidR="00C26C79" w:rsidRPr="00650946">
        <w:rPr>
          <w:rFonts w:ascii="Times New Roman" w:hAnsi="Times New Roman"/>
        </w:rPr>
        <w:t>. Given p</w:t>
      </w:r>
      <w:r w:rsidR="00C26C79" w:rsidRPr="00650946">
        <w:rPr>
          <w:rFonts w:ascii="Times New Roman" w:eastAsiaTheme="minorHAnsi" w:hAnsi="Times New Roman"/>
          <w:kern w:val="24"/>
          <w:lang w:eastAsia="en-US"/>
        </w:rPr>
        <w:t>aragraph 6(3)(b) discussed above, t</w:t>
      </w:r>
      <w:r w:rsidR="00C26C79" w:rsidRPr="00650946">
        <w:rPr>
          <w:rFonts w:ascii="Times New Roman" w:hAnsi="Times New Roman"/>
        </w:rPr>
        <w:t xml:space="preserve">he ACMA can otherwise consider the merits of whether a note with an updated URL to the register would usefully be included in making the new CSG Standard. </w:t>
      </w:r>
      <w:r w:rsidR="00C73ED5" w:rsidRPr="00650946">
        <w:rPr>
          <w:rFonts w:ascii="Times New Roman" w:hAnsi="Times New Roman"/>
        </w:rPr>
        <w:t xml:space="preserve">As </w:t>
      </w:r>
      <w:r w:rsidR="00EE04E9" w:rsidRPr="00650946">
        <w:rPr>
          <w:rFonts w:ascii="Times New Roman" w:hAnsi="Times New Roman"/>
        </w:rPr>
        <w:t>at</w:t>
      </w:r>
      <w:r w:rsidR="00C73ED5" w:rsidRPr="00650946">
        <w:rPr>
          <w:rFonts w:ascii="Times New Roman" w:hAnsi="Times New Roman"/>
        </w:rPr>
        <w:t xml:space="preserve"> July 2023, the existing URL for the register is </w:t>
      </w:r>
      <w:hyperlink r:id="rId12" w:history="1">
        <w:r w:rsidR="00C73ED5" w:rsidRPr="00650946">
          <w:rPr>
            <w:rStyle w:val="Hyperlink"/>
            <w:rFonts w:ascii="Times New Roman" w:hAnsi="Times New Roman"/>
            <w:color w:val="auto"/>
          </w:rPr>
          <w:t>www.legislation.gov.au</w:t>
        </w:r>
      </w:hyperlink>
      <w:r w:rsidR="00C73ED5" w:rsidRPr="00650946">
        <w:rPr>
          <w:rFonts w:ascii="Times New Roman" w:hAnsi="Times New Roman"/>
        </w:rPr>
        <w:t xml:space="preserve">. </w:t>
      </w:r>
    </w:p>
    <w:p w14:paraId="0C8C0275" w14:textId="04E10CFA" w:rsidR="00926E96" w:rsidRPr="00926E96" w:rsidRDefault="00926E96" w:rsidP="00926E96">
      <w:pPr>
        <w:widowControl w:val="0"/>
        <w:ind w:right="91"/>
        <w:rPr>
          <w:rFonts w:ascii="Times New Roman" w:hAnsi="Times New Roman"/>
        </w:rPr>
      </w:pPr>
      <w:r>
        <w:rPr>
          <w:rFonts w:ascii="Times New Roman" w:hAnsi="Times New Roman"/>
        </w:rPr>
        <w:t xml:space="preserve">Item 2 directs the ACMA to remove </w:t>
      </w:r>
      <w:r w:rsidR="00B37153">
        <w:rPr>
          <w:rFonts w:ascii="Times New Roman" w:hAnsi="Times New Roman"/>
        </w:rPr>
        <w:t xml:space="preserve">the </w:t>
      </w:r>
      <w:r w:rsidR="00C26C79">
        <w:rPr>
          <w:rFonts w:ascii="Times New Roman" w:hAnsi="Times New Roman"/>
        </w:rPr>
        <w:t xml:space="preserve">redundant </w:t>
      </w:r>
      <w:r>
        <w:rPr>
          <w:rFonts w:ascii="Times New Roman" w:hAnsi="Times New Roman"/>
        </w:rPr>
        <w:t xml:space="preserve">section 3 of the 2011 CSG Standard, which </w:t>
      </w:r>
      <w:r w:rsidR="00C26C79">
        <w:rPr>
          <w:rFonts w:ascii="Times New Roman" w:hAnsi="Times New Roman"/>
        </w:rPr>
        <w:t xml:space="preserve">revoked </w:t>
      </w:r>
      <w:r>
        <w:rPr>
          <w:rFonts w:ascii="Times New Roman" w:hAnsi="Times New Roman"/>
        </w:rPr>
        <w:t xml:space="preserve">the </w:t>
      </w:r>
      <w:r>
        <w:rPr>
          <w:rFonts w:ascii="Times New Roman" w:hAnsi="Times New Roman"/>
          <w:i/>
        </w:rPr>
        <w:t xml:space="preserve">Telecommunications (Customer Service Guarantee) Standard 2000 (No. 2) </w:t>
      </w:r>
      <w:r>
        <w:rPr>
          <w:rFonts w:ascii="Times New Roman" w:hAnsi="Times New Roman"/>
        </w:rPr>
        <w:t xml:space="preserve">(the 2000 CSG Standard). </w:t>
      </w:r>
      <w:r w:rsidR="00C26C79">
        <w:rPr>
          <w:rFonts w:ascii="Times New Roman" w:hAnsi="Times New Roman"/>
        </w:rPr>
        <w:t>T</w:t>
      </w:r>
      <w:r>
        <w:rPr>
          <w:rFonts w:ascii="Times New Roman" w:hAnsi="Times New Roman"/>
        </w:rPr>
        <w:t xml:space="preserve">he ACMA will </w:t>
      </w:r>
      <w:r w:rsidR="00C26C79">
        <w:rPr>
          <w:rFonts w:ascii="Times New Roman" w:hAnsi="Times New Roman"/>
        </w:rPr>
        <w:t>similarly be</w:t>
      </w:r>
      <w:r>
        <w:rPr>
          <w:rFonts w:ascii="Times New Roman" w:hAnsi="Times New Roman"/>
        </w:rPr>
        <w:t xml:space="preserve"> required to repeal the 2011 CSG Standard under paragraph 6(2)(a) as described above. </w:t>
      </w:r>
    </w:p>
    <w:p w14:paraId="13ABDFF6" w14:textId="02603003" w:rsidR="00F809D2" w:rsidRDefault="00F809D2" w:rsidP="00326189">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 xml:space="preserve"> directs the ACMA to make a number of changes to the list of definitions provided at subsection 4(1) </w:t>
      </w:r>
      <w:r w:rsidR="00522ED4">
        <w:rPr>
          <w:rFonts w:ascii="Times New Roman" w:hAnsi="Times New Roman"/>
        </w:rPr>
        <w:t>of</w:t>
      </w:r>
      <w:r>
        <w:rPr>
          <w:rFonts w:ascii="Times New Roman" w:hAnsi="Times New Roman"/>
        </w:rPr>
        <w:t xml:space="preserve"> the 2011 CSG Standard. </w:t>
      </w:r>
    </w:p>
    <w:p w14:paraId="0E0894F1" w14:textId="3F1E9B49" w:rsidR="00F809D2" w:rsidRDefault="00F809D2" w:rsidP="00326189">
      <w:pPr>
        <w:widowControl w:val="0"/>
        <w:ind w:right="91"/>
        <w:rPr>
          <w:rFonts w:ascii="Times New Roman" w:eastAsiaTheme="minorHAnsi" w:hAnsi="Times New Roman"/>
          <w:kern w:val="24"/>
          <w:lang w:eastAsia="en-US"/>
        </w:rPr>
      </w:pPr>
      <w:r>
        <w:rPr>
          <w:rFonts w:ascii="Times New Roman" w:hAnsi="Times New Roman"/>
        </w:rPr>
        <w:t xml:space="preserve">Item </w:t>
      </w:r>
      <w:r w:rsidR="00926E96">
        <w:rPr>
          <w:rFonts w:ascii="Times New Roman" w:hAnsi="Times New Roman"/>
        </w:rPr>
        <w:t>3</w:t>
      </w:r>
      <w:r>
        <w:rPr>
          <w:rFonts w:ascii="Times New Roman" w:hAnsi="Times New Roman"/>
        </w:rPr>
        <w:t xml:space="preserve">(a) directs the ACMA to </w:t>
      </w:r>
      <w:r w:rsidR="002011FF">
        <w:rPr>
          <w:rFonts w:ascii="Times New Roman" w:hAnsi="Times New Roman"/>
        </w:rPr>
        <w:t xml:space="preserve">remove the note to the definition of the term </w:t>
      </w:r>
      <w:r w:rsidR="001A52C1">
        <w:rPr>
          <w:rFonts w:ascii="Times New Roman" w:hAnsi="Times New Roman"/>
        </w:rPr>
        <w:t>‘</w:t>
      </w:r>
      <w:r w:rsidR="002011FF" w:rsidRPr="001A52C1">
        <w:rPr>
          <w:rFonts w:ascii="Times New Roman" w:hAnsi="Times New Roman"/>
        </w:rPr>
        <w:t>CSG service</w:t>
      </w:r>
      <w:r w:rsidR="001A52C1">
        <w:rPr>
          <w:rFonts w:ascii="Times New Roman" w:hAnsi="Times New Roman"/>
        </w:rPr>
        <w:t>’</w:t>
      </w:r>
      <w:r w:rsidR="00A27915">
        <w:rPr>
          <w:rFonts w:ascii="Times New Roman" w:hAnsi="Times New Roman"/>
          <w:i/>
        </w:rPr>
        <w:t xml:space="preserve">, </w:t>
      </w:r>
      <w:r w:rsidR="00A27915">
        <w:rPr>
          <w:rFonts w:ascii="Times New Roman" w:hAnsi="Times New Roman"/>
        </w:rPr>
        <w:t xml:space="preserve">which </w:t>
      </w:r>
      <w:r w:rsidR="00773699">
        <w:rPr>
          <w:rFonts w:ascii="Times New Roman" w:eastAsiaTheme="minorHAnsi" w:hAnsi="Times New Roman"/>
          <w:kern w:val="24"/>
          <w:lang w:eastAsia="en-US"/>
        </w:rPr>
        <w:t xml:space="preserve">clarifies that the CSG Standard does not apply to </w:t>
      </w:r>
      <w:r w:rsidR="00773699" w:rsidRPr="006628B0">
        <w:rPr>
          <w:rFonts w:ascii="Times New Roman" w:eastAsiaTheme="minorHAnsi" w:hAnsi="Times New Roman"/>
          <w:kern w:val="24"/>
          <w:lang w:eastAsia="en-US"/>
        </w:rPr>
        <w:t>“sophisticated business-oriented services (for example, CVPN services and similar services</w:t>
      </w:r>
      <w:r w:rsidR="00E33D65">
        <w:rPr>
          <w:rFonts w:ascii="Times New Roman" w:eastAsiaTheme="minorHAnsi" w:hAnsi="Times New Roman"/>
          <w:kern w:val="24"/>
          <w:lang w:eastAsia="en-US"/>
        </w:rPr>
        <w:t>)</w:t>
      </w:r>
      <w:r w:rsidR="00773699" w:rsidRPr="006628B0">
        <w:rPr>
          <w:rFonts w:ascii="Times New Roman" w:eastAsiaTheme="minorHAnsi" w:hAnsi="Times New Roman"/>
          <w:kern w:val="24"/>
          <w:lang w:eastAsia="en-US"/>
        </w:rPr>
        <w:t>”.</w:t>
      </w:r>
      <w:r w:rsidR="00773699">
        <w:rPr>
          <w:rFonts w:ascii="Times New Roman" w:eastAsiaTheme="minorHAnsi" w:hAnsi="Times New Roman"/>
          <w:i/>
          <w:kern w:val="24"/>
          <w:lang w:eastAsia="en-US"/>
        </w:rPr>
        <w:t xml:space="preserve"> </w:t>
      </w:r>
      <w:r w:rsidR="00773699">
        <w:rPr>
          <w:rFonts w:ascii="Times New Roman" w:eastAsiaTheme="minorHAnsi" w:hAnsi="Times New Roman"/>
          <w:kern w:val="24"/>
          <w:lang w:eastAsia="en-US"/>
        </w:rPr>
        <w:t xml:space="preserve">It is considered unnecessary to retain this note as </w:t>
      </w:r>
      <w:r w:rsidR="00E33D65">
        <w:rPr>
          <w:rFonts w:ascii="Times New Roman" w:eastAsiaTheme="minorHAnsi" w:hAnsi="Times New Roman"/>
          <w:kern w:val="24"/>
          <w:lang w:eastAsia="en-US"/>
        </w:rPr>
        <w:t xml:space="preserve">the </w:t>
      </w:r>
      <w:r w:rsidR="00773699">
        <w:rPr>
          <w:rFonts w:ascii="Times New Roman" w:eastAsiaTheme="minorHAnsi" w:hAnsi="Times New Roman"/>
          <w:kern w:val="24"/>
          <w:lang w:eastAsia="en-US"/>
        </w:rPr>
        <w:t xml:space="preserve">CSG does not apply where a provider supplies five or more eligible voice services, and it is well understood by consumers and industry that the CSG has been focused on </w:t>
      </w:r>
      <w:r w:rsidR="00C30E39">
        <w:rPr>
          <w:rFonts w:ascii="Times New Roman" w:eastAsiaTheme="minorHAnsi" w:hAnsi="Times New Roman"/>
          <w:kern w:val="24"/>
          <w:lang w:eastAsia="en-US"/>
        </w:rPr>
        <w:t xml:space="preserve">the </w:t>
      </w:r>
      <w:r w:rsidR="00773699">
        <w:rPr>
          <w:rFonts w:ascii="Times New Roman" w:eastAsiaTheme="minorHAnsi" w:hAnsi="Times New Roman"/>
          <w:kern w:val="24"/>
          <w:lang w:eastAsia="en-US"/>
        </w:rPr>
        <w:t xml:space="preserve">supply of basic voice services to residential customers and small businesses. </w:t>
      </w:r>
    </w:p>
    <w:p w14:paraId="3170B67E" w14:textId="4884F7D6" w:rsidR="0023278A" w:rsidRPr="002C1B69" w:rsidRDefault="0023278A" w:rsidP="00326189">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 xml:space="preserve">(b) directs the ACMA to add a definition for the term ‘business day’ as having the same meaning as in section 2B of the </w:t>
      </w:r>
      <w:r>
        <w:rPr>
          <w:rFonts w:ascii="Times New Roman" w:hAnsi="Times New Roman"/>
          <w:i/>
        </w:rPr>
        <w:t xml:space="preserve">Acts Interpretation Act 1901. </w:t>
      </w:r>
      <w:r>
        <w:rPr>
          <w:rFonts w:ascii="Times New Roman" w:hAnsi="Times New Roman"/>
        </w:rPr>
        <w:t xml:space="preserve">This definition of ‘business day’ is equivalent to the definition of ‘working day’ included in the </w:t>
      </w:r>
      <w:r w:rsidR="00C30E39">
        <w:rPr>
          <w:rFonts w:ascii="Times New Roman" w:hAnsi="Times New Roman"/>
        </w:rPr>
        <w:t xml:space="preserve">2011 </w:t>
      </w:r>
      <w:r>
        <w:rPr>
          <w:rFonts w:ascii="Times New Roman" w:hAnsi="Times New Roman"/>
        </w:rPr>
        <w:t xml:space="preserve">CSG standard. The term ‘business day’ reflects current drafting conventions for Commonwealth legislation and instruments. </w:t>
      </w:r>
      <w:r w:rsidR="00FC2595">
        <w:rPr>
          <w:rFonts w:ascii="Times New Roman" w:hAnsi="Times New Roman"/>
        </w:rPr>
        <w:t xml:space="preserve">Accordingly, </w:t>
      </w:r>
      <w:r w:rsidR="0059339E">
        <w:rPr>
          <w:rFonts w:ascii="Times New Roman" w:hAnsi="Times New Roman"/>
        </w:rPr>
        <w:t>i</w:t>
      </w:r>
      <w:r w:rsidR="00FC2595">
        <w:rPr>
          <w:rFonts w:ascii="Times New Roman" w:hAnsi="Times New Roman"/>
        </w:rPr>
        <w:t xml:space="preserve">tem </w:t>
      </w:r>
      <w:r w:rsidR="00926E96">
        <w:rPr>
          <w:rFonts w:ascii="Times New Roman" w:hAnsi="Times New Roman"/>
        </w:rPr>
        <w:t>3</w:t>
      </w:r>
      <w:r w:rsidR="00FC2595">
        <w:rPr>
          <w:rFonts w:ascii="Times New Roman" w:hAnsi="Times New Roman"/>
        </w:rPr>
        <w:t xml:space="preserve">(h) directs the ACMA to </w:t>
      </w:r>
      <w:r w:rsidR="00553AFE">
        <w:rPr>
          <w:rFonts w:ascii="Times New Roman" w:hAnsi="Times New Roman"/>
        </w:rPr>
        <w:t xml:space="preserve">also </w:t>
      </w:r>
      <w:r w:rsidR="00FC2595">
        <w:rPr>
          <w:rFonts w:ascii="Times New Roman" w:hAnsi="Times New Roman"/>
        </w:rPr>
        <w:t>remove the definition of the term ‘working day’.</w:t>
      </w:r>
    </w:p>
    <w:p w14:paraId="23FBCFE8" w14:textId="3024A981" w:rsidR="00773699" w:rsidRDefault="002011FF" w:rsidP="002011FF">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w:t>
      </w:r>
      <w:r w:rsidR="0023278A">
        <w:rPr>
          <w:rFonts w:ascii="Times New Roman" w:hAnsi="Times New Roman"/>
        </w:rPr>
        <w:t>c</w:t>
      </w:r>
      <w:r>
        <w:rPr>
          <w:rFonts w:ascii="Times New Roman" w:hAnsi="Times New Roman"/>
        </w:rPr>
        <w:t xml:space="preserve">) directs the ACMA to amend the definition of the term </w:t>
      </w:r>
      <w:r w:rsidR="002F10CF">
        <w:rPr>
          <w:rFonts w:ascii="Times New Roman" w:hAnsi="Times New Roman"/>
        </w:rPr>
        <w:t>‘</w:t>
      </w:r>
      <w:r w:rsidRPr="002F10CF">
        <w:rPr>
          <w:rFonts w:ascii="Times New Roman" w:hAnsi="Times New Roman"/>
        </w:rPr>
        <w:t>exemption</w:t>
      </w:r>
      <w:r w:rsidR="002F10CF">
        <w:rPr>
          <w:rFonts w:ascii="Times New Roman" w:hAnsi="Times New Roman"/>
        </w:rPr>
        <w:t>’</w:t>
      </w:r>
      <w:r w:rsidR="00773699" w:rsidRPr="002F10CF">
        <w:rPr>
          <w:rFonts w:ascii="Times New Roman" w:hAnsi="Times New Roman"/>
        </w:rPr>
        <w:t xml:space="preserve"> </w:t>
      </w:r>
      <w:r w:rsidR="00773699">
        <w:rPr>
          <w:rFonts w:ascii="Times New Roman" w:hAnsi="Times New Roman"/>
        </w:rPr>
        <w:t xml:space="preserve">so that it means an exemption made under the new CSG Standard or under the 2011 CSG Standard. The existing definition of the term in </w:t>
      </w:r>
      <w:r w:rsidR="00553AFE">
        <w:rPr>
          <w:rFonts w:ascii="Times New Roman" w:hAnsi="Times New Roman"/>
        </w:rPr>
        <w:t xml:space="preserve">the </w:t>
      </w:r>
      <w:r w:rsidR="00773699">
        <w:rPr>
          <w:rFonts w:ascii="Times New Roman" w:hAnsi="Times New Roman"/>
        </w:rPr>
        <w:t xml:space="preserve">2011 CSG Standard is set out to mean ‘an exemption under Part 3’ of that Standard. </w:t>
      </w:r>
      <w:r w:rsidR="00126471">
        <w:rPr>
          <w:rFonts w:ascii="Times New Roman" w:hAnsi="Times New Roman"/>
        </w:rPr>
        <w:t xml:space="preserve">Given the term is also used in Part 6 </w:t>
      </w:r>
      <w:r w:rsidR="00773699">
        <w:rPr>
          <w:rFonts w:ascii="Times New Roman" w:hAnsi="Times New Roman"/>
        </w:rPr>
        <w:t xml:space="preserve">to describe exemptions provided </w:t>
      </w:r>
      <w:r w:rsidR="002F10CF">
        <w:rPr>
          <w:rFonts w:ascii="Times New Roman" w:hAnsi="Times New Roman"/>
        </w:rPr>
        <w:t>under the ‘former Standard’</w:t>
      </w:r>
      <w:r w:rsidR="00126471">
        <w:rPr>
          <w:rFonts w:ascii="Times New Roman" w:hAnsi="Times New Roman"/>
        </w:rPr>
        <w:t>, the amendment is necessary to</w:t>
      </w:r>
      <w:r w:rsidR="002F10CF">
        <w:rPr>
          <w:rFonts w:ascii="Times New Roman" w:hAnsi="Times New Roman"/>
        </w:rPr>
        <w:t xml:space="preserve"> ensure the transitional arrangements set out at Part 6 of the new CSG Standard capture exemptions relied upon under both versions of the Standard. </w:t>
      </w:r>
    </w:p>
    <w:p w14:paraId="03E677A5" w14:textId="09878EC3" w:rsidR="00FC2595" w:rsidRDefault="00FC2595" w:rsidP="002011FF">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 xml:space="preserve">(d) directs the ACMA to add a definition for the term ‘new CSG Standard’ to have the same meaning as defined in the Direction (as set out further above). </w:t>
      </w:r>
    </w:p>
    <w:p w14:paraId="19FE2257" w14:textId="44E710BC" w:rsidR="002011FF" w:rsidRPr="002023E3" w:rsidRDefault="002011FF" w:rsidP="002011FF">
      <w:pPr>
        <w:widowControl w:val="0"/>
        <w:ind w:right="91"/>
        <w:rPr>
          <w:rFonts w:ascii="Times New Roman" w:hAnsi="Times New Roman"/>
        </w:rPr>
      </w:pPr>
      <w:r>
        <w:rPr>
          <w:rFonts w:ascii="Times New Roman" w:hAnsi="Times New Roman"/>
        </w:rPr>
        <w:t xml:space="preserve">Items </w:t>
      </w:r>
      <w:r w:rsidR="00926E96">
        <w:rPr>
          <w:rFonts w:ascii="Times New Roman" w:hAnsi="Times New Roman"/>
        </w:rPr>
        <w:t>3</w:t>
      </w:r>
      <w:r>
        <w:rPr>
          <w:rFonts w:ascii="Times New Roman" w:hAnsi="Times New Roman"/>
        </w:rPr>
        <w:t>(</w:t>
      </w:r>
      <w:r w:rsidR="00FC2595">
        <w:rPr>
          <w:rFonts w:ascii="Times New Roman" w:hAnsi="Times New Roman"/>
        </w:rPr>
        <w:t>e</w:t>
      </w:r>
      <w:r>
        <w:rPr>
          <w:rFonts w:ascii="Times New Roman" w:hAnsi="Times New Roman"/>
        </w:rPr>
        <w:t xml:space="preserve">) and </w:t>
      </w:r>
      <w:r w:rsidR="00926E96">
        <w:rPr>
          <w:rFonts w:ascii="Times New Roman" w:hAnsi="Times New Roman"/>
        </w:rPr>
        <w:t>3</w:t>
      </w:r>
      <w:r>
        <w:rPr>
          <w:rFonts w:ascii="Times New Roman" w:hAnsi="Times New Roman"/>
        </w:rPr>
        <w:t>(</w:t>
      </w:r>
      <w:r w:rsidR="00FC2595">
        <w:rPr>
          <w:rFonts w:ascii="Times New Roman" w:hAnsi="Times New Roman"/>
        </w:rPr>
        <w:t>f</w:t>
      </w:r>
      <w:r>
        <w:rPr>
          <w:rFonts w:ascii="Times New Roman" w:hAnsi="Times New Roman"/>
        </w:rPr>
        <w:t xml:space="preserve">) direct the ACMA to remove the definitions of the terms </w:t>
      </w:r>
      <w:r w:rsidR="002F10CF">
        <w:rPr>
          <w:rFonts w:ascii="Times New Roman" w:hAnsi="Times New Roman"/>
        </w:rPr>
        <w:t>‘</w:t>
      </w:r>
      <w:r w:rsidRPr="002F10CF">
        <w:rPr>
          <w:rFonts w:ascii="Times New Roman" w:hAnsi="Times New Roman"/>
        </w:rPr>
        <w:t>remote location</w:t>
      </w:r>
      <w:r w:rsidR="002F10CF">
        <w:rPr>
          <w:rFonts w:ascii="Times New Roman" w:hAnsi="Times New Roman"/>
        </w:rPr>
        <w:t>’</w:t>
      </w:r>
      <w:r w:rsidRPr="002F10CF">
        <w:rPr>
          <w:rFonts w:ascii="Times New Roman" w:hAnsi="Times New Roman"/>
        </w:rPr>
        <w:t xml:space="preserve"> and </w:t>
      </w:r>
      <w:r w:rsidR="002F10CF">
        <w:rPr>
          <w:rFonts w:ascii="Times New Roman" w:hAnsi="Times New Roman"/>
        </w:rPr>
        <w:t>‘</w:t>
      </w:r>
      <w:r w:rsidRPr="002F10CF">
        <w:rPr>
          <w:rFonts w:ascii="Times New Roman" w:hAnsi="Times New Roman"/>
        </w:rPr>
        <w:t>standard zone</w:t>
      </w:r>
      <w:r w:rsidR="002F10CF">
        <w:rPr>
          <w:rFonts w:ascii="Times New Roman" w:hAnsi="Times New Roman"/>
        </w:rPr>
        <w:t>’</w:t>
      </w:r>
      <w:r w:rsidRPr="002F10CF">
        <w:rPr>
          <w:rFonts w:ascii="Times New Roman" w:hAnsi="Times New Roman"/>
        </w:rPr>
        <w:t>.</w:t>
      </w:r>
      <w:r w:rsidRPr="00E33D65">
        <w:rPr>
          <w:rFonts w:ascii="Times New Roman" w:hAnsi="Times New Roman"/>
        </w:rPr>
        <w:t xml:space="preserve"> </w:t>
      </w:r>
      <w:r w:rsidR="00E33D65" w:rsidRPr="00E33D65">
        <w:rPr>
          <w:rFonts w:ascii="Times New Roman" w:hAnsi="Times New Roman"/>
        </w:rPr>
        <w:t xml:space="preserve">These </w:t>
      </w:r>
      <w:r w:rsidR="00553AFE">
        <w:rPr>
          <w:rFonts w:ascii="Times New Roman" w:hAnsi="Times New Roman"/>
        </w:rPr>
        <w:t>terms</w:t>
      </w:r>
      <w:r w:rsidR="00553AFE" w:rsidRPr="00E33D65">
        <w:rPr>
          <w:rFonts w:ascii="Times New Roman" w:hAnsi="Times New Roman"/>
        </w:rPr>
        <w:t xml:space="preserve"> </w:t>
      </w:r>
      <w:r w:rsidR="00E33D65" w:rsidRPr="00E33D65">
        <w:rPr>
          <w:rFonts w:ascii="Times New Roman" w:hAnsi="Times New Roman"/>
        </w:rPr>
        <w:t xml:space="preserve">were used in </w:t>
      </w:r>
      <w:r w:rsidR="00E33D65">
        <w:rPr>
          <w:rFonts w:ascii="Times New Roman" w:hAnsi="Times New Roman"/>
        </w:rPr>
        <w:t xml:space="preserve">an earlier version of the CSG Standard (the </w:t>
      </w:r>
      <w:r w:rsidR="00926E96" w:rsidRPr="00926E96">
        <w:rPr>
          <w:rFonts w:ascii="Times New Roman" w:hAnsi="Times New Roman"/>
        </w:rPr>
        <w:t>2000 CSG Standard</w:t>
      </w:r>
      <w:r w:rsidR="00926E96">
        <w:rPr>
          <w:rFonts w:ascii="Times New Roman" w:hAnsi="Times New Roman"/>
          <w:i/>
        </w:rPr>
        <w:t>),</w:t>
      </w:r>
      <w:r w:rsidR="00E33D65" w:rsidRPr="00E33D65">
        <w:rPr>
          <w:rFonts w:ascii="Times New Roman" w:hAnsi="Times New Roman"/>
        </w:rPr>
        <w:t xml:space="preserve"> but are not </w:t>
      </w:r>
      <w:r w:rsidR="001A52C1">
        <w:rPr>
          <w:rFonts w:ascii="Times New Roman" w:hAnsi="Times New Roman"/>
        </w:rPr>
        <w:t>used in the 2011 CSG Standard</w:t>
      </w:r>
      <w:r w:rsidR="00E33D65">
        <w:rPr>
          <w:rFonts w:ascii="Times New Roman" w:hAnsi="Times New Roman"/>
        </w:rPr>
        <w:t>.</w:t>
      </w:r>
    </w:p>
    <w:p w14:paraId="6C7014B4" w14:textId="2E52A2D2" w:rsidR="00161AD8" w:rsidRDefault="002011FF" w:rsidP="002011FF">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w:t>
      </w:r>
      <w:r w:rsidR="00FC2595">
        <w:rPr>
          <w:rFonts w:ascii="Times New Roman" w:hAnsi="Times New Roman"/>
        </w:rPr>
        <w:t>g</w:t>
      </w:r>
      <w:r>
        <w:rPr>
          <w:rFonts w:ascii="Times New Roman" w:hAnsi="Times New Roman"/>
        </w:rPr>
        <w:t xml:space="preserve">) directs the ACMA to remove the definition of the term </w:t>
      </w:r>
      <w:r w:rsidR="002F10CF">
        <w:rPr>
          <w:rFonts w:ascii="Times New Roman" w:hAnsi="Times New Roman"/>
        </w:rPr>
        <w:t>‘</w:t>
      </w:r>
      <w:r w:rsidRPr="002F10CF">
        <w:rPr>
          <w:rFonts w:ascii="Times New Roman" w:hAnsi="Times New Roman"/>
        </w:rPr>
        <w:t>satellite service</w:t>
      </w:r>
      <w:r w:rsidR="002F10CF">
        <w:rPr>
          <w:rFonts w:ascii="Times New Roman" w:hAnsi="Times New Roman"/>
        </w:rPr>
        <w:t>’</w:t>
      </w:r>
      <w:r w:rsidR="00161AD8">
        <w:rPr>
          <w:rFonts w:ascii="Times New Roman" w:hAnsi="Times New Roman"/>
        </w:rPr>
        <w:t xml:space="preserve">. The term is currently defined to mean the same as set out in subsection 106(4) of the Act. Given that note 1 of subsection 4(1) provides a list of expressions that have the same meaning as in the </w:t>
      </w:r>
      <w:r w:rsidR="00161AD8">
        <w:rPr>
          <w:rFonts w:ascii="Times New Roman" w:hAnsi="Times New Roman"/>
        </w:rPr>
        <w:lastRenderedPageBreak/>
        <w:t xml:space="preserve">Act, it is considered more appropriate to include the </w:t>
      </w:r>
      <w:r w:rsidR="00553AFE">
        <w:rPr>
          <w:rFonts w:ascii="Times New Roman" w:hAnsi="Times New Roman"/>
        </w:rPr>
        <w:t xml:space="preserve">term </w:t>
      </w:r>
      <w:r w:rsidR="00161AD8">
        <w:rPr>
          <w:rFonts w:ascii="Times New Roman" w:hAnsi="Times New Roman"/>
        </w:rPr>
        <w:t>in that list rather than setting out</w:t>
      </w:r>
      <w:r w:rsidR="00553AFE">
        <w:rPr>
          <w:rFonts w:ascii="Times New Roman" w:hAnsi="Times New Roman"/>
        </w:rPr>
        <w:t xml:space="preserve"> the definition</w:t>
      </w:r>
      <w:r w:rsidR="00161AD8">
        <w:rPr>
          <w:rFonts w:ascii="Times New Roman" w:hAnsi="Times New Roman"/>
        </w:rPr>
        <w:t xml:space="preserve"> in full. Accordingly, as detailed below, item </w:t>
      </w:r>
      <w:r w:rsidR="00926E96">
        <w:rPr>
          <w:rFonts w:ascii="Times New Roman" w:hAnsi="Times New Roman"/>
        </w:rPr>
        <w:t>3</w:t>
      </w:r>
      <w:r w:rsidR="00161AD8">
        <w:rPr>
          <w:rFonts w:ascii="Times New Roman" w:hAnsi="Times New Roman"/>
        </w:rPr>
        <w:t>(</w:t>
      </w:r>
      <w:r w:rsidR="00FC2595">
        <w:rPr>
          <w:rFonts w:ascii="Times New Roman" w:hAnsi="Times New Roman"/>
        </w:rPr>
        <w:t>j</w:t>
      </w:r>
      <w:r w:rsidR="00161AD8">
        <w:rPr>
          <w:rFonts w:ascii="Times New Roman" w:hAnsi="Times New Roman"/>
        </w:rPr>
        <w:t xml:space="preserve">) directs the ACMA to </w:t>
      </w:r>
      <w:r w:rsidR="00553AFE">
        <w:rPr>
          <w:rFonts w:ascii="Times New Roman" w:hAnsi="Times New Roman"/>
        </w:rPr>
        <w:t xml:space="preserve">also </w:t>
      </w:r>
      <w:r w:rsidR="00161AD8">
        <w:rPr>
          <w:rFonts w:ascii="Times New Roman" w:hAnsi="Times New Roman"/>
        </w:rPr>
        <w:t xml:space="preserve">add ‘satellite service’ to Note 1. </w:t>
      </w:r>
    </w:p>
    <w:p w14:paraId="76EE348F" w14:textId="333D2AA1" w:rsidR="00FC2595" w:rsidRDefault="00FC2595" w:rsidP="002011FF">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directs the ACMA to add a definition for the term ‘2011 CSG Standard’ to have the same meaning as defined in the Direction (as set out further above). </w:t>
      </w:r>
    </w:p>
    <w:p w14:paraId="5EFB92E5" w14:textId="33F9492B" w:rsidR="000458C9" w:rsidRPr="005F4266" w:rsidRDefault="002011FF" w:rsidP="002011FF">
      <w:pPr>
        <w:widowControl w:val="0"/>
        <w:ind w:right="91"/>
        <w:rPr>
          <w:rFonts w:ascii="Times New Roman" w:hAnsi="Times New Roman"/>
        </w:rPr>
      </w:pPr>
      <w:r>
        <w:rPr>
          <w:rFonts w:ascii="Times New Roman" w:hAnsi="Times New Roman"/>
        </w:rPr>
        <w:t xml:space="preserve">Item </w:t>
      </w:r>
      <w:r w:rsidR="00926E96">
        <w:rPr>
          <w:rFonts w:ascii="Times New Roman" w:hAnsi="Times New Roman"/>
        </w:rPr>
        <w:t>3</w:t>
      </w:r>
      <w:r>
        <w:rPr>
          <w:rFonts w:ascii="Times New Roman" w:hAnsi="Times New Roman"/>
        </w:rPr>
        <w:t>(</w:t>
      </w:r>
      <w:r w:rsidR="00FC2595">
        <w:rPr>
          <w:rFonts w:ascii="Times New Roman" w:hAnsi="Times New Roman"/>
        </w:rPr>
        <w:t>j</w:t>
      </w:r>
      <w:r>
        <w:rPr>
          <w:rFonts w:ascii="Times New Roman" w:hAnsi="Times New Roman"/>
        </w:rPr>
        <w:t>) directs the ACMA to</w:t>
      </w:r>
      <w:r w:rsidR="00161AD8">
        <w:rPr>
          <w:rFonts w:ascii="Times New Roman" w:hAnsi="Times New Roman"/>
        </w:rPr>
        <w:t xml:space="preserve"> make</w:t>
      </w:r>
      <w:r>
        <w:rPr>
          <w:rFonts w:ascii="Times New Roman" w:hAnsi="Times New Roman"/>
        </w:rPr>
        <w:t xml:space="preserve"> amend</w:t>
      </w:r>
      <w:r w:rsidR="00161AD8">
        <w:rPr>
          <w:rFonts w:ascii="Times New Roman" w:hAnsi="Times New Roman"/>
        </w:rPr>
        <w:t>ments to</w:t>
      </w:r>
      <w:r>
        <w:rPr>
          <w:rFonts w:ascii="Times New Roman" w:hAnsi="Times New Roman"/>
        </w:rPr>
        <w:t xml:space="preserve"> note 1 to subsection 4(1)</w:t>
      </w:r>
      <w:r w:rsidR="00161AD8">
        <w:rPr>
          <w:rFonts w:ascii="Times New Roman" w:hAnsi="Times New Roman"/>
        </w:rPr>
        <w:t>, which sets out a list of terms that have the same defi</w:t>
      </w:r>
      <w:r w:rsidR="006D7FD4">
        <w:rPr>
          <w:rFonts w:ascii="Times New Roman" w:hAnsi="Times New Roman"/>
        </w:rPr>
        <w:t>nition as in the Act.</w:t>
      </w:r>
      <w:r w:rsidR="00161AD8">
        <w:rPr>
          <w:rFonts w:ascii="Times New Roman" w:hAnsi="Times New Roman"/>
        </w:rPr>
        <w:t xml:space="preserve"> </w:t>
      </w:r>
      <w:r w:rsidR="00522ED4">
        <w:rPr>
          <w:rFonts w:ascii="Times New Roman" w:hAnsi="Times New Roman"/>
        </w:rPr>
        <w:t xml:space="preserve">The </w:t>
      </w:r>
      <w:r w:rsidR="006D7FD4">
        <w:rPr>
          <w:rFonts w:ascii="Times New Roman" w:hAnsi="Times New Roman"/>
        </w:rPr>
        <w:t xml:space="preserve">ACMA will be required to remove references to the terms ‘approved standard marketing plan’ and ‘universal service area’. </w:t>
      </w:r>
      <w:r w:rsidR="00770175">
        <w:rPr>
          <w:rFonts w:ascii="Times New Roman" w:hAnsi="Times New Roman"/>
        </w:rPr>
        <w:t xml:space="preserve">The inclusion of these terms in subsection 4(1) </w:t>
      </w:r>
      <w:r w:rsidR="00F50598">
        <w:rPr>
          <w:rFonts w:ascii="Times New Roman" w:hAnsi="Times New Roman"/>
        </w:rPr>
        <w:t>is</w:t>
      </w:r>
      <w:r w:rsidR="00770175">
        <w:rPr>
          <w:rFonts w:ascii="Times New Roman" w:hAnsi="Times New Roman"/>
        </w:rPr>
        <w:t xml:space="preserve"> unnecessary as they are only used </w:t>
      </w:r>
      <w:r w:rsidR="005F4266">
        <w:rPr>
          <w:rFonts w:ascii="Times New Roman" w:hAnsi="Times New Roman"/>
        </w:rPr>
        <w:t xml:space="preserve">at subsection 8(2), </w:t>
      </w:r>
      <w:r w:rsidR="007D56C7">
        <w:rPr>
          <w:rFonts w:ascii="Times New Roman" w:hAnsi="Times New Roman"/>
        </w:rPr>
        <w:t xml:space="preserve">and the direction at </w:t>
      </w:r>
      <w:r w:rsidR="00EA0F2D">
        <w:rPr>
          <w:rFonts w:ascii="Times New Roman" w:hAnsi="Times New Roman"/>
        </w:rPr>
        <w:t>i</w:t>
      </w:r>
      <w:r w:rsidR="007D56C7">
        <w:rPr>
          <w:rFonts w:ascii="Times New Roman" w:hAnsi="Times New Roman"/>
        </w:rPr>
        <w:t xml:space="preserve">tem </w:t>
      </w:r>
      <w:r w:rsidR="00926E96">
        <w:rPr>
          <w:rFonts w:ascii="Times New Roman" w:hAnsi="Times New Roman"/>
        </w:rPr>
        <w:t>6</w:t>
      </w:r>
      <w:r w:rsidR="007D56C7">
        <w:rPr>
          <w:rFonts w:ascii="Times New Roman" w:hAnsi="Times New Roman"/>
        </w:rPr>
        <w:t xml:space="preserve"> of the table</w:t>
      </w:r>
      <w:r w:rsidR="00553AFE">
        <w:rPr>
          <w:rFonts w:ascii="Times New Roman" w:hAnsi="Times New Roman"/>
        </w:rPr>
        <w:t xml:space="preserve"> in the Direction</w:t>
      </w:r>
      <w:r w:rsidR="007D56C7">
        <w:rPr>
          <w:rFonts w:ascii="Times New Roman" w:hAnsi="Times New Roman"/>
        </w:rPr>
        <w:t xml:space="preserve"> requires </w:t>
      </w:r>
      <w:r w:rsidR="00522ED4">
        <w:rPr>
          <w:rFonts w:ascii="Times New Roman" w:hAnsi="Times New Roman"/>
        </w:rPr>
        <w:t xml:space="preserve">the </w:t>
      </w:r>
      <w:r w:rsidR="005F4266">
        <w:rPr>
          <w:rFonts w:ascii="Times New Roman" w:hAnsi="Times New Roman"/>
        </w:rPr>
        <w:t xml:space="preserve">ACMA </w:t>
      </w:r>
      <w:r w:rsidR="007D56C7">
        <w:rPr>
          <w:rFonts w:ascii="Times New Roman" w:hAnsi="Times New Roman"/>
        </w:rPr>
        <w:t>to amend</w:t>
      </w:r>
      <w:r w:rsidR="005F4266">
        <w:rPr>
          <w:rFonts w:ascii="Times New Roman" w:hAnsi="Times New Roman"/>
        </w:rPr>
        <w:t xml:space="preserve"> </w:t>
      </w:r>
      <w:r w:rsidR="007D56C7">
        <w:rPr>
          <w:rFonts w:ascii="Times New Roman" w:hAnsi="Times New Roman"/>
        </w:rPr>
        <w:t xml:space="preserve">this provision </w:t>
      </w:r>
      <w:r w:rsidR="00807672">
        <w:rPr>
          <w:rFonts w:ascii="Times New Roman" w:hAnsi="Times New Roman"/>
        </w:rPr>
        <w:t>in a way that will</w:t>
      </w:r>
      <w:r w:rsidR="007D56C7">
        <w:rPr>
          <w:rFonts w:ascii="Times New Roman" w:hAnsi="Times New Roman"/>
        </w:rPr>
        <w:t xml:space="preserve"> </w:t>
      </w:r>
      <w:r w:rsidR="005F4266">
        <w:rPr>
          <w:rFonts w:ascii="Times New Roman" w:hAnsi="Times New Roman"/>
        </w:rPr>
        <w:t xml:space="preserve">remove references to the terms (as described further below). </w:t>
      </w:r>
      <w:r w:rsidR="005F4266">
        <w:rPr>
          <w:rFonts w:ascii="Times New Roman" w:eastAsiaTheme="minorHAnsi" w:hAnsi="Times New Roman"/>
          <w:kern w:val="24"/>
          <w:lang w:eastAsia="en-US"/>
        </w:rPr>
        <w:t>I</w:t>
      </w:r>
      <w:r w:rsidR="00DA6C68">
        <w:rPr>
          <w:rFonts w:ascii="Times New Roman" w:eastAsiaTheme="minorHAnsi" w:hAnsi="Times New Roman"/>
          <w:kern w:val="24"/>
          <w:lang w:eastAsia="en-US"/>
        </w:rPr>
        <w:t xml:space="preserve">tem </w:t>
      </w:r>
      <w:r w:rsidR="00926E96">
        <w:rPr>
          <w:rFonts w:ascii="Times New Roman" w:eastAsiaTheme="minorHAnsi" w:hAnsi="Times New Roman"/>
          <w:kern w:val="24"/>
          <w:lang w:eastAsia="en-US"/>
        </w:rPr>
        <w:t>3</w:t>
      </w:r>
      <w:r w:rsidR="00DA6C68">
        <w:rPr>
          <w:rFonts w:ascii="Times New Roman" w:eastAsiaTheme="minorHAnsi" w:hAnsi="Times New Roman"/>
          <w:kern w:val="24"/>
          <w:lang w:eastAsia="en-US"/>
        </w:rPr>
        <w:t>(</w:t>
      </w:r>
      <w:r w:rsidR="00FC2595">
        <w:rPr>
          <w:rFonts w:ascii="Times New Roman" w:eastAsiaTheme="minorHAnsi" w:hAnsi="Times New Roman"/>
          <w:kern w:val="24"/>
          <w:lang w:eastAsia="en-US"/>
        </w:rPr>
        <w:t>j</w:t>
      </w:r>
      <w:r w:rsidR="00DA6C68">
        <w:rPr>
          <w:rFonts w:ascii="Times New Roman" w:eastAsiaTheme="minorHAnsi" w:hAnsi="Times New Roman"/>
          <w:kern w:val="24"/>
          <w:lang w:eastAsia="en-US"/>
        </w:rPr>
        <w:t xml:space="preserve">) also directs the ACMA to add ‘satellite service’ to </w:t>
      </w:r>
      <w:r w:rsidR="00EA0F2D">
        <w:rPr>
          <w:rFonts w:ascii="Times New Roman" w:eastAsiaTheme="minorHAnsi" w:hAnsi="Times New Roman"/>
          <w:kern w:val="24"/>
          <w:lang w:eastAsia="en-US"/>
        </w:rPr>
        <w:t>n</w:t>
      </w:r>
      <w:r w:rsidR="00DA6C68">
        <w:rPr>
          <w:rFonts w:ascii="Times New Roman" w:eastAsiaTheme="minorHAnsi" w:hAnsi="Times New Roman"/>
          <w:kern w:val="24"/>
          <w:lang w:eastAsia="en-US"/>
        </w:rPr>
        <w:t>ote 1</w:t>
      </w:r>
      <w:r w:rsidR="005F4266">
        <w:rPr>
          <w:rFonts w:ascii="Times New Roman" w:eastAsiaTheme="minorHAnsi" w:hAnsi="Times New Roman"/>
          <w:kern w:val="24"/>
          <w:lang w:eastAsia="en-US"/>
        </w:rPr>
        <w:t xml:space="preserve"> (this is described further above). </w:t>
      </w:r>
    </w:p>
    <w:p w14:paraId="3E6D4DEC" w14:textId="522D7E9F" w:rsidR="00DA6C68" w:rsidRDefault="00DA6C68" w:rsidP="00DA6C68">
      <w:pPr>
        <w:widowControl w:val="0"/>
        <w:spacing w:after="60"/>
        <w:ind w:right="91"/>
        <w:rPr>
          <w:rFonts w:ascii="Times New Roman" w:hAnsi="Times New Roman"/>
        </w:rPr>
      </w:pPr>
      <w:r>
        <w:rPr>
          <w:rFonts w:ascii="Times New Roman" w:hAnsi="Times New Roman"/>
        </w:rPr>
        <w:t xml:space="preserve">Item </w:t>
      </w:r>
      <w:r w:rsidR="00926E96">
        <w:rPr>
          <w:rFonts w:ascii="Times New Roman" w:hAnsi="Times New Roman"/>
        </w:rPr>
        <w:t>4</w:t>
      </w:r>
      <w:r>
        <w:rPr>
          <w:rFonts w:ascii="Times New Roman" w:hAnsi="Times New Roman"/>
        </w:rPr>
        <w:t xml:space="preserve"> directs the ACMA to remove references to ‘working day’ and replace with ‘business day’ in </w:t>
      </w:r>
      <w:r w:rsidR="00EA0F2D">
        <w:rPr>
          <w:rFonts w:ascii="Times New Roman" w:hAnsi="Times New Roman"/>
        </w:rPr>
        <w:t>s</w:t>
      </w:r>
      <w:r>
        <w:rPr>
          <w:rFonts w:ascii="Times New Roman" w:hAnsi="Times New Roman"/>
        </w:rPr>
        <w:t xml:space="preserve">ubsection 4(2) of the 2011 CSG Standard. The rationale for this change is detailed </w:t>
      </w:r>
      <w:r w:rsidR="00FC2595">
        <w:rPr>
          <w:rFonts w:ascii="Times New Roman" w:hAnsi="Times New Roman"/>
        </w:rPr>
        <w:t>further</w:t>
      </w:r>
      <w:r>
        <w:rPr>
          <w:rFonts w:ascii="Times New Roman" w:hAnsi="Times New Roman"/>
        </w:rPr>
        <w:t xml:space="preserve"> above. The table also includes </w:t>
      </w:r>
      <w:r w:rsidR="00126471">
        <w:rPr>
          <w:rFonts w:ascii="Times New Roman" w:hAnsi="Times New Roman"/>
        </w:rPr>
        <w:t xml:space="preserve">other </w:t>
      </w:r>
      <w:r>
        <w:rPr>
          <w:rFonts w:ascii="Times New Roman" w:hAnsi="Times New Roman"/>
        </w:rPr>
        <w:t>directions</w:t>
      </w:r>
      <w:r w:rsidR="00126471">
        <w:rPr>
          <w:rFonts w:ascii="Times New Roman" w:hAnsi="Times New Roman"/>
        </w:rPr>
        <w:t xml:space="preserve"> (</w:t>
      </w:r>
      <w:r w:rsidR="0059339E">
        <w:rPr>
          <w:rFonts w:ascii="Times New Roman" w:hAnsi="Times New Roman"/>
        </w:rPr>
        <w:t>i</w:t>
      </w:r>
      <w:r w:rsidR="00126471">
        <w:rPr>
          <w:rFonts w:ascii="Times New Roman" w:hAnsi="Times New Roman"/>
        </w:rPr>
        <w:t xml:space="preserve">tems </w:t>
      </w:r>
      <w:r w:rsidR="00C73ED5">
        <w:rPr>
          <w:rFonts w:ascii="Times New Roman" w:hAnsi="Times New Roman"/>
        </w:rPr>
        <w:t>7</w:t>
      </w:r>
      <w:r w:rsidR="00126471">
        <w:rPr>
          <w:rFonts w:ascii="Times New Roman" w:hAnsi="Times New Roman"/>
        </w:rPr>
        <w:t xml:space="preserve">(a), </w:t>
      </w:r>
      <w:r w:rsidR="00C73ED5">
        <w:rPr>
          <w:rFonts w:ascii="Times New Roman" w:hAnsi="Times New Roman"/>
        </w:rPr>
        <w:t>8</w:t>
      </w:r>
      <w:r w:rsidR="00126471">
        <w:rPr>
          <w:rFonts w:ascii="Times New Roman" w:hAnsi="Times New Roman"/>
        </w:rPr>
        <w:t xml:space="preserve">, </w:t>
      </w:r>
      <w:r w:rsidR="00C73ED5">
        <w:rPr>
          <w:rFonts w:ascii="Times New Roman" w:hAnsi="Times New Roman"/>
        </w:rPr>
        <w:t>10</w:t>
      </w:r>
      <w:r w:rsidR="00126471">
        <w:rPr>
          <w:rFonts w:ascii="Times New Roman" w:hAnsi="Times New Roman"/>
        </w:rPr>
        <w:t>, 1</w:t>
      </w:r>
      <w:r w:rsidR="00C73ED5">
        <w:rPr>
          <w:rFonts w:ascii="Times New Roman" w:hAnsi="Times New Roman"/>
        </w:rPr>
        <w:t>1</w:t>
      </w:r>
      <w:r w:rsidR="00126471">
        <w:rPr>
          <w:rFonts w:ascii="Times New Roman" w:hAnsi="Times New Roman"/>
        </w:rPr>
        <w:t>, 1</w:t>
      </w:r>
      <w:r w:rsidR="00C73ED5">
        <w:rPr>
          <w:rFonts w:ascii="Times New Roman" w:hAnsi="Times New Roman"/>
        </w:rPr>
        <w:t>3</w:t>
      </w:r>
      <w:r w:rsidR="00126471">
        <w:rPr>
          <w:rFonts w:ascii="Times New Roman" w:hAnsi="Times New Roman"/>
        </w:rPr>
        <w:t>, 2</w:t>
      </w:r>
      <w:r w:rsidR="00C73ED5">
        <w:rPr>
          <w:rFonts w:ascii="Times New Roman" w:hAnsi="Times New Roman"/>
        </w:rPr>
        <w:t>2</w:t>
      </w:r>
      <w:r w:rsidR="00126471">
        <w:rPr>
          <w:rFonts w:ascii="Times New Roman" w:hAnsi="Times New Roman"/>
        </w:rPr>
        <w:t xml:space="preserve"> and 2</w:t>
      </w:r>
      <w:r w:rsidR="00C73ED5">
        <w:rPr>
          <w:rFonts w:ascii="Times New Roman" w:hAnsi="Times New Roman"/>
        </w:rPr>
        <w:t>3</w:t>
      </w:r>
      <w:r w:rsidR="00126471">
        <w:rPr>
          <w:rFonts w:ascii="Times New Roman" w:hAnsi="Times New Roman"/>
        </w:rPr>
        <w:t>)</w:t>
      </w:r>
      <w:r>
        <w:rPr>
          <w:rFonts w:ascii="Times New Roman" w:hAnsi="Times New Roman"/>
        </w:rPr>
        <w:t xml:space="preserve"> for </w:t>
      </w:r>
      <w:r w:rsidR="00522ED4">
        <w:rPr>
          <w:rFonts w:ascii="Times New Roman" w:hAnsi="Times New Roman"/>
        </w:rPr>
        <w:t xml:space="preserve">the </w:t>
      </w:r>
      <w:r>
        <w:rPr>
          <w:rFonts w:ascii="Times New Roman" w:hAnsi="Times New Roman"/>
        </w:rPr>
        <w:t xml:space="preserve">ACMA to make this change in </w:t>
      </w:r>
      <w:r w:rsidR="00604DA5">
        <w:rPr>
          <w:rFonts w:ascii="Times New Roman" w:hAnsi="Times New Roman"/>
        </w:rPr>
        <w:t>the following</w:t>
      </w:r>
      <w:r>
        <w:rPr>
          <w:rFonts w:ascii="Times New Roman" w:hAnsi="Times New Roman"/>
        </w:rPr>
        <w:t xml:space="preserve"> sections of the 2011 CSG Standard</w:t>
      </w:r>
      <w:r w:rsidR="00604DA5">
        <w:rPr>
          <w:rFonts w:ascii="Times New Roman" w:hAnsi="Times New Roman"/>
        </w:rPr>
        <w:t xml:space="preserve">: </w:t>
      </w:r>
    </w:p>
    <w:p w14:paraId="5BC70F27" w14:textId="0EB06D20" w:rsidR="00DA6C68" w:rsidRDefault="00DA6C68" w:rsidP="00DA6C68">
      <w:pPr>
        <w:pStyle w:val="ListParagraph"/>
        <w:widowControl w:val="0"/>
        <w:numPr>
          <w:ilvl w:val="0"/>
          <w:numId w:val="2"/>
        </w:numPr>
        <w:ind w:right="91"/>
        <w:rPr>
          <w:rFonts w:ascii="Times New Roman" w:hAnsi="Times New Roman"/>
        </w:rPr>
      </w:pPr>
      <w:r w:rsidRPr="00DA6C68">
        <w:rPr>
          <w:rFonts w:ascii="Times New Roman" w:hAnsi="Times New Roman"/>
        </w:rPr>
        <w:t>section 11 of Division 3</w:t>
      </w:r>
      <w:r>
        <w:rPr>
          <w:rFonts w:ascii="Times New Roman" w:hAnsi="Times New Roman"/>
        </w:rPr>
        <w:t xml:space="preserve">, Part 2 </w:t>
      </w:r>
    </w:p>
    <w:p w14:paraId="1FB6779F" w14:textId="4F3BEF0F"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 xml:space="preserve">section 12 of Division 3, Part 2 </w:t>
      </w:r>
    </w:p>
    <w:p w14:paraId="591F121C" w14:textId="5F18D677"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 xml:space="preserve">section 23 of Part 3 </w:t>
      </w:r>
    </w:p>
    <w:p w14:paraId="2DAD1B73" w14:textId="2DDDFB04"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 xml:space="preserve">section 24 of Part 3 </w:t>
      </w:r>
    </w:p>
    <w:p w14:paraId="7DA35FF5" w14:textId="1B14AF71"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 xml:space="preserve">section 31 of Part 5  </w:t>
      </w:r>
    </w:p>
    <w:p w14:paraId="7B2F596F" w14:textId="60A65A2E"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Part 2 of Schedule 1</w:t>
      </w:r>
    </w:p>
    <w:p w14:paraId="53EDC283" w14:textId="15FC2C3B" w:rsidR="00DA6C68" w:rsidRDefault="00DA6C68" w:rsidP="00DA6C68">
      <w:pPr>
        <w:pStyle w:val="ListParagraph"/>
        <w:widowControl w:val="0"/>
        <w:numPr>
          <w:ilvl w:val="0"/>
          <w:numId w:val="2"/>
        </w:numPr>
        <w:ind w:right="91"/>
        <w:rPr>
          <w:rFonts w:ascii="Times New Roman" w:hAnsi="Times New Roman"/>
        </w:rPr>
      </w:pPr>
      <w:r>
        <w:rPr>
          <w:rFonts w:ascii="Times New Roman" w:hAnsi="Times New Roman"/>
        </w:rPr>
        <w:t>Part 2 of Schedule 2</w:t>
      </w:r>
      <w:r w:rsidR="00126471">
        <w:rPr>
          <w:rFonts w:ascii="Times New Roman" w:hAnsi="Times New Roman"/>
        </w:rPr>
        <w:t xml:space="preserve">. </w:t>
      </w:r>
    </w:p>
    <w:p w14:paraId="3E40F6AC" w14:textId="365F7673" w:rsidR="00326189" w:rsidRPr="00B52AFA" w:rsidRDefault="00DA6C68" w:rsidP="00326189">
      <w:pPr>
        <w:widowControl w:val="0"/>
        <w:ind w:right="91"/>
        <w:rPr>
          <w:rFonts w:ascii="Times New Roman" w:hAnsi="Times New Roman"/>
        </w:rPr>
      </w:pPr>
      <w:r>
        <w:rPr>
          <w:rFonts w:ascii="Times New Roman" w:hAnsi="Times New Roman"/>
        </w:rPr>
        <w:t xml:space="preserve">Item </w:t>
      </w:r>
      <w:r w:rsidR="00C73ED5">
        <w:rPr>
          <w:rFonts w:ascii="Times New Roman" w:hAnsi="Times New Roman"/>
        </w:rPr>
        <w:t>5</w:t>
      </w:r>
      <w:r>
        <w:rPr>
          <w:rFonts w:ascii="Times New Roman" w:hAnsi="Times New Roman"/>
        </w:rPr>
        <w:t xml:space="preserve"> </w:t>
      </w:r>
      <w:r w:rsidR="00B73C0F" w:rsidRPr="00A03930">
        <w:rPr>
          <w:rFonts w:ascii="Times New Roman" w:eastAsiaTheme="minorHAnsi" w:hAnsi="Times New Roman"/>
          <w:kern w:val="24"/>
          <w:lang w:eastAsia="en-US"/>
        </w:rPr>
        <w:t>directs the ACMA to</w:t>
      </w:r>
      <w:r w:rsidR="00355CFF" w:rsidRPr="00A03930">
        <w:rPr>
          <w:rFonts w:ascii="Times New Roman" w:eastAsiaTheme="minorHAnsi" w:hAnsi="Times New Roman"/>
          <w:kern w:val="24"/>
          <w:lang w:eastAsia="en-US"/>
        </w:rPr>
        <w:t xml:space="preserve"> make a minor amendment to </w:t>
      </w:r>
      <w:r w:rsidR="00553AFE">
        <w:rPr>
          <w:rFonts w:ascii="Times New Roman" w:eastAsiaTheme="minorHAnsi" w:hAnsi="Times New Roman"/>
          <w:kern w:val="24"/>
          <w:lang w:eastAsia="en-US"/>
        </w:rPr>
        <w:t>the</w:t>
      </w:r>
      <w:r w:rsidR="00E33D65">
        <w:rPr>
          <w:rFonts w:ascii="Times New Roman" w:eastAsiaTheme="minorHAnsi" w:hAnsi="Times New Roman"/>
          <w:kern w:val="24"/>
          <w:lang w:eastAsia="en-US"/>
        </w:rPr>
        <w:t xml:space="preserve"> note in </w:t>
      </w:r>
      <w:r w:rsidR="00355CFF" w:rsidRPr="00A03930">
        <w:rPr>
          <w:rFonts w:ascii="Times New Roman" w:eastAsiaTheme="minorHAnsi" w:hAnsi="Times New Roman"/>
          <w:kern w:val="24"/>
          <w:lang w:eastAsia="en-US"/>
        </w:rPr>
        <w:t xml:space="preserve">section 6 of the </w:t>
      </w:r>
      <w:r w:rsidR="00EA0F2D">
        <w:rPr>
          <w:rFonts w:ascii="Times New Roman" w:eastAsiaTheme="minorHAnsi" w:hAnsi="Times New Roman"/>
          <w:kern w:val="24"/>
          <w:lang w:eastAsia="en-US"/>
        </w:rPr>
        <w:t xml:space="preserve">2011 </w:t>
      </w:r>
      <w:r w:rsidR="00355CFF" w:rsidRPr="00A03930">
        <w:rPr>
          <w:rFonts w:ascii="Times New Roman" w:eastAsiaTheme="minorHAnsi" w:hAnsi="Times New Roman"/>
          <w:kern w:val="24"/>
          <w:lang w:eastAsia="en-US"/>
        </w:rPr>
        <w:t xml:space="preserve">CSG Standard. This section sets out requirements for </w:t>
      </w:r>
      <w:r w:rsidR="009C79E0" w:rsidRPr="00A03930">
        <w:rPr>
          <w:rFonts w:ascii="Times New Roman" w:eastAsiaTheme="minorHAnsi" w:hAnsi="Times New Roman"/>
          <w:kern w:val="24"/>
          <w:lang w:eastAsia="en-US"/>
        </w:rPr>
        <w:t xml:space="preserve">CSPs </w:t>
      </w:r>
      <w:r w:rsidR="00355CFF" w:rsidRPr="00A03930">
        <w:rPr>
          <w:rFonts w:ascii="Times New Roman" w:eastAsiaTheme="minorHAnsi" w:hAnsi="Times New Roman"/>
          <w:kern w:val="24"/>
          <w:lang w:eastAsia="en-US"/>
        </w:rPr>
        <w:t xml:space="preserve">to inform customers about the protections provided for by the CSG Standard, including the performance standards that apply to their services, the obligations of the provider, and the customer’s entitlements to damages for contravention of a standard. </w:t>
      </w:r>
      <w:r w:rsidR="00522ED4">
        <w:rPr>
          <w:rFonts w:ascii="Times New Roman" w:eastAsiaTheme="minorHAnsi" w:hAnsi="Times New Roman"/>
          <w:kern w:val="24"/>
          <w:lang w:eastAsia="en-US"/>
        </w:rPr>
        <w:t xml:space="preserve">The </w:t>
      </w:r>
      <w:r w:rsidR="00355CFF" w:rsidRPr="00A03930">
        <w:rPr>
          <w:rFonts w:ascii="Times New Roman" w:eastAsiaTheme="minorHAnsi" w:hAnsi="Times New Roman"/>
          <w:kern w:val="24"/>
          <w:lang w:eastAsia="en-US"/>
        </w:rPr>
        <w:t xml:space="preserve">ACMA will be required to </w:t>
      </w:r>
      <w:r w:rsidR="00326189" w:rsidRPr="00A03930">
        <w:rPr>
          <w:rFonts w:ascii="Times New Roman" w:eastAsiaTheme="minorHAnsi" w:hAnsi="Times New Roman"/>
          <w:kern w:val="24"/>
          <w:lang w:eastAsia="en-US"/>
        </w:rPr>
        <w:t>amend the note that provides an example of information to be given to customers in writing, so that the reference to “</w:t>
      </w:r>
      <w:r w:rsidR="00553AFE">
        <w:rPr>
          <w:rFonts w:ascii="Times New Roman" w:eastAsiaTheme="minorHAnsi" w:hAnsi="Times New Roman"/>
          <w:kern w:val="24"/>
          <w:lang w:eastAsia="en-US"/>
        </w:rPr>
        <w:t xml:space="preserve">in a </w:t>
      </w:r>
      <w:r w:rsidR="00326189" w:rsidRPr="00A03930">
        <w:rPr>
          <w:rFonts w:ascii="Times New Roman" w:eastAsiaTheme="minorHAnsi" w:hAnsi="Times New Roman"/>
          <w:kern w:val="24"/>
          <w:lang w:eastAsia="en-US"/>
        </w:rPr>
        <w:t xml:space="preserve">telephone directory” will be replaced with “on a carriage service provider’s website”. This change reflects that </w:t>
      </w:r>
      <w:r w:rsidR="001D11D7">
        <w:rPr>
          <w:rFonts w:ascii="Times New Roman" w:eastAsiaTheme="minorHAnsi" w:hAnsi="Times New Roman"/>
          <w:kern w:val="24"/>
          <w:lang w:eastAsia="en-US"/>
        </w:rPr>
        <w:t>there is now less reliance on printed phone directories</w:t>
      </w:r>
      <w:r>
        <w:rPr>
          <w:rFonts w:ascii="Times New Roman" w:eastAsiaTheme="minorHAnsi" w:hAnsi="Times New Roman"/>
          <w:kern w:val="24"/>
          <w:lang w:eastAsia="en-US"/>
        </w:rPr>
        <w:t>,</w:t>
      </w:r>
      <w:r w:rsidR="001D11D7">
        <w:rPr>
          <w:rFonts w:ascii="Times New Roman" w:eastAsiaTheme="minorHAnsi" w:hAnsi="Times New Roman"/>
          <w:kern w:val="24"/>
          <w:lang w:eastAsia="en-US"/>
        </w:rPr>
        <w:t xml:space="preserve"> and </w:t>
      </w:r>
      <w:r w:rsidR="00326189" w:rsidRPr="00A03930">
        <w:rPr>
          <w:rFonts w:ascii="Times New Roman" w:eastAsiaTheme="minorHAnsi" w:hAnsi="Times New Roman"/>
          <w:kern w:val="24"/>
          <w:lang w:eastAsia="en-US"/>
        </w:rPr>
        <w:t>website</w:t>
      </w:r>
      <w:r w:rsidR="007D7673">
        <w:rPr>
          <w:rFonts w:ascii="Times New Roman" w:eastAsiaTheme="minorHAnsi" w:hAnsi="Times New Roman"/>
          <w:kern w:val="24"/>
          <w:lang w:eastAsia="en-US"/>
        </w:rPr>
        <w:t>s</w:t>
      </w:r>
      <w:r w:rsidR="00326189" w:rsidRPr="00A03930">
        <w:rPr>
          <w:rFonts w:ascii="Times New Roman" w:eastAsiaTheme="minorHAnsi" w:hAnsi="Times New Roman"/>
          <w:kern w:val="24"/>
          <w:lang w:eastAsia="en-US"/>
        </w:rPr>
        <w:t xml:space="preserve"> </w:t>
      </w:r>
      <w:r w:rsidR="007D7673">
        <w:rPr>
          <w:rFonts w:ascii="Times New Roman" w:eastAsiaTheme="minorHAnsi" w:hAnsi="Times New Roman"/>
          <w:kern w:val="24"/>
          <w:lang w:eastAsia="en-US"/>
        </w:rPr>
        <w:t xml:space="preserve">are now commonly used </w:t>
      </w:r>
      <w:r w:rsidR="001D11D7">
        <w:rPr>
          <w:rFonts w:ascii="Times New Roman" w:eastAsiaTheme="minorHAnsi" w:hAnsi="Times New Roman"/>
          <w:kern w:val="24"/>
          <w:lang w:eastAsia="en-US"/>
        </w:rPr>
        <w:t xml:space="preserve">by industry </w:t>
      </w:r>
      <w:r w:rsidR="007D7673">
        <w:rPr>
          <w:rFonts w:ascii="Times New Roman" w:eastAsiaTheme="minorHAnsi" w:hAnsi="Times New Roman"/>
          <w:kern w:val="24"/>
          <w:lang w:eastAsia="en-US"/>
        </w:rPr>
        <w:t xml:space="preserve">to provide </w:t>
      </w:r>
      <w:r w:rsidR="001D11D7">
        <w:rPr>
          <w:rFonts w:ascii="Times New Roman" w:eastAsiaTheme="minorHAnsi" w:hAnsi="Times New Roman"/>
          <w:kern w:val="24"/>
          <w:lang w:eastAsia="en-US"/>
        </w:rPr>
        <w:t xml:space="preserve">many </w:t>
      </w:r>
      <w:r w:rsidR="007D7673">
        <w:rPr>
          <w:rFonts w:ascii="Times New Roman" w:eastAsiaTheme="minorHAnsi" w:hAnsi="Times New Roman"/>
          <w:kern w:val="24"/>
          <w:lang w:eastAsia="en-US"/>
        </w:rPr>
        <w:t xml:space="preserve">consumers </w:t>
      </w:r>
      <w:r w:rsidR="001D11D7">
        <w:rPr>
          <w:rFonts w:ascii="Times New Roman" w:eastAsiaTheme="minorHAnsi" w:hAnsi="Times New Roman"/>
          <w:kern w:val="24"/>
          <w:lang w:eastAsia="en-US"/>
        </w:rPr>
        <w:t xml:space="preserve">with ready </w:t>
      </w:r>
      <w:r w:rsidR="00326189" w:rsidRPr="00A03930">
        <w:rPr>
          <w:rFonts w:ascii="Times New Roman" w:eastAsiaTheme="minorHAnsi" w:hAnsi="Times New Roman"/>
          <w:kern w:val="24"/>
          <w:lang w:eastAsia="en-US"/>
        </w:rPr>
        <w:t xml:space="preserve">access </w:t>
      </w:r>
      <w:r w:rsidR="007D7673">
        <w:rPr>
          <w:rFonts w:ascii="Times New Roman" w:eastAsiaTheme="minorHAnsi" w:hAnsi="Times New Roman"/>
          <w:kern w:val="24"/>
          <w:lang w:eastAsia="en-US"/>
        </w:rPr>
        <w:t xml:space="preserve">to </w:t>
      </w:r>
      <w:r w:rsidR="00326189" w:rsidRPr="00A03930">
        <w:rPr>
          <w:rFonts w:ascii="Times New Roman" w:eastAsiaTheme="minorHAnsi" w:hAnsi="Times New Roman"/>
          <w:kern w:val="24"/>
          <w:lang w:eastAsia="en-US"/>
        </w:rPr>
        <w:t>information.</w:t>
      </w:r>
      <w:r w:rsidR="007D7673">
        <w:rPr>
          <w:rFonts w:ascii="Times New Roman" w:eastAsiaTheme="minorHAnsi" w:hAnsi="Times New Roman"/>
          <w:kern w:val="24"/>
          <w:lang w:eastAsia="en-US"/>
        </w:rPr>
        <w:t xml:space="preserve"> However, </w:t>
      </w:r>
      <w:r w:rsidR="001D11D7">
        <w:rPr>
          <w:rFonts w:ascii="Times New Roman" w:eastAsiaTheme="minorHAnsi" w:hAnsi="Times New Roman"/>
          <w:kern w:val="24"/>
          <w:lang w:eastAsia="en-US"/>
        </w:rPr>
        <w:t xml:space="preserve">the fundamental requirement for providers to ensure </w:t>
      </w:r>
      <w:r w:rsidR="00E33D65">
        <w:rPr>
          <w:rFonts w:ascii="Times New Roman" w:eastAsiaTheme="minorHAnsi" w:hAnsi="Times New Roman"/>
          <w:kern w:val="24"/>
          <w:lang w:eastAsia="en-US"/>
        </w:rPr>
        <w:t xml:space="preserve">relevant </w:t>
      </w:r>
      <w:r w:rsidR="001D11D7">
        <w:rPr>
          <w:rFonts w:ascii="Times New Roman" w:eastAsiaTheme="minorHAnsi" w:hAnsi="Times New Roman"/>
          <w:kern w:val="24"/>
          <w:lang w:eastAsia="en-US"/>
        </w:rPr>
        <w:t xml:space="preserve">information is provided in writing is unchanged. </w:t>
      </w:r>
    </w:p>
    <w:p w14:paraId="40912D03" w14:textId="074FE7B5" w:rsidR="00B73C0F" w:rsidRDefault="00B73C0F" w:rsidP="00E62DD4">
      <w:pPr>
        <w:widowControl w:val="0"/>
        <w:ind w:right="91"/>
        <w:rPr>
          <w:rFonts w:ascii="Times New Roman" w:eastAsiaTheme="minorHAnsi" w:hAnsi="Times New Roman"/>
          <w:kern w:val="24"/>
          <w:lang w:eastAsia="en-US"/>
        </w:rPr>
      </w:pPr>
      <w:r w:rsidRPr="00FD1993">
        <w:rPr>
          <w:rFonts w:ascii="Times New Roman" w:eastAsiaTheme="minorHAnsi" w:hAnsi="Times New Roman"/>
          <w:kern w:val="24"/>
          <w:lang w:eastAsia="en-US"/>
        </w:rPr>
        <w:t xml:space="preserve">Item </w:t>
      </w:r>
      <w:r w:rsidR="00C73ED5">
        <w:rPr>
          <w:rFonts w:ascii="Times New Roman" w:eastAsiaTheme="minorHAnsi" w:hAnsi="Times New Roman"/>
          <w:kern w:val="24"/>
          <w:lang w:eastAsia="en-US"/>
        </w:rPr>
        <w:t>6</w:t>
      </w:r>
      <w:r w:rsidRPr="00A03930">
        <w:rPr>
          <w:rFonts w:ascii="Times New Roman" w:eastAsiaTheme="minorHAnsi" w:hAnsi="Times New Roman"/>
          <w:kern w:val="24"/>
          <w:lang w:eastAsia="en-US"/>
        </w:rPr>
        <w:t xml:space="preserve"> directs the ACMA to make amendments to </w:t>
      </w:r>
      <w:r w:rsidR="00C01D7D">
        <w:rPr>
          <w:rFonts w:ascii="Times New Roman" w:eastAsiaTheme="minorHAnsi" w:hAnsi="Times New Roman"/>
          <w:kern w:val="24"/>
          <w:lang w:eastAsia="en-US"/>
        </w:rPr>
        <w:t xml:space="preserve">subsection 8(2) of the </w:t>
      </w:r>
      <w:r w:rsidR="0072352D">
        <w:rPr>
          <w:rFonts w:ascii="Times New Roman" w:eastAsiaTheme="minorHAnsi" w:hAnsi="Times New Roman"/>
          <w:kern w:val="24"/>
          <w:lang w:eastAsia="en-US"/>
        </w:rPr>
        <w:t xml:space="preserve">2011 </w:t>
      </w:r>
      <w:r w:rsidR="00C01D7D">
        <w:rPr>
          <w:rFonts w:ascii="Times New Roman" w:eastAsiaTheme="minorHAnsi" w:hAnsi="Times New Roman"/>
          <w:kern w:val="24"/>
          <w:lang w:eastAsia="en-US"/>
        </w:rPr>
        <w:t>CSG Standard</w:t>
      </w:r>
      <w:r w:rsidR="009C3817">
        <w:rPr>
          <w:rFonts w:ascii="Times New Roman" w:eastAsiaTheme="minorHAnsi" w:hAnsi="Times New Roman"/>
          <w:kern w:val="24"/>
          <w:lang w:eastAsia="en-US"/>
        </w:rPr>
        <w:t xml:space="preserve"> which will see the removal of references to Telstra’s USO standard marketing plan that was previously </w:t>
      </w:r>
      <w:r w:rsidR="001849A0">
        <w:rPr>
          <w:rFonts w:ascii="Times New Roman" w:eastAsiaTheme="minorHAnsi" w:hAnsi="Times New Roman"/>
          <w:kern w:val="24"/>
          <w:lang w:eastAsia="en-US"/>
        </w:rPr>
        <w:t>applicable</w:t>
      </w:r>
      <w:r w:rsidR="005F4266">
        <w:rPr>
          <w:rFonts w:ascii="Times New Roman" w:eastAsiaTheme="minorHAnsi" w:hAnsi="Times New Roman"/>
          <w:kern w:val="24"/>
          <w:lang w:eastAsia="en-US"/>
        </w:rPr>
        <w:t xml:space="preserve">. Under previous arrangements that were still in place when the 2011 CSG Standard commenced, Telstra was required to </w:t>
      </w:r>
      <w:r w:rsidR="005F4266">
        <w:rPr>
          <w:rFonts w:ascii="Times New Roman" w:hAnsi="Times New Roman"/>
        </w:rPr>
        <w:t>publish a standard marketing plan that set out the terms of how it would fulfil its USO obligations, to be approved by the ACMA</w:t>
      </w:r>
      <w:r w:rsidR="00522ED4">
        <w:rPr>
          <w:rFonts w:ascii="Times New Roman" w:hAnsi="Times New Roman"/>
        </w:rPr>
        <w:t xml:space="preserve"> as the regulator</w:t>
      </w:r>
      <w:r w:rsidR="005F4266">
        <w:rPr>
          <w:rFonts w:ascii="Times New Roman" w:hAnsi="Times New Roman"/>
        </w:rPr>
        <w:t xml:space="preserve">. These requirements were removed from the Act in 2014 </w:t>
      </w:r>
      <w:r w:rsidR="005F4266" w:rsidRPr="000458C9">
        <w:rPr>
          <w:rFonts w:ascii="Times New Roman" w:eastAsiaTheme="minorHAnsi" w:hAnsi="Times New Roman"/>
          <w:kern w:val="24"/>
          <w:lang w:eastAsia="en-US"/>
        </w:rPr>
        <w:t xml:space="preserve">under Part 8 of the </w:t>
      </w:r>
      <w:r w:rsidR="005F4266" w:rsidRPr="000458C9">
        <w:rPr>
          <w:rFonts w:ascii="Times New Roman" w:eastAsiaTheme="minorHAnsi" w:hAnsi="Times New Roman"/>
          <w:i/>
          <w:kern w:val="24"/>
          <w:lang w:eastAsia="en-US"/>
        </w:rPr>
        <w:t>Omnibus Repeal Day (Autumn 2014) Act 2014</w:t>
      </w:r>
      <w:r w:rsidR="005F4266">
        <w:rPr>
          <w:rFonts w:ascii="Times New Roman" w:eastAsiaTheme="minorHAnsi" w:hAnsi="Times New Roman"/>
          <w:kern w:val="24"/>
          <w:lang w:eastAsia="en-US"/>
        </w:rPr>
        <w:t xml:space="preserve">. </w:t>
      </w:r>
      <w:r w:rsidR="009C3817">
        <w:rPr>
          <w:rFonts w:ascii="Times New Roman" w:eastAsiaTheme="minorHAnsi" w:hAnsi="Times New Roman"/>
          <w:kern w:val="24"/>
          <w:lang w:eastAsia="en-US"/>
        </w:rPr>
        <w:t>Subsection 8(2)</w:t>
      </w:r>
      <w:r w:rsidR="00C01D7D">
        <w:rPr>
          <w:rFonts w:ascii="Times New Roman" w:eastAsiaTheme="minorHAnsi" w:hAnsi="Times New Roman"/>
          <w:kern w:val="24"/>
          <w:lang w:eastAsia="en-US"/>
        </w:rPr>
        <w:t xml:space="preserve"> </w:t>
      </w:r>
      <w:r w:rsidR="00EA0F2D">
        <w:rPr>
          <w:rFonts w:ascii="Times New Roman" w:eastAsiaTheme="minorHAnsi" w:hAnsi="Times New Roman"/>
          <w:kern w:val="24"/>
          <w:lang w:eastAsia="en-US"/>
        </w:rPr>
        <w:t xml:space="preserve">of the 2011 CSG Standard </w:t>
      </w:r>
      <w:r w:rsidR="00C01D7D">
        <w:rPr>
          <w:rFonts w:ascii="Times New Roman" w:eastAsiaTheme="minorHAnsi" w:hAnsi="Times New Roman"/>
          <w:kern w:val="24"/>
          <w:lang w:eastAsia="en-US"/>
        </w:rPr>
        <w:t>sets out the guaranteed maximum connection period that applies if a premise is not in close proximity to existing infrastructure or the network has no spare capacity</w:t>
      </w:r>
      <w:r w:rsidR="00FD1993">
        <w:rPr>
          <w:rFonts w:ascii="Times New Roman" w:eastAsiaTheme="minorHAnsi" w:hAnsi="Times New Roman"/>
          <w:kern w:val="24"/>
          <w:lang w:eastAsia="en-US"/>
        </w:rPr>
        <w:t xml:space="preserve">, which is “in accordance with an </w:t>
      </w:r>
      <w:r w:rsidR="009C3817">
        <w:rPr>
          <w:rFonts w:ascii="Times New Roman" w:eastAsiaTheme="minorHAnsi" w:hAnsi="Times New Roman"/>
          <w:kern w:val="24"/>
          <w:lang w:eastAsia="en-US"/>
        </w:rPr>
        <w:t>approved standard marketing plan for a universal service provider</w:t>
      </w:r>
      <w:r w:rsidR="00FD1993">
        <w:rPr>
          <w:rFonts w:ascii="Times New Roman" w:eastAsiaTheme="minorHAnsi" w:hAnsi="Times New Roman"/>
          <w:kern w:val="24"/>
          <w:lang w:eastAsia="en-US"/>
        </w:rPr>
        <w:t>”</w:t>
      </w:r>
      <w:r w:rsidR="0072352D">
        <w:rPr>
          <w:rFonts w:ascii="Times New Roman" w:eastAsiaTheme="minorHAnsi" w:hAnsi="Times New Roman"/>
          <w:kern w:val="24"/>
          <w:lang w:eastAsia="en-US"/>
        </w:rPr>
        <w:t xml:space="preserve">. A </w:t>
      </w:r>
      <w:r w:rsidR="0072352D">
        <w:rPr>
          <w:rFonts w:ascii="Times New Roman" w:eastAsiaTheme="minorHAnsi" w:hAnsi="Times New Roman"/>
          <w:kern w:val="24"/>
          <w:lang w:eastAsia="en-US"/>
        </w:rPr>
        <w:lastRenderedPageBreak/>
        <w:t>note is also included to</w:t>
      </w:r>
      <w:r w:rsidR="009C3817">
        <w:rPr>
          <w:rFonts w:ascii="Times New Roman" w:eastAsiaTheme="minorHAnsi" w:hAnsi="Times New Roman"/>
          <w:kern w:val="24"/>
          <w:lang w:eastAsia="en-US"/>
        </w:rPr>
        <w:t xml:space="preserve"> specif</w:t>
      </w:r>
      <w:r w:rsidR="0072352D">
        <w:rPr>
          <w:rFonts w:ascii="Times New Roman" w:eastAsiaTheme="minorHAnsi" w:hAnsi="Times New Roman"/>
          <w:kern w:val="24"/>
          <w:lang w:eastAsia="en-US"/>
        </w:rPr>
        <w:t>y that, according</w:t>
      </w:r>
      <w:r w:rsidR="00FD1993">
        <w:rPr>
          <w:rFonts w:ascii="Times New Roman" w:eastAsiaTheme="minorHAnsi" w:hAnsi="Times New Roman"/>
          <w:kern w:val="24"/>
          <w:lang w:eastAsia="en-US"/>
        </w:rPr>
        <w:t xml:space="preserve"> to</w:t>
      </w:r>
      <w:r w:rsidR="0072352D">
        <w:rPr>
          <w:rFonts w:ascii="Times New Roman" w:eastAsiaTheme="minorHAnsi" w:hAnsi="Times New Roman"/>
          <w:kern w:val="24"/>
          <w:lang w:eastAsia="en-US"/>
        </w:rPr>
        <w:t xml:space="preserve"> Telstra’s USO standard marketing plan, </w:t>
      </w:r>
      <w:r w:rsidR="00FD1993">
        <w:rPr>
          <w:rFonts w:ascii="Times New Roman" w:eastAsiaTheme="minorHAnsi" w:hAnsi="Times New Roman"/>
          <w:kern w:val="24"/>
          <w:lang w:eastAsia="en-US"/>
        </w:rPr>
        <w:t xml:space="preserve">if Telstra cannot supply the service on the date the customer requires it to be connected, it will aim to supply it within one calendar month (equivalent to 20 working days) from the date of the customer’s request. </w:t>
      </w:r>
      <w:r w:rsidR="009C3817">
        <w:rPr>
          <w:rFonts w:ascii="Times New Roman" w:eastAsiaTheme="minorHAnsi" w:hAnsi="Times New Roman"/>
          <w:kern w:val="24"/>
          <w:lang w:eastAsia="en-US"/>
        </w:rPr>
        <w:t xml:space="preserve">Given this plan no longer applies, the ACMA will be required to remove this note and amend subsection 8(2) so that </w:t>
      </w:r>
      <w:r w:rsidR="001849A0">
        <w:rPr>
          <w:rFonts w:ascii="Times New Roman" w:eastAsiaTheme="minorHAnsi" w:hAnsi="Times New Roman"/>
          <w:kern w:val="24"/>
          <w:lang w:eastAsia="en-US"/>
        </w:rPr>
        <w:t>the guaranteed maximum connection period i</w:t>
      </w:r>
      <w:r w:rsidR="00E33D65">
        <w:rPr>
          <w:rFonts w:ascii="Times New Roman" w:eastAsiaTheme="minorHAnsi" w:hAnsi="Times New Roman"/>
          <w:kern w:val="24"/>
          <w:lang w:eastAsia="en-US"/>
        </w:rPr>
        <w:t>n this case is</w:t>
      </w:r>
      <w:r w:rsidR="001849A0">
        <w:rPr>
          <w:rFonts w:ascii="Times New Roman" w:eastAsiaTheme="minorHAnsi" w:hAnsi="Times New Roman"/>
          <w:kern w:val="24"/>
          <w:lang w:eastAsia="en-US"/>
        </w:rPr>
        <w:t xml:space="preserve"> simply 20 </w:t>
      </w:r>
      <w:r w:rsidR="00FD1993">
        <w:rPr>
          <w:rFonts w:ascii="Times New Roman" w:eastAsiaTheme="minorHAnsi" w:hAnsi="Times New Roman"/>
          <w:kern w:val="24"/>
          <w:lang w:eastAsia="en-US"/>
        </w:rPr>
        <w:t>business</w:t>
      </w:r>
      <w:r w:rsidR="001849A0">
        <w:rPr>
          <w:rFonts w:ascii="Times New Roman" w:eastAsiaTheme="minorHAnsi" w:hAnsi="Times New Roman"/>
          <w:kern w:val="24"/>
          <w:lang w:eastAsia="en-US"/>
        </w:rPr>
        <w:t xml:space="preserve"> days. </w:t>
      </w:r>
    </w:p>
    <w:p w14:paraId="444DC4CF" w14:textId="38790118" w:rsidR="00604DA5" w:rsidRDefault="00CE34CD"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Item </w:t>
      </w:r>
      <w:r w:rsidR="00C73ED5">
        <w:rPr>
          <w:rFonts w:ascii="Times New Roman" w:eastAsiaTheme="minorHAnsi" w:hAnsi="Times New Roman"/>
          <w:kern w:val="24"/>
          <w:lang w:eastAsia="en-US"/>
        </w:rPr>
        <w:t>7</w:t>
      </w:r>
      <w:r>
        <w:rPr>
          <w:rFonts w:ascii="Times New Roman" w:eastAsiaTheme="minorHAnsi" w:hAnsi="Times New Roman"/>
          <w:kern w:val="24"/>
          <w:lang w:eastAsia="en-US"/>
        </w:rPr>
        <w:t xml:space="preserve">(b) directs the ACMA to make an amendment </w:t>
      </w:r>
      <w:r w:rsidR="008A416E">
        <w:rPr>
          <w:rFonts w:ascii="Times New Roman" w:eastAsiaTheme="minorHAnsi" w:hAnsi="Times New Roman"/>
          <w:kern w:val="24"/>
          <w:lang w:eastAsia="en-US"/>
        </w:rPr>
        <w:t>to the note at</w:t>
      </w:r>
      <w:r>
        <w:rPr>
          <w:rFonts w:ascii="Times New Roman" w:eastAsiaTheme="minorHAnsi" w:hAnsi="Times New Roman"/>
          <w:kern w:val="24"/>
          <w:lang w:eastAsia="en-US"/>
        </w:rPr>
        <w:t xml:space="preserve"> subsection 11(6) of the 2011 CSG Standard to update the reference to the Australian Bureau of Statistics (ABS) publication</w:t>
      </w:r>
      <w:r w:rsidR="00604DA5">
        <w:rPr>
          <w:rFonts w:ascii="Times New Roman" w:eastAsiaTheme="minorHAnsi" w:hAnsi="Times New Roman"/>
          <w:kern w:val="24"/>
          <w:lang w:eastAsia="en-US"/>
        </w:rPr>
        <w:t>,</w:t>
      </w:r>
      <w:r>
        <w:rPr>
          <w:rFonts w:ascii="Times New Roman" w:eastAsiaTheme="minorHAnsi" w:hAnsi="Times New Roman"/>
          <w:kern w:val="24"/>
          <w:lang w:eastAsia="en-US"/>
        </w:rPr>
        <w:t xml:space="preserve"> which provides information about how the ABS </w:t>
      </w:r>
      <w:r w:rsidR="00604DA5">
        <w:rPr>
          <w:rFonts w:ascii="Times New Roman" w:eastAsiaTheme="minorHAnsi" w:hAnsi="Times New Roman"/>
          <w:kern w:val="24"/>
          <w:lang w:eastAsia="en-US"/>
        </w:rPr>
        <w:t>classifies geographical areas</w:t>
      </w:r>
      <w:r w:rsidR="008A416E">
        <w:rPr>
          <w:rFonts w:ascii="Times New Roman" w:eastAsiaTheme="minorHAnsi" w:hAnsi="Times New Roman"/>
          <w:kern w:val="24"/>
          <w:lang w:eastAsia="en-US"/>
        </w:rPr>
        <w:t xml:space="preserve"> such as an ‘urban centre’ and ‘locality’.</w:t>
      </w:r>
      <w:r>
        <w:rPr>
          <w:rFonts w:ascii="Times New Roman" w:eastAsiaTheme="minorHAnsi" w:hAnsi="Times New Roman"/>
          <w:kern w:val="24"/>
          <w:lang w:eastAsia="en-US"/>
        </w:rPr>
        <w:t xml:space="preserve"> </w:t>
      </w:r>
      <w:r w:rsidR="00DA5913">
        <w:rPr>
          <w:rFonts w:ascii="Times New Roman" w:eastAsiaTheme="minorHAnsi" w:hAnsi="Times New Roman"/>
          <w:kern w:val="24"/>
          <w:lang w:eastAsia="en-US"/>
        </w:rPr>
        <w:t xml:space="preserve">The note </w:t>
      </w:r>
      <w:r w:rsidR="00604DA5">
        <w:rPr>
          <w:rFonts w:ascii="Times New Roman" w:eastAsiaTheme="minorHAnsi" w:hAnsi="Times New Roman"/>
          <w:kern w:val="24"/>
          <w:lang w:eastAsia="en-US"/>
        </w:rPr>
        <w:t xml:space="preserve">is considered helpful as the </w:t>
      </w:r>
      <w:r w:rsidR="008A416E">
        <w:rPr>
          <w:rFonts w:ascii="Times New Roman" w:eastAsiaTheme="minorHAnsi" w:hAnsi="Times New Roman"/>
          <w:kern w:val="24"/>
          <w:lang w:eastAsia="en-US"/>
        </w:rPr>
        <w:t xml:space="preserve">sections of the CSG Standard that set out the </w:t>
      </w:r>
      <w:r w:rsidR="00604DA5">
        <w:rPr>
          <w:rFonts w:ascii="Times New Roman" w:eastAsiaTheme="minorHAnsi" w:hAnsi="Times New Roman"/>
          <w:kern w:val="24"/>
          <w:lang w:eastAsia="en-US"/>
        </w:rPr>
        <w:t>maximum connection, fault rectification and appointment-keeping timeframes</w:t>
      </w:r>
      <w:r w:rsidR="008A416E">
        <w:rPr>
          <w:rFonts w:ascii="Times New Roman" w:eastAsiaTheme="minorHAnsi" w:hAnsi="Times New Roman"/>
          <w:kern w:val="24"/>
          <w:lang w:eastAsia="en-US"/>
        </w:rPr>
        <w:t xml:space="preserve"> refer to geographical areas as defined by </w:t>
      </w:r>
      <w:r w:rsidR="004D7175">
        <w:rPr>
          <w:rFonts w:ascii="Times New Roman" w:eastAsiaTheme="minorHAnsi" w:hAnsi="Times New Roman"/>
          <w:kern w:val="24"/>
          <w:lang w:eastAsia="en-US"/>
        </w:rPr>
        <w:t xml:space="preserve">the </w:t>
      </w:r>
      <w:r w:rsidR="008A416E">
        <w:rPr>
          <w:rFonts w:ascii="Times New Roman" w:eastAsiaTheme="minorHAnsi" w:hAnsi="Times New Roman"/>
          <w:kern w:val="24"/>
          <w:lang w:eastAsia="en-US"/>
        </w:rPr>
        <w:t xml:space="preserve">criteria used </w:t>
      </w:r>
      <w:r w:rsidR="004D7175">
        <w:rPr>
          <w:rFonts w:ascii="Times New Roman" w:eastAsiaTheme="minorHAnsi" w:hAnsi="Times New Roman"/>
          <w:kern w:val="24"/>
          <w:lang w:eastAsia="en-US"/>
        </w:rPr>
        <w:t xml:space="preserve">by the ABS </w:t>
      </w:r>
      <w:r w:rsidR="008A416E">
        <w:rPr>
          <w:rFonts w:ascii="Times New Roman" w:eastAsiaTheme="minorHAnsi" w:hAnsi="Times New Roman"/>
          <w:kern w:val="24"/>
          <w:lang w:eastAsia="en-US"/>
        </w:rPr>
        <w:t xml:space="preserve">for the most recent Australian census. Accordingly, </w:t>
      </w:r>
      <w:r w:rsidR="00522ED4">
        <w:rPr>
          <w:rFonts w:ascii="Times New Roman" w:eastAsiaTheme="minorHAnsi" w:hAnsi="Times New Roman"/>
          <w:kern w:val="24"/>
          <w:lang w:eastAsia="en-US"/>
        </w:rPr>
        <w:t xml:space="preserve">the </w:t>
      </w:r>
      <w:r>
        <w:rPr>
          <w:rFonts w:ascii="Times New Roman" w:eastAsiaTheme="minorHAnsi" w:hAnsi="Times New Roman"/>
          <w:kern w:val="24"/>
          <w:lang w:eastAsia="en-US"/>
        </w:rPr>
        <w:t xml:space="preserve">ACMA will be required to refer to </w:t>
      </w:r>
      <w:r w:rsidR="004D7175">
        <w:rPr>
          <w:rFonts w:ascii="Times New Roman" w:eastAsiaTheme="minorHAnsi" w:hAnsi="Times New Roman"/>
          <w:kern w:val="24"/>
          <w:lang w:eastAsia="en-US"/>
        </w:rPr>
        <w:t>the updated</w:t>
      </w:r>
      <w:r>
        <w:rPr>
          <w:rFonts w:ascii="Times New Roman" w:eastAsiaTheme="minorHAnsi" w:hAnsi="Times New Roman"/>
          <w:kern w:val="24"/>
          <w:lang w:eastAsia="en-US"/>
        </w:rPr>
        <w:t xml:space="preserve"> publication</w:t>
      </w:r>
      <w:r w:rsidR="008A416E">
        <w:rPr>
          <w:rFonts w:ascii="Times New Roman" w:eastAsiaTheme="minorHAnsi" w:hAnsi="Times New Roman"/>
          <w:kern w:val="24"/>
          <w:lang w:eastAsia="en-US"/>
        </w:rPr>
        <w:t xml:space="preserve"> – </w:t>
      </w:r>
      <w:r>
        <w:rPr>
          <w:rFonts w:ascii="Times New Roman" w:eastAsiaTheme="minorHAnsi" w:hAnsi="Times New Roman"/>
          <w:kern w:val="24"/>
          <w:lang w:eastAsia="en-US"/>
        </w:rPr>
        <w:t xml:space="preserve">the ‘Australian Statistical Geography Standard (ASGS) Edition 3’.  </w:t>
      </w:r>
      <w:r w:rsidR="008A416E">
        <w:rPr>
          <w:rFonts w:ascii="Times New Roman" w:eastAsiaTheme="minorHAnsi" w:hAnsi="Times New Roman"/>
          <w:kern w:val="24"/>
          <w:lang w:eastAsia="en-US"/>
        </w:rPr>
        <w:t xml:space="preserve">Item </w:t>
      </w:r>
      <w:r w:rsidR="0097629E">
        <w:rPr>
          <w:rFonts w:ascii="Times New Roman" w:eastAsiaTheme="minorHAnsi" w:hAnsi="Times New Roman"/>
          <w:kern w:val="24"/>
          <w:lang w:eastAsia="en-US"/>
        </w:rPr>
        <w:t>2</w:t>
      </w:r>
      <w:r w:rsidR="00C73ED5">
        <w:rPr>
          <w:rFonts w:ascii="Times New Roman" w:eastAsiaTheme="minorHAnsi" w:hAnsi="Times New Roman"/>
          <w:kern w:val="24"/>
          <w:lang w:eastAsia="en-US"/>
        </w:rPr>
        <w:t>1</w:t>
      </w:r>
      <w:r w:rsidR="008A416E">
        <w:rPr>
          <w:rFonts w:ascii="Times New Roman" w:eastAsiaTheme="minorHAnsi" w:hAnsi="Times New Roman"/>
          <w:kern w:val="24"/>
          <w:lang w:eastAsia="en-US"/>
        </w:rPr>
        <w:t xml:space="preserve"> of the table </w:t>
      </w:r>
      <w:r w:rsidR="00DA5913">
        <w:rPr>
          <w:rFonts w:ascii="Times New Roman" w:eastAsiaTheme="minorHAnsi" w:hAnsi="Times New Roman"/>
          <w:kern w:val="24"/>
          <w:lang w:eastAsia="en-US"/>
        </w:rPr>
        <w:t xml:space="preserve">in the Direction </w:t>
      </w:r>
      <w:r w:rsidR="008A416E">
        <w:rPr>
          <w:rFonts w:ascii="Times New Roman" w:eastAsiaTheme="minorHAnsi" w:hAnsi="Times New Roman"/>
          <w:kern w:val="24"/>
          <w:lang w:eastAsia="en-US"/>
        </w:rPr>
        <w:t xml:space="preserve">includes </w:t>
      </w:r>
      <w:r w:rsidR="003D6F88">
        <w:rPr>
          <w:rFonts w:ascii="Times New Roman" w:eastAsiaTheme="minorHAnsi" w:hAnsi="Times New Roman"/>
          <w:kern w:val="24"/>
          <w:lang w:eastAsia="en-US"/>
        </w:rPr>
        <w:t>an equivalent</w:t>
      </w:r>
      <w:r w:rsidR="00C26C79">
        <w:rPr>
          <w:rFonts w:ascii="Times New Roman" w:eastAsiaTheme="minorHAnsi" w:hAnsi="Times New Roman"/>
          <w:kern w:val="24"/>
          <w:lang w:eastAsia="en-US"/>
        </w:rPr>
        <w:t xml:space="preserve"> </w:t>
      </w:r>
      <w:r w:rsidR="008A416E">
        <w:rPr>
          <w:rFonts w:ascii="Times New Roman" w:eastAsiaTheme="minorHAnsi" w:hAnsi="Times New Roman"/>
          <w:kern w:val="24"/>
          <w:lang w:eastAsia="en-US"/>
        </w:rPr>
        <w:t xml:space="preserve">direction for </w:t>
      </w:r>
      <w:r w:rsidR="00522ED4">
        <w:rPr>
          <w:rFonts w:ascii="Times New Roman" w:eastAsiaTheme="minorHAnsi" w:hAnsi="Times New Roman"/>
          <w:kern w:val="24"/>
          <w:lang w:eastAsia="en-US"/>
        </w:rPr>
        <w:t xml:space="preserve">the </w:t>
      </w:r>
      <w:r w:rsidR="008A416E">
        <w:rPr>
          <w:rFonts w:ascii="Times New Roman" w:eastAsiaTheme="minorHAnsi" w:hAnsi="Times New Roman"/>
          <w:kern w:val="24"/>
          <w:lang w:eastAsia="en-US"/>
        </w:rPr>
        <w:t>ACMA to update the same reference at the note to subsection 102(2)</w:t>
      </w:r>
      <w:r w:rsidR="00C26C79">
        <w:rPr>
          <w:rFonts w:ascii="Times New Roman" w:eastAsiaTheme="minorHAnsi" w:hAnsi="Times New Roman"/>
          <w:kern w:val="24"/>
          <w:lang w:eastAsia="en-US"/>
        </w:rPr>
        <w:t xml:space="preserve"> of Part 1, Schedule 2 of the 2011 CSG Standard</w:t>
      </w:r>
      <w:r w:rsidR="0059339E">
        <w:rPr>
          <w:rFonts w:ascii="Times New Roman" w:eastAsiaTheme="minorHAnsi" w:hAnsi="Times New Roman"/>
          <w:kern w:val="24"/>
          <w:lang w:eastAsia="en-US"/>
        </w:rPr>
        <w:t>.</w:t>
      </w:r>
    </w:p>
    <w:p w14:paraId="032E649A" w14:textId="7AADA8D1" w:rsidR="008A416E" w:rsidRPr="00A03930" w:rsidRDefault="00B52AFA" w:rsidP="00B52AFA">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 xml:space="preserve">Item </w:t>
      </w:r>
      <w:r w:rsidR="00C73ED5">
        <w:rPr>
          <w:rFonts w:ascii="Times New Roman" w:eastAsiaTheme="minorHAnsi" w:hAnsi="Times New Roman"/>
          <w:kern w:val="24"/>
          <w:lang w:eastAsia="en-US"/>
        </w:rPr>
        <w:t>9</w:t>
      </w:r>
      <w:r>
        <w:rPr>
          <w:rFonts w:ascii="Times New Roman" w:eastAsiaTheme="minorHAnsi" w:hAnsi="Times New Roman"/>
          <w:kern w:val="24"/>
          <w:lang w:eastAsia="en-US"/>
        </w:rPr>
        <w:t xml:space="preserve"> </w:t>
      </w:r>
      <w:r w:rsidRPr="00A03930" w:rsidDel="00B52AFA">
        <w:rPr>
          <w:rFonts w:ascii="Times New Roman" w:eastAsiaTheme="minorHAnsi" w:hAnsi="Times New Roman"/>
          <w:kern w:val="24"/>
          <w:lang w:eastAsia="en-US"/>
        </w:rPr>
        <w:t xml:space="preserve">directs the ACMA to remove references to the </w:t>
      </w:r>
      <w:r w:rsidRPr="00A03930" w:rsidDel="00B52AFA">
        <w:rPr>
          <w:rFonts w:ascii="Times New Roman" w:eastAsiaTheme="minorHAnsi" w:hAnsi="Times New Roman"/>
          <w:i/>
          <w:kern w:val="24"/>
          <w:lang w:eastAsia="en-US"/>
        </w:rPr>
        <w:t xml:space="preserve">Telecommunications (Emergency Call Service) Determination 2009 </w:t>
      </w:r>
      <w:r w:rsidR="00DA5913">
        <w:rPr>
          <w:rFonts w:ascii="Times New Roman" w:eastAsiaTheme="minorHAnsi" w:hAnsi="Times New Roman"/>
          <w:kern w:val="24"/>
          <w:lang w:eastAsia="en-US"/>
        </w:rPr>
        <w:t xml:space="preserve">in section 19 of the 2011 CSG Standard, </w:t>
      </w:r>
      <w:r w:rsidRPr="00A03930" w:rsidDel="00B52AFA">
        <w:rPr>
          <w:rFonts w:ascii="Times New Roman" w:eastAsiaTheme="minorHAnsi" w:hAnsi="Times New Roman"/>
          <w:kern w:val="24"/>
          <w:lang w:eastAsia="en-US"/>
        </w:rPr>
        <w:t xml:space="preserve">and replace with references to the </w:t>
      </w:r>
      <w:r w:rsidRPr="00A03930" w:rsidDel="00B52AFA">
        <w:rPr>
          <w:rFonts w:ascii="Times New Roman" w:eastAsiaTheme="minorHAnsi" w:hAnsi="Times New Roman"/>
          <w:i/>
          <w:kern w:val="24"/>
          <w:lang w:eastAsia="en-US"/>
        </w:rPr>
        <w:t>Telecommunications (Emergency Call Service) Determination 2019</w:t>
      </w:r>
      <w:r w:rsidRPr="00A03930" w:rsidDel="00B52AFA">
        <w:rPr>
          <w:rFonts w:ascii="Times New Roman" w:eastAsiaTheme="minorHAnsi" w:hAnsi="Times New Roman"/>
          <w:kern w:val="24"/>
          <w:lang w:eastAsia="en-US"/>
        </w:rPr>
        <w:t xml:space="preserve">. </w:t>
      </w:r>
    </w:p>
    <w:p w14:paraId="2E3BAC31" w14:textId="25B98AF3" w:rsidR="00B73C0F" w:rsidRDefault="00B73C0F" w:rsidP="00E62DD4">
      <w:pPr>
        <w:widowControl w:val="0"/>
        <w:ind w:right="91"/>
        <w:rPr>
          <w:rFonts w:ascii="Times New Roman" w:eastAsiaTheme="minorHAnsi" w:hAnsi="Times New Roman"/>
          <w:kern w:val="24"/>
          <w:lang w:eastAsia="en-US"/>
        </w:rPr>
      </w:pPr>
      <w:r w:rsidRPr="00E33D65">
        <w:rPr>
          <w:rFonts w:ascii="Times New Roman" w:eastAsiaTheme="minorHAnsi" w:hAnsi="Times New Roman"/>
          <w:kern w:val="24"/>
          <w:lang w:eastAsia="en-US"/>
        </w:rPr>
        <w:t>Item</w:t>
      </w:r>
      <w:r w:rsidR="00CE7813" w:rsidRPr="00E33D65">
        <w:rPr>
          <w:rFonts w:ascii="Times New Roman" w:eastAsiaTheme="minorHAnsi" w:hAnsi="Times New Roman"/>
          <w:kern w:val="24"/>
          <w:lang w:eastAsia="en-US"/>
        </w:rPr>
        <w:t xml:space="preserve"> 1</w:t>
      </w:r>
      <w:r w:rsidR="00C73ED5">
        <w:rPr>
          <w:rFonts w:ascii="Times New Roman" w:eastAsiaTheme="minorHAnsi" w:hAnsi="Times New Roman"/>
          <w:kern w:val="24"/>
          <w:lang w:eastAsia="en-US"/>
        </w:rPr>
        <w:t>2</w:t>
      </w:r>
      <w:r w:rsidRPr="00A03930">
        <w:rPr>
          <w:rFonts w:ascii="Times New Roman" w:eastAsiaTheme="minorHAnsi" w:hAnsi="Times New Roman"/>
          <w:kern w:val="24"/>
          <w:lang w:eastAsia="en-US"/>
        </w:rPr>
        <w:t xml:space="preserve"> direct</w:t>
      </w:r>
      <w:r w:rsidR="006704C3">
        <w:rPr>
          <w:rFonts w:ascii="Times New Roman" w:eastAsiaTheme="minorHAnsi" w:hAnsi="Times New Roman"/>
          <w:kern w:val="24"/>
          <w:lang w:eastAsia="en-US"/>
        </w:rPr>
        <w:t>s</w:t>
      </w:r>
      <w:r w:rsidRPr="00A03930">
        <w:rPr>
          <w:rFonts w:ascii="Times New Roman" w:eastAsiaTheme="minorHAnsi" w:hAnsi="Times New Roman"/>
          <w:kern w:val="24"/>
          <w:lang w:eastAsia="en-US"/>
        </w:rPr>
        <w:t xml:space="preserve"> the ACMA to </w:t>
      </w:r>
      <w:r w:rsidR="00CE7813">
        <w:rPr>
          <w:rFonts w:ascii="Times New Roman" w:eastAsiaTheme="minorHAnsi" w:hAnsi="Times New Roman"/>
          <w:kern w:val="24"/>
          <w:lang w:eastAsia="en-US"/>
        </w:rPr>
        <w:t xml:space="preserve">make </w:t>
      </w:r>
      <w:r w:rsidRPr="00A03930">
        <w:rPr>
          <w:rFonts w:ascii="Times New Roman" w:eastAsiaTheme="minorHAnsi" w:hAnsi="Times New Roman"/>
          <w:kern w:val="24"/>
          <w:lang w:eastAsia="en-US"/>
        </w:rPr>
        <w:t>amend</w:t>
      </w:r>
      <w:r w:rsidR="00CE7813">
        <w:rPr>
          <w:rFonts w:ascii="Times New Roman" w:eastAsiaTheme="minorHAnsi" w:hAnsi="Times New Roman"/>
          <w:kern w:val="24"/>
          <w:lang w:eastAsia="en-US"/>
        </w:rPr>
        <w:t>ments to</w:t>
      </w:r>
      <w:r w:rsidRPr="00A03930">
        <w:rPr>
          <w:rFonts w:ascii="Times New Roman" w:eastAsiaTheme="minorHAnsi" w:hAnsi="Times New Roman"/>
          <w:kern w:val="24"/>
          <w:lang w:eastAsia="en-US"/>
        </w:rPr>
        <w:t xml:space="preserve"> section 25 </w:t>
      </w:r>
      <w:r w:rsidR="009C79E0" w:rsidRPr="00A03930">
        <w:rPr>
          <w:rFonts w:ascii="Times New Roman" w:eastAsiaTheme="minorHAnsi" w:hAnsi="Times New Roman"/>
          <w:kern w:val="24"/>
          <w:lang w:eastAsia="en-US"/>
        </w:rPr>
        <w:t xml:space="preserve">of the </w:t>
      </w:r>
      <w:r w:rsidR="00CE7813">
        <w:rPr>
          <w:rFonts w:ascii="Times New Roman" w:eastAsiaTheme="minorHAnsi" w:hAnsi="Times New Roman"/>
          <w:kern w:val="24"/>
          <w:lang w:eastAsia="en-US"/>
        </w:rPr>
        <w:t xml:space="preserve">2011 </w:t>
      </w:r>
      <w:r w:rsidR="009C79E0" w:rsidRPr="00A03930">
        <w:rPr>
          <w:rFonts w:ascii="Times New Roman" w:eastAsiaTheme="minorHAnsi" w:hAnsi="Times New Roman"/>
          <w:kern w:val="24"/>
          <w:lang w:eastAsia="en-US"/>
        </w:rPr>
        <w:t>CSG Standard</w:t>
      </w:r>
      <w:r w:rsidR="00CE7813">
        <w:rPr>
          <w:rFonts w:ascii="Times New Roman" w:eastAsiaTheme="minorHAnsi" w:hAnsi="Times New Roman"/>
          <w:kern w:val="24"/>
          <w:lang w:eastAsia="en-US"/>
        </w:rPr>
        <w:t>,</w:t>
      </w:r>
      <w:r w:rsidR="009C79E0" w:rsidRPr="00A03930">
        <w:rPr>
          <w:rFonts w:ascii="Times New Roman" w:eastAsiaTheme="minorHAnsi" w:hAnsi="Times New Roman"/>
          <w:kern w:val="24"/>
          <w:lang w:eastAsia="en-US"/>
        </w:rPr>
        <w:t xml:space="preserve"> </w:t>
      </w:r>
      <w:r w:rsidR="00E831C9">
        <w:rPr>
          <w:rFonts w:ascii="Times New Roman" w:eastAsiaTheme="minorHAnsi" w:hAnsi="Times New Roman"/>
          <w:kern w:val="24"/>
          <w:lang w:eastAsia="en-US"/>
        </w:rPr>
        <w:t>which currently set</w:t>
      </w:r>
      <w:r w:rsidR="00DA5913">
        <w:rPr>
          <w:rFonts w:ascii="Times New Roman" w:eastAsiaTheme="minorHAnsi" w:hAnsi="Times New Roman"/>
          <w:kern w:val="24"/>
          <w:lang w:eastAsia="en-US"/>
        </w:rPr>
        <w:t>s</w:t>
      </w:r>
      <w:r w:rsidR="00E831C9">
        <w:rPr>
          <w:rFonts w:ascii="Times New Roman" w:eastAsiaTheme="minorHAnsi" w:hAnsi="Times New Roman"/>
          <w:kern w:val="24"/>
          <w:lang w:eastAsia="en-US"/>
        </w:rPr>
        <w:t xml:space="preserve"> out</w:t>
      </w:r>
      <w:r w:rsidRPr="00A03930">
        <w:rPr>
          <w:rFonts w:ascii="Times New Roman" w:eastAsiaTheme="minorHAnsi" w:hAnsi="Times New Roman"/>
          <w:kern w:val="24"/>
          <w:lang w:eastAsia="en-US"/>
        </w:rPr>
        <w:t xml:space="preserve"> </w:t>
      </w:r>
      <w:r w:rsidR="00CE7813">
        <w:rPr>
          <w:rFonts w:ascii="Times New Roman" w:eastAsiaTheme="minorHAnsi" w:hAnsi="Times New Roman"/>
          <w:kern w:val="24"/>
          <w:lang w:eastAsia="en-US"/>
        </w:rPr>
        <w:t xml:space="preserve">the </w:t>
      </w:r>
      <w:r w:rsidRPr="00A03930">
        <w:rPr>
          <w:rFonts w:ascii="Times New Roman" w:eastAsiaTheme="minorHAnsi" w:hAnsi="Times New Roman"/>
          <w:kern w:val="24"/>
          <w:lang w:eastAsia="en-US"/>
        </w:rPr>
        <w:t xml:space="preserve">requirement for </w:t>
      </w:r>
      <w:r w:rsidR="009C79E0" w:rsidRPr="00A03930">
        <w:rPr>
          <w:rFonts w:ascii="Times New Roman" w:eastAsiaTheme="minorHAnsi" w:hAnsi="Times New Roman"/>
          <w:kern w:val="24"/>
          <w:lang w:eastAsia="en-US"/>
        </w:rPr>
        <w:t>CSPs</w:t>
      </w:r>
      <w:r w:rsidRPr="00A03930">
        <w:rPr>
          <w:rFonts w:ascii="Times New Roman" w:eastAsiaTheme="minorHAnsi" w:hAnsi="Times New Roman"/>
          <w:kern w:val="24"/>
          <w:lang w:eastAsia="en-US"/>
        </w:rPr>
        <w:t xml:space="preserve"> to p</w:t>
      </w:r>
      <w:r w:rsidR="00326189" w:rsidRPr="00A03930">
        <w:rPr>
          <w:rFonts w:ascii="Times New Roman" w:eastAsiaTheme="minorHAnsi" w:hAnsi="Times New Roman"/>
          <w:kern w:val="24"/>
          <w:lang w:eastAsia="en-US"/>
        </w:rPr>
        <w:t>rovide notification of</w:t>
      </w:r>
      <w:r w:rsidRPr="00A03930">
        <w:rPr>
          <w:rFonts w:ascii="Times New Roman" w:eastAsiaTheme="minorHAnsi" w:hAnsi="Times New Roman"/>
          <w:kern w:val="24"/>
          <w:lang w:eastAsia="en-US"/>
        </w:rPr>
        <w:t xml:space="preserve"> mass exemption</w:t>
      </w:r>
      <w:r w:rsidR="00326189" w:rsidRPr="00A03930">
        <w:rPr>
          <w:rFonts w:ascii="Times New Roman" w:eastAsiaTheme="minorHAnsi" w:hAnsi="Times New Roman"/>
          <w:kern w:val="24"/>
          <w:lang w:eastAsia="en-US"/>
        </w:rPr>
        <w:t>s it has claimed through publication in a local daily newspaper.</w:t>
      </w:r>
      <w:r w:rsidRPr="00A03930">
        <w:rPr>
          <w:rFonts w:ascii="Times New Roman" w:eastAsiaTheme="minorHAnsi" w:hAnsi="Times New Roman"/>
          <w:kern w:val="24"/>
          <w:lang w:eastAsia="en-US"/>
        </w:rPr>
        <w:t xml:space="preserve"> </w:t>
      </w:r>
      <w:r w:rsidR="00CE7813">
        <w:rPr>
          <w:rFonts w:ascii="Times New Roman" w:eastAsiaTheme="minorHAnsi" w:hAnsi="Times New Roman"/>
          <w:kern w:val="24"/>
          <w:lang w:eastAsia="en-US"/>
        </w:rPr>
        <w:t>Under item 1</w:t>
      </w:r>
      <w:r w:rsidR="00C73ED5">
        <w:rPr>
          <w:rFonts w:ascii="Times New Roman" w:eastAsiaTheme="minorHAnsi" w:hAnsi="Times New Roman"/>
          <w:kern w:val="24"/>
          <w:lang w:eastAsia="en-US"/>
        </w:rPr>
        <w:t>2</w:t>
      </w:r>
      <w:r w:rsidR="00CE7813">
        <w:rPr>
          <w:rFonts w:ascii="Times New Roman" w:eastAsiaTheme="minorHAnsi" w:hAnsi="Times New Roman"/>
          <w:kern w:val="24"/>
          <w:lang w:eastAsia="en-US"/>
        </w:rPr>
        <w:t xml:space="preserve">(a), </w:t>
      </w:r>
      <w:r w:rsidR="00930AC7">
        <w:rPr>
          <w:rFonts w:ascii="Times New Roman" w:eastAsiaTheme="minorHAnsi" w:hAnsi="Times New Roman"/>
          <w:kern w:val="24"/>
          <w:lang w:eastAsia="en-US"/>
        </w:rPr>
        <w:t xml:space="preserve">the </w:t>
      </w:r>
      <w:r w:rsidR="00326189" w:rsidRPr="00A03930">
        <w:rPr>
          <w:rFonts w:ascii="Times New Roman" w:eastAsiaTheme="minorHAnsi" w:hAnsi="Times New Roman"/>
          <w:kern w:val="24"/>
          <w:lang w:eastAsia="en-US"/>
        </w:rPr>
        <w:t>ACMA will</w:t>
      </w:r>
      <w:r w:rsidR="00D625BB">
        <w:rPr>
          <w:rFonts w:ascii="Times New Roman" w:eastAsiaTheme="minorHAnsi" w:hAnsi="Times New Roman"/>
          <w:kern w:val="24"/>
          <w:lang w:eastAsia="en-US"/>
        </w:rPr>
        <w:t xml:space="preserve"> </w:t>
      </w:r>
      <w:r w:rsidR="00326189" w:rsidRPr="00A03930">
        <w:rPr>
          <w:rFonts w:ascii="Times New Roman" w:eastAsiaTheme="minorHAnsi" w:hAnsi="Times New Roman"/>
          <w:kern w:val="24"/>
          <w:lang w:eastAsia="en-US"/>
        </w:rPr>
        <w:t>be required to</w:t>
      </w:r>
      <w:r w:rsidR="00CE7813">
        <w:rPr>
          <w:rFonts w:ascii="Times New Roman" w:eastAsiaTheme="minorHAnsi" w:hAnsi="Times New Roman"/>
          <w:kern w:val="24"/>
          <w:lang w:eastAsia="en-US"/>
        </w:rPr>
        <w:t xml:space="preserve"> </w:t>
      </w:r>
      <w:r w:rsidR="00DA5913">
        <w:rPr>
          <w:rFonts w:ascii="Times New Roman" w:eastAsiaTheme="minorHAnsi" w:hAnsi="Times New Roman"/>
          <w:kern w:val="24"/>
          <w:lang w:eastAsia="en-US"/>
        </w:rPr>
        <w:t xml:space="preserve">amend subsection 25(1) to </w:t>
      </w:r>
      <w:r w:rsidR="00CE7813">
        <w:rPr>
          <w:rFonts w:ascii="Times New Roman" w:eastAsiaTheme="minorHAnsi" w:hAnsi="Times New Roman"/>
          <w:kern w:val="24"/>
          <w:lang w:eastAsia="en-US"/>
        </w:rPr>
        <w:t>remove this requirement and replace it with a requirement</w:t>
      </w:r>
      <w:r w:rsidR="00326189" w:rsidRPr="00A03930">
        <w:rPr>
          <w:rFonts w:ascii="Times New Roman" w:eastAsiaTheme="minorHAnsi" w:hAnsi="Times New Roman"/>
          <w:kern w:val="24"/>
          <w:lang w:eastAsia="en-US"/>
        </w:rPr>
        <w:t xml:space="preserve"> </w:t>
      </w:r>
      <w:r w:rsidR="00CE7813">
        <w:rPr>
          <w:rFonts w:ascii="Times New Roman" w:eastAsiaTheme="minorHAnsi" w:hAnsi="Times New Roman"/>
          <w:kern w:val="24"/>
          <w:lang w:eastAsia="en-US"/>
        </w:rPr>
        <w:t>for CSPs</w:t>
      </w:r>
      <w:r w:rsidR="001D11D7">
        <w:rPr>
          <w:rFonts w:ascii="Times New Roman" w:eastAsiaTheme="minorHAnsi" w:hAnsi="Times New Roman"/>
          <w:kern w:val="24"/>
          <w:lang w:eastAsia="en-US"/>
        </w:rPr>
        <w:t xml:space="preserve"> </w:t>
      </w:r>
      <w:r w:rsidR="00CE7813">
        <w:rPr>
          <w:rFonts w:ascii="Times New Roman" w:eastAsiaTheme="minorHAnsi" w:hAnsi="Times New Roman"/>
          <w:kern w:val="24"/>
          <w:lang w:eastAsia="en-US"/>
        </w:rPr>
        <w:t>to</w:t>
      </w:r>
      <w:r w:rsidR="00326189" w:rsidRPr="00A03930">
        <w:rPr>
          <w:rFonts w:ascii="Times New Roman" w:eastAsiaTheme="minorHAnsi" w:hAnsi="Times New Roman"/>
          <w:kern w:val="24"/>
          <w:lang w:eastAsia="en-US"/>
        </w:rPr>
        <w:t xml:space="preserve"> publi</w:t>
      </w:r>
      <w:r w:rsidR="00CE7813">
        <w:rPr>
          <w:rFonts w:ascii="Times New Roman" w:eastAsiaTheme="minorHAnsi" w:hAnsi="Times New Roman"/>
          <w:kern w:val="24"/>
          <w:lang w:eastAsia="en-US"/>
        </w:rPr>
        <w:t>sh</w:t>
      </w:r>
      <w:r w:rsidR="00326189" w:rsidRPr="00A03930">
        <w:rPr>
          <w:rFonts w:ascii="Times New Roman" w:eastAsiaTheme="minorHAnsi" w:hAnsi="Times New Roman"/>
          <w:kern w:val="24"/>
          <w:lang w:eastAsia="en-US"/>
        </w:rPr>
        <w:t xml:space="preserve"> such notices on </w:t>
      </w:r>
      <w:r w:rsidR="00CE7813">
        <w:rPr>
          <w:rFonts w:ascii="Times New Roman" w:eastAsiaTheme="minorHAnsi" w:hAnsi="Times New Roman"/>
          <w:kern w:val="24"/>
          <w:lang w:eastAsia="en-US"/>
        </w:rPr>
        <w:t>their</w:t>
      </w:r>
      <w:r w:rsidR="00326189" w:rsidRPr="00A03930">
        <w:rPr>
          <w:rFonts w:ascii="Times New Roman" w:eastAsiaTheme="minorHAnsi" w:hAnsi="Times New Roman"/>
          <w:kern w:val="24"/>
          <w:lang w:eastAsia="en-US"/>
        </w:rPr>
        <w:t xml:space="preserve"> own website. This change reflects that customers may not consume daily local newspapers as they may have in the past, </w:t>
      </w:r>
      <w:r w:rsidR="00CE7813">
        <w:rPr>
          <w:rFonts w:ascii="Times New Roman" w:eastAsiaTheme="minorHAnsi" w:hAnsi="Times New Roman"/>
          <w:kern w:val="24"/>
          <w:lang w:eastAsia="en-US"/>
        </w:rPr>
        <w:t>given</w:t>
      </w:r>
      <w:r w:rsidR="001D11D7">
        <w:rPr>
          <w:rFonts w:ascii="Times New Roman" w:eastAsiaTheme="minorHAnsi" w:hAnsi="Times New Roman"/>
          <w:kern w:val="24"/>
          <w:lang w:eastAsia="en-US"/>
        </w:rPr>
        <w:t xml:space="preserve"> </w:t>
      </w:r>
      <w:r w:rsidR="00C20BF2">
        <w:rPr>
          <w:rFonts w:ascii="Times New Roman" w:eastAsiaTheme="minorHAnsi" w:hAnsi="Times New Roman"/>
          <w:kern w:val="24"/>
          <w:lang w:eastAsia="en-US"/>
        </w:rPr>
        <w:t xml:space="preserve">changing readership patterns and many papers reducing publication schedules or moving to </w:t>
      </w:r>
      <w:r w:rsidR="001D11D7">
        <w:rPr>
          <w:rFonts w:ascii="Times New Roman" w:eastAsiaTheme="minorHAnsi" w:hAnsi="Times New Roman"/>
          <w:kern w:val="24"/>
          <w:lang w:eastAsia="en-US"/>
        </w:rPr>
        <w:t xml:space="preserve">online publication. </w:t>
      </w:r>
      <w:r w:rsidR="00CE7813">
        <w:rPr>
          <w:rFonts w:ascii="Times New Roman" w:eastAsiaTheme="minorHAnsi" w:hAnsi="Times New Roman"/>
          <w:kern w:val="24"/>
          <w:lang w:eastAsia="en-US"/>
        </w:rPr>
        <w:t xml:space="preserve">Additionally, </w:t>
      </w:r>
      <w:r w:rsidR="0059339E">
        <w:rPr>
          <w:rFonts w:ascii="Times New Roman" w:eastAsiaTheme="minorHAnsi" w:hAnsi="Times New Roman"/>
          <w:kern w:val="24"/>
          <w:lang w:eastAsia="en-US"/>
        </w:rPr>
        <w:t>i</w:t>
      </w:r>
      <w:r w:rsidRPr="00A03930">
        <w:rPr>
          <w:rFonts w:ascii="Times New Roman" w:eastAsiaTheme="minorHAnsi" w:hAnsi="Times New Roman"/>
          <w:kern w:val="24"/>
          <w:lang w:eastAsia="en-US"/>
        </w:rPr>
        <w:t xml:space="preserve">tem </w:t>
      </w:r>
      <w:r w:rsidR="00CE7813">
        <w:rPr>
          <w:rFonts w:ascii="Times New Roman" w:eastAsiaTheme="minorHAnsi" w:hAnsi="Times New Roman"/>
          <w:kern w:val="24"/>
          <w:lang w:eastAsia="en-US"/>
        </w:rPr>
        <w:t>1</w:t>
      </w:r>
      <w:r w:rsidR="00C73ED5">
        <w:rPr>
          <w:rFonts w:ascii="Times New Roman" w:eastAsiaTheme="minorHAnsi" w:hAnsi="Times New Roman"/>
          <w:kern w:val="24"/>
          <w:lang w:eastAsia="en-US"/>
        </w:rPr>
        <w:t>2</w:t>
      </w:r>
      <w:r w:rsidRPr="00A03930">
        <w:rPr>
          <w:rFonts w:ascii="Times New Roman" w:eastAsiaTheme="minorHAnsi" w:hAnsi="Times New Roman"/>
          <w:kern w:val="24"/>
          <w:lang w:eastAsia="en-US"/>
        </w:rPr>
        <w:t>(b) directs the ACMA to remove subsection 25(5)</w:t>
      </w:r>
      <w:r w:rsidR="00CE7813">
        <w:rPr>
          <w:rFonts w:ascii="Times New Roman" w:eastAsiaTheme="minorHAnsi" w:hAnsi="Times New Roman"/>
          <w:kern w:val="24"/>
          <w:lang w:eastAsia="en-US"/>
        </w:rPr>
        <w:t xml:space="preserve">, which currently allows CSPs to </w:t>
      </w:r>
      <w:r w:rsidR="00930AC7">
        <w:rPr>
          <w:rFonts w:ascii="Times New Roman" w:eastAsiaTheme="minorHAnsi" w:hAnsi="Times New Roman"/>
          <w:kern w:val="24"/>
          <w:lang w:eastAsia="en-US"/>
        </w:rPr>
        <w:t xml:space="preserve">meet this notification requirement by publishing the relevant information online on their website, providing </w:t>
      </w:r>
      <w:r w:rsidR="00B022B6">
        <w:rPr>
          <w:rFonts w:ascii="Times New Roman" w:eastAsiaTheme="minorHAnsi" w:hAnsi="Times New Roman"/>
          <w:kern w:val="24"/>
          <w:lang w:eastAsia="en-US"/>
        </w:rPr>
        <w:t xml:space="preserve">that </w:t>
      </w:r>
      <w:r w:rsidR="00930AC7">
        <w:rPr>
          <w:rFonts w:ascii="Times New Roman" w:eastAsiaTheme="minorHAnsi" w:hAnsi="Times New Roman"/>
          <w:kern w:val="24"/>
          <w:lang w:eastAsia="en-US"/>
        </w:rPr>
        <w:t>an accessible web link is</w:t>
      </w:r>
      <w:r w:rsidR="00C553EF">
        <w:rPr>
          <w:rFonts w:ascii="Times New Roman" w:eastAsiaTheme="minorHAnsi" w:hAnsi="Times New Roman"/>
          <w:kern w:val="24"/>
          <w:lang w:eastAsia="en-US"/>
        </w:rPr>
        <w:t xml:space="preserve"> still</w:t>
      </w:r>
      <w:r w:rsidR="00930AC7">
        <w:rPr>
          <w:rFonts w:ascii="Times New Roman" w:eastAsiaTheme="minorHAnsi" w:hAnsi="Times New Roman"/>
          <w:kern w:val="24"/>
          <w:lang w:eastAsia="en-US"/>
        </w:rPr>
        <w:t xml:space="preserve"> published in a local daily newspaper. This is redundant given the amendment set out at </w:t>
      </w:r>
      <w:r w:rsidR="0059339E">
        <w:rPr>
          <w:rFonts w:ascii="Times New Roman" w:eastAsiaTheme="minorHAnsi" w:hAnsi="Times New Roman"/>
          <w:kern w:val="24"/>
          <w:lang w:eastAsia="en-US"/>
        </w:rPr>
        <w:t>i</w:t>
      </w:r>
      <w:r w:rsidR="00930AC7">
        <w:rPr>
          <w:rFonts w:ascii="Times New Roman" w:eastAsiaTheme="minorHAnsi" w:hAnsi="Times New Roman"/>
          <w:kern w:val="24"/>
          <w:lang w:eastAsia="en-US"/>
        </w:rPr>
        <w:t>tem 1</w:t>
      </w:r>
      <w:r w:rsidR="00C73ED5">
        <w:rPr>
          <w:rFonts w:ascii="Times New Roman" w:eastAsiaTheme="minorHAnsi" w:hAnsi="Times New Roman"/>
          <w:kern w:val="24"/>
          <w:lang w:eastAsia="en-US"/>
        </w:rPr>
        <w:t>2</w:t>
      </w:r>
      <w:r w:rsidR="00930AC7">
        <w:rPr>
          <w:rFonts w:ascii="Times New Roman" w:eastAsiaTheme="minorHAnsi" w:hAnsi="Times New Roman"/>
          <w:kern w:val="24"/>
          <w:lang w:eastAsia="en-US"/>
        </w:rPr>
        <w:t xml:space="preserve">(a) and described above. </w:t>
      </w:r>
    </w:p>
    <w:p w14:paraId="56AFA3EE" w14:textId="1C8052AB" w:rsidR="00774EBF" w:rsidRDefault="00C553EF" w:rsidP="00E62DD4">
      <w:pPr>
        <w:widowControl w:val="0"/>
        <w:ind w:right="91"/>
        <w:rPr>
          <w:rFonts w:ascii="Times New Roman" w:eastAsiaTheme="minorHAnsi" w:hAnsi="Times New Roman"/>
          <w:kern w:val="24"/>
          <w:lang w:eastAsia="en-US"/>
        </w:rPr>
      </w:pPr>
      <w:r>
        <w:rPr>
          <w:rFonts w:ascii="Times New Roman" w:eastAsiaTheme="minorHAnsi" w:hAnsi="Times New Roman"/>
          <w:kern w:val="24"/>
          <w:lang w:eastAsia="en-US"/>
        </w:rPr>
        <w:t>Items 1</w:t>
      </w:r>
      <w:r w:rsidR="00C73ED5">
        <w:rPr>
          <w:rFonts w:ascii="Times New Roman" w:eastAsiaTheme="minorHAnsi" w:hAnsi="Times New Roman"/>
          <w:kern w:val="24"/>
          <w:lang w:eastAsia="en-US"/>
        </w:rPr>
        <w:t>4</w:t>
      </w:r>
      <w:r>
        <w:rPr>
          <w:rFonts w:ascii="Times New Roman" w:eastAsiaTheme="minorHAnsi" w:hAnsi="Times New Roman"/>
          <w:kern w:val="24"/>
          <w:lang w:eastAsia="en-US"/>
        </w:rPr>
        <w:t>-</w:t>
      </w:r>
      <w:r w:rsidR="00C73ED5">
        <w:rPr>
          <w:rFonts w:ascii="Times New Roman" w:eastAsiaTheme="minorHAnsi" w:hAnsi="Times New Roman"/>
          <w:kern w:val="24"/>
          <w:lang w:eastAsia="en-US"/>
        </w:rPr>
        <w:t>20</w:t>
      </w:r>
      <w:r>
        <w:rPr>
          <w:rFonts w:ascii="Times New Roman" w:eastAsiaTheme="minorHAnsi" w:hAnsi="Times New Roman"/>
          <w:kern w:val="24"/>
          <w:lang w:eastAsia="en-US"/>
        </w:rPr>
        <w:t xml:space="preserve"> direct the ACMA to make a number of amendments to </w:t>
      </w:r>
      <w:r w:rsidR="00E33D65">
        <w:rPr>
          <w:rFonts w:ascii="Times New Roman" w:eastAsiaTheme="minorHAnsi" w:hAnsi="Times New Roman"/>
          <w:kern w:val="24"/>
          <w:lang w:eastAsia="en-US"/>
        </w:rPr>
        <w:t xml:space="preserve">existing </w:t>
      </w:r>
      <w:r>
        <w:rPr>
          <w:rFonts w:ascii="Times New Roman" w:eastAsiaTheme="minorHAnsi" w:hAnsi="Times New Roman"/>
          <w:kern w:val="24"/>
          <w:lang w:eastAsia="en-US"/>
        </w:rPr>
        <w:t xml:space="preserve">transitional arrangements currently set out at Parts 6 and 7 of the 2011 CSG Standard. </w:t>
      </w:r>
      <w:r w:rsidR="00774EBF">
        <w:rPr>
          <w:rFonts w:ascii="Times New Roman" w:eastAsiaTheme="minorHAnsi" w:hAnsi="Times New Roman"/>
          <w:kern w:val="24"/>
          <w:lang w:eastAsia="en-US"/>
        </w:rPr>
        <w:t xml:space="preserve">Parts 6 and 7 </w:t>
      </w:r>
      <w:r w:rsidR="00C26C79">
        <w:rPr>
          <w:rFonts w:ascii="Times New Roman" w:eastAsiaTheme="minorHAnsi" w:hAnsi="Times New Roman"/>
          <w:kern w:val="24"/>
          <w:lang w:eastAsia="en-US"/>
        </w:rPr>
        <w:t xml:space="preserve">were </w:t>
      </w:r>
      <w:r w:rsidR="00774EBF">
        <w:rPr>
          <w:rFonts w:ascii="Times New Roman" w:eastAsiaTheme="minorHAnsi" w:hAnsi="Times New Roman"/>
          <w:kern w:val="24"/>
          <w:lang w:eastAsia="en-US"/>
        </w:rPr>
        <w:t xml:space="preserve">included to address potential issues caused by the transition to a new CSG Standard, particularly in relation to how requirements related to exemptions and damages payable are applied. The amendments are necessary to update the transitional arrangements to reflect the transition between the 2011 CSG Standard and the new CSG Standard </w:t>
      </w:r>
      <w:r w:rsidR="00783F8E">
        <w:rPr>
          <w:rFonts w:ascii="Times New Roman" w:eastAsiaTheme="minorHAnsi" w:hAnsi="Times New Roman"/>
          <w:kern w:val="24"/>
          <w:lang w:eastAsia="en-US"/>
        </w:rPr>
        <w:t xml:space="preserve">that the </w:t>
      </w:r>
      <w:r w:rsidR="00774EBF">
        <w:rPr>
          <w:rFonts w:ascii="Times New Roman" w:eastAsiaTheme="minorHAnsi" w:hAnsi="Times New Roman"/>
          <w:kern w:val="24"/>
          <w:lang w:eastAsia="en-US"/>
        </w:rPr>
        <w:t xml:space="preserve">ACMA will be required to make. </w:t>
      </w:r>
    </w:p>
    <w:p w14:paraId="71CBCA65" w14:textId="498D131C" w:rsidR="00B94090" w:rsidRDefault="00C553EF" w:rsidP="00E62DD4">
      <w:pPr>
        <w:widowControl w:val="0"/>
        <w:ind w:right="91"/>
        <w:rPr>
          <w:rFonts w:ascii="Times New Roman" w:eastAsiaTheme="minorHAnsi" w:hAnsi="Times New Roman"/>
          <w:kern w:val="24"/>
          <w:lang w:eastAsia="en-US"/>
        </w:rPr>
      </w:pPr>
      <w:r w:rsidRPr="00783F8E">
        <w:rPr>
          <w:rFonts w:ascii="Times New Roman" w:eastAsiaTheme="minorHAnsi" w:hAnsi="Times New Roman"/>
          <w:kern w:val="24"/>
          <w:lang w:eastAsia="en-US"/>
        </w:rPr>
        <w:t>Item</w:t>
      </w:r>
      <w:r w:rsidR="004D7175" w:rsidRPr="00783F8E">
        <w:rPr>
          <w:rFonts w:ascii="Times New Roman" w:eastAsiaTheme="minorHAnsi" w:hAnsi="Times New Roman"/>
          <w:kern w:val="24"/>
          <w:lang w:eastAsia="en-US"/>
        </w:rPr>
        <w:t>s 1</w:t>
      </w:r>
      <w:r w:rsidR="00C73ED5">
        <w:rPr>
          <w:rFonts w:ascii="Times New Roman" w:eastAsiaTheme="minorHAnsi" w:hAnsi="Times New Roman"/>
          <w:kern w:val="24"/>
          <w:lang w:eastAsia="en-US"/>
        </w:rPr>
        <w:t>4</w:t>
      </w:r>
      <w:r w:rsidR="004D7175" w:rsidRPr="00783F8E">
        <w:rPr>
          <w:rFonts w:ascii="Times New Roman" w:eastAsiaTheme="minorHAnsi" w:hAnsi="Times New Roman"/>
          <w:kern w:val="24"/>
          <w:lang w:eastAsia="en-US"/>
        </w:rPr>
        <w:t>(a-d)</w:t>
      </w:r>
      <w:r w:rsidR="004D7175">
        <w:rPr>
          <w:rFonts w:ascii="Times New Roman" w:eastAsiaTheme="minorHAnsi" w:hAnsi="Times New Roman"/>
          <w:kern w:val="24"/>
          <w:lang w:eastAsia="en-US"/>
        </w:rPr>
        <w:t xml:space="preserve"> direct the ACMA to make amendments to </w:t>
      </w:r>
      <w:r w:rsidR="00774EBF">
        <w:rPr>
          <w:rFonts w:ascii="Times New Roman" w:eastAsiaTheme="minorHAnsi" w:hAnsi="Times New Roman"/>
          <w:kern w:val="24"/>
          <w:lang w:eastAsia="en-US"/>
        </w:rPr>
        <w:t>section 32</w:t>
      </w:r>
      <w:r w:rsidR="0059339E">
        <w:rPr>
          <w:rFonts w:ascii="Times New Roman" w:eastAsiaTheme="minorHAnsi" w:hAnsi="Times New Roman"/>
          <w:kern w:val="24"/>
          <w:lang w:eastAsia="en-US"/>
        </w:rPr>
        <w:t xml:space="preserve"> of Part 6 of the 2011 CSG Standard</w:t>
      </w:r>
      <w:r w:rsidR="00774EBF">
        <w:rPr>
          <w:rFonts w:ascii="Times New Roman" w:eastAsiaTheme="minorHAnsi" w:hAnsi="Times New Roman"/>
          <w:kern w:val="24"/>
          <w:lang w:eastAsia="en-US"/>
        </w:rPr>
        <w:t xml:space="preserve">, which provides a brief list of definitions for terms used in Part 6. </w:t>
      </w:r>
      <w:r w:rsidR="00522ED4">
        <w:rPr>
          <w:rFonts w:ascii="Times New Roman" w:eastAsiaTheme="minorHAnsi" w:hAnsi="Times New Roman"/>
          <w:kern w:val="24"/>
          <w:lang w:eastAsia="en-US"/>
        </w:rPr>
        <w:t xml:space="preserve">The </w:t>
      </w:r>
      <w:r w:rsidR="00B94090">
        <w:rPr>
          <w:rFonts w:ascii="Times New Roman" w:eastAsiaTheme="minorHAnsi" w:hAnsi="Times New Roman"/>
          <w:kern w:val="24"/>
          <w:lang w:eastAsia="en-US"/>
        </w:rPr>
        <w:t xml:space="preserve">ACMA will be required to update the definition of ‘commencement day’ to refer to the </w:t>
      </w:r>
      <w:r w:rsidR="00C26C79">
        <w:rPr>
          <w:rFonts w:ascii="Times New Roman" w:eastAsiaTheme="minorHAnsi" w:hAnsi="Times New Roman"/>
          <w:kern w:val="24"/>
          <w:lang w:eastAsia="en-US"/>
        </w:rPr>
        <w:t xml:space="preserve">day the </w:t>
      </w:r>
      <w:r w:rsidR="00B94090">
        <w:rPr>
          <w:rFonts w:ascii="Times New Roman" w:eastAsiaTheme="minorHAnsi" w:hAnsi="Times New Roman"/>
          <w:kern w:val="24"/>
          <w:lang w:eastAsia="en-US"/>
        </w:rPr>
        <w:t xml:space="preserve">new CSG Standard </w:t>
      </w:r>
      <w:r w:rsidR="00C26C79">
        <w:rPr>
          <w:rFonts w:ascii="Times New Roman" w:eastAsiaTheme="minorHAnsi" w:hAnsi="Times New Roman"/>
          <w:kern w:val="24"/>
          <w:lang w:eastAsia="en-US"/>
        </w:rPr>
        <w:t xml:space="preserve">commences, </w:t>
      </w:r>
      <w:r w:rsidR="00B94090">
        <w:rPr>
          <w:rFonts w:ascii="Times New Roman" w:eastAsiaTheme="minorHAnsi" w:hAnsi="Times New Roman"/>
          <w:kern w:val="24"/>
          <w:lang w:eastAsia="en-US"/>
        </w:rPr>
        <w:t xml:space="preserve">and remove the definition of </w:t>
      </w:r>
      <w:r w:rsidR="009472EA">
        <w:rPr>
          <w:rFonts w:ascii="Times New Roman" w:eastAsiaTheme="minorHAnsi" w:hAnsi="Times New Roman"/>
          <w:kern w:val="24"/>
          <w:lang w:eastAsia="en-US"/>
        </w:rPr>
        <w:t xml:space="preserve">‘pre-31 October 2006 Standard’ which </w:t>
      </w:r>
      <w:r w:rsidR="00FC2595">
        <w:rPr>
          <w:rFonts w:ascii="Times New Roman" w:eastAsiaTheme="minorHAnsi" w:hAnsi="Times New Roman"/>
          <w:kern w:val="24"/>
          <w:lang w:eastAsia="en-US"/>
        </w:rPr>
        <w:t xml:space="preserve">is </w:t>
      </w:r>
      <w:r w:rsidR="009472EA">
        <w:rPr>
          <w:rFonts w:ascii="Times New Roman" w:eastAsiaTheme="minorHAnsi" w:hAnsi="Times New Roman"/>
          <w:kern w:val="24"/>
          <w:lang w:eastAsia="en-US"/>
        </w:rPr>
        <w:t>redundant</w:t>
      </w:r>
      <w:r w:rsidR="00FC2595">
        <w:rPr>
          <w:rFonts w:ascii="Times New Roman" w:eastAsiaTheme="minorHAnsi" w:hAnsi="Times New Roman"/>
          <w:kern w:val="24"/>
          <w:lang w:eastAsia="en-US"/>
        </w:rPr>
        <w:t xml:space="preserve">. Additionally, </w:t>
      </w:r>
      <w:r w:rsidR="00522ED4">
        <w:rPr>
          <w:rFonts w:ascii="Times New Roman" w:eastAsiaTheme="minorHAnsi" w:hAnsi="Times New Roman"/>
          <w:kern w:val="24"/>
          <w:lang w:eastAsia="en-US"/>
        </w:rPr>
        <w:t xml:space="preserve">the </w:t>
      </w:r>
      <w:r w:rsidR="00FC2595">
        <w:rPr>
          <w:rFonts w:ascii="Times New Roman" w:eastAsiaTheme="minorHAnsi" w:hAnsi="Times New Roman"/>
          <w:kern w:val="24"/>
          <w:lang w:eastAsia="en-US"/>
        </w:rPr>
        <w:t>ACMA will be required to remove the definitions of ‘former Standard’ and ‘new Standard’, as</w:t>
      </w:r>
      <w:r w:rsidR="009472EA">
        <w:rPr>
          <w:rFonts w:ascii="Times New Roman" w:eastAsiaTheme="minorHAnsi" w:hAnsi="Times New Roman"/>
          <w:kern w:val="24"/>
          <w:lang w:eastAsia="en-US"/>
        </w:rPr>
        <w:t xml:space="preserve"> </w:t>
      </w:r>
      <w:r w:rsidR="00FC2595">
        <w:rPr>
          <w:rFonts w:ascii="Times New Roman" w:eastAsiaTheme="minorHAnsi" w:hAnsi="Times New Roman"/>
          <w:kern w:val="24"/>
          <w:lang w:eastAsia="en-US"/>
        </w:rPr>
        <w:t xml:space="preserve">the </w:t>
      </w:r>
      <w:r w:rsidR="005F0A1C">
        <w:rPr>
          <w:rFonts w:ascii="Times New Roman" w:eastAsiaTheme="minorHAnsi" w:hAnsi="Times New Roman"/>
          <w:kern w:val="24"/>
          <w:lang w:eastAsia="en-US"/>
        </w:rPr>
        <w:t xml:space="preserve">replacement </w:t>
      </w:r>
      <w:r w:rsidR="00FC2595">
        <w:rPr>
          <w:rFonts w:ascii="Times New Roman" w:eastAsiaTheme="minorHAnsi" w:hAnsi="Times New Roman"/>
          <w:kern w:val="24"/>
          <w:lang w:eastAsia="en-US"/>
        </w:rPr>
        <w:t>terms ‘</w:t>
      </w:r>
      <w:r w:rsidR="005F0A1C">
        <w:rPr>
          <w:rFonts w:ascii="Times New Roman" w:eastAsiaTheme="minorHAnsi" w:hAnsi="Times New Roman"/>
          <w:kern w:val="24"/>
          <w:lang w:eastAsia="en-US"/>
        </w:rPr>
        <w:t xml:space="preserve">2011 CSG Standard’ and ‘new CSG Standard’ will instead be defined in the main list of definitions in </w:t>
      </w:r>
      <w:r w:rsidR="005F0A1C">
        <w:rPr>
          <w:rFonts w:ascii="Times New Roman" w:hAnsi="Times New Roman"/>
        </w:rPr>
        <w:t xml:space="preserve">subsection 4(1) </w:t>
      </w:r>
      <w:r w:rsidR="005F0A1C">
        <w:rPr>
          <w:rFonts w:ascii="Times New Roman" w:hAnsi="Times New Roman"/>
        </w:rPr>
        <w:lastRenderedPageBreak/>
        <w:t xml:space="preserve">of the new CSG Standard. </w:t>
      </w:r>
      <w:r w:rsidR="005F0A1C">
        <w:rPr>
          <w:rFonts w:ascii="Times New Roman" w:eastAsiaTheme="minorHAnsi" w:hAnsi="Times New Roman"/>
          <w:kern w:val="24"/>
          <w:lang w:eastAsia="en-US"/>
        </w:rPr>
        <w:t>Accordingly,</w:t>
      </w:r>
      <w:r w:rsidR="0072352D" w:rsidRPr="00FC2595">
        <w:rPr>
          <w:rFonts w:ascii="Times New Roman" w:eastAsiaTheme="minorHAnsi" w:hAnsi="Times New Roman"/>
          <w:kern w:val="24"/>
          <w:lang w:eastAsia="en-US"/>
        </w:rPr>
        <w:t xml:space="preserve"> </w:t>
      </w:r>
      <w:r w:rsidR="0059339E">
        <w:rPr>
          <w:rFonts w:ascii="Times New Roman" w:eastAsiaTheme="minorHAnsi" w:hAnsi="Times New Roman"/>
          <w:kern w:val="24"/>
          <w:lang w:eastAsia="en-US"/>
        </w:rPr>
        <w:t>i</w:t>
      </w:r>
      <w:r w:rsidR="00B94090" w:rsidRPr="00FC2595">
        <w:rPr>
          <w:rFonts w:ascii="Times New Roman" w:eastAsiaTheme="minorHAnsi" w:hAnsi="Times New Roman"/>
          <w:kern w:val="24"/>
          <w:lang w:eastAsia="en-US"/>
        </w:rPr>
        <w:t>tem</w:t>
      </w:r>
      <w:r w:rsidR="0072352D" w:rsidRPr="00FC2595">
        <w:rPr>
          <w:rFonts w:ascii="Times New Roman" w:eastAsiaTheme="minorHAnsi" w:hAnsi="Times New Roman"/>
          <w:kern w:val="24"/>
          <w:lang w:eastAsia="en-US"/>
        </w:rPr>
        <w:t>s</w:t>
      </w:r>
      <w:r w:rsidR="00B94090" w:rsidRPr="00FC2595">
        <w:rPr>
          <w:rFonts w:ascii="Times New Roman" w:eastAsiaTheme="minorHAnsi" w:hAnsi="Times New Roman"/>
          <w:kern w:val="24"/>
          <w:lang w:eastAsia="en-US"/>
        </w:rPr>
        <w:t xml:space="preserve"> 1</w:t>
      </w:r>
      <w:r w:rsidR="00C73ED5">
        <w:rPr>
          <w:rFonts w:ascii="Times New Roman" w:eastAsiaTheme="minorHAnsi" w:hAnsi="Times New Roman"/>
          <w:kern w:val="24"/>
          <w:lang w:eastAsia="en-US"/>
        </w:rPr>
        <w:t>6</w:t>
      </w:r>
      <w:r w:rsidR="0097629E">
        <w:rPr>
          <w:rFonts w:ascii="Times New Roman" w:eastAsiaTheme="minorHAnsi" w:hAnsi="Times New Roman"/>
          <w:kern w:val="24"/>
          <w:lang w:eastAsia="en-US"/>
        </w:rPr>
        <w:t>, 1</w:t>
      </w:r>
      <w:r w:rsidR="00C73ED5">
        <w:rPr>
          <w:rFonts w:ascii="Times New Roman" w:eastAsiaTheme="minorHAnsi" w:hAnsi="Times New Roman"/>
          <w:kern w:val="24"/>
          <w:lang w:eastAsia="en-US"/>
        </w:rPr>
        <w:t>7</w:t>
      </w:r>
      <w:r w:rsidR="00D45475">
        <w:rPr>
          <w:rFonts w:ascii="Times New Roman" w:eastAsiaTheme="minorHAnsi" w:hAnsi="Times New Roman"/>
          <w:kern w:val="24"/>
          <w:lang w:eastAsia="en-US"/>
        </w:rPr>
        <w:t>(a) and (b)</w:t>
      </w:r>
      <w:r w:rsidR="00B94090" w:rsidRPr="00FC2595">
        <w:rPr>
          <w:rFonts w:ascii="Times New Roman" w:eastAsiaTheme="minorHAnsi" w:hAnsi="Times New Roman"/>
          <w:kern w:val="24"/>
          <w:lang w:eastAsia="en-US"/>
        </w:rPr>
        <w:t xml:space="preserve"> and 1</w:t>
      </w:r>
      <w:r w:rsidR="00C73ED5">
        <w:rPr>
          <w:rFonts w:ascii="Times New Roman" w:eastAsiaTheme="minorHAnsi" w:hAnsi="Times New Roman"/>
          <w:kern w:val="24"/>
          <w:lang w:eastAsia="en-US"/>
        </w:rPr>
        <w:t>9</w:t>
      </w:r>
      <w:r w:rsidR="00B94090" w:rsidRPr="00FC2595">
        <w:rPr>
          <w:rFonts w:ascii="Times New Roman" w:eastAsiaTheme="minorHAnsi" w:hAnsi="Times New Roman"/>
          <w:kern w:val="24"/>
          <w:lang w:eastAsia="en-US"/>
        </w:rPr>
        <w:t>(a</w:t>
      </w:r>
      <w:r w:rsidR="0072352D" w:rsidRPr="00FC2595">
        <w:rPr>
          <w:rFonts w:ascii="Times New Roman" w:eastAsiaTheme="minorHAnsi" w:hAnsi="Times New Roman"/>
          <w:kern w:val="24"/>
          <w:lang w:eastAsia="en-US"/>
        </w:rPr>
        <w:t>) and (</w:t>
      </w:r>
      <w:r w:rsidR="00B94090" w:rsidRPr="00FC2595">
        <w:rPr>
          <w:rFonts w:ascii="Times New Roman" w:eastAsiaTheme="minorHAnsi" w:hAnsi="Times New Roman"/>
          <w:kern w:val="24"/>
          <w:lang w:eastAsia="en-US"/>
        </w:rPr>
        <w:t xml:space="preserve">c) </w:t>
      </w:r>
      <w:r w:rsidR="005F0A1C">
        <w:rPr>
          <w:rFonts w:ascii="Times New Roman" w:eastAsiaTheme="minorHAnsi" w:hAnsi="Times New Roman"/>
          <w:kern w:val="24"/>
          <w:lang w:eastAsia="en-US"/>
        </w:rPr>
        <w:t xml:space="preserve">also </w:t>
      </w:r>
      <w:r w:rsidR="00B94090" w:rsidRPr="00FC2595">
        <w:rPr>
          <w:rFonts w:ascii="Times New Roman" w:eastAsiaTheme="minorHAnsi" w:hAnsi="Times New Roman"/>
          <w:kern w:val="24"/>
          <w:lang w:eastAsia="en-US"/>
        </w:rPr>
        <w:t xml:space="preserve">direct </w:t>
      </w:r>
      <w:r w:rsidR="00522ED4">
        <w:rPr>
          <w:rFonts w:ascii="Times New Roman" w:eastAsiaTheme="minorHAnsi" w:hAnsi="Times New Roman"/>
          <w:kern w:val="24"/>
          <w:lang w:eastAsia="en-US"/>
        </w:rPr>
        <w:t xml:space="preserve">the </w:t>
      </w:r>
      <w:r w:rsidR="00B94090" w:rsidRPr="00FC2595">
        <w:rPr>
          <w:rFonts w:ascii="Times New Roman" w:eastAsiaTheme="minorHAnsi" w:hAnsi="Times New Roman"/>
          <w:kern w:val="24"/>
          <w:lang w:eastAsia="en-US"/>
        </w:rPr>
        <w:t xml:space="preserve">ACMA to </w:t>
      </w:r>
      <w:r w:rsidR="005F0A1C">
        <w:rPr>
          <w:rFonts w:ascii="Times New Roman" w:eastAsiaTheme="minorHAnsi" w:hAnsi="Times New Roman"/>
          <w:kern w:val="24"/>
          <w:lang w:eastAsia="en-US"/>
        </w:rPr>
        <w:t xml:space="preserve">make </w:t>
      </w:r>
      <w:r w:rsidR="0072352D" w:rsidRPr="00FC2595">
        <w:rPr>
          <w:rFonts w:ascii="Times New Roman" w:eastAsiaTheme="minorHAnsi" w:hAnsi="Times New Roman"/>
          <w:kern w:val="24"/>
          <w:lang w:eastAsia="en-US"/>
        </w:rPr>
        <w:t>amend</w:t>
      </w:r>
      <w:r w:rsidR="005F0A1C">
        <w:rPr>
          <w:rFonts w:ascii="Times New Roman" w:eastAsiaTheme="minorHAnsi" w:hAnsi="Times New Roman"/>
          <w:kern w:val="24"/>
          <w:lang w:eastAsia="en-US"/>
        </w:rPr>
        <w:t>ments to Part 6 to replace</w:t>
      </w:r>
      <w:r w:rsidR="00B94090" w:rsidRPr="00FC2595">
        <w:rPr>
          <w:rFonts w:ascii="Times New Roman" w:eastAsiaTheme="minorHAnsi" w:hAnsi="Times New Roman"/>
          <w:kern w:val="24"/>
          <w:lang w:eastAsia="en-US"/>
        </w:rPr>
        <w:t xml:space="preserve"> existing references </w:t>
      </w:r>
      <w:r w:rsidR="0072352D" w:rsidRPr="00FC2595">
        <w:rPr>
          <w:rFonts w:ascii="Times New Roman" w:eastAsiaTheme="minorHAnsi" w:hAnsi="Times New Roman"/>
          <w:kern w:val="24"/>
          <w:lang w:eastAsia="en-US"/>
        </w:rPr>
        <w:t xml:space="preserve">to </w:t>
      </w:r>
      <w:r w:rsidR="00B94090" w:rsidRPr="00FC2595">
        <w:rPr>
          <w:rFonts w:ascii="Times New Roman" w:eastAsiaTheme="minorHAnsi" w:hAnsi="Times New Roman"/>
          <w:kern w:val="24"/>
          <w:lang w:eastAsia="en-US"/>
        </w:rPr>
        <w:t xml:space="preserve">‘new Standard’ </w:t>
      </w:r>
      <w:r w:rsidR="005F0A1C">
        <w:rPr>
          <w:rFonts w:ascii="Times New Roman" w:eastAsiaTheme="minorHAnsi" w:hAnsi="Times New Roman"/>
          <w:kern w:val="24"/>
          <w:lang w:eastAsia="en-US"/>
        </w:rPr>
        <w:t xml:space="preserve">with ‘new CSG Standard’, </w:t>
      </w:r>
      <w:r w:rsidR="00B94090" w:rsidRPr="00FC2595">
        <w:rPr>
          <w:rFonts w:ascii="Times New Roman" w:eastAsiaTheme="minorHAnsi" w:hAnsi="Times New Roman"/>
          <w:kern w:val="24"/>
          <w:lang w:eastAsia="en-US"/>
        </w:rPr>
        <w:t>a</w:t>
      </w:r>
      <w:r w:rsidR="005F0A1C">
        <w:rPr>
          <w:rFonts w:ascii="Times New Roman" w:eastAsiaTheme="minorHAnsi" w:hAnsi="Times New Roman"/>
          <w:kern w:val="24"/>
          <w:lang w:eastAsia="en-US"/>
        </w:rPr>
        <w:t>s well as existing references to</w:t>
      </w:r>
      <w:r w:rsidR="00B94090" w:rsidRPr="00FC2595">
        <w:rPr>
          <w:rFonts w:ascii="Times New Roman" w:eastAsiaTheme="minorHAnsi" w:hAnsi="Times New Roman"/>
          <w:kern w:val="24"/>
          <w:lang w:eastAsia="en-US"/>
        </w:rPr>
        <w:t xml:space="preserve"> ‘former Standard’ </w:t>
      </w:r>
      <w:r w:rsidR="005F0A1C">
        <w:rPr>
          <w:rFonts w:ascii="Times New Roman" w:eastAsiaTheme="minorHAnsi" w:hAnsi="Times New Roman"/>
          <w:kern w:val="24"/>
          <w:lang w:eastAsia="en-US"/>
        </w:rPr>
        <w:t xml:space="preserve">with ‘2011 CSG Standard’.  </w:t>
      </w:r>
      <w:r w:rsidR="00D45475">
        <w:rPr>
          <w:rFonts w:ascii="Times New Roman" w:eastAsiaTheme="minorHAnsi" w:hAnsi="Times New Roman"/>
          <w:kern w:val="24"/>
          <w:lang w:eastAsia="en-US"/>
        </w:rPr>
        <w:t>Item 1</w:t>
      </w:r>
      <w:r w:rsidR="00C73ED5">
        <w:rPr>
          <w:rFonts w:ascii="Times New Roman" w:eastAsiaTheme="minorHAnsi" w:hAnsi="Times New Roman"/>
          <w:kern w:val="24"/>
          <w:lang w:eastAsia="en-US"/>
        </w:rPr>
        <w:t>7</w:t>
      </w:r>
      <w:r w:rsidR="00D45475">
        <w:rPr>
          <w:rFonts w:ascii="Times New Roman" w:eastAsiaTheme="minorHAnsi" w:hAnsi="Times New Roman"/>
          <w:kern w:val="24"/>
          <w:lang w:eastAsia="en-US"/>
        </w:rPr>
        <w:t>(c)</w:t>
      </w:r>
      <w:r w:rsidR="00C73ED5">
        <w:rPr>
          <w:rFonts w:ascii="Times New Roman" w:eastAsiaTheme="minorHAnsi" w:hAnsi="Times New Roman"/>
          <w:kern w:val="24"/>
          <w:lang w:eastAsia="en-US"/>
        </w:rPr>
        <w:t xml:space="preserve"> and (d),</w:t>
      </w:r>
      <w:r w:rsidR="00482936">
        <w:rPr>
          <w:rFonts w:ascii="Times New Roman" w:eastAsiaTheme="minorHAnsi" w:hAnsi="Times New Roman"/>
          <w:kern w:val="24"/>
          <w:lang w:eastAsia="en-US"/>
        </w:rPr>
        <w:t xml:space="preserve"> </w:t>
      </w:r>
      <w:r w:rsidR="001F55F1">
        <w:rPr>
          <w:rFonts w:ascii="Times New Roman" w:eastAsiaTheme="minorHAnsi" w:hAnsi="Times New Roman"/>
          <w:kern w:val="24"/>
          <w:lang w:eastAsia="en-US"/>
        </w:rPr>
        <w:t>in combination with items 1</w:t>
      </w:r>
      <w:r w:rsidR="00C73ED5">
        <w:rPr>
          <w:rFonts w:ascii="Times New Roman" w:eastAsiaTheme="minorHAnsi" w:hAnsi="Times New Roman"/>
          <w:kern w:val="24"/>
          <w:lang w:eastAsia="en-US"/>
        </w:rPr>
        <w:t>7</w:t>
      </w:r>
      <w:r w:rsidR="001F55F1">
        <w:rPr>
          <w:rFonts w:ascii="Times New Roman" w:eastAsiaTheme="minorHAnsi" w:hAnsi="Times New Roman"/>
          <w:kern w:val="24"/>
          <w:lang w:eastAsia="en-US"/>
        </w:rPr>
        <w:t xml:space="preserve">(a) and (b) discussed above, will </w:t>
      </w:r>
      <w:r w:rsidR="005B05D0">
        <w:rPr>
          <w:rFonts w:ascii="Times New Roman" w:eastAsiaTheme="minorHAnsi" w:hAnsi="Times New Roman"/>
          <w:kern w:val="24"/>
          <w:lang w:eastAsia="en-US"/>
        </w:rPr>
        <w:t>require the</w:t>
      </w:r>
      <w:r w:rsidR="001F55F1">
        <w:rPr>
          <w:rFonts w:ascii="Times New Roman" w:eastAsiaTheme="minorHAnsi" w:hAnsi="Times New Roman"/>
          <w:kern w:val="24"/>
          <w:lang w:eastAsia="en-US"/>
        </w:rPr>
        <w:t xml:space="preserve"> ACMA </w:t>
      </w:r>
      <w:r w:rsidR="005B05D0">
        <w:rPr>
          <w:rFonts w:ascii="Times New Roman" w:eastAsiaTheme="minorHAnsi" w:hAnsi="Times New Roman"/>
          <w:kern w:val="24"/>
          <w:lang w:eastAsia="en-US"/>
        </w:rPr>
        <w:t xml:space="preserve">to </w:t>
      </w:r>
      <w:r w:rsidR="001F55F1">
        <w:rPr>
          <w:rFonts w:ascii="Times New Roman" w:eastAsiaTheme="minorHAnsi" w:hAnsi="Times New Roman"/>
          <w:kern w:val="24"/>
          <w:lang w:eastAsia="en-US"/>
        </w:rPr>
        <w:t>amend existing</w:t>
      </w:r>
      <w:r w:rsidR="00EE04E9">
        <w:rPr>
          <w:rFonts w:ascii="Times New Roman" w:eastAsiaTheme="minorHAnsi" w:hAnsi="Times New Roman"/>
          <w:kern w:val="24"/>
          <w:lang w:eastAsia="en-US"/>
        </w:rPr>
        <w:t xml:space="preserve"> references in</w:t>
      </w:r>
      <w:r w:rsidR="001F55F1">
        <w:rPr>
          <w:rFonts w:ascii="Times New Roman" w:eastAsiaTheme="minorHAnsi" w:hAnsi="Times New Roman"/>
          <w:kern w:val="24"/>
          <w:lang w:eastAsia="en-US"/>
        </w:rPr>
        <w:t xml:space="preserve"> section 35 of Part 6. This will ensure </w:t>
      </w:r>
      <w:r w:rsidR="005B05D0">
        <w:rPr>
          <w:rFonts w:ascii="Times New Roman" w:eastAsiaTheme="minorHAnsi" w:hAnsi="Times New Roman"/>
          <w:kern w:val="24"/>
          <w:lang w:eastAsia="en-US"/>
        </w:rPr>
        <w:t xml:space="preserve">any </w:t>
      </w:r>
      <w:r w:rsidR="001F55F1">
        <w:rPr>
          <w:rFonts w:ascii="Times New Roman" w:eastAsiaTheme="minorHAnsi" w:hAnsi="Times New Roman"/>
          <w:kern w:val="24"/>
          <w:lang w:eastAsia="en-US"/>
        </w:rPr>
        <w:t xml:space="preserve">exemptions claimed in accordance with relevant provisions under the 2011 </w:t>
      </w:r>
      <w:r w:rsidR="00962471">
        <w:rPr>
          <w:rFonts w:ascii="Times New Roman" w:eastAsiaTheme="minorHAnsi" w:hAnsi="Times New Roman"/>
          <w:kern w:val="24"/>
          <w:lang w:eastAsia="en-US"/>
        </w:rPr>
        <w:t xml:space="preserve">CSG </w:t>
      </w:r>
      <w:r w:rsidR="001F55F1">
        <w:rPr>
          <w:rFonts w:ascii="Times New Roman" w:eastAsiaTheme="minorHAnsi" w:hAnsi="Times New Roman"/>
          <w:kern w:val="24"/>
          <w:lang w:eastAsia="en-US"/>
        </w:rPr>
        <w:t xml:space="preserve">Standard, including by providing supporting information to the TIO and the ACMA, will be taken to continue once the new CSG Standard commences. </w:t>
      </w:r>
    </w:p>
    <w:p w14:paraId="7263C55B" w14:textId="050483C3" w:rsidR="00783F8E" w:rsidRDefault="009472EA" w:rsidP="00783F8E">
      <w:pPr>
        <w:widowControl w:val="0"/>
        <w:spacing w:after="60"/>
        <w:ind w:right="91"/>
        <w:rPr>
          <w:rFonts w:ascii="Times New Roman" w:eastAsiaTheme="minorHAnsi" w:hAnsi="Times New Roman"/>
          <w:kern w:val="24"/>
          <w:lang w:eastAsia="en-US"/>
        </w:rPr>
      </w:pPr>
      <w:r>
        <w:rPr>
          <w:rFonts w:ascii="Times New Roman" w:eastAsiaTheme="minorHAnsi" w:hAnsi="Times New Roman"/>
          <w:kern w:val="24"/>
          <w:lang w:eastAsia="en-US"/>
        </w:rPr>
        <w:t>Items 1</w:t>
      </w:r>
      <w:r w:rsidR="00C73ED5">
        <w:rPr>
          <w:rFonts w:ascii="Times New Roman" w:eastAsiaTheme="minorHAnsi" w:hAnsi="Times New Roman"/>
          <w:kern w:val="24"/>
          <w:lang w:eastAsia="en-US"/>
        </w:rPr>
        <w:t>5</w:t>
      </w:r>
      <w:r>
        <w:rPr>
          <w:rFonts w:ascii="Times New Roman" w:eastAsiaTheme="minorHAnsi" w:hAnsi="Times New Roman"/>
          <w:kern w:val="24"/>
          <w:lang w:eastAsia="en-US"/>
        </w:rPr>
        <w:t>, 1</w:t>
      </w:r>
      <w:r w:rsidR="00C73ED5">
        <w:rPr>
          <w:rFonts w:ascii="Times New Roman" w:eastAsiaTheme="minorHAnsi" w:hAnsi="Times New Roman"/>
          <w:kern w:val="24"/>
          <w:lang w:eastAsia="en-US"/>
        </w:rPr>
        <w:t>8</w:t>
      </w:r>
      <w:r>
        <w:rPr>
          <w:rFonts w:ascii="Times New Roman" w:eastAsiaTheme="minorHAnsi" w:hAnsi="Times New Roman"/>
          <w:kern w:val="24"/>
          <w:lang w:eastAsia="en-US"/>
        </w:rPr>
        <w:t>, 1</w:t>
      </w:r>
      <w:r w:rsidR="00C73ED5">
        <w:rPr>
          <w:rFonts w:ascii="Times New Roman" w:eastAsiaTheme="minorHAnsi" w:hAnsi="Times New Roman"/>
          <w:kern w:val="24"/>
          <w:lang w:eastAsia="en-US"/>
        </w:rPr>
        <w:t>9</w:t>
      </w:r>
      <w:r>
        <w:rPr>
          <w:rFonts w:ascii="Times New Roman" w:eastAsiaTheme="minorHAnsi" w:hAnsi="Times New Roman"/>
          <w:kern w:val="24"/>
          <w:lang w:eastAsia="en-US"/>
        </w:rPr>
        <w:t xml:space="preserve">(b) and </w:t>
      </w:r>
      <w:r w:rsidR="00C73ED5">
        <w:rPr>
          <w:rFonts w:ascii="Times New Roman" w:eastAsiaTheme="minorHAnsi" w:hAnsi="Times New Roman"/>
          <w:kern w:val="24"/>
          <w:lang w:eastAsia="en-US"/>
        </w:rPr>
        <w:t>20</w:t>
      </w:r>
      <w:r>
        <w:rPr>
          <w:rFonts w:ascii="Times New Roman" w:eastAsiaTheme="minorHAnsi" w:hAnsi="Times New Roman"/>
          <w:kern w:val="24"/>
          <w:lang w:eastAsia="en-US"/>
        </w:rPr>
        <w:t xml:space="preserve"> </w:t>
      </w:r>
      <w:r w:rsidR="00564347">
        <w:rPr>
          <w:rFonts w:ascii="Times New Roman" w:eastAsiaTheme="minorHAnsi" w:hAnsi="Times New Roman"/>
          <w:kern w:val="24"/>
          <w:lang w:eastAsia="en-US"/>
        </w:rPr>
        <w:t>collectively remove outdated transitional arrangements tha</w:t>
      </w:r>
      <w:r w:rsidR="00783F8E">
        <w:rPr>
          <w:rFonts w:ascii="Times New Roman" w:eastAsiaTheme="minorHAnsi" w:hAnsi="Times New Roman"/>
          <w:kern w:val="24"/>
          <w:lang w:eastAsia="en-US"/>
        </w:rPr>
        <w:t xml:space="preserve">t </w:t>
      </w:r>
      <w:r w:rsidR="0072352D">
        <w:rPr>
          <w:rFonts w:ascii="Times New Roman" w:eastAsiaTheme="minorHAnsi" w:hAnsi="Times New Roman"/>
          <w:kern w:val="24"/>
          <w:lang w:eastAsia="en-US"/>
        </w:rPr>
        <w:t>will no</w:t>
      </w:r>
      <w:r w:rsidR="00783F8E">
        <w:rPr>
          <w:rFonts w:ascii="Times New Roman" w:eastAsiaTheme="minorHAnsi" w:hAnsi="Times New Roman"/>
          <w:kern w:val="24"/>
          <w:lang w:eastAsia="en-US"/>
        </w:rPr>
        <w:t xml:space="preserve"> longer be applicable in the context</w:t>
      </w:r>
      <w:r w:rsidR="00564347">
        <w:rPr>
          <w:rFonts w:ascii="Times New Roman" w:eastAsiaTheme="minorHAnsi" w:hAnsi="Times New Roman"/>
          <w:kern w:val="24"/>
          <w:lang w:eastAsia="en-US"/>
        </w:rPr>
        <w:t xml:space="preserve"> </w:t>
      </w:r>
      <w:r w:rsidR="00783F8E">
        <w:rPr>
          <w:rFonts w:ascii="Times New Roman" w:eastAsiaTheme="minorHAnsi" w:hAnsi="Times New Roman"/>
          <w:kern w:val="24"/>
          <w:lang w:eastAsia="en-US"/>
        </w:rPr>
        <w:t xml:space="preserve">of </w:t>
      </w:r>
      <w:r w:rsidR="00564347">
        <w:rPr>
          <w:rFonts w:ascii="Times New Roman" w:eastAsiaTheme="minorHAnsi" w:hAnsi="Times New Roman"/>
          <w:kern w:val="24"/>
          <w:lang w:eastAsia="en-US"/>
        </w:rPr>
        <w:t>a new CSG Standard</w:t>
      </w:r>
      <w:r w:rsidR="00783F8E">
        <w:rPr>
          <w:rFonts w:ascii="Times New Roman" w:eastAsiaTheme="minorHAnsi" w:hAnsi="Times New Roman"/>
          <w:kern w:val="24"/>
          <w:lang w:eastAsia="en-US"/>
        </w:rPr>
        <w:t xml:space="preserve">. </w:t>
      </w:r>
      <w:r w:rsidR="00522ED4">
        <w:rPr>
          <w:rFonts w:ascii="Times New Roman" w:eastAsiaTheme="minorHAnsi" w:hAnsi="Times New Roman"/>
          <w:kern w:val="24"/>
          <w:lang w:eastAsia="en-US"/>
        </w:rPr>
        <w:t xml:space="preserve">The </w:t>
      </w:r>
      <w:r w:rsidR="00783F8E">
        <w:rPr>
          <w:rFonts w:ascii="Times New Roman" w:eastAsiaTheme="minorHAnsi" w:hAnsi="Times New Roman"/>
          <w:kern w:val="24"/>
          <w:lang w:eastAsia="en-US"/>
        </w:rPr>
        <w:t>ACMA will be required to remove:</w:t>
      </w:r>
    </w:p>
    <w:p w14:paraId="54C5CACA" w14:textId="52A0C43F" w:rsidR="00783F8E" w:rsidRDefault="0059339E" w:rsidP="00783F8E">
      <w:pPr>
        <w:pStyle w:val="ListParagraph"/>
        <w:widowControl w:val="0"/>
        <w:numPr>
          <w:ilvl w:val="0"/>
          <w:numId w:val="2"/>
        </w:numPr>
        <w:ind w:right="91"/>
        <w:rPr>
          <w:rFonts w:ascii="Times New Roman" w:hAnsi="Times New Roman"/>
        </w:rPr>
      </w:pPr>
      <w:r>
        <w:rPr>
          <w:rFonts w:ascii="Times New Roman" w:hAnsi="Times New Roman"/>
        </w:rPr>
        <w:t>s</w:t>
      </w:r>
      <w:r w:rsidR="00783F8E">
        <w:rPr>
          <w:rFonts w:ascii="Times New Roman" w:hAnsi="Times New Roman"/>
        </w:rPr>
        <w:t>ection 33 of Part 6</w:t>
      </w:r>
    </w:p>
    <w:p w14:paraId="430177EE" w14:textId="0E98B255" w:rsidR="00783F8E" w:rsidRDefault="0059339E" w:rsidP="00783F8E">
      <w:pPr>
        <w:pStyle w:val="ListParagraph"/>
        <w:widowControl w:val="0"/>
        <w:numPr>
          <w:ilvl w:val="0"/>
          <w:numId w:val="2"/>
        </w:numPr>
        <w:ind w:right="91"/>
        <w:rPr>
          <w:rFonts w:ascii="Times New Roman" w:hAnsi="Times New Roman"/>
        </w:rPr>
      </w:pPr>
      <w:r>
        <w:rPr>
          <w:rFonts w:ascii="Times New Roman" w:hAnsi="Times New Roman"/>
        </w:rPr>
        <w:t>s</w:t>
      </w:r>
      <w:r w:rsidR="00783F8E">
        <w:rPr>
          <w:rFonts w:ascii="Times New Roman" w:hAnsi="Times New Roman"/>
        </w:rPr>
        <w:t xml:space="preserve">ection 36 of Part 6 </w:t>
      </w:r>
    </w:p>
    <w:p w14:paraId="2A62C96B" w14:textId="38BBECF0" w:rsidR="00783F8E" w:rsidRDefault="0059339E" w:rsidP="00783F8E">
      <w:pPr>
        <w:pStyle w:val="ListParagraph"/>
        <w:widowControl w:val="0"/>
        <w:numPr>
          <w:ilvl w:val="0"/>
          <w:numId w:val="2"/>
        </w:numPr>
        <w:ind w:right="91"/>
        <w:rPr>
          <w:rFonts w:ascii="Times New Roman" w:hAnsi="Times New Roman"/>
        </w:rPr>
      </w:pPr>
      <w:r>
        <w:rPr>
          <w:rFonts w:ascii="Times New Roman" w:hAnsi="Times New Roman"/>
        </w:rPr>
        <w:t>p</w:t>
      </w:r>
      <w:r w:rsidR="00783F8E">
        <w:rPr>
          <w:rFonts w:ascii="Times New Roman" w:hAnsi="Times New Roman"/>
        </w:rPr>
        <w:t>aragraph 37(b) of Part 6 (which refers exclusively to section 36)</w:t>
      </w:r>
    </w:p>
    <w:p w14:paraId="275E37F0" w14:textId="4FFC1CB5" w:rsidR="009472EA" w:rsidRPr="0072352D" w:rsidRDefault="00783F8E" w:rsidP="00E62DD4">
      <w:pPr>
        <w:pStyle w:val="ListParagraph"/>
        <w:widowControl w:val="0"/>
        <w:numPr>
          <w:ilvl w:val="0"/>
          <w:numId w:val="2"/>
        </w:numPr>
        <w:ind w:right="91"/>
        <w:rPr>
          <w:rFonts w:ascii="Times New Roman" w:hAnsi="Times New Roman"/>
        </w:rPr>
      </w:pPr>
      <w:r>
        <w:rPr>
          <w:rFonts w:ascii="Times New Roman" w:hAnsi="Times New Roman"/>
        </w:rPr>
        <w:t>Part 7</w:t>
      </w:r>
    </w:p>
    <w:p w14:paraId="5C97D67D" w14:textId="2D12ACEE" w:rsidR="00E62DD4" w:rsidRPr="00880604" w:rsidRDefault="00E62DD4" w:rsidP="00E62DD4">
      <w:pPr>
        <w:widowControl w:val="0"/>
        <w:ind w:right="91"/>
        <w:rPr>
          <w:rFonts w:ascii="Times New Roman" w:eastAsiaTheme="minorHAnsi" w:hAnsi="Times New Roman"/>
          <w:b/>
          <w:kern w:val="24"/>
          <w:sz w:val="28"/>
          <w:szCs w:val="28"/>
          <w:lang w:eastAsia="en-US"/>
        </w:rPr>
      </w:pPr>
      <w:r w:rsidRPr="00880604">
        <w:rPr>
          <w:rFonts w:ascii="Times New Roman" w:eastAsiaTheme="minorHAnsi" w:hAnsi="Times New Roman"/>
          <w:b/>
          <w:kern w:val="24"/>
          <w:sz w:val="28"/>
          <w:szCs w:val="28"/>
          <w:lang w:eastAsia="en-US"/>
        </w:rPr>
        <w:t xml:space="preserve">Schedule 2 </w:t>
      </w:r>
      <w:r w:rsidR="00880604" w:rsidRPr="00A03930">
        <w:rPr>
          <w:rFonts w:ascii="Times New Roman" w:eastAsiaTheme="minorHAnsi" w:hAnsi="Times New Roman"/>
          <w:b/>
          <w:kern w:val="24"/>
          <w:sz w:val="28"/>
          <w:szCs w:val="28"/>
          <w:lang w:eastAsia="en-US"/>
        </w:rPr>
        <w:t>–</w:t>
      </w:r>
      <w:r w:rsidRPr="00880604">
        <w:rPr>
          <w:rFonts w:ascii="Times New Roman" w:eastAsiaTheme="minorHAnsi" w:hAnsi="Times New Roman"/>
          <w:b/>
          <w:kern w:val="24"/>
          <w:sz w:val="28"/>
          <w:szCs w:val="28"/>
          <w:lang w:eastAsia="en-US"/>
        </w:rPr>
        <w:t xml:space="preserve"> Repeals</w:t>
      </w:r>
    </w:p>
    <w:p w14:paraId="1F85E606" w14:textId="193F874A" w:rsidR="00BE5786" w:rsidRPr="00A03930" w:rsidRDefault="00BE5786">
      <w:pPr>
        <w:spacing w:after="160" w:line="259" w:lineRule="auto"/>
        <w:rPr>
          <w:rFonts w:ascii="Times New Roman" w:hAnsi="Times New Roman"/>
          <w:b/>
          <w:sz w:val="28"/>
          <w:szCs w:val="28"/>
        </w:rPr>
      </w:pPr>
      <w:r w:rsidRPr="00A03930">
        <w:rPr>
          <w:rFonts w:ascii="Times New Roman" w:eastAsiaTheme="minorHAnsi" w:hAnsi="Times New Roman"/>
          <w:kern w:val="24"/>
          <w:lang w:eastAsia="en-US"/>
        </w:rPr>
        <w:t xml:space="preserve">Section 1 of Schedule 2 provides that the Direction repeals the existing </w:t>
      </w:r>
      <w:r w:rsidRPr="00A03930">
        <w:rPr>
          <w:rFonts w:ascii="Times New Roman" w:eastAsiaTheme="minorHAnsi" w:hAnsi="Times New Roman"/>
          <w:i/>
          <w:kern w:val="24"/>
          <w:lang w:eastAsia="en-US"/>
        </w:rPr>
        <w:t xml:space="preserve">Telecommunications (Customer Service Guarantee) Direction (No. 1) 2011. </w:t>
      </w:r>
      <w:r w:rsidRPr="00A03930">
        <w:rPr>
          <w:rFonts w:ascii="Times New Roman" w:eastAsiaTheme="minorHAnsi" w:hAnsi="Times New Roman"/>
          <w:kern w:val="24"/>
          <w:lang w:eastAsia="en-US"/>
        </w:rPr>
        <w:t>This Direction, made in 2011 by the then-Minister for Broadband, Communications and the Digital Economy, directed the ACMA to make a CSG standard in the same terms as those contained in the</w:t>
      </w:r>
      <w:r w:rsidR="00926E96">
        <w:rPr>
          <w:rFonts w:ascii="Times New Roman" w:eastAsiaTheme="minorHAnsi" w:hAnsi="Times New Roman"/>
          <w:kern w:val="24"/>
          <w:lang w:eastAsia="en-US"/>
        </w:rPr>
        <w:t xml:space="preserve"> 2000 CSG Standard.</w:t>
      </w:r>
      <w:r w:rsidRPr="00A03930">
        <w:rPr>
          <w:rFonts w:ascii="Times New Roman" w:eastAsiaTheme="minorHAnsi" w:hAnsi="Times New Roman"/>
          <w:kern w:val="24"/>
          <w:lang w:eastAsia="en-US"/>
        </w:rPr>
        <w:t xml:space="preserve"> </w:t>
      </w:r>
      <w:r w:rsidR="00564347" w:rsidRPr="00564347">
        <w:rPr>
          <w:rFonts w:ascii="Times New Roman" w:eastAsiaTheme="minorHAnsi" w:hAnsi="Times New Roman"/>
          <w:kern w:val="24"/>
          <w:lang w:eastAsia="en-US"/>
        </w:rPr>
        <w:t xml:space="preserve">It is exempt from sunsetting. Accordingly, it is necessary to repeal the 2011 Direction as it is made redundant by the new Direction (and its terms). </w:t>
      </w:r>
      <w:r w:rsidRPr="00A03930">
        <w:rPr>
          <w:rFonts w:ascii="Times New Roman" w:hAnsi="Times New Roman"/>
          <w:b/>
          <w:sz w:val="28"/>
          <w:szCs w:val="28"/>
        </w:rPr>
        <w:br w:type="page"/>
      </w:r>
    </w:p>
    <w:p w14:paraId="4FF01C2E" w14:textId="77777777" w:rsidR="00BE5786" w:rsidRPr="00A03930" w:rsidRDefault="00BE5786" w:rsidP="00BE5786">
      <w:pPr>
        <w:spacing w:after="160" w:line="259" w:lineRule="auto"/>
        <w:ind w:left="6480" w:firstLine="720"/>
        <w:rPr>
          <w:rFonts w:ascii="Times New Roman" w:hAnsi="Times New Roman"/>
          <w:b/>
          <w:sz w:val="28"/>
          <w:szCs w:val="28"/>
        </w:rPr>
      </w:pPr>
      <w:bookmarkStart w:id="1" w:name="_Hlk137162182"/>
      <w:r w:rsidRPr="00A03930">
        <w:rPr>
          <w:rFonts w:ascii="Times New Roman" w:hAnsi="Times New Roman"/>
          <w:b/>
          <w:sz w:val="28"/>
          <w:szCs w:val="28"/>
        </w:rPr>
        <w:lastRenderedPageBreak/>
        <w:t>Attachment B</w:t>
      </w:r>
    </w:p>
    <w:p w14:paraId="4975FB2F" w14:textId="77777777" w:rsidR="00BE5786" w:rsidRPr="00A03930" w:rsidRDefault="00BE5786" w:rsidP="00BE5786">
      <w:pPr>
        <w:pStyle w:val="Heading2"/>
        <w:rPr>
          <w:rFonts w:eastAsiaTheme="minorHAnsi" w:cs="Times New Roman"/>
          <w:sz w:val="24"/>
          <w:szCs w:val="24"/>
        </w:rPr>
      </w:pPr>
      <w:r w:rsidRPr="00A03930">
        <w:rPr>
          <w:rFonts w:eastAsiaTheme="minorHAnsi" w:cs="Times New Roman"/>
          <w:sz w:val="24"/>
          <w:szCs w:val="24"/>
        </w:rPr>
        <w:t>Statement of Compatibility with Human Rights</w:t>
      </w:r>
    </w:p>
    <w:p w14:paraId="72D6A24E" w14:textId="77777777" w:rsidR="00BE5786" w:rsidRPr="00A03930" w:rsidRDefault="00BE5786" w:rsidP="00BE5786">
      <w:pPr>
        <w:shd w:val="clear" w:color="auto" w:fill="FFFFFF"/>
        <w:ind w:right="91"/>
        <w:jc w:val="center"/>
        <w:rPr>
          <w:rFonts w:ascii="Times New Roman" w:hAnsi="Times New Roman"/>
          <w:i/>
          <w:iCs/>
          <w:lang w:val="en-GB"/>
        </w:rPr>
      </w:pPr>
      <w:r w:rsidRPr="00A03930">
        <w:rPr>
          <w:rFonts w:ascii="Times New Roman" w:hAnsi="Times New Roman"/>
          <w:iCs/>
          <w:lang w:val="en-GB"/>
        </w:rPr>
        <w:t>Prepared in accordance with Part 3 of the</w:t>
      </w:r>
      <w:r w:rsidRPr="00A03930">
        <w:rPr>
          <w:rFonts w:ascii="Times New Roman" w:hAnsi="Times New Roman"/>
          <w:iCs/>
          <w:lang w:val="en-GB"/>
        </w:rPr>
        <w:br/>
      </w:r>
      <w:r w:rsidRPr="00A03930">
        <w:rPr>
          <w:rFonts w:ascii="Times New Roman" w:hAnsi="Times New Roman"/>
          <w:i/>
          <w:iCs/>
          <w:lang w:val="en-GB"/>
        </w:rPr>
        <w:t>Human Rights (Parliamentary Scrutiny) Act 2011</w:t>
      </w:r>
    </w:p>
    <w:p w14:paraId="1A924AE1" w14:textId="77777777" w:rsidR="00BE5786" w:rsidRPr="00A03930" w:rsidRDefault="00BE5786" w:rsidP="00BE5786">
      <w:pPr>
        <w:jc w:val="center"/>
        <w:rPr>
          <w:rFonts w:ascii="Times New Roman" w:hAnsi="Times New Roman"/>
          <w:b/>
          <w:i/>
        </w:rPr>
      </w:pPr>
      <w:r w:rsidRPr="00A03930">
        <w:rPr>
          <w:rFonts w:ascii="Times New Roman" w:hAnsi="Times New Roman"/>
          <w:b/>
          <w:i/>
        </w:rPr>
        <w:t>Telecommunications (Customer Service Guarantee) Direction 2023</w:t>
      </w:r>
    </w:p>
    <w:p w14:paraId="41F355BD" w14:textId="203C5033" w:rsidR="008474AE" w:rsidRPr="00A03930" w:rsidRDefault="008474AE" w:rsidP="00BE5786">
      <w:pPr>
        <w:spacing w:before="100" w:beforeAutospacing="1" w:after="100" w:afterAutospacing="1" w:line="300" w:lineRule="atLeast"/>
        <w:rPr>
          <w:rFonts w:ascii="Times New Roman" w:hAnsi="Times New Roman"/>
        </w:rPr>
      </w:pPr>
      <w:r w:rsidRPr="00A03930">
        <w:rPr>
          <w:rFonts w:ascii="Times New Roman" w:hAnsi="Times New Roman"/>
        </w:rPr>
        <w:t xml:space="preserve">The </w:t>
      </w:r>
      <w:r w:rsidRPr="00A03930">
        <w:rPr>
          <w:rFonts w:ascii="Times New Roman" w:hAnsi="Times New Roman"/>
          <w:i/>
        </w:rPr>
        <w:t xml:space="preserve">Telecommunications (Customer Service Guarantee) Direction 2023 </w:t>
      </w:r>
      <w:r w:rsidRPr="00A03930">
        <w:rPr>
          <w:rFonts w:ascii="Times New Roman" w:hAnsi="Times New Roman"/>
        </w:rPr>
        <w:t xml:space="preserve">is compatible with the human rights and freedoms recognised or declared in the international instruments listed in section 3 of the </w:t>
      </w:r>
      <w:r w:rsidRPr="00A03930">
        <w:rPr>
          <w:rFonts w:ascii="Times New Roman" w:hAnsi="Times New Roman"/>
          <w:i/>
        </w:rPr>
        <w:t>Human Rights (Parliamentary Scrutiny) Act 2011</w:t>
      </w:r>
      <w:r w:rsidRPr="00A03930">
        <w:rPr>
          <w:rFonts w:ascii="Times New Roman" w:hAnsi="Times New Roman"/>
        </w:rPr>
        <w:t xml:space="preserve">. </w:t>
      </w:r>
    </w:p>
    <w:p w14:paraId="3FC19425" w14:textId="44DD6F32" w:rsidR="00BE5786" w:rsidRPr="00A03930" w:rsidRDefault="00BE5786" w:rsidP="00BE5786">
      <w:pPr>
        <w:spacing w:before="100" w:beforeAutospacing="1" w:after="100" w:afterAutospacing="1" w:line="300" w:lineRule="atLeast"/>
        <w:rPr>
          <w:rFonts w:ascii="Times New Roman" w:hAnsi="Times New Roman"/>
          <w:b/>
        </w:rPr>
      </w:pPr>
      <w:r w:rsidRPr="00A03930">
        <w:rPr>
          <w:rFonts w:ascii="Times New Roman" w:hAnsi="Times New Roman"/>
          <w:b/>
        </w:rPr>
        <w:t>Overview of the Direction</w:t>
      </w:r>
    </w:p>
    <w:p w14:paraId="34E73A93" w14:textId="7762FAFF" w:rsidR="00CD51F8" w:rsidRPr="00A03930" w:rsidRDefault="00CD51F8" w:rsidP="00CD51F8">
      <w:pPr>
        <w:spacing w:before="100" w:beforeAutospacing="1" w:after="100" w:afterAutospacing="1" w:line="300" w:lineRule="atLeast"/>
        <w:rPr>
          <w:rFonts w:ascii="Times New Roman" w:hAnsi="Times New Roman"/>
        </w:rPr>
      </w:pPr>
      <w:r w:rsidRPr="00A03930">
        <w:rPr>
          <w:rFonts w:ascii="Times New Roman" w:hAnsi="Times New Roman"/>
        </w:rPr>
        <w:t xml:space="preserve">The </w:t>
      </w:r>
      <w:r w:rsidRPr="00A03930">
        <w:rPr>
          <w:rFonts w:ascii="Times New Roman" w:hAnsi="Times New Roman"/>
          <w:i/>
        </w:rPr>
        <w:t xml:space="preserve">Telecommunications (Customer Service Guarantee) Direction 2023 </w:t>
      </w:r>
      <w:r w:rsidRPr="00A03930">
        <w:rPr>
          <w:rFonts w:ascii="Times New Roman" w:hAnsi="Times New Roman"/>
        </w:rPr>
        <w:t xml:space="preserve">(the Direction) is a direction to the Australian Communications and Media Authority (ACMA) to remake the </w:t>
      </w:r>
      <w:r w:rsidRPr="00A03930">
        <w:rPr>
          <w:rFonts w:ascii="Times New Roman" w:hAnsi="Times New Roman"/>
          <w:i/>
        </w:rPr>
        <w:t xml:space="preserve">Telecommunications (Customer Service Guarantee) Standard 2011 </w:t>
      </w:r>
      <w:r w:rsidRPr="00A03930">
        <w:rPr>
          <w:rFonts w:ascii="Times New Roman" w:hAnsi="Times New Roman"/>
        </w:rPr>
        <w:t>(the 2011 CSG Standard) largely as it exists</w:t>
      </w:r>
      <w:r w:rsidR="003F44CA">
        <w:rPr>
          <w:rFonts w:ascii="Times New Roman" w:hAnsi="Times New Roman"/>
        </w:rPr>
        <w:t xml:space="preserve"> for a further three years</w:t>
      </w:r>
      <w:r w:rsidRPr="00A03930">
        <w:rPr>
          <w:rFonts w:ascii="Times New Roman" w:hAnsi="Times New Roman"/>
        </w:rPr>
        <w:t xml:space="preserve">, with some necessary updating and minor revisions. </w:t>
      </w:r>
    </w:p>
    <w:p w14:paraId="7DFFB39E" w14:textId="11B9DD50" w:rsidR="008474AE" w:rsidRPr="00A03930" w:rsidRDefault="00CD51F8" w:rsidP="00BE5786">
      <w:pPr>
        <w:spacing w:before="100" w:beforeAutospacing="1" w:after="100" w:afterAutospacing="1" w:line="300" w:lineRule="atLeast"/>
        <w:rPr>
          <w:rFonts w:ascii="Times New Roman" w:hAnsi="Times New Roman"/>
        </w:rPr>
      </w:pPr>
      <w:r w:rsidRPr="00A03930">
        <w:rPr>
          <w:rFonts w:ascii="Times New Roman" w:hAnsi="Times New Roman"/>
        </w:rPr>
        <w:t>The purpose of the Direction is</w:t>
      </w:r>
      <w:r w:rsidR="00143416" w:rsidRPr="00A03930">
        <w:rPr>
          <w:rFonts w:ascii="Times New Roman" w:hAnsi="Times New Roman"/>
        </w:rPr>
        <w:t xml:space="preserve"> to</w:t>
      </w:r>
      <w:r w:rsidRPr="00A03930">
        <w:rPr>
          <w:rFonts w:ascii="Times New Roman" w:hAnsi="Times New Roman"/>
        </w:rPr>
        <w:t xml:space="preserve"> continue consumer protections provided under the Customer Service Guarantee (CSG) scheme, which regulates the timeframes for connection, repairs and appointments for retail fixed telephone services. Under the terms of the Direction, the ACMA will be required to make a new CSG Standard in largely the same terms as the 2011 CSG Standard. This includes setting out the maximum timeframes for connection, repair and appointment-keeping that carriage service providers must meet, as well as the compensation that must be paid to individual consumers where these standards are not met. The ACMA will be required to make some minor amendments to the 2011 CSG Standard to remove provisions that are no longer necessary and update references that are out of date. </w:t>
      </w:r>
    </w:p>
    <w:p w14:paraId="7BC44330" w14:textId="77777777" w:rsidR="00BE5786" w:rsidRPr="00A03930" w:rsidRDefault="00BE5786" w:rsidP="00BE5786">
      <w:pPr>
        <w:spacing w:before="100" w:beforeAutospacing="1" w:after="100" w:afterAutospacing="1" w:line="276" w:lineRule="auto"/>
        <w:rPr>
          <w:rFonts w:ascii="Times New Roman" w:hAnsi="Times New Roman"/>
          <w:b/>
        </w:rPr>
      </w:pPr>
      <w:r w:rsidRPr="00A03930">
        <w:rPr>
          <w:rFonts w:ascii="Times New Roman" w:hAnsi="Times New Roman"/>
          <w:b/>
        </w:rPr>
        <w:t xml:space="preserve">Human rights implications </w:t>
      </w:r>
    </w:p>
    <w:p w14:paraId="33527E9A" w14:textId="24769A20" w:rsidR="00BE5786" w:rsidRDefault="00BE5786" w:rsidP="00BE5786">
      <w:pPr>
        <w:spacing w:line="276" w:lineRule="auto"/>
        <w:rPr>
          <w:rFonts w:ascii="Times New Roman" w:hAnsi="Times New Roman"/>
        </w:rPr>
      </w:pPr>
      <w:r w:rsidRPr="00A03930">
        <w:rPr>
          <w:rFonts w:ascii="Times New Roman" w:hAnsi="Times New Roman"/>
        </w:rPr>
        <w:t xml:space="preserve">The Direction does not </w:t>
      </w:r>
      <w:r w:rsidR="003F44CA">
        <w:rPr>
          <w:rFonts w:ascii="Times New Roman" w:hAnsi="Times New Roman"/>
        </w:rPr>
        <w:t xml:space="preserve">directly </w:t>
      </w:r>
      <w:r w:rsidRPr="00A03930">
        <w:rPr>
          <w:rFonts w:ascii="Times New Roman" w:hAnsi="Times New Roman"/>
        </w:rPr>
        <w:t xml:space="preserve">engage any of the applicable rights or freedoms. </w:t>
      </w:r>
    </w:p>
    <w:p w14:paraId="7ECF9EA7" w14:textId="77777777" w:rsidR="00BE5786" w:rsidRPr="00A03930" w:rsidRDefault="00BE5786" w:rsidP="00BE5786">
      <w:pPr>
        <w:spacing w:line="276" w:lineRule="auto"/>
        <w:rPr>
          <w:rFonts w:ascii="Times New Roman" w:hAnsi="Times New Roman"/>
          <w:b/>
        </w:rPr>
      </w:pPr>
      <w:r w:rsidRPr="00A03930">
        <w:rPr>
          <w:rFonts w:ascii="Times New Roman" w:hAnsi="Times New Roman"/>
          <w:b/>
        </w:rPr>
        <w:t>Conclusion</w:t>
      </w:r>
    </w:p>
    <w:p w14:paraId="7E065C28" w14:textId="590842A2" w:rsidR="00BE5786" w:rsidRPr="00A03930" w:rsidRDefault="00BE5786" w:rsidP="00BE5786">
      <w:pPr>
        <w:spacing w:line="276" w:lineRule="auto"/>
        <w:rPr>
          <w:rFonts w:ascii="Times New Roman" w:hAnsi="Times New Roman"/>
        </w:rPr>
      </w:pPr>
      <w:r w:rsidRPr="00A03930">
        <w:rPr>
          <w:rFonts w:ascii="Times New Roman" w:hAnsi="Times New Roman"/>
        </w:rPr>
        <w:t xml:space="preserve">The Direction is compatible with human rights as it does not raise any human rights issues.  </w:t>
      </w:r>
    </w:p>
    <w:bookmarkEnd w:id="1"/>
    <w:p w14:paraId="116CFC2D" w14:textId="77777777" w:rsidR="00BE5786" w:rsidRPr="00A03930" w:rsidRDefault="00BE5786" w:rsidP="00BE5786">
      <w:pPr>
        <w:spacing w:before="100" w:beforeAutospacing="1" w:after="100" w:afterAutospacing="1" w:line="300" w:lineRule="atLeast"/>
        <w:rPr>
          <w:rFonts w:ascii="Times New Roman" w:hAnsi="Times New Roman"/>
          <w:b/>
        </w:rPr>
      </w:pPr>
    </w:p>
    <w:p w14:paraId="48751D41" w14:textId="77777777" w:rsidR="00E62DD4" w:rsidRPr="00A03930" w:rsidRDefault="00E62DD4" w:rsidP="00E62DD4">
      <w:pPr>
        <w:ind w:right="-711"/>
        <w:rPr>
          <w:rFonts w:ascii="Times New Roman" w:hAnsi="Times New Roman"/>
          <w:b/>
          <w:sz w:val="28"/>
          <w:szCs w:val="28"/>
        </w:rPr>
      </w:pPr>
    </w:p>
    <w:p w14:paraId="6ED62EB2" w14:textId="77777777" w:rsidR="00E62DD4" w:rsidRPr="00A03930" w:rsidRDefault="00E62DD4" w:rsidP="00E62DD4">
      <w:pPr>
        <w:rPr>
          <w:rFonts w:ascii="Times New Roman" w:hAnsi="Times New Roman"/>
          <w:b/>
        </w:rPr>
      </w:pPr>
    </w:p>
    <w:p w14:paraId="29CA5D8C" w14:textId="77777777" w:rsidR="001C60FC" w:rsidRPr="00A03930" w:rsidRDefault="001C60FC">
      <w:pPr>
        <w:rPr>
          <w:rFonts w:ascii="Times New Roman" w:hAnsi="Times New Roman"/>
        </w:rPr>
      </w:pPr>
    </w:p>
    <w:sectPr w:rsidR="001C60FC" w:rsidRPr="00A0393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D9418" w14:textId="77777777" w:rsidR="00F50598" w:rsidRDefault="00F50598" w:rsidP="00BE5786">
      <w:pPr>
        <w:spacing w:after="0"/>
      </w:pPr>
      <w:r>
        <w:separator/>
      </w:r>
    </w:p>
  </w:endnote>
  <w:endnote w:type="continuationSeparator" w:id="0">
    <w:p w14:paraId="024A7EF1" w14:textId="77777777" w:rsidR="00F50598" w:rsidRDefault="00F50598" w:rsidP="00BE5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800345"/>
      <w:docPartObj>
        <w:docPartGallery w:val="Page Numbers (Bottom of Page)"/>
        <w:docPartUnique/>
      </w:docPartObj>
    </w:sdtPr>
    <w:sdtEndPr>
      <w:rPr>
        <w:rFonts w:ascii="Times New Roman" w:hAnsi="Times New Roman"/>
        <w:noProof/>
      </w:rPr>
    </w:sdtEndPr>
    <w:sdtContent>
      <w:p w14:paraId="47E117C1" w14:textId="527DB934" w:rsidR="00F50598" w:rsidRPr="00180B75" w:rsidRDefault="00F50598">
        <w:pPr>
          <w:pStyle w:val="Footer"/>
          <w:jc w:val="center"/>
          <w:rPr>
            <w:rFonts w:ascii="Times New Roman" w:hAnsi="Times New Roman"/>
          </w:rPr>
        </w:pPr>
        <w:r w:rsidRPr="00180B75">
          <w:rPr>
            <w:rFonts w:ascii="Times New Roman" w:hAnsi="Times New Roman"/>
          </w:rPr>
          <w:fldChar w:fldCharType="begin"/>
        </w:r>
        <w:r w:rsidRPr="00180B75">
          <w:rPr>
            <w:rFonts w:ascii="Times New Roman" w:hAnsi="Times New Roman"/>
          </w:rPr>
          <w:instrText xml:space="preserve"> PAGE   \* MERGEFORMAT </w:instrText>
        </w:r>
        <w:r w:rsidRPr="00180B75">
          <w:rPr>
            <w:rFonts w:ascii="Times New Roman" w:hAnsi="Times New Roman"/>
          </w:rPr>
          <w:fldChar w:fldCharType="separate"/>
        </w:r>
        <w:r w:rsidRPr="00180B75">
          <w:rPr>
            <w:rFonts w:ascii="Times New Roman" w:hAnsi="Times New Roman"/>
            <w:noProof/>
          </w:rPr>
          <w:t>2</w:t>
        </w:r>
        <w:r w:rsidRPr="00180B75">
          <w:rPr>
            <w:rFonts w:ascii="Times New Roman" w:hAnsi="Times New Roman"/>
            <w:noProof/>
          </w:rPr>
          <w:fldChar w:fldCharType="end"/>
        </w:r>
      </w:p>
    </w:sdtContent>
  </w:sdt>
  <w:p w14:paraId="23BB6FB4" w14:textId="77777777" w:rsidR="00F50598" w:rsidRDefault="00F5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6153" w14:textId="77777777" w:rsidR="00F50598" w:rsidRDefault="00F50598" w:rsidP="00BE5786">
      <w:pPr>
        <w:spacing w:after="0"/>
      </w:pPr>
      <w:r>
        <w:separator/>
      </w:r>
    </w:p>
  </w:footnote>
  <w:footnote w:type="continuationSeparator" w:id="0">
    <w:p w14:paraId="26A2BBF7" w14:textId="77777777" w:rsidR="00F50598" w:rsidRDefault="00F50598" w:rsidP="00BE57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E684" w14:textId="3FF7D204" w:rsidR="00180B75" w:rsidRPr="00180B75" w:rsidRDefault="00180B75" w:rsidP="00180B75">
    <w:pPr>
      <w:pStyle w:val="Header"/>
      <w:jc w:val="center"/>
      <w:rPr>
        <w:rFonts w:ascii="Times New Roman" w:hAnsi="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3CD"/>
    <w:multiLevelType w:val="hybridMultilevel"/>
    <w:tmpl w:val="A75CDDAA"/>
    <w:lvl w:ilvl="0" w:tplc="1478B2C4">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02534B66"/>
    <w:multiLevelType w:val="hybridMultilevel"/>
    <w:tmpl w:val="AC8C209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4"/>
    <w:rsid w:val="00012CAB"/>
    <w:rsid w:val="000142DA"/>
    <w:rsid w:val="000458C9"/>
    <w:rsid w:val="00055E81"/>
    <w:rsid w:val="00090508"/>
    <w:rsid w:val="000D1008"/>
    <w:rsid w:val="00126471"/>
    <w:rsid w:val="00127E59"/>
    <w:rsid w:val="00143416"/>
    <w:rsid w:val="00161AD8"/>
    <w:rsid w:val="00180B75"/>
    <w:rsid w:val="001849A0"/>
    <w:rsid w:val="001A48F0"/>
    <w:rsid w:val="001A52C1"/>
    <w:rsid w:val="001A5645"/>
    <w:rsid w:val="001C60FC"/>
    <w:rsid w:val="001D11D7"/>
    <w:rsid w:val="001E02A2"/>
    <w:rsid w:val="001F55F1"/>
    <w:rsid w:val="002011FF"/>
    <w:rsid w:val="002023E3"/>
    <w:rsid w:val="002165B3"/>
    <w:rsid w:val="0023278A"/>
    <w:rsid w:val="002376D2"/>
    <w:rsid w:val="002446D0"/>
    <w:rsid w:val="002765B7"/>
    <w:rsid w:val="002B3CB9"/>
    <w:rsid w:val="002B5EAC"/>
    <w:rsid w:val="002B62FD"/>
    <w:rsid w:val="002C09E1"/>
    <w:rsid w:val="002C1B69"/>
    <w:rsid w:val="002F10CF"/>
    <w:rsid w:val="00322208"/>
    <w:rsid w:val="00324665"/>
    <w:rsid w:val="0032535A"/>
    <w:rsid w:val="00325657"/>
    <w:rsid w:val="00326189"/>
    <w:rsid w:val="003307A8"/>
    <w:rsid w:val="003418C4"/>
    <w:rsid w:val="003531CC"/>
    <w:rsid w:val="00355CFF"/>
    <w:rsid w:val="003C4617"/>
    <w:rsid w:val="003D6F88"/>
    <w:rsid w:val="003F44CA"/>
    <w:rsid w:val="003F779B"/>
    <w:rsid w:val="00421789"/>
    <w:rsid w:val="00452302"/>
    <w:rsid w:val="004660E4"/>
    <w:rsid w:val="0047029C"/>
    <w:rsid w:val="00482936"/>
    <w:rsid w:val="004A435D"/>
    <w:rsid w:val="004B14F9"/>
    <w:rsid w:val="004B60EE"/>
    <w:rsid w:val="004D7175"/>
    <w:rsid w:val="004F7B78"/>
    <w:rsid w:val="00517433"/>
    <w:rsid w:val="00522ED4"/>
    <w:rsid w:val="00523678"/>
    <w:rsid w:val="00534326"/>
    <w:rsid w:val="00553AFE"/>
    <w:rsid w:val="00564347"/>
    <w:rsid w:val="00587952"/>
    <w:rsid w:val="0059339E"/>
    <w:rsid w:val="005B05D0"/>
    <w:rsid w:val="005B3840"/>
    <w:rsid w:val="005C75F5"/>
    <w:rsid w:val="005F0A1C"/>
    <w:rsid w:val="005F4266"/>
    <w:rsid w:val="00604DA5"/>
    <w:rsid w:val="00650946"/>
    <w:rsid w:val="006600CC"/>
    <w:rsid w:val="006628B0"/>
    <w:rsid w:val="006704C3"/>
    <w:rsid w:val="0068599E"/>
    <w:rsid w:val="00690E79"/>
    <w:rsid w:val="006B4840"/>
    <w:rsid w:val="006D7FD4"/>
    <w:rsid w:val="006F6DB0"/>
    <w:rsid w:val="00703E21"/>
    <w:rsid w:val="00714237"/>
    <w:rsid w:val="0072352D"/>
    <w:rsid w:val="00736277"/>
    <w:rsid w:val="00770175"/>
    <w:rsid w:val="00773699"/>
    <w:rsid w:val="00774EBF"/>
    <w:rsid w:val="00783F8E"/>
    <w:rsid w:val="007D5031"/>
    <w:rsid w:val="007D56C7"/>
    <w:rsid w:val="007D7673"/>
    <w:rsid w:val="00807672"/>
    <w:rsid w:val="008332D7"/>
    <w:rsid w:val="0083461F"/>
    <w:rsid w:val="008474AE"/>
    <w:rsid w:val="00847C4C"/>
    <w:rsid w:val="00880604"/>
    <w:rsid w:val="008A416E"/>
    <w:rsid w:val="008E43D1"/>
    <w:rsid w:val="008E6D8D"/>
    <w:rsid w:val="00923860"/>
    <w:rsid w:val="00926E96"/>
    <w:rsid w:val="00930AC7"/>
    <w:rsid w:val="009472EA"/>
    <w:rsid w:val="00962471"/>
    <w:rsid w:val="0097629E"/>
    <w:rsid w:val="00980C8F"/>
    <w:rsid w:val="009A1964"/>
    <w:rsid w:val="009C1F0C"/>
    <w:rsid w:val="009C2D0B"/>
    <w:rsid w:val="009C30E8"/>
    <w:rsid w:val="009C3817"/>
    <w:rsid w:val="009C79E0"/>
    <w:rsid w:val="009F0716"/>
    <w:rsid w:val="00A03930"/>
    <w:rsid w:val="00A27915"/>
    <w:rsid w:val="00A73CA7"/>
    <w:rsid w:val="00A85A43"/>
    <w:rsid w:val="00A95064"/>
    <w:rsid w:val="00AA095D"/>
    <w:rsid w:val="00AC52AD"/>
    <w:rsid w:val="00B022B6"/>
    <w:rsid w:val="00B37153"/>
    <w:rsid w:val="00B51895"/>
    <w:rsid w:val="00B52AFA"/>
    <w:rsid w:val="00B712AE"/>
    <w:rsid w:val="00B73C0F"/>
    <w:rsid w:val="00B94090"/>
    <w:rsid w:val="00B973D4"/>
    <w:rsid w:val="00BD05AD"/>
    <w:rsid w:val="00BD2A1E"/>
    <w:rsid w:val="00BE5786"/>
    <w:rsid w:val="00C00878"/>
    <w:rsid w:val="00C00D51"/>
    <w:rsid w:val="00C01D7D"/>
    <w:rsid w:val="00C10C1B"/>
    <w:rsid w:val="00C20BF2"/>
    <w:rsid w:val="00C26C79"/>
    <w:rsid w:val="00C30E39"/>
    <w:rsid w:val="00C553EF"/>
    <w:rsid w:val="00C57C87"/>
    <w:rsid w:val="00C73ED5"/>
    <w:rsid w:val="00C8458F"/>
    <w:rsid w:val="00CD51F8"/>
    <w:rsid w:val="00CE34CD"/>
    <w:rsid w:val="00CE7813"/>
    <w:rsid w:val="00D07509"/>
    <w:rsid w:val="00D42452"/>
    <w:rsid w:val="00D44F51"/>
    <w:rsid w:val="00D45475"/>
    <w:rsid w:val="00D479BA"/>
    <w:rsid w:val="00D509C5"/>
    <w:rsid w:val="00D625BB"/>
    <w:rsid w:val="00D70E8B"/>
    <w:rsid w:val="00D8156A"/>
    <w:rsid w:val="00DA5913"/>
    <w:rsid w:val="00DA6C68"/>
    <w:rsid w:val="00DD09A4"/>
    <w:rsid w:val="00DD27AA"/>
    <w:rsid w:val="00DF03A7"/>
    <w:rsid w:val="00E33D65"/>
    <w:rsid w:val="00E62DD4"/>
    <w:rsid w:val="00E665AE"/>
    <w:rsid w:val="00E831C9"/>
    <w:rsid w:val="00E83665"/>
    <w:rsid w:val="00E90255"/>
    <w:rsid w:val="00E946AA"/>
    <w:rsid w:val="00E9645A"/>
    <w:rsid w:val="00EA0F2D"/>
    <w:rsid w:val="00EA1049"/>
    <w:rsid w:val="00EA7290"/>
    <w:rsid w:val="00EB1C00"/>
    <w:rsid w:val="00EB6CCD"/>
    <w:rsid w:val="00EC5D7F"/>
    <w:rsid w:val="00EE04E9"/>
    <w:rsid w:val="00F05D68"/>
    <w:rsid w:val="00F50598"/>
    <w:rsid w:val="00F809D2"/>
    <w:rsid w:val="00F84195"/>
    <w:rsid w:val="00FA5680"/>
    <w:rsid w:val="00FB6F4F"/>
    <w:rsid w:val="00FC2595"/>
    <w:rsid w:val="00FD1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504BC3"/>
  <w15:chartTrackingRefBased/>
  <w15:docId w15:val="{655F97B8-AF2F-4869-92B8-4F586FD0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DD4"/>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BE5786"/>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E62DD4"/>
    <w:rPr>
      <w:rFonts w:cs="Arial"/>
      <w:b/>
      <w:szCs w:val="22"/>
    </w:rPr>
  </w:style>
  <w:style w:type="character" w:customStyle="1" w:styleId="NormalBoldChar">
    <w:name w:val="Normal Bold Char"/>
    <w:basedOn w:val="DefaultParagraphFont"/>
    <w:link w:val="NormalBold"/>
    <w:rsid w:val="00E62DD4"/>
    <w:rPr>
      <w:rFonts w:eastAsia="Times New Roman" w:cs="Arial"/>
      <w:b/>
      <w:sz w:val="24"/>
      <w:lang w:eastAsia="en-AU"/>
    </w:rPr>
  </w:style>
  <w:style w:type="character" w:styleId="CommentReference">
    <w:name w:val="annotation reference"/>
    <w:basedOn w:val="DefaultParagraphFont"/>
    <w:uiPriority w:val="99"/>
    <w:semiHidden/>
    <w:unhideWhenUsed/>
    <w:rsid w:val="00E62DD4"/>
    <w:rPr>
      <w:sz w:val="16"/>
      <w:szCs w:val="16"/>
    </w:rPr>
  </w:style>
  <w:style w:type="paragraph" w:styleId="CommentText">
    <w:name w:val="annotation text"/>
    <w:basedOn w:val="Normal"/>
    <w:link w:val="CommentTextChar"/>
    <w:uiPriority w:val="99"/>
    <w:unhideWhenUsed/>
    <w:rsid w:val="00E62DD4"/>
    <w:rPr>
      <w:sz w:val="20"/>
      <w:szCs w:val="20"/>
    </w:rPr>
  </w:style>
  <w:style w:type="character" w:customStyle="1" w:styleId="CommentTextChar">
    <w:name w:val="Comment Text Char"/>
    <w:basedOn w:val="DefaultParagraphFont"/>
    <w:link w:val="CommentText"/>
    <w:uiPriority w:val="99"/>
    <w:rsid w:val="00E62DD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2DD4"/>
    <w:rPr>
      <w:b/>
      <w:bCs/>
    </w:rPr>
  </w:style>
  <w:style w:type="character" w:customStyle="1" w:styleId="CommentSubjectChar">
    <w:name w:val="Comment Subject Char"/>
    <w:basedOn w:val="CommentTextChar"/>
    <w:link w:val="CommentSubject"/>
    <w:uiPriority w:val="99"/>
    <w:semiHidden/>
    <w:rsid w:val="00E62DD4"/>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E62D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D4"/>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BE5786"/>
    <w:rPr>
      <w:rFonts w:ascii="Times New Roman" w:eastAsia="Times New Roman" w:hAnsi="Times New Roman"/>
      <w:b/>
      <w:sz w:val="28"/>
      <w:szCs w:val="28"/>
    </w:rPr>
  </w:style>
  <w:style w:type="paragraph" w:styleId="Header">
    <w:name w:val="header"/>
    <w:basedOn w:val="Normal"/>
    <w:link w:val="HeaderChar"/>
    <w:uiPriority w:val="99"/>
    <w:unhideWhenUsed/>
    <w:rsid w:val="00BE5786"/>
    <w:pPr>
      <w:tabs>
        <w:tab w:val="center" w:pos="4513"/>
        <w:tab w:val="right" w:pos="9026"/>
      </w:tabs>
      <w:spacing w:after="0"/>
    </w:pPr>
  </w:style>
  <w:style w:type="character" w:customStyle="1" w:styleId="HeaderChar">
    <w:name w:val="Header Char"/>
    <w:basedOn w:val="DefaultParagraphFont"/>
    <w:link w:val="Header"/>
    <w:uiPriority w:val="99"/>
    <w:rsid w:val="00BE5786"/>
    <w:rPr>
      <w:rFonts w:eastAsia="Times New Roman" w:cs="Times New Roman"/>
      <w:sz w:val="24"/>
      <w:szCs w:val="24"/>
      <w:lang w:eastAsia="en-AU"/>
    </w:rPr>
  </w:style>
  <w:style w:type="paragraph" w:styleId="Footer">
    <w:name w:val="footer"/>
    <w:basedOn w:val="Normal"/>
    <w:link w:val="FooterChar"/>
    <w:uiPriority w:val="99"/>
    <w:unhideWhenUsed/>
    <w:rsid w:val="00BE5786"/>
    <w:pPr>
      <w:tabs>
        <w:tab w:val="center" w:pos="4513"/>
        <w:tab w:val="right" w:pos="9026"/>
      </w:tabs>
      <w:spacing w:after="0"/>
    </w:pPr>
  </w:style>
  <w:style w:type="character" w:customStyle="1" w:styleId="FooterChar">
    <w:name w:val="Footer Char"/>
    <w:basedOn w:val="DefaultParagraphFont"/>
    <w:link w:val="Footer"/>
    <w:uiPriority w:val="99"/>
    <w:rsid w:val="00BE5786"/>
    <w:rPr>
      <w:rFonts w:eastAsia="Times New Roman" w:cs="Times New Roman"/>
      <w:sz w:val="24"/>
      <w:szCs w:val="24"/>
      <w:lang w:eastAsia="en-AU"/>
    </w:rPr>
  </w:style>
  <w:style w:type="paragraph" w:customStyle="1" w:styleId="paragraph">
    <w:name w:val="paragraph"/>
    <w:aliases w:val="a"/>
    <w:basedOn w:val="Normal"/>
    <w:rsid w:val="00A03930"/>
    <w:pPr>
      <w:tabs>
        <w:tab w:val="right" w:pos="1531"/>
      </w:tabs>
      <w:spacing w:before="40" w:after="0"/>
      <w:ind w:left="1644" w:hanging="1644"/>
    </w:pPr>
    <w:rPr>
      <w:rFonts w:ascii="Times New Roman" w:hAnsi="Times New Roman"/>
      <w:sz w:val="22"/>
      <w:szCs w:val="20"/>
    </w:rPr>
  </w:style>
  <w:style w:type="character" w:styleId="Hyperlink">
    <w:name w:val="Hyperlink"/>
    <w:basedOn w:val="DefaultParagraphFont"/>
    <w:uiPriority w:val="99"/>
    <w:unhideWhenUsed/>
    <w:rsid w:val="00F05D68"/>
    <w:rPr>
      <w:color w:val="0000FF"/>
      <w:u w:val="single"/>
    </w:rPr>
  </w:style>
  <w:style w:type="paragraph" w:styleId="ListParagraph">
    <w:name w:val="List Paragraph"/>
    <w:basedOn w:val="Normal"/>
    <w:uiPriority w:val="34"/>
    <w:qFormat/>
    <w:rsid w:val="00DA6C68"/>
    <w:pPr>
      <w:ind w:left="720"/>
      <w:contextualSpacing/>
    </w:pPr>
  </w:style>
  <w:style w:type="character" w:styleId="UnresolvedMention">
    <w:name w:val="Unresolved Mention"/>
    <w:basedOn w:val="DefaultParagraphFont"/>
    <w:uiPriority w:val="99"/>
    <w:semiHidden/>
    <w:unhideWhenUsed/>
    <w:rsid w:val="00C7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5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ADonovan/AppData/Local/Microsoft/Windows/INetCache/Content.Outlook/B7VDQA9F/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li.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801-1C75-4131-BCE9-5151B4AA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55B7E-B063-4CCD-8190-B5DF8D8597FF}">
  <ds:schemaRefs>
    <ds:schemaRef ds:uri="http://purl.org/dc/elements/1.1/"/>
    <ds:schemaRef ds:uri="http://schemas.microsoft.com/office/2006/metadata/properties"/>
    <ds:schemaRef ds:uri="E995FC5B-FDDC-4158-B77D-FEFFF6AB42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4D3E79-98BB-4818-8DF5-823365D0A941}">
  <ds:schemaRefs>
    <ds:schemaRef ds:uri="http://schemas.microsoft.com/sharepoint/v3/contenttype/forms"/>
  </ds:schemaRefs>
</ds:datastoreItem>
</file>

<file path=customXml/itemProps4.xml><?xml version="1.0" encoding="utf-8"?>
<ds:datastoreItem xmlns:ds="http://schemas.openxmlformats.org/officeDocument/2006/customXml" ds:itemID="{B7601FF9-FE41-49DB-8DA0-056E9052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3859</Words>
  <Characters>21998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Driscoll, Tom</dc:creator>
  <cp:keywords/>
  <dc:description/>
  <cp:lastModifiedBy>BEAR Penny</cp:lastModifiedBy>
  <cp:revision>2</cp:revision>
  <cp:lastPrinted>2023-07-18T06:39:00Z</cp:lastPrinted>
  <dcterms:created xsi:type="dcterms:W3CDTF">2023-07-18T22:59:00Z</dcterms:created>
  <dcterms:modified xsi:type="dcterms:W3CDTF">2023-07-18T22:59:00Z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y fmtid="{D5CDD505-2E9C-101B-9397-08002B2CF9AE}" pid="3" name="TrimRevisionNumber">
    <vt:i4>47</vt:i4>
  </property>
</Properties>
</file>