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64FB" w14:textId="38CF3145" w:rsidR="00426150" w:rsidRPr="00941C0D" w:rsidRDefault="00426150" w:rsidP="00FA349C">
      <w:pPr>
        <w:pStyle w:val="Heading1"/>
        <w:spacing w:after="240"/>
      </w:pPr>
      <w:bookmarkStart w:id="0" w:name="OLE_LINK1"/>
      <w:bookmarkStart w:id="1" w:name="OLE_LINK2"/>
      <w:r w:rsidRPr="00503E44">
        <w:t>EXPLANATORY STATEMENT</w:t>
      </w:r>
    </w:p>
    <w:p w14:paraId="7077D476" w14:textId="4DB170C7" w:rsidR="00426150" w:rsidRPr="0039795F" w:rsidRDefault="00426150" w:rsidP="00426150">
      <w:pPr>
        <w:pStyle w:val="Heading2"/>
        <w:spacing w:after="240"/>
        <w:jc w:val="center"/>
        <w:rPr>
          <w:b w:val="0"/>
          <w:sz w:val="24"/>
          <w:szCs w:val="24"/>
        </w:rPr>
      </w:pPr>
      <w:r w:rsidRPr="0039795F">
        <w:rPr>
          <w:b w:val="0"/>
          <w:sz w:val="24"/>
          <w:szCs w:val="24"/>
        </w:rPr>
        <w:t xml:space="preserve">Issued by authority of the Minister for </w:t>
      </w:r>
      <w:r w:rsidR="00265873">
        <w:rPr>
          <w:b w:val="0"/>
          <w:sz w:val="24"/>
          <w:szCs w:val="24"/>
        </w:rPr>
        <w:t>Climate Change and Energy</w:t>
      </w:r>
      <w:r>
        <w:rPr>
          <w:b w:val="0"/>
          <w:sz w:val="24"/>
          <w:szCs w:val="24"/>
        </w:rPr>
        <w:t xml:space="preserve"> and the Minister for Finance</w:t>
      </w:r>
    </w:p>
    <w:p w14:paraId="401EA68F" w14:textId="77777777" w:rsidR="00426150" w:rsidRPr="00B460E9" w:rsidRDefault="00426150" w:rsidP="00426150">
      <w:pPr>
        <w:spacing w:before="240" w:after="240"/>
        <w:jc w:val="center"/>
        <w:rPr>
          <w:i/>
        </w:rPr>
      </w:pPr>
      <w:r>
        <w:rPr>
          <w:i/>
          <w:iCs/>
        </w:rPr>
        <w:t>Clean Energy Finance Corporation Act 2012</w:t>
      </w:r>
    </w:p>
    <w:p w14:paraId="72E880CE" w14:textId="2513533D" w:rsidR="00426150" w:rsidRPr="0039795F" w:rsidRDefault="00426150" w:rsidP="00426150">
      <w:pPr>
        <w:spacing w:before="240" w:after="240"/>
        <w:jc w:val="center"/>
        <w:rPr>
          <w:i/>
        </w:rPr>
      </w:pPr>
      <w:r>
        <w:rPr>
          <w:i/>
        </w:rPr>
        <w:t xml:space="preserve">Clean Energy Finance Corporation Investment Mandate Direction </w:t>
      </w:r>
      <w:r w:rsidR="000F13A1">
        <w:rPr>
          <w:i/>
        </w:rPr>
        <w:t>202</w:t>
      </w:r>
      <w:r w:rsidR="008D48D8">
        <w:rPr>
          <w:i/>
        </w:rPr>
        <w:t>3</w:t>
      </w:r>
    </w:p>
    <w:p w14:paraId="5CA25C44" w14:textId="5B4278F9" w:rsidR="00426150" w:rsidRDefault="00426150" w:rsidP="00426150">
      <w:pPr>
        <w:spacing w:before="0" w:after="240"/>
      </w:pPr>
      <w:r w:rsidRPr="004F373E">
        <w:rPr>
          <w:szCs w:val="24"/>
        </w:rPr>
        <w:t xml:space="preserve">Under the </w:t>
      </w:r>
      <w:r w:rsidRPr="004F373E">
        <w:rPr>
          <w:i/>
          <w:szCs w:val="24"/>
        </w:rPr>
        <w:t>Clean Energy Finance Corporation Act 2012</w:t>
      </w:r>
      <w:r w:rsidRPr="004F373E">
        <w:rPr>
          <w:szCs w:val="24"/>
        </w:rPr>
        <w:t xml:space="preserve"> (the Ac</w:t>
      </w:r>
      <w:r w:rsidR="00EE04D6">
        <w:rPr>
          <w:szCs w:val="24"/>
        </w:rPr>
        <w:t>t</w:t>
      </w:r>
      <w:r w:rsidRPr="004F373E">
        <w:rPr>
          <w:szCs w:val="24"/>
        </w:rPr>
        <w:t xml:space="preserve">), the role of the Clean Energy Finance Corporation (the Corporation) is to facilitate increased flows of finance into the clean </w:t>
      </w:r>
      <w:r w:rsidRPr="00D117CF">
        <w:t>energy</w:t>
      </w:r>
      <w:r w:rsidRPr="004F373E">
        <w:rPr>
          <w:szCs w:val="24"/>
        </w:rPr>
        <w:t xml:space="preserve"> sector</w:t>
      </w:r>
      <w:r w:rsidR="00081F9C">
        <w:rPr>
          <w:szCs w:val="24"/>
        </w:rPr>
        <w:t xml:space="preserve"> and </w:t>
      </w:r>
      <w:r w:rsidR="006524CE" w:rsidDel="00F251A3">
        <w:rPr>
          <w:szCs w:val="24"/>
        </w:rPr>
        <w:t xml:space="preserve">to facilitate </w:t>
      </w:r>
      <w:r w:rsidR="00081F9C">
        <w:rPr>
          <w:szCs w:val="24"/>
        </w:rPr>
        <w:t>the achievement of Australia’s greenhouse gas emissions reduction targets</w:t>
      </w:r>
      <w:r w:rsidRPr="004F373E">
        <w:rPr>
          <w:szCs w:val="24"/>
        </w:rPr>
        <w:t>.</w:t>
      </w:r>
      <w:r>
        <w:rPr>
          <w:szCs w:val="24"/>
        </w:rPr>
        <w:t xml:space="preserve"> </w:t>
      </w:r>
      <w:r w:rsidRPr="007727A0">
        <w:rPr>
          <w:szCs w:val="24"/>
        </w:rPr>
        <w:t xml:space="preserve">The Corporation performs this role </w:t>
      </w:r>
      <w:r w:rsidR="006239C6">
        <w:rPr>
          <w:szCs w:val="24"/>
        </w:rPr>
        <w:t>through</w:t>
      </w:r>
      <w:r w:rsidR="006239C6" w:rsidRPr="007727A0">
        <w:rPr>
          <w:szCs w:val="24"/>
        </w:rPr>
        <w:t xml:space="preserve"> </w:t>
      </w:r>
      <w:r w:rsidRPr="007727A0">
        <w:rPr>
          <w:szCs w:val="24"/>
        </w:rPr>
        <w:t xml:space="preserve">making </w:t>
      </w:r>
      <w:r w:rsidRPr="007727A0">
        <w:t xml:space="preserve">investments </w:t>
      </w:r>
      <w:r w:rsidR="00F74605">
        <w:t>that</w:t>
      </w:r>
      <w:r w:rsidR="00F74605" w:rsidRPr="007727A0">
        <w:t xml:space="preserve"> </w:t>
      </w:r>
      <w:r w:rsidRPr="007727A0">
        <w:t>attract private sector finance</w:t>
      </w:r>
      <w:r w:rsidR="00BB78E8">
        <w:t>.</w:t>
      </w:r>
      <w:r w:rsidR="004929C6">
        <w:t xml:space="preserve"> </w:t>
      </w:r>
      <w:r w:rsidR="00F251A3">
        <w:t>The Corporation</w:t>
      </w:r>
      <w:r w:rsidR="00F251A3" w:rsidRPr="007727A0">
        <w:t xml:space="preserve"> </w:t>
      </w:r>
      <w:r w:rsidRPr="007727A0">
        <w:t>work</w:t>
      </w:r>
      <w:r w:rsidR="00BB78E8">
        <w:t>s</w:t>
      </w:r>
      <w:r w:rsidRPr="007727A0">
        <w:t xml:space="preserve"> with strategic co-financing partners to catalyse flows of money</w:t>
      </w:r>
      <w:r w:rsidR="00081F9C" w:rsidRPr="007727A0">
        <w:t xml:space="preserve"> </w:t>
      </w:r>
      <w:r w:rsidR="006239C6">
        <w:t>to</w:t>
      </w:r>
      <w:r w:rsidR="006239C6" w:rsidRPr="007727A0">
        <w:t xml:space="preserve"> </w:t>
      </w:r>
      <w:r w:rsidR="00081F9C" w:rsidRPr="007727A0">
        <w:t>support projects that help to reduce Australia’s greenhouse gas emissions</w:t>
      </w:r>
      <w:r w:rsidRPr="007727A0">
        <w:t>.</w:t>
      </w:r>
    </w:p>
    <w:p w14:paraId="5BBA793D" w14:textId="5D40F0FA" w:rsidR="00426150" w:rsidRDefault="00426150" w:rsidP="00426150">
      <w:pPr>
        <w:spacing w:before="0" w:after="240"/>
        <w:rPr>
          <w:szCs w:val="24"/>
        </w:rPr>
      </w:pPr>
      <w:r w:rsidRPr="004F373E">
        <w:rPr>
          <w:szCs w:val="24"/>
        </w:rPr>
        <w:t>Under the Act</w:t>
      </w:r>
      <w:r>
        <w:rPr>
          <w:szCs w:val="24"/>
        </w:rPr>
        <w:t>,</w:t>
      </w:r>
      <w:r w:rsidRPr="004F373E">
        <w:rPr>
          <w:szCs w:val="24"/>
        </w:rPr>
        <w:t xml:space="preserve"> the Board </w:t>
      </w:r>
      <w:r>
        <w:rPr>
          <w:szCs w:val="24"/>
        </w:rPr>
        <w:t xml:space="preserve">of the Corporation (the Board) </w:t>
      </w:r>
      <w:r w:rsidRPr="004F373E">
        <w:rPr>
          <w:szCs w:val="24"/>
        </w:rPr>
        <w:t xml:space="preserve">is responsible for ensuring the proper, </w:t>
      </w:r>
      <w:proofErr w:type="gramStart"/>
      <w:r w:rsidRPr="004F373E">
        <w:rPr>
          <w:szCs w:val="24"/>
        </w:rPr>
        <w:t>efficient</w:t>
      </w:r>
      <w:proofErr w:type="gramEnd"/>
      <w:r w:rsidRPr="004F373E">
        <w:rPr>
          <w:szCs w:val="24"/>
        </w:rPr>
        <w:t xml:space="preserve"> and effective performance of the Corporation. This responsibility is subject to any restrictions placed on the </w:t>
      </w:r>
      <w:r w:rsidRPr="004922EF">
        <w:t>Corporation</w:t>
      </w:r>
      <w:r w:rsidRPr="004F373E">
        <w:rPr>
          <w:szCs w:val="24"/>
        </w:rPr>
        <w:t xml:space="preserve"> by the </w:t>
      </w:r>
      <w:r>
        <w:rPr>
          <w:szCs w:val="24"/>
        </w:rPr>
        <w:t>Act. In addition, the responsible Ministers for the purposes of the Act may issue one or more directions to the Board</w:t>
      </w:r>
      <w:r w:rsidRPr="004F373E">
        <w:rPr>
          <w:szCs w:val="24"/>
        </w:rPr>
        <w:t xml:space="preserve"> under subsection 64(1)</w:t>
      </w:r>
      <w:r>
        <w:rPr>
          <w:szCs w:val="24"/>
        </w:rPr>
        <w:t xml:space="preserve"> of the Act</w:t>
      </w:r>
      <w:r w:rsidRPr="004F373E">
        <w:rPr>
          <w:szCs w:val="24"/>
        </w:rPr>
        <w:t xml:space="preserve">. Directions issued </w:t>
      </w:r>
      <w:r>
        <w:rPr>
          <w:szCs w:val="24"/>
        </w:rPr>
        <w:t>in this manner are</w:t>
      </w:r>
      <w:r w:rsidRPr="004F373E">
        <w:rPr>
          <w:szCs w:val="24"/>
        </w:rPr>
        <w:t xml:space="preserve"> known collectively as the </w:t>
      </w:r>
      <w:r>
        <w:rPr>
          <w:szCs w:val="24"/>
        </w:rPr>
        <w:t xml:space="preserve">Corporation’s </w:t>
      </w:r>
      <w:r w:rsidR="000713B5">
        <w:rPr>
          <w:szCs w:val="24"/>
        </w:rPr>
        <w:t>“</w:t>
      </w:r>
      <w:r>
        <w:rPr>
          <w:szCs w:val="24"/>
        </w:rPr>
        <w:t>Investment Mandate</w:t>
      </w:r>
      <w:r w:rsidR="00624B10">
        <w:rPr>
          <w:szCs w:val="24"/>
        </w:rPr>
        <w:t>”</w:t>
      </w:r>
      <w:r>
        <w:rPr>
          <w:szCs w:val="24"/>
        </w:rPr>
        <w:t>.</w:t>
      </w:r>
    </w:p>
    <w:p w14:paraId="1BC9FF84" w14:textId="1C776BFF" w:rsidR="00426150" w:rsidRPr="002F3B21" w:rsidRDefault="00426150" w:rsidP="00426150">
      <w:pPr>
        <w:spacing w:before="0" w:after="240"/>
        <w:rPr>
          <w:szCs w:val="24"/>
        </w:rPr>
      </w:pPr>
      <w:r w:rsidRPr="00F30CD4">
        <w:rPr>
          <w:szCs w:val="24"/>
        </w:rPr>
        <w:t xml:space="preserve">The </w:t>
      </w:r>
      <w:r w:rsidR="00986006">
        <w:rPr>
          <w:szCs w:val="24"/>
        </w:rPr>
        <w:t>Board</w:t>
      </w:r>
      <w:r w:rsidR="00986006" w:rsidRPr="00F30CD4">
        <w:rPr>
          <w:szCs w:val="24"/>
        </w:rPr>
        <w:t xml:space="preserve"> </w:t>
      </w:r>
      <w:r w:rsidRPr="00F30CD4">
        <w:rPr>
          <w:szCs w:val="24"/>
        </w:rPr>
        <w:t>make</w:t>
      </w:r>
      <w:r w:rsidR="00771DBD">
        <w:rPr>
          <w:szCs w:val="24"/>
        </w:rPr>
        <w:t>s</w:t>
      </w:r>
      <w:r w:rsidRPr="00F30CD4">
        <w:rPr>
          <w:szCs w:val="24"/>
        </w:rPr>
        <w:t xml:space="preserve"> individual investment decisions independently of the Government. The purpose of the Investment Mandate is to provide a mechanism for the Government to articulate its broad expectations of how the Corporation invests and is managed by the </w:t>
      </w:r>
      <w:r>
        <w:rPr>
          <w:szCs w:val="24"/>
        </w:rPr>
        <w:t>Board.</w:t>
      </w:r>
    </w:p>
    <w:p w14:paraId="32AB7070" w14:textId="63D68531" w:rsidR="00023D6A" w:rsidRDefault="00426150" w:rsidP="001D20BA">
      <w:pPr>
        <w:spacing w:before="0" w:after="240"/>
      </w:pPr>
      <w:r>
        <w:t xml:space="preserve">The </w:t>
      </w:r>
      <w:r>
        <w:rPr>
          <w:i/>
        </w:rPr>
        <w:t xml:space="preserve">Clean Energy Finance Corporation Investment Mandate Direction </w:t>
      </w:r>
      <w:r w:rsidR="000F13A1">
        <w:rPr>
          <w:i/>
        </w:rPr>
        <w:t>202</w:t>
      </w:r>
      <w:r w:rsidR="008D48D8">
        <w:rPr>
          <w:i/>
        </w:rPr>
        <w:t>3</w:t>
      </w:r>
      <w:r w:rsidR="008D48D8">
        <w:t xml:space="preserve"> </w:t>
      </w:r>
      <w:r>
        <w:t xml:space="preserve">(the </w:t>
      </w:r>
      <w:r w:rsidR="000F13A1">
        <w:t>202</w:t>
      </w:r>
      <w:r w:rsidR="008D48D8">
        <w:t xml:space="preserve">3 </w:t>
      </w:r>
      <w:r>
        <w:t xml:space="preserve">Mandate) </w:t>
      </w:r>
      <w:r w:rsidR="000F13A1">
        <w:t xml:space="preserve">repeals and </w:t>
      </w:r>
      <w:r>
        <w:t xml:space="preserve">replaces the </w:t>
      </w:r>
      <w:r w:rsidRPr="002B67AC">
        <w:rPr>
          <w:i/>
        </w:rPr>
        <w:t>Clean Energy Finance Corporation Investment Mandate 20</w:t>
      </w:r>
      <w:r w:rsidR="00265873">
        <w:rPr>
          <w:i/>
        </w:rPr>
        <w:t>20</w:t>
      </w:r>
      <w:r>
        <w:t xml:space="preserve">. </w:t>
      </w:r>
      <w:r w:rsidR="00A84610">
        <w:t xml:space="preserve">The 2023 Mandate reflects the Government’s resolve to urgently step-up action to tackle climate change by implementing new policies across the economy to drive the transformation of our energy systems to net zero. </w:t>
      </w:r>
      <w:r w:rsidR="003368F4">
        <w:t xml:space="preserve">Further, it supports the </w:t>
      </w:r>
      <w:r w:rsidR="001116B5">
        <w:t xml:space="preserve">new commitments Australia has made in its </w:t>
      </w:r>
      <w:r w:rsidR="003368F4">
        <w:t>Nationally Determined Contribution</w:t>
      </w:r>
      <w:r w:rsidR="001116B5">
        <w:t xml:space="preserve"> under</w:t>
      </w:r>
      <w:r w:rsidR="003368F4">
        <w:t xml:space="preserve"> Article 4 of</w:t>
      </w:r>
      <w:r w:rsidR="001116B5">
        <w:t xml:space="preserve"> the Paris Agreement</w:t>
      </w:r>
      <w:r w:rsidR="00A1574C">
        <w:t xml:space="preserve"> </w:t>
      </w:r>
      <w:r w:rsidR="006A74C8">
        <w:t>t</w:t>
      </w:r>
      <w:r w:rsidR="001116B5">
        <w:t>o achieve net zero emissions by 2050</w:t>
      </w:r>
      <w:r w:rsidR="003C1862">
        <w:rPr>
          <w:rStyle w:val="FootnoteReference"/>
        </w:rPr>
        <w:footnoteReference w:id="2"/>
      </w:r>
      <w:r w:rsidR="001116B5">
        <w:t>.</w:t>
      </w:r>
      <w:r w:rsidR="009D483B">
        <w:t xml:space="preserve"> It provides new directions relating to Rewiring the Nation, the Powering Australia Technology Fund </w:t>
      </w:r>
      <w:r w:rsidR="00523CF2">
        <w:t xml:space="preserve">and the </w:t>
      </w:r>
      <w:r w:rsidR="003B3B37">
        <w:t>Household Energy Upgrades Fund</w:t>
      </w:r>
      <w:r w:rsidR="007E3487">
        <w:t xml:space="preserve"> as well as </w:t>
      </w:r>
      <w:r w:rsidR="0035485C">
        <w:t xml:space="preserve">a </w:t>
      </w:r>
      <w:r w:rsidR="007E3487">
        <w:t>reduction in the</w:t>
      </w:r>
      <w:r w:rsidR="000E751B">
        <w:t xml:space="preserve"> target </w:t>
      </w:r>
      <w:r w:rsidR="004E7E0B">
        <w:t>r</w:t>
      </w:r>
      <w:r w:rsidR="007E3487">
        <w:t xml:space="preserve">ate of </w:t>
      </w:r>
      <w:r w:rsidR="004E7E0B">
        <w:t>r</w:t>
      </w:r>
      <w:r w:rsidR="007E3487">
        <w:t>eturn for the General Portfolio.</w:t>
      </w:r>
      <w:r w:rsidR="00215E4E">
        <w:t xml:space="preserve"> </w:t>
      </w:r>
    </w:p>
    <w:p w14:paraId="5491A25F" w14:textId="480801F7" w:rsidR="001D20BA" w:rsidRPr="00D97382" w:rsidRDefault="00215E4E" w:rsidP="00803917">
      <w:pPr>
        <w:spacing w:before="0" w:after="240"/>
        <w:rPr>
          <w:szCs w:val="24"/>
        </w:rPr>
      </w:pPr>
      <w:r>
        <w:t xml:space="preserve">The 2023 Mandate also removes </w:t>
      </w:r>
      <w:r w:rsidR="001D20BA">
        <w:t xml:space="preserve">directions </w:t>
      </w:r>
      <w:r w:rsidR="00023D6A">
        <w:t xml:space="preserve">relating to </w:t>
      </w:r>
      <w:r w:rsidR="001D20BA" w:rsidRPr="00D97382">
        <w:rPr>
          <w:szCs w:val="24"/>
        </w:rPr>
        <w:t xml:space="preserve">the Sustainable Cities Investment Program, the Reef Funding </w:t>
      </w:r>
      <w:proofErr w:type="gramStart"/>
      <w:r w:rsidR="001D20BA" w:rsidRPr="00D97382">
        <w:rPr>
          <w:szCs w:val="24"/>
        </w:rPr>
        <w:t>Program</w:t>
      </w:r>
      <w:proofErr w:type="gramEnd"/>
      <w:r w:rsidR="001D20BA" w:rsidRPr="00D97382">
        <w:rPr>
          <w:szCs w:val="24"/>
        </w:rPr>
        <w:t xml:space="preserve"> and the Australian Recycling Investment Fund</w:t>
      </w:r>
      <w:r w:rsidR="00023D6A">
        <w:rPr>
          <w:szCs w:val="24"/>
        </w:rPr>
        <w:t>.</w:t>
      </w:r>
      <w:r w:rsidR="004E3910">
        <w:rPr>
          <w:szCs w:val="24"/>
        </w:rPr>
        <w:t xml:space="preserve"> The Board will still be able to support projects that contribute to the policy objectives of these funds but will be able to do so in a more efficient manner via the General Portfolio.</w:t>
      </w:r>
    </w:p>
    <w:p w14:paraId="7CBA6B9C" w14:textId="255A2E61" w:rsidR="00426150" w:rsidRPr="001B0EC8" w:rsidRDefault="00426150" w:rsidP="00426150">
      <w:pPr>
        <w:spacing w:before="0" w:after="240"/>
      </w:pPr>
      <w:r w:rsidRPr="004109D3">
        <w:t xml:space="preserve">Details of the </w:t>
      </w:r>
      <w:r w:rsidR="000F13A1">
        <w:t>202</w:t>
      </w:r>
      <w:r w:rsidR="008D48D8">
        <w:t xml:space="preserve">3 </w:t>
      </w:r>
      <w:r>
        <w:t xml:space="preserve">Mandate </w:t>
      </w:r>
      <w:r w:rsidRPr="004109D3">
        <w:t xml:space="preserve">are </w:t>
      </w:r>
      <w:r>
        <w:t>outlined</w:t>
      </w:r>
      <w:r w:rsidRPr="004109D3">
        <w:t xml:space="preserve"> in </w:t>
      </w:r>
      <w:r>
        <w:rPr>
          <w:u w:val="single"/>
        </w:rPr>
        <w:t>Attachment A</w:t>
      </w:r>
      <w:r>
        <w:t>.</w:t>
      </w:r>
    </w:p>
    <w:p w14:paraId="16BF4C77" w14:textId="47C864AA" w:rsidR="00426150" w:rsidRDefault="00426150" w:rsidP="00426150">
      <w:pPr>
        <w:spacing w:before="0" w:after="240"/>
      </w:pPr>
      <w:r>
        <w:lastRenderedPageBreak/>
        <w:t xml:space="preserve">Pursuant to section 66 of the Act, the responsible Ministers consulted the Board during the preparation of the </w:t>
      </w:r>
      <w:r w:rsidR="000F13A1">
        <w:t>202</w:t>
      </w:r>
      <w:r w:rsidR="008D48D8">
        <w:t xml:space="preserve">3 </w:t>
      </w:r>
      <w:r>
        <w:t>Mandate. The Board’s response, which the Ministers subsequently considered, is tabled and publicly available.</w:t>
      </w:r>
    </w:p>
    <w:p w14:paraId="43E53065" w14:textId="421FFF0E" w:rsidR="00426150" w:rsidRDefault="00426150" w:rsidP="00426150">
      <w:pPr>
        <w:spacing w:before="0" w:after="240"/>
      </w:pPr>
      <w:r w:rsidRPr="00431218">
        <w:t xml:space="preserve">The following additional statutory pre-conditions have been met in relation to the </w:t>
      </w:r>
      <w:r w:rsidR="000F13A1">
        <w:t>202</w:t>
      </w:r>
      <w:r w:rsidR="008D48D8">
        <w:t xml:space="preserve">3 </w:t>
      </w:r>
      <w:r>
        <w:t>Mandate</w:t>
      </w:r>
      <w:r w:rsidRPr="00431218">
        <w:t>:</w:t>
      </w:r>
    </w:p>
    <w:p w14:paraId="4A7E7140" w14:textId="73AD0E1A" w:rsidR="00426150" w:rsidRDefault="00426150" w:rsidP="00426150">
      <w:pPr>
        <w:pStyle w:val="ListBullet"/>
        <w:tabs>
          <w:tab w:val="clear" w:pos="360"/>
          <w:tab w:val="num" w:pos="1080"/>
        </w:tabs>
        <w:ind w:left="811" w:hanging="357"/>
      </w:pPr>
      <w:r>
        <w:t xml:space="preserve">The responsible Ministers considered the object of the Act, and any other matters they considered relevant, in preparing the </w:t>
      </w:r>
      <w:r w:rsidR="000F13A1">
        <w:t>202</w:t>
      </w:r>
      <w:r w:rsidR="008D48D8">
        <w:t xml:space="preserve">3 </w:t>
      </w:r>
      <w:r>
        <w:t>Mandate</w:t>
      </w:r>
      <w:r>
        <w:rPr>
          <w:rStyle w:val="FootnoteReference"/>
        </w:rPr>
        <w:footnoteReference w:id="3"/>
      </w:r>
      <w:r>
        <w:t>.</w:t>
      </w:r>
    </w:p>
    <w:p w14:paraId="6FCB86EE" w14:textId="3E82086F" w:rsidR="00426150" w:rsidRPr="00622827" w:rsidRDefault="00426150" w:rsidP="00426150">
      <w:pPr>
        <w:pStyle w:val="ListBullet"/>
        <w:tabs>
          <w:tab w:val="clear" w:pos="360"/>
          <w:tab w:val="num" w:pos="1080"/>
        </w:tabs>
        <w:spacing w:before="0" w:after="240"/>
        <w:ind w:left="811" w:hanging="357"/>
        <w:rPr>
          <w:rFonts w:ascii="Helvetica" w:hAnsi="Helvetica"/>
          <w:b/>
          <w:bCs/>
          <w:kern w:val="28"/>
        </w:rPr>
      </w:pPr>
      <w:r>
        <w:t>The</w:t>
      </w:r>
      <w:r w:rsidR="000F13A1">
        <w:t xml:space="preserve"> 202</w:t>
      </w:r>
      <w:r w:rsidR="008D48D8">
        <w:t>3</w:t>
      </w:r>
      <w:r>
        <w:t xml:space="preserve"> </w:t>
      </w:r>
      <w:r w:rsidR="000F13A1">
        <w:t xml:space="preserve">Mandate </w:t>
      </w:r>
      <w:r>
        <w:t xml:space="preserve">is consistent with the </w:t>
      </w:r>
      <w:r w:rsidR="00C2098F">
        <w:t>Act and</w:t>
      </w:r>
      <w:r>
        <w:t xml:space="preserve"> does not directly or indirectly require the Board to make (or not to make) a particular investment</w:t>
      </w:r>
      <w:r>
        <w:rPr>
          <w:rStyle w:val="FootnoteReference"/>
        </w:rPr>
        <w:footnoteReference w:id="4"/>
      </w:r>
      <w:r>
        <w:t>.</w:t>
      </w:r>
      <w:bookmarkEnd w:id="0"/>
      <w:bookmarkEnd w:id="1"/>
    </w:p>
    <w:p w14:paraId="6E043AC4" w14:textId="77777777" w:rsidR="00426150" w:rsidRDefault="00426150" w:rsidP="00426150">
      <w:pPr>
        <w:pStyle w:val="ListBullet"/>
        <w:numPr>
          <w:ilvl w:val="0"/>
          <w:numId w:val="0"/>
        </w:numPr>
        <w:spacing w:before="0" w:after="240"/>
        <w:ind w:left="360" w:hanging="360"/>
      </w:pPr>
    </w:p>
    <w:p w14:paraId="334F5708" w14:textId="77777777" w:rsidR="00426150" w:rsidRPr="00277DD2" w:rsidRDefault="00426150" w:rsidP="00426150">
      <w:pPr>
        <w:pStyle w:val="ListBullet"/>
        <w:numPr>
          <w:ilvl w:val="0"/>
          <w:numId w:val="0"/>
        </w:numPr>
        <w:spacing w:before="0" w:after="240"/>
        <w:ind w:left="360" w:hanging="360"/>
        <w:rPr>
          <w:rFonts w:ascii="Helvetica" w:hAnsi="Helvetica"/>
          <w:b/>
          <w:kern w:val="28"/>
        </w:rPr>
      </w:pPr>
      <w:r>
        <w:br w:type="page"/>
      </w:r>
    </w:p>
    <w:p w14:paraId="05CAA20E" w14:textId="77777777" w:rsidR="00426150" w:rsidRPr="001550FB" w:rsidRDefault="00426150" w:rsidP="00426150">
      <w:pPr>
        <w:tabs>
          <w:tab w:val="right" w:pos="9072"/>
        </w:tabs>
        <w:spacing w:before="0" w:after="240"/>
        <w:ind w:right="91"/>
        <w:jc w:val="right"/>
        <w:rPr>
          <w:b/>
          <w:u w:val="single"/>
        </w:rPr>
      </w:pPr>
      <w:r w:rsidRPr="001550FB">
        <w:rPr>
          <w:b/>
          <w:u w:val="single"/>
        </w:rPr>
        <w:lastRenderedPageBreak/>
        <w:t>ATTACHMENT</w:t>
      </w:r>
      <w:r>
        <w:rPr>
          <w:b/>
          <w:u w:val="single"/>
        </w:rPr>
        <w:t xml:space="preserve"> A</w:t>
      </w:r>
    </w:p>
    <w:p w14:paraId="4D94CE0F" w14:textId="77777777" w:rsidR="003A396A" w:rsidRPr="001550FB" w:rsidRDefault="003A396A" w:rsidP="00426150">
      <w:pPr>
        <w:tabs>
          <w:tab w:val="right" w:pos="9072"/>
        </w:tabs>
        <w:spacing w:before="0" w:after="240"/>
        <w:ind w:right="91"/>
        <w:jc w:val="right"/>
        <w:rPr>
          <w:b/>
          <w:u w:val="single"/>
        </w:rPr>
      </w:pPr>
    </w:p>
    <w:p w14:paraId="49B7A5E3" w14:textId="67D226C3" w:rsidR="00426150" w:rsidRDefault="00426150" w:rsidP="00426150">
      <w:pPr>
        <w:keepNext/>
        <w:spacing w:after="240"/>
        <w:jc w:val="center"/>
        <w:outlineLvl w:val="1"/>
        <w:rPr>
          <w:b/>
        </w:rPr>
      </w:pPr>
      <w:r w:rsidRPr="00B719D4">
        <w:rPr>
          <w:b/>
        </w:rPr>
        <w:t xml:space="preserve">Details of the </w:t>
      </w:r>
      <w:r>
        <w:rPr>
          <w:b/>
        </w:rPr>
        <w:t>20</w:t>
      </w:r>
      <w:r w:rsidR="006A561E">
        <w:rPr>
          <w:b/>
        </w:rPr>
        <w:t>23</w:t>
      </w:r>
      <w:r>
        <w:rPr>
          <w:b/>
        </w:rPr>
        <w:t xml:space="preserve"> Mandate</w:t>
      </w:r>
    </w:p>
    <w:p w14:paraId="7A4A5346" w14:textId="77777777" w:rsidR="004040F8" w:rsidRPr="00B719D4" w:rsidRDefault="004040F8" w:rsidP="00426150">
      <w:pPr>
        <w:keepNext/>
        <w:spacing w:after="240"/>
        <w:jc w:val="center"/>
        <w:outlineLvl w:val="1"/>
        <w:rPr>
          <w:b/>
          <w:i/>
          <w:szCs w:val="24"/>
          <w:u w:val="single"/>
        </w:rPr>
      </w:pPr>
    </w:p>
    <w:p w14:paraId="2563D526" w14:textId="77777777" w:rsidR="00426150" w:rsidRPr="00EC6E28" w:rsidRDefault="00426150" w:rsidP="00426150">
      <w:pPr>
        <w:spacing w:before="0" w:after="240"/>
        <w:ind w:right="91"/>
        <w:rPr>
          <w:b/>
          <w:szCs w:val="24"/>
        </w:rPr>
      </w:pPr>
      <w:r w:rsidRPr="00EC6E28">
        <w:rPr>
          <w:b/>
          <w:szCs w:val="24"/>
        </w:rPr>
        <w:t>Part 1 – Preliminary</w:t>
      </w:r>
    </w:p>
    <w:p w14:paraId="01F4EAED" w14:textId="2E0175FD" w:rsidR="00426150" w:rsidRPr="00B9380B" w:rsidRDefault="00426150" w:rsidP="00426150">
      <w:pPr>
        <w:spacing w:before="0" w:after="240"/>
        <w:ind w:right="91"/>
        <w:rPr>
          <w:szCs w:val="24"/>
        </w:rPr>
      </w:pPr>
      <w:r>
        <w:rPr>
          <w:szCs w:val="24"/>
          <w:u w:val="single"/>
        </w:rPr>
        <w:t xml:space="preserve">Section 1 – Name of </w:t>
      </w:r>
      <w:r w:rsidR="00771DBD">
        <w:rPr>
          <w:szCs w:val="24"/>
          <w:u w:val="single"/>
        </w:rPr>
        <w:t>D</w:t>
      </w:r>
      <w:r>
        <w:rPr>
          <w:szCs w:val="24"/>
          <w:u w:val="single"/>
        </w:rPr>
        <w:t>irection</w:t>
      </w:r>
    </w:p>
    <w:p w14:paraId="2BE52A97" w14:textId="7E97115E" w:rsidR="00426150" w:rsidRPr="00F90D84" w:rsidRDefault="00426150" w:rsidP="00426150">
      <w:pPr>
        <w:spacing w:before="0" w:after="240"/>
        <w:rPr>
          <w:szCs w:val="24"/>
        </w:rPr>
      </w:pPr>
      <w:r>
        <w:rPr>
          <w:szCs w:val="24"/>
        </w:rPr>
        <w:t>Section 1</w:t>
      </w:r>
      <w:r w:rsidRPr="00F90D84">
        <w:rPr>
          <w:szCs w:val="24"/>
        </w:rPr>
        <w:t xml:space="preserve"> provides that the </w:t>
      </w:r>
      <w:r w:rsidR="00121A8D">
        <w:rPr>
          <w:szCs w:val="24"/>
        </w:rPr>
        <w:t>name o</w:t>
      </w:r>
      <w:r w:rsidRPr="00F90D84">
        <w:rPr>
          <w:szCs w:val="24"/>
        </w:rPr>
        <w:t xml:space="preserve">f the </w:t>
      </w:r>
      <w:r w:rsidR="000F13A1">
        <w:rPr>
          <w:szCs w:val="24"/>
        </w:rPr>
        <w:t>202</w:t>
      </w:r>
      <w:r w:rsidR="006A561E">
        <w:rPr>
          <w:szCs w:val="24"/>
        </w:rPr>
        <w:t xml:space="preserve">3 </w:t>
      </w:r>
      <w:r>
        <w:rPr>
          <w:szCs w:val="24"/>
        </w:rPr>
        <w:t xml:space="preserve">Mandate </w:t>
      </w:r>
      <w:r w:rsidRPr="00F90D84">
        <w:rPr>
          <w:szCs w:val="24"/>
        </w:rPr>
        <w:t xml:space="preserve">is the </w:t>
      </w:r>
      <w:r>
        <w:rPr>
          <w:i/>
        </w:rPr>
        <w:t xml:space="preserve">Clean Energy Finance Corporation Investment Mandate Direction </w:t>
      </w:r>
      <w:r w:rsidR="000F13A1">
        <w:rPr>
          <w:i/>
        </w:rPr>
        <w:t>202</w:t>
      </w:r>
      <w:r w:rsidR="006A561E">
        <w:rPr>
          <w:i/>
        </w:rPr>
        <w:t>3</w:t>
      </w:r>
      <w:r w:rsidR="006A561E" w:rsidRPr="00F90D84">
        <w:rPr>
          <w:szCs w:val="24"/>
        </w:rPr>
        <w:t>.</w:t>
      </w:r>
    </w:p>
    <w:p w14:paraId="119FA7F2" w14:textId="77777777" w:rsidR="00426150" w:rsidRPr="00FC52C4" w:rsidRDefault="00426150" w:rsidP="00426150">
      <w:pPr>
        <w:spacing w:before="0" w:after="240"/>
        <w:ind w:right="91"/>
        <w:rPr>
          <w:szCs w:val="24"/>
          <w:u w:val="single"/>
        </w:rPr>
      </w:pPr>
      <w:r w:rsidRPr="00FC52C4">
        <w:rPr>
          <w:szCs w:val="24"/>
          <w:u w:val="single"/>
        </w:rPr>
        <w:t>Section 2 – Commencement</w:t>
      </w:r>
    </w:p>
    <w:p w14:paraId="73DDB73B" w14:textId="49F0257B" w:rsidR="004624A1" w:rsidRDefault="00426150" w:rsidP="00426150">
      <w:pPr>
        <w:spacing w:before="0" w:after="240"/>
        <w:rPr>
          <w:szCs w:val="24"/>
        </w:rPr>
      </w:pPr>
      <w:r>
        <w:rPr>
          <w:szCs w:val="24"/>
        </w:rPr>
        <w:t>Section 2</w:t>
      </w:r>
      <w:r w:rsidRPr="00FC52C4">
        <w:rPr>
          <w:szCs w:val="24"/>
        </w:rPr>
        <w:t xml:space="preserve"> </w:t>
      </w:r>
      <w:r>
        <w:rPr>
          <w:szCs w:val="24"/>
        </w:rPr>
        <w:t>provides</w:t>
      </w:r>
      <w:r w:rsidRPr="00FC52C4">
        <w:rPr>
          <w:szCs w:val="24"/>
        </w:rPr>
        <w:t xml:space="preserve"> that the </w:t>
      </w:r>
      <w:r w:rsidR="000F13A1">
        <w:rPr>
          <w:szCs w:val="24"/>
        </w:rPr>
        <w:t>202</w:t>
      </w:r>
      <w:r w:rsidR="006A561E">
        <w:rPr>
          <w:szCs w:val="24"/>
        </w:rPr>
        <w:t xml:space="preserve">3 </w:t>
      </w:r>
      <w:r>
        <w:rPr>
          <w:szCs w:val="24"/>
        </w:rPr>
        <w:t xml:space="preserve">Mandate </w:t>
      </w:r>
      <w:r w:rsidRPr="00FC52C4">
        <w:rPr>
          <w:szCs w:val="24"/>
        </w:rPr>
        <w:t>commences</w:t>
      </w:r>
      <w:r>
        <w:rPr>
          <w:szCs w:val="24"/>
        </w:rPr>
        <w:t xml:space="preserve"> the day after it is </w:t>
      </w:r>
      <w:r w:rsidR="00EE04D6">
        <w:rPr>
          <w:szCs w:val="24"/>
        </w:rPr>
        <w:t>registered on the Federal Register of Legislation</w:t>
      </w:r>
      <w:r>
        <w:rPr>
          <w:szCs w:val="24"/>
        </w:rPr>
        <w:t>.</w:t>
      </w:r>
    </w:p>
    <w:p w14:paraId="514D0D13" w14:textId="48928303" w:rsidR="006C7900" w:rsidRDefault="00426150" w:rsidP="005A7BA1">
      <w:pPr>
        <w:spacing w:before="0" w:after="240"/>
        <w:rPr>
          <w:szCs w:val="24"/>
        </w:rPr>
      </w:pPr>
      <w:r>
        <w:rPr>
          <w:szCs w:val="24"/>
        </w:rPr>
        <w:t xml:space="preserve">A note to section 2 clarifies that the </w:t>
      </w:r>
      <w:r w:rsidR="00081F9C">
        <w:rPr>
          <w:szCs w:val="24"/>
        </w:rPr>
        <w:t>202</w:t>
      </w:r>
      <w:r w:rsidR="006A561E">
        <w:rPr>
          <w:szCs w:val="24"/>
        </w:rPr>
        <w:t xml:space="preserve">3 </w:t>
      </w:r>
      <w:r w:rsidR="00081F9C">
        <w:rPr>
          <w:szCs w:val="24"/>
        </w:rPr>
        <w:t>Mandate</w:t>
      </w:r>
      <w:r w:rsidR="00805479">
        <w:rPr>
          <w:szCs w:val="24"/>
        </w:rPr>
        <w:t xml:space="preserve"> </w:t>
      </w:r>
      <w:r w:rsidR="004624A1" w:rsidRPr="004572EC">
        <w:rPr>
          <w:szCs w:val="24"/>
        </w:rPr>
        <w:t xml:space="preserve">is </w:t>
      </w:r>
      <w:r w:rsidR="000713B5" w:rsidRPr="004572EC">
        <w:rPr>
          <w:szCs w:val="24"/>
        </w:rPr>
        <w:t>exempt from</w:t>
      </w:r>
      <w:r w:rsidR="004624A1" w:rsidRPr="004572EC">
        <w:rPr>
          <w:szCs w:val="24"/>
        </w:rPr>
        <w:t xml:space="preserve"> </w:t>
      </w:r>
      <w:r w:rsidR="000713B5" w:rsidRPr="004572EC">
        <w:rPr>
          <w:szCs w:val="24"/>
        </w:rPr>
        <w:t>P</w:t>
      </w:r>
      <w:r w:rsidR="002F3E5E" w:rsidRPr="004572EC">
        <w:rPr>
          <w:szCs w:val="24"/>
        </w:rPr>
        <w:t xml:space="preserve">arliamentary </w:t>
      </w:r>
      <w:r w:rsidR="004624A1" w:rsidRPr="004572EC">
        <w:rPr>
          <w:szCs w:val="24"/>
        </w:rPr>
        <w:t>disallowance</w:t>
      </w:r>
      <w:r w:rsidR="000713B5" w:rsidRPr="004572EC">
        <w:rPr>
          <w:szCs w:val="24"/>
        </w:rPr>
        <w:t xml:space="preserve"> and will not automatically expire (or “sunset”)</w:t>
      </w:r>
      <w:r w:rsidR="006A561E" w:rsidRPr="004572EC">
        <w:rPr>
          <w:szCs w:val="24"/>
        </w:rPr>
        <w:t xml:space="preserve"> </w:t>
      </w:r>
      <w:r w:rsidR="000713B5" w:rsidRPr="004572EC">
        <w:rPr>
          <w:szCs w:val="24"/>
        </w:rPr>
        <w:t xml:space="preserve">at the completion of a prescribed </w:t>
      </w:r>
      <w:proofErr w:type="gramStart"/>
      <w:r w:rsidR="000713B5" w:rsidRPr="004572EC">
        <w:rPr>
          <w:szCs w:val="24"/>
        </w:rPr>
        <w:t>period of time</w:t>
      </w:r>
      <w:proofErr w:type="gramEnd"/>
      <w:r w:rsidR="000713B5" w:rsidRPr="004572EC">
        <w:rPr>
          <w:szCs w:val="24"/>
        </w:rPr>
        <w:t xml:space="preserve">. </w:t>
      </w:r>
    </w:p>
    <w:p w14:paraId="1DEBB57A" w14:textId="77777777" w:rsidR="00E34F12" w:rsidRPr="00BD05FD" w:rsidRDefault="00E34F12" w:rsidP="00E34F12">
      <w:pPr>
        <w:spacing w:before="0" w:after="240"/>
        <w:rPr>
          <w:i/>
          <w:iCs/>
          <w:szCs w:val="24"/>
        </w:rPr>
      </w:pPr>
      <w:r>
        <w:rPr>
          <w:i/>
          <w:iCs/>
          <w:szCs w:val="24"/>
        </w:rPr>
        <w:t xml:space="preserve">Exemption from </w:t>
      </w:r>
      <w:r w:rsidRPr="00BD05FD">
        <w:rPr>
          <w:i/>
          <w:iCs/>
          <w:szCs w:val="24"/>
        </w:rPr>
        <w:t>Disallowance</w:t>
      </w:r>
    </w:p>
    <w:p w14:paraId="2482D0B0" w14:textId="1AEC78C0" w:rsidR="007B466F" w:rsidRPr="004572EC" w:rsidRDefault="007B466F" w:rsidP="005A7BA1">
      <w:pPr>
        <w:spacing w:before="0" w:after="240"/>
        <w:rPr>
          <w:szCs w:val="24"/>
        </w:rPr>
      </w:pPr>
      <w:r w:rsidRPr="007B466F">
        <w:rPr>
          <w:szCs w:val="24"/>
        </w:rPr>
        <w:t xml:space="preserve">As written directions from the responsible Ministers to a body (the Board), investment mandates are exempt from disallowance under item 2 of the table at section 9 of the </w:t>
      </w:r>
      <w:r w:rsidRPr="00480D94">
        <w:rPr>
          <w:i/>
          <w:szCs w:val="24"/>
        </w:rPr>
        <w:t>Legislation (Exemptions and Other Matters) Regulation 2015</w:t>
      </w:r>
      <w:r w:rsidRPr="007B466F">
        <w:rPr>
          <w:szCs w:val="24"/>
        </w:rPr>
        <w:t>, which provides that ‘an instrument that is a direction by a Minister to any person or body’ is a class of instruments that is not subject to disallowance.</w:t>
      </w:r>
    </w:p>
    <w:p w14:paraId="63030766" w14:textId="25B82FDF" w:rsidR="005E771D" w:rsidRDefault="00EE34DE" w:rsidP="005E771D">
      <w:pPr>
        <w:spacing w:before="0" w:after="240"/>
        <w:ind w:right="91"/>
        <w:rPr>
          <w:rStyle w:val="ui-provider"/>
        </w:rPr>
      </w:pPr>
      <w:r>
        <w:rPr>
          <w:rStyle w:val="ui-provider"/>
        </w:rPr>
        <w:t>T</w:t>
      </w:r>
      <w:r w:rsidR="005E771D" w:rsidRPr="00893822">
        <w:rPr>
          <w:rStyle w:val="ui-provider"/>
        </w:rPr>
        <w:t>he Act</w:t>
      </w:r>
      <w:r>
        <w:rPr>
          <w:rStyle w:val="ui-provider"/>
        </w:rPr>
        <w:t xml:space="preserve"> provides </w:t>
      </w:r>
      <w:r w:rsidR="0085269F">
        <w:rPr>
          <w:rStyle w:val="ui-provider"/>
        </w:rPr>
        <w:t xml:space="preserve">an </w:t>
      </w:r>
      <w:r w:rsidR="0085269F" w:rsidRPr="0085269F">
        <w:rPr>
          <w:rStyle w:val="ui-provider"/>
        </w:rPr>
        <w:t xml:space="preserve">appropriate </w:t>
      </w:r>
      <w:r w:rsidR="0085269F">
        <w:rPr>
          <w:rStyle w:val="ui-provider"/>
        </w:rPr>
        <w:t xml:space="preserve">level of </w:t>
      </w:r>
      <w:r w:rsidR="0085269F" w:rsidRPr="0085269F">
        <w:rPr>
          <w:rStyle w:val="ui-provider"/>
        </w:rPr>
        <w:t xml:space="preserve">parliamentary and public scrutiny </w:t>
      </w:r>
      <w:r w:rsidR="0085269F">
        <w:rPr>
          <w:rStyle w:val="ui-provider"/>
        </w:rPr>
        <w:t>by requiring</w:t>
      </w:r>
      <w:r w:rsidR="005E771D">
        <w:rPr>
          <w:rStyle w:val="ui-provider"/>
        </w:rPr>
        <w:t xml:space="preserve"> </w:t>
      </w:r>
      <w:r w:rsidR="005E771D" w:rsidRPr="00893822">
        <w:rPr>
          <w:rStyle w:val="ui-provider"/>
        </w:rPr>
        <w:t xml:space="preserve">the responsible Ministers to consult the Board before issuing an investment mandate, with any submission to be considered by </w:t>
      </w:r>
      <w:r w:rsidR="00121A8D">
        <w:rPr>
          <w:rStyle w:val="ui-provider"/>
        </w:rPr>
        <w:t xml:space="preserve">the </w:t>
      </w:r>
      <w:r w:rsidR="005E771D" w:rsidRPr="00893822">
        <w:rPr>
          <w:rStyle w:val="ui-provider"/>
        </w:rPr>
        <w:t xml:space="preserve">responsible Ministers and tabled in both houses of the Parliament (section </w:t>
      </w:r>
      <w:r w:rsidR="00454CF1">
        <w:rPr>
          <w:rStyle w:val="ui-provider"/>
        </w:rPr>
        <w:t>66</w:t>
      </w:r>
      <w:r w:rsidR="005E771D" w:rsidRPr="00893822">
        <w:rPr>
          <w:rStyle w:val="ui-provider"/>
        </w:rPr>
        <w:t xml:space="preserve"> of the Act refers). This requirement ensures that the Parliament is informed of any matters raised by the Board with respect to proposed investment mandates.</w:t>
      </w:r>
      <w:r w:rsidR="00454CF1">
        <w:rPr>
          <w:rStyle w:val="ui-provider"/>
        </w:rPr>
        <w:t xml:space="preserve"> </w:t>
      </w:r>
      <w:r w:rsidR="005E771D" w:rsidRPr="00893822">
        <w:rPr>
          <w:rStyle w:val="ui-provider"/>
        </w:rPr>
        <w:t>The investment mandate will be published on the Federal Register of Legislation, along with any submission on the draft investment mandate by the Board.</w:t>
      </w:r>
      <w:r w:rsidR="00A95423">
        <w:rPr>
          <w:rStyle w:val="ui-provider"/>
        </w:rPr>
        <w:t xml:space="preserve"> </w:t>
      </w:r>
      <w:r w:rsidR="00F9269B">
        <w:rPr>
          <w:rStyle w:val="ui-provider"/>
        </w:rPr>
        <w:t>Additional avenues for Parliamentary scrutiny include Senate Estimates and the C</w:t>
      </w:r>
      <w:r w:rsidR="0077740E">
        <w:rPr>
          <w:rStyle w:val="ui-provider"/>
        </w:rPr>
        <w:t>orporation</w:t>
      </w:r>
      <w:r w:rsidR="00F9269B">
        <w:rPr>
          <w:rStyle w:val="ui-provider"/>
        </w:rPr>
        <w:t>’s PGPA Act reporting and annual report</w:t>
      </w:r>
      <w:r w:rsidR="0077740E">
        <w:rPr>
          <w:rStyle w:val="ui-provider"/>
        </w:rPr>
        <w:t xml:space="preserve"> requirements</w:t>
      </w:r>
      <w:r w:rsidR="0066373F">
        <w:rPr>
          <w:rStyle w:val="ui-provider"/>
        </w:rPr>
        <w:t xml:space="preserve"> (see</w:t>
      </w:r>
      <w:r w:rsidR="00F9269B">
        <w:rPr>
          <w:rStyle w:val="ui-provider"/>
        </w:rPr>
        <w:t xml:space="preserve"> sections 73 and 74 of the A</w:t>
      </w:r>
      <w:r w:rsidR="00D60E3D">
        <w:rPr>
          <w:rStyle w:val="ui-provider"/>
        </w:rPr>
        <w:t>ct</w:t>
      </w:r>
      <w:r w:rsidR="0066373F">
        <w:rPr>
          <w:rStyle w:val="ui-provider"/>
        </w:rPr>
        <w:t>)</w:t>
      </w:r>
      <w:r w:rsidR="00D60E3D">
        <w:rPr>
          <w:rStyle w:val="ui-provider"/>
        </w:rPr>
        <w:t>.</w:t>
      </w:r>
      <w:r w:rsidR="00F02816">
        <w:rPr>
          <w:rStyle w:val="ui-provider"/>
        </w:rPr>
        <w:t xml:space="preserve"> </w:t>
      </w:r>
    </w:p>
    <w:p w14:paraId="0B649FF9" w14:textId="1943F733" w:rsidR="00713434" w:rsidRDefault="00713434" w:rsidP="008E374B">
      <w:pPr>
        <w:keepNext/>
        <w:spacing w:before="0" w:after="240"/>
        <w:ind w:right="91"/>
        <w:rPr>
          <w:rStyle w:val="ui-provider"/>
          <w:i/>
          <w:iCs/>
        </w:rPr>
      </w:pPr>
      <w:r>
        <w:rPr>
          <w:rStyle w:val="ui-provider"/>
          <w:i/>
          <w:iCs/>
        </w:rPr>
        <w:t xml:space="preserve">Exemption from </w:t>
      </w:r>
      <w:r w:rsidR="00A2244B">
        <w:rPr>
          <w:rStyle w:val="ui-provider"/>
          <w:i/>
          <w:iCs/>
        </w:rPr>
        <w:t>S</w:t>
      </w:r>
      <w:r>
        <w:rPr>
          <w:rStyle w:val="ui-provider"/>
          <w:i/>
          <w:iCs/>
        </w:rPr>
        <w:t>unsetting</w:t>
      </w:r>
    </w:p>
    <w:p w14:paraId="2179F9AB" w14:textId="77777777" w:rsidR="00D85DEC" w:rsidRDefault="007837AD" w:rsidP="008E374B">
      <w:pPr>
        <w:keepNext/>
        <w:spacing w:before="0" w:after="240"/>
        <w:ind w:right="91"/>
        <w:rPr>
          <w:szCs w:val="24"/>
        </w:rPr>
      </w:pPr>
      <w:r>
        <w:rPr>
          <w:rStyle w:val="ui-provider"/>
        </w:rPr>
        <w:t xml:space="preserve">As per section 54 of the </w:t>
      </w:r>
      <w:r>
        <w:rPr>
          <w:rStyle w:val="ui-provider"/>
          <w:i/>
          <w:iCs/>
        </w:rPr>
        <w:t xml:space="preserve">Legislation Act 2003 </w:t>
      </w:r>
      <w:r>
        <w:rPr>
          <w:rStyle w:val="ui-provider"/>
        </w:rPr>
        <w:t xml:space="preserve">and section 11 of the </w:t>
      </w:r>
      <w:r w:rsidRPr="00480D94">
        <w:rPr>
          <w:i/>
          <w:szCs w:val="24"/>
        </w:rPr>
        <w:t>Legislation (Exemptions and Other Matters) Regulation 2015</w:t>
      </w:r>
      <w:r>
        <w:rPr>
          <w:szCs w:val="24"/>
        </w:rPr>
        <w:t xml:space="preserve">, the investment mandate is not subject to sunsetting as it is a </w:t>
      </w:r>
      <w:r w:rsidR="00603B00">
        <w:rPr>
          <w:szCs w:val="24"/>
        </w:rPr>
        <w:t xml:space="preserve">ministerial </w:t>
      </w:r>
      <w:r w:rsidR="00603B00" w:rsidRPr="00603B00">
        <w:rPr>
          <w:szCs w:val="24"/>
        </w:rPr>
        <w:t>direction to a person or body</w:t>
      </w:r>
      <w:r w:rsidR="00603B00">
        <w:rPr>
          <w:szCs w:val="24"/>
        </w:rPr>
        <w:t xml:space="preserve"> (the Board).</w:t>
      </w:r>
    </w:p>
    <w:p w14:paraId="4DB117ED" w14:textId="2FF74BB1" w:rsidR="00713434" w:rsidRPr="00893822" w:rsidRDefault="007D795C" w:rsidP="00893822">
      <w:pPr>
        <w:spacing w:before="0" w:after="240"/>
        <w:ind w:right="91"/>
        <w:rPr>
          <w:rStyle w:val="ui-provider"/>
        </w:rPr>
      </w:pPr>
      <w:r w:rsidRPr="007D795C">
        <w:rPr>
          <w:szCs w:val="24"/>
        </w:rPr>
        <w:t xml:space="preserve">While the Government may need to update </w:t>
      </w:r>
      <w:r w:rsidR="00F916DD">
        <w:rPr>
          <w:szCs w:val="24"/>
        </w:rPr>
        <w:t>the</w:t>
      </w:r>
      <w:r w:rsidRPr="007D795C">
        <w:rPr>
          <w:szCs w:val="24"/>
        </w:rPr>
        <w:t xml:space="preserve"> investment mandate from time to time (for example, in response to urgent or unforeseen events, or to reflect evolving investment </w:t>
      </w:r>
      <w:r w:rsidR="00F916DD">
        <w:rPr>
          <w:szCs w:val="24"/>
        </w:rPr>
        <w:t>or policy considerations</w:t>
      </w:r>
      <w:r w:rsidRPr="007D795C">
        <w:rPr>
          <w:szCs w:val="24"/>
        </w:rPr>
        <w:t xml:space="preserve">), an investment mandate is generally issued with </w:t>
      </w:r>
      <w:r w:rsidRPr="007D795C">
        <w:rPr>
          <w:szCs w:val="24"/>
        </w:rPr>
        <w:lastRenderedPageBreak/>
        <w:t>the expectation that it will be in place over the medium to longer term.</w:t>
      </w:r>
      <w:r w:rsidR="00B96657" w:rsidRPr="00B96657">
        <w:t xml:space="preserve"> </w:t>
      </w:r>
      <w:r w:rsidR="00B96657" w:rsidRPr="00B96657">
        <w:rPr>
          <w:szCs w:val="24"/>
        </w:rPr>
        <w:t xml:space="preserve">Exemption from sunsetting provides for an ongoing investment mandate until such a time that the </w:t>
      </w:r>
      <w:r w:rsidR="00110E64">
        <w:rPr>
          <w:szCs w:val="24"/>
        </w:rPr>
        <w:t>G</w:t>
      </w:r>
      <w:r w:rsidR="00B96657" w:rsidRPr="00B96657">
        <w:rPr>
          <w:szCs w:val="24"/>
        </w:rPr>
        <w:t>overnment considers it necessary to amend the investment mandate or issue a new investment mandate.</w:t>
      </w:r>
      <w:r w:rsidR="00B96657">
        <w:rPr>
          <w:szCs w:val="24"/>
        </w:rPr>
        <w:t xml:space="preserve"> </w:t>
      </w:r>
      <w:r w:rsidR="00B96657" w:rsidRPr="00B96657">
        <w:rPr>
          <w:szCs w:val="24"/>
        </w:rPr>
        <w:t>Additionally, the investment mandate may comprise multiple different directions issued at different times. The exemption from sunsetting ensures that the directions remain coherent, regardless of when specific directions were issued.</w:t>
      </w:r>
    </w:p>
    <w:p w14:paraId="0E9F0338" w14:textId="65AEDD69" w:rsidR="00426150" w:rsidRPr="004572EC" w:rsidRDefault="00426150" w:rsidP="00426150">
      <w:pPr>
        <w:spacing w:before="0" w:after="240"/>
        <w:ind w:right="91"/>
        <w:rPr>
          <w:szCs w:val="24"/>
        </w:rPr>
      </w:pPr>
      <w:r w:rsidRPr="004572EC">
        <w:rPr>
          <w:szCs w:val="24"/>
          <w:u w:val="single"/>
        </w:rPr>
        <w:t>Section 3 – Authority</w:t>
      </w:r>
    </w:p>
    <w:p w14:paraId="13B9DEC1" w14:textId="05E40540" w:rsidR="001342EF" w:rsidRPr="004572EC" w:rsidRDefault="00426150" w:rsidP="00426150">
      <w:pPr>
        <w:spacing w:before="0" w:after="240"/>
        <w:ind w:right="91"/>
        <w:rPr>
          <w:szCs w:val="24"/>
        </w:rPr>
      </w:pPr>
      <w:r w:rsidRPr="004572EC">
        <w:rPr>
          <w:szCs w:val="24"/>
        </w:rPr>
        <w:t xml:space="preserve">Section 3 provides that the </w:t>
      </w:r>
      <w:r w:rsidR="00081F9C" w:rsidRPr="004572EC">
        <w:rPr>
          <w:szCs w:val="24"/>
        </w:rPr>
        <w:t>202</w:t>
      </w:r>
      <w:r w:rsidR="006A561E" w:rsidRPr="004572EC">
        <w:rPr>
          <w:szCs w:val="24"/>
        </w:rPr>
        <w:t xml:space="preserve">3 </w:t>
      </w:r>
      <w:r w:rsidR="00081F9C" w:rsidRPr="004572EC">
        <w:rPr>
          <w:szCs w:val="24"/>
        </w:rPr>
        <w:t xml:space="preserve">Mandate </w:t>
      </w:r>
      <w:r w:rsidRPr="004572EC">
        <w:rPr>
          <w:szCs w:val="24"/>
        </w:rPr>
        <w:t>is made under subsection 64(1) of the Act.</w:t>
      </w:r>
    </w:p>
    <w:p w14:paraId="30641F0F" w14:textId="5CA35480" w:rsidR="00426150" w:rsidRPr="004572EC" w:rsidRDefault="00426150" w:rsidP="00426150">
      <w:pPr>
        <w:spacing w:before="0" w:after="240"/>
        <w:ind w:right="91"/>
        <w:rPr>
          <w:szCs w:val="24"/>
          <w:u w:val="single"/>
        </w:rPr>
      </w:pPr>
      <w:r w:rsidRPr="004572EC">
        <w:rPr>
          <w:szCs w:val="24"/>
          <w:u w:val="single"/>
        </w:rPr>
        <w:t>Section 4 – Definitions</w:t>
      </w:r>
    </w:p>
    <w:p w14:paraId="0C083EFF" w14:textId="76B6D1E5" w:rsidR="00426150" w:rsidRDefault="00426150" w:rsidP="00426150">
      <w:pPr>
        <w:spacing w:before="0" w:after="240"/>
        <w:rPr>
          <w:szCs w:val="24"/>
        </w:rPr>
      </w:pPr>
      <w:r>
        <w:rPr>
          <w:szCs w:val="24"/>
        </w:rPr>
        <w:t>Section 4</w:t>
      </w:r>
      <w:r w:rsidRPr="00FC52C4">
        <w:rPr>
          <w:szCs w:val="24"/>
        </w:rPr>
        <w:t xml:space="preserve"> </w:t>
      </w:r>
      <w:r w:rsidR="00771DBD">
        <w:rPr>
          <w:szCs w:val="24"/>
        </w:rPr>
        <w:t xml:space="preserve">sets out definitions </w:t>
      </w:r>
      <w:r w:rsidR="000713B5">
        <w:rPr>
          <w:szCs w:val="24"/>
        </w:rPr>
        <w:t xml:space="preserve">for terms </w:t>
      </w:r>
      <w:r w:rsidR="00771DBD">
        <w:rPr>
          <w:szCs w:val="24"/>
        </w:rPr>
        <w:t>used in the 202</w:t>
      </w:r>
      <w:r w:rsidR="006A561E">
        <w:rPr>
          <w:szCs w:val="24"/>
        </w:rPr>
        <w:t xml:space="preserve">3 </w:t>
      </w:r>
      <w:r w:rsidR="00771DBD">
        <w:rPr>
          <w:szCs w:val="24"/>
        </w:rPr>
        <w:t xml:space="preserve">Mandate. </w:t>
      </w:r>
      <w:r w:rsidR="00AB41C2">
        <w:rPr>
          <w:szCs w:val="24"/>
        </w:rPr>
        <w:t>A note to section 4 confirms that</w:t>
      </w:r>
      <w:r>
        <w:rPr>
          <w:szCs w:val="24"/>
        </w:rPr>
        <w:t xml:space="preserve"> </w:t>
      </w:r>
      <w:r w:rsidR="00061351">
        <w:rPr>
          <w:szCs w:val="24"/>
        </w:rPr>
        <w:t xml:space="preserve">other </w:t>
      </w:r>
      <w:r>
        <w:rPr>
          <w:szCs w:val="24"/>
        </w:rPr>
        <w:t>terms bear the meanings found in the Act.</w:t>
      </w:r>
    </w:p>
    <w:p w14:paraId="19E059C4" w14:textId="77777777" w:rsidR="00426150" w:rsidRPr="00EC6E28" w:rsidRDefault="00426150" w:rsidP="00426150">
      <w:pPr>
        <w:spacing w:before="0" w:after="240"/>
        <w:ind w:right="91"/>
        <w:rPr>
          <w:b/>
          <w:szCs w:val="24"/>
        </w:rPr>
      </w:pPr>
      <w:r>
        <w:rPr>
          <w:b/>
          <w:szCs w:val="24"/>
        </w:rPr>
        <w:t>Part 2</w:t>
      </w:r>
      <w:r w:rsidRPr="00EC6E28">
        <w:rPr>
          <w:b/>
          <w:szCs w:val="24"/>
        </w:rPr>
        <w:t xml:space="preserve"> – </w:t>
      </w:r>
      <w:r>
        <w:rPr>
          <w:b/>
          <w:szCs w:val="24"/>
        </w:rPr>
        <w:t>Direction</w:t>
      </w:r>
    </w:p>
    <w:p w14:paraId="00D3DA6C" w14:textId="039E2AE5" w:rsidR="007131DA" w:rsidRDefault="007131DA" w:rsidP="00426150">
      <w:pPr>
        <w:spacing w:before="0" w:after="240"/>
        <w:ind w:right="91"/>
        <w:rPr>
          <w:szCs w:val="24"/>
          <w:u w:val="single"/>
        </w:rPr>
      </w:pPr>
      <w:r>
        <w:rPr>
          <w:szCs w:val="24"/>
          <w:u w:val="single"/>
        </w:rPr>
        <w:t xml:space="preserve">Section 5 – Purpose </w:t>
      </w:r>
    </w:p>
    <w:p w14:paraId="0C8FE3EA" w14:textId="05A6134F" w:rsidR="00BF6CB7" w:rsidRDefault="00BF6CB7" w:rsidP="00426150">
      <w:pPr>
        <w:spacing w:before="0" w:after="240"/>
        <w:ind w:right="91"/>
        <w:rPr>
          <w:color w:val="000000"/>
          <w:shd w:val="clear" w:color="auto" w:fill="FFFFFF"/>
        </w:rPr>
      </w:pPr>
      <w:r>
        <w:rPr>
          <w:color w:val="000000"/>
          <w:shd w:val="clear" w:color="auto" w:fill="FFFFFF"/>
        </w:rPr>
        <w:t>Section 5 provides guidance to the Board in relation to the performance of the Corporation’s investment function, as established in section 58 of the Act and shaped elsewhere in the Act.</w:t>
      </w:r>
    </w:p>
    <w:p w14:paraId="3C119294" w14:textId="18DF3D9A" w:rsidR="00D2365C" w:rsidRDefault="00BF517A" w:rsidP="00426150">
      <w:pPr>
        <w:spacing w:before="0" w:after="240"/>
        <w:ind w:right="91"/>
      </w:pPr>
      <w:r>
        <w:t>It tasks</w:t>
      </w:r>
      <w:r w:rsidR="00D2365C">
        <w:t xml:space="preserve"> the Board </w:t>
      </w:r>
      <w:r>
        <w:t xml:space="preserve">to </w:t>
      </w:r>
      <w:r w:rsidR="00D2365C">
        <w:t xml:space="preserve">deliver on </w:t>
      </w:r>
      <w:r>
        <w:t>the object of the Act through</w:t>
      </w:r>
      <w:r w:rsidR="00D2365C">
        <w:t>:</w:t>
      </w:r>
    </w:p>
    <w:p w14:paraId="7FA26D68" w14:textId="77777777" w:rsidR="00D2365C" w:rsidRDefault="00D2365C" w:rsidP="00D2365C">
      <w:pPr>
        <w:pStyle w:val="OutlineNumbered1"/>
        <w:numPr>
          <w:ilvl w:val="0"/>
          <w:numId w:val="61"/>
        </w:numPr>
        <w:tabs>
          <w:tab w:val="left" w:pos="720"/>
        </w:tabs>
      </w:pPr>
      <w:r>
        <w:t>the Rewiring the Nation Fund; and</w:t>
      </w:r>
    </w:p>
    <w:p w14:paraId="154C2DCA" w14:textId="3D53915F" w:rsidR="00D2365C" w:rsidRDefault="00D2365C" w:rsidP="00D2365C">
      <w:pPr>
        <w:pStyle w:val="OutlineNumbered1"/>
        <w:numPr>
          <w:ilvl w:val="0"/>
          <w:numId w:val="61"/>
        </w:numPr>
        <w:tabs>
          <w:tab w:val="left" w:pos="720"/>
        </w:tabs>
      </w:pPr>
      <w:r>
        <w:t>Specialised Investment Funds</w:t>
      </w:r>
      <w:r w:rsidR="00CE1ECC">
        <w:t xml:space="preserve"> (</w:t>
      </w:r>
      <w:r>
        <w:t>the Advancing Hydrogen Fund, Clean Energy Innovation Fund</w:t>
      </w:r>
      <w:r w:rsidR="00A938B8">
        <w:t>,</w:t>
      </w:r>
      <w:r>
        <w:t xml:space="preserve"> Powering Australia Technology Fund</w:t>
      </w:r>
      <w:r w:rsidR="0088161A">
        <w:t xml:space="preserve"> and</w:t>
      </w:r>
      <w:r w:rsidR="0088161A" w:rsidRPr="0088161A">
        <w:rPr>
          <w:highlight w:val="yellow"/>
        </w:rPr>
        <w:t xml:space="preserve"> </w:t>
      </w:r>
      <w:r w:rsidR="0088161A" w:rsidRPr="00A93908">
        <w:t>Household Energy Upgrades Fund</w:t>
      </w:r>
      <w:r w:rsidR="006D4006">
        <w:t>)</w:t>
      </w:r>
      <w:r>
        <w:t>; and</w:t>
      </w:r>
    </w:p>
    <w:p w14:paraId="3FD70ABF" w14:textId="06B450CB" w:rsidR="00FB5DDB" w:rsidRDefault="004B2EA1" w:rsidP="00FB5DDB">
      <w:pPr>
        <w:pStyle w:val="OutlineNumbered1"/>
        <w:numPr>
          <w:ilvl w:val="0"/>
          <w:numId w:val="61"/>
        </w:numPr>
        <w:tabs>
          <w:tab w:val="left" w:pos="720"/>
        </w:tabs>
      </w:pPr>
      <w:r>
        <w:t>G</w:t>
      </w:r>
      <w:r w:rsidR="00D2365C">
        <w:t xml:space="preserve">eneral </w:t>
      </w:r>
      <w:r>
        <w:t>P</w:t>
      </w:r>
      <w:r w:rsidR="00D2365C">
        <w:t xml:space="preserve">ortfolio investments. </w:t>
      </w:r>
    </w:p>
    <w:p w14:paraId="0DB8B6B4" w14:textId="5D40F97C" w:rsidR="00C805DE" w:rsidRDefault="00C805DE" w:rsidP="00FB5DDB">
      <w:pPr>
        <w:pStyle w:val="OutlineNumbered1"/>
        <w:numPr>
          <w:ilvl w:val="0"/>
          <w:numId w:val="0"/>
        </w:numPr>
        <w:tabs>
          <w:tab w:val="left" w:pos="720"/>
        </w:tabs>
      </w:pPr>
      <w:r w:rsidRPr="00C805DE">
        <w:t xml:space="preserve">Effective 14 September 2022, the CEFC’s objects were amended to include “and to facilitate the achievement of Australia’s greenhouse gas emissions reduction targets” following passage of the </w:t>
      </w:r>
      <w:r w:rsidRPr="00E509A7">
        <w:rPr>
          <w:i/>
          <w:iCs/>
        </w:rPr>
        <w:t>Climate Change Act 2022</w:t>
      </w:r>
      <w:r w:rsidRPr="00C805DE">
        <w:t xml:space="preserve"> and the </w:t>
      </w:r>
      <w:r w:rsidRPr="00E509A7">
        <w:rPr>
          <w:i/>
          <w:iCs/>
        </w:rPr>
        <w:t>Climate Change (Consequential Amendments) Act 2022</w:t>
      </w:r>
      <w:r>
        <w:t>.</w:t>
      </w:r>
      <w:r w:rsidRPr="00C805DE">
        <w:t xml:space="preserve"> </w:t>
      </w:r>
    </w:p>
    <w:p w14:paraId="25D31372" w14:textId="05316DD7" w:rsidR="00C805DE" w:rsidRDefault="00FB5DDB" w:rsidP="00C805DE">
      <w:pPr>
        <w:pStyle w:val="OutlineNumbered1"/>
        <w:numPr>
          <w:ilvl w:val="0"/>
          <w:numId w:val="0"/>
        </w:numPr>
        <w:tabs>
          <w:tab w:val="left" w:pos="720"/>
        </w:tabs>
      </w:pPr>
      <w:r>
        <w:t xml:space="preserve">The Corporation’s investments will contribute to Australia’s greenhouse gas emissions reduction targets as set out in Australia’s </w:t>
      </w:r>
      <w:r w:rsidR="00D70A1A">
        <w:t>N</w:t>
      </w:r>
      <w:r>
        <w:t xml:space="preserve">ationally </w:t>
      </w:r>
      <w:r w:rsidR="00D70A1A">
        <w:t>D</w:t>
      </w:r>
      <w:r>
        <w:t xml:space="preserve">etermined </w:t>
      </w:r>
      <w:r w:rsidR="00D70A1A">
        <w:t>C</w:t>
      </w:r>
      <w:r>
        <w:t xml:space="preserve">ontributions communicated in accordance </w:t>
      </w:r>
      <w:r w:rsidR="00AE5626">
        <w:t>with Article 4 of the Paris Agreement</w:t>
      </w:r>
      <w:r w:rsidR="00C805DE">
        <w:t xml:space="preserve"> –</w:t>
      </w:r>
      <w:r w:rsidR="00C805DE" w:rsidRPr="00C805DE">
        <w:t xml:space="preserve"> which</w:t>
      </w:r>
      <w:r w:rsidR="00C805DE">
        <w:t xml:space="preserve"> currently</w:t>
      </w:r>
      <w:r w:rsidR="00C805DE" w:rsidRPr="00C805DE">
        <w:t xml:space="preserve"> </w:t>
      </w:r>
      <w:r w:rsidR="00C805DE">
        <w:t>targets</w:t>
      </w:r>
      <w:r w:rsidR="00C805DE" w:rsidRPr="00C805DE">
        <w:t xml:space="preserve"> the cutting </w:t>
      </w:r>
      <w:r w:rsidR="00C805DE">
        <w:t xml:space="preserve">of </w:t>
      </w:r>
      <w:r w:rsidR="00C805DE" w:rsidRPr="00C805DE">
        <w:t xml:space="preserve">emissions by 43 per cent by 2030 (compared with 2005) and reaching net zero by 2050. </w:t>
      </w:r>
    </w:p>
    <w:p w14:paraId="5C78BC18" w14:textId="1D5C2D78" w:rsidR="00780AD1" w:rsidRDefault="00AE5626" w:rsidP="00FB5DDB">
      <w:pPr>
        <w:pStyle w:val="OutlineNumbered1"/>
        <w:numPr>
          <w:ilvl w:val="0"/>
          <w:numId w:val="0"/>
        </w:numPr>
        <w:tabs>
          <w:tab w:val="left" w:pos="720"/>
        </w:tabs>
      </w:pPr>
      <w:r>
        <w:t>The</w:t>
      </w:r>
      <w:r w:rsidR="0043343E">
        <w:t xml:space="preserve"> Corporation</w:t>
      </w:r>
      <w:r>
        <w:t xml:space="preserve"> will also contribute to the target of achieving 82</w:t>
      </w:r>
      <w:r w:rsidR="0043343E">
        <w:t xml:space="preserve"> per cent</w:t>
      </w:r>
      <w:r>
        <w:t xml:space="preserve"> renewable electricity in Australia’s electricity grids by 2030</w:t>
      </w:r>
      <w:r w:rsidR="009D28D5">
        <w:t xml:space="preserve">. </w:t>
      </w:r>
    </w:p>
    <w:p w14:paraId="4E8C35D1" w14:textId="22B887EA" w:rsidR="00FB5DDB" w:rsidRPr="00D2365C" w:rsidRDefault="00F13A85" w:rsidP="00FB5DDB">
      <w:pPr>
        <w:pStyle w:val="OutlineNumbered1"/>
        <w:numPr>
          <w:ilvl w:val="0"/>
          <w:numId w:val="0"/>
        </w:numPr>
        <w:tabs>
          <w:tab w:val="left" w:pos="720"/>
        </w:tabs>
      </w:pPr>
      <w:r>
        <w:t xml:space="preserve">The </w:t>
      </w:r>
      <w:r w:rsidR="009D28D5">
        <w:t xml:space="preserve">Rewiring the Nation </w:t>
      </w:r>
      <w:r>
        <w:t xml:space="preserve">Fund </w:t>
      </w:r>
      <w:r w:rsidR="009D28D5">
        <w:t xml:space="preserve">will </w:t>
      </w:r>
      <w:r w:rsidR="00AE5626">
        <w:t>facilitat</w:t>
      </w:r>
      <w:r w:rsidR="009D28D5">
        <w:t>e</w:t>
      </w:r>
      <w:r w:rsidR="00AE5626">
        <w:t xml:space="preserve"> the acceleration and delivery of critical transmission</w:t>
      </w:r>
      <w:r w:rsidR="00EF37FA">
        <w:t xml:space="preserve"> </w:t>
      </w:r>
      <w:r w:rsidR="00780AD1">
        <w:t xml:space="preserve">(and other) </w:t>
      </w:r>
      <w:r w:rsidR="00EF37FA">
        <w:t>infrastructure</w:t>
      </w:r>
      <w:r w:rsidR="52D49DF7">
        <w:t xml:space="preserve"> that</w:t>
      </w:r>
      <w:r w:rsidR="00EF37FA">
        <w:t xml:space="preserve"> support</w:t>
      </w:r>
      <w:r w:rsidR="23EE3B57">
        <w:t>s</w:t>
      </w:r>
      <w:r w:rsidR="00EF37FA">
        <w:t xml:space="preserve"> the energy transformation across Australia. These investments will support </w:t>
      </w:r>
      <w:r w:rsidR="00104017">
        <w:t xml:space="preserve">the connection of </w:t>
      </w:r>
      <w:r w:rsidR="00AE5626">
        <w:t xml:space="preserve">more renewable energy </w:t>
      </w:r>
      <w:r w:rsidR="00AE5626">
        <w:lastRenderedPageBreak/>
        <w:t>generation to the grid</w:t>
      </w:r>
      <w:r w:rsidR="00EF37FA">
        <w:t xml:space="preserve"> and employment opportunities, particularly in regional Australia. </w:t>
      </w:r>
    </w:p>
    <w:p w14:paraId="4EE07BD6" w14:textId="20D9EE65" w:rsidR="00426150" w:rsidRPr="00FC52C4" w:rsidRDefault="00426150" w:rsidP="00426150">
      <w:pPr>
        <w:spacing w:before="0" w:after="240"/>
        <w:ind w:right="91"/>
        <w:rPr>
          <w:szCs w:val="24"/>
          <w:u w:val="single"/>
        </w:rPr>
      </w:pPr>
      <w:r>
        <w:rPr>
          <w:szCs w:val="24"/>
          <w:u w:val="single"/>
        </w:rPr>
        <w:t xml:space="preserve">Section </w:t>
      </w:r>
      <w:r w:rsidR="007131DA">
        <w:rPr>
          <w:szCs w:val="24"/>
          <w:u w:val="single"/>
        </w:rPr>
        <w:t>6</w:t>
      </w:r>
      <w:r w:rsidR="00061351" w:rsidRPr="00D33F05">
        <w:rPr>
          <w:szCs w:val="24"/>
          <w:u w:val="single"/>
        </w:rPr>
        <w:t xml:space="preserve"> </w:t>
      </w:r>
      <w:r w:rsidRPr="00D33F05">
        <w:rPr>
          <w:szCs w:val="24"/>
          <w:u w:val="single"/>
        </w:rPr>
        <w:t xml:space="preserve">– </w:t>
      </w:r>
      <w:r w:rsidR="008D1EBD" w:rsidRPr="008D1EBD">
        <w:rPr>
          <w:szCs w:val="24"/>
          <w:u w:val="single"/>
        </w:rPr>
        <w:t xml:space="preserve">Investment factors – </w:t>
      </w:r>
      <w:r w:rsidR="006F6C3B">
        <w:rPr>
          <w:szCs w:val="24"/>
          <w:u w:val="single"/>
        </w:rPr>
        <w:t>G</w:t>
      </w:r>
      <w:r w:rsidR="008D1EBD" w:rsidRPr="008D1EBD">
        <w:rPr>
          <w:szCs w:val="24"/>
          <w:u w:val="single"/>
        </w:rPr>
        <w:t>eneral</w:t>
      </w:r>
    </w:p>
    <w:p w14:paraId="5838D071" w14:textId="03F65645" w:rsidR="00945A15" w:rsidRPr="00D97382" w:rsidRDefault="00CA738C" w:rsidP="00945A15">
      <w:pPr>
        <w:spacing w:before="0" w:after="240"/>
        <w:rPr>
          <w:szCs w:val="24"/>
        </w:rPr>
      </w:pPr>
      <w:r w:rsidRPr="00D97382">
        <w:rPr>
          <w:szCs w:val="24"/>
        </w:rPr>
        <w:t xml:space="preserve">Section </w:t>
      </w:r>
      <w:r w:rsidR="007131DA">
        <w:rPr>
          <w:szCs w:val="24"/>
        </w:rPr>
        <w:t>6</w:t>
      </w:r>
      <w:r w:rsidRPr="00D97382">
        <w:rPr>
          <w:szCs w:val="24"/>
        </w:rPr>
        <w:t xml:space="preserve"> sets out</w:t>
      </w:r>
      <w:r w:rsidR="007131DA">
        <w:rPr>
          <w:szCs w:val="24"/>
        </w:rPr>
        <w:t xml:space="preserve"> </w:t>
      </w:r>
      <w:r w:rsidRPr="00D97382">
        <w:rPr>
          <w:szCs w:val="24"/>
        </w:rPr>
        <w:t>investment factors that the Board must consider</w:t>
      </w:r>
      <w:r w:rsidR="00945A15">
        <w:rPr>
          <w:szCs w:val="24"/>
        </w:rPr>
        <w:t>.</w:t>
      </w:r>
      <w:r w:rsidR="00945A15" w:rsidRPr="00945A15">
        <w:rPr>
          <w:szCs w:val="24"/>
        </w:rPr>
        <w:t xml:space="preserve"> </w:t>
      </w:r>
    </w:p>
    <w:p w14:paraId="4529788B" w14:textId="7FD33C22" w:rsidR="00426150" w:rsidRDefault="00945A15">
      <w:pPr>
        <w:spacing w:before="0" w:after="240"/>
        <w:rPr>
          <w:szCs w:val="24"/>
        </w:rPr>
      </w:pPr>
      <w:r>
        <w:rPr>
          <w:szCs w:val="24"/>
        </w:rPr>
        <w:t>For the General Portfolio</w:t>
      </w:r>
      <w:r w:rsidR="00C07A13">
        <w:rPr>
          <w:szCs w:val="24"/>
        </w:rPr>
        <w:t>,</w:t>
      </w:r>
      <w:r>
        <w:rPr>
          <w:szCs w:val="24"/>
        </w:rPr>
        <w:t xml:space="preserve"> </w:t>
      </w:r>
      <w:r w:rsidR="006F6C3B">
        <w:rPr>
          <w:szCs w:val="24"/>
        </w:rPr>
        <w:t xml:space="preserve">it is expected </w:t>
      </w:r>
      <w:r>
        <w:rPr>
          <w:szCs w:val="24"/>
        </w:rPr>
        <w:t>t</w:t>
      </w:r>
      <w:r w:rsidR="00C55B4C">
        <w:rPr>
          <w:szCs w:val="24"/>
        </w:rPr>
        <w:t>he</w:t>
      </w:r>
      <w:r w:rsidR="00426150" w:rsidRPr="00D97382">
        <w:rPr>
          <w:szCs w:val="24"/>
        </w:rPr>
        <w:t xml:space="preserve"> </w:t>
      </w:r>
      <w:r w:rsidR="0030209F" w:rsidRPr="00D97382">
        <w:rPr>
          <w:szCs w:val="24"/>
        </w:rPr>
        <w:t xml:space="preserve">Board </w:t>
      </w:r>
      <w:r w:rsidR="006F6C3B">
        <w:rPr>
          <w:szCs w:val="24"/>
        </w:rPr>
        <w:t>will</w:t>
      </w:r>
      <w:r w:rsidR="00C55B4C">
        <w:rPr>
          <w:szCs w:val="24"/>
        </w:rPr>
        <w:t xml:space="preserve"> </w:t>
      </w:r>
      <w:r w:rsidR="00426150" w:rsidRPr="00D97382">
        <w:rPr>
          <w:szCs w:val="24"/>
        </w:rPr>
        <w:t>apply commercial rigour when making its investment decisions</w:t>
      </w:r>
      <w:r w:rsidR="00B71F3B">
        <w:rPr>
          <w:szCs w:val="24"/>
        </w:rPr>
        <w:t>.</w:t>
      </w:r>
      <w:r w:rsidR="00250F6A">
        <w:rPr>
          <w:szCs w:val="24"/>
        </w:rPr>
        <w:t xml:space="preserve"> </w:t>
      </w:r>
      <w:r w:rsidR="00426150" w:rsidRPr="00D97382">
        <w:rPr>
          <w:szCs w:val="24"/>
        </w:rPr>
        <w:t xml:space="preserve">By adopting a commercial approach, </w:t>
      </w:r>
      <w:r w:rsidR="006F6C3B">
        <w:rPr>
          <w:szCs w:val="24"/>
        </w:rPr>
        <w:t xml:space="preserve">it is expected that </w:t>
      </w:r>
      <w:r w:rsidR="00C55B4C">
        <w:rPr>
          <w:szCs w:val="24"/>
        </w:rPr>
        <w:t>the</w:t>
      </w:r>
      <w:r w:rsidR="00426150" w:rsidRPr="00D97382">
        <w:rPr>
          <w:szCs w:val="24"/>
        </w:rPr>
        <w:t xml:space="preserve"> </w:t>
      </w:r>
      <w:r w:rsidR="0030209F" w:rsidRPr="00D97382">
        <w:rPr>
          <w:szCs w:val="24"/>
        </w:rPr>
        <w:t>Board</w:t>
      </w:r>
      <w:r w:rsidR="006F6C3B">
        <w:rPr>
          <w:szCs w:val="24"/>
        </w:rPr>
        <w:t xml:space="preserve"> will</w:t>
      </w:r>
      <w:r w:rsidR="00C55B4C" w:rsidRPr="00D97382">
        <w:rPr>
          <w:szCs w:val="24"/>
        </w:rPr>
        <w:t xml:space="preserve"> </w:t>
      </w:r>
      <w:r w:rsidR="00426150" w:rsidRPr="00D97382">
        <w:rPr>
          <w:szCs w:val="24"/>
        </w:rPr>
        <w:t xml:space="preserve">invest responsibly and manage </w:t>
      </w:r>
      <w:proofErr w:type="gramStart"/>
      <w:r w:rsidR="00426150" w:rsidRPr="00D97382">
        <w:rPr>
          <w:szCs w:val="24"/>
        </w:rPr>
        <w:t>risk</w:t>
      </w:r>
      <w:proofErr w:type="gramEnd"/>
      <w:r w:rsidR="00426150" w:rsidRPr="00D97382">
        <w:rPr>
          <w:szCs w:val="24"/>
        </w:rPr>
        <w:t xml:space="preserve"> so it is financially self-sufficient and </w:t>
      </w:r>
      <w:r w:rsidR="0020151E">
        <w:rPr>
          <w:szCs w:val="24"/>
        </w:rPr>
        <w:t xml:space="preserve">target </w:t>
      </w:r>
      <w:r w:rsidR="00E6688C">
        <w:rPr>
          <w:szCs w:val="24"/>
        </w:rPr>
        <w:t xml:space="preserve">achievement </w:t>
      </w:r>
      <w:r w:rsidR="00F11D79">
        <w:rPr>
          <w:szCs w:val="24"/>
        </w:rPr>
        <w:t xml:space="preserve">of </w:t>
      </w:r>
      <w:r w:rsidR="00426150" w:rsidRPr="00D97382">
        <w:rPr>
          <w:szCs w:val="24"/>
        </w:rPr>
        <w:t xml:space="preserve">the </w:t>
      </w:r>
      <w:r w:rsidR="00EE472A" w:rsidRPr="00D97382">
        <w:rPr>
          <w:szCs w:val="24"/>
        </w:rPr>
        <w:t>b</w:t>
      </w:r>
      <w:r w:rsidR="00426150" w:rsidRPr="00D97382">
        <w:rPr>
          <w:szCs w:val="24"/>
        </w:rPr>
        <w:t xml:space="preserve">enchmark </w:t>
      </w:r>
      <w:r w:rsidR="00EE472A" w:rsidRPr="00D97382">
        <w:rPr>
          <w:szCs w:val="24"/>
        </w:rPr>
        <w:t>r</w:t>
      </w:r>
      <w:r w:rsidR="00426150" w:rsidRPr="00D97382">
        <w:rPr>
          <w:szCs w:val="24"/>
        </w:rPr>
        <w:t xml:space="preserve">eturn for the </w:t>
      </w:r>
      <w:r w:rsidR="006F6C3B">
        <w:rPr>
          <w:szCs w:val="24"/>
        </w:rPr>
        <w:t>G</w:t>
      </w:r>
      <w:r w:rsidR="00771DBD" w:rsidRPr="00D97382">
        <w:rPr>
          <w:szCs w:val="24"/>
        </w:rPr>
        <w:t>eneral</w:t>
      </w:r>
      <w:r w:rsidR="00426150" w:rsidRPr="00D97382">
        <w:rPr>
          <w:szCs w:val="24"/>
        </w:rPr>
        <w:t xml:space="preserve"> </w:t>
      </w:r>
      <w:r w:rsidR="006F6C3B">
        <w:rPr>
          <w:szCs w:val="24"/>
        </w:rPr>
        <w:t>P</w:t>
      </w:r>
      <w:r w:rsidR="00426150" w:rsidRPr="00D97382">
        <w:rPr>
          <w:szCs w:val="24"/>
        </w:rPr>
        <w:t xml:space="preserve">ortfolio </w:t>
      </w:r>
      <w:r w:rsidR="00EE472A" w:rsidRPr="00D97382">
        <w:rPr>
          <w:szCs w:val="24"/>
        </w:rPr>
        <w:t>(set out in section </w:t>
      </w:r>
      <w:r w:rsidR="00461A07">
        <w:rPr>
          <w:szCs w:val="24"/>
        </w:rPr>
        <w:t>7</w:t>
      </w:r>
      <w:r w:rsidR="00EE472A" w:rsidRPr="00D97382">
        <w:rPr>
          <w:szCs w:val="24"/>
        </w:rPr>
        <w:t>)</w:t>
      </w:r>
      <w:r w:rsidR="00426150" w:rsidRPr="00D97382">
        <w:t xml:space="preserve">. </w:t>
      </w:r>
    </w:p>
    <w:p w14:paraId="35B79231" w14:textId="6301EBA9" w:rsidR="001C2DA9" w:rsidRDefault="001C2DA9" w:rsidP="00426150">
      <w:pPr>
        <w:spacing w:before="0" w:after="240"/>
        <w:rPr>
          <w:color w:val="000000"/>
          <w:shd w:val="clear" w:color="auto" w:fill="FFFFFF"/>
        </w:rPr>
      </w:pPr>
      <w:r>
        <w:rPr>
          <w:color w:val="000000"/>
          <w:shd w:val="clear" w:color="auto" w:fill="FFFFFF"/>
        </w:rPr>
        <w:t xml:space="preserve">As a </w:t>
      </w:r>
      <w:proofErr w:type="gramStart"/>
      <w:r>
        <w:rPr>
          <w:color w:val="000000"/>
          <w:shd w:val="clear" w:color="auto" w:fill="FFFFFF"/>
        </w:rPr>
        <w:t>Government</w:t>
      </w:r>
      <w:proofErr w:type="gramEnd"/>
      <w:r>
        <w:rPr>
          <w:color w:val="000000"/>
          <w:shd w:val="clear" w:color="auto" w:fill="FFFFFF"/>
        </w:rPr>
        <w:t xml:space="preserve"> entity and a responsible investor</w:t>
      </w:r>
      <w:r w:rsidR="000B7110">
        <w:rPr>
          <w:color w:val="000000"/>
          <w:shd w:val="clear" w:color="auto" w:fill="FFFFFF"/>
        </w:rPr>
        <w:t>,</w:t>
      </w:r>
      <w:r>
        <w:rPr>
          <w:color w:val="000000"/>
          <w:shd w:val="clear" w:color="auto" w:fill="FFFFFF"/>
        </w:rPr>
        <w:t xml:space="preserve"> the Board has a duty to consider its potential impact on other market participants when making investment decisions. In line with its public policy intent, the </w:t>
      </w:r>
      <w:r w:rsidR="00455513">
        <w:rPr>
          <w:color w:val="000000"/>
          <w:shd w:val="clear" w:color="auto" w:fill="FFFFFF"/>
        </w:rPr>
        <w:t xml:space="preserve">Board </w:t>
      </w:r>
      <w:r>
        <w:rPr>
          <w:color w:val="000000"/>
          <w:shd w:val="clear" w:color="auto" w:fill="FFFFFF"/>
        </w:rPr>
        <w:t>should also consider positive externalities when making</w:t>
      </w:r>
      <w:r w:rsidR="00AD147F">
        <w:rPr>
          <w:color w:val="000000"/>
          <w:shd w:val="clear" w:color="auto" w:fill="FFFFFF"/>
        </w:rPr>
        <w:t xml:space="preserve"> any</w:t>
      </w:r>
      <w:r>
        <w:rPr>
          <w:color w:val="000000"/>
          <w:shd w:val="clear" w:color="auto" w:fill="FFFFFF"/>
        </w:rPr>
        <w:t xml:space="preserve"> investment decisions.</w:t>
      </w:r>
    </w:p>
    <w:p w14:paraId="46447983" w14:textId="46A67CAF" w:rsidR="00945A15" w:rsidRPr="00D97382" w:rsidRDefault="00945A15" w:rsidP="00426150">
      <w:pPr>
        <w:spacing w:before="0" w:after="240"/>
        <w:rPr>
          <w:szCs w:val="24"/>
        </w:rPr>
      </w:pPr>
      <w:r w:rsidRPr="00D97382">
        <w:rPr>
          <w:szCs w:val="24"/>
        </w:rPr>
        <w:t xml:space="preserve">Specific investment factors for </w:t>
      </w:r>
      <w:r w:rsidR="00A966B7">
        <w:rPr>
          <w:szCs w:val="24"/>
        </w:rPr>
        <w:t>each of the Sub Funds</w:t>
      </w:r>
      <w:r w:rsidR="0088161A">
        <w:rPr>
          <w:szCs w:val="24"/>
        </w:rPr>
        <w:t xml:space="preserve"> </w:t>
      </w:r>
      <w:r w:rsidRPr="00D97382">
        <w:rPr>
          <w:szCs w:val="24"/>
        </w:rPr>
        <w:t>are set out in sections</w:t>
      </w:r>
      <w:r w:rsidR="001C2DA9">
        <w:rPr>
          <w:szCs w:val="24"/>
        </w:rPr>
        <w:t xml:space="preserve"> 15 and 16</w:t>
      </w:r>
      <w:r w:rsidRPr="00D97382">
        <w:rPr>
          <w:szCs w:val="24"/>
        </w:rPr>
        <w:t xml:space="preserve">. </w:t>
      </w:r>
    </w:p>
    <w:p w14:paraId="63024403" w14:textId="0AD7CD0B" w:rsidR="00426150" w:rsidRPr="00FC52C4" w:rsidRDefault="00426150" w:rsidP="00426150">
      <w:pPr>
        <w:spacing w:before="0" w:after="240"/>
        <w:ind w:right="91"/>
        <w:rPr>
          <w:szCs w:val="24"/>
          <w:u w:val="single"/>
        </w:rPr>
      </w:pPr>
      <w:r>
        <w:rPr>
          <w:szCs w:val="24"/>
          <w:u w:val="single"/>
        </w:rPr>
        <w:t xml:space="preserve">Section </w:t>
      </w:r>
      <w:r w:rsidR="00141174">
        <w:rPr>
          <w:szCs w:val="24"/>
          <w:u w:val="single"/>
        </w:rPr>
        <w:t>7</w:t>
      </w:r>
      <w:r w:rsidRPr="00D33F05">
        <w:rPr>
          <w:szCs w:val="24"/>
          <w:u w:val="single"/>
        </w:rPr>
        <w:t xml:space="preserve"> </w:t>
      </w:r>
      <w:r w:rsidR="00DA098E" w:rsidRPr="00D33F05">
        <w:rPr>
          <w:szCs w:val="24"/>
          <w:u w:val="single"/>
        </w:rPr>
        <w:t>–</w:t>
      </w:r>
      <w:r w:rsidR="00137952">
        <w:rPr>
          <w:szCs w:val="24"/>
          <w:u w:val="single"/>
        </w:rPr>
        <w:t xml:space="preserve"> </w:t>
      </w:r>
      <w:r w:rsidR="000F13A1">
        <w:rPr>
          <w:szCs w:val="24"/>
          <w:u w:val="single"/>
        </w:rPr>
        <w:t>B</w:t>
      </w:r>
      <w:r>
        <w:rPr>
          <w:szCs w:val="24"/>
          <w:u w:val="single"/>
        </w:rPr>
        <w:t xml:space="preserve">enchmark </w:t>
      </w:r>
      <w:r w:rsidR="003004FF">
        <w:rPr>
          <w:szCs w:val="24"/>
          <w:u w:val="single"/>
        </w:rPr>
        <w:t>rate of r</w:t>
      </w:r>
      <w:r>
        <w:rPr>
          <w:szCs w:val="24"/>
          <w:u w:val="single"/>
        </w:rPr>
        <w:t>eturn</w:t>
      </w:r>
      <w:r w:rsidR="003004FF">
        <w:rPr>
          <w:szCs w:val="24"/>
          <w:u w:val="single"/>
        </w:rPr>
        <w:t xml:space="preserve"> </w:t>
      </w:r>
      <w:r w:rsidR="00662252">
        <w:rPr>
          <w:szCs w:val="24"/>
          <w:u w:val="single"/>
        </w:rPr>
        <w:t>–</w:t>
      </w:r>
      <w:r w:rsidR="003004FF">
        <w:rPr>
          <w:szCs w:val="24"/>
          <w:u w:val="single"/>
        </w:rPr>
        <w:t xml:space="preserve"> </w:t>
      </w:r>
      <w:r w:rsidR="006F6C3B">
        <w:rPr>
          <w:szCs w:val="24"/>
          <w:u w:val="single"/>
        </w:rPr>
        <w:t>G</w:t>
      </w:r>
      <w:r w:rsidR="003004FF">
        <w:rPr>
          <w:szCs w:val="24"/>
          <w:u w:val="single"/>
        </w:rPr>
        <w:t>eneral</w:t>
      </w:r>
      <w:r w:rsidR="00662252">
        <w:rPr>
          <w:szCs w:val="24"/>
          <w:u w:val="single"/>
        </w:rPr>
        <w:t xml:space="preserve"> </w:t>
      </w:r>
      <w:r w:rsidR="006F6C3B">
        <w:rPr>
          <w:szCs w:val="24"/>
          <w:u w:val="single"/>
        </w:rPr>
        <w:t>P</w:t>
      </w:r>
      <w:r w:rsidR="00662252">
        <w:rPr>
          <w:szCs w:val="24"/>
          <w:u w:val="single"/>
        </w:rPr>
        <w:t>ortfolio</w:t>
      </w:r>
    </w:p>
    <w:p w14:paraId="16A52355" w14:textId="12CF07A4" w:rsidR="003004FF" w:rsidRDefault="003004FF" w:rsidP="003004FF">
      <w:pPr>
        <w:spacing w:before="0" w:after="240"/>
        <w:rPr>
          <w:szCs w:val="24"/>
        </w:rPr>
      </w:pPr>
      <w:r>
        <w:rPr>
          <w:szCs w:val="24"/>
        </w:rPr>
        <w:t xml:space="preserve">Section </w:t>
      </w:r>
      <w:r w:rsidR="002553B7">
        <w:rPr>
          <w:szCs w:val="24"/>
        </w:rPr>
        <w:t xml:space="preserve">7 </w:t>
      </w:r>
      <w:r>
        <w:rPr>
          <w:szCs w:val="24"/>
        </w:rPr>
        <w:t xml:space="preserve">sets out the benchmark rate of return </w:t>
      </w:r>
      <w:r w:rsidR="00156AE1">
        <w:rPr>
          <w:szCs w:val="24"/>
        </w:rPr>
        <w:t xml:space="preserve">the Board must target </w:t>
      </w:r>
      <w:r w:rsidR="001147C6">
        <w:rPr>
          <w:szCs w:val="24"/>
        </w:rPr>
        <w:t xml:space="preserve">for </w:t>
      </w:r>
      <w:r w:rsidR="00D2365C">
        <w:rPr>
          <w:szCs w:val="24"/>
        </w:rPr>
        <w:t xml:space="preserve">the </w:t>
      </w:r>
      <w:r w:rsidR="001C2DA9">
        <w:rPr>
          <w:szCs w:val="24"/>
        </w:rPr>
        <w:t>G</w:t>
      </w:r>
      <w:r w:rsidR="00D2365C">
        <w:rPr>
          <w:szCs w:val="24"/>
        </w:rPr>
        <w:t xml:space="preserve">eneral </w:t>
      </w:r>
      <w:r w:rsidR="001C2DA9">
        <w:rPr>
          <w:szCs w:val="24"/>
        </w:rPr>
        <w:t>P</w:t>
      </w:r>
      <w:r w:rsidR="00D2365C">
        <w:rPr>
          <w:szCs w:val="24"/>
        </w:rPr>
        <w:t>ortfolio</w:t>
      </w:r>
      <w:r>
        <w:rPr>
          <w:szCs w:val="24"/>
        </w:rPr>
        <w:t xml:space="preserve">. Specific </w:t>
      </w:r>
      <w:r w:rsidR="00156AE1">
        <w:rPr>
          <w:szCs w:val="24"/>
        </w:rPr>
        <w:t>targets</w:t>
      </w:r>
      <w:r>
        <w:rPr>
          <w:szCs w:val="24"/>
        </w:rPr>
        <w:t xml:space="preserve"> for </w:t>
      </w:r>
      <w:r w:rsidR="00A966B7">
        <w:rPr>
          <w:szCs w:val="24"/>
        </w:rPr>
        <w:t>each of the Sub Funds</w:t>
      </w:r>
      <w:r w:rsidR="00D2365C">
        <w:rPr>
          <w:szCs w:val="24"/>
        </w:rPr>
        <w:t xml:space="preserve"> </w:t>
      </w:r>
      <w:r>
        <w:rPr>
          <w:szCs w:val="24"/>
        </w:rPr>
        <w:t>are set out in sections</w:t>
      </w:r>
      <w:r w:rsidR="00662491">
        <w:rPr>
          <w:szCs w:val="24"/>
        </w:rPr>
        <w:t xml:space="preserve"> </w:t>
      </w:r>
      <w:r w:rsidR="00E316B4">
        <w:rPr>
          <w:szCs w:val="24"/>
        </w:rPr>
        <w:t>1</w:t>
      </w:r>
      <w:r w:rsidR="00141174">
        <w:rPr>
          <w:szCs w:val="24"/>
        </w:rPr>
        <w:t>5</w:t>
      </w:r>
      <w:r w:rsidR="00097CF7">
        <w:rPr>
          <w:szCs w:val="24"/>
        </w:rPr>
        <w:t xml:space="preserve"> and 16</w:t>
      </w:r>
      <w:r>
        <w:rPr>
          <w:szCs w:val="24"/>
        </w:rPr>
        <w:t xml:space="preserve">. </w:t>
      </w:r>
    </w:p>
    <w:p w14:paraId="68F806EC" w14:textId="2A932261" w:rsidR="00426150" w:rsidRPr="004F373E" w:rsidRDefault="00156AE1" w:rsidP="00426150">
      <w:pPr>
        <w:spacing w:before="0" w:after="240"/>
        <w:rPr>
          <w:szCs w:val="24"/>
        </w:rPr>
      </w:pPr>
      <w:r>
        <w:rPr>
          <w:szCs w:val="24"/>
        </w:rPr>
        <w:t>T</w:t>
      </w:r>
      <w:r w:rsidR="00426150">
        <w:rPr>
          <w:szCs w:val="24"/>
        </w:rPr>
        <w:t>he</w:t>
      </w:r>
      <w:r w:rsidR="004B2EA1">
        <w:rPr>
          <w:szCs w:val="24"/>
        </w:rPr>
        <w:t xml:space="preserve"> rate of return</w:t>
      </w:r>
      <w:r w:rsidR="00426150">
        <w:rPr>
          <w:szCs w:val="24"/>
        </w:rPr>
        <w:t xml:space="preserve"> target </w:t>
      </w:r>
      <w:r>
        <w:rPr>
          <w:szCs w:val="24"/>
        </w:rPr>
        <w:t xml:space="preserve">is </w:t>
      </w:r>
      <w:r w:rsidR="00426150">
        <w:rPr>
          <w:szCs w:val="24"/>
        </w:rPr>
        <w:t xml:space="preserve">an average return of the </w:t>
      </w:r>
      <w:r w:rsidR="003004FF">
        <w:rPr>
          <w:szCs w:val="24"/>
        </w:rPr>
        <w:t>5</w:t>
      </w:r>
      <w:r w:rsidR="00426150">
        <w:rPr>
          <w:szCs w:val="24"/>
        </w:rPr>
        <w:t>-year</w:t>
      </w:r>
      <w:r w:rsidR="00EE472A">
        <w:rPr>
          <w:szCs w:val="24"/>
        </w:rPr>
        <w:t xml:space="preserve"> Australian Government</w:t>
      </w:r>
      <w:r w:rsidR="00426150">
        <w:rPr>
          <w:szCs w:val="24"/>
        </w:rPr>
        <w:t xml:space="preserve"> bond rate</w:t>
      </w:r>
      <w:r w:rsidR="00BA62B6">
        <w:rPr>
          <w:rStyle w:val="FootnoteReference"/>
          <w:szCs w:val="24"/>
        </w:rPr>
        <w:footnoteReference w:id="5"/>
      </w:r>
      <w:r w:rsidR="00426150">
        <w:rPr>
          <w:szCs w:val="24"/>
        </w:rPr>
        <w:t xml:space="preserve"> </w:t>
      </w:r>
      <w:r w:rsidR="00141174" w:rsidRPr="00225FFC">
        <w:rPr>
          <w:szCs w:val="24"/>
        </w:rPr>
        <w:t>+</w:t>
      </w:r>
      <w:r w:rsidR="00DB7DBD" w:rsidRPr="00225FFC">
        <w:rPr>
          <w:szCs w:val="24"/>
        </w:rPr>
        <w:t>2</w:t>
      </w:r>
      <w:r w:rsidR="00097CF7" w:rsidRPr="00225FFC">
        <w:rPr>
          <w:szCs w:val="24"/>
        </w:rPr>
        <w:t> </w:t>
      </w:r>
      <w:r w:rsidR="002553B7" w:rsidRPr="00225FFC">
        <w:rPr>
          <w:szCs w:val="24"/>
        </w:rPr>
        <w:t>per</w:t>
      </w:r>
      <w:r w:rsidR="00097CF7" w:rsidRPr="00225FFC">
        <w:rPr>
          <w:szCs w:val="24"/>
        </w:rPr>
        <w:t> </w:t>
      </w:r>
      <w:r w:rsidR="002553B7" w:rsidRPr="00225FFC">
        <w:rPr>
          <w:szCs w:val="24"/>
        </w:rPr>
        <w:t>cent</w:t>
      </w:r>
      <w:r w:rsidR="002965AB" w:rsidRPr="00225FFC">
        <w:rPr>
          <w:szCs w:val="24"/>
        </w:rPr>
        <w:t xml:space="preserve"> </w:t>
      </w:r>
      <w:r w:rsidR="00141174" w:rsidRPr="00225FFC">
        <w:rPr>
          <w:szCs w:val="24"/>
        </w:rPr>
        <w:t>to +</w:t>
      </w:r>
      <w:r w:rsidR="00DB7DBD" w:rsidRPr="00225FFC">
        <w:rPr>
          <w:szCs w:val="24"/>
        </w:rPr>
        <w:t>3</w:t>
      </w:r>
      <w:r w:rsidR="00426150" w:rsidRPr="00225FFC">
        <w:rPr>
          <w:szCs w:val="24"/>
        </w:rPr>
        <w:t xml:space="preserve"> per cent per annum</w:t>
      </w:r>
      <w:r w:rsidR="00426150">
        <w:rPr>
          <w:szCs w:val="24"/>
        </w:rPr>
        <w:t xml:space="preserve"> over the medium to long term</w:t>
      </w:r>
      <w:r w:rsidR="004028A7">
        <w:rPr>
          <w:rStyle w:val="FootnoteReference"/>
          <w:szCs w:val="24"/>
        </w:rPr>
        <w:footnoteReference w:id="6"/>
      </w:r>
      <w:r w:rsidR="00426150">
        <w:rPr>
          <w:szCs w:val="24"/>
        </w:rPr>
        <w:t>.</w:t>
      </w:r>
    </w:p>
    <w:p w14:paraId="0E2E71CA" w14:textId="5343D800" w:rsidR="00426150" w:rsidRDefault="00426150" w:rsidP="00426150">
      <w:pPr>
        <w:spacing w:before="0" w:after="240"/>
        <w:rPr>
          <w:szCs w:val="24"/>
        </w:rPr>
      </w:pPr>
      <w:r w:rsidRPr="004F373E">
        <w:rPr>
          <w:szCs w:val="24"/>
        </w:rPr>
        <w:t>For each investment</w:t>
      </w:r>
      <w:r w:rsidR="00156AE1">
        <w:rPr>
          <w:szCs w:val="24"/>
        </w:rPr>
        <w:t xml:space="preserve"> subject to this target</w:t>
      </w:r>
      <w:r w:rsidRPr="004F373E">
        <w:rPr>
          <w:szCs w:val="24"/>
        </w:rPr>
        <w:t>, an individual reference rate will fir</w:t>
      </w:r>
      <w:r>
        <w:rPr>
          <w:szCs w:val="24"/>
        </w:rPr>
        <w:t xml:space="preserve">st be calculated using the </w:t>
      </w:r>
      <w:r w:rsidR="003004FF">
        <w:rPr>
          <w:szCs w:val="24"/>
        </w:rPr>
        <w:t>5</w:t>
      </w:r>
      <w:r>
        <w:rPr>
          <w:szCs w:val="24"/>
        </w:rPr>
        <w:t>-</w:t>
      </w:r>
      <w:r w:rsidRPr="004F373E">
        <w:rPr>
          <w:szCs w:val="24"/>
        </w:rPr>
        <w:t xml:space="preserve">year Australian Government bond rate </w:t>
      </w:r>
      <w:r>
        <w:rPr>
          <w:szCs w:val="24"/>
        </w:rPr>
        <w:t>applicable at the time</w:t>
      </w:r>
      <w:r w:rsidR="00845DE8">
        <w:rPr>
          <w:szCs w:val="24"/>
        </w:rPr>
        <w:t>, then adding</w:t>
      </w:r>
      <w:r>
        <w:rPr>
          <w:szCs w:val="24"/>
        </w:rPr>
        <w:t xml:space="preserve"> </w:t>
      </w:r>
      <w:r w:rsidR="00805AC7" w:rsidRPr="00225FFC">
        <w:rPr>
          <w:szCs w:val="24"/>
        </w:rPr>
        <w:t>2</w:t>
      </w:r>
      <w:r w:rsidR="00097CF7" w:rsidRPr="00225FFC">
        <w:rPr>
          <w:szCs w:val="24"/>
        </w:rPr>
        <w:t> per cent</w:t>
      </w:r>
      <w:r w:rsidR="00CF5C4F" w:rsidRPr="00225FFC">
        <w:rPr>
          <w:szCs w:val="24"/>
        </w:rPr>
        <w:t xml:space="preserve"> to </w:t>
      </w:r>
      <w:r w:rsidR="00805AC7" w:rsidRPr="00225FFC">
        <w:rPr>
          <w:szCs w:val="24"/>
        </w:rPr>
        <w:t>3</w:t>
      </w:r>
      <w:r w:rsidRPr="00225FFC">
        <w:rPr>
          <w:szCs w:val="24"/>
        </w:rPr>
        <w:t xml:space="preserve"> per cent per annum.</w:t>
      </w:r>
      <w:r>
        <w:rPr>
          <w:szCs w:val="24"/>
        </w:rPr>
        <w:t xml:space="preserve"> </w:t>
      </w:r>
      <w:r w:rsidRPr="004F373E">
        <w:rPr>
          <w:szCs w:val="24"/>
        </w:rPr>
        <w:t xml:space="preserve">The </w:t>
      </w:r>
      <w:r w:rsidR="00EE472A">
        <w:rPr>
          <w:szCs w:val="24"/>
        </w:rPr>
        <w:t>b</w:t>
      </w:r>
      <w:r w:rsidRPr="004F373E">
        <w:rPr>
          <w:szCs w:val="24"/>
        </w:rPr>
        <w:t>enchmark</w:t>
      </w:r>
      <w:r w:rsidR="00EE472A">
        <w:rPr>
          <w:szCs w:val="24"/>
        </w:rPr>
        <w:t xml:space="preserve"> r</w:t>
      </w:r>
      <w:r w:rsidRPr="004F373E">
        <w:rPr>
          <w:szCs w:val="24"/>
        </w:rPr>
        <w:t xml:space="preserve">eturn will then be determined by taking the series of individual reference rates </w:t>
      </w:r>
      <w:r>
        <w:rPr>
          <w:szCs w:val="24"/>
        </w:rPr>
        <w:t xml:space="preserve">for each </w:t>
      </w:r>
      <w:r w:rsidR="00C2098F">
        <w:rPr>
          <w:szCs w:val="24"/>
        </w:rPr>
        <w:t>investment and</w:t>
      </w:r>
      <w:r w:rsidRPr="004F373E">
        <w:rPr>
          <w:szCs w:val="24"/>
        </w:rPr>
        <w:t xml:space="preserve"> weighting them for each </w:t>
      </w:r>
      <w:r>
        <w:rPr>
          <w:szCs w:val="24"/>
        </w:rPr>
        <w:t xml:space="preserve">individual </w:t>
      </w:r>
      <w:r w:rsidRPr="004F373E">
        <w:rPr>
          <w:szCs w:val="24"/>
        </w:rPr>
        <w:t>investment.</w:t>
      </w:r>
    </w:p>
    <w:p w14:paraId="26D014FF" w14:textId="04F3084A" w:rsidR="00426150" w:rsidRPr="00225FFC" w:rsidRDefault="00426150" w:rsidP="00426150">
      <w:pPr>
        <w:spacing w:before="0" w:after="240"/>
        <w:rPr>
          <w:color w:val="000000" w:themeColor="text1"/>
          <w:szCs w:val="24"/>
        </w:rPr>
      </w:pPr>
      <w:r w:rsidRPr="00225FFC">
        <w:rPr>
          <w:color w:val="000000" w:themeColor="text1"/>
          <w:szCs w:val="24"/>
        </w:rPr>
        <w:t xml:space="preserve">Performance against the </w:t>
      </w:r>
      <w:r w:rsidR="00156AE1" w:rsidRPr="00225FFC">
        <w:rPr>
          <w:color w:val="000000" w:themeColor="text1"/>
          <w:szCs w:val="24"/>
        </w:rPr>
        <w:t xml:space="preserve">target </w:t>
      </w:r>
      <w:r w:rsidRPr="00225FFC">
        <w:rPr>
          <w:color w:val="000000" w:themeColor="text1"/>
          <w:szCs w:val="24"/>
        </w:rPr>
        <w:t xml:space="preserve">will be measured before operating </w:t>
      </w:r>
      <w:r w:rsidR="00C2098F" w:rsidRPr="00225FFC">
        <w:rPr>
          <w:color w:val="000000" w:themeColor="text1"/>
          <w:szCs w:val="24"/>
        </w:rPr>
        <w:t>expenses and</w:t>
      </w:r>
      <w:r w:rsidRPr="00225FFC">
        <w:rPr>
          <w:color w:val="000000" w:themeColor="text1"/>
          <w:szCs w:val="24"/>
        </w:rPr>
        <w:t xml:space="preserve"> </w:t>
      </w:r>
      <w:r w:rsidR="008564D1" w:rsidRPr="00225FFC">
        <w:rPr>
          <w:color w:val="000000" w:themeColor="text1"/>
          <w:szCs w:val="24"/>
        </w:rPr>
        <w:t xml:space="preserve">concession charges </w:t>
      </w:r>
      <w:r w:rsidR="00C2098F" w:rsidRPr="00225FFC">
        <w:rPr>
          <w:color w:val="000000" w:themeColor="text1"/>
          <w:szCs w:val="24"/>
        </w:rPr>
        <w:t>and</w:t>
      </w:r>
      <w:r w:rsidRPr="00225FFC">
        <w:rPr>
          <w:color w:val="000000" w:themeColor="text1"/>
          <w:szCs w:val="24"/>
        </w:rPr>
        <w:t xml:space="preserve"> will be published in the Corporation’s annual report. The Corporation will follow the Australian Accounting Standards</w:t>
      </w:r>
      <w:r w:rsidR="004028A7" w:rsidRPr="00225FFC">
        <w:rPr>
          <w:rStyle w:val="FootnoteReference"/>
          <w:color w:val="000000" w:themeColor="text1"/>
          <w:szCs w:val="24"/>
        </w:rPr>
        <w:footnoteReference w:id="7"/>
      </w:r>
      <w:r w:rsidR="000B2843" w:rsidRPr="00225FFC">
        <w:rPr>
          <w:color w:val="000000" w:themeColor="text1"/>
          <w:szCs w:val="24"/>
        </w:rPr>
        <w:t>,</w:t>
      </w:r>
      <w:r w:rsidRPr="00225FFC">
        <w:rPr>
          <w:color w:val="000000" w:themeColor="text1"/>
          <w:szCs w:val="24"/>
        </w:rPr>
        <w:t xml:space="preserve"> where applicable</w:t>
      </w:r>
      <w:r w:rsidR="000B2843" w:rsidRPr="00225FFC">
        <w:rPr>
          <w:color w:val="000000" w:themeColor="text1"/>
          <w:szCs w:val="24"/>
        </w:rPr>
        <w:t>,</w:t>
      </w:r>
      <w:r w:rsidRPr="00225FFC">
        <w:rPr>
          <w:color w:val="000000" w:themeColor="text1"/>
          <w:szCs w:val="24"/>
        </w:rPr>
        <w:t xml:space="preserve"> in measuring its return and determining any impairment, except in the case of concessional loans</w:t>
      </w:r>
      <w:r w:rsidR="00BB3102" w:rsidRPr="00225FFC">
        <w:rPr>
          <w:color w:val="000000" w:themeColor="text1"/>
          <w:szCs w:val="24"/>
        </w:rPr>
        <w:t xml:space="preserve"> and equity investments</w:t>
      </w:r>
      <w:r w:rsidRPr="00225FFC">
        <w:rPr>
          <w:color w:val="000000" w:themeColor="text1"/>
          <w:szCs w:val="24"/>
        </w:rPr>
        <w:t>, where the measurement should exclude any impairment or mark</w:t>
      </w:r>
      <w:r w:rsidR="009903D0" w:rsidRPr="00225FFC">
        <w:rPr>
          <w:color w:val="000000" w:themeColor="text1"/>
          <w:szCs w:val="24"/>
        </w:rPr>
        <w:t>-</w:t>
      </w:r>
      <w:r w:rsidRPr="00225FFC">
        <w:rPr>
          <w:color w:val="000000" w:themeColor="text1"/>
          <w:szCs w:val="24"/>
        </w:rPr>
        <w:t>to</w:t>
      </w:r>
      <w:r w:rsidR="009903D0" w:rsidRPr="00225FFC">
        <w:rPr>
          <w:color w:val="000000" w:themeColor="text1"/>
          <w:szCs w:val="24"/>
        </w:rPr>
        <w:t>-</w:t>
      </w:r>
      <w:r w:rsidRPr="00225FFC">
        <w:rPr>
          <w:color w:val="000000" w:themeColor="text1"/>
          <w:szCs w:val="24"/>
        </w:rPr>
        <w:t>market adjustments resulting from any concessional component.</w:t>
      </w:r>
    </w:p>
    <w:p w14:paraId="3FF3950C" w14:textId="2F04DEC2" w:rsidR="00127EF2" w:rsidRPr="004F373E" w:rsidRDefault="00127EF2" w:rsidP="00426150">
      <w:pPr>
        <w:spacing w:before="0" w:after="240"/>
        <w:rPr>
          <w:szCs w:val="24"/>
        </w:rPr>
      </w:pPr>
      <w:r w:rsidRPr="00225FFC">
        <w:rPr>
          <w:szCs w:val="24"/>
        </w:rPr>
        <w:t xml:space="preserve">The investment mandate has been updated to provide more detail on the treatment of </w:t>
      </w:r>
      <w:r w:rsidR="00D22F16" w:rsidRPr="00225FFC">
        <w:rPr>
          <w:szCs w:val="24"/>
        </w:rPr>
        <w:t xml:space="preserve">the </w:t>
      </w:r>
      <w:r w:rsidRPr="00225FFC">
        <w:rPr>
          <w:szCs w:val="24"/>
        </w:rPr>
        <w:t xml:space="preserve">concessional component </w:t>
      </w:r>
      <w:r w:rsidR="00D22F16" w:rsidRPr="00225FFC">
        <w:rPr>
          <w:szCs w:val="24"/>
        </w:rPr>
        <w:t xml:space="preserve">of investments </w:t>
      </w:r>
      <w:r w:rsidRPr="00225FFC">
        <w:rPr>
          <w:szCs w:val="24"/>
        </w:rPr>
        <w:t>when measuring performance against the benchmark. The updated wording</w:t>
      </w:r>
      <w:r w:rsidR="00D22F16" w:rsidRPr="00225FFC">
        <w:rPr>
          <w:szCs w:val="24"/>
        </w:rPr>
        <w:t xml:space="preserve">, which </w:t>
      </w:r>
      <w:r w:rsidRPr="00225FFC">
        <w:rPr>
          <w:szCs w:val="24"/>
        </w:rPr>
        <w:t xml:space="preserve">reflects the existing </w:t>
      </w:r>
      <w:r w:rsidR="00D22F16" w:rsidRPr="00225FFC">
        <w:rPr>
          <w:szCs w:val="24"/>
        </w:rPr>
        <w:t xml:space="preserve">approach taken by </w:t>
      </w:r>
      <w:r w:rsidRPr="00225FFC">
        <w:rPr>
          <w:szCs w:val="24"/>
        </w:rPr>
        <w:t xml:space="preserve">the </w:t>
      </w:r>
      <w:r w:rsidRPr="00225FFC">
        <w:rPr>
          <w:szCs w:val="24"/>
        </w:rPr>
        <w:lastRenderedPageBreak/>
        <w:t>Corporation</w:t>
      </w:r>
      <w:r w:rsidR="00D22F16" w:rsidRPr="00225FFC">
        <w:rPr>
          <w:szCs w:val="24"/>
        </w:rPr>
        <w:t>, was included to provide more explicit and clear guidance in the investment mandate. This new wording also appears in the benchmark rate of return sections for Rewiring the Nation (section 15) and the Specialist Investment Funds (section 16).</w:t>
      </w:r>
    </w:p>
    <w:p w14:paraId="17C24079" w14:textId="1E6965B1" w:rsidR="00426150" w:rsidRDefault="00426150" w:rsidP="00426150">
      <w:pPr>
        <w:spacing w:before="0" w:after="240"/>
        <w:rPr>
          <w:szCs w:val="24"/>
        </w:rPr>
      </w:pPr>
      <w:r w:rsidRPr="004F373E">
        <w:rPr>
          <w:szCs w:val="24"/>
        </w:rPr>
        <w:t xml:space="preserve">The target </w:t>
      </w:r>
      <w:r>
        <w:rPr>
          <w:szCs w:val="24"/>
        </w:rPr>
        <w:t xml:space="preserve">is </w:t>
      </w:r>
      <w:r w:rsidRPr="004F373E">
        <w:rPr>
          <w:szCs w:val="24"/>
        </w:rPr>
        <w:t>e</w:t>
      </w:r>
      <w:r>
        <w:rPr>
          <w:szCs w:val="24"/>
        </w:rPr>
        <w:t xml:space="preserve">xpected to be earned across the </w:t>
      </w:r>
      <w:r w:rsidR="00BC3EC9">
        <w:rPr>
          <w:szCs w:val="24"/>
        </w:rPr>
        <w:t>G</w:t>
      </w:r>
      <w:r w:rsidR="00662252">
        <w:rPr>
          <w:szCs w:val="24"/>
        </w:rPr>
        <w:t xml:space="preserve">eneral </w:t>
      </w:r>
      <w:r w:rsidR="00BC3EC9">
        <w:rPr>
          <w:szCs w:val="24"/>
        </w:rPr>
        <w:t>P</w:t>
      </w:r>
      <w:r w:rsidRPr="004F373E">
        <w:rPr>
          <w:szCs w:val="24"/>
        </w:rPr>
        <w:t>ortfolio</w:t>
      </w:r>
      <w:r>
        <w:rPr>
          <w:szCs w:val="24"/>
        </w:rPr>
        <w:t xml:space="preserve"> </w:t>
      </w:r>
      <w:r w:rsidRPr="004F373E">
        <w:rPr>
          <w:szCs w:val="24"/>
        </w:rPr>
        <w:t xml:space="preserve">over </w:t>
      </w:r>
      <w:r w:rsidRPr="0028683D">
        <w:rPr>
          <w:szCs w:val="24"/>
        </w:rPr>
        <w:t>the medium to long term</w:t>
      </w:r>
      <w:r w:rsidRPr="004F373E">
        <w:rPr>
          <w:szCs w:val="24"/>
        </w:rPr>
        <w:t xml:space="preserve">. Individual investments could be made with expected individual returns above or below the </w:t>
      </w:r>
      <w:r w:rsidR="005A3360">
        <w:rPr>
          <w:szCs w:val="24"/>
        </w:rPr>
        <w:t xml:space="preserve">target </w:t>
      </w:r>
      <w:r w:rsidR="00BA62B6">
        <w:rPr>
          <w:szCs w:val="24"/>
        </w:rPr>
        <w:t>b</w:t>
      </w:r>
      <w:r w:rsidRPr="004F373E">
        <w:rPr>
          <w:szCs w:val="24"/>
        </w:rPr>
        <w:t xml:space="preserve">enchmark </w:t>
      </w:r>
      <w:r w:rsidR="00BA62B6">
        <w:rPr>
          <w:szCs w:val="24"/>
        </w:rPr>
        <w:t>r</w:t>
      </w:r>
      <w:r w:rsidRPr="004F373E">
        <w:rPr>
          <w:szCs w:val="24"/>
        </w:rPr>
        <w:t>eturn.</w:t>
      </w:r>
    </w:p>
    <w:p w14:paraId="7F6E13F9" w14:textId="120DA1DC" w:rsidR="00D22F16" w:rsidRDefault="00E55502" w:rsidP="00426150">
      <w:pPr>
        <w:spacing w:before="0" w:after="240"/>
        <w:rPr>
          <w:szCs w:val="24"/>
        </w:rPr>
      </w:pPr>
      <w:r w:rsidRPr="00225FFC">
        <w:rPr>
          <w:szCs w:val="24"/>
        </w:rPr>
        <w:t xml:space="preserve">The benchmark rate of return for the General Portfolio has been reduced relative to the previous Investment Mandate, from an average return of 3 per cent to 4 per cent </w:t>
      </w:r>
      <w:r w:rsidR="00174254" w:rsidRPr="00225FFC">
        <w:rPr>
          <w:szCs w:val="24"/>
        </w:rPr>
        <w:t>above the 5-year Australian Government bond rate</w:t>
      </w:r>
      <w:r w:rsidRPr="00225FFC">
        <w:rPr>
          <w:szCs w:val="24"/>
        </w:rPr>
        <w:t xml:space="preserve"> per annum, to </w:t>
      </w:r>
      <w:r w:rsidR="00174254" w:rsidRPr="00225FFC">
        <w:rPr>
          <w:szCs w:val="24"/>
        </w:rPr>
        <w:t>an average of</w:t>
      </w:r>
      <w:r w:rsidRPr="00225FFC">
        <w:rPr>
          <w:szCs w:val="24"/>
        </w:rPr>
        <w:t xml:space="preserve"> 2 per cent to 3 per cent above the 5-year Australian Government bond rate</w:t>
      </w:r>
      <w:r w:rsidR="00174254" w:rsidRPr="00225FFC">
        <w:rPr>
          <w:szCs w:val="24"/>
        </w:rPr>
        <w:t xml:space="preserve"> per annum</w:t>
      </w:r>
      <w:r w:rsidRPr="00225FFC">
        <w:rPr>
          <w:szCs w:val="24"/>
        </w:rPr>
        <w:t>, over the medium to long term</w:t>
      </w:r>
      <w:r w:rsidR="00174254" w:rsidRPr="00225FFC">
        <w:rPr>
          <w:szCs w:val="24"/>
        </w:rPr>
        <w:t>. This change is being made</w:t>
      </w:r>
      <w:r w:rsidRPr="00225FFC">
        <w:rPr>
          <w:szCs w:val="24"/>
        </w:rPr>
        <w:t xml:space="preserve"> to enhance the ability of the C</w:t>
      </w:r>
      <w:r w:rsidR="00087FB8" w:rsidRPr="00225FFC">
        <w:rPr>
          <w:szCs w:val="24"/>
        </w:rPr>
        <w:t>orporation</w:t>
      </w:r>
      <w:r w:rsidRPr="00225FFC">
        <w:rPr>
          <w:szCs w:val="24"/>
        </w:rPr>
        <w:t xml:space="preserve"> to achieve its</w:t>
      </w:r>
      <w:r w:rsidR="00F166CC">
        <w:rPr>
          <w:szCs w:val="24"/>
        </w:rPr>
        <w:t xml:space="preserve"> overall</w:t>
      </w:r>
      <w:r w:rsidRPr="00225FFC">
        <w:rPr>
          <w:szCs w:val="24"/>
        </w:rPr>
        <w:t xml:space="preserve"> public policy objectives for the General Portfolio, on behalf of the Government and the Australian taxpayer.</w:t>
      </w:r>
      <w:r w:rsidR="00FE517B">
        <w:rPr>
          <w:szCs w:val="24"/>
        </w:rPr>
        <w:t xml:space="preserve"> </w:t>
      </w:r>
    </w:p>
    <w:p w14:paraId="5957D9AA" w14:textId="4F64FD18" w:rsidR="00E55502" w:rsidDel="00EA6B46" w:rsidRDefault="006A3AB2" w:rsidP="00E55502">
      <w:pPr>
        <w:spacing w:before="0" w:after="240"/>
        <w:rPr>
          <w:szCs w:val="24"/>
        </w:rPr>
      </w:pPr>
      <w:r w:rsidRPr="00885306">
        <w:rPr>
          <w:szCs w:val="24"/>
        </w:rPr>
        <w:t xml:space="preserve">A reduced rate of return is consistent with the </w:t>
      </w:r>
      <w:r w:rsidR="00C644C3" w:rsidRPr="00885306">
        <w:rPr>
          <w:szCs w:val="24"/>
        </w:rPr>
        <w:t>Corporation’s</w:t>
      </w:r>
      <w:r w:rsidRPr="00885306">
        <w:rPr>
          <w:szCs w:val="24"/>
        </w:rPr>
        <w:t xml:space="preserve"> expanded object</w:t>
      </w:r>
      <w:r w:rsidR="00DE495D" w:rsidRPr="00885306">
        <w:rPr>
          <w:szCs w:val="24"/>
        </w:rPr>
        <w:t xml:space="preserve">. </w:t>
      </w:r>
      <w:r w:rsidR="009D31C1" w:rsidRPr="00885306">
        <w:rPr>
          <w:i/>
          <w:szCs w:val="24"/>
        </w:rPr>
        <w:t xml:space="preserve">The Climate Change (Consequential Amendments) Act 2022 </w:t>
      </w:r>
      <w:r w:rsidR="009D31C1" w:rsidRPr="00885306">
        <w:rPr>
          <w:szCs w:val="24"/>
        </w:rPr>
        <w:t>expanded the object</w:t>
      </w:r>
      <w:r w:rsidR="00DE495D" w:rsidRPr="00885306">
        <w:rPr>
          <w:szCs w:val="24"/>
        </w:rPr>
        <w:t xml:space="preserve"> in section 3 of the Act</w:t>
      </w:r>
      <w:r w:rsidR="009D31C1" w:rsidRPr="00885306">
        <w:rPr>
          <w:szCs w:val="24"/>
        </w:rPr>
        <w:t xml:space="preserve"> to </w:t>
      </w:r>
      <w:r w:rsidR="00DE495D" w:rsidRPr="00885306">
        <w:rPr>
          <w:szCs w:val="24"/>
        </w:rPr>
        <w:t>facilitate</w:t>
      </w:r>
      <w:r w:rsidR="009D31C1" w:rsidRPr="00885306">
        <w:rPr>
          <w:szCs w:val="24"/>
        </w:rPr>
        <w:t xml:space="preserve"> the achievement of Australia’s greenhouse gas emissions reduction targets. </w:t>
      </w:r>
      <w:r w:rsidR="00126BBF" w:rsidRPr="00885306">
        <w:rPr>
          <w:szCs w:val="24"/>
        </w:rPr>
        <w:t xml:space="preserve">This requires the Corporation to </w:t>
      </w:r>
      <w:r w:rsidR="00022084" w:rsidRPr="00885306">
        <w:rPr>
          <w:szCs w:val="24"/>
        </w:rPr>
        <w:t>consider</w:t>
      </w:r>
      <w:r w:rsidR="007378C8" w:rsidRPr="00885306">
        <w:rPr>
          <w:szCs w:val="24"/>
        </w:rPr>
        <w:t xml:space="preserve"> an additional </w:t>
      </w:r>
      <w:r w:rsidR="002D387A" w:rsidRPr="00885306">
        <w:rPr>
          <w:szCs w:val="24"/>
        </w:rPr>
        <w:t>public policy f</w:t>
      </w:r>
      <w:r w:rsidR="00A35279" w:rsidRPr="00885306">
        <w:rPr>
          <w:szCs w:val="24"/>
        </w:rPr>
        <w:t>actor</w:t>
      </w:r>
      <w:r w:rsidR="007378C8" w:rsidRPr="00885306">
        <w:rPr>
          <w:szCs w:val="24"/>
        </w:rPr>
        <w:t xml:space="preserve"> when making investments</w:t>
      </w:r>
      <w:r w:rsidR="00DE0538" w:rsidRPr="00885306">
        <w:rPr>
          <w:szCs w:val="24"/>
        </w:rPr>
        <w:t xml:space="preserve">, which may </w:t>
      </w:r>
      <w:r w:rsidR="005C473D" w:rsidRPr="00885306">
        <w:rPr>
          <w:szCs w:val="24"/>
        </w:rPr>
        <w:t xml:space="preserve">further limit the range of </w:t>
      </w:r>
      <w:r w:rsidR="00DE0538" w:rsidRPr="00885306">
        <w:rPr>
          <w:szCs w:val="24"/>
        </w:rPr>
        <w:t>investments</w:t>
      </w:r>
      <w:r w:rsidR="005C473D" w:rsidRPr="00885306">
        <w:rPr>
          <w:szCs w:val="24"/>
        </w:rPr>
        <w:t xml:space="preserve"> available to the Corporation</w:t>
      </w:r>
      <w:r w:rsidR="002D387A" w:rsidRPr="00885306">
        <w:rPr>
          <w:szCs w:val="24"/>
        </w:rPr>
        <w:t>.</w:t>
      </w:r>
      <w:r w:rsidR="00022084" w:rsidRPr="00885306">
        <w:rPr>
          <w:szCs w:val="24"/>
        </w:rPr>
        <w:t xml:space="preserve"> </w:t>
      </w:r>
      <w:r w:rsidR="00DE495D" w:rsidRPr="00885306">
        <w:rPr>
          <w:szCs w:val="24"/>
        </w:rPr>
        <w:t>A reduced rate of return setting will help the Corporation to</w:t>
      </w:r>
      <w:r w:rsidR="00DF7EE8" w:rsidRPr="00885306">
        <w:rPr>
          <w:szCs w:val="24"/>
        </w:rPr>
        <w:t xml:space="preserve"> invest in alignment with </w:t>
      </w:r>
      <w:r w:rsidR="00DE495D" w:rsidRPr="00885306">
        <w:rPr>
          <w:szCs w:val="24"/>
        </w:rPr>
        <w:t xml:space="preserve">its </w:t>
      </w:r>
      <w:r w:rsidR="005C473D" w:rsidRPr="00885306">
        <w:rPr>
          <w:szCs w:val="24"/>
        </w:rPr>
        <w:t xml:space="preserve">expanded </w:t>
      </w:r>
      <w:r w:rsidR="00DE495D" w:rsidRPr="00885306">
        <w:rPr>
          <w:szCs w:val="24"/>
        </w:rPr>
        <w:t>object.</w:t>
      </w:r>
      <w:r w:rsidR="00DE495D">
        <w:rPr>
          <w:szCs w:val="24"/>
        </w:rPr>
        <w:t xml:space="preserve"> </w:t>
      </w:r>
      <w:r w:rsidR="000628C9">
        <w:rPr>
          <w:szCs w:val="24"/>
        </w:rPr>
        <w:t xml:space="preserve">The previous rate was set in 2016 and was not </w:t>
      </w:r>
      <w:r w:rsidR="004044A4">
        <w:rPr>
          <w:lang w:val="en-GB" w:eastAsia="en-US"/>
        </w:rPr>
        <w:t>considered to be achievable in the context of the overall policy objectives of the Corporation</w:t>
      </w:r>
      <w:r w:rsidR="000628C9">
        <w:rPr>
          <w:szCs w:val="24"/>
        </w:rPr>
        <w:t>.</w:t>
      </w:r>
    </w:p>
    <w:p w14:paraId="392DA87D" w14:textId="5C874032" w:rsidR="0010217F" w:rsidRDefault="0010217F" w:rsidP="00426150">
      <w:pPr>
        <w:spacing w:before="0" w:after="240"/>
        <w:rPr>
          <w:szCs w:val="24"/>
        </w:rPr>
      </w:pPr>
      <w:r>
        <w:rPr>
          <w:szCs w:val="24"/>
        </w:rPr>
        <w:t xml:space="preserve">The Government will undertake a review of </w:t>
      </w:r>
      <w:r w:rsidR="00D4111C">
        <w:rPr>
          <w:szCs w:val="24"/>
        </w:rPr>
        <w:t>the Corporation’s</w:t>
      </w:r>
      <w:r>
        <w:rPr>
          <w:szCs w:val="24"/>
        </w:rPr>
        <w:t xml:space="preserve"> General Portfolio benchmark rate of return within three years. </w:t>
      </w:r>
    </w:p>
    <w:p w14:paraId="12302086" w14:textId="5D08E45D" w:rsidR="00426150" w:rsidRPr="004F373E" w:rsidRDefault="00426150" w:rsidP="00426150">
      <w:pPr>
        <w:spacing w:before="0" w:after="240"/>
        <w:rPr>
          <w:szCs w:val="24"/>
        </w:rPr>
      </w:pPr>
      <w:r w:rsidRPr="004F373E">
        <w:rPr>
          <w:szCs w:val="24"/>
        </w:rPr>
        <w:t>Proponents should not expect to be able to access the Corporation’s fund</w:t>
      </w:r>
      <w:r w:rsidR="004B2EA1">
        <w:rPr>
          <w:szCs w:val="24"/>
        </w:rPr>
        <w:t>s</w:t>
      </w:r>
      <w:r w:rsidR="00CA73B5">
        <w:rPr>
          <w:szCs w:val="24"/>
        </w:rPr>
        <w:t xml:space="preserve"> </w:t>
      </w:r>
      <w:r w:rsidRPr="004F373E">
        <w:rPr>
          <w:szCs w:val="24"/>
        </w:rPr>
        <w:t xml:space="preserve">at the </w:t>
      </w:r>
      <w:r w:rsidR="00AE2316">
        <w:rPr>
          <w:szCs w:val="24"/>
        </w:rPr>
        <w:t xml:space="preserve">target </w:t>
      </w:r>
      <w:r w:rsidR="00BA62B6">
        <w:rPr>
          <w:szCs w:val="24"/>
        </w:rPr>
        <w:t>b</w:t>
      </w:r>
      <w:r w:rsidRPr="004F373E">
        <w:rPr>
          <w:szCs w:val="24"/>
        </w:rPr>
        <w:t xml:space="preserve">enchmark </w:t>
      </w:r>
      <w:r w:rsidR="00BA62B6">
        <w:rPr>
          <w:szCs w:val="24"/>
        </w:rPr>
        <w:t>r</w:t>
      </w:r>
      <w:r w:rsidRPr="004F373E">
        <w:rPr>
          <w:szCs w:val="24"/>
        </w:rPr>
        <w:t>eturn</w:t>
      </w:r>
      <w:r w:rsidR="00156AE1">
        <w:rPr>
          <w:szCs w:val="24"/>
        </w:rPr>
        <w:t xml:space="preserve"> rate</w:t>
      </w:r>
      <w:r w:rsidRPr="004F373E">
        <w:rPr>
          <w:szCs w:val="24"/>
        </w:rPr>
        <w:t xml:space="preserve">. The </w:t>
      </w:r>
      <w:r w:rsidR="00F31FC2">
        <w:rPr>
          <w:szCs w:val="24"/>
        </w:rPr>
        <w:t>Board</w:t>
      </w:r>
      <w:r w:rsidR="00F31FC2" w:rsidRPr="004F373E">
        <w:rPr>
          <w:szCs w:val="24"/>
        </w:rPr>
        <w:t xml:space="preserve"> </w:t>
      </w:r>
      <w:r w:rsidRPr="004F373E">
        <w:rPr>
          <w:szCs w:val="24"/>
        </w:rPr>
        <w:t xml:space="preserve">shall apply commercial rigour in assessing all </w:t>
      </w:r>
      <w:r w:rsidR="00E13509">
        <w:rPr>
          <w:szCs w:val="24"/>
        </w:rPr>
        <w:t xml:space="preserve">General Portfolio </w:t>
      </w:r>
      <w:r w:rsidRPr="004F373E">
        <w:rPr>
          <w:szCs w:val="24"/>
        </w:rPr>
        <w:t xml:space="preserve">investments. The actual return the </w:t>
      </w:r>
      <w:r w:rsidR="00F31FC2">
        <w:rPr>
          <w:szCs w:val="24"/>
        </w:rPr>
        <w:t>Board</w:t>
      </w:r>
      <w:r w:rsidR="00F31FC2" w:rsidRPr="004F373E">
        <w:rPr>
          <w:szCs w:val="24"/>
        </w:rPr>
        <w:t xml:space="preserve"> </w:t>
      </w:r>
      <w:r w:rsidRPr="004F373E">
        <w:rPr>
          <w:szCs w:val="24"/>
        </w:rPr>
        <w:t xml:space="preserve">seeks for any </w:t>
      </w:r>
      <w:r>
        <w:rPr>
          <w:szCs w:val="24"/>
        </w:rPr>
        <w:t>given investment will be a risk-</w:t>
      </w:r>
      <w:r w:rsidRPr="004F373E">
        <w:rPr>
          <w:szCs w:val="24"/>
        </w:rPr>
        <w:t xml:space="preserve">adjusted return reflecting the individual characteristics of specific projects, the need to cover the operating expenses of the Corporation, the requirement to target the </w:t>
      </w:r>
      <w:r w:rsidR="00BA62B6">
        <w:rPr>
          <w:szCs w:val="24"/>
        </w:rPr>
        <w:t>b</w:t>
      </w:r>
      <w:r>
        <w:rPr>
          <w:szCs w:val="24"/>
        </w:rPr>
        <w:t xml:space="preserve">enchmark </w:t>
      </w:r>
      <w:r w:rsidR="00BA62B6">
        <w:rPr>
          <w:szCs w:val="24"/>
        </w:rPr>
        <w:t>r</w:t>
      </w:r>
      <w:r>
        <w:rPr>
          <w:szCs w:val="24"/>
        </w:rPr>
        <w:t>etur</w:t>
      </w:r>
      <w:r w:rsidRPr="004F373E">
        <w:rPr>
          <w:szCs w:val="24"/>
        </w:rPr>
        <w:t>n</w:t>
      </w:r>
      <w:r>
        <w:rPr>
          <w:szCs w:val="24"/>
        </w:rPr>
        <w:t xml:space="preserve"> on a portfolio basis</w:t>
      </w:r>
      <w:r w:rsidRPr="004F373E">
        <w:rPr>
          <w:szCs w:val="24"/>
        </w:rPr>
        <w:t xml:space="preserve"> and other </w:t>
      </w:r>
      <w:r>
        <w:rPr>
          <w:szCs w:val="24"/>
        </w:rPr>
        <w:t xml:space="preserve">relevant </w:t>
      </w:r>
      <w:r w:rsidRPr="004F373E">
        <w:rPr>
          <w:szCs w:val="24"/>
        </w:rPr>
        <w:t>factors.</w:t>
      </w:r>
    </w:p>
    <w:p w14:paraId="5B5C81DB" w14:textId="40F6DA31" w:rsidR="00426150" w:rsidRPr="004F373E" w:rsidRDefault="00426150" w:rsidP="00426150">
      <w:pPr>
        <w:spacing w:before="0" w:after="240"/>
        <w:rPr>
          <w:szCs w:val="24"/>
        </w:rPr>
      </w:pPr>
      <w:r w:rsidRPr="004F373E">
        <w:rPr>
          <w:szCs w:val="24"/>
        </w:rPr>
        <w:t>The Government is conscious of the risks inherent in investing in a large portfolio of financial assets. It acknowledges that in practice this will involve some short-term volatility in the Corporation’s returns, including the possibility of losses in some years</w:t>
      </w:r>
      <w:r w:rsidR="004338F5">
        <w:rPr>
          <w:szCs w:val="24"/>
        </w:rPr>
        <w:t xml:space="preserve"> and </w:t>
      </w:r>
      <w:r w:rsidR="004338F5" w:rsidRPr="004338F5">
        <w:rPr>
          <w:szCs w:val="24"/>
        </w:rPr>
        <w:t>that the probability of losses will be higher for the Rewiring the Nation Fund and the Specialist Investment Funds, as compared to the General Portfolio, in accordance with their specific risk settings (as described in sections 15 and 16, respectively)</w:t>
      </w:r>
      <w:r w:rsidRPr="004F373E">
        <w:rPr>
          <w:szCs w:val="24"/>
        </w:rPr>
        <w:t>.</w:t>
      </w:r>
    </w:p>
    <w:p w14:paraId="06EE8BD9" w14:textId="397ED8E7" w:rsidR="00426150" w:rsidRDefault="00426150" w:rsidP="00426150">
      <w:pPr>
        <w:spacing w:before="0" w:after="240"/>
        <w:rPr>
          <w:szCs w:val="24"/>
        </w:rPr>
      </w:pPr>
      <w:r w:rsidRPr="004F373E">
        <w:rPr>
          <w:szCs w:val="24"/>
        </w:rPr>
        <w:t xml:space="preserve">The Government is committed to developing the clean energy sector </w:t>
      </w:r>
      <w:r w:rsidR="00250DC1">
        <w:rPr>
          <w:szCs w:val="24"/>
        </w:rPr>
        <w:t>over</w:t>
      </w:r>
      <w:r>
        <w:rPr>
          <w:szCs w:val="24"/>
        </w:rPr>
        <w:t xml:space="preserve"> the long-</w:t>
      </w:r>
      <w:r w:rsidRPr="004F373E">
        <w:rPr>
          <w:szCs w:val="24"/>
        </w:rPr>
        <w:t>term</w:t>
      </w:r>
      <w:r w:rsidR="00250DC1">
        <w:rPr>
          <w:szCs w:val="24"/>
        </w:rPr>
        <w:t xml:space="preserve"> and </w:t>
      </w:r>
      <w:r w:rsidRPr="002E478A">
        <w:rPr>
          <w:szCs w:val="24"/>
        </w:rPr>
        <w:t xml:space="preserve">the </w:t>
      </w:r>
      <w:r w:rsidR="00081F9C" w:rsidRPr="006A561E">
        <w:rPr>
          <w:szCs w:val="24"/>
        </w:rPr>
        <w:t>202</w:t>
      </w:r>
      <w:r w:rsidR="00250F6A" w:rsidRPr="006A561E">
        <w:rPr>
          <w:szCs w:val="24"/>
        </w:rPr>
        <w:t>3</w:t>
      </w:r>
      <w:r w:rsidR="00081F9C" w:rsidRPr="006A561E">
        <w:rPr>
          <w:szCs w:val="24"/>
        </w:rPr>
        <w:t xml:space="preserve"> Mandate</w:t>
      </w:r>
      <w:r>
        <w:rPr>
          <w:szCs w:val="24"/>
        </w:rPr>
        <w:t xml:space="preserve"> </w:t>
      </w:r>
      <w:r w:rsidR="00250DC1">
        <w:rPr>
          <w:szCs w:val="24"/>
        </w:rPr>
        <w:t xml:space="preserve">therefore maintains </w:t>
      </w:r>
      <w:r>
        <w:rPr>
          <w:szCs w:val="24"/>
        </w:rPr>
        <w:t>medium</w:t>
      </w:r>
      <w:r w:rsidR="009903D0">
        <w:rPr>
          <w:szCs w:val="24"/>
        </w:rPr>
        <w:t xml:space="preserve"> </w:t>
      </w:r>
      <w:r>
        <w:rPr>
          <w:szCs w:val="24"/>
        </w:rPr>
        <w:t>to</w:t>
      </w:r>
      <w:r w:rsidR="009903D0">
        <w:rPr>
          <w:szCs w:val="24"/>
        </w:rPr>
        <w:t xml:space="preserve"> </w:t>
      </w:r>
      <w:r>
        <w:rPr>
          <w:szCs w:val="24"/>
        </w:rPr>
        <w:t>long-</w:t>
      </w:r>
      <w:r w:rsidRPr="004F373E">
        <w:rPr>
          <w:szCs w:val="24"/>
        </w:rPr>
        <w:t>term portfolio performance measures</w:t>
      </w:r>
      <w:r w:rsidR="009D1115">
        <w:rPr>
          <w:szCs w:val="24"/>
        </w:rPr>
        <w:t xml:space="preserve"> for the Corporation</w:t>
      </w:r>
      <w:r w:rsidRPr="004F373E">
        <w:rPr>
          <w:szCs w:val="24"/>
        </w:rPr>
        <w:t>.</w:t>
      </w:r>
    </w:p>
    <w:p w14:paraId="0877BCC8" w14:textId="13B6F8FF" w:rsidR="00426150" w:rsidRPr="00FC52C4" w:rsidRDefault="00426150" w:rsidP="001918F2">
      <w:pPr>
        <w:keepNext/>
        <w:spacing w:before="0" w:after="240"/>
        <w:ind w:right="91"/>
        <w:rPr>
          <w:szCs w:val="24"/>
          <w:u w:val="single"/>
        </w:rPr>
      </w:pPr>
      <w:r>
        <w:rPr>
          <w:szCs w:val="24"/>
          <w:u w:val="single"/>
        </w:rPr>
        <w:lastRenderedPageBreak/>
        <w:t xml:space="preserve">Section </w:t>
      </w:r>
      <w:r w:rsidR="00141174">
        <w:rPr>
          <w:szCs w:val="24"/>
          <w:u w:val="single"/>
        </w:rPr>
        <w:t>8</w:t>
      </w:r>
      <w:r w:rsidR="00061351" w:rsidRPr="00D33F05">
        <w:rPr>
          <w:szCs w:val="24"/>
          <w:u w:val="single"/>
        </w:rPr>
        <w:t xml:space="preserve"> </w:t>
      </w:r>
      <w:r w:rsidRPr="00D33F05">
        <w:rPr>
          <w:szCs w:val="24"/>
          <w:u w:val="single"/>
        </w:rPr>
        <w:t xml:space="preserve">– </w:t>
      </w:r>
      <w:r w:rsidR="00662252">
        <w:rPr>
          <w:szCs w:val="24"/>
          <w:u w:val="single"/>
        </w:rPr>
        <w:t xml:space="preserve">General </w:t>
      </w:r>
      <w:r w:rsidR="00BC3EC9">
        <w:rPr>
          <w:szCs w:val="24"/>
          <w:u w:val="single"/>
        </w:rPr>
        <w:t>P</w:t>
      </w:r>
      <w:r>
        <w:rPr>
          <w:szCs w:val="24"/>
          <w:u w:val="single"/>
        </w:rPr>
        <w:t xml:space="preserve">ortfolio </w:t>
      </w:r>
      <w:r w:rsidR="00B573D1">
        <w:rPr>
          <w:szCs w:val="24"/>
          <w:u w:val="single"/>
        </w:rPr>
        <w:t>r</w:t>
      </w:r>
      <w:r>
        <w:rPr>
          <w:szCs w:val="24"/>
          <w:u w:val="single"/>
        </w:rPr>
        <w:t>isk</w:t>
      </w:r>
      <w:r w:rsidR="00BA62B6">
        <w:rPr>
          <w:szCs w:val="24"/>
          <w:u w:val="single"/>
        </w:rPr>
        <w:t xml:space="preserve"> </w:t>
      </w:r>
    </w:p>
    <w:p w14:paraId="2EFE6F4A" w14:textId="2C1F505C" w:rsidR="00F511CA" w:rsidRPr="004F373E" w:rsidRDefault="00D900F1" w:rsidP="00426150">
      <w:pPr>
        <w:spacing w:before="0" w:after="240"/>
        <w:rPr>
          <w:szCs w:val="24"/>
        </w:rPr>
      </w:pPr>
      <w:r>
        <w:rPr>
          <w:szCs w:val="24"/>
        </w:rPr>
        <w:t>Section 8 provides that i</w:t>
      </w:r>
      <w:r w:rsidR="00426150" w:rsidRPr="004F373E">
        <w:rPr>
          <w:szCs w:val="24"/>
        </w:rPr>
        <w:t xml:space="preserve">n targeting the </w:t>
      </w:r>
      <w:r w:rsidR="00BA62B6">
        <w:rPr>
          <w:szCs w:val="24"/>
        </w:rPr>
        <w:t>b</w:t>
      </w:r>
      <w:r w:rsidR="00426150" w:rsidRPr="004F373E">
        <w:rPr>
          <w:szCs w:val="24"/>
        </w:rPr>
        <w:t>enchmark</w:t>
      </w:r>
      <w:r w:rsidR="00BA62B6">
        <w:rPr>
          <w:szCs w:val="24"/>
        </w:rPr>
        <w:t xml:space="preserve"> r</w:t>
      </w:r>
      <w:r w:rsidR="00426150" w:rsidRPr="004F373E">
        <w:rPr>
          <w:szCs w:val="24"/>
        </w:rPr>
        <w:t>eturn</w:t>
      </w:r>
      <w:r w:rsidR="00BA62B6">
        <w:rPr>
          <w:szCs w:val="24"/>
        </w:rPr>
        <w:t xml:space="preserve"> referred to in section </w:t>
      </w:r>
      <w:r w:rsidR="00141174">
        <w:rPr>
          <w:szCs w:val="24"/>
        </w:rPr>
        <w:t>7</w:t>
      </w:r>
      <w:r w:rsidR="00426150" w:rsidRPr="004F373E">
        <w:rPr>
          <w:szCs w:val="24"/>
        </w:rPr>
        <w:t xml:space="preserve">, the overall level of risk of the </w:t>
      </w:r>
      <w:r w:rsidR="00BC3EC9">
        <w:rPr>
          <w:szCs w:val="24"/>
        </w:rPr>
        <w:t>G</w:t>
      </w:r>
      <w:r w:rsidR="00662252">
        <w:rPr>
          <w:szCs w:val="24"/>
        </w:rPr>
        <w:t>eneral</w:t>
      </w:r>
      <w:r w:rsidR="00662252" w:rsidRPr="004F373E">
        <w:rPr>
          <w:szCs w:val="24"/>
        </w:rPr>
        <w:t xml:space="preserve"> </w:t>
      </w:r>
      <w:r w:rsidR="00BC3EC9">
        <w:rPr>
          <w:szCs w:val="24"/>
        </w:rPr>
        <w:t>P</w:t>
      </w:r>
      <w:r w:rsidR="00426150" w:rsidRPr="004F373E">
        <w:rPr>
          <w:szCs w:val="24"/>
        </w:rPr>
        <w:t xml:space="preserve">ortfolio </w:t>
      </w:r>
      <w:r w:rsidR="00BA62B6">
        <w:rPr>
          <w:szCs w:val="24"/>
        </w:rPr>
        <w:t>must be</w:t>
      </w:r>
      <w:r w:rsidR="00426150">
        <w:rPr>
          <w:szCs w:val="24"/>
        </w:rPr>
        <w:t xml:space="preserve"> acceptable but not excessive, </w:t>
      </w:r>
      <w:r w:rsidR="00426150" w:rsidRPr="004F373E">
        <w:rPr>
          <w:szCs w:val="24"/>
        </w:rPr>
        <w:t xml:space="preserve">having </w:t>
      </w:r>
      <w:r w:rsidR="00426150" w:rsidRPr="002E478A">
        <w:rPr>
          <w:szCs w:val="24"/>
        </w:rPr>
        <w:t>reg</w:t>
      </w:r>
      <w:r w:rsidR="00426150" w:rsidRPr="006A561E">
        <w:rPr>
          <w:szCs w:val="24"/>
        </w:rPr>
        <w:t xml:space="preserve">ard to the terms of the Act and the focus on </w:t>
      </w:r>
      <w:r w:rsidR="00C2098F" w:rsidRPr="006A561E">
        <w:rPr>
          <w:szCs w:val="24"/>
        </w:rPr>
        <w:t>areas</w:t>
      </w:r>
      <w:r w:rsidR="00426150" w:rsidRPr="006A561E">
        <w:rPr>
          <w:szCs w:val="24"/>
        </w:rPr>
        <w:t xml:space="preserve"> identified in section </w:t>
      </w:r>
      <w:r w:rsidR="00710550" w:rsidRPr="006A561E">
        <w:rPr>
          <w:szCs w:val="24"/>
        </w:rPr>
        <w:t>1</w:t>
      </w:r>
      <w:r w:rsidR="00432E12">
        <w:rPr>
          <w:szCs w:val="24"/>
        </w:rPr>
        <w:t>4</w:t>
      </w:r>
      <w:r w:rsidR="00710550" w:rsidRPr="006A561E">
        <w:rPr>
          <w:szCs w:val="24"/>
        </w:rPr>
        <w:t xml:space="preserve"> </w:t>
      </w:r>
      <w:r w:rsidR="00426150" w:rsidRPr="006A561E">
        <w:rPr>
          <w:szCs w:val="24"/>
        </w:rPr>
        <w:t xml:space="preserve">of the </w:t>
      </w:r>
      <w:r w:rsidR="00081F9C" w:rsidRPr="006A561E">
        <w:rPr>
          <w:szCs w:val="24"/>
        </w:rPr>
        <w:t>202</w:t>
      </w:r>
      <w:r w:rsidR="00250F6A" w:rsidRPr="006A561E">
        <w:rPr>
          <w:szCs w:val="24"/>
        </w:rPr>
        <w:t xml:space="preserve">3 </w:t>
      </w:r>
      <w:r w:rsidR="00081F9C" w:rsidRPr="006A561E">
        <w:rPr>
          <w:szCs w:val="24"/>
        </w:rPr>
        <w:t>Mandate</w:t>
      </w:r>
      <w:r w:rsidR="00426150" w:rsidRPr="002E478A">
        <w:rPr>
          <w:szCs w:val="24"/>
        </w:rPr>
        <w:t>.</w:t>
      </w:r>
    </w:p>
    <w:p w14:paraId="6CAC7F61" w14:textId="2BA0ADF5" w:rsidR="00050FFF" w:rsidRPr="004F373E" w:rsidRDefault="00050FFF" w:rsidP="00426150">
      <w:pPr>
        <w:spacing w:before="0" w:after="240"/>
        <w:rPr>
          <w:szCs w:val="24"/>
        </w:rPr>
      </w:pPr>
      <w:r>
        <w:rPr>
          <w:szCs w:val="24"/>
        </w:rPr>
        <w:t xml:space="preserve">The section also provides that </w:t>
      </w:r>
      <w:r w:rsidR="00BE024D">
        <w:rPr>
          <w:szCs w:val="24"/>
        </w:rPr>
        <w:t xml:space="preserve">the Board must review its </w:t>
      </w:r>
      <w:r w:rsidR="00410F45">
        <w:rPr>
          <w:szCs w:val="24"/>
        </w:rPr>
        <w:t xml:space="preserve">risk management </w:t>
      </w:r>
      <w:r w:rsidR="0033114A">
        <w:rPr>
          <w:szCs w:val="24"/>
        </w:rPr>
        <w:t xml:space="preserve">practices for the General portfolio </w:t>
      </w:r>
      <w:r w:rsidR="007A5698">
        <w:rPr>
          <w:szCs w:val="24"/>
        </w:rPr>
        <w:t>periodically</w:t>
      </w:r>
      <w:r w:rsidR="00370B66">
        <w:rPr>
          <w:szCs w:val="24"/>
        </w:rPr>
        <w:t>, to</w:t>
      </w:r>
      <w:r w:rsidR="007A5698">
        <w:rPr>
          <w:szCs w:val="24"/>
        </w:rPr>
        <w:t xml:space="preserve"> ensure </w:t>
      </w:r>
      <w:r w:rsidR="005D4416">
        <w:rPr>
          <w:szCs w:val="24"/>
        </w:rPr>
        <w:t xml:space="preserve">risk management is actively monitored, </w:t>
      </w:r>
      <w:r w:rsidR="00370B66">
        <w:rPr>
          <w:szCs w:val="24"/>
        </w:rPr>
        <w:t xml:space="preserve">and </w:t>
      </w:r>
      <w:r w:rsidR="00196071">
        <w:rPr>
          <w:szCs w:val="24"/>
        </w:rPr>
        <w:t>keep</w:t>
      </w:r>
      <w:r w:rsidR="005D4416">
        <w:rPr>
          <w:szCs w:val="24"/>
        </w:rPr>
        <w:t xml:space="preserve"> the responsible Ministers </w:t>
      </w:r>
      <w:r w:rsidR="00201F7A">
        <w:rPr>
          <w:szCs w:val="24"/>
        </w:rPr>
        <w:t xml:space="preserve">appropriately </w:t>
      </w:r>
      <w:r w:rsidR="00196071">
        <w:rPr>
          <w:szCs w:val="24"/>
        </w:rPr>
        <w:t>informed</w:t>
      </w:r>
      <w:r w:rsidR="00201F7A">
        <w:rPr>
          <w:szCs w:val="24"/>
        </w:rPr>
        <w:t>.</w:t>
      </w:r>
      <w:r w:rsidR="00196071">
        <w:rPr>
          <w:szCs w:val="24"/>
        </w:rPr>
        <w:t xml:space="preserve"> </w:t>
      </w:r>
    </w:p>
    <w:p w14:paraId="42996718" w14:textId="1065DFB0" w:rsidR="00426150" w:rsidRPr="00FC52C4" w:rsidRDefault="00426150" w:rsidP="00547BFC">
      <w:pPr>
        <w:spacing w:before="0" w:after="240"/>
        <w:ind w:right="91"/>
        <w:rPr>
          <w:szCs w:val="24"/>
          <w:u w:val="single"/>
        </w:rPr>
      </w:pPr>
      <w:r>
        <w:rPr>
          <w:szCs w:val="24"/>
          <w:u w:val="single"/>
        </w:rPr>
        <w:t xml:space="preserve">Section </w:t>
      </w:r>
      <w:r w:rsidR="00141174">
        <w:rPr>
          <w:szCs w:val="24"/>
          <w:u w:val="single"/>
        </w:rPr>
        <w:t>9</w:t>
      </w:r>
      <w:r w:rsidR="00061351" w:rsidRPr="00D33F05">
        <w:rPr>
          <w:szCs w:val="24"/>
          <w:u w:val="single"/>
        </w:rPr>
        <w:t xml:space="preserve"> </w:t>
      </w:r>
      <w:r w:rsidRPr="00D33F05">
        <w:rPr>
          <w:szCs w:val="24"/>
          <w:u w:val="single"/>
        </w:rPr>
        <w:t xml:space="preserve">– </w:t>
      </w:r>
      <w:r>
        <w:rPr>
          <w:szCs w:val="24"/>
          <w:u w:val="single"/>
        </w:rPr>
        <w:t xml:space="preserve">Limits on </w:t>
      </w:r>
      <w:proofErr w:type="spellStart"/>
      <w:r w:rsidR="00B573D1">
        <w:rPr>
          <w:szCs w:val="24"/>
          <w:u w:val="single"/>
        </w:rPr>
        <w:t>c</w:t>
      </w:r>
      <w:r>
        <w:rPr>
          <w:szCs w:val="24"/>
          <w:u w:val="single"/>
        </w:rPr>
        <w:t>oncessionality</w:t>
      </w:r>
      <w:proofErr w:type="spellEnd"/>
      <w:r w:rsidR="00156AE1">
        <w:rPr>
          <w:szCs w:val="24"/>
          <w:u w:val="single"/>
        </w:rPr>
        <w:t xml:space="preserve"> </w:t>
      </w:r>
    </w:p>
    <w:p w14:paraId="42EB6E95" w14:textId="6A6A174E" w:rsidR="00CE40A1" w:rsidRDefault="00156AE1" w:rsidP="00426150">
      <w:pPr>
        <w:spacing w:before="0" w:after="240"/>
        <w:rPr>
          <w:szCs w:val="24"/>
        </w:rPr>
      </w:pPr>
      <w:r>
        <w:rPr>
          <w:szCs w:val="24"/>
        </w:rPr>
        <w:t xml:space="preserve">Section </w:t>
      </w:r>
      <w:r w:rsidR="008B6D59">
        <w:rPr>
          <w:szCs w:val="24"/>
        </w:rPr>
        <w:t>9</w:t>
      </w:r>
      <w:r>
        <w:rPr>
          <w:szCs w:val="24"/>
        </w:rPr>
        <w:t xml:space="preserve"> sets out limits on </w:t>
      </w:r>
      <w:proofErr w:type="spellStart"/>
      <w:r>
        <w:rPr>
          <w:szCs w:val="24"/>
        </w:rPr>
        <w:t>concessionality</w:t>
      </w:r>
      <w:proofErr w:type="spellEnd"/>
      <w:r>
        <w:rPr>
          <w:szCs w:val="24"/>
        </w:rPr>
        <w:t xml:space="preserve"> for all investments other than </w:t>
      </w:r>
      <w:r w:rsidR="008B6D59">
        <w:t>Rewiring the Nation Fund</w:t>
      </w:r>
      <w:r w:rsidR="008B6D59" w:rsidDel="008B6D59">
        <w:rPr>
          <w:szCs w:val="24"/>
        </w:rPr>
        <w:t xml:space="preserve"> </w:t>
      </w:r>
      <w:r w:rsidR="00104017">
        <w:rPr>
          <w:szCs w:val="24"/>
        </w:rPr>
        <w:t xml:space="preserve">and Household Energy Upgrades Fund </w:t>
      </w:r>
      <w:r w:rsidR="00662491">
        <w:rPr>
          <w:szCs w:val="24"/>
        </w:rPr>
        <w:t>investments.</w:t>
      </w:r>
      <w:r w:rsidR="00CE40A1">
        <w:rPr>
          <w:szCs w:val="24"/>
        </w:rPr>
        <w:t xml:space="preserve"> </w:t>
      </w:r>
      <w:r w:rsidR="00D04915">
        <w:rPr>
          <w:szCs w:val="24"/>
        </w:rPr>
        <w:t>Directions</w:t>
      </w:r>
      <w:r w:rsidR="00CE40A1">
        <w:rPr>
          <w:szCs w:val="24"/>
        </w:rPr>
        <w:t xml:space="preserve"> on </w:t>
      </w:r>
      <w:proofErr w:type="spellStart"/>
      <w:r w:rsidR="00CE40A1">
        <w:rPr>
          <w:szCs w:val="24"/>
        </w:rPr>
        <w:t>concessionality</w:t>
      </w:r>
      <w:proofErr w:type="spellEnd"/>
      <w:r w:rsidR="00CE40A1">
        <w:rPr>
          <w:szCs w:val="24"/>
        </w:rPr>
        <w:t xml:space="preserve"> for </w:t>
      </w:r>
      <w:r w:rsidR="008B6D59">
        <w:t>Rewiring the Nation Fund</w:t>
      </w:r>
      <w:r w:rsidR="00662491">
        <w:rPr>
          <w:szCs w:val="24"/>
        </w:rPr>
        <w:t xml:space="preserve"> </w:t>
      </w:r>
      <w:r w:rsidR="00F5328C">
        <w:rPr>
          <w:szCs w:val="24"/>
        </w:rPr>
        <w:t xml:space="preserve">and </w:t>
      </w:r>
      <w:r w:rsidR="0069090C" w:rsidRPr="0069090C">
        <w:rPr>
          <w:szCs w:val="24"/>
        </w:rPr>
        <w:t xml:space="preserve">Household Energy Upgrades Fund </w:t>
      </w:r>
      <w:r w:rsidR="00662491">
        <w:rPr>
          <w:szCs w:val="24"/>
        </w:rPr>
        <w:t>investments</w:t>
      </w:r>
      <w:r w:rsidR="00CE40A1">
        <w:rPr>
          <w:szCs w:val="24"/>
        </w:rPr>
        <w:t xml:space="preserve"> are set out in section</w:t>
      </w:r>
      <w:r w:rsidR="0069090C">
        <w:rPr>
          <w:szCs w:val="24"/>
        </w:rPr>
        <w:t>s</w:t>
      </w:r>
      <w:r w:rsidR="00662491">
        <w:rPr>
          <w:szCs w:val="24"/>
        </w:rPr>
        <w:t xml:space="preserve"> 1</w:t>
      </w:r>
      <w:r w:rsidR="008B6D59">
        <w:rPr>
          <w:szCs w:val="24"/>
        </w:rPr>
        <w:t>5</w:t>
      </w:r>
      <w:r w:rsidR="0069090C">
        <w:rPr>
          <w:szCs w:val="24"/>
        </w:rPr>
        <w:t xml:space="preserve"> and 16</w:t>
      </w:r>
      <w:r w:rsidR="00CE40A1">
        <w:rPr>
          <w:szCs w:val="24"/>
        </w:rPr>
        <w:t>.</w:t>
      </w:r>
    </w:p>
    <w:p w14:paraId="1214E8E0" w14:textId="52E4E258" w:rsidR="00426150" w:rsidRPr="004F373E" w:rsidRDefault="00426150" w:rsidP="00426150">
      <w:pPr>
        <w:spacing w:before="0" w:after="240"/>
        <w:rPr>
          <w:szCs w:val="24"/>
        </w:rPr>
      </w:pPr>
      <w:r w:rsidRPr="004F373E">
        <w:rPr>
          <w:szCs w:val="24"/>
        </w:rPr>
        <w:t xml:space="preserve">To ensure that the </w:t>
      </w:r>
      <w:r w:rsidR="00F31FC2">
        <w:rPr>
          <w:szCs w:val="24"/>
        </w:rPr>
        <w:t>Board</w:t>
      </w:r>
      <w:r w:rsidR="00F31FC2" w:rsidRPr="004F373E">
        <w:rPr>
          <w:szCs w:val="24"/>
        </w:rPr>
        <w:t xml:space="preserve"> </w:t>
      </w:r>
      <w:r w:rsidRPr="004F373E">
        <w:rPr>
          <w:szCs w:val="24"/>
        </w:rPr>
        <w:t>can</w:t>
      </w:r>
      <w:r>
        <w:rPr>
          <w:szCs w:val="24"/>
        </w:rPr>
        <w:t xml:space="preserve"> facilitate the flow of finance, </w:t>
      </w:r>
      <w:r w:rsidRPr="004F373E">
        <w:rPr>
          <w:szCs w:val="24"/>
        </w:rPr>
        <w:t xml:space="preserve">it is </w:t>
      </w:r>
      <w:r w:rsidR="00E42666">
        <w:rPr>
          <w:szCs w:val="24"/>
        </w:rPr>
        <w:t xml:space="preserve">empowered to </w:t>
      </w:r>
      <w:r w:rsidRPr="004F373E">
        <w:rPr>
          <w:szCs w:val="24"/>
        </w:rPr>
        <w:t xml:space="preserve">use a wide range of investment tools. This includes providing concessional loans where necessary. A concessional loan is a loan provided on more favourable terms than the borrower could obtain in the marketplace. </w:t>
      </w:r>
      <w:r>
        <w:rPr>
          <w:szCs w:val="24"/>
        </w:rPr>
        <w:t>Since c</w:t>
      </w:r>
      <w:r w:rsidRPr="004F373E">
        <w:rPr>
          <w:szCs w:val="24"/>
        </w:rPr>
        <w:t>oncessional loans have a negativ</w:t>
      </w:r>
      <w:r>
        <w:rPr>
          <w:szCs w:val="24"/>
        </w:rPr>
        <w:t>e impact on the fiscal balance, t</w:t>
      </w:r>
      <w:r w:rsidRPr="004F373E">
        <w:rPr>
          <w:szCs w:val="24"/>
        </w:rPr>
        <w:t xml:space="preserve">he </w:t>
      </w:r>
      <w:r w:rsidR="00F31FC2">
        <w:rPr>
          <w:szCs w:val="24"/>
        </w:rPr>
        <w:t>Board</w:t>
      </w:r>
      <w:r w:rsidR="00F31FC2" w:rsidRPr="004F373E">
        <w:rPr>
          <w:szCs w:val="24"/>
        </w:rPr>
        <w:t xml:space="preserve"> </w:t>
      </w:r>
      <w:r w:rsidRPr="004F373E">
        <w:rPr>
          <w:szCs w:val="24"/>
        </w:rPr>
        <w:t xml:space="preserve">is limited to providing $300 million of </w:t>
      </w:r>
      <w:proofErr w:type="spellStart"/>
      <w:r w:rsidRPr="004F373E">
        <w:rPr>
          <w:szCs w:val="24"/>
        </w:rPr>
        <w:t>concessiona</w:t>
      </w:r>
      <w:r>
        <w:rPr>
          <w:szCs w:val="24"/>
        </w:rPr>
        <w:t>lity</w:t>
      </w:r>
      <w:proofErr w:type="spellEnd"/>
      <w:r>
        <w:rPr>
          <w:szCs w:val="24"/>
        </w:rPr>
        <w:t xml:space="preserve"> in any one financial year</w:t>
      </w:r>
      <w:r w:rsidR="00B63AFD">
        <w:rPr>
          <w:szCs w:val="24"/>
        </w:rPr>
        <w:t xml:space="preserve">, except in relation to Rewiring the Nation Fund </w:t>
      </w:r>
      <w:r w:rsidR="00FA35B7">
        <w:rPr>
          <w:szCs w:val="24"/>
        </w:rPr>
        <w:t xml:space="preserve">and </w:t>
      </w:r>
      <w:r w:rsidR="00FA35B7" w:rsidRPr="0069090C">
        <w:rPr>
          <w:szCs w:val="24"/>
        </w:rPr>
        <w:t xml:space="preserve">Household Energy Upgrades Fund </w:t>
      </w:r>
      <w:r w:rsidR="00B63AFD">
        <w:rPr>
          <w:szCs w:val="24"/>
        </w:rPr>
        <w:t>investments</w:t>
      </w:r>
      <w:r>
        <w:rPr>
          <w:szCs w:val="24"/>
        </w:rPr>
        <w:t>.</w:t>
      </w:r>
    </w:p>
    <w:p w14:paraId="47369518" w14:textId="555402A1" w:rsidR="00426150" w:rsidRPr="004F373E" w:rsidRDefault="00426150" w:rsidP="00426150">
      <w:pPr>
        <w:spacing w:before="0" w:after="240"/>
        <w:rPr>
          <w:szCs w:val="24"/>
        </w:rPr>
      </w:pPr>
      <w:r>
        <w:rPr>
          <w:szCs w:val="24"/>
        </w:rPr>
        <w:t>Concessions</w:t>
      </w:r>
      <w:r w:rsidRPr="004F373E">
        <w:rPr>
          <w:szCs w:val="24"/>
        </w:rPr>
        <w:t xml:space="preserve"> may be </w:t>
      </w:r>
      <w:r>
        <w:rPr>
          <w:szCs w:val="24"/>
        </w:rPr>
        <w:t xml:space="preserve">provided in </w:t>
      </w:r>
      <w:r w:rsidR="001867E2">
        <w:rPr>
          <w:szCs w:val="24"/>
        </w:rPr>
        <w:t xml:space="preserve">various </w:t>
      </w:r>
      <w:r w:rsidR="00C2098F">
        <w:rPr>
          <w:szCs w:val="24"/>
        </w:rPr>
        <w:t>forms but</w:t>
      </w:r>
      <w:r w:rsidRPr="004F373E">
        <w:rPr>
          <w:szCs w:val="24"/>
        </w:rPr>
        <w:t xml:space="preserve"> </w:t>
      </w:r>
      <w:r>
        <w:rPr>
          <w:szCs w:val="24"/>
        </w:rPr>
        <w:t xml:space="preserve">will </w:t>
      </w:r>
      <w:r w:rsidRPr="004F373E">
        <w:rPr>
          <w:szCs w:val="24"/>
        </w:rPr>
        <w:t xml:space="preserve">typically </w:t>
      </w:r>
      <w:r>
        <w:rPr>
          <w:szCs w:val="24"/>
        </w:rPr>
        <w:t>take</w:t>
      </w:r>
      <w:r w:rsidRPr="004F373E">
        <w:rPr>
          <w:szCs w:val="24"/>
        </w:rPr>
        <w:t xml:space="preserve"> the form of </w:t>
      </w:r>
      <w:r w:rsidR="008023F7" w:rsidRPr="004F373E">
        <w:rPr>
          <w:szCs w:val="24"/>
        </w:rPr>
        <w:t>lower</w:t>
      </w:r>
      <w:r w:rsidR="008023F7">
        <w:rPr>
          <w:szCs w:val="24"/>
        </w:rPr>
        <w:t>-</w:t>
      </w:r>
      <w:r w:rsidR="008023F7" w:rsidRPr="004F373E">
        <w:rPr>
          <w:szCs w:val="24"/>
        </w:rPr>
        <w:t>than</w:t>
      </w:r>
      <w:r w:rsidR="008023F7">
        <w:rPr>
          <w:szCs w:val="24"/>
        </w:rPr>
        <w:t>-</w:t>
      </w:r>
      <w:r w:rsidRPr="004F373E">
        <w:rPr>
          <w:szCs w:val="24"/>
        </w:rPr>
        <w:t xml:space="preserve">market interest rates, longer loan maturity or additional/longer or more flexible grace periods before the payment of the principal and/or interest is due. </w:t>
      </w:r>
      <w:proofErr w:type="spellStart"/>
      <w:r w:rsidRPr="004F373E">
        <w:rPr>
          <w:szCs w:val="24"/>
        </w:rPr>
        <w:t>Concessionality</w:t>
      </w:r>
      <w:proofErr w:type="spellEnd"/>
      <w:r w:rsidRPr="004F373E">
        <w:rPr>
          <w:szCs w:val="24"/>
        </w:rPr>
        <w:t xml:space="preserve"> should be measured as the difference between the present value of a loan provided at the concessional rate and the present value of a loan provided </w:t>
      </w:r>
      <w:r>
        <w:rPr>
          <w:szCs w:val="24"/>
        </w:rPr>
        <w:t>at the appropriate market rate.</w:t>
      </w:r>
    </w:p>
    <w:p w14:paraId="14028AA5" w14:textId="77777777" w:rsidR="00426150" w:rsidRPr="004F373E" w:rsidRDefault="00426150" w:rsidP="00426150">
      <w:pPr>
        <w:spacing w:before="0" w:after="240"/>
        <w:rPr>
          <w:szCs w:val="24"/>
        </w:rPr>
      </w:pPr>
      <w:r w:rsidRPr="004F373E">
        <w:rPr>
          <w:szCs w:val="24"/>
        </w:rPr>
        <w:t>The market rate is the prevailing rate of interest the borrowing entity would be subject to in the market for a similar instrument (in terms of currency, term, type of interest rate and other factors) with a similar credit rating. Where the terms are not currently available, an estimation of the likely cost will need to be made. A standard bank lending rate would need to be adjusted to take into consideration the risk</w:t>
      </w:r>
      <w:r>
        <w:rPr>
          <w:szCs w:val="24"/>
        </w:rPr>
        <w:t>s associated with the borrower.</w:t>
      </w:r>
    </w:p>
    <w:p w14:paraId="408D9603" w14:textId="4CC82F92" w:rsidR="00426150" w:rsidRPr="004F373E" w:rsidRDefault="00426150" w:rsidP="00426150">
      <w:pPr>
        <w:spacing w:before="0" w:after="240"/>
        <w:rPr>
          <w:szCs w:val="24"/>
        </w:rPr>
      </w:pPr>
      <w:r w:rsidRPr="004F373E">
        <w:rPr>
          <w:szCs w:val="24"/>
        </w:rPr>
        <w:t xml:space="preserve">As the Corporation will provide loans where there may not be an explicit market rate, this will be a matter of judgement for the Board. The </w:t>
      </w:r>
      <w:r w:rsidR="00F31FC2">
        <w:rPr>
          <w:szCs w:val="24"/>
        </w:rPr>
        <w:t>Board</w:t>
      </w:r>
      <w:r w:rsidR="00F31FC2" w:rsidRPr="004F373E">
        <w:rPr>
          <w:szCs w:val="24"/>
        </w:rPr>
        <w:t xml:space="preserve"> </w:t>
      </w:r>
      <w:r w:rsidRPr="004F373E">
        <w:rPr>
          <w:szCs w:val="24"/>
        </w:rPr>
        <w:t>is expected to maintain a robust system that is used to determine the appropriate rate, including looking at loans for similar instruments in terms of tenor and risk</w:t>
      </w:r>
      <w:r>
        <w:rPr>
          <w:szCs w:val="24"/>
        </w:rPr>
        <w:t>.</w:t>
      </w:r>
    </w:p>
    <w:p w14:paraId="12C0C22A" w14:textId="77777777" w:rsidR="00426150" w:rsidRPr="004F373E" w:rsidRDefault="00426150" w:rsidP="00426150">
      <w:pPr>
        <w:spacing w:before="0" w:after="240"/>
        <w:rPr>
          <w:szCs w:val="24"/>
        </w:rPr>
      </w:pPr>
      <w:r w:rsidRPr="004F373E">
        <w:rPr>
          <w:szCs w:val="24"/>
        </w:rPr>
        <w:t>The Department of Finance</w:t>
      </w:r>
      <w:r>
        <w:rPr>
          <w:szCs w:val="24"/>
        </w:rPr>
        <w:t>’s</w:t>
      </w:r>
      <w:r w:rsidRPr="004F373E">
        <w:rPr>
          <w:szCs w:val="24"/>
        </w:rPr>
        <w:t xml:space="preserve"> </w:t>
      </w:r>
      <w:r w:rsidRPr="00B7492C">
        <w:rPr>
          <w:i/>
          <w:szCs w:val="24"/>
        </w:rPr>
        <w:t>Resource Management Guide No. 115: Accounting for concessional loans</w:t>
      </w:r>
      <w:r>
        <w:rPr>
          <w:rStyle w:val="FootnoteReference"/>
          <w:szCs w:val="24"/>
        </w:rPr>
        <w:footnoteReference w:id="8"/>
      </w:r>
      <w:r w:rsidRPr="004F373E">
        <w:rPr>
          <w:szCs w:val="24"/>
        </w:rPr>
        <w:t xml:space="preserve"> provides further information on calculating the amount of </w:t>
      </w:r>
      <w:proofErr w:type="spellStart"/>
      <w:r w:rsidRPr="004F373E">
        <w:rPr>
          <w:szCs w:val="24"/>
        </w:rPr>
        <w:t>concessional</w:t>
      </w:r>
      <w:r>
        <w:rPr>
          <w:szCs w:val="24"/>
        </w:rPr>
        <w:t>ity</w:t>
      </w:r>
      <w:proofErr w:type="spellEnd"/>
      <w:r>
        <w:rPr>
          <w:szCs w:val="24"/>
        </w:rPr>
        <w:t xml:space="preserve"> as well as worked examples.</w:t>
      </w:r>
    </w:p>
    <w:p w14:paraId="07E58D45" w14:textId="5B1F4607" w:rsidR="00426150" w:rsidRPr="00FC52C4" w:rsidRDefault="00426150" w:rsidP="00426150">
      <w:pPr>
        <w:spacing w:before="0" w:after="240"/>
        <w:ind w:right="91"/>
        <w:rPr>
          <w:szCs w:val="24"/>
          <w:u w:val="single"/>
        </w:rPr>
      </w:pPr>
      <w:r>
        <w:rPr>
          <w:szCs w:val="24"/>
          <w:u w:val="single"/>
        </w:rPr>
        <w:lastRenderedPageBreak/>
        <w:t xml:space="preserve">Section </w:t>
      </w:r>
      <w:r w:rsidR="00141174">
        <w:rPr>
          <w:szCs w:val="24"/>
          <w:u w:val="single"/>
        </w:rPr>
        <w:t>10</w:t>
      </w:r>
      <w:r w:rsidRPr="00D33F05">
        <w:rPr>
          <w:szCs w:val="24"/>
          <w:u w:val="single"/>
        </w:rPr>
        <w:t xml:space="preserve"> – </w:t>
      </w:r>
      <w:r>
        <w:rPr>
          <w:szCs w:val="24"/>
          <w:u w:val="single"/>
        </w:rPr>
        <w:t xml:space="preserve">Limits on </w:t>
      </w:r>
      <w:r w:rsidR="00B573D1">
        <w:rPr>
          <w:szCs w:val="24"/>
          <w:u w:val="single"/>
        </w:rPr>
        <w:t>g</w:t>
      </w:r>
      <w:r>
        <w:rPr>
          <w:szCs w:val="24"/>
          <w:u w:val="single"/>
        </w:rPr>
        <w:t>uarantees</w:t>
      </w:r>
    </w:p>
    <w:p w14:paraId="350F62FB" w14:textId="24350FDE" w:rsidR="00CE40A1" w:rsidRDefault="00CE40A1" w:rsidP="00CE40A1">
      <w:pPr>
        <w:spacing w:before="0" w:after="240"/>
        <w:rPr>
          <w:szCs w:val="24"/>
        </w:rPr>
      </w:pPr>
      <w:r>
        <w:rPr>
          <w:szCs w:val="24"/>
        </w:rPr>
        <w:t xml:space="preserve">Section </w:t>
      </w:r>
      <w:r w:rsidR="00141174">
        <w:rPr>
          <w:szCs w:val="24"/>
        </w:rPr>
        <w:t>10</w:t>
      </w:r>
      <w:r>
        <w:rPr>
          <w:szCs w:val="24"/>
        </w:rPr>
        <w:t xml:space="preserve"> sets out limits on </w:t>
      </w:r>
      <w:r w:rsidR="00830423">
        <w:rPr>
          <w:szCs w:val="24"/>
        </w:rPr>
        <w:t xml:space="preserve">the use of </w:t>
      </w:r>
      <w:r>
        <w:rPr>
          <w:szCs w:val="24"/>
        </w:rPr>
        <w:t>guarantee</w:t>
      </w:r>
      <w:r w:rsidR="00BA10F6">
        <w:rPr>
          <w:szCs w:val="24"/>
        </w:rPr>
        <w:t>s</w:t>
      </w:r>
      <w:r>
        <w:rPr>
          <w:szCs w:val="24"/>
        </w:rPr>
        <w:t xml:space="preserve">. </w:t>
      </w:r>
    </w:p>
    <w:p w14:paraId="0C693289" w14:textId="5E48945A" w:rsidR="00426150" w:rsidRPr="004F373E" w:rsidRDefault="00426150" w:rsidP="00426150">
      <w:pPr>
        <w:spacing w:before="0" w:after="240"/>
        <w:rPr>
          <w:szCs w:val="24"/>
        </w:rPr>
      </w:pPr>
      <w:r w:rsidRPr="004F373E">
        <w:rPr>
          <w:szCs w:val="24"/>
        </w:rPr>
        <w:t xml:space="preserve">Guarantees are arrangements to reimburse the holder for a loss it incurs because a specified debtor </w:t>
      </w:r>
      <w:r>
        <w:rPr>
          <w:szCs w:val="24"/>
        </w:rPr>
        <w:t xml:space="preserve">fails to make payment when due. </w:t>
      </w:r>
      <w:r w:rsidRPr="004F373E">
        <w:rPr>
          <w:szCs w:val="24"/>
        </w:rPr>
        <w:t>Under the Australian Government reporting framework, guarantees are to be accounted for in accordance with the A</w:t>
      </w:r>
      <w:r>
        <w:rPr>
          <w:szCs w:val="24"/>
        </w:rPr>
        <w:t>ustralian Accounting Standards</w:t>
      </w:r>
      <w:r w:rsidR="00215751">
        <w:rPr>
          <w:rStyle w:val="FootnoteReference"/>
          <w:szCs w:val="24"/>
        </w:rPr>
        <w:footnoteReference w:id="9"/>
      </w:r>
      <w:r>
        <w:rPr>
          <w:szCs w:val="24"/>
        </w:rPr>
        <w:t>.</w:t>
      </w:r>
    </w:p>
    <w:p w14:paraId="3AC47A87" w14:textId="0820364A" w:rsidR="00426150" w:rsidRDefault="00426150" w:rsidP="00426150">
      <w:pPr>
        <w:spacing w:before="0" w:after="240"/>
        <w:rPr>
          <w:szCs w:val="24"/>
        </w:rPr>
      </w:pPr>
      <w:r w:rsidRPr="004F373E">
        <w:rPr>
          <w:szCs w:val="24"/>
        </w:rPr>
        <w:t xml:space="preserve">Guarantees pose a particular risk to the Commonwealth’s balance sheet and can have unexpected consequences when called. As such, the </w:t>
      </w:r>
      <w:r w:rsidR="00F31FC2">
        <w:rPr>
          <w:szCs w:val="24"/>
        </w:rPr>
        <w:t xml:space="preserve">Board </w:t>
      </w:r>
      <w:r>
        <w:rPr>
          <w:szCs w:val="24"/>
        </w:rPr>
        <w:t>should avoid their use wherever possible</w:t>
      </w:r>
      <w:r w:rsidR="00B63AFD">
        <w:rPr>
          <w:szCs w:val="24"/>
        </w:rPr>
        <w:t>, except in relation to Rewiring the Nation</w:t>
      </w:r>
      <w:r w:rsidR="008B0481">
        <w:rPr>
          <w:szCs w:val="24"/>
        </w:rPr>
        <w:t>.</w:t>
      </w:r>
    </w:p>
    <w:p w14:paraId="0776CFC2" w14:textId="7C8F7474" w:rsidR="003F17D5" w:rsidRPr="002E478A" w:rsidRDefault="009D58DD" w:rsidP="00426150">
      <w:pPr>
        <w:spacing w:before="0" w:after="240"/>
        <w:rPr>
          <w:szCs w:val="24"/>
        </w:rPr>
      </w:pPr>
      <w:r>
        <w:rPr>
          <w:szCs w:val="24"/>
        </w:rPr>
        <w:t>There are no limits on guarantees for projects under the Rewiring the Nation Fund</w:t>
      </w:r>
      <w:r w:rsidR="006B16FC">
        <w:rPr>
          <w:szCs w:val="24"/>
        </w:rPr>
        <w:t xml:space="preserve"> (other than a requirement </w:t>
      </w:r>
      <w:r w:rsidR="00CD5211">
        <w:rPr>
          <w:szCs w:val="24"/>
        </w:rPr>
        <w:t xml:space="preserve">under </w:t>
      </w:r>
      <w:r w:rsidR="00B44136">
        <w:rPr>
          <w:szCs w:val="24"/>
        </w:rPr>
        <w:t xml:space="preserve">paragraph </w:t>
      </w:r>
      <w:r w:rsidR="00CD5211">
        <w:rPr>
          <w:szCs w:val="24"/>
        </w:rPr>
        <w:t xml:space="preserve">10(b) </w:t>
      </w:r>
      <w:r w:rsidR="006B16FC">
        <w:rPr>
          <w:szCs w:val="24"/>
        </w:rPr>
        <w:t xml:space="preserve">to ensure each such guarantee is </w:t>
      </w:r>
      <w:r w:rsidR="006B16FC" w:rsidRPr="006B16FC">
        <w:rPr>
          <w:szCs w:val="24"/>
        </w:rPr>
        <w:t>limited and quantifiable</w:t>
      </w:r>
      <w:r w:rsidR="00E23FB0">
        <w:rPr>
          <w:szCs w:val="24"/>
        </w:rPr>
        <w:t xml:space="preserve"> and as specified in </w:t>
      </w:r>
      <w:r w:rsidR="00270378">
        <w:rPr>
          <w:szCs w:val="24"/>
        </w:rPr>
        <w:t xml:space="preserve">section 69 of </w:t>
      </w:r>
      <w:r w:rsidR="00E23FB0">
        <w:rPr>
          <w:szCs w:val="24"/>
        </w:rPr>
        <w:t>the Act</w:t>
      </w:r>
      <w:r w:rsidR="006B16FC">
        <w:rPr>
          <w:szCs w:val="24"/>
        </w:rPr>
        <w:t>)</w:t>
      </w:r>
      <w:r w:rsidR="004E2166">
        <w:rPr>
          <w:szCs w:val="24"/>
        </w:rPr>
        <w:t xml:space="preserve">. </w:t>
      </w:r>
    </w:p>
    <w:p w14:paraId="1E9D4ED5" w14:textId="5253F8E6" w:rsidR="00426150" w:rsidRPr="004F373E" w:rsidRDefault="00426150" w:rsidP="00426150">
      <w:pPr>
        <w:spacing w:before="0" w:after="240"/>
        <w:rPr>
          <w:szCs w:val="24"/>
        </w:rPr>
      </w:pPr>
      <w:r w:rsidRPr="002E478A">
        <w:rPr>
          <w:szCs w:val="24"/>
        </w:rPr>
        <w:t xml:space="preserve">Where guarantees are to be used, the </w:t>
      </w:r>
      <w:r w:rsidR="00081F9C" w:rsidRPr="002E478A">
        <w:rPr>
          <w:szCs w:val="24"/>
        </w:rPr>
        <w:t>202</w:t>
      </w:r>
      <w:r w:rsidR="002E478A" w:rsidRPr="002E478A">
        <w:rPr>
          <w:szCs w:val="24"/>
        </w:rPr>
        <w:t>3</w:t>
      </w:r>
      <w:r w:rsidR="00081F9C" w:rsidRPr="002E478A">
        <w:rPr>
          <w:szCs w:val="24"/>
        </w:rPr>
        <w:t xml:space="preserve"> Mandate</w:t>
      </w:r>
      <w:r w:rsidRPr="002E478A">
        <w:rPr>
          <w:szCs w:val="24"/>
        </w:rPr>
        <w:t xml:space="preserve"> requires them to be limited in nature and quantifiable. </w:t>
      </w:r>
      <w:r w:rsidR="00E42666" w:rsidRPr="002E478A">
        <w:rPr>
          <w:szCs w:val="24"/>
        </w:rPr>
        <w:t xml:space="preserve">Section 69 of the Act requires that </w:t>
      </w:r>
      <w:r w:rsidRPr="002E478A">
        <w:rPr>
          <w:szCs w:val="24"/>
        </w:rPr>
        <w:t>the value of the Corporation’s outstanding guarantees</w:t>
      </w:r>
      <w:r w:rsidR="00E42666" w:rsidRPr="002E478A">
        <w:rPr>
          <w:szCs w:val="24"/>
        </w:rPr>
        <w:t xml:space="preserve"> must not</w:t>
      </w:r>
      <w:r w:rsidRPr="002E478A">
        <w:rPr>
          <w:szCs w:val="24"/>
        </w:rPr>
        <w:t xml:space="preserve"> exceed the uncommitted balance of the Corporation’s special account</w:t>
      </w:r>
      <w:r w:rsidRPr="002E478A">
        <w:rPr>
          <w:rStyle w:val="FootnoteReference"/>
          <w:szCs w:val="24"/>
        </w:rPr>
        <w:footnoteReference w:id="10"/>
      </w:r>
      <w:r w:rsidR="00306777" w:rsidRPr="002E478A">
        <w:rPr>
          <w:szCs w:val="24"/>
        </w:rPr>
        <w:t xml:space="preserve"> (</w:t>
      </w:r>
      <w:r w:rsidR="005F43FC" w:rsidRPr="002E478A">
        <w:rPr>
          <w:szCs w:val="24"/>
        </w:rPr>
        <w:t>the A</w:t>
      </w:r>
      <w:r w:rsidR="00306777" w:rsidRPr="002E478A">
        <w:rPr>
          <w:szCs w:val="24"/>
        </w:rPr>
        <w:t>ccount)</w:t>
      </w:r>
      <w:r w:rsidR="00E42666" w:rsidRPr="002E478A">
        <w:rPr>
          <w:szCs w:val="24"/>
        </w:rPr>
        <w:t>.</w:t>
      </w:r>
      <w:r w:rsidRPr="002E478A">
        <w:rPr>
          <w:szCs w:val="24"/>
        </w:rPr>
        <w:t xml:space="preserve"> </w:t>
      </w:r>
      <w:r w:rsidR="00E42666" w:rsidRPr="002E478A">
        <w:rPr>
          <w:szCs w:val="24"/>
        </w:rPr>
        <w:t>The 202</w:t>
      </w:r>
      <w:r w:rsidR="002E478A" w:rsidRPr="002E478A">
        <w:rPr>
          <w:szCs w:val="24"/>
        </w:rPr>
        <w:t>3</w:t>
      </w:r>
      <w:r w:rsidR="00E42666" w:rsidRPr="002E478A">
        <w:rPr>
          <w:szCs w:val="24"/>
        </w:rPr>
        <w:t xml:space="preserve"> Mandate additionally ensures that the </w:t>
      </w:r>
      <w:r w:rsidRPr="002E478A">
        <w:rPr>
          <w:szCs w:val="24"/>
        </w:rPr>
        <w:t>value</w:t>
      </w:r>
      <w:r w:rsidR="00E42666" w:rsidRPr="002E478A">
        <w:rPr>
          <w:szCs w:val="24"/>
        </w:rPr>
        <w:t xml:space="preserve"> of guarantees </w:t>
      </w:r>
      <w:r w:rsidR="001C2803" w:rsidRPr="001C2803">
        <w:rPr>
          <w:szCs w:val="24"/>
        </w:rPr>
        <w:t>(other than guarantees in relation to the Rewiring the Nation Fund)</w:t>
      </w:r>
      <w:r w:rsidR="001C2803">
        <w:rPr>
          <w:szCs w:val="24"/>
        </w:rPr>
        <w:t xml:space="preserve"> at any time </w:t>
      </w:r>
      <w:r w:rsidR="00E42666" w:rsidRPr="002E478A">
        <w:rPr>
          <w:szCs w:val="24"/>
        </w:rPr>
        <w:t>does not</w:t>
      </w:r>
      <w:r w:rsidRPr="002E478A">
        <w:rPr>
          <w:szCs w:val="24"/>
        </w:rPr>
        <w:t xml:space="preserve"> exceed 5 per cent of the total</w:t>
      </w:r>
      <w:r>
        <w:rPr>
          <w:szCs w:val="24"/>
        </w:rPr>
        <w:t xml:space="preserve"> amount credited to the </w:t>
      </w:r>
      <w:r w:rsidR="00D15B83">
        <w:rPr>
          <w:szCs w:val="24"/>
        </w:rPr>
        <w:t xml:space="preserve">Account </w:t>
      </w:r>
      <w:r>
        <w:rPr>
          <w:szCs w:val="24"/>
        </w:rPr>
        <w:t>under section 46 of the Act</w:t>
      </w:r>
      <w:r w:rsidR="00270D51">
        <w:rPr>
          <w:szCs w:val="24"/>
        </w:rPr>
        <w:t xml:space="preserve"> for purposes other than the Rewiring the Nation Fund</w:t>
      </w:r>
      <w:r>
        <w:rPr>
          <w:szCs w:val="24"/>
        </w:rPr>
        <w:t xml:space="preserve">. </w:t>
      </w:r>
    </w:p>
    <w:p w14:paraId="13E6074A" w14:textId="59DF2F91" w:rsidR="00426150" w:rsidRPr="00FC52C4" w:rsidRDefault="00426150" w:rsidP="00E018BA">
      <w:pPr>
        <w:keepNext/>
        <w:spacing w:before="0" w:after="240"/>
        <w:ind w:right="91"/>
        <w:rPr>
          <w:szCs w:val="24"/>
          <w:u w:val="single"/>
        </w:rPr>
      </w:pPr>
      <w:r>
        <w:rPr>
          <w:szCs w:val="24"/>
          <w:u w:val="single"/>
        </w:rPr>
        <w:t xml:space="preserve">Section </w:t>
      </w:r>
      <w:r w:rsidR="00061351">
        <w:rPr>
          <w:szCs w:val="24"/>
          <w:u w:val="single"/>
        </w:rPr>
        <w:t>1</w:t>
      </w:r>
      <w:r w:rsidR="008B6D59">
        <w:rPr>
          <w:szCs w:val="24"/>
          <w:u w:val="single"/>
        </w:rPr>
        <w:t>1</w:t>
      </w:r>
      <w:r w:rsidR="00061351" w:rsidRPr="00D33F05">
        <w:rPr>
          <w:szCs w:val="24"/>
          <w:u w:val="single"/>
        </w:rPr>
        <w:t xml:space="preserve"> </w:t>
      </w:r>
      <w:r w:rsidRPr="00D33F05">
        <w:rPr>
          <w:szCs w:val="24"/>
          <w:u w:val="single"/>
        </w:rPr>
        <w:t xml:space="preserve">– </w:t>
      </w:r>
      <w:r w:rsidR="001867E2">
        <w:rPr>
          <w:szCs w:val="24"/>
          <w:u w:val="single"/>
        </w:rPr>
        <w:t xml:space="preserve">Application of </w:t>
      </w:r>
      <w:r w:rsidR="00D4111C">
        <w:rPr>
          <w:szCs w:val="24"/>
          <w:u w:val="single"/>
        </w:rPr>
        <w:t>p</w:t>
      </w:r>
      <w:r w:rsidR="001867E2">
        <w:rPr>
          <w:szCs w:val="24"/>
          <w:u w:val="single"/>
        </w:rPr>
        <w:t xml:space="preserve">olicies to </w:t>
      </w:r>
      <w:r w:rsidR="00D4111C">
        <w:rPr>
          <w:szCs w:val="24"/>
          <w:u w:val="single"/>
        </w:rPr>
        <w:t>s</w:t>
      </w:r>
      <w:r w:rsidR="001867E2">
        <w:rPr>
          <w:szCs w:val="24"/>
          <w:u w:val="single"/>
        </w:rPr>
        <w:t xml:space="preserve">upport Australian </w:t>
      </w:r>
      <w:r w:rsidR="00D4111C">
        <w:rPr>
          <w:szCs w:val="24"/>
          <w:u w:val="single"/>
        </w:rPr>
        <w:t>i</w:t>
      </w:r>
      <w:r w:rsidR="001867E2">
        <w:rPr>
          <w:szCs w:val="24"/>
          <w:u w:val="single"/>
        </w:rPr>
        <w:t xml:space="preserve">ndustry </w:t>
      </w:r>
    </w:p>
    <w:p w14:paraId="361E8152" w14:textId="77777777" w:rsidR="00270D51" w:rsidRDefault="00D92CB3" w:rsidP="00E018BA">
      <w:pPr>
        <w:keepNext/>
        <w:spacing w:before="0" w:after="240"/>
        <w:rPr>
          <w:szCs w:val="24"/>
        </w:rPr>
      </w:pPr>
      <w:r>
        <w:rPr>
          <w:szCs w:val="24"/>
        </w:rPr>
        <w:t xml:space="preserve">Section 11 provides that </w:t>
      </w:r>
      <w:r w:rsidR="00D95AF0">
        <w:rPr>
          <w:szCs w:val="24"/>
        </w:rPr>
        <w:t xml:space="preserve">the Corporation must accord with the Government’s Australian Industry Participation (AIP) Plan Policy. </w:t>
      </w:r>
    </w:p>
    <w:p w14:paraId="7AB2676A" w14:textId="3DFEDB34" w:rsidR="00426150" w:rsidRPr="004F373E" w:rsidRDefault="00426150" w:rsidP="00426150">
      <w:pPr>
        <w:spacing w:before="0" w:after="240"/>
        <w:rPr>
          <w:szCs w:val="24"/>
        </w:rPr>
      </w:pPr>
      <w:r w:rsidRPr="004F373E">
        <w:rPr>
          <w:szCs w:val="24"/>
        </w:rPr>
        <w:t>The Corporation provide</w:t>
      </w:r>
      <w:r w:rsidR="009D5E8D">
        <w:rPr>
          <w:szCs w:val="24"/>
        </w:rPr>
        <w:t>s</w:t>
      </w:r>
      <w:r w:rsidRPr="004F373E">
        <w:rPr>
          <w:szCs w:val="24"/>
        </w:rPr>
        <w:t xml:space="preserve"> significant support to projects in Australia. The application of </w:t>
      </w:r>
      <w:r w:rsidR="00D95AF0">
        <w:rPr>
          <w:szCs w:val="24"/>
        </w:rPr>
        <w:t>AIP</w:t>
      </w:r>
      <w:r w:rsidRPr="004F373E">
        <w:rPr>
          <w:szCs w:val="24"/>
        </w:rPr>
        <w:t xml:space="preserve"> Plans to investments made by the Corporation </w:t>
      </w:r>
      <w:r w:rsidR="00D95AF0">
        <w:rPr>
          <w:szCs w:val="24"/>
        </w:rPr>
        <w:t>recogni</w:t>
      </w:r>
      <w:r w:rsidR="00AC24B7">
        <w:rPr>
          <w:szCs w:val="24"/>
        </w:rPr>
        <w:t>s</w:t>
      </w:r>
      <w:r w:rsidR="00D95AF0">
        <w:rPr>
          <w:szCs w:val="24"/>
        </w:rPr>
        <w:t xml:space="preserve">es the importance of developing Australia’s sovereign capacity to deploy clean energy technologies and supports resilient clean energy supply chains. The policy </w:t>
      </w:r>
      <w:r w:rsidRPr="004F373E">
        <w:rPr>
          <w:szCs w:val="24"/>
        </w:rPr>
        <w:t>is aimed at increasing opportunities for capable and competitive Australian small</w:t>
      </w:r>
      <w:r>
        <w:rPr>
          <w:szCs w:val="24"/>
        </w:rPr>
        <w:t xml:space="preserve"> and medium</w:t>
      </w:r>
      <w:r w:rsidR="00CE40A1">
        <w:rPr>
          <w:szCs w:val="24"/>
        </w:rPr>
        <w:t xml:space="preserve"> </w:t>
      </w:r>
      <w:r w:rsidRPr="004F373E">
        <w:rPr>
          <w:szCs w:val="24"/>
        </w:rPr>
        <w:t>sized enterprises to</w:t>
      </w:r>
      <w:r>
        <w:rPr>
          <w:szCs w:val="24"/>
        </w:rPr>
        <w:t xml:space="preserve"> participate in major projects.</w:t>
      </w:r>
    </w:p>
    <w:p w14:paraId="29363CEE" w14:textId="7852AFC8" w:rsidR="00426150" w:rsidRDefault="00426150" w:rsidP="00426150">
      <w:pPr>
        <w:spacing w:before="0" w:after="240"/>
        <w:rPr>
          <w:szCs w:val="24"/>
        </w:rPr>
      </w:pPr>
      <w:r w:rsidRPr="004F373E">
        <w:rPr>
          <w:szCs w:val="24"/>
        </w:rPr>
        <w:t xml:space="preserve">An AIP Plan details how a project proponent will provide full, </w:t>
      </w:r>
      <w:proofErr w:type="gramStart"/>
      <w:r w:rsidRPr="004F373E">
        <w:rPr>
          <w:szCs w:val="24"/>
        </w:rPr>
        <w:t>fair</w:t>
      </w:r>
      <w:proofErr w:type="gramEnd"/>
      <w:r w:rsidRPr="004F373E">
        <w:rPr>
          <w:szCs w:val="24"/>
        </w:rPr>
        <w:t xml:space="preserve"> and reasonable opportunity to Australian industry to participate in a project. This applies to any subcontracting or purchasing opportunities that may be available. AIP Plans do not mandate the use of Australian industry, but rather aim to provide Australian industry with the opportunity to demonstrate t</w:t>
      </w:r>
      <w:r>
        <w:rPr>
          <w:szCs w:val="24"/>
        </w:rPr>
        <w:t>heir capabilities and capacity.</w:t>
      </w:r>
    </w:p>
    <w:p w14:paraId="20CC2DD6" w14:textId="56CF6536" w:rsidR="00E36B9C" w:rsidRDefault="00426150" w:rsidP="00426150">
      <w:pPr>
        <w:spacing w:before="0" w:after="240"/>
        <w:rPr>
          <w:rStyle w:val="Hyperlink"/>
          <w:szCs w:val="24"/>
        </w:rPr>
      </w:pPr>
      <w:r>
        <w:rPr>
          <w:szCs w:val="24"/>
        </w:rPr>
        <w:t xml:space="preserve">Further details on AIP Plans are available at </w:t>
      </w:r>
      <w:hyperlink r:id="rId12" w:history="1">
        <w:r w:rsidR="00E36B9C" w:rsidRPr="002A6A7E">
          <w:rPr>
            <w:rStyle w:val="Hyperlink"/>
            <w:szCs w:val="24"/>
          </w:rPr>
          <w:t>https://www.industry.gov.au/regulation-and-standards/australian-industry-participation</w:t>
        </w:r>
      </w:hyperlink>
      <w:r w:rsidR="008B0481">
        <w:rPr>
          <w:rStyle w:val="Hyperlink"/>
          <w:szCs w:val="24"/>
        </w:rPr>
        <w:t>.</w:t>
      </w:r>
    </w:p>
    <w:p w14:paraId="1A722C96" w14:textId="728FB561" w:rsidR="001867E2" w:rsidRPr="009F13B5" w:rsidRDefault="0075378A" w:rsidP="00426150">
      <w:pPr>
        <w:spacing w:before="0" w:after="240"/>
        <w:rPr>
          <w:rStyle w:val="Hyperlink"/>
          <w:color w:val="auto"/>
          <w:szCs w:val="24"/>
          <w:u w:val="none"/>
        </w:rPr>
      </w:pPr>
      <w:r w:rsidRPr="009F13B5">
        <w:rPr>
          <w:rStyle w:val="Hyperlink"/>
          <w:color w:val="auto"/>
          <w:szCs w:val="24"/>
          <w:u w:val="none"/>
        </w:rPr>
        <w:t>The</w:t>
      </w:r>
      <w:r w:rsidR="008B640B" w:rsidRPr="00B336BE">
        <w:t xml:space="preserve"> </w:t>
      </w:r>
      <w:r w:rsidR="008B640B" w:rsidRPr="009F13B5">
        <w:rPr>
          <w:rStyle w:val="Hyperlink"/>
          <w:color w:val="auto"/>
          <w:u w:val="none"/>
        </w:rPr>
        <w:t xml:space="preserve">government expects the </w:t>
      </w:r>
      <w:r w:rsidR="001867E2" w:rsidRPr="009F13B5">
        <w:rPr>
          <w:rStyle w:val="Hyperlink"/>
          <w:color w:val="auto"/>
          <w:u w:val="none"/>
        </w:rPr>
        <w:t>C</w:t>
      </w:r>
      <w:r w:rsidR="008B640B" w:rsidRPr="009F13B5">
        <w:rPr>
          <w:rStyle w:val="Hyperlink"/>
          <w:color w:val="auto"/>
          <w:u w:val="none"/>
        </w:rPr>
        <w:t>orporation to</w:t>
      </w:r>
      <w:r w:rsidR="00DA17CD" w:rsidRPr="009F13B5">
        <w:rPr>
          <w:rStyle w:val="Hyperlink"/>
          <w:color w:val="auto"/>
          <w:u w:val="none"/>
        </w:rPr>
        <w:t xml:space="preserve"> consult</w:t>
      </w:r>
      <w:r w:rsidR="00A478B6" w:rsidRPr="009F13B5">
        <w:rPr>
          <w:rStyle w:val="Hyperlink"/>
          <w:color w:val="auto"/>
          <w:u w:val="none"/>
        </w:rPr>
        <w:t xml:space="preserve"> </w:t>
      </w:r>
      <w:r w:rsidR="008B640B" w:rsidRPr="009F13B5">
        <w:rPr>
          <w:rStyle w:val="Hyperlink"/>
          <w:color w:val="auto"/>
          <w:u w:val="none"/>
        </w:rPr>
        <w:t xml:space="preserve">with </w:t>
      </w:r>
      <w:r w:rsidR="001867E2" w:rsidRPr="009F13B5">
        <w:rPr>
          <w:rStyle w:val="Hyperlink"/>
          <w:color w:val="auto"/>
          <w:u w:val="none"/>
        </w:rPr>
        <w:t xml:space="preserve">the </w:t>
      </w:r>
      <w:r w:rsidR="008B640B" w:rsidRPr="009F13B5">
        <w:rPr>
          <w:rStyle w:val="Hyperlink"/>
          <w:color w:val="auto"/>
          <w:u w:val="none"/>
        </w:rPr>
        <w:t xml:space="preserve">Department of Finance </w:t>
      </w:r>
      <w:r w:rsidR="001867E2" w:rsidRPr="009F13B5">
        <w:rPr>
          <w:rStyle w:val="Hyperlink"/>
          <w:color w:val="auto"/>
          <w:u w:val="none"/>
        </w:rPr>
        <w:t xml:space="preserve">in relation to </w:t>
      </w:r>
      <w:r w:rsidR="00121A8D">
        <w:rPr>
          <w:rStyle w:val="Hyperlink"/>
          <w:color w:val="auto"/>
          <w:u w:val="none"/>
        </w:rPr>
        <w:t xml:space="preserve">the </w:t>
      </w:r>
      <w:r w:rsidR="00DF258A">
        <w:rPr>
          <w:rStyle w:val="Hyperlink"/>
          <w:color w:val="auto"/>
          <w:u w:val="none"/>
        </w:rPr>
        <w:t xml:space="preserve">application of </w:t>
      </w:r>
      <w:r w:rsidR="001867E2" w:rsidRPr="009F13B5">
        <w:rPr>
          <w:rStyle w:val="Hyperlink"/>
          <w:color w:val="auto"/>
          <w:u w:val="none"/>
        </w:rPr>
        <w:t>the</w:t>
      </w:r>
      <w:r w:rsidR="008B640B" w:rsidRPr="009F13B5">
        <w:rPr>
          <w:rStyle w:val="Hyperlink"/>
          <w:color w:val="auto"/>
          <w:u w:val="none"/>
        </w:rPr>
        <w:t xml:space="preserve"> Buy Australia</w:t>
      </w:r>
      <w:r w:rsidR="009D58DD" w:rsidRPr="009F13B5">
        <w:rPr>
          <w:rStyle w:val="Hyperlink"/>
          <w:color w:val="auto"/>
          <w:u w:val="none"/>
        </w:rPr>
        <w:t>n</w:t>
      </w:r>
      <w:r w:rsidR="008B640B" w:rsidRPr="009F13B5">
        <w:rPr>
          <w:rStyle w:val="Hyperlink"/>
          <w:color w:val="auto"/>
          <w:u w:val="none"/>
        </w:rPr>
        <w:t xml:space="preserve"> Plan</w:t>
      </w:r>
      <w:r w:rsidR="004234A8" w:rsidRPr="009F13B5">
        <w:rPr>
          <w:rStyle w:val="Hyperlink"/>
          <w:color w:val="auto"/>
          <w:szCs w:val="24"/>
          <w:u w:val="none"/>
        </w:rPr>
        <w:t>.</w:t>
      </w:r>
      <w:r w:rsidRPr="009F13B5">
        <w:rPr>
          <w:rStyle w:val="Hyperlink"/>
          <w:color w:val="auto"/>
          <w:szCs w:val="24"/>
          <w:u w:val="none"/>
        </w:rPr>
        <w:t xml:space="preserve"> </w:t>
      </w:r>
      <w:r w:rsidR="00DA17CD" w:rsidRPr="009F13B5">
        <w:rPr>
          <w:rStyle w:val="Hyperlink"/>
          <w:color w:val="auto"/>
          <w:szCs w:val="24"/>
          <w:u w:val="none"/>
        </w:rPr>
        <w:t xml:space="preserve">It is expected that the </w:t>
      </w:r>
      <w:r w:rsidR="00DA17CD" w:rsidRPr="009F13B5">
        <w:rPr>
          <w:rStyle w:val="Hyperlink"/>
          <w:color w:val="auto"/>
          <w:szCs w:val="24"/>
          <w:u w:val="none"/>
        </w:rPr>
        <w:lastRenderedPageBreak/>
        <w:t xml:space="preserve">Corporation will consult on relevant investment policies or strategies, rather than specific decisions or issues in relation to </w:t>
      </w:r>
      <w:proofErr w:type="gramStart"/>
      <w:r w:rsidR="00DA17CD" w:rsidRPr="009F13B5">
        <w:rPr>
          <w:rStyle w:val="Hyperlink"/>
          <w:color w:val="auto"/>
          <w:szCs w:val="24"/>
          <w:u w:val="none"/>
        </w:rPr>
        <w:t>particular investments</w:t>
      </w:r>
      <w:proofErr w:type="gramEnd"/>
      <w:r w:rsidR="00DA17CD" w:rsidRPr="009F13B5">
        <w:rPr>
          <w:rStyle w:val="Hyperlink"/>
          <w:color w:val="auto"/>
          <w:szCs w:val="24"/>
          <w:u w:val="none"/>
        </w:rPr>
        <w:t>.</w:t>
      </w:r>
    </w:p>
    <w:p w14:paraId="2F5B7285" w14:textId="77777777" w:rsidR="00201DC6" w:rsidRDefault="00DA17CD" w:rsidP="00426150">
      <w:pPr>
        <w:spacing w:before="0" w:after="240"/>
      </w:pPr>
      <w:r w:rsidRPr="009F13B5">
        <w:rPr>
          <w:rStyle w:val="Hyperlink"/>
          <w:color w:val="auto"/>
          <w:szCs w:val="24"/>
          <w:u w:val="none"/>
        </w:rPr>
        <w:t>The Buy Australia</w:t>
      </w:r>
      <w:r w:rsidR="009D58DD" w:rsidRPr="009F13B5">
        <w:rPr>
          <w:rStyle w:val="Hyperlink"/>
          <w:color w:val="auto"/>
          <w:szCs w:val="24"/>
          <w:u w:val="none"/>
        </w:rPr>
        <w:t>n</w:t>
      </w:r>
      <w:r w:rsidRPr="009F13B5">
        <w:rPr>
          <w:rStyle w:val="Hyperlink"/>
          <w:color w:val="auto"/>
          <w:szCs w:val="24"/>
          <w:u w:val="none"/>
        </w:rPr>
        <w:t xml:space="preserve"> Plan aims to improve the way government contract</w:t>
      </w:r>
      <w:r w:rsidR="00A87F8C" w:rsidRPr="009F13B5">
        <w:rPr>
          <w:rStyle w:val="Hyperlink"/>
          <w:color w:val="auto"/>
          <w:szCs w:val="24"/>
          <w:u w:val="none"/>
        </w:rPr>
        <w:t>s</w:t>
      </w:r>
      <w:r w:rsidRPr="009F13B5">
        <w:rPr>
          <w:rStyle w:val="Hyperlink"/>
          <w:color w:val="auto"/>
          <w:szCs w:val="24"/>
          <w:u w:val="none"/>
        </w:rPr>
        <w:t xml:space="preserve"> works and build domestic industry capability. </w:t>
      </w:r>
      <w:r w:rsidR="001867E2" w:rsidRPr="009F13B5">
        <w:rPr>
          <w:rStyle w:val="Hyperlink"/>
          <w:color w:val="auto"/>
          <w:szCs w:val="24"/>
          <w:u w:val="none"/>
        </w:rPr>
        <w:t>Further details on the Buy Australia</w:t>
      </w:r>
      <w:r w:rsidR="008453C7">
        <w:rPr>
          <w:rStyle w:val="Hyperlink"/>
          <w:color w:val="auto"/>
          <w:szCs w:val="24"/>
          <w:u w:val="none"/>
        </w:rPr>
        <w:t>n</w:t>
      </w:r>
      <w:r w:rsidR="001867E2" w:rsidRPr="009F13B5">
        <w:rPr>
          <w:rStyle w:val="Hyperlink"/>
          <w:color w:val="auto"/>
          <w:szCs w:val="24"/>
          <w:u w:val="none"/>
        </w:rPr>
        <w:t xml:space="preserve"> Plan are available at</w:t>
      </w:r>
      <w:r w:rsidRPr="009F13B5">
        <w:rPr>
          <w:rStyle w:val="Hyperlink"/>
          <w:color w:val="auto"/>
          <w:szCs w:val="24"/>
          <w:u w:val="none"/>
        </w:rPr>
        <w:t xml:space="preserve"> </w:t>
      </w:r>
      <w:hyperlink r:id="rId13" w:history="1">
        <w:r w:rsidR="003E73C8" w:rsidRPr="00921250">
          <w:rPr>
            <w:rStyle w:val="Hyperlink"/>
            <w:szCs w:val="24"/>
          </w:rPr>
          <w:t>https://www.finance.gov.au/business/buyaustralianplan</w:t>
        </w:r>
      </w:hyperlink>
      <w:r w:rsidR="008B0481">
        <w:rPr>
          <w:rStyle w:val="Hyperlink"/>
          <w:szCs w:val="24"/>
        </w:rPr>
        <w:t>.</w:t>
      </w:r>
      <w:r w:rsidR="00201DC6">
        <w:t xml:space="preserve"> </w:t>
      </w:r>
    </w:p>
    <w:p w14:paraId="0CB8DD03" w14:textId="1639807A" w:rsidR="00201DC6" w:rsidRPr="00201DC6" w:rsidRDefault="00201DC6" w:rsidP="00426150">
      <w:pPr>
        <w:spacing w:before="0" w:after="240"/>
        <w:rPr>
          <w:rStyle w:val="Hyperlink"/>
          <w:szCs w:val="24"/>
        </w:rPr>
      </w:pPr>
      <w:r>
        <w:t>In addition to these specific considerations, the Corporation is also directed to encourage the increased use of local content in the deployment of clean energy technologies. This is intended to maximise the jobs opportunities from clean energy investment and support social licence for the net zero economic transformation.</w:t>
      </w:r>
    </w:p>
    <w:p w14:paraId="16CF779F" w14:textId="69805CF1" w:rsidR="00456B7E" w:rsidRPr="00FC52C4" w:rsidRDefault="00426150" w:rsidP="00426150">
      <w:pPr>
        <w:spacing w:before="0" w:after="240"/>
        <w:ind w:right="91"/>
        <w:rPr>
          <w:szCs w:val="24"/>
          <w:u w:val="single"/>
        </w:rPr>
      </w:pPr>
      <w:r>
        <w:rPr>
          <w:szCs w:val="24"/>
          <w:u w:val="single"/>
        </w:rPr>
        <w:t xml:space="preserve">Section </w:t>
      </w:r>
      <w:r w:rsidR="00061351">
        <w:rPr>
          <w:szCs w:val="24"/>
          <w:u w:val="single"/>
        </w:rPr>
        <w:t>1</w:t>
      </w:r>
      <w:r w:rsidR="008C128F">
        <w:rPr>
          <w:szCs w:val="24"/>
          <w:u w:val="single"/>
        </w:rPr>
        <w:t>2</w:t>
      </w:r>
      <w:r w:rsidR="00061351" w:rsidRPr="00D33F05">
        <w:rPr>
          <w:szCs w:val="24"/>
          <w:u w:val="single"/>
        </w:rPr>
        <w:t xml:space="preserve"> </w:t>
      </w:r>
      <w:r w:rsidRPr="00D33F05">
        <w:rPr>
          <w:szCs w:val="24"/>
          <w:u w:val="single"/>
        </w:rPr>
        <w:t xml:space="preserve">– </w:t>
      </w:r>
      <w:r w:rsidR="00456B7E" w:rsidRPr="00456B7E">
        <w:rPr>
          <w:szCs w:val="24"/>
          <w:u w:val="single"/>
        </w:rPr>
        <w:t>Medium to long term outlook for its investment strategy</w:t>
      </w:r>
    </w:p>
    <w:p w14:paraId="5C857CE3" w14:textId="340A8950" w:rsidR="00456B7E" w:rsidRDefault="008C128F" w:rsidP="00426150">
      <w:pPr>
        <w:spacing w:before="0" w:after="240"/>
        <w:rPr>
          <w:szCs w:val="24"/>
        </w:rPr>
      </w:pPr>
      <w:r>
        <w:rPr>
          <w:szCs w:val="24"/>
        </w:rPr>
        <w:t xml:space="preserve">Section 12 sets </w:t>
      </w:r>
      <w:r w:rsidR="00456B7E">
        <w:rPr>
          <w:szCs w:val="24"/>
        </w:rPr>
        <w:t xml:space="preserve">out </w:t>
      </w:r>
      <w:r w:rsidR="00456B7E" w:rsidRPr="00D97382">
        <w:rPr>
          <w:szCs w:val="24"/>
        </w:rPr>
        <w:t>the Government</w:t>
      </w:r>
      <w:r w:rsidR="00456B7E">
        <w:rPr>
          <w:szCs w:val="24"/>
        </w:rPr>
        <w:t>’s</w:t>
      </w:r>
      <w:r w:rsidR="00456B7E" w:rsidRPr="00D97382">
        <w:rPr>
          <w:szCs w:val="24"/>
        </w:rPr>
        <w:t xml:space="preserve"> expect</w:t>
      </w:r>
      <w:r w:rsidR="00456B7E">
        <w:rPr>
          <w:szCs w:val="24"/>
        </w:rPr>
        <w:t>ation that</w:t>
      </w:r>
      <w:r w:rsidR="00456B7E" w:rsidRPr="00D97382">
        <w:rPr>
          <w:szCs w:val="24"/>
        </w:rPr>
        <w:t xml:space="preserve"> the Board will take a medium</w:t>
      </w:r>
      <w:r w:rsidR="00456B7E">
        <w:rPr>
          <w:szCs w:val="24"/>
        </w:rPr>
        <w:t xml:space="preserve"> to </w:t>
      </w:r>
      <w:r w:rsidR="00456B7E" w:rsidRPr="00D97382">
        <w:rPr>
          <w:szCs w:val="24"/>
        </w:rPr>
        <w:t>long</w:t>
      </w:r>
      <w:r w:rsidR="00456B7E">
        <w:rPr>
          <w:szCs w:val="24"/>
        </w:rPr>
        <w:t xml:space="preserve"> </w:t>
      </w:r>
      <w:r w:rsidR="00456B7E" w:rsidRPr="00D97382">
        <w:rPr>
          <w:szCs w:val="24"/>
        </w:rPr>
        <w:t>term outlook when setting the</w:t>
      </w:r>
      <w:r w:rsidR="00456B7E">
        <w:rPr>
          <w:szCs w:val="24"/>
        </w:rPr>
        <w:t xml:space="preserve"> </w:t>
      </w:r>
      <w:r w:rsidR="00456B7E" w:rsidRPr="00D97382">
        <w:rPr>
          <w:szCs w:val="24"/>
        </w:rPr>
        <w:t>Corporation</w:t>
      </w:r>
      <w:r w:rsidR="00456B7E">
        <w:rPr>
          <w:szCs w:val="24"/>
        </w:rPr>
        <w:t>’s</w:t>
      </w:r>
      <w:r w:rsidR="00456B7E" w:rsidRPr="00D97382">
        <w:rPr>
          <w:szCs w:val="24"/>
        </w:rPr>
        <w:t xml:space="preserve"> investment strategy. This will help align the investment strategy with Australia’s </w:t>
      </w:r>
      <w:proofErr w:type="gramStart"/>
      <w:r w:rsidR="00456B7E" w:rsidRPr="00D97382">
        <w:rPr>
          <w:szCs w:val="24"/>
        </w:rPr>
        <w:t>medium and long</w:t>
      </w:r>
      <w:r w:rsidR="00456B7E">
        <w:rPr>
          <w:szCs w:val="24"/>
        </w:rPr>
        <w:t xml:space="preserve"> </w:t>
      </w:r>
      <w:r w:rsidR="00456B7E" w:rsidRPr="00D97382">
        <w:rPr>
          <w:szCs w:val="24"/>
        </w:rPr>
        <w:t>term</w:t>
      </w:r>
      <w:proofErr w:type="gramEnd"/>
      <w:r w:rsidR="00456B7E" w:rsidRPr="00D97382">
        <w:rPr>
          <w:szCs w:val="24"/>
        </w:rPr>
        <w:t xml:space="preserve"> climate change targets and energy market transformation plans.</w:t>
      </w:r>
      <w:r w:rsidR="00456B7E">
        <w:rPr>
          <w:szCs w:val="24"/>
        </w:rPr>
        <w:t xml:space="preserve"> </w:t>
      </w:r>
    </w:p>
    <w:p w14:paraId="5AF473B1" w14:textId="06C30DD0" w:rsidR="005F21B2" w:rsidRDefault="005F21B2" w:rsidP="00426150">
      <w:pPr>
        <w:spacing w:before="0" w:after="240"/>
        <w:ind w:right="91"/>
        <w:rPr>
          <w:szCs w:val="24"/>
          <w:u w:val="single"/>
        </w:rPr>
      </w:pPr>
      <w:r w:rsidRPr="00D97382">
        <w:rPr>
          <w:szCs w:val="24"/>
          <w:u w:val="single"/>
        </w:rPr>
        <w:t>Section 1</w:t>
      </w:r>
      <w:r w:rsidR="008C128F">
        <w:rPr>
          <w:szCs w:val="24"/>
          <w:u w:val="single"/>
        </w:rPr>
        <w:t>3</w:t>
      </w:r>
      <w:r w:rsidRPr="00D97382">
        <w:rPr>
          <w:szCs w:val="24"/>
          <w:u w:val="single"/>
        </w:rPr>
        <w:t xml:space="preserve"> – </w:t>
      </w:r>
      <w:r w:rsidR="003E30E5" w:rsidRPr="00D97382">
        <w:rPr>
          <w:szCs w:val="24"/>
          <w:u w:val="single"/>
        </w:rPr>
        <w:t>Board must not damage the Australian Government’s reputation</w:t>
      </w:r>
    </w:p>
    <w:p w14:paraId="10CF6542" w14:textId="0F2D47DE" w:rsidR="003E30E5" w:rsidRDefault="000E5404" w:rsidP="003E30E5">
      <w:pPr>
        <w:spacing w:before="0" w:after="240"/>
        <w:rPr>
          <w:szCs w:val="24"/>
          <w:u w:val="single"/>
        </w:rPr>
      </w:pPr>
      <w:r>
        <w:t>Section 13 provides that</w:t>
      </w:r>
      <w:r w:rsidR="009C2121">
        <w:t>,</w:t>
      </w:r>
      <w:r>
        <w:t xml:space="preserve"> a</w:t>
      </w:r>
      <w:r w:rsidR="003E30E5">
        <w:t>s a statutory authority operated by the Commonwealth, the Board has a responsibility to act in a way that is not likely to cause damage to the Australian Government’s reputation.</w:t>
      </w:r>
    </w:p>
    <w:p w14:paraId="1A8DDAD3" w14:textId="1C52AE61" w:rsidR="00426150" w:rsidRPr="00FC52C4" w:rsidRDefault="00426150" w:rsidP="00426150">
      <w:pPr>
        <w:spacing w:before="0" w:after="240"/>
        <w:ind w:right="91"/>
        <w:rPr>
          <w:szCs w:val="24"/>
          <w:u w:val="single"/>
        </w:rPr>
      </w:pPr>
      <w:r w:rsidRPr="00522D93">
        <w:rPr>
          <w:szCs w:val="24"/>
          <w:u w:val="single"/>
        </w:rPr>
        <w:t xml:space="preserve">Section </w:t>
      </w:r>
      <w:r w:rsidR="005F21B2" w:rsidRPr="00522D93">
        <w:rPr>
          <w:szCs w:val="24"/>
          <w:u w:val="single"/>
        </w:rPr>
        <w:t>1</w:t>
      </w:r>
      <w:r w:rsidR="008C128F">
        <w:rPr>
          <w:szCs w:val="24"/>
          <w:u w:val="single"/>
        </w:rPr>
        <w:t>4</w:t>
      </w:r>
      <w:r w:rsidR="005F21B2" w:rsidRPr="00522D93">
        <w:rPr>
          <w:szCs w:val="24"/>
          <w:u w:val="single"/>
        </w:rPr>
        <w:t xml:space="preserve"> </w:t>
      </w:r>
      <w:r w:rsidRPr="00522D93">
        <w:rPr>
          <w:szCs w:val="24"/>
          <w:u w:val="single"/>
        </w:rPr>
        <w:t>– Focus areas for the Corporation’s activities</w:t>
      </w:r>
    </w:p>
    <w:p w14:paraId="7ADF73EF" w14:textId="3FCB8A6B" w:rsidR="005D2290" w:rsidRPr="005A7BA1" w:rsidRDefault="00A52B88" w:rsidP="00EF6BF6">
      <w:pPr>
        <w:spacing w:before="0" w:after="240"/>
        <w:ind w:right="91"/>
        <w:rPr>
          <w:szCs w:val="24"/>
        </w:rPr>
      </w:pPr>
      <w:r>
        <w:rPr>
          <w:szCs w:val="24"/>
        </w:rPr>
        <w:t xml:space="preserve">Section 14 </w:t>
      </w:r>
      <w:r w:rsidR="003B1645">
        <w:rPr>
          <w:szCs w:val="24"/>
        </w:rPr>
        <w:t xml:space="preserve">strongly encourages </w:t>
      </w:r>
      <w:r w:rsidR="00FF13C8">
        <w:rPr>
          <w:szCs w:val="24"/>
        </w:rPr>
        <w:t xml:space="preserve">the </w:t>
      </w:r>
      <w:r w:rsidR="00B7577C">
        <w:rPr>
          <w:szCs w:val="24"/>
        </w:rPr>
        <w:t>Board</w:t>
      </w:r>
      <w:r w:rsidR="005D2290">
        <w:rPr>
          <w:szCs w:val="24"/>
        </w:rPr>
        <w:t xml:space="preserve"> to</w:t>
      </w:r>
      <w:r w:rsidR="00FF13C8">
        <w:rPr>
          <w:szCs w:val="24"/>
        </w:rPr>
        <w:t xml:space="preserve"> </w:t>
      </w:r>
      <w:r w:rsidR="005D2290" w:rsidRPr="00D110A4">
        <w:rPr>
          <w:szCs w:val="24"/>
        </w:rPr>
        <w:t>prioritise investments that:</w:t>
      </w:r>
    </w:p>
    <w:p w14:paraId="696F8DD6" w14:textId="2364A2F0" w:rsidR="005D2290" w:rsidRPr="00F97D74" w:rsidRDefault="007E3487" w:rsidP="39CEA6F4">
      <w:pPr>
        <w:pStyle w:val="ListParagraph"/>
        <w:numPr>
          <w:ilvl w:val="0"/>
          <w:numId w:val="52"/>
        </w:numPr>
        <w:spacing w:before="0" w:after="240"/>
        <w:ind w:left="714" w:right="91" w:hanging="357"/>
        <w:contextualSpacing w:val="0"/>
        <w:rPr>
          <w:szCs w:val="24"/>
        </w:rPr>
      </w:pPr>
      <w:r>
        <w:rPr>
          <w:szCs w:val="24"/>
        </w:rPr>
        <w:t>u</w:t>
      </w:r>
      <w:r w:rsidR="005D2290" w:rsidRPr="00F97D74">
        <w:rPr>
          <w:szCs w:val="24"/>
        </w:rPr>
        <w:t>nlock greater penetration of renewable energy and accelerate decarbonisation of Australia’s electricity grid</w:t>
      </w:r>
      <w:r w:rsidR="001F4207" w:rsidRPr="00F97D74">
        <w:rPr>
          <w:szCs w:val="24"/>
        </w:rPr>
        <w:t>,</w:t>
      </w:r>
      <w:r w:rsidR="00C15B9A" w:rsidRPr="00F97D74">
        <w:rPr>
          <w:szCs w:val="24"/>
        </w:rPr>
        <w:t xml:space="preserve"> </w:t>
      </w:r>
      <w:r w:rsidR="005D2290" w:rsidRPr="00F97D74">
        <w:rPr>
          <w:szCs w:val="24"/>
        </w:rPr>
        <w:t xml:space="preserve">to support Australia’s greenhouse gas emissions reduction targets, while </w:t>
      </w:r>
      <w:r w:rsidR="00B7577C" w:rsidRPr="00F97D74">
        <w:rPr>
          <w:szCs w:val="24"/>
        </w:rPr>
        <w:t xml:space="preserve">considering </w:t>
      </w:r>
      <w:r w:rsidR="005D2290" w:rsidRPr="00F97D74">
        <w:rPr>
          <w:szCs w:val="24"/>
        </w:rPr>
        <w:t>the reliability and</w:t>
      </w:r>
      <w:r w:rsidR="007A5E68" w:rsidRPr="00F97D74">
        <w:rPr>
          <w:szCs w:val="24"/>
        </w:rPr>
        <w:t xml:space="preserve"> security of electricity supply</w:t>
      </w:r>
      <w:r w:rsidR="002D5020">
        <w:rPr>
          <w:szCs w:val="24"/>
        </w:rPr>
        <w:t>;</w:t>
      </w:r>
    </w:p>
    <w:p w14:paraId="792A150D" w14:textId="31F2D735" w:rsidR="00A258DB" w:rsidRDefault="007E3487" w:rsidP="00C67C64">
      <w:pPr>
        <w:pStyle w:val="ListParagraph"/>
        <w:numPr>
          <w:ilvl w:val="0"/>
          <w:numId w:val="52"/>
        </w:numPr>
        <w:spacing w:before="0" w:after="240"/>
        <w:ind w:left="714" w:right="91" w:hanging="357"/>
        <w:contextualSpacing w:val="0"/>
        <w:rPr>
          <w:szCs w:val="24"/>
        </w:rPr>
      </w:pPr>
      <w:r>
        <w:rPr>
          <w:szCs w:val="24"/>
        </w:rPr>
        <w:t>s</w:t>
      </w:r>
      <w:r w:rsidR="005D2290" w:rsidRPr="00D110A4">
        <w:rPr>
          <w:szCs w:val="24"/>
        </w:rPr>
        <w:t xml:space="preserve">upport </w:t>
      </w:r>
      <w:r w:rsidR="00A258DB">
        <w:rPr>
          <w:szCs w:val="24"/>
        </w:rPr>
        <w:t>the deployment of clean energy technologies in Australian industry</w:t>
      </w:r>
      <w:r w:rsidR="002D5020">
        <w:rPr>
          <w:szCs w:val="24"/>
        </w:rPr>
        <w:t>;</w:t>
      </w:r>
      <w:r>
        <w:rPr>
          <w:szCs w:val="24"/>
        </w:rPr>
        <w:t xml:space="preserve"> </w:t>
      </w:r>
      <w:r w:rsidR="008C128F">
        <w:rPr>
          <w:szCs w:val="24"/>
        </w:rPr>
        <w:t xml:space="preserve"> </w:t>
      </w:r>
    </w:p>
    <w:p w14:paraId="77A127E0" w14:textId="71F9D4B1" w:rsidR="005D2290" w:rsidRPr="00D110A4" w:rsidRDefault="002476C8" w:rsidP="00C67C64">
      <w:pPr>
        <w:pStyle w:val="ListParagraph"/>
        <w:numPr>
          <w:ilvl w:val="0"/>
          <w:numId w:val="52"/>
        </w:numPr>
        <w:spacing w:before="0" w:after="240"/>
        <w:ind w:left="714" w:right="91" w:hanging="357"/>
        <w:contextualSpacing w:val="0"/>
        <w:rPr>
          <w:szCs w:val="24"/>
        </w:rPr>
      </w:pPr>
      <w:r>
        <w:rPr>
          <w:szCs w:val="24"/>
        </w:rPr>
        <w:t>s</w:t>
      </w:r>
      <w:r w:rsidR="00A258DB">
        <w:rPr>
          <w:szCs w:val="24"/>
        </w:rPr>
        <w:t xml:space="preserve">upport the development of </w:t>
      </w:r>
      <w:r w:rsidR="00FA1249">
        <w:rPr>
          <w:szCs w:val="24"/>
        </w:rPr>
        <w:t>c</w:t>
      </w:r>
      <w:r w:rsidR="00A258DB">
        <w:rPr>
          <w:szCs w:val="24"/>
        </w:rPr>
        <w:t>lean energy manufacturing and processing capabilities in Australia</w:t>
      </w:r>
      <w:r w:rsidR="002D5020">
        <w:rPr>
          <w:szCs w:val="24"/>
        </w:rPr>
        <w:t>;</w:t>
      </w:r>
    </w:p>
    <w:p w14:paraId="64F77B68" w14:textId="54491682" w:rsidR="0088161A" w:rsidRDefault="002476C8" w:rsidP="00C67C64">
      <w:pPr>
        <w:pStyle w:val="ListParagraph"/>
        <w:numPr>
          <w:ilvl w:val="0"/>
          <w:numId w:val="52"/>
        </w:numPr>
        <w:spacing w:before="0" w:after="240"/>
        <w:ind w:left="714" w:right="91" w:hanging="357"/>
        <w:contextualSpacing w:val="0"/>
        <w:rPr>
          <w:szCs w:val="24"/>
        </w:rPr>
      </w:pPr>
      <w:r>
        <w:rPr>
          <w:szCs w:val="24"/>
        </w:rPr>
        <w:t>s</w:t>
      </w:r>
      <w:r w:rsidR="005D2290" w:rsidRPr="00D110A4">
        <w:rPr>
          <w:szCs w:val="24"/>
        </w:rPr>
        <w:t>upport technologies</w:t>
      </w:r>
      <w:r w:rsidR="006C163B">
        <w:rPr>
          <w:szCs w:val="24"/>
        </w:rPr>
        <w:t xml:space="preserve"> and projects</w:t>
      </w:r>
      <w:r w:rsidR="005D2290" w:rsidRPr="00D110A4">
        <w:rPr>
          <w:szCs w:val="24"/>
        </w:rPr>
        <w:t xml:space="preserve"> to assist Safeguard Mechanism facilities to reduce their emissions, consistent with Australia’s national trajectory to net zero and while supporting their international competitiveness</w:t>
      </w:r>
      <w:r w:rsidR="002D5020">
        <w:rPr>
          <w:szCs w:val="24"/>
        </w:rPr>
        <w:t>;</w:t>
      </w:r>
    </w:p>
    <w:p w14:paraId="7C83B41B" w14:textId="301804C8" w:rsidR="005D2290" w:rsidRPr="00885306" w:rsidRDefault="0088161A" w:rsidP="00C67C64">
      <w:pPr>
        <w:pStyle w:val="ListParagraph"/>
        <w:numPr>
          <w:ilvl w:val="0"/>
          <w:numId w:val="52"/>
        </w:numPr>
        <w:spacing w:before="0" w:after="240"/>
        <w:ind w:left="714" w:right="91" w:hanging="357"/>
        <w:contextualSpacing w:val="0"/>
        <w:rPr>
          <w:szCs w:val="24"/>
        </w:rPr>
      </w:pPr>
      <w:r w:rsidRPr="00885306">
        <w:rPr>
          <w:szCs w:val="24"/>
        </w:rPr>
        <w:t xml:space="preserve">support greater uptake of </w:t>
      </w:r>
      <w:r w:rsidR="00911006" w:rsidRPr="00885306">
        <w:rPr>
          <w:szCs w:val="24"/>
        </w:rPr>
        <w:t xml:space="preserve">clean </w:t>
      </w:r>
      <w:r w:rsidRPr="00885306">
        <w:rPr>
          <w:szCs w:val="24"/>
        </w:rPr>
        <w:t xml:space="preserve">energy </w:t>
      </w:r>
      <w:r w:rsidR="00911006" w:rsidRPr="00885306">
        <w:rPr>
          <w:szCs w:val="24"/>
        </w:rPr>
        <w:t xml:space="preserve">technology </w:t>
      </w:r>
      <w:r w:rsidR="00AE768B" w:rsidRPr="00885306">
        <w:rPr>
          <w:szCs w:val="24"/>
        </w:rPr>
        <w:t xml:space="preserve">measures </w:t>
      </w:r>
      <w:r w:rsidR="00D70A1A" w:rsidRPr="00885306">
        <w:rPr>
          <w:szCs w:val="24"/>
        </w:rPr>
        <w:t xml:space="preserve">in </w:t>
      </w:r>
      <w:r w:rsidRPr="00885306">
        <w:rPr>
          <w:szCs w:val="24"/>
        </w:rPr>
        <w:t>existing residential dwellings</w:t>
      </w:r>
      <w:r w:rsidR="00F97D74" w:rsidRPr="00885306">
        <w:rPr>
          <w:szCs w:val="24"/>
        </w:rPr>
        <w:t>.</w:t>
      </w:r>
    </w:p>
    <w:p w14:paraId="61953CAD" w14:textId="7BA48E49" w:rsidR="00D6096F" w:rsidRPr="0012576A" w:rsidRDefault="005D2290" w:rsidP="00A87F8C">
      <w:pPr>
        <w:spacing w:before="0" w:after="240"/>
        <w:ind w:right="91"/>
        <w:rPr>
          <w:szCs w:val="24"/>
        </w:rPr>
      </w:pPr>
      <w:r w:rsidRPr="003034A3">
        <w:rPr>
          <w:szCs w:val="24"/>
        </w:rPr>
        <w:t xml:space="preserve">These investment priorities are consistent with the substantial and </w:t>
      </w:r>
      <w:r w:rsidR="004E550B" w:rsidRPr="003034A3">
        <w:rPr>
          <w:szCs w:val="24"/>
        </w:rPr>
        <w:t>rigorous</w:t>
      </w:r>
      <w:r w:rsidRPr="003034A3">
        <w:rPr>
          <w:szCs w:val="24"/>
        </w:rPr>
        <w:t xml:space="preserve"> suite of new policies announced by the Government</w:t>
      </w:r>
      <w:r w:rsidR="00FC41A6" w:rsidRPr="003034A3">
        <w:rPr>
          <w:szCs w:val="24"/>
        </w:rPr>
        <w:t xml:space="preserve"> to reduce emissions</w:t>
      </w:r>
      <w:r w:rsidR="00222505" w:rsidRPr="003034A3">
        <w:rPr>
          <w:szCs w:val="24"/>
        </w:rPr>
        <w:t xml:space="preserve"> through the Powering Australia</w:t>
      </w:r>
      <w:r w:rsidR="00C975E8">
        <w:rPr>
          <w:rStyle w:val="FootnoteReference"/>
          <w:szCs w:val="24"/>
        </w:rPr>
        <w:footnoteReference w:id="11"/>
      </w:r>
      <w:r w:rsidR="00222505" w:rsidRPr="003034A3">
        <w:rPr>
          <w:szCs w:val="24"/>
        </w:rPr>
        <w:t xml:space="preserve"> agenda</w:t>
      </w:r>
      <w:r w:rsidR="00C36929">
        <w:rPr>
          <w:szCs w:val="24"/>
        </w:rPr>
        <w:t>.</w:t>
      </w:r>
      <w:r w:rsidR="004572EC">
        <w:rPr>
          <w:szCs w:val="24"/>
        </w:rPr>
        <w:t xml:space="preserve"> </w:t>
      </w:r>
      <w:r w:rsidR="00C36929">
        <w:rPr>
          <w:szCs w:val="24"/>
        </w:rPr>
        <w:t>T</w:t>
      </w:r>
      <w:r w:rsidR="004572EC">
        <w:rPr>
          <w:szCs w:val="24"/>
        </w:rPr>
        <w:t>his includes s</w:t>
      </w:r>
      <w:r w:rsidR="004572EC" w:rsidRPr="003034A3">
        <w:rPr>
          <w:szCs w:val="24"/>
        </w:rPr>
        <w:t>upport</w:t>
      </w:r>
      <w:r w:rsidR="004572EC">
        <w:rPr>
          <w:szCs w:val="24"/>
        </w:rPr>
        <w:t xml:space="preserve"> for</w:t>
      </w:r>
      <w:r w:rsidR="004572EC" w:rsidRPr="003034A3">
        <w:rPr>
          <w:szCs w:val="24"/>
        </w:rPr>
        <w:t xml:space="preserve"> technologies and projects </w:t>
      </w:r>
      <w:r w:rsidR="004572EC" w:rsidRPr="003034A3">
        <w:rPr>
          <w:szCs w:val="24"/>
        </w:rPr>
        <w:lastRenderedPageBreak/>
        <w:t>which alleviate renewable energy supply chain pressures, address vulnerabilities in national capabilities, develop sovereign capacity, and support recycling and resource recovery.</w:t>
      </w:r>
    </w:p>
    <w:p w14:paraId="7B6D90BF" w14:textId="494C497A" w:rsidR="00255873" w:rsidRDefault="00FC41A6" w:rsidP="005D0F93">
      <w:pPr>
        <w:spacing w:before="0" w:after="240"/>
        <w:ind w:right="91"/>
        <w:rPr>
          <w:szCs w:val="24"/>
        </w:rPr>
      </w:pPr>
      <w:r>
        <w:rPr>
          <w:szCs w:val="24"/>
        </w:rPr>
        <w:t xml:space="preserve">The </w:t>
      </w:r>
      <w:r w:rsidR="00FC68DE">
        <w:rPr>
          <w:szCs w:val="24"/>
        </w:rPr>
        <w:t xml:space="preserve">focus areas for the </w:t>
      </w:r>
      <w:r>
        <w:rPr>
          <w:szCs w:val="24"/>
        </w:rPr>
        <w:t xml:space="preserve">Corporation’s </w:t>
      </w:r>
      <w:r w:rsidR="00FC68DE">
        <w:rPr>
          <w:szCs w:val="24"/>
        </w:rPr>
        <w:t>activities outlined in this section</w:t>
      </w:r>
      <w:r>
        <w:rPr>
          <w:szCs w:val="24"/>
        </w:rPr>
        <w:t xml:space="preserve"> will work to deliver</w:t>
      </w:r>
      <w:r w:rsidR="0081396B">
        <w:rPr>
          <w:szCs w:val="24"/>
        </w:rPr>
        <w:t xml:space="preserve"> on</w:t>
      </w:r>
      <w:r>
        <w:rPr>
          <w:szCs w:val="24"/>
        </w:rPr>
        <w:t xml:space="preserve"> the</w:t>
      </w:r>
      <w:r w:rsidR="00286E10">
        <w:rPr>
          <w:szCs w:val="24"/>
        </w:rPr>
        <w:t xml:space="preserve"> Government’s</w:t>
      </w:r>
      <w:r>
        <w:rPr>
          <w:szCs w:val="24"/>
        </w:rPr>
        <w:t xml:space="preserve"> </w:t>
      </w:r>
      <w:r w:rsidR="00D70D2D">
        <w:rPr>
          <w:szCs w:val="24"/>
        </w:rPr>
        <w:t xml:space="preserve">greenhouse gas </w:t>
      </w:r>
      <w:r>
        <w:rPr>
          <w:szCs w:val="24"/>
        </w:rPr>
        <w:t>emission</w:t>
      </w:r>
      <w:r w:rsidR="004411A3">
        <w:rPr>
          <w:szCs w:val="24"/>
        </w:rPr>
        <w:t>s</w:t>
      </w:r>
      <w:r>
        <w:rPr>
          <w:szCs w:val="24"/>
        </w:rPr>
        <w:t xml:space="preserve"> reduction commitments made a</w:t>
      </w:r>
      <w:r w:rsidR="005D2290" w:rsidRPr="00EF6BF6">
        <w:rPr>
          <w:szCs w:val="24"/>
        </w:rPr>
        <w:t xml:space="preserve">s a part of </w:t>
      </w:r>
      <w:r w:rsidR="0081396B">
        <w:rPr>
          <w:szCs w:val="24"/>
        </w:rPr>
        <w:t>Australia’s recently</w:t>
      </w:r>
      <w:r w:rsidRPr="00EF6BF6">
        <w:rPr>
          <w:szCs w:val="24"/>
        </w:rPr>
        <w:t xml:space="preserve"> </w:t>
      </w:r>
      <w:r w:rsidR="005D2290" w:rsidRPr="00EF6BF6">
        <w:rPr>
          <w:szCs w:val="24"/>
        </w:rPr>
        <w:t xml:space="preserve">updated </w:t>
      </w:r>
      <w:r w:rsidR="004E550B" w:rsidRPr="00EF6BF6">
        <w:rPr>
          <w:szCs w:val="24"/>
        </w:rPr>
        <w:t>Nationally</w:t>
      </w:r>
      <w:r w:rsidR="005D2290" w:rsidRPr="00EF6BF6">
        <w:rPr>
          <w:szCs w:val="24"/>
        </w:rPr>
        <w:t xml:space="preserve"> Determined Contribution under Article 4 of the Paris Agreement</w:t>
      </w:r>
      <w:r w:rsidR="00480D94">
        <w:rPr>
          <w:szCs w:val="24"/>
        </w:rPr>
        <w:t xml:space="preserve"> </w:t>
      </w:r>
      <w:r w:rsidR="00FD1B43" w:rsidRPr="00FD1B43">
        <w:rPr>
          <w:szCs w:val="24"/>
        </w:rPr>
        <w:t>to achieve net zero emissions by 2050</w:t>
      </w:r>
      <w:r w:rsidR="004028A7">
        <w:rPr>
          <w:rStyle w:val="FootnoteReference"/>
          <w:szCs w:val="24"/>
        </w:rPr>
        <w:footnoteReference w:id="12"/>
      </w:r>
      <w:r w:rsidR="000B7018">
        <w:rPr>
          <w:szCs w:val="24"/>
        </w:rPr>
        <w:t>.</w:t>
      </w:r>
    </w:p>
    <w:p w14:paraId="440ABE50" w14:textId="15A91896" w:rsidR="00624F8B" w:rsidRPr="00D110A4" w:rsidRDefault="00C2098F" w:rsidP="005D0F93">
      <w:pPr>
        <w:spacing w:before="0" w:after="240"/>
        <w:ind w:right="91"/>
        <w:rPr>
          <w:szCs w:val="24"/>
        </w:rPr>
      </w:pPr>
      <w:r>
        <w:rPr>
          <w:szCs w:val="24"/>
        </w:rPr>
        <w:t>Additionally,</w:t>
      </w:r>
      <w:r w:rsidR="00624F8B">
        <w:rPr>
          <w:szCs w:val="24"/>
        </w:rPr>
        <w:t xml:space="preserve"> </w:t>
      </w:r>
      <w:r w:rsidR="00D4570F">
        <w:rPr>
          <w:szCs w:val="24"/>
        </w:rPr>
        <w:t xml:space="preserve">section </w:t>
      </w:r>
      <w:r w:rsidR="00624F8B">
        <w:rPr>
          <w:szCs w:val="24"/>
        </w:rPr>
        <w:t xml:space="preserve">14 directs the Board to seek out investments </w:t>
      </w:r>
      <w:r w:rsidR="00EA5C79">
        <w:rPr>
          <w:szCs w:val="24"/>
        </w:rPr>
        <w:t xml:space="preserve">that </w:t>
      </w:r>
      <w:r w:rsidR="00624F8B">
        <w:rPr>
          <w:szCs w:val="24"/>
        </w:rPr>
        <w:t>support the Government’s Reef 2050 Long-Term Sustainability Plan</w:t>
      </w:r>
      <w:r w:rsidR="00A70758">
        <w:rPr>
          <w:rStyle w:val="FootnoteReference"/>
          <w:szCs w:val="24"/>
        </w:rPr>
        <w:footnoteReference w:id="13"/>
      </w:r>
      <w:r w:rsidR="00624F8B">
        <w:rPr>
          <w:szCs w:val="24"/>
        </w:rPr>
        <w:t xml:space="preserve"> and the National Waste Policy Action Plan 2019</w:t>
      </w:r>
      <w:r w:rsidR="00A70758">
        <w:rPr>
          <w:rStyle w:val="FootnoteReference"/>
          <w:szCs w:val="24"/>
        </w:rPr>
        <w:footnoteReference w:id="14"/>
      </w:r>
      <w:r w:rsidR="00624F8B">
        <w:rPr>
          <w:szCs w:val="24"/>
        </w:rPr>
        <w:t xml:space="preserve">. </w:t>
      </w:r>
    </w:p>
    <w:p w14:paraId="6C6EA20D" w14:textId="7EA2568B" w:rsidR="00426150" w:rsidRDefault="00426150" w:rsidP="00C67C64">
      <w:pPr>
        <w:keepNext/>
        <w:spacing w:before="0" w:after="240"/>
        <w:ind w:right="91"/>
        <w:rPr>
          <w:szCs w:val="24"/>
          <w:u w:val="single"/>
        </w:rPr>
      </w:pPr>
      <w:r>
        <w:rPr>
          <w:szCs w:val="24"/>
          <w:u w:val="single"/>
        </w:rPr>
        <w:t xml:space="preserve">Section </w:t>
      </w:r>
      <w:r w:rsidR="00A6476F">
        <w:rPr>
          <w:szCs w:val="24"/>
          <w:u w:val="single"/>
        </w:rPr>
        <w:t>1</w:t>
      </w:r>
      <w:r w:rsidR="00141174">
        <w:rPr>
          <w:szCs w:val="24"/>
          <w:u w:val="single"/>
        </w:rPr>
        <w:t>5</w:t>
      </w:r>
      <w:r w:rsidR="00A6476F">
        <w:rPr>
          <w:szCs w:val="24"/>
          <w:u w:val="single"/>
        </w:rPr>
        <w:t xml:space="preserve"> </w:t>
      </w:r>
      <w:r>
        <w:rPr>
          <w:szCs w:val="24"/>
          <w:u w:val="single"/>
        </w:rPr>
        <w:t xml:space="preserve">– </w:t>
      </w:r>
      <w:r w:rsidR="003A223D">
        <w:rPr>
          <w:szCs w:val="24"/>
          <w:u w:val="single"/>
        </w:rPr>
        <w:t>Rewiring the Nation</w:t>
      </w:r>
      <w:r w:rsidR="002750E8">
        <w:rPr>
          <w:szCs w:val="24"/>
          <w:u w:val="single"/>
        </w:rPr>
        <w:t xml:space="preserve"> Fund</w:t>
      </w:r>
    </w:p>
    <w:p w14:paraId="123DAF13" w14:textId="292C5B40" w:rsidR="00BD188F" w:rsidRDefault="003A223D" w:rsidP="00426150">
      <w:pPr>
        <w:spacing w:before="0" w:after="240"/>
        <w:ind w:right="91"/>
        <w:rPr>
          <w:szCs w:val="24"/>
        </w:rPr>
      </w:pPr>
      <w:r>
        <w:rPr>
          <w:szCs w:val="24"/>
        </w:rPr>
        <w:t xml:space="preserve">Section 15 provides direction </w:t>
      </w:r>
      <w:r w:rsidR="00CC3B68">
        <w:rPr>
          <w:szCs w:val="24"/>
        </w:rPr>
        <w:t xml:space="preserve">and investment settings </w:t>
      </w:r>
      <w:r w:rsidR="00BD0F11">
        <w:rPr>
          <w:szCs w:val="24"/>
        </w:rPr>
        <w:t>for the</w:t>
      </w:r>
      <w:r>
        <w:rPr>
          <w:szCs w:val="24"/>
        </w:rPr>
        <w:t xml:space="preserve"> Rewiring the Nation Fund. </w:t>
      </w:r>
      <w:r w:rsidR="007A24B4">
        <w:rPr>
          <w:szCs w:val="24"/>
        </w:rPr>
        <w:t>It</w:t>
      </w:r>
      <w:r w:rsidR="00685D47">
        <w:rPr>
          <w:szCs w:val="24"/>
        </w:rPr>
        <w:t xml:space="preserve"> establishes</w:t>
      </w:r>
      <w:r w:rsidR="00CF38D9">
        <w:rPr>
          <w:szCs w:val="24"/>
        </w:rPr>
        <w:t xml:space="preserve"> the C</w:t>
      </w:r>
      <w:r w:rsidR="00BD0F11">
        <w:rPr>
          <w:szCs w:val="24"/>
        </w:rPr>
        <w:t>orporation as</w:t>
      </w:r>
      <w:r w:rsidR="00CF38D9">
        <w:rPr>
          <w:szCs w:val="24"/>
        </w:rPr>
        <w:t xml:space="preserve"> the main financing arm of</w:t>
      </w:r>
      <w:r w:rsidR="00685D47">
        <w:rPr>
          <w:szCs w:val="24"/>
        </w:rPr>
        <w:t xml:space="preserve"> the </w:t>
      </w:r>
      <w:r w:rsidR="006B6A04">
        <w:rPr>
          <w:szCs w:val="24"/>
        </w:rPr>
        <w:t xml:space="preserve">Government’s </w:t>
      </w:r>
      <w:r w:rsidR="00CB1BCC">
        <w:rPr>
          <w:szCs w:val="24"/>
        </w:rPr>
        <w:t>Rewiring the Nation</w:t>
      </w:r>
      <w:r w:rsidR="006B6A04">
        <w:rPr>
          <w:szCs w:val="24"/>
        </w:rPr>
        <w:t xml:space="preserve"> commitment</w:t>
      </w:r>
      <w:r w:rsidR="00741687">
        <w:rPr>
          <w:szCs w:val="24"/>
        </w:rPr>
        <w:t>.</w:t>
      </w:r>
      <w:r w:rsidR="00BD188F">
        <w:rPr>
          <w:szCs w:val="24"/>
        </w:rPr>
        <w:t xml:space="preserve"> T</w:t>
      </w:r>
      <w:r w:rsidR="00F315B4">
        <w:rPr>
          <w:szCs w:val="24"/>
        </w:rPr>
        <w:t>he</w:t>
      </w:r>
      <w:r w:rsidR="00BD188F">
        <w:rPr>
          <w:szCs w:val="24"/>
        </w:rPr>
        <w:t xml:space="preserve"> fund will invest </w:t>
      </w:r>
      <w:r w:rsidR="00BD188F">
        <w:t xml:space="preserve">in projects </w:t>
      </w:r>
      <w:r w:rsidR="00F315B4">
        <w:t>consistent with the broader Rewiring the Nation objectives</w:t>
      </w:r>
      <w:r w:rsidR="00BD188F">
        <w:t>.</w:t>
      </w:r>
      <w:r w:rsidR="00AA7776">
        <w:t xml:space="preserve"> </w:t>
      </w:r>
    </w:p>
    <w:p w14:paraId="058D5B1E" w14:textId="4425498E" w:rsidR="002D02A8" w:rsidRDefault="00CB1BCC" w:rsidP="005A1439">
      <w:pPr>
        <w:spacing w:before="0" w:after="240"/>
        <w:ind w:right="91"/>
        <w:rPr>
          <w:szCs w:val="24"/>
        </w:rPr>
      </w:pPr>
      <w:r>
        <w:rPr>
          <w:szCs w:val="24"/>
        </w:rPr>
        <w:t>Rewiring the Nation</w:t>
      </w:r>
      <w:r w:rsidR="005A1439" w:rsidRPr="00D97382">
        <w:rPr>
          <w:szCs w:val="24"/>
        </w:rPr>
        <w:t xml:space="preserve"> is a commitment of $20 billion in low-cost finance to</w:t>
      </w:r>
      <w:r w:rsidR="00A97693">
        <w:rPr>
          <w:szCs w:val="24"/>
        </w:rPr>
        <w:t xml:space="preserve"> rebuild,</w:t>
      </w:r>
      <w:r w:rsidR="005A1439" w:rsidRPr="00D97382">
        <w:rPr>
          <w:szCs w:val="24"/>
        </w:rPr>
        <w:t xml:space="preserve"> modernise and </w:t>
      </w:r>
      <w:r w:rsidR="00F5635D">
        <w:rPr>
          <w:szCs w:val="24"/>
        </w:rPr>
        <w:t>strengthen</w:t>
      </w:r>
      <w:r w:rsidR="00F5635D" w:rsidRPr="00D97382">
        <w:rPr>
          <w:szCs w:val="24"/>
        </w:rPr>
        <w:t xml:space="preserve"> </w:t>
      </w:r>
      <w:r w:rsidR="005A1439" w:rsidRPr="00D97382">
        <w:rPr>
          <w:szCs w:val="24"/>
        </w:rPr>
        <w:t xml:space="preserve">Australia’s electricity grids. </w:t>
      </w:r>
    </w:p>
    <w:p w14:paraId="363E9FC0" w14:textId="77777777" w:rsidR="00590159" w:rsidRDefault="00590159" w:rsidP="00590159">
      <w:pPr>
        <w:spacing w:before="0" w:after="240"/>
        <w:ind w:right="91"/>
        <w:rPr>
          <w:szCs w:val="24"/>
        </w:rPr>
      </w:pPr>
      <w:bookmarkStart w:id="2" w:name="_Hlk130291695"/>
      <w:r>
        <w:rPr>
          <w:szCs w:val="24"/>
        </w:rPr>
        <w:t xml:space="preserve">Section 15 requires the Board to make available, for Rewiring the Nation Fund purposes, $19 billion. This reflects the amounts provided to the Corporation for the purposes of the Rewiring the Nation Fund (including the amount agreed in the </w:t>
      </w:r>
      <w:r w:rsidRPr="00EE1650">
        <w:rPr>
          <w:i/>
          <w:color w:val="000000" w:themeColor="text1"/>
        </w:rPr>
        <w:t xml:space="preserve">Treasury Laws Amendment (2022 Measures No.4) </w:t>
      </w:r>
      <w:r>
        <w:rPr>
          <w:i/>
          <w:color w:val="000000" w:themeColor="text1"/>
        </w:rPr>
        <w:t>Act</w:t>
      </w:r>
      <w:r w:rsidRPr="00EE1650">
        <w:rPr>
          <w:i/>
          <w:color w:val="000000" w:themeColor="text1"/>
        </w:rPr>
        <w:t xml:space="preserve"> 2022</w:t>
      </w:r>
      <w:r>
        <w:rPr>
          <w:color w:val="000000" w:themeColor="text1"/>
        </w:rPr>
        <w:t>)</w:t>
      </w:r>
      <w:r>
        <w:rPr>
          <w:szCs w:val="24"/>
        </w:rPr>
        <w:t>.</w:t>
      </w:r>
    </w:p>
    <w:p w14:paraId="1B8352DB" w14:textId="77777777" w:rsidR="00590159" w:rsidRPr="00D97382" w:rsidRDefault="00590159" w:rsidP="00590159">
      <w:pPr>
        <w:spacing w:before="0" w:after="240"/>
        <w:ind w:right="91"/>
        <w:rPr>
          <w:szCs w:val="24"/>
        </w:rPr>
      </w:pPr>
      <w:r>
        <w:rPr>
          <w:szCs w:val="24"/>
        </w:rPr>
        <w:t xml:space="preserve">Rewiring the Nation will invest in projects that support grid transformation, such as projects listed in the </w:t>
      </w:r>
      <w:r w:rsidRPr="00D97382">
        <w:rPr>
          <w:szCs w:val="24"/>
        </w:rPr>
        <w:t>Australian Energy Market Operator’s Integrated System Plan (ISP)</w:t>
      </w:r>
      <w:r>
        <w:rPr>
          <w:rStyle w:val="FootnoteReference"/>
          <w:szCs w:val="24"/>
        </w:rPr>
        <w:footnoteReference w:id="15"/>
      </w:r>
      <w:r w:rsidRPr="00D97382">
        <w:rPr>
          <w:szCs w:val="24"/>
        </w:rPr>
        <w:t xml:space="preserve"> and in consultation with state and territory government’s network planning agencies. This investment will facilitate the connection of additional renewable energy generation and storage nationwide. </w:t>
      </w:r>
    </w:p>
    <w:p w14:paraId="13115223" w14:textId="04DD2970" w:rsidR="002C0EDB" w:rsidRDefault="002C0EDB" w:rsidP="002C0EDB">
      <w:pPr>
        <w:spacing w:before="0" w:after="240"/>
        <w:ind w:right="91"/>
      </w:pPr>
      <w:r w:rsidRPr="39CEA6F4">
        <w:t xml:space="preserve">Investments are expected to include debt, </w:t>
      </w:r>
      <w:proofErr w:type="gramStart"/>
      <w:r w:rsidRPr="39CEA6F4">
        <w:t>equity</w:t>
      </w:r>
      <w:proofErr w:type="gramEnd"/>
      <w:r w:rsidRPr="39CEA6F4">
        <w:t xml:space="preserve"> or hybrids to ensure delivery of projects needed to support the electricity </w:t>
      </w:r>
      <w:r w:rsidR="00D54E48" w:rsidRPr="39CEA6F4">
        <w:t>transformation</w:t>
      </w:r>
      <w:r w:rsidR="00D54E48">
        <w:t xml:space="preserve"> </w:t>
      </w:r>
      <w:r w:rsidR="00152DCA">
        <w:t xml:space="preserve">in the </w:t>
      </w:r>
      <w:r w:rsidR="0088175B">
        <w:t>long-term</w:t>
      </w:r>
      <w:r w:rsidR="00152DCA">
        <w:t xml:space="preserve"> interests of electricity consumers </w:t>
      </w:r>
      <w:r>
        <w:t>consistent with the National Electricity Objective</w:t>
      </w:r>
      <w:r>
        <w:rPr>
          <w:rStyle w:val="FootnoteReference"/>
          <w:szCs w:val="24"/>
        </w:rPr>
        <w:footnoteReference w:id="16"/>
      </w:r>
      <w:r w:rsidRPr="00D97382">
        <w:rPr>
          <w:szCs w:val="24"/>
        </w:rPr>
        <w:t>.</w:t>
      </w:r>
    </w:p>
    <w:bookmarkEnd w:id="2"/>
    <w:p w14:paraId="49981EA1" w14:textId="428ECD6C" w:rsidR="005A1439" w:rsidRDefault="00B13FB9" w:rsidP="005A1439">
      <w:pPr>
        <w:spacing w:before="0" w:after="240"/>
        <w:ind w:right="91"/>
        <w:rPr>
          <w:szCs w:val="24"/>
        </w:rPr>
      </w:pPr>
      <w:r>
        <w:rPr>
          <w:szCs w:val="24"/>
        </w:rPr>
        <w:t xml:space="preserve">Transmission is critical to the energy transformation. Rewiring the Nation’s investments in transmission </w:t>
      </w:r>
      <w:r w:rsidR="00F315B4">
        <w:rPr>
          <w:szCs w:val="24"/>
        </w:rPr>
        <w:t xml:space="preserve">are </w:t>
      </w:r>
      <w:r w:rsidR="00741687">
        <w:rPr>
          <w:szCs w:val="24"/>
        </w:rPr>
        <w:t>expected to</w:t>
      </w:r>
      <w:r>
        <w:rPr>
          <w:szCs w:val="24"/>
        </w:rPr>
        <w:t xml:space="preserve"> lower the cost of new transmission projects and accelerate their delivery, reducing the risks and associated costs of delay to consumers and the economy. The investments will enable more renewables and more storage to be connected to the grid, facilitating Australia’s achievement of Australia’s emissions reduction targets. </w:t>
      </w:r>
    </w:p>
    <w:p w14:paraId="65685BED" w14:textId="071633A0" w:rsidR="007727F0" w:rsidRPr="00D97382" w:rsidRDefault="007727F0" w:rsidP="005A1439">
      <w:pPr>
        <w:spacing w:before="0" w:after="240"/>
        <w:ind w:right="91"/>
        <w:rPr>
          <w:szCs w:val="24"/>
        </w:rPr>
      </w:pPr>
      <w:r w:rsidRPr="007727F0">
        <w:rPr>
          <w:szCs w:val="24"/>
        </w:rPr>
        <w:lastRenderedPageBreak/>
        <w:t>R</w:t>
      </w:r>
      <w:r>
        <w:rPr>
          <w:szCs w:val="24"/>
        </w:rPr>
        <w:t xml:space="preserve">ewiring the </w:t>
      </w:r>
      <w:r w:rsidRPr="007727F0">
        <w:rPr>
          <w:szCs w:val="24"/>
        </w:rPr>
        <w:t>N</w:t>
      </w:r>
      <w:r>
        <w:rPr>
          <w:szCs w:val="24"/>
        </w:rPr>
        <w:t>ation</w:t>
      </w:r>
      <w:r w:rsidRPr="007727F0">
        <w:rPr>
          <w:szCs w:val="24"/>
        </w:rPr>
        <w:t xml:space="preserve"> will be implemented through a partnership between the </w:t>
      </w:r>
      <w:r w:rsidR="00582A4F">
        <w:rPr>
          <w:szCs w:val="24"/>
        </w:rPr>
        <w:t>Corporation</w:t>
      </w:r>
      <w:r w:rsidR="00582A4F" w:rsidRPr="007727F0">
        <w:rPr>
          <w:szCs w:val="24"/>
        </w:rPr>
        <w:t xml:space="preserve"> </w:t>
      </w:r>
      <w:r w:rsidRPr="007727F0">
        <w:rPr>
          <w:szCs w:val="24"/>
        </w:rPr>
        <w:t xml:space="preserve">and </w:t>
      </w:r>
      <w:r w:rsidR="000B4060">
        <w:rPr>
          <w:szCs w:val="24"/>
        </w:rPr>
        <w:t>the</w:t>
      </w:r>
      <w:r w:rsidRPr="007727F0">
        <w:rPr>
          <w:szCs w:val="24"/>
        </w:rPr>
        <w:t xml:space="preserve"> Rewiring the Nation Office </w:t>
      </w:r>
      <w:r w:rsidR="00F50C6C">
        <w:rPr>
          <w:szCs w:val="24"/>
        </w:rPr>
        <w:t xml:space="preserve">(RTNO) </w:t>
      </w:r>
      <w:r w:rsidRPr="007727F0">
        <w:rPr>
          <w:szCs w:val="24"/>
        </w:rPr>
        <w:t xml:space="preserve">in the </w:t>
      </w:r>
      <w:r>
        <w:rPr>
          <w:szCs w:val="24"/>
        </w:rPr>
        <w:t>D</w:t>
      </w:r>
      <w:r w:rsidRPr="007727F0">
        <w:rPr>
          <w:szCs w:val="24"/>
        </w:rPr>
        <w:t>epartment</w:t>
      </w:r>
      <w:r>
        <w:rPr>
          <w:szCs w:val="24"/>
        </w:rPr>
        <w:t xml:space="preserve"> of Climate Change, Energy, </w:t>
      </w:r>
      <w:r w:rsidR="00D70A1A">
        <w:rPr>
          <w:szCs w:val="24"/>
        </w:rPr>
        <w:t xml:space="preserve">the </w:t>
      </w:r>
      <w:r>
        <w:rPr>
          <w:szCs w:val="24"/>
        </w:rPr>
        <w:t>Environment and Water</w:t>
      </w:r>
      <w:r w:rsidR="000B4060">
        <w:rPr>
          <w:szCs w:val="24"/>
        </w:rPr>
        <w:t>.</w:t>
      </w:r>
      <w:r>
        <w:rPr>
          <w:szCs w:val="24"/>
        </w:rPr>
        <w:t xml:space="preserve"> </w:t>
      </w:r>
      <w:r w:rsidR="000B4060">
        <w:rPr>
          <w:szCs w:val="24"/>
        </w:rPr>
        <w:t>A</w:t>
      </w:r>
      <w:r>
        <w:rPr>
          <w:szCs w:val="24"/>
        </w:rPr>
        <w:t xml:space="preserve"> </w:t>
      </w:r>
      <w:r w:rsidR="000B4060">
        <w:rPr>
          <w:szCs w:val="24"/>
        </w:rPr>
        <w:t>R</w:t>
      </w:r>
      <w:r w:rsidR="00D56E8B">
        <w:rPr>
          <w:szCs w:val="24"/>
        </w:rPr>
        <w:t>ewiring the Nation</w:t>
      </w:r>
      <w:r w:rsidR="000B4060">
        <w:rPr>
          <w:szCs w:val="24"/>
        </w:rPr>
        <w:t xml:space="preserve"> A</w:t>
      </w:r>
      <w:r>
        <w:rPr>
          <w:szCs w:val="24"/>
        </w:rPr>
        <w:t xml:space="preserve">dvisory </w:t>
      </w:r>
      <w:r w:rsidR="000B4060">
        <w:rPr>
          <w:szCs w:val="24"/>
        </w:rPr>
        <w:t>Committee</w:t>
      </w:r>
      <w:r>
        <w:rPr>
          <w:szCs w:val="24"/>
        </w:rPr>
        <w:t xml:space="preserve"> </w:t>
      </w:r>
      <w:r w:rsidR="000B4060">
        <w:rPr>
          <w:szCs w:val="24"/>
        </w:rPr>
        <w:t xml:space="preserve">has been established </w:t>
      </w:r>
      <w:r w:rsidR="0025012A">
        <w:rPr>
          <w:szCs w:val="24"/>
        </w:rPr>
        <w:t xml:space="preserve">through which the Board </w:t>
      </w:r>
      <w:r w:rsidR="00957677" w:rsidRPr="00957677">
        <w:rPr>
          <w:szCs w:val="24"/>
        </w:rPr>
        <w:t xml:space="preserve">may seek and consider the advice of the </w:t>
      </w:r>
      <w:r w:rsidR="00D07DDC">
        <w:rPr>
          <w:szCs w:val="24"/>
        </w:rPr>
        <w:t>RTNO</w:t>
      </w:r>
      <w:r w:rsidR="00957677" w:rsidRPr="00957677">
        <w:rPr>
          <w:szCs w:val="24"/>
        </w:rPr>
        <w:t>, the Australian Energy Market Operator and/or the Australian Energy Infrastructure Commissioner in respect of the Corporation’s activities relevant to the Rewiring the Nation Fund</w:t>
      </w:r>
      <w:r w:rsidR="000B4060">
        <w:rPr>
          <w:szCs w:val="24"/>
        </w:rPr>
        <w:t>.</w:t>
      </w:r>
    </w:p>
    <w:p w14:paraId="6888629B" w14:textId="5ED1636A" w:rsidR="005A1439" w:rsidRDefault="005A1439" w:rsidP="005A1439">
      <w:pPr>
        <w:spacing w:before="0" w:after="240"/>
        <w:ind w:right="91"/>
      </w:pPr>
      <w:r>
        <w:t xml:space="preserve">Construction </w:t>
      </w:r>
      <w:r w:rsidR="00CB1BCC">
        <w:t>of</w:t>
      </w:r>
      <w:r>
        <w:t xml:space="preserve"> actionable ISP projects, as well as projects that are capable of modernising Australia’s grid and that aid in the energy transformation, will encourage Australian workers to build in-demand skills, create regional jobs and support regional communities and businesses, help reduce cost</w:t>
      </w:r>
      <w:r w:rsidR="00CB1BCC">
        <w:t>s of</w:t>
      </w:r>
      <w:r>
        <w:t xml:space="preserve"> manufacturing, and support economic growth. This will position Australia to become a renewable energy superpower. The Commonwealth is committed, through the </w:t>
      </w:r>
      <w:r w:rsidR="00FA3FC5">
        <w:t>RTNO</w:t>
      </w:r>
      <w:r>
        <w:t>, to engaging with the regional and rural communities that will be most affected by the proposed changes, to support the social licence for any ongoing development of electricity infrastructure.</w:t>
      </w:r>
    </w:p>
    <w:p w14:paraId="7A9EB128" w14:textId="77777777" w:rsidR="003745E0" w:rsidRDefault="003745E0" w:rsidP="003745E0">
      <w:pPr>
        <w:spacing w:before="0" w:after="240"/>
        <w:ind w:right="91"/>
        <w:rPr>
          <w:i/>
          <w:szCs w:val="24"/>
        </w:rPr>
      </w:pPr>
      <w:r w:rsidRPr="00A42455">
        <w:rPr>
          <w:i/>
          <w:szCs w:val="24"/>
        </w:rPr>
        <w:t>Rate of Return</w:t>
      </w:r>
    </w:p>
    <w:p w14:paraId="34FF4B83" w14:textId="7C1C660B" w:rsidR="003745E0" w:rsidRDefault="003745E0" w:rsidP="003745E0">
      <w:pPr>
        <w:spacing w:before="0" w:after="240"/>
        <w:ind w:right="91"/>
      </w:pPr>
      <w:r>
        <w:rPr>
          <w:szCs w:val="24"/>
        </w:rPr>
        <w:t>The Board is to target a rate of return sufficient to</w:t>
      </w:r>
      <w:r w:rsidR="009C4525">
        <w:rPr>
          <w:szCs w:val="24"/>
        </w:rPr>
        <w:t xml:space="preserve"> at least</w:t>
      </w:r>
      <w:r>
        <w:rPr>
          <w:szCs w:val="24"/>
        </w:rPr>
        <w:t xml:space="preserve"> cover the </w:t>
      </w:r>
      <w:r w:rsidR="00FA3FC5">
        <w:rPr>
          <w:szCs w:val="24"/>
        </w:rPr>
        <w:t xml:space="preserve">Corporation’s </w:t>
      </w:r>
      <w:r w:rsidR="00524BFF">
        <w:rPr>
          <w:szCs w:val="24"/>
        </w:rPr>
        <w:t xml:space="preserve">costs of </w:t>
      </w:r>
      <w:r w:rsidR="00D129CF" w:rsidRPr="00D129CF">
        <w:rPr>
          <w:szCs w:val="24"/>
        </w:rPr>
        <w:t xml:space="preserve">the Rewiring the Nation functions </w:t>
      </w:r>
      <w:r>
        <w:rPr>
          <w:szCs w:val="24"/>
        </w:rPr>
        <w:t xml:space="preserve">over the medium to long term. This </w:t>
      </w:r>
      <w:r w:rsidR="00B63AFD">
        <w:rPr>
          <w:szCs w:val="24"/>
        </w:rPr>
        <w:t>setting</w:t>
      </w:r>
      <w:r>
        <w:rPr>
          <w:szCs w:val="24"/>
        </w:rPr>
        <w:t xml:space="preserve"> supports the policy objectives of </w:t>
      </w:r>
      <w:r w:rsidR="00BD5D71">
        <w:rPr>
          <w:szCs w:val="24"/>
        </w:rPr>
        <w:t>Rewiring the Nation</w:t>
      </w:r>
      <w:r w:rsidR="00741687">
        <w:rPr>
          <w:szCs w:val="24"/>
        </w:rPr>
        <w:t xml:space="preserve"> and allows the Board flexibility in negotiations</w:t>
      </w:r>
      <w:r>
        <w:rPr>
          <w:szCs w:val="24"/>
        </w:rPr>
        <w:t xml:space="preserve">. </w:t>
      </w:r>
      <w:r w:rsidR="002A2B71">
        <w:t xml:space="preserve">This </w:t>
      </w:r>
      <w:r w:rsidR="009C4525">
        <w:t>setting will</w:t>
      </w:r>
      <w:r w:rsidR="002A2B71">
        <w:t xml:space="preserve"> enable </w:t>
      </w:r>
      <w:r w:rsidR="005006F7">
        <w:t>the Corporation</w:t>
      </w:r>
      <w:r w:rsidR="002A2B71">
        <w:t xml:space="preserve"> to pursue </w:t>
      </w:r>
      <w:r w:rsidR="008D119F">
        <w:t xml:space="preserve">the most advantageous </w:t>
      </w:r>
      <w:r w:rsidR="002A2B71">
        <w:t xml:space="preserve">commercial </w:t>
      </w:r>
      <w:r w:rsidR="00741687">
        <w:t>outcome achievable</w:t>
      </w:r>
      <w:r w:rsidR="002A2B71">
        <w:t xml:space="preserve"> on behalf of the Government and the Australian taxpayer, in the context of the objectives of the </w:t>
      </w:r>
      <w:r w:rsidR="00BD5D71">
        <w:t>Rewiring the Nation commitment</w:t>
      </w:r>
      <w:r w:rsidR="002A2B71">
        <w:t>.</w:t>
      </w:r>
    </w:p>
    <w:p w14:paraId="1D1E163B" w14:textId="77777777" w:rsidR="00121A8D" w:rsidRDefault="00121A8D" w:rsidP="00121A8D">
      <w:pPr>
        <w:spacing w:before="0" w:after="240"/>
        <w:ind w:right="91"/>
        <w:rPr>
          <w:szCs w:val="24"/>
        </w:rPr>
      </w:pPr>
      <w:r w:rsidRPr="00126A7A">
        <w:rPr>
          <w:szCs w:val="24"/>
        </w:rPr>
        <w:t xml:space="preserve">The Corporation will follow the Australian Accounting Standards, where applicable, in measuring its return, except in the case of concessional loans and equity investments, where the measurement of the corporation’s return should exclude any impairment or mark-to-market adjustments resulting from any concessional component. </w:t>
      </w:r>
    </w:p>
    <w:p w14:paraId="41009D5B" w14:textId="77777777" w:rsidR="003745E0" w:rsidRPr="00A42455" w:rsidRDefault="003745E0" w:rsidP="003745E0">
      <w:pPr>
        <w:spacing w:before="0" w:after="240"/>
        <w:ind w:right="91"/>
        <w:rPr>
          <w:i/>
          <w:szCs w:val="24"/>
        </w:rPr>
      </w:pPr>
      <w:r w:rsidRPr="00A42455">
        <w:rPr>
          <w:i/>
          <w:szCs w:val="24"/>
        </w:rPr>
        <w:t>Risk</w:t>
      </w:r>
    </w:p>
    <w:p w14:paraId="4997825F" w14:textId="0AD83D8E" w:rsidR="00954C3E" w:rsidRDefault="003745E0" w:rsidP="00C67C64">
      <w:pPr>
        <w:pStyle w:val="ListParagraph"/>
        <w:spacing w:after="240"/>
        <w:ind w:left="0"/>
        <w:contextualSpacing w:val="0"/>
      </w:pPr>
      <w:r w:rsidRPr="003D484B">
        <w:t xml:space="preserve">In targeting the benchmark return for </w:t>
      </w:r>
      <w:r>
        <w:t>R</w:t>
      </w:r>
      <w:r w:rsidR="00741687">
        <w:t>ewiring the Nation Fund</w:t>
      </w:r>
      <w:r w:rsidRPr="003D484B">
        <w:t xml:space="preserve">, the </w:t>
      </w:r>
      <w:r>
        <w:t>Board</w:t>
      </w:r>
      <w:r w:rsidRPr="003D484B">
        <w:t xml:space="preserve"> must seek to develop a portfolio that has an acceptable level of risk, having regard to the terms of the Act and </w:t>
      </w:r>
      <w:r w:rsidR="008D119F">
        <w:t xml:space="preserve">the policy objectives of Rewiring the Nation. </w:t>
      </w:r>
    </w:p>
    <w:p w14:paraId="52A1E72E" w14:textId="776ED6CA" w:rsidR="00590159" w:rsidRDefault="00590159" w:rsidP="001C4D9B">
      <w:pPr>
        <w:pStyle w:val="ListParagraph"/>
        <w:spacing w:after="240"/>
        <w:ind w:left="0"/>
        <w:contextualSpacing w:val="0"/>
      </w:pPr>
      <w:r>
        <w:rPr>
          <w:szCs w:val="24"/>
        </w:rPr>
        <w:t>Rewiring the Nation Fund</w:t>
      </w:r>
      <w:r w:rsidRPr="003D484B">
        <w:rPr>
          <w:szCs w:val="24"/>
        </w:rPr>
        <w:t xml:space="preserve"> </w:t>
      </w:r>
      <w:r>
        <w:rPr>
          <w:szCs w:val="24"/>
        </w:rPr>
        <w:t xml:space="preserve">investments </w:t>
      </w:r>
      <w:r w:rsidRPr="003D484B">
        <w:t xml:space="preserve">may increase the Corporation’s overall exposure to </w:t>
      </w:r>
      <w:r>
        <w:t>risk</w:t>
      </w:r>
      <w:r w:rsidRPr="003D484B">
        <w:t xml:space="preserve"> as </w:t>
      </w:r>
      <w:r>
        <w:t>the scale, concentration and nature of these investments</w:t>
      </w:r>
      <w:r w:rsidRPr="003D484B">
        <w:t xml:space="preserve"> may have a higher risk profile.</w:t>
      </w:r>
      <w:r>
        <w:t xml:space="preserve"> The portfolio risk for Rewiring the Nation reflects the scale and criticality of delivery of these projects, the intent to provide benefits to consumers, and connection of renewables to the network. The level of risk (</w:t>
      </w:r>
      <w:r w:rsidRPr="0035000E">
        <w:t>including, without limitation, concentration risks and regulatory risks)</w:t>
      </w:r>
      <w:r>
        <w:t xml:space="preserve"> </w:t>
      </w:r>
      <w:r w:rsidRPr="0035000E">
        <w:t>deemed acceptable by the Board may be higher for the Rewiring the Nation Fund than for the General Portfolio</w:t>
      </w:r>
      <w:r>
        <w:t xml:space="preserve"> and the Specialised Investment Funds for these reasons</w:t>
      </w:r>
      <w:r w:rsidRPr="0035000E">
        <w:t>.</w:t>
      </w:r>
    </w:p>
    <w:p w14:paraId="52579CC6" w14:textId="1470E082" w:rsidR="00CF38D9" w:rsidRDefault="003745E0" w:rsidP="00C67C64">
      <w:pPr>
        <w:pStyle w:val="ListParagraph"/>
        <w:spacing w:after="240"/>
        <w:ind w:left="0"/>
        <w:contextualSpacing w:val="0"/>
      </w:pPr>
      <w:r>
        <w:lastRenderedPageBreak/>
        <w:t>The Board must periodically review its investment ri</w:t>
      </w:r>
      <w:r w:rsidR="00CC3506">
        <w:t>sk management practices for R</w:t>
      </w:r>
      <w:r w:rsidR="00E04F21">
        <w:t>ewiring the Nation Fund</w:t>
      </w:r>
      <w:r w:rsidR="00CC3506">
        <w:t xml:space="preserve"> </w:t>
      </w:r>
      <w:r>
        <w:t>and must advise the responsible Ministers of specific measures taken in this regard.</w:t>
      </w:r>
    </w:p>
    <w:p w14:paraId="4823F2FB" w14:textId="59CA723B" w:rsidR="00AA7776" w:rsidRDefault="00AA7776" w:rsidP="00C67C64">
      <w:pPr>
        <w:pStyle w:val="ListParagraph"/>
        <w:spacing w:after="240"/>
        <w:ind w:left="0"/>
        <w:contextualSpacing w:val="0"/>
        <w:rPr>
          <w:i/>
          <w:iCs/>
        </w:rPr>
      </w:pPr>
      <w:proofErr w:type="spellStart"/>
      <w:r w:rsidRPr="006A561E">
        <w:rPr>
          <w:i/>
          <w:iCs/>
        </w:rPr>
        <w:t>Concessionality</w:t>
      </w:r>
      <w:proofErr w:type="spellEnd"/>
    </w:p>
    <w:p w14:paraId="468D1D98" w14:textId="08B4C069" w:rsidR="00AA7776" w:rsidRDefault="00233F22" w:rsidP="7CB9053E">
      <w:pPr>
        <w:pStyle w:val="ListParagraph"/>
        <w:spacing w:after="240"/>
        <w:ind w:left="0"/>
      </w:pPr>
      <w:r>
        <w:t>T</w:t>
      </w:r>
      <w:r w:rsidR="00AA7776">
        <w:t>he Board</w:t>
      </w:r>
      <w:r>
        <w:t xml:space="preserve"> </w:t>
      </w:r>
      <w:r w:rsidR="00AA7776">
        <w:t>is not limited in the amount of concessional financing it may deploy</w:t>
      </w:r>
      <w:r>
        <w:t xml:space="preserve"> for the purposes of Rewiring the Nation</w:t>
      </w:r>
      <w:r w:rsidR="003563D7">
        <w:t xml:space="preserve">. The Board will apply </w:t>
      </w:r>
      <w:proofErr w:type="spellStart"/>
      <w:r w:rsidR="003563D7">
        <w:t>concessionality</w:t>
      </w:r>
      <w:proofErr w:type="spellEnd"/>
      <w:r w:rsidR="003563D7">
        <w:t xml:space="preserve"> appropriately</w:t>
      </w:r>
      <w:r>
        <w:t xml:space="preserve"> in line with its risk and return settings</w:t>
      </w:r>
      <w:r w:rsidR="003563D7">
        <w:t xml:space="preserve"> for the Rewiring the Nation </w:t>
      </w:r>
      <w:r w:rsidR="00D70A1A">
        <w:t>F</w:t>
      </w:r>
      <w:r w:rsidR="003563D7">
        <w:t>und</w:t>
      </w:r>
      <w:r>
        <w:t>.</w:t>
      </w:r>
      <w:r w:rsidR="00DC1012">
        <w:t xml:space="preserve"> </w:t>
      </w:r>
      <w:r w:rsidR="003C1F3C">
        <w:t xml:space="preserve">This </w:t>
      </w:r>
      <w:proofErr w:type="spellStart"/>
      <w:r w:rsidR="003C1F3C">
        <w:t>concessionality</w:t>
      </w:r>
      <w:proofErr w:type="spellEnd"/>
      <w:r w:rsidR="003C1F3C">
        <w:t xml:space="preserve"> setting is critical to enable the </w:t>
      </w:r>
      <w:r w:rsidR="00582A4F">
        <w:t xml:space="preserve">Corporation </w:t>
      </w:r>
      <w:r w:rsidR="003C1F3C">
        <w:t>to deliver on the policy objectives of Rewiring the Nation</w:t>
      </w:r>
      <w:r w:rsidR="00B411B8">
        <w:t xml:space="preserve"> and enable grid upgrades to be delivered at least cost to consumers. </w:t>
      </w:r>
      <w:r w:rsidR="00B411B8" w:rsidDel="00B411B8">
        <w:t xml:space="preserve"> </w:t>
      </w:r>
    </w:p>
    <w:p w14:paraId="5E7BE1A4" w14:textId="77777777" w:rsidR="0070225E" w:rsidRPr="006A561E" w:rsidRDefault="0070225E" w:rsidP="00E94E78">
      <w:pPr>
        <w:pStyle w:val="ListParagraph"/>
        <w:spacing w:after="240"/>
        <w:ind w:left="0"/>
      </w:pPr>
    </w:p>
    <w:p w14:paraId="75CE4BB0" w14:textId="40604B81" w:rsidR="003A223D" w:rsidRDefault="003A223D" w:rsidP="00C67C64">
      <w:pPr>
        <w:pStyle w:val="ListParagraph"/>
        <w:spacing w:after="240"/>
        <w:ind w:left="0"/>
        <w:contextualSpacing w:val="0"/>
        <w:rPr>
          <w:szCs w:val="24"/>
          <w:u w:val="single"/>
        </w:rPr>
      </w:pPr>
      <w:r w:rsidRPr="006A561E">
        <w:rPr>
          <w:u w:val="single"/>
        </w:rPr>
        <w:t>Section 16</w:t>
      </w:r>
      <w:r>
        <w:rPr>
          <w:szCs w:val="24"/>
          <w:u w:val="single"/>
        </w:rPr>
        <w:t xml:space="preserve"> – Specialised Investment Funds </w:t>
      </w:r>
    </w:p>
    <w:p w14:paraId="1ED1D2D0" w14:textId="316A7CBB" w:rsidR="00D92B05" w:rsidRPr="00C35C74" w:rsidRDefault="003A223D" w:rsidP="00C67C64">
      <w:pPr>
        <w:pStyle w:val="ListParagraph"/>
        <w:spacing w:after="240"/>
        <w:ind w:left="0"/>
        <w:contextualSpacing w:val="0"/>
      </w:pPr>
      <w:r>
        <w:rPr>
          <w:szCs w:val="24"/>
        </w:rPr>
        <w:t>Section 16</w:t>
      </w:r>
      <w:r w:rsidRPr="00D93BFB">
        <w:rPr>
          <w:szCs w:val="24"/>
        </w:rPr>
        <w:t xml:space="preserve"> </w:t>
      </w:r>
      <w:r>
        <w:rPr>
          <w:szCs w:val="24"/>
        </w:rPr>
        <w:t xml:space="preserve">provides direction and </w:t>
      </w:r>
      <w:r w:rsidR="00CC3B68">
        <w:rPr>
          <w:szCs w:val="24"/>
        </w:rPr>
        <w:t xml:space="preserve">investment </w:t>
      </w:r>
      <w:r>
        <w:rPr>
          <w:szCs w:val="24"/>
        </w:rPr>
        <w:t>settings for</w:t>
      </w:r>
      <w:r w:rsidR="00A54A8C">
        <w:rPr>
          <w:szCs w:val="24"/>
        </w:rPr>
        <w:t xml:space="preserve"> the</w:t>
      </w:r>
      <w:r>
        <w:rPr>
          <w:szCs w:val="24"/>
        </w:rPr>
        <w:t xml:space="preserve"> Specialised Investment Funds</w:t>
      </w:r>
      <w:r w:rsidR="00CF5C4F">
        <w:rPr>
          <w:szCs w:val="24"/>
        </w:rPr>
        <w:t xml:space="preserve">: </w:t>
      </w:r>
      <w:proofErr w:type="gramStart"/>
      <w:r w:rsidR="00CF5C4F">
        <w:rPr>
          <w:szCs w:val="24"/>
        </w:rPr>
        <w:t>the</w:t>
      </w:r>
      <w:proofErr w:type="gramEnd"/>
      <w:r w:rsidR="00CF5C4F">
        <w:rPr>
          <w:szCs w:val="24"/>
        </w:rPr>
        <w:t xml:space="preserve"> Clean Energy Innovation Fund, Advancing Hydrogen Fund</w:t>
      </w:r>
      <w:r w:rsidR="00D70A1A">
        <w:rPr>
          <w:szCs w:val="24"/>
        </w:rPr>
        <w:t>,</w:t>
      </w:r>
      <w:r w:rsidR="00CF5C4F">
        <w:rPr>
          <w:szCs w:val="24"/>
        </w:rPr>
        <w:t xml:space="preserve"> Powering Australia Technology Fund</w:t>
      </w:r>
      <w:r w:rsidR="00D70A1A">
        <w:rPr>
          <w:szCs w:val="24"/>
        </w:rPr>
        <w:t xml:space="preserve"> and Household Energy Upgrades Fund</w:t>
      </w:r>
      <w:r w:rsidR="00CF5C4F">
        <w:rPr>
          <w:szCs w:val="24"/>
        </w:rPr>
        <w:t xml:space="preserve">. </w:t>
      </w:r>
    </w:p>
    <w:p w14:paraId="43EDEFF0" w14:textId="3F301229" w:rsidR="00CF38D9" w:rsidRDefault="00CF38D9" w:rsidP="001B6B84">
      <w:pPr>
        <w:pStyle w:val="ListBullet"/>
        <w:numPr>
          <w:ilvl w:val="0"/>
          <w:numId w:val="58"/>
        </w:numPr>
        <w:spacing w:before="0" w:after="240"/>
        <w:contextualSpacing w:val="0"/>
        <w:rPr>
          <w:szCs w:val="24"/>
        </w:rPr>
      </w:pPr>
      <w:r>
        <w:rPr>
          <w:szCs w:val="24"/>
        </w:rPr>
        <w:t>Clean Energy Innovation Fund</w:t>
      </w:r>
    </w:p>
    <w:p w14:paraId="18415669" w14:textId="65DD94F6" w:rsidR="00072508" w:rsidRDefault="00BE680F" w:rsidP="00356B92">
      <w:pPr>
        <w:pStyle w:val="ListBullet"/>
        <w:numPr>
          <w:ilvl w:val="0"/>
          <w:numId w:val="0"/>
        </w:numPr>
        <w:spacing w:before="0" w:after="240"/>
        <w:contextualSpacing w:val="0"/>
      </w:pPr>
      <w:r w:rsidRPr="00D97382">
        <w:rPr>
          <w:szCs w:val="24"/>
        </w:rPr>
        <w:t xml:space="preserve">The </w:t>
      </w:r>
      <w:r w:rsidR="0047556C" w:rsidRPr="00D97382">
        <w:rPr>
          <w:szCs w:val="24"/>
        </w:rPr>
        <w:t>Board</w:t>
      </w:r>
      <w:r w:rsidRPr="00D97382">
        <w:rPr>
          <w:szCs w:val="24"/>
        </w:rPr>
        <w:t xml:space="preserve"> shall </w:t>
      </w:r>
      <w:r w:rsidR="00426150" w:rsidRPr="00D97382">
        <w:rPr>
          <w:szCs w:val="24"/>
        </w:rPr>
        <w:t xml:space="preserve">make available up </w:t>
      </w:r>
      <w:r w:rsidR="00A70758" w:rsidRPr="00D97382">
        <w:rPr>
          <w:szCs w:val="24"/>
        </w:rPr>
        <w:t xml:space="preserve">to </w:t>
      </w:r>
      <w:r w:rsidR="00A70758" w:rsidRPr="00D97382">
        <w:t>$</w:t>
      </w:r>
      <w:r w:rsidR="0049146E" w:rsidRPr="00D97382">
        <w:t xml:space="preserve">200 million </w:t>
      </w:r>
      <w:r w:rsidR="00426150" w:rsidRPr="00D97382">
        <w:rPr>
          <w:szCs w:val="24"/>
        </w:rPr>
        <w:t xml:space="preserve">for investments in </w:t>
      </w:r>
      <w:r w:rsidR="00426150" w:rsidRPr="00D97382">
        <w:t>projects and businesses that</w:t>
      </w:r>
      <w:r w:rsidR="00072508">
        <w:t>:</w:t>
      </w:r>
    </w:p>
    <w:p w14:paraId="19D41E13" w14:textId="5DF38783" w:rsidR="00072508" w:rsidRPr="006C1801" w:rsidRDefault="00426150" w:rsidP="00072508">
      <w:pPr>
        <w:pStyle w:val="ListBullet"/>
        <w:numPr>
          <w:ilvl w:val="0"/>
          <w:numId w:val="67"/>
        </w:numPr>
        <w:spacing w:before="0" w:after="240"/>
        <w:contextualSpacing w:val="0"/>
      </w:pPr>
      <w:r w:rsidRPr="006C1801">
        <w:t>have technologies that have passed beyond the research and development stages</w:t>
      </w:r>
      <w:r w:rsidR="00072508" w:rsidRPr="006C1801">
        <w:t>;</w:t>
      </w:r>
      <w:r w:rsidRPr="006C1801">
        <w:t xml:space="preserve"> but</w:t>
      </w:r>
    </w:p>
    <w:p w14:paraId="54F7A3B2" w14:textId="086525EA" w:rsidR="00B71EA3" w:rsidRPr="006C1801" w:rsidRDefault="00426150" w:rsidP="006C1801">
      <w:pPr>
        <w:pStyle w:val="ListBullet"/>
        <w:numPr>
          <w:ilvl w:val="0"/>
          <w:numId w:val="67"/>
        </w:numPr>
        <w:spacing w:before="0" w:after="240"/>
        <w:contextualSpacing w:val="0"/>
      </w:pPr>
      <w:r w:rsidRPr="006C1801">
        <w:t>are not yet established or of sufficient maturity, size or otherwise commercially ready to attract enough</w:t>
      </w:r>
      <w:r w:rsidR="000056C1" w:rsidRPr="006C1801">
        <w:t xml:space="preserve"> </w:t>
      </w:r>
      <w:r w:rsidRPr="006C1801">
        <w:t xml:space="preserve">private sector capital. </w:t>
      </w:r>
    </w:p>
    <w:p w14:paraId="5ABB77AE" w14:textId="6926D77E" w:rsidR="00EC162C" w:rsidRDefault="00F21210" w:rsidP="00356B92">
      <w:pPr>
        <w:pStyle w:val="ListBullet"/>
        <w:numPr>
          <w:ilvl w:val="0"/>
          <w:numId w:val="0"/>
        </w:numPr>
        <w:spacing w:before="0" w:after="240"/>
        <w:contextualSpacing w:val="0"/>
        <w:rPr>
          <w:szCs w:val="24"/>
        </w:rPr>
      </w:pPr>
      <w:r>
        <w:rPr>
          <w:szCs w:val="24"/>
        </w:rPr>
        <w:t>F</w:t>
      </w:r>
      <w:r w:rsidR="001E72DF">
        <w:rPr>
          <w:szCs w:val="24"/>
        </w:rPr>
        <w:t>unding under th</w:t>
      </w:r>
      <w:r>
        <w:rPr>
          <w:szCs w:val="24"/>
        </w:rPr>
        <w:t xml:space="preserve">e </w:t>
      </w:r>
      <w:r w:rsidRPr="00D97382">
        <w:rPr>
          <w:szCs w:val="24"/>
        </w:rPr>
        <w:t>Clean Energy Innovation Fund (CEIF)</w:t>
      </w:r>
      <w:r>
        <w:rPr>
          <w:szCs w:val="24"/>
        </w:rPr>
        <w:t xml:space="preserve"> should be targeted at </w:t>
      </w:r>
      <w:r w:rsidR="006260F4">
        <w:rPr>
          <w:szCs w:val="24"/>
        </w:rPr>
        <w:t xml:space="preserve">projects and businesses that </w:t>
      </w:r>
      <w:r w:rsidR="00494880">
        <w:rPr>
          <w:szCs w:val="24"/>
        </w:rPr>
        <w:t xml:space="preserve">are not </w:t>
      </w:r>
      <w:r w:rsidR="00663C9D">
        <w:rPr>
          <w:szCs w:val="24"/>
        </w:rPr>
        <w:t xml:space="preserve">sufficiently mature, </w:t>
      </w:r>
      <w:proofErr w:type="gramStart"/>
      <w:r w:rsidR="00663C9D">
        <w:rPr>
          <w:szCs w:val="24"/>
        </w:rPr>
        <w:t>large</w:t>
      </w:r>
      <w:proofErr w:type="gramEnd"/>
      <w:r w:rsidR="00663C9D">
        <w:rPr>
          <w:szCs w:val="24"/>
        </w:rPr>
        <w:t xml:space="preserve"> </w:t>
      </w:r>
      <w:r w:rsidR="00BF6510">
        <w:rPr>
          <w:szCs w:val="24"/>
        </w:rPr>
        <w:t>or otherwise commercially ready to secure funding through the Corporation’s General Portfolio.</w:t>
      </w:r>
    </w:p>
    <w:p w14:paraId="640CAF3B" w14:textId="664146AE" w:rsidR="005208E0" w:rsidRDefault="00426150" w:rsidP="00356B92">
      <w:pPr>
        <w:pStyle w:val="ListBullet"/>
        <w:numPr>
          <w:ilvl w:val="0"/>
          <w:numId w:val="0"/>
        </w:numPr>
        <w:spacing w:before="0" w:after="240"/>
        <w:contextualSpacing w:val="0"/>
        <w:rPr>
          <w:szCs w:val="24"/>
        </w:rPr>
      </w:pPr>
      <w:r w:rsidRPr="00D97382">
        <w:rPr>
          <w:szCs w:val="24"/>
        </w:rPr>
        <w:t xml:space="preserve">The </w:t>
      </w:r>
      <w:r w:rsidR="0047556C" w:rsidRPr="00D97382">
        <w:rPr>
          <w:szCs w:val="24"/>
        </w:rPr>
        <w:t xml:space="preserve">Board </w:t>
      </w:r>
      <w:r w:rsidRPr="00D97382">
        <w:rPr>
          <w:szCs w:val="24"/>
        </w:rPr>
        <w:t>will work with</w:t>
      </w:r>
      <w:r w:rsidR="00C35C74" w:rsidRPr="00D97382">
        <w:rPr>
          <w:szCs w:val="24"/>
        </w:rPr>
        <w:t xml:space="preserve"> the Australian Renewable Energy Agency</w:t>
      </w:r>
      <w:r w:rsidRPr="00D97382">
        <w:rPr>
          <w:szCs w:val="24"/>
        </w:rPr>
        <w:t xml:space="preserve"> </w:t>
      </w:r>
      <w:r w:rsidR="00C35C74" w:rsidRPr="00D97382">
        <w:rPr>
          <w:szCs w:val="24"/>
        </w:rPr>
        <w:t>(</w:t>
      </w:r>
      <w:r w:rsidRPr="00D97382">
        <w:rPr>
          <w:szCs w:val="24"/>
        </w:rPr>
        <w:t>ARENA</w:t>
      </w:r>
      <w:r w:rsidR="00C35C74" w:rsidRPr="00D97382">
        <w:rPr>
          <w:szCs w:val="24"/>
        </w:rPr>
        <w:t>)</w:t>
      </w:r>
      <w:r w:rsidRPr="00D97382">
        <w:rPr>
          <w:szCs w:val="24"/>
        </w:rPr>
        <w:t xml:space="preserve"> in delivering the </w:t>
      </w:r>
      <w:r w:rsidR="00B01601" w:rsidRPr="00D97382">
        <w:rPr>
          <w:szCs w:val="24"/>
        </w:rPr>
        <w:t>CEIF</w:t>
      </w:r>
      <w:r w:rsidRPr="00D97382">
        <w:rPr>
          <w:szCs w:val="24"/>
        </w:rPr>
        <w:t xml:space="preserve">; in particular, ARENA will provide advice on the technical and commercial feasibility of prospective projects and technologies and </w:t>
      </w:r>
      <w:r w:rsidRPr="00D97382">
        <w:t xml:space="preserve">the competitive environment of businesses seeking to deploy the relevant technology. </w:t>
      </w:r>
      <w:r w:rsidRPr="00D97382">
        <w:rPr>
          <w:szCs w:val="24"/>
        </w:rPr>
        <w:t xml:space="preserve">The </w:t>
      </w:r>
      <w:r w:rsidR="0047556C" w:rsidRPr="00D97382">
        <w:rPr>
          <w:szCs w:val="24"/>
        </w:rPr>
        <w:t xml:space="preserve">Board </w:t>
      </w:r>
      <w:r w:rsidRPr="00D97382">
        <w:rPr>
          <w:szCs w:val="24"/>
        </w:rPr>
        <w:t xml:space="preserve">will take this advice and ARENA’s overall recommendation on whether to fund a proposal into account when making </w:t>
      </w:r>
      <w:r w:rsidR="00F142AC" w:rsidRPr="00D97382">
        <w:rPr>
          <w:szCs w:val="24"/>
        </w:rPr>
        <w:t>a CEI</w:t>
      </w:r>
      <w:r w:rsidR="00F97F03" w:rsidRPr="00D97382">
        <w:rPr>
          <w:szCs w:val="24"/>
        </w:rPr>
        <w:t>F</w:t>
      </w:r>
      <w:r w:rsidR="00F142AC" w:rsidRPr="00D97382">
        <w:rPr>
          <w:szCs w:val="24"/>
        </w:rPr>
        <w:t xml:space="preserve"> </w:t>
      </w:r>
      <w:r w:rsidRPr="00D97382">
        <w:rPr>
          <w:szCs w:val="24"/>
        </w:rPr>
        <w:t xml:space="preserve">investment decision. Examples may include technologies that support large-scale solar with storage, offshore energy, </w:t>
      </w:r>
      <w:proofErr w:type="gramStart"/>
      <w:r w:rsidRPr="00D97382">
        <w:rPr>
          <w:szCs w:val="24"/>
        </w:rPr>
        <w:t>biofuels</w:t>
      </w:r>
      <w:proofErr w:type="gramEnd"/>
      <w:r w:rsidRPr="00D97382">
        <w:rPr>
          <w:szCs w:val="24"/>
        </w:rPr>
        <w:t xml:space="preserve"> and smart grids.</w:t>
      </w:r>
    </w:p>
    <w:p w14:paraId="195694EE" w14:textId="379A185C" w:rsidR="00CF38D9" w:rsidRDefault="00265873" w:rsidP="00C67C64">
      <w:pPr>
        <w:pStyle w:val="ListParagraph"/>
        <w:numPr>
          <w:ilvl w:val="0"/>
          <w:numId w:val="58"/>
        </w:numPr>
        <w:spacing w:after="240"/>
        <w:ind w:left="714" w:hanging="357"/>
      </w:pPr>
      <w:r>
        <w:t>Advancing Hydrogen Fund</w:t>
      </w:r>
    </w:p>
    <w:p w14:paraId="75F71701" w14:textId="2BF54E43" w:rsidR="00265873" w:rsidRPr="00C35C74" w:rsidRDefault="00265873" w:rsidP="00C35C74">
      <w:pPr>
        <w:spacing w:before="0" w:after="240"/>
      </w:pPr>
      <w:r>
        <w:t>T</w:t>
      </w:r>
      <w:r w:rsidR="009A0AB2">
        <w:t>he Board shall</w:t>
      </w:r>
      <w:r>
        <w:t xml:space="preserve"> make available up to $300 million in concessional finance </w:t>
      </w:r>
      <w:r w:rsidRPr="003D484B">
        <w:rPr>
          <w:color w:val="000000" w:themeColor="text1"/>
        </w:rPr>
        <w:t xml:space="preserve">to support the growth of a clean, innovative, </w:t>
      </w:r>
      <w:proofErr w:type="gramStart"/>
      <w:r w:rsidRPr="003D484B">
        <w:rPr>
          <w:color w:val="000000" w:themeColor="text1"/>
        </w:rPr>
        <w:t>safe</w:t>
      </w:r>
      <w:proofErr w:type="gramEnd"/>
      <w:r w:rsidRPr="003D484B">
        <w:rPr>
          <w:color w:val="000000" w:themeColor="text1"/>
        </w:rPr>
        <w:t xml:space="preserve"> and competitive Australian hydrogen industry.</w:t>
      </w:r>
    </w:p>
    <w:p w14:paraId="18B686B5" w14:textId="5BAAE8BF" w:rsidR="00C35C74" w:rsidRDefault="00265873" w:rsidP="00C35C74">
      <w:pPr>
        <w:pStyle w:val="ListParagraph"/>
        <w:spacing w:after="240"/>
        <w:ind w:left="0"/>
        <w:contextualSpacing w:val="0"/>
      </w:pPr>
      <w:r>
        <w:rPr>
          <w:color w:val="000000" w:themeColor="text1"/>
        </w:rPr>
        <w:lastRenderedPageBreak/>
        <w:t>The</w:t>
      </w:r>
      <w:r w:rsidR="00BD2B36">
        <w:rPr>
          <w:color w:val="000000" w:themeColor="text1"/>
        </w:rPr>
        <w:t xml:space="preserve"> </w:t>
      </w:r>
      <w:r w:rsidR="00F97F03">
        <w:rPr>
          <w:color w:val="000000" w:themeColor="text1"/>
        </w:rPr>
        <w:t>Advancing Hydrogen</w:t>
      </w:r>
      <w:r>
        <w:rPr>
          <w:color w:val="000000" w:themeColor="text1"/>
        </w:rPr>
        <w:t xml:space="preserve"> Fund</w:t>
      </w:r>
      <w:r w:rsidR="00306777">
        <w:rPr>
          <w:color w:val="000000" w:themeColor="text1"/>
        </w:rPr>
        <w:t xml:space="preserve"> (AHF</w:t>
      </w:r>
      <w:r w:rsidR="004F6C0E">
        <w:rPr>
          <w:color w:val="000000" w:themeColor="text1"/>
        </w:rPr>
        <w:t xml:space="preserve">) </w:t>
      </w:r>
      <w:r>
        <w:rPr>
          <w:color w:val="000000" w:themeColor="text1"/>
        </w:rPr>
        <w:t>is intended to align with the objectives of Australia’s National Hydrogen Strategy</w:t>
      </w:r>
      <w:r w:rsidR="004028A7">
        <w:rPr>
          <w:rStyle w:val="FootnoteReference"/>
          <w:color w:val="000000" w:themeColor="text1"/>
        </w:rPr>
        <w:footnoteReference w:id="17"/>
      </w:r>
      <w:r>
        <w:rPr>
          <w:color w:val="000000" w:themeColor="text1"/>
        </w:rPr>
        <w:t xml:space="preserve">. </w:t>
      </w:r>
    </w:p>
    <w:p w14:paraId="17EDD964" w14:textId="36F8A925" w:rsidR="00265873" w:rsidRDefault="00265873" w:rsidP="00C35C74">
      <w:pPr>
        <w:pStyle w:val="ListParagraph"/>
        <w:spacing w:after="240"/>
        <w:ind w:left="0"/>
        <w:contextualSpacing w:val="0"/>
      </w:pPr>
      <w:r w:rsidRPr="00DB1A8F">
        <w:rPr>
          <w:color w:val="000000" w:themeColor="text1"/>
        </w:rPr>
        <w:t xml:space="preserve">The </w:t>
      </w:r>
      <w:r w:rsidR="00306777">
        <w:rPr>
          <w:color w:val="000000" w:themeColor="text1"/>
        </w:rPr>
        <w:t xml:space="preserve">AHF </w:t>
      </w:r>
      <w:r w:rsidRPr="00DB1A8F">
        <w:rPr>
          <w:color w:val="000000" w:themeColor="text1"/>
        </w:rPr>
        <w:t>will focus on projects where there is State or Territory Government financial support or policy alignment with the National Hydrogen Strategy.</w:t>
      </w:r>
      <w:r w:rsidR="00D05B6E" w:rsidRPr="00D05B6E">
        <w:rPr>
          <w:color w:val="000000"/>
          <w:shd w:val="clear" w:color="auto" w:fill="FFFFFF"/>
        </w:rPr>
        <w:t xml:space="preserve"> </w:t>
      </w:r>
    </w:p>
    <w:p w14:paraId="1AB97F09" w14:textId="46957BCF" w:rsidR="00265873" w:rsidRDefault="00265873" w:rsidP="009F702C">
      <w:pPr>
        <w:pStyle w:val="ListParagraph"/>
        <w:ind w:left="0"/>
      </w:pPr>
      <w:r>
        <w:t xml:space="preserve">The types of projects to be prioritised under the </w:t>
      </w:r>
      <w:r w:rsidR="00306777">
        <w:t>AHF</w:t>
      </w:r>
      <w:r>
        <w:t xml:space="preserve"> include those that support the National Hydrogen Strategy and focus on: </w:t>
      </w:r>
    </w:p>
    <w:p w14:paraId="594B4E77" w14:textId="2B2B940E" w:rsidR="00265873" w:rsidRDefault="00265873" w:rsidP="005D0F93">
      <w:pPr>
        <w:pStyle w:val="OutlineNumbered1"/>
        <w:numPr>
          <w:ilvl w:val="0"/>
          <w:numId w:val="45"/>
        </w:numPr>
        <w:tabs>
          <w:tab w:val="left" w:pos="720"/>
        </w:tabs>
        <w:ind w:left="1080"/>
      </w:pPr>
      <w:r>
        <w:t>advancing hydrogen production projects (for example: hydrogen and hydrogen carrier production facilities);</w:t>
      </w:r>
    </w:p>
    <w:p w14:paraId="390E0F09" w14:textId="0D55FC62" w:rsidR="00265873" w:rsidRDefault="00265873" w:rsidP="005D0F93">
      <w:pPr>
        <w:pStyle w:val="OutlineNumbered1"/>
        <w:numPr>
          <w:ilvl w:val="0"/>
          <w:numId w:val="45"/>
        </w:numPr>
        <w:tabs>
          <w:tab w:val="left" w:pos="720"/>
        </w:tabs>
        <w:ind w:left="1080"/>
      </w:pPr>
      <w:r>
        <w:t xml:space="preserve">developing export and domestic hydrogen supply chains, including hydrogen export industry infrastructure (for example: </w:t>
      </w:r>
      <w:r w:rsidR="00B71660">
        <w:t>liquefaction</w:t>
      </w:r>
      <w:r>
        <w:t xml:space="preserve"> infrastructure to support export); </w:t>
      </w:r>
    </w:p>
    <w:p w14:paraId="6B63A402" w14:textId="21571068" w:rsidR="00265873" w:rsidRDefault="00265873" w:rsidP="005D0F93">
      <w:pPr>
        <w:pStyle w:val="OutlineNumbered1"/>
        <w:numPr>
          <w:ilvl w:val="0"/>
          <w:numId w:val="45"/>
        </w:numPr>
        <w:tabs>
          <w:tab w:val="left" w:pos="720"/>
        </w:tabs>
        <w:ind w:left="1080"/>
      </w:pPr>
      <w:r>
        <w:t xml:space="preserve">establishing hydrogen hubs (for example: integrating hydrogen production and end user sectors in a locality); </w:t>
      </w:r>
      <w:r w:rsidR="006A058F">
        <w:t>and</w:t>
      </w:r>
    </w:p>
    <w:p w14:paraId="246D51C7" w14:textId="1EA4C65A" w:rsidR="005208E0" w:rsidRDefault="00265873" w:rsidP="00306777">
      <w:pPr>
        <w:pStyle w:val="OutlineNumbered1"/>
        <w:numPr>
          <w:ilvl w:val="0"/>
          <w:numId w:val="45"/>
        </w:numPr>
        <w:tabs>
          <w:tab w:val="left" w:pos="720"/>
        </w:tabs>
        <w:ind w:left="1080"/>
      </w:pPr>
      <w:r>
        <w:t xml:space="preserve">other projects that assist in building domestic demand for hydrogen (for example: enabling hydrogen to be used for industrial feedstocks and heating, blending hydrogen into gas networks, and using hydrogen for long-distance or heavy-duty transport). </w:t>
      </w:r>
    </w:p>
    <w:p w14:paraId="0DC177C5" w14:textId="58C8E9F9" w:rsidR="00D61BBF" w:rsidRDefault="00D61BBF" w:rsidP="00AA2F85">
      <w:pPr>
        <w:pStyle w:val="OutlineNumbered1"/>
        <w:numPr>
          <w:ilvl w:val="0"/>
          <w:numId w:val="0"/>
        </w:numPr>
        <w:tabs>
          <w:tab w:val="left" w:pos="720"/>
        </w:tabs>
      </w:pPr>
      <w:r>
        <w:t xml:space="preserve">The Board must </w:t>
      </w:r>
      <w:proofErr w:type="gramStart"/>
      <w:r>
        <w:t>take into account</w:t>
      </w:r>
      <w:proofErr w:type="gramEnd"/>
      <w:r>
        <w:t xml:space="preserve"> the advice of the Department of Climate Change, Energy, the Environment and Water on policy alignment to the National Hydrogen Strategy</w:t>
      </w:r>
      <w:r w:rsidR="00AA2F85">
        <w:t xml:space="preserve"> and in regard to the above investment factors</w:t>
      </w:r>
      <w:r>
        <w:t xml:space="preserve">. </w:t>
      </w:r>
    </w:p>
    <w:p w14:paraId="70348EA8" w14:textId="7A90E3B5" w:rsidR="00CF38D9" w:rsidRPr="00893822" w:rsidRDefault="00CF38D9" w:rsidP="00756F05">
      <w:pPr>
        <w:pStyle w:val="ListParagraph"/>
        <w:numPr>
          <w:ilvl w:val="0"/>
          <w:numId w:val="58"/>
        </w:numPr>
        <w:spacing w:before="0" w:after="240"/>
        <w:ind w:right="91"/>
        <w:rPr>
          <w:szCs w:val="24"/>
        </w:rPr>
      </w:pPr>
      <w:r w:rsidRPr="00893822">
        <w:rPr>
          <w:szCs w:val="24"/>
        </w:rPr>
        <w:t>Powering Australia Technology Fund</w:t>
      </w:r>
    </w:p>
    <w:p w14:paraId="03F2D1AD" w14:textId="7104CAF3" w:rsidR="00CF38D9" w:rsidRPr="004325E2" w:rsidRDefault="006C3703" w:rsidP="00C67C64">
      <w:pPr>
        <w:spacing w:after="240"/>
        <w:rPr>
          <w:color w:val="000000" w:themeColor="text1"/>
        </w:rPr>
      </w:pPr>
      <w:r>
        <w:rPr>
          <w:szCs w:val="24"/>
        </w:rPr>
        <w:t>S</w:t>
      </w:r>
      <w:r w:rsidR="007D034E">
        <w:rPr>
          <w:szCs w:val="24"/>
        </w:rPr>
        <w:t>ubs</w:t>
      </w:r>
      <w:r>
        <w:rPr>
          <w:szCs w:val="24"/>
        </w:rPr>
        <w:t xml:space="preserve">ection 16(3) provides </w:t>
      </w:r>
      <w:r w:rsidRPr="004325E2">
        <w:rPr>
          <w:szCs w:val="24"/>
        </w:rPr>
        <w:t xml:space="preserve">direction for the </w:t>
      </w:r>
      <w:r w:rsidRPr="004325E2">
        <w:rPr>
          <w:color w:val="000000" w:themeColor="text1"/>
        </w:rPr>
        <w:t>Powering Australia Technology Fund (PATF)</w:t>
      </w:r>
      <w:r w:rsidRPr="004325E2">
        <w:rPr>
          <w:szCs w:val="24"/>
        </w:rPr>
        <w:t xml:space="preserve">. </w:t>
      </w:r>
    </w:p>
    <w:p w14:paraId="241C2B93" w14:textId="099CF073" w:rsidR="00D40011" w:rsidRDefault="00D40011" w:rsidP="00126A7A">
      <w:pPr>
        <w:spacing w:before="0"/>
      </w:pPr>
      <w:r w:rsidRPr="00885306">
        <w:t xml:space="preserve">The </w:t>
      </w:r>
      <w:r w:rsidR="00920313" w:rsidRPr="00885306">
        <w:t xml:space="preserve">PATF will be a </w:t>
      </w:r>
      <w:r w:rsidR="00377052" w:rsidRPr="00885306">
        <w:t xml:space="preserve">$500 million </w:t>
      </w:r>
      <w:r w:rsidR="00490E25" w:rsidRPr="00885306">
        <w:t xml:space="preserve">sub-fund </w:t>
      </w:r>
      <w:r w:rsidRPr="00885306">
        <w:t xml:space="preserve">for </w:t>
      </w:r>
      <w:r w:rsidR="001E6C99" w:rsidRPr="00885306">
        <w:t xml:space="preserve">early </w:t>
      </w:r>
      <w:r w:rsidR="004832DC" w:rsidRPr="00885306">
        <w:t>stage</w:t>
      </w:r>
      <w:r w:rsidRPr="00885306">
        <w:t xml:space="preserve"> and expansion capital investments, to </w:t>
      </w:r>
      <w:r w:rsidR="00754430" w:rsidRPr="00885306">
        <w:t xml:space="preserve">support the growth or expansion of clean technology projects, businesses and/or entities (of any form including, without limitation, </w:t>
      </w:r>
      <w:proofErr w:type="gramStart"/>
      <w:r w:rsidR="00754430" w:rsidRPr="00885306">
        <w:t>companies</w:t>
      </w:r>
      <w:proofErr w:type="gramEnd"/>
      <w:r w:rsidR="00754430" w:rsidRPr="00885306">
        <w:t xml:space="preserve"> and funds) to facilitate the development, commercialisation or take up of clean energy technologies</w:t>
      </w:r>
      <w:r w:rsidRPr="00885306">
        <w:t>.</w:t>
      </w:r>
      <w:r>
        <w:t xml:space="preserve"> </w:t>
      </w:r>
    </w:p>
    <w:p w14:paraId="15989169" w14:textId="5B1CD0B0" w:rsidR="00D10A92" w:rsidRDefault="00E34068" w:rsidP="00D10A92">
      <w:pPr>
        <w:pStyle w:val="BodyText"/>
      </w:pPr>
      <w:r>
        <w:t xml:space="preserve">The PATF is </w:t>
      </w:r>
      <w:r w:rsidR="002067DE">
        <w:t>designed</w:t>
      </w:r>
      <w:r>
        <w:t xml:space="preserve"> to</w:t>
      </w:r>
      <w:r w:rsidR="00D10A92">
        <w:t xml:space="preserve"> fill a gap in the Australian market</w:t>
      </w:r>
      <w:r>
        <w:t xml:space="preserve"> for </w:t>
      </w:r>
      <w:r w:rsidR="00166BB4">
        <w:t>clean energy</w:t>
      </w:r>
      <w:r w:rsidR="00D10A92">
        <w:t xml:space="preserve">, technology-focussed </w:t>
      </w:r>
      <w:r w:rsidR="00166BB4">
        <w:t>entities</w:t>
      </w:r>
      <w:r w:rsidR="002067DE">
        <w:t xml:space="preserve"> which</w:t>
      </w:r>
      <w:r w:rsidR="00D10A92">
        <w:t xml:space="preserve"> are considered </w:t>
      </w:r>
      <w:r w:rsidR="002067DE">
        <w:t>higher risk</w:t>
      </w:r>
      <w:r w:rsidR="00D10A92">
        <w:t xml:space="preserve"> to finance</w:t>
      </w:r>
      <w:r w:rsidR="002067DE">
        <w:t xml:space="preserve">. </w:t>
      </w:r>
      <w:r w:rsidR="00D10A92" w:rsidRPr="00BD2EC9">
        <w:t>Growth capital can help expand the ability of these businesses</w:t>
      </w:r>
      <w:r w:rsidR="002067DE">
        <w:t xml:space="preserve"> and entities</w:t>
      </w:r>
      <w:r w:rsidR="00D10A92" w:rsidRPr="00BD2EC9">
        <w:t xml:space="preserve"> to scale up and assist commercialisation of the technologies.</w:t>
      </w:r>
    </w:p>
    <w:p w14:paraId="6606094E" w14:textId="77777777" w:rsidR="00590159" w:rsidRPr="004325E2" w:rsidRDefault="00590159" w:rsidP="00590159">
      <w:pPr>
        <w:spacing w:after="240"/>
        <w:rPr>
          <w:color w:val="000000" w:themeColor="text1"/>
        </w:rPr>
      </w:pPr>
      <w:r w:rsidRPr="004325E2">
        <w:rPr>
          <w:color w:val="000000" w:themeColor="text1"/>
        </w:rPr>
        <w:t>The Board must aim to leverage at least the equivalent amount of the funds provided for the purposes of PATF</w:t>
      </w:r>
      <w:r>
        <w:rPr>
          <w:color w:val="000000" w:themeColor="text1"/>
        </w:rPr>
        <w:t xml:space="preserve"> (</w:t>
      </w:r>
      <w:proofErr w:type="spellStart"/>
      <w:proofErr w:type="gramStart"/>
      <w:r>
        <w:rPr>
          <w:color w:val="000000" w:themeColor="text1"/>
        </w:rPr>
        <w:t>ie</w:t>
      </w:r>
      <w:proofErr w:type="spellEnd"/>
      <w:proofErr w:type="gramEnd"/>
      <w:r>
        <w:rPr>
          <w:color w:val="000000" w:themeColor="text1"/>
        </w:rPr>
        <w:t xml:space="preserve"> $500 million)</w:t>
      </w:r>
      <w:r w:rsidRPr="004325E2">
        <w:rPr>
          <w:color w:val="000000" w:themeColor="text1"/>
        </w:rPr>
        <w:t xml:space="preserve"> from the private sector. </w:t>
      </w:r>
    </w:p>
    <w:p w14:paraId="604E39EA" w14:textId="77777777" w:rsidR="0088161A" w:rsidRPr="00121A8D" w:rsidRDefault="0088161A" w:rsidP="00DE5FB1">
      <w:pPr>
        <w:pStyle w:val="ListParagraph"/>
        <w:numPr>
          <w:ilvl w:val="0"/>
          <w:numId w:val="58"/>
        </w:numPr>
        <w:spacing w:before="0" w:after="240"/>
        <w:ind w:right="91"/>
        <w:rPr>
          <w:szCs w:val="24"/>
        </w:rPr>
      </w:pPr>
      <w:r w:rsidRPr="00121A8D">
        <w:rPr>
          <w:szCs w:val="24"/>
        </w:rPr>
        <w:t>Household Energy Upgrades Fund</w:t>
      </w:r>
    </w:p>
    <w:p w14:paraId="1DD2CB36" w14:textId="1F76ED95" w:rsidR="00DE5FB1" w:rsidRPr="00126A7A" w:rsidRDefault="0088161A" w:rsidP="0088161A">
      <w:pPr>
        <w:spacing w:before="0" w:line="276" w:lineRule="auto"/>
        <w:rPr>
          <w:szCs w:val="24"/>
        </w:rPr>
      </w:pPr>
      <w:r w:rsidRPr="00126A7A">
        <w:rPr>
          <w:szCs w:val="24"/>
        </w:rPr>
        <w:t>S</w:t>
      </w:r>
      <w:r w:rsidR="006029B5" w:rsidRPr="00126A7A">
        <w:rPr>
          <w:szCs w:val="24"/>
        </w:rPr>
        <w:t>ubs</w:t>
      </w:r>
      <w:r w:rsidRPr="00126A7A">
        <w:rPr>
          <w:szCs w:val="24"/>
        </w:rPr>
        <w:t xml:space="preserve">ection 16(4) provides direction for the </w:t>
      </w:r>
      <w:r w:rsidRPr="00126A7A">
        <w:rPr>
          <w:color w:val="000000" w:themeColor="text1"/>
        </w:rPr>
        <w:t>Household Energy Upgrades Fund (HEUF)</w:t>
      </w:r>
      <w:r w:rsidRPr="00126A7A">
        <w:rPr>
          <w:szCs w:val="24"/>
        </w:rPr>
        <w:t xml:space="preserve">. </w:t>
      </w:r>
    </w:p>
    <w:p w14:paraId="7E946532" w14:textId="04A540B0" w:rsidR="0088161A" w:rsidRPr="00126A7A" w:rsidRDefault="0088161A" w:rsidP="00126A7A">
      <w:pPr>
        <w:spacing w:before="0"/>
      </w:pPr>
      <w:r w:rsidRPr="00126A7A">
        <w:lastRenderedPageBreak/>
        <w:t xml:space="preserve">The </w:t>
      </w:r>
      <w:r w:rsidR="000544E0" w:rsidRPr="00126A7A">
        <w:t>direction requires</w:t>
      </w:r>
      <w:r w:rsidRPr="00126A7A">
        <w:t xml:space="preserve"> the </w:t>
      </w:r>
      <w:r w:rsidR="000544E0" w:rsidRPr="00126A7A">
        <w:t>Board to make available up to</w:t>
      </w:r>
      <w:r w:rsidRPr="00126A7A">
        <w:t xml:space="preserve"> $1 billion </w:t>
      </w:r>
      <w:r w:rsidR="000544E0" w:rsidRPr="00126A7A">
        <w:t xml:space="preserve">of </w:t>
      </w:r>
      <w:r w:rsidR="000B3E74" w:rsidRPr="00126A7A">
        <w:t>funding for</w:t>
      </w:r>
      <w:r w:rsidRPr="00126A7A">
        <w:t xml:space="preserve"> concessional finance to support loans to incentivise </w:t>
      </w:r>
      <w:r w:rsidR="0060508F" w:rsidRPr="00126A7A">
        <w:t>the</w:t>
      </w:r>
      <w:r w:rsidR="00C2469C" w:rsidRPr="00126A7A">
        <w:t xml:space="preserve"> uptake of </w:t>
      </w:r>
      <w:r w:rsidR="00FC553A" w:rsidRPr="00126A7A">
        <w:t xml:space="preserve">clean </w:t>
      </w:r>
      <w:r w:rsidRPr="00126A7A">
        <w:t xml:space="preserve">energy </w:t>
      </w:r>
      <w:r w:rsidR="00FC553A" w:rsidRPr="00126A7A">
        <w:t xml:space="preserve">technology </w:t>
      </w:r>
      <w:r w:rsidR="00005E8C" w:rsidRPr="00126A7A">
        <w:t>measures</w:t>
      </w:r>
      <w:r w:rsidR="00644324" w:rsidRPr="00126A7A">
        <w:t xml:space="preserve"> (</w:t>
      </w:r>
      <w:r w:rsidR="00F76AA7" w:rsidRPr="00126A7A">
        <w:t>which may include but are not limited to: modern energy efficient appliances; better insulation and draft sealing</w:t>
      </w:r>
      <w:r w:rsidR="00644324" w:rsidRPr="00126A7A">
        <w:t>;</w:t>
      </w:r>
      <w:r w:rsidR="00F76AA7" w:rsidRPr="00126A7A">
        <w:t xml:space="preserve"> and</w:t>
      </w:r>
      <w:r w:rsidR="00644324" w:rsidRPr="00126A7A">
        <w:t>/or</w:t>
      </w:r>
      <w:r w:rsidR="00F76AA7" w:rsidRPr="00126A7A">
        <w:t xml:space="preserve"> battery-ready solar PV</w:t>
      </w:r>
      <w:r w:rsidR="00644324" w:rsidRPr="00126A7A">
        <w:t>)</w:t>
      </w:r>
      <w:r w:rsidR="003D5A66" w:rsidRPr="00126A7A">
        <w:t xml:space="preserve"> </w:t>
      </w:r>
      <w:r w:rsidRPr="00126A7A">
        <w:t xml:space="preserve">for </w:t>
      </w:r>
      <w:r w:rsidR="00DC2B21" w:rsidRPr="00126A7A">
        <w:t>existing</w:t>
      </w:r>
      <w:r w:rsidRPr="00126A7A">
        <w:t xml:space="preserve"> residential dwellings</w:t>
      </w:r>
      <w:r w:rsidR="00DC2B21" w:rsidRPr="00126A7A">
        <w:t xml:space="preserve"> and knock down rebuild projects that exceed national construction code requirements, </w:t>
      </w:r>
      <w:r w:rsidR="001F55F7" w:rsidRPr="00126A7A">
        <w:t>prioritising</w:t>
      </w:r>
      <w:r w:rsidR="00DC2B21" w:rsidRPr="00126A7A">
        <w:t xml:space="preserve"> those in lower categories of energy performance</w:t>
      </w:r>
      <w:r w:rsidRPr="00126A7A">
        <w:t xml:space="preserve">.  </w:t>
      </w:r>
    </w:p>
    <w:p w14:paraId="5C97DA4D" w14:textId="7884C79E" w:rsidR="00744FB4" w:rsidRPr="00126A7A" w:rsidRDefault="00744FB4" w:rsidP="00744FB4">
      <w:pPr>
        <w:pStyle w:val="BodyText"/>
      </w:pPr>
      <w:r w:rsidRPr="00126A7A">
        <w:t xml:space="preserve">The HEUF is designed to support Australian financial institutions </w:t>
      </w:r>
      <w:r w:rsidR="00121A8D">
        <w:t xml:space="preserve">to </w:t>
      </w:r>
      <w:r w:rsidRPr="00126A7A">
        <w:t xml:space="preserve">establish credible green consumer loan programs. These programs will be informed by government and industry bodies in relation to technologies that deliver significant long term energy improvement, sustainable finance frameworks and set up in such a way that </w:t>
      </w:r>
      <w:r w:rsidR="00A43E64" w:rsidRPr="00126A7A">
        <w:t xml:space="preserve">the outcomes </w:t>
      </w:r>
      <w:r w:rsidRPr="00126A7A">
        <w:t xml:space="preserve">will be able to be eventually funded in the green capital markets. </w:t>
      </w:r>
      <w:r w:rsidR="00760B46" w:rsidRPr="00126A7A">
        <w:t>The HEUF</w:t>
      </w:r>
      <w:r w:rsidRPr="00126A7A">
        <w:t xml:space="preserve"> will help establish minimum standards, using new and existing tools and government policies, for Australia’s green consumer loans for retrofits with respect to technical specifications, impact reporting and data collection.</w:t>
      </w:r>
    </w:p>
    <w:p w14:paraId="489EA21A" w14:textId="2BF6FC27" w:rsidR="00744FB4" w:rsidRPr="00126A7A" w:rsidRDefault="00744FB4" w:rsidP="00744FB4">
      <w:pPr>
        <w:pStyle w:val="BodyText"/>
      </w:pPr>
      <w:r w:rsidRPr="00126A7A">
        <w:t>The HEUF aims to encourage the building sector and related supply chains to gradually build to deliver upgrades at scale due to a lift in retrofits, appliance sales and construction activity.</w:t>
      </w:r>
    </w:p>
    <w:p w14:paraId="08BD8907" w14:textId="42319304" w:rsidR="00744FB4" w:rsidRPr="00126A7A" w:rsidRDefault="000267BD" w:rsidP="00744FB4">
      <w:pPr>
        <w:pStyle w:val="BodyText"/>
      </w:pPr>
      <w:r w:rsidRPr="00126A7A">
        <w:t>By working to develop and embed new market standards</w:t>
      </w:r>
      <w:r w:rsidR="00744FB4" w:rsidRPr="00126A7A">
        <w:t xml:space="preserve"> HEUF aims to support wholesale investors in Australia’s green consumer loan debt issuances.</w:t>
      </w:r>
    </w:p>
    <w:p w14:paraId="490A12D3" w14:textId="6D6F3310" w:rsidR="0088161A" w:rsidRPr="00126A7A" w:rsidRDefault="0088161A" w:rsidP="0088161A">
      <w:pPr>
        <w:spacing w:after="240"/>
        <w:rPr>
          <w:color w:val="000000" w:themeColor="text1"/>
        </w:rPr>
      </w:pPr>
      <w:r w:rsidRPr="00126A7A">
        <w:rPr>
          <w:color w:val="000000" w:themeColor="text1"/>
        </w:rPr>
        <w:t>The Board must aim to leverage at least the equivalent amount of the funds provided for the purposes of HEUF from the private sector.</w:t>
      </w:r>
    </w:p>
    <w:p w14:paraId="3F05C5FD" w14:textId="3EDD2392" w:rsidR="00760F4E" w:rsidRPr="00126A7A" w:rsidRDefault="009F56CC" w:rsidP="0049106E">
      <w:pPr>
        <w:spacing w:before="0" w:after="240"/>
        <w:rPr>
          <w:rStyle w:val="Hyperlink"/>
          <w:color w:val="auto"/>
          <w:szCs w:val="24"/>
          <w:u w:val="none"/>
        </w:rPr>
      </w:pPr>
      <w:bookmarkStart w:id="3" w:name="_Hlk136966781"/>
      <w:r w:rsidRPr="00126A7A">
        <w:rPr>
          <w:rStyle w:val="Hyperlink"/>
          <w:color w:val="auto"/>
          <w:szCs w:val="24"/>
          <w:u w:val="none"/>
        </w:rPr>
        <w:t xml:space="preserve">The Board, in relation to all investments made for the purposes of HEUF, </w:t>
      </w:r>
      <w:r w:rsidR="00D715E0" w:rsidRPr="00126A7A">
        <w:rPr>
          <w:rStyle w:val="Hyperlink"/>
          <w:color w:val="auto"/>
          <w:szCs w:val="24"/>
          <w:u w:val="none"/>
        </w:rPr>
        <w:t xml:space="preserve">may </w:t>
      </w:r>
      <w:r w:rsidRPr="00126A7A">
        <w:rPr>
          <w:rStyle w:val="Hyperlink"/>
          <w:color w:val="auto"/>
          <w:szCs w:val="24"/>
          <w:u w:val="none"/>
        </w:rPr>
        <w:t>deploy</w:t>
      </w:r>
      <w:r w:rsidR="00686B28" w:rsidRPr="00126A7A">
        <w:rPr>
          <w:rStyle w:val="Hyperlink"/>
          <w:color w:val="auto"/>
          <w:szCs w:val="24"/>
          <w:u w:val="none"/>
        </w:rPr>
        <w:t xml:space="preserve"> the</w:t>
      </w:r>
      <w:r w:rsidR="00292BC8" w:rsidRPr="00126A7A">
        <w:rPr>
          <w:rStyle w:val="Hyperlink"/>
          <w:color w:val="auto"/>
          <w:szCs w:val="24"/>
          <w:u w:val="none"/>
        </w:rPr>
        <w:t xml:space="preserve"> </w:t>
      </w:r>
      <w:r w:rsidR="00686B28" w:rsidRPr="00126A7A">
        <w:rPr>
          <w:rStyle w:val="Hyperlink"/>
          <w:color w:val="auto"/>
          <w:szCs w:val="24"/>
          <w:u w:val="none"/>
        </w:rPr>
        <w:t xml:space="preserve">amount of </w:t>
      </w:r>
      <w:proofErr w:type="spellStart"/>
      <w:r w:rsidR="00686B28" w:rsidRPr="00126A7A">
        <w:rPr>
          <w:rStyle w:val="Hyperlink"/>
          <w:color w:val="auto"/>
          <w:szCs w:val="24"/>
          <w:u w:val="none"/>
        </w:rPr>
        <w:t>concessionality</w:t>
      </w:r>
      <w:proofErr w:type="spellEnd"/>
      <w:r w:rsidR="00686B28" w:rsidRPr="00126A7A">
        <w:rPr>
          <w:rStyle w:val="Hyperlink"/>
          <w:color w:val="auto"/>
          <w:szCs w:val="24"/>
          <w:u w:val="none"/>
        </w:rPr>
        <w:t xml:space="preserve"> </w:t>
      </w:r>
      <w:r w:rsidR="00D715E0" w:rsidRPr="00126A7A">
        <w:rPr>
          <w:rStyle w:val="Hyperlink"/>
          <w:color w:val="auto"/>
          <w:szCs w:val="24"/>
          <w:u w:val="none"/>
        </w:rPr>
        <w:t xml:space="preserve">it deems </w:t>
      </w:r>
      <w:r w:rsidR="00686B28" w:rsidRPr="00126A7A">
        <w:rPr>
          <w:rStyle w:val="Hyperlink"/>
          <w:color w:val="auto"/>
          <w:szCs w:val="24"/>
          <w:u w:val="none"/>
        </w:rPr>
        <w:t>required</w:t>
      </w:r>
      <w:r w:rsidR="00D715E0" w:rsidRPr="00126A7A">
        <w:rPr>
          <w:rStyle w:val="Hyperlink"/>
          <w:color w:val="auto"/>
          <w:szCs w:val="24"/>
          <w:u w:val="none"/>
        </w:rPr>
        <w:t xml:space="preserve"> </w:t>
      </w:r>
      <w:proofErr w:type="gramStart"/>
      <w:r w:rsidR="00D715E0" w:rsidRPr="00126A7A">
        <w:rPr>
          <w:rStyle w:val="Hyperlink"/>
          <w:color w:val="auto"/>
          <w:szCs w:val="24"/>
          <w:u w:val="none"/>
        </w:rPr>
        <w:t>in order</w:t>
      </w:r>
      <w:r w:rsidR="00686B28" w:rsidRPr="00126A7A">
        <w:rPr>
          <w:rStyle w:val="Hyperlink"/>
          <w:color w:val="auto"/>
          <w:szCs w:val="24"/>
          <w:u w:val="none"/>
        </w:rPr>
        <w:t xml:space="preserve"> to</w:t>
      </w:r>
      <w:proofErr w:type="gramEnd"/>
      <w:r w:rsidR="00686B28" w:rsidRPr="00126A7A">
        <w:rPr>
          <w:rStyle w:val="Hyperlink"/>
          <w:color w:val="auto"/>
          <w:szCs w:val="24"/>
          <w:u w:val="none"/>
        </w:rPr>
        <w:t xml:space="preserve"> achieve the Government’s objectives</w:t>
      </w:r>
      <w:r w:rsidR="00D715E0" w:rsidRPr="00126A7A">
        <w:rPr>
          <w:rStyle w:val="Hyperlink"/>
          <w:color w:val="auto"/>
          <w:szCs w:val="24"/>
          <w:u w:val="none"/>
        </w:rPr>
        <w:t xml:space="preserve"> and </w:t>
      </w:r>
      <w:r w:rsidR="00BA580F" w:rsidRPr="00126A7A">
        <w:t>to provide concessional loans to incentivise</w:t>
      </w:r>
      <w:r w:rsidR="00292BC8" w:rsidRPr="00126A7A">
        <w:t xml:space="preserve"> uptake of</w:t>
      </w:r>
      <w:r w:rsidR="00BA580F" w:rsidRPr="00126A7A">
        <w:t xml:space="preserve"> clean energy technology measures for residential dwellings.</w:t>
      </w:r>
      <w:r w:rsidRPr="00126A7A">
        <w:rPr>
          <w:rStyle w:val="Hyperlink"/>
          <w:color w:val="auto"/>
          <w:szCs w:val="24"/>
          <w:u w:val="none"/>
        </w:rPr>
        <w:t xml:space="preserve"> </w:t>
      </w:r>
      <w:r w:rsidR="00760F4E" w:rsidRPr="00126A7A">
        <w:rPr>
          <w:rStyle w:val="Hyperlink"/>
          <w:color w:val="auto"/>
          <w:szCs w:val="24"/>
          <w:u w:val="none"/>
        </w:rPr>
        <w:t xml:space="preserve">The Board will </w:t>
      </w:r>
      <w:r w:rsidR="00AC4F28">
        <w:rPr>
          <w:rStyle w:val="Hyperlink"/>
          <w:color w:val="auto"/>
          <w:szCs w:val="24"/>
          <w:u w:val="none"/>
        </w:rPr>
        <w:t xml:space="preserve">only </w:t>
      </w:r>
      <w:r w:rsidR="00760F4E" w:rsidRPr="00126A7A">
        <w:rPr>
          <w:rStyle w:val="Hyperlink"/>
          <w:color w:val="auto"/>
          <w:szCs w:val="24"/>
          <w:u w:val="none"/>
        </w:rPr>
        <w:t xml:space="preserve">apply </w:t>
      </w:r>
      <w:proofErr w:type="spellStart"/>
      <w:r w:rsidR="00760F4E" w:rsidRPr="00126A7A">
        <w:rPr>
          <w:rStyle w:val="Hyperlink"/>
          <w:color w:val="auto"/>
          <w:szCs w:val="24"/>
          <w:u w:val="none"/>
        </w:rPr>
        <w:t>concessionality</w:t>
      </w:r>
      <w:proofErr w:type="spellEnd"/>
      <w:r w:rsidR="00760F4E" w:rsidRPr="00126A7A">
        <w:rPr>
          <w:rStyle w:val="Hyperlink"/>
          <w:color w:val="auto"/>
          <w:szCs w:val="24"/>
          <w:u w:val="none"/>
        </w:rPr>
        <w:t xml:space="preserve"> in line with its risk and return settings</w:t>
      </w:r>
      <w:r w:rsidR="00E46C3C">
        <w:rPr>
          <w:rStyle w:val="Hyperlink"/>
          <w:color w:val="auto"/>
          <w:szCs w:val="24"/>
          <w:u w:val="none"/>
        </w:rPr>
        <w:t xml:space="preserve"> </w:t>
      </w:r>
      <w:r w:rsidR="00AC4F28">
        <w:rPr>
          <w:rStyle w:val="Hyperlink"/>
          <w:color w:val="auto"/>
          <w:szCs w:val="24"/>
          <w:u w:val="none"/>
        </w:rPr>
        <w:t>and to optimise impact in line with the Government objectives</w:t>
      </w:r>
      <w:r w:rsidR="004C1C5D">
        <w:rPr>
          <w:rStyle w:val="Hyperlink"/>
          <w:color w:val="auto"/>
          <w:szCs w:val="24"/>
          <w:u w:val="none"/>
        </w:rPr>
        <w:t xml:space="preserve"> </w:t>
      </w:r>
      <w:r w:rsidR="00760F4E" w:rsidRPr="00126A7A">
        <w:rPr>
          <w:rStyle w:val="Hyperlink"/>
          <w:color w:val="auto"/>
          <w:szCs w:val="24"/>
          <w:u w:val="none"/>
        </w:rPr>
        <w:t xml:space="preserve">for </w:t>
      </w:r>
      <w:r w:rsidR="00AC4F28">
        <w:rPr>
          <w:rStyle w:val="Hyperlink"/>
          <w:color w:val="auto"/>
          <w:szCs w:val="24"/>
          <w:u w:val="none"/>
        </w:rPr>
        <w:t xml:space="preserve">the </w:t>
      </w:r>
      <w:r w:rsidRPr="00126A7A">
        <w:rPr>
          <w:rStyle w:val="Hyperlink"/>
          <w:color w:val="auto"/>
          <w:szCs w:val="24"/>
          <w:u w:val="none"/>
        </w:rPr>
        <w:t>HEUF</w:t>
      </w:r>
      <w:r w:rsidR="00760F4E" w:rsidRPr="00126A7A">
        <w:rPr>
          <w:rStyle w:val="Hyperlink"/>
          <w:color w:val="auto"/>
          <w:szCs w:val="24"/>
          <w:u w:val="none"/>
        </w:rPr>
        <w:t xml:space="preserve">. This </w:t>
      </w:r>
      <w:proofErr w:type="spellStart"/>
      <w:r w:rsidR="00760F4E" w:rsidRPr="00126A7A">
        <w:rPr>
          <w:rStyle w:val="Hyperlink"/>
          <w:color w:val="auto"/>
          <w:szCs w:val="24"/>
          <w:u w:val="none"/>
        </w:rPr>
        <w:t>concessionality</w:t>
      </w:r>
      <w:proofErr w:type="spellEnd"/>
      <w:r w:rsidR="00760F4E" w:rsidRPr="00126A7A">
        <w:rPr>
          <w:rStyle w:val="Hyperlink"/>
          <w:color w:val="auto"/>
          <w:szCs w:val="24"/>
          <w:u w:val="none"/>
        </w:rPr>
        <w:t xml:space="preserve"> setting is critical to enable the Corporation to deliver on the policy objectives of </w:t>
      </w:r>
      <w:r w:rsidR="001F4199" w:rsidRPr="00126A7A">
        <w:rPr>
          <w:rStyle w:val="Hyperlink"/>
          <w:color w:val="auto"/>
          <w:szCs w:val="24"/>
          <w:u w:val="none"/>
        </w:rPr>
        <w:t>HEUF</w:t>
      </w:r>
      <w:r w:rsidR="00760F4E" w:rsidRPr="00126A7A">
        <w:rPr>
          <w:rStyle w:val="Hyperlink"/>
          <w:color w:val="auto"/>
          <w:szCs w:val="24"/>
          <w:u w:val="none"/>
        </w:rPr>
        <w:t>.</w:t>
      </w:r>
    </w:p>
    <w:bookmarkEnd w:id="3"/>
    <w:p w14:paraId="2280F289" w14:textId="506B1F0E" w:rsidR="0088161A" w:rsidRPr="00126A7A" w:rsidRDefault="0088161A" w:rsidP="0088161A">
      <w:pPr>
        <w:spacing w:before="0" w:after="240"/>
        <w:rPr>
          <w:rStyle w:val="Hyperlink"/>
          <w:color w:val="auto"/>
          <w:szCs w:val="24"/>
          <w:u w:val="none"/>
        </w:rPr>
      </w:pPr>
      <w:r w:rsidRPr="00126A7A">
        <w:rPr>
          <w:rStyle w:val="Hyperlink"/>
          <w:color w:val="auto"/>
          <w:szCs w:val="24"/>
          <w:u w:val="none"/>
        </w:rPr>
        <w:t>The</w:t>
      </w:r>
      <w:r w:rsidRPr="00126A7A">
        <w:rPr>
          <w:szCs w:val="24"/>
        </w:rPr>
        <w:t xml:space="preserve"> </w:t>
      </w:r>
      <w:r w:rsidR="00B47C31" w:rsidRPr="00126A7A">
        <w:rPr>
          <w:szCs w:val="24"/>
        </w:rPr>
        <w:t>G</w:t>
      </w:r>
      <w:r w:rsidRPr="00126A7A">
        <w:rPr>
          <w:rStyle w:val="Hyperlink"/>
          <w:color w:val="auto"/>
          <w:szCs w:val="24"/>
          <w:u w:val="none"/>
        </w:rPr>
        <w:t>overnment expects the Corporation to co</w:t>
      </w:r>
      <w:r w:rsidR="00112DA5" w:rsidRPr="00126A7A">
        <w:rPr>
          <w:rStyle w:val="Hyperlink"/>
          <w:color w:val="auto"/>
          <w:szCs w:val="24"/>
          <w:u w:val="none"/>
        </w:rPr>
        <w:t>llaborate</w:t>
      </w:r>
      <w:r w:rsidRPr="00126A7A">
        <w:rPr>
          <w:rStyle w:val="Hyperlink"/>
          <w:color w:val="auto"/>
          <w:szCs w:val="24"/>
          <w:u w:val="none"/>
        </w:rPr>
        <w:t xml:space="preserve"> with the Department of Climate Change, Energy, the Environment and Water in relation to </w:t>
      </w:r>
      <w:r w:rsidR="007C0453" w:rsidRPr="00126A7A">
        <w:rPr>
          <w:rStyle w:val="Hyperlink"/>
          <w:color w:val="auto"/>
          <w:szCs w:val="24"/>
          <w:u w:val="none"/>
        </w:rPr>
        <w:t xml:space="preserve">the </w:t>
      </w:r>
      <w:r w:rsidR="00112DA5" w:rsidRPr="00126A7A">
        <w:rPr>
          <w:rStyle w:val="Hyperlink"/>
          <w:color w:val="auto"/>
          <w:szCs w:val="24"/>
          <w:u w:val="none"/>
        </w:rPr>
        <w:t xml:space="preserve">design and development </w:t>
      </w:r>
      <w:r w:rsidRPr="00126A7A">
        <w:rPr>
          <w:rStyle w:val="Hyperlink"/>
          <w:color w:val="auto"/>
          <w:szCs w:val="24"/>
          <w:u w:val="none"/>
        </w:rPr>
        <w:t xml:space="preserve">of the </w:t>
      </w:r>
      <w:r w:rsidR="00343824">
        <w:rPr>
          <w:rStyle w:val="Hyperlink"/>
          <w:color w:val="auto"/>
          <w:szCs w:val="24"/>
          <w:u w:val="none"/>
        </w:rPr>
        <w:t>HEUF</w:t>
      </w:r>
      <w:r w:rsidRPr="00126A7A">
        <w:rPr>
          <w:rStyle w:val="Hyperlink"/>
          <w:color w:val="auto"/>
          <w:szCs w:val="24"/>
          <w:u w:val="none"/>
        </w:rPr>
        <w:t xml:space="preserve">. </w:t>
      </w:r>
    </w:p>
    <w:p w14:paraId="610DD021" w14:textId="32370F74" w:rsidR="0018799D" w:rsidRPr="00126A7A" w:rsidRDefault="0018799D" w:rsidP="0088161A">
      <w:pPr>
        <w:spacing w:before="0" w:after="240"/>
        <w:rPr>
          <w:szCs w:val="24"/>
        </w:rPr>
      </w:pPr>
      <w:r w:rsidRPr="00126A7A">
        <w:rPr>
          <w:rStyle w:val="Hyperlink"/>
          <w:color w:val="auto"/>
          <w:u w:val="none"/>
        </w:rPr>
        <w:t xml:space="preserve">The section also clarifies that investments under the HEUF are to commence from a date agreed between the Board and the nominated Minister. </w:t>
      </w:r>
    </w:p>
    <w:p w14:paraId="38C8949C" w14:textId="21E4F664" w:rsidR="00424486" w:rsidRPr="00126A7A" w:rsidRDefault="00624F8B" w:rsidP="001918F2">
      <w:pPr>
        <w:keepNext/>
        <w:spacing w:before="0" w:after="240"/>
        <w:rPr>
          <w:i/>
          <w:szCs w:val="24"/>
        </w:rPr>
      </w:pPr>
      <w:r w:rsidRPr="00126A7A">
        <w:rPr>
          <w:i/>
          <w:szCs w:val="24"/>
        </w:rPr>
        <w:t>Specialised Investment Funds</w:t>
      </w:r>
      <w:r w:rsidR="00F142AC" w:rsidRPr="00126A7A">
        <w:rPr>
          <w:i/>
          <w:szCs w:val="24"/>
        </w:rPr>
        <w:t xml:space="preserve"> </w:t>
      </w:r>
      <w:r w:rsidR="00122480" w:rsidRPr="00126A7A">
        <w:rPr>
          <w:i/>
          <w:szCs w:val="24"/>
        </w:rPr>
        <w:t xml:space="preserve">– </w:t>
      </w:r>
      <w:r w:rsidR="00847279" w:rsidRPr="00126A7A">
        <w:rPr>
          <w:i/>
          <w:szCs w:val="24"/>
        </w:rPr>
        <w:t>B</w:t>
      </w:r>
      <w:r w:rsidR="00B21156" w:rsidRPr="00126A7A">
        <w:rPr>
          <w:i/>
          <w:szCs w:val="24"/>
        </w:rPr>
        <w:t xml:space="preserve">enchmark </w:t>
      </w:r>
      <w:r w:rsidR="00505142" w:rsidRPr="00126A7A">
        <w:rPr>
          <w:i/>
          <w:szCs w:val="24"/>
        </w:rPr>
        <w:t xml:space="preserve">rate of </w:t>
      </w:r>
      <w:r w:rsidR="00B21156" w:rsidRPr="00126A7A">
        <w:rPr>
          <w:i/>
          <w:szCs w:val="24"/>
        </w:rPr>
        <w:t>return</w:t>
      </w:r>
    </w:p>
    <w:p w14:paraId="074D4BA1" w14:textId="49BEA60D" w:rsidR="00426150" w:rsidRPr="00126A7A" w:rsidRDefault="00426150" w:rsidP="003D484B">
      <w:pPr>
        <w:spacing w:before="0" w:after="240"/>
        <w:rPr>
          <w:szCs w:val="24"/>
        </w:rPr>
      </w:pPr>
      <w:r w:rsidRPr="00126A7A">
        <w:rPr>
          <w:szCs w:val="24"/>
        </w:rPr>
        <w:t xml:space="preserve">In relation to </w:t>
      </w:r>
      <w:r w:rsidR="00F142AC" w:rsidRPr="00126A7A">
        <w:rPr>
          <w:szCs w:val="24"/>
        </w:rPr>
        <w:t>CEI</w:t>
      </w:r>
      <w:r w:rsidR="00F97F03" w:rsidRPr="00126A7A">
        <w:rPr>
          <w:szCs w:val="24"/>
        </w:rPr>
        <w:t>F</w:t>
      </w:r>
      <w:r w:rsidR="00F142AC" w:rsidRPr="00126A7A">
        <w:rPr>
          <w:szCs w:val="24"/>
        </w:rPr>
        <w:t>, AH</w:t>
      </w:r>
      <w:r w:rsidR="00F97F03" w:rsidRPr="00126A7A">
        <w:rPr>
          <w:szCs w:val="24"/>
        </w:rPr>
        <w:t>F</w:t>
      </w:r>
      <w:r w:rsidR="00F142AC" w:rsidRPr="00126A7A">
        <w:rPr>
          <w:szCs w:val="24"/>
        </w:rPr>
        <w:t xml:space="preserve"> and PAT</w:t>
      </w:r>
      <w:r w:rsidR="00F97F03" w:rsidRPr="00126A7A">
        <w:rPr>
          <w:szCs w:val="24"/>
        </w:rPr>
        <w:t>F</w:t>
      </w:r>
      <w:r w:rsidR="00F142AC" w:rsidRPr="00126A7A">
        <w:rPr>
          <w:szCs w:val="24"/>
        </w:rPr>
        <w:t xml:space="preserve"> </w:t>
      </w:r>
      <w:r w:rsidRPr="00126A7A">
        <w:rPr>
          <w:szCs w:val="24"/>
        </w:rPr>
        <w:t>investment</w:t>
      </w:r>
      <w:r w:rsidR="00F142AC" w:rsidRPr="00126A7A">
        <w:rPr>
          <w:szCs w:val="24"/>
        </w:rPr>
        <w:t>s</w:t>
      </w:r>
      <w:r w:rsidRPr="00126A7A">
        <w:rPr>
          <w:szCs w:val="24"/>
        </w:rPr>
        <w:t xml:space="preserve">, the Board is to target an average return of at least the </w:t>
      </w:r>
      <w:r w:rsidR="00F142AC" w:rsidRPr="00126A7A">
        <w:rPr>
          <w:szCs w:val="24"/>
        </w:rPr>
        <w:t>5</w:t>
      </w:r>
      <w:r w:rsidRPr="00126A7A">
        <w:rPr>
          <w:szCs w:val="24"/>
        </w:rPr>
        <w:t xml:space="preserve">-year bond rate </w:t>
      </w:r>
      <w:r w:rsidR="009B0FFC" w:rsidRPr="00126A7A">
        <w:rPr>
          <w:szCs w:val="24"/>
        </w:rPr>
        <w:t>+</w:t>
      </w:r>
      <w:r w:rsidRPr="00126A7A">
        <w:rPr>
          <w:szCs w:val="24"/>
        </w:rPr>
        <w:t>1 per cent per annum</w:t>
      </w:r>
      <w:r w:rsidR="00505142" w:rsidRPr="00126A7A">
        <w:rPr>
          <w:szCs w:val="24"/>
        </w:rPr>
        <w:t xml:space="preserve"> over the medium to long term</w:t>
      </w:r>
      <w:r w:rsidRPr="00126A7A">
        <w:rPr>
          <w:szCs w:val="24"/>
        </w:rPr>
        <w:t xml:space="preserve">. </w:t>
      </w:r>
    </w:p>
    <w:p w14:paraId="629F17E8" w14:textId="539EA142" w:rsidR="003B2C46" w:rsidRPr="003D484B" w:rsidRDefault="003B2C46" w:rsidP="003D484B">
      <w:pPr>
        <w:spacing w:before="0" w:after="240"/>
        <w:rPr>
          <w:szCs w:val="24"/>
        </w:rPr>
      </w:pPr>
      <w:r w:rsidRPr="00126A7A">
        <w:rPr>
          <w:szCs w:val="24"/>
        </w:rPr>
        <w:t>In relation to HEUF investments, the Board is to target an average return of at least the 5-year bond rate +0.5 per cent per annum over the medium to long term.</w:t>
      </w:r>
    </w:p>
    <w:p w14:paraId="2E5B31C5" w14:textId="5CA37726" w:rsidR="00426150" w:rsidRPr="003D484B" w:rsidRDefault="00426150" w:rsidP="003D484B">
      <w:pPr>
        <w:spacing w:before="0" w:after="240"/>
        <w:rPr>
          <w:szCs w:val="24"/>
        </w:rPr>
      </w:pPr>
      <w:r w:rsidRPr="003D484B">
        <w:rPr>
          <w:szCs w:val="24"/>
        </w:rPr>
        <w:t xml:space="preserve">For each investment in this category, an individual reference rate will first be calculated using the </w:t>
      </w:r>
      <w:r w:rsidR="00F142AC">
        <w:rPr>
          <w:szCs w:val="24"/>
        </w:rPr>
        <w:t>5</w:t>
      </w:r>
      <w:r w:rsidRPr="003D484B">
        <w:rPr>
          <w:szCs w:val="24"/>
        </w:rPr>
        <w:t xml:space="preserve">-year Australian Government bond rate applicable at the time </w:t>
      </w:r>
      <w:r w:rsidR="009B0FFC">
        <w:rPr>
          <w:szCs w:val="24"/>
        </w:rPr>
        <w:lastRenderedPageBreak/>
        <w:t>+</w:t>
      </w:r>
      <w:r w:rsidRPr="003D484B">
        <w:rPr>
          <w:szCs w:val="24"/>
        </w:rPr>
        <w:t>1</w:t>
      </w:r>
      <w:r w:rsidR="00BE2529">
        <w:rPr>
          <w:szCs w:val="24"/>
        </w:rPr>
        <w:t> </w:t>
      </w:r>
      <w:r w:rsidR="00B303F7">
        <w:rPr>
          <w:szCs w:val="24"/>
        </w:rPr>
        <w:t xml:space="preserve">per cent </w:t>
      </w:r>
      <w:r w:rsidR="001268E0">
        <w:rPr>
          <w:szCs w:val="24"/>
        </w:rPr>
        <w:t xml:space="preserve">(for CEIF, AHF and PATF investments) </w:t>
      </w:r>
      <w:r w:rsidR="003B2C46">
        <w:rPr>
          <w:szCs w:val="24"/>
        </w:rPr>
        <w:t xml:space="preserve">or </w:t>
      </w:r>
      <w:r w:rsidR="001268E0">
        <w:rPr>
          <w:szCs w:val="24"/>
        </w:rPr>
        <w:t>+0.5</w:t>
      </w:r>
      <w:r w:rsidR="00C13890">
        <w:rPr>
          <w:szCs w:val="24"/>
        </w:rPr>
        <w:t xml:space="preserve"> </w:t>
      </w:r>
      <w:r w:rsidR="00B303F7">
        <w:rPr>
          <w:szCs w:val="24"/>
        </w:rPr>
        <w:t>per cent</w:t>
      </w:r>
      <w:r w:rsidR="00C13890">
        <w:rPr>
          <w:szCs w:val="24"/>
        </w:rPr>
        <w:t xml:space="preserve"> (for HEUF investments)</w:t>
      </w:r>
      <w:r w:rsidR="001268E0">
        <w:rPr>
          <w:szCs w:val="24"/>
        </w:rPr>
        <w:t xml:space="preserve"> </w:t>
      </w:r>
      <w:r w:rsidRPr="003D484B">
        <w:rPr>
          <w:szCs w:val="24"/>
        </w:rPr>
        <w:t>per annum. The benchmark return for</w:t>
      </w:r>
      <w:r w:rsidR="00F142AC">
        <w:rPr>
          <w:szCs w:val="24"/>
        </w:rPr>
        <w:t xml:space="preserve"> relevant investments </w:t>
      </w:r>
      <w:r w:rsidRPr="003D484B">
        <w:rPr>
          <w:szCs w:val="24"/>
        </w:rPr>
        <w:t xml:space="preserve">will then be determined by taking the series of individual reference rates for each </w:t>
      </w:r>
      <w:r w:rsidR="00C2098F" w:rsidRPr="003D484B">
        <w:rPr>
          <w:szCs w:val="24"/>
        </w:rPr>
        <w:t>investment</w:t>
      </w:r>
      <w:r w:rsidR="00215751">
        <w:rPr>
          <w:szCs w:val="24"/>
        </w:rPr>
        <w:t xml:space="preserve"> </w:t>
      </w:r>
      <w:r w:rsidR="00C2098F" w:rsidRPr="003D484B">
        <w:rPr>
          <w:szCs w:val="24"/>
        </w:rPr>
        <w:t>and</w:t>
      </w:r>
      <w:r w:rsidRPr="003D484B">
        <w:rPr>
          <w:szCs w:val="24"/>
        </w:rPr>
        <w:t xml:space="preserve"> weighting them for each individual investment. </w:t>
      </w:r>
    </w:p>
    <w:p w14:paraId="4EFBF525" w14:textId="196E4762" w:rsidR="001F1E95" w:rsidRDefault="00426150" w:rsidP="003D484B">
      <w:pPr>
        <w:spacing w:before="0" w:after="240"/>
        <w:rPr>
          <w:szCs w:val="24"/>
        </w:rPr>
      </w:pPr>
      <w:r w:rsidRPr="003D484B">
        <w:rPr>
          <w:szCs w:val="24"/>
        </w:rPr>
        <w:t xml:space="preserve">Performance against the benchmark return for </w:t>
      </w:r>
      <w:r w:rsidR="00F142AC">
        <w:rPr>
          <w:szCs w:val="24"/>
        </w:rPr>
        <w:t>relevant investments</w:t>
      </w:r>
      <w:r w:rsidR="0061665E" w:rsidRPr="003D484B">
        <w:rPr>
          <w:szCs w:val="24"/>
        </w:rPr>
        <w:t xml:space="preserve"> </w:t>
      </w:r>
      <w:r w:rsidRPr="003D484B">
        <w:rPr>
          <w:szCs w:val="24"/>
        </w:rPr>
        <w:t>will be measured before operating expenses</w:t>
      </w:r>
      <w:r w:rsidR="00180D11">
        <w:rPr>
          <w:szCs w:val="24"/>
        </w:rPr>
        <w:t xml:space="preserve"> and concession charges</w:t>
      </w:r>
      <w:r w:rsidRPr="003D484B">
        <w:rPr>
          <w:szCs w:val="24"/>
        </w:rPr>
        <w:t>, and will be published in the Corporation’s annual report</w:t>
      </w:r>
      <w:r w:rsidR="00D97382">
        <w:rPr>
          <w:szCs w:val="24"/>
        </w:rPr>
        <w:t>, which is available on the Corporation’s website</w:t>
      </w:r>
      <w:r w:rsidRPr="003D484B">
        <w:rPr>
          <w:szCs w:val="24"/>
        </w:rPr>
        <w:t xml:space="preserve">. </w:t>
      </w:r>
    </w:p>
    <w:p w14:paraId="070615A3" w14:textId="3696A2F0" w:rsidR="00426150" w:rsidRPr="00126A7A" w:rsidRDefault="00426150" w:rsidP="003D484B">
      <w:pPr>
        <w:spacing w:before="0" w:after="240"/>
        <w:rPr>
          <w:color w:val="000000" w:themeColor="text1"/>
          <w:szCs w:val="24"/>
        </w:rPr>
      </w:pPr>
      <w:r w:rsidRPr="003D484B">
        <w:rPr>
          <w:szCs w:val="24"/>
        </w:rPr>
        <w:t xml:space="preserve">The </w:t>
      </w:r>
      <w:r w:rsidR="00C45604">
        <w:rPr>
          <w:szCs w:val="24"/>
        </w:rPr>
        <w:t>Board</w:t>
      </w:r>
      <w:r w:rsidR="00C45604" w:rsidRPr="003D484B">
        <w:rPr>
          <w:szCs w:val="24"/>
        </w:rPr>
        <w:t xml:space="preserve"> </w:t>
      </w:r>
      <w:r w:rsidRPr="003D484B">
        <w:rPr>
          <w:szCs w:val="24"/>
        </w:rPr>
        <w:t>will follow the Australian Accounting Standards</w:t>
      </w:r>
      <w:r w:rsidR="00215751">
        <w:rPr>
          <w:rStyle w:val="FootnoteReference"/>
          <w:szCs w:val="24"/>
        </w:rPr>
        <w:footnoteReference w:id="18"/>
      </w:r>
      <w:r w:rsidRPr="003D484B">
        <w:rPr>
          <w:szCs w:val="24"/>
        </w:rPr>
        <w:t xml:space="preserve"> where applicable in measuring its return and determining any impairment, </w:t>
      </w:r>
      <w:r w:rsidRPr="00126A7A">
        <w:rPr>
          <w:color w:val="000000" w:themeColor="text1"/>
          <w:szCs w:val="24"/>
        </w:rPr>
        <w:t>except in the case of concessional loans</w:t>
      </w:r>
      <w:r w:rsidR="002933B8" w:rsidRPr="00126A7A">
        <w:rPr>
          <w:color w:val="000000" w:themeColor="text1"/>
          <w:szCs w:val="24"/>
        </w:rPr>
        <w:t xml:space="preserve"> and equity investments</w:t>
      </w:r>
      <w:r w:rsidRPr="00126A7A">
        <w:rPr>
          <w:color w:val="000000" w:themeColor="text1"/>
          <w:szCs w:val="24"/>
        </w:rPr>
        <w:t xml:space="preserve">, where the measurement should exclude any impairment or mark to market adjustments resulting from any concessional component. </w:t>
      </w:r>
    </w:p>
    <w:p w14:paraId="24C88AB4" w14:textId="18623BBD" w:rsidR="00426150" w:rsidRPr="003D484B" w:rsidRDefault="00426150" w:rsidP="003D484B">
      <w:pPr>
        <w:spacing w:before="0" w:after="240"/>
        <w:rPr>
          <w:szCs w:val="24"/>
        </w:rPr>
      </w:pPr>
      <w:r w:rsidRPr="003D484B">
        <w:rPr>
          <w:szCs w:val="24"/>
        </w:rPr>
        <w:t xml:space="preserve">The benchmark return is a target expected to be earned across the portfolio of </w:t>
      </w:r>
      <w:r w:rsidR="00F142AC">
        <w:rPr>
          <w:szCs w:val="24"/>
        </w:rPr>
        <w:t xml:space="preserve">relevant </w:t>
      </w:r>
      <w:r w:rsidRPr="003D484B">
        <w:rPr>
          <w:szCs w:val="24"/>
        </w:rPr>
        <w:t xml:space="preserve">investments over the medium to long term. Individual investments could be made with expected individual returns above or below the benchmark return. </w:t>
      </w:r>
    </w:p>
    <w:p w14:paraId="6AE225AC" w14:textId="5A4104EC" w:rsidR="00A93E1A" w:rsidRPr="003D484B" w:rsidRDefault="00426150" w:rsidP="003D484B">
      <w:pPr>
        <w:spacing w:before="0" w:after="240"/>
        <w:rPr>
          <w:szCs w:val="24"/>
        </w:rPr>
      </w:pPr>
      <w:r w:rsidRPr="00424486">
        <w:rPr>
          <w:szCs w:val="24"/>
        </w:rPr>
        <w:t xml:space="preserve">Proponents should not expect to be able to access the Corporation’s funding at the benchmark return </w:t>
      </w:r>
      <w:r w:rsidR="00F142AC">
        <w:rPr>
          <w:szCs w:val="24"/>
        </w:rPr>
        <w:t>rate</w:t>
      </w:r>
      <w:r w:rsidRPr="00424486">
        <w:rPr>
          <w:szCs w:val="24"/>
        </w:rPr>
        <w:t xml:space="preserve">. The </w:t>
      </w:r>
      <w:r w:rsidR="002326BE">
        <w:rPr>
          <w:szCs w:val="24"/>
        </w:rPr>
        <w:t>Board</w:t>
      </w:r>
      <w:r w:rsidR="002326BE" w:rsidRPr="00424486">
        <w:rPr>
          <w:szCs w:val="24"/>
        </w:rPr>
        <w:t xml:space="preserve"> </w:t>
      </w:r>
      <w:r w:rsidRPr="00424486">
        <w:rPr>
          <w:szCs w:val="24"/>
        </w:rPr>
        <w:t>shall apply commercial rigour in assessing all in</w:t>
      </w:r>
      <w:r w:rsidRPr="003D484B">
        <w:rPr>
          <w:szCs w:val="24"/>
        </w:rPr>
        <w:t xml:space="preserve">vestments. The actual return the </w:t>
      </w:r>
      <w:r w:rsidR="002326BE">
        <w:rPr>
          <w:szCs w:val="24"/>
        </w:rPr>
        <w:t>Board</w:t>
      </w:r>
      <w:r w:rsidR="002326BE" w:rsidRPr="003D484B">
        <w:rPr>
          <w:szCs w:val="24"/>
        </w:rPr>
        <w:t xml:space="preserve"> </w:t>
      </w:r>
      <w:r w:rsidRPr="003D484B">
        <w:rPr>
          <w:szCs w:val="24"/>
        </w:rPr>
        <w:t xml:space="preserve">seeks for any given investment will be a risk-adjusted return reflecting the individual characteristics of specific projects, the need to cover the operating expenses of the Corporation, the requirement to target the benchmark return, and other relevant factors. </w:t>
      </w:r>
    </w:p>
    <w:p w14:paraId="24EB5136" w14:textId="253BFA9F" w:rsidR="00426150" w:rsidRPr="003D484B" w:rsidRDefault="00624F8B" w:rsidP="003D484B">
      <w:pPr>
        <w:spacing w:before="0" w:after="240"/>
        <w:rPr>
          <w:i/>
        </w:rPr>
      </w:pPr>
      <w:r w:rsidRPr="00624F8B">
        <w:rPr>
          <w:i/>
        </w:rPr>
        <w:t>Specialised Investment Funds</w:t>
      </w:r>
      <w:r w:rsidR="00215751">
        <w:rPr>
          <w:i/>
        </w:rPr>
        <w:t xml:space="preserve"> </w:t>
      </w:r>
      <w:r w:rsidR="006233EE">
        <w:rPr>
          <w:i/>
        </w:rPr>
        <w:t>–</w:t>
      </w:r>
      <w:r w:rsidR="006233EE" w:rsidRPr="003D484B">
        <w:rPr>
          <w:i/>
        </w:rPr>
        <w:t xml:space="preserve"> </w:t>
      </w:r>
      <w:r w:rsidR="00A93E1A" w:rsidRPr="003D484B">
        <w:rPr>
          <w:i/>
        </w:rPr>
        <w:t>Risk</w:t>
      </w:r>
    </w:p>
    <w:p w14:paraId="72975995" w14:textId="1B8113E5" w:rsidR="00426150" w:rsidRPr="00126A7A" w:rsidRDefault="00426150" w:rsidP="00424486">
      <w:pPr>
        <w:pStyle w:val="ListParagraph"/>
        <w:ind w:left="0"/>
      </w:pPr>
      <w:r w:rsidRPr="003D484B">
        <w:t xml:space="preserve">In targeting the benchmark return for the </w:t>
      </w:r>
      <w:r w:rsidR="0061665E">
        <w:rPr>
          <w:szCs w:val="24"/>
        </w:rPr>
        <w:t>CEI</w:t>
      </w:r>
      <w:r w:rsidR="00F97F03">
        <w:rPr>
          <w:szCs w:val="24"/>
        </w:rPr>
        <w:t>F</w:t>
      </w:r>
      <w:r w:rsidR="0061665E">
        <w:rPr>
          <w:szCs w:val="24"/>
        </w:rPr>
        <w:t>, AH</w:t>
      </w:r>
      <w:r w:rsidR="00F97F03">
        <w:rPr>
          <w:szCs w:val="24"/>
        </w:rPr>
        <w:t>F</w:t>
      </w:r>
      <w:r w:rsidR="0061665E" w:rsidRPr="003D484B">
        <w:rPr>
          <w:szCs w:val="24"/>
        </w:rPr>
        <w:t xml:space="preserve"> </w:t>
      </w:r>
      <w:r w:rsidR="0061665E">
        <w:rPr>
          <w:szCs w:val="24"/>
        </w:rPr>
        <w:t>PAT</w:t>
      </w:r>
      <w:r w:rsidR="00F97F03">
        <w:rPr>
          <w:szCs w:val="24"/>
        </w:rPr>
        <w:t>F</w:t>
      </w:r>
      <w:r w:rsidR="00F142AC">
        <w:rPr>
          <w:szCs w:val="24"/>
        </w:rPr>
        <w:t xml:space="preserve"> </w:t>
      </w:r>
      <w:r w:rsidR="0088161A" w:rsidRPr="00126A7A">
        <w:t xml:space="preserve">and </w:t>
      </w:r>
      <w:r w:rsidR="0088161A" w:rsidRPr="00126A7A">
        <w:rPr>
          <w:szCs w:val="24"/>
        </w:rPr>
        <w:t xml:space="preserve">HEUF </w:t>
      </w:r>
      <w:r w:rsidR="00F142AC" w:rsidRPr="00126A7A">
        <w:rPr>
          <w:szCs w:val="24"/>
        </w:rPr>
        <w:t>investments</w:t>
      </w:r>
      <w:r w:rsidRPr="00126A7A">
        <w:t xml:space="preserve">, the </w:t>
      </w:r>
      <w:r w:rsidR="00C45604" w:rsidRPr="00126A7A">
        <w:t xml:space="preserve">Board </w:t>
      </w:r>
      <w:r w:rsidRPr="00126A7A">
        <w:t xml:space="preserve">must seek to develop a </w:t>
      </w:r>
      <w:r w:rsidR="001F6FAD" w:rsidRPr="00126A7A">
        <w:t xml:space="preserve">relevant </w:t>
      </w:r>
      <w:r w:rsidRPr="00126A7A">
        <w:t>portfolio that has an acceptable but not excessive level of risk</w:t>
      </w:r>
      <w:r w:rsidR="004325E2" w:rsidRPr="00126A7A">
        <w:t>. The Board must also</w:t>
      </w:r>
      <w:r w:rsidRPr="00126A7A">
        <w:t xml:space="preserve"> </w:t>
      </w:r>
      <w:r w:rsidR="00D73ABA" w:rsidRPr="00126A7A">
        <w:t xml:space="preserve">have </w:t>
      </w:r>
      <w:r w:rsidRPr="00126A7A">
        <w:t xml:space="preserve">regard to the terms of the Act and the </w:t>
      </w:r>
      <w:r w:rsidR="004325E2" w:rsidRPr="00126A7A">
        <w:t xml:space="preserve">focus </w:t>
      </w:r>
      <w:r w:rsidR="00D73ABA" w:rsidRPr="00126A7A">
        <w:t xml:space="preserve">areas </w:t>
      </w:r>
      <w:r w:rsidR="004325E2" w:rsidRPr="00126A7A">
        <w:t xml:space="preserve">of the </w:t>
      </w:r>
      <w:r w:rsidR="00AC6390" w:rsidRPr="00126A7A">
        <w:t xml:space="preserve">Specialised Investment Funds </w:t>
      </w:r>
      <w:r w:rsidR="003A4A64" w:rsidRPr="00126A7A">
        <w:t xml:space="preserve">and the associated investments </w:t>
      </w:r>
      <w:r w:rsidR="00AC6390" w:rsidRPr="00126A7A">
        <w:t xml:space="preserve">that would otherwise not be ready to attract </w:t>
      </w:r>
      <w:r w:rsidR="00582A4F" w:rsidRPr="00126A7A">
        <w:t xml:space="preserve">Corporation </w:t>
      </w:r>
      <w:r w:rsidR="00AC6390" w:rsidRPr="00126A7A">
        <w:t xml:space="preserve">support </w:t>
      </w:r>
      <w:r w:rsidR="004325E2" w:rsidRPr="00126A7A">
        <w:t>under the General Portfolio</w:t>
      </w:r>
      <w:r w:rsidRPr="00126A7A">
        <w:t xml:space="preserve">. The focus areas prescribed for the </w:t>
      </w:r>
      <w:r w:rsidR="0061665E" w:rsidRPr="00126A7A">
        <w:rPr>
          <w:szCs w:val="24"/>
        </w:rPr>
        <w:t>CEI</w:t>
      </w:r>
      <w:r w:rsidR="00F97F03" w:rsidRPr="00126A7A">
        <w:rPr>
          <w:szCs w:val="24"/>
        </w:rPr>
        <w:t>F</w:t>
      </w:r>
      <w:r w:rsidR="0061665E" w:rsidRPr="00126A7A">
        <w:rPr>
          <w:szCs w:val="24"/>
        </w:rPr>
        <w:t>, AH</w:t>
      </w:r>
      <w:r w:rsidR="00F97F03" w:rsidRPr="00126A7A">
        <w:rPr>
          <w:szCs w:val="24"/>
        </w:rPr>
        <w:t>F</w:t>
      </w:r>
      <w:r w:rsidR="0088161A" w:rsidRPr="00126A7A">
        <w:rPr>
          <w:szCs w:val="24"/>
        </w:rPr>
        <w:t>,</w:t>
      </w:r>
      <w:r w:rsidR="0061665E" w:rsidRPr="00126A7A">
        <w:rPr>
          <w:szCs w:val="24"/>
        </w:rPr>
        <w:t xml:space="preserve"> PAT</w:t>
      </w:r>
      <w:r w:rsidR="00F97F03" w:rsidRPr="00126A7A">
        <w:rPr>
          <w:szCs w:val="24"/>
        </w:rPr>
        <w:t>F</w:t>
      </w:r>
      <w:r w:rsidR="00F142AC" w:rsidRPr="00126A7A">
        <w:rPr>
          <w:szCs w:val="24"/>
        </w:rPr>
        <w:t xml:space="preserve"> </w:t>
      </w:r>
      <w:r w:rsidR="0088161A" w:rsidRPr="00126A7A">
        <w:t xml:space="preserve">and </w:t>
      </w:r>
      <w:r w:rsidR="0088161A" w:rsidRPr="00126A7A">
        <w:rPr>
          <w:szCs w:val="24"/>
        </w:rPr>
        <w:t xml:space="preserve">HEUF </w:t>
      </w:r>
      <w:r w:rsidRPr="00126A7A">
        <w:t xml:space="preserve">may increase the Corporation’s overall exposure to credit </w:t>
      </w:r>
      <w:r w:rsidR="000C39AA" w:rsidRPr="00126A7A">
        <w:t xml:space="preserve">(and other) </w:t>
      </w:r>
      <w:r w:rsidRPr="00126A7A">
        <w:t>risk</w:t>
      </w:r>
      <w:r w:rsidR="0046500C" w:rsidRPr="00126A7A">
        <w:t>s</w:t>
      </w:r>
      <w:r w:rsidRPr="00126A7A">
        <w:t xml:space="preserve"> as these technologies may have a higher risk profile than more mature technologies.</w:t>
      </w:r>
    </w:p>
    <w:p w14:paraId="51D434EB" w14:textId="41E50A8A" w:rsidR="00594BA1" w:rsidRDefault="00354737" w:rsidP="001112F3">
      <w:pPr>
        <w:spacing w:before="0" w:after="240"/>
      </w:pPr>
      <w:r w:rsidRPr="00126A7A">
        <w:t>The Board</w:t>
      </w:r>
      <w:r w:rsidR="00426150" w:rsidRPr="00126A7A">
        <w:t xml:space="preserve"> must periodically review its </w:t>
      </w:r>
      <w:r w:rsidRPr="00126A7A">
        <w:t>investment risk management practic</w:t>
      </w:r>
      <w:r w:rsidR="00C435A5" w:rsidRPr="00126A7A">
        <w:t xml:space="preserve">es for the </w:t>
      </w:r>
      <w:r w:rsidR="00341081" w:rsidRPr="00126A7A">
        <w:t xml:space="preserve">CEIF </w:t>
      </w:r>
      <w:r w:rsidRPr="00126A7A">
        <w:t>(in consultation with</w:t>
      </w:r>
      <w:r w:rsidR="00E37765" w:rsidRPr="00126A7A">
        <w:t xml:space="preserve"> </w:t>
      </w:r>
      <w:r w:rsidRPr="00126A7A">
        <w:t>ARENA)</w:t>
      </w:r>
      <w:r w:rsidR="00E11FC8" w:rsidRPr="00126A7A">
        <w:t>,</w:t>
      </w:r>
      <w:r w:rsidRPr="00126A7A">
        <w:t xml:space="preserve"> </w:t>
      </w:r>
      <w:r w:rsidR="00341081" w:rsidRPr="00126A7A">
        <w:t>AHF</w:t>
      </w:r>
      <w:r w:rsidR="0088161A" w:rsidRPr="00126A7A">
        <w:t>,</w:t>
      </w:r>
      <w:r w:rsidR="00E11FC8" w:rsidRPr="00126A7A">
        <w:t xml:space="preserve"> PATF</w:t>
      </w:r>
      <w:r w:rsidR="00341081" w:rsidRPr="00126A7A">
        <w:t xml:space="preserve"> </w:t>
      </w:r>
      <w:r w:rsidR="0088161A" w:rsidRPr="00126A7A">
        <w:t>and HEUF</w:t>
      </w:r>
      <w:r w:rsidR="0088161A">
        <w:t xml:space="preserve"> </w:t>
      </w:r>
      <w:r w:rsidR="00426150">
        <w:t>and must advise the responsible Ministers of specific measures taken in this regard.</w:t>
      </w:r>
    </w:p>
    <w:p w14:paraId="4918600E" w14:textId="7D246BC4" w:rsidR="005C382A" w:rsidRPr="00D97382" w:rsidRDefault="005C382A" w:rsidP="00424486">
      <w:pPr>
        <w:pStyle w:val="ListParagraph"/>
        <w:ind w:left="0"/>
        <w:rPr>
          <w:i/>
        </w:rPr>
      </w:pPr>
      <w:r w:rsidRPr="00D97382">
        <w:rPr>
          <w:i/>
        </w:rPr>
        <w:t>Repeal of Funding Programs</w:t>
      </w:r>
    </w:p>
    <w:p w14:paraId="5E8CECA6" w14:textId="13C9F16B" w:rsidR="005C382A" w:rsidRPr="00D97382" w:rsidRDefault="005C382A" w:rsidP="002D2EC3">
      <w:pPr>
        <w:rPr>
          <w:szCs w:val="24"/>
        </w:rPr>
      </w:pPr>
      <w:r w:rsidRPr="00D97382">
        <w:rPr>
          <w:szCs w:val="24"/>
        </w:rPr>
        <w:t xml:space="preserve">The Government has removed the Sustainable Cities Investment Program, the Reef Funding </w:t>
      </w:r>
      <w:proofErr w:type="gramStart"/>
      <w:r w:rsidRPr="00D97382">
        <w:rPr>
          <w:szCs w:val="24"/>
        </w:rPr>
        <w:t>Program</w:t>
      </w:r>
      <w:proofErr w:type="gramEnd"/>
      <w:r w:rsidRPr="00D97382">
        <w:rPr>
          <w:szCs w:val="24"/>
        </w:rPr>
        <w:t xml:space="preserve"> and the Australian Recycling Investment Fund from th</w:t>
      </w:r>
      <w:r w:rsidR="00215751">
        <w:rPr>
          <w:szCs w:val="24"/>
        </w:rPr>
        <w:t>e 2023</w:t>
      </w:r>
      <w:r w:rsidRPr="00D97382">
        <w:rPr>
          <w:szCs w:val="24"/>
        </w:rPr>
        <w:t xml:space="preserve"> </w:t>
      </w:r>
      <w:r w:rsidR="00A0001A">
        <w:rPr>
          <w:szCs w:val="24"/>
        </w:rPr>
        <w:t>M</w:t>
      </w:r>
      <w:r w:rsidRPr="00D97382">
        <w:rPr>
          <w:szCs w:val="24"/>
        </w:rPr>
        <w:t>andate.</w:t>
      </w:r>
    </w:p>
    <w:p w14:paraId="342F529C" w14:textId="56E31CAC" w:rsidR="005C382A" w:rsidRPr="00D97382" w:rsidRDefault="005C382A" w:rsidP="002D2EC3">
      <w:pPr>
        <w:rPr>
          <w:szCs w:val="24"/>
        </w:rPr>
      </w:pPr>
      <w:r w:rsidRPr="00D97382">
        <w:rPr>
          <w:szCs w:val="24"/>
        </w:rPr>
        <w:t>These funds restrict</w:t>
      </w:r>
      <w:r w:rsidR="00A52B88">
        <w:rPr>
          <w:szCs w:val="24"/>
        </w:rPr>
        <w:t>ed</w:t>
      </w:r>
      <w:r w:rsidRPr="00D97382">
        <w:rPr>
          <w:szCs w:val="24"/>
        </w:rPr>
        <w:t xml:space="preserve"> </w:t>
      </w:r>
      <w:r w:rsidR="00A52B88">
        <w:rPr>
          <w:szCs w:val="24"/>
        </w:rPr>
        <w:t>the Corporation</w:t>
      </w:r>
      <w:r w:rsidRPr="00D97382">
        <w:rPr>
          <w:szCs w:val="24"/>
        </w:rPr>
        <w:t xml:space="preserve"> to certain investment area</w:t>
      </w:r>
      <w:r w:rsidR="00F7418C" w:rsidRPr="00761F25">
        <w:rPr>
          <w:szCs w:val="24"/>
        </w:rPr>
        <w:t>s</w:t>
      </w:r>
      <w:r w:rsidR="00A52B88">
        <w:rPr>
          <w:szCs w:val="24"/>
        </w:rPr>
        <w:t xml:space="preserve"> without</w:t>
      </w:r>
      <w:r w:rsidRPr="00D97382">
        <w:rPr>
          <w:szCs w:val="24"/>
        </w:rPr>
        <w:t xml:space="preserve"> </w:t>
      </w:r>
      <w:r w:rsidR="00A52B88">
        <w:rPr>
          <w:szCs w:val="24"/>
        </w:rPr>
        <w:t>providing</w:t>
      </w:r>
      <w:r w:rsidRPr="00D97382">
        <w:rPr>
          <w:szCs w:val="24"/>
        </w:rPr>
        <w:t xml:space="preserve"> adjusted return or risk requirements, </w:t>
      </w:r>
      <w:r w:rsidR="00A52B88">
        <w:rPr>
          <w:szCs w:val="24"/>
        </w:rPr>
        <w:t>which</w:t>
      </w:r>
      <w:r w:rsidRPr="00D97382">
        <w:rPr>
          <w:szCs w:val="24"/>
        </w:rPr>
        <w:t xml:space="preserve"> inhibited the efficient function of the </w:t>
      </w:r>
      <w:r w:rsidRPr="00D97382">
        <w:rPr>
          <w:szCs w:val="24"/>
        </w:rPr>
        <w:lastRenderedPageBreak/>
        <w:t>Corporation.</w:t>
      </w:r>
      <w:r w:rsidR="00450214" w:rsidRPr="00D97382">
        <w:rPr>
          <w:szCs w:val="24"/>
        </w:rPr>
        <w:t xml:space="preserve"> Repealing these funds therefore allows the Corporation to better deliver on its objectives and focus areas</w:t>
      </w:r>
      <w:r w:rsidR="002F0AF0" w:rsidRPr="00D97382">
        <w:rPr>
          <w:szCs w:val="24"/>
        </w:rPr>
        <w:t>.</w:t>
      </w:r>
    </w:p>
    <w:p w14:paraId="789786DF" w14:textId="06A006F9" w:rsidR="002F0AF0" w:rsidRPr="004938F6" w:rsidRDefault="007A2D31" w:rsidP="002D2EC3">
      <w:pPr>
        <w:rPr>
          <w:szCs w:val="24"/>
        </w:rPr>
      </w:pPr>
      <w:r w:rsidRPr="00D97382">
        <w:t xml:space="preserve">The Board is still able to support projects consistent with the policy objectives of these programs through its </w:t>
      </w:r>
      <w:r w:rsidR="00215751">
        <w:t>G</w:t>
      </w:r>
      <w:r w:rsidRPr="00D97382">
        <w:t xml:space="preserve">eneral </w:t>
      </w:r>
      <w:r w:rsidR="00215751">
        <w:t>P</w:t>
      </w:r>
      <w:r w:rsidRPr="00D97382">
        <w:t xml:space="preserve">ortfolio. </w:t>
      </w:r>
      <w:r w:rsidR="005C382A" w:rsidRPr="00D97382">
        <w:t>The Board has been dire</w:t>
      </w:r>
      <w:r w:rsidR="005C382A" w:rsidRPr="00746A22">
        <w:t>ct</w:t>
      </w:r>
      <w:r w:rsidR="00F7418C" w:rsidRPr="00746A22">
        <w:t>ed</w:t>
      </w:r>
      <w:r w:rsidR="005C382A" w:rsidRPr="00D97382">
        <w:t xml:space="preserve"> to continue to </w:t>
      </w:r>
      <w:r w:rsidR="005C382A" w:rsidRPr="00D97382">
        <w:rPr>
          <w:szCs w:val="24"/>
        </w:rPr>
        <w:t xml:space="preserve">seek out </w:t>
      </w:r>
      <w:r w:rsidRPr="00D97382">
        <w:rPr>
          <w:szCs w:val="24"/>
        </w:rPr>
        <w:t>investments</w:t>
      </w:r>
      <w:r w:rsidR="005C382A" w:rsidRPr="00D97382">
        <w:rPr>
          <w:szCs w:val="24"/>
        </w:rPr>
        <w:t xml:space="preserve"> that support the Government’s Reef 2050 Long-Term Sustainability Plan</w:t>
      </w:r>
      <w:r w:rsidR="00215751">
        <w:rPr>
          <w:rStyle w:val="FootnoteReference"/>
          <w:szCs w:val="24"/>
        </w:rPr>
        <w:footnoteReference w:id="19"/>
      </w:r>
      <w:r w:rsidR="005C382A" w:rsidRPr="00D97382">
        <w:rPr>
          <w:szCs w:val="24"/>
        </w:rPr>
        <w:t xml:space="preserve"> and the National Waste Policy Action Plan 2019</w:t>
      </w:r>
      <w:r w:rsidR="004028A7">
        <w:rPr>
          <w:rStyle w:val="FootnoteReference"/>
          <w:szCs w:val="24"/>
        </w:rPr>
        <w:footnoteReference w:id="20"/>
      </w:r>
      <w:r w:rsidR="005C382A" w:rsidRPr="00D97382">
        <w:rPr>
          <w:szCs w:val="24"/>
        </w:rPr>
        <w:t>.</w:t>
      </w:r>
      <w:r w:rsidR="00AF1625" w:rsidRPr="004938F6">
        <w:rPr>
          <w:szCs w:val="24"/>
        </w:rPr>
        <w:t xml:space="preserve"> </w:t>
      </w:r>
    </w:p>
    <w:p w14:paraId="53192B79" w14:textId="5FBD43DC" w:rsidR="00AF1625" w:rsidRPr="004938F6" w:rsidRDefault="00AF1625">
      <w:pPr>
        <w:rPr>
          <w:szCs w:val="24"/>
        </w:rPr>
      </w:pPr>
      <w:r w:rsidRPr="00FF13E8">
        <w:rPr>
          <w:szCs w:val="24"/>
        </w:rPr>
        <w:t xml:space="preserve">The </w:t>
      </w:r>
      <w:r w:rsidR="00AC6390">
        <w:rPr>
          <w:szCs w:val="24"/>
        </w:rPr>
        <w:t xml:space="preserve">establishment and </w:t>
      </w:r>
      <w:r w:rsidRPr="00FF13E8">
        <w:rPr>
          <w:szCs w:val="24"/>
        </w:rPr>
        <w:t xml:space="preserve">repeal of the above funds does not mean the Board must divest any of its current investments. The </w:t>
      </w:r>
      <w:r w:rsidRPr="004938F6">
        <w:rPr>
          <w:szCs w:val="24"/>
        </w:rPr>
        <w:t>Board will consider new elements of this direction in relation to new investments only.</w:t>
      </w:r>
    </w:p>
    <w:p w14:paraId="15A7C487" w14:textId="5A6F0D58" w:rsidR="002B6766" w:rsidRDefault="00426150" w:rsidP="00426150">
      <w:pPr>
        <w:spacing w:before="0" w:after="240"/>
        <w:ind w:right="91"/>
        <w:rPr>
          <w:szCs w:val="24"/>
          <w:u w:val="single"/>
        </w:rPr>
      </w:pPr>
      <w:r>
        <w:rPr>
          <w:szCs w:val="24"/>
          <w:u w:val="single"/>
        </w:rPr>
        <w:t xml:space="preserve">Section </w:t>
      </w:r>
      <w:r w:rsidR="00FF13E8">
        <w:rPr>
          <w:szCs w:val="24"/>
          <w:u w:val="single"/>
        </w:rPr>
        <w:t>1</w:t>
      </w:r>
      <w:r w:rsidR="004C5D68">
        <w:rPr>
          <w:szCs w:val="24"/>
          <w:u w:val="single"/>
        </w:rPr>
        <w:t>7</w:t>
      </w:r>
      <w:r w:rsidR="00FF13E8">
        <w:rPr>
          <w:szCs w:val="24"/>
          <w:u w:val="single"/>
        </w:rPr>
        <w:t xml:space="preserve"> </w:t>
      </w:r>
      <w:r w:rsidR="002B6766" w:rsidRPr="00D33F05">
        <w:rPr>
          <w:szCs w:val="24"/>
          <w:u w:val="single"/>
        </w:rPr>
        <w:t>–</w:t>
      </w:r>
      <w:r w:rsidR="002B6766">
        <w:rPr>
          <w:szCs w:val="24"/>
          <w:u w:val="single"/>
        </w:rPr>
        <w:t xml:space="preserve"> Sub</w:t>
      </w:r>
      <w:r w:rsidR="009B6047">
        <w:rPr>
          <w:szCs w:val="24"/>
          <w:u w:val="single"/>
        </w:rPr>
        <w:t>-</w:t>
      </w:r>
      <w:r w:rsidR="002B6766">
        <w:rPr>
          <w:szCs w:val="24"/>
          <w:u w:val="single"/>
        </w:rPr>
        <w:t>Fund Accounting</w:t>
      </w:r>
    </w:p>
    <w:p w14:paraId="26F154B3" w14:textId="7B3726A1" w:rsidR="002B6766" w:rsidRPr="006A561E" w:rsidRDefault="002B6766" w:rsidP="00426150">
      <w:pPr>
        <w:spacing w:before="0" w:after="240"/>
        <w:ind w:right="91"/>
        <w:rPr>
          <w:szCs w:val="24"/>
        </w:rPr>
      </w:pPr>
      <w:r w:rsidRPr="006A561E">
        <w:rPr>
          <w:szCs w:val="24"/>
        </w:rPr>
        <w:t>Section 17</w:t>
      </w:r>
      <w:r w:rsidR="00722394">
        <w:rPr>
          <w:szCs w:val="24"/>
        </w:rPr>
        <w:t xml:space="preserve"> specifies additional </w:t>
      </w:r>
      <w:r w:rsidR="00091723">
        <w:rPr>
          <w:szCs w:val="24"/>
        </w:rPr>
        <w:t>provision</w:t>
      </w:r>
      <w:r w:rsidR="009B6047">
        <w:rPr>
          <w:szCs w:val="24"/>
        </w:rPr>
        <w:t>s</w:t>
      </w:r>
      <w:r w:rsidR="00091723">
        <w:rPr>
          <w:szCs w:val="24"/>
        </w:rPr>
        <w:t xml:space="preserve"> for the </w:t>
      </w:r>
      <w:r w:rsidR="00BB1FBE">
        <w:rPr>
          <w:szCs w:val="24"/>
        </w:rPr>
        <w:t>S</w:t>
      </w:r>
      <w:r w:rsidR="00091723">
        <w:rPr>
          <w:szCs w:val="24"/>
        </w:rPr>
        <w:t>ub</w:t>
      </w:r>
      <w:r w:rsidR="009B6047">
        <w:rPr>
          <w:szCs w:val="24"/>
        </w:rPr>
        <w:t>-</w:t>
      </w:r>
      <w:r w:rsidR="00BB1FBE">
        <w:rPr>
          <w:szCs w:val="24"/>
        </w:rPr>
        <w:t>F</w:t>
      </w:r>
      <w:r w:rsidR="00091723">
        <w:rPr>
          <w:szCs w:val="24"/>
        </w:rPr>
        <w:t>unds in sections 15 and 16. Specifically</w:t>
      </w:r>
      <w:r w:rsidR="00D20796">
        <w:rPr>
          <w:szCs w:val="24"/>
        </w:rPr>
        <w:t>,</w:t>
      </w:r>
      <w:r w:rsidR="00091723">
        <w:rPr>
          <w:szCs w:val="24"/>
        </w:rPr>
        <w:t xml:space="preserve"> subsection </w:t>
      </w:r>
      <w:r w:rsidR="00D20796">
        <w:rPr>
          <w:szCs w:val="24"/>
        </w:rPr>
        <w:t>17</w:t>
      </w:r>
      <w:r w:rsidR="00091723">
        <w:rPr>
          <w:szCs w:val="24"/>
        </w:rPr>
        <w:t xml:space="preserve">(1) clarifies that the monetary amounts set for each </w:t>
      </w:r>
      <w:r w:rsidR="009B6047">
        <w:rPr>
          <w:szCs w:val="24"/>
        </w:rPr>
        <w:t>S</w:t>
      </w:r>
      <w:r w:rsidR="00091723">
        <w:rPr>
          <w:szCs w:val="24"/>
        </w:rPr>
        <w:t>ub</w:t>
      </w:r>
      <w:r w:rsidR="009B6047">
        <w:rPr>
          <w:szCs w:val="24"/>
        </w:rPr>
        <w:t>-F</w:t>
      </w:r>
      <w:r w:rsidR="00091723">
        <w:rPr>
          <w:szCs w:val="24"/>
        </w:rPr>
        <w:t xml:space="preserve">und do not limit the Corporation’s investments in these areas, however additional investments over </w:t>
      </w:r>
      <w:r w:rsidR="00AF7EDB">
        <w:rPr>
          <w:szCs w:val="24"/>
        </w:rPr>
        <w:t>those amounts</w:t>
      </w:r>
      <w:r w:rsidR="00091723">
        <w:rPr>
          <w:szCs w:val="24"/>
        </w:rPr>
        <w:t xml:space="preserve"> do not qualify for modified risk or return settings. Subsection </w:t>
      </w:r>
      <w:r w:rsidR="00D20796">
        <w:rPr>
          <w:szCs w:val="24"/>
        </w:rPr>
        <w:t>17</w:t>
      </w:r>
      <w:r w:rsidR="00091723">
        <w:rPr>
          <w:szCs w:val="24"/>
        </w:rPr>
        <w:t xml:space="preserve">(2) allows for investments which were made before the creation of </w:t>
      </w:r>
      <w:r w:rsidR="00C2098F">
        <w:rPr>
          <w:szCs w:val="24"/>
        </w:rPr>
        <w:t>a</w:t>
      </w:r>
      <w:r w:rsidR="00091723">
        <w:rPr>
          <w:szCs w:val="24"/>
        </w:rPr>
        <w:t xml:space="preserve"> </w:t>
      </w:r>
      <w:r w:rsidR="009B6047">
        <w:rPr>
          <w:szCs w:val="24"/>
        </w:rPr>
        <w:t>S</w:t>
      </w:r>
      <w:r w:rsidR="00091723">
        <w:rPr>
          <w:szCs w:val="24"/>
        </w:rPr>
        <w:t>ub-</w:t>
      </w:r>
      <w:r w:rsidR="009B6047">
        <w:rPr>
          <w:szCs w:val="24"/>
        </w:rPr>
        <w:t>F</w:t>
      </w:r>
      <w:r w:rsidR="00091723">
        <w:rPr>
          <w:szCs w:val="24"/>
        </w:rPr>
        <w:t xml:space="preserve">und to be classified as an investment under </w:t>
      </w:r>
      <w:r w:rsidR="00E306AA">
        <w:rPr>
          <w:szCs w:val="24"/>
        </w:rPr>
        <w:t>the relevant</w:t>
      </w:r>
      <w:r w:rsidR="00091723">
        <w:rPr>
          <w:szCs w:val="24"/>
        </w:rPr>
        <w:t xml:space="preserve"> </w:t>
      </w:r>
      <w:r w:rsidR="00E306AA">
        <w:rPr>
          <w:szCs w:val="24"/>
        </w:rPr>
        <w:t>S</w:t>
      </w:r>
      <w:r w:rsidR="00091723">
        <w:rPr>
          <w:szCs w:val="24"/>
        </w:rPr>
        <w:t>ub-</w:t>
      </w:r>
      <w:r w:rsidR="00E306AA">
        <w:rPr>
          <w:szCs w:val="24"/>
        </w:rPr>
        <w:t>F</w:t>
      </w:r>
      <w:r w:rsidR="00091723">
        <w:rPr>
          <w:szCs w:val="24"/>
        </w:rPr>
        <w:t xml:space="preserve">und if it meets the appropriate criteria. </w:t>
      </w:r>
    </w:p>
    <w:p w14:paraId="54FEFE93" w14:textId="180D6E44" w:rsidR="00426150" w:rsidRDefault="002B6766" w:rsidP="00426150">
      <w:pPr>
        <w:spacing w:before="0" w:after="240"/>
        <w:ind w:right="91"/>
        <w:rPr>
          <w:szCs w:val="24"/>
          <w:u w:val="single"/>
        </w:rPr>
      </w:pPr>
      <w:r>
        <w:rPr>
          <w:szCs w:val="24"/>
          <w:u w:val="single"/>
        </w:rPr>
        <w:t xml:space="preserve">Section 18 </w:t>
      </w:r>
      <w:r w:rsidR="00426150" w:rsidRPr="00D33F05">
        <w:rPr>
          <w:szCs w:val="24"/>
          <w:u w:val="single"/>
        </w:rPr>
        <w:t>–</w:t>
      </w:r>
      <w:r w:rsidR="00426150">
        <w:rPr>
          <w:szCs w:val="24"/>
          <w:u w:val="single"/>
        </w:rPr>
        <w:t xml:space="preserve"> </w:t>
      </w:r>
      <w:r w:rsidR="00426150" w:rsidRPr="00231C67">
        <w:rPr>
          <w:szCs w:val="24"/>
          <w:u w:val="single"/>
        </w:rPr>
        <w:t xml:space="preserve">Reporting </w:t>
      </w:r>
      <w:r w:rsidR="004010B6">
        <w:rPr>
          <w:szCs w:val="24"/>
          <w:u w:val="single"/>
        </w:rPr>
        <w:t>O</w:t>
      </w:r>
      <w:r w:rsidR="00426150" w:rsidRPr="00231C67">
        <w:rPr>
          <w:szCs w:val="24"/>
          <w:u w:val="single"/>
        </w:rPr>
        <w:t>utcomes</w:t>
      </w:r>
    </w:p>
    <w:p w14:paraId="55793A1F" w14:textId="01159E7C" w:rsidR="00426150" w:rsidRDefault="0039659A" w:rsidP="00426150">
      <w:pPr>
        <w:spacing w:before="0" w:after="240"/>
      </w:pPr>
      <w:r>
        <w:t>Section 1</w:t>
      </w:r>
      <w:r w:rsidR="00722394">
        <w:t>8</w:t>
      </w:r>
      <w:r>
        <w:t xml:space="preserve"> requires the Corporation</w:t>
      </w:r>
      <w:r w:rsidR="00426150">
        <w:t xml:space="preserve"> to report annually on the non-financial outcomes of all its investments, including those under </w:t>
      </w:r>
      <w:r w:rsidR="009B6047">
        <w:t>each Sub-Fund</w:t>
      </w:r>
      <w:r w:rsidR="00426150">
        <w:t>. This would go beyond standard financial and investment return reporting to include measuring and reporting on clean energy outcomes achieved, as well as measuring and reporting of co-benefits achieved and the development of emerging businesses and technologies.</w:t>
      </w:r>
      <w:r w:rsidR="00924E47">
        <w:t xml:space="preserve"> </w:t>
      </w:r>
      <w:r w:rsidR="0019450A">
        <w:t>This reporting should also include</w:t>
      </w:r>
      <w:r w:rsidR="00B949EF">
        <w:t xml:space="preserve"> </w:t>
      </w:r>
      <w:r w:rsidR="000E6ABC">
        <w:t>at the program level t</w:t>
      </w:r>
      <w:r w:rsidR="0019450A">
        <w:t>he</w:t>
      </w:r>
      <w:r w:rsidR="00B949EF">
        <w:t xml:space="preserve"> disaggregate</w:t>
      </w:r>
      <w:r w:rsidR="0019450A">
        <w:t xml:space="preserve"> </w:t>
      </w:r>
      <w:r w:rsidR="00B949EF">
        <w:t xml:space="preserve">value of </w:t>
      </w:r>
      <w:r w:rsidR="0019450A">
        <w:t xml:space="preserve">concessions </w:t>
      </w:r>
      <w:r w:rsidR="00B949EF">
        <w:t>given</w:t>
      </w:r>
      <w:r w:rsidR="0019450A">
        <w:t xml:space="preserve"> </w:t>
      </w:r>
      <w:r w:rsidR="00B949EF">
        <w:t xml:space="preserve">for each of the General Portfolio and Sub-Funds. </w:t>
      </w:r>
      <w:r w:rsidR="00924E47">
        <w:t xml:space="preserve">The Corporation’s annual reports are published on the Corporation’s website. </w:t>
      </w:r>
    </w:p>
    <w:p w14:paraId="26B7A69B" w14:textId="7F4D23C2" w:rsidR="00426150" w:rsidRPr="00FC52C4" w:rsidRDefault="00426150" w:rsidP="00F119B4">
      <w:pPr>
        <w:keepNext/>
        <w:spacing w:before="0" w:after="240"/>
        <w:ind w:right="91"/>
        <w:rPr>
          <w:szCs w:val="24"/>
          <w:u w:val="single"/>
        </w:rPr>
      </w:pPr>
      <w:r>
        <w:rPr>
          <w:szCs w:val="24"/>
          <w:u w:val="single"/>
        </w:rPr>
        <w:t xml:space="preserve">Section </w:t>
      </w:r>
      <w:r w:rsidR="00865000">
        <w:rPr>
          <w:szCs w:val="24"/>
          <w:u w:val="single"/>
        </w:rPr>
        <w:t>1</w:t>
      </w:r>
      <w:r w:rsidR="002B6766">
        <w:rPr>
          <w:szCs w:val="24"/>
          <w:u w:val="single"/>
        </w:rPr>
        <w:t>9</w:t>
      </w:r>
      <w:r w:rsidR="00865000" w:rsidRPr="00D33F05">
        <w:rPr>
          <w:szCs w:val="24"/>
          <w:u w:val="single"/>
        </w:rPr>
        <w:t xml:space="preserve"> </w:t>
      </w:r>
      <w:r w:rsidRPr="00D33F05">
        <w:rPr>
          <w:szCs w:val="24"/>
          <w:u w:val="single"/>
        </w:rPr>
        <w:t xml:space="preserve">– </w:t>
      </w:r>
      <w:r>
        <w:rPr>
          <w:szCs w:val="24"/>
          <w:u w:val="single"/>
        </w:rPr>
        <w:t xml:space="preserve">Corporate </w:t>
      </w:r>
      <w:r w:rsidR="004010B6">
        <w:rPr>
          <w:szCs w:val="24"/>
          <w:u w:val="single"/>
        </w:rPr>
        <w:t>G</w:t>
      </w:r>
      <w:r>
        <w:rPr>
          <w:szCs w:val="24"/>
          <w:u w:val="single"/>
        </w:rPr>
        <w:t>overnance</w:t>
      </w:r>
    </w:p>
    <w:p w14:paraId="79F57592" w14:textId="5C2EF244" w:rsidR="00B72158" w:rsidRPr="004572EC" w:rsidRDefault="0039659A" w:rsidP="00F119B4">
      <w:pPr>
        <w:pStyle w:val="OutlineNumbered1"/>
        <w:keepNext/>
        <w:numPr>
          <w:ilvl w:val="0"/>
          <w:numId w:val="0"/>
        </w:numPr>
        <w:tabs>
          <w:tab w:val="left" w:pos="720"/>
        </w:tabs>
      </w:pPr>
      <w:r>
        <w:rPr>
          <w:szCs w:val="24"/>
        </w:rPr>
        <w:t xml:space="preserve">Section </w:t>
      </w:r>
      <w:r w:rsidR="002B6766">
        <w:rPr>
          <w:szCs w:val="24"/>
        </w:rPr>
        <w:t xml:space="preserve">19 </w:t>
      </w:r>
      <w:r>
        <w:rPr>
          <w:szCs w:val="24"/>
        </w:rPr>
        <w:t xml:space="preserve">provides that, </w:t>
      </w:r>
      <w:r w:rsidRPr="004F373E">
        <w:rPr>
          <w:szCs w:val="24"/>
        </w:rPr>
        <w:t>in</w:t>
      </w:r>
      <w:r w:rsidR="00426150" w:rsidRPr="004F373E">
        <w:rPr>
          <w:szCs w:val="24"/>
        </w:rPr>
        <w:t xml:space="preserve"> undertaking its investment function, the </w:t>
      </w:r>
      <w:r w:rsidR="00EE0258">
        <w:rPr>
          <w:szCs w:val="24"/>
        </w:rPr>
        <w:t>Board</w:t>
      </w:r>
      <w:r w:rsidR="00EE0258" w:rsidRPr="004F373E">
        <w:rPr>
          <w:szCs w:val="24"/>
        </w:rPr>
        <w:t xml:space="preserve"> </w:t>
      </w:r>
      <w:r w:rsidR="00426150" w:rsidRPr="004F373E">
        <w:rPr>
          <w:szCs w:val="24"/>
        </w:rPr>
        <w:t>must act consistent</w:t>
      </w:r>
      <w:r w:rsidR="00426150">
        <w:rPr>
          <w:szCs w:val="24"/>
        </w:rPr>
        <w:t>ly</w:t>
      </w:r>
      <w:r w:rsidR="00426150" w:rsidRPr="004F373E">
        <w:rPr>
          <w:szCs w:val="24"/>
        </w:rPr>
        <w:t xml:space="preserve"> with, and establish policies in relation to, Australian best practice corporate governance. In particular, the Government expects the Board’s policies to </w:t>
      </w:r>
      <w:r w:rsidR="00426150" w:rsidRPr="004572EC">
        <w:rPr>
          <w:szCs w:val="24"/>
        </w:rPr>
        <w:t>include details of the Corporation’s approach to environmental, social and governance issues</w:t>
      </w:r>
      <w:r w:rsidR="00EE0258" w:rsidRPr="004572EC">
        <w:rPr>
          <w:szCs w:val="24"/>
        </w:rPr>
        <w:t>, and its First Nation</w:t>
      </w:r>
      <w:r w:rsidR="00AE1D18" w:rsidRPr="004572EC">
        <w:rPr>
          <w:szCs w:val="24"/>
        </w:rPr>
        <w:t>s</w:t>
      </w:r>
      <w:r w:rsidR="00EE0258" w:rsidRPr="004572EC">
        <w:rPr>
          <w:szCs w:val="24"/>
        </w:rPr>
        <w:t xml:space="preserve"> investment screening procedures</w:t>
      </w:r>
      <w:r w:rsidR="00426150" w:rsidRPr="004572EC">
        <w:rPr>
          <w:szCs w:val="24"/>
        </w:rPr>
        <w:t>.</w:t>
      </w:r>
      <w:r w:rsidR="00261E11" w:rsidRPr="004572EC">
        <w:t xml:space="preserve"> </w:t>
      </w:r>
    </w:p>
    <w:p w14:paraId="7E2EF2B9" w14:textId="584C9672" w:rsidR="006D0E53" w:rsidRPr="004572EC" w:rsidRDefault="006D0E53" w:rsidP="00B72158">
      <w:pPr>
        <w:spacing w:before="0" w:after="240"/>
        <w:ind w:right="91"/>
        <w:rPr>
          <w:szCs w:val="24"/>
        </w:rPr>
      </w:pPr>
      <w:r w:rsidRPr="004572EC">
        <w:rPr>
          <w:szCs w:val="24"/>
        </w:rPr>
        <w:t>These policies should be publicly available on the Corporation’s website.</w:t>
      </w:r>
    </w:p>
    <w:p w14:paraId="374828CF" w14:textId="2C012732" w:rsidR="004572EC" w:rsidRPr="004572EC" w:rsidRDefault="004572EC" w:rsidP="004572EC">
      <w:pPr>
        <w:spacing w:after="240"/>
        <w:rPr>
          <w:rStyle w:val="Hyperlink"/>
          <w:color w:val="auto"/>
          <w:sz w:val="22"/>
          <w:u w:val="none"/>
        </w:rPr>
      </w:pPr>
      <w:r w:rsidRPr="004572EC">
        <w:rPr>
          <w:rStyle w:val="Hyperlink"/>
          <w:color w:val="auto"/>
          <w:u w:val="none"/>
        </w:rPr>
        <w:t xml:space="preserve">In addition to the directions in </w:t>
      </w:r>
      <w:r w:rsidR="000A06E7">
        <w:rPr>
          <w:rStyle w:val="Hyperlink"/>
          <w:color w:val="auto"/>
          <w:u w:val="none"/>
        </w:rPr>
        <w:t>s</w:t>
      </w:r>
      <w:r w:rsidRPr="004572EC">
        <w:rPr>
          <w:rStyle w:val="Hyperlink"/>
          <w:color w:val="auto"/>
          <w:u w:val="none"/>
        </w:rPr>
        <w:t>ection 19, the</w:t>
      </w:r>
      <w:r w:rsidRPr="004572EC">
        <w:t xml:space="preserve"> </w:t>
      </w:r>
      <w:r w:rsidRPr="004572EC">
        <w:rPr>
          <w:rStyle w:val="Hyperlink"/>
          <w:color w:val="auto"/>
          <w:u w:val="none"/>
        </w:rPr>
        <w:t xml:space="preserve">government is signalling to the Corporation that it will be directed in a future Investment Mandate to consult with </w:t>
      </w:r>
      <w:r>
        <w:rPr>
          <w:rStyle w:val="Hyperlink"/>
          <w:color w:val="auto"/>
          <w:u w:val="none"/>
        </w:rPr>
        <w:t xml:space="preserve">the </w:t>
      </w:r>
      <w:r w:rsidRPr="004572EC">
        <w:rPr>
          <w:rStyle w:val="Hyperlink"/>
          <w:color w:val="auto"/>
          <w:u w:val="none"/>
        </w:rPr>
        <w:t>D</w:t>
      </w:r>
      <w:r>
        <w:rPr>
          <w:rStyle w:val="Hyperlink"/>
          <w:color w:val="auto"/>
          <w:u w:val="none"/>
        </w:rPr>
        <w:t xml:space="preserve">epartment of Climate Change, </w:t>
      </w:r>
      <w:r w:rsidR="000A06E7">
        <w:rPr>
          <w:rStyle w:val="Hyperlink"/>
          <w:color w:val="auto"/>
          <w:u w:val="none"/>
        </w:rPr>
        <w:t xml:space="preserve">Energy, </w:t>
      </w:r>
      <w:r>
        <w:rPr>
          <w:rStyle w:val="Hyperlink"/>
          <w:color w:val="auto"/>
          <w:u w:val="none"/>
        </w:rPr>
        <w:t>the Environment, and Water</w:t>
      </w:r>
      <w:r w:rsidRPr="004572EC">
        <w:rPr>
          <w:rStyle w:val="Hyperlink"/>
          <w:color w:val="auto"/>
          <w:u w:val="none"/>
        </w:rPr>
        <w:t xml:space="preserve"> in relation to the implementation of the First Nations Clean Energy Strategy, once finalised. </w:t>
      </w:r>
    </w:p>
    <w:p w14:paraId="66525C79" w14:textId="77777777" w:rsidR="004572EC" w:rsidRPr="004572EC" w:rsidRDefault="004572EC" w:rsidP="004572EC">
      <w:pPr>
        <w:spacing w:after="240"/>
        <w:rPr>
          <w:rStyle w:val="Hyperlink"/>
          <w:color w:val="auto"/>
          <w:u w:val="none"/>
        </w:rPr>
      </w:pPr>
      <w:r w:rsidRPr="004572EC">
        <w:rPr>
          <w:rStyle w:val="Hyperlink"/>
          <w:color w:val="auto"/>
          <w:u w:val="none"/>
        </w:rPr>
        <w:lastRenderedPageBreak/>
        <w:t xml:space="preserve">In August 2022, Australian Energy Ministers across all jurisdictions agreed to work with First Nations Australians to co-design a First Nations Clean Energy Strategy. The Strategy will help ensure First Nations Australians have a greater say in the priorities for the National Energy Transformation Partnership and participate in the design, development and implementation of clean energy policies and programs. The Strategy will also identify priority reforms and areas for future investment to improve support and unlock opportunities for First Nations Australians in the transition to net-zero. It will be expected that the Corporation will consult on relevant investment policies or strategies, rather than specific decisions or issues in relation to </w:t>
      </w:r>
      <w:proofErr w:type="gramStart"/>
      <w:r w:rsidRPr="004572EC">
        <w:rPr>
          <w:rStyle w:val="Hyperlink"/>
          <w:color w:val="auto"/>
          <w:u w:val="none"/>
        </w:rPr>
        <w:t>particular investments</w:t>
      </w:r>
      <w:proofErr w:type="gramEnd"/>
      <w:r w:rsidRPr="004572EC">
        <w:rPr>
          <w:rStyle w:val="Hyperlink"/>
          <w:color w:val="auto"/>
          <w:u w:val="none"/>
        </w:rPr>
        <w:t>.</w:t>
      </w:r>
    </w:p>
    <w:p w14:paraId="0A70C1B2" w14:textId="7E224B0F" w:rsidR="004572EC" w:rsidRPr="004572EC" w:rsidRDefault="004572EC" w:rsidP="00DC6D29">
      <w:pPr>
        <w:spacing w:before="0" w:after="240"/>
        <w:ind w:right="91"/>
        <w:rPr>
          <w:rStyle w:val="Hyperlink"/>
          <w:color w:val="auto"/>
        </w:rPr>
      </w:pPr>
      <w:r w:rsidRPr="004572EC">
        <w:rPr>
          <w:rStyle w:val="Hyperlink"/>
          <w:color w:val="auto"/>
          <w:u w:val="none"/>
        </w:rPr>
        <w:t xml:space="preserve">Further details on the First Nations Clean Energy Strategy are available at </w:t>
      </w:r>
      <w:hyperlink r:id="rId14" w:history="1">
        <w:r w:rsidRPr="004572EC">
          <w:rPr>
            <w:rStyle w:val="Hyperlink"/>
            <w:color w:val="auto"/>
          </w:rPr>
          <w:t>https://www.energy.gov.au/government-priorities/energy-and-climate-change-ministerial-council/priorities/national-energy-transformation-partnership/first-nations-clean-energy-strategy</w:t>
        </w:r>
      </w:hyperlink>
    </w:p>
    <w:p w14:paraId="6546E959" w14:textId="6BA740E0" w:rsidR="002B6766" w:rsidRPr="004572EC" w:rsidRDefault="00DC6D29" w:rsidP="00DC6D29">
      <w:pPr>
        <w:spacing w:before="0" w:after="240"/>
        <w:ind w:right="91"/>
        <w:rPr>
          <w:szCs w:val="24"/>
          <w:u w:val="single"/>
        </w:rPr>
      </w:pPr>
      <w:r w:rsidRPr="004572EC">
        <w:rPr>
          <w:szCs w:val="24"/>
          <w:u w:val="single"/>
        </w:rPr>
        <w:t xml:space="preserve">Section </w:t>
      </w:r>
      <w:r w:rsidR="002B6766" w:rsidRPr="004572EC">
        <w:rPr>
          <w:szCs w:val="24"/>
          <w:u w:val="single"/>
        </w:rPr>
        <w:t>20 –</w:t>
      </w:r>
      <w:r w:rsidR="004010B6" w:rsidRPr="004572EC">
        <w:rPr>
          <w:szCs w:val="24"/>
          <w:u w:val="single"/>
        </w:rPr>
        <w:t>E</w:t>
      </w:r>
      <w:r w:rsidR="002B6766" w:rsidRPr="004572EC">
        <w:rPr>
          <w:szCs w:val="24"/>
          <w:u w:val="single"/>
        </w:rPr>
        <w:t>nvironmental and social impact considerations</w:t>
      </w:r>
    </w:p>
    <w:p w14:paraId="1CD3D419" w14:textId="77777777" w:rsidR="008C02AB" w:rsidRDefault="00A72F74" w:rsidP="00DC6D29">
      <w:pPr>
        <w:spacing w:before="0" w:after="240"/>
        <w:ind w:right="91"/>
        <w:rPr>
          <w:szCs w:val="24"/>
        </w:rPr>
      </w:pPr>
      <w:r>
        <w:rPr>
          <w:szCs w:val="24"/>
        </w:rPr>
        <w:t>Section 20 provides that</w:t>
      </w:r>
      <w:r w:rsidR="004010B6">
        <w:rPr>
          <w:szCs w:val="24"/>
        </w:rPr>
        <w:t>,</w:t>
      </w:r>
      <w:r>
        <w:rPr>
          <w:szCs w:val="24"/>
        </w:rPr>
        <w:t xml:space="preserve"> where practical</w:t>
      </w:r>
      <w:r w:rsidR="004010B6">
        <w:rPr>
          <w:szCs w:val="24"/>
        </w:rPr>
        <w:t>,</w:t>
      </w:r>
      <w:r>
        <w:rPr>
          <w:szCs w:val="24"/>
        </w:rPr>
        <w:t xml:space="preserve"> the Board should consider </w:t>
      </w:r>
      <w:proofErr w:type="gramStart"/>
      <w:r w:rsidR="00AC6390">
        <w:rPr>
          <w:szCs w:val="24"/>
        </w:rPr>
        <w:t>particular environmental</w:t>
      </w:r>
      <w:proofErr w:type="gramEnd"/>
      <w:r>
        <w:rPr>
          <w:szCs w:val="24"/>
        </w:rPr>
        <w:t xml:space="preserve"> and social implications of investment decisions.</w:t>
      </w:r>
      <w:r w:rsidR="004010B6" w:rsidRPr="004010B6">
        <w:rPr>
          <w:szCs w:val="24"/>
        </w:rPr>
        <w:t xml:space="preserve"> </w:t>
      </w:r>
      <w:r w:rsidR="004010B6" w:rsidRPr="006D0E53">
        <w:rPr>
          <w:szCs w:val="24"/>
        </w:rPr>
        <w:t>In line with Australia’s national waste policy</w:t>
      </w:r>
      <w:r w:rsidR="00A70758">
        <w:rPr>
          <w:rStyle w:val="FootnoteReference"/>
          <w:szCs w:val="24"/>
        </w:rPr>
        <w:footnoteReference w:id="21"/>
      </w:r>
      <w:r w:rsidR="004010B6" w:rsidRPr="006D0E53">
        <w:rPr>
          <w:szCs w:val="24"/>
        </w:rPr>
        <w:t xml:space="preserve"> the Board is encouraged t</w:t>
      </w:r>
      <w:r w:rsidR="004010B6">
        <w:rPr>
          <w:szCs w:val="24"/>
        </w:rPr>
        <w:t>o</w:t>
      </w:r>
      <w:r w:rsidR="004010B6" w:rsidRPr="006D0E53">
        <w:rPr>
          <w:szCs w:val="24"/>
        </w:rPr>
        <w:t xml:space="preserve"> </w:t>
      </w:r>
      <w:r w:rsidR="004010B6">
        <w:rPr>
          <w:szCs w:val="24"/>
        </w:rPr>
        <w:t xml:space="preserve">develop investment policies which </w:t>
      </w:r>
      <w:r w:rsidR="004010B6" w:rsidRPr="006D0E53">
        <w:rPr>
          <w:szCs w:val="24"/>
        </w:rPr>
        <w:t xml:space="preserve">prioritise avoiding, reducing, </w:t>
      </w:r>
      <w:proofErr w:type="gramStart"/>
      <w:r w:rsidR="004010B6" w:rsidRPr="006D0E53">
        <w:rPr>
          <w:szCs w:val="24"/>
        </w:rPr>
        <w:t>reusing</w:t>
      </w:r>
      <w:proofErr w:type="gramEnd"/>
      <w:r w:rsidR="004010B6" w:rsidRPr="006D0E53">
        <w:rPr>
          <w:szCs w:val="24"/>
        </w:rPr>
        <w:t xml:space="preserve"> and recycling waste over other optio</w:t>
      </w:r>
      <w:r w:rsidR="004010B6">
        <w:rPr>
          <w:szCs w:val="24"/>
        </w:rPr>
        <w:t>ns. The Board should also consider the sustainability of</w:t>
      </w:r>
      <w:r w:rsidR="00454B32">
        <w:rPr>
          <w:szCs w:val="24"/>
        </w:rPr>
        <w:t xml:space="preserve"> </w:t>
      </w:r>
      <w:r w:rsidR="004010B6">
        <w:rPr>
          <w:szCs w:val="24"/>
        </w:rPr>
        <w:t xml:space="preserve">bioenergy feedstocks, including avoiding adverse impacts </w:t>
      </w:r>
      <w:r w:rsidR="00A70758">
        <w:rPr>
          <w:szCs w:val="24"/>
        </w:rPr>
        <w:t>on native</w:t>
      </w:r>
      <w:r w:rsidR="004010B6">
        <w:rPr>
          <w:szCs w:val="24"/>
        </w:rPr>
        <w:t xml:space="preserve"> forests</w:t>
      </w:r>
      <w:r w:rsidR="00935EC5">
        <w:rPr>
          <w:szCs w:val="24"/>
        </w:rPr>
        <w:t xml:space="preserve">. </w:t>
      </w:r>
    </w:p>
    <w:p w14:paraId="45B1C47C" w14:textId="32D032D0" w:rsidR="00A72F74" w:rsidRPr="006A561E" w:rsidRDefault="00935EC5" w:rsidP="00DC6D29">
      <w:pPr>
        <w:spacing w:before="0" w:after="240"/>
        <w:ind w:right="91"/>
        <w:rPr>
          <w:szCs w:val="24"/>
        </w:rPr>
      </w:pPr>
      <w:r>
        <w:rPr>
          <w:szCs w:val="24"/>
        </w:rPr>
        <w:t xml:space="preserve">Additionally, the Board should </w:t>
      </w:r>
      <w:proofErr w:type="gramStart"/>
      <w:r>
        <w:rPr>
          <w:szCs w:val="24"/>
        </w:rPr>
        <w:t>take into account</w:t>
      </w:r>
      <w:proofErr w:type="gramEnd"/>
      <w:r w:rsidR="004010B6">
        <w:rPr>
          <w:szCs w:val="24"/>
        </w:rPr>
        <w:t xml:space="preserve"> </w:t>
      </w:r>
      <w:r w:rsidR="008D134E">
        <w:rPr>
          <w:szCs w:val="24"/>
        </w:rPr>
        <w:t xml:space="preserve">that </w:t>
      </w:r>
      <w:r w:rsidR="004010B6">
        <w:rPr>
          <w:szCs w:val="24"/>
        </w:rPr>
        <w:t>social licence is essential for the success of clean energy technologies</w:t>
      </w:r>
      <w:r w:rsidR="00E66180">
        <w:rPr>
          <w:szCs w:val="24"/>
        </w:rPr>
        <w:t xml:space="preserve"> and </w:t>
      </w:r>
      <w:r w:rsidR="00E66180" w:rsidRPr="00EC6992">
        <w:rPr>
          <w:szCs w:val="24"/>
        </w:rPr>
        <w:t>projects</w:t>
      </w:r>
      <w:r w:rsidR="004010B6" w:rsidRPr="00B50C5E">
        <w:rPr>
          <w:szCs w:val="24"/>
        </w:rPr>
        <w:t>.</w:t>
      </w:r>
      <w:r w:rsidR="00E66180" w:rsidRPr="00B50C5E">
        <w:rPr>
          <w:szCs w:val="24"/>
        </w:rPr>
        <w:t xml:space="preserve"> In addition to the impact on communities and stakeholders, projects and technologies that do not secure social licence attract a greater risk of delay, </w:t>
      </w:r>
      <w:proofErr w:type="gramStart"/>
      <w:r w:rsidR="00E66180" w:rsidRPr="00B50C5E">
        <w:rPr>
          <w:szCs w:val="24"/>
        </w:rPr>
        <w:t>disruption</w:t>
      </w:r>
      <w:proofErr w:type="gramEnd"/>
      <w:r w:rsidR="00E66180" w:rsidRPr="00B50C5E">
        <w:rPr>
          <w:szCs w:val="24"/>
        </w:rPr>
        <w:t xml:space="preserve"> and cost increases.</w:t>
      </w:r>
      <w:r w:rsidR="008C02AB">
        <w:rPr>
          <w:szCs w:val="24"/>
        </w:rPr>
        <w:t xml:space="preserve"> Relevantly, the Corporation also needs to consider that </w:t>
      </w:r>
      <w:r w:rsidR="008C02AB">
        <w:t>the provision of local employment opportunities in the delivery of clean energy technologies is a priority for the Australian Government. This includes direct local employment in clean energy projects and indirect employment through local content (see also section 1</w:t>
      </w:r>
      <w:r w:rsidR="00F71ADA">
        <w:t>1</w:t>
      </w:r>
      <w:r w:rsidR="008C02AB">
        <w:t>).</w:t>
      </w:r>
    </w:p>
    <w:p w14:paraId="11CD98C1" w14:textId="74C5C645" w:rsidR="00DC6D29" w:rsidRDefault="002B6766" w:rsidP="00C31E3C">
      <w:pPr>
        <w:keepNext/>
        <w:spacing w:before="0" w:after="240"/>
        <w:ind w:right="91"/>
        <w:rPr>
          <w:szCs w:val="24"/>
          <w:u w:val="single"/>
        </w:rPr>
      </w:pPr>
      <w:r>
        <w:rPr>
          <w:szCs w:val="24"/>
          <w:u w:val="single"/>
        </w:rPr>
        <w:t xml:space="preserve">Section 21 </w:t>
      </w:r>
      <w:r w:rsidR="00B32DB3" w:rsidRPr="00D33F05">
        <w:rPr>
          <w:szCs w:val="24"/>
          <w:u w:val="single"/>
        </w:rPr>
        <w:t>–</w:t>
      </w:r>
      <w:r w:rsidR="00B32DB3">
        <w:rPr>
          <w:szCs w:val="24"/>
          <w:u w:val="single"/>
        </w:rPr>
        <w:t xml:space="preserve"> </w:t>
      </w:r>
      <w:r w:rsidR="00B32DB3" w:rsidRPr="00B32DB3">
        <w:rPr>
          <w:szCs w:val="24"/>
          <w:u w:val="single"/>
        </w:rPr>
        <w:t xml:space="preserve">Collaboration and </w:t>
      </w:r>
      <w:r w:rsidR="00935EC5" w:rsidRPr="00B32DB3">
        <w:rPr>
          <w:szCs w:val="24"/>
          <w:u w:val="single"/>
        </w:rPr>
        <w:t>Co</w:t>
      </w:r>
      <w:r w:rsidR="00935EC5">
        <w:rPr>
          <w:szCs w:val="24"/>
          <w:u w:val="single"/>
        </w:rPr>
        <w:t>operation</w:t>
      </w:r>
    </w:p>
    <w:p w14:paraId="72E20C5E" w14:textId="784A6CB9" w:rsidR="00261E11" w:rsidRDefault="003F19A5" w:rsidP="00C31E3C">
      <w:pPr>
        <w:keepNext/>
        <w:spacing w:before="0" w:after="240"/>
        <w:ind w:right="91"/>
        <w:rPr>
          <w:szCs w:val="24"/>
        </w:rPr>
      </w:pPr>
      <w:r w:rsidRPr="006D0E53">
        <w:rPr>
          <w:szCs w:val="24"/>
        </w:rPr>
        <w:t xml:space="preserve">Section </w:t>
      </w:r>
      <w:r w:rsidR="002B6766">
        <w:rPr>
          <w:szCs w:val="24"/>
        </w:rPr>
        <w:t>21</w:t>
      </w:r>
      <w:r w:rsidR="002B6766" w:rsidRPr="006D0E53">
        <w:rPr>
          <w:szCs w:val="24"/>
        </w:rPr>
        <w:t xml:space="preserve"> </w:t>
      </w:r>
      <w:r w:rsidRPr="006D0E53">
        <w:rPr>
          <w:szCs w:val="24"/>
        </w:rPr>
        <w:t xml:space="preserve">provides that the Board </w:t>
      </w:r>
      <w:r w:rsidR="00935EC5">
        <w:rPr>
          <w:szCs w:val="24"/>
        </w:rPr>
        <w:t>should, where practical and appropriate,</w:t>
      </w:r>
      <w:r w:rsidR="00935EC5" w:rsidRPr="006D0E53">
        <w:rPr>
          <w:szCs w:val="24"/>
        </w:rPr>
        <w:t xml:space="preserve"> </w:t>
      </w:r>
      <w:r w:rsidRPr="006D0E53">
        <w:rPr>
          <w:szCs w:val="24"/>
        </w:rPr>
        <w:t xml:space="preserve">seek to cooperate and collaborate with </w:t>
      </w:r>
      <w:r w:rsidR="00A37D82">
        <w:rPr>
          <w:szCs w:val="24"/>
        </w:rPr>
        <w:t>other</w:t>
      </w:r>
      <w:r w:rsidR="00A37D82" w:rsidRPr="006D0E53">
        <w:rPr>
          <w:szCs w:val="24"/>
        </w:rPr>
        <w:t xml:space="preserve"> </w:t>
      </w:r>
      <w:r w:rsidRPr="006D0E53">
        <w:rPr>
          <w:szCs w:val="24"/>
        </w:rPr>
        <w:t xml:space="preserve">government </w:t>
      </w:r>
      <w:r w:rsidR="00A37D82">
        <w:rPr>
          <w:szCs w:val="24"/>
        </w:rPr>
        <w:t>entities</w:t>
      </w:r>
      <w:r w:rsidR="00A37D82" w:rsidRPr="006D0E53">
        <w:rPr>
          <w:szCs w:val="24"/>
        </w:rPr>
        <w:t xml:space="preserve"> </w:t>
      </w:r>
      <w:r w:rsidRPr="006D0E53">
        <w:rPr>
          <w:szCs w:val="24"/>
        </w:rPr>
        <w:t xml:space="preserve">that support investment in clean energy technologies. </w:t>
      </w:r>
    </w:p>
    <w:p w14:paraId="1F36D3C8" w14:textId="6AFF4238" w:rsidR="007714D3" w:rsidRDefault="00DB620B" w:rsidP="00DC6D29">
      <w:pPr>
        <w:spacing w:before="0" w:after="240"/>
        <w:ind w:right="91"/>
        <w:rPr>
          <w:szCs w:val="24"/>
          <w:u w:val="single"/>
        </w:rPr>
      </w:pPr>
      <w:r>
        <w:rPr>
          <w:szCs w:val="24"/>
        </w:rPr>
        <w:t xml:space="preserve">The direction to collaborate and cooperate is intended to </w:t>
      </w:r>
      <w:r w:rsidR="00D54E48">
        <w:rPr>
          <w:szCs w:val="24"/>
        </w:rPr>
        <w:t xml:space="preserve">promote effective investment in clean energy technologies through </w:t>
      </w:r>
      <w:r>
        <w:rPr>
          <w:szCs w:val="24"/>
        </w:rPr>
        <w:t>enhance</w:t>
      </w:r>
      <w:r w:rsidR="00D54E48">
        <w:rPr>
          <w:szCs w:val="24"/>
        </w:rPr>
        <w:t>d</w:t>
      </w:r>
      <w:r>
        <w:rPr>
          <w:szCs w:val="24"/>
        </w:rPr>
        <w:t xml:space="preserve"> knowledge sharing and </w:t>
      </w:r>
      <w:r w:rsidR="00F53D42">
        <w:rPr>
          <w:szCs w:val="24"/>
        </w:rPr>
        <w:t>mitigating an</w:t>
      </w:r>
      <w:r w:rsidR="00185DAA">
        <w:rPr>
          <w:szCs w:val="24"/>
        </w:rPr>
        <w:t>y</w:t>
      </w:r>
      <w:r w:rsidR="00F53D42">
        <w:rPr>
          <w:szCs w:val="24"/>
        </w:rPr>
        <w:t xml:space="preserve"> potential </w:t>
      </w:r>
      <w:r>
        <w:rPr>
          <w:szCs w:val="24"/>
        </w:rPr>
        <w:t xml:space="preserve">duplication of </w:t>
      </w:r>
      <w:r w:rsidR="00D54E48">
        <w:rPr>
          <w:szCs w:val="24"/>
        </w:rPr>
        <w:t>activities</w:t>
      </w:r>
      <w:r w:rsidR="007452DF">
        <w:rPr>
          <w:szCs w:val="24"/>
        </w:rPr>
        <w:t xml:space="preserve"> across </w:t>
      </w:r>
      <w:r w:rsidR="00A37D82">
        <w:rPr>
          <w:szCs w:val="24"/>
        </w:rPr>
        <w:t>entities</w:t>
      </w:r>
      <w:r>
        <w:rPr>
          <w:szCs w:val="24"/>
        </w:rPr>
        <w:t xml:space="preserve">. </w:t>
      </w:r>
      <w:r w:rsidR="006E3A49">
        <w:rPr>
          <w:szCs w:val="24"/>
        </w:rPr>
        <w:t>The direction is also intended to encourage coordination between entities where there is overlap across the clean energy sector.</w:t>
      </w:r>
    </w:p>
    <w:p w14:paraId="593C44A8" w14:textId="5BE073C8" w:rsidR="00B32DB3" w:rsidRDefault="00B72158" w:rsidP="00590159">
      <w:pPr>
        <w:keepNext/>
        <w:spacing w:before="0" w:after="240"/>
        <w:ind w:right="91"/>
        <w:rPr>
          <w:szCs w:val="24"/>
          <w:u w:val="single"/>
        </w:rPr>
      </w:pPr>
      <w:r>
        <w:rPr>
          <w:szCs w:val="24"/>
          <w:u w:val="single"/>
        </w:rPr>
        <w:lastRenderedPageBreak/>
        <w:t xml:space="preserve">Section </w:t>
      </w:r>
      <w:r w:rsidR="002B6766">
        <w:rPr>
          <w:szCs w:val="24"/>
          <w:u w:val="single"/>
        </w:rPr>
        <w:t xml:space="preserve">22 </w:t>
      </w:r>
      <w:r w:rsidRPr="00D33F05">
        <w:rPr>
          <w:szCs w:val="24"/>
          <w:u w:val="single"/>
        </w:rPr>
        <w:t>–</w:t>
      </w:r>
      <w:r>
        <w:rPr>
          <w:szCs w:val="24"/>
          <w:u w:val="single"/>
        </w:rPr>
        <w:t xml:space="preserve"> </w:t>
      </w:r>
      <w:r w:rsidR="00DC6D29" w:rsidRPr="00DC6D29">
        <w:rPr>
          <w:szCs w:val="24"/>
          <w:u w:val="single"/>
        </w:rPr>
        <w:t>Obligation to invest at least half of funds in renewable energy technologies</w:t>
      </w:r>
      <w:r w:rsidR="00DC6D29">
        <w:rPr>
          <w:szCs w:val="24"/>
          <w:u w:val="single"/>
        </w:rPr>
        <w:t xml:space="preserve"> </w:t>
      </w:r>
    </w:p>
    <w:p w14:paraId="06D3858E" w14:textId="253F7C5D" w:rsidR="000F76FF" w:rsidRPr="006A561E" w:rsidRDefault="000634E0" w:rsidP="00590159">
      <w:pPr>
        <w:keepNext/>
        <w:spacing w:before="0" w:after="240"/>
        <w:ind w:right="91"/>
        <w:rPr>
          <w:szCs w:val="24"/>
          <w:u w:val="single"/>
        </w:rPr>
      </w:pPr>
      <w:r w:rsidRPr="006A561E">
        <w:rPr>
          <w:szCs w:val="24"/>
        </w:rPr>
        <w:t xml:space="preserve">Section 22 </w:t>
      </w:r>
      <w:r w:rsidR="00646E12">
        <w:rPr>
          <w:szCs w:val="24"/>
        </w:rPr>
        <w:t xml:space="preserve">further </w:t>
      </w:r>
      <w:r w:rsidRPr="006A561E">
        <w:rPr>
          <w:szCs w:val="24"/>
        </w:rPr>
        <w:t xml:space="preserve">provides that, irrespective of the directions of the 2023 Mandate, the Board may take whatever action it deems necessary to comply with subsection 58(3) of the Act, which requires the Board to maintain at a minimum 50 per cent of the </w:t>
      </w:r>
      <w:r w:rsidRPr="000F76FF">
        <w:rPr>
          <w:szCs w:val="24"/>
        </w:rPr>
        <w:t xml:space="preserve">Corporation’s investments in renewable energy technologies. </w:t>
      </w:r>
    </w:p>
    <w:p w14:paraId="276C62E9" w14:textId="4E18C082" w:rsidR="00426150" w:rsidRPr="006A561E" w:rsidRDefault="00DC6D29" w:rsidP="00B72158">
      <w:pPr>
        <w:spacing w:before="0" w:after="240"/>
        <w:ind w:right="91"/>
        <w:rPr>
          <w:szCs w:val="24"/>
          <w:u w:val="single"/>
        </w:rPr>
      </w:pPr>
      <w:r w:rsidRPr="006A561E">
        <w:rPr>
          <w:szCs w:val="24"/>
          <w:u w:val="single"/>
        </w:rPr>
        <w:t xml:space="preserve">Section </w:t>
      </w:r>
      <w:r w:rsidR="002B6766" w:rsidRPr="006A561E">
        <w:rPr>
          <w:szCs w:val="24"/>
          <w:u w:val="single"/>
        </w:rPr>
        <w:t xml:space="preserve">23 </w:t>
      </w:r>
      <w:r w:rsidR="00426150" w:rsidRPr="006A561E">
        <w:rPr>
          <w:szCs w:val="24"/>
          <w:u w:val="single"/>
        </w:rPr>
        <w:t>– Repeal of previous direction</w:t>
      </w:r>
    </w:p>
    <w:p w14:paraId="0ED51316" w14:textId="7730D609" w:rsidR="00D9549F" w:rsidRDefault="00426150" w:rsidP="008C788B">
      <w:pPr>
        <w:spacing w:before="0" w:after="240"/>
        <w:rPr>
          <w:szCs w:val="24"/>
        </w:rPr>
      </w:pPr>
      <w:r w:rsidRPr="006A561E">
        <w:rPr>
          <w:szCs w:val="24"/>
        </w:rPr>
        <w:t xml:space="preserve">Section </w:t>
      </w:r>
      <w:r w:rsidR="002B6766" w:rsidRPr="006A561E">
        <w:rPr>
          <w:szCs w:val="24"/>
        </w:rPr>
        <w:t>23</w:t>
      </w:r>
      <w:r w:rsidR="00FF6A2F">
        <w:rPr>
          <w:szCs w:val="24"/>
        </w:rPr>
        <w:t xml:space="preserve"> of the Act</w:t>
      </w:r>
      <w:r w:rsidR="002B6766" w:rsidRPr="006A561E">
        <w:rPr>
          <w:szCs w:val="24"/>
        </w:rPr>
        <w:t xml:space="preserve"> </w:t>
      </w:r>
      <w:r w:rsidRPr="006A561E">
        <w:rPr>
          <w:szCs w:val="24"/>
        </w:rPr>
        <w:t xml:space="preserve">provides that the </w:t>
      </w:r>
      <w:r w:rsidR="00081F9C" w:rsidRPr="006A561E">
        <w:rPr>
          <w:szCs w:val="24"/>
        </w:rPr>
        <w:t>202</w:t>
      </w:r>
      <w:r w:rsidR="006A561E" w:rsidRPr="006A561E">
        <w:rPr>
          <w:szCs w:val="24"/>
        </w:rPr>
        <w:t xml:space="preserve">3 </w:t>
      </w:r>
      <w:r w:rsidR="00081F9C" w:rsidRPr="006A561E">
        <w:rPr>
          <w:szCs w:val="24"/>
        </w:rPr>
        <w:t>Mandate</w:t>
      </w:r>
      <w:r w:rsidRPr="006A561E">
        <w:rPr>
          <w:szCs w:val="24"/>
        </w:rPr>
        <w:t xml:space="preserve"> replaces </w:t>
      </w:r>
      <w:r w:rsidR="00935EC5">
        <w:rPr>
          <w:szCs w:val="24"/>
        </w:rPr>
        <w:t xml:space="preserve">and repeals </w:t>
      </w:r>
      <w:r w:rsidRPr="006A561E">
        <w:rPr>
          <w:szCs w:val="24"/>
        </w:rPr>
        <w:t>the</w:t>
      </w:r>
      <w:r w:rsidRPr="006A561E">
        <w:t xml:space="preserve"> </w:t>
      </w:r>
      <w:r w:rsidR="00ED6495" w:rsidRPr="006A561E">
        <w:t xml:space="preserve">Board’s </w:t>
      </w:r>
      <w:r w:rsidRPr="006A561E">
        <w:t>previous</w:t>
      </w:r>
      <w:r>
        <w:t xml:space="preserve"> Investment Mandate</w:t>
      </w:r>
      <w:r w:rsidR="00F24C50">
        <w:rPr>
          <w:rStyle w:val="FootnoteReference"/>
        </w:rPr>
        <w:footnoteReference w:id="22"/>
      </w:r>
      <w:r>
        <w:t>.</w:t>
      </w:r>
      <w:r>
        <w:rPr>
          <w:szCs w:val="24"/>
        </w:rPr>
        <w:t xml:space="preserve"> The power to repeal a previous Investment Mandate is implied in the power of the responsible Ministers under subsection 64(1) of the Act to issue new Investment Mandates to the </w:t>
      </w:r>
      <w:r w:rsidR="00ED6495">
        <w:rPr>
          <w:szCs w:val="24"/>
        </w:rPr>
        <w:t>Board</w:t>
      </w:r>
      <w:r w:rsidR="00F24C50">
        <w:rPr>
          <w:rStyle w:val="FootnoteReference"/>
          <w:szCs w:val="24"/>
        </w:rPr>
        <w:footnoteReference w:id="23"/>
      </w:r>
      <w:r>
        <w:rPr>
          <w:szCs w:val="24"/>
        </w:rPr>
        <w:t>.</w:t>
      </w:r>
      <w:r w:rsidR="00F24C50" w:rsidDel="00F24C50">
        <w:rPr>
          <w:rStyle w:val="FootnoteReference"/>
          <w:szCs w:val="24"/>
        </w:rPr>
        <w:t xml:space="preserve"> </w:t>
      </w:r>
    </w:p>
    <w:p w14:paraId="740E92A5" w14:textId="438135DB" w:rsidR="000E088C" w:rsidRDefault="000E088C" w:rsidP="000E088C">
      <w:pPr>
        <w:pStyle w:val="OutlineNumbered1"/>
        <w:numPr>
          <w:ilvl w:val="0"/>
          <w:numId w:val="0"/>
        </w:numPr>
        <w:tabs>
          <w:tab w:val="left" w:pos="720"/>
        </w:tabs>
      </w:pPr>
      <w:r>
        <w:t xml:space="preserve">Section </w:t>
      </w:r>
      <w:r w:rsidR="002B6766">
        <w:t xml:space="preserve">23 </w:t>
      </w:r>
      <w:r w:rsidR="00FF6A2F">
        <w:t xml:space="preserve">of the Act </w:t>
      </w:r>
      <w:r>
        <w:t>confirms that the repeal of previous directions and the making of a new direction does not require the Corporation to divest investments or to make investments that are not complying investments.</w:t>
      </w:r>
    </w:p>
    <w:p w14:paraId="3F91A54D" w14:textId="4C2BD439" w:rsidR="00D9549F" w:rsidRPr="00F158EF" w:rsidRDefault="00D9549F" w:rsidP="008C788B">
      <w:pPr>
        <w:spacing w:before="0" w:after="240"/>
      </w:pPr>
    </w:p>
    <w:sectPr w:rsidR="00D9549F" w:rsidRPr="00F158EF" w:rsidSect="00392BBA">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E0CA" w14:textId="77777777" w:rsidR="00CC7426" w:rsidRDefault="00CC7426" w:rsidP="00CF785C">
      <w:pPr>
        <w:spacing w:before="0" w:after="0"/>
      </w:pPr>
      <w:r>
        <w:separator/>
      </w:r>
    </w:p>
  </w:endnote>
  <w:endnote w:type="continuationSeparator" w:id="0">
    <w:p w14:paraId="19117807" w14:textId="77777777" w:rsidR="00CC7426" w:rsidRDefault="00CC7426" w:rsidP="00CF785C">
      <w:pPr>
        <w:spacing w:before="0" w:after="0"/>
      </w:pPr>
      <w:r>
        <w:continuationSeparator/>
      </w:r>
    </w:p>
  </w:endnote>
  <w:endnote w:type="continuationNotice" w:id="1">
    <w:p w14:paraId="161506E8" w14:textId="77777777" w:rsidR="00CC7426" w:rsidRDefault="00CC74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44DE" w14:textId="0B20E3EC" w:rsidR="00C94E94" w:rsidRDefault="00D22F16">
    <w:pPr>
      <w:pStyle w:val="Footer"/>
    </w:pPr>
    <w:r>
      <w:rPr>
        <w:noProof/>
      </w:rPr>
      <mc:AlternateContent>
        <mc:Choice Requires="wps">
          <w:drawing>
            <wp:anchor distT="0" distB="0" distL="114300" distR="114300" simplePos="0" relativeHeight="251692544" behindDoc="0" locked="1" layoutInCell="0" allowOverlap="1" wp14:anchorId="5B1640AD" wp14:editId="70D12120">
              <wp:simplePos x="0" y="0"/>
              <wp:positionH relativeFrom="margin">
                <wp:align>center</wp:align>
              </wp:positionH>
              <wp:positionV relativeFrom="bottomMargin">
                <wp:align>center</wp:align>
              </wp:positionV>
              <wp:extent cx="1612265" cy="27305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7E38E" w14:textId="516C1BA8" w:rsidR="00D22F16" w:rsidRPr="00D22F16" w:rsidRDefault="00D22F16" w:rsidP="00D22F16">
                          <w:pPr>
                            <w:spacing w:before="0" w:after="0"/>
                            <w:jc w:val="center"/>
                            <w:rPr>
                              <w:rFonts w:ascii="Arial" w:hAnsi="Arial" w:cs="Arial"/>
                              <w:b/>
                              <w:color w:val="FF0000"/>
                            </w:rPr>
                          </w:pPr>
                          <w:r w:rsidRPr="00D22F16">
                            <w:rPr>
                              <w:rFonts w:ascii="Arial" w:hAnsi="Arial" w:cs="Arial"/>
                              <w:b/>
                              <w:color w:val="FF0000"/>
                            </w:rPr>
                            <w:fldChar w:fldCharType="begin"/>
                          </w:r>
                          <w:r w:rsidRPr="00D22F16">
                            <w:rPr>
                              <w:rFonts w:ascii="Arial" w:hAnsi="Arial" w:cs="Arial"/>
                              <w:b/>
                              <w:color w:val="FF0000"/>
                            </w:rPr>
                            <w:instrText xml:space="preserve"> DOCPROPERTY PM_ProtectiveMarkingValue_Footer \* MERGEFORMAT </w:instrText>
                          </w:r>
                          <w:r w:rsidRPr="00D22F16">
                            <w:rPr>
                              <w:rFonts w:ascii="Arial" w:hAnsi="Arial" w:cs="Arial"/>
                              <w:b/>
                              <w:color w:val="FF0000"/>
                            </w:rPr>
                            <w:fldChar w:fldCharType="separate"/>
                          </w:r>
                          <w:proofErr w:type="spellStart"/>
                          <w:r w:rsidR="00490E25">
                            <w:rPr>
                              <w:rFonts w:ascii="Arial" w:hAnsi="Arial" w:cs="Arial"/>
                              <w:b/>
                              <w:color w:val="FF0000"/>
                            </w:rPr>
                            <w:t>OFFICIAL:Sensitive</w:t>
                          </w:r>
                          <w:proofErr w:type="spellEnd"/>
                          <w:r w:rsidRPr="00D22F16">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1640AD" id="_x0000_t202" coordsize="21600,21600" o:spt="202" path="m,l,21600r21600,l21600,xe">
              <v:stroke joinstyle="miter"/>
              <v:path gradientshapeok="t" o:connecttype="rect"/>
            </v:shapetype>
            <v:shape id="Text Box 71" o:spid="_x0000_s1039" type="#_x0000_t202" style="position:absolute;margin-left:0;margin-top:0;width:126.95pt;height:21.5pt;z-index:2516925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dGA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ONL4vMgWqiPu5+BEvbd81eAQa+bD&#10;C3PINa6E+g3PeEgF2Ax6i5Ia3M+//Y/xSAF6KWlROyU1KG5K1HeD1HwZTSZRaukymd7leHG3nu2t&#10;x+z1A6A4R/hOLE9mjA/qbEoH+g1Fvow90cUMx84lDWfzIZz0jI+Ei+UyBaG4LAtrs7E8lo7QRYBf&#10;uzfmbM9CQP6e4KwxVrwj4xQbM71d7gNSkpiKMJ8w7dFHYSYC+0cUlX97T1HXp774BQ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Ro/SdGAIAADIEAAAOAAAAAAAAAAAAAAAAAC4CAABkcnMvZTJvRG9jLnhtbFBLAQItABQABgAI&#10;AAAAIQC9fPS/3AAAAAQBAAAPAAAAAAAAAAAAAAAAAHIEAABkcnMvZG93bnJldi54bWxQSwUGAAAA&#10;AAQABADzAAAAewUAAAAA&#10;" o:allowincell="f" filled="f" stroked="f" strokeweight=".5pt">
              <v:textbox style="mso-fit-shape-to-text:t">
                <w:txbxContent>
                  <w:p w14:paraId="3387E38E" w14:textId="516C1BA8" w:rsidR="00D22F16" w:rsidRPr="00D22F16" w:rsidRDefault="00D22F16" w:rsidP="00D22F16">
                    <w:pPr>
                      <w:spacing w:before="0" w:after="0"/>
                      <w:jc w:val="center"/>
                      <w:rPr>
                        <w:rFonts w:ascii="Arial" w:hAnsi="Arial" w:cs="Arial"/>
                        <w:b/>
                        <w:color w:val="FF0000"/>
                      </w:rPr>
                    </w:pPr>
                    <w:r w:rsidRPr="00D22F16">
                      <w:rPr>
                        <w:rFonts w:ascii="Arial" w:hAnsi="Arial" w:cs="Arial"/>
                        <w:b/>
                        <w:color w:val="FF0000"/>
                      </w:rPr>
                      <w:fldChar w:fldCharType="begin"/>
                    </w:r>
                    <w:r w:rsidRPr="00D22F16">
                      <w:rPr>
                        <w:rFonts w:ascii="Arial" w:hAnsi="Arial" w:cs="Arial"/>
                        <w:b/>
                        <w:color w:val="FF0000"/>
                      </w:rPr>
                      <w:instrText xml:space="preserve"> DOCPROPERTY PM_ProtectiveMarkingValue_Footer \* MERGEFORMAT </w:instrText>
                    </w:r>
                    <w:r w:rsidRPr="00D22F16">
                      <w:rPr>
                        <w:rFonts w:ascii="Arial" w:hAnsi="Arial" w:cs="Arial"/>
                        <w:b/>
                        <w:color w:val="FF0000"/>
                      </w:rPr>
                      <w:fldChar w:fldCharType="separate"/>
                    </w:r>
                    <w:proofErr w:type="spellStart"/>
                    <w:r w:rsidR="00490E25">
                      <w:rPr>
                        <w:rFonts w:ascii="Arial" w:hAnsi="Arial" w:cs="Arial"/>
                        <w:b/>
                        <w:color w:val="FF0000"/>
                      </w:rPr>
                      <w:t>OFFICIAL:Sensitive</w:t>
                    </w:r>
                    <w:proofErr w:type="spellEnd"/>
                    <w:r w:rsidRPr="00D22F16">
                      <w:rPr>
                        <w:rFonts w:ascii="Arial" w:hAnsi="Arial" w:cs="Arial"/>
                        <w:b/>
                        <w:color w:val="FF0000"/>
                      </w:rPr>
                      <w:fldChar w:fldCharType="end"/>
                    </w:r>
                  </w:p>
                </w:txbxContent>
              </v:textbox>
              <w10:wrap anchorx="margin" anchory="margin"/>
              <w10:anchorlock/>
            </v:shape>
          </w:pict>
        </mc:Fallback>
      </mc:AlternateContent>
    </w:r>
    <w:r w:rsidR="0029376B">
      <w:rPr>
        <w:noProof/>
      </w:rPr>
      <mc:AlternateContent>
        <mc:Choice Requires="wps">
          <w:drawing>
            <wp:anchor distT="0" distB="0" distL="114300" distR="114300" simplePos="1" relativeHeight="251687424" behindDoc="0" locked="0" layoutInCell="1" allowOverlap="1" wp14:anchorId="07D484C4" wp14:editId="4FDFFE9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6" name="Text Box 6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C89AB67" w14:textId="77777777" w:rsidR="0029376B" w:rsidRDefault="00293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D484C4" id="Text Box 66" o:spid="_x0000_s1040" type="#_x0000_t202" style="position:absolute;margin-left:0;margin-top:0;width:110pt;height:36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1ybHgD1QFxcNCPiLd8qTD+ivnwwhzOBPaHcx6e8ZAasCgYJEpqcL/+9h7tkSrUUtLijJXU/9wx&#10;JyjR3wySeD+eTOJQpksCjhJ3qdlcasyuWQB2OsaNsjyJ6OyCPorSQfOG6zCPWVHFDMfcJQ1HcRH6&#10;ycd14mI+T0Y4hpaFlVlbHkMfcX3t3pizA18BmX6C4zSy4h1tvW1P3HwXQKrEaQS6R3XAH0c4TcWw&#10;bnFHLu/J6vxT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4+pXLLAIAAFwEAAAOAAAAAAAAAAAAAAAAAC4CAABkcnMvZTJv&#10;RG9jLnhtbFBLAQItABQABgAIAAAAIQCQEPlk2gAAAAQBAAAPAAAAAAAAAAAAAAAAAIYEAABkcnMv&#10;ZG93bnJldi54bWxQSwUGAAAAAAQABADzAAAAjQUAAAAA&#10;" filled="f" strokeweight=".5pt">
              <v:textbox>
                <w:txbxContent>
                  <w:p w14:paraId="3C89AB67" w14:textId="77777777" w:rsidR="0029376B" w:rsidRDefault="0029376B"/>
                </w:txbxContent>
              </v:textbox>
              <w10:wrap type="through"/>
            </v:shape>
          </w:pict>
        </mc:Fallback>
      </mc:AlternateContent>
    </w:r>
    <w:r w:rsidR="001A5D78">
      <w:rPr>
        <w:noProof/>
      </w:rPr>
      <mc:AlternateContent>
        <mc:Choice Requires="wps">
          <w:drawing>
            <wp:anchor distT="0" distB="0" distL="114300" distR="114300" simplePos="0" relativeHeight="251681280" behindDoc="0" locked="1" layoutInCell="0" allowOverlap="1" wp14:anchorId="7722C148" wp14:editId="4AB18E20">
              <wp:simplePos x="0" y="0"/>
              <wp:positionH relativeFrom="margin">
                <wp:align>center</wp:align>
              </wp:positionH>
              <wp:positionV relativeFrom="bottomMargin">
                <wp:align>center</wp:align>
              </wp:positionV>
              <wp:extent cx="1612265" cy="2730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4C517" w14:textId="3C2A3711" w:rsidR="001A5D78" w:rsidRPr="001A5D78" w:rsidRDefault="001A5D78" w:rsidP="001A5D78">
                          <w:pPr>
                            <w:spacing w:before="0" w:after="0"/>
                            <w:jc w:val="center"/>
                            <w:rPr>
                              <w:rFonts w:ascii="Arial" w:hAnsi="Arial" w:cs="Arial"/>
                              <w:b/>
                              <w:color w:val="FF0000"/>
                            </w:rPr>
                          </w:pPr>
                          <w:r w:rsidRPr="001A5D78">
                            <w:rPr>
                              <w:rFonts w:ascii="Arial" w:hAnsi="Arial" w:cs="Arial"/>
                              <w:b/>
                              <w:color w:val="FF0000"/>
                            </w:rPr>
                            <w:fldChar w:fldCharType="begin"/>
                          </w:r>
                          <w:r w:rsidRPr="001A5D78">
                            <w:rPr>
                              <w:rFonts w:ascii="Arial" w:hAnsi="Arial" w:cs="Arial"/>
                              <w:b/>
                              <w:color w:val="FF0000"/>
                            </w:rPr>
                            <w:instrText xml:space="preserve"> DOCPROPERTY PM_ProtectiveMarkingValue_Footer \* MERGEFORMAT </w:instrText>
                          </w:r>
                          <w:r w:rsidRPr="001A5D78">
                            <w:rPr>
                              <w:rFonts w:ascii="Arial" w:hAnsi="Arial" w:cs="Arial"/>
                              <w:b/>
                              <w:color w:val="FF0000"/>
                            </w:rPr>
                            <w:fldChar w:fldCharType="separate"/>
                          </w:r>
                          <w:proofErr w:type="spellStart"/>
                          <w:r>
                            <w:rPr>
                              <w:rFonts w:ascii="Arial" w:hAnsi="Arial" w:cs="Arial"/>
                              <w:b/>
                              <w:color w:val="FF0000"/>
                            </w:rPr>
                            <w:t>OFFICIAL:Sensitive</w:t>
                          </w:r>
                          <w:proofErr w:type="spellEnd"/>
                          <w:r w:rsidRPr="001A5D78">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22C148" id="Text Box 60" o:spid="_x0000_s1041" type="#_x0000_t202" style="position:absolute;margin-left:0;margin-top:0;width:126.95pt;height:21.5pt;z-index:25168128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dhGA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KRpqcFllDtaf9PByoD04uGxriUQR8&#10;EZ64ppVIv/hMhzZAzeBocVaD//m3/zGeKCAvZx1pp+SWxM2Z+W6Jmi+j8ThKLV3Gk9ucLv7as772&#10;2G17DyTOEb0TJ5MZ49GcTO2hfSORL2JPcgkrqXPJ8WTe40HP9EikWixSEInLCXy0Kydj6QhdBPi1&#10;fxPeHVlA4u8JThoTxTsyDrExM7jFFomSxFSE+YDpEX0SZiLw+Iii8q/vKery1Oe/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bcUdhGAIAADIEAAAOAAAAAAAAAAAAAAAAAC4CAABkcnMvZTJvRG9jLnhtbFBLAQItABQABgAI&#10;AAAAIQC9fPS/3AAAAAQBAAAPAAAAAAAAAAAAAAAAAHIEAABkcnMvZG93bnJldi54bWxQSwUGAAAA&#10;AAQABADzAAAAewUAAAAA&#10;" o:allowincell="f" filled="f" stroked="f" strokeweight=".5pt">
              <v:textbox style="mso-fit-shape-to-text:t">
                <w:txbxContent>
                  <w:p w14:paraId="03F4C517" w14:textId="3C2A3711" w:rsidR="001A5D78" w:rsidRPr="001A5D78" w:rsidRDefault="001A5D78" w:rsidP="001A5D78">
                    <w:pPr>
                      <w:spacing w:before="0" w:after="0"/>
                      <w:jc w:val="center"/>
                      <w:rPr>
                        <w:rFonts w:ascii="Arial" w:hAnsi="Arial" w:cs="Arial"/>
                        <w:b/>
                        <w:color w:val="FF0000"/>
                      </w:rPr>
                    </w:pPr>
                    <w:r w:rsidRPr="001A5D78">
                      <w:rPr>
                        <w:rFonts w:ascii="Arial" w:hAnsi="Arial" w:cs="Arial"/>
                        <w:b/>
                        <w:color w:val="FF0000"/>
                      </w:rPr>
                      <w:fldChar w:fldCharType="begin"/>
                    </w:r>
                    <w:r w:rsidRPr="001A5D78">
                      <w:rPr>
                        <w:rFonts w:ascii="Arial" w:hAnsi="Arial" w:cs="Arial"/>
                        <w:b/>
                        <w:color w:val="FF0000"/>
                      </w:rPr>
                      <w:instrText xml:space="preserve"> DOCPROPERTY PM_ProtectiveMarkingValue_Footer \* MERGEFORMAT </w:instrText>
                    </w:r>
                    <w:r w:rsidRPr="001A5D78">
                      <w:rPr>
                        <w:rFonts w:ascii="Arial" w:hAnsi="Arial" w:cs="Arial"/>
                        <w:b/>
                        <w:color w:val="FF0000"/>
                      </w:rPr>
                      <w:fldChar w:fldCharType="separate"/>
                    </w:r>
                    <w:proofErr w:type="spellStart"/>
                    <w:r>
                      <w:rPr>
                        <w:rFonts w:ascii="Arial" w:hAnsi="Arial" w:cs="Arial"/>
                        <w:b/>
                        <w:color w:val="FF0000"/>
                      </w:rPr>
                      <w:t>OFFICIAL:Sensitive</w:t>
                    </w:r>
                    <w:proofErr w:type="spellEnd"/>
                    <w:r w:rsidRPr="001A5D78">
                      <w:rPr>
                        <w:rFonts w:ascii="Arial" w:hAnsi="Arial" w:cs="Arial"/>
                        <w:b/>
                        <w:color w:val="FF0000"/>
                      </w:rPr>
                      <w:fldChar w:fldCharType="end"/>
                    </w:r>
                  </w:p>
                </w:txbxContent>
              </v:textbox>
              <w10:wrap anchorx="margin" anchory="margin"/>
              <w10:anchorlock/>
            </v:shape>
          </w:pict>
        </mc:Fallback>
      </mc:AlternateContent>
    </w:r>
    <w:r w:rsidR="00340DA0">
      <w:rPr>
        <w:noProof/>
      </w:rPr>
      <mc:AlternateContent>
        <mc:Choice Requires="wps">
          <w:drawing>
            <wp:anchor distT="0" distB="0" distL="114300" distR="114300" simplePos="0" relativeHeight="251675136" behindDoc="0" locked="1" layoutInCell="0" allowOverlap="1" wp14:anchorId="7FE4DD9B" wp14:editId="515BC03E">
              <wp:simplePos x="0" y="0"/>
              <wp:positionH relativeFrom="margin">
                <wp:align>center</wp:align>
              </wp:positionH>
              <wp:positionV relativeFrom="bottomMargin">
                <wp:align>center</wp:align>
              </wp:positionV>
              <wp:extent cx="1612265" cy="27305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EE33B" w14:textId="1B4CFE2E" w:rsidR="00340DA0" w:rsidRPr="00340DA0" w:rsidRDefault="00340DA0" w:rsidP="00340DA0">
                          <w:pPr>
                            <w:spacing w:before="0" w:after="0"/>
                            <w:jc w:val="center"/>
                            <w:rPr>
                              <w:rFonts w:ascii="Arial" w:hAnsi="Arial" w:cs="Arial"/>
                              <w:b/>
                              <w:color w:val="FF0000"/>
                            </w:rPr>
                          </w:pPr>
                          <w:r w:rsidRPr="00340DA0">
                            <w:rPr>
                              <w:rFonts w:ascii="Arial" w:hAnsi="Arial" w:cs="Arial"/>
                              <w:b/>
                              <w:color w:val="FF0000"/>
                            </w:rPr>
                            <w:fldChar w:fldCharType="begin"/>
                          </w:r>
                          <w:r w:rsidRPr="00340DA0">
                            <w:rPr>
                              <w:rFonts w:ascii="Arial" w:hAnsi="Arial" w:cs="Arial"/>
                              <w:b/>
                              <w:color w:val="FF0000"/>
                            </w:rPr>
                            <w:instrText xml:space="preserve"> DOCPROPERTY PM_ProtectiveMarkingValue_Footer \* MERGEFORMAT </w:instrText>
                          </w:r>
                          <w:r w:rsidRPr="00340DA0">
                            <w:rPr>
                              <w:rFonts w:ascii="Arial" w:hAnsi="Arial" w:cs="Arial"/>
                              <w:b/>
                              <w:color w:val="FF0000"/>
                            </w:rPr>
                            <w:fldChar w:fldCharType="separate"/>
                          </w:r>
                          <w:proofErr w:type="spellStart"/>
                          <w:r>
                            <w:rPr>
                              <w:rFonts w:ascii="Arial" w:hAnsi="Arial" w:cs="Arial"/>
                              <w:b/>
                              <w:color w:val="FF0000"/>
                            </w:rPr>
                            <w:t>OFFICIAL:Sensitive</w:t>
                          </w:r>
                          <w:proofErr w:type="spellEnd"/>
                          <w:r w:rsidRPr="00340DA0">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E4DD9B" id="Text Box 54" o:spid="_x0000_s1042" type="#_x0000_t202" style="position:absolute;margin-left:0;margin-top:0;width:126.95pt;height:21.5pt;z-index:2516751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" o:allowincell="f" filled="f" stroked="f" strokeweight=".5pt">
              <v:textbox style="mso-fit-shape-to-text:t">
                <w:txbxContent>
                  <w:p w14:paraId="6C8EE33B" w14:textId="1B4CFE2E" w:rsidR="00340DA0" w:rsidRPr="00340DA0" w:rsidRDefault="00340DA0" w:rsidP="00340DA0">
                    <w:pPr>
                      <w:spacing w:before="0" w:after="0"/>
                      <w:jc w:val="center"/>
                      <w:rPr>
                        <w:rFonts w:ascii="Arial" w:hAnsi="Arial" w:cs="Arial"/>
                        <w:b/>
                        <w:color w:val="FF0000"/>
                      </w:rPr>
                    </w:pPr>
                    <w:r w:rsidRPr="00340DA0">
                      <w:rPr>
                        <w:rFonts w:ascii="Arial" w:hAnsi="Arial" w:cs="Arial"/>
                        <w:b/>
                        <w:color w:val="FF0000"/>
                      </w:rPr>
                      <w:fldChar w:fldCharType="begin"/>
                    </w:r>
                    <w:r w:rsidRPr="00340DA0">
                      <w:rPr>
                        <w:rFonts w:ascii="Arial" w:hAnsi="Arial" w:cs="Arial"/>
                        <w:b/>
                        <w:color w:val="FF0000"/>
                      </w:rPr>
                      <w:instrText xml:space="preserve"> DOCPROPERTY PM_ProtectiveMarkingValue_Footer \* MERGEFORMAT </w:instrText>
                    </w:r>
                    <w:r w:rsidRPr="00340DA0">
                      <w:rPr>
                        <w:rFonts w:ascii="Arial" w:hAnsi="Arial" w:cs="Arial"/>
                        <w:b/>
                        <w:color w:val="FF0000"/>
                      </w:rPr>
                      <w:fldChar w:fldCharType="separate"/>
                    </w:r>
                    <w:proofErr w:type="spellStart"/>
                    <w:r>
                      <w:rPr>
                        <w:rFonts w:ascii="Arial" w:hAnsi="Arial" w:cs="Arial"/>
                        <w:b/>
                        <w:color w:val="FF0000"/>
                      </w:rPr>
                      <w:t>OFFICIAL:Sensitive</w:t>
                    </w:r>
                    <w:proofErr w:type="spellEnd"/>
                    <w:r w:rsidRPr="00340DA0">
                      <w:rPr>
                        <w:rFonts w:ascii="Arial" w:hAnsi="Arial" w:cs="Arial"/>
                        <w:b/>
                        <w:color w:val="FF0000"/>
                      </w:rPr>
                      <w:fldChar w:fldCharType="end"/>
                    </w:r>
                  </w:p>
                </w:txbxContent>
              </v:textbox>
              <w10:wrap anchorx="margin" anchory="margin"/>
              <w10:anchorlock/>
            </v:shape>
          </w:pict>
        </mc:Fallback>
      </mc:AlternateContent>
    </w:r>
    <w:r w:rsidR="00F8242F">
      <w:rPr>
        <w:noProof/>
      </w:rPr>
      <mc:AlternateContent>
        <mc:Choice Requires="wps">
          <w:drawing>
            <wp:anchor distT="0" distB="0" distL="114300" distR="114300" simplePos="1" relativeHeight="251668992" behindDoc="0" locked="0" layoutInCell="1" allowOverlap="1" wp14:anchorId="4EC64E80" wp14:editId="4A38BE4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8" name="Text Box 4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22ED20B" w14:textId="77777777" w:rsidR="00F8242F" w:rsidRDefault="00F82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C64E80" id="Text Box 48" o:spid="_x0000_s1043" type="#_x0000_t202" style="position:absolute;margin-left:0;margin-top:0;width:110pt;height:3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Rv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2PAGqgPi4KAfEW/5UmH8FfPhhTmcCewP5zw84yE1YFEwSJTU4H797T3aI1WopaTFGSup/7lj&#10;TlCivxkk8X48mcShTJcEHCXuUrO51JhdswDsdIwbZXkS0dkFfRSlg+YN12Ees6KKGY65SxqO4iL0&#10;k4/rxMV8noxwDC0LK7O2PIY+4vravTFnB74CMv0Ex2lkxTvaetueuPkugFSJ0wh0j+qAP45wmoph&#10;3eKOXN6T1f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4KjRvLAIAAFwEAAAOAAAAAAAAAAAAAAAAAC4CAABkcnMvZTJv&#10;RG9jLnhtbFBLAQItABQABgAIAAAAIQCQEPlk2gAAAAQBAAAPAAAAAAAAAAAAAAAAAIYEAABkcnMv&#10;ZG93bnJldi54bWxQSwUGAAAAAAQABADzAAAAjQUAAAAA&#10;" filled="f" strokeweight=".5pt">
              <v:textbox>
                <w:txbxContent>
                  <w:p w14:paraId="222ED20B" w14:textId="77777777" w:rsidR="00F8242F" w:rsidRDefault="00F8242F"/>
                </w:txbxContent>
              </v:textbox>
              <w10:wrap type="through"/>
            </v:shape>
          </w:pict>
        </mc:Fallback>
      </mc:AlternateContent>
    </w:r>
    <w:r w:rsidR="00CB30F1">
      <w:rPr>
        <w:noProof/>
      </w:rPr>
      <mc:AlternateContent>
        <mc:Choice Requires="wps">
          <w:drawing>
            <wp:anchor distT="0" distB="0" distL="114300" distR="114300" simplePos="0" relativeHeight="251662848" behindDoc="0" locked="1" layoutInCell="0" allowOverlap="1" wp14:anchorId="4936EDF4" wp14:editId="3DF828E8">
              <wp:simplePos x="0" y="0"/>
              <wp:positionH relativeFrom="margin">
                <wp:align>center</wp:align>
              </wp:positionH>
              <wp:positionV relativeFrom="bottomMargin">
                <wp:align>center</wp:align>
              </wp:positionV>
              <wp:extent cx="1612265" cy="2730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C99BB" w14:textId="4322BA12" w:rsidR="00CB30F1" w:rsidRPr="00CB30F1" w:rsidRDefault="00CB30F1" w:rsidP="00CB30F1">
                          <w:pPr>
                            <w:spacing w:before="0" w:after="0"/>
                            <w:jc w:val="center"/>
                            <w:rPr>
                              <w:rFonts w:ascii="Arial" w:hAnsi="Arial" w:cs="Arial"/>
                              <w:b/>
                              <w:color w:val="FF0000"/>
                            </w:rPr>
                          </w:pPr>
                          <w:r w:rsidRPr="00CB30F1">
                            <w:rPr>
                              <w:rFonts w:ascii="Arial" w:hAnsi="Arial" w:cs="Arial"/>
                              <w:b/>
                              <w:color w:val="FF0000"/>
                            </w:rPr>
                            <w:fldChar w:fldCharType="begin"/>
                          </w:r>
                          <w:r w:rsidRPr="00CB30F1">
                            <w:rPr>
                              <w:rFonts w:ascii="Arial" w:hAnsi="Arial" w:cs="Arial"/>
                              <w:b/>
                              <w:color w:val="FF0000"/>
                            </w:rPr>
                            <w:instrText xml:space="preserve"> DOCPROPERTY PM_ProtectiveMarkingValue_Footer \* MERGEFORMAT </w:instrText>
                          </w:r>
                          <w:r w:rsidRPr="00CB30F1">
                            <w:rPr>
                              <w:rFonts w:ascii="Arial" w:hAnsi="Arial" w:cs="Arial"/>
                              <w:b/>
                              <w:color w:val="FF0000"/>
                            </w:rPr>
                            <w:fldChar w:fldCharType="separate"/>
                          </w:r>
                          <w:proofErr w:type="spellStart"/>
                          <w:r>
                            <w:rPr>
                              <w:rFonts w:ascii="Arial" w:hAnsi="Arial" w:cs="Arial"/>
                              <w:b/>
                              <w:color w:val="FF0000"/>
                            </w:rPr>
                            <w:t>OFFICIAL:Sensitive</w:t>
                          </w:r>
                          <w:proofErr w:type="spellEnd"/>
                          <w:r w:rsidRPr="00CB30F1">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36EDF4" id="Text Box 42" o:spid="_x0000_s1044" type="#_x0000_t202" style="position:absolute;margin-left:0;margin-top:0;width:126.95pt;height:21.5pt;z-index:2516628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ydrbfGAIAADIEAAAOAAAAAAAAAAAAAAAAAC4CAABkcnMvZTJvRG9jLnhtbFBLAQItABQABgAI&#10;AAAAIQC9fPS/3AAAAAQBAAAPAAAAAAAAAAAAAAAAAHIEAABkcnMvZG93bnJldi54bWxQSwUGAAAA&#10;AAQABADzAAAAewUAAAAA&#10;" o:allowincell="f" filled="f" stroked="f" strokeweight=".5pt">
              <v:textbox style="mso-fit-shape-to-text:t">
                <w:txbxContent>
                  <w:p w14:paraId="7ACC99BB" w14:textId="4322BA12" w:rsidR="00CB30F1" w:rsidRPr="00CB30F1" w:rsidRDefault="00CB30F1" w:rsidP="00CB30F1">
                    <w:pPr>
                      <w:spacing w:before="0" w:after="0"/>
                      <w:jc w:val="center"/>
                      <w:rPr>
                        <w:rFonts w:ascii="Arial" w:hAnsi="Arial" w:cs="Arial"/>
                        <w:b/>
                        <w:color w:val="FF0000"/>
                      </w:rPr>
                    </w:pPr>
                    <w:r w:rsidRPr="00CB30F1">
                      <w:rPr>
                        <w:rFonts w:ascii="Arial" w:hAnsi="Arial" w:cs="Arial"/>
                        <w:b/>
                        <w:color w:val="FF0000"/>
                      </w:rPr>
                      <w:fldChar w:fldCharType="begin"/>
                    </w:r>
                    <w:r w:rsidRPr="00CB30F1">
                      <w:rPr>
                        <w:rFonts w:ascii="Arial" w:hAnsi="Arial" w:cs="Arial"/>
                        <w:b/>
                        <w:color w:val="FF0000"/>
                      </w:rPr>
                      <w:instrText xml:space="preserve"> DOCPROPERTY PM_ProtectiveMarkingValue_Footer \* MERGEFORMAT </w:instrText>
                    </w:r>
                    <w:r w:rsidRPr="00CB30F1">
                      <w:rPr>
                        <w:rFonts w:ascii="Arial" w:hAnsi="Arial" w:cs="Arial"/>
                        <w:b/>
                        <w:color w:val="FF0000"/>
                      </w:rPr>
                      <w:fldChar w:fldCharType="separate"/>
                    </w:r>
                    <w:proofErr w:type="spellStart"/>
                    <w:r>
                      <w:rPr>
                        <w:rFonts w:ascii="Arial" w:hAnsi="Arial" w:cs="Arial"/>
                        <w:b/>
                        <w:color w:val="FF0000"/>
                      </w:rPr>
                      <w:t>OFFICIAL:Sensitive</w:t>
                    </w:r>
                    <w:proofErr w:type="spellEnd"/>
                    <w:r w:rsidRPr="00CB30F1">
                      <w:rPr>
                        <w:rFonts w:ascii="Arial" w:hAnsi="Arial" w:cs="Arial"/>
                        <w:b/>
                        <w:color w:val="FF0000"/>
                      </w:rPr>
                      <w:fldChar w:fldCharType="end"/>
                    </w:r>
                  </w:p>
                </w:txbxContent>
              </v:textbox>
              <w10:wrap anchorx="margin" anchory="margin"/>
              <w10:anchorlock/>
            </v:shape>
          </w:pict>
        </mc:Fallback>
      </mc:AlternateContent>
    </w:r>
    <w:r w:rsidR="0013341E">
      <w:rPr>
        <w:noProof/>
      </w:rPr>
      <mc:AlternateContent>
        <mc:Choice Requires="wps">
          <w:drawing>
            <wp:anchor distT="0" distB="0" distL="114300" distR="114300" simplePos="1" relativeHeight="251656704" behindDoc="0" locked="0" layoutInCell="1" allowOverlap="1" wp14:anchorId="4E4E583C" wp14:editId="76FCCB4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E48687C" w14:textId="77777777" w:rsidR="0013341E" w:rsidRDefault="00133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E583C" id="Text Box 36" o:spid="_x0000_s1045" type="#_x0000_t202" style="position:absolute;margin-left:0;margin-top:0;width:110pt;height:3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h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EAc7hLAIAAFwEAAAOAAAAAAAAAAAAAAAAAC4CAABkcnMvZTJv&#10;RG9jLnhtbFBLAQItABQABgAIAAAAIQCQEPlk2gAAAAQBAAAPAAAAAAAAAAAAAAAAAIYEAABkcnMv&#10;ZG93bnJldi54bWxQSwUGAAAAAAQABADzAAAAjQUAAAAA&#10;" filled="f" strokeweight=".5pt">
              <v:textbox>
                <w:txbxContent>
                  <w:p w14:paraId="6E48687C" w14:textId="77777777" w:rsidR="0013341E" w:rsidRDefault="0013341E"/>
                </w:txbxContent>
              </v:textbox>
              <w10:wrap type="through"/>
            </v:shape>
          </w:pict>
        </mc:Fallback>
      </mc:AlternateContent>
    </w:r>
    <w:r w:rsidR="0013341E">
      <w:rPr>
        <w:noProof/>
      </w:rPr>
      <mc:AlternateContent>
        <mc:Choice Requires="wps">
          <w:drawing>
            <wp:anchor distT="0" distB="0" distL="114300" distR="114300" simplePos="1" relativeHeight="251650560" behindDoc="0" locked="0" layoutInCell="1" allowOverlap="1" wp14:anchorId="2D92C29C" wp14:editId="4A27549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0" name="Text Box 3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D8BFB66" w14:textId="77777777" w:rsidR="0013341E" w:rsidRDefault="00133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2C29C" id="Text Box 30" o:spid="_x0000_s1046" type="#_x0000_t202" style="position:absolute;margin-left:0;margin-top:0;width:110pt;height:36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mz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mXImzLAIAAFwEAAAOAAAAAAAAAAAAAAAAAC4CAABkcnMvZTJv&#10;RG9jLnhtbFBLAQItABQABgAIAAAAIQCQEPlk2gAAAAQBAAAPAAAAAAAAAAAAAAAAAIYEAABkcnMv&#10;ZG93bnJldi54bWxQSwUGAAAAAAQABADzAAAAjQUAAAAA&#10;" filled="f" strokeweight=".5pt">
              <v:textbox>
                <w:txbxContent>
                  <w:p w14:paraId="7D8BFB66" w14:textId="77777777" w:rsidR="0013341E" w:rsidRDefault="0013341E"/>
                </w:txbxContent>
              </v:textbox>
              <w10:wrap type="through"/>
            </v:shape>
          </w:pict>
        </mc:Fallback>
      </mc:AlternateContent>
    </w:r>
    <w:r w:rsidR="00F724BC">
      <w:rPr>
        <w:noProof/>
      </w:rPr>
      <mc:AlternateContent>
        <mc:Choice Requires="wps">
          <w:drawing>
            <wp:anchor distT="0" distB="0" distL="114300" distR="114300" simplePos="1" relativeHeight="251644416" behindDoc="0" locked="0" layoutInCell="1" allowOverlap="1" wp14:anchorId="50E5F375" wp14:editId="0306DE9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E81CB44" w14:textId="77777777" w:rsidR="00F724BC" w:rsidRDefault="00F724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5F375" id="Text Box 24" o:spid="_x0000_s1047" type="#_x0000_t202" style="position:absolute;margin-left:0;margin-top:0;width:110pt;height:3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Zm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Z7sZmLAIAAFwEAAAOAAAAAAAAAAAAAAAAAC4CAABkcnMvZTJv&#10;RG9jLnhtbFBLAQItABQABgAIAAAAIQCQEPlk2gAAAAQBAAAPAAAAAAAAAAAAAAAAAIYEAABkcnMv&#10;ZG93bnJldi54bWxQSwUGAAAAAAQABADzAAAAjQUAAAAA&#10;" filled="f" strokeweight=".5pt">
              <v:textbox>
                <w:txbxContent>
                  <w:p w14:paraId="1E81CB44" w14:textId="77777777" w:rsidR="00F724BC" w:rsidRDefault="00F724BC"/>
                </w:txbxContent>
              </v:textbox>
              <w10:wrap type="through"/>
            </v:shape>
          </w:pict>
        </mc:Fallback>
      </mc:AlternateContent>
    </w:r>
    <w:r w:rsidR="0008175E">
      <w:rPr>
        <w:noProof/>
      </w:rPr>
      <mc:AlternateContent>
        <mc:Choice Requires="wps">
          <w:drawing>
            <wp:anchor distT="0" distB="0" distL="114300" distR="114300" simplePos="0" relativeHeight="251638272" behindDoc="0" locked="1" layoutInCell="0" allowOverlap="1" wp14:anchorId="0036FA2A" wp14:editId="0F5FC67E">
              <wp:simplePos x="0" y="0"/>
              <wp:positionH relativeFrom="margin">
                <wp:align>center</wp:align>
              </wp:positionH>
              <wp:positionV relativeFrom="bottomMargin">
                <wp:align>center</wp:align>
              </wp:positionV>
              <wp:extent cx="1612265" cy="2730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B6B397" w14:textId="250A7144" w:rsidR="0008175E" w:rsidRPr="0008175E" w:rsidRDefault="0008175E" w:rsidP="0008175E">
                          <w:pPr>
                            <w:spacing w:before="0" w:after="0"/>
                            <w:jc w:val="center"/>
                            <w:rPr>
                              <w:rFonts w:ascii="Arial" w:hAnsi="Arial" w:cs="Arial"/>
                              <w:b/>
                              <w:color w:val="FF0000"/>
                            </w:rPr>
                          </w:pPr>
                          <w:r w:rsidRPr="0008175E">
                            <w:rPr>
                              <w:rFonts w:ascii="Arial" w:hAnsi="Arial" w:cs="Arial"/>
                              <w:b/>
                              <w:color w:val="FF0000"/>
                            </w:rPr>
                            <w:fldChar w:fldCharType="begin"/>
                          </w:r>
                          <w:r w:rsidRPr="0008175E">
                            <w:rPr>
                              <w:rFonts w:ascii="Arial" w:hAnsi="Arial" w:cs="Arial"/>
                              <w:b/>
                              <w:color w:val="FF0000"/>
                            </w:rPr>
                            <w:instrText xml:space="preserve"> DOCPROPERTY PM_ProtectiveMarkingValue_Footer \* MERGEFORMAT </w:instrText>
                          </w:r>
                          <w:r w:rsidRPr="0008175E">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08175E">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36FA2A" id="Text Box 18" o:spid="_x0000_s1048" type="#_x0000_t202" style="position:absolute;margin-left:0;margin-top:0;width:126.95pt;height:21.5pt;z-index:2516382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LqwdxGAIAADIEAAAOAAAAAAAAAAAAAAAAAC4CAABkcnMvZTJvRG9jLnhtbFBLAQItABQABgAI&#10;AAAAIQC9fPS/3AAAAAQBAAAPAAAAAAAAAAAAAAAAAHIEAABkcnMvZG93bnJldi54bWxQSwUGAAAA&#10;AAQABADzAAAAewUAAAAA&#10;" o:allowincell="f" filled="f" stroked="f" strokeweight=".5pt">
              <v:textbox style="mso-fit-shape-to-text:t">
                <w:txbxContent>
                  <w:p w14:paraId="46B6B397" w14:textId="250A7144" w:rsidR="0008175E" w:rsidRPr="0008175E" w:rsidRDefault="0008175E" w:rsidP="0008175E">
                    <w:pPr>
                      <w:spacing w:before="0" w:after="0"/>
                      <w:jc w:val="center"/>
                      <w:rPr>
                        <w:rFonts w:ascii="Arial" w:hAnsi="Arial" w:cs="Arial"/>
                        <w:b/>
                        <w:color w:val="FF0000"/>
                      </w:rPr>
                    </w:pPr>
                    <w:r w:rsidRPr="0008175E">
                      <w:rPr>
                        <w:rFonts w:ascii="Arial" w:hAnsi="Arial" w:cs="Arial"/>
                        <w:b/>
                        <w:color w:val="FF0000"/>
                      </w:rPr>
                      <w:fldChar w:fldCharType="begin"/>
                    </w:r>
                    <w:r w:rsidRPr="0008175E">
                      <w:rPr>
                        <w:rFonts w:ascii="Arial" w:hAnsi="Arial" w:cs="Arial"/>
                        <w:b/>
                        <w:color w:val="FF0000"/>
                      </w:rPr>
                      <w:instrText xml:space="preserve"> DOCPROPERTY PM_ProtectiveMarkingValue_Footer \* MERGEFORMAT </w:instrText>
                    </w:r>
                    <w:r w:rsidRPr="0008175E">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08175E">
                      <w:rPr>
                        <w:rFonts w:ascii="Arial" w:hAnsi="Arial" w:cs="Arial"/>
                        <w:b/>
                        <w:color w:val="FF0000"/>
                      </w:rPr>
                      <w:fldChar w:fldCharType="end"/>
                    </w:r>
                  </w:p>
                </w:txbxContent>
              </v:textbox>
              <w10:wrap anchorx="margin" anchory="margin"/>
              <w10:anchorlock/>
            </v:shape>
          </w:pict>
        </mc:Fallback>
      </mc:AlternateContent>
    </w:r>
    <w:r w:rsidR="00D04915">
      <w:rPr>
        <w:noProof/>
      </w:rPr>
      <mc:AlternateContent>
        <mc:Choice Requires="wps">
          <w:drawing>
            <wp:anchor distT="0" distB="0" distL="114300" distR="114300" simplePos="0" relativeHeight="251632128" behindDoc="0" locked="1" layoutInCell="0" allowOverlap="1" wp14:anchorId="506D7B07" wp14:editId="2B900FC0">
              <wp:simplePos x="0" y="0"/>
              <wp:positionH relativeFrom="margin">
                <wp:align>center</wp:align>
              </wp:positionH>
              <wp:positionV relativeFrom="bottomMargin">
                <wp:align>center</wp:align>
              </wp:positionV>
              <wp:extent cx="1612265"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5E652" w14:textId="7ABB608E" w:rsidR="00D04915" w:rsidRPr="00D04915" w:rsidRDefault="00D04915" w:rsidP="00D04915">
                          <w:pPr>
                            <w:spacing w:before="0" w:after="0"/>
                            <w:jc w:val="center"/>
                            <w:rPr>
                              <w:rFonts w:ascii="Arial" w:hAnsi="Arial" w:cs="Arial"/>
                              <w:b/>
                              <w:color w:val="FF0000"/>
                            </w:rPr>
                          </w:pPr>
                          <w:r w:rsidRPr="00D04915">
                            <w:rPr>
                              <w:rFonts w:ascii="Arial" w:hAnsi="Arial" w:cs="Arial"/>
                              <w:b/>
                              <w:color w:val="FF0000"/>
                            </w:rPr>
                            <w:fldChar w:fldCharType="begin"/>
                          </w:r>
                          <w:r w:rsidRPr="00D04915">
                            <w:rPr>
                              <w:rFonts w:ascii="Arial" w:hAnsi="Arial" w:cs="Arial"/>
                              <w:b/>
                              <w:color w:val="FF0000"/>
                            </w:rPr>
                            <w:instrText xml:space="preserve"> DOCPROPERTY PM_ProtectiveMarkingValue_Footer \* MERGEFORMAT </w:instrText>
                          </w:r>
                          <w:r w:rsidRPr="00D04915">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D04915">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6D7B07" id="Text Box 12" o:spid="_x0000_s1049" type="#_x0000_t202" style="position:absolute;margin-left:0;margin-top:0;width:126.95pt;height:21.5pt;z-index:25163212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DtGA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OMX4vMgWqiPu5+BEvbd81eAQa+bD&#10;C3PINa6E+g3PeEgF2Ax6i5Ia3M+//Y/xSAF6KWlROyU1KG5K1HeD1HwZTSZRaukymd7leHG3nu2t&#10;x+z1A6A4R/hOLE9mjA/qbEoH+g1Fvow90cUMx84lDWfzIZz0jI+Ei+UyBaG4LAtrs7E8lo7QRYBf&#10;uzfmbM9CQP6e4KwxVrwj4xQbM71d7gNSkpiKMJ8w7dFHYSYC+0cUlX97T1HXp774BQ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3DuDtGAIAADIEAAAOAAAAAAAAAAAAAAAAAC4CAABkcnMvZTJvRG9jLnhtbFBLAQItABQABgAI&#10;AAAAIQC9fPS/3AAAAAQBAAAPAAAAAAAAAAAAAAAAAHIEAABkcnMvZG93bnJldi54bWxQSwUGAAAA&#10;AAQABADzAAAAewUAAAAA&#10;" o:allowincell="f" filled="f" stroked="f" strokeweight=".5pt">
              <v:textbox style="mso-fit-shape-to-text:t">
                <w:txbxContent>
                  <w:p w14:paraId="7995E652" w14:textId="7ABB608E" w:rsidR="00D04915" w:rsidRPr="00D04915" w:rsidRDefault="00D04915" w:rsidP="00D04915">
                    <w:pPr>
                      <w:spacing w:before="0" w:after="0"/>
                      <w:jc w:val="center"/>
                      <w:rPr>
                        <w:rFonts w:ascii="Arial" w:hAnsi="Arial" w:cs="Arial"/>
                        <w:b/>
                        <w:color w:val="FF0000"/>
                      </w:rPr>
                    </w:pPr>
                    <w:r w:rsidRPr="00D04915">
                      <w:rPr>
                        <w:rFonts w:ascii="Arial" w:hAnsi="Arial" w:cs="Arial"/>
                        <w:b/>
                        <w:color w:val="FF0000"/>
                      </w:rPr>
                      <w:fldChar w:fldCharType="begin"/>
                    </w:r>
                    <w:r w:rsidRPr="00D04915">
                      <w:rPr>
                        <w:rFonts w:ascii="Arial" w:hAnsi="Arial" w:cs="Arial"/>
                        <w:b/>
                        <w:color w:val="FF0000"/>
                      </w:rPr>
                      <w:instrText xml:space="preserve"> DOCPROPERTY PM_ProtectiveMarkingValue_Footer \* MERGEFORMAT </w:instrText>
                    </w:r>
                    <w:r w:rsidRPr="00D04915">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D04915">
                      <w:rPr>
                        <w:rFonts w:ascii="Arial" w:hAnsi="Arial" w:cs="Arial"/>
                        <w:b/>
                        <w:color w:val="FF0000"/>
                      </w:rPr>
                      <w:fldChar w:fldCharType="end"/>
                    </w:r>
                  </w:p>
                </w:txbxContent>
              </v:textbox>
              <w10:wrap anchorx="margin" anchory="margin"/>
              <w10:anchorlock/>
            </v:shape>
          </w:pict>
        </mc:Fallback>
      </mc:AlternateContent>
    </w:r>
    <w:r w:rsidR="00C94E94">
      <w:rPr>
        <w:noProof/>
      </w:rPr>
      <mc:AlternateContent>
        <mc:Choice Requires="wps">
          <w:drawing>
            <wp:anchor distT="0" distB="0" distL="114300" distR="114300" simplePos="0" relativeHeight="251625984" behindDoc="0" locked="1" layoutInCell="0" allowOverlap="1" wp14:anchorId="06838633" wp14:editId="569CE730">
              <wp:simplePos x="0" y="0"/>
              <wp:positionH relativeFrom="margin">
                <wp:align>center</wp:align>
              </wp:positionH>
              <wp:positionV relativeFrom="bottomMargin">
                <wp:align>center</wp:align>
              </wp:positionV>
              <wp:extent cx="161226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E59236" w14:textId="0B739EEC" w:rsidR="00C94E94" w:rsidRPr="00C94E94" w:rsidRDefault="00C94E94" w:rsidP="00C94E94">
                          <w:pPr>
                            <w:spacing w:before="0" w:after="0"/>
                            <w:jc w:val="center"/>
                            <w:rPr>
                              <w:rFonts w:ascii="Arial" w:hAnsi="Arial" w:cs="Arial"/>
                              <w:b/>
                              <w:color w:val="FF0000"/>
                            </w:rPr>
                          </w:pPr>
                          <w:r w:rsidRPr="00C94E94">
                            <w:rPr>
                              <w:rFonts w:ascii="Arial" w:hAnsi="Arial" w:cs="Arial"/>
                              <w:b/>
                              <w:color w:val="FF0000"/>
                            </w:rPr>
                            <w:fldChar w:fldCharType="begin"/>
                          </w:r>
                          <w:r w:rsidRPr="00C94E94">
                            <w:rPr>
                              <w:rFonts w:ascii="Arial" w:hAnsi="Arial" w:cs="Arial"/>
                              <w:b/>
                              <w:color w:val="FF0000"/>
                            </w:rPr>
                            <w:instrText xml:space="preserve"> DOCPROPERTY PM_ProtectiveMarkingValue_Footer \* MERGEFORMAT </w:instrText>
                          </w:r>
                          <w:r w:rsidRPr="00C94E94">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C94E94">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838633" id="Text Box 6" o:spid="_x0000_s1050" type="#_x0000_t202" style="position:absolute;margin-left:0;margin-top:0;width:126.95pt;height:21.5pt;z-index:2516259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SNGA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KphifFllDtaf9PByoD04uGxriUQR8&#10;EZ64ppVIv/hMhzZAzeBocVaD//m3/zGeKCAvZx1pp+SWxM2Z+W6Jmi+j8ThKLV3Gk9ucLv7as772&#10;2G17DyTOEb0TJ5MZ49GcTO2hfSORL2JPcgkrqXPJ8WTe40HP9EikWixSEInLCXy0Kydj6QhdBPi1&#10;fxPeHVlA4u8JThoTxTsyDrExM7jFFomSxFSE+YDpEX0SZiLw+Iii8q/vKery1Oe/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BebSNGAIAADIEAAAOAAAAAAAAAAAAAAAAAC4CAABkcnMvZTJvRG9jLnhtbFBLAQItABQABgAI&#10;AAAAIQC9fPS/3AAAAAQBAAAPAAAAAAAAAAAAAAAAAHIEAABkcnMvZG93bnJldi54bWxQSwUGAAAA&#10;AAQABADzAAAAewUAAAAA&#10;" o:allowincell="f" filled="f" stroked="f" strokeweight=".5pt">
              <v:textbox style="mso-fit-shape-to-text:t">
                <w:txbxContent>
                  <w:p w14:paraId="63E59236" w14:textId="0B739EEC" w:rsidR="00C94E94" w:rsidRPr="00C94E94" w:rsidRDefault="00C94E94" w:rsidP="00C94E94">
                    <w:pPr>
                      <w:spacing w:before="0" w:after="0"/>
                      <w:jc w:val="center"/>
                      <w:rPr>
                        <w:rFonts w:ascii="Arial" w:hAnsi="Arial" w:cs="Arial"/>
                        <w:b/>
                        <w:color w:val="FF0000"/>
                      </w:rPr>
                    </w:pPr>
                    <w:r w:rsidRPr="00C94E94">
                      <w:rPr>
                        <w:rFonts w:ascii="Arial" w:hAnsi="Arial" w:cs="Arial"/>
                        <w:b/>
                        <w:color w:val="FF0000"/>
                      </w:rPr>
                      <w:fldChar w:fldCharType="begin"/>
                    </w:r>
                    <w:r w:rsidRPr="00C94E94">
                      <w:rPr>
                        <w:rFonts w:ascii="Arial" w:hAnsi="Arial" w:cs="Arial"/>
                        <w:b/>
                        <w:color w:val="FF0000"/>
                      </w:rPr>
                      <w:instrText xml:space="preserve"> DOCPROPERTY PM_ProtectiveMarkingValue_Footer \* MERGEFORMAT </w:instrText>
                    </w:r>
                    <w:r w:rsidRPr="00C94E94">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C94E94">
                      <w:rPr>
                        <w:rFonts w:ascii="Arial" w:hAnsi="Arial" w:cs="Arial"/>
                        <w:b/>
                        <w:color w:val="FF0000"/>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4E27" w14:textId="00E46DF9" w:rsidR="0061774F" w:rsidRDefault="0061774F" w:rsidP="00694341">
    <w:pPr>
      <w:pStyle w:val="Footer"/>
      <w:tabs>
        <w:tab w:val="clear" w:pos="4513"/>
        <w:tab w:val="center" w:pos="4253"/>
      </w:tabs>
    </w:pPr>
    <w:r>
      <w:tab/>
    </w:r>
    <w:r>
      <w:fldChar w:fldCharType="begin"/>
    </w:r>
    <w:r>
      <w:instrText xml:space="preserve"> PAGE   \* MERGEFORMAT </w:instrText>
    </w:r>
    <w:r>
      <w:fldChar w:fldCharType="separate"/>
    </w:r>
    <w:r w:rsidR="008860CD">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A61B" w14:textId="6439A131" w:rsidR="00C94E94" w:rsidRDefault="00D22F16">
    <w:pPr>
      <w:pStyle w:val="Footer"/>
    </w:pPr>
    <w:r>
      <w:rPr>
        <w:noProof/>
      </w:rPr>
      <mc:AlternateContent>
        <mc:Choice Requires="wps">
          <w:drawing>
            <wp:anchor distT="0" distB="0" distL="114300" distR="114300" simplePos="0" relativeHeight="251691520" behindDoc="0" locked="1" layoutInCell="0" allowOverlap="1" wp14:anchorId="7DCD9BBC" wp14:editId="3DB200AF">
              <wp:simplePos x="0" y="0"/>
              <wp:positionH relativeFrom="margin">
                <wp:align>center</wp:align>
              </wp:positionH>
              <wp:positionV relativeFrom="bottomMargin">
                <wp:align>center</wp:align>
              </wp:positionV>
              <wp:extent cx="1612265" cy="2730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D7DDE" w14:textId="303C4349" w:rsidR="00D22F16" w:rsidRPr="00D22F16" w:rsidRDefault="00D22F16" w:rsidP="00D22F16">
                          <w:pPr>
                            <w:spacing w:before="0" w:after="0"/>
                            <w:jc w:val="center"/>
                            <w:rPr>
                              <w:rFonts w:ascii="Arial" w:hAnsi="Arial" w:cs="Arial"/>
                              <w:b/>
                              <w:color w:val="FF0000"/>
                            </w:rPr>
                          </w:pPr>
                          <w:r w:rsidRPr="00D22F16">
                            <w:rPr>
                              <w:rFonts w:ascii="Arial" w:hAnsi="Arial" w:cs="Arial"/>
                              <w:b/>
                              <w:color w:val="FF0000"/>
                            </w:rPr>
                            <w:fldChar w:fldCharType="begin"/>
                          </w:r>
                          <w:r w:rsidRPr="00D22F16">
                            <w:rPr>
                              <w:rFonts w:ascii="Arial" w:hAnsi="Arial" w:cs="Arial"/>
                              <w:b/>
                              <w:color w:val="FF0000"/>
                            </w:rPr>
                            <w:instrText xml:space="preserve"> DOCPROPERTY PM_ProtectiveMarkingValue_Footer \* MERGEFORMAT </w:instrText>
                          </w:r>
                          <w:r w:rsidRPr="00D22F16">
                            <w:rPr>
                              <w:rFonts w:ascii="Arial" w:hAnsi="Arial" w:cs="Arial"/>
                              <w:b/>
                              <w:color w:val="FF0000"/>
                            </w:rPr>
                            <w:fldChar w:fldCharType="separate"/>
                          </w:r>
                          <w:proofErr w:type="spellStart"/>
                          <w:r w:rsidR="00490E25">
                            <w:rPr>
                              <w:rFonts w:ascii="Arial" w:hAnsi="Arial" w:cs="Arial"/>
                              <w:b/>
                              <w:color w:val="FF0000"/>
                            </w:rPr>
                            <w:t>OFFICIAL:Sensitive</w:t>
                          </w:r>
                          <w:proofErr w:type="spellEnd"/>
                          <w:r w:rsidRPr="00D22F16">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CD9BBC" id="_x0000_t202" coordsize="21600,21600" o:spt="202" path="m,l,21600r21600,l21600,xe">
              <v:stroke joinstyle="miter"/>
              <v:path gradientshapeok="t" o:connecttype="rect"/>
            </v:shapetype>
            <v:shape id="Text Box 70" o:spid="_x0000_s1063" type="#_x0000_t202" style="position:absolute;margin-left:0;margin-top:0;width:126.95pt;height:21.5pt;z-index:25169152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mCx7cGAIAADIEAAAOAAAAAAAAAAAAAAAAAC4CAABkcnMvZTJvRG9jLnhtbFBLAQItABQABgAI&#10;AAAAIQC9fPS/3AAAAAQBAAAPAAAAAAAAAAAAAAAAAHIEAABkcnMvZG93bnJldi54bWxQSwUGAAAA&#10;AAQABADzAAAAewUAAAAA&#10;" o:allowincell="f" filled="f" stroked="f" strokeweight=".5pt">
              <v:textbox style="mso-fit-shape-to-text:t">
                <w:txbxContent>
                  <w:p w14:paraId="316D7DDE" w14:textId="303C4349" w:rsidR="00D22F16" w:rsidRPr="00D22F16" w:rsidRDefault="00D22F16" w:rsidP="00D22F16">
                    <w:pPr>
                      <w:spacing w:before="0" w:after="0"/>
                      <w:jc w:val="center"/>
                      <w:rPr>
                        <w:rFonts w:ascii="Arial" w:hAnsi="Arial" w:cs="Arial"/>
                        <w:b/>
                        <w:color w:val="FF0000"/>
                      </w:rPr>
                    </w:pPr>
                    <w:r w:rsidRPr="00D22F16">
                      <w:rPr>
                        <w:rFonts w:ascii="Arial" w:hAnsi="Arial" w:cs="Arial"/>
                        <w:b/>
                        <w:color w:val="FF0000"/>
                      </w:rPr>
                      <w:fldChar w:fldCharType="begin"/>
                    </w:r>
                    <w:r w:rsidRPr="00D22F16">
                      <w:rPr>
                        <w:rFonts w:ascii="Arial" w:hAnsi="Arial" w:cs="Arial"/>
                        <w:b/>
                        <w:color w:val="FF0000"/>
                      </w:rPr>
                      <w:instrText xml:space="preserve"> DOCPROPERTY PM_ProtectiveMarkingValue_Footer \* MERGEFORMAT </w:instrText>
                    </w:r>
                    <w:r w:rsidRPr="00D22F16">
                      <w:rPr>
                        <w:rFonts w:ascii="Arial" w:hAnsi="Arial" w:cs="Arial"/>
                        <w:b/>
                        <w:color w:val="FF0000"/>
                      </w:rPr>
                      <w:fldChar w:fldCharType="separate"/>
                    </w:r>
                    <w:proofErr w:type="spellStart"/>
                    <w:r w:rsidR="00490E25">
                      <w:rPr>
                        <w:rFonts w:ascii="Arial" w:hAnsi="Arial" w:cs="Arial"/>
                        <w:b/>
                        <w:color w:val="FF0000"/>
                      </w:rPr>
                      <w:t>OFFICIAL:Sensitive</w:t>
                    </w:r>
                    <w:proofErr w:type="spellEnd"/>
                    <w:r w:rsidRPr="00D22F16">
                      <w:rPr>
                        <w:rFonts w:ascii="Arial" w:hAnsi="Arial" w:cs="Arial"/>
                        <w:b/>
                        <w:color w:val="FF0000"/>
                      </w:rPr>
                      <w:fldChar w:fldCharType="end"/>
                    </w:r>
                  </w:p>
                </w:txbxContent>
              </v:textbox>
              <w10:wrap anchorx="margin" anchory="margin"/>
              <w10:anchorlock/>
            </v:shape>
          </w:pict>
        </mc:Fallback>
      </mc:AlternateContent>
    </w:r>
    <w:r w:rsidR="0029376B">
      <w:rPr>
        <w:noProof/>
      </w:rPr>
      <mc:AlternateContent>
        <mc:Choice Requires="wps">
          <w:drawing>
            <wp:anchor distT="0" distB="0" distL="114300" distR="114300" simplePos="1" relativeHeight="251686400" behindDoc="0" locked="0" layoutInCell="1" allowOverlap="1" wp14:anchorId="11E9BE14" wp14:editId="3F70F61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5" name="Text Box 6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8C24E94" w14:textId="77777777" w:rsidR="0029376B" w:rsidRDefault="00293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E9BE14" id="Text Box 65" o:spid="_x0000_s1064" type="#_x0000_t202" style="position:absolute;margin-left:0;margin-top:0;width:110pt;height:36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PMuby0CAABcBAAADgAAAAAAAAAAAAAAAAAuAgAAZHJzL2Uy&#10;b0RvYy54bWxQSwECLQAUAAYACAAAACEAkBD5ZNoAAAAEAQAADwAAAAAAAAAAAAAAAACHBAAAZHJz&#10;L2Rvd25yZXYueG1sUEsFBgAAAAAEAAQA8wAAAI4FAAAAAA==&#10;" filled="f" strokeweight=".5pt">
              <v:textbox>
                <w:txbxContent>
                  <w:p w14:paraId="08C24E94" w14:textId="77777777" w:rsidR="0029376B" w:rsidRDefault="0029376B"/>
                </w:txbxContent>
              </v:textbox>
              <w10:wrap type="through"/>
            </v:shape>
          </w:pict>
        </mc:Fallback>
      </mc:AlternateContent>
    </w:r>
    <w:r w:rsidR="001A5D78">
      <w:rPr>
        <w:noProof/>
      </w:rPr>
      <mc:AlternateContent>
        <mc:Choice Requires="wps">
          <w:drawing>
            <wp:anchor distT="0" distB="0" distL="114300" distR="114300" simplePos="0" relativeHeight="251680256" behindDoc="0" locked="1" layoutInCell="0" allowOverlap="1" wp14:anchorId="5C6A7FE3" wp14:editId="1D7869EA">
              <wp:simplePos x="0" y="0"/>
              <wp:positionH relativeFrom="margin">
                <wp:align>center</wp:align>
              </wp:positionH>
              <wp:positionV relativeFrom="bottomMargin">
                <wp:align>center</wp:align>
              </wp:positionV>
              <wp:extent cx="1612265" cy="27305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A73B5" w14:textId="75C5E781" w:rsidR="001A5D78" w:rsidRPr="001A5D78" w:rsidRDefault="001A5D78" w:rsidP="001A5D78">
                          <w:pPr>
                            <w:spacing w:before="0" w:after="0"/>
                            <w:jc w:val="center"/>
                            <w:rPr>
                              <w:rFonts w:ascii="Arial" w:hAnsi="Arial" w:cs="Arial"/>
                              <w:b/>
                              <w:color w:val="FF0000"/>
                            </w:rPr>
                          </w:pPr>
                          <w:r w:rsidRPr="001A5D78">
                            <w:rPr>
                              <w:rFonts w:ascii="Arial" w:hAnsi="Arial" w:cs="Arial"/>
                              <w:b/>
                              <w:color w:val="FF0000"/>
                            </w:rPr>
                            <w:fldChar w:fldCharType="begin"/>
                          </w:r>
                          <w:r w:rsidRPr="001A5D78">
                            <w:rPr>
                              <w:rFonts w:ascii="Arial" w:hAnsi="Arial" w:cs="Arial"/>
                              <w:b/>
                              <w:color w:val="FF0000"/>
                            </w:rPr>
                            <w:instrText xml:space="preserve"> DOCPROPERTY PM_ProtectiveMarkingValue_Footer \* MERGEFORMAT </w:instrText>
                          </w:r>
                          <w:r w:rsidRPr="001A5D78">
                            <w:rPr>
                              <w:rFonts w:ascii="Arial" w:hAnsi="Arial" w:cs="Arial"/>
                              <w:b/>
                              <w:color w:val="FF0000"/>
                            </w:rPr>
                            <w:fldChar w:fldCharType="separate"/>
                          </w:r>
                          <w:proofErr w:type="spellStart"/>
                          <w:r>
                            <w:rPr>
                              <w:rFonts w:ascii="Arial" w:hAnsi="Arial" w:cs="Arial"/>
                              <w:b/>
                              <w:color w:val="FF0000"/>
                            </w:rPr>
                            <w:t>OFFICIAL:Sensitive</w:t>
                          </w:r>
                          <w:proofErr w:type="spellEnd"/>
                          <w:r w:rsidRPr="001A5D78">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6A7FE3" id="Text Box 59" o:spid="_x0000_s1065" type="#_x0000_t202" style="position:absolute;margin-left:0;margin-top:0;width:126.95pt;height:21.5pt;z-index:25168025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K5bYcGAIAADIEAAAOAAAAAAAAAAAAAAAAAC4CAABkcnMvZTJvRG9jLnhtbFBLAQItABQABgAI&#10;AAAAIQC9fPS/3AAAAAQBAAAPAAAAAAAAAAAAAAAAAHIEAABkcnMvZG93bnJldi54bWxQSwUGAAAA&#10;AAQABADzAAAAewUAAAAA&#10;" o:allowincell="f" filled="f" stroked="f" strokeweight=".5pt">
              <v:textbox style="mso-fit-shape-to-text:t">
                <w:txbxContent>
                  <w:p w14:paraId="425A73B5" w14:textId="75C5E781" w:rsidR="001A5D78" w:rsidRPr="001A5D78" w:rsidRDefault="001A5D78" w:rsidP="001A5D78">
                    <w:pPr>
                      <w:spacing w:before="0" w:after="0"/>
                      <w:jc w:val="center"/>
                      <w:rPr>
                        <w:rFonts w:ascii="Arial" w:hAnsi="Arial" w:cs="Arial"/>
                        <w:b/>
                        <w:color w:val="FF0000"/>
                      </w:rPr>
                    </w:pPr>
                    <w:r w:rsidRPr="001A5D78">
                      <w:rPr>
                        <w:rFonts w:ascii="Arial" w:hAnsi="Arial" w:cs="Arial"/>
                        <w:b/>
                        <w:color w:val="FF0000"/>
                      </w:rPr>
                      <w:fldChar w:fldCharType="begin"/>
                    </w:r>
                    <w:r w:rsidRPr="001A5D78">
                      <w:rPr>
                        <w:rFonts w:ascii="Arial" w:hAnsi="Arial" w:cs="Arial"/>
                        <w:b/>
                        <w:color w:val="FF0000"/>
                      </w:rPr>
                      <w:instrText xml:space="preserve"> DOCPROPERTY PM_ProtectiveMarkingValue_Footer \* MERGEFORMAT </w:instrText>
                    </w:r>
                    <w:r w:rsidRPr="001A5D78">
                      <w:rPr>
                        <w:rFonts w:ascii="Arial" w:hAnsi="Arial" w:cs="Arial"/>
                        <w:b/>
                        <w:color w:val="FF0000"/>
                      </w:rPr>
                      <w:fldChar w:fldCharType="separate"/>
                    </w:r>
                    <w:proofErr w:type="spellStart"/>
                    <w:r>
                      <w:rPr>
                        <w:rFonts w:ascii="Arial" w:hAnsi="Arial" w:cs="Arial"/>
                        <w:b/>
                        <w:color w:val="FF0000"/>
                      </w:rPr>
                      <w:t>OFFICIAL:Sensitive</w:t>
                    </w:r>
                    <w:proofErr w:type="spellEnd"/>
                    <w:r w:rsidRPr="001A5D78">
                      <w:rPr>
                        <w:rFonts w:ascii="Arial" w:hAnsi="Arial" w:cs="Arial"/>
                        <w:b/>
                        <w:color w:val="FF0000"/>
                      </w:rPr>
                      <w:fldChar w:fldCharType="end"/>
                    </w:r>
                  </w:p>
                </w:txbxContent>
              </v:textbox>
              <w10:wrap anchorx="margin" anchory="margin"/>
              <w10:anchorlock/>
            </v:shape>
          </w:pict>
        </mc:Fallback>
      </mc:AlternateContent>
    </w:r>
    <w:r w:rsidR="00340DA0">
      <w:rPr>
        <w:noProof/>
      </w:rPr>
      <mc:AlternateContent>
        <mc:Choice Requires="wps">
          <w:drawing>
            <wp:anchor distT="0" distB="0" distL="114300" distR="114300" simplePos="0" relativeHeight="251674112" behindDoc="0" locked="1" layoutInCell="0" allowOverlap="1" wp14:anchorId="1DF24401" wp14:editId="726A2B22">
              <wp:simplePos x="0" y="0"/>
              <wp:positionH relativeFrom="margin">
                <wp:align>center</wp:align>
              </wp:positionH>
              <wp:positionV relativeFrom="bottomMargin">
                <wp:align>center</wp:align>
              </wp:positionV>
              <wp:extent cx="1612265" cy="2730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14189" w14:textId="6B0C6397" w:rsidR="00340DA0" w:rsidRPr="00340DA0" w:rsidRDefault="00340DA0" w:rsidP="00340DA0">
                          <w:pPr>
                            <w:spacing w:before="0" w:after="0"/>
                            <w:jc w:val="center"/>
                            <w:rPr>
                              <w:rFonts w:ascii="Arial" w:hAnsi="Arial" w:cs="Arial"/>
                              <w:b/>
                              <w:color w:val="FF0000"/>
                            </w:rPr>
                          </w:pPr>
                          <w:r w:rsidRPr="00340DA0">
                            <w:rPr>
                              <w:rFonts w:ascii="Arial" w:hAnsi="Arial" w:cs="Arial"/>
                              <w:b/>
                              <w:color w:val="FF0000"/>
                            </w:rPr>
                            <w:fldChar w:fldCharType="begin"/>
                          </w:r>
                          <w:r w:rsidRPr="00340DA0">
                            <w:rPr>
                              <w:rFonts w:ascii="Arial" w:hAnsi="Arial" w:cs="Arial"/>
                              <w:b/>
                              <w:color w:val="FF0000"/>
                            </w:rPr>
                            <w:instrText xml:space="preserve"> DOCPROPERTY PM_ProtectiveMarkingValue_Footer \* MERGEFORMAT </w:instrText>
                          </w:r>
                          <w:r w:rsidRPr="00340DA0">
                            <w:rPr>
                              <w:rFonts w:ascii="Arial" w:hAnsi="Arial" w:cs="Arial"/>
                              <w:b/>
                              <w:color w:val="FF0000"/>
                            </w:rPr>
                            <w:fldChar w:fldCharType="separate"/>
                          </w:r>
                          <w:proofErr w:type="spellStart"/>
                          <w:r>
                            <w:rPr>
                              <w:rFonts w:ascii="Arial" w:hAnsi="Arial" w:cs="Arial"/>
                              <w:b/>
                              <w:color w:val="FF0000"/>
                            </w:rPr>
                            <w:t>OFFICIAL:Sensitive</w:t>
                          </w:r>
                          <w:proofErr w:type="spellEnd"/>
                          <w:r w:rsidRPr="00340DA0">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F24401" id="Text Box 53" o:spid="_x0000_s1066" type="#_x0000_t202" style="position:absolute;margin-left:0;margin-top:0;width:126.95pt;height:21.5pt;z-index:25167411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C+vZBzGAIAADIEAAAOAAAAAAAAAAAAAAAAAC4CAABkcnMvZTJvRG9jLnhtbFBLAQItABQABgAI&#10;AAAAIQC9fPS/3AAAAAQBAAAPAAAAAAAAAAAAAAAAAHIEAABkcnMvZG93bnJldi54bWxQSwUGAAAA&#10;AAQABADzAAAAewUAAAAA&#10;" o:allowincell="f" filled="f" stroked="f" strokeweight=".5pt">
              <v:textbox style="mso-fit-shape-to-text:t">
                <w:txbxContent>
                  <w:p w14:paraId="55E14189" w14:textId="6B0C6397" w:rsidR="00340DA0" w:rsidRPr="00340DA0" w:rsidRDefault="00340DA0" w:rsidP="00340DA0">
                    <w:pPr>
                      <w:spacing w:before="0" w:after="0"/>
                      <w:jc w:val="center"/>
                      <w:rPr>
                        <w:rFonts w:ascii="Arial" w:hAnsi="Arial" w:cs="Arial"/>
                        <w:b/>
                        <w:color w:val="FF0000"/>
                      </w:rPr>
                    </w:pPr>
                    <w:r w:rsidRPr="00340DA0">
                      <w:rPr>
                        <w:rFonts w:ascii="Arial" w:hAnsi="Arial" w:cs="Arial"/>
                        <w:b/>
                        <w:color w:val="FF0000"/>
                      </w:rPr>
                      <w:fldChar w:fldCharType="begin"/>
                    </w:r>
                    <w:r w:rsidRPr="00340DA0">
                      <w:rPr>
                        <w:rFonts w:ascii="Arial" w:hAnsi="Arial" w:cs="Arial"/>
                        <w:b/>
                        <w:color w:val="FF0000"/>
                      </w:rPr>
                      <w:instrText xml:space="preserve"> DOCPROPERTY PM_ProtectiveMarkingValue_Footer \* MERGEFORMAT </w:instrText>
                    </w:r>
                    <w:r w:rsidRPr="00340DA0">
                      <w:rPr>
                        <w:rFonts w:ascii="Arial" w:hAnsi="Arial" w:cs="Arial"/>
                        <w:b/>
                        <w:color w:val="FF0000"/>
                      </w:rPr>
                      <w:fldChar w:fldCharType="separate"/>
                    </w:r>
                    <w:proofErr w:type="spellStart"/>
                    <w:r>
                      <w:rPr>
                        <w:rFonts w:ascii="Arial" w:hAnsi="Arial" w:cs="Arial"/>
                        <w:b/>
                        <w:color w:val="FF0000"/>
                      </w:rPr>
                      <w:t>OFFICIAL:Sensitive</w:t>
                    </w:r>
                    <w:proofErr w:type="spellEnd"/>
                    <w:r w:rsidRPr="00340DA0">
                      <w:rPr>
                        <w:rFonts w:ascii="Arial" w:hAnsi="Arial" w:cs="Arial"/>
                        <w:b/>
                        <w:color w:val="FF0000"/>
                      </w:rPr>
                      <w:fldChar w:fldCharType="end"/>
                    </w:r>
                  </w:p>
                </w:txbxContent>
              </v:textbox>
              <w10:wrap anchorx="margin" anchory="margin"/>
              <w10:anchorlock/>
            </v:shape>
          </w:pict>
        </mc:Fallback>
      </mc:AlternateContent>
    </w:r>
    <w:r w:rsidR="00F8242F">
      <w:rPr>
        <w:noProof/>
      </w:rPr>
      <mc:AlternateContent>
        <mc:Choice Requires="wps">
          <w:drawing>
            <wp:anchor distT="0" distB="0" distL="114300" distR="114300" simplePos="1" relativeHeight="251667968" behindDoc="0" locked="0" layoutInCell="1" allowOverlap="1" wp14:anchorId="6A64168B" wp14:editId="26BB167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7" name="Text Box 4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B411230" w14:textId="77777777" w:rsidR="00F8242F" w:rsidRDefault="00F82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64168B" id="Text Box 47" o:spid="_x0000_s1067" type="#_x0000_t202" style="position:absolute;margin-left:0;margin-top:0;width:110pt;height:3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eK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guN4orAgAAXAQAAA4AAAAAAAAAAAAAAAAALgIAAGRycy9lMm9E&#10;b2MueG1sUEsBAi0AFAAGAAgAAAAhAJAQ+WTaAAAABAEAAA8AAAAAAAAAAAAAAAAAhQQAAGRycy9k&#10;b3ducmV2LnhtbFBLBQYAAAAABAAEAPMAAACMBQAAAAA=&#10;" filled="f" strokeweight=".5pt">
              <v:textbox>
                <w:txbxContent>
                  <w:p w14:paraId="4B411230" w14:textId="77777777" w:rsidR="00F8242F" w:rsidRDefault="00F8242F"/>
                </w:txbxContent>
              </v:textbox>
              <w10:wrap type="through"/>
            </v:shape>
          </w:pict>
        </mc:Fallback>
      </mc:AlternateContent>
    </w:r>
    <w:r w:rsidR="00CB30F1">
      <w:rPr>
        <w:noProof/>
      </w:rPr>
      <mc:AlternateContent>
        <mc:Choice Requires="wps">
          <w:drawing>
            <wp:anchor distT="0" distB="0" distL="114300" distR="114300" simplePos="0" relativeHeight="251661824" behindDoc="0" locked="1" layoutInCell="0" allowOverlap="1" wp14:anchorId="5F1B6C4F" wp14:editId="00FA3A36">
              <wp:simplePos x="0" y="0"/>
              <wp:positionH relativeFrom="margin">
                <wp:align>center</wp:align>
              </wp:positionH>
              <wp:positionV relativeFrom="bottomMargin">
                <wp:align>center</wp:align>
              </wp:positionV>
              <wp:extent cx="1612265" cy="2730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ADA56" w14:textId="4E8B3915" w:rsidR="00CB30F1" w:rsidRPr="00CB30F1" w:rsidRDefault="00CB30F1" w:rsidP="00CB30F1">
                          <w:pPr>
                            <w:spacing w:before="0" w:after="0"/>
                            <w:jc w:val="center"/>
                            <w:rPr>
                              <w:rFonts w:ascii="Arial" w:hAnsi="Arial" w:cs="Arial"/>
                              <w:b/>
                              <w:color w:val="FF0000"/>
                            </w:rPr>
                          </w:pPr>
                          <w:r w:rsidRPr="00CB30F1">
                            <w:rPr>
                              <w:rFonts w:ascii="Arial" w:hAnsi="Arial" w:cs="Arial"/>
                              <w:b/>
                              <w:color w:val="FF0000"/>
                            </w:rPr>
                            <w:fldChar w:fldCharType="begin"/>
                          </w:r>
                          <w:r w:rsidRPr="00CB30F1">
                            <w:rPr>
                              <w:rFonts w:ascii="Arial" w:hAnsi="Arial" w:cs="Arial"/>
                              <w:b/>
                              <w:color w:val="FF0000"/>
                            </w:rPr>
                            <w:instrText xml:space="preserve"> DOCPROPERTY PM_ProtectiveMarkingValue_Footer \* MERGEFORMAT </w:instrText>
                          </w:r>
                          <w:r w:rsidRPr="00CB30F1">
                            <w:rPr>
                              <w:rFonts w:ascii="Arial" w:hAnsi="Arial" w:cs="Arial"/>
                              <w:b/>
                              <w:color w:val="FF0000"/>
                            </w:rPr>
                            <w:fldChar w:fldCharType="separate"/>
                          </w:r>
                          <w:proofErr w:type="spellStart"/>
                          <w:r>
                            <w:rPr>
                              <w:rFonts w:ascii="Arial" w:hAnsi="Arial" w:cs="Arial"/>
                              <w:b/>
                              <w:color w:val="FF0000"/>
                            </w:rPr>
                            <w:t>OFFICIAL:Sensitive</w:t>
                          </w:r>
                          <w:proofErr w:type="spellEnd"/>
                          <w:r w:rsidRPr="00CB30F1">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1B6C4F" id="Text Box 41" o:spid="_x0000_s1068" type="#_x0000_t202" style="position:absolute;margin-left:0;margin-top:0;width:126.95pt;height:21.5pt;z-index:25166182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6RGA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q5OP8tMgaqj3t5+FAfXBy2dAQjyLg&#10;i/DENa1E+sVnOrQBagZHi7Ma/M+//Y/xRAF5OetIOyW3JG7OzHdL1HwZjcdRaukyntzmdPHXnvW1&#10;x27beyBxjuidOJnMGI/mZGoP7RuJfBF7kktYSZ1LjifzHg96pkci1WKRgkhcTuCjXTkZS0foIsCv&#10;/Zvw7sgCEn9PcNKYKN6RcYiNmcEttkiUJKYizAdMj+iTMBOBx0cUlX99T1GXpz7/BQ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CH8S6RGAIAADIEAAAOAAAAAAAAAAAAAAAAAC4CAABkcnMvZTJvRG9jLnhtbFBLAQItABQABgAI&#10;AAAAIQC9fPS/3AAAAAQBAAAPAAAAAAAAAAAAAAAAAHIEAABkcnMvZG93bnJldi54bWxQSwUGAAAA&#10;AAQABADzAAAAewUAAAAA&#10;" o:allowincell="f" filled="f" stroked="f" strokeweight=".5pt">
              <v:textbox style="mso-fit-shape-to-text:t">
                <w:txbxContent>
                  <w:p w14:paraId="264ADA56" w14:textId="4E8B3915" w:rsidR="00CB30F1" w:rsidRPr="00CB30F1" w:rsidRDefault="00CB30F1" w:rsidP="00CB30F1">
                    <w:pPr>
                      <w:spacing w:before="0" w:after="0"/>
                      <w:jc w:val="center"/>
                      <w:rPr>
                        <w:rFonts w:ascii="Arial" w:hAnsi="Arial" w:cs="Arial"/>
                        <w:b/>
                        <w:color w:val="FF0000"/>
                      </w:rPr>
                    </w:pPr>
                    <w:r w:rsidRPr="00CB30F1">
                      <w:rPr>
                        <w:rFonts w:ascii="Arial" w:hAnsi="Arial" w:cs="Arial"/>
                        <w:b/>
                        <w:color w:val="FF0000"/>
                      </w:rPr>
                      <w:fldChar w:fldCharType="begin"/>
                    </w:r>
                    <w:r w:rsidRPr="00CB30F1">
                      <w:rPr>
                        <w:rFonts w:ascii="Arial" w:hAnsi="Arial" w:cs="Arial"/>
                        <w:b/>
                        <w:color w:val="FF0000"/>
                      </w:rPr>
                      <w:instrText xml:space="preserve"> DOCPROPERTY PM_ProtectiveMarkingValue_Footer \* MERGEFORMAT </w:instrText>
                    </w:r>
                    <w:r w:rsidRPr="00CB30F1">
                      <w:rPr>
                        <w:rFonts w:ascii="Arial" w:hAnsi="Arial" w:cs="Arial"/>
                        <w:b/>
                        <w:color w:val="FF0000"/>
                      </w:rPr>
                      <w:fldChar w:fldCharType="separate"/>
                    </w:r>
                    <w:proofErr w:type="spellStart"/>
                    <w:r>
                      <w:rPr>
                        <w:rFonts w:ascii="Arial" w:hAnsi="Arial" w:cs="Arial"/>
                        <w:b/>
                        <w:color w:val="FF0000"/>
                      </w:rPr>
                      <w:t>OFFICIAL:Sensitive</w:t>
                    </w:r>
                    <w:proofErr w:type="spellEnd"/>
                    <w:r w:rsidRPr="00CB30F1">
                      <w:rPr>
                        <w:rFonts w:ascii="Arial" w:hAnsi="Arial" w:cs="Arial"/>
                        <w:b/>
                        <w:color w:val="FF0000"/>
                      </w:rPr>
                      <w:fldChar w:fldCharType="end"/>
                    </w:r>
                  </w:p>
                </w:txbxContent>
              </v:textbox>
              <w10:wrap anchorx="margin" anchory="margin"/>
              <w10:anchorlock/>
            </v:shape>
          </w:pict>
        </mc:Fallback>
      </mc:AlternateContent>
    </w:r>
    <w:r w:rsidR="0013341E">
      <w:rPr>
        <w:noProof/>
      </w:rPr>
      <mc:AlternateContent>
        <mc:Choice Requires="wps">
          <w:drawing>
            <wp:anchor distT="0" distB="0" distL="114300" distR="114300" simplePos="1" relativeHeight="251655680" behindDoc="0" locked="0" layoutInCell="1" allowOverlap="1" wp14:anchorId="05A76DBE" wp14:editId="28B7B09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5" name="Text Box 3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6199AF2" w14:textId="77777777" w:rsidR="0013341E" w:rsidRDefault="00133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A76DBE" id="Text Box 35" o:spid="_x0000_s1069" type="#_x0000_t202" style="position:absolute;margin-left:0;margin-top:0;width:110pt;height:3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n7LA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nTNn7LAIAAFwEAAAOAAAAAAAAAAAAAAAAAC4CAABkcnMvZTJv&#10;RG9jLnhtbFBLAQItABQABgAIAAAAIQCQEPlk2gAAAAQBAAAPAAAAAAAAAAAAAAAAAIYEAABkcnMv&#10;ZG93bnJldi54bWxQSwUGAAAAAAQABADzAAAAjQUAAAAA&#10;" filled="f" strokeweight=".5pt">
              <v:textbox>
                <w:txbxContent>
                  <w:p w14:paraId="56199AF2" w14:textId="77777777" w:rsidR="0013341E" w:rsidRDefault="0013341E"/>
                </w:txbxContent>
              </v:textbox>
              <w10:wrap type="through"/>
            </v:shape>
          </w:pict>
        </mc:Fallback>
      </mc:AlternateContent>
    </w:r>
    <w:r w:rsidR="0013341E">
      <w:rPr>
        <w:noProof/>
      </w:rPr>
      <mc:AlternateContent>
        <mc:Choice Requires="wps">
          <w:drawing>
            <wp:anchor distT="0" distB="0" distL="114300" distR="114300" simplePos="1" relativeHeight="251649536" behindDoc="0" locked="0" layoutInCell="1" allowOverlap="1" wp14:anchorId="6DD9EA62" wp14:editId="744DE53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9" name="Text Box 2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65F2932" w14:textId="77777777" w:rsidR="0013341E" w:rsidRDefault="00133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D9EA62" id="Text Box 29" o:spid="_x0000_s1070" type="#_x0000_t202" style="position:absolute;margin-left:0;margin-top:0;width:110pt;height:36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S8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HZybHgD1QFxcNCPiLd8qTD+ivnwwhzOBPaHcx6e8ZAasCgYJEpqcL/+9h7tkSrUUtLijJXU/9wx&#10;JyjR3wySeD+eTOJQpksCjhJ3qdlcasyuWQB2OsaNsjyJ6OyCPorSQfOG6zCPWVHFDMfcJQ1HcRH6&#10;ycd14mI+T0Y4hpaFlVlbHkMfcX3t3pizA18BmX6C4zSy4h1tvW1P3HwXQKrEaQS6R3XAH0c4TcWw&#10;bnFHLu/J6vxT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ZWaS8LAIAAFwEAAAOAAAAAAAAAAAAAAAAAC4CAABkcnMvZTJv&#10;RG9jLnhtbFBLAQItABQABgAIAAAAIQCQEPlk2gAAAAQBAAAPAAAAAAAAAAAAAAAAAIYEAABkcnMv&#10;ZG93bnJldi54bWxQSwUGAAAAAAQABADzAAAAjQUAAAAA&#10;" filled="f" strokeweight=".5pt">
              <v:textbox>
                <w:txbxContent>
                  <w:p w14:paraId="165F2932" w14:textId="77777777" w:rsidR="0013341E" w:rsidRDefault="0013341E"/>
                </w:txbxContent>
              </v:textbox>
              <w10:wrap type="through"/>
            </v:shape>
          </w:pict>
        </mc:Fallback>
      </mc:AlternateContent>
    </w:r>
    <w:r w:rsidR="00F724BC">
      <w:rPr>
        <w:noProof/>
      </w:rPr>
      <mc:AlternateContent>
        <mc:Choice Requires="wps">
          <w:drawing>
            <wp:anchor distT="0" distB="0" distL="114300" distR="114300" simplePos="1" relativeHeight="251643392" behindDoc="0" locked="0" layoutInCell="1" allowOverlap="1" wp14:anchorId="504E30E8" wp14:editId="3BA15A1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6A3E474" w14:textId="77777777" w:rsidR="00F724BC" w:rsidRDefault="00F724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4E30E8" id="Text Box 23" o:spid="_x0000_s1071" type="#_x0000_t202" style="position:absolute;margin-left:0;margin-top:0;width:110pt;height:36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p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O2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br62krAgAAXAQAAA4AAAAAAAAAAAAAAAAALgIAAGRycy9lMm9E&#10;b2MueG1sUEsBAi0AFAAGAAgAAAAhAJAQ+WTaAAAABAEAAA8AAAAAAAAAAAAAAAAAhQQAAGRycy9k&#10;b3ducmV2LnhtbFBLBQYAAAAABAAEAPMAAACMBQAAAAA=&#10;" filled="f" strokeweight=".5pt">
              <v:textbox>
                <w:txbxContent>
                  <w:p w14:paraId="36A3E474" w14:textId="77777777" w:rsidR="00F724BC" w:rsidRDefault="00F724BC"/>
                </w:txbxContent>
              </v:textbox>
              <w10:wrap type="through"/>
            </v:shape>
          </w:pict>
        </mc:Fallback>
      </mc:AlternateContent>
    </w:r>
    <w:r w:rsidR="0008175E">
      <w:rPr>
        <w:noProof/>
      </w:rPr>
      <mc:AlternateContent>
        <mc:Choice Requires="wps">
          <w:drawing>
            <wp:anchor distT="0" distB="0" distL="114300" distR="114300" simplePos="0" relativeHeight="251637248" behindDoc="0" locked="1" layoutInCell="0" allowOverlap="1" wp14:anchorId="5A1CE33C" wp14:editId="5432300A">
              <wp:simplePos x="0" y="0"/>
              <wp:positionH relativeFrom="margin">
                <wp:align>center</wp:align>
              </wp:positionH>
              <wp:positionV relativeFrom="bottomMargin">
                <wp:align>center</wp:align>
              </wp:positionV>
              <wp:extent cx="1612265" cy="273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72D6D" w14:textId="191F01F3" w:rsidR="0008175E" w:rsidRPr="0008175E" w:rsidRDefault="0008175E" w:rsidP="0008175E">
                          <w:pPr>
                            <w:spacing w:before="0" w:after="0"/>
                            <w:jc w:val="center"/>
                            <w:rPr>
                              <w:rFonts w:ascii="Arial" w:hAnsi="Arial" w:cs="Arial"/>
                              <w:b/>
                              <w:color w:val="FF0000"/>
                            </w:rPr>
                          </w:pPr>
                          <w:r w:rsidRPr="0008175E">
                            <w:rPr>
                              <w:rFonts w:ascii="Arial" w:hAnsi="Arial" w:cs="Arial"/>
                              <w:b/>
                              <w:color w:val="FF0000"/>
                            </w:rPr>
                            <w:fldChar w:fldCharType="begin"/>
                          </w:r>
                          <w:r w:rsidRPr="0008175E">
                            <w:rPr>
                              <w:rFonts w:ascii="Arial" w:hAnsi="Arial" w:cs="Arial"/>
                              <w:b/>
                              <w:color w:val="FF0000"/>
                            </w:rPr>
                            <w:instrText xml:space="preserve"> DOCPROPERTY PM_ProtectiveMarkingValue_Footer \* MERGEFORMAT </w:instrText>
                          </w:r>
                          <w:r w:rsidRPr="0008175E">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08175E">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1CE33C" id="Text Box 17" o:spid="_x0000_s1072" type="#_x0000_t202" style="position:absolute;margin-left:0;margin-top:0;width:126.95pt;height:21.5pt;z-index:2516372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OPGA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q5OPpaZE1VHvaz8OB+uDksqEhHkXA&#10;F+GJa1qJ9IvPdGgD1AyOFmc1+J9/+x/jiQLyctaRdkpuSdycme+WqPkyGo+j1NJlPLnN6eKvPetr&#10;j92290DiHNE7cTKZMR7NydQe2jcS+SL2JJewkjqXHE/mPR70TI9EqsUiBZG4nMBHu3Iylo7QRYBf&#10;+zfh3ZEFJP6e4KQxUbwj4xAbM4NbbJEoSUxFmA+YHtEnYSYCj48oKv/6nqIuT33+Cw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C0byOPGAIAADIEAAAOAAAAAAAAAAAAAAAAAC4CAABkcnMvZTJvRG9jLnhtbFBLAQItABQABgAI&#10;AAAAIQC9fPS/3AAAAAQBAAAPAAAAAAAAAAAAAAAAAHIEAABkcnMvZG93bnJldi54bWxQSwUGAAAA&#10;AAQABADzAAAAewUAAAAA&#10;" o:allowincell="f" filled="f" stroked="f" strokeweight=".5pt">
              <v:textbox style="mso-fit-shape-to-text:t">
                <w:txbxContent>
                  <w:p w14:paraId="38372D6D" w14:textId="191F01F3" w:rsidR="0008175E" w:rsidRPr="0008175E" w:rsidRDefault="0008175E" w:rsidP="0008175E">
                    <w:pPr>
                      <w:spacing w:before="0" w:after="0"/>
                      <w:jc w:val="center"/>
                      <w:rPr>
                        <w:rFonts w:ascii="Arial" w:hAnsi="Arial" w:cs="Arial"/>
                        <w:b/>
                        <w:color w:val="FF0000"/>
                      </w:rPr>
                    </w:pPr>
                    <w:r w:rsidRPr="0008175E">
                      <w:rPr>
                        <w:rFonts w:ascii="Arial" w:hAnsi="Arial" w:cs="Arial"/>
                        <w:b/>
                        <w:color w:val="FF0000"/>
                      </w:rPr>
                      <w:fldChar w:fldCharType="begin"/>
                    </w:r>
                    <w:r w:rsidRPr="0008175E">
                      <w:rPr>
                        <w:rFonts w:ascii="Arial" w:hAnsi="Arial" w:cs="Arial"/>
                        <w:b/>
                        <w:color w:val="FF0000"/>
                      </w:rPr>
                      <w:instrText xml:space="preserve"> DOCPROPERTY PM_ProtectiveMarkingValue_Footer \* MERGEFORMAT </w:instrText>
                    </w:r>
                    <w:r w:rsidRPr="0008175E">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08175E">
                      <w:rPr>
                        <w:rFonts w:ascii="Arial" w:hAnsi="Arial" w:cs="Arial"/>
                        <w:b/>
                        <w:color w:val="FF0000"/>
                      </w:rPr>
                      <w:fldChar w:fldCharType="end"/>
                    </w:r>
                  </w:p>
                </w:txbxContent>
              </v:textbox>
              <w10:wrap anchorx="margin" anchory="margin"/>
              <w10:anchorlock/>
            </v:shape>
          </w:pict>
        </mc:Fallback>
      </mc:AlternateContent>
    </w:r>
    <w:r w:rsidR="00D04915">
      <w:rPr>
        <w:noProof/>
      </w:rPr>
      <mc:AlternateContent>
        <mc:Choice Requires="wps">
          <w:drawing>
            <wp:anchor distT="0" distB="0" distL="114300" distR="114300" simplePos="0" relativeHeight="251631104" behindDoc="0" locked="1" layoutInCell="0" allowOverlap="1" wp14:anchorId="6DC2B897" wp14:editId="4FCB736C">
              <wp:simplePos x="0" y="0"/>
              <wp:positionH relativeFrom="margin">
                <wp:align>center</wp:align>
              </wp:positionH>
              <wp:positionV relativeFrom="bottomMargin">
                <wp:align>center</wp:align>
              </wp:positionV>
              <wp:extent cx="1612265" cy="273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B1FE8" w14:textId="71698B41" w:rsidR="00D04915" w:rsidRPr="00D04915" w:rsidRDefault="00D04915" w:rsidP="00D04915">
                          <w:pPr>
                            <w:spacing w:before="0" w:after="0"/>
                            <w:jc w:val="center"/>
                            <w:rPr>
                              <w:rFonts w:ascii="Arial" w:hAnsi="Arial" w:cs="Arial"/>
                              <w:b/>
                              <w:color w:val="FF0000"/>
                            </w:rPr>
                          </w:pPr>
                          <w:r w:rsidRPr="00D04915">
                            <w:rPr>
                              <w:rFonts w:ascii="Arial" w:hAnsi="Arial" w:cs="Arial"/>
                              <w:b/>
                              <w:color w:val="FF0000"/>
                            </w:rPr>
                            <w:fldChar w:fldCharType="begin"/>
                          </w:r>
                          <w:r w:rsidRPr="00D04915">
                            <w:rPr>
                              <w:rFonts w:ascii="Arial" w:hAnsi="Arial" w:cs="Arial"/>
                              <w:b/>
                              <w:color w:val="FF0000"/>
                            </w:rPr>
                            <w:instrText xml:space="preserve"> DOCPROPERTY PM_ProtectiveMarkingValue_Footer \* MERGEFORMAT </w:instrText>
                          </w:r>
                          <w:r w:rsidRPr="00D04915">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D04915">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C2B897" id="Text Box 11" o:spid="_x0000_s1073" type="#_x0000_t202" style="position:absolute;margin-left:0;margin-top:0;width:126.95pt;height:21.5pt;z-index:25163110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iMrEExkCAAAyBAAADgAAAAAAAAAAAAAAAAAuAgAAZHJzL2Uyb0RvYy54bWxQSwECLQAUAAYA&#10;CAAAACEAvXz0v9wAAAAEAQAADwAAAAAAAAAAAAAAAABzBAAAZHJzL2Rvd25yZXYueG1sUEsFBgAA&#10;AAAEAAQA8wAAAHwFAAAAAA==&#10;" o:allowincell="f" filled="f" stroked="f" strokeweight=".5pt">
              <v:textbox style="mso-fit-shape-to-text:t">
                <w:txbxContent>
                  <w:p w14:paraId="52EB1FE8" w14:textId="71698B41" w:rsidR="00D04915" w:rsidRPr="00D04915" w:rsidRDefault="00D04915" w:rsidP="00D04915">
                    <w:pPr>
                      <w:spacing w:before="0" w:after="0"/>
                      <w:jc w:val="center"/>
                      <w:rPr>
                        <w:rFonts w:ascii="Arial" w:hAnsi="Arial" w:cs="Arial"/>
                        <w:b/>
                        <w:color w:val="FF0000"/>
                      </w:rPr>
                    </w:pPr>
                    <w:r w:rsidRPr="00D04915">
                      <w:rPr>
                        <w:rFonts w:ascii="Arial" w:hAnsi="Arial" w:cs="Arial"/>
                        <w:b/>
                        <w:color w:val="FF0000"/>
                      </w:rPr>
                      <w:fldChar w:fldCharType="begin"/>
                    </w:r>
                    <w:r w:rsidRPr="00D04915">
                      <w:rPr>
                        <w:rFonts w:ascii="Arial" w:hAnsi="Arial" w:cs="Arial"/>
                        <w:b/>
                        <w:color w:val="FF0000"/>
                      </w:rPr>
                      <w:instrText xml:space="preserve"> DOCPROPERTY PM_ProtectiveMarkingValue_Footer \* MERGEFORMAT </w:instrText>
                    </w:r>
                    <w:r w:rsidRPr="00D04915">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D04915">
                      <w:rPr>
                        <w:rFonts w:ascii="Arial" w:hAnsi="Arial" w:cs="Arial"/>
                        <w:b/>
                        <w:color w:val="FF0000"/>
                      </w:rPr>
                      <w:fldChar w:fldCharType="end"/>
                    </w:r>
                  </w:p>
                </w:txbxContent>
              </v:textbox>
              <w10:wrap anchorx="margin" anchory="margin"/>
              <w10:anchorlock/>
            </v:shape>
          </w:pict>
        </mc:Fallback>
      </mc:AlternateContent>
    </w:r>
    <w:r w:rsidR="00C94E94">
      <w:rPr>
        <w:noProof/>
      </w:rPr>
      <mc:AlternateContent>
        <mc:Choice Requires="wps">
          <w:drawing>
            <wp:anchor distT="0" distB="0" distL="114300" distR="114300" simplePos="0" relativeHeight="251624960" behindDoc="0" locked="1" layoutInCell="0" allowOverlap="1" wp14:anchorId="23F97F99" wp14:editId="3068E768">
              <wp:simplePos x="0" y="0"/>
              <wp:positionH relativeFrom="margin">
                <wp:align>center</wp:align>
              </wp:positionH>
              <wp:positionV relativeFrom="bottomMargin">
                <wp:align>center</wp:align>
              </wp:positionV>
              <wp:extent cx="161226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7280D" w14:textId="04EF2FF2" w:rsidR="00C94E94" w:rsidRPr="00C94E94" w:rsidRDefault="00C94E94" w:rsidP="00C94E94">
                          <w:pPr>
                            <w:spacing w:before="0" w:after="0"/>
                            <w:jc w:val="center"/>
                            <w:rPr>
                              <w:rFonts w:ascii="Arial" w:hAnsi="Arial" w:cs="Arial"/>
                              <w:b/>
                              <w:color w:val="FF0000"/>
                            </w:rPr>
                          </w:pPr>
                          <w:r w:rsidRPr="00C94E94">
                            <w:rPr>
                              <w:rFonts w:ascii="Arial" w:hAnsi="Arial" w:cs="Arial"/>
                              <w:b/>
                              <w:color w:val="FF0000"/>
                            </w:rPr>
                            <w:fldChar w:fldCharType="begin"/>
                          </w:r>
                          <w:r w:rsidRPr="00C94E94">
                            <w:rPr>
                              <w:rFonts w:ascii="Arial" w:hAnsi="Arial" w:cs="Arial"/>
                              <w:b/>
                              <w:color w:val="FF0000"/>
                            </w:rPr>
                            <w:instrText xml:space="preserve"> DOCPROPERTY PM_ProtectiveMarkingValue_Footer \* MERGEFORMAT </w:instrText>
                          </w:r>
                          <w:r w:rsidRPr="00C94E94">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C94E94">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F97F99" id="Text Box 5" o:spid="_x0000_s1074" type="#_x0000_t202" style="position:absolute;margin-left:0;margin-top:0;width:126.95pt;height:21.5pt;z-index:2516249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2IGLTxkCAAAyBAAADgAAAAAAAAAAAAAAAAAuAgAAZHJzL2Uyb0RvYy54bWxQSwECLQAUAAYA&#10;CAAAACEAvXz0v9wAAAAEAQAADwAAAAAAAAAAAAAAAABzBAAAZHJzL2Rvd25yZXYueG1sUEsFBgAA&#10;AAAEAAQA8wAAAHwFAAAAAA==&#10;" o:allowincell="f" filled="f" stroked="f" strokeweight=".5pt">
              <v:textbox style="mso-fit-shape-to-text:t">
                <w:txbxContent>
                  <w:p w14:paraId="0E47280D" w14:textId="04EF2FF2" w:rsidR="00C94E94" w:rsidRPr="00C94E94" w:rsidRDefault="00C94E94" w:rsidP="00C94E94">
                    <w:pPr>
                      <w:spacing w:before="0" w:after="0"/>
                      <w:jc w:val="center"/>
                      <w:rPr>
                        <w:rFonts w:ascii="Arial" w:hAnsi="Arial" w:cs="Arial"/>
                        <w:b/>
                        <w:color w:val="FF0000"/>
                      </w:rPr>
                    </w:pPr>
                    <w:r w:rsidRPr="00C94E94">
                      <w:rPr>
                        <w:rFonts w:ascii="Arial" w:hAnsi="Arial" w:cs="Arial"/>
                        <w:b/>
                        <w:color w:val="FF0000"/>
                      </w:rPr>
                      <w:fldChar w:fldCharType="begin"/>
                    </w:r>
                    <w:r w:rsidRPr="00C94E94">
                      <w:rPr>
                        <w:rFonts w:ascii="Arial" w:hAnsi="Arial" w:cs="Arial"/>
                        <w:b/>
                        <w:color w:val="FF0000"/>
                      </w:rPr>
                      <w:instrText xml:space="preserve"> DOCPROPERTY PM_ProtectiveMarkingValue_Footer \* MERGEFORMAT </w:instrText>
                    </w:r>
                    <w:r w:rsidRPr="00C94E94">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C94E94">
                      <w:rPr>
                        <w:rFonts w:ascii="Arial" w:hAnsi="Arial" w:cs="Arial"/>
                        <w:b/>
                        <w:color w:val="FF0000"/>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1FCC" w14:textId="77777777" w:rsidR="00CC7426" w:rsidRDefault="00CC7426" w:rsidP="00CF785C">
      <w:pPr>
        <w:spacing w:before="0" w:after="0"/>
      </w:pPr>
      <w:r>
        <w:separator/>
      </w:r>
    </w:p>
  </w:footnote>
  <w:footnote w:type="continuationSeparator" w:id="0">
    <w:p w14:paraId="071119C9" w14:textId="77777777" w:rsidR="00CC7426" w:rsidRDefault="00CC7426" w:rsidP="00CF785C">
      <w:pPr>
        <w:spacing w:before="0" w:after="0"/>
      </w:pPr>
      <w:r>
        <w:continuationSeparator/>
      </w:r>
    </w:p>
  </w:footnote>
  <w:footnote w:type="continuationNotice" w:id="1">
    <w:p w14:paraId="2828FFE5" w14:textId="77777777" w:rsidR="00CC7426" w:rsidRDefault="00CC7426">
      <w:pPr>
        <w:spacing w:before="0" w:after="0"/>
      </w:pPr>
    </w:p>
  </w:footnote>
  <w:footnote w:id="2">
    <w:p w14:paraId="312B6BBA" w14:textId="0DF02075" w:rsidR="003C1862" w:rsidRDefault="003C1862">
      <w:pPr>
        <w:pStyle w:val="FootnoteText"/>
      </w:pPr>
      <w:r>
        <w:rPr>
          <w:rStyle w:val="FootnoteReference"/>
        </w:rPr>
        <w:footnoteRef/>
      </w:r>
      <w:r>
        <w:t xml:space="preserve">  </w:t>
      </w:r>
      <w:hyperlink r:id="rId1" w:history="1">
        <w:r w:rsidRPr="00EA3EDA">
          <w:rPr>
            <w:rStyle w:val="Hyperlink"/>
          </w:rPr>
          <w:t>https://unfccc.int/NDCREG</w:t>
        </w:r>
      </w:hyperlink>
    </w:p>
  </w:footnote>
  <w:footnote w:id="3">
    <w:p w14:paraId="121A95C1" w14:textId="023D1EEC" w:rsidR="0061774F" w:rsidRPr="00074A27" w:rsidRDefault="0061774F" w:rsidP="00426150">
      <w:pPr>
        <w:pStyle w:val="FootnoteText"/>
      </w:pPr>
      <w:r>
        <w:rPr>
          <w:rStyle w:val="FootnoteReference"/>
        </w:rPr>
        <w:footnoteRef/>
      </w:r>
      <w:r>
        <w:t xml:space="preserve"> </w:t>
      </w:r>
      <w:r w:rsidRPr="00074A27">
        <w:t>See subsection 64(2) of the Act.</w:t>
      </w:r>
    </w:p>
    <w:p w14:paraId="20EFDAD1" w14:textId="77777777" w:rsidR="0061774F" w:rsidRDefault="0061774F" w:rsidP="00426150">
      <w:pPr>
        <w:pStyle w:val="FootnoteText"/>
      </w:pPr>
    </w:p>
  </w:footnote>
  <w:footnote w:id="4">
    <w:p w14:paraId="2CAA4544" w14:textId="7DD7E61F" w:rsidR="0061774F" w:rsidRDefault="0061774F" w:rsidP="00426150">
      <w:pPr>
        <w:pStyle w:val="FootnoteText"/>
      </w:pPr>
      <w:r>
        <w:rPr>
          <w:rStyle w:val="FootnoteReference"/>
        </w:rPr>
        <w:footnoteRef/>
      </w:r>
      <w:r>
        <w:t xml:space="preserve"> </w:t>
      </w:r>
      <w:r w:rsidRPr="00074A27">
        <w:t>See section 65 of the Act.</w:t>
      </w:r>
    </w:p>
    <w:p w14:paraId="1B30042B" w14:textId="77777777" w:rsidR="0061774F" w:rsidRDefault="0061774F" w:rsidP="00426150">
      <w:pPr>
        <w:pStyle w:val="FootnoteText"/>
      </w:pPr>
    </w:p>
  </w:footnote>
  <w:footnote w:id="5">
    <w:p w14:paraId="5A0ACC9B" w14:textId="77777777" w:rsidR="0061774F" w:rsidRDefault="0061774F" w:rsidP="00BA62B6">
      <w:pPr>
        <w:pStyle w:val="FootnoteText"/>
      </w:pPr>
      <w:r>
        <w:rPr>
          <w:rStyle w:val="FootnoteReference"/>
        </w:rPr>
        <w:footnoteRef/>
      </w:r>
      <w:r>
        <w:t xml:space="preserve"> </w:t>
      </w:r>
      <w:r>
        <w:rPr>
          <w:szCs w:val="24"/>
        </w:rPr>
        <w:t>The 5-</w:t>
      </w:r>
      <w:r w:rsidRPr="004F373E">
        <w:rPr>
          <w:szCs w:val="24"/>
        </w:rPr>
        <w:t>year Australian Government bond rate is the average bond rate as published by the Reserve Bank of Australia for the 15</w:t>
      </w:r>
      <w:r>
        <w:rPr>
          <w:szCs w:val="24"/>
        </w:rPr>
        <w:t>-</w:t>
      </w:r>
      <w:r w:rsidRPr="004F373E">
        <w:rPr>
          <w:szCs w:val="24"/>
        </w:rPr>
        <w:t>day period immediately preceding the date a binding investment agreement is executed.</w:t>
      </w:r>
    </w:p>
  </w:footnote>
  <w:footnote w:id="6">
    <w:p w14:paraId="47B3BB53" w14:textId="2654172C" w:rsidR="0061774F" w:rsidRDefault="0061774F">
      <w:pPr>
        <w:pStyle w:val="FootnoteText"/>
      </w:pPr>
      <w:r>
        <w:rPr>
          <w:rStyle w:val="FootnoteReference"/>
        </w:rPr>
        <w:footnoteRef/>
      </w:r>
      <w:r>
        <w:t xml:space="preserve"> </w:t>
      </w:r>
      <w:hyperlink r:id="rId2" w:history="1">
        <w:r w:rsidR="00182F11" w:rsidRPr="00182F11">
          <w:rPr>
            <w:rStyle w:val="Hyperlink"/>
          </w:rPr>
          <w:t>https://www.australiangovernmentbonds.gov.au/</w:t>
        </w:r>
      </w:hyperlink>
      <w:r>
        <w:t xml:space="preserve"> </w:t>
      </w:r>
    </w:p>
  </w:footnote>
  <w:footnote w:id="7">
    <w:p w14:paraId="5C48EBD3" w14:textId="56069725" w:rsidR="0061774F" w:rsidRDefault="0061774F">
      <w:pPr>
        <w:pStyle w:val="FootnoteText"/>
      </w:pPr>
      <w:r>
        <w:rPr>
          <w:rStyle w:val="FootnoteReference"/>
        </w:rPr>
        <w:footnoteRef/>
      </w:r>
      <w:r>
        <w:t xml:space="preserve"> </w:t>
      </w:r>
      <w:hyperlink r:id="rId3" w:history="1">
        <w:r w:rsidRPr="00EA3EDA">
          <w:rPr>
            <w:rStyle w:val="Hyperlink"/>
          </w:rPr>
          <w:t>https://www.aasb.gov.au/pronouncements/accounting-standards/</w:t>
        </w:r>
      </w:hyperlink>
      <w:r>
        <w:t xml:space="preserve"> </w:t>
      </w:r>
    </w:p>
  </w:footnote>
  <w:footnote w:id="8">
    <w:p w14:paraId="26319E0E" w14:textId="11F6F9A5" w:rsidR="0061774F" w:rsidRDefault="0061774F" w:rsidP="00426150">
      <w:pPr>
        <w:pStyle w:val="FootnoteText"/>
      </w:pPr>
      <w:r>
        <w:rPr>
          <w:rStyle w:val="FootnoteReference"/>
        </w:rPr>
        <w:footnoteRef/>
      </w:r>
      <w:r>
        <w:t xml:space="preserve"> Available at </w:t>
      </w:r>
      <w:r w:rsidRPr="00EE04D6">
        <w:t>https://www.finance.gov.au/sites/default/files/2020-02/RMG%20115-accounting-for-concessional-loans.pdf</w:t>
      </w:r>
    </w:p>
  </w:footnote>
  <w:footnote w:id="9">
    <w:p w14:paraId="21702E05" w14:textId="36853CFF" w:rsidR="00215751" w:rsidRDefault="00215751">
      <w:pPr>
        <w:pStyle w:val="FootnoteText"/>
      </w:pPr>
      <w:r>
        <w:rPr>
          <w:rStyle w:val="FootnoteReference"/>
        </w:rPr>
        <w:footnoteRef/>
      </w:r>
      <w:r>
        <w:t xml:space="preserve"> </w:t>
      </w:r>
      <w:hyperlink r:id="rId4" w:history="1">
        <w:r w:rsidRPr="00EA3EDA">
          <w:rPr>
            <w:rStyle w:val="Hyperlink"/>
          </w:rPr>
          <w:t>https://www.aasb.gov.au/pronouncements/accounting-standards/</w:t>
        </w:r>
      </w:hyperlink>
    </w:p>
  </w:footnote>
  <w:footnote w:id="10">
    <w:p w14:paraId="58893D0D" w14:textId="368CEC33" w:rsidR="0061774F" w:rsidRDefault="0061774F" w:rsidP="00426150">
      <w:pPr>
        <w:pStyle w:val="FootnoteText"/>
      </w:pPr>
      <w:r>
        <w:rPr>
          <w:rStyle w:val="FootnoteReference"/>
        </w:rPr>
        <w:footnoteRef/>
      </w:r>
      <w:r>
        <w:t xml:space="preserve"> As established by section 45 of the Act.</w:t>
      </w:r>
    </w:p>
  </w:footnote>
  <w:footnote w:id="11">
    <w:p w14:paraId="6C552D84" w14:textId="14DE9FCF" w:rsidR="00C975E8" w:rsidRDefault="00C975E8">
      <w:pPr>
        <w:pStyle w:val="FootnoteText"/>
      </w:pPr>
      <w:r>
        <w:rPr>
          <w:rStyle w:val="FootnoteReference"/>
        </w:rPr>
        <w:footnoteRef/>
      </w:r>
      <w:r>
        <w:t xml:space="preserve"> </w:t>
      </w:r>
      <w:hyperlink r:id="rId5" w:history="1">
        <w:r w:rsidR="00CE2BF9" w:rsidRPr="00AE4BE1">
          <w:rPr>
            <w:rStyle w:val="Hyperlink"/>
          </w:rPr>
          <w:t>https://www.energy.gov.au/government-priorities/australias-energy-strategies-and-frameworks/powering-australia</w:t>
        </w:r>
      </w:hyperlink>
      <w:r w:rsidR="00CE2BF9">
        <w:t xml:space="preserve"> </w:t>
      </w:r>
    </w:p>
  </w:footnote>
  <w:footnote w:id="12">
    <w:p w14:paraId="0363148B" w14:textId="1A19D21A" w:rsidR="0061774F" w:rsidRDefault="0061774F">
      <w:pPr>
        <w:pStyle w:val="FootnoteText"/>
      </w:pPr>
      <w:r>
        <w:rPr>
          <w:rStyle w:val="FootnoteReference"/>
        </w:rPr>
        <w:footnoteRef/>
      </w:r>
      <w:r>
        <w:t xml:space="preserve"> </w:t>
      </w:r>
      <w:hyperlink r:id="rId6" w:history="1">
        <w:r w:rsidRPr="00EA3EDA">
          <w:rPr>
            <w:rStyle w:val="Hyperlink"/>
          </w:rPr>
          <w:t>https://unfccc.int/NDCREG</w:t>
        </w:r>
      </w:hyperlink>
      <w:r>
        <w:t xml:space="preserve"> </w:t>
      </w:r>
    </w:p>
  </w:footnote>
  <w:footnote w:id="13">
    <w:p w14:paraId="1320E84B" w14:textId="46A7F5A5" w:rsidR="00A70758" w:rsidRDefault="00A70758">
      <w:pPr>
        <w:pStyle w:val="FootnoteText"/>
      </w:pPr>
      <w:r>
        <w:rPr>
          <w:rStyle w:val="FootnoteReference"/>
        </w:rPr>
        <w:footnoteRef/>
      </w:r>
      <w:r>
        <w:t xml:space="preserve"> </w:t>
      </w:r>
      <w:r w:rsidRPr="00A70758">
        <w:t>https://www.dcceew.gov.au/parks-heritage/great-barrier-reef/protecting/reef-2050-plan</w:t>
      </w:r>
    </w:p>
  </w:footnote>
  <w:footnote w:id="14">
    <w:p w14:paraId="5EFEFF59" w14:textId="339FD487" w:rsidR="00A70758" w:rsidRDefault="00A70758">
      <w:pPr>
        <w:pStyle w:val="FootnoteText"/>
      </w:pPr>
      <w:r>
        <w:rPr>
          <w:rStyle w:val="FootnoteReference"/>
        </w:rPr>
        <w:footnoteRef/>
      </w:r>
      <w:r>
        <w:t xml:space="preserve"> </w:t>
      </w:r>
      <w:r w:rsidRPr="00A70758">
        <w:t>https://www.dcceew.gov.au/environment/protection/waste/publications/national-waste-policy-action-plan</w:t>
      </w:r>
    </w:p>
  </w:footnote>
  <w:footnote w:id="15">
    <w:p w14:paraId="180E67B0" w14:textId="77777777" w:rsidR="00590159" w:rsidRDefault="00590159" w:rsidP="00590159">
      <w:pPr>
        <w:pStyle w:val="FootnoteText"/>
      </w:pPr>
      <w:r>
        <w:rPr>
          <w:rStyle w:val="FootnoteReference"/>
        </w:rPr>
        <w:footnoteRef/>
      </w:r>
      <w:r>
        <w:t xml:space="preserve"> </w:t>
      </w:r>
      <w:hyperlink r:id="rId7" w:history="1">
        <w:r w:rsidRPr="00EA3EDA">
          <w:rPr>
            <w:rStyle w:val="Hyperlink"/>
          </w:rPr>
          <w:t>https://aemo.com.au/energy-systems/major-publications/integrated-system-plan-isp/2022-integrated-system-plan-isp</w:t>
        </w:r>
      </w:hyperlink>
    </w:p>
  </w:footnote>
  <w:footnote w:id="16">
    <w:p w14:paraId="1A88C88E" w14:textId="779D2B1D" w:rsidR="002C0EDB" w:rsidRDefault="002C0EDB" w:rsidP="002C0EDB">
      <w:pPr>
        <w:pStyle w:val="FootnoteText"/>
      </w:pPr>
      <w:r>
        <w:rPr>
          <w:rStyle w:val="FootnoteReference"/>
        </w:rPr>
        <w:footnoteRef/>
      </w:r>
      <w:r>
        <w:t xml:space="preserve"> </w:t>
      </w:r>
      <w:hyperlink r:id="rId8" w:history="1">
        <w:r w:rsidRPr="00EA3EDA">
          <w:rPr>
            <w:rStyle w:val="Hyperlink"/>
          </w:rPr>
          <w:t>https://www.aemc.gov.au/regulation/neo</w:t>
        </w:r>
      </w:hyperlink>
    </w:p>
  </w:footnote>
  <w:footnote w:id="17">
    <w:p w14:paraId="46AFBC6E" w14:textId="18998D70" w:rsidR="0061774F" w:rsidRDefault="0061774F">
      <w:pPr>
        <w:pStyle w:val="FootnoteText"/>
      </w:pPr>
      <w:r>
        <w:rPr>
          <w:rStyle w:val="FootnoteReference"/>
        </w:rPr>
        <w:footnoteRef/>
      </w:r>
      <w:r>
        <w:t xml:space="preserve"> </w:t>
      </w:r>
      <w:hyperlink r:id="rId9" w:history="1">
        <w:r w:rsidRPr="00EA3EDA">
          <w:rPr>
            <w:rStyle w:val="Hyperlink"/>
          </w:rPr>
          <w:t>https://www.dcceew.gov.au/energy/publications/australias-national-hydrogen-strategy</w:t>
        </w:r>
      </w:hyperlink>
      <w:r>
        <w:t xml:space="preserve"> </w:t>
      </w:r>
    </w:p>
  </w:footnote>
  <w:footnote w:id="18">
    <w:p w14:paraId="6EDF57B7" w14:textId="59E9E005" w:rsidR="00215751" w:rsidRDefault="00215751">
      <w:pPr>
        <w:pStyle w:val="FootnoteText"/>
      </w:pPr>
      <w:r>
        <w:rPr>
          <w:rStyle w:val="FootnoteReference"/>
        </w:rPr>
        <w:footnoteRef/>
      </w:r>
      <w:r>
        <w:t xml:space="preserve"> </w:t>
      </w:r>
      <w:hyperlink r:id="rId10" w:history="1">
        <w:r w:rsidRPr="00EA3EDA">
          <w:rPr>
            <w:rStyle w:val="Hyperlink"/>
          </w:rPr>
          <w:t>https://www.aasb.gov.au/pronouncements/accounting-standards/</w:t>
        </w:r>
      </w:hyperlink>
    </w:p>
  </w:footnote>
  <w:footnote w:id="19">
    <w:p w14:paraId="1D04F78B" w14:textId="3D281560" w:rsidR="00215751" w:rsidRDefault="00215751" w:rsidP="00A84610">
      <w:pPr>
        <w:pStyle w:val="CommentText"/>
      </w:pPr>
      <w:r>
        <w:rPr>
          <w:rStyle w:val="FootnoteReference"/>
        </w:rPr>
        <w:footnoteRef/>
      </w:r>
      <w:r>
        <w:t xml:space="preserve"> </w:t>
      </w:r>
      <w:hyperlink r:id="rId11" w:history="1">
        <w:r w:rsidRPr="00EA3EDA">
          <w:rPr>
            <w:rStyle w:val="Hyperlink"/>
          </w:rPr>
          <w:t>https://www.dcceew.gov.au/parks-heritage/great-barrier-reef/long-term-sustainability-plan</w:t>
        </w:r>
      </w:hyperlink>
      <w:r>
        <w:t xml:space="preserve"> </w:t>
      </w:r>
    </w:p>
  </w:footnote>
  <w:footnote w:id="20">
    <w:p w14:paraId="38B4FF92" w14:textId="4E7D4845" w:rsidR="0061774F" w:rsidRDefault="0061774F" w:rsidP="00A84610">
      <w:pPr>
        <w:pStyle w:val="CommentText"/>
      </w:pPr>
      <w:r>
        <w:rPr>
          <w:rStyle w:val="FootnoteReference"/>
        </w:rPr>
        <w:footnoteRef/>
      </w:r>
      <w:r>
        <w:t xml:space="preserve"> </w:t>
      </w:r>
      <w:hyperlink r:id="rId12" w:history="1">
        <w:r w:rsidR="00215751" w:rsidRPr="00215751">
          <w:rPr>
            <w:rStyle w:val="Hyperlink"/>
          </w:rPr>
          <w:t>https://www.dcceew.gov.au/environment/protection/waste/publications/national-waste-policy-action-plan</w:t>
        </w:r>
      </w:hyperlink>
    </w:p>
  </w:footnote>
  <w:footnote w:id="21">
    <w:p w14:paraId="03E1BD5F" w14:textId="47B012B7" w:rsidR="00A70758" w:rsidRDefault="00A70758">
      <w:pPr>
        <w:pStyle w:val="FootnoteText"/>
      </w:pPr>
      <w:r>
        <w:rPr>
          <w:rStyle w:val="FootnoteReference"/>
        </w:rPr>
        <w:footnoteRef/>
      </w:r>
      <w:r>
        <w:t xml:space="preserve"> </w:t>
      </w:r>
      <w:r w:rsidRPr="00A70758">
        <w:t>https://www.dcceew.gov.au/environment/protection/waste/how-we-manage-waste/national-waste-policy</w:t>
      </w:r>
    </w:p>
  </w:footnote>
  <w:footnote w:id="22">
    <w:p w14:paraId="255451B9" w14:textId="77777777" w:rsidR="00F24C50" w:rsidRDefault="00F24C50" w:rsidP="00F24C50">
      <w:pPr>
        <w:pStyle w:val="FootnoteText"/>
      </w:pPr>
      <w:r>
        <w:rPr>
          <w:rStyle w:val="FootnoteReference"/>
        </w:rPr>
        <w:footnoteRef/>
      </w:r>
      <w:r>
        <w:t xml:space="preserve"> The </w:t>
      </w:r>
      <w:r w:rsidRPr="005B6A96">
        <w:rPr>
          <w:i/>
        </w:rPr>
        <w:t>Clean Energy Finance Corporation Investment Mandate Direction 20</w:t>
      </w:r>
      <w:r>
        <w:rPr>
          <w:i/>
        </w:rPr>
        <w:t>20</w:t>
      </w:r>
      <w:r>
        <w:t>.</w:t>
      </w:r>
    </w:p>
  </w:footnote>
  <w:footnote w:id="23">
    <w:p w14:paraId="4A8D244F" w14:textId="77777777" w:rsidR="00F24C50" w:rsidRDefault="00F24C50" w:rsidP="00F24C50">
      <w:pPr>
        <w:pStyle w:val="FootnoteText"/>
      </w:pPr>
      <w:r>
        <w:rPr>
          <w:rStyle w:val="FootnoteReference"/>
        </w:rPr>
        <w:footnoteRef/>
      </w:r>
      <w:r>
        <w:t xml:space="preserve"> 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w:t>
      </w:r>
      <w:r w:rsidRPr="003F5A5F">
        <w:rPr>
          <w:szCs w:val="24"/>
        </w:rPr>
        <w:t>x</w:t>
      </w:r>
      <w:r>
        <w:t>ercisable in the like manner and subject to the like conditions (if any) to repeal, rescind, revoke, amend, or vary any such instrument.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8174" w14:textId="1E7FED1B" w:rsidR="00C94E94" w:rsidRDefault="00D22F16">
    <w:pPr>
      <w:pStyle w:val="Header"/>
    </w:pPr>
    <w:r>
      <w:rPr>
        <w:noProof/>
      </w:rPr>
      <mc:AlternateContent>
        <mc:Choice Requires="wps">
          <w:drawing>
            <wp:anchor distT="0" distB="0" distL="114300" distR="114300" simplePos="0" relativeHeight="251689472" behindDoc="0" locked="1" layoutInCell="0" allowOverlap="1" wp14:anchorId="503F7838" wp14:editId="7ABB6603">
              <wp:simplePos x="0" y="0"/>
              <wp:positionH relativeFrom="margin">
                <wp:align>center</wp:align>
              </wp:positionH>
              <wp:positionV relativeFrom="topMargin">
                <wp:align>center</wp:align>
              </wp:positionV>
              <wp:extent cx="1612265" cy="27305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8EB40D" w14:textId="406F908E" w:rsidR="00D22F16" w:rsidRPr="00D22F16" w:rsidRDefault="00D22F16" w:rsidP="00D22F16">
                          <w:pPr>
                            <w:spacing w:before="0" w:after="0"/>
                            <w:jc w:val="center"/>
                            <w:rPr>
                              <w:rFonts w:ascii="Arial" w:hAnsi="Arial" w:cs="Arial"/>
                              <w:b/>
                              <w:color w:val="FF0000"/>
                            </w:rPr>
                          </w:pPr>
                          <w:r w:rsidRPr="00D22F16">
                            <w:rPr>
                              <w:rFonts w:ascii="Arial" w:hAnsi="Arial" w:cs="Arial"/>
                              <w:b/>
                              <w:color w:val="FF0000"/>
                            </w:rPr>
                            <w:fldChar w:fldCharType="begin"/>
                          </w:r>
                          <w:r w:rsidRPr="00D22F16">
                            <w:rPr>
                              <w:rFonts w:ascii="Arial" w:hAnsi="Arial" w:cs="Arial"/>
                              <w:b/>
                              <w:color w:val="FF0000"/>
                            </w:rPr>
                            <w:instrText xml:space="preserve"> DOCPROPERTY PM_ProtectiveMarkingValue_Header \* MERGEFORMAT </w:instrText>
                          </w:r>
                          <w:r w:rsidRPr="00D22F16">
                            <w:rPr>
                              <w:rFonts w:ascii="Arial" w:hAnsi="Arial" w:cs="Arial"/>
                              <w:b/>
                              <w:color w:val="FF0000"/>
                            </w:rPr>
                            <w:fldChar w:fldCharType="separate"/>
                          </w:r>
                          <w:proofErr w:type="spellStart"/>
                          <w:r w:rsidR="00490E25">
                            <w:rPr>
                              <w:rFonts w:ascii="Arial" w:hAnsi="Arial" w:cs="Arial"/>
                              <w:b/>
                              <w:color w:val="FF0000"/>
                            </w:rPr>
                            <w:t>OFFICIAL:Sensitive</w:t>
                          </w:r>
                          <w:proofErr w:type="spellEnd"/>
                          <w:r w:rsidRPr="00D22F16">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3F7838" id="_x0000_t202" coordsize="21600,21600" o:spt="202" path="m,l,21600r21600,l21600,xe">
              <v:stroke joinstyle="miter"/>
              <v:path gradientshapeok="t" o:connecttype="rect"/>
            </v:shapetype>
            <v:shape id="Text Box 68" o:spid="_x0000_s1026" type="#_x0000_t202" style="position:absolute;margin-left:0;margin-top:0;width:126.95pt;height:21.5pt;z-index:25168947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" o:allowincell="f" filled="f" stroked="f" strokeweight=".5pt">
              <v:textbox style="mso-fit-shape-to-text:t">
                <w:txbxContent>
                  <w:p w14:paraId="0F8EB40D" w14:textId="406F908E" w:rsidR="00D22F16" w:rsidRPr="00D22F16" w:rsidRDefault="00D22F16" w:rsidP="00D22F16">
                    <w:pPr>
                      <w:spacing w:before="0" w:after="0"/>
                      <w:jc w:val="center"/>
                      <w:rPr>
                        <w:rFonts w:ascii="Arial" w:hAnsi="Arial" w:cs="Arial"/>
                        <w:b/>
                        <w:color w:val="FF0000"/>
                      </w:rPr>
                    </w:pPr>
                    <w:r w:rsidRPr="00D22F16">
                      <w:rPr>
                        <w:rFonts w:ascii="Arial" w:hAnsi="Arial" w:cs="Arial"/>
                        <w:b/>
                        <w:color w:val="FF0000"/>
                      </w:rPr>
                      <w:fldChar w:fldCharType="begin"/>
                    </w:r>
                    <w:r w:rsidRPr="00D22F16">
                      <w:rPr>
                        <w:rFonts w:ascii="Arial" w:hAnsi="Arial" w:cs="Arial"/>
                        <w:b/>
                        <w:color w:val="FF0000"/>
                      </w:rPr>
                      <w:instrText xml:space="preserve"> DOCPROPERTY PM_ProtectiveMarkingValue_Header \* MERGEFORMAT </w:instrText>
                    </w:r>
                    <w:r w:rsidRPr="00D22F16">
                      <w:rPr>
                        <w:rFonts w:ascii="Arial" w:hAnsi="Arial" w:cs="Arial"/>
                        <w:b/>
                        <w:color w:val="FF0000"/>
                      </w:rPr>
                      <w:fldChar w:fldCharType="separate"/>
                    </w:r>
                    <w:proofErr w:type="spellStart"/>
                    <w:r w:rsidR="00490E25">
                      <w:rPr>
                        <w:rFonts w:ascii="Arial" w:hAnsi="Arial" w:cs="Arial"/>
                        <w:b/>
                        <w:color w:val="FF0000"/>
                      </w:rPr>
                      <w:t>OFFICIAL:Sensitive</w:t>
                    </w:r>
                    <w:proofErr w:type="spellEnd"/>
                    <w:r w:rsidRPr="00D22F16">
                      <w:rPr>
                        <w:rFonts w:ascii="Arial" w:hAnsi="Arial" w:cs="Arial"/>
                        <w:b/>
                        <w:color w:val="FF0000"/>
                      </w:rPr>
                      <w:fldChar w:fldCharType="end"/>
                    </w:r>
                  </w:p>
                </w:txbxContent>
              </v:textbox>
              <w10:wrap anchorx="margin" anchory="margin"/>
              <w10:anchorlock/>
            </v:shape>
          </w:pict>
        </mc:Fallback>
      </mc:AlternateContent>
    </w:r>
    <w:r w:rsidR="0029376B">
      <w:rPr>
        <w:noProof/>
      </w:rPr>
      <mc:AlternateContent>
        <mc:Choice Requires="wps">
          <w:drawing>
            <wp:anchor distT="0" distB="0" distL="114300" distR="114300" simplePos="1" relativeHeight="251684352" behindDoc="0" locked="0" layoutInCell="1" allowOverlap="1" wp14:anchorId="2CB7DB48" wp14:editId="2EAD7D8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3" name="Text Box 6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AD50524" w14:textId="77777777" w:rsidR="0029376B" w:rsidRDefault="00293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7DB48" id="Text Box 63" o:spid="_x0000_s1027" type="#_x0000_t202" style="position:absolute;margin-left:0;margin-top:0;width:110pt;height:36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0AD50524" w14:textId="77777777" w:rsidR="0029376B" w:rsidRDefault="0029376B"/>
                </w:txbxContent>
              </v:textbox>
              <w10:wrap type="through"/>
            </v:shape>
          </w:pict>
        </mc:Fallback>
      </mc:AlternateContent>
    </w:r>
    <w:r w:rsidR="001A5D78">
      <w:rPr>
        <w:noProof/>
      </w:rPr>
      <mc:AlternateContent>
        <mc:Choice Requires="wps">
          <w:drawing>
            <wp:anchor distT="0" distB="0" distL="114300" distR="114300" simplePos="0" relativeHeight="251678208" behindDoc="0" locked="1" layoutInCell="0" allowOverlap="1" wp14:anchorId="2EF36597" wp14:editId="34529DDA">
              <wp:simplePos x="0" y="0"/>
              <wp:positionH relativeFrom="margin">
                <wp:align>center</wp:align>
              </wp:positionH>
              <wp:positionV relativeFrom="topMargin">
                <wp:align>center</wp:align>
              </wp:positionV>
              <wp:extent cx="1612265" cy="27305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2EE63A" w14:textId="6EC60759" w:rsidR="001A5D78" w:rsidRPr="001A5D78" w:rsidRDefault="001A5D78" w:rsidP="001A5D78">
                          <w:pPr>
                            <w:spacing w:before="0" w:after="0"/>
                            <w:jc w:val="center"/>
                            <w:rPr>
                              <w:rFonts w:ascii="Arial" w:hAnsi="Arial" w:cs="Arial"/>
                              <w:b/>
                              <w:color w:val="FF0000"/>
                            </w:rPr>
                          </w:pPr>
                          <w:r w:rsidRPr="001A5D78">
                            <w:rPr>
                              <w:rFonts w:ascii="Arial" w:hAnsi="Arial" w:cs="Arial"/>
                              <w:b/>
                              <w:color w:val="FF0000"/>
                            </w:rPr>
                            <w:fldChar w:fldCharType="begin"/>
                          </w:r>
                          <w:r w:rsidRPr="001A5D78">
                            <w:rPr>
                              <w:rFonts w:ascii="Arial" w:hAnsi="Arial" w:cs="Arial"/>
                              <w:b/>
                              <w:color w:val="FF0000"/>
                            </w:rPr>
                            <w:instrText xml:space="preserve"> DOCPROPERTY PM_ProtectiveMarkingValue_Header \* MERGEFORMAT </w:instrText>
                          </w:r>
                          <w:r w:rsidRPr="001A5D78">
                            <w:rPr>
                              <w:rFonts w:ascii="Arial" w:hAnsi="Arial" w:cs="Arial"/>
                              <w:b/>
                              <w:color w:val="FF0000"/>
                            </w:rPr>
                            <w:fldChar w:fldCharType="separate"/>
                          </w:r>
                          <w:proofErr w:type="spellStart"/>
                          <w:r>
                            <w:rPr>
                              <w:rFonts w:ascii="Arial" w:hAnsi="Arial" w:cs="Arial"/>
                              <w:b/>
                              <w:color w:val="FF0000"/>
                            </w:rPr>
                            <w:t>OFFICIAL:Sensitive</w:t>
                          </w:r>
                          <w:proofErr w:type="spellEnd"/>
                          <w:r w:rsidRPr="001A5D78">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F36597" id="Text Box 57" o:spid="_x0000_s1028" type="#_x0000_t202" style="position:absolute;margin-left:0;margin-top:0;width:126.95pt;height:21.5pt;z-index:2516782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" o:allowincell="f" filled="f" stroked="f" strokeweight=".5pt">
              <v:textbox style="mso-fit-shape-to-text:t">
                <w:txbxContent>
                  <w:p w14:paraId="142EE63A" w14:textId="6EC60759" w:rsidR="001A5D78" w:rsidRPr="001A5D78" w:rsidRDefault="001A5D78" w:rsidP="001A5D78">
                    <w:pPr>
                      <w:spacing w:before="0" w:after="0"/>
                      <w:jc w:val="center"/>
                      <w:rPr>
                        <w:rFonts w:ascii="Arial" w:hAnsi="Arial" w:cs="Arial"/>
                        <w:b/>
                        <w:color w:val="FF0000"/>
                      </w:rPr>
                    </w:pPr>
                    <w:r w:rsidRPr="001A5D78">
                      <w:rPr>
                        <w:rFonts w:ascii="Arial" w:hAnsi="Arial" w:cs="Arial"/>
                        <w:b/>
                        <w:color w:val="FF0000"/>
                      </w:rPr>
                      <w:fldChar w:fldCharType="begin"/>
                    </w:r>
                    <w:r w:rsidRPr="001A5D78">
                      <w:rPr>
                        <w:rFonts w:ascii="Arial" w:hAnsi="Arial" w:cs="Arial"/>
                        <w:b/>
                        <w:color w:val="FF0000"/>
                      </w:rPr>
                      <w:instrText xml:space="preserve"> DOCPROPERTY PM_ProtectiveMarkingValue_Header \* MERGEFORMAT </w:instrText>
                    </w:r>
                    <w:r w:rsidRPr="001A5D78">
                      <w:rPr>
                        <w:rFonts w:ascii="Arial" w:hAnsi="Arial" w:cs="Arial"/>
                        <w:b/>
                        <w:color w:val="FF0000"/>
                      </w:rPr>
                      <w:fldChar w:fldCharType="separate"/>
                    </w:r>
                    <w:proofErr w:type="spellStart"/>
                    <w:r>
                      <w:rPr>
                        <w:rFonts w:ascii="Arial" w:hAnsi="Arial" w:cs="Arial"/>
                        <w:b/>
                        <w:color w:val="FF0000"/>
                      </w:rPr>
                      <w:t>OFFICIAL:Sensitive</w:t>
                    </w:r>
                    <w:proofErr w:type="spellEnd"/>
                    <w:r w:rsidRPr="001A5D78">
                      <w:rPr>
                        <w:rFonts w:ascii="Arial" w:hAnsi="Arial" w:cs="Arial"/>
                        <w:b/>
                        <w:color w:val="FF0000"/>
                      </w:rPr>
                      <w:fldChar w:fldCharType="end"/>
                    </w:r>
                  </w:p>
                </w:txbxContent>
              </v:textbox>
              <w10:wrap anchorx="margin" anchory="margin"/>
              <w10:anchorlock/>
            </v:shape>
          </w:pict>
        </mc:Fallback>
      </mc:AlternateContent>
    </w:r>
    <w:r w:rsidR="00340DA0">
      <w:rPr>
        <w:noProof/>
      </w:rPr>
      <mc:AlternateContent>
        <mc:Choice Requires="wps">
          <w:drawing>
            <wp:anchor distT="0" distB="0" distL="114300" distR="114300" simplePos="0" relativeHeight="251672064" behindDoc="0" locked="1" layoutInCell="0" allowOverlap="1" wp14:anchorId="7E8FA246" wp14:editId="6D5882D5">
              <wp:simplePos x="0" y="0"/>
              <wp:positionH relativeFrom="margin">
                <wp:align>center</wp:align>
              </wp:positionH>
              <wp:positionV relativeFrom="topMargin">
                <wp:align>center</wp:align>
              </wp:positionV>
              <wp:extent cx="1612265" cy="2730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78C1A" w14:textId="52509F05" w:rsidR="00340DA0" w:rsidRPr="00340DA0" w:rsidRDefault="00340DA0" w:rsidP="00340DA0">
                          <w:pPr>
                            <w:spacing w:before="0" w:after="0"/>
                            <w:jc w:val="center"/>
                            <w:rPr>
                              <w:rFonts w:ascii="Arial" w:hAnsi="Arial" w:cs="Arial"/>
                              <w:b/>
                              <w:color w:val="FF0000"/>
                            </w:rPr>
                          </w:pPr>
                          <w:r w:rsidRPr="00340DA0">
                            <w:rPr>
                              <w:rFonts w:ascii="Arial" w:hAnsi="Arial" w:cs="Arial"/>
                              <w:b/>
                              <w:color w:val="FF0000"/>
                            </w:rPr>
                            <w:fldChar w:fldCharType="begin"/>
                          </w:r>
                          <w:r w:rsidRPr="00340DA0">
                            <w:rPr>
                              <w:rFonts w:ascii="Arial" w:hAnsi="Arial" w:cs="Arial"/>
                              <w:b/>
                              <w:color w:val="FF0000"/>
                            </w:rPr>
                            <w:instrText xml:space="preserve"> DOCPROPERTY PM_ProtectiveMarkingValue_Header \* MERGEFORMAT </w:instrText>
                          </w:r>
                          <w:r w:rsidRPr="00340DA0">
                            <w:rPr>
                              <w:rFonts w:ascii="Arial" w:hAnsi="Arial" w:cs="Arial"/>
                              <w:b/>
                              <w:color w:val="FF0000"/>
                            </w:rPr>
                            <w:fldChar w:fldCharType="separate"/>
                          </w:r>
                          <w:proofErr w:type="spellStart"/>
                          <w:r>
                            <w:rPr>
                              <w:rFonts w:ascii="Arial" w:hAnsi="Arial" w:cs="Arial"/>
                              <w:b/>
                              <w:color w:val="FF0000"/>
                            </w:rPr>
                            <w:t>OFFICIAL:Sensitive</w:t>
                          </w:r>
                          <w:proofErr w:type="spellEnd"/>
                          <w:r w:rsidRPr="00340DA0">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8FA246" id="Text Box 51" o:spid="_x0000_s1029" type="#_x0000_t202" style="position:absolute;margin-left:0;margin-top:0;width:126.95pt;height:21.5pt;z-index:2516720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kGAIAADE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JR2f99hCdcT1HJyY95avGpxhzXx4&#10;YQ6pxo1QvuEZD6kAe0FvUVKD+/m3/zEeGUAvJS1Kp6QGtU2J+m6QmS+jySQqLV0m07scL+7Ws731&#10;mL1+ANTmCJ+J5cmM8UGdTelAv6HGl7Enupjh2Lmk4Ww+hJOc8Y1wsVymINSWZWFtNpbH0hG5iO9r&#10;98ac7UkISN8TnCXGindcnGJjprfLfUBGElER5ROmPfioy8Rf/4ai8G/vKer60he/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Chb+bkGAIAADEEAAAOAAAAAAAAAAAAAAAAAC4CAABkcnMvZTJvRG9jLnhtbFBLAQItABQABgAI&#10;AAAAIQC9fPS/3AAAAAQBAAAPAAAAAAAAAAAAAAAAAHIEAABkcnMvZG93bnJldi54bWxQSwUGAAAA&#10;AAQABADzAAAAewUAAAAA&#10;" o:allowincell="f" filled="f" stroked="f" strokeweight=".5pt">
              <v:textbox style="mso-fit-shape-to-text:t">
                <w:txbxContent>
                  <w:p w14:paraId="70E78C1A" w14:textId="52509F05" w:rsidR="00340DA0" w:rsidRPr="00340DA0" w:rsidRDefault="00340DA0" w:rsidP="00340DA0">
                    <w:pPr>
                      <w:spacing w:before="0" w:after="0"/>
                      <w:jc w:val="center"/>
                      <w:rPr>
                        <w:rFonts w:ascii="Arial" w:hAnsi="Arial" w:cs="Arial"/>
                        <w:b/>
                        <w:color w:val="FF0000"/>
                      </w:rPr>
                    </w:pPr>
                    <w:r w:rsidRPr="00340DA0">
                      <w:rPr>
                        <w:rFonts w:ascii="Arial" w:hAnsi="Arial" w:cs="Arial"/>
                        <w:b/>
                        <w:color w:val="FF0000"/>
                      </w:rPr>
                      <w:fldChar w:fldCharType="begin"/>
                    </w:r>
                    <w:r w:rsidRPr="00340DA0">
                      <w:rPr>
                        <w:rFonts w:ascii="Arial" w:hAnsi="Arial" w:cs="Arial"/>
                        <w:b/>
                        <w:color w:val="FF0000"/>
                      </w:rPr>
                      <w:instrText xml:space="preserve"> DOCPROPERTY PM_ProtectiveMarkingValue_Header \* MERGEFORMAT </w:instrText>
                    </w:r>
                    <w:r w:rsidRPr="00340DA0">
                      <w:rPr>
                        <w:rFonts w:ascii="Arial" w:hAnsi="Arial" w:cs="Arial"/>
                        <w:b/>
                        <w:color w:val="FF0000"/>
                      </w:rPr>
                      <w:fldChar w:fldCharType="separate"/>
                    </w:r>
                    <w:proofErr w:type="spellStart"/>
                    <w:r>
                      <w:rPr>
                        <w:rFonts w:ascii="Arial" w:hAnsi="Arial" w:cs="Arial"/>
                        <w:b/>
                        <w:color w:val="FF0000"/>
                      </w:rPr>
                      <w:t>OFFICIAL:Sensitive</w:t>
                    </w:r>
                    <w:proofErr w:type="spellEnd"/>
                    <w:r w:rsidRPr="00340DA0">
                      <w:rPr>
                        <w:rFonts w:ascii="Arial" w:hAnsi="Arial" w:cs="Arial"/>
                        <w:b/>
                        <w:color w:val="FF0000"/>
                      </w:rPr>
                      <w:fldChar w:fldCharType="end"/>
                    </w:r>
                  </w:p>
                </w:txbxContent>
              </v:textbox>
              <w10:wrap anchorx="margin" anchory="margin"/>
              <w10:anchorlock/>
            </v:shape>
          </w:pict>
        </mc:Fallback>
      </mc:AlternateContent>
    </w:r>
    <w:r w:rsidR="00F8242F">
      <w:rPr>
        <w:noProof/>
      </w:rPr>
      <mc:AlternateContent>
        <mc:Choice Requires="wps">
          <w:drawing>
            <wp:anchor distT="0" distB="0" distL="114300" distR="114300" simplePos="1" relativeHeight="251665920" behindDoc="0" locked="0" layoutInCell="1" allowOverlap="1" wp14:anchorId="271BA35D" wp14:editId="13A3E10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5" name="Text Box 4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9D6015" w14:textId="77777777" w:rsidR="00F8242F" w:rsidRDefault="00F82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BA35D" id="Text Box 45" o:spid="_x0000_s1030" type="#_x0000_t202" style="position:absolute;margin-left:0;margin-top:0;width:110pt;height:36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5A9D6015" w14:textId="77777777" w:rsidR="00F8242F" w:rsidRDefault="00F8242F"/>
                </w:txbxContent>
              </v:textbox>
              <w10:wrap type="through"/>
            </v:shape>
          </w:pict>
        </mc:Fallback>
      </mc:AlternateContent>
    </w:r>
    <w:r w:rsidR="00CB30F1">
      <w:rPr>
        <w:noProof/>
      </w:rPr>
      <mc:AlternateContent>
        <mc:Choice Requires="wps">
          <w:drawing>
            <wp:anchor distT="0" distB="0" distL="114300" distR="114300" simplePos="0" relativeHeight="251659776" behindDoc="0" locked="1" layoutInCell="0" allowOverlap="1" wp14:anchorId="6D5F847A" wp14:editId="2F5A2C68">
              <wp:simplePos x="0" y="0"/>
              <wp:positionH relativeFrom="margin">
                <wp:align>center</wp:align>
              </wp:positionH>
              <wp:positionV relativeFrom="topMargin">
                <wp:align>center</wp:align>
              </wp:positionV>
              <wp:extent cx="1612265" cy="2730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27044" w14:textId="3F921793" w:rsidR="00CB30F1" w:rsidRPr="00CB30F1" w:rsidRDefault="00CB30F1" w:rsidP="00CB30F1">
                          <w:pPr>
                            <w:spacing w:before="0" w:after="0"/>
                            <w:jc w:val="center"/>
                            <w:rPr>
                              <w:rFonts w:ascii="Arial" w:hAnsi="Arial" w:cs="Arial"/>
                              <w:b/>
                              <w:color w:val="FF0000"/>
                            </w:rPr>
                          </w:pPr>
                          <w:r w:rsidRPr="00CB30F1">
                            <w:rPr>
                              <w:rFonts w:ascii="Arial" w:hAnsi="Arial" w:cs="Arial"/>
                              <w:b/>
                              <w:color w:val="FF0000"/>
                            </w:rPr>
                            <w:fldChar w:fldCharType="begin"/>
                          </w:r>
                          <w:r w:rsidRPr="00CB30F1">
                            <w:rPr>
                              <w:rFonts w:ascii="Arial" w:hAnsi="Arial" w:cs="Arial"/>
                              <w:b/>
                              <w:color w:val="FF0000"/>
                            </w:rPr>
                            <w:instrText xml:space="preserve"> DOCPROPERTY PM_ProtectiveMarkingValue_Header \* MERGEFORMAT </w:instrText>
                          </w:r>
                          <w:r w:rsidRPr="00CB30F1">
                            <w:rPr>
                              <w:rFonts w:ascii="Arial" w:hAnsi="Arial" w:cs="Arial"/>
                              <w:b/>
                              <w:color w:val="FF0000"/>
                            </w:rPr>
                            <w:fldChar w:fldCharType="separate"/>
                          </w:r>
                          <w:proofErr w:type="spellStart"/>
                          <w:r>
                            <w:rPr>
                              <w:rFonts w:ascii="Arial" w:hAnsi="Arial" w:cs="Arial"/>
                              <w:b/>
                              <w:color w:val="FF0000"/>
                            </w:rPr>
                            <w:t>OFFICIAL:Sensitive</w:t>
                          </w:r>
                          <w:proofErr w:type="spellEnd"/>
                          <w:r w:rsidRPr="00CB30F1">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5F847A" id="Text Box 39" o:spid="_x0000_s1031" type="#_x0000_t202" style="position:absolute;margin-left:0;margin-top:0;width:126.95pt;height:21.5pt;z-index:25165977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UYGAIAADE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q5JPTHmuo9rSehwPzwcllQzM8ioAv&#10;whPVtBHJF5/p0AaoFxwtzmrwP//2P8YTA+TlrCPplNyStjkz3y0x82U0Hkelpct4cpvTxV971tce&#10;u23vgbQ5omfiZDJjPJqTqT20b6TxRexJLmEldS45nsx7PMiZ3ohUi0UKIm05gY925WQsHZGL+L72&#10;b8K7IwlI9D3BSWKieMfFITZmBrfYIjGSiIooHzA9gk+6TPwd31AU/vU9RV1e+vwX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CrvVUYGAIAADEEAAAOAAAAAAAAAAAAAAAAAC4CAABkcnMvZTJvRG9jLnhtbFBLAQItABQABgAI&#10;AAAAIQC9fPS/3AAAAAQBAAAPAAAAAAAAAAAAAAAAAHIEAABkcnMvZG93bnJldi54bWxQSwUGAAAA&#10;AAQABADzAAAAewUAAAAA&#10;" o:allowincell="f" filled="f" stroked="f" strokeweight=".5pt">
              <v:textbox style="mso-fit-shape-to-text:t">
                <w:txbxContent>
                  <w:p w14:paraId="45027044" w14:textId="3F921793" w:rsidR="00CB30F1" w:rsidRPr="00CB30F1" w:rsidRDefault="00CB30F1" w:rsidP="00CB30F1">
                    <w:pPr>
                      <w:spacing w:before="0" w:after="0"/>
                      <w:jc w:val="center"/>
                      <w:rPr>
                        <w:rFonts w:ascii="Arial" w:hAnsi="Arial" w:cs="Arial"/>
                        <w:b/>
                        <w:color w:val="FF0000"/>
                      </w:rPr>
                    </w:pPr>
                    <w:r w:rsidRPr="00CB30F1">
                      <w:rPr>
                        <w:rFonts w:ascii="Arial" w:hAnsi="Arial" w:cs="Arial"/>
                        <w:b/>
                        <w:color w:val="FF0000"/>
                      </w:rPr>
                      <w:fldChar w:fldCharType="begin"/>
                    </w:r>
                    <w:r w:rsidRPr="00CB30F1">
                      <w:rPr>
                        <w:rFonts w:ascii="Arial" w:hAnsi="Arial" w:cs="Arial"/>
                        <w:b/>
                        <w:color w:val="FF0000"/>
                      </w:rPr>
                      <w:instrText xml:space="preserve"> DOCPROPERTY PM_ProtectiveMarkingValue_Header \* MERGEFORMAT </w:instrText>
                    </w:r>
                    <w:r w:rsidRPr="00CB30F1">
                      <w:rPr>
                        <w:rFonts w:ascii="Arial" w:hAnsi="Arial" w:cs="Arial"/>
                        <w:b/>
                        <w:color w:val="FF0000"/>
                      </w:rPr>
                      <w:fldChar w:fldCharType="separate"/>
                    </w:r>
                    <w:proofErr w:type="spellStart"/>
                    <w:r>
                      <w:rPr>
                        <w:rFonts w:ascii="Arial" w:hAnsi="Arial" w:cs="Arial"/>
                        <w:b/>
                        <w:color w:val="FF0000"/>
                      </w:rPr>
                      <w:t>OFFICIAL:Sensitive</w:t>
                    </w:r>
                    <w:proofErr w:type="spellEnd"/>
                    <w:r w:rsidRPr="00CB30F1">
                      <w:rPr>
                        <w:rFonts w:ascii="Arial" w:hAnsi="Arial" w:cs="Arial"/>
                        <w:b/>
                        <w:color w:val="FF0000"/>
                      </w:rPr>
                      <w:fldChar w:fldCharType="end"/>
                    </w:r>
                  </w:p>
                </w:txbxContent>
              </v:textbox>
              <w10:wrap anchorx="margin" anchory="margin"/>
              <w10:anchorlock/>
            </v:shape>
          </w:pict>
        </mc:Fallback>
      </mc:AlternateContent>
    </w:r>
    <w:r w:rsidR="0013341E">
      <w:rPr>
        <w:noProof/>
      </w:rPr>
      <mc:AlternateContent>
        <mc:Choice Requires="wps">
          <w:drawing>
            <wp:anchor distT="0" distB="0" distL="114300" distR="114300" simplePos="1" relativeHeight="251653632" behindDoc="0" locked="0" layoutInCell="1" allowOverlap="1" wp14:anchorId="1CD72206" wp14:editId="774D1B2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B7EC8F5" w14:textId="77777777" w:rsidR="0013341E" w:rsidRDefault="00133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72206" id="Text Box 33" o:spid="_x0000_s1032" type="#_x0000_t202" style="position:absolute;margin-left:0;margin-top:0;width:110pt;height:3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7B7EC8F5" w14:textId="77777777" w:rsidR="0013341E" w:rsidRDefault="0013341E"/>
                </w:txbxContent>
              </v:textbox>
              <w10:wrap type="through"/>
            </v:shape>
          </w:pict>
        </mc:Fallback>
      </mc:AlternateContent>
    </w:r>
    <w:r w:rsidR="0013341E">
      <w:rPr>
        <w:noProof/>
      </w:rPr>
      <mc:AlternateContent>
        <mc:Choice Requires="wps">
          <w:drawing>
            <wp:anchor distT="0" distB="0" distL="114300" distR="114300" simplePos="1" relativeHeight="251647488" behindDoc="0" locked="0" layoutInCell="1" allowOverlap="1" wp14:anchorId="32E66FEB" wp14:editId="6F808D5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5C547E2" w14:textId="77777777" w:rsidR="0013341E" w:rsidRDefault="00133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E66FEB" id="Text Box 27" o:spid="_x0000_s1033" type="#_x0000_t202" style="position:absolute;margin-left:0;margin-top:0;width:110pt;height:36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filled="f" strokeweight=".5pt">
              <v:textbox>
                <w:txbxContent>
                  <w:p w14:paraId="75C547E2" w14:textId="77777777" w:rsidR="0013341E" w:rsidRDefault="0013341E"/>
                </w:txbxContent>
              </v:textbox>
              <w10:wrap type="through"/>
            </v:shape>
          </w:pict>
        </mc:Fallback>
      </mc:AlternateContent>
    </w:r>
    <w:r w:rsidR="00F724BC">
      <w:rPr>
        <w:noProof/>
      </w:rPr>
      <mc:AlternateContent>
        <mc:Choice Requires="wps">
          <w:drawing>
            <wp:anchor distT="0" distB="0" distL="114300" distR="114300" simplePos="1" relativeHeight="251641344" behindDoc="0" locked="0" layoutInCell="1" allowOverlap="1" wp14:anchorId="4D11DF80" wp14:editId="20E4449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E5516CA" w14:textId="77777777" w:rsidR="00F724BC" w:rsidRDefault="00F724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11DF80" id="Text Box 21" o:spid="_x0000_s1034" type="#_x0000_t202" style="position:absolute;margin-left:0;margin-top:0;width:110pt;height:36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1E5516CA" w14:textId="77777777" w:rsidR="00F724BC" w:rsidRDefault="00F724BC"/>
                </w:txbxContent>
              </v:textbox>
              <w10:wrap type="through"/>
            </v:shape>
          </w:pict>
        </mc:Fallback>
      </mc:AlternateContent>
    </w:r>
    <w:r w:rsidR="0008175E">
      <w:rPr>
        <w:noProof/>
      </w:rPr>
      <mc:AlternateContent>
        <mc:Choice Requires="wps">
          <w:drawing>
            <wp:anchor distT="0" distB="0" distL="114300" distR="114300" simplePos="0" relativeHeight="251635200" behindDoc="0" locked="1" layoutInCell="0" allowOverlap="1" wp14:anchorId="32F33ABF" wp14:editId="3233C815">
              <wp:simplePos x="0" y="0"/>
              <wp:positionH relativeFrom="margin">
                <wp:align>center</wp:align>
              </wp:positionH>
              <wp:positionV relativeFrom="topMargin">
                <wp:align>center</wp:align>
              </wp:positionV>
              <wp:extent cx="1612265" cy="273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C0F665" w14:textId="09957853" w:rsidR="0008175E" w:rsidRPr="0008175E" w:rsidRDefault="0008175E" w:rsidP="0008175E">
                          <w:pPr>
                            <w:spacing w:before="0" w:after="0"/>
                            <w:jc w:val="center"/>
                            <w:rPr>
                              <w:rFonts w:ascii="Arial" w:hAnsi="Arial" w:cs="Arial"/>
                              <w:b/>
                              <w:color w:val="FF0000"/>
                            </w:rPr>
                          </w:pPr>
                          <w:r w:rsidRPr="0008175E">
                            <w:rPr>
                              <w:rFonts w:ascii="Arial" w:hAnsi="Arial" w:cs="Arial"/>
                              <w:b/>
                              <w:color w:val="FF0000"/>
                            </w:rPr>
                            <w:fldChar w:fldCharType="begin"/>
                          </w:r>
                          <w:r w:rsidRPr="0008175E">
                            <w:rPr>
                              <w:rFonts w:ascii="Arial" w:hAnsi="Arial" w:cs="Arial"/>
                              <w:b/>
                              <w:color w:val="FF0000"/>
                            </w:rPr>
                            <w:instrText xml:space="preserve"> DOCPROPERTY PM_ProtectiveMarkingValue_Header \* MERGEFORMAT </w:instrText>
                          </w:r>
                          <w:r w:rsidRPr="0008175E">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08175E">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F33ABF" id="Text Box 15" o:spid="_x0000_s1035" type="#_x0000_t202" style="position:absolute;margin-left:0;margin-top:0;width:126.95pt;height:21.5pt;z-index:2516352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D+H0M6GAIAADEEAAAOAAAAAAAAAAAAAAAAAC4CAABkcnMvZTJvRG9jLnhtbFBLAQItABQABgAI&#10;AAAAIQC9fPS/3AAAAAQBAAAPAAAAAAAAAAAAAAAAAHIEAABkcnMvZG93bnJldi54bWxQSwUGAAAA&#10;AAQABADzAAAAewUAAAAA&#10;" o:allowincell="f" filled="f" stroked="f" strokeweight=".5pt">
              <v:textbox style="mso-fit-shape-to-text:t">
                <w:txbxContent>
                  <w:p w14:paraId="4DC0F665" w14:textId="09957853" w:rsidR="0008175E" w:rsidRPr="0008175E" w:rsidRDefault="0008175E" w:rsidP="0008175E">
                    <w:pPr>
                      <w:spacing w:before="0" w:after="0"/>
                      <w:jc w:val="center"/>
                      <w:rPr>
                        <w:rFonts w:ascii="Arial" w:hAnsi="Arial" w:cs="Arial"/>
                        <w:b/>
                        <w:color w:val="FF0000"/>
                      </w:rPr>
                    </w:pPr>
                    <w:r w:rsidRPr="0008175E">
                      <w:rPr>
                        <w:rFonts w:ascii="Arial" w:hAnsi="Arial" w:cs="Arial"/>
                        <w:b/>
                        <w:color w:val="FF0000"/>
                      </w:rPr>
                      <w:fldChar w:fldCharType="begin"/>
                    </w:r>
                    <w:r w:rsidRPr="0008175E">
                      <w:rPr>
                        <w:rFonts w:ascii="Arial" w:hAnsi="Arial" w:cs="Arial"/>
                        <w:b/>
                        <w:color w:val="FF0000"/>
                      </w:rPr>
                      <w:instrText xml:space="preserve"> DOCPROPERTY PM_ProtectiveMarkingValue_Header \* MERGEFORMAT </w:instrText>
                    </w:r>
                    <w:r w:rsidRPr="0008175E">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08175E">
                      <w:rPr>
                        <w:rFonts w:ascii="Arial" w:hAnsi="Arial" w:cs="Arial"/>
                        <w:b/>
                        <w:color w:val="FF0000"/>
                      </w:rPr>
                      <w:fldChar w:fldCharType="end"/>
                    </w:r>
                  </w:p>
                </w:txbxContent>
              </v:textbox>
              <w10:wrap anchorx="margin" anchory="margin"/>
              <w10:anchorlock/>
            </v:shape>
          </w:pict>
        </mc:Fallback>
      </mc:AlternateContent>
    </w:r>
    <w:r w:rsidR="00D04915">
      <w:rPr>
        <w:noProof/>
      </w:rPr>
      <mc:AlternateContent>
        <mc:Choice Requires="wps">
          <w:drawing>
            <wp:anchor distT="0" distB="0" distL="114300" distR="114300" simplePos="0" relativeHeight="251629056" behindDoc="0" locked="1" layoutInCell="0" allowOverlap="1" wp14:anchorId="4D30A95B" wp14:editId="52995A49">
              <wp:simplePos x="0" y="0"/>
              <wp:positionH relativeFrom="margin">
                <wp:align>center</wp:align>
              </wp:positionH>
              <wp:positionV relativeFrom="topMargin">
                <wp:align>center</wp:align>
              </wp:positionV>
              <wp:extent cx="1612265"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A47D21" w14:textId="797797DE" w:rsidR="00D04915" w:rsidRPr="00D04915" w:rsidRDefault="00D04915" w:rsidP="00D04915">
                          <w:pPr>
                            <w:spacing w:before="0" w:after="0"/>
                            <w:jc w:val="center"/>
                            <w:rPr>
                              <w:rFonts w:ascii="Arial" w:hAnsi="Arial" w:cs="Arial"/>
                              <w:b/>
                              <w:color w:val="FF0000"/>
                            </w:rPr>
                          </w:pPr>
                          <w:r w:rsidRPr="00D04915">
                            <w:rPr>
                              <w:rFonts w:ascii="Arial" w:hAnsi="Arial" w:cs="Arial"/>
                              <w:b/>
                              <w:color w:val="FF0000"/>
                            </w:rPr>
                            <w:fldChar w:fldCharType="begin"/>
                          </w:r>
                          <w:r w:rsidRPr="00D04915">
                            <w:rPr>
                              <w:rFonts w:ascii="Arial" w:hAnsi="Arial" w:cs="Arial"/>
                              <w:b/>
                              <w:color w:val="FF0000"/>
                            </w:rPr>
                            <w:instrText xml:space="preserve"> DOCPROPERTY PM_ProtectiveMarkingValue_Header \* MERGEFORMAT </w:instrText>
                          </w:r>
                          <w:r w:rsidRPr="00D04915">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D04915">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30A95B" id="Text Box 9" o:spid="_x0000_s1036" type="#_x0000_t202" style="position:absolute;margin-left:0;margin-top:0;width:126.95pt;height:21.5pt;z-index:2516290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USq3jGAIAADIEAAAOAAAAAAAAAAAAAAAAAC4CAABkcnMvZTJvRG9jLnhtbFBLAQItABQABgAI&#10;AAAAIQC9fPS/3AAAAAQBAAAPAAAAAAAAAAAAAAAAAHIEAABkcnMvZG93bnJldi54bWxQSwUGAAAA&#10;AAQABADzAAAAewUAAAAA&#10;" o:allowincell="f" filled="f" stroked="f" strokeweight=".5pt">
              <v:textbox style="mso-fit-shape-to-text:t">
                <w:txbxContent>
                  <w:p w14:paraId="63A47D21" w14:textId="797797DE" w:rsidR="00D04915" w:rsidRPr="00D04915" w:rsidRDefault="00D04915" w:rsidP="00D04915">
                    <w:pPr>
                      <w:spacing w:before="0" w:after="0"/>
                      <w:jc w:val="center"/>
                      <w:rPr>
                        <w:rFonts w:ascii="Arial" w:hAnsi="Arial" w:cs="Arial"/>
                        <w:b/>
                        <w:color w:val="FF0000"/>
                      </w:rPr>
                    </w:pPr>
                    <w:r w:rsidRPr="00D04915">
                      <w:rPr>
                        <w:rFonts w:ascii="Arial" w:hAnsi="Arial" w:cs="Arial"/>
                        <w:b/>
                        <w:color w:val="FF0000"/>
                      </w:rPr>
                      <w:fldChar w:fldCharType="begin"/>
                    </w:r>
                    <w:r w:rsidRPr="00D04915">
                      <w:rPr>
                        <w:rFonts w:ascii="Arial" w:hAnsi="Arial" w:cs="Arial"/>
                        <w:b/>
                        <w:color w:val="FF0000"/>
                      </w:rPr>
                      <w:instrText xml:space="preserve"> DOCPROPERTY PM_ProtectiveMarkingValue_Header \* MERGEFORMAT </w:instrText>
                    </w:r>
                    <w:r w:rsidRPr="00D04915">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D04915">
                      <w:rPr>
                        <w:rFonts w:ascii="Arial" w:hAnsi="Arial" w:cs="Arial"/>
                        <w:b/>
                        <w:color w:val="FF0000"/>
                      </w:rPr>
                      <w:fldChar w:fldCharType="end"/>
                    </w:r>
                  </w:p>
                </w:txbxContent>
              </v:textbox>
              <w10:wrap anchorx="margin" anchory="margin"/>
              <w10:anchorlock/>
            </v:shape>
          </w:pict>
        </mc:Fallback>
      </mc:AlternateContent>
    </w:r>
    <w:r w:rsidR="00C94E94">
      <w:rPr>
        <w:noProof/>
      </w:rPr>
      <mc:AlternateContent>
        <mc:Choice Requires="wps">
          <w:drawing>
            <wp:anchor distT="0" distB="0" distL="114300" distR="114300" simplePos="0" relativeHeight="251622912" behindDoc="0" locked="1" layoutInCell="0" allowOverlap="1" wp14:anchorId="73517B60" wp14:editId="62364F35">
              <wp:simplePos x="0" y="0"/>
              <wp:positionH relativeFrom="margin">
                <wp:align>center</wp:align>
              </wp:positionH>
              <wp:positionV relativeFrom="topMargin">
                <wp:align>center</wp:align>
              </wp:positionV>
              <wp:extent cx="1612265" cy="273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D0BAC" w14:textId="2382A418" w:rsidR="00C94E94" w:rsidRPr="00C94E94" w:rsidRDefault="00C94E94" w:rsidP="00C94E94">
                          <w:pPr>
                            <w:spacing w:before="0" w:after="0"/>
                            <w:jc w:val="center"/>
                            <w:rPr>
                              <w:rFonts w:ascii="Arial" w:hAnsi="Arial" w:cs="Arial"/>
                              <w:b/>
                              <w:color w:val="FF0000"/>
                            </w:rPr>
                          </w:pPr>
                          <w:r w:rsidRPr="00C94E94">
                            <w:rPr>
                              <w:rFonts w:ascii="Arial" w:hAnsi="Arial" w:cs="Arial"/>
                              <w:b/>
                              <w:color w:val="FF0000"/>
                            </w:rPr>
                            <w:fldChar w:fldCharType="begin"/>
                          </w:r>
                          <w:r w:rsidRPr="00C94E94">
                            <w:rPr>
                              <w:rFonts w:ascii="Arial" w:hAnsi="Arial" w:cs="Arial"/>
                              <w:b/>
                              <w:color w:val="FF0000"/>
                            </w:rPr>
                            <w:instrText xml:space="preserve"> DOCPROPERTY PM_ProtectiveMarkingValue_Header \* MERGEFORMAT </w:instrText>
                          </w:r>
                          <w:r w:rsidRPr="00C94E94">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C94E94">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517B60" id="Text Box 3" o:spid="_x0000_s1037" type="#_x0000_t202" style="position:absolute;margin-left:0;margin-top:0;width:126.95pt;height:21.5pt;z-index:2516229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p/Fw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" o:allowincell="f" filled="f" stroked="f" strokeweight=".5pt">
              <v:textbox style="mso-fit-shape-to-text:t">
                <w:txbxContent>
                  <w:p w14:paraId="316D0BAC" w14:textId="2382A418" w:rsidR="00C94E94" w:rsidRPr="00C94E94" w:rsidRDefault="00C94E94" w:rsidP="00C94E94">
                    <w:pPr>
                      <w:spacing w:before="0" w:after="0"/>
                      <w:jc w:val="center"/>
                      <w:rPr>
                        <w:rFonts w:ascii="Arial" w:hAnsi="Arial" w:cs="Arial"/>
                        <w:b/>
                        <w:color w:val="FF0000"/>
                      </w:rPr>
                    </w:pPr>
                    <w:r w:rsidRPr="00C94E94">
                      <w:rPr>
                        <w:rFonts w:ascii="Arial" w:hAnsi="Arial" w:cs="Arial"/>
                        <w:b/>
                        <w:color w:val="FF0000"/>
                      </w:rPr>
                      <w:fldChar w:fldCharType="begin"/>
                    </w:r>
                    <w:r w:rsidRPr="00C94E94">
                      <w:rPr>
                        <w:rFonts w:ascii="Arial" w:hAnsi="Arial" w:cs="Arial"/>
                        <w:b/>
                        <w:color w:val="FF0000"/>
                      </w:rPr>
                      <w:instrText xml:space="preserve"> DOCPROPERTY PM_ProtectiveMarkingValue_Header \* MERGEFORMAT </w:instrText>
                    </w:r>
                    <w:r w:rsidRPr="00C94E94">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C94E94">
                      <w:rPr>
                        <w:rFonts w:ascii="Arial" w:hAnsi="Arial" w:cs="Arial"/>
                        <w:b/>
                        <w:color w:val="FF00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5C5F" w14:textId="6C1D337F" w:rsidR="00E464F6" w:rsidRDefault="005E17BF">
    <w:pPr>
      <w:pStyle w:val="Header"/>
    </w:pPr>
    <w:r>
      <w:rPr>
        <w:noProof/>
      </w:rPr>
      <mc:AlternateContent>
        <mc:Choice Requires="wps">
          <w:drawing>
            <wp:anchor distT="0" distB="0" distL="114300" distR="114300" simplePos="0" relativeHeight="251693568" behindDoc="0" locked="1" layoutInCell="0" allowOverlap="1" wp14:anchorId="58F6A035" wp14:editId="21F0BA85">
              <wp:simplePos x="0" y="0"/>
              <wp:positionH relativeFrom="margin">
                <wp:align>center</wp:align>
              </wp:positionH>
              <wp:positionV relativeFrom="topMargin">
                <wp:align>center</wp:align>
              </wp:positionV>
              <wp:extent cx="1612265" cy="2730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EA599B" w14:textId="6AECC9BD" w:rsidR="00D90CCF" w:rsidRPr="00D90CCF" w:rsidRDefault="00D90CCF" w:rsidP="00D90CCF">
                          <w:pPr>
                            <w:spacing w:before="0" w:after="0"/>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F6A035" id="_x0000_t202" coordsize="21600,21600" o:spt="202" path="m,l,21600r21600,l21600,xe">
              <v:stroke joinstyle="miter"/>
              <v:path gradientshapeok="t" o:connecttype="rect"/>
            </v:shapetype>
            <v:shape id="Text Box 72" o:spid="_x0000_s1038" type="#_x0000_t202" style="position:absolute;margin-left:0;margin-top:0;width:126.95pt;height:21.5pt;z-index:2516935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tBhMBGAIAADIEAAAOAAAAAAAAAAAAAAAAAC4CAABkcnMvZTJvRG9jLnhtbFBLAQItABQABgAI&#10;AAAAIQC9fPS/3AAAAAQBAAAPAAAAAAAAAAAAAAAAAHIEAABkcnMvZG93bnJldi54bWxQSwUGAAAA&#10;AAQABADzAAAAewUAAAAA&#10;" o:allowincell="f" filled="f" stroked="f" strokeweight=".5pt">
              <v:textbox style="mso-fit-shape-to-text:t">
                <w:txbxContent>
                  <w:p w14:paraId="31EA599B" w14:textId="6AECC9BD" w:rsidR="00D90CCF" w:rsidRPr="00D90CCF" w:rsidRDefault="00D90CCF" w:rsidP="00D90CCF">
                    <w:pPr>
                      <w:spacing w:before="0" w:after="0"/>
                      <w:jc w:val="center"/>
                      <w:rPr>
                        <w:rFonts w:ascii="Arial" w:hAnsi="Arial" w:cs="Arial"/>
                        <w:b/>
                        <w:color w:val="FF0000"/>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FD6C" w14:textId="058C151E" w:rsidR="00C94E94" w:rsidRDefault="00D22F16">
    <w:pPr>
      <w:pStyle w:val="Header"/>
    </w:pPr>
    <w:r>
      <w:rPr>
        <w:noProof/>
      </w:rPr>
      <mc:AlternateContent>
        <mc:Choice Requires="wps">
          <w:drawing>
            <wp:anchor distT="0" distB="0" distL="114300" distR="114300" simplePos="0" relativeHeight="251688448" behindDoc="0" locked="1" layoutInCell="0" allowOverlap="1" wp14:anchorId="53A74574" wp14:editId="0A410076">
              <wp:simplePos x="0" y="0"/>
              <wp:positionH relativeFrom="margin">
                <wp:align>center</wp:align>
              </wp:positionH>
              <wp:positionV relativeFrom="topMargin">
                <wp:align>center</wp:align>
              </wp:positionV>
              <wp:extent cx="1612265" cy="27305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3402E" w14:textId="237FB242" w:rsidR="00D22F16" w:rsidRPr="00D22F16" w:rsidRDefault="00D22F16" w:rsidP="00D22F16">
                          <w:pPr>
                            <w:spacing w:before="0" w:after="0"/>
                            <w:jc w:val="center"/>
                            <w:rPr>
                              <w:rFonts w:ascii="Arial" w:hAnsi="Arial" w:cs="Arial"/>
                              <w:b/>
                              <w:color w:val="FF0000"/>
                            </w:rPr>
                          </w:pPr>
                          <w:r w:rsidRPr="00D22F16">
                            <w:rPr>
                              <w:rFonts w:ascii="Arial" w:hAnsi="Arial" w:cs="Arial"/>
                              <w:b/>
                              <w:color w:val="FF0000"/>
                            </w:rPr>
                            <w:fldChar w:fldCharType="begin"/>
                          </w:r>
                          <w:r w:rsidRPr="00D22F16">
                            <w:rPr>
                              <w:rFonts w:ascii="Arial" w:hAnsi="Arial" w:cs="Arial"/>
                              <w:b/>
                              <w:color w:val="FF0000"/>
                            </w:rPr>
                            <w:instrText xml:space="preserve"> DOCPROPERTY PM_ProtectiveMarkingValue_Header \* MERGEFORMAT </w:instrText>
                          </w:r>
                          <w:r w:rsidRPr="00D22F16">
                            <w:rPr>
                              <w:rFonts w:ascii="Arial" w:hAnsi="Arial" w:cs="Arial"/>
                              <w:b/>
                              <w:color w:val="FF0000"/>
                            </w:rPr>
                            <w:fldChar w:fldCharType="separate"/>
                          </w:r>
                          <w:proofErr w:type="spellStart"/>
                          <w:r w:rsidR="00490E25">
                            <w:rPr>
                              <w:rFonts w:ascii="Arial" w:hAnsi="Arial" w:cs="Arial"/>
                              <w:b/>
                              <w:color w:val="FF0000"/>
                            </w:rPr>
                            <w:t>OFFICIAL:Sensitive</w:t>
                          </w:r>
                          <w:proofErr w:type="spellEnd"/>
                          <w:r w:rsidRPr="00D22F16">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A74574" id="_x0000_t202" coordsize="21600,21600" o:spt="202" path="m,l,21600r21600,l21600,xe">
              <v:stroke joinstyle="miter"/>
              <v:path gradientshapeok="t" o:connecttype="rect"/>
            </v:shapetype>
            <v:shape id="Text Box 67" o:spid="_x0000_s1051" type="#_x0000_t202" style="position:absolute;margin-left:0;margin-top:0;width:126.95pt;height:21.5pt;z-index:2516884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MRGA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KppicFllDtaf9PByoD04uGxriUQR8&#10;EZ64ppVIv/hMhzZAzeBocVaD//m3/zGeKCAvZx1pp+SWxM2Z+W6Jmi+j8ThKLV3Gk9ucLv7as772&#10;2G17DyTOEb0TJ5MZ49GcTO2hfSORL2JPcgkrqXPJ8WTe40HP9EikWixSEInLCXy0Kydj6QhdBPi1&#10;fxPeHVlA4u8JThoTxTsyDrExM7jFFomSxFSE+YDpEX0SZiLw+Iii8q/vKery1Oe/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93FMRGAIAADIEAAAOAAAAAAAAAAAAAAAAAC4CAABkcnMvZTJvRG9jLnhtbFBLAQItABQABgAI&#10;AAAAIQC9fPS/3AAAAAQBAAAPAAAAAAAAAAAAAAAAAHIEAABkcnMvZG93bnJldi54bWxQSwUGAAAA&#10;AAQABADzAAAAewUAAAAA&#10;" o:allowincell="f" filled="f" stroked="f" strokeweight=".5pt">
              <v:textbox style="mso-fit-shape-to-text:t">
                <w:txbxContent>
                  <w:p w14:paraId="2A03402E" w14:textId="237FB242" w:rsidR="00D22F16" w:rsidRPr="00D22F16" w:rsidRDefault="00D22F16" w:rsidP="00D22F16">
                    <w:pPr>
                      <w:spacing w:before="0" w:after="0"/>
                      <w:jc w:val="center"/>
                      <w:rPr>
                        <w:rFonts w:ascii="Arial" w:hAnsi="Arial" w:cs="Arial"/>
                        <w:b/>
                        <w:color w:val="FF0000"/>
                      </w:rPr>
                    </w:pPr>
                    <w:r w:rsidRPr="00D22F16">
                      <w:rPr>
                        <w:rFonts w:ascii="Arial" w:hAnsi="Arial" w:cs="Arial"/>
                        <w:b/>
                        <w:color w:val="FF0000"/>
                      </w:rPr>
                      <w:fldChar w:fldCharType="begin"/>
                    </w:r>
                    <w:r w:rsidRPr="00D22F16">
                      <w:rPr>
                        <w:rFonts w:ascii="Arial" w:hAnsi="Arial" w:cs="Arial"/>
                        <w:b/>
                        <w:color w:val="FF0000"/>
                      </w:rPr>
                      <w:instrText xml:space="preserve"> DOCPROPERTY PM_ProtectiveMarkingValue_Header \* MERGEFORMAT </w:instrText>
                    </w:r>
                    <w:r w:rsidRPr="00D22F16">
                      <w:rPr>
                        <w:rFonts w:ascii="Arial" w:hAnsi="Arial" w:cs="Arial"/>
                        <w:b/>
                        <w:color w:val="FF0000"/>
                      </w:rPr>
                      <w:fldChar w:fldCharType="separate"/>
                    </w:r>
                    <w:proofErr w:type="spellStart"/>
                    <w:r w:rsidR="00490E25">
                      <w:rPr>
                        <w:rFonts w:ascii="Arial" w:hAnsi="Arial" w:cs="Arial"/>
                        <w:b/>
                        <w:color w:val="FF0000"/>
                      </w:rPr>
                      <w:t>OFFICIAL:Sensitive</w:t>
                    </w:r>
                    <w:proofErr w:type="spellEnd"/>
                    <w:r w:rsidRPr="00D22F16">
                      <w:rPr>
                        <w:rFonts w:ascii="Arial" w:hAnsi="Arial" w:cs="Arial"/>
                        <w:b/>
                        <w:color w:val="FF0000"/>
                      </w:rPr>
                      <w:fldChar w:fldCharType="end"/>
                    </w:r>
                  </w:p>
                </w:txbxContent>
              </v:textbox>
              <w10:wrap anchorx="margin" anchory="margin"/>
              <w10:anchorlock/>
            </v:shape>
          </w:pict>
        </mc:Fallback>
      </mc:AlternateContent>
    </w:r>
    <w:r w:rsidR="0029376B">
      <w:rPr>
        <w:noProof/>
      </w:rPr>
      <mc:AlternateContent>
        <mc:Choice Requires="wps">
          <w:drawing>
            <wp:anchor distT="0" distB="0" distL="114300" distR="114300" simplePos="1" relativeHeight="251683328" behindDoc="0" locked="0" layoutInCell="1" allowOverlap="1" wp14:anchorId="6A12E14F" wp14:editId="14A7998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2" name="Text Box 6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B40A244" w14:textId="77777777" w:rsidR="0029376B" w:rsidRDefault="00293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2E14F" id="Text Box 62" o:spid="_x0000_s1052" type="#_x0000_t202" style="position:absolute;margin-left:0;margin-top:0;width:110pt;height:36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LQIAAFw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u7IS0CAABcBAAADgAAAAAAAAAAAAAAAAAuAgAAZHJzL2Uy&#10;b0RvYy54bWxQSwECLQAUAAYACAAAACEAkBD5ZNoAAAAEAQAADwAAAAAAAAAAAAAAAACHBAAAZHJz&#10;L2Rvd25yZXYueG1sUEsFBgAAAAAEAAQA8wAAAI4FAAAAAA==&#10;" filled="f" strokeweight=".5pt">
              <v:textbox>
                <w:txbxContent>
                  <w:p w14:paraId="3B40A244" w14:textId="77777777" w:rsidR="0029376B" w:rsidRDefault="0029376B"/>
                </w:txbxContent>
              </v:textbox>
              <w10:wrap type="through"/>
            </v:shape>
          </w:pict>
        </mc:Fallback>
      </mc:AlternateContent>
    </w:r>
    <w:r w:rsidR="001A5D78">
      <w:rPr>
        <w:noProof/>
      </w:rPr>
      <mc:AlternateContent>
        <mc:Choice Requires="wps">
          <w:drawing>
            <wp:anchor distT="0" distB="0" distL="114300" distR="114300" simplePos="0" relativeHeight="251677184" behindDoc="0" locked="1" layoutInCell="0" allowOverlap="1" wp14:anchorId="7E2DF371" wp14:editId="428FC7A0">
              <wp:simplePos x="0" y="0"/>
              <wp:positionH relativeFrom="margin">
                <wp:align>center</wp:align>
              </wp:positionH>
              <wp:positionV relativeFrom="topMargin">
                <wp:align>center</wp:align>
              </wp:positionV>
              <wp:extent cx="1612265" cy="2730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D4EE3" w14:textId="522E2A55" w:rsidR="001A5D78" w:rsidRPr="001A5D78" w:rsidRDefault="001A5D78" w:rsidP="001A5D78">
                          <w:pPr>
                            <w:spacing w:before="0" w:after="0"/>
                            <w:jc w:val="center"/>
                            <w:rPr>
                              <w:rFonts w:ascii="Arial" w:hAnsi="Arial" w:cs="Arial"/>
                              <w:b/>
                              <w:color w:val="FF0000"/>
                            </w:rPr>
                          </w:pPr>
                          <w:r w:rsidRPr="001A5D78">
                            <w:rPr>
                              <w:rFonts w:ascii="Arial" w:hAnsi="Arial" w:cs="Arial"/>
                              <w:b/>
                              <w:color w:val="FF0000"/>
                            </w:rPr>
                            <w:fldChar w:fldCharType="begin"/>
                          </w:r>
                          <w:r w:rsidRPr="001A5D78">
                            <w:rPr>
                              <w:rFonts w:ascii="Arial" w:hAnsi="Arial" w:cs="Arial"/>
                              <w:b/>
                              <w:color w:val="FF0000"/>
                            </w:rPr>
                            <w:instrText xml:space="preserve"> DOCPROPERTY PM_ProtectiveMarkingValue_Header \* MERGEFORMAT </w:instrText>
                          </w:r>
                          <w:r w:rsidRPr="001A5D78">
                            <w:rPr>
                              <w:rFonts w:ascii="Arial" w:hAnsi="Arial" w:cs="Arial"/>
                              <w:b/>
                              <w:color w:val="FF0000"/>
                            </w:rPr>
                            <w:fldChar w:fldCharType="separate"/>
                          </w:r>
                          <w:proofErr w:type="spellStart"/>
                          <w:r>
                            <w:rPr>
                              <w:rFonts w:ascii="Arial" w:hAnsi="Arial" w:cs="Arial"/>
                              <w:b/>
                              <w:color w:val="FF0000"/>
                            </w:rPr>
                            <w:t>OFFICIAL:Sensitive</w:t>
                          </w:r>
                          <w:proofErr w:type="spellEnd"/>
                          <w:r w:rsidRPr="001A5D78">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2DF371" id="Text Box 56" o:spid="_x0000_s1053" type="#_x0000_t202" style="position:absolute;margin-left:0;margin-top:0;width:126.95pt;height:21.5pt;z-index:2516771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" o:allowincell="f" filled="f" stroked="f" strokeweight=".5pt">
              <v:textbox style="mso-fit-shape-to-text:t">
                <w:txbxContent>
                  <w:p w14:paraId="188D4EE3" w14:textId="522E2A55" w:rsidR="001A5D78" w:rsidRPr="001A5D78" w:rsidRDefault="001A5D78" w:rsidP="001A5D78">
                    <w:pPr>
                      <w:spacing w:before="0" w:after="0"/>
                      <w:jc w:val="center"/>
                      <w:rPr>
                        <w:rFonts w:ascii="Arial" w:hAnsi="Arial" w:cs="Arial"/>
                        <w:b/>
                        <w:color w:val="FF0000"/>
                      </w:rPr>
                    </w:pPr>
                    <w:r w:rsidRPr="001A5D78">
                      <w:rPr>
                        <w:rFonts w:ascii="Arial" w:hAnsi="Arial" w:cs="Arial"/>
                        <w:b/>
                        <w:color w:val="FF0000"/>
                      </w:rPr>
                      <w:fldChar w:fldCharType="begin"/>
                    </w:r>
                    <w:r w:rsidRPr="001A5D78">
                      <w:rPr>
                        <w:rFonts w:ascii="Arial" w:hAnsi="Arial" w:cs="Arial"/>
                        <w:b/>
                        <w:color w:val="FF0000"/>
                      </w:rPr>
                      <w:instrText xml:space="preserve"> DOCPROPERTY PM_ProtectiveMarkingValue_Header \* MERGEFORMAT </w:instrText>
                    </w:r>
                    <w:r w:rsidRPr="001A5D78">
                      <w:rPr>
                        <w:rFonts w:ascii="Arial" w:hAnsi="Arial" w:cs="Arial"/>
                        <w:b/>
                        <w:color w:val="FF0000"/>
                      </w:rPr>
                      <w:fldChar w:fldCharType="separate"/>
                    </w:r>
                    <w:proofErr w:type="spellStart"/>
                    <w:r>
                      <w:rPr>
                        <w:rFonts w:ascii="Arial" w:hAnsi="Arial" w:cs="Arial"/>
                        <w:b/>
                        <w:color w:val="FF0000"/>
                      </w:rPr>
                      <w:t>OFFICIAL:Sensitive</w:t>
                    </w:r>
                    <w:proofErr w:type="spellEnd"/>
                    <w:r w:rsidRPr="001A5D78">
                      <w:rPr>
                        <w:rFonts w:ascii="Arial" w:hAnsi="Arial" w:cs="Arial"/>
                        <w:b/>
                        <w:color w:val="FF0000"/>
                      </w:rPr>
                      <w:fldChar w:fldCharType="end"/>
                    </w:r>
                  </w:p>
                </w:txbxContent>
              </v:textbox>
              <w10:wrap anchorx="margin" anchory="margin"/>
              <w10:anchorlock/>
            </v:shape>
          </w:pict>
        </mc:Fallback>
      </mc:AlternateContent>
    </w:r>
    <w:r w:rsidR="00340DA0">
      <w:rPr>
        <w:noProof/>
      </w:rPr>
      <mc:AlternateContent>
        <mc:Choice Requires="wps">
          <w:drawing>
            <wp:anchor distT="0" distB="0" distL="114300" distR="114300" simplePos="0" relativeHeight="251671040" behindDoc="0" locked="1" layoutInCell="0" allowOverlap="1" wp14:anchorId="28E16574" wp14:editId="61567B08">
              <wp:simplePos x="0" y="0"/>
              <wp:positionH relativeFrom="margin">
                <wp:align>center</wp:align>
              </wp:positionH>
              <wp:positionV relativeFrom="topMargin">
                <wp:align>center</wp:align>
              </wp:positionV>
              <wp:extent cx="1612265" cy="2730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5C7657" w14:textId="114E0E37" w:rsidR="00340DA0" w:rsidRPr="00340DA0" w:rsidRDefault="00340DA0" w:rsidP="00340DA0">
                          <w:pPr>
                            <w:spacing w:before="0" w:after="0"/>
                            <w:jc w:val="center"/>
                            <w:rPr>
                              <w:rFonts w:ascii="Arial" w:hAnsi="Arial" w:cs="Arial"/>
                              <w:b/>
                              <w:color w:val="FF0000"/>
                            </w:rPr>
                          </w:pPr>
                          <w:r w:rsidRPr="00340DA0">
                            <w:rPr>
                              <w:rFonts w:ascii="Arial" w:hAnsi="Arial" w:cs="Arial"/>
                              <w:b/>
                              <w:color w:val="FF0000"/>
                            </w:rPr>
                            <w:fldChar w:fldCharType="begin"/>
                          </w:r>
                          <w:r w:rsidRPr="00340DA0">
                            <w:rPr>
                              <w:rFonts w:ascii="Arial" w:hAnsi="Arial" w:cs="Arial"/>
                              <w:b/>
                              <w:color w:val="FF0000"/>
                            </w:rPr>
                            <w:instrText xml:space="preserve"> DOCPROPERTY PM_ProtectiveMarkingValue_Header \* MERGEFORMAT </w:instrText>
                          </w:r>
                          <w:r w:rsidRPr="00340DA0">
                            <w:rPr>
                              <w:rFonts w:ascii="Arial" w:hAnsi="Arial" w:cs="Arial"/>
                              <w:b/>
                              <w:color w:val="FF0000"/>
                            </w:rPr>
                            <w:fldChar w:fldCharType="separate"/>
                          </w:r>
                          <w:proofErr w:type="spellStart"/>
                          <w:r>
                            <w:rPr>
                              <w:rFonts w:ascii="Arial" w:hAnsi="Arial" w:cs="Arial"/>
                              <w:b/>
                              <w:color w:val="FF0000"/>
                            </w:rPr>
                            <w:t>OFFICIAL:Sensitive</w:t>
                          </w:r>
                          <w:proofErr w:type="spellEnd"/>
                          <w:r w:rsidRPr="00340DA0">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E16574" id="Text Box 50" o:spid="_x0000_s1054" type="#_x0000_t202" style="position:absolute;margin-left:0;margin-top:0;width:126.95pt;height:21.5pt;z-index:2516710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U26KvGAIAADIEAAAOAAAAAAAAAAAAAAAAAC4CAABkcnMvZTJvRG9jLnhtbFBLAQItABQABgAI&#10;AAAAIQC9fPS/3AAAAAQBAAAPAAAAAAAAAAAAAAAAAHIEAABkcnMvZG93bnJldi54bWxQSwUGAAAA&#10;AAQABADzAAAAewUAAAAA&#10;" o:allowincell="f" filled="f" stroked="f" strokeweight=".5pt">
              <v:textbox style="mso-fit-shape-to-text:t">
                <w:txbxContent>
                  <w:p w14:paraId="6A5C7657" w14:textId="114E0E37" w:rsidR="00340DA0" w:rsidRPr="00340DA0" w:rsidRDefault="00340DA0" w:rsidP="00340DA0">
                    <w:pPr>
                      <w:spacing w:before="0" w:after="0"/>
                      <w:jc w:val="center"/>
                      <w:rPr>
                        <w:rFonts w:ascii="Arial" w:hAnsi="Arial" w:cs="Arial"/>
                        <w:b/>
                        <w:color w:val="FF0000"/>
                      </w:rPr>
                    </w:pPr>
                    <w:r w:rsidRPr="00340DA0">
                      <w:rPr>
                        <w:rFonts w:ascii="Arial" w:hAnsi="Arial" w:cs="Arial"/>
                        <w:b/>
                        <w:color w:val="FF0000"/>
                      </w:rPr>
                      <w:fldChar w:fldCharType="begin"/>
                    </w:r>
                    <w:r w:rsidRPr="00340DA0">
                      <w:rPr>
                        <w:rFonts w:ascii="Arial" w:hAnsi="Arial" w:cs="Arial"/>
                        <w:b/>
                        <w:color w:val="FF0000"/>
                      </w:rPr>
                      <w:instrText xml:space="preserve"> DOCPROPERTY PM_ProtectiveMarkingValue_Header \* MERGEFORMAT </w:instrText>
                    </w:r>
                    <w:r w:rsidRPr="00340DA0">
                      <w:rPr>
                        <w:rFonts w:ascii="Arial" w:hAnsi="Arial" w:cs="Arial"/>
                        <w:b/>
                        <w:color w:val="FF0000"/>
                      </w:rPr>
                      <w:fldChar w:fldCharType="separate"/>
                    </w:r>
                    <w:proofErr w:type="spellStart"/>
                    <w:r>
                      <w:rPr>
                        <w:rFonts w:ascii="Arial" w:hAnsi="Arial" w:cs="Arial"/>
                        <w:b/>
                        <w:color w:val="FF0000"/>
                      </w:rPr>
                      <w:t>OFFICIAL:Sensitive</w:t>
                    </w:r>
                    <w:proofErr w:type="spellEnd"/>
                    <w:r w:rsidRPr="00340DA0">
                      <w:rPr>
                        <w:rFonts w:ascii="Arial" w:hAnsi="Arial" w:cs="Arial"/>
                        <w:b/>
                        <w:color w:val="FF0000"/>
                      </w:rPr>
                      <w:fldChar w:fldCharType="end"/>
                    </w:r>
                  </w:p>
                </w:txbxContent>
              </v:textbox>
              <w10:wrap anchorx="margin" anchory="margin"/>
              <w10:anchorlock/>
            </v:shape>
          </w:pict>
        </mc:Fallback>
      </mc:AlternateContent>
    </w:r>
    <w:r w:rsidR="00F8242F">
      <w:rPr>
        <w:noProof/>
      </w:rPr>
      <mc:AlternateContent>
        <mc:Choice Requires="wps">
          <w:drawing>
            <wp:anchor distT="0" distB="0" distL="114300" distR="114300" simplePos="1" relativeHeight="251664896" behindDoc="0" locked="0" layoutInCell="1" allowOverlap="1" wp14:anchorId="78915792" wp14:editId="7EE9898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4" name="Text Box 4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50E3B86" w14:textId="77777777" w:rsidR="00F8242F" w:rsidRDefault="00F82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915792" id="Text Box 44" o:spid="_x0000_s1055" type="#_x0000_t202" style="position:absolute;margin-left:0;margin-top:0;width:110pt;height:36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56LQIAAFw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GIOei0CAABcBAAADgAAAAAAAAAAAAAAAAAuAgAAZHJzL2Uy&#10;b0RvYy54bWxQSwECLQAUAAYACAAAACEAkBD5ZNoAAAAEAQAADwAAAAAAAAAAAAAAAACHBAAAZHJz&#10;L2Rvd25yZXYueG1sUEsFBgAAAAAEAAQA8wAAAI4FAAAAAA==&#10;" filled="f" strokeweight=".5pt">
              <v:textbox>
                <w:txbxContent>
                  <w:p w14:paraId="550E3B86" w14:textId="77777777" w:rsidR="00F8242F" w:rsidRDefault="00F8242F"/>
                </w:txbxContent>
              </v:textbox>
              <w10:wrap type="through"/>
            </v:shape>
          </w:pict>
        </mc:Fallback>
      </mc:AlternateContent>
    </w:r>
    <w:r w:rsidR="00CB30F1">
      <w:rPr>
        <w:noProof/>
      </w:rPr>
      <mc:AlternateContent>
        <mc:Choice Requires="wps">
          <w:drawing>
            <wp:anchor distT="0" distB="0" distL="114300" distR="114300" simplePos="0" relativeHeight="251658752" behindDoc="0" locked="1" layoutInCell="0" allowOverlap="1" wp14:anchorId="6F72B711" wp14:editId="3F8D72EF">
              <wp:simplePos x="0" y="0"/>
              <wp:positionH relativeFrom="margin">
                <wp:align>center</wp:align>
              </wp:positionH>
              <wp:positionV relativeFrom="topMargin">
                <wp:align>center</wp:align>
              </wp:positionV>
              <wp:extent cx="1612265" cy="2730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5559C" w14:textId="16FDA749" w:rsidR="00CB30F1" w:rsidRPr="00CB30F1" w:rsidRDefault="00CB30F1" w:rsidP="00CB30F1">
                          <w:pPr>
                            <w:spacing w:before="0" w:after="0"/>
                            <w:jc w:val="center"/>
                            <w:rPr>
                              <w:rFonts w:ascii="Arial" w:hAnsi="Arial" w:cs="Arial"/>
                              <w:b/>
                              <w:color w:val="FF0000"/>
                            </w:rPr>
                          </w:pPr>
                          <w:r w:rsidRPr="00CB30F1">
                            <w:rPr>
                              <w:rFonts w:ascii="Arial" w:hAnsi="Arial" w:cs="Arial"/>
                              <w:b/>
                              <w:color w:val="FF0000"/>
                            </w:rPr>
                            <w:fldChar w:fldCharType="begin"/>
                          </w:r>
                          <w:r w:rsidRPr="00CB30F1">
                            <w:rPr>
                              <w:rFonts w:ascii="Arial" w:hAnsi="Arial" w:cs="Arial"/>
                              <w:b/>
                              <w:color w:val="FF0000"/>
                            </w:rPr>
                            <w:instrText xml:space="preserve"> DOCPROPERTY PM_ProtectiveMarkingValue_Header \* MERGEFORMAT </w:instrText>
                          </w:r>
                          <w:r w:rsidRPr="00CB30F1">
                            <w:rPr>
                              <w:rFonts w:ascii="Arial" w:hAnsi="Arial" w:cs="Arial"/>
                              <w:b/>
                              <w:color w:val="FF0000"/>
                            </w:rPr>
                            <w:fldChar w:fldCharType="separate"/>
                          </w:r>
                          <w:proofErr w:type="spellStart"/>
                          <w:r>
                            <w:rPr>
                              <w:rFonts w:ascii="Arial" w:hAnsi="Arial" w:cs="Arial"/>
                              <w:b/>
                              <w:color w:val="FF0000"/>
                            </w:rPr>
                            <w:t>OFFICIAL:Sensitive</w:t>
                          </w:r>
                          <w:proofErr w:type="spellEnd"/>
                          <w:r w:rsidRPr="00CB30F1">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72B711" id="Text Box 38" o:spid="_x0000_s1056" type="#_x0000_t202" style="position:absolute;margin-left:0;margin-top:0;width:126.95pt;height:21.5pt;z-index:25165875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UHxKvBkCAAAyBAAADgAAAAAAAAAAAAAAAAAuAgAAZHJzL2Uyb0RvYy54bWxQSwECLQAUAAYA&#10;CAAAACEAvXz0v9wAAAAEAQAADwAAAAAAAAAAAAAAAABzBAAAZHJzL2Rvd25yZXYueG1sUEsFBgAA&#10;AAAEAAQA8wAAAHwFAAAAAA==&#10;" o:allowincell="f" filled="f" stroked="f" strokeweight=".5pt">
              <v:textbox style="mso-fit-shape-to-text:t">
                <w:txbxContent>
                  <w:p w14:paraId="6BD5559C" w14:textId="16FDA749" w:rsidR="00CB30F1" w:rsidRPr="00CB30F1" w:rsidRDefault="00CB30F1" w:rsidP="00CB30F1">
                    <w:pPr>
                      <w:spacing w:before="0" w:after="0"/>
                      <w:jc w:val="center"/>
                      <w:rPr>
                        <w:rFonts w:ascii="Arial" w:hAnsi="Arial" w:cs="Arial"/>
                        <w:b/>
                        <w:color w:val="FF0000"/>
                      </w:rPr>
                    </w:pPr>
                    <w:r w:rsidRPr="00CB30F1">
                      <w:rPr>
                        <w:rFonts w:ascii="Arial" w:hAnsi="Arial" w:cs="Arial"/>
                        <w:b/>
                        <w:color w:val="FF0000"/>
                      </w:rPr>
                      <w:fldChar w:fldCharType="begin"/>
                    </w:r>
                    <w:r w:rsidRPr="00CB30F1">
                      <w:rPr>
                        <w:rFonts w:ascii="Arial" w:hAnsi="Arial" w:cs="Arial"/>
                        <w:b/>
                        <w:color w:val="FF0000"/>
                      </w:rPr>
                      <w:instrText xml:space="preserve"> DOCPROPERTY PM_ProtectiveMarkingValue_Header \* MERGEFORMAT </w:instrText>
                    </w:r>
                    <w:r w:rsidRPr="00CB30F1">
                      <w:rPr>
                        <w:rFonts w:ascii="Arial" w:hAnsi="Arial" w:cs="Arial"/>
                        <w:b/>
                        <w:color w:val="FF0000"/>
                      </w:rPr>
                      <w:fldChar w:fldCharType="separate"/>
                    </w:r>
                    <w:proofErr w:type="spellStart"/>
                    <w:r>
                      <w:rPr>
                        <w:rFonts w:ascii="Arial" w:hAnsi="Arial" w:cs="Arial"/>
                        <w:b/>
                        <w:color w:val="FF0000"/>
                      </w:rPr>
                      <w:t>OFFICIAL:Sensitive</w:t>
                    </w:r>
                    <w:proofErr w:type="spellEnd"/>
                    <w:r w:rsidRPr="00CB30F1">
                      <w:rPr>
                        <w:rFonts w:ascii="Arial" w:hAnsi="Arial" w:cs="Arial"/>
                        <w:b/>
                        <w:color w:val="FF0000"/>
                      </w:rPr>
                      <w:fldChar w:fldCharType="end"/>
                    </w:r>
                  </w:p>
                </w:txbxContent>
              </v:textbox>
              <w10:wrap anchorx="margin" anchory="margin"/>
              <w10:anchorlock/>
            </v:shape>
          </w:pict>
        </mc:Fallback>
      </mc:AlternateContent>
    </w:r>
    <w:r w:rsidR="0013341E">
      <w:rPr>
        <w:noProof/>
      </w:rPr>
      <mc:AlternateContent>
        <mc:Choice Requires="wps">
          <w:drawing>
            <wp:anchor distT="0" distB="0" distL="114300" distR="114300" simplePos="1" relativeHeight="251652608" behindDoc="0" locked="0" layoutInCell="1" allowOverlap="1" wp14:anchorId="5E9CFEE5" wp14:editId="44A9BEB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41DEE4A" w14:textId="77777777" w:rsidR="0013341E" w:rsidRDefault="00133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CFEE5" id="Text Box 32" o:spid="_x0000_s1057" type="#_x0000_t202" style="position:absolute;margin-left:0;margin-top:0;width:110pt;height:3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mm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GzammLAIAAFwEAAAOAAAAAAAAAAAAAAAAAC4CAABkcnMvZTJv&#10;RG9jLnhtbFBLAQItABQABgAIAAAAIQCQEPlk2gAAAAQBAAAPAAAAAAAAAAAAAAAAAIYEAABkcnMv&#10;ZG93bnJldi54bWxQSwUGAAAAAAQABADzAAAAjQUAAAAA&#10;" filled="f" strokeweight=".5pt">
              <v:textbox>
                <w:txbxContent>
                  <w:p w14:paraId="441DEE4A" w14:textId="77777777" w:rsidR="0013341E" w:rsidRDefault="0013341E"/>
                </w:txbxContent>
              </v:textbox>
              <w10:wrap type="through"/>
            </v:shape>
          </w:pict>
        </mc:Fallback>
      </mc:AlternateContent>
    </w:r>
    <w:r w:rsidR="0013341E">
      <w:rPr>
        <w:noProof/>
      </w:rPr>
      <mc:AlternateContent>
        <mc:Choice Requires="wps">
          <w:drawing>
            <wp:anchor distT="0" distB="0" distL="114300" distR="114300" simplePos="1" relativeHeight="251646464" behindDoc="0" locked="0" layoutInCell="1" allowOverlap="1" wp14:anchorId="47DB5366" wp14:editId="75DE783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652C0E6" w14:textId="77777777" w:rsidR="0013341E" w:rsidRDefault="00133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DB5366" id="Text Box 26" o:spid="_x0000_s1058" type="#_x0000_t202" style="position:absolute;margin-left:0;margin-top:0;width:110pt;height:3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gC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pZ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h0IAi0CAABcBAAADgAAAAAAAAAAAAAAAAAuAgAAZHJzL2Uy&#10;b0RvYy54bWxQSwECLQAUAAYACAAAACEAkBD5ZNoAAAAEAQAADwAAAAAAAAAAAAAAAACHBAAAZHJz&#10;L2Rvd25yZXYueG1sUEsFBgAAAAAEAAQA8wAAAI4FAAAAAA==&#10;" filled="f" strokeweight=".5pt">
              <v:textbox>
                <w:txbxContent>
                  <w:p w14:paraId="5652C0E6" w14:textId="77777777" w:rsidR="0013341E" w:rsidRDefault="0013341E"/>
                </w:txbxContent>
              </v:textbox>
              <w10:wrap type="through"/>
            </v:shape>
          </w:pict>
        </mc:Fallback>
      </mc:AlternateContent>
    </w:r>
    <w:r w:rsidR="00F724BC">
      <w:rPr>
        <w:noProof/>
      </w:rPr>
      <mc:AlternateContent>
        <mc:Choice Requires="wps">
          <w:drawing>
            <wp:anchor distT="0" distB="0" distL="114300" distR="114300" simplePos="1" relativeHeight="251640320" behindDoc="0" locked="0" layoutInCell="1" allowOverlap="1" wp14:anchorId="56ED12B2" wp14:editId="5016CF0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3BD67D6" w14:textId="77777777" w:rsidR="00F724BC" w:rsidRDefault="00F724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ED12B2" id="Text Box 20" o:spid="_x0000_s1059" type="#_x0000_t202" style="position:absolute;margin-left:0;margin-top:0;width:110pt;height:36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fX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a9H1y0CAABcBAAADgAAAAAAAAAAAAAAAAAuAgAAZHJzL2Uy&#10;b0RvYy54bWxQSwECLQAUAAYACAAAACEAkBD5ZNoAAAAEAQAADwAAAAAAAAAAAAAAAACHBAAAZHJz&#10;L2Rvd25yZXYueG1sUEsFBgAAAAAEAAQA8wAAAI4FAAAAAA==&#10;" filled="f" strokeweight=".5pt">
              <v:textbox>
                <w:txbxContent>
                  <w:p w14:paraId="73BD67D6" w14:textId="77777777" w:rsidR="00F724BC" w:rsidRDefault="00F724BC"/>
                </w:txbxContent>
              </v:textbox>
              <w10:wrap type="through"/>
            </v:shape>
          </w:pict>
        </mc:Fallback>
      </mc:AlternateContent>
    </w:r>
    <w:r w:rsidR="0008175E">
      <w:rPr>
        <w:noProof/>
      </w:rPr>
      <mc:AlternateContent>
        <mc:Choice Requires="wps">
          <w:drawing>
            <wp:anchor distT="0" distB="0" distL="114300" distR="114300" simplePos="0" relativeHeight="251634176" behindDoc="0" locked="1" layoutInCell="0" allowOverlap="1" wp14:anchorId="2A2D41E4" wp14:editId="6CB72FAA">
              <wp:simplePos x="0" y="0"/>
              <wp:positionH relativeFrom="margin">
                <wp:align>center</wp:align>
              </wp:positionH>
              <wp:positionV relativeFrom="topMargin">
                <wp:align>center</wp:align>
              </wp:positionV>
              <wp:extent cx="1612265" cy="273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A86E1" w14:textId="565090C9" w:rsidR="0008175E" w:rsidRPr="0008175E" w:rsidRDefault="0008175E" w:rsidP="0008175E">
                          <w:pPr>
                            <w:spacing w:before="0" w:after="0"/>
                            <w:jc w:val="center"/>
                            <w:rPr>
                              <w:rFonts w:ascii="Arial" w:hAnsi="Arial" w:cs="Arial"/>
                              <w:b/>
                              <w:color w:val="FF0000"/>
                            </w:rPr>
                          </w:pPr>
                          <w:r w:rsidRPr="0008175E">
                            <w:rPr>
                              <w:rFonts w:ascii="Arial" w:hAnsi="Arial" w:cs="Arial"/>
                              <w:b/>
                              <w:color w:val="FF0000"/>
                            </w:rPr>
                            <w:fldChar w:fldCharType="begin"/>
                          </w:r>
                          <w:r w:rsidRPr="0008175E">
                            <w:rPr>
                              <w:rFonts w:ascii="Arial" w:hAnsi="Arial" w:cs="Arial"/>
                              <w:b/>
                              <w:color w:val="FF0000"/>
                            </w:rPr>
                            <w:instrText xml:space="preserve"> DOCPROPERTY PM_ProtectiveMarkingValue_Header \* MERGEFORMAT </w:instrText>
                          </w:r>
                          <w:r w:rsidRPr="0008175E">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08175E">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2D41E4" id="Text Box 14" o:spid="_x0000_s1060" type="#_x0000_t202" style="position:absolute;margin-left:0;margin-top:0;width:126.95pt;height:21.5pt;z-index:25163417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eiGQ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JR1PzotsoTrifg5O1HvLVw0OsWY+&#10;vDCHXONKqN/wjIdUgM2gtyipwf382/8YjxSgl5IWtVNSg+KmRH03SM2X0WQSpZYuk+ldjhd369ne&#10;esxePwCKc4TvxPJkxvigzqZ0oN9Q5MvYE13McOxc0nA2H8JJz/hIuFguUxCKy7KwNhvLY+kIXQT4&#10;tXtjzvYsBOTvCc4aY8U7Mk6xMdPb5T4gJYmpCPMJ0x59FGYisH9EUfm39xR1feqLX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Y+JHohkCAAAyBAAADgAAAAAAAAAAAAAAAAAuAgAAZHJzL2Uyb0RvYy54bWxQSwECLQAUAAYA&#10;CAAAACEAvXz0v9wAAAAEAQAADwAAAAAAAAAAAAAAAABzBAAAZHJzL2Rvd25yZXYueG1sUEsFBgAA&#10;AAAEAAQA8wAAAHwFAAAAAA==&#10;" o:allowincell="f" filled="f" stroked="f" strokeweight=".5pt">
              <v:textbox style="mso-fit-shape-to-text:t">
                <w:txbxContent>
                  <w:p w14:paraId="784A86E1" w14:textId="565090C9" w:rsidR="0008175E" w:rsidRPr="0008175E" w:rsidRDefault="0008175E" w:rsidP="0008175E">
                    <w:pPr>
                      <w:spacing w:before="0" w:after="0"/>
                      <w:jc w:val="center"/>
                      <w:rPr>
                        <w:rFonts w:ascii="Arial" w:hAnsi="Arial" w:cs="Arial"/>
                        <w:b/>
                        <w:color w:val="FF0000"/>
                      </w:rPr>
                    </w:pPr>
                    <w:r w:rsidRPr="0008175E">
                      <w:rPr>
                        <w:rFonts w:ascii="Arial" w:hAnsi="Arial" w:cs="Arial"/>
                        <w:b/>
                        <w:color w:val="FF0000"/>
                      </w:rPr>
                      <w:fldChar w:fldCharType="begin"/>
                    </w:r>
                    <w:r w:rsidRPr="0008175E">
                      <w:rPr>
                        <w:rFonts w:ascii="Arial" w:hAnsi="Arial" w:cs="Arial"/>
                        <w:b/>
                        <w:color w:val="FF0000"/>
                      </w:rPr>
                      <w:instrText xml:space="preserve"> DOCPROPERTY PM_ProtectiveMarkingValue_Header \* MERGEFORMAT </w:instrText>
                    </w:r>
                    <w:r w:rsidRPr="0008175E">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08175E">
                      <w:rPr>
                        <w:rFonts w:ascii="Arial" w:hAnsi="Arial" w:cs="Arial"/>
                        <w:b/>
                        <w:color w:val="FF0000"/>
                      </w:rPr>
                      <w:fldChar w:fldCharType="end"/>
                    </w:r>
                  </w:p>
                </w:txbxContent>
              </v:textbox>
              <w10:wrap anchorx="margin" anchory="margin"/>
              <w10:anchorlock/>
            </v:shape>
          </w:pict>
        </mc:Fallback>
      </mc:AlternateContent>
    </w:r>
    <w:r w:rsidR="00D04915">
      <w:rPr>
        <w:noProof/>
      </w:rPr>
      <mc:AlternateContent>
        <mc:Choice Requires="wps">
          <w:drawing>
            <wp:anchor distT="0" distB="0" distL="114300" distR="114300" simplePos="0" relativeHeight="251628032" behindDoc="0" locked="1" layoutInCell="0" allowOverlap="1" wp14:anchorId="3841AFFC" wp14:editId="25D9BF52">
              <wp:simplePos x="0" y="0"/>
              <wp:positionH relativeFrom="margin">
                <wp:align>center</wp:align>
              </wp:positionH>
              <wp:positionV relativeFrom="topMargin">
                <wp:align>center</wp:align>
              </wp:positionV>
              <wp:extent cx="161226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F0104" w14:textId="39A7A56F" w:rsidR="00D04915" w:rsidRPr="00D04915" w:rsidRDefault="00D04915" w:rsidP="00D04915">
                          <w:pPr>
                            <w:spacing w:before="0" w:after="0"/>
                            <w:jc w:val="center"/>
                            <w:rPr>
                              <w:rFonts w:ascii="Arial" w:hAnsi="Arial" w:cs="Arial"/>
                              <w:b/>
                              <w:color w:val="FF0000"/>
                            </w:rPr>
                          </w:pPr>
                          <w:r w:rsidRPr="00D04915">
                            <w:rPr>
                              <w:rFonts w:ascii="Arial" w:hAnsi="Arial" w:cs="Arial"/>
                              <w:b/>
                              <w:color w:val="FF0000"/>
                            </w:rPr>
                            <w:fldChar w:fldCharType="begin"/>
                          </w:r>
                          <w:r w:rsidRPr="00D04915">
                            <w:rPr>
                              <w:rFonts w:ascii="Arial" w:hAnsi="Arial" w:cs="Arial"/>
                              <w:b/>
                              <w:color w:val="FF0000"/>
                            </w:rPr>
                            <w:instrText xml:space="preserve"> DOCPROPERTY PM_ProtectiveMarkingValue_Header \* MERGEFORMAT </w:instrText>
                          </w:r>
                          <w:r w:rsidRPr="00D04915">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D04915">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41AFFC" id="Text Box 8" o:spid="_x0000_s1061" type="#_x0000_t202" style="position:absolute;margin-left:0;margin-top:0;width:126.95pt;height:21.5pt;z-index:2516280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A+GQ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JR1Pz4tsoTrifg5O1HvLVw0OsWY+&#10;vDCHXONKqN/wjIdUgM2gtyipwf382/8YjxSgl5IWtVNSg+KmRH03SM2X0WQSpZYuk+ldjhd369ne&#10;esxePwCKc4TvxPJkxvigzqZ0oN9Q5MvYE13McOxc0nA2H8JJz/hIuFguUxCKy7KwNhvLY+kIXQT4&#10;tXtjzvYsBOTvCc4aY8U7Mk6xMdPb5T4gJYmpCPMJ0x59FGYisH9EUfm39xR1feqLX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X0egPhkCAAAyBAAADgAAAAAAAAAAAAAAAAAuAgAAZHJzL2Uyb0RvYy54bWxQSwECLQAUAAYA&#10;CAAAACEAvXz0v9wAAAAEAQAADwAAAAAAAAAAAAAAAABzBAAAZHJzL2Rvd25yZXYueG1sUEsFBgAA&#10;AAAEAAQA8wAAAHwFAAAAAA==&#10;" o:allowincell="f" filled="f" stroked="f" strokeweight=".5pt">
              <v:textbox style="mso-fit-shape-to-text:t">
                <w:txbxContent>
                  <w:p w14:paraId="292F0104" w14:textId="39A7A56F" w:rsidR="00D04915" w:rsidRPr="00D04915" w:rsidRDefault="00D04915" w:rsidP="00D04915">
                    <w:pPr>
                      <w:spacing w:before="0" w:after="0"/>
                      <w:jc w:val="center"/>
                      <w:rPr>
                        <w:rFonts w:ascii="Arial" w:hAnsi="Arial" w:cs="Arial"/>
                        <w:b/>
                        <w:color w:val="FF0000"/>
                      </w:rPr>
                    </w:pPr>
                    <w:r w:rsidRPr="00D04915">
                      <w:rPr>
                        <w:rFonts w:ascii="Arial" w:hAnsi="Arial" w:cs="Arial"/>
                        <w:b/>
                        <w:color w:val="FF0000"/>
                      </w:rPr>
                      <w:fldChar w:fldCharType="begin"/>
                    </w:r>
                    <w:r w:rsidRPr="00D04915">
                      <w:rPr>
                        <w:rFonts w:ascii="Arial" w:hAnsi="Arial" w:cs="Arial"/>
                        <w:b/>
                        <w:color w:val="FF0000"/>
                      </w:rPr>
                      <w:instrText xml:space="preserve"> DOCPROPERTY PM_ProtectiveMarkingValue_Header \* MERGEFORMAT </w:instrText>
                    </w:r>
                    <w:r w:rsidRPr="00D04915">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D04915">
                      <w:rPr>
                        <w:rFonts w:ascii="Arial" w:hAnsi="Arial" w:cs="Arial"/>
                        <w:b/>
                        <w:color w:val="FF0000"/>
                      </w:rPr>
                      <w:fldChar w:fldCharType="end"/>
                    </w:r>
                  </w:p>
                </w:txbxContent>
              </v:textbox>
              <w10:wrap anchorx="margin" anchory="margin"/>
              <w10:anchorlock/>
            </v:shape>
          </w:pict>
        </mc:Fallback>
      </mc:AlternateContent>
    </w:r>
    <w:r w:rsidR="00C94E94">
      <w:rPr>
        <w:noProof/>
      </w:rPr>
      <mc:AlternateContent>
        <mc:Choice Requires="wps">
          <w:drawing>
            <wp:anchor distT="0" distB="0" distL="114300" distR="114300" simplePos="0" relativeHeight="251621888" behindDoc="0" locked="1" layoutInCell="0" allowOverlap="1" wp14:anchorId="6C978038" wp14:editId="6E22BA25">
              <wp:simplePos x="0" y="0"/>
              <wp:positionH relativeFrom="margin">
                <wp:align>center</wp:align>
              </wp:positionH>
              <wp:positionV relativeFrom="topMargin">
                <wp:align>center</wp:align>
              </wp:positionV>
              <wp:extent cx="1612265"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7FE39" w14:textId="7D087B14" w:rsidR="00C94E94" w:rsidRPr="00C94E94" w:rsidRDefault="00C94E94" w:rsidP="00C94E94">
                          <w:pPr>
                            <w:spacing w:before="0" w:after="0"/>
                            <w:jc w:val="center"/>
                            <w:rPr>
                              <w:rFonts w:ascii="Arial" w:hAnsi="Arial" w:cs="Arial"/>
                              <w:b/>
                              <w:color w:val="FF0000"/>
                            </w:rPr>
                          </w:pPr>
                          <w:r w:rsidRPr="00C94E94">
                            <w:rPr>
                              <w:rFonts w:ascii="Arial" w:hAnsi="Arial" w:cs="Arial"/>
                              <w:b/>
                              <w:color w:val="FF0000"/>
                            </w:rPr>
                            <w:fldChar w:fldCharType="begin"/>
                          </w:r>
                          <w:r w:rsidRPr="00C94E94">
                            <w:rPr>
                              <w:rFonts w:ascii="Arial" w:hAnsi="Arial" w:cs="Arial"/>
                              <w:b/>
                              <w:color w:val="FF0000"/>
                            </w:rPr>
                            <w:instrText xml:space="preserve"> DOCPROPERTY PM_ProtectiveMarkingValue_Header \* MERGEFORMAT </w:instrText>
                          </w:r>
                          <w:r w:rsidRPr="00C94E94">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C94E94">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978038" id="Text Box 2" o:spid="_x0000_s1062" type="#_x0000_t202" style="position:absolute;margin-left:0;margin-top:0;width:126.95pt;height:21.5pt;z-index:2516218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lAGQ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JR3PzotsoTrifg5O1HvLVw0OsWY+&#10;vDCHXONKqN/wjIdUgM2gtyipwf382/8YjxSgl5IWtVNSg+KmRH03SM2X0WQSpZYuk+ldjhd369ne&#10;esxePwCKc4TvxPJkxvigzqZ0oN9Q5MvYE13McOxc0nA2H8JJz/hIuFguUxCKy7KwNhvLY+kIXQT4&#10;tXtjzvYsBOTvCc4aY8U7Mk6xMdPb5T4gJYmpCPMJ0x59FGYisH9EUfm39xR1feqLX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Wq75QBkCAAAyBAAADgAAAAAAAAAAAAAAAAAuAgAAZHJzL2Uyb0RvYy54bWxQSwECLQAUAAYA&#10;CAAAACEAvXz0v9wAAAAEAQAADwAAAAAAAAAAAAAAAABzBAAAZHJzL2Rvd25yZXYueG1sUEsFBgAA&#10;AAAEAAQA8wAAAHwFAAAAAA==&#10;" o:allowincell="f" filled="f" stroked="f" strokeweight=".5pt">
              <v:textbox style="mso-fit-shape-to-text:t">
                <w:txbxContent>
                  <w:p w14:paraId="12F7FE39" w14:textId="7D087B14" w:rsidR="00C94E94" w:rsidRPr="00C94E94" w:rsidRDefault="00C94E94" w:rsidP="00C94E94">
                    <w:pPr>
                      <w:spacing w:before="0" w:after="0"/>
                      <w:jc w:val="center"/>
                      <w:rPr>
                        <w:rFonts w:ascii="Arial" w:hAnsi="Arial" w:cs="Arial"/>
                        <w:b/>
                        <w:color w:val="FF0000"/>
                      </w:rPr>
                    </w:pPr>
                    <w:r w:rsidRPr="00C94E94">
                      <w:rPr>
                        <w:rFonts w:ascii="Arial" w:hAnsi="Arial" w:cs="Arial"/>
                        <w:b/>
                        <w:color w:val="FF0000"/>
                      </w:rPr>
                      <w:fldChar w:fldCharType="begin"/>
                    </w:r>
                    <w:r w:rsidRPr="00C94E94">
                      <w:rPr>
                        <w:rFonts w:ascii="Arial" w:hAnsi="Arial" w:cs="Arial"/>
                        <w:b/>
                        <w:color w:val="FF0000"/>
                      </w:rPr>
                      <w:instrText xml:space="preserve"> DOCPROPERTY PM_ProtectiveMarkingValue_Header \* MERGEFORMAT </w:instrText>
                    </w:r>
                    <w:r w:rsidRPr="00C94E94">
                      <w:rPr>
                        <w:rFonts w:ascii="Arial" w:hAnsi="Arial" w:cs="Arial"/>
                        <w:b/>
                        <w:color w:val="FF0000"/>
                      </w:rPr>
                      <w:fldChar w:fldCharType="separate"/>
                    </w:r>
                    <w:proofErr w:type="spellStart"/>
                    <w:r w:rsidR="0013341E">
                      <w:rPr>
                        <w:rFonts w:ascii="Arial" w:hAnsi="Arial" w:cs="Arial"/>
                        <w:b/>
                        <w:color w:val="FF0000"/>
                      </w:rPr>
                      <w:t>OFFICIAL:Sensitive</w:t>
                    </w:r>
                    <w:proofErr w:type="spellEnd"/>
                    <w:r w:rsidRPr="00C94E94">
                      <w:rPr>
                        <w:rFonts w:ascii="Arial" w:hAnsi="Arial" w:cs="Arial"/>
                        <w:b/>
                        <w:color w:val="FF0000"/>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422E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319D"/>
    <w:multiLevelType w:val="hybridMultilevel"/>
    <w:tmpl w:val="92D0CB86"/>
    <w:lvl w:ilvl="0" w:tplc="6B80AF3E">
      <w:start w:val="1"/>
      <w:numFmt w:val="decimal"/>
      <w:lvlText w:val="%1."/>
      <w:lvlJc w:val="left"/>
      <w:pPr>
        <w:tabs>
          <w:tab w:val="num" w:pos="360"/>
        </w:tabs>
        <w:ind w:left="360" w:hanging="360"/>
      </w:p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2" w15:restartNumberingAfterBreak="0">
    <w:nsid w:val="00F97467"/>
    <w:multiLevelType w:val="hybridMultilevel"/>
    <w:tmpl w:val="C4F6BE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AF7C12"/>
    <w:multiLevelType w:val="hybridMultilevel"/>
    <w:tmpl w:val="2F868DC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8F37771"/>
    <w:multiLevelType w:val="hybridMultilevel"/>
    <w:tmpl w:val="DADCCA0C"/>
    <w:lvl w:ilvl="0" w:tplc="B23881D0">
      <w:start w:val="1"/>
      <w:numFmt w:val="decimal"/>
      <w:lvlText w:val="(%1)"/>
      <w:lvlJc w:val="left"/>
      <w:pPr>
        <w:tabs>
          <w:tab w:val="num" w:pos="567"/>
        </w:tabs>
        <w:ind w:left="397" w:hanging="397"/>
      </w:pPr>
      <w:rPr>
        <w:rFonts w:hint="default"/>
        <w:i w:val="0"/>
      </w:r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5" w15:restartNumberingAfterBreak="0">
    <w:nsid w:val="0F0737E2"/>
    <w:multiLevelType w:val="hybridMultilevel"/>
    <w:tmpl w:val="F0D6C2F0"/>
    <w:lvl w:ilvl="0" w:tplc="B7B2D4CE">
      <w:start w:val="1"/>
      <w:numFmt w:val="bullet"/>
      <w:lvlText w:val=""/>
      <w:lvlJc w:val="left"/>
      <w:pPr>
        <w:ind w:left="360" w:hanging="360"/>
      </w:pPr>
      <w:rPr>
        <w:rFonts w:ascii="Symbol" w:hAnsi="Symbol" w:hint="default"/>
      </w:rPr>
    </w:lvl>
    <w:lvl w:ilvl="1" w:tplc="7B062E4C">
      <w:numFmt w:val="bullet"/>
      <w:lvlText w:val="-"/>
      <w:lvlJc w:val="left"/>
      <w:pPr>
        <w:ind w:left="1080" w:hanging="360"/>
      </w:pPr>
      <w:rPr>
        <w:rFonts w:ascii="Calibri" w:eastAsiaTheme="minorHAnsi" w:hAnsi="Calibri" w:cs="Calibri" w:hint="default"/>
      </w:rPr>
    </w:lvl>
    <w:lvl w:ilvl="2" w:tplc="7728C2EE">
      <w:start w:val="1"/>
      <w:numFmt w:val="bullet"/>
      <w:lvlText w:val=""/>
      <w:lvlJc w:val="left"/>
      <w:pPr>
        <w:ind w:left="1800" w:hanging="360"/>
      </w:pPr>
      <w:rPr>
        <w:rFonts w:ascii="Wingdings" w:hAnsi="Wingdings" w:hint="default"/>
      </w:rPr>
    </w:lvl>
    <w:lvl w:ilvl="3" w:tplc="A2922EF8">
      <w:start w:val="1"/>
      <w:numFmt w:val="bullet"/>
      <w:lvlText w:val=""/>
      <w:lvlJc w:val="left"/>
      <w:pPr>
        <w:ind w:left="2520" w:hanging="360"/>
      </w:pPr>
      <w:rPr>
        <w:rFonts w:ascii="Symbol" w:hAnsi="Symbol" w:hint="default"/>
      </w:rPr>
    </w:lvl>
    <w:lvl w:ilvl="4" w:tplc="27509D84">
      <w:start w:val="1"/>
      <w:numFmt w:val="bullet"/>
      <w:lvlText w:val="o"/>
      <w:lvlJc w:val="left"/>
      <w:pPr>
        <w:ind w:left="3240" w:hanging="360"/>
      </w:pPr>
      <w:rPr>
        <w:rFonts w:ascii="Courier New" w:hAnsi="Courier New" w:cs="Courier New" w:hint="default"/>
      </w:rPr>
    </w:lvl>
    <w:lvl w:ilvl="5" w:tplc="430A5CB4">
      <w:start w:val="1"/>
      <w:numFmt w:val="bullet"/>
      <w:lvlText w:val=""/>
      <w:lvlJc w:val="left"/>
      <w:pPr>
        <w:ind w:left="3960" w:hanging="360"/>
      </w:pPr>
      <w:rPr>
        <w:rFonts w:ascii="Wingdings" w:hAnsi="Wingdings" w:hint="default"/>
      </w:rPr>
    </w:lvl>
    <w:lvl w:ilvl="6" w:tplc="CB32B684">
      <w:start w:val="1"/>
      <w:numFmt w:val="bullet"/>
      <w:lvlText w:val=""/>
      <w:lvlJc w:val="left"/>
      <w:pPr>
        <w:ind w:left="4680" w:hanging="360"/>
      </w:pPr>
      <w:rPr>
        <w:rFonts w:ascii="Symbol" w:hAnsi="Symbol" w:hint="default"/>
      </w:rPr>
    </w:lvl>
    <w:lvl w:ilvl="7" w:tplc="62D4E3FA">
      <w:start w:val="1"/>
      <w:numFmt w:val="bullet"/>
      <w:lvlText w:val="o"/>
      <w:lvlJc w:val="left"/>
      <w:pPr>
        <w:ind w:left="5400" w:hanging="360"/>
      </w:pPr>
      <w:rPr>
        <w:rFonts w:ascii="Courier New" w:hAnsi="Courier New" w:cs="Courier New" w:hint="default"/>
      </w:rPr>
    </w:lvl>
    <w:lvl w:ilvl="8" w:tplc="9A9E1852">
      <w:start w:val="1"/>
      <w:numFmt w:val="bullet"/>
      <w:lvlText w:val=""/>
      <w:lvlJc w:val="left"/>
      <w:pPr>
        <w:ind w:left="6120" w:hanging="360"/>
      </w:pPr>
      <w:rPr>
        <w:rFonts w:ascii="Wingdings" w:hAnsi="Wingdings" w:hint="default"/>
      </w:rPr>
    </w:lvl>
  </w:abstractNum>
  <w:abstractNum w:abstractNumId="6" w15:restartNumberingAfterBreak="0">
    <w:nsid w:val="10A77E23"/>
    <w:multiLevelType w:val="hybridMultilevel"/>
    <w:tmpl w:val="AA782E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1215F7D"/>
    <w:multiLevelType w:val="hybridMultilevel"/>
    <w:tmpl w:val="2F66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7C759F"/>
    <w:multiLevelType w:val="hybridMultilevel"/>
    <w:tmpl w:val="3F20F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44390A"/>
    <w:multiLevelType w:val="hybridMultilevel"/>
    <w:tmpl w:val="C9C6363C"/>
    <w:lvl w:ilvl="0" w:tplc="E558F9A2">
      <w:start w:val="1"/>
      <w:numFmt w:val="bullet"/>
      <w:lvlText w:val=""/>
      <w:lvlJc w:val="left"/>
      <w:pPr>
        <w:ind w:left="720" w:hanging="360"/>
      </w:pPr>
      <w:rPr>
        <w:rFonts w:ascii="Symbol" w:hAnsi="Symbol" w:hint="default"/>
      </w:rPr>
    </w:lvl>
    <w:lvl w:ilvl="1" w:tplc="533E08E0">
      <w:start w:val="1"/>
      <w:numFmt w:val="bullet"/>
      <w:lvlText w:val="o"/>
      <w:lvlJc w:val="left"/>
      <w:pPr>
        <w:ind w:left="1440" w:hanging="360"/>
      </w:pPr>
      <w:rPr>
        <w:rFonts w:ascii="Courier New" w:hAnsi="Courier New" w:hint="default"/>
      </w:rPr>
    </w:lvl>
    <w:lvl w:ilvl="2" w:tplc="B7968AC4">
      <w:start w:val="1"/>
      <w:numFmt w:val="bullet"/>
      <w:lvlText w:val=""/>
      <w:lvlJc w:val="left"/>
      <w:pPr>
        <w:ind w:left="2160" w:hanging="360"/>
      </w:pPr>
      <w:rPr>
        <w:rFonts w:ascii="Wingdings" w:hAnsi="Wingdings" w:hint="default"/>
      </w:rPr>
    </w:lvl>
    <w:lvl w:ilvl="3" w:tplc="2B6E84E4">
      <w:start w:val="1"/>
      <w:numFmt w:val="bullet"/>
      <w:lvlText w:val=""/>
      <w:lvlJc w:val="left"/>
      <w:pPr>
        <w:ind w:left="2880" w:hanging="360"/>
      </w:pPr>
      <w:rPr>
        <w:rFonts w:ascii="Symbol" w:hAnsi="Symbol" w:hint="default"/>
      </w:rPr>
    </w:lvl>
    <w:lvl w:ilvl="4" w:tplc="8512753E">
      <w:start w:val="1"/>
      <w:numFmt w:val="bullet"/>
      <w:lvlText w:val="o"/>
      <w:lvlJc w:val="left"/>
      <w:pPr>
        <w:ind w:left="3600" w:hanging="360"/>
      </w:pPr>
      <w:rPr>
        <w:rFonts w:ascii="Courier New" w:hAnsi="Courier New" w:hint="default"/>
      </w:rPr>
    </w:lvl>
    <w:lvl w:ilvl="5" w:tplc="40101C5A">
      <w:start w:val="1"/>
      <w:numFmt w:val="bullet"/>
      <w:lvlText w:val=""/>
      <w:lvlJc w:val="left"/>
      <w:pPr>
        <w:ind w:left="4320" w:hanging="360"/>
      </w:pPr>
      <w:rPr>
        <w:rFonts w:ascii="Wingdings" w:hAnsi="Wingdings" w:hint="default"/>
      </w:rPr>
    </w:lvl>
    <w:lvl w:ilvl="6" w:tplc="22965D54">
      <w:start w:val="1"/>
      <w:numFmt w:val="bullet"/>
      <w:lvlText w:val=""/>
      <w:lvlJc w:val="left"/>
      <w:pPr>
        <w:ind w:left="5040" w:hanging="360"/>
      </w:pPr>
      <w:rPr>
        <w:rFonts w:ascii="Symbol" w:hAnsi="Symbol" w:hint="default"/>
      </w:rPr>
    </w:lvl>
    <w:lvl w:ilvl="7" w:tplc="DBD4FCA4">
      <w:start w:val="1"/>
      <w:numFmt w:val="bullet"/>
      <w:lvlText w:val="o"/>
      <w:lvlJc w:val="left"/>
      <w:pPr>
        <w:ind w:left="5760" w:hanging="360"/>
      </w:pPr>
      <w:rPr>
        <w:rFonts w:ascii="Courier New" w:hAnsi="Courier New" w:hint="default"/>
      </w:rPr>
    </w:lvl>
    <w:lvl w:ilvl="8" w:tplc="E6CA7B48">
      <w:start w:val="1"/>
      <w:numFmt w:val="bullet"/>
      <w:lvlText w:val=""/>
      <w:lvlJc w:val="left"/>
      <w:pPr>
        <w:ind w:left="6480" w:hanging="360"/>
      </w:pPr>
      <w:rPr>
        <w:rFonts w:ascii="Wingdings" w:hAnsi="Wingdings" w:hint="default"/>
      </w:rPr>
    </w:lvl>
  </w:abstractNum>
  <w:abstractNum w:abstractNumId="10" w15:restartNumberingAfterBreak="0">
    <w:nsid w:val="15F04786"/>
    <w:multiLevelType w:val="hybridMultilevel"/>
    <w:tmpl w:val="449C6A80"/>
    <w:lvl w:ilvl="0" w:tplc="FB86D25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BC929C60"/>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460319"/>
    <w:multiLevelType w:val="multilevel"/>
    <w:tmpl w:val="F2CA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CC69B5"/>
    <w:multiLevelType w:val="multilevel"/>
    <w:tmpl w:val="FFD0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3210BD"/>
    <w:multiLevelType w:val="hybridMultilevel"/>
    <w:tmpl w:val="2B6C5340"/>
    <w:lvl w:ilvl="0" w:tplc="35F68C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9056A2"/>
    <w:multiLevelType w:val="hybridMultilevel"/>
    <w:tmpl w:val="8F5E9B82"/>
    <w:lvl w:ilvl="0" w:tplc="737CD4C8">
      <w:start w:val="1"/>
      <w:numFmt w:val="bullet"/>
      <w:lvlText w:val=""/>
      <w:lvlJc w:val="left"/>
      <w:pPr>
        <w:ind w:left="720" w:hanging="360"/>
      </w:pPr>
      <w:rPr>
        <w:rFonts w:ascii="Symbol" w:hAnsi="Symbol" w:hint="default"/>
      </w:rPr>
    </w:lvl>
    <w:lvl w:ilvl="1" w:tplc="8E446960">
      <w:start w:val="1"/>
      <w:numFmt w:val="bullet"/>
      <w:lvlText w:val="o"/>
      <w:lvlJc w:val="left"/>
      <w:pPr>
        <w:ind w:left="1440" w:hanging="360"/>
      </w:pPr>
      <w:rPr>
        <w:rFonts w:ascii="Courier New" w:hAnsi="Courier New" w:hint="default"/>
      </w:rPr>
    </w:lvl>
    <w:lvl w:ilvl="2" w:tplc="EB0819E4">
      <w:start w:val="1"/>
      <w:numFmt w:val="bullet"/>
      <w:lvlText w:val=""/>
      <w:lvlJc w:val="left"/>
      <w:pPr>
        <w:ind w:left="2160" w:hanging="360"/>
      </w:pPr>
      <w:rPr>
        <w:rFonts w:ascii="Wingdings" w:hAnsi="Wingdings" w:hint="default"/>
      </w:rPr>
    </w:lvl>
    <w:lvl w:ilvl="3" w:tplc="AC12E060">
      <w:start w:val="1"/>
      <w:numFmt w:val="bullet"/>
      <w:lvlText w:val=""/>
      <w:lvlJc w:val="left"/>
      <w:pPr>
        <w:ind w:left="2880" w:hanging="360"/>
      </w:pPr>
      <w:rPr>
        <w:rFonts w:ascii="Symbol" w:hAnsi="Symbol" w:hint="default"/>
      </w:rPr>
    </w:lvl>
    <w:lvl w:ilvl="4" w:tplc="53A40E2C">
      <w:start w:val="1"/>
      <w:numFmt w:val="bullet"/>
      <w:lvlText w:val="o"/>
      <w:lvlJc w:val="left"/>
      <w:pPr>
        <w:ind w:left="3600" w:hanging="360"/>
      </w:pPr>
      <w:rPr>
        <w:rFonts w:ascii="Courier New" w:hAnsi="Courier New" w:hint="default"/>
      </w:rPr>
    </w:lvl>
    <w:lvl w:ilvl="5" w:tplc="32A43D96">
      <w:start w:val="1"/>
      <w:numFmt w:val="bullet"/>
      <w:lvlText w:val=""/>
      <w:lvlJc w:val="left"/>
      <w:pPr>
        <w:ind w:left="4320" w:hanging="360"/>
      </w:pPr>
      <w:rPr>
        <w:rFonts w:ascii="Wingdings" w:hAnsi="Wingdings" w:hint="default"/>
      </w:rPr>
    </w:lvl>
    <w:lvl w:ilvl="6" w:tplc="FB86E7C6">
      <w:start w:val="1"/>
      <w:numFmt w:val="bullet"/>
      <w:lvlText w:val=""/>
      <w:lvlJc w:val="left"/>
      <w:pPr>
        <w:ind w:left="5040" w:hanging="360"/>
      </w:pPr>
      <w:rPr>
        <w:rFonts w:ascii="Symbol" w:hAnsi="Symbol" w:hint="default"/>
      </w:rPr>
    </w:lvl>
    <w:lvl w:ilvl="7" w:tplc="2E246F24">
      <w:start w:val="1"/>
      <w:numFmt w:val="bullet"/>
      <w:lvlText w:val="o"/>
      <w:lvlJc w:val="left"/>
      <w:pPr>
        <w:ind w:left="5760" w:hanging="360"/>
      </w:pPr>
      <w:rPr>
        <w:rFonts w:ascii="Courier New" w:hAnsi="Courier New" w:hint="default"/>
      </w:rPr>
    </w:lvl>
    <w:lvl w:ilvl="8" w:tplc="19B4798E">
      <w:start w:val="1"/>
      <w:numFmt w:val="bullet"/>
      <w:lvlText w:val=""/>
      <w:lvlJc w:val="left"/>
      <w:pPr>
        <w:ind w:left="6480" w:hanging="360"/>
      </w:pPr>
      <w:rPr>
        <w:rFonts w:ascii="Wingdings" w:hAnsi="Wingdings" w:hint="default"/>
      </w:rPr>
    </w:lvl>
  </w:abstractNum>
  <w:abstractNum w:abstractNumId="17" w15:restartNumberingAfterBreak="0">
    <w:nsid w:val="2228123F"/>
    <w:multiLevelType w:val="hybridMultilevel"/>
    <w:tmpl w:val="6242F374"/>
    <w:lvl w:ilvl="0" w:tplc="5E7E7596">
      <w:start w:val="1"/>
      <w:numFmt w:val="bullet"/>
      <w:lvlText w:val=""/>
      <w:lvlJc w:val="left"/>
      <w:pPr>
        <w:ind w:left="1440" w:hanging="360"/>
      </w:pPr>
      <w:rPr>
        <w:rFonts w:ascii="Symbol" w:hAnsi="Symbol"/>
      </w:rPr>
    </w:lvl>
    <w:lvl w:ilvl="1" w:tplc="8F66DFDA">
      <w:start w:val="1"/>
      <w:numFmt w:val="bullet"/>
      <w:lvlText w:val=""/>
      <w:lvlJc w:val="left"/>
      <w:pPr>
        <w:ind w:left="1440" w:hanging="360"/>
      </w:pPr>
      <w:rPr>
        <w:rFonts w:ascii="Symbol" w:hAnsi="Symbol"/>
      </w:rPr>
    </w:lvl>
    <w:lvl w:ilvl="2" w:tplc="6A1E6908">
      <w:start w:val="1"/>
      <w:numFmt w:val="bullet"/>
      <w:lvlText w:val=""/>
      <w:lvlJc w:val="left"/>
      <w:pPr>
        <w:ind w:left="1440" w:hanging="360"/>
      </w:pPr>
      <w:rPr>
        <w:rFonts w:ascii="Symbol" w:hAnsi="Symbol"/>
      </w:rPr>
    </w:lvl>
    <w:lvl w:ilvl="3" w:tplc="F0DA8D36">
      <w:start w:val="1"/>
      <w:numFmt w:val="bullet"/>
      <w:lvlText w:val=""/>
      <w:lvlJc w:val="left"/>
      <w:pPr>
        <w:ind w:left="1440" w:hanging="360"/>
      </w:pPr>
      <w:rPr>
        <w:rFonts w:ascii="Symbol" w:hAnsi="Symbol"/>
      </w:rPr>
    </w:lvl>
    <w:lvl w:ilvl="4" w:tplc="B928ED54">
      <w:start w:val="1"/>
      <w:numFmt w:val="bullet"/>
      <w:lvlText w:val=""/>
      <w:lvlJc w:val="left"/>
      <w:pPr>
        <w:ind w:left="1440" w:hanging="360"/>
      </w:pPr>
      <w:rPr>
        <w:rFonts w:ascii="Symbol" w:hAnsi="Symbol"/>
      </w:rPr>
    </w:lvl>
    <w:lvl w:ilvl="5" w:tplc="4F107640">
      <w:start w:val="1"/>
      <w:numFmt w:val="bullet"/>
      <w:lvlText w:val=""/>
      <w:lvlJc w:val="left"/>
      <w:pPr>
        <w:ind w:left="1440" w:hanging="360"/>
      </w:pPr>
      <w:rPr>
        <w:rFonts w:ascii="Symbol" w:hAnsi="Symbol"/>
      </w:rPr>
    </w:lvl>
    <w:lvl w:ilvl="6" w:tplc="CF5C9F2E">
      <w:start w:val="1"/>
      <w:numFmt w:val="bullet"/>
      <w:lvlText w:val=""/>
      <w:lvlJc w:val="left"/>
      <w:pPr>
        <w:ind w:left="1440" w:hanging="360"/>
      </w:pPr>
      <w:rPr>
        <w:rFonts w:ascii="Symbol" w:hAnsi="Symbol"/>
      </w:rPr>
    </w:lvl>
    <w:lvl w:ilvl="7" w:tplc="1210760C">
      <w:start w:val="1"/>
      <w:numFmt w:val="bullet"/>
      <w:lvlText w:val=""/>
      <w:lvlJc w:val="left"/>
      <w:pPr>
        <w:ind w:left="1440" w:hanging="360"/>
      </w:pPr>
      <w:rPr>
        <w:rFonts w:ascii="Symbol" w:hAnsi="Symbol"/>
      </w:rPr>
    </w:lvl>
    <w:lvl w:ilvl="8" w:tplc="185A8376">
      <w:start w:val="1"/>
      <w:numFmt w:val="bullet"/>
      <w:lvlText w:val=""/>
      <w:lvlJc w:val="left"/>
      <w:pPr>
        <w:ind w:left="1440" w:hanging="360"/>
      </w:pPr>
      <w:rPr>
        <w:rFonts w:ascii="Symbol" w:hAnsi="Symbol"/>
      </w:rPr>
    </w:lvl>
  </w:abstractNum>
  <w:abstractNum w:abstractNumId="18" w15:restartNumberingAfterBreak="0">
    <w:nsid w:val="2A8F5BD8"/>
    <w:multiLevelType w:val="hybridMultilevel"/>
    <w:tmpl w:val="78B64696"/>
    <w:lvl w:ilvl="0" w:tplc="F33CF10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6741AF"/>
    <w:multiLevelType w:val="hybridMultilevel"/>
    <w:tmpl w:val="357664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B9830E7"/>
    <w:multiLevelType w:val="hybridMultilevel"/>
    <w:tmpl w:val="86586C1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2"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23" w15:restartNumberingAfterBreak="0">
    <w:nsid w:val="32AE6B46"/>
    <w:multiLevelType w:val="hybridMultilevel"/>
    <w:tmpl w:val="47B41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186529"/>
    <w:multiLevelType w:val="multilevel"/>
    <w:tmpl w:val="3120EB88"/>
    <w:lvl w:ilvl="0">
      <w:start w:val="1"/>
      <w:numFmt w:val="decimal"/>
      <w:pStyle w:val="NumberedParagraphs"/>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37614094"/>
    <w:multiLevelType w:val="hybridMultilevel"/>
    <w:tmpl w:val="7B1EA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6103FF"/>
    <w:multiLevelType w:val="hybridMultilevel"/>
    <w:tmpl w:val="2B6C5340"/>
    <w:lvl w:ilvl="0" w:tplc="35F68C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DA32F3"/>
    <w:multiLevelType w:val="hybridMultilevel"/>
    <w:tmpl w:val="BC523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29" w15:restartNumberingAfterBreak="0">
    <w:nsid w:val="475F5050"/>
    <w:multiLevelType w:val="hybridMultilevel"/>
    <w:tmpl w:val="B1CEA01E"/>
    <w:lvl w:ilvl="0" w:tplc="B23881D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948021D"/>
    <w:multiLevelType w:val="hybridMultilevel"/>
    <w:tmpl w:val="A2065712"/>
    <w:lvl w:ilvl="0" w:tplc="FFFFFFFF">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1" w15:restartNumberingAfterBreak="0">
    <w:nsid w:val="509B1E59"/>
    <w:multiLevelType w:val="hybridMultilevel"/>
    <w:tmpl w:val="C72C70C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2" w15:restartNumberingAfterBreak="0">
    <w:nsid w:val="54EB14D1"/>
    <w:multiLevelType w:val="hybridMultilevel"/>
    <w:tmpl w:val="22B26244"/>
    <w:lvl w:ilvl="0" w:tplc="B23881D0">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52E10FD"/>
    <w:multiLevelType w:val="hybridMultilevel"/>
    <w:tmpl w:val="A154A084"/>
    <w:lvl w:ilvl="0" w:tplc="A6EACFDA">
      <w:numFmt w:val="bullet"/>
      <w:lvlText w:val=""/>
      <w:lvlJc w:val="left"/>
      <w:pPr>
        <w:ind w:left="720" w:hanging="360"/>
      </w:pPr>
      <w:rPr>
        <w:rFonts w:ascii="Symbol" w:eastAsia="Calibri" w:hAnsi="Symbol" w:cs="Times New Roman" w:hint="default"/>
      </w:rPr>
    </w:lvl>
    <w:lvl w:ilvl="1" w:tplc="E36889C0">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70A682F"/>
    <w:multiLevelType w:val="hybridMultilevel"/>
    <w:tmpl w:val="2514F774"/>
    <w:lvl w:ilvl="0" w:tplc="C15A4534">
      <w:start w:val="1"/>
      <w:numFmt w:val="bullet"/>
      <w:lvlText w:val=""/>
      <w:lvlJc w:val="left"/>
      <w:pPr>
        <w:ind w:left="720" w:hanging="360"/>
      </w:pPr>
      <w:rPr>
        <w:rFonts w:ascii="Symbol" w:hAnsi="Symbol" w:hint="default"/>
      </w:rPr>
    </w:lvl>
    <w:lvl w:ilvl="1" w:tplc="58843108">
      <w:start w:val="1"/>
      <w:numFmt w:val="bullet"/>
      <w:lvlText w:val="o"/>
      <w:lvlJc w:val="left"/>
      <w:pPr>
        <w:ind w:left="1440" w:hanging="360"/>
      </w:pPr>
      <w:rPr>
        <w:rFonts w:ascii="Courier New" w:hAnsi="Courier New" w:hint="default"/>
      </w:rPr>
    </w:lvl>
    <w:lvl w:ilvl="2" w:tplc="50F680E4">
      <w:start w:val="1"/>
      <w:numFmt w:val="bullet"/>
      <w:lvlText w:val=""/>
      <w:lvlJc w:val="left"/>
      <w:pPr>
        <w:ind w:left="2160" w:hanging="360"/>
      </w:pPr>
      <w:rPr>
        <w:rFonts w:ascii="Wingdings" w:hAnsi="Wingdings" w:hint="default"/>
      </w:rPr>
    </w:lvl>
    <w:lvl w:ilvl="3" w:tplc="3D2C2406">
      <w:start w:val="1"/>
      <w:numFmt w:val="bullet"/>
      <w:lvlText w:val=""/>
      <w:lvlJc w:val="left"/>
      <w:pPr>
        <w:ind w:left="2880" w:hanging="360"/>
      </w:pPr>
      <w:rPr>
        <w:rFonts w:ascii="Symbol" w:hAnsi="Symbol" w:hint="default"/>
      </w:rPr>
    </w:lvl>
    <w:lvl w:ilvl="4" w:tplc="7556048C">
      <w:start w:val="1"/>
      <w:numFmt w:val="bullet"/>
      <w:lvlText w:val="o"/>
      <w:lvlJc w:val="left"/>
      <w:pPr>
        <w:ind w:left="3600" w:hanging="360"/>
      </w:pPr>
      <w:rPr>
        <w:rFonts w:ascii="Courier New" w:hAnsi="Courier New" w:hint="default"/>
      </w:rPr>
    </w:lvl>
    <w:lvl w:ilvl="5" w:tplc="A6F6CBE8">
      <w:start w:val="1"/>
      <w:numFmt w:val="bullet"/>
      <w:lvlText w:val=""/>
      <w:lvlJc w:val="left"/>
      <w:pPr>
        <w:ind w:left="4320" w:hanging="360"/>
      </w:pPr>
      <w:rPr>
        <w:rFonts w:ascii="Wingdings" w:hAnsi="Wingdings" w:hint="default"/>
      </w:rPr>
    </w:lvl>
    <w:lvl w:ilvl="6" w:tplc="053AF47E">
      <w:start w:val="1"/>
      <w:numFmt w:val="bullet"/>
      <w:lvlText w:val=""/>
      <w:lvlJc w:val="left"/>
      <w:pPr>
        <w:ind w:left="5040" w:hanging="360"/>
      </w:pPr>
      <w:rPr>
        <w:rFonts w:ascii="Symbol" w:hAnsi="Symbol" w:hint="default"/>
      </w:rPr>
    </w:lvl>
    <w:lvl w:ilvl="7" w:tplc="1F183F8C">
      <w:start w:val="1"/>
      <w:numFmt w:val="bullet"/>
      <w:lvlText w:val="o"/>
      <w:lvlJc w:val="left"/>
      <w:pPr>
        <w:ind w:left="5760" w:hanging="360"/>
      </w:pPr>
      <w:rPr>
        <w:rFonts w:ascii="Courier New" w:hAnsi="Courier New" w:hint="default"/>
      </w:rPr>
    </w:lvl>
    <w:lvl w:ilvl="8" w:tplc="29B6A42E">
      <w:start w:val="1"/>
      <w:numFmt w:val="bullet"/>
      <w:lvlText w:val=""/>
      <w:lvlJc w:val="left"/>
      <w:pPr>
        <w:ind w:left="6480" w:hanging="360"/>
      </w:pPr>
      <w:rPr>
        <w:rFonts w:ascii="Wingdings" w:hAnsi="Wingdings" w:hint="default"/>
      </w:rPr>
    </w:lvl>
  </w:abstractNum>
  <w:abstractNum w:abstractNumId="35" w15:restartNumberingAfterBreak="0">
    <w:nsid w:val="61386D9C"/>
    <w:multiLevelType w:val="hybridMultilevel"/>
    <w:tmpl w:val="8098AA6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EE92A0B"/>
    <w:multiLevelType w:val="hybridMultilevel"/>
    <w:tmpl w:val="351A9F60"/>
    <w:lvl w:ilvl="0" w:tplc="FB86D25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2003160"/>
    <w:multiLevelType w:val="hybridMultilevel"/>
    <w:tmpl w:val="CAF2196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abstractNum w:abstractNumId="41" w15:restartNumberingAfterBreak="0">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DC83AC1"/>
    <w:multiLevelType w:val="hybridMultilevel"/>
    <w:tmpl w:val="CCC066C8"/>
    <w:lvl w:ilvl="0" w:tplc="35F68C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6603787">
    <w:abstractNumId w:val="16"/>
  </w:num>
  <w:num w:numId="2" w16cid:durableId="2015109158">
    <w:abstractNumId w:val="34"/>
  </w:num>
  <w:num w:numId="3" w16cid:durableId="972246711">
    <w:abstractNumId w:val="9"/>
  </w:num>
  <w:num w:numId="4" w16cid:durableId="492792385">
    <w:abstractNumId w:val="21"/>
  </w:num>
  <w:num w:numId="5" w16cid:durableId="241717755">
    <w:abstractNumId w:val="36"/>
  </w:num>
  <w:num w:numId="6" w16cid:durableId="150566307">
    <w:abstractNumId w:val="38"/>
  </w:num>
  <w:num w:numId="7" w16cid:durableId="1383481693">
    <w:abstractNumId w:val="40"/>
  </w:num>
  <w:num w:numId="8" w16cid:durableId="888223138">
    <w:abstractNumId w:val="28"/>
  </w:num>
  <w:num w:numId="9" w16cid:durableId="907108205">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5154627">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030763">
    <w:abstractNumId w:val="22"/>
  </w:num>
  <w:num w:numId="12" w16cid:durableId="1396931305">
    <w:abstractNumId w:val="11"/>
  </w:num>
  <w:num w:numId="13" w16cid:durableId="1197423032">
    <w:abstractNumId w:val="0"/>
  </w:num>
  <w:num w:numId="14" w16cid:durableId="1426220392">
    <w:abstractNumId w:val="0"/>
  </w:num>
  <w:num w:numId="15" w16cid:durableId="1388065338">
    <w:abstractNumId w:val="36"/>
  </w:num>
  <w:num w:numId="16" w16cid:durableId="1918981545">
    <w:abstractNumId w:val="36"/>
  </w:num>
  <w:num w:numId="17" w16cid:durableId="1507090207">
    <w:abstractNumId w:val="36"/>
  </w:num>
  <w:num w:numId="18" w16cid:durableId="1668442953">
    <w:abstractNumId w:val="36"/>
  </w:num>
  <w:num w:numId="19" w16cid:durableId="2067026002">
    <w:abstractNumId w:val="36"/>
  </w:num>
  <w:num w:numId="20" w16cid:durableId="508639608">
    <w:abstractNumId w:val="36"/>
  </w:num>
  <w:num w:numId="21" w16cid:durableId="1956986819">
    <w:abstractNumId w:val="36"/>
  </w:num>
  <w:num w:numId="22" w16cid:durableId="1671986431">
    <w:abstractNumId w:val="0"/>
  </w:num>
  <w:num w:numId="23" w16cid:durableId="1249266125">
    <w:abstractNumId w:val="36"/>
  </w:num>
  <w:num w:numId="24" w16cid:durableId="1588269679">
    <w:abstractNumId w:val="36"/>
  </w:num>
  <w:num w:numId="25" w16cid:durableId="344358272">
    <w:abstractNumId w:val="36"/>
  </w:num>
  <w:num w:numId="26" w16cid:durableId="1353845414">
    <w:abstractNumId w:val="36"/>
  </w:num>
  <w:num w:numId="27" w16cid:durableId="1501656493">
    <w:abstractNumId w:val="36"/>
  </w:num>
  <w:num w:numId="28" w16cid:durableId="315763850">
    <w:abstractNumId w:val="36"/>
  </w:num>
  <w:num w:numId="29" w16cid:durableId="904683871">
    <w:abstractNumId w:val="0"/>
  </w:num>
  <w:num w:numId="30" w16cid:durableId="204145204">
    <w:abstractNumId w:val="0"/>
  </w:num>
  <w:num w:numId="31" w16cid:durableId="122576904">
    <w:abstractNumId w:val="19"/>
  </w:num>
  <w:num w:numId="32" w16cid:durableId="1199970219">
    <w:abstractNumId w:val="18"/>
  </w:num>
  <w:num w:numId="33" w16cid:durableId="1173254191">
    <w:abstractNumId w:val="0"/>
  </w:num>
  <w:num w:numId="34" w16cid:durableId="654921495">
    <w:abstractNumId w:val="32"/>
  </w:num>
  <w:num w:numId="35" w16cid:durableId="1402219634">
    <w:abstractNumId w:val="4"/>
  </w:num>
  <w:num w:numId="36" w16cid:durableId="1503088243">
    <w:abstractNumId w:val="6"/>
  </w:num>
  <w:num w:numId="37" w16cid:durableId="19206769">
    <w:abstractNumId w:val="39"/>
  </w:num>
  <w:num w:numId="38" w16cid:durableId="1031103015">
    <w:abstractNumId w:val="0"/>
  </w:num>
  <w:num w:numId="39" w16cid:durableId="1550872040">
    <w:abstractNumId w:val="2"/>
  </w:num>
  <w:num w:numId="40" w16cid:durableId="1503619154">
    <w:abstractNumId w:val="23"/>
  </w:num>
  <w:num w:numId="41" w16cid:durableId="1442532816">
    <w:abstractNumId w:val="0"/>
  </w:num>
  <w:num w:numId="42" w16cid:durableId="1097866552">
    <w:abstractNumId w:val="29"/>
  </w:num>
  <w:num w:numId="43" w16cid:durableId="8402395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4140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8317132">
    <w:abstractNumId w:val="10"/>
  </w:num>
  <w:num w:numId="46" w16cid:durableId="1300186827">
    <w:abstractNumId w:val="0"/>
  </w:num>
  <w:num w:numId="47" w16cid:durableId="968707672">
    <w:abstractNumId w:val="0"/>
  </w:num>
  <w:num w:numId="48" w16cid:durableId="1717706119">
    <w:abstractNumId w:val="35"/>
  </w:num>
  <w:num w:numId="49" w16cid:durableId="85813912">
    <w:abstractNumId w:val="3"/>
  </w:num>
  <w:num w:numId="50" w16cid:durableId="429740916">
    <w:abstractNumId w:val="7"/>
  </w:num>
  <w:num w:numId="51" w16cid:durableId="289635654">
    <w:abstractNumId w:val="8"/>
  </w:num>
  <w:num w:numId="52" w16cid:durableId="1014460280">
    <w:abstractNumId w:val="27"/>
  </w:num>
  <w:num w:numId="53" w16cid:durableId="1059674508">
    <w:abstractNumId w:val="13"/>
  </w:num>
  <w:num w:numId="54" w16cid:durableId="1092891357">
    <w:abstractNumId w:val="25"/>
  </w:num>
  <w:num w:numId="55" w16cid:durableId="1483500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05861657">
    <w:abstractNumId w:val="24"/>
  </w:num>
  <w:num w:numId="57" w16cid:durableId="402335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41487046">
    <w:abstractNumId w:val="42"/>
  </w:num>
  <w:num w:numId="59" w16cid:durableId="505942071">
    <w:abstractNumId w:val="15"/>
  </w:num>
  <w:num w:numId="60" w16cid:durableId="280570959">
    <w:abstractNumId w:val="1"/>
  </w:num>
  <w:num w:numId="61" w16cid:durableId="835917449">
    <w:abstractNumId w:val="37"/>
  </w:num>
  <w:num w:numId="62" w16cid:durableId="675502443">
    <w:abstractNumId w:val="30"/>
  </w:num>
  <w:num w:numId="63" w16cid:durableId="2107534208">
    <w:abstractNumId w:val="14"/>
  </w:num>
  <w:num w:numId="64" w16cid:durableId="445389849">
    <w:abstractNumId w:val="5"/>
  </w:num>
  <w:num w:numId="65" w16cid:durableId="533346746">
    <w:abstractNumId w:val="5"/>
  </w:num>
  <w:num w:numId="66" w16cid:durableId="1215193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3808786">
    <w:abstractNumId w:val="31"/>
  </w:num>
  <w:num w:numId="68" w16cid:durableId="1604990976">
    <w:abstractNumId w:val="33"/>
  </w:num>
  <w:num w:numId="69" w16cid:durableId="1466122742">
    <w:abstractNumId w:val="20"/>
  </w:num>
  <w:num w:numId="70" w16cid:durableId="33044779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03542744">
    <w:abstractNumId w:val="12"/>
    <w:lvlOverride w:ilvl="0">
      <w:lvl w:ilvl="0">
        <w:start w:val="1"/>
        <w:numFmt w:val="decimal"/>
        <w:pStyle w:val="BodyNum"/>
        <w:lvlText w:val="%1"/>
        <w:lvlJc w:val="left"/>
        <w:pPr>
          <w:tabs>
            <w:tab w:val="num" w:pos="720"/>
          </w:tabs>
          <w:ind w:left="0" w:firstLine="0"/>
        </w:pPr>
        <w:rPr>
          <w:rFonts w:hint="default"/>
          <w:b w:val="0"/>
          <w:i w:val="0"/>
        </w:rPr>
      </w:lvl>
    </w:lvlOverride>
  </w:num>
  <w:num w:numId="72" w16cid:durableId="1716811552">
    <w:abstractNumId w:val="12"/>
  </w:num>
  <w:num w:numId="73" w16cid:durableId="906956196">
    <w:abstractNumId w:val="17"/>
  </w:num>
  <w:num w:numId="74" w16cid:durableId="1954284648">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E9"/>
    <w:rsid w:val="00000B27"/>
    <w:rsid w:val="00001661"/>
    <w:rsid w:val="00003971"/>
    <w:rsid w:val="00003B0F"/>
    <w:rsid w:val="000048B4"/>
    <w:rsid w:val="00004B42"/>
    <w:rsid w:val="00005453"/>
    <w:rsid w:val="000056C1"/>
    <w:rsid w:val="00005E8C"/>
    <w:rsid w:val="00006449"/>
    <w:rsid w:val="00006713"/>
    <w:rsid w:val="00006A97"/>
    <w:rsid w:val="000115B3"/>
    <w:rsid w:val="00011BE2"/>
    <w:rsid w:val="00012A01"/>
    <w:rsid w:val="00012FFD"/>
    <w:rsid w:val="00014F0C"/>
    <w:rsid w:val="0001613B"/>
    <w:rsid w:val="0001616C"/>
    <w:rsid w:val="0001658D"/>
    <w:rsid w:val="00016AB4"/>
    <w:rsid w:val="00016EA2"/>
    <w:rsid w:val="00020843"/>
    <w:rsid w:val="0002097A"/>
    <w:rsid w:val="00020A97"/>
    <w:rsid w:val="000212FB"/>
    <w:rsid w:val="0002197C"/>
    <w:rsid w:val="00021BA5"/>
    <w:rsid w:val="00021E33"/>
    <w:rsid w:val="00022084"/>
    <w:rsid w:val="00022A12"/>
    <w:rsid w:val="000231DF"/>
    <w:rsid w:val="00023BCC"/>
    <w:rsid w:val="00023D6A"/>
    <w:rsid w:val="000250CB"/>
    <w:rsid w:val="000250F2"/>
    <w:rsid w:val="000263D6"/>
    <w:rsid w:val="00026576"/>
    <w:rsid w:val="000267BD"/>
    <w:rsid w:val="00026BD0"/>
    <w:rsid w:val="00027420"/>
    <w:rsid w:val="00027846"/>
    <w:rsid w:val="000304C9"/>
    <w:rsid w:val="00030CCB"/>
    <w:rsid w:val="0003196C"/>
    <w:rsid w:val="00031EE2"/>
    <w:rsid w:val="00033C60"/>
    <w:rsid w:val="00034316"/>
    <w:rsid w:val="00034943"/>
    <w:rsid w:val="00034A9B"/>
    <w:rsid w:val="00034AE7"/>
    <w:rsid w:val="00034C80"/>
    <w:rsid w:val="00034EC5"/>
    <w:rsid w:val="00035ECA"/>
    <w:rsid w:val="00037266"/>
    <w:rsid w:val="000372F4"/>
    <w:rsid w:val="00037BE1"/>
    <w:rsid w:val="00040AEE"/>
    <w:rsid w:val="00040CEC"/>
    <w:rsid w:val="00041C4E"/>
    <w:rsid w:val="000426DB"/>
    <w:rsid w:val="0004434C"/>
    <w:rsid w:val="0004560E"/>
    <w:rsid w:val="00045B31"/>
    <w:rsid w:val="00046A08"/>
    <w:rsid w:val="00046C9F"/>
    <w:rsid w:val="00050FFF"/>
    <w:rsid w:val="00052CD5"/>
    <w:rsid w:val="00052D29"/>
    <w:rsid w:val="00053D22"/>
    <w:rsid w:val="000544E0"/>
    <w:rsid w:val="000551CE"/>
    <w:rsid w:val="000562DA"/>
    <w:rsid w:val="00056A26"/>
    <w:rsid w:val="00056C8F"/>
    <w:rsid w:val="00057627"/>
    <w:rsid w:val="0005765C"/>
    <w:rsid w:val="00060567"/>
    <w:rsid w:val="0006079E"/>
    <w:rsid w:val="00060AA2"/>
    <w:rsid w:val="00060CE1"/>
    <w:rsid w:val="00060CF1"/>
    <w:rsid w:val="00061351"/>
    <w:rsid w:val="0006174B"/>
    <w:rsid w:val="000628C7"/>
    <w:rsid w:val="000628C9"/>
    <w:rsid w:val="00062FFE"/>
    <w:rsid w:val="000634E0"/>
    <w:rsid w:val="000637FE"/>
    <w:rsid w:val="00064076"/>
    <w:rsid w:val="00064D1B"/>
    <w:rsid w:val="000660EE"/>
    <w:rsid w:val="000664CF"/>
    <w:rsid w:val="000665DB"/>
    <w:rsid w:val="000667CB"/>
    <w:rsid w:val="00067301"/>
    <w:rsid w:val="00070423"/>
    <w:rsid w:val="00070C06"/>
    <w:rsid w:val="00070C3D"/>
    <w:rsid w:val="00070CAB"/>
    <w:rsid w:val="000713B5"/>
    <w:rsid w:val="000720B4"/>
    <w:rsid w:val="00072378"/>
    <w:rsid w:val="00072508"/>
    <w:rsid w:val="00072509"/>
    <w:rsid w:val="00073162"/>
    <w:rsid w:val="00074927"/>
    <w:rsid w:val="00074A27"/>
    <w:rsid w:val="000760E9"/>
    <w:rsid w:val="000762E3"/>
    <w:rsid w:val="000770A4"/>
    <w:rsid w:val="00077433"/>
    <w:rsid w:val="0007761D"/>
    <w:rsid w:val="000776F1"/>
    <w:rsid w:val="00077DC1"/>
    <w:rsid w:val="000800EC"/>
    <w:rsid w:val="00081746"/>
    <w:rsid w:val="0008175E"/>
    <w:rsid w:val="00081DC5"/>
    <w:rsid w:val="00081F9C"/>
    <w:rsid w:val="00082011"/>
    <w:rsid w:val="000832D0"/>
    <w:rsid w:val="00083381"/>
    <w:rsid w:val="000850A2"/>
    <w:rsid w:val="000858FA"/>
    <w:rsid w:val="00086ADC"/>
    <w:rsid w:val="000879AF"/>
    <w:rsid w:val="00087A55"/>
    <w:rsid w:val="00087FB8"/>
    <w:rsid w:val="00091723"/>
    <w:rsid w:val="000922AA"/>
    <w:rsid w:val="00095211"/>
    <w:rsid w:val="00095690"/>
    <w:rsid w:val="0009713F"/>
    <w:rsid w:val="00097CF7"/>
    <w:rsid w:val="00097F6B"/>
    <w:rsid w:val="000A06E7"/>
    <w:rsid w:val="000A1989"/>
    <w:rsid w:val="000A2181"/>
    <w:rsid w:val="000A2491"/>
    <w:rsid w:val="000A2533"/>
    <w:rsid w:val="000A2BAF"/>
    <w:rsid w:val="000A2C46"/>
    <w:rsid w:val="000A388C"/>
    <w:rsid w:val="000A43B8"/>
    <w:rsid w:val="000A5077"/>
    <w:rsid w:val="000A546C"/>
    <w:rsid w:val="000A5473"/>
    <w:rsid w:val="000A5F1E"/>
    <w:rsid w:val="000A650B"/>
    <w:rsid w:val="000A66F7"/>
    <w:rsid w:val="000B0950"/>
    <w:rsid w:val="000B0E9E"/>
    <w:rsid w:val="000B1F03"/>
    <w:rsid w:val="000B1F0B"/>
    <w:rsid w:val="000B207F"/>
    <w:rsid w:val="000B232C"/>
    <w:rsid w:val="000B2694"/>
    <w:rsid w:val="000B2843"/>
    <w:rsid w:val="000B3CAE"/>
    <w:rsid w:val="000B3E74"/>
    <w:rsid w:val="000B3F88"/>
    <w:rsid w:val="000B4060"/>
    <w:rsid w:val="000B44B0"/>
    <w:rsid w:val="000B4E85"/>
    <w:rsid w:val="000B5FB8"/>
    <w:rsid w:val="000B6310"/>
    <w:rsid w:val="000B654A"/>
    <w:rsid w:val="000B6571"/>
    <w:rsid w:val="000B696B"/>
    <w:rsid w:val="000B6BE8"/>
    <w:rsid w:val="000B7018"/>
    <w:rsid w:val="000B7110"/>
    <w:rsid w:val="000B791F"/>
    <w:rsid w:val="000C1046"/>
    <w:rsid w:val="000C10DF"/>
    <w:rsid w:val="000C2522"/>
    <w:rsid w:val="000C349C"/>
    <w:rsid w:val="000C39AA"/>
    <w:rsid w:val="000C402A"/>
    <w:rsid w:val="000C57AC"/>
    <w:rsid w:val="000C5DE5"/>
    <w:rsid w:val="000C6A4D"/>
    <w:rsid w:val="000C6A9E"/>
    <w:rsid w:val="000C6CA9"/>
    <w:rsid w:val="000C7997"/>
    <w:rsid w:val="000C7D48"/>
    <w:rsid w:val="000D0EBA"/>
    <w:rsid w:val="000D1EDB"/>
    <w:rsid w:val="000D1EE6"/>
    <w:rsid w:val="000D22EB"/>
    <w:rsid w:val="000D27C0"/>
    <w:rsid w:val="000D366C"/>
    <w:rsid w:val="000D45D5"/>
    <w:rsid w:val="000D56B7"/>
    <w:rsid w:val="000D585C"/>
    <w:rsid w:val="000D595B"/>
    <w:rsid w:val="000D5D87"/>
    <w:rsid w:val="000D640B"/>
    <w:rsid w:val="000D7873"/>
    <w:rsid w:val="000E0471"/>
    <w:rsid w:val="000E088C"/>
    <w:rsid w:val="000E0C0E"/>
    <w:rsid w:val="000E1599"/>
    <w:rsid w:val="000E1A09"/>
    <w:rsid w:val="000E1AF9"/>
    <w:rsid w:val="000E22D4"/>
    <w:rsid w:val="000E298B"/>
    <w:rsid w:val="000E3F29"/>
    <w:rsid w:val="000E413B"/>
    <w:rsid w:val="000E5404"/>
    <w:rsid w:val="000E6A04"/>
    <w:rsid w:val="000E6ABC"/>
    <w:rsid w:val="000E6CF3"/>
    <w:rsid w:val="000E751B"/>
    <w:rsid w:val="000E7AC2"/>
    <w:rsid w:val="000E7CC7"/>
    <w:rsid w:val="000F0BED"/>
    <w:rsid w:val="000F0ECC"/>
    <w:rsid w:val="000F13A1"/>
    <w:rsid w:val="000F2579"/>
    <w:rsid w:val="000F26C9"/>
    <w:rsid w:val="000F2873"/>
    <w:rsid w:val="000F2D8C"/>
    <w:rsid w:val="000F360E"/>
    <w:rsid w:val="000F3C83"/>
    <w:rsid w:val="000F47F6"/>
    <w:rsid w:val="000F4B74"/>
    <w:rsid w:val="000F618F"/>
    <w:rsid w:val="000F636A"/>
    <w:rsid w:val="000F76FF"/>
    <w:rsid w:val="000F790A"/>
    <w:rsid w:val="00100789"/>
    <w:rsid w:val="00101839"/>
    <w:rsid w:val="0010217F"/>
    <w:rsid w:val="001029C1"/>
    <w:rsid w:val="0010309F"/>
    <w:rsid w:val="001037D5"/>
    <w:rsid w:val="00103C9D"/>
    <w:rsid w:val="00104017"/>
    <w:rsid w:val="00104230"/>
    <w:rsid w:val="0010440C"/>
    <w:rsid w:val="00104CC2"/>
    <w:rsid w:val="001057BD"/>
    <w:rsid w:val="00105832"/>
    <w:rsid w:val="001059CA"/>
    <w:rsid w:val="001065DF"/>
    <w:rsid w:val="0010738D"/>
    <w:rsid w:val="00107788"/>
    <w:rsid w:val="00107D84"/>
    <w:rsid w:val="00110059"/>
    <w:rsid w:val="00110E40"/>
    <w:rsid w:val="00110E64"/>
    <w:rsid w:val="001111B8"/>
    <w:rsid w:val="001112F3"/>
    <w:rsid w:val="00111322"/>
    <w:rsid w:val="001116B5"/>
    <w:rsid w:val="00111F32"/>
    <w:rsid w:val="00112387"/>
    <w:rsid w:val="00112528"/>
    <w:rsid w:val="00112888"/>
    <w:rsid w:val="00112DA5"/>
    <w:rsid w:val="001133F4"/>
    <w:rsid w:val="0011370E"/>
    <w:rsid w:val="00113B45"/>
    <w:rsid w:val="00113DF9"/>
    <w:rsid w:val="00114727"/>
    <w:rsid w:val="001147C6"/>
    <w:rsid w:val="001149DC"/>
    <w:rsid w:val="00114F70"/>
    <w:rsid w:val="00115070"/>
    <w:rsid w:val="0011528D"/>
    <w:rsid w:val="001153C5"/>
    <w:rsid w:val="001154C7"/>
    <w:rsid w:val="00116CC7"/>
    <w:rsid w:val="00117066"/>
    <w:rsid w:val="0011718D"/>
    <w:rsid w:val="00117213"/>
    <w:rsid w:val="0011756C"/>
    <w:rsid w:val="00117D50"/>
    <w:rsid w:val="00117DBA"/>
    <w:rsid w:val="00120A85"/>
    <w:rsid w:val="00120B5C"/>
    <w:rsid w:val="001218DE"/>
    <w:rsid w:val="00121A8D"/>
    <w:rsid w:val="00121C6E"/>
    <w:rsid w:val="00122120"/>
    <w:rsid w:val="00122480"/>
    <w:rsid w:val="001236DC"/>
    <w:rsid w:val="00123BEE"/>
    <w:rsid w:val="00124EBB"/>
    <w:rsid w:val="0012576A"/>
    <w:rsid w:val="00126719"/>
    <w:rsid w:val="001268C6"/>
    <w:rsid w:val="001268E0"/>
    <w:rsid w:val="00126A7A"/>
    <w:rsid w:val="00126BBF"/>
    <w:rsid w:val="00126E02"/>
    <w:rsid w:val="0012779E"/>
    <w:rsid w:val="00127EF2"/>
    <w:rsid w:val="00130697"/>
    <w:rsid w:val="00130C93"/>
    <w:rsid w:val="00131402"/>
    <w:rsid w:val="00131714"/>
    <w:rsid w:val="001318AC"/>
    <w:rsid w:val="0013341E"/>
    <w:rsid w:val="001342ED"/>
    <w:rsid w:val="001342EF"/>
    <w:rsid w:val="00134B6B"/>
    <w:rsid w:val="001355AA"/>
    <w:rsid w:val="001359F5"/>
    <w:rsid w:val="0013786F"/>
    <w:rsid w:val="00137952"/>
    <w:rsid w:val="00137FC2"/>
    <w:rsid w:val="00140A21"/>
    <w:rsid w:val="00141174"/>
    <w:rsid w:val="00141DC0"/>
    <w:rsid w:val="001426A8"/>
    <w:rsid w:val="0014344B"/>
    <w:rsid w:val="001434B9"/>
    <w:rsid w:val="00143F07"/>
    <w:rsid w:val="00144D8B"/>
    <w:rsid w:val="00145700"/>
    <w:rsid w:val="001466A0"/>
    <w:rsid w:val="0014688B"/>
    <w:rsid w:val="00146B1A"/>
    <w:rsid w:val="001470C8"/>
    <w:rsid w:val="00147F20"/>
    <w:rsid w:val="00147F5F"/>
    <w:rsid w:val="001500D9"/>
    <w:rsid w:val="00151BBB"/>
    <w:rsid w:val="00152DCA"/>
    <w:rsid w:val="00152F6C"/>
    <w:rsid w:val="00153090"/>
    <w:rsid w:val="00153404"/>
    <w:rsid w:val="00154215"/>
    <w:rsid w:val="001550D7"/>
    <w:rsid w:val="001563EF"/>
    <w:rsid w:val="00156AE1"/>
    <w:rsid w:val="00160725"/>
    <w:rsid w:val="00160E1C"/>
    <w:rsid w:val="00162156"/>
    <w:rsid w:val="001623AD"/>
    <w:rsid w:val="00162A68"/>
    <w:rsid w:val="00163599"/>
    <w:rsid w:val="00163F5E"/>
    <w:rsid w:val="00164E9F"/>
    <w:rsid w:val="00165766"/>
    <w:rsid w:val="001668F2"/>
    <w:rsid w:val="00166BB4"/>
    <w:rsid w:val="00167E2F"/>
    <w:rsid w:val="0017044A"/>
    <w:rsid w:val="00170BE2"/>
    <w:rsid w:val="00170DAA"/>
    <w:rsid w:val="00170FA7"/>
    <w:rsid w:val="00171288"/>
    <w:rsid w:val="001716D8"/>
    <w:rsid w:val="00171AC2"/>
    <w:rsid w:val="00171D9F"/>
    <w:rsid w:val="00173407"/>
    <w:rsid w:val="00174254"/>
    <w:rsid w:val="001745BD"/>
    <w:rsid w:val="00175441"/>
    <w:rsid w:val="001759C5"/>
    <w:rsid w:val="00175DA3"/>
    <w:rsid w:val="00175EF5"/>
    <w:rsid w:val="00176A1C"/>
    <w:rsid w:val="00176E6D"/>
    <w:rsid w:val="00177371"/>
    <w:rsid w:val="00177BA1"/>
    <w:rsid w:val="001802A4"/>
    <w:rsid w:val="001807C7"/>
    <w:rsid w:val="001807E5"/>
    <w:rsid w:val="00180D11"/>
    <w:rsid w:val="00180D3C"/>
    <w:rsid w:val="0018187E"/>
    <w:rsid w:val="00181BFC"/>
    <w:rsid w:val="001820F3"/>
    <w:rsid w:val="001822FD"/>
    <w:rsid w:val="001826FD"/>
    <w:rsid w:val="00182F11"/>
    <w:rsid w:val="00183B5D"/>
    <w:rsid w:val="0018476B"/>
    <w:rsid w:val="00184B1C"/>
    <w:rsid w:val="00185207"/>
    <w:rsid w:val="001855A0"/>
    <w:rsid w:val="00185B74"/>
    <w:rsid w:val="00185DAA"/>
    <w:rsid w:val="00185DAB"/>
    <w:rsid w:val="001864F2"/>
    <w:rsid w:val="001867E2"/>
    <w:rsid w:val="00187130"/>
    <w:rsid w:val="0018799D"/>
    <w:rsid w:val="00187CB3"/>
    <w:rsid w:val="00187E7B"/>
    <w:rsid w:val="00190160"/>
    <w:rsid w:val="00190786"/>
    <w:rsid w:val="00190B0D"/>
    <w:rsid w:val="001918F2"/>
    <w:rsid w:val="00191E55"/>
    <w:rsid w:val="0019243B"/>
    <w:rsid w:val="001933F7"/>
    <w:rsid w:val="00193F22"/>
    <w:rsid w:val="00194330"/>
    <w:rsid w:val="00194462"/>
    <w:rsid w:val="0019450A"/>
    <w:rsid w:val="001948B4"/>
    <w:rsid w:val="001955C7"/>
    <w:rsid w:val="001955F8"/>
    <w:rsid w:val="0019583A"/>
    <w:rsid w:val="00195E62"/>
    <w:rsid w:val="00196071"/>
    <w:rsid w:val="00196966"/>
    <w:rsid w:val="00196ABF"/>
    <w:rsid w:val="001A0106"/>
    <w:rsid w:val="001A0EBC"/>
    <w:rsid w:val="001A0EF2"/>
    <w:rsid w:val="001A1C60"/>
    <w:rsid w:val="001A31C5"/>
    <w:rsid w:val="001A3300"/>
    <w:rsid w:val="001A46B4"/>
    <w:rsid w:val="001A5D14"/>
    <w:rsid w:val="001A5D78"/>
    <w:rsid w:val="001A6C0C"/>
    <w:rsid w:val="001A721F"/>
    <w:rsid w:val="001A780C"/>
    <w:rsid w:val="001B0C2B"/>
    <w:rsid w:val="001B0EC8"/>
    <w:rsid w:val="001B1224"/>
    <w:rsid w:val="001B1332"/>
    <w:rsid w:val="001B14F5"/>
    <w:rsid w:val="001B3BBF"/>
    <w:rsid w:val="001B42F8"/>
    <w:rsid w:val="001B6170"/>
    <w:rsid w:val="001B6B84"/>
    <w:rsid w:val="001B762B"/>
    <w:rsid w:val="001B78A7"/>
    <w:rsid w:val="001C2159"/>
    <w:rsid w:val="001C2803"/>
    <w:rsid w:val="001C2BF7"/>
    <w:rsid w:val="001C2DA9"/>
    <w:rsid w:val="001C32DA"/>
    <w:rsid w:val="001C399E"/>
    <w:rsid w:val="001C42AD"/>
    <w:rsid w:val="001C4D9B"/>
    <w:rsid w:val="001C4EC5"/>
    <w:rsid w:val="001C54F0"/>
    <w:rsid w:val="001C594D"/>
    <w:rsid w:val="001C5A30"/>
    <w:rsid w:val="001C5D08"/>
    <w:rsid w:val="001C6433"/>
    <w:rsid w:val="001C70CE"/>
    <w:rsid w:val="001C798D"/>
    <w:rsid w:val="001C7BB5"/>
    <w:rsid w:val="001D186C"/>
    <w:rsid w:val="001D20BA"/>
    <w:rsid w:val="001D2A02"/>
    <w:rsid w:val="001D53CC"/>
    <w:rsid w:val="001D5F5C"/>
    <w:rsid w:val="001D6ED0"/>
    <w:rsid w:val="001D6EF2"/>
    <w:rsid w:val="001D72F8"/>
    <w:rsid w:val="001E0A02"/>
    <w:rsid w:val="001E0DD7"/>
    <w:rsid w:val="001E28E1"/>
    <w:rsid w:val="001E44A1"/>
    <w:rsid w:val="001E510E"/>
    <w:rsid w:val="001E5B50"/>
    <w:rsid w:val="001E5CD6"/>
    <w:rsid w:val="001E6A74"/>
    <w:rsid w:val="001E6C99"/>
    <w:rsid w:val="001E72DF"/>
    <w:rsid w:val="001E765C"/>
    <w:rsid w:val="001E772E"/>
    <w:rsid w:val="001E7760"/>
    <w:rsid w:val="001F0026"/>
    <w:rsid w:val="001F0971"/>
    <w:rsid w:val="001F0AA3"/>
    <w:rsid w:val="001F1215"/>
    <w:rsid w:val="001F1C48"/>
    <w:rsid w:val="001F1E95"/>
    <w:rsid w:val="001F4199"/>
    <w:rsid w:val="001F41D0"/>
    <w:rsid w:val="001F4207"/>
    <w:rsid w:val="001F4E3E"/>
    <w:rsid w:val="001F55F7"/>
    <w:rsid w:val="001F5A3D"/>
    <w:rsid w:val="001F6752"/>
    <w:rsid w:val="001F6C7F"/>
    <w:rsid w:val="001F6FAD"/>
    <w:rsid w:val="002003DD"/>
    <w:rsid w:val="00200472"/>
    <w:rsid w:val="002004F5"/>
    <w:rsid w:val="0020151E"/>
    <w:rsid w:val="00201946"/>
    <w:rsid w:val="00201DC6"/>
    <w:rsid w:val="00201F7A"/>
    <w:rsid w:val="0020325A"/>
    <w:rsid w:val="00203CB7"/>
    <w:rsid w:val="00205FAF"/>
    <w:rsid w:val="00206095"/>
    <w:rsid w:val="002067DE"/>
    <w:rsid w:val="00206993"/>
    <w:rsid w:val="002069C7"/>
    <w:rsid w:val="0021010D"/>
    <w:rsid w:val="00210F96"/>
    <w:rsid w:val="002110E9"/>
    <w:rsid w:val="0021142A"/>
    <w:rsid w:val="002126FD"/>
    <w:rsid w:val="0021270C"/>
    <w:rsid w:val="00212CEF"/>
    <w:rsid w:val="0021388D"/>
    <w:rsid w:val="002141FB"/>
    <w:rsid w:val="002143AB"/>
    <w:rsid w:val="002154D3"/>
    <w:rsid w:val="00215751"/>
    <w:rsid w:val="00215E4E"/>
    <w:rsid w:val="00215FF4"/>
    <w:rsid w:val="00216100"/>
    <w:rsid w:val="0021614B"/>
    <w:rsid w:val="00216430"/>
    <w:rsid w:val="00216555"/>
    <w:rsid w:val="00216706"/>
    <w:rsid w:val="002177CD"/>
    <w:rsid w:val="002179E0"/>
    <w:rsid w:val="00217DFC"/>
    <w:rsid w:val="00217FD4"/>
    <w:rsid w:val="00220F16"/>
    <w:rsid w:val="00221281"/>
    <w:rsid w:val="00221988"/>
    <w:rsid w:val="00222505"/>
    <w:rsid w:val="00222776"/>
    <w:rsid w:val="002234DC"/>
    <w:rsid w:val="00223642"/>
    <w:rsid w:val="002239E6"/>
    <w:rsid w:val="00224554"/>
    <w:rsid w:val="002250CC"/>
    <w:rsid w:val="002255B9"/>
    <w:rsid w:val="00225922"/>
    <w:rsid w:val="00225DF7"/>
    <w:rsid w:val="00225FFC"/>
    <w:rsid w:val="00226D26"/>
    <w:rsid w:val="002270F1"/>
    <w:rsid w:val="00230289"/>
    <w:rsid w:val="002311FC"/>
    <w:rsid w:val="00231370"/>
    <w:rsid w:val="00231A1C"/>
    <w:rsid w:val="00231C67"/>
    <w:rsid w:val="00232154"/>
    <w:rsid w:val="002324CA"/>
    <w:rsid w:val="00232591"/>
    <w:rsid w:val="002326BE"/>
    <w:rsid w:val="0023283C"/>
    <w:rsid w:val="00232B11"/>
    <w:rsid w:val="00233F22"/>
    <w:rsid w:val="00233FBE"/>
    <w:rsid w:val="002348A8"/>
    <w:rsid w:val="00235996"/>
    <w:rsid w:val="00235E2D"/>
    <w:rsid w:val="00236E66"/>
    <w:rsid w:val="00236FD1"/>
    <w:rsid w:val="00237653"/>
    <w:rsid w:val="0023793D"/>
    <w:rsid w:val="00237DBC"/>
    <w:rsid w:val="0024050B"/>
    <w:rsid w:val="00240563"/>
    <w:rsid w:val="00240848"/>
    <w:rsid w:val="00241264"/>
    <w:rsid w:val="002415FC"/>
    <w:rsid w:val="00241CA6"/>
    <w:rsid w:val="0024259F"/>
    <w:rsid w:val="002455B0"/>
    <w:rsid w:val="00246B00"/>
    <w:rsid w:val="002476C8"/>
    <w:rsid w:val="0024774F"/>
    <w:rsid w:val="0025012A"/>
    <w:rsid w:val="0025078A"/>
    <w:rsid w:val="00250D53"/>
    <w:rsid w:val="00250DC1"/>
    <w:rsid w:val="00250E33"/>
    <w:rsid w:val="00250F6A"/>
    <w:rsid w:val="0025108C"/>
    <w:rsid w:val="002510A1"/>
    <w:rsid w:val="0025112C"/>
    <w:rsid w:val="00251DEF"/>
    <w:rsid w:val="0025245A"/>
    <w:rsid w:val="00252F39"/>
    <w:rsid w:val="002537D1"/>
    <w:rsid w:val="00254C5B"/>
    <w:rsid w:val="00254D47"/>
    <w:rsid w:val="002553B7"/>
    <w:rsid w:val="00255873"/>
    <w:rsid w:val="00256EDE"/>
    <w:rsid w:val="002575D0"/>
    <w:rsid w:val="00257FE6"/>
    <w:rsid w:val="00260C11"/>
    <w:rsid w:val="00261199"/>
    <w:rsid w:val="00261E11"/>
    <w:rsid w:val="00262334"/>
    <w:rsid w:val="00262EB1"/>
    <w:rsid w:val="002644B8"/>
    <w:rsid w:val="00265873"/>
    <w:rsid w:val="0026612E"/>
    <w:rsid w:val="0026628B"/>
    <w:rsid w:val="002668FC"/>
    <w:rsid w:val="00266E76"/>
    <w:rsid w:val="002671DF"/>
    <w:rsid w:val="0027024D"/>
    <w:rsid w:val="00270378"/>
    <w:rsid w:val="00270608"/>
    <w:rsid w:val="00270D51"/>
    <w:rsid w:val="00271380"/>
    <w:rsid w:val="002713DE"/>
    <w:rsid w:val="00271C22"/>
    <w:rsid w:val="00272A1D"/>
    <w:rsid w:val="00273465"/>
    <w:rsid w:val="0027346F"/>
    <w:rsid w:val="00273892"/>
    <w:rsid w:val="0027401D"/>
    <w:rsid w:val="002750E8"/>
    <w:rsid w:val="002750F1"/>
    <w:rsid w:val="002757D6"/>
    <w:rsid w:val="00276C52"/>
    <w:rsid w:val="00277DD2"/>
    <w:rsid w:val="002805A4"/>
    <w:rsid w:val="00280AA7"/>
    <w:rsid w:val="00280CC4"/>
    <w:rsid w:val="002816C7"/>
    <w:rsid w:val="002817FC"/>
    <w:rsid w:val="00281840"/>
    <w:rsid w:val="00281A96"/>
    <w:rsid w:val="002820DB"/>
    <w:rsid w:val="002826C4"/>
    <w:rsid w:val="002827E4"/>
    <w:rsid w:val="002833B6"/>
    <w:rsid w:val="002833CF"/>
    <w:rsid w:val="002837B3"/>
    <w:rsid w:val="00284E71"/>
    <w:rsid w:val="00284ED6"/>
    <w:rsid w:val="00285335"/>
    <w:rsid w:val="00285837"/>
    <w:rsid w:val="00285D1C"/>
    <w:rsid w:val="0028683D"/>
    <w:rsid w:val="002868CE"/>
    <w:rsid w:val="00286E10"/>
    <w:rsid w:val="0029030E"/>
    <w:rsid w:val="00290C53"/>
    <w:rsid w:val="00291ECB"/>
    <w:rsid w:val="0029200A"/>
    <w:rsid w:val="00292712"/>
    <w:rsid w:val="00292BC8"/>
    <w:rsid w:val="002933B8"/>
    <w:rsid w:val="00293430"/>
    <w:rsid w:val="0029376B"/>
    <w:rsid w:val="002951DA"/>
    <w:rsid w:val="00295270"/>
    <w:rsid w:val="00295B17"/>
    <w:rsid w:val="002965AB"/>
    <w:rsid w:val="002966E8"/>
    <w:rsid w:val="002967CB"/>
    <w:rsid w:val="0029738B"/>
    <w:rsid w:val="002974CE"/>
    <w:rsid w:val="002A2B71"/>
    <w:rsid w:val="002A309E"/>
    <w:rsid w:val="002A3988"/>
    <w:rsid w:val="002A3BE7"/>
    <w:rsid w:val="002A5413"/>
    <w:rsid w:val="002A71AB"/>
    <w:rsid w:val="002A7CF7"/>
    <w:rsid w:val="002B0011"/>
    <w:rsid w:val="002B09E2"/>
    <w:rsid w:val="002B1A4C"/>
    <w:rsid w:val="002B1AAE"/>
    <w:rsid w:val="002B249D"/>
    <w:rsid w:val="002B28E1"/>
    <w:rsid w:val="002B2DD7"/>
    <w:rsid w:val="002B308B"/>
    <w:rsid w:val="002B42DD"/>
    <w:rsid w:val="002B48E1"/>
    <w:rsid w:val="002B4F3A"/>
    <w:rsid w:val="002B5710"/>
    <w:rsid w:val="002B63D8"/>
    <w:rsid w:val="002B6766"/>
    <w:rsid w:val="002B67AC"/>
    <w:rsid w:val="002B6A65"/>
    <w:rsid w:val="002B764F"/>
    <w:rsid w:val="002C02AB"/>
    <w:rsid w:val="002C0EDB"/>
    <w:rsid w:val="002C12DE"/>
    <w:rsid w:val="002C28F9"/>
    <w:rsid w:val="002C3183"/>
    <w:rsid w:val="002C33A2"/>
    <w:rsid w:val="002C3941"/>
    <w:rsid w:val="002C4125"/>
    <w:rsid w:val="002C47A0"/>
    <w:rsid w:val="002C495C"/>
    <w:rsid w:val="002C4A29"/>
    <w:rsid w:val="002C4CD2"/>
    <w:rsid w:val="002C50B5"/>
    <w:rsid w:val="002C5228"/>
    <w:rsid w:val="002C52E8"/>
    <w:rsid w:val="002C5A92"/>
    <w:rsid w:val="002C5B80"/>
    <w:rsid w:val="002C68F0"/>
    <w:rsid w:val="002C70BE"/>
    <w:rsid w:val="002C7317"/>
    <w:rsid w:val="002D02A8"/>
    <w:rsid w:val="002D05FA"/>
    <w:rsid w:val="002D0A42"/>
    <w:rsid w:val="002D0B06"/>
    <w:rsid w:val="002D0C0C"/>
    <w:rsid w:val="002D0E7A"/>
    <w:rsid w:val="002D1D3F"/>
    <w:rsid w:val="002D234F"/>
    <w:rsid w:val="002D2BA9"/>
    <w:rsid w:val="002D2EC3"/>
    <w:rsid w:val="002D387A"/>
    <w:rsid w:val="002D3EF6"/>
    <w:rsid w:val="002D5020"/>
    <w:rsid w:val="002D55CC"/>
    <w:rsid w:val="002D6555"/>
    <w:rsid w:val="002E03E5"/>
    <w:rsid w:val="002E0BB9"/>
    <w:rsid w:val="002E0BCD"/>
    <w:rsid w:val="002E0C1D"/>
    <w:rsid w:val="002E0C4B"/>
    <w:rsid w:val="002E1263"/>
    <w:rsid w:val="002E18B4"/>
    <w:rsid w:val="002E25A0"/>
    <w:rsid w:val="002E2746"/>
    <w:rsid w:val="002E335E"/>
    <w:rsid w:val="002E478A"/>
    <w:rsid w:val="002E4BD1"/>
    <w:rsid w:val="002E53A7"/>
    <w:rsid w:val="002E57A7"/>
    <w:rsid w:val="002E60E8"/>
    <w:rsid w:val="002E63F8"/>
    <w:rsid w:val="002E6524"/>
    <w:rsid w:val="002E7CC9"/>
    <w:rsid w:val="002F050D"/>
    <w:rsid w:val="002F0AF0"/>
    <w:rsid w:val="002F1C48"/>
    <w:rsid w:val="002F24FC"/>
    <w:rsid w:val="002F25C9"/>
    <w:rsid w:val="002F2816"/>
    <w:rsid w:val="002F3A11"/>
    <w:rsid w:val="002F3B21"/>
    <w:rsid w:val="002F3E5E"/>
    <w:rsid w:val="002F4AF1"/>
    <w:rsid w:val="002F5251"/>
    <w:rsid w:val="002F58BF"/>
    <w:rsid w:val="002F632A"/>
    <w:rsid w:val="002F6880"/>
    <w:rsid w:val="002F7DEB"/>
    <w:rsid w:val="00300396"/>
    <w:rsid w:val="003004FF"/>
    <w:rsid w:val="003014B2"/>
    <w:rsid w:val="0030166F"/>
    <w:rsid w:val="00301E34"/>
    <w:rsid w:val="0030209F"/>
    <w:rsid w:val="003034A3"/>
    <w:rsid w:val="0030357D"/>
    <w:rsid w:val="00304EC2"/>
    <w:rsid w:val="00306777"/>
    <w:rsid w:val="00306FCB"/>
    <w:rsid w:val="0031053A"/>
    <w:rsid w:val="0031132E"/>
    <w:rsid w:val="00311A0A"/>
    <w:rsid w:val="00312D98"/>
    <w:rsid w:val="0031351E"/>
    <w:rsid w:val="00313E78"/>
    <w:rsid w:val="00313F19"/>
    <w:rsid w:val="003152C8"/>
    <w:rsid w:val="0031580E"/>
    <w:rsid w:val="00316E06"/>
    <w:rsid w:val="00317F5C"/>
    <w:rsid w:val="00320945"/>
    <w:rsid w:val="00321AC7"/>
    <w:rsid w:val="00323BC1"/>
    <w:rsid w:val="00325864"/>
    <w:rsid w:val="00326FD4"/>
    <w:rsid w:val="00327323"/>
    <w:rsid w:val="00327DE8"/>
    <w:rsid w:val="00330544"/>
    <w:rsid w:val="0033114A"/>
    <w:rsid w:val="00331DB4"/>
    <w:rsid w:val="00332C7C"/>
    <w:rsid w:val="003332EA"/>
    <w:rsid w:val="003342CD"/>
    <w:rsid w:val="003348A6"/>
    <w:rsid w:val="00335042"/>
    <w:rsid w:val="00335248"/>
    <w:rsid w:val="0033587E"/>
    <w:rsid w:val="003368F4"/>
    <w:rsid w:val="00337622"/>
    <w:rsid w:val="00337959"/>
    <w:rsid w:val="0034011A"/>
    <w:rsid w:val="00340DA0"/>
    <w:rsid w:val="00341081"/>
    <w:rsid w:val="00341BF8"/>
    <w:rsid w:val="00342492"/>
    <w:rsid w:val="00343120"/>
    <w:rsid w:val="00343673"/>
    <w:rsid w:val="003436BF"/>
    <w:rsid w:val="00343824"/>
    <w:rsid w:val="00343B96"/>
    <w:rsid w:val="003440EB"/>
    <w:rsid w:val="00344C78"/>
    <w:rsid w:val="00345F05"/>
    <w:rsid w:val="00346403"/>
    <w:rsid w:val="0034678D"/>
    <w:rsid w:val="00346F24"/>
    <w:rsid w:val="0034723F"/>
    <w:rsid w:val="003478D4"/>
    <w:rsid w:val="0035000E"/>
    <w:rsid w:val="003515C5"/>
    <w:rsid w:val="00351C4A"/>
    <w:rsid w:val="00352704"/>
    <w:rsid w:val="00352DFD"/>
    <w:rsid w:val="00353281"/>
    <w:rsid w:val="00353D4E"/>
    <w:rsid w:val="0035409D"/>
    <w:rsid w:val="0035469B"/>
    <w:rsid w:val="00354737"/>
    <w:rsid w:val="0035485C"/>
    <w:rsid w:val="003563D7"/>
    <w:rsid w:val="00356521"/>
    <w:rsid w:val="0035681A"/>
    <w:rsid w:val="00356B48"/>
    <w:rsid w:val="00356B92"/>
    <w:rsid w:val="00356E31"/>
    <w:rsid w:val="003572CE"/>
    <w:rsid w:val="003579FD"/>
    <w:rsid w:val="00360074"/>
    <w:rsid w:val="00360840"/>
    <w:rsid w:val="003614B1"/>
    <w:rsid w:val="00361580"/>
    <w:rsid w:val="0036170D"/>
    <w:rsid w:val="00361912"/>
    <w:rsid w:val="00361D92"/>
    <w:rsid w:val="00364101"/>
    <w:rsid w:val="0036570A"/>
    <w:rsid w:val="00365CEC"/>
    <w:rsid w:val="00365FAF"/>
    <w:rsid w:val="003670B8"/>
    <w:rsid w:val="003676D5"/>
    <w:rsid w:val="003678A8"/>
    <w:rsid w:val="0036799A"/>
    <w:rsid w:val="00367C70"/>
    <w:rsid w:val="00370929"/>
    <w:rsid w:val="00370B66"/>
    <w:rsid w:val="00371B1F"/>
    <w:rsid w:val="00371DF0"/>
    <w:rsid w:val="00372800"/>
    <w:rsid w:val="003733A6"/>
    <w:rsid w:val="003733F1"/>
    <w:rsid w:val="003739C1"/>
    <w:rsid w:val="003745E0"/>
    <w:rsid w:val="00374C7B"/>
    <w:rsid w:val="0037523C"/>
    <w:rsid w:val="00375618"/>
    <w:rsid w:val="003768BD"/>
    <w:rsid w:val="00376C60"/>
    <w:rsid w:val="00377052"/>
    <w:rsid w:val="0037729D"/>
    <w:rsid w:val="0037745E"/>
    <w:rsid w:val="00377BEE"/>
    <w:rsid w:val="00380B7E"/>
    <w:rsid w:val="0038147F"/>
    <w:rsid w:val="00381C38"/>
    <w:rsid w:val="00381CE8"/>
    <w:rsid w:val="00382DE8"/>
    <w:rsid w:val="003832FA"/>
    <w:rsid w:val="003833E9"/>
    <w:rsid w:val="00383723"/>
    <w:rsid w:val="003837C9"/>
    <w:rsid w:val="00383874"/>
    <w:rsid w:val="00384B14"/>
    <w:rsid w:val="00385170"/>
    <w:rsid w:val="003855E0"/>
    <w:rsid w:val="00386E5D"/>
    <w:rsid w:val="00387F9C"/>
    <w:rsid w:val="00390087"/>
    <w:rsid w:val="003905B8"/>
    <w:rsid w:val="00390FCF"/>
    <w:rsid w:val="003910A5"/>
    <w:rsid w:val="003919A0"/>
    <w:rsid w:val="00392BBA"/>
    <w:rsid w:val="00392E9C"/>
    <w:rsid w:val="00393244"/>
    <w:rsid w:val="00393EEB"/>
    <w:rsid w:val="00394700"/>
    <w:rsid w:val="00394A94"/>
    <w:rsid w:val="00395190"/>
    <w:rsid w:val="003951C7"/>
    <w:rsid w:val="00395260"/>
    <w:rsid w:val="0039659A"/>
    <w:rsid w:val="0039662B"/>
    <w:rsid w:val="00396692"/>
    <w:rsid w:val="00397036"/>
    <w:rsid w:val="003970D6"/>
    <w:rsid w:val="00397447"/>
    <w:rsid w:val="0039795F"/>
    <w:rsid w:val="00397E63"/>
    <w:rsid w:val="003A099C"/>
    <w:rsid w:val="003A215E"/>
    <w:rsid w:val="003A223D"/>
    <w:rsid w:val="003A2330"/>
    <w:rsid w:val="003A2BD7"/>
    <w:rsid w:val="003A3112"/>
    <w:rsid w:val="003A3806"/>
    <w:rsid w:val="003A396A"/>
    <w:rsid w:val="003A4A64"/>
    <w:rsid w:val="003A5C9F"/>
    <w:rsid w:val="003A5DE0"/>
    <w:rsid w:val="003A612B"/>
    <w:rsid w:val="003A7481"/>
    <w:rsid w:val="003B0EA9"/>
    <w:rsid w:val="003B106E"/>
    <w:rsid w:val="003B1645"/>
    <w:rsid w:val="003B2002"/>
    <w:rsid w:val="003B2C46"/>
    <w:rsid w:val="003B3B37"/>
    <w:rsid w:val="003B41C4"/>
    <w:rsid w:val="003B423D"/>
    <w:rsid w:val="003B43DE"/>
    <w:rsid w:val="003B4BF5"/>
    <w:rsid w:val="003B4F0A"/>
    <w:rsid w:val="003B5B21"/>
    <w:rsid w:val="003B5B37"/>
    <w:rsid w:val="003B6048"/>
    <w:rsid w:val="003B6202"/>
    <w:rsid w:val="003B7A0A"/>
    <w:rsid w:val="003C114E"/>
    <w:rsid w:val="003C1250"/>
    <w:rsid w:val="003C1862"/>
    <w:rsid w:val="003C1F3C"/>
    <w:rsid w:val="003C3741"/>
    <w:rsid w:val="003C37AB"/>
    <w:rsid w:val="003C3846"/>
    <w:rsid w:val="003C3D01"/>
    <w:rsid w:val="003C456B"/>
    <w:rsid w:val="003C6648"/>
    <w:rsid w:val="003C70C7"/>
    <w:rsid w:val="003C7A4B"/>
    <w:rsid w:val="003D0112"/>
    <w:rsid w:val="003D039F"/>
    <w:rsid w:val="003D0A33"/>
    <w:rsid w:val="003D0A41"/>
    <w:rsid w:val="003D147A"/>
    <w:rsid w:val="003D16D4"/>
    <w:rsid w:val="003D2AEC"/>
    <w:rsid w:val="003D484B"/>
    <w:rsid w:val="003D4E70"/>
    <w:rsid w:val="003D5A66"/>
    <w:rsid w:val="003E0706"/>
    <w:rsid w:val="003E090D"/>
    <w:rsid w:val="003E102B"/>
    <w:rsid w:val="003E1CCD"/>
    <w:rsid w:val="003E2071"/>
    <w:rsid w:val="003E26B2"/>
    <w:rsid w:val="003E285E"/>
    <w:rsid w:val="003E304B"/>
    <w:rsid w:val="003E30E5"/>
    <w:rsid w:val="003E460C"/>
    <w:rsid w:val="003E527B"/>
    <w:rsid w:val="003E5D0F"/>
    <w:rsid w:val="003E5E25"/>
    <w:rsid w:val="003E6A52"/>
    <w:rsid w:val="003E70B3"/>
    <w:rsid w:val="003E73C8"/>
    <w:rsid w:val="003E7563"/>
    <w:rsid w:val="003E7B98"/>
    <w:rsid w:val="003E7CE0"/>
    <w:rsid w:val="003F159C"/>
    <w:rsid w:val="003F17D5"/>
    <w:rsid w:val="003F19A5"/>
    <w:rsid w:val="003F21EF"/>
    <w:rsid w:val="003F2A25"/>
    <w:rsid w:val="003F3E90"/>
    <w:rsid w:val="003F5740"/>
    <w:rsid w:val="003F5A5F"/>
    <w:rsid w:val="003F5F99"/>
    <w:rsid w:val="003F63E0"/>
    <w:rsid w:val="003F643D"/>
    <w:rsid w:val="003F6649"/>
    <w:rsid w:val="003F6A3D"/>
    <w:rsid w:val="003F6ECF"/>
    <w:rsid w:val="003F70C4"/>
    <w:rsid w:val="003F7901"/>
    <w:rsid w:val="00400202"/>
    <w:rsid w:val="00400787"/>
    <w:rsid w:val="004010B6"/>
    <w:rsid w:val="00401823"/>
    <w:rsid w:val="00401D67"/>
    <w:rsid w:val="004026D9"/>
    <w:rsid w:val="004028A4"/>
    <w:rsid w:val="004028A7"/>
    <w:rsid w:val="00402CEE"/>
    <w:rsid w:val="00403586"/>
    <w:rsid w:val="00404046"/>
    <w:rsid w:val="004040F8"/>
    <w:rsid w:val="004041F3"/>
    <w:rsid w:val="004044A4"/>
    <w:rsid w:val="00405BEE"/>
    <w:rsid w:val="00406042"/>
    <w:rsid w:val="00407135"/>
    <w:rsid w:val="00407DFF"/>
    <w:rsid w:val="00410F45"/>
    <w:rsid w:val="0041177D"/>
    <w:rsid w:val="00412C7C"/>
    <w:rsid w:val="00412D0F"/>
    <w:rsid w:val="00413505"/>
    <w:rsid w:val="00413B01"/>
    <w:rsid w:val="0041437A"/>
    <w:rsid w:val="0041495E"/>
    <w:rsid w:val="00414983"/>
    <w:rsid w:val="004153C7"/>
    <w:rsid w:val="00415A00"/>
    <w:rsid w:val="00415CBD"/>
    <w:rsid w:val="00415FD4"/>
    <w:rsid w:val="00416A0F"/>
    <w:rsid w:val="00417CFF"/>
    <w:rsid w:val="00417DC7"/>
    <w:rsid w:val="00420145"/>
    <w:rsid w:val="00420244"/>
    <w:rsid w:val="00420346"/>
    <w:rsid w:val="00422E4D"/>
    <w:rsid w:val="004232CA"/>
    <w:rsid w:val="004234A8"/>
    <w:rsid w:val="00423685"/>
    <w:rsid w:val="00424486"/>
    <w:rsid w:val="004255FC"/>
    <w:rsid w:val="00426150"/>
    <w:rsid w:val="00426D1D"/>
    <w:rsid w:val="00426D7A"/>
    <w:rsid w:val="00431010"/>
    <w:rsid w:val="00431218"/>
    <w:rsid w:val="004325E2"/>
    <w:rsid w:val="00432E12"/>
    <w:rsid w:val="0043343E"/>
    <w:rsid w:val="004338F5"/>
    <w:rsid w:val="0043397C"/>
    <w:rsid w:val="0043460F"/>
    <w:rsid w:val="0043498F"/>
    <w:rsid w:val="00434CF8"/>
    <w:rsid w:val="00434DB0"/>
    <w:rsid w:val="0043650C"/>
    <w:rsid w:val="004369A8"/>
    <w:rsid w:val="004407E2"/>
    <w:rsid w:val="004408FA"/>
    <w:rsid w:val="004411A3"/>
    <w:rsid w:val="004426C0"/>
    <w:rsid w:val="00442FFE"/>
    <w:rsid w:val="00443C1E"/>
    <w:rsid w:val="004443E4"/>
    <w:rsid w:val="00444E1C"/>
    <w:rsid w:val="0044523D"/>
    <w:rsid w:val="004454E4"/>
    <w:rsid w:val="00446C2D"/>
    <w:rsid w:val="00446C38"/>
    <w:rsid w:val="00447D0B"/>
    <w:rsid w:val="00450214"/>
    <w:rsid w:val="00450549"/>
    <w:rsid w:val="00452C93"/>
    <w:rsid w:val="00452ED0"/>
    <w:rsid w:val="004548A9"/>
    <w:rsid w:val="00454B32"/>
    <w:rsid w:val="00454CF1"/>
    <w:rsid w:val="00455499"/>
    <w:rsid w:val="004554E9"/>
    <w:rsid w:val="00455513"/>
    <w:rsid w:val="004562A6"/>
    <w:rsid w:val="00456380"/>
    <w:rsid w:val="00456941"/>
    <w:rsid w:val="00456B7E"/>
    <w:rsid w:val="004572EC"/>
    <w:rsid w:val="004576D2"/>
    <w:rsid w:val="00460A9B"/>
    <w:rsid w:val="00460D26"/>
    <w:rsid w:val="00461091"/>
    <w:rsid w:val="00461A07"/>
    <w:rsid w:val="004620AA"/>
    <w:rsid w:val="004624A1"/>
    <w:rsid w:val="0046252F"/>
    <w:rsid w:val="00462652"/>
    <w:rsid w:val="004629E6"/>
    <w:rsid w:val="00462F82"/>
    <w:rsid w:val="00463969"/>
    <w:rsid w:val="004640EE"/>
    <w:rsid w:val="004641AE"/>
    <w:rsid w:val="00464B64"/>
    <w:rsid w:val="0046500C"/>
    <w:rsid w:val="0046609A"/>
    <w:rsid w:val="0046755E"/>
    <w:rsid w:val="004677B0"/>
    <w:rsid w:val="00467E51"/>
    <w:rsid w:val="00471D19"/>
    <w:rsid w:val="00471DAF"/>
    <w:rsid w:val="00472EAB"/>
    <w:rsid w:val="00472FE4"/>
    <w:rsid w:val="00473623"/>
    <w:rsid w:val="00474441"/>
    <w:rsid w:val="004744B7"/>
    <w:rsid w:val="004747AC"/>
    <w:rsid w:val="0047556C"/>
    <w:rsid w:val="004758DF"/>
    <w:rsid w:val="00475B2B"/>
    <w:rsid w:val="00476549"/>
    <w:rsid w:val="00476BDB"/>
    <w:rsid w:val="00476DF8"/>
    <w:rsid w:val="0048042C"/>
    <w:rsid w:val="00480CEE"/>
    <w:rsid w:val="00480D94"/>
    <w:rsid w:val="0048133C"/>
    <w:rsid w:val="004832DC"/>
    <w:rsid w:val="00483580"/>
    <w:rsid w:val="004845BF"/>
    <w:rsid w:val="00484D65"/>
    <w:rsid w:val="004852F6"/>
    <w:rsid w:val="0048547B"/>
    <w:rsid w:val="00485F71"/>
    <w:rsid w:val="00486443"/>
    <w:rsid w:val="00487298"/>
    <w:rsid w:val="004876B0"/>
    <w:rsid w:val="004878A7"/>
    <w:rsid w:val="00487B5B"/>
    <w:rsid w:val="00490E25"/>
    <w:rsid w:val="0049106E"/>
    <w:rsid w:val="0049146E"/>
    <w:rsid w:val="00491AEA"/>
    <w:rsid w:val="0049209C"/>
    <w:rsid w:val="004922EF"/>
    <w:rsid w:val="004926E5"/>
    <w:rsid w:val="004929C6"/>
    <w:rsid w:val="00492E76"/>
    <w:rsid w:val="00493374"/>
    <w:rsid w:val="004938F6"/>
    <w:rsid w:val="00493B9D"/>
    <w:rsid w:val="00494880"/>
    <w:rsid w:val="00494C3B"/>
    <w:rsid w:val="00494F39"/>
    <w:rsid w:val="00495923"/>
    <w:rsid w:val="0049748B"/>
    <w:rsid w:val="004A0370"/>
    <w:rsid w:val="004A057B"/>
    <w:rsid w:val="004A19A9"/>
    <w:rsid w:val="004A24BD"/>
    <w:rsid w:val="004A2F16"/>
    <w:rsid w:val="004A33AE"/>
    <w:rsid w:val="004A3F9B"/>
    <w:rsid w:val="004A4268"/>
    <w:rsid w:val="004A46A3"/>
    <w:rsid w:val="004A46D6"/>
    <w:rsid w:val="004A4D33"/>
    <w:rsid w:val="004A4F15"/>
    <w:rsid w:val="004A55C2"/>
    <w:rsid w:val="004A6DE9"/>
    <w:rsid w:val="004A7657"/>
    <w:rsid w:val="004B0186"/>
    <w:rsid w:val="004B0251"/>
    <w:rsid w:val="004B12C3"/>
    <w:rsid w:val="004B2249"/>
    <w:rsid w:val="004B2E22"/>
    <w:rsid w:val="004B2EA1"/>
    <w:rsid w:val="004B3171"/>
    <w:rsid w:val="004B3DDB"/>
    <w:rsid w:val="004B3FF5"/>
    <w:rsid w:val="004B5194"/>
    <w:rsid w:val="004B6D27"/>
    <w:rsid w:val="004B7388"/>
    <w:rsid w:val="004C0222"/>
    <w:rsid w:val="004C0600"/>
    <w:rsid w:val="004C1078"/>
    <w:rsid w:val="004C1C5D"/>
    <w:rsid w:val="004C2798"/>
    <w:rsid w:val="004C35B7"/>
    <w:rsid w:val="004C3AE6"/>
    <w:rsid w:val="004C3C83"/>
    <w:rsid w:val="004C3F85"/>
    <w:rsid w:val="004C409C"/>
    <w:rsid w:val="004C46EF"/>
    <w:rsid w:val="004C5D68"/>
    <w:rsid w:val="004C6BED"/>
    <w:rsid w:val="004C6F23"/>
    <w:rsid w:val="004C72D2"/>
    <w:rsid w:val="004C7AD0"/>
    <w:rsid w:val="004D0156"/>
    <w:rsid w:val="004D028F"/>
    <w:rsid w:val="004D07D2"/>
    <w:rsid w:val="004D0C03"/>
    <w:rsid w:val="004D0EE2"/>
    <w:rsid w:val="004D210D"/>
    <w:rsid w:val="004D2350"/>
    <w:rsid w:val="004D23A5"/>
    <w:rsid w:val="004D24E4"/>
    <w:rsid w:val="004D2A4F"/>
    <w:rsid w:val="004D2EC2"/>
    <w:rsid w:val="004D41FC"/>
    <w:rsid w:val="004D4467"/>
    <w:rsid w:val="004D44CE"/>
    <w:rsid w:val="004D4678"/>
    <w:rsid w:val="004D479F"/>
    <w:rsid w:val="004D50C9"/>
    <w:rsid w:val="004D5858"/>
    <w:rsid w:val="004D5CA8"/>
    <w:rsid w:val="004D6662"/>
    <w:rsid w:val="004D7AFE"/>
    <w:rsid w:val="004E0423"/>
    <w:rsid w:val="004E09E7"/>
    <w:rsid w:val="004E166D"/>
    <w:rsid w:val="004E193F"/>
    <w:rsid w:val="004E2166"/>
    <w:rsid w:val="004E2255"/>
    <w:rsid w:val="004E367A"/>
    <w:rsid w:val="004E36B7"/>
    <w:rsid w:val="004E3910"/>
    <w:rsid w:val="004E39E1"/>
    <w:rsid w:val="004E4B7F"/>
    <w:rsid w:val="004E4FD3"/>
    <w:rsid w:val="004E5113"/>
    <w:rsid w:val="004E512C"/>
    <w:rsid w:val="004E550B"/>
    <w:rsid w:val="004E65A0"/>
    <w:rsid w:val="004E6A9C"/>
    <w:rsid w:val="004E7915"/>
    <w:rsid w:val="004E7E0B"/>
    <w:rsid w:val="004E7EDA"/>
    <w:rsid w:val="004F0195"/>
    <w:rsid w:val="004F0833"/>
    <w:rsid w:val="004F0ACF"/>
    <w:rsid w:val="004F0BA5"/>
    <w:rsid w:val="004F1D27"/>
    <w:rsid w:val="004F20D3"/>
    <w:rsid w:val="004F2B60"/>
    <w:rsid w:val="004F2D89"/>
    <w:rsid w:val="004F3DFF"/>
    <w:rsid w:val="004F41CB"/>
    <w:rsid w:val="004F5C3E"/>
    <w:rsid w:val="004F62B9"/>
    <w:rsid w:val="004F6C0E"/>
    <w:rsid w:val="004F7150"/>
    <w:rsid w:val="004F71EF"/>
    <w:rsid w:val="004F73BB"/>
    <w:rsid w:val="005006F7"/>
    <w:rsid w:val="00503E44"/>
    <w:rsid w:val="00504501"/>
    <w:rsid w:val="00505142"/>
    <w:rsid w:val="0050647C"/>
    <w:rsid w:val="00506D83"/>
    <w:rsid w:val="00507B7E"/>
    <w:rsid w:val="00510620"/>
    <w:rsid w:val="00511159"/>
    <w:rsid w:val="00511672"/>
    <w:rsid w:val="0051284D"/>
    <w:rsid w:val="00515283"/>
    <w:rsid w:val="00516F3B"/>
    <w:rsid w:val="00517BBA"/>
    <w:rsid w:val="005207FF"/>
    <w:rsid w:val="005208E0"/>
    <w:rsid w:val="005221AB"/>
    <w:rsid w:val="00522D93"/>
    <w:rsid w:val="00523004"/>
    <w:rsid w:val="00523768"/>
    <w:rsid w:val="00523CF2"/>
    <w:rsid w:val="0052404B"/>
    <w:rsid w:val="00524094"/>
    <w:rsid w:val="00524916"/>
    <w:rsid w:val="00524BFF"/>
    <w:rsid w:val="00525756"/>
    <w:rsid w:val="005258AB"/>
    <w:rsid w:val="00526B48"/>
    <w:rsid w:val="005272DC"/>
    <w:rsid w:val="005326EC"/>
    <w:rsid w:val="00532B1A"/>
    <w:rsid w:val="00533529"/>
    <w:rsid w:val="0053379B"/>
    <w:rsid w:val="0053429E"/>
    <w:rsid w:val="00534902"/>
    <w:rsid w:val="00534C53"/>
    <w:rsid w:val="005356DE"/>
    <w:rsid w:val="0053595B"/>
    <w:rsid w:val="005372EE"/>
    <w:rsid w:val="00540ACA"/>
    <w:rsid w:val="00540BBD"/>
    <w:rsid w:val="00541228"/>
    <w:rsid w:val="005431EA"/>
    <w:rsid w:val="00543697"/>
    <w:rsid w:val="00544005"/>
    <w:rsid w:val="005443FB"/>
    <w:rsid w:val="00544811"/>
    <w:rsid w:val="00547BFC"/>
    <w:rsid w:val="00547E16"/>
    <w:rsid w:val="00550067"/>
    <w:rsid w:val="005500D0"/>
    <w:rsid w:val="00551C5D"/>
    <w:rsid w:val="00554100"/>
    <w:rsid w:val="00555139"/>
    <w:rsid w:val="0055675D"/>
    <w:rsid w:val="00556CD0"/>
    <w:rsid w:val="00557EE0"/>
    <w:rsid w:val="00557F14"/>
    <w:rsid w:val="005621FA"/>
    <w:rsid w:val="00562D29"/>
    <w:rsid w:val="00563CD7"/>
    <w:rsid w:val="00564404"/>
    <w:rsid w:val="00564C28"/>
    <w:rsid w:val="0056554D"/>
    <w:rsid w:val="005669F8"/>
    <w:rsid w:val="00566E17"/>
    <w:rsid w:val="00567DBA"/>
    <w:rsid w:val="00567F75"/>
    <w:rsid w:val="00570080"/>
    <w:rsid w:val="005700EB"/>
    <w:rsid w:val="00570331"/>
    <w:rsid w:val="0057069C"/>
    <w:rsid w:val="00570D6A"/>
    <w:rsid w:val="00571A35"/>
    <w:rsid w:val="00571AF4"/>
    <w:rsid w:val="0057281A"/>
    <w:rsid w:val="00572FC4"/>
    <w:rsid w:val="0057505D"/>
    <w:rsid w:val="00575314"/>
    <w:rsid w:val="00575992"/>
    <w:rsid w:val="00575F59"/>
    <w:rsid w:val="005769F4"/>
    <w:rsid w:val="00576C0B"/>
    <w:rsid w:val="00577EF2"/>
    <w:rsid w:val="00580538"/>
    <w:rsid w:val="00580B96"/>
    <w:rsid w:val="00581D0E"/>
    <w:rsid w:val="00582298"/>
    <w:rsid w:val="00582A4F"/>
    <w:rsid w:val="00582CB6"/>
    <w:rsid w:val="005832E7"/>
    <w:rsid w:val="005833BE"/>
    <w:rsid w:val="00583475"/>
    <w:rsid w:val="00583483"/>
    <w:rsid w:val="005843E1"/>
    <w:rsid w:val="00584DAC"/>
    <w:rsid w:val="005867CA"/>
    <w:rsid w:val="005868D4"/>
    <w:rsid w:val="00586B10"/>
    <w:rsid w:val="00586F96"/>
    <w:rsid w:val="00587B1E"/>
    <w:rsid w:val="00587DF9"/>
    <w:rsid w:val="00590159"/>
    <w:rsid w:val="0059036D"/>
    <w:rsid w:val="005908BD"/>
    <w:rsid w:val="00590E8C"/>
    <w:rsid w:val="00590EE5"/>
    <w:rsid w:val="0059221D"/>
    <w:rsid w:val="00592403"/>
    <w:rsid w:val="005932C9"/>
    <w:rsid w:val="00594BA1"/>
    <w:rsid w:val="00594CD3"/>
    <w:rsid w:val="005962DA"/>
    <w:rsid w:val="005965D3"/>
    <w:rsid w:val="005968F2"/>
    <w:rsid w:val="00596A48"/>
    <w:rsid w:val="00597552"/>
    <w:rsid w:val="0059793A"/>
    <w:rsid w:val="00597CDB"/>
    <w:rsid w:val="00597E2E"/>
    <w:rsid w:val="005A0052"/>
    <w:rsid w:val="005A05A8"/>
    <w:rsid w:val="005A08BA"/>
    <w:rsid w:val="005A09F6"/>
    <w:rsid w:val="005A09FB"/>
    <w:rsid w:val="005A1439"/>
    <w:rsid w:val="005A14B1"/>
    <w:rsid w:val="005A1B80"/>
    <w:rsid w:val="005A3360"/>
    <w:rsid w:val="005A349F"/>
    <w:rsid w:val="005A472E"/>
    <w:rsid w:val="005A6FF2"/>
    <w:rsid w:val="005A7518"/>
    <w:rsid w:val="005A7555"/>
    <w:rsid w:val="005A7BA1"/>
    <w:rsid w:val="005B17D1"/>
    <w:rsid w:val="005B1FF2"/>
    <w:rsid w:val="005B1FF4"/>
    <w:rsid w:val="005B2457"/>
    <w:rsid w:val="005B3CA2"/>
    <w:rsid w:val="005B409D"/>
    <w:rsid w:val="005B4365"/>
    <w:rsid w:val="005B45B4"/>
    <w:rsid w:val="005B5491"/>
    <w:rsid w:val="005B5BC6"/>
    <w:rsid w:val="005B5BF3"/>
    <w:rsid w:val="005B62BA"/>
    <w:rsid w:val="005B6618"/>
    <w:rsid w:val="005B6C6D"/>
    <w:rsid w:val="005B7E14"/>
    <w:rsid w:val="005C0D0D"/>
    <w:rsid w:val="005C0E2A"/>
    <w:rsid w:val="005C10B9"/>
    <w:rsid w:val="005C1297"/>
    <w:rsid w:val="005C2359"/>
    <w:rsid w:val="005C3222"/>
    <w:rsid w:val="005C382A"/>
    <w:rsid w:val="005C407C"/>
    <w:rsid w:val="005C473D"/>
    <w:rsid w:val="005C58BF"/>
    <w:rsid w:val="005C62E5"/>
    <w:rsid w:val="005C7381"/>
    <w:rsid w:val="005C7417"/>
    <w:rsid w:val="005C7779"/>
    <w:rsid w:val="005C7C06"/>
    <w:rsid w:val="005D05A4"/>
    <w:rsid w:val="005D0BA9"/>
    <w:rsid w:val="005D0D79"/>
    <w:rsid w:val="005D0F93"/>
    <w:rsid w:val="005D1FF6"/>
    <w:rsid w:val="005D2290"/>
    <w:rsid w:val="005D25E8"/>
    <w:rsid w:val="005D2703"/>
    <w:rsid w:val="005D2952"/>
    <w:rsid w:val="005D3032"/>
    <w:rsid w:val="005D318D"/>
    <w:rsid w:val="005D3A47"/>
    <w:rsid w:val="005D3B39"/>
    <w:rsid w:val="005D4416"/>
    <w:rsid w:val="005D50C7"/>
    <w:rsid w:val="005D52FE"/>
    <w:rsid w:val="005D7D5A"/>
    <w:rsid w:val="005E03A3"/>
    <w:rsid w:val="005E051C"/>
    <w:rsid w:val="005E17BF"/>
    <w:rsid w:val="005E1B75"/>
    <w:rsid w:val="005E3ABD"/>
    <w:rsid w:val="005E4DA2"/>
    <w:rsid w:val="005E5B4C"/>
    <w:rsid w:val="005E5EC7"/>
    <w:rsid w:val="005E7426"/>
    <w:rsid w:val="005E771D"/>
    <w:rsid w:val="005F142F"/>
    <w:rsid w:val="005F21B2"/>
    <w:rsid w:val="005F2439"/>
    <w:rsid w:val="005F25FC"/>
    <w:rsid w:val="005F2673"/>
    <w:rsid w:val="005F34B6"/>
    <w:rsid w:val="005F3795"/>
    <w:rsid w:val="005F3909"/>
    <w:rsid w:val="005F41BB"/>
    <w:rsid w:val="005F42FC"/>
    <w:rsid w:val="005F43FC"/>
    <w:rsid w:val="005F4BD3"/>
    <w:rsid w:val="005F5329"/>
    <w:rsid w:val="005F5594"/>
    <w:rsid w:val="005F6396"/>
    <w:rsid w:val="005F6666"/>
    <w:rsid w:val="005F6A18"/>
    <w:rsid w:val="005F74BA"/>
    <w:rsid w:val="005F76E3"/>
    <w:rsid w:val="005F777C"/>
    <w:rsid w:val="005F77B6"/>
    <w:rsid w:val="005F78C1"/>
    <w:rsid w:val="005F79EB"/>
    <w:rsid w:val="006003DC"/>
    <w:rsid w:val="0060130D"/>
    <w:rsid w:val="00601B43"/>
    <w:rsid w:val="006029B5"/>
    <w:rsid w:val="006031B2"/>
    <w:rsid w:val="006039F2"/>
    <w:rsid w:val="00603B00"/>
    <w:rsid w:val="006043F1"/>
    <w:rsid w:val="0060508F"/>
    <w:rsid w:val="00605EDA"/>
    <w:rsid w:val="00606ED8"/>
    <w:rsid w:val="00607362"/>
    <w:rsid w:val="00607FC8"/>
    <w:rsid w:val="006102B4"/>
    <w:rsid w:val="00610426"/>
    <w:rsid w:val="006112A2"/>
    <w:rsid w:val="00611E56"/>
    <w:rsid w:val="00612CB2"/>
    <w:rsid w:val="00613A28"/>
    <w:rsid w:val="006148E4"/>
    <w:rsid w:val="006149AD"/>
    <w:rsid w:val="006152C6"/>
    <w:rsid w:val="006154E7"/>
    <w:rsid w:val="0061573B"/>
    <w:rsid w:val="006157CC"/>
    <w:rsid w:val="0061665E"/>
    <w:rsid w:val="00616C92"/>
    <w:rsid w:val="0061774F"/>
    <w:rsid w:val="00620DA1"/>
    <w:rsid w:val="00622404"/>
    <w:rsid w:val="00622827"/>
    <w:rsid w:val="00622CF3"/>
    <w:rsid w:val="00622EF5"/>
    <w:rsid w:val="00623063"/>
    <w:rsid w:val="006233EE"/>
    <w:rsid w:val="006239C6"/>
    <w:rsid w:val="00624087"/>
    <w:rsid w:val="006248BC"/>
    <w:rsid w:val="00624B10"/>
    <w:rsid w:val="00624F8B"/>
    <w:rsid w:val="00625CFC"/>
    <w:rsid w:val="006260F4"/>
    <w:rsid w:val="00626D7B"/>
    <w:rsid w:val="0062716E"/>
    <w:rsid w:val="006278E8"/>
    <w:rsid w:val="00627B34"/>
    <w:rsid w:val="0063205D"/>
    <w:rsid w:val="0063223A"/>
    <w:rsid w:val="0063355E"/>
    <w:rsid w:val="00634267"/>
    <w:rsid w:val="00634B56"/>
    <w:rsid w:val="00634F7B"/>
    <w:rsid w:val="006351AC"/>
    <w:rsid w:val="006351EA"/>
    <w:rsid w:val="00635FE0"/>
    <w:rsid w:val="00637390"/>
    <w:rsid w:val="006373B5"/>
    <w:rsid w:val="00640488"/>
    <w:rsid w:val="0064100E"/>
    <w:rsid w:val="0064129F"/>
    <w:rsid w:val="0064185A"/>
    <w:rsid w:val="0064218A"/>
    <w:rsid w:val="00643623"/>
    <w:rsid w:val="00644324"/>
    <w:rsid w:val="006444E0"/>
    <w:rsid w:val="00644DBC"/>
    <w:rsid w:val="00645318"/>
    <w:rsid w:val="006454EC"/>
    <w:rsid w:val="00645E93"/>
    <w:rsid w:val="00646E12"/>
    <w:rsid w:val="00646E39"/>
    <w:rsid w:val="0064749F"/>
    <w:rsid w:val="00650FE5"/>
    <w:rsid w:val="0065140A"/>
    <w:rsid w:val="00651E2C"/>
    <w:rsid w:val="006524CE"/>
    <w:rsid w:val="006538F4"/>
    <w:rsid w:val="00655AFE"/>
    <w:rsid w:val="00655D80"/>
    <w:rsid w:val="006579AB"/>
    <w:rsid w:val="00657B8F"/>
    <w:rsid w:val="00662252"/>
    <w:rsid w:val="00662491"/>
    <w:rsid w:val="00662B8C"/>
    <w:rsid w:val="0066373F"/>
    <w:rsid w:val="00663C9D"/>
    <w:rsid w:val="006647D4"/>
    <w:rsid w:val="00664EB5"/>
    <w:rsid w:val="006651D7"/>
    <w:rsid w:val="00666424"/>
    <w:rsid w:val="006666D3"/>
    <w:rsid w:val="00666713"/>
    <w:rsid w:val="00667045"/>
    <w:rsid w:val="00671527"/>
    <w:rsid w:val="006718A7"/>
    <w:rsid w:val="0067240F"/>
    <w:rsid w:val="00673168"/>
    <w:rsid w:val="0067378E"/>
    <w:rsid w:val="00673BB9"/>
    <w:rsid w:val="0067484E"/>
    <w:rsid w:val="0067514C"/>
    <w:rsid w:val="00675386"/>
    <w:rsid w:val="00675E70"/>
    <w:rsid w:val="0067615F"/>
    <w:rsid w:val="00676F4F"/>
    <w:rsid w:val="00677877"/>
    <w:rsid w:val="00681E5A"/>
    <w:rsid w:val="0068287E"/>
    <w:rsid w:val="0068399E"/>
    <w:rsid w:val="00684092"/>
    <w:rsid w:val="0068413B"/>
    <w:rsid w:val="00684308"/>
    <w:rsid w:val="006843CF"/>
    <w:rsid w:val="00684636"/>
    <w:rsid w:val="006856D7"/>
    <w:rsid w:val="00685ACA"/>
    <w:rsid w:val="00685AD5"/>
    <w:rsid w:val="00685D47"/>
    <w:rsid w:val="00685F6D"/>
    <w:rsid w:val="00686433"/>
    <w:rsid w:val="00686B28"/>
    <w:rsid w:val="00686F67"/>
    <w:rsid w:val="00687FE7"/>
    <w:rsid w:val="00687FEE"/>
    <w:rsid w:val="006902D3"/>
    <w:rsid w:val="00690856"/>
    <w:rsid w:val="0069090C"/>
    <w:rsid w:val="00690E36"/>
    <w:rsid w:val="006923F1"/>
    <w:rsid w:val="00694341"/>
    <w:rsid w:val="00694950"/>
    <w:rsid w:val="00697546"/>
    <w:rsid w:val="006A00B1"/>
    <w:rsid w:val="006A058F"/>
    <w:rsid w:val="006A1845"/>
    <w:rsid w:val="006A19ED"/>
    <w:rsid w:val="006A2753"/>
    <w:rsid w:val="006A39D2"/>
    <w:rsid w:val="006A3AB2"/>
    <w:rsid w:val="006A4A3D"/>
    <w:rsid w:val="006A4AE7"/>
    <w:rsid w:val="006A50D2"/>
    <w:rsid w:val="006A5160"/>
    <w:rsid w:val="006A5323"/>
    <w:rsid w:val="006A561E"/>
    <w:rsid w:val="006A5B46"/>
    <w:rsid w:val="006A5EAD"/>
    <w:rsid w:val="006A69E0"/>
    <w:rsid w:val="006A6A8A"/>
    <w:rsid w:val="006A74C8"/>
    <w:rsid w:val="006A7670"/>
    <w:rsid w:val="006A7C7F"/>
    <w:rsid w:val="006B0A49"/>
    <w:rsid w:val="006B1280"/>
    <w:rsid w:val="006B16FC"/>
    <w:rsid w:val="006B2353"/>
    <w:rsid w:val="006B2752"/>
    <w:rsid w:val="006B33B2"/>
    <w:rsid w:val="006B3AB0"/>
    <w:rsid w:val="006B3CDA"/>
    <w:rsid w:val="006B5304"/>
    <w:rsid w:val="006B6318"/>
    <w:rsid w:val="006B6A04"/>
    <w:rsid w:val="006C163B"/>
    <w:rsid w:val="006C1801"/>
    <w:rsid w:val="006C332F"/>
    <w:rsid w:val="006C368B"/>
    <w:rsid w:val="006C3703"/>
    <w:rsid w:val="006C384C"/>
    <w:rsid w:val="006C3D87"/>
    <w:rsid w:val="006C3DDE"/>
    <w:rsid w:val="006C47F3"/>
    <w:rsid w:val="006C485D"/>
    <w:rsid w:val="006C5425"/>
    <w:rsid w:val="006C636C"/>
    <w:rsid w:val="006C63B3"/>
    <w:rsid w:val="006C676A"/>
    <w:rsid w:val="006C679D"/>
    <w:rsid w:val="006C6BD4"/>
    <w:rsid w:val="006C7900"/>
    <w:rsid w:val="006C7BB1"/>
    <w:rsid w:val="006C7CC5"/>
    <w:rsid w:val="006D089D"/>
    <w:rsid w:val="006D0E53"/>
    <w:rsid w:val="006D14AD"/>
    <w:rsid w:val="006D1507"/>
    <w:rsid w:val="006D2C4E"/>
    <w:rsid w:val="006D3653"/>
    <w:rsid w:val="006D4006"/>
    <w:rsid w:val="006D4DEB"/>
    <w:rsid w:val="006D5352"/>
    <w:rsid w:val="006D5F6C"/>
    <w:rsid w:val="006D6993"/>
    <w:rsid w:val="006D7303"/>
    <w:rsid w:val="006E0DEF"/>
    <w:rsid w:val="006E1335"/>
    <w:rsid w:val="006E144D"/>
    <w:rsid w:val="006E1EFE"/>
    <w:rsid w:val="006E3589"/>
    <w:rsid w:val="006E3A49"/>
    <w:rsid w:val="006E3DEA"/>
    <w:rsid w:val="006E43A2"/>
    <w:rsid w:val="006E4DC3"/>
    <w:rsid w:val="006E5C2E"/>
    <w:rsid w:val="006E610F"/>
    <w:rsid w:val="006E7F13"/>
    <w:rsid w:val="006F1005"/>
    <w:rsid w:val="006F131A"/>
    <w:rsid w:val="006F2032"/>
    <w:rsid w:val="006F2591"/>
    <w:rsid w:val="006F2636"/>
    <w:rsid w:val="006F317D"/>
    <w:rsid w:val="006F671B"/>
    <w:rsid w:val="006F6C3B"/>
    <w:rsid w:val="0070225E"/>
    <w:rsid w:val="007025D4"/>
    <w:rsid w:val="007044AC"/>
    <w:rsid w:val="007049A7"/>
    <w:rsid w:val="00704A9D"/>
    <w:rsid w:val="00704ACE"/>
    <w:rsid w:val="00704BE9"/>
    <w:rsid w:val="00704DF2"/>
    <w:rsid w:val="00704F54"/>
    <w:rsid w:val="00705D34"/>
    <w:rsid w:val="00706143"/>
    <w:rsid w:val="00710233"/>
    <w:rsid w:val="00710550"/>
    <w:rsid w:val="007128E2"/>
    <w:rsid w:val="00712AB4"/>
    <w:rsid w:val="007131DA"/>
    <w:rsid w:val="00713434"/>
    <w:rsid w:val="00713679"/>
    <w:rsid w:val="00713944"/>
    <w:rsid w:val="00713CDD"/>
    <w:rsid w:val="00714B37"/>
    <w:rsid w:val="00714C8F"/>
    <w:rsid w:val="0071531D"/>
    <w:rsid w:val="00715C57"/>
    <w:rsid w:val="007165EF"/>
    <w:rsid w:val="00716E8F"/>
    <w:rsid w:val="007171E5"/>
    <w:rsid w:val="00717609"/>
    <w:rsid w:val="00717EC8"/>
    <w:rsid w:val="00717FD0"/>
    <w:rsid w:val="007200E3"/>
    <w:rsid w:val="0072017E"/>
    <w:rsid w:val="00720234"/>
    <w:rsid w:val="007206CA"/>
    <w:rsid w:val="0072110D"/>
    <w:rsid w:val="00721A3A"/>
    <w:rsid w:val="00722394"/>
    <w:rsid w:val="00722A48"/>
    <w:rsid w:val="00722C55"/>
    <w:rsid w:val="00723C9D"/>
    <w:rsid w:val="00723F96"/>
    <w:rsid w:val="007241F4"/>
    <w:rsid w:val="00724743"/>
    <w:rsid w:val="00724AF6"/>
    <w:rsid w:val="00724DB6"/>
    <w:rsid w:val="007252C8"/>
    <w:rsid w:val="00725C1F"/>
    <w:rsid w:val="00725FA3"/>
    <w:rsid w:val="00727596"/>
    <w:rsid w:val="00727C78"/>
    <w:rsid w:val="0073106F"/>
    <w:rsid w:val="0073175F"/>
    <w:rsid w:val="0073299E"/>
    <w:rsid w:val="00732BE7"/>
    <w:rsid w:val="0073337C"/>
    <w:rsid w:val="00734840"/>
    <w:rsid w:val="00734C6E"/>
    <w:rsid w:val="00734E13"/>
    <w:rsid w:val="007355DC"/>
    <w:rsid w:val="00735A47"/>
    <w:rsid w:val="007377D6"/>
    <w:rsid w:val="007378C8"/>
    <w:rsid w:val="00737EF8"/>
    <w:rsid w:val="00740BB6"/>
    <w:rsid w:val="00741687"/>
    <w:rsid w:val="00742000"/>
    <w:rsid w:val="007429BD"/>
    <w:rsid w:val="00742F0C"/>
    <w:rsid w:val="00743FD3"/>
    <w:rsid w:val="00744C1D"/>
    <w:rsid w:val="00744E54"/>
    <w:rsid w:val="00744FB4"/>
    <w:rsid w:val="007452DF"/>
    <w:rsid w:val="0074614E"/>
    <w:rsid w:val="0074648C"/>
    <w:rsid w:val="00746707"/>
    <w:rsid w:val="00746A22"/>
    <w:rsid w:val="00746DD3"/>
    <w:rsid w:val="00747540"/>
    <w:rsid w:val="0075074A"/>
    <w:rsid w:val="00750FA6"/>
    <w:rsid w:val="00751676"/>
    <w:rsid w:val="007516F7"/>
    <w:rsid w:val="00751ED7"/>
    <w:rsid w:val="00752DC3"/>
    <w:rsid w:val="0075378A"/>
    <w:rsid w:val="0075384B"/>
    <w:rsid w:val="00754430"/>
    <w:rsid w:val="00754A29"/>
    <w:rsid w:val="00754AE6"/>
    <w:rsid w:val="00756E1A"/>
    <w:rsid w:val="00756F05"/>
    <w:rsid w:val="0075733E"/>
    <w:rsid w:val="00757DF8"/>
    <w:rsid w:val="00760A76"/>
    <w:rsid w:val="00760B02"/>
    <w:rsid w:val="00760B46"/>
    <w:rsid w:val="00760F4E"/>
    <w:rsid w:val="007612F7"/>
    <w:rsid w:val="00761F25"/>
    <w:rsid w:val="007621EE"/>
    <w:rsid w:val="0076234F"/>
    <w:rsid w:val="00762A91"/>
    <w:rsid w:val="00762CF8"/>
    <w:rsid w:val="007632A0"/>
    <w:rsid w:val="00763A42"/>
    <w:rsid w:val="00763F2C"/>
    <w:rsid w:val="007654B7"/>
    <w:rsid w:val="00765E69"/>
    <w:rsid w:val="0076657E"/>
    <w:rsid w:val="00766BAD"/>
    <w:rsid w:val="007679F8"/>
    <w:rsid w:val="007709E7"/>
    <w:rsid w:val="00770BDC"/>
    <w:rsid w:val="0077104C"/>
    <w:rsid w:val="007714D3"/>
    <w:rsid w:val="00771BCF"/>
    <w:rsid w:val="00771DBD"/>
    <w:rsid w:val="00771DC4"/>
    <w:rsid w:val="007727A0"/>
    <w:rsid w:val="007727A8"/>
    <w:rsid w:val="007727F0"/>
    <w:rsid w:val="00773527"/>
    <w:rsid w:val="00773782"/>
    <w:rsid w:val="00773C82"/>
    <w:rsid w:val="0077432A"/>
    <w:rsid w:val="0077436D"/>
    <w:rsid w:val="0077437F"/>
    <w:rsid w:val="00774F08"/>
    <w:rsid w:val="0077528A"/>
    <w:rsid w:val="00775624"/>
    <w:rsid w:val="007758E3"/>
    <w:rsid w:val="00776B98"/>
    <w:rsid w:val="00777094"/>
    <w:rsid w:val="007771EE"/>
    <w:rsid w:val="0077740E"/>
    <w:rsid w:val="0077771B"/>
    <w:rsid w:val="00777841"/>
    <w:rsid w:val="007807C7"/>
    <w:rsid w:val="00780972"/>
    <w:rsid w:val="00780AD1"/>
    <w:rsid w:val="00780B9C"/>
    <w:rsid w:val="00780C38"/>
    <w:rsid w:val="00780FF9"/>
    <w:rsid w:val="007816E9"/>
    <w:rsid w:val="00782344"/>
    <w:rsid w:val="007834E3"/>
    <w:rsid w:val="007837AD"/>
    <w:rsid w:val="00783C39"/>
    <w:rsid w:val="00783D42"/>
    <w:rsid w:val="00784198"/>
    <w:rsid w:val="007847BD"/>
    <w:rsid w:val="00784A1E"/>
    <w:rsid w:val="0078652B"/>
    <w:rsid w:val="00787660"/>
    <w:rsid w:val="007876D2"/>
    <w:rsid w:val="00787BCA"/>
    <w:rsid w:val="00790ABE"/>
    <w:rsid w:val="00790D9A"/>
    <w:rsid w:val="00791095"/>
    <w:rsid w:val="0079215F"/>
    <w:rsid w:val="00792166"/>
    <w:rsid w:val="00792556"/>
    <w:rsid w:val="00793180"/>
    <w:rsid w:val="00794FBC"/>
    <w:rsid w:val="00795925"/>
    <w:rsid w:val="00796B53"/>
    <w:rsid w:val="0079757D"/>
    <w:rsid w:val="007A038C"/>
    <w:rsid w:val="007A06E9"/>
    <w:rsid w:val="007A0F72"/>
    <w:rsid w:val="007A11E7"/>
    <w:rsid w:val="007A194D"/>
    <w:rsid w:val="007A205C"/>
    <w:rsid w:val="007A24B4"/>
    <w:rsid w:val="007A2AC8"/>
    <w:rsid w:val="007A2D31"/>
    <w:rsid w:val="007A3E01"/>
    <w:rsid w:val="007A4336"/>
    <w:rsid w:val="007A4725"/>
    <w:rsid w:val="007A5445"/>
    <w:rsid w:val="007A55CA"/>
    <w:rsid w:val="007A5698"/>
    <w:rsid w:val="007A58F0"/>
    <w:rsid w:val="007A5E68"/>
    <w:rsid w:val="007A7BC2"/>
    <w:rsid w:val="007A7F7D"/>
    <w:rsid w:val="007B04FB"/>
    <w:rsid w:val="007B161D"/>
    <w:rsid w:val="007B25D1"/>
    <w:rsid w:val="007B2600"/>
    <w:rsid w:val="007B2673"/>
    <w:rsid w:val="007B2E69"/>
    <w:rsid w:val="007B31C3"/>
    <w:rsid w:val="007B359B"/>
    <w:rsid w:val="007B3A17"/>
    <w:rsid w:val="007B42D2"/>
    <w:rsid w:val="007B466F"/>
    <w:rsid w:val="007B4EA9"/>
    <w:rsid w:val="007B5B2C"/>
    <w:rsid w:val="007B626B"/>
    <w:rsid w:val="007B7430"/>
    <w:rsid w:val="007C03B8"/>
    <w:rsid w:val="007C0453"/>
    <w:rsid w:val="007C04F0"/>
    <w:rsid w:val="007C1447"/>
    <w:rsid w:val="007C2312"/>
    <w:rsid w:val="007C23BF"/>
    <w:rsid w:val="007C2839"/>
    <w:rsid w:val="007C2E16"/>
    <w:rsid w:val="007C4F4B"/>
    <w:rsid w:val="007C6E49"/>
    <w:rsid w:val="007C7B13"/>
    <w:rsid w:val="007D034E"/>
    <w:rsid w:val="007D0AD0"/>
    <w:rsid w:val="007D0CC1"/>
    <w:rsid w:val="007D19C0"/>
    <w:rsid w:val="007D233B"/>
    <w:rsid w:val="007D313F"/>
    <w:rsid w:val="007D32D9"/>
    <w:rsid w:val="007D4F2C"/>
    <w:rsid w:val="007D5AC8"/>
    <w:rsid w:val="007D5E10"/>
    <w:rsid w:val="007D776C"/>
    <w:rsid w:val="007D795C"/>
    <w:rsid w:val="007E018D"/>
    <w:rsid w:val="007E0C77"/>
    <w:rsid w:val="007E15D6"/>
    <w:rsid w:val="007E168F"/>
    <w:rsid w:val="007E1D41"/>
    <w:rsid w:val="007E1E38"/>
    <w:rsid w:val="007E2272"/>
    <w:rsid w:val="007E32EE"/>
    <w:rsid w:val="007E3487"/>
    <w:rsid w:val="007E3B31"/>
    <w:rsid w:val="007E4966"/>
    <w:rsid w:val="007E4BC1"/>
    <w:rsid w:val="007E4D8B"/>
    <w:rsid w:val="007E6210"/>
    <w:rsid w:val="007E70D7"/>
    <w:rsid w:val="007E75E1"/>
    <w:rsid w:val="007E7793"/>
    <w:rsid w:val="007E78C3"/>
    <w:rsid w:val="007E7A02"/>
    <w:rsid w:val="007E7C0B"/>
    <w:rsid w:val="007F0BA7"/>
    <w:rsid w:val="007F0EB5"/>
    <w:rsid w:val="007F2020"/>
    <w:rsid w:val="007F239B"/>
    <w:rsid w:val="007F3852"/>
    <w:rsid w:val="007F3DF7"/>
    <w:rsid w:val="007F4A4D"/>
    <w:rsid w:val="007F4C5A"/>
    <w:rsid w:val="007F541E"/>
    <w:rsid w:val="007F6706"/>
    <w:rsid w:val="007F674F"/>
    <w:rsid w:val="007F6FF9"/>
    <w:rsid w:val="007F73F6"/>
    <w:rsid w:val="007F7635"/>
    <w:rsid w:val="00800C2A"/>
    <w:rsid w:val="008019CF"/>
    <w:rsid w:val="008023F7"/>
    <w:rsid w:val="00802575"/>
    <w:rsid w:val="008025F5"/>
    <w:rsid w:val="0080321D"/>
    <w:rsid w:val="00803917"/>
    <w:rsid w:val="00803EFC"/>
    <w:rsid w:val="0080442C"/>
    <w:rsid w:val="00805479"/>
    <w:rsid w:val="00805626"/>
    <w:rsid w:val="0080586E"/>
    <w:rsid w:val="00805AC7"/>
    <w:rsid w:val="00806077"/>
    <w:rsid w:val="008063E3"/>
    <w:rsid w:val="00806EAB"/>
    <w:rsid w:val="0080714C"/>
    <w:rsid w:val="00807261"/>
    <w:rsid w:val="00807AD4"/>
    <w:rsid w:val="00807DB4"/>
    <w:rsid w:val="00807E7D"/>
    <w:rsid w:val="00811BDE"/>
    <w:rsid w:val="0081214C"/>
    <w:rsid w:val="00812B83"/>
    <w:rsid w:val="00812EBE"/>
    <w:rsid w:val="00813356"/>
    <w:rsid w:val="008138DC"/>
    <w:rsid w:val="0081396B"/>
    <w:rsid w:val="00813CEA"/>
    <w:rsid w:val="00813FFF"/>
    <w:rsid w:val="00814D0E"/>
    <w:rsid w:val="00815185"/>
    <w:rsid w:val="00815F14"/>
    <w:rsid w:val="00817062"/>
    <w:rsid w:val="00817C9B"/>
    <w:rsid w:val="0082181E"/>
    <w:rsid w:val="00822144"/>
    <w:rsid w:val="008221BA"/>
    <w:rsid w:val="00822CCA"/>
    <w:rsid w:val="00823128"/>
    <w:rsid w:val="00823B34"/>
    <w:rsid w:val="00824C94"/>
    <w:rsid w:val="0082620E"/>
    <w:rsid w:val="0082675F"/>
    <w:rsid w:val="008272A9"/>
    <w:rsid w:val="008273EC"/>
    <w:rsid w:val="00827599"/>
    <w:rsid w:val="00827A82"/>
    <w:rsid w:val="00830423"/>
    <w:rsid w:val="00831374"/>
    <w:rsid w:val="00831675"/>
    <w:rsid w:val="00834029"/>
    <w:rsid w:val="00834A07"/>
    <w:rsid w:val="00834E81"/>
    <w:rsid w:val="00835536"/>
    <w:rsid w:val="008355F7"/>
    <w:rsid w:val="00835B2C"/>
    <w:rsid w:val="00835BBC"/>
    <w:rsid w:val="00835F47"/>
    <w:rsid w:val="00836176"/>
    <w:rsid w:val="0083693E"/>
    <w:rsid w:val="008369D3"/>
    <w:rsid w:val="00836C2F"/>
    <w:rsid w:val="0083772D"/>
    <w:rsid w:val="0083777E"/>
    <w:rsid w:val="00837985"/>
    <w:rsid w:val="00842E33"/>
    <w:rsid w:val="00842E5C"/>
    <w:rsid w:val="0084434C"/>
    <w:rsid w:val="0084468D"/>
    <w:rsid w:val="008446E8"/>
    <w:rsid w:val="008447D6"/>
    <w:rsid w:val="008453C7"/>
    <w:rsid w:val="00845B2E"/>
    <w:rsid w:val="00845DE8"/>
    <w:rsid w:val="00847279"/>
    <w:rsid w:val="00851E27"/>
    <w:rsid w:val="0085269F"/>
    <w:rsid w:val="00852A02"/>
    <w:rsid w:val="00852C36"/>
    <w:rsid w:val="00852D1C"/>
    <w:rsid w:val="0085301C"/>
    <w:rsid w:val="00853103"/>
    <w:rsid w:val="00853931"/>
    <w:rsid w:val="00853BCB"/>
    <w:rsid w:val="00853CF5"/>
    <w:rsid w:val="00853FEE"/>
    <w:rsid w:val="0085422E"/>
    <w:rsid w:val="0085448E"/>
    <w:rsid w:val="00854645"/>
    <w:rsid w:val="008553CD"/>
    <w:rsid w:val="0085564F"/>
    <w:rsid w:val="00855E33"/>
    <w:rsid w:val="008564D1"/>
    <w:rsid w:val="00856663"/>
    <w:rsid w:val="008566F3"/>
    <w:rsid w:val="00856C94"/>
    <w:rsid w:val="00857FFE"/>
    <w:rsid w:val="00860977"/>
    <w:rsid w:val="00861DC8"/>
    <w:rsid w:val="00862876"/>
    <w:rsid w:val="00864302"/>
    <w:rsid w:val="00864380"/>
    <w:rsid w:val="008643DA"/>
    <w:rsid w:val="0086486A"/>
    <w:rsid w:val="00864A5A"/>
    <w:rsid w:val="00865000"/>
    <w:rsid w:val="00865C05"/>
    <w:rsid w:val="00865F8E"/>
    <w:rsid w:val="008664B8"/>
    <w:rsid w:val="008666B1"/>
    <w:rsid w:val="00870163"/>
    <w:rsid w:val="00870B17"/>
    <w:rsid w:val="008717B7"/>
    <w:rsid w:val="0087210D"/>
    <w:rsid w:val="0087273B"/>
    <w:rsid w:val="00872AE6"/>
    <w:rsid w:val="00872B1B"/>
    <w:rsid w:val="008743B7"/>
    <w:rsid w:val="00874634"/>
    <w:rsid w:val="00874D48"/>
    <w:rsid w:val="00874E44"/>
    <w:rsid w:val="00875716"/>
    <w:rsid w:val="00875B45"/>
    <w:rsid w:val="00876AB1"/>
    <w:rsid w:val="00877A7E"/>
    <w:rsid w:val="0088038C"/>
    <w:rsid w:val="008809F1"/>
    <w:rsid w:val="008814E4"/>
    <w:rsid w:val="0088161A"/>
    <w:rsid w:val="00881622"/>
    <w:rsid w:val="0088175B"/>
    <w:rsid w:val="00882A0A"/>
    <w:rsid w:val="008837E0"/>
    <w:rsid w:val="00884586"/>
    <w:rsid w:val="0088467C"/>
    <w:rsid w:val="00885306"/>
    <w:rsid w:val="00885BF8"/>
    <w:rsid w:val="008860CD"/>
    <w:rsid w:val="0088615C"/>
    <w:rsid w:val="00886276"/>
    <w:rsid w:val="0088647C"/>
    <w:rsid w:val="008867FC"/>
    <w:rsid w:val="008868AC"/>
    <w:rsid w:val="008878CD"/>
    <w:rsid w:val="00890389"/>
    <w:rsid w:val="00892647"/>
    <w:rsid w:val="00893822"/>
    <w:rsid w:val="00894580"/>
    <w:rsid w:val="00894B7A"/>
    <w:rsid w:val="00895A00"/>
    <w:rsid w:val="00896431"/>
    <w:rsid w:val="00896578"/>
    <w:rsid w:val="0089776D"/>
    <w:rsid w:val="008A0BE8"/>
    <w:rsid w:val="008A13DF"/>
    <w:rsid w:val="008A1684"/>
    <w:rsid w:val="008A251E"/>
    <w:rsid w:val="008A284D"/>
    <w:rsid w:val="008A4C4F"/>
    <w:rsid w:val="008A54F2"/>
    <w:rsid w:val="008A54F7"/>
    <w:rsid w:val="008A566C"/>
    <w:rsid w:val="008A5679"/>
    <w:rsid w:val="008B0481"/>
    <w:rsid w:val="008B0B6B"/>
    <w:rsid w:val="008B0C1D"/>
    <w:rsid w:val="008B1AB9"/>
    <w:rsid w:val="008B25CD"/>
    <w:rsid w:val="008B3851"/>
    <w:rsid w:val="008B39D7"/>
    <w:rsid w:val="008B3A82"/>
    <w:rsid w:val="008B43B3"/>
    <w:rsid w:val="008B4BEB"/>
    <w:rsid w:val="008B549A"/>
    <w:rsid w:val="008B6408"/>
    <w:rsid w:val="008B640B"/>
    <w:rsid w:val="008B6D59"/>
    <w:rsid w:val="008B7A65"/>
    <w:rsid w:val="008C003F"/>
    <w:rsid w:val="008C00ED"/>
    <w:rsid w:val="008C02AB"/>
    <w:rsid w:val="008C128F"/>
    <w:rsid w:val="008C1D13"/>
    <w:rsid w:val="008C2E22"/>
    <w:rsid w:val="008C3260"/>
    <w:rsid w:val="008C54D9"/>
    <w:rsid w:val="008C6508"/>
    <w:rsid w:val="008C65D6"/>
    <w:rsid w:val="008C6D49"/>
    <w:rsid w:val="008C6D7F"/>
    <w:rsid w:val="008C788B"/>
    <w:rsid w:val="008C79C6"/>
    <w:rsid w:val="008D0093"/>
    <w:rsid w:val="008D03F8"/>
    <w:rsid w:val="008D059E"/>
    <w:rsid w:val="008D0857"/>
    <w:rsid w:val="008D10F6"/>
    <w:rsid w:val="008D119F"/>
    <w:rsid w:val="008D1336"/>
    <w:rsid w:val="008D134E"/>
    <w:rsid w:val="008D16F7"/>
    <w:rsid w:val="008D1A13"/>
    <w:rsid w:val="008D1EBD"/>
    <w:rsid w:val="008D2673"/>
    <w:rsid w:val="008D2B69"/>
    <w:rsid w:val="008D2D05"/>
    <w:rsid w:val="008D4507"/>
    <w:rsid w:val="008D47BC"/>
    <w:rsid w:val="008D48D8"/>
    <w:rsid w:val="008D4C1E"/>
    <w:rsid w:val="008D5B99"/>
    <w:rsid w:val="008D603A"/>
    <w:rsid w:val="008D6372"/>
    <w:rsid w:val="008D66F3"/>
    <w:rsid w:val="008D67AB"/>
    <w:rsid w:val="008D6E72"/>
    <w:rsid w:val="008D7A39"/>
    <w:rsid w:val="008D7AFF"/>
    <w:rsid w:val="008E01DD"/>
    <w:rsid w:val="008E036A"/>
    <w:rsid w:val="008E0492"/>
    <w:rsid w:val="008E07E6"/>
    <w:rsid w:val="008E15AA"/>
    <w:rsid w:val="008E2B97"/>
    <w:rsid w:val="008E2E40"/>
    <w:rsid w:val="008E330E"/>
    <w:rsid w:val="008E374B"/>
    <w:rsid w:val="008E3A20"/>
    <w:rsid w:val="008E3B6E"/>
    <w:rsid w:val="008E4EE8"/>
    <w:rsid w:val="008E4FB2"/>
    <w:rsid w:val="008E5397"/>
    <w:rsid w:val="008E641C"/>
    <w:rsid w:val="008E6A7C"/>
    <w:rsid w:val="008E78BC"/>
    <w:rsid w:val="008F03D4"/>
    <w:rsid w:val="008F3515"/>
    <w:rsid w:val="008F3969"/>
    <w:rsid w:val="008F3C8F"/>
    <w:rsid w:val="008F3F43"/>
    <w:rsid w:val="008F4188"/>
    <w:rsid w:val="008F4522"/>
    <w:rsid w:val="008F4574"/>
    <w:rsid w:val="008F58ED"/>
    <w:rsid w:val="008F5D8A"/>
    <w:rsid w:val="008F652D"/>
    <w:rsid w:val="009000AB"/>
    <w:rsid w:val="0090028E"/>
    <w:rsid w:val="0090036B"/>
    <w:rsid w:val="009004B3"/>
    <w:rsid w:val="00900EC5"/>
    <w:rsid w:val="00901910"/>
    <w:rsid w:val="00902303"/>
    <w:rsid w:val="0090293A"/>
    <w:rsid w:val="009031DA"/>
    <w:rsid w:val="009032CE"/>
    <w:rsid w:val="00903325"/>
    <w:rsid w:val="00903770"/>
    <w:rsid w:val="00905C07"/>
    <w:rsid w:val="0090710B"/>
    <w:rsid w:val="0090726C"/>
    <w:rsid w:val="009075F1"/>
    <w:rsid w:val="00907FF1"/>
    <w:rsid w:val="00911006"/>
    <w:rsid w:val="009113FD"/>
    <w:rsid w:val="00911436"/>
    <w:rsid w:val="00911BD5"/>
    <w:rsid w:val="00911DA8"/>
    <w:rsid w:val="00912805"/>
    <w:rsid w:val="009134DC"/>
    <w:rsid w:val="0091372E"/>
    <w:rsid w:val="009146AB"/>
    <w:rsid w:val="0091528F"/>
    <w:rsid w:val="00915C86"/>
    <w:rsid w:val="009160E0"/>
    <w:rsid w:val="009166E2"/>
    <w:rsid w:val="00920313"/>
    <w:rsid w:val="00921D05"/>
    <w:rsid w:val="00922F8D"/>
    <w:rsid w:val="009231C7"/>
    <w:rsid w:val="009240A8"/>
    <w:rsid w:val="00924ACD"/>
    <w:rsid w:val="00924E47"/>
    <w:rsid w:val="00926D5E"/>
    <w:rsid w:val="00926F2E"/>
    <w:rsid w:val="00927A0F"/>
    <w:rsid w:val="00927BA3"/>
    <w:rsid w:val="009304C5"/>
    <w:rsid w:val="00930713"/>
    <w:rsid w:val="009307BC"/>
    <w:rsid w:val="0093082B"/>
    <w:rsid w:val="0093094A"/>
    <w:rsid w:val="009309A8"/>
    <w:rsid w:val="009323A3"/>
    <w:rsid w:val="00932443"/>
    <w:rsid w:val="00932CF8"/>
    <w:rsid w:val="00933748"/>
    <w:rsid w:val="00933F87"/>
    <w:rsid w:val="00935EC5"/>
    <w:rsid w:val="0093600F"/>
    <w:rsid w:val="00936750"/>
    <w:rsid w:val="009374EC"/>
    <w:rsid w:val="0093790E"/>
    <w:rsid w:val="00937D90"/>
    <w:rsid w:val="00940ADE"/>
    <w:rsid w:val="00940D62"/>
    <w:rsid w:val="00941272"/>
    <w:rsid w:val="00941399"/>
    <w:rsid w:val="00941AC0"/>
    <w:rsid w:val="00941C0D"/>
    <w:rsid w:val="00941F0F"/>
    <w:rsid w:val="00942477"/>
    <w:rsid w:val="00942B5D"/>
    <w:rsid w:val="00943A67"/>
    <w:rsid w:val="00943B5D"/>
    <w:rsid w:val="009440F4"/>
    <w:rsid w:val="00945A15"/>
    <w:rsid w:val="009461AD"/>
    <w:rsid w:val="00946D97"/>
    <w:rsid w:val="00950C45"/>
    <w:rsid w:val="00951214"/>
    <w:rsid w:val="00951EE3"/>
    <w:rsid w:val="0095459E"/>
    <w:rsid w:val="00954C3E"/>
    <w:rsid w:val="00954D63"/>
    <w:rsid w:val="00955D92"/>
    <w:rsid w:val="00956C03"/>
    <w:rsid w:val="00957190"/>
    <w:rsid w:val="00957677"/>
    <w:rsid w:val="009579A5"/>
    <w:rsid w:val="0096026A"/>
    <w:rsid w:val="009607BC"/>
    <w:rsid w:val="00961472"/>
    <w:rsid w:val="00961714"/>
    <w:rsid w:val="00963006"/>
    <w:rsid w:val="00964ED1"/>
    <w:rsid w:val="00966EEE"/>
    <w:rsid w:val="00966F61"/>
    <w:rsid w:val="00970A74"/>
    <w:rsid w:val="00970DE9"/>
    <w:rsid w:val="00971062"/>
    <w:rsid w:val="009733EF"/>
    <w:rsid w:val="00973472"/>
    <w:rsid w:val="00975BD7"/>
    <w:rsid w:val="009763C1"/>
    <w:rsid w:val="00977146"/>
    <w:rsid w:val="009778A1"/>
    <w:rsid w:val="00977B6E"/>
    <w:rsid w:val="009809DE"/>
    <w:rsid w:val="00980D13"/>
    <w:rsid w:val="009813CC"/>
    <w:rsid w:val="00981A7F"/>
    <w:rsid w:val="00982684"/>
    <w:rsid w:val="00983FEA"/>
    <w:rsid w:val="00985056"/>
    <w:rsid w:val="00985E31"/>
    <w:rsid w:val="00985FB9"/>
    <w:rsid w:val="00986006"/>
    <w:rsid w:val="00986207"/>
    <w:rsid w:val="009878BC"/>
    <w:rsid w:val="00987D29"/>
    <w:rsid w:val="00987EE7"/>
    <w:rsid w:val="009903D0"/>
    <w:rsid w:val="009906F6"/>
    <w:rsid w:val="00990E24"/>
    <w:rsid w:val="009914C8"/>
    <w:rsid w:val="009917B1"/>
    <w:rsid w:val="00991D3F"/>
    <w:rsid w:val="009922EB"/>
    <w:rsid w:val="00992DE0"/>
    <w:rsid w:val="009938ED"/>
    <w:rsid w:val="00993AB1"/>
    <w:rsid w:val="0099500A"/>
    <w:rsid w:val="00995DC2"/>
    <w:rsid w:val="00996CDA"/>
    <w:rsid w:val="009970D7"/>
    <w:rsid w:val="00997A53"/>
    <w:rsid w:val="00997EF1"/>
    <w:rsid w:val="009A0AB2"/>
    <w:rsid w:val="009A5015"/>
    <w:rsid w:val="009A52E9"/>
    <w:rsid w:val="009A5B6C"/>
    <w:rsid w:val="009A5F2E"/>
    <w:rsid w:val="009A70FA"/>
    <w:rsid w:val="009A7446"/>
    <w:rsid w:val="009A7E38"/>
    <w:rsid w:val="009B01D6"/>
    <w:rsid w:val="009B0FFC"/>
    <w:rsid w:val="009B1018"/>
    <w:rsid w:val="009B106A"/>
    <w:rsid w:val="009B198F"/>
    <w:rsid w:val="009B1BC4"/>
    <w:rsid w:val="009B2647"/>
    <w:rsid w:val="009B40D7"/>
    <w:rsid w:val="009B4157"/>
    <w:rsid w:val="009B6047"/>
    <w:rsid w:val="009B6F37"/>
    <w:rsid w:val="009B7A83"/>
    <w:rsid w:val="009C1236"/>
    <w:rsid w:val="009C1749"/>
    <w:rsid w:val="009C2121"/>
    <w:rsid w:val="009C355B"/>
    <w:rsid w:val="009C3658"/>
    <w:rsid w:val="009C3801"/>
    <w:rsid w:val="009C3D74"/>
    <w:rsid w:val="009C3F66"/>
    <w:rsid w:val="009C4525"/>
    <w:rsid w:val="009C52A6"/>
    <w:rsid w:val="009C543E"/>
    <w:rsid w:val="009C587D"/>
    <w:rsid w:val="009C5A5B"/>
    <w:rsid w:val="009C5EF7"/>
    <w:rsid w:val="009C664C"/>
    <w:rsid w:val="009D1115"/>
    <w:rsid w:val="009D1951"/>
    <w:rsid w:val="009D20AB"/>
    <w:rsid w:val="009D2820"/>
    <w:rsid w:val="009D28D5"/>
    <w:rsid w:val="009D31B7"/>
    <w:rsid w:val="009D31C1"/>
    <w:rsid w:val="009D349C"/>
    <w:rsid w:val="009D483B"/>
    <w:rsid w:val="009D58DD"/>
    <w:rsid w:val="009D5ABD"/>
    <w:rsid w:val="009D5E8D"/>
    <w:rsid w:val="009D64AC"/>
    <w:rsid w:val="009D6C4D"/>
    <w:rsid w:val="009D74C8"/>
    <w:rsid w:val="009E1599"/>
    <w:rsid w:val="009E1677"/>
    <w:rsid w:val="009E1D9C"/>
    <w:rsid w:val="009E2F86"/>
    <w:rsid w:val="009E3430"/>
    <w:rsid w:val="009E4F22"/>
    <w:rsid w:val="009E528D"/>
    <w:rsid w:val="009E5424"/>
    <w:rsid w:val="009E6B6A"/>
    <w:rsid w:val="009E7127"/>
    <w:rsid w:val="009E7AA3"/>
    <w:rsid w:val="009F0DE7"/>
    <w:rsid w:val="009F13B5"/>
    <w:rsid w:val="009F2F4F"/>
    <w:rsid w:val="009F3B7D"/>
    <w:rsid w:val="009F3DCD"/>
    <w:rsid w:val="009F3DE7"/>
    <w:rsid w:val="009F56CC"/>
    <w:rsid w:val="009F60A3"/>
    <w:rsid w:val="009F6C38"/>
    <w:rsid w:val="009F6CEB"/>
    <w:rsid w:val="009F702C"/>
    <w:rsid w:val="009F723C"/>
    <w:rsid w:val="009F730F"/>
    <w:rsid w:val="009F7C32"/>
    <w:rsid w:val="00A0001A"/>
    <w:rsid w:val="00A00804"/>
    <w:rsid w:val="00A02A3E"/>
    <w:rsid w:val="00A02A89"/>
    <w:rsid w:val="00A02F9D"/>
    <w:rsid w:val="00A03285"/>
    <w:rsid w:val="00A03936"/>
    <w:rsid w:val="00A04129"/>
    <w:rsid w:val="00A0489E"/>
    <w:rsid w:val="00A05363"/>
    <w:rsid w:val="00A06664"/>
    <w:rsid w:val="00A06750"/>
    <w:rsid w:val="00A0776B"/>
    <w:rsid w:val="00A07EEE"/>
    <w:rsid w:val="00A105F8"/>
    <w:rsid w:val="00A10F57"/>
    <w:rsid w:val="00A1147B"/>
    <w:rsid w:val="00A1151F"/>
    <w:rsid w:val="00A12209"/>
    <w:rsid w:val="00A129EC"/>
    <w:rsid w:val="00A133E9"/>
    <w:rsid w:val="00A1385C"/>
    <w:rsid w:val="00A13ACA"/>
    <w:rsid w:val="00A14E73"/>
    <w:rsid w:val="00A154FE"/>
    <w:rsid w:val="00A1574C"/>
    <w:rsid w:val="00A16159"/>
    <w:rsid w:val="00A1685B"/>
    <w:rsid w:val="00A170F3"/>
    <w:rsid w:val="00A176B0"/>
    <w:rsid w:val="00A203C0"/>
    <w:rsid w:val="00A204F2"/>
    <w:rsid w:val="00A20DBA"/>
    <w:rsid w:val="00A2143A"/>
    <w:rsid w:val="00A2244B"/>
    <w:rsid w:val="00A22A6B"/>
    <w:rsid w:val="00A22BE0"/>
    <w:rsid w:val="00A24A78"/>
    <w:rsid w:val="00A258DB"/>
    <w:rsid w:val="00A2682F"/>
    <w:rsid w:val="00A27115"/>
    <w:rsid w:val="00A271B4"/>
    <w:rsid w:val="00A2747D"/>
    <w:rsid w:val="00A27A94"/>
    <w:rsid w:val="00A27CEA"/>
    <w:rsid w:val="00A30F90"/>
    <w:rsid w:val="00A310D9"/>
    <w:rsid w:val="00A312AB"/>
    <w:rsid w:val="00A32FF7"/>
    <w:rsid w:val="00A34805"/>
    <w:rsid w:val="00A34A68"/>
    <w:rsid w:val="00A35161"/>
    <w:rsid w:val="00A35279"/>
    <w:rsid w:val="00A3567E"/>
    <w:rsid w:val="00A35A5F"/>
    <w:rsid w:val="00A35C69"/>
    <w:rsid w:val="00A368B1"/>
    <w:rsid w:val="00A36DF3"/>
    <w:rsid w:val="00A37392"/>
    <w:rsid w:val="00A37D82"/>
    <w:rsid w:val="00A40960"/>
    <w:rsid w:val="00A4133A"/>
    <w:rsid w:val="00A41742"/>
    <w:rsid w:val="00A432DE"/>
    <w:rsid w:val="00A437B5"/>
    <w:rsid w:val="00A43C5C"/>
    <w:rsid w:val="00A43C76"/>
    <w:rsid w:val="00A43E64"/>
    <w:rsid w:val="00A4488F"/>
    <w:rsid w:val="00A44BF3"/>
    <w:rsid w:val="00A451B2"/>
    <w:rsid w:val="00A4584A"/>
    <w:rsid w:val="00A45B21"/>
    <w:rsid w:val="00A478B6"/>
    <w:rsid w:val="00A47A80"/>
    <w:rsid w:val="00A507AA"/>
    <w:rsid w:val="00A50909"/>
    <w:rsid w:val="00A50E74"/>
    <w:rsid w:val="00A51AA3"/>
    <w:rsid w:val="00A52248"/>
    <w:rsid w:val="00A52B88"/>
    <w:rsid w:val="00A53220"/>
    <w:rsid w:val="00A532DD"/>
    <w:rsid w:val="00A545C4"/>
    <w:rsid w:val="00A5476F"/>
    <w:rsid w:val="00A54A8C"/>
    <w:rsid w:val="00A54C4C"/>
    <w:rsid w:val="00A55B2C"/>
    <w:rsid w:val="00A55C32"/>
    <w:rsid w:val="00A55C99"/>
    <w:rsid w:val="00A55D3F"/>
    <w:rsid w:val="00A55F84"/>
    <w:rsid w:val="00A56702"/>
    <w:rsid w:val="00A56718"/>
    <w:rsid w:val="00A571C6"/>
    <w:rsid w:val="00A57285"/>
    <w:rsid w:val="00A61C43"/>
    <w:rsid w:val="00A6237B"/>
    <w:rsid w:val="00A627BB"/>
    <w:rsid w:val="00A62C92"/>
    <w:rsid w:val="00A63977"/>
    <w:rsid w:val="00A63C66"/>
    <w:rsid w:val="00A6450F"/>
    <w:rsid w:val="00A6476F"/>
    <w:rsid w:val="00A64E63"/>
    <w:rsid w:val="00A6731A"/>
    <w:rsid w:val="00A70758"/>
    <w:rsid w:val="00A707AF"/>
    <w:rsid w:val="00A71202"/>
    <w:rsid w:val="00A71893"/>
    <w:rsid w:val="00A723AD"/>
    <w:rsid w:val="00A72667"/>
    <w:rsid w:val="00A72B91"/>
    <w:rsid w:val="00A72F74"/>
    <w:rsid w:val="00A74116"/>
    <w:rsid w:val="00A741CE"/>
    <w:rsid w:val="00A75E80"/>
    <w:rsid w:val="00A80AF5"/>
    <w:rsid w:val="00A80BCF"/>
    <w:rsid w:val="00A81BEF"/>
    <w:rsid w:val="00A81DEF"/>
    <w:rsid w:val="00A81EF5"/>
    <w:rsid w:val="00A82FF9"/>
    <w:rsid w:val="00A8304D"/>
    <w:rsid w:val="00A83762"/>
    <w:rsid w:val="00A84594"/>
    <w:rsid w:val="00A84610"/>
    <w:rsid w:val="00A846C1"/>
    <w:rsid w:val="00A84D9D"/>
    <w:rsid w:val="00A856E6"/>
    <w:rsid w:val="00A86D23"/>
    <w:rsid w:val="00A86E4E"/>
    <w:rsid w:val="00A86EAB"/>
    <w:rsid w:val="00A86F60"/>
    <w:rsid w:val="00A87F8C"/>
    <w:rsid w:val="00A90292"/>
    <w:rsid w:val="00A91111"/>
    <w:rsid w:val="00A915C8"/>
    <w:rsid w:val="00A92198"/>
    <w:rsid w:val="00A938B8"/>
    <w:rsid w:val="00A93908"/>
    <w:rsid w:val="00A93E1A"/>
    <w:rsid w:val="00A93EF2"/>
    <w:rsid w:val="00A93F51"/>
    <w:rsid w:val="00A95423"/>
    <w:rsid w:val="00A966AF"/>
    <w:rsid w:val="00A966B7"/>
    <w:rsid w:val="00A9712F"/>
    <w:rsid w:val="00A971BA"/>
    <w:rsid w:val="00A97693"/>
    <w:rsid w:val="00AA0EB7"/>
    <w:rsid w:val="00AA214E"/>
    <w:rsid w:val="00AA2F85"/>
    <w:rsid w:val="00AA3D83"/>
    <w:rsid w:val="00AA415B"/>
    <w:rsid w:val="00AA43D6"/>
    <w:rsid w:val="00AA4492"/>
    <w:rsid w:val="00AA494B"/>
    <w:rsid w:val="00AA7751"/>
    <w:rsid w:val="00AA7776"/>
    <w:rsid w:val="00AA7F40"/>
    <w:rsid w:val="00AB19E9"/>
    <w:rsid w:val="00AB2826"/>
    <w:rsid w:val="00AB3308"/>
    <w:rsid w:val="00AB3612"/>
    <w:rsid w:val="00AB3BAF"/>
    <w:rsid w:val="00AB41C2"/>
    <w:rsid w:val="00AB41D6"/>
    <w:rsid w:val="00AB441D"/>
    <w:rsid w:val="00AB64FF"/>
    <w:rsid w:val="00AB6B64"/>
    <w:rsid w:val="00AC12BD"/>
    <w:rsid w:val="00AC214A"/>
    <w:rsid w:val="00AC24B7"/>
    <w:rsid w:val="00AC2A1A"/>
    <w:rsid w:val="00AC491A"/>
    <w:rsid w:val="00AC4F28"/>
    <w:rsid w:val="00AC51B5"/>
    <w:rsid w:val="00AC5531"/>
    <w:rsid w:val="00AC5CF2"/>
    <w:rsid w:val="00AC6115"/>
    <w:rsid w:val="00AC621E"/>
    <w:rsid w:val="00AC6390"/>
    <w:rsid w:val="00AC754F"/>
    <w:rsid w:val="00AC77BE"/>
    <w:rsid w:val="00AD0392"/>
    <w:rsid w:val="00AD044E"/>
    <w:rsid w:val="00AD147F"/>
    <w:rsid w:val="00AD28E1"/>
    <w:rsid w:val="00AD2961"/>
    <w:rsid w:val="00AD30C3"/>
    <w:rsid w:val="00AD3352"/>
    <w:rsid w:val="00AD33EF"/>
    <w:rsid w:val="00AD373E"/>
    <w:rsid w:val="00AD46F0"/>
    <w:rsid w:val="00AD52F9"/>
    <w:rsid w:val="00AD55D5"/>
    <w:rsid w:val="00AD650A"/>
    <w:rsid w:val="00AD7687"/>
    <w:rsid w:val="00AD7E90"/>
    <w:rsid w:val="00AE15B4"/>
    <w:rsid w:val="00AE1895"/>
    <w:rsid w:val="00AE1D18"/>
    <w:rsid w:val="00AE2316"/>
    <w:rsid w:val="00AE2421"/>
    <w:rsid w:val="00AE2660"/>
    <w:rsid w:val="00AE2FD3"/>
    <w:rsid w:val="00AE303F"/>
    <w:rsid w:val="00AE3A91"/>
    <w:rsid w:val="00AE3D7F"/>
    <w:rsid w:val="00AE5626"/>
    <w:rsid w:val="00AE5D23"/>
    <w:rsid w:val="00AE6297"/>
    <w:rsid w:val="00AE65E9"/>
    <w:rsid w:val="00AE6E6C"/>
    <w:rsid w:val="00AE6EE3"/>
    <w:rsid w:val="00AE768B"/>
    <w:rsid w:val="00AE7CB2"/>
    <w:rsid w:val="00AF0048"/>
    <w:rsid w:val="00AF00EA"/>
    <w:rsid w:val="00AF056C"/>
    <w:rsid w:val="00AF072C"/>
    <w:rsid w:val="00AF15EA"/>
    <w:rsid w:val="00AF1625"/>
    <w:rsid w:val="00AF380D"/>
    <w:rsid w:val="00AF3BCE"/>
    <w:rsid w:val="00AF3F53"/>
    <w:rsid w:val="00AF4604"/>
    <w:rsid w:val="00AF52EC"/>
    <w:rsid w:val="00AF58D1"/>
    <w:rsid w:val="00AF6D35"/>
    <w:rsid w:val="00AF6F34"/>
    <w:rsid w:val="00AF7041"/>
    <w:rsid w:val="00AF7576"/>
    <w:rsid w:val="00AF7EDB"/>
    <w:rsid w:val="00B00C76"/>
    <w:rsid w:val="00B011D5"/>
    <w:rsid w:val="00B01601"/>
    <w:rsid w:val="00B021D5"/>
    <w:rsid w:val="00B02848"/>
    <w:rsid w:val="00B03417"/>
    <w:rsid w:val="00B03BDD"/>
    <w:rsid w:val="00B04E9B"/>
    <w:rsid w:val="00B05886"/>
    <w:rsid w:val="00B05A08"/>
    <w:rsid w:val="00B05E19"/>
    <w:rsid w:val="00B062D0"/>
    <w:rsid w:val="00B06399"/>
    <w:rsid w:val="00B06404"/>
    <w:rsid w:val="00B06597"/>
    <w:rsid w:val="00B06B51"/>
    <w:rsid w:val="00B07B0C"/>
    <w:rsid w:val="00B10746"/>
    <w:rsid w:val="00B10FE5"/>
    <w:rsid w:val="00B1126D"/>
    <w:rsid w:val="00B11300"/>
    <w:rsid w:val="00B11908"/>
    <w:rsid w:val="00B13DD4"/>
    <w:rsid w:val="00B13F7F"/>
    <w:rsid w:val="00B13FB9"/>
    <w:rsid w:val="00B14D9E"/>
    <w:rsid w:val="00B15017"/>
    <w:rsid w:val="00B15AAF"/>
    <w:rsid w:val="00B17E07"/>
    <w:rsid w:val="00B20D00"/>
    <w:rsid w:val="00B210A1"/>
    <w:rsid w:val="00B21156"/>
    <w:rsid w:val="00B22D99"/>
    <w:rsid w:val="00B23AFD"/>
    <w:rsid w:val="00B25777"/>
    <w:rsid w:val="00B2584A"/>
    <w:rsid w:val="00B26020"/>
    <w:rsid w:val="00B26D44"/>
    <w:rsid w:val="00B26F7D"/>
    <w:rsid w:val="00B27F1D"/>
    <w:rsid w:val="00B303F7"/>
    <w:rsid w:val="00B30811"/>
    <w:rsid w:val="00B30E77"/>
    <w:rsid w:val="00B30F12"/>
    <w:rsid w:val="00B313B2"/>
    <w:rsid w:val="00B316A2"/>
    <w:rsid w:val="00B32362"/>
    <w:rsid w:val="00B32DB3"/>
    <w:rsid w:val="00B3336D"/>
    <w:rsid w:val="00B336BE"/>
    <w:rsid w:val="00B36237"/>
    <w:rsid w:val="00B36807"/>
    <w:rsid w:val="00B36843"/>
    <w:rsid w:val="00B372D1"/>
    <w:rsid w:val="00B377D7"/>
    <w:rsid w:val="00B37D0F"/>
    <w:rsid w:val="00B40AF1"/>
    <w:rsid w:val="00B40B4C"/>
    <w:rsid w:val="00B40DB4"/>
    <w:rsid w:val="00B411B8"/>
    <w:rsid w:val="00B41A92"/>
    <w:rsid w:val="00B42CA9"/>
    <w:rsid w:val="00B42EE4"/>
    <w:rsid w:val="00B430F4"/>
    <w:rsid w:val="00B4337C"/>
    <w:rsid w:val="00B4351F"/>
    <w:rsid w:val="00B44136"/>
    <w:rsid w:val="00B4440A"/>
    <w:rsid w:val="00B44807"/>
    <w:rsid w:val="00B459A6"/>
    <w:rsid w:val="00B45C9C"/>
    <w:rsid w:val="00B45E71"/>
    <w:rsid w:val="00B460E9"/>
    <w:rsid w:val="00B46611"/>
    <w:rsid w:val="00B46839"/>
    <w:rsid w:val="00B46D17"/>
    <w:rsid w:val="00B478D0"/>
    <w:rsid w:val="00B47C31"/>
    <w:rsid w:val="00B509BF"/>
    <w:rsid w:val="00B50C5E"/>
    <w:rsid w:val="00B50D14"/>
    <w:rsid w:val="00B50F25"/>
    <w:rsid w:val="00B53563"/>
    <w:rsid w:val="00B553D6"/>
    <w:rsid w:val="00B55715"/>
    <w:rsid w:val="00B55843"/>
    <w:rsid w:val="00B5661E"/>
    <w:rsid w:val="00B56945"/>
    <w:rsid w:val="00B573D1"/>
    <w:rsid w:val="00B576A5"/>
    <w:rsid w:val="00B615BC"/>
    <w:rsid w:val="00B627BB"/>
    <w:rsid w:val="00B63277"/>
    <w:rsid w:val="00B633C5"/>
    <w:rsid w:val="00B63AFD"/>
    <w:rsid w:val="00B649FC"/>
    <w:rsid w:val="00B65639"/>
    <w:rsid w:val="00B65F4E"/>
    <w:rsid w:val="00B672D8"/>
    <w:rsid w:val="00B677EE"/>
    <w:rsid w:val="00B70533"/>
    <w:rsid w:val="00B70AFE"/>
    <w:rsid w:val="00B70B2C"/>
    <w:rsid w:val="00B71153"/>
    <w:rsid w:val="00B71660"/>
    <w:rsid w:val="00B719D4"/>
    <w:rsid w:val="00B71EA3"/>
    <w:rsid w:val="00B71F3B"/>
    <w:rsid w:val="00B72158"/>
    <w:rsid w:val="00B72B36"/>
    <w:rsid w:val="00B73255"/>
    <w:rsid w:val="00B734DF"/>
    <w:rsid w:val="00B7492C"/>
    <w:rsid w:val="00B74D25"/>
    <w:rsid w:val="00B75156"/>
    <w:rsid w:val="00B751EF"/>
    <w:rsid w:val="00B7577C"/>
    <w:rsid w:val="00B76A68"/>
    <w:rsid w:val="00B76DF3"/>
    <w:rsid w:val="00B77E35"/>
    <w:rsid w:val="00B81384"/>
    <w:rsid w:val="00B82609"/>
    <w:rsid w:val="00B82C58"/>
    <w:rsid w:val="00B8316F"/>
    <w:rsid w:val="00B83707"/>
    <w:rsid w:val="00B83A53"/>
    <w:rsid w:val="00B83D07"/>
    <w:rsid w:val="00B83EF1"/>
    <w:rsid w:val="00B856E3"/>
    <w:rsid w:val="00B85704"/>
    <w:rsid w:val="00B90CA2"/>
    <w:rsid w:val="00B9106D"/>
    <w:rsid w:val="00B9129B"/>
    <w:rsid w:val="00B927A0"/>
    <w:rsid w:val="00B9312B"/>
    <w:rsid w:val="00B933BF"/>
    <w:rsid w:val="00B934FD"/>
    <w:rsid w:val="00B9432B"/>
    <w:rsid w:val="00B949EF"/>
    <w:rsid w:val="00B949F2"/>
    <w:rsid w:val="00B96657"/>
    <w:rsid w:val="00BA0006"/>
    <w:rsid w:val="00BA10F6"/>
    <w:rsid w:val="00BA21BF"/>
    <w:rsid w:val="00BA3031"/>
    <w:rsid w:val="00BA31E1"/>
    <w:rsid w:val="00BA4001"/>
    <w:rsid w:val="00BA580F"/>
    <w:rsid w:val="00BA59C4"/>
    <w:rsid w:val="00BA5B86"/>
    <w:rsid w:val="00BA5DF5"/>
    <w:rsid w:val="00BA618A"/>
    <w:rsid w:val="00BA62B6"/>
    <w:rsid w:val="00BA65CB"/>
    <w:rsid w:val="00BA768B"/>
    <w:rsid w:val="00BB14D5"/>
    <w:rsid w:val="00BB14F8"/>
    <w:rsid w:val="00BB1756"/>
    <w:rsid w:val="00BB1FBE"/>
    <w:rsid w:val="00BB2F55"/>
    <w:rsid w:val="00BB3102"/>
    <w:rsid w:val="00BB3280"/>
    <w:rsid w:val="00BB3BBF"/>
    <w:rsid w:val="00BB40BE"/>
    <w:rsid w:val="00BB43C8"/>
    <w:rsid w:val="00BB4D47"/>
    <w:rsid w:val="00BB5391"/>
    <w:rsid w:val="00BB7205"/>
    <w:rsid w:val="00BB754E"/>
    <w:rsid w:val="00BB78E8"/>
    <w:rsid w:val="00BC0465"/>
    <w:rsid w:val="00BC0D7B"/>
    <w:rsid w:val="00BC25DD"/>
    <w:rsid w:val="00BC3EC9"/>
    <w:rsid w:val="00BC43CD"/>
    <w:rsid w:val="00BC4482"/>
    <w:rsid w:val="00BC54E9"/>
    <w:rsid w:val="00BC570A"/>
    <w:rsid w:val="00BC5FD3"/>
    <w:rsid w:val="00BC63B0"/>
    <w:rsid w:val="00BC79E3"/>
    <w:rsid w:val="00BD0F11"/>
    <w:rsid w:val="00BD1642"/>
    <w:rsid w:val="00BD188F"/>
    <w:rsid w:val="00BD1BBF"/>
    <w:rsid w:val="00BD1C3B"/>
    <w:rsid w:val="00BD2166"/>
    <w:rsid w:val="00BD2B36"/>
    <w:rsid w:val="00BD2D11"/>
    <w:rsid w:val="00BD2EDC"/>
    <w:rsid w:val="00BD2FC1"/>
    <w:rsid w:val="00BD3363"/>
    <w:rsid w:val="00BD3ADE"/>
    <w:rsid w:val="00BD53F3"/>
    <w:rsid w:val="00BD5578"/>
    <w:rsid w:val="00BD5625"/>
    <w:rsid w:val="00BD5D71"/>
    <w:rsid w:val="00BD61A2"/>
    <w:rsid w:val="00BD6806"/>
    <w:rsid w:val="00BD6E26"/>
    <w:rsid w:val="00BD6FFD"/>
    <w:rsid w:val="00BD785B"/>
    <w:rsid w:val="00BE024D"/>
    <w:rsid w:val="00BE06F5"/>
    <w:rsid w:val="00BE2016"/>
    <w:rsid w:val="00BE2529"/>
    <w:rsid w:val="00BE2ED3"/>
    <w:rsid w:val="00BE2FA1"/>
    <w:rsid w:val="00BE2FD0"/>
    <w:rsid w:val="00BE40A5"/>
    <w:rsid w:val="00BE469E"/>
    <w:rsid w:val="00BE484D"/>
    <w:rsid w:val="00BE4996"/>
    <w:rsid w:val="00BE4AC2"/>
    <w:rsid w:val="00BE5A99"/>
    <w:rsid w:val="00BE5EFB"/>
    <w:rsid w:val="00BE6272"/>
    <w:rsid w:val="00BE680F"/>
    <w:rsid w:val="00BE6D8A"/>
    <w:rsid w:val="00BE7D06"/>
    <w:rsid w:val="00BE7FB8"/>
    <w:rsid w:val="00BF0446"/>
    <w:rsid w:val="00BF1150"/>
    <w:rsid w:val="00BF1392"/>
    <w:rsid w:val="00BF3488"/>
    <w:rsid w:val="00BF3DDC"/>
    <w:rsid w:val="00BF3E86"/>
    <w:rsid w:val="00BF3F51"/>
    <w:rsid w:val="00BF4201"/>
    <w:rsid w:val="00BF4B14"/>
    <w:rsid w:val="00BF4C5E"/>
    <w:rsid w:val="00BF4F73"/>
    <w:rsid w:val="00BF517A"/>
    <w:rsid w:val="00BF5789"/>
    <w:rsid w:val="00BF5998"/>
    <w:rsid w:val="00BF61C1"/>
    <w:rsid w:val="00BF6510"/>
    <w:rsid w:val="00BF6CB7"/>
    <w:rsid w:val="00BF7FFE"/>
    <w:rsid w:val="00C00E70"/>
    <w:rsid w:val="00C018D3"/>
    <w:rsid w:val="00C01CF7"/>
    <w:rsid w:val="00C02847"/>
    <w:rsid w:val="00C031D6"/>
    <w:rsid w:val="00C04473"/>
    <w:rsid w:val="00C05791"/>
    <w:rsid w:val="00C0603C"/>
    <w:rsid w:val="00C06347"/>
    <w:rsid w:val="00C07385"/>
    <w:rsid w:val="00C07A13"/>
    <w:rsid w:val="00C108C5"/>
    <w:rsid w:val="00C12309"/>
    <w:rsid w:val="00C1237A"/>
    <w:rsid w:val="00C129C1"/>
    <w:rsid w:val="00C12AF7"/>
    <w:rsid w:val="00C13221"/>
    <w:rsid w:val="00C134A8"/>
    <w:rsid w:val="00C13890"/>
    <w:rsid w:val="00C13CA2"/>
    <w:rsid w:val="00C15441"/>
    <w:rsid w:val="00C15B9A"/>
    <w:rsid w:val="00C16825"/>
    <w:rsid w:val="00C17451"/>
    <w:rsid w:val="00C17DB6"/>
    <w:rsid w:val="00C20874"/>
    <w:rsid w:val="00C20911"/>
    <w:rsid w:val="00C2098F"/>
    <w:rsid w:val="00C20C42"/>
    <w:rsid w:val="00C2162C"/>
    <w:rsid w:val="00C23868"/>
    <w:rsid w:val="00C2469C"/>
    <w:rsid w:val="00C2489F"/>
    <w:rsid w:val="00C252E5"/>
    <w:rsid w:val="00C253BE"/>
    <w:rsid w:val="00C25EA2"/>
    <w:rsid w:val="00C30E50"/>
    <w:rsid w:val="00C31B19"/>
    <w:rsid w:val="00C31E3C"/>
    <w:rsid w:val="00C33F44"/>
    <w:rsid w:val="00C3491D"/>
    <w:rsid w:val="00C35599"/>
    <w:rsid w:val="00C35C74"/>
    <w:rsid w:val="00C36929"/>
    <w:rsid w:val="00C36A83"/>
    <w:rsid w:val="00C36C94"/>
    <w:rsid w:val="00C37E05"/>
    <w:rsid w:val="00C40680"/>
    <w:rsid w:val="00C40720"/>
    <w:rsid w:val="00C40DFE"/>
    <w:rsid w:val="00C413B1"/>
    <w:rsid w:val="00C4142D"/>
    <w:rsid w:val="00C41DD0"/>
    <w:rsid w:val="00C42069"/>
    <w:rsid w:val="00C42204"/>
    <w:rsid w:val="00C42AD8"/>
    <w:rsid w:val="00C435A5"/>
    <w:rsid w:val="00C43B49"/>
    <w:rsid w:val="00C43C66"/>
    <w:rsid w:val="00C4505D"/>
    <w:rsid w:val="00C45604"/>
    <w:rsid w:val="00C461DC"/>
    <w:rsid w:val="00C46AD7"/>
    <w:rsid w:val="00C47CBA"/>
    <w:rsid w:val="00C47ED1"/>
    <w:rsid w:val="00C47F2C"/>
    <w:rsid w:val="00C50405"/>
    <w:rsid w:val="00C504E4"/>
    <w:rsid w:val="00C507FD"/>
    <w:rsid w:val="00C50FE2"/>
    <w:rsid w:val="00C51008"/>
    <w:rsid w:val="00C51152"/>
    <w:rsid w:val="00C51D71"/>
    <w:rsid w:val="00C51DC3"/>
    <w:rsid w:val="00C53501"/>
    <w:rsid w:val="00C53BEC"/>
    <w:rsid w:val="00C540FE"/>
    <w:rsid w:val="00C548F9"/>
    <w:rsid w:val="00C55B4C"/>
    <w:rsid w:val="00C55D29"/>
    <w:rsid w:val="00C563FB"/>
    <w:rsid w:val="00C56A03"/>
    <w:rsid w:val="00C56D78"/>
    <w:rsid w:val="00C62E74"/>
    <w:rsid w:val="00C6365A"/>
    <w:rsid w:val="00C639C9"/>
    <w:rsid w:val="00C640CA"/>
    <w:rsid w:val="00C644C3"/>
    <w:rsid w:val="00C653FA"/>
    <w:rsid w:val="00C663A9"/>
    <w:rsid w:val="00C66604"/>
    <w:rsid w:val="00C66BC2"/>
    <w:rsid w:val="00C670F5"/>
    <w:rsid w:val="00C6786D"/>
    <w:rsid w:val="00C67C64"/>
    <w:rsid w:val="00C67D6E"/>
    <w:rsid w:val="00C67DEF"/>
    <w:rsid w:val="00C67FA2"/>
    <w:rsid w:val="00C7029F"/>
    <w:rsid w:val="00C7097F"/>
    <w:rsid w:val="00C7171B"/>
    <w:rsid w:val="00C735F3"/>
    <w:rsid w:val="00C73933"/>
    <w:rsid w:val="00C7432A"/>
    <w:rsid w:val="00C74FFD"/>
    <w:rsid w:val="00C75210"/>
    <w:rsid w:val="00C76946"/>
    <w:rsid w:val="00C7709E"/>
    <w:rsid w:val="00C77802"/>
    <w:rsid w:val="00C805DE"/>
    <w:rsid w:val="00C808B1"/>
    <w:rsid w:val="00C81179"/>
    <w:rsid w:val="00C8128C"/>
    <w:rsid w:val="00C81D6C"/>
    <w:rsid w:val="00C82243"/>
    <w:rsid w:val="00C83D4F"/>
    <w:rsid w:val="00C849DF"/>
    <w:rsid w:val="00C84C46"/>
    <w:rsid w:val="00C868E5"/>
    <w:rsid w:val="00C870E0"/>
    <w:rsid w:val="00C875AC"/>
    <w:rsid w:val="00C90403"/>
    <w:rsid w:val="00C923E2"/>
    <w:rsid w:val="00C929E5"/>
    <w:rsid w:val="00C94E94"/>
    <w:rsid w:val="00C960D6"/>
    <w:rsid w:val="00C96958"/>
    <w:rsid w:val="00C970F6"/>
    <w:rsid w:val="00C97223"/>
    <w:rsid w:val="00C975E8"/>
    <w:rsid w:val="00C97A50"/>
    <w:rsid w:val="00CA0680"/>
    <w:rsid w:val="00CA0A94"/>
    <w:rsid w:val="00CA12BA"/>
    <w:rsid w:val="00CA13FC"/>
    <w:rsid w:val="00CA1E8A"/>
    <w:rsid w:val="00CA3088"/>
    <w:rsid w:val="00CA3908"/>
    <w:rsid w:val="00CA3A4E"/>
    <w:rsid w:val="00CA3D1B"/>
    <w:rsid w:val="00CA49C3"/>
    <w:rsid w:val="00CA4B13"/>
    <w:rsid w:val="00CA5383"/>
    <w:rsid w:val="00CA659A"/>
    <w:rsid w:val="00CA738C"/>
    <w:rsid w:val="00CA73B5"/>
    <w:rsid w:val="00CA788B"/>
    <w:rsid w:val="00CA7F9B"/>
    <w:rsid w:val="00CB05E8"/>
    <w:rsid w:val="00CB096E"/>
    <w:rsid w:val="00CB0AB9"/>
    <w:rsid w:val="00CB17B5"/>
    <w:rsid w:val="00CB1BCC"/>
    <w:rsid w:val="00CB30F1"/>
    <w:rsid w:val="00CB31F3"/>
    <w:rsid w:val="00CB40C0"/>
    <w:rsid w:val="00CB43CA"/>
    <w:rsid w:val="00CB500E"/>
    <w:rsid w:val="00CB598C"/>
    <w:rsid w:val="00CB7417"/>
    <w:rsid w:val="00CB75AF"/>
    <w:rsid w:val="00CB7DCC"/>
    <w:rsid w:val="00CC032A"/>
    <w:rsid w:val="00CC0CC4"/>
    <w:rsid w:val="00CC1FB1"/>
    <w:rsid w:val="00CC2215"/>
    <w:rsid w:val="00CC336A"/>
    <w:rsid w:val="00CC3506"/>
    <w:rsid w:val="00CC3B68"/>
    <w:rsid w:val="00CC43EB"/>
    <w:rsid w:val="00CC4AFB"/>
    <w:rsid w:val="00CC4EC1"/>
    <w:rsid w:val="00CC53ED"/>
    <w:rsid w:val="00CC54E5"/>
    <w:rsid w:val="00CC5E0C"/>
    <w:rsid w:val="00CC66DF"/>
    <w:rsid w:val="00CC6AB4"/>
    <w:rsid w:val="00CC6AE7"/>
    <w:rsid w:val="00CC7426"/>
    <w:rsid w:val="00CC7CE2"/>
    <w:rsid w:val="00CD0A1D"/>
    <w:rsid w:val="00CD1516"/>
    <w:rsid w:val="00CD23F3"/>
    <w:rsid w:val="00CD24BB"/>
    <w:rsid w:val="00CD2BB7"/>
    <w:rsid w:val="00CD43B2"/>
    <w:rsid w:val="00CD496A"/>
    <w:rsid w:val="00CD5211"/>
    <w:rsid w:val="00CD6FE4"/>
    <w:rsid w:val="00CD75FE"/>
    <w:rsid w:val="00CD7B0D"/>
    <w:rsid w:val="00CD7B95"/>
    <w:rsid w:val="00CE059C"/>
    <w:rsid w:val="00CE0954"/>
    <w:rsid w:val="00CE0BD7"/>
    <w:rsid w:val="00CE0F6A"/>
    <w:rsid w:val="00CE1DB4"/>
    <w:rsid w:val="00CE1ECC"/>
    <w:rsid w:val="00CE2BF9"/>
    <w:rsid w:val="00CE3207"/>
    <w:rsid w:val="00CE3229"/>
    <w:rsid w:val="00CE3E65"/>
    <w:rsid w:val="00CE3E9B"/>
    <w:rsid w:val="00CE40A1"/>
    <w:rsid w:val="00CE4561"/>
    <w:rsid w:val="00CE48BC"/>
    <w:rsid w:val="00CE551E"/>
    <w:rsid w:val="00CE553A"/>
    <w:rsid w:val="00CE63E5"/>
    <w:rsid w:val="00CE6427"/>
    <w:rsid w:val="00CE6B9E"/>
    <w:rsid w:val="00CE78C3"/>
    <w:rsid w:val="00CF0D0E"/>
    <w:rsid w:val="00CF1B9D"/>
    <w:rsid w:val="00CF2D17"/>
    <w:rsid w:val="00CF2F94"/>
    <w:rsid w:val="00CF3321"/>
    <w:rsid w:val="00CF38D9"/>
    <w:rsid w:val="00CF4E4D"/>
    <w:rsid w:val="00CF5BAC"/>
    <w:rsid w:val="00CF5C4F"/>
    <w:rsid w:val="00CF785C"/>
    <w:rsid w:val="00D00C39"/>
    <w:rsid w:val="00D00FF3"/>
    <w:rsid w:val="00D01D31"/>
    <w:rsid w:val="00D02D49"/>
    <w:rsid w:val="00D036C0"/>
    <w:rsid w:val="00D03963"/>
    <w:rsid w:val="00D048F0"/>
    <w:rsid w:val="00D04915"/>
    <w:rsid w:val="00D05310"/>
    <w:rsid w:val="00D05B6E"/>
    <w:rsid w:val="00D05CB8"/>
    <w:rsid w:val="00D05F80"/>
    <w:rsid w:val="00D062E1"/>
    <w:rsid w:val="00D06725"/>
    <w:rsid w:val="00D0695E"/>
    <w:rsid w:val="00D06D7E"/>
    <w:rsid w:val="00D07833"/>
    <w:rsid w:val="00D07DDC"/>
    <w:rsid w:val="00D10A92"/>
    <w:rsid w:val="00D110A4"/>
    <w:rsid w:val="00D117CF"/>
    <w:rsid w:val="00D119EE"/>
    <w:rsid w:val="00D12147"/>
    <w:rsid w:val="00D122F2"/>
    <w:rsid w:val="00D12321"/>
    <w:rsid w:val="00D12687"/>
    <w:rsid w:val="00D127A8"/>
    <w:rsid w:val="00D129CF"/>
    <w:rsid w:val="00D13167"/>
    <w:rsid w:val="00D1332D"/>
    <w:rsid w:val="00D13A4C"/>
    <w:rsid w:val="00D141C6"/>
    <w:rsid w:val="00D14766"/>
    <w:rsid w:val="00D14CC0"/>
    <w:rsid w:val="00D15B83"/>
    <w:rsid w:val="00D16664"/>
    <w:rsid w:val="00D172A3"/>
    <w:rsid w:val="00D205B8"/>
    <w:rsid w:val="00D20796"/>
    <w:rsid w:val="00D20AAB"/>
    <w:rsid w:val="00D20BA5"/>
    <w:rsid w:val="00D217E7"/>
    <w:rsid w:val="00D22AB4"/>
    <w:rsid w:val="00D22F16"/>
    <w:rsid w:val="00D2364C"/>
    <w:rsid w:val="00D2365C"/>
    <w:rsid w:val="00D23931"/>
    <w:rsid w:val="00D25A55"/>
    <w:rsid w:val="00D27609"/>
    <w:rsid w:val="00D276D7"/>
    <w:rsid w:val="00D27A43"/>
    <w:rsid w:val="00D31AFA"/>
    <w:rsid w:val="00D31B88"/>
    <w:rsid w:val="00D32C68"/>
    <w:rsid w:val="00D33CD2"/>
    <w:rsid w:val="00D340F8"/>
    <w:rsid w:val="00D343F0"/>
    <w:rsid w:val="00D34626"/>
    <w:rsid w:val="00D34AD4"/>
    <w:rsid w:val="00D35DAE"/>
    <w:rsid w:val="00D35E26"/>
    <w:rsid w:val="00D37519"/>
    <w:rsid w:val="00D37E1A"/>
    <w:rsid w:val="00D40011"/>
    <w:rsid w:val="00D40730"/>
    <w:rsid w:val="00D40B87"/>
    <w:rsid w:val="00D4111C"/>
    <w:rsid w:val="00D41818"/>
    <w:rsid w:val="00D41B83"/>
    <w:rsid w:val="00D41BBE"/>
    <w:rsid w:val="00D4217E"/>
    <w:rsid w:val="00D4257A"/>
    <w:rsid w:val="00D4333D"/>
    <w:rsid w:val="00D446A7"/>
    <w:rsid w:val="00D4527F"/>
    <w:rsid w:val="00D453AD"/>
    <w:rsid w:val="00D4570F"/>
    <w:rsid w:val="00D45C94"/>
    <w:rsid w:val="00D461A8"/>
    <w:rsid w:val="00D507F9"/>
    <w:rsid w:val="00D51E22"/>
    <w:rsid w:val="00D51EB0"/>
    <w:rsid w:val="00D51F3A"/>
    <w:rsid w:val="00D52B40"/>
    <w:rsid w:val="00D53A4B"/>
    <w:rsid w:val="00D53B6A"/>
    <w:rsid w:val="00D54E48"/>
    <w:rsid w:val="00D5553F"/>
    <w:rsid w:val="00D55CBC"/>
    <w:rsid w:val="00D56E8B"/>
    <w:rsid w:val="00D57105"/>
    <w:rsid w:val="00D57186"/>
    <w:rsid w:val="00D571E0"/>
    <w:rsid w:val="00D57CFC"/>
    <w:rsid w:val="00D60708"/>
    <w:rsid w:val="00D6096F"/>
    <w:rsid w:val="00D60E3D"/>
    <w:rsid w:val="00D61BBF"/>
    <w:rsid w:val="00D61C8F"/>
    <w:rsid w:val="00D61E69"/>
    <w:rsid w:val="00D633FF"/>
    <w:rsid w:val="00D639A7"/>
    <w:rsid w:val="00D6508A"/>
    <w:rsid w:val="00D6558A"/>
    <w:rsid w:val="00D66FB4"/>
    <w:rsid w:val="00D674F4"/>
    <w:rsid w:val="00D67A28"/>
    <w:rsid w:val="00D67A41"/>
    <w:rsid w:val="00D67AB2"/>
    <w:rsid w:val="00D70210"/>
    <w:rsid w:val="00D70A1A"/>
    <w:rsid w:val="00D70BB0"/>
    <w:rsid w:val="00D70D2D"/>
    <w:rsid w:val="00D71356"/>
    <w:rsid w:val="00D715E0"/>
    <w:rsid w:val="00D720F8"/>
    <w:rsid w:val="00D727C4"/>
    <w:rsid w:val="00D73ABA"/>
    <w:rsid w:val="00D74B03"/>
    <w:rsid w:val="00D75E98"/>
    <w:rsid w:val="00D7606D"/>
    <w:rsid w:val="00D760C5"/>
    <w:rsid w:val="00D763EB"/>
    <w:rsid w:val="00D76500"/>
    <w:rsid w:val="00D7737C"/>
    <w:rsid w:val="00D77861"/>
    <w:rsid w:val="00D8137A"/>
    <w:rsid w:val="00D81868"/>
    <w:rsid w:val="00D81A81"/>
    <w:rsid w:val="00D81C8B"/>
    <w:rsid w:val="00D83430"/>
    <w:rsid w:val="00D8349C"/>
    <w:rsid w:val="00D846DF"/>
    <w:rsid w:val="00D84BBC"/>
    <w:rsid w:val="00D85140"/>
    <w:rsid w:val="00D85DEC"/>
    <w:rsid w:val="00D86F13"/>
    <w:rsid w:val="00D8745F"/>
    <w:rsid w:val="00D8793C"/>
    <w:rsid w:val="00D87B95"/>
    <w:rsid w:val="00D900F1"/>
    <w:rsid w:val="00D90C46"/>
    <w:rsid w:val="00D90CCF"/>
    <w:rsid w:val="00D91128"/>
    <w:rsid w:val="00D91573"/>
    <w:rsid w:val="00D915D0"/>
    <w:rsid w:val="00D922CC"/>
    <w:rsid w:val="00D92356"/>
    <w:rsid w:val="00D92B05"/>
    <w:rsid w:val="00D92BFB"/>
    <w:rsid w:val="00D92CB3"/>
    <w:rsid w:val="00D93BFB"/>
    <w:rsid w:val="00D93CB1"/>
    <w:rsid w:val="00D9499F"/>
    <w:rsid w:val="00D94E98"/>
    <w:rsid w:val="00D9549F"/>
    <w:rsid w:val="00D95AF0"/>
    <w:rsid w:val="00D968AB"/>
    <w:rsid w:val="00D96919"/>
    <w:rsid w:val="00D96DBF"/>
    <w:rsid w:val="00D97382"/>
    <w:rsid w:val="00D9789E"/>
    <w:rsid w:val="00DA0573"/>
    <w:rsid w:val="00DA098E"/>
    <w:rsid w:val="00DA0A8F"/>
    <w:rsid w:val="00DA142F"/>
    <w:rsid w:val="00DA17CD"/>
    <w:rsid w:val="00DA186B"/>
    <w:rsid w:val="00DA19F6"/>
    <w:rsid w:val="00DA246E"/>
    <w:rsid w:val="00DA2A39"/>
    <w:rsid w:val="00DA364A"/>
    <w:rsid w:val="00DA413B"/>
    <w:rsid w:val="00DA4605"/>
    <w:rsid w:val="00DA4967"/>
    <w:rsid w:val="00DA52FB"/>
    <w:rsid w:val="00DA5D16"/>
    <w:rsid w:val="00DA6F86"/>
    <w:rsid w:val="00DA7819"/>
    <w:rsid w:val="00DB06C1"/>
    <w:rsid w:val="00DB0A1A"/>
    <w:rsid w:val="00DB1737"/>
    <w:rsid w:val="00DB1A8F"/>
    <w:rsid w:val="00DB2200"/>
    <w:rsid w:val="00DB3961"/>
    <w:rsid w:val="00DB589A"/>
    <w:rsid w:val="00DB59CB"/>
    <w:rsid w:val="00DB6071"/>
    <w:rsid w:val="00DB620B"/>
    <w:rsid w:val="00DB6445"/>
    <w:rsid w:val="00DB7DBD"/>
    <w:rsid w:val="00DC0CDE"/>
    <w:rsid w:val="00DC0EF8"/>
    <w:rsid w:val="00DC1012"/>
    <w:rsid w:val="00DC1400"/>
    <w:rsid w:val="00DC2B21"/>
    <w:rsid w:val="00DC32A2"/>
    <w:rsid w:val="00DC430A"/>
    <w:rsid w:val="00DC432B"/>
    <w:rsid w:val="00DC4658"/>
    <w:rsid w:val="00DC46C2"/>
    <w:rsid w:val="00DC55C9"/>
    <w:rsid w:val="00DC5B2F"/>
    <w:rsid w:val="00DC6D29"/>
    <w:rsid w:val="00DC7E51"/>
    <w:rsid w:val="00DC7F75"/>
    <w:rsid w:val="00DD01C7"/>
    <w:rsid w:val="00DD06B3"/>
    <w:rsid w:val="00DD10BC"/>
    <w:rsid w:val="00DD1D7F"/>
    <w:rsid w:val="00DD2A03"/>
    <w:rsid w:val="00DD2BBF"/>
    <w:rsid w:val="00DD2D44"/>
    <w:rsid w:val="00DD3AEE"/>
    <w:rsid w:val="00DD4902"/>
    <w:rsid w:val="00DD4ED3"/>
    <w:rsid w:val="00DD506C"/>
    <w:rsid w:val="00DD57C5"/>
    <w:rsid w:val="00DD5CFD"/>
    <w:rsid w:val="00DD7004"/>
    <w:rsid w:val="00DD7361"/>
    <w:rsid w:val="00DD7606"/>
    <w:rsid w:val="00DD7FE4"/>
    <w:rsid w:val="00DE0467"/>
    <w:rsid w:val="00DE0538"/>
    <w:rsid w:val="00DE3B53"/>
    <w:rsid w:val="00DE3FA8"/>
    <w:rsid w:val="00DE495D"/>
    <w:rsid w:val="00DE4BF5"/>
    <w:rsid w:val="00DE5807"/>
    <w:rsid w:val="00DE591E"/>
    <w:rsid w:val="00DE5D4C"/>
    <w:rsid w:val="00DE5DA6"/>
    <w:rsid w:val="00DE5FB1"/>
    <w:rsid w:val="00DE67B0"/>
    <w:rsid w:val="00DE72EA"/>
    <w:rsid w:val="00DE7F7F"/>
    <w:rsid w:val="00DF07F0"/>
    <w:rsid w:val="00DF0817"/>
    <w:rsid w:val="00DF0F59"/>
    <w:rsid w:val="00DF1188"/>
    <w:rsid w:val="00DF1E25"/>
    <w:rsid w:val="00DF21F9"/>
    <w:rsid w:val="00DF2389"/>
    <w:rsid w:val="00DF258A"/>
    <w:rsid w:val="00DF29A8"/>
    <w:rsid w:val="00DF29F5"/>
    <w:rsid w:val="00DF2F19"/>
    <w:rsid w:val="00DF3CD3"/>
    <w:rsid w:val="00DF49BA"/>
    <w:rsid w:val="00DF4DD1"/>
    <w:rsid w:val="00DF4F8C"/>
    <w:rsid w:val="00DF619D"/>
    <w:rsid w:val="00DF6909"/>
    <w:rsid w:val="00DF7149"/>
    <w:rsid w:val="00DF736B"/>
    <w:rsid w:val="00DF7EE8"/>
    <w:rsid w:val="00E0092E"/>
    <w:rsid w:val="00E0133A"/>
    <w:rsid w:val="00E0152D"/>
    <w:rsid w:val="00E018BA"/>
    <w:rsid w:val="00E01D7A"/>
    <w:rsid w:val="00E01E55"/>
    <w:rsid w:val="00E0260B"/>
    <w:rsid w:val="00E0288E"/>
    <w:rsid w:val="00E02D37"/>
    <w:rsid w:val="00E0324A"/>
    <w:rsid w:val="00E0392C"/>
    <w:rsid w:val="00E043AE"/>
    <w:rsid w:val="00E04BA9"/>
    <w:rsid w:val="00E04F21"/>
    <w:rsid w:val="00E051D3"/>
    <w:rsid w:val="00E0527B"/>
    <w:rsid w:val="00E0624D"/>
    <w:rsid w:val="00E06712"/>
    <w:rsid w:val="00E06CD2"/>
    <w:rsid w:val="00E06F28"/>
    <w:rsid w:val="00E07E44"/>
    <w:rsid w:val="00E111DF"/>
    <w:rsid w:val="00E11E76"/>
    <w:rsid w:val="00E11FC8"/>
    <w:rsid w:val="00E13185"/>
    <w:rsid w:val="00E13509"/>
    <w:rsid w:val="00E136C1"/>
    <w:rsid w:val="00E13E23"/>
    <w:rsid w:val="00E14174"/>
    <w:rsid w:val="00E145DD"/>
    <w:rsid w:val="00E14E18"/>
    <w:rsid w:val="00E156FC"/>
    <w:rsid w:val="00E15B99"/>
    <w:rsid w:val="00E16553"/>
    <w:rsid w:val="00E167B6"/>
    <w:rsid w:val="00E17010"/>
    <w:rsid w:val="00E17EDD"/>
    <w:rsid w:val="00E200BC"/>
    <w:rsid w:val="00E20605"/>
    <w:rsid w:val="00E20AC7"/>
    <w:rsid w:val="00E211BB"/>
    <w:rsid w:val="00E22421"/>
    <w:rsid w:val="00E225DE"/>
    <w:rsid w:val="00E2380A"/>
    <w:rsid w:val="00E23FB0"/>
    <w:rsid w:val="00E24539"/>
    <w:rsid w:val="00E2550C"/>
    <w:rsid w:val="00E2570E"/>
    <w:rsid w:val="00E2649A"/>
    <w:rsid w:val="00E27C3E"/>
    <w:rsid w:val="00E3018B"/>
    <w:rsid w:val="00E302E6"/>
    <w:rsid w:val="00E306AA"/>
    <w:rsid w:val="00E316B4"/>
    <w:rsid w:val="00E31938"/>
    <w:rsid w:val="00E31F90"/>
    <w:rsid w:val="00E31FB2"/>
    <w:rsid w:val="00E335FF"/>
    <w:rsid w:val="00E34068"/>
    <w:rsid w:val="00E34F12"/>
    <w:rsid w:val="00E35C51"/>
    <w:rsid w:val="00E35CBD"/>
    <w:rsid w:val="00E36B9C"/>
    <w:rsid w:val="00E37355"/>
    <w:rsid w:val="00E37765"/>
    <w:rsid w:val="00E379F0"/>
    <w:rsid w:val="00E40A91"/>
    <w:rsid w:val="00E42666"/>
    <w:rsid w:val="00E430E0"/>
    <w:rsid w:val="00E436F5"/>
    <w:rsid w:val="00E437FF"/>
    <w:rsid w:val="00E439A4"/>
    <w:rsid w:val="00E4438C"/>
    <w:rsid w:val="00E44760"/>
    <w:rsid w:val="00E448E0"/>
    <w:rsid w:val="00E457F3"/>
    <w:rsid w:val="00E464F6"/>
    <w:rsid w:val="00E46855"/>
    <w:rsid w:val="00E46C3C"/>
    <w:rsid w:val="00E46DB2"/>
    <w:rsid w:val="00E47057"/>
    <w:rsid w:val="00E47BC4"/>
    <w:rsid w:val="00E509A7"/>
    <w:rsid w:val="00E509AB"/>
    <w:rsid w:val="00E52180"/>
    <w:rsid w:val="00E528AA"/>
    <w:rsid w:val="00E54281"/>
    <w:rsid w:val="00E54E32"/>
    <w:rsid w:val="00E55502"/>
    <w:rsid w:val="00E55886"/>
    <w:rsid w:val="00E55EDF"/>
    <w:rsid w:val="00E564B5"/>
    <w:rsid w:val="00E569ED"/>
    <w:rsid w:val="00E5721C"/>
    <w:rsid w:val="00E57855"/>
    <w:rsid w:val="00E57BF7"/>
    <w:rsid w:val="00E60A93"/>
    <w:rsid w:val="00E60C28"/>
    <w:rsid w:val="00E60CB6"/>
    <w:rsid w:val="00E614C2"/>
    <w:rsid w:val="00E61A1B"/>
    <w:rsid w:val="00E630F1"/>
    <w:rsid w:val="00E636F5"/>
    <w:rsid w:val="00E63F53"/>
    <w:rsid w:val="00E643E3"/>
    <w:rsid w:val="00E66180"/>
    <w:rsid w:val="00E6622E"/>
    <w:rsid w:val="00E6688C"/>
    <w:rsid w:val="00E66926"/>
    <w:rsid w:val="00E66CDC"/>
    <w:rsid w:val="00E70245"/>
    <w:rsid w:val="00E70EB1"/>
    <w:rsid w:val="00E719FF"/>
    <w:rsid w:val="00E73421"/>
    <w:rsid w:val="00E737BB"/>
    <w:rsid w:val="00E74F1F"/>
    <w:rsid w:val="00E779E1"/>
    <w:rsid w:val="00E77C58"/>
    <w:rsid w:val="00E80409"/>
    <w:rsid w:val="00E80660"/>
    <w:rsid w:val="00E80B28"/>
    <w:rsid w:val="00E81140"/>
    <w:rsid w:val="00E826D4"/>
    <w:rsid w:val="00E8391E"/>
    <w:rsid w:val="00E844DB"/>
    <w:rsid w:val="00E849ED"/>
    <w:rsid w:val="00E858F7"/>
    <w:rsid w:val="00E860F1"/>
    <w:rsid w:val="00E86D21"/>
    <w:rsid w:val="00E87700"/>
    <w:rsid w:val="00E87970"/>
    <w:rsid w:val="00E87EB8"/>
    <w:rsid w:val="00E904A9"/>
    <w:rsid w:val="00E9059F"/>
    <w:rsid w:val="00E926EE"/>
    <w:rsid w:val="00E92A1C"/>
    <w:rsid w:val="00E9352E"/>
    <w:rsid w:val="00E93D7B"/>
    <w:rsid w:val="00E9430A"/>
    <w:rsid w:val="00E943F8"/>
    <w:rsid w:val="00E94C77"/>
    <w:rsid w:val="00E94E78"/>
    <w:rsid w:val="00E94F33"/>
    <w:rsid w:val="00E9531F"/>
    <w:rsid w:val="00E95609"/>
    <w:rsid w:val="00E95DD7"/>
    <w:rsid w:val="00E9637A"/>
    <w:rsid w:val="00E96518"/>
    <w:rsid w:val="00E976D0"/>
    <w:rsid w:val="00EA02E1"/>
    <w:rsid w:val="00EA0C5A"/>
    <w:rsid w:val="00EA1479"/>
    <w:rsid w:val="00EA1A4E"/>
    <w:rsid w:val="00EA2684"/>
    <w:rsid w:val="00EA287B"/>
    <w:rsid w:val="00EA387E"/>
    <w:rsid w:val="00EA3AA1"/>
    <w:rsid w:val="00EA3D28"/>
    <w:rsid w:val="00EA5380"/>
    <w:rsid w:val="00EA5660"/>
    <w:rsid w:val="00EA5C79"/>
    <w:rsid w:val="00EA5EF0"/>
    <w:rsid w:val="00EA6823"/>
    <w:rsid w:val="00EA6907"/>
    <w:rsid w:val="00EA6AD4"/>
    <w:rsid w:val="00EA6B46"/>
    <w:rsid w:val="00EA7644"/>
    <w:rsid w:val="00EA767C"/>
    <w:rsid w:val="00EB07F9"/>
    <w:rsid w:val="00EB0B16"/>
    <w:rsid w:val="00EB0C49"/>
    <w:rsid w:val="00EB0FDA"/>
    <w:rsid w:val="00EB1EF4"/>
    <w:rsid w:val="00EB29C7"/>
    <w:rsid w:val="00EB2D4F"/>
    <w:rsid w:val="00EB349C"/>
    <w:rsid w:val="00EB372A"/>
    <w:rsid w:val="00EB3F46"/>
    <w:rsid w:val="00EB46BF"/>
    <w:rsid w:val="00EB4B08"/>
    <w:rsid w:val="00EB5ED9"/>
    <w:rsid w:val="00EB62ED"/>
    <w:rsid w:val="00EB74E9"/>
    <w:rsid w:val="00EB75B3"/>
    <w:rsid w:val="00EB791E"/>
    <w:rsid w:val="00EB7B54"/>
    <w:rsid w:val="00EB7BF0"/>
    <w:rsid w:val="00EB7D47"/>
    <w:rsid w:val="00EB7E71"/>
    <w:rsid w:val="00EC037D"/>
    <w:rsid w:val="00EC1023"/>
    <w:rsid w:val="00EC14FA"/>
    <w:rsid w:val="00EC162C"/>
    <w:rsid w:val="00EC2046"/>
    <w:rsid w:val="00EC25BB"/>
    <w:rsid w:val="00EC31E6"/>
    <w:rsid w:val="00EC4F50"/>
    <w:rsid w:val="00EC51C7"/>
    <w:rsid w:val="00EC6045"/>
    <w:rsid w:val="00EC60B4"/>
    <w:rsid w:val="00EC6412"/>
    <w:rsid w:val="00EC6542"/>
    <w:rsid w:val="00EC6992"/>
    <w:rsid w:val="00EC6CC6"/>
    <w:rsid w:val="00EC6E28"/>
    <w:rsid w:val="00EC7353"/>
    <w:rsid w:val="00EC7C75"/>
    <w:rsid w:val="00ED0AEC"/>
    <w:rsid w:val="00ED1C4B"/>
    <w:rsid w:val="00ED210A"/>
    <w:rsid w:val="00ED26A6"/>
    <w:rsid w:val="00ED3111"/>
    <w:rsid w:val="00ED33A1"/>
    <w:rsid w:val="00ED3BEA"/>
    <w:rsid w:val="00ED592B"/>
    <w:rsid w:val="00ED6495"/>
    <w:rsid w:val="00ED72AF"/>
    <w:rsid w:val="00ED7B87"/>
    <w:rsid w:val="00ED7FC7"/>
    <w:rsid w:val="00EE0258"/>
    <w:rsid w:val="00EE04D6"/>
    <w:rsid w:val="00EE0965"/>
    <w:rsid w:val="00EE0ABE"/>
    <w:rsid w:val="00EE1650"/>
    <w:rsid w:val="00EE1681"/>
    <w:rsid w:val="00EE199E"/>
    <w:rsid w:val="00EE1D2C"/>
    <w:rsid w:val="00EE1F95"/>
    <w:rsid w:val="00EE2BCD"/>
    <w:rsid w:val="00EE2F0A"/>
    <w:rsid w:val="00EE2FAF"/>
    <w:rsid w:val="00EE3247"/>
    <w:rsid w:val="00EE349C"/>
    <w:rsid w:val="00EE34D9"/>
    <w:rsid w:val="00EE34DE"/>
    <w:rsid w:val="00EE4583"/>
    <w:rsid w:val="00EE45C6"/>
    <w:rsid w:val="00EE4610"/>
    <w:rsid w:val="00EE472A"/>
    <w:rsid w:val="00EE54BF"/>
    <w:rsid w:val="00EE7032"/>
    <w:rsid w:val="00EE76B8"/>
    <w:rsid w:val="00EE78A6"/>
    <w:rsid w:val="00EE7F5B"/>
    <w:rsid w:val="00EF0A99"/>
    <w:rsid w:val="00EF21AA"/>
    <w:rsid w:val="00EF3347"/>
    <w:rsid w:val="00EF37FA"/>
    <w:rsid w:val="00EF3C79"/>
    <w:rsid w:val="00EF3F9D"/>
    <w:rsid w:val="00EF40AC"/>
    <w:rsid w:val="00EF476A"/>
    <w:rsid w:val="00EF52B4"/>
    <w:rsid w:val="00EF56D9"/>
    <w:rsid w:val="00EF6BF6"/>
    <w:rsid w:val="00EF77E3"/>
    <w:rsid w:val="00F0001E"/>
    <w:rsid w:val="00F00AA3"/>
    <w:rsid w:val="00F02816"/>
    <w:rsid w:val="00F041D9"/>
    <w:rsid w:val="00F07AAA"/>
    <w:rsid w:val="00F07EDC"/>
    <w:rsid w:val="00F109D4"/>
    <w:rsid w:val="00F119B4"/>
    <w:rsid w:val="00F11D79"/>
    <w:rsid w:val="00F1218E"/>
    <w:rsid w:val="00F13097"/>
    <w:rsid w:val="00F13873"/>
    <w:rsid w:val="00F13A85"/>
    <w:rsid w:val="00F142AC"/>
    <w:rsid w:val="00F146A6"/>
    <w:rsid w:val="00F14BFF"/>
    <w:rsid w:val="00F15478"/>
    <w:rsid w:val="00F158EF"/>
    <w:rsid w:val="00F15975"/>
    <w:rsid w:val="00F166CC"/>
    <w:rsid w:val="00F174A2"/>
    <w:rsid w:val="00F17D9A"/>
    <w:rsid w:val="00F20C1B"/>
    <w:rsid w:val="00F21210"/>
    <w:rsid w:val="00F2134D"/>
    <w:rsid w:val="00F21481"/>
    <w:rsid w:val="00F21842"/>
    <w:rsid w:val="00F21BBF"/>
    <w:rsid w:val="00F21CB0"/>
    <w:rsid w:val="00F23459"/>
    <w:rsid w:val="00F23CC0"/>
    <w:rsid w:val="00F23CF8"/>
    <w:rsid w:val="00F24791"/>
    <w:rsid w:val="00F24C50"/>
    <w:rsid w:val="00F251A3"/>
    <w:rsid w:val="00F251D1"/>
    <w:rsid w:val="00F2572B"/>
    <w:rsid w:val="00F26908"/>
    <w:rsid w:val="00F26D48"/>
    <w:rsid w:val="00F272AB"/>
    <w:rsid w:val="00F30E9A"/>
    <w:rsid w:val="00F310F8"/>
    <w:rsid w:val="00F315B4"/>
    <w:rsid w:val="00F319BF"/>
    <w:rsid w:val="00F31D38"/>
    <w:rsid w:val="00F31FC2"/>
    <w:rsid w:val="00F33669"/>
    <w:rsid w:val="00F3414F"/>
    <w:rsid w:val="00F34167"/>
    <w:rsid w:val="00F3494B"/>
    <w:rsid w:val="00F35232"/>
    <w:rsid w:val="00F353F1"/>
    <w:rsid w:val="00F35699"/>
    <w:rsid w:val="00F35972"/>
    <w:rsid w:val="00F35F02"/>
    <w:rsid w:val="00F362D9"/>
    <w:rsid w:val="00F365F2"/>
    <w:rsid w:val="00F36655"/>
    <w:rsid w:val="00F375E5"/>
    <w:rsid w:val="00F4000C"/>
    <w:rsid w:val="00F400A4"/>
    <w:rsid w:val="00F412C4"/>
    <w:rsid w:val="00F417B5"/>
    <w:rsid w:val="00F419D1"/>
    <w:rsid w:val="00F41AAD"/>
    <w:rsid w:val="00F41E25"/>
    <w:rsid w:val="00F42688"/>
    <w:rsid w:val="00F42803"/>
    <w:rsid w:val="00F42DD4"/>
    <w:rsid w:val="00F42F32"/>
    <w:rsid w:val="00F444F1"/>
    <w:rsid w:val="00F44835"/>
    <w:rsid w:val="00F44C55"/>
    <w:rsid w:val="00F464FD"/>
    <w:rsid w:val="00F465AD"/>
    <w:rsid w:val="00F471B9"/>
    <w:rsid w:val="00F472E3"/>
    <w:rsid w:val="00F47564"/>
    <w:rsid w:val="00F47E29"/>
    <w:rsid w:val="00F50C6C"/>
    <w:rsid w:val="00F511CA"/>
    <w:rsid w:val="00F51707"/>
    <w:rsid w:val="00F51F6A"/>
    <w:rsid w:val="00F52BF1"/>
    <w:rsid w:val="00F5328C"/>
    <w:rsid w:val="00F5328F"/>
    <w:rsid w:val="00F5398D"/>
    <w:rsid w:val="00F53D42"/>
    <w:rsid w:val="00F53F4E"/>
    <w:rsid w:val="00F54455"/>
    <w:rsid w:val="00F55A7A"/>
    <w:rsid w:val="00F55EBB"/>
    <w:rsid w:val="00F5635D"/>
    <w:rsid w:val="00F56C1B"/>
    <w:rsid w:val="00F6007E"/>
    <w:rsid w:val="00F6084B"/>
    <w:rsid w:val="00F62086"/>
    <w:rsid w:val="00F63034"/>
    <w:rsid w:val="00F63229"/>
    <w:rsid w:val="00F63730"/>
    <w:rsid w:val="00F644D3"/>
    <w:rsid w:val="00F64C54"/>
    <w:rsid w:val="00F650B1"/>
    <w:rsid w:val="00F65DB9"/>
    <w:rsid w:val="00F660B6"/>
    <w:rsid w:val="00F6625F"/>
    <w:rsid w:val="00F66832"/>
    <w:rsid w:val="00F66F13"/>
    <w:rsid w:val="00F706B7"/>
    <w:rsid w:val="00F70DB1"/>
    <w:rsid w:val="00F71364"/>
    <w:rsid w:val="00F71ADA"/>
    <w:rsid w:val="00F71C0D"/>
    <w:rsid w:val="00F71F27"/>
    <w:rsid w:val="00F724BC"/>
    <w:rsid w:val="00F7300E"/>
    <w:rsid w:val="00F7313C"/>
    <w:rsid w:val="00F73B90"/>
    <w:rsid w:val="00F74005"/>
    <w:rsid w:val="00F7418C"/>
    <w:rsid w:val="00F74605"/>
    <w:rsid w:val="00F74D97"/>
    <w:rsid w:val="00F75829"/>
    <w:rsid w:val="00F75C23"/>
    <w:rsid w:val="00F7681C"/>
    <w:rsid w:val="00F76AA7"/>
    <w:rsid w:val="00F77111"/>
    <w:rsid w:val="00F77A87"/>
    <w:rsid w:val="00F77C79"/>
    <w:rsid w:val="00F80853"/>
    <w:rsid w:val="00F8114B"/>
    <w:rsid w:val="00F81E54"/>
    <w:rsid w:val="00F8242F"/>
    <w:rsid w:val="00F82760"/>
    <w:rsid w:val="00F83332"/>
    <w:rsid w:val="00F835F3"/>
    <w:rsid w:val="00F84803"/>
    <w:rsid w:val="00F84B69"/>
    <w:rsid w:val="00F85163"/>
    <w:rsid w:val="00F854E4"/>
    <w:rsid w:val="00F85C88"/>
    <w:rsid w:val="00F85F1F"/>
    <w:rsid w:val="00F85FD2"/>
    <w:rsid w:val="00F86E10"/>
    <w:rsid w:val="00F86FC4"/>
    <w:rsid w:val="00F87C1E"/>
    <w:rsid w:val="00F90469"/>
    <w:rsid w:val="00F905DD"/>
    <w:rsid w:val="00F907B0"/>
    <w:rsid w:val="00F907F6"/>
    <w:rsid w:val="00F90D84"/>
    <w:rsid w:val="00F910E2"/>
    <w:rsid w:val="00F9136F"/>
    <w:rsid w:val="00F9147A"/>
    <w:rsid w:val="00F916DD"/>
    <w:rsid w:val="00F91F57"/>
    <w:rsid w:val="00F921B4"/>
    <w:rsid w:val="00F9269B"/>
    <w:rsid w:val="00F92C2F"/>
    <w:rsid w:val="00F92DE2"/>
    <w:rsid w:val="00F93706"/>
    <w:rsid w:val="00F939A4"/>
    <w:rsid w:val="00F94244"/>
    <w:rsid w:val="00F94312"/>
    <w:rsid w:val="00F96B81"/>
    <w:rsid w:val="00F97886"/>
    <w:rsid w:val="00F97D1B"/>
    <w:rsid w:val="00F97D74"/>
    <w:rsid w:val="00F97F03"/>
    <w:rsid w:val="00FA1249"/>
    <w:rsid w:val="00FA19C4"/>
    <w:rsid w:val="00FA25AC"/>
    <w:rsid w:val="00FA3263"/>
    <w:rsid w:val="00FA349C"/>
    <w:rsid w:val="00FA35B7"/>
    <w:rsid w:val="00FA3FC5"/>
    <w:rsid w:val="00FA4366"/>
    <w:rsid w:val="00FA44A5"/>
    <w:rsid w:val="00FA4FCA"/>
    <w:rsid w:val="00FA54EC"/>
    <w:rsid w:val="00FA5697"/>
    <w:rsid w:val="00FA6544"/>
    <w:rsid w:val="00FA66E4"/>
    <w:rsid w:val="00FB1204"/>
    <w:rsid w:val="00FB1307"/>
    <w:rsid w:val="00FB1AAC"/>
    <w:rsid w:val="00FB2FEF"/>
    <w:rsid w:val="00FB360E"/>
    <w:rsid w:val="00FB5DDB"/>
    <w:rsid w:val="00FB67D0"/>
    <w:rsid w:val="00FB7288"/>
    <w:rsid w:val="00FC066F"/>
    <w:rsid w:val="00FC08FD"/>
    <w:rsid w:val="00FC0DF2"/>
    <w:rsid w:val="00FC122D"/>
    <w:rsid w:val="00FC1EF8"/>
    <w:rsid w:val="00FC20DF"/>
    <w:rsid w:val="00FC21B2"/>
    <w:rsid w:val="00FC2277"/>
    <w:rsid w:val="00FC33C5"/>
    <w:rsid w:val="00FC36B4"/>
    <w:rsid w:val="00FC41A6"/>
    <w:rsid w:val="00FC45F5"/>
    <w:rsid w:val="00FC5406"/>
    <w:rsid w:val="00FC553A"/>
    <w:rsid w:val="00FC5EB2"/>
    <w:rsid w:val="00FC68DE"/>
    <w:rsid w:val="00FC6BB9"/>
    <w:rsid w:val="00FC6CFA"/>
    <w:rsid w:val="00FC723E"/>
    <w:rsid w:val="00FC7B3A"/>
    <w:rsid w:val="00FD06AA"/>
    <w:rsid w:val="00FD0E85"/>
    <w:rsid w:val="00FD1B43"/>
    <w:rsid w:val="00FD1DA2"/>
    <w:rsid w:val="00FD1EA3"/>
    <w:rsid w:val="00FD37D5"/>
    <w:rsid w:val="00FD43DA"/>
    <w:rsid w:val="00FD51AF"/>
    <w:rsid w:val="00FD54D7"/>
    <w:rsid w:val="00FD55C4"/>
    <w:rsid w:val="00FD5633"/>
    <w:rsid w:val="00FD5A2D"/>
    <w:rsid w:val="00FD6FDF"/>
    <w:rsid w:val="00FD7AB2"/>
    <w:rsid w:val="00FE0B23"/>
    <w:rsid w:val="00FE17AA"/>
    <w:rsid w:val="00FE3473"/>
    <w:rsid w:val="00FE4036"/>
    <w:rsid w:val="00FE4344"/>
    <w:rsid w:val="00FE46C1"/>
    <w:rsid w:val="00FE4CF4"/>
    <w:rsid w:val="00FE517B"/>
    <w:rsid w:val="00FE557B"/>
    <w:rsid w:val="00FE55D3"/>
    <w:rsid w:val="00FE66D9"/>
    <w:rsid w:val="00FE6F03"/>
    <w:rsid w:val="00FE75C7"/>
    <w:rsid w:val="00FE795E"/>
    <w:rsid w:val="00FF1057"/>
    <w:rsid w:val="00FF133C"/>
    <w:rsid w:val="00FF13C8"/>
    <w:rsid w:val="00FF13E8"/>
    <w:rsid w:val="00FF1B6F"/>
    <w:rsid w:val="00FF1BCC"/>
    <w:rsid w:val="00FF3705"/>
    <w:rsid w:val="00FF3E04"/>
    <w:rsid w:val="00FF47A0"/>
    <w:rsid w:val="00FF482F"/>
    <w:rsid w:val="00FF49FA"/>
    <w:rsid w:val="00FF4BAD"/>
    <w:rsid w:val="00FF53B7"/>
    <w:rsid w:val="00FF5BCE"/>
    <w:rsid w:val="00FF6A2F"/>
    <w:rsid w:val="00FF6E9E"/>
    <w:rsid w:val="00FF6EAB"/>
    <w:rsid w:val="00FF701F"/>
    <w:rsid w:val="00FF7E17"/>
    <w:rsid w:val="057329C1"/>
    <w:rsid w:val="080CED91"/>
    <w:rsid w:val="16590101"/>
    <w:rsid w:val="1CEB57FE"/>
    <w:rsid w:val="23EE3B57"/>
    <w:rsid w:val="2DCE1881"/>
    <w:rsid w:val="32F4AA51"/>
    <w:rsid w:val="35F38157"/>
    <w:rsid w:val="39CEA6F4"/>
    <w:rsid w:val="3A04C0EC"/>
    <w:rsid w:val="3BA0914D"/>
    <w:rsid w:val="4CD7C623"/>
    <w:rsid w:val="4F18F57B"/>
    <w:rsid w:val="52D49DF7"/>
    <w:rsid w:val="63AC200E"/>
    <w:rsid w:val="717FCD8D"/>
    <w:rsid w:val="79DD52BF"/>
    <w:rsid w:val="7CB905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34DCB"/>
  <w15:docId w15:val="{02E53FDC-92B4-41DF-801F-959B3D21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4"/>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5"/>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5"/>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5"/>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aliases w:val="1 heading,Bullet point,CV text,Dot point 1.5 line spacing,FooterText,L,List Paragraph - bullets,List Paragraph1,List Paragraph11,List Paragraph2,NFP GP Bulleted List,Paragraphe de liste1,Recommendation,bullet point list,lp1,numbered,列出段落"/>
    <w:basedOn w:val="Normal"/>
    <w:link w:val="ListParagraphChar"/>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unhideWhenUsed/>
    <w:rsid w:val="005F76E3"/>
    <w:rPr>
      <w:sz w:val="20"/>
    </w:rPr>
  </w:style>
  <w:style w:type="character" w:customStyle="1" w:styleId="CommentTextChar">
    <w:name w:val="Comment Text Char"/>
    <w:basedOn w:val="DefaultParagraphFont"/>
    <w:link w:val="CommentText"/>
    <w:uiPriority w:val="99"/>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3"/>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84D9D"/>
    <w:pPr>
      <w:spacing w:before="0" w:after="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84D9D"/>
    <w:rPr>
      <w:rFonts w:ascii="Consolas" w:eastAsiaTheme="minorHAnsi" w:hAnsi="Consolas" w:cstheme="minorBidi"/>
      <w:sz w:val="21"/>
      <w:szCs w:val="21"/>
      <w:lang w:eastAsia="en-US"/>
    </w:rPr>
  </w:style>
  <w:style w:type="paragraph" w:styleId="Header">
    <w:name w:val="header"/>
    <w:basedOn w:val="Normal"/>
    <w:link w:val="HeaderChar"/>
    <w:uiPriority w:val="99"/>
    <w:unhideWhenUsed/>
    <w:rsid w:val="002F3B21"/>
    <w:pPr>
      <w:tabs>
        <w:tab w:val="center" w:pos="4513"/>
        <w:tab w:val="right" w:pos="9026"/>
      </w:tabs>
      <w:spacing w:before="0" w:after="0"/>
    </w:pPr>
  </w:style>
  <w:style w:type="character" w:customStyle="1" w:styleId="HeaderChar">
    <w:name w:val="Header Char"/>
    <w:basedOn w:val="DefaultParagraphFont"/>
    <w:link w:val="Header"/>
    <w:uiPriority w:val="99"/>
    <w:rsid w:val="002F3B21"/>
    <w:rPr>
      <w:sz w:val="24"/>
    </w:rPr>
  </w:style>
  <w:style w:type="paragraph" w:styleId="Footer">
    <w:name w:val="footer"/>
    <w:basedOn w:val="Normal"/>
    <w:link w:val="FooterChar"/>
    <w:uiPriority w:val="99"/>
    <w:unhideWhenUsed/>
    <w:rsid w:val="002F3B21"/>
    <w:pPr>
      <w:tabs>
        <w:tab w:val="center" w:pos="4513"/>
        <w:tab w:val="right" w:pos="9026"/>
      </w:tabs>
      <w:spacing w:before="0" w:after="0"/>
    </w:pPr>
  </w:style>
  <w:style w:type="character" w:customStyle="1" w:styleId="FooterChar">
    <w:name w:val="Footer Char"/>
    <w:basedOn w:val="DefaultParagraphFont"/>
    <w:link w:val="Footer"/>
    <w:uiPriority w:val="99"/>
    <w:rsid w:val="002F3B21"/>
    <w:rPr>
      <w:sz w:val="24"/>
    </w:rPr>
  </w:style>
  <w:style w:type="paragraph" w:styleId="Revision">
    <w:name w:val="Revision"/>
    <w:hidden/>
    <w:uiPriority w:val="99"/>
    <w:semiHidden/>
    <w:rsid w:val="00345F05"/>
    <w:rPr>
      <w:sz w:val="24"/>
    </w:rPr>
  </w:style>
  <w:style w:type="paragraph" w:styleId="EndnoteText">
    <w:name w:val="endnote text"/>
    <w:basedOn w:val="Normal"/>
    <w:link w:val="EndnoteTextChar"/>
    <w:uiPriority w:val="99"/>
    <w:semiHidden/>
    <w:unhideWhenUsed/>
    <w:rsid w:val="00F660B6"/>
    <w:pPr>
      <w:spacing w:before="0" w:after="0"/>
    </w:pPr>
    <w:rPr>
      <w:sz w:val="20"/>
    </w:rPr>
  </w:style>
  <w:style w:type="character" w:customStyle="1" w:styleId="EndnoteTextChar">
    <w:name w:val="Endnote Text Char"/>
    <w:basedOn w:val="DefaultParagraphFont"/>
    <w:link w:val="EndnoteText"/>
    <w:uiPriority w:val="99"/>
    <w:semiHidden/>
    <w:rsid w:val="00F660B6"/>
  </w:style>
  <w:style w:type="character" w:styleId="EndnoteReference">
    <w:name w:val="endnote reference"/>
    <w:basedOn w:val="DefaultParagraphFont"/>
    <w:uiPriority w:val="99"/>
    <w:semiHidden/>
    <w:unhideWhenUsed/>
    <w:rsid w:val="00F660B6"/>
    <w:rPr>
      <w:vertAlign w:val="superscript"/>
    </w:rPr>
  </w:style>
  <w:style w:type="character" w:styleId="FollowedHyperlink">
    <w:name w:val="FollowedHyperlink"/>
    <w:basedOn w:val="DefaultParagraphFont"/>
    <w:uiPriority w:val="99"/>
    <w:semiHidden/>
    <w:unhideWhenUsed/>
    <w:rsid w:val="00110059"/>
    <w:rPr>
      <w:color w:val="800080" w:themeColor="followedHyperlink"/>
      <w:u w:val="single"/>
    </w:rPr>
  </w:style>
  <w:style w:type="paragraph" w:customStyle="1" w:styleId="OutlineNumbered1">
    <w:name w:val="Outline Numbered 1"/>
    <w:basedOn w:val="Normal"/>
    <w:uiPriority w:val="99"/>
    <w:rsid w:val="003F7901"/>
    <w:pPr>
      <w:numPr>
        <w:numId w:val="44"/>
      </w:numPr>
      <w:spacing w:before="0" w:after="240"/>
    </w:pPr>
    <w:rPr>
      <w:rFonts w:eastAsia="Batang"/>
      <w:lang w:eastAsia="ko-KR"/>
    </w:rPr>
  </w:style>
  <w:style w:type="paragraph" w:customStyle="1" w:styleId="OutlineNumbered2">
    <w:name w:val="Outline Numbered 2"/>
    <w:basedOn w:val="Normal"/>
    <w:uiPriority w:val="99"/>
    <w:rsid w:val="003F7901"/>
    <w:pPr>
      <w:numPr>
        <w:ilvl w:val="1"/>
        <w:numId w:val="44"/>
      </w:numPr>
      <w:spacing w:before="0" w:after="240"/>
    </w:pPr>
    <w:rPr>
      <w:rFonts w:eastAsia="Batang"/>
      <w:lang w:eastAsia="ko-KR"/>
    </w:rPr>
  </w:style>
  <w:style w:type="paragraph" w:customStyle="1" w:styleId="OutlineNumbered3">
    <w:name w:val="Outline Numbered 3"/>
    <w:basedOn w:val="Normal"/>
    <w:uiPriority w:val="99"/>
    <w:rsid w:val="003F7901"/>
    <w:pPr>
      <w:numPr>
        <w:ilvl w:val="2"/>
        <w:numId w:val="44"/>
      </w:numPr>
      <w:spacing w:before="0" w:after="240"/>
    </w:pPr>
    <w:rPr>
      <w:rFonts w:eastAsia="Batang"/>
      <w:lang w:eastAsia="ko-KR"/>
    </w:rPr>
  </w:style>
  <w:style w:type="paragraph" w:customStyle="1" w:styleId="NumberedParagraphs">
    <w:name w:val="Numbered Paragraphs"/>
    <w:basedOn w:val="Normal"/>
    <w:uiPriority w:val="99"/>
    <w:rsid w:val="00D9549F"/>
    <w:pPr>
      <w:numPr>
        <w:numId w:val="56"/>
      </w:numPr>
      <w:tabs>
        <w:tab w:val="left" w:pos="726"/>
        <w:tab w:val="left" w:pos="1089"/>
        <w:tab w:val="left" w:pos="1452"/>
        <w:tab w:val="left" w:pos="1814"/>
      </w:tabs>
      <w:spacing w:before="0" w:after="0" w:line="360" w:lineRule="auto"/>
    </w:pPr>
  </w:style>
  <w:style w:type="character" w:customStyle="1" w:styleId="UnresolvedMention1">
    <w:name w:val="Unresolved Mention1"/>
    <w:basedOn w:val="DefaultParagraphFont"/>
    <w:uiPriority w:val="99"/>
    <w:semiHidden/>
    <w:unhideWhenUsed/>
    <w:rsid w:val="00215751"/>
    <w:rPr>
      <w:color w:val="605E5C"/>
      <w:shd w:val="clear" w:color="auto" w:fill="E1DFDD"/>
    </w:rPr>
  </w:style>
  <w:style w:type="character" w:customStyle="1" w:styleId="Mention1">
    <w:name w:val="Mention1"/>
    <w:basedOn w:val="DefaultParagraphFont"/>
    <w:uiPriority w:val="99"/>
    <w:unhideWhenUsed/>
    <w:rsid w:val="00004B42"/>
    <w:rPr>
      <w:color w:val="2B579A"/>
      <w:shd w:val="clear" w:color="auto" w:fill="E1DFDD"/>
    </w:rPr>
  </w:style>
  <w:style w:type="character" w:customStyle="1" w:styleId="UnresolvedMention2">
    <w:name w:val="Unresolved Mention2"/>
    <w:basedOn w:val="DefaultParagraphFont"/>
    <w:uiPriority w:val="99"/>
    <w:semiHidden/>
    <w:unhideWhenUsed/>
    <w:rsid w:val="003E73C8"/>
    <w:rPr>
      <w:color w:val="605E5C"/>
      <w:shd w:val="clear" w:color="auto" w:fill="E1DFDD"/>
    </w:rPr>
  </w:style>
  <w:style w:type="character" w:customStyle="1" w:styleId="ListParagraphChar">
    <w:name w:val="List Paragraph Char"/>
    <w:aliases w:val="1 heading Char,Bullet point Char,CV text Char,Dot point 1.5 line spacing Char,FooterText Char,L Char,List Paragraph - bullets Char,List Paragraph1 Char,List Paragraph11 Char,List Paragraph2 Char,NFP GP Bulleted List Char,lp1 Char"/>
    <w:basedOn w:val="DefaultParagraphFont"/>
    <w:link w:val="ListParagraph"/>
    <w:uiPriority w:val="34"/>
    <w:locked/>
    <w:rsid w:val="006C676A"/>
    <w:rPr>
      <w:sz w:val="24"/>
    </w:rPr>
  </w:style>
  <w:style w:type="character" w:customStyle="1" w:styleId="ui-provider">
    <w:name w:val="ui-provider"/>
    <w:basedOn w:val="DefaultParagraphFont"/>
    <w:rsid w:val="006C676A"/>
  </w:style>
  <w:style w:type="paragraph" w:customStyle="1" w:styleId="BodyNum">
    <w:name w:val="BodyNum"/>
    <w:aliases w:val="b1"/>
    <w:basedOn w:val="Normal"/>
    <w:rsid w:val="000E7CC7"/>
    <w:pPr>
      <w:numPr>
        <w:numId w:val="71"/>
      </w:numPr>
      <w:spacing w:before="240" w:after="0"/>
    </w:pPr>
  </w:style>
  <w:style w:type="paragraph" w:customStyle="1" w:styleId="BodyPara">
    <w:name w:val="BodyPara"/>
    <w:aliases w:val="ba"/>
    <w:basedOn w:val="Normal"/>
    <w:rsid w:val="00236FD1"/>
    <w:pPr>
      <w:numPr>
        <w:ilvl w:val="1"/>
        <w:numId w:val="71"/>
      </w:numPr>
      <w:spacing w:before="240" w:after="0"/>
    </w:pPr>
  </w:style>
  <w:style w:type="numbering" w:customStyle="1" w:styleId="OPCBodyList">
    <w:name w:val="OPCBodyList"/>
    <w:uiPriority w:val="99"/>
    <w:rsid w:val="000E7CC7"/>
    <w:pPr>
      <w:numPr>
        <w:numId w:val="72"/>
      </w:numPr>
    </w:pPr>
  </w:style>
  <w:style w:type="character" w:styleId="UnresolvedMention">
    <w:name w:val="Unresolved Mention"/>
    <w:basedOn w:val="DefaultParagraphFont"/>
    <w:uiPriority w:val="99"/>
    <w:semiHidden/>
    <w:unhideWhenUsed/>
    <w:rsid w:val="00893822"/>
    <w:rPr>
      <w:color w:val="605E5C"/>
      <w:shd w:val="clear" w:color="auto" w:fill="E1DFDD"/>
    </w:rPr>
  </w:style>
  <w:style w:type="character" w:styleId="Mention">
    <w:name w:val="Mention"/>
    <w:basedOn w:val="DefaultParagraphFont"/>
    <w:uiPriority w:val="99"/>
    <w:unhideWhenUsed/>
    <w:rsid w:val="00893822"/>
    <w:rPr>
      <w:color w:val="2B579A"/>
      <w:shd w:val="clear" w:color="auto" w:fill="E1DFDD"/>
    </w:rPr>
  </w:style>
  <w:style w:type="character" w:customStyle="1" w:styleId="cf01">
    <w:name w:val="cf01"/>
    <w:basedOn w:val="DefaultParagraphFont"/>
    <w:rsid w:val="002C73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4953">
      <w:bodyDiv w:val="1"/>
      <w:marLeft w:val="0"/>
      <w:marRight w:val="0"/>
      <w:marTop w:val="0"/>
      <w:marBottom w:val="0"/>
      <w:divBdr>
        <w:top w:val="none" w:sz="0" w:space="0" w:color="auto"/>
        <w:left w:val="none" w:sz="0" w:space="0" w:color="auto"/>
        <w:bottom w:val="none" w:sz="0" w:space="0" w:color="auto"/>
        <w:right w:val="none" w:sz="0" w:space="0" w:color="auto"/>
      </w:divBdr>
    </w:div>
    <w:div w:id="469522387">
      <w:bodyDiv w:val="1"/>
      <w:marLeft w:val="0"/>
      <w:marRight w:val="0"/>
      <w:marTop w:val="0"/>
      <w:marBottom w:val="0"/>
      <w:divBdr>
        <w:top w:val="none" w:sz="0" w:space="0" w:color="auto"/>
        <w:left w:val="none" w:sz="0" w:space="0" w:color="auto"/>
        <w:bottom w:val="none" w:sz="0" w:space="0" w:color="auto"/>
        <w:right w:val="none" w:sz="0" w:space="0" w:color="auto"/>
      </w:divBdr>
    </w:div>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529147938">
      <w:bodyDiv w:val="1"/>
      <w:marLeft w:val="0"/>
      <w:marRight w:val="0"/>
      <w:marTop w:val="0"/>
      <w:marBottom w:val="0"/>
      <w:divBdr>
        <w:top w:val="none" w:sz="0" w:space="0" w:color="auto"/>
        <w:left w:val="none" w:sz="0" w:space="0" w:color="auto"/>
        <w:bottom w:val="none" w:sz="0" w:space="0" w:color="auto"/>
        <w:right w:val="none" w:sz="0" w:space="0" w:color="auto"/>
      </w:divBdr>
    </w:div>
    <w:div w:id="677077690">
      <w:bodyDiv w:val="1"/>
      <w:marLeft w:val="0"/>
      <w:marRight w:val="0"/>
      <w:marTop w:val="0"/>
      <w:marBottom w:val="0"/>
      <w:divBdr>
        <w:top w:val="none" w:sz="0" w:space="0" w:color="auto"/>
        <w:left w:val="none" w:sz="0" w:space="0" w:color="auto"/>
        <w:bottom w:val="none" w:sz="0" w:space="0" w:color="auto"/>
        <w:right w:val="none" w:sz="0" w:space="0" w:color="auto"/>
      </w:divBdr>
    </w:div>
    <w:div w:id="1013385987">
      <w:bodyDiv w:val="1"/>
      <w:marLeft w:val="0"/>
      <w:marRight w:val="0"/>
      <w:marTop w:val="0"/>
      <w:marBottom w:val="0"/>
      <w:divBdr>
        <w:top w:val="none" w:sz="0" w:space="0" w:color="auto"/>
        <w:left w:val="none" w:sz="0" w:space="0" w:color="auto"/>
        <w:bottom w:val="none" w:sz="0" w:space="0" w:color="auto"/>
        <w:right w:val="none" w:sz="0" w:space="0" w:color="auto"/>
      </w:divBdr>
    </w:div>
    <w:div w:id="1039085918">
      <w:bodyDiv w:val="1"/>
      <w:marLeft w:val="0"/>
      <w:marRight w:val="0"/>
      <w:marTop w:val="0"/>
      <w:marBottom w:val="0"/>
      <w:divBdr>
        <w:top w:val="none" w:sz="0" w:space="0" w:color="auto"/>
        <w:left w:val="none" w:sz="0" w:space="0" w:color="auto"/>
        <w:bottom w:val="none" w:sz="0" w:space="0" w:color="auto"/>
        <w:right w:val="none" w:sz="0" w:space="0" w:color="auto"/>
      </w:divBdr>
    </w:div>
    <w:div w:id="1067651376">
      <w:bodyDiv w:val="1"/>
      <w:marLeft w:val="0"/>
      <w:marRight w:val="0"/>
      <w:marTop w:val="0"/>
      <w:marBottom w:val="0"/>
      <w:divBdr>
        <w:top w:val="none" w:sz="0" w:space="0" w:color="auto"/>
        <w:left w:val="none" w:sz="0" w:space="0" w:color="auto"/>
        <w:bottom w:val="none" w:sz="0" w:space="0" w:color="auto"/>
        <w:right w:val="none" w:sz="0" w:space="0" w:color="auto"/>
      </w:divBdr>
    </w:div>
    <w:div w:id="1106656629">
      <w:bodyDiv w:val="1"/>
      <w:marLeft w:val="0"/>
      <w:marRight w:val="0"/>
      <w:marTop w:val="0"/>
      <w:marBottom w:val="0"/>
      <w:divBdr>
        <w:top w:val="none" w:sz="0" w:space="0" w:color="auto"/>
        <w:left w:val="none" w:sz="0" w:space="0" w:color="auto"/>
        <w:bottom w:val="none" w:sz="0" w:space="0" w:color="auto"/>
        <w:right w:val="none" w:sz="0" w:space="0" w:color="auto"/>
      </w:divBdr>
    </w:div>
    <w:div w:id="1178230123">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 w:id="1399669400">
      <w:bodyDiv w:val="1"/>
      <w:marLeft w:val="0"/>
      <w:marRight w:val="0"/>
      <w:marTop w:val="0"/>
      <w:marBottom w:val="0"/>
      <w:divBdr>
        <w:top w:val="none" w:sz="0" w:space="0" w:color="auto"/>
        <w:left w:val="none" w:sz="0" w:space="0" w:color="auto"/>
        <w:bottom w:val="none" w:sz="0" w:space="0" w:color="auto"/>
        <w:right w:val="none" w:sz="0" w:space="0" w:color="auto"/>
      </w:divBdr>
    </w:div>
    <w:div w:id="1549343101">
      <w:bodyDiv w:val="1"/>
      <w:marLeft w:val="0"/>
      <w:marRight w:val="0"/>
      <w:marTop w:val="0"/>
      <w:marBottom w:val="0"/>
      <w:divBdr>
        <w:top w:val="none" w:sz="0" w:space="0" w:color="auto"/>
        <w:left w:val="none" w:sz="0" w:space="0" w:color="auto"/>
        <w:bottom w:val="none" w:sz="0" w:space="0" w:color="auto"/>
        <w:right w:val="none" w:sz="0" w:space="0" w:color="auto"/>
      </w:divBdr>
    </w:div>
    <w:div w:id="1858621452">
      <w:bodyDiv w:val="1"/>
      <w:marLeft w:val="0"/>
      <w:marRight w:val="0"/>
      <w:marTop w:val="0"/>
      <w:marBottom w:val="0"/>
      <w:divBdr>
        <w:top w:val="none" w:sz="0" w:space="0" w:color="auto"/>
        <w:left w:val="none" w:sz="0" w:space="0" w:color="auto"/>
        <w:bottom w:val="none" w:sz="0" w:space="0" w:color="auto"/>
        <w:right w:val="none" w:sz="0" w:space="0" w:color="auto"/>
      </w:divBdr>
    </w:div>
    <w:div w:id="212954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business/buyaustralia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industry.gov.au/regulation-and-standards/australian-industry-particip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energy.gov.au%2Fgovernment-priorities%2Fenergy-and-climate-change-ministerial-council%2Fpriorities%2Fnational-energy-transformation-partnership%2Ffirst-nations-clean-energy-strategy&amp;data=05%7C01%7CSarah.Sargent%40dcceew.gov.au%7C3aa4028126eb4530c76308db35973132%7C2be67eb7400c4b3fa5a11258c0da0696%7C0%7C0%7C638162695695717275%7CUnknown%7CTWFpbGZsb3d8eyJWIjoiMC4wLjAwMDAiLCJQIjoiV2luMzIiLCJBTiI6Ik1haWwiLCJXVCI6Mn0%3D%7C3000%7C%7C%7C&amp;sdata=1%2F9mIVj%2B5XFqCmSAGydhXpspQF71H61VzHyGIEz6ODE%3D&amp;reserved=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emc.gov.au/regulation/neo" TargetMode="External"/><Relationship Id="rId3" Type="http://schemas.openxmlformats.org/officeDocument/2006/relationships/hyperlink" Target="https://www.aasb.gov.au/pronouncements/accounting-standards/" TargetMode="External"/><Relationship Id="rId7" Type="http://schemas.openxmlformats.org/officeDocument/2006/relationships/hyperlink" Target="https://aemo.com.au/energy-systems/major-publications/integrated-system-plan-isp/2022-integrated-system-plan-isp" TargetMode="External"/><Relationship Id="rId12" Type="http://schemas.openxmlformats.org/officeDocument/2006/relationships/hyperlink" Target="https://www.dcceew.gov.au/environment/protection/waste/publications/national-waste-policy-action-plan" TargetMode="External"/><Relationship Id="rId2" Type="http://schemas.openxmlformats.org/officeDocument/2006/relationships/hyperlink" Target="https://www.australiangovernbmentbonds.gov.au/" TargetMode="External"/><Relationship Id="rId1" Type="http://schemas.openxmlformats.org/officeDocument/2006/relationships/hyperlink" Target="https://unfccc.int/NDCREG" TargetMode="External"/><Relationship Id="rId6" Type="http://schemas.openxmlformats.org/officeDocument/2006/relationships/hyperlink" Target="https://unfccc.int/NDCREG" TargetMode="External"/><Relationship Id="rId11" Type="http://schemas.openxmlformats.org/officeDocument/2006/relationships/hyperlink" Target="https://www.dcceew.gov.au/parks-heritage/great-barrier-reef/long-term-sustainability-plan" TargetMode="External"/><Relationship Id="rId5" Type="http://schemas.openxmlformats.org/officeDocument/2006/relationships/hyperlink" Target="https://www.energy.gov.au/government-priorities/australias-energy-strategies-and-frameworks/powering-australia" TargetMode="External"/><Relationship Id="rId10" Type="http://schemas.openxmlformats.org/officeDocument/2006/relationships/hyperlink" Target="https://www.aasb.gov.au/pronouncements/accounting-standards/" TargetMode="External"/><Relationship Id="rId4" Type="http://schemas.openxmlformats.org/officeDocument/2006/relationships/hyperlink" Target="https://www.aasb.gov.au/pronouncements/accounting-standards/" TargetMode="External"/><Relationship Id="rId9" Type="http://schemas.openxmlformats.org/officeDocument/2006/relationships/hyperlink" Target="https://www.dcceew.gov.au/energy/publications/australias-national-hydrogen-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SecurityClassification xmlns="6689E19D-A597-4048-A40C-CACBD1B677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C8B50DB60D874B82149CD2C5C068F5" ma:contentTypeVersion="" ma:contentTypeDescription="PDMS Document Site Content Type" ma:contentTypeScope="" ma:versionID="d80d1f29f06f00b0898a36f7b470627d">
  <xsd:schema xmlns:xsd="http://www.w3.org/2001/XMLSchema" xmlns:xs="http://www.w3.org/2001/XMLSchema" xmlns:p="http://schemas.microsoft.com/office/2006/metadata/properties" xmlns:ns2="6689E19D-A597-4048-A40C-CACBD1B677C8" targetNamespace="http://schemas.microsoft.com/office/2006/metadata/properties" ma:root="true" ma:fieldsID="45969a830b71f430080049883fd93052" ns2:_="">
    <xsd:import namespace="6689E19D-A597-4048-A40C-CACBD1B677C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E19D-A597-4048-A40C-CACBD1B677C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 D o c u m e n t s ! 4 8 0 1 3 3 0 5 . 1 < / d o c u m e n t i d >  
     < s e n d e r i d > L U K E M A < / s e n d e r i d >  
     < s e n d e r e m a i l > A N N A . L U K E M A N @ A G S . G O V . A U < / s e n d e r e m a i l >  
     < l a s t m o d i f i e d > 2 0 2 3 - 0 5 - 1 5 T 1 4 : 1 9 : 0 0 . 0 0 0 0 0 0 0 + 1 0 : 0 0 < / l a s t m o d i f i e d >  
     < d a t a b a s e > D o c u m e n t s 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22BB5-B9A4-42CE-B2A1-B5DC0C2F7347}">
  <ds:schemaRefs>
    <ds:schemaRef ds:uri="http://schemas.openxmlformats.org/officeDocument/2006/bibliography"/>
  </ds:schemaRefs>
</ds:datastoreItem>
</file>

<file path=customXml/itemProps2.xml><?xml version="1.0" encoding="utf-8"?>
<ds:datastoreItem xmlns:ds="http://schemas.openxmlformats.org/officeDocument/2006/customXml" ds:itemID="{A90A1ED5-8596-4B30-B50A-CFFE5C8C8C9A}">
  <ds:schemaRefs>
    <ds:schemaRef ds:uri="http://schemas.microsoft.com/office/2006/metadata/properties"/>
    <ds:schemaRef ds:uri="6689E19D-A597-4048-A40C-CACBD1B677C8"/>
  </ds:schemaRefs>
</ds:datastoreItem>
</file>

<file path=customXml/itemProps3.xml><?xml version="1.0" encoding="utf-8"?>
<ds:datastoreItem xmlns:ds="http://schemas.openxmlformats.org/officeDocument/2006/customXml" ds:itemID="{F178A3F4-45F3-4806-AF8D-DF16AC803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E19D-A597-4048-A40C-CACBD1B6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85172-89AB-4733-A8B2-EF3E73EA8450}">
  <ds:schemaRefs>
    <ds:schemaRef ds:uri="http://www.imanage.com/work/xmlschema"/>
  </ds:schemaRefs>
</ds:datastoreItem>
</file>

<file path=customXml/itemProps5.xml><?xml version="1.0" encoding="utf-8"?>
<ds:datastoreItem xmlns:ds="http://schemas.openxmlformats.org/officeDocument/2006/customXml" ds:itemID="{3BBA9984-4E34-4C05-8ED6-A377C15D9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6668</Words>
  <Characters>38013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Draft revised Explanatory Statement 2019 (No. 2)</vt:lpstr>
    </vt:vector>
  </TitlesOfParts>
  <Company>FINANCE</Company>
  <LinksUpToDate>false</LinksUpToDate>
  <CharactersWithSpaces>44592</CharactersWithSpaces>
  <SharedDoc>false</SharedDoc>
  <HLinks>
    <vt:vector size="90" baseType="variant">
      <vt:variant>
        <vt:i4>7536697</vt:i4>
      </vt:variant>
      <vt:variant>
        <vt:i4>6</vt:i4>
      </vt:variant>
      <vt:variant>
        <vt:i4>0</vt:i4>
      </vt:variant>
      <vt:variant>
        <vt:i4>5</vt:i4>
      </vt:variant>
      <vt:variant>
        <vt:lpwstr>https://aus01.safelinks.protection.outlook.com/?url=https%3A%2F%2Fwww.energy.gov.au%2Fgovernment-priorities%2Fenergy-and-climate-change-ministerial-council%2Fpriorities%2Fnational-energy-transformation-partnership%2Ffirst-nations-clean-energy-strategy&amp;data=05%7C01%7CSarah.Sargent%40dcceew.gov.au%7C3aa4028126eb4530c76308db35973132%7C2be67eb7400c4b3fa5a11258c0da0696%7C0%7C0%7C638162695695717275%7CUnknown%7CTWFpbGZsb3d8eyJWIjoiMC4wLjAwMDAiLCJQIjoiV2luMzIiLCJBTiI6Ik1haWwiLCJXVCI6Mn0%3D%7C3000%7C%7C%7C&amp;sdata=1%2F9mIVj%2B5XFqCmSAGydhXpspQF71H61VzHyGIEz6ODE%3D&amp;reserved=0</vt:lpwstr>
      </vt:variant>
      <vt:variant>
        <vt:lpwstr/>
      </vt:variant>
      <vt:variant>
        <vt:i4>1245190</vt:i4>
      </vt:variant>
      <vt:variant>
        <vt:i4>3</vt:i4>
      </vt:variant>
      <vt:variant>
        <vt:i4>0</vt:i4>
      </vt:variant>
      <vt:variant>
        <vt:i4>5</vt:i4>
      </vt:variant>
      <vt:variant>
        <vt:lpwstr>https://www.finance.gov.au/business/buyaustralianplan</vt:lpwstr>
      </vt:variant>
      <vt:variant>
        <vt:lpwstr/>
      </vt:variant>
      <vt:variant>
        <vt:i4>3604529</vt:i4>
      </vt:variant>
      <vt:variant>
        <vt:i4>0</vt:i4>
      </vt:variant>
      <vt:variant>
        <vt:i4>0</vt:i4>
      </vt:variant>
      <vt:variant>
        <vt:i4>5</vt:i4>
      </vt:variant>
      <vt:variant>
        <vt:lpwstr>https://www.industry.gov.au/regulation-and-standards/australian-industry-participation</vt:lpwstr>
      </vt:variant>
      <vt:variant>
        <vt:lpwstr/>
      </vt:variant>
      <vt:variant>
        <vt:i4>6225925</vt:i4>
      </vt:variant>
      <vt:variant>
        <vt:i4>33</vt:i4>
      </vt:variant>
      <vt:variant>
        <vt:i4>0</vt:i4>
      </vt:variant>
      <vt:variant>
        <vt:i4>5</vt:i4>
      </vt:variant>
      <vt:variant>
        <vt:lpwstr>https://www.dcceew.gov.au/environment/protection/waste/publications/national-waste-policy-action-plan</vt:lpwstr>
      </vt:variant>
      <vt:variant>
        <vt:lpwstr/>
      </vt:variant>
      <vt:variant>
        <vt:i4>5111834</vt:i4>
      </vt:variant>
      <vt:variant>
        <vt:i4>30</vt:i4>
      </vt:variant>
      <vt:variant>
        <vt:i4>0</vt:i4>
      </vt:variant>
      <vt:variant>
        <vt:i4>5</vt:i4>
      </vt:variant>
      <vt:variant>
        <vt:lpwstr>https://www.dcceew.gov.au/parks-heritage/great-barrier-reef/long-term-sustainability-plan</vt:lpwstr>
      </vt:variant>
      <vt:variant>
        <vt:lpwstr/>
      </vt:variant>
      <vt:variant>
        <vt:i4>1966102</vt:i4>
      </vt:variant>
      <vt:variant>
        <vt:i4>27</vt:i4>
      </vt:variant>
      <vt:variant>
        <vt:i4>0</vt:i4>
      </vt:variant>
      <vt:variant>
        <vt:i4>5</vt:i4>
      </vt:variant>
      <vt:variant>
        <vt:lpwstr>https://www.aasb.gov.au/pronouncements/accounting-standards/</vt:lpwstr>
      </vt:variant>
      <vt:variant>
        <vt:lpwstr/>
      </vt:variant>
      <vt:variant>
        <vt:i4>6422643</vt:i4>
      </vt:variant>
      <vt:variant>
        <vt:i4>24</vt:i4>
      </vt:variant>
      <vt:variant>
        <vt:i4>0</vt:i4>
      </vt:variant>
      <vt:variant>
        <vt:i4>5</vt:i4>
      </vt:variant>
      <vt:variant>
        <vt:lpwstr>https://www.dcceew.gov.au/energy/publications/australias-national-hydrogen-strategy</vt:lpwstr>
      </vt:variant>
      <vt:variant>
        <vt:lpwstr/>
      </vt:variant>
      <vt:variant>
        <vt:i4>6684798</vt:i4>
      </vt:variant>
      <vt:variant>
        <vt:i4>21</vt:i4>
      </vt:variant>
      <vt:variant>
        <vt:i4>0</vt:i4>
      </vt:variant>
      <vt:variant>
        <vt:i4>5</vt:i4>
      </vt:variant>
      <vt:variant>
        <vt:lpwstr>https://www.aemc.gov.au/regulation/neo</vt:lpwstr>
      </vt:variant>
      <vt:variant>
        <vt:lpwstr/>
      </vt:variant>
      <vt:variant>
        <vt:i4>4325455</vt:i4>
      </vt:variant>
      <vt:variant>
        <vt:i4>18</vt:i4>
      </vt:variant>
      <vt:variant>
        <vt:i4>0</vt:i4>
      </vt:variant>
      <vt:variant>
        <vt:i4>5</vt:i4>
      </vt:variant>
      <vt:variant>
        <vt:lpwstr>https://aemo.com.au/energy-systems/major-publications/integrated-system-plan-isp/2022-integrated-system-plan-isp</vt:lpwstr>
      </vt:variant>
      <vt:variant>
        <vt:lpwstr/>
      </vt:variant>
      <vt:variant>
        <vt:i4>655433</vt:i4>
      </vt:variant>
      <vt:variant>
        <vt:i4>15</vt:i4>
      </vt:variant>
      <vt:variant>
        <vt:i4>0</vt:i4>
      </vt:variant>
      <vt:variant>
        <vt:i4>5</vt:i4>
      </vt:variant>
      <vt:variant>
        <vt:lpwstr>https://unfccc.int/NDCREG</vt:lpwstr>
      </vt:variant>
      <vt:variant>
        <vt:lpwstr/>
      </vt:variant>
      <vt:variant>
        <vt:i4>2949236</vt:i4>
      </vt:variant>
      <vt:variant>
        <vt:i4>12</vt:i4>
      </vt:variant>
      <vt:variant>
        <vt:i4>0</vt:i4>
      </vt:variant>
      <vt:variant>
        <vt:i4>5</vt:i4>
      </vt:variant>
      <vt:variant>
        <vt:lpwstr>https://www.energy.gov.au/government-priorities/australias-energy-strategies-and-frameworks/powering-australia</vt:lpwstr>
      </vt:variant>
      <vt:variant>
        <vt:lpwstr/>
      </vt:variant>
      <vt:variant>
        <vt:i4>1966102</vt:i4>
      </vt:variant>
      <vt:variant>
        <vt:i4>9</vt:i4>
      </vt:variant>
      <vt:variant>
        <vt:i4>0</vt:i4>
      </vt:variant>
      <vt:variant>
        <vt:i4>5</vt:i4>
      </vt:variant>
      <vt:variant>
        <vt:lpwstr>https://www.aasb.gov.au/pronouncements/accounting-standards/</vt:lpwstr>
      </vt:variant>
      <vt:variant>
        <vt:lpwstr/>
      </vt:variant>
      <vt:variant>
        <vt:i4>1966102</vt:i4>
      </vt:variant>
      <vt:variant>
        <vt:i4>6</vt:i4>
      </vt:variant>
      <vt:variant>
        <vt:i4>0</vt:i4>
      </vt:variant>
      <vt:variant>
        <vt:i4>5</vt:i4>
      </vt:variant>
      <vt:variant>
        <vt:lpwstr>https://www.aasb.gov.au/pronouncements/accounting-standards/</vt:lpwstr>
      </vt:variant>
      <vt:variant>
        <vt:lpwstr/>
      </vt:variant>
      <vt:variant>
        <vt:i4>6815788</vt:i4>
      </vt:variant>
      <vt:variant>
        <vt:i4>3</vt:i4>
      </vt:variant>
      <vt:variant>
        <vt:i4>0</vt:i4>
      </vt:variant>
      <vt:variant>
        <vt:i4>5</vt:i4>
      </vt:variant>
      <vt:variant>
        <vt:lpwstr>https://www.australiangovernbmentbonds.gov.au/</vt:lpwstr>
      </vt:variant>
      <vt:variant>
        <vt:lpwstr/>
      </vt:variant>
      <vt:variant>
        <vt:i4>655433</vt:i4>
      </vt:variant>
      <vt:variant>
        <vt:i4>0</vt:i4>
      </vt:variant>
      <vt:variant>
        <vt:i4>0</vt:i4>
      </vt:variant>
      <vt:variant>
        <vt:i4>5</vt:i4>
      </vt:variant>
      <vt:variant>
        <vt:lpwstr>https://unfccc.int/NDCREG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Explanatory Statement 2019 (No. 2)</dc:title>
  <dc:subject/>
  <dc:creator>Fitzgerald, Tracey</dc:creator>
  <cp:keywords>[SEC=OFFICIAL:Sensitive]</cp:keywords>
  <cp:lastModifiedBy>Sargent, Sarah</cp:lastModifiedBy>
  <cp:revision>2</cp:revision>
  <cp:lastPrinted>2023-05-18T19:04:00Z</cp:lastPrinted>
  <dcterms:created xsi:type="dcterms:W3CDTF">2023-07-20T22:47:00Z</dcterms:created>
  <dcterms:modified xsi:type="dcterms:W3CDTF">2023-07-20T22:47:00Z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UniqueId">
    <vt:lpwstr>{787e430e-8acd-4670-94eb-2bb4cc59eb8b}</vt:lpwstr>
  </property>
  <property fmtid="{D5CDD505-2E9C-101B-9397-08002B2CF9AE}" pid="3" name="RecordPoint_SubmissionCompleted">
    <vt:lpwstr/>
  </property>
  <property fmtid="{D5CDD505-2E9C-101B-9397-08002B2CF9AE}" pid="4" name="RecordPoint_WorkflowType">
    <vt:lpwstr>ActiveSubmitStub</vt:lpwstr>
  </property>
  <property fmtid="{D5CDD505-2E9C-101B-9397-08002B2CF9AE}" pid="5" name="RecordPoint_ActiveItemSiteId">
    <vt:lpwstr>{22ddc83e-3d55-4f4b-84b0-b8f29513b89f}</vt:lpwstr>
  </property>
  <property fmtid="{D5CDD505-2E9C-101B-9397-08002B2CF9AE}" pid="6" name="RecordPoint_ActiveItemListId">
    <vt:lpwstr>{e5b34ab4-21ce-4f9f-93f1-f51dd6596e37}</vt:lpwstr>
  </property>
  <property fmtid="{D5CDD505-2E9C-101B-9397-08002B2CF9AE}" pid="7" name="RecordPoint_ActiveItemWebId">
    <vt:lpwstr>{2059673b-20f6-40c5-8fb8-ce838aef26a0}</vt:lpwstr>
  </property>
  <property fmtid="{D5CDD505-2E9C-101B-9397-08002B2CF9AE}" pid="8" name="RecordPoint_RecordNumberSubmitted">
    <vt:lpwstr/>
  </property>
  <property fmtid="{D5CDD505-2E9C-101B-9397-08002B2CF9AE}" pid="9" name="RecordPoint_SubmissionDate">
    <vt:lpwstr/>
  </property>
  <property fmtid="{D5CDD505-2E9C-101B-9397-08002B2CF9AE}" pid="10" name="RecordPoint_RecordFormat">
    <vt:lpwstr/>
  </property>
  <property fmtid="{D5CDD505-2E9C-101B-9397-08002B2CF9AE}" pid="11" name="RecordPoint_ActiveItemMoved">
    <vt:lpwstr/>
  </property>
  <property fmtid="{D5CDD505-2E9C-101B-9397-08002B2CF9AE}" pid="12" name="ObjectiveRef">
    <vt:lpwstr>Removed</vt:lpwstr>
  </property>
  <property fmtid="{D5CDD505-2E9C-101B-9397-08002B2CF9AE}" pid="13" name="LeadingLawyers">
    <vt:lpwstr>Removed</vt:lpwstr>
  </property>
  <property fmtid="{D5CDD505-2E9C-101B-9397-08002B2CF9AE}" pid="14" name="DocHub_Year">
    <vt:lpwstr>1380;#2022|4a777a70-2aa9-481e-a746-cca47d761c8e</vt:lpwstr>
  </property>
  <property fmtid="{D5CDD505-2E9C-101B-9397-08002B2CF9AE}" pid="15" name="DocHub_DocumentType">
    <vt:lpwstr>314;#Legislative Instrument|edbe159b-95f5-40e7-bf23-9dfb62f2e7f0</vt:lpwstr>
  </property>
  <property fmtid="{D5CDD505-2E9C-101B-9397-08002B2CF9AE}" pid="16" name="DocHub_SecurityClassification">
    <vt:lpwstr>34;#PROTECTED|1f93d6e9-ce72-494e-aefd-be45817cd598</vt:lpwstr>
  </property>
  <property fmtid="{D5CDD505-2E9C-101B-9397-08002B2CF9AE}" pid="17" name="DocHub_CleanEnergyAgency">
    <vt:lpwstr>835;#CEFC|e90ec767-6c07-47f8-bcfe-b20fbc88fdea</vt:lpwstr>
  </property>
  <property fmtid="{D5CDD505-2E9C-101B-9397-08002B2CF9AE}" pid="18" name="DocHub_WorkActivity">
    <vt:lpwstr>192;#Legislation and Regulation|6cbc66f5-f4a2-4565-a58b-d5f2d2ac9bd0</vt:lpwstr>
  </property>
  <property fmtid="{D5CDD505-2E9C-101B-9397-08002B2CF9AE}" pid="19" name="DocHub_Keywords">
    <vt:lpwstr>824;#CEFC Investment Mandate|a79ea474-abae-4731-8795-2178437d79e4</vt:lpwstr>
  </property>
  <property fmtid="{D5CDD505-2E9C-101B-9397-08002B2CF9AE}" pid="20" name="DocHub_CleanEnergyAgencyTopic">
    <vt:lpwstr>467;#Legislation|8603ed99-bd4e-4ab2-9cfe-4ca517018a14</vt:lpwstr>
  </property>
  <property fmtid="{D5CDD505-2E9C-101B-9397-08002B2CF9AE}" pid="21" name="checkforsharepointfields">
    <vt:lpwstr>True</vt:lpwstr>
  </property>
  <property fmtid="{D5CDD505-2E9C-101B-9397-08002B2CF9AE}" pid="22" name="Template Filename">
    <vt:lpwstr/>
  </property>
  <property fmtid="{D5CDD505-2E9C-101B-9397-08002B2CF9AE}" pid="23" name="MediaServiceImageTags">
    <vt:lpwstr/>
  </property>
  <property fmtid="{D5CDD505-2E9C-101B-9397-08002B2CF9AE}" pid="24" name="PM_Namespace">
    <vt:lpwstr>gov.au</vt:lpwstr>
  </property>
  <property fmtid="{D5CDD505-2E9C-101B-9397-08002B2CF9AE}" pid="25" name="PM_Caveats_Count">
    <vt:lpwstr>0</vt:lpwstr>
  </property>
  <property fmtid="{D5CDD505-2E9C-101B-9397-08002B2CF9AE}" pid="26" name="PM_Version">
    <vt:lpwstr>2018.1</vt:lpwstr>
  </property>
  <property fmtid="{D5CDD505-2E9C-101B-9397-08002B2CF9AE}" pid="27" name="PM_Note">
    <vt:lpwstr/>
  </property>
  <property fmtid="{D5CDD505-2E9C-101B-9397-08002B2CF9AE}" pid="28" name="PM_Qualifier">
    <vt:lpwstr/>
  </property>
  <property fmtid="{D5CDD505-2E9C-101B-9397-08002B2CF9AE}" pid="29" name="PM_SecurityClassification">
    <vt:lpwstr>OFFICIAL:Sensitive</vt:lpwstr>
  </property>
  <property fmtid="{D5CDD505-2E9C-101B-9397-08002B2CF9AE}" pid="30" name="PM_ProtectiveMarkingValue_Header">
    <vt:lpwstr>OFFICIAL:Sensitive</vt:lpwstr>
  </property>
  <property fmtid="{D5CDD505-2E9C-101B-9397-08002B2CF9AE}" pid="31" name="PM_OriginationTimeStamp">
    <vt:lpwstr>2023-05-10T01:38:48Z</vt:lpwstr>
  </property>
  <property fmtid="{D5CDD505-2E9C-101B-9397-08002B2CF9AE}" pid="32" name="PM_Markers">
    <vt:lpwstr/>
  </property>
  <property fmtid="{D5CDD505-2E9C-101B-9397-08002B2CF9AE}" pid="33" name="PM_InsertionValue">
    <vt:lpwstr>OFFICIAL:Sensitive</vt:lpwstr>
  </property>
  <property fmtid="{D5CDD505-2E9C-101B-9397-08002B2CF9AE}" pid="34" name="PM_DisplayValueSecClassificationWithQualifier">
    <vt:lpwstr>OFFICIAL:Sensitive</vt:lpwstr>
  </property>
  <property fmtid="{D5CDD505-2E9C-101B-9397-08002B2CF9AE}" pid="35" name="PM_Originating_FileId">
    <vt:lpwstr>FF1A00C715EB4B62ADDE7191351B001B</vt:lpwstr>
  </property>
  <property fmtid="{D5CDD505-2E9C-101B-9397-08002B2CF9AE}" pid="36" name="PM_ProtectiveMarkingValue_Footer">
    <vt:lpwstr>OFFICIAL:Sensitive</vt:lpwstr>
  </property>
  <property fmtid="{D5CDD505-2E9C-101B-9397-08002B2CF9AE}" pid="37" name="PM_ProtectiveMarkingImage_Header">
    <vt:lpwstr>C:\Program Files\Common Files\janusNET Shared\janusSEAL\Images\DocumentSlashBlue.png</vt:lpwstr>
  </property>
  <property fmtid="{D5CDD505-2E9C-101B-9397-08002B2CF9AE}" pid="38" name="PM_ProtectiveMarkingImage_Footer">
    <vt:lpwstr>C:\Program Files\Common Files\janusNET Shared\janusSEAL\Images\DocumentSlashBlue.png</vt:lpwstr>
  </property>
  <property fmtid="{D5CDD505-2E9C-101B-9397-08002B2CF9AE}" pid="39" name="PM_Display">
    <vt:lpwstr>OFFICIAL:Sensitive</vt:lpwstr>
  </property>
  <property fmtid="{D5CDD505-2E9C-101B-9397-08002B2CF9AE}" pid="40" name="PM_OriginatorDomainName_SHA256">
    <vt:lpwstr>325440F6CA31C4C3BCE4433552DC42928CAAD3E2731ABE35FDE729ECEB763AF0</vt:lpwstr>
  </property>
  <property fmtid="{D5CDD505-2E9C-101B-9397-08002B2CF9AE}" pid="41" name="PMUuid">
    <vt:lpwstr>v=2022.2;d=gov.au;g=ABA70C08-925C-5FA3-8765-3178156983AC</vt:lpwstr>
  </property>
  <property fmtid="{D5CDD505-2E9C-101B-9397-08002B2CF9AE}" pid="42" name="PM_Hash_Version">
    <vt:lpwstr>2022.1</vt:lpwstr>
  </property>
  <property fmtid="{D5CDD505-2E9C-101B-9397-08002B2CF9AE}" pid="43" name="TaxKeyword">
    <vt:lpwstr>18;#[SEC=OFFICIAL:Sensitive]|5739fc04-5ce8-487a-b513-910bd4fb2843</vt:lpwstr>
  </property>
  <property fmtid="{D5CDD505-2E9C-101B-9397-08002B2CF9AE}" pid="44" name="Organisation Unit">
    <vt:lpwstr>2;#Funds|085d3ce9-d508-4461-8b60-afec832bdd3a</vt:lpwstr>
  </property>
  <property fmtid="{D5CDD505-2E9C-101B-9397-08002B2CF9AE}" pid="45" name="Function_x0020_and_x0020_Activity">
    <vt:lpwstr/>
  </property>
  <property fmtid="{D5CDD505-2E9C-101B-9397-08002B2CF9AE}" pid="46" name="About Entity">
    <vt:lpwstr>1;#Department of Finance|fd660e8f-8f31-49bd-92a3-d31d4da31afe</vt:lpwstr>
  </property>
  <property fmtid="{D5CDD505-2E9C-101B-9397-08002B2CF9AE}" pid="47" name="Initiating Entity">
    <vt:lpwstr>1;#Department of Finance|fd660e8f-8f31-49bd-92a3-d31d4da31afe</vt:lpwstr>
  </property>
  <property fmtid="{D5CDD505-2E9C-101B-9397-08002B2CF9AE}" pid="48" name="Function and Activity">
    <vt:lpwstr/>
  </property>
  <property fmtid="{D5CDD505-2E9C-101B-9397-08002B2CF9AE}" pid="49" name="PM_SecurityClassification_Prev">
    <vt:lpwstr>OFFICIAL:Sensitive</vt:lpwstr>
  </property>
  <property fmtid="{D5CDD505-2E9C-101B-9397-08002B2CF9AE}" pid="50" name="PM_Qualifier_Prev">
    <vt:lpwstr/>
  </property>
  <property fmtid="{D5CDD505-2E9C-101B-9397-08002B2CF9AE}" pid="51" name="MSIP_Label_776fd841-2b46-4354-8f68-21295791a12f_ContentBits">
    <vt:lpwstr>0</vt:lpwstr>
  </property>
  <property fmtid="{D5CDD505-2E9C-101B-9397-08002B2CF9AE}" pid="52" name="MSIP_Label_776fd841-2b46-4354-8f68-21295791a12f_Enabled">
    <vt:lpwstr>true</vt:lpwstr>
  </property>
  <property fmtid="{D5CDD505-2E9C-101B-9397-08002B2CF9AE}" pid="53" name="MSIP_Label_776fd841-2b46-4354-8f68-21295791a12f_Name">
    <vt:lpwstr>OFFICIAL</vt:lpwstr>
  </property>
  <property fmtid="{D5CDD505-2E9C-101B-9397-08002B2CF9AE}" pid="54" name="MSIP_Label_776fd841-2b46-4354-8f68-21295791a12f_SiteId">
    <vt:lpwstr>08954cee-4782-4ff6-9ad5-1997dccef4b0</vt:lpwstr>
  </property>
  <property fmtid="{D5CDD505-2E9C-101B-9397-08002B2CF9AE}" pid="55" name="MSIP_Label_776fd841-2b46-4354-8f68-21295791a12f_SetDate">
    <vt:lpwstr>2023-05-10T01:38:48Z</vt:lpwstr>
  </property>
  <property fmtid="{D5CDD505-2E9C-101B-9397-08002B2CF9AE}" pid="56" name="MSIP_Label_776fd841-2b46-4354-8f68-21295791a12f_Method">
    <vt:lpwstr>Privileged</vt:lpwstr>
  </property>
  <property fmtid="{D5CDD505-2E9C-101B-9397-08002B2CF9AE}" pid="57" name="_dlc_DocIdItemGuid">
    <vt:lpwstr>19c9532b-bf04-4c3c-86cb-da9b1c21be29</vt:lpwstr>
  </property>
  <property fmtid="{D5CDD505-2E9C-101B-9397-08002B2CF9AE}" pid="58" name="ContentTypeId">
    <vt:lpwstr>0x010100266966F133664895A6EE3632470D45F500EDC8B50DB60D874B82149CD2C5C068F5</vt:lpwstr>
  </property>
  <property fmtid="{D5CDD505-2E9C-101B-9397-08002B2CF9AE}" pid="59" name="PMHMAC">
    <vt:lpwstr>v=2022.1;a=SHA256;h=8D6F208FC1C7750DF404A6738F390BE1C11650A64AABF5467279A53C021353B1</vt:lpwstr>
  </property>
  <property fmtid="{D5CDD505-2E9C-101B-9397-08002B2CF9AE}" pid="60" name="PM_OriginatorUserAccountName_SHA256">
    <vt:lpwstr>57076E710785A23D8D3931E3F949B73D3BFDB92C5F3154646DBA4A7A36341549</vt:lpwstr>
  </property>
  <property fmtid="{D5CDD505-2E9C-101B-9397-08002B2CF9AE}" pid="61" name="PM_Originator_Hash_SHA1">
    <vt:lpwstr>0DA23DBC4E865F10B660F7EB784ABD787D32A8AC</vt:lpwstr>
  </property>
  <property fmtid="{D5CDD505-2E9C-101B-9397-08002B2CF9AE}" pid="62" name="PM_Hash_Salt_Prev">
    <vt:lpwstr>4BFC70F27D48DB8FAC2967B0C1759259</vt:lpwstr>
  </property>
  <property fmtid="{D5CDD505-2E9C-101B-9397-08002B2CF9AE}" pid="63" name="PM_Hash_Salt">
    <vt:lpwstr>95C0D3A5EF227128DE6231DB991BBBCB</vt:lpwstr>
  </property>
  <property fmtid="{D5CDD505-2E9C-101B-9397-08002B2CF9AE}" pid="64" name="PM_Hash_SHA1">
    <vt:lpwstr>978D396E7BACE8678AC1F65622DE156AF600B66A</vt:lpwstr>
  </property>
  <property fmtid="{D5CDD505-2E9C-101B-9397-08002B2CF9AE}" pid="65" name="MSIP_Label_776fd841-2b46-4354-8f68-21295791a12f_ActionId">
    <vt:lpwstr>4b84f24fafac4ce29e0ec9c2f3e91f9b</vt:lpwstr>
  </property>
</Properties>
</file>