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3829" w14:textId="77777777" w:rsidR="00173B7D" w:rsidRDefault="00B650CE">
      <w:pPr>
        <w:spacing w:before="10" w:after="867"/>
        <w:ind w:left="8333" w:right="190"/>
        <w:textAlignment w:val="baseline"/>
      </w:pPr>
      <w:r>
        <w:rPr>
          <w:noProof/>
        </w:rPr>
        <w:drawing>
          <wp:inline distT="0" distB="0" distL="0" distR="0" wp14:anchorId="6F99DAC6" wp14:editId="1F6A6EBA">
            <wp:extent cx="1185545" cy="472440"/>
            <wp:effectExtent l="0" t="0" r="0" b="0"/>
            <wp:docPr id="1" name="Picture" descr="Clean Energy Finance Corporation logo in dark g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lean Energy Finance Corporation logo in dark green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729B" w14:textId="77777777" w:rsidR="00173B7D" w:rsidRDefault="00B650CE">
      <w:pPr>
        <w:spacing w:before="6" w:line="238" w:lineRule="exact"/>
        <w:ind w:left="576"/>
        <w:textAlignment w:val="baseline"/>
        <w:rPr>
          <w:rFonts w:ascii="Century Gothic" w:eastAsia="Century Gothic" w:hAnsi="Century Gothic"/>
          <w:color w:val="000000"/>
          <w:spacing w:val="-2"/>
          <w:sz w:val="20"/>
        </w:rPr>
      </w:pPr>
      <w:r>
        <w:rPr>
          <w:rFonts w:ascii="Century Gothic" w:eastAsia="Century Gothic" w:hAnsi="Century Gothic"/>
          <w:color w:val="000000"/>
          <w:spacing w:val="-2"/>
          <w:sz w:val="20"/>
        </w:rPr>
        <w:t>17 July 2023</w:t>
      </w:r>
    </w:p>
    <w:p w14:paraId="771E8BDB" w14:textId="77777777" w:rsidR="00173B7D" w:rsidRDefault="00B650CE">
      <w:pPr>
        <w:spacing w:before="305" w:line="238" w:lineRule="exact"/>
        <w:ind w:left="576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>The Hon Chris Bowen MP</w:t>
      </w:r>
    </w:p>
    <w:p w14:paraId="69E851CF" w14:textId="77777777" w:rsidR="00173B7D" w:rsidRDefault="00B650CE">
      <w:pPr>
        <w:spacing w:before="54" w:line="238" w:lineRule="exact"/>
        <w:ind w:left="576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>Minister for Climate Change and Energy</w:t>
      </w:r>
    </w:p>
    <w:p w14:paraId="109758C7" w14:textId="77777777" w:rsidR="00173B7D" w:rsidRDefault="00B650CE">
      <w:pPr>
        <w:spacing w:before="298" w:line="293" w:lineRule="exact"/>
        <w:ind w:left="576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 xml:space="preserve">Senator the Hon Katy Gallagher </w:t>
      </w:r>
      <w:r>
        <w:rPr>
          <w:rFonts w:ascii="Century Gothic" w:eastAsia="Century Gothic" w:hAnsi="Century Gothic"/>
          <w:color w:val="000000"/>
          <w:sz w:val="20"/>
        </w:rPr>
        <w:br/>
        <w:t>Minister for Finance</w:t>
      </w:r>
    </w:p>
    <w:p w14:paraId="19359752" w14:textId="77777777" w:rsidR="00173B7D" w:rsidRDefault="00B650CE">
      <w:pPr>
        <w:spacing w:before="297" w:line="293" w:lineRule="exact"/>
        <w:ind w:left="576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 xml:space="preserve">Parliament House </w:t>
      </w:r>
      <w:r>
        <w:rPr>
          <w:rFonts w:ascii="Century Gothic" w:eastAsia="Century Gothic" w:hAnsi="Century Gothic"/>
          <w:color w:val="000000"/>
          <w:sz w:val="20"/>
        </w:rPr>
        <w:br/>
        <w:t xml:space="preserve">Canberra ACT 2600 </w:t>
      </w:r>
      <w:r>
        <w:rPr>
          <w:rFonts w:ascii="Century Gothic" w:eastAsia="Century Gothic" w:hAnsi="Century Gothic"/>
          <w:color w:val="000000"/>
          <w:sz w:val="20"/>
        </w:rPr>
        <w:br/>
        <w:t>Australia</w:t>
      </w:r>
    </w:p>
    <w:p w14:paraId="37FAF424" w14:textId="77777777" w:rsidR="00173B7D" w:rsidRDefault="00B650CE">
      <w:pPr>
        <w:spacing w:before="549" w:line="238" w:lineRule="exact"/>
        <w:ind w:left="576"/>
        <w:textAlignment w:val="baseline"/>
        <w:rPr>
          <w:rFonts w:ascii="Century Gothic" w:eastAsia="Century Gothic" w:hAnsi="Century Gothic"/>
          <w:color w:val="000000"/>
          <w:spacing w:val="-1"/>
          <w:sz w:val="20"/>
        </w:rPr>
      </w:pPr>
      <w:r>
        <w:rPr>
          <w:rFonts w:ascii="Century Gothic" w:eastAsia="Century Gothic" w:hAnsi="Century Gothic"/>
          <w:color w:val="000000"/>
          <w:spacing w:val="-1"/>
          <w:sz w:val="20"/>
        </w:rPr>
        <w:t>Dear Ministers,</w:t>
      </w:r>
    </w:p>
    <w:p w14:paraId="3174CA44" w14:textId="77777777" w:rsidR="00173B7D" w:rsidRDefault="00B650CE">
      <w:pPr>
        <w:spacing w:before="269" w:line="288" w:lineRule="exact"/>
        <w:ind w:left="576" w:right="2520"/>
        <w:textAlignment w:val="baseline"/>
        <w:rPr>
          <w:rFonts w:ascii="Century Gothic" w:eastAsia="Century Gothic" w:hAnsi="Century Gothic"/>
          <w:b/>
          <w:color w:val="000000"/>
          <w:sz w:val="20"/>
        </w:rPr>
      </w:pPr>
      <w:r>
        <w:rPr>
          <w:rFonts w:ascii="Century Gothic" w:eastAsia="Century Gothic" w:hAnsi="Century Gothic"/>
          <w:b/>
          <w:color w:val="000000"/>
          <w:sz w:val="20"/>
        </w:rPr>
        <w:t xml:space="preserve">Issue of consultation draft direction under section 66, </w:t>
      </w:r>
      <w:r>
        <w:rPr>
          <w:rFonts w:ascii="Century Gothic" w:eastAsia="Century Gothic" w:hAnsi="Century Gothic"/>
          <w:b/>
          <w:i/>
          <w:color w:val="000000"/>
          <w:sz w:val="20"/>
        </w:rPr>
        <w:t>Clean Energy Finance Corporation Act 2012</w:t>
      </w:r>
    </w:p>
    <w:p w14:paraId="68806D97" w14:textId="77777777" w:rsidR="00173B7D" w:rsidRDefault="00B650CE">
      <w:pPr>
        <w:spacing w:before="252" w:line="244" w:lineRule="exact"/>
        <w:ind w:left="576" w:right="792"/>
        <w:jc w:val="both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>I write with reference to your correspondence that the Clean Energy Finance Corporation (CEFC) received on 3 July 2023, enclosing a consultation draft directi</w:t>
      </w:r>
      <w:r>
        <w:rPr>
          <w:rFonts w:ascii="Century Gothic" w:eastAsia="Century Gothic" w:hAnsi="Century Gothic"/>
          <w:color w:val="000000"/>
          <w:sz w:val="20"/>
        </w:rPr>
        <w:t xml:space="preserve">on (Investment Mandate) for consideration of the CEFC Board, as required under section 66 of the </w:t>
      </w:r>
      <w:r>
        <w:rPr>
          <w:rFonts w:ascii="Century Gothic" w:eastAsia="Century Gothic" w:hAnsi="Century Gothic"/>
          <w:i/>
          <w:color w:val="000000"/>
          <w:sz w:val="20"/>
        </w:rPr>
        <w:t xml:space="preserve">Clean Energy Finance Corporation Act 2012 </w:t>
      </w:r>
      <w:r>
        <w:rPr>
          <w:rFonts w:ascii="Century Gothic" w:eastAsia="Century Gothic" w:hAnsi="Century Gothic"/>
          <w:color w:val="000000"/>
          <w:sz w:val="20"/>
        </w:rPr>
        <w:t>(the CEFC Act)</w:t>
      </w:r>
      <w:r>
        <w:rPr>
          <w:rFonts w:ascii="Century Gothic" w:eastAsia="Century Gothic" w:hAnsi="Century Gothic"/>
          <w:i/>
          <w:color w:val="000000"/>
          <w:sz w:val="20"/>
        </w:rPr>
        <w:t>.</w:t>
      </w:r>
    </w:p>
    <w:p w14:paraId="21F9205C" w14:textId="77777777" w:rsidR="00173B7D" w:rsidRDefault="00B650CE">
      <w:pPr>
        <w:spacing w:before="245" w:line="245" w:lineRule="exact"/>
        <w:ind w:left="576" w:right="792"/>
        <w:jc w:val="both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>The Board has asked that I respond on its behalf. This formal response is provided as a submission pursuant to section 66 of the CEFC Act.</w:t>
      </w:r>
    </w:p>
    <w:p w14:paraId="6D5B2F7A" w14:textId="77777777" w:rsidR="00173B7D" w:rsidRDefault="00B650CE">
      <w:pPr>
        <w:spacing w:before="245" w:line="246" w:lineRule="exact"/>
        <w:ind w:left="576" w:right="792"/>
        <w:jc w:val="both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 xml:space="preserve">The Board has reviewed and accepts the substance of the directions set out in the Investment Mandate, including in respect of the Rewiring the Nation Fund, the Powering Australia Technology </w:t>
      </w:r>
      <w:proofErr w:type="gramStart"/>
      <w:r>
        <w:rPr>
          <w:rFonts w:ascii="Century Gothic" w:eastAsia="Century Gothic" w:hAnsi="Century Gothic"/>
          <w:color w:val="000000"/>
          <w:sz w:val="20"/>
        </w:rPr>
        <w:t>Fund</w:t>
      </w:r>
      <w:proofErr w:type="gramEnd"/>
      <w:r>
        <w:rPr>
          <w:rFonts w:ascii="Century Gothic" w:eastAsia="Century Gothic" w:hAnsi="Century Gothic"/>
          <w:color w:val="000000"/>
          <w:sz w:val="20"/>
        </w:rPr>
        <w:t xml:space="preserve"> and the Household Energy Upgrades Fund, and acknowledges that</w:t>
      </w:r>
      <w:r>
        <w:rPr>
          <w:rFonts w:ascii="Century Gothic" w:eastAsia="Century Gothic" w:hAnsi="Century Gothic"/>
          <w:color w:val="000000"/>
          <w:sz w:val="20"/>
        </w:rPr>
        <w:t xml:space="preserve"> it aligns the CEFC’s investment focus with the Australian Government’s priorities.</w:t>
      </w:r>
    </w:p>
    <w:p w14:paraId="5E395527" w14:textId="77777777" w:rsidR="00173B7D" w:rsidRDefault="00B650CE">
      <w:pPr>
        <w:spacing w:before="244" w:line="245" w:lineRule="exact"/>
        <w:ind w:left="576" w:right="792"/>
        <w:jc w:val="both"/>
        <w:textAlignment w:val="baseline"/>
        <w:rPr>
          <w:rFonts w:ascii="Century Gothic" w:eastAsia="Century Gothic" w:hAnsi="Century Gothic"/>
          <w:color w:val="000000"/>
          <w:sz w:val="20"/>
        </w:rPr>
      </w:pPr>
      <w:r>
        <w:rPr>
          <w:rFonts w:ascii="Century Gothic" w:eastAsia="Century Gothic" w:hAnsi="Century Gothic"/>
          <w:color w:val="000000"/>
          <w:sz w:val="20"/>
        </w:rPr>
        <w:t>When the Investment Mandate is given under section 64 of the CEFC Act, the Board will take all reasonable steps to ensure that the CEFC complies.</w:t>
      </w:r>
    </w:p>
    <w:p w14:paraId="5884A07E" w14:textId="77777777" w:rsidR="00173B7D" w:rsidRDefault="00B650CE">
      <w:pPr>
        <w:spacing w:before="492" w:after="285" w:line="238" w:lineRule="exact"/>
        <w:ind w:left="576"/>
        <w:textAlignment w:val="baseline"/>
        <w:rPr>
          <w:rFonts w:ascii="Century Gothic" w:eastAsia="Century Gothic" w:hAnsi="Century Gothic"/>
          <w:color w:val="000000"/>
          <w:spacing w:val="-1"/>
          <w:sz w:val="20"/>
        </w:rPr>
      </w:pPr>
      <w:r>
        <w:rPr>
          <w:rFonts w:ascii="Century Gothic" w:eastAsia="Century Gothic" w:hAnsi="Century Gothic"/>
          <w:color w:val="000000"/>
          <w:spacing w:val="-1"/>
          <w:sz w:val="20"/>
        </w:rPr>
        <w:t>Yours sincerely,</w:t>
      </w:r>
    </w:p>
    <w:p w14:paraId="730DEE1E" w14:textId="77777777" w:rsidR="00173B7D" w:rsidRDefault="00B650CE">
      <w:pPr>
        <w:spacing w:after="440"/>
        <w:ind w:left="705" w:right="7750"/>
        <w:textAlignment w:val="baseline"/>
      </w:pPr>
      <w:r>
        <w:rPr>
          <w:noProof/>
        </w:rPr>
        <w:drawing>
          <wp:inline distT="0" distB="0" distL="0" distR="0" wp14:anchorId="2A209860" wp14:editId="635A1896">
            <wp:extent cx="1228725" cy="390525"/>
            <wp:effectExtent l="0" t="0" r="0" b="0"/>
            <wp:docPr id="2" name="Picture" descr="Signature of Steven Skala 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Signature of Steven Skala AO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E7C3" w14:textId="77777777" w:rsidR="00173B7D" w:rsidRDefault="00B650CE">
      <w:pPr>
        <w:spacing w:line="277" w:lineRule="exact"/>
        <w:ind w:left="576"/>
        <w:textAlignment w:val="baseline"/>
        <w:rPr>
          <w:rFonts w:ascii="Century Gothic" w:eastAsia="Century Gothic" w:hAnsi="Century Gothic"/>
          <w:b/>
          <w:color w:val="000000"/>
          <w:sz w:val="20"/>
        </w:rPr>
      </w:pPr>
      <w:r>
        <w:rPr>
          <w:rFonts w:ascii="Century Gothic" w:eastAsia="Century Gothic" w:hAnsi="Century Gothic"/>
          <w:b/>
          <w:color w:val="000000"/>
          <w:sz w:val="20"/>
        </w:rPr>
        <w:t xml:space="preserve">Steven </w:t>
      </w:r>
      <w:r>
        <w:rPr>
          <w:rFonts w:ascii="Century Gothic" w:eastAsia="Century Gothic" w:hAnsi="Century Gothic"/>
          <w:b/>
          <w:color w:val="000000"/>
          <w:sz w:val="20"/>
        </w:rPr>
        <w:t xml:space="preserve">Skala AO </w:t>
      </w:r>
      <w:r>
        <w:rPr>
          <w:rFonts w:ascii="Century Gothic" w:eastAsia="Century Gothic" w:hAnsi="Century Gothic"/>
          <w:b/>
          <w:color w:val="000000"/>
          <w:sz w:val="20"/>
        </w:rPr>
        <w:br/>
      </w:r>
      <w:r>
        <w:rPr>
          <w:rFonts w:ascii="Century Gothic" w:eastAsia="Century Gothic" w:hAnsi="Century Gothic"/>
          <w:color w:val="000000"/>
          <w:sz w:val="20"/>
        </w:rPr>
        <w:t>Chair</w:t>
      </w:r>
    </w:p>
    <w:p w14:paraId="37EC0F37" w14:textId="77777777" w:rsidR="00173B7D" w:rsidRDefault="00B650CE">
      <w:pPr>
        <w:tabs>
          <w:tab w:val="left" w:pos="3456"/>
          <w:tab w:val="left" w:pos="5688"/>
          <w:tab w:val="left" w:pos="8280"/>
          <w:tab w:val="right" w:pos="10368"/>
        </w:tabs>
        <w:spacing w:before="1824" w:line="196" w:lineRule="exact"/>
        <w:textAlignment w:val="baseline"/>
        <w:rPr>
          <w:rFonts w:ascii="Century Gothic" w:eastAsia="Century Gothic" w:hAnsi="Century Gothic"/>
          <w:b/>
          <w:color w:val="00C652"/>
          <w:sz w:val="16"/>
        </w:rPr>
      </w:pPr>
      <w:r>
        <w:rPr>
          <w:rFonts w:ascii="Century Gothic" w:eastAsia="Century Gothic" w:hAnsi="Century Gothic"/>
          <w:b/>
          <w:color w:val="00C652"/>
          <w:sz w:val="16"/>
        </w:rPr>
        <w:t>Clean Energy Finance Corporation</w:t>
      </w:r>
      <w:r>
        <w:rPr>
          <w:rFonts w:ascii="Century Gothic" w:eastAsia="Century Gothic" w:hAnsi="Century Gothic"/>
          <w:color w:val="014746"/>
          <w:sz w:val="16"/>
        </w:rPr>
        <w:tab/>
        <w:t>1300 002 332</w:t>
      </w:r>
      <w:r>
        <w:rPr>
          <w:rFonts w:ascii="Century Gothic" w:eastAsia="Century Gothic" w:hAnsi="Century Gothic"/>
          <w:color w:val="014746"/>
          <w:sz w:val="16"/>
        </w:rPr>
        <w:tab/>
        <w:t>Suite 1702, 1 Bligh Street</w:t>
      </w:r>
      <w:r>
        <w:rPr>
          <w:rFonts w:ascii="Century Gothic" w:eastAsia="Century Gothic" w:hAnsi="Century Gothic"/>
          <w:color w:val="014746"/>
          <w:sz w:val="16"/>
        </w:rPr>
        <w:tab/>
      </w:r>
      <w:hyperlink r:id="rId8">
        <w:r>
          <w:rPr>
            <w:rFonts w:ascii="Century Gothic" w:eastAsia="Century Gothic" w:hAnsi="Century Gothic"/>
            <w:b/>
            <w:color w:val="0000FF"/>
            <w:sz w:val="16"/>
            <w:u w:val="single"/>
          </w:rPr>
          <w:t>cefc.com.au</w:t>
        </w:r>
      </w:hyperlink>
      <w:r>
        <w:rPr>
          <w:rFonts w:ascii="Century Gothic" w:eastAsia="Century Gothic" w:hAnsi="Century Gothic"/>
          <w:b/>
          <w:color w:val="00C652"/>
          <w:sz w:val="16"/>
        </w:rPr>
        <w:tab/>
      </w:r>
      <w:r>
        <w:rPr>
          <w:rFonts w:ascii="Century Gothic" w:eastAsia="Century Gothic" w:hAnsi="Century Gothic"/>
          <w:color w:val="00C652"/>
          <w:sz w:val="16"/>
        </w:rPr>
        <w:t>1</w:t>
      </w:r>
    </w:p>
    <w:p w14:paraId="76106FB1" w14:textId="77777777" w:rsidR="00173B7D" w:rsidRDefault="00B650CE">
      <w:pPr>
        <w:tabs>
          <w:tab w:val="left" w:pos="5688"/>
          <w:tab w:val="left" w:pos="8280"/>
        </w:tabs>
        <w:spacing w:line="196" w:lineRule="exact"/>
        <w:ind w:left="3384"/>
        <w:textAlignment w:val="baseline"/>
        <w:rPr>
          <w:rFonts w:ascii="Century Gothic" w:eastAsia="Century Gothic" w:hAnsi="Century Gothic"/>
          <w:color w:val="014746"/>
          <w:sz w:val="16"/>
        </w:rPr>
      </w:pPr>
      <w:hyperlink r:id="rId9">
        <w:r>
          <w:rPr>
            <w:rFonts w:ascii="Century Gothic" w:eastAsia="Century Gothic" w:hAnsi="Century Gothic"/>
            <w:color w:val="0000FF"/>
            <w:sz w:val="16"/>
            <w:u w:val="single"/>
          </w:rPr>
          <w:t>info@cefc.com.au</w:t>
        </w:r>
      </w:hyperlink>
      <w:r>
        <w:rPr>
          <w:rFonts w:ascii="Century Gothic" w:eastAsia="Century Gothic" w:hAnsi="Century Gothic"/>
          <w:color w:val="014746"/>
          <w:sz w:val="16"/>
        </w:rPr>
        <w:tab/>
        <w:t>Sydney NSW 2000</w:t>
      </w:r>
      <w:r>
        <w:rPr>
          <w:rFonts w:ascii="Century Gothic" w:eastAsia="Century Gothic" w:hAnsi="Century Gothic"/>
          <w:color w:val="014746"/>
          <w:sz w:val="16"/>
        </w:rPr>
        <w:tab/>
      </w:r>
      <w:r>
        <w:rPr>
          <w:rFonts w:ascii="Century Gothic" w:eastAsia="Century Gothic" w:hAnsi="Century Gothic"/>
          <w:color w:val="014746"/>
          <w:sz w:val="12"/>
        </w:rPr>
        <w:t>ABN: 43 669 904 352</w:t>
      </w:r>
    </w:p>
    <w:sectPr w:rsidR="00173B7D">
      <w:pgSz w:w="11909" w:h="16838"/>
      <w:pgMar w:top="820" w:right="650" w:bottom="422" w:left="8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B7AF" w14:textId="77777777" w:rsidR="00000000" w:rsidRDefault="00B650CE">
      <w:r>
        <w:separator/>
      </w:r>
    </w:p>
  </w:endnote>
  <w:endnote w:type="continuationSeparator" w:id="0">
    <w:p w14:paraId="24D8EDCA" w14:textId="77777777" w:rsidR="00000000" w:rsidRDefault="00B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ury 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5F0D" w14:textId="77777777" w:rsidR="00173B7D" w:rsidRDefault="00173B7D"/>
  </w:footnote>
  <w:footnote w:type="continuationSeparator" w:id="0">
    <w:p w14:paraId="14E5000B" w14:textId="77777777" w:rsidR="00173B7D" w:rsidRDefault="00B6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7D"/>
    <w:rsid w:val="00173B7D"/>
    <w:rsid w:val="007463E4"/>
    <w:rsid w:val="00B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8607"/>
  <w15:docId w15:val="{92DF74A8-7B4E-4F4E-A65C-127779D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fc.com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cef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Department of Agriculture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Sylvester</dc:creator>
  <cp:lastModifiedBy>Wilson, Eliza</cp:lastModifiedBy>
  <cp:revision>3</cp:revision>
  <dcterms:created xsi:type="dcterms:W3CDTF">2023-07-20T23:38:00Z</dcterms:created>
  <dcterms:modified xsi:type="dcterms:W3CDTF">2023-07-20T23:38:00Z</dcterms:modified>
</cp:coreProperties>
</file>