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2B2EA" w14:textId="77777777" w:rsidR="0048364F" w:rsidRPr="006A4403" w:rsidRDefault="00193461" w:rsidP="0020300C">
      <w:pPr>
        <w:rPr>
          <w:sz w:val="28"/>
        </w:rPr>
      </w:pPr>
      <w:r w:rsidRPr="006A4403">
        <w:rPr>
          <w:noProof/>
          <w:lang w:eastAsia="en-AU"/>
        </w:rPr>
        <w:drawing>
          <wp:inline distT="0" distB="0" distL="0" distR="0" wp14:anchorId="09F34875" wp14:editId="552F698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5066F88" w14:textId="77777777" w:rsidR="0048364F" w:rsidRPr="006A4403" w:rsidRDefault="0048364F" w:rsidP="0048364F">
      <w:pPr>
        <w:rPr>
          <w:sz w:val="19"/>
        </w:rPr>
      </w:pPr>
    </w:p>
    <w:p w14:paraId="72F19AE8" w14:textId="77777777" w:rsidR="0048364F" w:rsidRPr="006A4403" w:rsidRDefault="0019071B" w:rsidP="0048364F">
      <w:pPr>
        <w:pStyle w:val="ShortT"/>
      </w:pPr>
      <w:r w:rsidRPr="006A4403">
        <w:t>Competition and Consumer (Consumer Data Right) Amendment Rules</w:t>
      </w:r>
      <w:r w:rsidR="007C734D" w:rsidRPr="006A4403">
        <w:t> </w:t>
      </w:r>
      <w:r w:rsidRPr="006A4403">
        <w:t xml:space="preserve">(No. </w:t>
      </w:r>
      <w:r w:rsidR="00421412" w:rsidRPr="006A4403">
        <w:t>1</w:t>
      </w:r>
      <w:r w:rsidRPr="006A4403">
        <w:t>)</w:t>
      </w:r>
      <w:r w:rsidR="008912C8" w:rsidRPr="006A4403">
        <w:t xml:space="preserve"> 2023</w:t>
      </w:r>
    </w:p>
    <w:p w14:paraId="39D0A2B4" w14:textId="77777777" w:rsidR="008912C8" w:rsidRPr="006A4403" w:rsidRDefault="008912C8" w:rsidP="008912C8">
      <w:pPr>
        <w:pStyle w:val="SignCoverPageStart"/>
        <w:spacing w:before="240"/>
        <w:ind w:right="91"/>
        <w:rPr>
          <w:szCs w:val="22"/>
        </w:rPr>
      </w:pPr>
      <w:r w:rsidRPr="006A4403">
        <w:rPr>
          <w:szCs w:val="22"/>
        </w:rPr>
        <w:t xml:space="preserve"> I, Stephen Jones, Assistant Treasurer and Minister for Financial Services</w:t>
      </w:r>
      <w:r w:rsidRPr="006A4403">
        <w:t>, make the following rules.</w:t>
      </w:r>
    </w:p>
    <w:p w14:paraId="13FEA6F0" w14:textId="379D9609" w:rsidR="00017724" w:rsidRPr="006A4403" w:rsidRDefault="00017724" w:rsidP="00742731">
      <w:pPr>
        <w:keepNext/>
        <w:spacing w:before="720" w:line="240" w:lineRule="atLeast"/>
        <w:ind w:right="397"/>
        <w:jc w:val="both"/>
        <w:rPr>
          <w:szCs w:val="22"/>
        </w:rPr>
      </w:pPr>
      <w:r w:rsidRPr="006A4403">
        <w:rPr>
          <w:szCs w:val="22"/>
        </w:rPr>
        <w:t>Dated</w:t>
      </w:r>
      <w:r w:rsidR="000468DC">
        <w:rPr>
          <w:szCs w:val="22"/>
        </w:rPr>
        <w:t xml:space="preserve"> 11 July 2023</w:t>
      </w:r>
    </w:p>
    <w:p w14:paraId="2B570CF8" w14:textId="77777777" w:rsidR="008912C8" w:rsidRPr="006A4403" w:rsidRDefault="008912C8" w:rsidP="008912C8">
      <w:pPr>
        <w:keepNext/>
        <w:tabs>
          <w:tab w:val="left" w:pos="5250"/>
        </w:tabs>
        <w:spacing w:before="1440" w:line="300" w:lineRule="atLeast"/>
        <w:ind w:right="397"/>
      </w:pPr>
      <w:r w:rsidRPr="006A4403">
        <w:t>Stephen Jones</w:t>
      </w:r>
      <w:r w:rsidRPr="006A4403">
        <w:tab/>
      </w:r>
    </w:p>
    <w:p w14:paraId="45996062" w14:textId="77777777" w:rsidR="005D7258" w:rsidRPr="006A4403" w:rsidRDefault="008912C8" w:rsidP="008912C8">
      <w:pPr>
        <w:pStyle w:val="SignCoverPageEnd"/>
        <w:ind w:right="91"/>
        <w:rPr>
          <w:szCs w:val="22"/>
        </w:rPr>
      </w:pPr>
      <w:r w:rsidRPr="006A4403">
        <w:rPr>
          <w:szCs w:val="22"/>
        </w:rPr>
        <w:t>Assistant Treasurer and Minister for Financial Services</w:t>
      </w:r>
    </w:p>
    <w:p w14:paraId="281364B9" w14:textId="77777777" w:rsidR="005D7258" w:rsidRPr="006A4403" w:rsidRDefault="005D7258" w:rsidP="005D7258">
      <w:pPr>
        <w:rPr>
          <w:lang w:eastAsia="en-AU"/>
        </w:rPr>
      </w:pPr>
    </w:p>
    <w:p w14:paraId="0B0BCDE0" w14:textId="77777777" w:rsidR="005D7258" w:rsidRPr="006A4403" w:rsidRDefault="005D7258" w:rsidP="005D7258">
      <w:pPr>
        <w:rPr>
          <w:lang w:eastAsia="en-AU"/>
        </w:rPr>
      </w:pPr>
    </w:p>
    <w:p w14:paraId="5EE5B47C" w14:textId="77777777" w:rsidR="005D7258" w:rsidRPr="006A4403" w:rsidRDefault="005D7258" w:rsidP="005D7258">
      <w:pPr>
        <w:rPr>
          <w:lang w:eastAsia="en-AU"/>
        </w:rPr>
      </w:pPr>
    </w:p>
    <w:p w14:paraId="2D49D609" w14:textId="77777777" w:rsidR="005D7258" w:rsidRPr="006A4403" w:rsidRDefault="005D7258" w:rsidP="005D7258">
      <w:pPr>
        <w:rPr>
          <w:lang w:eastAsia="en-AU"/>
        </w:rPr>
      </w:pPr>
    </w:p>
    <w:p w14:paraId="04A4DAB5" w14:textId="77777777" w:rsidR="005D7258" w:rsidRPr="006A4403" w:rsidRDefault="005D7258" w:rsidP="005D7258">
      <w:pPr>
        <w:rPr>
          <w:lang w:eastAsia="en-AU"/>
        </w:rPr>
      </w:pPr>
    </w:p>
    <w:p w14:paraId="43671783" w14:textId="77777777" w:rsidR="005D7258" w:rsidRPr="006A4403" w:rsidRDefault="005D7258" w:rsidP="005D7258">
      <w:pPr>
        <w:rPr>
          <w:lang w:eastAsia="en-AU"/>
        </w:rPr>
      </w:pPr>
    </w:p>
    <w:p w14:paraId="64FDDA8C" w14:textId="77777777" w:rsidR="005D7258" w:rsidRPr="006A4403" w:rsidRDefault="005D7258" w:rsidP="005D7258">
      <w:pPr>
        <w:tabs>
          <w:tab w:val="left" w:pos="2889"/>
        </w:tabs>
        <w:rPr>
          <w:lang w:eastAsia="en-AU"/>
        </w:rPr>
      </w:pPr>
      <w:r w:rsidRPr="006A4403">
        <w:rPr>
          <w:lang w:eastAsia="en-AU"/>
        </w:rPr>
        <w:tab/>
      </w:r>
    </w:p>
    <w:p w14:paraId="79B62484" w14:textId="77777777" w:rsidR="008912C8" w:rsidRPr="006A4403" w:rsidRDefault="005D7258" w:rsidP="005D7258">
      <w:pPr>
        <w:tabs>
          <w:tab w:val="left" w:pos="2889"/>
        </w:tabs>
        <w:rPr>
          <w:lang w:eastAsia="en-AU"/>
        </w:rPr>
        <w:sectPr w:rsidR="008912C8" w:rsidRPr="006A4403" w:rsidSect="00284C69">
          <w:headerReference w:type="even" r:id="rId12"/>
          <w:headerReference w:type="default" r:id="rId13"/>
          <w:footerReference w:type="even" r:id="rId14"/>
          <w:footerReference w:type="default" r:id="rId15"/>
          <w:headerReference w:type="first" r:id="rId16"/>
          <w:pgSz w:w="11907" w:h="16839"/>
          <w:pgMar w:top="1440" w:right="1797" w:bottom="1440" w:left="1797" w:header="720" w:footer="709" w:gutter="0"/>
          <w:cols w:space="708"/>
          <w:titlePg/>
          <w:docGrid w:linePitch="360"/>
        </w:sectPr>
      </w:pPr>
      <w:r w:rsidRPr="006A4403">
        <w:rPr>
          <w:lang w:eastAsia="en-AU"/>
        </w:rPr>
        <w:tab/>
      </w:r>
    </w:p>
    <w:p w14:paraId="5BA3DF3A" w14:textId="77777777" w:rsidR="00220A0C" w:rsidRPr="006A4403" w:rsidRDefault="0048364F" w:rsidP="0048364F">
      <w:pPr>
        <w:outlineLvl w:val="0"/>
        <w:rPr>
          <w:sz w:val="36"/>
        </w:rPr>
      </w:pPr>
      <w:r w:rsidRPr="006A4403">
        <w:rPr>
          <w:sz w:val="36"/>
        </w:rPr>
        <w:lastRenderedPageBreak/>
        <w:t>Contents</w:t>
      </w:r>
    </w:p>
    <w:p w14:paraId="38B796E7" w14:textId="77777777" w:rsidR="00FA5950" w:rsidRPr="006A4403" w:rsidRDefault="00FA5950">
      <w:pPr>
        <w:pStyle w:val="TOC5"/>
        <w:rPr>
          <w:rFonts w:asciiTheme="minorHAnsi" w:eastAsiaTheme="minorEastAsia" w:hAnsiTheme="minorHAnsi" w:cstheme="minorBidi"/>
          <w:noProof/>
          <w:kern w:val="0"/>
          <w:sz w:val="22"/>
          <w:szCs w:val="22"/>
        </w:rPr>
      </w:pPr>
      <w:r w:rsidRPr="006A4403">
        <w:rPr>
          <w:noProof/>
        </w:rPr>
        <w:t>1  Name</w:t>
      </w:r>
      <w:r w:rsidRPr="006A4403">
        <w:rPr>
          <w:noProof/>
        </w:rPr>
        <w:tab/>
      </w:r>
      <w:r w:rsidR="00A07ED8" w:rsidRPr="006A4403">
        <w:rPr>
          <w:noProof/>
        </w:rPr>
        <w:t>1</w:t>
      </w:r>
    </w:p>
    <w:p w14:paraId="7624E5CB" w14:textId="77777777" w:rsidR="00FA5950" w:rsidRPr="006A4403" w:rsidRDefault="00FA5950">
      <w:pPr>
        <w:pStyle w:val="TOC5"/>
        <w:rPr>
          <w:rFonts w:asciiTheme="minorHAnsi" w:eastAsiaTheme="minorEastAsia" w:hAnsiTheme="minorHAnsi" w:cstheme="minorBidi"/>
          <w:noProof/>
          <w:kern w:val="0"/>
          <w:sz w:val="22"/>
          <w:szCs w:val="22"/>
        </w:rPr>
      </w:pPr>
      <w:r w:rsidRPr="006A4403">
        <w:rPr>
          <w:noProof/>
        </w:rPr>
        <w:t>2  Commencement</w:t>
      </w:r>
      <w:r w:rsidRPr="006A4403">
        <w:rPr>
          <w:noProof/>
        </w:rPr>
        <w:tab/>
      </w:r>
      <w:r w:rsidR="00A07ED8" w:rsidRPr="006A4403">
        <w:rPr>
          <w:noProof/>
        </w:rPr>
        <w:t>1</w:t>
      </w:r>
    </w:p>
    <w:p w14:paraId="0090A0B3" w14:textId="77777777" w:rsidR="00FA5950" w:rsidRPr="006A4403" w:rsidRDefault="00FA5950">
      <w:pPr>
        <w:pStyle w:val="TOC5"/>
        <w:rPr>
          <w:rFonts w:asciiTheme="minorHAnsi" w:eastAsiaTheme="minorEastAsia" w:hAnsiTheme="minorHAnsi" w:cstheme="minorBidi"/>
          <w:noProof/>
          <w:kern w:val="0"/>
          <w:sz w:val="22"/>
          <w:szCs w:val="22"/>
        </w:rPr>
      </w:pPr>
      <w:r w:rsidRPr="006A4403">
        <w:rPr>
          <w:noProof/>
        </w:rPr>
        <w:t>3  Authority</w:t>
      </w:r>
      <w:r w:rsidRPr="006A4403">
        <w:rPr>
          <w:noProof/>
        </w:rPr>
        <w:tab/>
      </w:r>
      <w:r w:rsidR="00A07ED8" w:rsidRPr="006A4403">
        <w:rPr>
          <w:noProof/>
        </w:rPr>
        <w:t>1</w:t>
      </w:r>
    </w:p>
    <w:p w14:paraId="4771A18F" w14:textId="77777777" w:rsidR="00FA5950" w:rsidRPr="006A4403" w:rsidRDefault="00FA5950">
      <w:pPr>
        <w:pStyle w:val="TOC5"/>
        <w:rPr>
          <w:rFonts w:asciiTheme="minorHAnsi" w:eastAsiaTheme="minorEastAsia" w:hAnsiTheme="minorHAnsi" w:cstheme="minorBidi"/>
          <w:noProof/>
          <w:kern w:val="0"/>
          <w:sz w:val="22"/>
          <w:szCs w:val="22"/>
        </w:rPr>
      </w:pPr>
      <w:r w:rsidRPr="006A4403">
        <w:rPr>
          <w:noProof/>
        </w:rPr>
        <w:t>4  Schedules</w:t>
      </w:r>
      <w:r w:rsidRPr="006A4403">
        <w:rPr>
          <w:noProof/>
        </w:rPr>
        <w:tab/>
      </w:r>
      <w:r w:rsidR="00A07ED8" w:rsidRPr="006A4403">
        <w:rPr>
          <w:noProof/>
        </w:rPr>
        <w:t>1</w:t>
      </w:r>
    </w:p>
    <w:p w14:paraId="6D4FBD12" w14:textId="77777777" w:rsidR="00FA5950" w:rsidRPr="00532099" w:rsidRDefault="00FA5950">
      <w:pPr>
        <w:pStyle w:val="TOC1"/>
        <w:rPr>
          <w:rFonts w:asciiTheme="minorHAnsi" w:eastAsiaTheme="minorEastAsia" w:hAnsiTheme="minorHAnsi" w:cstheme="minorBidi"/>
          <w:b w:val="0"/>
          <w:noProof/>
          <w:kern w:val="0"/>
          <w:sz w:val="24"/>
          <w:szCs w:val="24"/>
        </w:rPr>
      </w:pPr>
      <w:r w:rsidRPr="00532099">
        <w:rPr>
          <w:noProof/>
          <w:sz w:val="24"/>
          <w:szCs w:val="24"/>
        </w:rPr>
        <w:t>Schedule 1—Amendments</w:t>
      </w:r>
      <w:r w:rsidRPr="00532099">
        <w:rPr>
          <w:noProof/>
          <w:sz w:val="24"/>
          <w:szCs w:val="24"/>
        </w:rPr>
        <w:tab/>
      </w:r>
      <w:r w:rsidR="00A07ED8" w:rsidRPr="00532099">
        <w:rPr>
          <w:noProof/>
          <w:sz w:val="24"/>
          <w:szCs w:val="24"/>
        </w:rPr>
        <w:t>2</w:t>
      </w:r>
    </w:p>
    <w:p w14:paraId="271543D7" w14:textId="77777777" w:rsidR="00FA5950" w:rsidRPr="006A4403" w:rsidRDefault="00FA5950">
      <w:pPr>
        <w:pStyle w:val="TOC9"/>
        <w:rPr>
          <w:rFonts w:asciiTheme="minorHAnsi" w:eastAsiaTheme="minorEastAsia" w:hAnsiTheme="minorHAnsi" w:cstheme="minorBidi"/>
          <w:i w:val="0"/>
          <w:noProof/>
          <w:kern w:val="0"/>
          <w:sz w:val="22"/>
          <w:szCs w:val="22"/>
        </w:rPr>
      </w:pPr>
      <w:r w:rsidRPr="006A4403">
        <w:rPr>
          <w:noProof/>
        </w:rPr>
        <w:t>Competition and Consumer (Consumer Data Right) Rules 2020</w:t>
      </w:r>
      <w:r w:rsidRPr="006A4403">
        <w:rPr>
          <w:noProof/>
        </w:rPr>
        <w:tab/>
      </w:r>
      <w:r w:rsidR="00A07ED8" w:rsidRPr="006A4403">
        <w:rPr>
          <w:noProof/>
        </w:rPr>
        <w:t>2</w:t>
      </w:r>
    </w:p>
    <w:p w14:paraId="75D862F3" w14:textId="77777777" w:rsidR="0048364F" w:rsidRPr="006A4403" w:rsidRDefault="0048364F" w:rsidP="0048364F"/>
    <w:p w14:paraId="0958E7F0" w14:textId="77777777" w:rsidR="0048364F" w:rsidRPr="006A4403" w:rsidRDefault="0048364F" w:rsidP="0048364F">
      <w:pPr>
        <w:sectPr w:rsidR="0048364F" w:rsidRPr="006A4403" w:rsidSect="00AF2503">
          <w:headerReference w:type="even" r:id="rId17"/>
          <w:headerReference w:type="default" r:id="rId18"/>
          <w:footerReference w:type="even" r:id="rId19"/>
          <w:footerReference w:type="default" r:id="rId20"/>
          <w:headerReference w:type="first" r:id="rId21"/>
          <w:pgSz w:w="11907" w:h="16839"/>
          <w:pgMar w:top="2093" w:right="1797" w:bottom="1440" w:left="1797" w:header="720" w:footer="709" w:gutter="0"/>
          <w:pgNumType w:fmt="lowerRoman" w:start="1"/>
          <w:cols w:space="708"/>
          <w:docGrid w:linePitch="360"/>
        </w:sectPr>
      </w:pPr>
    </w:p>
    <w:p w14:paraId="32C685C8" w14:textId="77777777" w:rsidR="00A519F2" w:rsidRPr="006A4403" w:rsidRDefault="00532099" w:rsidP="00A519F2">
      <w:pPr>
        <w:pStyle w:val="ActHead5"/>
      </w:pPr>
      <w:bookmarkStart w:id="0" w:name="_Toc405889305"/>
      <w:bookmarkStart w:id="1" w:name="_Toc456608638"/>
      <w:bookmarkStart w:id="2" w:name="_Toc135295267"/>
      <w:bookmarkStart w:id="3" w:name="opcAmSched"/>
      <w:bookmarkStart w:id="4" w:name="opcCurrentFind"/>
      <w:r>
        <w:lastRenderedPageBreak/>
        <w:t>1</w:t>
      </w:r>
      <w:r w:rsidR="00A519F2" w:rsidRPr="006A4403">
        <w:t xml:space="preserve">  Name</w:t>
      </w:r>
      <w:bookmarkEnd w:id="0"/>
      <w:bookmarkEnd w:id="1"/>
      <w:bookmarkEnd w:id="2"/>
    </w:p>
    <w:p w14:paraId="050707DA" w14:textId="77777777" w:rsidR="00A519F2" w:rsidRPr="006A4403" w:rsidRDefault="00A519F2" w:rsidP="00A519F2">
      <w:pPr>
        <w:pStyle w:val="subsection"/>
      </w:pPr>
      <w:r w:rsidRPr="006A4403">
        <w:tab/>
      </w:r>
      <w:r w:rsidRPr="006A4403">
        <w:tab/>
        <w:t xml:space="preserve">This is the </w:t>
      </w:r>
      <w:bookmarkStart w:id="5" w:name="BKCheck15B_3"/>
      <w:bookmarkEnd w:id="5"/>
      <w:r w:rsidR="00A07ED8" w:rsidRPr="006A4403">
        <w:rPr>
          <w:i/>
          <w:noProof/>
        </w:rPr>
        <w:t>Competition and Consumer (Consumer Data Right) Amendment Rules (No. 1) 2023</w:t>
      </w:r>
      <w:r w:rsidRPr="006A4403">
        <w:t>.</w:t>
      </w:r>
    </w:p>
    <w:p w14:paraId="79C4E087" w14:textId="77777777" w:rsidR="00A519F2" w:rsidRPr="006A4403" w:rsidRDefault="00532099" w:rsidP="00A519F2">
      <w:pPr>
        <w:pStyle w:val="ActHead5"/>
      </w:pPr>
      <w:bookmarkStart w:id="6" w:name="_Toc405889306"/>
      <w:bookmarkStart w:id="7" w:name="_Toc456608639"/>
      <w:bookmarkStart w:id="8" w:name="_Toc135295268"/>
      <w:r>
        <w:t>2</w:t>
      </w:r>
      <w:r w:rsidR="00A519F2" w:rsidRPr="006A4403">
        <w:t xml:space="preserve">  Commencement</w:t>
      </w:r>
      <w:bookmarkEnd w:id="6"/>
      <w:bookmarkEnd w:id="7"/>
      <w:bookmarkEnd w:id="8"/>
    </w:p>
    <w:p w14:paraId="10E68CF0" w14:textId="77777777" w:rsidR="00A519F2" w:rsidRPr="006A4403" w:rsidRDefault="00A519F2" w:rsidP="00A519F2">
      <w:pPr>
        <w:pStyle w:val="subsection"/>
      </w:pPr>
      <w:r w:rsidRPr="006A4403">
        <w:tab/>
        <w:t>(1)</w:t>
      </w:r>
      <w:r w:rsidRPr="006A4403">
        <w:tab/>
        <w:t>Each provision of this instrument specified in column 1 of the table commences, or is taken to have commenced, in accordance with column 2 of the table. Any other statement in column 2 has effect according to its terms.</w:t>
      </w:r>
    </w:p>
    <w:p w14:paraId="77B98A42" w14:textId="77777777" w:rsidR="0053130A" w:rsidRPr="006A4403" w:rsidRDefault="0053130A" w:rsidP="0053130A">
      <w:pPr>
        <w:pStyle w:val="Tabletext"/>
      </w:pPr>
    </w:p>
    <w:tbl>
      <w:tblPr>
        <w:tblW w:w="8364"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A4403" w:rsidRPr="006A4403" w14:paraId="46F4A541" w14:textId="77777777" w:rsidTr="00473B4F">
        <w:trPr>
          <w:tblHeader/>
        </w:trPr>
        <w:tc>
          <w:tcPr>
            <w:tcW w:w="8364" w:type="dxa"/>
            <w:gridSpan w:val="3"/>
            <w:tcBorders>
              <w:top w:val="single" w:sz="12" w:space="0" w:color="auto"/>
              <w:bottom w:val="single" w:sz="6" w:space="0" w:color="auto"/>
            </w:tcBorders>
            <w:shd w:val="clear" w:color="auto" w:fill="auto"/>
            <w:hideMark/>
          </w:tcPr>
          <w:p w14:paraId="23F9F339" w14:textId="77777777" w:rsidR="0053130A" w:rsidRPr="006A4403" w:rsidRDefault="0053130A" w:rsidP="00473B4F">
            <w:pPr>
              <w:pStyle w:val="TableHeading"/>
            </w:pPr>
            <w:r w:rsidRPr="006A4403">
              <w:t>Commencement information</w:t>
            </w:r>
          </w:p>
        </w:tc>
      </w:tr>
      <w:tr w:rsidR="006A4403" w:rsidRPr="006A4403" w14:paraId="29D30500" w14:textId="77777777" w:rsidTr="00473B4F">
        <w:trPr>
          <w:tblHeader/>
        </w:trPr>
        <w:tc>
          <w:tcPr>
            <w:tcW w:w="2127" w:type="dxa"/>
            <w:tcBorders>
              <w:top w:val="single" w:sz="6" w:space="0" w:color="auto"/>
              <w:bottom w:val="single" w:sz="6" w:space="0" w:color="auto"/>
            </w:tcBorders>
            <w:shd w:val="clear" w:color="auto" w:fill="auto"/>
            <w:hideMark/>
          </w:tcPr>
          <w:p w14:paraId="32747665" w14:textId="77777777" w:rsidR="0053130A" w:rsidRPr="006A4403" w:rsidRDefault="0053130A" w:rsidP="00473B4F">
            <w:pPr>
              <w:pStyle w:val="TableHeading"/>
            </w:pPr>
            <w:r w:rsidRPr="006A4403">
              <w:t>Column 1</w:t>
            </w:r>
          </w:p>
        </w:tc>
        <w:tc>
          <w:tcPr>
            <w:tcW w:w="4394" w:type="dxa"/>
            <w:tcBorders>
              <w:top w:val="single" w:sz="6" w:space="0" w:color="auto"/>
              <w:bottom w:val="single" w:sz="6" w:space="0" w:color="auto"/>
            </w:tcBorders>
            <w:shd w:val="clear" w:color="auto" w:fill="auto"/>
            <w:hideMark/>
          </w:tcPr>
          <w:p w14:paraId="38EEDAFB" w14:textId="77777777" w:rsidR="0053130A" w:rsidRPr="006A4403" w:rsidRDefault="0053130A" w:rsidP="00473B4F">
            <w:pPr>
              <w:pStyle w:val="TableHeading"/>
            </w:pPr>
            <w:r w:rsidRPr="006A4403">
              <w:t>Column 2</w:t>
            </w:r>
          </w:p>
        </w:tc>
        <w:tc>
          <w:tcPr>
            <w:tcW w:w="1843" w:type="dxa"/>
            <w:tcBorders>
              <w:top w:val="single" w:sz="6" w:space="0" w:color="auto"/>
              <w:bottom w:val="single" w:sz="6" w:space="0" w:color="auto"/>
            </w:tcBorders>
            <w:shd w:val="clear" w:color="auto" w:fill="auto"/>
            <w:hideMark/>
          </w:tcPr>
          <w:p w14:paraId="3E53A44D" w14:textId="77777777" w:rsidR="0053130A" w:rsidRPr="006A4403" w:rsidRDefault="0053130A" w:rsidP="00473B4F">
            <w:pPr>
              <w:pStyle w:val="TableHeading"/>
            </w:pPr>
            <w:r w:rsidRPr="006A4403">
              <w:t>Column 3</w:t>
            </w:r>
          </w:p>
        </w:tc>
      </w:tr>
      <w:tr w:rsidR="006A4403" w:rsidRPr="006A4403" w14:paraId="17D96075" w14:textId="77777777" w:rsidTr="00473B4F">
        <w:trPr>
          <w:tblHeader/>
        </w:trPr>
        <w:tc>
          <w:tcPr>
            <w:tcW w:w="2127" w:type="dxa"/>
            <w:tcBorders>
              <w:top w:val="single" w:sz="6" w:space="0" w:color="auto"/>
              <w:bottom w:val="single" w:sz="12" w:space="0" w:color="auto"/>
            </w:tcBorders>
            <w:shd w:val="clear" w:color="auto" w:fill="auto"/>
            <w:hideMark/>
          </w:tcPr>
          <w:p w14:paraId="1F73A17A" w14:textId="77777777" w:rsidR="0053130A" w:rsidRPr="006A4403" w:rsidRDefault="0053130A" w:rsidP="00473B4F">
            <w:pPr>
              <w:pStyle w:val="TableHeading"/>
            </w:pPr>
            <w:r w:rsidRPr="006A4403">
              <w:t>Provisions</w:t>
            </w:r>
          </w:p>
        </w:tc>
        <w:tc>
          <w:tcPr>
            <w:tcW w:w="4394" w:type="dxa"/>
            <w:tcBorders>
              <w:top w:val="single" w:sz="6" w:space="0" w:color="auto"/>
              <w:bottom w:val="single" w:sz="12" w:space="0" w:color="auto"/>
            </w:tcBorders>
            <w:shd w:val="clear" w:color="auto" w:fill="auto"/>
            <w:hideMark/>
          </w:tcPr>
          <w:p w14:paraId="32067BF2" w14:textId="77777777" w:rsidR="0053130A" w:rsidRPr="006A4403" w:rsidRDefault="0053130A" w:rsidP="00473B4F">
            <w:pPr>
              <w:pStyle w:val="TableHeading"/>
            </w:pPr>
            <w:r w:rsidRPr="006A4403">
              <w:t>Commencement</w:t>
            </w:r>
          </w:p>
        </w:tc>
        <w:tc>
          <w:tcPr>
            <w:tcW w:w="1843" w:type="dxa"/>
            <w:tcBorders>
              <w:top w:val="single" w:sz="6" w:space="0" w:color="auto"/>
              <w:bottom w:val="single" w:sz="12" w:space="0" w:color="auto"/>
            </w:tcBorders>
            <w:shd w:val="clear" w:color="auto" w:fill="auto"/>
            <w:hideMark/>
          </w:tcPr>
          <w:p w14:paraId="3DCDB65A" w14:textId="77777777" w:rsidR="0053130A" w:rsidRPr="006A4403" w:rsidRDefault="0053130A" w:rsidP="00473B4F">
            <w:pPr>
              <w:pStyle w:val="TableHeading"/>
            </w:pPr>
            <w:r w:rsidRPr="006A4403">
              <w:t>Date/Details</w:t>
            </w:r>
          </w:p>
        </w:tc>
      </w:tr>
      <w:tr w:rsidR="006A4403" w:rsidRPr="006A4403" w14:paraId="53FE1AA7" w14:textId="77777777" w:rsidTr="00473B4F">
        <w:tc>
          <w:tcPr>
            <w:tcW w:w="2127" w:type="dxa"/>
            <w:tcBorders>
              <w:top w:val="single" w:sz="12" w:space="0" w:color="auto"/>
              <w:bottom w:val="single" w:sz="12" w:space="0" w:color="auto"/>
            </w:tcBorders>
            <w:shd w:val="clear" w:color="auto" w:fill="auto"/>
            <w:hideMark/>
          </w:tcPr>
          <w:p w14:paraId="0956201B" w14:textId="77777777" w:rsidR="00473B4F" w:rsidRPr="006A4403" w:rsidRDefault="00473B4F" w:rsidP="00473B4F">
            <w:pPr>
              <w:pStyle w:val="Tabletext"/>
            </w:pPr>
            <w:r w:rsidRPr="006A4403">
              <w:t>The whole of this instrument</w:t>
            </w:r>
          </w:p>
        </w:tc>
        <w:tc>
          <w:tcPr>
            <w:tcW w:w="4394" w:type="dxa"/>
            <w:tcBorders>
              <w:top w:val="single" w:sz="12" w:space="0" w:color="auto"/>
              <w:bottom w:val="single" w:sz="12" w:space="0" w:color="auto"/>
            </w:tcBorders>
            <w:shd w:val="clear" w:color="auto" w:fill="auto"/>
            <w:hideMark/>
          </w:tcPr>
          <w:p w14:paraId="481A56BE" w14:textId="77777777" w:rsidR="00473B4F" w:rsidRPr="006A4403" w:rsidRDefault="00473B4F" w:rsidP="00473B4F">
            <w:pPr>
              <w:pStyle w:val="Tabletext"/>
            </w:pPr>
            <w:r w:rsidRPr="006A4403">
              <w:t>The day after this instrument is registered.</w:t>
            </w:r>
          </w:p>
        </w:tc>
        <w:tc>
          <w:tcPr>
            <w:tcW w:w="1843" w:type="dxa"/>
            <w:tcBorders>
              <w:top w:val="single" w:sz="12" w:space="0" w:color="auto"/>
              <w:bottom w:val="single" w:sz="12" w:space="0" w:color="auto"/>
            </w:tcBorders>
            <w:shd w:val="clear" w:color="auto" w:fill="auto"/>
          </w:tcPr>
          <w:p w14:paraId="357E93EF" w14:textId="77777777" w:rsidR="00473B4F" w:rsidRPr="006A4403" w:rsidRDefault="00473B4F" w:rsidP="00473B4F">
            <w:pPr>
              <w:pStyle w:val="Tabletext"/>
            </w:pPr>
          </w:p>
        </w:tc>
      </w:tr>
    </w:tbl>
    <w:p w14:paraId="565168E9" w14:textId="77777777" w:rsidR="0053130A" w:rsidRPr="006A4403" w:rsidRDefault="0053130A" w:rsidP="0053130A">
      <w:pPr>
        <w:pStyle w:val="notetext"/>
      </w:pPr>
      <w:r w:rsidRPr="006A4403">
        <w:rPr>
          <w:snapToGrid w:val="0"/>
          <w:lang w:eastAsia="en-US"/>
        </w:rPr>
        <w:t>Note:</w:t>
      </w:r>
      <w:r w:rsidRPr="006A4403">
        <w:rPr>
          <w:snapToGrid w:val="0"/>
          <w:lang w:eastAsia="en-US"/>
        </w:rPr>
        <w:tab/>
        <w:t>This table relates only to the provisions of this instrument</w:t>
      </w:r>
      <w:r w:rsidRPr="006A4403">
        <w:t xml:space="preserve"> </w:t>
      </w:r>
      <w:r w:rsidRPr="006A4403">
        <w:rPr>
          <w:snapToGrid w:val="0"/>
          <w:lang w:eastAsia="en-US"/>
        </w:rPr>
        <w:t>as originally made. It will not be amended to deal with any later amendments of this instrument.</w:t>
      </w:r>
    </w:p>
    <w:p w14:paraId="0C32903C" w14:textId="77777777" w:rsidR="00A519F2" w:rsidRPr="006A4403" w:rsidRDefault="00A519F2" w:rsidP="00A519F2">
      <w:pPr>
        <w:pStyle w:val="subsection"/>
      </w:pPr>
      <w:r w:rsidRPr="006A4403">
        <w:tab/>
        <w:t>(2)</w:t>
      </w:r>
      <w:r w:rsidRPr="006A4403">
        <w:tab/>
        <w:t>Any information in column 3 of the table is not part of this instrument. Information may be inserted in this column, or information in it may be edited, in any published version of this instrument.</w:t>
      </w:r>
    </w:p>
    <w:p w14:paraId="0AD3FC42" w14:textId="77777777" w:rsidR="00A519F2" w:rsidRPr="006A4403" w:rsidRDefault="00A519F2" w:rsidP="00A519F2">
      <w:pPr>
        <w:pStyle w:val="Tabletext"/>
      </w:pPr>
    </w:p>
    <w:p w14:paraId="018114C5" w14:textId="77777777" w:rsidR="00A519F2" w:rsidRPr="006A4403" w:rsidRDefault="00532099" w:rsidP="00A519F2">
      <w:pPr>
        <w:pStyle w:val="ActHead5"/>
      </w:pPr>
      <w:bookmarkStart w:id="9" w:name="_Toc405889307"/>
      <w:bookmarkStart w:id="10" w:name="_Toc456608640"/>
      <w:bookmarkStart w:id="11" w:name="_Toc135295269"/>
      <w:r>
        <w:t>3</w:t>
      </w:r>
      <w:r w:rsidR="00A519F2" w:rsidRPr="006A4403">
        <w:t xml:space="preserve">  Authority</w:t>
      </w:r>
      <w:bookmarkEnd w:id="9"/>
      <w:bookmarkEnd w:id="10"/>
      <w:bookmarkEnd w:id="11"/>
    </w:p>
    <w:p w14:paraId="50068429" w14:textId="77777777" w:rsidR="002275C1" w:rsidRPr="006A4403" w:rsidRDefault="002275C1" w:rsidP="002275C1">
      <w:pPr>
        <w:pStyle w:val="subsection"/>
      </w:pPr>
      <w:r w:rsidRPr="006A4403">
        <w:tab/>
      </w:r>
      <w:r w:rsidRPr="006A4403">
        <w:tab/>
        <w:t xml:space="preserve">This instrument is made under section 56BA of the </w:t>
      </w:r>
      <w:r w:rsidRPr="006A4403">
        <w:rPr>
          <w:i/>
        </w:rPr>
        <w:t>Competition and Consumer Act 2010</w:t>
      </w:r>
      <w:r w:rsidRPr="006A4403">
        <w:t>.</w:t>
      </w:r>
    </w:p>
    <w:p w14:paraId="2508F463" w14:textId="77777777" w:rsidR="00080B06" w:rsidRPr="006A4403" w:rsidRDefault="00080B06" w:rsidP="00A519F2">
      <w:pPr>
        <w:pStyle w:val="subsection"/>
      </w:pPr>
    </w:p>
    <w:p w14:paraId="63943096" w14:textId="77777777" w:rsidR="00096E62" w:rsidRPr="006A4403" w:rsidRDefault="00532099" w:rsidP="00096E62">
      <w:pPr>
        <w:pStyle w:val="ActHead5"/>
      </w:pPr>
      <w:bookmarkStart w:id="12" w:name="_Toc135295270"/>
      <w:r>
        <w:t>4</w:t>
      </w:r>
      <w:r w:rsidR="00096E62" w:rsidRPr="006A4403">
        <w:t xml:space="preserve">  Schedules</w:t>
      </w:r>
      <w:bookmarkEnd w:id="12"/>
    </w:p>
    <w:p w14:paraId="4718D44A" w14:textId="77777777" w:rsidR="00096E62" w:rsidRPr="006A4403" w:rsidRDefault="00096E62" w:rsidP="00096E62">
      <w:pPr>
        <w:pStyle w:val="subsection"/>
      </w:pPr>
      <w:r w:rsidRPr="006A4403">
        <w:tab/>
      </w:r>
      <w:r w:rsidRPr="006A4403">
        <w:tab/>
        <w:t>Each instrument that is specified in a Schedule to this instrument is amended or repealed as set out in the applicable items in the Schedule concerned, and any other item in a Schedule to this instrument has effect according to its terms.</w:t>
      </w:r>
    </w:p>
    <w:p w14:paraId="1E950702" w14:textId="77777777" w:rsidR="002275C1" w:rsidRPr="006A4403" w:rsidRDefault="002275C1" w:rsidP="00096E62">
      <w:pPr>
        <w:pStyle w:val="subsection"/>
      </w:pPr>
    </w:p>
    <w:p w14:paraId="563A8F53" w14:textId="77777777" w:rsidR="002275C1" w:rsidRPr="006A4403" w:rsidRDefault="002275C1" w:rsidP="00096E62">
      <w:pPr>
        <w:pStyle w:val="subsection"/>
        <w:sectPr w:rsidR="002275C1" w:rsidRPr="006A4403" w:rsidSect="00AF2503">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pPr>
    </w:p>
    <w:p w14:paraId="1F993474" w14:textId="77777777" w:rsidR="002275C1" w:rsidRPr="006A4403" w:rsidRDefault="002275C1" w:rsidP="00096E62">
      <w:pPr>
        <w:pStyle w:val="subsection"/>
      </w:pPr>
    </w:p>
    <w:p w14:paraId="537DFCB0" w14:textId="77777777" w:rsidR="009E1F49" w:rsidRPr="006A4403" w:rsidRDefault="0048364F" w:rsidP="002275C1">
      <w:pPr>
        <w:pStyle w:val="ActHead1"/>
        <w:rPr>
          <w:rStyle w:val="CharAmSchText"/>
        </w:rPr>
      </w:pPr>
      <w:bookmarkStart w:id="13" w:name="_Toc135295271"/>
      <w:r w:rsidRPr="006A4403">
        <w:rPr>
          <w:rStyle w:val="CharAmSchNo"/>
        </w:rPr>
        <w:t>Schedule 1</w:t>
      </w:r>
      <w:r w:rsidRPr="006A4403">
        <w:t>—</w:t>
      </w:r>
      <w:r w:rsidR="00460499" w:rsidRPr="006A4403">
        <w:rPr>
          <w:rStyle w:val="CharAmSchText"/>
        </w:rPr>
        <w:t>Amendments</w:t>
      </w:r>
      <w:bookmarkEnd w:id="13"/>
    </w:p>
    <w:p w14:paraId="2353CEC5" w14:textId="77777777" w:rsidR="00777B52" w:rsidRPr="006A4403" w:rsidRDefault="00777B52" w:rsidP="00777B52">
      <w:pPr>
        <w:pStyle w:val="ActHead9"/>
      </w:pPr>
      <w:bookmarkStart w:id="14" w:name="_Toc57296291"/>
      <w:bookmarkStart w:id="15" w:name="_Toc59549120"/>
      <w:bookmarkStart w:id="16" w:name="_Toc74917988"/>
      <w:bookmarkStart w:id="17" w:name="_Toc82433009"/>
      <w:bookmarkStart w:id="18" w:name="_Toc82700040"/>
      <w:bookmarkStart w:id="19" w:name="_Toc116895933"/>
      <w:bookmarkStart w:id="20" w:name="_Toc135295272"/>
      <w:bookmarkEnd w:id="3"/>
      <w:bookmarkEnd w:id="4"/>
      <w:r w:rsidRPr="006A4403">
        <w:t>Competition and Consumer (Consumer Data Right) Rules 2020</w:t>
      </w:r>
      <w:bookmarkEnd w:id="14"/>
      <w:bookmarkEnd w:id="15"/>
      <w:bookmarkEnd w:id="16"/>
      <w:bookmarkEnd w:id="17"/>
      <w:bookmarkEnd w:id="18"/>
      <w:bookmarkEnd w:id="19"/>
      <w:bookmarkEnd w:id="20"/>
    </w:p>
    <w:p w14:paraId="61302572" w14:textId="77777777" w:rsidR="00CD61C0" w:rsidRPr="006A4403" w:rsidRDefault="004B0AB6" w:rsidP="00CD61C0">
      <w:pPr>
        <w:pStyle w:val="ItemHead"/>
      </w:pPr>
      <w:r>
        <w:t>1</w:t>
      </w:r>
      <w:r w:rsidR="00723B2F" w:rsidRPr="006A4403">
        <w:t xml:space="preserve">  </w:t>
      </w:r>
      <w:r w:rsidR="00CD61C0" w:rsidRPr="006A4403">
        <w:t>Rule 1.6 (after the heading)</w:t>
      </w:r>
    </w:p>
    <w:p w14:paraId="0F196401" w14:textId="77777777" w:rsidR="00CD61C0" w:rsidRPr="006A4403" w:rsidRDefault="00CD61C0" w:rsidP="00CD61C0">
      <w:pPr>
        <w:pStyle w:val="Item"/>
      </w:pPr>
      <w:r w:rsidRPr="006A4403">
        <w:t>Insert:</w:t>
      </w:r>
    </w:p>
    <w:p w14:paraId="5C1E28D1" w14:textId="77777777" w:rsidR="00CD61C0" w:rsidRPr="006A4403" w:rsidRDefault="00CD61C0" w:rsidP="00CD61C0">
      <w:pPr>
        <w:pStyle w:val="notemargin"/>
      </w:pPr>
      <w:bookmarkStart w:id="21" w:name="_Hlk121819530"/>
      <w:r w:rsidRPr="006A4403">
        <w:t>Note:</w:t>
      </w:r>
      <w:r w:rsidRPr="006A4403">
        <w:tab/>
        <w:t>These rules cover a number of different sectors of the economy.  It is intended that they will be amended from time to time in the future to deal with additional sectors.</w:t>
      </w:r>
    </w:p>
    <w:bookmarkEnd w:id="21"/>
    <w:p w14:paraId="0C10CB72" w14:textId="77777777" w:rsidR="00CD61C0" w:rsidRPr="006A4403" w:rsidRDefault="004B0AB6" w:rsidP="00CD61C0">
      <w:pPr>
        <w:pStyle w:val="ItemHead"/>
      </w:pPr>
      <w:r>
        <w:t>2</w:t>
      </w:r>
      <w:r w:rsidR="00723B2F" w:rsidRPr="006A4403">
        <w:t xml:space="preserve">  </w:t>
      </w:r>
      <w:r w:rsidR="00CD61C0" w:rsidRPr="006A4403">
        <w:t>Subrule 1.6(13)</w:t>
      </w:r>
    </w:p>
    <w:p w14:paraId="7B598F01" w14:textId="77777777" w:rsidR="00CD61C0" w:rsidRPr="006A4403" w:rsidRDefault="00CD61C0" w:rsidP="00CD61C0">
      <w:pPr>
        <w:pStyle w:val="Item"/>
      </w:pPr>
      <w:r w:rsidRPr="006A4403">
        <w:t>Omit “It is intended that these rules will be amended at a later time to deal with additional sectors of the economy.”.</w:t>
      </w:r>
    </w:p>
    <w:p w14:paraId="35D01B37" w14:textId="77777777" w:rsidR="00CD61C0" w:rsidRPr="006A4403" w:rsidRDefault="004B0AB6" w:rsidP="00CD61C0">
      <w:pPr>
        <w:pStyle w:val="ItemHead"/>
      </w:pPr>
      <w:r>
        <w:t>3</w:t>
      </w:r>
      <w:r w:rsidR="00723B2F" w:rsidRPr="006A4403">
        <w:t xml:space="preserve">  </w:t>
      </w:r>
      <w:r w:rsidR="00CD61C0" w:rsidRPr="006A4403">
        <w:t>Subrule 1.7(1)</w:t>
      </w:r>
    </w:p>
    <w:p w14:paraId="0BB0DE95" w14:textId="77777777" w:rsidR="00CD61C0" w:rsidRPr="006A4403" w:rsidRDefault="00CD61C0" w:rsidP="00CD61C0">
      <w:pPr>
        <w:pStyle w:val="Item"/>
      </w:pPr>
      <w:r w:rsidRPr="006A4403">
        <w:t>Insert in the appropriate alphabetical position:</w:t>
      </w:r>
    </w:p>
    <w:p w14:paraId="1B57A630" w14:textId="77777777" w:rsidR="00CD61C0" w:rsidRPr="006A4403" w:rsidRDefault="00CD61C0" w:rsidP="00CD61C0">
      <w:pPr>
        <w:pStyle w:val="Definition"/>
      </w:pPr>
      <w:bookmarkStart w:id="22" w:name="_Hlk121820033"/>
      <w:r w:rsidRPr="006A4403">
        <w:rPr>
          <w:b/>
          <w:i/>
        </w:rPr>
        <w:t>ABN</w:t>
      </w:r>
      <w:r w:rsidRPr="006A4403">
        <w:t xml:space="preserve"> has the meaning given by the </w:t>
      </w:r>
      <w:r w:rsidRPr="006A4403">
        <w:rPr>
          <w:i/>
        </w:rPr>
        <w:t>A New Tax System (Australian Business Number) Act 1999</w:t>
      </w:r>
      <w:r w:rsidRPr="006A4403">
        <w:t>.</w:t>
      </w:r>
    </w:p>
    <w:p w14:paraId="0C8F51CA" w14:textId="77777777" w:rsidR="00CD61C0" w:rsidRPr="006A4403" w:rsidRDefault="00CD61C0" w:rsidP="00CD61C0">
      <w:pPr>
        <w:pStyle w:val="Definition"/>
      </w:pPr>
      <w:bookmarkStart w:id="23" w:name="_Hlk121820050"/>
      <w:bookmarkEnd w:id="22"/>
      <w:r w:rsidRPr="006A4403">
        <w:rPr>
          <w:b/>
          <w:i/>
        </w:rPr>
        <w:t>business consumer disclosure consent</w:t>
      </w:r>
      <w:r w:rsidRPr="006A4403">
        <w:t xml:space="preserve"> has the meaning given by rule 1.10A.</w:t>
      </w:r>
    </w:p>
    <w:p w14:paraId="71415765" w14:textId="77777777" w:rsidR="00CD61C0" w:rsidRPr="006A4403" w:rsidRDefault="00CD61C0" w:rsidP="00CD61C0">
      <w:pPr>
        <w:pStyle w:val="Definition"/>
      </w:pPr>
      <w:r w:rsidRPr="006A4403">
        <w:rPr>
          <w:b/>
          <w:i/>
        </w:rPr>
        <w:t>business consumer statement</w:t>
      </w:r>
      <w:r w:rsidRPr="006A4403">
        <w:t xml:space="preserve"> has the meaning given by rule 1.10A.</w:t>
      </w:r>
    </w:p>
    <w:p w14:paraId="72C2B38D" w14:textId="77777777" w:rsidR="00CD61C0" w:rsidRPr="006A4403" w:rsidRDefault="00CD61C0" w:rsidP="00CD61C0">
      <w:pPr>
        <w:pStyle w:val="Definition"/>
      </w:pPr>
      <w:bookmarkStart w:id="24" w:name="_Hlk121820059"/>
      <w:bookmarkEnd w:id="23"/>
      <w:r w:rsidRPr="006A4403">
        <w:rPr>
          <w:b/>
          <w:i/>
        </w:rPr>
        <w:t>CDR business consumer</w:t>
      </w:r>
      <w:r w:rsidRPr="006A4403">
        <w:t xml:space="preserve"> has the meaning given by rule 1.10A.</w:t>
      </w:r>
    </w:p>
    <w:p w14:paraId="326F1DC9" w14:textId="77777777" w:rsidR="00CD61C0" w:rsidRPr="006A4403" w:rsidRDefault="00CD61C0" w:rsidP="00CD61C0">
      <w:pPr>
        <w:pStyle w:val="Definition"/>
      </w:pPr>
      <w:bookmarkStart w:id="25" w:name="_Hlk120646674"/>
      <w:bookmarkEnd w:id="24"/>
      <w:r w:rsidRPr="006A4403">
        <w:rPr>
          <w:b/>
          <w:i/>
        </w:rPr>
        <w:t>direct or indirect OSP</w:t>
      </w:r>
      <w:r w:rsidRPr="006A4403">
        <w:t xml:space="preserve"> means a direct OSP or an indirect OSP.</w:t>
      </w:r>
    </w:p>
    <w:p w14:paraId="6BD681B5" w14:textId="77777777" w:rsidR="00CD61C0" w:rsidRPr="006A4403" w:rsidRDefault="00CD61C0" w:rsidP="00CD61C0">
      <w:pPr>
        <w:pStyle w:val="Definition"/>
      </w:pPr>
      <w:bookmarkStart w:id="26" w:name="_Hlk121820084"/>
      <w:bookmarkEnd w:id="25"/>
      <w:r w:rsidRPr="006A4403">
        <w:rPr>
          <w:b/>
          <w:i/>
        </w:rPr>
        <w:t xml:space="preserve">direct OSP </w:t>
      </w:r>
      <w:r w:rsidRPr="006A4403">
        <w:t>has the meaning given by rule 1.10.</w:t>
      </w:r>
    </w:p>
    <w:p w14:paraId="1F3AE6DB" w14:textId="77777777" w:rsidR="00CD61C0" w:rsidRPr="006A4403" w:rsidRDefault="00CD61C0" w:rsidP="00CD61C0">
      <w:pPr>
        <w:pStyle w:val="Definition"/>
      </w:pPr>
      <w:bookmarkStart w:id="27" w:name="_Hlk121820094"/>
      <w:bookmarkEnd w:id="26"/>
      <w:r w:rsidRPr="006A4403">
        <w:rPr>
          <w:b/>
          <w:i/>
        </w:rPr>
        <w:t xml:space="preserve">indirect OSP </w:t>
      </w:r>
      <w:r w:rsidRPr="006A4403">
        <w:t>has the meaning given by rule 1.10.</w:t>
      </w:r>
    </w:p>
    <w:p w14:paraId="31B71AD4" w14:textId="77777777" w:rsidR="00CD61C0" w:rsidRPr="006A4403" w:rsidRDefault="00CD61C0" w:rsidP="00CD61C0">
      <w:pPr>
        <w:pStyle w:val="Definition"/>
        <w:tabs>
          <w:tab w:val="left" w:pos="1985"/>
        </w:tabs>
      </w:pPr>
      <w:bookmarkStart w:id="28" w:name="_Hlk121820105"/>
      <w:bookmarkEnd w:id="27"/>
      <w:r w:rsidRPr="006A4403">
        <w:rPr>
          <w:b/>
          <w:i/>
        </w:rPr>
        <w:t>meet the external dispute resolution requirements</w:t>
      </w:r>
      <w:r w:rsidRPr="006A4403">
        <w:t>, for a particular designated sector, has the meaning set out in the relevant sector Schedule.</w:t>
      </w:r>
    </w:p>
    <w:p w14:paraId="588D047E" w14:textId="77777777" w:rsidR="00CD61C0" w:rsidRPr="006A4403" w:rsidRDefault="00CD61C0" w:rsidP="00CD61C0">
      <w:pPr>
        <w:pStyle w:val="notetext"/>
      </w:pPr>
      <w:r w:rsidRPr="006A4403">
        <w:t>Note:</w:t>
      </w:r>
      <w:r w:rsidRPr="006A4403">
        <w:tab/>
        <w:t>For the meaning of the term:</w:t>
      </w:r>
    </w:p>
    <w:p w14:paraId="34F22892" w14:textId="77777777" w:rsidR="00CD61C0" w:rsidRPr="006A4403" w:rsidRDefault="00CD61C0" w:rsidP="00CD61C0">
      <w:pPr>
        <w:pStyle w:val="notepara"/>
        <w:ind w:left="2705" w:hanging="360"/>
      </w:pPr>
      <w:r w:rsidRPr="006A4403">
        <w:rPr>
          <w:rFonts w:ascii="Symbol" w:hAnsi="Symbol"/>
        </w:rPr>
        <w:t></w:t>
      </w:r>
      <w:r w:rsidRPr="006A4403">
        <w:rPr>
          <w:rFonts w:ascii="Symbol" w:hAnsi="Symbol"/>
        </w:rPr>
        <w:tab/>
      </w:r>
      <w:r w:rsidRPr="006A4403">
        <w:t>in the banking sector, see clause 5.2 of Schedule 3; and</w:t>
      </w:r>
    </w:p>
    <w:p w14:paraId="490B37DD" w14:textId="77777777" w:rsidR="00CD61C0" w:rsidRPr="006A4403" w:rsidRDefault="00CD61C0" w:rsidP="00CD61C0">
      <w:pPr>
        <w:pStyle w:val="notepara"/>
        <w:ind w:left="2705" w:hanging="360"/>
      </w:pPr>
      <w:r w:rsidRPr="006A4403">
        <w:rPr>
          <w:rFonts w:ascii="Symbol" w:hAnsi="Symbol"/>
        </w:rPr>
        <w:t></w:t>
      </w:r>
      <w:r w:rsidRPr="006A4403">
        <w:rPr>
          <w:rFonts w:ascii="Symbol" w:hAnsi="Symbol"/>
        </w:rPr>
        <w:tab/>
      </w:r>
      <w:r w:rsidRPr="006A4403">
        <w:t>in the energy sector, see clause 5.2 of Schedule 4</w:t>
      </w:r>
      <w:r w:rsidR="00CC7988" w:rsidRPr="006A4403">
        <w:t>.</w:t>
      </w:r>
    </w:p>
    <w:p w14:paraId="4E6AF66C" w14:textId="77777777" w:rsidR="00CD61C0" w:rsidRPr="006A4403" w:rsidRDefault="00CD61C0" w:rsidP="00CD61C0">
      <w:pPr>
        <w:pStyle w:val="Definition"/>
      </w:pPr>
      <w:bookmarkStart w:id="29" w:name="_Hlk121820125"/>
      <w:bookmarkEnd w:id="28"/>
      <w:r w:rsidRPr="006A4403">
        <w:rPr>
          <w:b/>
          <w:i/>
        </w:rPr>
        <w:t xml:space="preserve">OSP chain principal </w:t>
      </w:r>
      <w:r w:rsidRPr="006A4403">
        <w:t>has the meaning given by rule 1.10.</w:t>
      </w:r>
    </w:p>
    <w:p w14:paraId="787C5E9A" w14:textId="77777777" w:rsidR="00CD61C0" w:rsidRPr="006A4403" w:rsidRDefault="00CD61C0" w:rsidP="00CD61C0">
      <w:pPr>
        <w:pStyle w:val="Definition"/>
      </w:pPr>
      <w:bookmarkStart w:id="30" w:name="_Hlk121820136"/>
      <w:bookmarkEnd w:id="29"/>
      <w:r w:rsidRPr="006A4403">
        <w:rPr>
          <w:b/>
          <w:i/>
        </w:rPr>
        <w:t xml:space="preserve">permitted use or disclosure </w:t>
      </w:r>
      <w:r w:rsidRPr="006A4403">
        <w:t>has the meaning given by rule 7.5.</w:t>
      </w:r>
    </w:p>
    <w:p w14:paraId="56464430" w14:textId="77777777" w:rsidR="00CD61C0" w:rsidRPr="006A4403" w:rsidRDefault="00CD61C0" w:rsidP="00CD61C0">
      <w:pPr>
        <w:pStyle w:val="Definition"/>
      </w:pPr>
      <w:bookmarkStart w:id="31" w:name="_Hlk121820147"/>
      <w:bookmarkEnd w:id="30"/>
      <w:r w:rsidRPr="006A4403">
        <w:rPr>
          <w:b/>
          <w:i/>
        </w:rPr>
        <w:t xml:space="preserve">relates to direct marketing </w:t>
      </w:r>
      <w:r w:rsidRPr="006A4403">
        <w:t>has the meaning given by rule 7.5.</w:t>
      </w:r>
    </w:p>
    <w:p w14:paraId="60B2C438" w14:textId="77777777" w:rsidR="00CD61C0" w:rsidRPr="006A4403" w:rsidRDefault="00CD61C0" w:rsidP="00CD61C0">
      <w:pPr>
        <w:pStyle w:val="Definition"/>
      </w:pPr>
      <w:bookmarkStart w:id="32" w:name="_Hlk121820160"/>
      <w:bookmarkEnd w:id="31"/>
      <w:r w:rsidRPr="006A4403">
        <w:rPr>
          <w:b/>
          <w:i/>
        </w:rPr>
        <w:t>trial product</w:t>
      </w:r>
      <w:r w:rsidRPr="006A4403">
        <w:t>, in relation to a particular designated sector,</w:t>
      </w:r>
      <w:bookmarkStart w:id="33" w:name="_Hlk121424486"/>
      <w:r w:rsidRPr="006A4403">
        <w:t xml:space="preserve"> has the meaning set out in the relevant sector Schedule</w:t>
      </w:r>
      <w:bookmarkEnd w:id="33"/>
      <w:r w:rsidRPr="006A4403">
        <w:t>.</w:t>
      </w:r>
    </w:p>
    <w:bookmarkEnd w:id="32"/>
    <w:p w14:paraId="451E8FEE" w14:textId="77777777" w:rsidR="00CD61C0" w:rsidRPr="006A4403" w:rsidRDefault="004B0AB6" w:rsidP="00CD61C0">
      <w:pPr>
        <w:pStyle w:val="ItemHead"/>
        <w:rPr>
          <w:noProof/>
        </w:rPr>
      </w:pPr>
      <w:r>
        <w:t>4</w:t>
      </w:r>
      <w:r w:rsidR="00723B2F" w:rsidRPr="006A4403">
        <w:t xml:space="preserve">  </w:t>
      </w:r>
      <w:r w:rsidR="00CD61C0" w:rsidRPr="006A4403">
        <w:rPr>
          <w:noProof/>
        </w:rPr>
        <w:t xml:space="preserve">Subrule 1.7(1) (definition of </w:t>
      </w:r>
      <w:r w:rsidR="00CD61C0" w:rsidRPr="006A4403">
        <w:rPr>
          <w:i/>
          <w:noProof/>
        </w:rPr>
        <w:t>CDR principal</w:t>
      </w:r>
      <w:r w:rsidR="00CD61C0" w:rsidRPr="006A4403">
        <w:rPr>
          <w:b w:val="0"/>
          <w:noProof/>
        </w:rPr>
        <w:t>)</w:t>
      </w:r>
      <w:r w:rsidR="00CD61C0" w:rsidRPr="006A4403">
        <w:rPr>
          <w:noProof/>
        </w:rPr>
        <w:t xml:space="preserve"> </w:t>
      </w:r>
    </w:p>
    <w:p w14:paraId="40847367" w14:textId="77777777" w:rsidR="00CD61C0" w:rsidRPr="006A4403" w:rsidRDefault="00CD61C0" w:rsidP="00CD61C0">
      <w:pPr>
        <w:pStyle w:val="Item"/>
      </w:pPr>
      <w:r w:rsidRPr="006A4403">
        <w:t>Repeal the definition, substitute:</w:t>
      </w:r>
    </w:p>
    <w:p w14:paraId="344C1D5F" w14:textId="77777777" w:rsidR="00CD61C0" w:rsidRPr="006A4403" w:rsidRDefault="00CD61C0" w:rsidP="00CD61C0">
      <w:pPr>
        <w:pStyle w:val="Definition"/>
        <w:rPr>
          <w:b/>
          <w:i/>
        </w:rPr>
      </w:pPr>
      <w:r w:rsidRPr="006A4403">
        <w:rPr>
          <w:b/>
          <w:i/>
        </w:rPr>
        <w:t xml:space="preserve">CDR representative principal </w:t>
      </w:r>
      <w:r w:rsidRPr="006A4403">
        <w:t>has the meaning given by rule 1.10AA.</w:t>
      </w:r>
    </w:p>
    <w:p w14:paraId="670F8F04" w14:textId="77777777" w:rsidR="00CD61C0" w:rsidRPr="006A4403" w:rsidRDefault="004B0AB6" w:rsidP="00CD61C0">
      <w:pPr>
        <w:pStyle w:val="ItemHead"/>
      </w:pPr>
      <w:r>
        <w:t>5</w:t>
      </w:r>
      <w:r w:rsidR="00723B2F" w:rsidRPr="006A4403">
        <w:t xml:space="preserve">  </w:t>
      </w:r>
      <w:r w:rsidR="00CD61C0" w:rsidRPr="006A4403">
        <w:t xml:space="preserve">Subrule 1.7(1) (paragraph (a) of the definition of </w:t>
      </w:r>
      <w:r w:rsidR="00CD61C0" w:rsidRPr="006A4403">
        <w:rPr>
          <w:i/>
        </w:rPr>
        <w:t>current</w:t>
      </w:r>
      <w:r w:rsidR="00CD61C0" w:rsidRPr="006A4403">
        <w:t>)</w:t>
      </w:r>
    </w:p>
    <w:p w14:paraId="5AEE6D8F" w14:textId="77777777" w:rsidR="00CD61C0" w:rsidRPr="006A4403" w:rsidRDefault="00CD61C0" w:rsidP="00CD61C0">
      <w:pPr>
        <w:pStyle w:val="Item"/>
      </w:pPr>
      <w:r w:rsidRPr="006A4403">
        <w:t>After “rule 4.14” insert “</w:t>
      </w:r>
      <w:bookmarkStart w:id="34" w:name="_Hlk121820206"/>
      <w:r w:rsidRPr="006A4403">
        <w:t>or 4.20K</w:t>
      </w:r>
      <w:bookmarkEnd w:id="34"/>
      <w:r w:rsidRPr="006A4403">
        <w:t>”.</w:t>
      </w:r>
    </w:p>
    <w:p w14:paraId="07EDF061" w14:textId="77777777" w:rsidR="00895004" w:rsidRPr="006A4403" w:rsidRDefault="004B0AB6" w:rsidP="00895004">
      <w:pPr>
        <w:pStyle w:val="ItemHead"/>
        <w:rPr>
          <w:noProof/>
        </w:rPr>
      </w:pPr>
      <w:r>
        <w:lastRenderedPageBreak/>
        <w:t>6</w:t>
      </w:r>
      <w:r w:rsidR="00895004" w:rsidRPr="006A4403">
        <w:t xml:space="preserve">  </w:t>
      </w:r>
      <w:r w:rsidR="00895004" w:rsidRPr="006A4403">
        <w:rPr>
          <w:noProof/>
        </w:rPr>
        <w:t xml:space="preserve">Subrule 1.7(1) (definition of </w:t>
      </w:r>
      <w:r w:rsidR="00895004" w:rsidRPr="006A4403">
        <w:rPr>
          <w:i/>
          <w:noProof/>
        </w:rPr>
        <w:t>meet the internal dispute resolution requirements</w:t>
      </w:r>
      <w:r w:rsidR="00895004" w:rsidRPr="006A4403">
        <w:rPr>
          <w:noProof/>
        </w:rPr>
        <w:t>)</w:t>
      </w:r>
    </w:p>
    <w:p w14:paraId="4E2B5C28" w14:textId="77777777" w:rsidR="00895004" w:rsidRPr="006A4403" w:rsidRDefault="00895004" w:rsidP="00895004">
      <w:pPr>
        <w:pStyle w:val="Item"/>
      </w:pPr>
      <w:bookmarkStart w:id="35" w:name="_Hlk121821866"/>
      <w:r w:rsidRPr="006A4403">
        <w:t>Repeal the definition, substitute:</w:t>
      </w:r>
    </w:p>
    <w:bookmarkEnd w:id="35"/>
    <w:p w14:paraId="707B36BB" w14:textId="77777777" w:rsidR="00895004" w:rsidRPr="006A4403" w:rsidRDefault="00895004" w:rsidP="00895004">
      <w:pPr>
        <w:pStyle w:val="Definition"/>
        <w:tabs>
          <w:tab w:val="left" w:pos="1985"/>
        </w:tabs>
      </w:pPr>
      <w:r w:rsidRPr="006A4403">
        <w:rPr>
          <w:b/>
          <w:i/>
        </w:rPr>
        <w:t>meet the internal dispute resolution requirements</w:t>
      </w:r>
      <w:r w:rsidRPr="006A4403">
        <w:t>, for a particular designated sector, has the meaning set out in the relevant sector Schedule.</w:t>
      </w:r>
    </w:p>
    <w:p w14:paraId="41EF99B9" w14:textId="77777777" w:rsidR="00895004" w:rsidRPr="006A4403" w:rsidRDefault="00895004" w:rsidP="00895004">
      <w:pPr>
        <w:pStyle w:val="notetext"/>
      </w:pPr>
      <w:r w:rsidRPr="006A4403">
        <w:t>Note:</w:t>
      </w:r>
      <w:r w:rsidRPr="006A4403">
        <w:tab/>
        <w:t>For the meaning of the term:</w:t>
      </w:r>
    </w:p>
    <w:p w14:paraId="1FE9165E" w14:textId="77777777" w:rsidR="00895004" w:rsidRPr="006A4403" w:rsidRDefault="00895004" w:rsidP="00895004">
      <w:pPr>
        <w:pStyle w:val="notepara"/>
        <w:ind w:left="2705" w:hanging="360"/>
      </w:pPr>
      <w:r w:rsidRPr="006A4403">
        <w:rPr>
          <w:rFonts w:ascii="Symbol" w:hAnsi="Symbol"/>
        </w:rPr>
        <w:t></w:t>
      </w:r>
      <w:r w:rsidRPr="006A4403">
        <w:rPr>
          <w:rFonts w:ascii="Symbol" w:hAnsi="Symbol"/>
        </w:rPr>
        <w:tab/>
      </w:r>
      <w:r w:rsidRPr="006A4403">
        <w:t>in the banking sector, see clause 5.1 of Schedule 3; and</w:t>
      </w:r>
    </w:p>
    <w:p w14:paraId="4C0BC48D" w14:textId="77777777" w:rsidR="00895004" w:rsidRPr="006A4403" w:rsidRDefault="00895004" w:rsidP="00895004">
      <w:pPr>
        <w:pStyle w:val="notepara"/>
        <w:ind w:left="2705" w:hanging="360"/>
      </w:pPr>
      <w:r w:rsidRPr="006A4403">
        <w:rPr>
          <w:rFonts w:ascii="Symbol" w:hAnsi="Symbol"/>
        </w:rPr>
        <w:t></w:t>
      </w:r>
      <w:r w:rsidRPr="006A4403">
        <w:rPr>
          <w:rFonts w:ascii="Symbol" w:hAnsi="Symbol"/>
        </w:rPr>
        <w:tab/>
      </w:r>
      <w:r w:rsidRPr="006A4403">
        <w:t>in the energy sector, see clause 5.1 of Schedule 4</w:t>
      </w:r>
      <w:r w:rsidR="00E75DE0" w:rsidRPr="006A4403">
        <w:t>.</w:t>
      </w:r>
    </w:p>
    <w:p w14:paraId="7A803C19" w14:textId="77777777" w:rsidR="00CD61C0" w:rsidRPr="006A4403" w:rsidRDefault="004B0AB6" w:rsidP="00CD61C0">
      <w:pPr>
        <w:pStyle w:val="ItemHead"/>
      </w:pPr>
      <w:r>
        <w:t>7</w:t>
      </w:r>
      <w:r w:rsidR="00723B2F" w:rsidRPr="006A4403">
        <w:t xml:space="preserve">  </w:t>
      </w:r>
      <w:r w:rsidR="00CD61C0" w:rsidRPr="006A4403">
        <w:t xml:space="preserve">Subrule 1.7(1) (definition of </w:t>
      </w:r>
      <w:r w:rsidR="00CD61C0" w:rsidRPr="006A4403">
        <w:rPr>
          <w:i/>
        </w:rPr>
        <w:t>outsourced service provider</w:t>
      </w:r>
      <w:r w:rsidR="00CD61C0" w:rsidRPr="006A4403">
        <w:t>)</w:t>
      </w:r>
    </w:p>
    <w:p w14:paraId="248E73FC" w14:textId="77777777" w:rsidR="00CD61C0" w:rsidRPr="006A4403" w:rsidRDefault="00CD61C0" w:rsidP="00CD61C0">
      <w:pPr>
        <w:pStyle w:val="Item"/>
      </w:pPr>
      <w:r w:rsidRPr="006A4403">
        <w:t>Repeal the definition.</w:t>
      </w:r>
    </w:p>
    <w:p w14:paraId="0804496A" w14:textId="77777777" w:rsidR="00CD61C0" w:rsidRPr="006A4403" w:rsidRDefault="004B0AB6" w:rsidP="00CD61C0">
      <w:pPr>
        <w:pStyle w:val="ItemHead"/>
      </w:pPr>
      <w:r>
        <w:t>8</w:t>
      </w:r>
      <w:r w:rsidR="00723B2F" w:rsidRPr="006A4403">
        <w:t xml:space="preserve">  </w:t>
      </w:r>
      <w:r w:rsidR="00CD61C0" w:rsidRPr="006A4403">
        <w:t xml:space="preserve">Subrule 1.7(1) (subparagraph (a)(ii) of the definition of </w:t>
      </w:r>
      <w:r w:rsidR="00CD61C0" w:rsidRPr="006A4403">
        <w:rPr>
          <w:i/>
        </w:rPr>
        <w:t>secondary user</w:t>
      </w:r>
      <w:r w:rsidR="00CD61C0" w:rsidRPr="006A4403">
        <w:t>)</w:t>
      </w:r>
    </w:p>
    <w:p w14:paraId="27812A32" w14:textId="77777777" w:rsidR="00CD61C0" w:rsidRPr="006A4403" w:rsidRDefault="00CD61C0" w:rsidP="00CD61C0">
      <w:pPr>
        <w:pStyle w:val="Item"/>
      </w:pPr>
      <w:r w:rsidRPr="006A4403">
        <w:t>Omit “requrements”, substitute “</w:t>
      </w:r>
      <w:bookmarkStart w:id="36" w:name="_Hlk121822289"/>
      <w:r w:rsidRPr="006A4403">
        <w:t>requirements</w:t>
      </w:r>
      <w:bookmarkEnd w:id="36"/>
      <w:r w:rsidRPr="006A4403">
        <w:t>”.</w:t>
      </w:r>
    </w:p>
    <w:p w14:paraId="213C8CF8" w14:textId="77777777" w:rsidR="003F0562" w:rsidRPr="006A4403" w:rsidRDefault="004B0AB6" w:rsidP="003F0562">
      <w:pPr>
        <w:pStyle w:val="ItemHead"/>
      </w:pPr>
      <w:r>
        <w:t>9</w:t>
      </w:r>
      <w:r w:rsidR="00723B2F" w:rsidRPr="006A4403">
        <w:t xml:space="preserve">  </w:t>
      </w:r>
      <w:r w:rsidR="003F0562" w:rsidRPr="006A4403">
        <w:t>Subrule 1.7(5)</w:t>
      </w:r>
    </w:p>
    <w:p w14:paraId="2AF8C08A" w14:textId="77777777" w:rsidR="003F0562" w:rsidRPr="006A4403" w:rsidRDefault="003F0562" w:rsidP="003F0562">
      <w:pPr>
        <w:pStyle w:val="Item"/>
      </w:pPr>
      <w:r w:rsidRPr="006A4403">
        <w:t>Repeal the subrule (not including the heading), substitute:</w:t>
      </w:r>
    </w:p>
    <w:p w14:paraId="23FF3BB0" w14:textId="77777777" w:rsidR="003F0562" w:rsidRPr="006A4403" w:rsidRDefault="003F0562" w:rsidP="003F0562">
      <w:pPr>
        <w:pStyle w:val="subsection"/>
      </w:pPr>
      <w:r w:rsidRPr="006A4403">
        <w:tab/>
        <w:t>(5)</w:t>
      </w:r>
      <w:r w:rsidRPr="006A4403">
        <w:tab/>
        <w:t>In these rules, unless the contrary intention appears, a reference to an accredited person making a consumer data request, collecting CDR data, obtaining consents, providing a consumer dashboard, or using or disclosing CDR data does not include a reference to an accredited person doing those things on behalf of an OSP principal in its capacity as a direct or indirect OSP of:</w:t>
      </w:r>
    </w:p>
    <w:p w14:paraId="11A18257" w14:textId="77777777" w:rsidR="003F0562" w:rsidRPr="006A4403" w:rsidRDefault="003F0562" w:rsidP="003F0562">
      <w:pPr>
        <w:pStyle w:val="paragraph"/>
      </w:pPr>
      <w:r w:rsidRPr="006A4403">
        <w:t xml:space="preserve"> </w:t>
      </w:r>
      <w:r w:rsidRPr="006A4403">
        <w:tab/>
        <w:t>(a)</w:t>
      </w:r>
      <w:r w:rsidRPr="006A4403">
        <w:tab/>
        <w:t>another accredited person; or</w:t>
      </w:r>
    </w:p>
    <w:p w14:paraId="7C120E4E" w14:textId="77777777" w:rsidR="003F0562" w:rsidRPr="006A4403" w:rsidRDefault="003F0562" w:rsidP="003F0562">
      <w:pPr>
        <w:pStyle w:val="paragraph"/>
      </w:pPr>
      <w:r w:rsidRPr="006A4403">
        <w:tab/>
        <w:t>(b)</w:t>
      </w:r>
      <w:r w:rsidRPr="006A4403">
        <w:tab/>
        <w:t>a CDR representative of itself or of another accredited person;</w:t>
      </w:r>
    </w:p>
    <w:p w14:paraId="5BBBCA35" w14:textId="77777777" w:rsidR="003F0562" w:rsidRPr="006A4403" w:rsidRDefault="003F0562" w:rsidP="003F0562">
      <w:pPr>
        <w:pStyle w:val="subsection2"/>
      </w:pPr>
      <w:r w:rsidRPr="006A4403">
        <w:t>in accordance with the relevant CDR outsourcing arrangement.</w:t>
      </w:r>
    </w:p>
    <w:p w14:paraId="4E494778" w14:textId="77777777" w:rsidR="003F0562" w:rsidRPr="006A4403" w:rsidRDefault="004B0AB6" w:rsidP="003F0562">
      <w:pPr>
        <w:pStyle w:val="ItemHead"/>
      </w:pPr>
      <w:r>
        <w:t>10</w:t>
      </w:r>
      <w:r w:rsidR="00723B2F" w:rsidRPr="006A4403">
        <w:t xml:space="preserve">  </w:t>
      </w:r>
      <w:r w:rsidR="003F0562" w:rsidRPr="006A4403">
        <w:t>Rule 1.8</w:t>
      </w:r>
    </w:p>
    <w:p w14:paraId="6C4795DE" w14:textId="77777777" w:rsidR="003F0562" w:rsidRPr="006A4403" w:rsidRDefault="003F0562" w:rsidP="003F0562">
      <w:pPr>
        <w:pStyle w:val="Item"/>
      </w:pPr>
      <w:r w:rsidRPr="006A4403">
        <w:t>Repeal the rule, substitute:</w:t>
      </w:r>
    </w:p>
    <w:p w14:paraId="114D463C" w14:textId="77777777" w:rsidR="003F0562" w:rsidRPr="006A4403" w:rsidRDefault="003F0562" w:rsidP="003F0562">
      <w:pPr>
        <w:pStyle w:val="ActHead5"/>
      </w:pPr>
      <w:bookmarkStart w:id="37" w:name="_Toc111130091"/>
      <w:bookmarkStart w:id="38" w:name="_Toc116895934"/>
      <w:bookmarkStart w:id="39" w:name="_Toc135295273"/>
      <w:bookmarkStart w:id="40" w:name="_Hlk121822533"/>
      <w:r w:rsidRPr="006A4403">
        <w:t>1.8  Data minimisation principle</w:t>
      </w:r>
      <w:bookmarkEnd w:id="37"/>
      <w:bookmarkEnd w:id="38"/>
      <w:bookmarkEnd w:id="39"/>
    </w:p>
    <w:p w14:paraId="5C8C2484" w14:textId="77777777" w:rsidR="003F0562" w:rsidRPr="006A4403" w:rsidRDefault="003F0562" w:rsidP="003F0562">
      <w:pPr>
        <w:pStyle w:val="notemargin"/>
      </w:pPr>
      <w:r w:rsidRPr="006A4403">
        <w:t>Note:</w:t>
      </w:r>
      <w:r w:rsidRPr="006A4403">
        <w:tab/>
        <w:t>The data minimisation principle</w:t>
      </w:r>
      <w:r w:rsidRPr="006A4403">
        <w:rPr>
          <w:b/>
          <w:i/>
        </w:rPr>
        <w:t xml:space="preserve"> </w:t>
      </w:r>
      <w:r w:rsidRPr="006A4403">
        <w:t>is relevant when:</w:t>
      </w:r>
    </w:p>
    <w:p w14:paraId="0761C90D" w14:textId="77777777" w:rsidR="003F0562" w:rsidRPr="006A4403" w:rsidRDefault="003F0562" w:rsidP="003F0562">
      <w:pPr>
        <w:pStyle w:val="notemargin"/>
        <w:spacing w:before="40"/>
        <w:ind w:left="1078" w:hanging="369"/>
      </w:pPr>
      <w:r w:rsidRPr="006A4403">
        <w:sym w:font="Symbol" w:char="F0B7"/>
      </w:r>
      <w:r w:rsidRPr="006A4403">
        <w:tab/>
        <w:t>a CDR consumer requests an accredited person or a CDR representative to provide goods or services to the CDR consumer or to another person; and</w:t>
      </w:r>
    </w:p>
    <w:p w14:paraId="4D6ABD2E" w14:textId="77777777" w:rsidR="003F0562" w:rsidRPr="006A4403" w:rsidRDefault="003F0562" w:rsidP="003F0562">
      <w:pPr>
        <w:pStyle w:val="notemargin"/>
        <w:spacing w:before="40"/>
        <w:ind w:left="1078" w:hanging="369"/>
      </w:pPr>
      <w:r w:rsidRPr="006A4403">
        <w:sym w:font="Symbol" w:char="F0B7"/>
      </w:r>
      <w:r w:rsidRPr="006A4403">
        <w:tab/>
        <w:t>the accredited person or CDR representative needs to access the CDR consumer’s CDR data in order to provide those goods or services.</w:t>
      </w:r>
    </w:p>
    <w:p w14:paraId="12E8762A" w14:textId="77777777" w:rsidR="003F0562" w:rsidRPr="006A4403" w:rsidRDefault="003F0562" w:rsidP="003F0562">
      <w:pPr>
        <w:pStyle w:val="notemargin"/>
      </w:pPr>
      <w:r w:rsidRPr="006A4403">
        <w:tab/>
        <w:t>The data minimisation principle is also relevant when an accredited person or CDR representative uses CDR data to provide requested goods or services to a CDR consumer.</w:t>
      </w:r>
    </w:p>
    <w:p w14:paraId="7B09E4AC" w14:textId="77777777" w:rsidR="003F0562" w:rsidRPr="006A4403" w:rsidRDefault="003F0562" w:rsidP="003F0562">
      <w:pPr>
        <w:pStyle w:val="notemargin"/>
      </w:pPr>
      <w:r w:rsidRPr="006A4403">
        <w:tab/>
        <w:t>The data minimisation principle limits the CDR data that can be collected, and also limits the uses that can be made of collected CDR data.</w:t>
      </w:r>
    </w:p>
    <w:p w14:paraId="45969C43" w14:textId="77777777" w:rsidR="003F0562" w:rsidRPr="006A4403" w:rsidRDefault="003F0562" w:rsidP="003F0562">
      <w:pPr>
        <w:pStyle w:val="subsection"/>
      </w:pPr>
      <w:r w:rsidRPr="006A4403">
        <w:tab/>
        <w:t>(1)</w:t>
      </w:r>
      <w:r w:rsidRPr="006A4403">
        <w:tab/>
        <w:t xml:space="preserve">The collection of CDR data by an accredited person complies with the </w:t>
      </w:r>
      <w:r w:rsidRPr="006A4403">
        <w:rPr>
          <w:b/>
          <w:i/>
        </w:rPr>
        <w:t xml:space="preserve">data minimisation principle </w:t>
      </w:r>
      <w:r w:rsidRPr="006A4403">
        <w:t>if, when making a consumer data request on behalf of a CDR consumer, the accredited person does not seek to collect:</w:t>
      </w:r>
    </w:p>
    <w:p w14:paraId="3DF580E5" w14:textId="77777777" w:rsidR="003F0562" w:rsidRPr="006A4403" w:rsidRDefault="003F0562" w:rsidP="003F0562">
      <w:pPr>
        <w:pStyle w:val="paragraph"/>
      </w:pPr>
      <w:r w:rsidRPr="006A4403">
        <w:tab/>
        <w:t>(a)</w:t>
      </w:r>
      <w:r w:rsidRPr="006A4403">
        <w:tab/>
        <w:t>more CDR data than is reasonably needed; or</w:t>
      </w:r>
    </w:p>
    <w:p w14:paraId="0E5EA0C5" w14:textId="77777777" w:rsidR="003F0562" w:rsidRPr="006A4403" w:rsidRDefault="003F0562" w:rsidP="003F0562">
      <w:pPr>
        <w:pStyle w:val="paragraph"/>
      </w:pPr>
      <w:r w:rsidRPr="006A4403">
        <w:tab/>
        <w:t>(b)</w:t>
      </w:r>
      <w:r w:rsidRPr="006A4403">
        <w:tab/>
        <w:t>CDR data that relates to a longer time period than is reasonably needed;</w:t>
      </w:r>
    </w:p>
    <w:p w14:paraId="5F4A554B" w14:textId="77777777" w:rsidR="003F0562" w:rsidRPr="006A4403" w:rsidRDefault="003F0562" w:rsidP="003F0562">
      <w:pPr>
        <w:pStyle w:val="subsection2"/>
      </w:pPr>
      <w:r w:rsidRPr="006A4403">
        <w:t>in order for it, or a relevant CDR representative, to provide the goods or services requested by the CDR consumer.</w:t>
      </w:r>
    </w:p>
    <w:p w14:paraId="41B71322" w14:textId="77777777" w:rsidR="003F0562" w:rsidRPr="006A4403" w:rsidRDefault="003F0562" w:rsidP="003F0562">
      <w:pPr>
        <w:pStyle w:val="subsection"/>
      </w:pPr>
      <w:r w:rsidRPr="006A4403">
        <w:lastRenderedPageBreak/>
        <w:tab/>
        <w:t>(2)</w:t>
      </w:r>
      <w:r w:rsidRPr="006A4403">
        <w:tab/>
        <w:t xml:space="preserve">The use of CDR data by an accredited person or a CDR representative complies with the </w:t>
      </w:r>
      <w:r w:rsidRPr="006A4403">
        <w:rPr>
          <w:b/>
          <w:i/>
        </w:rPr>
        <w:t xml:space="preserve">data minimisation principle </w:t>
      </w:r>
      <w:r w:rsidRPr="006A4403">
        <w:t>if, when providing the requested goods or services, or using collected CDR data for any other purpose consented to by the CDR consumer, it does not use the collected CDR data, or CDR data directly or indirectly derived from it, beyond what is reasonably needed in order to provide the requested goods or services or fulfil the other purpose.</w:t>
      </w:r>
    </w:p>
    <w:bookmarkEnd w:id="40"/>
    <w:p w14:paraId="2765E6FB" w14:textId="77777777" w:rsidR="003F0562" w:rsidRPr="006A4403" w:rsidRDefault="004B0AB6" w:rsidP="003F0562">
      <w:pPr>
        <w:pStyle w:val="ItemHead"/>
      </w:pPr>
      <w:r>
        <w:t>11</w:t>
      </w:r>
      <w:r w:rsidR="00723B2F" w:rsidRPr="006A4403">
        <w:t xml:space="preserve">  </w:t>
      </w:r>
      <w:r w:rsidR="003F0562" w:rsidRPr="006A4403">
        <w:t>Subrule 1.9(2) (note)</w:t>
      </w:r>
    </w:p>
    <w:p w14:paraId="0B5AE6AE" w14:textId="77777777" w:rsidR="003F0562" w:rsidRPr="006A4403" w:rsidRDefault="003F0562" w:rsidP="003F0562">
      <w:pPr>
        <w:pStyle w:val="Item"/>
      </w:pPr>
      <w:r w:rsidRPr="006A4403">
        <w:t>Before “Jervis Bay Territory” insert “The”.</w:t>
      </w:r>
    </w:p>
    <w:p w14:paraId="39505D3B" w14:textId="77777777" w:rsidR="00E02C2E" w:rsidRPr="006A4403" w:rsidRDefault="004B0AB6" w:rsidP="00E02C2E">
      <w:pPr>
        <w:pStyle w:val="ItemHead"/>
      </w:pPr>
      <w:bookmarkStart w:id="41" w:name="_Toc111131971"/>
      <w:bookmarkStart w:id="42" w:name="_Toc50041691"/>
      <w:bookmarkStart w:id="43" w:name="_Toc50708279"/>
      <w:bookmarkStart w:id="44" w:name="_Toc50708312"/>
      <w:r>
        <w:t>12</w:t>
      </w:r>
      <w:r w:rsidR="00723B2F" w:rsidRPr="006A4403">
        <w:t xml:space="preserve">  </w:t>
      </w:r>
      <w:r w:rsidR="00E02C2E" w:rsidRPr="006A4403">
        <w:t>Rules 1.10, 1.10AA and 1.10A</w:t>
      </w:r>
    </w:p>
    <w:p w14:paraId="5B1566DD" w14:textId="77777777" w:rsidR="00E02C2E" w:rsidRPr="006A4403" w:rsidRDefault="00E02C2E" w:rsidP="00E02C2E">
      <w:pPr>
        <w:pStyle w:val="Item"/>
      </w:pPr>
      <w:r w:rsidRPr="006A4403">
        <w:t>Repeal the rules, substitute:</w:t>
      </w:r>
    </w:p>
    <w:p w14:paraId="5F182298" w14:textId="77777777" w:rsidR="00E02C2E" w:rsidRPr="006A4403" w:rsidRDefault="00E02C2E" w:rsidP="00E02C2E">
      <w:pPr>
        <w:pStyle w:val="ActHead5"/>
      </w:pPr>
      <w:bookmarkStart w:id="45" w:name="_Toc121497305"/>
      <w:bookmarkStart w:id="46" w:name="_Toc122012708"/>
      <w:bookmarkStart w:id="47" w:name="_Toc135295274"/>
      <w:bookmarkStart w:id="48" w:name="_Toc121899123"/>
      <w:bookmarkEnd w:id="41"/>
      <w:bookmarkEnd w:id="42"/>
      <w:bookmarkEnd w:id="43"/>
      <w:bookmarkEnd w:id="44"/>
      <w:r w:rsidRPr="006A4403">
        <w:rPr>
          <w:shd w:val="clear" w:color="auto" w:fill="FFFFFF"/>
        </w:rPr>
        <w:t xml:space="preserve">1.10  Meaning of </w:t>
      </w:r>
      <w:r w:rsidRPr="006A4403">
        <w:rPr>
          <w:i/>
          <w:shd w:val="clear" w:color="auto" w:fill="FFFFFF"/>
        </w:rPr>
        <w:t>direct OSP</w:t>
      </w:r>
      <w:r w:rsidRPr="006A4403">
        <w:t xml:space="preserve">, </w:t>
      </w:r>
      <w:r w:rsidRPr="006A4403">
        <w:rPr>
          <w:i/>
          <w:shd w:val="clear" w:color="auto" w:fill="FFFFFF"/>
        </w:rPr>
        <w:t xml:space="preserve">indirect OSP </w:t>
      </w:r>
      <w:r w:rsidRPr="006A4403">
        <w:rPr>
          <w:shd w:val="clear" w:color="auto" w:fill="FFFFFF"/>
        </w:rPr>
        <w:t xml:space="preserve">and related </w:t>
      </w:r>
      <w:r w:rsidRPr="006A4403">
        <w:t>terms</w:t>
      </w:r>
      <w:bookmarkEnd w:id="45"/>
      <w:bookmarkEnd w:id="46"/>
      <w:bookmarkEnd w:id="47"/>
    </w:p>
    <w:p w14:paraId="3BF41A27" w14:textId="77777777" w:rsidR="00E02C2E" w:rsidRPr="006A4403" w:rsidRDefault="00E02C2E" w:rsidP="00E02C2E">
      <w:pPr>
        <w:pStyle w:val="SubsectionHead"/>
      </w:pPr>
      <w:r w:rsidRPr="006A4403">
        <w:t>Persons in a chain of outsourced service providers</w:t>
      </w:r>
    </w:p>
    <w:p w14:paraId="1E9C2A74" w14:textId="77777777" w:rsidR="00E02C2E" w:rsidRPr="006A4403" w:rsidRDefault="00E02C2E" w:rsidP="00E02C2E">
      <w:pPr>
        <w:pStyle w:val="subsection"/>
      </w:pPr>
      <w:r w:rsidRPr="006A4403">
        <w:tab/>
        <w:t>(1)</w:t>
      </w:r>
      <w:r w:rsidRPr="006A4403">
        <w:tab/>
        <w:t>In these rules, where a person who is an accredited person or a CDR representative is the principal in one or more CDR outsourcing arrangements:</w:t>
      </w:r>
    </w:p>
    <w:p w14:paraId="68156746" w14:textId="77777777" w:rsidR="00E02C2E" w:rsidRPr="006A4403" w:rsidRDefault="00E02C2E" w:rsidP="00E02C2E">
      <w:pPr>
        <w:pStyle w:val="paragraph"/>
      </w:pPr>
      <w:r w:rsidRPr="006A4403">
        <w:tab/>
        <w:t>(a)</w:t>
      </w:r>
      <w:r w:rsidRPr="006A4403">
        <w:tab/>
        <w:t xml:space="preserve">the provider in each such arrangement is a </w:t>
      </w:r>
      <w:r w:rsidRPr="006A4403">
        <w:rPr>
          <w:b/>
          <w:i/>
        </w:rPr>
        <w:t>direct OSP</w:t>
      </w:r>
      <w:r w:rsidRPr="006A4403">
        <w:t xml:space="preserve"> (for “direct outsourced service provider”) of the person; and</w:t>
      </w:r>
    </w:p>
    <w:p w14:paraId="1827DF0B" w14:textId="77777777" w:rsidR="00E02C2E" w:rsidRPr="006A4403" w:rsidRDefault="00E02C2E" w:rsidP="00E02C2E">
      <w:pPr>
        <w:pStyle w:val="paragraph"/>
      </w:pPr>
      <w:r w:rsidRPr="006A4403">
        <w:tab/>
        <w:t>(b)</w:t>
      </w:r>
      <w:r w:rsidRPr="006A4403">
        <w:tab/>
        <w:t xml:space="preserve">where a direct OSP of the person is also the principal in a further CDR outsourcing arrangement, the provider in the further arrangement is an </w:t>
      </w:r>
      <w:r w:rsidRPr="006A4403">
        <w:rPr>
          <w:b/>
          <w:i/>
        </w:rPr>
        <w:t>indirect OSP</w:t>
      </w:r>
      <w:r w:rsidRPr="006A4403">
        <w:t xml:space="preserve"> of the person; and</w:t>
      </w:r>
    </w:p>
    <w:p w14:paraId="4CA47114" w14:textId="77777777" w:rsidR="00E02C2E" w:rsidRPr="006A4403" w:rsidRDefault="00E02C2E" w:rsidP="00E02C2E">
      <w:pPr>
        <w:pStyle w:val="paragraph"/>
      </w:pPr>
      <w:r w:rsidRPr="006A4403">
        <w:tab/>
        <w:t>(c)</w:t>
      </w:r>
      <w:r w:rsidRPr="006A4403">
        <w:tab/>
        <w:t xml:space="preserve">where an indirect OSP of the person is also the principal in a further CDR outsourcing arrangement, the provider in the further arrangement is also an </w:t>
      </w:r>
      <w:r w:rsidRPr="006A4403">
        <w:rPr>
          <w:b/>
          <w:i/>
        </w:rPr>
        <w:t>indirect OSP</w:t>
      </w:r>
      <w:r w:rsidRPr="006A4403">
        <w:t xml:space="preserve"> of the person; and</w:t>
      </w:r>
    </w:p>
    <w:p w14:paraId="5B92DC10" w14:textId="77777777" w:rsidR="00E02C2E" w:rsidRPr="006A4403" w:rsidRDefault="00E02C2E" w:rsidP="00E02C2E">
      <w:pPr>
        <w:pStyle w:val="paragraph"/>
      </w:pPr>
      <w:r w:rsidRPr="006A4403">
        <w:tab/>
        <w:t>(d)</w:t>
      </w:r>
      <w:r w:rsidRPr="006A4403">
        <w:tab/>
        <w:t xml:space="preserve">the person is the </w:t>
      </w:r>
      <w:r w:rsidRPr="006A4403">
        <w:rPr>
          <w:b/>
          <w:i/>
        </w:rPr>
        <w:t>OSP chain principal</w:t>
      </w:r>
      <w:r w:rsidRPr="006A4403">
        <w:t xml:space="preserve"> of each direct and indirect OSP.</w:t>
      </w:r>
    </w:p>
    <w:p w14:paraId="2C113CD0" w14:textId="77777777" w:rsidR="00E02C2E" w:rsidRPr="006A4403" w:rsidRDefault="00E02C2E" w:rsidP="00E02C2E">
      <w:pPr>
        <w:pStyle w:val="notetext"/>
      </w:pPr>
      <w:r w:rsidRPr="006A4403">
        <w:t>Note:</w:t>
      </w:r>
      <w:r w:rsidRPr="006A4403">
        <w:tab/>
        <w:t>Paragraph (c) can be applied repeatedly, so there may be a chain of indirect OSPs for each direct OSP.</w:t>
      </w:r>
    </w:p>
    <w:p w14:paraId="2C56B9BA" w14:textId="77777777" w:rsidR="00E02C2E" w:rsidRPr="006A4403" w:rsidRDefault="00E02C2E" w:rsidP="00E02C2E">
      <w:pPr>
        <w:pStyle w:val="subsection"/>
      </w:pPr>
      <w:bookmarkStart w:id="49" w:name="_Hlk122078406"/>
      <w:r w:rsidRPr="006A4403">
        <w:tab/>
        <w:t>(2)</w:t>
      </w:r>
      <w:r w:rsidRPr="006A4403">
        <w:tab/>
      </w:r>
      <w:bookmarkStart w:id="50" w:name="_Hlk120646829"/>
      <w:r w:rsidRPr="006A4403">
        <w:t>Paragraph (1)(d) does not apply in relation to a person who is an accredited person or CDR representative that is a direct or indirect OSP of an OSP chain principal.</w:t>
      </w:r>
      <w:bookmarkEnd w:id="50"/>
    </w:p>
    <w:bookmarkEnd w:id="49"/>
    <w:p w14:paraId="161FD6F6" w14:textId="77777777" w:rsidR="00E02C2E" w:rsidRPr="006A4403" w:rsidRDefault="00E02C2E" w:rsidP="00E02C2E">
      <w:pPr>
        <w:pStyle w:val="SubsectionHead"/>
      </w:pPr>
      <w:r w:rsidRPr="006A4403">
        <w:t>Content of a CDR outsourcing arrangement</w:t>
      </w:r>
    </w:p>
    <w:p w14:paraId="5E864C4B" w14:textId="77777777" w:rsidR="00E02C2E" w:rsidRPr="006A4403" w:rsidRDefault="00E02C2E" w:rsidP="00E02C2E">
      <w:pPr>
        <w:pStyle w:val="subsection"/>
      </w:pPr>
      <w:r w:rsidRPr="006A4403">
        <w:tab/>
        <w:t>(3)</w:t>
      </w:r>
      <w:r w:rsidRPr="006A4403">
        <w:tab/>
        <w:t xml:space="preserve">In these rules, a </w:t>
      </w:r>
      <w:r w:rsidRPr="006A4403">
        <w:rPr>
          <w:b/>
          <w:i/>
        </w:rPr>
        <w:t>CDR</w:t>
      </w:r>
      <w:r w:rsidRPr="006A4403">
        <w:t xml:space="preserve"> </w:t>
      </w:r>
      <w:r w:rsidRPr="006A4403">
        <w:rPr>
          <w:b/>
          <w:i/>
        </w:rPr>
        <w:t>outsourcing arrangement</w:t>
      </w:r>
      <w:r w:rsidRPr="006A4403">
        <w:t xml:space="preserve"> is a written contract between a person (the </w:t>
      </w:r>
      <w:r w:rsidRPr="006A4403">
        <w:rPr>
          <w:b/>
          <w:i/>
        </w:rPr>
        <w:t>OSP principal</w:t>
      </w:r>
      <w:r w:rsidRPr="006A4403">
        <w:t>)</w:t>
      </w:r>
      <w:r w:rsidRPr="006A4403">
        <w:rPr>
          <w:b/>
          <w:i/>
        </w:rPr>
        <w:t xml:space="preserve"> </w:t>
      </w:r>
      <w:r w:rsidRPr="006A4403">
        <w:t xml:space="preserve">and another person (the </w:t>
      </w:r>
      <w:r w:rsidRPr="006A4403">
        <w:rPr>
          <w:b/>
          <w:i/>
        </w:rPr>
        <w:t>provider</w:t>
      </w:r>
      <w:r w:rsidRPr="006A4403">
        <w:t>) under which:</w:t>
      </w:r>
    </w:p>
    <w:p w14:paraId="6129CA89" w14:textId="77777777" w:rsidR="00E02C2E" w:rsidRPr="006A4403" w:rsidRDefault="00E02C2E" w:rsidP="00E02C2E">
      <w:pPr>
        <w:pStyle w:val="paragraph"/>
      </w:pPr>
      <w:r w:rsidRPr="006A4403">
        <w:tab/>
        <w:t>(a)</w:t>
      </w:r>
      <w:r w:rsidRPr="006A4403">
        <w:tab/>
        <w:t>the provider will do one or both of the following:</w:t>
      </w:r>
    </w:p>
    <w:p w14:paraId="1B4BDC30" w14:textId="77777777" w:rsidR="00E02C2E" w:rsidRPr="006A4403" w:rsidRDefault="00E02C2E" w:rsidP="00E02C2E">
      <w:pPr>
        <w:pStyle w:val="paragraphsub"/>
      </w:pPr>
      <w:r w:rsidRPr="006A4403">
        <w:tab/>
        <w:t>(i)</w:t>
      </w:r>
      <w:r w:rsidRPr="006A4403">
        <w:tab/>
        <w:t xml:space="preserve">collect CDR data from a CDR participant in accordance with these rules on behalf of the OSP chain principal (for an OSP chain principal </w:t>
      </w:r>
      <w:bookmarkStart w:id="51" w:name="_Hlk120617543"/>
      <w:r w:rsidRPr="006A4403">
        <w:t>with unrestricted accreditation</w:t>
      </w:r>
      <w:bookmarkEnd w:id="51"/>
      <w:r w:rsidRPr="006A4403">
        <w:t>);</w:t>
      </w:r>
      <w:bookmarkStart w:id="52" w:name="_Hlk120615205"/>
    </w:p>
    <w:bookmarkEnd w:id="52"/>
    <w:p w14:paraId="484ADEED" w14:textId="77777777" w:rsidR="00E02C2E" w:rsidRPr="006A4403" w:rsidRDefault="00E02C2E" w:rsidP="00E02C2E">
      <w:pPr>
        <w:pStyle w:val="paragraphsub"/>
      </w:pPr>
      <w:r w:rsidRPr="006A4403">
        <w:tab/>
        <w:t>(ii)</w:t>
      </w:r>
      <w:r w:rsidRPr="006A4403">
        <w:tab/>
        <w:t>use or disclose service data to provide specified goods or services to the OSP principal; and</w:t>
      </w:r>
    </w:p>
    <w:p w14:paraId="7B56FA7E" w14:textId="77777777" w:rsidR="00E02C2E" w:rsidRPr="006A4403" w:rsidRDefault="00E02C2E" w:rsidP="00E02C2E">
      <w:pPr>
        <w:pStyle w:val="paragraph"/>
      </w:pPr>
      <w:r w:rsidRPr="006A4403">
        <w:tab/>
        <w:t>(b)</w:t>
      </w:r>
      <w:r w:rsidRPr="006A4403">
        <w:tab/>
        <w:t>the provider is required to comply with the following requirements in relation to any service data:</w:t>
      </w:r>
    </w:p>
    <w:p w14:paraId="52D4B027" w14:textId="77777777" w:rsidR="00E02C2E" w:rsidRPr="006A4403" w:rsidRDefault="00E02C2E" w:rsidP="00E02C2E">
      <w:pPr>
        <w:pStyle w:val="paragraphsub"/>
      </w:pPr>
      <w:bookmarkStart w:id="53" w:name="_Hlk120621501"/>
      <w:r w:rsidRPr="006A4403">
        <w:tab/>
        <w:t>(i)</w:t>
      </w:r>
      <w:r w:rsidRPr="006A4403">
        <w:tab/>
        <w:t>in holding, using or disclosing the service data, the provider must comply with the following as if it were the OSP principal:</w:t>
      </w:r>
    </w:p>
    <w:p w14:paraId="4476B616" w14:textId="77777777" w:rsidR="00E02C2E" w:rsidRPr="006A4403" w:rsidRDefault="00E02C2E" w:rsidP="00E02C2E">
      <w:pPr>
        <w:pStyle w:val="paragraphsub-sub"/>
      </w:pPr>
      <w:bookmarkStart w:id="54" w:name="_Hlk120622219"/>
      <w:r w:rsidRPr="006A4403">
        <w:t xml:space="preserve"> </w:t>
      </w:r>
      <w:r w:rsidRPr="006A4403">
        <w:tab/>
        <w:t>(A)</w:t>
      </w:r>
      <w:r w:rsidRPr="006A4403">
        <w:tab/>
      </w:r>
      <w:bookmarkStart w:id="55" w:name="_Hlk121424544"/>
      <w:r w:rsidRPr="006A4403">
        <w:t>the OSP principal’s CDR policy as it relates to deletion and de</w:t>
      </w:r>
      <w:r w:rsidRPr="006A4403">
        <w:noBreakHyphen/>
        <w:t>identification of CDR data and the treatment of redundant or de</w:t>
      </w:r>
      <w:r w:rsidRPr="006A4403">
        <w:noBreakHyphen/>
        <w:t>identified CDR data;</w:t>
      </w:r>
      <w:bookmarkEnd w:id="55"/>
    </w:p>
    <w:p w14:paraId="193455BE" w14:textId="77777777" w:rsidR="00E02C2E" w:rsidRPr="006A4403" w:rsidRDefault="00E02C2E" w:rsidP="00E02C2E">
      <w:pPr>
        <w:pStyle w:val="paragraphsub-sub"/>
      </w:pPr>
      <w:r w:rsidRPr="006A4403">
        <w:lastRenderedPageBreak/>
        <w:tab/>
        <w:t>(B)</w:t>
      </w:r>
      <w:r w:rsidRPr="006A4403">
        <w:tab/>
        <w:t xml:space="preserve">section 56EG of the Act (privacy safeguard 4); </w:t>
      </w:r>
    </w:p>
    <w:p w14:paraId="07CA1525" w14:textId="77777777" w:rsidR="00E02C2E" w:rsidRPr="006A4403" w:rsidRDefault="00E02C2E" w:rsidP="00E02C2E">
      <w:pPr>
        <w:pStyle w:val="paragraphsub-sub"/>
      </w:pPr>
      <w:r w:rsidRPr="006A4403">
        <w:tab/>
        <w:t>(C)</w:t>
      </w:r>
      <w:r w:rsidRPr="006A4403">
        <w:tab/>
        <w:t xml:space="preserve">section 56EI of the Act (privacy safeguard 6); </w:t>
      </w:r>
    </w:p>
    <w:p w14:paraId="6E99EBFA" w14:textId="77777777" w:rsidR="00E02C2E" w:rsidRPr="006A4403" w:rsidRDefault="00E02C2E" w:rsidP="00E02C2E">
      <w:pPr>
        <w:pStyle w:val="paragraphsub-sub"/>
      </w:pPr>
      <w:r w:rsidRPr="006A4403">
        <w:tab/>
        <w:t>(D)</w:t>
      </w:r>
      <w:r w:rsidRPr="006A4403">
        <w:tab/>
        <w:t>section 56EJ of the Act (privacy safeguard 7);</w:t>
      </w:r>
    </w:p>
    <w:p w14:paraId="21FED739" w14:textId="77777777" w:rsidR="00E02C2E" w:rsidRPr="006A4403" w:rsidRDefault="00E02C2E" w:rsidP="00E02C2E">
      <w:pPr>
        <w:pStyle w:val="paragraphsub-sub"/>
      </w:pPr>
      <w:r w:rsidRPr="006A4403">
        <w:tab/>
        <w:t>(E)</w:t>
      </w:r>
      <w:r w:rsidRPr="006A4403">
        <w:tab/>
        <w:t>section 56EK of the Act (privacy safeguard 8);</w:t>
      </w:r>
    </w:p>
    <w:bookmarkEnd w:id="53"/>
    <w:p w14:paraId="489373DB" w14:textId="77777777" w:rsidR="00E02C2E" w:rsidRPr="006A4403" w:rsidRDefault="00E02C2E" w:rsidP="00E02C2E">
      <w:pPr>
        <w:pStyle w:val="paragraphsub-sub"/>
      </w:pPr>
      <w:r w:rsidRPr="006A4403">
        <w:tab/>
        <w:t>(F)</w:t>
      </w:r>
      <w:r w:rsidRPr="006A4403">
        <w:tab/>
        <w:t>section 56EL of the Act (privacy safeguard 9);</w:t>
      </w:r>
    </w:p>
    <w:bookmarkEnd w:id="54"/>
    <w:p w14:paraId="5BD083B4" w14:textId="77777777" w:rsidR="00E02C2E" w:rsidRPr="006A4403" w:rsidRDefault="00E02C2E" w:rsidP="00E02C2E">
      <w:pPr>
        <w:pStyle w:val="paragraphsub"/>
      </w:pPr>
      <w:r w:rsidRPr="006A4403">
        <w:tab/>
        <w:t>(ii)</w:t>
      </w:r>
      <w:r w:rsidRPr="006A4403">
        <w:tab/>
        <w:t>the provider must take the steps in Schedule 2 to protect the service data as if it were an accredited data recipient;</w:t>
      </w:r>
    </w:p>
    <w:p w14:paraId="695986DA" w14:textId="77777777" w:rsidR="00E02C2E" w:rsidRPr="006A4403" w:rsidRDefault="00E02C2E" w:rsidP="00E02C2E">
      <w:pPr>
        <w:pStyle w:val="paragraphsub"/>
      </w:pPr>
      <w:r w:rsidRPr="006A4403">
        <w:tab/>
        <w:t>(iii)</w:t>
      </w:r>
      <w:r w:rsidRPr="006A4403">
        <w:tab/>
        <w:t xml:space="preserve">the provider must not disclose service data other than: </w:t>
      </w:r>
    </w:p>
    <w:p w14:paraId="2A9739B4" w14:textId="77777777" w:rsidR="00E02C2E" w:rsidRPr="006A4403" w:rsidRDefault="00E02C2E" w:rsidP="00E02C2E">
      <w:pPr>
        <w:pStyle w:val="paragraphsub-sub"/>
      </w:pPr>
      <w:r w:rsidRPr="006A4403">
        <w:tab/>
        <w:t>(A)</w:t>
      </w:r>
      <w:r w:rsidRPr="006A4403">
        <w:tab/>
        <w:t>to another direct or indirect OSP of the OSP chain principal; or</w:t>
      </w:r>
    </w:p>
    <w:p w14:paraId="068D866F" w14:textId="77777777" w:rsidR="00E02C2E" w:rsidRPr="006A4403" w:rsidRDefault="00E02C2E" w:rsidP="00E02C2E">
      <w:pPr>
        <w:pStyle w:val="paragraphsub-sub"/>
      </w:pPr>
      <w:r w:rsidRPr="006A4403">
        <w:tab/>
        <w:t>(B)</w:t>
      </w:r>
      <w:r w:rsidRPr="006A4403">
        <w:tab/>
        <w:t>to the OSP chain principal; or</w:t>
      </w:r>
    </w:p>
    <w:p w14:paraId="7E6B1435" w14:textId="77777777" w:rsidR="00E02C2E" w:rsidRPr="006A4403" w:rsidRDefault="00E02C2E" w:rsidP="00E02C2E">
      <w:pPr>
        <w:pStyle w:val="paragraphsub-sub"/>
      </w:pPr>
      <w:r w:rsidRPr="006A4403">
        <w:tab/>
        <w:t>(C)</w:t>
      </w:r>
      <w:r w:rsidRPr="006A4403">
        <w:tab/>
        <w:t>in circumstances where the disclosure of the service data by the OSP chain principal would be permitted under these rules;</w:t>
      </w:r>
    </w:p>
    <w:p w14:paraId="6CF324D2" w14:textId="77777777" w:rsidR="00E02C2E" w:rsidRPr="006A4403" w:rsidRDefault="00E02C2E" w:rsidP="00E02C2E">
      <w:pPr>
        <w:pStyle w:val="paragraphsub"/>
      </w:pPr>
      <w:r w:rsidRPr="006A4403">
        <w:tab/>
        <w:t>(iv)</w:t>
      </w:r>
      <w:r w:rsidRPr="006A4403">
        <w:tab/>
        <w:t>the provider must not use or disclose the service data other than in accordance with a contract with the OSP principal; and</w:t>
      </w:r>
    </w:p>
    <w:p w14:paraId="46D877F6" w14:textId="77777777" w:rsidR="00E02C2E" w:rsidRPr="006A4403" w:rsidRDefault="00E02C2E" w:rsidP="00E02C2E">
      <w:pPr>
        <w:pStyle w:val="paragraphsub"/>
      </w:pPr>
      <w:bookmarkStart w:id="56" w:name="_Hlk120803204"/>
      <w:r w:rsidRPr="006A4403">
        <w:tab/>
        <w:t>(v)</w:t>
      </w:r>
      <w:r w:rsidRPr="006A4403">
        <w:tab/>
        <w:t>the provider must:</w:t>
      </w:r>
    </w:p>
    <w:p w14:paraId="797EF2F4" w14:textId="77777777" w:rsidR="00E02C2E" w:rsidRPr="006A4403" w:rsidRDefault="00E02C2E" w:rsidP="00E02C2E">
      <w:pPr>
        <w:pStyle w:val="paragraphsub-sub"/>
      </w:pPr>
      <w:r w:rsidRPr="006A4403">
        <w:tab/>
        <w:t>(A)</w:t>
      </w:r>
      <w:r w:rsidRPr="006A4403">
        <w:tab/>
        <w:t>when directed by the OSP principal, do any of the things referred to in paragraphs (5)(a), (b), (c) or (d); and</w:t>
      </w:r>
    </w:p>
    <w:p w14:paraId="163B6BA3" w14:textId="77777777" w:rsidR="00E02C2E" w:rsidRPr="006A4403" w:rsidRDefault="00E02C2E" w:rsidP="00E02C2E">
      <w:pPr>
        <w:pStyle w:val="paragraphsub-sub"/>
      </w:pPr>
      <w:r w:rsidRPr="006A4403">
        <w:tab/>
        <w:t>(B)</w:t>
      </w:r>
      <w:r w:rsidRPr="006A4403">
        <w:tab/>
        <w:t xml:space="preserve">when directed by the OSP chain principal, do any of the things referred to in paragraphs (5)(a), (b), (c) or (d); and </w:t>
      </w:r>
    </w:p>
    <w:p w14:paraId="009CFC66" w14:textId="77777777" w:rsidR="00E02C2E" w:rsidRPr="006A4403" w:rsidRDefault="00E02C2E" w:rsidP="00E02C2E">
      <w:pPr>
        <w:pStyle w:val="paragraphsub-sub"/>
      </w:pPr>
      <w:r w:rsidRPr="006A4403">
        <w:tab/>
        <w:t>(C)</w:t>
      </w:r>
      <w:r w:rsidRPr="006A4403">
        <w:tab/>
        <w:t>if the OSP chain principal is a CDR representative—when directed by the CDR representative principal of the OSP chain principal, do any of the things referred to in paragraphs (5)(b), (c) or (d);</w:t>
      </w:r>
    </w:p>
    <w:bookmarkEnd w:id="56"/>
    <w:p w14:paraId="218B80AA" w14:textId="77777777" w:rsidR="00E02C2E" w:rsidRPr="006A4403" w:rsidRDefault="00E02C2E" w:rsidP="00E02C2E">
      <w:pPr>
        <w:pStyle w:val="paragraphsub"/>
      </w:pPr>
      <w:r w:rsidRPr="006A4403">
        <w:tab/>
        <w:t>(vi)</w:t>
      </w:r>
      <w:r w:rsidRPr="006A4403">
        <w:tab/>
        <w:t xml:space="preserve">if the provider is the OSP principal in a further CDR outsourcing arrangement (the </w:t>
      </w:r>
      <w:r w:rsidRPr="006A4403">
        <w:rPr>
          <w:b/>
          <w:i/>
        </w:rPr>
        <w:t>arrangement</w:t>
      </w:r>
      <w:r w:rsidRPr="006A4403">
        <w:t xml:space="preserve">), it must ensure that the other person in the arrangement complies with the requirements of the arrangement, including in relation to service data of the other person that was disclosed to it by the OSP chain principal or another direct or indirect OSP of the OSP chain principal. </w:t>
      </w:r>
    </w:p>
    <w:p w14:paraId="7FD3C8A8" w14:textId="77777777" w:rsidR="00E02C2E" w:rsidRPr="006A4403" w:rsidRDefault="00E02C2E" w:rsidP="00E02C2E">
      <w:pPr>
        <w:pStyle w:val="notetext"/>
      </w:pPr>
      <w:r w:rsidRPr="006A4403">
        <w:t>Note:</w:t>
      </w:r>
      <w:r w:rsidRPr="006A4403">
        <w:tab/>
        <w:t>See rule 1.18 for the definition of “CDR data deletion process”.</w:t>
      </w:r>
    </w:p>
    <w:p w14:paraId="7AC5C4A2" w14:textId="77777777" w:rsidR="00E02C2E" w:rsidRPr="006A4403" w:rsidRDefault="00E02C2E" w:rsidP="00E02C2E">
      <w:pPr>
        <w:pStyle w:val="subsection"/>
      </w:pPr>
      <w:bookmarkStart w:id="57" w:name="_Hlk120616970"/>
      <w:r w:rsidRPr="006A4403">
        <w:tab/>
        <w:t>(4)</w:t>
      </w:r>
      <w:r w:rsidRPr="006A4403">
        <w:tab/>
        <w:t>For subparagraph (3)(a)(ii), the provision of the specified goods or services must be:</w:t>
      </w:r>
    </w:p>
    <w:p w14:paraId="10157D28" w14:textId="77777777" w:rsidR="00E02C2E" w:rsidRPr="006A4403" w:rsidRDefault="00E02C2E" w:rsidP="00E02C2E">
      <w:pPr>
        <w:pStyle w:val="paragraph"/>
      </w:pPr>
      <w:r w:rsidRPr="006A4403">
        <w:tab/>
        <w:t>(a)</w:t>
      </w:r>
      <w:r w:rsidRPr="006A4403">
        <w:tab/>
      </w:r>
      <w:bookmarkStart w:id="58" w:name="_Hlk115446869"/>
      <w:r w:rsidRPr="006A4403">
        <w:t xml:space="preserve">where the OSP principal is the </w:t>
      </w:r>
      <w:bookmarkStart w:id="59" w:name="_Hlk120615411"/>
      <w:r w:rsidRPr="006A4403">
        <w:t>OSP</w:t>
      </w:r>
      <w:bookmarkEnd w:id="59"/>
      <w:r w:rsidRPr="006A4403">
        <w:t xml:space="preserve"> chain principal—for the purpose of enabling the OSP chain principal to provide CDR consumers for the service data with the goods and services for the purposes of which a relevant consent to collect the service data, or the CDR data from which it </w:t>
      </w:r>
      <w:r w:rsidR="00C0758B">
        <w:tab/>
      </w:r>
      <w:r w:rsidRPr="006A4403">
        <w:t>was directly or indirectly derived, was given; and</w:t>
      </w:r>
      <w:bookmarkEnd w:id="58"/>
    </w:p>
    <w:p w14:paraId="236F1637" w14:textId="77777777" w:rsidR="00E02C2E" w:rsidRPr="006A4403" w:rsidRDefault="00E02C2E" w:rsidP="00E02C2E">
      <w:pPr>
        <w:pStyle w:val="paragraph"/>
      </w:pPr>
      <w:r w:rsidRPr="006A4403">
        <w:tab/>
        <w:t>(b)</w:t>
      </w:r>
      <w:r w:rsidRPr="006A4403">
        <w:tab/>
        <w:t>otherwise—for the purpose of enabling the OSP principal to provide the goods and services specified in the CDR outsourcing arrangement for which it is the provider.</w:t>
      </w:r>
    </w:p>
    <w:p w14:paraId="77B3F5AC" w14:textId="77777777" w:rsidR="00E02C2E" w:rsidRPr="006A4403" w:rsidRDefault="00E02C2E" w:rsidP="00E02C2E">
      <w:pPr>
        <w:pStyle w:val="subsection"/>
      </w:pPr>
      <w:r w:rsidRPr="006A4403">
        <w:tab/>
        <w:t>(5)</w:t>
      </w:r>
      <w:r w:rsidRPr="006A4403">
        <w:tab/>
        <w:t>For subparagraph (3)(b)(v), the things are the following:</w:t>
      </w:r>
    </w:p>
    <w:p w14:paraId="4DE4C271" w14:textId="77777777" w:rsidR="00E02C2E" w:rsidRPr="006A4403" w:rsidRDefault="00E02C2E" w:rsidP="00E02C2E">
      <w:pPr>
        <w:pStyle w:val="paragraph"/>
      </w:pPr>
      <w:r w:rsidRPr="006A4403">
        <w:tab/>
        <w:t>(a)</w:t>
      </w:r>
      <w:r w:rsidRPr="006A4403">
        <w:tab/>
        <w:t>provide that person with access to any service data that it holds;</w:t>
      </w:r>
    </w:p>
    <w:p w14:paraId="5C0445BC" w14:textId="77777777" w:rsidR="00E02C2E" w:rsidRPr="006A4403" w:rsidRDefault="00E02C2E" w:rsidP="00E02C2E">
      <w:pPr>
        <w:pStyle w:val="paragraph"/>
      </w:pPr>
      <w:r w:rsidRPr="006A4403">
        <w:tab/>
        <w:t>(b)</w:t>
      </w:r>
      <w:r w:rsidRPr="006A4403">
        <w:tab/>
        <w:t>in accordance with the CDR data deletion process, delete any service data that it holds and make the required records;</w:t>
      </w:r>
    </w:p>
    <w:p w14:paraId="2AF43196" w14:textId="77777777" w:rsidR="00E02C2E" w:rsidRPr="006A4403" w:rsidRDefault="00E02C2E" w:rsidP="00E02C2E">
      <w:pPr>
        <w:pStyle w:val="paragraph"/>
      </w:pPr>
      <w:r w:rsidRPr="006A4403">
        <w:tab/>
        <w:t>(c)</w:t>
      </w:r>
      <w:r w:rsidRPr="006A4403">
        <w:tab/>
        <w:t>provide to that person any such required records;</w:t>
      </w:r>
    </w:p>
    <w:p w14:paraId="751F1DBB" w14:textId="77777777" w:rsidR="00E02C2E" w:rsidRPr="006A4403" w:rsidRDefault="00E02C2E" w:rsidP="00E02C2E">
      <w:pPr>
        <w:pStyle w:val="paragraph"/>
      </w:pPr>
      <w:r w:rsidRPr="006A4403">
        <w:tab/>
        <w:t>(d)</w:t>
      </w:r>
      <w:r w:rsidRPr="006A4403">
        <w:tab/>
        <w:t>direct any other person to which it has disclosed service data under a further CDR outsourcing arrangement to take corresponding steps.</w:t>
      </w:r>
    </w:p>
    <w:p w14:paraId="45C491C2" w14:textId="77777777" w:rsidR="00E02C2E" w:rsidRPr="006A4403" w:rsidRDefault="00E02C2E" w:rsidP="00E02C2E">
      <w:pPr>
        <w:pStyle w:val="SubsectionHead"/>
      </w:pPr>
      <w:r w:rsidRPr="006A4403">
        <w:lastRenderedPageBreak/>
        <w:t>Service data</w:t>
      </w:r>
    </w:p>
    <w:p w14:paraId="21189F03" w14:textId="77777777" w:rsidR="00E02C2E" w:rsidRPr="006A4403" w:rsidRDefault="00E02C2E" w:rsidP="00E02C2E">
      <w:pPr>
        <w:pStyle w:val="subsection"/>
      </w:pPr>
      <w:r w:rsidRPr="006A4403">
        <w:tab/>
        <w:t>(6)</w:t>
      </w:r>
      <w:r w:rsidRPr="006A4403">
        <w:tab/>
        <w:t xml:space="preserve">In these rules, </w:t>
      </w:r>
      <w:r w:rsidRPr="006A4403">
        <w:rPr>
          <w:b/>
          <w:i/>
        </w:rPr>
        <w:t>service data</w:t>
      </w:r>
      <w:r w:rsidRPr="006A4403">
        <w:t xml:space="preserve">, in relation to a person who is a direct or indirect OSP of an OSP chain principal, means any CDR data of a CDR consumer of the </w:t>
      </w:r>
      <w:bookmarkStart w:id="60" w:name="_Hlk120617066"/>
      <w:r w:rsidRPr="006A4403">
        <w:t xml:space="preserve">OSP </w:t>
      </w:r>
      <w:bookmarkEnd w:id="60"/>
      <w:r w:rsidRPr="006A4403">
        <w:t xml:space="preserve">chain principal held by the person that: </w:t>
      </w:r>
    </w:p>
    <w:p w14:paraId="48990045" w14:textId="77777777" w:rsidR="00E02C2E" w:rsidRPr="006A4403" w:rsidRDefault="00E02C2E" w:rsidP="00E02C2E">
      <w:pPr>
        <w:pStyle w:val="paragraph"/>
      </w:pPr>
      <w:r w:rsidRPr="006A4403">
        <w:tab/>
        <w:t>(a)</w:t>
      </w:r>
      <w:r w:rsidRPr="006A4403">
        <w:tab/>
        <w:t>was disclosed to the person by the OSP chain principal for the purposes of the relevant CDR outsourcing arrangement; or</w:t>
      </w:r>
    </w:p>
    <w:p w14:paraId="30AC2A2A" w14:textId="77777777" w:rsidR="00E02C2E" w:rsidRPr="006A4403" w:rsidRDefault="00E02C2E" w:rsidP="00E02C2E">
      <w:pPr>
        <w:pStyle w:val="paragraph"/>
      </w:pPr>
      <w:r w:rsidRPr="006A4403">
        <w:tab/>
        <w:t>(b)</w:t>
      </w:r>
      <w:r w:rsidRPr="006A4403">
        <w:tab/>
        <w:t>was collected from a CDR participant by the person on behalf of the OSP chain principal in accordance with the relevant CDR outsourcing arrangement; or</w:t>
      </w:r>
    </w:p>
    <w:p w14:paraId="57DA5197" w14:textId="77777777" w:rsidR="00E02C2E" w:rsidRPr="006A4403" w:rsidRDefault="00E02C2E" w:rsidP="00E02C2E">
      <w:pPr>
        <w:pStyle w:val="paragraph"/>
      </w:pPr>
      <w:r w:rsidRPr="006A4403">
        <w:tab/>
        <w:t>(c)</w:t>
      </w:r>
      <w:r w:rsidRPr="006A4403">
        <w:tab/>
        <w:t>was disclosed to the person by another direct or indirect OSP of the OSP chain principal in accordance with the relevant CDR outsourcing arrangement for the other direct or indirect OSP; or</w:t>
      </w:r>
    </w:p>
    <w:p w14:paraId="6D7900DE" w14:textId="77777777" w:rsidR="00E02C2E" w:rsidRPr="006A4403" w:rsidRDefault="00E02C2E" w:rsidP="00E02C2E">
      <w:pPr>
        <w:pStyle w:val="paragraph"/>
      </w:pPr>
      <w:r w:rsidRPr="006A4403">
        <w:tab/>
        <w:t>(d)</w:t>
      </w:r>
      <w:r w:rsidRPr="006A4403">
        <w:tab/>
      </w:r>
      <w:bookmarkStart w:id="61" w:name="_Hlk115446898"/>
      <w:r w:rsidRPr="006A4403">
        <w:t xml:space="preserve">is directly or indirectly derived </w:t>
      </w:r>
      <w:bookmarkEnd w:id="61"/>
      <w:r w:rsidRPr="006A4403">
        <w:t>from such CDR data.</w:t>
      </w:r>
    </w:p>
    <w:p w14:paraId="56233DE2" w14:textId="77777777" w:rsidR="00E02C2E" w:rsidRPr="006A4403" w:rsidRDefault="00E02C2E" w:rsidP="00E02C2E">
      <w:pPr>
        <w:pStyle w:val="notetext"/>
      </w:pPr>
      <w:r w:rsidRPr="006A4403">
        <w:t>Note:</w:t>
      </w:r>
      <w:r w:rsidRPr="006A4403">
        <w:tab/>
        <w:t xml:space="preserve">Service data may be disclosed to other direct or indirect OSPs in accordance with provisions in the relevant CDR outsourcing arrangements. </w:t>
      </w:r>
    </w:p>
    <w:p w14:paraId="2109DD0C" w14:textId="77777777" w:rsidR="00E02C2E" w:rsidRPr="006A4403" w:rsidRDefault="00E02C2E" w:rsidP="00E02C2E">
      <w:pPr>
        <w:pStyle w:val="subsection"/>
      </w:pPr>
      <w:r w:rsidRPr="006A4403">
        <w:tab/>
        <w:t>(7)</w:t>
      </w:r>
      <w:r w:rsidRPr="006A4403">
        <w:tab/>
        <w:t xml:space="preserve">For paragraph (6)(a), where an accredited person gives a direct or indirect OSP (the </w:t>
      </w:r>
      <w:r w:rsidRPr="006A4403">
        <w:rPr>
          <w:b/>
          <w:i/>
        </w:rPr>
        <w:t>provider</w:t>
      </w:r>
      <w:r w:rsidRPr="006A4403">
        <w:t>) permission to access or use CDR data collected by the provider on behalf of the OSP chain principal in accordance with subparagraph (3)(a)(i), the accredited person is taken to disclose the CDR data to the provider.</w:t>
      </w:r>
    </w:p>
    <w:p w14:paraId="1271D5F3" w14:textId="77777777" w:rsidR="00E02C2E" w:rsidRPr="006A4403" w:rsidRDefault="00E02C2E" w:rsidP="00E02C2E">
      <w:pPr>
        <w:pStyle w:val="ActHead5"/>
        <w:rPr>
          <w:shd w:val="clear" w:color="auto" w:fill="FFFFFF"/>
        </w:rPr>
      </w:pPr>
      <w:bookmarkStart w:id="62" w:name="_Toc135295275"/>
      <w:bookmarkEnd w:id="57"/>
      <w:r w:rsidRPr="006A4403">
        <w:rPr>
          <w:shd w:val="clear" w:color="auto" w:fill="FFFFFF"/>
        </w:rPr>
        <w:t xml:space="preserve">1.10AA  Meaning of </w:t>
      </w:r>
      <w:r w:rsidRPr="006A4403">
        <w:rPr>
          <w:i/>
          <w:shd w:val="clear" w:color="auto" w:fill="FFFFFF"/>
        </w:rPr>
        <w:t xml:space="preserve">CDR representative </w:t>
      </w:r>
      <w:r w:rsidRPr="006A4403">
        <w:rPr>
          <w:shd w:val="clear" w:color="auto" w:fill="FFFFFF"/>
        </w:rPr>
        <w:t>and related terms</w:t>
      </w:r>
      <w:bookmarkEnd w:id="48"/>
      <w:bookmarkEnd w:id="62"/>
    </w:p>
    <w:p w14:paraId="342994C8" w14:textId="77777777" w:rsidR="00E02C2E" w:rsidRPr="006A4403" w:rsidRDefault="00E02C2E" w:rsidP="00E02C2E">
      <w:pPr>
        <w:pStyle w:val="notemargin"/>
      </w:pPr>
      <w:bookmarkStart w:id="63" w:name="_Hlk120622862"/>
      <w:r w:rsidRPr="006A4403">
        <w:t>Note:</w:t>
      </w:r>
      <w:r w:rsidRPr="006A4403">
        <w:tab/>
        <w:t>From the point of view of a CDR consumer who is the customer of a CDR representative, the consumer deals with the CDR representative, as if it were an accredited person, and might not deal with the CDR representative principal at all. The consumer requests the goods or services from the CDR representative; the CDR representative identifies the CDR data that it needs in order to provide the goods and services; the consumer gives their consent to the CDR representative for the collection and use of the CDR data. The consumer is informed that the CDR representative principal will do the actual collecting, but as a background detail.</w:t>
      </w:r>
    </w:p>
    <w:p w14:paraId="3A3D9DC4" w14:textId="77777777" w:rsidR="00E02C2E" w:rsidRPr="006A4403" w:rsidRDefault="00E02C2E" w:rsidP="00E02C2E">
      <w:pPr>
        <w:pStyle w:val="notemargin"/>
      </w:pPr>
      <w:r w:rsidRPr="006A4403">
        <w:tab/>
        <w:t xml:space="preserve">A CDR representative cannot deal with a </w:t>
      </w:r>
      <w:bookmarkStart w:id="64" w:name="_Hlk121295040"/>
      <w:r w:rsidRPr="006A4403">
        <w:t>person in their capacity as a CDR business consumer</w:t>
      </w:r>
      <w:bookmarkEnd w:id="64"/>
      <w:r w:rsidRPr="006A4403">
        <w:t>.</w:t>
      </w:r>
    </w:p>
    <w:p w14:paraId="68DA2B43" w14:textId="77777777" w:rsidR="00E02C2E" w:rsidRPr="006A4403" w:rsidRDefault="00E02C2E" w:rsidP="00E02C2E">
      <w:pPr>
        <w:pStyle w:val="subsection"/>
      </w:pPr>
      <w:r w:rsidRPr="006A4403">
        <w:tab/>
        <w:t>(1)</w:t>
      </w:r>
      <w:r w:rsidRPr="006A4403">
        <w:tab/>
        <w:t xml:space="preserve">In these rules, a </w:t>
      </w:r>
      <w:r w:rsidRPr="006A4403">
        <w:rPr>
          <w:b/>
          <w:i/>
        </w:rPr>
        <w:t>CDR representative arrangement</w:t>
      </w:r>
      <w:r w:rsidRPr="006A4403">
        <w:t xml:space="preserve"> is a written contract between a person with unrestricted accreditation (the </w:t>
      </w:r>
      <w:r w:rsidRPr="006A4403">
        <w:rPr>
          <w:b/>
          <w:i/>
        </w:rPr>
        <w:t>CDR representative principal</w:t>
      </w:r>
      <w:r w:rsidRPr="006A4403">
        <w:t>)</w:t>
      </w:r>
      <w:r w:rsidRPr="006A4403">
        <w:rPr>
          <w:b/>
          <w:i/>
        </w:rPr>
        <w:t xml:space="preserve"> </w:t>
      </w:r>
      <w:r w:rsidRPr="006A4403">
        <w:t xml:space="preserve">and a person without accreditation (the </w:t>
      </w:r>
      <w:r w:rsidRPr="006A4403">
        <w:rPr>
          <w:b/>
          <w:i/>
        </w:rPr>
        <w:t>CDR representative</w:t>
      </w:r>
      <w:r w:rsidRPr="006A4403">
        <w:t>):</w:t>
      </w:r>
    </w:p>
    <w:p w14:paraId="14BA98FC" w14:textId="77777777" w:rsidR="00E02C2E" w:rsidRPr="006A4403" w:rsidRDefault="00E02C2E" w:rsidP="00E02C2E">
      <w:pPr>
        <w:pStyle w:val="paragraph"/>
      </w:pPr>
      <w:r w:rsidRPr="006A4403">
        <w:tab/>
        <w:t>(a)</w:t>
      </w:r>
      <w:r w:rsidRPr="006A4403">
        <w:tab/>
      </w:r>
      <w:bookmarkStart w:id="65" w:name="_Hlk120624654"/>
      <w:r w:rsidRPr="006A4403">
        <w:t xml:space="preserve">under which </w:t>
      </w:r>
      <w:bookmarkEnd w:id="65"/>
      <w:r w:rsidRPr="006A4403">
        <w:t xml:space="preserve">the CDR representative will offer goods and services to </w:t>
      </w:r>
      <w:bookmarkStart w:id="66" w:name="_Hlk120624447"/>
      <w:r w:rsidRPr="006A4403">
        <w:t xml:space="preserve">CDR </w:t>
      </w:r>
      <w:bookmarkEnd w:id="66"/>
      <w:r w:rsidRPr="006A4403">
        <w:t>consumers</w:t>
      </w:r>
      <w:bookmarkStart w:id="67" w:name="_Hlk120782291"/>
      <w:r w:rsidRPr="006A4403">
        <w:t xml:space="preserve">, but not in their capacity as CDR business consumers, </w:t>
      </w:r>
      <w:bookmarkEnd w:id="67"/>
      <w:r w:rsidRPr="006A4403">
        <w:t>for which it will need to use or disclose CDR data of the CDR consumer; and</w:t>
      </w:r>
    </w:p>
    <w:p w14:paraId="558BC7BF" w14:textId="77777777" w:rsidR="00E02C2E" w:rsidRPr="006A4403" w:rsidRDefault="00E02C2E" w:rsidP="00E02C2E">
      <w:pPr>
        <w:pStyle w:val="paragraph"/>
      </w:pPr>
      <w:r w:rsidRPr="006A4403">
        <w:tab/>
        <w:t>(b)</w:t>
      </w:r>
      <w:r w:rsidRPr="006A4403">
        <w:tab/>
        <w:t>under which, where the CDR representative has obtained the consent of a CDR consumer to the collection, use and disclosure of CDR data in accordance with rule 4.3A:</w:t>
      </w:r>
    </w:p>
    <w:p w14:paraId="6E7AE02C" w14:textId="77777777" w:rsidR="00E02C2E" w:rsidRPr="006A4403" w:rsidRDefault="00E02C2E" w:rsidP="00E02C2E">
      <w:pPr>
        <w:pStyle w:val="paragraphsub"/>
      </w:pPr>
      <w:r w:rsidRPr="006A4403">
        <w:tab/>
        <w:t>(i)</w:t>
      </w:r>
      <w:r w:rsidRPr="006A4403">
        <w:tab/>
        <w:t>the CDR representative principal will:</w:t>
      </w:r>
    </w:p>
    <w:p w14:paraId="7AF6E680" w14:textId="77777777" w:rsidR="00E02C2E" w:rsidRPr="006A4403" w:rsidRDefault="00E02C2E" w:rsidP="00E02C2E">
      <w:pPr>
        <w:pStyle w:val="paragraphsub-sub"/>
      </w:pPr>
      <w:r w:rsidRPr="006A4403">
        <w:tab/>
        <w:t>(A)</w:t>
      </w:r>
      <w:r w:rsidRPr="006A4403">
        <w:tab/>
        <w:t>make any appropriate consumer data request; and</w:t>
      </w:r>
    </w:p>
    <w:p w14:paraId="6CF5B9B4" w14:textId="77777777" w:rsidR="00E02C2E" w:rsidRPr="006A4403" w:rsidRDefault="00E02C2E" w:rsidP="00E02C2E">
      <w:pPr>
        <w:pStyle w:val="paragraphsub-sub"/>
      </w:pPr>
      <w:r w:rsidRPr="006A4403">
        <w:tab/>
        <w:t>(B)</w:t>
      </w:r>
      <w:r w:rsidRPr="006A4403">
        <w:tab/>
        <w:t>disclose the relevant CDR data to the CDR representative; and</w:t>
      </w:r>
    </w:p>
    <w:p w14:paraId="29E21C50" w14:textId="77777777" w:rsidR="00E02C2E" w:rsidRPr="006A4403" w:rsidRDefault="00E02C2E" w:rsidP="00E02C2E">
      <w:pPr>
        <w:pStyle w:val="paragraphsub"/>
      </w:pPr>
      <w:r w:rsidRPr="006A4403">
        <w:tab/>
        <w:t>(ii)</w:t>
      </w:r>
      <w:r w:rsidRPr="006A4403">
        <w:tab/>
        <w:t>the CDR representative will use or disclose the CDR data to provide the relevant goods or services to the CDR consumer; and</w:t>
      </w:r>
    </w:p>
    <w:p w14:paraId="6264EE85" w14:textId="77777777" w:rsidR="00E02C2E" w:rsidRPr="006A4403" w:rsidRDefault="00E02C2E" w:rsidP="00E02C2E">
      <w:pPr>
        <w:pStyle w:val="paragraph"/>
      </w:pPr>
      <w:r w:rsidRPr="006A4403">
        <w:tab/>
        <w:t>(c)</w:t>
      </w:r>
      <w:r w:rsidRPr="006A4403">
        <w:tab/>
      </w:r>
      <w:bookmarkStart w:id="68" w:name="_Hlk120624667"/>
      <w:r w:rsidRPr="006A4403">
        <w:t xml:space="preserve">that specifies that the provisions referred to in </w:t>
      </w:r>
      <w:bookmarkEnd w:id="68"/>
      <w:r w:rsidRPr="006A4403">
        <w:t>paragraphs (a) and (b) do not operate until the details of the CDR representative have been entered on the Register of Accredited Persons; and</w:t>
      </w:r>
    </w:p>
    <w:p w14:paraId="551F4CC4" w14:textId="77777777" w:rsidR="00E02C2E" w:rsidRPr="006A4403" w:rsidRDefault="00E02C2E" w:rsidP="00E02C2E">
      <w:pPr>
        <w:pStyle w:val="paragraph"/>
      </w:pPr>
      <w:r w:rsidRPr="006A4403">
        <w:tab/>
        <w:t>(d)</w:t>
      </w:r>
      <w:r w:rsidRPr="006A4403">
        <w:tab/>
        <w:t>under which the CDR representative is required to comply with any rules that are expressed as applying to a CDR representative.</w:t>
      </w:r>
    </w:p>
    <w:p w14:paraId="2CD0DCFC" w14:textId="77777777" w:rsidR="00E02C2E" w:rsidRPr="006A4403" w:rsidRDefault="00E02C2E" w:rsidP="00E02C2E">
      <w:pPr>
        <w:pStyle w:val="subsection"/>
      </w:pPr>
      <w:r w:rsidRPr="006A4403">
        <w:lastRenderedPageBreak/>
        <w:tab/>
        <w:t>(2)</w:t>
      </w:r>
      <w:r w:rsidRPr="006A4403">
        <w:tab/>
        <w:t>A CDR representative arrangement may provide for the CDR representative:</w:t>
      </w:r>
    </w:p>
    <w:p w14:paraId="63BA8AF5" w14:textId="77777777" w:rsidR="00E02C2E" w:rsidRPr="006A4403" w:rsidRDefault="00E02C2E" w:rsidP="00E02C2E">
      <w:pPr>
        <w:pStyle w:val="paragraph"/>
      </w:pPr>
      <w:r w:rsidRPr="006A4403">
        <w:tab/>
        <w:t>(a)</w:t>
      </w:r>
      <w:r w:rsidRPr="006A4403">
        <w:tab/>
        <w:t>to seek any consent for the use or disclosure of service data that the CDR representative principal could seek in the same circumstances; and</w:t>
      </w:r>
    </w:p>
    <w:p w14:paraId="0671C9ED" w14:textId="77777777" w:rsidR="00E02C2E" w:rsidRPr="006A4403" w:rsidRDefault="00E02C2E" w:rsidP="00E02C2E">
      <w:pPr>
        <w:pStyle w:val="paragraph"/>
      </w:pPr>
      <w:r w:rsidRPr="006A4403">
        <w:tab/>
        <w:t>(b)</w:t>
      </w:r>
      <w:r w:rsidRPr="006A4403">
        <w:tab/>
        <w:t>to make any use or disclosure of service data that would be:</w:t>
      </w:r>
    </w:p>
    <w:p w14:paraId="565C324F" w14:textId="77777777" w:rsidR="00E02C2E" w:rsidRPr="006A4403" w:rsidRDefault="00E02C2E" w:rsidP="00E02C2E">
      <w:pPr>
        <w:pStyle w:val="paragraphsub"/>
      </w:pPr>
      <w:r w:rsidRPr="006A4403">
        <w:t xml:space="preserve"> </w:t>
      </w:r>
      <w:r w:rsidRPr="006A4403">
        <w:tab/>
        <w:t>(i)</w:t>
      </w:r>
      <w:r w:rsidRPr="006A4403">
        <w:tab/>
        <w:t>a permitted use or disclosure of the CDR data of the kind mentioned in paragraph 7.5(1)(j); or</w:t>
      </w:r>
    </w:p>
    <w:p w14:paraId="2A02D6CB" w14:textId="77777777" w:rsidR="00E02C2E" w:rsidRPr="006A4403" w:rsidRDefault="00E02C2E" w:rsidP="00E02C2E">
      <w:pPr>
        <w:pStyle w:val="paragraphsub"/>
      </w:pPr>
      <w:r w:rsidRPr="006A4403">
        <w:tab/>
        <w:t>(ii)</w:t>
      </w:r>
      <w:r w:rsidRPr="006A4403">
        <w:tab/>
        <w:t>a permitted use or disclosure of the CDR data that relates to direct marketing of the kind mentioned in paragraph 7.5(3)(e).</w:t>
      </w:r>
    </w:p>
    <w:p w14:paraId="49F6F845" w14:textId="77777777" w:rsidR="00E02C2E" w:rsidRPr="006A4403" w:rsidRDefault="00E02C2E" w:rsidP="00E02C2E">
      <w:pPr>
        <w:pStyle w:val="subsection"/>
      </w:pPr>
      <w:r w:rsidRPr="006A4403">
        <w:tab/>
        <w:t>(3)</w:t>
      </w:r>
      <w:r w:rsidRPr="006A4403">
        <w:tab/>
        <w:t>A CDR representative arrangement must require the CDR representative:</w:t>
      </w:r>
    </w:p>
    <w:p w14:paraId="229F56B2" w14:textId="77777777" w:rsidR="00E02C2E" w:rsidRPr="006A4403" w:rsidRDefault="00E02C2E" w:rsidP="00E02C2E">
      <w:pPr>
        <w:pStyle w:val="paragraph"/>
      </w:pPr>
      <w:r w:rsidRPr="006A4403">
        <w:tab/>
        <w:t>(a)</w:t>
      </w:r>
      <w:r w:rsidRPr="006A4403">
        <w:tab/>
        <w:t>not to enter into another CDR representative arrangement; and</w:t>
      </w:r>
    </w:p>
    <w:p w14:paraId="55CDA628" w14:textId="77777777" w:rsidR="00E02C2E" w:rsidRPr="006A4403" w:rsidRDefault="00E02C2E" w:rsidP="00E02C2E">
      <w:pPr>
        <w:pStyle w:val="paragraph"/>
      </w:pPr>
      <w:r w:rsidRPr="006A4403">
        <w:tab/>
        <w:t>(b)</w:t>
      </w:r>
      <w:r w:rsidRPr="006A4403">
        <w:tab/>
        <w:t>not to engage a person as the provider in a CDR outsourcing arrangement in relation to service data except as provided in the CDR representative arrangement.</w:t>
      </w:r>
    </w:p>
    <w:p w14:paraId="4D6C2EE9" w14:textId="77777777" w:rsidR="00E02C2E" w:rsidRPr="006A4403" w:rsidRDefault="00E02C2E" w:rsidP="00E02C2E">
      <w:pPr>
        <w:pStyle w:val="notetext"/>
      </w:pPr>
      <w:bookmarkStart w:id="69" w:name="_Hlk120624860"/>
      <w:r w:rsidRPr="006A4403">
        <w:t>Note:</w:t>
      </w:r>
      <w:r w:rsidRPr="006A4403">
        <w:tab/>
        <w:t>Because a CDR representative cannot collect CDR data except through its CDR representative principal, it cannot engage the provider to collect CDR data.</w:t>
      </w:r>
    </w:p>
    <w:bookmarkEnd w:id="69"/>
    <w:p w14:paraId="4A508D71" w14:textId="77777777" w:rsidR="00E02C2E" w:rsidRPr="006A4403" w:rsidRDefault="00E02C2E" w:rsidP="00E02C2E">
      <w:pPr>
        <w:pStyle w:val="subsection"/>
      </w:pPr>
      <w:r w:rsidRPr="006A4403">
        <w:tab/>
        <w:t>(4)</w:t>
      </w:r>
      <w:r w:rsidRPr="006A4403">
        <w:tab/>
        <w:t>A CDR representative arrangement must require the CDR representative to comply with the following requirements in relation to any service data:</w:t>
      </w:r>
    </w:p>
    <w:p w14:paraId="0F4EF801" w14:textId="77777777" w:rsidR="00E02C2E" w:rsidRPr="006A4403" w:rsidRDefault="00E02C2E" w:rsidP="00E02C2E">
      <w:pPr>
        <w:pStyle w:val="paragraph"/>
      </w:pPr>
      <w:r w:rsidRPr="006A4403">
        <w:tab/>
        <w:t>(a)</w:t>
      </w:r>
      <w:r w:rsidRPr="006A4403">
        <w:tab/>
        <w:t>in holding, using or disclosing the service data, the CDR representative must comply with the following as if it were the CDR representative principal:</w:t>
      </w:r>
    </w:p>
    <w:p w14:paraId="638CEA92" w14:textId="77777777" w:rsidR="00E02C2E" w:rsidRPr="006A4403" w:rsidRDefault="00E02C2E" w:rsidP="00E02C2E">
      <w:pPr>
        <w:pStyle w:val="paragraphsub"/>
      </w:pPr>
      <w:r w:rsidRPr="006A4403">
        <w:tab/>
        <w:t>(i)</w:t>
      </w:r>
      <w:r w:rsidRPr="006A4403">
        <w:tab/>
        <w:t>section 56EE of the Act (privacy safeguard 2);</w:t>
      </w:r>
    </w:p>
    <w:p w14:paraId="300FC353" w14:textId="77777777" w:rsidR="00E02C2E" w:rsidRPr="006A4403" w:rsidRDefault="00E02C2E" w:rsidP="00E02C2E">
      <w:pPr>
        <w:pStyle w:val="paragraphsub"/>
      </w:pPr>
      <w:r w:rsidRPr="006A4403">
        <w:tab/>
        <w:t>(ii)</w:t>
      </w:r>
      <w:r w:rsidRPr="006A4403">
        <w:tab/>
        <w:t xml:space="preserve">section 56EG of the Act (privacy safeguard 4); </w:t>
      </w:r>
    </w:p>
    <w:p w14:paraId="67C50A49" w14:textId="77777777" w:rsidR="00E02C2E" w:rsidRPr="006A4403" w:rsidRDefault="00E02C2E" w:rsidP="00E02C2E">
      <w:pPr>
        <w:pStyle w:val="paragraphsub"/>
      </w:pPr>
      <w:bookmarkStart w:id="70" w:name="_Hlk120625006"/>
      <w:r w:rsidRPr="006A4403">
        <w:tab/>
        <w:t>(iia)</w:t>
      </w:r>
      <w:r w:rsidRPr="006A4403">
        <w:tab/>
        <w:t xml:space="preserve">section 56EI of the Act (privacy safeguard 6); </w:t>
      </w:r>
    </w:p>
    <w:p w14:paraId="0D288922" w14:textId="77777777" w:rsidR="00E02C2E" w:rsidRPr="006A4403" w:rsidRDefault="00E02C2E" w:rsidP="00E02C2E">
      <w:pPr>
        <w:pStyle w:val="paragraphsub"/>
      </w:pPr>
      <w:r w:rsidRPr="006A4403">
        <w:tab/>
        <w:t>(iib)</w:t>
      </w:r>
      <w:r w:rsidRPr="006A4403">
        <w:tab/>
        <w:t>section 56EJ of the Act (privacy safeguard 7);</w:t>
      </w:r>
    </w:p>
    <w:bookmarkEnd w:id="70"/>
    <w:p w14:paraId="6721A56E" w14:textId="77777777" w:rsidR="00E02C2E" w:rsidRPr="006A4403" w:rsidRDefault="00E02C2E" w:rsidP="00E02C2E">
      <w:pPr>
        <w:pStyle w:val="paragraphsub"/>
      </w:pPr>
      <w:r w:rsidRPr="006A4403">
        <w:tab/>
        <w:t>(iii)</w:t>
      </w:r>
      <w:r w:rsidRPr="006A4403">
        <w:tab/>
        <w:t xml:space="preserve">section 56EN of the Act, other than subsection (1) (privacy safeguard 11); </w:t>
      </w:r>
    </w:p>
    <w:p w14:paraId="10D46320" w14:textId="77777777" w:rsidR="00E02C2E" w:rsidRPr="006A4403" w:rsidRDefault="00E02C2E" w:rsidP="00E02C2E">
      <w:pPr>
        <w:pStyle w:val="paragraphsub"/>
      </w:pPr>
      <w:r w:rsidRPr="006A4403">
        <w:tab/>
        <w:t>(iv)</w:t>
      </w:r>
      <w:r w:rsidRPr="006A4403">
        <w:tab/>
        <w:t>section 56EO of the Act (privacy safeguard 12);</w:t>
      </w:r>
    </w:p>
    <w:p w14:paraId="3EEB8742" w14:textId="77777777" w:rsidR="00E02C2E" w:rsidRPr="006A4403" w:rsidRDefault="00E02C2E" w:rsidP="00E02C2E">
      <w:pPr>
        <w:pStyle w:val="paragraphsub"/>
      </w:pPr>
      <w:r w:rsidRPr="006A4403">
        <w:tab/>
        <w:t>(v)</w:t>
      </w:r>
      <w:r w:rsidRPr="006A4403">
        <w:tab/>
        <w:t xml:space="preserve">section 56EP of the Act, other than subsection (1) (privacy safeguard 13); </w:t>
      </w:r>
    </w:p>
    <w:p w14:paraId="6CB0D780" w14:textId="77777777" w:rsidR="00E02C2E" w:rsidRPr="006A4403" w:rsidRDefault="00E02C2E" w:rsidP="00E02C2E">
      <w:pPr>
        <w:pStyle w:val="paragraph"/>
      </w:pPr>
      <w:r w:rsidRPr="006A4403">
        <w:tab/>
        <w:t>(b)</w:t>
      </w:r>
      <w:r w:rsidRPr="006A4403">
        <w:tab/>
        <w:t>the CDR representative must take the steps in Schedule 2 to protect the service data as if it were the CDR representative principal;</w:t>
      </w:r>
    </w:p>
    <w:p w14:paraId="57483240" w14:textId="77777777" w:rsidR="00E02C2E" w:rsidRPr="006A4403" w:rsidRDefault="00E02C2E" w:rsidP="00E02C2E">
      <w:pPr>
        <w:pStyle w:val="paragraph"/>
      </w:pPr>
      <w:r w:rsidRPr="006A4403">
        <w:tab/>
        <w:t>(c)</w:t>
      </w:r>
      <w:r w:rsidRPr="006A4403">
        <w:tab/>
        <w:t>the CDR representative must not use or disclose the service data other than in accordance with a contract with the CDR representative principal;</w:t>
      </w:r>
    </w:p>
    <w:p w14:paraId="07BC98B2" w14:textId="77777777" w:rsidR="00E02C2E" w:rsidRPr="006A4403" w:rsidRDefault="00E02C2E" w:rsidP="00E02C2E">
      <w:pPr>
        <w:pStyle w:val="paragraph"/>
      </w:pPr>
      <w:r w:rsidRPr="006A4403">
        <w:tab/>
        <w:t>(d)</w:t>
      </w:r>
      <w:r w:rsidRPr="006A4403">
        <w:tab/>
        <w:t>the CDR representative must not use or disclose the service data unless the use or disclosure would be:</w:t>
      </w:r>
    </w:p>
    <w:p w14:paraId="693A972A" w14:textId="77777777" w:rsidR="00E02C2E" w:rsidRPr="006A4403" w:rsidRDefault="00E02C2E" w:rsidP="00E02C2E">
      <w:pPr>
        <w:pStyle w:val="paragraphsub"/>
      </w:pPr>
      <w:r w:rsidRPr="006A4403">
        <w:tab/>
        <w:t>(i)</w:t>
      </w:r>
      <w:r w:rsidRPr="006A4403">
        <w:tab/>
        <w:t>a permitted use or disclosure of the CDR data of the kind mentioned in paragraph 7.5(1)(j); or</w:t>
      </w:r>
    </w:p>
    <w:p w14:paraId="07C6106F" w14:textId="77777777" w:rsidR="00E02C2E" w:rsidRPr="006A4403" w:rsidRDefault="00E02C2E" w:rsidP="00E02C2E">
      <w:pPr>
        <w:pStyle w:val="paragraphsub"/>
      </w:pPr>
      <w:r w:rsidRPr="006A4403">
        <w:tab/>
        <w:t>(ii)</w:t>
      </w:r>
      <w:r w:rsidRPr="006A4403">
        <w:tab/>
        <w:t>a permitted use or disclosure of the CDR data that relates to direct marketing of the kind mentioned in paragraph 7.5(3)(e);</w:t>
      </w:r>
    </w:p>
    <w:p w14:paraId="5471348F" w14:textId="77777777" w:rsidR="00E02C2E" w:rsidRPr="006A4403" w:rsidRDefault="00E02C2E" w:rsidP="00E02C2E">
      <w:pPr>
        <w:pStyle w:val="paragraph"/>
      </w:pPr>
      <w:r w:rsidRPr="006A4403">
        <w:tab/>
        <w:t>(e)</w:t>
      </w:r>
      <w:r w:rsidRPr="006A4403">
        <w:tab/>
        <w:t>the CDR representative must, when so directed by the CDR representative principal:</w:t>
      </w:r>
    </w:p>
    <w:p w14:paraId="15FA41AC" w14:textId="77777777" w:rsidR="00E02C2E" w:rsidRPr="006A4403" w:rsidRDefault="00E02C2E" w:rsidP="00E02C2E">
      <w:pPr>
        <w:pStyle w:val="paragraphsub"/>
      </w:pPr>
      <w:r w:rsidRPr="006A4403">
        <w:tab/>
        <w:t>(i)</w:t>
      </w:r>
      <w:r w:rsidRPr="006A4403">
        <w:tab/>
        <w:t>do any of the following:</w:t>
      </w:r>
    </w:p>
    <w:p w14:paraId="3CB6104B" w14:textId="77777777" w:rsidR="00E02C2E" w:rsidRPr="006A4403" w:rsidRDefault="00E02C2E" w:rsidP="00E02C2E">
      <w:pPr>
        <w:pStyle w:val="paragraphsub-sub"/>
      </w:pPr>
      <w:r w:rsidRPr="006A4403">
        <w:tab/>
        <w:t>(A)</w:t>
      </w:r>
      <w:r w:rsidRPr="006A4403">
        <w:tab/>
        <w:t>delete any service data that it holds in accordance with the CDR data deletion process;</w:t>
      </w:r>
    </w:p>
    <w:p w14:paraId="2F9BD88D" w14:textId="77777777" w:rsidR="00E02C2E" w:rsidRPr="006A4403" w:rsidRDefault="00E02C2E" w:rsidP="00E02C2E">
      <w:pPr>
        <w:pStyle w:val="paragraphsub-sub"/>
      </w:pPr>
      <w:r w:rsidRPr="006A4403">
        <w:tab/>
        <w:t>(B)</w:t>
      </w:r>
      <w:r w:rsidRPr="006A4403">
        <w:tab/>
        <w:t>provide, to the CDR representative principal, records of any deletion that are required to be made under the CDR data deletion process; and</w:t>
      </w:r>
    </w:p>
    <w:p w14:paraId="08CF61C2" w14:textId="77777777" w:rsidR="00E02C2E" w:rsidRPr="006A4403" w:rsidRDefault="00E02C2E" w:rsidP="00E02C2E">
      <w:pPr>
        <w:pStyle w:val="paragraphsub"/>
      </w:pPr>
      <w:r w:rsidRPr="006A4403">
        <w:tab/>
        <w:t>(ii)</w:t>
      </w:r>
      <w:r w:rsidRPr="006A4403">
        <w:tab/>
        <w:t>require its direct and indirect OSPs to do the same;</w:t>
      </w:r>
    </w:p>
    <w:p w14:paraId="16E5FC5D" w14:textId="77777777" w:rsidR="00E02C2E" w:rsidRPr="006A4403" w:rsidRDefault="00E02C2E" w:rsidP="00E02C2E">
      <w:pPr>
        <w:pStyle w:val="paragraph"/>
      </w:pPr>
      <w:r w:rsidRPr="006A4403">
        <w:lastRenderedPageBreak/>
        <w:tab/>
        <w:t>(f)</w:t>
      </w:r>
      <w:r w:rsidRPr="006A4403">
        <w:tab/>
        <w:t>the CDR representative must adopt and comply with the CDR representative principal’s CDR policy in relation to the service data;</w:t>
      </w:r>
    </w:p>
    <w:p w14:paraId="100F27B2" w14:textId="77777777" w:rsidR="00E02C2E" w:rsidRPr="006A4403" w:rsidRDefault="00E02C2E" w:rsidP="00E02C2E">
      <w:pPr>
        <w:pStyle w:val="paragraph"/>
      </w:pPr>
      <w:r w:rsidRPr="006A4403">
        <w:tab/>
        <w:t>(g)</w:t>
      </w:r>
      <w:r w:rsidRPr="006A4403">
        <w:tab/>
        <w:t>the CDR representative must comply with sections 56EK and 56EL of the Act (privacy safeguards 8 and 9) as if it were an accredited data recipient.</w:t>
      </w:r>
    </w:p>
    <w:p w14:paraId="30729C13" w14:textId="77777777" w:rsidR="00E02C2E" w:rsidRPr="006A4403" w:rsidRDefault="00E02C2E" w:rsidP="00E02C2E">
      <w:pPr>
        <w:pStyle w:val="notetext"/>
      </w:pPr>
      <w:r w:rsidRPr="006A4403">
        <w:t>Note 1:</w:t>
      </w:r>
      <w:r w:rsidRPr="006A4403">
        <w:tab/>
        <w:t>For paragraph (4)(c), the CDR representative principal may be a direct or indirect OSP of the CDR representative, either as a result of provisions in the written agreement that make it also an CDR outsourcing arrangement under rule 1.10, or under a separate CDR outsourcing arrangement.</w:t>
      </w:r>
    </w:p>
    <w:p w14:paraId="37DA5886" w14:textId="77777777" w:rsidR="00E02C2E" w:rsidRPr="006A4403" w:rsidRDefault="00E02C2E" w:rsidP="00E02C2E">
      <w:pPr>
        <w:pStyle w:val="notetext"/>
      </w:pPr>
      <w:r w:rsidRPr="006A4403">
        <w:t>Note 2:</w:t>
      </w:r>
      <w:r w:rsidRPr="006A4403">
        <w:tab/>
        <w:t>For paragraph (4)(d), the permitted uses or disclosures are those that would be permitted if the representative were an accredited data recipient that had collected the CDR data under the consumer data request.  They include disclosure to a direct or indirect OSP for the purposes of providing the relevant goods and services.</w:t>
      </w:r>
      <w:r w:rsidRPr="006A4403">
        <w:tab/>
      </w:r>
    </w:p>
    <w:p w14:paraId="4E82DB6E" w14:textId="77777777" w:rsidR="00E02C2E" w:rsidRPr="006A4403" w:rsidRDefault="00E02C2E" w:rsidP="00E02C2E">
      <w:pPr>
        <w:pStyle w:val="notetext"/>
      </w:pPr>
      <w:r w:rsidRPr="006A4403">
        <w:t>Note 3:</w:t>
      </w:r>
      <w:r w:rsidRPr="006A4403">
        <w:tab/>
        <w:t>For paragraph (4)(e), see rule 1.18 for the definition of “CDR data deletion process”.</w:t>
      </w:r>
    </w:p>
    <w:p w14:paraId="0D28E122" w14:textId="77777777" w:rsidR="00E02C2E" w:rsidRPr="006A4403" w:rsidRDefault="00E02C2E" w:rsidP="00E02C2E">
      <w:pPr>
        <w:pStyle w:val="subsection"/>
      </w:pPr>
      <w:r w:rsidRPr="006A4403">
        <w:tab/>
        <w:t>(5)</w:t>
      </w:r>
      <w:r w:rsidRPr="006A4403">
        <w:tab/>
        <w:t xml:space="preserve">In these rules, </w:t>
      </w:r>
      <w:r w:rsidRPr="006A4403">
        <w:rPr>
          <w:b/>
          <w:i/>
        </w:rPr>
        <w:t>service data</w:t>
      </w:r>
      <w:r w:rsidRPr="006A4403">
        <w:t>,</w:t>
      </w:r>
      <w:r w:rsidRPr="006A4403">
        <w:rPr>
          <w:b/>
          <w:i/>
        </w:rPr>
        <w:t xml:space="preserve"> </w:t>
      </w:r>
      <w:r w:rsidRPr="006A4403">
        <w:t xml:space="preserve">in relation to a CDR representative, consists of any CDR data that: </w:t>
      </w:r>
    </w:p>
    <w:p w14:paraId="7451847B" w14:textId="77777777" w:rsidR="00E02C2E" w:rsidRPr="006A4403" w:rsidRDefault="00E02C2E" w:rsidP="00E02C2E">
      <w:pPr>
        <w:pStyle w:val="paragraph"/>
      </w:pPr>
      <w:r w:rsidRPr="006A4403">
        <w:tab/>
        <w:t>(a)</w:t>
      </w:r>
      <w:r w:rsidRPr="006A4403">
        <w:tab/>
        <w:t>was disclosed to the CDR representative for the purposes of the CDR representative arrangement; or</w:t>
      </w:r>
    </w:p>
    <w:p w14:paraId="7654462F" w14:textId="77777777" w:rsidR="00E02C2E" w:rsidRPr="006A4403" w:rsidRDefault="00E02C2E" w:rsidP="00E02C2E">
      <w:pPr>
        <w:pStyle w:val="paragraph"/>
      </w:pPr>
      <w:r w:rsidRPr="006A4403">
        <w:tab/>
        <w:t>(b)</w:t>
      </w:r>
      <w:r w:rsidRPr="006A4403">
        <w:tab/>
        <w:t xml:space="preserve"> is directly or indirectly derived from such CDR data.</w:t>
      </w:r>
    </w:p>
    <w:p w14:paraId="1A1581AC" w14:textId="77777777" w:rsidR="00E02C2E" w:rsidRPr="006A4403" w:rsidRDefault="00E02C2E" w:rsidP="00E02C2E">
      <w:pPr>
        <w:pStyle w:val="ActHead5"/>
      </w:pPr>
      <w:bookmarkStart w:id="71" w:name="_Toc121497308"/>
      <w:bookmarkStart w:id="72" w:name="_Toc135295276"/>
      <w:bookmarkStart w:id="73" w:name="_Hlk121827165"/>
      <w:bookmarkStart w:id="74" w:name="_Hlk121854132"/>
      <w:bookmarkEnd w:id="63"/>
      <w:r w:rsidRPr="006A4403">
        <w:t>1.10A  Types of consents</w:t>
      </w:r>
      <w:bookmarkEnd w:id="71"/>
      <w:bookmarkEnd w:id="72"/>
    </w:p>
    <w:p w14:paraId="461C5C0E" w14:textId="77777777" w:rsidR="00E02C2E" w:rsidRPr="006A4403" w:rsidRDefault="00E02C2E" w:rsidP="00E02C2E">
      <w:pPr>
        <w:pStyle w:val="subsection"/>
        <w:keepNext/>
      </w:pPr>
      <w:r w:rsidRPr="006A4403">
        <w:tab/>
        <w:t>(1)</w:t>
      </w:r>
      <w:r w:rsidRPr="006A4403">
        <w:tab/>
        <w:t>For these rules:</w:t>
      </w:r>
    </w:p>
    <w:p w14:paraId="4904643F" w14:textId="77777777" w:rsidR="00E02C2E" w:rsidRPr="006A4403" w:rsidRDefault="00E02C2E" w:rsidP="00E02C2E">
      <w:pPr>
        <w:pStyle w:val="paragraph"/>
      </w:pPr>
      <w:r w:rsidRPr="006A4403">
        <w:rPr>
          <w:b/>
          <w:i/>
        </w:rPr>
        <w:tab/>
      </w:r>
      <w:r w:rsidRPr="006A4403">
        <w:t>(a)</w:t>
      </w:r>
      <w:r w:rsidRPr="006A4403">
        <w:tab/>
        <w:t xml:space="preserve">a </w:t>
      </w:r>
      <w:r w:rsidRPr="006A4403">
        <w:rPr>
          <w:b/>
          <w:i/>
        </w:rPr>
        <w:t xml:space="preserve">collection consent </w:t>
      </w:r>
      <w:r w:rsidRPr="006A4403">
        <w:t>is a consent given by a CDR consumer under these rules for an accredited person to collect particular CDR data from a CDR participant for that CDR data; and</w:t>
      </w:r>
    </w:p>
    <w:p w14:paraId="48869296" w14:textId="77777777" w:rsidR="00E02C2E" w:rsidRPr="006A4403" w:rsidRDefault="00E02C2E" w:rsidP="00E02C2E">
      <w:pPr>
        <w:pStyle w:val="paragraph"/>
      </w:pPr>
      <w:r w:rsidRPr="006A4403">
        <w:rPr>
          <w:b/>
          <w:i/>
        </w:rPr>
        <w:tab/>
      </w:r>
      <w:r w:rsidRPr="006A4403">
        <w:t>(b)</w:t>
      </w:r>
      <w:r w:rsidRPr="006A4403">
        <w:rPr>
          <w:b/>
          <w:i/>
        </w:rPr>
        <w:tab/>
      </w:r>
      <w:r w:rsidRPr="006A4403">
        <w:t>a</w:t>
      </w:r>
      <w:r w:rsidRPr="006A4403">
        <w:rPr>
          <w:b/>
          <w:i/>
        </w:rPr>
        <w:t xml:space="preserve"> use consent </w:t>
      </w:r>
      <w:r w:rsidRPr="006A4403">
        <w:t>is a consent given by a CDR consumer under these rules for an accredited data recipient of particular CDR data, or a CDR representative that holds the CDR data as service data, to use that CDR data in a particular way; and</w:t>
      </w:r>
    </w:p>
    <w:p w14:paraId="6DB26C31" w14:textId="77777777" w:rsidR="00E02C2E" w:rsidRPr="006A4403" w:rsidRDefault="00E02C2E" w:rsidP="00E02C2E">
      <w:pPr>
        <w:pStyle w:val="paragraph"/>
      </w:pPr>
      <w:r w:rsidRPr="006A4403">
        <w:rPr>
          <w:b/>
          <w:i/>
        </w:rPr>
        <w:tab/>
      </w:r>
      <w:r w:rsidRPr="006A4403">
        <w:t>(c)</w:t>
      </w:r>
      <w:r w:rsidRPr="006A4403">
        <w:tab/>
        <w:t xml:space="preserve">a </w:t>
      </w:r>
      <w:r w:rsidRPr="006A4403">
        <w:rPr>
          <w:b/>
          <w:i/>
        </w:rPr>
        <w:t xml:space="preserve">disclosure consent </w:t>
      </w:r>
      <w:r w:rsidRPr="006A4403">
        <w:t>is a consent given by a CDR consumer under these rules for an accredited data recipient of particular CDR data, or a CDR representative that holds the CDR data as service data, to disclose that CDR data:</w:t>
      </w:r>
    </w:p>
    <w:p w14:paraId="70ED7C9F" w14:textId="77777777" w:rsidR="00E02C2E" w:rsidRPr="006A4403" w:rsidRDefault="00E02C2E" w:rsidP="00E02C2E">
      <w:pPr>
        <w:pStyle w:val="paragraphsub"/>
      </w:pPr>
      <w:r w:rsidRPr="006A4403">
        <w:tab/>
        <w:t>(i)</w:t>
      </w:r>
      <w:r w:rsidRPr="006A4403">
        <w:tab/>
        <w:t xml:space="preserve">to an accredited person in response to a consumer data request (an </w:t>
      </w:r>
      <w:r w:rsidRPr="006A4403">
        <w:rPr>
          <w:b/>
          <w:i/>
        </w:rPr>
        <w:t>AP disclosure consent</w:t>
      </w:r>
      <w:r w:rsidRPr="006A4403">
        <w:t>); or</w:t>
      </w:r>
    </w:p>
    <w:p w14:paraId="61D2E475" w14:textId="77777777" w:rsidR="00E02C2E" w:rsidRPr="006A4403" w:rsidRDefault="00E02C2E" w:rsidP="00E02C2E">
      <w:pPr>
        <w:pStyle w:val="paragraphsub"/>
      </w:pPr>
      <w:r w:rsidRPr="006A4403">
        <w:tab/>
        <w:t>(ii)</w:t>
      </w:r>
      <w:r w:rsidRPr="006A4403">
        <w:tab/>
        <w:t>to an accredited person for the purposes of direct marketing; or</w:t>
      </w:r>
    </w:p>
    <w:p w14:paraId="729350B7" w14:textId="77777777" w:rsidR="00E02C2E" w:rsidRPr="006A4403" w:rsidRDefault="00E02C2E" w:rsidP="00E02C2E">
      <w:pPr>
        <w:pStyle w:val="paragraphsub"/>
      </w:pPr>
      <w:r w:rsidRPr="006A4403">
        <w:tab/>
        <w:t>(iii)</w:t>
      </w:r>
      <w:r w:rsidRPr="006A4403">
        <w:tab/>
        <w:t xml:space="preserve">to a trusted adviser of the CDR consumer (a </w:t>
      </w:r>
      <w:r w:rsidRPr="006A4403">
        <w:rPr>
          <w:b/>
          <w:i/>
        </w:rPr>
        <w:t>TA disclosure consent</w:t>
      </w:r>
      <w:r w:rsidRPr="006A4403">
        <w:t>); or</w:t>
      </w:r>
    </w:p>
    <w:p w14:paraId="188C721F" w14:textId="77777777" w:rsidR="00E02C2E" w:rsidRPr="006A4403" w:rsidRDefault="00E02C2E" w:rsidP="00E02C2E">
      <w:pPr>
        <w:pStyle w:val="paragraphsub"/>
      </w:pPr>
      <w:r w:rsidRPr="006A4403">
        <w:tab/>
        <w:t>(iv)</w:t>
      </w:r>
      <w:r w:rsidRPr="006A4403">
        <w:tab/>
        <w:t>to a specified person in accordance with an insight disclosure consent; or</w:t>
      </w:r>
    </w:p>
    <w:p w14:paraId="5F02C9A1" w14:textId="77777777" w:rsidR="00E02C2E" w:rsidRPr="006A4403" w:rsidRDefault="00E02C2E" w:rsidP="00E02C2E">
      <w:pPr>
        <w:pStyle w:val="paragraphsub"/>
      </w:pPr>
      <w:r w:rsidRPr="006A4403">
        <w:tab/>
        <w:t>(v)</w:t>
      </w:r>
      <w:r w:rsidRPr="006A4403">
        <w:tab/>
      </w:r>
      <w:bookmarkStart w:id="75" w:name="_Hlk121339557"/>
      <w:r w:rsidRPr="006A4403">
        <w:t>other than in the case of a CDR representative—</w:t>
      </w:r>
      <w:bookmarkEnd w:id="75"/>
      <w:r w:rsidRPr="006A4403">
        <w:t>to a specified person in accordance with a business consumer disclosure consent; and</w:t>
      </w:r>
    </w:p>
    <w:p w14:paraId="08FE1270" w14:textId="77777777" w:rsidR="00E02C2E" w:rsidRPr="006A4403" w:rsidRDefault="00E02C2E" w:rsidP="00E02C2E">
      <w:pPr>
        <w:pStyle w:val="paragraph"/>
      </w:pPr>
      <w:r w:rsidRPr="006A4403">
        <w:tab/>
        <w:t>(d)</w:t>
      </w:r>
      <w:r w:rsidRPr="006A4403">
        <w:tab/>
        <w:t xml:space="preserve">a </w:t>
      </w:r>
      <w:r w:rsidRPr="006A4403">
        <w:rPr>
          <w:b/>
          <w:bCs/>
          <w:i/>
          <w:iCs/>
        </w:rPr>
        <w:t>direct marketing consent</w:t>
      </w:r>
      <w:r w:rsidRPr="006A4403">
        <w:t xml:space="preserve"> is a consent given by a CDR consumer under these rules for an accredited data recipient of particular CDR data, or a CDR representative that holds the CDR data as service data, to use or disclose the CDR data for the purposes of direct marketing; and</w:t>
      </w:r>
    </w:p>
    <w:p w14:paraId="16160A36" w14:textId="77777777" w:rsidR="00E02C2E" w:rsidRPr="006A4403" w:rsidRDefault="00E02C2E" w:rsidP="00E02C2E">
      <w:pPr>
        <w:pStyle w:val="paragraph"/>
      </w:pPr>
      <w:r w:rsidRPr="006A4403">
        <w:tab/>
        <w:t>(e)</w:t>
      </w:r>
      <w:r w:rsidRPr="006A4403">
        <w:tab/>
        <w:t xml:space="preserve">a </w:t>
      </w:r>
      <w:r w:rsidRPr="006A4403">
        <w:rPr>
          <w:b/>
          <w:bCs/>
          <w:i/>
          <w:iCs/>
        </w:rPr>
        <w:t>de-identification consent</w:t>
      </w:r>
      <w:r w:rsidRPr="006A4403">
        <w:t xml:space="preserve"> is a consent given by a CDR consumer under these rules for an accredited data recipient of particular CDR data, or a CDR representative that holds the CDR data as service data, to de</w:t>
      </w:r>
      <w:r w:rsidRPr="006A4403">
        <w:noBreakHyphen/>
        <w:t>identify some or all of the collected CDR data and do either or both of the following:</w:t>
      </w:r>
    </w:p>
    <w:p w14:paraId="669283F2" w14:textId="77777777" w:rsidR="00E02C2E" w:rsidRPr="006A4403" w:rsidRDefault="00E02C2E" w:rsidP="00E02C2E">
      <w:pPr>
        <w:pStyle w:val="paragraphsub"/>
      </w:pPr>
      <w:r w:rsidRPr="006A4403">
        <w:lastRenderedPageBreak/>
        <w:tab/>
        <w:t>(i)</w:t>
      </w:r>
      <w:r w:rsidRPr="006A4403">
        <w:tab/>
        <w:t>use the de-identified data for general research;</w:t>
      </w:r>
    </w:p>
    <w:p w14:paraId="1DDCBBF3" w14:textId="77777777" w:rsidR="00E02C2E" w:rsidRPr="006A4403" w:rsidRDefault="00E02C2E" w:rsidP="00E02C2E">
      <w:pPr>
        <w:pStyle w:val="paragraphsub"/>
      </w:pPr>
      <w:r w:rsidRPr="006A4403">
        <w:tab/>
        <w:t>(ii)</w:t>
      </w:r>
      <w:r w:rsidRPr="006A4403">
        <w:tab/>
        <w:t>disclose (including by selling) the de</w:t>
      </w:r>
      <w:r w:rsidRPr="006A4403">
        <w:noBreakHyphen/>
        <w:t>identified data.</w:t>
      </w:r>
    </w:p>
    <w:p w14:paraId="3823155F" w14:textId="77777777" w:rsidR="00E02C2E" w:rsidRPr="006A4403" w:rsidRDefault="00E02C2E" w:rsidP="00E02C2E">
      <w:pPr>
        <w:pStyle w:val="subsection"/>
      </w:pPr>
      <w:r w:rsidRPr="006A4403">
        <w:tab/>
        <w:t>(2)</w:t>
      </w:r>
      <w:r w:rsidRPr="006A4403">
        <w:tab/>
        <w:t xml:space="preserve">For these rules, each of the following is a </w:t>
      </w:r>
      <w:r w:rsidRPr="006A4403">
        <w:rPr>
          <w:b/>
          <w:i/>
        </w:rPr>
        <w:t xml:space="preserve">category </w:t>
      </w:r>
      <w:r w:rsidRPr="006A4403">
        <w:t>of consents:</w:t>
      </w:r>
    </w:p>
    <w:p w14:paraId="34F7AAEA" w14:textId="77777777" w:rsidR="00E02C2E" w:rsidRPr="006A4403" w:rsidRDefault="00E02C2E" w:rsidP="00E02C2E">
      <w:pPr>
        <w:pStyle w:val="paragraph"/>
      </w:pPr>
      <w:r w:rsidRPr="006A4403">
        <w:tab/>
        <w:t>(a)</w:t>
      </w:r>
      <w:r w:rsidRPr="006A4403">
        <w:tab/>
        <w:t>collection consents;</w:t>
      </w:r>
    </w:p>
    <w:p w14:paraId="1C649ED6" w14:textId="77777777" w:rsidR="00E02C2E" w:rsidRPr="006A4403" w:rsidRDefault="00E02C2E" w:rsidP="00E02C2E">
      <w:pPr>
        <w:pStyle w:val="paragraph"/>
      </w:pPr>
      <w:r w:rsidRPr="006A4403">
        <w:tab/>
        <w:t>(b)</w:t>
      </w:r>
      <w:r w:rsidRPr="006A4403">
        <w:tab/>
        <w:t>use consents relating to the goods or services requested by the CDR consumer;</w:t>
      </w:r>
    </w:p>
    <w:p w14:paraId="5B2E4AB0" w14:textId="77777777" w:rsidR="00E02C2E" w:rsidRPr="006A4403" w:rsidRDefault="00E02C2E" w:rsidP="00E02C2E">
      <w:pPr>
        <w:pStyle w:val="paragraph"/>
      </w:pPr>
      <w:bookmarkStart w:id="76" w:name="_Toc57218974"/>
      <w:r w:rsidRPr="006A4403">
        <w:tab/>
        <w:t>(c)</w:t>
      </w:r>
      <w:r w:rsidRPr="006A4403">
        <w:tab/>
        <w:t>direct marketing consents;</w:t>
      </w:r>
    </w:p>
    <w:p w14:paraId="19F41EB4" w14:textId="77777777" w:rsidR="00E02C2E" w:rsidRPr="006A4403" w:rsidRDefault="00E02C2E" w:rsidP="00E02C2E">
      <w:pPr>
        <w:pStyle w:val="paragraph"/>
        <w:tabs>
          <w:tab w:val="left" w:pos="2160"/>
          <w:tab w:val="left" w:pos="2880"/>
          <w:tab w:val="left" w:pos="3600"/>
          <w:tab w:val="left" w:pos="5325"/>
        </w:tabs>
      </w:pPr>
      <w:r w:rsidRPr="006A4403">
        <w:tab/>
        <w:t>(d)</w:t>
      </w:r>
      <w:r w:rsidRPr="006A4403">
        <w:tab/>
        <w:t>de</w:t>
      </w:r>
      <w:r w:rsidRPr="006A4403">
        <w:noBreakHyphen/>
        <w:t>identification consents;</w:t>
      </w:r>
    </w:p>
    <w:p w14:paraId="454A8DEC" w14:textId="77777777" w:rsidR="00E02C2E" w:rsidRPr="006A4403" w:rsidRDefault="00E02C2E" w:rsidP="00E02C2E">
      <w:pPr>
        <w:pStyle w:val="paragraph"/>
      </w:pPr>
      <w:r w:rsidRPr="006A4403">
        <w:tab/>
        <w:t>(e)</w:t>
      </w:r>
      <w:r w:rsidRPr="006A4403">
        <w:tab/>
        <w:t>AP disclosure consents;</w:t>
      </w:r>
    </w:p>
    <w:p w14:paraId="583368DB" w14:textId="77777777" w:rsidR="00E02C2E" w:rsidRPr="006A4403" w:rsidRDefault="00E02C2E" w:rsidP="00E02C2E">
      <w:pPr>
        <w:pStyle w:val="paragraph"/>
      </w:pPr>
      <w:r w:rsidRPr="006A4403">
        <w:tab/>
        <w:t>(f)</w:t>
      </w:r>
      <w:r w:rsidRPr="006A4403">
        <w:tab/>
        <w:t>TA disclosure consents;</w:t>
      </w:r>
    </w:p>
    <w:p w14:paraId="474A7665" w14:textId="77777777" w:rsidR="00E02C2E" w:rsidRPr="006A4403" w:rsidRDefault="00E02C2E" w:rsidP="00E02C2E">
      <w:pPr>
        <w:pStyle w:val="paragraph"/>
      </w:pPr>
      <w:r w:rsidRPr="006A4403">
        <w:tab/>
        <w:t>(g)</w:t>
      </w:r>
      <w:r w:rsidRPr="006A4403">
        <w:tab/>
        <w:t>insight disclosure consents;</w:t>
      </w:r>
    </w:p>
    <w:p w14:paraId="0EACDC8F" w14:textId="77777777" w:rsidR="00E02C2E" w:rsidRPr="006A4403" w:rsidRDefault="00E02C2E" w:rsidP="00E02C2E">
      <w:pPr>
        <w:pStyle w:val="paragraph"/>
      </w:pPr>
      <w:r w:rsidRPr="006A4403">
        <w:tab/>
        <w:t xml:space="preserve">(h) </w:t>
      </w:r>
      <w:r w:rsidRPr="006A4403">
        <w:tab/>
        <w:t>business consumer disclosure consents.</w:t>
      </w:r>
      <w:bookmarkEnd w:id="76"/>
    </w:p>
    <w:p w14:paraId="18960197" w14:textId="77777777" w:rsidR="00E02C2E" w:rsidRPr="006A4403" w:rsidRDefault="00E02C2E" w:rsidP="00E02C2E">
      <w:pPr>
        <w:pStyle w:val="SubsectionHead"/>
      </w:pPr>
      <w:r w:rsidRPr="006A4403">
        <w:t>Insight disclosure consents</w:t>
      </w:r>
    </w:p>
    <w:p w14:paraId="4DC7B4B4" w14:textId="77777777" w:rsidR="00E02C2E" w:rsidRPr="006A4403" w:rsidRDefault="00E02C2E" w:rsidP="00E02C2E">
      <w:pPr>
        <w:pStyle w:val="subsection"/>
      </w:pPr>
      <w:r w:rsidRPr="006A4403">
        <w:tab/>
        <w:t>(3)</w:t>
      </w:r>
      <w:r w:rsidRPr="006A4403">
        <w:tab/>
        <w:t xml:space="preserve">For these rules, an </w:t>
      </w:r>
      <w:r w:rsidRPr="006A4403">
        <w:rPr>
          <w:b/>
          <w:i/>
        </w:rPr>
        <w:t>insight disclosure consent</w:t>
      </w:r>
      <w:r w:rsidRPr="006A4403">
        <w:t xml:space="preserve"> in relation to particular CDR data of a CDR consumer held by an accredited data recipient</w:t>
      </w:r>
      <w:bookmarkStart w:id="77" w:name="_Hlk120625334"/>
      <w:r w:rsidRPr="006A4403">
        <w:t xml:space="preserve">, or a CDR representative that holds the CDR data as service data, is a disclosure consent </w:t>
      </w:r>
      <w:bookmarkEnd w:id="77"/>
      <w:r w:rsidRPr="006A4403">
        <w:t>given by the CDR consumer under these rules that:</w:t>
      </w:r>
    </w:p>
    <w:p w14:paraId="016C35BC" w14:textId="77777777" w:rsidR="00E02C2E" w:rsidRPr="006A4403" w:rsidRDefault="00E02C2E" w:rsidP="00E02C2E">
      <w:pPr>
        <w:pStyle w:val="paragraph"/>
      </w:pPr>
      <w:r w:rsidRPr="006A4403">
        <w:tab/>
        <w:t>(a)</w:t>
      </w:r>
      <w:r w:rsidRPr="006A4403">
        <w:tab/>
        <w:t xml:space="preserve">authorises the accredited data recipient or CDR representative to disclose the CDR data to a specified person for one or more of the following purposes: </w:t>
      </w:r>
    </w:p>
    <w:p w14:paraId="2F5626B1" w14:textId="77777777" w:rsidR="00E02C2E" w:rsidRPr="006A4403" w:rsidRDefault="00E02C2E" w:rsidP="00E02C2E">
      <w:pPr>
        <w:pStyle w:val="paragraphsub"/>
      </w:pPr>
      <w:r w:rsidRPr="006A4403">
        <w:tab/>
        <w:t>(i)</w:t>
      </w:r>
      <w:r w:rsidRPr="006A4403">
        <w:tab/>
        <w:t xml:space="preserve">verifying the consumer’s identity; </w:t>
      </w:r>
    </w:p>
    <w:p w14:paraId="17173364" w14:textId="77777777" w:rsidR="00E02C2E" w:rsidRPr="006A4403" w:rsidRDefault="00E02C2E" w:rsidP="00E02C2E">
      <w:pPr>
        <w:pStyle w:val="paragraphsub"/>
      </w:pPr>
      <w:r w:rsidRPr="006A4403">
        <w:tab/>
        <w:t>(ii)</w:t>
      </w:r>
      <w:r w:rsidRPr="006A4403">
        <w:tab/>
        <w:t xml:space="preserve">verifying the consumer’s account balance; </w:t>
      </w:r>
    </w:p>
    <w:p w14:paraId="701B2F32" w14:textId="77777777" w:rsidR="00E02C2E" w:rsidRPr="006A4403" w:rsidRDefault="00E02C2E" w:rsidP="00E02C2E">
      <w:pPr>
        <w:pStyle w:val="paragraphsub"/>
      </w:pPr>
      <w:r w:rsidRPr="006A4403">
        <w:tab/>
        <w:t>(iii)</w:t>
      </w:r>
      <w:r w:rsidRPr="006A4403">
        <w:tab/>
        <w:t>verifying the details of credits to or debits from the consumer’s accounts; but</w:t>
      </w:r>
    </w:p>
    <w:p w14:paraId="5DEE8BA2" w14:textId="77777777" w:rsidR="00E02C2E" w:rsidRPr="006A4403" w:rsidRDefault="00E02C2E" w:rsidP="00E02C2E">
      <w:pPr>
        <w:pStyle w:val="paragraph"/>
      </w:pPr>
      <w:r w:rsidRPr="006A4403">
        <w:tab/>
        <w:t>(b)</w:t>
      </w:r>
      <w:r w:rsidRPr="006A4403">
        <w:tab/>
        <w:t>where the CDR data relates to more than one transaction—does not authorise the accredited data recipient or CDR representative to disclose an amount or date in relation to any individual transaction.</w:t>
      </w:r>
    </w:p>
    <w:p w14:paraId="236FAED4" w14:textId="77777777" w:rsidR="00E02C2E" w:rsidRPr="006A4403" w:rsidRDefault="00E02C2E" w:rsidP="00E02C2E">
      <w:pPr>
        <w:pStyle w:val="subsection"/>
      </w:pPr>
      <w:bookmarkStart w:id="78" w:name="_Hlk120625834"/>
      <w:r w:rsidRPr="006A4403">
        <w:tab/>
        <w:t>(4)</w:t>
      </w:r>
      <w:r w:rsidRPr="006A4403">
        <w:tab/>
        <w:t>An accredited person must not make:</w:t>
      </w:r>
    </w:p>
    <w:p w14:paraId="0E92C0DA" w14:textId="77777777" w:rsidR="00E02C2E" w:rsidRPr="006A4403" w:rsidRDefault="00E02C2E" w:rsidP="00E02C2E">
      <w:pPr>
        <w:pStyle w:val="paragraph"/>
      </w:pPr>
      <w:r w:rsidRPr="006A4403">
        <w:tab/>
        <w:t>(a)</w:t>
      </w:r>
      <w:r w:rsidRPr="006A4403">
        <w:tab/>
        <w:t xml:space="preserve">the giving of an insight disclosure consent; or </w:t>
      </w:r>
    </w:p>
    <w:p w14:paraId="2EFD29C3" w14:textId="77777777" w:rsidR="00E02C2E" w:rsidRPr="006A4403" w:rsidRDefault="00E02C2E" w:rsidP="00E02C2E">
      <w:pPr>
        <w:pStyle w:val="paragraph"/>
      </w:pPr>
      <w:r w:rsidRPr="006A4403">
        <w:tab/>
        <w:t>(b)</w:t>
      </w:r>
      <w:r w:rsidRPr="006A4403">
        <w:tab/>
        <w:t>the specification of a particular person for the purposes of paragraph (3)(a);</w:t>
      </w:r>
    </w:p>
    <w:p w14:paraId="4137EB04" w14:textId="77777777" w:rsidR="00E02C2E" w:rsidRPr="006A4403" w:rsidRDefault="00E02C2E" w:rsidP="00E02C2E">
      <w:pPr>
        <w:pStyle w:val="subsection2"/>
      </w:pPr>
      <w:r w:rsidRPr="006A4403">
        <w:t>a condition for supply of the goods or services requested by the CDR consumer.</w:t>
      </w:r>
    </w:p>
    <w:p w14:paraId="193FD5BE" w14:textId="77777777" w:rsidR="00E02C2E" w:rsidRPr="006A4403" w:rsidRDefault="00E02C2E" w:rsidP="00E02C2E">
      <w:pPr>
        <w:pStyle w:val="notetext"/>
      </w:pPr>
      <w:bookmarkStart w:id="79" w:name="_Hlk121338402"/>
      <w:r w:rsidRPr="006A4403">
        <w:t>Note:</w:t>
      </w:r>
      <w:r w:rsidRPr="006A4403">
        <w:tab/>
        <w:t>This subrule is a civil penalty provision (see rule 9.8).</w:t>
      </w:r>
    </w:p>
    <w:bookmarkEnd w:id="79"/>
    <w:p w14:paraId="40F792F8" w14:textId="77777777" w:rsidR="00E02C2E" w:rsidRPr="006A4403" w:rsidRDefault="00E02C2E" w:rsidP="00E02C2E">
      <w:pPr>
        <w:pStyle w:val="subsection"/>
      </w:pPr>
      <w:r w:rsidRPr="006A4403">
        <w:tab/>
        <w:t>(5)</w:t>
      </w:r>
      <w:r w:rsidRPr="006A4403">
        <w:tab/>
        <w:t>A CDR representative must not make:</w:t>
      </w:r>
    </w:p>
    <w:p w14:paraId="74CE0FBA" w14:textId="77777777" w:rsidR="00E02C2E" w:rsidRPr="006A4403" w:rsidRDefault="00E02C2E" w:rsidP="00E02C2E">
      <w:pPr>
        <w:pStyle w:val="paragraph"/>
      </w:pPr>
      <w:r w:rsidRPr="006A4403">
        <w:tab/>
        <w:t>(a)</w:t>
      </w:r>
      <w:r w:rsidRPr="006A4403">
        <w:tab/>
        <w:t xml:space="preserve">the giving of an insight disclosure consent; or </w:t>
      </w:r>
    </w:p>
    <w:p w14:paraId="203E5865" w14:textId="77777777" w:rsidR="00E02C2E" w:rsidRPr="006A4403" w:rsidRDefault="00E02C2E" w:rsidP="00E02C2E">
      <w:pPr>
        <w:pStyle w:val="paragraph"/>
      </w:pPr>
      <w:r w:rsidRPr="006A4403">
        <w:tab/>
        <w:t>(b)</w:t>
      </w:r>
      <w:r w:rsidRPr="006A4403">
        <w:tab/>
        <w:t>the specification of a particular person for the purposes of paragraph (3)(a);</w:t>
      </w:r>
    </w:p>
    <w:p w14:paraId="12D1DE0E" w14:textId="77777777" w:rsidR="00E02C2E" w:rsidRPr="006A4403" w:rsidRDefault="00E02C2E" w:rsidP="00E02C2E">
      <w:pPr>
        <w:pStyle w:val="subsection2"/>
      </w:pPr>
      <w:r w:rsidRPr="006A4403">
        <w:t>a condition for supply of the goods or services requested by the CDR consumer.</w:t>
      </w:r>
    </w:p>
    <w:p w14:paraId="18407DE1" w14:textId="77777777" w:rsidR="00E02C2E" w:rsidRPr="006A4403" w:rsidRDefault="00E02C2E" w:rsidP="00E02C2E">
      <w:pPr>
        <w:pStyle w:val="subsection"/>
      </w:pPr>
      <w:r w:rsidRPr="006A4403">
        <w:tab/>
        <w:t>(6)</w:t>
      </w:r>
      <w:r w:rsidRPr="006A4403">
        <w:tab/>
        <w:t>A CDR representative principal contravenes this subrule if its CDR representative makes:</w:t>
      </w:r>
    </w:p>
    <w:p w14:paraId="7D29DC74" w14:textId="77777777" w:rsidR="00E02C2E" w:rsidRPr="006A4403" w:rsidRDefault="00E02C2E" w:rsidP="00E02C2E">
      <w:pPr>
        <w:pStyle w:val="paragraph"/>
      </w:pPr>
      <w:r w:rsidRPr="006A4403">
        <w:tab/>
        <w:t>(a)</w:t>
      </w:r>
      <w:r w:rsidRPr="006A4403">
        <w:tab/>
        <w:t xml:space="preserve">the giving of an insight disclosure consent; or </w:t>
      </w:r>
    </w:p>
    <w:p w14:paraId="49FB456D" w14:textId="77777777" w:rsidR="00E02C2E" w:rsidRPr="006A4403" w:rsidRDefault="00E02C2E" w:rsidP="00E02C2E">
      <w:pPr>
        <w:pStyle w:val="paragraph"/>
      </w:pPr>
      <w:r w:rsidRPr="006A4403">
        <w:tab/>
        <w:t>(b)</w:t>
      </w:r>
      <w:r w:rsidRPr="006A4403">
        <w:tab/>
        <w:t>the specification of a particular person for the purposes of paragraph (3)(a);</w:t>
      </w:r>
    </w:p>
    <w:p w14:paraId="47A34708" w14:textId="77777777" w:rsidR="00E02C2E" w:rsidRPr="006A4403" w:rsidRDefault="00E02C2E" w:rsidP="00E02C2E">
      <w:pPr>
        <w:pStyle w:val="subsection2"/>
      </w:pPr>
      <w:r w:rsidRPr="006A4403">
        <w:t>a condition for supply of the goods or services requested by the CDR consumer.</w:t>
      </w:r>
    </w:p>
    <w:p w14:paraId="5DE8CEFA" w14:textId="77777777" w:rsidR="00E02C2E" w:rsidRPr="006A4403" w:rsidRDefault="00E02C2E" w:rsidP="00E02C2E">
      <w:pPr>
        <w:pStyle w:val="notetext"/>
      </w:pPr>
      <w:r w:rsidRPr="006A4403">
        <w:t>Note:</w:t>
      </w:r>
      <w:r w:rsidRPr="006A4403">
        <w:tab/>
        <w:t>This subrule is a civil penalty provision (see rule 9.8).</w:t>
      </w:r>
    </w:p>
    <w:p w14:paraId="47593B31" w14:textId="77777777" w:rsidR="00E02C2E" w:rsidRPr="006A4403" w:rsidRDefault="00E02C2E" w:rsidP="00E02C2E">
      <w:pPr>
        <w:pStyle w:val="subsection"/>
      </w:pPr>
      <w:r w:rsidRPr="006A4403">
        <w:tab/>
        <w:t>(7)</w:t>
      </w:r>
      <w:r w:rsidRPr="006A4403">
        <w:tab/>
        <w:t xml:space="preserve">To avoid doubt, paragraphs (4)(a), (5)(a) and (6)(a) do not apply where the only good or service that is requested by the CDR consumer is for CDR data to be </w:t>
      </w:r>
      <w:r w:rsidRPr="006A4403">
        <w:lastRenderedPageBreak/>
        <w:t xml:space="preserve">collected from a data holder and CDR insights </w:t>
      </w:r>
      <w:r w:rsidRPr="006A4403">
        <w:rPr>
          <w:szCs w:val="22"/>
          <w:lang w:eastAsia="en-US"/>
        </w:rPr>
        <w:t>disclosed in accordance with the insight disclosure consent</w:t>
      </w:r>
      <w:r w:rsidRPr="006A4403">
        <w:t>.</w:t>
      </w:r>
    </w:p>
    <w:bookmarkEnd w:id="78"/>
    <w:p w14:paraId="45408FA2" w14:textId="77777777" w:rsidR="00E02C2E" w:rsidRPr="006A4403" w:rsidRDefault="00E02C2E" w:rsidP="00E02C2E">
      <w:pPr>
        <w:pStyle w:val="SubsectionHead"/>
      </w:pPr>
      <w:r w:rsidRPr="006A4403">
        <w:t>Consents in relation to CDR representatives</w:t>
      </w:r>
    </w:p>
    <w:p w14:paraId="58D3029B" w14:textId="77777777" w:rsidR="00E02C2E" w:rsidRPr="006A4403" w:rsidRDefault="00E02C2E" w:rsidP="00E02C2E">
      <w:pPr>
        <w:pStyle w:val="subsection"/>
      </w:pPr>
      <w:r w:rsidRPr="006A4403">
        <w:tab/>
        <w:t>(8)</w:t>
      </w:r>
      <w:r w:rsidRPr="006A4403">
        <w:tab/>
        <w:t xml:space="preserve">For an accredited person with a CDR representative, a consent given by a CDR consumer under these rules to the CDR representative for the accredited person to collect particular CDR data from a CDR participant for that CDR data and disclose it to the CDR representative is also a </w:t>
      </w:r>
      <w:r w:rsidRPr="006A4403">
        <w:rPr>
          <w:b/>
          <w:i/>
        </w:rPr>
        <w:t>collection consent</w:t>
      </w:r>
      <w:r w:rsidRPr="006A4403">
        <w:t xml:space="preserve">. </w:t>
      </w:r>
    </w:p>
    <w:p w14:paraId="3217DC76" w14:textId="77777777" w:rsidR="00E02C2E" w:rsidRPr="006A4403" w:rsidRDefault="00E02C2E" w:rsidP="00E02C2E">
      <w:pPr>
        <w:pStyle w:val="SubsectionHead"/>
      </w:pPr>
      <w:r w:rsidRPr="006A4403">
        <w:t>CDR business consumers</w:t>
      </w:r>
    </w:p>
    <w:p w14:paraId="587160C6" w14:textId="77777777" w:rsidR="00E02C2E" w:rsidRPr="006A4403" w:rsidRDefault="00E02C2E" w:rsidP="00E02C2E">
      <w:pPr>
        <w:pStyle w:val="subsection"/>
      </w:pPr>
      <w:r w:rsidRPr="006A4403">
        <w:tab/>
        <w:t>(9)</w:t>
      </w:r>
      <w:r w:rsidRPr="006A4403">
        <w:tab/>
        <w:t xml:space="preserve">For these rules, a CDR consumer is taken to be a </w:t>
      </w:r>
      <w:r w:rsidRPr="006A4403">
        <w:rPr>
          <w:b/>
          <w:i/>
        </w:rPr>
        <w:t>CDR business consumer</w:t>
      </w:r>
      <w:r w:rsidRPr="006A4403">
        <w:t xml:space="preserve"> in relation to a consumer data request to be made by an accredited person if the accredited person has taken reasonable steps to confirm that:</w:t>
      </w:r>
    </w:p>
    <w:p w14:paraId="109A77D4" w14:textId="77777777" w:rsidR="00E02C2E" w:rsidRPr="006A4403" w:rsidRDefault="00E02C2E" w:rsidP="00E02C2E">
      <w:pPr>
        <w:pStyle w:val="paragraph"/>
      </w:pPr>
      <w:r w:rsidRPr="006A4403">
        <w:tab/>
        <w:t>(a)</w:t>
      </w:r>
      <w:r w:rsidRPr="006A4403">
        <w:tab/>
        <w:t>the CDR consumer is not an individual; or</w:t>
      </w:r>
    </w:p>
    <w:p w14:paraId="10F3C913" w14:textId="77777777" w:rsidR="00E02C2E" w:rsidRPr="006A4403" w:rsidRDefault="00E02C2E" w:rsidP="00E02C2E">
      <w:pPr>
        <w:pStyle w:val="paragraph"/>
      </w:pPr>
      <w:r w:rsidRPr="006A4403">
        <w:tab/>
        <w:t>(b)</w:t>
      </w:r>
      <w:r w:rsidRPr="006A4403">
        <w:tab/>
        <w:t>the CDR consumer has an active ABN.</w:t>
      </w:r>
    </w:p>
    <w:p w14:paraId="73759532" w14:textId="77777777" w:rsidR="00E02C2E" w:rsidRPr="006A4403" w:rsidRDefault="00E02C2E" w:rsidP="00E02C2E">
      <w:pPr>
        <w:pStyle w:val="subsection"/>
      </w:pPr>
      <w:r w:rsidRPr="006A4403">
        <w:tab/>
        <w:t>(10)</w:t>
      </w:r>
      <w:r w:rsidRPr="006A4403">
        <w:tab/>
        <w:t xml:space="preserve">For these rules, a </w:t>
      </w:r>
      <w:r w:rsidRPr="006A4403">
        <w:rPr>
          <w:b/>
          <w:i/>
        </w:rPr>
        <w:t>business consumer statement</w:t>
      </w:r>
      <w:r w:rsidRPr="006A4403">
        <w:t xml:space="preserve"> is a statement made by a CDR business consumer that:</w:t>
      </w:r>
    </w:p>
    <w:p w14:paraId="00E9A152" w14:textId="77777777" w:rsidR="00E02C2E" w:rsidRPr="006A4403" w:rsidRDefault="00E02C2E" w:rsidP="00E02C2E">
      <w:pPr>
        <w:pStyle w:val="paragraph"/>
      </w:pPr>
      <w:r w:rsidRPr="006A4403">
        <w:tab/>
        <w:t>(a)</w:t>
      </w:r>
      <w:r w:rsidRPr="006A4403">
        <w:tab/>
        <w:t>is given in relation to a consent in one of the following categories:</w:t>
      </w:r>
    </w:p>
    <w:p w14:paraId="1DDE6789" w14:textId="77777777" w:rsidR="00E02C2E" w:rsidRPr="006A4403" w:rsidRDefault="00E02C2E" w:rsidP="00E02C2E">
      <w:pPr>
        <w:pStyle w:val="paragraphsub"/>
      </w:pPr>
      <w:r w:rsidRPr="006A4403">
        <w:tab/>
        <w:t>(i)</w:t>
      </w:r>
      <w:r w:rsidRPr="006A4403">
        <w:tab/>
        <w:t>use consents relating to the goods or services requested by the CDR business consumer;</w:t>
      </w:r>
    </w:p>
    <w:p w14:paraId="7836B4B4" w14:textId="77777777" w:rsidR="00E02C2E" w:rsidRPr="006A4403" w:rsidRDefault="00E02C2E" w:rsidP="00E02C2E">
      <w:pPr>
        <w:pStyle w:val="paragraphsub"/>
      </w:pPr>
      <w:r w:rsidRPr="006A4403">
        <w:tab/>
        <w:t>(ii)</w:t>
      </w:r>
      <w:r w:rsidRPr="006A4403">
        <w:tab/>
        <w:t>TA disclosure consents;</w:t>
      </w:r>
    </w:p>
    <w:p w14:paraId="65BF6319" w14:textId="77777777" w:rsidR="00E02C2E" w:rsidRPr="006A4403" w:rsidRDefault="00E02C2E" w:rsidP="00E02C2E">
      <w:pPr>
        <w:pStyle w:val="paragraphsub"/>
      </w:pPr>
      <w:r w:rsidRPr="006A4403">
        <w:tab/>
        <w:t>(iii)</w:t>
      </w:r>
      <w:r w:rsidRPr="006A4403">
        <w:tab/>
        <w:t>insight disclosure consents;</w:t>
      </w:r>
    </w:p>
    <w:p w14:paraId="7A49A87F" w14:textId="77777777" w:rsidR="00E02C2E" w:rsidRPr="006A4403" w:rsidRDefault="00E02C2E" w:rsidP="00E02C2E">
      <w:pPr>
        <w:pStyle w:val="paragraphsub"/>
      </w:pPr>
      <w:r w:rsidRPr="006A4403">
        <w:tab/>
        <w:t>(iv)</w:t>
      </w:r>
      <w:r w:rsidRPr="006A4403">
        <w:tab/>
        <w:t>business consumer disclosure consents; and</w:t>
      </w:r>
    </w:p>
    <w:p w14:paraId="76D1F7FC" w14:textId="77777777" w:rsidR="00E02C2E" w:rsidRPr="006A4403" w:rsidRDefault="00E02C2E" w:rsidP="00E02C2E">
      <w:pPr>
        <w:pStyle w:val="paragraph"/>
      </w:pPr>
      <w:r w:rsidRPr="006A4403">
        <w:tab/>
        <w:t>(b)</w:t>
      </w:r>
      <w:r w:rsidRPr="006A4403">
        <w:tab/>
        <w:t xml:space="preserve">certifies that the consent is given for the purpose of enabling the accredited person to provide goods or services to the CDR business consumer in its capacity as a business (and not as an individual). </w:t>
      </w:r>
    </w:p>
    <w:p w14:paraId="70237575" w14:textId="77777777" w:rsidR="00E02C2E" w:rsidRPr="006A4403" w:rsidRDefault="00E02C2E" w:rsidP="00E02C2E">
      <w:pPr>
        <w:pStyle w:val="notetext"/>
      </w:pPr>
      <w:r w:rsidRPr="006A4403">
        <w:t>Note:</w:t>
      </w:r>
      <w:r w:rsidRPr="006A4403">
        <w:tab/>
        <w:t>Only an accredited person is able to deal with a CDR consumer in the CDR consumer’s capacity as a CDR business consumer, and is hence able to invite a CDR consumer to provide a business consumer statement.</w:t>
      </w:r>
    </w:p>
    <w:p w14:paraId="1B5DED89" w14:textId="77777777" w:rsidR="00E02C2E" w:rsidRPr="006A4403" w:rsidRDefault="00E02C2E" w:rsidP="00E02C2E">
      <w:pPr>
        <w:pStyle w:val="subsection"/>
      </w:pPr>
      <w:r w:rsidRPr="006A4403">
        <w:tab/>
        <w:t>(11)</w:t>
      </w:r>
      <w:r w:rsidRPr="006A4403">
        <w:tab/>
        <w:t xml:space="preserve">For these rules, a </w:t>
      </w:r>
      <w:r w:rsidRPr="006A4403">
        <w:rPr>
          <w:b/>
          <w:i/>
        </w:rPr>
        <w:t>business consumer disclosure consent</w:t>
      </w:r>
      <w:r w:rsidRPr="006A4403">
        <w:t xml:space="preserve"> in relation to particular CDR data of a CDR business consumer held by an accredited data recipient is a </w:t>
      </w:r>
      <w:bookmarkStart w:id="80" w:name="_Hlk121337811"/>
      <w:r w:rsidRPr="006A4403">
        <w:t xml:space="preserve">disclosure </w:t>
      </w:r>
      <w:bookmarkEnd w:id="80"/>
      <w:r w:rsidRPr="006A4403">
        <w:t>consent given by the CDR business consumer under these rules that:</w:t>
      </w:r>
    </w:p>
    <w:p w14:paraId="7D6E6720" w14:textId="77777777" w:rsidR="00E02C2E" w:rsidRPr="006A4403" w:rsidRDefault="00E02C2E" w:rsidP="00E02C2E">
      <w:pPr>
        <w:pStyle w:val="paragraph"/>
      </w:pPr>
      <w:r w:rsidRPr="006A4403">
        <w:tab/>
        <w:t>(a)</w:t>
      </w:r>
      <w:r w:rsidRPr="006A4403">
        <w:tab/>
        <w:t>authorises the accredited data recipient to disclose the CDR data to a specified person; and</w:t>
      </w:r>
    </w:p>
    <w:p w14:paraId="0F7725F9" w14:textId="77777777" w:rsidR="00E02C2E" w:rsidRPr="006A4403" w:rsidRDefault="00E02C2E" w:rsidP="00E02C2E">
      <w:pPr>
        <w:pStyle w:val="paragraph"/>
      </w:pPr>
      <w:r w:rsidRPr="006A4403">
        <w:tab/>
        <w:t xml:space="preserve"> (b)</w:t>
      </w:r>
      <w:r w:rsidRPr="006A4403">
        <w:tab/>
        <w:t>includes a business consumer statement.</w:t>
      </w:r>
    </w:p>
    <w:p w14:paraId="68F871EF" w14:textId="77777777" w:rsidR="00E02C2E" w:rsidRPr="006A4403" w:rsidRDefault="00E02C2E" w:rsidP="00E02C2E">
      <w:pPr>
        <w:pStyle w:val="subsection"/>
      </w:pPr>
      <w:bookmarkStart w:id="81" w:name="_Hlk115447082"/>
      <w:r w:rsidRPr="006A4403">
        <w:tab/>
        <w:t>(12)</w:t>
      </w:r>
      <w:r w:rsidRPr="006A4403">
        <w:tab/>
        <w:t>An accredited person must not make:</w:t>
      </w:r>
    </w:p>
    <w:p w14:paraId="1E37CBAC" w14:textId="77777777" w:rsidR="00E02C2E" w:rsidRPr="006A4403" w:rsidRDefault="00E02C2E" w:rsidP="00E02C2E">
      <w:pPr>
        <w:pStyle w:val="paragraph"/>
      </w:pPr>
      <w:r w:rsidRPr="006A4403">
        <w:tab/>
        <w:t>(a)</w:t>
      </w:r>
      <w:r w:rsidRPr="006A4403">
        <w:tab/>
      </w:r>
      <w:bookmarkStart w:id="82" w:name="_Hlk120626976"/>
      <w:r w:rsidRPr="006A4403">
        <w:t xml:space="preserve">the giving of a business consumer disclosure consent; or </w:t>
      </w:r>
      <w:bookmarkEnd w:id="82"/>
    </w:p>
    <w:p w14:paraId="5D8D43E6" w14:textId="77777777" w:rsidR="00E02C2E" w:rsidRPr="006A4403" w:rsidRDefault="00E02C2E" w:rsidP="00E02C2E">
      <w:pPr>
        <w:pStyle w:val="paragraph"/>
      </w:pPr>
      <w:bookmarkStart w:id="83" w:name="_Hlk120626984"/>
      <w:r w:rsidRPr="006A4403">
        <w:tab/>
        <w:t>(b)</w:t>
      </w:r>
      <w:r w:rsidRPr="006A4403">
        <w:tab/>
        <w:t>the giving of a business consumer statement; or</w:t>
      </w:r>
    </w:p>
    <w:bookmarkEnd w:id="83"/>
    <w:p w14:paraId="0F72B429" w14:textId="77777777" w:rsidR="00E02C2E" w:rsidRPr="006A4403" w:rsidRDefault="00E02C2E" w:rsidP="00E02C2E">
      <w:pPr>
        <w:pStyle w:val="paragraph"/>
      </w:pPr>
      <w:r w:rsidRPr="006A4403">
        <w:tab/>
        <w:t>(c)</w:t>
      </w:r>
      <w:r w:rsidRPr="006A4403">
        <w:tab/>
        <w:t>the specification of a particular person for the purposes of paragraph (11)(a);</w:t>
      </w:r>
    </w:p>
    <w:p w14:paraId="3E76480F" w14:textId="77777777" w:rsidR="00E02C2E" w:rsidRPr="006A4403" w:rsidRDefault="00E02C2E" w:rsidP="00E02C2E">
      <w:pPr>
        <w:pStyle w:val="subsection2"/>
      </w:pPr>
      <w:r w:rsidRPr="006A4403">
        <w:t>a condition for supply of the goods or services requested by the CDR business consumer.</w:t>
      </w:r>
    </w:p>
    <w:p w14:paraId="5AB74602" w14:textId="77777777" w:rsidR="00E02C2E" w:rsidRPr="006A4403" w:rsidRDefault="00E02C2E" w:rsidP="00E02C2E">
      <w:pPr>
        <w:pStyle w:val="notetext"/>
      </w:pPr>
      <w:r w:rsidRPr="006A4403">
        <w:t>Note:</w:t>
      </w:r>
      <w:r w:rsidRPr="006A4403">
        <w:tab/>
        <w:t>This subrule is a civil penalty provision (see rule 9.8).</w:t>
      </w:r>
    </w:p>
    <w:p w14:paraId="44059D68" w14:textId="77777777" w:rsidR="00E02C2E" w:rsidRPr="006A4403" w:rsidRDefault="00E02C2E" w:rsidP="00E02C2E">
      <w:pPr>
        <w:pStyle w:val="subsection"/>
      </w:pPr>
      <w:r w:rsidRPr="006A4403">
        <w:tab/>
        <w:t>(13)</w:t>
      </w:r>
      <w:r w:rsidRPr="006A4403">
        <w:tab/>
        <w:t xml:space="preserve">To avoid doubt, </w:t>
      </w:r>
      <w:bookmarkStart w:id="84" w:name="_Hlk121337549"/>
      <w:r w:rsidRPr="006A4403">
        <w:t xml:space="preserve">paragraphs (12)(a) and (b) do </w:t>
      </w:r>
      <w:bookmarkEnd w:id="84"/>
      <w:r w:rsidRPr="006A4403">
        <w:t>not apply where the only good or service that is requested by the CDR business consumer is for CDR data to be collected from a data holder and provided to a specified person.</w:t>
      </w:r>
    </w:p>
    <w:bookmarkEnd w:id="81"/>
    <w:p w14:paraId="26748117" w14:textId="77777777" w:rsidR="00E02C2E" w:rsidRPr="006A4403" w:rsidRDefault="00E02C2E" w:rsidP="00E02C2E">
      <w:pPr>
        <w:pStyle w:val="subsection"/>
      </w:pPr>
      <w:r w:rsidRPr="006A4403">
        <w:lastRenderedPageBreak/>
        <w:tab/>
        <w:t xml:space="preserve">(14) </w:t>
      </w:r>
      <w:r w:rsidRPr="006A4403">
        <w:tab/>
        <w:t>An accredited person may not deal with a person in their capacity as a CDR business consumer before the earlier of</w:t>
      </w:r>
      <w:r w:rsidR="00A07ED8" w:rsidRPr="006A4403">
        <w:t xml:space="preserve"> the following</w:t>
      </w:r>
      <w:r w:rsidRPr="006A4403">
        <w:t>:</w:t>
      </w:r>
    </w:p>
    <w:p w14:paraId="5E890ED1" w14:textId="77777777" w:rsidR="00E02C2E" w:rsidRPr="006A4403" w:rsidRDefault="00E02C2E" w:rsidP="00E02C2E">
      <w:pPr>
        <w:pStyle w:val="paragraph"/>
      </w:pPr>
      <w:r w:rsidRPr="006A4403">
        <w:tab/>
        <w:t>(a)</w:t>
      </w:r>
      <w:r w:rsidRPr="006A4403">
        <w:tab/>
        <w:t xml:space="preserve">if the Data Standards Chair makes data standards about the matters referred to in both of subparagraphs 8.11(1)(a)(iv) and subparagraph 8.11(1)(c)(vi) before </w:t>
      </w:r>
      <w:r w:rsidR="00A751A8" w:rsidRPr="006A4403">
        <w:t xml:space="preserve">1 </w:t>
      </w:r>
      <w:r w:rsidR="00FA5950" w:rsidRPr="006A4403">
        <w:t>December</w:t>
      </w:r>
      <w:r w:rsidR="00A751A8" w:rsidRPr="006A4403">
        <w:t xml:space="preserve"> 2023</w:t>
      </w:r>
      <w:r w:rsidRPr="006A4403">
        <w:t xml:space="preserve">—the day on which the last of those standards is made; </w:t>
      </w:r>
    </w:p>
    <w:p w14:paraId="4B0A625C" w14:textId="77777777" w:rsidR="00E02C2E" w:rsidRPr="006A4403" w:rsidRDefault="00E02C2E" w:rsidP="00E02C2E">
      <w:pPr>
        <w:pStyle w:val="paragraph"/>
      </w:pPr>
      <w:r w:rsidRPr="006A4403">
        <w:tab/>
        <w:t>(b)</w:t>
      </w:r>
      <w:r w:rsidRPr="006A4403">
        <w:tab/>
      </w:r>
      <w:r w:rsidR="00770528" w:rsidRPr="006A4403">
        <w:t xml:space="preserve">1 </w:t>
      </w:r>
      <w:r w:rsidR="00FE6DB9" w:rsidRPr="006A4403">
        <w:t>December</w:t>
      </w:r>
      <w:r w:rsidR="00770528" w:rsidRPr="006A4403">
        <w:t xml:space="preserve"> 2023</w:t>
      </w:r>
      <w:r w:rsidRPr="006A4403">
        <w:t>.</w:t>
      </w:r>
    </w:p>
    <w:p w14:paraId="686C359E" w14:textId="77777777" w:rsidR="00E02C2E" w:rsidRPr="006A4403" w:rsidRDefault="00E02C2E" w:rsidP="00E02C2E">
      <w:pPr>
        <w:pStyle w:val="notetext"/>
      </w:pPr>
      <w:r w:rsidRPr="006A4403">
        <w:t>Note:</w:t>
      </w:r>
      <w:r w:rsidRPr="006A4403">
        <w:tab/>
        <w:t>This subrule is a civil penalty provision (see rule 9.8).</w:t>
      </w:r>
    </w:p>
    <w:bookmarkEnd w:id="73"/>
    <w:bookmarkEnd w:id="74"/>
    <w:p w14:paraId="1A51D235" w14:textId="77777777" w:rsidR="00E02C2E" w:rsidRPr="006A4403" w:rsidRDefault="004B0AB6" w:rsidP="00E02C2E">
      <w:pPr>
        <w:pStyle w:val="ItemHead"/>
      </w:pPr>
      <w:r>
        <w:t>13</w:t>
      </w:r>
      <w:r w:rsidR="00723B2F" w:rsidRPr="006A4403">
        <w:t xml:space="preserve">  </w:t>
      </w:r>
      <w:r w:rsidR="00E02C2E" w:rsidRPr="006A4403">
        <w:t>Subrules 1.10C(1), (3) and (4)</w:t>
      </w:r>
    </w:p>
    <w:p w14:paraId="4FF9ECA2" w14:textId="77777777" w:rsidR="00E02C2E" w:rsidRPr="006A4403" w:rsidRDefault="00E02C2E" w:rsidP="00E02C2E">
      <w:pPr>
        <w:pStyle w:val="Item"/>
      </w:pPr>
      <w:r w:rsidRPr="006A4403">
        <w:t>After “accredited person” insert “</w:t>
      </w:r>
      <w:bookmarkStart w:id="85" w:name="_Hlk121826994"/>
      <w:r w:rsidRPr="006A4403">
        <w:t>or CDR representative</w:t>
      </w:r>
      <w:bookmarkEnd w:id="85"/>
      <w:r w:rsidRPr="006A4403">
        <w:t>”.</w:t>
      </w:r>
    </w:p>
    <w:p w14:paraId="41F7D13A" w14:textId="77777777" w:rsidR="00E02C2E" w:rsidRPr="006A4403" w:rsidRDefault="004B0AB6" w:rsidP="00E02C2E">
      <w:pPr>
        <w:pStyle w:val="ItemHead"/>
      </w:pPr>
      <w:r>
        <w:t>14</w:t>
      </w:r>
      <w:r w:rsidR="00723B2F" w:rsidRPr="006A4403">
        <w:t xml:space="preserve">  </w:t>
      </w:r>
      <w:r w:rsidR="00E02C2E" w:rsidRPr="006A4403">
        <w:t>At the end of rule 1.10C</w:t>
      </w:r>
    </w:p>
    <w:p w14:paraId="5B2277C2" w14:textId="77777777" w:rsidR="00E02C2E" w:rsidRPr="006A4403" w:rsidRDefault="00E02C2E" w:rsidP="00E02C2E">
      <w:pPr>
        <w:pStyle w:val="Item"/>
      </w:pPr>
      <w:r w:rsidRPr="006A4403">
        <w:t>Add:</w:t>
      </w:r>
    </w:p>
    <w:p w14:paraId="54593793" w14:textId="77777777" w:rsidR="00E02C2E" w:rsidRPr="006A4403" w:rsidRDefault="00E02C2E" w:rsidP="00E02C2E">
      <w:pPr>
        <w:pStyle w:val="subsection"/>
      </w:pPr>
      <w:bookmarkStart w:id="86" w:name="_Hlk121827040"/>
      <w:r w:rsidRPr="006A4403">
        <w:tab/>
        <w:t>(5)</w:t>
      </w:r>
      <w:r w:rsidRPr="006A4403">
        <w:tab/>
        <w:t>To avoid doubt, paragraphs (4)(a) and (c) do not apply where the only good or service that is requested by the CDR consumer is for CDR data to be collected from a data holder and provided to a trusted adviser.</w:t>
      </w:r>
    </w:p>
    <w:bookmarkEnd w:id="86"/>
    <w:p w14:paraId="7DB5E408" w14:textId="77777777" w:rsidR="00E02C2E" w:rsidRPr="006A4403" w:rsidRDefault="004B0AB6" w:rsidP="00E02C2E">
      <w:pPr>
        <w:pStyle w:val="ItemHead"/>
        <w:rPr>
          <w:noProof/>
        </w:rPr>
      </w:pPr>
      <w:r>
        <w:t>15</w:t>
      </w:r>
      <w:r w:rsidR="00723B2F" w:rsidRPr="006A4403">
        <w:t xml:space="preserve">  </w:t>
      </w:r>
      <w:r w:rsidR="00E02C2E" w:rsidRPr="006A4403">
        <w:rPr>
          <w:noProof/>
        </w:rPr>
        <w:t>Paragraph 1.10D(1)(a)</w:t>
      </w:r>
    </w:p>
    <w:p w14:paraId="45F9FABF" w14:textId="77777777" w:rsidR="00E02C2E" w:rsidRPr="006A4403" w:rsidRDefault="00E02C2E" w:rsidP="00E02C2E">
      <w:pPr>
        <w:pStyle w:val="Item"/>
      </w:pPr>
      <w:r w:rsidRPr="006A4403">
        <w:t>Omit “rule”, substitute “subrule”.</w:t>
      </w:r>
    </w:p>
    <w:p w14:paraId="22154456" w14:textId="77777777" w:rsidR="00E02C2E" w:rsidRPr="006A4403" w:rsidRDefault="004B0AB6" w:rsidP="00E02C2E">
      <w:pPr>
        <w:pStyle w:val="ItemHead"/>
      </w:pPr>
      <w:r>
        <w:t>16</w:t>
      </w:r>
      <w:r w:rsidR="00723B2F" w:rsidRPr="006A4403">
        <w:t xml:space="preserve">  </w:t>
      </w:r>
      <w:r w:rsidR="00E02C2E" w:rsidRPr="006A4403">
        <w:t>Subrule 1.13(1) (note 3)</w:t>
      </w:r>
    </w:p>
    <w:p w14:paraId="24EB4DA4" w14:textId="77777777" w:rsidR="00E02C2E" w:rsidRPr="006A4403" w:rsidRDefault="00E02C2E" w:rsidP="00E02C2E">
      <w:pPr>
        <w:pStyle w:val="Item"/>
      </w:pPr>
      <w:r w:rsidRPr="006A4403">
        <w:t>After “will not” insert “be”.</w:t>
      </w:r>
    </w:p>
    <w:p w14:paraId="720E6178" w14:textId="77777777" w:rsidR="00E02C2E" w:rsidRPr="006A4403" w:rsidRDefault="004B0AB6" w:rsidP="00E02C2E">
      <w:pPr>
        <w:pStyle w:val="ItemHead"/>
        <w:rPr>
          <w:noProof/>
        </w:rPr>
      </w:pPr>
      <w:r>
        <w:t>17</w:t>
      </w:r>
      <w:r w:rsidR="00723B2F" w:rsidRPr="006A4403">
        <w:t xml:space="preserve">  </w:t>
      </w:r>
      <w:r w:rsidR="00E02C2E" w:rsidRPr="006A4403">
        <w:rPr>
          <w:noProof/>
        </w:rPr>
        <w:t>Subrule 1.14(2A)</w:t>
      </w:r>
    </w:p>
    <w:p w14:paraId="2CBE3114" w14:textId="77777777" w:rsidR="00E02C2E" w:rsidRPr="006A4403" w:rsidRDefault="00E02C2E" w:rsidP="00E02C2E">
      <w:pPr>
        <w:pStyle w:val="Item"/>
      </w:pPr>
      <w:r w:rsidRPr="006A4403">
        <w:t>Omit “, on and after 1 July 2021,”.</w:t>
      </w:r>
    </w:p>
    <w:p w14:paraId="176DA91B" w14:textId="77777777" w:rsidR="00E02C2E" w:rsidRPr="006A4403" w:rsidRDefault="004B0AB6" w:rsidP="00E02C2E">
      <w:pPr>
        <w:pStyle w:val="ItemHead"/>
        <w:rPr>
          <w:noProof/>
        </w:rPr>
      </w:pPr>
      <w:r>
        <w:t>18</w:t>
      </w:r>
      <w:r w:rsidR="00723B2F" w:rsidRPr="006A4403">
        <w:t xml:space="preserve">  </w:t>
      </w:r>
      <w:r w:rsidR="00E02C2E" w:rsidRPr="006A4403">
        <w:rPr>
          <w:noProof/>
        </w:rPr>
        <w:t>After paragraph 1.14(3)(ea)</w:t>
      </w:r>
    </w:p>
    <w:p w14:paraId="64FD264E" w14:textId="77777777" w:rsidR="00E02C2E" w:rsidRPr="006A4403" w:rsidRDefault="00E02C2E" w:rsidP="00E02C2E">
      <w:pPr>
        <w:pStyle w:val="Item"/>
      </w:pPr>
      <w:r w:rsidRPr="006A4403">
        <w:tab/>
        <w:t>Insert:</w:t>
      </w:r>
    </w:p>
    <w:p w14:paraId="5EB372B3" w14:textId="77777777" w:rsidR="00E02C2E" w:rsidRPr="006A4403" w:rsidRDefault="00E02C2E" w:rsidP="00E02C2E">
      <w:pPr>
        <w:pStyle w:val="paragraph"/>
      </w:pPr>
      <w:bookmarkStart w:id="87" w:name="_Hlk121827413"/>
      <w:r w:rsidRPr="006A4403">
        <w:tab/>
        <w:t>(eb)</w:t>
      </w:r>
      <w:r w:rsidRPr="006A4403">
        <w:tab/>
        <w:t>if a business consumer statement has been given in relation to the consent—that fact;</w:t>
      </w:r>
    </w:p>
    <w:bookmarkEnd w:id="87"/>
    <w:p w14:paraId="25441A3D" w14:textId="77777777" w:rsidR="00D346E6" w:rsidRPr="006A4403" w:rsidRDefault="004B0AB6" w:rsidP="00D346E6">
      <w:pPr>
        <w:pStyle w:val="ItemHead"/>
      </w:pPr>
      <w:r>
        <w:t>19</w:t>
      </w:r>
      <w:r w:rsidR="00723B2F" w:rsidRPr="006A4403">
        <w:t xml:space="preserve">  </w:t>
      </w:r>
      <w:r w:rsidR="00D346E6" w:rsidRPr="006A4403">
        <w:t>Paragraph 1.14(3)(h)</w:t>
      </w:r>
    </w:p>
    <w:p w14:paraId="40AF6E80" w14:textId="77777777" w:rsidR="00D346E6" w:rsidRPr="006A4403" w:rsidRDefault="00D346E6" w:rsidP="00D346E6">
      <w:pPr>
        <w:pStyle w:val="Item"/>
      </w:pPr>
      <w:r w:rsidRPr="006A4403">
        <w:t>Omit “rule 7.4 and rule 7.9”, substitute “rules 7.4 and 7.9”.</w:t>
      </w:r>
    </w:p>
    <w:p w14:paraId="252F0443" w14:textId="77777777" w:rsidR="00D346E6" w:rsidRPr="006A4403" w:rsidRDefault="004B0AB6" w:rsidP="00D346E6">
      <w:pPr>
        <w:pStyle w:val="ItemHead"/>
      </w:pPr>
      <w:r>
        <w:t>20</w:t>
      </w:r>
      <w:r w:rsidR="00723B2F" w:rsidRPr="006A4403">
        <w:t xml:space="preserve">  </w:t>
      </w:r>
      <w:r w:rsidR="00D346E6" w:rsidRPr="006A4403">
        <w:t>Subrule 1.14(3) (note 1)</w:t>
      </w:r>
    </w:p>
    <w:p w14:paraId="17C33710" w14:textId="77777777" w:rsidR="00D346E6" w:rsidRPr="006A4403" w:rsidRDefault="00D346E6" w:rsidP="00D346E6">
      <w:pPr>
        <w:pStyle w:val="Item"/>
      </w:pPr>
      <w:r w:rsidRPr="006A4403">
        <w:t>Repeal the note, substitute:</w:t>
      </w:r>
    </w:p>
    <w:p w14:paraId="3724278C" w14:textId="77777777" w:rsidR="00D346E6" w:rsidRPr="006A4403" w:rsidRDefault="00D346E6" w:rsidP="00D346E6">
      <w:pPr>
        <w:pStyle w:val="notetext"/>
      </w:pPr>
      <w:bookmarkStart w:id="88" w:name="_Hlk121827514"/>
      <w:r w:rsidRPr="006A4403">
        <w:t>Note 1:</w:t>
      </w:r>
      <w:r w:rsidRPr="006A4403">
        <w:tab/>
        <w:t>For paragraph (f), consents expire at the latest 12 months (or 7 years for certain consents by a CDR business consumer) after they are given or, in some circumstances, amended: see paragraph 4.14(1)(c).</w:t>
      </w:r>
    </w:p>
    <w:bookmarkEnd w:id="88"/>
    <w:p w14:paraId="010DEB52" w14:textId="77777777" w:rsidR="00D346E6" w:rsidRPr="006A4403" w:rsidRDefault="004B0AB6" w:rsidP="00D346E6">
      <w:pPr>
        <w:pStyle w:val="ItemHead"/>
      </w:pPr>
      <w:r>
        <w:t>21</w:t>
      </w:r>
      <w:r w:rsidR="00723B2F" w:rsidRPr="006A4403">
        <w:t xml:space="preserve">  </w:t>
      </w:r>
      <w:r w:rsidR="00D346E6" w:rsidRPr="006A4403">
        <w:t>Subrule 1.14(3) (note 2)</w:t>
      </w:r>
    </w:p>
    <w:p w14:paraId="0E096AE1" w14:textId="77777777" w:rsidR="00D346E6" w:rsidRPr="006A4403" w:rsidRDefault="00D346E6" w:rsidP="00D346E6">
      <w:pPr>
        <w:pStyle w:val="Item"/>
      </w:pPr>
      <w:r w:rsidRPr="006A4403">
        <w:t>After “For” insert “limits on”.</w:t>
      </w:r>
    </w:p>
    <w:p w14:paraId="1A55F529" w14:textId="77777777" w:rsidR="00A606AD" w:rsidRPr="006A4403" w:rsidRDefault="004B0AB6" w:rsidP="00A606AD">
      <w:pPr>
        <w:pStyle w:val="ItemHead"/>
      </w:pPr>
      <w:r>
        <w:t>22</w:t>
      </w:r>
      <w:r w:rsidR="00723B2F" w:rsidRPr="006A4403">
        <w:t xml:space="preserve">  </w:t>
      </w:r>
      <w:r w:rsidR="00A606AD" w:rsidRPr="006A4403">
        <w:t>At the end of subrule 1.15(3)</w:t>
      </w:r>
    </w:p>
    <w:p w14:paraId="6EAAE671" w14:textId="77777777" w:rsidR="00A606AD" w:rsidRPr="006A4403" w:rsidRDefault="00A606AD" w:rsidP="00A606AD">
      <w:pPr>
        <w:pStyle w:val="Item"/>
      </w:pPr>
      <w:r w:rsidRPr="006A4403">
        <w:t>Add:</w:t>
      </w:r>
    </w:p>
    <w:p w14:paraId="2D577C9E" w14:textId="77777777" w:rsidR="00A606AD" w:rsidRPr="006A4403" w:rsidRDefault="00A606AD" w:rsidP="00A606AD">
      <w:pPr>
        <w:pStyle w:val="paragraph"/>
      </w:pPr>
      <w:r w:rsidRPr="006A4403">
        <w:tab/>
      </w:r>
      <w:bookmarkStart w:id="89" w:name="_Hlk121827629"/>
      <w:r w:rsidRPr="006A4403">
        <w:t>; (h)</w:t>
      </w:r>
      <w:r w:rsidRPr="006A4403">
        <w:tab/>
        <w:t>details of each amendment (if any) that has been made to the authorisation.</w:t>
      </w:r>
      <w:bookmarkEnd w:id="89"/>
    </w:p>
    <w:p w14:paraId="10548980" w14:textId="77777777" w:rsidR="00A606AD" w:rsidRPr="006A4403" w:rsidRDefault="004B0AB6" w:rsidP="00A606AD">
      <w:pPr>
        <w:pStyle w:val="ItemHead"/>
      </w:pPr>
      <w:r>
        <w:lastRenderedPageBreak/>
        <w:t>23</w:t>
      </w:r>
      <w:r w:rsidR="00723B2F" w:rsidRPr="006A4403">
        <w:t xml:space="preserve">  </w:t>
      </w:r>
      <w:r w:rsidR="00A606AD" w:rsidRPr="006A4403">
        <w:t>After subrule 1.15(3)</w:t>
      </w:r>
    </w:p>
    <w:p w14:paraId="162BADA6" w14:textId="77777777" w:rsidR="00A606AD" w:rsidRPr="006A4403" w:rsidRDefault="00A606AD" w:rsidP="00A606AD">
      <w:pPr>
        <w:pStyle w:val="Item"/>
      </w:pPr>
      <w:r w:rsidRPr="006A4403">
        <w:t>Insert:</w:t>
      </w:r>
    </w:p>
    <w:p w14:paraId="24B16AFC" w14:textId="77777777" w:rsidR="00A606AD" w:rsidRPr="006A4403" w:rsidRDefault="00A606AD" w:rsidP="00A606AD">
      <w:pPr>
        <w:pStyle w:val="subsection"/>
      </w:pPr>
      <w:bookmarkStart w:id="90" w:name="_Hlk121827713"/>
      <w:r w:rsidRPr="006A4403">
        <w:tab/>
        <w:t>(3A)</w:t>
      </w:r>
      <w:r w:rsidRPr="006A4403">
        <w:tab/>
        <w:t>Paragraph (3)(h) applies on and after 1 </w:t>
      </w:r>
      <w:r w:rsidR="00FE6DB9" w:rsidRPr="006A4403">
        <w:t>July</w:t>
      </w:r>
      <w:r w:rsidRPr="006A4403">
        <w:t xml:space="preserve"> 202</w:t>
      </w:r>
      <w:r w:rsidR="00FE6DB9" w:rsidRPr="006A4403">
        <w:t>4</w:t>
      </w:r>
      <w:r w:rsidRPr="006A4403">
        <w:t>.</w:t>
      </w:r>
    </w:p>
    <w:bookmarkEnd w:id="90"/>
    <w:p w14:paraId="4562096F" w14:textId="77777777" w:rsidR="00A606AD" w:rsidRPr="006A4403" w:rsidRDefault="004B0AB6" w:rsidP="00A606AD">
      <w:pPr>
        <w:pStyle w:val="ItemHead"/>
      </w:pPr>
      <w:r>
        <w:t>24</w:t>
      </w:r>
      <w:r w:rsidR="00723B2F" w:rsidRPr="006A4403">
        <w:t xml:space="preserve">  </w:t>
      </w:r>
      <w:r w:rsidR="00A606AD" w:rsidRPr="006A4403">
        <w:t>Subrule 1.15(5) (note 2)</w:t>
      </w:r>
    </w:p>
    <w:p w14:paraId="5D10B087" w14:textId="77777777" w:rsidR="00A606AD" w:rsidRPr="006A4403" w:rsidRDefault="00A606AD" w:rsidP="00A606AD">
      <w:pPr>
        <w:pStyle w:val="Item"/>
      </w:pPr>
      <w:r w:rsidRPr="006A4403">
        <w:t>Omit “subrule 4.6A(1)”, substitute “rule 4.6A”.</w:t>
      </w:r>
    </w:p>
    <w:p w14:paraId="645116A3" w14:textId="77777777" w:rsidR="00A606AD" w:rsidRPr="006A4403" w:rsidRDefault="004B0AB6" w:rsidP="00A606AD">
      <w:pPr>
        <w:pStyle w:val="ItemHead"/>
      </w:pPr>
      <w:r>
        <w:t>25</w:t>
      </w:r>
      <w:r w:rsidR="00723B2F" w:rsidRPr="006A4403">
        <w:t xml:space="preserve">  </w:t>
      </w:r>
      <w:r w:rsidR="00A606AD" w:rsidRPr="006A4403">
        <w:t>Rules 1.16 and 1.16A</w:t>
      </w:r>
    </w:p>
    <w:p w14:paraId="15DE6520" w14:textId="77777777" w:rsidR="00A606AD" w:rsidRPr="006A4403" w:rsidRDefault="00A606AD" w:rsidP="00A606AD">
      <w:pPr>
        <w:pStyle w:val="Item"/>
      </w:pPr>
      <w:r w:rsidRPr="006A4403">
        <w:t>Repeal the rules, substitute:</w:t>
      </w:r>
    </w:p>
    <w:p w14:paraId="0FDA4469" w14:textId="77777777" w:rsidR="00A606AD" w:rsidRPr="006A4403" w:rsidRDefault="00A606AD" w:rsidP="00A606AD">
      <w:pPr>
        <w:pStyle w:val="ActHead5"/>
      </w:pPr>
      <w:bookmarkStart w:id="91" w:name="_Toc111131989"/>
      <w:bookmarkStart w:id="92" w:name="_Toc116895938"/>
      <w:bookmarkStart w:id="93" w:name="_Toc135295277"/>
      <w:bookmarkStart w:id="94" w:name="_Hlk121827798"/>
      <w:r w:rsidRPr="006A4403">
        <w:t>1.16  Obligations relating to outsourcing arrangements</w:t>
      </w:r>
      <w:bookmarkEnd w:id="91"/>
      <w:bookmarkEnd w:id="92"/>
      <w:bookmarkEnd w:id="93"/>
    </w:p>
    <w:p w14:paraId="437F2412" w14:textId="77777777" w:rsidR="00A606AD" w:rsidRPr="006A4403" w:rsidRDefault="00A606AD" w:rsidP="00A606AD">
      <w:pPr>
        <w:pStyle w:val="SubsectionHead"/>
      </w:pPr>
      <w:r w:rsidRPr="006A4403">
        <w:t>OSPs of accredited person</w:t>
      </w:r>
    </w:p>
    <w:p w14:paraId="7F979BA7" w14:textId="77777777" w:rsidR="00A606AD" w:rsidRPr="006A4403" w:rsidRDefault="00A606AD" w:rsidP="00A606AD">
      <w:pPr>
        <w:pStyle w:val="subsection"/>
      </w:pPr>
      <w:r w:rsidRPr="006A4403">
        <w:tab/>
        <w:t>(1)</w:t>
      </w:r>
      <w:r w:rsidRPr="006A4403">
        <w:tab/>
        <w:t>If an accredited person is the OSP chain principal of one or more direct or indirect OSPs, it must ensure that each direct and indirect OSP complies with its requirements under the relevant CDR outsourcing arrangement.</w:t>
      </w:r>
    </w:p>
    <w:p w14:paraId="763B630E" w14:textId="77777777" w:rsidR="00A606AD" w:rsidRPr="006A4403" w:rsidRDefault="00A606AD" w:rsidP="00A606AD">
      <w:pPr>
        <w:pStyle w:val="subsection"/>
      </w:pPr>
      <w:r w:rsidRPr="006A4403">
        <w:tab/>
        <w:t>(2)</w:t>
      </w:r>
      <w:r w:rsidRPr="006A4403">
        <w:tab/>
        <w:t xml:space="preserve">The accredited person breaches this subrule if a direct OSP or indirect OSP of the accredited person fails to comply with a required provision of the relevant CDR outsourcing arrangement. </w:t>
      </w:r>
    </w:p>
    <w:p w14:paraId="5F5406FF" w14:textId="77777777" w:rsidR="00A606AD" w:rsidRPr="006A4403" w:rsidRDefault="00A606AD" w:rsidP="00A606AD">
      <w:pPr>
        <w:pStyle w:val="notetext"/>
      </w:pPr>
      <w:r w:rsidRPr="006A4403">
        <w:t>Note:</w:t>
      </w:r>
      <w:r w:rsidRPr="006A4403">
        <w:tab/>
        <w:t>This subrule is a civil penalty provision (see rule 9.8).</w:t>
      </w:r>
    </w:p>
    <w:p w14:paraId="359D48AB" w14:textId="77777777" w:rsidR="00A606AD" w:rsidRPr="006A4403" w:rsidRDefault="00A606AD" w:rsidP="00A606AD">
      <w:pPr>
        <w:pStyle w:val="SubsectionHead"/>
      </w:pPr>
      <w:r w:rsidRPr="006A4403">
        <w:t>OSPs of CDR representative of accredited person</w:t>
      </w:r>
    </w:p>
    <w:p w14:paraId="6DF98E67" w14:textId="77777777" w:rsidR="00A606AD" w:rsidRPr="006A4403" w:rsidRDefault="00A606AD" w:rsidP="00A606AD">
      <w:pPr>
        <w:pStyle w:val="subsection"/>
      </w:pPr>
      <w:r w:rsidRPr="006A4403">
        <w:tab/>
        <w:t>(3)</w:t>
      </w:r>
      <w:r w:rsidRPr="006A4403">
        <w:tab/>
        <w:t>If an accredited person is the CDR representative principal in a CDR representative arrangement under which it permits the CDR representative to engage direct or indirect OSPs, it must ensure that each such direct and indirect OSP complies with its requirements under the relevant CDR outsourcing arrangement.</w:t>
      </w:r>
    </w:p>
    <w:p w14:paraId="19D8EDCC" w14:textId="77777777" w:rsidR="00A606AD" w:rsidRPr="006A4403" w:rsidRDefault="00A606AD" w:rsidP="00A606AD">
      <w:pPr>
        <w:pStyle w:val="subsection"/>
      </w:pPr>
      <w:r w:rsidRPr="006A4403">
        <w:tab/>
        <w:t>(4)</w:t>
      </w:r>
      <w:r w:rsidRPr="006A4403">
        <w:tab/>
        <w:t xml:space="preserve">The accredited person breaches this subrule if a direct OSP or indirect OSP of the CDR representative fails to comply with a required provision of the relevant CDR outsourcing arrangement. </w:t>
      </w:r>
    </w:p>
    <w:p w14:paraId="32275FA3" w14:textId="77777777" w:rsidR="00A606AD" w:rsidRPr="006A4403" w:rsidRDefault="00A606AD" w:rsidP="00A606AD">
      <w:pPr>
        <w:pStyle w:val="notetext"/>
      </w:pPr>
      <w:r w:rsidRPr="006A4403">
        <w:t>Note:</w:t>
      </w:r>
      <w:r w:rsidRPr="006A4403">
        <w:tab/>
        <w:t>This subrule is a civil penalty provision (see rule 9.8).</w:t>
      </w:r>
    </w:p>
    <w:p w14:paraId="2B8CB05B" w14:textId="77777777" w:rsidR="00A606AD" w:rsidRPr="006A4403" w:rsidRDefault="00A606AD" w:rsidP="00A606AD">
      <w:pPr>
        <w:pStyle w:val="SubsectionHead"/>
      </w:pPr>
      <w:r w:rsidRPr="006A4403">
        <w:t>Accredited person acting as OSP for another accredited person</w:t>
      </w:r>
    </w:p>
    <w:p w14:paraId="4F56591E" w14:textId="77777777" w:rsidR="00A606AD" w:rsidRPr="006A4403" w:rsidRDefault="00A606AD" w:rsidP="00A606AD">
      <w:pPr>
        <w:pStyle w:val="subsection"/>
      </w:pPr>
      <w:r w:rsidRPr="006A4403">
        <w:tab/>
        <w:t>(5)</w:t>
      </w:r>
      <w:r w:rsidRPr="006A4403">
        <w:tab/>
        <w:t xml:space="preserve">If an accredited person collects CDR data on behalf of another accredited person (the </w:t>
      </w:r>
      <w:r w:rsidRPr="006A4403">
        <w:rPr>
          <w:b/>
          <w:i/>
        </w:rPr>
        <w:t>principal</w:t>
      </w:r>
      <w:r w:rsidRPr="006A4403">
        <w:t>) as a direct or indirect OSP:</w:t>
      </w:r>
    </w:p>
    <w:p w14:paraId="3EA5A75E" w14:textId="77777777" w:rsidR="00A606AD" w:rsidRPr="006A4403" w:rsidRDefault="00A606AD" w:rsidP="00A606AD">
      <w:pPr>
        <w:pStyle w:val="paragraph"/>
      </w:pPr>
      <w:r w:rsidRPr="006A4403">
        <w:tab/>
        <w:t>(a)</w:t>
      </w:r>
      <w:r w:rsidRPr="006A4403">
        <w:tab/>
        <w:t>rules 7.4 and 7.9 apply only in relation to the principal; and</w:t>
      </w:r>
    </w:p>
    <w:p w14:paraId="7412A852" w14:textId="77777777" w:rsidR="00A606AD" w:rsidRPr="006A4403" w:rsidRDefault="00A606AD" w:rsidP="00A606AD">
      <w:pPr>
        <w:pStyle w:val="paragraph"/>
      </w:pPr>
      <w:r w:rsidRPr="006A4403">
        <w:tab/>
        <w:t>(b)</w:t>
      </w:r>
      <w:r w:rsidRPr="006A4403">
        <w:tab/>
        <w:t>paragraph 7.10(1)(a) requires the principal to be identified.</w:t>
      </w:r>
    </w:p>
    <w:p w14:paraId="0AD05691" w14:textId="77777777" w:rsidR="00A606AD" w:rsidRPr="006A4403" w:rsidRDefault="00A606AD" w:rsidP="00A606AD">
      <w:pPr>
        <w:pStyle w:val="SubsectionHead"/>
        <w:rPr>
          <w:b/>
        </w:rPr>
      </w:pPr>
      <w:r w:rsidRPr="006A4403">
        <w:t xml:space="preserve">Meaning of </w:t>
      </w:r>
      <w:r w:rsidRPr="006A4403">
        <w:rPr>
          <w:b/>
        </w:rPr>
        <w:t>required provision</w:t>
      </w:r>
    </w:p>
    <w:p w14:paraId="7595A70E" w14:textId="77777777" w:rsidR="00A606AD" w:rsidRPr="006A4403" w:rsidRDefault="00A606AD" w:rsidP="00A606AD">
      <w:pPr>
        <w:pStyle w:val="subsection"/>
      </w:pPr>
      <w:bookmarkStart w:id="95" w:name="_Toc111131990"/>
      <w:bookmarkStart w:id="96" w:name="_Toc116895939"/>
      <w:r w:rsidRPr="006A4403">
        <w:tab/>
        <w:t>(6)</w:t>
      </w:r>
      <w:r w:rsidRPr="006A4403">
        <w:tab/>
        <w:t xml:space="preserve">For this rule, a provision of a CDR outsourcing arrangement is a </w:t>
      </w:r>
      <w:r w:rsidRPr="006A4403">
        <w:rPr>
          <w:b/>
          <w:i/>
        </w:rPr>
        <w:t>required provision</w:t>
      </w:r>
      <w:r w:rsidRPr="006A4403">
        <w:t xml:space="preserve"> if the arrangement would cease to be a CDR outsourcing arrangement under subrule 1.10(3) if the provision were removed.</w:t>
      </w:r>
    </w:p>
    <w:p w14:paraId="0936AEA3" w14:textId="77777777" w:rsidR="00A606AD" w:rsidRPr="006A4403" w:rsidRDefault="00A606AD" w:rsidP="00A606AD">
      <w:pPr>
        <w:pStyle w:val="ActHead5"/>
      </w:pPr>
      <w:bookmarkStart w:id="97" w:name="_Toc135295278"/>
      <w:r w:rsidRPr="006A4403">
        <w:lastRenderedPageBreak/>
        <w:t>1.16A  Obligations relating to CDR representative arrangements</w:t>
      </w:r>
      <w:bookmarkEnd w:id="95"/>
      <w:bookmarkEnd w:id="96"/>
      <w:bookmarkEnd w:id="97"/>
    </w:p>
    <w:p w14:paraId="11D66215" w14:textId="77777777" w:rsidR="00A606AD" w:rsidRPr="006A4403" w:rsidRDefault="00A606AD" w:rsidP="00A606AD">
      <w:pPr>
        <w:pStyle w:val="SubsectionHead"/>
      </w:pPr>
      <w:r w:rsidRPr="006A4403">
        <w:t>Compliance with CDR representative arrangement</w:t>
      </w:r>
    </w:p>
    <w:p w14:paraId="687D8250" w14:textId="77777777" w:rsidR="00A606AD" w:rsidRPr="006A4403" w:rsidRDefault="00A606AD" w:rsidP="00A606AD">
      <w:pPr>
        <w:pStyle w:val="subsection"/>
      </w:pPr>
      <w:r w:rsidRPr="006A4403">
        <w:tab/>
        <w:t>(1)</w:t>
      </w:r>
      <w:r w:rsidRPr="006A4403">
        <w:tab/>
        <w:t>If an accredited person is the CDR representative principal in a CDR representative arrangement, it must ensure that the CDR representative complies with its requirements under the arrangement.</w:t>
      </w:r>
    </w:p>
    <w:p w14:paraId="31FD2A3A" w14:textId="77777777" w:rsidR="00A606AD" w:rsidRPr="006A4403" w:rsidRDefault="00A606AD" w:rsidP="00A606AD">
      <w:pPr>
        <w:pStyle w:val="subsection"/>
      </w:pPr>
      <w:r w:rsidRPr="006A4403">
        <w:tab/>
        <w:t>(2)</w:t>
      </w:r>
      <w:r w:rsidRPr="006A4403">
        <w:tab/>
        <w:t>The accredited person breaches this subrule if the CDR representative:</w:t>
      </w:r>
    </w:p>
    <w:p w14:paraId="5849D3E0" w14:textId="77777777" w:rsidR="00A606AD" w:rsidRPr="006A4403" w:rsidRDefault="00A606AD" w:rsidP="00A606AD">
      <w:pPr>
        <w:pStyle w:val="paragraph"/>
      </w:pPr>
      <w:r w:rsidRPr="006A4403">
        <w:tab/>
        <w:t>(a)</w:t>
      </w:r>
      <w:r w:rsidRPr="006A4403">
        <w:tab/>
        <w:t>fails to comply with a required provision of the CDR representative arrangement; or</w:t>
      </w:r>
    </w:p>
    <w:p w14:paraId="23522C4B" w14:textId="77777777" w:rsidR="00A606AD" w:rsidRPr="006A4403" w:rsidRDefault="00A606AD" w:rsidP="00A606AD">
      <w:pPr>
        <w:pStyle w:val="paragraph"/>
      </w:pPr>
      <w:r w:rsidRPr="006A4403">
        <w:tab/>
        <w:t>(b)</w:t>
      </w:r>
      <w:r w:rsidRPr="006A4403">
        <w:tab/>
        <w:t>does one of the things referred to in subrule 1.10AA(2) in circumstances where the CDR representative arrangement does not provide for the CDR representative to do that thing.</w:t>
      </w:r>
    </w:p>
    <w:p w14:paraId="2279ECA6" w14:textId="77777777" w:rsidR="00A606AD" w:rsidRPr="006A4403" w:rsidRDefault="00A606AD" w:rsidP="00A606AD">
      <w:pPr>
        <w:pStyle w:val="notetext"/>
      </w:pPr>
      <w:r w:rsidRPr="006A4403">
        <w:t>Note:</w:t>
      </w:r>
      <w:r w:rsidRPr="006A4403">
        <w:tab/>
        <w:t>This subrule is a civil penalty provision (see rule 9.8).</w:t>
      </w:r>
    </w:p>
    <w:p w14:paraId="3A786702" w14:textId="77777777" w:rsidR="00A606AD" w:rsidRPr="006A4403" w:rsidRDefault="00A606AD" w:rsidP="00A606AD">
      <w:pPr>
        <w:pStyle w:val="SubsectionHead"/>
      </w:pPr>
      <w:r w:rsidRPr="006A4403">
        <w:t>Compliance with Division 4.3A</w:t>
      </w:r>
    </w:p>
    <w:p w14:paraId="3814953D" w14:textId="77777777" w:rsidR="00A606AD" w:rsidRPr="006A4403" w:rsidRDefault="00A606AD" w:rsidP="00A606AD">
      <w:pPr>
        <w:pStyle w:val="subsection"/>
      </w:pPr>
      <w:r w:rsidRPr="006A4403">
        <w:tab/>
        <w:t>(3)</w:t>
      </w:r>
      <w:r w:rsidRPr="006A4403">
        <w:tab/>
        <w:t>The accredited person must ensure that the CDR representative complies with Division 4.3A.</w:t>
      </w:r>
    </w:p>
    <w:p w14:paraId="08AE1304" w14:textId="77777777" w:rsidR="00A606AD" w:rsidRPr="006A4403" w:rsidRDefault="00A606AD" w:rsidP="00A606AD">
      <w:pPr>
        <w:pStyle w:val="subsection"/>
      </w:pPr>
      <w:r w:rsidRPr="006A4403">
        <w:tab/>
        <w:t>(4)</w:t>
      </w:r>
      <w:r w:rsidRPr="006A4403">
        <w:tab/>
        <w:t>The accredited person breaches this subrule if the CDR representative fails to comply with a provision of Division 4.3A.</w:t>
      </w:r>
    </w:p>
    <w:p w14:paraId="191C295E" w14:textId="77777777" w:rsidR="00A606AD" w:rsidRPr="006A4403" w:rsidRDefault="00A606AD" w:rsidP="00A606AD">
      <w:pPr>
        <w:pStyle w:val="notetext"/>
      </w:pPr>
      <w:r w:rsidRPr="006A4403">
        <w:t>Note:</w:t>
      </w:r>
      <w:r w:rsidRPr="006A4403">
        <w:tab/>
        <w:t>This subrule is a civil penalty provision (see rule 9.8).</w:t>
      </w:r>
    </w:p>
    <w:p w14:paraId="686BB55E" w14:textId="77777777" w:rsidR="00A606AD" w:rsidRPr="006A4403" w:rsidRDefault="00A606AD" w:rsidP="00A606AD">
      <w:pPr>
        <w:pStyle w:val="SubsectionHead"/>
        <w:rPr>
          <w:b/>
        </w:rPr>
      </w:pPr>
      <w:r w:rsidRPr="006A4403">
        <w:t xml:space="preserve">Meaning of </w:t>
      </w:r>
      <w:r w:rsidRPr="006A4403">
        <w:rPr>
          <w:b/>
        </w:rPr>
        <w:t>required provision</w:t>
      </w:r>
    </w:p>
    <w:p w14:paraId="0719B629" w14:textId="77777777" w:rsidR="00A606AD" w:rsidRPr="006A4403" w:rsidRDefault="00A606AD" w:rsidP="00A606AD">
      <w:pPr>
        <w:pStyle w:val="subsection"/>
      </w:pPr>
      <w:r w:rsidRPr="006A4403">
        <w:tab/>
        <w:t>(5)</w:t>
      </w:r>
      <w:r w:rsidRPr="006A4403">
        <w:tab/>
        <w:t xml:space="preserve">For this rule, a provision of a CDR representative arrangement is a </w:t>
      </w:r>
      <w:r w:rsidRPr="006A4403">
        <w:rPr>
          <w:b/>
          <w:i/>
        </w:rPr>
        <w:t>required provision</w:t>
      </w:r>
      <w:r w:rsidRPr="006A4403">
        <w:t xml:space="preserve"> if </w:t>
      </w:r>
      <w:bookmarkStart w:id="98" w:name="_Hlk120629032"/>
      <w:r w:rsidRPr="006A4403">
        <w:t>it is a provision of a kind referred to in any of subrules 1.10AA(1), (3) and (4).</w:t>
      </w:r>
      <w:bookmarkEnd w:id="98"/>
    </w:p>
    <w:bookmarkEnd w:id="94"/>
    <w:p w14:paraId="006E02AA" w14:textId="77777777" w:rsidR="00A606AD" w:rsidRPr="006A4403" w:rsidRDefault="004B0AB6" w:rsidP="00A606AD">
      <w:pPr>
        <w:pStyle w:val="ItemHead"/>
      </w:pPr>
      <w:r>
        <w:t>26</w:t>
      </w:r>
      <w:r w:rsidR="00723B2F" w:rsidRPr="006A4403">
        <w:t xml:space="preserve">  </w:t>
      </w:r>
      <w:r w:rsidR="00A606AD" w:rsidRPr="006A4403">
        <w:t>Subrule 1.17(5) (note)</w:t>
      </w:r>
    </w:p>
    <w:p w14:paraId="1768D6FA" w14:textId="77777777" w:rsidR="00A606AD" w:rsidRPr="006A4403" w:rsidRDefault="00A606AD" w:rsidP="00A606AD">
      <w:pPr>
        <w:pStyle w:val="Item"/>
      </w:pPr>
      <w:r w:rsidRPr="006A4403">
        <w:t>Omit “2020”, substitute “2023”.</w:t>
      </w:r>
    </w:p>
    <w:p w14:paraId="2C0BF689" w14:textId="77777777" w:rsidR="00B65728" w:rsidRPr="006A4403" w:rsidRDefault="004B0AB6" w:rsidP="00B65728">
      <w:pPr>
        <w:pStyle w:val="ItemHead"/>
        <w:rPr>
          <w:noProof/>
        </w:rPr>
      </w:pPr>
      <w:r>
        <w:t>27</w:t>
      </w:r>
      <w:r w:rsidR="00723B2F" w:rsidRPr="006A4403">
        <w:t xml:space="preserve">  </w:t>
      </w:r>
      <w:r w:rsidR="00B65728" w:rsidRPr="006A4403">
        <w:rPr>
          <w:noProof/>
        </w:rPr>
        <w:t>Division 1.5 (note to Division heading)</w:t>
      </w:r>
    </w:p>
    <w:p w14:paraId="61FDB036" w14:textId="77777777" w:rsidR="00B65728" w:rsidRPr="006A4403" w:rsidRDefault="00B65728" w:rsidP="00B65728">
      <w:pPr>
        <w:pStyle w:val="Item"/>
      </w:pPr>
      <w:r w:rsidRPr="006A4403">
        <w:t>Repeal the note, substitute:</w:t>
      </w:r>
    </w:p>
    <w:p w14:paraId="5C5DDFEB" w14:textId="77777777" w:rsidR="00B65728" w:rsidRPr="006A4403" w:rsidRDefault="00B65728" w:rsidP="00B65728">
      <w:pPr>
        <w:pStyle w:val="notemargin"/>
      </w:pPr>
      <w:bookmarkStart w:id="99" w:name="_Hlk121827850"/>
      <w:bookmarkStart w:id="100" w:name="_Hlk120804755"/>
      <w:r w:rsidRPr="006A4403">
        <w:t>Note:</w:t>
      </w:r>
      <w:r w:rsidRPr="006A4403">
        <w:tab/>
        <w:t xml:space="preserve">The effect of this Division is that, from the point of view of a CDR consumer or an accredited person, the primary data holder for SR data is treated as if it were the relevant data holder: consumer data requests for the SR data are made to it; authorisations for disclosure are made to it; it is the entity that discloses or refuses to disclose the requested data; any complaints are made to it; it keeps the records that the CDR consumer can request under rule 9.5. </w:t>
      </w:r>
      <w:bookmarkEnd w:id="99"/>
    </w:p>
    <w:bookmarkEnd w:id="100"/>
    <w:p w14:paraId="186429DE" w14:textId="77777777" w:rsidR="00B65728" w:rsidRPr="006A4403" w:rsidRDefault="004B0AB6" w:rsidP="00B65728">
      <w:pPr>
        <w:pStyle w:val="ItemHead"/>
      </w:pPr>
      <w:r>
        <w:t>28</w:t>
      </w:r>
      <w:r w:rsidR="00723B2F" w:rsidRPr="006A4403">
        <w:t xml:space="preserve">  </w:t>
      </w:r>
      <w:r w:rsidR="00B65728" w:rsidRPr="006A4403">
        <w:t>Subrule 1.22(3) (note)</w:t>
      </w:r>
    </w:p>
    <w:p w14:paraId="55A6E7EA" w14:textId="77777777" w:rsidR="00B65728" w:rsidRPr="006A4403" w:rsidRDefault="00B65728" w:rsidP="00B65728">
      <w:pPr>
        <w:pStyle w:val="Item"/>
      </w:pPr>
      <w:r w:rsidRPr="006A4403">
        <w:t>Omit “rule”, substitute “subrule”.</w:t>
      </w:r>
    </w:p>
    <w:p w14:paraId="7F1BD3AC" w14:textId="77777777" w:rsidR="00B65728" w:rsidRPr="006A4403" w:rsidRDefault="004B0AB6" w:rsidP="00B65728">
      <w:pPr>
        <w:pStyle w:val="ItemHead"/>
      </w:pPr>
      <w:r>
        <w:t>29</w:t>
      </w:r>
      <w:r w:rsidR="00723B2F" w:rsidRPr="006A4403">
        <w:t xml:space="preserve">  </w:t>
      </w:r>
      <w:r w:rsidR="00B65728" w:rsidRPr="006A4403">
        <w:t>Subrule 1.22(4) (note)</w:t>
      </w:r>
    </w:p>
    <w:p w14:paraId="69945B41" w14:textId="77777777" w:rsidR="00B65728" w:rsidRPr="006A4403" w:rsidRDefault="00B65728" w:rsidP="00B65728">
      <w:pPr>
        <w:pStyle w:val="Item"/>
      </w:pPr>
      <w:r w:rsidRPr="006A4403">
        <w:t>Omit “rule”, substitute “subrule”.</w:t>
      </w:r>
    </w:p>
    <w:p w14:paraId="7B7DAA7F" w14:textId="77777777" w:rsidR="00B65728" w:rsidRPr="006A4403" w:rsidRDefault="004B0AB6" w:rsidP="00B65728">
      <w:pPr>
        <w:pStyle w:val="ItemHead"/>
      </w:pPr>
      <w:r>
        <w:t>30</w:t>
      </w:r>
      <w:r w:rsidR="00723B2F" w:rsidRPr="006A4403">
        <w:t xml:space="preserve">  </w:t>
      </w:r>
      <w:r w:rsidR="00B65728" w:rsidRPr="006A4403">
        <w:t>Subrule 1.22(5) (note)</w:t>
      </w:r>
    </w:p>
    <w:p w14:paraId="1F02BAD5" w14:textId="77777777" w:rsidR="00B65728" w:rsidRPr="006A4403" w:rsidRDefault="00B65728" w:rsidP="00B65728">
      <w:pPr>
        <w:pStyle w:val="Item"/>
      </w:pPr>
      <w:r w:rsidRPr="006A4403">
        <w:t>Omit “rule”, substitute “subrule”.</w:t>
      </w:r>
    </w:p>
    <w:p w14:paraId="46C6380C" w14:textId="77777777" w:rsidR="00B65728" w:rsidRPr="006A4403" w:rsidRDefault="004B0AB6" w:rsidP="00B65728">
      <w:pPr>
        <w:pStyle w:val="ItemHead"/>
      </w:pPr>
      <w:r>
        <w:t>31</w:t>
      </w:r>
      <w:r w:rsidR="00723B2F" w:rsidRPr="006A4403">
        <w:t xml:space="preserve">  </w:t>
      </w:r>
      <w:r w:rsidR="00B65728" w:rsidRPr="006A4403">
        <w:t>Subrule 1.23(4) (note)</w:t>
      </w:r>
    </w:p>
    <w:p w14:paraId="3D6106D1" w14:textId="77777777" w:rsidR="00B65728" w:rsidRPr="006A4403" w:rsidRDefault="00B65728" w:rsidP="00B65728">
      <w:pPr>
        <w:pStyle w:val="Item"/>
      </w:pPr>
      <w:r w:rsidRPr="006A4403">
        <w:t>Omit “rule”, substitute “subrule”.</w:t>
      </w:r>
    </w:p>
    <w:p w14:paraId="4E4F4D53" w14:textId="77777777" w:rsidR="00B65728" w:rsidRPr="006A4403" w:rsidRDefault="004B0AB6" w:rsidP="00B65728">
      <w:pPr>
        <w:pStyle w:val="ItemHead"/>
      </w:pPr>
      <w:r>
        <w:lastRenderedPageBreak/>
        <w:t>32</w:t>
      </w:r>
      <w:r w:rsidR="00723B2F" w:rsidRPr="006A4403">
        <w:t xml:space="preserve">  </w:t>
      </w:r>
      <w:r w:rsidR="00B65728" w:rsidRPr="006A4403">
        <w:t>Subrule 1.23(5) (note)</w:t>
      </w:r>
    </w:p>
    <w:p w14:paraId="53565B58" w14:textId="77777777" w:rsidR="00B65728" w:rsidRPr="006A4403" w:rsidRDefault="00B65728" w:rsidP="00B65728">
      <w:pPr>
        <w:pStyle w:val="Item"/>
      </w:pPr>
      <w:r w:rsidRPr="006A4403">
        <w:t>Omit “rule”, substitute “subrule”.</w:t>
      </w:r>
    </w:p>
    <w:p w14:paraId="32FB11EA" w14:textId="77777777" w:rsidR="00B65728" w:rsidRPr="006A4403" w:rsidRDefault="004B0AB6" w:rsidP="00B65728">
      <w:pPr>
        <w:pStyle w:val="ItemHead"/>
      </w:pPr>
      <w:r>
        <w:t>33</w:t>
      </w:r>
      <w:r w:rsidR="00723B2F" w:rsidRPr="006A4403">
        <w:t xml:space="preserve">  </w:t>
      </w:r>
      <w:r w:rsidR="00B65728" w:rsidRPr="006A4403">
        <w:t>Subrule 1.23(6) (note)</w:t>
      </w:r>
    </w:p>
    <w:p w14:paraId="64EB1AC4" w14:textId="77777777" w:rsidR="00B65728" w:rsidRPr="006A4403" w:rsidRDefault="00B65728" w:rsidP="00B65728">
      <w:pPr>
        <w:pStyle w:val="Item"/>
      </w:pPr>
      <w:r w:rsidRPr="006A4403">
        <w:t>Omit “rule”, substitute “subrule”.</w:t>
      </w:r>
    </w:p>
    <w:p w14:paraId="2A6ECC76" w14:textId="77777777" w:rsidR="00B65728" w:rsidRPr="006A4403" w:rsidRDefault="004B0AB6" w:rsidP="00B65728">
      <w:pPr>
        <w:pStyle w:val="ItemHead"/>
      </w:pPr>
      <w:r>
        <w:t>34</w:t>
      </w:r>
      <w:r w:rsidR="00723B2F" w:rsidRPr="006A4403">
        <w:t xml:space="preserve">  </w:t>
      </w:r>
      <w:r w:rsidR="00B65728" w:rsidRPr="006A4403">
        <w:t>Paragraph 1.23(11)(b)</w:t>
      </w:r>
    </w:p>
    <w:p w14:paraId="77A69CFC" w14:textId="77777777" w:rsidR="00B65728" w:rsidRPr="006A4403" w:rsidRDefault="00B65728" w:rsidP="00B65728">
      <w:pPr>
        <w:pStyle w:val="Item"/>
      </w:pPr>
      <w:r w:rsidRPr="006A4403">
        <w:t>Omit ““(2) For paragraph (2)(a)”, substitute ““(3) For subrule (2)”.</w:t>
      </w:r>
    </w:p>
    <w:p w14:paraId="4DE172BF" w14:textId="77777777" w:rsidR="00B65728" w:rsidRPr="006A4403" w:rsidRDefault="004B0AB6" w:rsidP="00B65728">
      <w:pPr>
        <w:pStyle w:val="ItemHead"/>
      </w:pPr>
      <w:r>
        <w:t>35</w:t>
      </w:r>
      <w:r w:rsidR="00723B2F" w:rsidRPr="006A4403">
        <w:t xml:space="preserve">  </w:t>
      </w:r>
      <w:r w:rsidR="00B65728" w:rsidRPr="006A4403">
        <w:t>Rule 4.1</w:t>
      </w:r>
    </w:p>
    <w:p w14:paraId="5CFBE553" w14:textId="77777777" w:rsidR="00B65728" w:rsidRPr="006A4403" w:rsidRDefault="00B65728" w:rsidP="00B65728">
      <w:pPr>
        <w:pStyle w:val="Item"/>
      </w:pPr>
      <w:r w:rsidRPr="006A4403">
        <w:t>Omit:</w:t>
      </w:r>
    </w:p>
    <w:p w14:paraId="4699761F" w14:textId="77777777" w:rsidR="00B65728" w:rsidRPr="006A4403" w:rsidRDefault="00B65728" w:rsidP="00B65728">
      <w:pPr>
        <w:pStyle w:val="SOText"/>
      </w:pPr>
      <w:r w:rsidRPr="006A4403">
        <w:t>Before making a consumer data request on behalf of a CDR consumer, the consumer must first have consented to the accredited person collecting and using specified CDR data to provide the requested goods or services.</w:t>
      </w:r>
    </w:p>
    <w:p w14:paraId="08555C5B" w14:textId="77777777" w:rsidR="00B65728" w:rsidRPr="006A4403" w:rsidRDefault="00B65728" w:rsidP="00B65728">
      <w:pPr>
        <w:pStyle w:val="SOText"/>
      </w:pPr>
      <w:r w:rsidRPr="006A4403">
        <w:t>Subject to certain limitations, the requested data can be any CDR data that relates to the CDR consumer.</w:t>
      </w:r>
    </w:p>
    <w:p w14:paraId="4DC4C169" w14:textId="77777777" w:rsidR="00B65728" w:rsidRPr="006A4403" w:rsidRDefault="00B65728" w:rsidP="00B65728">
      <w:pPr>
        <w:pStyle w:val="SOText"/>
      </w:pPr>
      <w:r w:rsidRPr="006A4403">
        <w:t>Collection and use of CDR data under this Part is limited by the data minimisation principle, under which the accredited person:</w:t>
      </w:r>
    </w:p>
    <w:p w14:paraId="103CB562" w14:textId="77777777" w:rsidR="00B65728" w:rsidRPr="006A4403" w:rsidRDefault="00B65728" w:rsidP="00B65728">
      <w:pPr>
        <w:pStyle w:val="SOPara"/>
      </w:pPr>
      <w:r w:rsidRPr="006A4403">
        <w:tab/>
        <w:t>(a)</w:t>
      </w:r>
      <w:r w:rsidRPr="006A4403">
        <w:tab/>
        <w:t>must not collect more data than is reasonably needed in order to provide the requested goods or services; and</w:t>
      </w:r>
    </w:p>
    <w:p w14:paraId="04073B16" w14:textId="77777777" w:rsidR="00B65728" w:rsidRPr="006A4403" w:rsidRDefault="00B65728" w:rsidP="00B65728">
      <w:pPr>
        <w:pStyle w:val="SOPara"/>
      </w:pPr>
      <w:r w:rsidRPr="006A4403">
        <w:tab/>
        <w:t>(b)</w:t>
      </w:r>
      <w:r w:rsidRPr="006A4403">
        <w:tab/>
        <w:t>may use the collected data only as reasonably needed in order to provide the requested goods or services or as otherwise consented to by the consumer.</w:t>
      </w:r>
    </w:p>
    <w:p w14:paraId="24725D3D" w14:textId="77777777" w:rsidR="00B65728" w:rsidRPr="006A4403" w:rsidRDefault="00B65728" w:rsidP="00B65728">
      <w:pPr>
        <w:pStyle w:val="SOText"/>
      </w:pPr>
      <w:r w:rsidRPr="006A4403">
        <w:t>A request may be for the CDR consumer’s required consumer data, their voluntary consumer data, or both. Schedule 3 to these rules:</w:t>
      </w:r>
    </w:p>
    <w:p w14:paraId="526FA102" w14:textId="77777777" w:rsidR="00B65728" w:rsidRPr="006A4403" w:rsidRDefault="00B65728" w:rsidP="00B65728">
      <w:pPr>
        <w:pStyle w:val="SOPara"/>
      </w:pPr>
      <w:r w:rsidRPr="006A4403">
        <w:tab/>
        <w:t>•</w:t>
      </w:r>
      <w:r w:rsidRPr="006A4403">
        <w:tab/>
        <w:t>provides for what is required consumer data and voluntary consumer data for the banking sector; and</w:t>
      </w:r>
    </w:p>
    <w:p w14:paraId="1F80BE3E" w14:textId="77777777" w:rsidR="00B65728" w:rsidRPr="006A4403" w:rsidRDefault="00B65728" w:rsidP="00B65728">
      <w:pPr>
        <w:pStyle w:val="SOPara"/>
      </w:pPr>
      <w:r w:rsidRPr="006A4403">
        <w:tab/>
        <w:t>•</w:t>
      </w:r>
      <w:r w:rsidRPr="006A4403">
        <w:tab/>
        <w:t>sets out the circumstances in which CDR consumers are eligible in relation to a request for their banking sector CDR data.</w:t>
      </w:r>
    </w:p>
    <w:p w14:paraId="290F154F" w14:textId="77777777" w:rsidR="00B65728" w:rsidRPr="006A4403" w:rsidRDefault="00B65728" w:rsidP="00B65728">
      <w:pPr>
        <w:pStyle w:val="Item"/>
      </w:pPr>
      <w:r w:rsidRPr="006A4403">
        <w:t xml:space="preserve"> substitute:</w:t>
      </w:r>
    </w:p>
    <w:p w14:paraId="42B147CC" w14:textId="77777777" w:rsidR="00B65728" w:rsidRPr="006A4403" w:rsidRDefault="00B65728" w:rsidP="00B65728">
      <w:pPr>
        <w:pStyle w:val="SOText"/>
      </w:pPr>
      <w:bookmarkStart w:id="101" w:name="_Hlk121828304"/>
      <w:r w:rsidRPr="006A4403">
        <w:t>Before making a consumer data request on behalf of a CDR consumer, the consumer must first have consented to the accredited person collecting specified CDR data, and either using it to provide the requested goods or services, or providing it to the CDR representative for the CDR representative to provide the goods or services.</w:t>
      </w:r>
    </w:p>
    <w:p w14:paraId="261C3D9E" w14:textId="77777777" w:rsidR="00B65728" w:rsidRPr="006A4403" w:rsidRDefault="00B65728" w:rsidP="00B65728">
      <w:pPr>
        <w:pStyle w:val="SOText"/>
      </w:pPr>
      <w:r w:rsidRPr="006A4403">
        <w:t>Subject to certain limitations, the requested data can be any CDR data that relates to the CDR consumer.</w:t>
      </w:r>
    </w:p>
    <w:p w14:paraId="2474AE71" w14:textId="77777777" w:rsidR="00B65728" w:rsidRPr="006A4403" w:rsidRDefault="00B65728" w:rsidP="00B65728">
      <w:pPr>
        <w:pStyle w:val="SOText"/>
      </w:pPr>
      <w:r w:rsidRPr="006A4403">
        <w:t>Collection and use of CDR data under this Part is limited by the data minimisation principle, under which:</w:t>
      </w:r>
    </w:p>
    <w:p w14:paraId="2B54E8F0" w14:textId="77777777" w:rsidR="00B65728" w:rsidRPr="006A4403" w:rsidRDefault="00B65728" w:rsidP="00B65728">
      <w:pPr>
        <w:pStyle w:val="SOPara"/>
      </w:pPr>
      <w:r w:rsidRPr="006A4403">
        <w:tab/>
        <w:t>•</w:t>
      </w:r>
      <w:r w:rsidRPr="006A4403">
        <w:tab/>
        <w:t>no more data may be collected than is reasonably needed in order to provide the requested goods or services; and</w:t>
      </w:r>
    </w:p>
    <w:p w14:paraId="73790864" w14:textId="77777777" w:rsidR="00B65728" w:rsidRPr="006A4403" w:rsidRDefault="00B65728" w:rsidP="00B65728">
      <w:pPr>
        <w:pStyle w:val="SOPara"/>
      </w:pPr>
      <w:r w:rsidRPr="006A4403">
        <w:lastRenderedPageBreak/>
        <w:tab/>
        <w:t>•</w:t>
      </w:r>
      <w:r w:rsidRPr="006A4403">
        <w:tab/>
        <w:t>the collected data may be used only as reasonably needed in order to provide the requested goods or services or as otherwise consented to by the CDR consumer.</w:t>
      </w:r>
    </w:p>
    <w:p w14:paraId="0543CFEE" w14:textId="77777777" w:rsidR="00B65728" w:rsidRPr="006A4403" w:rsidRDefault="00B65728" w:rsidP="00B65728">
      <w:pPr>
        <w:pStyle w:val="SOText"/>
      </w:pPr>
      <w:r w:rsidRPr="006A4403">
        <w:t>A request may be for the CDR consumer’s required consumer data, their voluntary consumer data, or both. The sector Schedules to these rules:</w:t>
      </w:r>
    </w:p>
    <w:p w14:paraId="158C8AA5" w14:textId="77777777" w:rsidR="00B65728" w:rsidRPr="006A4403" w:rsidRDefault="00B65728" w:rsidP="00B65728">
      <w:pPr>
        <w:pStyle w:val="SOPara"/>
      </w:pPr>
      <w:r w:rsidRPr="006A4403">
        <w:tab/>
        <w:t>•</w:t>
      </w:r>
      <w:r w:rsidRPr="006A4403">
        <w:tab/>
        <w:t>provide for what is required consumer data and voluntary consumer data for the particular designated sector; and</w:t>
      </w:r>
    </w:p>
    <w:p w14:paraId="4BAFA3B9" w14:textId="77777777" w:rsidR="00B65728" w:rsidRPr="006A4403" w:rsidRDefault="00B65728" w:rsidP="00B65728">
      <w:pPr>
        <w:pStyle w:val="SOPara"/>
      </w:pPr>
      <w:r w:rsidRPr="006A4403">
        <w:tab/>
        <w:t>•</w:t>
      </w:r>
      <w:r w:rsidRPr="006A4403">
        <w:tab/>
        <w:t>set out the circumstances in which CDR consumers are eligible in relation to a request for their CDR data in that designated sector.</w:t>
      </w:r>
    </w:p>
    <w:bookmarkEnd w:id="101"/>
    <w:p w14:paraId="2C28CA7F" w14:textId="77777777" w:rsidR="00B65728" w:rsidRPr="006A4403" w:rsidRDefault="00B65728" w:rsidP="00B65728">
      <w:pPr>
        <w:pStyle w:val="notetext"/>
      </w:pPr>
    </w:p>
    <w:p w14:paraId="33ED3F42" w14:textId="77777777" w:rsidR="00B65728" w:rsidRPr="006A4403" w:rsidRDefault="004B0AB6" w:rsidP="00B65728">
      <w:pPr>
        <w:pStyle w:val="ItemHead"/>
      </w:pPr>
      <w:r>
        <w:t>36</w:t>
      </w:r>
      <w:r w:rsidR="00723B2F" w:rsidRPr="006A4403">
        <w:t xml:space="preserve">  </w:t>
      </w:r>
      <w:r w:rsidR="00B65728" w:rsidRPr="006A4403">
        <w:t>Rule 4.2</w:t>
      </w:r>
    </w:p>
    <w:p w14:paraId="2FA087A4" w14:textId="77777777" w:rsidR="00B65728" w:rsidRPr="006A4403" w:rsidRDefault="00B65728" w:rsidP="00B65728">
      <w:pPr>
        <w:pStyle w:val="Item"/>
      </w:pPr>
      <w:r w:rsidRPr="006A4403">
        <w:t>Before the flow chart, insert:</w:t>
      </w:r>
    </w:p>
    <w:p w14:paraId="3C806F0D" w14:textId="77777777" w:rsidR="00B65728" w:rsidRPr="006A4403" w:rsidRDefault="00B65728" w:rsidP="00B65728">
      <w:pPr>
        <w:pStyle w:val="notetext"/>
      </w:pPr>
      <w:bookmarkStart w:id="102" w:name="_Hlk121828331"/>
      <w:r w:rsidRPr="006A4403">
        <w:t xml:space="preserve">Note: </w:t>
      </w:r>
      <w:r w:rsidRPr="006A4403">
        <w:tab/>
        <w:t>The flowchart does not illustrate how consumer data requests are made using CDR representatives.</w:t>
      </w:r>
    </w:p>
    <w:bookmarkEnd w:id="102"/>
    <w:p w14:paraId="263122B6" w14:textId="77777777" w:rsidR="00B65728" w:rsidRPr="006A4403" w:rsidRDefault="004B0AB6" w:rsidP="00B65728">
      <w:pPr>
        <w:pStyle w:val="ItemHead"/>
      </w:pPr>
      <w:r>
        <w:t>37</w:t>
      </w:r>
      <w:r w:rsidR="00723B2F" w:rsidRPr="006A4403">
        <w:t xml:space="preserve">  </w:t>
      </w:r>
      <w:r w:rsidR="00B65728" w:rsidRPr="006A4403">
        <w:t xml:space="preserve">Subrule 4.3(2) </w:t>
      </w:r>
      <w:r w:rsidR="00995D40" w:rsidRPr="006A4403">
        <w:t>(</w:t>
      </w:r>
      <w:r w:rsidR="00B65728" w:rsidRPr="006A4403">
        <w:t>note 2</w:t>
      </w:r>
      <w:r w:rsidR="00995D40" w:rsidRPr="006A4403">
        <w:t>)</w:t>
      </w:r>
    </w:p>
    <w:p w14:paraId="460D638D" w14:textId="77777777" w:rsidR="00B65728" w:rsidRPr="006A4403" w:rsidRDefault="00B65728" w:rsidP="00B65728">
      <w:pPr>
        <w:pStyle w:val="Item"/>
      </w:pPr>
      <w:r w:rsidRPr="006A4403">
        <w:t>Repeal the note, substitute:</w:t>
      </w:r>
    </w:p>
    <w:p w14:paraId="0AB10459" w14:textId="77777777" w:rsidR="00B65728" w:rsidRPr="006A4403" w:rsidRDefault="00B65728" w:rsidP="00B65728">
      <w:pPr>
        <w:pStyle w:val="notetext"/>
      </w:pPr>
      <w:bookmarkStart w:id="103" w:name="_Hlk121828363"/>
      <w:r w:rsidRPr="006A4403">
        <w:t>Note 2:</w:t>
      </w:r>
      <w:r w:rsidRPr="006A4403">
        <w:tab/>
        <w:t>The CDR data may be collected and used only in accordance with the data minimisation principle: see rule 1.8.</w:t>
      </w:r>
    </w:p>
    <w:bookmarkEnd w:id="103"/>
    <w:p w14:paraId="440081EE" w14:textId="77777777" w:rsidR="00B65728" w:rsidRPr="006A4403" w:rsidRDefault="004B0AB6" w:rsidP="00B65728">
      <w:pPr>
        <w:pStyle w:val="ItemHead"/>
      </w:pPr>
      <w:r>
        <w:t>38</w:t>
      </w:r>
      <w:r w:rsidR="00723B2F" w:rsidRPr="006A4403">
        <w:t xml:space="preserve">  </w:t>
      </w:r>
      <w:r w:rsidR="00B65728" w:rsidRPr="006A4403">
        <w:t>At the end of subrule 4.3(2A)</w:t>
      </w:r>
    </w:p>
    <w:p w14:paraId="628558C2" w14:textId="77777777" w:rsidR="00B65728" w:rsidRPr="006A4403" w:rsidRDefault="00B65728" w:rsidP="00B65728">
      <w:pPr>
        <w:pStyle w:val="Item"/>
      </w:pPr>
      <w:r w:rsidRPr="006A4403">
        <w:t>Add:</w:t>
      </w:r>
    </w:p>
    <w:p w14:paraId="30AAE764" w14:textId="77777777" w:rsidR="00B65728" w:rsidRPr="006A4403" w:rsidRDefault="00B65728" w:rsidP="00B65728">
      <w:pPr>
        <w:pStyle w:val="notetext"/>
      </w:pPr>
      <w:bookmarkStart w:id="104" w:name="_Hlk121828536"/>
      <w:r w:rsidRPr="006A4403">
        <w:t>Note 1:</w:t>
      </w:r>
      <w:r w:rsidRPr="006A4403">
        <w:tab/>
        <w:t>In order to provide goods or services in accordance with the CDR consumer’s request, it might be necessary for the accredited person to request CDR data from more than 1 CDR participant.</w:t>
      </w:r>
    </w:p>
    <w:p w14:paraId="277BA3CC" w14:textId="77777777" w:rsidR="00B65728" w:rsidRPr="006A4403" w:rsidRDefault="00B65728" w:rsidP="00B65728">
      <w:pPr>
        <w:pStyle w:val="notetext"/>
      </w:pPr>
      <w:r w:rsidRPr="006A4403">
        <w:t>Note 2:</w:t>
      </w:r>
      <w:r w:rsidRPr="006A4403">
        <w:tab/>
        <w:t>The CDR data may be collected and used only in accordance with the data minimisation principle: see rule 1.8.</w:t>
      </w:r>
    </w:p>
    <w:bookmarkEnd w:id="104"/>
    <w:p w14:paraId="4D4792FD" w14:textId="77777777" w:rsidR="00B65728" w:rsidRPr="006A4403" w:rsidRDefault="004B0AB6" w:rsidP="00B65728">
      <w:pPr>
        <w:pStyle w:val="ItemHead"/>
      </w:pPr>
      <w:r>
        <w:t>39</w:t>
      </w:r>
      <w:r w:rsidR="00723B2F" w:rsidRPr="006A4403">
        <w:t xml:space="preserve">  </w:t>
      </w:r>
      <w:r w:rsidR="00B65728" w:rsidRPr="006A4403">
        <w:t>Subrule 4.3A(2)</w:t>
      </w:r>
    </w:p>
    <w:p w14:paraId="4DDED17F" w14:textId="77777777" w:rsidR="00B65728" w:rsidRPr="006A4403" w:rsidRDefault="00B65728" w:rsidP="00B65728">
      <w:pPr>
        <w:pStyle w:val="Item"/>
      </w:pPr>
      <w:r w:rsidRPr="006A4403">
        <w:t>Repeal the subrule, substitute:</w:t>
      </w:r>
    </w:p>
    <w:p w14:paraId="7817C9F4" w14:textId="77777777" w:rsidR="00B65728" w:rsidRPr="006A4403" w:rsidRDefault="00B65728" w:rsidP="00B65728">
      <w:pPr>
        <w:pStyle w:val="subsection"/>
      </w:pPr>
      <w:bookmarkStart w:id="105" w:name="_Hlk121828611"/>
      <w:r w:rsidRPr="006A4403">
        <w:tab/>
        <w:t>(2)</w:t>
      </w:r>
      <w:r w:rsidRPr="006A4403">
        <w:tab/>
        <w:t>The CDR representative may, in accordance with Division 4.3A, ask the CDR consumer to give:</w:t>
      </w:r>
    </w:p>
    <w:p w14:paraId="43AB8728" w14:textId="77777777" w:rsidR="00B65728" w:rsidRPr="006A4403" w:rsidRDefault="00B65728" w:rsidP="00B65728">
      <w:pPr>
        <w:pStyle w:val="paragraph"/>
      </w:pPr>
      <w:r w:rsidRPr="006A4403">
        <w:tab/>
        <w:t>(a)</w:t>
      </w:r>
      <w:r w:rsidRPr="006A4403">
        <w:tab/>
        <w:t>a collection consent for the CDR representative principal to collect the CDR consumer’s CDR data from the CDR participant and disclose it to the CDR representative; and</w:t>
      </w:r>
    </w:p>
    <w:p w14:paraId="266CEA91" w14:textId="77777777" w:rsidR="00B65728" w:rsidRPr="006A4403" w:rsidRDefault="00B65728" w:rsidP="00B65728">
      <w:pPr>
        <w:pStyle w:val="paragraph"/>
      </w:pPr>
      <w:r w:rsidRPr="006A4403">
        <w:tab/>
        <w:t>(b)</w:t>
      </w:r>
      <w:r w:rsidRPr="006A4403">
        <w:tab/>
        <w:t>a use consent for the CDR representative to use it in order to provide those goods or services.</w:t>
      </w:r>
    </w:p>
    <w:p w14:paraId="3B6F78C5" w14:textId="77777777" w:rsidR="00B65728" w:rsidRPr="006A4403" w:rsidRDefault="00B65728" w:rsidP="00B65728">
      <w:pPr>
        <w:pStyle w:val="notetext"/>
      </w:pPr>
      <w:r w:rsidRPr="006A4403">
        <w:t>Note 1:</w:t>
      </w:r>
      <w:r w:rsidRPr="006A4403">
        <w:tab/>
        <w:t>For a collection consent mentioned in paragraph (a), see subrule 1.10A(8).</w:t>
      </w:r>
    </w:p>
    <w:p w14:paraId="3E78EAF8" w14:textId="77777777" w:rsidR="00B65728" w:rsidRPr="006A4403" w:rsidRDefault="00B65728" w:rsidP="00B65728">
      <w:pPr>
        <w:pStyle w:val="notetext"/>
      </w:pPr>
      <w:r w:rsidRPr="006A4403">
        <w:tab/>
        <w:t>For consents mentioned in paragraph (b), see rule 1.10A as applied to a CDR representative under subrule 1.10A(5).</w:t>
      </w:r>
    </w:p>
    <w:p w14:paraId="3FDAF7EC" w14:textId="77777777" w:rsidR="00B65728" w:rsidRPr="006A4403" w:rsidRDefault="00B65728" w:rsidP="00B65728">
      <w:pPr>
        <w:pStyle w:val="notetext"/>
      </w:pPr>
      <w:r w:rsidRPr="006A4403">
        <w:t>Note 2:</w:t>
      </w:r>
      <w:r w:rsidRPr="006A4403">
        <w:tab/>
        <w:t>In order to provide goods or services in accordance with the CDR consumer’s request, it might be necessary for the CDR representative principal to request CDR data from more than 1 CDR participant.</w:t>
      </w:r>
    </w:p>
    <w:p w14:paraId="4E65EBAE" w14:textId="77777777" w:rsidR="00B65728" w:rsidRPr="006A4403" w:rsidRDefault="00B65728" w:rsidP="00B65728">
      <w:pPr>
        <w:pStyle w:val="notetext"/>
      </w:pPr>
      <w:r w:rsidRPr="006A4403">
        <w:t>Note 3:</w:t>
      </w:r>
      <w:r w:rsidRPr="006A4403">
        <w:tab/>
        <w:t>The CDR data may be collected and used only in accordance with the data minimisation principle: see rule 1.8.</w:t>
      </w:r>
    </w:p>
    <w:bookmarkEnd w:id="105"/>
    <w:p w14:paraId="370F4EF9" w14:textId="77777777" w:rsidR="00B65728" w:rsidRPr="006A4403" w:rsidRDefault="004B0AB6" w:rsidP="00B65728">
      <w:pPr>
        <w:pStyle w:val="ItemHead"/>
      </w:pPr>
      <w:r>
        <w:lastRenderedPageBreak/>
        <w:t>40</w:t>
      </w:r>
      <w:r w:rsidR="00723B2F" w:rsidRPr="006A4403">
        <w:t xml:space="preserve">  </w:t>
      </w:r>
      <w:r w:rsidR="00B65728" w:rsidRPr="006A4403">
        <w:t>Subrule 4.3A(5) (note)</w:t>
      </w:r>
    </w:p>
    <w:p w14:paraId="61557B59" w14:textId="77777777" w:rsidR="00B65728" w:rsidRPr="006A4403" w:rsidRDefault="00B65728" w:rsidP="00B65728">
      <w:pPr>
        <w:pStyle w:val="Item"/>
      </w:pPr>
      <w:r w:rsidRPr="006A4403">
        <w:t>Omit “rule 4.18”, substitute “</w:t>
      </w:r>
      <w:bookmarkStart w:id="106" w:name="_Hlk121828683"/>
      <w:r w:rsidRPr="006A4403">
        <w:t>rule 4.20O</w:t>
      </w:r>
      <w:bookmarkEnd w:id="106"/>
      <w:r w:rsidRPr="006A4403">
        <w:t>”.</w:t>
      </w:r>
    </w:p>
    <w:p w14:paraId="2769FDD2" w14:textId="77777777" w:rsidR="00B65728" w:rsidRPr="006A4403" w:rsidRDefault="004B0AB6" w:rsidP="00B65728">
      <w:pPr>
        <w:pStyle w:val="ItemHead"/>
      </w:pPr>
      <w:r>
        <w:t>41</w:t>
      </w:r>
      <w:r w:rsidR="00723B2F" w:rsidRPr="006A4403">
        <w:t xml:space="preserve">  </w:t>
      </w:r>
      <w:r w:rsidR="00B65728" w:rsidRPr="006A4403">
        <w:t>Rule 4.3B (note after the heading)</w:t>
      </w:r>
    </w:p>
    <w:p w14:paraId="283B17C4" w14:textId="77777777" w:rsidR="00B65728" w:rsidRPr="006A4403" w:rsidRDefault="00B65728" w:rsidP="00B65728">
      <w:pPr>
        <w:pStyle w:val="Item"/>
      </w:pPr>
      <w:r w:rsidRPr="006A4403">
        <w:t>Repeal the note, substitute:</w:t>
      </w:r>
    </w:p>
    <w:p w14:paraId="7E0B6FB3" w14:textId="77777777" w:rsidR="00B65728" w:rsidRPr="006A4403" w:rsidRDefault="00B65728" w:rsidP="00B65728">
      <w:pPr>
        <w:pStyle w:val="notemargin"/>
      </w:pPr>
      <w:bookmarkStart w:id="107" w:name="_Hlk121828707"/>
      <w:r w:rsidRPr="006A4403">
        <w:t>Note:</w:t>
      </w:r>
      <w:r w:rsidRPr="006A4403">
        <w:tab/>
        <w:t>Subrule (1) allows an accredited person to make a consumer data request to a CDR representative as if the latter were also an accredited person.</w:t>
      </w:r>
    </w:p>
    <w:p w14:paraId="17C91A65" w14:textId="77777777" w:rsidR="00B65728" w:rsidRPr="006A4403" w:rsidRDefault="00B65728" w:rsidP="00B65728">
      <w:pPr>
        <w:pStyle w:val="notemargin"/>
      </w:pPr>
      <w:r w:rsidRPr="006A4403">
        <w:tab/>
        <w:t>Subrule (2) allows a CDR representative that receives such a consumer data request to obtain a disclosure consent from the consumer. Under paragraphs 7.5(1)(i) and (j), the CDR representative is then able to disclose the requested data.</w:t>
      </w:r>
    </w:p>
    <w:bookmarkEnd w:id="107"/>
    <w:p w14:paraId="19064B9E" w14:textId="77777777" w:rsidR="00B65728" w:rsidRPr="006A4403" w:rsidRDefault="004B0AB6" w:rsidP="00B65728">
      <w:pPr>
        <w:pStyle w:val="ItemHead"/>
      </w:pPr>
      <w:r>
        <w:t>42</w:t>
      </w:r>
      <w:r w:rsidR="00723B2F" w:rsidRPr="006A4403">
        <w:t xml:space="preserve">  </w:t>
      </w:r>
      <w:r w:rsidR="00B65728" w:rsidRPr="006A4403">
        <w:t>Subrule 4.3B(2)</w:t>
      </w:r>
    </w:p>
    <w:p w14:paraId="218FA559" w14:textId="77777777" w:rsidR="00B65728" w:rsidRPr="006A4403" w:rsidRDefault="00B65728" w:rsidP="00B65728">
      <w:pPr>
        <w:pStyle w:val="Item"/>
      </w:pPr>
      <w:r w:rsidRPr="006A4403">
        <w:t>Repeal the subrule (not including the heading), substitute:</w:t>
      </w:r>
    </w:p>
    <w:p w14:paraId="1EC6FC9C" w14:textId="77777777" w:rsidR="00B65728" w:rsidRPr="006A4403" w:rsidRDefault="00B65728" w:rsidP="00B65728">
      <w:pPr>
        <w:pStyle w:val="subsection"/>
      </w:pPr>
      <w:bookmarkStart w:id="108" w:name="_Hlk121828824"/>
      <w:r w:rsidRPr="006A4403">
        <w:tab/>
        <w:t>(2)</w:t>
      </w:r>
      <w:r w:rsidRPr="006A4403">
        <w:tab/>
        <w:t>Rule 4.7B applies in relation to a CDR representative that receives, or reasonably anticipates receiving, a consumer data request under rule 4.7A as applied by subrule (1), as if:</w:t>
      </w:r>
    </w:p>
    <w:p w14:paraId="52D5A5C4" w14:textId="77777777" w:rsidR="00B65728" w:rsidRPr="006A4403" w:rsidRDefault="00B65728" w:rsidP="00B65728">
      <w:pPr>
        <w:pStyle w:val="paragraph"/>
      </w:pPr>
      <w:r w:rsidRPr="006A4403">
        <w:tab/>
        <w:t>(a)</w:t>
      </w:r>
      <w:r w:rsidRPr="006A4403">
        <w:tab/>
        <w:t>a reference to an accredited data recipient were a reference to the CDR representative; and</w:t>
      </w:r>
    </w:p>
    <w:p w14:paraId="694539C6" w14:textId="77777777" w:rsidR="00B65728" w:rsidRPr="006A4403" w:rsidRDefault="00B65728" w:rsidP="00B65728">
      <w:pPr>
        <w:pStyle w:val="paragraph"/>
      </w:pPr>
      <w:r w:rsidRPr="006A4403">
        <w:tab/>
        <w:t>(b)</w:t>
      </w:r>
      <w:r w:rsidRPr="006A4403">
        <w:tab/>
        <w:t>a reference to Division 4.3 were a reference to Division 4.3A.</w:t>
      </w:r>
    </w:p>
    <w:bookmarkEnd w:id="108"/>
    <w:p w14:paraId="1FC65E83" w14:textId="77777777" w:rsidR="00B65728" w:rsidRPr="006A4403" w:rsidRDefault="004B0AB6" w:rsidP="00B65728">
      <w:pPr>
        <w:pStyle w:val="ItemHead"/>
      </w:pPr>
      <w:r>
        <w:t>43</w:t>
      </w:r>
      <w:r w:rsidR="00723B2F" w:rsidRPr="006A4403">
        <w:t xml:space="preserve">  </w:t>
      </w:r>
      <w:r w:rsidR="00B65728" w:rsidRPr="006A4403">
        <w:t>Rule 4.3C</w:t>
      </w:r>
    </w:p>
    <w:p w14:paraId="18248B8D" w14:textId="77777777" w:rsidR="00B65728" w:rsidRPr="006A4403" w:rsidRDefault="00B65728" w:rsidP="00B65728">
      <w:pPr>
        <w:pStyle w:val="Item"/>
      </w:pPr>
      <w:r w:rsidRPr="006A4403">
        <w:t>Repeal the rule.</w:t>
      </w:r>
    </w:p>
    <w:p w14:paraId="4D0A7065" w14:textId="77777777" w:rsidR="00B65728" w:rsidRPr="006A4403" w:rsidRDefault="004B0AB6" w:rsidP="00B65728">
      <w:pPr>
        <w:pStyle w:val="ItemHead"/>
      </w:pPr>
      <w:r>
        <w:t>44</w:t>
      </w:r>
      <w:r w:rsidR="00723B2F" w:rsidRPr="006A4403">
        <w:t xml:space="preserve">  </w:t>
      </w:r>
      <w:r w:rsidR="00B65728" w:rsidRPr="006A4403">
        <w:t>Paragraph 4.4(1)(d)</w:t>
      </w:r>
    </w:p>
    <w:p w14:paraId="2486BA2B" w14:textId="77777777" w:rsidR="00B65728" w:rsidRPr="006A4403" w:rsidRDefault="00B65728" w:rsidP="00B65728">
      <w:pPr>
        <w:pStyle w:val="Item"/>
      </w:pPr>
      <w:r w:rsidRPr="006A4403">
        <w:t>Repeal the paragraph, substitute:</w:t>
      </w:r>
    </w:p>
    <w:p w14:paraId="5FA0D78A" w14:textId="77777777" w:rsidR="00B65728" w:rsidRPr="006A4403" w:rsidRDefault="00B65728" w:rsidP="00B65728">
      <w:pPr>
        <w:pStyle w:val="paragraph"/>
      </w:pPr>
      <w:bookmarkStart w:id="109" w:name="_Hlk121828923"/>
      <w:r w:rsidRPr="006A4403">
        <w:tab/>
        <w:t>(d)</w:t>
      </w:r>
      <w:r w:rsidRPr="006A4403">
        <w:tab/>
        <w:t>can be collected and used in compliance with the data minimisation principle.</w:t>
      </w:r>
    </w:p>
    <w:bookmarkEnd w:id="109"/>
    <w:p w14:paraId="3879B3C2" w14:textId="77777777" w:rsidR="00B65728" w:rsidRPr="006A4403" w:rsidRDefault="004B0AB6" w:rsidP="00B65728">
      <w:pPr>
        <w:pStyle w:val="ItemHead"/>
      </w:pPr>
      <w:r>
        <w:t>45</w:t>
      </w:r>
      <w:r w:rsidR="00723B2F" w:rsidRPr="006A4403">
        <w:t xml:space="preserve">  </w:t>
      </w:r>
      <w:r w:rsidR="00B65728" w:rsidRPr="006A4403">
        <w:t>Paragraph 4.6A(b)</w:t>
      </w:r>
    </w:p>
    <w:p w14:paraId="2FF1DF29" w14:textId="77777777" w:rsidR="00B65728" w:rsidRPr="006A4403" w:rsidRDefault="00B65728" w:rsidP="00B65728">
      <w:pPr>
        <w:pStyle w:val="Item"/>
      </w:pPr>
      <w:r w:rsidRPr="006A4403">
        <w:t>Omit “a Schedule to the rules”, substitute “</w:t>
      </w:r>
      <w:bookmarkStart w:id="110" w:name="_Hlk121829210"/>
      <w:r w:rsidRPr="006A4403">
        <w:t>a provision of these rules</w:t>
      </w:r>
      <w:bookmarkEnd w:id="110"/>
      <w:r w:rsidRPr="006A4403">
        <w:t>”.</w:t>
      </w:r>
    </w:p>
    <w:p w14:paraId="6D0AFEE2" w14:textId="77777777" w:rsidR="00B65728" w:rsidRPr="006A4403" w:rsidRDefault="004B0AB6" w:rsidP="00B65728">
      <w:pPr>
        <w:pStyle w:val="ItemHead"/>
      </w:pPr>
      <w:r>
        <w:t>46</w:t>
      </w:r>
      <w:r w:rsidR="00723B2F" w:rsidRPr="006A4403">
        <w:t xml:space="preserve">  </w:t>
      </w:r>
      <w:r w:rsidR="00B65728" w:rsidRPr="006A4403">
        <w:t xml:space="preserve">Rule 4.6A </w:t>
      </w:r>
      <w:r w:rsidR="00995D40" w:rsidRPr="006A4403">
        <w:t>(</w:t>
      </w:r>
      <w:r w:rsidR="00B65728" w:rsidRPr="006A4403">
        <w:t>note 2</w:t>
      </w:r>
      <w:r w:rsidR="00995D40" w:rsidRPr="006A4403">
        <w:t>)</w:t>
      </w:r>
    </w:p>
    <w:p w14:paraId="59E11FE2" w14:textId="77777777" w:rsidR="00B65728" w:rsidRPr="006A4403" w:rsidRDefault="00B65728" w:rsidP="00B65728">
      <w:pPr>
        <w:pStyle w:val="Item"/>
      </w:pPr>
      <w:r w:rsidRPr="006A4403">
        <w:t>Repeal the note, substitute:</w:t>
      </w:r>
    </w:p>
    <w:p w14:paraId="2C90FDA4" w14:textId="77777777" w:rsidR="00B65728" w:rsidRPr="006A4403" w:rsidRDefault="00B65728" w:rsidP="00B65728">
      <w:pPr>
        <w:pStyle w:val="notetext"/>
      </w:pPr>
      <w:bookmarkStart w:id="111" w:name="_Hlk121829232"/>
      <w:r w:rsidRPr="006A4403">
        <w:t xml:space="preserve">Note 2: </w:t>
      </w:r>
      <w:r w:rsidRPr="006A4403">
        <w:tab/>
        <w:t>For paragraph (b)—for example, see subrules 4A.10(5) and (6) in relation to joint accounts.</w:t>
      </w:r>
    </w:p>
    <w:bookmarkEnd w:id="111"/>
    <w:p w14:paraId="515F3C91" w14:textId="77777777" w:rsidR="00B65728" w:rsidRPr="006A4403" w:rsidRDefault="004B0AB6" w:rsidP="00B65728">
      <w:pPr>
        <w:pStyle w:val="ItemHead"/>
      </w:pPr>
      <w:r>
        <w:t>47</w:t>
      </w:r>
      <w:r w:rsidR="00723B2F" w:rsidRPr="006A4403">
        <w:t xml:space="preserve">  </w:t>
      </w:r>
      <w:r w:rsidR="00B65728" w:rsidRPr="006A4403">
        <w:t>At the end of subrule 4.7(1)</w:t>
      </w:r>
    </w:p>
    <w:p w14:paraId="4DA36529" w14:textId="77777777" w:rsidR="00B65728" w:rsidRPr="006A4403" w:rsidRDefault="00B65728" w:rsidP="00B65728">
      <w:pPr>
        <w:pStyle w:val="Item"/>
      </w:pPr>
      <w:r w:rsidRPr="006A4403">
        <w:t>Add:</w:t>
      </w:r>
    </w:p>
    <w:p w14:paraId="106CB19C" w14:textId="77777777" w:rsidR="00B65728" w:rsidRPr="006A4403" w:rsidRDefault="00B65728" w:rsidP="00B65728">
      <w:pPr>
        <w:pStyle w:val="paragraph"/>
      </w:pPr>
      <w:bookmarkStart w:id="112" w:name="_Hlk121829265"/>
      <w:r w:rsidRPr="006A4403">
        <w:tab/>
        <w:t>; or (e)</w:t>
      </w:r>
      <w:r w:rsidRPr="006A4403">
        <w:tab/>
        <w:t>if the disclosure of some or all of that CDR data would not be permitted because of another provision of these rules.</w:t>
      </w:r>
    </w:p>
    <w:bookmarkEnd w:id="112"/>
    <w:p w14:paraId="34E66DBD" w14:textId="77777777" w:rsidR="00B65728" w:rsidRPr="006A4403" w:rsidRDefault="004B0AB6" w:rsidP="00B65728">
      <w:pPr>
        <w:pStyle w:val="ItemHead"/>
      </w:pPr>
      <w:r>
        <w:t>48</w:t>
      </w:r>
      <w:r w:rsidR="00723B2F" w:rsidRPr="006A4403">
        <w:t xml:space="preserve">  </w:t>
      </w:r>
      <w:r w:rsidR="00B65728" w:rsidRPr="006A4403">
        <w:t>Paragraph 4.7A(1)(d)</w:t>
      </w:r>
    </w:p>
    <w:p w14:paraId="070CAAC1" w14:textId="77777777" w:rsidR="00B65728" w:rsidRPr="006A4403" w:rsidRDefault="00B65728" w:rsidP="00B65728">
      <w:pPr>
        <w:pStyle w:val="Item"/>
      </w:pPr>
      <w:r w:rsidRPr="006A4403">
        <w:t>Repeal the paragraph, substitute:</w:t>
      </w:r>
    </w:p>
    <w:p w14:paraId="0BFF5F58" w14:textId="77777777" w:rsidR="00B65728" w:rsidRPr="006A4403" w:rsidRDefault="00B65728" w:rsidP="00B65728">
      <w:pPr>
        <w:pStyle w:val="paragraph"/>
      </w:pPr>
      <w:bookmarkStart w:id="113" w:name="_Hlk121829291"/>
      <w:r w:rsidRPr="006A4403">
        <w:tab/>
        <w:t>(d)</w:t>
      </w:r>
      <w:r w:rsidRPr="006A4403">
        <w:tab/>
        <w:t>can be collected and used in compliance with the data minimisation principle.</w:t>
      </w:r>
    </w:p>
    <w:bookmarkEnd w:id="113"/>
    <w:p w14:paraId="5EF97368" w14:textId="77777777" w:rsidR="00B65728" w:rsidRPr="006A4403" w:rsidRDefault="004B0AB6" w:rsidP="00B65728">
      <w:pPr>
        <w:pStyle w:val="ItemHead"/>
        <w:rPr>
          <w:noProof/>
        </w:rPr>
      </w:pPr>
      <w:r>
        <w:t>49</w:t>
      </w:r>
      <w:r w:rsidR="00723B2F" w:rsidRPr="006A4403">
        <w:t xml:space="preserve">  </w:t>
      </w:r>
      <w:r w:rsidR="00B65728" w:rsidRPr="006A4403">
        <w:rPr>
          <w:noProof/>
        </w:rPr>
        <w:t xml:space="preserve">Subrule 4.7B(2) </w:t>
      </w:r>
      <w:r w:rsidR="00995D40" w:rsidRPr="006A4403">
        <w:rPr>
          <w:noProof/>
        </w:rPr>
        <w:t>(</w:t>
      </w:r>
      <w:r w:rsidR="00B65728" w:rsidRPr="006A4403">
        <w:rPr>
          <w:noProof/>
        </w:rPr>
        <w:t>note</w:t>
      </w:r>
      <w:r w:rsidR="00995D40" w:rsidRPr="006A4403">
        <w:rPr>
          <w:noProof/>
        </w:rPr>
        <w:t>)</w:t>
      </w:r>
    </w:p>
    <w:p w14:paraId="22CD3EB7" w14:textId="77777777" w:rsidR="00B65728" w:rsidRPr="006A4403" w:rsidRDefault="00B65728" w:rsidP="00B65728">
      <w:pPr>
        <w:pStyle w:val="Item"/>
      </w:pPr>
      <w:r w:rsidRPr="006A4403">
        <w:t>Omit “paragraph 7.5(1)(f)”, substitute “</w:t>
      </w:r>
      <w:bookmarkStart w:id="114" w:name="_Hlk121829376"/>
      <w:r w:rsidRPr="006A4403">
        <w:t>paragraph 7.5(1)(h)</w:t>
      </w:r>
      <w:bookmarkEnd w:id="114"/>
      <w:r w:rsidRPr="006A4403">
        <w:t>”.</w:t>
      </w:r>
    </w:p>
    <w:p w14:paraId="36EBB578" w14:textId="77777777" w:rsidR="00B65728" w:rsidRPr="006A4403" w:rsidRDefault="004B0AB6" w:rsidP="00B65728">
      <w:pPr>
        <w:pStyle w:val="ItemHead"/>
      </w:pPr>
      <w:r>
        <w:lastRenderedPageBreak/>
        <w:t>50</w:t>
      </w:r>
      <w:r w:rsidR="00723B2F" w:rsidRPr="006A4403">
        <w:t xml:space="preserve">  </w:t>
      </w:r>
      <w:r w:rsidR="00B65728" w:rsidRPr="006A4403">
        <w:t>Division 4.3 (at the end of the heading)</w:t>
      </w:r>
    </w:p>
    <w:p w14:paraId="0B9D7EE9" w14:textId="77777777" w:rsidR="00B65728" w:rsidRPr="006A4403" w:rsidRDefault="00B65728" w:rsidP="00B65728">
      <w:pPr>
        <w:pStyle w:val="Item"/>
      </w:pPr>
      <w:r w:rsidRPr="006A4403">
        <w:t>Add “</w:t>
      </w:r>
      <w:bookmarkStart w:id="115" w:name="_Hlk121829408"/>
      <w:r w:rsidRPr="006A4403">
        <w:t>—accredited persons</w:t>
      </w:r>
      <w:bookmarkEnd w:id="115"/>
      <w:r w:rsidRPr="006A4403">
        <w:t>”.</w:t>
      </w:r>
    </w:p>
    <w:p w14:paraId="341A5A9B" w14:textId="77777777" w:rsidR="00B65728" w:rsidRPr="006A4403" w:rsidRDefault="004B0AB6" w:rsidP="00B65728">
      <w:pPr>
        <w:pStyle w:val="ItemHead"/>
      </w:pPr>
      <w:r>
        <w:t>51</w:t>
      </w:r>
      <w:r w:rsidR="00723B2F" w:rsidRPr="006A4403">
        <w:t xml:space="preserve">  </w:t>
      </w:r>
      <w:r w:rsidR="00B65728" w:rsidRPr="006A4403">
        <w:t>Rule 4.8</w:t>
      </w:r>
    </w:p>
    <w:p w14:paraId="7212BB5B" w14:textId="77777777" w:rsidR="00B65728" w:rsidRPr="006A4403" w:rsidRDefault="00B65728" w:rsidP="00B65728">
      <w:pPr>
        <w:pStyle w:val="Item"/>
      </w:pPr>
      <w:r w:rsidRPr="006A4403">
        <w:t>Repeal the rule, substitute:</w:t>
      </w:r>
    </w:p>
    <w:p w14:paraId="53AA8419" w14:textId="77777777" w:rsidR="00B65728" w:rsidRPr="006A4403" w:rsidRDefault="00B65728" w:rsidP="00B65728">
      <w:pPr>
        <w:pStyle w:val="ActHead5"/>
      </w:pPr>
      <w:bookmarkStart w:id="116" w:name="_Toc50114036"/>
      <w:bookmarkStart w:id="117" w:name="_Toc50633076"/>
      <w:bookmarkStart w:id="118" w:name="_Toc57219026"/>
      <w:bookmarkStart w:id="119" w:name="_Toc59549137"/>
      <w:bookmarkStart w:id="120" w:name="_Toc111132044"/>
      <w:bookmarkStart w:id="121" w:name="_Toc116895940"/>
      <w:bookmarkStart w:id="122" w:name="_Toc135295279"/>
      <w:bookmarkStart w:id="123" w:name="_Hlk121829488"/>
      <w:r w:rsidRPr="006A4403">
        <w:t>4.8  Purpose of Division</w:t>
      </w:r>
      <w:bookmarkEnd w:id="116"/>
      <w:bookmarkEnd w:id="117"/>
      <w:bookmarkEnd w:id="118"/>
      <w:bookmarkEnd w:id="119"/>
      <w:bookmarkEnd w:id="120"/>
      <w:bookmarkEnd w:id="121"/>
      <w:bookmarkEnd w:id="122"/>
    </w:p>
    <w:p w14:paraId="4F9A9E9A" w14:textId="77777777" w:rsidR="00B65728" w:rsidRPr="006A4403" w:rsidRDefault="00B65728" w:rsidP="00B65728">
      <w:pPr>
        <w:pStyle w:val="subsection"/>
      </w:pPr>
      <w:r w:rsidRPr="006A4403">
        <w:tab/>
      </w:r>
      <w:r w:rsidRPr="006A4403">
        <w:tab/>
        <w:t>This Division deals with:</w:t>
      </w:r>
    </w:p>
    <w:p w14:paraId="79C36CE2" w14:textId="77777777" w:rsidR="00B65728" w:rsidRPr="006A4403" w:rsidRDefault="00B65728" w:rsidP="00B65728">
      <w:pPr>
        <w:pStyle w:val="paragraph"/>
      </w:pPr>
      <w:bookmarkStart w:id="124" w:name="_Hlk120281972"/>
      <w:r w:rsidRPr="006A4403">
        <w:tab/>
        <w:t>(a)</w:t>
      </w:r>
      <w:r w:rsidRPr="006A4403">
        <w:tab/>
        <w:t>giving collection consents, use consents and disclosure consents to accredited persons; and</w:t>
      </w:r>
    </w:p>
    <w:p w14:paraId="59350C5E" w14:textId="77777777" w:rsidR="00B65728" w:rsidRPr="006A4403" w:rsidRDefault="00B65728" w:rsidP="00B65728">
      <w:pPr>
        <w:pStyle w:val="paragraph"/>
      </w:pPr>
      <w:r w:rsidRPr="006A4403">
        <w:tab/>
        <w:t>(b)</w:t>
      </w:r>
      <w:r w:rsidRPr="006A4403">
        <w:tab/>
        <w:t>amending such consents; and</w:t>
      </w:r>
    </w:p>
    <w:p w14:paraId="63284C23" w14:textId="77777777" w:rsidR="00B65728" w:rsidRPr="006A4403" w:rsidRDefault="00B65728" w:rsidP="00B65728">
      <w:pPr>
        <w:pStyle w:val="paragraph"/>
      </w:pPr>
      <w:r w:rsidRPr="006A4403">
        <w:tab/>
        <w:t>(c)</w:t>
      </w:r>
      <w:r w:rsidRPr="006A4403">
        <w:tab/>
        <w:t>related matters.</w:t>
      </w:r>
    </w:p>
    <w:bookmarkEnd w:id="124"/>
    <w:p w14:paraId="1BFDBA53" w14:textId="77777777" w:rsidR="00B65728" w:rsidRPr="006A4403" w:rsidRDefault="00B65728" w:rsidP="00B65728">
      <w:pPr>
        <w:pStyle w:val="notetext"/>
      </w:pPr>
      <w:r w:rsidRPr="006A4403">
        <w:t>Note:</w:t>
      </w:r>
      <w:r w:rsidRPr="006A4403">
        <w:tab/>
        <w:t>This Division does not cover collection consents for accredited persons to collect CDR data on behalf of CDR representatives; since those consents are given to the CDR representatives, they are covered by Division 4.3A.</w:t>
      </w:r>
    </w:p>
    <w:bookmarkEnd w:id="123"/>
    <w:p w14:paraId="6FE1D34C" w14:textId="77777777" w:rsidR="00B65728" w:rsidRPr="006A4403" w:rsidRDefault="004B0AB6" w:rsidP="00B65728">
      <w:pPr>
        <w:pStyle w:val="ItemHead"/>
      </w:pPr>
      <w:r>
        <w:t>52</w:t>
      </w:r>
      <w:r w:rsidR="00723B2F" w:rsidRPr="006A4403">
        <w:t xml:space="preserve">  </w:t>
      </w:r>
      <w:r w:rsidR="00B65728" w:rsidRPr="006A4403">
        <w:t>Subrule 4.10(1)</w:t>
      </w:r>
    </w:p>
    <w:p w14:paraId="4573FFF2" w14:textId="77777777" w:rsidR="00B65728" w:rsidRPr="006A4403" w:rsidRDefault="00B65728" w:rsidP="00B65728">
      <w:pPr>
        <w:pStyle w:val="Item"/>
      </w:pPr>
      <w:r w:rsidRPr="006A4403">
        <w:t>Omit “give and”, substitute “give or”.</w:t>
      </w:r>
    </w:p>
    <w:p w14:paraId="0E2ED224" w14:textId="77777777" w:rsidR="00B65728" w:rsidRPr="006A4403" w:rsidRDefault="004B0AB6" w:rsidP="00B65728">
      <w:pPr>
        <w:pStyle w:val="ItemHead"/>
      </w:pPr>
      <w:r>
        <w:t>53</w:t>
      </w:r>
      <w:r w:rsidR="00723B2F" w:rsidRPr="006A4403">
        <w:t xml:space="preserve">  </w:t>
      </w:r>
      <w:r w:rsidR="00B65728" w:rsidRPr="006A4403">
        <w:t>Subparagraph 4.10(1)(a)(i)</w:t>
      </w:r>
    </w:p>
    <w:p w14:paraId="35405FC8" w14:textId="77777777" w:rsidR="00B65728" w:rsidRPr="006A4403" w:rsidRDefault="00B65728" w:rsidP="00B65728">
      <w:pPr>
        <w:pStyle w:val="Item"/>
      </w:pPr>
      <w:r w:rsidRPr="006A4403">
        <w:t>Omit “consumer experience”, substitute “relevant”.</w:t>
      </w:r>
    </w:p>
    <w:p w14:paraId="01A7580C" w14:textId="77777777" w:rsidR="00B65728" w:rsidRPr="006A4403" w:rsidRDefault="004B0AB6" w:rsidP="00B65728">
      <w:pPr>
        <w:pStyle w:val="ItemHead"/>
      </w:pPr>
      <w:r>
        <w:t>54</w:t>
      </w:r>
      <w:r w:rsidR="00723B2F" w:rsidRPr="006A4403">
        <w:t xml:space="preserve">  </w:t>
      </w:r>
      <w:r w:rsidR="00B65728" w:rsidRPr="006A4403">
        <w:t>After paragraph 4.11(1)(ba)</w:t>
      </w:r>
    </w:p>
    <w:p w14:paraId="0BE9766A" w14:textId="77777777" w:rsidR="00B65728" w:rsidRPr="006A4403" w:rsidRDefault="00B65728" w:rsidP="00B65728">
      <w:pPr>
        <w:pStyle w:val="Item"/>
      </w:pPr>
      <w:r w:rsidRPr="006A4403">
        <w:t>Insert:</w:t>
      </w:r>
    </w:p>
    <w:p w14:paraId="167080E0" w14:textId="77777777" w:rsidR="00B65728" w:rsidRPr="006A4403" w:rsidRDefault="00B65728" w:rsidP="00B65728">
      <w:pPr>
        <w:pStyle w:val="paragraph"/>
      </w:pPr>
      <w:bookmarkStart w:id="125" w:name="_Hlk121829550"/>
      <w:r w:rsidRPr="006A4403">
        <w:t xml:space="preserve">             and</w:t>
      </w:r>
      <w:r w:rsidRPr="006A4403">
        <w:tab/>
        <w:t>(bb)</w:t>
      </w:r>
      <w:r w:rsidRPr="006A4403">
        <w:tab/>
        <w:t>where the accredited person proposes, or is offering, to deal with a person in their capacity as a CDR business consumer in relation to a consent of a kind mentioned in paragraph 1.10A(10)(a)―invite the CDR business consumer to provide the business consumer statement; and</w:t>
      </w:r>
    </w:p>
    <w:bookmarkEnd w:id="125"/>
    <w:p w14:paraId="750CD179" w14:textId="77777777" w:rsidR="00B65728" w:rsidRPr="006A4403" w:rsidRDefault="004B0AB6" w:rsidP="00B65728">
      <w:pPr>
        <w:pStyle w:val="ItemHead"/>
      </w:pPr>
      <w:r>
        <w:t>55</w:t>
      </w:r>
      <w:r w:rsidR="00723B2F" w:rsidRPr="006A4403">
        <w:t xml:space="preserve">  </w:t>
      </w:r>
      <w:r w:rsidR="00B65728" w:rsidRPr="006A4403">
        <w:t>Paragraph 4.11(1)(d)</w:t>
      </w:r>
    </w:p>
    <w:p w14:paraId="07CD0B14" w14:textId="77777777" w:rsidR="00B65728" w:rsidRPr="006A4403" w:rsidRDefault="00B65728" w:rsidP="00B65728">
      <w:pPr>
        <w:pStyle w:val="Item"/>
      </w:pPr>
      <w:r w:rsidRPr="006A4403">
        <w:t>After “data holder” insert “</w:t>
      </w:r>
      <w:bookmarkStart w:id="126" w:name="_Hlk121829667"/>
      <w:r w:rsidRPr="006A4403">
        <w:t>or accredited data recipient</w:t>
      </w:r>
      <w:bookmarkEnd w:id="126"/>
      <w:r w:rsidRPr="006A4403">
        <w:t>”.</w:t>
      </w:r>
    </w:p>
    <w:p w14:paraId="602EC0BA" w14:textId="77777777" w:rsidR="00B65728" w:rsidRPr="006A4403" w:rsidRDefault="004B0AB6" w:rsidP="00B65728">
      <w:pPr>
        <w:pStyle w:val="ItemHead"/>
      </w:pPr>
      <w:r>
        <w:t>56</w:t>
      </w:r>
      <w:r w:rsidR="00723B2F" w:rsidRPr="006A4403">
        <w:t xml:space="preserve">  </w:t>
      </w:r>
      <w:r w:rsidR="00B65728" w:rsidRPr="006A4403">
        <w:t>Subrule 4.11(1) (note 1)</w:t>
      </w:r>
    </w:p>
    <w:p w14:paraId="7CA47DD4" w14:textId="77777777" w:rsidR="00B65728" w:rsidRPr="006A4403" w:rsidRDefault="00B65728" w:rsidP="00B65728">
      <w:pPr>
        <w:pStyle w:val="Item"/>
      </w:pPr>
      <w:r w:rsidRPr="006A4403">
        <w:t>Omit “could not”, substitute “cannot”.</w:t>
      </w:r>
    </w:p>
    <w:p w14:paraId="4D7C1B30" w14:textId="77777777" w:rsidR="00B65728" w:rsidRPr="006A4403" w:rsidRDefault="004B0AB6" w:rsidP="00B65728">
      <w:pPr>
        <w:pStyle w:val="ItemHead"/>
      </w:pPr>
      <w:r>
        <w:t>57</w:t>
      </w:r>
      <w:r w:rsidR="00723B2F" w:rsidRPr="006A4403">
        <w:t xml:space="preserve">  </w:t>
      </w:r>
      <w:r w:rsidR="00B65728" w:rsidRPr="006A4403">
        <w:t>Subrule 4.11(1) (note 2)</w:t>
      </w:r>
    </w:p>
    <w:p w14:paraId="2D2BCCF1" w14:textId="77777777" w:rsidR="00B65728" w:rsidRPr="006A4403" w:rsidRDefault="00B65728" w:rsidP="00B65728">
      <w:pPr>
        <w:pStyle w:val="Item"/>
      </w:pPr>
      <w:r w:rsidRPr="006A4403">
        <w:t>After “12 months”, insert “</w:t>
      </w:r>
      <w:bookmarkStart w:id="127" w:name="_Hlk121829723"/>
      <w:r w:rsidRPr="006A4403">
        <w:t>(or 7 years for certain consents by a CDR business consumer)</w:t>
      </w:r>
      <w:bookmarkEnd w:id="127"/>
      <w:r w:rsidRPr="006A4403">
        <w:t>”.</w:t>
      </w:r>
    </w:p>
    <w:p w14:paraId="0461FE7D" w14:textId="77777777" w:rsidR="00B65728" w:rsidRPr="006A4403" w:rsidRDefault="004B0AB6" w:rsidP="00B65728">
      <w:pPr>
        <w:pStyle w:val="ItemHead"/>
      </w:pPr>
      <w:r>
        <w:t>58</w:t>
      </w:r>
      <w:r w:rsidR="00723B2F" w:rsidRPr="006A4403">
        <w:t xml:space="preserve">  </w:t>
      </w:r>
      <w:r w:rsidR="00B65728" w:rsidRPr="006A4403">
        <w:t>Paragraph 4.11(3)(f)</w:t>
      </w:r>
    </w:p>
    <w:p w14:paraId="3E6CB915" w14:textId="77777777" w:rsidR="00B65728" w:rsidRPr="006A4403" w:rsidRDefault="00B65728" w:rsidP="00B65728">
      <w:pPr>
        <w:pStyle w:val="Item"/>
      </w:pPr>
      <w:r w:rsidRPr="006A4403">
        <w:t>Omit “an outsourced service provider”, substitute “</w:t>
      </w:r>
      <w:bookmarkStart w:id="128" w:name="_Hlk121829752"/>
      <w:r w:rsidRPr="006A4403">
        <w:t>a direct or indirect OSP</w:t>
      </w:r>
      <w:bookmarkEnd w:id="128"/>
      <w:r w:rsidRPr="006A4403">
        <w:t>”.</w:t>
      </w:r>
    </w:p>
    <w:p w14:paraId="6C0532E4" w14:textId="77777777" w:rsidR="00B65728" w:rsidRPr="006A4403" w:rsidRDefault="004B0AB6" w:rsidP="00B65728">
      <w:pPr>
        <w:pStyle w:val="ItemHead"/>
      </w:pPr>
      <w:r>
        <w:t>59</w:t>
      </w:r>
      <w:r w:rsidR="00723B2F" w:rsidRPr="006A4403">
        <w:t xml:space="preserve">  </w:t>
      </w:r>
      <w:r w:rsidR="00B65728" w:rsidRPr="006A4403">
        <w:t>Paragraph 4.11(3)(i)</w:t>
      </w:r>
    </w:p>
    <w:p w14:paraId="1E7E53FC" w14:textId="77777777" w:rsidR="00B65728" w:rsidRPr="006A4403" w:rsidRDefault="00B65728" w:rsidP="00B65728">
      <w:pPr>
        <w:pStyle w:val="Item"/>
      </w:pPr>
      <w:r w:rsidRPr="006A4403">
        <w:t>Omit “request;”, substitute “request:”.</w:t>
      </w:r>
    </w:p>
    <w:p w14:paraId="6F68A776" w14:textId="77777777" w:rsidR="00B65728" w:rsidRPr="006A4403" w:rsidRDefault="004B0AB6" w:rsidP="00B65728">
      <w:pPr>
        <w:pStyle w:val="ItemHead"/>
      </w:pPr>
      <w:r>
        <w:t>60</w:t>
      </w:r>
      <w:r w:rsidR="00723B2F" w:rsidRPr="006A4403">
        <w:t xml:space="preserve">  </w:t>
      </w:r>
      <w:r w:rsidR="00B65728" w:rsidRPr="006A4403">
        <w:t>Subrule 4.12(1)</w:t>
      </w:r>
    </w:p>
    <w:p w14:paraId="1CED4D8F" w14:textId="77777777" w:rsidR="00B65728" w:rsidRPr="006A4403" w:rsidRDefault="00B65728" w:rsidP="00B65728">
      <w:pPr>
        <w:pStyle w:val="Item"/>
        <w:rPr>
          <w:b/>
        </w:rPr>
      </w:pPr>
      <w:r w:rsidRPr="006A4403">
        <w:t>Omit “An”, substitute “</w:t>
      </w:r>
      <w:bookmarkStart w:id="129" w:name="_Hlk120282058"/>
      <w:r w:rsidRPr="006A4403">
        <w:t>Subject to subrule (1A), an</w:t>
      </w:r>
      <w:bookmarkEnd w:id="129"/>
      <w:r w:rsidRPr="006A4403">
        <w:t>”.</w:t>
      </w:r>
    </w:p>
    <w:p w14:paraId="56C52BCF" w14:textId="77777777" w:rsidR="00B65728" w:rsidRPr="006A4403" w:rsidRDefault="004B0AB6" w:rsidP="00B65728">
      <w:pPr>
        <w:pStyle w:val="ItemHead"/>
      </w:pPr>
      <w:r>
        <w:lastRenderedPageBreak/>
        <w:t>61</w:t>
      </w:r>
      <w:r w:rsidR="00723B2F" w:rsidRPr="006A4403">
        <w:t xml:space="preserve">  </w:t>
      </w:r>
      <w:r w:rsidR="00B65728" w:rsidRPr="006A4403">
        <w:t>After subrule 4.12(1)</w:t>
      </w:r>
    </w:p>
    <w:p w14:paraId="652E7B44" w14:textId="77777777" w:rsidR="00B65728" w:rsidRPr="006A4403" w:rsidRDefault="00B65728" w:rsidP="00B65728">
      <w:pPr>
        <w:pStyle w:val="Item"/>
      </w:pPr>
      <w:r w:rsidRPr="006A4403">
        <w:t>Insert:</w:t>
      </w:r>
    </w:p>
    <w:p w14:paraId="433BBC17" w14:textId="77777777" w:rsidR="00B65728" w:rsidRPr="006A4403" w:rsidRDefault="00B65728" w:rsidP="00B65728">
      <w:pPr>
        <w:pStyle w:val="subsection"/>
      </w:pPr>
      <w:bookmarkStart w:id="130" w:name="_Hlk120282067"/>
      <w:r w:rsidRPr="006A4403">
        <w:tab/>
        <w:t>(1A)</w:t>
      </w:r>
      <w:r w:rsidRPr="006A4403">
        <w:tab/>
        <w:t>In the case of a consent given by a CDR business consumer that includes a business consumer statement, an accredited person must:</w:t>
      </w:r>
    </w:p>
    <w:p w14:paraId="65AB96C5" w14:textId="77777777" w:rsidR="00B65728" w:rsidRPr="006A4403" w:rsidRDefault="00B65728" w:rsidP="00B65728">
      <w:pPr>
        <w:pStyle w:val="paragraph"/>
      </w:pPr>
      <w:r w:rsidRPr="006A4403">
        <w:tab/>
        <w:t>(a)</w:t>
      </w:r>
      <w:r w:rsidRPr="006A4403">
        <w:tab/>
        <w:t>not specify a period of time that is more than 7 years; and</w:t>
      </w:r>
    </w:p>
    <w:p w14:paraId="02C3EA4C" w14:textId="77777777" w:rsidR="00B65728" w:rsidRPr="006A4403" w:rsidRDefault="00B65728" w:rsidP="00B65728">
      <w:pPr>
        <w:pStyle w:val="paragraph"/>
      </w:pPr>
      <w:r w:rsidRPr="006A4403">
        <w:tab/>
        <w:t>(b)</w:t>
      </w:r>
      <w:r w:rsidRPr="006A4403">
        <w:tab/>
        <w:t>if specifying a period of time of more than 12 months, give the CDR business consumer the option of choosing a period for the consent of 12 months or less.</w:t>
      </w:r>
    </w:p>
    <w:bookmarkEnd w:id="130"/>
    <w:p w14:paraId="31001A36" w14:textId="77777777" w:rsidR="00B65728" w:rsidRPr="006A4403" w:rsidRDefault="004B0AB6" w:rsidP="00B65728">
      <w:pPr>
        <w:pStyle w:val="ItemHead"/>
        <w:rPr>
          <w:noProof/>
        </w:rPr>
      </w:pPr>
      <w:r>
        <w:t>62</w:t>
      </w:r>
      <w:r w:rsidR="00723B2F" w:rsidRPr="006A4403">
        <w:t xml:space="preserve">  </w:t>
      </w:r>
      <w:r w:rsidR="00B65728" w:rsidRPr="006A4403">
        <w:rPr>
          <w:noProof/>
        </w:rPr>
        <w:t>Subrule 4.12B(5)</w:t>
      </w:r>
    </w:p>
    <w:p w14:paraId="6BFA50B9" w14:textId="77777777" w:rsidR="00B65728" w:rsidRPr="006A4403" w:rsidRDefault="00B65728" w:rsidP="00B65728">
      <w:pPr>
        <w:pStyle w:val="Item"/>
      </w:pPr>
      <w:r w:rsidRPr="006A4403">
        <w:t>Repeal the subrule.</w:t>
      </w:r>
    </w:p>
    <w:p w14:paraId="7CF7C882" w14:textId="77777777" w:rsidR="00B65728" w:rsidRPr="006A4403" w:rsidRDefault="004B0AB6" w:rsidP="00B65728">
      <w:pPr>
        <w:pStyle w:val="ItemHead"/>
        <w:rPr>
          <w:noProof/>
        </w:rPr>
      </w:pPr>
      <w:r>
        <w:t>63</w:t>
      </w:r>
      <w:r w:rsidR="00723B2F" w:rsidRPr="006A4403">
        <w:t xml:space="preserve">  </w:t>
      </w:r>
      <w:r w:rsidR="00B65728" w:rsidRPr="006A4403">
        <w:rPr>
          <w:noProof/>
        </w:rPr>
        <w:t>At the end of subrule 4.12C(1)</w:t>
      </w:r>
    </w:p>
    <w:p w14:paraId="48D41471" w14:textId="77777777" w:rsidR="00B65728" w:rsidRPr="006A4403" w:rsidRDefault="00B65728" w:rsidP="00B65728">
      <w:pPr>
        <w:pStyle w:val="Item"/>
      </w:pPr>
      <w:r w:rsidRPr="006A4403">
        <w:t>Add:</w:t>
      </w:r>
    </w:p>
    <w:p w14:paraId="0B211E94" w14:textId="77777777" w:rsidR="00B65728" w:rsidRPr="006A4403" w:rsidRDefault="00B65728" w:rsidP="00B65728">
      <w:pPr>
        <w:pStyle w:val="notetext"/>
      </w:pPr>
      <w:bookmarkStart w:id="131" w:name="_Hlk121829917"/>
      <w:r w:rsidRPr="006A4403">
        <w:t>Example:</w:t>
      </w:r>
      <w:r w:rsidRPr="006A4403">
        <w:tab/>
        <w:t>If an accredited person asks a CDR consumer who gave a consent as a CDR business consumer to amend a consent of a kind mentioned in paragraph 1.10A(10)(a), the accredited person must invite the CDR consumer to provide a further business consumer statement: see paragraph 4.11(1)(bb).</w:t>
      </w:r>
    </w:p>
    <w:bookmarkEnd w:id="131"/>
    <w:p w14:paraId="109EB9FB" w14:textId="77777777" w:rsidR="00B65728" w:rsidRPr="006A4403" w:rsidRDefault="004B0AB6" w:rsidP="00B65728">
      <w:pPr>
        <w:pStyle w:val="ItemHead"/>
        <w:rPr>
          <w:noProof/>
        </w:rPr>
      </w:pPr>
      <w:r>
        <w:t>64</w:t>
      </w:r>
      <w:r w:rsidR="00723B2F" w:rsidRPr="006A4403">
        <w:t xml:space="preserve">  </w:t>
      </w:r>
      <w:r w:rsidR="00B65728" w:rsidRPr="006A4403">
        <w:rPr>
          <w:noProof/>
        </w:rPr>
        <w:t>At the end of rule 4.12C</w:t>
      </w:r>
    </w:p>
    <w:p w14:paraId="34519E16" w14:textId="77777777" w:rsidR="00B65728" w:rsidRPr="006A4403" w:rsidRDefault="00B65728" w:rsidP="00B65728">
      <w:pPr>
        <w:pStyle w:val="Item"/>
      </w:pPr>
      <w:r w:rsidRPr="006A4403">
        <w:t>Add:</w:t>
      </w:r>
    </w:p>
    <w:p w14:paraId="3A2A8BE8" w14:textId="77777777" w:rsidR="00B65728" w:rsidRPr="006A4403" w:rsidRDefault="00B65728" w:rsidP="00B65728">
      <w:pPr>
        <w:pStyle w:val="subsection"/>
      </w:pPr>
      <w:bookmarkStart w:id="132" w:name="_Hlk121829942"/>
      <w:r w:rsidRPr="006A4403">
        <w:tab/>
        <w:t>(4)</w:t>
      </w:r>
      <w:r w:rsidRPr="006A4403">
        <w:tab/>
        <w:t>If the CDR consumer gave the consent as a CDR business consumer, the accredited person must take reasonable steps to re-confirm that:</w:t>
      </w:r>
    </w:p>
    <w:p w14:paraId="0D461BED" w14:textId="77777777" w:rsidR="00B65728" w:rsidRPr="006A4403" w:rsidRDefault="00B65728" w:rsidP="00B65728">
      <w:pPr>
        <w:pStyle w:val="paragraph"/>
      </w:pPr>
      <w:r w:rsidRPr="006A4403">
        <w:tab/>
        <w:t>(a)</w:t>
      </w:r>
      <w:r w:rsidRPr="006A4403">
        <w:tab/>
        <w:t>the CDR consumer is not an individual; or</w:t>
      </w:r>
    </w:p>
    <w:p w14:paraId="55AA0200" w14:textId="77777777" w:rsidR="00B65728" w:rsidRPr="006A4403" w:rsidRDefault="00B65728" w:rsidP="00B65728">
      <w:pPr>
        <w:pStyle w:val="paragraph"/>
      </w:pPr>
      <w:r w:rsidRPr="006A4403">
        <w:tab/>
        <w:t>(b)</w:t>
      </w:r>
      <w:r w:rsidRPr="006A4403">
        <w:tab/>
        <w:t>the CDR consumer has an active ABN.</w:t>
      </w:r>
    </w:p>
    <w:p w14:paraId="761BAEF6" w14:textId="77777777" w:rsidR="00B65728" w:rsidRPr="006A4403" w:rsidRDefault="00B65728" w:rsidP="00B65728">
      <w:pPr>
        <w:pStyle w:val="notetext"/>
      </w:pPr>
      <w:r w:rsidRPr="006A4403">
        <w:t>Note:</w:t>
      </w:r>
      <w:r w:rsidRPr="006A4403">
        <w:tab/>
        <w:t>See subrule 1.10A(9).</w:t>
      </w:r>
    </w:p>
    <w:bookmarkEnd w:id="132"/>
    <w:p w14:paraId="1F1401F7" w14:textId="77777777" w:rsidR="00B65728" w:rsidRPr="006A4403" w:rsidRDefault="004B0AB6" w:rsidP="00B65728">
      <w:pPr>
        <w:pStyle w:val="ItemHead"/>
      </w:pPr>
      <w:r>
        <w:t>65</w:t>
      </w:r>
      <w:r w:rsidR="00723B2F" w:rsidRPr="006A4403">
        <w:t xml:space="preserve">  </w:t>
      </w:r>
      <w:r w:rsidR="00B65728" w:rsidRPr="006A4403">
        <w:t>Rule 4.13</w:t>
      </w:r>
    </w:p>
    <w:p w14:paraId="5D9C181A" w14:textId="77777777" w:rsidR="00B65728" w:rsidRPr="006A4403" w:rsidRDefault="00B65728" w:rsidP="00B65728">
      <w:pPr>
        <w:pStyle w:val="Item"/>
      </w:pPr>
      <w:r w:rsidRPr="006A4403">
        <w:t>Repeal the rule, substitute:</w:t>
      </w:r>
    </w:p>
    <w:p w14:paraId="48558033" w14:textId="77777777" w:rsidR="00B65728" w:rsidRPr="006A4403" w:rsidRDefault="00B65728" w:rsidP="00B65728">
      <w:pPr>
        <w:pStyle w:val="ActHead5"/>
      </w:pPr>
      <w:bookmarkStart w:id="133" w:name="_Toc135295280"/>
      <w:bookmarkStart w:id="134" w:name="_Hlk121829964"/>
      <w:r w:rsidRPr="006A4403">
        <w:t>4.13  Withdrawal of consents</w:t>
      </w:r>
      <w:bookmarkEnd w:id="133"/>
    </w:p>
    <w:p w14:paraId="13240DCE" w14:textId="77777777" w:rsidR="00B65728" w:rsidRPr="006A4403" w:rsidRDefault="00B65728" w:rsidP="00B65728">
      <w:pPr>
        <w:pStyle w:val="subsection"/>
      </w:pPr>
      <w:r w:rsidRPr="006A4403">
        <w:tab/>
        <w:t>(1)</w:t>
      </w:r>
      <w:r w:rsidRPr="006A4403">
        <w:tab/>
        <w:t>A CDR consumer who has given a consent to an accredited person for the purposes of this Division may withdraw the consent at any time:</w:t>
      </w:r>
    </w:p>
    <w:p w14:paraId="6932532D" w14:textId="77777777" w:rsidR="00B65728" w:rsidRPr="006A4403" w:rsidRDefault="00B65728" w:rsidP="00B65728">
      <w:pPr>
        <w:pStyle w:val="paragraph"/>
      </w:pPr>
      <w:r w:rsidRPr="006A4403">
        <w:tab/>
        <w:t>(a)</w:t>
      </w:r>
      <w:r w:rsidRPr="006A4403">
        <w:tab/>
        <w:t>by using the accredited person’s consumer dashboard; or</w:t>
      </w:r>
    </w:p>
    <w:p w14:paraId="4AADE028" w14:textId="77777777" w:rsidR="00B65728" w:rsidRPr="006A4403" w:rsidRDefault="00B65728" w:rsidP="00B65728">
      <w:pPr>
        <w:pStyle w:val="paragraph"/>
      </w:pPr>
      <w:r w:rsidRPr="006A4403">
        <w:tab/>
        <w:t>(b)</w:t>
      </w:r>
      <w:r w:rsidRPr="006A4403">
        <w:tab/>
        <w:t>by using a simple alternative method of communication to be made available by the accredited person for that purpose.</w:t>
      </w:r>
    </w:p>
    <w:p w14:paraId="0B7D2D36" w14:textId="77777777" w:rsidR="00B65728" w:rsidRPr="006A4403" w:rsidRDefault="00B65728" w:rsidP="00B65728">
      <w:pPr>
        <w:pStyle w:val="subsection"/>
      </w:pPr>
      <w:r w:rsidRPr="006A4403">
        <w:tab/>
        <w:t>(2)</w:t>
      </w:r>
      <w:r w:rsidRPr="006A4403">
        <w:tab/>
        <w:t>If the consent is withdrawn under paragraph (1)(b), the accredited person must give effect to the withdrawal as soon as practicable, and in any case within 2 business days after receiving the communication.</w:t>
      </w:r>
    </w:p>
    <w:p w14:paraId="5C3C1974" w14:textId="77777777" w:rsidR="00B65728" w:rsidRPr="006A4403" w:rsidRDefault="00B65728" w:rsidP="00B65728">
      <w:pPr>
        <w:pStyle w:val="notetext"/>
      </w:pPr>
      <w:r w:rsidRPr="006A4403">
        <w:t>Note:</w:t>
      </w:r>
      <w:r w:rsidRPr="006A4403">
        <w:tab/>
        <w:t>This subrule is a civil penalty provision (see rule 9.8).</w:t>
      </w:r>
    </w:p>
    <w:p w14:paraId="08A950C2" w14:textId="77777777" w:rsidR="00B65728" w:rsidRPr="006A4403" w:rsidRDefault="00B65728" w:rsidP="00B65728">
      <w:pPr>
        <w:pStyle w:val="subsection"/>
      </w:pPr>
      <w:r w:rsidRPr="006A4403">
        <w:tab/>
        <w:t>(3)</w:t>
      </w:r>
      <w:r w:rsidRPr="006A4403">
        <w:tab/>
        <w:t xml:space="preserve">Withdrawal of a consent does not affect an election under rule 4.16 that the CDR consumer’s collected CDR data be deleted once it becomes redundant. </w:t>
      </w:r>
    </w:p>
    <w:bookmarkEnd w:id="134"/>
    <w:p w14:paraId="628BDF3E" w14:textId="77777777" w:rsidR="00B65728" w:rsidRPr="006A4403" w:rsidRDefault="004B0AB6" w:rsidP="00B65728">
      <w:pPr>
        <w:pStyle w:val="ItemHead"/>
      </w:pPr>
      <w:r>
        <w:t>66</w:t>
      </w:r>
      <w:r w:rsidR="00723B2F" w:rsidRPr="006A4403">
        <w:t xml:space="preserve">  </w:t>
      </w:r>
      <w:r w:rsidR="00B65728" w:rsidRPr="006A4403">
        <w:t>Rule 4.14</w:t>
      </w:r>
    </w:p>
    <w:p w14:paraId="2B003347" w14:textId="77777777" w:rsidR="00B65728" w:rsidRPr="006A4403" w:rsidRDefault="00B65728" w:rsidP="00B65728">
      <w:pPr>
        <w:pStyle w:val="Item"/>
      </w:pPr>
      <w:r w:rsidRPr="006A4403">
        <w:t>Repeal the rule, substitute:</w:t>
      </w:r>
    </w:p>
    <w:p w14:paraId="41BBF7E5" w14:textId="77777777" w:rsidR="00B65728" w:rsidRPr="006A4403" w:rsidRDefault="00B65728" w:rsidP="00B65728">
      <w:pPr>
        <w:pStyle w:val="ActHead5"/>
      </w:pPr>
      <w:bookmarkStart w:id="135" w:name="_Toc50114049"/>
      <w:bookmarkStart w:id="136" w:name="_Toc50633083"/>
      <w:bookmarkStart w:id="137" w:name="_Toc57219039"/>
      <w:bookmarkStart w:id="138" w:name="_Toc59549150"/>
      <w:bookmarkStart w:id="139" w:name="_Toc121497389"/>
      <w:bookmarkStart w:id="140" w:name="_Toc135295281"/>
      <w:bookmarkStart w:id="141" w:name="_Hlk111119269"/>
      <w:bookmarkStart w:id="142" w:name="_Hlk121829986"/>
      <w:r w:rsidRPr="006A4403">
        <w:lastRenderedPageBreak/>
        <w:t>4.14  Duration of consent</w:t>
      </w:r>
      <w:bookmarkEnd w:id="135"/>
      <w:bookmarkEnd w:id="136"/>
      <w:bookmarkEnd w:id="137"/>
      <w:bookmarkEnd w:id="138"/>
      <w:bookmarkEnd w:id="139"/>
      <w:bookmarkEnd w:id="140"/>
    </w:p>
    <w:p w14:paraId="6321E282" w14:textId="77777777" w:rsidR="00B65728" w:rsidRPr="006A4403" w:rsidRDefault="00B65728" w:rsidP="00B65728">
      <w:pPr>
        <w:pStyle w:val="subsection"/>
      </w:pPr>
      <w:bookmarkStart w:id="143" w:name="_Hlk115448659"/>
      <w:bookmarkEnd w:id="141"/>
      <w:r w:rsidRPr="006A4403">
        <w:tab/>
        <w:t>(1)</w:t>
      </w:r>
      <w:r w:rsidRPr="006A4403">
        <w:tab/>
        <w:t>A consent given under this Division expires at the earliest of the following:</w:t>
      </w:r>
    </w:p>
    <w:p w14:paraId="25FB78A9" w14:textId="77777777" w:rsidR="00B65728" w:rsidRPr="006A4403" w:rsidRDefault="00B65728" w:rsidP="00B65728">
      <w:pPr>
        <w:pStyle w:val="paragraph"/>
      </w:pPr>
      <w:r w:rsidRPr="006A4403">
        <w:tab/>
        <w:t>(a)</w:t>
      </w:r>
      <w:r w:rsidRPr="006A4403">
        <w:tab/>
        <w:t>if the consent is withdrawn in accordance with paragraph 4.13(1)(b)―the earlier of the following:</w:t>
      </w:r>
    </w:p>
    <w:p w14:paraId="3B50A04B" w14:textId="77777777" w:rsidR="00B65728" w:rsidRPr="006A4403" w:rsidRDefault="00B65728" w:rsidP="00B65728">
      <w:pPr>
        <w:pStyle w:val="paragraphsub"/>
      </w:pPr>
      <w:r w:rsidRPr="006A4403">
        <w:tab/>
        <w:t>(i)</w:t>
      </w:r>
      <w:r w:rsidRPr="006A4403">
        <w:tab/>
        <w:t>when the accredited person gave effect to the withdrawal;</w:t>
      </w:r>
    </w:p>
    <w:p w14:paraId="1F22403B" w14:textId="77777777" w:rsidR="00B65728" w:rsidRPr="006A4403" w:rsidRDefault="00B65728" w:rsidP="00B65728">
      <w:pPr>
        <w:pStyle w:val="paragraphsub"/>
      </w:pPr>
      <w:r w:rsidRPr="006A4403">
        <w:tab/>
        <w:t>(ii)</w:t>
      </w:r>
      <w:r w:rsidRPr="006A4403">
        <w:tab/>
        <w:t>2 business days after the accredited person received the communication;</w:t>
      </w:r>
    </w:p>
    <w:p w14:paraId="0006C8E4" w14:textId="77777777" w:rsidR="00B65728" w:rsidRPr="006A4403" w:rsidRDefault="00B65728" w:rsidP="00B65728">
      <w:pPr>
        <w:pStyle w:val="paragraph"/>
      </w:pPr>
      <w:r w:rsidRPr="006A4403">
        <w:tab/>
        <w:t>(b)</w:t>
      </w:r>
      <w:r w:rsidRPr="006A4403">
        <w:tab/>
        <w:t>if the consent is withdrawn in accordance with paragraph 4.13(1)(a)―when the consent was withdrawn;</w:t>
      </w:r>
    </w:p>
    <w:p w14:paraId="1F5581CF" w14:textId="77777777" w:rsidR="00B65728" w:rsidRPr="006A4403" w:rsidRDefault="00B65728" w:rsidP="00B65728">
      <w:pPr>
        <w:pStyle w:val="paragraph"/>
      </w:pPr>
      <w:bookmarkStart w:id="144" w:name="_Hlk120785580"/>
      <w:r w:rsidRPr="006A4403">
        <w:tab/>
        <w:t>(c)</w:t>
      </w:r>
      <w:r w:rsidRPr="006A4403">
        <w:tab/>
        <w:t>the end of the period referred to in subrule (2) after the later of the following:</w:t>
      </w:r>
    </w:p>
    <w:p w14:paraId="2E61B7C5" w14:textId="77777777" w:rsidR="00B65728" w:rsidRPr="006A4403" w:rsidRDefault="00B65728" w:rsidP="00B65728">
      <w:pPr>
        <w:pStyle w:val="paragraphsub"/>
      </w:pPr>
      <w:r w:rsidRPr="006A4403">
        <w:tab/>
        <w:t>(i)</w:t>
      </w:r>
      <w:r w:rsidRPr="006A4403">
        <w:tab/>
        <w:t>the day the consent was given; or</w:t>
      </w:r>
    </w:p>
    <w:p w14:paraId="75D3D24F" w14:textId="77777777" w:rsidR="00B65728" w:rsidRPr="006A4403" w:rsidRDefault="00B65728" w:rsidP="00B65728">
      <w:pPr>
        <w:pStyle w:val="paragraphsub"/>
      </w:pPr>
      <w:r w:rsidRPr="006A4403">
        <w:tab/>
        <w:t>(ii)</w:t>
      </w:r>
      <w:r w:rsidRPr="006A4403">
        <w:tab/>
        <w:t>if the period of the consent has been amended in accordance with this Division―the day the consent was last amended;</w:t>
      </w:r>
    </w:p>
    <w:bookmarkEnd w:id="144"/>
    <w:p w14:paraId="5A38276B" w14:textId="77777777" w:rsidR="00B65728" w:rsidRPr="006A4403" w:rsidRDefault="00B65728" w:rsidP="00B65728">
      <w:pPr>
        <w:pStyle w:val="paragraph"/>
      </w:pPr>
      <w:r w:rsidRPr="006A4403">
        <w:tab/>
        <w:t>(d)</w:t>
      </w:r>
      <w:r w:rsidRPr="006A4403">
        <w:tab/>
        <w:t>at the end of the period the CDR consumer consented to in accordance with rule 4.11;</w:t>
      </w:r>
    </w:p>
    <w:p w14:paraId="374D247D" w14:textId="77777777" w:rsidR="00B65728" w:rsidRPr="006A4403" w:rsidRDefault="00B65728" w:rsidP="00B65728">
      <w:pPr>
        <w:pStyle w:val="paragraph"/>
      </w:pPr>
      <w:r w:rsidRPr="006A4403">
        <w:tab/>
        <w:t>(e)</w:t>
      </w:r>
      <w:r w:rsidRPr="006A4403">
        <w:tab/>
        <w:t>if the consent expires as a result of the operation of another provision of these rules that references this paragraph―when the consent expires.</w:t>
      </w:r>
    </w:p>
    <w:p w14:paraId="257DA97A" w14:textId="77777777" w:rsidR="00B65728" w:rsidRPr="006A4403" w:rsidRDefault="00B65728" w:rsidP="00B65728">
      <w:pPr>
        <w:pStyle w:val="notetext"/>
      </w:pPr>
      <w:r w:rsidRPr="006A4403">
        <w:t>Note:</w:t>
      </w:r>
      <w:r w:rsidRPr="006A4403">
        <w:tab/>
        <w:t>Subrule 5.1B(6) is an example of a provision referencing paragraph (e). This relates to when a person with sponsored accreditation ceases to have a registered sponsor.</w:t>
      </w:r>
    </w:p>
    <w:p w14:paraId="60DB6D88" w14:textId="77777777" w:rsidR="00B65728" w:rsidRPr="006A4403" w:rsidRDefault="00B65728" w:rsidP="00B65728">
      <w:pPr>
        <w:pStyle w:val="subsection"/>
      </w:pPr>
      <w:bookmarkStart w:id="145" w:name="_Hlk120785590"/>
      <w:bookmarkStart w:id="146" w:name="_Hlk115448735"/>
      <w:bookmarkEnd w:id="143"/>
      <w:r w:rsidRPr="006A4403">
        <w:tab/>
        <w:t>(2)</w:t>
      </w:r>
      <w:r w:rsidRPr="006A4403">
        <w:tab/>
        <w:t>For paragraph (1)(c), the period is:</w:t>
      </w:r>
    </w:p>
    <w:p w14:paraId="5D05EDCB" w14:textId="77777777" w:rsidR="00B65728" w:rsidRPr="006A4403" w:rsidRDefault="00B65728" w:rsidP="00B65728">
      <w:pPr>
        <w:pStyle w:val="paragraph"/>
      </w:pPr>
      <w:r w:rsidRPr="006A4403">
        <w:tab/>
        <w:t>(a)</w:t>
      </w:r>
      <w:r w:rsidRPr="006A4403">
        <w:tab/>
        <w:t>in the case of a consent given by a CDR business consumer that includes a business consumer statement—7 years; and</w:t>
      </w:r>
    </w:p>
    <w:p w14:paraId="47807A75" w14:textId="77777777" w:rsidR="00B65728" w:rsidRPr="006A4403" w:rsidRDefault="00B65728" w:rsidP="00B65728">
      <w:pPr>
        <w:pStyle w:val="paragraph"/>
      </w:pPr>
      <w:r w:rsidRPr="006A4403">
        <w:tab/>
        <w:t>(b)</w:t>
      </w:r>
      <w:r w:rsidRPr="006A4403">
        <w:tab/>
        <w:t>in any other case—12 months.</w:t>
      </w:r>
    </w:p>
    <w:bookmarkEnd w:id="145"/>
    <w:p w14:paraId="26E6C20F" w14:textId="77777777" w:rsidR="00B65728" w:rsidRPr="006A4403" w:rsidRDefault="00B65728" w:rsidP="00B65728">
      <w:pPr>
        <w:pStyle w:val="subsection"/>
        <w:tabs>
          <w:tab w:val="left" w:pos="4536"/>
        </w:tabs>
      </w:pPr>
      <w:r w:rsidRPr="006A4403">
        <w:tab/>
        <w:t>(3)</w:t>
      </w:r>
      <w:r w:rsidRPr="006A4403">
        <w:tab/>
        <w:t>If:</w:t>
      </w:r>
    </w:p>
    <w:p w14:paraId="7DAF6DF8" w14:textId="77777777" w:rsidR="00B65728" w:rsidRPr="006A4403" w:rsidRDefault="00B65728" w:rsidP="00B65728">
      <w:pPr>
        <w:pStyle w:val="paragraph"/>
      </w:pPr>
      <w:r w:rsidRPr="006A4403">
        <w:tab/>
        <w:t>(a)</w:t>
      </w:r>
      <w:r w:rsidRPr="006A4403">
        <w:tab/>
        <w:t>an accredited person is notified by a data holder, under rule 4.26A, of the withdrawal of an authorisation to disclose CDR data that relates to a collection consent given under this Division; and</w:t>
      </w:r>
    </w:p>
    <w:p w14:paraId="4E1ACFF5" w14:textId="77777777" w:rsidR="00B65728" w:rsidRPr="006A4403" w:rsidRDefault="00B65728" w:rsidP="00B65728">
      <w:pPr>
        <w:pStyle w:val="paragraph"/>
      </w:pPr>
      <w:r w:rsidRPr="006A4403">
        <w:tab/>
        <w:t>(b)</w:t>
      </w:r>
      <w:r w:rsidRPr="006A4403">
        <w:tab/>
        <w:t>the collection consent has not expired in accordance with subrule (1);</w:t>
      </w:r>
    </w:p>
    <w:p w14:paraId="75A8D66C" w14:textId="77777777" w:rsidR="00B65728" w:rsidRPr="006A4403" w:rsidRDefault="00B65728" w:rsidP="00B65728">
      <w:pPr>
        <w:pStyle w:val="subsection"/>
        <w:spacing w:before="40"/>
      </w:pPr>
      <w:r w:rsidRPr="006A4403">
        <w:tab/>
      </w:r>
      <w:r w:rsidRPr="006A4403">
        <w:tab/>
        <w:t>the collection consent expires when the accredited person receives that notification.</w:t>
      </w:r>
    </w:p>
    <w:p w14:paraId="6936E711" w14:textId="77777777" w:rsidR="00B65728" w:rsidRPr="006A4403" w:rsidRDefault="00B65728" w:rsidP="00B65728">
      <w:pPr>
        <w:pStyle w:val="notetext"/>
      </w:pPr>
      <w:r w:rsidRPr="006A4403">
        <w:t>Note:</w:t>
      </w:r>
      <w:r w:rsidRPr="006A4403">
        <w:tab/>
        <w:t>This would not result in the use consent relating to any CDR data that had already been collected expiring. However, see the notification requirement of rule 4.18A.</w:t>
      </w:r>
    </w:p>
    <w:bookmarkEnd w:id="146"/>
    <w:p w14:paraId="7A4B5E80" w14:textId="77777777" w:rsidR="00B65728" w:rsidRPr="006A4403" w:rsidRDefault="00B65728" w:rsidP="00B65728">
      <w:pPr>
        <w:pStyle w:val="subsection"/>
        <w:tabs>
          <w:tab w:val="left" w:pos="4536"/>
        </w:tabs>
      </w:pPr>
      <w:r w:rsidRPr="006A4403">
        <w:tab/>
        <w:t>(4)</w:t>
      </w:r>
      <w:r w:rsidRPr="006A4403">
        <w:tab/>
        <w:t>If:</w:t>
      </w:r>
    </w:p>
    <w:p w14:paraId="387540D9" w14:textId="77777777" w:rsidR="00B65728" w:rsidRPr="006A4403" w:rsidRDefault="00B65728" w:rsidP="00B65728">
      <w:pPr>
        <w:pStyle w:val="paragraph"/>
      </w:pPr>
      <w:r w:rsidRPr="006A4403">
        <w:tab/>
        <w:t>(a)</w:t>
      </w:r>
      <w:r w:rsidRPr="006A4403">
        <w:tab/>
        <w:t>an accredited person has a collection consent given under this Division to collect particular CDR data from a particular accredited data recipient; and</w:t>
      </w:r>
    </w:p>
    <w:p w14:paraId="0545917D" w14:textId="77777777" w:rsidR="00B65728" w:rsidRPr="006A4403" w:rsidRDefault="00B65728" w:rsidP="00B65728">
      <w:pPr>
        <w:pStyle w:val="paragraph"/>
      </w:pPr>
      <w:r w:rsidRPr="006A4403">
        <w:tab/>
        <w:t>(b)</w:t>
      </w:r>
      <w:r w:rsidRPr="006A4403">
        <w:tab/>
        <w:t>the accredited data recipient has an AP disclosure consent to disclose that CDR data to that accredited person;</w:t>
      </w:r>
    </w:p>
    <w:p w14:paraId="58EB14EB" w14:textId="77777777" w:rsidR="00B65728" w:rsidRPr="006A4403" w:rsidRDefault="00B65728" w:rsidP="00B65728">
      <w:pPr>
        <w:pStyle w:val="subsection"/>
        <w:spacing w:before="40"/>
      </w:pPr>
      <w:r w:rsidRPr="006A4403">
        <w:tab/>
      </w:r>
      <w:r w:rsidRPr="006A4403">
        <w:tab/>
        <w:t>then if one of those consents expires, the other expires when the accredited person or accredited data recipient is notified of the first</w:t>
      </w:r>
      <w:r w:rsidRPr="006A4403">
        <w:noBreakHyphen/>
        <w:t>mentioned expiry.</w:t>
      </w:r>
    </w:p>
    <w:p w14:paraId="4D8E512A" w14:textId="77777777" w:rsidR="00B65728" w:rsidRPr="006A4403" w:rsidRDefault="00B65728" w:rsidP="00B65728">
      <w:pPr>
        <w:pStyle w:val="notetext"/>
      </w:pPr>
      <w:r w:rsidRPr="006A4403">
        <w:t>Note:</w:t>
      </w:r>
      <w:r w:rsidRPr="006A4403">
        <w:tab/>
        <w:t>The notification is required by rule 4.18B.</w:t>
      </w:r>
    </w:p>
    <w:p w14:paraId="67CC9145" w14:textId="77777777" w:rsidR="00B65728" w:rsidRPr="006A4403" w:rsidRDefault="00B65728" w:rsidP="00B65728">
      <w:pPr>
        <w:pStyle w:val="subsection"/>
        <w:tabs>
          <w:tab w:val="left" w:pos="4536"/>
        </w:tabs>
      </w:pPr>
      <w:r w:rsidRPr="006A4403">
        <w:tab/>
        <w:t>(5)</w:t>
      </w:r>
      <w:r w:rsidRPr="006A4403">
        <w:tab/>
        <w:t>If an accredited person becomes a data holder, rather than an accredited data recipient, of particular CDR data as a result of subsection 56AJ(4) of the Act, all of that accredited person’s consents given under this Division that relate to that CDR data expire.</w:t>
      </w:r>
    </w:p>
    <w:p w14:paraId="2DEDFC2E" w14:textId="77777777" w:rsidR="00B65728" w:rsidRPr="006A4403" w:rsidRDefault="00B65728" w:rsidP="00B65728">
      <w:pPr>
        <w:pStyle w:val="subsection"/>
        <w:tabs>
          <w:tab w:val="left" w:pos="4536"/>
        </w:tabs>
      </w:pPr>
      <w:r w:rsidRPr="006A4403">
        <w:lastRenderedPageBreak/>
        <w:tab/>
        <w:t>(6)</w:t>
      </w:r>
      <w:r w:rsidRPr="006A4403">
        <w:tab/>
        <w:t>If an accredited person’s accreditation is revoked or surrendered in accordance with rule 5.17, all of the accredited person’s consents expire when the revocation or surrender takes effect.</w:t>
      </w:r>
    </w:p>
    <w:bookmarkEnd w:id="142"/>
    <w:p w14:paraId="1DF02AB5" w14:textId="77777777" w:rsidR="00B65728" w:rsidRPr="006A4403" w:rsidRDefault="004B0AB6" w:rsidP="00B65728">
      <w:pPr>
        <w:pStyle w:val="ItemHead"/>
      </w:pPr>
      <w:r>
        <w:t>67</w:t>
      </w:r>
      <w:r w:rsidR="00723B2F" w:rsidRPr="006A4403">
        <w:t xml:space="preserve">  </w:t>
      </w:r>
      <w:r w:rsidR="00B65728" w:rsidRPr="006A4403">
        <w:t>Rule 4.16</w:t>
      </w:r>
    </w:p>
    <w:p w14:paraId="21A32BDC" w14:textId="77777777" w:rsidR="00B65728" w:rsidRPr="006A4403" w:rsidRDefault="00B65728" w:rsidP="00B65728">
      <w:pPr>
        <w:pStyle w:val="Item"/>
      </w:pPr>
      <w:r w:rsidRPr="006A4403">
        <w:t>Repeal the rule, substitute:</w:t>
      </w:r>
    </w:p>
    <w:p w14:paraId="0BD6630D" w14:textId="77777777" w:rsidR="002E78F6" w:rsidRPr="006A4403" w:rsidRDefault="002E78F6" w:rsidP="002E78F6">
      <w:pPr>
        <w:pStyle w:val="ActHead5"/>
      </w:pPr>
      <w:bookmarkStart w:id="147" w:name="_Toc50114053"/>
      <w:bookmarkStart w:id="148" w:name="_Toc50633087"/>
      <w:bookmarkStart w:id="149" w:name="_Toc57219043"/>
      <w:bookmarkStart w:id="150" w:name="_Toc59549154"/>
      <w:bookmarkStart w:id="151" w:name="_Toc122080297"/>
      <w:bookmarkStart w:id="152" w:name="_Toc135295282"/>
      <w:bookmarkStart w:id="153" w:name="_Hlk121830014"/>
      <w:r w:rsidRPr="006A4403">
        <w:t>4.16  Election to delete redundant data</w:t>
      </w:r>
      <w:bookmarkEnd w:id="147"/>
      <w:bookmarkEnd w:id="148"/>
      <w:bookmarkEnd w:id="149"/>
      <w:bookmarkEnd w:id="150"/>
      <w:bookmarkEnd w:id="151"/>
      <w:bookmarkEnd w:id="152"/>
    </w:p>
    <w:p w14:paraId="3AA2B22E" w14:textId="77777777" w:rsidR="00B65728" w:rsidRPr="006A4403" w:rsidRDefault="00B65728" w:rsidP="00B65728">
      <w:pPr>
        <w:pStyle w:val="subsection"/>
      </w:pPr>
      <w:r w:rsidRPr="006A4403">
        <w:tab/>
        <w:t>(1)</w:t>
      </w:r>
      <w:r w:rsidRPr="006A4403">
        <w:tab/>
        <w:t>A CDR consumer who has given a consent relating to particular CDR data may:</w:t>
      </w:r>
    </w:p>
    <w:p w14:paraId="0E9A5AFE" w14:textId="77777777" w:rsidR="00B65728" w:rsidRPr="006A4403" w:rsidRDefault="00B65728" w:rsidP="00B65728">
      <w:pPr>
        <w:pStyle w:val="paragraph"/>
      </w:pPr>
      <w:r w:rsidRPr="006A4403">
        <w:tab/>
        <w:t>(a)</w:t>
      </w:r>
      <w:r w:rsidRPr="006A4403">
        <w:tab/>
        <w:t>when giving the consent; or</w:t>
      </w:r>
    </w:p>
    <w:p w14:paraId="52A1724D" w14:textId="77777777" w:rsidR="00B65728" w:rsidRPr="006A4403" w:rsidRDefault="00B65728" w:rsidP="00B65728">
      <w:pPr>
        <w:pStyle w:val="paragraph"/>
      </w:pPr>
      <w:r w:rsidRPr="006A4403">
        <w:tab/>
        <w:t>(b)</w:t>
      </w:r>
      <w:r w:rsidRPr="006A4403">
        <w:tab/>
        <w:t>at any other time before the consent expires;</w:t>
      </w:r>
    </w:p>
    <w:p w14:paraId="16AADE60" w14:textId="77777777" w:rsidR="00B65728" w:rsidRPr="006A4403" w:rsidRDefault="00B65728" w:rsidP="00B65728">
      <w:pPr>
        <w:pStyle w:val="subsection2"/>
      </w:pPr>
      <w:r w:rsidRPr="006A4403">
        <w:t>elect that the collected data, and any CDR data directly or indirectly derived from it, be deleted when it becomes redundant data.</w:t>
      </w:r>
    </w:p>
    <w:p w14:paraId="3421B9A8" w14:textId="77777777" w:rsidR="00B65728" w:rsidRPr="006A4403" w:rsidRDefault="00B65728" w:rsidP="00B65728">
      <w:pPr>
        <w:pStyle w:val="notetext"/>
      </w:pPr>
      <w:r w:rsidRPr="006A4403">
        <w:t>Note 1:</w:t>
      </w:r>
      <w:r w:rsidRPr="006A4403">
        <w:tab/>
        <w:t>See rules 7.12 and 7.13 for the effect of an election.</w:t>
      </w:r>
    </w:p>
    <w:p w14:paraId="0CDC1F07" w14:textId="77777777" w:rsidR="00B65728" w:rsidRPr="006A4403" w:rsidRDefault="00B65728" w:rsidP="00B65728">
      <w:pPr>
        <w:pStyle w:val="notetext"/>
      </w:pPr>
      <w:r w:rsidRPr="006A4403">
        <w:t>Note 2:</w:t>
      </w:r>
      <w:r w:rsidRPr="006A4403">
        <w:tab/>
        <w:t>CDR data might become redundant data even before a consent expires.</w:t>
      </w:r>
    </w:p>
    <w:p w14:paraId="739EFD79" w14:textId="77777777" w:rsidR="00B65728" w:rsidRPr="006A4403" w:rsidRDefault="00B65728" w:rsidP="00B65728">
      <w:pPr>
        <w:pStyle w:val="subsection"/>
      </w:pPr>
      <w:r w:rsidRPr="006A4403">
        <w:tab/>
        <w:t>(2)</w:t>
      </w:r>
      <w:r w:rsidRPr="006A4403">
        <w:tab/>
        <w:t>The CDR consumer may make the election:</w:t>
      </w:r>
    </w:p>
    <w:p w14:paraId="356EF20F" w14:textId="77777777" w:rsidR="00B65728" w:rsidRPr="006A4403" w:rsidRDefault="00B65728" w:rsidP="00B65728">
      <w:pPr>
        <w:pStyle w:val="paragraph"/>
      </w:pPr>
      <w:r w:rsidRPr="006A4403">
        <w:tab/>
        <w:t>(a)</w:t>
      </w:r>
      <w:r w:rsidRPr="006A4403">
        <w:tab/>
        <w:t>by communicating it to the accredited person in writing; or</w:t>
      </w:r>
    </w:p>
    <w:p w14:paraId="7C4900E3" w14:textId="77777777" w:rsidR="00B65728" w:rsidRPr="006A4403" w:rsidRDefault="00B65728" w:rsidP="00B65728">
      <w:pPr>
        <w:pStyle w:val="paragraph"/>
      </w:pPr>
      <w:r w:rsidRPr="006A4403">
        <w:tab/>
        <w:t>(b)</w:t>
      </w:r>
      <w:r w:rsidRPr="006A4403">
        <w:tab/>
        <w:t>by using the accredited person’s consumer dashboard.</w:t>
      </w:r>
    </w:p>
    <w:p w14:paraId="17B403B2" w14:textId="77777777" w:rsidR="00B65728" w:rsidRPr="006A4403" w:rsidRDefault="00B65728" w:rsidP="00B65728">
      <w:pPr>
        <w:pStyle w:val="subsection"/>
      </w:pPr>
      <w:r w:rsidRPr="006A4403">
        <w:tab/>
        <w:t>(3)</w:t>
      </w:r>
      <w:r w:rsidRPr="006A4403">
        <w:tab/>
        <w:t>This rule does not apply if the accredited person:</w:t>
      </w:r>
    </w:p>
    <w:p w14:paraId="6FFE879F" w14:textId="77777777" w:rsidR="00B65728" w:rsidRPr="006A4403" w:rsidRDefault="00B65728" w:rsidP="00B65728">
      <w:pPr>
        <w:pStyle w:val="paragraph"/>
      </w:pPr>
      <w:r w:rsidRPr="006A4403">
        <w:tab/>
        <w:t>(a)</w:t>
      </w:r>
      <w:r w:rsidRPr="006A4403">
        <w:tab/>
        <w:t>has a general policy of deleting redundant data; and</w:t>
      </w:r>
    </w:p>
    <w:p w14:paraId="12A5D54D" w14:textId="77777777" w:rsidR="00B65728" w:rsidRPr="006A4403" w:rsidRDefault="00B65728" w:rsidP="00B65728">
      <w:pPr>
        <w:pStyle w:val="paragraph"/>
      </w:pPr>
      <w:r w:rsidRPr="006A4403">
        <w:tab/>
        <w:t>(b)</w:t>
      </w:r>
      <w:r w:rsidRPr="006A4403">
        <w:tab/>
        <w:t>when seeking the consent, informs the CDR consumer that their CDR data will be deleted when it becomes redundant data.</w:t>
      </w:r>
    </w:p>
    <w:p w14:paraId="7EF4AC3B" w14:textId="77777777" w:rsidR="00B65728" w:rsidRPr="006A4403" w:rsidRDefault="00B65728" w:rsidP="00B65728">
      <w:pPr>
        <w:pStyle w:val="notetext"/>
      </w:pPr>
      <w:r w:rsidRPr="006A4403">
        <w:t>Note:</w:t>
      </w:r>
      <w:r w:rsidRPr="006A4403">
        <w:tab/>
        <w:t>See paragraph 4.17(1)(a).</w:t>
      </w:r>
    </w:p>
    <w:p w14:paraId="0B805BA8" w14:textId="77777777" w:rsidR="00B65728" w:rsidRPr="006A4403" w:rsidRDefault="00B65728" w:rsidP="00B65728">
      <w:pPr>
        <w:pStyle w:val="subsection"/>
      </w:pPr>
      <w:r w:rsidRPr="006A4403">
        <w:tab/>
        <w:t>(4)</w:t>
      </w:r>
      <w:r w:rsidRPr="006A4403">
        <w:tab/>
        <w:t>This rule does not require the deletion of directly or indirectly derived CDR data that was de</w:t>
      </w:r>
      <w:r w:rsidRPr="006A4403">
        <w:noBreakHyphen/>
        <w:t>identified in accordance with the CDR data de</w:t>
      </w:r>
      <w:r w:rsidRPr="006A4403">
        <w:noBreakHyphen/>
        <w:t xml:space="preserve">identification process before the collected data from which it was derived became redundant. </w:t>
      </w:r>
    </w:p>
    <w:bookmarkEnd w:id="153"/>
    <w:p w14:paraId="5648F833" w14:textId="77777777" w:rsidR="00044E0C" w:rsidRPr="006A4403" w:rsidRDefault="004B0AB6" w:rsidP="00044E0C">
      <w:pPr>
        <w:pStyle w:val="ItemHead"/>
      </w:pPr>
      <w:r>
        <w:t>68</w:t>
      </w:r>
      <w:r w:rsidR="00723B2F" w:rsidRPr="006A4403">
        <w:t xml:space="preserve">  </w:t>
      </w:r>
      <w:r w:rsidR="00044E0C" w:rsidRPr="006A4403">
        <w:t>Subrule 4.18(1)</w:t>
      </w:r>
    </w:p>
    <w:p w14:paraId="486690E5" w14:textId="77777777" w:rsidR="00044E0C" w:rsidRPr="006A4403" w:rsidRDefault="00044E0C" w:rsidP="00044E0C">
      <w:pPr>
        <w:pStyle w:val="Item"/>
      </w:pPr>
      <w:r w:rsidRPr="006A4403">
        <w:t>Omit “The accredited person”, substitute “An accredited person”.</w:t>
      </w:r>
    </w:p>
    <w:p w14:paraId="21D18F43" w14:textId="77777777" w:rsidR="00044E0C" w:rsidRPr="006A4403" w:rsidRDefault="004B0AB6" w:rsidP="00044E0C">
      <w:pPr>
        <w:pStyle w:val="ItemHead"/>
      </w:pPr>
      <w:r>
        <w:t>69</w:t>
      </w:r>
      <w:r w:rsidR="00723B2F" w:rsidRPr="006A4403">
        <w:t xml:space="preserve">  </w:t>
      </w:r>
      <w:r w:rsidR="00044E0C" w:rsidRPr="006A4403">
        <w:t>Paragraph 4.18(1)(aa)</w:t>
      </w:r>
    </w:p>
    <w:p w14:paraId="7F71D0A8" w14:textId="77777777" w:rsidR="00044E0C" w:rsidRPr="006A4403" w:rsidRDefault="00044E0C" w:rsidP="00044E0C">
      <w:pPr>
        <w:pStyle w:val="Item"/>
      </w:pPr>
      <w:r w:rsidRPr="006A4403">
        <w:t>Omit “this Part”, substitute “this Division”.</w:t>
      </w:r>
    </w:p>
    <w:p w14:paraId="4C5EBCA2" w14:textId="77777777" w:rsidR="00044E0C" w:rsidRPr="006A4403" w:rsidRDefault="004B0AB6" w:rsidP="00044E0C">
      <w:pPr>
        <w:pStyle w:val="ItemHead"/>
      </w:pPr>
      <w:r>
        <w:t>70</w:t>
      </w:r>
      <w:r w:rsidR="00723B2F" w:rsidRPr="006A4403">
        <w:t xml:space="preserve">  </w:t>
      </w:r>
      <w:r w:rsidR="00044E0C" w:rsidRPr="006A4403">
        <w:t>After rule 4.18</w:t>
      </w:r>
    </w:p>
    <w:p w14:paraId="69777993" w14:textId="77777777" w:rsidR="00044E0C" w:rsidRPr="006A4403" w:rsidRDefault="00044E0C" w:rsidP="00044E0C">
      <w:pPr>
        <w:pStyle w:val="Item"/>
      </w:pPr>
      <w:r w:rsidRPr="006A4403">
        <w:t>Insert:</w:t>
      </w:r>
    </w:p>
    <w:p w14:paraId="277FFDBB" w14:textId="77777777" w:rsidR="00044E0C" w:rsidRPr="006A4403" w:rsidRDefault="00044E0C" w:rsidP="00044E0C">
      <w:pPr>
        <w:pStyle w:val="ActHead5"/>
      </w:pPr>
      <w:bookmarkStart w:id="154" w:name="_Toc111132066"/>
      <w:bookmarkStart w:id="155" w:name="_Toc116895941"/>
      <w:bookmarkStart w:id="156" w:name="_Toc135295283"/>
      <w:bookmarkStart w:id="157" w:name="_Hlk111119794"/>
      <w:bookmarkStart w:id="158" w:name="_Hlk121830220"/>
      <w:r w:rsidRPr="006A4403">
        <w:t>4.18AA  Notification of data holder or accredited data recipient if collection consent expires</w:t>
      </w:r>
      <w:bookmarkEnd w:id="154"/>
      <w:bookmarkEnd w:id="155"/>
      <w:bookmarkEnd w:id="156"/>
    </w:p>
    <w:bookmarkEnd w:id="157"/>
    <w:p w14:paraId="7435B60A" w14:textId="77777777" w:rsidR="00044E0C" w:rsidRPr="006A4403" w:rsidRDefault="00044E0C" w:rsidP="00044E0C">
      <w:pPr>
        <w:pStyle w:val="subsection"/>
      </w:pPr>
      <w:r w:rsidRPr="006A4403">
        <w:tab/>
        <w:t>(1)</w:t>
      </w:r>
      <w:r w:rsidRPr="006A4403">
        <w:tab/>
        <w:t>This rule applies if:</w:t>
      </w:r>
    </w:p>
    <w:p w14:paraId="4B9585EF" w14:textId="77777777" w:rsidR="00044E0C" w:rsidRPr="006A4403" w:rsidRDefault="00044E0C" w:rsidP="00044E0C">
      <w:pPr>
        <w:pStyle w:val="paragraph"/>
      </w:pPr>
      <w:r w:rsidRPr="006A4403">
        <w:tab/>
        <w:t>(a)</w:t>
      </w:r>
      <w:r w:rsidRPr="006A4403">
        <w:tab/>
        <w:t>an accredited person has made a consumer data request to a CDR participant, based on a collection consent given under this Division relating to particular CDR data and that CDR participant; and</w:t>
      </w:r>
    </w:p>
    <w:p w14:paraId="423FF5AB" w14:textId="77777777" w:rsidR="00044E0C" w:rsidRPr="006A4403" w:rsidRDefault="00044E0C" w:rsidP="00044E0C">
      <w:pPr>
        <w:pStyle w:val="paragraph"/>
      </w:pPr>
      <w:r w:rsidRPr="006A4403">
        <w:tab/>
        <w:t>(b)</w:t>
      </w:r>
      <w:r w:rsidRPr="006A4403">
        <w:tab/>
        <w:t>the request has not been completely resolved; and</w:t>
      </w:r>
    </w:p>
    <w:p w14:paraId="2AC084C7" w14:textId="77777777" w:rsidR="00044E0C" w:rsidRPr="006A4403" w:rsidRDefault="00044E0C" w:rsidP="00044E0C">
      <w:pPr>
        <w:pStyle w:val="paragraph"/>
      </w:pPr>
      <w:r w:rsidRPr="006A4403">
        <w:tab/>
        <w:t>(c)</w:t>
      </w:r>
      <w:r w:rsidRPr="006A4403">
        <w:tab/>
        <w:t>the consent expires for any reason.</w:t>
      </w:r>
    </w:p>
    <w:p w14:paraId="36B29019" w14:textId="77777777" w:rsidR="00044E0C" w:rsidRPr="006A4403" w:rsidRDefault="00044E0C" w:rsidP="00044E0C">
      <w:pPr>
        <w:pStyle w:val="subsection"/>
      </w:pPr>
      <w:r w:rsidRPr="006A4403">
        <w:tab/>
        <w:t>(2)</w:t>
      </w:r>
      <w:r w:rsidRPr="006A4403">
        <w:tab/>
        <w:t>The accredited person must notify:</w:t>
      </w:r>
    </w:p>
    <w:p w14:paraId="7B4EE5B2" w14:textId="77777777" w:rsidR="00044E0C" w:rsidRPr="006A4403" w:rsidRDefault="00044E0C" w:rsidP="00044E0C">
      <w:pPr>
        <w:pStyle w:val="paragraph"/>
      </w:pPr>
      <w:r w:rsidRPr="006A4403">
        <w:lastRenderedPageBreak/>
        <w:tab/>
        <w:t>(a)</w:t>
      </w:r>
      <w:r w:rsidRPr="006A4403">
        <w:tab/>
        <w:t>if the CDR participant is a data holder―the data holder, in accordance with the data standards, that the consent has expired; and</w:t>
      </w:r>
    </w:p>
    <w:p w14:paraId="1CCEDCF8" w14:textId="77777777" w:rsidR="00044E0C" w:rsidRPr="006A4403" w:rsidRDefault="00044E0C" w:rsidP="00044E0C">
      <w:pPr>
        <w:pStyle w:val="paragraph"/>
      </w:pPr>
      <w:r w:rsidRPr="006A4403">
        <w:tab/>
        <w:t>(b)</w:t>
      </w:r>
      <w:r w:rsidRPr="006A4403">
        <w:tab/>
        <w:t>if the CDR participant is an accredited data recipient―the accredited data recipient as soon as practicable that the consent has expired.</w:t>
      </w:r>
    </w:p>
    <w:p w14:paraId="46FFE0F2" w14:textId="77777777" w:rsidR="00044E0C" w:rsidRPr="006A4403" w:rsidRDefault="00044E0C" w:rsidP="00044E0C">
      <w:pPr>
        <w:pStyle w:val="notetext"/>
      </w:pPr>
      <w:r w:rsidRPr="006A4403">
        <w:t>Note:</w:t>
      </w:r>
      <w:r w:rsidRPr="006A4403">
        <w:tab/>
        <w:t>This subrule is a civil penalty provision (see rule 9.8).</w:t>
      </w:r>
    </w:p>
    <w:bookmarkEnd w:id="158"/>
    <w:p w14:paraId="61658F5C" w14:textId="77777777" w:rsidR="00044E0C" w:rsidRPr="006A4403" w:rsidRDefault="004B0AB6" w:rsidP="00044E0C">
      <w:pPr>
        <w:pStyle w:val="ItemHead"/>
      </w:pPr>
      <w:r>
        <w:t>71</w:t>
      </w:r>
      <w:r w:rsidR="00723B2F" w:rsidRPr="006A4403">
        <w:t xml:space="preserve">  </w:t>
      </w:r>
      <w:r w:rsidR="00044E0C" w:rsidRPr="006A4403">
        <w:t>Rule 4.18A (heading)</w:t>
      </w:r>
    </w:p>
    <w:p w14:paraId="1039A866" w14:textId="77777777" w:rsidR="00044E0C" w:rsidRPr="006A4403" w:rsidRDefault="00044E0C" w:rsidP="00044E0C">
      <w:pPr>
        <w:pStyle w:val="Item"/>
      </w:pPr>
      <w:r w:rsidRPr="006A4403">
        <w:t>After “Notification”, insert “of CDR consumer”.</w:t>
      </w:r>
    </w:p>
    <w:p w14:paraId="0EFDFAB8" w14:textId="77777777" w:rsidR="00044E0C" w:rsidRPr="006A4403" w:rsidRDefault="004B0AB6" w:rsidP="00044E0C">
      <w:pPr>
        <w:pStyle w:val="ItemHead"/>
      </w:pPr>
      <w:r>
        <w:t>72</w:t>
      </w:r>
      <w:r w:rsidR="00723B2F" w:rsidRPr="006A4403">
        <w:t xml:space="preserve">  </w:t>
      </w:r>
      <w:r w:rsidR="00044E0C" w:rsidRPr="006A4403">
        <w:t>Rules 4.18B, 4.18C and 4.19</w:t>
      </w:r>
    </w:p>
    <w:p w14:paraId="40881805" w14:textId="77777777" w:rsidR="00044E0C" w:rsidRPr="006A4403" w:rsidRDefault="00044E0C" w:rsidP="00044E0C">
      <w:pPr>
        <w:pStyle w:val="Item"/>
      </w:pPr>
      <w:r w:rsidRPr="006A4403">
        <w:t>Repeal the rules, substitute:</w:t>
      </w:r>
    </w:p>
    <w:p w14:paraId="400E53FB" w14:textId="77777777" w:rsidR="00044E0C" w:rsidRPr="006A4403" w:rsidRDefault="00044E0C" w:rsidP="00044E0C">
      <w:pPr>
        <w:pStyle w:val="ActHead5"/>
      </w:pPr>
      <w:bookmarkStart w:id="159" w:name="_Toc50114058"/>
      <w:bookmarkStart w:id="160" w:name="_Toc57219048"/>
      <w:bookmarkStart w:id="161" w:name="_Toc59549159"/>
      <w:bookmarkStart w:id="162" w:name="_Toc111132068"/>
      <w:bookmarkStart w:id="163" w:name="_Toc116895942"/>
      <w:bookmarkStart w:id="164" w:name="_Toc135295284"/>
      <w:r w:rsidRPr="006A4403">
        <w:t>4.18B  Notification if collection consent or AP disclosure consent</w:t>
      </w:r>
      <w:bookmarkEnd w:id="159"/>
      <w:r w:rsidRPr="006A4403">
        <w:t xml:space="preserve"> expires</w:t>
      </w:r>
      <w:bookmarkEnd w:id="160"/>
      <w:bookmarkEnd w:id="161"/>
      <w:bookmarkEnd w:id="162"/>
      <w:bookmarkEnd w:id="163"/>
      <w:bookmarkEnd w:id="164"/>
    </w:p>
    <w:p w14:paraId="00B887B3" w14:textId="77777777" w:rsidR="00044E0C" w:rsidRPr="006A4403" w:rsidRDefault="00044E0C" w:rsidP="00044E0C">
      <w:pPr>
        <w:pStyle w:val="subsection"/>
      </w:pPr>
      <w:r w:rsidRPr="006A4403">
        <w:tab/>
        <w:t>(1)</w:t>
      </w:r>
      <w:r w:rsidRPr="006A4403">
        <w:tab/>
        <w:t>This rule applies if:</w:t>
      </w:r>
    </w:p>
    <w:p w14:paraId="423A8464" w14:textId="77777777" w:rsidR="00044E0C" w:rsidRPr="006A4403" w:rsidRDefault="00044E0C" w:rsidP="00044E0C">
      <w:pPr>
        <w:pStyle w:val="paragraph"/>
      </w:pPr>
      <w:r w:rsidRPr="006A4403">
        <w:tab/>
        <w:t>(a)</w:t>
      </w:r>
      <w:r w:rsidRPr="006A4403">
        <w:tab/>
        <w:t>an accredited person has made a consumer data request to an accredited data recipient on behalf of a CDR representative, based on a collection consent given under this Division relating to particular CDR data and that accredited data recipient; and</w:t>
      </w:r>
    </w:p>
    <w:p w14:paraId="59F5CA2B" w14:textId="77777777" w:rsidR="00044E0C" w:rsidRPr="006A4403" w:rsidRDefault="00044E0C" w:rsidP="00044E0C">
      <w:pPr>
        <w:pStyle w:val="paragraph"/>
      </w:pPr>
      <w:r w:rsidRPr="006A4403">
        <w:tab/>
        <w:t>(b)</w:t>
      </w:r>
      <w:r w:rsidRPr="006A4403">
        <w:tab/>
        <w:t>the accredited data recipient has an AP disclosure consent relating to that CDR data; and</w:t>
      </w:r>
    </w:p>
    <w:p w14:paraId="4559B0C2" w14:textId="77777777" w:rsidR="00044E0C" w:rsidRPr="006A4403" w:rsidRDefault="00044E0C" w:rsidP="00044E0C">
      <w:pPr>
        <w:pStyle w:val="paragraph"/>
      </w:pPr>
      <w:r w:rsidRPr="006A4403">
        <w:tab/>
        <w:t>(c)</w:t>
      </w:r>
      <w:r w:rsidRPr="006A4403">
        <w:tab/>
        <w:t>the request has not been completely resolved.</w:t>
      </w:r>
    </w:p>
    <w:p w14:paraId="1CDED3DA" w14:textId="77777777" w:rsidR="00044E0C" w:rsidRPr="006A4403" w:rsidRDefault="00044E0C" w:rsidP="00044E0C">
      <w:pPr>
        <w:pStyle w:val="subsection"/>
      </w:pPr>
      <w:r w:rsidRPr="006A4403">
        <w:tab/>
        <w:t>(2)</w:t>
      </w:r>
      <w:r w:rsidRPr="006A4403">
        <w:tab/>
        <w:t>If the collection consent expires in accordance with these rules, the accredited person must notify the accredited data recipient as soon as practicable of the expiry.</w:t>
      </w:r>
    </w:p>
    <w:p w14:paraId="2B720FB7" w14:textId="77777777" w:rsidR="00044E0C" w:rsidRPr="006A4403" w:rsidRDefault="00044E0C" w:rsidP="00044E0C">
      <w:pPr>
        <w:pStyle w:val="notetext"/>
      </w:pPr>
      <w:r w:rsidRPr="006A4403">
        <w:t>Note 1:</w:t>
      </w:r>
      <w:r w:rsidRPr="006A4403">
        <w:tab/>
        <w:t>This subrule is a civil penalty provision (see rule 9.8).</w:t>
      </w:r>
    </w:p>
    <w:p w14:paraId="51D197D3" w14:textId="77777777" w:rsidR="00044E0C" w:rsidRPr="006A4403" w:rsidRDefault="00044E0C" w:rsidP="00044E0C">
      <w:pPr>
        <w:pStyle w:val="notetext"/>
      </w:pPr>
      <w:r w:rsidRPr="006A4403">
        <w:t>Note 2:</w:t>
      </w:r>
      <w:r w:rsidRPr="006A4403">
        <w:tab/>
        <w:t>The AP disclosure consent that the accredited data recipient has expires when the notification is received—see subrule 4.14(4).</w:t>
      </w:r>
    </w:p>
    <w:p w14:paraId="70BA6A44" w14:textId="77777777" w:rsidR="00044E0C" w:rsidRPr="006A4403" w:rsidRDefault="00044E0C" w:rsidP="00044E0C">
      <w:pPr>
        <w:pStyle w:val="subsection"/>
      </w:pPr>
      <w:r w:rsidRPr="006A4403">
        <w:tab/>
        <w:t>(3)</w:t>
      </w:r>
      <w:r w:rsidRPr="006A4403">
        <w:tab/>
        <w:t>If the AP disclosure consent expires in accordance with these rules, the accredited data recipient must notify the accredited person as soon as practicable of the expiry.</w:t>
      </w:r>
    </w:p>
    <w:p w14:paraId="3A8BB322" w14:textId="77777777" w:rsidR="00044E0C" w:rsidRPr="006A4403" w:rsidRDefault="00044E0C" w:rsidP="00044E0C">
      <w:pPr>
        <w:pStyle w:val="notetext"/>
      </w:pPr>
      <w:r w:rsidRPr="006A4403">
        <w:t>Note 1:</w:t>
      </w:r>
      <w:r w:rsidRPr="006A4403">
        <w:tab/>
        <w:t>This subrule is a civil penalty provision (see rule 9.8).</w:t>
      </w:r>
    </w:p>
    <w:p w14:paraId="1C63DFB8" w14:textId="77777777" w:rsidR="00044E0C" w:rsidRPr="006A4403" w:rsidRDefault="00044E0C" w:rsidP="00044E0C">
      <w:pPr>
        <w:pStyle w:val="notetext"/>
      </w:pPr>
      <w:r w:rsidRPr="006A4403">
        <w:t>Note 2:</w:t>
      </w:r>
      <w:r w:rsidRPr="006A4403">
        <w:tab/>
        <w:t>The collection consent that the accredited person has expires when the notification is received—see subrule 4.14(4).</w:t>
      </w:r>
    </w:p>
    <w:p w14:paraId="3E8A4A72" w14:textId="77777777" w:rsidR="00044E0C" w:rsidRPr="006A4403" w:rsidRDefault="00044E0C" w:rsidP="00044E0C">
      <w:pPr>
        <w:pStyle w:val="ActHead5"/>
      </w:pPr>
      <w:bookmarkStart w:id="165" w:name="_Toc121497401"/>
      <w:bookmarkStart w:id="166" w:name="_Toc135295285"/>
      <w:bookmarkStart w:id="167" w:name="_Hlk121830801"/>
      <w:r w:rsidRPr="006A4403">
        <w:t>4.18C  Notification of data holder or accredited data recipient if collection consent is amended</w:t>
      </w:r>
      <w:bookmarkEnd w:id="165"/>
      <w:bookmarkEnd w:id="166"/>
    </w:p>
    <w:p w14:paraId="5A56BE85" w14:textId="77777777" w:rsidR="00044E0C" w:rsidRPr="006A4403" w:rsidRDefault="00044E0C" w:rsidP="00044E0C">
      <w:pPr>
        <w:pStyle w:val="subsection"/>
      </w:pPr>
      <w:r w:rsidRPr="006A4403">
        <w:tab/>
        <w:t>(1)</w:t>
      </w:r>
      <w:r w:rsidRPr="006A4403">
        <w:tab/>
        <w:t>This rule applies if:</w:t>
      </w:r>
    </w:p>
    <w:p w14:paraId="4CD7DC9E" w14:textId="77777777" w:rsidR="00044E0C" w:rsidRPr="006A4403" w:rsidRDefault="00044E0C" w:rsidP="00044E0C">
      <w:pPr>
        <w:pStyle w:val="paragraph"/>
      </w:pPr>
      <w:r w:rsidRPr="006A4403">
        <w:tab/>
        <w:t>(a)</w:t>
      </w:r>
      <w:r w:rsidRPr="006A4403">
        <w:tab/>
        <w:t>an accredited person has made a consumer data request to a CDR participant, based on a collection consent given under this Division relating to particular CDR data and that CDR participant; and</w:t>
      </w:r>
    </w:p>
    <w:p w14:paraId="10376D3F" w14:textId="77777777" w:rsidR="00044E0C" w:rsidRPr="006A4403" w:rsidRDefault="00044E0C" w:rsidP="00044E0C">
      <w:pPr>
        <w:pStyle w:val="paragraph"/>
      </w:pPr>
      <w:r w:rsidRPr="006A4403">
        <w:tab/>
        <w:t>(b)</w:t>
      </w:r>
      <w:r w:rsidRPr="006A4403">
        <w:tab/>
        <w:t>the request has not been completely resolved; and</w:t>
      </w:r>
    </w:p>
    <w:p w14:paraId="3966C72E" w14:textId="77777777" w:rsidR="00044E0C" w:rsidRPr="006A4403" w:rsidRDefault="00044E0C" w:rsidP="00044E0C">
      <w:pPr>
        <w:pStyle w:val="paragraph"/>
      </w:pPr>
      <w:r w:rsidRPr="006A4403">
        <w:tab/>
        <w:t>(c)</w:t>
      </w:r>
      <w:r w:rsidRPr="006A4403">
        <w:tab/>
        <w:t>the CDR consumer amends the consent.</w:t>
      </w:r>
    </w:p>
    <w:p w14:paraId="36F3F984" w14:textId="77777777" w:rsidR="00044E0C" w:rsidRPr="006A4403" w:rsidRDefault="00044E0C" w:rsidP="00044E0C">
      <w:pPr>
        <w:pStyle w:val="subsection"/>
      </w:pPr>
      <w:bookmarkStart w:id="168" w:name="_Hlk121426821"/>
      <w:r w:rsidRPr="006A4403">
        <w:tab/>
        <w:t>(2)</w:t>
      </w:r>
      <w:r w:rsidRPr="006A4403">
        <w:tab/>
        <w:t>The accredited person must notify:</w:t>
      </w:r>
    </w:p>
    <w:p w14:paraId="48B81392" w14:textId="77777777" w:rsidR="00044E0C" w:rsidRPr="006A4403" w:rsidRDefault="00044E0C" w:rsidP="00044E0C">
      <w:pPr>
        <w:pStyle w:val="paragraph"/>
      </w:pPr>
      <w:r w:rsidRPr="006A4403">
        <w:tab/>
        <w:t>(a)</w:t>
      </w:r>
      <w:r w:rsidRPr="006A4403">
        <w:tab/>
        <w:t>if the CDR participant is a data holder―the data holder, in accordance with the data standards, that the consent has been amended; and</w:t>
      </w:r>
    </w:p>
    <w:p w14:paraId="58D3A0FA" w14:textId="77777777" w:rsidR="00044E0C" w:rsidRPr="006A4403" w:rsidRDefault="00044E0C" w:rsidP="00044E0C">
      <w:pPr>
        <w:pStyle w:val="paragraph"/>
      </w:pPr>
      <w:r w:rsidRPr="006A4403">
        <w:lastRenderedPageBreak/>
        <w:tab/>
        <w:t>(b)</w:t>
      </w:r>
      <w:r w:rsidRPr="006A4403">
        <w:tab/>
        <w:t>if the CDR participant is an accredited data recipient―the accredited data recipient as soon as practicable that the consent has been amended.</w:t>
      </w:r>
    </w:p>
    <w:p w14:paraId="49D387F6" w14:textId="77777777" w:rsidR="00044E0C" w:rsidRPr="006A4403" w:rsidRDefault="00044E0C" w:rsidP="00044E0C">
      <w:pPr>
        <w:pStyle w:val="notetext"/>
      </w:pPr>
      <w:r w:rsidRPr="006A4403">
        <w:t>Note:</w:t>
      </w:r>
      <w:r w:rsidRPr="006A4403">
        <w:tab/>
        <w:t>This subrule is a civil penalty provision (see rule 9.8).</w:t>
      </w:r>
    </w:p>
    <w:p w14:paraId="5313CCD8" w14:textId="77777777" w:rsidR="00044E0C" w:rsidRPr="006A4403" w:rsidRDefault="00044E0C" w:rsidP="00044E0C">
      <w:pPr>
        <w:pStyle w:val="ActHead5"/>
        <w:rPr>
          <w:szCs w:val="24"/>
        </w:rPr>
      </w:pPr>
      <w:bookmarkStart w:id="169" w:name="_Toc135295286"/>
      <w:r w:rsidRPr="006A4403">
        <w:t>4.19  Updating consumer dashboard</w:t>
      </w:r>
      <w:bookmarkEnd w:id="169"/>
    </w:p>
    <w:p w14:paraId="39A66A90" w14:textId="77777777" w:rsidR="00044E0C" w:rsidRPr="006A4403" w:rsidRDefault="00044E0C" w:rsidP="00044E0C">
      <w:pPr>
        <w:pStyle w:val="subsection"/>
        <w:rPr>
          <w:sz w:val="20"/>
        </w:rPr>
      </w:pPr>
      <w:r w:rsidRPr="006A4403">
        <w:t>             (1)  An accredited person must update a CDR consumer’s consumer dashboard as soon as practicable after the information required to be contained on the dashboard changes.</w:t>
      </w:r>
    </w:p>
    <w:p w14:paraId="4052E5F6" w14:textId="77777777" w:rsidR="00044E0C" w:rsidRPr="006A4403" w:rsidRDefault="00044E0C" w:rsidP="00044E0C">
      <w:pPr>
        <w:pStyle w:val="notetext"/>
      </w:pPr>
      <w:r w:rsidRPr="006A4403">
        <w:t>Note:         This subrule is a civil penalty provision (see rule 9.8).</w:t>
      </w:r>
    </w:p>
    <w:p w14:paraId="474CEB6E" w14:textId="77777777" w:rsidR="00044E0C" w:rsidRPr="006A4403" w:rsidRDefault="00044E0C" w:rsidP="00044E0C">
      <w:pPr>
        <w:pStyle w:val="subsection"/>
      </w:pPr>
      <w:r w:rsidRPr="006A4403">
        <w:t>             (2)  Where a CDR representative provides the consumer dashboard on behalf of a CDR representative principal (see subrule 1.14(5)), the CDR representative principal may arrange for the CDR representative to update the consumer dashboard on the CDR representative principal’s behalf.</w:t>
      </w:r>
    </w:p>
    <w:bookmarkEnd w:id="167"/>
    <w:bookmarkEnd w:id="168"/>
    <w:p w14:paraId="6CF0A55D" w14:textId="77777777" w:rsidR="00044E0C" w:rsidRPr="006A4403" w:rsidRDefault="004B0AB6" w:rsidP="00044E0C">
      <w:pPr>
        <w:pStyle w:val="ItemHead"/>
      </w:pPr>
      <w:r>
        <w:t>73</w:t>
      </w:r>
      <w:r w:rsidR="00723B2F" w:rsidRPr="006A4403">
        <w:t xml:space="preserve">  </w:t>
      </w:r>
      <w:r w:rsidR="00044E0C" w:rsidRPr="006A4403">
        <w:t>Subrule 4.20(1)</w:t>
      </w:r>
    </w:p>
    <w:p w14:paraId="6704C8C9" w14:textId="77777777" w:rsidR="00044E0C" w:rsidRPr="006A4403" w:rsidRDefault="00044E0C" w:rsidP="00044E0C">
      <w:pPr>
        <w:pStyle w:val="Item"/>
      </w:pPr>
      <w:r w:rsidRPr="006A4403">
        <w:t>After “use consent”, insert “given under this Division”.</w:t>
      </w:r>
    </w:p>
    <w:p w14:paraId="3D97A55B" w14:textId="77777777" w:rsidR="00044E0C" w:rsidRPr="006A4403" w:rsidRDefault="004B0AB6" w:rsidP="00044E0C">
      <w:pPr>
        <w:pStyle w:val="ItemHead"/>
      </w:pPr>
      <w:r>
        <w:t>74</w:t>
      </w:r>
      <w:r w:rsidR="00723B2F" w:rsidRPr="006A4403">
        <w:t xml:space="preserve">  </w:t>
      </w:r>
      <w:r w:rsidR="00044E0C" w:rsidRPr="006A4403">
        <w:t>After rule 4.20A</w:t>
      </w:r>
    </w:p>
    <w:p w14:paraId="7DAF61D5" w14:textId="77777777" w:rsidR="00044E0C" w:rsidRPr="006A4403" w:rsidRDefault="00044E0C" w:rsidP="00044E0C">
      <w:pPr>
        <w:pStyle w:val="Item"/>
      </w:pPr>
      <w:r w:rsidRPr="006A4403">
        <w:t>Insert:</w:t>
      </w:r>
    </w:p>
    <w:p w14:paraId="4C49170C" w14:textId="77777777" w:rsidR="00044E0C" w:rsidRPr="006A4403" w:rsidRDefault="00044E0C" w:rsidP="00044E0C">
      <w:pPr>
        <w:pStyle w:val="ActHead3"/>
      </w:pPr>
      <w:bookmarkStart w:id="170" w:name="_Toc121497406"/>
      <w:bookmarkStart w:id="171" w:name="_Toc135295287"/>
      <w:r w:rsidRPr="006A4403">
        <w:t>Division 4.3A—Giving and amending consents—CDR representatives</w:t>
      </w:r>
      <w:bookmarkEnd w:id="170"/>
      <w:bookmarkEnd w:id="171"/>
    </w:p>
    <w:p w14:paraId="2B060C24" w14:textId="77777777" w:rsidR="00044E0C" w:rsidRPr="006A4403" w:rsidRDefault="00044E0C" w:rsidP="00044E0C">
      <w:pPr>
        <w:pStyle w:val="ActHead4"/>
      </w:pPr>
      <w:bookmarkStart w:id="172" w:name="_Toc121497407"/>
      <w:bookmarkStart w:id="173" w:name="_Toc135295288"/>
      <w:r w:rsidRPr="006A4403">
        <w:t>Subdivision 4.3A.1—Preliminary</w:t>
      </w:r>
      <w:bookmarkEnd w:id="172"/>
      <w:bookmarkEnd w:id="173"/>
    </w:p>
    <w:p w14:paraId="220C8052" w14:textId="77777777" w:rsidR="00044E0C" w:rsidRPr="006A4403" w:rsidRDefault="00044E0C" w:rsidP="00044E0C">
      <w:pPr>
        <w:pStyle w:val="ActHead5"/>
      </w:pPr>
      <w:bookmarkStart w:id="174" w:name="_Toc121497408"/>
      <w:bookmarkStart w:id="175" w:name="_Toc135295289"/>
      <w:r w:rsidRPr="006A4403">
        <w:t>4.20</w:t>
      </w:r>
      <w:r w:rsidRPr="006A4403">
        <w:rPr>
          <w:noProof/>
        </w:rPr>
        <w:t>B</w:t>
      </w:r>
      <w:r w:rsidRPr="006A4403">
        <w:t xml:space="preserve">  Purpose of Division</w:t>
      </w:r>
      <w:bookmarkEnd w:id="174"/>
      <w:bookmarkEnd w:id="175"/>
    </w:p>
    <w:p w14:paraId="54A388F4" w14:textId="77777777" w:rsidR="00044E0C" w:rsidRPr="006A4403" w:rsidRDefault="00044E0C" w:rsidP="00044E0C">
      <w:pPr>
        <w:pStyle w:val="subsection"/>
      </w:pPr>
      <w:r w:rsidRPr="006A4403">
        <w:tab/>
      </w:r>
      <w:r w:rsidRPr="006A4403">
        <w:tab/>
        <w:t>This Division deals with:</w:t>
      </w:r>
    </w:p>
    <w:p w14:paraId="20C9D734" w14:textId="77777777" w:rsidR="00044E0C" w:rsidRPr="006A4403" w:rsidRDefault="00044E0C" w:rsidP="00044E0C">
      <w:pPr>
        <w:pStyle w:val="paragraph"/>
      </w:pPr>
      <w:r w:rsidRPr="006A4403">
        <w:tab/>
        <w:t>(a)</w:t>
      </w:r>
      <w:r w:rsidRPr="006A4403">
        <w:tab/>
        <w:t>giving collection consents, use consents and disclosure consents to CDR representatives; and</w:t>
      </w:r>
    </w:p>
    <w:p w14:paraId="7A51A234" w14:textId="77777777" w:rsidR="00044E0C" w:rsidRPr="006A4403" w:rsidRDefault="00044E0C" w:rsidP="00044E0C">
      <w:pPr>
        <w:pStyle w:val="paragraph"/>
      </w:pPr>
      <w:r w:rsidRPr="006A4403">
        <w:tab/>
        <w:t>(b)</w:t>
      </w:r>
      <w:r w:rsidRPr="006A4403">
        <w:tab/>
        <w:t>amending such consents; and</w:t>
      </w:r>
    </w:p>
    <w:p w14:paraId="28C8AD90" w14:textId="77777777" w:rsidR="00044E0C" w:rsidRPr="006A4403" w:rsidRDefault="00044E0C" w:rsidP="00044E0C">
      <w:pPr>
        <w:pStyle w:val="paragraph"/>
      </w:pPr>
      <w:r w:rsidRPr="006A4403">
        <w:tab/>
        <w:t>(c)</w:t>
      </w:r>
      <w:r w:rsidRPr="006A4403">
        <w:tab/>
        <w:t>related matters.</w:t>
      </w:r>
    </w:p>
    <w:p w14:paraId="35B72CC7" w14:textId="77777777" w:rsidR="00044E0C" w:rsidRPr="006A4403" w:rsidRDefault="00044E0C" w:rsidP="00044E0C">
      <w:pPr>
        <w:pStyle w:val="ActHead5"/>
      </w:pPr>
      <w:bookmarkStart w:id="176" w:name="_Toc121497409"/>
      <w:bookmarkStart w:id="177" w:name="_Toc135295290"/>
      <w:r w:rsidRPr="006A4403">
        <w:t>4.20</w:t>
      </w:r>
      <w:r w:rsidRPr="006A4403">
        <w:rPr>
          <w:noProof/>
        </w:rPr>
        <w:t>C</w:t>
      </w:r>
      <w:r w:rsidRPr="006A4403">
        <w:t xml:space="preserve">  Object</w:t>
      </w:r>
      <w:bookmarkEnd w:id="176"/>
      <w:bookmarkEnd w:id="177"/>
    </w:p>
    <w:p w14:paraId="4F3DA25D" w14:textId="77777777" w:rsidR="00044E0C" w:rsidRPr="006A4403" w:rsidRDefault="00044E0C" w:rsidP="00044E0C">
      <w:pPr>
        <w:pStyle w:val="subsection"/>
      </w:pPr>
      <w:r w:rsidRPr="006A4403">
        <w:tab/>
      </w:r>
      <w:r w:rsidRPr="006A4403">
        <w:tab/>
        <w:t>The object of this Division is to ensure that a consent is:</w:t>
      </w:r>
    </w:p>
    <w:p w14:paraId="0A8A9BFC" w14:textId="77777777" w:rsidR="00044E0C" w:rsidRPr="006A4403" w:rsidRDefault="00044E0C" w:rsidP="00044E0C">
      <w:pPr>
        <w:pStyle w:val="paragraph"/>
      </w:pPr>
      <w:r w:rsidRPr="006A4403">
        <w:tab/>
        <w:t>(a)</w:t>
      </w:r>
      <w:r w:rsidRPr="006A4403">
        <w:tab/>
        <w:t>voluntary; and</w:t>
      </w:r>
    </w:p>
    <w:p w14:paraId="028ECFFE" w14:textId="77777777" w:rsidR="00044E0C" w:rsidRPr="006A4403" w:rsidRDefault="00044E0C" w:rsidP="00044E0C">
      <w:pPr>
        <w:pStyle w:val="paragraph"/>
      </w:pPr>
      <w:r w:rsidRPr="006A4403">
        <w:tab/>
        <w:t>(b)</w:t>
      </w:r>
      <w:r w:rsidRPr="006A4403">
        <w:tab/>
        <w:t>express; and</w:t>
      </w:r>
    </w:p>
    <w:p w14:paraId="3BCDF4A7" w14:textId="77777777" w:rsidR="00044E0C" w:rsidRPr="006A4403" w:rsidRDefault="00044E0C" w:rsidP="00044E0C">
      <w:pPr>
        <w:pStyle w:val="paragraph"/>
      </w:pPr>
      <w:r w:rsidRPr="006A4403">
        <w:tab/>
        <w:t>(c)</w:t>
      </w:r>
      <w:r w:rsidRPr="006A4403">
        <w:tab/>
        <w:t>informed; and</w:t>
      </w:r>
    </w:p>
    <w:p w14:paraId="672F790B" w14:textId="77777777" w:rsidR="00044E0C" w:rsidRPr="006A4403" w:rsidRDefault="00044E0C" w:rsidP="00044E0C">
      <w:pPr>
        <w:pStyle w:val="paragraph"/>
      </w:pPr>
      <w:r w:rsidRPr="006A4403">
        <w:tab/>
        <w:t>(d)</w:t>
      </w:r>
      <w:r w:rsidRPr="006A4403">
        <w:tab/>
        <w:t>specific as to purpose; and</w:t>
      </w:r>
    </w:p>
    <w:p w14:paraId="23438BB1" w14:textId="77777777" w:rsidR="00044E0C" w:rsidRPr="006A4403" w:rsidRDefault="00044E0C" w:rsidP="00044E0C">
      <w:pPr>
        <w:pStyle w:val="paragraph"/>
      </w:pPr>
      <w:r w:rsidRPr="006A4403">
        <w:tab/>
        <w:t>(e)</w:t>
      </w:r>
      <w:r w:rsidRPr="006A4403">
        <w:tab/>
        <w:t>time limited; and</w:t>
      </w:r>
    </w:p>
    <w:p w14:paraId="7152BFF8" w14:textId="77777777" w:rsidR="00044E0C" w:rsidRPr="006A4403" w:rsidRDefault="00044E0C" w:rsidP="00044E0C">
      <w:pPr>
        <w:pStyle w:val="paragraph"/>
      </w:pPr>
      <w:r w:rsidRPr="006A4403">
        <w:tab/>
        <w:t>(f)</w:t>
      </w:r>
      <w:r w:rsidRPr="006A4403">
        <w:tab/>
        <w:t>easily withdrawn.</w:t>
      </w:r>
    </w:p>
    <w:p w14:paraId="0E9B6F8E" w14:textId="77777777" w:rsidR="00044E0C" w:rsidRPr="006A4403" w:rsidRDefault="00044E0C" w:rsidP="00044E0C">
      <w:pPr>
        <w:pStyle w:val="ActHead4"/>
      </w:pPr>
      <w:bookmarkStart w:id="178" w:name="_Toc121497410"/>
      <w:bookmarkStart w:id="179" w:name="_Toc135295291"/>
      <w:r w:rsidRPr="006A4403">
        <w:t>Subdivision 4.3A.2—Giving consents</w:t>
      </w:r>
      <w:bookmarkEnd w:id="178"/>
      <w:bookmarkEnd w:id="179"/>
    </w:p>
    <w:p w14:paraId="7C1341C5" w14:textId="77777777" w:rsidR="00044E0C" w:rsidRPr="006A4403" w:rsidRDefault="00044E0C" w:rsidP="00044E0C">
      <w:pPr>
        <w:pStyle w:val="notemargin"/>
      </w:pPr>
      <w:r w:rsidRPr="006A4403">
        <w:t>Note:</w:t>
      </w:r>
      <w:r w:rsidRPr="006A4403">
        <w:tab/>
        <w:t>Under rule 4.3A, if a CDR representative asks a CDR consumer for their consent to collect and use their CDR data, it must do so in accordance with this Division, and in particular, rules 4.20D, 4.20E and 4.20F. A failure to do so could result in the CDR representative principal being liable for one or more civil penalty provisions: see section 56EF of the Act and rule 1.16A.</w:t>
      </w:r>
    </w:p>
    <w:p w14:paraId="09CF22B3" w14:textId="77777777" w:rsidR="00044E0C" w:rsidRPr="006A4403" w:rsidRDefault="00044E0C" w:rsidP="00044E0C">
      <w:pPr>
        <w:pStyle w:val="ActHead5"/>
      </w:pPr>
      <w:bookmarkStart w:id="180" w:name="_Toc121497411"/>
      <w:bookmarkStart w:id="181" w:name="_Toc135295292"/>
      <w:r w:rsidRPr="006A4403">
        <w:lastRenderedPageBreak/>
        <w:t>4.20</w:t>
      </w:r>
      <w:r w:rsidRPr="006A4403">
        <w:rPr>
          <w:noProof/>
        </w:rPr>
        <w:t>D</w:t>
      </w:r>
      <w:r w:rsidRPr="006A4403">
        <w:t xml:space="preserve">  Requirements relating to CDR representative’s processes for seeking consent</w:t>
      </w:r>
      <w:bookmarkEnd w:id="180"/>
      <w:bookmarkEnd w:id="181"/>
    </w:p>
    <w:p w14:paraId="6A72D184" w14:textId="77777777" w:rsidR="00044E0C" w:rsidRPr="006A4403" w:rsidRDefault="00044E0C" w:rsidP="00044E0C">
      <w:pPr>
        <w:pStyle w:val="subsection"/>
      </w:pPr>
      <w:r w:rsidRPr="006A4403">
        <w:tab/>
      </w:r>
      <w:r w:rsidRPr="006A4403">
        <w:tab/>
        <w:t>A CDR representative’s processes for asking a CDR consumer to give or amend a consent:</w:t>
      </w:r>
    </w:p>
    <w:p w14:paraId="51DCA066" w14:textId="77777777" w:rsidR="00044E0C" w:rsidRPr="006A4403" w:rsidRDefault="00044E0C" w:rsidP="00044E0C">
      <w:pPr>
        <w:pStyle w:val="paragraph"/>
      </w:pPr>
      <w:r w:rsidRPr="006A4403">
        <w:tab/>
        <w:t>(a)</w:t>
      </w:r>
      <w:r w:rsidRPr="006A4403">
        <w:tab/>
        <w:t>must:</w:t>
      </w:r>
    </w:p>
    <w:p w14:paraId="18025507" w14:textId="77777777" w:rsidR="00044E0C" w:rsidRPr="006A4403" w:rsidRDefault="00044E0C" w:rsidP="00044E0C">
      <w:pPr>
        <w:pStyle w:val="paragraphsub"/>
      </w:pPr>
      <w:r w:rsidRPr="006A4403">
        <w:tab/>
        <w:t>(i)</w:t>
      </w:r>
      <w:r w:rsidRPr="006A4403">
        <w:tab/>
        <w:t>accord with any relevant data standards; and</w:t>
      </w:r>
    </w:p>
    <w:p w14:paraId="2C84BD91" w14:textId="77777777" w:rsidR="00044E0C" w:rsidRPr="006A4403" w:rsidRDefault="00044E0C" w:rsidP="00044E0C">
      <w:pPr>
        <w:pStyle w:val="paragraphsub"/>
      </w:pPr>
      <w:r w:rsidRPr="006A4403">
        <w:tab/>
        <w:t>(ii)</w:t>
      </w:r>
      <w:r w:rsidRPr="006A4403">
        <w:tab/>
        <w:t>having regard to any consumer experience guidelines developed by the Data Standards Body, be as easy to understand as practicable, including by use of concise language and, where appropriate, visual aids; and</w:t>
      </w:r>
    </w:p>
    <w:p w14:paraId="7B693D36" w14:textId="77777777" w:rsidR="00044E0C" w:rsidRPr="006A4403" w:rsidRDefault="00044E0C" w:rsidP="00044E0C">
      <w:pPr>
        <w:pStyle w:val="paragraph"/>
      </w:pPr>
      <w:r w:rsidRPr="006A4403">
        <w:tab/>
        <w:t>(b)</w:t>
      </w:r>
      <w:r w:rsidRPr="006A4403">
        <w:tab/>
        <w:t>must not:</w:t>
      </w:r>
    </w:p>
    <w:p w14:paraId="0F5E4325" w14:textId="77777777" w:rsidR="00044E0C" w:rsidRPr="006A4403" w:rsidRDefault="00044E0C" w:rsidP="00044E0C">
      <w:pPr>
        <w:pStyle w:val="paragraphsub"/>
      </w:pPr>
      <w:r w:rsidRPr="006A4403">
        <w:tab/>
        <w:t>(i)</w:t>
      </w:r>
      <w:r w:rsidRPr="006A4403">
        <w:tab/>
        <w:t>include or refer to the CDR representative principal’s CDR policy or other documents so as to reduce comprehensibility; or</w:t>
      </w:r>
    </w:p>
    <w:p w14:paraId="2E42A61A" w14:textId="77777777" w:rsidR="00044E0C" w:rsidRPr="006A4403" w:rsidRDefault="00044E0C" w:rsidP="00044E0C">
      <w:pPr>
        <w:pStyle w:val="paragraphsub"/>
      </w:pPr>
      <w:r w:rsidRPr="006A4403">
        <w:tab/>
        <w:t>(ii)</w:t>
      </w:r>
      <w:r w:rsidRPr="006A4403">
        <w:tab/>
        <w:t>bundle consents with other directions, permissions, consents or agreements.</w:t>
      </w:r>
    </w:p>
    <w:p w14:paraId="4DEB0E1C" w14:textId="77777777" w:rsidR="005F7A0D" w:rsidRPr="006A4403" w:rsidRDefault="005F7A0D" w:rsidP="005F7A0D">
      <w:pPr>
        <w:pStyle w:val="ActHead5"/>
      </w:pPr>
      <w:bookmarkStart w:id="182" w:name="_Toc121497412"/>
      <w:bookmarkStart w:id="183" w:name="_Toc135295293"/>
      <w:r w:rsidRPr="006A4403">
        <w:t>4.20</w:t>
      </w:r>
      <w:r w:rsidRPr="006A4403">
        <w:rPr>
          <w:noProof/>
        </w:rPr>
        <w:t>E</w:t>
      </w:r>
      <w:r w:rsidRPr="006A4403">
        <w:t xml:space="preserve">  Asking CDR consumer to give consent</w:t>
      </w:r>
      <w:bookmarkEnd w:id="182"/>
      <w:bookmarkEnd w:id="183"/>
    </w:p>
    <w:p w14:paraId="4D8919C5" w14:textId="77777777" w:rsidR="005F7A0D" w:rsidRPr="006A4403" w:rsidRDefault="005F7A0D" w:rsidP="005F7A0D">
      <w:pPr>
        <w:pStyle w:val="subsection"/>
      </w:pPr>
      <w:r w:rsidRPr="006A4403">
        <w:tab/>
        <w:t>(1)</w:t>
      </w:r>
      <w:r w:rsidRPr="006A4403">
        <w:tab/>
        <w:t>When asking a CDR consumer to give a consent, a CDR representative must:</w:t>
      </w:r>
    </w:p>
    <w:p w14:paraId="1FAE6CFD" w14:textId="77777777" w:rsidR="005F7A0D" w:rsidRPr="006A4403" w:rsidRDefault="005F7A0D" w:rsidP="005F7A0D">
      <w:pPr>
        <w:pStyle w:val="paragraph"/>
      </w:pPr>
      <w:r w:rsidRPr="006A4403">
        <w:tab/>
        <w:t>(a)</w:t>
      </w:r>
      <w:r w:rsidRPr="006A4403">
        <w:tab/>
        <w:t>allow the CDR consumer to choose the types of CDR data to which the consent will apply by enabling the CDR consumer to actively select or otherwise clearly indicate:</w:t>
      </w:r>
    </w:p>
    <w:p w14:paraId="0197F843" w14:textId="77777777" w:rsidR="005F7A0D" w:rsidRPr="006A4403" w:rsidRDefault="005F7A0D" w:rsidP="005F7A0D">
      <w:pPr>
        <w:pStyle w:val="paragraphsub"/>
      </w:pPr>
      <w:r w:rsidRPr="006A4403">
        <w:tab/>
        <w:t>(i)</w:t>
      </w:r>
      <w:r w:rsidRPr="006A4403">
        <w:tab/>
        <w:t>in the case of a collection consent or a disclosure consent―the particular types of CDR data to which the consent will apply; and</w:t>
      </w:r>
    </w:p>
    <w:p w14:paraId="3E1BC75B" w14:textId="77777777" w:rsidR="005F7A0D" w:rsidRPr="006A4403" w:rsidRDefault="005F7A0D" w:rsidP="005F7A0D">
      <w:pPr>
        <w:pStyle w:val="paragraphsub"/>
      </w:pPr>
      <w:r w:rsidRPr="006A4403">
        <w:tab/>
        <w:t>(ii)</w:t>
      </w:r>
      <w:r w:rsidRPr="006A4403">
        <w:tab/>
        <w:t>in the case of a use consent―the specific uses of collected data to which they are consenting; and</w:t>
      </w:r>
    </w:p>
    <w:p w14:paraId="4ABBBD8F" w14:textId="77777777" w:rsidR="005F7A0D" w:rsidRPr="006A4403" w:rsidRDefault="005F7A0D" w:rsidP="005F7A0D">
      <w:pPr>
        <w:pStyle w:val="paragraph"/>
      </w:pPr>
      <w:r w:rsidRPr="006A4403">
        <w:tab/>
        <w:t>(b)</w:t>
      </w:r>
      <w:r w:rsidRPr="006A4403">
        <w:tab/>
        <w:t>allow the CDR consumer to choose the period of the collection consent, use consent, or disclosure consent (as appropriate) by enabling the CDR consumer to actively select or otherwise clearly indicate whether the consent would apply:</w:t>
      </w:r>
    </w:p>
    <w:p w14:paraId="1F63F18A" w14:textId="77777777" w:rsidR="005F7A0D" w:rsidRPr="006A4403" w:rsidRDefault="005F7A0D" w:rsidP="005F7A0D">
      <w:pPr>
        <w:pStyle w:val="paragraphsub"/>
      </w:pPr>
      <w:r w:rsidRPr="006A4403">
        <w:tab/>
        <w:t>(i)</w:t>
      </w:r>
      <w:r w:rsidRPr="006A4403">
        <w:tab/>
        <w:t xml:space="preserve"> on a single occasion; or</w:t>
      </w:r>
    </w:p>
    <w:p w14:paraId="583605C3" w14:textId="77777777" w:rsidR="005F7A0D" w:rsidRPr="006A4403" w:rsidRDefault="005F7A0D" w:rsidP="005F7A0D">
      <w:pPr>
        <w:pStyle w:val="paragraphsub"/>
      </w:pPr>
      <w:r w:rsidRPr="006A4403">
        <w:tab/>
        <w:t>(ii)</w:t>
      </w:r>
      <w:r w:rsidRPr="006A4403">
        <w:tab/>
        <w:t xml:space="preserve"> over a specified period of time; and</w:t>
      </w:r>
    </w:p>
    <w:p w14:paraId="2B87E062" w14:textId="77777777" w:rsidR="005F7A0D" w:rsidRPr="006A4403" w:rsidRDefault="005F7A0D" w:rsidP="005F7A0D">
      <w:pPr>
        <w:pStyle w:val="paragraph"/>
      </w:pPr>
      <w:r w:rsidRPr="006A4403">
        <w:tab/>
        <w:t>(c)</w:t>
      </w:r>
      <w:r w:rsidRPr="006A4403">
        <w:tab/>
        <w:t>in the case of a disclosure consent―allow the CDR consumer to select the person to whom the CDR data may be disclosed; and</w:t>
      </w:r>
    </w:p>
    <w:p w14:paraId="16B7E193" w14:textId="77777777" w:rsidR="005F7A0D" w:rsidRPr="006A4403" w:rsidRDefault="005F7A0D" w:rsidP="005F7A0D">
      <w:pPr>
        <w:pStyle w:val="paragraph"/>
      </w:pPr>
      <w:r w:rsidRPr="006A4403">
        <w:tab/>
        <w:t>(d)</w:t>
      </w:r>
      <w:r w:rsidRPr="006A4403">
        <w:tab/>
        <w:t>ask for the CDR consumer’s express consent to the choices referred to in paragraphs (a), (b) and (c) for each relevant category of consents; and</w:t>
      </w:r>
    </w:p>
    <w:p w14:paraId="2755934E" w14:textId="77777777" w:rsidR="005F7A0D" w:rsidRPr="006A4403" w:rsidRDefault="005F7A0D" w:rsidP="005F7A0D">
      <w:pPr>
        <w:pStyle w:val="paragraph"/>
      </w:pPr>
      <w:r w:rsidRPr="006A4403">
        <w:tab/>
        <w:t>(e)</w:t>
      </w:r>
      <w:r w:rsidRPr="006A4403">
        <w:tab/>
        <w:t>if the CDR representative intends to charge a fee for disclosure of CDR data, or pass on to the CDR consumer a fee charged by a data holder or accredited person for disclosure of CDR data:</w:t>
      </w:r>
    </w:p>
    <w:p w14:paraId="1900D514" w14:textId="77777777" w:rsidR="005F7A0D" w:rsidRPr="006A4403" w:rsidRDefault="005F7A0D" w:rsidP="005F7A0D">
      <w:pPr>
        <w:pStyle w:val="paragraphsub"/>
      </w:pPr>
      <w:r w:rsidRPr="006A4403">
        <w:tab/>
        <w:t>(i)</w:t>
      </w:r>
      <w:r w:rsidRPr="006A4403">
        <w:tab/>
        <w:t>clearly distinguish between the CDR data for which a fee will, and will not, be charged or passed on; and</w:t>
      </w:r>
    </w:p>
    <w:p w14:paraId="4FFB2D84" w14:textId="77777777" w:rsidR="005F7A0D" w:rsidRPr="006A4403" w:rsidRDefault="005F7A0D" w:rsidP="005F7A0D">
      <w:pPr>
        <w:pStyle w:val="paragraphsub"/>
      </w:pPr>
      <w:r w:rsidRPr="006A4403">
        <w:tab/>
        <w:t>(ii)</w:t>
      </w:r>
      <w:r w:rsidRPr="006A4403">
        <w:tab/>
        <w:t>allow the CDR consumer to actively select or otherwise clearly indicate whether they consent to the collection or disclosure, as appropriate, of the CDR data for which a fee will be charged or passed on; and</w:t>
      </w:r>
    </w:p>
    <w:p w14:paraId="720E0534" w14:textId="77777777" w:rsidR="005F7A0D" w:rsidRPr="006A4403" w:rsidRDefault="005F7A0D" w:rsidP="005F7A0D">
      <w:pPr>
        <w:pStyle w:val="paragraph"/>
      </w:pPr>
      <w:r w:rsidRPr="006A4403">
        <w:tab/>
        <w:t>(f)</w:t>
      </w:r>
      <w:r w:rsidRPr="006A4403">
        <w:tab/>
        <w:t>allow the CDR consumer to make an election in relation to deletion of redundant data in accordance with rule 4.20M.</w:t>
      </w:r>
    </w:p>
    <w:p w14:paraId="1EEA9D72" w14:textId="77777777" w:rsidR="005F7A0D" w:rsidRPr="006A4403" w:rsidRDefault="005F7A0D" w:rsidP="005F7A0D">
      <w:pPr>
        <w:pStyle w:val="notetext"/>
      </w:pPr>
      <w:r w:rsidRPr="006A4403">
        <w:t>Example:</w:t>
      </w:r>
      <w:r w:rsidRPr="006A4403">
        <w:tab/>
        <w:t>For a collection consent, a CDR representative could present the CDR consumer with a set of un</w:t>
      </w:r>
      <w:r w:rsidRPr="006A4403">
        <w:noBreakHyphen/>
        <w:t xml:space="preserve">filled boxes corresponding to different types of data, and permit the CDR </w:t>
      </w:r>
      <w:r w:rsidRPr="006A4403">
        <w:lastRenderedPageBreak/>
        <w:t>consumer to select the boxes that correspond to the data they consent to the CDR representative collecting.</w:t>
      </w:r>
    </w:p>
    <w:p w14:paraId="29A6D424" w14:textId="77777777" w:rsidR="005F7A0D" w:rsidRPr="006A4403" w:rsidRDefault="005F7A0D" w:rsidP="005F7A0D">
      <w:pPr>
        <w:pStyle w:val="notetext"/>
      </w:pPr>
      <w:r w:rsidRPr="006A4403">
        <w:t>Note 1:</w:t>
      </w:r>
      <w:r w:rsidRPr="006A4403">
        <w:tab/>
        <w:t>A CDR representative cannot infer consent, or seek to rely on an implied consent.</w:t>
      </w:r>
    </w:p>
    <w:p w14:paraId="002525A0" w14:textId="77777777" w:rsidR="005F7A0D" w:rsidRPr="006A4403" w:rsidRDefault="005F7A0D" w:rsidP="005F7A0D">
      <w:pPr>
        <w:pStyle w:val="notetext"/>
      </w:pPr>
      <w:r w:rsidRPr="006A4403">
        <w:t>Note 2:</w:t>
      </w:r>
      <w:r w:rsidRPr="006A4403">
        <w:tab/>
        <w:t>For paragraph (b), the specified period may not be more than 12 months: see subrule 4.20F(1). After the end of the period, redundant data would need to be dealt with in accordance with subsection 56EO(2) of the Act (privacy safeguard 12) and rules 7.12 and 7.13.</w:t>
      </w:r>
    </w:p>
    <w:p w14:paraId="2C21159C" w14:textId="77777777" w:rsidR="005F7A0D" w:rsidRPr="006A4403" w:rsidRDefault="005F7A0D" w:rsidP="005F7A0D">
      <w:pPr>
        <w:pStyle w:val="notetext"/>
      </w:pPr>
      <w:r w:rsidRPr="006A4403">
        <w:t xml:space="preserve">Note 3: </w:t>
      </w:r>
      <w:r w:rsidRPr="006A4403">
        <w:tab/>
        <w:t>For paragraph (e), a data holder could charge a fee for disclosure of voluntary consumer data, while an accredited data recipient could charge a fee for the disclosure of any CDR data.</w:t>
      </w:r>
    </w:p>
    <w:p w14:paraId="0C46DB24" w14:textId="77777777" w:rsidR="005F7A0D" w:rsidRPr="006A4403" w:rsidRDefault="005F7A0D" w:rsidP="005F7A0D">
      <w:pPr>
        <w:pStyle w:val="subsection"/>
      </w:pPr>
      <w:r w:rsidRPr="006A4403">
        <w:tab/>
        <w:t>(2)</w:t>
      </w:r>
      <w:r w:rsidRPr="006A4403">
        <w:tab/>
        <w:t>The CDR representative must not present pre</w:t>
      </w:r>
      <w:r w:rsidRPr="006A4403">
        <w:noBreakHyphen/>
        <w:t>selected options to the CDR consumer for the purposes of subrule (1).</w:t>
      </w:r>
    </w:p>
    <w:p w14:paraId="1551B14C" w14:textId="77777777" w:rsidR="005F7A0D" w:rsidRPr="006A4403" w:rsidRDefault="005F7A0D" w:rsidP="005F7A0D">
      <w:pPr>
        <w:pStyle w:val="SubsectionHead"/>
      </w:pPr>
      <w:r w:rsidRPr="006A4403">
        <w:t>Information presented to CDR consumer when asking for consent</w:t>
      </w:r>
    </w:p>
    <w:p w14:paraId="7A0B7371" w14:textId="77777777" w:rsidR="005F7A0D" w:rsidRPr="006A4403" w:rsidRDefault="005F7A0D" w:rsidP="005F7A0D">
      <w:pPr>
        <w:pStyle w:val="subsection"/>
      </w:pPr>
      <w:r w:rsidRPr="006A4403">
        <w:tab/>
        <w:t>(3)</w:t>
      </w:r>
      <w:r w:rsidRPr="006A4403">
        <w:tab/>
        <w:t>When asking a CDR consumer to give consent, the CDR representative must give the CDR consumer the following information:</w:t>
      </w:r>
    </w:p>
    <w:p w14:paraId="2458B727" w14:textId="77777777" w:rsidR="005F7A0D" w:rsidRPr="006A4403" w:rsidRDefault="005F7A0D" w:rsidP="005F7A0D">
      <w:pPr>
        <w:pStyle w:val="paragraph"/>
      </w:pPr>
      <w:r w:rsidRPr="006A4403">
        <w:tab/>
        <w:t>(a)</w:t>
      </w:r>
      <w:r w:rsidRPr="006A4403">
        <w:tab/>
        <w:t>its name;</w:t>
      </w:r>
    </w:p>
    <w:p w14:paraId="7A772BCE" w14:textId="77777777" w:rsidR="005F7A0D" w:rsidRPr="006A4403" w:rsidRDefault="005F7A0D" w:rsidP="005F7A0D">
      <w:pPr>
        <w:pStyle w:val="paragraph"/>
      </w:pPr>
      <w:r w:rsidRPr="006A4403">
        <w:tab/>
        <w:t>(b)</w:t>
      </w:r>
      <w:r w:rsidRPr="006A4403">
        <w:tab/>
        <w:t>the fact that the person is a CDR representative and that the CDR data will be collected by its CDR representative principal at its request;</w:t>
      </w:r>
    </w:p>
    <w:p w14:paraId="48D87978" w14:textId="77777777" w:rsidR="005F7A0D" w:rsidRPr="006A4403" w:rsidRDefault="005F7A0D" w:rsidP="005F7A0D">
      <w:pPr>
        <w:pStyle w:val="paragraph"/>
      </w:pPr>
      <w:r w:rsidRPr="006A4403">
        <w:tab/>
        <w:t>(c)</w:t>
      </w:r>
      <w:r w:rsidRPr="006A4403">
        <w:tab/>
        <w:t>if the CDR representative is not located in Australia—the country in which it is located;</w:t>
      </w:r>
    </w:p>
    <w:p w14:paraId="33B8BF58" w14:textId="77777777" w:rsidR="005F7A0D" w:rsidRPr="006A4403" w:rsidRDefault="005F7A0D" w:rsidP="005F7A0D">
      <w:pPr>
        <w:pStyle w:val="paragraph"/>
      </w:pPr>
      <w:r w:rsidRPr="006A4403">
        <w:tab/>
        <w:t>(d)</w:t>
      </w:r>
      <w:r w:rsidRPr="006A4403">
        <w:tab/>
        <w:t>the CDR representative principal’s name;</w:t>
      </w:r>
    </w:p>
    <w:p w14:paraId="51916923" w14:textId="77777777" w:rsidR="005F7A0D" w:rsidRPr="006A4403" w:rsidRDefault="005F7A0D" w:rsidP="005F7A0D">
      <w:pPr>
        <w:pStyle w:val="paragraph"/>
      </w:pPr>
      <w:r w:rsidRPr="006A4403">
        <w:tab/>
        <w:t>(e)</w:t>
      </w:r>
      <w:r w:rsidRPr="006A4403">
        <w:tab/>
        <w:t>the CDR representative principal’s accreditation number;</w:t>
      </w:r>
    </w:p>
    <w:p w14:paraId="527B3935" w14:textId="77777777" w:rsidR="005F7A0D" w:rsidRPr="006A4403" w:rsidRDefault="005F7A0D" w:rsidP="005F7A0D">
      <w:pPr>
        <w:pStyle w:val="paragraph"/>
      </w:pPr>
      <w:r w:rsidRPr="006A4403">
        <w:tab/>
        <w:t>(f)</w:t>
      </w:r>
      <w:r w:rsidRPr="006A4403">
        <w:tab/>
        <w:t>in the case of a collection consent or a use consent―how the collection or use (as applicable) indicated in accordance with subrule (1) complies with the data minimisation principle, including how:</w:t>
      </w:r>
    </w:p>
    <w:p w14:paraId="5C4E89C2" w14:textId="77777777" w:rsidR="005F7A0D" w:rsidRPr="006A4403" w:rsidRDefault="005F7A0D" w:rsidP="005F7A0D">
      <w:pPr>
        <w:pStyle w:val="paragraphsub"/>
      </w:pPr>
      <w:r w:rsidRPr="006A4403">
        <w:tab/>
        <w:t>(i)</w:t>
      </w:r>
      <w:r w:rsidRPr="006A4403">
        <w:tab/>
        <w:t>in the case of a collection consent―that collection is reasonably needed, and relates to no longer a time period than is reasonably needed; and</w:t>
      </w:r>
    </w:p>
    <w:p w14:paraId="4C07B9B5" w14:textId="77777777" w:rsidR="005F7A0D" w:rsidRPr="006A4403" w:rsidRDefault="005F7A0D" w:rsidP="005F7A0D">
      <w:pPr>
        <w:pStyle w:val="paragraphsub"/>
      </w:pPr>
      <w:r w:rsidRPr="006A4403">
        <w:tab/>
        <w:t>(ii)</w:t>
      </w:r>
      <w:r w:rsidRPr="006A4403">
        <w:tab/>
        <w:t>in the case of a use consent―that use would not go beyond what is reasonably needed;</w:t>
      </w:r>
    </w:p>
    <w:p w14:paraId="5F6C339D" w14:textId="77777777" w:rsidR="005F7A0D" w:rsidRPr="006A4403" w:rsidRDefault="005F7A0D" w:rsidP="005F7A0D">
      <w:pPr>
        <w:pStyle w:val="paragraph"/>
      </w:pPr>
      <w:r w:rsidRPr="006A4403">
        <w:tab/>
      </w:r>
      <w:r w:rsidRPr="006A4403">
        <w:tab/>
        <w:t>in order to provide the requested goods or services to the CDR consumer or make the other uses consented to;</w:t>
      </w:r>
    </w:p>
    <w:p w14:paraId="5504E63A" w14:textId="77777777" w:rsidR="005F7A0D" w:rsidRPr="006A4403" w:rsidRDefault="005F7A0D" w:rsidP="005F7A0D">
      <w:pPr>
        <w:pStyle w:val="paragraph"/>
      </w:pPr>
      <w:r w:rsidRPr="006A4403">
        <w:tab/>
        <w:t>(g)</w:t>
      </w:r>
      <w:r w:rsidRPr="006A4403">
        <w:tab/>
        <w:t>in the case of an insight disclosure consent—an explanation of the CDR insight that will make clear to the CDR consumer what the CDR insight would reveal or describe;</w:t>
      </w:r>
    </w:p>
    <w:p w14:paraId="380110E5" w14:textId="77777777" w:rsidR="005F7A0D" w:rsidRPr="006A4403" w:rsidRDefault="005F7A0D" w:rsidP="005F7A0D">
      <w:pPr>
        <w:pStyle w:val="paragraph"/>
      </w:pPr>
      <w:r w:rsidRPr="006A4403">
        <w:tab/>
        <w:t>(h)</w:t>
      </w:r>
      <w:r w:rsidRPr="006A4403">
        <w:tab/>
        <w:t>if the CDR representative intends passing a fee on, or charging a fee, to the CDR consumer as described in paragraph (1)(e)―the following information:</w:t>
      </w:r>
    </w:p>
    <w:p w14:paraId="1BF1E228" w14:textId="77777777" w:rsidR="005F7A0D" w:rsidRPr="006A4403" w:rsidRDefault="005F7A0D" w:rsidP="005F7A0D">
      <w:pPr>
        <w:pStyle w:val="paragraphsub"/>
      </w:pPr>
      <w:r w:rsidRPr="006A4403">
        <w:tab/>
        <w:t>(i)</w:t>
      </w:r>
      <w:r w:rsidRPr="006A4403">
        <w:tab/>
        <w:t>the amount of the fee;</w:t>
      </w:r>
    </w:p>
    <w:p w14:paraId="297DDE84" w14:textId="77777777" w:rsidR="005F7A0D" w:rsidRPr="006A4403" w:rsidRDefault="005F7A0D" w:rsidP="005F7A0D">
      <w:pPr>
        <w:pStyle w:val="paragraphsub"/>
      </w:pPr>
      <w:r w:rsidRPr="006A4403">
        <w:tab/>
        <w:t>(ii)</w:t>
      </w:r>
      <w:r w:rsidRPr="006A4403">
        <w:tab/>
        <w:t>the consequences if the CDR consumer does not consent to the collection, or to the disclosure, of that data;</w:t>
      </w:r>
    </w:p>
    <w:p w14:paraId="5CCE3A74" w14:textId="77777777" w:rsidR="005F7A0D" w:rsidRPr="006A4403" w:rsidRDefault="005F7A0D" w:rsidP="005F7A0D">
      <w:pPr>
        <w:pStyle w:val="paragraph"/>
      </w:pPr>
      <w:r w:rsidRPr="006A4403">
        <w:tab/>
        <w:t>(i)</w:t>
      </w:r>
      <w:r w:rsidRPr="006A4403">
        <w:tab/>
        <w:t>if the CDR representative is seeking a de</w:t>
      </w:r>
      <w:r w:rsidRPr="006A4403">
        <w:noBreakHyphen/>
        <w:t>identification consent—the additional information specified in rule 4.20L;</w:t>
      </w:r>
    </w:p>
    <w:p w14:paraId="6EA55F6F" w14:textId="77777777" w:rsidR="005F7A0D" w:rsidRPr="006A4403" w:rsidRDefault="005F7A0D" w:rsidP="005F7A0D">
      <w:pPr>
        <w:pStyle w:val="paragraph"/>
      </w:pPr>
      <w:r w:rsidRPr="006A4403">
        <w:tab/>
        <w:t>(j)</w:t>
      </w:r>
      <w:r w:rsidRPr="006A4403">
        <w:tab/>
        <w:t>a link to the CDR representative principal’s CDR policy;</w:t>
      </w:r>
    </w:p>
    <w:p w14:paraId="594B29B9" w14:textId="77777777" w:rsidR="005F7A0D" w:rsidRPr="006A4403" w:rsidRDefault="005F7A0D" w:rsidP="005F7A0D">
      <w:pPr>
        <w:pStyle w:val="paragraph"/>
      </w:pPr>
      <w:r w:rsidRPr="006A4403">
        <w:tab/>
        <w:t>(k)</w:t>
      </w:r>
      <w:r w:rsidRPr="006A4403">
        <w:tab/>
        <w:t>if the CDR data may be disclosed to, or collected by, a direct or indirect OSP (including one that is based overseas) of the CDR representative or of the CDR representative principal—a statement of that fact;</w:t>
      </w:r>
    </w:p>
    <w:p w14:paraId="338C768C" w14:textId="77777777" w:rsidR="005F7A0D" w:rsidRPr="006A4403" w:rsidRDefault="005F7A0D" w:rsidP="005F7A0D">
      <w:pPr>
        <w:pStyle w:val="paragraph"/>
      </w:pPr>
      <w:r w:rsidRPr="006A4403">
        <w:lastRenderedPageBreak/>
        <w:tab/>
        <w:t>(l)</w:t>
      </w:r>
      <w:r w:rsidRPr="006A4403">
        <w:tab/>
        <w:t>a statement that the CDR consumer can obtain further information about the collections or disclosures for which consent is requested from the CDR representative principal’s CDR policy if desired;</w:t>
      </w:r>
    </w:p>
    <w:p w14:paraId="2EACB89E" w14:textId="77777777" w:rsidR="005F7A0D" w:rsidRPr="006A4403" w:rsidRDefault="005F7A0D" w:rsidP="005F7A0D">
      <w:pPr>
        <w:pStyle w:val="paragraph"/>
      </w:pPr>
      <w:r w:rsidRPr="006A4403">
        <w:tab/>
        <w:t>(m)</w:t>
      </w:r>
      <w:r w:rsidRPr="006A4403">
        <w:tab/>
        <w:t>the following information about withdrawal of consents:</w:t>
      </w:r>
    </w:p>
    <w:p w14:paraId="3333647C" w14:textId="77777777" w:rsidR="005F7A0D" w:rsidRPr="006A4403" w:rsidRDefault="005F7A0D" w:rsidP="005F7A0D">
      <w:pPr>
        <w:pStyle w:val="paragraphsub"/>
      </w:pPr>
      <w:r w:rsidRPr="006A4403">
        <w:tab/>
        <w:t>(i)</w:t>
      </w:r>
      <w:r w:rsidRPr="006A4403">
        <w:tab/>
        <w:t>a statement that, at any time, the consent can be withdrawn;</w:t>
      </w:r>
    </w:p>
    <w:p w14:paraId="55A2AFC7" w14:textId="77777777" w:rsidR="005F7A0D" w:rsidRPr="006A4403" w:rsidRDefault="005F7A0D" w:rsidP="005F7A0D">
      <w:pPr>
        <w:pStyle w:val="paragraphsub"/>
      </w:pPr>
      <w:r w:rsidRPr="006A4403">
        <w:tab/>
        <w:t>(ii)</w:t>
      </w:r>
      <w:r w:rsidRPr="006A4403">
        <w:tab/>
        <w:t>instructions for how the consent can be withdrawn;</w:t>
      </w:r>
    </w:p>
    <w:p w14:paraId="5D3E511D" w14:textId="77777777" w:rsidR="005F7A0D" w:rsidRPr="006A4403" w:rsidRDefault="005F7A0D" w:rsidP="005F7A0D">
      <w:pPr>
        <w:pStyle w:val="paragraphsub"/>
      </w:pPr>
      <w:r w:rsidRPr="006A4403">
        <w:tab/>
        <w:t>(iii)</w:t>
      </w:r>
      <w:r w:rsidRPr="006A4403">
        <w:tab/>
        <w:t>a statement indicating the consequences (if any) to the CDR consumer if they withdraw the consent;</w:t>
      </w:r>
    </w:p>
    <w:p w14:paraId="3ABAADFC" w14:textId="77777777" w:rsidR="005F7A0D" w:rsidRPr="006A4403" w:rsidRDefault="005F7A0D" w:rsidP="005F7A0D">
      <w:pPr>
        <w:pStyle w:val="paragraph"/>
      </w:pPr>
      <w:r w:rsidRPr="006A4403">
        <w:tab/>
        <w:t>(n)</w:t>
      </w:r>
      <w:r w:rsidRPr="006A4403">
        <w:tab/>
        <w:t>the following information about redundant data:</w:t>
      </w:r>
    </w:p>
    <w:p w14:paraId="26B17E55" w14:textId="77777777" w:rsidR="005F7A0D" w:rsidRPr="006A4403" w:rsidRDefault="005F7A0D" w:rsidP="005F7A0D">
      <w:pPr>
        <w:pStyle w:val="paragraphsub"/>
      </w:pPr>
      <w:r w:rsidRPr="006A4403">
        <w:tab/>
        <w:t>(i)</w:t>
      </w:r>
      <w:r w:rsidRPr="006A4403">
        <w:tab/>
        <w:t>a statement, in accordance with rule 4.20N, regarding the CDR representative’s intended treatment of redundant data;</w:t>
      </w:r>
    </w:p>
    <w:p w14:paraId="024837EF" w14:textId="77777777" w:rsidR="005F7A0D" w:rsidRPr="006A4403" w:rsidRDefault="005F7A0D" w:rsidP="005F7A0D">
      <w:pPr>
        <w:pStyle w:val="paragraphsub"/>
      </w:pPr>
      <w:r w:rsidRPr="006A4403">
        <w:tab/>
        <w:t>(ii)</w:t>
      </w:r>
      <w:r w:rsidRPr="006A4403">
        <w:tab/>
        <w:t>a statement outlining the CDR consumer’s right to elect that their redundant data be deleted;</w:t>
      </w:r>
    </w:p>
    <w:p w14:paraId="27967004" w14:textId="77777777" w:rsidR="005F7A0D" w:rsidRPr="006A4403" w:rsidRDefault="005F7A0D" w:rsidP="005F7A0D">
      <w:pPr>
        <w:pStyle w:val="paragraphsub"/>
      </w:pPr>
      <w:r w:rsidRPr="006A4403">
        <w:tab/>
        <w:t>(iii)</w:t>
      </w:r>
      <w:r w:rsidRPr="006A4403">
        <w:tab/>
        <w:t>instructions for how the election can be made.</w:t>
      </w:r>
    </w:p>
    <w:p w14:paraId="51541907" w14:textId="77777777" w:rsidR="005F7A0D" w:rsidRPr="006A4403" w:rsidRDefault="005F7A0D" w:rsidP="005F7A0D">
      <w:pPr>
        <w:pStyle w:val="notetext"/>
      </w:pPr>
      <w:r w:rsidRPr="006A4403">
        <w:t xml:space="preserve">Note: </w:t>
      </w:r>
      <w:r w:rsidRPr="006A4403">
        <w:tab/>
        <w:t>For paragraph (b), if the CDR representative is seeking the CDR consumer’s consent to de</w:t>
      </w:r>
      <w:r w:rsidRPr="006A4403">
        <w:noBreakHyphen/>
        <w:t>identification as referred to in paragraph (i), the CDR representative would need to indicate how that would comply with the data minimisation principle.</w:t>
      </w:r>
    </w:p>
    <w:p w14:paraId="22510EA4" w14:textId="77777777" w:rsidR="005F7A0D" w:rsidRPr="006A4403" w:rsidRDefault="005F7A0D" w:rsidP="005F7A0D">
      <w:pPr>
        <w:pStyle w:val="ActHead5"/>
      </w:pPr>
      <w:bookmarkStart w:id="184" w:name="_Toc121497413"/>
      <w:bookmarkStart w:id="185" w:name="_Toc135295294"/>
      <w:r w:rsidRPr="006A4403">
        <w:t>4.20</w:t>
      </w:r>
      <w:r w:rsidRPr="006A4403">
        <w:rPr>
          <w:noProof/>
        </w:rPr>
        <w:t>F</w:t>
      </w:r>
      <w:r w:rsidRPr="006A4403">
        <w:t xml:space="preserve">  Restrictions on seeking consent</w:t>
      </w:r>
      <w:bookmarkEnd w:id="184"/>
      <w:bookmarkEnd w:id="185"/>
    </w:p>
    <w:p w14:paraId="1AAB6F0A" w14:textId="77777777" w:rsidR="005F7A0D" w:rsidRPr="006A4403" w:rsidRDefault="005F7A0D" w:rsidP="005F7A0D">
      <w:pPr>
        <w:pStyle w:val="subsection"/>
        <w:rPr>
          <w:szCs w:val="22"/>
          <w:shd w:val="clear" w:color="auto" w:fill="FFFFFF"/>
        </w:rPr>
      </w:pPr>
      <w:bookmarkStart w:id="186" w:name="_Hlk120782611"/>
      <w:r w:rsidRPr="006A4403">
        <w:rPr>
          <w:szCs w:val="22"/>
          <w:shd w:val="clear" w:color="auto" w:fill="FFFFFF"/>
        </w:rPr>
        <w:tab/>
        <w:t>(1)</w:t>
      </w:r>
      <w:r w:rsidRPr="006A4403">
        <w:rPr>
          <w:szCs w:val="22"/>
          <w:shd w:val="clear" w:color="auto" w:fill="FFFFFF"/>
        </w:rPr>
        <w:tab/>
        <w:t>A CDR representative must not specify a period of time for the purposes of paragraph 4.11(1)(b) that is more than 12 months.</w:t>
      </w:r>
    </w:p>
    <w:bookmarkEnd w:id="186"/>
    <w:p w14:paraId="3DCF94B8" w14:textId="77777777" w:rsidR="005F7A0D" w:rsidRPr="006A4403" w:rsidRDefault="005F7A0D" w:rsidP="005F7A0D">
      <w:pPr>
        <w:pStyle w:val="subsection"/>
      </w:pPr>
      <w:r w:rsidRPr="006A4403">
        <w:tab/>
        <w:t>(2)</w:t>
      </w:r>
      <w:r w:rsidRPr="006A4403">
        <w:tab/>
        <w:t>A CDR representative must not ask for a collection consent or a use consent unless it would comply with the data minimisation principle in respect of that collection or those uses.</w:t>
      </w:r>
    </w:p>
    <w:p w14:paraId="5F8938A0" w14:textId="77777777" w:rsidR="005F7A0D" w:rsidRPr="006A4403" w:rsidRDefault="005F7A0D" w:rsidP="005F7A0D">
      <w:pPr>
        <w:pStyle w:val="notetext"/>
      </w:pPr>
      <w:r w:rsidRPr="006A4403">
        <w:t>Note:</w:t>
      </w:r>
      <w:r w:rsidRPr="006A4403">
        <w:tab/>
        <w:t>See rule 1.8 for the definition of “data minimisation principle”.</w:t>
      </w:r>
    </w:p>
    <w:p w14:paraId="2E4E2D8A" w14:textId="77777777" w:rsidR="005F7A0D" w:rsidRPr="006A4403" w:rsidRDefault="005F7A0D" w:rsidP="005F7A0D">
      <w:pPr>
        <w:pStyle w:val="subsection"/>
      </w:pPr>
      <w:r w:rsidRPr="006A4403">
        <w:t xml:space="preserve"> </w:t>
      </w:r>
      <w:r w:rsidRPr="006A4403">
        <w:tab/>
        <w:t>(3)</w:t>
      </w:r>
      <w:r w:rsidRPr="006A4403">
        <w:tab/>
        <w:t>A CDR representative must not ask for a consent:</w:t>
      </w:r>
    </w:p>
    <w:p w14:paraId="0835D1B1" w14:textId="77777777" w:rsidR="005F7A0D" w:rsidRPr="006A4403" w:rsidRDefault="005F7A0D" w:rsidP="005F7A0D">
      <w:pPr>
        <w:pStyle w:val="paragraph"/>
      </w:pPr>
      <w:r w:rsidRPr="006A4403">
        <w:tab/>
        <w:t>(a)</w:t>
      </w:r>
      <w:r w:rsidRPr="006A4403">
        <w:tab/>
        <w:t>that is not in a category of consents; or</w:t>
      </w:r>
    </w:p>
    <w:p w14:paraId="13BA1C84" w14:textId="77777777" w:rsidR="005F7A0D" w:rsidRPr="006A4403" w:rsidRDefault="005F7A0D" w:rsidP="005F7A0D">
      <w:pPr>
        <w:pStyle w:val="paragraph"/>
      </w:pPr>
      <w:r w:rsidRPr="006A4403">
        <w:tab/>
        <w:t>(b)</w:t>
      </w:r>
      <w:r w:rsidRPr="006A4403">
        <w:tab/>
        <w:t>subject to subrule (4), for using the CDR data, including by aggregating the data, for the purpose of:</w:t>
      </w:r>
    </w:p>
    <w:p w14:paraId="65E4A3AE" w14:textId="77777777" w:rsidR="005F7A0D" w:rsidRPr="006A4403" w:rsidRDefault="005F7A0D" w:rsidP="005F7A0D">
      <w:pPr>
        <w:pStyle w:val="paragraphsub"/>
      </w:pPr>
      <w:r w:rsidRPr="006A4403">
        <w:tab/>
        <w:t>(i)</w:t>
      </w:r>
      <w:r w:rsidRPr="006A4403">
        <w:tab/>
        <w:t>identifying; or</w:t>
      </w:r>
    </w:p>
    <w:p w14:paraId="0F683F1A" w14:textId="77777777" w:rsidR="005F7A0D" w:rsidRPr="006A4403" w:rsidRDefault="005F7A0D" w:rsidP="005F7A0D">
      <w:pPr>
        <w:pStyle w:val="paragraphsub"/>
      </w:pPr>
      <w:r w:rsidRPr="006A4403">
        <w:tab/>
        <w:t>(ii)</w:t>
      </w:r>
      <w:r w:rsidRPr="006A4403">
        <w:tab/>
        <w:t>compiling insights in relation to; or</w:t>
      </w:r>
    </w:p>
    <w:p w14:paraId="2D4989B6" w14:textId="77777777" w:rsidR="005F7A0D" w:rsidRPr="006A4403" w:rsidRDefault="005F7A0D" w:rsidP="005F7A0D">
      <w:pPr>
        <w:pStyle w:val="paragraphsub"/>
      </w:pPr>
      <w:r w:rsidRPr="006A4403">
        <w:tab/>
        <w:t>(iii)</w:t>
      </w:r>
      <w:r w:rsidRPr="006A4403">
        <w:tab/>
        <w:t>building a profile in relation to;</w:t>
      </w:r>
    </w:p>
    <w:p w14:paraId="7934C69B" w14:textId="77777777" w:rsidR="005F7A0D" w:rsidRPr="006A4403" w:rsidRDefault="005F7A0D" w:rsidP="005F7A0D">
      <w:pPr>
        <w:pStyle w:val="paragraph"/>
      </w:pPr>
      <w:r w:rsidRPr="006A4403">
        <w:tab/>
      </w:r>
      <w:r w:rsidRPr="006A4403">
        <w:tab/>
        <w:t>any identifiable person who is not the CDR consumer who made the consumer data request.</w:t>
      </w:r>
    </w:p>
    <w:p w14:paraId="78B4310D" w14:textId="77777777" w:rsidR="005F7A0D" w:rsidRPr="006A4403" w:rsidRDefault="005F7A0D" w:rsidP="005F7A0D">
      <w:pPr>
        <w:pStyle w:val="subsection"/>
      </w:pPr>
      <w:r w:rsidRPr="006A4403">
        <w:tab/>
        <w:t>(4)</w:t>
      </w:r>
      <w:r w:rsidRPr="006A4403">
        <w:tab/>
        <w:t>Paragraph (3)(b) does not apply in relation to a person whose identity is readily apparent from the CDR data, if the CDR representative is seeking consent to:</w:t>
      </w:r>
    </w:p>
    <w:p w14:paraId="33CAAC98" w14:textId="77777777" w:rsidR="005F7A0D" w:rsidRPr="006A4403" w:rsidRDefault="005F7A0D" w:rsidP="005F7A0D">
      <w:pPr>
        <w:pStyle w:val="paragraph"/>
      </w:pPr>
      <w:r w:rsidRPr="006A4403">
        <w:tab/>
        <w:t>(a)</w:t>
      </w:r>
      <w:r w:rsidRPr="006A4403">
        <w:tab/>
        <w:t>derive, from that CDR data, CDR data about that person’s interactions with the CDR consumer; and</w:t>
      </w:r>
    </w:p>
    <w:p w14:paraId="014C1A37" w14:textId="77777777" w:rsidR="005F7A0D" w:rsidRPr="006A4403" w:rsidRDefault="005F7A0D" w:rsidP="005F7A0D">
      <w:pPr>
        <w:pStyle w:val="paragraph"/>
      </w:pPr>
      <w:r w:rsidRPr="006A4403">
        <w:tab/>
        <w:t>(b)</w:t>
      </w:r>
      <w:r w:rsidRPr="006A4403">
        <w:tab/>
        <w:t>use that derived CDR data in order to provide the requested goods or services.</w:t>
      </w:r>
    </w:p>
    <w:p w14:paraId="5F965F09" w14:textId="77777777" w:rsidR="005F7A0D" w:rsidRPr="006A4403" w:rsidRDefault="005F7A0D" w:rsidP="005F7A0D">
      <w:pPr>
        <w:pStyle w:val="ActHead4"/>
      </w:pPr>
      <w:bookmarkStart w:id="187" w:name="_Toc121497414"/>
      <w:bookmarkStart w:id="188" w:name="_Toc135295295"/>
      <w:r w:rsidRPr="006A4403">
        <w:t>Subdivision 4.3A.3—Amending consents</w:t>
      </w:r>
      <w:bookmarkEnd w:id="187"/>
      <w:bookmarkEnd w:id="188"/>
    </w:p>
    <w:p w14:paraId="26C8B8CF" w14:textId="77777777" w:rsidR="005F7A0D" w:rsidRPr="006A4403" w:rsidRDefault="005F7A0D" w:rsidP="005F7A0D">
      <w:pPr>
        <w:pStyle w:val="ActHead5"/>
      </w:pPr>
      <w:bookmarkStart w:id="189" w:name="_Toc121497415"/>
      <w:bookmarkStart w:id="190" w:name="_Toc135295296"/>
      <w:r w:rsidRPr="006A4403">
        <w:t>4.20</w:t>
      </w:r>
      <w:r w:rsidRPr="006A4403">
        <w:rPr>
          <w:noProof/>
        </w:rPr>
        <w:t>G</w:t>
      </w:r>
      <w:r w:rsidRPr="006A4403">
        <w:t xml:space="preserve">  Amendment of consent</w:t>
      </w:r>
      <w:bookmarkEnd w:id="189"/>
      <w:bookmarkEnd w:id="190"/>
    </w:p>
    <w:p w14:paraId="7D66A8A6" w14:textId="77777777" w:rsidR="005F7A0D" w:rsidRPr="006A4403" w:rsidRDefault="005F7A0D" w:rsidP="005F7A0D">
      <w:pPr>
        <w:pStyle w:val="subsection"/>
      </w:pPr>
      <w:r w:rsidRPr="006A4403">
        <w:tab/>
      </w:r>
      <w:r w:rsidRPr="006A4403">
        <w:tab/>
        <w:t>An amendment of a consent takes effect when the CDR consumer amends the consent.</w:t>
      </w:r>
    </w:p>
    <w:p w14:paraId="6660E522" w14:textId="77777777" w:rsidR="005F7A0D" w:rsidRPr="006A4403" w:rsidRDefault="005F7A0D" w:rsidP="005F7A0D">
      <w:pPr>
        <w:pStyle w:val="notetext"/>
      </w:pPr>
      <w:r w:rsidRPr="006A4403">
        <w:lastRenderedPageBreak/>
        <w:t>Note:</w:t>
      </w:r>
      <w:r w:rsidRPr="006A4403">
        <w:tab/>
        <w:t>It is not possible for the CDR consumer to specify a different day or time.</w:t>
      </w:r>
    </w:p>
    <w:p w14:paraId="2E433ADF" w14:textId="77777777" w:rsidR="005F7A0D" w:rsidRPr="006A4403" w:rsidRDefault="005F7A0D" w:rsidP="005F7A0D">
      <w:pPr>
        <w:pStyle w:val="ActHead5"/>
      </w:pPr>
      <w:bookmarkStart w:id="191" w:name="_Toc121497416"/>
      <w:bookmarkStart w:id="192" w:name="_Toc135295297"/>
      <w:r w:rsidRPr="006A4403">
        <w:t>4.20</w:t>
      </w:r>
      <w:r w:rsidRPr="006A4403">
        <w:rPr>
          <w:noProof/>
        </w:rPr>
        <w:t>H</w:t>
      </w:r>
      <w:r w:rsidRPr="006A4403">
        <w:t xml:space="preserve">  Inviting CDR consumer to amend consent</w:t>
      </w:r>
      <w:bookmarkEnd w:id="191"/>
      <w:bookmarkEnd w:id="192"/>
    </w:p>
    <w:p w14:paraId="6436379B" w14:textId="77777777" w:rsidR="005F7A0D" w:rsidRPr="006A4403" w:rsidRDefault="005F7A0D" w:rsidP="005F7A0D">
      <w:pPr>
        <w:pStyle w:val="subsection"/>
      </w:pPr>
      <w:r w:rsidRPr="006A4403">
        <w:tab/>
        <w:t>(1)</w:t>
      </w:r>
      <w:r w:rsidRPr="006A4403">
        <w:tab/>
        <w:t>A CDR representative may invite a CDR consumer to amend a consent given in accordance with this Division only in accordance with this rule.</w:t>
      </w:r>
    </w:p>
    <w:p w14:paraId="0F0010CD" w14:textId="77777777" w:rsidR="005F7A0D" w:rsidRPr="006A4403" w:rsidRDefault="005F7A0D" w:rsidP="005F7A0D">
      <w:pPr>
        <w:pStyle w:val="subsection"/>
      </w:pPr>
      <w:r w:rsidRPr="006A4403">
        <w:tab/>
        <w:t>(2)</w:t>
      </w:r>
      <w:r w:rsidRPr="006A4403">
        <w:tab/>
        <w:t>The CDR representative may give the invitation:</w:t>
      </w:r>
    </w:p>
    <w:p w14:paraId="109133A2" w14:textId="77777777" w:rsidR="005F7A0D" w:rsidRPr="006A4403" w:rsidRDefault="005F7A0D" w:rsidP="005F7A0D">
      <w:pPr>
        <w:pStyle w:val="paragraph"/>
      </w:pPr>
      <w:r w:rsidRPr="006A4403">
        <w:tab/>
        <w:t>(a)</w:t>
      </w:r>
      <w:r w:rsidRPr="006A4403">
        <w:tab/>
        <w:t>if the CDR representative principal’s consumer dashboard offers the consent amendment functionality referred to in subrule 1.14(2A)―via the consumer dashboard; or</w:t>
      </w:r>
    </w:p>
    <w:p w14:paraId="2D76994E" w14:textId="77777777" w:rsidR="005F7A0D" w:rsidRPr="006A4403" w:rsidRDefault="005F7A0D" w:rsidP="005F7A0D">
      <w:pPr>
        <w:pStyle w:val="paragraph"/>
      </w:pPr>
      <w:r w:rsidRPr="006A4403">
        <w:tab/>
        <w:t>(b)</w:t>
      </w:r>
      <w:r w:rsidRPr="006A4403">
        <w:tab/>
        <w:t>in writing directly to the CDR consumer.</w:t>
      </w:r>
    </w:p>
    <w:p w14:paraId="39E41BCE" w14:textId="77777777" w:rsidR="005F7A0D" w:rsidRPr="006A4403" w:rsidRDefault="005F7A0D" w:rsidP="005F7A0D">
      <w:pPr>
        <w:pStyle w:val="notetext"/>
      </w:pPr>
      <w:r w:rsidRPr="006A4403">
        <w:t>Note:</w:t>
      </w:r>
      <w:r w:rsidRPr="006A4403">
        <w:tab/>
        <w:t>The CDR representative principal may allow the CDR representative to provide the consumer dashboard on its behalf—see subrule 1.14(5).</w:t>
      </w:r>
    </w:p>
    <w:p w14:paraId="7F0B78D6" w14:textId="77777777" w:rsidR="005F7A0D" w:rsidRPr="006A4403" w:rsidRDefault="005F7A0D" w:rsidP="005F7A0D">
      <w:pPr>
        <w:pStyle w:val="subsection"/>
        <w:rPr>
          <w:sz w:val="24"/>
        </w:rPr>
      </w:pPr>
      <w:r w:rsidRPr="006A4403">
        <w:tab/>
        <w:t>(3)</w:t>
      </w:r>
      <w:r w:rsidRPr="006A4403">
        <w:tab/>
        <w:t>The CDR representative may invite a CDR consumer to amend a current consent if:</w:t>
      </w:r>
    </w:p>
    <w:p w14:paraId="7627A31F" w14:textId="77777777" w:rsidR="005F7A0D" w:rsidRPr="006A4403" w:rsidRDefault="005F7A0D" w:rsidP="005F7A0D">
      <w:pPr>
        <w:pStyle w:val="paragraph"/>
      </w:pPr>
      <w:r w:rsidRPr="006A4403">
        <w:tab/>
        <w:t>(a)</w:t>
      </w:r>
      <w:r w:rsidRPr="006A4403">
        <w:tab/>
        <w:t xml:space="preserve">the amendment would better enable the CDR representative to provide the goods or services referred to in paragraph 4.3A(1)(a); or </w:t>
      </w:r>
    </w:p>
    <w:p w14:paraId="69A9E65A" w14:textId="77777777" w:rsidR="005F7A0D" w:rsidRPr="006A4403" w:rsidRDefault="005F7A0D" w:rsidP="005F7A0D">
      <w:pPr>
        <w:pStyle w:val="paragraph"/>
        <w:rPr>
          <w:sz w:val="20"/>
        </w:rPr>
      </w:pPr>
      <w:r w:rsidRPr="006A4403">
        <w:tab/>
        <w:t>(b)</w:t>
      </w:r>
      <w:r w:rsidRPr="006A4403">
        <w:tab/>
        <w:t>the amendment would:</w:t>
      </w:r>
    </w:p>
    <w:p w14:paraId="35F701E8" w14:textId="77777777" w:rsidR="005F7A0D" w:rsidRPr="006A4403" w:rsidRDefault="005F7A0D" w:rsidP="005F7A0D">
      <w:pPr>
        <w:pStyle w:val="paragraphsub"/>
      </w:pPr>
      <w:r w:rsidRPr="006A4403">
        <w:tab/>
        <w:t>(i)</w:t>
      </w:r>
      <w:r w:rsidRPr="006A4403">
        <w:tab/>
        <w:t>be consequential to an agreement between the CDR representative and the CDR consumer to modify those goods or services; and</w:t>
      </w:r>
    </w:p>
    <w:p w14:paraId="6010FABE" w14:textId="77777777" w:rsidR="005F7A0D" w:rsidRPr="006A4403" w:rsidRDefault="005F7A0D" w:rsidP="005F7A0D">
      <w:pPr>
        <w:pStyle w:val="paragraphsub"/>
      </w:pPr>
      <w:r w:rsidRPr="006A4403">
        <w:tab/>
        <w:t>(ii)</w:t>
      </w:r>
      <w:r w:rsidRPr="006A4403">
        <w:tab/>
        <w:t>enable the CDR representative to provide the modified goods or services. </w:t>
      </w:r>
    </w:p>
    <w:p w14:paraId="06704696" w14:textId="77777777" w:rsidR="005F7A0D" w:rsidRPr="006A4403" w:rsidRDefault="005F7A0D" w:rsidP="005F7A0D">
      <w:pPr>
        <w:pStyle w:val="subsection"/>
      </w:pPr>
      <w:r w:rsidRPr="006A4403">
        <w:tab/>
        <w:t>(4)</w:t>
      </w:r>
      <w:r w:rsidRPr="006A4403">
        <w:tab/>
        <w:t>The CDR representative must not, for an invitation to amend the period referred to in paragraph 4.20E(1)(b):</w:t>
      </w:r>
    </w:p>
    <w:p w14:paraId="1C5089C3" w14:textId="77777777" w:rsidR="005F7A0D" w:rsidRPr="006A4403" w:rsidRDefault="005F7A0D" w:rsidP="005F7A0D">
      <w:pPr>
        <w:pStyle w:val="paragraph"/>
      </w:pPr>
      <w:r w:rsidRPr="006A4403">
        <w:tab/>
        <w:t>(a)</w:t>
      </w:r>
      <w:r w:rsidRPr="006A4403">
        <w:tab/>
        <w:t>give the invitation any earlier than a reasonable period before the current consent is expected to expire; or</w:t>
      </w:r>
    </w:p>
    <w:p w14:paraId="58C1CA31" w14:textId="77777777" w:rsidR="005F7A0D" w:rsidRPr="006A4403" w:rsidRDefault="005F7A0D" w:rsidP="005F7A0D">
      <w:pPr>
        <w:pStyle w:val="paragraph"/>
      </w:pPr>
      <w:r w:rsidRPr="006A4403">
        <w:tab/>
        <w:t>(b)</w:t>
      </w:r>
      <w:r w:rsidRPr="006A4403">
        <w:tab/>
        <w:t>give more than a reasonable number of such invitations within this period.</w:t>
      </w:r>
    </w:p>
    <w:p w14:paraId="1D76972A" w14:textId="77777777" w:rsidR="005F7A0D" w:rsidRPr="006A4403" w:rsidRDefault="005F7A0D" w:rsidP="005F7A0D">
      <w:pPr>
        <w:pStyle w:val="ActHead5"/>
      </w:pPr>
      <w:bookmarkStart w:id="193" w:name="_Toc121497417"/>
      <w:bookmarkStart w:id="194" w:name="_Toc135295298"/>
      <w:r w:rsidRPr="006A4403">
        <w:t>4.20</w:t>
      </w:r>
      <w:r w:rsidRPr="006A4403">
        <w:rPr>
          <w:noProof/>
        </w:rPr>
        <w:t>I</w:t>
      </w:r>
      <w:r w:rsidRPr="006A4403">
        <w:t xml:space="preserve">  Process for amending consent</w:t>
      </w:r>
      <w:bookmarkEnd w:id="193"/>
      <w:bookmarkEnd w:id="194"/>
    </w:p>
    <w:p w14:paraId="6991E62B" w14:textId="77777777" w:rsidR="005F7A0D" w:rsidRPr="006A4403" w:rsidRDefault="005F7A0D" w:rsidP="005F7A0D">
      <w:pPr>
        <w:pStyle w:val="subsection"/>
      </w:pPr>
      <w:r w:rsidRPr="006A4403">
        <w:tab/>
        <w:t>(1)</w:t>
      </w:r>
      <w:r w:rsidRPr="006A4403">
        <w:tab/>
        <w:t>Subject to this rule, if a CDR representative allows CDR consumers to amend consents, it must allow them to do so in the same manner that it asks for CDR consumers to give consents.</w:t>
      </w:r>
    </w:p>
    <w:p w14:paraId="1D37FD81" w14:textId="77777777" w:rsidR="005F7A0D" w:rsidRPr="006A4403" w:rsidRDefault="005F7A0D" w:rsidP="005F7A0D">
      <w:pPr>
        <w:pStyle w:val="subsection"/>
      </w:pPr>
      <w:r w:rsidRPr="006A4403">
        <w:tab/>
        <w:t>(2)</w:t>
      </w:r>
      <w:r w:rsidRPr="006A4403">
        <w:tab/>
        <w:t>Despite subrule 4.20E(2), in the case of an amendment to a consent, a CDR representative may present, as pre</w:t>
      </w:r>
      <w:r w:rsidRPr="006A4403">
        <w:noBreakHyphen/>
        <w:t>selected options, the following details of the current consent:</w:t>
      </w:r>
    </w:p>
    <w:p w14:paraId="0804F756" w14:textId="77777777" w:rsidR="005F7A0D" w:rsidRPr="006A4403" w:rsidRDefault="005F7A0D" w:rsidP="005F7A0D">
      <w:pPr>
        <w:pStyle w:val="paragraph"/>
      </w:pPr>
      <w:r w:rsidRPr="006A4403">
        <w:tab/>
        <w:t>(a)</w:t>
      </w:r>
      <w:r w:rsidRPr="006A4403">
        <w:tab/>
        <w:t>the selections or indications referred to in paragraphs 4.20E(1)(a), (b) and (c);</w:t>
      </w:r>
    </w:p>
    <w:p w14:paraId="41915DEE" w14:textId="77777777" w:rsidR="005F7A0D" w:rsidRPr="006A4403" w:rsidRDefault="005F7A0D" w:rsidP="005F7A0D">
      <w:pPr>
        <w:pStyle w:val="paragraph"/>
      </w:pPr>
      <w:r w:rsidRPr="006A4403">
        <w:tab/>
        <w:t>(b)</w:t>
      </w:r>
      <w:r w:rsidRPr="006A4403">
        <w:tab/>
        <w:t>the election (if any) referred to in paragraph 4.20E(1)(f).</w:t>
      </w:r>
    </w:p>
    <w:p w14:paraId="00CD5C71" w14:textId="77777777" w:rsidR="005F7A0D" w:rsidRPr="006A4403" w:rsidRDefault="005F7A0D" w:rsidP="005F7A0D">
      <w:pPr>
        <w:pStyle w:val="subsection"/>
      </w:pPr>
      <w:r w:rsidRPr="006A4403">
        <w:tab/>
        <w:t>(3)</w:t>
      </w:r>
      <w:r w:rsidRPr="006A4403">
        <w:tab/>
        <w:t>In the case of an amendment to a consent, in addition to the information referred to in subrule 4.20E(3), the CDR representative must give the CDR consumer:</w:t>
      </w:r>
    </w:p>
    <w:p w14:paraId="615FFA85" w14:textId="77777777" w:rsidR="005F7A0D" w:rsidRPr="006A4403" w:rsidRDefault="005F7A0D" w:rsidP="005F7A0D">
      <w:pPr>
        <w:pStyle w:val="paragraph"/>
      </w:pPr>
      <w:r w:rsidRPr="006A4403">
        <w:tab/>
        <w:t>(a)</w:t>
      </w:r>
      <w:r w:rsidRPr="006A4403">
        <w:tab/>
        <w:t>a statement that indicates the consequences of amending a consent; and</w:t>
      </w:r>
    </w:p>
    <w:p w14:paraId="3A1AA53F" w14:textId="77777777" w:rsidR="005F7A0D" w:rsidRPr="006A4403" w:rsidRDefault="005F7A0D" w:rsidP="005F7A0D">
      <w:pPr>
        <w:pStyle w:val="paragraph"/>
      </w:pPr>
      <w:r w:rsidRPr="006A4403">
        <w:tab/>
        <w:t>(b)</w:t>
      </w:r>
      <w:r w:rsidRPr="006A4403">
        <w:tab/>
        <w:t>a statement that the CDR representative will be able to continue to use any CDR data that has already been disclosed to it to the extent allowed by the amended consent.</w:t>
      </w:r>
    </w:p>
    <w:p w14:paraId="2B423A87" w14:textId="77777777" w:rsidR="005F7A0D" w:rsidRPr="006A4403" w:rsidRDefault="005F7A0D" w:rsidP="005F7A0D">
      <w:pPr>
        <w:pStyle w:val="ActHead4"/>
      </w:pPr>
      <w:bookmarkStart w:id="195" w:name="_Toc121497418"/>
      <w:bookmarkStart w:id="196" w:name="_Toc135295299"/>
      <w:r w:rsidRPr="006A4403">
        <w:lastRenderedPageBreak/>
        <w:t>Subdivision 4.3A.4—Withdrawing consents</w:t>
      </w:r>
      <w:bookmarkEnd w:id="195"/>
      <w:bookmarkEnd w:id="196"/>
      <w:r w:rsidRPr="006A4403">
        <w:t xml:space="preserve"> </w:t>
      </w:r>
    </w:p>
    <w:p w14:paraId="26CC2250" w14:textId="77777777" w:rsidR="005F7A0D" w:rsidRPr="006A4403" w:rsidRDefault="005F7A0D" w:rsidP="005F7A0D">
      <w:pPr>
        <w:pStyle w:val="ActHead5"/>
      </w:pPr>
      <w:bookmarkStart w:id="197" w:name="_Toc121899239"/>
      <w:bookmarkStart w:id="198" w:name="_Toc135295300"/>
      <w:bookmarkStart w:id="199" w:name="_Toc121497420"/>
      <w:r w:rsidRPr="006A4403">
        <w:t>4.20</w:t>
      </w:r>
      <w:r w:rsidRPr="006A4403">
        <w:rPr>
          <w:noProof/>
        </w:rPr>
        <w:t>J</w:t>
      </w:r>
      <w:r w:rsidRPr="006A4403">
        <w:t xml:space="preserve">  Withdrawal of consents</w:t>
      </w:r>
      <w:bookmarkEnd w:id="197"/>
      <w:bookmarkEnd w:id="198"/>
    </w:p>
    <w:p w14:paraId="004D25AB" w14:textId="77777777" w:rsidR="005F7A0D" w:rsidRPr="006A4403" w:rsidRDefault="005F7A0D" w:rsidP="005F7A0D">
      <w:pPr>
        <w:pStyle w:val="subsection"/>
      </w:pPr>
      <w:r w:rsidRPr="006A4403">
        <w:tab/>
        <w:t>(1)</w:t>
      </w:r>
      <w:r w:rsidRPr="006A4403">
        <w:tab/>
        <w:t>A CDR consumer who has given a consent to a CDR representative for the purposes of this Division may withdraw the consent at any time:</w:t>
      </w:r>
    </w:p>
    <w:p w14:paraId="2AAAB2FE" w14:textId="77777777" w:rsidR="005F7A0D" w:rsidRPr="006A4403" w:rsidRDefault="005F7A0D" w:rsidP="005F7A0D">
      <w:pPr>
        <w:pStyle w:val="paragraph"/>
      </w:pPr>
      <w:r w:rsidRPr="006A4403">
        <w:tab/>
        <w:t>(a)</w:t>
      </w:r>
      <w:r w:rsidRPr="006A4403">
        <w:tab/>
        <w:t>by using the CDR representative principal’s consumer dashboard; or</w:t>
      </w:r>
    </w:p>
    <w:p w14:paraId="71A171A5" w14:textId="77777777" w:rsidR="005F7A0D" w:rsidRPr="006A4403" w:rsidRDefault="005F7A0D" w:rsidP="005F7A0D">
      <w:pPr>
        <w:pStyle w:val="paragraph"/>
      </w:pPr>
      <w:r w:rsidRPr="006A4403">
        <w:tab/>
        <w:t>(b)</w:t>
      </w:r>
      <w:r w:rsidRPr="006A4403">
        <w:tab/>
        <w:t>by using:</w:t>
      </w:r>
    </w:p>
    <w:p w14:paraId="5991B815" w14:textId="77777777" w:rsidR="005F7A0D" w:rsidRPr="006A4403" w:rsidRDefault="005F7A0D" w:rsidP="005F7A0D">
      <w:pPr>
        <w:pStyle w:val="paragraphsub"/>
      </w:pPr>
      <w:r w:rsidRPr="006A4403">
        <w:tab/>
        <w:t>(i)</w:t>
      </w:r>
      <w:r w:rsidRPr="006A4403">
        <w:tab/>
        <w:t>a method mentioned in subrule (2) to notify the CDR representative principal; or</w:t>
      </w:r>
    </w:p>
    <w:p w14:paraId="464FE242" w14:textId="77777777" w:rsidR="005F7A0D" w:rsidRPr="006A4403" w:rsidRDefault="005F7A0D" w:rsidP="005F7A0D">
      <w:pPr>
        <w:pStyle w:val="paragraphsub"/>
      </w:pPr>
      <w:r w:rsidRPr="006A4403">
        <w:tab/>
        <w:t>(ii)</w:t>
      </w:r>
      <w:r w:rsidRPr="006A4403">
        <w:tab/>
        <w:t>a method mentioned in subrule (3) to notify the CDR representative.</w:t>
      </w:r>
    </w:p>
    <w:p w14:paraId="01A7D5A6" w14:textId="77777777" w:rsidR="005F7A0D" w:rsidRPr="006A4403" w:rsidRDefault="005F7A0D" w:rsidP="005F7A0D">
      <w:pPr>
        <w:pStyle w:val="notetext"/>
      </w:pPr>
      <w:r w:rsidRPr="006A4403">
        <w:t>Note 1:</w:t>
      </w:r>
      <w:r w:rsidRPr="006A4403">
        <w:tab/>
        <w:t>The CDR representative principal may allow the CDR representative to provide the consumer dashboard on its behalf—see subrule 1.14(5).</w:t>
      </w:r>
    </w:p>
    <w:p w14:paraId="1EBBE25A" w14:textId="77777777" w:rsidR="005F7A0D" w:rsidRPr="006A4403" w:rsidRDefault="005F7A0D" w:rsidP="005F7A0D">
      <w:pPr>
        <w:pStyle w:val="notetext"/>
      </w:pPr>
      <w:r w:rsidRPr="006A4403">
        <w:t>Note 2:</w:t>
      </w:r>
      <w:r w:rsidRPr="006A4403">
        <w:tab/>
        <w:t>If the withdrawal is made using the consumer dashboard, it has effect immediately (see rule 4.20K).</w:t>
      </w:r>
    </w:p>
    <w:p w14:paraId="28E74E25" w14:textId="77777777" w:rsidR="005F7A0D" w:rsidRPr="006A4403" w:rsidRDefault="005F7A0D" w:rsidP="005F7A0D">
      <w:pPr>
        <w:pStyle w:val="SubsectionHead"/>
      </w:pPr>
      <w:r w:rsidRPr="006A4403">
        <w:t>Withdrawal without using consumer dashboard</w:t>
      </w:r>
    </w:p>
    <w:p w14:paraId="4CADB04E" w14:textId="77777777" w:rsidR="005F7A0D" w:rsidRPr="006A4403" w:rsidRDefault="005F7A0D" w:rsidP="005F7A0D">
      <w:pPr>
        <w:pStyle w:val="subsection"/>
      </w:pPr>
      <w:r w:rsidRPr="006A4403">
        <w:tab/>
        <w:t>(2)</w:t>
      </w:r>
      <w:r w:rsidRPr="006A4403">
        <w:tab/>
        <w:t>The CDR representative principal must make available a simple method of communication for the withdrawal of consent, as an alternative to using the CDR representative principal’s consumer dashboard.</w:t>
      </w:r>
    </w:p>
    <w:p w14:paraId="3E516DC6" w14:textId="77777777" w:rsidR="005F7A0D" w:rsidRPr="006A4403" w:rsidRDefault="005F7A0D" w:rsidP="005F7A0D">
      <w:pPr>
        <w:pStyle w:val="notetext"/>
      </w:pPr>
      <w:r w:rsidRPr="006A4403">
        <w:t>Note 1:</w:t>
      </w:r>
      <w:r w:rsidRPr="006A4403">
        <w:tab/>
        <w:t>The CDR representative principal may allow the CDR representative to provide the consumer dashboard on its behalf—see subrule 1.14(5).</w:t>
      </w:r>
    </w:p>
    <w:p w14:paraId="54ED2762" w14:textId="77777777" w:rsidR="005F7A0D" w:rsidRPr="006A4403" w:rsidRDefault="005F7A0D" w:rsidP="005F7A0D">
      <w:pPr>
        <w:pStyle w:val="notetext"/>
      </w:pPr>
      <w:r w:rsidRPr="006A4403">
        <w:t>Note 2:</w:t>
      </w:r>
      <w:r w:rsidRPr="006A4403">
        <w:tab/>
        <w:t>This subrule is a civil penalty provision (see rule 9.8).</w:t>
      </w:r>
    </w:p>
    <w:p w14:paraId="290CCE5E" w14:textId="77777777" w:rsidR="005F7A0D" w:rsidRPr="006A4403" w:rsidRDefault="005F7A0D" w:rsidP="005F7A0D">
      <w:pPr>
        <w:pStyle w:val="subsection"/>
      </w:pPr>
      <w:r w:rsidRPr="006A4403">
        <w:tab/>
        <w:t>(3)</w:t>
      </w:r>
      <w:r w:rsidRPr="006A4403">
        <w:tab/>
        <w:t>The CDR representative must make available a simple method of communication for the withdrawal of consent, as an alternative to using the CDR representative principal’s consumer dashboard.</w:t>
      </w:r>
    </w:p>
    <w:p w14:paraId="6B55B7F9" w14:textId="77777777" w:rsidR="005F7A0D" w:rsidRPr="006A4403" w:rsidRDefault="005F7A0D" w:rsidP="005F7A0D">
      <w:pPr>
        <w:pStyle w:val="notetext"/>
      </w:pPr>
      <w:r w:rsidRPr="006A4403">
        <w:t>Note:</w:t>
      </w:r>
      <w:r w:rsidRPr="006A4403">
        <w:tab/>
        <w:t>A failure to do this could make the CDR representative principal liable for a civil penalty (see rule 1.16A).</w:t>
      </w:r>
    </w:p>
    <w:p w14:paraId="527FC4C4" w14:textId="77777777" w:rsidR="005F7A0D" w:rsidRPr="006A4403" w:rsidRDefault="005F7A0D" w:rsidP="005F7A0D">
      <w:pPr>
        <w:pStyle w:val="subsection"/>
      </w:pPr>
      <w:r w:rsidRPr="006A4403">
        <w:tab/>
        <w:t>(4)</w:t>
      </w:r>
      <w:r w:rsidRPr="006A4403">
        <w:tab/>
        <w:t>If the consent is withdrawn under paragraph (1)(b), whichever of the CDR representative principal and the CDR representative received the communication must notify the other as soon as practicable.</w:t>
      </w:r>
    </w:p>
    <w:p w14:paraId="0AAC700B" w14:textId="77777777" w:rsidR="005F7A0D" w:rsidRPr="006A4403" w:rsidRDefault="005F7A0D" w:rsidP="005F7A0D">
      <w:pPr>
        <w:pStyle w:val="subsection"/>
      </w:pPr>
      <w:r w:rsidRPr="006A4403">
        <w:tab/>
        <w:t>(5)</w:t>
      </w:r>
      <w:r w:rsidRPr="006A4403">
        <w:tab/>
        <w:t>If the consent is withdrawn under paragraph (1)(b), the CDR representative principal must give effect to the withdrawal as soon as practicable, and in any case within 2 business days after the communication is received in accordance with paragraph (1)(b).</w:t>
      </w:r>
    </w:p>
    <w:p w14:paraId="14530B7F" w14:textId="77777777" w:rsidR="005F7A0D" w:rsidRPr="006A4403" w:rsidRDefault="005F7A0D" w:rsidP="005F7A0D">
      <w:pPr>
        <w:pStyle w:val="notetext"/>
      </w:pPr>
      <w:r w:rsidRPr="006A4403">
        <w:t>Note:</w:t>
      </w:r>
      <w:r w:rsidRPr="006A4403">
        <w:tab/>
        <w:t>This subrule is a civil penalty provision (see rule 9.8).</w:t>
      </w:r>
    </w:p>
    <w:p w14:paraId="50ECD523" w14:textId="77777777" w:rsidR="005F7A0D" w:rsidRPr="006A4403" w:rsidRDefault="005F7A0D" w:rsidP="005F7A0D">
      <w:pPr>
        <w:pStyle w:val="subsection"/>
      </w:pPr>
      <w:r w:rsidRPr="006A4403">
        <w:tab/>
        <w:t>(6)</w:t>
      </w:r>
      <w:r w:rsidRPr="006A4403">
        <w:tab/>
        <w:t>If the consent is withdrawn under paragraph (1)(b), the CDR representative must give effect to the withdrawal as soon as practicable, and in any case within 2 business days after the communication is received in accordance with paragraph (1)(b).</w:t>
      </w:r>
    </w:p>
    <w:p w14:paraId="28B97CED" w14:textId="77777777" w:rsidR="005F7A0D" w:rsidRPr="006A4403" w:rsidRDefault="005F7A0D" w:rsidP="005F7A0D">
      <w:pPr>
        <w:pStyle w:val="notetext"/>
      </w:pPr>
      <w:r w:rsidRPr="006A4403">
        <w:t>Note:</w:t>
      </w:r>
      <w:r w:rsidRPr="006A4403">
        <w:tab/>
        <w:t>A failure to do this could make the CDR representative principal liable for a civil penalty (see rule 1.16A).</w:t>
      </w:r>
    </w:p>
    <w:p w14:paraId="6EFA6870" w14:textId="77777777" w:rsidR="005F7A0D" w:rsidRPr="006A4403" w:rsidRDefault="005F7A0D" w:rsidP="005F7A0D">
      <w:pPr>
        <w:pStyle w:val="subsection"/>
      </w:pPr>
      <w:r w:rsidRPr="006A4403">
        <w:tab/>
        <w:t>(7)</w:t>
      </w:r>
      <w:r w:rsidRPr="006A4403">
        <w:tab/>
        <w:t>Withdrawal of a consent does not affect an election under rule 4.20M that the CDR consumer’s collected CDR data be deleted once it becomes redundant.</w:t>
      </w:r>
    </w:p>
    <w:p w14:paraId="17857073" w14:textId="77777777" w:rsidR="005F7A0D" w:rsidRPr="006A4403" w:rsidRDefault="005F7A0D" w:rsidP="005F7A0D">
      <w:pPr>
        <w:pStyle w:val="ActHead4"/>
      </w:pPr>
      <w:bookmarkStart w:id="200" w:name="_Toc135295301"/>
      <w:r w:rsidRPr="006A4403">
        <w:lastRenderedPageBreak/>
        <w:t>Subdivision 4.3A.5—Duration of consent</w:t>
      </w:r>
      <w:bookmarkEnd w:id="199"/>
      <w:bookmarkEnd w:id="200"/>
    </w:p>
    <w:p w14:paraId="7537A4A5" w14:textId="77777777" w:rsidR="005F7A0D" w:rsidRPr="006A4403" w:rsidRDefault="005F7A0D" w:rsidP="005F7A0D">
      <w:pPr>
        <w:pStyle w:val="ActHead5"/>
      </w:pPr>
      <w:bookmarkStart w:id="201" w:name="_Toc121497421"/>
      <w:bookmarkStart w:id="202" w:name="_Toc135295302"/>
      <w:r w:rsidRPr="006A4403">
        <w:t>4.20</w:t>
      </w:r>
      <w:r w:rsidRPr="006A4403">
        <w:rPr>
          <w:noProof/>
        </w:rPr>
        <w:t>K</w:t>
      </w:r>
      <w:r w:rsidRPr="006A4403">
        <w:t xml:space="preserve">  Duration of consent</w:t>
      </w:r>
      <w:bookmarkEnd w:id="201"/>
      <w:bookmarkEnd w:id="202"/>
    </w:p>
    <w:p w14:paraId="72B448F9" w14:textId="77777777" w:rsidR="005F7A0D" w:rsidRPr="006A4403" w:rsidRDefault="005F7A0D" w:rsidP="005F7A0D">
      <w:pPr>
        <w:pStyle w:val="subsection"/>
      </w:pPr>
      <w:r w:rsidRPr="006A4403">
        <w:tab/>
        <w:t>(1)</w:t>
      </w:r>
      <w:r w:rsidRPr="006A4403">
        <w:tab/>
        <w:t>A consent given under this Division expires at the earliest of the following:</w:t>
      </w:r>
    </w:p>
    <w:p w14:paraId="09605C31" w14:textId="77777777" w:rsidR="005F7A0D" w:rsidRPr="006A4403" w:rsidRDefault="005F7A0D" w:rsidP="005F7A0D">
      <w:pPr>
        <w:pStyle w:val="paragraph"/>
      </w:pPr>
      <w:r w:rsidRPr="006A4403">
        <w:tab/>
        <w:t>(a)</w:t>
      </w:r>
      <w:r w:rsidRPr="006A4403">
        <w:tab/>
        <w:t>if the consent is withdrawn in accordance with paragraph 4.20J(1)(a)―when the consent is withdrawn;</w:t>
      </w:r>
    </w:p>
    <w:p w14:paraId="50BD6E49" w14:textId="77777777" w:rsidR="005F7A0D" w:rsidRPr="006A4403" w:rsidRDefault="005F7A0D" w:rsidP="005F7A0D">
      <w:pPr>
        <w:pStyle w:val="paragraph"/>
      </w:pPr>
      <w:r w:rsidRPr="006A4403">
        <w:tab/>
        <w:t>(b)</w:t>
      </w:r>
      <w:r w:rsidRPr="006A4403">
        <w:tab/>
      </w:r>
      <w:bookmarkStart w:id="203" w:name="_Hlk120540666"/>
      <w:r w:rsidRPr="006A4403">
        <w:t>if the consent is withdrawn in accordance with paragraph 4.20J(1)(b)―the earlier of the following:</w:t>
      </w:r>
    </w:p>
    <w:p w14:paraId="0E3CBFFD" w14:textId="77777777" w:rsidR="005F7A0D" w:rsidRPr="006A4403" w:rsidRDefault="005F7A0D" w:rsidP="005F7A0D">
      <w:pPr>
        <w:pStyle w:val="paragraphsub"/>
      </w:pPr>
      <w:r w:rsidRPr="006A4403">
        <w:tab/>
        <w:t>(i)</w:t>
      </w:r>
      <w:r w:rsidRPr="006A4403">
        <w:tab/>
        <w:t>when the CDR representative principal and CDR representative give effect to the withdrawal;</w:t>
      </w:r>
    </w:p>
    <w:p w14:paraId="4B9DFBBD" w14:textId="77777777" w:rsidR="005F7A0D" w:rsidRPr="006A4403" w:rsidRDefault="005F7A0D" w:rsidP="005F7A0D">
      <w:pPr>
        <w:pStyle w:val="paragraphsub"/>
      </w:pPr>
      <w:r w:rsidRPr="006A4403">
        <w:tab/>
        <w:t>(ii)</w:t>
      </w:r>
      <w:r w:rsidRPr="006A4403">
        <w:tab/>
        <w:t>2 business days after the CDR representative principal or CDR representative receive the communication;</w:t>
      </w:r>
    </w:p>
    <w:bookmarkEnd w:id="203"/>
    <w:p w14:paraId="06CF6FA9" w14:textId="77777777" w:rsidR="005F7A0D" w:rsidRPr="006A4403" w:rsidRDefault="005F7A0D" w:rsidP="005F7A0D">
      <w:pPr>
        <w:pStyle w:val="paragraph"/>
      </w:pPr>
      <w:r w:rsidRPr="006A4403">
        <w:tab/>
        <w:t>(c)</w:t>
      </w:r>
      <w:r w:rsidRPr="006A4403">
        <w:tab/>
        <w:t>the end of the period of 12 months after the later of the following:</w:t>
      </w:r>
    </w:p>
    <w:p w14:paraId="5EFB4C62" w14:textId="77777777" w:rsidR="005F7A0D" w:rsidRPr="006A4403" w:rsidRDefault="005F7A0D" w:rsidP="005F7A0D">
      <w:pPr>
        <w:pStyle w:val="paragraphsub"/>
      </w:pPr>
      <w:r w:rsidRPr="006A4403">
        <w:tab/>
        <w:t>(i)</w:t>
      </w:r>
      <w:r w:rsidRPr="006A4403">
        <w:tab/>
        <w:t>the day the consent was given; or</w:t>
      </w:r>
    </w:p>
    <w:p w14:paraId="69AE28F6" w14:textId="77777777" w:rsidR="005F7A0D" w:rsidRPr="006A4403" w:rsidRDefault="005F7A0D" w:rsidP="005F7A0D">
      <w:pPr>
        <w:pStyle w:val="paragraphsub"/>
      </w:pPr>
      <w:r w:rsidRPr="006A4403">
        <w:tab/>
        <w:t>(ii)</w:t>
      </w:r>
      <w:r w:rsidRPr="006A4403">
        <w:tab/>
        <w:t>if the period of the consent has been amended in accordance with this Division―the day the consent was last amended;</w:t>
      </w:r>
    </w:p>
    <w:p w14:paraId="59664BA5" w14:textId="77777777" w:rsidR="005F7A0D" w:rsidRPr="006A4403" w:rsidRDefault="005F7A0D" w:rsidP="005F7A0D">
      <w:pPr>
        <w:pStyle w:val="paragraph"/>
      </w:pPr>
      <w:r w:rsidRPr="006A4403">
        <w:tab/>
        <w:t>(d)</w:t>
      </w:r>
      <w:r w:rsidRPr="006A4403">
        <w:tab/>
        <w:t>at the end of the period the CDR consumer consented to in accordance with rule 4.20E;</w:t>
      </w:r>
    </w:p>
    <w:p w14:paraId="4470D075" w14:textId="77777777" w:rsidR="005F7A0D" w:rsidRPr="006A4403" w:rsidRDefault="005F7A0D" w:rsidP="005F7A0D">
      <w:pPr>
        <w:pStyle w:val="paragraph"/>
      </w:pPr>
      <w:r w:rsidRPr="006A4403">
        <w:tab/>
        <w:t>(e)</w:t>
      </w:r>
      <w:r w:rsidRPr="006A4403">
        <w:tab/>
        <w:t>if the consent expires as a result of the operation of another provision of these rules that references this paragraph—when the consent expires.</w:t>
      </w:r>
    </w:p>
    <w:p w14:paraId="36F9F857" w14:textId="77777777" w:rsidR="005F7A0D" w:rsidRPr="006A4403" w:rsidRDefault="005F7A0D" w:rsidP="005F7A0D">
      <w:pPr>
        <w:pStyle w:val="subsection"/>
        <w:tabs>
          <w:tab w:val="left" w:pos="4536"/>
        </w:tabs>
      </w:pPr>
      <w:r w:rsidRPr="006A4403">
        <w:tab/>
        <w:t xml:space="preserve">(2) </w:t>
      </w:r>
      <w:r w:rsidRPr="006A4403">
        <w:tab/>
        <w:t>If:</w:t>
      </w:r>
    </w:p>
    <w:p w14:paraId="2EB8E14C" w14:textId="77777777" w:rsidR="005F7A0D" w:rsidRPr="006A4403" w:rsidRDefault="005F7A0D" w:rsidP="005F7A0D">
      <w:pPr>
        <w:pStyle w:val="paragraph"/>
      </w:pPr>
      <w:bookmarkStart w:id="204" w:name="_Hlk115449284"/>
      <w:r w:rsidRPr="006A4403">
        <w:tab/>
        <w:t>(a)</w:t>
      </w:r>
      <w:r w:rsidRPr="006A4403">
        <w:tab/>
        <w:t>a CDR representative principal is notified by a data holder, under rule 4.26A, of the withdrawal of an authorisation to disclose CDR data that relates to a collection consent given under this Division; and</w:t>
      </w:r>
    </w:p>
    <w:bookmarkEnd w:id="204"/>
    <w:p w14:paraId="05A7E339" w14:textId="77777777" w:rsidR="005F7A0D" w:rsidRPr="006A4403" w:rsidRDefault="005F7A0D" w:rsidP="005F7A0D">
      <w:pPr>
        <w:pStyle w:val="paragraph"/>
      </w:pPr>
      <w:r w:rsidRPr="006A4403">
        <w:tab/>
        <w:t>(b)</w:t>
      </w:r>
      <w:r w:rsidRPr="006A4403">
        <w:tab/>
        <w:t>the collection consent has not expired in accordance with subrule (1);</w:t>
      </w:r>
    </w:p>
    <w:p w14:paraId="14C4C78B" w14:textId="77777777" w:rsidR="005F7A0D" w:rsidRPr="006A4403" w:rsidRDefault="005F7A0D" w:rsidP="005F7A0D">
      <w:pPr>
        <w:pStyle w:val="subsection"/>
        <w:spacing w:before="40"/>
      </w:pPr>
      <w:r w:rsidRPr="006A4403">
        <w:tab/>
      </w:r>
      <w:r w:rsidRPr="006A4403">
        <w:tab/>
        <w:t>the collection consent expires when the CDR representative principal receives that notification.</w:t>
      </w:r>
    </w:p>
    <w:p w14:paraId="5C27DE0F" w14:textId="77777777" w:rsidR="005F7A0D" w:rsidRPr="006A4403" w:rsidRDefault="005F7A0D" w:rsidP="005F7A0D">
      <w:pPr>
        <w:pStyle w:val="notetext"/>
      </w:pPr>
      <w:r w:rsidRPr="006A4403">
        <w:t>Note:</w:t>
      </w:r>
      <w:r w:rsidRPr="006A4403">
        <w:tab/>
        <w:t>This would not result in the use consent relating to any CDR data that had already been collected expiring, so it may continue to be used by the CDR representative in accordance with those consents. However, see the notification requirement of rule 4.20Q.</w:t>
      </w:r>
    </w:p>
    <w:p w14:paraId="007ED8FE" w14:textId="77777777" w:rsidR="005F7A0D" w:rsidRPr="006A4403" w:rsidRDefault="005F7A0D" w:rsidP="005F7A0D">
      <w:pPr>
        <w:pStyle w:val="subsection"/>
        <w:tabs>
          <w:tab w:val="left" w:pos="4536"/>
        </w:tabs>
      </w:pPr>
      <w:bookmarkStart w:id="205" w:name="_Hlk115449316"/>
      <w:r w:rsidRPr="006A4403">
        <w:tab/>
        <w:t>(3)</w:t>
      </w:r>
      <w:r w:rsidRPr="006A4403">
        <w:tab/>
        <w:t>If:</w:t>
      </w:r>
    </w:p>
    <w:p w14:paraId="1D573F33" w14:textId="77777777" w:rsidR="005F7A0D" w:rsidRPr="006A4403" w:rsidRDefault="005F7A0D" w:rsidP="005F7A0D">
      <w:pPr>
        <w:pStyle w:val="paragraph"/>
      </w:pPr>
      <w:r w:rsidRPr="006A4403">
        <w:tab/>
        <w:t>(a)</w:t>
      </w:r>
      <w:r w:rsidRPr="006A4403">
        <w:tab/>
        <w:t>a CDR representative principal has a collection consent given under this Division to collect particular CDR data from a particular accredited data recipient; and</w:t>
      </w:r>
    </w:p>
    <w:p w14:paraId="3720407A" w14:textId="77777777" w:rsidR="005F7A0D" w:rsidRPr="006A4403" w:rsidRDefault="005F7A0D" w:rsidP="005F7A0D">
      <w:pPr>
        <w:pStyle w:val="paragraph"/>
      </w:pPr>
      <w:r w:rsidRPr="006A4403">
        <w:tab/>
        <w:t>(b)</w:t>
      </w:r>
      <w:r w:rsidRPr="006A4403">
        <w:tab/>
        <w:t>the accredited data recipient has an AP disclosure consent to disclose that CDR data to that CDR representative principal;</w:t>
      </w:r>
    </w:p>
    <w:p w14:paraId="6B564918" w14:textId="77777777" w:rsidR="005F7A0D" w:rsidRPr="006A4403" w:rsidRDefault="005F7A0D" w:rsidP="005F7A0D">
      <w:pPr>
        <w:pStyle w:val="subsection"/>
        <w:spacing w:before="40"/>
      </w:pPr>
      <w:r w:rsidRPr="006A4403">
        <w:tab/>
      </w:r>
      <w:r w:rsidRPr="006A4403">
        <w:tab/>
        <w:t>then if one of those consents expires, the other expires when the CDR representative principal or accredited data recipient is notified of the first</w:t>
      </w:r>
      <w:r w:rsidRPr="006A4403">
        <w:noBreakHyphen/>
        <w:t>mentioned expiry.</w:t>
      </w:r>
    </w:p>
    <w:p w14:paraId="683F0BDC" w14:textId="77777777" w:rsidR="005F7A0D" w:rsidRPr="006A4403" w:rsidRDefault="005F7A0D" w:rsidP="005F7A0D">
      <w:pPr>
        <w:pStyle w:val="notetext"/>
      </w:pPr>
      <w:r w:rsidRPr="006A4403">
        <w:t>Note:</w:t>
      </w:r>
      <w:r w:rsidRPr="006A4403">
        <w:tab/>
        <w:t>The notification is required by rule 4.18B.</w:t>
      </w:r>
    </w:p>
    <w:bookmarkEnd w:id="205"/>
    <w:p w14:paraId="55B6F7B9" w14:textId="77777777" w:rsidR="005F7A0D" w:rsidRPr="006A4403" w:rsidRDefault="005F7A0D" w:rsidP="005F7A0D">
      <w:pPr>
        <w:pStyle w:val="subsection"/>
      </w:pPr>
      <w:r w:rsidRPr="006A4403">
        <w:tab/>
        <w:t>(4)</w:t>
      </w:r>
      <w:r w:rsidRPr="006A4403">
        <w:tab/>
        <w:t>If a CDR representative principal’s accreditation is revoked or surrendered in accordance with rule 5.17, all of the consents of any of the CDR representative principal’s CDR representatives expire when the revocation or surrender takes effect.</w:t>
      </w:r>
    </w:p>
    <w:p w14:paraId="674A5743" w14:textId="77777777" w:rsidR="005F7A0D" w:rsidRPr="006A4403" w:rsidRDefault="005F7A0D" w:rsidP="005F7A0D">
      <w:pPr>
        <w:pStyle w:val="ActHead4"/>
      </w:pPr>
      <w:bookmarkStart w:id="206" w:name="_Toc121497422"/>
      <w:bookmarkStart w:id="207" w:name="_Toc135295303"/>
      <w:r w:rsidRPr="006A4403">
        <w:lastRenderedPageBreak/>
        <w:t>Subdivision 4.3A.6—Information relating to de</w:t>
      </w:r>
      <w:r w:rsidRPr="006A4403">
        <w:noBreakHyphen/>
        <w:t>identification of CDR data</w:t>
      </w:r>
      <w:bookmarkEnd w:id="206"/>
      <w:bookmarkEnd w:id="207"/>
    </w:p>
    <w:p w14:paraId="2A028420" w14:textId="77777777" w:rsidR="005F7A0D" w:rsidRPr="006A4403" w:rsidRDefault="005F7A0D" w:rsidP="005F7A0D">
      <w:pPr>
        <w:pStyle w:val="ActHead5"/>
      </w:pPr>
      <w:bookmarkStart w:id="208" w:name="_Toc121497423"/>
      <w:bookmarkStart w:id="209" w:name="_Toc135295304"/>
      <w:r w:rsidRPr="006A4403">
        <w:t>4.20</w:t>
      </w:r>
      <w:r w:rsidRPr="006A4403">
        <w:rPr>
          <w:noProof/>
        </w:rPr>
        <w:t>L</w:t>
      </w:r>
      <w:r w:rsidRPr="006A4403">
        <w:t xml:space="preserve">  Additional information relating to de</w:t>
      </w:r>
      <w:r w:rsidRPr="006A4403">
        <w:noBreakHyphen/>
        <w:t>identification of CDR data</w:t>
      </w:r>
      <w:bookmarkEnd w:id="208"/>
      <w:bookmarkEnd w:id="209"/>
    </w:p>
    <w:p w14:paraId="3D9390D9" w14:textId="77777777" w:rsidR="005F7A0D" w:rsidRPr="006A4403" w:rsidRDefault="005F7A0D" w:rsidP="005F7A0D">
      <w:pPr>
        <w:pStyle w:val="subsection"/>
      </w:pPr>
      <w:r w:rsidRPr="006A4403">
        <w:tab/>
      </w:r>
      <w:r w:rsidRPr="006A4403">
        <w:tab/>
        <w:t>For paragraph 4.20E(3)(i), the additional information relating to de</w:t>
      </w:r>
      <w:r w:rsidRPr="006A4403">
        <w:noBreakHyphen/>
        <w:t>identification is the following:</w:t>
      </w:r>
    </w:p>
    <w:p w14:paraId="6128AAC6" w14:textId="77777777" w:rsidR="005F7A0D" w:rsidRPr="006A4403" w:rsidRDefault="005F7A0D" w:rsidP="005F7A0D">
      <w:pPr>
        <w:pStyle w:val="paragraph"/>
      </w:pPr>
      <w:r w:rsidRPr="006A4403">
        <w:tab/>
        <w:t>(a)</w:t>
      </w:r>
      <w:r w:rsidRPr="006A4403">
        <w:tab/>
        <w:t>what the CDR data de</w:t>
      </w:r>
      <w:r w:rsidRPr="006A4403">
        <w:noBreakHyphen/>
        <w:t>identification process is;</w:t>
      </w:r>
    </w:p>
    <w:p w14:paraId="702C54E1" w14:textId="77777777" w:rsidR="005F7A0D" w:rsidRPr="006A4403" w:rsidRDefault="005F7A0D" w:rsidP="005F7A0D">
      <w:pPr>
        <w:pStyle w:val="paragraph"/>
      </w:pPr>
      <w:r w:rsidRPr="006A4403">
        <w:tab/>
        <w:t>(b)</w:t>
      </w:r>
      <w:r w:rsidRPr="006A4403">
        <w:tab/>
        <w:t>if it would disclose (by sale or otherwise) the de</w:t>
      </w:r>
      <w:r w:rsidRPr="006A4403">
        <w:noBreakHyphen/>
        <w:t>identified data to one or more other persons;</w:t>
      </w:r>
    </w:p>
    <w:p w14:paraId="6FC12B9B" w14:textId="77777777" w:rsidR="005F7A0D" w:rsidRPr="006A4403" w:rsidRDefault="005F7A0D" w:rsidP="005F7A0D">
      <w:pPr>
        <w:pStyle w:val="paragraphsub"/>
      </w:pPr>
      <w:r w:rsidRPr="006A4403">
        <w:tab/>
        <w:t>(i)</w:t>
      </w:r>
      <w:r w:rsidRPr="006A4403">
        <w:tab/>
        <w:t>that fact; and</w:t>
      </w:r>
    </w:p>
    <w:p w14:paraId="60B2BA7D" w14:textId="77777777" w:rsidR="005F7A0D" w:rsidRPr="006A4403" w:rsidRDefault="005F7A0D" w:rsidP="005F7A0D">
      <w:pPr>
        <w:pStyle w:val="paragraphsub"/>
      </w:pPr>
      <w:r w:rsidRPr="006A4403">
        <w:tab/>
        <w:t>(ii)</w:t>
      </w:r>
      <w:r w:rsidRPr="006A4403">
        <w:tab/>
        <w:t>the classes of persons to which it would disclose that data; and</w:t>
      </w:r>
    </w:p>
    <w:p w14:paraId="43A93DE1" w14:textId="77777777" w:rsidR="005F7A0D" w:rsidRPr="006A4403" w:rsidRDefault="005F7A0D" w:rsidP="005F7A0D">
      <w:pPr>
        <w:pStyle w:val="paragraphsub"/>
      </w:pPr>
      <w:r w:rsidRPr="006A4403">
        <w:tab/>
        <w:t>(iii)</w:t>
      </w:r>
      <w:r w:rsidRPr="006A4403">
        <w:tab/>
        <w:t>why it would so disclose that data;</w:t>
      </w:r>
    </w:p>
    <w:p w14:paraId="4EB7ACDD" w14:textId="77777777" w:rsidR="005F7A0D" w:rsidRPr="006A4403" w:rsidRDefault="005F7A0D" w:rsidP="005F7A0D">
      <w:pPr>
        <w:pStyle w:val="paragraph"/>
        <w:rPr>
          <w:sz w:val="20"/>
        </w:rPr>
      </w:pPr>
      <w:r w:rsidRPr="006A4403">
        <w:tab/>
        <w:t>(c)</w:t>
      </w:r>
      <w:r w:rsidRPr="006A4403">
        <w:tab/>
        <w:t>if the CDR representative would use the de</w:t>
      </w:r>
      <w:r w:rsidRPr="006A4403">
        <w:noBreakHyphen/>
        <w:t>identified data for general research―that fact, together with a link to a description in the CDR representative principal’s CDR policy of:</w:t>
      </w:r>
    </w:p>
    <w:p w14:paraId="776F891A" w14:textId="77777777" w:rsidR="005F7A0D" w:rsidRPr="006A4403" w:rsidRDefault="005F7A0D" w:rsidP="005F7A0D">
      <w:pPr>
        <w:pStyle w:val="paragraphsub"/>
      </w:pPr>
      <w:r w:rsidRPr="006A4403">
        <w:tab/>
        <w:t>(i)</w:t>
      </w:r>
      <w:r w:rsidRPr="006A4403">
        <w:tab/>
        <w:t>the research to be conducted; and</w:t>
      </w:r>
    </w:p>
    <w:p w14:paraId="0CEB9D17" w14:textId="77777777" w:rsidR="005F7A0D" w:rsidRPr="006A4403" w:rsidRDefault="005F7A0D" w:rsidP="005F7A0D">
      <w:pPr>
        <w:pStyle w:val="paragraphsub"/>
      </w:pPr>
      <w:r w:rsidRPr="006A4403">
        <w:tab/>
        <w:t>(ii)</w:t>
      </w:r>
      <w:r w:rsidRPr="006A4403">
        <w:tab/>
        <w:t>any additional benefit to be provided to the CDR consumer for consenting to the use;</w:t>
      </w:r>
    </w:p>
    <w:p w14:paraId="45F62B89" w14:textId="77777777" w:rsidR="005F7A0D" w:rsidRPr="006A4403" w:rsidRDefault="005F7A0D" w:rsidP="005F7A0D">
      <w:pPr>
        <w:pStyle w:val="paragraph"/>
      </w:pPr>
      <w:r w:rsidRPr="006A4403">
        <w:tab/>
        <w:t>(e)</w:t>
      </w:r>
      <w:r w:rsidRPr="006A4403">
        <w:tab/>
        <w:t>that the CDR consumer would not be able to elect, in accordance with rule 4.20M, to have the de</w:t>
      </w:r>
      <w:r w:rsidRPr="006A4403">
        <w:noBreakHyphen/>
        <w:t>identified data deleted once it becomes redundant data.</w:t>
      </w:r>
    </w:p>
    <w:p w14:paraId="0FF0F8BF" w14:textId="77777777" w:rsidR="005F7A0D" w:rsidRPr="006A4403" w:rsidRDefault="005F7A0D" w:rsidP="005F7A0D">
      <w:pPr>
        <w:pStyle w:val="ActHead4"/>
      </w:pPr>
      <w:bookmarkStart w:id="210" w:name="_Toc121497424"/>
      <w:bookmarkStart w:id="211" w:name="_Toc135295305"/>
      <w:r w:rsidRPr="006A4403">
        <w:t>Subdivision 4.3A.7—Election to delete redundant data</w:t>
      </w:r>
      <w:bookmarkEnd w:id="210"/>
      <w:bookmarkEnd w:id="211"/>
    </w:p>
    <w:p w14:paraId="2A835FED" w14:textId="77777777" w:rsidR="005F7A0D" w:rsidRPr="006A4403" w:rsidRDefault="005F7A0D" w:rsidP="005F7A0D">
      <w:pPr>
        <w:pStyle w:val="ActHead5"/>
      </w:pPr>
      <w:bookmarkStart w:id="212" w:name="_Toc121497425"/>
      <w:bookmarkStart w:id="213" w:name="_Toc135295306"/>
      <w:r w:rsidRPr="006A4403">
        <w:t>4.20</w:t>
      </w:r>
      <w:r w:rsidRPr="006A4403">
        <w:rPr>
          <w:noProof/>
        </w:rPr>
        <w:t>M</w:t>
      </w:r>
      <w:r w:rsidRPr="006A4403">
        <w:t xml:space="preserve">  Election to delete redundant data</w:t>
      </w:r>
      <w:bookmarkEnd w:id="212"/>
      <w:bookmarkEnd w:id="213"/>
    </w:p>
    <w:p w14:paraId="0D03C4D8" w14:textId="77777777" w:rsidR="005F7A0D" w:rsidRPr="006A4403" w:rsidRDefault="005F7A0D" w:rsidP="005F7A0D">
      <w:pPr>
        <w:pStyle w:val="subsection"/>
      </w:pPr>
      <w:r w:rsidRPr="006A4403">
        <w:tab/>
        <w:t>(1)</w:t>
      </w:r>
      <w:r w:rsidRPr="006A4403">
        <w:tab/>
        <w:t>The CDR consumer who gives a consent relating to particular CDR data may:</w:t>
      </w:r>
    </w:p>
    <w:p w14:paraId="64A3395B" w14:textId="77777777" w:rsidR="005F7A0D" w:rsidRPr="006A4403" w:rsidRDefault="005F7A0D" w:rsidP="005F7A0D">
      <w:pPr>
        <w:pStyle w:val="paragraph"/>
      </w:pPr>
      <w:r w:rsidRPr="006A4403">
        <w:tab/>
        <w:t>(a)</w:t>
      </w:r>
      <w:r w:rsidRPr="006A4403">
        <w:tab/>
        <w:t>when giving the consent; or</w:t>
      </w:r>
    </w:p>
    <w:p w14:paraId="64DC3C50" w14:textId="77777777" w:rsidR="005F7A0D" w:rsidRPr="006A4403" w:rsidRDefault="005F7A0D" w:rsidP="005F7A0D">
      <w:pPr>
        <w:pStyle w:val="paragraph"/>
      </w:pPr>
      <w:r w:rsidRPr="006A4403">
        <w:tab/>
        <w:t>(b)</w:t>
      </w:r>
      <w:r w:rsidRPr="006A4403">
        <w:tab/>
        <w:t>at any other time before the consent expires;</w:t>
      </w:r>
    </w:p>
    <w:p w14:paraId="7002A43F" w14:textId="77777777" w:rsidR="005F7A0D" w:rsidRPr="006A4403" w:rsidRDefault="005F7A0D" w:rsidP="005F7A0D">
      <w:pPr>
        <w:pStyle w:val="subsection2"/>
      </w:pPr>
      <w:bookmarkStart w:id="214" w:name="_Hlk115449355"/>
      <w:r w:rsidRPr="006A4403">
        <w:t xml:space="preserve">elect that the collected data, and any CDR data directly or indirectly derived </w:t>
      </w:r>
      <w:bookmarkEnd w:id="214"/>
      <w:r w:rsidRPr="006A4403">
        <w:t>from it, be deleted when it becomes redundant data.</w:t>
      </w:r>
    </w:p>
    <w:p w14:paraId="30640743" w14:textId="77777777" w:rsidR="005F7A0D" w:rsidRPr="006A4403" w:rsidRDefault="005F7A0D" w:rsidP="005F7A0D">
      <w:pPr>
        <w:pStyle w:val="notetext"/>
      </w:pPr>
      <w:r w:rsidRPr="006A4403">
        <w:t>Note 1:</w:t>
      </w:r>
      <w:r w:rsidRPr="006A4403">
        <w:tab/>
        <w:t>See rules 7.12 and 7.13 for the effect of an election.</w:t>
      </w:r>
    </w:p>
    <w:p w14:paraId="08777148" w14:textId="77777777" w:rsidR="005F7A0D" w:rsidRPr="006A4403" w:rsidRDefault="005F7A0D" w:rsidP="005F7A0D">
      <w:pPr>
        <w:pStyle w:val="notetext"/>
      </w:pPr>
      <w:r w:rsidRPr="006A4403">
        <w:t>Note 2:</w:t>
      </w:r>
      <w:r w:rsidRPr="006A4403">
        <w:tab/>
        <w:t>CDR data might become redundant data even before a consent expires.</w:t>
      </w:r>
    </w:p>
    <w:p w14:paraId="694185C2" w14:textId="77777777" w:rsidR="005F7A0D" w:rsidRPr="006A4403" w:rsidRDefault="005F7A0D" w:rsidP="005F7A0D">
      <w:pPr>
        <w:pStyle w:val="subsection"/>
      </w:pPr>
      <w:r w:rsidRPr="006A4403">
        <w:tab/>
        <w:t>(2)</w:t>
      </w:r>
      <w:r w:rsidRPr="006A4403">
        <w:tab/>
        <w:t xml:space="preserve">The CDR consumer may make the election: </w:t>
      </w:r>
    </w:p>
    <w:p w14:paraId="11B562EF" w14:textId="77777777" w:rsidR="005F7A0D" w:rsidRPr="006A4403" w:rsidRDefault="005F7A0D" w:rsidP="005F7A0D">
      <w:pPr>
        <w:pStyle w:val="paragraph"/>
      </w:pPr>
      <w:r w:rsidRPr="006A4403">
        <w:tab/>
        <w:t>(a)</w:t>
      </w:r>
      <w:r w:rsidRPr="006A4403">
        <w:tab/>
        <w:t>by communicating it to the CDR representative principal or CDR representative in writing; or</w:t>
      </w:r>
    </w:p>
    <w:p w14:paraId="76A11D2C" w14:textId="77777777" w:rsidR="005F7A0D" w:rsidRPr="006A4403" w:rsidRDefault="005F7A0D" w:rsidP="005F7A0D">
      <w:pPr>
        <w:pStyle w:val="paragraph"/>
      </w:pPr>
      <w:r w:rsidRPr="006A4403">
        <w:tab/>
        <w:t>(b)</w:t>
      </w:r>
      <w:r w:rsidRPr="006A4403">
        <w:tab/>
        <w:t>by using the CDR representative principal’s consumer dashboard.</w:t>
      </w:r>
    </w:p>
    <w:p w14:paraId="1DE92396" w14:textId="77777777" w:rsidR="005F7A0D" w:rsidRPr="006A4403" w:rsidRDefault="005F7A0D" w:rsidP="005F7A0D">
      <w:pPr>
        <w:pStyle w:val="notetext"/>
      </w:pPr>
      <w:r w:rsidRPr="006A4403">
        <w:t>Note:</w:t>
      </w:r>
      <w:r w:rsidRPr="006A4403">
        <w:tab/>
        <w:t>The CDR representative principal may allow the CDR representative to provide the consumer dashboard on its behalf—see subrule 1.14(5).</w:t>
      </w:r>
    </w:p>
    <w:p w14:paraId="1406FC0D" w14:textId="77777777" w:rsidR="005F7A0D" w:rsidRPr="006A4403" w:rsidRDefault="005F7A0D" w:rsidP="005F7A0D">
      <w:pPr>
        <w:pStyle w:val="subsection"/>
      </w:pPr>
      <w:r w:rsidRPr="006A4403">
        <w:tab/>
        <w:t>(3)</w:t>
      </w:r>
      <w:r w:rsidRPr="006A4403">
        <w:tab/>
        <w:t>This rule does not apply if the CDR representative:</w:t>
      </w:r>
    </w:p>
    <w:p w14:paraId="6B0027EE" w14:textId="77777777" w:rsidR="005F7A0D" w:rsidRPr="006A4403" w:rsidRDefault="005F7A0D" w:rsidP="005F7A0D">
      <w:pPr>
        <w:pStyle w:val="paragraph"/>
      </w:pPr>
      <w:bookmarkStart w:id="215" w:name="_Hlk120540785"/>
      <w:r w:rsidRPr="006A4403">
        <w:tab/>
        <w:t>(a)</w:t>
      </w:r>
      <w:r w:rsidRPr="006A4403">
        <w:tab/>
        <w:t>has a general policy of deleting redundant data; and</w:t>
      </w:r>
    </w:p>
    <w:p w14:paraId="0008D1EC" w14:textId="77777777" w:rsidR="005F7A0D" w:rsidRPr="006A4403" w:rsidRDefault="005F7A0D" w:rsidP="005F7A0D">
      <w:pPr>
        <w:pStyle w:val="paragraph"/>
      </w:pPr>
      <w:r w:rsidRPr="006A4403">
        <w:tab/>
        <w:t>(b)</w:t>
      </w:r>
      <w:r w:rsidRPr="006A4403">
        <w:tab/>
        <w:t>when seeking the consent, informs the CDR consumer that their CDR data will be deleted when it becomes redundant data.</w:t>
      </w:r>
    </w:p>
    <w:bookmarkEnd w:id="215"/>
    <w:p w14:paraId="6D69F2F8" w14:textId="77777777" w:rsidR="005F7A0D" w:rsidRPr="006A4403" w:rsidRDefault="005F7A0D" w:rsidP="005F7A0D">
      <w:pPr>
        <w:pStyle w:val="notetext"/>
      </w:pPr>
      <w:r w:rsidRPr="006A4403">
        <w:t>Note:</w:t>
      </w:r>
      <w:r w:rsidRPr="006A4403">
        <w:tab/>
        <w:t>See paragraph 4.20N(1)(a).</w:t>
      </w:r>
    </w:p>
    <w:p w14:paraId="149B02B1" w14:textId="77777777" w:rsidR="005F7A0D" w:rsidRPr="006A4403" w:rsidRDefault="005F7A0D" w:rsidP="005F7A0D">
      <w:pPr>
        <w:pStyle w:val="subsection"/>
      </w:pPr>
      <w:r w:rsidRPr="006A4403">
        <w:tab/>
        <w:t>(4)</w:t>
      </w:r>
      <w:r w:rsidRPr="006A4403">
        <w:tab/>
        <w:t xml:space="preserve">This rule does not require the deletion of </w:t>
      </w:r>
      <w:bookmarkStart w:id="216" w:name="_Hlk115449389"/>
      <w:r w:rsidRPr="006A4403">
        <w:t xml:space="preserve">directly or indirectly derived </w:t>
      </w:r>
      <w:bookmarkEnd w:id="216"/>
      <w:r w:rsidRPr="006A4403">
        <w:t>CDR data that was de</w:t>
      </w:r>
      <w:r w:rsidRPr="006A4403">
        <w:noBreakHyphen/>
        <w:t>identified in accordance with the CDR data de</w:t>
      </w:r>
      <w:r w:rsidRPr="006A4403">
        <w:noBreakHyphen/>
        <w:t>identification process before the collected data from which it was derived became redundant.</w:t>
      </w:r>
    </w:p>
    <w:p w14:paraId="19C30576" w14:textId="77777777" w:rsidR="005F7A0D" w:rsidRPr="006A4403" w:rsidRDefault="005F7A0D" w:rsidP="005F7A0D">
      <w:pPr>
        <w:pStyle w:val="ActHead5"/>
      </w:pPr>
      <w:bookmarkStart w:id="217" w:name="_Toc121497426"/>
      <w:bookmarkStart w:id="218" w:name="_Toc135295307"/>
      <w:r w:rsidRPr="006A4403">
        <w:lastRenderedPageBreak/>
        <w:t>4.20</w:t>
      </w:r>
      <w:r w:rsidRPr="006A4403">
        <w:rPr>
          <w:noProof/>
        </w:rPr>
        <w:t>N</w:t>
      </w:r>
      <w:r w:rsidRPr="006A4403">
        <w:t xml:space="preserve">  Information relating to redundant data</w:t>
      </w:r>
      <w:bookmarkEnd w:id="217"/>
      <w:bookmarkEnd w:id="218"/>
    </w:p>
    <w:p w14:paraId="69B54C71" w14:textId="77777777" w:rsidR="005F7A0D" w:rsidRPr="006A4403" w:rsidRDefault="005F7A0D" w:rsidP="005F7A0D">
      <w:pPr>
        <w:pStyle w:val="subsection"/>
      </w:pPr>
      <w:r w:rsidRPr="006A4403">
        <w:tab/>
        <w:t>(1)</w:t>
      </w:r>
      <w:r w:rsidRPr="006A4403">
        <w:tab/>
        <w:t>For subparagraph 4.20E(3)(n)(i), the CDR representative must state whether they have a general policy, when collected CDR data becomes redundant data, of:</w:t>
      </w:r>
    </w:p>
    <w:p w14:paraId="6B427D50" w14:textId="77777777" w:rsidR="005F7A0D" w:rsidRPr="006A4403" w:rsidRDefault="005F7A0D" w:rsidP="005F7A0D">
      <w:pPr>
        <w:pStyle w:val="paragraph"/>
      </w:pPr>
      <w:r w:rsidRPr="006A4403">
        <w:tab/>
        <w:t>(a)</w:t>
      </w:r>
      <w:r w:rsidRPr="006A4403">
        <w:tab/>
        <w:t>deleting the redundant data; or</w:t>
      </w:r>
    </w:p>
    <w:p w14:paraId="70CE6656" w14:textId="77777777" w:rsidR="005F7A0D" w:rsidRPr="006A4403" w:rsidRDefault="005F7A0D" w:rsidP="005F7A0D">
      <w:pPr>
        <w:pStyle w:val="paragraph"/>
      </w:pPr>
      <w:r w:rsidRPr="006A4403">
        <w:tab/>
        <w:t>(b)</w:t>
      </w:r>
      <w:r w:rsidRPr="006A4403">
        <w:tab/>
        <w:t>de</w:t>
      </w:r>
      <w:r w:rsidRPr="006A4403">
        <w:noBreakHyphen/>
        <w:t>identifying the redundant data; or</w:t>
      </w:r>
    </w:p>
    <w:p w14:paraId="3938F03F" w14:textId="77777777" w:rsidR="005F7A0D" w:rsidRPr="006A4403" w:rsidRDefault="005F7A0D" w:rsidP="005F7A0D">
      <w:pPr>
        <w:pStyle w:val="paragraph"/>
      </w:pPr>
      <w:r w:rsidRPr="006A4403">
        <w:tab/>
        <w:t>(c)</w:t>
      </w:r>
      <w:r w:rsidRPr="006A4403">
        <w:tab/>
        <w:t>deciding, when the CDR data becomes redundant data, whether to delete it or de</w:t>
      </w:r>
      <w:r w:rsidRPr="006A4403">
        <w:noBreakHyphen/>
        <w:t>identify it.</w:t>
      </w:r>
    </w:p>
    <w:p w14:paraId="5865763B" w14:textId="77777777" w:rsidR="005F7A0D" w:rsidRPr="006A4403" w:rsidRDefault="005F7A0D" w:rsidP="005F7A0D">
      <w:pPr>
        <w:pStyle w:val="subsection"/>
      </w:pPr>
      <w:r w:rsidRPr="006A4403">
        <w:tab/>
        <w:t>(2)</w:t>
      </w:r>
      <w:r w:rsidRPr="006A4403">
        <w:tab/>
        <w:t>A CDR representative that gives the statement referred to in paragraph (1)(b) or (c) must also state:</w:t>
      </w:r>
    </w:p>
    <w:p w14:paraId="47758B00" w14:textId="77777777" w:rsidR="005F7A0D" w:rsidRPr="006A4403" w:rsidRDefault="005F7A0D" w:rsidP="005F7A0D">
      <w:pPr>
        <w:pStyle w:val="paragraph"/>
      </w:pPr>
      <w:r w:rsidRPr="006A4403">
        <w:tab/>
        <w:t>(a)</w:t>
      </w:r>
      <w:r w:rsidRPr="006A4403">
        <w:tab/>
        <w:t>that, if it de</w:t>
      </w:r>
      <w:r w:rsidRPr="006A4403">
        <w:noBreakHyphen/>
        <w:t>identifies the redundant data:</w:t>
      </w:r>
    </w:p>
    <w:p w14:paraId="0362697A" w14:textId="77777777" w:rsidR="005F7A0D" w:rsidRPr="006A4403" w:rsidRDefault="005F7A0D" w:rsidP="005F7A0D">
      <w:pPr>
        <w:pStyle w:val="paragraphsub"/>
      </w:pPr>
      <w:r w:rsidRPr="006A4403">
        <w:tab/>
        <w:t>(i)</w:t>
      </w:r>
      <w:r w:rsidRPr="006A4403">
        <w:tab/>
        <w:t>it would apply the CDR data de</w:t>
      </w:r>
      <w:r w:rsidRPr="006A4403">
        <w:noBreakHyphen/>
        <w:t>identification process; and</w:t>
      </w:r>
    </w:p>
    <w:p w14:paraId="71752510" w14:textId="77777777" w:rsidR="005F7A0D" w:rsidRPr="006A4403" w:rsidRDefault="005F7A0D" w:rsidP="005F7A0D">
      <w:pPr>
        <w:pStyle w:val="paragraphsub"/>
      </w:pPr>
      <w:r w:rsidRPr="006A4403">
        <w:tab/>
        <w:t>(ii)</w:t>
      </w:r>
      <w:r w:rsidRPr="006A4403">
        <w:tab/>
        <w:t>it would be able to use or, if applicable, disclose (by sale or otherwise) the de</w:t>
      </w:r>
      <w:r w:rsidRPr="006A4403">
        <w:noBreakHyphen/>
        <w:t>identified redundant data without seeking further consent from the CDR consumer; and</w:t>
      </w:r>
    </w:p>
    <w:p w14:paraId="361BDC69" w14:textId="77777777" w:rsidR="005F7A0D" w:rsidRPr="006A4403" w:rsidRDefault="005F7A0D" w:rsidP="005F7A0D">
      <w:pPr>
        <w:pStyle w:val="paragraph"/>
      </w:pPr>
      <w:r w:rsidRPr="006A4403">
        <w:tab/>
        <w:t>(b)</w:t>
      </w:r>
      <w:r w:rsidRPr="006A4403">
        <w:tab/>
        <w:t>what de</w:t>
      </w:r>
      <w:r w:rsidRPr="006A4403">
        <w:noBreakHyphen/>
        <w:t>identification of CDR data in accordance with the CDR data de</w:t>
      </w:r>
      <w:r w:rsidRPr="006A4403">
        <w:noBreakHyphen/>
        <w:t>identification process means; and</w:t>
      </w:r>
    </w:p>
    <w:p w14:paraId="65E37CE3" w14:textId="77777777" w:rsidR="005F7A0D" w:rsidRPr="006A4403" w:rsidRDefault="005F7A0D" w:rsidP="005F7A0D">
      <w:pPr>
        <w:pStyle w:val="paragraph"/>
      </w:pPr>
      <w:r w:rsidRPr="006A4403">
        <w:tab/>
        <w:t>(c)</w:t>
      </w:r>
      <w:r w:rsidRPr="006A4403">
        <w:tab/>
        <w:t>if applicable, examples of how it could use the redundant data once de</w:t>
      </w:r>
      <w:r w:rsidRPr="006A4403">
        <w:noBreakHyphen/>
        <w:t>identified.</w:t>
      </w:r>
    </w:p>
    <w:p w14:paraId="633AFB03" w14:textId="77777777" w:rsidR="005F7A0D" w:rsidRPr="006A4403" w:rsidRDefault="005F7A0D" w:rsidP="005F7A0D">
      <w:pPr>
        <w:pStyle w:val="notetext"/>
      </w:pPr>
      <w:r w:rsidRPr="006A4403">
        <w:t xml:space="preserve">Note: </w:t>
      </w:r>
      <w:r w:rsidRPr="006A4403">
        <w:tab/>
        <w:t>For the CDR data de</w:t>
      </w:r>
      <w:r w:rsidRPr="006A4403">
        <w:noBreakHyphen/>
        <w:t>identification process, see rule 1.17.</w:t>
      </w:r>
    </w:p>
    <w:p w14:paraId="68BC872A" w14:textId="77777777" w:rsidR="005F7A0D" w:rsidRPr="006A4403" w:rsidRDefault="005F7A0D" w:rsidP="005F7A0D">
      <w:pPr>
        <w:pStyle w:val="ActHead4"/>
      </w:pPr>
      <w:bookmarkStart w:id="219" w:name="_Toc121497427"/>
      <w:bookmarkStart w:id="220" w:name="_Toc135295308"/>
      <w:r w:rsidRPr="006A4403">
        <w:t>Subdivision 4.3A.8—Notification requirements</w:t>
      </w:r>
      <w:bookmarkEnd w:id="219"/>
      <w:bookmarkEnd w:id="220"/>
    </w:p>
    <w:p w14:paraId="239A57BC" w14:textId="77777777" w:rsidR="005F7A0D" w:rsidRPr="006A4403" w:rsidRDefault="005F7A0D" w:rsidP="005F7A0D">
      <w:pPr>
        <w:pStyle w:val="ActHead5"/>
      </w:pPr>
      <w:bookmarkStart w:id="221" w:name="_Toc121497428"/>
      <w:bookmarkStart w:id="222" w:name="_Toc135295309"/>
      <w:r w:rsidRPr="006A4403">
        <w:t>4.20</w:t>
      </w:r>
      <w:r w:rsidRPr="006A4403">
        <w:rPr>
          <w:noProof/>
        </w:rPr>
        <w:t>O</w:t>
      </w:r>
      <w:r w:rsidRPr="006A4403">
        <w:t xml:space="preserve">  CDR receipts</w:t>
      </w:r>
      <w:bookmarkEnd w:id="221"/>
      <w:bookmarkEnd w:id="222"/>
    </w:p>
    <w:p w14:paraId="73249C56" w14:textId="77777777" w:rsidR="005F7A0D" w:rsidRPr="006A4403" w:rsidRDefault="005F7A0D" w:rsidP="005F7A0D">
      <w:pPr>
        <w:pStyle w:val="subsection"/>
      </w:pPr>
      <w:r w:rsidRPr="006A4403">
        <w:tab/>
        <w:t>(1)</w:t>
      </w:r>
      <w:r w:rsidRPr="006A4403">
        <w:tab/>
        <w:t>A CDR representative must give the CDR consumer a notice that complies with this rule (a</w:t>
      </w:r>
      <w:r w:rsidRPr="006A4403">
        <w:rPr>
          <w:b/>
          <w:i/>
        </w:rPr>
        <w:t xml:space="preserve"> CDR receipt</w:t>
      </w:r>
      <w:r w:rsidRPr="006A4403">
        <w:t>) as soon as practicable after:</w:t>
      </w:r>
    </w:p>
    <w:p w14:paraId="5E8E95A9" w14:textId="77777777" w:rsidR="005F7A0D" w:rsidRPr="006A4403" w:rsidRDefault="005F7A0D" w:rsidP="005F7A0D">
      <w:pPr>
        <w:pStyle w:val="paragraph"/>
      </w:pPr>
      <w:r w:rsidRPr="006A4403">
        <w:tab/>
        <w:t>(a)</w:t>
      </w:r>
      <w:r w:rsidRPr="006A4403">
        <w:tab/>
        <w:t>the CDR consumer gives the CDR representative a collection consent, a use consent or a disclosure consent; or</w:t>
      </w:r>
    </w:p>
    <w:p w14:paraId="1F106F81" w14:textId="77777777" w:rsidR="005F7A0D" w:rsidRPr="006A4403" w:rsidRDefault="005F7A0D" w:rsidP="005F7A0D">
      <w:pPr>
        <w:pStyle w:val="paragraph"/>
      </w:pPr>
      <w:r w:rsidRPr="006A4403">
        <w:tab/>
        <w:t>(b)</w:t>
      </w:r>
      <w:r w:rsidRPr="006A4403">
        <w:tab/>
        <w:t>the CDR consumer amends such a consent in accordance with this Division; or</w:t>
      </w:r>
    </w:p>
    <w:p w14:paraId="54926C0C" w14:textId="77777777" w:rsidR="005F7A0D" w:rsidRPr="006A4403" w:rsidRDefault="005F7A0D" w:rsidP="005F7A0D">
      <w:pPr>
        <w:pStyle w:val="paragraph"/>
      </w:pPr>
      <w:r w:rsidRPr="006A4403">
        <w:tab/>
        <w:t>(c)</w:t>
      </w:r>
      <w:r w:rsidRPr="006A4403">
        <w:tab/>
        <w:t>the CDR consumer withdraws such a consent in accordance with rule 4.20J.</w:t>
      </w:r>
    </w:p>
    <w:p w14:paraId="1047ED71" w14:textId="77777777" w:rsidR="005F7A0D" w:rsidRPr="006A4403" w:rsidRDefault="005F7A0D" w:rsidP="005F7A0D">
      <w:pPr>
        <w:pStyle w:val="notetext"/>
      </w:pPr>
      <w:r w:rsidRPr="006A4403">
        <w:t>Note:</w:t>
      </w:r>
      <w:r w:rsidRPr="006A4403">
        <w:tab/>
        <w:t>A failure to do this could make the CDR representative principal liable for a civil penalty (see rule 1.16A).</w:t>
      </w:r>
    </w:p>
    <w:p w14:paraId="326CBCCD" w14:textId="77777777" w:rsidR="005F7A0D" w:rsidRPr="006A4403" w:rsidRDefault="005F7A0D" w:rsidP="005F7A0D">
      <w:pPr>
        <w:pStyle w:val="subsection"/>
      </w:pPr>
      <w:r w:rsidRPr="006A4403">
        <w:tab/>
        <w:t>(2)</w:t>
      </w:r>
      <w:r w:rsidRPr="006A4403">
        <w:tab/>
        <w:t>A CDR receipt given for the purposes of paragraph (1)(a) must set out:</w:t>
      </w:r>
    </w:p>
    <w:p w14:paraId="1093D985" w14:textId="77777777" w:rsidR="005F7A0D" w:rsidRPr="006A4403" w:rsidRDefault="005F7A0D" w:rsidP="005F7A0D">
      <w:pPr>
        <w:pStyle w:val="paragraph"/>
      </w:pPr>
      <w:r w:rsidRPr="006A4403">
        <w:tab/>
        <w:t>(a)</w:t>
      </w:r>
      <w:r w:rsidRPr="006A4403">
        <w:tab/>
        <w:t>the details that relate to the consent that are listed in paragraphs 1.14(3)(a) to (f); and</w:t>
      </w:r>
    </w:p>
    <w:p w14:paraId="130C7D04" w14:textId="77777777" w:rsidR="005F7A0D" w:rsidRPr="006A4403" w:rsidRDefault="005F7A0D" w:rsidP="005F7A0D">
      <w:pPr>
        <w:pStyle w:val="paragraph"/>
      </w:pPr>
      <w:r w:rsidRPr="006A4403">
        <w:tab/>
        <w:t>(b)</w:t>
      </w:r>
      <w:r w:rsidRPr="006A4403">
        <w:tab/>
        <w:t>in the case of a collection consent―the name of each CDR participant the CDR consumer has consented to the collection of CDR data from; and</w:t>
      </w:r>
    </w:p>
    <w:p w14:paraId="6124B0AF" w14:textId="77777777" w:rsidR="005F7A0D" w:rsidRPr="006A4403" w:rsidRDefault="005F7A0D" w:rsidP="005F7A0D">
      <w:pPr>
        <w:pStyle w:val="paragraph"/>
      </w:pPr>
      <w:r w:rsidRPr="006A4403">
        <w:tab/>
        <w:t>(ba)</w:t>
      </w:r>
      <w:r w:rsidRPr="006A4403">
        <w:tab/>
        <w:t>in the case of a disclosure consent―the name of the person the CDR consumer has consented to the disclosure of CDR data to; and</w:t>
      </w:r>
    </w:p>
    <w:p w14:paraId="579B062F" w14:textId="77777777" w:rsidR="005F7A0D" w:rsidRPr="006A4403" w:rsidRDefault="005F7A0D" w:rsidP="005F7A0D">
      <w:pPr>
        <w:pStyle w:val="paragraph"/>
      </w:pPr>
      <w:r w:rsidRPr="006A4403">
        <w:tab/>
        <w:t>(c)</w:t>
      </w:r>
      <w:r w:rsidRPr="006A4403">
        <w:tab/>
        <w:t>any other information the CDR representative provided to the CDR consumer when obtaining the consent (see rule 4.20E).</w:t>
      </w:r>
    </w:p>
    <w:p w14:paraId="71492664" w14:textId="77777777" w:rsidR="005F7A0D" w:rsidRPr="006A4403" w:rsidRDefault="005F7A0D" w:rsidP="005F7A0D">
      <w:pPr>
        <w:pStyle w:val="subsection"/>
      </w:pPr>
      <w:r w:rsidRPr="006A4403">
        <w:tab/>
        <w:t>(3)</w:t>
      </w:r>
      <w:r w:rsidRPr="006A4403">
        <w:tab/>
        <w:t>A CDR receipt given for the purposes of paragraph (1)(b) must set out details of each amendment that has been made to the consent.</w:t>
      </w:r>
    </w:p>
    <w:p w14:paraId="1E52CB0F" w14:textId="77777777" w:rsidR="005F7A0D" w:rsidRPr="006A4403" w:rsidRDefault="005F7A0D" w:rsidP="005F7A0D">
      <w:pPr>
        <w:pStyle w:val="subsection"/>
      </w:pPr>
      <w:r w:rsidRPr="006A4403">
        <w:tab/>
        <w:t>(4)</w:t>
      </w:r>
      <w:r w:rsidRPr="006A4403">
        <w:tab/>
        <w:t>A CDR receipt given for the purposes of paragraph (1)(c) must set out when the consent expired.</w:t>
      </w:r>
    </w:p>
    <w:p w14:paraId="6944B452" w14:textId="77777777" w:rsidR="005F7A0D" w:rsidRPr="006A4403" w:rsidRDefault="005F7A0D" w:rsidP="005F7A0D">
      <w:pPr>
        <w:pStyle w:val="subsection"/>
      </w:pPr>
      <w:r w:rsidRPr="006A4403">
        <w:lastRenderedPageBreak/>
        <w:tab/>
        <w:t>(5)</w:t>
      </w:r>
      <w:r w:rsidRPr="006A4403">
        <w:tab/>
        <w:t>A CDR receipt must be given in writing otherwise than through the CDR representative principal’s consumer dashboard.</w:t>
      </w:r>
    </w:p>
    <w:p w14:paraId="0BC69EA2" w14:textId="77777777" w:rsidR="005F7A0D" w:rsidRPr="006A4403" w:rsidRDefault="005F7A0D" w:rsidP="005F7A0D">
      <w:pPr>
        <w:pStyle w:val="notetext"/>
      </w:pPr>
      <w:r w:rsidRPr="006A4403">
        <w:t>Note:</w:t>
      </w:r>
      <w:r w:rsidRPr="006A4403">
        <w:tab/>
        <w:t>The CDR representative principal may allow the CDR representative to provide the consumer dashboard on its behalf—see subrule 1.14(5).</w:t>
      </w:r>
    </w:p>
    <w:p w14:paraId="5DC07575" w14:textId="77777777" w:rsidR="005F7A0D" w:rsidRPr="006A4403" w:rsidRDefault="005F7A0D" w:rsidP="005F7A0D">
      <w:pPr>
        <w:pStyle w:val="subsection"/>
      </w:pPr>
      <w:r w:rsidRPr="006A4403">
        <w:tab/>
        <w:t>(6)</w:t>
      </w:r>
      <w:r w:rsidRPr="006A4403">
        <w:tab/>
        <w:t>A copy of the CDR receipt may be included in the CDR representative principal’s consumer dashboard.</w:t>
      </w:r>
    </w:p>
    <w:p w14:paraId="3B66E3B8" w14:textId="77777777" w:rsidR="005F7A0D" w:rsidRPr="006A4403" w:rsidRDefault="005F7A0D" w:rsidP="005F7A0D">
      <w:pPr>
        <w:pStyle w:val="notetext"/>
      </w:pPr>
      <w:r w:rsidRPr="006A4403">
        <w:t>Note:</w:t>
      </w:r>
      <w:r w:rsidRPr="006A4403">
        <w:tab/>
        <w:t>The CDR representative principal may allow the CDR representative to provide the consumer dashboard on its behalf—see subrule 1.14(5).</w:t>
      </w:r>
    </w:p>
    <w:p w14:paraId="753AD7FE" w14:textId="77777777" w:rsidR="005F7A0D" w:rsidRPr="006A4403" w:rsidRDefault="005F7A0D" w:rsidP="005F7A0D">
      <w:pPr>
        <w:pStyle w:val="ActHead5"/>
      </w:pPr>
      <w:bookmarkStart w:id="223" w:name="_Toc121497429"/>
      <w:bookmarkStart w:id="224" w:name="_Toc135295310"/>
      <w:r w:rsidRPr="006A4403">
        <w:t>4.20</w:t>
      </w:r>
      <w:r w:rsidRPr="006A4403">
        <w:rPr>
          <w:noProof/>
        </w:rPr>
        <w:t>P</w:t>
      </w:r>
      <w:r w:rsidRPr="006A4403">
        <w:t xml:space="preserve">  Notification of data holder or accredited data recipient if collection consent expires</w:t>
      </w:r>
      <w:bookmarkEnd w:id="223"/>
      <w:bookmarkEnd w:id="224"/>
    </w:p>
    <w:p w14:paraId="6D7D166B" w14:textId="77777777" w:rsidR="005F7A0D" w:rsidRPr="006A4403" w:rsidRDefault="005F7A0D" w:rsidP="005F7A0D">
      <w:pPr>
        <w:pStyle w:val="subsection"/>
      </w:pPr>
      <w:r w:rsidRPr="006A4403">
        <w:tab/>
        <w:t>(1)</w:t>
      </w:r>
      <w:r w:rsidRPr="006A4403">
        <w:tab/>
        <w:t>This rule applies if:</w:t>
      </w:r>
    </w:p>
    <w:p w14:paraId="72D1FD7B" w14:textId="77777777" w:rsidR="005F7A0D" w:rsidRPr="006A4403" w:rsidRDefault="005F7A0D" w:rsidP="005F7A0D">
      <w:pPr>
        <w:pStyle w:val="paragraph"/>
      </w:pPr>
      <w:r w:rsidRPr="006A4403">
        <w:tab/>
        <w:t>(a)</w:t>
      </w:r>
      <w:r w:rsidRPr="006A4403">
        <w:tab/>
        <w:t>an accredited person has made a consumer data request on behalf of a CDR representative to a CDR participant based on a collection consent given under this Division relating to particular CDR data and a particular CDR participant; and</w:t>
      </w:r>
    </w:p>
    <w:p w14:paraId="7CF64633" w14:textId="77777777" w:rsidR="005F7A0D" w:rsidRPr="006A4403" w:rsidRDefault="005F7A0D" w:rsidP="005F7A0D">
      <w:pPr>
        <w:pStyle w:val="paragraph"/>
      </w:pPr>
      <w:r w:rsidRPr="006A4403">
        <w:tab/>
        <w:t>(b)</w:t>
      </w:r>
      <w:r w:rsidRPr="006A4403">
        <w:tab/>
        <w:t>the request has not been completely resolved; and</w:t>
      </w:r>
    </w:p>
    <w:p w14:paraId="0EF00FBC" w14:textId="77777777" w:rsidR="005F7A0D" w:rsidRPr="006A4403" w:rsidRDefault="005F7A0D" w:rsidP="005F7A0D">
      <w:pPr>
        <w:pStyle w:val="paragraph"/>
      </w:pPr>
      <w:r w:rsidRPr="006A4403">
        <w:tab/>
        <w:t>(c)</w:t>
      </w:r>
      <w:r w:rsidRPr="006A4403">
        <w:tab/>
        <w:t>the consent expires for any reason.</w:t>
      </w:r>
    </w:p>
    <w:p w14:paraId="2A9866DB" w14:textId="77777777" w:rsidR="005F7A0D" w:rsidRPr="006A4403" w:rsidRDefault="005F7A0D" w:rsidP="005F7A0D">
      <w:pPr>
        <w:pStyle w:val="subsection"/>
      </w:pPr>
      <w:r w:rsidRPr="006A4403">
        <w:tab/>
        <w:t>(2)</w:t>
      </w:r>
      <w:r w:rsidRPr="006A4403">
        <w:tab/>
        <w:t>The accredited person must notify:</w:t>
      </w:r>
    </w:p>
    <w:p w14:paraId="33AEA4F1" w14:textId="77777777" w:rsidR="005F7A0D" w:rsidRPr="006A4403" w:rsidRDefault="005F7A0D" w:rsidP="005F7A0D">
      <w:pPr>
        <w:pStyle w:val="paragraph"/>
      </w:pPr>
      <w:r w:rsidRPr="006A4403">
        <w:tab/>
        <w:t>(a)</w:t>
      </w:r>
      <w:r w:rsidRPr="006A4403">
        <w:tab/>
        <w:t>if the CDR participant is a data holder―the data holder, in accordance with the data standards, that the consent has expired; and</w:t>
      </w:r>
    </w:p>
    <w:p w14:paraId="4DFA9308" w14:textId="77777777" w:rsidR="005F7A0D" w:rsidRPr="006A4403" w:rsidRDefault="005F7A0D" w:rsidP="005F7A0D">
      <w:pPr>
        <w:pStyle w:val="paragraph"/>
      </w:pPr>
      <w:r w:rsidRPr="006A4403">
        <w:tab/>
        <w:t>(b)</w:t>
      </w:r>
      <w:r w:rsidRPr="006A4403">
        <w:tab/>
        <w:t>if the CDR participant is an accredited data recipient―the accredited data recipient as soon as practicable that the consent has expired.</w:t>
      </w:r>
    </w:p>
    <w:p w14:paraId="20E77FD0" w14:textId="77777777" w:rsidR="005F7A0D" w:rsidRPr="006A4403" w:rsidRDefault="005F7A0D" w:rsidP="005F7A0D">
      <w:pPr>
        <w:pStyle w:val="notetext"/>
      </w:pPr>
      <w:r w:rsidRPr="006A4403">
        <w:t>Note:</w:t>
      </w:r>
      <w:r w:rsidRPr="006A4403">
        <w:tab/>
        <w:t>This subrule is a civil penalty provision (see rule 9.8).</w:t>
      </w:r>
    </w:p>
    <w:p w14:paraId="6C1F033C" w14:textId="77777777" w:rsidR="005F7A0D" w:rsidRPr="006A4403" w:rsidRDefault="005F7A0D" w:rsidP="005F7A0D">
      <w:pPr>
        <w:pStyle w:val="ActHead5"/>
      </w:pPr>
      <w:bookmarkStart w:id="225" w:name="_Toc121497430"/>
      <w:bookmarkStart w:id="226" w:name="_Toc135295311"/>
      <w:r w:rsidRPr="006A4403">
        <w:t>4.20</w:t>
      </w:r>
      <w:r w:rsidRPr="006A4403">
        <w:rPr>
          <w:noProof/>
        </w:rPr>
        <w:t>Q</w:t>
      </w:r>
      <w:r w:rsidRPr="006A4403">
        <w:t xml:space="preserve">  Notification of consumer if collection consent expires</w:t>
      </w:r>
      <w:bookmarkEnd w:id="225"/>
      <w:bookmarkEnd w:id="226"/>
    </w:p>
    <w:p w14:paraId="7CCC093B" w14:textId="77777777" w:rsidR="005F7A0D" w:rsidRPr="006A4403" w:rsidRDefault="005F7A0D" w:rsidP="005F7A0D">
      <w:pPr>
        <w:pStyle w:val="subsection"/>
      </w:pPr>
      <w:r w:rsidRPr="006A4403">
        <w:tab/>
        <w:t>(1)</w:t>
      </w:r>
      <w:r w:rsidRPr="006A4403">
        <w:tab/>
        <w:t>This rule applies if, in relation to particular goods or services a CDR representative is providing as referred to in subrule 4.3A(1):</w:t>
      </w:r>
    </w:p>
    <w:p w14:paraId="3A8B2720" w14:textId="77777777" w:rsidR="005F7A0D" w:rsidRPr="006A4403" w:rsidRDefault="005F7A0D" w:rsidP="005F7A0D">
      <w:pPr>
        <w:pStyle w:val="paragraph"/>
      </w:pPr>
      <w:r w:rsidRPr="006A4403">
        <w:tab/>
        <w:t>(a)</w:t>
      </w:r>
      <w:r w:rsidRPr="006A4403">
        <w:tab/>
        <w:t>the collection consent expires; but</w:t>
      </w:r>
    </w:p>
    <w:p w14:paraId="0768D8DC" w14:textId="77777777" w:rsidR="005F7A0D" w:rsidRPr="006A4403" w:rsidRDefault="005F7A0D" w:rsidP="005F7A0D">
      <w:pPr>
        <w:pStyle w:val="paragraph"/>
      </w:pPr>
      <w:r w:rsidRPr="006A4403">
        <w:tab/>
        <w:t>(b)</w:t>
      </w:r>
      <w:r w:rsidRPr="006A4403">
        <w:tab/>
        <w:t>the use consent is current.</w:t>
      </w:r>
    </w:p>
    <w:p w14:paraId="5C54286B" w14:textId="77777777" w:rsidR="005F7A0D" w:rsidRPr="006A4403" w:rsidRDefault="005F7A0D" w:rsidP="005F7A0D">
      <w:pPr>
        <w:pStyle w:val="subsection"/>
      </w:pPr>
      <w:r w:rsidRPr="006A4403">
        <w:tab/>
        <w:t>(2)</w:t>
      </w:r>
      <w:r w:rsidRPr="006A4403">
        <w:tab/>
        <w:t>The CDR representative must notify the CDR consumer as soon as practicable that, at any time, they:</w:t>
      </w:r>
    </w:p>
    <w:p w14:paraId="239F6910" w14:textId="77777777" w:rsidR="005F7A0D" w:rsidRPr="006A4403" w:rsidRDefault="005F7A0D" w:rsidP="005F7A0D">
      <w:pPr>
        <w:pStyle w:val="paragraph"/>
      </w:pPr>
      <w:r w:rsidRPr="006A4403">
        <w:tab/>
        <w:t>(a)</w:t>
      </w:r>
      <w:r w:rsidRPr="006A4403">
        <w:tab/>
        <w:t>may withdraw the use consent; and</w:t>
      </w:r>
    </w:p>
    <w:p w14:paraId="358E5CA3" w14:textId="77777777" w:rsidR="005F7A0D" w:rsidRPr="006A4403" w:rsidRDefault="005F7A0D" w:rsidP="005F7A0D">
      <w:pPr>
        <w:pStyle w:val="paragraph"/>
      </w:pPr>
      <w:r w:rsidRPr="006A4403">
        <w:tab/>
        <w:t>(b)</w:t>
      </w:r>
      <w:r w:rsidRPr="006A4403">
        <w:tab/>
        <w:t>may make the election to delete redundant data in respect of that CDR data under rule 4.20M.</w:t>
      </w:r>
    </w:p>
    <w:p w14:paraId="31849A2E" w14:textId="77777777" w:rsidR="005F7A0D" w:rsidRPr="006A4403" w:rsidRDefault="005F7A0D" w:rsidP="005F7A0D">
      <w:pPr>
        <w:pStyle w:val="notetext"/>
      </w:pPr>
      <w:r w:rsidRPr="006A4403">
        <w:t>Note:</w:t>
      </w:r>
      <w:r w:rsidRPr="006A4403">
        <w:tab/>
        <w:t>A failure to do this could make the CDR representative principal liable for a civil penalty (see rule 1.16A).</w:t>
      </w:r>
    </w:p>
    <w:p w14:paraId="471B9CB2" w14:textId="77777777" w:rsidR="005F7A0D" w:rsidRPr="006A4403" w:rsidRDefault="005F7A0D" w:rsidP="005F7A0D">
      <w:pPr>
        <w:pStyle w:val="subsection"/>
      </w:pPr>
      <w:r w:rsidRPr="006A4403">
        <w:tab/>
        <w:t>(3)</w:t>
      </w:r>
      <w:r w:rsidRPr="006A4403">
        <w:tab/>
        <w:t>The notification must be given in writing otherwise than through the CDR representative principal’s consumer dashboard.</w:t>
      </w:r>
    </w:p>
    <w:p w14:paraId="0957252B" w14:textId="77777777" w:rsidR="005F7A0D" w:rsidRPr="006A4403" w:rsidRDefault="005F7A0D" w:rsidP="005F7A0D">
      <w:pPr>
        <w:pStyle w:val="notetext"/>
      </w:pPr>
      <w:r w:rsidRPr="006A4403">
        <w:t>Note:</w:t>
      </w:r>
      <w:r w:rsidRPr="006A4403">
        <w:tab/>
        <w:t>The CDR representative principal may allow the CDR representative to provide the consumer dashboard on its behalf—see subrule 1.14(5).</w:t>
      </w:r>
    </w:p>
    <w:p w14:paraId="6F39A78D" w14:textId="77777777" w:rsidR="005F7A0D" w:rsidRPr="006A4403" w:rsidRDefault="005F7A0D" w:rsidP="005F7A0D">
      <w:pPr>
        <w:pStyle w:val="subsection"/>
      </w:pPr>
      <w:r w:rsidRPr="006A4403">
        <w:tab/>
        <w:t>(4)</w:t>
      </w:r>
      <w:r w:rsidRPr="006A4403">
        <w:tab/>
        <w:t>The notification may also be included in the CDR representative principal’s consumer dashboard.</w:t>
      </w:r>
    </w:p>
    <w:p w14:paraId="11DDD0A0" w14:textId="77777777" w:rsidR="005F7A0D" w:rsidRPr="006A4403" w:rsidRDefault="005F7A0D" w:rsidP="005F7A0D">
      <w:pPr>
        <w:pStyle w:val="notetext"/>
      </w:pPr>
      <w:r w:rsidRPr="006A4403">
        <w:t>Note:</w:t>
      </w:r>
      <w:r w:rsidRPr="006A4403">
        <w:tab/>
        <w:t>The CDR representative principal may allow the CDR representative to provide the consumer dashboard on its behalf—see subrule 1.14(5).</w:t>
      </w:r>
    </w:p>
    <w:p w14:paraId="05993C1B" w14:textId="77777777" w:rsidR="005F7A0D" w:rsidRPr="006A4403" w:rsidRDefault="005F7A0D" w:rsidP="005F7A0D">
      <w:pPr>
        <w:pStyle w:val="ActHead5"/>
      </w:pPr>
      <w:bookmarkStart w:id="227" w:name="_Toc121497431"/>
      <w:bookmarkStart w:id="228" w:name="_Toc135295312"/>
      <w:r w:rsidRPr="006A4403">
        <w:lastRenderedPageBreak/>
        <w:t>4.20</w:t>
      </w:r>
      <w:r w:rsidRPr="006A4403">
        <w:rPr>
          <w:noProof/>
        </w:rPr>
        <w:t>R</w:t>
      </w:r>
      <w:r w:rsidRPr="006A4403">
        <w:t xml:space="preserve">  Notification if collection consent or AP disclosure consent expires</w:t>
      </w:r>
      <w:bookmarkEnd w:id="227"/>
      <w:bookmarkEnd w:id="228"/>
    </w:p>
    <w:p w14:paraId="62A39134" w14:textId="77777777" w:rsidR="005F7A0D" w:rsidRPr="006A4403" w:rsidRDefault="005F7A0D" w:rsidP="005F7A0D">
      <w:pPr>
        <w:pStyle w:val="subsection"/>
      </w:pPr>
      <w:r w:rsidRPr="006A4403">
        <w:tab/>
        <w:t>(1)</w:t>
      </w:r>
      <w:r w:rsidRPr="006A4403">
        <w:tab/>
        <w:t>This rule applies if:</w:t>
      </w:r>
    </w:p>
    <w:p w14:paraId="380656FA" w14:textId="77777777" w:rsidR="005F7A0D" w:rsidRPr="006A4403" w:rsidRDefault="005F7A0D" w:rsidP="005F7A0D">
      <w:pPr>
        <w:pStyle w:val="paragraph"/>
      </w:pPr>
      <w:r w:rsidRPr="006A4403">
        <w:tab/>
        <w:t>(a)</w:t>
      </w:r>
      <w:r w:rsidRPr="006A4403">
        <w:tab/>
        <w:t>a CDR representative principal has made a consumer data request to an accredited data recipient on behalf of a CDR representative, based on a collection consent given under this Division relating to particular CDR data and that accredited data recipient; and</w:t>
      </w:r>
    </w:p>
    <w:p w14:paraId="66437B8D" w14:textId="77777777" w:rsidR="005F7A0D" w:rsidRPr="006A4403" w:rsidRDefault="005F7A0D" w:rsidP="005F7A0D">
      <w:pPr>
        <w:pStyle w:val="paragraph"/>
      </w:pPr>
      <w:r w:rsidRPr="006A4403">
        <w:tab/>
        <w:t>(b)</w:t>
      </w:r>
      <w:r w:rsidRPr="006A4403">
        <w:tab/>
        <w:t>the accredited data recipient has an AP disclosure consent relating to that CDR data; and</w:t>
      </w:r>
    </w:p>
    <w:p w14:paraId="45E7BC0B" w14:textId="77777777" w:rsidR="005F7A0D" w:rsidRPr="006A4403" w:rsidRDefault="005F7A0D" w:rsidP="005F7A0D">
      <w:pPr>
        <w:pStyle w:val="paragraph"/>
      </w:pPr>
      <w:r w:rsidRPr="006A4403">
        <w:tab/>
        <w:t>(c)</w:t>
      </w:r>
      <w:r w:rsidRPr="006A4403">
        <w:tab/>
        <w:t>the request has not been completely resolved.</w:t>
      </w:r>
    </w:p>
    <w:p w14:paraId="6625DA72" w14:textId="77777777" w:rsidR="005F7A0D" w:rsidRPr="006A4403" w:rsidRDefault="005F7A0D" w:rsidP="005F7A0D">
      <w:pPr>
        <w:pStyle w:val="subsection"/>
      </w:pPr>
      <w:r w:rsidRPr="006A4403">
        <w:tab/>
        <w:t>(2)</w:t>
      </w:r>
      <w:r w:rsidRPr="006A4403">
        <w:tab/>
        <w:t>If the collection consent expires in accordance with these rules, the CDR representative principal must notify the accredited data recipient as soon as practicable of the expiry.</w:t>
      </w:r>
    </w:p>
    <w:p w14:paraId="553A2932" w14:textId="77777777" w:rsidR="005F7A0D" w:rsidRPr="006A4403" w:rsidRDefault="005F7A0D" w:rsidP="005F7A0D">
      <w:pPr>
        <w:pStyle w:val="notetext"/>
      </w:pPr>
      <w:r w:rsidRPr="006A4403">
        <w:t>Note 1:</w:t>
      </w:r>
      <w:r w:rsidRPr="006A4403">
        <w:tab/>
        <w:t>This subrule is a civil penalty provision (see rule 9.8).</w:t>
      </w:r>
    </w:p>
    <w:p w14:paraId="334B3E94" w14:textId="77777777" w:rsidR="005F7A0D" w:rsidRPr="006A4403" w:rsidRDefault="005F7A0D" w:rsidP="005F7A0D">
      <w:pPr>
        <w:pStyle w:val="notetext"/>
      </w:pPr>
      <w:r w:rsidRPr="006A4403">
        <w:t>Note 2:</w:t>
      </w:r>
      <w:r w:rsidRPr="006A4403">
        <w:tab/>
        <w:t>The AP disclosure consent that the accredited data recipient has expires when the notification is received—see subrule 4.20K(2).</w:t>
      </w:r>
    </w:p>
    <w:p w14:paraId="68AC7E51" w14:textId="77777777" w:rsidR="005F7A0D" w:rsidRPr="006A4403" w:rsidRDefault="005F7A0D" w:rsidP="005F7A0D">
      <w:pPr>
        <w:pStyle w:val="subsection"/>
      </w:pPr>
      <w:r w:rsidRPr="006A4403">
        <w:tab/>
        <w:t>(3)</w:t>
      </w:r>
      <w:r w:rsidRPr="006A4403">
        <w:tab/>
        <w:t>If the AP disclosure consent expires in accordance with these rules, the accredited data recipient must notify the CDR representative principal as soon as practicable of the expiry.</w:t>
      </w:r>
    </w:p>
    <w:p w14:paraId="3C76DF5D" w14:textId="77777777" w:rsidR="005F7A0D" w:rsidRPr="006A4403" w:rsidRDefault="005F7A0D" w:rsidP="005F7A0D">
      <w:pPr>
        <w:pStyle w:val="notetext"/>
      </w:pPr>
      <w:r w:rsidRPr="006A4403">
        <w:t>Note 1:</w:t>
      </w:r>
      <w:r w:rsidRPr="006A4403">
        <w:tab/>
        <w:t>This subrule is a civil penalty provision (see rule 9.8).</w:t>
      </w:r>
    </w:p>
    <w:p w14:paraId="3763C8E1" w14:textId="77777777" w:rsidR="005F7A0D" w:rsidRPr="006A4403" w:rsidRDefault="005F7A0D" w:rsidP="005F7A0D">
      <w:pPr>
        <w:pStyle w:val="notetext"/>
      </w:pPr>
      <w:r w:rsidRPr="006A4403">
        <w:t>Note 2:</w:t>
      </w:r>
      <w:r w:rsidRPr="006A4403">
        <w:tab/>
        <w:t>The collection consent that the CDR representative principal has expires when the notification is received—see subrule 4.20K(2).</w:t>
      </w:r>
    </w:p>
    <w:p w14:paraId="0A1E2E44" w14:textId="77777777" w:rsidR="005F7A0D" w:rsidRPr="006A4403" w:rsidRDefault="005F7A0D" w:rsidP="005F7A0D">
      <w:pPr>
        <w:pStyle w:val="ActHead5"/>
      </w:pPr>
      <w:bookmarkStart w:id="229" w:name="_Toc121497432"/>
      <w:bookmarkStart w:id="230" w:name="_Toc135295313"/>
      <w:r w:rsidRPr="006A4403">
        <w:t>4.20</w:t>
      </w:r>
      <w:r w:rsidRPr="006A4403">
        <w:rPr>
          <w:noProof/>
        </w:rPr>
        <w:t>S</w:t>
      </w:r>
      <w:r w:rsidRPr="006A4403">
        <w:t xml:space="preserve">  Notification if collection consent is amended</w:t>
      </w:r>
      <w:bookmarkEnd w:id="229"/>
      <w:bookmarkEnd w:id="230"/>
    </w:p>
    <w:p w14:paraId="42E1A7F7" w14:textId="77777777" w:rsidR="005F7A0D" w:rsidRPr="006A4403" w:rsidRDefault="005F7A0D" w:rsidP="005F7A0D">
      <w:pPr>
        <w:pStyle w:val="subsection"/>
      </w:pPr>
      <w:r w:rsidRPr="006A4403">
        <w:tab/>
        <w:t>(1)</w:t>
      </w:r>
      <w:r w:rsidRPr="006A4403">
        <w:tab/>
        <w:t>This rule applies if:</w:t>
      </w:r>
    </w:p>
    <w:p w14:paraId="65F59096" w14:textId="77777777" w:rsidR="005F7A0D" w:rsidRPr="006A4403" w:rsidRDefault="005F7A0D" w:rsidP="005F7A0D">
      <w:pPr>
        <w:pStyle w:val="paragraph"/>
      </w:pPr>
      <w:r w:rsidRPr="006A4403">
        <w:tab/>
        <w:t>(a)</w:t>
      </w:r>
      <w:r w:rsidRPr="006A4403">
        <w:tab/>
        <w:t>a CDR representative principal has made a consumer data request to a CDR participant on behalf of a CDR representative, based on a collection consent given under this Division relating to particular CDR data and a particular CDR participant; and</w:t>
      </w:r>
    </w:p>
    <w:p w14:paraId="18B8ACE0" w14:textId="77777777" w:rsidR="005F7A0D" w:rsidRPr="006A4403" w:rsidRDefault="005F7A0D" w:rsidP="005F7A0D">
      <w:pPr>
        <w:pStyle w:val="paragraph"/>
      </w:pPr>
      <w:r w:rsidRPr="006A4403">
        <w:tab/>
        <w:t>(b)</w:t>
      </w:r>
      <w:r w:rsidRPr="006A4403">
        <w:tab/>
        <w:t>the request has not been completely resolved; and</w:t>
      </w:r>
    </w:p>
    <w:p w14:paraId="7FCCD3CE" w14:textId="77777777" w:rsidR="005F7A0D" w:rsidRPr="006A4403" w:rsidRDefault="005F7A0D" w:rsidP="005F7A0D">
      <w:pPr>
        <w:pStyle w:val="paragraph"/>
      </w:pPr>
      <w:r w:rsidRPr="006A4403">
        <w:tab/>
        <w:t>(c)</w:t>
      </w:r>
      <w:r w:rsidRPr="006A4403">
        <w:tab/>
        <w:t>the CDR consumer amends the consent.</w:t>
      </w:r>
    </w:p>
    <w:p w14:paraId="6FE67C25" w14:textId="77777777" w:rsidR="005F7A0D" w:rsidRPr="006A4403" w:rsidRDefault="005F7A0D" w:rsidP="005F7A0D">
      <w:pPr>
        <w:pStyle w:val="subsection"/>
      </w:pPr>
      <w:r w:rsidRPr="006A4403">
        <w:tab/>
        <w:t>(2)</w:t>
      </w:r>
      <w:r w:rsidRPr="006A4403">
        <w:tab/>
        <w:t>The CDR representative principal must notify:</w:t>
      </w:r>
    </w:p>
    <w:p w14:paraId="78359073" w14:textId="77777777" w:rsidR="005F7A0D" w:rsidRPr="006A4403" w:rsidRDefault="005F7A0D" w:rsidP="005F7A0D">
      <w:pPr>
        <w:pStyle w:val="paragraph"/>
      </w:pPr>
      <w:r w:rsidRPr="006A4403">
        <w:tab/>
        <w:t>(a)</w:t>
      </w:r>
      <w:r w:rsidRPr="006A4403">
        <w:tab/>
        <w:t>if the CDR participant is a data holder―the data holder, in accordance with the data standards, that the consent has been amended; and</w:t>
      </w:r>
    </w:p>
    <w:p w14:paraId="39F3731B" w14:textId="77777777" w:rsidR="005F7A0D" w:rsidRPr="006A4403" w:rsidRDefault="005F7A0D" w:rsidP="005F7A0D">
      <w:pPr>
        <w:pStyle w:val="paragraph"/>
      </w:pPr>
      <w:r w:rsidRPr="006A4403">
        <w:tab/>
        <w:t>(b)</w:t>
      </w:r>
      <w:r w:rsidRPr="006A4403">
        <w:tab/>
        <w:t>if the CDR participant is an accredited data recipient―the accredited data recipient as soon as practicable that the consent has been amended.</w:t>
      </w:r>
    </w:p>
    <w:p w14:paraId="4B9398DE" w14:textId="77777777" w:rsidR="005F7A0D" w:rsidRPr="006A4403" w:rsidRDefault="005F7A0D" w:rsidP="005F7A0D">
      <w:pPr>
        <w:pStyle w:val="notetext"/>
      </w:pPr>
      <w:r w:rsidRPr="006A4403">
        <w:t>Note:</w:t>
      </w:r>
      <w:r w:rsidRPr="006A4403">
        <w:tab/>
        <w:t>This subrule is a civil penalty provision (see rule 9.8).</w:t>
      </w:r>
    </w:p>
    <w:p w14:paraId="785C501E" w14:textId="77777777" w:rsidR="005F7A0D" w:rsidRPr="006A4403" w:rsidRDefault="005F7A0D" w:rsidP="005F7A0D">
      <w:pPr>
        <w:pStyle w:val="ActHead5"/>
      </w:pPr>
      <w:bookmarkStart w:id="231" w:name="_Toc121497433"/>
      <w:bookmarkStart w:id="232" w:name="_Toc135295314"/>
      <w:r w:rsidRPr="006A4403">
        <w:t>4.20</w:t>
      </w:r>
      <w:r w:rsidRPr="006A4403">
        <w:rPr>
          <w:noProof/>
        </w:rPr>
        <w:t>T</w:t>
      </w:r>
      <w:r w:rsidRPr="006A4403">
        <w:t xml:space="preserve">  Updating consumer dashboard</w:t>
      </w:r>
      <w:bookmarkEnd w:id="231"/>
      <w:bookmarkEnd w:id="232"/>
    </w:p>
    <w:p w14:paraId="087A7614" w14:textId="77777777" w:rsidR="005F7A0D" w:rsidRPr="006A4403" w:rsidRDefault="005F7A0D" w:rsidP="005F7A0D">
      <w:pPr>
        <w:pStyle w:val="subsection"/>
      </w:pPr>
      <w:bookmarkStart w:id="233" w:name="_Hlk120542075"/>
      <w:r w:rsidRPr="006A4403">
        <w:tab/>
        <w:t>(1)</w:t>
      </w:r>
      <w:r w:rsidRPr="006A4403">
        <w:tab/>
        <w:t>A CDR representative must inform the CDR representative principal as soon as practicable after the information required to be contained on the CDR representative principal’s consumer dashboard changes.</w:t>
      </w:r>
    </w:p>
    <w:p w14:paraId="5D109563" w14:textId="77777777" w:rsidR="005F7A0D" w:rsidRPr="006A4403" w:rsidRDefault="005F7A0D" w:rsidP="005F7A0D">
      <w:pPr>
        <w:pStyle w:val="notetext"/>
      </w:pPr>
      <w:r w:rsidRPr="006A4403">
        <w:t>Note:</w:t>
      </w:r>
      <w:r w:rsidRPr="006A4403">
        <w:tab/>
        <w:t>The CDR representative principal may allow the CDR representative to provide the consumer dashboard on its behalf—see subrule 1.14(5).</w:t>
      </w:r>
    </w:p>
    <w:p w14:paraId="603FD2AD" w14:textId="77777777" w:rsidR="005F7A0D" w:rsidRPr="006A4403" w:rsidRDefault="005F7A0D" w:rsidP="005F7A0D">
      <w:pPr>
        <w:pStyle w:val="subsection"/>
      </w:pPr>
      <w:r w:rsidRPr="006A4403">
        <w:tab/>
        <w:t>(2)</w:t>
      </w:r>
      <w:r w:rsidRPr="006A4403">
        <w:tab/>
        <w:t>The CDR representative principal must, as soon as practicable, make those changes.</w:t>
      </w:r>
    </w:p>
    <w:bookmarkEnd w:id="233"/>
    <w:p w14:paraId="0B821D47" w14:textId="77777777" w:rsidR="005F7A0D" w:rsidRPr="006A4403" w:rsidRDefault="005F7A0D" w:rsidP="005F7A0D">
      <w:pPr>
        <w:pStyle w:val="notetext"/>
      </w:pPr>
      <w:r w:rsidRPr="006A4403">
        <w:lastRenderedPageBreak/>
        <w:t>Note 1:</w:t>
      </w:r>
      <w:r w:rsidRPr="006A4403">
        <w:tab/>
        <w:t>This subrule is a civil penalty provision (see rule 9.8).</w:t>
      </w:r>
    </w:p>
    <w:p w14:paraId="19A9EBE3" w14:textId="77777777" w:rsidR="005F7A0D" w:rsidRPr="006A4403" w:rsidRDefault="005F7A0D" w:rsidP="005F7A0D">
      <w:pPr>
        <w:pStyle w:val="notetext"/>
      </w:pPr>
      <w:bookmarkStart w:id="234" w:name="_Hlk121469788"/>
      <w:r w:rsidRPr="006A4403">
        <w:t>Note 2:</w:t>
      </w:r>
      <w:r w:rsidRPr="006A4403">
        <w:tab/>
        <w:t>The CDR representative principal could arrange for the CDR representative to update the consumer dashboard on the CDR representative principal’s behalf: see subrule 4.19(2).</w:t>
      </w:r>
    </w:p>
    <w:p w14:paraId="26CB14B2" w14:textId="77777777" w:rsidR="005F7A0D" w:rsidRPr="006A4403" w:rsidRDefault="005F7A0D" w:rsidP="005F7A0D">
      <w:pPr>
        <w:pStyle w:val="ActHead5"/>
      </w:pPr>
      <w:bookmarkStart w:id="235" w:name="_Toc121497434"/>
      <w:bookmarkStart w:id="236" w:name="_Toc135295315"/>
      <w:bookmarkEnd w:id="234"/>
      <w:r w:rsidRPr="006A4403">
        <w:t>4.20</w:t>
      </w:r>
      <w:r w:rsidRPr="006A4403">
        <w:rPr>
          <w:noProof/>
        </w:rPr>
        <w:t>U</w:t>
      </w:r>
      <w:r w:rsidRPr="006A4403">
        <w:t xml:space="preserve">  Ongoing notification requirement—collection consents and use consents</w:t>
      </w:r>
      <w:bookmarkEnd w:id="235"/>
      <w:bookmarkEnd w:id="236"/>
      <w:r w:rsidRPr="006A4403">
        <w:t xml:space="preserve"> </w:t>
      </w:r>
    </w:p>
    <w:p w14:paraId="57E5B11A" w14:textId="77777777" w:rsidR="005F7A0D" w:rsidRPr="006A4403" w:rsidRDefault="005F7A0D" w:rsidP="005F7A0D">
      <w:pPr>
        <w:pStyle w:val="subsection"/>
      </w:pPr>
      <w:r w:rsidRPr="006A4403">
        <w:tab/>
        <w:t>(1)</w:t>
      </w:r>
      <w:r w:rsidRPr="006A4403">
        <w:tab/>
        <w:t>This rule applies in relation to a collection consent or a use consent given under this Division if:</w:t>
      </w:r>
    </w:p>
    <w:p w14:paraId="21C81461" w14:textId="77777777" w:rsidR="005F7A0D" w:rsidRPr="006A4403" w:rsidRDefault="005F7A0D" w:rsidP="005F7A0D">
      <w:pPr>
        <w:pStyle w:val="paragraph"/>
      </w:pPr>
      <w:r w:rsidRPr="006A4403">
        <w:tab/>
        <w:t>(a)</w:t>
      </w:r>
      <w:r w:rsidRPr="006A4403">
        <w:tab/>
        <w:t>the consent is current; and</w:t>
      </w:r>
    </w:p>
    <w:p w14:paraId="13C2903A" w14:textId="77777777" w:rsidR="005F7A0D" w:rsidRPr="006A4403" w:rsidRDefault="005F7A0D" w:rsidP="005F7A0D">
      <w:pPr>
        <w:pStyle w:val="paragraph"/>
      </w:pPr>
      <w:r w:rsidRPr="006A4403">
        <w:tab/>
        <w:t>(b)</w:t>
      </w:r>
      <w:r w:rsidRPr="006A4403">
        <w:tab/>
        <w:t>90 days have elapsed since the latest of the following:</w:t>
      </w:r>
    </w:p>
    <w:p w14:paraId="2A23C362" w14:textId="77777777" w:rsidR="005F7A0D" w:rsidRPr="006A4403" w:rsidRDefault="005F7A0D" w:rsidP="005F7A0D">
      <w:pPr>
        <w:pStyle w:val="paragraphsub"/>
      </w:pPr>
      <w:r w:rsidRPr="006A4403">
        <w:tab/>
        <w:t>(i)</w:t>
      </w:r>
      <w:r w:rsidRPr="006A4403">
        <w:tab/>
        <w:t>the CDR consumer gave the consent;</w:t>
      </w:r>
    </w:p>
    <w:p w14:paraId="390B56ED" w14:textId="77777777" w:rsidR="005F7A0D" w:rsidRPr="006A4403" w:rsidRDefault="005F7A0D" w:rsidP="005F7A0D">
      <w:pPr>
        <w:pStyle w:val="paragraphsub"/>
      </w:pPr>
      <w:r w:rsidRPr="006A4403">
        <w:tab/>
        <w:t>(ii)</w:t>
      </w:r>
      <w:r w:rsidRPr="006A4403">
        <w:tab/>
        <w:t>the CDR consumer last amended the consent;</w:t>
      </w:r>
    </w:p>
    <w:p w14:paraId="03129127" w14:textId="77777777" w:rsidR="005F7A0D" w:rsidRPr="006A4403" w:rsidRDefault="005F7A0D" w:rsidP="005F7A0D">
      <w:pPr>
        <w:pStyle w:val="paragraphsub"/>
      </w:pPr>
      <w:r w:rsidRPr="006A4403">
        <w:tab/>
        <w:t>(iii)</w:t>
      </w:r>
      <w:r w:rsidRPr="006A4403">
        <w:tab/>
        <w:t>the CDR consumer last used the CDR representative principal’s consumer dashboard;</w:t>
      </w:r>
    </w:p>
    <w:p w14:paraId="7A572A7B" w14:textId="77777777" w:rsidR="005F7A0D" w:rsidRPr="006A4403" w:rsidRDefault="005F7A0D" w:rsidP="005F7A0D">
      <w:pPr>
        <w:pStyle w:val="paragraphsub"/>
      </w:pPr>
      <w:r w:rsidRPr="006A4403">
        <w:tab/>
        <w:t>(iv)</w:t>
      </w:r>
      <w:r w:rsidRPr="006A4403">
        <w:tab/>
        <w:t>the CDR representative or the CDR representative principal last sent the CDR consumer a notification in accordance with this rule.</w:t>
      </w:r>
    </w:p>
    <w:p w14:paraId="7D059C0E" w14:textId="77777777" w:rsidR="005F7A0D" w:rsidRPr="006A4403" w:rsidRDefault="005F7A0D" w:rsidP="005F7A0D">
      <w:pPr>
        <w:pStyle w:val="subsection"/>
      </w:pPr>
      <w:r w:rsidRPr="006A4403">
        <w:tab/>
        <w:t>(2)</w:t>
      </w:r>
      <w:r w:rsidRPr="006A4403">
        <w:tab/>
        <w:t>The CDR representative must notify the CDR consumer in accordance with this rule that the consent is still current.</w:t>
      </w:r>
    </w:p>
    <w:p w14:paraId="5B40C117" w14:textId="77777777" w:rsidR="005F7A0D" w:rsidRPr="006A4403" w:rsidRDefault="005F7A0D" w:rsidP="005F7A0D">
      <w:pPr>
        <w:pStyle w:val="notetext"/>
      </w:pPr>
      <w:r w:rsidRPr="006A4403">
        <w:t>Note:</w:t>
      </w:r>
      <w:r w:rsidRPr="006A4403">
        <w:tab/>
        <w:t>A failure to do this could make the CDR representative principal liable for a civil penalty (see rule 1.16A).</w:t>
      </w:r>
    </w:p>
    <w:p w14:paraId="5E3C80DF" w14:textId="77777777" w:rsidR="005F7A0D" w:rsidRPr="006A4403" w:rsidRDefault="005F7A0D" w:rsidP="005F7A0D">
      <w:pPr>
        <w:pStyle w:val="subsection"/>
      </w:pPr>
      <w:r w:rsidRPr="006A4403">
        <w:tab/>
        <w:t>(3)</w:t>
      </w:r>
      <w:r w:rsidRPr="006A4403">
        <w:tab/>
        <w:t>The notification must be given in writing otherwise than through the CDR representative principal’s consumer dashboard.</w:t>
      </w:r>
    </w:p>
    <w:p w14:paraId="5228CBF8" w14:textId="77777777" w:rsidR="005F7A0D" w:rsidRPr="006A4403" w:rsidRDefault="005F7A0D" w:rsidP="005F7A0D">
      <w:pPr>
        <w:pStyle w:val="subsection"/>
      </w:pPr>
      <w:r w:rsidRPr="006A4403">
        <w:tab/>
        <w:t>(4)</w:t>
      </w:r>
      <w:r w:rsidRPr="006A4403">
        <w:tab/>
        <w:t>A copy of the notification may be included in the CDR representative principal’s consumer dashboard.</w:t>
      </w:r>
    </w:p>
    <w:p w14:paraId="0225C496" w14:textId="77777777" w:rsidR="005F7A0D" w:rsidRPr="006A4403" w:rsidRDefault="005F7A0D" w:rsidP="005F7A0D">
      <w:pPr>
        <w:pStyle w:val="notetext"/>
      </w:pPr>
      <w:r w:rsidRPr="006A4403">
        <w:t>Note:</w:t>
      </w:r>
      <w:r w:rsidRPr="006A4403">
        <w:tab/>
        <w:t>The CDR representative principal may allow the CDR representative to provide the consumer dashboard on its behalf—see subrule 1.14(5).</w:t>
      </w:r>
    </w:p>
    <w:p w14:paraId="7DF359A6" w14:textId="77777777" w:rsidR="005F7A0D" w:rsidRPr="006A4403" w:rsidRDefault="004B0AB6" w:rsidP="005F7A0D">
      <w:pPr>
        <w:pStyle w:val="ItemHead"/>
      </w:pPr>
      <w:r>
        <w:t>75</w:t>
      </w:r>
      <w:r w:rsidR="00723B2F" w:rsidRPr="006A4403">
        <w:t xml:space="preserve">  </w:t>
      </w:r>
      <w:r w:rsidR="005F7A0D" w:rsidRPr="006A4403">
        <w:t>Subrule 4.22A(1)</w:t>
      </w:r>
    </w:p>
    <w:p w14:paraId="7BC3271F" w14:textId="77777777" w:rsidR="005F7A0D" w:rsidRPr="006A4403" w:rsidRDefault="005F7A0D" w:rsidP="005F7A0D">
      <w:pPr>
        <w:pStyle w:val="Item"/>
      </w:pPr>
      <w:r w:rsidRPr="006A4403">
        <w:t>After “rule 4.18C”, insert “or 4.20S”.</w:t>
      </w:r>
    </w:p>
    <w:p w14:paraId="08C0BDBC" w14:textId="77777777" w:rsidR="005F7A0D" w:rsidRPr="006A4403" w:rsidRDefault="004B0AB6" w:rsidP="005F7A0D">
      <w:pPr>
        <w:pStyle w:val="ItemHead"/>
      </w:pPr>
      <w:r>
        <w:t>76</w:t>
      </w:r>
      <w:r w:rsidR="00723B2F" w:rsidRPr="006A4403">
        <w:t xml:space="preserve">  </w:t>
      </w:r>
      <w:r w:rsidR="005F7A0D" w:rsidRPr="006A4403">
        <w:t>At the end of subrule 4.23(1)</w:t>
      </w:r>
    </w:p>
    <w:p w14:paraId="653B974F" w14:textId="77777777" w:rsidR="005F7A0D" w:rsidRPr="006A4403" w:rsidRDefault="005F7A0D" w:rsidP="005F7A0D">
      <w:pPr>
        <w:pStyle w:val="Item"/>
      </w:pPr>
      <w:r w:rsidRPr="006A4403">
        <w:t>Add:</w:t>
      </w:r>
    </w:p>
    <w:p w14:paraId="3A288C83" w14:textId="77777777" w:rsidR="005F7A0D" w:rsidRPr="006A4403" w:rsidRDefault="005F7A0D" w:rsidP="005F7A0D">
      <w:pPr>
        <w:pStyle w:val="notetext"/>
      </w:pPr>
      <w:bookmarkStart w:id="237" w:name="_Hlk121831038"/>
      <w:r w:rsidRPr="006A4403">
        <w:t>Note:</w:t>
      </w:r>
      <w:r w:rsidRPr="006A4403">
        <w:tab/>
        <w:t>While certain consents by a CDR business consumer can have a period of 7 years, a corresponding authorisation cannot be for more than 12 months before renewal under subparagraph (1)(d)(ii).</w:t>
      </w:r>
    </w:p>
    <w:bookmarkEnd w:id="237"/>
    <w:p w14:paraId="40A35D20" w14:textId="77777777" w:rsidR="005F7A0D" w:rsidRPr="006A4403" w:rsidRDefault="004B0AB6" w:rsidP="005F7A0D">
      <w:pPr>
        <w:pStyle w:val="ItemHead"/>
      </w:pPr>
      <w:r>
        <w:t>77</w:t>
      </w:r>
      <w:r w:rsidR="00723B2F" w:rsidRPr="006A4403">
        <w:t xml:space="preserve">  </w:t>
      </w:r>
      <w:r w:rsidR="005F7A0D" w:rsidRPr="006A4403">
        <w:t>Rule 4.25</w:t>
      </w:r>
    </w:p>
    <w:p w14:paraId="56385ECE" w14:textId="77777777" w:rsidR="005F7A0D" w:rsidRPr="006A4403" w:rsidRDefault="005F7A0D" w:rsidP="005F7A0D">
      <w:pPr>
        <w:pStyle w:val="Item"/>
      </w:pPr>
      <w:r w:rsidRPr="006A4403">
        <w:t>Repeal the rule, substitute:</w:t>
      </w:r>
    </w:p>
    <w:p w14:paraId="4B99D7EE" w14:textId="77777777" w:rsidR="005F7A0D" w:rsidRPr="006A4403" w:rsidRDefault="005F7A0D" w:rsidP="005F7A0D">
      <w:pPr>
        <w:pStyle w:val="ActHead5"/>
      </w:pPr>
      <w:bookmarkStart w:id="238" w:name="_Toc121497441"/>
      <w:bookmarkStart w:id="239" w:name="_Toc135295316"/>
      <w:bookmarkStart w:id="240" w:name="_Toc50114068"/>
      <w:bookmarkStart w:id="241" w:name="_Toc50633098"/>
      <w:bookmarkStart w:id="242" w:name="_Toc57219058"/>
      <w:bookmarkStart w:id="243" w:name="_Toc59549169"/>
      <w:bookmarkStart w:id="244" w:name="_Hlk121831060"/>
      <w:r w:rsidRPr="006A4403">
        <w:t>4.25  Withdrawal of authorisation to disclose CDR data</w:t>
      </w:r>
      <w:bookmarkEnd w:id="238"/>
      <w:bookmarkEnd w:id="239"/>
    </w:p>
    <w:p w14:paraId="67FDB028" w14:textId="77777777" w:rsidR="005F7A0D" w:rsidRPr="006A4403" w:rsidRDefault="005F7A0D" w:rsidP="005F7A0D">
      <w:pPr>
        <w:pStyle w:val="subsection"/>
      </w:pPr>
      <w:r w:rsidRPr="006A4403">
        <w:tab/>
        <w:t>(1)</w:t>
      </w:r>
      <w:r w:rsidRPr="006A4403">
        <w:tab/>
      </w:r>
      <w:bookmarkStart w:id="245" w:name="_Hlk115449512"/>
      <w:r w:rsidRPr="006A4403">
        <w:t>A CDR consumer who has given an authorisation to a data holder</w:t>
      </w:r>
      <w:bookmarkEnd w:id="245"/>
      <w:r w:rsidRPr="006A4403">
        <w:t xml:space="preserve"> to disclose particular CDR data to an accredited person may withdraw the authorisation at any time:</w:t>
      </w:r>
    </w:p>
    <w:p w14:paraId="0A5BE18D" w14:textId="77777777" w:rsidR="005F7A0D" w:rsidRPr="006A4403" w:rsidRDefault="005F7A0D" w:rsidP="005F7A0D">
      <w:pPr>
        <w:pStyle w:val="paragraph"/>
      </w:pPr>
      <w:r w:rsidRPr="006A4403">
        <w:tab/>
        <w:t>(a)</w:t>
      </w:r>
      <w:r w:rsidRPr="006A4403">
        <w:tab/>
        <w:t>by using the data holder’s consumer dashboard; or</w:t>
      </w:r>
    </w:p>
    <w:p w14:paraId="01E88ABC" w14:textId="77777777" w:rsidR="005F7A0D" w:rsidRPr="006A4403" w:rsidRDefault="005F7A0D" w:rsidP="005F7A0D">
      <w:pPr>
        <w:pStyle w:val="paragraph"/>
      </w:pPr>
      <w:r w:rsidRPr="006A4403">
        <w:tab/>
        <w:t>(b)</w:t>
      </w:r>
      <w:r w:rsidRPr="006A4403">
        <w:tab/>
        <w:t>by using a simple alternative method of communication to be made available by the data holder for that purpose.</w:t>
      </w:r>
    </w:p>
    <w:p w14:paraId="511EFDBA" w14:textId="77777777" w:rsidR="005F7A0D" w:rsidRPr="006A4403" w:rsidRDefault="005F7A0D" w:rsidP="005F7A0D">
      <w:pPr>
        <w:pStyle w:val="subsection"/>
      </w:pPr>
      <w:r w:rsidRPr="006A4403">
        <w:lastRenderedPageBreak/>
        <w:tab/>
        <w:t>(2)</w:t>
      </w:r>
      <w:r w:rsidRPr="006A4403">
        <w:tab/>
        <w:t>If the withdrawal was in accordance with paragraph (1)(b), the data holder must give effect to the withdrawal as soon as practicable, and in any case within 2 business days after receiving the communication.</w:t>
      </w:r>
    </w:p>
    <w:p w14:paraId="2CF8A197" w14:textId="77777777" w:rsidR="005F7A0D" w:rsidRPr="006A4403" w:rsidRDefault="005F7A0D" w:rsidP="005F7A0D">
      <w:pPr>
        <w:pStyle w:val="notetext"/>
      </w:pPr>
      <w:r w:rsidRPr="006A4403">
        <w:t>Note:</w:t>
      </w:r>
      <w:r w:rsidRPr="006A4403">
        <w:tab/>
        <w:t>This subrule is a civil penalty provision (see rule 9.8).</w:t>
      </w:r>
      <w:bookmarkEnd w:id="240"/>
      <w:bookmarkEnd w:id="241"/>
      <w:bookmarkEnd w:id="242"/>
      <w:bookmarkEnd w:id="243"/>
    </w:p>
    <w:bookmarkEnd w:id="244"/>
    <w:p w14:paraId="595BE03E" w14:textId="77777777" w:rsidR="005F7A0D" w:rsidRPr="006A4403" w:rsidRDefault="004B0AB6" w:rsidP="005F7A0D">
      <w:pPr>
        <w:pStyle w:val="ItemHead"/>
      </w:pPr>
      <w:r>
        <w:t>78</w:t>
      </w:r>
      <w:r w:rsidR="00723B2F" w:rsidRPr="006A4403">
        <w:t xml:space="preserve">  </w:t>
      </w:r>
      <w:r w:rsidR="005F7A0D" w:rsidRPr="006A4403">
        <w:t>Paragraph 4.26(1)(d)</w:t>
      </w:r>
    </w:p>
    <w:p w14:paraId="34B681D1" w14:textId="77777777" w:rsidR="005F7A0D" w:rsidRPr="006A4403" w:rsidRDefault="005F7A0D" w:rsidP="005F7A0D">
      <w:pPr>
        <w:pStyle w:val="Item"/>
      </w:pPr>
      <w:r w:rsidRPr="006A4403">
        <w:t>Omit “paragraph 4.13(2)(b)”, substitute “</w:t>
      </w:r>
      <w:bookmarkStart w:id="246" w:name="_Hlk121831091"/>
      <w:r w:rsidRPr="006A4403">
        <w:t>rule 4.18AA or 4.20P</w:t>
      </w:r>
      <w:bookmarkEnd w:id="246"/>
      <w:r w:rsidRPr="006A4403">
        <w:t>”.</w:t>
      </w:r>
    </w:p>
    <w:p w14:paraId="589EF9DA" w14:textId="77777777" w:rsidR="005F7A0D" w:rsidRPr="006A4403" w:rsidRDefault="004B0AB6" w:rsidP="005F7A0D">
      <w:pPr>
        <w:pStyle w:val="ItemHead"/>
      </w:pPr>
      <w:r>
        <w:t>79</w:t>
      </w:r>
      <w:r w:rsidR="00723B2F" w:rsidRPr="006A4403">
        <w:t xml:space="preserve">  </w:t>
      </w:r>
      <w:r w:rsidR="005F7A0D" w:rsidRPr="006A4403">
        <w:t>After rule 4.26</w:t>
      </w:r>
    </w:p>
    <w:p w14:paraId="65E4129C" w14:textId="77777777" w:rsidR="005F7A0D" w:rsidRPr="006A4403" w:rsidRDefault="005F7A0D" w:rsidP="005F7A0D">
      <w:pPr>
        <w:pStyle w:val="Item"/>
      </w:pPr>
      <w:r w:rsidRPr="006A4403">
        <w:t>Insert:</w:t>
      </w:r>
    </w:p>
    <w:p w14:paraId="79AAD285" w14:textId="77777777" w:rsidR="005F7A0D" w:rsidRPr="006A4403" w:rsidRDefault="005F7A0D" w:rsidP="005F7A0D">
      <w:pPr>
        <w:pStyle w:val="ActHead5"/>
      </w:pPr>
      <w:bookmarkStart w:id="247" w:name="_Toc111132111"/>
      <w:bookmarkStart w:id="248" w:name="_Toc116895972"/>
      <w:bookmarkStart w:id="249" w:name="_Toc135295317"/>
      <w:bookmarkStart w:id="250" w:name="_Hlk121831104"/>
      <w:r w:rsidRPr="006A4403">
        <w:t>4.26A  Notifications of expired authorisations</w:t>
      </w:r>
      <w:bookmarkEnd w:id="247"/>
      <w:bookmarkEnd w:id="248"/>
      <w:bookmarkEnd w:id="249"/>
    </w:p>
    <w:p w14:paraId="295B2F14" w14:textId="77777777" w:rsidR="005F7A0D" w:rsidRPr="006A4403" w:rsidRDefault="005F7A0D" w:rsidP="005F7A0D">
      <w:pPr>
        <w:pStyle w:val="subsection"/>
      </w:pPr>
      <w:r w:rsidRPr="006A4403">
        <w:tab/>
      </w:r>
      <w:r w:rsidRPr="006A4403">
        <w:tab/>
        <w:t>If an authorisation to disclose particular CDR data to an accredited person is withdrawn or otherwise expires, the data holder must notify the accredited person in accordance with the data standards.</w:t>
      </w:r>
    </w:p>
    <w:p w14:paraId="2A29E85C" w14:textId="77777777" w:rsidR="005F7A0D" w:rsidRPr="006A4403" w:rsidRDefault="005F7A0D" w:rsidP="005F7A0D">
      <w:pPr>
        <w:pStyle w:val="notetext"/>
      </w:pPr>
      <w:r w:rsidRPr="006A4403">
        <w:t>Note:</w:t>
      </w:r>
      <w:r w:rsidRPr="006A4403">
        <w:tab/>
        <w:t>This rule is a civil penalty provision (see rule 9.8).</w:t>
      </w:r>
    </w:p>
    <w:bookmarkEnd w:id="250"/>
    <w:p w14:paraId="24C3DFF3" w14:textId="77777777" w:rsidR="005F7A0D" w:rsidRPr="006A4403" w:rsidRDefault="004B0AB6" w:rsidP="005F7A0D">
      <w:pPr>
        <w:pStyle w:val="ItemHead"/>
      </w:pPr>
      <w:r>
        <w:t>80</w:t>
      </w:r>
      <w:r w:rsidR="00723B2F" w:rsidRPr="006A4403">
        <w:t xml:space="preserve">  </w:t>
      </w:r>
      <w:r w:rsidR="005F7A0D" w:rsidRPr="006A4403">
        <w:t>Subrule 5.1B(6)</w:t>
      </w:r>
    </w:p>
    <w:p w14:paraId="09732E8B" w14:textId="77777777" w:rsidR="005F7A0D" w:rsidRPr="006A4403" w:rsidRDefault="005F7A0D" w:rsidP="005F7A0D">
      <w:pPr>
        <w:pStyle w:val="Item"/>
      </w:pPr>
      <w:r w:rsidRPr="006A4403">
        <w:t>Omit “subrule 4.14(1)(f)”, substitute “</w:t>
      </w:r>
      <w:bookmarkStart w:id="251" w:name="_Hlk121831188"/>
      <w:r w:rsidRPr="006A4403">
        <w:t>paragraph 4.14(1)(e)</w:t>
      </w:r>
      <w:bookmarkEnd w:id="251"/>
      <w:r w:rsidRPr="006A4403">
        <w:t>”.</w:t>
      </w:r>
    </w:p>
    <w:p w14:paraId="22CD45FE" w14:textId="77777777" w:rsidR="005F7A0D" w:rsidRPr="006A4403" w:rsidRDefault="004B0AB6" w:rsidP="005F7A0D">
      <w:pPr>
        <w:pStyle w:val="ItemHead"/>
      </w:pPr>
      <w:r>
        <w:t>81</w:t>
      </w:r>
      <w:r w:rsidR="00723B2F" w:rsidRPr="006A4403">
        <w:t xml:space="preserve">  </w:t>
      </w:r>
      <w:r w:rsidR="005F7A0D" w:rsidRPr="006A4403">
        <w:t>Subrule 5.1B(7) (note)</w:t>
      </w:r>
    </w:p>
    <w:p w14:paraId="3802DD4B" w14:textId="77777777" w:rsidR="005F7A0D" w:rsidRPr="006A4403" w:rsidRDefault="005F7A0D" w:rsidP="005F7A0D">
      <w:pPr>
        <w:pStyle w:val="Item"/>
      </w:pPr>
      <w:r w:rsidRPr="006A4403">
        <w:t>Omit “subrule 4.14(2)”, substitute “subrule 4.14(6)”.</w:t>
      </w:r>
    </w:p>
    <w:p w14:paraId="60F04CAD" w14:textId="77777777" w:rsidR="005F7A0D" w:rsidRPr="006A4403" w:rsidRDefault="004B0AB6" w:rsidP="005F7A0D">
      <w:pPr>
        <w:pStyle w:val="ItemHead"/>
      </w:pPr>
      <w:r>
        <w:t>82</w:t>
      </w:r>
      <w:r w:rsidR="00723B2F" w:rsidRPr="006A4403">
        <w:t xml:space="preserve">  </w:t>
      </w:r>
      <w:r w:rsidR="005F7A0D" w:rsidRPr="006A4403">
        <w:t>Subrule 5.2(2) (note 2)</w:t>
      </w:r>
    </w:p>
    <w:p w14:paraId="7DBA7F28" w14:textId="77777777" w:rsidR="005F7A0D" w:rsidRPr="006A4403" w:rsidRDefault="005F7A0D" w:rsidP="005F7A0D">
      <w:pPr>
        <w:pStyle w:val="Item"/>
      </w:pPr>
      <w:r w:rsidRPr="006A4403">
        <w:t>Omit “paragraph 5.14(c)”, substitute “</w:t>
      </w:r>
      <w:bookmarkStart w:id="252" w:name="_Hlk121831253"/>
      <w:r w:rsidRPr="006A4403">
        <w:t>paragraph 5.14(1)(c)</w:t>
      </w:r>
      <w:bookmarkEnd w:id="252"/>
      <w:r w:rsidRPr="006A4403">
        <w:t>”.</w:t>
      </w:r>
    </w:p>
    <w:p w14:paraId="76AD1A76" w14:textId="77777777" w:rsidR="005F7A0D" w:rsidRPr="006A4403" w:rsidRDefault="004B0AB6" w:rsidP="005F7A0D">
      <w:pPr>
        <w:pStyle w:val="ItemHead"/>
      </w:pPr>
      <w:r>
        <w:t>83</w:t>
      </w:r>
      <w:r w:rsidR="00723B2F" w:rsidRPr="006A4403">
        <w:t xml:space="preserve">  </w:t>
      </w:r>
      <w:r w:rsidR="005F7A0D" w:rsidRPr="006A4403">
        <w:t>Subparagraph 5.4(1)(a)(iv)</w:t>
      </w:r>
    </w:p>
    <w:p w14:paraId="69DD27A9" w14:textId="77777777" w:rsidR="005F7A0D" w:rsidRPr="006A4403" w:rsidRDefault="005F7A0D" w:rsidP="005F7A0D">
      <w:pPr>
        <w:pStyle w:val="Item"/>
      </w:pPr>
      <w:r w:rsidRPr="006A4403">
        <w:t>After “Authority”, insert “Limited”.</w:t>
      </w:r>
    </w:p>
    <w:p w14:paraId="644775E7" w14:textId="77777777" w:rsidR="005F7A0D" w:rsidRPr="006A4403" w:rsidRDefault="004B0AB6" w:rsidP="005F7A0D">
      <w:pPr>
        <w:pStyle w:val="ItemHead"/>
      </w:pPr>
      <w:r>
        <w:t>84</w:t>
      </w:r>
      <w:r w:rsidR="00723B2F" w:rsidRPr="006A4403">
        <w:t xml:space="preserve">  </w:t>
      </w:r>
      <w:r w:rsidR="005F7A0D" w:rsidRPr="006A4403">
        <w:t>Paragraph 5.4(1)(c)</w:t>
      </w:r>
    </w:p>
    <w:p w14:paraId="24831442" w14:textId="77777777" w:rsidR="005F7A0D" w:rsidRPr="006A4403" w:rsidRDefault="005F7A0D" w:rsidP="005F7A0D">
      <w:pPr>
        <w:pStyle w:val="Item"/>
      </w:pPr>
      <w:r w:rsidRPr="006A4403">
        <w:t>Omit “purpose”, substitute “purposes”.</w:t>
      </w:r>
    </w:p>
    <w:p w14:paraId="53ACECAF" w14:textId="77777777" w:rsidR="005F7A0D" w:rsidRPr="006A4403" w:rsidRDefault="004B0AB6" w:rsidP="005F7A0D">
      <w:pPr>
        <w:pStyle w:val="ItemHead"/>
      </w:pPr>
      <w:bookmarkStart w:id="253" w:name="_Hlk120793586"/>
      <w:r>
        <w:t>85</w:t>
      </w:r>
      <w:r w:rsidR="00723B2F" w:rsidRPr="006A4403">
        <w:t xml:space="preserve">  </w:t>
      </w:r>
      <w:r w:rsidR="005F7A0D" w:rsidRPr="006A4403">
        <w:t>Rule 5.12</w:t>
      </w:r>
    </w:p>
    <w:p w14:paraId="2C00E512" w14:textId="77777777" w:rsidR="005F7A0D" w:rsidRPr="006A4403" w:rsidRDefault="005F7A0D" w:rsidP="005F7A0D">
      <w:pPr>
        <w:pStyle w:val="Item"/>
      </w:pPr>
      <w:r w:rsidRPr="006A4403">
        <w:t>Repeal the rule, substitute:</w:t>
      </w:r>
      <w:bookmarkEnd w:id="253"/>
    </w:p>
    <w:p w14:paraId="3960A1CE" w14:textId="77777777" w:rsidR="005F7A0D" w:rsidRPr="006A4403" w:rsidRDefault="005F7A0D" w:rsidP="005F7A0D">
      <w:pPr>
        <w:pStyle w:val="ActHead5"/>
      </w:pPr>
      <w:bookmarkStart w:id="254" w:name="_Toc11771642"/>
      <w:bookmarkStart w:id="255" w:name="_Toc82167204"/>
      <w:bookmarkStart w:id="256" w:name="_Toc121497487"/>
      <w:bookmarkStart w:id="257" w:name="_Toc135295318"/>
      <w:bookmarkStart w:id="258" w:name="_Hlk120010964"/>
      <w:bookmarkStart w:id="259" w:name="_Hlk121831300"/>
      <w:r w:rsidRPr="006A4403">
        <w:t>5.12  Obligations of accredited person</w:t>
      </w:r>
      <w:bookmarkEnd w:id="254"/>
      <w:bookmarkEnd w:id="255"/>
      <w:bookmarkEnd w:id="256"/>
      <w:bookmarkEnd w:id="257"/>
    </w:p>
    <w:p w14:paraId="4B2C3380" w14:textId="77777777" w:rsidR="005F7A0D" w:rsidRPr="006A4403" w:rsidRDefault="005F7A0D" w:rsidP="005F7A0D">
      <w:pPr>
        <w:pStyle w:val="subsection"/>
      </w:pPr>
      <w:r w:rsidRPr="006A4403">
        <w:tab/>
        <w:t>(1)</w:t>
      </w:r>
      <w:r w:rsidRPr="006A4403">
        <w:tab/>
        <w:t>An accredited person must:</w:t>
      </w:r>
    </w:p>
    <w:p w14:paraId="79C0A344" w14:textId="77777777" w:rsidR="005F7A0D" w:rsidRPr="006A4403" w:rsidRDefault="005F7A0D" w:rsidP="005F7A0D">
      <w:pPr>
        <w:pStyle w:val="paragraph"/>
        <w:rPr>
          <w:szCs w:val="22"/>
        </w:rPr>
      </w:pPr>
      <w:r w:rsidRPr="006A4403">
        <w:tab/>
        <w:t>(a)</w:t>
      </w:r>
      <w:r w:rsidRPr="006A4403">
        <w:tab/>
        <w:t xml:space="preserve">take the steps outlined in Schedule 2 which relate to </w:t>
      </w:r>
      <w:r w:rsidRPr="006A4403">
        <w:rPr>
          <w:szCs w:val="22"/>
        </w:rPr>
        <w:t>protecting CDR data from:</w:t>
      </w:r>
    </w:p>
    <w:p w14:paraId="6E446BE0" w14:textId="77777777" w:rsidR="005F7A0D" w:rsidRPr="006A4403" w:rsidRDefault="005F7A0D" w:rsidP="005F7A0D">
      <w:pPr>
        <w:pStyle w:val="paragraphsub"/>
      </w:pPr>
      <w:r w:rsidRPr="006A4403">
        <w:tab/>
        <w:t>(i)</w:t>
      </w:r>
      <w:r w:rsidRPr="006A4403">
        <w:tab/>
        <w:t>misuse, interference and loss; and</w:t>
      </w:r>
    </w:p>
    <w:p w14:paraId="51EB5A19" w14:textId="77777777" w:rsidR="005F7A0D" w:rsidRPr="006A4403" w:rsidRDefault="005F7A0D" w:rsidP="005F7A0D">
      <w:pPr>
        <w:pStyle w:val="paragraphsub"/>
      </w:pPr>
      <w:r w:rsidRPr="006A4403">
        <w:tab/>
        <w:t>(ii)</w:t>
      </w:r>
      <w:r w:rsidRPr="006A4403">
        <w:tab/>
        <w:t>unauthorised access, modification or disclosure; and</w:t>
      </w:r>
    </w:p>
    <w:p w14:paraId="4CEC564F" w14:textId="77777777" w:rsidR="005F7A0D" w:rsidRPr="006A4403" w:rsidRDefault="005F7A0D" w:rsidP="005F7A0D">
      <w:pPr>
        <w:pStyle w:val="paragraph"/>
      </w:pPr>
      <w:r w:rsidRPr="006A4403">
        <w:tab/>
      </w:r>
      <w:bookmarkStart w:id="260" w:name="_Hlk120009670"/>
      <w:r w:rsidRPr="006A4403">
        <w:t>(b)</w:t>
      </w:r>
      <w:r w:rsidRPr="006A4403">
        <w:tab/>
      </w:r>
      <w:bookmarkStart w:id="261" w:name="_Hlk122010702"/>
      <w:r w:rsidRPr="006A4403">
        <w:t xml:space="preserve">meet the internal dispute resolution requirements </w:t>
      </w:r>
      <w:bookmarkEnd w:id="261"/>
      <w:r w:rsidRPr="006A4403">
        <w:t>in relation to one or more designated sectors; and</w:t>
      </w:r>
    </w:p>
    <w:p w14:paraId="21B7FDC0" w14:textId="77777777" w:rsidR="005F7A0D" w:rsidRPr="006A4403" w:rsidRDefault="005F7A0D" w:rsidP="005F7A0D">
      <w:pPr>
        <w:pStyle w:val="paragraph"/>
      </w:pPr>
      <w:r w:rsidRPr="006A4403">
        <w:rPr>
          <w:rFonts w:eastAsiaTheme="minorHAnsi"/>
        </w:rPr>
        <w:tab/>
        <w:t>(c)</w:t>
      </w:r>
      <w:r w:rsidRPr="006A4403">
        <w:rPr>
          <w:rFonts w:eastAsiaTheme="minorHAnsi"/>
        </w:rPr>
        <w:tab/>
        <w:t>meet the external dispute resolution requirements for each designated sector in which the person operates; and</w:t>
      </w:r>
    </w:p>
    <w:bookmarkEnd w:id="258"/>
    <w:bookmarkEnd w:id="260"/>
    <w:p w14:paraId="2A8E7B8E" w14:textId="77777777" w:rsidR="005F7A0D" w:rsidRPr="006A4403" w:rsidRDefault="005F7A0D" w:rsidP="005F7A0D">
      <w:pPr>
        <w:pStyle w:val="paragraph"/>
      </w:pPr>
      <w:r w:rsidRPr="006A4403">
        <w:tab/>
        <w:t>(d)</w:t>
      </w:r>
      <w:r w:rsidRPr="006A4403">
        <w:tab/>
        <w:t>have addresses for service; and</w:t>
      </w:r>
    </w:p>
    <w:p w14:paraId="3726B108" w14:textId="77777777" w:rsidR="005F7A0D" w:rsidRPr="006A4403" w:rsidRDefault="005F7A0D" w:rsidP="005F7A0D">
      <w:pPr>
        <w:pStyle w:val="paragraph"/>
      </w:pPr>
      <w:r w:rsidRPr="006A4403">
        <w:tab/>
        <w:t>(e)</w:t>
      </w:r>
      <w:r w:rsidRPr="006A4403">
        <w:tab/>
        <w:t>if the applicant is a foreign entity—have a local agent that has addresses for service; and</w:t>
      </w:r>
    </w:p>
    <w:p w14:paraId="62624D75" w14:textId="77777777" w:rsidR="005F7A0D" w:rsidRPr="006A4403" w:rsidRDefault="005F7A0D" w:rsidP="005F7A0D">
      <w:pPr>
        <w:pStyle w:val="paragraph"/>
      </w:pPr>
      <w:r w:rsidRPr="006A4403">
        <w:lastRenderedPageBreak/>
        <w:tab/>
        <w:t>(f)</w:t>
      </w:r>
      <w:r w:rsidRPr="006A4403">
        <w:tab/>
        <w:t>ensure that it is licensed or otherwise authorised to use any CDR logo, including as required by the data standards.</w:t>
      </w:r>
    </w:p>
    <w:p w14:paraId="70425B44" w14:textId="77777777" w:rsidR="005F7A0D" w:rsidRPr="006A4403" w:rsidRDefault="005F7A0D" w:rsidP="005F7A0D">
      <w:pPr>
        <w:pStyle w:val="notetext"/>
      </w:pPr>
      <w:r w:rsidRPr="006A4403">
        <w:t>Note 1:</w:t>
      </w:r>
      <w:r w:rsidRPr="006A4403">
        <w:tab/>
        <w:t>See sector Schedules for how this provision might operate differently for different designated sectors.</w:t>
      </w:r>
    </w:p>
    <w:p w14:paraId="3CB430C5" w14:textId="77777777" w:rsidR="005F7A0D" w:rsidRPr="006A4403" w:rsidRDefault="005F7A0D" w:rsidP="005F7A0D">
      <w:pPr>
        <w:pStyle w:val="notetext"/>
      </w:pPr>
      <w:r w:rsidRPr="006A4403">
        <w:t>Note 2:</w:t>
      </w:r>
      <w:r w:rsidRPr="006A4403">
        <w:tab/>
        <w:t>For the banking sector, see clause 7.4 of Schedule 3.</w:t>
      </w:r>
    </w:p>
    <w:p w14:paraId="67BFD326" w14:textId="77777777" w:rsidR="005F7A0D" w:rsidRPr="006A4403" w:rsidRDefault="005F7A0D" w:rsidP="005F7A0D">
      <w:pPr>
        <w:pStyle w:val="notetext"/>
      </w:pPr>
      <w:r w:rsidRPr="006A4403">
        <w:t>Note 3:</w:t>
      </w:r>
      <w:r w:rsidRPr="006A4403">
        <w:tab/>
        <w:t>For paragraph (a), the steps outlined in Schedule 2 relate to privacy safeguard 12 (see subsection 56EO(1) of the Act and rule 7.11 of these rules).</w:t>
      </w:r>
    </w:p>
    <w:p w14:paraId="451453FD" w14:textId="77777777" w:rsidR="005F7A0D" w:rsidRPr="006A4403" w:rsidRDefault="005F7A0D" w:rsidP="005F7A0D">
      <w:pPr>
        <w:pStyle w:val="notetext"/>
      </w:pPr>
      <w:r w:rsidRPr="006A4403">
        <w:t>Note 4:</w:t>
      </w:r>
      <w:r w:rsidRPr="006A4403">
        <w:tab/>
        <w:t>For paragraph (b), see rule 1.7 for the meaning of “meet the internal dispute resolution requirements”.  See also:</w:t>
      </w:r>
    </w:p>
    <w:p w14:paraId="37E6DC10" w14:textId="77777777" w:rsidR="005F7A0D" w:rsidRPr="006A4403" w:rsidRDefault="005F7A0D" w:rsidP="005F7A0D">
      <w:pPr>
        <w:pStyle w:val="notepara"/>
        <w:ind w:left="2705" w:hanging="360"/>
      </w:pPr>
      <w:r w:rsidRPr="006A4403">
        <w:rPr>
          <w:rFonts w:ascii="Symbol" w:hAnsi="Symbol"/>
        </w:rPr>
        <w:t></w:t>
      </w:r>
      <w:r w:rsidRPr="006A4403">
        <w:rPr>
          <w:rFonts w:ascii="Symbol" w:hAnsi="Symbol"/>
        </w:rPr>
        <w:tab/>
      </w:r>
      <w:r w:rsidRPr="006A4403">
        <w:t>for the banking sector—clause 5.1 of Schedule 3;</w:t>
      </w:r>
    </w:p>
    <w:p w14:paraId="2E9532C5" w14:textId="77777777" w:rsidR="005F7A0D" w:rsidRPr="006A4403" w:rsidRDefault="005F7A0D" w:rsidP="005F7A0D">
      <w:pPr>
        <w:pStyle w:val="notepara"/>
        <w:ind w:left="2705" w:hanging="360"/>
      </w:pPr>
      <w:r w:rsidRPr="006A4403">
        <w:rPr>
          <w:rFonts w:ascii="Symbol" w:hAnsi="Symbol"/>
        </w:rPr>
        <w:t></w:t>
      </w:r>
      <w:r w:rsidRPr="006A4403">
        <w:rPr>
          <w:rFonts w:ascii="Symbol" w:hAnsi="Symbol"/>
        </w:rPr>
        <w:tab/>
      </w:r>
      <w:r w:rsidRPr="006A4403">
        <w:t>for the energy sector—clause 5.1 of Schedule 4</w:t>
      </w:r>
      <w:r w:rsidR="00E75DE0" w:rsidRPr="006A4403">
        <w:t>.</w:t>
      </w:r>
    </w:p>
    <w:p w14:paraId="2CC98B0E" w14:textId="77777777" w:rsidR="005F7A0D" w:rsidRPr="006A4403" w:rsidRDefault="005F7A0D" w:rsidP="005F7A0D">
      <w:pPr>
        <w:pStyle w:val="notetext"/>
      </w:pPr>
      <w:r w:rsidRPr="006A4403">
        <w:t>Note 5:</w:t>
      </w:r>
      <w:r w:rsidRPr="006A4403">
        <w:tab/>
        <w:t>For paragraph (c), see rule 1.7 for the meaning of “meet the external dispute resolution requirements”.  See also:</w:t>
      </w:r>
    </w:p>
    <w:p w14:paraId="4AE8699C" w14:textId="77777777" w:rsidR="005F7A0D" w:rsidRPr="006A4403" w:rsidRDefault="005F7A0D" w:rsidP="005F7A0D">
      <w:pPr>
        <w:pStyle w:val="notepara"/>
        <w:ind w:left="2705" w:hanging="360"/>
      </w:pPr>
      <w:r w:rsidRPr="006A4403">
        <w:rPr>
          <w:rFonts w:ascii="Symbol" w:hAnsi="Symbol"/>
        </w:rPr>
        <w:t></w:t>
      </w:r>
      <w:r w:rsidRPr="006A4403">
        <w:rPr>
          <w:rFonts w:ascii="Symbol" w:hAnsi="Symbol"/>
        </w:rPr>
        <w:tab/>
      </w:r>
      <w:r w:rsidRPr="006A4403">
        <w:t>for the banking sector—clause 5.2 of Schedule 3;</w:t>
      </w:r>
    </w:p>
    <w:p w14:paraId="51285120" w14:textId="77777777" w:rsidR="005F7A0D" w:rsidRPr="006A4403" w:rsidRDefault="005F7A0D" w:rsidP="005F7A0D">
      <w:pPr>
        <w:pStyle w:val="notepara"/>
        <w:ind w:left="2705" w:hanging="360"/>
      </w:pPr>
      <w:r w:rsidRPr="006A4403">
        <w:rPr>
          <w:rFonts w:ascii="Symbol" w:hAnsi="Symbol"/>
        </w:rPr>
        <w:t></w:t>
      </w:r>
      <w:r w:rsidRPr="006A4403">
        <w:rPr>
          <w:rFonts w:ascii="Symbol" w:hAnsi="Symbol"/>
        </w:rPr>
        <w:tab/>
      </w:r>
      <w:r w:rsidRPr="006A4403">
        <w:t>for the energy sector—clause 5.2 of Schedule 4</w:t>
      </w:r>
      <w:r w:rsidR="00E75DE0" w:rsidRPr="006A4403">
        <w:t>.</w:t>
      </w:r>
    </w:p>
    <w:p w14:paraId="12BD0F18" w14:textId="77777777" w:rsidR="005F7A0D" w:rsidRPr="006A4403" w:rsidRDefault="005F7A0D" w:rsidP="005F7A0D">
      <w:pPr>
        <w:pStyle w:val="notetext"/>
      </w:pPr>
      <w:r w:rsidRPr="006A4403">
        <w:t>Note 6:</w:t>
      </w:r>
      <w:r w:rsidRPr="006A4403">
        <w:tab/>
        <w:t>For paragraphs (d) and (e), see rule 1.7 for the meaning of “addresses for service”.</w:t>
      </w:r>
    </w:p>
    <w:p w14:paraId="79F8D6B8" w14:textId="77777777" w:rsidR="005F7A0D" w:rsidRPr="006A4403" w:rsidRDefault="005F7A0D" w:rsidP="005F7A0D">
      <w:pPr>
        <w:pStyle w:val="notetext"/>
      </w:pPr>
      <w:r w:rsidRPr="006A4403">
        <w:t>Note 7:</w:t>
      </w:r>
      <w:r w:rsidRPr="006A4403">
        <w:tab/>
        <w:t>This subrule is a civil penalty provision (see rule 9.8).</w:t>
      </w:r>
    </w:p>
    <w:bookmarkEnd w:id="259"/>
    <w:p w14:paraId="5A524A3A" w14:textId="77777777" w:rsidR="005F7A0D" w:rsidRPr="006A4403" w:rsidRDefault="005F7A0D" w:rsidP="005F7A0D">
      <w:pPr>
        <w:pStyle w:val="subsection"/>
      </w:pPr>
      <w:r w:rsidRPr="006A4403">
        <w:tab/>
        <w:t>(2)</w:t>
      </w:r>
      <w:r w:rsidRPr="006A4403">
        <w:tab/>
        <w:t>An accredited person must:</w:t>
      </w:r>
    </w:p>
    <w:p w14:paraId="21F676CD" w14:textId="77777777" w:rsidR="005F7A0D" w:rsidRPr="006A4403" w:rsidRDefault="005F7A0D" w:rsidP="005F7A0D">
      <w:pPr>
        <w:pStyle w:val="paragraph"/>
      </w:pPr>
      <w:r w:rsidRPr="006A4403">
        <w:tab/>
        <w:t>(a)</w:t>
      </w:r>
      <w:r w:rsidRPr="006A4403">
        <w:tab/>
        <w:t>be, having regard to the fit and proper person criteria, a fit and proper person to be accredited at that level; and</w:t>
      </w:r>
    </w:p>
    <w:p w14:paraId="07386740" w14:textId="77777777" w:rsidR="005F7A0D" w:rsidRPr="006A4403" w:rsidRDefault="005F7A0D" w:rsidP="005F7A0D">
      <w:pPr>
        <w:pStyle w:val="paragraph"/>
      </w:pPr>
      <w:r w:rsidRPr="006A4403">
        <w:tab/>
        <w:t>(b)</w:t>
      </w:r>
      <w:r w:rsidRPr="006A4403">
        <w:tab/>
        <w:t>have adequate insurance, or a comparable guarantee, in light of the risk of CDR consumers not being properly compensated for any loss that might reasonably be expected to arise from a breach of obligations under any of the following to the extent that they are relevant to the management of CDR data:</w:t>
      </w:r>
    </w:p>
    <w:p w14:paraId="19DDAE63" w14:textId="77777777" w:rsidR="005F7A0D" w:rsidRPr="006A4403" w:rsidRDefault="005F7A0D" w:rsidP="005F7A0D">
      <w:pPr>
        <w:pStyle w:val="paragraphsub"/>
      </w:pPr>
      <w:r w:rsidRPr="006A4403">
        <w:tab/>
        <w:t>(i)</w:t>
      </w:r>
      <w:r w:rsidRPr="006A4403">
        <w:tab/>
        <w:t>the Act;</w:t>
      </w:r>
    </w:p>
    <w:p w14:paraId="6877BEEA" w14:textId="77777777" w:rsidR="005F7A0D" w:rsidRPr="006A4403" w:rsidRDefault="005F7A0D" w:rsidP="005F7A0D">
      <w:pPr>
        <w:pStyle w:val="paragraphsub"/>
      </w:pPr>
      <w:r w:rsidRPr="006A4403">
        <w:tab/>
        <w:t>(ii)</w:t>
      </w:r>
      <w:r w:rsidRPr="006A4403">
        <w:tab/>
        <w:t>any regulation made for the purposes of the Act;</w:t>
      </w:r>
    </w:p>
    <w:p w14:paraId="54E404A0" w14:textId="77777777" w:rsidR="005F7A0D" w:rsidRPr="006A4403" w:rsidRDefault="005F7A0D" w:rsidP="005F7A0D">
      <w:pPr>
        <w:pStyle w:val="paragraphsub"/>
      </w:pPr>
      <w:r w:rsidRPr="006A4403">
        <w:tab/>
        <w:t>(iii)</w:t>
      </w:r>
      <w:r w:rsidRPr="006A4403">
        <w:tab/>
        <w:t>these rules.</w:t>
      </w:r>
    </w:p>
    <w:p w14:paraId="4A92645D" w14:textId="77777777" w:rsidR="005F7A0D" w:rsidRPr="006A4403" w:rsidRDefault="004B0AB6" w:rsidP="005F7A0D">
      <w:pPr>
        <w:pStyle w:val="ItemHead"/>
      </w:pPr>
      <w:r>
        <w:t>86</w:t>
      </w:r>
      <w:r w:rsidR="00723B2F" w:rsidRPr="006A4403">
        <w:t xml:space="preserve">  </w:t>
      </w:r>
      <w:r w:rsidR="005F7A0D" w:rsidRPr="006A4403">
        <w:t>Subrule 5.14(1) (note)</w:t>
      </w:r>
    </w:p>
    <w:p w14:paraId="6D210F63" w14:textId="77777777" w:rsidR="005F7A0D" w:rsidRPr="006A4403" w:rsidRDefault="005F7A0D" w:rsidP="005F7A0D">
      <w:pPr>
        <w:pStyle w:val="Item"/>
      </w:pPr>
      <w:r w:rsidRPr="006A4403">
        <w:t>Omit “rule”, substitute “subrule”.</w:t>
      </w:r>
    </w:p>
    <w:p w14:paraId="28582D5F" w14:textId="77777777" w:rsidR="005F7A0D" w:rsidRPr="006A4403" w:rsidRDefault="004B0AB6" w:rsidP="005F7A0D">
      <w:pPr>
        <w:pStyle w:val="ItemHead"/>
        <w:rPr>
          <w:noProof/>
        </w:rPr>
      </w:pPr>
      <w:r>
        <w:t>87</w:t>
      </w:r>
      <w:r w:rsidR="00723B2F" w:rsidRPr="006A4403">
        <w:t xml:space="preserve">  </w:t>
      </w:r>
      <w:r w:rsidR="005F7A0D" w:rsidRPr="006A4403">
        <w:rPr>
          <w:noProof/>
        </w:rPr>
        <w:t>Subrule 5.14(3)</w:t>
      </w:r>
    </w:p>
    <w:p w14:paraId="59D15846" w14:textId="77777777" w:rsidR="006A31D9" w:rsidRPr="006A4403" w:rsidRDefault="006A31D9" w:rsidP="006A31D9">
      <w:pPr>
        <w:pStyle w:val="Item"/>
      </w:pPr>
      <w:bookmarkStart w:id="262" w:name="_Hlk121831361"/>
      <w:r w:rsidRPr="006A4403">
        <w:t>Repeal the subrule (including the heading), substitute:</w:t>
      </w:r>
    </w:p>
    <w:p w14:paraId="4F344933" w14:textId="77777777" w:rsidR="005F7A0D" w:rsidRPr="006A4403" w:rsidRDefault="005F7A0D" w:rsidP="005F7A0D">
      <w:pPr>
        <w:pStyle w:val="SubsectionHead"/>
      </w:pPr>
      <w:r w:rsidRPr="006A4403">
        <w:t>CDR representative principals</w:t>
      </w:r>
    </w:p>
    <w:p w14:paraId="23E90637" w14:textId="77777777" w:rsidR="005F7A0D" w:rsidRPr="006A4403" w:rsidRDefault="005F7A0D" w:rsidP="005F7A0D">
      <w:pPr>
        <w:pStyle w:val="subsection"/>
      </w:pPr>
      <w:r w:rsidRPr="006A4403">
        <w:tab/>
        <w:t>(3)</w:t>
      </w:r>
      <w:r w:rsidRPr="006A4403">
        <w:tab/>
        <w:t>An accredited person that enters into a CDR representative arrangement as the CDR representative principal must notify the Data Recipient Accreditor that they have done so as soon as practicable, but no later than 5 business days after the event.</w:t>
      </w:r>
    </w:p>
    <w:bookmarkEnd w:id="262"/>
    <w:p w14:paraId="3DA039E8" w14:textId="77777777" w:rsidR="005F7A0D" w:rsidRPr="006A4403" w:rsidRDefault="004B0AB6" w:rsidP="005F7A0D">
      <w:pPr>
        <w:pStyle w:val="ItemHead"/>
      </w:pPr>
      <w:r>
        <w:t>88</w:t>
      </w:r>
      <w:r w:rsidR="00723B2F" w:rsidRPr="006A4403">
        <w:t xml:space="preserve">  </w:t>
      </w:r>
      <w:r w:rsidR="005F7A0D" w:rsidRPr="006A4403">
        <w:t>Paragraph 5.14(4)(e)</w:t>
      </w:r>
    </w:p>
    <w:p w14:paraId="46DA4F86" w14:textId="77777777" w:rsidR="005F7A0D" w:rsidRPr="006A4403" w:rsidRDefault="005F7A0D" w:rsidP="005F7A0D">
      <w:pPr>
        <w:pStyle w:val="Item"/>
      </w:pPr>
      <w:r w:rsidRPr="006A4403">
        <w:t>After “provided by”, insert “the”.</w:t>
      </w:r>
    </w:p>
    <w:p w14:paraId="4029A424" w14:textId="77777777" w:rsidR="005F7A0D" w:rsidRPr="006A4403" w:rsidRDefault="004B0AB6" w:rsidP="005F7A0D">
      <w:pPr>
        <w:pStyle w:val="ItemHead"/>
      </w:pPr>
      <w:r>
        <w:t>89</w:t>
      </w:r>
      <w:r w:rsidR="00723B2F" w:rsidRPr="006A4403">
        <w:t xml:space="preserve">  </w:t>
      </w:r>
      <w:r w:rsidR="005F7A0D" w:rsidRPr="006A4403">
        <w:t>Subrule 5.14(5)</w:t>
      </w:r>
    </w:p>
    <w:p w14:paraId="188AD877" w14:textId="77777777" w:rsidR="005F7A0D" w:rsidRPr="006A4403" w:rsidRDefault="005F7A0D" w:rsidP="005F7A0D">
      <w:pPr>
        <w:pStyle w:val="Item"/>
      </w:pPr>
      <w:r w:rsidRPr="006A4403">
        <w:t>Omit “principal”, substitute “CDR representative principal”.</w:t>
      </w:r>
    </w:p>
    <w:p w14:paraId="219F097A" w14:textId="77777777" w:rsidR="005F7A0D" w:rsidRPr="006A4403" w:rsidRDefault="004B0AB6" w:rsidP="005F7A0D">
      <w:pPr>
        <w:pStyle w:val="ItemHead"/>
      </w:pPr>
      <w:r>
        <w:t>90</w:t>
      </w:r>
      <w:r w:rsidR="00723B2F" w:rsidRPr="006A4403">
        <w:t xml:space="preserve">  </w:t>
      </w:r>
      <w:r w:rsidR="005F7A0D" w:rsidRPr="006A4403">
        <w:t>Subrule 5.23(4) (note 1)</w:t>
      </w:r>
    </w:p>
    <w:p w14:paraId="6D3B424B" w14:textId="77777777" w:rsidR="005F7A0D" w:rsidRPr="006A4403" w:rsidRDefault="005F7A0D" w:rsidP="005F7A0D">
      <w:pPr>
        <w:pStyle w:val="Item"/>
      </w:pPr>
      <w:r w:rsidRPr="006A4403">
        <w:t>Omit “subrule 4.14(2)”, substitute “</w:t>
      </w:r>
      <w:bookmarkStart w:id="263" w:name="_Hlk121831516"/>
      <w:r w:rsidRPr="006A4403">
        <w:t>subrules 4.14(6) and 4.20K(2)</w:t>
      </w:r>
      <w:bookmarkEnd w:id="263"/>
      <w:r w:rsidRPr="006A4403">
        <w:t>”.</w:t>
      </w:r>
    </w:p>
    <w:p w14:paraId="156B2133" w14:textId="77777777" w:rsidR="005F7A0D" w:rsidRPr="006A4403" w:rsidRDefault="004B0AB6" w:rsidP="005F7A0D">
      <w:pPr>
        <w:pStyle w:val="ItemHead"/>
      </w:pPr>
      <w:r>
        <w:lastRenderedPageBreak/>
        <w:t>91</w:t>
      </w:r>
      <w:r w:rsidR="00723B2F" w:rsidRPr="006A4403">
        <w:t xml:space="preserve">  </w:t>
      </w:r>
      <w:r w:rsidR="005F7A0D" w:rsidRPr="006A4403">
        <w:t>Rule 5.27 (note)</w:t>
      </w:r>
    </w:p>
    <w:p w14:paraId="49E54F02" w14:textId="77777777" w:rsidR="005F7A0D" w:rsidRPr="006A4403" w:rsidRDefault="005F7A0D" w:rsidP="005F7A0D">
      <w:pPr>
        <w:pStyle w:val="Item"/>
      </w:pPr>
      <w:r w:rsidRPr="006A4403">
        <w:t>Repeal the note.</w:t>
      </w:r>
    </w:p>
    <w:p w14:paraId="7D14E361" w14:textId="77777777" w:rsidR="005F7A0D" w:rsidRPr="006A4403" w:rsidRDefault="004B0AB6" w:rsidP="005F7A0D">
      <w:pPr>
        <w:pStyle w:val="ItemHead"/>
        <w:rPr>
          <w:noProof/>
        </w:rPr>
      </w:pPr>
      <w:r>
        <w:t>92</w:t>
      </w:r>
      <w:r w:rsidR="00723B2F" w:rsidRPr="006A4403">
        <w:t xml:space="preserve">  </w:t>
      </w:r>
      <w:r w:rsidR="005F7A0D" w:rsidRPr="006A4403">
        <w:rPr>
          <w:noProof/>
        </w:rPr>
        <w:t>Rule 6.1</w:t>
      </w:r>
    </w:p>
    <w:p w14:paraId="2563F068" w14:textId="77777777" w:rsidR="005F7A0D" w:rsidRPr="006A4403" w:rsidRDefault="005F7A0D" w:rsidP="005F7A0D">
      <w:pPr>
        <w:pStyle w:val="Item"/>
      </w:pPr>
      <w:r w:rsidRPr="006A4403">
        <w:t>Repeal the rule, substitute:</w:t>
      </w:r>
    </w:p>
    <w:p w14:paraId="060A9C7A" w14:textId="77777777" w:rsidR="005F7A0D" w:rsidRPr="006A4403" w:rsidRDefault="005F7A0D" w:rsidP="005F7A0D">
      <w:pPr>
        <w:pStyle w:val="ActHead5"/>
      </w:pPr>
      <w:bookmarkStart w:id="264" w:name="_Toc135295319"/>
      <w:bookmarkStart w:id="265" w:name="_Hlk124753681"/>
      <w:r w:rsidRPr="006A4403">
        <w:t>6.1  Requirement for data holders―internal dispute resolution</w:t>
      </w:r>
      <w:bookmarkEnd w:id="264"/>
    </w:p>
    <w:p w14:paraId="6021ADDD" w14:textId="77777777" w:rsidR="005F7A0D" w:rsidRPr="006A4403" w:rsidRDefault="005F7A0D" w:rsidP="005F7A0D">
      <w:pPr>
        <w:pStyle w:val="subsection"/>
      </w:pPr>
      <w:r w:rsidRPr="006A4403">
        <w:tab/>
      </w:r>
      <w:r w:rsidRPr="006A4403">
        <w:tab/>
        <w:t>A data holder in relation to a particular designated sector must meet the internal dispute resolution requirements in relation to that sector.</w:t>
      </w:r>
    </w:p>
    <w:p w14:paraId="0717E44F" w14:textId="77777777" w:rsidR="005F7A0D" w:rsidRPr="006A4403" w:rsidRDefault="005F7A0D" w:rsidP="005F7A0D">
      <w:pPr>
        <w:pStyle w:val="notetext"/>
      </w:pPr>
      <w:r w:rsidRPr="006A4403">
        <w:t>Note 1:</w:t>
      </w:r>
      <w:r w:rsidRPr="006A4403">
        <w:tab/>
        <w:t>See rule 1.7 for the meaning of “meets the internal dispute resolution requirements”.  See also:</w:t>
      </w:r>
    </w:p>
    <w:p w14:paraId="3A9E6931" w14:textId="77777777" w:rsidR="005F7A0D" w:rsidRPr="006A4403" w:rsidRDefault="005F7A0D" w:rsidP="005F7A0D">
      <w:pPr>
        <w:pStyle w:val="notepara"/>
        <w:ind w:left="2705" w:hanging="360"/>
      </w:pPr>
      <w:r w:rsidRPr="006A4403">
        <w:rPr>
          <w:rFonts w:ascii="Symbol" w:hAnsi="Symbol"/>
        </w:rPr>
        <w:t></w:t>
      </w:r>
      <w:r w:rsidRPr="006A4403">
        <w:rPr>
          <w:rFonts w:ascii="Symbol" w:hAnsi="Symbol"/>
        </w:rPr>
        <w:tab/>
      </w:r>
      <w:r w:rsidRPr="006A4403">
        <w:t>for the banking sector—clause 5.1 of Schedule 3;</w:t>
      </w:r>
    </w:p>
    <w:p w14:paraId="6A364302" w14:textId="77777777" w:rsidR="005F7A0D" w:rsidRPr="006A4403" w:rsidRDefault="005F7A0D" w:rsidP="005F7A0D">
      <w:pPr>
        <w:pStyle w:val="notepara"/>
        <w:ind w:left="2705" w:hanging="360"/>
      </w:pPr>
      <w:r w:rsidRPr="006A4403">
        <w:rPr>
          <w:rFonts w:ascii="Symbol" w:hAnsi="Symbol"/>
        </w:rPr>
        <w:t></w:t>
      </w:r>
      <w:r w:rsidRPr="006A4403">
        <w:rPr>
          <w:rFonts w:ascii="Symbol" w:hAnsi="Symbol"/>
        </w:rPr>
        <w:tab/>
      </w:r>
      <w:r w:rsidRPr="006A4403">
        <w:t>for the energy sector—clause 5.1 of Schedule 4</w:t>
      </w:r>
      <w:r w:rsidR="00E75DE0" w:rsidRPr="006A4403">
        <w:t>.</w:t>
      </w:r>
    </w:p>
    <w:p w14:paraId="3EB58522" w14:textId="77777777" w:rsidR="005F7A0D" w:rsidRPr="006A4403" w:rsidRDefault="005F7A0D" w:rsidP="005F7A0D">
      <w:pPr>
        <w:pStyle w:val="notetext"/>
      </w:pPr>
      <w:r w:rsidRPr="006A4403">
        <w:t>Note 2:</w:t>
      </w:r>
      <w:r w:rsidRPr="006A4403">
        <w:tab/>
        <w:t>An accredited person must also meet those internal dispute resolution requirements: see paragraph 5.12(1)(b).</w:t>
      </w:r>
    </w:p>
    <w:p w14:paraId="54C14849" w14:textId="77777777" w:rsidR="005F7A0D" w:rsidRPr="006A4403" w:rsidRDefault="005F7A0D" w:rsidP="005F7A0D">
      <w:pPr>
        <w:pStyle w:val="notetext"/>
      </w:pPr>
      <w:r w:rsidRPr="006A4403">
        <w:t>Note 3:</w:t>
      </w:r>
      <w:r w:rsidRPr="006A4403">
        <w:tab/>
        <w:t>This rule is a civil penalty provision (see rule 9.8).</w:t>
      </w:r>
    </w:p>
    <w:p w14:paraId="15FEF7AE" w14:textId="77777777" w:rsidR="005F7A0D" w:rsidRPr="006A4403" w:rsidRDefault="004B0AB6" w:rsidP="005F7A0D">
      <w:pPr>
        <w:pStyle w:val="ItemHead"/>
      </w:pPr>
      <w:r>
        <w:t>93</w:t>
      </w:r>
      <w:r w:rsidR="00723B2F" w:rsidRPr="006A4403">
        <w:t xml:space="preserve">  </w:t>
      </w:r>
      <w:r w:rsidR="005F7A0D" w:rsidRPr="006A4403">
        <w:t>Rule 6.2</w:t>
      </w:r>
    </w:p>
    <w:p w14:paraId="71709BE9" w14:textId="77777777" w:rsidR="005F7A0D" w:rsidRPr="006A4403" w:rsidRDefault="005F7A0D" w:rsidP="005F7A0D">
      <w:pPr>
        <w:pStyle w:val="Item"/>
      </w:pPr>
      <w:r w:rsidRPr="006A4403">
        <w:t>Repeal the rule, substitute:</w:t>
      </w:r>
    </w:p>
    <w:p w14:paraId="081A2159" w14:textId="77777777" w:rsidR="005F7A0D" w:rsidRPr="006A4403" w:rsidRDefault="005F7A0D" w:rsidP="005F7A0D">
      <w:pPr>
        <w:pStyle w:val="ActHead5"/>
      </w:pPr>
      <w:bookmarkStart w:id="266" w:name="_Toc116896226"/>
      <w:bookmarkStart w:id="267" w:name="_Toc135295320"/>
      <w:bookmarkStart w:id="268" w:name="_Hlk120011878"/>
      <w:bookmarkStart w:id="269" w:name="_Hlk120793573"/>
      <w:r w:rsidRPr="006A4403">
        <w:t>6.2  Requirement for data holders―external dispute resolution</w:t>
      </w:r>
      <w:bookmarkEnd w:id="266"/>
      <w:bookmarkEnd w:id="267"/>
    </w:p>
    <w:p w14:paraId="6D7E15CA" w14:textId="77777777" w:rsidR="005F7A0D" w:rsidRPr="006A4403" w:rsidRDefault="005F7A0D" w:rsidP="005F7A0D">
      <w:pPr>
        <w:pStyle w:val="subsection"/>
      </w:pPr>
      <w:r w:rsidRPr="006A4403">
        <w:tab/>
      </w:r>
      <w:r w:rsidRPr="006A4403">
        <w:tab/>
        <w:t>A data holder must meet the external dispute resolution requirements for each designated sector in which the data the holder operates.</w:t>
      </w:r>
    </w:p>
    <w:p w14:paraId="1916EB02" w14:textId="77777777" w:rsidR="005F7A0D" w:rsidRPr="006A4403" w:rsidRDefault="005F7A0D" w:rsidP="005F7A0D">
      <w:pPr>
        <w:pStyle w:val="notetext"/>
      </w:pPr>
      <w:r w:rsidRPr="006A4403">
        <w:t>Note 1:</w:t>
      </w:r>
      <w:r w:rsidRPr="006A4403">
        <w:tab/>
        <w:t>See the definition of “recognised external dispute resolution scheme” in subrule 1.7(1), and see subrule 1.7(3) for the interpretation of references to “data holder”.</w:t>
      </w:r>
    </w:p>
    <w:p w14:paraId="1F4272B0" w14:textId="77777777" w:rsidR="005F7A0D" w:rsidRPr="006A4403" w:rsidRDefault="005F7A0D" w:rsidP="005F7A0D">
      <w:pPr>
        <w:pStyle w:val="notetext"/>
      </w:pPr>
      <w:r w:rsidRPr="006A4403">
        <w:t>Note 2:</w:t>
      </w:r>
      <w:r w:rsidRPr="006A4403">
        <w:tab/>
        <w:t>An accredited person must also meet the external dispute resolution requirements: see paragraph 5.12(1)(c). See also:</w:t>
      </w:r>
    </w:p>
    <w:p w14:paraId="53367DF0" w14:textId="77777777" w:rsidR="005F7A0D" w:rsidRPr="006A4403" w:rsidRDefault="005F7A0D" w:rsidP="005F7A0D">
      <w:pPr>
        <w:pStyle w:val="notepara"/>
        <w:ind w:left="2705" w:hanging="360"/>
      </w:pPr>
      <w:r w:rsidRPr="006A4403">
        <w:rPr>
          <w:rFonts w:ascii="Symbol" w:hAnsi="Symbol"/>
        </w:rPr>
        <w:t></w:t>
      </w:r>
      <w:r w:rsidRPr="006A4403">
        <w:rPr>
          <w:rFonts w:ascii="Symbol" w:hAnsi="Symbol"/>
        </w:rPr>
        <w:tab/>
      </w:r>
      <w:r w:rsidRPr="006A4403">
        <w:t>for the banking sector—clause 5.2 of Schedule 3;</w:t>
      </w:r>
    </w:p>
    <w:p w14:paraId="6C8A3C46" w14:textId="77777777" w:rsidR="005F7A0D" w:rsidRPr="006A4403" w:rsidRDefault="005F7A0D" w:rsidP="005F7A0D">
      <w:pPr>
        <w:pStyle w:val="notepara"/>
        <w:ind w:left="2705" w:hanging="360"/>
      </w:pPr>
      <w:r w:rsidRPr="006A4403">
        <w:rPr>
          <w:rFonts w:ascii="Symbol" w:hAnsi="Symbol"/>
        </w:rPr>
        <w:t></w:t>
      </w:r>
      <w:r w:rsidRPr="006A4403">
        <w:rPr>
          <w:rFonts w:ascii="Symbol" w:hAnsi="Symbol"/>
        </w:rPr>
        <w:tab/>
      </w:r>
      <w:r w:rsidRPr="006A4403">
        <w:t>for the energy sector—clause 5.2 of Schedule 4</w:t>
      </w:r>
      <w:r w:rsidR="00E75DE0" w:rsidRPr="006A4403">
        <w:t>.</w:t>
      </w:r>
    </w:p>
    <w:bookmarkEnd w:id="268"/>
    <w:p w14:paraId="0E372C57" w14:textId="77777777" w:rsidR="005F7A0D" w:rsidRPr="006A4403" w:rsidRDefault="005F7A0D" w:rsidP="005F7A0D">
      <w:pPr>
        <w:pStyle w:val="notetext"/>
      </w:pPr>
      <w:r w:rsidRPr="006A4403">
        <w:t>Note 3:</w:t>
      </w:r>
      <w:r w:rsidRPr="006A4403">
        <w:tab/>
        <w:t xml:space="preserve">This rule is a civil penalty provision (see rule 9.8). </w:t>
      </w:r>
    </w:p>
    <w:bookmarkEnd w:id="265"/>
    <w:bookmarkEnd w:id="269"/>
    <w:p w14:paraId="75ACB016" w14:textId="77777777" w:rsidR="005F7A0D" w:rsidRPr="006A4403" w:rsidRDefault="004B0AB6" w:rsidP="005F7A0D">
      <w:pPr>
        <w:pStyle w:val="ItemHead"/>
      </w:pPr>
      <w:r>
        <w:t>94</w:t>
      </w:r>
      <w:r w:rsidR="00723B2F" w:rsidRPr="006A4403">
        <w:t xml:space="preserve">  </w:t>
      </w:r>
      <w:r w:rsidR="005F7A0D" w:rsidRPr="006A4403">
        <w:t>Rule 7.1</w:t>
      </w:r>
    </w:p>
    <w:p w14:paraId="7CEC3BD1" w14:textId="77777777" w:rsidR="005F7A0D" w:rsidRPr="006A4403" w:rsidRDefault="005F7A0D" w:rsidP="005F7A0D">
      <w:pPr>
        <w:pStyle w:val="Item"/>
      </w:pPr>
      <w:r w:rsidRPr="006A4403">
        <w:t>Omit “Part IV of the Act”, substitute “Part IVD of the Act”.</w:t>
      </w:r>
    </w:p>
    <w:p w14:paraId="0DBFBCA3" w14:textId="77777777" w:rsidR="005F7A0D" w:rsidRPr="006A4403" w:rsidRDefault="004B0AB6" w:rsidP="005F7A0D">
      <w:pPr>
        <w:pStyle w:val="ItemHead"/>
      </w:pPr>
      <w:r>
        <w:t>95</w:t>
      </w:r>
      <w:r w:rsidR="00723B2F" w:rsidRPr="006A4403">
        <w:t xml:space="preserve">  </w:t>
      </w:r>
      <w:r w:rsidR="005F7A0D" w:rsidRPr="006A4403">
        <w:t>Paragraphs 7.2(4)(aa) and (ab)</w:t>
      </w:r>
    </w:p>
    <w:p w14:paraId="0FB4687F" w14:textId="77777777" w:rsidR="005F7A0D" w:rsidRPr="006A4403" w:rsidRDefault="005F7A0D" w:rsidP="005F7A0D">
      <w:pPr>
        <w:pStyle w:val="Item"/>
      </w:pPr>
      <w:r w:rsidRPr="006A4403">
        <w:t>Repeal the paragraphs.</w:t>
      </w:r>
    </w:p>
    <w:p w14:paraId="17199B38" w14:textId="77777777" w:rsidR="005F7A0D" w:rsidRPr="006A4403" w:rsidRDefault="004B0AB6" w:rsidP="005F7A0D">
      <w:pPr>
        <w:pStyle w:val="ItemHead"/>
      </w:pPr>
      <w:r>
        <w:t>96</w:t>
      </w:r>
      <w:r w:rsidR="00723B2F" w:rsidRPr="006A4403">
        <w:t xml:space="preserve">  </w:t>
      </w:r>
      <w:r w:rsidR="005F7A0D" w:rsidRPr="006A4403">
        <w:t>Paragraphs 7.2(4)(e) and (f)</w:t>
      </w:r>
    </w:p>
    <w:p w14:paraId="4C6466F8" w14:textId="77777777" w:rsidR="005F7A0D" w:rsidRPr="006A4403" w:rsidRDefault="005F7A0D" w:rsidP="005F7A0D">
      <w:pPr>
        <w:pStyle w:val="Item"/>
      </w:pPr>
      <w:r w:rsidRPr="006A4403">
        <w:t>Repeal the paragraphs, substitute:</w:t>
      </w:r>
    </w:p>
    <w:p w14:paraId="42CF17B4" w14:textId="77777777" w:rsidR="005F7A0D" w:rsidRPr="006A4403" w:rsidRDefault="005F7A0D" w:rsidP="005F7A0D">
      <w:pPr>
        <w:pStyle w:val="paragraph"/>
      </w:pPr>
      <w:bookmarkStart w:id="270" w:name="_Hlk121831656"/>
      <w:r w:rsidRPr="006A4403">
        <w:tab/>
        <w:t>(e)</w:t>
      </w:r>
      <w:r w:rsidRPr="006A4403">
        <w:tab/>
        <w:t>for each CDR representative—the nature of the goods and services that the CDR representative provides to customers using CDR data;</w:t>
      </w:r>
    </w:p>
    <w:p w14:paraId="1DCD258A" w14:textId="77777777" w:rsidR="005F7A0D" w:rsidRPr="006A4403" w:rsidRDefault="005F7A0D" w:rsidP="005F7A0D">
      <w:pPr>
        <w:pStyle w:val="paragraph"/>
      </w:pPr>
      <w:r w:rsidRPr="006A4403">
        <w:tab/>
        <w:t>(f)</w:t>
      </w:r>
      <w:r w:rsidRPr="006A4403">
        <w:tab/>
        <w:t>a list of the direct and indirect OSPs of the accredited person and of any CDR representative (whether based in Australia or based overseas, and whether or not any is an accredited person);</w:t>
      </w:r>
    </w:p>
    <w:bookmarkEnd w:id="270"/>
    <w:p w14:paraId="6225EE1B" w14:textId="77777777" w:rsidR="005F7A0D" w:rsidRPr="006A4403" w:rsidRDefault="004B0AB6" w:rsidP="005F7A0D">
      <w:pPr>
        <w:pStyle w:val="ItemHead"/>
      </w:pPr>
      <w:r>
        <w:t>97</w:t>
      </w:r>
      <w:r w:rsidR="00723B2F" w:rsidRPr="006A4403">
        <w:t xml:space="preserve">  </w:t>
      </w:r>
      <w:r w:rsidR="005F7A0D" w:rsidRPr="006A4403">
        <w:t>Subparagraph 7.2(4)(h)(iii)</w:t>
      </w:r>
    </w:p>
    <w:p w14:paraId="642C6CE1" w14:textId="77777777" w:rsidR="005F7A0D" w:rsidRPr="006A4403" w:rsidRDefault="005F7A0D" w:rsidP="005F7A0D">
      <w:pPr>
        <w:pStyle w:val="Item"/>
      </w:pPr>
      <w:r w:rsidRPr="006A4403">
        <w:t>Renumber as subparagraph (ii).</w:t>
      </w:r>
    </w:p>
    <w:p w14:paraId="1759E33C" w14:textId="77777777" w:rsidR="005F7A0D" w:rsidRPr="006A4403" w:rsidRDefault="004B0AB6" w:rsidP="005F7A0D">
      <w:pPr>
        <w:pStyle w:val="ItemHead"/>
      </w:pPr>
      <w:r>
        <w:lastRenderedPageBreak/>
        <w:t>98</w:t>
      </w:r>
      <w:r w:rsidR="00723B2F" w:rsidRPr="006A4403">
        <w:t xml:space="preserve">  </w:t>
      </w:r>
      <w:r w:rsidR="005F7A0D" w:rsidRPr="006A4403">
        <w:t>Paragraph 7.2(4)(i)</w:t>
      </w:r>
    </w:p>
    <w:p w14:paraId="6E6F330F" w14:textId="77777777" w:rsidR="005F7A0D" w:rsidRPr="006A4403" w:rsidRDefault="005F7A0D" w:rsidP="005F7A0D">
      <w:pPr>
        <w:pStyle w:val="Item"/>
      </w:pPr>
      <w:bookmarkStart w:id="271" w:name="_Hlk124839434"/>
      <w:r w:rsidRPr="006A4403">
        <w:t>Repeal the paragraph, substitute:</w:t>
      </w:r>
    </w:p>
    <w:p w14:paraId="3B06C47B" w14:textId="77777777" w:rsidR="005F7A0D" w:rsidRPr="006A4403" w:rsidRDefault="005F7A0D" w:rsidP="005F7A0D">
      <w:pPr>
        <w:pStyle w:val="paragraph"/>
      </w:pPr>
      <w:bookmarkStart w:id="272" w:name="_Hlk115449924"/>
      <w:r w:rsidRPr="006A4403">
        <w:tab/>
        <w:t>(i)</w:t>
      </w:r>
      <w:r w:rsidRPr="006A4403">
        <w:tab/>
        <w:t>if the accredited person, any CDR representative of the accredited person, or any direct or indirect OSP of either the accredited person or any of their CDR representatives, is likely to disclose CDR data of a kind referred to in subsection 56ED(5) of the Act to</w:t>
      </w:r>
      <w:r w:rsidRPr="006A4403">
        <w:rPr>
          <w:shd w:val="clear" w:color="auto" w:fill="FFFFFF"/>
        </w:rPr>
        <w:t xml:space="preserve"> a direct or indirect OSP</w:t>
      </w:r>
      <w:r w:rsidRPr="006A4403">
        <w:t xml:space="preserve"> that:</w:t>
      </w:r>
    </w:p>
    <w:p w14:paraId="0DAC6A3E" w14:textId="77777777" w:rsidR="005F7A0D" w:rsidRPr="006A4403" w:rsidRDefault="005F7A0D" w:rsidP="005F7A0D">
      <w:pPr>
        <w:pStyle w:val="paragraphsub"/>
      </w:pPr>
      <w:r w:rsidRPr="006A4403">
        <w:tab/>
        <w:t>(i)</w:t>
      </w:r>
      <w:r w:rsidRPr="006A4403">
        <w:tab/>
        <w:t>is based overseas; and</w:t>
      </w:r>
    </w:p>
    <w:p w14:paraId="2A7491E9" w14:textId="77777777" w:rsidR="005F7A0D" w:rsidRPr="006A4403" w:rsidRDefault="005F7A0D" w:rsidP="005F7A0D">
      <w:pPr>
        <w:pStyle w:val="paragraphsub"/>
      </w:pPr>
      <w:r w:rsidRPr="006A4403">
        <w:tab/>
        <w:t>(ii)</w:t>
      </w:r>
      <w:r w:rsidRPr="006A4403">
        <w:tab/>
        <w:t>is not an accredited person;</w:t>
      </w:r>
    </w:p>
    <w:p w14:paraId="550E52C3" w14:textId="77777777" w:rsidR="005F7A0D" w:rsidRPr="006A4403" w:rsidRDefault="005F7A0D" w:rsidP="005F7A0D">
      <w:pPr>
        <w:pStyle w:val="paragraph"/>
      </w:pPr>
      <w:r w:rsidRPr="006A4403">
        <w:tab/>
      </w:r>
      <w:r w:rsidRPr="006A4403">
        <w:tab/>
        <w:t>—the countries in which such direct or indirect OSPs are likely to be based if it is practicable to specify those countries in the policy;</w:t>
      </w:r>
    </w:p>
    <w:bookmarkEnd w:id="271"/>
    <w:bookmarkEnd w:id="272"/>
    <w:p w14:paraId="2189E8BF" w14:textId="77777777" w:rsidR="005F7A0D" w:rsidRPr="006A4403" w:rsidRDefault="004B0AB6" w:rsidP="005F7A0D">
      <w:pPr>
        <w:pStyle w:val="ItemHead"/>
      </w:pPr>
      <w:r>
        <w:t>99</w:t>
      </w:r>
      <w:r w:rsidR="00723B2F" w:rsidRPr="006A4403">
        <w:t xml:space="preserve">  </w:t>
      </w:r>
      <w:r w:rsidR="005F7A0D" w:rsidRPr="006A4403">
        <w:t>Subrule 7.2(4) (notes 1, 2 and 3)</w:t>
      </w:r>
    </w:p>
    <w:p w14:paraId="42B29C10" w14:textId="77777777" w:rsidR="005F7A0D" w:rsidRPr="006A4403" w:rsidRDefault="005F7A0D" w:rsidP="005F7A0D">
      <w:pPr>
        <w:pStyle w:val="Item"/>
      </w:pPr>
      <w:r w:rsidRPr="006A4403">
        <w:t>Repeal the notes, substitute:</w:t>
      </w:r>
    </w:p>
    <w:p w14:paraId="5919DFE3" w14:textId="77777777" w:rsidR="005F7A0D" w:rsidRPr="006A4403" w:rsidRDefault="005F7A0D" w:rsidP="005F7A0D">
      <w:pPr>
        <w:pStyle w:val="notetext"/>
      </w:pPr>
      <w:bookmarkStart w:id="273" w:name="_Hlk121831943"/>
      <w:r w:rsidRPr="006A4403">
        <w:t>Note 1:</w:t>
      </w:r>
      <w:r w:rsidRPr="006A4403">
        <w:tab/>
        <w:t>For paragraph (i), if the direct or indirect OSP is an accredited person who is based overseas, paragraph 56ED(5)(f) of the Act requires that accredited person to include similar information in the person’s CDR policy.</w:t>
      </w:r>
    </w:p>
    <w:p w14:paraId="50AEEBA5" w14:textId="77777777" w:rsidR="005F7A0D" w:rsidRPr="006A4403" w:rsidRDefault="005F7A0D" w:rsidP="005F7A0D">
      <w:pPr>
        <w:pStyle w:val="notetext"/>
      </w:pPr>
      <w:r w:rsidRPr="006A4403">
        <w:t xml:space="preserve">Note 2: </w:t>
      </w:r>
      <w:r w:rsidRPr="006A4403">
        <w:tab/>
        <w:t>This subrule is a civil penalty provision (see rule 9.8).</w:t>
      </w:r>
    </w:p>
    <w:bookmarkEnd w:id="273"/>
    <w:p w14:paraId="6192ED29" w14:textId="77777777" w:rsidR="005F7A0D" w:rsidRPr="006A4403" w:rsidRDefault="004B0AB6" w:rsidP="005F7A0D">
      <w:pPr>
        <w:pStyle w:val="ItemHead"/>
      </w:pPr>
      <w:r>
        <w:t>100</w:t>
      </w:r>
      <w:r w:rsidR="00723B2F" w:rsidRPr="006A4403">
        <w:t xml:space="preserve">  </w:t>
      </w:r>
      <w:r w:rsidR="005F7A0D" w:rsidRPr="006A4403">
        <w:t>Subrule 7.2(5)</w:t>
      </w:r>
    </w:p>
    <w:p w14:paraId="5CA11E07" w14:textId="77777777" w:rsidR="005F7A0D" w:rsidRPr="006A4403" w:rsidRDefault="005F7A0D" w:rsidP="005F7A0D">
      <w:pPr>
        <w:pStyle w:val="Item"/>
      </w:pPr>
      <w:r w:rsidRPr="006A4403">
        <w:t>Omit “subparagraphs (4)(e)(ii) and (g)(ii)”, substitute “</w:t>
      </w:r>
      <w:bookmarkStart w:id="274" w:name="_Hlk121831992"/>
      <w:r w:rsidRPr="006A4403">
        <w:t>subparagraphs (4)(j)(ii) and (l)(ii)</w:t>
      </w:r>
      <w:bookmarkEnd w:id="274"/>
      <w:r w:rsidRPr="006A4403">
        <w:t>”.</w:t>
      </w:r>
    </w:p>
    <w:p w14:paraId="2C09CE1B" w14:textId="77777777" w:rsidR="005F7A0D" w:rsidRPr="006A4403" w:rsidRDefault="004B0AB6" w:rsidP="005F7A0D">
      <w:pPr>
        <w:pStyle w:val="ItemHead"/>
      </w:pPr>
      <w:r>
        <w:t>101</w:t>
      </w:r>
      <w:r w:rsidR="00723B2F" w:rsidRPr="006A4403">
        <w:t xml:space="preserve">  </w:t>
      </w:r>
      <w:r w:rsidR="005F7A0D" w:rsidRPr="006A4403">
        <w:t>Subrule 7.3A(2)</w:t>
      </w:r>
    </w:p>
    <w:p w14:paraId="0F34BA4D" w14:textId="77777777" w:rsidR="005F7A0D" w:rsidRPr="006A4403" w:rsidRDefault="005F7A0D" w:rsidP="005F7A0D">
      <w:pPr>
        <w:pStyle w:val="Item"/>
      </w:pPr>
      <w:r w:rsidRPr="006A4403">
        <w:t>Omit “subrule (2)”, substitute “subrule (1)”.</w:t>
      </w:r>
    </w:p>
    <w:p w14:paraId="74DBE34D" w14:textId="77777777" w:rsidR="005F7A0D" w:rsidRPr="006A4403" w:rsidRDefault="004B0AB6" w:rsidP="005F7A0D">
      <w:pPr>
        <w:pStyle w:val="ItemHead"/>
      </w:pPr>
      <w:r>
        <w:t>102</w:t>
      </w:r>
      <w:r w:rsidR="00723B2F" w:rsidRPr="006A4403">
        <w:t xml:space="preserve">  </w:t>
      </w:r>
      <w:r w:rsidR="005F7A0D" w:rsidRPr="006A4403">
        <w:t>After rule 7.3A</w:t>
      </w:r>
    </w:p>
    <w:p w14:paraId="32ABFE2E" w14:textId="77777777" w:rsidR="005F7A0D" w:rsidRPr="006A4403" w:rsidRDefault="005F7A0D" w:rsidP="005F7A0D">
      <w:pPr>
        <w:pStyle w:val="Item"/>
      </w:pPr>
      <w:r w:rsidRPr="006A4403">
        <w:t>Insert:</w:t>
      </w:r>
    </w:p>
    <w:p w14:paraId="0B42F245" w14:textId="77777777" w:rsidR="005F7A0D" w:rsidRPr="006A4403" w:rsidRDefault="005F7A0D" w:rsidP="005F7A0D">
      <w:pPr>
        <w:pStyle w:val="ActHead5"/>
      </w:pPr>
      <w:bookmarkStart w:id="275" w:name="_Toc111132191"/>
      <w:bookmarkStart w:id="276" w:name="_Toc116895973"/>
      <w:bookmarkStart w:id="277" w:name="_Toc135295321"/>
      <w:bookmarkStart w:id="278" w:name="_Hlk121832033"/>
      <w:r w:rsidRPr="006A4403">
        <w:t>7.3B  Rule relating to privacy safeguard 4—destruction of unsolicited data—outsourced service providers</w:t>
      </w:r>
      <w:bookmarkEnd w:id="275"/>
      <w:bookmarkEnd w:id="276"/>
      <w:bookmarkEnd w:id="277"/>
    </w:p>
    <w:p w14:paraId="22550674" w14:textId="77777777" w:rsidR="005F7A0D" w:rsidRPr="006A4403" w:rsidRDefault="005F7A0D" w:rsidP="005F7A0D">
      <w:pPr>
        <w:pStyle w:val="subsection"/>
      </w:pPr>
      <w:r w:rsidRPr="006A4403">
        <w:tab/>
        <w:t>(1)</w:t>
      </w:r>
      <w:r w:rsidRPr="006A4403">
        <w:tab/>
        <w:t>An accredited person breaches this subrule if a direct or indirect OSP of:</w:t>
      </w:r>
    </w:p>
    <w:p w14:paraId="32E54B43" w14:textId="77777777" w:rsidR="005F7A0D" w:rsidRPr="006A4403" w:rsidRDefault="005F7A0D" w:rsidP="005F7A0D">
      <w:pPr>
        <w:pStyle w:val="paragraph"/>
      </w:pPr>
      <w:r w:rsidRPr="006A4403">
        <w:tab/>
        <w:t>(a)</w:t>
      </w:r>
      <w:r w:rsidRPr="006A4403">
        <w:tab/>
        <w:t>the accredited person; or</w:t>
      </w:r>
    </w:p>
    <w:p w14:paraId="218508E2" w14:textId="77777777" w:rsidR="005F7A0D" w:rsidRPr="006A4403" w:rsidRDefault="005F7A0D" w:rsidP="005F7A0D">
      <w:pPr>
        <w:pStyle w:val="paragraph"/>
      </w:pPr>
      <w:r w:rsidRPr="006A4403">
        <w:tab/>
        <w:t>(b)</w:t>
      </w:r>
      <w:r w:rsidRPr="006A4403">
        <w:tab/>
        <w:t>a CDR representative of the accredited person;</w:t>
      </w:r>
    </w:p>
    <w:p w14:paraId="07B27AC8" w14:textId="77777777" w:rsidR="005F7A0D" w:rsidRPr="006A4403" w:rsidRDefault="005F7A0D" w:rsidP="005F7A0D">
      <w:pPr>
        <w:pStyle w:val="subsection2"/>
      </w:pPr>
      <w:r w:rsidRPr="006A4403">
        <w:t>fails to comply with section 56EG of the Act in relation to service data of a CDR consumer as if:</w:t>
      </w:r>
    </w:p>
    <w:p w14:paraId="651CF25E" w14:textId="77777777" w:rsidR="005F7A0D" w:rsidRPr="006A4403" w:rsidRDefault="005F7A0D" w:rsidP="005F7A0D">
      <w:pPr>
        <w:pStyle w:val="paragraph"/>
      </w:pPr>
      <w:r w:rsidRPr="006A4403">
        <w:tab/>
        <w:t>(c)</w:t>
      </w:r>
      <w:r w:rsidRPr="006A4403">
        <w:tab/>
        <w:t>it were an accredited person; and</w:t>
      </w:r>
    </w:p>
    <w:p w14:paraId="228AE454" w14:textId="77777777" w:rsidR="005F7A0D" w:rsidRPr="006A4403" w:rsidRDefault="005F7A0D" w:rsidP="005F7A0D">
      <w:pPr>
        <w:pStyle w:val="paragraph"/>
      </w:pPr>
      <w:r w:rsidRPr="006A4403">
        <w:tab/>
        <w:t>(d)</w:t>
      </w:r>
      <w:r w:rsidRPr="006A4403">
        <w:tab/>
        <w:t xml:space="preserve">it had collected the service data. </w:t>
      </w:r>
    </w:p>
    <w:p w14:paraId="45663EBC" w14:textId="77777777" w:rsidR="005F7A0D" w:rsidRPr="006A4403" w:rsidRDefault="005F7A0D" w:rsidP="005F7A0D">
      <w:pPr>
        <w:pStyle w:val="notetext"/>
      </w:pPr>
      <w:r w:rsidRPr="006A4403">
        <w:t>Note 1:</w:t>
      </w:r>
      <w:r w:rsidRPr="006A4403">
        <w:tab/>
        <w:t>See rule 1.10 for the definition of “service data” in relation to a CDR outsourcing arrangement.</w:t>
      </w:r>
    </w:p>
    <w:p w14:paraId="7E81926D" w14:textId="77777777" w:rsidR="005F7A0D" w:rsidRPr="006A4403" w:rsidRDefault="005F7A0D" w:rsidP="005F7A0D">
      <w:pPr>
        <w:pStyle w:val="notetext"/>
      </w:pPr>
      <w:r w:rsidRPr="006A4403">
        <w:t>Note 2:</w:t>
      </w:r>
      <w:r w:rsidRPr="006A4403">
        <w:tab/>
        <w:t>This subrule is a civil penalty provision (see rule 9.8).</w:t>
      </w:r>
    </w:p>
    <w:p w14:paraId="4BDB6186" w14:textId="77777777" w:rsidR="005F7A0D" w:rsidRPr="006A4403" w:rsidRDefault="005F7A0D" w:rsidP="005F7A0D">
      <w:pPr>
        <w:pStyle w:val="subsection"/>
      </w:pPr>
      <w:r w:rsidRPr="006A4403">
        <w:tab/>
        <w:t>(2)</w:t>
      </w:r>
      <w:r w:rsidRPr="006A4403">
        <w:tab/>
        <w:t>For subrule (1), it is irrelevant whether the action of the direct or indirect OSP in relation to the service data is in accordance with the CDR outsourcing arrangement.</w:t>
      </w:r>
    </w:p>
    <w:bookmarkEnd w:id="278"/>
    <w:p w14:paraId="3A392A52" w14:textId="77777777" w:rsidR="005F7A0D" w:rsidRPr="006A4403" w:rsidRDefault="004B0AB6" w:rsidP="005F7A0D">
      <w:pPr>
        <w:pStyle w:val="ItemHead"/>
      </w:pPr>
      <w:r>
        <w:t>103</w:t>
      </w:r>
      <w:r w:rsidR="00723B2F" w:rsidRPr="006A4403">
        <w:t xml:space="preserve">  </w:t>
      </w:r>
      <w:r w:rsidR="005F7A0D" w:rsidRPr="006A4403">
        <w:t>Subrule 7.4(2)</w:t>
      </w:r>
    </w:p>
    <w:p w14:paraId="3E19610F" w14:textId="77777777" w:rsidR="005F7A0D" w:rsidRPr="006A4403" w:rsidRDefault="005F7A0D" w:rsidP="005F7A0D">
      <w:pPr>
        <w:pStyle w:val="Item"/>
      </w:pPr>
      <w:r w:rsidRPr="006A4403">
        <w:t>Repeal the subrule, substitute:</w:t>
      </w:r>
    </w:p>
    <w:p w14:paraId="6EAD4B0C" w14:textId="77777777" w:rsidR="005F7A0D" w:rsidRPr="006A4403" w:rsidRDefault="005F7A0D" w:rsidP="005F7A0D">
      <w:pPr>
        <w:pStyle w:val="subsection"/>
      </w:pPr>
      <w:bookmarkStart w:id="279" w:name="_Hlk121832061"/>
      <w:r w:rsidRPr="006A4403">
        <w:tab/>
        <w:t>(2)</w:t>
      </w:r>
      <w:r w:rsidRPr="006A4403">
        <w:tab/>
        <w:t>Where the CDR data was collected by a sponsor on behalf of an affiliate:</w:t>
      </w:r>
    </w:p>
    <w:p w14:paraId="0924F9F5" w14:textId="77777777" w:rsidR="005F7A0D" w:rsidRPr="006A4403" w:rsidRDefault="005F7A0D" w:rsidP="005F7A0D">
      <w:pPr>
        <w:pStyle w:val="paragraph"/>
      </w:pPr>
      <w:r w:rsidRPr="006A4403">
        <w:lastRenderedPageBreak/>
        <w:tab/>
        <w:t>(a)</w:t>
      </w:r>
      <w:r w:rsidRPr="006A4403">
        <w:tab/>
        <w:t>the sponsor is not required to provide the consumer dashboard; and</w:t>
      </w:r>
    </w:p>
    <w:p w14:paraId="6A95E360" w14:textId="77777777" w:rsidR="005F7A0D" w:rsidRPr="006A4403" w:rsidRDefault="005F7A0D" w:rsidP="005F7A0D">
      <w:pPr>
        <w:pStyle w:val="notetext"/>
      </w:pPr>
      <w:r w:rsidRPr="006A4403">
        <w:t>Note:</w:t>
      </w:r>
      <w:r w:rsidRPr="006A4403">
        <w:tab/>
        <w:t>The affiliate, as an accredited person that makes the consumer request through the sponsor, is required to provide the consumer dashboard under subrule 1.14(1).</w:t>
      </w:r>
    </w:p>
    <w:p w14:paraId="1340BCA2" w14:textId="77777777" w:rsidR="005F7A0D" w:rsidRPr="006A4403" w:rsidRDefault="005F7A0D" w:rsidP="005F7A0D">
      <w:pPr>
        <w:pStyle w:val="paragraph"/>
      </w:pPr>
      <w:r w:rsidRPr="006A4403">
        <w:tab/>
        <w:t>(b)</w:t>
      </w:r>
      <w:r w:rsidRPr="006A4403">
        <w:tab/>
        <w:t>the sponsor and the affiliate may choose which of them will be responsible for updating the consumer’s dashboard in accordance with subrule (1); and</w:t>
      </w:r>
    </w:p>
    <w:p w14:paraId="359155C3" w14:textId="77777777" w:rsidR="005F7A0D" w:rsidRPr="006A4403" w:rsidRDefault="005F7A0D" w:rsidP="005F7A0D">
      <w:pPr>
        <w:pStyle w:val="paragraph"/>
      </w:pPr>
      <w:r w:rsidRPr="006A4403">
        <w:tab/>
        <w:t>(c)</w:t>
      </w:r>
      <w:r w:rsidRPr="006A4403">
        <w:tab/>
        <w:t>the dashboard must also indicate that the CDR data was collected by the sponsor on behalf of the affiliate.</w:t>
      </w:r>
    </w:p>
    <w:p w14:paraId="2393FB8C" w14:textId="77777777" w:rsidR="005F7A0D" w:rsidRPr="006A4403" w:rsidRDefault="005F7A0D" w:rsidP="005F7A0D">
      <w:pPr>
        <w:pStyle w:val="notetext"/>
      </w:pPr>
      <w:r w:rsidRPr="006A4403">
        <w:t>Note 1:</w:t>
      </w:r>
      <w:r w:rsidRPr="006A4403">
        <w:tab/>
        <w:t>See also paragraph 1.14(3)(ha).</w:t>
      </w:r>
    </w:p>
    <w:p w14:paraId="7F25FE4D" w14:textId="77777777" w:rsidR="005F7A0D" w:rsidRPr="006A4403" w:rsidRDefault="005F7A0D" w:rsidP="005F7A0D">
      <w:pPr>
        <w:pStyle w:val="notetext"/>
      </w:pPr>
      <w:r w:rsidRPr="006A4403">
        <w:t>Note 2:</w:t>
      </w:r>
      <w:r w:rsidRPr="006A4403">
        <w:tab/>
        <w:t>See subrule 1.16(5) for how this rule applies where the CDR data is collected by an accredited person acting as a direct or indirect OSP to the accredited data recipient.</w:t>
      </w:r>
    </w:p>
    <w:bookmarkEnd w:id="279"/>
    <w:p w14:paraId="6F99C502" w14:textId="77777777" w:rsidR="005F7A0D" w:rsidRPr="006A4403" w:rsidRDefault="004B0AB6" w:rsidP="005F7A0D">
      <w:pPr>
        <w:pStyle w:val="ItemHead"/>
      </w:pPr>
      <w:r>
        <w:t>104</w:t>
      </w:r>
      <w:r w:rsidR="00723B2F" w:rsidRPr="006A4403">
        <w:t xml:space="preserve">  </w:t>
      </w:r>
      <w:r w:rsidR="005F7A0D" w:rsidRPr="006A4403">
        <w:t>Rules 7.5, 7.5A and 7.6</w:t>
      </w:r>
    </w:p>
    <w:p w14:paraId="7927D370" w14:textId="77777777" w:rsidR="005F7A0D" w:rsidRPr="006A4403" w:rsidRDefault="005F7A0D" w:rsidP="005F7A0D">
      <w:pPr>
        <w:pStyle w:val="Item"/>
      </w:pPr>
      <w:r w:rsidRPr="006A4403">
        <w:t>Repeal the rules, substitute:</w:t>
      </w:r>
    </w:p>
    <w:p w14:paraId="07E75751" w14:textId="77777777" w:rsidR="005F7A0D" w:rsidRPr="006A4403" w:rsidRDefault="005F7A0D" w:rsidP="005F7A0D">
      <w:pPr>
        <w:pStyle w:val="ActHead5"/>
        <w:rPr>
          <w:i/>
        </w:rPr>
      </w:pPr>
      <w:bookmarkStart w:id="280" w:name="_Toc121497528"/>
      <w:bookmarkStart w:id="281" w:name="_Toc135295322"/>
      <w:bookmarkStart w:id="282" w:name="_Hlk121858355"/>
      <w:bookmarkStart w:id="283" w:name="_Hlk121832089"/>
      <w:r w:rsidRPr="006A4403">
        <w:t xml:space="preserve">7.5  Meaning of </w:t>
      </w:r>
      <w:r w:rsidRPr="006A4403">
        <w:rPr>
          <w:i/>
        </w:rPr>
        <w:t xml:space="preserve">permitted use or disclosure </w:t>
      </w:r>
      <w:r w:rsidRPr="006A4403">
        <w:t>and</w:t>
      </w:r>
      <w:r w:rsidRPr="006A4403">
        <w:rPr>
          <w:b w:val="0"/>
        </w:rPr>
        <w:t xml:space="preserve"> </w:t>
      </w:r>
      <w:r w:rsidRPr="006A4403">
        <w:rPr>
          <w:i/>
        </w:rPr>
        <w:t>relates to direct marketing</w:t>
      </w:r>
      <w:bookmarkEnd w:id="280"/>
      <w:bookmarkEnd w:id="281"/>
    </w:p>
    <w:p w14:paraId="510D79FE" w14:textId="77777777" w:rsidR="005F7A0D" w:rsidRPr="006A4403" w:rsidRDefault="005F7A0D" w:rsidP="005F7A0D">
      <w:pPr>
        <w:pStyle w:val="SubsectionHead"/>
      </w:pPr>
      <w:r w:rsidRPr="006A4403">
        <w:rPr>
          <w:b/>
        </w:rPr>
        <w:t>Permitted uses or disclosures</w:t>
      </w:r>
      <w:r w:rsidRPr="006A4403">
        <w:t xml:space="preserve"> that do not relate to direct marketing</w:t>
      </w:r>
    </w:p>
    <w:p w14:paraId="0D0DEEA0" w14:textId="77777777" w:rsidR="005F7A0D" w:rsidRPr="006A4403" w:rsidRDefault="005F7A0D" w:rsidP="005F7A0D">
      <w:pPr>
        <w:pStyle w:val="subsection"/>
      </w:pPr>
      <w:r w:rsidRPr="006A4403">
        <w:tab/>
        <w:t>(1)</w:t>
      </w:r>
      <w:r w:rsidRPr="006A4403">
        <w:tab/>
        <w:t xml:space="preserve">For these rules, for an accredited data recipient that has collected CDR data under a consumer data request under Part 4 on behalf of a CDR consumer, each of the following is a </w:t>
      </w:r>
      <w:r w:rsidRPr="006A4403">
        <w:rPr>
          <w:b/>
          <w:i/>
        </w:rPr>
        <w:t>permitted use or disclosure</w:t>
      </w:r>
      <w:r w:rsidRPr="006A4403">
        <w:t>:</w:t>
      </w:r>
    </w:p>
    <w:p w14:paraId="6A88326F" w14:textId="77777777" w:rsidR="005F7A0D" w:rsidRPr="006A4403" w:rsidRDefault="005F7A0D" w:rsidP="005F7A0D">
      <w:pPr>
        <w:pStyle w:val="paragraph"/>
      </w:pPr>
      <w:r w:rsidRPr="006A4403">
        <w:tab/>
        <w:t>(a)</w:t>
      </w:r>
      <w:r w:rsidRPr="006A4403">
        <w:tab/>
        <w:t xml:space="preserve">using the CDR consumer’s CDR data to provide goods or services requested by the CDR consumer (the </w:t>
      </w:r>
      <w:r w:rsidRPr="006A4403">
        <w:rPr>
          <w:b/>
          <w:i/>
        </w:rPr>
        <w:t>existing goods or services</w:t>
      </w:r>
      <w:r w:rsidRPr="006A4403">
        <w:t>):</w:t>
      </w:r>
    </w:p>
    <w:p w14:paraId="0603C304" w14:textId="77777777" w:rsidR="005F7A0D" w:rsidRPr="006A4403" w:rsidRDefault="005F7A0D" w:rsidP="005F7A0D">
      <w:pPr>
        <w:pStyle w:val="paragraphsub"/>
      </w:pPr>
      <w:r w:rsidRPr="006A4403">
        <w:tab/>
        <w:t>(i)</w:t>
      </w:r>
      <w:r w:rsidRPr="006A4403">
        <w:tab/>
        <w:t>in compliance with the data minimisation principle; and</w:t>
      </w:r>
    </w:p>
    <w:p w14:paraId="595D1923" w14:textId="77777777" w:rsidR="005F7A0D" w:rsidRPr="006A4403" w:rsidRDefault="005F7A0D" w:rsidP="005F7A0D">
      <w:pPr>
        <w:pStyle w:val="paragraphsub"/>
      </w:pPr>
      <w:r w:rsidRPr="006A4403">
        <w:tab/>
        <w:t>(ii)</w:t>
      </w:r>
      <w:r w:rsidRPr="006A4403">
        <w:tab/>
        <w:t>in accordance with a current use consent from the CDR consumer, other than a direct marketing consent;</w:t>
      </w:r>
    </w:p>
    <w:p w14:paraId="639A45C1" w14:textId="77777777" w:rsidR="005F7A0D" w:rsidRPr="006A4403" w:rsidRDefault="005F7A0D" w:rsidP="005F7A0D">
      <w:pPr>
        <w:pStyle w:val="paragraph"/>
      </w:pPr>
      <w:r w:rsidRPr="006A4403">
        <w:tab/>
        <w:t>(b)</w:t>
      </w:r>
      <w:r w:rsidRPr="006A4403">
        <w:tab/>
        <w:t>in accordance with a current de-identification consent, de</w:t>
      </w:r>
      <w:r w:rsidRPr="006A4403">
        <w:noBreakHyphen/>
        <w:t>identifying the CDR consumer’s CDR data in accordance with the CDR data de</w:t>
      </w:r>
      <w:r w:rsidRPr="006A4403">
        <w:noBreakHyphen/>
        <w:t>identification process and:</w:t>
      </w:r>
    </w:p>
    <w:p w14:paraId="3072E87D" w14:textId="77777777" w:rsidR="005F7A0D" w:rsidRPr="006A4403" w:rsidRDefault="005F7A0D" w:rsidP="005F7A0D">
      <w:pPr>
        <w:pStyle w:val="paragraphsub"/>
      </w:pPr>
      <w:r w:rsidRPr="006A4403">
        <w:tab/>
        <w:t>(i)</w:t>
      </w:r>
      <w:r w:rsidRPr="006A4403">
        <w:tab/>
        <w:t>using the de</w:t>
      </w:r>
      <w:r w:rsidRPr="006A4403">
        <w:noBreakHyphen/>
        <w:t>identified data for general research; or</w:t>
      </w:r>
    </w:p>
    <w:p w14:paraId="434DC20D" w14:textId="77777777" w:rsidR="005F7A0D" w:rsidRPr="006A4403" w:rsidRDefault="005F7A0D" w:rsidP="005F7A0D">
      <w:pPr>
        <w:pStyle w:val="paragraphsub"/>
      </w:pPr>
      <w:r w:rsidRPr="006A4403">
        <w:tab/>
        <w:t>(ii)</w:t>
      </w:r>
      <w:r w:rsidRPr="006A4403">
        <w:tab/>
        <w:t>disclosing (including by selling) the de</w:t>
      </w:r>
      <w:r w:rsidRPr="006A4403">
        <w:noBreakHyphen/>
        <w:t>identified data;</w:t>
      </w:r>
    </w:p>
    <w:p w14:paraId="191A40DF" w14:textId="77777777" w:rsidR="005F7A0D" w:rsidRPr="006A4403" w:rsidRDefault="005F7A0D" w:rsidP="005F7A0D">
      <w:pPr>
        <w:pStyle w:val="paragraph"/>
      </w:pPr>
      <w:r w:rsidRPr="006A4403">
        <w:tab/>
        <w:t>(c)</w:t>
      </w:r>
      <w:r w:rsidRPr="006A4403">
        <w:tab/>
        <w:t xml:space="preserve">directly or indirectly deriving CDR data from the collected CDR data in order to use the data in accordance with paragraph (a) or (b); </w:t>
      </w:r>
    </w:p>
    <w:p w14:paraId="1F375DD1" w14:textId="77777777" w:rsidR="005F7A0D" w:rsidRPr="006A4403" w:rsidRDefault="005F7A0D" w:rsidP="005F7A0D">
      <w:pPr>
        <w:pStyle w:val="paragraph"/>
      </w:pPr>
      <w:r w:rsidRPr="006A4403">
        <w:tab/>
        <w:t>(d)</w:t>
      </w:r>
      <w:r w:rsidRPr="006A4403">
        <w:tab/>
        <w:t>for the purpose of providing the existing goods or services—disclosing, to the CDR consumer, any of their CDR data;</w:t>
      </w:r>
    </w:p>
    <w:p w14:paraId="2A16D43F" w14:textId="77777777" w:rsidR="005F7A0D" w:rsidRPr="006A4403" w:rsidRDefault="005F7A0D" w:rsidP="005F7A0D">
      <w:pPr>
        <w:pStyle w:val="paragraph"/>
      </w:pPr>
      <w:r w:rsidRPr="006A4403">
        <w:tab/>
        <w:t>(e)</w:t>
      </w:r>
      <w:r w:rsidRPr="006A4403">
        <w:tab/>
        <w:t>subject to rule 7.5A, disclosing the CDR consumer’s CDR data in accordance with a current disclosure consent;</w:t>
      </w:r>
    </w:p>
    <w:p w14:paraId="48D94D01" w14:textId="77777777" w:rsidR="005F7A0D" w:rsidRPr="006A4403" w:rsidRDefault="005F7A0D" w:rsidP="005F7A0D">
      <w:pPr>
        <w:pStyle w:val="paragraph"/>
      </w:pPr>
      <w:r w:rsidRPr="006A4403">
        <w:tab/>
        <w:t>(f)</w:t>
      </w:r>
      <w:r w:rsidRPr="006A4403">
        <w:tab/>
        <w:t>disclosing the CDR consumer’s CDR data to:</w:t>
      </w:r>
    </w:p>
    <w:p w14:paraId="536BEA37" w14:textId="77777777" w:rsidR="005F7A0D" w:rsidRPr="006A4403" w:rsidRDefault="005F7A0D" w:rsidP="005F7A0D">
      <w:pPr>
        <w:pStyle w:val="paragraphsub"/>
      </w:pPr>
      <w:r w:rsidRPr="006A4403">
        <w:tab/>
        <w:t>(i)</w:t>
      </w:r>
      <w:r w:rsidRPr="006A4403">
        <w:tab/>
        <w:t>a direct or indirect OSP of the accredited data recipient; or</w:t>
      </w:r>
    </w:p>
    <w:p w14:paraId="6E052B6D" w14:textId="77777777" w:rsidR="005F7A0D" w:rsidRPr="006A4403" w:rsidRDefault="005F7A0D" w:rsidP="005F7A0D">
      <w:pPr>
        <w:pStyle w:val="paragraphsub"/>
      </w:pPr>
      <w:r w:rsidRPr="006A4403">
        <w:tab/>
        <w:t>(ii)</w:t>
      </w:r>
      <w:r w:rsidRPr="006A4403">
        <w:tab/>
        <w:t xml:space="preserve">the other party in a sponsorship arrangement; </w:t>
      </w:r>
    </w:p>
    <w:p w14:paraId="575FE091" w14:textId="77777777" w:rsidR="005F7A0D" w:rsidRPr="006A4403" w:rsidRDefault="005F7A0D" w:rsidP="005F7A0D">
      <w:pPr>
        <w:pStyle w:val="paragraph"/>
      </w:pPr>
      <w:r w:rsidRPr="006A4403">
        <w:tab/>
      </w:r>
      <w:r w:rsidRPr="006A4403">
        <w:tab/>
        <w:t>where the disclosure is made:</w:t>
      </w:r>
    </w:p>
    <w:p w14:paraId="14371124" w14:textId="77777777" w:rsidR="005F7A0D" w:rsidRPr="006A4403" w:rsidRDefault="005F7A0D" w:rsidP="005F7A0D">
      <w:pPr>
        <w:pStyle w:val="paragraphsub"/>
      </w:pPr>
      <w:r w:rsidRPr="006A4403">
        <w:tab/>
        <w:t>(iii)</w:t>
      </w:r>
      <w:r w:rsidRPr="006A4403">
        <w:tab/>
        <w:t>for the purpose of doing the things referred to in paragraphs (a) to (e); and</w:t>
      </w:r>
    </w:p>
    <w:p w14:paraId="1F994C3A" w14:textId="77777777" w:rsidR="005F7A0D" w:rsidRPr="006A4403" w:rsidRDefault="005F7A0D" w:rsidP="005F7A0D">
      <w:pPr>
        <w:pStyle w:val="paragraphsub"/>
      </w:pPr>
      <w:r w:rsidRPr="006A4403">
        <w:tab/>
        <w:t>(iv)</w:t>
      </w:r>
      <w:r w:rsidRPr="006A4403">
        <w:tab/>
        <w:t>to the extent reasonably needed to do those things;</w:t>
      </w:r>
    </w:p>
    <w:p w14:paraId="570DFEBF" w14:textId="77777777" w:rsidR="005F7A0D" w:rsidRPr="006A4403" w:rsidRDefault="005F7A0D" w:rsidP="005F7A0D">
      <w:pPr>
        <w:pStyle w:val="paragraph"/>
      </w:pPr>
      <w:r w:rsidRPr="006A4403">
        <w:tab/>
        <w:t>(g)</w:t>
      </w:r>
      <w:r w:rsidRPr="006A4403">
        <w:tab/>
        <w:t>disclosing (by sale or otherwise), to any person, CDR data that has been de</w:t>
      </w:r>
      <w:r w:rsidRPr="006A4403">
        <w:noBreakHyphen/>
        <w:t>identified in accordance with the CDR data de</w:t>
      </w:r>
      <w:r w:rsidRPr="006A4403">
        <w:noBreakHyphen/>
        <w:t>identification process on becoming redundant data;</w:t>
      </w:r>
    </w:p>
    <w:p w14:paraId="4EF2CFA2" w14:textId="77777777" w:rsidR="005F7A0D" w:rsidRPr="006A4403" w:rsidRDefault="005F7A0D" w:rsidP="005F7A0D">
      <w:pPr>
        <w:pStyle w:val="paragraph"/>
      </w:pPr>
      <w:r w:rsidRPr="006A4403">
        <w:tab/>
        <w:t>(h)</w:t>
      </w:r>
      <w:r w:rsidRPr="006A4403">
        <w:tab/>
        <w:t xml:space="preserve">where the accredited data recipient collected the CDR data on behalf of another accredited person in its capacity as a direct or indirect OSP of that </w:t>
      </w:r>
      <w:r w:rsidRPr="006A4403">
        <w:lastRenderedPageBreak/>
        <w:t>person—using or disclosing the CDR data in accordance with the relevant CDR outsourcing arrangement;</w:t>
      </w:r>
    </w:p>
    <w:p w14:paraId="5414696B" w14:textId="77777777" w:rsidR="005F7A0D" w:rsidRPr="006A4403" w:rsidRDefault="005F7A0D" w:rsidP="005F7A0D">
      <w:pPr>
        <w:pStyle w:val="paragraph"/>
      </w:pPr>
      <w:r w:rsidRPr="006A4403">
        <w:tab/>
        <w:t>(i)</w:t>
      </w:r>
      <w:r w:rsidRPr="006A4403">
        <w:tab/>
        <w:t>disclosing CDR data to an accredited person if the CDR consumer has:</w:t>
      </w:r>
    </w:p>
    <w:p w14:paraId="2E1D1978" w14:textId="77777777" w:rsidR="005F7A0D" w:rsidRPr="006A4403" w:rsidRDefault="005F7A0D" w:rsidP="005F7A0D">
      <w:pPr>
        <w:pStyle w:val="paragraphsub"/>
      </w:pPr>
      <w:r w:rsidRPr="006A4403">
        <w:tab/>
        <w:t>(i)</w:t>
      </w:r>
      <w:r w:rsidRPr="006A4403">
        <w:tab/>
        <w:t>given the accredited person:</w:t>
      </w:r>
    </w:p>
    <w:p w14:paraId="2D66E424" w14:textId="77777777" w:rsidR="005F7A0D" w:rsidRPr="006A4403" w:rsidRDefault="005F7A0D" w:rsidP="005F7A0D">
      <w:pPr>
        <w:pStyle w:val="paragraphsub-sub"/>
      </w:pPr>
      <w:r w:rsidRPr="006A4403">
        <w:tab/>
        <w:t>(A)</w:t>
      </w:r>
      <w:r w:rsidRPr="006A4403">
        <w:tab/>
        <w:t>a collection consent to collect the CDR data from the accredited data recipient; and</w:t>
      </w:r>
    </w:p>
    <w:p w14:paraId="5F4B00DC" w14:textId="77777777" w:rsidR="005F7A0D" w:rsidRPr="006A4403" w:rsidRDefault="005F7A0D" w:rsidP="005F7A0D">
      <w:pPr>
        <w:pStyle w:val="paragraphsub-sub"/>
      </w:pPr>
      <w:r w:rsidRPr="006A4403">
        <w:tab/>
        <w:t>(B)</w:t>
      </w:r>
      <w:r w:rsidRPr="006A4403">
        <w:tab/>
        <w:t>a use consent; and</w:t>
      </w:r>
    </w:p>
    <w:p w14:paraId="5B6CD236" w14:textId="77777777" w:rsidR="005F7A0D" w:rsidRPr="006A4403" w:rsidRDefault="005F7A0D" w:rsidP="005F7A0D">
      <w:pPr>
        <w:pStyle w:val="paragraphsub"/>
      </w:pPr>
      <w:r w:rsidRPr="006A4403">
        <w:tab/>
        <w:t>(ii)</w:t>
      </w:r>
      <w:r w:rsidRPr="006A4403">
        <w:tab/>
        <w:t>given the accredited data recipient an AP disclosure consent to disclose the CDR data to the accredited person;</w:t>
      </w:r>
    </w:p>
    <w:p w14:paraId="78C936BC" w14:textId="77777777" w:rsidR="005F7A0D" w:rsidRPr="006A4403" w:rsidRDefault="005F7A0D" w:rsidP="005F7A0D">
      <w:pPr>
        <w:pStyle w:val="paragraph"/>
      </w:pPr>
      <w:r w:rsidRPr="006A4403">
        <w:tab/>
        <w:t>(j)</w:t>
      </w:r>
      <w:r w:rsidRPr="006A4403">
        <w:tab/>
        <w:t xml:space="preserve">where the accredited data recipient is a CDR representative principal—disclosing the CDR data to a CDR representative for the purposes of a use or disclosure by the CDR representative that would be a permitted use or disclosure under </w:t>
      </w:r>
      <w:r w:rsidRPr="006A4403">
        <w:rPr>
          <w:szCs w:val="22"/>
          <w:shd w:val="clear" w:color="auto" w:fill="FFFFFF"/>
        </w:rPr>
        <w:t>paragraphs (a) to (g) or (i)</w:t>
      </w:r>
      <w:r w:rsidRPr="006A4403">
        <w:t>, if the CDR representative were an accredited data recipient that had collected the CDR data under the consumer data request.</w:t>
      </w:r>
    </w:p>
    <w:p w14:paraId="5A45B152" w14:textId="77777777" w:rsidR="005F7A0D" w:rsidRPr="006A4403" w:rsidRDefault="005F7A0D" w:rsidP="005F7A0D">
      <w:pPr>
        <w:pStyle w:val="subsection"/>
      </w:pPr>
      <w:r w:rsidRPr="006A4403">
        <w:tab/>
        <w:t>(2)</w:t>
      </w:r>
      <w:r w:rsidRPr="006A4403">
        <w:tab/>
        <w:t>However:</w:t>
      </w:r>
    </w:p>
    <w:p w14:paraId="3EB08DB3" w14:textId="77777777" w:rsidR="005F7A0D" w:rsidRPr="006A4403" w:rsidRDefault="005F7A0D" w:rsidP="005F7A0D">
      <w:pPr>
        <w:pStyle w:val="paragraph"/>
      </w:pPr>
      <w:r w:rsidRPr="006A4403">
        <w:tab/>
        <w:t>(a)</w:t>
      </w:r>
      <w:r w:rsidRPr="006A4403">
        <w:tab/>
        <w:t xml:space="preserve">a disclosure is not a </w:t>
      </w:r>
      <w:r w:rsidRPr="006A4403">
        <w:rPr>
          <w:b/>
          <w:i/>
        </w:rPr>
        <w:t>permitted use or disclosure</w:t>
      </w:r>
      <w:r w:rsidRPr="006A4403">
        <w:t xml:space="preserve"> unless it is done in accordance with the data standards; and</w:t>
      </w:r>
    </w:p>
    <w:p w14:paraId="1638EFFC" w14:textId="77777777" w:rsidR="005F7A0D" w:rsidRPr="006A4403" w:rsidRDefault="005F7A0D" w:rsidP="005F7A0D">
      <w:pPr>
        <w:pStyle w:val="paragraph"/>
      </w:pPr>
      <w:r w:rsidRPr="006A4403">
        <w:tab/>
        <w:t>(b)</w:t>
      </w:r>
      <w:r w:rsidRPr="006A4403">
        <w:tab/>
        <w:t xml:space="preserve">none of the uses of CDR data referred to in subrule 4.12(3) is a </w:t>
      </w:r>
      <w:r w:rsidRPr="006A4403">
        <w:rPr>
          <w:b/>
          <w:i/>
        </w:rPr>
        <w:t>permitted use or disclosure</w:t>
      </w:r>
      <w:r w:rsidRPr="006A4403">
        <w:t>.</w:t>
      </w:r>
    </w:p>
    <w:p w14:paraId="215B55DD" w14:textId="77777777" w:rsidR="005F7A0D" w:rsidRPr="006A4403" w:rsidRDefault="005F7A0D" w:rsidP="005F7A0D">
      <w:pPr>
        <w:pStyle w:val="notetext"/>
      </w:pPr>
      <w:r w:rsidRPr="006A4403">
        <w:t>Note:</w:t>
      </w:r>
      <w:r w:rsidRPr="006A4403">
        <w:tab/>
        <w:t>The same list of uses appears in subrule 4.20F(3).</w:t>
      </w:r>
    </w:p>
    <w:p w14:paraId="47F9C56B" w14:textId="77777777" w:rsidR="005F7A0D" w:rsidRPr="006A4403" w:rsidRDefault="005F7A0D" w:rsidP="005F7A0D">
      <w:pPr>
        <w:pStyle w:val="SubsectionHead"/>
      </w:pPr>
      <w:r w:rsidRPr="006A4403">
        <w:rPr>
          <w:b/>
        </w:rPr>
        <w:t>Permitted uses or disclosures</w:t>
      </w:r>
      <w:r w:rsidRPr="006A4403">
        <w:t xml:space="preserve"> that </w:t>
      </w:r>
      <w:r w:rsidRPr="006A4403">
        <w:rPr>
          <w:b/>
        </w:rPr>
        <w:t>relate to direct marketing</w:t>
      </w:r>
    </w:p>
    <w:p w14:paraId="5417744F" w14:textId="77777777" w:rsidR="005F7A0D" w:rsidRPr="006A4403" w:rsidRDefault="005F7A0D" w:rsidP="005F7A0D">
      <w:pPr>
        <w:pStyle w:val="subsection"/>
      </w:pPr>
      <w:r w:rsidRPr="006A4403">
        <w:tab/>
        <w:t>(3)</w:t>
      </w:r>
      <w:r w:rsidRPr="006A4403">
        <w:tab/>
        <w:t xml:space="preserve">For these rules, a use or disclosure of the CDR consumer’s CDR data by an accredited data recipient that is not itself a permitted use or disclosure under subrule (1) is nevertheless a </w:t>
      </w:r>
      <w:r w:rsidRPr="006A4403">
        <w:rPr>
          <w:b/>
          <w:i/>
        </w:rPr>
        <w:t xml:space="preserve">permitted use or disclosure </w:t>
      </w:r>
      <w:r w:rsidRPr="006A4403">
        <w:t xml:space="preserve">that </w:t>
      </w:r>
      <w:r w:rsidRPr="006A4403">
        <w:rPr>
          <w:b/>
          <w:i/>
        </w:rPr>
        <w:t xml:space="preserve">relates to direct marketing </w:t>
      </w:r>
      <w:r w:rsidRPr="006A4403">
        <w:t>if it consists of one of the following:</w:t>
      </w:r>
    </w:p>
    <w:p w14:paraId="22D5DDC2" w14:textId="77777777" w:rsidR="005F7A0D" w:rsidRPr="006A4403" w:rsidRDefault="005F7A0D" w:rsidP="005F7A0D">
      <w:pPr>
        <w:pStyle w:val="paragraph"/>
      </w:pPr>
      <w:r w:rsidRPr="006A4403">
        <w:tab/>
        <w:t>(a)</w:t>
      </w:r>
      <w:r w:rsidRPr="006A4403">
        <w:tab/>
        <w:t>in accordance with a direct marketing consent from the CDR consumer—sending to the CDR consumer:</w:t>
      </w:r>
    </w:p>
    <w:p w14:paraId="01A913E7" w14:textId="77777777" w:rsidR="005F7A0D" w:rsidRPr="006A4403" w:rsidRDefault="005F7A0D" w:rsidP="005F7A0D">
      <w:pPr>
        <w:pStyle w:val="paragraphsub"/>
      </w:pPr>
      <w:r w:rsidRPr="006A4403">
        <w:tab/>
        <w:t>(i)</w:t>
      </w:r>
      <w:r w:rsidRPr="006A4403">
        <w:tab/>
        <w:t>information about upgraded or alternative goods or services to existing goods or services; or</w:t>
      </w:r>
    </w:p>
    <w:p w14:paraId="4E6D2FC7" w14:textId="77777777" w:rsidR="005F7A0D" w:rsidRPr="006A4403" w:rsidRDefault="005F7A0D" w:rsidP="005F7A0D">
      <w:pPr>
        <w:pStyle w:val="paragraphsub"/>
      </w:pPr>
      <w:r w:rsidRPr="006A4403">
        <w:tab/>
        <w:t>(ii)</w:t>
      </w:r>
      <w:r w:rsidRPr="006A4403">
        <w:tab/>
        <w:t>an offer to renew existing goods or services when they expire; or</w:t>
      </w:r>
    </w:p>
    <w:p w14:paraId="4DCEBB3D" w14:textId="77777777" w:rsidR="005F7A0D" w:rsidRPr="006A4403" w:rsidRDefault="005F7A0D" w:rsidP="005F7A0D">
      <w:pPr>
        <w:pStyle w:val="paragraphsub"/>
      </w:pPr>
      <w:r w:rsidRPr="006A4403">
        <w:tab/>
        <w:t>(iii)</w:t>
      </w:r>
      <w:r w:rsidRPr="006A4403">
        <w:tab/>
        <w:t xml:space="preserve">information about the benefits of existing goods or services; or   </w:t>
      </w:r>
    </w:p>
    <w:p w14:paraId="0EF1DF37" w14:textId="77777777" w:rsidR="005F7A0D" w:rsidRPr="006A4403" w:rsidRDefault="005F7A0D" w:rsidP="005F7A0D">
      <w:pPr>
        <w:pStyle w:val="paragraphsub"/>
      </w:pPr>
      <w:r w:rsidRPr="006A4403">
        <w:tab/>
        <w:t>(iv)</w:t>
      </w:r>
      <w:r w:rsidRPr="006A4403">
        <w:tab/>
        <w:t>information about other goods or services provided by another accredited person, if the accredited data recipient:</w:t>
      </w:r>
    </w:p>
    <w:p w14:paraId="700D0277" w14:textId="77777777" w:rsidR="005F7A0D" w:rsidRPr="006A4403" w:rsidRDefault="005F7A0D" w:rsidP="005F7A0D">
      <w:pPr>
        <w:pStyle w:val="paragraphsub-sub"/>
      </w:pPr>
      <w:r w:rsidRPr="006A4403">
        <w:tab/>
        <w:t>(A)</w:t>
      </w:r>
      <w:r w:rsidRPr="006A4403">
        <w:tab/>
        <w:t>reasonably believes that the CDR consumer might benefit from those other goods or services; and</w:t>
      </w:r>
    </w:p>
    <w:p w14:paraId="3E2485FE" w14:textId="77777777" w:rsidR="005F7A0D" w:rsidRPr="006A4403" w:rsidRDefault="005F7A0D" w:rsidP="005F7A0D">
      <w:pPr>
        <w:pStyle w:val="paragraphsub-sub"/>
      </w:pPr>
      <w:r w:rsidRPr="006A4403">
        <w:tab/>
        <w:t xml:space="preserve">(B) </w:t>
      </w:r>
      <w:r w:rsidRPr="006A4403">
        <w:tab/>
        <w:t>sends such information to the CDR consumer on no more than a reasonable number of occasions;</w:t>
      </w:r>
    </w:p>
    <w:p w14:paraId="1A35375E" w14:textId="77777777" w:rsidR="005F7A0D" w:rsidRPr="006A4403" w:rsidRDefault="005F7A0D" w:rsidP="005F7A0D">
      <w:pPr>
        <w:pStyle w:val="paragraph"/>
      </w:pPr>
      <w:r w:rsidRPr="006A4403">
        <w:tab/>
        <w:t>(b)</w:t>
      </w:r>
      <w:r w:rsidRPr="006A4403">
        <w:tab/>
        <w:t>in accordance with a direct marketing consent from the CDR consumer—disclosing CDR data to an accredited person to enable the accredited person to provide the goods or services referred to in subparagraph (a)(iv), if the CDR consumer has:</w:t>
      </w:r>
    </w:p>
    <w:p w14:paraId="0699DFAD" w14:textId="77777777" w:rsidR="005F7A0D" w:rsidRPr="006A4403" w:rsidRDefault="005F7A0D" w:rsidP="005F7A0D">
      <w:pPr>
        <w:pStyle w:val="paragraphsub"/>
      </w:pPr>
      <w:r w:rsidRPr="006A4403">
        <w:tab/>
        <w:t>(i)</w:t>
      </w:r>
      <w:r w:rsidRPr="006A4403">
        <w:tab/>
        <w:t>given the accredited person:</w:t>
      </w:r>
    </w:p>
    <w:p w14:paraId="5826B11C" w14:textId="77777777" w:rsidR="005F7A0D" w:rsidRPr="006A4403" w:rsidRDefault="005F7A0D" w:rsidP="005F7A0D">
      <w:pPr>
        <w:pStyle w:val="paragraphsub-sub"/>
      </w:pPr>
      <w:r w:rsidRPr="006A4403">
        <w:tab/>
        <w:t>(A)</w:t>
      </w:r>
      <w:r w:rsidRPr="006A4403">
        <w:tab/>
        <w:t>a collection consent to collect the CDR data from the accredited data recipient; and</w:t>
      </w:r>
    </w:p>
    <w:p w14:paraId="5F656107" w14:textId="77777777" w:rsidR="005F7A0D" w:rsidRPr="006A4403" w:rsidRDefault="005F7A0D" w:rsidP="005F7A0D">
      <w:pPr>
        <w:pStyle w:val="paragraphsub-sub"/>
      </w:pPr>
      <w:r w:rsidRPr="006A4403">
        <w:tab/>
        <w:t>(B)</w:t>
      </w:r>
      <w:r w:rsidRPr="006A4403">
        <w:tab/>
        <w:t>a use consent; and</w:t>
      </w:r>
    </w:p>
    <w:p w14:paraId="4F482BEC" w14:textId="77777777" w:rsidR="005F7A0D" w:rsidRPr="006A4403" w:rsidRDefault="005F7A0D" w:rsidP="005F7A0D">
      <w:pPr>
        <w:pStyle w:val="paragraphsub"/>
      </w:pPr>
      <w:r w:rsidRPr="006A4403">
        <w:tab/>
        <w:t>(ii)</w:t>
      </w:r>
      <w:r w:rsidRPr="006A4403">
        <w:tab/>
        <w:t>given the accredited data recipient a disclosure consent to disclose the CDR data to the accredited person;</w:t>
      </w:r>
    </w:p>
    <w:p w14:paraId="1EC9E988" w14:textId="77777777" w:rsidR="005F7A0D" w:rsidRPr="006A4403" w:rsidRDefault="005F7A0D" w:rsidP="005F7A0D">
      <w:pPr>
        <w:pStyle w:val="paragraph"/>
      </w:pPr>
      <w:r w:rsidRPr="006A4403">
        <w:lastRenderedPageBreak/>
        <w:tab/>
        <w:t>(c)</w:t>
      </w:r>
      <w:r w:rsidRPr="006A4403">
        <w:tab/>
        <w:t>using the CDR data in a way and to the extent that is reasonably needed in order to send to the CDR consumer something permitted under paragraph (a) or paragraph (b) (including by analysing the CDR data to identify the appropriate information to send);</w:t>
      </w:r>
    </w:p>
    <w:p w14:paraId="4310D65B" w14:textId="77777777" w:rsidR="005F7A0D" w:rsidRPr="006A4403" w:rsidRDefault="005F7A0D" w:rsidP="005F7A0D">
      <w:pPr>
        <w:pStyle w:val="paragraph"/>
      </w:pPr>
      <w:r w:rsidRPr="006A4403">
        <w:tab/>
        <w:t>(d)</w:t>
      </w:r>
      <w:r w:rsidRPr="006A4403">
        <w:tab/>
        <w:t>disclosing the CDR consumer’s CDR data to a direct or indirect OSP of the accredited data recipient:</w:t>
      </w:r>
    </w:p>
    <w:p w14:paraId="77FC33A0" w14:textId="77777777" w:rsidR="005F7A0D" w:rsidRPr="006A4403" w:rsidRDefault="005F7A0D" w:rsidP="005F7A0D">
      <w:pPr>
        <w:pStyle w:val="paragraphsub"/>
      </w:pPr>
      <w:r w:rsidRPr="006A4403">
        <w:tab/>
        <w:t>(i)</w:t>
      </w:r>
      <w:r w:rsidRPr="006A4403">
        <w:tab/>
        <w:t>for the purpose of doing the things referred to in paragraphs (a), (b) or (c); and</w:t>
      </w:r>
    </w:p>
    <w:p w14:paraId="215587C6" w14:textId="77777777" w:rsidR="005F7A0D" w:rsidRPr="006A4403" w:rsidRDefault="005F7A0D" w:rsidP="005F7A0D">
      <w:pPr>
        <w:pStyle w:val="paragraphsub"/>
      </w:pPr>
      <w:r w:rsidRPr="006A4403">
        <w:tab/>
        <w:t>(ii)</w:t>
      </w:r>
      <w:r w:rsidRPr="006A4403">
        <w:tab/>
        <w:t>to the extent reasonably needed to do those things;</w:t>
      </w:r>
    </w:p>
    <w:p w14:paraId="69467A23" w14:textId="77777777" w:rsidR="005F7A0D" w:rsidRPr="006A4403" w:rsidRDefault="005F7A0D" w:rsidP="005F7A0D">
      <w:pPr>
        <w:pStyle w:val="paragraph"/>
      </w:pPr>
      <w:r w:rsidRPr="006A4403">
        <w:tab/>
        <w:t>(e)</w:t>
      </w:r>
      <w:r w:rsidRPr="006A4403">
        <w:tab/>
        <w:t>where the accredited data recipient is a CDR representative principal—disclosing the CDR data to a CDR representative for the purposes of a use or disclosure by the CDR representative that would be a permitted use or disclosure under paragraph (a), (c) or (d) if the CDR representative were an accredited data recipient that had collected the CDR data under the consumer data request.</w:t>
      </w:r>
    </w:p>
    <w:p w14:paraId="4FC88E4B" w14:textId="77777777" w:rsidR="005F7A0D" w:rsidRPr="006A4403" w:rsidRDefault="005F7A0D" w:rsidP="005F7A0D">
      <w:pPr>
        <w:pStyle w:val="ActHead5"/>
      </w:pPr>
      <w:bookmarkStart w:id="284" w:name="_Toc57219117"/>
      <w:bookmarkStart w:id="285" w:name="_Toc59549175"/>
      <w:bookmarkStart w:id="286" w:name="_Toc121497529"/>
      <w:bookmarkStart w:id="287" w:name="_Toc135295323"/>
      <w:r w:rsidRPr="006A4403">
        <w:t>7.5A  Limitation to disclosures of CDR data under a disclosure consent</w:t>
      </w:r>
      <w:bookmarkEnd w:id="284"/>
      <w:bookmarkEnd w:id="285"/>
      <w:bookmarkEnd w:id="286"/>
      <w:bookmarkEnd w:id="287"/>
    </w:p>
    <w:p w14:paraId="5C07BD91" w14:textId="77777777" w:rsidR="005F7A0D" w:rsidRPr="006A4403" w:rsidRDefault="005F7A0D" w:rsidP="005F7A0D">
      <w:pPr>
        <w:pStyle w:val="subsection"/>
      </w:pPr>
      <w:r w:rsidRPr="006A4403">
        <w:tab/>
        <w:t>(1)</w:t>
      </w:r>
      <w:r w:rsidRPr="006A4403">
        <w:tab/>
        <w:t xml:space="preserve">Despite paragraph 7.5(1)(e), disclosure of CDR data to an accredited person under an AP disclosure consent is not a </w:t>
      </w:r>
      <w:r w:rsidRPr="006A4403">
        <w:rPr>
          <w:b/>
          <w:i/>
        </w:rPr>
        <w:t xml:space="preserve">permitted use or disclosure </w:t>
      </w:r>
      <w:r w:rsidRPr="006A4403">
        <w:t>until the earlier of the following:</w:t>
      </w:r>
    </w:p>
    <w:p w14:paraId="30005A37" w14:textId="77777777" w:rsidR="005F7A0D" w:rsidRPr="006A4403" w:rsidRDefault="005F7A0D" w:rsidP="005F7A0D">
      <w:pPr>
        <w:pStyle w:val="paragraph"/>
      </w:pPr>
      <w:r w:rsidRPr="006A4403">
        <w:tab/>
        <w:t>(a)</w:t>
      </w:r>
      <w:r w:rsidRPr="006A4403">
        <w:tab/>
        <w:t>1 July 2021;</w:t>
      </w:r>
    </w:p>
    <w:p w14:paraId="1891B119" w14:textId="77777777" w:rsidR="005F7A0D" w:rsidRPr="006A4403" w:rsidRDefault="005F7A0D" w:rsidP="005F7A0D">
      <w:pPr>
        <w:pStyle w:val="paragraph"/>
      </w:pPr>
      <w:r w:rsidRPr="006A4403">
        <w:tab/>
        <w:t>(b)</w:t>
      </w:r>
      <w:r w:rsidRPr="006A4403">
        <w:tab/>
        <w:t>the day the Data Standards Chair makes the data standard about the matter referred to in subparagraph 8.11(1)(c)(iii).</w:t>
      </w:r>
    </w:p>
    <w:p w14:paraId="2843B9A4" w14:textId="77777777" w:rsidR="005F7A0D" w:rsidRPr="006A4403" w:rsidRDefault="005F7A0D" w:rsidP="005F7A0D">
      <w:pPr>
        <w:pStyle w:val="subsection"/>
      </w:pPr>
      <w:r w:rsidRPr="006A4403">
        <w:tab/>
        <w:t>(2)</w:t>
      </w:r>
      <w:r w:rsidRPr="006A4403">
        <w:tab/>
        <w:t xml:space="preserve">Despite paragraph 7.5(1)(e), disclosure of CDR data to a trusted adviser under a TA disclosure consent is not a </w:t>
      </w:r>
      <w:r w:rsidRPr="006A4403">
        <w:rPr>
          <w:b/>
          <w:i/>
        </w:rPr>
        <w:t xml:space="preserve">permitted use or disclosure </w:t>
      </w:r>
      <w:r w:rsidRPr="006A4403">
        <w:t>until the earlier of the following:</w:t>
      </w:r>
    </w:p>
    <w:p w14:paraId="49358CD6" w14:textId="77777777" w:rsidR="005F7A0D" w:rsidRPr="006A4403" w:rsidRDefault="005F7A0D" w:rsidP="005F7A0D">
      <w:pPr>
        <w:pStyle w:val="paragraph"/>
      </w:pPr>
      <w:r w:rsidRPr="006A4403">
        <w:tab/>
        <w:t>(a)</w:t>
      </w:r>
      <w:r w:rsidRPr="006A4403">
        <w:tab/>
        <w:t>1 February 2022;</w:t>
      </w:r>
    </w:p>
    <w:p w14:paraId="2668D9CA" w14:textId="77777777" w:rsidR="005F7A0D" w:rsidRPr="006A4403" w:rsidRDefault="005F7A0D" w:rsidP="005F7A0D">
      <w:pPr>
        <w:pStyle w:val="paragraph"/>
      </w:pPr>
      <w:r w:rsidRPr="006A4403">
        <w:tab/>
        <w:t>(b)</w:t>
      </w:r>
      <w:r w:rsidRPr="006A4403">
        <w:tab/>
        <w:t>the day the Data Standards Chair makes the data standard about the matter referred to in subparagraph 8.11(1)(c)(iv).</w:t>
      </w:r>
    </w:p>
    <w:p w14:paraId="1F77F160" w14:textId="77777777" w:rsidR="005F7A0D" w:rsidRPr="006A4403" w:rsidRDefault="005F7A0D" w:rsidP="005F7A0D">
      <w:pPr>
        <w:pStyle w:val="subsection"/>
      </w:pPr>
      <w:r w:rsidRPr="006A4403">
        <w:tab/>
        <w:t>(3)</w:t>
      </w:r>
      <w:r w:rsidRPr="006A4403">
        <w:tab/>
        <w:t xml:space="preserve">Despite paragraph 7.5(1)(e), disclosure of a CDR insight under an insight disclosure consent is not a </w:t>
      </w:r>
      <w:r w:rsidRPr="006A4403">
        <w:rPr>
          <w:b/>
          <w:i/>
        </w:rPr>
        <w:t xml:space="preserve">permitted use or disclosure </w:t>
      </w:r>
      <w:r w:rsidRPr="006A4403">
        <w:t>until the earlier of the following:</w:t>
      </w:r>
    </w:p>
    <w:p w14:paraId="5773C54B" w14:textId="77777777" w:rsidR="005F7A0D" w:rsidRPr="006A4403" w:rsidRDefault="005F7A0D" w:rsidP="005F7A0D">
      <w:pPr>
        <w:pStyle w:val="paragraph"/>
      </w:pPr>
      <w:r w:rsidRPr="006A4403">
        <w:tab/>
        <w:t>(a)</w:t>
      </w:r>
      <w:r w:rsidRPr="006A4403">
        <w:tab/>
        <w:t>1 February 2022;</w:t>
      </w:r>
    </w:p>
    <w:p w14:paraId="0F64AAC9" w14:textId="77777777" w:rsidR="005F7A0D" w:rsidRPr="006A4403" w:rsidRDefault="005F7A0D" w:rsidP="005F7A0D">
      <w:pPr>
        <w:pStyle w:val="paragraph"/>
      </w:pPr>
      <w:r w:rsidRPr="006A4403">
        <w:tab/>
        <w:t>(b)</w:t>
      </w:r>
      <w:r w:rsidRPr="006A4403">
        <w:tab/>
        <w:t>the day the Data Standards Chair makes the data standard about the matters referred to in subrule 8.11(1A).</w:t>
      </w:r>
    </w:p>
    <w:p w14:paraId="23F8A103" w14:textId="77777777" w:rsidR="005F7A0D" w:rsidRPr="006A4403" w:rsidRDefault="005F7A0D" w:rsidP="005F7A0D">
      <w:pPr>
        <w:pStyle w:val="subsection"/>
      </w:pPr>
      <w:r w:rsidRPr="006A4403">
        <w:tab/>
        <w:t>(4)</w:t>
      </w:r>
      <w:r w:rsidRPr="006A4403">
        <w:tab/>
        <w:t xml:space="preserve">Despite paragraph 7.5(1)(e), disclosure of a CDR insight under an insight disclosure consent is not a </w:t>
      </w:r>
      <w:r w:rsidRPr="006A4403">
        <w:rPr>
          <w:b/>
          <w:i/>
        </w:rPr>
        <w:t>permitted use or disclosure</w:t>
      </w:r>
      <w:r w:rsidRPr="006A4403">
        <w:t xml:space="preserve"> if the CDR insight includes or reveals sensitive information within the meaning of the </w:t>
      </w:r>
      <w:r w:rsidRPr="006A4403">
        <w:rPr>
          <w:i/>
        </w:rPr>
        <w:t>Privacy Act 1988</w:t>
      </w:r>
      <w:r w:rsidRPr="006A4403">
        <w:t>.</w:t>
      </w:r>
    </w:p>
    <w:p w14:paraId="1445A837" w14:textId="77777777" w:rsidR="005F7A0D" w:rsidRPr="006A4403" w:rsidRDefault="005F7A0D" w:rsidP="005F7A0D">
      <w:pPr>
        <w:pStyle w:val="subsection"/>
      </w:pPr>
      <w:r w:rsidRPr="006A4403">
        <w:tab/>
        <w:t>(5)</w:t>
      </w:r>
      <w:r w:rsidRPr="006A4403">
        <w:tab/>
        <w:t xml:space="preserve">Despite paragraph 7.5(1)(e), disclosure of CDR data in accordance with a business consumer disclosure consent is not a </w:t>
      </w:r>
      <w:r w:rsidRPr="006A4403">
        <w:rPr>
          <w:b/>
          <w:i/>
        </w:rPr>
        <w:t xml:space="preserve">permitted use or disclosure </w:t>
      </w:r>
      <w:r w:rsidRPr="006A4403">
        <w:t xml:space="preserve">until </w:t>
      </w:r>
      <w:bookmarkStart w:id="288" w:name="_Toc121497530"/>
      <w:r w:rsidRPr="006A4403">
        <w:t>earlier of</w:t>
      </w:r>
      <w:r w:rsidR="00A07ED8" w:rsidRPr="006A4403">
        <w:t xml:space="preserve"> the following</w:t>
      </w:r>
      <w:r w:rsidRPr="006A4403">
        <w:t>:</w:t>
      </w:r>
    </w:p>
    <w:p w14:paraId="4F52FB54" w14:textId="77777777" w:rsidR="005F7A0D" w:rsidRPr="006A4403" w:rsidRDefault="005F7A0D" w:rsidP="005F7A0D">
      <w:pPr>
        <w:pStyle w:val="paragraph"/>
      </w:pPr>
      <w:r w:rsidRPr="006A4403">
        <w:tab/>
        <w:t>(a)</w:t>
      </w:r>
      <w:r w:rsidRPr="006A4403">
        <w:tab/>
        <w:t xml:space="preserve">if the Data Standards Chair makes data standards about the matters referred to in both of subparagraphs 8.11(1)(a)(iv) and subparagraph 8.11(1)(c)(vi) before </w:t>
      </w:r>
      <w:r w:rsidR="00A751A8" w:rsidRPr="006A4403">
        <w:t xml:space="preserve">1 </w:t>
      </w:r>
      <w:r w:rsidR="00FA5950" w:rsidRPr="006A4403">
        <w:t>December</w:t>
      </w:r>
      <w:r w:rsidR="00A751A8" w:rsidRPr="006A4403">
        <w:t xml:space="preserve"> </w:t>
      </w:r>
      <w:r w:rsidR="00E75DE0" w:rsidRPr="006A4403">
        <w:t>2023</w:t>
      </w:r>
      <w:r w:rsidRPr="006A4403">
        <w:t xml:space="preserve">—the day on which the last of those standards is made; </w:t>
      </w:r>
    </w:p>
    <w:p w14:paraId="3D80ABF1" w14:textId="77777777" w:rsidR="005F7A0D" w:rsidRPr="006A4403" w:rsidRDefault="005F7A0D" w:rsidP="005F7A0D">
      <w:pPr>
        <w:pStyle w:val="paragraph"/>
      </w:pPr>
      <w:r w:rsidRPr="006A4403">
        <w:tab/>
        <w:t>(b)</w:t>
      </w:r>
      <w:r w:rsidRPr="006A4403">
        <w:tab/>
      </w:r>
      <w:r w:rsidR="00A751A8" w:rsidRPr="006A4403">
        <w:t xml:space="preserve">1 </w:t>
      </w:r>
      <w:r w:rsidR="00FA5950" w:rsidRPr="006A4403">
        <w:t>December</w:t>
      </w:r>
      <w:r w:rsidR="00A751A8" w:rsidRPr="006A4403">
        <w:t xml:space="preserve"> 202</w:t>
      </w:r>
      <w:r w:rsidR="00CC7988" w:rsidRPr="006A4403">
        <w:t>3</w:t>
      </w:r>
      <w:r w:rsidRPr="006A4403">
        <w:t>.</w:t>
      </w:r>
    </w:p>
    <w:p w14:paraId="0C512202" w14:textId="77777777" w:rsidR="005F7A0D" w:rsidRPr="006A4403" w:rsidRDefault="005F7A0D" w:rsidP="005F7A0D">
      <w:pPr>
        <w:pStyle w:val="ActHead5"/>
      </w:pPr>
      <w:bookmarkStart w:id="289" w:name="_Toc135295324"/>
      <w:r w:rsidRPr="006A4403">
        <w:lastRenderedPageBreak/>
        <w:t>7.6  Use or disclosure of CDR data by accredited data recipients and related persons</w:t>
      </w:r>
      <w:bookmarkEnd w:id="288"/>
      <w:bookmarkEnd w:id="289"/>
    </w:p>
    <w:p w14:paraId="1F9257F5" w14:textId="77777777" w:rsidR="005F7A0D" w:rsidRPr="006A4403" w:rsidRDefault="005F7A0D" w:rsidP="005F7A0D">
      <w:pPr>
        <w:pStyle w:val="subsection"/>
      </w:pPr>
      <w:r w:rsidRPr="006A4403">
        <w:tab/>
        <w:t>(1)</w:t>
      </w:r>
      <w:r w:rsidRPr="006A4403">
        <w:tab/>
        <w:t>Subject to the Act and these rules, an accredited data recipient that has collected CDR data under a consumer data request under Part 4 made on behalf of a CDR consumer must not use or disclose it, or CDR data directly or indirectly derived from it, other than for a permitted use or disclosure (whether or not one that relates to direct marketing).</w:t>
      </w:r>
    </w:p>
    <w:p w14:paraId="4C451271" w14:textId="77777777" w:rsidR="005F7A0D" w:rsidRPr="006A4403" w:rsidRDefault="005F7A0D" w:rsidP="005F7A0D">
      <w:pPr>
        <w:pStyle w:val="notetext"/>
      </w:pPr>
      <w:r w:rsidRPr="006A4403">
        <w:t>Note:</w:t>
      </w:r>
      <w:r w:rsidRPr="006A4403">
        <w:tab/>
        <w:t>This subrule is a civil penalty provision (see rule 9.8).</w:t>
      </w:r>
    </w:p>
    <w:p w14:paraId="10E15AFC" w14:textId="77777777" w:rsidR="005F7A0D" w:rsidRPr="006A4403" w:rsidRDefault="005F7A0D" w:rsidP="005F7A0D">
      <w:pPr>
        <w:pStyle w:val="subsection"/>
      </w:pPr>
      <w:r w:rsidRPr="006A4403">
        <w:tab/>
        <w:t>(2)</w:t>
      </w:r>
      <w:r w:rsidRPr="006A4403">
        <w:tab/>
        <w:t>For this rule:</w:t>
      </w:r>
    </w:p>
    <w:p w14:paraId="306C3889" w14:textId="77777777" w:rsidR="005F7A0D" w:rsidRPr="006A4403" w:rsidRDefault="005F7A0D" w:rsidP="005F7A0D">
      <w:pPr>
        <w:pStyle w:val="paragraph"/>
      </w:pPr>
      <w:r w:rsidRPr="006A4403">
        <w:tab/>
        <w:t>(a)</w:t>
      </w:r>
      <w:r w:rsidRPr="006A4403">
        <w:tab/>
        <w:t>any use or disclosure of service data by a direct or indirect OSP of:</w:t>
      </w:r>
    </w:p>
    <w:p w14:paraId="42C1A215" w14:textId="77777777" w:rsidR="005F7A0D" w:rsidRPr="006A4403" w:rsidRDefault="005F7A0D" w:rsidP="005F7A0D">
      <w:pPr>
        <w:pStyle w:val="paragraphsub"/>
      </w:pPr>
      <w:r w:rsidRPr="006A4403">
        <w:tab/>
        <w:t>(i)</w:t>
      </w:r>
      <w:r w:rsidRPr="006A4403">
        <w:tab/>
        <w:t>an accredited data recipient; or</w:t>
      </w:r>
    </w:p>
    <w:p w14:paraId="1973CFF4" w14:textId="77777777" w:rsidR="005F7A0D" w:rsidRPr="006A4403" w:rsidRDefault="005F7A0D" w:rsidP="005F7A0D">
      <w:pPr>
        <w:pStyle w:val="paragraphsub"/>
      </w:pPr>
      <w:r w:rsidRPr="006A4403">
        <w:tab/>
        <w:t>(ii)</w:t>
      </w:r>
      <w:r w:rsidRPr="006A4403">
        <w:tab/>
        <w:t>a CDR representative of the accredited data recipient;</w:t>
      </w:r>
    </w:p>
    <w:p w14:paraId="0AFD92B2" w14:textId="77777777" w:rsidR="005F7A0D" w:rsidRPr="006A4403" w:rsidRDefault="005F7A0D" w:rsidP="005F7A0D">
      <w:pPr>
        <w:pStyle w:val="paragraph"/>
      </w:pPr>
      <w:r w:rsidRPr="006A4403">
        <w:tab/>
      </w:r>
      <w:r w:rsidRPr="006A4403">
        <w:tab/>
        <w:t>is taken to have been by the accredited data recipient; and</w:t>
      </w:r>
    </w:p>
    <w:p w14:paraId="3CF15BFB" w14:textId="77777777" w:rsidR="005F7A0D" w:rsidRPr="006A4403" w:rsidRDefault="005F7A0D" w:rsidP="005F7A0D">
      <w:pPr>
        <w:pStyle w:val="paragraph"/>
      </w:pPr>
      <w:r w:rsidRPr="006A4403">
        <w:tab/>
        <w:t>(b)</w:t>
      </w:r>
      <w:r w:rsidRPr="006A4403">
        <w:tab/>
        <w:t>it is irrelevant whether the use or disclosure is in accordance with the relevant CDR outsourcing arrangement.</w:t>
      </w:r>
    </w:p>
    <w:p w14:paraId="12627132" w14:textId="77777777" w:rsidR="005F7A0D" w:rsidRPr="006A4403" w:rsidRDefault="005F7A0D" w:rsidP="005F7A0D">
      <w:pPr>
        <w:pStyle w:val="notetext"/>
      </w:pPr>
      <w:r w:rsidRPr="006A4403">
        <w:t>Note:</w:t>
      </w:r>
      <w:r w:rsidRPr="006A4403">
        <w:tab/>
        <w:t>See rule 1.10AA for the definition of “service data” in relation to a direct or indirect OSP.</w:t>
      </w:r>
    </w:p>
    <w:p w14:paraId="659D49CD" w14:textId="77777777" w:rsidR="005F7A0D" w:rsidRPr="006A4403" w:rsidRDefault="005F7A0D" w:rsidP="005F7A0D">
      <w:pPr>
        <w:pStyle w:val="subsection"/>
      </w:pPr>
      <w:r w:rsidRPr="006A4403">
        <w:tab/>
        <w:t>(3)</w:t>
      </w:r>
      <w:r w:rsidRPr="006A4403">
        <w:tab/>
        <w:t>For this rule, any CDR data collected by an accredited person at the request of an affiliate is taken also to have been collected by the affiliate.</w:t>
      </w:r>
    </w:p>
    <w:p w14:paraId="5E2537FB" w14:textId="77777777" w:rsidR="005F7A0D" w:rsidRPr="006A4403" w:rsidRDefault="005F7A0D" w:rsidP="005F7A0D">
      <w:pPr>
        <w:pStyle w:val="subsection"/>
        <w:tabs>
          <w:tab w:val="left" w:pos="1440"/>
          <w:tab w:val="left" w:pos="2160"/>
          <w:tab w:val="left" w:pos="3360"/>
        </w:tabs>
      </w:pPr>
      <w:r w:rsidRPr="006A4403">
        <w:tab/>
        <w:t>(4)</w:t>
      </w:r>
      <w:r w:rsidRPr="006A4403">
        <w:tab/>
        <w:t>For this rule:</w:t>
      </w:r>
    </w:p>
    <w:p w14:paraId="54E17159" w14:textId="77777777" w:rsidR="005F7A0D" w:rsidRPr="006A4403" w:rsidRDefault="005F7A0D" w:rsidP="005F7A0D">
      <w:pPr>
        <w:pStyle w:val="paragraph"/>
      </w:pPr>
      <w:r w:rsidRPr="006A4403">
        <w:tab/>
        <w:t>(a)</w:t>
      </w:r>
      <w:r w:rsidRPr="006A4403">
        <w:tab/>
        <w:t>any use or disclosure of service data by a CDR representative is taken to have been by the CDR representative principal; and</w:t>
      </w:r>
    </w:p>
    <w:p w14:paraId="67C64303" w14:textId="77777777" w:rsidR="005F7A0D" w:rsidRPr="006A4403" w:rsidRDefault="005F7A0D" w:rsidP="005F7A0D">
      <w:pPr>
        <w:pStyle w:val="paragraph"/>
      </w:pPr>
      <w:r w:rsidRPr="006A4403">
        <w:tab/>
        <w:t>(b)</w:t>
      </w:r>
      <w:r w:rsidRPr="006A4403">
        <w:tab/>
        <w:t>it is irrelevant whether the use or disclosure is in accordance with the CDR representative arrangement.</w:t>
      </w:r>
    </w:p>
    <w:p w14:paraId="3C05C892" w14:textId="77777777" w:rsidR="005F7A0D" w:rsidRPr="006A4403" w:rsidRDefault="005F7A0D" w:rsidP="005F7A0D">
      <w:pPr>
        <w:pStyle w:val="notetext"/>
      </w:pPr>
      <w:r w:rsidRPr="006A4403">
        <w:t>Note:</w:t>
      </w:r>
      <w:r w:rsidRPr="006A4403">
        <w:tab/>
        <w:t>See rule 1.10AA for the definition of “service data” in relation to a CDR representative arrangement.</w:t>
      </w:r>
    </w:p>
    <w:bookmarkEnd w:id="282"/>
    <w:p w14:paraId="44EC53E4" w14:textId="77777777" w:rsidR="005F7A0D" w:rsidRPr="006A4403" w:rsidRDefault="005F7A0D" w:rsidP="005F7A0D">
      <w:pPr>
        <w:pStyle w:val="subsection"/>
      </w:pPr>
      <w:r w:rsidRPr="006A4403">
        <w:tab/>
        <w:t>(5)</w:t>
      </w:r>
      <w:r w:rsidRPr="006A4403">
        <w:tab/>
        <w:t>For this rule:</w:t>
      </w:r>
    </w:p>
    <w:p w14:paraId="395B3D47" w14:textId="77777777" w:rsidR="005F7A0D" w:rsidRPr="006A4403" w:rsidRDefault="005F7A0D" w:rsidP="005F7A0D">
      <w:pPr>
        <w:pStyle w:val="paragraph"/>
      </w:pPr>
      <w:r w:rsidRPr="006A4403">
        <w:tab/>
        <w:t>(a)</w:t>
      </w:r>
      <w:r w:rsidRPr="006A4403">
        <w:tab/>
        <w:t>any collection of service data by a direct or indirect OSP of an accredited person is taken to have been by the accredited person; and</w:t>
      </w:r>
    </w:p>
    <w:p w14:paraId="7C4A9266" w14:textId="77777777" w:rsidR="005F7A0D" w:rsidRPr="006A4403" w:rsidRDefault="005F7A0D" w:rsidP="005F7A0D">
      <w:pPr>
        <w:pStyle w:val="paragraph"/>
      </w:pPr>
      <w:r w:rsidRPr="006A4403">
        <w:tab/>
        <w:t>(b)</w:t>
      </w:r>
      <w:r w:rsidRPr="006A4403">
        <w:tab/>
        <w:t>it is irrelevant whether the collection is in accordance with the relevant CDR outsourcing arrangement.</w:t>
      </w:r>
    </w:p>
    <w:p w14:paraId="53DF4971" w14:textId="77777777" w:rsidR="005F7A0D" w:rsidRPr="006A4403" w:rsidRDefault="005F7A0D" w:rsidP="005F7A0D">
      <w:pPr>
        <w:pStyle w:val="notetext"/>
      </w:pPr>
      <w:r w:rsidRPr="006A4403">
        <w:t>Note:</w:t>
      </w:r>
      <w:r w:rsidRPr="006A4403">
        <w:tab/>
        <w:t>See rule 1.10AA for the definition of “service data” in relation to a CDR outsourcing arrangement.</w:t>
      </w:r>
    </w:p>
    <w:bookmarkEnd w:id="283"/>
    <w:p w14:paraId="38114D97" w14:textId="77777777" w:rsidR="005F7A0D" w:rsidRPr="006A4403" w:rsidRDefault="004B0AB6" w:rsidP="005F7A0D">
      <w:pPr>
        <w:pStyle w:val="ItemHead"/>
      </w:pPr>
      <w:r>
        <w:t>105</w:t>
      </w:r>
      <w:r w:rsidR="00723B2F" w:rsidRPr="006A4403">
        <w:t xml:space="preserve">  </w:t>
      </w:r>
      <w:r w:rsidR="005F7A0D" w:rsidRPr="006A4403">
        <w:t>After rule 7.8A</w:t>
      </w:r>
    </w:p>
    <w:p w14:paraId="0ADA7605" w14:textId="77777777" w:rsidR="005F7A0D" w:rsidRPr="006A4403" w:rsidRDefault="005F7A0D" w:rsidP="005F7A0D">
      <w:pPr>
        <w:pStyle w:val="Item"/>
      </w:pPr>
      <w:r w:rsidRPr="006A4403">
        <w:t>Insert:</w:t>
      </w:r>
    </w:p>
    <w:p w14:paraId="79EE6153" w14:textId="77777777" w:rsidR="005F7A0D" w:rsidRPr="006A4403" w:rsidRDefault="005F7A0D" w:rsidP="005F7A0D">
      <w:pPr>
        <w:pStyle w:val="ActHead5"/>
      </w:pPr>
      <w:bookmarkStart w:id="290" w:name="_Toc111132201"/>
      <w:bookmarkStart w:id="291" w:name="_Toc116895975"/>
      <w:bookmarkStart w:id="292" w:name="_Toc135295325"/>
      <w:bookmarkStart w:id="293" w:name="_Hlk121832105"/>
      <w:r w:rsidRPr="006A4403">
        <w:t>7.8B  Rule relating to privacy safeguards 8 and 9—failure by direct or indirect OSP to comply with safeguards</w:t>
      </w:r>
      <w:bookmarkEnd w:id="290"/>
      <w:bookmarkEnd w:id="291"/>
      <w:bookmarkEnd w:id="292"/>
    </w:p>
    <w:p w14:paraId="4918A03E" w14:textId="77777777" w:rsidR="005F7A0D" w:rsidRPr="006A4403" w:rsidRDefault="005F7A0D" w:rsidP="005F7A0D">
      <w:pPr>
        <w:pStyle w:val="SubsectionHead"/>
      </w:pPr>
      <w:r w:rsidRPr="006A4403">
        <w:t>Privacy safeguard 8—overseas disclosure</w:t>
      </w:r>
    </w:p>
    <w:p w14:paraId="50C8445D" w14:textId="77777777" w:rsidR="005F7A0D" w:rsidRPr="006A4403" w:rsidRDefault="005F7A0D" w:rsidP="005F7A0D">
      <w:pPr>
        <w:pStyle w:val="subsection"/>
      </w:pPr>
      <w:r w:rsidRPr="006A4403">
        <w:tab/>
        <w:t>(1)</w:t>
      </w:r>
      <w:r w:rsidRPr="006A4403">
        <w:tab/>
        <w:t>An accredited person breaches this subrule if a direct or indirect OSP of:</w:t>
      </w:r>
    </w:p>
    <w:p w14:paraId="2DF37575" w14:textId="77777777" w:rsidR="005F7A0D" w:rsidRPr="006A4403" w:rsidRDefault="005F7A0D" w:rsidP="005F7A0D">
      <w:pPr>
        <w:pStyle w:val="paragraph"/>
      </w:pPr>
      <w:r w:rsidRPr="006A4403">
        <w:tab/>
        <w:t>(a)</w:t>
      </w:r>
      <w:r w:rsidRPr="006A4403">
        <w:tab/>
        <w:t>the accredited person; or</w:t>
      </w:r>
    </w:p>
    <w:p w14:paraId="6FEDE2E4" w14:textId="77777777" w:rsidR="005F7A0D" w:rsidRPr="006A4403" w:rsidRDefault="005F7A0D" w:rsidP="005F7A0D">
      <w:pPr>
        <w:pStyle w:val="paragraph"/>
      </w:pPr>
      <w:r w:rsidRPr="006A4403">
        <w:tab/>
        <w:t>(b)</w:t>
      </w:r>
      <w:r w:rsidRPr="006A4403">
        <w:tab/>
        <w:t>a CDR representative of the accredited person;</w:t>
      </w:r>
    </w:p>
    <w:p w14:paraId="1426396B" w14:textId="77777777" w:rsidR="005F7A0D" w:rsidRPr="006A4403" w:rsidRDefault="005F7A0D" w:rsidP="005F7A0D">
      <w:pPr>
        <w:pStyle w:val="subsection2"/>
      </w:pPr>
      <w:r w:rsidRPr="006A4403">
        <w:t>fails to comply with section 56EK of the Act in relation to service data of a CDR consumer as if it were an accredited data recipient of the service data.</w:t>
      </w:r>
    </w:p>
    <w:p w14:paraId="197589A0" w14:textId="77777777" w:rsidR="005F7A0D" w:rsidRPr="006A4403" w:rsidRDefault="005F7A0D" w:rsidP="005F7A0D">
      <w:pPr>
        <w:pStyle w:val="notetext"/>
      </w:pPr>
      <w:r w:rsidRPr="006A4403">
        <w:lastRenderedPageBreak/>
        <w:t>Note 1:</w:t>
      </w:r>
      <w:r w:rsidRPr="006A4403">
        <w:tab/>
        <w:t>See rule 1.10AA for the definition of “service data” in relation to a CDR representative arrangement.</w:t>
      </w:r>
    </w:p>
    <w:p w14:paraId="4D2D8B1A" w14:textId="77777777" w:rsidR="005F7A0D" w:rsidRPr="006A4403" w:rsidRDefault="005F7A0D" w:rsidP="005F7A0D">
      <w:pPr>
        <w:pStyle w:val="notetext"/>
      </w:pPr>
      <w:r w:rsidRPr="006A4403">
        <w:t>Note 2:</w:t>
      </w:r>
      <w:r w:rsidRPr="006A4403">
        <w:tab/>
        <w:t>This subrule is a civil penalty provision (see rule 9.8).</w:t>
      </w:r>
    </w:p>
    <w:p w14:paraId="673E4553" w14:textId="77777777" w:rsidR="005F7A0D" w:rsidRPr="006A4403" w:rsidRDefault="005F7A0D" w:rsidP="005F7A0D">
      <w:pPr>
        <w:pStyle w:val="SubsectionHead"/>
      </w:pPr>
      <w:r w:rsidRPr="006A4403">
        <w:t>Privacy safeguard 9—government related identifiers</w:t>
      </w:r>
    </w:p>
    <w:p w14:paraId="5AF67C09" w14:textId="77777777" w:rsidR="005F7A0D" w:rsidRPr="006A4403" w:rsidRDefault="005F7A0D" w:rsidP="005F7A0D">
      <w:pPr>
        <w:pStyle w:val="subsection"/>
      </w:pPr>
      <w:r w:rsidRPr="006A4403">
        <w:tab/>
        <w:t>(2)</w:t>
      </w:r>
      <w:r w:rsidRPr="006A4403">
        <w:tab/>
        <w:t>An accredited person breaches this subrule if a direct or indirect OSP of:</w:t>
      </w:r>
    </w:p>
    <w:p w14:paraId="3D013AEA" w14:textId="77777777" w:rsidR="005F7A0D" w:rsidRPr="006A4403" w:rsidRDefault="005F7A0D" w:rsidP="005F7A0D">
      <w:pPr>
        <w:pStyle w:val="paragraph"/>
      </w:pPr>
      <w:r w:rsidRPr="006A4403">
        <w:tab/>
        <w:t>(a)</w:t>
      </w:r>
      <w:r w:rsidRPr="006A4403">
        <w:tab/>
        <w:t>the accredited person; or</w:t>
      </w:r>
    </w:p>
    <w:p w14:paraId="733DEE15" w14:textId="77777777" w:rsidR="005F7A0D" w:rsidRPr="006A4403" w:rsidRDefault="005F7A0D" w:rsidP="005F7A0D">
      <w:pPr>
        <w:pStyle w:val="paragraph"/>
      </w:pPr>
      <w:r w:rsidRPr="006A4403">
        <w:tab/>
        <w:t>(b)</w:t>
      </w:r>
      <w:r w:rsidRPr="006A4403">
        <w:tab/>
        <w:t>a CDR representative of the accredited person;</w:t>
      </w:r>
    </w:p>
    <w:p w14:paraId="29E39BFC" w14:textId="77777777" w:rsidR="005F7A0D" w:rsidRPr="006A4403" w:rsidRDefault="005F7A0D" w:rsidP="005F7A0D">
      <w:pPr>
        <w:pStyle w:val="subsection2"/>
      </w:pPr>
      <w:r w:rsidRPr="006A4403">
        <w:t>fails to comply with section 56EL of the Act in relation to service data of a CDR consumer as if it were an accredited data recipient of the service data.</w:t>
      </w:r>
    </w:p>
    <w:p w14:paraId="1BE3CBDF" w14:textId="77777777" w:rsidR="005F7A0D" w:rsidRPr="006A4403" w:rsidRDefault="005F7A0D" w:rsidP="005F7A0D">
      <w:pPr>
        <w:pStyle w:val="notetext"/>
      </w:pPr>
      <w:r w:rsidRPr="006A4403">
        <w:t>Note 1:</w:t>
      </w:r>
      <w:r w:rsidRPr="006A4403">
        <w:tab/>
        <w:t>See rule 1.10AA for the definition of “service data” in relation to a CDR representative arrangement.</w:t>
      </w:r>
    </w:p>
    <w:p w14:paraId="0D10DBC4" w14:textId="77777777" w:rsidR="005F7A0D" w:rsidRPr="006A4403" w:rsidRDefault="005F7A0D" w:rsidP="005F7A0D">
      <w:pPr>
        <w:pStyle w:val="notetext"/>
      </w:pPr>
      <w:r w:rsidRPr="006A4403">
        <w:t>Note 2:</w:t>
      </w:r>
      <w:r w:rsidRPr="006A4403">
        <w:tab/>
        <w:t>This subrule is a civil penalty provision (see rule 9.8).</w:t>
      </w:r>
    </w:p>
    <w:bookmarkEnd w:id="293"/>
    <w:p w14:paraId="5ACBB90E" w14:textId="77777777" w:rsidR="005F7A0D" w:rsidRPr="006A4403" w:rsidRDefault="004B0AB6" w:rsidP="005F7A0D">
      <w:pPr>
        <w:pStyle w:val="ItemHead"/>
      </w:pPr>
      <w:r>
        <w:t>106</w:t>
      </w:r>
      <w:r w:rsidR="00723B2F" w:rsidRPr="006A4403">
        <w:t xml:space="preserve">  </w:t>
      </w:r>
      <w:r w:rsidR="005F7A0D" w:rsidRPr="006A4403">
        <w:t>Subrule 7.9(1) (note 2)</w:t>
      </w:r>
    </w:p>
    <w:p w14:paraId="54873988" w14:textId="77777777" w:rsidR="005F7A0D" w:rsidRPr="006A4403" w:rsidRDefault="005F7A0D" w:rsidP="005F7A0D">
      <w:pPr>
        <w:pStyle w:val="Item"/>
      </w:pPr>
      <w:r w:rsidRPr="006A4403">
        <w:t>Omit “clause 4A.13”, substitute “rule 4A.13”.</w:t>
      </w:r>
    </w:p>
    <w:p w14:paraId="62B70260" w14:textId="77777777" w:rsidR="005F7A0D" w:rsidRPr="006A4403" w:rsidRDefault="004B0AB6" w:rsidP="005F7A0D">
      <w:pPr>
        <w:pStyle w:val="ItemHead"/>
      </w:pPr>
      <w:r>
        <w:t>107</w:t>
      </w:r>
      <w:r w:rsidR="00723B2F" w:rsidRPr="006A4403">
        <w:t xml:space="preserve">  </w:t>
      </w:r>
      <w:r w:rsidR="005F7A0D" w:rsidRPr="006A4403">
        <w:t>Subrule 7.9(1) (note 4)</w:t>
      </w:r>
    </w:p>
    <w:p w14:paraId="21E31344" w14:textId="77777777" w:rsidR="005F7A0D" w:rsidRPr="006A4403" w:rsidRDefault="005F7A0D" w:rsidP="005F7A0D">
      <w:pPr>
        <w:pStyle w:val="Item"/>
      </w:pPr>
      <w:r w:rsidRPr="006A4403">
        <w:t>Repeal the note, substitute:</w:t>
      </w:r>
    </w:p>
    <w:p w14:paraId="1F66CAE2" w14:textId="77777777" w:rsidR="005F7A0D" w:rsidRPr="006A4403" w:rsidRDefault="005F7A0D" w:rsidP="005F7A0D">
      <w:pPr>
        <w:pStyle w:val="notetext"/>
      </w:pPr>
      <w:bookmarkStart w:id="294" w:name="_Hlk121832233"/>
      <w:r w:rsidRPr="006A4403">
        <w:t>Note 4:</w:t>
      </w:r>
      <w:r w:rsidRPr="006A4403">
        <w:tab/>
        <w:t>See subrule 1.16(5) for how this rule applies where the CDR data is collected by an accredited person acting as a direct or indirect OSP to the accredited data recipient.</w:t>
      </w:r>
    </w:p>
    <w:bookmarkEnd w:id="294"/>
    <w:p w14:paraId="4581F5E6" w14:textId="77777777" w:rsidR="000E71DE" w:rsidRPr="006A4403" w:rsidRDefault="004B0AB6" w:rsidP="000E71DE">
      <w:pPr>
        <w:pStyle w:val="ItemHead"/>
      </w:pPr>
      <w:r>
        <w:t>108</w:t>
      </w:r>
      <w:r w:rsidR="00723B2F" w:rsidRPr="006A4403">
        <w:t xml:space="preserve">  </w:t>
      </w:r>
      <w:r w:rsidR="000E71DE" w:rsidRPr="006A4403">
        <w:t>After subrule 7.9(3)</w:t>
      </w:r>
    </w:p>
    <w:p w14:paraId="25C3626E" w14:textId="77777777" w:rsidR="000E71DE" w:rsidRPr="006A4403" w:rsidRDefault="000E71DE" w:rsidP="000E71DE">
      <w:pPr>
        <w:pStyle w:val="Item"/>
      </w:pPr>
      <w:r w:rsidRPr="006A4403">
        <w:t>Insert:</w:t>
      </w:r>
    </w:p>
    <w:p w14:paraId="53A3E2B0" w14:textId="77777777" w:rsidR="000E71DE" w:rsidRPr="006A4403" w:rsidRDefault="000E71DE" w:rsidP="000E71DE">
      <w:pPr>
        <w:pStyle w:val="subsection"/>
      </w:pPr>
      <w:bookmarkStart w:id="295" w:name="_Hlk121832245"/>
      <w:r w:rsidRPr="006A4403">
        <w:tab/>
        <w:t>(3A)</w:t>
      </w:r>
      <w:r w:rsidRPr="006A4403">
        <w:tab/>
        <w:t>For subsection 56EM(2) of the Act, an accredited data recipient that discloses CDR data to a person in accordance with a business consumer disclosure consent must, as soon as practicable, update each consumer dashboard that relates to the request to indicate:</w:t>
      </w:r>
    </w:p>
    <w:p w14:paraId="513C53C7" w14:textId="77777777" w:rsidR="000E71DE" w:rsidRPr="006A4403" w:rsidRDefault="000E71DE" w:rsidP="000E71DE">
      <w:pPr>
        <w:pStyle w:val="paragraph"/>
      </w:pPr>
      <w:r w:rsidRPr="006A4403">
        <w:tab/>
        <w:t>(a)</w:t>
      </w:r>
      <w:r w:rsidRPr="006A4403">
        <w:tab/>
        <w:t>what CDR data was disclosed; and</w:t>
      </w:r>
    </w:p>
    <w:p w14:paraId="1266CAF8" w14:textId="77777777" w:rsidR="000E71DE" w:rsidRPr="006A4403" w:rsidRDefault="000E71DE" w:rsidP="000E71DE">
      <w:pPr>
        <w:pStyle w:val="paragraph"/>
      </w:pPr>
      <w:r w:rsidRPr="006A4403">
        <w:tab/>
        <w:t>(b)</w:t>
      </w:r>
      <w:r w:rsidRPr="006A4403">
        <w:tab/>
        <w:t>when the CDR data was disclosed; and</w:t>
      </w:r>
    </w:p>
    <w:p w14:paraId="0C853F20" w14:textId="77777777" w:rsidR="000E71DE" w:rsidRPr="006A4403" w:rsidRDefault="000E71DE" w:rsidP="000E71DE">
      <w:pPr>
        <w:pStyle w:val="paragraph"/>
      </w:pPr>
      <w:r w:rsidRPr="006A4403">
        <w:tab/>
        <w:t>(c)</w:t>
      </w:r>
      <w:r w:rsidRPr="006A4403">
        <w:tab/>
        <w:t>the person to whom it was disclosed.</w:t>
      </w:r>
    </w:p>
    <w:bookmarkEnd w:id="295"/>
    <w:p w14:paraId="6ED3567C" w14:textId="77777777" w:rsidR="000E71DE" w:rsidRPr="006A4403" w:rsidRDefault="004B0AB6" w:rsidP="000E71DE">
      <w:pPr>
        <w:pStyle w:val="ItemHead"/>
      </w:pPr>
      <w:r>
        <w:t>109</w:t>
      </w:r>
      <w:r w:rsidR="00723B2F" w:rsidRPr="006A4403">
        <w:t xml:space="preserve">  </w:t>
      </w:r>
      <w:r w:rsidR="000E71DE" w:rsidRPr="006A4403">
        <w:t>Subrule 7.9(5)</w:t>
      </w:r>
    </w:p>
    <w:p w14:paraId="3CA9C52A" w14:textId="77777777" w:rsidR="000E71DE" w:rsidRPr="006A4403" w:rsidRDefault="000E71DE" w:rsidP="000E71DE">
      <w:pPr>
        <w:pStyle w:val="Item"/>
      </w:pPr>
      <w:bookmarkStart w:id="296" w:name="_Hlk111124141"/>
      <w:r w:rsidRPr="006A4403">
        <w:t>Repeal the subrule, substitute:</w:t>
      </w:r>
    </w:p>
    <w:p w14:paraId="57FDA84F" w14:textId="77777777" w:rsidR="000E71DE" w:rsidRPr="006A4403" w:rsidRDefault="000E71DE" w:rsidP="000E71DE">
      <w:pPr>
        <w:pStyle w:val="subsection"/>
      </w:pPr>
      <w:bookmarkStart w:id="297" w:name="_Hlk115450235"/>
      <w:r w:rsidRPr="006A4403">
        <w:tab/>
        <w:t>(5)</w:t>
      </w:r>
      <w:r w:rsidRPr="006A4403">
        <w:tab/>
        <w:t>For this rule, where an accredited data recipient is a CDR representative principal, a disclosure of service data by a CDR representative (including a disclosure by a direct or indirect OSP of the CDR representative of service data for the purposes of the CDR outsourcing arrangement) is taken to be a disclosure by the CDR representative principal.</w:t>
      </w:r>
    </w:p>
    <w:p w14:paraId="392EC68D" w14:textId="77777777" w:rsidR="000E71DE" w:rsidRPr="006A4403" w:rsidRDefault="004B0AB6" w:rsidP="000E71DE">
      <w:pPr>
        <w:pStyle w:val="ItemHead"/>
      </w:pPr>
      <w:r>
        <w:t>110</w:t>
      </w:r>
      <w:r w:rsidR="00723B2F" w:rsidRPr="006A4403">
        <w:t xml:space="preserve">  </w:t>
      </w:r>
      <w:r w:rsidR="000E71DE" w:rsidRPr="006A4403">
        <w:t>Subrule 7.10(1) (note 3)</w:t>
      </w:r>
    </w:p>
    <w:p w14:paraId="5283DF9F" w14:textId="77777777" w:rsidR="000E71DE" w:rsidRPr="006A4403" w:rsidRDefault="000E71DE" w:rsidP="000E71DE">
      <w:pPr>
        <w:pStyle w:val="Item"/>
      </w:pPr>
      <w:r w:rsidRPr="006A4403">
        <w:t>Omit “a principal”, substitute “an OSP principal”.</w:t>
      </w:r>
    </w:p>
    <w:bookmarkEnd w:id="296"/>
    <w:bookmarkEnd w:id="297"/>
    <w:p w14:paraId="2826ACC8" w14:textId="77777777" w:rsidR="000E71DE" w:rsidRPr="006A4403" w:rsidRDefault="004B0AB6" w:rsidP="000E71DE">
      <w:pPr>
        <w:pStyle w:val="ItemHead"/>
      </w:pPr>
      <w:r>
        <w:t>111</w:t>
      </w:r>
      <w:r w:rsidR="00723B2F" w:rsidRPr="006A4403">
        <w:t xml:space="preserve">  </w:t>
      </w:r>
      <w:r w:rsidR="000E71DE" w:rsidRPr="006A4403">
        <w:t>Subrule 7.10A(2)</w:t>
      </w:r>
    </w:p>
    <w:p w14:paraId="6EBF3C36" w14:textId="77777777" w:rsidR="000E71DE" w:rsidRPr="006A4403" w:rsidRDefault="000E71DE" w:rsidP="000E71DE">
      <w:pPr>
        <w:pStyle w:val="Item"/>
      </w:pPr>
      <w:r w:rsidRPr="006A4403">
        <w:t>Omit “subrule (2)”, substitute “subrule (1)”.</w:t>
      </w:r>
    </w:p>
    <w:p w14:paraId="3975CF5D" w14:textId="77777777" w:rsidR="000E71DE" w:rsidRPr="006A4403" w:rsidRDefault="004B0AB6" w:rsidP="000E71DE">
      <w:pPr>
        <w:pStyle w:val="ItemHead"/>
      </w:pPr>
      <w:r>
        <w:t>112</w:t>
      </w:r>
      <w:r w:rsidR="00723B2F" w:rsidRPr="006A4403">
        <w:t xml:space="preserve">  </w:t>
      </w:r>
      <w:r w:rsidR="000E71DE" w:rsidRPr="006A4403">
        <w:t>Subrule 7.11(2)</w:t>
      </w:r>
    </w:p>
    <w:p w14:paraId="77A1046A" w14:textId="77777777" w:rsidR="000E71DE" w:rsidRPr="006A4403" w:rsidRDefault="000E71DE" w:rsidP="000E71DE">
      <w:pPr>
        <w:pStyle w:val="Item"/>
      </w:pPr>
      <w:r w:rsidRPr="006A4403">
        <w:t>Repeal the subrule, substitute:</w:t>
      </w:r>
    </w:p>
    <w:p w14:paraId="77334A58" w14:textId="77777777" w:rsidR="000E71DE" w:rsidRPr="006A4403" w:rsidRDefault="000E71DE" w:rsidP="000E71DE">
      <w:pPr>
        <w:pStyle w:val="subsection"/>
      </w:pPr>
      <w:bookmarkStart w:id="298" w:name="_Hlk121832290"/>
      <w:r w:rsidRPr="006A4403">
        <w:lastRenderedPageBreak/>
        <w:tab/>
        <w:t>(2)</w:t>
      </w:r>
      <w:r w:rsidRPr="006A4403">
        <w:tab/>
        <w:t>For this rule, where an accredited data recipient is an OSP chain principal, a failure by a direct or indirect OSP to comply with Schedule 2 in relation to service data is taken to be a failure by the accredited data recipient.</w:t>
      </w:r>
    </w:p>
    <w:p w14:paraId="05B80B48" w14:textId="77777777" w:rsidR="000E71DE" w:rsidRPr="006A4403" w:rsidRDefault="000E71DE" w:rsidP="000E71DE">
      <w:pPr>
        <w:pStyle w:val="subsection"/>
      </w:pPr>
      <w:r w:rsidRPr="006A4403">
        <w:tab/>
        <w:t>(3)</w:t>
      </w:r>
      <w:r w:rsidRPr="006A4403">
        <w:tab/>
        <w:t>For this rule, where an accredited data recipient is a CDR representative principal, a failure by:</w:t>
      </w:r>
    </w:p>
    <w:p w14:paraId="00957FA2" w14:textId="77777777" w:rsidR="000E71DE" w:rsidRPr="006A4403" w:rsidRDefault="000E71DE" w:rsidP="000E71DE">
      <w:pPr>
        <w:pStyle w:val="paragraph"/>
      </w:pPr>
      <w:r w:rsidRPr="006A4403">
        <w:tab/>
        <w:t>(a)</w:t>
      </w:r>
      <w:r w:rsidRPr="006A4403">
        <w:tab/>
        <w:t>the CDR representative; or</w:t>
      </w:r>
    </w:p>
    <w:p w14:paraId="024E1F5B" w14:textId="77777777" w:rsidR="000E71DE" w:rsidRPr="006A4403" w:rsidRDefault="000E71DE" w:rsidP="000E71DE">
      <w:pPr>
        <w:pStyle w:val="paragraph"/>
      </w:pPr>
      <w:r w:rsidRPr="006A4403">
        <w:tab/>
        <w:t>(b)</w:t>
      </w:r>
      <w:r w:rsidRPr="006A4403">
        <w:tab/>
        <w:t>any direct or indirect OSP of the CDR representative;</w:t>
      </w:r>
    </w:p>
    <w:p w14:paraId="0A158DB3" w14:textId="77777777" w:rsidR="000E71DE" w:rsidRPr="006A4403" w:rsidRDefault="000E71DE" w:rsidP="000E71DE">
      <w:pPr>
        <w:pStyle w:val="subsection2"/>
      </w:pPr>
      <w:r w:rsidRPr="006A4403">
        <w:t>to comply with Schedule 2 in relation to service data is taken to be a failure by the CDR representative principal.</w:t>
      </w:r>
    </w:p>
    <w:bookmarkEnd w:id="298"/>
    <w:p w14:paraId="77E9CE5F" w14:textId="77777777" w:rsidR="000E71DE" w:rsidRPr="006A4403" w:rsidRDefault="004B0AB6" w:rsidP="000E71DE">
      <w:pPr>
        <w:pStyle w:val="ItemHead"/>
      </w:pPr>
      <w:r>
        <w:t>113</w:t>
      </w:r>
      <w:r w:rsidR="00723B2F" w:rsidRPr="006A4403">
        <w:t xml:space="preserve">  </w:t>
      </w:r>
      <w:r w:rsidR="000E71DE" w:rsidRPr="006A4403">
        <w:t>Subrule 7.12(2) and (3)</w:t>
      </w:r>
    </w:p>
    <w:p w14:paraId="5F9F08DE" w14:textId="77777777" w:rsidR="000E71DE" w:rsidRPr="006A4403" w:rsidRDefault="000E71DE" w:rsidP="000E71DE">
      <w:pPr>
        <w:pStyle w:val="Item"/>
      </w:pPr>
      <w:r w:rsidRPr="006A4403">
        <w:t>Repeal the subrules, substitute:</w:t>
      </w:r>
    </w:p>
    <w:p w14:paraId="73242535" w14:textId="77777777" w:rsidR="000E71DE" w:rsidRPr="006A4403" w:rsidRDefault="000E71DE" w:rsidP="000E71DE">
      <w:pPr>
        <w:pStyle w:val="subsection"/>
      </w:pPr>
      <w:bookmarkStart w:id="299" w:name="_Hlk121832318"/>
      <w:r w:rsidRPr="006A4403">
        <w:tab/>
        <w:t>(2)</w:t>
      </w:r>
      <w:r w:rsidRPr="006A4403">
        <w:tab/>
        <w:t>The steps are:</w:t>
      </w:r>
    </w:p>
    <w:p w14:paraId="4CB4460F" w14:textId="77777777" w:rsidR="000E71DE" w:rsidRPr="006A4403" w:rsidRDefault="000E71DE" w:rsidP="000E71DE">
      <w:pPr>
        <w:pStyle w:val="paragraph"/>
      </w:pPr>
      <w:r w:rsidRPr="006A4403">
        <w:tab/>
        <w:t>(a)</w:t>
      </w:r>
      <w:r w:rsidRPr="006A4403">
        <w:tab/>
        <w:t>to apply the CDR data de</w:t>
      </w:r>
      <w:r w:rsidRPr="006A4403">
        <w:noBreakHyphen/>
        <w:t>identification process to the redundant data; and</w:t>
      </w:r>
    </w:p>
    <w:p w14:paraId="3AF08531" w14:textId="77777777" w:rsidR="000E71DE" w:rsidRPr="006A4403" w:rsidRDefault="000E71DE" w:rsidP="000E71DE">
      <w:pPr>
        <w:pStyle w:val="paragraph"/>
      </w:pPr>
      <w:r w:rsidRPr="006A4403">
        <w:tab/>
        <w:t>(b)</w:t>
      </w:r>
      <w:r w:rsidRPr="006A4403">
        <w:tab/>
        <w:t xml:space="preserve">direct any direct OSP or CDR representative of the accredited data recipient (the </w:t>
      </w:r>
      <w:r w:rsidRPr="006A4403">
        <w:rPr>
          <w:b/>
          <w:i/>
        </w:rPr>
        <w:t>recipient of the redundant data</w:t>
      </w:r>
      <w:r w:rsidRPr="006A4403">
        <w:t>) that had been provided with a copy of the redundant data:</w:t>
      </w:r>
    </w:p>
    <w:p w14:paraId="3832772D" w14:textId="77777777" w:rsidR="000E71DE" w:rsidRPr="006A4403" w:rsidRDefault="000E71DE" w:rsidP="000E71DE">
      <w:pPr>
        <w:pStyle w:val="paragraphsub"/>
      </w:pPr>
      <w:r w:rsidRPr="006A4403">
        <w:tab/>
        <w:t>(i)</w:t>
      </w:r>
      <w:r w:rsidRPr="006A4403">
        <w:tab/>
        <w:t>to delete the redundant data, as well as any CDR data that has been directly or indirectly derived from it, and notify the accredited data recipient of the deletion; and</w:t>
      </w:r>
    </w:p>
    <w:p w14:paraId="0312D30A" w14:textId="77777777" w:rsidR="000E71DE" w:rsidRPr="006A4403" w:rsidRDefault="000E71DE" w:rsidP="000E71DE">
      <w:pPr>
        <w:pStyle w:val="paragraphsub"/>
      </w:pPr>
      <w:r w:rsidRPr="006A4403">
        <w:tab/>
        <w:t>(ii)</w:t>
      </w:r>
      <w:r w:rsidRPr="006A4403">
        <w:tab/>
        <w:t>to, if the recipient of the redundant data</w:t>
      </w:r>
      <w:r w:rsidRPr="006A4403">
        <w:rPr>
          <w:b/>
          <w:i/>
        </w:rPr>
        <w:t xml:space="preserve"> </w:t>
      </w:r>
      <w:r w:rsidRPr="006A4403">
        <w:t xml:space="preserve">has provided any such data to its own direct OSP (the </w:t>
      </w:r>
      <w:r w:rsidRPr="006A4403">
        <w:rPr>
          <w:b/>
          <w:i/>
        </w:rPr>
        <w:t>further recipient</w:t>
      </w:r>
      <w:r w:rsidRPr="006A4403">
        <w:t>), give the direction set out in this paragraph to the further recipient as if the further recipient were itself the recipient of the redundant data.</w:t>
      </w:r>
    </w:p>
    <w:p w14:paraId="0436EA5F" w14:textId="77777777" w:rsidR="000E71DE" w:rsidRPr="006A4403" w:rsidRDefault="000E71DE" w:rsidP="000E71DE">
      <w:pPr>
        <w:pStyle w:val="notetext"/>
      </w:pPr>
      <w:r w:rsidRPr="006A4403">
        <w:t>Note:</w:t>
      </w:r>
      <w:r w:rsidRPr="006A4403">
        <w:tab/>
        <w:t>If the redundant data cannot be de</w:t>
      </w:r>
      <w:r w:rsidRPr="006A4403">
        <w:noBreakHyphen/>
        <w:t>identified in accordance with the CDR data de</w:t>
      </w:r>
      <w:r w:rsidRPr="006A4403">
        <w:noBreakHyphen/>
        <w:t>identification process, it must be deleted in accordance with the CDR data deletion process: see subrule 1.17(4).</w:t>
      </w:r>
    </w:p>
    <w:p w14:paraId="49C9F9C8" w14:textId="77777777" w:rsidR="000E71DE" w:rsidRPr="006A4403" w:rsidRDefault="000E71DE" w:rsidP="000E71DE">
      <w:pPr>
        <w:pStyle w:val="subsection"/>
      </w:pPr>
      <w:r w:rsidRPr="006A4403">
        <w:tab/>
        <w:t>(3)</w:t>
      </w:r>
      <w:r w:rsidRPr="006A4403">
        <w:tab/>
        <w:t>For this rule, where an accredited data recipient is a CDR representative principal, a failure by a CDR representative to comply with subsection 56EO(2) of the Act in relation to service data as if:</w:t>
      </w:r>
    </w:p>
    <w:p w14:paraId="64805220" w14:textId="77777777" w:rsidR="000E71DE" w:rsidRPr="006A4403" w:rsidRDefault="000E71DE" w:rsidP="000E71DE">
      <w:pPr>
        <w:pStyle w:val="paragraph"/>
      </w:pPr>
      <w:r w:rsidRPr="006A4403">
        <w:tab/>
        <w:t>(a)</w:t>
      </w:r>
      <w:r w:rsidRPr="006A4403">
        <w:tab/>
        <w:t>it were a CDR entity; and</w:t>
      </w:r>
    </w:p>
    <w:p w14:paraId="29DB766F" w14:textId="77777777" w:rsidR="000E71DE" w:rsidRPr="006A4403" w:rsidRDefault="000E71DE" w:rsidP="000E71DE">
      <w:pPr>
        <w:pStyle w:val="paragraph"/>
      </w:pPr>
      <w:r w:rsidRPr="006A4403">
        <w:tab/>
        <w:t>(b)</w:t>
      </w:r>
      <w:r w:rsidRPr="006A4403">
        <w:tab/>
        <w:t>the references in this rule to provisions in Division 4.3 were references to the corresponding provisions in Division 4.3A;</w:t>
      </w:r>
    </w:p>
    <w:p w14:paraId="635B4DE0" w14:textId="77777777" w:rsidR="000E71DE" w:rsidRPr="006A4403" w:rsidRDefault="000E71DE" w:rsidP="000E71DE">
      <w:pPr>
        <w:pStyle w:val="subsection2"/>
      </w:pPr>
      <w:r w:rsidRPr="006A4403">
        <w:t>is taken to be a failure by the CDR representative principal.</w:t>
      </w:r>
    </w:p>
    <w:bookmarkEnd w:id="299"/>
    <w:p w14:paraId="40C76424" w14:textId="77777777" w:rsidR="000E71DE" w:rsidRPr="006A4403" w:rsidRDefault="004B0AB6" w:rsidP="000E71DE">
      <w:pPr>
        <w:pStyle w:val="ItemHead"/>
      </w:pPr>
      <w:r>
        <w:t>114</w:t>
      </w:r>
      <w:r w:rsidR="00723B2F" w:rsidRPr="006A4403">
        <w:t xml:space="preserve">  </w:t>
      </w:r>
      <w:r w:rsidR="000E71DE" w:rsidRPr="006A4403">
        <w:t>Subrule 7.16(2)</w:t>
      </w:r>
    </w:p>
    <w:p w14:paraId="3C5983C8" w14:textId="77777777" w:rsidR="000E71DE" w:rsidRPr="006A4403" w:rsidRDefault="000E71DE" w:rsidP="000E71DE">
      <w:pPr>
        <w:pStyle w:val="Item"/>
      </w:pPr>
      <w:r w:rsidRPr="006A4403">
        <w:t>Omit “subrule (2)”, substitute “subrule (1)”.</w:t>
      </w:r>
    </w:p>
    <w:p w14:paraId="51216D2B" w14:textId="77777777" w:rsidR="000E71DE" w:rsidRPr="006A4403" w:rsidRDefault="004B0AB6" w:rsidP="000E71DE">
      <w:pPr>
        <w:pStyle w:val="ItemHead"/>
        <w:rPr>
          <w:noProof/>
        </w:rPr>
      </w:pPr>
      <w:r>
        <w:t>115</w:t>
      </w:r>
      <w:r w:rsidR="00723B2F" w:rsidRPr="006A4403">
        <w:t xml:space="preserve">  </w:t>
      </w:r>
      <w:r w:rsidR="000E71DE" w:rsidRPr="006A4403">
        <w:rPr>
          <w:noProof/>
        </w:rPr>
        <w:t>Paragraph 8.11(1)(a)</w:t>
      </w:r>
    </w:p>
    <w:p w14:paraId="0A65D87A" w14:textId="77777777" w:rsidR="000E71DE" w:rsidRPr="006A4403" w:rsidRDefault="000E71DE" w:rsidP="000E71DE">
      <w:pPr>
        <w:pStyle w:val="Item"/>
      </w:pPr>
      <w:r w:rsidRPr="006A4403">
        <w:t>Repeal the paragraph, substitute:</w:t>
      </w:r>
    </w:p>
    <w:p w14:paraId="002E693C" w14:textId="77777777" w:rsidR="000E71DE" w:rsidRPr="006A4403" w:rsidRDefault="000E71DE" w:rsidP="000E71DE">
      <w:pPr>
        <w:pStyle w:val="paragraph"/>
      </w:pPr>
      <w:bookmarkStart w:id="300" w:name="_Hlk121738578"/>
      <w:r w:rsidRPr="006A4403">
        <w:tab/>
        <w:t>(a)</w:t>
      </w:r>
      <w:r w:rsidRPr="006A4403">
        <w:tab/>
        <w:t>the processes for:</w:t>
      </w:r>
    </w:p>
    <w:p w14:paraId="0F87DD05" w14:textId="77777777" w:rsidR="000E71DE" w:rsidRPr="006A4403" w:rsidRDefault="000E71DE" w:rsidP="000E71DE">
      <w:pPr>
        <w:pStyle w:val="paragraphsub"/>
      </w:pPr>
      <w:r w:rsidRPr="006A4403">
        <w:tab/>
        <w:t>(i)</w:t>
      </w:r>
      <w:r w:rsidRPr="006A4403">
        <w:tab/>
        <w:t>making, responding to and managing product data requests and consumer data requests; and</w:t>
      </w:r>
    </w:p>
    <w:p w14:paraId="6A36C176" w14:textId="77777777" w:rsidR="000E71DE" w:rsidRPr="006A4403" w:rsidRDefault="000E71DE" w:rsidP="000E71DE">
      <w:pPr>
        <w:pStyle w:val="paragraphsub"/>
      </w:pPr>
      <w:bookmarkStart w:id="301" w:name="_Hlk121314864"/>
      <w:r w:rsidRPr="006A4403">
        <w:tab/>
        <w:t>(ii)</w:t>
      </w:r>
      <w:r w:rsidRPr="006A4403">
        <w:tab/>
        <w:t>obtaining, managing, amending and withdrawing authorisations and consents; and</w:t>
      </w:r>
    </w:p>
    <w:bookmarkEnd w:id="301"/>
    <w:p w14:paraId="51A8C05C" w14:textId="77777777" w:rsidR="000E71DE" w:rsidRPr="006A4403" w:rsidRDefault="000E71DE" w:rsidP="000E71DE">
      <w:pPr>
        <w:pStyle w:val="paragraphsub"/>
      </w:pPr>
      <w:r w:rsidRPr="006A4403">
        <w:tab/>
        <w:t>(iii)</w:t>
      </w:r>
      <w:r w:rsidRPr="006A4403">
        <w:tab/>
        <w:t>making, responding to and managing requests by the primary data holder for SR data under rules 1.22 and 1.23;</w:t>
      </w:r>
    </w:p>
    <w:p w14:paraId="51E87C70" w14:textId="77777777" w:rsidR="000E71DE" w:rsidRPr="006A4403" w:rsidRDefault="000E71DE" w:rsidP="000E71DE">
      <w:pPr>
        <w:pStyle w:val="paragraphsub"/>
      </w:pPr>
      <w:r w:rsidRPr="006A4403">
        <w:tab/>
        <w:t>(iv)</w:t>
      </w:r>
      <w:r w:rsidRPr="006A4403">
        <w:tab/>
        <w:t xml:space="preserve">obtaining and managing business consumer statements; </w:t>
      </w:r>
    </w:p>
    <w:bookmarkEnd w:id="300"/>
    <w:p w14:paraId="5EFAA78E" w14:textId="77777777" w:rsidR="000E71DE" w:rsidRPr="006A4403" w:rsidRDefault="004B0AB6" w:rsidP="000E71DE">
      <w:pPr>
        <w:pStyle w:val="ItemHead"/>
      </w:pPr>
      <w:r>
        <w:lastRenderedPageBreak/>
        <w:t>116</w:t>
      </w:r>
      <w:r w:rsidR="00723B2F" w:rsidRPr="006A4403">
        <w:t xml:space="preserve">  </w:t>
      </w:r>
      <w:r w:rsidR="000E71DE" w:rsidRPr="006A4403">
        <w:t>At the end of paragraph 8.11(1)(c)</w:t>
      </w:r>
    </w:p>
    <w:p w14:paraId="50FAEEBE" w14:textId="77777777" w:rsidR="000E71DE" w:rsidRPr="006A4403" w:rsidRDefault="000E71DE" w:rsidP="000E71DE">
      <w:pPr>
        <w:pStyle w:val="Item"/>
      </w:pPr>
      <w:r w:rsidRPr="006A4403">
        <w:t>Add:</w:t>
      </w:r>
    </w:p>
    <w:p w14:paraId="45A5C80A" w14:textId="77777777" w:rsidR="000E71DE" w:rsidRPr="006A4403" w:rsidRDefault="000E71DE" w:rsidP="000E71DE">
      <w:pPr>
        <w:pStyle w:val="paragraphsub"/>
      </w:pPr>
      <w:bookmarkStart w:id="302" w:name="_Hlk121832675"/>
      <w:r w:rsidRPr="006A4403">
        <w:tab/>
        <w:t>(vi)</w:t>
      </w:r>
      <w:r w:rsidRPr="006A4403">
        <w:tab/>
        <w:t>consumer experience data standards for disclosure of CDR data to a person under a consent for which a business consumer statement is given (see paragraph 1.10A(10)(a));</w:t>
      </w:r>
    </w:p>
    <w:bookmarkEnd w:id="302"/>
    <w:p w14:paraId="03F7F962" w14:textId="77777777" w:rsidR="000E71DE" w:rsidRPr="006A4403" w:rsidRDefault="004B0AB6" w:rsidP="000E71DE">
      <w:pPr>
        <w:pStyle w:val="ItemHead"/>
      </w:pPr>
      <w:r>
        <w:t>117</w:t>
      </w:r>
      <w:r w:rsidR="00723B2F" w:rsidRPr="006A4403">
        <w:t xml:space="preserve">  </w:t>
      </w:r>
      <w:r w:rsidR="000E71DE" w:rsidRPr="006A4403">
        <w:t>Paragraph 8.11(1A)(a)</w:t>
      </w:r>
    </w:p>
    <w:p w14:paraId="5B26DE98" w14:textId="77777777" w:rsidR="000E71DE" w:rsidRPr="006A4403" w:rsidRDefault="000E71DE" w:rsidP="000E71DE">
      <w:pPr>
        <w:pStyle w:val="Item"/>
      </w:pPr>
      <w:r w:rsidRPr="006A4403">
        <w:t>Repeal the paragraph, substitute:</w:t>
      </w:r>
    </w:p>
    <w:p w14:paraId="7D365DAF" w14:textId="77777777" w:rsidR="000E71DE" w:rsidRPr="006A4403" w:rsidRDefault="000E71DE" w:rsidP="000E71DE">
      <w:pPr>
        <w:pStyle w:val="paragraph"/>
      </w:pPr>
      <w:bookmarkStart w:id="303" w:name="_Hlk121832701"/>
      <w:r w:rsidRPr="006A4403">
        <w:tab/>
        <w:t>(a)</w:t>
      </w:r>
      <w:r w:rsidRPr="006A4403">
        <w:tab/>
        <w:t>how the accredited person or CDR representative can meet the requirement to explain a CDR insight in accordance with paragraph 4.11(3)(ca) or 4.20E(3)(g);</w:t>
      </w:r>
    </w:p>
    <w:bookmarkEnd w:id="303"/>
    <w:p w14:paraId="29B4F511" w14:textId="77777777" w:rsidR="000E71DE" w:rsidRPr="006A4403" w:rsidRDefault="004B0AB6" w:rsidP="000E71DE">
      <w:pPr>
        <w:pStyle w:val="ItemHead"/>
      </w:pPr>
      <w:r>
        <w:t>118</w:t>
      </w:r>
      <w:r w:rsidR="00723B2F" w:rsidRPr="006A4403">
        <w:t xml:space="preserve">  </w:t>
      </w:r>
      <w:r w:rsidR="000E71DE" w:rsidRPr="006A4403">
        <w:t>After subrule 8.11(1A)</w:t>
      </w:r>
    </w:p>
    <w:p w14:paraId="1E2A55A2" w14:textId="77777777" w:rsidR="000E71DE" w:rsidRPr="006A4403" w:rsidRDefault="000E71DE" w:rsidP="000E71DE">
      <w:pPr>
        <w:pStyle w:val="Item"/>
      </w:pPr>
      <w:r w:rsidRPr="006A4403">
        <w:t>Insert:</w:t>
      </w:r>
    </w:p>
    <w:p w14:paraId="5923F421" w14:textId="77777777" w:rsidR="000E71DE" w:rsidRPr="006A4403" w:rsidRDefault="000E71DE" w:rsidP="000E71DE">
      <w:pPr>
        <w:pStyle w:val="subsection"/>
      </w:pPr>
      <w:bookmarkStart w:id="304" w:name="_Hlk121832726"/>
      <w:r w:rsidRPr="006A4403">
        <w:tab/>
        <w:t>(1B)</w:t>
      </w:r>
      <w:r w:rsidRPr="006A4403">
        <w:tab/>
        <w:t>The standards for the purposes of paragraph (1)(a)(ii) that relate to obtaining TA disclosure consents and business consumer disclosure consents must include provisions that cover ensuring that the CDR consumer is made aware that their data will leave the CDR system when it is disclosed.</w:t>
      </w:r>
    </w:p>
    <w:bookmarkEnd w:id="304"/>
    <w:p w14:paraId="53596C61" w14:textId="77777777" w:rsidR="000E71DE" w:rsidRPr="006A4403" w:rsidRDefault="004B0AB6" w:rsidP="000E71DE">
      <w:pPr>
        <w:pStyle w:val="ItemHead"/>
      </w:pPr>
      <w:r>
        <w:t>119</w:t>
      </w:r>
      <w:r w:rsidR="00723B2F" w:rsidRPr="006A4403">
        <w:t xml:space="preserve">  </w:t>
      </w:r>
      <w:r w:rsidR="000E71DE" w:rsidRPr="006A4403">
        <w:t>After paragraph 9.3(1)(f)</w:t>
      </w:r>
    </w:p>
    <w:p w14:paraId="289FAFA3" w14:textId="77777777" w:rsidR="000E71DE" w:rsidRPr="006A4403" w:rsidRDefault="000E71DE" w:rsidP="000E71DE">
      <w:pPr>
        <w:pStyle w:val="Item"/>
      </w:pPr>
      <w:r w:rsidRPr="006A4403">
        <w:t>Insert:</w:t>
      </w:r>
    </w:p>
    <w:p w14:paraId="1121D75C" w14:textId="77777777" w:rsidR="000E71DE" w:rsidRPr="006A4403" w:rsidRDefault="000E71DE" w:rsidP="000E71DE">
      <w:pPr>
        <w:pStyle w:val="paragraph"/>
      </w:pPr>
      <w:bookmarkStart w:id="305" w:name="_Hlk121832745"/>
      <w:r w:rsidRPr="006A4403">
        <w:tab/>
        <w:t>(fa)</w:t>
      </w:r>
      <w:r w:rsidRPr="006A4403">
        <w:tab/>
        <w:t>CDR consumer complaints;</w:t>
      </w:r>
    </w:p>
    <w:bookmarkEnd w:id="305"/>
    <w:p w14:paraId="5A4FA16A" w14:textId="77777777" w:rsidR="000E71DE" w:rsidRPr="006A4403" w:rsidRDefault="004B0AB6" w:rsidP="000E71DE">
      <w:pPr>
        <w:pStyle w:val="ItemHead"/>
      </w:pPr>
      <w:r>
        <w:t>120</w:t>
      </w:r>
      <w:r w:rsidR="00723B2F" w:rsidRPr="006A4403">
        <w:t xml:space="preserve">  </w:t>
      </w:r>
      <w:r w:rsidR="000E71DE" w:rsidRPr="006A4403">
        <w:t>After paragraph 9.3(2)(d)</w:t>
      </w:r>
    </w:p>
    <w:p w14:paraId="3BF033CD" w14:textId="77777777" w:rsidR="000E71DE" w:rsidRPr="006A4403" w:rsidRDefault="000E71DE" w:rsidP="000E71DE">
      <w:pPr>
        <w:pStyle w:val="Item"/>
      </w:pPr>
      <w:r w:rsidRPr="006A4403">
        <w:t>Insert:</w:t>
      </w:r>
    </w:p>
    <w:p w14:paraId="09002694" w14:textId="77777777" w:rsidR="000E71DE" w:rsidRPr="006A4403" w:rsidRDefault="000E71DE" w:rsidP="000E71DE">
      <w:pPr>
        <w:pStyle w:val="paragraph"/>
      </w:pPr>
      <w:r w:rsidRPr="006A4403">
        <w:tab/>
        <w:t>(da)</w:t>
      </w:r>
      <w:r w:rsidRPr="006A4403">
        <w:tab/>
        <w:t>CDR consumer complaints;</w:t>
      </w:r>
    </w:p>
    <w:p w14:paraId="65D4ACD7" w14:textId="77777777" w:rsidR="000E71DE" w:rsidRPr="006A4403" w:rsidRDefault="004B0AB6" w:rsidP="000E71DE">
      <w:pPr>
        <w:pStyle w:val="ItemHead"/>
      </w:pPr>
      <w:r>
        <w:t>121</w:t>
      </w:r>
      <w:r w:rsidR="00723B2F" w:rsidRPr="006A4403">
        <w:t xml:space="preserve">  </w:t>
      </w:r>
      <w:r w:rsidR="000E71DE" w:rsidRPr="006A4403">
        <w:t>After paragraph 9.3(2)(ed)</w:t>
      </w:r>
    </w:p>
    <w:p w14:paraId="2AF7B356" w14:textId="77777777" w:rsidR="000E71DE" w:rsidRPr="006A4403" w:rsidRDefault="000E71DE" w:rsidP="000E71DE">
      <w:pPr>
        <w:pStyle w:val="Item"/>
      </w:pPr>
      <w:r w:rsidRPr="006A4403">
        <w:t>Insert:</w:t>
      </w:r>
    </w:p>
    <w:p w14:paraId="7BA7AE0D" w14:textId="77777777" w:rsidR="000E71DE" w:rsidRPr="006A4403" w:rsidRDefault="000E71DE" w:rsidP="000E71DE">
      <w:pPr>
        <w:pStyle w:val="paragraph"/>
      </w:pPr>
      <w:bookmarkStart w:id="306" w:name="_Hlk121832895"/>
      <w:r w:rsidRPr="006A4403">
        <w:tab/>
        <w:t>(ee)</w:t>
      </w:r>
      <w:r w:rsidRPr="006A4403">
        <w:tab/>
        <w:t>the number of business consumer statements received;</w:t>
      </w:r>
    </w:p>
    <w:p w14:paraId="6ACD1152" w14:textId="77777777" w:rsidR="000E71DE" w:rsidRPr="006A4403" w:rsidRDefault="000E71DE" w:rsidP="000E71DE">
      <w:pPr>
        <w:pStyle w:val="paragraph"/>
      </w:pPr>
      <w:r w:rsidRPr="006A4403">
        <w:tab/>
        <w:t>(ef)</w:t>
      </w:r>
      <w:r w:rsidRPr="006A4403">
        <w:tab/>
        <w:t>disclosures of CDR data under a business consumer disclosure consent, and persons to whom the CDR data was disclosed;</w:t>
      </w:r>
    </w:p>
    <w:p w14:paraId="581E6682" w14:textId="77777777" w:rsidR="000E71DE" w:rsidRPr="006A4403" w:rsidRDefault="000E71DE" w:rsidP="000E71DE">
      <w:pPr>
        <w:pStyle w:val="paragraph"/>
      </w:pPr>
      <w:r w:rsidRPr="006A4403">
        <w:tab/>
        <w:t>(eg)</w:t>
      </w:r>
      <w:r w:rsidRPr="006A4403">
        <w:tab/>
        <w:t>any steps taken for the purposes of subrule 1.10A(9) to confirm that a CDR consumer is a CDR business consumer;</w:t>
      </w:r>
    </w:p>
    <w:bookmarkEnd w:id="306"/>
    <w:p w14:paraId="214F5C79" w14:textId="77777777" w:rsidR="000E71DE" w:rsidRPr="006A4403" w:rsidRDefault="004B0AB6" w:rsidP="000E71DE">
      <w:pPr>
        <w:pStyle w:val="ItemHead"/>
      </w:pPr>
      <w:r>
        <w:t>122</w:t>
      </w:r>
      <w:r w:rsidR="00723B2F" w:rsidRPr="006A4403">
        <w:t xml:space="preserve">  </w:t>
      </w:r>
      <w:r w:rsidR="000E71DE" w:rsidRPr="006A4403">
        <w:t>Paragraph 9.3(2)(i)</w:t>
      </w:r>
    </w:p>
    <w:p w14:paraId="7C9B603A" w14:textId="77777777" w:rsidR="000E71DE" w:rsidRPr="006A4403" w:rsidRDefault="000E71DE" w:rsidP="000E71DE">
      <w:pPr>
        <w:pStyle w:val="Item"/>
      </w:pPr>
      <w:r w:rsidRPr="006A4403">
        <w:t>Repeal the paragraph, substitute:</w:t>
      </w:r>
    </w:p>
    <w:p w14:paraId="6FC77BD7" w14:textId="77777777" w:rsidR="000E71DE" w:rsidRPr="006A4403" w:rsidRDefault="000E71DE" w:rsidP="000E71DE">
      <w:pPr>
        <w:pStyle w:val="paragraph"/>
      </w:pPr>
      <w:bookmarkStart w:id="307" w:name="_Hlk121832931"/>
      <w:r w:rsidRPr="006A4403">
        <w:tab/>
        <w:t>(i)</w:t>
      </w:r>
      <w:r w:rsidRPr="006A4403">
        <w:tab/>
        <w:t>if applicable:</w:t>
      </w:r>
    </w:p>
    <w:p w14:paraId="52E6E12A" w14:textId="77777777" w:rsidR="000E71DE" w:rsidRPr="006A4403" w:rsidRDefault="000E71DE" w:rsidP="000E71DE">
      <w:pPr>
        <w:pStyle w:val="paragraphsub"/>
      </w:pPr>
      <w:r w:rsidRPr="006A4403">
        <w:tab/>
        <w:t>(i)</w:t>
      </w:r>
      <w:r w:rsidRPr="006A4403">
        <w:tab/>
        <w:t>any sponsorship arrangement to which the accredited data recipient is a party; and</w:t>
      </w:r>
    </w:p>
    <w:p w14:paraId="7E58DE0C" w14:textId="77777777" w:rsidR="000E71DE" w:rsidRPr="006A4403" w:rsidRDefault="000E71DE" w:rsidP="000E71DE">
      <w:pPr>
        <w:pStyle w:val="paragraphsub"/>
      </w:pPr>
      <w:r w:rsidRPr="006A4403">
        <w:tab/>
        <w:t>(ii)</w:t>
      </w:r>
      <w:r w:rsidRPr="006A4403">
        <w:tab/>
        <w:t xml:space="preserve">the use and management by the other party to each such arrangement of CDR data collected by it or provided to it under the arrangement; </w:t>
      </w:r>
    </w:p>
    <w:p w14:paraId="324B71BD" w14:textId="77777777" w:rsidR="000E71DE" w:rsidRPr="006A4403" w:rsidRDefault="000E71DE" w:rsidP="000E71DE">
      <w:pPr>
        <w:pStyle w:val="paragraph"/>
      </w:pPr>
      <w:r w:rsidRPr="006A4403">
        <w:tab/>
        <w:t>(ia)</w:t>
      </w:r>
      <w:r w:rsidRPr="006A4403">
        <w:tab/>
        <w:t>if applicable:</w:t>
      </w:r>
    </w:p>
    <w:p w14:paraId="13573169" w14:textId="77777777" w:rsidR="000E71DE" w:rsidRPr="006A4403" w:rsidRDefault="000E71DE" w:rsidP="000E71DE">
      <w:pPr>
        <w:pStyle w:val="paragraphsub"/>
      </w:pPr>
      <w:r w:rsidRPr="006A4403">
        <w:tab/>
        <w:t>(i)</w:t>
      </w:r>
      <w:r w:rsidRPr="006A4403">
        <w:tab/>
        <w:t>any CDR outsourcing arrangement to which the accredited data recipient, or a direct or indirect OSP of the accredited data recipient, is a party; and</w:t>
      </w:r>
    </w:p>
    <w:p w14:paraId="130F4324" w14:textId="77777777" w:rsidR="000E71DE" w:rsidRPr="006A4403" w:rsidRDefault="000E71DE" w:rsidP="000E71DE">
      <w:pPr>
        <w:pStyle w:val="paragraphsub"/>
      </w:pPr>
      <w:r w:rsidRPr="006A4403">
        <w:tab/>
        <w:t>(ii)</w:t>
      </w:r>
      <w:r w:rsidRPr="006A4403">
        <w:tab/>
        <w:t>the use and management by each direct or indirect OSP of CDR data collected by it or provided to it under the relevant CDR outsourcing arrangement; and</w:t>
      </w:r>
    </w:p>
    <w:p w14:paraId="4B8F862F" w14:textId="77777777" w:rsidR="000E71DE" w:rsidRPr="006A4403" w:rsidRDefault="000E71DE" w:rsidP="000E71DE">
      <w:pPr>
        <w:pStyle w:val="paragraphsub"/>
      </w:pPr>
      <w:r w:rsidRPr="006A4403">
        <w:lastRenderedPageBreak/>
        <w:tab/>
        <w:t>(iii)</w:t>
      </w:r>
      <w:r w:rsidRPr="006A4403">
        <w:tab/>
        <w:t>the steps that the accredited data recipient has taken to ensure that each direct or indirect OSP complies with the requirements of the relevant CDR outsourcing arrangement</w:t>
      </w:r>
      <w:bookmarkStart w:id="308" w:name="_Hlk120609784"/>
      <w:r w:rsidRPr="006A4403">
        <w:t>, including how their direct OSPs ensure compliance by indirect OSPs</w:t>
      </w:r>
      <w:bookmarkEnd w:id="308"/>
      <w:r w:rsidRPr="006A4403">
        <w:t>;</w:t>
      </w:r>
    </w:p>
    <w:bookmarkEnd w:id="307"/>
    <w:p w14:paraId="5C1B8533" w14:textId="77777777" w:rsidR="000E71DE" w:rsidRPr="006A4403" w:rsidRDefault="004B0AB6" w:rsidP="000E71DE">
      <w:pPr>
        <w:pStyle w:val="ItemHead"/>
      </w:pPr>
      <w:r>
        <w:t>123</w:t>
      </w:r>
      <w:r w:rsidR="00723B2F" w:rsidRPr="006A4403">
        <w:t xml:space="preserve">  </w:t>
      </w:r>
      <w:r w:rsidR="000E71DE" w:rsidRPr="006A4403">
        <w:t>After paragraph 9.3(2A)(g)</w:t>
      </w:r>
    </w:p>
    <w:p w14:paraId="26D1E459" w14:textId="77777777" w:rsidR="000E71DE" w:rsidRPr="006A4403" w:rsidRDefault="000E71DE" w:rsidP="000E71DE">
      <w:pPr>
        <w:pStyle w:val="Item"/>
      </w:pPr>
      <w:r w:rsidRPr="006A4403">
        <w:t>Insert:</w:t>
      </w:r>
    </w:p>
    <w:p w14:paraId="5D31F69C" w14:textId="77777777" w:rsidR="000E71DE" w:rsidRPr="006A4403" w:rsidRDefault="000E71DE" w:rsidP="000E71DE">
      <w:pPr>
        <w:pStyle w:val="paragraph"/>
      </w:pPr>
      <w:bookmarkStart w:id="309" w:name="_Hlk121832950"/>
      <w:r w:rsidRPr="006A4403">
        <w:tab/>
        <w:t>(ga)</w:t>
      </w:r>
      <w:r w:rsidRPr="006A4403">
        <w:tab/>
        <w:t>CDR consumer complaints;</w:t>
      </w:r>
    </w:p>
    <w:bookmarkEnd w:id="309"/>
    <w:p w14:paraId="60CE9510" w14:textId="77777777" w:rsidR="000E71DE" w:rsidRPr="006A4403" w:rsidRDefault="004B0AB6" w:rsidP="000E71DE">
      <w:pPr>
        <w:pStyle w:val="ItemHead"/>
        <w:rPr>
          <w:noProof/>
        </w:rPr>
      </w:pPr>
      <w:r>
        <w:t>124</w:t>
      </w:r>
      <w:r w:rsidR="00723B2F" w:rsidRPr="006A4403">
        <w:t xml:space="preserve">  </w:t>
      </w:r>
      <w:r w:rsidR="000E71DE" w:rsidRPr="006A4403">
        <w:rPr>
          <w:noProof/>
        </w:rPr>
        <w:t>After paragraph 9.3(2A)(h)</w:t>
      </w:r>
    </w:p>
    <w:p w14:paraId="70397135" w14:textId="77777777" w:rsidR="000E71DE" w:rsidRPr="006A4403" w:rsidRDefault="000E71DE" w:rsidP="000E71DE">
      <w:pPr>
        <w:pStyle w:val="Item"/>
      </w:pPr>
      <w:r w:rsidRPr="006A4403">
        <w:t>Insert:</w:t>
      </w:r>
    </w:p>
    <w:p w14:paraId="66B8FBC2" w14:textId="77777777" w:rsidR="000E71DE" w:rsidRPr="006A4403" w:rsidRDefault="000E71DE" w:rsidP="000E71DE">
      <w:pPr>
        <w:pStyle w:val="paragraph"/>
      </w:pPr>
      <w:bookmarkStart w:id="310" w:name="_Hlk121832967"/>
      <w:r w:rsidRPr="006A4403">
        <w:tab/>
        <w:t>(ha)</w:t>
      </w:r>
      <w:r w:rsidRPr="006A4403">
        <w:tab/>
        <w:t>disclosures of CDR data to accredited persons under these rules, and the accredited persons to which any CDR data was disclosed;</w:t>
      </w:r>
    </w:p>
    <w:p w14:paraId="619F24E8" w14:textId="77777777" w:rsidR="000E71DE" w:rsidRPr="006A4403" w:rsidRDefault="000E71DE" w:rsidP="000E71DE">
      <w:pPr>
        <w:pStyle w:val="paragraph"/>
      </w:pPr>
      <w:r w:rsidRPr="006A4403">
        <w:tab/>
        <w:t>(hb)</w:t>
      </w:r>
      <w:r w:rsidRPr="006A4403">
        <w:tab/>
        <w:t>disclosures of CDR data to trusted advisers, and trusted advisers to whom CDR data was disclosed;</w:t>
      </w:r>
    </w:p>
    <w:p w14:paraId="3157B38C" w14:textId="77777777" w:rsidR="000E71DE" w:rsidRPr="006A4403" w:rsidRDefault="000E71DE" w:rsidP="000E71DE">
      <w:pPr>
        <w:pStyle w:val="paragraph"/>
      </w:pPr>
      <w:r w:rsidRPr="006A4403">
        <w:tab/>
        <w:t>(hc)</w:t>
      </w:r>
      <w:r w:rsidRPr="006A4403">
        <w:tab/>
        <w:t>any steps taken for the purposes of subrule 1.10C(3) to confirm that a trusted adviser is a member of a class of trusted advisers;</w:t>
      </w:r>
    </w:p>
    <w:p w14:paraId="0C8FBE7B" w14:textId="77777777" w:rsidR="000E71DE" w:rsidRPr="006A4403" w:rsidRDefault="000E71DE" w:rsidP="000E71DE">
      <w:pPr>
        <w:pStyle w:val="paragraph"/>
      </w:pPr>
      <w:r w:rsidRPr="006A4403">
        <w:tab/>
        <w:t>(hd)</w:t>
      </w:r>
      <w:r w:rsidRPr="006A4403">
        <w:tab/>
        <w:t>disclosures of CDR insights, including a copy of each CDR insight disclosed, to whom it was disclosed and when;</w:t>
      </w:r>
    </w:p>
    <w:bookmarkEnd w:id="310"/>
    <w:p w14:paraId="018B2624" w14:textId="77777777" w:rsidR="000E71DE" w:rsidRPr="006A4403" w:rsidRDefault="004B0AB6" w:rsidP="000E71DE">
      <w:pPr>
        <w:pStyle w:val="ItemHead"/>
      </w:pPr>
      <w:r>
        <w:t>125</w:t>
      </w:r>
      <w:r w:rsidR="00723B2F" w:rsidRPr="006A4403">
        <w:t xml:space="preserve">  </w:t>
      </w:r>
      <w:r w:rsidR="000E71DE" w:rsidRPr="006A4403">
        <w:t>After paragraph 9.3(2A)(k)</w:t>
      </w:r>
    </w:p>
    <w:p w14:paraId="5242E20F" w14:textId="77777777" w:rsidR="000E71DE" w:rsidRPr="006A4403" w:rsidRDefault="000E71DE" w:rsidP="000E71DE">
      <w:pPr>
        <w:pStyle w:val="Item"/>
      </w:pPr>
      <w:r w:rsidRPr="006A4403">
        <w:t>Insert:</w:t>
      </w:r>
    </w:p>
    <w:p w14:paraId="6AE72F04" w14:textId="77777777" w:rsidR="000E71DE" w:rsidRPr="006A4403" w:rsidRDefault="000E71DE" w:rsidP="000E71DE">
      <w:pPr>
        <w:pStyle w:val="paragraph"/>
      </w:pPr>
      <w:bookmarkStart w:id="311" w:name="_Hlk115450485"/>
      <w:r w:rsidRPr="006A4403">
        <w:tab/>
        <w:t>(ka)</w:t>
      </w:r>
      <w:r w:rsidRPr="006A4403">
        <w:tab/>
        <w:t>if applicable:</w:t>
      </w:r>
    </w:p>
    <w:p w14:paraId="4203A264" w14:textId="77777777" w:rsidR="000E71DE" w:rsidRPr="006A4403" w:rsidRDefault="000E71DE" w:rsidP="000E71DE">
      <w:pPr>
        <w:pStyle w:val="paragraphsub"/>
      </w:pPr>
      <w:r w:rsidRPr="006A4403">
        <w:tab/>
        <w:t>(i)</w:t>
      </w:r>
      <w:r w:rsidRPr="006A4403">
        <w:tab/>
        <w:t>any CDR outsourcing arrangement to which the CDR representative, or a direct or indirect OSP of the CDR representative, is a party; and</w:t>
      </w:r>
    </w:p>
    <w:p w14:paraId="2079AC93" w14:textId="77777777" w:rsidR="000E71DE" w:rsidRPr="006A4403" w:rsidRDefault="000E71DE" w:rsidP="000E71DE">
      <w:pPr>
        <w:pStyle w:val="paragraphsub"/>
      </w:pPr>
      <w:r w:rsidRPr="006A4403">
        <w:tab/>
        <w:t>(ii)</w:t>
      </w:r>
      <w:r w:rsidRPr="006A4403">
        <w:tab/>
        <w:t>the use and management by each direct or indirect OSP of CDR data collected by it or provided to it under the relevant CDR outsourcing arrangement; and</w:t>
      </w:r>
    </w:p>
    <w:p w14:paraId="76DE397F" w14:textId="77777777" w:rsidR="000E71DE" w:rsidRPr="006A4403" w:rsidRDefault="000E71DE" w:rsidP="000E71DE">
      <w:pPr>
        <w:pStyle w:val="paragraphsub"/>
      </w:pPr>
      <w:bookmarkStart w:id="312" w:name="_Hlk120786100"/>
      <w:r w:rsidRPr="006A4403">
        <w:tab/>
        <w:t>(iii)</w:t>
      </w:r>
      <w:r w:rsidRPr="006A4403">
        <w:tab/>
        <w:t>the steps that:</w:t>
      </w:r>
    </w:p>
    <w:p w14:paraId="4650C2E2" w14:textId="77777777" w:rsidR="000E71DE" w:rsidRPr="006A4403" w:rsidRDefault="000E71DE" w:rsidP="000E71DE">
      <w:pPr>
        <w:pStyle w:val="paragraphsub-sub"/>
      </w:pPr>
      <w:r w:rsidRPr="006A4403">
        <w:tab/>
        <w:t>(A)</w:t>
      </w:r>
      <w:r w:rsidRPr="006A4403">
        <w:tab/>
        <w:t>the CDR representative principal; and</w:t>
      </w:r>
    </w:p>
    <w:p w14:paraId="23513AC9" w14:textId="77777777" w:rsidR="000E71DE" w:rsidRPr="006A4403" w:rsidRDefault="000E71DE" w:rsidP="000E71DE">
      <w:pPr>
        <w:pStyle w:val="paragraphsub-sub"/>
      </w:pPr>
      <w:r w:rsidRPr="006A4403">
        <w:tab/>
        <w:t>(B)</w:t>
      </w:r>
      <w:r w:rsidRPr="006A4403">
        <w:tab/>
        <w:t xml:space="preserve">the CDR representative; </w:t>
      </w:r>
    </w:p>
    <w:p w14:paraId="7E48ECF5" w14:textId="77777777" w:rsidR="000E71DE" w:rsidRPr="006A4403" w:rsidRDefault="000E71DE" w:rsidP="000E71DE">
      <w:pPr>
        <w:pStyle w:val="paragraphsub"/>
      </w:pPr>
      <w:r w:rsidRPr="006A4403">
        <w:tab/>
      </w:r>
      <w:r w:rsidRPr="006A4403">
        <w:tab/>
        <w:t>have taken to ensure that each direct or indirect OSP of the CDR representative complies with the requirements of the relevant CDR outsourcing arrangement, including how their direct OSPs ensure compliance by indirect OSPs;</w:t>
      </w:r>
    </w:p>
    <w:bookmarkEnd w:id="311"/>
    <w:bookmarkEnd w:id="312"/>
    <w:p w14:paraId="4EB77F32" w14:textId="77777777" w:rsidR="000E71DE" w:rsidRPr="006A4403" w:rsidRDefault="004B0AB6" w:rsidP="000E71DE">
      <w:pPr>
        <w:pStyle w:val="ItemHead"/>
      </w:pPr>
      <w:r>
        <w:t>126</w:t>
      </w:r>
      <w:r w:rsidR="00723B2F" w:rsidRPr="006A4403">
        <w:t xml:space="preserve">  </w:t>
      </w:r>
      <w:r w:rsidR="000E71DE" w:rsidRPr="006A4403">
        <w:t>Paragraph 9.3(2A)(l)</w:t>
      </w:r>
    </w:p>
    <w:p w14:paraId="7097754E" w14:textId="77777777" w:rsidR="000E71DE" w:rsidRPr="006A4403" w:rsidRDefault="000E71DE" w:rsidP="000E71DE">
      <w:pPr>
        <w:pStyle w:val="Item"/>
      </w:pPr>
      <w:r w:rsidRPr="006A4403">
        <w:t>Omit “</w:t>
      </w:r>
      <w:bookmarkStart w:id="313" w:name="_Hlk111104544"/>
      <w:r w:rsidRPr="006A4403">
        <w:t>paragraph 4.11(3)(e)</w:t>
      </w:r>
      <w:bookmarkEnd w:id="313"/>
      <w:r w:rsidRPr="006A4403">
        <w:t>”, substitute “</w:t>
      </w:r>
      <w:bookmarkStart w:id="314" w:name="_Hlk121833010"/>
      <w:r w:rsidRPr="006A4403">
        <w:t>paragraph 4.20E(3)(i)</w:t>
      </w:r>
      <w:bookmarkEnd w:id="314"/>
      <w:r w:rsidRPr="006A4403">
        <w:t>”.</w:t>
      </w:r>
    </w:p>
    <w:p w14:paraId="7D7C30DC" w14:textId="77777777" w:rsidR="000E71DE" w:rsidRPr="006A4403" w:rsidRDefault="004B0AB6" w:rsidP="000E71DE">
      <w:pPr>
        <w:pStyle w:val="ItemHead"/>
      </w:pPr>
      <w:r>
        <w:t>127</w:t>
      </w:r>
      <w:r w:rsidR="00723B2F" w:rsidRPr="006A4403">
        <w:t xml:space="preserve">  </w:t>
      </w:r>
      <w:r w:rsidR="000E71DE" w:rsidRPr="006A4403">
        <w:t>Subparagraph 9.3(2A)(l)(iii)</w:t>
      </w:r>
    </w:p>
    <w:p w14:paraId="206B6E1F" w14:textId="77777777" w:rsidR="000E71DE" w:rsidRPr="006A4403" w:rsidRDefault="000E71DE" w:rsidP="000E71DE">
      <w:pPr>
        <w:pStyle w:val="Item"/>
      </w:pPr>
      <w:r w:rsidRPr="006A4403">
        <w:t>Omit “paragraph 4.15(b)”, substitute “</w:t>
      </w:r>
      <w:bookmarkStart w:id="315" w:name="_Hlk121833040"/>
      <w:r w:rsidRPr="006A4403">
        <w:t>paragraph 4.20L(b)</w:t>
      </w:r>
      <w:bookmarkEnd w:id="315"/>
      <w:r w:rsidRPr="006A4403">
        <w:t>”.</w:t>
      </w:r>
    </w:p>
    <w:p w14:paraId="546C5B06" w14:textId="77777777" w:rsidR="000E71DE" w:rsidRPr="006A4403" w:rsidRDefault="004B0AB6" w:rsidP="000E71DE">
      <w:pPr>
        <w:pStyle w:val="ItemHead"/>
      </w:pPr>
      <w:r>
        <w:t>128</w:t>
      </w:r>
      <w:r w:rsidR="00723B2F" w:rsidRPr="006A4403">
        <w:t xml:space="preserve">  </w:t>
      </w:r>
      <w:r w:rsidR="000E71DE" w:rsidRPr="006A4403">
        <w:t>Subrule 9.3(2A) (note)</w:t>
      </w:r>
    </w:p>
    <w:p w14:paraId="5BECE51F" w14:textId="77777777" w:rsidR="000E71DE" w:rsidRPr="006A4403" w:rsidRDefault="000E71DE" w:rsidP="000E71DE">
      <w:pPr>
        <w:pStyle w:val="Item"/>
      </w:pPr>
      <w:r w:rsidRPr="006A4403">
        <w:t>Omit “paragraph (k)”, substitute “paragraph (m)”.</w:t>
      </w:r>
    </w:p>
    <w:p w14:paraId="2A1EBE57" w14:textId="77777777" w:rsidR="000E71DE" w:rsidRPr="006A4403" w:rsidRDefault="004B0AB6" w:rsidP="000E71DE">
      <w:pPr>
        <w:pStyle w:val="ItemHead"/>
        <w:rPr>
          <w:noProof/>
        </w:rPr>
      </w:pPr>
      <w:r>
        <w:t>129</w:t>
      </w:r>
      <w:r w:rsidR="00723B2F" w:rsidRPr="006A4403">
        <w:t xml:space="preserve">  </w:t>
      </w:r>
      <w:r w:rsidR="000E71DE" w:rsidRPr="006A4403">
        <w:rPr>
          <w:noProof/>
        </w:rPr>
        <w:t>Subparagraph 9.4(2)(f)(i)</w:t>
      </w:r>
    </w:p>
    <w:p w14:paraId="7878CE8B" w14:textId="77777777" w:rsidR="000E71DE" w:rsidRPr="006A4403" w:rsidRDefault="000E71DE" w:rsidP="000E71DE">
      <w:pPr>
        <w:pStyle w:val="Item"/>
      </w:pPr>
      <w:r w:rsidRPr="006A4403">
        <w:t>Omit “distinguishing”, substitute “</w:t>
      </w:r>
      <w:bookmarkStart w:id="316" w:name="_Hlk121833089"/>
      <w:r w:rsidRPr="006A4403">
        <w:t>distinguishing:</w:t>
      </w:r>
      <w:bookmarkEnd w:id="316"/>
      <w:r w:rsidRPr="006A4403">
        <w:t>”.</w:t>
      </w:r>
    </w:p>
    <w:p w14:paraId="4D989A83" w14:textId="77777777" w:rsidR="000E71DE" w:rsidRPr="006A4403" w:rsidRDefault="004B0AB6" w:rsidP="000E71DE">
      <w:pPr>
        <w:pStyle w:val="ItemHead"/>
      </w:pPr>
      <w:r>
        <w:lastRenderedPageBreak/>
        <w:t>130</w:t>
      </w:r>
      <w:r w:rsidR="00723B2F" w:rsidRPr="006A4403">
        <w:t xml:space="preserve">  </w:t>
      </w:r>
      <w:r w:rsidR="000E71DE" w:rsidRPr="006A4403">
        <w:t>After subparagraph 9.4(2)(f)(viii)</w:t>
      </w:r>
    </w:p>
    <w:p w14:paraId="726C82B5" w14:textId="77777777" w:rsidR="000E71DE" w:rsidRPr="006A4403" w:rsidRDefault="000E71DE" w:rsidP="000E71DE">
      <w:pPr>
        <w:pStyle w:val="Item"/>
      </w:pPr>
      <w:r w:rsidRPr="006A4403">
        <w:t>Insert:</w:t>
      </w:r>
    </w:p>
    <w:p w14:paraId="47DF41E7" w14:textId="77777777" w:rsidR="000E71DE" w:rsidRPr="006A4403" w:rsidRDefault="000E71DE" w:rsidP="000E71DE">
      <w:pPr>
        <w:pStyle w:val="paragraphsub"/>
        <w:rPr>
          <w:rFonts w:eastAsia="Calibri"/>
        </w:rPr>
      </w:pPr>
      <w:bookmarkStart w:id="317" w:name="_Hlk121425409"/>
      <w:bookmarkStart w:id="318" w:name="_Hlk121425440"/>
      <w:r w:rsidRPr="006A4403">
        <w:rPr>
          <w:rFonts w:eastAsia="Calibri"/>
        </w:rPr>
        <w:tab/>
        <w:t>(viiia)</w:t>
      </w:r>
      <w:r w:rsidRPr="006A4403">
        <w:rPr>
          <w:rFonts w:eastAsia="Calibri"/>
        </w:rPr>
        <w:tab/>
        <w:t>the number of consents in relation to which a business consumer statement was given</w:t>
      </w:r>
      <w:r w:rsidRPr="006A4403">
        <w:t xml:space="preserve"> </w:t>
      </w:r>
      <w:r w:rsidRPr="006A4403">
        <w:rPr>
          <w:rFonts w:eastAsia="Calibri"/>
        </w:rPr>
        <w:t>during the reporting period, together with;</w:t>
      </w:r>
    </w:p>
    <w:p w14:paraId="5AF02756" w14:textId="77777777" w:rsidR="000E71DE" w:rsidRPr="006A4403" w:rsidRDefault="000E71DE" w:rsidP="000E71DE">
      <w:pPr>
        <w:pStyle w:val="paragraphsub-sub"/>
      </w:pPr>
      <w:bookmarkStart w:id="319" w:name="_Hlk120787214"/>
      <w:bookmarkStart w:id="320" w:name="_Hlk120788532"/>
      <w:bookmarkEnd w:id="317"/>
      <w:bookmarkEnd w:id="318"/>
      <w:r w:rsidRPr="006A4403">
        <w:tab/>
        <w:t>(A)</w:t>
      </w:r>
      <w:r w:rsidRPr="006A4403">
        <w:tab/>
        <w:t xml:space="preserve">the number of </w:t>
      </w:r>
      <w:r w:rsidRPr="006A4403">
        <w:rPr>
          <w:rFonts w:eastAsia="Calibri"/>
        </w:rPr>
        <w:t xml:space="preserve">such </w:t>
      </w:r>
      <w:r w:rsidRPr="006A4403">
        <w:t>consents whose duration, under rule 4.11 or 4.12C, was more than 12 months;</w:t>
      </w:r>
    </w:p>
    <w:bookmarkEnd w:id="319"/>
    <w:p w14:paraId="4A220813" w14:textId="77777777" w:rsidR="000E71DE" w:rsidRPr="006A4403" w:rsidRDefault="000E71DE" w:rsidP="000E71DE">
      <w:pPr>
        <w:pStyle w:val="paragraphsub-sub"/>
        <w:rPr>
          <w:rFonts w:eastAsia="Calibri"/>
        </w:rPr>
      </w:pPr>
      <w:r w:rsidRPr="006A4403">
        <w:rPr>
          <w:rFonts w:eastAsia="Calibri"/>
        </w:rPr>
        <w:tab/>
        <w:t>(B)</w:t>
      </w:r>
      <w:r w:rsidRPr="006A4403">
        <w:rPr>
          <w:rFonts w:eastAsia="Calibri"/>
        </w:rPr>
        <w:tab/>
        <w:t>the number of times the accredited data recipient disclosed CDR data in accordance with a business consumer disclosure consent;</w:t>
      </w:r>
    </w:p>
    <w:bookmarkEnd w:id="320"/>
    <w:p w14:paraId="169CA815" w14:textId="77777777" w:rsidR="000E71DE" w:rsidRPr="006A4403" w:rsidRDefault="004B0AB6" w:rsidP="000E71DE">
      <w:pPr>
        <w:pStyle w:val="ItemHead"/>
      </w:pPr>
      <w:r>
        <w:t>131</w:t>
      </w:r>
      <w:r w:rsidR="00723B2F" w:rsidRPr="006A4403">
        <w:t xml:space="preserve">  </w:t>
      </w:r>
      <w:r w:rsidR="000E71DE" w:rsidRPr="006A4403">
        <w:t>Subparagraph 9.4(2A)(b)(i)</w:t>
      </w:r>
    </w:p>
    <w:p w14:paraId="12E8E5AE" w14:textId="77777777" w:rsidR="000E71DE" w:rsidRPr="006A4403" w:rsidRDefault="000E71DE" w:rsidP="000E71DE">
      <w:pPr>
        <w:pStyle w:val="Item"/>
      </w:pPr>
      <w:r w:rsidRPr="006A4403">
        <w:t>Repeal the subparagraph, substitute:</w:t>
      </w:r>
    </w:p>
    <w:p w14:paraId="0BBFF298" w14:textId="77777777" w:rsidR="000E71DE" w:rsidRPr="006A4403" w:rsidRDefault="000E71DE" w:rsidP="000E71DE">
      <w:pPr>
        <w:pStyle w:val="paragraphsub"/>
      </w:pPr>
      <w:bookmarkStart w:id="321" w:name="_Hlk121833121"/>
      <w:r w:rsidRPr="006A4403">
        <w:tab/>
        <w:t>(i)</w:t>
      </w:r>
      <w:r w:rsidRPr="006A4403">
        <w:tab/>
        <w:t>described in the notification of the CDR representative under subrule 5.14(4); or</w:t>
      </w:r>
    </w:p>
    <w:bookmarkEnd w:id="321"/>
    <w:p w14:paraId="5DCA7567" w14:textId="77777777" w:rsidR="000E71DE" w:rsidRPr="006A4403" w:rsidRDefault="004B0AB6" w:rsidP="000E71DE">
      <w:pPr>
        <w:pStyle w:val="ItemHead"/>
        <w:rPr>
          <w:noProof/>
        </w:rPr>
      </w:pPr>
      <w:r>
        <w:t>132</w:t>
      </w:r>
      <w:r w:rsidR="00723B2F" w:rsidRPr="006A4403">
        <w:t xml:space="preserve">  </w:t>
      </w:r>
      <w:r w:rsidR="000E71DE" w:rsidRPr="006A4403">
        <w:rPr>
          <w:noProof/>
        </w:rPr>
        <w:t>Paragraph 9.4(2A)(e)</w:t>
      </w:r>
    </w:p>
    <w:p w14:paraId="3B06D57F" w14:textId="77777777" w:rsidR="000E71DE" w:rsidRPr="006A4403" w:rsidRDefault="000E71DE" w:rsidP="000E71DE">
      <w:pPr>
        <w:pStyle w:val="Item"/>
      </w:pPr>
      <w:r w:rsidRPr="006A4403">
        <w:t>Repeal the paragraph, substitute:</w:t>
      </w:r>
    </w:p>
    <w:p w14:paraId="10394441" w14:textId="77777777" w:rsidR="000E71DE" w:rsidRPr="006A4403" w:rsidRDefault="000E71DE" w:rsidP="000E71DE">
      <w:pPr>
        <w:pStyle w:val="paragraph"/>
      </w:pPr>
      <w:bookmarkStart w:id="322" w:name="_Hlk121833156"/>
      <w:r w:rsidRPr="006A4403">
        <w:tab/>
        <w:t>(e)</w:t>
      </w:r>
      <w:r w:rsidRPr="006A4403">
        <w:tab/>
        <w:t>sets out the following:</w:t>
      </w:r>
    </w:p>
    <w:p w14:paraId="7FFC204A" w14:textId="77777777" w:rsidR="000E71DE" w:rsidRPr="006A4403" w:rsidRDefault="000E71DE" w:rsidP="000E71DE">
      <w:pPr>
        <w:pStyle w:val="paragraphsub"/>
      </w:pPr>
      <w:r w:rsidRPr="006A4403">
        <w:tab/>
        <w:t>(i)</w:t>
      </w:r>
      <w:r w:rsidRPr="006A4403">
        <w:tab/>
        <w:t>the number of consumer data requests made by the accredited data recipient on behalf of the CDR representative during the reporting period;</w:t>
      </w:r>
    </w:p>
    <w:p w14:paraId="066FBD4F" w14:textId="77777777" w:rsidR="000E71DE" w:rsidRPr="006A4403" w:rsidRDefault="000E71DE" w:rsidP="000E71DE">
      <w:pPr>
        <w:pStyle w:val="paragraphsub"/>
      </w:pPr>
      <w:bookmarkStart w:id="323" w:name="_Hlk121403605"/>
      <w:r w:rsidRPr="006A4403">
        <w:tab/>
        <w:t>(ii)</w:t>
      </w:r>
      <w:r w:rsidRPr="006A4403">
        <w:tab/>
        <w:t>the number of consumer data requests made by the CDR representative to the CDR representative principal during the reporting period;</w:t>
      </w:r>
    </w:p>
    <w:p w14:paraId="07BE2E15" w14:textId="77777777" w:rsidR="000E71DE" w:rsidRPr="006A4403" w:rsidRDefault="000E71DE" w:rsidP="000E71DE">
      <w:pPr>
        <w:pStyle w:val="paragraphsub"/>
      </w:pPr>
      <w:r w:rsidRPr="006A4403">
        <w:tab/>
      </w:r>
      <w:bookmarkStart w:id="324" w:name="_Hlk121403528"/>
      <w:bookmarkStart w:id="325" w:name="_Hlk120788897"/>
      <w:bookmarkEnd w:id="323"/>
      <w:r w:rsidRPr="006A4403">
        <w:t>(iii)</w:t>
      </w:r>
      <w:r w:rsidRPr="006A4403">
        <w:tab/>
        <w:t>the number of consumer data requests that the CDR representative received from an accredited person on behalf of a CDR consumer during the reporting period;</w:t>
      </w:r>
    </w:p>
    <w:p w14:paraId="25FA9FD1" w14:textId="77777777" w:rsidR="000E71DE" w:rsidRPr="006A4403" w:rsidRDefault="000E71DE" w:rsidP="000E71DE">
      <w:pPr>
        <w:pStyle w:val="paragraphsub"/>
      </w:pPr>
      <w:r w:rsidRPr="006A4403">
        <w:tab/>
        <w:t>(iv)</w:t>
      </w:r>
      <w:r w:rsidRPr="006A4403">
        <w:tab/>
      </w:r>
      <w:bookmarkEnd w:id="324"/>
      <w:r w:rsidRPr="006A4403">
        <w:t>the number of times the CDR representative disclosed consumer data to an accredited person in response to such a consumer data request during the reporting period;</w:t>
      </w:r>
    </w:p>
    <w:bookmarkEnd w:id="325"/>
    <w:p w14:paraId="1AD1D3A5" w14:textId="77777777" w:rsidR="000E71DE" w:rsidRPr="006A4403" w:rsidRDefault="000E71DE" w:rsidP="000E71DE">
      <w:pPr>
        <w:pStyle w:val="paragraphsub"/>
      </w:pPr>
      <w:r w:rsidRPr="006A4403">
        <w:tab/>
        <w:t>(v)</w:t>
      </w:r>
      <w:r w:rsidRPr="006A4403">
        <w:tab/>
        <w:t>the proportion of CDR consumers who, at the date of the report, had exercised the election to delete, by reference to each brand of the CDR representative;</w:t>
      </w:r>
    </w:p>
    <w:p w14:paraId="7EB115B0" w14:textId="77777777" w:rsidR="000E71DE" w:rsidRPr="006A4403" w:rsidRDefault="000E71DE" w:rsidP="000E71DE">
      <w:pPr>
        <w:pStyle w:val="paragraphsub"/>
      </w:pPr>
      <w:r w:rsidRPr="006A4403">
        <w:tab/>
        <w:t>(vi)</w:t>
      </w:r>
      <w:r w:rsidRPr="006A4403">
        <w:tab/>
        <w:t>the total number of CDR consumers the CDR representative provided goods or services to using CDR data during the reporting period;</w:t>
      </w:r>
    </w:p>
    <w:p w14:paraId="6A99FC58" w14:textId="77777777" w:rsidR="000E71DE" w:rsidRPr="006A4403" w:rsidRDefault="000E71DE" w:rsidP="000E71DE">
      <w:pPr>
        <w:pStyle w:val="paragraphsub"/>
      </w:pPr>
      <w:r w:rsidRPr="006A4403">
        <w:rPr>
          <w:rFonts w:eastAsia="Calibri"/>
        </w:rPr>
        <w:tab/>
        <w:t>(vii)</w:t>
      </w:r>
      <w:r w:rsidRPr="006A4403">
        <w:rPr>
          <w:rFonts w:eastAsia="Calibri"/>
        </w:rPr>
        <w:tab/>
        <w:t xml:space="preserve">the number of </w:t>
      </w:r>
      <w:r w:rsidRPr="006A4403">
        <w:t xml:space="preserve">consents the CDR representative received from CDR consumers </w:t>
      </w:r>
      <w:r w:rsidRPr="006A4403">
        <w:rPr>
          <w:rFonts w:eastAsia="Calibri"/>
        </w:rPr>
        <w:t>during the reporting period</w:t>
      </w:r>
      <w:r w:rsidRPr="006A4403">
        <w:t xml:space="preserve"> to disclose CDR data to trusted advisers;</w:t>
      </w:r>
    </w:p>
    <w:p w14:paraId="30729C1A" w14:textId="77777777" w:rsidR="000E71DE" w:rsidRPr="006A4403" w:rsidRDefault="000E71DE" w:rsidP="000E71DE">
      <w:pPr>
        <w:pStyle w:val="paragraphsub"/>
      </w:pPr>
      <w:r w:rsidRPr="006A4403">
        <w:tab/>
        <w:t>(viii)</w:t>
      </w:r>
      <w:r w:rsidRPr="006A4403">
        <w:tab/>
        <w:t>for each class of trusted advisers—the number of trusted advisers to whom CDR data was disclosed by the CDR representative during the reporting period;</w:t>
      </w:r>
    </w:p>
    <w:p w14:paraId="37DB6D02" w14:textId="77777777" w:rsidR="000E71DE" w:rsidRPr="006A4403" w:rsidRDefault="000E71DE" w:rsidP="000E71DE">
      <w:pPr>
        <w:pStyle w:val="paragraphsub"/>
        <w:rPr>
          <w:rFonts w:eastAsia="Calibri"/>
        </w:rPr>
      </w:pPr>
      <w:r w:rsidRPr="006A4403">
        <w:rPr>
          <w:rFonts w:eastAsia="Calibri"/>
        </w:rPr>
        <w:tab/>
        <w:t>(ix)</w:t>
      </w:r>
      <w:r w:rsidRPr="006A4403">
        <w:rPr>
          <w:rFonts w:eastAsia="Calibri"/>
        </w:rPr>
        <w:tab/>
        <w:t xml:space="preserve">the number of insight disclosure </w:t>
      </w:r>
      <w:r w:rsidRPr="006A4403">
        <w:t xml:space="preserve">consents the CDR representative received from CDR consumers </w:t>
      </w:r>
      <w:r w:rsidRPr="006A4403">
        <w:rPr>
          <w:rFonts w:eastAsia="Calibri"/>
        </w:rPr>
        <w:t>during the reporting period.</w:t>
      </w:r>
    </w:p>
    <w:bookmarkEnd w:id="322"/>
    <w:p w14:paraId="77F1BE37" w14:textId="77777777" w:rsidR="000E71DE" w:rsidRPr="006A4403" w:rsidRDefault="004B0AB6" w:rsidP="000E71DE">
      <w:pPr>
        <w:pStyle w:val="ItemHead"/>
      </w:pPr>
      <w:r>
        <w:t>133</w:t>
      </w:r>
      <w:r w:rsidR="00723B2F" w:rsidRPr="006A4403">
        <w:t xml:space="preserve">  </w:t>
      </w:r>
      <w:r w:rsidR="000E71DE" w:rsidRPr="006A4403">
        <w:t>At the end of rule 9.4</w:t>
      </w:r>
    </w:p>
    <w:p w14:paraId="101B31AE" w14:textId="77777777" w:rsidR="000E71DE" w:rsidRPr="006A4403" w:rsidRDefault="000E71DE" w:rsidP="000E71DE">
      <w:pPr>
        <w:pStyle w:val="Item"/>
      </w:pPr>
      <w:r w:rsidRPr="006A4403">
        <w:t>Add:</w:t>
      </w:r>
    </w:p>
    <w:p w14:paraId="7E4D90B0" w14:textId="77777777" w:rsidR="000E71DE" w:rsidRPr="006A4403" w:rsidRDefault="000E71DE" w:rsidP="000E71DE">
      <w:pPr>
        <w:pStyle w:val="subsection"/>
      </w:pPr>
      <w:bookmarkStart w:id="326" w:name="_Hlk121428082"/>
      <w:r w:rsidRPr="006A4403">
        <w:tab/>
        <w:t>(6)</w:t>
      </w:r>
      <w:r w:rsidRPr="006A4403">
        <w:tab/>
        <w:t>The information referred to in the following provisions is not required for a reporting period before 1 January 2024:</w:t>
      </w:r>
    </w:p>
    <w:p w14:paraId="00B49DC9" w14:textId="77777777" w:rsidR="000E71DE" w:rsidRPr="006A4403" w:rsidRDefault="000E71DE" w:rsidP="000E71DE">
      <w:pPr>
        <w:pStyle w:val="paragraph"/>
      </w:pPr>
      <w:r w:rsidRPr="006A4403">
        <w:tab/>
        <w:t>(a)</w:t>
      </w:r>
      <w:r w:rsidRPr="006A4403">
        <w:tab/>
        <w:t>subparagraph (2)(f)(viiia);</w:t>
      </w:r>
    </w:p>
    <w:p w14:paraId="2C15E696" w14:textId="77777777" w:rsidR="000E71DE" w:rsidRPr="006A4403" w:rsidRDefault="000E71DE" w:rsidP="000E71DE">
      <w:pPr>
        <w:pStyle w:val="paragraph"/>
      </w:pPr>
      <w:r w:rsidRPr="006A4403">
        <w:lastRenderedPageBreak/>
        <w:tab/>
        <w:t>(b)</w:t>
      </w:r>
      <w:r w:rsidRPr="006A4403">
        <w:tab/>
        <w:t>subparagraphs (2A)(e)(iii), (iv), (vii), (viii) and (ix).</w:t>
      </w:r>
    </w:p>
    <w:bookmarkEnd w:id="326"/>
    <w:p w14:paraId="5F3BD5AB" w14:textId="77777777" w:rsidR="000E71DE" w:rsidRPr="006A4403" w:rsidRDefault="004B0AB6" w:rsidP="000E71DE">
      <w:pPr>
        <w:pStyle w:val="ItemHead"/>
      </w:pPr>
      <w:r>
        <w:t>134</w:t>
      </w:r>
      <w:r w:rsidR="00723B2F" w:rsidRPr="006A4403">
        <w:t xml:space="preserve">  </w:t>
      </w:r>
      <w:r w:rsidR="000E71DE" w:rsidRPr="006A4403">
        <w:t>Subrule 9.5(1)</w:t>
      </w:r>
    </w:p>
    <w:p w14:paraId="1580E9E9" w14:textId="77777777" w:rsidR="000E71DE" w:rsidRPr="006A4403" w:rsidRDefault="000E71DE" w:rsidP="000E71DE">
      <w:pPr>
        <w:pStyle w:val="Item"/>
      </w:pPr>
      <w:r w:rsidRPr="006A4403">
        <w:t>Omit “(d) and (f)”, substitute “</w:t>
      </w:r>
      <w:bookmarkStart w:id="327" w:name="_Hlk121833636"/>
      <w:r w:rsidRPr="006A4403">
        <w:t>(c), (d), (f) and (fa)</w:t>
      </w:r>
      <w:bookmarkEnd w:id="327"/>
      <w:r w:rsidRPr="006A4403">
        <w:t>”.</w:t>
      </w:r>
    </w:p>
    <w:p w14:paraId="0D9A5748" w14:textId="77777777" w:rsidR="000E71DE" w:rsidRPr="006A4403" w:rsidRDefault="004B0AB6" w:rsidP="000E71DE">
      <w:pPr>
        <w:pStyle w:val="ItemHead"/>
        <w:rPr>
          <w:noProof/>
        </w:rPr>
      </w:pPr>
      <w:r>
        <w:t>135</w:t>
      </w:r>
      <w:r w:rsidR="00723B2F" w:rsidRPr="006A4403">
        <w:t xml:space="preserve">  </w:t>
      </w:r>
      <w:r w:rsidR="000E71DE" w:rsidRPr="006A4403">
        <w:rPr>
          <w:noProof/>
        </w:rPr>
        <w:t>Paragraphs 9.5(2)(a) and (b)</w:t>
      </w:r>
    </w:p>
    <w:p w14:paraId="75130B24" w14:textId="77777777" w:rsidR="000E71DE" w:rsidRPr="006A4403" w:rsidRDefault="000E71DE" w:rsidP="000E71DE">
      <w:pPr>
        <w:pStyle w:val="Item"/>
      </w:pPr>
      <w:r w:rsidRPr="006A4403">
        <w:t>Repeal the paragraphs, substitute:</w:t>
      </w:r>
    </w:p>
    <w:p w14:paraId="769F67CD" w14:textId="77777777" w:rsidR="000E71DE" w:rsidRPr="006A4403" w:rsidRDefault="000E71DE" w:rsidP="000E71DE">
      <w:pPr>
        <w:pStyle w:val="paragraph"/>
      </w:pPr>
      <w:bookmarkStart w:id="328" w:name="_Hlk121833661"/>
      <w:r w:rsidRPr="006A4403">
        <w:tab/>
        <w:t>(a)</w:t>
      </w:r>
      <w:r w:rsidRPr="006A4403">
        <w:tab/>
        <w:t>paragraphs 9.3(2)(a), (b), (c), (d), (da), (e), (ea), (eb), (ec), (ed), (ee), (ef), (eg), (f) and (m); and</w:t>
      </w:r>
    </w:p>
    <w:p w14:paraId="5C5E09E6" w14:textId="77777777" w:rsidR="000E71DE" w:rsidRPr="006A4403" w:rsidRDefault="000E71DE" w:rsidP="000E71DE">
      <w:pPr>
        <w:pStyle w:val="paragraph"/>
      </w:pPr>
      <w:r w:rsidRPr="006A4403">
        <w:tab/>
        <w:t>(b)</w:t>
      </w:r>
      <w:r w:rsidRPr="006A4403">
        <w:tab/>
        <w:t>paragraphs 9.3(2A)(d), (e), (f), (g), (ga), (h), (ha), (hb), (hc), (i) and (o);</w:t>
      </w:r>
    </w:p>
    <w:bookmarkEnd w:id="328"/>
    <w:p w14:paraId="1EAEA216" w14:textId="77777777" w:rsidR="000E71DE" w:rsidRPr="006A4403" w:rsidRDefault="004B0AB6" w:rsidP="000E71DE">
      <w:pPr>
        <w:pStyle w:val="ItemHead"/>
      </w:pPr>
      <w:r>
        <w:t>136</w:t>
      </w:r>
      <w:r w:rsidR="00723B2F" w:rsidRPr="006A4403">
        <w:t xml:space="preserve">  </w:t>
      </w:r>
      <w:r w:rsidR="000E71DE" w:rsidRPr="006A4403">
        <w:t>Subrule 9.7(2)</w:t>
      </w:r>
    </w:p>
    <w:p w14:paraId="2C8CDE31" w14:textId="77777777" w:rsidR="000E71DE" w:rsidRPr="006A4403" w:rsidRDefault="000E71DE" w:rsidP="000E71DE">
      <w:pPr>
        <w:pStyle w:val="Item"/>
      </w:pPr>
      <w:r w:rsidRPr="006A4403">
        <w:t>Omit “CDR participant”, substitute “accredited data recipient”.</w:t>
      </w:r>
    </w:p>
    <w:p w14:paraId="3334BA1F" w14:textId="77777777" w:rsidR="00F9472A" w:rsidRPr="006A4403" w:rsidRDefault="004B0AB6" w:rsidP="00F9472A">
      <w:pPr>
        <w:pStyle w:val="ItemHead"/>
      </w:pPr>
      <w:r>
        <w:t>137</w:t>
      </w:r>
      <w:r w:rsidR="00723B2F" w:rsidRPr="006A4403">
        <w:t xml:space="preserve">  </w:t>
      </w:r>
      <w:r w:rsidR="00F9472A" w:rsidRPr="006A4403">
        <w:t>Rule 9.8</w:t>
      </w:r>
    </w:p>
    <w:p w14:paraId="08D4F335" w14:textId="77777777" w:rsidR="00F9472A" w:rsidRPr="006A4403" w:rsidRDefault="00F9472A" w:rsidP="00F9472A">
      <w:pPr>
        <w:pStyle w:val="Item"/>
      </w:pPr>
      <w:r w:rsidRPr="006A4403">
        <w:t>Repeal the rule, substitute:</w:t>
      </w:r>
    </w:p>
    <w:p w14:paraId="6C82F7B7" w14:textId="77777777" w:rsidR="00F9472A" w:rsidRPr="006A4403" w:rsidRDefault="00F9472A" w:rsidP="00F9472A">
      <w:pPr>
        <w:pStyle w:val="ActHead5"/>
      </w:pPr>
      <w:bookmarkStart w:id="329" w:name="_Toc121497576"/>
      <w:bookmarkStart w:id="330" w:name="_Toc135295326"/>
      <w:bookmarkStart w:id="331" w:name="_Hlk121833732"/>
      <w:r w:rsidRPr="006A4403">
        <w:t>9.8  Civil penalty provisions</w:t>
      </w:r>
      <w:bookmarkEnd w:id="329"/>
      <w:bookmarkEnd w:id="330"/>
    </w:p>
    <w:p w14:paraId="776621E9" w14:textId="77777777" w:rsidR="00F9472A" w:rsidRPr="006A4403" w:rsidRDefault="00F9472A" w:rsidP="00F9472A">
      <w:pPr>
        <w:pStyle w:val="subsection"/>
      </w:pPr>
      <w:r w:rsidRPr="006A4403">
        <w:tab/>
      </w:r>
      <w:r w:rsidRPr="006A4403">
        <w:tab/>
        <w:t>For section 56BL of the Act, the provisions of these rules listed in the following table are civil penalty provisions (within the meaning of the Regulatory Powers Act):</w:t>
      </w:r>
    </w:p>
    <w:p w14:paraId="242FE05B" w14:textId="77777777" w:rsidR="00F9472A" w:rsidRPr="006A4403" w:rsidRDefault="00F9472A" w:rsidP="00F9472A">
      <w:pPr>
        <w:pStyle w:val="paragraph"/>
      </w:pPr>
      <w:bookmarkStart w:id="332" w:name="_Hlk121338576"/>
    </w:p>
    <w:tbl>
      <w:tblPr>
        <w:tblStyle w:val="TableGrid"/>
        <w:tblW w:w="0" w:type="auto"/>
        <w:tblInd w:w="1644" w:type="dxa"/>
        <w:tblLook w:val="04A0" w:firstRow="1" w:lastRow="0" w:firstColumn="1" w:lastColumn="0" w:noHBand="0" w:noVBand="1"/>
      </w:tblPr>
      <w:tblGrid>
        <w:gridCol w:w="1369"/>
        <w:gridCol w:w="2647"/>
      </w:tblGrid>
      <w:tr w:rsidR="006A4403" w:rsidRPr="006A4403" w14:paraId="60906073" w14:textId="77777777" w:rsidTr="00E75DE0">
        <w:tc>
          <w:tcPr>
            <w:tcW w:w="1369" w:type="dxa"/>
            <w:tcBorders>
              <w:top w:val="single" w:sz="12" w:space="0" w:color="auto"/>
              <w:left w:val="single" w:sz="8" w:space="0" w:color="auto"/>
              <w:bottom w:val="single" w:sz="12" w:space="0" w:color="auto"/>
              <w:right w:val="single" w:sz="8" w:space="0" w:color="auto"/>
            </w:tcBorders>
          </w:tcPr>
          <w:bookmarkEnd w:id="332"/>
          <w:p w14:paraId="5BBECE83" w14:textId="77777777" w:rsidR="00E016D8" w:rsidRPr="006A4403" w:rsidRDefault="00E016D8" w:rsidP="00E75DE0">
            <w:pPr>
              <w:pStyle w:val="paragraph"/>
              <w:tabs>
                <w:tab w:val="clear" w:pos="1531"/>
              </w:tabs>
              <w:ind w:left="0" w:firstLine="0"/>
              <w:rPr>
                <w:b/>
              </w:rPr>
            </w:pPr>
            <w:r w:rsidRPr="006A4403">
              <w:rPr>
                <w:b/>
              </w:rPr>
              <w:t>Item</w:t>
            </w:r>
          </w:p>
        </w:tc>
        <w:tc>
          <w:tcPr>
            <w:tcW w:w="2647" w:type="dxa"/>
            <w:tcBorders>
              <w:top w:val="single" w:sz="12" w:space="0" w:color="auto"/>
              <w:left w:val="single" w:sz="8" w:space="0" w:color="auto"/>
              <w:bottom w:val="single" w:sz="12" w:space="0" w:color="auto"/>
              <w:right w:val="single" w:sz="8" w:space="0" w:color="auto"/>
            </w:tcBorders>
          </w:tcPr>
          <w:p w14:paraId="42054E0F" w14:textId="77777777" w:rsidR="00E016D8" w:rsidRPr="006A4403" w:rsidRDefault="00E016D8" w:rsidP="00E75DE0">
            <w:pPr>
              <w:pStyle w:val="paragraph"/>
              <w:tabs>
                <w:tab w:val="clear" w:pos="1531"/>
              </w:tabs>
              <w:ind w:left="0" w:firstLine="0"/>
              <w:rPr>
                <w:b/>
              </w:rPr>
            </w:pPr>
            <w:r w:rsidRPr="006A4403">
              <w:rPr>
                <w:b/>
              </w:rPr>
              <w:t>Civil penalty provision</w:t>
            </w:r>
          </w:p>
        </w:tc>
      </w:tr>
      <w:tr w:rsidR="006A4403" w:rsidRPr="006A4403" w14:paraId="34E92FE6" w14:textId="77777777" w:rsidTr="00E75DE0">
        <w:tc>
          <w:tcPr>
            <w:tcW w:w="1369" w:type="dxa"/>
            <w:tcBorders>
              <w:top w:val="single" w:sz="12" w:space="0" w:color="auto"/>
            </w:tcBorders>
          </w:tcPr>
          <w:p w14:paraId="1DD1152A" w14:textId="77777777" w:rsidR="00E016D8" w:rsidRPr="006A4403" w:rsidRDefault="00F27623" w:rsidP="00E75DE0">
            <w:pPr>
              <w:pStyle w:val="paragraph"/>
              <w:tabs>
                <w:tab w:val="clear" w:pos="1531"/>
              </w:tabs>
              <w:ind w:left="0" w:firstLine="0"/>
            </w:pPr>
            <w:r>
              <w:rPr>
                <w:noProof/>
              </w:rPr>
              <w:t>1</w:t>
            </w:r>
          </w:p>
        </w:tc>
        <w:tc>
          <w:tcPr>
            <w:tcW w:w="2647" w:type="dxa"/>
            <w:tcBorders>
              <w:top w:val="single" w:sz="12" w:space="0" w:color="auto"/>
            </w:tcBorders>
          </w:tcPr>
          <w:p w14:paraId="7925A99F" w14:textId="77777777" w:rsidR="00E016D8" w:rsidRPr="006A4403" w:rsidRDefault="00E016D8" w:rsidP="00E75DE0">
            <w:pPr>
              <w:pStyle w:val="paragraph"/>
              <w:tabs>
                <w:tab w:val="clear" w:pos="1531"/>
              </w:tabs>
              <w:ind w:left="0" w:firstLine="0"/>
            </w:pPr>
            <w:r w:rsidRPr="006A4403">
              <w:t>subrule 1.10A(4)</w:t>
            </w:r>
          </w:p>
        </w:tc>
      </w:tr>
      <w:tr w:rsidR="006A4403" w:rsidRPr="006A4403" w14:paraId="684C3BD2" w14:textId="77777777" w:rsidTr="00E75DE0">
        <w:tc>
          <w:tcPr>
            <w:tcW w:w="1369" w:type="dxa"/>
          </w:tcPr>
          <w:p w14:paraId="70DF5D33" w14:textId="77777777" w:rsidR="00E016D8" w:rsidRPr="006A4403" w:rsidRDefault="00F27623" w:rsidP="00E75DE0">
            <w:pPr>
              <w:pStyle w:val="paragraph"/>
              <w:tabs>
                <w:tab w:val="clear" w:pos="1531"/>
              </w:tabs>
              <w:ind w:left="0" w:firstLine="0"/>
            </w:pPr>
            <w:r>
              <w:rPr>
                <w:noProof/>
              </w:rPr>
              <w:t>2</w:t>
            </w:r>
          </w:p>
        </w:tc>
        <w:tc>
          <w:tcPr>
            <w:tcW w:w="2647" w:type="dxa"/>
          </w:tcPr>
          <w:p w14:paraId="440754C7" w14:textId="77777777" w:rsidR="00E016D8" w:rsidRPr="006A4403" w:rsidRDefault="00E016D8" w:rsidP="00E75DE0">
            <w:pPr>
              <w:pStyle w:val="paragraph"/>
              <w:tabs>
                <w:tab w:val="clear" w:pos="1531"/>
              </w:tabs>
              <w:ind w:left="0" w:firstLine="0"/>
            </w:pPr>
            <w:r w:rsidRPr="006A4403">
              <w:t>subrule 1.10A(12)</w:t>
            </w:r>
          </w:p>
        </w:tc>
      </w:tr>
      <w:tr w:rsidR="006A4403" w:rsidRPr="006A4403" w14:paraId="2BCB9BE6" w14:textId="77777777" w:rsidTr="00E75DE0">
        <w:tc>
          <w:tcPr>
            <w:tcW w:w="1369" w:type="dxa"/>
          </w:tcPr>
          <w:p w14:paraId="4F9FC5D9" w14:textId="77777777" w:rsidR="00E016D8" w:rsidRPr="006A4403" w:rsidRDefault="00F27623" w:rsidP="00E75DE0">
            <w:pPr>
              <w:pStyle w:val="paragraph"/>
              <w:tabs>
                <w:tab w:val="clear" w:pos="1531"/>
              </w:tabs>
              <w:ind w:left="0" w:firstLine="0"/>
              <w:rPr>
                <w:noProof/>
              </w:rPr>
            </w:pPr>
            <w:r>
              <w:rPr>
                <w:noProof/>
              </w:rPr>
              <w:t>3</w:t>
            </w:r>
          </w:p>
        </w:tc>
        <w:tc>
          <w:tcPr>
            <w:tcW w:w="2647" w:type="dxa"/>
          </w:tcPr>
          <w:p w14:paraId="3F75F883" w14:textId="77777777" w:rsidR="00E016D8" w:rsidRPr="006A4403" w:rsidRDefault="00E016D8" w:rsidP="00E75DE0">
            <w:pPr>
              <w:pStyle w:val="paragraph"/>
              <w:tabs>
                <w:tab w:val="clear" w:pos="1531"/>
              </w:tabs>
              <w:ind w:left="0" w:firstLine="0"/>
            </w:pPr>
            <w:r w:rsidRPr="006A4403">
              <w:t>subrule 1.10A(14)</w:t>
            </w:r>
          </w:p>
        </w:tc>
      </w:tr>
      <w:tr w:rsidR="006A4403" w:rsidRPr="006A4403" w14:paraId="5CAE73A9" w14:textId="77777777" w:rsidTr="00E75DE0">
        <w:tc>
          <w:tcPr>
            <w:tcW w:w="1369" w:type="dxa"/>
          </w:tcPr>
          <w:p w14:paraId="3D288605" w14:textId="77777777" w:rsidR="00E016D8" w:rsidRPr="006A4403" w:rsidRDefault="00F27623" w:rsidP="00E75DE0">
            <w:pPr>
              <w:pStyle w:val="paragraph"/>
              <w:tabs>
                <w:tab w:val="clear" w:pos="1531"/>
              </w:tabs>
              <w:ind w:left="0" w:firstLine="0"/>
            </w:pPr>
            <w:r>
              <w:rPr>
                <w:noProof/>
              </w:rPr>
              <w:t>4</w:t>
            </w:r>
          </w:p>
        </w:tc>
        <w:tc>
          <w:tcPr>
            <w:tcW w:w="2647" w:type="dxa"/>
          </w:tcPr>
          <w:p w14:paraId="56AA41E3" w14:textId="77777777" w:rsidR="00E016D8" w:rsidRPr="006A4403" w:rsidRDefault="00E016D8" w:rsidP="00E75DE0">
            <w:pPr>
              <w:pStyle w:val="paragraph"/>
              <w:tabs>
                <w:tab w:val="clear" w:pos="1531"/>
              </w:tabs>
              <w:ind w:left="0" w:firstLine="0"/>
            </w:pPr>
            <w:r w:rsidRPr="006A4403">
              <w:t>subrule 1.12(1)</w:t>
            </w:r>
          </w:p>
        </w:tc>
      </w:tr>
      <w:tr w:rsidR="006A4403" w:rsidRPr="006A4403" w14:paraId="6ECC9F70" w14:textId="77777777" w:rsidTr="00E75DE0">
        <w:tc>
          <w:tcPr>
            <w:tcW w:w="1369" w:type="dxa"/>
          </w:tcPr>
          <w:p w14:paraId="2B97FE33" w14:textId="77777777" w:rsidR="00E016D8" w:rsidRPr="006A4403" w:rsidRDefault="00F27623" w:rsidP="00E75DE0">
            <w:pPr>
              <w:pStyle w:val="paragraph"/>
              <w:tabs>
                <w:tab w:val="clear" w:pos="1531"/>
              </w:tabs>
              <w:ind w:left="0" w:firstLine="0"/>
            </w:pPr>
            <w:r>
              <w:rPr>
                <w:noProof/>
              </w:rPr>
              <w:t>5</w:t>
            </w:r>
          </w:p>
        </w:tc>
        <w:tc>
          <w:tcPr>
            <w:tcW w:w="2647" w:type="dxa"/>
          </w:tcPr>
          <w:p w14:paraId="00FFC246" w14:textId="77777777" w:rsidR="00E016D8" w:rsidRPr="006A4403" w:rsidRDefault="00E016D8" w:rsidP="00E75DE0">
            <w:pPr>
              <w:pStyle w:val="paragraph"/>
              <w:tabs>
                <w:tab w:val="clear" w:pos="1531"/>
              </w:tabs>
              <w:ind w:left="0" w:firstLine="0"/>
            </w:pPr>
            <w:r w:rsidRPr="006A4403">
              <w:t>subrule 1.13(1)</w:t>
            </w:r>
          </w:p>
        </w:tc>
      </w:tr>
      <w:tr w:rsidR="006A4403" w:rsidRPr="006A4403" w14:paraId="2C0B6F10" w14:textId="77777777" w:rsidTr="00E75DE0">
        <w:tc>
          <w:tcPr>
            <w:tcW w:w="1369" w:type="dxa"/>
          </w:tcPr>
          <w:p w14:paraId="3B0D8BBE" w14:textId="77777777" w:rsidR="00E016D8" w:rsidRPr="006A4403" w:rsidRDefault="00F27623" w:rsidP="00E75DE0">
            <w:pPr>
              <w:pStyle w:val="paragraph"/>
              <w:tabs>
                <w:tab w:val="clear" w:pos="1531"/>
              </w:tabs>
              <w:ind w:left="0" w:firstLine="0"/>
            </w:pPr>
            <w:r>
              <w:rPr>
                <w:noProof/>
              </w:rPr>
              <w:t>6</w:t>
            </w:r>
          </w:p>
        </w:tc>
        <w:tc>
          <w:tcPr>
            <w:tcW w:w="2647" w:type="dxa"/>
          </w:tcPr>
          <w:p w14:paraId="11B6C760" w14:textId="77777777" w:rsidR="00E016D8" w:rsidRPr="006A4403" w:rsidRDefault="00E016D8" w:rsidP="00E75DE0">
            <w:pPr>
              <w:pStyle w:val="paragraph"/>
              <w:tabs>
                <w:tab w:val="clear" w:pos="1531"/>
              </w:tabs>
              <w:ind w:left="0" w:firstLine="0"/>
            </w:pPr>
            <w:r w:rsidRPr="006A4403">
              <w:t>subrule 1.14(1)</w:t>
            </w:r>
          </w:p>
        </w:tc>
      </w:tr>
      <w:tr w:rsidR="006A4403" w:rsidRPr="006A4403" w14:paraId="672FC776" w14:textId="77777777" w:rsidTr="00E75DE0">
        <w:tc>
          <w:tcPr>
            <w:tcW w:w="1369" w:type="dxa"/>
          </w:tcPr>
          <w:p w14:paraId="4DB093B3" w14:textId="77777777" w:rsidR="00E016D8" w:rsidRPr="006A4403" w:rsidRDefault="00F27623" w:rsidP="00E75DE0">
            <w:pPr>
              <w:pStyle w:val="paragraph"/>
              <w:tabs>
                <w:tab w:val="clear" w:pos="1531"/>
              </w:tabs>
              <w:ind w:left="0" w:firstLine="0"/>
            </w:pPr>
            <w:r>
              <w:rPr>
                <w:noProof/>
              </w:rPr>
              <w:t>7</w:t>
            </w:r>
          </w:p>
        </w:tc>
        <w:tc>
          <w:tcPr>
            <w:tcW w:w="2647" w:type="dxa"/>
          </w:tcPr>
          <w:p w14:paraId="0A1F2088" w14:textId="77777777" w:rsidR="00E016D8" w:rsidRPr="006A4403" w:rsidRDefault="00E016D8" w:rsidP="00E75DE0">
            <w:pPr>
              <w:pStyle w:val="paragraph"/>
              <w:tabs>
                <w:tab w:val="clear" w:pos="1531"/>
              </w:tabs>
              <w:ind w:left="0" w:firstLine="0"/>
            </w:pPr>
            <w:r w:rsidRPr="006A4403">
              <w:t>subrule 1.15(1)</w:t>
            </w:r>
          </w:p>
        </w:tc>
      </w:tr>
      <w:tr w:rsidR="006A4403" w:rsidRPr="006A4403" w14:paraId="7FA0064C" w14:textId="77777777" w:rsidTr="00E75DE0">
        <w:tc>
          <w:tcPr>
            <w:tcW w:w="1369" w:type="dxa"/>
          </w:tcPr>
          <w:p w14:paraId="2F03F3B4" w14:textId="77777777" w:rsidR="00E016D8" w:rsidRPr="006A4403" w:rsidRDefault="00F27623" w:rsidP="00E75DE0">
            <w:pPr>
              <w:pStyle w:val="paragraph"/>
              <w:tabs>
                <w:tab w:val="clear" w:pos="1531"/>
              </w:tabs>
              <w:ind w:left="0" w:firstLine="0"/>
            </w:pPr>
            <w:r>
              <w:rPr>
                <w:noProof/>
              </w:rPr>
              <w:t>8</w:t>
            </w:r>
          </w:p>
        </w:tc>
        <w:tc>
          <w:tcPr>
            <w:tcW w:w="2647" w:type="dxa"/>
          </w:tcPr>
          <w:p w14:paraId="45A90134" w14:textId="77777777" w:rsidR="00E016D8" w:rsidRPr="006A4403" w:rsidRDefault="00E016D8" w:rsidP="00E75DE0">
            <w:pPr>
              <w:pStyle w:val="paragraph"/>
              <w:tabs>
                <w:tab w:val="clear" w:pos="1531"/>
              </w:tabs>
              <w:ind w:left="0" w:firstLine="0"/>
            </w:pPr>
            <w:r w:rsidRPr="006A4403">
              <w:t>subrule 1.15(5)</w:t>
            </w:r>
          </w:p>
        </w:tc>
      </w:tr>
      <w:tr w:rsidR="006A4403" w:rsidRPr="006A4403" w14:paraId="4FFA587E" w14:textId="77777777" w:rsidTr="00E75DE0">
        <w:tc>
          <w:tcPr>
            <w:tcW w:w="1369" w:type="dxa"/>
          </w:tcPr>
          <w:p w14:paraId="391E8CB8" w14:textId="77777777" w:rsidR="00E016D8" w:rsidRPr="006A4403" w:rsidRDefault="00F27623" w:rsidP="00E75DE0">
            <w:pPr>
              <w:pStyle w:val="paragraph"/>
              <w:tabs>
                <w:tab w:val="clear" w:pos="1531"/>
              </w:tabs>
              <w:ind w:left="0" w:firstLine="0"/>
            </w:pPr>
            <w:r>
              <w:rPr>
                <w:noProof/>
              </w:rPr>
              <w:t>9</w:t>
            </w:r>
          </w:p>
        </w:tc>
        <w:tc>
          <w:tcPr>
            <w:tcW w:w="2647" w:type="dxa"/>
          </w:tcPr>
          <w:p w14:paraId="6409331A" w14:textId="77777777" w:rsidR="00E016D8" w:rsidRPr="006A4403" w:rsidRDefault="00E016D8" w:rsidP="00E75DE0">
            <w:pPr>
              <w:pStyle w:val="paragraph"/>
              <w:tabs>
                <w:tab w:val="clear" w:pos="1531"/>
              </w:tabs>
              <w:ind w:left="0" w:firstLine="0"/>
            </w:pPr>
            <w:r w:rsidRPr="006A4403">
              <w:t>subrule 1.15(7)</w:t>
            </w:r>
          </w:p>
        </w:tc>
      </w:tr>
      <w:tr w:rsidR="006A4403" w:rsidRPr="006A4403" w14:paraId="6894C44C" w14:textId="77777777" w:rsidTr="00E75DE0">
        <w:tc>
          <w:tcPr>
            <w:tcW w:w="1369" w:type="dxa"/>
          </w:tcPr>
          <w:p w14:paraId="5221B0C4" w14:textId="77777777" w:rsidR="00E016D8" w:rsidRPr="006A4403" w:rsidRDefault="00F27623" w:rsidP="00E75DE0">
            <w:pPr>
              <w:pStyle w:val="paragraph"/>
              <w:tabs>
                <w:tab w:val="clear" w:pos="1531"/>
              </w:tabs>
              <w:ind w:left="0" w:firstLine="0"/>
            </w:pPr>
            <w:r>
              <w:rPr>
                <w:noProof/>
              </w:rPr>
              <w:t>10</w:t>
            </w:r>
          </w:p>
        </w:tc>
        <w:tc>
          <w:tcPr>
            <w:tcW w:w="2647" w:type="dxa"/>
          </w:tcPr>
          <w:p w14:paraId="7187249E" w14:textId="77777777" w:rsidR="00E016D8" w:rsidRPr="006A4403" w:rsidRDefault="00E016D8" w:rsidP="00E75DE0">
            <w:pPr>
              <w:pStyle w:val="paragraph"/>
              <w:tabs>
                <w:tab w:val="clear" w:pos="1531"/>
              </w:tabs>
              <w:ind w:left="0" w:firstLine="0"/>
            </w:pPr>
            <w:r w:rsidRPr="006A4403">
              <w:t>subrule 1.16(2)</w:t>
            </w:r>
          </w:p>
        </w:tc>
      </w:tr>
      <w:tr w:rsidR="006A4403" w:rsidRPr="006A4403" w14:paraId="474504CC" w14:textId="77777777" w:rsidTr="00E75DE0">
        <w:tc>
          <w:tcPr>
            <w:tcW w:w="1369" w:type="dxa"/>
          </w:tcPr>
          <w:p w14:paraId="2E3B7E0A" w14:textId="77777777" w:rsidR="00E016D8" w:rsidRPr="006A4403" w:rsidRDefault="00F27623" w:rsidP="00E75DE0">
            <w:pPr>
              <w:pStyle w:val="paragraph"/>
              <w:tabs>
                <w:tab w:val="clear" w:pos="1531"/>
              </w:tabs>
              <w:ind w:left="0" w:firstLine="0"/>
            </w:pPr>
            <w:r>
              <w:rPr>
                <w:noProof/>
              </w:rPr>
              <w:t>11</w:t>
            </w:r>
          </w:p>
        </w:tc>
        <w:tc>
          <w:tcPr>
            <w:tcW w:w="2647" w:type="dxa"/>
          </w:tcPr>
          <w:p w14:paraId="3B5F04B9" w14:textId="77777777" w:rsidR="00E016D8" w:rsidRPr="006A4403" w:rsidRDefault="00E016D8" w:rsidP="00E75DE0">
            <w:pPr>
              <w:pStyle w:val="paragraph"/>
              <w:tabs>
                <w:tab w:val="clear" w:pos="1531"/>
              </w:tabs>
              <w:ind w:left="0" w:firstLine="0"/>
            </w:pPr>
            <w:r w:rsidRPr="006A4403">
              <w:t>subrule 1.16(4)</w:t>
            </w:r>
          </w:p>
        </w:tc>
      </w:tr>
      <w:tr w:rsidR="006A4403" w:rsidRPr="006A4403" w14:paraId="23FA58C1" w14:textId="77777777" w:rsidTr="00E75DE0">
        <w:tc>
          <w:tcPr>
            <w:tcW w:w="1369" w:type="dxa"/>
          </w:tcPr>
          <w:p w14:paraId="3DD5ECE9" w14:textId="77777777" w:rsidR="00E016D8" w:rsidRPr="006A4403" w:rsidRDefault="00F27623" w:rsidP="00E75DE0">
            <w:pPr>
              <w:pStyle w:val="paragraph"/>
              <w:tabs>
                <w:tab w:val="clear" w:pos="1531"/>
              </w:tabs>
              <w:ind w:left="0" w:firstLine="0"/>
            </w:pPr>
            <w:r>
              <w:rPr>
                <w:noProof/>
              </w:rPr>
              <w:t>12</w:t>
            </w:r>
          </w:p>
        </w:tc>
        <w:tc>
          <w:tcPr>
            <w:tcW w:w="2647" w:type="dxa"/>
          </w:tcPr>
          <w:p w14:paraId="52EE8893" w14:textId="77777777" w:rsidR="00E016D8" w:rsidRPr="006A4403" w:rsidRDefault="00E016D8" w:rsidP="00E75DE0">
            <w:pPr>
              <w:pStyle w:val="paragraph"/>
              <w:tabs>
                <w:tab w:val="clear" w:pos="1531"/>
              </w:tabs>
              <w:ind w:left="0" w:firstLine="0"/>
            </w:pPr>
            <w:r w:rsidRPr="006A4403">
              <w:t>subrule 1.16A(2)</w:t>
            </w:r>
          </w:p>
        </w:tc>
      </w:tr>
      <w:tr w:rsidR="006A4403" w:rsidRPr="006A4403" w14:paraId="0417F3CA" w14:textId="77777777" w:rsidTr="00E75DE0">
        <w:tc>
          <w:tcPr>
            <w:tcW w:w="1369" w:type="dxa"/>
          </w:tcPr>
          <w:p w14:paraId="562BA66C" w14:textId="77777777" w:rsidR="00E016D8" w:rsidRPr="006A4403" w:rsidRDefault="00F27623" w:rsidP="00E75DE0">
            <w:pPr>
              <w:pStyle w:val="paragraph"/>
              <w:tabs>
                <w:tab w:val="clear" w:pos="1531"/>
              </w:tabs>
              <w:ind w:left="0" w:firstLine="0"/>
            </w:pPr>
            <w:r>
              <w:rPr>
                <w:noProof/>
              </w:rPr>
              <w:t>13</w:t>
            </w:r>
          </w:p>
        </w:tc>
        <w:tc>
          <w:tcPr>
            <w:tcW w:w="2647" w:type="dxa"/>
          </w:tcPr>
          <w:p w14:paraId="639C73EB" w14:textId="77777777" w:rsidR="00E016D8" w:rsidRPr="006A4403" w:rsidRDefault="00E016D8" w:rsidP="00E75DE0">
            <w:pPr>
              <w:pStyle w:val="paragraph"/>
              <w:tabs>
                <w:tab w:val="clear" w:pos="1531"/>
              </w:tabs>
              <w:ind w:left="0" w:firstLine="0"/>
            </w:pPr>
            <w:r w:rsidRPr="006A4403">
              <w:t>subrule 1.16A(4)</w:t>
            </w:r>
          </w:p>
        </w:tc>
      </w:tr>
      <w:tr w:rsidR="006A4403" w:rsidRPr="006A4403" w14:paraId="05C3EF47" w14:textId="77777777" w:rsidTr="00E75DE0">
        <w:tc>
          <w:tcPr>
            <w:tcW w:w="1369" w:type="dxa"/>
          </w:tcPr>
          <w:p w14:paraId="25F031B3" w14:textId="77777777" w:rsidR="00E016D8" w:rsidRPr="006A4403" w:rsidRDefault="00F27623" w:rsidP="00E75DE0">
            <w:pPr>
              <w:pStyle w:val="paragraph"/>
              <w:tabs>
                <w:tab w:val="clear" w:pos="1531"/>
              </w:tabs>
              <w:ind w:left="0" w:firstLine="0"/>
            </w:pPr>
            <w:r>
              <w:rPr>
                <w:noProof/>
              </w:rPr>
              <w:t>14</w:t>
            </w:r>
          </w:p>
        </w:tc>
        <w:tc>
          <w:tcPr>
            <w:tcW w:w="2647" w:type="dxa"/>
          </w:tcPr>
          <w:p w14:paraId="0AAF650A" w14:textId="77777777" w:rsidR="00E016D8" w:rsidRPr="006A4403" w:rsidRDefault="00E016D8" w:rsidP="00E75DE0">
            <w:pPr>
              <w:pStyle w:val="paragraph"/>
              <w:tabs>
                <w:tab w:val="clear" w:pos="1531"/>
              </w:tabs>
              <w:ind w:left="0" w:firstLine="0"/>
            </w:pPr>
            <w:r w:rsidRPr="006A4403">
              <w:t>subrule 1.20(2)</w:t>
            </w:r>
          </w:p>
        </w:tc>
      </w:tr>
      <w:tr w:rsidR="006A4403" w:rsidRPr="006A4403" w14:paraId="3BB53E5C" w14:textId="77777777" w:rsidTr="00E75DE0">
        <w:tc>
          <w:tcPr>
            <w:tcW w:w="1369" w:type="dxa"/>
          </w:tcPr>
          <w:p w14:paraId="48BF2493" w14:textId="77777777" w:rsidR="00E016D8" w:rsidRPr="006A4403" w:rsidRDefault="00F27623" w:rsidP="00E75DE0">
            <w:pPr>
              <w:pStyle w:val="paragraph"/>
              <w:tabs>
                <w:tab w:val="clear" w:pos="1531"/>
              </w:tabs>
              <w:ind w:left="0" w:firstLine="0"/>
            </w:pPr>
            <w:r>
              <w:rPr>
                <w:noProof/>
              </w:rPr>
              <w:t>15</w:t>
            </w:r>
          </w:p>
        </w:tc>
        <w:tc>
          <w:tcPr>
            <w:tcW w:w="2647" w:type="dxa"/>
          </w:tcPr>
          <w:p w14:paraId="67EAF491" w14:textId="77777777" w:rsidR="00E016D8" w:rsidRPr="006A4403" w:rsidRDefault="00E016D8" w:rsidP="00E75DE0">
            <w:pPr>
              <w:pStyle w:val="paragraph"/>
              <w:tabs>
                <w:tab w:val="clear" w:pos="1531"/>
              </w:tabs>
              <w:ind w:left="0" w:firstLine="0"/>
            </w:pPr>
            <w:r w:rsidRPr="006A4403">
              <w:t>subrule 1.22(3)</w:t>
            </w:r>
          </w:p>
        </w:tc>
      </w:tr>
      <w:tr w:rsidR="006A4403" w:rsidRPr="006A4403" w14:paraId="5AEAE5FE" w14:textId="77777777" w:rsidTr="00E75DE0">
        <w:tc>
          <w:tcPr>
            <w:tcW w:w="1369" w:type="dxa"/>
          </w:tcPr>
          <w:p w14:paraId="3326278A" w14:textId="77777777" w:rsidR="00E016D8" w:rsidRPr="006A4403" w:rsidRDefault="00F27623" w:rsidP="00E75DE0">
            <w:pPr>
              <w:pStyle w:val="paragraph"/>
              <w:tabs>
                <w:tab w:val="clear" w:pos="1531"/>
              </w:tabs>
              <w:ind w:left="0" w:firstLine="0"/>
            </w:pPr>
            <w:r>
              <w:rPr>
                <w:noProof/>
              </w:rPr>
              <w:t>16</w:t>
            </w:r>
          </w:p>
        </w:tc>
        <w:tc>
          <w:tcPr>
            <w:tcW w:w="2647" w:type="dxa"/>
          </w:tcPr>
          <w:p w14:paraId="59C7A3FC" w14:textId="77777777" w:rsidR="00E016D8" w:rsidRPr="006A4403" w:rsidRDefault="00E016D8" w:rsidP="00E75DE0">
            <w:pPr>
              <w:pStyle w:val="paragraph"/>
              <w:tabs>
                <w:tab w:val="clear" w:pos="1531"/>
              </w:tabs>
              <w:ind w:left="0" w:firstLine="0"/>
            </w:pPr>
            <w:r w:rsidRPr="006A4403">
              <w:t>subrule 1.22(4)</w:t>
            </w:r>
          </w:p>
        </w:tc>
      </w:tr>
      <w:tr w:rsidR="006A4403" w:rsidRPr="006A4403" w14:paraId="4B57592F" w14:textId="77777777" w:rsidTr="00E75DE0">
        <w:tc>
          <w:tcPr>
            <w:tcW w:w="1369" w:type="dxa"/>
          </w:tcPr>
          <w:p w14:paraId="00862D40" w14:textId="77777777" w:rsidR="00E016D8" w:rsidRPr="006A4403" w:rsidRDefault="00F27623" w:rsidP="00E75DE0">
            <w:pPr>
              <w:pStyle w:val="paragraph"/>
              <w:tabs>
                <w:tab w:val="clear" w:pos="1531"/>
              </w:tabs>
              <w:ind w:left="0" w:firstLine="0"/>
            </w:pPr>
            <w:r>
              <w:rPr>
                <w:noProof/>
              </w:rPr>
              <w:t>17</w:t>
            </w:r>
          </w:p>
        </w:tc>
        <w:tc>
          <w:tcPr>
            <w:tcW w:w="2647" w:type="dxa"/>
          </w:tcPr>
          <w:p w14:paraId="368299E9" w14:textId="77777777" w:rsidR="00E016D8" w:rsidRPr="006A4403" w:rsidRDefault="00E016D8" w:rsidP="00E75DE0">
            <w:pPr>
              <w:pStyle w:val="paragraph"/>
              <w:tabs>
                <w:tab w:val="clear" w:pos="1531"/>
              </w:tabs>
              <w:ind w:left="0" w:firstLine="0"/>
            </w:pPr>
            <w:r w:rsidRPr="006A4403">
              <w:t>subrule 1.22(5)</w:t>
            </w:r>
          </w:p>
        </w:tc>
      </w:tr>
      <w:tr w:rsidR="006A4403" w:rsidRPr="006A4403" w14:paraId="78E2E3A1" w14:textId="77777777" w:rsidTr="00E75DE0">
        <w:tc>
          <w:tcPr>
            <w:tcW w:w="1369" w:type="dxa"/>
          </w:tcPr>
          <w:p w14:paraId="710547B3" w14:textId="77777777" w:rsidR="00E016D8" w:rsidRPr="006A4403" w:rsidRDefault="00F27623" w:rsidP="00E75DE0">
            <w:pPr>
              <w:pStyle w:val="paragraph"/>
              <w:tabs>
                <w:tab w:val="clear" w:pos="1531"/>
              </w:tabs>
              <w:ind w:left="0" w:firstLine="0"/>
            </w:pPr>
            <w:r>
              <w:rPr>
                <w:noProof/>
              </w:rPr>
              <w:t>18</w:t>
            </w:r>
          </w:p>
        </w:tc>
        <w:tc>
          <w:tcPr>
            <w:tcW w:w="2647" w:type="dxa"/>
          </w:tcPr>
          <w:p w14:paraId="729C7FE2" w14:textId="77777777" w:rsidR="00E016D8" w:rsidRPr="006A4403" w:rsidRDefault="00E016D8" w:rsidP="00E75DE0">
            <w:pPr>
              <w:pStyle w:val="paragraph"/>
              <w:tabs>
                <w:tab w:val="clear" w:pos="1531"/>
              </w:tabs>
              <w:ind w:left="0" w:firstLine="0"/>
            </w:pPr>
            <w:r w:rsidRPr="006A4403">
              <w:t>subrule 1.23(4)</w:t>
            </w:r>
          </w:p>
        </w:tc>
      </w:tr>
      <w:tr w:rsidR="006A4403" w:rsidRPr="006A4403" w14:paraId="1B286B98" w14:textId="77777777" w:rsidTr="00E75DE0">
        <w:tc>
          <w:tcPr>
            <w:tcW w:w="1369" w:type="dxa"/>
          </w:tcPr>
          <w:p w14:paraId="3343924C" w14:textId="77777777" w:rsidR="00E016D8" w:rsidRPr="006A4403" w:rsidRDefault="00F27623" w:rsidP="00E75DE0">
            <w:pPr>
              <w:pStyle w:val="paragraph"/>
              <w:tabs>
                <w:tab w:val="clear" w:pos="1531"/>
              </w:tabs>
              <w:ind w:left="0" w:firstLine="0"/>
            </w:pPr>
            <w:r>
              <w:rPr>
                <w:noProof/>
              </w:rPr>
              <w:t>19</w:t>
            </w:r>
          </w:p>
        </w:tc>
        <w:tc>
          <w:tcPr>
            <w:tcW w:w="2647" w:type="dxa"/>
          </w:tcPr>
          <w:p w14:paraId="42503C5C" w14:textId="77777777" w:rsidR="00E016D8" w:rsidRPr="006A4403" w:rsidRDefault="00E016D8" w:rsidP="00E75DE0">
            <w:pPr>
              <w:pStyle w:val="paragraph"/>
              <w:tabs>
                <w:tab w:val="clear" w:pos="1531"/>
              </w:tabs>
              <w:ind w:left="0" w:firstLine="0"/>
            </w:pPr>
            <w:r w:rsidRPr="006A4403">
              <w:t>subrule 1.23(5)</w:t>
            </w:r>
          </w:p>
        </w:tc>
      </w:tr>
      <w:tr w:rsidR="006A4403" w:rsidRPr="006A4403" w14:paraId="2B8165FA" w14:textId="77777777" w:rsidTr="00E75DE0">
        <w:tc>
          <w:tcPr>
            <w:tcW w:w="1369" w:type="dxa"/>
          </w:tcPr>
          <w:p w14:paraId="78B45558" w14:textId="77777777" w:rsidR="00E016D8" w:rsidRPr="006A4403" w:rsidRDefault="00F27623" w:rsidP="00E75DE0">
            <w:pPr>
              <w:pStyle w:val="paragraph"/>
              <w:tabs>
                <w:tab w:val="clear" w:pos="1531"/>
              </w:tabs>
              <w:ind w:left="0" w:firstLine="0"/>
            </w:pPr>
            <w:r>
              <w:rPr>
                <w:noProof/>
              </w:rPr>
              <w:t>20</w:t>
            </w:r>
          </w:p>
        </w:tc>
        <w:tc>
          <w:tcPr>
            <w:tcW w:w="2647" w:type="dxa"/>
          </w:tcPr>
          <w:p w14:paraId="393B1AD6" w14:textId="77777777" w:rsidR="00E016D8" w:rsidRPr="006A4403" w:rsidRDefault="00E016D8" w:rsidP="00E75DE0">
            <w:pPr>
              <w:pStyle w:val="paragraph"/>
              <w:tabs>
                <w:tab w:val="clear" w:pos="1531"/>
              </w:tabs>
              <w:ind w:left="0" w:firstLine="0"/>
            </w:pPr>
            <w:r w:rsidRPr="006A4403">
              <w:t>subrule 1.23(6)</w:t>
            </w:r>
          </w:p>
        </w:tc>
      </w:tr>
      <w:tr w:rsidR="006A4403" w:rsidRPr="006A4403" w14:paraId="50028E38" w14:textId="77777777" w:rsidTr="00E75DE0">
        <w:tc>
          <w:tcPr>
            <w:tcW w:w="1369" w:type="dxa"/>
          </w:tcPr>
          <w:p w14:paraId="1E31E052" w14:textId="77777777" w:rsidR="00E016D8" w:rsidRPr="006A4403" w:rsidRDefault="00F27623" w:rsidP="00E75DE0">
            <w:pPr>
              <w:pStyle w:val="paragraph"/>
              <w:tabs>
                <w:tab w:val="clear" w:pos="1531"/>
              </w:tabs>
              <w:ind w:left="0" w:firstLine="0"/>
            </w:pPr>
            <w:r>
              <w:rPr>
                <w:noProof/>
              </w:rPr>
              <w:t>21</w:t>
            </w:r>
          </w:p>
        </w:tc>
        <w:tc>
          <w:tcPr>
            <w:tcW w:w="2647" w:type="dxa"/>
          </w:tcPr>
          <w:p w14:paraId="7A775B9D" w14:textId="77777777" w:rsidR="00E016D8" w:rsidRPr="006A4403" w:rsidRDefault="00E016D8" w:rsidP="00E75DE0">
            <w:pPr>
              <w:pStyle w:val="paragraph"/>
              <w:tabs>
                <w:tab w:val="clear" w:pos="1531"/>
              </w:tabs>
              <w:ind w:left="0" w:firstLine="0"/>
            </w:pPr>
            <w:r w:rsidRPr="006A4403">
              <w:t>rule 1.25</w:t>
            </w:r>
          </w:p>
        </w:tc>
      </w:tr>
      <w:tr w:rsidR="006A4403" w:rsidRPr="006A4403" w14:paraId="3AFB4D19" w14:textId="77777777" w:rsidTr="00E75DE0">
        <w:tc>
          <w:tcPr>
            <w:tcW w:w="1369" w:type="dxa"/>
          </w:tcPr>
          <w:p w14:paraId="0D16E1AC" w14:textId="77777777" w:rsidR="00E016D8" w:rsidRPr="006A4403" w:rsidRDefault="00F27623" w:rsidP="00E75DE0">
            <w:pPr>
              <w:pStyle w:val="paragraph"/>
              <w:tabs>
                <w:tab w:val="clear" w:pos="1531"/>
              </w:tabs>
              <w:ind w:left="0" w:firstLine="0"/>
            </w:pPr>
            <w:r>
              <w:rPr>
                <w:noProof/>
              </w:rPr>
              <w:t>22</w:t>
            </w:r>
          </w:p>
        </w:tc>
        <w:tc>
          <w:tcPr>
            <w:tcW w:w="2647" w:type="dxa"/>
          </w:tcPr>
          <w:p w14:paraId="41DC4978" w14:textId="77777777" w:rsidR="00E016D8" w:rsidRPr="006A4403" w:rsidRDefault="00E016D8" w:rsidP="00E75DE0">
            <w:pPr>
              <w:pStyle w:val="paragraph"/>
              <w:tabs>
                <w:tab w:val="clear" w:pos="1531"/>
              </w:tabs>
              <w:ind w:left="0" w:firstLine="0"/>
            </w:pPr>
            <w:r w:rsidRPr="006A4403">
              <w:t>subrule 2.4(2A)</w:t>
            </w:r>
          </w:p>
        </w:tc>
      </w:tr>
      <w:tr w:rsidR="006A4403" w:rsidRPr="006A4403" w14:paraId="4E29F3AD" w14:textId="77777777" w:rsidTr="00E75DE0">
        <w:tc>
          <w:tcPr>
            <w:tcW w:w="1369" w:type="dxa"/>
          </w:tcPr>
          <w:p w14:paraId="55C97D04" w14:textId="77777777" w:rsidR="00E016D8" w:rsidRPr="006A4403" w:rsidRDefault="00F27623" w:rsidP="00E75DE0">
            <w:pPr>
              <w:pStyle w:val="paragraph"/>
              <w:tabs>
                <w:tab w:val="clear" w:pos="1531"/>
              </w:tabs>
              <w:ind w:left="0" w:firstLine="0"/>
            </w:pPr>
            <w:r>
              <w:rPr>
                <w:noProof/>
              </w:rPr>
              <w:t>23</w:t>
            </w:r>
          </w:p>
        </w:tc>
        <w:tc>
          <w:tcPr>
            <w:tcW w:w="2647" w:type="dxa"/>
          </w:tcPr>
          <w:p w14:paraId="2DCDE07D" w14:textId="77777777" w:rsidR="00E016D8" w:rsidRPr="006A4403" w:rsidRDefault="00E016D8" w:rsidP="00E75DE0">
            <w:pPr>
              <w:pStyle w:val="paragraph"/>
              <w:tabs>
                <w:tab w:val="clear" w:pos="1531"/>
              </w:tabs>
              <w:ind w:left="0" w:firstLine="0"/>
            </w:pPr>
            <w:r w:rsidRPr="006A4403">
              <w:t>subrule 2.4(3)</w:t>
            </w:r>
          </w:p>
        </w:tc>
      </w:tr>
      <w:tr w:rsidR="006A4403" w:rsidRPr="006A4403" w14:paraId="03167199" w14:textId="77777777" w:rsidTr="00E75DE0">
        <w:tc>
          <w:tcPr>
            <w:tcW w:w="1369" w:type="dxa"/>
          </w:tcPr>
          <w:p w14:paraId="3A760CA3" w14:textId="77777777" w:rsidR="00E016D8" w:rsidRPr="006A4403" w:rsidRDefault="00F27623" w:rsidP="00E75DE0">
            <w:pPr>
              <w:pStyle w:val="paragraph"/>
              <w:tabs>
                <w:tab w:val="clear" w:pos="1531"/>
              </w:tabs>
              <w:ind w:left="0" w:firstLine="0"/>
            </w:pPr>
            <w:r>
              <w:rPr>
                <w:noProof/>
              </w:rPr>
              <w:lastRenderedPageBreak/>
              <w:t>24</w:t>
            </w:r>
          </w:p>
        </w:tc>
        <w:tc>
          <w:tcPr>
            <w:tcW w:w="2647" w:type="dxa"/>
          </w:tcPr>
          <w:p w14:paraId="5DCFAC6B" w14:textId="77777777" w:rsidR="00E016D8" w:rsidRPr="006A4403" w:rsidRDefault="00E016D8" w:rsidP="00E75DE0">
            <w:pPr>
              <w:pStyle w:val="paragraph"/>
              <w:tabs>
                <w:tab w:val="clear" w:pos="1531"/>
              </w:tabs>
              <w:ind w:left="0" w:firstLine="0"/>
            </w:pPr>
            <w:r w:rsidRPr="006A4403">
              <w:t>rule 2.6</w:t>
            </w:r>
          </w:p>
        </w:tc>
      </w:tr>
      <w:tr w:rsidR="006A4403" w:rsidRPr="006A4403" w14:paraId="36BC4F41" w14:textId="77777777" w:rsidTr="00E75DE0">
        <w:tc>
          <w:tcPr>
            <w:tcW w:w="1369" w:type="dxa"/>
          </w:tcPr>
          <w:p w14:paraId="0F109D34" w14:textId="77777777" w:rsidR="00E016D8" w:rsidRPr="006A4403" w:rsidRDefault="00F27623" w:rsidP="00E75DE0">
            <w:pPr>
              <w:pStyle w:val="paragraph"/>
              <w:tabs>
                <w:tab w:val="clear" w:pos="1531"/>
              </w:tabs>
              <w:ind w:left="0" w:firstLine="0"/>
            </w:pPr>
            <w:r>
              <w:rPr>
                <w:noProof/>
              </w:rPr>
              <w:t>25</w:t>
            </w:r>
          </w:p>
        </w:tc>
        <w:tc>
          <w:tcPr>
            <w:tcW w:w="2647" w:type="dxa"/>
          </w:tcPr>
          <w:p w14:paraId="0B6B843A" w14:textId="77777777" w:rsidR="00E016D8" w:rsidRPr="006A4403" w:rsidRDefault="00E016D8" w:rsidP="00E75DE0">
            <w:pPr>
              <w:pStyle w:val="paragraph"/>
              <w:tabs>
                <w:tab w:val="clear" w:pos="1531"/>
              </w:tabs>
              <w:ind w:left="0" w:firstLine="0"/>
            </w:pPr>
            <w:r w:rsidRPr="006A4403">
              <w:t>subrule 3.4(3)</w:t>
            </w:r>
          </w:p>
        </w:tc>
      </w:tr>
      <w:tr w:rsidR="006A4403" w:rsidRPr="006A4403" w14:paraId="7F757D43" w14:textId="77777777" w:rsidTr="00E75DE0">
        <w:tc>
          <w:tcPr>
            <w:tcW w:w="1369" w:type="dxa"/>
          </w:tcPr>
          <w:p w14:paraId="71395491" w14:textId="77777777" w:rsidR="00E016D8" w:rsidRPr="006A4403" w:rsidRDefault="00F27623" w:rsidP="00E75DE0">
            <w:pPr>
              <w:pStyle w:val="paragraph"/>
              <w:tabs>
                <w:tab w:val="clear" w:pos="1531"/>
              </w:tabs>
              <w:ind w:left="0" w:firstLine="0"/>
            </w:pPr>
            <w:r>
              <w:rPr>
                <w:noProof/>
              </w:rPr>
              <w:t>26</w:t>
            </w:r>
          </w:p>
        </w:tc>
        <w:tc>
          <w:tcPr>
            <w:tcW w:w="2647" w:type="dxa"/>
          </w:tcPr>
          <w:p w14:paraId="3F6E245B" w14:textId="77777777" w:rsidR="00E016D8" w:rsidRPr="006A4403" w:rsidRDefault="00E016D8" w:rsidP="00E75DE0">
            <w:pPr>
              <w:pStyle w:val="paragraph"/>
              <w:tabs>
                <w:tab w:val="clear" w:pos="1531"/>
              </w:tabs>
              <w:ind w:left="0" w:firstLine="0"/>
            </w:pPr>
            <w:r w:rsidRPr="006A4403">
              <w:t>subrule 4.3(5)</w:t>
            </w:r>
          </w:p>
        </w:tc>
      </w:tr>
      <w:tr w:rsidR="006A4403" w:rsidRPr="006A4403" w14:paraId="0224AAF9" w14:textId="77777777" w:rsidTr="00E75DE0">
        <w:tc>
          <w:tcPr>
            <w:tcW w:w="1369" w:type="dxa"/>
          </w:tcPr>
          <w:p w14:paraId="59537B1C" w14:textId="77777777" w:rsidR="00E016D8" w:rsidRPr="006A4403" w:rsidRDefault="00F27623" w:rsidP="00E75DE0">
            <w:pPr>
              <w:pStyle w:val="paragraph"/>
              <w:tabs>
                <w:tab w:val="clear" w:pos="1531"/>
              </w:tabs>
              <w:ind w:left="0" w:firstLine="0"/>
            </w:pPr>
            <w:r>
              <w:rPr>
                <w:noProof/>
              </w:rPr>
              <w:t>27</w:t>
            </w:r>
          </w:p>
        </w:tc>
        <w:tc>
          <w:tcPr>
            <w:tcW w:w="2647" w:type="dxa"/>
          </w:tcPr>
          <w:p w14:paraId="72A6C01A" w14:textId="77777777" w:rsidR="00E016D8" w:rsidRPr="006A4403" w:rsidRDefault="00E016D8" w:rsidP="00E75DE0">
            <w:pPr>
              <w:pStyle w:val="paragraph"/>
              <w:tabs>
                <w:tab w:val="clear" w:pos="1531"/>
              </w:tabs>
              <w:ind w:left="0" w:firstLine="0"/>
            </w:pPr>
            <w:r w:rsidRPr="006A4403">
              <w:t>subrule 4.4(3)</w:t>
            </w:r>
          </w:p>
        </w:tc>
      </w:tr>
      <w:tr w:rsidR="006A4403" w:rsidRPr="006A4403" w14:paraId="18D75107" w14:textId="77777777" w:rsidTr="00E75DE0">
        <w:tc>
          <w:tcPr>
            <w:tcW w:w="1369" w:type="dxa"/>
          </w:tcPr>
          <w:p w14:paraId="53BFB9F2" w14:textId="77777777" w:rsidR="00E016D8" w:rsidRPr="006A4403" w:rsidRDefault="00F27623" w:rsidP="00E75DE0">
            <w:pPr>
              <w:pStyle w:val="paragraph"/>
              <w:tabs>
                <w:tab w:val="clear" w:pos="1531"/>
              </w:tabs>
              <w:ind w:left="0" w:firstLine="0"/>
            </w:pPr>
            <w:r>
              <w:rPr>
                <w:noProof/>
              </w:rPr>
              <w:t>28</w:t>
            </w:r>
          </w:p>
        </w:tc>
        <w:tc>
          <w:tcPr>
            <w:tcW w:w="2647" w:type="dxa"/>
          </w:tcPr>
          <w:p w14:paraId="7D4D4830" w14:textId="77777777" w:rsidR="00E016D8" w:rsidRPr="006A4403" w:rsidRDefault="00E016D8" w:rsidP="00E75DE0">
            <w:pPr>
              <w:pStyle w:val="paragraph"/>
              <w:tabs>
                <w:tab w:val="clear" w:pos="1531"/>
              </w:tabs>
              <w:ind w:left="0" w:firstLine="0"/>
            </w:pPr>
            <w:r w:rsidRPr="006A4403">
              <w:t>subrule 4.5(2)</w:t>
            </w:r>
          </w:p>
        </w:tc>
      </w:tr>
      <w:tr w:rsidR="006A4403" w:rsidRPr="006A4403" w14:paraId="274E147D" w14:textId="77777777" w:rsidTr="00E75DE0">
        <w:tc>
          <w:tcPr>
            <w:tcW w:w="1369" w:type="dxa"/>
          </w:tcPr>
          <w:p w14:paraId="174C2920" w14:textId="77777777" w:rsidR="00E016D8" w:rsidRPr="006A4403" w:rsidRDefault="00F27623" w:rsidP="00E75DE0">
            <w:pPr>
              <w:pStyle w:val="paragraph"/>
              <w:tabs>
                <w:tab w:val="clear" w:pos="1531"/>
              </w:tabs>
              <w:ind w:left="0" w:firstLine="0"/>
            </w:pPr>
            <w:r>
              <w:rPr>
                <w:noProof/>
              </w:rPr>
              <w:t>29</w:t>
            </w:r>
          </w:p>
        </w:tc>
        <w:tc>
          <w:tcPr>
            <w:tcW w:w="2647" w:type="dxa"/>
          </w:tcPr>
          <w:p w14:paraId="5FD27136" w14:textId="77777777" w:rsidR="00E016D8" w:rsidRPr="006A4403" w:rsidRDefault="00E016D8" w:rsidP="00E75DE0">
            <w:pPr>
              <w:pStyle w:val="paragraph"/>
              <w:tabs>
                <w:tab w:val="clear" w:pos="1531"/>
              </w:tabs>
              <w:ind w:left="0" w:firstLine="0"/>
            </w:pPr>
            <w:r w:rsidRPr="006A4403">
              <w:t>subrule 4.5(3)</w:t>
            </w:r>
          </w:p>
        </w:tc>
      </w:tr>
      <w:tr w:rsidR="006A4403" w:rsidRPr="006A4403" w14:paraId="0991B794" w14:textId="77777777" w:rsidTr="00E75DE0">
        <w:tc>
          <w:tcPr>
            <w:tcW w:w="1369" w:type="dxa"/>
          </w:tcPr>
          <w:p w14:paraId="7974BA27" w14:textId="77777777" w:rsidR="00E016D8" w:rsidRPr="006A4403" w:rsidRDefault="00F27623" w:rsidP="00E75DE0">
            <w:pPr>
              <w:pStyle w:val="paragraph"/>
              <w:tabs>
                <w:tab w:val="clear" w:pos="1531"/>
              </w:tabs>
              <w:ind w:left="0" w:firstLine="0"/>
            </w:pPr>
            <w:r>
              <w:rPr>
                <w:noProof/>
              </w:rPr>
              <w:t>30</w:t>
            </w:r>
          </w:p>
        </w:tc>
        <w:tc>
          <w:tcPr>
            <w:tcW w:w="2647" w:type="dxa"/>
          </w:tcPr>
          <w:p w14:paraId="0E165398" w14:textId="77777777" w:rsidR="00E016D8" w:rsidRPr="006A4403" w:rsidRDefault="00E016D8" w:rsidP="00E75DE0">
            <w:pPr>
              <w:pStyle w:val="paragraph"/>
              <w:tabs>
                <w:tab w:val="clear" w:pos="1531"/>
              </w:tabs>
              <w:ind w:left="0" w:firstLine="0"/>
            </w:pPr>
            <w:r w:rsidRPr="006A4403">
              <w:t>subrule 4.6(3)</w:t>
            </w:r>
          </w:p>
        </w:tc>
      </w:tr>
      <w:tr w:rsidR="006A4403" w:rsidRPr="006A4403" w14:paraId="2D19EF49" w14:textId="77777777" w:rsidTr="00E75DE0">
        <w:tc>
          <w:tcPr>
            <w:tcW w:w="1369" w:type="dxa"/>
          </w:tcPr>
          <w:p w14:paraId="363C5593" w14:textId="77777777" w:rsidR="00E016D8" w:rsidRPr="006A4403" w:rsidRDefault="00F27623" w:rsidP="00E75DE0">
            <w:pPr>
              <w:pStyle w:val="paragraph"/>
              <w:tabs>
                <w:tab w:val="clear" w:pos="1531"/>
              </w:tabs>
              <w:ind w:left="0" w:firstLine="0"/>
            </w:pPr>
            <w:r>
              <w:rPr>
                <w:noProof/>
              </w:rPr>
              <w:t>31</w:t>
            </w:r>
          </w:p>
        </w:tc>
        <w:tc>
          <w:tcPr>
            <w:tcW w:w="2647" w:type="dxa"/>
          </w:tcPr>
          <w:p w14:paraId="43ABB3B5" w14:textId="77777777" w:rsidR="00E016D8" w:rsidRPr="006A4403" w:rsidRDefault="00E016D8" w:rsidP="00E75DE0">
            <w:pPr>
              <w:pStyle w:val="paragraph"/>
              <w:tabs>
                <w:tab w:val="clear" w:pos="1531"/>
              </w:tabs>
              <w:ind w:left="0" w:firstLine="0"/>
            </w:pPr>
            <w:r w:rsidRPr="006A4403">
              <w:t>subrule 4.6(4)</w:t>
            </w:r>
          </w:p>
        </w:tc>
      </w:tr>
      <w:tr w:rsidR="006A4403" w:rsidRPr="006A4403" w14:paraId="2B919FBB" w14:textId="77777777" w:rsidTr="00E75DE0">
        <w:tc>
          <w:tcPr>
            <w:tcW w:w="1369" w:type="dxa"/>
          </w:tcPr>
          <w:p w14:paraId="56FD96C4" w14:textId="77777777" w:rsidR="00E016D8" w:rsidRPr="006A4403" w:rsidRDefault="00F27623" w:rsidP="00E75DE0">
            <w:pPr>
              <w:pStyle w:val="paragraph"/>
              <w:tabs>
                <w:tab w:val="clear" w:pos="1531"/>
              </w:tabs>
              <w:ind w:left="0" w:firstLine="0"/>
            </w:pPr>
            <w:r>
              <w:rPr>
                <w:noProof/>
              </w:rPr>
              <w:t>32</w:t>
            </w:r>
          </w:p>
        </w:tc>
        <w:tc>
          <w:tcPr>
            <w:tcW w:w="2647" w:type="dxa"/>
          </w:tcPr>
          <w:p w14:paraId="598DAF79" w14:textId="77777777" w:rsidR="00E016D8" w:rsidRPr="006A4403" w:rsidRDefault="00E016D8" w:rsidP="00E75DE0">
            <w:pPr>
              <w:pStyle w:val="paragraph"/>
              <w:tabs>
                <w:tab w:val="clear" w:pos="1531"/>
              </w:tabs>
              <w:ind w:left="0" w:firstLine="0"/>
            </w:pPr>
            <w:r w:rsidRPr="006A4403">
              <w:t>subrule 4.7B(3)</w:t>
            </w:r>
          </w:p>
        </w:tc>
      </w:tr>
      <w:tr w:rsidR="006A4403" w:rsidRPr="006A4403" w14:paraId="1317336A" w14:textId="77777777" w:rsidTr="00E75DE0">
        <w:tc>
          <w:tcPr>
            <w:tcW w:w="1369" w:type="dxa"/>
          </w:tcPr>
          <w:p w14:paraId="0CA99C8F" w14:textId="77777777" w:rsidR="00E016D8" w:rsidRPr="006A4403" w:rsidRDefault="00F27623" w:rsidP="00E75DE0">
            <w:pPr>
              <w:pStyle w:val="paragraph"/>
              <w:tabs>
                <w:tab w:val="clear" w:pos="1531"/>
              </w:tabs>
              <w:ind w:left="0" w:firstLine="0"/>
            </w:pPr>
            <w:r>
              <w:rPr>
                <w:noProof/>
              </w:rPr>
              <w:t>33</w:t>
            </w:r>
          </w:p>
        </w:tc>
        <w:tc>
          <w:tcPr>
            <w:tcW w:w="2647" w:type="dxa"/>
          </w:tcPr>
          <w:p w14:paraId="61E7C255" w14:textId="77777777" w:rsidR="00E016D8" w:rsidRPr="006A4403" w:rsidRDefault="00E016D8" w:rsidP="00E75DE0">
            <w:pPr>
              <w:pStyle w:val="paragraph"/>
              <w:tabs>
                <w:tab w:val="clear" w:pos="1531"/>
              </w:tabs>
              <w:ind w:left="0" w:firstLine="0"/>
            </w:pPr>
            <w:r w:rsidRPr="006A4403">
              <w:t>subrule 4.13(2)</w:t>
            </w:r>
          </w:p>
        </w:tc>
      </w:tr>
      <w:tr w:rsidR="006A4403" w:rsidRPr="006A4403" w14:paraId="195D5D14" w14:textId="77777777" w:rsidTr="00E75DE0">
        <w:tc>
          <w:tcPr>
            <w:tcW w:w="1369" w:type="dxa"/>
          </w:tcPr>
          <w:p w14:paraId="7C1C18A2" w14:textId="77777777" w:rsidR="00E016D8" w:rsidRPr="006A4403" w:rsidRDefault="00F27623" w:rsidP="00E75DE0">
            <w:pPr>
              <w:pStyle w:val="paragraph"/>
              <w:tabs>
                <w:tab w:val="clear" w:pos="1531"/>
              </w:tabs>
              <w:ind w:left="0" w:firstLine="0"/>
            </w:pPr>
            <w:r>
              <w:rPr>
                <w:noProof/>
              </w:rPr>
              <w:t>34</w:t>
            </w:r>
          </w:p>
        </w:tc>
        <w:tc>
          <w:tcPr>
            <w:tcW w:w="2647" w:type="dxa"/>
          </w:tcPr>
          <w:p w14:paraId="5CEA08B8" w14:textId="77777777" w:rsidR="00E016D8" w:rsidRPr="006A4403" w:rsidRDefault="00E016D8" w:rsidP="00E75DE0">
            <w:pPr>
              <w:pStyle w:val="paragraph"/>
              <w:tabs>
                <w:tab w:val="clear" w:pos="1531"/>
              </w:tabs>
              <w:ind w:left="0" w:firstLine="0"/>
            </w:pPr>
            <w:r w:rsidRPr="006A4403">
              <w:t>subrule 4.18(1)</w:t>
            </w:r>
          </w:p>
        </w:tc>
      </w:tr>
      <w:tr w:rsidR="006A4403" w:rsidRPr="006A4403" w14:paraId="30C8B1BB" w14:textId="77777777" w:rsidTr="00E75DE0">
        <w:tc>
          <w:tcPr>
            <w:tcW w:w="1369" w:type="dxa"/>
          </w:tcPr>
          <w:p w14:paraId="2DC880C3" w14:textId="77777777" w:rsidR="00E016D8" w:rsidRPr="006A4403" w:rsidRDefault="00F27623" w:rsidP="00E75DE0">
            <w:pPr>
              <w:pStyle w:val="paragraph"/>
              <w:tabs>
                <w:tab w:val="clear" w:pos="1531"/>
              </w:tabs>
              <w:ind w:left="0" w:firstLine="0"/>
            </w:pPr>
            <w:r>
              <w:rPr>
                <w:noProof/>
              </w:rPr>
              <w:t>35</w:t>
            </w:r>
          </w:p>
        </w:tc>
        <w:tc>
          <w:tcPr>
            <w:tcW w:w="2647" w:type="dxa"/>
          </w:tcPr>
          <w:p w14:paraId="00009109" w14:textId="77777777" w:rsidR="00E016D8" w:rsidRPr="006A4403" w:rsidRDefault="00E016D8" w:rsidP="00E75DE0">
            <w:pPr>
              <w:pStyle w:val="paragraph"/>
              <w:tabs>
                <w:tab w:val="clear" w:pos="1531"/>
              </w:tabs>
              <w:ind w:left="0" w:firstLine="0"/>
            </w:pPr>
            <w:r w:rsidRPr="006A4403">
              <w:t>subrule 4.18(2)</w:t>
            </w:r>
          </w:p>
        </w:tc>
      </w:tr>
      <w:tr w:rsidR="006A4403" w:rsidRPr="006A4403" w14:paraId="48CE76D7" w14:textId="77777777" w:rsidTr="00E75DE0">
        <w:tc>
          <w:tcPr>
            <w:tcW w:w="1369" w:type="dxa"/>
          </w:tcPr>
          <w:p w14:paraId="1E5713E6" w14:textId="77777777" w:rsidR="00E016D8" w:rsidRPr="006A4403" w:rsidRDefault="00F27623" w:rsidP="00E75DE0">
            <w:pPr>
              <w:pStyle w:val="paragraph"/>
              <w:tabs>
                <w:tab w:val="clear" w:pos="1531"/>
              </w:tabs>
              <w:ind w:left="0" w:firstLine="0"/>
              <w:rPr>
                <w:noProof/>
              </w:rPr>
            </w:pPr>
            <w:r>
              <w:rPr>
                <w:noProof/>
              </w:rPr>
              <w:t>36</w:t>
            </w:r>
          </w:p>
        </w:tc>
        <w:tc>
          <w:tcPr>
            <w:tcW w:w="2647" w:type="dxa"/>
          </w:tcPr>
          <w:p w14:paraId="0DA33254" w14:textId="77777777" w:rsidR="00E016D8" w:rsidRPr="006A4403" w:rsidRDefault="00E016D8" w:rsidP="00E75DE0">
            <w:pPr>
              <w:pStyle w:val="paragraph"/>
              <w:tabs>
                <w:tab w:val="clear" w:pos="1531"/>
              </w:tabs>
              <w:ind w:left="0" w:firstLine="0"/>
            </w:pPr>
            <w:r w:rsidRPr="006A4403">
              <w:t>subrule 4.18AA(2)</w:t>
            </w:r>
          </w:p>
        </w:tc>
      </w:tr>
      <w:tr w:rsidR="006A4403" w:rsidRPr="006A4403" w14:paraId="0C81D745" w14:textId="77777777" w:rsidTr="00E75DE0">
        <w:tc>
          <w:tcPr>
            <w:tcW w:w="1369" w:type="dxa"/>
          </w:tcPr>
          <w:p w14:paraId="33B1E408" w14:textId="77777777" w:rsidR="00E016D8" w:rsidRPr="006A4403" w:rsidRDefault="00F27623" w:rsidP="00E75DE0">
            <w:pPr>
              <w:pStyle w:val="paragraph"/>
              <w:tabs>
                <w:tab w:val="clear" w:pos="1531"/>
              </w:tabs>
              <w:ind w:left="0" w:firstLine="0"/>
            </w:pPr>
            <w:r>
              <w:rPr>
                <w:noProof/>
              </w:rPr>
              <w:t>37</w:t>
            </w:r>
          </w:p>
        </w:tc>
        <w:tc>
          <w:tcPr>
            <w:tcW w:w="2647" w:type="dxa"/>
          </w:tcPr>
          <w:p w14:paraId="4A85DD26" w14:textId="77777777" w:rsidR="00E016D8" w:rsidRPr="006A4403" w:rsidRDefault="00E016D8" w:rsidP="00E75DE0">
            <w:pPr>
              <w:pStyle w:val="paragraph"/>
              <w:tabs>
                <w:tab w:val="clear" w:pos="1531"/>
              </w:tabs>
              <w:ind w:left="0" w:firstLine="0"/>
            </w:pPr>
            <w:r w:rsidRPr="006A4403">
              <w:t>subrule 4.18A(2)</w:t>
            </w:r>
          </w:p>
        </w:tc>
      </w:tr>
      <w:tr w:rsidR="006A4403" w:rsidRPr="006A4403" w14:paraId="764541EB" w14:textId="77777777" w:rsidTr="00E75DE0">
        <w:tc>
          <w:tcPr>
            <w:tcW w:w="1369" w:type="dxa"/>
          </w:tcPr>
          <w:p w14:paraId="6C2C2B16" w14:textId="77777777" w:rsidR="00E016D8" w:rsidRPr="006A4403" w:rsidRDefault="00F27623" w:rsidP="00E75DE0">
            <w:pPr>
              <w:pStyle w:val="paragraph"/>
              <w:tabs>
                <w:tab w:val="clear" w:pos="1531"/>
              </w:tabs>
              <w:ind w:left="0" w:firstLine="0"/>
            </w:pPr>
            <w:r>
              <w:rPr>
                <w:noProof/>
              </w:rPr>
              <w:t>38</w:t>
            </w:r>
          </w:p>
        </w:tc>
        <w:tc>
          <w:tcPr>
            <w:tcW w:w="2647" w:type="dxa"/>
          </w:tcPr>
          <w:p w14:paraId="757DCD98" w14:textId="77777777" w:rsidR="00E016D8" w:rsidRPr="006A4403" w:rsidRDefault="00E016D8" w:rsidP="00E75DE0">
            <w:pPr>
              <w:pStyle w:val="paragraph"/>
              <w:tabs>
                <w:tab w:val="clear" w:pos="1531"/>
              </w:tabs>
              <w:ind w:left="0" w:firstLine="0"/>
            </w:pPr>
            <w:r w:rsidRPr="006A4403">
              <w:t>subrule 4.18B(2)</w:t>
            </w:r>
          </w:p>
        </w:tc>
      </w:tr>
      <w:tr w:rsidR="006A4403" w:rsidRPr="006A4403" w14:paraId="191F6B87" w14:textId="77777777" w:rsidTr="00E75DE0">
        <w:tc>
          <w:tcPr>
            <w:tcW w:w="1369" w:type="dxa"/>
          </w:tcPr>
          <w:p w14:paraId="59FEBE65" w14:textId="77777777" w:rsidR="00E016D8" w:rsidRPr="006A4403" w:rsidRDefault="00F27623" w:rsidP="00E75DE0">
            <w:pPr>
              <w:pStyle w:val="paragraph"/>
              <w:tabs>
                <w:tab w:val="clear" w:pos="1531"/>
              </w:tabs>
              <w:ind w:left="0" w:firstLine="0"/>
            </w:pPr>
            <w:r>
              <w:rPr>
                <w:noProof/>
              </w:rPr>
              <w:t>39</w:t>
            </w:r>
          </w:p>
        </w:tc>
        <w:tc>
          <w:tcPr>
            <w:tcW w:w="2647" w:type="dxa"/>
          </w:tcPr>
          <w:p w14:paraId="1CDB036F" w14:textId="77777777" w:rsidR="00E016D8" w:rsidRPr="006A4403" w:rsidRDefault="00E016D8" w:rsidP="00E75DE0">
            <w:pPr>
              <w:pStyle w:val="paragraph"/>
              <w:tabs>
                <w:tab w:val="clear" w:pos="1531"/>
              </w:tabs>
              <w:ind w:left="0" w:firstLine="0"/>
            </w:pPr>
            <w:r w:rsidRPr="006A4403">
              <w:t>subrule 4.18B(3)</w:t>
            </w:r>
          </w:p>
        </w:tc>
      </w:tr>
      <w:tr w:rsidR="006A4403" w:rsidRPr="006A4403" w14:paraId="71B03028" w14:textId="77777777" w:rsidTr="00E75DE0">
        <w:tc>
          <w:tcPr>
            <w:tcW w:w="1369" w:type="dxa"/>
          </w:tcPr>
          <w:p w14:paraId="656CE857" w14:textId="77777777" w:rsidR="00E016D8" w:rsidRPr="006A4403" w:rsidRDefault="00F27623" w:rsidP="00E75DE0">
            <w:pPr>
              <w:pStyle w:val="paragraph"/>
              <w:tabs>
                <w:tab w:val="clear" w:pos="1531"/>
              </w:tabs>
              <w:ind w:left="0" w:firstLine="0"/>
            </w:pPr>
            <w:r>
              <w:rPr>
                <w:noProof/>
              </w:rPr>
              <w:t>40</w:t>
            </w:r>
          </w:p>
        </w:tc>
        <w:tc>
          <w:tcPr>
            <w:tcW w:w="2647" w:type="dxa"/>
          </w:tcPr>
          <w:p w14:paraId="1E1A4AB1" w14:textId="77777777" w:rsidR="00E016D8" w:rsidRPr="006A4403" w:rsidRDefault="00E016D8" w:rsidP="00E75DE0">
            <w:pPr>
              <w:pStyle w:val="paragraph"/>
              <w:tabs>
                <w:tab w:val="clear" w:pos="1531"/>
              </w:tabs>
              <w:ind w:left="0" w:firstLine="0"/>
            </w:pPr>
            <w:r w:rsidRPr="006A4403">
              <w:t>subrule 4.18C(2)</w:t>
            </w:r>
          </w:p>
        </w:tc>
      </w:tr>
      <w:tr w:rsidR="006A4403" w:rsidRPr="006A4403" w14:paraId="5E713561" w14:textId="77777777" w:rsidTr="00E75DE0">
        <w:tc>
          <w:tcPr>
            <w:tcW w:w="1369" w:type="dxa"/>
          </w:tcPr>
          <w:p w14:paraId="0F344FCB" w14:textId="77777777" w:rsidR="00E016D8" w:rsidRPr="006A4403" w:rsidRDefault="00F27623" w:rsidP="00E75DE0">
            <w:pPr>
              <w:pStyle w:val="paragraph"/>
              <w:tabs>
                <w:tab w:val="clear" w:pos="1531"/>
              </w:tabs>
              <w:ind w:left="0" w:firstLine="0"/>
            </w:pPr>
            <w:r>
              <w:rPr>
                <w:noProof/>
              </w:rPr>
              <w:t>41</w:t>
            </w:r>
          </w:p>
        </w:tc>
        <w:tc>
          <w:tcPr>
            <w:tcW w:w="2647" w:type="dxa"/>
          </w:tcPr>
          <w:p w14:paraId="64E5C987" w14:textId="77777777" w:rsidR="00E016D8" w:rsidRPr="006A4403" w:rsidRDefault="00E016D8" w:rsidP="00E75DE0">
            <w:pPr>
              <w:pStyle w:val="paragraph"/>
              <w:tabs>
                <w:tab w:val="clear" w:pos="1531"/>
              </w:tabs>
              <w:ind w:left="0" w:firstLine="0"/>
            </w:pPr>
            <w:r w:rsidRPr="006A4403">
              <w:t>subrule 4.19(1)</w:t>
            </w:r>
          </w:p>
        </w:tc>
      </w:tr>
      <w:tr w:rsidR="006A4403" w:rsidRPr="006A4403" w14:paraId="3248476E" w14:textId="77777777" w:rsidTr="00E75DE0">
        <w:tc>
          <w:tcPr>
            <w:tcW w:w="1369" w:type="dxa"/>
          </w:tcPr>
          <w:p w14:paraId="3819B550" w14:textId="77777777" w:rsidR="00E016D8" w:rsidRPr="006A4403" w:rsidRDefault="00F27623" w:rsidP="00E75DE0">
            <w:pPr>
              <w:pStyle w:val="paragraph"/>
              <w:tabs>
                <w:tab w:val="clear" w:pos="1531"/>
              </w:tabs>
              <w:ind w:left="0" w:firstLine="0"/>
            </w:pPr>
            <w:r>
              <w:rPr>
                <w:noProof/>
              </w:rPr>
              <w:t>42</w:t>
            </w:r>
          </w:p>
        </w:tc>
        <w:tc>
          <w:tcPr>
            <w:tcW w:w="2647" w:type="dxa"/>
          </w:tcPr>
          <w:p w14:paraId="4D4D8731" w14:textId="77777777" w:rsidR="00E016D8" w:rsidRPr="006A4403" w:rsidRDefault="00E016D8" w:rsidP="00E75DE0">
            <w:pPr>
              <w:pStyle w:val="paragraph"/>
              <w:tabs>
                <w:tab w:val="clear" w:pos="1531"/>
              </w:tabs>
              <w:ind w:left="0" w:firstLine="0"/>
            </w:pPr>
            <w:r w:rsidRPr="006A4403">
              <w:t>subrule 4.20(2)</w:t>
            </w:r>
          </w:p>
        </w:tc>
      </w:tr>
      <w:tr w:rsidR="006A4403" w:rsidRPr="006A4403" w14:paraId="470FA800" w14:textId="77777777" w:rsidTr="00E75DE0">
        <w:tc>
          <w:tcPr>
            <w:tcW w:w="1369" w:type="dxa"/>
          </w:tcPr>
          <w:p w14:paraId="19E91EA1" w14:textId="77777777" w:rsidR="00E016D8" w:rsidRPr="006A4403" w:rsidRDefault="00F27623" w:rsidP="00E75DE0">
            <w:pPr>
              <w:pStyle w:val="paragraph"/>
              <w:tabs>
                <w:tab w:val="clear" w:pos="1531"/>
              </w:tabs>
              <w:ind w:left="0" w:firstLine="0"/>
            </w:pPr>
            <w:r>
              <w:rPr>
                <w:noProof/>
              </w:rPr>
              <w:t>43</w:t>
            </w:r>
          </w:p>
        </w:tc>
        <w:tc>
          <w:tcPr>
            <w:tcW w:w="2647" w:type="dxa"/>
          </w:tcPr>
          <w:p w14:paraId="1F48CDE6" w14:textId="77777777" w:rsidR="00E016D8" w:rsidRPr="006A4403" w:rsidRDefault="00E016D8" w:rsidP="00E75DE0">
            <w:pPr>
              <w:pStyle w:val="paragraph"/>
              <w:tabs>
                <w:tab w:val="clear" w:pos="1531"/>
              </w:tabs>
              <w:ind w:left="0" w:firstLine="0"/>
            </w:pPr>
            <w:r w:rsidRPr="006A4403">
              <w:t>subrule 4.20J(2)</w:t>
            </w:r>
          </w:p>
        </w:tc>
      </w:tr>
      <w:tr w:rsidR="006A4403" w:rsidRPr="006A4403" w14:paraId="33064A81" w14:textId="77777777" w:rsidTr="00E75DE0">
        <w:tc>
          <w:tcPr>
            <w:tcW w:w="1369" w:type="dxa"/>
          </w:tcPr>
          <w:p w14:paraId="3EACF1B9" w14:textId="77777777" w:rsidR="00E016D8" w:rsidRPr="006A4403" w:rsidRDefault="00F27623" w:rsidP="00E75DE0">
            <w:pPr>
              <w:pStyle w:val="paragraph"/>
              <w:tabs>
                <w:tab w:val="clear" w:pos="1531"/>
              </w:tabs>
              <w:ind w:left="0" w:firstLine="0"/>
            </w:pPr>
            <w:r>
              <w:rPr>
                <w:noProof/>
              </w:rPr>
              <w:t>44</w:t>
            </w:r>
          </w:p>
        </w:tc>
        <w:tc>
          <w:tcPr>
            <w:tcW w:w="2647" w:type="dxa"/>
          </w:tcPr>
          <w:p w14:paraId="0BC22B5D" w14:textId="77777777" w:rsidR="00E016D8" w:rsidRPr="006A4403" w:rsidRDefault="00E016D8" w:rsidP="00E75DE0">
            <w:pPr>
              <w:pStyle w:val="paragraph"/>
              <w:tabs>
                <w:tab w:val="clear" w:pos="1531"/>
              </w:tabs>
              <w:ind w:left="0" w:firstLine="0"/>
            </w:pPr>
            <w:r w:rsidRPr="006A4403">
              <w:t>subrule 4.20J(5)</w:t>
            </w:r>
          </w:p>
        </w:tc>
      </w:tr>
      <w:tr w:rsidR="006A4403" w:rsidRPr="006A4403" w14:paraId="65145536" w14:textId="77777777" w:rsidTr="00E75DE0">
        <w:tc>
          <w:tcPr>
            <w:tcW w:w="1369" w:type="dxa"/>
          </w:tcPr>
          <w:p w14:paraId="136507CA" w14:textId="77777777" w:rsidR="00E016D8" w:rsidRPr="006A4403" w:rsidRDefault="00F27623" w:rsidP="00E75DE0">
            <w:pPr>
              <w:pStyle w:val="paragraph"/>
              <w:tabs>
                <w:tab w:val="clear" w:pos="1531"/>
              </w:tabs>
              <w:ind w:left="0" w:firstLine="0"/>
            </w:pPr>
            <w:r>
              <w:rPr>
                <w:noProof/>
              </w:rPr>
              <w:t>45</w:t>
            </w:r>
          </w:p>
        </w:tc>
        <w:tc>
          <w:tcPr>
            <w:tcW w:w="2647" w:type="dxa"/>
          </w:tcPr>
          <w:p w14:paraId="25E88A74" w14:textId="77777777" w:rsidR="00E016D8" w:rsidRPr="006A4403" w:rsidRDefault="00E016D8" w:rsidP="00E75DE0">
            <w:pPr>
              <w:pStyle w:val="paragraph"/>
              <w:tabs>
                <w:tab w:val="clear" w:pos="1531"/>
              </w:tabs>
              <w:ind w:left="0" w:firstLine="0"/>
            </w:pPr>
            <w:r w:rsidRPr="006A4403">
              <w:t>subrule 4.20P(2)</w:t>
            </w:r>
          </w:p>
        </w:tc>
      </w:tr>
      <w:tr w:rsidR="006A4403" w:rsidRPr="006A4403" w14:paraId="70FF81C7" w14:textId="77777777" w:rsidTr="00E75DE0">
        <w:tc>
          <w:tcPr>
            <w:tcW w:w="1369" w:type="dxa"/>
          </w:tcPr>
          <w:p w14:paraId="5815E6FC" w14:textId="77777777" w:rsidR="00E016D8" w:rsidRPr="006A4403" w:rsidRDefault="00F27623" w:rsidP="00E75DE0">
            <w:pPr>
              <w:pStyle w:val="paragraph"/>
              <w:tabs>
                <w:tab w:val="clear" w:pos="1531"/>
              </w:tabs>
              <w:ind w:left="0" w:firstLine="0"/>
            </w:pPr>
            <w:r>
              <w:rPr>
                <w:noProof/>
              </w:rPr>
              <w:t>46</w:t>
            </w:r>
          </w:p>
        </w:tc>
        <w:tc>
          <w:tcPr>
            <w:tcW w:w="2647" w:type="dxa"/>
          </w:tcPr>
          <w:p w14:paraId="5B4B40BD" w14:textId="77777777" w:rsidR="00E016D8" w:rsidRPr="006A4403" w:rsidRDefault="00E016D8" w:rsidP="00E75DE0">
            <w:pPr>
              <w:pStyle w:val="paragraph"/>
              <w:tabs>
                <w:tab w:val="clear" w:pos="1531"/>
              </w:tabs>
              <w:ind w:left="0" w:firstLine="0"/>
            </w:pPr>
            <w:r w:rsidRPr="006A4403">
              <w:t>subrule 4.20R(2)</w:t>
            </w:r>
          </w:p>
        </w:tc>
      </w:tr>
      <w:tr w:rsidR="006A4403" w:rsidRPr="006A4403" w14:paraId="2E1D136E" w14:textId="77777777" w:rsidTr="00E75DE0">
        <w:tc>
          <w:tcPr>
            <w:tcW w:w="1369" w:type="dxa"/>
          </w:tcPr>
          <w:p w14:paraId="15229772" w14:textId="77777777" w:rsidR="00E016D8" w:rsidRPr="006A4403" w:rsidRDefault="00F27623" w:rsidP="00E75DE0">
            <w:pPr>
              <w:pStyle w:val="paragraph"/>
              <w:tabs>
                <w:tab w:val="clear" w:pos="1531"/>
              </w:tabs>
              <w:ind w:left="0" w:firstLine="0"/>
            </w:pPr>
            <w:r>
              <w:rPr>
                <w:noProof/>
              </w:rPr>
              <w:t>47</w:t>
            </w:r>
          </w:p>
        </w:tc>
        <w:tc>
          <w:tcPr>
            <w:tcW w:w="2647" w:type="dxa"/>
          </w:tcPr>
          <w:p w14:paraId="6B18B678" w14:textId="77777777" w:rsidR="00E016D8" w:rsidRPr="006A4403" w:rsidRDefault="00E016D8" w:rsidP="00E75DE0">
            <w:pPr>
              <w:pStyle w:val="paragraph"/>
              <w:tabs>
                <w:tab w:val="clear" w:pos="1531"/>
              </w:tabs>
              <w:ind w:left="0" w:firstLine="0"/>
            </w:pPr>
            <w:r w:rsidRPr="006A4403">
              <w:t>subrule 4.20R(3)</w:t>
            </w:r>
          </w:p>
        </w:tc>
      </w:tr>
      <w:tr w:rsidR="006A4403" w:rsidRPr="006A4403" w14:paraId="10404F22" w14:textId="77777777" w:rsidTr="00E75DE0">
        <w:tc>
          <w:tcPr>
            <w:tcW w:w="1369" w:type="dxa"/>
          </w:tcPr>
          <w:p w14:paraId="2C7F23ED" w14:textId="77777777" w:rsidR="00E016D8" w:rsidRPr="006A4403" w:rsidRDefault="00F27623" w:rsidP="00E75DE0">
            <w:pPr>
              <w:pStyle w:val="paragraph"/>
              <w:tabs>
                <w:tab w:val="clear" w:pos="1531"/>
              </w:tabs>
              <w:ind w:left="0" w:firstLine="0"/>
            </w:pPr>
            <w:r>
              <w:rPr>
                <w:noProof/>
              </w:rPr>
              <w:t>48</w:t>
            </w:r>
          </w:p>
        </w:tc>
        <w:tc>
          <w:tcPr>
            <w:tcW w:w="2647" w:type="dxa"/>
          </w:tcPr>
          <w:p w14:paraId="24920115" w14:textId="77777777" w:rsidR="00E016D8" w:rsidRPr="006A4403" w:rsidRDefault="00E016D8" w:rsidP="00E75DE0">
            <w:pPr>
              <w:pStyle w:val="paragraph"/>
              <w:tabs>
                <w:tab w:val="clear" w:pos="1531"/>
              </w:tabs>
              <w:ind w:left="0" w:firstLine="0"/>
            </w:pPr>
            <w:r w:rsidRPr="006A4403">
              <w:t>subrule 4.20S(2)</w:t>
            </w:r>
          </w:p>
        </w:tc>
      </w:tr>
      <w:tr w:rsidR="006A4403" w:rsidRPr="006A4403" w14:paraId="7B8505D9" w14:textId="77777777" w:rsidTr="00E75DE0">
        <w:tc>
          <w:tcPr>
            <w:tcW w:w="1369" w:type="dxa"/>
          </w:tcPr>
          <w:p w14:paraId="0E28904A" w14:textId="77777777" w:rsidR="00E016D8" w:rsidRPr="006A4403" w:rsidRDefault="00F27623" w:rsidP="00E75DE0">
            <w:pPr>
              <w:pStyle w:val="paragraph"/>
              <w:tabs>
                <w:tab w:val="clear" w:pos="1531"/>
              </w:tabs>
              <w:ind w:left="0" w:firstLine="0"/>
            </w:pPr>
            <w:r>
              <w:rPr>
                <w:noProof/>
              </w:rPr>
              <w:t>49</w:t>
            </w:r>
          </w:p>
        </w:tc>
        <w:tc>
          <w:tcPr>
            <w:tcW w:w="2647" w:type="dxa"/>
          </w:tcPr>
          <w:p w14:paraId="45341E8E" w14:textId="77777777" w:rsidR="00E016D8" w:rsidRPr="006A4403" w:rsidRDefault="00E016D8" w:rsidP="00E75DE0">
            <w:pPr>
              <w:pStyle w:val="paragraph"/>
              <w:tabs>
                <w:tab w:val="clear" w:pos="1531"/>
              </w:tabs>
              <w:ind w:left="0" w:firstLine="0"/>
            </w:pPr>
            <w:r w:rsidRPr="006A4403">
              <w:t>subrule 4.20T(2)</w:t>
            </w:r>
          </w:p>
        </w:tc>
      </w:tr>
      <w:tr w:rsidR="006A4403" w:rsidRPr="006A4403" w14:paraId="232AD458" w14:textId="77777777" w:rsidTr="00E75DE0">
        <w:tc>
          <w:tcPr>
            <w:tcW w:w="1369" w:type="dxa"/>
          </w:tcPr>
          <w:p w14:paraId="393E54FC" w14:textId="77777777" w:rsidR="00E016D8" w:rsidRPr="006A4403" w:rsidRDefault="00F27623" w:rsidP="00E75DE0">
            <w:pPr>
              <w:pStyle w:val="paragraph"/>
              <w:tabs>
                <w:tab w:val="clear" w:pos="1531"/>
              </w:tabs>
              <w:ind w:left="0" w:firstLine="0"/>
            </w:pPr>
            <w:r>
              <w:rPr>
                <w:noProof/>
              </w:rPr>
              <w:t>50</w:t>
            </w:r>
          </w:p>
        </w:tc>
        <w:tc>
          <w:tcPr>
            <w:tcW w:w="2647" w:type="dxa"/>
          </w:tcPr>
          <w:p w14:paraId="274F2AD4" w14:textId="77777777" w:rsidR="00E016D8" w:rsidRPr="006A4403" w:rsidRDefault="00E016D8" w:rsidP="00E75DE0">
            <w:pPr>
              <w:pStyle w:val="paragraph"/>
              <w:tabs>
                <w:tab w:val="clear" w:pos="1531"/>
              </w:tabs>
              <w:ind w:left="0" w:firstLine="0"/>
            </w:pPr>
            <w:r w:rsidRPr="006A4403">
              <w:t>subrule 4.22A(1)</w:t>
            </w:r>
          </w:p>
        </w:tc>
      </w:tr>
      <w:tr w:rsidR="006A4403" w:rsidRPr="006A4403" w14:paraId="77676603" w14:textId="77777777" w:rsidTr="00E75DE0">
        <w:tc>
          <w:tcPr>
            <w:tcW w:w="1369" w:type="dxa"/>
          </w:tcPr>
          <w:p w14:paraId="3D20F8D4" w14:textId="77777777" w:rsidR="00E016D8" w:rsidRPr="006A4403" w:rsidRDefault="00F27623" w:rsidP="00E75DE0">
            <w:pPr>
              <w:pStyle w:val="paragraph"/>
              <w:tabs>
                <w:tab w:val="clear" w:pos="1531"/>
              </w:tabs>
              <w:ind w:left="0" w:firstLine="0"/>
            </w:pPr>
            <w:r>
              <w:rPr>
                <w:noProof/>
              </w:rPr>
              <w:t>51</w:t>
            </w:r>
          </w:p>
        </w:tc>
        <w:tc>
          <w:tcPr>
            <w:tcW w:w="2647" w:type="dxa"/>
          </w:tcPr>
          <w:p w14:paraId="34F6B415" w14:textId="77777777" w:rsidR="00E016D8" w:rsidRPr="006A4403" w:rsidRDefault="00E016D8" w:rsidP="00E75DE0">
            <w:pPr>
              <w:pStyle w:val="paragraph"/>
              <w:tabs>
                <w:tab w:val="clear" w:pos="1531"/>
              </w:tabs>
              <w:ind w:left="0" w:firstLine="0"/>
            </w:pPr>
            <w:r w:rsidRPr="006A4403">
              <w:t>subrule 4.25(2)</w:t>
            </w:r>
          </w:p>
        </w:tc>
      </w:tr>
      <w:tr w:rsidR="006A4403" w:rsidRPr="006A4403" w14:paraId="7CF293D6" w14:textId="77777777" w:rsidTr="00E75DE0">
        <w:tc>
          <w:tcPr>
            <w:tcW w:w="1369" w:type="dxa"/>
          </w:tcPr>
          <w:p w14:paraId="54C17FDE" w14:textId="77777777" w:rsidR="00E016D8" w:rsidRPr="006A4403" w:rsidRDefault="00F27623" w:rsidP="00E75DE0">
            <w:pPr>
              <w:pStyle w:val="paragraph"/>
              <w:tabs>
                <w:tab w:val="clear" w:pos="1531"/>
              </w:tabs>
              <w:ind w:left="0" w:firstLine="0"/>
            </w:pPr>
            <w:r>
              <w:rPr>
                <w:noProof/>
              </w:rPr>
              <w:t>52</w:t>
            </w:r>
          </w:p>
        </w:tc>
        <w:tc>
          <w:tcPr>
            <w:tcW w:w="2647" w:type="dxa"/>
          </w:tcPr>
          <w:p w14:paraId="1E534E61" w14:textId="77777777" w:rsidR="00E016D8" w:rsidRPr="006A4403" w:rsidRDefault="00E016D8" w:rsidP="00E75DE0">
            <w:pPr>
              <w:pStyle w:val="paragraph"/>
              <w:tabs>
                <w:tab w:val="clear" w:pos="1531"/>
              </w:tabs>
              <w:ind w:left="0" w:firstLine="0"/>
            </w:pPr>
            <w:r w:rsidRPr="006A4403">
              <w:t>rule 4.26A</w:t>
            </w:r>
          </w:p>
        </w:tc>
      </w:tr>
      <w:tr w:rsidR="006A4403" w:rsidRPr="006A4403" w14:paraId="7BD9A416" w14:textId="77777777" w:rsidTr="00E75DE0">
        <w:tc>
          <w:tcPr>
            <w:tcW w:w="1369" w:type="dxa"/>
          </w:tcPr>
          <w:p w14:paraId="011E6637" w14:textId="77777777" w:rsidR="00E016D8" w:rsidRPr="006A4403" w:rsidRDefault="00F27623" w:rsidP="00E75DE0">
            <w:pPr>
              <w:pStyle w:val="paragraph"/>
              <w:tabs>
                <w:tab w:val="clear" w:pos="1531"/>
              </w:tabs>
              <w:ind w:left="0" w:firstLine="0"/>
            </w:pPr>
            <w:r>
              <w:rPr>
                <w:noProof/>
              </w:rPr>
              <w:t>53</w:t>
            </w:r>
          </w:p>
        </w:tc>
        <w:tc>
          <w:tcPr>
            <w:tcW w:w="2647" w:type="dxa"/>
          </w:tcPr>
          <w:p w14:paraId="06440DFF" w14:textId="77777777" w:rsidR="00E016D8" w:rsidRPr="006A4403" w:rsidRDefault="00E016D8" w:rsidP="00E75DE0">
            <w:pPr>
              <w:pStyle w:val="paragraph"/>
              <w:tabs>
                <w:tab w:val="clear" w:pos="1531"/>
              </w:tabs>
              <w:ind w:left="0" w:firstLine="0"/>
            </w:pPr>
            <w:r w:rsidRPr="006A4403">
              <w:t>rule 4.27</w:t>
            </w:r>
          </w:p>
        </w:tc>
      </w:tr>
      <w:tr w:rsidR="006A4403" w:rsidRPr="006A4403" w14:paraId="58FB033B" w14:textId="77777777" w:rsidTr="00E75DE0">
        <w:tc>
          <w:tcPr>
            <w:tcW w:w="1369" w:type="dxa"/>
          </w:tcPr>
          <w:p w14:paraId="6778CB05" w14:textId="77777777" w:rsidR="00E016D8" w:rsidRPr="006A4403" w:rsidRDefault="00F27623" w:rsidP="00E75DE0">
            <w:pPr>
              <w:pStyle w:val="paragraph"/>
              <w:tabs>
                <w:tab w:val="clear" w:pos="1531"/>
              </w:tabs>
              <w:ind w:left="0" w:firstLine="0"/>
            </w:pPr>
            <w:r>
              <w:rPr>
                <w:noProof/>
              </w:rPr>
              <w:t>54</w:t>
            </w:r>
          </w:p>
        </w:tc>
        <w:tc>
          <w:tcPr>
            <w:tcW w:w="2647" w:type="dxa"/>
          </w:tcPr>
          <w:p w14:paraId="2011767B" w14:textId="77777777" w:rsidR="00E016D8" w:rsidRPr="006A4403" w:rsidRDefault="00E016D8" w:rsidP="00E75DE0">
            <w:pPr>
              <w:pStyle w:val="paragraph"/>
              <w:tabs>
                <w:tab w:val="clear" w:pos="1531"/>
              </w:tabs>
              <w:ind w:left="0" w:firstLine="0"/>
            </w:pPr>
            <w:r w:rsidRPr="006A4403">
              <w:t>subrule 4.28(2)</w:t>
            </w:r>
          </w:p>
        </w:tc>
      </w:tr>
      <w:tr w:rsidR="006A4403" w:rsidRPr="006A4403" w14:paraId="40381CB7" w14:textId="77777777" w:rsidTr="00E75DE0">
        <w:tc>
          <w:tcPr>
            <w:tcW w:w="1369" w:type="dxa"/>
          </w:tcPr>
          <w:p w14:paraId="30B7D144" w14:textId="77777777" w:rsidR="00E016D8" w:rsidRPr="006A4403" w:rsidRDefault="00F27623" w:rsidP="00E75DE0">
            <w:pPr>
              <w:pStyle w:val="paragraph"/>
              <w:tabs>
                <w:tab w:val="clear" w:pos="1531"/>
              </w:tabs>
              <w:ind w:left="0" w:firstLine="0"/>
            </w:pPr>
            <w:r>
              <w:rPr>
                <w:noProof/>
              </w:rPr>
              <w:t>55</w:t>
            </w:r>
          </w:p>
        </w:tc>
        <w:tc>
          <w:tcPr>
            <w:tcW w:w="2647" w:type="dxa"/>
          </w:tcPr>
          <w:p w14:paraId="16E3E796" w14:textId="77777777" w:rsidR="00E016D8" w:rsidRPr="006A4403" w:rsidRDefault="00E016D8" w:rsidP="00E75DE0">
            <w:pPr>
              <w:pStyle w:val="paragraph"/>
              <w:tabs>
                <w:tab w:val="clear" w:pos="1531"/>
              </w:tabs>
              <w:ind w:left="0" w:firstLine="0"/>
            </w:pPr>
            <w:r w:rsidRPr="006A4403">
              <w:t>subrule 4A.6(1)</w:t>
            </w:r>
          </w:p>
        </w:tc>
      </w:tr>
      <w:tr w:rsidR="006A4403" w:rsidRPr="006A4403" w14:paraId="44172295" w14:textId="77777777" w:rsidTr="00E75DE0">
        <w:tc>
          <w:tcPr>
            <w:tcW w:w="1369" w:type="dxa"/>
          </w:tcPr>
          <w:p w14:paraId="43B26D4D" w14:textId="77777777" w:rsidR="00E016D8" w:rsidRPr="006A4403" w:rsidRDefault="00F27623" w:rsidP="00E75DE0">
            <w:pPr>
              <w:pStyle w:val="paragraph"/>
              <w:tabs>
                <w:tab w:val="clear" w:pos="1531"/>
              </w:tabs>
              <w:ind w:left="0" w:firstLine="0"/>
            </w:pPr>
            <w:r>
              <w:rPr>
                <w:noProof/>
              </w:rPr>
              <w:t>56</w:t>
            </w:r>
          </w:p>
        </w:tc>
        <w:tc>
          <w:tcPr>
            <w:tcW w:w="2647" w:type="dxa"/>
          </w:tcPr>
          <w:p w14:paraId="2F17EE21" w14:textId="77777777" w:rsidR="00E016D8" w:rsidRPr="006A4403" w:rsidRDefault="00E016D8" w:rsidP="00E75DE0">
            <w:pPr>
              <w:pStyle w:val="paragraph"/>
              <w:tabs>
                <w:tab w:val="clear" w:pos="1531"/>
              </w:tabs>
              <w:ind w:left="0" w:firstLine="0"/>
            </w:pPr>
            <w:r w:rsidRPr="006A4403">
              <w:t>subrule 4A.7(3)</w:t>
            </w:r>
          </w:p>
        </w:tc>
      </w:tr>
      <w:tr w:rsidR="006A4403" w:rsidRPr="006A4403" w14:paraId="287C8030" w14:textId="77777777" w:rsidTr="00E75DE0">
        <w:tc>
          <w:tcPr>
            <w:tcW w:w="1369" w:type="dxa"/>
          </w:tcPr>
          <w:p w14:paraId="4696899E" w14:textId="77777777" w:rsidR="00E016D8" w:rsidRPr="006A4403" w:rsidRDefault="00F27623" w:rsidP="00E75DE0">
            <w:pPr>
              <w:pStyle w:val="paragraph"/>
              <w:tabs>
                <w:tab w:val="clear" w:pos="1531"/>
              </w:tabs>
              <w:ind w:left="0" w:firstLine="0"/>
            </w:pPr>
            <w:r>
              <w:rPr>
                <w:noProof/>
              </w:rPr>
              <w:t>57</w:t>
            </w:r>
          </w:p>
        </w:tc>
        <w:tc>
          <w:tcPr>
            <w:tcW w:w="2647" w:type="dxa"/>
          </w:tcPr>
          <w:p w14:paraId="182A43EC" w14:textId="77777777" w:rsidR="00E016D8" w:rsidRPr="006A4403" w:rsidRDefault="00E016D8" w:rsidP="00E75DE0">
            <w:pPr>
              <w:pStyle w:val="paragraph"/>
              <w:tabs>
                <w:tab w:val="clear" w:pos="1531"/>
              </w:tabs>
              <w:ind w:left="0" w:firstLine="0"/>
            </w:pPr>
            <w:r w:rsidRPr="006A4403">
              <w:t>subrule 4A.8(2)</w:t>
            </w:r>
          </w:p>
        </w:tc>
      </w:tr>
      <w:tr w:rsidR="006A4403" w:rsidRPr="006A4403" w14:paraId="5DEBB58A" w14:textId="77777777" w:rsidTr="00E75DE0">
        <w:tc>
          <w:tcPr>
            <w:tcW w:w="1369" w:type="dxa"/>
          </w:tcPr>
          <w:p w14:paraId="4B4E87E8" w14:textId="77777777" w:rsidR="00E016D8" w:rsidRPr="006A4403" w:rsidRDefault="00F27623" w:rsidP="00E75DE0">
            <w:pPr>
              <w:pStyle w:val="paragraph"/>
              <w:tabs>
                <w:tab w:val="clear" w:pos="1531"/>
              </w:tabs>
              <w:ind w:left="0" w:firstLine="0"/>
            </w:pPr>
            <w:r>
              <w:rPr>
                <w:noProof/>
              </w:rPr>
              <w:t>58</w:t>
            </w:r>
          </w:p>
        </w:tc>
        <w:tc>
          <w:tcPr>
            <w:tcW w:w="2647" w:type="dxa"/>
          </w:tcPr>
          <w:p w14:paraId="1EC09A49" w14:textId="77777777" w:rsidR="00E016D8" w:rsidRPr="006A4403" w:rsidRDefault="00E016D8" w:rsidP="00E75DE0">
            <w:pPr>
              <w:pStyle w:val="paragraph"/>
              <w:tabs>
                <w:tab w:val="clear" w:pos="1531"/>
              </w:tabs>
              <w:ind w:left="0" w:firstLine="0"/>
            </w:pPr>
            <w:r w:rsidRPr="006A4403">
              <w:t>subrule 4A.8(3)</w:t>
            </w:r>
          </w:p>
        </w:tc>
      </w:tr>
      <w:tr w:rsidR="006A4403" w:rsidRPr="006A4403" w14:paraId="3AA346F2" w14:textId="77777777" w:rsidTr="00E75DE0">
        <w:tc>
          <w:tcPr>
            <w:tcW w:w="1369" w:type="dxa"/>
          </w:tcPr>
          <w:p w14:paraId="36A052DD" w14:textId="77777777" w:rsidR="00E016D8" w:rsidRPr="006A4403" w:rsidRDefault="00F27623" w:rsidP="00E75DE0">
            <w:pPr>
              <w:pStyle w:val="paragraph"/>
              <w:tabs>
                <w:tab w:val="clear" w:pos="1531"/>
              </w:tabs>
              <w:ind w:left="0" w:firstLine="0"/>
            </w:pPr>
            <w:r>
              <w:rPr>
                <w:noProof/>
              </w:rPr>
              <w:t>59</w:t>
            </w:r>
          </w:p>
        </w:tc>
        <w:tc>
          <w:tcPr>
            <w:tcW w:w="2647" w:type="dxa"/>
          </w:tcPr>
          <w:p w14:paraId="3F97B90F" w14:textId="77777777" w:rsidR="00E016D8" w:rsidRPr="006A4403" w:rsidRDefault="00E016D8" w:rsidP="00E75DE0">
            <w:pPr>
              <w:pStyle w:val="paragraph"/>
              <w:tabs>
                <w:tab w:val="clear" w:pos="1531"/>
              </w:tabs>
              <w:ind w:left="0" w:firstLine="0"/>
            </w:pPr>
            <w:r w:rsidRPr="006A4403">
              <w:t>subrule 4A.13(1)</w:t>
            </w:r>
          </w:p>
        </w:tc>
      </w:tr>
      <w:tr w:rsidR="006A4403" w:rsidRPr="006A4403" w14:paraId="4C4EDF2D" w14:textId="77777777" w:rsidTr="00E75DE0">
        <w:tc>
          <w:tcPr>
            <w:tcW w:w="1369" w:type="dxa"/>
          </w:tcPr>
          <w:p w14:paraId="24E58B3B" w14:textId="77777777" w:rsidR="00E016D8" w:rsidRPr="006A4403" w:rsidRDefault="00F27623" w:rsidP="00E75DE0">
            <w:pPr>
              <w:pStyle w:val="paragraph"/>
              <w:tabs>
                <w:tab w:val="clear" w:pos="1531"/>
              </w:tabs>
              <w:ind w:left="0" w:firstLine="0"/>
            </w:pPr>
            <w:r>
              <w:rPr>
                <w:noProof/>
              </w:rPr>
              <w:t>60</w:t>
            </w:r>
          </w:p>
        </w:tc>
        <w:tc>
          <w:tcPr>
            <w:tcW w:w="2647" w:type="dxa"/>
          </w:tcPr>
          <w:p w14:paraId="151B1DB1" w14:textId="77777777" w:rsidR="00E016D8" w:rsidRPr="006A4403" w:rsidRDefault="00E016D8" w:rsidP="00E75DE0">
            <w:pPr>
              <w:pStyle w:val="paragraph"/>
              <w:tabs>
                <w:tab w:val="clear" w:pos="1531"/>
              </w:tabs>
              <w:ind w:left="0" w:firstLine="0"/>
            </w:pPr>
            <w:r w:rsidRPr="006A4403">
              <w:t>subrule 4A.14(2)</w:t>
            </w:r>
          </w:p>
        </w:tc>
      </w:tr>
      <w:tr w:rsidR="006A4403" w:rsidRPr="006A4403" w14:paraId="1BE23E56" w14:textId="77777777" w:rsidTr="00E75DE0">
        <w:tc>
          <w:tcPr>
            <w:tcW w:w="1369" w:type="dxa"/>
          </w:tcPr>
          <w:p w14:paraId="08D48CF4" w14:textId="77777777" w:rsidR="00E016D8" w:rsidRPr="006A4403" w:rsidRDefault="00F27623" w:rsidP="00E75DE0">
            <w:pPr>
              <w:pStyle w:val="paragraph"/>
              <w:tabs>
                <w:tab w:val="clear" w:pos="1531"/>
              </w:tabs>
              <w:ind w:left="0" w:firstLine="0"/>
            </w:pPr>
            <w:r>
              <w:rPr>
                <w:noProof/>
              </w:rPr>
              <w:t>61</w:t>
            </w:r>
          </w:p>
        </w:tc>
        <w:tc>
          <w:tcPr>
            <w:tcW w:w="2647" w:type="dxa"/>
          </w:tcPr>
          <w:p w14:paraId="5D302AAE" w14:textId="77777777" w:rsidR="00E016D8" w:rsidRPr="006A4403" w:rsidRDefault="00E016D8" w:rsidP="00E75DE0">
            <w:pPr>
              <w:pStyle w:val="paragraph"/>
              <w:tabs>
                <w:tab w:val="clear" w:pos="1531"/>
              </w:tabs>
              <w:ind w:left="0" w:firstLine="0"/>
            </w:pPr>
            <w:r w:rsidRPr="006A4403">
              <w:t>subrule 4A.14(3)</w:t>
            </w:r>
          </w:p>
        </w:tc>
      </w:tr>
      <w:tr w:rsidR="006A4403" w:rsidRPr="006A4403" w14:paraId="1AE13839" w14:textId="77777777" w:rsidTr="00E75DE0">
        <w:tc>
          <w:tcPr>
            <w:tcW w:w="1369" w:type="dxa"/>
          </w:tcPr>
          <w:p w14:paraId="517E3D03" w14:textId="77777777" w:rsidR="00E016D8" w:rsidRPr="006A4403" w:rsidRDefault="00F27623" w:rsidP="00E75DE0">
            <w:pPr>
              <w:pStyle w:val="paragraph"/>
              <w:tabs>
                <w:tab w:val="clear" w:pos="1531"/>
              </w:tabs>
              <w:ind w:left="0" w:firstLine="0"/>
            </w:pPr>
            <w:r>
              <w:rPr>
                <w:noProof/>
              </w:rPr>
              <w:t>62</w:t>
            </w:r>
          </w:p>
        </w:tc>
        <w:tc>
          <w:tcPr>
            <w:tcW w:w="2647" w:type="dxa"/>
          </w:tcPr>
          <w:p w14:paraId="72F778C6" w14:textId="77777777" w:rsidR="00E016D8" w:rsidRPr="006A4403" w:rsidRDefault="00E016D8" w:rsidP="00E75DE0">
            <w:pPr>
              <w:pStyle w:val="paragraph"/>
              <w:tabs>
                <w:tab w:val="clear" w:pos="1531"/>
              </w:tabs>
              <w:ind w:left="0" w:firstLine="0"/>
            </w:pPr>
            <w:r w:rsidRPr="006A4403">
              <w:t>subrule 5.1B(2)</w:t>
            </w:r>
          </w:p>
        </w:tc>
      </w:tr>
      <w:tr w:rsidR="006A4403" w:rsidRPr="006A4403" w14:paraId="0D6E5007" w14:textId="77777777" w:rsidTr="00E75DE0">
        <w:tc>
          <w:tcPr>
            <w:tcW w:w="1369" w:type="dxa"/>
          </w:tcPr>
          <w:p w14:paraId="4D369296" w14:textId="77777777" w:rsidR="00E016D8" w:rsidRPr="006A4403" w:rsidRDefault="00F27623" w:rsidP="00E75DE0">
            <w:pPr>
              <w:pStyle w:val="paragraph"/>
              <w:tabs>
                <w:tab w:val="clear" w:pos="1531"/>
              </w:tabs>
              <w:ind w:left="0" w:firstLine="0"/>
            </w:pPr>
            <w:r>
              <w:rPr>
                <w:noProof/>
              </w:rPr>
              <w:t>63</w:t>
            </w:r>
          </w:p>
        </w:tc>
        <w:tc>
          <w:tcPr>
            <w:tcW w:w="2647" w:type="dxa"/>
          </w:tcPr>
          <w:p w14:paraId="41A260F4" w14:textId="77777777" w:rsidR="00E016D8" w:rsidRPr="006A4403" w:rsidRDefault="00E016D8" w:rsidP="00E75DE0">
            <w:pPr>
              <w:pStyle w:val="paragraph"/>
              <w:tabs>
                <w:tab w:val="clear" w:pos="1531"/>
              </w:tabs>
              <w:ind w:left="0" w:firstLine="0"/>
            </w:pPr>
            <w:r w:rsidRPr="006A4403">
              <w:t>subrule 5.1B(3)</w:t>
            </w:r>
          </w:p>
        </w:tc>
      </w:tr>
      <w:tr w:rsidR="006A4403" w:rsidRPr="006A4403" w14:paraId="5EF4F701" w14:textId="77777777" w:rsidTr="00E75DE0">
        <w:tc>
          <w:tcPr>
            <w:tcW w:w="1369" w:type="dxa"/>
          </w:tcPr>
          <w:p w14:paraId="5C00D8C9" w14:textId="77777777" w:rsidR="00E016D8" w:rsidRPr="006A4403" w:rsidRDefault="00F27623" w:rsidP="00E75DE0">
            <w:pPr>
              <w:pStyle w:val="paragraph"/>
              <w:tabs>
                <w:tab w:val="clear" w:pos="1531"/>
              </w:tabs>
              <w:ind w:left="0" w:firstLine="0"/>
            </w:pPr>
            <w:r>
              <w:rPr>
                <w:noProof/>
              </w:rPr>
              <w:t>64</w:t>
            </w:r>
          </w:p>
        </w:tc>
        <w:tc>
          <w:tcPr>
            <w:tcW w:w="2647" w:type="dxa"/>
          </w:tcPr>
          <w:p w14:paraId="2789725C" w14:textId="77777777" w:rsidR="00E016D8" w:rsidRPr="006A4403" w:rsidRDefault="00E016D8" w:rsidP="00E75DE0">
            <w:pPr>
              <w:pStyle w:val="paragraph"/>
              <w:tabs>
                <w:tab w:val="clear" w:pos="1531"/>
              </w:tabs>
              <w:ind w:left="0" w:firstLine="0"/>
            </w:pPr>
            <w:r w:rsidRPr="006A4403">
              <w:t>subrule 5.1B(4)</w:t>
            </w:r>
          </w:p>
        </w:tc>
      </w:tr>
      <w:tr w:rsidR="006A4403" w:rsidRPr="006A4403" w14:paraId="6202C9AF" w14:textId="77777777" w:rsidTr="00E75DE0">
        <w:tc>
          <w:tcPr>
            <w:tcW w:w="1369" w:type="dxa"/>
          </w:tcPr>
          <w:p w14:paraId="76B4DB6B" w14:textId="77777777" w:rsidR="00E016D8" w:rsidRPr="006A4403" w:rsidRDefault="00F27623" w:rsidP="00E75DE0">
            <w:pPr>
              <w:pStyle w:val="paragraph"/>
              <w:tabs>
                <w:tab w:val="clear" w:pos="1531"/>
              </w:tabs>
              <w:ind w:left="0" w:firstLine="0"/>
            </w:pPr>
            <w:r>
              <w:rPr>
                <w:noProof/>
              </w:rPr>
              <w:t>65</w:t>
            </w:r>
          </w:p>
        </w:tc>
        <w:tc>
          <w:tcPr>
            <w:tcW w:w="2647" w:type="dxa"/>
          </w:tcPr>
          <w:p w14:paraId="135293F5" w14:textId="77777777" w:rsidR="00E016D8" w:rsidRPr="006A4403" w:rsidRDefault="00E016D8" w:rsidP="00E75DE0">
            <w:pPr>
              <w:pStyle w:val="paragraph"/>
              <w:tabs>
                <w:tab w:val="clear" w:pos="1531"/>
              </w:tabs>
              <w:ind w:left="0" w:firstLine="0"/>
            </w:pPr>
            <w:r w:rsidRPr="006A4403">
              <w:t>subrule 5.1B(5)</w:t>
            </w:r>
          </w:p>
        </w:tc>
      </w:tr>
      <w:tr w:rsidR="006A4403" w:rsidRPr="006A4403" w14:paraId="0943D5EB" w14:textId="77777777" w:rsidTr="00E75DE0">
        <w:tc>
          <w:tcPr>
            <w:tcW w:w="1369" w:type="dxa"/>
          </w:tcPr>
          <w:p w14:paraId="20003ACF" w14:textId="77777777" w:rsidR="00E016D8" w:rsidRPr="006A4403" w:rsidRDefault="00F27623" w:rsidP="00E75DE0">
            <w:pPr>
              <w:pStyle w:val="paragraph"/>
              <w:tabs>
                <w:tab w:val="clear" w:pos="1531"/>
              </w:tabs>
              <w:ind w:left="0" w:firstLine="0"/>
            </w:pPr>
            <w:r>
              <w:rPr>
                <w:noProof/>
              </w:rPr>
              <w:t>66</w:t>
            </w:r>
          </w:p>
        </w:tc>
        <w:tc>
          <w:tcPr>
            <w:tcW w:w="2647" w:type="dxa"/>
          </w:tcPr>
          <w:p w14:paraId="43DCD0D2" w14:textId="77777777" w:rsidR="00E016D8" w:rsidRPr="006A4403" w:rsidRDefault="00E016D8" w:rsidP="00E75DE0">
            <w:pPr>
              <w:pStyle w:val="paragraph"/>
              <w:tabs>
                <w:tab w:val="clear" w:pos="1531"/>
              </w:tabs>
              <w:ind w:left="0" w:firstLine="0"/>
            </w:pPr>
            <w:r w:rsidRPr="006A4403">
              <w:t>subrule 5.12(1)</w:t>
            </w:r>
          </w:p>
        </w:tc>
      </w:tr>
      <w:tr w:rsidR="006A4403" w:rsidRPr="006A4403" w14:paraId="60C65D31" w14:textId="77777777" w:rsidTr="00E75DE0">
        <w:tc>
          <w:tcPr>
            <w:tcW w:w="1369" w:type="dxa"/>
          </w:tcPr>
          <w:p w14:paraId="0A7252BE" w14:textId="77777777" w:rsidR="00E016D8" w:rsidRPr="006A4403" w:rsidRDefault="00F27623" w:rsidP="00E75DE0">
            <w:pPr>
              <w:pStyle w:val="paragraph"/>
              <w:tabs>
                <w:tab w:val="clear" w:pos="1531"/>
              </w:tabs>
              <w:ind w:left="0" w:firstLine="0"/>
            </w:pPr>
            <w:r>
              <w:rPr>
                <w:noProof/>
              </w:rPr>
              <w:t>67</w:t>
            </w:r>
          </w:p>
        </w:tc>
        <w:tc>
          <w:tcPr>
            <w:tcW w:w="2647" w:type="dxa"/>
          </w:tcPr>
          <w:p w14:paraId="5EDD099B" w14:textId="77777777" w:rsidR="00E016D8" w:rsidRPr="006A4403" w:rsidRDefault="00E016D8" w:rsidP="00E75DE0">
            <w:pPr>
              <w:pStyle w:val="paragraph"/>
              <w:tabs>
                <w:tab w:val="clear" w:pos="1531"/>
              </w:tabs>
              <w:ind w:left="0" w:firstLine="0"/>
            </w:pPr>
            <w:r w:rsidRPr="006A4403">
              <w:t>rule 5.13</w:t>
            </w:r>
          </w:p>
        </w:tc>
      </w:tr>
      <w:tr w:rsidR="006A4403" w:rsidRPr="006A4403" w14:paraId="241D944B" w14:textId="77777777" w:rsidTr="00E75DE0">
        <w:tc>
          <w:tcPr>
            <w:tcW w:w="1369" w:type="dxa"/>
          </w:tcPr>
          <w:p w14:paraId="34F2117E" w14:textId="77777777" w:rsidR="00E016D8" w:rsidRPr="006A4403" w:rsidRDefault="00F27623" w:rsidP="00E75DE0">
            <w:pPr>
              <w:pStyle w:val="paragraph"/>
              <w:tabs>
                <w:tab w:val="clear" w:pos="1531"/>
              </w:tabs>
              <w:ind w:left="0" w:firstLine="0"/>
            </w:pPr>
            <w:r>
              <w:rPr>
                <w:noProof/>
              </w:rPr>
              <w:t>68</w:t>
            </w:r>
          </w:p>
        </w:tc>
        <w:tc>
          <w:tcPr>
            <w:tcW w:w="2647" w:type="dxa"/>
          </w:tcPr>
          <w:p w14:paraId="4595EFCE" w14:textId="77777777" w:rsidR="00E016D8" w:rsidRPr="006A4403" w:rsidRDefault="00E016D8" w:rsidP="00E75DE0">
            <w:pPr>
              <w:pStyle w:val="paragraph"/>
              <w:tabs>
                <w:tab w:val="clear" w:pos="1531"/>
              </w:tabs>
              <w:ind w:left="0" w:firstLine="0"/>
            </w:pPr>
            <w:r w:rsidRPr="006A4403">
              <w:t>subrule 5.14(1)</w:t>
            </w:r>
          </w:p>
        </w:tc>
      </w:tr>
      <w:tr w:rsidR="006A4403" w:rsidRPr="006A4403" w14:paraId="56BF254C" w14:textId="77777777" w:rsidTr="00E75DE0">
        <w:tc>
          <w:tcPr>
            <w:tcW w:w="1369" w:type="dxa"/>
          </w:tcPr>
          <w:p w14:paraId="1DCECEA6" w14:textId="77777777" w:rsidR="00E016D8" w:rsidRPr="006A4403" w:rsidRDefault="00F27623" w:rsidP="00E75DE0">
            <w:pPr>
              <w:pStyle w:val="paragraph"/>
              <w:tabs>
                <w:tab w:val="clear" w:pos="1531"/>
              </w:tabs>
              <w:ind w:left="0" w:firstLine="0"/>
            </w:pPr>
            <w:r>
              <w:rPr>
                <w:noProof/>
              </w:rPr>
              <w:lastRenderedPageBreak/>
              <w:t>69</w:t>
            </w:r>
          </w:p>
        </w:tc>
        <w:tc>
          <w:tcPr>
            <w:tcW w:w="2647" w:type="dxa"/>
          </w:tcPr>
          <w:p w14:paraId="21DA8222" w14:textId="77777777" w:rsidR="00E016D8" w:rsidRPr="006A4403" w:rsidRDefault="00E016D8" w:rsidP="00E75DE0">
            <w:pPr>
              <w:pStyle w:val="paragraph"/>
              <w:tabs>
                <w:tab w:val="clear" w:pos="1531"/>
              </w:tabs>
              <w:ind w:left="0" w:firstLine="0"/>
            </w:pPr>
            <w:r w:rsidRPr="006A4403">
              <w:t>subrule 5.23(2)</w:t>
            </w:r>
          </w:p>
        </w:tc>
      </w:tr>
      <w:tr w:rsidR="006A4403" w:rsidRPr="006A4403" w14:paraId="6B658DFA" w14:textId="77777777" w:rsidTr="00E75DE0">
        <w:tc>
          <w:tcPr>
            <w:tcW w:w="1369" w:type="dxa"/>
          </w:tcPr>
          <w:p w14:paraId="7E06B15E" w14:textId="77777777" w:rsidR="00E016D8" w:rsidRPr="006A4403" w:rsidRDefault="00F27623" w:rsidP="00E75DE0">
            <w:pPr>
              <w:pStyle w:val="paragraph"/>
              <w:tabs>
                <w:tab w:val="clear" w:pos="1531"/>
              </w:tabs>
              <w:ind w:left="0" w:firstLine="0"/>
            </w:pPr>
            <w:r>
              <w:rPr>
                <w:noProof/>
              </w:rPr>
              <w:t>70</w:t>
            </w:r>
          </w:p>
        </w:tc>
        <w:tc>
          <w:tcPr>
            <w:tcW w:w="2647" w:type="dxa"/>
          </w:tcPr>
          <w:p w14:paraId="61CF5E67" w14:textId="77777777" w:rsidR="00E016D8" w:rsidRPr="006A4403" w:rsidRDefault="00E016D8" w:rsidP="00E75DE0">
            <w:pPr>
              <w:pStyle w:val="paragraph"/>
              <w:tabs>
                <w:tab w:val="clear" w:pos="1531"/>
              </w:tabs>
              <w:ind w:left="0" w:firstLine="0"/>
            </w:pPr>
            <w:r w:rsidRPr="006A4403">
              <w:t>subrule 5.23(3)</w:t>
            </w:r>
          </w:p>
        </w:tc>
      </w:tr>
      <w:tr w:rsidR="006A4403" w:rsidRPr="006A4403" w14:paraId="41B26B06" w14:textId="77777777" w:rsidTr="00E75DE0">
        <w:tc>
          <w:tcPr>
            <w:tcW w:w="1369" w:type="dxa"/>
          </w:tcPr>
          <w:p w14:paraId="320493A0" w14:textId="77777777" w:rsidR="00E016D8" w:rsidRPr="006A4403" w:rsidRDefault="00F27623" w:rsidP="00E75DE0">
            <w:pPr>
              <w:pStyle w:val="paragraph"/>
              <w:tabs>
                <w:tab w:val="clear" w:pos="1531"/>
              </w:tabs>
              <w:ind w:left="0" w:firstLine="0"/>
            </w:pPr>
            <w:r>
              <w:rPr>
                <w:noProof/>
              </w:rPr>
              <w:t>71</w:t>
            </w:r>
          </w:p>
        </w:tc>
        <w:tc>
          <w:tcPr>
            <w:tcW w:w="2647" w:type="dxa"/>
          </w:tcPr>
          <w:p w14:paraId="74A038DD" w14:textId="77777777" w:rsidR="00E016D8" w:rsidRPr="006A4403" w:rsidRDefault="00E016D8" w:rsidP="00E75DE0">
            <w:pPr>
              <w:pStyle w:val="paragraph"/>
              <w:tabs>
                <w:tab w:val="clear" w:pos="1531"/>
              </w:tabs>
              <w:ind w:left="0" w:firstLine="0"/>
            </w:pPr>
            <w:r w:rsidRPr="006A4403">
              <w:t>subrule 5.23(4)</w:t>
            </w:r>
          </w:p>
        </w:tc>
      </w:tr>
      <w:tr w:rsidR="006A4403" w:rsidRPr="006A4403" w14:paraId="743318F2" w14:textId="77777777" w:rsidTr="00E75DE0">
        <w:tc>
          <w:tcPr>
            <w:tcW w:w="1369" w:type="dxa"/>
          </w:tcPr>
          <w:p w14:paraId="74C09F04" w14:textId="77777777" w:rsidR="00E016D8" w:rsidRPr="006A4403" w:rsidRDefault="00F27623" w:rsidP="00E75DE0">
            <w:pPr>
              <w:pStyle w:val="paragraph"/>
              <w:tabs>
                <w:tab w:val="clear" w:pos="1531"/>
              </w:tabs>
              <w:ind w:left="0" w:firstLine="0"/>
            </w:pPr>
            <w:r>
              <w:rPr>
                <w:noProof/>
              </w:rPr>
              <w:t>72</w:t>
            </w:r>
          </w:p>
        </w:tc>
        <w:tc>
          <w:tcPr>
            <w:tcW w:w="2647" w:type="dxa"/>
          </w:tcPr>
          <w:p w14:paraId="1CA1547E" w14:textId="77777777" w:rsidR="00E016D8" w:rsidRPr="006A4403" w:rsidRDefault="00E016D8" w:rsidP="00E75DE0">
            <w:pPr>
              <w:pStyle w:val="paragraph"/>
              <w:tabs>
                <w:tab w:val="clear" w:pos="1531"/>
              </w:tabs>
              <w:ind w:left="0" w:firstLine="0"/>
            </w:pPr>
            <w:r w:rsidRPr="006A4403">
              <w:t>subrule 5.31(2)</w:t>
            </w:r>
          </w:p>
        </w:tc>
      </w:tr>
      <w:tr w:rsidR="006A4403" w:rsidRPr="006A4403" w14:paraId="497B38C8" w14:textId="77777777" w:rsidTr="00E75DE0">
        <w:tc>
          <w:tcPr>
            <w:tcW w:w="1369" w:type="dxa"/>
          </w:tcPr>
          <w:p w14:paraId="6750FE70" w14:textId="77777777" w:rsidR="00E016D8" w:rsidRPr="006A4403" w:rsidRDefault="00F27623" w:rsidP="00E75DE0">
            <w:pPr>
              <w:pStyle w:val="paragraph"/>
              <w:tabs>
                <w:tab w:val="clear" w:pos="1531"/>
              </w:tabs>
              <w:ind w:left="0" w:firstLine="0"/>
            </w:pPr>
            <w:r>
              <w:rPr>
                <w:noProof/>
              </w:rPr>
              <w:t>73</w:t>
            </w:r>
          </w:p>
        </w:tc>
        <w:tc>
          <w:tcPr>
            <w:tcW w:w="2647" w:type="dxa"/>
          </w:tcPr>
          <w:p w14:paraId="293DF8B6" w14:textId="77777777" w:rsidR="00E016D8" w:rsidRPr="006A4403" w:rsidRDefault="00E016D8" w:rsidP="00E75DE0">
            <w:pPr>
              <w:pStyle w:val="paragraph"/>
              <w:tabs>
                <w:tab w:val="clear" w:pos="1531"/>
              </w:tabs>
              <w:ind w:left="0" w:firstLine="0"/>
            </w:pPr>
            <w:r w:rsidRPr="006A4403">
              <w:t>rule 6.1</w:t>
            </w:r>
          </w:p>
        </w:tc>
      </w:tr>
      <w:tr w:rsidR="006A4403" w:rsidRPr="006A4403" w14:paraId="48832D9E" w14:textId="77777777" w:rsidTr="00E75DE0">
        <w:tc>
          <w:tcPr>
            <w:tcW w:w="1369" w:type="dxa"/>
          </w:tcPr>
          <w:p w14:paraId="173E2242" w14:textId="77777777" w:rsidR="00E016D8" w:rsidRPr="006A4403" w:rsidRDefault="00F27623" w:rsidP="00E75DE0">
            <w:pPr>
              <w:pStyle w:val="paragraph"/>
              <w:tabs>
                <w:tab w:val="clear" w:pos="1531"/>
              </w:tabs>
              <w:ind w:left="0" w:firstLine="0"/>
            </w:pPr>
            <w:r>
              <w:rPr>
                <w:noProof/>
              </w:rPr>
              <w:t>74</w:t>
            </w:r>
          </w:p>
        </w:tc>
        <w:tc>
          <w:tcPr>
            <w:tcW w:w="2647" w:type="dxa"/>
          </w:tcPr>
          <w:p w14:paraId="45B4EA09" w14:textId="77777777" w:rsidR="00E016D8" w:rsidRPr="006A4403" w:rsidRDefault="00E016D8" w:rsidP="00E75DE0">
            <w:pPr>
              <w:pStyle w:val="paragraph"/>
              <w:tabs>
                <w:tab w:val="clear" w:pos="1531"/>
              </w:tabs>
              <w:ind w:left="0" w:firstLine="0"/>
            </w:pPr>
            <w:r w:rsidRPr="006A4403">
              <w:t>rule 6.2</w:t>
            </w:r>
          </w:p>
        </w:tc>
      </w:tr>
      <w:tr w:rsidR="006A4403" w:rsidRPr="006A4403" w14:paraId="0E7FD0F3" w14:textId="77777777" w:rsidTr="00E75DE0">
        <w:tc>
          <w:tcPr>
            <w:tcW w:w="1369" w:type="dxa"/>
          </w:tcPr>
          <w:p w14:paraId="6B79D1C6" w14:textId="77777777" w:rsidR="00E016D8" w:rsidRPr="006A4403" w:rsidRDefault="00F27623" w:rsidP="00E75DE0">
            <w:pPr>
              <w:pStyle w:val="paragraph"/>
              <w:tabs>
                <w:tab w:val="clear" w:pos="1531"/>
              </w:tabs>
              <w:ind w:left="0" w:firstLine="0"/>
            </w:pPr>
            <w:r>
              <w:rPr>
                <w:noProof/>
              </w:rPr>
              <w:t>75</w:t>
            </w:r>
          </w:p>
        </w:tc>
        <w:tc>
          <w:tcPr>
            <w:tcW w:w="2647" w:type="dxa"/>
          </w:tcPr>
          <w:p w14:paraId="3B718ECB" w14:textId="77777777" w:rsidR="00E016D8" w:rsidRPr="006A4403" w:rsidRDefault="00E016D8" w:rsidP="00E75DE0">
            <w:pPr>
              <w:pStyle w:val="paragraph"/>
              <w:tabs>
                <w:tab w:val="clear" w:pos="1531"/>
              </w:tabs>
              <w:ind w:left="0" w:firstLine="0"/>
            </w:pPr>
            <w:r w:rsidRPr="006A4403">
              <w:t>subrule 7.2(4)</w:t>
            </w:r>
          </w:p>
        </w:tc>
      </w:tr>
      <w:tr w:rsidR="006A4403" w:rsidRPr="006A4403" w14:paraId="328738BD" w14:textId="77777777" w:rsidTr="00E75DE0">
        <w:tc>
          <w:tcPr>
            <w:tcW w:w="1369" w:type="dxa"/>
          </w:tcPr>
          <w:p w14:paraId="587FAD87" w14:textId="77777777" w:rsidR="00E016D8" w:rsidRPr="006A4403" w:rsidRDefault="00F27623" w:rsidP="00E75DE0">
            <w:pPr>
              <w:pStyle w:val="paragraph"/>
              <w:tabs>
                <w:tab w:val="clear" w:pos="1531"/>
              </w:tabs>
              <w:ind w:left="0" w:firstLine="0"/>
            </w:pPr>
            <w:r>
              <w:rPr>
                <w:noProof/>
              </w:rPr>
              <w:t>76</w:t>
            </w:r>
          </w:p>
        </w:tc>
        <w:tc>
          <w:tcPr>
            <w:tcW w:w="2647" w:type="dxa"/>
          </w:tcPr>
          <w:p w14:paraId="3530F72D" w14:textId="77777777" w:rsidR="00E016D8" w:rsidRPr="006A4403" w:rsidRDefault="00E016D8" w:rsidP="00E75DE0">
            <w:pPr>
              <w:pStyle w:val="paragraph"/>
              <w:tabs>
                <w:tab w:val="clear" w:pos="1531"/>
              </w:tabs>
              <w:ind w:left="0" w:firstLine="0"/>
            </w:pPr>
            <w:r w:rsidRPr="006A4403">
              <w:t>subrule 7.2(6)</w:t>
            </w:r>
          </w:p>
        </w:tc>
      </w:tr>
      <w:tr w:rsidR="006A4403" w:rsidRPr="006A4403" w14:paraId="5024C3F6" w14:textId="77777777" w:rsidTr="00E75DE0">
        <w:tc>
          <w:tcPr>
            <w:tcW w:w="1369" w:type="dxa"/>
          </w:tcPr>
          <w:p w14:paraId="089877C4" w14:textId="77777777" w:rsidR="00E016D8" w:rsidRPr="006A4403" w:rsidRDefault="00F27623" w:rsidP="00E75DE0">
            <w:pPr>
              <w:pStyle w:val="paragraph"/>
              <w:tabs>
                <w:tab w:val="clear" w:pos="1531"/>
              </w:tabs>
              <w:ind w:left="0" w:firstLine="0"/>
            </w:pPr>
            <w:r>
              <w:rPr>
                <w:noProof/>
              </w:rPr>
              <w:t>77</w:t>
            </w:r>
          </w:p>
        </w:tc>
        <w:tc>
          <w:tcPr>
            <w:tcW w:w="2647" w:type="dxa"/>
          </w:tcPr>
          <w:p w14:paraId="5C374A28" w14:textId="77777777" w:rsidR="00E016D8" w:rsidRPr="006A4403" w:rsidRDefault="00E016D8" w:rsidP="00E75DE0">
            <w:pPr>
              <w:pStyle w:val="paragraph"/>
              <w:tabs>
                <w:tab w:val="clear" w:pos="1531"/>
              </w:tabs>
              <w:ind w:left="0" w:firstLine="0"/>
            </w:pPr>
            <w:r w:rsidRPr="006A4403">
              <w:t>subrule 7.2(7)</w:t>
            </w:r>
          </w:p>
        </w:tc>
      </w:tr>
      <w:tr w:rsidR="006A4403" w:rsidRPr="006A4403" w14:paraId="4EF43169" w14:textId="77777777" w:rsidTr="00E75DE0">
        <w:tc>
          <w:tcPr>
            <w:tcW w:w="1369" w:type="dxa"/>
          </w:tcPr>
          <w:p w14:paraId="2D7E8FA2" w14:textId="77777777" w:rsidR="00E016D8" w:rsidRPr="006A4403" w:rsidRDefault="00F27623" w:rsidP="00E75DE0">
            <w:pPr>
              <w:pStyle w:val="paragraph"/>
              <w:tabs>
                <w:tab w:val="clear" w:pos="1531"/>
              </w:tabs>
              <w:ind w:left="0" w:firstLine="0"/>
            </w:pPr>
            <w:r>
              <w:rPr>
                <w:noProof/>
              </w:rPr>
              <w:t>78</w:t>
            </w:r>
          </w:p>
        </w:tc>
        <w:tc>
          <w:tcPr>
            <w:tcW w:w="2647" w:type="dxa"/>
          </w:tcPr>
          <w:p w14:paraId="6B58F677" w14:textId="77777777" w:rsidR="00E016D8" w:rsidRPr="006A4403" w:rsidRDefault="00E016D8" w:rsidP="00E75DE0">
            <w:pPr>
              <w:pStyle w:val="paragraph"/>
              <w:tabs>
                <w:tab w:val="clear" w:pos="1531"/>
              </w:tabs>
              <w:ind w:left="0" w:firstLine="0"/>
            </w:pPr>
            <w:r w:rsidRPr="006A4403">
              <w:t>subrule 7.2(8)</w:t>
            </w:r>
          </w:p>
        </w:tc>
      </w:tr>
      <w:tr w:rsidR="006A4403" w:rsidRPr="006A4403" w14:paraId="68917F4B" w14:textId="77777777" w:rsidTr="00E75DE0">
        <w:tc>
          <w:tcPr>
            <w:tcW w:w="1369" w:type="dxa"/>
          </w:tcPr>
          <w:p w14:paraId="09185E7E" w14:textId="77777777" w:rsidR="00E016D8" w:rsidRPr="006A4403" w:rsidRDefault="00F27623" w:rsidP="00E75DE0">
            <w:pPr>
              <w:pStyle w:val="paragraph"/>
              <w:tabs>
                <w:tab w:val="clear" w:pos="1531"/>
              </w:tabs>
              <w:ind w:left="0" w:firstLine="0"/>
            </w:pPr>
            <w:r>
              <w:rPr>
                <w:noProof/>
              </w:rPr>
              <w:t>79</w:t>
            </w:r>
          </w:p>
        </w:tc>
        <w:tc>
          <w:tcPr>
            <w:tcW w:w="2647" w:type="dxa"/>
          </w:tcPr>
          <w:p w14:paraId="06EDB6FB" w14:textId="77777777" w:rsidR="00E016D8" w:rsidRPr="006A4403" w:rsidRDefault="00E016D8" w:rsidP="00E75DE0">
            <w:pPr>
              <w:pStyle w:val="paragraph"/>
              <w:tabs>
                <w:tab w:val="clear" w:pos="1531"/>
              </w:tabs>
              <w:ind w:left="0" w:firstLine="0"/>
            </w:pPr>
            <w:r w:rsidRPr="006A4403">
              <w:t>subrule 7.2(9)</w:t>
            </w:r>
          </w:p>
        </w:tc>
      </w:tr>
      <w:tr w:rsidR="006A4403" w:rsidRPr="006A4403" w14:paraId="7CF0F9E9" w14:textId="77777777" w:rsidTr="00E75DE0">
        <w:tc>
          <w:tcPr>
            <w:tcW w:w="1369" w:type="dxa"/>
          </w:tcPr>
          <w:p w14:paraId="30CD3E5B" w14:textId="77777777" w:rsidR="00E016D8" w:rsidRPr="006A4403" w:rsidRDefault="00F27623" w:rsidP="00E75DE0">
            <w:pPr>
              <w:pStyle w:val="paragraph"/>
              <w:tabs>
                <w:tab w:val="clear" w:pos="1531"/>
              </w:tabs>
              <w:ind w:left="0" w:firstLine="0"/>
            </w:pPr>
            <w:r>
              <w:rPr>
                <w:noProof/>
              </w:rPr>
              <w:t>80</w:t>
            </w:r>
          </w:p>
        </w:tc>
        <w:tc>
          <w:tcPr>
            <w:tcW w:w="2647" w:type="dxa"/>
          </w:tcPr>
          <w:p w14:paraId="4CDE084B" w14:textId="77777777" w:rsidR="00E016D8" w:rsidRPr="006A4403" w:rsidRDefault="00E016D8" w:rsidP="00E75DE0">
            <w:pPr>
              <w:pStyle w:val="paragraph"/>
              <w:tabs>
                <w:tab w:val="clear" w:pos="1531"/>
              </w:tabs>
              <w:ind w:left="0" w:firstLine="0"/>
            </w:pPr>
            <w:r w:rsidRPr="006A4403">
              <w:t>subrule 7.3(2)</w:t>
            </w:r>
          </w:p>
        </w:tc>
      </w:tr>
      <w:tr w:rsidR="006A4403" w:rsidRPr="006A4403" w14:paraId="71BEA8E8" w14:textId="77777777" w:rsidTr="00E75DE0">
        <w:tc>
          <w:tcPr>
            <w:tcW w:w="1369" w:type="dxa"/>
          </w:tcPr>
          <w:p w14:paraId="43B06996" w14:textId="77777777" w:rsidR="00E016D8" w:rsidRPr="006A4403" w:rsidRDefault="00F27623" w:rsidP="00E75DE0">
            <w:pPr>
              <w:pStyle w:val="paragraph"/>
              <w:tabs>
                <w:tab w:val="clear" w:pos="1531"/>
              </w:tabs>
              <w:ind w:left="0" w:firstLine="0"/>
            </w:pPr>
            <w:r>
              <w:rPr>
                <w:noProof/>
              </w:rPr>
              <w:t>81</w:t>
            </w:r>
          </w:p>
        </w:tc>
        <w:tc>
          <w:tcPr>
            <w:tcW w:w="2647" w:type="dxa"/>
          </w:tcPr>
          <w:p w14:paraId="61CF88C4" w14:textId="77777777" w:rsidR="00E016D8" w:rsidRPr="006A4403" w:rsidRDefault="00E016D8" w:rsidP="00E75DE0">
            <w:pPr>
              <w:pStyle w:val="paragraph"/>
              <w:tabs>
                <w:tab w:val="clear" w:pos="1531"/>
              </w:tabs>
              <w:ind w:left="0" w:firstLine="0"/>
            </w:pPr>
            <w:r w:rsidRPr="006A4403">
              <w:t>subrule 7.3A(1)</w:t>
            </w:r>
          </w:p>
        </w:tc>
      </w:tr>
      <w:tr w:rsidR="006A4403" w:rsidRPr="006A4403" w14:paraId="1717BDFB" w14:textId="77777777" w:rsidTr="00E75DE0">
        <w:tc>
          <w:tcPr>
            <w:tcW w:w="1369" w:type="dxa"/>
          </w:tcPr>
          <w:p w14:paraId="3A62C717" w14:textId="77777777" w:rsidR="00E016D8" w:rsidRPr="006A4403" w:rsidRDefault="00F27623" w:rsidP="00E75DE0">
            <w:pPr>
              <w:pStyle w:val="paragraph"/>
              <w:tabs>
                <w:tab w:val="clear" w:pos="1531"/>
              </w:tabs>
              <w:ind w:left="0" w:firstLine="0"/>
            </w:pPr>
            <w:r>
              <w:rPr>
                <w:noProof/>
              </w:rPr>
              <w:t>82</w:t>
            </w:r>
          </w:p>
        </w:tc>
        <w:tc>
          <w:tcPr>
            <w:tcW w:w="2647" w:type="dxa"/>
          </w:tcPr>
          <w:p w14:paraId="7A7C8C1A" w14:textId="77777777" w:rsidR="00E016D8" w:rsidRPr="006A4403" w:rsidRDefault="00E016D8" w:rsidP="00E75DE0">
            <w:pPr>
              <w:pStyle w:val="paragraph"/>
              <w:tabs>
                <w:tab w:val="clear" w:pos="1531"/>
              </w:tabs>
              <w:ind w:left="0" w:firstLine="0"/>
            </w:pPr>
            <w:r w:rsidRPr="006A4403">
              <w:t>subrule 7.3B(1)</w:t>
            </w:r>
          </w:p>
        </w:tc>
      </w:tr>
      <w:tr w:rsidR="006A4403" w:rsidRPr="006A4403" w14:paraId="77B12DAF" w14:textId="77777777" w:rsidTr="00E75DE0">
        <w:tc>
          <w:tcPr>
            <w:tcW w:w="1369" w:type="dxa"/>
          </w:tcPr>
          <w:p w14:paraId="04DFF578" w14:textId="77777777" w:rsidR="00E016D8" w:rsidRPr="006A4403" w:rsidRDefault="00F27623" w:rsidP="00E75DE0">
            <w:pPr>
              <w:pStyle w:val="paragraph"/>
              <w:tabs>
                <w:tab w:val="clear" w:pos="1531"/>
              </w:tabs>
              <w:ind w:left="0" w:firstLine="0"/>
            </w:pPr>
            <w:r>
              <w:rPr>
                <w:noProof/>
              </w:rPr>
              <w:t>83</w:t>
            </w:r>
          </w:p>
        </w:tc>
        <w:tc>
          <w:tcPr>
            <w:tcW w:w="2647" w:type="dxa"/>
          </w:tcPr>
          <w:p w14:paraId="1ED8A150" w14:textId="77777777" w:rsidR="00E016D8" w:rsidRPr="006A4403" w:rsidRDefault="00E016D8" w:rsidP="00E75DE0">
            <w:pPr>
              <w:pStyle w:val="paragraph"/>
              <w:tabs>
                <w:tab w:val="clear" w:pos="1531"/>
              </w:tabs>
              <w:ind w:left="0" w:firstLine="0"/>
            </w:pPr>
            <w:r w:rsidRPr="006A4403">
              <w:t>subrule 7.6(1)</w:t>
            </w:r>
          </w:p>
        </w:tc>
      </w:tr>
      <w:tr w:rsidR="006A4403" w:rsidRPr="006A4403" w14:paraId="1F8D8FB4" w14:textId="77777777" w:rsidTr="00E75DE0">
        <w:tc>
          <w:tcPr>
            <w:tcW w:w="1369" w:type="dxa"/>
          </w:tcPr>
          <w:p w14:paraId="6332988B" w14:textId="77777777" w:rsidR="00E016D8" w:rsidRPr="006A4403" w:rsidRDefault="00F27623" w:rsidP="00E75DE0">
            <w:pPr>
              <w:pStyle w:val="paragraph"/>
              <w:tabs>
                <w:tab w:val="clear" w:pos="1531"/>
              </w:tabs>
              <w:ind w:left="0" w:firstLine="0"/>
            </w:pPr>
            <w:r>
              <w:rPr>
                <w:noProof/>
              </w:rPr>
              <w:t>84</w:t>
            </w:r>
          </w:p>
        </w:tc>
        <w:tc>
          <w:tcPr>
            <w:tcW w:w="2647" w:type="dxa"/>
          </w:tcPr>
          <w:p w14:paraId="27130402" w14:textId="77777777" w:rsidR="00E016D8" w:rsidRPr="006A4403" w:rsidRDefault="00E016D8" w:rsidP="00E75DE0">
            <w:pPr>
              <w:pStyle w:val="paragraph"/>
              <w:tabs>
                <w:tab w:val="clear" w:pos="1531"/>
              </w:tabs>
              <w:ind w:left="0" w:firstLine="0"/>
            </w:pPr>
            <w:r w:rsidRPr="006A4403">
              <w:t>subrule 7.8A(1)</w:t>
            </w:r>
          </w:p>
        </w:tc>
      </w:tr>
      <w:tr w:rsidR="006A4403" w:rsidRPr="006A4403" w14:paraId="67FC1B07" w14:textId="77777777" w:rsidTr="00E75DE0">
        <w:tc>
          <w:tcPr>
            <w:tcW w:w="1369" w:type="dxa"/>
          </w:tcPr>
          <w:p w14:paraId="14CEB11A" w14:textId="77777777" w:rsidR="00E016D8" w:rsidRPr="006A4403" w:rsidRDefault="00F27623" w:rsidP="00E75DE0">
            <w:pPr>
              <w:pStyle w:val="paragraph"/>
              <w:tabs>
                <w:tab w:val="clear" w:pos="1531"/>
              </w:tabs>
              <w:ind w:left="0" w:firstLine="0"/>
            </w:pPr>
            <w:r>
              <w:rPr>
                <w:noProof/>
              </w:rPr>
              <w:t>85</w:t>
            </w:r>
          </w:p>
        </w:tc>
        <w:tc>
          <w:tcPr>
            <w:tcW w:w="2647" w:type="dxa"/>
          </w:tcPr>
          <w:p w14:paraId="586CFB93" w14:textId="77777777" w:rsidR="00E016D8" w:rsidRPr="006A4403" w:rsidRDefault="00E016D8" w:rsidP="00E75DE0">
            <w:pPr>
              <w:pStyle w:val="paragraph"/>
              <w:tabs>
                <w:tab w:val="clear" w:pos="1531"/>
              </w:tabs>
              <w:ind w:left="0" w:firstLine="0"/>
            </w:pPr>
            <w:r w:rsidRPr="006A4403">
              <w:t>subrule 7.8A(2)</w:t>
            </w:r>
          </w:p>
        </w:tc>
      </w:tr>
      <w:tr w:rsidR="006A4403" w:rsidRPr="006A4403" w14:paraId="70D11A02" w14:textId="77777777" w:rsidTr="00E75DE0">
        <w:tc>
          <w:tcPr>
            <w:tcW w:w="1369" w:type="dxa"/>
          </w:tcPr>
          <w:p w14:paraId="4DA5D992" w14:textId="77777777" w:rsidR="00E016D8" w:rsidRPr="006A4403" w:rsidRDefault="00F27623" w:rsidP="00E75DE0">
            <w:pPr>
              <w:pStyle w:val="paragraph"/>
              <w:tabs>
                <w:tab w:val="clear" w:pos="1531"/>
              </w:tabs>
              <w:ind w:left="0" w:firstLine="0"/>
            </w:pPr>
            <w:r>
              <w:rPr>
                <w:noProof/>
              </w:rPr>
              <w:t>86</w:t>
            </w:r>
          </w:p>
        </w:tc>
        <w:tc>
          <w:tcPr>
            <w:tcW w:w="2647" w:type="dxa"/>
          </w:tcPr>
          <w:p w14:paraId="6E98A3CE" w14:textId="77777777" w:rsidR="00E016D8" w:rsidRPr="006A4403" w:rsidRDefault="00E016D8" w:rsidP="00E75DE0">
            <w:pPr>
              <w:pStyle w:val="paragraph"/>
              <w:tabs>
                <w:tab w:val="clear" w:pos="1531"/>
              </w:tabs>
              <w:ind w:left="0" w:firstLine="0"/>
            </w:pPr>
            <w:r w:rsidRPr="006A4403">
              <w:t>subrule 7.8B(1)</w:t>
            </w:r>
          </w:p>
        </w:tc>
      </w:tr>
      <w:tr w:rsidR="006A4403" w:rsidRPr="006A4403" w14:paraId="3487F46A" w14:textId="77777777" w:rsidTr="00E75DE0">
        <w:tc>
          <w:tcPr>
            <w:tcW w:w="1369" w:type="dxa"/>
          </w:tcPr>
          <w:p w14:paraId="20DFA874" w14:textId="77777777" w:rsidR="00E016D8" w:rsidRPr="006A4403" w:rsidRDefault="00F27623" w:rsidP="00E75DE0">
            <w:pPr>
              <w:pStyle w:val="paragraph"/>
              <w:tabs>
                <w:tab w:val="clear" w:pos="1531"/>
              </w:tabs>
              <w:ind w:left="0" w:firstLine="0"/>
            </w:pPr>
            <w:r>
              <w:rPr>
                <w:noProof/>
              </w:rPr>
              <w:t>87</w:t>
            </w:r>
          </w:p>
        </w:tc>
        <w:tc>
          <w:tcPr>
            <w:tcW w:w="2647" w:type="dxa"/>
          </w:tcPr>
          <w:p w14:paraId="3F4E2901" w14:textId="77777777" w:rsidR="00E016D8" w:rsidRPr="006A4403" w:rsidRDefault="00E016D8" w:rsidP="00E75DE0">
            <w:pPr>
              <w:pStyle w:val="paragraph"/>
              <w:tabs>
                <w:tab w:val="clear" w:pos="1531"/>
              </w:tabs>
              <w:ind w:left="0" w:firstLine="0"/>
            </w:pPr>
            <w:r w:rsidRPr="006A4403">
              <w:t>subrule 7.8B(2)</w:t>
            </w:r>
          </w:p>
        </w:tc>
      </w:tr>
      <w:tr w:rsidR="006A4403" w:rsidRPr="006A4403" w14:paraId="7F44EEC6" w14:textId="77777777" w:rsidTr="00E75DE0">
        <w:tc>
          <w:tcPr>
            <w:tcW w:w="1369" w:type="dxa"/>
          </w:tcPr>
          <w:p w14:paraId="5EB8534F" w14:textId="77777777" w:rsidR="00E016D8" w:rsidRPr="006A4403" w:rsidRDefault="00F27623" w:rsidP="00E75DE0">
            <w:pPr>
              <w:pStyle w:val="paragraph"/>
              <w:tabs>
                <w:tab w:val="clear" w:pos="1531"/>
              </w:tabs>
              <w:ind w:left="0" w:firstLine="0"/>
            </w:pPr>
            <w:r>
              <w:rPr>
                <w:noProof/>
              </w:rPr>
              <w:t>88</w:t>
            </w:r>
          </w:p>
        </w:tc>
        <w:tc>
          <w:tcPr>
            <w:tcW w:w="2647" w:type="dxa"/>
          </w:tcPr>
          <w:p w14:paraId="6060DE81" w14:textId="77777777" w:rsidR="00E016D8" w:rsidRPr="006A4403" w:rsidRDefault="00E016D8" w:rsidP="00E75DE0">
            <w:pPr>
              <w:pStyle w:val="paragraph"/>
              <w:tabs>
                <w:tab w:val="clear" w:pos="1531"/>
              </w:tabs>
              <w:ind w:left="0" w:firstLine="0"/>
            </w:pPr>
            <w:r w:rsidRPr="006A4403">
              <w:t>subrule 7.10A(1)</w:t>
            </w:r>
          </w:p>
        </w:tc>
      </w:tr>
      <w:tr w:rsidR="006A4403" w:rsidRPr="006A4403" w14:paraId="54D0C96B" w14:textId="77777777" w:rsidTr="00E75DE0">
        <w:tc>
          <w:tcPr>
            <w:tcW w:w="1369" w:type="dxa"/>
          </w:tcPr>
          <w:p w14:paraId="1289220F" w14:textId="77777777" w:rsidR="00E016D8" w:rsidRPr="006A4403" w:rsidRDefault="00F27623" w:rsidP="00E75DE0">
            <w:pPr>
              <w:pStyle w:val="paragraph"/>
              <w:tabs>
                <w:tab w:val="clear" w:pos="1531"/>
              </w:tabs>
              <w:ind w:left="0" w:firstLine="0"/>
            </w:pPr>
            <w:r>
              <w:rPr>
                <w:noProof/>
              </w:rPr>
              <w:t>89</w:t>
            </w:r>
          </w:p>
        </w:tc>
        <w:tc>
          <w:tcPr>
            <w:tcW w:w="2647" w:type="dxa"/>
          </w:tcPr>
          <w:p w14:paraId="31EC644E" w14:textId="77777777" w:rsidR="00E016D8" w:rsidRPr="006A4403" w:rsidRDefault="00E016D8" w:rsidP="00E75DE0">
            <w:pPr>
              <w:pStyle w:val="paragraph"/>
              <w:tabs>
                <w:tab w:val="clear" w:pos="1531"/>
              </w:tabs>
              <w:ind w:left="0" w:firstLine="0"/>
            </w:pPr>
            <w:r w:rsidRPr="006A4403">
              <w:t>subrule 7.14(1)</w:t>
            </w:r>
          </w:p>
        </w:tc>
      </w:tr>
      <w:tr w:rsidR="006A4403" w:rsidRPr="006A4403" w14:paraId="5558F250" w14:textId="77777777" w:rsidTr="00E75DE0">
        <w:tc>
          <w:tcPr>
            <w:tcW w:w="1369" w:type="dxa"/>
          </w:tcPr>
          <w:p w14:paraId="68CBF9D7" w14:textId="77777777" w:rsidR="00E016D8" w:rsidRPr="006A4403" w:rsidRDefault="00F27623" w:rsidP="00E75DE0">
            <w:pPr>
              <w:pStyle w:val="paragraph"/>
              <w:tabs>
                <w:tab w:val="clear" w:pos="1531"/>
              </w:tabs>
              <w:ind w:left="0" w:firstLine="0"/>
            </w:pPr>
            <w:r>
              <w:rPr>
                <w:noProof/>
              </w:rPr>
              <w:t>90</w:t>
            </w:r>
          </w:p>
        </w:tc>
        <w:tc>
          <w:tcPr>
            <w:tcW w:w="2647" w:type="dxa"/>
          </w:tcPr>
          <w:p w14:paraId="743CA37D" w14:textId="77777777" w:rsidR="00E016D8" w:rsidRPr="006A4403" w:rsidRDefault="00E016D8" w:rsidP="00E75DE0">
            <w:pPr>
              <w:pStyle w:val="paragraph"/>
              <w:tabs>
                <w:tab w:val="clear" w:pos="1531"/>
              </w:tabs>
              <w:ind w:left="0" w:firstLine="0"/>
            </w:pPr>
            <w:r w:rsidRPr="006A4403">
              <w:t>subrule 7.14(2)</w:t>
            </w:r>
          </w:p>
        </w:tc>
      </w:tr>
      <w:tr w:rsidR="006A4403" w:rsidRPr="006A4403" w14:paraId="32F0C9BF" w14:textId="77777777" w:rsidTr="00E75DE0">
        <w:tc>
          <w:tcPr>
            <w:tcW w:w="1369" w:type="dxa"/>
          </w:tcPr>
          <w:p w14:paraId="5054C34C" w14:textId="77777777" w:rsidR="00E016D8" w:rsidRPr="006A4403" w:rsidRDefault="00F27623" w:rsidP="00E75DE0">
            <w:pPr>
              <w:pStyle w:val="paragraph"/>
              <w:tabs>
                <w:tab w:val="clear" w:pos="1531"/>
              </w:tabs>
              <w:ind w:left="0" w:firstLine="0"/>
            </w:pPr>
            <w:r>
              <w:rPr>
                <w:noProof/>
              </w:rPr>
              <w:t>91</w:t>
            </w:r>
          </w:p>
        </w:tc>
        <w:tc>
          <w:tcPr>
            <w:tcW w:w="2647" w:type="dxa"/>
          </w:tcPr>
          <w:p w14:paraId="5ED52B73" w14:textId="77777777" w:rsidR="00E016D8" w:rsidRPr="006A4403" w:rsidRDefault="00E016D8" w:rsidP="00E75DE0">
            <w:pPr>
              <w:pStyle w:val="paragraph"/>
              <w:tabs>
                <w:tab w:val="clear" w:pos="1531"/>
              </w:tabs>
              <w:ind w:left="0" w:firstLine="0"/>
            </w:pPr>
            <w:r w:rsidRPr="006A4403">
              <w:t>subrule 7.16(1)</w:t>
            </w:r>
          </w:p>
        </w:tc>
      </w:tr>
      <w:tr w:rsidR="006A4403" w:rsidRPr="006A4403" w14:paraId="4A468BDE" w14:textId="77777777" w:rsidTr="00E75DE0">
        <w:tc>
          <w:tcPr>
            <w:tcW w:w="1369" w:type="dxa"/>
          </w:tcPr>
          <w:p w14:paraId="5A787E99" w14:textId="77777777" w:rsidR="00E016D8" w:rsidRPr="006A4403" w:rsidRDefault="00F27623" w:rsidP="00E75DE0">
            <w:pPr>
              <w:pStyle w:val="paragraph"/>
              <w:tabs>
                <w:tab w:val="clear" w:pos="1531"/>
              </w:tabs>
              <w:ind w:left="0" w:firstLine="0"/>
            </w:pPr>
            <w:r>
              <w:rPr>
                <w:noProof/>
              </w:rPr>
              <w:t>92</w:t>
            </w:r>
          </w:p>
        </w:tc>
        <w:tc>
          <w:tcPr>
            <w:tcW w:w="2647" w:type="dxa"/>
          </w:tcPr>
          <w:p w14:paraId="5B9DA818" w14:textId="77777777" w:rsidR="00E016D8" w:rsidRPr="006A4403" w:rsidRDefault="00E016D8" w:rsidP="00E75DE0">
            <w:pPr>
              <w:pStyle w:val="paragraph"/>
              <w:tabs>
                <w:tab w:val="clear" w:pos="1531"/>
              </w:tabs>
              <w:ind w:left="0" w:firstLine="0"/>
            </w:pPr>
            <w:r w:rsidRPr="006A4403">
              <w:t>subrule 9.6(4)</w:t>
            </w:r>
          </w:p>
        </w:tc>
      </w:tr>
      <w:tr w:rsidR="006A4403" w:rsidRPr="006A4403" w14:paraId="0B06B73C" w14:textId="77777777" w:rsidTr="00E75DE0">
        <w:tc>
          <w:tcPr>
            <w:tcW w:w="1369" w:type="dxa"/>
          </w:tcPr>
          <w:p w14:paraId="0F7093C0" w14:textId="77777777" w:rsidR="00E016D8" w:rsidRPr="006A4403" w:rsidRDefault="00F27623" w:rsidP="00E75DE0">
            <w:pPr>
              <w:pStyle w:val="paragraph"/>
              <w:tabs>
                <w:tab w:val="clear" w:pos="1531"/>
              </w:tabs>
              <w:ind w:left="0" w:firstLine="0"/>
            </w:pPr>
            <w:r>
              <w:rPr>
                <w:noProof/>
              </w:rPr>
              <w:t>93</w:t>
            </w:r>
          </w:p>
        </w:tc>
        <w:tc>
          <w:tcPr>
            <w:tcW w:w="2647" w:type="dxa"/>
          </w:tcPr>
          <w:p w14:paraId="6CE0E6E4" w14:textId="77777777" w:rsidR="00E016D8" w:rsidRPr="006A4403" w:rsidRDefault="00E016D8" w:rsidP="00E75DE0">
            <w:pPr>
              <w:pStyle w:val="paragraph"/>
              <w:tabs>
                <w:tab w:val="clear" w:pos="1531"/>
              </w:tabs>
              <w:ind w:left="0" w:firstLine="0"/>
            </w:pPr>
            <w:r w:rsidRPr="006A4403">
              <w:t>subrule 9.7(3).</w:t>
            </w:r>
          </w:p>
        </w:tc>
      </w:tr>
    </w:tbl>
    <w:p w14:paraId="1BB03CC2" w14:textId="77777777" w:rsidR="00F9472A" w:rsidRPr="006A4403" w:rsidRDefault="00F9472A" w:rsidP="00F9472A">
      <w:pPr>
        <w:pStyle w:val="notetext"/>
      </w:pPr>
      <w:r w:rsidRPr="006A4403">
        <w:t>Note:</w:t>
      </w:r>
      <w:r w:rsidRPr="006A4403">
        <w:tab/>
      </w:r>
      <w:r w:rsidRPr="006A4403">
        <w:rPr>
          <w:bCs/>
          <w:lang w:val="en-US"/>
        </w:rPr>
        <w:t xml:space="preserve">Subrules </w:t>
      </w:r>
      <w:r w:rsidRPr="006A4403">
        <w:t xml:space="preserve">2.5(2), 3.5(2), 4.7(3), 5.25(3), 5.25(5), 5.34(4), </w:t>
      </w:r>
      <w:r w:rsidRPr="006A4403">
        <w:rPr>
          <w:bCs/>
          <w:lang w:val="en-US"/>
        </w:rPr>
        <w:t>9.3(1), 9.3(2), 9.3(2A), 9.3(5), 9.4(1) ), 9.4(1A), 9.4</w:t>
      </w:r>
      <w:r w:rsidRPr="006A4403">
        <w:t>(2)</w:t>
      </w:r>
      <w:r w:rsidRPr="006A4403">
        <w:rPr>
          <w:bCs/>
          <w:lang w:val="en-US"/>
        </w:rPr>
        <w:t xml:space="preserve"> 9.4</w:t>
      </w:r>
      <w:r w:rsidRPr="006A4403">
        <w:t>(2A)</w:t>
      </w:r>
      <w:r w:rsidRPr="006A4403">
        <w:rPr>
          <w:bCs/>
          <w:lang w:val="en-US"/>
        </w:rPr>
        <w:t xml:space="preserve">, 9.4(3), 9.5(4), 9.5(5) and 9.5(6) are also civil penalty provisions within the meaning of the Regulatory Powers Act. </w:t>
      </w:r>
    </w:p>
    <w:bookmarkEnd w:id="331"/>
    <w:p w14:paraId="5317AEA6" w14:textId="77777777" w:rsidR="000A3653" w:rsidRPr="006A4403" w:rsidRDefault="004B0AB6" w:rsidP="000A3653">
      <w:pPr>
        <w:pStyle w:val="ItemHead"/>
      </w:pPr>
      <w:r>
        <w:t>138</w:t>
      </w:r>
      <w:r w:rsidR="00723B2F" w:rsidRPr="006A4403">
        <w:t xml:space="preserve">  </w:t>
      </w:r>
      <w:r w:rsidR="000A3653" w:rsidRPr="006A4403">
        <w:t xml:space="preserve">Subclause 2.1(1) of Schedule 1 (note to the definition of </w:t>
      </w:r>
      <w:r w:rsidR="000A3653" w:rsidRPr="006A4403">
        <w:rPr>
          <w:i/>
        </w:rPr>
        <w:t>assurance report</w:t>
      </w:r>
      <w:r w:rsidR="000A3653" w:rsidRPr="006A4403">
        <w:t>)</w:t>
      </w:r>
    </w:p>
    <w:p w14:paraId="4E93FDC8" w14:textId="77777777" w:rsidR="000A3653" w:rsidRPr="006A4403" w:rsidRDefault="000A3653" w:rsidP="000A3653">
      <w:pPr>
        <w:pStyle w:val="Item"/>
      </w:pPr>
      <w:r w:rsidRPr="006A4403">
        <w:t>Repeal the note, substitute:</w:t>
      </w:r>
    </w:p>
    <w:p w14:paraId="1E7BB594" w14:textId="77777777" w:rsidR="000A3653" w:rsidRPr="006A4403" w:rsidRDefault="000A3653" w:rsidP="000A3653">
      <w:pPr>
        <w:pStyle w:val="notetext"/>
      </w:pPr>
      <w:bookmarkStart w:id="333" w:name="_Hlk121833881"/>
      <w:r w:rsidRPr="006A4403">
        <w:t>Note:</w:t>
      </w:r>
      <w:r w:rsidRPr="006A4403">
        <w:tab/>
        <w:t>See the accreditation guidelines, which could in 2023 be downloaded from https://www.cdr.gov.au.</w:t>
      </w:r>
    </w:p>
    <w:p w14:paraId="0AF1B307" w14:textId="77777777" w:rsidR="000A3653" w:rsidRPr="006A4403" w:rsidRDefault="000A3653" w:rsidP="000A3653">
      <w:pPr>
        <w:pStyle w:val="notetext"/>
      </w:pPr>
      <w:r w:rsidRPr="006A4403">
        <w:tab/>
        <w:t xml:space="preserve">ASAE 3150 </w:t>
      </w:r>
      <w:r w:rsidRPr="006A4403">
        <w:rPr>
          <w:rFonts w:eastAsiaTheme="minorHAnsi"/>
        </w:rPr>
        <w:t xml:space="preserve">could in </w:t>
      </w:r>
      <w:r w:rsidRPr="006A4403">
        <w:t xml:space="preserve">2023 </w:t>
      </w:r>
      <w:r w:rsidRPr="006A4403">
        <w:rPr>
          <w:rFonts w:eastAsiaTheme="minorHAnsi"/>
        </w:rPr>
        <w:t>be downloaded from the Auditing and Assurance Standards Board’s website (https://www.auasb.gov.au/admin/file/content102/c3/Jan15_ASAE_3150_Assurance_Engagements_on_Controls.pdf).</w:t>
      </w:r>
      <w:bookmarkEnd w:id="333"/>
    </w:p>
    <w:p w14:paraId="756DD939" w14:textId="77777777" w:rsidR="000A3653" w:rsidRPr="006A4403" w:rsidRDefault="004B0AB6" w:rsidP="000A3653">
      <w:pPr>
        <w:pStyle w:val="ItemHead"/>
        <w:rPr>
          <w:noProof/>
        </w:rPr>
      </w:pPr>
      <w:bookmarkStart w:id="334" w:name="_Toc111132269"/>
      <w:r>
        <w:t>139</w:t>
      </w:r>
      <w:r w:rsidR="00723B2F" w:rsidRPr="006A4403">
        <w:t xml:space="preserve">  </w:t>
      </w:r>
      <w:r w:rsidR="000A3653" w:rsidRPr="006A4403">
        <w:rPr>
          <w:noProof/>
        </w:rPr>
        <w:t>Subclause 2.1(4) of Schedule 1</w:t>
      </w:r>
    </w:p>
    <w:p w14:paraId="12335D11" w14:textId="77777777" w:rsidR="000A3653" w:rsidRPr="006A4403" w:rsidRDefault="000A3653" w:rsidP="000A3653">
      <w:pPr>
        <w:pStyle w:val="Item"/>
      </w:pPr>
      <w:r w:rsidRPr="006A4403">
        <w:tab/>
        <w:t>Omit “For”, substitute “In”.</w:t>
      </w:r>
    </w:p>
    <w:p w14:paraId="5786044E" w14:textId="77777777" w:rsidR="000A3653" w:rsidRPr="006A4403" w:rsidRDefault="004B0AB6" w:rsidP="000A3653">
      <w:pPr>
        <w:pStyle w:val="ItemHead"/>
        <w:rPr>
          <w:noProof/>
        </w:rPr>
      </w:pPr>
      <w:r>
        <w:t>140</w:t>
      </w:r>
      <w:r w:rsidR="00723B2F" w:rsidRPr="006A4403">
        <w:t xml:space="preserve">  </w:t>
      </w:r>
      <w:r w:rsidR="000A3653" w:rsidRPr="006A4403">
        <w:rPr>
          <w:noProof/>
        </w:rPr>
        <w:t>At the end of paragraph 2.2(2)(a) of Schedule 1</w:t>
      </w:r>
    </w:p>
    <w:p w14:paraId="4B6007D7" w14:textId="77777777" w:rsidR="000A3653" w:rsidRPr="006A4403" w:rsidRDefault="000A3653" w:rsidP="000A3653">
      <w:pPr>
        <w:pStyle w:val="Item"/>
      </w:pPr>
      <w:r w:rsidRPr="006A4403">
        <w:tab/>
        <w:t>Add “and”.</w:t>
      </w:r>
    </w:p>
    <w:p w14:paraId="3E19A556" w14:textId="77777777" w:rsidR="000A3653" w:rsidRPr="006A4403" w:rsidRDefault="004B0AB6" w:rsidP="000A3653">
      <w:pPr>
        <w:pStyle w:val="ItemHead"/>
      </w:pPr>
      <w:r>
        <w:t>141</w:t>
      </w:r>
      <w:r w:rsidR="00723B2F" w:rsidRPr="006A4403">
        <w:t xml:space="preserve">  </w:t>
      </w:r>
      <w:r w:rsidR="000A3653" w:rsidRPr="006A4403">
        <w:t>Clause 1.1 of Schedule 2</w:t>
      </w:r>
    </w:p>
    <w:p w14:paraId="78E8B319" w14:textId="77777777" w:rsidR="000A3653" w:rsidRPr="006A4403" w:rsidRDefault="000A3653" w:rsidP="000A3653">
      <w:pPr>
        <w:pStyle w:val="Item"/>
      </w:pPr>
      <w:r w:rsidRPr="006A4403">
        <w:t>Omit “purpose”, substitute “purposes”.</w:t>
      </w:r>
    </w:p>
    <w:p w14:paraId="122BC4A4" w14:textId="77777777" w:rsidR="000A3653" w:rsidRPr="006A4403" w:rsidRDefault="004B0AB6" w:rsidP="000A3653">
      <w:pPr>
        <w:pStyle w:val="ItemHead"/>
      </w:pPr>
      <w:r>
        <w:lastRenderedPageBreak/>
        <w:t>142</w:t>
      </w:r>
      <w:r w:rsidR="00723B2F" w:rsidRPr="006A4403">
        <w:t xml:space="preserve">  </w:t>
      </w:r>
      <w:r w:rsidR="000A3653" w:rsidRPr="006A4403">
        <w:t>Clause 2.1 of Schedule 2</w:t>
      </w:r>
    </w:p>
    <w:p w14:paraId="3423731D" w14:textId="77777777" w:rsidR="000A3653" w:rsidRPr="006A4403" w:rsidRDefault="000A3653" w:rsidP="000A3653">
      <w:pPr>
        <w:pStyle w:val="Item"/>
      </w:pPr>
      <w:r w:rsidRPr="006A4403">
        <w:t>Omit “purpose”, substitute “purposes”.</w:t>
      </w:r>
    </w:p>
    <w:p w14:paraId="4F03E777" w14:textId="77777777" w:rsidR="000A3653" w:rsidRPr="006A4403" w:rsidRDefault="004B0AB6" w:rsidP="000A3653">
      <w:pPr>
        <w:pStyle w:val="ItemHead"/>
      </w:pPr>
      <w:r>
        <w:t>143</w:t>
      </w:r>
      <w:r w:rsidR="00723B2F" w:rsidRPr="006A4403">
        <w:t xml:space="preserve">  </w:t>
      </w:r>
      <w:r w:rsidR="000A3653" w:rsidRPr="006A4403">
        <w:t>Clause 1.3 of Schedule 3 (table item 1, column 2, sub</w:t>
      </w:r>
      <w:r w:rsidR="000A3653" w:rsidRPr="006A4403">
        <w:noBreakHyphen/>
        <w:t>subparagraph (b)(iv)(B))</w:t>
      </w:r>
    </w:p>
    <w:p w14:paraId="63D3A874" w14:textId="77777777" w:rsidR="000A3653" w:rsidRPr="006A4403" w:rsidRDefault="000A3653" w:rsidP="000A3653">
      <w:pPr>
        <w:pStyle w:val="Item"/>
      </w:pPr>
      <w:r w:rsidRPr="006A4403">
        <w:t>Repeal the sub</w:t>
      </w:r>
      <w:r w:rsidRPr="006A4403">
        <w:noBreakHyphen/>
        <w:t>subparagraph, substitute:</w:t>
      </w:r>
    </w:p>
    <w:p w14:paraId="49F25D61" w14:textId="77777777" w:rsidR="000A3653" w:rsidRPr="006A4403" w:rsidRDefault="000A3653" w:rsidP="000A3653">
      <w:pPr>
        <w:pStyle w:val="TableAA"/>
      </w:pPr>
      <w:r w:rsidRPr="006A4403">
        <w:tab/>
        <w:t>(B)</w:t>
      </w:r>
      <w:r w:rsidRPr="006A4403">
        <w:tab/>
        <w:t>the person’s ABN;</w:t>
      </w:r>
    </w:p>
    <w:p w14:paraId="71F53A03" w14:textId="77777777" w:rsidR="000A3653" w:rsidRPr="006A4403" w:rsidRDefault="004B0AB6" w:rsidP="000A3653">
      <w:pPr>
        <w:pStyle w:val="ItemHead"/>
      </w:pPr>
      <w:r>
        <w:t>144</w:t>
      </w:r>
      <w:r w:rsidR="00723B2F" w:rsidRPr="006A4403">
        <w:t xml:space="preserve">  </w:t>
      </w:r>
      <w:r w:rsidR="000A3653" w:rsidRPr="006A4403">
        <w:t>After clause 1.4 of Schedule 3</w:t>
      </w:r>
    </w:p>
    <w:p w14:paraId="67BF74E1" w14:textId="77777777" w:rsidR="000A3653" w:rsidRPr="006A4403" w:rsidRDefault="000A3653" w:rsidP="000A3653">
      <w:pPr>
        <w:pStyle w:val="Item"/>
      </w:pPr>
      <w:r w:rsidRPr="006A4403">
        <w:t>Insert:</w:t>
      </w:r>
    </w:p>
    <w:p w14:paraId="36F3DC3E" w14:textId="77777777" w:rsidR="000A3653" w:rsidRPr="006A4403" w:rsidRDefault="000A3653" w:rsidP="000A3653">
      <w:pPr>
        <w:pStyle w:val="ActHead5"/>
      </w:pPr>
      <w:bookmarkStart w:id="335" w:name="_Toc116895977"/>
      <w:bookmarkStart w:id="336" w:name="_Toc135295327"/>
      <w:bookmarkStart w:id="337" w:name="_Hlk121834325"/>
      <w:r w:rsidRPr="006A4403">
        <w:t xml:space="preserve">1.5  Meaning of </w:t>
      </w:r>
      <w:r w:rsidRPr="006A4403">
        <w:rPr>
          <w:i/>
        </w:rPr>
        <w:t>trial product</w:t>
      </w:r>
      <w:bookmarkEnd w:id="334"/>
      <w:bookmarkEnd w:id="335"/>
      <w:bookmarkEnd w:id="336"/>
      <w:r w:rsidRPr="006A4403">
        <w:rPr>
          <w:i/>
        </w:rPr>
        <w:t xml:space="preserve"> </w:t>
      </w:r>
      <w:r w:rsidRPr="006A4403">
        <w:t xml:space="preserve"> </w:t>
      </w:r>
    </w:p>
    <w:p w14:paraId="4454FDB5" w14:textId="77777777" w:rsidR="000A3653" w:rsidRPr="006A4403" w:rsidRDefault="000A3653" w:rsidP="000A3653">
      <w:pPr>
        <w:pStyle w:val="subsection"/>
      </w:pPr>
      <w:r w:rsidRPr="006A4403">
        <w:tab/>
        <w:t>(1)</w:t>
      </w:r>
      <w:r w:rsidRPr="006A4403">
        <w:tab/>
        <w:t xml:space="preserve">For these rules, in relation to the banking sector, a product is a </w:t>
      </w:r>
      <w:r w:rsidRPr="006A4403">
        <w:rPr>
          <w:b/>
          <w:i/>
        </w:rPr>
        <w:t xml:space="preserve">trial product </w:t>
      </w:r>
      <w:r w:rsidRPr="006A4403">
        <w:t>if the product:</w:t>
      </w:r>
    </w:p>
    <w:p w14:paraId="0B95D1AA" w14:textId="77777777" w:rsidR="000A3653" w:rsidRPr="006A4403" w:rsidRDefault="000A3653" w:rsidP="000A3653">
      <w:pPr>
        <w:pStyle w:val="paragraph"/>
      </w:pPr>
      <w:r w:rsidRPr="006A4403">
        <w:tab/>
        <w:t>(a)</w:t>
      </w:r>
      <w:r w:rsidRPr="006A4403">
        <w:tab/>
        <w:t>is a phase 1 product, a phase 2 product or a phase 3 product; and</w:t>
      </w:r>
    </w:p>
    <w:p w14:paraId="0D99101F" w14:textId="77777777" w:rsidR="000A3653" w:rsidRPr="006A4403" w:rsidRDefault="000A3653" w:rsidP="000A3653">
      <w:pPr>
        <w:pStyle w:val="paragraph"/>
      </w:pPr>
      <w:r w:rsidRPr="006A4403">
        <w:tab/>
        <w:t>(b)</w:t>
      </w:r>
      <w:r w:rsidRPr="006A4403">
        <w:tab/>
        <w:t>is offered:</w:t>
      </w:r>
    </w:p>
    <w:p w14:paraId="440C32EE" w14:textId="77777777" w:rsidR="000A3653" w:rsidRPr="006A4403" w:rsidRDefault="000A3653" w:rsidP="000A3653">
      <w:pPr>
        <w:pStyle w:val="paragraphsub"/>
      </w:pPr>
      <w:r w:rsidRPr="006A4403">
        <w:tab/>
        <w:t>(i)</w:t>
      </w:r>
      <w:r w:rsidRPr="006A4403">
        <w:tab/>
        <w:t>with the description “pilot” or “trial”; and</w:t>
      </w:r>
    </w:p>
    <w:p w14:paraId="230A9ABF" w14:textId="77777777" w:rsidR="000A3653" w:rsidRPr="006A4403" w:rsidRDefault="000A3653" w:rsidP="000A3653">
      <w:pPr>
        <w:pStyle w:val="paragraphsub"/>
      </w:pPr>
      <w:r w:rsidRPr="006A4403">
        <w:tab/>
        <w:t>(ii)</w:t>
      </w:r>
      <w:r w:rsidRPr="006A4403">
        <w:tab/>
        <w:t xml:space="preserve">with a statement of a period for which it will operate as a pilot or trial that ends no more than 6 months after the initial offering (the </w:t>
      </w:r>
      <w:r w:rsidRPr="006A4403">
        <w:rPr>
          <w:b/>
          <w:i/>
        </w:rPr>
        <w:t>trial period</w:t>
      </w:r>
      <w:r w:rsidRPr="006A4403">
        <w:t>); and</w:t>
      </w:r>
    </w:p>
    <w:p w14:paraId="68DF5365" w14:textId="77777777" w:rsidR="000A3653" w:rsidRPr="006A4403" w:rsidRDefault="000A3653" w:rsidP="000A3653">
      <w:pPr>
        <w:pStyle w:val="paragraphsub"/>
      </w:pPr>
      <w:r w:rsidRPr="006A4403">
        <w:tab/>
        <w:t xml:space="preserve">  (iii)</w:t>
      </w:r>
      <w:r w:rsidRPr="006A4403">
        <w:tab/>
        <w:t>on the basis that the number of customers supplied with the product for the purposes of the trial will be limited to no more than 1,000; and</w:t>
      </w:r>
    </w:p>
    <w:p w14:paraId="5A8F4ADE" w14:textId="77777777" w:rsidR="000A3653" w:rsidRPr="006A4403" w:rsidRDefault="000A3653" w:rsidP="000A3653">
      <w:pPr>
        <w:pStyle w:val="paragraphsub"/>
      </w:pPr>
      <w:r w:rsidRPr="006A4403">
        <w:tab/>
        <w:t>(iv)</w:t>
      </w:r>
      <w:r w:rsidRPr="006A4403">
        <w:tab/>
        <w:t xml:space="preserve">with a statement that the product may be terminated before the end of the trial period and that, if it is, the CDR data in relation to the product may not be available. </w:t>
      </w:r>
    </w:p>
    <w:p w14:paraId="4638062F" w14:textId="77777777" w:rsidR="000A3653" w:rsidRPr="006A4403" w:rsidRDefault="000A3653" w:rsidP="000A3653">
      <w:pPr>
        <w:pStyle w:val="subsection"/>
      </w:pPr>
      <w:r w:rsidRPr="006A4403">
        <w:tab/>
        <w:t>(2)</w:t>
      </w:r>
      <w:r w:rsidRPr="006A4403">
        <w:tab/>
        <w:t xml:space="preserve">However, such a product ceases to be a </w:t>
      </w:r>
      <w:r w:rsidRPr="006A4403">
        <w:rPr>
          <w:b/>
          <w:i/>
        </w:rPr>
        <w:t xml:space="preserve">trial product </w:t>
      </w:r>
      <w:r w:rsidRPr="006A4403">
        <w:t>at the earlier of the following times:</w:t>
      </w:r>
    </w:p>
    <w:p w14:paraId="6E520340" w14:textId="77777777" w:rsidR="000A3653" w:rsidRPr="006A4403" w:rsidRDefault="000A3653" w:rsidP="000A3653">
      <w:pPr>
        <w:pStyle w:val="paragraph"/>
      </w:pPr>
      <w:r w:rsidRPr="006A4403">
        <w:tab/>
        <w:t>(a)</w:t>
      </w:r>
      <w:r w:rsidRPr="006A4403">
        <w:tab/>
        <w:t xml:space="preserve">the end of the trial period, if the product continues to be supplied or offered after the end of the trial period; </w:t>
      </w:r>
    </w:p>
    <w:p w14:paraId="5B53A7B5" w14:textId="77777777" w:rsidR="000A3653" w:rsidRPr="006A4403" w:rsidRDefault="000A3653" w:rsidP="000A3653">
      <w:pPr>
        <w:pStyle w:val="paragraph"/>
      </w:pPr>
      <w:r w:rsidRPr="006A4403">
        <w:tab/>
        <w:t>(b)</w:t>
      </w:r>
      <w:r w:rsidRPr="006A4403">
        <w:tab/>
        <w:t>the time (if any) that the product is first supplied to more than 1,000 customers.</w:t>
      </w:r>
    </w:p>
    <w:bookmarkEnd w:id="337"/>
    <w:p w14:paraId="3355B587" w14:textId="77777777" w:rsidR="000A3653" w:rsidRPr="006A4403" w:rsidRDefault="004B0AB6" w:rsidP="000A3653">
      <w:pPr>
        <w:pStyle w:val="ItemHead"/>
      </w:pPr>
      <w:r>
        <w:t>145</w:t>
      </w:r>
      <w:r w:rsidR="00723B2F" w:rsidRPr="006A4403">
        <w:t xml:space="preserve">  </w:t>
      </w:r>
      <w:r w:rsidR="000A3653" w:rsidRPr="006A4403">
        <w:t>Subclause 2.1(1) of Schedule 3</w:t>
      </w:r>
    </w:p>
    <w:p w14:paraId="7A21CFA9" w14:textId="77777777" w:rsidR="000A3653" w:rsidRPr="006A4403" w:rsidRDefault="000A3653" w:rsidP="000A3653">
      <w:pPr>
        <w:pStyle w:val="Item"/>
      </w:pPr>
      <w:r w:rsidRPr="006A4403">
        <w:t>Repeal the subclause, substitute:</w:t>
      </w:r>
    </w:p>
    <w:p w14:paraId="7E287B81" w14:textId="77777777" w:rsidR="000A3653" w:rsidRPr="006A4403" w:rsidRDefault="000A3653" w:rsidP="000A3653">
      <w:pPr>
        <w:pStyle w:val="subsection"/>
      </w:pPr>
      <w:r w:rsidRPr="006A4403">
        <w:tab/>
        <w:t>(1)</w:t>
      </w:r>
      <w:r w:rsidRPr="006A4403">
        <w:tab/>
        <w:t xml:space="preserve">For subrule 1.10B(1), the additional criterion for a CDR consumer to be </w:t>
      </w:r>
      <w:r w:rsidRPr="006A4403">
        <w:rPr>
          <w:b/>
          <w:i/>
        </w:rPr>
        <w:t>eligible</w:t>
      </w:r>
      <w:r w:rsidRPr="006A4403">
        <w:t xml:space="preserve">, in relation to a particular data holder in the banking sector at a particular time, is that the account is set up in such a way that it can be accessed online. </w:t>
      </w:r>
    </w:p>
    <w:p w14:paraId="72170077" w14:textId="77777777" w:rsidR="000A3653" w:rsidRPr="006A4403" w:rsidRDefault="000A3653" w:rsidP="000A3653">
      <w:pPr>
        <w:pStyle w:val="notetext"/>
      </w:pPr>
      <w:r w:rsidRPr="006A4403">
        <w:t>Note:</w:t>
      </w:r>
      <w:r w:rsidRPr="006A4403">
        <w:tab/>
        <w:t>Subrule 1.10B(1) provides criteria for account holders and secondary users of the account to be eligible.</w:t>
      </w:r>
    </w:p>
    <w:p w14:paraId="7779D821" w14:textId="77777777" w:rsidR="000A3653" w:rsidRPr="006A4403" w:rsidRDefault="004B0AB6" w:rsidP="000A3653">
      <w:pPr>
        <w:pStyle w:val="ItemHead"/>
      </w:pPr>
      <w:r>
        <w:t>146</w:t>
      </w:r>
      <w:r w:rsidR="00723B2F" w:rsidRPr="006A4403">
        <w:t xml:space="preserve">  </w:t>
      </w:r>
      <w:r w:rsidR="000A3653" w:rsidRPr="006A4403">
        <w:t>Subclause 2.1(2) of Schedule 3 (note)</w:t>
      </w:r>
    </w:p>
    <w:p w14:paraId="1865506B" w14:textId="77777777" w:rsidR="000A3653" w:rsidRPr="006A4403" w:rsidRDefault="000A3653" w:rsidP="000A3653">
      <w:pPr>
        <w:pStyle w:val="Item"/>
      </w:pPr>
      <w:r w:rsidRPr="006A4403">
        <w:t>Omit “account holders”, substitute “users”.</w:t>
      </w:r>
    </w:p>
    <w:p w14:paraId="01CAD80A" w14:textId="77777777" w:rsidR="000A3653" w:rsidRPr="006A4403" w:rsidRDefault="004B0AB6" w:rsidP="000A3653">
      <w:pPr>
        <w:pStyle w:val="ItemHead"/>
      </w:pPr>
      <w:r>
        <w:t>147</w:t>
      </w:r>
      <w:r w:rsidR="00723B2F" w:rsidRPr="006A4403">
        <w:t xml:space="preserve">  </w:t>
      </w:r>
      <w:r w:rsidR="000A3653" w:rsidRPr="006A4403">
        <w:t>Clause 3.1A of Schedule 3</w:t>
      </w:r>
    </w:p>
    <w:p w14:paraId="5DCEAFD4" w14:textId="77777777" w:rsidR="000A3653" w:rsidRPr="006A4403" w:rsidRDefault="000A3653" w:rsidP="000A3653">
      <w:pPr>
        <w:pStyle w:val="Item"/>
      </w:pPr>
      <w:r w:rsidRPr="006A4403">
        <w:t>Repeal the clause, substitute:</w:t>
      </w:r>
    </w:p>
    <w:p w14:paraId="5D3C3AB2" w14:textId="77777777" w:rsidR="000A3653" w:rsidRPr="006A4403" w:rsidRDefault="000A3653" w:rsidP="000A3653">
      <w:pPr>
        <w:pStyle w:val="ActHead5"/>
      </w:pPr>
      <w:bookmarkStart w:id="338" w:name="_Toc111132275"/>
      <w:bookmarkStart w:id="339" w:name="_Toc116895978"/>
      <w:bookmarkStart w:id="340" w:name="_Toc135295328"/>
      <w:bookmarkStart w:id="341" w:name="_Hlk121834437"/>
      <w:r w:rsidRPr="006A4403">
        <w:lastRenderedPageBreak/>
        <w:t>3.1A  Application of Part</w:t>
      </w:r>
      <w:bookmarkEnd w:id="338"/>
      <w:bookmarkEnd w:id="339"/>
      <w:bookmarkEnd w:id="340"/>
    </w:p>
    <w:p w14:paraId="6AA4B7F8" w14:textId="77777777" w:rsidR="000A3653" w:rsidRPr="006A4403" w:rsidRDefault="000A3653" w:rsidP="000A3653">
      <w:pPr>
        <w:pStyle w:val="subsection"/>
      </w:pPr>
      <w:r w:rsidRPr="006A4403">
        <w:tab/>
        <w:t>(1)</w:t>
      </w:r>
      <w:r w:rsidRPr="006A4403">
        <w:tab/>
        <w:t>Subject to subclause (2), this Part applies in relation to:</w:t>
      </w:r>
    </w:p>
    <w:p w14:paraId="4C32A838" w14:textId="77777777" w:rsidR="000A3653" w:rsidRPr="006A4403" w:rsidRDefault="000A3653" w:rsidP="000A3653">
      <w:pPr>
        <w:pStyle w:val="paragraph"/>
      </w:pPr>
      <w:r w:rsidRPr="006A4403">
        <w:tab/>
        <w:t>(a)</w:t>
      </w:r>
      <w:r w:rsidRPr="006A4403">
        <w:tab/>
        <w:t>phase 1 products; and</w:t>
      </w:r>
    </w:p>
    <w:p w14:paraId="4E6C413D" w14:textId="77777777" w:rsidR="000A3653" w:rsidRPr="006A4403" w:rsidRDefault="000A3653" w:rsidP="000A3653">
      <w:pPr>
        <w:pStyle w:val="paragraph"/>
      </w:pPr>
      <w:r w:rsidRPr="006A4403">
        <w:tab/>
        <w:t>(b)</w:t>
      </w:r>
      <w:r w:rsidRPr="006A4403">
        <w:tab/>
        <w:t>phase 2 products; and</w:t>
      </w:r>
    </w:p>
    <w:p w14:paraId="2A0F9349" w14:textId="77777777" w:rsidR="000A3653" w:rsidRPr="006A4403" w:rsidRDefault="000A3653" w:rsidP="000A3653">
      <w:pPr>
        <w:pStyle w:val="paragraph"/>
      </w:pPr>
      <w:r w:rsidRPr="006A4403">
        <w:tab/>
        <w:t>(c)</w:t>
      </w:r>
      <w:r w:rsidRPr="006A4403">
        <w:tab/>
        <w:t>phase 3 products.</w:t>
      </w:r>
    </w:p>
    <w:p w14:paraId="32920DFE" w14:textId="77777777" w:rsidR="000A3653" w:rsidRPr="006A4403" w:rsidRDefault="000A3653" w:rsidP="000A3653">
      <w:pPr>
        <w:pStyle w:val="notetext"/>
      </w:pPr>
      <w:r w:rsidRPr="006A4403">
        <w:t>Note:</w:t>
      </w:r>
      <w:r w:rsidRPr="006A4403">
        <w:tab/>
        <w:t>See Part 6 of this Schedule for the staged application of these rules to the banking sector. CDR data relating to different phase products will become available at different times, in accordance with that Part.</w:t>
      </w:r>
    </w:p>
    <w:p w14:paraId="282FA523" w14:textId="77777777" w:rsidR="000A3653" w:rsidRPr="006A4403" w:rsidRDefault="000A3653" w:rsidP="000A3653">
      <w:pPr>
        <w:pStyle w:val="SubsectionHead"/>
      </w:pPr>
      <w:r w:rsidRPr="006A4403">
        <w:t>Trial products</w:t>
      </w:r>
    </w:p>
    <w:p w14:paraId="46DEFDB7" w14:textId="77777777" w:rsidR="000A3653" w:rsidRPr="006A4403" w:rsidRDefault="000A3653" w:rsidP="000A3653">
      <w:pPr>
        <w:pStyle w:val="subsection"/>
      </w:pPr>
      <w:r w:rsidRPr="006A4403">
        <w:tab/>
        <w:t>(2)</w:t>
      </w:r>
      <w:r w:rsidRPr="006A4403">
        <w:tab/>
        <w:t>This Part does not apply in relation to a product while it is a trial product.</w:t>
      </w:r>
    </w:p>
    <w:p w14:paraId="73B832B0" w14:textId="77777777" w:rsidR="000A3653" w:rsidRPr="006A4403" w:rsidRDefault="000A3653" w:rsidP="000A3653">
      <w:pPr>
        <w:pStyle w:val="notetext"/>
      </w:pPr>
      <w:r w:rsidRPr="006A4403">
        <w:t>Note:</w:t>
      </w:r>
      <w:r w:rsidRPr="006A4403">
        <w:tab/>
        <w:t>If a trial product ceases to be a trial product in accordance with subclause 1.5(2) of this Schedule, the data holder must comply with its obligations under this Part in relation to the product. The obligations cover any CDR data generated while the product was a trial product.</w:t>
      </w:r>
    </w:p>
    <w:bookmarkEnd w:id="341"/>
    <w:p w14:paraId="7C7D88A3" w14:textId="77777777" w:rsidR="000A3653" w:rsidRPr="006A4403" w:rsidRDefault="004B0AB6" w:rsidP="000A3653">
      <w:pPr>
        <w:pStyle w:val="ItemHead"/>
        <w:rPr>
          <w:noProof/>
        </w:rPr>
      </w:pPr>
      <w:r>
        <w:t>148</w:t>
      </w:r>
      <w:r w:rsidR="00723B2F" w:rsidRPr="006A4403">
        <w:t xml:space="preserve">  </w:t>
      </w:r>
      <w:r w:rsidR="000A3653" w:rsidRPr="006A4403">
        <w:rPr>
          <w:noProof/>
        </w:rPr>
        <w:t>Subclause 3.2(3) of Schedule 3</w:t>
      </w:r>
    </w:p>
    <w:p w14:paraId="76EFDB69" w14:textId="77777777" w:rsidR="000A3653" w:rsidRPr="006A4403" w:rsidRDefault="000A3653" w:rsidP="000A3653">
      <w:pPr>
        <w:pStyle w:val="Item"/>
      </w:pPr>
      <w:r w:rsidRPr="006A4403">
        <w:tab/>
        <w:t>Omit “For”, substitute “In”.</w:t>
      </w:r>
    </w:p>
    <w:p w14:paraId="6AC13145" w14:textId="77777777" w:rsidR="000A3653" w:rsidRPr="006A4403" w:rsidRDefault="004B0AB6" w:rsidP="000A3653">
      <w:pPr>
        <w:pStyle w:val="ItemHead"/>
      </w:pPr>
      <w:r>
        <w:t>149</w:t>
      </w:r>
      <w:r w:rsidR="00723B2F" w:rsidRPr="006A4403">
        <w:t xml:space="preserve">  </w:t>
      </w:r>
      <w:r w:rsidR="000A3653" w:rsidRPr="006A4403">
        <w:t>Part 5 of Schedule 3 (heading)</w:t>
      </w:r>
    </w:p>
    <w:p w14:paraId="108C1416" w14:textId="77777777" w:rsidR="000A3653" w:rsidRPr="006A4403" w:rsidRDefault="000A3653" w:rsidP="000A3653">
      <w:pPr>
        <w:pStyle w:val="Item"/>
      </w:pPr>
      <w:r w:rsidRPr="006A4403">
        <w:t xml:space="preserve">Omit “Internal dispute”, substitute “Dispute”. </w:t>
      </w:r>
    </w:p>
    <w:p w14:paraId="68EB58AC" w14:textId="77777777" w:rsidR="000A3653" w:rsidRPr="006A4403" w:rsidRDefault="004B0AB6" w:rsidP="000A3653">
      <w:pPr>
        <w:pStyle w:val="ItemHead"/>
      </w:pPr>
      <w:r>
        <w:t>150</w:t>
      </w:r>
      <w:r w:rsidR="00723B2F" w:rsidRPr="006A4403">
        <w:t xml:space="preserve">  </w:t>
      </w:r>
      <w:r w:rsidR="000A3653" w:rsidRPr="006A4403">
        <w:t>Part 5 of Schedule 3 (note to heading)</w:t>
      </w:r>
    </w:p>
    <w:p w14:paraId="27B59FAB" w14:textId="77777777" w:rsidR="000A3653" w:rsidRPr="006A4403" w:rsidRDefault="000A3653" w:rsidP="000A3653">
      <w:pPr>
        <w:pStyle w:val="Item"/>
      </w:pPr>
      <w:r w:rsidRPr="006A4403">
        <w:t>Repeal the note, substitute:</w:t>
      </w:r>
    </w:p>
    <w:p w14:paraId="7DBB2D26" w14:textId="77777777" w:rsidR="000A3653" w:rsidRPr="006A4403" w:rsidRDefault="000A3653" w:rsidP="000A3653">
      <w:pPr>
        <w:pStyle w:val="notemargin"/>
      </w:pPr>
      <w:bookmarkStart w:id="342" w:name="_Hlk121834634"/>
      <w:r w:rsidRPr="006A4403">
        <w:t>Note:</w:t>
      </w:r>
      <w:r w:rsidRPr="006A4403">
        <w:tab/>
        <w:t>See the definitions of “meet the internal dispute resolution requirements” and “meet the external dispute resolution requirements” in subrule 1.7(1) of these rules.  See also paragraphs 5.12(b) and (c) of these rules, and rules 6.1 and 6.2.</w:t>
      </w:r>
    </w:p>
    <w:bookmarkEnd w:id="342"/>
    <w:p w14:paraId="10BFF654" w14:textId="77777777" w:rsidR="000A3653" w:rsidRPr="006A4403" w:rsidRDefault="004B0AB6" w:rsidP="000A3653">
      <w:pPr>
        <w:pStyle w:val="ItemHead"/>
      </w:pPr>
      <w:r>
        <w:t>151</w:t>
      </w:r>
      <w:r w:rsidR="00723B2F" w:rsidRPr="006A4403">
        <w:t xml:space="preserve">  </w:t>
      </w:r>
      <w:r w:rsidR="000A3653" w:rsidRPr="006A4403">
        <w:t xml:space="preserve">Subclause 5.1(2) of Schedule 3 (note to the definition of </w:t>
      </w:r>
      <w:r w:rsidR="000A3653" w:rsidRPr="006A4403">
        <w:rPr>
          <w:i/>
        </w:rPr>
        <w:t>Regulatory Guide 271</w:t>
      </w:r>
      <w:r w:rsidR="000A3653" w:rsidRPr="006A4403">
        <w:t>)</w:t>
      </w:r>
    </w:p>
    <w:p w14:paraId="2F59C12B" w14:textId="77777777" w:rsidR="000A3653" w:rsidRPr="006A4403" w:rsidRDefault="000A3653" w:rsidP="000A3653">
      <w:pPr>
        <w:pStyle w:val="Item"/>
      </w:pPr>
      <w:r w:rsidRPr="006A4403">
        <w:t>Omit “2021”, substitute “2023”.</w:t>
      </w:r>
    </w:p>
    <w:p w14:paraId="2154617E" w14:textId="77777777" w:rsidR="000A3653" w:rsidRPr="006A4403" w:rsidRDefault="004B0AB6" w:rsidP="000A3653">
      <w:pPr>
        <w:pStyle w:val="ItemHead"/>
      </w:pPr>
      <w:r>
        <w:t>152</w:t>
      </w:r>
      <w:r w:rsidR="00723B2F" w:rsidRPr="006A4403">
        <w:t xml:space="preserve">  </w:t>
      </w:r>
      <w:r w:rsidR="000A3653" w:rsidRPr="006A4403">
        <w:t>After clause 5.1 of Schedule 3</w:t>
      </w:r>
    </w:p>
    <w:p w14:paraId="3D2CF491" w14:textId="77777777" w:rsidR="000A3653" w:rsidRPr="006A4403" w:rsidRDefault="000A3653" w:rsidP="000A3653">
      <w:pPr>
        <w:pStyle w:val="Item"/>
      </w:pPr>
      <w:r w:rsidRPr="006A4403">
        <w:t xml:space="preserve">Insert: </w:t>
      </w:r>
    </w:p>
    <w:p w14:paraId="00AF37B2" w14:textId="77777777" w:rsidR="000A3653" w:rsidRPr="006A4403" w:rsidRDefault="000A3653" w:rsidP="000A3653">
      <w:pPr>
        <w:pStyle w:val="ActHead5"/>
      </w:pPr>
      <w:bookmarkStart w:id="343" w:name="_Toc135295329"/>
      <w:r w:rsidRPr="006A4403">
        <w:t>5.2  Meeting external dispute resolution requirements―banking sector</w:t>
      </w:r>
      <w:bookmarkEnd w:id="343"/>
    </w:p>
    <w:p w14:paraId="5CF8530C" w14:textId="77777777" w:rsidR="000A3653" w:rsidRPr="006A4403" w:rsidRDefault="000A3653" w:rsidP="000A3653">
      <w:pPr>
        <w:pStyle w:val="subsection"/>
      </w:pPr>
      <w:r w:rsidRPr="006A4403">
        <w:tab/>
      </w:r>
      <w:r w:rsidRPr="006A4403">
        <w:tab/>
        <w:t xml:space="preserve">For the banking sector, an accredited person or data holder </w:t>
      </w:r>
      <w:r w:rsidRPr="006A4403">
        <w:rPr>
          <w:b/>
          <w:i/>
        </w:rPr>
        <w:t>meets the external dispute resolution requirements</w:t>
      </w:r>
      <w:r w:rsidRPr="006A4403">
        <w:t xml:space="preserve"> if it is a member of the recognised external dispute resolution scheme operated by the Australian Financial Complaints Authority Limited for the banking sector. </w:t>
      </w:r>
    </w:p>
    <w:p w14:paraId="3D96D3B8" w14:textId="77777777" w:rsidR="000A3653" w:rsidRPr="006A4403" w:rsidRDefault="004B0AB6" w:rsidP="000A3653">
      <w:pPr>
        <w:pStyle w:val="ItemHead"/>
      </w:pPr>
      <w:r>
        <w:t>153</w:t>
      </w:r>
      <w:r w:rsidR="00723B2F" w:rsidRPr="006A4403">
        <w:t xml:space="preserve">  </w:t>
      </w:r>
      <w:r w:rsidR="000A3653" w:rsidRPr="006A4403">
        <w:t>Clause 6.2 of Schedule 3 (table item 5)</w:t>
      </w:r>
    </w:p>
    <w:p w14:paraId="5E450F69" w14:textId="77777777" w:rsidR="000A3653" w:rsidRPr="006A4403" w:rsidRDefault="000A3653" w:rsidP="000A3653">
      <w:pPr>
        <w:pStyle w:val="Item"/>
      </w:pPr>
      <w:r w:rsidRPr="006A4403">
        <w:t>Repeal the item, substitute: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2088"/>
        <w:gridCol w:w="5761"/>
      </w:tblGrid>
      <w:tr w:rsidR="006A4403" w:rsidRPr="006A4403" w14:paraId="0EB04B26" w14:textId="77777777" w:rsidTr="00284C69">
        <w:tc>
          <w:tcPr>
            <w:tcW w:w="279" w:type="pct"/>
          </w:tcPr>
          <w:p w14:paraId="1A6D199F" w14:textId="77777777" w:rsidR="000A3653" w:rsidRPr="006A4403" w:rsidRDefault="000A3653" w:rsidP="00284C69">
            <w:pPr>
              <w:pStyle w:val="Tabletext"/>
            </w:pPr>
            <w:bookmarkStart w:id="344" w:name="_Hlk111192570"/>
            <w:r w:rsidRPr="006A4403">
              <w:t>5</w:t>
            </w:r>
          </w:p>
        </w:tc>
        <w:tc>
          <w:tcPr>
            <w:tcW w:w="1256" w:type="pct"/>
          </w:tcPr>
          <w:p w14:paraId="667CA082" w14:textId="77777777" w:rsidR="000A3653" w:rsidRPr="006A4403" w:rsidRDefault="000A3653" w:rsidP="00284C69">
            <w:pPr>
              <w:pStyle w:val="Tabletext"/>
            </w:pPr>
            <w:r w:rsidRPr="006A4403">
              <w:rPr>
                <w:b/>
                <w:i/>
              </w:rPr>
              <w:t>accredited non</w:t>
            </w:r>
            <w:r w:rsidRPr="006A4403">
              <w:rPr>
                <w:b/>
                <w:i/>
              </w:rPr>
              <w:noBreakHyphen/>
              <w:t>ADI</w:t>
            </w:r>
            <w:r w:rsidRPr="006A4403">
              <w:t>, in relation to the CDR data mentioned in paragraph (a) of column 2</w:t>
            </w:r>
          </w:p>
        </w:tc>
        <w:tc>
          <w:tcPr>
            <w:tcW w:w="3465" w:type="pct"/>
          </w:tcPr>
          <w:p w14:paraId="56267A76" w14:textId="77777777" w:rsidR="000A3653" w:rsidRPr="006A4403" w:rsidRDefault="000A3653" w:rsidP="00284C69">
            <w:pPr>
              <w:pStyle w:val="Tabletext"/>
            </w:pPr>
            <w:r w:rsidRPr="006A4403">
              <w:t>An accredited person that:</w:t>
            </w:r>
          </w:p>
          <w:p w14:paraId="1D34D58A" w14:textId="77777777" w:rsidR="000A3653" w:rsidRPr="006A4403" w:rsidRDefault="000A3653" w:rsidP="00284C69">
            <w:pPr>
              <w:pStyle w:val="Tablea"/>
            </w:pPr>
            <w:r w:rsidRPr="006A4403">
              <w:t>(a)</w:t>
            </w:r>
            <w:r w:rsidRPr="006A4403">
              <w:tab/>
              <w:t xml:space="preserve">has been a data holder of CDR data, as a result of subsection 56AJ(3) of the Act, for at least 12 months; and </w:t>
            </w:r>
          </w:p>
          <w:p w14:paraId="0EF0CC5A" w14:textId="77777777" w:rsidR="000A3653" w:rsidRPr="006A4403" w:rsidRDefault="000A3653" w:rsidP="00284C69">
            <w:pPr>
              <w:pStyle w:val="Tablea"/>
            </w:pPr>
            <w:r w:rsidRPr="006A4403">
              <w:t>(b)</w:t>
            </w:r>
            <w:r w:rsidRPr="006A4403">
              <w:tab/>
              <w:t>is not an ADI.</w:t>
            </w:r>
          </w:p>
          <w:p w14:paraId="46DC5B88" w14:textId="77777777" w:rsidR="000A3653" w:rsidRPr="006A4403" w:rsidRDefault="000A3653" w:rsidP="00284C69">
            <w:pPr>
              <w:pStyle w:val="Tablea"/>
            </w:pPr>
          </w:p>
        </w:tc>
      </w:tr>
    </w:tbl>
    <w:bookmarkEnd w:id="344"/>
    <w:p w14:paraId="1C3FA302" w14:textId="77777777" w:rsidR="009C2D3E" w:rsidRPr="006A4403" w:rsidRDefault="004B0AB6" w:rsidP="009C2D3E">
      <w:pPr>
        <w:pStyle w:val="ItemHead"/>
      </w:pPr>
      <w:r>
        <w:lastRenderedPageBreak/>
        <w:t>154</w:t>
      </w:r>
      <w:r w:rsidR="009C2D3E" w:rsidRPr="006A4403">
        <w:t xml:space="preserve">  Subclause 6.4(2) of Schedule 3</w:t>
      </w:r>
    </w:p>
    <w:p w14:paraId="505D5207" w14:textId="77777777" w:rsidR="009C2D3E" w:rsidRPr="006A4403" w:rsidRDefault="009C2D3E" w:rsidP="009C2D3E">
      <w:pPr>
        <w:pStyle w:val="Item"/>
      </w:pPr>
      <w:r w:rsidRPr="006A4403">
        <w:tab/>
        <w:t>Omit “clause 3.1A”, substitute “subclause 3.1A(1)”.</w:t>
      </w:r>
    </w:p>
    <w:p w14:paraId="2720A944" w14:textId="77777777" w:rsidR="000A3653" w:rsidRPr="006A4403" w:rsidRDefault="004B0AB6" w:rsidP="000A3653">
      <w:pPr>
        <w:pStyle w:val="ItemHead"/>
      </w:pPr>
      <w:r>
        <w:t>155</w:t>
      </w:r>
      <w:r w:rsidR="00723B2F" w:rsidRPr="006A4403">
        <w:t xml:space="preserve">  </w:t>
      </w:r>
      <w:r w:rsidR="000A3653" w:rsidRPr="006A4403">
        <w:t>Clause 6.6 of Schedule 3 (after the heading)</w:t>
      </w:r>
    </w:p>
    <w:p w14:paraId="2B0A5D90" w14:textId="77777777" w:rsidR="000A3653" w:rsidRPr="006A4403" w:rsidRDefault="000A3653" w:rsidP="000A3653">
      <w:pPr>
        <w:pStyle w:val="Item"/>
      </w:pPr>
      <w:r w:rsidRPr="006A4403">
        <w:t>Insert:</w:t>
      </w:r>
    </w:p>
    <w:p w14:paraId="47B41835" w14:textId="77777777" w:rsidR="000A3653" w:rsidRPr="006A4403" w:rsidRDefault="000A3653" w:rsidP="000A3653">
      <w:pPr>
        <w:pStyle w:val="notemargin"/>
      </w:pPr>
      <w:bookmarkStart w:id="345" w:name="_Hlk121834869"/>
      <w:r w:rsidRPr="006A4403">
        <w:t>Note:</w:t>
      </w:r>
      <w:r w:rsidRPr="006A4403">
        <w:tab/>
        <w:t xml:space="preserve">The table set out in sub-clause (1) below does not actually have effect.  Instead, regulation 28RB of the </w:t>
      </w:r>
      <w:r w:rsidRPr="006A4403">
        <w:rPr>
          <w:i/>
          <w:iCs/>
        </w:rPr>
        <w:t>Competition and Consumer Regulations 2010</w:t>
      </w:r>
      <w:r w:rsidRPr="006A4403">
        <w:t xml:space="preserve"> modifies the Rules so that the commencement table in subclause (1) is to be read as though it were replaced by the new table set out in the Regulations. </w:t>
      </w:r>
    </w:p>
    <w:p w14:paraId="63117A40" w14:textId="77777777" w:rsidR="000A3653" w:rsidRPr="006A4403" w:rsidRDefault="000A3653" w:rsidP="000A3653">
      <w:pPr>
        <w:pStyle w:val="notemargin"/>
      </w:pPr>
      <w:r w:rsidRPr="006A4403">
        <w:tab/>
        <w:t>The effect of the replacement table is to delay the start of Part 4 obligations for non-major ADIs from 1 July 2022 to 1 October 2022.</w:t>
      </w:r>
    </w:p>
    <w:bookmarkEnd w:id="345"/>
    <w:p w14:paraId="308BD0A7" w14:textId="77777777" w:rsidR="000A3653" w:rsidRPr="006A4403" w:rsidRDefault="004B0AB6" w:rsidP="000A3653">
      <w:pPr>
        <w:pStyle w:val="ItemHead"/>
      </w:pPr>
      <w:r>
        <w:t>156</w:t>
      </w:r>
      <w:r w:rsidR="00723B2F" w:rsidRPr="006A4403">
        <w:t xml:space="preserve">  </w:t>
      </w:r>
      <w:r w:rsidR="000A3653" w:rsidRPr="006A4403">
        <w:t>At the end of subclause 6.6(1) of Schedule 3</w:t>
      </w:r>
    </w:p>
    <w:p w14:paraId="7ED0639E" w14:textId="77777777" w:rsidR="000A3653" w:rsidRPr="006A4403" w:rsidRDefault="000A3653" w:rsidP="000A3653">
      <w:pPr>
        <w:pStyle w:val="Item"/>
      </w:pPr>
      <w:r w:rsidRPr="006A4403">
        <w:t>Add:</w:t>
      </w:r>
    </w:p>
    <w:p w14:paraId="1B8A9325" w14:textId="77777777" w:rsidR="000A3653" w:rsidRPr="006A4403" w:rsidRDefault="000A3653" w:rsidP="000A3653">
      <w:pPr>
        <w:pStyle w:val="notetext"/>
      </w:pPr>
      <w:bookmarkStart w:id="346" w:name="_Hlk121835159"/>
      <w:r w:rsidRPr="006A4403">
        <w:t>Note:</w:t>
      </w:r>
      <w:r w:rsidRPr="006A4403">
        <w:tab/>
        <w:t>Part 2 of these rules deals with product reference data. Part 3 of these rules deals with consumer data requests made by eligible CDR consumers. Part 4 of these rules deals with consumer data requests made by accredited persons.</w:t>
      </w:r>
    </w:p>
    <w:bookmarkEnd w:id="346"/>
    <w:p w14:paraId="2E3BB7E7" w14:textId="77777777" w:rsidR="000A3653" w:rsidRPr="006A4403" w:rsidRDefault="004B0AB6" w:rsidP="000A3653">
      <w:pPr>
        <w:pStyle w:val="ItemHead"/>
      </w:pPr>
      <w:r>
        <w:t>157</w:t>
      </w:r>
      <w:r w:rsidR="00723B2F" w:rsidRPr="006A4403">
        <w:t xml:space="preserve">  </w:t>
      </w:r>
      <w:r w:rsidR="000A3653" w:rsidRPr="006A4403">
        <w:t>At the end of clause 6.6 of Schedule 3</w:t>
      </w:r>
    </w:p>
    <w:p w14:paraId="440ADB01" w14:textId="77777777" w:rsidR="000A3653" w:rsidRPr="006A4403" w:rsidRDefault="000A3653" w:rsidP="000A3653">
      <w:pPr>
        <w:pStyle w:val="Item"/>
      </w:pPr>
      <w:r w:rsidRPr="006A4403">
        <w:t>Add:</w:t>
      </w:r>
    </w:p>
    <w:p w14:paraId="6F809724" w14:textId="77777777" w:rsidR="000A3653" w:rsidRPr="006A4403" w:rsidRDefault="000A3653" w:rsidP="000A3653">
      <w:pPr>
        <w:pStyle w:val="subsection"/>
        <w:spacing w:after="120"/>
      </w:pPr>
      <w:r w:rsidRPr="006A4403">
        <w:tab/>
        <w:t>(2)</w:t>
      </w:r>
      <w:r w:rsidRPr="006A4403">
        <w:tab/>
        <w:t xml:space="preserve">For this clause, the </w:t>
      </w:r>
      <w:r w:rsidRPr="006A4403">
        <w:rPr>
          <w:b/>
          <w:i/>
        </w:rPr>
        <w:t xml:space="preserve">start date </w:t>
      </w:r>
      <w:r w:rsidRPr="006A4403">
        <w:t xml:space="preserve">is the day the </w:t>
      </w:r>
      <w:r w:rsidRPr="006A4403">
        <w:rPr>
          <w:i/>
        </w:rPr>
        <w:t>Competition and Consumer (Consumer Data Right) Amendment Rules (No. 3) 2020</w:t>
      </w:r>
      <w:r w:rsidRPr="006A4403">
        <w:t xml:space="preserve"> commenced.</w:t>
      </w:r>
    </w:p>
    <w:p w14:paraId="333341DB" w14:textId="77777777" w:rsidR="000A3653" w:rsidRPr="006A4403" w:rsidRDefault="004B0AB6" w:rsidP="000A3653">
      <w:pPr>
        <w:pStyle w:val="ItemHead"/>
      </w:pPr>
      <w:r>
        <w:t>158</w:t>
      </w:r>
      <w:r w:rsidR="00723B2F" w:rsidRPr="006A4403">
        <w:t xml:space="preserve">  </w:t>
      </w:r>
      <w:r w:rsidR="000A3653" w:rsidRPr="006A4403">
        <w:t>Subclause 7.2(1) of Schedule 3</w:t>
      </w:r>
    </w:p>
    <w:p w14:paraId="5072391D" w14:textId="77777777" w:rsidR="000A3653" w:rsidRPr="006A4403" w:rsidRDefault="000A3653" w:rsidP="000A3653">
      <w:pPr>
        <w:pStyle w:val="Item"/>
      </w:pPr>
      <w:r w:rsidRPr="006A4403">
        <w:t>Repeal the subclause, substitute:</w:t>
      </w:r>
    </w:p>
    <w:p w14:paraId="4905DD1C" w14:textId="77777777" w:rsidR="000A3653" w:rsidRPr="006A4403" w:rsidRDefault="000A3653" w:rsidP="000A3653">
      <w:pPr>
        <w:pStyle w:val="subsection"/>
      </w:pPr>
      <w:r w:rsidRPr="006A4403">
        <w:tab/>
        <w:t>(1)</w:t>
      </w:r>
      <w:r w:rsidRPr="006A4403">
        <w:tab/>
        <w:t xml:space="preserve">For paragraph 56AJ(4)(c) of the Act, this clause sets out conditions for an accredited person that has collected CDR data in accordance with a consumer data request for the purposes of Division 4.3 of these rules to be a data holder (rather than an accredited data recipient) of that CDR data and any CDR data that it directly or indirectly derived from that CDR data (together, the </w:t>
      </w:r>
      <w:r w:rsidRPr="006A4403">
        <w:rPr>
          <w:b/>
          <w:i/>
        </w:rPr>
        <w:t xml:space="preserve">relevant </w:t>
      </w:r>
      <w:r w:rsidRPr="006A4403">
        <w:t>CDR data</w:t>
      </w:r>
      <w:r w:rsidRPr="006A4403">
        <w:rPr>
          <w:b/>
        </w:rPr>
        <w:t>)</w:t>
      </w:r>
      <w:r w:rsidRPr="006A4403">
        <w:t>.</w:t>
      </w:r>
    </w:p>
    <w:p w14:paraId="01005145" w14:textId="77777777" w:rsidR="000A3653" w:rsidRPr="006A4403" w:rsidRDefault="004B0AB6" w:rsidP="000A3653">
      <w:pPr>
        <w:pStyle w:val="ItemHead"/>
      </w:pPr>
      <w:r>
        <w:t>159</w:t>
      </w:r>
      <w:r w:rsidR="00723B2F" w:rsidRPr="006A4403">
        <w:t xml:space="preserve">  </w:t>
      </w:r>
      <w:r w:rsidR="000A3653" w:rsidRPr="006A4403">
        <w:t>Subparagraph 7.2(2)(c)(iii) of Schedule 3</w:t>
      </w:r>
    </w:p>
    <w:p w14:paraId="043A6C3B" w14:textId="77777777" w:rsidR="000A3653" w:rsidRPr="006A4403" w:rsidRDefault="000A3653" w:rsidP="000A3653">
      <w:pPr>
        <w:pStyle w:val="Item"/>
      </w:pPr>
      <w:r w:rsidRPr="006A4403">
        <w:t xml:space="preserve">Repeal the subparagraph, substitute: </w:t>
      </w:r>
    </w:p>
    <w:p w14:paraId="5056D4B2" w14:textId="77777777" w:rsidR="000A3653" w:rsidRPr="006A4403" w:rsidRDefault="000A3653" w:rsidP="000A3653">
      <w:pPr>
        <w:pStyle w:val="paragraphsub"/>
      </w:pPr>
      <w:bookmarkStart w:id="347" w:name="_Hlk120806443"/>
      <w:r w:rsidRPr="006A4403">
        <w:tab/>
        <w:t>(iii)</w:t>
      </w:r>
      <w:r w:rsidRPr="006A4403">
        <w:tab/>
        <w:t>has explained to the CDR consumer:</w:t>
      </w:r>
    </w:p>
    <w:p w14:paraId="2E2A9E05" w14:textId="77777777" w:rsidR="000A3653" w:rsidRPr="006A4403" w:rsidRDefault="000A3653" w:rsidP="000A3653">
      <w:pPr>
        <w:pStyle w:val="paragraphsub-sub"/>
      </w:pPr>
      <w:r w:rsidRPr="006A4403">
        <w:tab/>
        <w:t>(A)</w:t>
      </w:r>
      <w:r w:rsidRPr="006A4403">
        <w:tab/>
        <w:t>that, as a result, the privacy safeguards, to the extent that they apply to an accredited data recipient of CDR data, would no longer apply to the person in relation to the relevant CDR data; and</w:t>
      </w:r>
    </w:p>
    <w:p w14:paraId="33FCE8E1" w14:textId="77777777" w:rsidR="000A3653" w:rsidRPr="006A4403" w:rsidRDefault="000A3653" w:rsidP="000A3653">
      <w:pPr>
        <w:pStyle w:val="paragraphsub-sub"/>
      </w:pPr>
      <w:r w:rsidRPr="006A4403">
        <w:tab/>
        <w:t>(B)</w:t>
      </w:r>
      <w:r w:rsidRPr="006A4403">
        <w:tab/>
        <w:t>that the privacy safeguards applicable to a data holder will instead apply to the person in relation to the relevant CDR data; and</w:t>
      </w:r>
    </w:p>
    <w:p w14:paraId="087EC906" w14:textId="77777777" w:rsidR="000A3653" w:rsidRPr="006A4403" w:rsidRDefault="000A3653" w:rsidP="000A3653">
      <w:pPr>
        <w:pStyle w:val="paragraphsub-sub"/>
      </w:pPr>
      <w:r w:rsidRPr="006A4403">
        <w:tab/>
        <w:t>(C)</w:t>
      </w:r>
      <w:r w:rsidRPr="006A4403">
        <w:tab/>
        <w:t>the manner in which the person proposes to treat the relevant CDR data; and</w:t>
      </w:r>
    </w:p>
    <w:p w14:paraId="02F29106" w14:textId="77777777" w:rsidR="000A3653" w:rsidRPr="006A4403" w:rsidRDefault="000A3653" w:rsidP="000A3653">
      <w:pPr>
        <w:pStyle w:val="paragraphsub-sub"/>
      </w:pPr>
      <w:r w:rsidRPr="006A4403">
        <w:tab/>
        <w:t>(D)</w:t>
      </w:r>
      <w:r w:rsidRPr="006A4403">
        <w:tab/>
        <w:t>why the person is entitled to provide the CDR consumer with this option; and</w:t>
      </w:r>
    </w:p>
    <w:bookmarkEnd w:id="347"/>
    <w:p w14:paraId="2EB23C3E" w14:textId="77777777" w:rsidR="000A3653" w:rsidRPr="006A4403" w:rsidRDefault="004B0AB6" w:rsidP="000A3653">
      <w:pPr>
        <w:pStyle w:val="ItemHead"/>
      </w:pPr>
      <w:r>
        <w:t>160</w:t>
      </w:r>
      <w:r w:rsidR="00723B2F" w:rsidRPr="006A4403">
        <w:t xml:space="preserve">  </w:t>
      </w:r>
      <w:r w:rsidR="000A3653" w:rsidRPr="006A4403">
        <w:t>Clause 1.3 of Schedule 4 (table item 1, column 2, sub</w:t>
      </w:r>
      <w:r w:rsidR="000A3653" w:rsidRPr="006A4403">
        <w:noBreakHyphen/>
        <w:t>subparagraph (b)(iv)(B))</w:t>
      </w:r>
    </w:p>
    <w:p w14:paraId="06BDDEB0" w14:textId="77777777" w:rsidR="000A3653" w:rsidRPr="006A4403" w:rsidRDefault="000A3653" w:rsidP="000A3653">
      <w:pPr>
        <w:pStyle w:val="Item"/>
      </w:pPr>
      <w:r w:rsidRPr="006A4403">
        <w:t>Repeal the sub</w:t>
      </w:r>
      <w:r w:rsidRPr="006A4403">
        <w:noBreakHyphen/>
        <w:t>subparagraph, substitute:</w:t>
      </w:r>
    </w:p>
    <w:p w14:paraId="3D14A6FB" w14:textId="77777777" w:rsidR="000A3653" w:rsidRPr="006A4403" w:rsidRDefault="000A3653" w:rsidP="000A3653">
      <w:pPr>
        <w:pStyle w:val="TableAA"/>
      </w:pPr>
      <w:r w:rsidRPr="006A4403">
        <w:lastRenderedPageBreak/>
        <w:tab/>
        <w:t>(B)</w:t>
      </w:r>
      <w:r w:rsidRPr="006A4403">
        <w:tab/>
        <w:t>the person’s ABN;</w:t>
      </w:r>
      <w:r w:rsidR="006A31D9" w:rsidRPr="006A4403">
        <w:t xml:space="preserve"> and</w:t>
      </w:r>
    </w:p>
    <w:p w14:paraId="5C56C8FE" w14:textId="77777777" w:rsidR="000A3653" w:rsidRPr="006A4403" w:rsidRDefault="004B0AB6" w:rsidP="000A3653">
      <w:pPr>
        <w:pStyle w:val="ItemHead"/>
      </w:pPr>
      <w:r>
        <w:t>161</w:t>
      </w:r>
      <w:r w:rsidR="00723B2F" w:rsidRPr="006A4403">
        <w:t xml:space="preserve">  </w:t>
      </w:r>
      <w:r w:rsidR="000A3653" w:rsidRPr="006A4403">
        <w:t>Clause 1.3 of Schedule 4 (table item 2, column 2, subparagraph (b)(iv))</w:t>
      </w:r>
    </w:p>
    <w:p w14:paraId="0869A200" w14:textId="77777777" w:rsidR="000A3653" w:rsidRPr="006A4403" w:rsidRDefault="000A3653" w:rsidP="000A3653">
      <w:pPr>
        <w:pStyle w:val="Item"/>
      </w:pPr>
      <w:r w:rsidRPr="006A4403">
        <w:t>Omit “and  frequency”, substitute “and frequency”.</w:t>
      </w:r>
    </w:p>
    <w:p w14:paraId="577898CA" w14:textId="77777777" w:rsidR="000A3653" w:rsidRPr="006A4403" w:rsidRDefault="004B0AB6" w:rsidP="000A3653">
      <w:pPr>
        <w:pStyle w:val="ItemHead"/>
      </w:pPr>
      <w:r>
        <w:t>162</w:t>
      </w:r>
      <w:r w:rsidR="00723B2F" w:rsidRPr="006A4403">
        <w:t xml:space="preserve">  </w:t>
      </w:r>
      <w:r w:rsidR="000A3653" w:rsidRPr="006A4403">
        <w:t>Clause 1.3 of Schedule 4 (table item 8, column 2)</w:t>
      </w:r>
    </w:p>
    <w:p w14:paraId="488A5F77" w14:textId="77777777" w:rsidR="000A3653" w:rsidRPr="006A4403" w:rsidRDefault="000A3653" w:rsidP="000A3653">
      <w:pPr>
        <w:pStyle w:val="Item"/>
      </w:pPr>
      <w:r w:rsidRPr="006A4403">
        <w:t>Omit “that” (second occurring).</w:t>
      </w:r>
    </w:p>
    <w:p w14:paraId="7F7D2926" w14:textId="77777777" w:rsidR="000A3653" w:rsidRPr="006A4403" w:rsidRDefault="004B0AB6" w:rsidP="000A3653">
      <w:pPr>
        <w:pStyle w:val="ItemHead"/>
        <w:rPr>
          <w:noProof/>
        </w:rPr>
      </w:pPr>
      <w:r>
        <w:t>163</w:t>
      </w:r>
      <w:r w:rsidR="00723B2F" w:rsidRPr="006A4403">
        <w:t xml:space="preserve">  </w:t>
      </w:r>
      <w:r w:rsidR="000A3653" w:rsidRPr="006A4403">
        <w:rPr>
          <w:noProof/>
        </w:rPr>
        <w:t>Subclause 2.1(2) of Schedule 4</w:t>
      </w:r>
    </w:p>
    <w:p w14:paraId="7FA09D99" w14:textId="77777777" w:rsidR="000A3653" w:rsidRPr="006A4403" w:rsidRDefault="000A3653" w:rsidP="000A3653">
      <w:pPr>
        <w:pStyle w:val="Item"/>
      </w:pPr>
      <w:r w:rsidRPr="006A4403">
        <w:t>Omit “For”, substitute “In”.</w:t>
      </w:r>
    </w:p>
    <w:p w14:paraId="4FCAEE18" w14:textId="77777777" w:rsidR="000A3653" w:rsidRPr="006A4403" w:rsidRDefault="004B0AB6" w:rsidP="000A3653">
      <w:pPr>
        <w:pStyle w:val="ItemHead"/>
      </w:pPr>
      <w:r>
        <w:t>164</w:t>
      </w:r>
      <w:r w:rsidR="00723B2F" w:rsidRPr="006A4403">
        <w:t xml:space="preserve">  </w:t>
      </w:r>
      <w:r w:rsidR="000A3653" w:rsidRPr="006A4403">
        <w:t>Paragraph 2.2(2)(b) of Schedule 4</w:t>
      </w:r>
    </w:p>
    <w:p w14:paraId="371CDDC5" w14:textId="77777777" w:rsidR="000A3653" w:rsidRPr="006A4403" w:rsidRDefault="000A3653" w:rsidP="000A3653">
      <w:pPr>
        <w:pStyle w:val="Item"/>
      </w:pPr>
      <w:r w:rsidRPr="006A4403">
        <w:t>Omit “Chapter 10”, substitute “Chapter 7”.</w:t>
      </w:r>
    </w:p>
    <w:p w14:paraId="69749A3E" w14:textId="77777777" w:rsidR="000A3653" w:rsidRPr="006A4403" w:rsidRDefault="004B0AB6" w:rsidP="000A3653">
      <w:pPr>
        <w:pStyle w:val="ItemHead"/>
      </w:pPr>
      <w:r>
        <w:t>165</w:t>
      </w:r>
      <w:r w:rsidR="00723B2F" w:rsidRPr="006A4403">
        <w:t xml:space="preserve">  </w:t>
      </w:r>
      <w:r w:rsidR="000A3653" w:rsidRPr="006A4403">
        <w:t>Subclause 3.1(1) of Schedule 4 (note 1)</w:t>
      </w:r>
    </w:p>
    <w:p w14:paraId="394E27E5" w14:textId="77777777" w:rsidR="000A3653" w:rsidRPr="006A4403" w:rsidRDefault="000A3653" w:rsidP="000A3653">
      <w:pPr>
        <w:pStyle w:val="Item"/>
      </w:pPr>
      <w:r w:rsidRPr="006A4403">
        <w:t>Omit “2021”, substitute “2023”.</w:t>
      </w:r>
    </w:p>
    <w:p w14:paraId="065D6133" w14:textId="77777777" w:rsidR="000A3653" w:rsidRPr="006A4403" w:rsidRDefault="004B0AB6" w:rsidP="000A3653">
      <w:pPr>
        <w:pStyle w:val="ItemHead"/>
      </w:pPr>
      <w:r>
        <w:t>166</w:t>
      </w:r>
      <w:r w:rsidR="00723B2F" w:rsidRPr="006A4403">
        <w:t xml:space="preserve">  </w:t>
      </w:r>
      <w:r w:rsidR="000A3653" w:rsidRPr="006A4403">
        <w:t>Subclause 3.1(1) of Schedule 4 (note 3)</w:t>
      </w:r>
    </w:p>
    <w:p w14:paraId="47668F4F" w14:textId="77777777" w:rsidR="000A3653" w:rsidRPr="006A4403" w:rsidRDefault="000A3653" w:rsidP="000A3653">
      <w:pPr>
        <w:pStyle w:val="Item"/>
      </w:pPr>
      <w:r w:rsidRPr="006A4403">
        <w:t>Repeal the note, substitute:</w:t>
      </w:r>
    </w:p>
    <w:p w14:paraId="4494A2DD" w14:textId="77777777" w:rsidR="000A3653" w:rsidRPr="006A4403" w:rsidRDefault="000A3653" w:rsidP="000A3653">
      <w:pPr>
        <w:pStyle w:val="notetext"/>
      </w:pPr>
      <w:r w:rsidRPr="006A4403">
        <w:t>Note 3:</w:t>
      </w:r>
      <w:r w:rsidRPr="006A4403">
        <w:tab/>
        <w:t>This clause does not include all CDR data covered by section 9 of the energy sector designation instrument, as that section also covers CDR data for which there are CDR consumers (see paragraphs 9(2)(b) and 9(3)(b) of that instrument).</w:t>
      </w:r>
    </w:p>
    <w:p w14:paraId="1538D7F9" w14:textId="77777777" w:rsidR="000A3653" w:rsidRPr="006A4403" w:rsidRDefault="004B0AB6" w:rsidP="000A3653">
      <w:pPr>
        <w:pStyle w:val="ItemHead"/>
        <w:rPr>
          <w:noProof/>
        </w:rPr>
      </w:pPr>
      <w:r>
        <w:t>167</w:t>
      </w:r>
      <w:r w:rsidR="00723B2F" w:rsidRPr="006A4403">
        <w:t xml:space="preserve">  </w:t>
      </w:r>
      <w:r w:rsidR="000A3653" w:rsidRPr="006A4403">
        <w:rPr>
          <w:noProof/>
        </w:rPr>
        <w:t>Subclauses 3.2(1)</w:t>
      </w:r>
      <w:r w:rsidR="000A3653" w:rsidRPr="006A4403">
        <w:rPr>
          <w:rFonts w:ascii="Times New Roman" w:hAnsi="Times New Roman"/>
          <w:b w:val="0"/>
          <w:kern w:val="0"/>
          <w:sz w:val="22"/>
        </w:rPr>
        <w:t xml:space="preserve">, </w:t>
      </w:r>
      <w:r w:rsidR="000A3653" w:rsidRPr="006A4403">
        <w:rPr>
          <w:noProof/>
        </w:rPr>
        <w:t>(2)</w:t>
      </w:r>
      <w:r w:rsidR="000A3653" w:rsidRPr="006A4403">
        <w:rPr>
          <w:rFonts w:ascii="Times New Roman" w:hAnsi="Times New Roman"/>
          <w:b w:val="0"/>
          <w:kern w:val="0"/>
          <w:sz w:val="22"/>
        </w:rPr>
        <w:t xml:space="preserve">, </w:t>
      </w:r>
      <w:r w:rsidR="000A3653" w:rsidRPr="006A4403">
        <w:rPr>
          <w:noProof/>
        </w:rPr>
        <w:t xml:space="preserve">(4) and (5) of Schedule 4 </w:t>
      </w:r>
    </w:p>
    <w:p w14:paraId="40C21D36" w14:textId="77777777" w:rsidR="000A3653" w:rsidRPr="006A4403" w:rsidRDefault="000A3653" w:rsidP="000A3653">
      <w:pPr>
        <w:pStyle w:val="Item"/>
      </w:pPr>
      <w:r w:rsidRPr="006A4403">
        <w:t>Omit “For”, substitute “In”.</w:t>
      </w:r>
    </w:p>
    <w:p w14:paraId="71E76B78" w14:textId="77777777" w:rsidR="000A3653" w:rsidRPr="006A4403" w:rsidRDefault="004B0AB6" w:rsidP="000A3653">
      <w:pPr>
        <w:pStyle w:val="ItemHead"/>
        <w:rPr>
          <w:noProof/>
        </w:rPr>
      </w:pPr>
      <w:r>
        <w:t>168</w:t>
      </w:r>
      <w:r w:rsidR="00723B2F" w:rsidRPr="006A4403">
        <w:t xml:space="preserve">  </w:t>
      </w:r>
      <w:r w:rsidR="000A3653" w:rsidRPr="006A4403">
        <w:rPr>
          <w:noProof/>
        </w:rPr>
        <w:t>Subclause 4.1(2) of Schedule 4</w:t>
      </w:r>
    </w:p>
    <w:p w14:paraId="5612C60A" w14:textId="77777777" w:rsidR="000A3653" w:rsidRPr="006A4403" w:rsidRDefault="000A3653" w:rsidP="000A3653">
      <w:pPr>
        <w:pStyle w:val="Item"/>
      </w:pPr>
      <w:r w:rsidRPr="006A4403">
        <w:t>Omit “For”, substitute “In”.</w:t>
      </w:r>
    </w:p>
    <w:p w14:paraId="294459C2" w14:textId="77777777" w:rsidR="000A3653" w:rsidRPr="006A4403" w:rsidRDefault="004B0AB6" w:rsidP="000A3653">
      <w:pPr>
        <w:pStyle w:val="ItemHead"/>
      </w:pPr>
      <w:r>
        <w:t>169</w:t>
      </w:r>
      <w:r w:rsidR="00723B2F" w:rsidRPr="006A4403">
        <w:t xml:space="preserve">  </w:t>
      </w:r>
      <w:r w:rsidR="000A3653" w:rsidRPr="006A4403">
        <w:t>Part 5 of Schedule 4 (note to heading)</w:t>
      </w:r>
    </w:p>
    <w:p w14:paraId="3E341F13" w14:textId="77777777" w:rsidR="000A3653" w:rsidRPr="006A4403" w:rsidRDefault="000A3653" w:rsidP="000A3653">
      <w:pPr>
        <w:pStyle w:val="Item"/>
      </w:pPr>
      <w:r w:rsidRPr="006A4403">
        <w:t>Repeal the note, substitute:</w:t>
      </w:r>
    </w:p>
    <w:p w14:paraId="7098ED32" w14:textId="77777777" w:rsidR="000A3653" w:rsidRPr="006A4403" w:rsidRDefault="000A3653" w:rsidP="000A3653">
      <w:pPr>
        <w:pStyle w:val="notemargin"/>
      </w:pPr>
      <w:r w:rsidRPr="006A4403">
        <w:t>Note:</w:t>
      </w:r>
      <w:r w:rsidRPr="006A4403">
        <w:rPr>
          <w:i/>
          <w:iCs/>
        </w:rPr>
        <w:tab/>
      </w:r>
      <w:r w:rsidRPr="006A4403">
        <w:t>See the definitions of “meet the internal dispute resolution requirements” and “meet the external dispute resolution requirements” in subrule 1.7(1). See also paragraphs 5.12(b) and (c) of these rules, and rules 6.1 and 6.2.</w:t>
      </w:r>
    </w:p>
    <w:p w14:paraId="35D09A70" w14:textId="77777777" w:rsidR="000A3653" w:rsidRPr="006A4403" w:rsidRDefault="004B0AB6" w:rsidP="000A3653">
      <w:pPr>
        <w:pStyle w:val="ItemHead"/>
      </w:pPr>
      <w:r>
        <w:t>170</w:t>
      </w:r>
      <w:r w:rsidR="00723B2F" w:rsidRPr="006A4403">
        <w:t xml:space="preserve">  </w:t>
      </w:r>
      <w:r w:rsidR="000A3653" w:rsidRPr="006A4403">
        <w:t>Subclause 5.1(4) of Schedule 4 (note)</w:t>
      </w:r>
    </w:p>
    <w:p w14:paraId="1EC19D85" w14:textId="77777777" w:rsidR="000A3653" w:rsidRPr="006A4403" w:rsidRDefault="000A3653" w:rsidP="000A3653">
      <w:pPr>
        <w:pStyle w:val="Item"/>
      </w:pPr>
      <w:r w:rsidRPr="006A4403">
        <w:t>Omit “2021”, substitute “2023”.</w:t>
      </w:r>
    </w:p>
    <w:p w14:paraId="04C4C133" w14:textId="77777777" w:rsidR="000A3653" w:rsidRPr="006A4403" w:rsidRDefault="004B0AB6" w:rsidP="000A3653">
      <w:pPr>
        <w:pStyle w:val="ItemHead"/>
      </w:pPr>
      <w:r>
        <w:t>171</w:t>
      </w:r>
      <w:r w:rsidR="00723B2F" w:rsidRPr="006A4403">
        <w:t xml:space="preserve">  </w:t>
      </w:r>
      <w:r w:rsidR="000A3653" w:rsidRPr="006A4403">
        <w:t>Clause 5.2 of Schedule 4</w:t>
      </w:r>
    </w:p>
    <w:p w14:paraId="0B3478C1" w14:textId="77777777" w:rsidR="000A3653" w:rsidRPr="006A4403" w:rsidRDefault="000A3653" w:rsidP="000A3653">
      <w:pPr>
        <w:pStyle w:val="Item"/>
      </w:pPr>
      <w:r w:rsidRPr="006A4403">
        <w:t>Omit the clause, substitute:</w:t>
      </w:r>
    </w:p>
    <w:p w14:paraId="77093291" w14:textId="77777777" w:rsidR="000A3653" w:rsidRPr="006A4403" w:rsidRDefault="000A3653" w:rsidP="000A3653">
      <w:pPr>
        <w:pStyle w:val="ActHead5"/>
      </w:pPr>
      <w:bookmarkStart w:id="348" w:name="_Toc116896360"/>
      <w:bookmarkStart w:id="349" w:name="_Toc135295330"/>
      <w:bookmarkStart w:id="350" w:name="_Hlk120012296"/>
      <w:bookmarkStart w:id="351" w:name="_Toc111132316"/>
      <w:bookmarkStart w:id="352" w:name="_Toc116895979"/>
      <w:r w:rsidRPr="006A4403">
        <w:t>5.2  Meeting external dispute resolution requirements—energy sector</w:t>
      </w:r>
      <w:bookmarkEnd w:id="348"/>
      <w:bookmarkEnd w:id="349"/>
    </w:p>
    <w:p w14:paraId="36E5D631" w14:textId="77777777" w:rsidR="000A3653" w:rsidRPr="006A4403" w:rsidRDefault="000A3653" w:rsidP="000A3653">
      <w:pPr>
        <w:pStyle w:val="notemargin"/>
        <w:rPr>
          <w:rFonts w:eastAsia="Calibri"/>
        </w:rPr>
      </w:pPr>
      <w:r w:rsidRPr="006A4403">
        <w:rPr>
          <w:rFonts w:eastAsia="Calibri"/>
        </w:rPr>
        <w:t>Note:</w:t>
      </w:r>
      <w:r w:rsidRPr="006A4403">
        <w:rPr>
          <w:rFonts w:eastAsia="Calibri"/>
        </w:rPr>
        <w:tab/>
        <w:t xml:space="preserve">Schemes operated by the </w:t>
      </w:r>
      <w:r w:rsidRPr="006A4403">
        <w:t xml:space="preserve">Australian Financial Complaints Authority Limited and the </w:t>
      </w:r>
      <w:r w:rsidRPr="006A4403">
        <w:rPr>
          <w:rFonts w:eastAsia="Calibri"/>
        </w:rPr>
        <w:t>energy and water ombudsman of each State and Territory are recognised as external dispute resolution schemes for section 56DA of the Act.</w:t>
      </w:r>
    </w:p>
    <w:p w14:paraId="2A56F6D6" w14:textId="77777777" w:rsidR="000A3653" w:rsidRPr="006A4403" w:rsidRDefault="000A3653" w:rsidP="000A3653">
      <w:pPr>
        <w:pStyle w:val="SubsectionHead"/>
      </w:pPr>
      <w:r w:rsidRPr="006A4403">
        <w:lastRenderedPageBreak/>
        <w:t xml:space="preserve">How accredited persons and retailers meet the external dispute resolution requirements </w:t>
      </w:r>
    </w:p>
    <w:p w14:paraId="65482BD5" w14:textId="77777777" w:rsidR="000A3653" w:rsidRPr="006A4403" w:rsidRDefault="000A3653" w:rsidP="000A3653">
      <w:pPr>
        <w:pStyle w:val="subsection"/>
      </w:pPr>
      <w:r w:rsidRPr="006A4403">
        <w:tab/>
        <w:t>(1)</w:t>
      </w:r>
      <w:r w:rsidRPr="006A4403">
        <w:tab/>
        <w:t xml:space="preserve">For the energy sector, persons of the following kinds </w:t>
      </w:r>
      <w:r w:rsidRPr="006A4403">
        <w:rPr>
          <w:b/>
          <w:i/>
        </w:rPr>
        <w:t>meet the external dispute resolution requirements</w:t>
      </w:r>
      <w:r w:rsidRPr="006A4403">
        <w:t xml:space="preserve"> in the circumstances indicated:</w:t>
      </w:r>
    </w:p>
    <w:p w14:paraId="1CC67E25" w14:textId="77777777" w:rsidR="000A3653" w:rsidRPr="006A4403" w:rsidRDefault="000A3653" w:rsidP="000A3653">
      <w:pPr>
        <w:pStyle w:val="paragraph"/>
      </w:pPr>
      <w:r w:rsidRPr="006A4403">
        <w:tab/>
        <w:t>(a)</w:t>
      </w:r>
      <w:r w:rsidRPr="006A4403">
        <w:tab/>
        <w:t xml:space="preserve">an accredited person that is not a retailer—if it is an AFCA member; </w:t>
      </w:r>
    </w:p>
    <w:p w14:paraId="05E21D46" w14:textId="77777777" w:rsidR="000A3653" w:rsidRPr="006A4403" w:rsidRDefault="000A3653" w:rsidP="000A3653">
      <w:pPr>
        <w:pStyle w:val="paragraph"/>
      </w:pPr>
      <w:r w:rsidRPr="006A4403">
        <w:tab/>
        <w:t>(b)</w:t>
      </w:r>
      <w:r w:rsidRPr="006A4403">
        <w:tab/>
        <w:t>a retailer that is not an accredited person—if it is an EWO member;</w:t>
      </w:r>
    </w:p>
    <w:p w14:paraId="4E89B303" w14:textId="77777777" w:rsidR="000A3653" w:rsidRPr="006A4403" w:rsidRDefault="000A3653" w:rsidP="000A3653">
      <w:pPr>
        <w:pStyle w:val="paragraph"/>
      </w:pPr>
      <w:r w:rsidRPr="006A4403">
        <w:tab/>
        <w:t>(c)</w:t>
      </w:r>
      <w:r w:rsidRPr="006A4403">
        <w:tab/>
        <w:t>an accredited person that is also a retailer, but not a limited retailer—if it is both an AFCA member and an EWO member;</w:t>
      </w:r>
    </w:p>
    <w:p w14:paraId="13A556DB" w14:textId="77777777" w:rsidR="000A3653" w:rsidRPr="006A4403" w:rsidRDefault="000A3653" w:rsidP="000A3653">
      <w:pPr>
        <w:pStyle w:val="paragraph"/>
      </w:pPr>
      <w:r w:rsidRPr="006A4403">
        <w:tab/>
        <w:t>(d)</w:t>
      </w:r>
      <w:r w:rsidRPr="006A4403">
        <w:tab/>
        <w:t>an accredited person that is also a limited retailer—if it is an EWO member.</w:t>
      </w:r>
    </w:p>
    <w:p w14:paraId="4901BE17" w14:textId="77777777" w:rsidR="000A3653" w:rsidRPr="006A4403" w:rsidRDefault="000A3653" w:rsidP="000A3653">
      <w:pPr>
        <w:pStyle w:val="SubsectionHead"/>
      </w:pPr>
      <w:r w:rsidRPr="006A4403">
        <w:t xml:space="preserve">Meaning of </w:t>
      </w:r>
      <w:r w:rsidRPr="006A4403">
        <w:rPr>
          <w:b/>
        </w:rPr>
        <w:t>AFCA member</w:t>
      </w:r>
    </w:p>
    <w:p w14:paraId="62E64A7A" w14:textId="77777777" w:rsidR="000A3653" w:rsidRPr="006A4403" w:rsidRDefault="000A3653" w:rsidP="000A3653">
      <w:pPr>
        <w:pStyle w:val="subsection"/>
      </w:pPr>
      <w:r w:rsidRPr="006A4403">
        <w:tab/>
        <w:t>(2)</w:t>
      </w:r>
      <w:r w:rsidRPr="006A4403">
        <w:tab/>
        <w:t>In this clause, a retailer or an accredited person is an</w:t>
      </w:r>
      <w:r w:rsidRPr="006A4403">
        <w:rPr>
          <w:b/>
          <w:i/>
        </w:rPr>
        <w:t xml:space="preserve"> AFCA member</w:t>
      </w:r>
      <w:r w:rsidRPr="006A4403">
        <w:t xml:space="preserve"> if it is a member of the recognised external dispute resolution scheme operated by the Australian Financial Complaints Authority Limited for the energy sector.</w:t>
      </w:r>
    </w:p>
    <w:p w14:paraId="37C40728" w14:textId="77777777" w:rsidR="000A3653" w:rsidRPr="006A4403" w:rsidRDefault="000A3653" w:rsidP="000A3653">
      <w:pPr>
        <w:pStyle w:val="SubsectionHead"/>
      </w:pPr>
      <w:r w:rsidRPr="006A4403">
        <w:t xml:space="preserve">Meaning of </w:t>
      </w:r>
      <w:r w:rsidRPr="006A4403">
        <w:rPr>
          <w:b/>
        </w:rPr>
        <w:t>EWO member</w:t>
      </w:r>
    </w:p>
    <w:p w14:paraId="76536564" w14:textId="77777777" w:rsidR="000A3653" w:rsidRPr="006A4403" w:rsidRDefault="000A3653" w:rsidP="000A3653">
      <w:pPr>
        <w:pStyle w:val="subsection"/>
      </w:pPr>
      <w:r w:rsidRPr="006A4403">
        <w:tab/>
        <w:t>(3)</w:t>
      </w:r>
      <w:r w:rsidRPr="006A4403">
        <w:tab/>
        <w:t>In this clause, a retailer or accredited person is an</w:t>
      </w:r>
      <w:r w:rsidRPr="006A4403">
        <w:rPr>
          <w:b/>
          <w:i/>
        </w:rPr>
        <w:t xml:space="preserve"> EWO member</w:t>
      </w:r>
      <w:r w:rsidRPr="006A4403">
        <w:t xml:space="preserve"> if, in each relevant jurisdiction:</w:t>
      </w:r>
    </w:p>
    <w:p w14:paraId="7865A1B0" w14:textId="77777777" w:rsidR="000A3653" w:rsidRPr="006A4403" w:rsidRDefault="000A3653" w:rsidP="000A3653">
      <w:pPr>
        <w:pStyle w:val="paragraph"/>
      </w:pPr>
      <w:r w:rsidRPr="006A4403">
        <w:tab/>
        <w:t>(a)</w:t>
      </w:r>
      <w:r w:rsidRPr="006A4403">
        <w:tab/>
        <w:t>if the jurisdiction has an energy and water ombudsman recognised in accordance with section 56DA of the Act—the retailer is a member of the external dispute resolution scheme operated by that ombudsman in relation to CDR consumer complaints; and</w:t>
      </w:r>
    </w:p>
    <w:p w14:paraId="6DF8E096" w14:textId="77777777" w:rsidR="000A3653" w:rsidRPr="006A4403" w:rsidRDefault="000A3653" w:rsidP="000A3653">
      <w:pPr>
        <w:pStyle w:val="paragraph"/>
      </w:pPr>
      <w:r w:rsidRPr="006A4403">
        <w:tab/>
        <w:t>(b)</w:t>
      </w:r>
      <w:r w:rsidRPr="006A4403">
        <w:tab/>
        <w:t>otherwise—the retailer has taken the necessary steps to participate in the dispute resolution process provided by the jurisdiction that is appropriate for CDR consumer complaints.</w:t>
      </w:r>
    </w:p>
    <w:p w14:paraId="7FCCB9DF" w14:textId="77777777" w:rsidR="000A3653" w:rsidRPr="006A4403" w:rsidRDefault="000A3653" w:rsidP="000A3653">
      <w:pPr>
        <w:pStyle w:val="SubsectionHead"/>
      </w:pPr>
      <w:r w:rsidRPr="006A4403">
        <w:t xml:space="preserve">Meaning of </w:t>
      </w:r>
      <w:r w:rsidRPr="006A4403">
        <w:rPr>
          <w:b/>
        </w:rPr>
        <w:t xml:space="preserve">limited retailer </w:t>
      </w:r>
    </w:p>
    <w:p w14:paraId="6C03A90E" w14:textId="77777777" w:rsidR="000A3653" w:rsidRPr="006A4403" w:rsidRDefault="000A3653" w:rsidP="000A3653">
      <w:pPr>
        <w:pStyle w:val="subsection"/>
      </w:pPr>
      <w:r w:rsidRPr="006A4403">
        <w:tab/>
        <w:t>(4)</w:t>
      </w:r>
      <w:r w:rsidRPr="006A4403">
        <w:tab/>
        <w:t xml:space="preserve">A retailer is a </w:t>
      </w:r>
      <w:r w:rsidRPr="006A4403">
        <w:rPr>
          <w:b/>
          <w:i/>
        </w:rPr>
        <w:t xml:space="preserve">limited retailer </w:t>
      </w:r>
      <w:r w:rsidRPr="006A4403">
        <w:t>if:</w:t>
      </w:r>
    </w:p>
    <w:p w14:paraId="63796077" w14:textId="77777777" w:rsidR="000A3653" w:rsidRPr="006A4403" w:rsidRDefault="000A3653" w:rsidP="000A3653">
      <w:pPr>
        <w:pStyle w:val="paragraph"/>
      </w:pPr>
      <w:r w:rsidRPr="006A4403">
        <w:tab/>
        <w:t>(a)</w:t>
      </w:r>
      <w:r w:rsidRPr="006A4403">
        <w:tab/>
        <w:t>it uses any energy sector CDR data that it collects only in order to provide goods or services within the energy sector; and</w:t>
      </w:r>
    </w:p>
    <w:p w14:paraId="4276A21A" w14:textId="77777777" w:rsidR="000A3653" w:rsidRPr="006A4403" w:rsidRDefault="000A3653" w:rsidP="000A3653">
      <w:pPr>
        <w:pStyle w:val="paragraph"/>
      </w:pPr>
      <w:r w:rsidRPr="006A4403">
        <w:tab/>
        <w:t>(b)</w:t>
      </w:r>
      <w:r w:rsidRPr="006A4403">
        <w:tab/>
        <w:t>it does not use non-energy sector CDR data that it collects in order to provide goods or services outside the energy sector.</w:t>
      </w:r>
    </w:p>
    <w:bookmarkEnd w:id="350"/>
    <w:bookmarkEnd w:id="351"/>
    <w:bookmarkEnd w:id="352"/>
    <w:p w14:paraId="5C35965C" w14:textId="77777777" w:rsidR="000A3653" w:rsidRPr="006A4403" w:rsidRDefault="004B0AB6" w:rsidP="000A3653">
      <w:pPr>
        <w:pStyle w:val="ItemHead"/>
      </w:pPr>
      <w:r>
        <w:t>172</w:t>
      </w:r>
      <w:r w:rsidR="00723B2F" w:rsidRPr="006A4403">
        <w:t xml:space="preserve">  </w:t>
      </w:r>
      <w:r w:rsidR="000A3653" w:rsidRPr="006A4403">
        <w:t xml:space="preserve">Clause 8.1 of Schedule 4 (paragraph (a) of definition of </w:t>
      </w:r>
      <w:r w:rsidR="000A3653" w:rsidRPr="006A4403">
        <w:rPr>
          <w:i/>
        </w:rPr>
        <w:t>large customer</w:t>
      </w:r>
      <w:r w:rsidR="000A3653" w:rsidRPr="006A4403">
        <w:t>)</w:t>
      </w:r>
    </w:p>
    <w:p w14:paraId="0ED63C3D" w14:textId="77777777" w:rsidR="000A3653" w:rsidRPr="006A4403" w:rsidRDefault="000A3653" w:rsidP="000A3653">
      <w:pPr>
        <w:pStyle w:val="Item"/>
      </w:pPr>
      <w:r w:rsidRPr="006A4403">
        <w:t>Before “relevant customer”, insert “customer that is not a”.</w:t>
      </w:r>
    </w:p>
    <w:p w14:paraId="4BD1AA74" w14:textId="77777777" w:rsidR="000A3653" w:rsidRPr="006A4403" w:rsidRDefault="004B0AB6" w:rsidP="000A3653">
      <w:pPr>
        <w:pStyle w:val="ItemHead"/>
      </w:pPr>
      <w:r>
        <w:t>173</w:t>
      </w:r>
      <w:r w:rsidR="00723B2F" w:rsidRPr="006A4403">
        <w:t xml:space="preserve">  </w:t>
      </w:r>
      <w:r w:rsidR="000A3653" w:rsidRPr="006A4403">
        <w:t>Paragraphs 8.2(f) and (g) of Schedule 4</w:t>
      </w:r>
    </w:p>
    <w:p w14:paraId="45850A1E" w14:textId="77777777" w:rsidR="000A3653" w:rsidRPr="006A4403" w:rsidRDefault="000A3653" w:rsidP="000A3653">
      <w:pPr>
        <w:pStyle w:val="Item"/>
      </w:pPr>
      <w:r w:rsidRPr="006A4403">
        <w:t>Repeal the paragraphs, substitute:</w:t>
      </w:r>
    </w:p>
    <w:p w14:paraId="1BE202E8" w14:textId="77777777" w:rsidR="000A3653" w:rsidRPr="006A4403" w:rsidRDefault="000A3653" w:rsidP="000A3653">
      <w:pPr>
        <w:pStyle w:val="SubsectionHead"/>
        <w:ind w:left="1746" w:hanging="306"/>
      </w:pPr>
      <w:r w:rsidRPr="006A4403">
        <w:t>The Energy Australia Group</w:t>
      </w:r>
    </w:p>
    <w:p w14:paraId="4896483C" w14:textId="77777777" w:rsidR="000A3653" w:rsidRPr="006A4403" w:rsidRDefault="000A3653" w:rsidP="000A3653">
      <w:pPr>
        <w:pStyle w:val="paragraph"/>
      </w:pPr>
      <w:r w:rsidRPr="006A4403">
        <w:tab/>
        <w:t>(f)</w:t>
      </w:r>
      <w:r w:rsidRPr="006A4403">
        <w:tab/>
        <w:t xml:space="preserve">EnergyAustralia Pty Ltd </w:t>
      </w:r>
      <w:r w:rsidRPr="006A4403">
        <w:noBreakHyphen/>
        <w:t xml:space="preserve"> ABN 99 086 014 968.</w:t>
      </w:r>
    </w:p>
    <w:p w14:paraId="485E0A5A" w14:textId="77777777" w:rsidR="000A3653" w:rsidRPr="006A4403" w:rsidRDefault="004B0AB6" w:rsidP="000A3653">
      <w:pPr>
        <w:pStyle w:val="ItemHead"/>
        <w:rPr>
          <w:noProof/>
        </w:rPr>
      </w:pPr>
      <w:r>
        <w:t>174</w:t>
      </w:r>
      <w:r w:rsidR="00723B2F" w:rsidRPr="006A4403">
        <w:t xml:space="preserve">  </w:t>
      </w:r>
      <w:r w:rsidR="000A3653" w:rsidRPr="006A4403">
        <w:rPr>
          <w:noProof/>
        </w:rPr>
        <w:t>Subclauses 8.3(1) and (2) of Schedule 4</w:t>
      </w:r>
    </w:p>
    <w:p w14:paraId="5ABFEF64" w14:textId="77777777" w:rsidR="000A3653" w:rsidRPr="006A4403" w:rsidRDefault="000A3653" w:rsidP="000A3653">
      <w:pPr>
        <w:pStyle w:val="Item"/>
      </w:pPr>
      <w:r w:rsidRPr="006A4403">
        <w:t>Omit “For”, substitute “In”.</w:t>
      </w:r>
    </w:p>
    <w:p w14:paraId="104FC139" w14:textId="77777777" w:rsidR="000A3653" w:rsidRPr="006A4403" w:rsidRDefault="004B0AB6" w:rsidP="000A3653">
      <w:pPr>
        <w:pStyle w:val="ItemHead"/>
      </w:pPr>
      <w:r>
        <w:lastRenderedPageBreak/>
        <w:t>175</w:t>
      </w:r>
      <w:r w:rsidR="00723B2F" w:rsidRPr="006A4403">
        <w:t xml:space="preserve">  </w:t>
      </w:r>
      <w:r w:rsidR="000A3653" w:rsidRPr="006A4403">
        <w:t xml:space="preserve">Paragraph 8.7(1)(a) of Schedule 4 </w:t>
      </w:r>
    </w:p>
    <w:p w14:paraId="5EB45EC7" w14:textId="77777777" w:rsidR="000A3653" w:rsidRPr="006A4403" w:rsidRDefault="000A3653" w:rsidP="000A3653">
      <w:pPr>
        <w:pStyle w:val="Item"/>
      </w:pPr>
      <w:r w:rsidRPr="006A4403">
        <w:t>Repeal the paragraph.</w:t>
      </w:r>
    </w:p>
    <w:p w14:paraId="48A4E58A" w14:textId="77777777" w:rsidR="000A3653" w:rsidRPr="006A4403" w:rsidRDefault="004B0AB6" w:rsidP="000A3653">
      <w:pPr>
        <w:pStyle w:val="ItemHead"/>
      </w:pPr>
      <w:r>
        <w:t>176</w:t>
      </w:r>
      <w:r w:rsidR="00723B2F" w:rsidRPr="006A4403">
        <w:t xml:space="preserve">  </w:t>
      </w:r>
      <w:r w:rsidR="000A3653" w:rsidRPr="006A4403">
        <w:t xml:space="preserve">Subclause 9.2(1) of Schedule 4 </w:t>
      </w:r>
    </w:p>
    <w:p w14:paraId="7906B286" w14:textId="77777777" w:rsidR="000A3653" w:rsidRPr="006A4403" w:rsidRDefault="000A3653" w:rsidP="000A3653">
      <w:pPr>
        <w:pStyle w:val="Item"/>
      </w:pPr>
      <w:r w:rsidRPr="006A4403">
        <w:t>Omit “Part 4”, substitute “Division 4.3”.</w:t>
      </w:r>
    </w:p>
    <w:p w14:paraId="10FBC541" w14:textId="77777777" w:rsidR="000A3653" w:rsidRPr="006A4403" w:rsidRDefault="004B0AB6" w:rsidP="000A3653">
      <w:pPr>
        <w:pStyle w:val="ItemHead"/>
      </w:pPr>
      <w:r>
        <w:t>177</w:t>
      </w:r>
      <w:r w:rsidR="00723B2F" w:rsidRPr="006A4403">
        <w:t xml:space="preserve">  </w:t>
      </w:r>
      <w:r w:rsidR="000A3653" w:rsidRPr="006A4403">
        <w:t>Subparagraph 9.2(2)(d)(iii) of Schedule 4</w:t>
      </w:r>
    </w:p>
    <w:p w14:paraId="25CB0AC8" w14:textId="77777777" w:rsidR="000A3653" w:rsidRPr="006A4403" w:rsidRDefault="000A3653" w:rsidP="000A3653">
      <w:pPr>
        <w:pStyle w:val="Item"/>
      </w:pPr>
      <w:r w:rsidRPr="006A4403">
        <w:t>Repeal the subparagraph, substitute:</w:t>
      </w:r>
    </w:p>
    <w:p w14:paraId="79696F06" w14:textId="77777777" w:rsidR="000A3653" w:rsidRPr="006A4403" w:rsidRDefault="000A3653" w:rsidP="000A3653">
      <w:pPr>
        <w:pStyle w:val="paragraphsub"/>
      </w:pPr>
      <w:bookmarkStart w:id="353" w:name="_Hlk120807107"/>
      <w:r w:rsidRPr="006A4403">
        <w:tab/>
        <w:t>(iii)</w:t>
      </w:r>
      <w:r w:rsidRPr="006A4403">
        <w:tab/>
        <w:t>has explained to the CDR consumer:</w:t>
      </w:r>
    </w:p>
    <w:p w14:paraId="5CD5273F" w14:textId="77777777" w:rsidR="000A3653" w:rsidRPr="006A4403" w:rsidRDefault="000A3653" w:rsidP="000A3653">
      <w:pPr>
        <w:pStyle w:val="paragraphsub-sub"/>
      </w:pPr>
      <w:r w:rsidRPr="006A4403">
        <w:tab/>
        <w:t>(A)</w:t>
      </w:r>
      <w:r w:rsidRPr="006A4403">
        <w:tab/>
        <w:t>that, as a result, the privacy safeguards, to the extent that they apply to an accredited data recipient of CDR data, would no longer apply to the person in relation to the relevant CDR data; and</w:t>
      </w:r>
    </w:p>
    <w:p w14:paraId="784F95A4" w14:textId="77777777" w:rsidR="000A3653" w:rsidRPr="006A4403" w:rsidRDefault="000A3653" w:rsidP="000A3653">
      <w:pPr>
        <w:pStyle w:val="paragraphsub-sub"/>
      </w:pPr>
      <w:r w:rsidRPr="006A4403">
        <w:tab/>
        <w:t>(B)</w:t>
      </w:r>
      <w:r w:rsidRPr="006A4403">
        <w:tab/>
        <w:t>that the privacy safeguards applicable to a data holder will instead apply to the person in relation to the relevant CDR data; and</w:t>
      </w:r>
    </w:p>
    <w:p w14:paraId="202CBB27" w14:textId="77777777" w:rsidR="000A3653" w:rsidRPr="006A4403" w:rsidRDefault="000A3653" w:rsidP="000A3653">
      <w:pPr>
        <w:pStyle w:val="paragraphsub-sub"/>
      </w:pPr>
      <w:r w:rsidRPr="006A4403">
        <w:tab/>
        <w:t>(C)</w:t>
      </w:r>
      <w:r w:rsidRPr="006A4403">
        <w:tab/>
        <w:t>the manner in which the person proposes to treat the relevant CDR data; and</w:t>
      </w:r>
    </w:p>
    <w:p w14:paraId="6F148355" w14:textId="77777777" w:rsidR="000A3653" w:rsidRPr="006A4403" w:rsidRDefault="000A3653" w:rsidP="000A3653">
      <w:pPr>
        <w:pStyle w:val="paragraphsub-sub"/>
      </w:pPr>
      <w:r w:rsidRPr="006A4403">
        <w:tab/>
        <w:t>(D)</w:t>
      </w:r>
      <w:r w:rsidRPr="006A4403">
        <w:tab/>
        <w:t>why the person is entitled to provide the CDR consumer with this option; and</w:t>
      </w:r>
    </w:p>
    <w:bookmarkEnd w:id="353"/>
    <w:p w14:paraId="00FF4E9E" w14:textId="77777777" w:rsidR="00895004" w:rsidRPr="006A4403" w:rsidRDefault="004B0AB6" w:rsidP="00895004">
      <w:pPr>
        <w:pStyle w:val="ItemHead"/>
        <w:rPr>
          <w:noProof/>
        </w:rPr>
      </w:pPr>
      <w:r>
        <w:t>178</w:t>
      </w:r>
      <w:r w:rsidR="00895004" w:rsidRPr="006A4403">
        <w:rPr>
          <w:noProof/>
        </w:rPr>
        <w:t xml:space="preserve">  The whole of the instrument</w:t>
      </w:r>
    </w:p>
    <w:p w14:paraId="5D77A4E4" w14:textId="77777777" w:rsidR="00895004" w:rsidRPr="006A4403" w:rsidRDefault="00895004" w:rsidP="00895004">
      <w:pPr>
        <w:pStyle w:val="Item"/>
      </w:pPr>
      <w:r w:rsidRPr="006A4403">
        <w:t>Omit “CDR principal”, substitute “CDR representative principal”.</w:t>
      </w:r>
    </w:p>
    <w:p w14:paraId="51FDA016" w14:textId="77777777" w:rsidR="00CD61C0" w:rsidRPr="006A4403" w:rsidRDefault="00CD61C0" w:rsidP="00CD61C0">
      <w:pPr>
        <w:pStyle w:val="Item"/>
      </w:pPr>
    </w:p>
    <w:sectPr w:rsidR="00CD61C0" w:rsidRPr="006A4403" w:rsidSect="00233D6E">
      <w:headerReference w:type="default" r:id="rId28"/>
      <w:pgSz w:w="11907" w:h="16839"/>
      <w:pgMar w:top="167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2F74" w14:textId="77777777" w:rsidR="00772500" w:rsidRDefault="00772500" w:rsidP="0048364F">
      <w:pPr>
        <w:spacing w:line="240" w:lineRule="auto"/>
      </w:pPr>
      <w:r>
        <w:separator/>
      </w:r>
    </w:p>
  </w:endnote>
  <w:endnote w:type="continuationSeparator" w:id="0">
    <w:p w14:paraId="59B5D24E" w14:textId="77777777" w:rsidR="00772500" w:rsidRDefault="0077250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6A4403" w14:paraId="1B38E5CA" w14:textId="77777777" w:rsidTr="00284C69">
      <w:tc>
        <w:tcPr>
          <w:tcW w:w="5000" w:type="pct"/>
        </w:tcPr>
        <w:p w14:paraId="08540B0F" w14:textId="77777777" w:rsidR="006A4403" w:rsidRDefault="006A4403" w:rsidP="00284C69">
          <w:pPr>
            <w:rPr>
              <w:sz w:val="18"/>
            </w:rPr>
          </w:pPr>
        </w:p>
      </w:tc>
    </w:tr>
  </w:tbl>
  <w:p w14:paraId="70D437B8" w14:textId="77777777" w:rsidR="006A4403" w:rsidRPr="005F1388" w:rsidRDefault="006A4403" w:rsidP="00284C69">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5C75" w14:textId="77777777" w:rsidR="006A4403" w:rsidRPr="00E33C1C" w:rsidRDefault="006A4403" w:rsidP="00284C6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6A4403" w14:paraId="1A7C728C" w14:textId="77777777" w:rsidTr="00284C69">
      <w:tc>
        <w:tcPr>
          <w:tcW w:w="947" w:type="pct"/>
          <w:tcBorders>
            <w:top w:val="nil"/>
            <w:left w:val="nil"/>
            <w:bottom w:val="nil"/>
            <w:right w:val="nil"/>
          </w:tcBorders>
        </w:tcPr>
        <w:p w14:paraId="7D82C247" w14:textId="77777777" w:rsidR="006A4403" w:rsidRDefault="006A4403" w:rsidP="00284C69">
          <w:pPr>
            <w:spacing w:line="0" w:lineRule="atLeast"/>
            <w:rPr>
              <w:sz w:val="18"/>
            </w:rPr>
          </w:pPr>
        </w:p>
      </w:tc>
      <w:tc>
        <w:tcPr>
          <w:tcW w:w="3688" w:type="pct"/>
          <w:tcBorders>
            <w:top w:val="nil"/>
            <w:left w:val="nil"/>
            <w:bottom w:val="nil"/>
            <w:right w:val="nil"/>
          </w:tcBorders>
        </w:tcPr>
        <w:p w14:paraId="1C640C77" w14:textId="77777777" w:rsidR="006A4403" w:rsidRPr="00B20990" w:rsidRDefault="006A4403" w:rsidP="00284C69">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365" w:type="pct"/>
          <w:tcBorders>
            <w:top w:val="nil"/>
            <w:left w:val="nil"/>
            <w:bottom w:val="nil"/>
            <w:right w:val="nil"/>
          </w:tcBorders>
        </w:tcPr>
        <w:p w14:paraId="453EEFA5" w14:textId="77777777" w:rsidR="006A4403" w:rsidRDefault="006A4403" w:rsidP="00284C6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6A4403" w14:paraId="31C9D8BE" w14:textId="77777777" w:rsidTr="00284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3432406" w14:textId="77777777" w:rsidR="006A4403" w:rsidRDefault="006A4403" w:rsidP="00284C69">
          <w:pPr>
            <w:rPr>
              <w:sz w:val="18"/>
            </w:rPr>
          </w:pPr>
        </w:p>
      </w:tc>
    </w:tr>
  </w:tbl>
  <w:p w14:paraId="278CAD58" w14:textId="77777777" w:rsidR="006A4403" w:rsidRPr="006D3667" w:rsidRDefault="006A4403" w:rsidP="00284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04F0" w14:textId="77777777" w:rsidR="006A4403" w:rsidRPr="00E33C1C" w:rsidRDefault="006A440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A4403" w14:paraId="7D28F483" w14:textId="77777777" w:rsidTr="00724F8F">
      <w:tc>
        <w:tcPr>
          <w:tcW w:w="709" w:type="dxa"/>
          <w:tcBorders>
            <w:top w:val="nil"/>
            <w:left w:val="nil"/>
            <w:bottom w:val="nil"/>
            <w:right w:val="nil"/>
          </w:tcBorders>
        </w:tcPr>
        <w:p w14:paraId="668D5F8D" w14:textId="77777777" w:rsidR="006A4403" w:rsidRDefault="006A4403" w:rsidP="0074273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897816F" w14:textId="77777777" w:rsidR="006A4403" w:rsidRDefault="006A4403" w:rsidP="0074273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Framework (Supplementary Powers) Amendment (Infrastructure, Transport, Regional Development and Communications Measures No. 5) Regulations 2021</w:t>
          </w:r>
          <w:r w:rsidRPr="007A1328">
            <w:rPr>
              <w:i/>
              <w:sz w:val="18"/>
            </w:rPr>
            <w:fldChar w:fldCharType="end"/>
          </w:r>
        </w:p>
      </w:tc>
      <w:tc>
        <w:tcPr>
          <w:tcW w:w="1384" w:type="dxa"/>
          <w:tcBorders>
            <w:top w:val="nil"/>
            <w:left w:val="nil"/>
            <w:bottom w:val="nil"/>
            <w:right w:val="nil"/>
          </w:tcBorders>
        </w:tcPr>
        <w:p w14:paraId="474D57AA" w14:textId="77777777" w:rsidR="006A4403" w:rsidRDefault="006A4403" w:rsidP="00742731">
          <w:pPr>
            <w:spacing w:line="0" w:lineRule="atLeast"/>
            <w:jc w:val="right"/>
            <w:rPr>
              <w:sz w:val="18"/>
            </w:rPr>
          </w:pPr>
        </w:p>
      </w:tc>
    </w:tr>
  </w:tbl>
  <w:p w14:paraId="27394B0A" w14:textId="77777777" w:rsidR="006A4403" w:rsidRPr="00AF2503" w:rsidRDefault="006A4403" w:rsidP="00AF2503">
    <w:pPr>
      <w:rPr>
        <w:rFonts w:cs="Times New Roman"/>
        <w:i/>
        <w:sz w:val="18"/>
      </w:rPr>
    </w:pPr>
    <w:r w:rsidRPr="00AF2503">
      <w:rPr>
        <w:rFonts w:cs="Times New Roman"/>
        <w:i/>
        <w:sz w:val="18"/>
      </w:rPr>
      <w:t>OPC65417 -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0C7B" w14:textId="77777777" w:rsidR="006A4403" w:rsidRPr="00E33C1C" w:rsidRDefault="006A4403" w:rsidP="0094523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7053"/>
      <w:gridCol w:w="710"/>
    </w:tblGrid>
    <w:tr w:rsidR="006A4403" w14:paraId="7FA996C9" w14:textId="77777777" w:rsidTr="00E75DE0">
      <w:tc>
        <w:tcPr>
          <w:tcW w:w="709" w:type="dxa"/>
          <w:tcBorders>
            <w:top w:val="nil"/>
            <w:left w:val="nil"/>
            <w:bottom w:val="nil"/>
            <w:right w:val="nil"/>
          </w:tcBorders>
        </w:tcPr>
        <w:p w14:paraId="384788A6" w14:textId="77777777" w:rsidR="006A4403" w:rsidRDefault="006A4403" w:rsidP="00742731">
          <w:pPr>
            <w:spacing w:line="0" w:lineRule="atLeast"/>
            <w:rPr>
              <w:sz w:val="18"/>
            </w:rPr>
          </w:pPr>
        </w:p>
      </w:tc>
      <w:tc>
        <w:tcPr>
          <w:tcW w:w="7053" w:type="dxa"/>
          <w:tcBorders>
            <w:top w:val="nil"/>
            <w:left w:val="nil"/>
            <w:bottom w:val="nil"/>
            <w:right w:val="nil"/>
          </w:tcBorders>
        </w:tcPr>
        <w:p w14:paraId="2B522A76" w14:textId="751B937A" w:rsidR="006A4403" w:rsidRPr="009028BA" w:rsidRDefault="006A4403" w:rsidP="00742731">
          <w:pPr>
            <w:spacing w:line="0" w:lineRule="atLeast"/>
            <w:jc w:val="center"/>
            <w:rPr>
              <w:i/>
              <w:sz w:val="18"/>
            </w:rPr>
          </w:pPr>
          <w:r w:rsidRPr="009028BA">
            <w:rPr>
              <w:i/>
              <w:sz w:val="18"/>
            </w:rPr>
            <w:fldChar w:fldCharType="begin"/>
          </w:r>
          <w:r w:rsidRPr="009028BA">
            <w:rPr>
              <w:i/>
              <w:sz w:val="18"/>
            </w:rPr>
            <w:instrText xml:space="preserve"> STYLEREF  ShortT  \* MERGEFORMAT </w:instrText>
          </w:r>
          <w:r w:rsidRPr="009028BA">
            <w:rPr>
              <w:i/>
              <w:sz w:val="18"/>
            </w:rPr>
            <w:fldChar w:fldCharType="separate"/>
          </w:r>
          <w:r w:rsidR="000468DC">
            <w:rPr>
              <w:i/>
              <w:noProof/>
              <w:sz w:val="18"/>
            </w:rPr>
            <w:t>Competition and Consumer (Consumer Data Right) Amendment Rules (No. 1) 2023</w:t>
          </w:r>
          <w:r w:rsidRPr="009028BA">
            <w:rPr>
              <w:i/>
              <w:sz w:val="18"/>
            </w:rPr>
            <w:fldChar w:fldCharType="end"/>
          </w:r>
        </w:p>
      </w:tc>
      <w:tc>
        <w:tcPr>
          <w:tcW w:w="710" w:type="dxa"/>
          <w:tcBorders>
            <w:top w:val="nil"/>
            <w:left w:val="nil"/>
            <w:bottom w:val="nil"/>
            <w:right w:val="nil"/>
          </w:tcBorders>
        </w:tcPr>
        <w:p w14:paraId="0A33C8C3" w14:textId="77777777" w:rsidR="006A4403" w:rsidRDefault="006A4403" w:rsidP="0074273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80A94D5" w14:textId="3A11E6EA" w:rsidR="006A4403" w:rsidRDefault="006A4403" w:rsidP="00D04DB1">
    <w:pPr>
      <w:tabs>
        <w:tab w:val="center" w:pos="4536"/>
        <w:tab w:val="right" w:pos="9356"/>
      </w:tabs>
      <w:jc w:val="both"/>
      <w:rPr>
        <w:b/>
        <w:color w:val="0000FF"/>
        <w:sz w:val="32"/>
        <w:szCs w:val="32"/>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0468DC">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Pr>
        <w:b/>
        <w:color w:val="0000FF"/>
        <w:sz w:val="32"/>
        <w:szCs w:val="32"/>
      </w:rPr>
      <w:instrText xml:space="preserve"> "</w:instrText>
    </w:r>
  </w:p>
  <w:p w14:paraId="38FC73F0" w14:textId="5BD46B6F" w:rsidR="006A4403" w:rsidRPr="00D04DB1" w:rsidRDefault="006A4403" w:rsidP="00D04DB1">
    <w:pPr>
      <w:tabs>
        <w:tab w:val="center" w:pos="4536"/>
        <w:tab w:val="right" w:pos="9356"/>
      </w:tabs>
      <w:jc w:val="both"/>
    </w:pPr>
    <w:r>
      <w:rPr>
        <w:b/>
        <w:color w:val="0000FF"/>
        <w:sz w:val="32"/>
        <w:szCs w:val="32"/>
      </w:rPr>
      <w:instrText xml:space="preserve">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color w:val="0000FF"/>
        <w:sz w:val="32"/>
        <w:szCs w:val="32"/>
      </w:rPr>
      <w:fldChar w:fldCharType="separate"/>
    </w:r>
    <w:r w:rsidR="00C0758B">
      <w:rPr>
        <w:b/>
        <w:noProof/>
        <w:color w:val="0000FF"/>
        <w:sz w:val="32"/>
        <w:szCs w:val="32"/>
      </w:rPr>
      <w:instrText>Version v02</w:instrText>
    </w:r>
    <w:r w:rsidR="00C0758B">
      <w:rPr>
        <w:b/>
        <w:noProof/>
        <w:color w:val="0000FF"/>
        <w:sz w:val="32"/>
        <w:szCs w:val="32"/>
      </w:rPr>
      <w:tab/>
      <w:instrText>DRAFT</w:instrText>
    </w:r>
    <w:r w:rsidR="00C0758B">
      <w:rPr>
        <w:b/>
        <w:noProof/>
        <w:color w:val="0000FF"/>
        <w:sz w:val="32"/>
        <w:szCs w:val="32"/>
      </w:rPr>
      <w:tab/>
      <w:instrText>18 May 2023</w:instrText>
    </w:r>
    <w:r w:rsidRPr="00EE4AFD">
      <w:rPr>
        <w:b/>
        <w:noProof/>
        <w:color w:val="0000FF"/>
        <w:sz w:val="32"/>
        <w:szCs w:val="32"/>
      </w:rPr>
      <w:fldChar w:fldCharType="end"/>
    </w:r>
    <w:r>
      <w:rPr>
        <w:b/>
        <w:noProof/>
        <w:color w:val="0000FF"/>
        <w:sz w:val="32"/>
        <w:szCs w:val="32"/>
      </w:rPr>
      <w:instrText>"</w:instrText>
    </w:r>
    <w:r w:rsidRPr="00EE4AFD">
      <w:rPr>
        <w:b/>
        <w:color w:val="0000FF"/>
        <w:sz w:val="32"/>
        <w:szCs w:val="32"/>
      </w:rPr>
      <w:instrText xml:space="preserve"> ""  </w:instrText>
    </w:r>
    <w:r w:rsidRPr="00EE4AFD">
      <w:rPr>
        <w:b/>
        <w:color w:val="0000FF"/>
        <w:sz w:val="32"/>
        <w:szCs w:val="3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FD0F" w14:textId="77777777" w:rsidR="006A4403" w:rsidRPr="00E33C1C" w:rsidRDefault="006A440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A4403" w14:paraId="46D5623A" w14:textId="77777777" w:rsidTr="00724F8F">
      <w:tc>
        <w:tcPr>
          <w:tcW w:w="709" w:type="dxa"/>
          <w:tcBorders>
            <w:top w:val="nil"/>
            <w:left w:val="nil"/>
            <w:bottom w:val="nil"/>
            <w:right w:val="nil"/>
          </w:tcBorders>
        </w:tcPr>
        <w:p w14:paraId="64B91A6A" w14:textId="77777777" w:rsidR="006A4403" w:rsidRDefault="006A4403" w:rsidP="0074273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C3738FD" w14:textId="77777777" w:rsidR="006A4403" w:rsidRDefault="006A4403" w:rsidP="0074273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Framework (Supplementary Powers) Amendment (Infrastructure, Transport, Regional Development and Communications Measures No. 5) Regulations 2021</w:t>
          </w:r>
          <w:r w:rsidRPr="007A1328">
            <w:rPr>
              <w:i/>
              <w:sz w:val="18"/>
            </w:rPr>
            <w:fldChar w:fldCharType="end"/>
          </w:r>
        </w:p>
      </w:tc>
      <w:tc>
        <w:tcPr>
          <w:tcW w:w="1384" w:type="dxa"/>
          <w:tcBorders>
            <w:top w:val="nil"/>
            <w:left w:val="nil"/>
            <w:bottom w:val="nil"/>
            <w:right w:val="nil"/>
          </w:tcBorders>
        </w:tcPr>
        <w:p w14:paraId="5D920BA3" w14:textId="77777777" w:rsidR="006A4403" w:rsidRDefault="006A4403" w:rsidP="00742731">
          <w:pPr>
            <w:spacing w:line="0" w:lineRule="atLeast"/>
            <w:jc w:val="right"/>
            <w:rPr>
              <w:sz w:val="18"/>
            </w:rPr>
          </w:pPr>
        </w:p>
      </w:tc>
    </w:tr>
  </w:tbl>
  <w:p w14:paraId="03262823" w14:textId="77777777" w:rsidR="006A4403" w:rsidRPr="00AF2503" w:rsidRDefault="006A4403" w:rsidP="00AF2503">
    <w:pPr>
      <w:rPr>
        <w:rFonts w:cs="Times New Roman"/>
        <w:i/>
        <w:sz w:val="18"/>
      </w:rPr>
    </w:pPr>
    <w:r w:rsidRPr="00AF2503">
      <w:rPr>
        <w:rFonts w:cs="Times New Roman"/>
        <w:i/>
        <w:sz w:val="18"/>
      </w:rPr>
      <w:t>OPC65417 -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561E" w14:textId="77777777" w:rsidR="006A4403" w:rsidRDefault="006A4403"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6A4403" w14:paraId="729767E3" w14:textId="77777777" w:rsidTr="00895004">
      <w:tc>
        <w:tcPr>
          <w:tcW w:w="1384" w:type="dxa"/>
          <w:tcBorders>
            <w:top w:val="nil"/>
            <w:left w:val="nil"/>
            <w:bottom w:val="nil"/>
            <w:right w:val="nil"/>
          </w:tcBorders>
        </w:tcPr>
        <w:p w14:paraId="189E8BE0" w14:textId="77777777" w:rsidR="006A4403" w:rsidRDefault="006A4403" w:rsidP="00233D6E">
          <w:pPr>
            <w:spacing w:line="0" w:lineRule="atLeast"/>
            <w:rPr>
              <w:sz w:val="18"/>
            </w:rPr>
          </w:pPr>
        </w:p>
      </w:tc>
      <w:tc>
        <w:tcPr>
          <w:tcW w:w="6379" w:type="dxa"/>
          <w:tcBorders>
            <w:top w:val="nil"/>
            <w:left w:val="nil"/>
            <w:bottom w:val="nil"/>
            <w:right w:val="nil"/>
          </w:tcBorders>
        </w:tcPr>
        <w:p w14:paraId="1568D516" w14:textId="4C56850B" w:rsidR="006A4403" w:rsidRPr="000500FE" w:rsidRDefault="006A4403" w:rsidP="00233D6E">
          <w:pPr>
            <w:spacing w:line="0" w:lineRule="atLeast"/>
            <w:jc w:val="center"/>
            <w:rPr>
              <w:sz w:val="18"/>
              <w:szCs w:val="18"/>
            </w:rPr>
          </w:pPr>
          <w:r w:rsidRPr="000500FE">
            <w:rPr>
              <w:i/>
              <w:sz w:val="18"/>
              <w:szCs w:val="18"/>
            </w:rPr>
            <w:fldChar w:fldCharType="begin"/>
          </w:r>
          <w:r w:rsidRPr="000500FE">
            <w:rPr>
              <w:i/>
              <w:sz w:val="18"/>
              <w:szCs w:val="18"/>
            </w:rPr>
            <w:instrText xml:space="preserve"> STYLEREF  ShortT </w:instrText>
          </w:r>
          <w:r w:rsidRPr="000500FE">
            <w:rPr>
              <w:i/>
              <w:sz w:val="18"/>
              <w:szCs w:val="18"/>
            </w:rPr>
            <w:fldChar w:fldCharType="separate"/>
          </w:r>
          <w:r w:rsidR="000468DC">
            <w:rPr>
              <w:i/>
              <w:noProof/>
              <w:sz w:val="18"/>
              <w:szCs w:val="18"/>
            </w:rPr>
            <w:t>Competition and Consumer (Consumer Data Right) Amendment Rules (No. 1) 2023</w:t>
          </w:r>
          <w:r w:rsidRPr="000500FE">
            <w:rPr>
              <w:i/>
              <w:sz w:val="18"/>
              <w:szCs w:val="18"/>
            </w:rPr>
            <w:fldChar w:fldCharType="end"/>
          </w:r>
        </w:p>
      </w:tc>
      <w:tc>
        <w:tcPr>
          <w:tcW w:w="709" w:type="dxa"/>
          <w:tcBorders>
            <w:top w:val="nil"/>
            <w:left w:val="nil"/>
            <w:bottom w:val="nil"/>
            <w:right w:val="nil"/>
          </w:tcBorders>
        </w:tcPr>
        <w:p w14:paraId="71C3761F" w14:textId="77777777" w:rsidR="006A4403" w:rsidRDefault="006A4403" w:rsidP="00233D6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5796D92" w14:textId="4CC0761F" w:rsidR="006A4403" w:rsidRDefault="006A4403" w:rsidP="00D04DB1">
    <w:pPr>
      <w:tabs>
        <w:tab w:val="center" w:pos="4536"/>
        <w:tab w:val="right" w:pos="9356"/>
      </w:tabs>
      <w:jc w:val="both"/>
      <w:rPr>
        <w:b/>
        <w:color w:val="0000FF"/>
        <w:sz w:val="32"/>
        <w:szCs w:val="32"/>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0468DC">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Pr>
        <w:b/>
        <w:color w:val="0000FF"/>
        <w:sz w:val="32"/>
        <w:szCs w:val="32"/>
      </w:rPr>
      <w:instrText xml:space="preserve"> "</w:instrText>
    </w:r>
  </w:p>
  <w:p w14:paraId="0E6D487E" w14:textId="0E805E4E" w:rsidR="006A4403" w:rsidRPr="00D04DB1" w:rsidRDefault="006A4403" w:rsidP="00D04DB1">
    <w:pPr>
      <w:tabs>
        <w:tab w:val="center" w:pos="4536"/>
        <w:tab w:val="right" w:pos="9356"/>
      </w:tabs>
      <w:jc w:val="both"/>
    </w:pPr>
    <w:r>
      <w:rPr>
        <w:b/>
        <w:color w:val="0000FF"/>
        <w:sz w:val="32"/>
        <w:szCs w:val="32"/>
      </w:rPr>
      <w:instrText xml:space="preserve">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color w:val="0000FF"/>
        <w:sz w:val="32"/>
        <w:szCs w:val="32"/>
      </w:rPr>
      <w:fldChar w:fldCharType="separate"/>
    </w:r>
    <w:r w:rsidR="00C0758B">
      <w:rPr>
        <w:b/>
        <w:noProof/>
        <w:color w:val="0000FF"/>
        <w:sz w:val="32"/>
        <w:szCs w:val="32"/>
      </w:rPr>
      <w:instrText>Version v02</w:instrText>
    </w:r>
    <w:r w:rsidR="00C0758B">
      <w:rPr>
        <w:b/>
        <w:noProof/>
        <w:color w:val="0000FF"/>
        <w:sz w:val="32"/>
        <w:szCs w:val="32"/>
      </w:rPr>
      <w:tab/>
      <w:instrText>DRAFT</w:instrText>
    </w:r>
    <w:r w:rsidR="00C0758B">
      <w:rPr>
        <w:b/>
        <w:noProof/>
        <w:color w:val="0000FF"/>
        <w:sz w:val="32"/>
        <w:szCs w:val="32"/>
      </w:rPr>
      <w:tab/>
      <w:instrText>18 May 2023</w:instrText>
    </w:r>
    <w:r w:rsidRPr="00EE4AFD">
      <w:rPr>
        <w:b/>
        <w:noProof/>
        <w:color w:val="0000FF"/>
        <w:sz w:val="32"/>
        <w:szCs w:val="32"/>
      </w:rPr>
      <w:fldChar w:fldCharType="end"/>
    </w:r>
    <w:r>
      <w:rPr>
        <w:b/>
        <w:noProof/>
        <w:color w:val="0000FF"/>
        <w:sz w:val="32"/>
        <w:szCs w:val="32"/>
      </w:rPr>
      <w:instrText>"</w:instrText>
    </w:r>
    <w:r w:rsidRPr="00EE4AFD">
      <w:rPr>
        <w:b/>
        <w:color w:val="0000FF"/>
        <w:sz w:val="32"/>
        <w:szCs w:val="32"/>
      </w:rPr>
      <w:instrText xml:space="preserve"> ""  </w:instrText>
    </w:r>
    <w:r w:rsidRPr="00EE4AFD">
      <w:rPr>
        <w:b/>
        <w:color w:val="0000FF"/>
        <w:sz w:val="32"/>
        <w:szCs w:val="3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704C" w14:textId="77777777" w:rsidR="006A4403" w:rsidRPr="00E33C1C" w:rsidRDefault="006A440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A4403" w14:paraId="0D2FBF71" w14:textId="77777777" w:rsidTr="007A6863">
      <w:tc>
        <w:tcPr>
          <w:tcW w:w="1384" w:type="dxa"/>
          <w:tcBorders>
            <w:top w:val="nil"/>
            <w:left w:val="nil"/>
            <w:bottom w:val="nil"/>
            <w:right w:val="nil"/>
          </w:tcBorders>
        </w:tcPr>
        <w:p w14:paraId="29621E87" w14:textId="77777777" w:rsidR="006A4403" w:rsidRDefault="006A4403" w:rsidP="00742731">
          <w:pPr>
            <w:spacing w:line="0" w:lineRule="atLeast"/>
            <w:rPr>
              <w:sz w:val="18"/>
            </w:rPr>
          </w:pPr>
        </w:p>
      </w:tc>
      <w:tc>
        <w:tcPr>
          <w:tcW w:w="6379" w:type="dxa"/>
          <w:tcBorders>
            <w:top w:val="nil"/>
            <w:left w:val="nil"/>
            <w:bottom w:val="nil"/>
            <w:right w:val="nil"/>
          </w:tcBorders>
        </w:tcPr>
        <w:p w14:paraId="3439F1E4" w14:textId="77777777" w:rsidR="006A4403" w:rsidRDefault="006A4403" w:rsidP="0074273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Financial Framework (Supplementary Powers) Amendment (Infrastructure, Transport, Regional Development and Communications Measures No. 5) Regulations 2021</w:t>
          </w:r>
          <w:r w:rsidRPr="007A1328">
            <w:rPr>
              <w:i/>
              <w:sz w:val="18"/>
            </w:rPr>
            <w:fldChar w:fldCharType="end"/>
          </w:r>
        </w:p>
      </w:tc>
      <w:tc>
        <w:tcPr>
          <w:tcW w:w="709" w:type="dxa"/>
          <w:tcBorders>
            <w:top w:val="nil"/>
            <w:left w:val="nil"/>
            <w:bottom w:val="nil"/>
            <w:right w:val="nil"/>
          </w:tcBorders>
        </w:tcPr>
        <w:p w14:paraId="2E01914B" w14:textId="77777777" w:rsidR="006A4403" w:rsidRDefault="006A4403" w:rsidP="0074273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BD019AE" w14:textId="77777777" w:rsidR="006A4403" w:rsidRPr="00AF2503" w:rsidRDefault="006A4403" w:rsidP="00AF2503">
    <w:pPr>
      <w:rPr>
        <w:rFonts w:cs="Times New Roman"/>
        <w:i/>
        <w:sz w:val="18"/>
      </w:rPr>
    </w:pPr>
    <w:r w:rsidRPr="00AF2503">
      <w:rPr>
        <w:rFonts w:cs="Times New Roman"/>
        <w:i/>
        <w:sz w:val="18"/>
      </w:rPr>
      <w:t>OPC65417 -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1C4A" w14:textId="77777777" w:rsidR="00772500" w:rsidRDefault="00772500" w:rsidP="0048364F">
      <w:pPr>
        <w:spacing w:line="240" w:lineRule="auto"/>
      </w:pPr>
      <w:r>
        <w:separator/>
      </w:r>
    </w:p>
  </w:footnote>
  <w:footnote w:type="continuationSeparator" w:id="0">
    <w:p w14:paraId="26267682" w14:textId="77777777" w:rsidR="00772500" w:rsidRDefault="0077250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4969" w14:textId="77777777" w:rsidR="006A4403" w:rsidRPr="005F1388" w:rsidRDefault="006A4403" w:rsidP="00284C69">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D389" w14:textId="02B009E7" w:rsidR="006A4403" w:rsidRPr="00A961C4" w:rsidRDefault="006A4403" w:rsidP="00E0072D">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0468DC">
      <w:rPr>
        <w:noProof/>
        <w:sz w:val="20"/>
      </w:rPr>
      <w:t>Amendments</w:t>
    </w:r>
    <w:r w:rsidR="000468DC">
      <w:rPr>
        <w:noProof/>
        <w:sz w:val="20"/>
      </w:rPr>
      <w:cr/>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0468DC">
      <w:rPr>
        <w:b/>
        <w:noProof/>
        <w:sz w:val="20"/>
      </w:rPr>
      <w:t>Schedule 1</w:t>
    </w:r>
    <w:r>
      <w:rPr>
        <w:b/>
        <w:sz w:val="20"/>
      </w:rPr>
      <w:fldChar w:fldCharType="end"/>
    </w:r>
  </w:p>
  <w:p w14:paraId="1F06F5BB" w14:textId="77777777" w:rsidR="006A4403" w:rsidRPr="00A961C4" w:rsidRDefault="006A4403" w:rsidP="00E0072D">
    <w:pPr>
      <w:pBdr>
        <w:bottom w:val="single" w:sz="6" w:space="1" w:color="auto"/>
      </w:pBdr>
      <w:spacing w:after="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392E" w14:textId="77777777" w:rsidR="006A4403" w:rsidRPr="00A961C4" w:rsidRDefault="006A4403" w:rsidP="00284C69">
    <w:pPr>
      <w:jc w:val="right"/>
      <w:rPr>
        <w:sz w:val="20"/>
      </w:rPr>
    </w:pPr>
  </w:p>
  <w:p w14:paraId="22287E91" w14:textId="77777777" w:rsidR="006A4403" w:rsidRPr="00A961C4" w:rsidRDefault="006A4403" w:rsidP="00284C69">
    <w:pPr>
      <w:jc w:val="right"/>
      <w:rPr>
        <w:b/>
        <w:sz w:val="20"/>
      </w:rPr>
    </w:pPr>
  </w:p>
  <w:p w14:paraId="068C46E3" w14:textId="77777777" w:rsidR="006A4403" w:rsidRPr="00A961C4" w:rsidRDefault="006A4403" w:rsidP="00284C69">
    <w:pPr>
      <w:pBdr>
        <w:bottom w:val="single" w:sz="6" w:space="1" w:color="auto"/>
      </w:pBdr>
      <w:spacing w:after="120"/>
      <w:jc w:val="right"/>
    </w:pPr>
  </w:p>
  <w:p w14:paraId="4E882D82" w14:textId="77777777" w:rsidR="006A4403" w:rsidRPr="005F1388" w:rsidRDefault="006A4403" w:rsidP="00284C69">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0479" w14:textId="77777777" w:rsidR="006A4403" w:rsidRPr="005F1388" w:rsidRDefault="006A4403" w:rsidP="00284C6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60BD" w14:textId="77777777" w:rsidR="006A4403" w:rsidRPr="00ED79B6" w:rsidRDefault="006A4403"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AAFA" w14:textId="77777777" w:rsidR="006A4403" w:rsidRPr="00ED79B6" w:rsidRDefault="006A4403"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28E5" w14:textId="77777777" w:rsidR="006A4403" w:rsidRPr="00ED79B6" w:rsidRDefault="006A440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F09F" w14:textId="77777777" w:rsidR="006A4403" w:rsidRPr="00A961C4" w:rsidRDefault="006A4403"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cr/>
    </w:r>
    <w:r>
      <w:rPr>
        <w:sz w:val="20"/>
      </w:rPr>
      <w:fldChar w:fldCharType="end"/>
    </w:r>
  </w:p>
  <w:p w14:paraId="3E89E46B" w14:textId="77777777" w:rsidR="006A4403" w:rsidRPr="00A961C4" w:rsidRDefault="006A440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B0CC2D9" w14:textId="77777777" w:rsidR="006A4403" w:rsidRPr="00A961C4" w:rsidRDefault="006A4403"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620F" w14:textId="77777777" w:rsidR="006A4403" w:rsidRPr="00A961C4" w:rsidRDefault="006A4403" w:rsidP="00E0072D">
    <w:pPr>
      <w:pBdr>
        <w:bottom w:val="single" w:sz="6" w:space="1" w:color="auto"/>
      </w:pBdr>
      <w:spacing w:after="120"/>
      <w:jc w:val="right"/>
    </w:pPr>
    <w:r w:rsidRPr="00A961C4">
      <w:rPr>
        <w:sz w:val="20"/>
      </w:rPr>
      <w:t xml:space="preserve"> </w:t>
    </w:r>
    <w:r w:rsidRPr="00A961C4">
      <w:rPr>
        <w:b/>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A627" w14:textId="77777777" w:rsidR="006A4403" w:rsidRPr="00A961C4" w:rsidRDefault="006A440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0E7863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7D082194"/>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2A0DF3"/>
    <w:multiLevelType w:val="hybridMultilevel"/>
    <w:tmpl w:val="04348E1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99295205">
    <w:abstractNumId w:val="9"/>
  </w:num>
  <w:num w:numId="2" w16cid:durableId="1701055696">
    <w:abstractNumId w:val="7"/>
  </w:num>
  <w:num w:numId="3" w16cid:durableId="131682951">
    <w:abstractNumId w:val="6"/>
  </w:num>
  <w:num w:numId="4" w16cid:durableId="222642235">
    <w:abstractNumId w:val="5"/>
  </w:num>
  <w:num w:numId="5" w16cid:durableId="1989892924">
    <w:abstractNumId w:val="4"/>
  </w:num>
  <w:num w:numId="6" w16cid:durableId="2113083509">
    <w:abstractNumId w:val="8"/>
  </w:num>
  <w:num w:numId="7" w16cid:durableId="138962310">
    <w:abstractNumId w:val="3"/>
  </w:num>
  <w:num w:numId="8" w16cid:durableId="1756627849">
    <w:abstractNumId w:val="2"/>
  </w:num>
  <w:num w:numId="9" w16cid:durableId="1991641049">
    <w:abstractNumId w:val="1"/>
  </w:num>
  <w:num w:numId="10" w16cid:durableId="1532957420">
    <w:abstractNumId w:val="0"/>
  </w:num>
  <w:num w:numId="11" w16cid:durableId="1210265203">
    <w:abstractNumId w:val="18"/>
  </w:num>
  <w:num w:numId="12" w16cid:durableId="1874225631">
    <w:abstractNumId w:val="11"/>
  </w:num>
  <w:num w:numId="13" w16cid:durableId="69692108">
    <w:abstractNumId w:val="12"/>
  </w:num>
  <w:num w:numId="14" w16cid:durableId="579601293">
    <w:abstractNumId w:val="14"/>
  </w:num>
  <w:num w:numId="15" w16cid:durableId="1920167156">
    <w:abstractNumId w:val="13"/>
  </w:num>
  <w:num w:numId="16" w16cid:durableId="1529754763">
    <w:abstractNumId w:val="10"/>
  </w:num>
  <w:num w:numId="17" w16cid:durableId="1557011573">
    <w:abstractNumId w:val="20"/>
  </w:num>
  <w:num w:numId="18" w16cid:durableId="1606225386">
    <w:abstractNumId w:val="19"/>
  </w:num>
  <w:num w:numId="19" w16cid:durableId="2102098824">
    <w:abstractNumId w:val="16"/>
  </w:num>
  <w:num w:numId="20" w16cid:durableId="272521645">
    <w:abstractNumId w:val="15"/>
  </w:num>
  <w:num w:numId="21" w16cid:durableId="20836049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8F"/>
    <w:rsid w:val="00000263"/>
    <w:rsid w:val="000113BC"/>
    <w:rsid w:val="000136AF"/>
    <w:rsid w:val="00017724"/>
    <w:rsid w:val="0003612E"/>
    <w:rsid w:val="0004044E"/>
    <w:rsid w:val="000447B8"/>
    <w:rsid w:val="00044E0C"/>
    <w:rsid w:val="000468DC"/>
    <w:rsid w:val="00046F47"/>
    <w:rsid w:val="0005120E"/>
    <w:rsid w:val="00054577"/>
    <w:rsid w:val="000614BF"/>
    <w:rsid w:val="00061566"/>
    <w:rsid w:val="0007169C"/>
    <w:rsid w:val="00071F48"/>
    <w:rsid w:val="00077593"/>
    <w:rsid w:val="00080B06"/>
    <w:rsid w:val="00083F48"/>
    <w:rsid w:val="00096609"/>
    <w:rsid w:val="00096E62"/>
    <w:rsid w:val="000A3653"/>
    <w:rsid w:val="000A7DF9"/>
    <w:rsid w:val="000D05EF"/>
    <w:rsid w:val="000D5485"/>
    <w:rsid w:val="000E71DE"/>
    <w:rsid w:val="000F21C1"/>
    <w:rsid w:val="00105D72"/>
    <w:rsid w:val="00106B8B"/>
    <w:rsid w:val="0010745C"/>
    <w:rsid w:val="00117277"/>
    <w:rsid w:val="00131223"/>
    <w:rsid w:val="00152D48"/>
    <w:rsid w:val="00160BD7"/>
    <w:rsid w:val="001643C9"/>
    <w:rsid w:val="00164496"/>
    <w:rsid w:val="00165568"/>
    <w:rsid w:val="00166082"/>
    <w:rsid w:val="00166C2F"/>
    <w:rsid w:val="001716C9"/>
    <w:rsid w:val="00184261"/>
    <w:rsid w:val="0019071B"/>
    <w:rsid w:val="00190DF5"/>
    <w:rsid w:val="00193461"/>
    <w:rsid w:val="001939E1"/>
    <w:rsid w:val="00195382"/>
    <w:rsid w:val="001A3B9F"/>
    <w:rsid w:val="001A49DE"/>
    <w:rsid w:val="001A65C0"/>
    <w:rsid w:val="001B6456"/>
    <w:rsid w:val="001B7A5D"/>
    <w:rsid w:val="001C69C4"/>
    <w:rsid w:val="001D3BB5"/>
    <w:rsid w:val="001E0A8D"/>
    <w:rsid w:val="001E2416"/>
    <w:rsid w:val="001E3590"/>
    <w:rsid w:val="001E6BE2"/>
    <w:rsid w:val="001E7407"/>
    <w:rsid w:val="001F64A8"/>
    <w:rsid w:val="00201D27"/>
    <w:rsid w:val="0020300C"/>
    <w:rsid w:val="00220A0C"/>
    <w:rsid w:val="00223E4A"/>
    <w:rsid w:val="0022478E"/>
    <w:rsid w:val="002275C1"/>
    <w:rsid w:val="002302EA"/>
    <w:rsid w:val="00231769"/>
    <w:rsid w:val="00233D6E"/>
    <w:rsid w:val="0023590C"/>
    <w:rsid w:val="00240749"/>
    <w:rsid w:val="00242101"/>
    <w:rsid w:val="002468D7"/>
    <w:rsid w:val="002533A1"/>
    <w:rsid w:val="002604E6"/>
    <w:rsid w:val="00266CCC"/>
    <w:rsid w:val="00284C69"/>
    <w:rsid w:val="00285CDD"/>
    <w:rsid w:val="002869DA"/>
    <w:rsid w:val="00287F21"/>
    <w:rsid w:val="00291167"/>
    <w:rsid w:val="00297ECB"/>
    <w:rsid w:val="002C152A"/>
    <w:rsid w:val="002D043A"/>
    <w:rsid w:val="002D3BE2"/>
    <w:rsid w:val="002E78F6"/>
    <w:rsid w:val="0031713F"/>
    <w:rsid w:val="00320471"/>
    <w:rsid w:val="00321913"/>
    <w:rsid w:val="00324EE6"/>
    <w:rsid w:val="003316DC"/>
    <w:rsid w:val="00332E0D"/>
    <w:rsid w:val="003355BE"/>
    <w:rsid w:val="00340568"/>
    <w:rsid w:val="003415D3"/>
    <w:rsid w:val="00346335"/>
    <w:rsid w:val="00352B0F"/>
    <w:rsid w:val="00354F66"/>
    <w:rsid w:val="003561B0"/>
    <w:rsid w:val="003639C4"/>
    <w:rsid w:val="00367960"/>
    <w:rsid w:val="003679DC"/>
    <w:rsid w:val="00392D5B"/>
    <w:rsid w:val="003A031C"/>
    <w:rsid w:val="003A15AC"/>
    <w:rsid w:val="003A56EB"/>
    <w:rsid w:val="003B0627"/>
    <w:rsid w:val="003B21D2"/>
    <w:rsid w:val="003C0246"/>
    <w:rsid w:val="003C5F2B"/>
    <w:rsid w:val="003D0BFE"/>
    <w:rsid w:val="003D4368"/>
    <w:rsid w:val="003D5700"/>
    <w:rsid w:val="003F0562"/>
    <w:rsid w:val="003F0F5A"/>
    <w:rsid w:val="0040062F"/>
    <w:rsid w:val="00400A30"/>
    <w:rsid w:val="004022CA"/>
    <w:rsid w:val="00402596"/>
    <w:rsid w:val="004116CD"/>
    <w:rsid w:val="00414ADE"/>
    <w:rsid w:val="00421412"/>
    <w:rsid w:val="00421BB2"/>
    <w:rsid w:val="00424CA9"/>
    <w:rsid w:val="004257BB"/>
    <w:rsid w:val="004261D9"/>
    <w:rsid w:val="0044291A"/>
    <w:rsid w:val="00460499"/>
    <w:rsid w:val="004624E1"/>
    <w:rsid w:val="0046311D"/>
    <w:rsid w:val="00466B8D"/>
    <w:rsid w:val="00473B4F"/>
    <w:rsid w:val="00474835"/>
    <w:rsid w:val="004819C7"/>
    <w:rsid w:val="0048364F"/>
    <w:rsid w:val="00490F2E"/>
    <w:rsid w:val="00496DB3"/>
    <w:rsid w:val="00496F97"/>
    <w:rsid w:val="004A53EA"/>
    <w:rsid w:val="004B0AB6"/>
    <w:rsid w:val="004C7449"/>
    <w:rsid w:val="004F1FAC"/>
    <w:rsid w:val="004F4FF4"/>
    <w:rsid w:val="004F676E"/>
    <w:rsid w:val="00516B8D"/>
    <w:rsid w:val="0052686F"/>
    <w:rsid w:val="0052756C"/>
    <w:rsid w:val="00530230"/>
    <w:rsid w:val="00530CC9"/>
    <w:rsid w:val="0053130A"/>
    <w:rsid w:val="00532099"/>
    <w:rsid w:val="00537FBC"/>
    <w:rsid w:val="00541D73"/>
    <w:rsid w:val="00543469"/>
    <w:rsid w:val="005452CC"/>
    <w:rsid w:val="00546FA3"/>
    <w:rsid w:val="00554243"/>
    <w:rsid w:val="00557C7A"/>
    <w:rsid w:val="00561F34"/>
    <w:rsid w:val="00562A58"/>
    <w:rsid w:val="00581211"/>
    <w:rsid w:val="005845A0"/>
    <w:rsid w:val="00584811"/>
    <w:rsid w:val="00586E73"/>
    <w:rsid w:val="00593AA6"/>
    <w:rsid w:val="00594161"/>
    <w:rsid w:val="00594749"/>
    <w:rsid w:val="005A482B"/>
    <w:rsid w:val="005B4067"/>
    <w:rsid w:val="005C36E0"/>
    <w:rsid w:val="005C3F41"/>
    <w:rsid w:val="005C6C2E"/>
    <w:rsid w:val="005D168D"/>
    <w:rsid w:val="005D5EA1"/>
    <w:rsid w:val="005D6D5D"/>
    <w:rsid w:val="005D7258"/>
    <w:rsid w:val="005E61D3"/>
    <w:rsid w:val="005F7738"/>
    <w:rsid w:val="005F7A0D"/>
    <w:rsid w:val="00600219"/>
    <w:rsid w:val="00613EAD"/>
    <w:rsid w:val="006158AC"/>
    <w:rsid w:val="00627521"/>
    <w:rsid w:val="00640402"/>
    <w:rsid w:val="00640F78"/>
    <w:rsid w:val="00642D96"/>
    <w:rsid w:val="00646E7B"/>
    <w:rsid w:val="00655D6A"/>
    <w:rsid w:val="00656DE9"/>
    <w:rsid w:val="00677CC2"/>
    <w:rsid w:val="006808E5"/>
    <w:rsid w:val="00685F42"/>
    <w:rsid w:val="006866A1"/>
    <w:rsid w:val="0069207B"/>
    <w:rsid w:val="00695EB7"/>
    <w:rsid w:val="006A1C45"/>
    <w:rsid w:val="006A29FC"/>
    <w:rsid w:val="006A31D9"/>
    <w:rsid w:val="006A4309"/>
    <w:rsid w:val="006A4403"/>
    <w:rsid w:val="006B0E55"/>
    <w:rsid w:val="006B7006"/>
    <w:rsid w:val="006C2C27"/>
    <w:rsid w:val="006C7F8C"/>
    <w:rsid w:val="006D3DED"/>
    <w:rsid w:val="006D7AB9"/>
    <w:rsid w:val="006F216F"/>
    <w:rsid w:val="006F48D8"/>
    <w:rsid w:val="00700B2C"/>
    <w:rsid w:val="00713084"/>
    <w:rsid w:val="00720FC2"/>
    <w:rsid w:val="00723B2F"/>
    <w:rsid w:val="007248E3"/>
    <w:rsid w:val="00724F8F"/>
    <w:rsid w:val="00731E00"/>
    <w:rsid w:val="00732E9D"/>
    <w:rsid w:val="0073491A"/>
    <w:rsid w:val="00742731"/>
    <w:rsid w:val="007440B7"/>
    <w:rsid w:val="00747993"/>
    <w:rsid w:val="00752CF2"/>
    <w:rsid w:val="007634AD"/>
    <w:rsid w:val="00770528"/>
    <w:rsid w:val="007715C9"/>
    <w:rsid w:val="00772500"/>
    <w:rsid w:val="00774EDD"/>
    <w:rsid w:val="007757EC"/>
    <w:rsid w:val="00775F81"/>
    <w:rsid w:val="00777B52"/>
    <w:rsid w:val="00795805"/>
    <w:rsid w:val="007A115D"/>
    <w:rsid w:val="007A35E6"/>
    <w:rsid w:val="007A51B9"/>
    <w:rsid w:val="007A6863"/>
    <w:rsid w:val="007B4F3C"/>
    <w:rsid w:val="007C47A7"/>
    <w:rsid w:val="007C734D"/>
    <w:rsid w:val="007D446F"/>
    <w:rsid w:val="007D45C1"/>
    <w:rsid w:val="007D503E"/>
    <w:rsid w:val="007D6FA5"/>
    <w:rsid w:val="007E7D4A"/>
    <w:rsid w:val="007F48ED"/>
    <w:rsid w:val="007F7947"/>
    <w:rsid w:val="00812F45"/>
    <w:rsid w:val="00822B4A"/>
    <w:rsid w:val="0084172C"/>
    <w:rsid w:val="00841CFC"/>
    <w:rsid w:val="00843054"/>
    <w:rsid w:val="00856A31"/>
    <w:rsid w:val="00860526"/>
    <w:rsid w:val="008754D0"/>
    <w:rsid w:val="00877D48"/>
    <w:rsid w:val="0088345B"/>
    <w:rsid w:val="008912C8"/>
    <w:rsid w:val="00895004"/>
    <w:rsid w:val="008A16A5"/>
    <w:rsid w:val="008A33C5"/>
    <w:rsid w:val="008C2B5D"/>
    <w:rsid w:val="008C69CE"/>
    <w:rsid w:val="008D0EE0"/>
    <w:rsid w:val="008D52CF"/>
    <w:rsid w:val="008D5B99"/>
    <w:rsid w:val="008D7A27"/>
    <w:rsid w:val="008E4702"/>
    <w:rsid w:val="008E69AA"/>
    <w:rsid w:val="008F32B0"/>
    <w:rsid w:val="008F4F1C"/>
    <w:rsid w:val="009028BA"/>
    <w:rsid w:val="00922764"/>
    <w:rsid w:val="0092587A"/>
    <w:rsid w:val="00932377"/>
    <w:rsid w:val="00943102"/>
    <w:rsid w:val="0094523D"/>
    <w:rsid w:val="009559E6"/>
    <w:rsid w:val="00964F57"/>
    <w:rsid w:val="00971C07"/>
    <w:rsid w:val="00976A63"/>
    <w:rsid w:val="00976B28"/>
    <w:rsid w:val="00983419"/>
    <w:rsid w:val="00994D74"/>
    <w:rsid w:val="00995D40"/>
    <w:rsid w:val="009A233C"/>
    <w:rsid w:val="009A4632"/>
    <w:rsid w:val="009C2D3E"/>
    <w:rsid w:val="009C3431"/>
    <w:rsid w:val="009C5989"/>
    <w:rsid w:val="009D08DA"/>
    <w:rsid w:val="009E1F49"/>
    <w:rsid w:val="00A06860"/>
    <w:rsid w:val="00A07ED8"/>
    <w:rsid w:val="00A136F5"/>
    <w:rsid w:val="00A231E2"/>
    <w:rsid w:val="00A2550D"/>
    <w:rsid w:val="00A4169B"/>
    <w:rsid w:val="00A445F2"/>
    <w:rsid w:val="00A50D55"/>
    <w:rsid w:val="00A5165B"/>
    <w:rsid w:val="00A519F2"/>
    <w:rsid w:val="00A52FDA"/>
    <w:rsid w:val="00A606AD"/>
    <w:rsid w:val="00A616A7"/>
    <w:rsid w:val="00A64912"/>
    <w:rsid w:val="00A70A74"/>
    <w:rsid w:val="00A751A8"/>
    <w:rsid w:val="00AA0343"/>
    <w:rsid w:val="00AA15B0"/>
    <w:rsid w:val="00AA2A5C"/>
    <w:rsid w:val="00AB4DC2"/>
    <w:rsid w:val="00AB78E9"/>
    <w:rsid w:val="00AB7C73"/>
    <w:rsid w:val="00AC1351"/>
    <w:rsid w:val="00AC38A5"/>
    <w:rsid w:val="00AD3467"/>
    <w:rsid w:val="00AD5641"/>
    <w:rsid w:val="00AE0F9B"/>
    <w:rsid w:val="00AF2503"/>
    <w:rsid w:val="00AF55FF"/>
    <w:rsid w:val="00B032D8"/>
    <w:rsid w:val="00B158F1"/>
    <w:rsid w:val="00B302BD"/>
    <w:rsid w:val="00B33B3C"/>
    <w:rsid w:val="00B40D74"/>
    <w:rsid w:val="00B503A6"/>
    <w:rsid w:val="00B52663"/>
    <w:rsid w:val="00B56DCB"/>
    <w:rsid w:val="00B65728"/>
    <w:rsid w:val="00B726D4"/>
    <w:rsid w:val="00B770D2"/>
    <w:rsid w:val="00B77DD6"/>
    <w:rsid w:val="00B86886"/>
    <w:rsid w:val="00BA1607"/>
    <w:rsid w:val="00BA47A3"/>
    <w:rsid w:val="00BA5026"/>
    <w:rsid w:val="00BA5745"/>
    <w:rsid w:val="00BB6E79"/>
    <w:rsid w:val="00BD55A4"/>
    <w:rsid w:val="00BE3B31"/>
    <w:rsid w:val="00BE719A"/>
    <w:rsid w:val="00BE720A"/>
    <w:rsid w:val="00BF6650"/>
    <w:rsid w:val="00C067E5"/>
    <w:rsid w:val="00C0758B"/>
    <w:rsid w:val="00C164CA"/>
    <w:rsid w:val="00C30EC0"/>
    <w:rsid w:val="00C42BF8"/>
    <w:rsid w:val="00C44FED"/>
    <w:rsid w:val="00C460AE"/>
    <w:rsid w:val="00C50043"/>
    <w:rsid w:val="00C50A0F"/>
    <w:rsid w:val="00C61447"/>
    <w:rsid w:val="00C7573B"/>
    <w:rsid w:val="00C76CF3"/>
    <w:rsid w:val="00CA0846"/>
    <w:rsid w:val="00CA1065"/>
    <w:rsid w:val="00CA2C8F"/>
    <w:rsid w:val="00CA7844"/>
    <w:rsid w:val="00CB37CB"/>
    <w:rsid w:val="00CB58EF"/>
    <w:rsid w:val="00CC7988"/>
    <w:rsid w:val="00CC7AD0"/>
    <w:rsid w:val="00CD61C0"/>
    <w:rsid w:val="00CE58CE"/>
    <w:rsid w:val="00CE7D64"/>
    <w:rsid w:val="00CF0BB2"/>
    <w:rsid w:val="00CF49EC"/>
    <w:rsid w:val="00D00582"/>
    <w:rsid w:val="00D04DB1"/>
    <w:rsid w:val="00D0752A"/>
    <w:rsid w:val="00D13441"/>
    <w:rsid w:val="00D20665"/>
    <w:rsid w:val="00D243A3"/>
    <w:rsid w:val="00D3200B"/>
    <w:rsid w:val="00D33440"/>
    <w:rsid w:val="00D346E6"/>
    <w:rsid w:val="00D52EFE"/>
    <w:rsid w:val="00D55026"/>
    <w:rsid w:val="00D56A0D"/>
    <w:rsid w:val="00D6112F"/>
    <w:rsid w:val="00D63EF6"/>
    <w:rsid w:val="00D6592E"/>
    <w:rsid w:val="00D66518"/>
    <w:rsid w:val="00D66587"/>
    <w:rsid w:val="00D70DFB"/>
    <w:rsid w:val="00D71EEA"/>
    <w:rsid w:val="00D73176"/>
    <w:rsid w:val="00D735CD"/>
    <w:rsid w:val="00D75674"/>
    <w:rsid w:val="00D766DF"/>
    <w:rsid w:val="00D94F05"/>
    <w:rsid w:val="00D95891"/>
    <w:rsid w:val="00DB5CB4"/>
    <w:rsid w:val="00DD1539"/>
    <w:rsid w:val="00DD51A3"/>
    <w:rsid w:val="00DE149E"/>
    <w:rsid w:val="00E0072D"/>
    <w:rsid w:val="00E016D8"/>
    <w:rsid w:val="00E02C2E"/>
    <w:rsid w:val="00E05704"/>
    <w:rsid w:val="00E12F1A"/>
    <w:rsid w:val="00E17302"/>
    <w:rsid w:val="00E21CFB"/>
    <w:rsid w:val="00E226F3"/>
    <w:rsid w:val="00E22935"/>
    <w:rsid w:val="00E2613B"/>
    <w:rsid w:val="00E35158"/>
    <w:rsid w:val="00E46B1F"/>
    <w:rsid w:val="00E50DDB"/>
    <w:rsid w:val="00E54292"/>
    <w:rsid w:val="00E60191"/>
    <w:rsid w:val="00E74DC7"/>
    <w:rsid w:val="00E75768"/>
    <w:rsid w:val="00E75803"/>
    <w:rsid w:val="00E75DE0"/>
    <w:rsid w:val="00E87695"/>
    <w:rsid w:val="00E87699"/>
    <w:rsid w:val="00E92E27"/>
    <w:rsid w:val="00E9586B"/>
    <w:rsid w:val="00E97334"/>
    <w:rsid w:val="00EA0D36"/>
    <w:rsid w:val="00EB2AA3"/>
    <w:rsid w:val="00ED4928"/>
    <w:rsid w:val="00EE3749"/>
    <w:rsid w:val="00EE6190"/>
    <w:rsid w:val="00EF2E3A"/>
    <w:rsid w:val="00EF3900"/>
    <w:rsid w:val="00EF6402"/>
    <w:rsid w:val="00F025DF"/>
    <w:rsid w:val="00F047E2"/>
    <w:rsid w:val="00F04D57"/>
    <w:rsid w:val="00F078DC"/>
    <w:rsid w:val="00F13D6D"/>
    <w:rsid w:val="00F13E86"/>
    <w:rsid w:val="00F27623"/>
    <w:rsid w:val="00F32FCB"/>
    <w:rsid w:val="00F46457"/>
    <w:rsid w:val="00F574A1"/>
    <w:rsid w:val="00F6709F"/>
    <w:rsid w:val="00F677A9"/>
    <w:rsid w:val="00F723BD"/>
    <w:rsid w:val="00F732EA"/>
    <w:rsid w:val="00F74BBF"/>
    <w:rsid w:val="00F84CF5"/>
    <w:rsid w:val="00F8612E"/>
    <w:rsid w:val="00F9472A"/>
    <w:rsid w:val="00FA420B"/>
    <w:rsid w:val="00FA5950"/>
    <w:rsid w:val="00FC499A"/>
    <w:rsid w:val="00FE0781"/>
    <w:rsid w:val="00FE18E2"/>
    <w:rsid w:val="00FE6DB9"/>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B5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C734D"/>
    <w:pPr>
      <w:spacing w:line="260" w:lineRule="atLeast"/>
    </w:pPr>
    <w:rPr>
      <w:sz w:val="22"/>
    </w:rPr>
  </w:style>
  <w:style w:type="paragraph" w:styleId="Heading1">
    <w:name w:val="heading 1"/>
    <w:basedOn w:val="Normal"/>
    <w:next w:val="Normal"/>
    <w:link w:val="Heading1Char"/>
    <w:uiPriority w:val="9"/>
    <w:qFormat/>
    <w:rsid w:val="00F13D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3D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3D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13D6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13D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13D6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13D6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13D6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13D6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C734D"/>
  </w:style>
  <w:style w:type="paragraph" w:customStyle="1" w:styleId="OPCParaBase">
    <w:name w:val="OPCParaBase"/>
    <w:qFormat/>
    <w:rsid w:val="007C734D"/>
    <w:pPr>
      <w:spacing w:line="260" w:lineRule="atLeast"/>
    </w:pPr>
    <w:rPr>
      <w:rFonts w:eastAsia="Times New Roman" w:cs="Times New Roman"/>
      <w:sz w:val="22"/>
      <w:lang w:eastAsia="en-AU"/>
    </w:rPr>
  </w:style>
  <w:style w:type="paragraph" w:customStyle="1" w:styleId="ShortT">
    <w:name w:val="ShortT"/>
    <w:basedOn w:val="OPCParaBase"/>
    <w:next w:val="Normal"/>
    <w:qFormat/>
    <w:rsid w:val="007C734D"/>
    <w:pPr>
      <w:spacing w:line="240" w:lineRule="auto"/>
    </w:pPr>
    <w:rPr>
      <w:b/>
      <w:sz w:val="40"/>
    </w:rPr>
  </w:style>
  <w:style w:type="paragraph" w:customStyle="1" w:styleId="ActHead1">
    <w:name w:val="ActHead 1"/>
    <w:aliases w:val="c,h1_Chap"/>
    <w:basedOn w:val="OPCParaBase"/>
    <w:next w:val="Normal"/>
    <w:qFormat/>
    <w:rsid w:val="007C73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C734D"/>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7C734D"/>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7C734D"/>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7C73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C73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C73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C73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C73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C734D"/>
  </w:style>
  <w:style w:type="paragraph" w:customStyle="1" w:styleId="Blocks">
    <w:name w:val="Blocks"/>
    <w:aliases w:val="bb"/>
    <w:basedOn w:val="OPCParaBase"/>
    <w:qFormat/>
    <w:rsid w:val="007C734D"/>
    <w:pPr>
      <w:spacing w:line="240" w:lineRule="auto"/>
    </w:pPr>
    <w:rPr>
      <w:sz w:val="24"/>
    </w:rPr>
  </w:style>
  <w:style w:type="paragraph" w:customStyle="1" w:styleId="BoxText">
    <w:name w:val="BoxText"/>
    <w:aliases w:val="bt"/>
    <w:basedOn w:val="OPCParaBase"/>
    <w:qFormat/>
    <w:rsid w:val="007C73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C734D"/>
    <w:rPr>
      <w:b/>
    </w:rPr>
  </w:style>
  <w:style w:type="paragraph" w:customStyle="1" w:styleId="BoxHeadItalic">
    <w:name w:val="BoxHeadItalic"/>
    <w:aliases w:val="bhi"/>
    <w:basedOn w:val="BoxText"/>
    <w:next w:val="BoxStep"/>
    <w:qFormat/>
    <w:rsid w:val="007C734D"/>
    <w:rPr>
      <w:i/>
    </w:rPr>
  </w:style>
  <w:style w:type="paragraph" w:customStyle="1" w:styleId="BoxList">
    <w:name w:val="BoxList"/>
    <w:aliases w:val="bl"/>
    <w:basedOn w:val="BoxText"/>
    <w:qFormat/>
    <w:rsid w:val="007C734D"/>
    <w:pPr>
      <w:ind w:left="1559" w:hanging="425"/>
    </w:pPr>
  </w:style>
  <w:style w:type="paragraph" w:customStyle="1" w:styleId="BoxNote">
    <w:name w:val="BoxNote"/>
    <w:aliases w:val="bn"/>
    <w:basedOn w:val="BoxText"/>
    <w:qFormat/>
    <w:rsid w:val="007C734D"/>
    <w:pPr>
      <w:tabs>
        <w:tab w:val="left" w:pos="1985"/>
      </w:tabs>
      <w:spacing w:before="122" w:line="198" w:lineRule="exact"/>
      <w:ind w:left="2948" w:hanging="1814"/>
    </w:pPr>
    <w:rPr>
      <w:sz w:val="18"/>
    </w:rPr>
  </w:style>
  <w:style w:type="paragraph" w:customStyle="1" w:styleId="BoxPara">
    <w:name w:val="BoxPara"/>
    <w:aliases w:val="bp"/>
    <w:basedOn w:val="BoxText"/>
    <w:qFormat/>
    <w:rsid w:val="007C734D"/>
    <w:pPr>
      <w:tabs>
        <w:tab w:val="right" w:pos="2268"/>
      </w:tabs>
      <w:ind w:left="2552" w:hanging="1418"/>
    </w:pPr>
  </w:style>
  <w:style w:type="paragraph" w:customStyle="1" w:styleId="BoxStep">
    <w:name w:val="BoxStep"/>
    <w:aliases w:val="bs"/>
    <w:basedOn w:val="BoxText"/>
    <w:qFormat/>
    <w:rsid w:val="007C734D"/>
    <w:pPr>
      <w:ind w:left="1985" w:hanging="851"/>
    </w:pPr>
  </w:style>
  <w:style w:type="character" w:customStyle="1" w:styleId="CharAmPartNo">
    <w:name w:val="CharAmPartNo"/>
    <w:basedOn w:val="OPCCharBase"/>
    <w:qFormat/>
    <w:rsid w:val="007C734D"/>
  </w:style>
  <w:style w:type="character" w:customStyle="1" w:styleId="CharAmPartText">
    <w:name w:val="CharAmPartText"/>
    <w:basedOn w:val="OPCCharBase"/>
    <w:qFormat/>
    <w:rsid w:val="007C734D"/>
  </w:style>
  <w:style w:type="character" w:customStyle="1" w:styleId="CharAmSchNo">
    <w:name w:val="CharAmSchNo"/>
    <w:basedOn w:val="OPCCharBase"/>
    <w:qFormat/>
    <w:rsid w:val="007C734D"/>
  </w:style>
  <w:style w:type="character" w:customStyle="1" w:styleId="CharAmSchText">
    <w:name w:val="CharAmSchText"/>
    <w:basedOn w:val="OPCCharBase"/>
    <w:qFormat/>
    <w:rsid w:val="007C734D"/>
  </w:style>
  <w:style w:type="character" w:customStyle="1" w:styleId="CharBoldItalic">
    <w:name w:val="CharBoldItalic"/>
    <w:basedOn w:val="OPCCharBase"/>
    <w:uiPriority w:val="1"/>
    <w:qFormat/>
    <w:rsid w:val="007C734D"/>
    <w:rPr>
      <w:b/>
      <w:i/>
    </w:rPr>
  </w:style>
  <w:style w:type="character" w:customStyle="1" w:styleId="CharChapNo">
    <w:name w:val="CharChapNo"/>
    <w:basedOn w:val="OPCCharBase"/>
    <w:uiPriority w:val="1"/>
    <w:qFormat/>
    <w:rsid w:val="007C734D"/>
  </w:style>
  <w:style w:type="character" w:customStyle="1" w:styleId="CharChapText">
    <w:name w:val="CharChapText"/>
    <w:basedOn w:val="OPCCharBase"/>
    <w:uiPriority w:val="1"/>
    <w:qFormat/>
    <w:rsid w:val="007C734D"/>
  </w:style>
  <w:style w:type="character" w:customStyle="1" w:styleId="CharDivNo">
    <w:name w:val="CharDivNo"/>
    <w:basedOn w:val="OPCCharBase"/>
    <w:qFormat/>
    <w:rsid w:val="007C734D"/>
  </w:style>
  <w:style w:type="character" w:customStyle="1" w:styleId="CharDivText">
    <w:name w:val="CharDivText"/>
    <w:basedOn w:val="OPCCharBase"/>
    <w:qFormat/>
    <w:rsid w:val="007C734D"/>
  </w:style>
  <w:style w:type="character" w:customStyle="1" w:styleId="CharItalic">
    <w:name w:val="CharItalic"/>
    <w:basedOn w:val="OPCCharBase"/>
    <w:uiPriority w:val="1"/>
    <w:qFormat/>
    <w:rsid w:val="007C734D"/>
    <w:rPr>
      <w:i/>
    </w:rPr>
  </w:style>
  <w:style w:type="character" w:customStyle="1" w:styleId="CharPartNo">
    <w:name w:val="CharPartNo"/>
    <w:basedOn w:val="OPCCharBase"/>
    <w:qFormat/>
    <w:rsid w:val="007C734D"/>
  </w:style>
  <w:style w:type="character" w:customStyle="1" w:styleId="CharPartText">
    <w:name w:val="CharPartText"/>
    <w:basedOn w:val="OPCCharBase"/>
    <w:qFormat/>
    <w:rsid w:val="007C734D"/>
  </w:style>
  <w:style w:type="character" w:customStyle="1" w:styleId="CharSectno">
    <w:name w:val="CharSectno"/>
    <w:basedOn w:val="OPCCharBase"/>
    <w:qFormat/>
    <w:rsid w:val="007C734D"/>
  </w:style>
  <w:style w:type="character" w:customStyle="1" w:styleId="CharSubdNo">
    <w:name w:val="CharSubdNo"/>
    <w:basedOn w:val="OPCCharBase"/>
    <w:uiPriority w:val="1"/>
    <w:qFormat/>
    <w:rsid w:val="007C734D"/>
  </w:style>
  <w:style w:type="character" w:customStyle="1" w:styleId="CharSubdText">
    <w:name w:val="CharSubdText"/>
    <w:basedOn w:val="OPCCharBase"/>
    <w:uiPriority w:val="1"/>
    <w:qFormat/>
    <w:rsid w:val="007C734D"/>
  </w:style>
  <w:style w:type="paragraph" w:customStyle="1" w:styleId="CTA--">
    <w:name w:val="CTA --"/>
    <w:basedOn w:val="OPCParaBase"/>
    <w:next w:val="Normal"/>
    <w:rsid w:val="007C734D"/>
    <w:pPr>
      <w:spacing w:before="60" w:line="240" w:lineRule="atLeast"/>
      <w:ind w:left="142" w:hanging="142"/>
    </w:pPr>
    <w:rPr>
      <w:sz w:val="20"/>
    </w:rPr>
  </w:style>
  <w:style w:type="paragraph" w:customStyle="1" w:styleId="CTA-">
    <w:name w:val="CTA -"/>
    <w:basedOn w:val="OPCParaBase"/>
    <w:rsid w:val="007C734D"/>
    <w:pPr>
      <w:spacing w:before="60" w:line="240" w:lineRule="atLeast"/>
      <w:ind w:left="85" w:hanging="85"/>
    </w:pPr>
    <w:rPr>
      <w:sz w:val="20"/>
    </w:rPr>
  </w:style>
  <w:style w:type="paragraph" w:customStyle="1" w:styleId="CTA---">
    <w:name w:val="CTA ---"/>
    <w:basedOn w:val="OPCParaBase"/>
    <w:next w:val="Normal"/>
    <w:rsid w:val="007C734D"/>
    <w:pPr>
      <w:spacing w:before="60" w:line="240" w:lineRule="atLeast"/>
      <w:ind w:left="198" w:hanging="198"/>
    </w:pPr>
    <w:rPr>
      <w:sz w:val="20"/>
    </w:rPr>
  </w:style>
  <w:style w:type="paragraph" w:customStyle="1" w:styleId="CTA----">
    <w:name w:val="CTA ----"/>
    <w:basedOn w:val="OPCParaBase"/>
    <w:next w:val="Normal"/>
    <w:rsid w:val="007C734D"/>
    <w:pPr>
      <w:spacing w:before="60" w:line="240" w:lineRule="atLeast"/>
      <w:ind w:left="255" w:hanging="255"/>
    </w:pPr>
    <w:rPr>
      <w:sz w:val="20"/>
    </w:rPr>
  </w:style>
  <w:style w:type="paragraph" w:customStyle="1" w:styleId="CTA1a">
    <w:name w:val="CTA 1(a)"/>
    <w:basedOn w:val="OPCParaBase"/>
    <w:rsid w:val="007C734D"/>
    <w:pPr>
      <w:tabs>
        <w:tab w:val="right" w:pos="414"/>
      </w:tabs>
      <w:spacing w:before="40" w:line="240" w:lineRule="atLeast"/>
      <w:ind w:left="675" w:hanging="675"/>
    </w:pPr>
    <w:rPr>
      <w:sz w:val="20"/>
    </w:rPr>
  </w:style>
  <w:style w:type="paragraph" w:customStyle="1" w:styleId="CTA1ai">
    <w:name w:val="CTA 1(a)(i)"/>
    <w:basedOn w:val="OPCParaBase"/>
    <w:rsid w:val="007C734D"/>
    <w:pPr>
      <w:tabs>
        <w:tab w:val="right" w:pos="1004"/>
      </w:tabs>
      <w:spacing w:before="40" w:line="240" w:lineRule="atLeast"/>
      <w:ind w:left="1253" w:hanging="1253"/>
    </w:pPr>
    <w:rPr>
      <w:sz w:val="20"/>
    </w:rPr>
  </w:style>
  <w:style w:type="paragraph" w:customStyle="1" w:styleId="CTA2a">
    <w:name w:val="CTA 2(a)"/>
    <w:basedOn w:val="OPCParaBase"/>
    <w:rsid w:val="007C734D"/>
    <w:pPr>
      <w:tabs>
        <w:tab w:val="right" w:pos="482"/>
      </w:tabs>
      <w:spacing w:before="40" w:line="240" w:lineRule="atLeast"/>
      <w:ind w:left="748" w:hanging="748"/>
    </w:pPr>
    <w:rPr>
      <w:sz w:val="20"/>
    </w:rPr>
  </w:style>
  <w:style w:type="paragraph" w:customStyle="1" w:styleId="CTA2ai">
    <w:name w:val="CTA 2(a)(i)"/>
    <w:basedOn w:val="OPCParaBase"/>
    <w:rsid w:val="007C734D"/>
    <w:pPr>
      <w:tabs>
        <w:tab w:val="right" w:pos="1089"/>
      </w:tabs>
      <w:spacing w:before="40" w:line="240" w:lineRule="atLeast"/>
      <w:ind w:left="1327" w:hanging="1327"/>
    </w:pPr>
    <w:rPr>
      <w:sz w:val="20"/>
    </w:rPr>
  </w:style>
  <w:style w:type="paragraph" w:customStyle="1" w:styleId="CTA3a">
    <w:name w:val="CTA 3(a)"/>
    <w:basedOn w:val="OPCParaBase"/>
    <w:rsid w:val="007C734D"/>
    <w:pPr>
      <w:tabs>
        <w:tab w:val="right" w:pos="556"/>
      </w:tabs>
      <w:spacing w:before="40" w:line="240" w:lineRule="atLeast"/>
      <w:ind w:left="805" w:hanging="805"/>
    </w:pPr>
    <w:rPr>
      <w:sz w:val="20"/>
    </w:rPr>
  </w:style>
  <w:style w:type="paragraph" w:customStyle="1" w:styleId="CTA3ai">
    <w:name w:val="CTA 3(a)(i)"/>
    <w:basedOn w:val="OPCParaBase"/>
    <w:rsid w:val="007C734D"/>
    <w:pPr>
      <w:tabs>
        <w:tab w:val="right" w:pos="1140"/>
      </w:tabs>
      <w:spacing w:before="40" w:line="240" w:lineRule="atLeast"/>
      <w:ind w:left="1361" w:hanging="1361"/>
    </w:pPr>
    <w:rPr>
      <w:sz w:val="20"/>
    </w:rPr>
  </w:style>
  <w:style w:type="paragraph" w:customStyle="1" w:styleId="CTA4a">
    <w:name w:val="CTA 4(a)"/>
    <w:basedOn w:val="OPCParaBase"/>
    <w:rsid w:val="007C734D"/>
    <w:pPr>
      <w:tabs>
        <w:tab w:val="right" w:pos="624"/>
      </w:tabs>
      <w:spacing w:before="40" w:line="240" w:lineRule="atLeast"/>
      <w:ind w:left="873" w:hanging="873"/>
    </w:pPr>
    <w:rPr>
      <w:sz w:val="20"/>
    </w:rPr>
  </w:style>
  <w:style w:type="paragraph" w:customStyle="1" w:styleId="CTA4ai">
    <w:name w:val="CTA 4(a)(i)"/>
    <w:basedOn w:val="OPCParaBase"/>
    <w:rsid w:val="007C734D"/>
    <w:pPr>
      <w:tabs>
        <w:tab w:val="right" w:pos="1213"/>
      </w:tabs>
      <w:spacing w:before="40" w:line="240" w:lineRule="atLeast"/>
      <w:ind w:left="1452" w:hanging="1452"/>
    </w:pPr>
    <w:rPr>
      <w:sz w:val="20"/>
    </w:rPr>
  </w:style>
  <w:style w:type="paragraph" w:customStyle="1" w:styleId="CTACAPS">
    <w:name w:val="CTA CAPS"/>
    <w:basedOn w:val="OPCParaBase"/>
    <w:rsid w:val="007C734D"/>
    <w:pPr>
      <w:spacing w:before="60" w:line="240" w:lineRule="atLeast"/>
    </w:pPr>
    <w:rPr>
      <w:sz w:val="20"/>
    </w:rPr>
  </w:style>
  <w:style w:type="paragraph" w:customStyle="1" w:styleId="CTAright">
    <w:name w:val="CTA right"/>
    <w:basedOn w:val="OPCParaBase"/>
    <w:rsid w:val="007C734D"/>
    <w:pPr>
      <w:spacing w:before="60" w:line="240" w:lineRule="auto"/>
      <w:jc w:val="right"/>
    </w:pPr>
    <w:rPr>
      <w:sz w:val="20"/>
    </w:rPr>
  </w:style>
  <w:style w:type="paragraph" w:customStyle="1" w:styleId="subsection">
    <w:name w:val="subsection"/>
    <w:aliases w:val="ss,Subsection,t_Main"/>
    <w:basedOn w:val="OPCParaBase"/>
    <w:link w:val="subsectionChar"/>
    <w:rsid w:val="007C734D"/>
    <w:pPr>
      <w:tabs>
        <w:tab w:val="right" w:pos="1021"/>
      </w:tabs>
      <w:spacing w:before="180" w:line="240" w:lineRule="auto"/>
      <w:ind w:left="1134" w:hanging="1134"/>
    </w:pPr>
  </w:style>
  <w:style w:type="paragraph" w:customStyle="1" w:styleId="Definition">
    <w:name w:val="Definition"/>
    <w:aliases w:val="dd,t_Defn"/>
    <w:basedOn w:val="OPCParaBase"/>
    <w:rsid w:val="007C734D"/>
    <w:pPr>
      <w:spacing w:before="180" w:line="240" w:lineRule="auto"/>
      <w:ind w:left="1134"/>
    </w:pPr>
  </w:style>
  <w:style w:type="paragraph" w:customStyle="1" w:styleId="ETAsubitem">
    <w:name w:val="ETA(subitem)"/>
    <w:basedOn w:val="OPCParaBase"/>
    <w:rsid w:val="007C734D"/>
    <w:pPr>
      <w:tabs>
        <w:tab w:val="right" w:pos="340"/>
      </w:tabs>
      <w:spacing w:before="60" w:line="240" w:lineRule="auto"/>
      <w:ind w:left="454" w:hanging="454"/>
    </w:pPr>
    <w:rPr>
      <w:sz w:val="20"/>
    </w:rPr>
  </w:style>
  <w:style w:type="paragraph" w:customStyle="1" w:styleId="ETApara">
    <w:name w:val="ETA(para)"/>
    <w:basedOn w:val="OPCParaBase"/>
    <w:rsid w:val="007C734D"/>
    <w:pPr>
      <w:tabs>
        <w:tab w:val="right" w:pos="754"/>
      </w:tabs>
      <w:spacing w:before="60" w:line="240" w:lineRule="auto"/>
      <w:ind w:left="828" w:hanging="828"/>
    </w:pPr>
    <w:rPr>
      <w:sz w:val="20"/>
    </w:rPr>
  </w:style>
  <w:style w:type="paragraph" w:customStyle="1" w:styleId="ETAsubpara">
    <w:name w:val="ETA(subpara)"/>
    <w:basedOn w:val="OPCParaBase"/>
    <w:rsid w:val="007C734D"/>
    <w:pPr>
      <w:tabs>
        <w:tab w:val="right" w:pos="1083"/>
      </w:tabs>
      <w:spacing w:before="60" w:line="240" w:lineRule="auto"/>
      <w:ind w:left="1191" w:hanging="1191"/>
    </w:pPr>
    <w:rPr>
      <w:sz w:val="20"/>
    </w:rPr>
  </w:style>
  <w:style w:type="paragraph" w:customStyle="1" w:styleId="ETAsub-subpara">
    <w:name w:val="ETA(sub-subpara)"/>
    <w:basedOn w:val="OPCParaBase"/>
    <w:rsid w:val="007C734D"/>
    <w:pPr>
      <w:tabs>
        <w:tab w:val="right" w:pos="1412"/>
      </w:tabs>
      <w:spacing w:before="60" w:line="240" w:lineRule="auto"/>
      <w:ind w:left="1525" w:hanging="1525"/>
    </w:pPr>
    <w:rPr>
      <w:sz w:val="20"/>
    </w:rPr>
  </w:style>
  <w:style w:type="paragraph" w:customStyle="1" w:styleId="Formula">
    <w:name w:val="Formula"/>
    <w:basedOn w:val="OPCParaBase"/>
    <w:rsid w:val="007C734D"/>
    <w:pPr>
      <w:spacing w:line="240" w:lineRule="auto"/>
      <w:ind w:left="1134"/>
    </w:pPr>
    <w:rPr>
      <w:sz w:val="20"/>
    </w:rPr>
  </w:style>
  <w:style w:type="paragraph" w:styleId="Header">
    <w:name w:val="header"/>
    <w:basedOn w:val="OPCParaBase"/>
    <w:link w:val="HeaderChar"/>
    <w:unhideWhenUsed/>
    <w:rsid w:val="007C73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C734D"/>
    <w:rPr>
      <w:rFonts w:eastAsia="Times New Roman" w:cs="Times New Roman"/>
      <w:sz w:val="16"/>
      <w:lang w:eastAsia="en-AU"/>
    </w:rPr>
  </w:style>
  <w:style w:type="paragraph" w:customStyle="1" w:styleId="House">
    <w:name w:val="House"/>
    <w:basedOn w:val="OPCParaBase"/>
    <w:rsid w:val="007C734D"/>
    <w:pPr>
      <w:spacing w:line="240" w:lineRule="auto"/>
    </w:pPr>
    <w:rPr>
      <w:sz w:val="28"/>
    </w:rPr>
  </w:style>
  <w:style w:type="paragraph" w:customStyle="1" w:styleId="Item">
    <w:name w:val="Item"/>
    <w:aliases w:val="i"/>
    <w:basedOn w:val="OPCParaBase"/>
    <w:next w:val="ItemHead"/>
    <w:rsid w:val="007C734D"/>
    <w:pPr>
      <w:keepLines/>
      <w:spacing w:before="80" w:line="240" w:lineRule="auto"/>
      <w:ind w:left="709"/>
    </w:pPr>
  </w:style>
  <w:style w:type="paragraph" w:customStyle="1" w:styleId="ItemHead">
    <w:name w:val="ItemHead"/>
    <w:aliases w:val="ih"/>
    <w:basedOn w:val="OPCParaBase"/>
    <w:next w:val="Item"/>
    <w:link w:val="ItemHeadChar"/>
    <w:rsid w:val="007C73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C734D"/>
    <w:pPr>
      <w:spacing w:line="240" w:lineRule="auto"/>
    </w:pPr>
    <w:rPr>
      <w:b/>
      <w:sz w:val="32"/>
    </w:rPr>
  </w:style>
  <w:style w:type="paragraph" w:customStyle="1" w:styleId="notedraft">
    <w:name w:val="note(draft)"/>
    <w:aliases w:val="nd"/>
    <w:basedOn w:val="OPCParaBase"/>
    <w:rsid w:val="007C734D"/>
    <w:pPr>
      <w:spacing w:before="240" w:line="240" w:lineRule="auto"/>
      <w:ind w:left="284" w:hanging="284"/>
    </w:pPr>
    <w:rPr>
      <w:i/>
      <w:sz w:val="24"/>
    </w:rPr>
  </w:style>
  <w:style w:type="paragraph" w:customStyle="1" w:styleId="notemargin">
    <w:name w:val="note(margin)"/>
    <w:aliases w:val="nm,n_to_Heading"/>
    <w:basedOn w:val="OPCParaBase"/>
    <w:rsid w:val="007C734D"/>
    <w:pPr>
      <w:tabs>
        <w:tab w:val="left" w:pos="709"/>
      </w:tabs>
      <w:spacing w:before="122" w:line="198" w:lineRule="exact"/>
      <w:ind w:left="709" w:hanging="709"/>
    </w:pPr>
    <w:rPr>
      <w:sz w:val="18"/>
    </w:rPr>
  </w:style>
  <w:style w:type="paragraph" w:customStyle="1" w:styleId="noteToPara">
    <w:name w:val="noteToPara"/>
    <w:aliases w:val="ntp"/>
    <w:basedOn w:val="OPCParaBase"/>
    <w:rsid w:val="007C734D"/>
    <w:pPr>
      <w:spacing w:before="122" w:line="198" w:lineRule="exact"/>
      <w:ind w:left="2353" w:hanging="709"/>
    </w:pPr>
    <w:rPr>
      <w:sz w:val="18"/>
    </w:rPr>
  </w:style>
  <w:style w:type="paragraph" w:customStyle="1" w:styleId="noteParlAmend">
    <w:name w:val="note(ParlAmend)"/>
    <w:aliases w:val="npp"/>
    <w:basedOn w:val="OPCParaBase"/>
    <w:next w:val="ParlAmend"/>
    <w:rsid w:val="007C734D"/>
    <w:pPr>
      <w:spacing w:line="240" w:lineRule="auto"/>
      <w:jc w:val="right"/>
    </w:pPr>
    <w:rPr>
      <w:rFonts w:ascii="Arial" w:hAnsi="Arial"/>
      <w:b/>
      <w:i/>
    </w:rPr>
  </w:style>
  <w:style w:type="paragraph" w:customStyle="1" w:styleId="Page1">
    <w:name w:val="Page1"/>
    <w:basedOn w:val="OPCParaBase"/>
    <w:rsid w:val="007C734D"/>
    <w:pPr>
      <w:spacing w:before="5600" w:line="240" w:lineRule="auto"/>
    </w:pPr>
    <w:rPr>
      <w:b/>
      <w:sz w:val="32"/>
    </w:rPr>
  </w:style>
  <w:style w:type="paragraph" w:customStyle="1" w:styleId="PageBreak">
    <w:name w:val="PageBreak"/>
    <w:aliases w:val="pb"/>
    <w:basedOn w:val="OPCParaBase"/>
    <w:rsid w:val="007C734D"/>
    <w:pPr>
      <w:spacing w:line="240" w:lineRule="auto"/>
    </w:pPr>
    <w:rPr>
      <w:sz w:val="20"/>
    </w:rPr>
  </w:style>
  <w:style w:type="paragraph" w:customStyle="1" w:styleId="paragraphsub">
    <w:name w:val="paragraph(sub)"/>
    <w:aliases w:val="aa,t_Subpara"/>
    <w:basedOn w:val="OPCParaBase"/>
    <w:rsid w:val="007C734D"/>
    <w:pPr>
      <w:tabs>
        <w:tab w:val="right" w:pos="1985"/>
      </w:tabs>
      <w:spacing w:before="40" w:line="240" w:lineRule="auto"/>
      <w:ind w:left="2098" w:hanging="2098"/>
    </w:pPr>
  </w:style>
  <w:style w:type="paragraph" w:customStyle="1" w:styleId="paragraphsub-sub">
    <w:name w:val="paragraph(sub-sub)"/>
    <w:aliases w:val="aaa,t_Subsub"/>
    <w:basedOn w:val="OPCParaBase"/>
    <w:rsid w:val="007C734D"/>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7C734D"/>
    <w:pPr>
      <w:tabs>
        <w:tab w:val="right" w:pos="1531"/>
      </w:tabs>
      <w:spacing w:before="40" w:line="240" w:lineRule="auto"/>
      <w:ind w:left="1644" w:hanging="1644"/>
    </w:pPr>
  </w:style>
  <w:style w:type="paragraph" w:customStyle="1" w:styleId="ParlAmend">
    <w:name w:val="ParlAmend"/>
    <w:aliases w:val="pp"/>
    <w:basedOn w:val="OPCParaBase"/>
    <w:rsid w:val="007C734D"/>
    <w:pPr>
      <w:spacing w:before="240" w:line="240" w:lineRule="atLeast"/>
      <w:ind w:hanging="567"/>
    </w:pPr>
    <w:rPr>
      <w:sz w:val="24"/>
    </w:rPr>
  </w:style>
  <w:style w:type="paragraph" w:customStyle="1" w:styleId="Penalty">
    <w:name w:val="Penalty"/>
    <w:basedOn w:val="OPCParaBase"/>
    <w:rsid w:val="007C734D"/>
    <w:pPr>
      <w:tabs>
        <w:tab w:val="left" w:pos="2977"/>
      </w:tabs>
      <w:spacing w:before="180" w:line="240" w:lineRule="auto"/>
      <w:ind w:left="1985" w:hanging="851"/>
    </w:pPr>
  </w:style>
  <w:style w:type="paragraph" w:customStyle="1" w:styleId="Portfolio">
    <w:name w:val="Portfolio"/>
    <w:basedOn w:val="OPCParaBase"/>
    <w:rsid w:val="007C734D"/>
    <w:pPr>
      <w:spacing w:line="240" w:lineRule="auto"/>
    </w:pPr>
    <w:rPr>
      <w:i/>
      <w:sz w:val="20"/>
    </w:rPr>
  </w:style>
  <w:style w:type="paragraph" w:customStyle="1" w:styleId="Preamble">
    <w:name w:val="Preamble"/>
    <w:basedOn w:val="OPCParaBase"/>
    <w:next w:val="Normal"/>
    <w:rsid w:val="007C73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C734D"/>
    <w:pPr>
      <w:spacing w:line="240" w:lineRule="auto"/>
    </w:pPr>
    <w:rPr>
      <w:i/>
      <w:sz w:val="20"/>
    </w:rPr>
  </w:style>
  <w:style w:type="paragraph" w:customStyle="1" w:styleId="Session">
    <w:name w:val="Session"/>
    <w:basedOn w:val="OPCParaBase"/>
    <w:rsid w:val="007C734D"/>
    <w:pPr>
      <w:spacing w:line="240" w:lineRule="auto"/>
    </w:pPr>
    <w:rPr>
      <w:sz w:val="28"/>
    </w:rPr>
  </w:style>
  <w:style w:type="paragraph" w:customStyle="1" w:styleId="Sponsor">
    <w:name w:val="Sponsor"/>
    <w:basedOn w:val="OPCParaBase"/>
    <w:rsid w:val="007C734D"/>
    <w:pPr>
      <w:spacing w:line="240" w:lineRule="auto"/>
    </w:pPr>
    <w:rPr>
      <w:i/>
    </w:rPr>
  </w:style>
  <w:style w:type="paragraph" w:customStyle="1" w:styleId="Subitem">
    <w:name w:val="Subitem"/>
    <w:aliases w:val="iss"/>
    <w:basedOn w:val="OPCParaBase"/>
    <w:rsid w:val="007C734D"/>
    <w:pPr>
      <w:spacing w:before="180" w:line="240" w:lineRule="auto"/>
      <w:ind w:left="709" w:hanging="709"/>
    </w:pPr>
  </w:style>
  <w:style w:type="paragraph" w:customStyle="1" w:styleId="SubitemHead">
    <w:name w:val="SubitemHead"/>
    <w:aliases w:val="issh"/>
    <w:basedOn w:val="OPCParaBase"/>
    <w:rsid w:val="007C734D"/>
    <w:pPr>
      <w:keepNext/>
      <w:keepLines/>
      <w:spacing w:before="220" w:line="240" w:lineRule="auto"/>
      <w:ind w:left="709"/>
    </w:pPr>
    <w:rPr>
      <w:rFonts w:ascii="Arial" w:hAnsi="Arial"/>
      <w:i/>
      <w:kern w:val="28"/>
    </w:rPr>
  </w:style>
  <w:style w:type="paragraph" w:customStyle="1" w:styleId="subsection2">
    <w:name w:val="subsection2"/>
    <w:aliases w:val="ss2,t_Main_return"/>
    <w:basedOn w:val="OPCParaBase"/>
    <w:next w:val="subsection"/>
    <w:rsid w:val="007C734D"/>
    <w:pPr>
      <w:spacing w:before="40" w:line="240" w:lineRule="auto"/>
      <w:ind w:left="1134"/>
    </w:pPr>
  </w:style>
  <w:style w:type="paragraph" w:customStyle="1" w:styleId="SubsectionHead">
    <w:name w:val="SubsectionHead"/>
    <w:aliases w:val="ssh,h6_Subsec"/>
    <w:basedOn w:val="OPCParaBase"/>
    <w:next w:val="subsection"/>
    <w:uiPriority w:val="99"/>
    <w:rsid w:val="007C734D"/>
    <w:pPr>
      <w:keepNext/>
      <w:keepLines/>
      <w:spacing w:before="240" w:line="240" w:lineRule="auto"/>
      <w:ind w:left="1134"/>
    </w:pPr>
    <w:rPr>
      <w:i/>
    </w:rPr>
  </w:style>
  <w:style w:type="paragraph" w:customStyle="1" w:styleId="Tablea">
    <w:name w:val="Table(a)"/>
    <w:aliases w:val="ta"/>
    <w:basedOn w:val="OPCParaBase"/>
    <w:rsid w:val="007C734D"/>
    <w:pPr>
      <w:spacing w:before="60" w:line="240" w:lineRule="auto"/>
      <w:ind w:left="284" w:hanging="284"/>
    </w:pPr>
    <w:rPr>
      <w:sz w:val="20"/>
    </w:rPr>
  </w:style>
  <w:style w:type="paragraph" w:customStyle="1" w:styleId="TableAA">
    <w:name w:val="Table(AA)"/>
    <w:aliases w:val="taaa"/>
    <w:basedOn w:val="OPCParaBase"/>
    <w:rsid w:val="007C73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C73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7C734D"/>
    <w:pPr>
      <w:spacing w:before="60" w:line="240" w:lineRule="atLeast"/>
    </w:pPr>
    <w:rPr>
      <w:sz w:val="20"/>
    </w:rPr>
  </w:style>
  <w:style w:type="paragraph" w:customStyle="1" w:styleId="TLPBoxTextnote">
    <w:name w:val="TLPBoxText(note"/>
    <w:aliases w:val="right)"/>
    <w:basedOn w:val="OPCParaBase"/>
    <w:rsid w:val="007C73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3D6D"/>
    <w:pPr>
      <w:tabs>
        <w:tab w:val="left" w:pos="357"/>
      </w:tabs>
      <w:spacing w:before="60" w:line="198" w:lineRule="exact"/>
    </w:pPr>
    <w:rPr>
      <w:sz w:val="18"/>
    </w:rPr>
  </w:style>
  <w:style w:type="paragraph" w:customStyle="1" w:styleId="TLPnoteright">
    <w:name w:val="TLPnote(right)"/>
    <w:aliases w:val="nr"/>
    <w:basedOn w:val="OPCParaBase"/>
    <w:rsid w:val="007C734D"/>
    <w:pPr>
      <w:spacing w:before="122" w:line="198" w:lineRule="exact"/>
      <w:ind w:left="1985" w:hanging="851"/>
      <w:jc w:val="right"/>
    </w:pPr>
    <w:rPr>
      <w:sz w:val="18"/>
    </w:rPr>
  </w:style>
  <w:style w:type="paragraph" w:customStyle="1" w:styleId="TLPTableBullet">
    <w:name w:val="TLPTableBullet"/>
    <w:aliases w:val="ttb"/>
    <w:basedOn w:val="OPCParaBase"/>
    <w:rsid w:val="007C734D"/>
    <w:pPr>
      <w:spacing w:line="240" w:lineRule="exact"/>
      <w:ind w:left="284" w:hanging="284"/>
    </w:pPr>
    <w:rPr>
      <w:sz w:val="20"/>
    </w:rPr>
  </w:style>
  <w:style w:type="paragraph" w:styleId="TOC1">
    <w:name w:val="toc 1"/>
    <w:basedOn w:val="Normal"/>
    <w:next w:val="Normal"/>
    <w:uiPriority w:val="39"/>
    <w:unhideWhenUsed/>
    <w:rsid w:val="007C734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C734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C734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C734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96609"/>
    <w:pPr>
      <w:keepLines/>
      <w:tabs>
        <w:tab w:val="right" w:leader="dot" w:pos="8278"/>
      </w:tabs>
      <w:spacing w:before="40" w:line="240" w:lineRule="auto"/>
      <w:ind w:left="1701" w:right="567" w:hanging="567"/>
    </w:pPr>
    <w:rPr>
      <w:rFonts w:eastAsia="Times New Roman" w:cs="Times New Roman"/>
      <w:kern w:val="28"/>
      <w:sz w:val="18"/>
      <w:lang w:eastAsia="en-AU"/>
    </w:rPr>
  </w:style>
  <w:style w:type="paragraph" w:styleId="TOC6">
    <w:name w:val="toc 6"/>
    <w:basedOn w:val="Normal"/>
    <w:next w:val="Normal"/>
    <w:uiPriority w:val="39"/>
    <w:unhideWhenUsed/>
    <w:rsid w:val="007C734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C734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C734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C734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C734D"/>
    <w:pPr>
      <w:keepLines/>
      <w:spacing w:before="240" w:after="120" w:line="240" w:lineRule="auto"/>
      <w:ind w:left="794"/>
    </w:pPr>
    <w:rPr>
      <w:b/>
      <w:kern w:val="28"/>
      <w:sz w:val="20"/>
    </w:rPr>
  </w:style>
  <w:style w:type="paragraph" w:customStyle="1" w:styleId="TofSectsHeading">
    <w:name w:val="TofSects(Heading)"/>
    <w:basedOn w:val="OPCParaBase"/>
    <w:rsid w:val="007C734D"/>
    <w:pPr>
      <w:spacing w:before="240" w:after="120" w:line="240" w:lineRule="auto"/>
    </w:pPr>
    <w:rPr>
      <w:b/>
      <w:sz w:val="24"/>
    </w:rPr>
  </w:style>
  <w:style w:type="paragraph" w:customStyle="1" w:styleId="TofSectsSection">
    <w:name w:val="TofSects(Section)"/>
    <w:basedOn w:val="OPCParaBase"/>
    <w:rsid w:val="007C734D"/>
    <w:pPr>
      <w:keepLines/>
      <w:spacing w:before="40" w:line="240" w:lineRule="auto"/>
      <w:ind w:left="1588" w:hanging="794"/>
    </w:pPr>
    <w:rPr>
      <w:kern w:val="28"/>
      <w:sz w:val="18"/>
    </w:rPr>
  </w:style>
  <w:style w:type="paragraph" w:customStyle="1" w:styleId="TofSectsSubdiv">
    <w:name w:val="TofSects(Subdiv)"/>
    <w:basedOn w:val="OPCParaBase"/>
    <w:rsid w:val="007C734D"/>
    <w:pPr>
      <w:keepLines/>
      <w:spacing w:before="80" w:line="240" w:lineRule="auto"/>
      <w:ind w:left="1588" w:hanging="794"/>
    </w:pPr>
    <w:rPr>
      <w:kern w:val="28"/>
    </w:rPr>
  </w:style>
  <w:style w:type="paragraph" w:customStyle="1" w:styleId="WRStyle">
    <w:name w:val="WR Style"/>
    <w:aliases w:val="WR"/>
    <w:basedOn w:val="OPCParaBase"/>
    <w:rsid w:val="007C734D"/>
    <w:pPr>
      <w:spacing w:before="240" w:line="240" w:lineRule="auto"/>
      <w:ind w:left="284" w:hanging="284"/>
    </w:pPr>
    <w:rPr>
      <w:b/>
      <w:i/>
      <w:kern w:val="28"/>
      <w:sz w:val="24"/>
    </w:rPr>
  </w:style>
  <w:style w:type="paragraph" w:customStyle="1" w:styleId="notepara">
    <w:name w:val="note(para)"/>
    <w:aliases w:val="na,n_Para"/>
    <w:basedOn w:val="OPCParaBase"/>
    <w:rsid w:val="007C734D"/>
    <w:pPr>
      <w:spacing w:before="40" w:line="198" w:lineRule="exact"/>
      <w:ind w:left="2354" w:hanging="369"/>
    </w:pPr>
    <w:rPr>
      <w:sz w:val="18"/>
    </w:rPr>
  </w:style>
  <w:style w:type="paragraph" w:styleId="Footer">
    <w:name w:val="footer"/>
    <w:link w:val="FooterChar"/>
    <w:rsid w:val="007C73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C734D"/>
    <w:rPr>
      <w:rFonts w:eastAsia="Times New Roman" w:cs="Times New Roman"/>
      <w:sz w:val="22"/>
      <w:szCs w:val="24"/>
      <w:lang w:eastAsia="en-AU"/>
    </w:rPr>
  </w:style>
  <w:style w:type="character" w:styleId="LineNumber">
    <w:name w:val="line number"/>
    <w:basedOn w:val="OPCCharBase"/>
    <w:uiPriority w:val="99"/>
    <w:unhideWhenUsed/>
    <w:rsid w:val="007C734D"/>
    <w:rPr>
      <w:sz w:val="16"/>
    </w:rPr>
  </w:style>
  <w:style w:type="table" w:customStyle="1" w:styleId="CFlag">
    <w:name w:val="CFlag"/>
    <w:basedOn w:val="TableNormal"/>
    <w:uiPriority w:val="99"/>
    <w:rsid w:val="007C734D"/>
    <w:rPr>
      <w:rFonts w:eastAsia="Times New Roman" w:cs="Times New Roman"/>
      <w:lang w:eastAsia="en-AU"/>
    </w:rPr>
    <w:tblPr/>
  </w:style>
  <w:style w:type="paragraph" w:styleId="BalloonText">
    <w:name w:val="Balloon Text"/>
    <w:basedOn w:val="Normal"/>
    <w:link w:val="BalloonTextChar"/>
    <w:uiPriority w:val="99"/>
    <w:unhideWhenUsed/>
    <w:rsid w:val="007C73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C734D"/>
    <w:rPr>
      <w:rFonts w:ascii="Tahoma" w:hAnsi="Tahoma" w:cs="Tahoma"/>
      <w:sz w:val="16"/>
      <w:szCs w:val="16"/>
    </w:rPr>
  </w:style>
  <w:style w:type="table" w:styleId="TableGrid">
    <w:name w:val="Table Grid"/>
    <w:basedOn w:val="TableNormal"/>
    <w:uiPriority w:val="59"/>
    <w:rsid w:val="007C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C734D"/>
    <w:rPr>
      <w:b/>
      <w:sz w:val="28"/>
      <w:szCs w:val="32"/>
    </w:rPr>
  </w:style>
  <w:style w:type="paragraph" w:customStyle="1" w:styleId="LegislationMadeUnder">
    <w:name w:val="LegislationMadeUnder"/>
    <w:basedOn w:val="OPCParaBase"/>
    <w:next w:val="Normal"/>
    <w:rsid w:val="007C734D"/>
    <w:rPr>
      <w:i/>
      <w:sz w:val="32"/>
      <w:szCs w:val="32"/>
    </w:rPr>
  </w:style>
  <w:style w:type="paragraph" w:customStyle="1" w:styleId="SignCoverPageEnd">
    <w:name w:val="SignCoverPageEnd"/>
    <w:basedOn w:val="OPCParaBase"/>
    <w:next w:val="Normal"/>
    <w:rsid w:val="007C73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C734D"/>
    <w:pPr>
      <w:pBdr>
        <w:top w:val="single" w:sz="4" w:space="1" w:color="auto"/>
      </w:pBdr>
      <w:spacing w:before="360"/>
      <w:ind w:right="397"/>
      <w:jc w:val="both"/>
    </w:pPr>
  </w:style>
  <w:style w:type="paragraph" w:customStyle="1" w:styleId="NotesHeading1">
    <w:name w:val="NotesHeading 1"/>
    <w:basedOn w:val="OPCParaBase"/>
    <w:next w:val="Normal"/>
    <w:rsid w:val="007C734D"/>
    <w:rPr>
      <w:b/>
      <w:sz w:val="28"/>
      <w:szCs w:val="28"/>
    </w:rPr>
  </w:style>
  <w:style w:type="paragraph" w:customStyle="1" w:styleId="NotesHeading2">
    <w:name w:val="NotesHeading 2"/>
    <w:basedOn w:val="OPCParaBase"/>
    <w:next w:val="Normal"/>
    <w:rsid w:val="007C734D"/>
    <w:rPr>
      <w:b/>
      <w:sz w:val="28"/>
      <w:szCs w:val="28"/>
    </w:rPr>
  </w:style>
  <w:style w:type="paragraph" w:customStyle="1" w:styleId="ENotesText">
    <w:name w:val="ENotesText"/>
    <w:aliases w:val="Ent"/>
    <w:basedOn w:val="OPCParaBase"/>
    <w:next w:val="Normal"/>
    <w:rsid w:val="007C734D"/>
    <w:pPr>
      <w:spacing w:before="120"/>
    </w:pPr>
  </w:style>
  <w:style w:type="paragraph" w:customStyle="1" w:styleId="CompiledActNo">
    <w:name w:val="CompiledActNo"/>
    <w:basedOn w:val="OPCParaBase"/>
    <w:next w:val="Normal"/>
    <w:rsid w:val="007C734D"/>
    <w:rPr>
      <w:b/>
      <w:sz w:val="24"/>
      <w:szCs w:val="24"/>
    </w:rPr>
  </w:style>
  <w:style w:type="paragraph" w:customStyle="1" w:styleId="CompiledMadeUnder">
    <w:name w:val="CompiledMadeUnder"/>
    <w:basedOn w:val="OPCParaBase"/>
    <w:next w:val="Normal"/>
    <w:rsid w:val="007C734D"/>
    <w:rPr>
      <w:i/>
      <w:sz w:val="24"/>
      <w:szCs w:val="24"/>
    </w:rPr>
  </w:style>
  <w:style w:type="paragraph" w:customStyle="1" w:styleId="Paragraphsub-sub-sub">
    <w:name w:val="Paragraph(sub-sub-sub)"/>
    <w:aliases w:val="aaaa"/>
    <w:basedOn w:val="OPCParaBase"/>
    <w:rsid w:val="007C73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C73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C73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C73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C734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C734D"/>
    <w:pPr>
      <w:spacing w:before="60" w:line="240" w:lineRule="auto"/>
    </w:pPr>
    <w:rPr>
      <w:rFonts w:cs="Arial"/>
      <w:sz w:val="20"/>
      <w:szCs w:val="22"/>
    </w:rPr>
  </w:style>
  <w:style w:type="paragraph" w:customStyle="1" w:styleId="NoteToSubpara">
    <w:name w:val="NoteToSubpara"/>
    <w:aliases w:val="nts"/>
    <w:basedOn w:val="OPCParaBase"/>
    <w:rsid w:val="007C734D"/>
    <w:pPr>
      <w:spacing w:before="40" w:line="198" w:lineRule="exact"/>
      <w:ind w:left="2835" w:hanging="709"/>
    </w:pPr>
    <w:rPr>
      <w:sz w:val="18"/>
    </w:rPr>
  </w:style>
  <w:style w:type="paragraph" w:customStyle="1" w:styleId="ENoteTableHeading">
    <w:name w:val="ENoteTableHeading"/>
    <w:aliases w:val="enth"/>
    <w:basedOn w:val="OPCParaBase"/>
    <w:rsid w:val="007C734D"/>
    <w:pPr>
      <w:keepNext/>
      <w:spacing w:before="60" w:line="240" w:lineRule="atLeast"/>
    </w:pPr>
    <w:rPr>
      <w:rFonts w:ascii="Arial" w:hAnsi="Arial"/>
      <w:b/>
      <w:sz w:val="16"/>
    </w:rPr>
  </w:style>
  <w:style w:type="paragraph" w:customStyle="1" w:styleId="ENoteTTi">
    <w:name w:val="ENoteTTi"/>
    <w:aliases w:val="entti"/>
    <w:basedOn w:val="OPCParaBase"/>
    <w:rsid w:val="007C734D"/>
    <w:pPr>
      <w:keepNext/>
      <w:spacing w:before="60" w:line="240" w:lineRule="atLeast"/>
      <w:ind w:left="170"/>
    </w:pPr>
    <w:rPr>
      <w:sz w:val="16"/>
    </w:rPr>
  </w:style>
  <w:style w:type="paragraph" w:customStyle="1" w:styleId="ENotesHeading1">
    <w:name w:val="ENotesHeading 1"/>
    <w:aliases w:val="Enh1"/>
    <w:basedOn w:val="OPCParaBase"/>
    <w:next w:val="Normal"/>
    <w:rsid w:val="007C734D"/>
    <w:pPr>
      <w:spacing w:before="120"/>
      <w:outlineLvl w:val="1"/>
    </w:pPr>
    <w:rPr>
      <w:b/>
      <w:sz w:val="28"/>
      <w:szCs w:val="28"/>
    </w:rPr>
  </w:style>
  <w:style w:type="paragraph" w:customStyle="1" w:styleId="ENotesHeading2">
    <w:name w:val="ENotesHeading 2"/>
    <w:aliases w:val="Enh2"/>
    <w:basedOn w:val="OPCParaBase"/>
    <w:next w:val="Normal"/>
    <w:rsid w:val="007C734D"/>
    <w:pPr>
      <w:spacing w:before="120" w:after="120"/>
      <w:outlineLvl w:val="2"/>
    </w:pPr>
    <w:rPr>
      <w:b/>
      <w:sz w:val="24"/>
      <w:szCs w:val="28"/>
    </w:rPr>
  </w:style>
  <w:style w:type="paragraph" w:customStyle="1" w:styleId="ENoteTTIndentHeading">
    <w:name w:val="ENoteTTIndentHeading"/>
    <w:aliases w:val="enTTHi"/>
    <w:basedOn w:val="OPCParaBase"/>
    <w:rsid w:val="007C73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C734D"/>
    <w:pPr>
      <w:spacing w:before="60" w:line="240" w:lineRule="atLeast"/>
    </w:pPr>
    <w:rPr>
      <w:sz w:val="16"/>
    </w:rPr>
  </w:style>
  <w:style w:type="paragraph" w:customStyle="1" w:styleId="MadeunderText">
    <w:name w:val="MadeunderText"/>
    <w:basedOn w:val="OPCParaBase"/>
    <w:next w:val="Normal"/>
    <w:rsid w:val="007C734D"/>
    <w:pPr>
      <w:spacing w:before="240"/>
    </w:pPr>
    <w:rPr>
      <w:sz w:val="24"/>
      <w:szCs w:val="24"/>
    </w:rPr>
  </w:style>
  <w:style w:type="paragraph" w:customStyle="1" w:styleId="ENotesHeading3">
    <w:name w:val="ENotesHeading 3"/>
    <w:aliases w:val="Enh3"/>
    <w:basedOn w:val="OPCParaBase"/>
    <w:next w:val="Normal"/>
    <w:rsid w:val="007C734D"/>
    <w:pPr>
      <w:keepNext/>
      <w:spacing w:before="120" w:line="240" w:lineRule="auto"/>
      <w:outlineLvl w:val="4"/>
    </w:pPr>
    <w:rPr>
      <w:b/>
      <w:szCs w:val="24"/>
    </w:rPr>
  </w:style>
  <w:style w:type="character" w:customStyle="1" w:styleId="CharSubPartTextCASA">
    <w:name w:val="CharSubPartText(CASA)"/>
    <w:basedOn w:val="OPCCharBase"/>
    <w:uiPriority w:val="1"/>
    <w:rsid w:val="007C734D"/>
  </w:style>
  <w:style w:type="character" w:customStyle="1" w:styleId="CharSubPartNoCASA">
    <w:name w:val="CharSubPartNo(CASA)"/>
    <w:basedOn w:val="OPCCharBase"/>
    <w:uiPriority w:val="1"/>
    <w:rsid w:val="007C734D"/>
  </w:style>
  <w:style w:type="paragraph" w:customStyle="1" w:styleId="ENoteTTIndentHeadingSub">
    <w:name w:val="ENoteTTIndentHeadingSub"/>
    <w:aliases w:val="enTTHis"/>
    <w:basedOn w:val="OPCParaBase"/>
    <w:rsid w:val="007C734D"/>
    <w:pPr>
      <w:keepNext/>
      <w:spacing w:before="60" w:line="240" w:lineRule="atLeast"/>
      <w:ind w:left="340"/>
    </w:pPr>
    <w:rPr>
      <w:b/>
      <w:sz w:val="16"/>
    </w:rPr>
  </w:style>
  <w:style w:type="paragraph" w:customStyle="1" w:styleId="ENoteTTiSub">
    <w:name w:val="ENoteTTiSub"/>
    <w:aliases w:val="enttis"/>
    <w:basedOn w:val="OPCParaBase"/>
    <w:rsid w:val="007C734D"/>
    <w:pPr>
      <w:keepNext/>
      <w:spacing w:before="60" w:line="240" w:lineRule="atLeast"/>
      <w:ind w:left="340"/>
    </w:pPr>
    <w:rPr>
      <w:sz w:val="16"/>
    </w:rPr>
  </w:style>
  <w:style w:type="paragraph" w:customStyle="1" w:styleId="SubDivisionMigration">
    <w:name w:val="SubDivisionMigration"/>
    <w:aliases w:val="sdm"/>
    <w:basedOn w:val="OPCParaBase"/>
    <w:rsid w:val="007C73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C734D"/>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7C734D"/>
    <w:pPr>
      <w:spacing w:before="122" w:line="240" w:lineRule="auto"/>
      <w:ind w:left="1985" w:hanging="851"/>
    </w:pPr>
    <w:rPr>
      <w:sz w:val="18"/>
    </w:rPr>
  </w:style>
  <w:style w:type="paragraph" w:customStyle="1" w:styleId="FreeForm">
    <w:name w:val="FreeForm"/>
    <w:rsid w:val="007C734D"/>
    <w:rPr>
      <w:rFonts w:ascii="Arial" w:hAnsi="Arial"/>
      <w:sz w:val="22"/>
    </w:rPr>
  </w:style>
  <w:style w:type="paragraph" w:customStyle="1" w:styleId="SOText">
    <w:name w:val="SO Text"/>
    <w:aliases w:val="sot"/>
    <w:link w:val="SOTextChar"/>
    <w:rsid w:val="007C73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C734D"/>
    <w:rPr>
      <w:sz w:val="22"/>
    </w:rPr>
  </w:style>
  <w:style w:type="paragraph" w:customStyle="1" w:styleId="SOTextNote">
    <w:name w:val="SO TextNote"/>
    <w:aliases w:val="sont"/>
    <w:basedOn w:val="SOText"/>
    <w:qFormat/>
    <w:rsid w:val="007C734D"/>
    <w:pPr>
      <w:spacing w:before="122" w:line="198" w:lineRule="exact"/>
      <w:ind w:left="1843" w:hanging="709"/>
    </w:pPr>
    <w:rPr>
      <w:sz w:val="18"/>
    </w:rPr>
  </w:style>
  <w:style w:type="paragraph" w:customStyle="1" w:styleId="SOPara">
    <w:name w:val="SO Para"/>
    <w:aliases w:val="soa"/>
    <w:basedOn w:val="SOText"/>
    <w:link w:val="SOParaChar"/>
    <w:qFormat/>
    <w:rsid w:val="007C734D"/>
    <w:pPr>
      <w:tabs>
        <w:tab w:val="right" w:pos="1786"/>
      </w:tabs>
      <w:spacing w:before="40"/>
      <w:ind w:left="2070" w:hanging="936"/>
    </w:pPr>
  </w:style>
  <w:style w:type="character" w:customStyle="1" w:styleId="SOParaChar">
    <w:name w:val="SO Para Char"/>
    <w:aliases w:val="soa Char"/>
    <w:basedOn w:val="DefaultParagraphFont"/>
    <w:link w:val="SOPara"/>
    <w:rsid w:val="007C734D"/>
    <w:rPr>
      <w:sz w:val="22"/>
    </w:rPr>
  </w:style>
  <w:style w:type="paragraph" w:customStyle="1" w:styleId="FileName">
    <w:name w:val="FileName"/>
    <w:basedOn w:val="Normal"/>
    <w:rsid w:val="007C734D"/>
  </w:style>
  <w:style w:type="paragraph" w:customStyle="1" w:styleId="TableHeading">
    <w:name w:val="TableHeading"/>
    <w:aliases w:val="th"/>
    <w:basedOn w:val="OPCParaBase"/>
    <w:next w:val="Tabletext"/>
    <w:rsid w:val="007C734D"/>
    <w:pPr>
      <w:keepNext/>
      <w:spacing w:before="60" w:line="240" w:lineRule="atLeast"/>
    </w:pPr>
    <w:rPr>
      <w:b/>
      <w:sz w:val="20"/>
    </w:rPr>
  </w:style>
  <w:style w:type="paragraph" w:customStyle="1" w:styleId="SOHeadBold">
    <w:name w:val="SO HeadBold"/>
    <w:aliases w:val="sohb"/>
    <w:basedOn w:val="SOText"/>
    <w:next w:val="SOText"/>
    <w:link w:val="SOHeadBoldChar"/>
    <w:qFormat/>
    <w:rsid w:val="007C734D"/>
    <w:rPr>
      <w:b/>
    </w:rPr>
  </w:style>
  <w:style w:type="character" w:customStyle="1" w:styleId="SOHeadBoldChar">
    <w:name w:val="SO HeadBold Char"/>
    <w:aliases w:val="sohb Char"/>
    <w:basedOn w:val="DefaultParagraphFont"/>
    <w:link w:val="SOHeadBold"/>
    <w:rsid w:val="007C734D"/>
    <w:rPr>
      <w:b/>
      <w:sz w:val="22"/>
    </w:rPr>
  </w:style>
  <w:style w:type="paragraph" w:customStyle="1" w:styleId="SOHeadItalic">
    <w:name w:val="SO HeadItalic"/>
    <w:aliases w:val="sohi"/>
    <w:basedOn w:val="SOText"/>
    <w:next w:val="SOText"/>
    <w:link w:val="SOHeadItalicChar"/>
    <w:qFormat/>
    <w:rsid w:val="007C734D"/>
    <w:rPr>
      <w:i/>
    </w:rPr>
  </w:style>
  <w:style w:type="character" w:customStyle="1" w:styleId="SOHeadItalicChar">
    <w:name w:val="SO HeadItalic Char"/>
    <w:aliases w:val="sohi Char"/>
    <w:basedOn w:val="DefaultParagraphFont"/>
    <w:link w:val="SOHeadItalic"/>
    <w:rsid w:val="007C734D"/>
    <w:rPr>
      <w:i/>
      <w:sz w:val="22"/>
    </w:rPr>
  </w:style>
  <w:style w:type="paragraph" w:customStyle="1" w:styleId="SOBullet">
    <w:name w:val="SO Bullet"/>
    <w:aliases w:val="sotb"/>
    <w:basedOn w:val="SOText"/>
    <w:link w:val="SOBulletChar"/>
    <w:qFormat/>
    <w:rsid w:val="007C734D"/>
    <w:pPr>
      <w:ind w:left="1559" w:hanging="425"/>
    </w:pPr>
  </w:style>
  <w:style w:type="character" w:customStyle="1" w:styleId="SOBulletChar">
    <w:name w:val="SO Bullet Char"/>
    <w:aliases w:val="sotb Char"/>
    <w:basedOn w:val="DefaultParagraphFont"/>
    <w:link w:val="SOBullet"/>
    <w:rsid w:val="007C734D"/>
    <w:rPr>
      <w:sz w:val="22"/>
    </w:rPr>
  </w:style>
  <w:style w:type="paragraph" w:customStyle="1" w:styleId="SOBulletNote">
    <w:name w:val="SO BulletNote"/>
    <w:aliases w:val="sonb"/>
    <w:basedOn w:val="SOTextNote"/>
    <w:link w:val="SOBulletNoteChar"/>
    <w:qFormat/>
    <w:rsid w:val="007C734D"/>
    <w:pPr>
      <w:tabs>
        <w:tab w:val="left" w:pos="1560"/>
      </w:tabs>
      <w:ind w:left="2268" w:hanging="1134"/>
    </w:pPr>
  </w:style>
  <w:style w:type="character" w:customStyle="1" w:styleId="SOBulletNoteChar">
    <w:name w:val="SO BulletNote Char"/>
    <w:aliases w:val="sonb Char"/>
    <w:basedOn w:val="DefaultParagraphFont"/>
    <w:link w:val="SOBulletNote"/>
    <w:rsid w:val="007C734D"/>
    <w:rPr>
      <w:sz w:val="18"/>
    </w:rPr>
  </w:style>
  <w:style w:type="paragraph" w:customStyle="1" w:styleId="SOText2">
    <w:name w:val="SO Text2"/>
    <w:aliases w:val="sot2"/>
    <w:basedOn w:val="Normal"/>
    <w:next w:val="SOText"/>
    <w:link w:val="SOText2Char"/>
    <w:rsid w:val="007C73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C734D"/>
    <w:rPr>
      <w:sz w:val="22"/>
    </w:rPr>
  </w:style>
  <w:style w:type="paragraph" w:customStyle="1" w:styleId="SubPartCASA">
    <w:name w:val="SubPart(CASA)"/>
    <w:aliases w:val="csp"/>
    <w:basedOn w:val="OPCParaBase"/>
    <w:next w:val="ActHead3"/>
    <w:rsid w:val="007C734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C734D"/>
    <w:rPr>
      <w:rFonts w:eastAsia="Times New Roman" w:cs="Times New Roman"/>
      <w:sz w:val="22"/>
      <w:lang w:eastAsia="en-AU"/>
    </w:rPr>
  </w:style>
  <w:style w:type="character" w:customStyle="1" w:styleId="notetextChar">
    <w:name w:val="note(text) Char"/>
    <w:aliases w:val="n Char,n_Main Char"/>
    <w:basedOn w:val="DefaultParagraphFont"/>
    <w:link w:val="notetext"/>
    <w:rsid w:val="007C734D"/>
    <w:rPr>
      <w:rFonts w:eastAsia="Times New Roman" w:cs="Times New Roman"/>
      <w:sz w:val="18"/>
      <w:lang w:eastAsia="en-AU"/>
    </w:rPr>
  </w:style>
  <w:style w:type="character" w:customStyle="1" w:styleId="Heading1Char">
    <w:name w:val="Heading 1 Char"/>
    <w:basedOn w:val="DefaultParagraphFont"/>
    <w:link w:val="Heading1"/>
    <w:uiPriority w:val="9"/>
    <w:rsid w:val="007C7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73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734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C734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C734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C734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C734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C734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C734D"/>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C734D"/>
  </w:style>
  <w:style w:type="character" w:customStyle="1" w:styleId="charlegsubtitle1">
    <w:name w:val="charlegsubtitle1"/>
    <w:basedOn w:val="DefaultParagraphFont"/>
    <w:rsid w:val="007C734D"/>
    <w:rPr>
      <w:rFonts w:ascii="Arial" w:hAnsi="Arial" w:cs="Arial" w:hint="default"/>
      <w:b/>
      <w:bCs/>
      <w:sz w:val="28"/>
      <w:szCs w:val="28"/>
    </w:rPr>
  </w:style>
  <w:style w:type="paragraph" w:styleId="Index1">
    <w:name w:val="index 1"/>
    <w:basedOn w:val="Normal"/>
    <w:next w:val="Normal"/>
    <w:autoRedefine/>
    <w:rsid w:val="007C734D"/>
    <w:pPr>
      <w:ind w:left="240" w:hanging="240"/>
    </w:pPr>
  </w:style>
  <w:style w:type="paragraph" w:styleId="Index2">
    <w:name w:val="index 2"/>
    <w:basedOn w:val="Normal"/>
    <w:next w:val="Normal"/>
    <w:autoRedefine/>
    <w:rsid w:val="007C734D"/>
    <w:pPr>
      <w:ind w:left="480" w:hanging="240"/>
    </w:pPr>
  </w:style>
  <w:style w:type="paragraph" w:styleId="Index3">
    <w:name w:val="index 3"/>
    <w:basedOn w:val="Normal"/>
    <w:next w:val="Normal"/>
    <w:autoRedefine/>
    <w:rsid w:val="007C734D"/>
    <w:pPr>
      <w:ind w:left="720" w:hanging="240"/>
    </w:pPr>
  </w:style>
  <w:style w:type="paragraph" w:styleId="Index4">
    <w:name w:val="index 4"/>
    <w:basedOn w:val="Normal"/>
    <w:next w:val="Normal"/>
    <w:autoRedefine/>
    <w:rsid w:val="007C734D"/>
    <w:pPr>
      <w:ind w:left="960" w:hanging="240"/>
    </w:pPr>
  </w:style>
  <w:style w:type="paragraph" w:styleId="Index5">
    <w:name w:val="index 5"/>
    <w:basedOn w:val="Normal"/>
    <w:next w:val="Normal"/>
    <w:autoRedefine/>
    <w:rsid w:val="007C734D"/>
    <w:pPr>
      <w:ind w:left="1200" w:hanging="240"/>
    </w:pPr>
  </w:style>
  <w:style w:type="paragraph" w:styleId="Index6">
    <w:name w:val="index 6"/>
    <w:basedOn w:val="Normal"/>
    <w:next w:val="Normal"/>
    <w:autoRedefine/>
    <w:rsid w:val="007C734D"/>
    <w:pPr>
      <w:ind w:left="1440" w:hanging="240"/>
    </w:pPr>
  </w:style>
  <w:style w:type="paragraph" w:styleId="Index7">
    <w:name w:val="index 7"/>
    <w:basedOn w:val="Normal"/>
    <w:next w:val="Normal"/>
    <w:autoRedefine/>
    <w:rsid w:val="007C734D"/>
    <w:pPr>
      <w:ind w:left="1680" w:hanging="240"/>
    </w:pPr>
  </w:style>
  <w:style w:type="paragraph" w:styleId="Index8">
    <w:name w:val="index 8"/>
    <w:basedOn w:val="Normal"/>
    <w:next w:val="Normal"/>
    <w:autoRedefine/>
    <w:rsid w:val="007C734D"/>
    <w:pPr>
      <w:ind w:left="1920" w:hanging="240"/>
    </w:pPr>
  </w:style>
  <w:style w:type="paragraph" w:styleId="Index9">
    <w:name w:val="index 9"/>
    <w:basedOn w:val="Normal"/>
    <w:next w:val="Normal"/>
    <w:autoRedefine/>
    <w:rsid w:val="007C734D"/>
    <w:pPr>
      <w:ind w:left="2160" w:hanging="240"/>
    </w:pPr>
  </w:style>
  <w:style w:type="paragraph" w:styleId="NormalIndent">
    <w:name w:val="Normal Indent"/>
    <w:basedOn w:val="Normal"/>
    <w:rsid w:val="007C734D"/>
    <w:pPr>
      <w:ind w:left="720"/>
    </w:pPr>
  </w:style>
  <w:style w:type="paragraph" w:styleId="FootnoteText">
    <w:name w:val="footnote text"/>
    <w:basedOn w:val="Normal"/>
    <w:link w:val="FootnoteTextChar"/>
    <w:rsid w:val="007C734D"/>
    <w:rPr>
      <w:sz w:val="20"/>
    </w:rPr>
  </w:style>
  <w:style w:type="character" w:customStyle="1" w:styleId="FootnoteTextChar">
    <w:name w:val="Footnote Text Char"/>
    <w:basedOn w:val="DefaultParagraphFont"/>
    <w:link w:val="FootnoteText"/>
    <w:rsid w:val="007C734D"/>
  </w:style>
  <w:style w:type="paragraph" w:styleId="CommentText">
    <w:name w:val="annotation text"/>
    <w:basedOn w:val="Normal"/>
    <w:link w:val="CommentTextChar"/>
    <w:rsid w:val="007C734D"/>
    <w:rPr>
      <w:sz w:val="20"/>
    </w:rPr>
  </w:style>
  <w:style w:type="character" w:customStyle="1" w:styleId="CommentTextChar">
    <w:name w:val="Comment Text Char"/>
    <w:basedOn w:val="DefaultParagraphFont"/>
    <w:link w:val="CommentText"/>
    <w:rsid w:val="007C734D"/>
  </w:style>
  <w:style w:type="paragraph" w:styleId="IndexHeading">
    <w:name w:val="index heading"/>
    <w:basedOn w:val="Normal"/>
    <w:next w:val="Index1"/>
    <w:rsid w:val="007C734D"/>
    <w:rPr>
      <w:rFonts w:ascii="Arial" w:hAnsi="Arial" w:cs="Arial"/>
      <w:b/>
      <w:bCs/>
    </w:rPr>
  </w:style>
  <w:style w:type="paragraph" w:styleId="Caption">
    <w:name w:val="caption"/>
    <w:basedOn w:val="Normal"/>
    <w:next w:val="Normal"/>
    <w:qFormat/>
    <w:rsid w:val="007C734D"/>
    <w:pPr>
      <w:spacing w:before="120" w:after="120"/>
    </w:pPr>
    <w:rPr>
      <w:b/>
      <w:bCs/>
      <w:sz w:val="20"/>
    </w:rPr>
  </w:style>
  <w:style w:type="paragraph" w:styleId="TableofFigures">
    <w:name w:val="table of figures"/>
    <w:basedOn w:val="Normal"/>
    <w:next w:val="Normal"/>
    <w:rsid w:val="007C734D"/>
    <w:pPr>
      <w:ind w:left="480" w:hanging="480"/>
    </w:pPr>
  </w:style>
  <w:style w:type="paragraph" w:styleId="EnvelopeAddress">
    <w:name w:val="envelope address"/>
    <w:basedOn w:val="Normal"/>
    <w:rsid w:val="007C734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C734D"/>
    <w:rPr>
      <w:rFonts w:ascii="Arial" w:hAnsi="Arial" w:cs="Arial"/>
      <w:sz w:val="20"/>
    </w:rPr>
  </w:style>
  <w:style w:type="character" w:styleId="FootnoteReference">
    <w:name w:val="footnote reference"/>
    <w:basedOn w:val="DefaultParagraphFont"/>
    <w:rsid w:val="007C734D"/>
    <w:rPr>
      <w:rFonts w:ascii="Times New Roman" w:hAnsi="Times New Roman"/>
      <w:sz w:val="20"/>
      <w:vertAlign w:val="superscript"/>
    </w:rPr>
  </w:style>
  <w:style w:type="character" w:styleId="CommentReference">
    <w:name w:val="annotation reference"/>
    <w:basedOn w:val="DefaultParagraphFont"/>
    <w:rsid w:val="007C734D"/>
    <w:rPr>
      <w:sz w:val="16"/>
      <w:szCs w:val="16"/>
    </w:rPr>
  </w:style>
  <w:style w:type="character" w:styleId="PageNumber">
    <w:name w:val="page number"/>
    <w:basedOn w:val="DefaultParagraphFont"/>
    <w:rsid w:val="007C734D"/>
  </w:style>
  <w:style w:type="character" w:styleId="EndnoteReference">
    <w:name w:val="endnote reference"/>
    <w:basedOn w:val="DefaultParagraphFont"/>
    <w:rsid w:val="007C734D"/>
    <w:rPr>
      <w:vertAlign w:val="superscript"/>
    </w:rPr>
  </w:style>
  <w:style w:type="paragraph" w:styleId="EndnoteText">
    <w:name w:val="endnote text"/>
    <w:basedOn w:val="Normal"/>
    <w:link w:val="EndnoteTextChar"/>
    <w:rsid w:val="007C734D"/>
    <w:rPr>
      <w:sz w:val="20"/>
    </w:rPr>
  </w:style>
  <w:style w:type="character" w:customStyle="1" w:styleId="EndnoteTextChar">
    <w:name w:val="Endnote Text Char"/>
    <w:basedOn w:val="DefaultParagraphFont"/>
    <w:link w:val="EndnoteText"/>
    <w:rsid w:val="007C734D"/>
  </w:style>
  <w:style w:type="paragraph" w:styleId="TableofAuthorities">
    <w:name w:val="table of authorities"/>
    <w:basedOn w:val="Normal"/>
    <w:next w:val="Normal"/>
    <w:rsid w:val="007C734D"/>
    <w:pPr>
      <w:ind w:left="240" w:hanging="240"/>
    </w:pPr>
  </w:style>
  <w:style w:type="paragraph" w:styleId="MacroText">
    <w:name w:val="macro"/>
    <w:link w:val="MacroTextChar"/>
    <w:rsid w:val="007C734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C734D"/>
    <w:rPr>
      <w:rFonts w:ascii="Courier New" w:eastAsia="Times New Roman" w:hAnsi="Courier New" w:cs="Courier New"/>
      <w:lang w:eastAsia="en-AU"/>
    </w:rPr>
  </w:style>
  <w:style w:type="paragraph" w:styleId="TOAHeading">
    <w:name w:val="toa heading"/>
    <w:basedOn w:val="Normal"/>
    <w:next w:val="Normal"/>
    <w:rsid w:val="007C734D"/>
    <w:pPr>
      <w:spacing w:before="120"/>
    </w:pPr>
    <w:rPr>
      <w:rFonts w:ascii="Arial" w:hAnsi="Arial" w:cs="Arial"/>
      <w:b/>
      <w:bCs/>
    </w:rPr>
  </w:style>
  <w:style w:type="paragraph" w:styleId="List">
    <w:name w:val="List"/>
    <w:basedOn w:val="Normal"/>
    <w:rsid w:val="007C734D"/>
    <w:pPr>
      <w:ind w:left="283" w:hanging="283"/>
    </w:pPr>
  </w:style>
  <w:style w:type="paragraph" w:styleId="ListBullet">
    <w:name w:val="List Bullet"/>
    <w:basedOn w:val="Normal"/>
    <w:autoRedefine/>
    <w:rsid w:val="007C734D"/>
    <w:pPr>
      <w:tabs>
        <w:tab w:val="num" w:pos="360"/>
      </w:tabs>
      <w:ind w:left="360" w:hanging="360"/>
    </w:pPr>
  </w:style>
  <w:style w:type="paragraph" w:styleId="ListNumber">
    <w:name w:val="List Number"/>
    <w:basedOn w:val="Normal"/>
    <w:rsid w:val="007C734D"/>
    <w:pPr>
      <w:tabs>
        <w:tab w:val="num" w:pos="360"/>
      </w:tabs>
      <w:ind w:left="360" w:hanging="360"/>
    </w:pPr>
  </w:style>
  <w:style w:type="paragraph" w:styleId="List2">
    <w:name w:val="List 2"/>
    <w:basedOn w:val="Normal"/>
    <w:rsid w:val="007C734D"/>
    <w:pPr>
      <w:ind w:left="566" w:hanging="283"/>
    </w:pPr>
  </w:style>
  <w:style w:type="paragraph" w:styleId="List3">
    <w:name w:val="List 3"/>
    <w:basedOn w:val="Normal"/>
    <w:rsid w:val="007C734D"/>
    <w:pPr>
      <w:ind w:left="849" w:hanging="283"/>
    </w:pPr>
  </w:style>
  <w:style w:type="paragraph" w:styleId="List4">
    <w:name w:val="List 4"/>
    <w:basedOn w:val="Normal"/>
    <w:rsid w:val="007C734D"/>
    <w:pPr>
      <w:ind w:left="1132" w:hanging="283"/>
    </w:pPr>
  </w:style>
  <w:style w:type="paragraph" w:styleId="List5">
    <w:name w:val="List 5"/>
    <w:basedOn w:val="Normal"/>
    <w:rsid w:val="007C734D"/>
    <w:pPr>
      <w:ind w:left="1415" w:hanging="283"/>
    </w:pPr>
  </w:style>
  <w:style w:type="paragraph" w:styleId="ListBullet2">
    <w:name w:val="List Bullet 2"/>
    <w:basedOn w:val="Normal"/>
    <w:autoRedefine/>
    <w:rsid w:val="007C734D"/>
    <w:pPr>
      <w:tabs>
        <w:tab w:val="num" w:pos="360"/>
      </w:tabs>
    </w:pPr>
  </w:style>
  <w:style w:type="paragraph" w:styleId="ListBullet3">
    <w:name w:val="List Bullet 3"/>
    <w:basedOn w:val="Normal"/>
    <w:autoRedefine/>
    <w:rsid w:val="007C734D"/>
    <w:pPr>
      <w:tabs>
        <w:tab w:val="num" w:pos="926"/>
      </w:tabs>
      <w:ind w:left="926" w:hanging="360"/>
    </w:pPr>
  </w:style>
  <w:style w:type="paragraph" w:styleId="ListBullet4">
    <w:name w:val="List Bullet 4"/>
    <w:basedOn w:val="Normal"/>
    <w:autoRedefine/>
    <w:rsid w:val="007C734D"/>
    <w:pPr>
      <w:tabs>
        <w:tab w:val="num" w:pos="1209"/>
      </w:tabs>
      <w:ind w:left="1209" w:hanging="360"/>
    </w:pPr>
  </w:style>
  <w:style w:type="paragraph" w:styleId="ListBullet5">
    <w:name w:val="List Bullet 5"/>
    <w:basedOn w:val="Normal"/>
    <w:autoRedefine/>
    <w:rsid w:val="007C734D"/>
    <w:pPr>
      <w:tabs>
        <w:tab w:val="num" w:pos="1492"/>
      </w:tabs>
      <w:ind w:left="1492" w:hanging="360"/>
    </w:pPr>
  </w:style>
  <w:style w:type="paragraph" w:styleId="ListNumber2">
    <w:name w:val="List Number 2"/>
    <w:basedOn w:val="Normal"/>
    <w:rsid w:val="007C734D"/>
    <w:pPr>
      <w:tabs>
        <w:tab w:val="num" w:pos="643"/>
      </w:tabs>
      <w:ind w:left="643" w:hanging="360"/>
    </w:pPr>
  </w:style>
  <w:style w:type="paragraph" w:styleId="ListNumber3">
    <w:name w:val="List Number 3"/>
    <w:basedOn w:val="Normal"/>
    <w:rsid w:val="007C734D"/>
    <w:pPr>
      <w:tabs>
        <w:tab w:val="num" w:pos="926"/>
      </w:tabs>
      <w:ind w:left="926" w:hanging="360"/>
    </w:pPr>
  </w:style>
  <w:style w:type="paragraph" w:styleId="ListNumber4">
    <w:name w:val="List Number 4"/>
    <w:basedOn w:val="Normal"/>
    <w:rsid w:val="007C734D"/>
    <w:pPr>
      <w:tabs>
        <w:tab w:val="num" w:pos="1209"/>
      </w:tabs>
      <w:ind w:left="1209" w:hanging="360"/>
    </w:pPr>
  </w:style>
  <w:style w:type="paragraph" w:styleId="ListNumber5">
    <w:name w:val="List Number 5"/>
    <w:basedOn w:val="Normal"/>
    <w:rsid w:val="007C734D"/>
    <w:pPr>
      <w:tabs>
        <w:tab w:val="num" w:pos="1492"/>
      </w:tabs>
      <w:ind w:left="1492" w:hanging="360"/>
    </w:pPr>
  </w:style>
  <w:style w:type="paragraph" w:styleId="Title">
    <w:name w:val="Title"/>
    <w:basedOn w:val="Normal"/>
    <w:link w:val="TitleChar"/>
    <w:qFormat/>
    <w:rsid w:val="007C734D"/>
    <w:pPr>
      <w:spacing w:before="240" w:after="60"/>
    </w:pPr>
    <w:rPr>
      <w:rFonts w:ascii="Arial" w:hAnsi="Arial" w:cs="Arial"/>
      <w:b/>
      <w:bCs/>
      <w:sz w:val="40"/>
      <w:szCs w:val="40"/>
    </w:rPr>
  </w:style>
  <w:style w:type="character" w:customStyle="1" w:styleId="TitleChar">
    <w:name w:val="Title Char"/>
    <w:basedOn w:val="DefaultParagraphFont"/>
    <w:link w:val="Title"/>
    <w:rsid w:val="007C734D"/>
    <w:rPr>
      <w:rFonts w:ascii="Arial" w:hAnsi="Arial" w:cs="Arial"/>
      <w:b/>
      <w:bCs/>
      <w:sz w:val="40"/>
      <w:szCs w:val="40"/>
    </w:rPr>
  </w:style>
  <w:style w:type="paragraph" w:styleId="Closing">
    <w:name w:val="Closing"/>
    <w:basedOn w:val="Normal"/>
    <w:link w:val="ClosingChar"/>
    <w:rsid w:val="007C734D"/>
    <w:pPr>
      <w:ind w:left="4252"/>
    </w:pPr>
  </w:style>
  <w:style w:type="character" w:customStyle="1" w:styleId="ClosingChar">
    <w:name w:val="Closing Char"/>
    <w:basedOn w:val="DefaultParagraphFont"/>
    <w:link w:val="Closing"/>
    <w:rsid w:val="007C734D"/>
    <w:rPr>
      <w:sz w:val="22"/>
    </w:rPr>
  </w:style>
  <w:style w:type="paragraph" w:styleId="Signature">
    <w:name w:val="Signature"/>
    <w:basedOn w:val="Normal"/>
    <w:link w:val="SignatureChar"/>
    <w:rsid w:val="007C734D"/>
    <w:pPr>
      <w:ind w:left="4252"/>
    </w:pPr>
  </w:style>
  <w:style w:type="character" w:customStyle="1" w:styleId="SignatureChar">
    <w:name w:val="Signature Char"/>
    <w:basedOn w:val="DefaultParagraphFont"/>
    <w:link w:val="Signature"/>
    <w:rsid w:val="007C734D"/>
    <w:rPr>
      <w:sz w:val="22"/>
    </w:rPr>
  </w:style>
  <w:style w:type="paragraph" w:styleId="BodyText">
    <w:name w:val="Body Text"/>
    <w:basedOn w:val="Normal"/>
    <w:link w:val="BodyTextChar"/>
    <w:rsid w:val="007C734D"/>
    <w:pPr>
      <w:spacing w:after="120"/>
    </w:pPr>
  </w:style>
  <w:style w:type="character" w:customStyle="1" w:styleId="BodyTextChar">
    <w:name w:val="Body Text Char"/>
    <w:basedOn w:val="DefaultParagraphFont"/>
    <w:link w:val="BodyText"/>
    <w:rsid w:val="007C734D"/>
    <w:rPr>
      <w:sz w:val="22"/>
    </w:rPr>
  </w:style>
  <w:style w:type="paragraph" w:styleId="BodyTextIndent">
    <w:name w:val="Body Text Indent"/>
    <w:basedOn w:val="Normal"/>
    <w:link w:val="BodyTextIndentChar"/>
    <w:rsid w:val="007C734D"/>
    <w:pPr>
      <w:spacing w:after="120"/>
      <w:ind w:left="283"/>
    </w:pPr>
  </w:style>
  <w:style w:type="character" w:customStyle="1" w:styleId="BodyTextIndentChar">
    <w:name w:val="Body Text Indent Char"/>
    <w:basedOn w:val="DefaultParagraphFont"/>
    <w:link w:val="BodyTextIndent"/>
    <w:rsid w:val="007C734D"/>
    <w:rPr>
      <w:sz w:val="22"/>
    </w:rPr>
  </w:style>
  <w:style w:type="paragraph" w:styleId="ListContinue">
    <w:name w:val="List Continue"/>
    <w:basedOn w:val="Normal"/>
    <w:rsid w:val="007C734D"/>
    <w:pPr>
      <w:spacing w:after="120"/>
      <w:ind w:left="283"/>
    </w:pPr>
  </w:style>
  <w:style w:type="paragraph" w:styleId="ListContinue2">
    <w:name w:val="List Continue 2"/>
    <w:basedOn w:val="Normal"/>
    <w:rsid w:val="007C734D"/>
    <w:pPr>
      <w:spacing w:after="120"/>
      <w:ind w:left="566"/>
    </w:pPr>
  </w:style>
  <w:style w:type="paragraph" w:styleId="ListContinue3">
    <w:name w:val="List Continue 3"/>
    <w:basedOn w:val="Normal"/>
    <w:rsid w:val="007C734D"/>
    <w:pPr>
      <w:spacing w:after="120"/>
      <w:ind w:left="849"/>
    </w:pPr>
  </w:style>
  <w:style w:type="paragraph" w:styleId="ListContinue4">
    <w:name w:val="List Continue 4"/>
    <w:basedOn w:val="Normal"/>
    <w:rsid w:val="007C734D"/>
    <w:pPr>
      <w:spacing w:after="120"/>
      <w:ind w:left="1132"/>
    </w:pPr>
  </w:style>
  <w:style w:type="paragraph" w:styleId="ListContinue5">
    <w:name w:val="List Continue 5"/>
    <w:basedOn w:val="Normal"/>
    <w:rsid w:val="007C734D"/>
    <w:pPr>
      <w:spacing w:after="120"/>
      <w:ind w:left="1415"/>
    </w:pPr>
  </w:style>
  <w:style w:type="paragraph" w:styleId="MessageHeader">
    <w:name w:val="Message Header"/>
    <w:basedOn w:val="Normal"/>
    <w:link w:val="MessageHeaderChar"/>
    <w:rsid w:val="007C7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C734D"/>
    <w:rPr>
      <w:rFonts w:ascii="Arial" w:hAnsi="Arial" w:cs="Arial"/>
      <w:sz w:val="22"/>
      <w:shd w:val="pct20" w:color="auto" w:fill="auto"/>
    </w:rPr>
  </w:style>
  <w:style w:type="paragraph" w:styleId="Subtitle">
    <w:name w:val="Subtitle"/>
    <w:basedOn w:val="Normal"/>
    <w:link w:val="SubtitleChar"/>
    <w:qFormat/>
    <w:rsid w:val="007C734D"/>
    <w:pPr>
      <w:spacing w:after="60"/>
      <w:jc w:val="center"/>
      <w:outlineLvl w:val="1"/>
    </w:pPr>
    <w:rPr>
      <w:rFonts w:ascii="Arial" w:hAnsi="Arial" w:cs="Arial"/>
    </w:rPr>
  </w:style>
  <w:style w:type="character" w:customStyle="1" w:styleId="SubtitleChar">
    <w:name w:val="Subtitle Char"/>
    <w:basedOn w:val="DefaultParagraphFont"/>
    <w:link w:val="Subtitle"/>
    <w:rsid w:val="007C734D"/>
    <w:rPr>
      <w:rFonts w:ascii="Arial" w:hAnsi="Arial" w:cs="Arial"/>
      <w:sz w:val="22"/>
    </w:rPr>
  </w:style>
  <w:style w:type="paragraph" w:styleId="Salutation">
    <w:name w:val="Salutation"/>
    <w:basedOn w:val="Normal"/>
    <w:next w:val="Normal"/>
    <w:link w:val="SalutationChar"/>
    <w:rsid w:val="007C734D"/>
  </w:style>
  <w:style w:type="character" w:customStyle="1" w:styleId="SalutationChar">
    <w:name w:val="Salutation Char"/>
    <w:basedOn w:val="DefaultParagraphFont"/>
    <w:link w:val="Salutation"/>
    <w:rsid w:val="007C734D"/>
    <w:rPr>
      <w:sz w:val="22"/>
    </w:rPr>
  </w:style>
  <w:style w:type="paragraph" w:styleId="Date">
    <w:name w:val="Date"/>
    <w:basedOn w:val="Normal"/>
    <w:next w:val="Normal"/>
    <w:link w:val="DateChar"/>
    <w:rsid w:val="007C734D"/>
  </w:style>
  <w:style w:type="character" w:customStyle="1" w:styleId="DateChar">
    <w:name w:val="Date Char"/>
    <w:basedOn w:val="DefaultParagraphFont"/>
    <w:link w:val="Date"/>
    <w:rsid w:val="007C734D"/>
    <w:rPr>
      <w:sz w:val="22"/>
    </w:rPr>
  </w:style>
  <w:style w:type="paragraph" w:styleId="BodyTextFirstIndent">
    <w:name w:val="Body Text First Indent"/>
    <w:basedOn w:val="BodyText"/>
    <w:link w:val="BodyTextFirstIndentChar"/>
    <w:rsid w:val="007C734D"/>
    <w:pPr>
      <w:ind w:firstLine="210"/>
    </w:pPr>
  </w:style>
  <w:style w:type="character" w:customStyle="1" w:styleId="BodyTextFirstIndentChar">
    <w:name w:val="Body Text First Indent Char"/>
    <w:basedOn w:val="BodyTextChar"/>
    <w:link w:val="BodyTextFirstIndent"/>
    <w:rsid w:val="007C734D"/>
    <w:rPr>
      <w:sz w:val="22"/>
    </w:rPr>
  </w:style>
  <w:style w:type="paragraph" w:styleId="BodyTextFirstIndent2">
    <w:name w:val="Body Text First Indent 2"/>
    <w:basedOn w:val="BodyTextIndent"/>
    <w:link w:val="BodyTextFirstIndent2Char"/>
    <w:rsid w:val="007C734D"/>
    <w:pPr>
      <w:ind w:firstLine="210"/>
    </w:pPr>
  </w:style>
  <w:style w:type="character" w:customStyle="1" w:styleId="BodyTextFirstIndent2Char">
    <w:name w:val="Body Text First Indent 2 Char"/>
    <w:basedOn w:val="BodyTextIndentChar"/>
    <w:link w:val="BodyTextFirstIndent2"/>
    <w:rsid w:val="007C734D"/>
    <w:rPr>
      <w:sz w:val="22"/>
    </w:rPr>
  </w:style>
  <w:style w:type="paragraph" w:styleId="BodyText2">
    <w:name w:val="Body Text 2"/>
    <w:basedOn w:val="Normal"/>
    <w:link w:val="BodyText2Char"/>
    <w:rsid w:val="007C734D"/>
    <w:pPr>
      <w:spacing w:after="120" w:line="480" w:lineRule="auto"/>
    </w:pPr>
  </w:style>
  <w:style w:type="character" w:customStyle="1" w:styleId="BodyText2Char">
    <w:name w:val="Body Text 2 Char"/>
    <w:basedOn w:val="DefaultParagraphFont"/>
    <w:link w:val="BodyText2"/>
    <w:rsid w:val="007C734D"/>
    <w:rPr>
      <w:sz w:val="22"/>
    </w:rPr>
  </w:style>
  <w:style w:type="paragraph" w:styleId="BodyText3">
    <w:name w:val="Body Text 3"/>
    <w:basedOn w:val="Normal"/>
    <w:link w:val="BodyText3Char"/>
    <w:rsid w:val="007C734D"/>
    <w:pPr>
      <w:spacing w:after="120"/>
    </w:pPr>
    <w:rPr>
      <w:sz w:val="16"/>
      <w:szCs w:val="16"/>
    </w:rPr>
  </w:style>
  <w:style w:type="character" w:customStyle="1" w:styleId="BodyText3Char">
    <w:name w:val="Body Text 3 Char"/>
    <w:basedOn w:val="DefaultParagraphFont"/>
    <w:link w:val="BodyText3"/>
    <w:rsid w:val="007C734D"/>
    <w:rPr>
      <w:sz w:val="16"/>
      <w:szCs w:val="16"/>
    </w:rPr>
  </w:style>
  <w:style w:type="paragraph" w:styleId="BodyTextIndent2">
    <w:name w:val="Body Text Indent 2"/>
    <w:basedOn w:val="Normal"/>
    <w:link w:val="BodyTextIndent2Char"/>
    <w:rsid w:val="007C734D"/>
    <w:pPr>
      <w:spacing w:after="120" w:line="480" w:lineRule="auto"/>
      <w:ind w:left="283"/>
    </w:pPr>
  </w:style>
  <w:style w:type="character" w:customStyle="1" w:styleId="BodyTextIndent2Char">
    <w:name w:val="Body Text Indent 2 Char"/>
    <w:basedOn w:val="DefaultParagraphFont"/>
    <w:link w:val="BodyTextIndent2"/>
    <w:rsid w:val="007C734D"/>
    <w:rPr>
      <w:sz w:val="22"/>
    </w:rPr>
  </w:style>
  <w:style w:type="paragraph" w:styleId="BodyTextIndent3">
    <w:name w:val="Body Text Indent 3"/>
    <w:basedOn w:val="Normal"/>
    <w:link w:val="BodyTextIndent3Char"/>
    <w:rsid w:val="007C734D"/>
    <w:pPr>
      <w:spacing w:after="120"/>
      <w:ind w:left="283"/>
    </w:pPr>
    <w:rPr>
      <w:sz w:val="16"/>
      <w:szCs w:val="16"/>
    </w:rPr>
  </w:style>
  <w:style w:type="character" w:customStyle="1" w:styleId="BodyTextIndent3Char">
    <w:name w:val="Body Text Indent 3 Char"/>
    <w:basedOn w:val="DefaultParagraphFont"/>
    <w:link w:val="BodyTextIndent3"/>
    <w:rsid w:val="007C734D"/>
    <w:rPr>
      <w:sz w:val="16"/>
      <w:szCs w:val="16"/>
    </w:rPr>
  </w:style>
  <w:style w:type="paragraph" w:styleId="BlockText">
    <w:name w:val="Block Text"/>
    <w:basedOn w:val="Normal"/>
    <w:rsid w:val="007C734D"/>
    <w:pPr>
      <w:spacing w:after="120"/>
      <w:ind w:left="1440" w:right="1440"/>
    </w:pPr>
  </w:style>
  <w:style w:type="character" w:styleId="Hyperlink">
    <w:name w:val="Hyperlink"/>
    <w:basedOn w:val="DefaultParagraphFont"/>
    <w:rsid w:val="007C734D"/>
    <w:rPr>
      <w:color w:val="0000FF"/>
      <w:u w:val="single"/>
    </w:rPr>
  </w:style>
  <w:style w:type="character" w:styleId="FollowedHyperlink">
    <w:name w:val="FollowedHyperlink"/>
    <w:basedOn w:val="DefaultParagraphFont"/>
    <w:rsid w:val="007C734D"/>
    <w:rPr>
      <w:color w:val="800080"/>
      <w:u w:val="single"/>
    </w:rPr>
  </w:style>
  <w:style w:type="character" w:styleId="Strong">
    <w:name w:val="Strong"/>
    <w:basedOn w:val="DefaultParagraphFont"/>
    <w:qFormat/>
    <w:rsid w:val="007C734D"/>
    <w:rPr>
      <w:b/>
      <w:bCs/>
    </w:rPr>
  </w:style>
  <w:style w:type="character" w:styleId="Emphasis">
    <w:name w:val="Emphasis"/>
    <w:basedOn w:val="DefaultParagraphFont"/>
    <w:qFormat/>
    <w:rsid w:val="007C734D"/>
    <w:rPr>
      <w:i/>
      <w:iCs/>
    </w:rPr>
  </w:style>
  <w:style w:type="paragraph" w:styleId="DocumentMap">
    <w:name w:val="Document Map"/>
    <w:basedOn w:val="Normal"/>
    <w:link w:val="DocumentMapChar"/>
    <w:rsid w:val="007C734D"/>
    <w:pPr>
      <w:shd w:val="clear" w:color="auto" w:fill="000080"/>
    </w:pPr>
    <w:rPr>
      <w:rFonts w:ascii="Tahoma" w:hAnsi="Tahoma" w:cs="Tahoma"/>
    </w:rPr>
  </w:style>
  <w:style w:type="character" w:customStyle="1" w:styleId="DocumentMapChar">
    <w:name w:val="Document Map Char"/>
    <w:basedOn w:val="DefaultParagraphFont"/>
    <w:link w:val="DocumentMap"/>
    <w:rsid w:val="007C734D"/>
    <w:rPr>
      <w:rFonts w:ascii="Tahoma" w:hAnsi="Tahoma" w:cs="Tahoma"/>
      <w:sz w:val="22"/>
      <w:shd w:val="clear" w:color="auto" w:fill="000080"/>
    </w:rPr>
  </w:style>
  <w:style w:type="paragraph" w:styleId="PlainText">
    <w:name w:val="Plain Text"/>
    <w:basedOn w:val="Normal"/>
    <w:link w:val="PlainTextChar"/>
    <w:rsid w:val="007C734D"/>
    <w:rPr>
      <w:rFonts w:ascii="Courier New" w:hAnsi="Courier New" w:cs="Courier New"/>
      <w:sz w:val="20"/>
    </w:rPr>
  </w:style>
  <w:style w:type="character" w:customStyle="1" w:styleId="PlainTextChar">
    <w:name w:val="Plain Text Char"/>
    <w:basedOn w:val="DefaultParagraphFont"/>
    <w:link w:val="PlainText"/>
    <w:rsid w:val="007C734D"/>
    <w:rPr>
      <w:rFonts w:ascii="Courier New" w:hAnsi="Courier New" w:cs="Courier New"/>
    </w:rPr>
  </w:style>
  <w:style w:type="paragraph" w:styleId="E-mailSignature">
    <w:name w:val="E-mail Signature"/>
    <w:basedOn w:val="Normal"/>
    <w:link w:val="E-mailSignatureChar"/>
    <w:rsid w:val="007C734D"/>
  </w:style>
  <w:style w:type="character" w:customStyle="1" w:styleId="E-mailSignatureChar">
    <w:name w:val="E-mail Signature Char"/>
    <w:basedOn w:val="DefaultParagraphFont"/>
    <w:link w:val="E-mailSignature"/>
    <w:rsid w:val="007C734D"/>
    <w:rPr>
      <w:sz w:val="22"/>
    </w:rPr>
  </w:style>
  <w:style w:type="paragraph" w:styleId="NormalWeb">
    <w:name w:val="Normal (Web)"/>
    <w:basedOn w:val="Normal"/>
    <w:rsid w:val="007C734D"/>
  </w:style>
  <w:style w:type="character" w:styleId="HTMLAcronym">
    <w:name w:val="HTML Acronym"/>
    <w:basedOn w:val="DefaultParagraphFont"/>
    <w:rsid w:val="007C734D"/>
  </w:style>
  <w:style w:type="paragraph" w:styleId="HTMLAddress">
    <w:name w:val="HTML Address"/>
    <w:basedOn w:val="Normal"/>
    <w:link w:val="HTMLAddressChar"/>
    <w:rsid w:val="007C734D"/>
    <w:rPr>
      <w:i/>
      <w:iCs/>
    </w:rPr>
  </w:style>
  <w:style w:type="character" w:customStyle="1" w:styleId="HTMLAddressChar">
    <w:name w:val="HTML Address Char"/>
    <w:basedOn w:val="DefaultParagraphFont"/>
    <w:link w:val="HTMLAddress"/>
    <w:rsid w:val="007C734D"/>
    <w:rPr>
      <w:i/>
      <w:iCs/>
      <w:sz w:val="22"/>
    </w:rPr>
  </w:style>
  <w:style w:type="character" w:styleId="HTMLCite">
    <w:name w:val="HTML Cite"/>
    <w:basedOn w:val="DefaultParagraphFont"/>
    <w:rsid w:val="007C734D"/>
    <w:rPr>
      <w:i/>
      <w:iCs/>
    </w:rPr>
  </w:style>
  <w:style w:type="character" w:styleId="HTMLCode">
    <w:name w:val="HTML Code"/>
    <w:basedOn w:val="DefaultParagraphFont"/>
    <w:rsid w:val="007C734D"/>
    <w:rPr>
      <w:rFonts w:ascii="Courier New" w:hAnsi="Courier New" w:cs="Courier New"/>
      <w:sz w:val="20"/>
      <w:szCs w:val="20"/>
    </w:rPr>
  </w:style>
  <w:style w:type="character" w:styleId="HTMLDefinition">
    <w:name w:val="HTML Definition"/>
    <w:basedOn w:val="DefaultParagraphFont"/>
    <w:rsid w:val="007C734D"/>
    <w:rPr>
      <w:i/>
      <w:iCs/>
    </w:rPr>
  </w:style>
  <w:style w:type="character" w:styleId="HTMLKeyboard">
    <w:name w:val="HTML Keyboard"/>
    <w:basedOn w:val="DefaultParagraphFont"/>
    <w:rsid w:val="007C734D"/>
    <w:rPr>
      <w:rFonts w:ascii="Courier New" w:hAnsi="Courier New" w:cs="Courier New"/>
      <w:sz w:val="20"/>
      <w:szCs w:val="20"/>
    </w:rPr>
  </w:style>
  <w:style w:type="paragraph" w:styleId="HTMLPreformatted">
    <w:name w:val="HTML Preformatted"/>
    <w:basedOn w:val="Normal"/>
    <w:link w:val="HTMLPreformattedChar"/>
    <w:rsid w:val="007C734D"/>
    <w:rPr>
      <w:rFonts w:ascii="Courier New" w:hAnsi="Courier New" w:cs="Courier New"/>
      <w:sz w:val="20"/>
    </w:rPr>
  </w:style>
  <w:style w:type="character" w:customStyle="1" w:styleId="HTMLPreformattedChar">
    <w:name w:val="HTML Preformatted Char"/>
    <w:basedOn w:val="DefaultParagraphFont"/>
    <w:link w:val="HTMLPreformatted"/>
    <w:rsid w:val="007C734D"/>
    <w:rPr>
      <w:rFonts w:ascii="Courier New" w:hAnsi="Courier New" w:cs="Courier New"/>
    </w:rPr>
  </w:style>
  <w:style w:type="character" w:styleId="HTMLSample">
    <w:name w:val="HTML Sample"/>
    <w:basedOn w:val="DefaultParagraphFont"/>
    <w:rsid w:val="007C734D"/>
    <w:rPr>
      <w:rFonts w:ascii="Courier New" w:hAnsi="Courier New" w:cs="Courier New"/>
    </w:rPr>
  </w:style>
  <w:style w:type="character" w:styleId="HTMLTypewriter">
    <w:name w:val="HTML Typewriter"/>
    <w:basedOn w:val="DefaultParagraphFont"/>
    <w:rsid w:val="007C734D"/>
    <w:rPr>
      <w:rFonts w:ascii="Courier New" w:hAnsi="Courier New" w:cs="Courier New"/>
      <w:sz w:val="20"/>
      <w:szCs w:val="20"/>
    </w:rPr>
  </w:style>
  <w:style w:type="character" w:styleId="HTMLVariable">
    <w:name w:val="HTML Variable"/>
    <w:basedOn w:val="DefaultParagraphFont"/>
    <w:rsid w:val="007C734D"/>
    <w:rPr>
      <w:i/>
      <w:iCs/>
    </w:rPr>
  </w:style>
  <w:style w:type="paragraph" w:styleId="CommentSubject">
    <w:name w:val="annotation subject"/>
    <w:basedOn w:val="CommentText"/>
    <w:next w:val="CommentText"/>
    <w:link w:val="CommentSubjectChar"/>
    <w:rsid w:val="007C734D"/>
    <w:rPr>
      <w:b/>
      <w:bCs/>
    </w:rPr>
  </w:style>
  <w:style w:type="character" w:customStyle="1" w:styleId="CommentSubjectChar">
    <w:name w:val="Comment Subject Char"/>
    <w:basedOn w:val="CommentTextChar"/>
    <w:link w:val="CommentSubject"/>
    <w:rsid w:val="007C734D"/>
    <w:rPr>
      <w:b/>
      <w:bCs/>
    </w:rPr>
  </w:style>
  <w:style w:type="numbering" w:styleId="1ai">
    <w:name w:val="Outline List 1"/>
    <w:basedOn w:val="NoList"/>
    <w:rsid w:val="007C734D"/>
    <w:pPr>
      <w:numPr>
        <w:numId w:val="14"/>
      </w:numPr>
    </w:pPr>
  </w:style>
  <w:style w:type="numbering" w:styleId="111111">
    <w:name w:val="Outline List 2"/>
    <w:basedOn w:val="NoList"/>
    <w:rsid w:val="007C734D"/>
    <w:pPr>
      <w:numPr>
        <w:numId w:val="15"/>
      </w:numPr>
    </w:pPr>
  </w:style>
  <w:style w:type="numbering" w:styleId="ArticleSection">
    <w:name w:val="Outline List 3"/>
    <w:basedOn w:val="NoList"/>
    <w:rsid w:val="007C734D"/>
    <w:pPr>
      <w:numPr>
        <w:numId w:val="17"/>
      </w:numPr>
    </w:pPr>
  </w:style>
  <w:style w:type="table" w:styleId="TableSimple1">
    <w:name w:val="Table Simple 1"/>
    <w:basedOn w:val="TableNormal"/>
    <w:rsid w:val="007C734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734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C734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734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734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734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734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734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734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734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734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734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734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734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C73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734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734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734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734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734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734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734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734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73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73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734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734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734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C734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734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734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C734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734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C73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734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734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C734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734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734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C734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C734D"/>
    <w:rPr>
      <w:rFonts w:eastAsia="Times New Roman" w:cs="Times New Roman"/>
      <w:b/>
      <w:kern w:val="28"/>
      <w:sz w:val="24"/>
      <w:lang w:eastAsia="en-AU"/>
    </w:rPr>
  </w:style>
  <w:style w:type="paragraph" w:customStyle="1" w:styleId="ttDraftstrip">
    <w:name w:val="tt_Draft_strip"/>
    <w:basedOn w:val="Normal"/>
    <w:qFormat/>
    <w:rsid w:val="006F216F"/>
    <w:pPr>
      <w:shd w:val="clear" w:color="auto" w:fill="99CCFF"/>
      <w:tabs>
        <w:tab w:val="center" w:pos="4253"/>
        <w:tab w:val="right" w:pos="8505"/>
      </w:tabs>
      <w:spacing w:before="400" w:after="300"/>
    </w:pPr>
    <w:rPr>
      <w:rFonts w:ascii="Arial" w:eastAsia="Calibri" w:hAnsi="Arial" w:cs="Arial"/>
      <w:b/>
      <w:sz w:val="32"/>
      <w:szCs w:val="32"/>
    </w:rPr>
  </w:style>
  <w:style w:type="paragraph" w:styleId="Bibliography">
    <w:name w:val="Bibliography"/>
    <w:basedOn w:val="Normal"/>
    <w:next w:val="Normal"/>
    <w:uiPriority w:val="37"/>
    <w:semiHidden/>
    <w:unhideWhenUsed/>
    <w:rsid w:val="00F13D6D"/>
  </w:style>
  <w:style w:type="paragraph" w:styleId="IntenseQuote">
    <w:name w:val="Intense Quote"/>
    <w:basedOn w:val="Normal"/>
    <w:next w:val="Normal"/>
    <w:link w:val="IntenseQuoteChar"/>
    <w:uiPriority w:val="30"/>
    <w:qFormat/>
    <w:rsid w:val="00F13D6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13D6D"/>
    <w:rPr>
      <w:i/>
      <w:iCs/>
      <w:color w:val="4F81BD" w:themeColor="accent1"/>
      <w:sz w:val="22"/>
    </w:rPr>
  </w:style>
  <w:style w:type="paragraph" w:styleId="ListParagraph">
    <w:name w:val="List Paragraph"/>
    <w:basedOn w:val="Normal"/>
    <w:uiPriority w:val="34"/>
    <w:qFormat/>
    <w:rsid w:val="00F13D6D"/>
    <w:pPr>
      <w:ind w:left="720"/>
      <w:contextualSpacing/>
    </w:pPr>
  </w:style>
  <w:style w:type="paragraph" w:styleId="NoSpacing">
    <w:name w:val="No Spacing"/>
    <w:uiPriority w:val="1"/>
    <w:qFormat/>
    <w:rsid w:val="00F13D6D"/>
    <w:rPr>
      <w:sz w:val="22"/>
    </w:rPr>
  </w:style>
  <w:style w:type="paragraph" w:styleId="NoteHeading">
    <w:name w:val="Note Heading"/>
    <w:basedOn w:val="Normal"/>
    <w:next w:val="Normal"/>
    <w:link w:val="NoteHeadingChar"/>
    <w:uiPriority w:val="99"/>
    <w:semiHidden/>
    <w:unhideWhenUsed/>
    <w:rsid w:val="00F13D6D"/>
    <w:pPr>
      <w:spacing w:line="240" w:lineRule="auto"/>
    </w:pPr>
  </w:style>
  <w:style w:type="character" w:customStyle="1" w:styleId="NoteHeadingChar">
    <w:name w:val="Note Heading Char"/>
    <w:basedOn w:val="DefaultParagraphFont"/>
    <w:link w:val="NoteHeading"/>
    <w:uiPriority w:val="99"/>
    <w:semiHidden/>
    <w:rsid w:val="00F13D6D"/>
    <w:rPr>
      <w:sz w:val="22"/>
    </w:rPr>
  </w:style>
  <w:style w:type="paragraph" w:styleId="Quote">
    <w:name w:val="Quote"/>
    <w:basedOn w:val="Normal"/>
    <w:next w:val="Normal"/>
    <w:link w:val="QuoteChar"/>
    <w:uiPriority w:val="29"/>
    <w:qFormat/>
    <w:rsid w:val="00F13D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3D6D"/>
    <w:rPr>
      <w:i/>
      <w:iCs/>
      <w:color w:val="404040" w:themeColor="text1" w:themeTint="BF"/>
      <w:sz w:val="22"/>
    </w:rPr>
  </w:style>
  <w:style w:type="paragraph" w:styleId="TOCHeading">
    <w:name w:val="TOC Heading"/>
    <w:basedOn w:val="Heading1"/>
    <w:next w:val="Normal"/>
    <w:uiPriority w:val="39"/>
    <w:semiHidden/>
    <w:unhideWhenUsed/>
    <w:qFormat/>
    <w:rsid w:val="00F13D6D"/>
    <w:pPr>
      <w:spacing w:before="240"/>
      <w:outlineLvl w:val="9"/>
    </w:pPr>
    <w:rPr>
      <w:b w:val="0"/>
      <w:bCs w:val="0"/>
      <w:sz w:val="32"/>
      <w:szCs w:val="32"/>
    </w:rPr>
  </w:style>
  <w:style w:type="paragraph" w:customStyle="1" w:styleId="ttExplainTemplate">
    <w:name w:val="tt_Explain_Template"/>
    <w:basedOn w:val="Normal"/>
    <w:qFormat/>
    <w:rsid w:val="00340568"/>
    <w:pPr>
      <w:tabs>
        <w:tab w:val="left" w:pos="737"/>
        <w:tab w:val="left" w:pos="1191"/>
        <w:tab w:val="left" w:pos="1644"/>
      </w:tabs>
      <w:spacing w:before="80"/>
    </w:pPr>
    <w:rPr>
      <w:rFonts w:ascii="Arial" w:eastAsia="Calibri" w:hAnsi="Arial" w:cs="Times New Roman"/>
      <w:color w:val="7030A0"/>
    </w:rPr>
  </w:style>
  <w:style w:type="paragraph" w:customStyle="1" w:styleId="nDrafterComment">
    <w:name w:val="n_Drafter_Comment"/>
    <w:basedOn w:val="Normal"/>
    <w:qFormat/>
    <w:rsid w:val="00080B06"/>
    <w:pPr>
      <w:spacing w:before="80"/>
    </w:pPr>
    <w:rPr>
      <w:rFonts w:ascii="Arial" w:eastAsia="Calibri" w:hAnsi="Arial" w:cs="Times New Roman"/>
      <w:color w:val="7030A0"/>
    </w:rPr>
  </w:style>
  <w:style w:type="character" w:customStyle="1" w:styleId="paragraphChar">
    <w:name w:val="paragraph Char"/>
    <w:aliases w:val="a Char"/>
    <w:basedOn w:val="DefaultParagraphFont"/>
    <w:link w:val="paragraph"/>
    <w:rsid w:val="002533A1"/>
    <w:rPr>
      <w:rFonts w:eastAsia="Times New Roman" w:cs="Times New Roman"/>
      <w:sz w:val="22"/>
      <w:lang w:eastAsia="en-AU"/>
    </w:rPr>
  </w:style>
  <w:style w:type="character" w:customStyle="1" w:styleId="ItemHeadChar">
    <w:name w:val="ItemHead Char"/>
    <w:aliases w:val="ih Char"/>
    <w:link w:val="ItemHead"/>
    <w:rsid w:val="00CD61C0"/>
    <w:rPr>
      <w:rFonts w:ascii="Arial" w:eastAsia="Times New Roman" w:hAnsi="Arial" w:cs="Times New Roman"/>
      <w:b/>
      <w:kern w:val="28"/>
      <w:sz w:val="24"/>
      <w:lang w:eastAsia="en-AU"/>
    </w:rPr>
  </w:style>
  <w:style w:type="character" w:customStyle="1" w:styleId="TabletextChar">
    <w:name w:val="Tabletext Char"/>
    <w:aliases w:val="tt Char"/>
    <w:basedOn w:val="DefaultParagraphFont"/>
    <w:link w:val="Tabletext"/>
    <w:rsid w:val="000A3653"/>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EE10557-62B0-4874-AA05-935B0B48091C" xsi:nil="true"/>
  </documentManagement>
</p:properties>
</file>

<file path=customXml/item2.xml>��< ? x m l   v e r s i o n = " 1 . 0 "   e n c o d i n g = " u t f - 1 6 " ? > < p r o p e r t i e s   x m l n s = " h t t p : / / w w w . i m a n a g e . c o m / w o r k / x m l s c h e m a " >  
     < d o c u m e n t i d > D O C U M E N T S ! 4 7 2 0 6 6 5 4 . 7 < / d o c u m e n t i d >  
     < s e n d e r i d > G R A H J A < / s e n d e r i d >  
     < s e n d e r e m a i l > J A M E S . G R A H A M @ A G S . G O V . A U < / s e n d e r e m a i l >  
     < l a s t m o d i f i e d > 2 0 2 3 - 0 5 - 1 9 T 1 3 : 1 4 : 0 0 . 0 0 0 0 0 0 0 + 1 0 : 0 0 < / l a s t m o d i f i e d >  
     < d a t a b a s e > D O C U M E N T S 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2A9A4A265DA38478F4FD0F336720262" ma:contentTypeVersion="" ma:contentTypeDescription="PDMS Document Site Content Type" ma:contentTypeScope="" ma:versionID="f52b6ad4f794fa65046a5837ecdd1b11">
  <xsd:schema xmlns:xsd="http://www.w3.org/2001/XMLSchema" xmlns:xs="http://www.w3.org/2001/XMLSchema" xmlns:p="http://schemas.microsoft.com/office/2006/metadata/properties" xmlns:ns2="8EE10557-62B0-4874-AA05-935B0B48091C" targetNamespace="http://schemas.microsoft.com/office/2006/metadata/properties" ma:root="true" ma:fieldsID="a842439272347b795a056e763cd14ee8" ns2:_="">
    <xsd:import namespace="8EE10557-62B0-4874-AA05-935B0B48091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0557-62B0-4874-AA05-935B0B48091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06DF6-4CA6-46EB-B8CA-6DB4C24D8CA6}">
  <ds:schemaRefs>
    <ds:schemaRef ds:uri="http://schemas.microsoft.com/office/2006/metadata/properties"/>
    <ds:schemaRef ds:uri="http://schemas.microsoft.com/office/infopath/2007/PartnerControls"/>
    <ds:schemaRef ds:uri="fe39d773-a83d-4623-ae74-f25711a76616"/>
    <ds:schemaRef ds:uri="aaa27373-fe26-474f-aaa6-4ebba1fd6b2b"/>
    <ds:schemaRef ds:uri="http://schemas.microsoft.com/sharepoint/v3"/>
    <ds:schemaRef ds:uri="a289cb20-8bb9-401f-8d7b-706fb1a2988d"/>
    <ds:schemaRef ds:uri="ff38c824-6e29-4496-8487-69f397e7ed29"/>
    <ds:schemaRef ds:uri="8EE10557-62B0-4874-AA05-935B0B48091C"/>
  </ds:schemaRefs>
</ds:datastoreItem>
</file>

<file path=customXml/itemProps2.xml><?xml version="1.0" encoding="utf-8"?>
<ds:datastoreItem xmlns:ds="http://schemas.openxmlformats.org/officeDocument/2006/customXml" ds:itemID="{AB59E997-FE87-4110-8D4B-6BBB68E9DF9B}">
  <ds:schemaRefs>
    <ds:schemaRef ds:uri="http://www.imanage.com/work/xmlschema"/>
  </ds:schemaRefs>
</ds:datastoreItem>
</file>

<file path=customXml/itemProps3.xml><?xml version="1.0" encoding="utf-8"?>
<ds:datastoreItem xmlns:ds="http://schemas.openxmlformats.org/officeDocument/2006/customXml" ds:itemID="{34C8F498-F2B2-42EC-9D9C-96391A6FD536}">
  <ds:schemaRefs>
    <ds:schemaRef ds:uri="http://schemas.microsoft.com/sharepoint/v3/contenttype/forms"/>
  </ds:schemaRefs>
</ds:datastoreItem>
</file>

<file path=customXml/itemProps4.xml><?xml version="1.0" encoding="utf-8"?>
<ds:datastoreItem xmlns:ds="http://schemas.openxmlformats.org/officeDocument/2006/customXml" ds:itemID="{EAE6DBD8-584A-4CA8-AC23-4146722BA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0557-62B0-4874-AA05-935B0B480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17908</Words>
  <Characters>102077</Characters>
  <Application>Microsoft Office Word</Application>
  <DocSecurity>4</DocSecurity>
  <PresentationFormat/>
  <Lines>850</Lines>
  <Paragraphs>239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20230519 - CDR Rules - Amending Instrument No 1 (non-telco) - Final of 19 May 2023(47206654.7)</dc:title>
  <dc:subject/>
  <dc:creator/>
  <cp:keywords/>
  <dc:description/>
  <cp:lastModifiedBy/>
  <cp:revision>1</cp:revision>
  <dcterms:created xsi:type="dcterms:W3CDTF">2023-07-21T07:03:00Z</dcterms:created>
  <dcterms:modified xsi:type="dcterms:W3CDTF">2023-07-21T07:03:00Z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0x010100266966F133664895A6EE3632470D45F500D2A9A4A265DA38478F4FD0F336720262</vt:lpwstr>
  </property>
  <property fmtid="{D5CDD505-2E9C-101B-9397-08002B2CF9AE}" pid="3" name="eTheme">
    <vt:lpwstr>1;#Law Design|318dd2d2-18da-4b8e-a458-14db2c1af95f</vt:lpwstr>
  </property>
  <property fmtid="{D5CDD505-2E9C-101B-9397-08002B2CF9AE}" pid="4" name="eActivity">
    <vt:lpwstr>28;#Legislative measures|0d31ce10-0017-4a46-8d2d-ba60058cb6a2</vt:lpwstr>
  </property>
  <property fmtid="{D5CDD505-2E9C-101B-9397-08002B2CF9AE}" pid="5" name="k8424359e03846678cc4a99dd97e9705">
    <vt:lpwstr>Treasury Enterprise Terms|69519368-d55f-4403-adc0-7b3d464d5501</vt:lpwstr>
  </property>
  <property fmtid="{D5CDD505-2E9C-101B-9397-08002B2CF9AE}" pid="6" name="eTopic">
    <vt:lpwstr>81;#Consumer Data Right|62ed8273-6037-4ab0-b44b-2fccb4b8f0df</vt:lpwstr>
  </property>
  <property fmtid="{D5CDD505-2E9C-101B-9397-08002B2CF9AE}" pid="7" name="_dlc_DocIdItemGuid">
    <vt:lpwstr>30d5ae10-27af-4862-8bf1-378c834e8395</vt:lpwstr>
  </property>
  <property fmtid="{D5CDD505-2E9C-101B-9397-08002B2CF9AE}" pid="8" name="Order">
    <vt:r8>401900</vt:r8>
  </property>
  <property fmtid="{D5CDD505-2E9C-101B-9397-08002B2CF9AE}" pid="9" name="TSYStatus">
    <vt:lpwstr/>
  </property>
  <property fmtid="{D5CDD505-2E9C-101B-9397-08002B2CF9AE}" pid="10" name="MediaServiceImageTags">
    <vt:lpwstr/>
  </property>
  <property fmtid="{D5CDD505-2E9C-101B-9397-08002B2CF9AE}" pid="11" name="eDocumentType">
    <vt:lpwstr>68;#Legislation|bc5c492f-641e-4b74-8651-322acd553d0f</vt:lpwstr>
  </property>
  <property fmtid="{D5CDD505-2E9C-101B-9397-08002B2CF9AE}" pid="12" name="LMDivision">
    <vt:lpwstr>3;#Treasury Enterprise Terms|69519368-d55f-4403-adc0-7b3d464d5501</vt:lpwstr>
  </property>
</Properties>
</file>