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FB1F" w14:textId="64F86D5B" w:rsidR="00F109D4" w:rsidRPr="00731FEA" w:rsidRDefault="00F109D4" w:rsidP="00647BB7">
      <w:pPr>
        <w:pStyle w:val="Heading1"/>
        <w:spacing w:after="360"/>
        <w:rPr>
          <w:rFonts w:ascii="Times New Roman" w:hAnsi="Times New Roman"/>
          <w:sz w:val="24"/>
          <w:szCs w:val="24"/>
        </w:rPr>
      </w:pPr>
      <w:r w:rsidRPr="6D5C4A3C">
        <w:rPr>
          <w:rFonts w:ascii="Times New Roman" w:hAnsi="Times New Roman"/>
          <w:sz w:val="24"/>
          <w:szCs w:val="24"/>
        </w:rPr>
        <w:t>EXPLANATORY STATEMENT</w:t>
      </w:r>
    </w:p>
    <w:p w14:paraId="19B4C901" w14:textId="722AC915"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95E97AB4E8C84232A6546298BCBD22A0"/>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965F9B">
            <w:rPr>
              <w:sz w:val="24"/>
              <w:szCs w:val="24"/>
            </w:rPr>
            <w:t>Assistant Treasurer</w:t>
          </w:r>
        </w:sdtContent>
      </w:sdt>
    </w:p>
    <w:p w14:paraId="478FDEB0" w14:textId="33B8477B" w:rsidR="00F109D4" w:rsidRDefault="005346A4" w:rsidP="003C7907">
      <w:pPr>
        <w:spacing w:before="240" w:after="240"/>
        <w:jc w:val="center"/>
        <w:rPr>
          <w:i/>
        </w:rPr>
      </w:pPr>
      <w:r>
        <w:rPr>
          <w:i/>
        </w:rPr>
        <w:t>Superannuation Industry (Supervision) Act 1993</w:t>
      </w:r>
    </w:p>
    <w:p w14:paraId="50F57025" w14:textId="119A58E4" w:rsidR="00BA3393" w:rsidRDefault="00BA3393" w:rsidP="00BA3393">
      <w:pPr>
        <w:jc w:val="center"/>
      </w:pPr>
      <w:r>
        <w:rPr>
          <w:i/>
          <w:noProof/>
        </w:rPr>
        <w:t>Superannuation Industry (Supervision) Amendment (Your Future, Your Super—Addressing Underperformance in Superannuation) Regulations 2023</w:t>
      </w:r>
    </w:p>
    <w:p w14:paraId="390AE33B" w14:textId="0DFC6ED8" w:rsidR="00406D1F" w:rsidRPr="00E14A6A" w:rsidRDefault="00406D1F" w:rsidP="00406D1F">
      <w:pPr>
        <w:rPr>
          <w:szCs w:val="24"/>
        </w:rPr>
      </w:pPr>
      <w:r w:rsidRPr="00E14A6A">
        <w:rPr>
          <w:szCs w:val="24"/>
        </w:rPr>
        <w:t xml:space="preserve">The </w:t>
      </w:r>
      <w:r w:rsidRPr="00E14A6A">
        <w:rPr>
          <w:i/>
          <w:szCs w:val="24"/>
        </w:rPr>
        <w:t>Superannuation Industry (Supervision) Act 1993</w:t>
      </w:r>
      <w:r>
        <w:rPr>
          <w:i/>
          <w:szCs w:val="24"/>
        </w:rPr>
        <w:t xml:space="preserve"> </w:t>
      </w:r>
      <w:r>
        <w:rPr>
          <w:iCs/>
          <w:szCs w:val="24"/>
        </w:rPr>
        <w:t xml:space="preserve">(the </w:t>
      </w:r>
      <w:r w:rsidR="00CF3664">
        <w:rPr>
          <w:iCs/>
          <w:szCs w:val="24"/>
        </w:rPr>
        <w:t>SIS </w:t>
      </w:r>
      <w:r>
        <w:rPr>
          <w:iCs/>
          <w:szCs w:val="24"/>
        </w:rPr>
        <w:t>Act)</w:t>
      </w:r>
      <w:r w:rsidRPr="00E14A6A">
        <w:rPr>
          <w:szCs w:val="24"/>
        </w:rPr>
        <w:t xml:space="preserve"> governs the prudent management of superannuation funds and the supervision by the Australian Prudential Regulat</w:t>
      </w:r>
      <w:r w:rsidR="005B3C11">
        <w:rPr>
          <w:szCs w:val="24"/>
        </w:rPr>
        <w:t>ion</w:t>
      </w:r>
      <w:r w:rsidRPr="00E14A6A">
        <w:rPr>
          <w:szCs w:val="24"/>
        </w:rPr>
        <w:t xml:space="preserve"> Authority (APRA), the Australian Securities and Investments Commission (ASIC) and the Commissioner of Taxation.   </w:t>
      </w:r>
    </w:p>
    <w:p w14:paraId="20E00A0D" w14:textId="643E498B" w:rsidR="002745E5" w:rsidRPr="00E14A6A" w:rsidRDefault="002745E5" w:rsidP="001E599D">
      <w:pPr>
        <w:widowControl w:val="0"/>
        <w:adjustRightInd w:val="0"/>
        <w:spacing w:before="240"/>
        <w:jc w:val="both"/>
        <w:textAlignment w:val="baseline"/>
      </w:pPr>
      <w:r>
        <w:t xml:space="preserve">Section 353 of the </w:t>
      </w:r>
      <w:r w:rsidR="00CF3664">
        <w:t>SIS </w:t>
      </w:r>
      <w:r w:rsidR="00E14A6A">
        <w:t>Act allows the</w:t>
      </w:r>
      <w:r>
        <w:t xml:space="preserve"> Governor-General </w:t>
      </w:r>
      <w:r w:rsidR="00E14A6A">
        <w:t xml:space="preserve">to </w:t>
      </w:r>
      <w:r>
        <w:t xml:space="preserve">make regulations prescribing matters required or permitted by the </w:t>
      </w:r>
      <w:r w:rsidR="008052D1">
        <w:t>SIS </w:t>
      </w:r>
      <w:r>
        <w:t xml:space="preserve">Act to be prescribed, or necessary or convenient to be prescribed for carrying out or giving effect to the </w:t>
      </w:r>
      <w:r w:rsidR="008052D1">
        <w:t>SIS </w:t>
      </w:r>
      <w:r>
        <w:t>Act.</w:t>
      </w:r>
      <w:r w:rsidR="000B798F">
        <w:t xml:space="preserve"> </w:t>
      </w:r>
      <w:r w:rsidR="00584E05">
        <w:t>Sections 60D, 60G</w:t>
      </w:r>
      <w:r w:rsidR="007B2291">
        <w:t xml:space="preserve"> and 60J</w:t>
      </w:r>
      <w:r w:rsidR="00584E05">
        <w:t xml:space="preserve"> </w:t>
      </w:r>
      <w:r w:rsidR="00EE705F">
        <w:t>of the SIS Act</w:t>
      </w:r>
      <w:r w:rsidR="000850ED">
        <w:t xml:space="preserve"> allows the </w:t>
      </w:r>
      <w:r w:rsidR="0097241D">
        <w:t>Governor-General to make regulations prescribing matters</w:t>
      </w:r>
      <w:r w:rsidR="00790535">
        <w:t xml:space="preserve"> for the purposes of </w:t>
      </w:r>
      <w:r w:rsidR="008376FA">
        <w:t>a superannuation performance test and a comparison tool</w:t>
      </w:r>
      <w:r w:rsidR="000B23AC">
        <w:t xml:space="preserve"> which ranks superannuation products</w:t>
      </w:r>
      <w:r w:rsidR="008376FA">
        <w:t xml:space="preserve">. </w:t>
      </w:r>
    </w:p>
    <w:p w14:paraId="49B008BD" w14:textId="74999E19" w:rsidR="707B9B41" w:rsidRDefault="707B9B41" w:rsidP="00C72D5A">
      <w:pPr>
        <w:spacing w:after="240"/>
        <w:rPr>
          <w:color w:val="000000" w:themeColor="text1"/>
          <w:szCs w:val="24"/>
        </w:rPr>
      </w:pPr>
      <w:r w:rsidRPr="524ED70B">
        <w:rPr>
          <w:color w:val="000000" w:themeColor="text1"/>
          <w:szCs w:val="24"/>
        </w:rPr>
        <w:t xml:space="preserve">The </w:t>
      </w:r>
      <w:r w:rsidRPr="524ED70B">
        <w:rPr>
          <w:i/>
          <w:iCs/>
          <w:color w:val="000000" w:themeColor="text1"/>
          <w:szCs w:val="24"/>
        </w:rPr>
        <w:t>Electronic Transactions Act 1999</w:t>
      </w:r>
      <w:r w:rsidRPr="524ED70B">
        <w:rPr>
          <w:color w:val="000000" w:themeColor="text1"/>
          <w:szCs w:val="24"/>
        </w:rPr>
        <w:t xml:space="preserve"> (the Electronic Transactions</w:t>
      </w:r>
      <w:r w:rsidRPr="524ED70B">
        <w:rPr>
          <w:i/>
          <w:iCs/>
          <w:color w:val="000000" w:themeColor="text1"/>
          <w:szCs w:val="24"/>
        </w:rPr>
        <w:t xml:space="preserve"> </w:t>
      </w:r>
      <w:r w:rsidRPr="524ED70B">
        <w:rPr>
          <w:color w:val="000000" w:themeColor="text1"/>
          <w:szCs w:val="24"/>
        </w:rPr>
        <w:t>Act)</w:t>
      </w:r>
      <w:r w:rsidRPr="524ED70B">
        <w:rPr>
          <w:i/>
          <w:iCs/>
          <w:color w:val="000000" w:themeColor="text1"/>
          <w:szCs w:val="24"/>
        </w:rPr>
        <w:t xml:space="preserve"> </w:t>
      </w:r>
      <w:r w:rsidRPr="524ED70B">
        <w:rPr>
          <w:color w:val="000000" w:themeColor="text1"/>
          <w:szCs w:val="24"/>
        </w:rPr>
        <w:t xml:space="preserve">provides a regulatory framework for that facilitates the use of electronic transactions.   </w:t>
      </w:r>
    </w:p>
    <w:p w14:paraId="4DF0D72F" w14:textId="2E1E7836" w:rsidR="00CD622A" w:rsidRDefault="707B9B41" w:rsidP="00CD622A">
      <w:pPr>
        <w:rPr>
          <w:szCs w:val="24"/>
        </w:rPr>
      </w:pPr>
      <w:r w:rsidRPr="524ED70B">
        <w:rPr>
          <w:color w:val="000000" w:themeColor="text1"/>
          <w:szCs w:val="24"/>
        </w:rPr>
        <w:t>Section 16 of the Electronic Transactions</w:t>
      </w:r>
      <w:r w:rsidRPr="524ED70B">
        <w:rPr>
          <w:i/>
          <w:iCs/>
          <w:color w:val="000000" w:themeColor="text1"/>
          <w:szCs w:val="24"/>
        </w:rPr>
        <w:t xml:space="preserve"> </w:t>
      </w:r>
      <w:r w:rsidRPr="524ED70B">
        <w:rPr>
          <w:color w:val="000000" w:themeColor="text1"/>
          <w:szCs w:val="24"/>
        </w:rPr>
        <w:t>Act provides that the Governor-General may make regulations prescribing all matters required or permitted to be prescribed or necessary or convenient to be prescribed for carrying out or giving effect to the Electronic Transactions</w:t>
      </w:r>
      <w:r w:rsidRPr="524ED70B">
        <w:rPr>
          <w:i/>
          <w:iCs/>
          <w:color w:val="000000" w:themeColor="text1"/>
          <w:szCs w:val="24"/>
        </w:rPr>
        <w:t xml:space="preserve"> </w:t>
      </w:r>
      <w:r w:rsidRPr="524ED70B">
        <w:rPr>
          <w:color w:val="000000" w:themeColor="text1"/>
          <w:szCs w:val="24"/>
        </w:rPr>
        <w:t>Act.</w:t>
      </w:r>
      <w:r w:rsidR="008D4074">
        <w:rPr>
          <w:color w:val="000000" w:themeColor="text1"/>
          <w:szCs w:val="24"/>
        </w:rPr>
        <w:t xml:space="preserve"> Section 7A of the Electronic Transactions Act </w:t>
      </w:r>
      <w:r w:rsidR="00F04D05">
        <w:t xml:space="preserve">allows the Governor-General to make regulations </w:t>
      </w:r>
      <w:r w:rsidR="00F366B6">
        <w:t xml:space="preserve">prescribing that all or </w:t>
      </w:r>
      <w:r w:rsidR="004E7951">
        <w:t xml:space="preserve">specified provisions of the Electronic Transactions </w:t>
      </w:r>
      <w:r w:rsidR="00805499">
        <w:t>A</w:t>
      </w:r>
      <w:r w:rsidR="004E7951">
        <w:t>ct</w:t>
      </w:r>
      <w:r w:rsidR="00805499">
        <w:t xml:space="preserve"> do not apply </w:t>
      </w:r>
      <w:r w:rsidR="00D062A7">
        <w:t xml:space="preserve">to specified laws of the Commonwealth. </w:t>
      </w:r>
      <w:r w:rsidR="004E7951">
        <w:t xml:space="preserve"> </w:t>
      </w:r>
      <w:r w:rsidR="00CD622A" w:rsidRPr="00E14A6A">
        <w:rPr>
          <w:szCs w:val="24"/>
        </w:rPr>
        <w:t xml:space="preserve">The </w:t>
      </w:r>
      <w:r w:rsidR="00CD622A" w:rsidRPr="00AE69CF">
        <w:rPr>
          <w:i/>
          <w:iCs/>
          <w:szCs w:val="24"/>
        </w:rPr>
        <w:t>Treasury Laws Amendment (Your Future, Your Super) Act 2021</w:t>
      </w:r>
      <w:r w:rsidR="00CD622A" w:rsidRPr="00E14A6A">
        <w:rPr>
          <w:szCs w:val="24"/>
        </w:rPr>
        <w:t xml:space="preserve"> (the YFYS Act) </w:t>
      </w:r>
      <w:r w:rsidR="00CD622A">
        <w:rPr>
          <w:szCs w:val="24"/>
        </w:rPr>
        <w:t>introduced an</w:t>
      </w:r>
      <w:r w:rsidR="00CD622A" w:rsidRPr="00E14A6A">
        <w:rPr>
          <w:szCs w:val="24"/>
        </w:rPr>
        <w:t xml:space="preserve"> annual performance test for </w:t>
      </w:r>
      <w:r w:rsidR="00CD622A">
        <w:rPr>
          <w:szCs w:val="24"/>
        </w:rPr>
        <w:t>‘Part 6A products’, which include MySuper products and other products as specified in regulations</w:t>
      </w:r>
      <w:r w:rsidR="00CD622A" w:rsidRPr="00E14A6A">
        <w:rPr>
          <w:szCs w:val="24"/>
        </w:rPr>
        <w:t xml:space="preserve">. </w:t>
      </w:r>
      <w:r w:rsidR="00CD622A">
        <w:rPr>
          <w:szCs w:val="24"/>
        </w:rPr>
        <w:t xml:space="preserve">The YFYS Act </w:t>
      </w:r>
      <w:r w:rsidR="00CD622A" w:rsidRPr="00E14A6A">
        <w:rPr>
          <w:szCs w:val="24"/>
        </w:rPr>
        <w:t xml:space="preserve">came into effect on 1 July 2021, with supporting regulations made on 5 August 2021. </w:t>
      </w:r>
      <w:r w:rsidR="00CD622A">
        <w:rPr>
          <w:szCs w:val="24"/>
        </w:rPr>
        <w:t xml:space="preserve">The performance test applied in relation to MySuper products on and after 1 July 2021 and will apply in relation to trustee-directed products on and after 1 July 2023. </w:t>
      </w:r>
    </w:p>
    <w:p w14:paraId="1A65D147" w14:textId="5D6880BD" w:rsidR="000B1F03" w:rsidRDefault="00FF30A0" w:rsidP="001E599D">
      <w:pPr>
        <w:rPr>
          <w:color w:val="000000"/>
          <w:shd w:val="clear" w:color="auto" w:fill="FFFFFF"/>
        </w:rPr>
      </w:pPr>
      <w:r w:rsidRPr="00E14A6A">
        <w:rPr>
          <w:szCs w:val="24"/>
        </w:rPr>
        <w:t>Th</w:t>
      </w:r>
      <w:r w:rsidR="00406D1F">
        <w:rPr>
          <w:szCs w:val="24"/>
        </w:rPr>
        <w:t>e purpose of</w:t>
      </w:r>
      <w:r w:rsidR="00C90E38">
        <w:t xml:space="preserve"> </w:t>
      </w:r>
      <w:r w:rsidR="00C90E38" w:rsidRPr="00C90E38">
        <w:rPr>
          <w:i/>
          <w:iCs/>
        </w:rPr>
        <w:t>Superannuation Industry (Supervision) Amendment (Your Future, Your Super—Addressing Underperformance in Superannuation) Regulations 202</w:t>
      </w:r>
      <w:r w:rsidR="002C40BF">
        <w:rPr>
          <w:i/>
          <w:iCs/>
        </w:rPr>
        <w:t>3</w:t>
      </w:r>
      <w:r w:rsidR="00C90E38" w:rsidRPr="00C90E38">
        <w:t xml:space="preserve"> </w:t>
      </w:r>
      <w:r w:rsidR="00406D1F">
        <w:rPr>
          <w:szCs w:val="24"/>
        </w:rPr>
        <w:t>(the Regulations)</w:t>
      </w:r>
      <w:r w:rsidRPr="00E14A6A">
        <w:rPr>
          <w:szCs w:val="24"/>
        </w:rPr>
        <w:t xml:space="preserve"> </w:t>
      </w:r>
      <w:r w:rsidR="00406D1F">
        <w:rPr>
          <w:szCs w:val="24"/>
        </w:rPr>
        <w:t xml:space="preserve">is to </w:t>
      </w:r>
      <w:r w:rsidR="00397FD7">
        <w:rPr>
          <w:color w:val="000000"/>
          <w:shd w:val="clear" w:color="auto" w:fill="FFFFFF"/>
        </w:rPr>
        <w:t>amend the S</w:t>
      </w:r>
      <w:r w:rsidR="00397FD7" w:rsidRPr="00397FD7">
        <w:rPr>
          <w:i/>
          <w:iCs/>
          <w:color w:val="000000"/>
          <w:shd w:val="clear" w:color="auto" w:fill="FFFFFF"/>
        </w:rPr>
        <w:t xml:space="preserve">uperannuation Industry (Supervision) Regulations 1994 </w:t>
      </w:r>
      <w:r w:rsidR="00397FD7">
        <w:rPr>
          <w:color w:val="000000"/>
          <w:shd w:val="clear" w:color="auto" w:fill="FFFFFF"/>
        </w:rPr>
        <w:t>(the Principal Regulations)</w:t>
      </w:r>
      <w:r w:rsidR="00871900">
        <w:rPr>
          <w:color w:val="000000"/>
          <w:shd w:val="clear" w:color="auto" w:fill="FFFFFF"/>
        </w:rPr>
        <w:t xml:space="preserve"> to support the </w:t>
      </w:r>
      <w:r w:rsidR="00236F53">
        <w:rPr>
          <w:color w:val="000000"/>
          <w:shd w:val="clear" w:color="auto" w:fill="FFFFFF"/>
        </w:rPr>
        <w:t xml:space="preserve">improved implementation of the </w:t>
      </w:r>
      <w:r w:rsidR="00ED71AB">
        <w:rPr>
          <w:color w:val="000000"/>
          <w:shd w:val="clear" w:color="auto" w:fill="FFFFFF"/>
        </w:rPr>
        <w:t>annual performance test</w:t>
      </w:r>
      <w:r w:rsidR="00A76651">
        <w:rPr>
          <w:color w:val="000000"/>
          <w:shd w:val="clear" w:color="auto" w:fill="FFFFFF"/>
        </w:rPr>
        <w:t xml:space="preserve">. The amendments </w:t>
      </w:r>
      <w:r w:rsidR="00B8733A">
        <w:rPr>
          <w:color w:val="000000"/>
          <w:shd w:val="clear" w:color="auto" w:fill="FFFFFF"/>
        </w:rPr>
        <w:t xml:space="preserve">address </w:t>
      </w:r>
      <w:r w:rsidR="00875E00">
        <w:rPr>
          <w:color w:val="000000"/>
          <w:shd w:val="clear" w:color="auto" w:fill="FFFFFF"/>
        </w:rPr>
        <w:t>issues raised in Treasury’s review of</w:t>
      </w:r>
      <w:r w:rsidR="0036748A">
        <w:rPr>
          <w:color w:val="000000"/>
          <w:shd w:val="clear" w:color="auto" w:fill="FFFFFF"/>
        </w:rPr>
        <w:t xml:space="preserve"> Your Future, Your Super </w:t>
      </w:r>
      <w:r w:rsidR="00875E00">
        <w:rPr>
          <w:color w:val="000000"/>
          <w:shd w:val="clear" w:color="auto" w:fill="FFFFFF"/>
        </w:rPr>
        <w:t>laws</w:t>
      </w:r>
      <w:r w:rsidR="004372B6">
        <w:rPr>
          <w:color w:val="000000"/>
          <w:shd w:val="clear" w:color="auto" w:fill="FFFFFF"/>
        </w:rPr>
        <w:t>. The Regulations</w:t>
      </w:r>
      <w:r w:rsidR="000B1F03">
        <w:rPr>
          <w:color w:val="000000"/>
          <w:shd w:val="clear" w:color="auto" w:fill="FFFFFF"/>
        </w:rPr>
        <w:t>:</w:t>
      </w:r>
      <w:r w:rsidR="009A3413">
        <w:rPr>
          <w:color w:val="000000"/>
          <w:shd w:val="clear" w:color="auto" w:fill="FFFFFF"/>
        </w:rPr>
        <w:t xml:space="preserve"> </w:t>
      </w:r>
    </w:p>
    <w:p w14:paraId="684D945B" w14:textId="082741EF" w:rsidR="00C30890" w:rsidRDefault="00F277DF" w:rsidP="000B1F03">
      <w:pPr>
        <w:pStyle w:val="Bullet"/>
        <w:rPr>
          <w:shd w:val="clear" w:color="auto" w:fill="FFFFFF"/>
        </w:rPr>
      </w:pPr>
      <w:r>
        <w:rPr>
          <w:shd w:val="clear" w:color="auto" w:fill="FFFFFF"/>
        </w:rPr>
        <w:t>amend</w:t>
      </w:r>
      <w:r w:rsidR="008D5F6B">
        <w:rPr>
          <w:shd w:val="clear" w:color="auto" w:fill="FFFFFF"/>
        </w:rPr>
        <w:t xml:space="preserve"> </w:t>
      </w:r>
      <w:r w:rsidR="0036748A">
        <w:rPr>
          <w:shd w:val="clear" w:color="auto" w:fill="FFFFFF"/>
        </w:rPr>
        <w:t>the testing period, benchmarks and notification letter</w:t>
      </w:r>
      <w:r w:rsidR="00D033F9">
        <w:rPr>
          <w:shd w:val="clear" w:color="auto" w:fill="FFFFFF"/>
        </w:rPr>
        <w:t xml:space="preserve"> that form part of the annual performance test requirements</w:t>
      </w:r>
      <w:r w:rsidR="002F0824">
        <w:rPr>
          <w:shd w:val="clear" w:color="auto" w:fill="FFFFFF"/>
        </w:rPr>
        <w:t xml:space="preserve">. </w:t>
      </w:r>
    </w:p>
    <w:p w14:paraId="6026F17E" w14:textId="7F012EF6" w:rsidR="00941225" w:rsidRDefault="004133E7" w:rsidP="000B1F03">
      <w:pPr>
        <w:pStyle w:val="Bullet"/>
        <w:rPr>
          <w:shd w:val="clear" w:color="auto" w:fill="FFFFFF"/>
        </w:rPr>
      </w:pPr>
      <w:r>
        <w:rPr>
          <w:shd w:val="clear" w:color="auto" w:fill="FFFFFF"/>
        </w:rPr>
        <w:t>a</w:t>
      </w:r>
      <w:r w:rsidR="00D07E91">
        <w:rPr>
          <w:shd w:val="clear" w:color="auto" w:fill="FFFFFF"/>
        </w:rPr>
        <w:t xml:space="preserve">mend </w:t>
      </w:r>
      <w:r>
        <w:rPr>
          <w:shd w:val="clear" w:color="auto" w:fill="FFFFFF"/>
        </w:rPr>
        <w:t>the operation of the test for trustee-direct products, so that platform products are tested separately to non-platform products, and on a gross-of-taxation basis.</w:t>
      </w:r>
    </w:p>
    <w:p w14:paraId="31A0585E" w14:textId="66087082" w:rsidR="00C30890" w:rsidRDefault="00C30890" w:rsidP="000B1F03">
      <w:pPr>
        <w:pStyle w:val="Bullet"/>
        <w:rPr>
          <w:shd w:val="clear" w:color="auto" w:fill="FFFFFF"/>
        </w:rPr>
      </w:pPr>
      <w:r>
        <w:rPr>
          <w:shd w:val="clear" w:color="auto" w:fill="FFFFFF"/>
        </w:rPr>
        <w:lastRenderedPageBreak/>
        <w:t xml:space="preserve">make </w:t>
      </w:r>
      <w:r w:rsidR="00545E28">
        <w:rPr>
          <w:shd w:val="clear" w:color="auto" w:fill="FFFFFF"/>
        </w:rPr>
        <w:t xml:space="preserve">minor technical updates to </w:t>
      </w:r>
      <w:r w:rsidR="00243963">
        <w:rPr>
          <w:shd w:val="clear" w:color="auto" w:fill="FFFFFF"/>
        </w:rPr>
        <w:t>improve accuracy and clarity</w:t>
      </w:r>
      <w:r w:rsidR="00A419C6">
        <w:rPr>
          <w:shd w:val="clear" w:color="auto" w:fill="FFFFFF"/>
        </w:rPr>
        <w:t xml:space="preserve"> for the annual performance test</w:t>
      </w:r>
      <w:r w:rsidR="00243963">
        <w:rPr>
          <w:shd w:val="clear" w:color="auto" w:fill="FFFFFF"/>
        </w:rPr>
        <w:t>, reduce the administrative burden for APRA and ensure th</w:t>
      </w:r>
      <w:r w:rsidR="00500745">
        <w:rPr>
          <w:shd w:val="clear" w:color="auto" w:fill="FFFFFF"/>
        </w:rPr>
        <w:t xml:space="preserve">e </w:t>
      </w:r>
      <w:r w:rsidR="00243963">
        <w:rPr>
          <w:shd w:val="clear" w:color="auto" w:fill="FFFFFF"/>
        </w:rPr>
        <w:t xml:space="preserve">test </w:t>
      </w:r>
      <w:r w:rsidR="00500745">
        <w:rPr>
          <w:shd w:val="clear" w:color="auto" w:fill="FFFFFF"/>
        </w:rPr>
        <w:t>is fit for purpose when it is extended to trustee directed products.</w:t>
      </w:r>
    </w:p>
    <w:p w14:paraId="66639B17" w14:textId="14ACCA08" w:rsidR="001C3F3E" w:rsidRDefault="00B8000D" w:rsidP="008B6974">
      <w:pPr>
        <w:pStyle w:val="Bullet"/>
        <w:rPr>
          <w:shd w:val="clear" w:color="auto" w:fill="FFFFFF"/>
        </w:rPr>
      </w:pPr>
      <w:r>
        <w:t xml:space="preserve">make </w:t>
      </w:r>
      <w:r w:rsidR="001150BE">
        <w:t>minor and technical amendments</w:t>
      </w:r>
      <w:r w:rsidR="00DC4804">
        <w:t xml:space="preserve"> to</w:t>
      </w:r>
      <w:r w:rsidR="00317B49">
        <w:rPr>
          <w:shd w:val="clear" w:color="auto" w:fill="FFFFFF"/>
        </w:rPr>
        <w:t xml:space="preserve"> the </w:t>
      </w:r>
      <w:r w:rsidR="00236B99">
        <w:rPr>
          <w:shd w:val="clear" w:color="auto" w:fill="FFFFFF"/>
        </w:rPr>
        <w:t xml:space="preserve">Your Super </w:t>
      </w:r>
      <w:r w:rsidR="00647536">
        <w:rPr>
          <w:shd w:val="clear" w:color="auto" w:fill="FFFFFF"/>
        </w:rPr>
        <w:t>c</w:t>
      </w:r>
      <w:r w:rsidR="00317B49">
        <w:rPr>
          <w:shd w:val="clear" w:color="auto" w:fill="FFFFFF"/>
        </w:rPr>
        <w:t xml:space="preserve">omparison </w:t>
      </w:r>
      <w:r w:rsidR="00647536">
        <w:rPr>
          <w:shd w:val="clear" w:color="auto" w:fill="FFFFFF"/>
        </w:rPr>
        <w:t>t</w:t>
      </w:r>
      <w:r w:rsidR="00317B49">
        <w:rPr>
          <w:shd w:val="clear" w:color="auto" w:fill="FFFFFF"/>
        </w:rPr>
        <w:t xml:space="preserve">ool </w:t>
      </w:r>
      <w:r w:rsidR="001E7930">
        <w:rPr>
          <w:shd w:val="clear" w:color="auto" w:fill="FFFFFF"/>
        </w:rPr>
        <w:t xml:space="preserve">to ensure that the </w:t>
      </w:r>
      <w:r w:rsidR="00236B99">
        <w:rPr>
          <w:shd w:val="clear" w:color="auto" w:fill="FFFFFF"/>
        </w:rPr>
        <w:t>tool reflects</w:t>
      </w:r>
      <w:r w:rsidR="009D31F9">
        <w:rPr>
          <w:shd w:val="clear" w:color="auto" w:fill="FFFFFF"/>
        </w:rPr>
        <w:t xml:space="preserve"> </w:t>
      </w:r>
      <w:r w:rsidR="103A4755">
        <w:rPr>
          <w:shd w:val="clear" w:color="auto" w:fill="FFFFFF"/>
        </w:rPr>
        <w:t>updated reporting standards</w:t>
      </w:r>
      <w:r w:rsidR="00390549">
        <w:rPr>
          <w:shd w:val="clear" w:color="auto" w:fill="FFFFFF"/>
        </w:rPr>
        <w:t xml:space="preserve">. </w:t>
      </w:r>
      <w:r w:rsidR="00236B99">
        <w:rPr>
          <w:shd w:val="clear" w:color="auto" w:fill="FFFFFF"/>
        </w:rPr>
        <w:t xml:space="preserve"> </w:t>
      </w:r>
    </w:p>
    <w:p w14:paraId="76CB5820" w14:textId="4F016305" w:rsidR="00995E20" w:rsidRPr="00C35CC9" w:rsidRDefault="00012E22">
      <w:pPr>
        <w:pStyle w:val="Bullet"/>
        <w:numPr>
          <w:ilvl w:val="0"/>
          <w:numId w:val="0"/>
        </w:numPr>
        <w:rPr>
          <w:color w:val="000000" w:themeColor="text1"/>
        </w:rPr>
      </w:pPr>
      <w:r w:rsidRPr="00C35CC9">
        <w:rPr>
          <w:color w:val="000000" w:themeColor="text1"/>
        </w:rPr>
        <w:t xml:space="preserve">The Regulations also </w:t>
      </w:r>
      <w:r w:rsidR="007729FC" w:rsidRPr="00C35CC9">
        <w:rPr>
          <w:color w:val="000000" w:themeColor="text1"/>
        </w:rPr>
        <w:t>amend</w:t>
      </w:r>
      <w:r w:rsidR="00995E20" w:rsidRPr="00C35CC9">
        <w:rPr>
          <w:color w:val="000000" w:themeColor="text1"/>
        </w:rPr>
        <w:t xml:space="preserve"> the </w:t>
      </w:r>
      <w:r w:rsidR="007729FC" w:rsidRPr="00C35CC9">
        <w:rPr>
          <w:i/>
          <w:iCs/>
          <w:color w:val="000000" w:themeColor="text1"/>
        </w:rPr>
        <w:t>Electronic Transactions Regulations 2020</w:t>
      </w:r>
      <w:r w:rsidR="007729FC" w:rsidRPr="00C35CC9">
        <w:rPr>
          <w:color w:val="000000" w:themeColor="text1"/>
        </w:rPr>
        <w:t xml:space="preserve"> </w:t>
      </w:r>
      <w:r w:rsidR="00AB3534" w:rsidRPr="00C35CC9">
        <w:rPr>
          <w:color w:val="000000" w:themeColor="text1"/>
        </w:rPr>
        <w:t xml:space="preserve">to allow APRA to </w:t>
      </w:r>
      <w:r w:rsidR="00025B22" w:rsidRPr="00C35CC9">
        <w:rPr>
          <w:color w:val="000000" w:themeColor="text1"/>
        </w:rPr>
        <w:t xml:space="preserve">give notifications </w:t>
      </w:r>
      <w:r w:rsidR="00B636B4" w:rsidRPr="00C35CC9">
        <w:rPr>
          <w:color w:val="000000" w:themeColor="text1"/>
        </w:rPr>
        <w:t xml:space="preserve">in relation to the performance test </w:t>
      </w:r>
      <w:r w:rsidR="00025B22" w:rsidRPr="00C35CC9">
        <w:rPr>
          <w:color w:val="000000" w:themeColor="text1"/>
        </w:rPr>
        <w:t xml:space="preserve">to </w:t>
      </w:r>
      <w:r w:rsidR="00A80EFC" w:rsidRPr="00C35CC9">
        <w:rPr>
          <w:color w:val="000000" w:themeColor="text1"/>
        </w:rPr>
        <w:t>trustees</w:t>
      </w:r>
      <w:r w:rsidR="00025B22" w:rsidRPr="00C35CC9">
        <w:rPr>
          <w:color w:val="000000" w:themeColor="text1"/>
        </w:rPr>
        <w:t xml:space="preserve"> by means of electronic communication. </w:t>
      </w:r>
    </w:p>
    <w:p w14:paraId="2A9B7EF6" w14:textId="7DFDD439" w:rsidR="00D1486B" w:rsidRDefault="00D1486B" w:rsidP="005E6FCA">
      <w:pPr>
        <w:pStyle w:val="Bullet"/>
        <w:numPr>
          <w:ilvl w:val="0"/>
          <w:numId w:val="0"/>
        </w:numPr>
      </w:pPr>
      <w:r>
        <w:rPr>
          <w:color w:val="000000" w:themeColor="text1"/>
        </w:rPr>
        <w:t>The amendments apply o</w:t>
      </w:r>
      <w:r>
        <w:t>n and after 1 July 2023.</w:t>
      </w:r>
    </w:p>
    <w:p w14:paraId="55A551C7" w14:textId="1252963B" w:rsidR="005E6FCA" w:rsidRPr="00CE2F36" w:rsidRDefault="005E6FCA" w:rsidP="005E6FCA">
      <w:pPr>
        <w:pStyle w:val="Bullet"/>
        <w:numPr>
          <w:ilvl w:val="0"/>
          <w:numId w:val="0"/>
        </w:numPr>
      </w:pPr>
      <w:r>
        <w:t xml:space="preserve">The </w:t>
      </w:r>
      <w:r w:rsidR="006E4EF9">
        <w:t xml:space="preserve">SIS </w:t>
      </w:r>
      <w:r>
        <w:t>Act</w:t>
      </w:r>
      <w:r w:rsidR="006E4EF9">
        <w:t xml:space="preserve"> and Electronic Transactions Act</w:t>
      </w:r>
      <w:r>
        <w:t xml:space="preserve"> do not specify any conditions that need to be satisfied before the power to make the Regulations may be exercised. </w:t>
      </w:r>
    </w:p>
    <w:p w14:paraId="26C64214" w14:textId="77777777" w:rsidR="003777E6" w:rsidRDefault="00F31486" w:rsidP="00F31486">
      <w:pPr>
        <w:spacing w:before="240"/>
      </w:pPr>
      <w:r>
        <w:t xml:space="preserve">The Regulations are a legislative instrument for the purposes of the </w:t>
      </w:r>
      <w:r>
        <w:rPr>
          <w:i/>
        </w:rPr>
        <w:t>Legislation Act 2003</w:t>
      </w:r>
      <w:r>
        <w:t>.</w:t>
      </w:r>
      <w:r w:rsidR="003777E6">
        <w:t xml:space="preserve"> </w:t>
      </w:r>
    </w:p>
    <w:p w14:paraId="21CA551A" w14:textId="1D7A3BC2" w:rsidR="00625F28" w:rsidRDefault="00625F28" w:rsidP="00625F28">
      <w:pPr>
        <w:rPr>
          <w:sz w:val="22"/>
        </w:rPr>
      </w:pPr>
      <w:r>
        <w:t xml:space="preserve">The </w:t>
      </w:r>
      <w:r w:rsidRPr="00687F15">
        <w:t>Principal Regulations</w:t>
      </w:r>
      <w:r>
        <w:t xml:space="preserve"> are exempt from sunsetting due to the operation of item 59A of the table in regulation 12 of the </w:t>
      </w:r>
      <w:r>
        <w:rPr>
          <w:i/>
          <w:iCs/>
        </w:rPr>
        <w:t>Legislation (Exemptions and Other Matters) Regulation 2015</w:t>
      </w:r>
      <w:r>
        <w:t xml:space="preserve"> (LEOM Regulation). Given that the Regulations make consequential amendments to the Principal Regulations, the justifications that support their exemptions from sunsetting apply equally to the Regulations. As these Regulations solely consist of consequential amendments, the Regulations are further subject to the automatic repeal process under section 48A of the </w:t>
      </w:r>
      <w:r>
        <w:rPr>
          <w:i/>
          <w:iCs/>
        </w:rPr>
        <w:t>Legislation Act 2003</w:t>
      </w:r>
      <w:r>
        <w:t>. Once repealed, the sunsetting regime no longer applies.</w:t>
      </w:r>
    </w:p>
    <w:p w14:paraId="1C6A489A" w14:textId="20AF8AFA" w:rsidR="00F31486" w:rsidRDefault="00F31486" w:rsidP="00F31486">
      <w:pPr>
        <w:spacing w:before="240"/>
      </w:pPr>
      <w:r>
        <w:t>The Regulations commenced on the day after they were registered on the Federal Register of Legislation.</w:t>
      </w:r>
    </w:p>
    <w:p w14:paraId="7C61F093" w14:textId="77777777" w:rsidR="00845340" w:rsidRPr="00E14A6A" w:rsidRDefault="00845340" w:rsidP="00845340">
      <w:pPr>
        <w:spacing w:before="240"/>
        <w:rPr>
          <w:szCs w:val="24"/>
        </w:rPr>
      </w:pPr>
      <w:r>
        <w:rPr>
          <w:szCs w:val="24"/>
        </w:rPr>
        <w:t>Details</w:t>
      </w:r>
      <w:r w:rsidRPr="001A6CB0">
        <w:rPr>
          <w:szCs w:val="24"/>
        </w:rPr>
        <w:t xml:space="preserve"> of the Regulations are set out in </w:t>
      </w:r>
      <w:r w:rsidRPr="001A6CB0">
        <w:rPr>
          <w:szCs w:val="24"/>
          <w:u w:val="single"/>
        </w:rPr>
        <w:t>Attachment A.</w:t>
      </w:r>
    </w:p>
    <w:p w14:paraId="4D99EBA6" w14:textId="77777777" w:rsidR="00AC7C29" w:rsidRDefault="00AC7C29" w:rsidP="00AC7C29">
      <w:pPr>
        <w:spacing w:before="240"/>
      </w:pPr>
      <w:r w:rsidRPr="0ACC7026">
        <w:rPr>
          <w:color w:val="000000" w:themeColor="text1"/>
        </w:rPr>
        <w:t>A statement of Compatibility with Human Rights is at </w:t>
      </w:r>
      <w:r w:rsidRPr="0ACC7026">
        <w:rPr>
          <w:color w:val="000000" w:themeColor="text1"/>
          <w:u w:val="single"/>
        </w:rPr>
        <w:t>Attachment B</w:t>
      </w:r>
      <w:r w:rsidRPr="0ACC7026">
        <w:rPr>
          <w:color w:val="000000" w:themeColor="text1"/>
        </w:rPr>
        <w:t>.</w:t>
      </w:r>
    </w:p>
    <w:p w14:paraId="6B720ECF" w14:textId="200C92A7" w:rsidR="009B39CB" w:rsidRDefault="009B39CB" w:rsidP="009B39CB">
      <w:pPr>
        <w:spacing w:before="240"/>
      </w:pPr>
      <w:r>
        <w:t>The Office of Impact Analysis has been (OIA) has been consulted (</w:t>
      </w:r>
      <w:r w:rsidR="001830FE">
        <w:t>OBPR22-03464</w:t>
      </w:r>
      <w:r w:rsidR="00915972">
        <w:t xml:space="preserve">) </w:t>
      </w:r>
      <w:r w:rsidR="009E3E5E">
        <w:t>and</w:t>
      </w:r>
      <w:r>
        <w:t xml:space="preserve"> agreed that</w:t>
      </w:r>
      <w:r w:rsidR="009E3E5E">
        <w:t xml:space="preserve"> the proposal is unlikely to have a more than minor regulatory impact, as changes are minor, provide further options or </w:t>
      </w:r>
      <w:r w:rsidR="3242FBBB">
        <w:t xml:space="preserve">are </w:t>
      </w:r>
      <w:r w:rsidR="009E3E5E">
        <w:t>consequential. As such, the preparation of an Impact Analysis (IA) is not required</w:t>
      </w:r>
      <w:r w:rsidR="00B22D0F">
        <w:t xml:space="preserve">. </w:t>
      </w:r>
      <w:r>
        <w:t xml:space="preserve">  </w:t>
      </w:r>
    </w:p>
    <w:p w14:paraId="0FEA8E3C" w14:textId="0ED99E48" w:rsidR="00117E56" w:rsidDel="00AC7C29" w:rsidRDefault="00117E56" w:rsidP="009B39CB">
      <w:pPr>
        <w:spacing w:before="240"/>
      </w:pPr>
      <w:r w:rsidRPr="0ACC7026" w:rsidDel="00AC7C29">
        <w:rPr>
          <w:color w:val="000000" w:themeColor="text1"/>
        </w:rPr>
        <w:t>A statement of Compatibility with Human Rights is at </w:t>
      </w:r>
      <w:r w:rsidRPr="0ACC7026" w:rsidDel="00AC7C29">
        <w:rPr>
          <w:color w:val="000000" w:themeColor="text1"/>
          <w:u w:val="single"/>
        </w:rPr>
        <w:t>Attachment B</w:t>
      </w:r>
      <w:r w:rsidRPr="0ACC7026" w:rsidDel="00AC7C29">
        <w:rPr>
          <w:color w:val="000000" w:themeColor="text1"/>
        </w:rPr>
        <w:t>.</w:t>
      </w:r>
    </w:p>
    <w:p w14:paraId="7EE9E43C" w14:textId="6FBBFBFC" w:rsidR="00EA4DD8" w:rsidRDefault="00EA4DD8" w:rsidP="001E599D">
      <w:pPr>
        <w:pageBreakBefore/>
        <w:spacing w:before="240"/>
        <w:ind w:left="5760"/>
        <w:jc w:val="center"/>
        <w:rPr>
          <w:b/>
          <w:u w:val="single"/>
        </w:rPr>
      </w:pPr>
      <w:r w:rsidRPr="001E599D">
        <w:rPr>
          <w:b/>
          <w:u w:val="single"/>
        </w:rPr>
        <w:lastRenderedPageBreak/>
        <w:t>ATTACHMENT</w:t>
      </w:r>
      <w:r w:rsidR="008D3249" w:rsidRPr="001E599D">
        <w:rPr>
          <w:b/>
          <w:u w:val="single"/>
        </w:rPr>
        <w:t xml:space="preserve"> A</w:t>
      </w:r>
    </w:p>
    <w:p w14:paraId="6DE5DF2F" w14:textId="0763033D" w:rsidR="00EA4DD8" w:rsidRPr="00AD0D09" w:rsidRDefault="00EA4DD8" w:rsidP="001E599D">
      <w:pPr>
        <w:spacing w:before="240"/>
        <w:ind w:right="91"/>
        <w:rPr>
          <w:b/>
          <w:bCs/>
          <w:szCs w:val="24"/>
          <w:u w:val="single"/>
        </w:rPr>
      </w:pPr>
      <w:r w:rsidRPr="00AD0D09">
        <w:rPr>
          <w:b/>
          <w:bCs/>
          <w:u w:val="single"/>
        </w:rPr>
        <w:t xml:space="preserve">Details of the </w:t>
      </w:r>
      <w:r w:rsidR="001725E0">
        <w:rPr>
          <w:b/>
          <w:bCs/>
          <w:i/>
          <w:iCs/>
          <w:u w:val="single"/>
        </w:rPr>
        <w:t>Superannuation</w:t>
      </w:r>
      <w:r w:rsidR="001E599D" w:rsidRPr="001E599D">
        <w:rPr>
          <w:b/>
          <w:bCs/>
          <w:i/>
          <w:iCs/>
          <w:u w:val="single"/>
        </w:rPr>
        <w:t xml:space="preserve"> </w:t>
      </w:r>
      <w:r w:rsidR="001725E0">
        <w:rPr>
          <w:b/>
          <w:bCs/>
          <w:i/>
          <w:iCs/>
          <w:u w:val="single"/>
        </w:rPr>
        <w:t>Industry (Supervision)</w:t>
      </w:r>
      <w:r w:rsidR="001E599D" w:rsidRPr="001E599D">
        <w:rPr>
          <w:b/>
          <w:bCs/>
          <w:i/>
          <w:iCs/>
          <w:u w:val="single"/>
        </w:rPr>
        <w:t xml:space="preserve"> Amendment (Your Future, Your Super—Addressing Underperformance in Superannuation) Regulations</w:t>
      </w:r>
      <w:r w:rsidR="00534CAE">
        <w:rPr>
          <w:b/>
          <w:bCs/>
          <w:i/>
          <w:iCs/>
          <w:u w:val="single"/>
        </w:rPr>
        <w:t xml:space="preserve"> </w:t>
      </w:r>
      <w:r w:rsidR="001C632A" w:rsidRPr="001E599D">
        <w:rPr>
          <w:b/>
          <w:bCs/>
          <w:i/>
          <w:iCs/>
          <w:u w:val="single"/>
        </w:rPr>
        <w:t>202</w:t>
      </w:r>
      <w:r w:rsidR="001C632A">
        <w:rPr>
          <w:b/>
          <w:bCs/>
          <w:i/>
          <w:iCs/>
          <w:u w:val="single"/>
        </w:rPr>
        <w:t xml:space="preserve">3 </w:t>
      </w:r>
    </w:p>
    <w:p w14:paraId="26B004FD" w14:textId="77777777" w:rsidR="00EA4DD8" w:rsidRDefault="00EA4DD8" w:rsidP="001E599D">
      <w:pPr>
        <w:spacing w:before="240"/>
        <w:rPr>
          <w:rFonts w:ascii="Calibri" w:hAnsi="Calibri"/>
          <w:sz w:val="22"/>
          <w:szCs w:val="22"/>
          <w:u w:val="single"/>
          <w:lang w:eastAsia="en-US"/>
        </w:rPr>
      </w:pPr>
      <w:r>
        <w:rPr>
          <w:u w:val="single"/>
        </w:rPr>
        <w:t>Section 1 – Name of the Regulations</w:t>
      </w:r>
    </w:p>
    <w:p w14:paraId="1EF7AAA4" w14:textId="04B2408F" w:rsidR="00C1792A" w:rsidRDefault="00C1792A" w:rsidP="00C1792A">
      <w:r>
        <w:t xml:space="preserve">This section provides that the name of the Regulations is the </w:t>
      </w:r>
      <w:r>
        <w:rPr>
          <w:i/>
          <w:noProof/>
        </w:rPr>
        <w:t>Superannuation Industry (Supervision) Amendment (Your Future, Your Super—Addressing Underperformance in Superannuation) Regulations 2023</w:t>
      </w:r>
      <w:r w:rsidR="005C5464">
        <w:rPr>
          <w:i/>
          <w:noProof/>
        </w:rPr>
        <w:t xml:space="preserve"> </w:t>
      </w:r>
      <w:r w:rsidR="005C5464">
        <w:rPr>
          <w:iCs/>
          <w:noProof/>
        </w:rPr>
        <w:t>(the Regulations)</w:t>
      </w:r>
      <w:r>
        <w:t>.</w:t>
      </w:r>
    </w:p>
    <w:p w14:paraId="507AC30C" w14:textId="77777777" w:rsidR="00EA4DD8" w:rsidRDefault="00EA4DD8" w:rsidP="001E599D">
      <w:pPr>
        <w:spacing w:before="240"/>
        <w:rPr>
          <w:u w:val="single"/>
        </w:rPr>
      </w:pPr>
      <w:r>
        <w:rPr>
          <w:u w:val="single"/>
        </w:rPr>
        <w:t>Section 2 – Commencement</w:t>
      </w:r>
    </w:p>
    <w:p w14:paraId="10998BBD" w14:textId="44B9BC08" w:rsidR="00EA4DD8" w:rsidRDefault="00EA4DD8" w:rsidP="001E599D">
      <w:pPr>
        <w:spacing w:before="240"/>
        <w:ind w:right="91"/>
      </w:pPr>
      <w:r>
        <w:t>Schedule 1 to the Regulations commen</w:t>
      </w:r>
      <w:r w:rsidRPr="00F90D88">
        <w:t>ce</w:t>
      </w:r>
      <w:r w:rsidR="008075DF">
        <w:t>d</w:t>
      </w:r>
      <w:r w:rsidRPr="00F90D88">
        <w:t xml:space="preserve"> on the day after the instrument is registered</w:t>
      </w:r>
      <w:r w:rsidR="00CD6AE3">
        <w:t xml:space="preserve"> on the Federal Register of Legislation</w:t>
      </w:r>
      <w:r w:rsidRPr="00F90D88">
        <w:t>.</w:t>
      </w:r>
    </w:p>
    <w:p w14:paraId="6D92861C" w14:textId="77777777" w:rsidR="00EA4DD8" w:rsidRDefault="00EA4DD8" w:rsidP="001E599D">
      <w:pPr>
        <w:spacing w:before="240"/>
        <w:ind w:right="91"/>
        <w:rPr>
          <w:u w:val="single"/>
        </w:rPr>
      </w:pPr>
      <w:r>
        <w:rPr>
          <w:u w:val="single"/>
        </w:rPr>
        <w:t>Section 3 – Authority</w:t>
      </w:r>
    </w:p>
    <w:p w14:paraId="7FCAFEB8" w14:textId="41208C3F" w:rsidR="00E918E6" w:rsidRPr="00C90E38" w:rsidRDefault="00F90D88" w:rsidP="00C90E38">
      <w:pPr>
        <w:spacing w:before="240"/>
        <w:ind w:right="91"/>
      </w:pPr>
      <w:r>
        <w:t xml:space="preserve">The </w:t>
      </w:r>
      <w:r w:rsidR="00376D0D">
        <w:t xml:space="preserve">section states that the </w:t>
      </w:r>
      <w:r>
        <w:t xml:space="preserve">Regulations are made under the </w:t>
      </w:r>
      <w:r w:rsidR="008A6B96" w:rsidRPr="00247E13">
        <w:rPr>
          <w:i/>
          <w:iCs/>
        </w:rPr>
        <w:t>Electronic Transactions Act 1999</w:t>
      </w:r>
      <w:r w:rsidR="008A6B96">
        <w:rPr>
          <w:i/>
          <w:iCs/>
        </w:rPr>
        <w:t xml:space="preserve"> </w:t>
      </w:r>
      <w:r w:rsidR="008A6B96" w:rsidRPr="008A6B96">
        <w:t xml:space="preserve">and the </w:t>
      </w:r>
      <w:r w:rsidR="00E918E6" w:rsidRPr="00C90E38">
        <w:rPr>
          <w:i/>
        </w:rPr>
        <w:t>Superannuation Industry (Supervision) Act 1993</w:t>
      </w:r>
      <w:r w:rsidR="00CD6AE3" w:rsidRPr="000F6659">
        <w:t xml:space="preserve"> (the </w:t>
      </w:r>
      <w:r w:rsidR="008A6B96">
        <w:t xml:space="preserve">SIS </w:t>
      </w:r>
      <w:r w:rsidR="00CD6AE3" w:rsidRPr="000F6659">
        <w:t>Act)</w:t>
      </w:r>
      <w:r w:rsidR="00E918E6" w:rsidRPr="00C90E38">
        <w:t xml:space="preserve">. </w:t>
      </w:r>
    </w:p>
    <w:p w14:paraId="27DA4D02" w14:textId="0A121AA8" w:rsidR="00EA4DD8" w:rsidRPr="006F7C08" w:rsidRDefault="00EA4DD8" w:rsidP="001E599D">
      <w:pPr>
        <w:spacing w:before="240"/>
        <w:ind w:right="91"/>
        <w:rPr>
          <w:u w:val="single"/>
        </w:rPr>
      </w:pPr>
      <w:r w:rsidRPr="006F7C08">
        <w:rPr>
          <w:u w:val="single"/>
        </w:rPr>
        <w:t>Section 4 – Schedule</w:t>
      </w:r>
    </w:p>
    <w:p w14:paraId="7CC91FC9" w14:textId="6BC115CE" w:rsidR="00EA4DD8" w:rsidRDefault="00EA4DD8" w:rsidP="001E599D">
      <w:pPr>
        <w:spacing w:before="240" w:after="200"/>
        <w:ind w:right="91"/>
        <w:rPr>
          <w:u w:val="single"/>
        </w:rPr>
      </w:pPr>
      <w:r>
        <w:t xml:space="preserve">This section provides that each instrument that is specified in </w:t>
      </w:r>
      <w:r w:rsidR="00F6692F">
        <w:t>a</w:t>
      </w:r>
      <w:r>
        <w:t xml:space="preserve"> Schedule to this instrument </w:t>
      </w:r>
      <w:r w:rsidR="00A53F80">
        <w:t xml:space="preserve">is </w:t>
      </w:r>
      <w:r>
        <w:t>amended or repealed as set out in the applicable items in the Schedule</w:t>
      </w:r>
      <w:r w:rsidR="000138FB">
        <w:t xml:space="preserve"> concerned</w:t>
      </w:r>
      <w:r>
        <w:t>, and any other item in the Schedule to this instrument has effect according to its terms.</w:t>
      </w:r>
    </w:p>
    <w:p w14:paraId="41035B13" w14:textId="646D8198" w:rsidR="00EA4DD8" w:rsidRDefault="00EA4DD8" w:rsidP="001E599D">
      <w:pPr>
        <w:spacing w:before="0" w:after="0"/>
      </w:pPr>
      <w:r>
        <w:rPr>
          <w:u w:val="single"/>
        </w:rPr>
        <w:t>Schedule 1 – Amendments</w:t>
      </w:r>
      <w:r w:rsidR="000F6659">
        <w:rPr>
          <w:u w:val="single"/>
        </w:rPr>
        <w:t xml:space="preserve"> to </w:t>
      </w:r>
      <w:r w:rsidR="000F6659">
        <w:rPr>
          <w:i/>
          <w:iCs/>
          <w:color w:val="000000"/>
          <w:u w:val="single"/>
          <w:shd w:val="clear" w:color="auto" w:fill="FFFFFF"/>
        </w:rPr>
        <w:t>Superannuation Industry (</w:t>
      </w:r>
      <w:r w:rsidR="004504EC">
        <w:rPr>
          <w:i/>
          <w:iCs/>
          <w:color w:val="000000"/>
          <w:u w:val="single"/>
          <w:shd w:val="clear" w:color="auto" w:fill="FFFFFF"/>
        </w:rPr>
        <w:t>S</w:t>
      </w:r>
      <w:r w:rsidR="000F6659">
        <w:rPr>
          <w:i/>
          <w:iCs/>
          <w:color w:val="000000"/>
          <w:u w:val="single"/>
          <w:shd w:val="clear" w:color="auto" w:fill="FFFFFF"/>
        </w:rPr>
        <w:t xml:space="preserve">upervision) Regulations 1994 </w:t>
      </w:r>
      <w:r w:rsidR="000F6659">
        <w:rPr>
          <w:color w:val="000000"/>
          <w:u w:val="single"/>
          <w:shd w:val="clear" w:color="auto" w:fill="FFFFFF"/>
        </w:rPr>
        <w:t>(the Principal Regulations)</w:t>
      </w:r>
      <w:r>
        <w:rPr>
          <w:u w:val="single"/>
        </w:rPr>
        <w:t xml:space="preserve"> </w:t>
      </w:r>
      <w:r w:rsidR="00F67466">
        <w:rPr>
          <w:color w:val="FF0000"/>
          <w:u w:val="single"/>
        </w:rPr>
        <w:t xml:space="preserve"> </w:t>
      </w:r>
    </w:p>
    <w:p w14:paraId="40D41BAD" w14:textId="271C7C2F" w:rsidR="00A032F9" w:rsidRDefault="00A032F9" w:rsidP="001E599D">
      <w:pPr>
        <w:spacing w:before="0" w:after="0"/>
        <w:rPr>
          <w:b/>
          <w:kern w:val="28"/>
        </w:rPr>
      </w:pPr>
    </w:p>
    <w:p w14:paraId="49EE8F15" w14:textId="2FD23267" w:rsidR="00145CB2" w:rsidRDefault="00145CB2" w:rsidP="00145CB2">
      <w:pPr>
        <w:spacing w:before="0" w:after="0"/>
        <w:rPr>
          <w:b/>
          <w:bCs/>
          <w:i/>
          <w:iCs/>
          <w:color w:val="000000" w:themeColor="text1"/>
        </w:rPr>
      </w:pPr>
      <w:bookmarkStart w:id="0" w:name="_Hlk99374961"/>
      <w:r>
        <w:rPr>
          <w:b/>
          <w:bCs/>
          <w:i/>
          <w:iCs/>
          <w:color w:val="000000" w:themeColor="text1"/>
        </w:rPr>
        <w:t xml:space="preserve">Items </w:t>
      </w:r>
      <w:r w:rsidR="007D0C2C" w:rsidRPr="6FB99473">
        <w:rPr>
          <w:b/>
          <w:bCs/>
          <w:i/>
          <w:iCs/>
          <w:color w:val="000000" w:themeColor="text1"/>
        </w:rPr>
        <w:t>2</w:t>
      </w:r>
      <w:r w:rsidR="344A6D05" w:rsidRPr="6FB99473">
        <w:rPr>
          <w:b/>
          <w:bCs/>
          <w:i/>
          <w:iCs/>
          <w:color w:val="000000" w:themeColor="text1"/>
        </w:rPr>
        <w:t>4</w:t>
      </w:r>
      <w:r w:rsidR="00D07C95" w:rsidRPr="6FB99473">
        <w:rPr>
          <w:b/>
          <w:bCs/>
          <w:i/>
          <w:iCs/>
          <w:color w:val="000000" w:themeColor="text1"/>
        </w:rPr>
        <w:t xml:space="preserve">, </w:t>
      </w:r>
      <w:r w:rsidR="00551894" w:rsidRPr="6FB99473">
        <w:rPr>
          <w:b/>
          <w:bCs/>
          <w:i/>
          <w:iCs/>
          <w:color w:val="000000" w:themeColor="text1"/>
        </w:rPr>
        <w:t>2</w:t>
      </w:r>
      <w:r w:rsidR="538FA489" w:rsidRPr="6FB99473">
        <w:rPr>
          <w:b/>
          <w:bCs/>
          <w:i/>
          <w:iCs/>
          <w:color w:val="000000" w:themeColor="text1"/>
        </w:rPr>
        <w:t>5</w:t>
      </w:r>
      <w:r w:rsidR="001B60A0" w:rsidRPr="6FB99473">
        <w:rPr>
          <w:b/>
          <w:bCs/>
          <w:i/>
          <w:iCs/>
          <w:color w:val="000000" w:themeColor="text1"/>
        </w:rPr>
        <w:t xml:space="preserve">, </w:t>
      </w:r>
      <w:r w:rsidR="1DDB6C92" w:rsidRPr="6FB99473">
        <w:rPr>
          <w:b/>
          <w:bCs/>
          <w:i/>
          <w:iCs/>
          <w:color w:val="000000" w:themeColor="text1"/>
        </w:rPr>
        <w:t>60</w:t>
      </w:r>
      <w:r w:rsidR="00096DC2">
        <w:rPr>
          <w:b/>
          <w:bCs/>
          <w:i/>
          <w:iCs/>
          <w:color w:val="000000" w:themeColor="text1"/>
        </w:rPr>
        <w:t xml:space="preserve"> </w:t>
      </w:r>
      <w:r w:rsidR="001B60A0">
        <w:rPr>
          <w:b/>
          <w:bCs/>
          <w:i/>
          <w:iCs/>
          <w:color w:val="000000" w:themeColor="text1"/>
        </w:rPr>
        <w:t xml:space="preserve">and </w:t>
      </w:r>
      <w:r w:rsidR="39CBDFE3" w:rsidRPr="6FB99473">
        <w:rPr>
          <w:b/>
          <w:bCs/>
          <w:i/>
          <w:iCs/>
          <w:color w:val="000000" w:themeColor="text1"/>
        </w:rPr>
        <w:t>67</w:t>
      </w:r>
      <w:r>
        <w:rPr>
          <w:b/>
          <w:bCs/>
          <w:i/>
          <w:iCs/>
          <w:color w:val="000000" w:themeColor="text1"/>
        </w:rPr>
        <w:t xml:space="preserve"> – 10 year lookback period</w:t>
      </w:r>
    </w:p>
    <w:p w14:paraId="5FF3FE88" w14:textId="77777777" w:rsidR="00145CB2" w:rsidRPr="005C68C9" w:rsidRDefault="00145CB2" w:rsidP="00145CB2">
      <w:pPr>
        <w:spacing w:before="0" w:after="0"/>
        <w:rPr>
          <w:b/>
          <w:bCs/>
          <w:color w:val="000000" w:themeColor="text1"/>
        </w:rPr>
      </w:pPr>
    </w:p>
    <w:p w14:paraId="10227C60" w14:textId="3BECD6A8" w:rsidR="00AF069F" w:rsidRDefault="00145CB2" w:rsidP="00722A14">
      <w:pPr>
        <w:spacing w:before="0" w:after="0"/>
        <w:jc w:val="both"/>
        <w:rPr>
          <w:color w:val="000000" w:themeColor="text1"/>
        </w:rPr>
      </w:pPr>
      <w:r>
        <w:rPr>
          <w:color w:val="000000" w:themeColor="text1"/>
        </w:rPr>
        <w:t>Item</w:t>
      </w:r>
      <w:r w:rsidR="00124985">
        <w:rPr>
          <w:color w:val="000000" w:themeColor="text1"/>
        </w:rPr>
        <w:t>s</w:t>
      </w:r>
      <w:r>
        <w:rPr>
          <w:color w:val="000000" w:themeColor="text1"/>
        </w:rPr>
        <w:t xml:space="preserve"> </w:t>
      </w:r>
      <w:r w:rsidR="007D0C2C" w:rsidRPr="6FB99473">
        <w:rPr>
          <w:color w:val="000000" w:themeColor="text1"/>
        </w:rPr>
        <w:t>2</w:t>
      </w:r>
      <w:r w:rsidR="3AD5064B" w:rsidRPr="6FB99473">
        <w:rPr>
          <w:color w:val="000000" w:themeColor="text1"/>
        </w:rPr>
        <w:t>4</w:t>
      </w:r>
      <w:r w:rsidR="00D07C95">
        <w:rPr>
          <w:color w:val="000000" w:themeColor="text1"/>
        </w:rPr>
        <w:t xml:space="preserve"> and </w:t>
      </w:r>
      <w:r w:rsidR="00551894" w:rsidRPr="6FB99473">
        <w:rPr>
          <w:color w:val="000000" w:themeColor="text1"/>
        </w:rPr>
        <w:t>2</w:t>
      </w:r>
      <w:r w:rsidR="660013BC" w:rsidRPr="6FB99473">
        <w:rPr>
          <w:color w:val="000000" w:themeColor="text1"/>
        </w:rPr>
        <w:t>5</w:t>
      </w:r>
      <w:r>
        <w:rPr>
          <w:color w:val="000000" w:themeColor="text1"/>
        </w:rPr>
        <w:t xml:space="preserve"> amend the Principal </w:t>
      </w:r>
      <w:r w:rsidR="004504EC">
        <w:rPr>
          <w:color w:val="000000" w:themeColor="text1"/>
        </w:rPr>
        <w:t>R</w:t>
      </w:r>
      <w:r>
        <w:rPr>
          <w:color w:val="000000" w:themeColor="text1"/>
        </w:rPr>
        <w:t>egulations to extend the lookback period of the performance test from</w:t>
      </w:r>
      <w:r w:rsidR="004504EC">
        <w:rPr>
          <w:color w:val="000000" w:themeColor="text1"/>
        </w:rPr>
        <w:t xml:space="preserve"> </w:t>
      </w:r>
      <w:r w:rsidR="00993069">
        <w:rPr>
          <w:color w:val="000000" w:themeColor="text1"/>
        </w:rPr>
        <w:t xml:space="preserve">8 </w:t>
      </w:r>
      <w:r>
        <w:rPr>
          <w:color w:val="000000" w:themeColor="text1"/>
        </w:rPr>
        <w:t xml:space="preserve">to </w:t>
      </w:r>
      <w:r w:rsidR="00993069">
        <w:rPr>
          <w:color w:val="000000" w:themeColor="text1"/>
        </w:rPr>
        <w:t xml:space="preserve">10 </w:t>
      </w:r>
      <w:r>
        <w:rPr>
          <w:color w:val="000000" w:themeColor="text1"/>
        </w:rPr>
        <w:t>years. This means the performance test will now measure</w:t>
      </w:r>
      <w:r w:rsidR="00E125A5">
        <w:rPr>
          <w:color w:val="000000" w:themeColor="text1"/>
        </w:rPr>
        <w:t xml:space="preserve"> a Part 6A product’s performance </w:t>
      </w:r>
      <w:r w:rsidR="00D639B7">
        <w:rPr>
          <w:color w:val="000000" w:themeColor="text1"/>
        </w:rPr>
        <w:t xml:space="preserve">based on </w:t>
      </w:r>
      <w:r>
        <w:rPr>
          <w:color w:val="000000" w:themeColor="text1"/>
        </w:rPr>
        <w:t xml:space="preserve">the past </w:t>
      </w:r>
      <w:r w:rsidR="00E86486">
        <w:rPr>
          <w:color w:val="000000" w:themeColor="text1"/>
        </w:rPr>
        <w:t xml:space="preserve">10 </w:t>
      </w:r>
      <w:r>
        <w:rPr>
          <w:color w:val="000000" w:themeColor="text1"/>
        </w:rPr>
        <w:t>years of</w:t>
      </w:r>
      <w:r w:rsidR="00D639B7">
        <w:rPr>
          <w:color w:val="000000" w:themeColor="text1"/>
        </w:rPr>
        <w:t xml:space="preserve"> </w:t>
      </w:r>
      <w:r w:rsidR="00AF069F">
        <w:rPr>
          <w:color w:val="000000" w:themeColor="text1"/>
        </w:rPr>
        <w:t xml:space="preserve">the product’s </w:t>
      </w:r>
      <w:r>
        <w:rPr>
          <w:color w:val="000000" w:themeColor="text1"/>
        </w:rPr>
        <w:t>performance history</w:t>
      </w:r>
      <w:r w:rsidR="00D639B7">
        <w:rPr>
          <w:color w:val="000000" w:themeColor="text1"/>
        </w:rPr>
        <w:t xml:space="preserve">. </w:t>
      </w:r>
      <w:r w:rsidR="00B13882">
        <w:rPr>
          <w:color w:val="000000" w:themeColor="text1"/>
        </w:rPr>
        <w:t xml:space="preserve">Item </w:t>
      </w:r>
      <w:r w:rsidR="33C79026" w:rsidRPr="67E75D06">
        <w:rPr>
          <w:color w:val="000000" w:themeColor="text1"/>
        </w:rPr>
        <w:t>67</w:t>
      </w:r>
      <w:r w:rsidR="00B13882">
        <w:rPr>
          <w:color w:val="000000" w:themeColor="text1"/>
        </w:rPr>
        <w:t xml:space="preserve"> </w:t>
      </w:r>
      <w:r w:rsidR="003B139C">
        <w:rPr>
          <w:color w:val="000000" w:themeColor="text1"/>
        </w:rPr>
        <w:t xml:space="preserve">inserts a transitional rule </w:t>
      </w:r>
      <w:r w:rsidR="00336068">
        <w:rPr>
          <w:color w:val="000000" w:themeColor="text1"/>
        </w:rPr>
        <w:t xml:space="preserve">to ensure the </w:t>
      </w:r>
      <w:r w:rsidR="00515C8C">
        <w:rPr>
          <w:color w:val="000000" w:themeColor="text1"/>
        </w:rPr>
        <w:t>10</w:t>
      </w:r>
      <w:r w:rsidR="005D3629">
        <w:rPr>
          <w:color w:val="000000" w:themeColor="text1"/>
        </w:rPr>
        <w:t>-year</w:t>
      </w:r>
      <w:r w:rsidR="006D0D98">
        <w:rPr>
          <w:color w:val="000000" w:themeColor="text1"/>
        </w:rPr>
        <w:t xml:space="preserve"> </w:t>
      </w:r>
      <w:r>
        <w:rPr>
          <w:color w:val="000000" w:themeColor="text1"/>
        </w:rPr>
        <w:t xml:space="preserve">lookback period will be applied </w:t>
      </w:r>
      <w:r w:rsidR="008B636A">
        <w:rPr>
          <w:color w:val="000000" w:themeColor="text1"/>
        </w:rPr>
        <w:t xml:space="preserve">on a </w:t>
      </w:r>
      <w:r w:rsidR="008B636A" w:rsidRPr="6FB99473">
        <w:rPr>
          <w:rFonts w:eastAsia="Calibri"/>
        </w:rPr>
        <w:t xml:space="preserve">transitional basis </w:t>
      </w:r>
      <w:r>
        <w:rPr>
          <w:color w:val="000000" w:themeColor="text1"/>
        </w:rPr>
        <w:t>as new data becomes available</w:t>
      </w:r>
      <w:r w:rsidR="08D59D95" w:rsidRPr="36E79BA2">
        <w:rPr>
          <w:color w:val="000000" w:themeColor="text1"/>
        </w:rPr>
        <w:t>, meaning the</w:t>
      </w:r>
      <w:r w:rsidR="08D59D95" w:rsidRPr="1CF83B3B">
        <w:rPr>
          <w:color w:val="000000" w:themeColor="text1"/>
        </w:rPr>
        <w:t xml:space="preserve"> lookback period in 2023 </w:t>
      </w:r>
      <w:r w:rsidR="08D59D95" w:rsidRPr="308769E6">
        <w:rPr>
          <w:color w:val="000000" w:themeColor="text1"/>
        </w:rPr>
        <w:t xml:space="preserve">is 9 years, before increasing to 10 years from </w:t>
      </w:r>
      <w:r w:rsidR="08D59D95" w:rsidRPr="25EEBDE6">
        <w:rPr>
          <w:color w:val="000000" w:themeColor="text1"/>
        </w:rPr>
        <w:t>2024.</w:t>
      </w:r>
      <w:r w:rsidR="59556420" w:rsidRPr="27895F57">
        <w:rPr>
          <w:color w:val="000000" w:themeColor="text1"/>
        </w:rPr>
        <w:t xml:space="preserve"> </w:t>
      </w:r>
      <w:r>
        <w:rPr>
          <w:color w:val="000000" w:themeColor="text1"/>
        </w:rPr>
        <w:t xml:space="preserve"> Extending the lookback period is expected to sharpen the incentive of trustees to focus on long-term decision making and aligns with broader industry disclosures. </w:t>
      </w:r>
    </w:p>
    <w:p w14:paraId="50E6597E" w14:textId="77777777" w:rsidR="00AF069F" w:rsidRDefault="00AF069F" w:rsidP="00145CB2">
      <w:pPr>
        <w:spacing w:before="0" w:after="0"/>
        <w:rPr>
          <w:color w:val="000000" w:themeColor="text1"/>
        </w:rPr>
      </w:pPr>
    </w:p>
    <w:p w14:paraId="2E788272" w14:textId="2925F613" w:rsidR="00145CB2" w:rsidRDefault="00145CB2" w:rsidP="00145CB2">
      <w:pPr>
        <w:spacing w:before="0" w:after="0"/>
        <w:rPr>
          <w:color w:val="000000" w:themeColor="text1"/>
        </w:rPr>
      </w:pPr>
      <w:r w:rsidRPr="43624B34">
        <w:rPr>
          <w:color w:val="000000" w:themeColor="text1"/>
        </w:rPr>
        <w:t xml:space="preserve">Item </w:t>
      </w:r>
      <w:r w:rsidR="13CAB537" w:rsidRPr="7D7FA95E">
        <w:rPr>
          <w:color w:val="000000" w:themeColor="text1"/>
        </w:rPr>
        <w:t>60</w:t>
      </w:r>
      <w:r w:rsidRPr="43624B34">
        <w:rPr>
          <w:color w:val="000000" w:themeColor="text1"/>
        </w:rPr>
        <w:t xml:space="preserve"> is a consequential amendment to ensure the test period for the comparison </w:t>
      </w:r>
      <w:r>
        <w:rPr>
          <w:color w:val="000000" w:themeColor="text1"/>
        </w:rPr>
        <w:t>ranking</w:t>
      </w:r>
      <w:r w:rsidRPr="43624B34">
        <w:rPr>
          <w:color w:val="000000" w:themeColor="text1"/>
        </w:rPr>
        <w:t xml:space="preserve"> aligns with the extended lookback period.</w:t>
      </w:r>
    </w:p>
    <w:p w14:paraId="254F751A" w14:textId="77777777" w:rsidR="00145CB2" w:rsidRDefault="00145CB2" w:rsidP="000F6659">
      <w:pPr>
        <w:spacing w:before="0" w:after="0"/>
        <w:rPr>
          <w:b/>
          <w:bCs/>
          <w:i/>
          <w:iCs/>
          <w:color w:val="000000" w:themeColor="text1"/>
        </w:rPr>
      </w:pPr>
    </w:p>
    <w:p w14:paraId="3A34E9C3" w14:textId="1EFA7AFA" w:rsidR="0063616F" w:rsidRDefault="0063616F" w:rsidP="0063616F">
      <w:pPr>
        <w:spacing w:before="0" w:after="0"/>
        <w:rPr>
          <w:b/>
          <w:bCs/>
          <w:i/>
          <w:iCs/>
          <w:color w:val="000000" w:themeColor="text1"/>
        </w:rPr>
      </w:pPr>
      <w:r>
        <w:rPr>
          <w:b/>
          <w:bCs/>
          <w:i/>
          <w:iCs/>
          <w:color w:val="000000" w:themeColor="text1"/>
        </w:rPr>
        <w:t>Items</w:t>
      </w:r>
      <w:r w:rsidR="002864FA">
        <w:rPr>
          <w:b/>
          <w:bCs/>
          <w:i/>
          <w:iCs/>
          <w:color w:val="000000" w:themeColor="text1"/>
        </w:rPr>
        <w:t xml:space="preserve"> </w:t>
      </w:r>
      <w:r w:rsidR="1CAC0E72" w:rsidRPr="4A34C61E">
        <w:rPr>
          <w:b/>
          <w:bCs/>
          <w:i/>
          <w:iCs/>
          <w:color w:val="000000" w:themeColor="text1"/>
        </w:rPr>
        <w:t>26</w:t>
      </w:r>
      <w:r w:rsidR="00183962">
        <w:rPr>
          <w:b/>
          <w:bCs/>
          <w:i/>
          <w:iCs/>
          <w:color w:val="000000" w:themeColor="text1"/>
        </w:rPr>
        <w:t xml:space="preserve"> and </w:t>
      </w:r>
      <w:r w:rsidR="4DAA1E12" w:rsidRPr="4A34C61E">
        <w:rPr>
          <w:b/>
          <w:bCs/>
          <w:i/>
          <w:iCs/>
          <w:color w:val="000000" w:themeColor="text1"/>
        </w:rPr>
        <w:t>67</w:t>
      </w:r>
      <w:r>
        <w:rPr>
          <w:b/>
          <w:bCs/>
          <w:i/>
          <w:iCs/>
          <w:color w:val="000000" w:themeColor="text1"/>
        </w:rPr>
        <w:t xml:space="preserve"> – </w:t>
      </w:r>
      <w:r w:rsidR="00AC495E">
        <w:rPr>
          <w:b/>
          <w:bCs/>
          <w:i/>
          <w:iCs/>
          <w:color w:val="000000" w:themeColor="text1"/>
        </w:rPr>
        <w:t xml:space="preserve">Products with </w:t>
      </w:r>
      <w:r>
        <w:rPr>
          <w:b/>
          <w:bCs/>
          <w:i/>
          <w:iCs/>
          <w:color w:val="000000" w:themeColor="text1"/>
        </w:rPr>
        <w:t>7 year minimum performance history</w:t>
      </w:r>
      <w:r w:rsidR="00AC495E">
        <w:rPr>
          <w:b/>
          <w:bCs/>
          <w:i/>
          <w:iCs/>
          <w:color w:val="000000" w:themeColor="text1"/>
        </w:rPr>
        <w:t xml:space="preserve"> </w:t>
      </w:r>
      <w:r w:rsidR="00DA2DFD">
        <w:rPr>
          <w:b/>
          <w:bCs/>
          <w:i/>
          <w:iCs/>
          <w:color w:val="000000" w:themeColor="text1"/>
        </w:rPr>
        <w:t xml:space="preserve">are </w:t>
      </w:r>
      <w:r w:rsidR="00AC495E">
        <w:rPr>
          <w:b/>
          <w:bCs/>
          <w:i/>
          <w:iCs/>
          <w:color w:val="000000" w:themeColor="text1"/>
        </w:rPr>
        <w:t>subject to the test</w:t>
      </w:r>
    </w:p>
    <w:p w14:paraId="0ABDF28A" w14:textId="77777777" w:rsidR="0063616F" w:rsidRDefault="0063616F" w:rsidP="0063616F">
      <w:pPr>
        <w:spacing w:before="0" w:after="0"/>
        <w:rPr>
          <w:b/>
          <w:bCs/>
          <w:i/>
          <w:iCs/>
          <w:color w:val="000000" w:themeColor="text1"/>
        </w:rPr>
      </w:pPr>
    </w:p>
    <w:p w14:paraId="5C001C5C" w14:textId="375132DB" w:rsidR="00531257" w:rsidRDefault="0063616F" w:rsidP="4FA048B2">
      <w:pPr>
        <w:widowControl w:val="0"/>
        <w:adjustRightInd w:val="0"/>
        <w:jc w:val="both"/>
        <w:textAlignment w:val="baseline"/>
        <w:rPr>
          <w:rFonts w:eastAsia="Calibri"/>
        </w:rPr>
      </w:pPr>
      <w:r w:rsidRPr="6DD128CB">
        <w:rPr>
          <w:rFonts w:eastAsia="Calibri"/>
        </w:rPr>
        <w:t>Item</w:t>
      </w:r>
      <w:r w:rsidR="006D7C5D" w:rsidRPr="6DD128CB">
        <w:rPr>
          <w:rFonts w:eastAsia="Calibri"/>
        </w:rPr>
        <w:t xml:space="preserve"> </w:t>
      </w:r>
      <w:r w:rsidR="165F0B36" w:rsidRPr="1B056818">
        <w:rPr>
          <w:rFonts w:eastAsia="Calibri"/>
        </w:rPr>
        <w:t>26</w:t>
      </w:r>
      <w:r w:rsidRPr="6DD128CB">
        <w:rPr>
          <w:rFonts w:eastAsia="Calibri"/>
        </w:rPr>
        <w:t xml:space="preserve"> amend</w:t>
      </w:r>
      <w:r w:rsidR="006D7C5D" w:rsidRPr="6DD128CB">
        <w:rPr>
          <w:rFonts w:eastAsia="Calibri"/>
        </w:rPr>
        <w:t>s</w:t>
      </w:r>
      <w:r w:rsidRPr="6DD128CB">
        <w:rPr>
          <w:rFonts w:eastAsia="Calibri"/>
        </w:rPr>
        <w:t xml:space="preserve"> the Principal Regulations to extend the minimum period </w:t>
      </w:r>
      <w:r w:rsidR="00AC495E" w:rsidRPr="6DD128CB">
        <w:rPr>
          <w:rFonts w:eastAsia="Calibri"/>
        </w:rPr>
        <w:t xml:space="preserve">of performance history </w:t>
      </w:r>
      <w:r w:rsidRPr="6DD128CB">
        <w:rPr>
          <w:rFonts w:eastAsia="Calibri"/>
        </w:rPr>
        <w:t xml:space="preserve">that a </w:t>
      </w:r>
      <w:r w:rsidR="00AB10BD" w:rsidRPr="6DD128CB">
        <w:rPr>
          <w:rFonts w:eastAsia="Calibri"/>
        </w:rPr>
        <w:t xml:space="preserve">Part 6A </w:t>
      </w:r>
      <w:r w:rsidRPr="6DD128CB">
        <w:rPr>
          <w:rFonts w:eastAsia="Calibri"/>
        </w:rPr>
        <w:t xml:space="preserve">product must have to be subject to the performance test from </w:t>
      </w:r>
      <w:r w:rsidR="000D1253" w:rsidRPr="6DD128CB">
        <w:rPr>
          <w:rFonts w:eastAsia="Calibri"/>
        </w:rPr>
        <w:t xml:space="preserve">5 </w:t>
      </w:r>
      <w:r w:rsidRPr="6DD128CB">
        <w:rPr>
          <w:rFonts w:eastAsia="Calibri"/>
        </w:rPr>
        <w:t xml:space="preserve">to </w:t>
      </w:r>
      <w:r w:rsidR="000D1253" w:rsidRPr="6DD128CB">
        <w:rPr>
          <w:rFonts w:eastAsia="Calibri"/>
        </w:rPr>
        <w:t xml:space="preserve">7 </w:t>
      </w:r>
      <w:r w:rsidRPr="6DD128CB">
        <w:rPr>
          <w:rFonts w:eastAsia="Calibri"/>
        </w:rPr>
        <w:t>years</w:t>
      </w:r>
      <w:r w:rsidR="005A1C74" w:rsidRPr="6DD128CB">
        <w:rPr>
          <w:rFonts w:eastAsia="Calibri"/>
        </w:rPr>
        <w:t xml:space="preserve">. </w:t>
      </w:r>
      <w:r w:rsidR="00C13177" w:rsidRPr="6DD128CB">
        <w:rPr>
          <w:rFonts w:eastAsia="Calibri"/>
        </w:rPr>
        <w:t xml:space="preserve">Item </w:t>
      </w:r>
      <w:r w:rsidR="0E91358B" w:rsidRPr="1B056818">
        <w:rPr>
          <w:rFonts w:eastAsia="Calibri"/>
        </w:rPr>
        <w:t>67</w:t>
      </w:r>
      <w:r w:rsidR="001D32CF" w:rsidRPr="6DD128CB">
        <w:rPr>
          <w:rFonts w:eastAsia="Calibri"/>
        </w:rPr>
        <w:t xml:space="preserve"> inserts a </w:t>
      </w:r>
      <w:r w:rsidR="00461994" w:rsidRPr="6DD128CB">
        <w:rPr>
          <w:rFonts w:eastAsia="Calibri"/>
        </w:rPr>
        <w:t>transitional</w:t>
      </w:r>
      <w:r w:rsidR="001D32CF" w:rsidRPr="6DD128CB">
        <w:rPr>
          <w:rFonts w:eastAsia="Calibri"/>
        </w:rPr>
        <w:t xml:space="preserve"> rule to e</w:t>
      </w:r>
      <w:r w:rsidR="00461994" w:rsidRPr="6DD128CB">
        <w:rPr>
          <w:rFonts w:eastAsia="Calibri"/>
        </w:rPr>
        <w:t>nsure t</w:t>
      </w:r>
      <w:r w:rsidR="00222903" w:rsidRPr="6DD128CB">
        <w:rPr>
          <w:rFonts w:eastAsia="Calibri"/>
        </w:rPr>
        <w:t xml:space="preserve">he </w:t>
      </w:r>
      <w:r w:rsidR="000D1253" w:rsidRPr="6DD128CB">
        <w:rPr>
          <w:rFonts w:eastAsia="Calibri"/>
        </w:rPr>
        <w:t>7</w:t>
      </w:r>
      <w:r w:rsidR="001F570D" w:rsidRPr="6DD128CB">
        <w:rPr>
          <w:rFonts w:eastAsia="Calibri"/>
        </w:rPr>
        <w:t>-</w:t>
      </w:r>
      <w:r w:rsidR="00222903" w:rsidRPr="6DD128CB">
        <w:rPr>
          <w:rFonts w:eastAsia="Calibri"/>
        </w:rPr>
        <w:t xml:space="preserve">year </w:t>
      </w:r>
      <w:r w:rsidR="00A26256" w:rsidRPr="6DD128CB">
        <w:rPr>
          <w:rFonts w:eastAsia="Calibri"/>
        </w:rPr>
        <w:t xml:space="preserve">minimum </w:t>
      </w:r>
      <w:r w:rsidR="00222903" w:rsidRPr="6DD128CB">
        <w:rPr>
          <w:rFonts w:eastAsia="Calibri"/>
        </w:rPr>
        <w:lastRenderedPageBreak/>
        <w:t xml:space="preserve">period </w:t>
      </w:r>
      <w:r w:rsidR="21778028" w:rsidRPr="6DD128CB">
        <w:rPr>
          <w:rFonts w:eastAsia="Calibri"/>
        </w:rPr>
        <w:t>is</w:t>
      </w:r>
      <w:r w:rsidR="00222903" w:rsidRPr="6DD128CB">
        <w:rPr>
          <w:rFonts w:eastAsia="Calibri"/>
        </w:rPr>
        <w:t xml:space="preserve"> applied</w:t>
      </w:r>
      <w:r w:rsidR="008F3977" w:rsidRPr="6DD128CB">
        <w:rPr>
          <w:rFonts w:eastAsia="Calibri"/>
        </w:rPr>
        <w:t xml:space="preserve"> on a transitional </w:t>
      </w:r>
      <w:r w:rsidR="00125FD5" w:rsidRPr="6DD128CB">
        <w:rPr>
          <w:rFonts w:eastAsia="Calibri"/>
        </w:rPr>
        <w:t>basis</w:t>
      </w:r>
      <w:r w:rsidR="3C71D2A6" w:rsidRPr="6DD128CB">
        <w:rPr>
          <w:rFonts w:eastAsia="Calibri"/>
        </w:rPr>
        <w:t>.</w:t>
      </w:r>
      <w:r w:rsidR="00125FD5" w:rsidRPr="6DD128CB">
        <w:rPr>
          <w:rFonts w:eastAsia="Calibri"/>
        </w:rPr>
        <w:t xml:space="preserve"> </w:t>
      </w:r>
      <w:r w:rsidR="52C777EB" w:rsidRPr="6DD128CB">
        <w:rPr>
          <w:rFonts w:eastAsia="Calibri"/>
        </w:rPr>
        <w:t xml:space="preserve">For </w:t>
      </w:r>
      <w:r w:rsidR="00125FD5" w:rsidRPr="6DD128CB">
        <w:rPr>
          <w:rFonts w:eastAsia="Calibri"/>
        </w:rPr>
        <w:t>the 2023 test</w:t>
      </w:r>
      <w:r w:rsidR="6D2C8C64" w:rsidRPr="6DD128CB">
        <w:rPr>
          <w:rFonts w:eastAsia="Calibri"/>
        </w:rPr>
        <w:t>,</w:t>
      </w:r>
      <w:r w:rsidR="00125FD5" w:rsidRPr="6DD128CB">
        <w:rPr>
          <w:rFonts w:eastAsia="Calibri"/>
        </w:rPr>
        <w:t xml:space="preserve"> </w:t>
      </w:r>
      <w:r w:rsidR="00AB10BD" w:rsidRPr="6DD128CB">
        <w:rPr>
          <w:rFonts w:eastAsia="Calibri"/>
        </w:rPr>
        <w:t xml:space="preserve">Part 6A products </w:t>
      </w:r>
      <w:r w:rsidR="00125FD5" w:rsidRPr="6DD128CB">
        <w:rPr>
          <w:rFonts w:eastAsia="Calibri"/>
        </w:rPr>
        <w:t xml:space="preserve">with a minimum of </w:t>
      </w:r>
      <w:r w:rsidR="000D1253" w:rsidRPr="6DD128CB">
        <w:rPr>
          <w:rFonts w:eastAsia="Calibri"/>
        </w:rPr>
        <w:t xml:space="preserve">6 </w:t>
      </w:r>
      <w:r w:rsidR="00125FD5" w:rsidRPr="6DD128CB">
        <w:rPr>
          <w:rFonts w:eastAsia="Calibri"/>
        </w:rPr>
        <w:t xml:space="preserve">years will be tested, and </w:t>
      </w:r>
      <w:r w:rsidR="00C35895" w:rsidRPr="6DD128CB">
        <w:rPr>
          <w:rFonts w:eastAsia="Calibri"/>
        </w:rPr>
        <w:t>for</w:t>
      </w:r>
      <w:r w:rsidR="00125FD5" w:rsidRPr="6DD128CB">
        <w:rPr>
          <w:rFonts w:eastAsia="Calibri"/>
        </w:rPr>
        <w:t xml:space="preserve"> the 2024 </w:t>
      </w:r>
      <w:r w:rsidR="00C35895" w:rsidRPr="6DD128CB">
        <w:rPr>
          <w:rFonts w:eastAsia="Calibri"/>
        </w:rPr>
        <w:t>and future years</w:t>
      </w:r>
      <w:r w:rsidR="06F2999D" w:rsidRPr="751644BB">
        <w:rPr>
          <w:rFonts w:eastAsia="Calibri"/>
        </w:rPr>
        <w:t>,</w:t>
      </w:r>
      <w:r w:rsidR="00C35895" w:rsidRPr="6DD128CB">
        <w:rPr>
          <w:rFonts w:eastAsia="Calibri"/>
        </w:rPr>
        <w:t xml:space="preserve"> products with a minimum of seven years will be </w:t>
      </w:r>
      <w:r w:rsidR="00125FD5" w:rsidRPr="6DD128CB">
        <w:rPr>
          <w:rFonts w:eastAsia="Calibri"/>
        </w:rPr>
        <w:t>test</w:t>
      </w:r>
      <w:r w:rsidR="00C35895" w:rsidRPr="6DD128CB">
        <w:rPr>
          <w:rFonts w:eastAsia="Calibri"/>
        </w:rPr>
        <w:t>ed</w:t>
      </w:r>
      <w:r w:rsidR="00222903" w:rsidRPr="6DD128CB">
        <w:rPr>
          <w:rFonts w:eastAsia="Calibri"/>
        </w:rPr>
        <w:t xml:space="preserve">. Extending the </w:t>
      </w:r>
      <w:r w:rsidR="009851BD" w:rsidRPr="6DD128CB">
        <w:rPr>
          <w:rFonts w:eastAsia="Calibri"/>
        </w:rPr>
        <w:t>minimum performance history</w:t>
      </w:r>
      <w:r w:rsidR="00222903" w:rsidRPr="6DD128CB">
        <w:rPr>
          <w:rFonts w:eastAsia="Calibri"/>
        </w:rPr>
        <w:t xml:space="preserve"> period </w:t>
      </w:r>
      <w:r w:rsidR="00795A14" w:rsidRPr="6DD128CB">
        <w:rPr>
          <w:rFonts w:eastAsia="Calibri"/>
        </w:rPr>
        <w:t>gives</w:t>
      </w:r>
      <w:r w:rsidR="00B81BC3" w:rsidRPr="6DD128CB">
        <w:rPr>
          <w:rFonts w:eastAsia="Calibri"/>
        </w:rPr>
        <w:t xml:space="preserve"> funds </w:t>
      </w:r>
      <w:r w:rsidR="00795A14" w:rsidRPr="6DD128CB">
        <w:rPr>
          <w:rFonts w:eastAsia="Calibri"/>
        </w:rPr>
        <w:t>more</w:t>
      </w:r>
      <w:r w:rsidR="00B81BC3" w:rsidRPr="6DD128CB">
        <w:rPr>
          <w:rFonts w:eastAsia="Calibri"/>
        </w:rPr>
        <w:t xml:space="preserve"> time to implement longer-term investment strategies on new products before being subject to</w:t>
      </w:r>
      <w:r w:rsidR="008F3977" w:rsidRPr="6DD128CB">
        <w:rPr>
          <w:rFonts w:eastAsia="Calibri"/>
        </w:rPr>
        <w:t xml:space="preserve"> the test</w:t>
      </w:r>
      <w:r w:rsidR="00222903" w:rsidRPr="6DD128CB">
        <w:rPr>
          <w:rFonts w:eastAsia="Calibri"/>
        </w:rPr>
        <w:t xml:space="preserve">. </w:t>
      </w:r>
      <w:r w:rsidR="007723C6" w:rsidRPr="6DD128CB">
        <w:rPr>
          <w:rFonts w:eastAsia="Calibri"/>
        </w:rPr>
        <w:t xml:space="preserve">The </w:t>
      </w:r>
      <w:r w:rsidR="00450A7C" w:rsidRPr="6DD128CB">
        <w:rPr>
          <w:rFonts w:eastAsia="Calibri"/>
        </w:rPr>
        <w:t>minimum period is intended to</w:t>
      </w:r>
      <w:r w:rsidR="007723C6" w:rsidRPr="6DD128CB">
        <w:rPr>
          <w:rFonts w:eastAsia="Calibri"/>
        </w:rPr>
        <w:t xml:space="preserve"> </w:t>
      </w:r>
      <w:r w:rsidR="00A315AD" w:rsidRPr="6DD128CB">
        <w:rPr>
          <w:rFonts w:eastAsia="Calibri"/>
        </w:rPr>
        <w:t xml:space="preserve">strike a </w:t>
      </w:r>
      <w:r w:rsidR="007723C6" w:rsidRPr="6DD128CB">
        <w:rPr>
          <w:rFonts w:eastAsia="Calibri"/>
        </w:rPr>
        <w:t>balance between maximising coverage of the performance test and giving new products a chance to get established.</w:t>
      </w:r>
    </w:p>
    <w:p w14:paraId="44DADF52" w14:textId="55328799" w:rsidR="00CD7A28" w:rsidRPr="000A03A7" w:rsidRDefault="008B1B83" w:rsidP="4FA048B2">
      <w:pPr>
        <w:widowControl w:val="0"/>
        <w:adjustRightInd w:val="0"/>
        <w:jc w:val="both"/>
        <w:textAlignment w:val="baseline"/>
        <w:rPr>
          <w:rFonts w:eastAsia="Calibri"/>
        </w:rPr>
      </w:pPr>
      <w:r w:rsidRPr="6DD128CB">
        <w:rPr>
          <w:rFonts w:eastAsia="Calibri"/>
        </w:rPr>
        <w:t>The amendments do not change ARPA’s discretion u</w:t>
      </w:r>
      <w:r w:rsidR="0018666C" w:rsidRPr="6DD128CB">
        <w:rPr>
          <w:rFonts w:eastAsia="Calibri"/>
        </w:rPr>
        <w:t xml:space="preserve">nder </w:t>
      </w:r>
      <w:proofErr w:type="spellStart"/>
      <w:r w:rsidRPr="6DD128CB">
        <w:rPr>
          <w:rFonts w:eastAsia="Calibri"/>
        </w:rPr>
        <w:t>subregul</w:t>
      </w:r>
      <w:r w:rsidR="002F388F" w:rsidRPr="6DD128CB">
        <w:rPr>
          <w:rFonts w:eastAsia="Calibri"/>
        </w:rPr>
        <w:t>a</w:t>
      </w:r>
      <w:r w:rsidRPr="6DD128CB">
        <w:rPr>
          <w:rFonts w:eastAsia="Calibri"/>
        </w:rPr>
        <w:t>tion</w:t>
      </w:r>
      <w:proofErr w:type="spellEnd"/>
      <w:r w:rsidRPr="6DD128CB">
        <w:rPr>
          <w:rFonts w:eastAsia="Calibri"/>
        </w:rPr>
        <w:t> </w:t>
      </w:r>
      <w:r w:rsidR="0018666C" w:rsidRPr="6DD128CB">
        <w:rPr>
          <w:rFonts w:eastAsia="Calibri"/>
        </w:rPr>
        <w:t>9AB.10(4) of the Principal Regulations</w:t>
      </w:r>
      <w:r w:rsidRPr="6DD128CB">
        <w:rPr>
          <w:rFonts w:eastAsia="Calibri"/>
        </w:rPr>
        <w:t xml:space="preserve"> </w:t>
      </w:r>
      <w:r w:rsidR="0018666C" w:rsidRPr="6DD128CB">
        <w:rPr>
          <w:rFonts w:eastAsia="Calibri"/>
        </w:rPr>
        <w:t>to</w:t>
      </w:r>
      <w:r w:rsidRPr="6DD128CB">
        <w:rPr>
          <w:rFonts w:eastAsia="Calibri"/>
        </w:rPr>
        <w:t xml:space="preserve"> determine that a Part 6A product </w:t>
      </w:r>
      <w:r w:rsidR="001F5D20" w:rsidRPr="6DD128CB">
        <w:rPr>
          <w:rFonts w:eastAsia="Calibri"/>
        </w:rPr>
        <w:t xml:space="preserve">with a performance history that is less than </w:t>
      </w:r>
      <w:r w:rsidR="00FB2873" w:rsidRPr="6DD128CB">
        <w:rPr>
          <w:rFonts w:eastAsia="Calibri"/>
        </w:rPr>
        <w:t>the minimum performance history</w:t>
      </w:r>
      <w:r w:rsidRPr="6DD128CB">
        <w:rPr>
          <w:rFonts w:eastAsia="Calibri"/>
        </w:rPr>
        <w:t xml:space="preserve"> is to be subject to the test</w:t>
      </w:r>
      <w:r w:rsidR="00FB2873" w:rsidRPr="6DD128CB">
        <w:rPr>
          <w:rFonts w:eastAsia="Calibri"/>
        </w:rPr>
        <w:t xml:space="preserve">. </w:t>
      </w:r>
    </w:p>
    <w:p w14:paraId="6A29F331" w14:textId="77777777" w:rsidR="005A1C74" w:rsidRPr="008F3977" w:rsidRDefault="005A1C74" w:rsidP="0063616F">
      <w:pPr>
        <w:spacing w:before="0" w:after="0"/>
        <w:rPr>
          <w:b/>
          <w:bCs/>
          <w:color w:val="000000" w:themeColor="text1"/>
        </w:rPr>
      </w:pPr>
    </w:p>
    <w:p w14:paraId="717CB5B9" w14:textId="49572E12" w:rsidR="009F1F54" w:rsidRDefault="009F1F54" w:rsidP="005C68C9">
      <w:pPr>
        <w:spacing w:before="0" w:after="0"/>
        <w:rPr>
          <w:b/>
          <w:bCs/>
          <w:i/>
          <w:iCs/>
          <w:color w:val="000000" w:themeColor="text1"/>
        </w:rPr>
      </w:pPr>
      <w:r>
        <w:rPr>
          <w:b/>
          <w:bCs/>
          <w:i/>
          <w:iCs/>
          <w:color w:val="000000" w:themeColor="text1"/>
        </w:rPr>
        <w:t xml:space="preserve">Items </w:t>
      </w:r>
      <w:r w:rsidR="002F24DD">
        <w:rPr>
          <w:b/>
          <w:bCs/>
          <w:i/>
          <w:iCs/>
          <w:color w:val="000000" w:themeColor="text1"/>
        </w:rPr>
        <w:t>5</w:t>
      </w:r>
      <w:r w:rsidR="004B22D4">
        <w:rPr>
          <w:b/>
          <w:bCs/>
          <w:i/>
          <w:iCs/>
          <w:color w:val="000000" w:themeColor="text1"/>
        </w:rPr>
        <w:t xml:space="preserve">, </w:t>
      </w:r>
      <w:r w:rsidR="597F0FC9" w:rsidRPr="09F983EB">
        <w:rPr>
          <w:b/>
          <w:bCs/>
          <w:i/>
          <w:iCs/>
          <w:color w:val="000000" w:themeColor="text1"/>
        </w:rPr>
        <w:t>14</w:t>
      </w:r>
      <w:r w:rsidR="004B22D4" w:rsidRPr="09F983EB">
        <w:rPr>
          <w:b/>
          <w:bCs/>
          <w:i/>
          <w:iCs/>
          <w:color w:val="000000" w:themeColor="text1"/>
        </w:rPr>
        <w:t xml:space="preserve">, </w:t>
      </w:r>
      <w:r w:rsidR="0DDA7516" w:rsidRPr="09F983EB">
        <w:rPr>
          <w:b/>
          <w:bCs/>
          <w:i/>
          <w:iCs/>
          <w:color w:val="000000" w:themeColor="text1"/>
        </w:rPr>
        <w:t>15</w:t>
      </w:r>
      <w:r w:rsidR="004B22D4" w:rsidRPr="09F983EB">
        <w:rPr>
          <w:b/>
          <w:bCs/>
          <w:i/>
          <w:iCs/>
          <w:color w:val="000000" w:themeColor="text1"/>
        </w:rPr>
        <w:t xml:space="preserve">, </w:t>
      </w:r>
      <w:r w:rsidR="3EB9DA29" w:rsidRPr="09F983EB">
        <w:rPr>
          <w:b/>
          <w:bCs/>
          <w:i/>
          <w:iCs/>
          <w:color w:val="000000" w:themeColor="text1"/>
        </w:rPr>
        <w:t>17</w:t>
      </w:r>
      <w:r w:rsidR="004B22D4">
        <w:rPr>
          <w:b/>
          <w:bCs/>
          <w:i/>
          <w:iCs/>
          <w:color w:val="000000" w:themeColor="text1"/>
        </w:rPr>
        <w:t xml:space="preserve"> and </w:t>
      </w:r>
      <w:r w:rsidR="32B19101" w:rsidRPr="09F983EB">
        <w:rPr>
          <w:b/>
          <w:bCs/>
          <w:i/>
          <w:iCs/>
          <w:color w:val="000000" w:themeColor="text1"/>
        </w:rPr>
        <w:t>56</w:t>
      </w:r>
      <w:r w:rsidR="002F24DD">
        <w:rPr>
          <w:b/>
          <w:bCs/>
          <w:i/>
          <w:iCs/>
          <w:color w:val="000000" w:themeColor="text1"/>
        </w:rPr>
        <w:t xml:space="preserve"> </w:t>
      </w:r>
      <w:r w:rsidR="00E077EC" w:rsidRPr="003848FB">
        <w:rPr>
          <w:b/>
          <w:bCs/>
          <w:i/>
          <w:iCs/>
          <w:color w:val="000000" w:themeColor="text1"/>
        </w:rPr>
        <w:t xml:space="preserve">– </w:t>
      </w:r>
      <w:r w:rsidR="00E077EC">
        <w:rPr>
          <w:b/>
          <w:bCs/>
          <w:i/>
          <w:iCs/>
          <w:color w:val="000000" w:themeColor="text1"/>
        </w:rPr>
        <w:t>Meaning of initial quarter</w:t>
      </w:r>
    </w:p>
    <w:p w14:paraId="2BB3BD55" w14:textId="77777777" w:rsidR="00E077EC" w:rsidRPr="005C68C9" w:rsidRDefault="00E077EC" w:rsidP="005C68C9">
      <w:pPr>
        <w:spacing w:before="0" w:after="0"/>
        <w:rPr>
          <w:b/>
          <w:bCs/>
          <w:i/>
          <w:iCs/>
          <w:color w:val="000000" w:themeColor="text1"/>
        </w:rPr>
      </w:pPr>
    </w:p>
    <w:p w14:paraId="32DBD4E5" w14:textId="0DB7C518" w:rsidR="00E077EC" w:rsidRDefault="00E077EC" w:rsidP="005C68C9">
      <w:pPr>
        <w:widowControl w:val="0"/>
        <w:adjustRightInd w:val="0"/>
        <w:jc w:val="both"/>
        <w:textAlignment w:val="baseline"/>
        <w:rPr>
          <w:rFonts w:eastAsia="Calibri"/>
          <w:szCs w:val="24"/>
        </w:rPr>
      </w:pPr>
      <w:r>
        <w:rPr>
          <w:rFonts w:eastAsia="Calibri"/>
          <w:szCs w:val="24"/>
        </w:rPr>
        <w:t xml:space="preserve">Item </w:t>
      </w:r>
      <w:r w:rsidR="00D81663">
        <w:rPr>
          <w:rFonts w:eastAsia="Calibri"/>
          <w:szCs w:val="24"/>
        </w:rPr>
        <w:t>5</w:t>
      </w:r>
      <w:r>
        <w:rPr>
          <w:rFonts w:eastAsia="Calibri"/>
          <w:szCs w:val="24"/>
        </w:rPr>
        <w:t xml:space="preserve"> </w:t>
      </w:r>
      <w:r w:rsidR="00D81663">
        <w:rPr>
          <w:rFonts w:eastAsia="Calibri"/>
          <w:szCs w:val="24"/>
        </w:rPr>
        <w:t xml:space="preserve">inserts a definition of </w:t>
      </w:r>
      <w:r w:rsidR="002B2F83">
        <w:rPr>
          <w:rFonts w:eastAsia="Calibri"/>
          <w:szCs w:val="24"/>
        </w:rPr>
        <w:t xml:space="preserve">‘initial quarter’ for the purposes of the performance test. </w:t>
      </w:r>
      <w:r>
        <w:rPr>
          <w:rFonts w:eastAsia="Calibri"/>
          <w:szCs w:val="24"/>
        </w:rPr>
        <w:t>The purpose of the amendment is to</w:t>
      </w:r>
      <w:r w:rsidR="002B2F83">
        <w:rPr>
          <w:rFonts w:eastAsia="Calibri"/>
          <w:szCs w:val="24"/>
        </w:rPr>
        <w:t xml:space="preserve"> clarify the concept which is key to the operation of the test</w:t>
      </w:r>
      <w:r w:rsidR="00021099">
        <w:rPr>
          <w:rFonts w:eastAsia="Calibri"/>
          <w:szCs w:val="24"/>
        </w:rPr>
        <w:t xml:space="preserve"> and </w:t>
      </w:r>
      <w:r w:rsidR="00C65439">
        <w:rPr>
          <w:rFonts w:eastAsia="Calibri"/>
          <w:szCs w:val="24"/>
        </w:rPr>
        <w:t>i</w:t>
      </w:r>
      <w:r w:rsidR="004F47AF">
        <w:rPr>
          <w:rFonts w:eastAsia="Calibri"/>
          <w:szCs w:val="24"/>
        </w:rPr>
        <w:t>s</w:t>
      </w:r>
      <w:r w:rsidR="00C65439">
        <w:rPr>
          <w:rFonts w:eastAsia="Calibri"/>
          <w:szCs w:val="24"/>
        </w:rPr>
        <w:t xml:space="preserve"> </w:t>
      </w:r>
      <w:r w:rsidR="00A87146">
        <w:rPr>
          <w:rFonts w:eastAsia="Calibri"/>
          <w:szCs w:val="24"/>
        </w:rPr>
        <w:t xml:space="preserve">already </w:t>
      </w:r>
      <w:r w:rsidR="00C65439">
        <w:rPr>
          <w:rFonts w:eastAsia="Calibri"/>
          <w:szCs w:val="24"/>
        </w:rPr>
        <w:t>in the Principal Regulations but not clearly defined</w:t>
      </w:r>
      <w:r>
        <w:rPr>
          <w:rFonts w:eastAsia="Calibri"/>
          <w:szCs w:val="24"/>
        </w:rPr>
        <w:t>.</w:t>
      </w:r>
      <w:r w:rsidR="003D6227">
        <w:rPr>
          <w:rFonts w:eastAsia="Calibri"/>
          <w:szCs w:val="24"/>
        </w:rPr>
        <w:t xml:space="preserve"> The initial quarter </w:t>
      </w:r>
      <w:r w:rsidR="0076020F">
        <w:rPr>
          <w:rFonts w:eastAsia="Calibri"/>
          <w:szCs w:val="24"/>
        </w:rPr>
        <w:t xml:space="preserve">means the first quarter </w:t>
      </w:r>
      <w:r w:rsidR="00571DF7">
        <w:rPr>
          <w:rFonts w:eastAsia="Calibri"/>
          <w:szCs w:val="24"/>
        </w:rPr>
        <w:t xml:space="preserve">in which a Part 6A product </w:t>
      </w:r>
      <w:r w:rsidR="00B4605F">
        <w:rPr>
          <w:rFonts w:eastAsia="Calibri"/>
          <w:szCs w:val="24"/>
        </w:rPr>
        <w:t>report</w:t>
      </w:r>
      <w:r w:rsidR="00507284">
        <w:rPr>
          <w:rFonts w:eastAsia="Calibri"/>
          <w:szCs w:val="24"/>
        </w:rPr>
        <w:t>s</w:t>
      </w:r>
      <w:r w:rsidR="00B4605F">
        <w:rPr>
          <w:rFonts w:eastAsia="Calibri"/>
          <w:szCs w:val="24"/>
        </w:rPr>
        <w:t xml:space="preserve"> returns </w:t>
      </w:r>
      <w:r w:rsidR="002016F2">
        <w:rPr>
          <w:rFonts w:eastAsia="Calibri"/>
          <w:szCs w:val="24"/>
        </w:rPr>
        <w:t>to APRA</w:t>
      </w:r>
      <w:r w:rsidR="00B4605F">
        <w:rPr>
          <w:rFonts w:eastAsia="Calibri"/>
          <w:szCs w:val="24"/>
        </w:rPr>
        <w:t xml:space="preserve"> </w:t>
      </w:r>
      <w:r w:rsidR="00FC0DFF">
        <w:rPr>
          <w:rFonts w:eastAsia="Calibri"/>
          <w:szCs w:val="24"/>
        </w:rPr>
        <w:t>because the product has member assets</w:t>
      </w:r>
      <w:r w:rsidR="00571DF7">
        <w:rPr>
          <w:rFonts w:eastAsia="Calibri"/>
          <w:szCs w:val="24"/>
        </w:rPr>
        <w:t xml:space="preserve">. </w:t>
      </w:r>
      <w:r w:rsidR="00FC0DFF">
        <w:rPr>
          <w:rFonts w:eastAsia="Calibri"/>
          <w:szCs w:val="24"/>
        </w:rPr>
        <w:t xml:space="preserve">This provides clarity as there </w:t>
      </w:r>
      <w:r w:rsidR="00E456F0">
        <w:rPr>
          <w:rFonts w:eastAsia="Calibri"/>
          <w:szCs w:val="24"/>
        </w:rPr>
        <w:t>can</w:t>
      </w:r>
      <w:r w:rsidR="00FC0DFF">
        <w:rPr>
          <w:rFonts w:eastAsia="Calibri"/>
          <w:szCs w:val="24"/>
        </w:rPr>
        <w:t xml:space="preserve"> be superannuation products that </w:t>
      </w:r>
      <w:r w:rsidR="00F92123">
        <w:rPr>
          <w:rFonts w:eastAsia="Calibri"/>
          <w:szCs w:val="24"/>
        </w:rPr>
        <w:t xml:space="preserve">meet the definition of a Part 6A product </w:t>
      </w:r>
      <w:r w:rsidR="000172D2">
        <w:rPr>
          <w:rFonts w:eastAsia="Calibri"/>
          <w:szCs w:val="24"/>
        </w:rPr>
        <w:t xml:space="preserve">because they </w:t>
      </w:r>
      <w:r w:rsidR="00555058">
        <w:rPr>
          <w:rFonts w:eastAsia="Calibri"/>
          <w:szCs w:val="24"/>
        </w:rPr>
        <w:t xml:space="preserve">exist and are </w:t>
      </w:r>
      <w:r w:rsidR="00D85F7C">
        <w:rPr>
          <w:rFonts w:eastAsia="Calibri"/>
          <w:szCs w:val="24"/>
        </w:rPr>
        <w:t xml:space="preserve">open to receive members but </w:t>
      </w:r>
      <w:r w:rsidR="00555058">
        <w:rPr>
          <w:rFonts w:eastAsia="Calibri"/>
          <w:szCs w:val="24"/>
        </w:rPr>
        <w:t>do not actually have any members yet.</w:t>
      </w:r>
    </w:p>
    <w:p w14:paraId="42192F36" w14:textId="1AE48910" w:rsidR="003D6227" w:rsidRDefault="00B02C8A" w:rsidP="005C68C9">
      <w:pPr>
        <w:widowControl w:val="0"/>
        <w:adjustRightInd w:val="0"/>
        <w:jc w:val="both"/>
        <w:textAlignment w:val="baseline"/>
        <w:rPr>
          <w:rFonts w:eastAsia="Calibri"/>
        </w:rPr>
      </w:pPr>
      <w:r>
        <w:rPr>
          <w:color w:val="000000" w:themeColor="text1"/>
        </w:rPr>
        <w:t xml:space="preserve">Items </w:t>
      </w:r>
      <w:r w:rsidR="6D185709" w:rsidRPr="4C457AAB">
        <w:rPr>
          <w:color w:val="000000" w:themeColor="text1"/>
        </w:rPr>
        <w:t>14</w:t>
      </w:r>
      <w:r w:rsidR="00C16438">
        <w:t xml:space="preserve">, </w:t>
      </w:r>
      <w:r w:rsidR="5923E5D5">
        <w:t>15</w:t>
      </w:r>
      <w:r w:rsidR="00C16438">
        <w:t xml:space="preserve">, </w:t>
      </w:r>
      <w:r w:rsidR="209DE71D">
        <w:t>17</w:t>
      </w:r>
      <w:r w:rsidR="00C16438">
        <w:t xml:space="preserve"> and </w:t>
      </w:r>
      <w:r w:rsidR="7C9D37E2">
        <w:t>56</w:t>
      </w:r>
      <w:r w:rsidR="005A6D47">
        <w:t xml:space="preserve"> </w:t>
      </w:r>
      <w:r>
        <w:t xml:space="preserve">make consequential amendments relating to the consolidation of the definition. </w:t>
      </w:r>
      <w:r w:rsidR="00C65439">
        <w:t xml:space="preserve">The initial quarter is key to the </w:t>
      </w:r>
      <w:r w:rsidR="00D62143">
        <w:t xml:space="preserve">meaning of a lifecycle Part 6A product, </w:t>
      </w:r>
      <w:r w:rsidR="007167CF">
        <w:t xml:space="preserve">the calculation of SAA, and the identification of benchmark return. </w:t>
      </w:r>
    </w:p>
    <w:p w14:paraId="51E54EDF" w14:textId="77777777" w:rsidR="005C68C9" w:rsidRDefault="005C68C9" w:rsidP="005C68C9">
      <w:pPr>
        <w:spacing w:before="0" w:after="0"/>
      </w:pPr>
    </w:p>
    <w:p w14:paraId="46825E0B" w14:textId="63512CC4" w:rsidR="00145CB2" w:rsidRDefault="00145CB2" w:rsidP="00145CB2">
      <w:pPr>
        <w:spacing w:before="0" w:after="0"/>
      </w:pPr>
      <w:r w:rsidRPr="003848FB">
        <w:rPr>
          <w:b/>
          <w:bCs/>
          <w:i/>
          <w:iCs/>
          <w:color w:val="000000" w:themeColor="text1"/>
        </w:rPr>
        <w:t>Item</w:t>
      </w:r>
      <w:r w:rsidR="00124985">
        <w:rPr>
          <w:b/>
          <w:bCs/>
          <w:i/>
          <w:iCs/>
          <w:color w:val="000000" w:themeColor="text1"/>
        </w:rPr>
        <w:t>s</w:t>
      </w:r>
      <w:r w:rsidRPr="003848FB">
        <w:rPr>
          <w:b/>
          <w:bCs/>
          <w:i/>
          <w:iCs/>
          <w:color w:val="000000" w:themeColor="text1"/>
        </w:rPr>
        <w:t xml:space="preserve"> </w:t>
      </w:r>
      <w:r w:rsidR="00937954">
        <w:rPr>
          <w:b/>
          <w:bCs/>
          <w:i/>
          <w:iCs/>
          <w:color w:val="000000" w:themeColor="text1"/>
        </w:rPr>
        <w:t>3</w:t>
      </w:r>
      <w:r w:rsidR="00C33505">
        <w:rPr>
          <w:b/>
          <w:bCs/>
          <w:i/>
          <w:iCs/>
          <w:color w:val="000000" w:themeColor="text1"/>
        </w:rPr>
        <w:t xml:space="preserve"> and </w:t>
      </w:r>
      <w:r w:rsidR="31FB3D19" w:rsidRPr="052FA6F5">
        <w:rPr>
          <w:b/>
          <w:bCs/>
          <w:i/>
          <w:iCs/>
          <w:color w:val="000000" w:themeColor="text1"/>
        </w:rPr>
        <w:t>59</w:t>
      </w:r>
      <w:r w:rsidRPr="003848FB">
        <w:rPr>
          <w:b/>
          <w:bCs/>
          <w:i/>
          <w:iCs/>
          <w:color w:val="000000" w:themeColor="text1"/>
        </w:rPr>
        <w:t xml:space="preserve"> – </w:t>
      </w:r>
      <w:r>
        <w:rPr>
          <w:b/>
          <w:bCs/>
          <w:i/>
          <w:iCs/>
          <w:color w:val="000000" w:themeColor="text1"/>
        </w:rPr>
        <w:t xml:space="preserve">Table of covered asset classes </w:t>
      </w:r>
    </w:p>
    <w:p w14:paraId="125E9DF9" w14:textId="191A9798" w:rsidR="00145CB2" w:rsidRDefault="00145CB2" w:rsidP="00145CB2">
      <w:pPr>
        <w:widowControl w:val="0"/>
        <w:adjustRightInd w:val="0"/>
        <w:jc w:val="both"/>
        <w:textAlignment w:val="baseline"/>
        <w:rPr>
          <w:rFonts w:eastAsia="Calibri"/>
        </w:rPr>
      </w:pPr>
      <w:r w:rsidRPr="052FA6F5">
        <w:rPr>
          <w:rFonts w:eastAsia="Calibri"/>
        </w:rPr>
        <w:t xml:space="preserve">Item </w:t>
      </w:r>
      <w:r w:rsidR="4CF7C87E" w:rsidRPr="052FA6F5">
        <w:rPr>
          <w:rFonts w:eastAsia="Calibri"/>
        </w:rPr>
        <w:t>59</w:t>
      </w:r>
      <w:r w:rsidRPr="052FA6F5">
        <w:rPr>
          <w:rFonts w:eastAsia="Calibri"/>
        </w:rPr>
        <w:t xml:space="preserve"> updates the table of covered asset classes with corresponding fee, tax and index assumptions under </w:t>
      </w:r>
      <w:proofErr w:type="spellStart"/>
      <w:r w:rsidR="00AF069F" w:rsidRPr="052FA6F5">
        <w:rPr>
          <w:rFonts w:eastAsia="Calibri"/>
        </w:rPr>
        <w:t>subregulation</w:t>
      </w:r>
      <w:proofErr w:type="spellEnd"/>
      <w:r w:rsidR="00AF069F" w:rsidRPr="052FA6F5">
        <w:rPr>
          <w:rFonts w:eastAsia="Calibri"/>
        </w:rPr>
        <w:t xml:space="preserve"> </w:t>
      </w:r>
      <w:r w:rsidRPr="052FA6F5">
        <w:rPr>
          <w:rFonts w:eastAsia="Calibri"/>
        </w:rPr>
        <w:t xml:space="preserve">9AB.17(7) of the Principal </w:t>
      </w:r>
      <w:r w:rsidR="00AF069F" w:rsidRPr="052FA6F5">
        <w:rPr>
          <w:rFonts w:eastAsia="Calibri"/>
        </w:rPr>
        <w:t>R</w:t>
      </w:r>
      <w:r w:rsidRPr="052FA6F5">
        <w:rPr>
          <w:rFonts w:eastAsia="Calibri"/>
        </w:rPr>
        <w:t xml:space="preserve">egulations. </w:t>
      </w:r>
    </w:p>
    <w:p w14:paraId="52DF01FE" w14:textId="77777777" w:rsidR="00145CB2" w:rsidRDefault="00145CB2" w:rsidP="00145CB2">
      <w:pPr>
        <w:widowControl w:val="0"/>
        <w:adjustRightInd w:val="0"/>
        <w:jc w:val="both"/>
        <w:textAlignment w:val="baseline"/>
        <w:rPr>
          <w:rFonts w:eastAsia="Calibri"/>
          <w:szCs w:val="24"/>
        </w:rPr>
      </w:pPr>
      <w:r>
        <w:rPr>
          <w:rFonts w:eastAsia="Calibri"/>
          <w:szCs w:val="24"/>
        </w:rPr>
        <w:t>The purpose of the amendment is to improve the accuracy of the test, reduce the incentive for trustees to avoid certain investments, and reflect the latest index names, while maintaining the integrity of the test.</w:t>
      </w:r>
    </w:p>
    <w:p w14:paraId="505C5161" w14:textId="77777777" w:rsidR="00145CB2" w:rsidRDefault="00145CB2" w:rsidP="00145CB2">
      <w:pPr>
        <w:widowControl w:val="0"/>
        <w:adjustRightInd w:val="0"/>
        <w:jc w:val="both"/>
        <w:textAlignment w:val="baseline"/>
        <w:rPr>
          <w:rFonts w:eastAsia="Calibri"/>
          <w:szCs w:val="24"/>
        </w:rPr>
      </w:pPr>
      <w:r>
        <w:rPr>
          <w:rFonts w:eastAsia="Calibri"/>
          <w:szCs w:val="24"/>
        </w:rPr>
        <w:t>The table provides additional rows to disaggregate some covered asset classes which are now available to be used for the performance test as, under the new asset allocation standard, funds now have the choice to report more granular data. Disaggregated covered asset classes are provided for:</w:t>
      </w:r>
    </w:p>
    <w:p w14:paraId="00AAC37E" w14:textId="77777777" w:rsidR="00145CB2" w:rsidRDefault="00145CB2" w:rsidP="00145CB2">
      <w:pPr>
        <w:pStyle w:val="Bullet"/>
        <w:rPr>
          <w:rFonts w:eastAsia="Calibri"/>
        </w:rPr>
      </w:pPr>
      <w:r w:rsidRPr="60B940B3">
        <w:rPr>
          <w:rFonts w:eastAsia="Calibri"/>
        </w:rPr>
        <w:t>International Equity (hedged; emerging markets)</w:t>
      </w:r>
    </w:p>
    <w:p w14:paraId="321A76AA" w14:textId="77777777" w:rsidR="00145CB2" w:rsidRDefault="00145CB2" w:rsidP="00145CB2">
      <w:pPr>
        <w:pStyle w:val="Bullet"/>
        <w:rPr>
          <w:rFonts w:eastAsia="Calibri"/>
        </w:rPr>
      </w:pPr>
      <w:r w:rsidRPr="60B940B3">
        <w:rPr>
          <w:rFonts w:eastAsia="Calibri"/>
        </w:rPr>
        <w:t>International Equity (hedged; developed markets)</w:t>
      </w:r>
    </w:p>
    <w:p w14:paraId="3C4732F3" w14:textId="77777777" w:rsidR="00145CB2" w:rsidRDefault="00145CB2" w:rsidP="00145CB2">
      <w:pPr>
        <w:pStyle w:val="Bullet"/>
        <w:rPr>
          <w:rFonts w:eastAsia="Calibri"/>
        </w:rPr>
      </w:pPr>
      <w:r w:rsidRPr="60B940B3">
        <w:rPr>
          <w:rFonts w:eastAsia="Calibri"/>
        </w:rPr>
        <w:t>International Equity (unhedged; emerging markets)</w:t>
      </w:r>
    </w:p>
    <w:p w14:paraId="127A556E" w14:textId="77777777" w:rsidR="00145CB2" w:rsidRDefault="00145CB2" w:rsidP="00145CB2">
      <w:pPr>
        <w:pStyle w:val="Bullet"/>
        <w:rPr>
          <w:rFonts w:eastAsia="Calibri"/>
        </w:rPr>
      </w:pPr>
      <w:r w:rsidRPr="60B940B3">
        <w:rPr>
          <w:rFonts w:eastAsia="Calibri"/>
        </w:rPr>
        <w:t>International Equity (unhedged; developed markets)</w:t>
      </w:r>
    </w:p>
    <w:p w14:paraId="7A2C2124" w14:textId="77777777" w:rsidR="00145CB2" w:rsidRDefault="00145CB2" w:rsidP="00145CB2">
      <w:pPr>
        <w:pStyle w:val="Bullet"/>
        <w:rPr>
          <w:rFonts w:eastAsia="Calibri"/>
        </w:rPr>
      </w:pPr>
      <w:r w:rsidRPr="60B940B3">
        <w:rPr>
          <w:rFonts w:eastAsia="Calibri"/>
        </w:rPr>
        <w:t>Australian Fixed Income Excluding Credit</w:t>
      </w:r>
    </w:p>
    <w:p w14:paraId="0A006D86" w14:textId="77777777" w:rsidR="00145CB2" w:rsidRDefault="00145CB2" w:rsidP="00145CB2">
      <w:pPr>
        <w:pStyle w:val="Bullet"/>
        <w:rPr>
          <w:rFonts w:eastAsia="Calibri"/>
        </w:rPr>
      </w:pPr>
      <w:r w:rsidRPr="60B940B3">
        <w:rPr>
          <w:rFonts w:eastAsia="Calibri"/>
        </w:rPr>
        <w:t>Australian Credit</w:t>
      </w:r>
    </w:p>
    <w:p w14:paraId="4D766281" w14:textId="77777777" w:rsidR="00145CB2" w:rsidRDefault="00145CB2" w:rsidP="00145CB2">
      <w:pPr>
        <w:pStyle w:val="Bullet"/>
        <w:rPr>
          <w:rFonts w:eastAsia="Calibri"/>
        </w:rPr>
      </w:pPr>
      <w:r w:rsidRPr="60B940B3">
        <w:rPr>
          <w:rFonts w:eastAsia="Calibri"/>
        </w:rPr>
        <w:t>International Fixed Income Excluding Credit</w:t>
      </w:r>
    </w:p>
    <w:p w14:paraId="51ADCAE0" w14:textId="77777777" w:rsidR="00145CB2" w:rsidRDefault="00145CB2" w:rsidP="00145CB2">
      <w:pPr>
        <w:pStyle w:val="Bullet"/>
        <w:rPr>
          <w:rFonts w:eastAsia="Calibri"/>
        </w:rPr>
      </w:pPr>
      <w:r w:rsidRPr="60B940B3">
        <w:rPr>
          <w:rFonts w:eastAsia="Calibri"/>
        </w:rPr>
        <w:lastRenderedPageBreak/>
        <w:t>International Credit</w:t>
      </w:r>
    </w:p>
    <w:p w14:paraId="134CCF51" w14:textId="77777777" w:rsidR="00145CB2" w:rsidRDefault="00145CB2" w:rsidP="00145CB2">
      <w:pPr>
        <w:pStyle w:val="Bullet"/>
        <w:rPr>
          <w:rFonts w:eastAsia="Calibri"/>
        </w:rPr>
      </w:pPr>
      <w:r w:rsidRPr="60B940B3">
        <w:rPr>
          <w:rFonts w:eastAsia="Calibri"/>
        </w:rPr>
        <w:t>Defensive Alternatives</w:t>
      </w:r>
    </w:p>
    <w:p w14:paraId="04BA0509" w14:textId="6C006485" w:rsidR="00145CB2" w:rsidRDefault="00145CB2" w:rsidP="00145CB2">
      <w:pPr>
        <w:pStyle w:val="Bullet"/>
        <w:rPr>
          <w:rFonts w:eastAsia="Calibri"/>
        </w:rPr>
      </w:pPr>
      <w:r w:rsidRPr="60B940B3">
        <w:rPr>
          <w:rFonts w:eastAsia="Calibri"/>
        </w:rPr>
        <w:t>Growth Alternatives</w:t>
      </w:r>
    </w:p>
    <w:p w14:paraId="6F5FDCFE" w14:textId="4D098CB5" w:rsidR="00145CB2" w:rsidRDefault="00145CB2" w:rsidP="194EDA98">
      <w:pPr>
        <w:widowControl w:val="0"/>
        <w:adjustRightInd w:val="0"/>
        <w:jc w:val="both"/>
        <w:textAlignment w:val="baseline"/>
        <w:rPr>
          <w:rFonts w:eastAsia="Calibri"/>
        </w:rPr>
      </w:pPr>
      <w:r w:rsidRPr="194EDA98">
        <w:rPr>
          <w:rFonts w:eastAsia="Calibri"/>
        </w:rPr>
        <w:t xml:space="preserve">The assumed index </w:t>
      </w:r>
      <w:r w:rsidR="3CDC6671" w:rsidRPr="194EDA98">
        <w:rPr>
          <w:rFonts w:eastAsia="Calibri"/>
        </w:rPr>
        <w:t>is also</w:t>
      </w:r>
      <w:r w:rsidRPr="194EDA98">
        <w:rPr>
          <w:rFonts w:eastAsia="Calibri"/>
        </w:rPr>
        <w:t xml:space="preserve"> updated for the following covered asset classes:</w:t>
      </w:r>
    </w:p>
    <w:p w14:paraId="4BADFB5A" w14:textId="35A3A219" w:rsidR="00145CB2" w:rsidRDefault="00145CB2" w:rsidP="00145CB2">
      <w:pPr>
        <w:pStyle w:val="Bullet"/>
        <w:rPr>
          <w:rFonts w:eastAsia="Calibri"/>
        </w:rPr>
      </w:pPr>
      <w:r w:rsidRPr="194EDA98">
        <w:rPr>
          <w:rFonts w:eastAsia="Calibri"/>
        </w:rPr>
        <w:t>International Unlisted Property</w:t>
      </w:r>
      <w:r w:rsidR="00B31F6A" w:rsidRPr="194EDA98">
        <w:rPr>
          <w:rFonts w:eastAsia="Calibri"/>
        </w:rPr>
        <w:t xml:space="preserve"> </w:t>
      </w:r>
      <w:r w:rsidR="7B3A0E60" w:rsidRPr="194EDA98">
        <w:rPr>
          <w:rFonts w:eastAsia="Calibri"/>
        </w:rPr>
        <w:t>is</w:t>
      </w:r>
      <w:r w:rsidR="00B31F6A" w:rsidRPr="194EDA98">
        <w:rPr>
          <w:rFonts w:eastAsia="Calibri"/>
        </w:rPr>
        <w:t xml:space="preserve"> updated to an index with a greater geographical allocation to international unlisted property assets</w:t>
      </w:r>
      <w:r w:rsidR="00042271" w:rsidRPr="194EDA98">
        <w:rPr>
          <w:rFonts w:eastAsia="Calibri"/>
        </w:rPr>
        <w:t>.</w:t>
      </w:r>
    </w:p>
    <w:p w14:paraId="6C9087EE" w14:textId="32300653" w:rsidR="00145CB2" w:rsidRDefault="00145CB2" w:rsidP="00145CB2">
      <w:pPr>
        <w:pStyle w:val="Bullet"/>
        <w:rPr>
          <w:rFonts w:eastAsia="Calibri"/>
        </w:rPr>
      </w:pPr>
      <w:r w:rsidRPr="194EDA98">
        <w:rPr>
          <w:rFonts w:eastAsia="Calibri"/>
        </w:rPr>
        <w:t xml:space="preserve">Australian </w:t>
      </w:r>
      <w:r w:rsidR="00B31F6A" w:rsidRPr="194EDA98">
        <w:rPr>
          <w:rFonts w:eastAsia="Calibri"/>
        </w:rPr>
        <w:t xml:space="preserve">and International </w:t>
      </w:r>
      <w:r w:rsidRPr="194EDA98">
        <w:rPr>
          <w:rFonts w:eastAsia="Calibri"/>
        </w:rPr>
        <w:t>Unlisted Infrastructure</w:t>
      </w:r>
      <w:r w:rsidR="00B31F6A" w:rsidRPr="194EDA98">
        <w:rPr>
          <w:rFonts w:eastAsia="Calibri"/>
        </w:rPr>
        <w:t xml:space="preserve"> </w:t>
      </w:r>
      <w:r w:rsidR="23CD3BA6" w:rsidRPr="194EDA98">
        <w:rPr>
          <w:rFonts w:eastAsia="Calibri"/>
        </w:rPr>
        <w:t>are</w:t>
      </w:r>
      <w:r w:rsidR="00B31F6A" w:rsidRPr="194EDA98">
        <w:rPr>
          <w:rFonts w:eastAsia="Calibri"/>
        </w:rPr>
        <w:t xml:space="preserve"> updated to a median version of the existing index to ensure that the benchmark</w:t>
      </w:r>
      <w:r w:rsidR="00A82AE3" w:rsidRPr="194EDA98">
        <w:rPr>
          <w:rFonts w:eastAsia="Calibri"/>
        </w:rPr>
        <w:t xml:space="preserve"> remains representative of investments in these asset classes.</w:t>
      </w:r>
    </w:p>
    <w:p w14:paraId="6628CDA3" w14:textId="21F54A9B" w:rsidR="16432DF9" w:rsidRDefault="16432DF9" w:rsidP="60B940B3">
      <w:pPr>
        <w:pStyle w:val="Bullet"/>
        <w:rPr>
          <w:rFonts w:eastAsia="Calibri"/>
        </w:rPr>
      </w:pPr>
      <w:r w:rsidRPr="194EDA98">
        <w:rPr>
          <w:rFonts w:eastAsia="Calibri"/>
        </w:rPr>
        <w:t>Australian and</w:t>
      </w:r>
      <w:r w:rsidR="70B9FBC1" w:rsidRPr="194EDA98">
        <w:rPr>
          <w:rFonts w:eastAsia="Calibri"/>
        </w:rPr>
        <w:t xml:space="preserve"> International</w:t>
      </w:r>
      <w:r w:rsidRPr="194EDA98">
        <w:rPr>
          <w:rFonts w:eastAsia="Calibri"/>
        </w:rPr>
        <w:t xml:space="preserve"> Listed Infrastructure </w:t>
      </w:r>
      <w:r w:rsidR="2DD8C4BF" w:rsidRPr="194EDA98">
        <w:rPr>
          <w:rFonts w:eastAsia="Calibri"/>
        </w:rPr>
        <w:t>are</w:t>
      </w:r>
      <w:r w:rsidRPr="194EDA98">
        <w:rPr>
          <w:rFonts w:eastAsia="Calibri"/>
        </w:rPr>
        <w:t xml:space="preserve"> updated to </w:t>
      </w:r>
      <w:r w:rsidR="51C0AB98" w:rsidRPr="194EDA98">
        <w:rPr>
          <w:rFonts w:eastAsia="Calibri"/>
        </w:rPr>
        <w:t xml:space="preserve">a </w:t>
      </w:r>
      <w:r w:rsidRPr="194EDA98">
        <w:rPr>
          <w:rFonts w:eastAsia="Calibri"/>
        </w:rPr>
        <w:t xml:space="preserve">version of the index that has a </w:t>
      </w:r>
      <w:r w:rsidR="0BE60687" w:rsidRPr="194EDA98">
        <w:rPr>
          <w:rFonts w:eastAsia="Calibri"/>
        </w:rPr>
        <w:t xml:space="preserve">regional and </w:t>
      </w:r>
      <w:r w:rsidRPr="194EDA98">
        <w:rPr>
          <w:rFonts w:eastAsia="Calibri"/>
        </w:rPr>
        <w:t>sectoral allocation more representative of infrastructure investments.</w:t>
      </w:r>
    </w:p>
    <w:p w14:paraId="4F28F71C" w14:textId="2BE7B967" w:rsidR="00B92F87" w:rsidRPr="00136C61" w:rsidRDefault="00B92F87">
      <w:pPr>
        <w:pStyle w:val="Bullet"/>
        <w:numPr>
          <w:ilvl w:val="0"/>
          <w:numId w:val="0"/>
        </w:numPr>
        <w:rPr>
          <w:rFonts w:eastAsia="Calibri"/>
        </w:rPr>
      </w:pPr>
      <w:r w:rsidRPr="00136C61">
        <w:rPr>
          <w:rFonts w:eastAsia="Calibri"/>
        </w:rPr>
        <w:t xml:space="preserve">Item </w:t>
      </w:r>
      <w:r w:rsidR="00937954">
        <w:rPr>
          <w:rFonts w:eastAsia="Calibri"/>
        </w:rPr>
        <w:t>3</w:t>
      </w:r>
      <w:r w:rsidRPr="00136C61">
        <w:rPr>
          <w:rFonts w:eastAsia="Calibri"/>
        </w:rPr>
        <w:t xml:space="preserve"> </w:t>
      </w:r>
      <w:r w:rsidR="00800193" w:rsidRPr="00136C61">
        <w:rPr>
          <w:rFonts w:eastAsia="Calibri"/>
        </w:rPr>
        <w:t>cla</w:t>
      </w:r>
      <w:r w:rsidR="00136C61">
        <w:rPr>
          <w:rFonts w:eastAsia="Calibri"/>
        </w:rPr>
        <w:t>rifies that assumed index has the meaning</w:t>
      </w:r>
      <w:r w:rsidR="00B77F7E">
        <w:rPr>
          <w:rFonts w:eastAsia="Calibri"/>
        </w:rPr>
        <w:t xml:space="preserve"> currently given in </w:t>
      </w:r>
      <w:proofErr w:type="spellStart"/>
      <w:r w:rsidR="00B77F7E">
        <w:rPr>
          <w:rFonts w:eastAsia="Calibri"/>
        </w:rPr>
        <w:t>subregulation</w:t>
      </w:r>
      <w:proofErr w:type="spellEnd"/>
      <w:r w:rsidR="0026221D">
        <w:rPr>
          <w:rFonts w:eastAsia="Calibri"/>
        </w:rPr>
        <w:t> </w:t>
      </w:r>
      <w:r w:rsidR="00B77F7E">
        <w:rPr>
          <w:rFonts w:eastAsia="Calibri"/>
        </w:rPr>
        <w:t>9AB.17(7)</w:t>
      </w:r>
      <w:r w:rsidR="0038662D">
        <w:rPr>
          <w:rFonts w:eastAsia="Calibri"/>
        </w:rPr>
        <w:t>.</w:t>
      </w:r>
    </w:p>
    <w:p w14:paraId="13D5E026" w14:textId="77777777" w:rsidR="00330879" w:rsidRDefault="00330879" w:rsidP="00145CB2">
      <w:pPr>
        <w:spacing w:before="0" w:after="0"/>
      </w:pPr>
    </w:p>
    <w:p w14:paraId="70055C5B" w14:textId="21B8712E" w:rsidR="00495293" w:rsidRPr="001639B6" w:rsidRDefault="00495293" w:rsidP="00495293">
      <w:pPr>
        <w:spacing w:before="0" w:after="0"/>
        <w:rPr>
          <w:b/>
          <w:bCs/>
          <w:i/>
          <w:iCs/>
          <w:color w:val="000000" w:themeColor="text1"/>
        </w:rPr>
      </w:pPr>
      <w:r w:rsidRPr="003848FB">
        <w:rPr>
          <w:b/>
          <w:bCs/>
          <w:i/>
          <w:iCs/>
          <w:color w:val="000000" w:themeColor="text1"/>
        </w:rPr>
        <w:t>Item</w:t>
      </w:r>
      <w:r>
        <w:rPr>
          <w:b/>
          <w:bCs/>
          <w:i/>
          <w:iCs/>
          <w:color w:val="000000" w:themeColor="text1"/>
        </w:rPr>
        <w:t xml:space="preserve">s </w:t>
      </w:r>
      <w:r w:rsidR="50170FD2" w:rsidRPr="3927A29E">
        <w:rPr>
          <w:b/>
          <w:bCs/>
          <w:i/>
          <w:iCs/>
          <w:color w:val="000000" w:themeColor="text1"/>
        </w:rPr>
        <w:t>9, 10, 11, 12 and 13</w:t>
      </w:r>
      <w:r w:rsidRPr="003848FB">
        <w:rPr>
          <w:b/>
          <w:bCs/>
          <w:i/>
          <w:iCs/>
          <w:color w:val="000000" w:themeColor="text1"/>
        </w:rPr>
        <w:t xml:space="preserve"> – </w:t>
      </w:r>
      <w:r>
        <w:rPr>
          <w:b/>
          <w:bCs/>
          <w:i/>
          <w:iCs/>
          <w:color w:val="000000" w:themeColor="text1"/>
        </w:rPr>
        <w:t>Meaning of trustee-directed products</w:t>
      </w:r>
    </w:p>
    <w:p w14:paraId="18B4F14B" w14:textId="77777777" w:rsidR="00495293" w:rsidRDefault="00495293" w:rsidP="00495293">
      <w:pPr>
        <w:spacing w:before="0" w:after="0"/>
      </w:pPr>
    </w:p>
    <w:p w14:paraId="210DA71C" w14:textId="10EE47E8" w:rsidR="00DD7065" w:rsidRDefault="00495293" w:rsidP="00495293">
      <w:pPr>
        <w:spacing w:before="0" w:after="0"/>
      </w:pPr>
      <w:r>
        <w:t>The annual performance test applies for ‘Part 6A products’, which are defined in section</w:t>
      </w:r>
      <w:r w:rsidR="00F916E2">
        <w:t> </w:t>
      </w:r>
      <w:r>
        <w:t xml:space="preserve">60B of the </w:t>
      </w:r>
      <w:r w:rsidR="00DB32DA">
        <w:t>SIS </w:t>
      </w:r>
      <w:r>
        <w:t>Act to be a MySuper product</w:t>
      </w:r>
      <w:r w:rsidR="00DD7065">
        <w:t>,</w:t>
      </w:r>
      <w:r>
        <w:t xml:space="preserve"> or a class of beneficial interest in a regulated superannuation fund, if that class is identified by regulations. </w:t>
      </w:r>
    </w:p>
    <w:p w14:paraId="0D2A084D" w14:textId="77777777" w:rsidR="00DD7065" w:rsidRDefault="00DD7065" w:rsidP="00495293">
      <w:pPr>
        <w:spacing w:before="0" w:after="0"/>
      </w:pPr>
    </w:p>
    <w:p w14:paraId="709982D0" w14:textId="311E497C" w:rsidR="00495293" w:rsidRDefault="00495293" w:rsidP="00495293">
      <w:pPr>
        <w:spacing w:before="0" w:after="0"/>
      </w:pPr>
      <w:r>
        <w:t>Regulation 9AB.2 of the Principal Regulations includes a class known as ‘trustee</w:t>
      </w:r>
      <w:r w:rsidR="00DB32DA">
        <w:t>—</w:t>
      </w:r>
      <w:r>
        <w:t xml:space="preserve">directed products’. APRA </w:t>
      </w:r>
      <w:r w:rsidR="005778A8">
        <w:t>is</w:t>
      </w:r>
      <w:r>
        <w:t xml:space="preserve"> required to conduct the first annual performance test for trustee-directed products by </w:t>
      </w:r>
      <w:r>
        <w:rPr>
          <w:color w:val="000000"/>
          <w:shd w:val="clear" w:color="auto" w:fill="FFFFFF"/>
        </w:rPr>
        <w:t>31 August 2023.</w:t>
      </w:r>
      <w:r w:rsidR="00C2087C">
        <w:rPr>
          <w:color w:val="000000"/>
          <w:shd w:val="clear" w:color="auto" w:fill="FFFFFF"/>
        </w:rPr>
        <w:t xml:space="preserve"> </w:t>
      </w:r>
    </w:p>
    <w:p w14:paraId="4C3C6B16" w14:textId="77777777" w:rsidR="00495293" w:rsidRDefault="00495293" w:rsidP="00495293">
      <w:pPr>
        <w:spacing w:before="0" w:after="0"/>
      </w:pPr>
    </w:p>
    <w:p w14:paraId="44E4F8D8" w14:textId="2EA30E68" w:rsidR="00495293" w:rsidRDefault="00495293" w:rsidP="00495293">
      <w:pPr>
        <w:spacing w:before="0" w:after="0"/>
      </w:pPr>
      <w:r>
        <w:t xml:space="preserve">Broadly, trustee-directed products are accumulation choice products with strategic asset allocations to more than one asset class where the trustee or a </w:t>
      </w:r>
      <w:r w:rsidR="00AD1A08">
        <w:t xml:space="preserve">connected </w:t>
      </w:r>
      <w:r>
        <w:t xml:space="preserve">entity has </w:t>
      </w:r>
      <w:r w:rsidR="00A7587E">
        <w:t>involvement in</w:t>
      </w:r>
      <w:r>
        <w:t xml:space="preserve"> the design or implementation of the investment strategy of the product. </w:t>
      </w:r>
    </w:p>
    <w:p w14:paraId="1F2B45BF" w14:textId="77777777" w:rsidR="00495293" w:rsidRDefault="00495293" w:rsidP="00495293">
      <w:pPr>
        <w:spacing w:before="0" w:after="0"/>
      </w:pPr>
    </w:p>
    <w:p w14:paraId="5A1F6A9B" w14:textId="71DBCCA1" w:rsidR="00495293" w:rsidRDefault="00495293" w:rsidP="00495293">
      <w:pPr>
        <w:spacing w:before="0" w:after="0"/>
      </w:pPr>
      <w:r>
        <w:t xml:space="preserve">Item </w:t>
      </w:r>
      <w:r w:rsidR="70ED173A">
        <w:t>9</w:t>
      </w:r>
      <w:r>
        <w:t xml:space="preserve"> inserts a definition of ‘trustee-directed product’ into regulation 9AB.1 of the Principal Regulations</w:t>
      </w:r>
      <w:r w:rsidRPr="00EB48C3">
        <w:t xml:space="preserve"> </w:t>
      </w:r>
      <w:r w:rsidR="0076702D">
        <w:t xml:space="preserve">(the definitions provision) </w:t>
      </w:r>
      <w:r>
        <w:t xml:space="preserve">and defines the term as having the meaning given by regulation 9AB.2. This </w:t>
      </w:r>
      <w:r w:rsidR="000D5D2A">
        <w:t xml:space="preserve">definition is necessary </w:t>
      </w:r>
      <w:r>
        <w:t>as the amendments made by the Regulations means that the term ‘trustee-directed product’</w:t>
      </w:r>
      <w:r w:rsidR="000D5D2A">
        <w:t xml:space="preserve"> will</w:t>
      </w:r>
      <w:r>
        <w:t xml:space="preserve"> appear throughout Division 9AB</w:t>
      </w:r>
      <w:r w:rsidR="00366772">
        <w:t xml:space="preserve"> of the Principal Regulations</w:t>
      </w:r>
      <w:r w:rsidR="00FB10F2">
        <w:t xml:space="preserve"> </w:t>
      </w:r>
      <w:r w:rsidR="00FB10F2">
        <w:rPr>
          <w:rStyle w:val="normaltextrun"/>
        </w:rPr>
        <w:t>whereas in the Principal Regulations the term only appeared in regulation 9AB.2</w:t>
      </w:r>
      <w:r w:rsidR="00172C52">
        <w:t>.</w:t>
      </w:r>
    </w:p>
    <w:p w14:paraId="02499B52" w14:textId="77777777" w:rsidR="00495293" w:rsidRDefault="00495293" w:rsidP="00495293">
      <w:pPr>
        <w:spacing w:before="0" w:after="0"/>
      </w:pPr>
    </w:p>
    <w:p w14:paraId="5CD8588D" w14:textId="46EF4885" w:rsidR="00495293" w:rsidRDefault="00495293" w:rsidP="00495293">
      <w:pPr>
        <w:spacing w:before="0" w:after="0"/>
      </w:pPr>
      <w:r>
        <w:t xml:space="preserve">Item </w:t>
      </w:r>
      <w:r w:rsidR="6C1C0335">
        <w:t>10</w:t>
      </w:r>
      <w:r>
        <w:t xml:space="preserve"> repeals </w:t>
      </w:r>
      <w:proofErr w:type="spellStart"/>
      <w:r>
        <w:t>subregulation</w:t>
      </w:r>
      <w:proofErr w:type="spellEnd"/>
      <w:r>
        <w:t xml:space="preserve"> 9AB.2(1) of the Principal Regulations and substitutes a revised </w:t>
      </w:r>
      <w:proofErr w:type="spellStart"/>
      <w:r>
        <w:t>subregulation</w:t>
      </w:r>
      <w:proofErr w:type="spellEnd"/>
      <w:r>
        <w:t xml:space="preserve"> to improve readability. The operation of the </w:t>
      </w:r>
      <w:proofErr w:type="spellStart"/>
      <w:r>
        <w:t>subregulation</w:t>
      </w:r>
      <w:proofErr w:type="spellEnd"/>
      <w:r>
        <w:t xml:space="preserve"> is unchanged.  </w:t>
      </w:r>
    </w:p>
    <w:p w14:paraId="72CA092A" w14:textId="77777777" w:rsidR="00495293" w:rsidRDefault="00495293" w:rsidP="00495293">
      <w:pPr>
        <w:spacing w:before="0" w:after="0"/>
      </w:pPr>
    </w:p>
    <w:p w14:paraId="544BD726" w14:textId="74763285" w:rsidR="00CA06D8" w:rsidRDefault="00495293" w:rsidP="00495293">
      <w:pPr>
        <w:spacing w:before="0" w:after="0"/>
      </w:pPr>
      <w:r>
        <w:t xml:space="preserve">Item </w:t>
      </w:r>
      <w:r w:rsidR="007D0B60">
        <w:t>1</w:t>
      </w:r>
      <w:r w:rsidR="56E8EC0A">
        <w:t>1</w:t>
      </w:r>
      <w:r>
        <w:t xml:space="preserve"> repeals paragraph 9AB.2(2)(a) of the Principal Regulations and substitutes a revised paragraph to</w:t>
      </w:r>
      <w:r w:rsidR="00172C52">
        <w:t xml:space="preserve"> clarify</w:t>
      </w:r>
      <w:r>
        <w:t xml:space="preserve"> the </w:t>
      </w:r>
      <w:r w:rsidR="0080698C">
        <w:t xml:space="preserve">class of beneficial interests </w:t>
      </w:r>
      <w:r>
        <w:t xml:space="preserve">that fall within the scope of a ‘trustee directed product’. The </w:t>
      </w:r>
      <w:r w:rsidR="00974117">
        <w:t>inte</w:t>
      </w:r>
      <w:r w:rsidR="00A54AC7">
        <w:t xml:space="preserve">nded </w:t>
      </w:r>
      <w:r>
        <w:t xml:space="preserve">operation of the </w:t>
      </w:r>
      <w:proofErr w:type="spellStart"/>
      <w:r>
        <w:t>subregulation</w:t>
      </w:r>
      <w:proofErr w:type="spellEnd"/>
      <w:r>
        <w:t xml:space="preserve"> is </w:t>
      </w:r>
      <w:r>
        <w:lastRenderedPageBreak/>
        <w:t xml:space="preserve">unchanged. It provides for the test to apply to products where at least one member is in the accumulation phase. </w:t>
      </w:r>
      <w:r w:rsidR="009F63FE">
        <w:t>As provided for under the Principal Regulations, s</w:t>
      </w:r>
      <w:r w:rsidR="0008617F">
        <w:t xml:space="preserve">uperannuation interests that are supporting </w:t>
      </w:r>
      <w:r w:rsidR="00B91995">
        <w:t xml:space="preserve">an income stream in </w:t>
      </w:r>
      <w:r w:rsidR="0008617F">
        <w:t xml:space="preserve">the retirement phase </w:t>
      </w:r>
      <w:r w:rsidR="009F63FE">
        <w:t xml:space="preserve">are not captured by the definition of trustee-directed product. </w:t>
      </w:r>
      <w:r w:rsidR="00FC4B2A">
        <w:t xml:space="preserve">For example, </w:t>
      </w:r>
      <w:r w:rsidR="00870E25">
        <w:t xml:space="preserve">a </w:t>
      </w:r>
      <w:r w:rsidR="003504BC">
        <w:t xml:space="preserve">product will be deemed to be a </w:t>
      </w:r>
      <w:r w:rsidR="00670AA3">
        <w:t xml:space="preserve">trustee-directed product if it has </w:t>
      </w:r>
      <w:r w:rsidR="00E90770">
        <w:t>member assets supporting at least</w:t>
      </w:r>
      <w:r w:rsidR="00C70E5F">
        <w:t xml:space="preserve"> </w:t>
      </w:r>
      <w:r w:rsidR="00321585">
        <w:t>one member in the accumulation phase at the time the test is run.</w:t>
      </w:r>
    </w:p>
    <w:p w14:paraId="4E5DB27A" w14:textId="77777777" w:rsidR="00495293" w:rsidRDefault="00495293" w:rsidP="00495293">
      <w:pPr>
        <w:spacing w:before="0" w:after="0"/>
      </w:pPr>
    </w:p>
    <w:p w14:paraId="7B94E329" w14:textId="52F91BF0" w:rsidR="00495293" w:rsidRDefault="00495293" w:rsidP="00495293">
      <w:pPr>
        <w:spacing w:before="0" w:after="0"/>
      </w:pPr>
      <w:r>
        <w:t xml:space="preserve">Item </w:t>
      </w:r>
      <w:r w:rsidR="007D0B60">
        <w:t>1</w:t>
      </w:r>
      <w:r w:rsidR="6AA16718">
        <w:t>3</w:t>
      </w:r>
      <w:r>
        <w:t xml:space="preserve"> provides rules to allow certain covered asset classes to be treated as one asset class for the purposes of working out whether a product is a trustee-directed product. This ensures that if a certain covered asset class is disaggregated, the same underlying product is consistently tested regardless of how it is reported to APRA. Item </w:t>
      </w:r>
      <w:r w:rsidR="007D0B60">
        <w:t>1</w:t>
      </w:r>
      <w:r w:rsidR="0A2904DB">
        <w:t>2</w:t>
      </w:r>
      <w:r>
        <w:t xml:space="preserve"> makes a minor amendment to correct a reference of “Part 6A product” to the more specific “standard Part 6A product”</w:t>
      </w:r>
      <w:r w:rsidR="00EA4A80">
        <w:t>.</w:t>
      </w:r>
    </w:p>
    <w:p w14:paraId="7ECF5EE0" w14:textId="77777777" w:rsidR="00495293" w:rsidRDefault="00495293" w:rsidP="00145CB2">
      <w:pPr>
        <w:spacing w:before="0" w:after="0"/>
      </w:pPr>
    </w:p>
    <w:p w14:paraId="4E41533B" w14:textId="3EE8BBB5" w:rsidR="00B07D6F" w:rsidRDefault="00B07D6F" w:rsidP="00620D70">
      <w:pPr>
        <w:spacing w:before="0" w:after="0"/>
        <w:rPr>
          <w:b/>
          <w:bCs/>
          <w:i/>
          <w:iCs/>
          <w:color w:val="000000" w:themeColor="text1"/>
        </w:rPr>
      </w:pPr>
      <w:r w:rsidRPr="00BC363F">
        <w:rPr>
          <w:b/>
          <w:bCs/>
          <w:i/>
          <w:iCs/>
          <w:color w:val="000000" w:themeColor="text1"/>
        </w:rPr>
        <w:t>Item</w:t>
      </w:r>
      <w:r>
        <w:rPr>
          <w:b/>
          <w:bCs/>
          <w:i/>
          <w:iCs/>
          <w:color w:val="000000" w:themeColor="text1"/>
        </w:rPr>
        <w:t>s</w:t>
      </w:r>
      <w:r w:rsidRPr="00BC363F">
        <w:rPr>
          <w:b/>
          <w:bCs/>
          <w:i/>
          <w:iCs/>
          <w:color w:val="000000" w:themeColor="text1"/>
        </w:rPr>
        <w:t xml:space="preserve"> </w:t>
      </w:r>
      <w:r w:rsidR="001B5FC6">
        <w:rPr>
          <w:b/>
          <w:bCs/>
          <w:i/>
          <w:iCs/>
          <w:color w:val="000000" w:themeColor="text1"/>
        </w:rPr>
        <w:t xml:space="preserve">5, </w:t>
      </w:r>
      <w:r w:rsidR="7ED31486" w:rsidRPr="5322E202">
        <w:rPr>
          <w:b/>
          <w:bCs/>
          <w:i/>
          <w:iCs/>
          <w:color w:val="000000" w:themeColor="text1"/>
        </w:rPr>
        <w:t>7</w:t>
      </w:r>
      <w:r w:rsidR="001B5FC6" w:rsidRPr="5322E202">
        <w:rPr>
          <w:b/>
          <w:bCs/>
          <w:i/>
          <w:iCs/>
          <w:color w:val="000000" w:themeColor="text1"/>
        </w:rPr>
        <w:t xml:space="preserve">, </w:t>
      </w:r>
      <w:r w:rsidR="04D4F426" w:rsidRPr="5322E202">
        <w:rPr>
          <w:b/>
          <w:bCs/>
          <w:i/>
          <w:iCs/>
          <w:color w:val="000000" w:themeColor="text1"/>
        </w:rPr>
        <w:t>9</w:t>
      </w:r>
      <w:r w:rsidR="7B8FCE2C" w:rsidRPr="5322E202">
        <w:rPr>
          <w:b/>
          <w:bCs/>
          <w:i/>
          <w:iCs/>
          <w:color w:val="000000" w:themeColor="text1"/>
        </w:rPr>
        <w:t>,</w:t>
      </w:r>
      <w:r w:rsidR="4E1E73BE" w:rsidRPr="5322E202">
        <w:rPr>
          <w:b/>
          <w:bCs/>
          <w:i/>
          <w:iCs/>
          <w:color w:val="000000" w:themeColor="text1"/>
        </w:rPr>
        <w:t xml:space="preserve"> </w:t>
      </w:r>
      <w:r w:rsidR="6286DFC9" w:rsidRPr="5322E202">
        <w:rPr>
          <w:b/>
          <w:bCs/>
          <w:i/>
          <w:iCs/>
          <w:color w:val="000000" w:themeColor="text1"/>
        </w:rPr>
        <w:t>27</w:t>
      </w:r>
      <w:r>
        <w:rPr>
          <w:b/>
          <w:bCs/>
          <w:i/>
          <w:iCs/>
          <w:color w:val="000000" w:themeColor="text1"/>
        </w:rPr>
        <w:t xml:space="preserve"> </w:t>
      </w:r>
      <w:r w:rsidR="5F819FF2" w:rsidRPr="59C916FD">
        <w:rPr>
          <w:b/>
          <w:bCs/>
          <w:i/>
          <w:iCs/>
          <w:color w:val="000000" w:themeColor="text1"/>
        </w:rPr>
        <w:t xml:space="preserve">and </w:t>
      </w:r>
      <w:r w:rsidR="628DD035" w:rsidRPr="5322E202">
        <w:rPr>
          <w:b/>
          <w:bCs/>
          <w:i/>
          <w:iCs/>
          <w:color w:val="000000" w:themeColor="text1"/>
        </w:rPr>
        <w:t>5</w:t>
      </w:r>
      <w:r w:rsidR="5F819FF2" w:rsidRPr="59C916FD">
        <w:rPr>
          <w:b/>
          <w:bCs/>
          <w:i/>
          <w:iCs/>
          <w:color w:val="000000" w:themeColor="text1"/>
        </w:rPr>
        <w:t>5</w:t>
      </w:r>
      <w:r w:rsidRPr="59C916FD">
        <w:rPr>
          <w:b/>
          <w:bCs/>
          <w:i/>
          <w:iCs/>
          <w:color w:val="000000" w:themeColor="text1"/>
        </w:rPr>
        <w:t xml:space="preserve"> </w:t>
      </w:r>
      <w:r w:rsidRPr="00BC363F">
        <w:rPr>
          <w:b/>
          <w:bCs/>
          <w:i/>
          <w:iCs/>
          <w:color w:val="000000" w:themeColor="text1"/>
        </w:rPr>
        <w:t>–</w:t>
      </w:r>
      <w:r w:rsidR="00766ACC">
        <w:rPr>
          <w:b/>
          <w:bCs/>
          <w:i/>
          <w:iCs/>
          <w:color w:val="000000" w:themeColor="text1"/>
        </w:rPr>
        <w:t>T</w:t>
      </w:r>
      <w:r w:rsidR="0018025B">
        <w:rPr>
          <w:b/>
          <w:bCs/>
          <w:i/>
          <w:iCs/>
          <w:color w:val="000000" w:themeColor="text1"/>
        </w:rPr>
        <w:t>rustee directed products</w:t>
      </w:r>
      <w:r w:rsidR="00173CA7">
        <w:rPr>
          <w:b/>
          <w:bCs/>
          <w:i/>
          <w:iCs/>
          <w:color w:val="000000" w:themeColor="text1"/>
        </w:rPr>
        <w:t xml:space="preserve"> with </w:t>
      </w:r>
      <w:r w:rsidR="00E90EDD">
        <w:rPr>
          <w:b/>
          <w:bCs/>
          <w:i/>
          <w:iCs/>
          <w:color w:val="000000" w:themeColor="text1"/>
        </w:rPr>
        <w:t>multiple investment pathways</w:t>
      </w:r>
      <w:r>
        <w:rPr>
          <w:b/>
          <w:bCs/>
          <w:i/>
          <w:iCs/>
          <w:color w:val="000000" w:themeColor="text1"/>
        </w:rPr>
        <w:t xml:space="preserve"> </w:t>
      </w:r>
    </w:p>
    <w:p w14:paraId="1C13DCAE" w14:textId="77777777" w:rsidR="00B07D6F" w:rsidRDefault="00B07D6F" w:rsidP="00620D70">
      <w:pPr>
        <w:spacing w:before="0" w:after="0"/>
        <w:rPr>
          <w:b/>
          <w:bCs/>
          <w:color w:val="000000" w:themeColor="text1"/>
        </w:rPr>
      </w:pPr>
    </w:p>
    <w:p w14:paraId="2344C2DA" w14:textId="75E0AAE3" w:rsidR="00AC7EED" w:rsidRDefault="00AC7EED" w:rsidP="00D311BC">
      <w:pPr>
        <w:spacing w:before="0" w:after="0"/>
      </w:pPr>
      <w:r>
        <w:t xml:space="preserve">Trustee-directed products are </w:t>
      </w:r>
      <w:r w:rsidRPr="00760497">
        <w:t>offered to members through investment menus. A single</w:t>
      </w:r>
      <w:r>
        <w:t xml:space="preserve"> trustee-directed product may be offered through one or more investment menus. There are three types of investment menus: generic, lifecycle option, and platform.</w:t>
      </w:r>
    </w:p>
    <w:p w14:paraId="7AAFE049" w14:textId="735D821C" w:rsidR="0012557F" w:rsidRDefault="0012557F" w:rsidP="00D311BC">
      <w:pPr>
        <w:spacing w:before="0" w:after="0"/>
      </w:pPr>
    </w:p>
    <w:p w14:paraId="4F74534E" w14:textId="5C0618A9" w:rsidR="00D419E1" w:rsidRDefault="00D419E1" w:rsidP="00DF1141">
      <w:pPr>
        <w:spacing w:before="0" w:after="0"/>
      </w:pPr>
      <w:r>
        <w:t xml:space="preserve">Item </w:t>
      </w:r>
      <w:r w:rsidR="0B167223">
        <w:t>7</w:t>
      </w:r>
      <w:r>
        <w:t xml:space="preserve"> </w:t>
      </w:r>
      <w:r w:rsidR="004054BE">
        <w:t xml:space="preserve">inserts </w:t>
      </w:r>
      <w:r w:rsidR="00532AC5">
        <w:t>a</w:t>
      </w:r>
      <w:r w:rsidR="004054BE">
        <w:t xml:space="preserve"> definition </w:t>
      </w:r>
      <w:r w:rsidR="00826C3F">
        <w:t xml:space="preserve">of a ‘platform TDP’, which is a </w:t>
      </w:r>
      <w:r w:rsidR="00760893">
        <w:t>trustee-directed product that is offered through one or more investment menus of the platform type, as reported to APRA in accordance with the applicable RSE structure standard.</w:t>
      </w:r>
    </w:p>
    <w:p w14:paraId="2181746B" w14:textId="39EAF060" w:rsidR="0099315F" w:rsidRDefault="0099315F" w:rsidP="005966DC">
      <w:pPr>
        <w:pStyle w:val="Bullet"/>
        <w:numPr>
          <w:ilvl w:val="0"/>
          <w:numId w:val="0"/>
        </w:numPr>
      </w:pPr>
      <w:r>
        <w:t xml:space="preserve">Items 5 and </w:t>
      </w:r>
      <w:r w:rsidR="404BF940">
        <w:t>9</w:t>
      </w:r>
      <w:r>
        <w:t xml:space="preserve"> insert definitions </w:t>
      </w:r>
      <w:r w:rsidR="001E1565">
        <w:t xml:space="preserve">which represent the variety of </w:t>
      </w:r>
      <w:r w:rsidR="0027550E">
        <w:t xml:space="preserve">ways in which members can access </w:t>
      </w:r>
      <w:r w:rsidR="00DD2A71">
        <w:t>‘</w:t>
      </w:r>
      <w:r w:rsidR="009E653D">
        <w:t>platform TDPs</w:t>
      </w:r>
      <w:r w:rsidR="00DD2A71">
        <w:t>’</w:t>
      </w:r>
      <w:r w:rsidR="009E653D">
        <w:t>.</w:t>
      </w:r>
      <w:r w:rsidR="00AE005B">
        <w:t xml:space="preserve"> Specifically, these sub-categories of </w:t>
      </w:r>
      <w:r w:rsidR="006D6120">
        <w:t xml:space="preserve">platform </w:t>
      </w:r>
      <w:r w:rsidR="00DD2A71">
        <w:t>TDPs are:</w:t>
      </w:r>
    </w:p>
    <w:p w14:paraId="3E93E4C9" w14:textId="144EA123" w:rsidR="00DD2A71" w:rsidRDefault="00B132ED" w:rsidP="00DD2A71">
      <w:pPr>
        <w:pStyle w:val="Bullet"/>
      </w:pPr>
      <w:r>
        <w:t>a</w:t>
      </w:r>
      <w:r w:rsidR="00DD2A71">
        <w:t xml:space="preserve"> ‘hybrid platform TDP’ </w:t>
      </w:r>
      <w:r>
        <w:t xml:space="preserve">which </w:t>
      </w:r>
      <w:r w:rsidR="00DD2A71">
        <w:t>means a platform TDP that is offered through one or more investment menus of the generic type or the lifecycle option type (in addition to investment menus of the platform type), as reported to APRA in accordance with the applicable RSE structure standard</w:t>
      </w:r>
      <w:r>
        <w:t>; and</w:t>
      </w:r>
      <w:r w:rsidR="00DD2A71">
        <w:t xml:space="preserve"> </w:t>
      </w:r>
    </w:p>
    <w:p w14:paraId="18682D7E" w14:textId="058E3FA9" w:rsidR="009F7A78" w:rsidRDefault="00B132ED" w:rsidP="00B132ED">
      <w:pPr>
        <w:pStyle w:val="Bullet"/>
      </w:pPr>
      <w:r>
        <w:t>a</w:t>
      </w:r>
      <w:r w:rsidR="00DD2A71">
        <w:t xml:space="preserve"> ‘standard platform TDP’</w:t>
      </w:r>
      <w:r>
        <w:t xml:space="preserve"> which</w:t>
      </w:r>
      <w:r w:rsidR="00DD2A71">
        <w:t xml:space="preserve"> means a platform TDP that is not a hybrid platform TDP.</w:t>
      </w:r>
    </w:p>
    <w:p w14:paraId="10EDBAC9" w14:textId="6536AA13" w:rsidR="00D311BC" w:rsidRDefault="00D311BC" w:rsidP="00B132ED">
      <w:pPr>
        <w:spacing w:before="0" w:after="0" w:line="259" w:lineRule="auto"/>
      </w:pPr>
      <w:r>
        <w:t xml:space="preserve">In extending the </w:t>
      </w:r>
      <w:r w:rsidR="0098074B">
        <w:t xml:space="preserve">performance </w:t>
      </w:r>
      <w:r>
        <w:t xml:space="preserve">test to trustee-directed products, the amendments ensure </w:t>
      </w:r>
      <w:r w:rsidR="49C5EE96">
        <w:t>products will be tested against other comparable products</w:t>
      </w:r>
      <w:r>
        <w:t xml:space="preserve">. </w:t>
      </w:r>
      <w:r w:rsidR="2162F861">
        <w:t>This means, generally, trustee-directed products of the platform type are tested against other trustee-directed products of the platform type, and trustee-directed products of the non-platform type (that is, those offered through generic and lifecycle option investment menus) are tested against other trustee-directed products of the non-platform type.</w:t>
      </w:r>
      <w:r>
        <w:t xml:space="preserve"> </w:t>
      </w:r>
      <w:r w:rsidRPr="00BC363F">
        <w:t xml:space="preserve">The purpose of the amendments </w:t>
      </w:r>
      <w:r w:rsidR="00206920">
        <w:t>is</w:t>
      </w:r>
      <w:r w:rsidRPr="00BC363F">
        <w:t xml:space="preserve"> to ensure the </w:t>
      </w:r>
      <w:r>
        <w:t xml:space="preserve">test </w:t>
      </w:r>
      <w:r w:rsidRPr="00B72DEC">
        <w:t>operate</w:t>
      </w:r>
      <w:r>
        <w:t>s</w:t>
      </w:r>
      <w:r w:rsidRPr="00B72DEC">
        <w:t xml:space="preserve"> fairly in </w:t>
      </w:r>
      <w:r>
        <w:t>its</w:t>
      </w:r>
      <w:r w:rsidRPr="00C03DCC">
        <w:t xml:space="preserve"> </w:t>
      </w:r>
      <w:r w:rsidRPr="00133EB5">
        <w:t xml:space="preserve">application </w:t>
      </w:r>
      <w:r w:rsidRPr="00675E47">
        <w:t>to trustee</w:t>
      </w:r>
      <w:r w:rsidRPr="00C90E38">
        <w:t>-directed products</w:t>
      </w:r>
      <w:r>
        <w:t xml:space="preserve"> which vary in their structures and consequently in administration fees and costs</w:t>
      </w:r>
      <w:r w:rsidRPr="00B72DEC">
        <w:t>.</w:t>
      </w:r>
      <w:r>
        <w:t xml:space="preserve"> </w:t>
      </w:r>
    </w:p>
    <w:p w14:paraId="0B2361BA" w14:textId="77777777" w:rsidR="00D311BC" w:rsidRDefault="00D311BC" w:rsidP="00D311BC">
      <w:pPr>
        <w:spacing w:before="0" w:after="0"/>
      </w:pPr>
      <w:r>
        <w:t xml:space="preserve"> </w:t>
      </w:r>
    </w:p>
    <w:p w14:paraId="6C4D67B5" w14:textId="57237324" w:rsidR="00B2270A" w:rsidRDefault="007A2F98" w:rsidP="00620D70">
      <w:pPr>
        <w:spacing w:before="0" w:after="0"/>
      </w:pPr>
      <w:r>
        <w:t>Item 2</w:t>
      </w:r>
      <w:r w:rsidR="0B7DB458">
        <w:t>7</w:t>
      </w:r>
      <w:r>
        <w:t xml:space="preserve"> amends regulation 9AB.10 of the Principal Regulations to clarify how the performance test applies to hybrid TDPs. </w:t>
      </w:r>
      <w:r w:rsidR="00F47314">
        <w:t>W</w:t>
      </w:r>
      <w:r w:rsidR="00D311BC" w:rsidRPr="00DD7C5A">
        <w:t xml:space="preserve">here </w:t>
      </w:r>
      <w:r w:rsidR="00D311BC">
        <w:t>a trustee-directed product is offered</w:t>
      </w:r>
      <w:r w:rsidR="00D311BC" w:rsidRPr="00DD7C5A">
        <w:t xml:space="preserve"> through </w:t>
      </w:r>
      <w:r w:rsidR="00D311BC">
        <w:t>both</w:t>
      </w:r>
      <w:r w:rsidR="00D311BC" w:rsidRPr="00DD7C5A">
        <w:t xml:space="preserve"> platform and non</w:t>
      </w:r>
      <w:r w:rsidR="5D281D61" w:rsidRPr="00DD7C5A">
        <w:t>-</w:t>
      </w:r>
      <w:r w:rsidR="00D311BC" w:rsidRPr="00DD7C5A">
        <w:t xml:space="preserve">platform </w:t>
      </w:r>
      <w:r w:rsidR="00D311BC">
        <w:t xml:space="preserve">investment menus (that is, it is a hybrid platform TDP), that product is separated into two notional products. One notional </w:t>
      </w:r>
      <w:r w:rsidR="00D311BC">
        <w:lastRenderedPageBreak/>
        <w:t>product will be based on its platform investment menu characteristics and the other based on its non-platform menu characteristics. The two notional products are tested independently</w:t>
      </w:r>
      <w:r w:rsidR="5F271731">
        <w:t>:</w:t>
      </w:r>
      <w:r w:rsidR="00D311BC">
        <w:t xml:space="preserve"> the notional platform TDP tested against comparable</w:t>
      </w:r>
      <w:r w:rsidR="00D311BC" w:rsidRPr="00DD7C5A">
        <w:t xml:space="preserve"> </w:t>
      </w:r>
      <w:r w:rsidR="00D311BC">
        <w:t xml:space="preserve">trustee-directed products of the platform type, and the other tested against trustee-directed products of the non-platform type. </w:t>
      </w:r>
      <w:r w:rsidR="005238B2">
        <w:t xml:space="preserve">For </w:t>
      </w:r>
      <w:r w:rsidR="00136B33">
        <w:t>the overall</w:t>
      </w:r>
      <w:r w:rsidR="005238B2">
        <w:t xml:space="preserve"> </w:t>
      </w:r>
      <w:r w:rsidR="00B01B71">
        <w:t>product to pass the performance</w:t>
      </w:r>
      <w:r w:rsidR="00991B41">
        <w:t xml:space="preserve"> test, both notional products </w:t>
      </w:r>
      <w:r w:rsidR="003F5B5C">
        <w:t>must</w:t>
      </w:r>
      <w:r w:rsidR="00991B41">
        <w:t xml:space="preserve"> </w:t>
      </w:r>
      <w:r w:rsidR="00136B33">
        <w:t>pass the</w:t>
      </w:r>
      <w:r w:rsidR="001D4B6F">
        <w:t>ir respective</w:t>
      </w:r>
      <w:r w:rsidR="00136B33">
        <w:t xml:space="preserve"> test</w:t>
      </w:r>
      <w:r w:rsidR="001D4B6F">
        <w:t>s</w:t>
      </w:r>
      <w:r w:rsidR="00D311BC">
        <w:t xml:space="preserve">. This means if one of the two notional products has failed the performance test, then the Part 6A product has failed. </w:t>
      </w:r>
    </w:p>
    <w:p w14:paraId="67635143" w14:textId="0175D39E" w:rsidR="00D311BC" w:rsidRPr="00493C08" w:rsidRDefault="00D311BC" w:rsidP="00620D70">
      <w:pPr>
        <w:spacing w:before="0" w:after="0"/>
      </w:pPr>
      <w:r>
        <w:t xml:space="preserve">Item </w:t>
      </w:r>
      <w:r w:rsidR="003F2689">
        <w:t>55</w:t>
      </w:r>
      <w:r>
        <w:t xml:space="preserve"> repeals paragraph 9AB.16(2)(b) </w:t>
      </w:r>
      <w:r w:rsidR="00C32621">
        <w:t xml:space="preserve">of the Principal Regulations </w:t>
      </w:r>
      <w:r>
        <w:t xml:space="preserve">and substitutes paragraphs 9AB.16(2)(b) and (c) to ensure that a ‘benchmark RAFE’ may be accurately computed for all Part 6A products. As amended, </w:t>
      </w:r>
      <w:proofErr w:type="spellStart"/>
      <w:r>
        <w:t>subregulation</w:t>
      </w:r>
      <w:proofErr w:type="spellEnd"/>
      <w:r>
        <w:t xml:space="preserve"> 9AB.16(2) </w:t>
      </w:r>
      <w:r w:rsidR="5D200FFA">
        <w:t>ensures the</w:t>
      </w:r>
      <w:r>
        <w:t xml:space="preserve"> ‘benchmark RAFE’ which is the median administration fee</w:t>
      </w:r>
      <w:r w:rsidR="00E4065B">
        <w:t>s</w:t>
      </w:r>
      <w:r>
        <w:t xml:space="preserve"> and expenses (as charged on a $50,000 balance) can be computed across a certain category of products where the category is: MySuper products, not MySuper products that are platform TDPs, and not MySuper products that are not platform TDPs. This means that when a hybrid platform TDP is separated into the two notional products, regulation 9AB.16 </w:t>
      </w:r>
      <w:r w:rsidR="019D63B3">
        <w:t>allows</w:t>
      </w:r>
      <w:r>
        <w:t xml:space="preserve"> two benchmark RAFEs to be computed and used in the separate tests.  </w:t>
      </w:r>
    </w:p>
    <w:p w14:paraId="5C18C015" w14:textId="77777777" w:rsidR="00D311BC" w:rsidRPr="00493C08" w:rsidRDefault="00D311BC" w:rsidP="00620D70">
      <w:pPr>
        <w:spacing w:before="0" w:after="0"/>
        <w:rPr>
          <w:b/>
          <w:bCs/>
          <w:color w:val="000000" w:themeColor="text1"/>
        </w:rPr>
      </w:pPr>
    </w:p>
    <w:p w14:paraId="1FD7966D" w14:textId="3378AA84" w:rsidR="00C23EFC" w:rsidRPr="003848FB" w:rsidRDefault="00C23EFC" w:rsidP="00C23EFC">
      <w:pPr>
        <w:spacing w:before="0" w:after="0"/>
        <w:rPr>
          <w:b/>
          <w:bCs/>
          <w:i/>
          <w:iCs/>
          <w:color w:val="000000" w:themeColor="text1"/>
        </w:rPr>
      </w:pPr>
      <w:r w:rsidRPr="003848FB">
        <w:rPr>
          <w:b/>
          <w:bCs/>
          <w:i/>
          <w:iCs/>
          <w:color w:val="000000" w:themeColor="text1"/>
        </w:rPr>
        <w:t xml:space="preserve">Item </w:t>
      </w:r>
      <w:r w:rsidR="6CFC0F64" w:rsidRPr="33A7C357">
        <w:rPr>
          <w:b/>
          <w:bCs/>
          <w:i/>
          <w:iCs/>
          <w:color w:val="000000" w:themeColor="text1"/>
        </w:rPr>
        <w:t>68</w:t>
      </w:r>
      <w:r w:rsidRPr="003848FB">
        <w:rPr>
          <w:b/>
          <w:bCs/>
          <w:i/>
          <w:iCs/>
          <w:color w:val="000000" w:themeColor="text1"/>
        </w:rPr>
        <w:t xml:space="preserve"> – </w:t>
      </w:r>
      <w:r>
        <w:rPr>
          <w:b/>
          <w:bCs/>
          <w:i/>
          <w:iCs/>
          <w:color w:val="000000" w:themeColor="text1"/>
        </w:rPr>
        <w:t xml:space="preserve">Trustee notification to beneficiaries </w:t>
      </w:r>
    </w:p>
    <w:p w14:paraId="2CB29D07" w14:textId="77777777" w:rsidR="00C23EFC" w:rsidRDefault="00C23EFC" w:rsidP="00C23EFC">
      <w:pPr>
        <w:spacing w:before="0" w:after="0"/>
      </w:pPr>
    </w:p>
    <w:p w14:paraId="5B3EEFAE" w14:textId="2CB775AD" w:rsidR="00C23EFC" w:rsidRDefault="00C23EFC" w:rsidP="00C23EFC">
      <w:pPr>
        <w:spacing w:before="0" w:after="0"/>
        <w:rPr>
          <w:color w:val="000000"/>
          <w:shd w:val="clear" w:color="auto" w:fill="FFFFFF"/>
        </w:rPr>
      </w:pPr>
      <w:r>
        <w:rPr>
          <w:color w:val="000000"/>
          <w:shd w:val="clear" w:color="auto" w:fill="FFFFFF"/>
        </w:rPr>
        <w:t xml:space="preserve">Under section 60E of the </w:t>
      </w:r>
      <w:r w:rsidR="00DB32DA">
        <w:rPr>
          <w:color w:val="000000"/>
          <w:shd w:val="clear" w:color="auto" w:fill="FFFFFF"/>
        </w:rPr>
        <w:t>SIS </w:t>
      </w:r>
      <w:r>
        <w:rPr>
          <w:color w:val="000000"/>
          <w:shd w:val="clear" w:color="auto" w:fill="FFFFFF"/>
        </w:rPr>
        <w:t xml:space="preserve">Act, trustees are required to notify beneficiaries if a Part 6A product fails the performance test. Subsection 60E(6) of the </w:t>
      </w:r>
      <w:r w:rsidR="00DB32DA">
        <w:rPr>
          <w:color w:val="000000"/>
          <w:shd w:val="clear" w:color="auto" w:fill="FFFFFF"/>
        </w:rPr>
        <w:t>SIS </w:t>
      </w:r>
      <w:r>
        <w:rPr>
          <w:color w:val="000000"/>
          <w:shd w:val="clear" w:color="auto" w:fill="FFFFFF"/>
        </w:rPr>
        <w:t>Act states that the notice from the trustee that a product has failed the performance test must be in the form</w:t>
      </w:r>
      <w:r w:rsidR="00BF4F5B" w:rsidRPr="36B3C776">
        <w:rPr>
          <w:color w:val="000000" w:themeColor="text1"/>
        </w:rPr>
        <w:t>,</w:t>
      </w:r>
      <w:r>
        <w:rPr>
          <w:color w:val="000000"/>
          <w:shd w:val="clear" w:color="auto" w:fill="FFFFFF"/>
        </w:rPr>
        <w:t xml:space="preserve"> and contain information of a kind</w:t>
      </w:r>
      <w:r w:rsidR="00BF4F5B" w:rsidRPr="36B3C776">
        <w:rPr>
          <w:color w:val="000000" w:themeColor="text1"/>
        </w:rPr>
        <w:t>,</w:t>
      </w:r>
      <w:r>
        <w:rPr>
          <w:color w:val="000000"/>
          <w:shd w:val="clear" w:color="auto" w:fill="FFFFFF"/>
        </w:rPr>
        <w:t xml:space="preserve"> specified in regulations. Schedule 2A of the Principal Regulations sets out this form and information as template letters. It includes standard words explaining why the member has received the notice, and how poor performance of a superannuation </w:t>
      </w:r>
      <w:r w:rsidR="000D7766">
        <w:rPr>
          <w:color w:val="000000"/>
          <w:shd w:val="clear" w:color="auto" w:fill="FFFFFF"/>
        </w:rPr>
        <w:t xml:space="preserve">investment option </w:t>
      </w:r>
      <w:r>
        <w:rPr>
          <w:color w:val="000000"/>
          <w:shd w:val="clear" w:color="auto" w:fill="FFFFFF"/>
        </w:rPr>
        <w:t>can negatively affect their retirement income.</w:t>
      </w:r>
    </w:p>
    <w:p w14:paraId="187DD3C2" w14:textId="77777777" w:rsidR="00C23EFC" w:rsidRDefault="00C23EFC" w:rsidP="00C23EFC">
      <w:pPr>
        <w:spacing w:before="0" w:after="0"/>
      </w:pPr>
    </w:p>
    <w:p w14:paraId="2E318262" w14:textId="37324D51" w:rsidR="00C23EFC" w:rsidRDefault="00C23EFC" w:rsidP="00C23EFC">
      <w:pPr>
        <w:spacing w:before="0" w:after="0"/>
      </w:pPr>
      <w:r>
        <w:t xml:space="preserve">Item </w:t>
      </w:r>
      <w:r w:rsidR="2A8BC3FA">
        <w:t>68</w:t>
      </w:r>
      <w:r>
        <w:t xml:space="preserve"> repeals Schedule 2A to the Principal Regulations and substitutes a new Schedule 2A with new letter templates and instructions on when each should be used, as well as revised standard words. There are five template letters that trustees may use depending on the type of Part 6A product and whether it has failed the performance test once or consecutive times:</w:t>
      </w:r>
    </w:p>
    <w:p w14:paraId="3C63B953" w14:textId="77777777" w:rsidR="00C23EFC" w:rsidRDefault="00C23EFC" w:rsidP="00C23EFC">
      <w:pPr>
        <w:pStyle w:val="Bullet"/>
      </w:pPr>
      <w:r>
        <w:t>MySuper product</w:t>
      </w:r>
    </w:p>
    <w:p w14:paraId="58C9892E" w14:textId="77777777" w:rsidR="00C23EFC" w:rsidRDefault="00C23EFC" w:rsidP="00C23EFC">
      <w:pPr>
        <w:pStyle w:val="Bullet"/>
      </w:pPr>
      <w:r>
        <w:t>Platform trustee-directed product with a single failure</w:t>
      </w:r>
    </w:p>
    <w:p w14:paraId="46A0965B" w14:textId="77777777" w:rsidR="00C23EFC" w:rsidRDefault="00C23EFC" w:rsidP="00C23EFC">
      <w:pPr>
        <w:pStyle w:val="Bullet"/>
      </w:pPr>
      <w:r>
        <w:t>Platform trustee-directed product with consecutive failures</w:t>
      </w:r>
    </w:p>
    <w:p w14:paraId="19B50970" w14:textId="77777777" w:rsidR="00C23EFC" w:rsidRDefault="00C23EFC" w:rsidP="00C23EFC">
      <w:pPr>
        <w:pStyle w:val="Bullet"/>
      </w:pPr>
      <w:r>
        <w:t>Non-platform trustee-directed product with a single failure</w:t>
      </w:r>
    </w:p>
    <w:p w14:paraId="5137C223" w14:textId="327AE5E2" w:rsidR="00C23EFC" w:rsidRDefault="00C23EFC" w:rsidP="00C23EFC">
      <w:pPr>
        <w:pStyle w:val="Bullet"/>
      </w:pPr>
      <w:r>
        <w:t>Non-platform trustee-directed product with consecutive failures.</w:t>
      </w:r>
    </w:p>
    <w:p w14:paraId="631F983F" w14:textId="5DCB6BFA" w:rsidR="00C23EFC" w:rsidRDefault="008B1E01" w:rsidP="00C23EFC">
      <w:pPr>
        <w:spacing w:before="0" w:after="0"/>
      </w:pPr>
      <w:r>
        <w:t xml:space="preserve">If a beneficiary has more than one failed MySuper product </w:t>
      </w:r>
      <w:r w:rsidR="000C3B10">
        <w:t xml:space="preserve">offered by the trustee, the trustee is expected to send a separate letter for each failed MySuper product </w:t>
      </w:r>
      <w:r w:rsidR="00D96211">
        <w:t xml:space="preserve">to the beneficiary. </w:t>
      </w:r>
      <w:r w:rsidR="00C23EFC">
        <w:t xml:space="preserve">If a beneficiary has more than one failed Part 6A product offered by the trustee, the trustee </w:t>
      </w:r>
      <w:r w:rsidR="009030D5">
        <w:t>has the option</w:t>
      </w:r>
      <w:r w:rsidR="00C23EFC">
        <w:t xml:space="preserve"> to send one consolidated letter </w:t>
      </w:r>
      <w:r w:rsidR="00691D0E">
        <w:t xml:space="preserve">within </w:t>
      </w:r>
      <w:r w:rsidR="00C23EFC">
        <w:t xml:space="preserve">each of the </w:t>
      </w:r>
      <w:r w:rsidR="001F6C90">
        <w:t>non</w:t>
      </w:r>
      <w:r w:rsidR="2CBA7210">
        <w:t>-</w:t>
      </w:r>
      <w:r w:rsidR="001F6C90">
        <w:noBreakHyphen/>
        <w:t xml:space="preserve">MySuper </w:t>
      </w:r>
      <w:r w:rsidR="00C23EFC">
        <w:t>categories above. For example, if a beneficiary has three platform trustee</w:t>
      </w:r>
      <w:r w:rsidR="007B1D9D">
        <w:t>-</w:t>
      </w:r>
      <w:r w:rsidR="00C23EFC">
        <w:t xml:space="preserve">directed products with a single failure (one consolidated letter) and four </w:t>
      </w:r>
      <w:r w:rsidR="00C23EFC">
        <w:lastRenderedPageBreak/>
        <w:t xml:space="preserve">platform trustee-directed products with consecutive failures (one consolidated letter), the trustee </w:t>
      </w:r>
      <w:r w:rsidR="004457B4">
        <w:t>can</w:t>
      </w:r>
      <w:r w:rsidR="00C23EFC">
        <w:t xml:space="preserve"> send two consolidated letters. In another example, if a beneficiary has </w:t>
      </w:r>
      <w:r w:rsidR="00146778">
        <w:t>one MySuper product</w:t>
      </w:r>
      <w:r w:rsidR="00C23EFC">
        <w:t xml:space="preserve"> with a single failure (one letter) and </w:t>
      </w:r>
      <w:r w:rsidR="00595CDF">
        <w:t>three</w:t>
      </w:r>
      <w:r w:rsidR="00DE796D">
        <w:t xml:space="preserve"> </w:t>
      </w:r>
      <w:r w:rsidR="00C23EFC">
        <w:t>non</w:t>
      </w:r>
      <w:r w:rsidR="00595CDF">
        <w:noBreakHyphen/>
      </w:r>
      <w:r w:rsidR="00C23EFC">
        <w:t>platform trustee</w:t>
      </w:r>
      <w:r w:rsidR="00ED3193">
        <w:noBreakHyphen/>
      </w:r>
      <w:r w:rsidR="00C23EFC">
        <w:t xml:space="preserve">directed products with a single failure (one consolidated letter), the trustee </w:t>
      </w:r>
      <w:r w:rsidR="004457B4">
        <w:t>can</w:t>
      </w:r>
      <w:r w:rsidR="00C23EFC">
        <w:t xml:space="preserve"> send two letters.</w:t>
      </w:r>
    </w:p>
    <w:p w14:paraId="1E985157" w14:textId="25E52676" w:rsidR="198C00C0" w:rsidRDefault="198C00C0" w:rsidP="198C00C0">
      <w:pPr>
        <w:spacing w:before="0" w:after="0"/>
      </w:pPr>
    </w:p>
    <w:p w14:paraId="53AAE40E" w14:textId="285A2C12" w:rsidR="00C23EFC" w:rsidRDefault="00C23EFC" w:rsidP="00C23EFC">
      <w:pPr>
        <w:spacing w:before="0" w:after="0"/>
      </w:pPr>
      <w:r>
        <w:t>The revised standard words intend to improve accessibility and effectiveness by using simpler language, and clearly explain what the result means for beneficiaries in different situations.</w:t>
      </w:r>
    </w:p>
    <w:p w14:paraId="750B694C" w14:textId="77777777" w:rsidR="00C23EFC" w:rsidRDefault="00C23EFC" w:rsidP="00C23EFC">
      <w:pPr>
        <w:spacing w:before="0" w:after="0"/>
      </w:pPr>
    </w:p>
    <w:p w14:paraId="6E4F5DD5" w14:textId="11150F42" w:rsidR="0075695E" w:rsidRDefault="0075695E" w:rsidP="0075695E">
      <w:pPr>
        <w:spacing w:before="0" w:after="0"/>
        <w:rPr>
          <w:b/>
          <w:bCs/>
          <w:i/>
          <w:iCs/>
          <w:color w:val="000000" w:themeColor="text1"/>
        </w:rPr>
      </w:pPr>
      <w:r w:rsidRPr="00110CAD">
        <w:rPr>
          <w:b/>
          <w:bCs/>
          <w:i/>
          <w:iCs/>
          <w:color w:val="000000" w:themeColor="text1"/>
        </w:rPr>
        <w:t>Item</w:t>
      </w:r>
      <w:r>
        <w:rPr>
          <w:b/>
          <w:bCs/>
          <w:i/>
          <w:iCs/>
          <w:color w:val="000000" w:themeColor="text1"/>
        </w:rPr>
        <w:t>s</w:t>
      </w:r>
      <w:r w:rsidRPr="00110CAD">
        <w:rPr>
          <w:b/>
          <w:bCs/>
          <w:i/>
          <w:iCs/>
          <w:color w:val="000000" w:themeColor="text1"/>
        </w:rPr>
        <w:t xml:space="preserve"> </w:t>
      </w:r>
      <w:r>
        <w:rPr>
          <w:b/>
          <w:bCs/>
          <w:i/>
          <w:iCs/>
          <w:color w:val="000000" w:themeColor="text1"/>
        </w:rPr>
        <w:t>5</w:t>
      </w:r>
      <w:r w:rsidRPr="00110CAD">
        <w:rPr>
          <w:b/>
          <w:bCs/>
          <w:i/>
          <w:iCs/>
          <w:color w:val="000000" w:themeColor="text1"/>
        </w:rPr>
        <w:t>,</w:t>
      </w:r>
      <w:r w:rsidR="60FAEC5D" w:rsidRPr="5252D129">
        <w:rPr>
          <w:b/>
          <w:bCs/>
          <w:i/>
          <w:iCs/>
          <w:color w:val="000000" w:themeColor="text1"/>
        </w:rPr>
        <w:t xml:space="preserve"> </w:t>
      </w:r>
      <w:r w:rsidR="71AE1BE0" w:rsidRPr="33A7C357">
        <w:rPr>
          <w:b/>
          <w:bCs/>
          <w:i/>
          <w:iCs/>
          <w:color w:val="000000" w:themeColor="text1"/>
        </w:rPr>
        <w:t>23</w:t>
      </w:r>
      <w:r w:rsidR="5CB75582" w:rsidRPr="33A7C357">
        <w:rPr>
          <w:b/>
          <w:bCs/>
          <w:i/>
          <w:iCs/>
          <w:color w:val="000000" w:themeColor="text1"/>
        </w:rPr>
        <w:t>,</w:t>
      </w:r>
      <w:r w:rsidR="60FAEC5D" w:rsidRPr="33A7C357">
        <w:rPr>
          <w:b/>
          <w:bCs/>
          <w:i/>
          <w:iCs/>
          <w:color w:val="000000" w:themeColor="text1"/>
        </w:rPr>
        <w:t xml:space="preserve"> 2</w:t>
      </w:r>
      <w:r w:rsidR="72CE7907" w:rsidRPr="33A7C357">
        <w:rPr>
          <w:b/>
          <w:bCs/>
          <w:i/>
          <w:iCs/>
          <w:color w:val="000000" w:themeColor="text1"/>
        </w:rPr>
        <w:t>9</w:t>
      </w:r>
      <w:r w:rsidR="00E30CBE" w:rsidRPr="33A7C357">
        <w:rPr>
          <w:b/>
          <w:bCs/>
          <w:i/>
          <w:iCs/>
          <w:color w:val="000000" w:themeColor="text1"/>
        </w:rPr>
        <w:t>,</w:t>
      </w:r>
      <w:r w:rsidRPr="33A7C357">
        <w:rPr>
          <w:b/>
          <w:bCs/>
          <w:i/>
          <w:iCs/>
          <w:color w:val="000000" w:themeColor="text1"/>
        </w:rPr>
        <w:t xml:space="preserve"> </w:t>
      </w:r>
      <w:r w:rsidR="06E9C8EE" w:rsidRPr="33A7C357">
        <w:rPr>
          <w:b/>
          <w:bCs/>
          <w:i/>
          <w:iCs/>
          <w:color w:val="000000" w:themeColor="text1"/>
        </w:rPr>
        <w:t>30</w:t>
      </w:r>
      <w:r w:rsidRPr="33A7C357">
        <w:rPr>
          <w:b/>
          <w:bCs/>
          <w:i/>
          <w:iCs/>
          <w:color w:val="000000" w:themeColor="text1"/>
        </w:rPr>
        <w:t xml:space="preserve">, </w:t>
      </w:r>
      <w:r w:rsidR="17478E60" w:rsidRPr="33A7C357">
        <w:rPr>
          <w:b/>
          <w:bCs/>
          <w:i/>
          <w:iCs/>
          <w:color w:val="000000" w:themeColor="text1"/>
        </w:rPr>
        <w:t>31</w:t>
      </w:r>
      <w:r w:rsidR="68F45DC9" w:rsidRPr="33A7C357">
        <w:rPr>
          <w:b/>
          <w:bCs/>
          <w:i/>
          <w:iCs/>
          <w:color w:val="000000" w:themeColor="text1"/>
        </w:rPr>
        <w:t>,</w:t>
      </w:r>
      <w:r w:rsidRPr="33A7C357">
        <w:rPr>
          <w:b/>
          <w:bCs/>
          <w:i/>
          <w:iCs/>
          <w:color w:val="000000" w:themeColor="text1"/>
        </w:rPr>
        <w:t xml:space="preserve"> </w:t>
      </w:r>
      <w:r w:rsidR="380FECDA" w:rsidRPr="33A7C357">
        <w:rPr>
          <w:b/>
          <w:bCs/>
          <w:i/>
          <w:iCs/>
          <w:color w:val="000000" w:themeColor="text1"/>
        </w:rPr>
        <w:t>34</w:t>
      </w:r>
      <w:r w:rsidR="6F65010E" w:rsidRPr="33A7C357">
        <w:rPr>
          <w:b/>
          <w:bCs/>
          <w:i/>
          <w:iCs/>
          <w:color w:val="000000" w:themeColor="text1"/>
        </w:rPr>
        <w:t xml:space="preserve">, </w:t>
      </w:r>
      <w:r w:rsidR="3F292728" w:rsidRPr="33A7C357">
        <w:rPr>
          <w:b/>
          <w:bCs/>
          <w:i/>
          <w:iCs/>
          <w:color w:val="000000" w:themeColor="text1"/>
        </w:rPr>
        <w:t>35</w:t>
      </w:r>
      <w:r w:rsidR="0E9143FD" w:rsidRPr="295EBEF1">
        <w:rPr>
          <w:b/>
          <w:bCs/>
          <w:i/>
          <w:iCs/>
          <w:color w:val="000000" w:themeColor="text1"/>
        </w:rPr>
        <w:t xml:space="preserve"> and</w:t>
      </w:r>
      <w:r w:rsidRPr="00110CAD">
        <w:rPr>
          <w:b/>
          <w:bCs/>
          <w:i/>
          <w:iCs/>
          <w:color w:val="000000" w:themeColor="text1"/>
        </w:rPr>
        <w:t xml:space="preserve"> </w:t>
      </w:r>
      <w:r w:rsidR="1DAD1557" w:rsidRPr="33A7C357">
        <w:rPr>
          <w:b/>
          <w:bCs/>
          <w:i/>
          <w:iCs/>
          <w:color w:val="000000" w:themeColor="text1"/>
        </w:rPr>
        <w:t>36</w:t>
      </w:r>
      <w:r w:rsidRPr="0DF90EAF">
        <w:rPr>
          <w:b/>
          <w:bCs/>
          <w:i/>
          <w:iCs/>
          <w:color w:val="000000" w:themeColor="text1"/>
        </w:rPr>
        <w:t xml:space="preserve"> </w:t>
      </w:r>
      <w:r w:rsidRPr="00110CAD">
        <w:rPr>
          <w:b/>
          <w:bCs/>
          <w:i/>
          <w:iCs/>
          <w:color w:val="000000" w:themeColor="text1"/>
        </w:rPr>
        <w:t xml:space="preserve">– Definition of </w:t>
      </w:r>
      <w:r>
        <w:rPr>
          <w:b/>
          <w:bCs/>
          <w:i/>
          <w:iCs/>
          <w:color w:val="000000" w:themeColor="text1"/>
        </w:rPr>
        <w:t xml:space="preserve">‘return’ </w:t>
      </w:r>
      <w:r w:rsidR="00676E66">
        <w:rPr>
          <w:b/>
          <w:bCs/>
          <w:i/>
          <w:iCs/>
          <w:color w:val="000000" w:themeColor="text1"/>
        </w:rPr>
        <w:t>for the calculation of ‘actual return’</w:t>
      </w:r>
    </w:p>
    <w:p w14:paraId="75CFABBD" w14:textId="77777777" w:rsidR="0075695E" w:rsidRDefault="0075695E" w:rsidP="0075695E">
      <w:pPr>
        <w:spacing w:before="0" w:after="0"/>
        <w:rPr>
          <w:b/>
          <w:bCs/>
          <w:i/>
          <w:iCs/>
          <w:color w:val="000000" w:themeColor="text1"/>
        </w:rPr>
      </w:pPr>
    </w:p>
    <w:p w14:paraId="3AFC5923" w14:textId="764AC348" w:rsidR="0075695E" w:rsidRDefault="0075695E" w:rsidP="0075695E">
      <w:pPr>
        <w:spacing w:before="0" w:after="0"/>
        <w:rPr>
          <w:color w:val="000000" w:themeColor="text1"/>
        </w:rPr>
      </w:pPr>
      <w:r w:rsidRPr="7BF36F2D">
        <w:rPr>
          <w:color w:val="000000" w:themeColor="text1"/>
        </w:rPr>
        <w:t xml:space="preserve">Under the Principal Regulations, the variable 'NIR’ is used to calculate the actual return part of the performance measure of a Part 6A product (see the formulas in regulations 9AB.11 and 9AB.12). Amendments are made to clarify how the performance test is calculated in circumstances where trustees report ‘net investment return’ or ‘gross investment return net of fees’. This is to reflect the different </w:t>
      </w:r>
      <w:r w:rsidR="00E86CA7" w:rsidRPr="7BF36F2D">
        <w:rPr>
          <w:color w:val="000000" w:themeColor="text1"/>
        </w:rPr>
        <w:t>methods</w:t>
      </w:r>
      <w:r w:rsidRPr="7BF36F2D">
        <w:rPr>
          <w:color w:val="000000" w:themeColor="text1"/>
        </w:rPr>
        <w:t xml:space="preserve"> trustees may report investment return under the investment performance standard. ‘Net investment return’ is adjusted for tax whereas ‘gross investment return net of fees’ is not. Item </w:t>
      </w:r>
      <w:r w:rsidR="1782CAA0" w:rsidRPr="4E94CC75">
        <w:rPr>
          <w:color w:val="000000" w:themeColor="text1"/>
        </w:rPr>
        <w:t>29</w:t>
      </w:r>
      <w:r w:rsidRPr="7BF36F2D">
        <w:rPr>
          <w:color w:val="000000" w:themeColor="text1"/>
        </w:rPr>
        <w:t xml:space="preserve"> </w:t>
      </w:r>
      <w:r>
        <w:t>and </w:t>
      </w:r>
      <w:r w:rsidR="1DF0DD34">
        <w:t>34</w:t>
      </w:r>
      <w:r w:rsidRPr="7BF36F2D">
        <w:rPr>
          <w:color w:val="000000" w:themeColor="text1"/>
        </w:rPr>
        <w:t xml:space="preserve"> makes a consequential change to update the variable NIR to ‘Return’ in the relevant formulas to reflect </w:t>
      </w:r>
      <w:r w:rsidR="06F84E23" w:rsidRPr="7BF36F2D">
        <w:rPr>
          <w:color w:val="000000" w:themeColor="text1"/>
        </w:rPr>
        <w:t xml:space="preserve">that </w:t>
      </w:r>
      <w:r w:rsidRPr="7BF36F2D">
        <w:rPr>
          <w:color w:val="000000" w:themeColor="text1"/>
        </w:rPr>
        <w:t>the variable now takes into account the two different ways trustees may report their data about investment return.</w:t>
      </w:r>
    </w:p>
    <w:p w14:paraId="7DF467B5" w14:textId="77777777" w:rsidR="0075695E" w:rsidRDefault="0075695E" w:rsidP="0075695E">
      <w:pPr>
        <w:spacing w:before="0" w:after="0"/>
        <w:rPr>
          <w:color w:val="000000" w:themeColor="text1"/>
        </w:rPr>
      </w:pPr>
    </w:p>
    <w:p w14:paraId="53370D15" w14:textId="6FF70129" w:rsidR="002B6A21" w:rsidRDefault="002B6A21" w:rsidP="0075695E">
      <w:pPr>
        <w:spacing w:before="0" w:after="0"/>
        <w:rPr>
          <w:color w:val="000000" w:themeColor="text1"/>
        </w:rPr>
      </w:pPr>
      <w:r w:rsidRPr="002B6A21">
        <w:rPr>
          <w:color w:val="000000" w:themeColor="text1"/>
        </w:rPr>
        <w:t>Item</w:t>
      </w:r>
      <w:r w:rsidR="00AB3936">
        <w:rPr>
          <w:color w:val="000000" w:themeColor="text1"/>
        </w:rPr>
        <w:t>s 3</w:t>
      </w:r>
      <w:r w:rsidR="00091B48">
        <w:rPr>
          <w:color w:val="000000" w:themeColor="text1"/>
        </w:rPr>
        <w:t>0</w:t>
      </w:r>
      <w:r w:rsidR="00AB3936">
        <w:rPr>
          <w:color w:val="000000" w:themeColor="text1"/>
        </w:rPr>
        <w:t xml:space="preserve"> and</w:t>
      </w:r>
      <w:r w:rsidRPr="002B6A21">
        <w:rPr>
          <w:color w:val="000000" w:themeColor="text1"/>
        </w:rPr>
        <w:t xml:space="preserve"> </w:t>
      </w:r>
      <w:r w:rsidR="1B2660EF" w:rsidRPr="4E94CC75">
        <w:rPr>
          <w:color w:val="000000" w:themeColor="text1"/>
        </w:rPr>
        <w:t>35</w:t>
      </w:r>
      <w:r w:rsidRPr="002B6A21">
        <w:rPr>
          <w:color w:val="000000" w:themeColor="text1"/>
        </w:rPr>
        <w:t xml:space="preserve"> repeal</w:t>
      </w:r>
      <w:r w:rsidR="00371241">
        <w:rPr>
          <w:color w:val="000000" w:themeColor="text1"/>
        </w:rPr>
        <w:t>s</w:t>
      </w:r>
      <w:r w:rsidRPr="002B6A21">
        <w:rPr>
          <w:color w:val="000000" w:themeColor="text1"/>
        </w:rPr>
        <w:t xml:space="preserve"> the definition of ‘NIR’ as the Regulations update this variable to ‘return’</w:t>
      </w:r>
      <w:r w:rsidR="001455E7">
        <w:rPr>
          <w:color w:val="000000" w:themeColor="text1"/>
        </w:rPr>
        <w:t xml:space="preserve"> so a definition of </w:t>
      </w:r>
      <w:r w:rsidR="00B018FC">
        <w:rPr>
          <w:color w:val="000000" w:themeColor="text1"/>
        </w:rPr>
        <w:t>‘</w:t>
      </w:r>
      <w:r w:rsidR="001455E7">
        <w:rPr>
          <w:color w:val="000000" w:themeColor="text1"/>
        </w:rPr>
        <w:t>NIR</w:t>
      </w:r>
      <w:r w:rsidR="00B018FC">
        <w:rPr>
          <w:color w:val="000000" w:themeColor="text1"/>
        </w:rPr>
        <w:t>’</w:t>
      </w:r>
      <w:r w:rsidR="001455E7">
        <w:rPr>
          <w:color w:val="000000" w:themeColor="text1"/>
        </w:rPr>
        <w:t xml:space="preserve"> is no longer required</w:t>
      </w:r>
      <w:r w:rsidRPr="002B6A21">
        <w:rPr>
          <w:color w:val="000000" w:themeColor="text1"/>
        </w:rPr>
        <w:t>.</w:t>
      </w:r>
    </w:p>
    <w:p w14:paraId="023BC1A2" w14:textId="77777777" w:rsidR="002B6A21" w:rsidRDefault="002B6A21" w:rsidP="0075695E">
      <w:pPr>
        <w:spacing w:before="0" w:after="0"/>
        <w:rPr>
          <w:color w:val="000000" w:themeColor="text1"/>
        </w:rPr>
      </w:pPr>
    </w:p>
    <w:p w14:paraId="243B7C59" w14:textId="1B5660BC" w:rsidR="0075695E" w:rsidRDefault="0075695E" w:rsidP="0075695E">
      <w:pPr>
        <w:spacing w:before="0" w:after="0"/>
        <w:rPr>
          <w:color w:val="000000" w:themeColor="text1"/>
        </w:rPr>
      </w:pPr>
      <w:r w:rsidRPr="198EFC3E">
        <w:rPr>
          <w:color w:val="000000" w:themeColor="text1"/>
        </w:rPr>
        <w:t>Item 5 inserts a definition of ‘gross investment return net of fees’</w:t>
      </w:r>
      <w:r w:rsidR="54796621" w:rsidRPr="198EFC3E">
        <w:rPr>
          <w:color w:val="000000" w:themeColor="text1"/>
        </w:rPr>
        <w:t>.</w:t>
      </w:r>
      <w:r w:rsidR="5B0EB4BB" w:rsidRPr="198EFC3E">
        <w:rPr>
          <w:color w:val="000000" w:themeColor="text1"/>
        </w:rPr>
        <w:t xml:space="preserve"> </w:t>
      </w:r>
      <w:r w:rsidR="008B37E3">
        <w:rPr>
          <w:color w:val="000000" w:themeColor="text1"/>
        </w:rPr>
        <w:t>T</w:t>
      </w:r>
      <w:r w:rsidR="5B0EB4BB" w:rsidRPr="198EFC3E">
        <w:rPr>
          <w:color w:val="000000" w:themeColor="text1"/>
        </w:rPr>
        <w:t>his</w:t>
      </w:r>
      <w:r w:rsidRPr="198EFC3E">
        <w:rPr>
          <w:color w:val="000000" w:themeColor="text1"/>
        </w:rPr>
        <w:t xml:space="preserve"> has the same meaning as in the investment performance standard</w:t>
      </w:r>
      <w:r>
        <w:t xml:space="preserve">. </w:t>
      </w:r>
    </w:p>
    <w:p w14:paraId="191E23E6" w14:textId="77777777" w:rsidR="0075695E" w:rsidRDefault="0075695E" w:rsidP="0075695E">
      <w:pPr>
        <w:spacing w:before="0" w:after="0"/>
        <w:rPr>
          <w:color w:val="000000" w:themeColor="text1"/>
        </w:rPr>
      </w:pPr>
    </w:p>
    <w:p w14:paraId="3453DF8F" w14:textId="76362084" w:rsidR="0075695E" w:rsidRDefault="0075695E" w:rsidP="0075695E">
      <w:pPr>
        <w:spacing w:before="0" w:after="0"/>
        <w:rPr>
          <w:color w:val="000000" w:themeColor="text1"/>
        </w:rPr>
      </w:pPr>
      <w:r>
        <w:rPr>
          <w:color w:val="000000" w:themeColor="text1"/>
        </w:rPr>
        <w:t xml:space="preserve">Item </w:t>
      </w:r>
      <w:r w:rsidR="247AEDF0" w:rsidRPr="4E94CC75">
        <w:rPr>
          <w:color w:val="000000" w:themeColor="text1"/>
        </w:rPr>
        <w:t>31</w:t>
      </w:r>
      <w:r>
        <w:rPr>
          <w:color w:val="000000" w:themeColor="text1"/>
        </w:rPr>
        <w:t xml:space="preserve"> amends </w:t>
      </w:r>
      <w:proofErr w:type="spellStart"/>
      <w:r>
        <w:rPr>
          <w:color w:val="000000" w:themeColor="text1"/>
        </w:rPr>
        <w:t>subregulation</w:t>
      </w:r>
      <w:proofErr w:type="spellEnd"/>
      <w:r>
        <w:rPr>
          <w:color w:val="000000" w:themeColor="text1"/>
        </w:rPr>
        <w:t xml:space="preserve"> 9AB.12(2) of the Principal Regulations to clarify that ‘return’ for a Part 6A product in relation to a quarter means: </w:t>
      </w:r>
    </w:p>
    <w:p w14:paraId="10B442D9" w14:textId="77777777" w:rsidR="0075695E" w:rsidRPr="00E67012" w:rsidRDefault="0075695E" w:rsidP="0075695E">
      <w:pPr>
        <w:pStyle w:val="Bullet"/>
      </w:pPr>
      <w:r>
        <w:rPr>
          <w:color w:val="000000" w:themeColor="text1"/>
        </w:rPr>
        <w:t xml:space="preserve">the Part 6A product’s net investment return in relation to the quarter, or </w:t>
      </w:r>
    </w:p>
    <w:p w14:paraId="6E7546C3" w14:textId="18F82C22" w:rsidR="0075695E" w:rsidRDefault="00B379F7" w:rsidP="0075695E">
      <w:pPr>
        <w:pStyle w:val="Bullet"/>
      </w:pPr>
      <w:r>
        <w:rPr>
          <w:color w:val="000000" w:themeColor="text1"/>
        </w:rPr>
        <w:t xml:space="preserve">if </w:t>
      </w:r>
      <w:r w:rsidR="0075695E">
        <w:rPr>
          <w:color w:val="000000" w:themeColor="text1"/>
        </w:rPr>
        <w:t xml:space="preserve">it is not possible </w:t>
      </w:r>
      <w:r w:rsidR="0075695E">
        <w:t xml:space="preserve">to identify the Part 6A product’s net investment return in relation to the quarter from information available to APRA, but it is possible to identify the Part 6A product’s gross investment return net of fees in relation to the quarter from information available to APRA, then ‘return’ means gross investment return net of fees in relation to the quarter. </w:t>
      </w:r>
    </w:p>
    <w:p w14:paraId="24288F11" w14:textId="4E1C7AE0" w:rsidR="0075695E" w:rsidRDefault="0075695E" w:rsidP="0075695E">
      <w:pPr>
        <w:pStyle w:val="Bullet"/>
        <w:numPr>
          <w:ilvl w:val="0"/>
          <w:numId w:val="0"/>
        </w:numPr>
      </w:pPr>
      <w:r>
        <w:t>This ensures that for the purposes of calculating a ‘return’</w:t>
      </w:r>
      <w:r w:rsidR="35DC6EDC">
        <w:t>,</w:t>
      </w:r>
      <w:r>
        <w:t xml:space="preserve"> APRA are able to use the data point that is reported to APRA in accordance with the applicable investment performance standard. </w:t>
      </w:r>
    </w:p>
    <w:p w14:paraId="43054C21" w14:textId="77777777" w:rsidR="0075695E" w:rsidRDefault="0075695E" w:rsidP="0075695E">
      <w:pPr>
        <w:spacing w:before="0" w:after="0"/>
      </w:pPr>
    </w:p>
    <w:p w14:paraId="2215B4C2" w14:textId="108F5861" w:rsidR="003B2083" w:rsidRDefault="0075695E" w:rsidP="0075695E">
      <w:pPr>
        <w:spacing w:before="0" w:after="0"/>
        <w:rPr>
          <w:color w:val="000000" w:themeColor="text1"/>
        </w:rPr>
      </w:pPr>
      <w:r>
        <w:rPr>
          <w:color w:val="000000" w:themeColor="text1"/>
        </w:rPr>
        <w:t xml:space="preserve">Item </w:t>
      </w:r>
      <w:r w:rsidR="6574F710" w:rsidRPr="1D964AB8">
        <w:rPr>
          <w:color w:val="000000" w:themeColor="text1"/>
        </w:rPr>
        <w:t>36</w:t>
      </w:r>
      <w:r w:rsidRPr="00AC139B">
        <w:rPr>
          <w:color w:val="000000" w:themeColor="text1"/>
        </w:rPr>
        <w:t xml:space="preserve"> </w:t>
      </w:r>
      <w:r>
        <w:rPr>
          <w:color w:val="000000" w:themeColor="text1"/>
        </w:rPr>
        <w:t xml:space="preserve">makes a similar amendment to </w:t>
      </w:r>
      <w:proofErr w:type="spellStart"/>
      <w:r>
        <w:rPr>
          <w:color w:val="000000" w:themeColor="text1"/>
        </w:rPr>
        <w:t>subregulation</w:t>
      </w:r>
      <w:proofErr w:type="spellEnd"/>
      <w:r>
        <w:rPr>
          <w:color w:val="000000" w:themeColor="text1"/>
        </w:rPr>
        <w:t xml:space="preserve"> 9AB.12(2) of the Principal Regulations to clarify ‘return’ </w:t>
      </w:r>
      <w:r w:rsidRPr="00634EEA">
        <w:rPr>
          <w:color w:val="000000" w:themeColor="text1"/>
        </w:rPr>
        <w:t xml:space="preserve">for </w:t>
      </w:r>
      <w:r w:rsidRPr="006812C0">
        <w:rPr>
          <w:color w:val="000000" w:themeColor="text1"/>
        </w:rPr>
        <w:t>lifecycle</w:t>
      </w:r>
      <w:r w:rsidRPr="00634EEA">
        <w:rPr>
          <w:color w:val="000000" w:themeColor="text1"/>
        </w:rPr>
        <w:t xml:space="preserve"> Part 6A products</w:t>
      </w:r>
      <w:r>
        <w:rPr>
          <w:color w:val="000000" w:themeColor="text1"/>
        </w:rPr>
        <w:t xml:space="preserve">. </w:t>
      </w:r>
    </w:p>
    <w:p w14:paraId="3D46565F" w14:textId="7E29BBC7" w:rsidR="0075695E" w:rsidRDefault="0075695E" w:rsidP="0075695E">
      <w:pPr>
        <w:spacing w:before="0" w:after="0"/>
        <w:rPr>
          <w:color w:val="000000" w:themeColor="text1"/>
        </w:rPr>
      </w:pPr>
      <w:r>
        <w:rPr>
          <w:color w:val="000000" w:themeColor="text1"/>
        </w:rPr>
        <w:t xml:space="preserve"> </w:t>
      </w:r>
    </w:p>
    <w:p w14:paraId="4E6C3FD2" w14:textId="498E29F0" w:rsidR="0075695E" w:rsidRDefault="005639E8" w:rsidP="0075695E">
      <w:pPr>
        <w:spacing w:before="0" w:after="0"/>
      </w:pPr>
      <w:r>
        <w:lastRenderedPageBreak/>
        <w:t xml:space="preserve">Item 23 makes a </w:t>
      </w:r>
      <w:r w:rsidR="00E51FD8">
        <w:t>consequential</w:t>
      </w:r>
      <w:r>
        <w:t xml:space="preserve"> amendment to update ‘net return’ </w:t>
      </w:r>
      <w:r w:rsidR="00B3593B">
        <w:t xml:space="preserve">which appears in </w:t>
      </w:r>
      <w:proofErr w:type="spellStart"/>
      <w:r w:rsidR="00933211">
        <w:rPr>
          <w:color w:val="000000" w:themeColor="text1"/>
        </w:rPr>
        <w:t>subregulation</w:t>
      </w:r>
      <w:proofErr w:type="spellEnd"/>
      <w:r w:rsidR="00933211">
        <w:rPr>
          <w:color w:val="000000" w:themeColor="text1"/>
        </w:rPr>
        <w:t xml:space="preserve"> 9AB.6</w:t>
      </w:r>
      <w:r w:rsidR="008114C9">
        <w:rPr>
          <w:color w:val="000000" w:themeColor="text1"/>
        </w:rPr>
        <w:t>(1)</w:t>
      </w:r>
      <w:r w:rsidR="00933211">
        <w:rPr>
          <w:color w:val="000000" w:themeColor="text1"/>
        </w:rPr>
        <w:t xml:space="preserve"> of the Principal Regulations </w:t>
      </w:r>
      <w:r>
        <w:t>to reflect that funds now report ‘net investment return or gross investment return net of fees’.</w:t>
      </w:r>
    </w:p>
    <w:p w14:paraId="44C724F4" w14:textId="77777777" w:rsidR="003B2083" w:rsidRDefault="003B2083" w:rsidP="0075695E">
      <w:pPr>
        <w:spacing w:before="0" w:after="0"/>
        <w:rPr>
          <w:color w:val="000000" w:themeColor="text1"/>
        </w:rPr>
      </w:pPr>
    </w:p>
    <w:p w14:paraId="411D9059" w14:textId="584A46DF" w:rsidR="009542F3" w:rsidRPr="009542F3" w:rsidRDefault="009542F3" w:rsidP="009542F3">
      <w:pPr>
        <w:spacing w:before="0" w:after="0"/>
        <w:rPr>
          <w:b/>
          <w:bCs/>
          <w:i/>
          <w:iCs/>
          <w:color w:val="000000" w:themeColor="text1"/>
        </w:rPr>
      </w:pPr>
      <w:r>
        <w:rPr>
          <w:b/>
          <w:bCs/>
          <w:i/>
          <w:iCs/>
          <w:color w:val="000000" w:themeColor="text1"/>
        </w:rPr>
        <w:t xml:space="preserve">Items </w:t>
      </w:r>
      <w:r w:rsidR="02C4A62E" w:rsidRPr="12AF5DDD">
        <w:rPr>
          <w:b/>
          <w:bCs/>
          <w:i/>
          <w:iCs/>
          <w:color w:val="000000" w:themeColor="text1"/>
        </w:rPr>
        <w:t>45</w:t>
      </w:r>
      <w:r>
        <w:rPr>
          <w:b/>
          <w:bCs/>
          <w:i/>
          <w:iCs/>
          <w:color w:val="000000" w:themeColor="text1"/>
        </w:rPr>
        <w:t xml:space="preserve"> and </w:t>
      </w:r>
      <w:r w:rsidRPr="12AF5DDD">
        <w:rPr>
          <w:b/>
          <w:bCs/>
          <w:i/>
          <w:iCs/>
          <w:color w:val="000000" w:themeColor="text1"/>
        </w:rPr>
        <w:t>4</w:t>
      </w:r>
      <w:r w:rsidR="609088D7" w:rsidRPr="12AF5DDD">
        <w:rPr>
          <w:b/>
          <w:bCs/>
          <w:i/>
          <w:iCs/>
          <w:color w:val="000000" w:themeColor="text1"/>
        </w:rPr>
        <w:t>9</w:t>
      </w:r>
      <w:r>
        <w:rPr>
          <w:b/>
          <w:bCs/>
          <w:i/>
          <w:iCs/>
          <w:color w:val="000000" w:themeColor="text1"/>
        </w:rPr>
        <w:t xml:space="preserve"> – Calculation of ‘benchmark return’ where gross investment return net of fees is reported</w:t>
      </w:r>
    </w:p>
    <w:p w14:paraId="26377C34" w14:textId="4EA59934" w:rsidR="009542F3" w:rsidRDefault="009542F3" w:rsidP="009542F3">
      <w:pPr>
        <w:pStyle w:val="Bullet"/>
        <w:numPr>
          <w:ilvl w:val="0"/>
          <w:numId w:val="0"/>
        </w:numPr>
      </w:pPr>
      <w:r>
        <w:t xml:space="preserve">Item </w:t>
      </w:r>
      <w:r w:rsidR="6EB2FB96">
        <w:t>45</w:t>
      </w:r>
      <w:r>
        <w:t xml:space="preserve"> inserts </w:t>
      </w:r>
      <w:proofErr w:type="spellStart"/>
      <w:r w:rsidR="000E16A3">
        <w:t>subregulations</w:t>
      </w:r>
      <w:proofErr w:type="spellEnd"/>
      <w:r w:rsidR="000E16A3">
        <w:t xml:space="preserve"> </w:t>
      </w:r>
      <w:r>
        <w:t>9AB.13(3) and (4) to provide that where a standard Part 6A product reports gross investment return net of fees for the purposes of calculating benchmark return ‘ART’ (assumed rate of tax) is treated as zero and in working out ‘index’ in relation to the Alternatives asset classes which requires using the variable ‘ART’, ART is treated as zero. This ensures that benchmark return is not adjusted for taxes, as this is not necessary when the gross investment return net of fees is reported. Item 4</w:t>
      </w:r>
      <w:r w:rsidR="550D7CB9">
        <w:t>9</w:t>
      </w:r>
      <w:r>
        <w:t xml:space="preserve"> inserts </w:t>
      </w:r>
      <w:proofErr w:type="spellStart"/>
      <w:r w:rsidR="0047716B">
        <w:t>subregulations</w:t>
      </w:r>
      <w:proofErr w:type="spellEnd"/>
      <w:r w:rsidR="0047716B">
        <w:t xml:space="preserve"> </w:t>
      </w:r>
      <w:r>
        <w:t xml:space="preserve">9AB.14(3) and (4) to provide the same rules for benchmark return for a lifecycle Part 6A product. </w:t>
      </w:r>
    </w:p>
    <w:p w14:paraId="4318D40D" w14:textId="77777777" w:rsidR="009542F3" w:rsidRDefault="009542F3" w:rsidP="0075695E">
      <w:pPr>
        <w:spacing w:before="0" w:after="0"/>
        <w:rPr>
          <w:b/>
          <w:bCs/>
          <w:i/>
          <w:iCs/>
          <w:color w:val="000000" w:themeColor="text1"/>
        </w:rPr>
      </w:pPr>
    </w:p>
    <w:p w14:paraId="0CF1E380" w14:textId="04E942D4" w:rsidR="0075695E" w:rsidRPr="00E42FBC" w:rsidRDefault="0075695E" w:rsidP="0075695E">
      <w:pPr>
        <w:spacing w:before="0" w:after="0"/>
        <w:rPr>
          <w:b/>
          <w:bCs/>
          <w:i/>
          <w:iCs/>
          <w:color w:val="000000" w:themeColor="text1"/>
        </w:rPr>
      </w:pPr>
      <w:r w:rsidRPr="00E42FBC">
        <w:rPr>
          <w:b/>
          <w:bCs/>
          <w:i/>
          <w:iCs/>
          <w:color w:val="000000" w:themeColor="text1"/>
        </w:rPr>
        <w:t>Item</w:t>
      </w:r>
      <w:r w:rsidR="00F5079B" w:rsidRPr="00E42FBC">
        <w:rPr>
          <w:b/>
          <w:bCs/>
          <w:i/>
          <w:iCs/>
          <w:color w:val="000000" w:themeColor="text1"/>
        </w:rPr>
        <w:t>s</w:t>
      </w:r>
      <w:r w:rsidRPr="00E42FBC">
        <w:rPr>
          <w:b/>
          <w:bCs/>
          <w:i/>
          <w:iCs/>
          <w:color w:val="000000" w:themeColor="text1"/>
        </w:rPr>
        <w:t xml:space="preserve"> </w:t>
      </w:r>
      <w:r w:rsidR="15D0C4B1" w:rsidRPr="4D2710D1">
        <w:rPr>
          <w:b/>
          <w:bCs/>
          <w:i/>
          <w:iCs/>
          <w:color w:val="000000" w:themeColor="text1"/>
        </w:rPr>
        <w:t>32</w:t>
      </w:r>
      <w:r w:rsidR="0026255F" w:rsidRPr="00E42FBC">
        <w:rPr>
          <w:b/>
          <w:bCs/>
          <w:i/>
          <w:iCs/>
          <w:color w:val="000000" w:themeColor="text1"/>
        </w:rPr>
        <w:t xml:space="preserve"> </w:t>
      </w:r>
      <w:r w:rsidR="00F5079B" w:rsidRPr="00E42FBC">
        <w:rPr>
          <w:b/>
          <w:bCs/>
          <w:i/>
          <w:iCs/>
          <w:color w:val="000000" w:themeColor="text1"/>
        </w:rPr>
        <w:t xml:space="preserve">and </w:t>
      </w:r>
      <w:r w:rsidR="04B387BF" w:rsidRPr="4D2710D1">
        <w:rPr>
          <w:b/>
          <w:bCs/>
          <w:i/>
          <w:iCs/>
          <w:color w:val="000000" w:themeColor="text1"/>
        </w:rPr>
        <w:t>45</w:t>
      </w:r>
      <w:r w:rsidR="0026255F" w:rsidRPr="00E42FBC">
        <w:rPr>
          <w:b/>
          <w:bCs/>
          <w:i/>
          <w:iCs/>
          <w:color w:val="000000" w:themeColor="text1"/>
        </w:rPr>
        <w:t xml:space="preserve"> </w:t>
      </w:r>
      <w:r w:rsidRPr="00E42FBC">
        <w:rPr>
          <w:b/>
          <w:bCs/>
          <w:i/>
          <w:iCs/>
          <w:color w:val="000000" w:themeColor="text1"/>
        </w:rPr>
        <w:t>– Calculation of ‘</w:t>
      </w:r>
      <w:r w:rsidR="00160D28" w:rsidRPr="00E42FBC">
        <w:rPr>
          <w:b/>
          <w:bCs/>
          <w:i/>
          <w:iCs/>
          <w:color w:val="000000" w:themeColor="text1"/>
        </w:rPr>
        <w:t xml:space="preserve">actual </w:t>
      </w:r>
      <w:r w:rsidRPr="00E42FBC">
        <w:rPr>
          <w:b/>
          <w:bCs/>
          <w:i/>
          <w:iCs/>
          <w:color w:val="000000" w:themeColor="text1"/>
        </w:rPr>
        <w:t xml:space="preserve">return’ </w:t>
      </w:r>
      <w:r w:rsidR="007B7476" w:rsidRPr="00E42FBC">
        <w:rPr>
          <w:b/>
          <w:bCs/>
          <w:i/>
          <w:iCs/>
          <w:color w:val="000000" w:themeColor="text1"/>
        </w:rPr>
        <w:t xml:space="preserve">and ‘benchmark return’ </w:t>
      </w:r>
      <w:r w:rsidRPr="00E42FBC">
        <w:rPr>
          <w:b/>
          <w:bCs/>
          <w:i/>
          <w:iCs/>
          <w:color w:val="000000" w:themeColor="text1"/>
        </w:rPr>
        <w:t xml:space="preserve">where </w:t>
      </w:r>
      <w:r w:rsidR="00970275" w:rsidRPr="00E42FBC">
        <w:rPr>
          <w:b/>
          <w:bCs/>
          <w:i/>
          <w:iCs/>
          <w:color w:val="000000" w:themeColor="text1"/>
        </w:rPr>
        <w:t>a trustee</w:t>
      </w:r>
      <w:r w:rsidR="000F1B0D">
        <w:rPr>
          <w:b/>
          <w:bCs/>
          <w:i/>
          <w:iCs/>
          <w:color w:val="000000" w:themeColor="text1"/>
        </w:rPr>
        <w:noBreakHyphen/>
      </w:r>
      <w:r w:rsidR="00970275" w:rsidRPr="00E42FBC">
        <w:rPr>
          <w:b/>
          <w:bCs/>
          <w:i/>
          <w:iCs/>
          <w:color w:val="000000" w:themeColor="text1"/>
        </w:rPr>
        <w:t>directed product has</w:t>
      </w:r>
      <w:r w:rsidRPr="00E42FBC">
        <w:rPr>
          <w:b/>
          <w:bCs/>
          <w:i/>
          <w:iCs/>
          <w:color w:val="000000" w:themeColor="text1"/>
        </w:rPr>
        <w:t xml:space="preserve"> </w:t>
      </w:r>
      <w:r w:rsidR="00A717F4" w:rsidRPr="00E42FBC">
        <w:rPr>
          <w:b/>
          <w:bCs/>
          <w:i/>
          <w:iCs/>
          <w:color w:val="000000" w:themeColor="text1"/>
        </w:rPr>
        <w:t>no member assets</w:t>
      </w:r>
      <w:r w:rsidR="00D66681" w:rsidRPr="00E42FBC">
        <w:rPr>
          <w:b/>
          <w:bCs/>
          <w:i/>
          <w:iCs/>
          <w:color w:val="000000" w:themeColor="text1"/>
        </w:rPr>
        <w:t xml:space="preserve"> for a </w:t>
      </w:r>
      <w:r w:rsidRPr="00E42FBC">
        <w:rPr>
          <w:b/>
          <w:bCs/>
          <w:i/>
          <w:iCs/>
          <w:color w:val="000000" w:themeColor="text1"/>
        </w:rPr>
        <w:t>quarter</w:t>
      </w:r>
    </w:p>
    <w:p w14:paraId="35B719FF" w14:textId="46079831" w:rsidR="004133E7" w:rsidRPr="00E42FBC" w:rsidRDefault="004133E7" w:rsidP="0075695E">
      <w:pPr>
        <w:spacing w:before="0" w:after="0"/>
        <w:rPr>
          <w:color w:val="000000" w:themeColor="text1"/>
        </w:rPr>
      </w:pPr>
    </w:p>
    <w:p w14:paraId="6CFEB9AE" w14:textId="6CB2CDB9" w:rsidR="004133E7" w:rsidRPr="00E42FBC" w:rsidRDefault="004133E7" w:rsidP="0075695E">
      <w:pPr>
        <w:spacing w:before="0" w:after="0"/>
        <w:rPr>
          <w:color w:val="000000" w:themeColor="text1"/>
        </w:rPr>
      </w:pPr>
      <w:r w:rsidRPr="00E42FBC">
        <w:rPr>
          <w:color w:val="000000" w:themeColor="text1"/>
        </w:rPr>
        <w:t xml:space="preserve">Item </w:t>
      </w:r>
      <w:r w:rsidR="039CCFE7" w:rsidRPr="1D964AB8">
        <w:rPr>
          <w:color w:val="000000" w:themeColor="text1"/>
        </w:rPr>
        <w:t>32</w:t>
      </w:r>
      <w:r w:rsidRPr="00E42FBC">
        <w:rPr>
          <w:color w:val="000000" w:themeColor="text1"/>
        </w:rPr>
        <w:t xml:space="preserve"> insert</w:t>
      </w:r>
      <w:r w:rsidR="00600D8D">
        <w:rPr>
          <w:color w:val="000000" w:themeColor="text1"/>
        </w:rPr>
        <w:t>s</w:t>
      </w:r>
      <w:r w:rsidR="006F4FDB" w:rsidRPr="00E42FBC">
        <w:rPr>
          <w:color w:val="000000" w:themeColor="text1"/>
        </w:rPr>
        <w:t xml:space="preserve"> a</w:t>
      </w:r>
      <w:r w:rsidRPr="00E42FBC">
        <w:rPr>
          <w:color w:val="000000" w:themeColor="text1"/>
        </w:rPr>
        <w:t xml:space="preserve"> rule for working out ‘actual return’ where a </w:t>
      </w:r>
      <w:proofErr w:type="spellStart"/>
      <w:r w:rsidR="00F91802" w:rsidRPr="1D964AB8">
        <w:rPr>
          <w:color w:val="000000" w:themeColor="text1"/>
        </w:rPr>
        <w:t>trusteedirected</w:t>
      </w:r>
      <w:proofErr w:type="spellEnd"/>
      <w:r w:rsidR="006773CF" w:rsidRPr="00E42FBC">
        <w:rPr>
          <w:color w:val="000000" w:themeColor="text1"/>
        </w:rPr>
        <w:t xml:space="preserve"> </w:t>
      </w:r>
      <w:r w:rsidRPr="00E42FBC">
        <w:rPr>
          <w:color w:val="000000" w:themeColor="text1"/>
        </w:rPr>
        <w:t xml:space="preserve">product </w:t>
      </w:r>
      <w:r w:rsidR="00577452" w:rsidRPr="00E42FBC" w:rsidDel="00577452">
        <w:rPr>
          <w:color w:val="000000" w:themeColor="text1"/>
        </w:rPr>
        <w:t xml:space="preserve"> </w:t>
      </w:r>
      <w:r w:rsidR="007C5E29" w:rsidRPr="00E42FBC">
        <w:rPr>
          <w:color w:val="000000" w:themeColor="text1"/>
        </w:rPr>
        <w:t>ha</w:t>
      </w:r>
      <w:r w:rsidR="0023509C" w:rsidRPr="00E42FBC">
        <w:rPr>
          <w:color w:val="000000" w:themeColor="text1"/>
        </w:rPr>
        <w:t>s</w:t>
      </w:r>
      <w:r w:rsidR="006D160F" w:rsidRPr="00E42FBC">
        <w:rPr>
          <w:color w:val="000000" w:themeColor="text1"/>
        </w:rPr>
        <w:t xml:space="preserve"> </w:t>
      </w:r>
      <w:r w:rsidR="00BD0593" w:rsidRPr="00E42FBC">
        <w:rPr>
          <w:color w:val="000000" w:themeColor="text1"/>
        </w:rPr>
        <w:t>no member</w:t>
      </w:r>
      <w:r w:rsidR="006D160F" w:rsidRPr="00E42FBC">
        <w:rPr>
          <w:color w:val="000000" w:themeColor="text1"/>
        </w:rPr>
        <w:t xml:space="preserve"> assets </w:t>
      </w:r>
      <w:r w:rsidR="0010535E" w:rsidRPr="00E42FBC">
        <w:rPr>
          <w:color w:val="000000" w:themeColor="text1"/>
        </w:rPr>
        <w:t xml:space="preserve">in any investment pathways </w:t>
      </w:r>
      <w:r w:rsidR="006D160F" w:rsidRPr="00E42FBC">
        <w:rPr>
          <w:color w:val="000000" w:themeColor="text1"/>
        </w:rPr>
        <w:t xml:space="preserve">in relation to a quarter. </w:t>
      </w:r>
      <w:proofErr w:type="spellStart"/>
      <w:r w:rsidR="009D44AF" w:rsidRPr="00E42FBC">
        <w:rPr>
          <w:color w:val="000000" w:themeColor="text1"/>
        </w:rPr>
        <w:t>Subregulations</w:t>
      </w:r>
      <w:proofErr w:type="spellEnd"/>
      <w:r w:rsidR="009D44AF" w:rsidRPr="00E42FBC">
        <w:rPr>
          <w:color w:val="000000" w:themeColor="text1"/>
        </w:rPr>
        <w:t xml:space="preserve"> 9AB.11(</w:t>
      </w:r>
      <w:r w:rsidR="005F4F8C" w:rsidRPr="00E42FBC">
        <w:rPr>
          <w:color w:val="000000" w:themeColor="text1"/>
        </w:rPr>
        <w:t>3</w:t>
      </w:r>
      <w:r w:rsidR="009D44AF" w:rsidRPr="00E42FBC">
        <w:rPr>
          <w:color w:val="000000" w:themeColor="text1"/>
        </w:rPr>
        <w:t>) and (</w:t>
      </w:r>
      <w:r w:rsidR="005F4F8C" w:rsidRPr="00E42FBC">
        <w:rPr>
          <w:color w:val="000000" w:themeColor="text1"/>
        </w:rPr>
        <w:t>4</w:t>
      </w:r>
      <w:r w:rsidR="009D44AF" w:rsidRPr="00E42FBC">
        <w:rPr>
          <w:color w:val="000000" w:themeColor="text1"/>
        </w:rPr>
        <w:t xml:space="preserve">) </w:t>
      </w:r>
      <w:r w:rsidR="009E6B1A" w:rsidRPr="00E42FBC">
        <w:rPr>
          <w:color w:val="000000" w:themeColor="text1"/>
        </w:rPr>
        <w:t>provide</w:t>
      </w:r>
      <w:r w:rsidR="009D44AF" w:rsidRPr="00E42FBC">
        <w:rPr>
          <w:color w:val="000000" w:themeColor="text1"/>
        </w:rPr>
        <w:t xml:space="preserve"> that w</w:t>
      </w:r>
      <w:r w:rsidR="00523DA0" w:rsidRPr="00E42FBC">
        <w:rPr>
          <w:color w:val="000000" w:themeColor="text1"/>
        </w:rPr>
        <w:t>here a</w:t>
      </w:r>
      <w:r w:rsidR="0093092D" w:rsidRPr="00E42FBC">
        <w:rPr>
          <w:color w:val="000000" w:themeColor="text1"/>
        </w:rPr>
        <w:t xml:space="preserve"> </w:t>
      </w:r>
      <w:proofErr w:type="spellStart"/>
      <w:r w:rsidR="009E6B1A" w:rsidRPr="1D964AB8">
        <w:rPr>
          <w:color w:val="000000" w:themeColor="text1"/>
        </w:rPr>
        <w:t>trusteedirected</w:t>
      </w:r>
      <w:proofErr w:type="spellEnd"/>
      <w:r w:rsidR="0093092D" w:rsidRPr="00E42FBC">
        <w:rPr>
          <w:color w:val="000000" w:themeColor="text1"/>
        </w:rPr>
        <w:t xml:space="preserve"> product </w:t>
      </w:r>
      <w:r w:rsidR="009E6B1A" w:rsidRPr="00E42FBC">
        <w:rPr>
          <w:color w:val="000000" w:themeColor="text1"/>
        </w:rPr>
        <w:t xml:space="preserve">has </w:t>
      </w:r>
      <w:r w:rsidR="00DA2A78" w:rsidRPr="00E42FBC">
        <w:rPr>
          <w:color w:val="000000" w:themeColor="text1"/>
        </w:rPr>
        <w:t>no member assets</w:t>
      </w:r>
      <w:r w:rsidR="009E6B1A" w:rsidRPr="00E42FBC">
        <w:rPr>
          <w:color w:val="000000" w:themeColor="text1"/>
        </w:rPr>
        <w:t xml:space="preserve"> </w:t>
      </w:r>
      <w:r w:rsidR="00FC0FCF" w:rsidRPr="00E42FBC">
        <w:rPr>
          <w:color w:val="000000" w:themeColor="text1"/>
        </w:rPr>
        <w:t xml:space="preserve">in any investment pathways </w:t>
      </w:r>
      <w:r w:rsidR="009E6B1A" w:rsidRPr="00E42FBC">
        <w:rPr>
          <w:color w:val="000000" w:themeColor="text1"/>
        </w:rPr>
        <w:t>at the</w:t>
      </w:r>
      <w:r w:rsidR="00223C05" w:rsidRPr="00E42FBC">
        <w:rPr>
          <w:color w:val="000000" w:themeColor="text1"/>
        </w:rPr>
        <w:t xml:space="preserve"> end of the quarter</w:t>
      </w:r>
      <w:r w:rsidR="00DA2A78" w:rsidRPr="00E42FBC">
        <w:rPr>
          <w:color w:val="000000" w:themeColor="text1"/>
        </w:rPr>
        <w:t>, the quarterly return will be</w:t>
      </w:r>
      <w:r w:rsidR="00223C05" w:rsidRPr="00E42FBC">
        <w:rPr>
          <w:color w:val="000000" w:themeColor="text1"/>
        </w:rPr>
        <w:t xml:space="preserve"> treated as zero</w:t>
      </w:r>
      <w:r w:rsidR="00DA2A78" w:rsidRPr="00E42FBC">
        <w:rPr>
          <w:color w:val="000000" w:themeColor="text1"/>
        </w:rPr>
        <w:t xml:space="preserve">. </w:t>
      </w:r>
      <w:r w:rsidR="00BF76EC" w:rsidRPr="00E42FBC">
        <w:rPr>
          <w:color w:val="000000" w:themeColor="text1"/>
        </w:rPr>
        <w:t>R</w:t>
      </w:r>
      <w:r w:rsidR="00EE1B21" w:rsidRPr="00E42FBC">
        <w:rPr>
          <w:color w:val="000000" w:themeColor="text1"/>
        </w:rPr>
        <w:t xml:space="preserve">eturn will be taken to be zero for that quarter, whether the </w:t>
      </w:r>
      <w:r w:rsidR="00F77860" w:rsidRPr="00E42FBC">
        <w:rPr>
          <w:color w:val="000000" w:themeColor="text1"/>
        </w:rPr>
        <w:t xml:space="preserve">product reports a return of zero or not. </w:t>
      </w:r>
      <w:r w:rsidR="001178DD" w:rsidRPr="00E42FBC">
        <w:rPr>
          <w:color w:val="000000" w:themeColor="text1"/>
        </w:rPr>
        <w:t>Reporting</w:t>
      </w:r>
      <w:r w:rsidR="00EF20E1" w:rsidRPr="00E42FBC">
        <w:rPr>
          <w:color w:val="000000" w:themeColor="text1"/>
        </w:rPr>
        <w:t xml:space="preserve"> a non-zero return where there are no member assets is likely due to </w:t>
      </w:r>
      <w:r w:rsidR="003175EA" w:rsidRPr="00E42FBC">
        <w:rPr>
          <w:color w:val="000000" w:themeColor="text1"/>
        </w:rPr>
        <w:t>a partial quarter</w:t>
      </w:r>
      <w:r w:rsidR="00500EF8" w:rsidRPr="00E42FBC">
        <w:rPr>
          <w:color w:val="000000" w:themeColor="text1"/>
        </w:rPr>
        <w:t xml:space="preserve"> of investment performance and therefore it is not appropriate to test it against a </w:t>
      </w:r>
      <w:r w:rsidR="006078F1" w:rsidRPr="00E42FBC">
        <w:rPr>
          <w:color w:val="000000" w:themeColor="text1"/>
        </w:rPr>
        <w:t xml:space="preserve">benchmark return over the full quarter. </w:t>
      </w:r>
    </w:p>
    <w:p w14:paraId="4CCEDF12" w14:textId="77777777" w:rsidR="0075695E" w:rsidRPr="00E42FBC" w:rsidRDefault="0075695E" w:rsidP="0075695E">
      <w:pPr>
        <w:spacing w:before="0" w:after="0"/>
        <w:rPr>
          <w:color w:val="000000" w:themeColor="text1"/>
        </w:rPr>
      </w:pPr>
    </w:p>
    <w:p w14:paraId="277CBAB7" w14:textId="3ADC6567" w:rsidR="0075695E" w:rsidRPr="00E42FBC" w:rsidRDefault="0075695E" w:rsidP="0075695E">
      <w:pPr>
        <w:spacing w:before="0" w:after="0"/>
        <w:rPr>
          <w:color w:val="000000" w:themeColor="text1"/>
        </w:rPr>
      </w:pPr>
      <w:r w:rsidRPr="00E42FBC">
        <w:rPr>
          <w:color w:val="000000" w:themeColor="text1"/>
        </w:rPr>
        <w:t xml:space="preserve">Item </w:t>
      </w:r>
      <w:r w:rsidR="7B0D2200" w:rsidRPr="1D964AB8">
        <w:rPr>
          <w:color w:val="000000" w:themeColor="text1"/>
        </w:rPr>
        <w:t>45</w:t>
      </w:r>
      <w:r w:rsidRPr="00E42FBC">
        <w:rPr>
          <w:color w:val="000000" w:themeColor="text1"/>
        </w:rPr>
        <w:t xml:space="preserve"> inserts rules for working out ‘benchmark return’ </w:t>
      </w:r>
      <w:r w:rsidR="3E1B6EAF" w:rsidRPr="00E42FBC">
        <w:rPr>
          <w:color w:val="000000" w:themeColor="text1"/>
        </w:rPr>
        <w:t>where a</w:t>
      </w:r>
      <w:r w:rsidR="00D05152" w:rsidRPr="00E42FBC">
        <w:rPr>
          <w:color w:val="000000" w:themeColor="text1"/>
        </w:rPr>
        <w:t xml:space="preserve"> </w:t>
      </w:r>
      <w:proofErr w:type="spellStart"/>
      <w:r w:rsidR="00E03E07" w:rsidRPr="1D964AB8">
        <w:rPr>
          <w:color w:val="000000" w:themeColor="text1"/>
        </w:rPr>
        <w:t>trusteedirected</w:t>
      </w:r>
      <w:proofErr w:type="spellEnd"/>
      <w:r w:rsidR="00E03E07" w:rsidRPr="00E42FBC">
        <w:rPr>
          <w:color w:val="000000" w:themeColor="text1"/>
        </w:rPr>
        <w:t xml:space="preserve"> </w:t>
      </w:r>
      <w:r w:rsidRPr="00E42FBC">
        <w:rPr>
          <w:color w:val="000000" w:themeColor="text1"/>
        </w:rPr>
        <w:t xml:space="preserve">product reports </w:t>
      </w:r>
      <w:r w:rsidR="00063D31" w:rsidRPr="00E42FBC">
        <w:rPr>
          <w:color w:val="000000" w:themeColor="text1"/>
        </w:rPr>
        <w:t xml:space="preserve">no </w:t>
      </w:r>
      <w:r w:rsidR="00C33147" w:rsidRPr="00E42FBC">
        <w:rPr>
          <w:color w:val="000000" w:themeColor="text1"/>
        </w:rPr>
        <w:t xml:space="preserve">member </w:t>
      </w:r>
      <w:r w:rsidRPr="00E42FBC">
        <w:rPr>
          <w:color w:val="000000" w:themeColor="text1"/>
        </w:rPr>
        <w:t xml:space="preserve">assets in relation to a quarter. </w:t>
      </w:r>
      <w:proofErr w:type="spellStart"/>
      <w:r w:rsidRPr="00E42FBC">
        <w:rPr>
          <w:color w:val="000000" w:themeColor="text1"/>
        </w:rPr>
        <w:t>Subregulation</w:t>
      </w:r>
      <w:r w:rsidR="00207B50" w:rsidRPr="00E42FBC">
        <w:rPr>
          <w:color w:val="000000" w:themeColor="text1"/>
        </w:rPr>
        <w:t>s</w:t>
      </w:r>
      <w:proofErr w:type="spellEnd"/>
      <w:r w:rsidRPr="00E42FBC" w:rsidDel="0075695E">
        <w:rPr>
          <w:color w:val="000000" w:themeColor="text1"/>
        </w:rPr>
        <w:t xml:space="preserve"> </w:t>
      </w:r>
      <w:r w:rsidR="00E43490" w:rsidRPr="00E42FBC">
        <w:rPr>
          <w:color w:val="000000" w:themeColor="text1"/>
        </w:rPr>
        <w:t>9AB.13(5)</w:t>
      </w:r>
      <w:r w:rsidR="00207B50" w:rsidRPr="00E42FBC">
        <w:rPr>
          <w:color w:val="000000" w:themeColor="text1"/>
        </w:rPr>
        <w:t xml:space="preserve"> and (6)</w:t>
      </w:r>
      <w:r w:rsidR="00E43490" w:rsidRPr="00E42FBC">
        <w:rPr>
          <w:color w:val="000000" w:themeColor="text1"/>
        </w:rPr>
        <w:t xml:space="preserve"> </w:t>
      </w:r>
      <w:r w:rsidRPr="00E42FBC">
        <w:rPr>
          <w:color w:val="000000" w:themeColor="text1"/>
        </w:rPr>
        <w:t xml:space="preserve">resolves this by taking benchmark return to be zero for quarters where there are no investment pathways for the Part 6A product that hold member assets for that quarter. </w:t>
      </w:r>
      <w:r w:rsidR="280292DF" w:rsidRPr="00E42FBC">
        <w:rPr>
          <w:color w:val="000000" w:themeColor="text1"/>
        </w:rPr>
        <w:t>B</w:t>
      </w:r>
      <w:r w:rsidR="1BB61D11" w:rsidRPr="00E42FBC">
        <w:rPr>
          <w:color w:val="000000" w:themeColor="text1"/>
        </w:rPr>
        <w:t>enchmark re</w:t>
      </w:r>
      <w:r w:rsidR="0202C9F4" w:rsidRPr="00E42FBC">
        <w:rPr>
          <w:color w:val="000000" w:themeColor="text1"/>
        </w:rPr>
        <w:t>turn is calculated as the sum of all quarters in 9AB.13(2)</w:t>
      </w:r>
      <w:r w:rsidR="38A23FE0" w:rsidRPr="00E42FBC">
        <w:rPr>
          <w:color w:val="000000" w:themeColor="text1"/>
        </w:rPr>
        <w:t xml:space="preserve">. Therefore, </w:t>
      </w:r>
      <w:r w:rsidR="0202C9F4" w:rsidRPr="00E42FBC">
        <w:rPr>
          <w:color w:val="000000" w:themeColor="text1"/>
        </w:rPr>
        <w:t>benchmark return</w:t>
      </w:r>
      <w:r w:rsidR="01EA9DB6" w:rsidRPr="00E42FBC">
        <w:rPr>
          <w:color w:val="000000" w:themeColor="text1"/>
        </w:rPr>
        <w:t xml:space="preserve"> </w:t>
      </w:r>
      <w:r w:rsidR="004F7BB7" w:rsidRPr="00E42FBC">
        <w:rPr>
          <w:color w:val="000000" w:themeColor="text1"/>
        </w:rPr>
        <w:t>will be taken</w:t>
      </w:r>
      <w:r w:rsidR="01EA9DB6" w:rsidRPr="00E42FBC">
        <w:rPr>
          <w:color w:val="000000" w:themeColor="text1"/>
        </w:rPr>
        <w:t xml:space="preserve"> to equal</w:t>
      </w:r>
      <w:r w:rsidR="0202C9F4" w:rsidRPr="00E42FBC">
        <w:rPr>
          <w:color w:val="000000" w:themeColor="text1"/>
        </w:rPr>
        <w:t xml:space="preserve"> zero for a quarter </w:t>
      </w:r>
      <w:r w:rsidR="00013E62" w:rsidRPr="00E42FBC">
        <w:rPr>
          <w:color w:val="000000" w:themeColor="text1"/>
        </w:rPr>
        <w:t xml:space="preserve">by applying </w:t>
      </w:r>
      <w:r w:rsidR="57462791" w:rsidRPr="00E42FBC">
        <w:rPr>
          <w:color w:val="000000" w:themeColor="text1"/>
        </w:rPr>
        <w:t xml:space="preserve">9AB.13(5), </w:t>
      </w:r>
      <w:r w:rsidR="00013E62" w:rsidRPr="00E42FBC">
        <w:rPr>
          <w:color w:val="000000" w:themeColor="text1"/>
        </w:rPr>
        <w:t>which takes</w:t>
      </w:r>
      <w:r w:rsidR="57462791" w:rsidRPr="00E42FBC">
        <w:rPr>
          <w:color w:val="000000" w:themeColor="text1"/>
        </w:rPr>
        <w:t xml:space="preserve"> </w:t>
      </w:r>
      <w:r w:rsidR="6988955F" w:rsidRPr="00E42FBC">
        <w:rPr>
          <w:color w:val="000000" w:themeColor="text1"/>
        </w:rPr>
        <w:t xml:space="preserve">fee and index </w:t>
      </w:r>
      <w:r w:rsidR="00013E62" w:rsidRPr="00E42FBC">
        <w:rPr>
          <w:color w:val="000000" w:themeColor="text1"/>
        </w:rPr>
        <w:t xml:space="preserve">to be </w:t>
      </w:r>
      <w:r w:rsidR="6988955F" w:rsidRPr="00E42FBC">
        <w:rPr>
          <w:color w:val="000000" w:themeColor="text1"/>
        </w:rPr>
        <w:t>treated as zero in in</w:t>
      </w:r>
      <w:r w:rsidR="0A32872E" w:rsidRPr="00E42FBC">
        <w:rPr>
          <w:color w:val="000000" w:themeColor="text1"/>
        </w:rPr>
        <w:t xml:space="preserve"> the formula in</w:t>
      </w:r>
      <w:r w:rsidR="6988955F" w:rsidRPr="00E42FBC">
        <w:rPr>
          <w:color w:val="000000" w:themeColor="text1"/>
        </w:rPr>
        <w:t xml:space="preserve"> 9AB.13(2).</w:t>
      </w:r>
    </w:p>
    <w:p w14:paraId="7713C9DB" w14:textId="77777777" w:rsidR="0075695E" w:rsidRPr="00E42FBC" w:rsidRDefault="0075695E" w:rsidP="0075695E">
      <w:pPr>
        <w:spacing w:before="0" w:after="0"/>
        <w:rPr>
          <w:b/>
          <w:bCs/>
          <w:i/>
          <w:iCs/>
          <w:color w:val="000000" w:themeColor="text1"/>
        </w:rPr>
      </w:pPr>
    </w:p>
    <w:p w14:paraId="4D33CC6C" w14:textId="2C1FF517" w:rsidR="0075695E" w:rsidRPr="00E42FBC" w:rsidRDefault="0075695E" w:rsidP="0075695E">
      <w:pPr>
        <w:spacing w:before="0" w:after="0"/>
        <w:rPr>
          <w:b/>
          <w:bCs/>
          <w:i/>
          <w:iCs/>
          <w:color w:val="000000" w:themeColor="text1"/>
        </w:rPr>
      </w:pPr>
      <w:r w:rsidRPr="00E42FBC">
        <w:rPr>
          <w:b/>
          <w:bCs/>
          <w:i/>
          <w:iCs/>
          <w:color w:val="000000" w:themeColor="text1"/>
        </w:rPr>
        <w:t xml:space="preserve">Items </w:t>
      </w:r>
      <w:r w:rsidR="40E860BF" w:rsidRPr="78845072">
        <w:rPr>
          <w:b/>
          <w:bCs/>
          <w:i/>
          <w:iCs/>
          <w:color w:val="000000" w:themeColor="text1"/>
        </w:rPr>
        <w:t>9</w:t>
      </w:r>
      <w:r w:rsidR="49427F2B" w:rsidRPr="00E42FBC">
        <w:rPr>
          <w:b/>
          <w:bCs/>
          <w:i/>
          <w:iCs/>
          <w:color w:val="000000" w:themeColor="text1"/>
        </w:rPr>
        <w:t xml:space="preserve"> and </w:t>
      </w:r>
      <w:r w:rsidR="1D9FCBD5" w:rsidRPr="78845072">
        <w:rPr>
          <w:b/>
          <w:bCs/>
          <w:i/>
          <w:iCs/>
          <w:color w:val="000000" w:themeColor="text1"/>
        </w:rPr>
        <w:t>32</w:t>
      </w:r>
      <w:r w:rsidRPr="00E42FBC">
        <w:rPr>
          <w:b/>
          <w:bCs/>
          <w:i/>
          <w:iCs/>
          <w:color w:val="000000" w:themeColor="text1"/>
        </w:rPr>
        <w:t xml:space="preserve"> – Calculation of ‘actual return’ where a trustee-directed product has 2 or more net investment returns</w:t>
      </w:r>
      <w:r w:rsidR="00D25831" w:rsidRPr="00E42FBC">
        <w:rPr>
          <w:b/>
          <w:bCs/>
          <w:i/>
          <w:iCs/>
          <w:color w:val="000000" w:themeColor="text1"/>
        </w:rPr>
        <w:t xml:space="preserve"> or gross investment returns net of fees</w:t>
      </w:r>
    </w:p>
    <w:p w14:paraId="57361A6F" w14:textId="77777777" w:rsidR="0075695E" w:rsidRPr="00E42FBC" w:rsidRDefault="0075695E" w:rsidP="0075695E">
      <w:pPr>
        <w:spacing w:before="0" w:after="0"/>
        <w:rPr>
          <w:color w:val="000000" w:themeColor="text1"/>
        </w:rPr>
      </w:pPr>
    </w:p>
    <w:p w14:paraId="51A0EDF0" w14:textId="4968D24B" w:rsidR="0075695E" w:rsidRPr="00E42FBC" w:rsidRDefault="0075695E" w:rsidP="0075695E">
      <w:pPr>
        <w:spacing w:before="0" w:after="0"/>
        <w:rPr>
          <w:color w:val="000000" w:themeColor="text1"/>
        </w:rPr>
      </w:pPr>
      <w:r w:rsidRPr="00E42FBC">
        <w:rPr>
          <w:color w:val="000000" w:themeColor="text1"/>
        </w:rPr>
        <w:t xml:space="preserve">Item </w:t>
      </w:r>
      <w:r w:rsidR="234D671C" w:rsidRPr="78845072">
        <w:rPr>
          <w:color w:val="000000" w:themeColor="text1"/>
        </w:rPr>
        <w:t>32</w:t>
      </w:r>
      <w:r w:rsidRPr="00E42FBC">
        <w:rPr>
          <w:color w:val="000000" w:themeColor="text1"/>
        </w:rPr>
        <w:t xml:space="preserve"> inserts </w:t>
      </w:r>
      <w:proofErr w:type="spellStart"/>
      <w:r w:rsidRPr="00E42FBC">
        <w:rPr>
          <w:color w:val="000000" w:themeColor="text1"/>
        </w:rPr>
        <w:t>subregulations</w:t>
      </w:r>
      <w:proofErr w:type="spellEnd"/>
      <w:r w:rsidRPr="00E42FBC">
        <w:rPr>
          <w:color w:val="000000" w:themeColor="text1"/>
        </w:rPr>
        <w:t xml:space="preserve"> 9AB.11</w:t>
      </w:r>
      <w:r w:rsidR="00E11A73" w:rsidRPr="00E42FBC">
        <w:rPr>
          <w:color w:val="000000" w:themeColor="text1"/>
        </w:rPr>
        <w:t>(</w:t>
      </w:r>
      <w:r w:rsidR="00FC0FCF" w:rsidRPr="00E42FBC">
        <w:rPr>
          <w:color w:val="000000" w:themeColor="text1"/>
        </w:rPr>
        <w:t>5</w:t>
      </w:r>
      <w:r w:rsidR="00E11A73" w:rsidRPr="00E42FBC">
        <w:rPr>
          <w:color w:val="000000" w:themeColor="text1"/>
        </w:rPr>
        <w:t>)</w:t>
      </w:r>
      <w:r w:rsidR="001A3CB9">
        <w:rPr>
          <w:color w:val="000000" w:themeColor="text1"/>
        </w:rPr>
        <w:t>,</w:t>
      </w:r>
      <w:r w:rsidR="00E11A73" w:rsidRPr="00E42FBC">
        <w:rPr>
          <w:color w:val="000000" w:themeColor="text1"/>
        </w:rPr>
        <w:t xml:space="preserve"> </w:t>
      </w:r>
      <w:r w:rsidR="001A3CB9">
        <w:rPr>
          <w:color w:val="000000" w:themeColor="text1"/>
        </w:rPr>
        <w:t xml:space="preserve">(6) </w:t>
      </w:r>
      <w:r w:rsidR="00E11A73" w:rsidRPr="00E42FBC">
        <w:rPr>
          <w:color w:val="000000" w:themeColor="text1"/>
        </w:rPr>
        <w:t xml:space="preserve">and </w:t>
      </w:r>
      <w:r w:rsidRPr="00E42FBC">
        <w:rPr>
          <w:color w:val="000000" w:themeColor="text1"/>
        </w:rPr>
        <w:t>(</w:t>
      </w:r>
      <w:r w:rsidR="001A3CB9">
        <w:rPr>
          <w:color w:val="000000" w:themeColor="text1"/>
        </w:rPr>
        <w:t>7</w:t>
      </w:r>
      <w:r w:rsidRPr="00E42FBC">
        <w:rPr>
          <w:color w:val="000000" w:themeColor="text1"/>
        </w:rPr>
        <w:t>) to provide rules for working out ‘actual return’ where a standard Part 6A product is a trustee-directed product that has two or more net investment returns</w:t>
      </w:r>
      <w:r w:rsidR="00326B5C" w:rsidRPr="00E42FBC">
        <w:rPr>
          <w:color w:val="000000" w:themeColor="text1"/>
        </w:rPr>
        <w:t xml:space="preserve"> or gross investment return net of fees</w:t>
      </w:r>
      <w:r w:rsidRPr="00E42FBC">
        <w:rPr>
          <w:color w:val="000000" w:themeColor="text1"/>
        </w:rPr>
        <w:t xml:space="preserve"> in relation to at least one quarter in the lookback period. This can occur when the trustee-directed product has different net investment returns within an investment pathway or has multiple investment pathways. </w:t>
      </w:r>
    </w:p>
    <w:p w14:paraId="25D4F352" w14:textId="77777777" w:rsidR="0075695E" w:rsidRPr="00E42FBC" w:rsidRDefault="0075695E" w:rsidP="0075695E">
      <w:pPr>
        <w:spacing w:before="0" w:after="0"/>
        <w:rPr>
          <w:color w:val="000000" w:themeColor="text1"/>
        </w:rPr>
      </w:pPr>
    </w:p>
    <w:p w14:paraId="7587502D" w14:textId="32CDB097" w:rsidR="0075695E" w:rsidRDefault="0075695E" w:rsidP="0075695E">
      <w:pPr>
        <w:spacing w:before="0" w:after="0"/>
        <w:rPr>
          <w:color w:val="000000" w:themeColor="text1"/>
        </w:rPr>
      </w:pPr>
      <w:r w:rsidRPr="00E42FBC">
        <w:rPr>
          <w:color w:val="000000" w:themeColor="text1"/>
        </w:rPr>
        <w:t xml:space="preserve">The ‘actual return’ is found by first identifying the </w:t>
      </w:r>
      <w:r w:rsidR="00B62C52" w:rsidRPr="00E42FBC">
        <w:rPr>
          <w:color w:val="000000" w:themeColor="text1"/>
        </w:rPr>
        <w:t xml:space="preserve">quarterly </w:t>
      </w:r>
      <w:r w:rsidRPr="00E42FBC">
        <w:rPr>
          <w:color w:val="000000" w:themeColor="text1"/>
        </w:rPr>
        <w:t xml:space="preserve">return for each investment pathway based on the standard fees and costs arrangement for each </w:t>
      </w:r>
      <w:r w:rsidRPr="00E42FBC">
        <w:rPr>
          <w:color w:val="000000" w:themeColor="text1"/>
        </w:rPr>
        <w:lastRenderedPageBreak/>
        <w:t xml:space="preserve">investment pathway. </w:t>
      </w:r>
      <w:r w:rsidR="3B127677" w:rsidRPr="00E42FBC">
        <w:rPr>
          <w:color w:val="000000" w:themeColor="text1"/>
        </w:rPr>
        <w:t xml:space="preserve">Item </w:t>
      </w:r>
      <w:r w:rsidR="56479B86" w:rsidRPr="6A0FC2E5">
        <w:rPr>
          <w:color w:val="000000" w:themeColor="text1"/>
        </w:rPr>
        <w:t>9</w:t>
      </w:r>
      <w:r w:rsidR="3B127677" w:rsidRPr="00E42FBC">
        <w:rPr>
          <w:color w:val="000000" w:themeColor="text1"/>
        </w:rPr>
        <w:t xml:space="preserve"> inserts a definition for standard fees and costs </w:t>
      </w:r>
      <w:r w:rsidR="00E01B52" w:rsidRPr="00E42FBC">
        <w:rPr>
          <w:color w:val="000000" w:themeColor="text1"/>
        </w:rPr>
        <w:t>arrangements</w:t>
      </w:r>
      <w:r w:rsidR="3B127677" w:rsidRPr="00E42FBC">
        <w:rPr>
          <w:color w:val="000000" w:themeColor="text1"/>
        </w:rPr>
        <w:t>.</w:t>
      </w:r>
      <w:r w:rsidR="000D51EB" w:rsidRPr="00E42FBC">
        <w:rPr>
          <w:color w:val="000000" w:themeColor="text1"/>
        </w:rPr>
        <w:t xml:space="preserve"> The definition clarifies that </w:t>
      </w:r>
      <w:r w:rsidR="008505F5" w:rsidRPr="00E42FBC">
        <w:rPr>
          <w:color w:val="000000" w:themeColor="text1"/>
        </w:rPr>
        <w:t>standard fees and costs arrangements for a Part 6A product</w:t>
      </w:r>
      <w:r w:rsidR="00A5468F" w:rsidRPr="00E42FBC">
        <w:rPr>
          <w:color w:val="000000" w:themeColor="text1"/>
        </w:rPr>
        <w:t xml:space="preserve"> are those</w:t>
      </w:r>
      <w:r w:rsidR="00D605D2" w:rsidRPr="00E42FBC">
        <w:rPr>
          <w:color w:val="000000" w:themeColor="text1"/>
        </w:rPr>
        <w:t xml:space="preserve"> arrangements</w:t>
      </w:r>
      <w:r w:rsidR="008505F5" w:rsidRPr="00E42FBC">
        <w:rPr>
          <w:color w:val="000000" w:themeColor="text1"/>
        </w:rPr>
        <w:t xml:space="preserve"> as reported to APRA under the </w:t>
      </w:r>
      <w:r w:rsidR="008E5C67" w:rsidRPr="00E42FBC">
        <w:rPr>
          <w:color w:val="000000" w:themeColor="text1"/>
        </w:rPr>
        <w:t xml:space="preserve">investment performance and RSE structure </w:t>
      </w:r>
      <w:r w:rsidR="007D49F2" w:rsidRPr="00E42FBC">
        <w:rPr>
          <w:color w:val="000000" w:themeColor="text1"/>
        </w:rPr>
        <w:t>standards</w:t>
      </w:r>
      <w:r w:rsidR="005C109A" w:rsidRPr="00E42FBC">
        <w:rPr>
          <w:color w:val="000000" w:themeColor="text1"/>
        </w:rPr>
        <w:t>.</w:t>
      </w:r>
      <w:r w:rsidR="3B127677" w:rsidRPr="00E42FBC">
        <w:rPr>
          <w:color w:val="000000" w:themeColor="text1"/>
        </w:rPr>
        <w:t xml:space="preserve"> </w:t>
      </w:r>
      <w:r w:rsidRPr="00E42FBC">
        <w:rPr>
          <w:color w:val="000000" w:themeColor="text1"/>
        </w:rPr>
        <w:t xml:space="preserve">Next, the </w:t>
      </w:r>
      <w:r w:rsidRPr="00E42FBC">
        <w:rPr>
          <w:i/>
          <w:iCs/>
          <w:color w:val="000000" w:themeColor="text1"/>
        </w:rPr>
        <w:t>smallest</w:t>
      </w:r>
      <w:r w:rsidRPr="00E42FBC">
        <w:rPr>
          <w:color w:val="000000" w:themeColor="text1"/>
        </w:rPr>
        <w:t xml:space="preserve"> of the </w:t>
      </w:r>
      <w:r w:rsidR="00EA452D" w:rsidRPr="00E42FBC">
        <w:rPr>
          <w:color w:val="000000" w:themeColor="text1"/>
        </w:rPr>
        <w:t>quarterly</w:t>
      </w:r>
      <w:r w:rsidRPr="00E42FBC">
        <w:rPr>
          <w:color w:val="000000" w:themeColor="text1"/>
        </w:rPr>
        <w:t xml:space="preserve"> returns across investment pathways is taken to be </w:t>
      </w:r>
      <w:r w:rsidR="00EA452D" w:rsidRPr="00E42FBC">
        <w:rPr>
          <w:color w:val="000000" w:themeColor="text1"/>
        </w:rPr>
        <w:t>included in the calculation of</w:t>
      </w:r>
      <w:r w:rsidRPr="00E42FBC">
        <w:rPr>
          <w:color w:val="000000" w:themeColor="text1"/>
        </w:rPr>
        <w:t xml:space="preserve"> ‘actual return’ for the Part 6A product. The investment pathway with the lowest </w:t>
      </w:r>
      <w:r w:rsidR="00EF2C92" w:rsidRPr="00E42FBC">
        <w:rPr>
          <w:color w:val="000000" w:themeColor="text1"/>
        </w:rPr>
        <w:t xml:space="preserve">net investment returns or gross investment returns net of fees </w:t>
      </w:r>
      <w:r w:rsidRPr="00E42FBC">
        <w:rPr>
          <w:color w:val="000000" w:themeColor="text1"/>
        </w:rPr>
        <w:t>represents the pathway that incurs the highest investment fees. This incentivises funds to reduce investment fees on their highest fee pathways. An asset</w:t>
      </w:r>
      <w:r w:rsidR="3D86E0D0" w:rsidRPr="00E42FBC">
        <w:rPr>
          <w:color w:val="000000" w:themeColor="text1"/>
        </w:rPr>
        <w:t>-</w:t>
      </w:r>
      <w:r w:rsidRPr="00E42FBC">
        <w:rPr>
          <w:color w:val="000000" w:themeColor="text1"/>
        </w:rPr>
        <w:t>weighted approach as undertaken for RAFE is not possible due to data limitations.</w:t>
      </w:r>
      <w:r>
        <w:rPr>
          <w:color w:val="000000" w:themeColor="text1"/>
        </w:rPr>
        <w:t xml:space="preserve"> </w:t>
      </w:r>
    </w:p>
    <w:p w14:paraId="22378682" w14:textId="77777777" w:rsidR="0075695E" w:rsidRDefault="0075695E" w:rsidP="0075695E">
      <w:pPr>
        <w:spacing w:before="0" w:after="0"/>
        <w:rPr>
          <w:color w:val="000000" w:themeColor="text1"/>
        </w:rPr>
      </w:pPr>
    </w:p>
    <w:p w14:paraId="44724591" w14:textId="54D47C6B" w:rsidR="00620D70" w:rsidRPr="00BC363F" w:rsidRDefault="00620D70" w:rsidP="00620D70">
      <w:pPr>
        <w:spacing w:before="0" w:after="0"/>
        <w:rPr>
          <w:b/>
          <w:bCs/>
          <w:i/>
          <w:iCs/>
          <w:color w:val="000000" w:themeColor="text1"/>
        </w:rPr>
      </w:pPr>
      <w:r w:rsidRPr="00BC363F">
        <w:rPr>
          <w:b/>
          <w:bCs/>
          <w:i/>
          <w:iCs/>
          <w:color w:val="000000" w:themeColor="text1"/>
        </w:rPr>
        <w:t>Item</w:t>
      </w:r>
      <w:r>
        <w:rPr>
          <w:b/>
          <w:bCs/>
          <w:i/>
          <w:iCs/>
          <w:color w:val="000000" w:themeColor="text1"/>
        </w:rPr>
        <w:t>s</w:t>
      </w:r>
      <w:r w:rsidRPr="00BC363F">
        <w:rPr>
          <w:b/>
          <w:bCs/>
          <w:i/>
          <w:iCs/>
          <w:color w:val="000000" w:themeColor="text1"/>
        </w:rPr>
        <w:t xml:space="preserve"> </w:t>
      </w:r>
      <w:r w:rsidR="00D46E9D">
        <w:rPr>
          <w:b/>
          <w:bCs/>
          <w:i/>
          <w:iCs/>
          <w:color w:val="000000" w:themeColor="text1"/>
        </w:rPr>
        <w:t>5</w:t>
      </w:r>
      <w:r>
        <w:rPr>
          <w:b/>
          <w:bCs/>
          <w:i/>
          <w:iCs/>
          <w:color w:val="000000" w:themeColor="text1"/>
        </w:rPr>
        <w:t xml:space="preserve">, </w:t>
      </w:r>
      <w:r w:rsidR="029C8FB2" w:rsidRPr="7D724AB8">
        <w:rPr>
          <w:b/>
          <w:bCs/>
          <w:i/>
          <w:iCs/>
          <w:color w:val="000000" w:themeColor="text1"/>
        </w:rPr>
        <w:t>8</w:t>
      </w:r>
      <w:r>
        <w:rPr>
          <w:b/>
          <w:bCs/>
          <w:i/>
          <w:iCs/>
          <w:color w:val="000000" w:themeColor="text1"/>
        </w:rPr>
        <w:t>,</w:t>
      </w:r>
      <w:r w:rsidR="00910E07">
        <w:rPr>
          <w:b/>
          <w:bCs/>
          <w:i/>
          <w:iCs/>
          <w:color w:val="000000" w:themeColor="text1"/>
        </w:rPr>
        <w:t xml:space="preserve"> </w:t>
      </w:r>
      <w:r w:rsidR="00985406" w:rsidRPr="7D724AB8">
        <w:rPr>
          <w:b/>
          <w:bCs/>
          <w:i/>
          <w:iCs/>
          <w:color w:val="000000" w:themeColor="text1"/>
        </w:rPr>
        <w:t>1</w:t>
      </w:r>
      <w:r w:rsidR="3E325BAE" w:rsidRPr="7D724AB8">
        <w:rPr>
          <w:b/>
          <w:bCs/>
          <w:i/>
          <w:iCs/>
          <w:color w:val="000000" w:themeColor="text1"/>
        </w:rPr>
        <w:t>6</w:t>
      </w:r>
      <w:r w:rsidR="375EFCF4" w:rsidRPr="7D724AB8">
        <w:rPr>
          <w:b/>
          <w:bCs/>
          <w:i/>
          <w:iCs/>
          <w:color w:val="000000" w:themeColor="text1"/>
        </w:rPr>
        <w:t xml:space="preserve"> and 57</w:t>
      </w:r>
      <w:r>
        <w:rPr>
          <w:b/>
          <w:bCs/>
          <w:i/>
          <w:iCs/>
          <w:color w:val="000000" w:themeColor="text1"/>
        </w:rPr>
        <w:t xml:space="preserve"> </w:t>
      </w:r>
      <w:r w:rsidRPr="00BC363F">
        <w:rPr>
          <w:b/>
          <w:bCs/>
          <w:i/>
          <w:iCs/>
          <w:color w:val="000000" w:themeColor="text1"/>
        </w:rPr>
        <w:t xml:space="preserve">– </w:t>
      </w:r>
      <w:r>
        <w:rPr>
          <w:b/>
          <w:bCs/>
          <w:i/>
          <w:iCs/>
          <w:color w:val="000000" w:themeColor="text1"/>
        </w:rPr>
        <w:t>Meaning of representative administration fees and expenses or RAFE</w:t>
      </w:r>
    </w:p>
    <w:p w14:paraId="6EE3A763" w14:textId="77777777" w:rsidR="00620D70" w:rsidRDefault="00620D70" w:rsidP="00620D70">
      <w:pPr>
        <w:spacing w:before="0" w:after="0"/>
        <w:rPr>
          <w:i/>
          <w:iCs/>
          <w:color w:val="000000" w:themeColor="text1"/>
        </w:rPr>
      </w:pPr>
    </w:p>
    <w:p w14:paraId="57DABFF9" w14:textId="33AA4145" w:rsidR="00B60B62" w:rsidRPr="00437303" w:rsidRDefault="002022A7" w:rsidP="00620D70">
      <w:pPr>
        <w:spacing w:before="0" w:after="0"/>
        <w:rPr>
          <w:color w:val="000000"/>
          <w:shd w:val="clear" w:color="auto" w:fill="FFFFFF"/>
        </w:rPr>
      </w:pPr>
      <w:r>
        <w:rPr>
          <w:color w:val="000000" w:themeColor="text1"/>
        </w:rPr>
        <w:t xml:space="preserve">The Regulations </w:t>
      </w:r>
      <w:r w:rsidR="00975AC7">
        <w:rPr>
          <w:color w:val="000000" w:themeColor="text1"/>
        </w:rPr>
        <w:t xml:space="preserve">do not </w:t>
      </w:r>
      <w:r w:rsidR="00D15CB4">
        <w:rPr>
          <w:color w:val="000000" w:themeColor="text1"/>
        </w:rPr>
        <w:t xml:space="preserve">substantively change </w:t>
      </w:r>
      <w:r w:rsidR="00620D70">
        <w:rPr>
          <w:color w:val="000000" w:themeColor="text1"/>
        </w:rPr>
        <w:t>the performance measure and its use of ‘</w:t>
      </w:r>
      <w:r w:rsidR="00620D70" w:rsidRPr="00C702B0">
        <w:rPr>
          <w:color w:val="000000" w:themeColor="text1"/>
        </w:rPr>
        <w:t>representative administration fees and expenses</w:t>
      </w:r>
      <w:r w:rsidR="00620D70">
        <w:rPr>
          <w:color w:val="000000" w:themeColor="text1"/>
        </w:rPr>
        <w:t>’</w:t>
      </w:r>
      <w:r w:rsidR="00620D70" w:rsidRPr="00C702B0">
        <w:rPr>
          <w:color w:val="000000" w:themeColor="text1"/>
        </w:rPr>
        <w:t xml:space="preserve"> or </w:t>
      </w:r>
      <w:r w:rsidR="00620D70">
        <w:rPr>
          <w:color w:val="000000" w:themeColor="text1"/>
        </w:rPr>
        <w:t>‘</w:t>
      </w:r>
      <w:r w:rsidR="00620D70" w:rsidRPr="00C702B0">
        <w:rPr>
          <w:color w:val="000000" w:themeColor="text1"/>
        </w:rPr>
        <w:t>RAFE</w:t>
      </w:r>
      <w:r w:rsidR="00620D70">
        <w:rPr>
          <w:color w:val="000000" w:themeColor="text1"/>
        </w:rPr>
        <w:t>’</w:t>
      </w:r>
      <w:r w:rsidR="008456D6">
        <w:rPr>
          <w:rStyle w:val="normaltextrun"/>
          <w:color w:val="000000"/>
        </w:rPr>
        <w:t xml:space="preserve"> as set out in the Principal Regulations</w:t>
      </w:r>
      <w:r w:rsidR="00620D70">
        <w:rPr>
          <w:color w:val="000000" w:themeColor="text1"/>
        </w:rPr>
        <w:t xml:space="preserve">. </w:t>
      </w:r>
      <w:r w:rsidR="00620D70">
        <w:rPr>
          <w:color w:val="000000"/>
          <w:shd w:val="clear" w:color="auto" w:fill="FFFFFF"/>
        </w:rPr>
        <w:t>A product’s ‘actual RAFE’ are the actual administration fees and expenses charged in the most recent financial year (as charged on a $50,000 balance). ‘Benchmark RAFE’ is the median administration fee</w:t>
      </w:r>
      <w:r w:rsidR="002D3EFD">
        <w:rPr>
          <w:color w:val="000000"/>
          <w:shd w:val="clear" w:color="auto" w:fill="FFFFFF"/>
        </w:rPr>
        <w:t>s</w:t>
      </w:r>
      <w:r w:rsidR="00620D70">
        <w:rPr>
          <w:color w:val="000000"/>
          <w:shd w:val="clear" w:color="auto" w:fill="FFFFFF"/>
        </w:rPr>
        <w:t xml:space="preserve"> and expenses (as charged on a $50,000 balance) across a certain category of products for the most recent financial year. </w:t>
      </w:r>
    </w:p>
    <w:p w14:paraId="4E204CDB" w14:textId="77777777" w:rsidR="00620D70" w:rsidRDefault="00620D70" w:rsidP="00620D70">
      <w:pPr>
        <w:spacing w:before="0" w:after="0"/>
        <w:rPr>
          <w:color w:val="000000" w:themeColor="text1"/>
        </w:rPr>
      </w:pPr>
    </w:p>
    <w:p w14:paraId="48314C1E" w14:textId="3D3AF6FD" w:rsidR="00620D70" w:rsidRDefault="00620D70" w:rsidP="00620D70">
      <w:pPr>
        <w:spacing w:before="0" w:after="0"/>
        <w:rPr>
          <w:color w:val="000000" w:themeColor="text1"/>
        </w:rPr>
      </w:pPr>
      <w:r w:rsidRPr="57F4B831">
        <w:rPr>
          <w:color w:val="000000" w:themeColor="text1"/>
        </w:rPr>
        <w:t xml:space="preserve">Item </w:t>
      </w:r>
      <w:r w:rsidR="5DC5F92F" w:rsidRPr="027C4418">
        <w:rPr>
          <w:color w:val="000000" w:themeColor="text1"/>
        </w:rPr>
        <w:t>8</w:t>
      </w:r>
      <w:r w:rsidRPr="57F4B831">
        <w:rPr>
          <w:color w:val="000000" w:themeColor="text1"/>
        </w:rPr>
        <w:t xml:space="preserve"> repeals the definition of ‘representative administration fees and expenses’ or ‘RAFE’ in regulation 9AB.1 of the Principal Regulations and substitutes a new definition that provides that the term has the meaning given by regulation 9AB.4A.</w:t>
      </w:r>
      <w:r w:rsidR="00BC1345" w:rsidRPr="57F4B831">
        <w:rPr>
          <w:color w:val="000000" w:themeColor="text1"/>
        </w:rPr>
        <w:t xml:space="preserve"> Instead of appearing under </w:t>
      </w:r>
      <w:r w:rsidR="00201326" w:rsidRPr="57F4B831">
        <w:rPr>
          <w:color w:val="000000" w:themeColor="text1"/>
        </w:rPr>
        <w:t xml:space="preserve">9AB.1 </w:t>
      </w:r>
      <w:r w:rsidR="00352869" w:rsidRPr="57F4B831">
        <w:rPr>
          <w:color w:val="000000" w:themeColor="text1"/>
        </w:rPr>
        <w:t xml:space="preserve">(the </w:t>
      </w:r>
      <w:r w:rsidR="00201326" w:rsidRPr="57F4B831">
        <w:rPr>
          <w:color w:val="000000" w:themeColor="text1"/>
        </w:rPr>
        <w:t xml:space="preserve">definitions </w:t>
      </w:r>
      <w:r w:rsidR="00352869" w:rsidRPr="57F4B831">
        <w:rPr>
          <w:color w:val="000000" w:themeColor="text1"/>
        </w:rPr>
        <w:t>provision)</w:t>
      </w:r>
      <w:r w:rsidR="00201326" w:rsidRPr="57F4B831">
        <w:rPr>
          <w:color w:val="000000" w:themeColor="text1"/>
        </w:rPr>
        <w:t xml:space="preserve">, </w:t>
      </w:r>
      <w:r w:rsidR="00F52098" w:rsidRPr="57F4B831">
        <w:rPr>
          <w:color w:val="000000" w:themeColor="text1"/>
        </w:rPr>
        <w:t>‘representative administration fees and expenses’ or ‘RAFE’</w:t>
      </w:r>
      <w:r w:rsidR="00161633" w:rsidRPr="57F4B831">
        <w:rPr>
          <w:color w:val="000000" w:themeColor="text1"/>
        </w:rPr>
        <w:t xml:space="preserve"> is set out separately in a new regulation</w:t>
      </w:r>
      <w:r w:rsidR="00352869" w:rsidRPr="57F4B831">
        <w:rPr>
          <w:color w:val="000000" w:themeColor="text1"/>
        </w:rPr>
        <w:t> </w:t>
      </w:r>
      <w:r w:rsidR="00161633" w:rsidRPr="57F4B831">
        <w:rPr>
          <w:color w:val="000000" w:themeColor="text1"/>
        </w:rPr>
        <w:t xml:space="preserve">9AB.4A. </w:t>
      </w:r>
    </w:p>
    <w:p w14:paraId="2641FD95" w14:textId="77777777" w:rsidR="00620D70" w:rsidRDefault="00620D70" w:rsidP="00620D70">
      <w:pPr>
        <w:spacing w:before="0" w:after="0"/>
        <w:rPr>
          <w:color w:val="000000" w:themeColor="text1"/>
        </w:rPr>
      </w:pPr>
    </w:p>
    <w:p w14:paraId="4CA9F912" w14:textId="003B2DDD" w:rsidR="00620D70" w:rsidRDefault="00620D70" w:rsidP="00620D70">
      <w:pPr>
        <w:spacing w:before="0" w:after="0"/>
        <w:rPr>
          <w:color w:val="000000" w:themeColor="text1"/>
        </w:rPr>
      </w:pPr>
      <w:r w:rsidRPr="00A43F91">
        <w:rPr>
          <w:color w:val="000000" w:themeColor="text1"/>
        </w:rPr>
        <w:t xml:space="preserve">Item </w:t>
      </w:r>
      <w:r w:rsidR="0046084D" w:rsidRPr="027C4418">
        <w:rPr>
          <w:color w:val="000000" w:themeColor="text1"/>
        </w:rPr>
        <w:t>1</w:t>
      </w:r>
      <w:r w:rsidR="7BF00075" w:rsidRPr="027C4418">
        <w:rPr>
          <w:color w:val="000000" w:themeColor="text1"/>
        </w:rPr>
        <w:t>6</w:t>
      </w:r>
      <w:r w:rsidRPr="00A43F91">
        <w:rPr>
          <w:color w:val="000000" w:themeColor="text1"/>
        </w:rPr>
        <w:t xml:space="preserve"> </w:t>
      </w:r>
      <w:r>
        <w:rPr>
          <w:color w:val="000000" w:themeColor="text1"/>
        </w:rPr>
        <w:t xml:space="preserve">inserts regulation 9AB.4A which provides an updated </w:t>
      </w:r>
      <w:r w:rsidRPr="00A43F91">
        <w:rPr>
          <w:color w:val="000000" w:themeColor="text1"/>
        </w:rPr>
        <w:t xml:space="preserve">definition of </w:t>
      </w:r>
      <w:r>
        <w:rPr>
          <w:color w:val="000000" w:themeColor="text1"/>
        </w:rPr>
        <w:t>‘</w:t>
      </w:r>
      <w:r w:rsidRPr="00A43F91">
        <w:rPr>
          <w:color w:val="000000" w:themeColor="text1"/>
        </w:rPr>
        <w:t>RAFE</w:t>
      </w:r>
      <w:r>
        <w:rPr>
          <w:color w:val="000000" w:themeColor="text1"/>
        </w:rPr>
        <w:t xml:space="preserve">’. The definition clarifies how RAFE is worked out for a Part 6A product, a Part 6A product that is a lifecycle Part 6A product, and a Part 6A product that is a trustee-directed product. </w:t>
      </w:r>
    </w:p>
    <w:p w14:paraId="40234B5D" w14:textId="77777777" w:rsidR="00EB71D3" w:rsidRDefault="00EB71D3" w:rsidP="00620D70">
      <w:pPr>
        <w:spacing w:before="0" w:after="0"/>
        <w:rPr>
          <w:color w:val="000000" w:themeColor="text1"/>
        </w:rPr>
      </w:pPr>
    </w:p>
    <w:p w14:paraId="64E27F10" w14:textId="474138AF" w:rsidR="00EB71D3" w:rsidRDefault="00421ADA" w:rsidP="00620D70">
      <w:pPr>
        <w:spacing w:before="0" w:after="0"/>
      </w:pPr>
      <w:proofErr w:type="spellStart"/>
      <w:r w:rsidRPr="4655447E">
        <w:rPr>
          <w:color w:val="000000" w:themeColor="text1"/>
        </w:rPr>
        <w:t>S</w:t>
      </w:r>
      <w:r w:rsidR="00EB71D3" w:rsidRPr="4655447E">
        <w:rPr>
          <w:color w:val="000000" w:themeColor="text1"/>
        </w:rPr>
        <w:t>ubregulation</w:t>
      </w:r>
      <w:proofErr w:type="spellEnd"/>
      <w:r w:rsidR="00EB71D3" w:rsidRPr="4655447E">
        <w:rPr>
          <w:color w:val="000000" w:themeColor="text1"/>
        </w:rPr>
        <w:t xml:space="preserve"> 9AB.4A(1)</w:t>
      </w:r>
      <w:r w:rsidR="00936491" w:rsidRPr="4655447E">
        <w:rPr>
          <w:color w:val="000000" w:themeColor="text1"/>
        </w:rPr>
        <w:t xml:space="preserve"> clarifies that the </w:t>
      </w:r>
      <w:r w:rsidR="00490534" w:rsidRPr="4655447E">
        <w:rPr>
          <w:color w:val="000000" w:themeColor="text1"/>
        </w:rPr>
        <w:t xml:space="preserve">relevant </w:t>
      </w:r>
      <w:r w:rsidR="006F2247">
        <w:t>fees and costs</w:t>
      </w:r>
      <w:r w:rsidR="00C52F5D">
        <w:t>, and related tax expenses a</w:t>
      </w:r>
      <w:r w:rsidR="1BDD0193">
        <w:t>nd</w:t>
      </w:r>
      <w:r w:rsidR="00C52F5D">
        <w:t xml:space="preserve"> benefits,</w:t>
      </w:r>
      <w:r w:rsidR="006F2247">
        <w:t xml:space="preserve"> are </w:t>
      </w:r>
      <w:r w:rsidR="00490534">
        <w:t xml:space="preserve">those </w:t>
      </w:r>
      <w:r w:rsidR="006F2247">
        <w:t xml:space="preserve">reported </w:t>
      </w:r>
      <w:r w:rsidR="00F45DBF">
        <w:t xml:space="preserve">to APRA </w:t>
      </w:r>
      <w:r w:rsidR="006F2247">
        <w:t xml:space="preserve">in relation to </w:t>
      </w:r>
      <w:r w:rsidR="00490534">
        <w:t>the Part</w:t>
      </w:r>
      <w:r w:rsidR="00352869">
        <w:t> </w:t>
      </w:r>
      <w:r w:rsidR="00490534">
        <w:t xml:space="preserve">6A product’s </w:t>
      </w:r>
      <w:r w:rsidR="006F2247">
        <w:t>standard fee</w:t>
      </w:r>
      <w:r w:rsidR="002D3636">
        <w:t>s</w:t>
      </w:r>
      <w:r w:rsidR="006F2247">
        <w:t xml:space="preserve"> and costs arrangement</w:t>
      </w:r>
      <w:r w:rsidR="00490534">
        <w:t xml:space="preserve">. </w:t>
      </w:r>
    </w:p>
    <w:p w14:paraId="63F228AF" w14:textId="77777777" w:rsidR="00324781" w:rsidRDefault="00324781" w:rsidP="00324781">
      <w:pPr>
        <w:spacing w:before="0" w:after="0"/>
        <w:rPr>
          <w:color w:val="000000" w:themeColor="text1"/>
        </w:rPr>
      </w:pPr>
    </w:p>
    <w:p w14:paraId="7ABB9A8B" w14:textId="34956FE3" w:rsidR="00324781" w:rsidRDefault="66B563C0" w:rsidP="00324781">
      <w:pPr>
        <w:spacing w:before="0" w:after="0"/>
        <w:rPr>
          <w:color w:val="000000" w:themeColor="text1"/>
        </w:rPr>
      </w:pPr>
      <w:proofErr w:type="spellStart"/>
      <w:r w:rsidRPr="4489E5EA">
        <w:rPr>
          <w:color w:val="000000" w:themeColor="text1"/>
        </w:rPr>
        <w:t>Subregulation</w:t>
      </w:r>
      <w:proofErr w:type="spellEnd"/>
      <w:r w:rsidRPr="4489E5EA">
        <w:rPr>
          <w:color w:val="000000" w:themeColor="text1"/>
        </w:rPr>
        <w:t xml:space="preserve"> 9AB.4A(2) provides that in working out an amount for RAFE, assume that the amount related to a beneficiary of the entity with an account balance in respect of the Part 6A product of $50,000 throughout the period. The purpose of this amendment is to ensure RAFE is calculated on the basis of a representative member. This does not change the way that RAFE is worked out, but makes it explicit in the Principal Regulations, which is necessary due to changes in APRA’s reporting standards. The $50,000 balance is not affected by investment gains and losses. </w:t>
      </w:r>
    </w:p>
    <w:p w14:paraId="0A24CDBF" w14:textId="77777777" w:rsidR="00324781" w:rsidRDefault="00324781" w:rsidP="00324781">
      <w:pPr>
        <w:spacing w:before="0" w:after="0"/>
        <w:rPr>
          <w:color w:val="000000" w:themeColor="text1"/>
        </w:rPr>
      </w:pPr>
    </w:p>
    <w:p w14:paraId="40F5C69E" w14:textId="2EE529A9" w:rsidR="00324781" w:rsidRDefault="00324781" w:rsidP="00324781">
      <w:pPr>
        <w:spacing w:before="0" w:after="0"/>
        <w:rPr>
          <w:color w:val="000000" w:themeColor="text1"/>
        </w:rPr>
      </w:pPr>
      <w:r w:rsidRPr="73A16383">
        <w:rPr>
          <w:color w:val="000000" w:themeColor="text1"/>
        </w:rPr>
        <w:t xml:space="preserve">However, products </w:t>
      </w:r>
      <w:r w:rsidR="00DC36DB" w:rsidRPr="73A16383">
        <w:rPr>
          <w:color w:val="000000" w:themeColor="text1"/>
        </w:rPr>
        <w:t>may</w:t>
      </w:r>
      <w:r w:rsidRPr="73A16383">
        <w:rPr>
          <w:color w:val="000000" w:themeColor="text1"/>
        </w:rPr>
        <w:t xml:space="preserve"> require members to have a minimum account balance of more than $50,000. </w:t>
      </w:r>
      <w:r w:rsidR="00B93BBB" w:rsidRPr="73A16383">
        <w:rPr>
          <w:color w:val="000000" w:themeColor="text1"/>
        </w:rPr>
        <w:t>Therefore, these</w:t>
      </w:r>
      <w:r w:rsidRPr="73A16383">
        <w:rPr>
          <w:color w:val="000000" w:themeColor="text1"/>
        </w:rPr>
        <w:t xml:space="preserve"> products will</w:t>
      </w:r>
      <w:r w:rsidR="00306D36" w:rsidRPr="73A16383">
        <w:rPr>
          <w:color w:val="000000" w:themeColor="text1"/>
        </w:rPr>
        <w:t xml:space="preserve"> </w:t>
      </w:r>
      <w:r w:rsidRPr="73A16383">
        <w:rPr>
          <w:color w:val="000000" w:themeColor="text1"/>
        </w:rPr>
        <w:t xml:space="preserve">not have any members with a balance of $50,000, </w:t>
      </w:r>
      <w:r w:rsidR="570256FF" w:rsidRPr="73A16383">
        <w:rPr>
          <w:color w:val="000000" w:themeColor="text1"/>
        </w:rPr>
        <w:t xml:space="preserve">and </w:t>
      </w:r>
      <w:r w:rsidR="00EE6427">
        <w:rPr>
          <w:color w:val="000000" w:themeColor="text1"/>
        </w:rPr>
        <w:t>no</w:t>
      </w:r>
      <w:r w:rsidR="00EE6427" w:rsidRPr="73A16383">
        <w:rPr>
          <w:color w:val="000000" w:themeColor="text1"/>
        </w:rPr>
        <w:t xml:space="preserve"> </w:t>
      </w:r>
      <w:r w:rsidRPr="73A16383">
        <w:rPr>
          <w:color w:val="000000" w:themeColor="text1"/>
        </w:rPr>
        <w:t xml:space="preserve">administration fees will be reported. </w:t>
      </w:r>
      <w:proofErr w:type="spellStart"/>
      <w:r w:rsidRPr="73A16383">
        <w:rPr>
          <w:color w:val="000000" w:themeColor="text1"/>
        </w:rPr>
        <w:t>Subregulation</w:t>
      </w:r>
      <w:proofErr w:type="spellEnd"/>
      <w:r w:rsidRPr="73A16383">
        <w:rPr>
          <w:color w:val="000000" w:themeColor="text1"/>
        </w:rPr>
        <w:t> 9AB.4A(</w:t>
      </w:r>
      <w:r w:rsidR="00E65D0E" w:rsidRPr="6E339759">
        <w:rPr>
          <w:color w:val="000000" w:themeColor="text1"/>
        </w:rPr>
        <w:t>2</w:t>
      </w:r>
      <w:r w:rsidRPr="73A16383">
        <w:rPr>
          <w:color w:val="000000" w:themeColor="text1"/>
        </w:rPr>
        <w:t xml:space="preserve">) provides that where there is a minimum balance </w:t>
      </w:r>
      <w:r w:rsidRPr="73A16383">
        <w:rPr>
          <w:color w:val="000000" w:themeColor="text1"/>
        </w:rPr>
        <w:lastRenderedPageBreak/>
        <w:t xml:space="preserve">requirement of more than $50,000, the RAFE is calculated based on that minimum balance.  </w:t>
      </w:r>
    </w:p>
    <w:p w14:paraId="2FC50D5E" w14:textId="77777777" w:rsidR="00620D70" w:rsidRPr="00BC363F" w:rsidRDefault="00620D70" w:rsidP="00620D70">
      <w:pPr>
        <w:spacing w:before="0" w:after="0"/>
        <w:rPr>
          <w:color w:val="000000" w:themeColor="text1"/>
        </w:rPr>
      </w:pPr>
    </w:p>
    <w:p w14:paraId="359EA338" w14:textId="5D3066EC" w:rsidR="00620D70" w:rsidRDefault="00421ADA" w:rsidP="00620D70">
      <w:pPr>
        <w:spacing w:before="0" w:after="0"/>
      </w:pPr>
      <w:proofErr w:type="spellStart"/>
      <w:r>
        <w:rPr>
          <w:color w:val="000000" w:themeColor="text1"/>
        </w:rPr>
        <w:t>S</w:t>
      </w:r>
      <w:r w:rsidR="00620D70" w:rsidRPr="00B62295">
        <w:rPr>
          <w:color w:val="000000" w:themeColor="text1"/>
        </w:rPr>
        <w:t>ubregulation</w:t>
      </w:r>
      <w:r w:rsidR="00620D70" w:rsidRPr="00027363">
        <w:rPr>
          <w:color w:val="000000" w:themeColor="text1"/>
        </w:rPr>
        <w:t>s</w:t>
      </w:r>
      <w:proofErr w:type="spellEnd"/>
      <w:r w:rsidR="00620D70" w:rsidRPr="00027363">
        <w:rPr>
          <w:color w:val="000000" w:themeColor="text1"/>
        </w:rPr>
        <w:t xml:space="preserve"> 9AB.4A(3</w:t>
      </w:r>
      <w:r w:rsidR="00620D70">
        <w:rPr>
          <w:color w:val="000000" w:themeColor="text1"/>
        </w:rPr>
        <w:t xml:space="preserve">) to </w:t>
      </w:r>
      <w:r w:rsidR="00620D70" w:rsidRPr="00B62295">
        <w:rPr>
          <w:color w:val="000000" w:themeColor="text1"/>
        </w:rPr>
        <w:t>(</w:t>
      </w:r>
      <w:r w:rsidR="00620D70" w:rsidRPr="00027363">
        <w:rPr>
          <w:color w:val="000000" w:themeColor="text1"/>
        </w:rPr>
        <w:t>6)</w:t>
      </w:r>
      <w:r w:rsidR="00620D70">
        <w:rPr>
          <w:color w:val="000000" w:themeColor="text1"/>
        </w:rPr>
        <w:t xml:space="preserve"> </w:t>
      </w:r>
      <w:r w:rsidR="00620D70" w:rsidRPr="00A43F91">
        <w:rPr>
          <w:color w:val="000000" w:themeColor="text1"/>
        </w:rPr>
        <w:t>clarif</w:t>
      </w:r>
      <w:r w:rsidR="00871A20">
        <w:rPr>
          <w:color w:val="000000" w:themeColor="text1"/>
        </w:rPr>
        <w:t>y</w:t>
      </w:r>
      <w:r w:rsidR="00620D70" w:rsidRPr="00A43F91">
        <w:rPr>
          <w:color w:val="000000" w:themeColor="text1"/>
        </w:rPr>
        <w:t xml:space="preserve"> that the RAFE </w:t>
      </w:r>
      <w:r w:rsidR="00620D70" w:rsidRPr="00A43F91">
        <w:t xml:space="preserve">for a lifecycle Part 6A product is the </w:t>
      </w:r>
      <w:proofErr w:type="spellStart"/>
      <w:r w:rsidR="00620D70">
        <w:t>lifestage</w:t>
      </w:r>
      <w:proofErr w:type="spellEnd"/>
      <w:r w:rsidR="00620D70">
        <w:t xml:space="preserve"> that incurs the</w:t>
      </w:r>
      <w:r w:rsidR="00620D70" w:rsidRPr="00A43F91">
        <w:t xml:space="preserve"> </w:t>
      </w:r>
      <w:r w:rsidR="00620D70" w:rsidRPr="00A43F91">
        <w:rPr>
          <w:i/>
          <w:iCs/>
        </w:rPr>
        <w:t>largest</w:t>
      </w:r>
      <w:r w:rsidR="00620D70" w:rsidRPr="00A43F91">
        <w:t xml:space="preserve"> RAFE from the set of </w:t>
      </w:r>
      <w:proofErr w:type="spellStart"/>
      <w:r w:rsidR="00620D70">
        <w:t>lifestage</w:t>
      </w:r>
      <w:proofErr w:type="spellEnd"/>
      <w:r w:rsidR="00620D70">
        <w:t xml:space="preserve"> </w:t>
      </w:r>
      <w:r w:rsidR="00620D70" w:rsidRPr="00A43F91">
        <w:t>RAFEs. The purpose of the amendment is to ensure</w:t>
      </w:r>
      <w:r w:rsidR="00620D70" w:rsidRPr="00CD1F05">
        <w:t xml:space="preserve"> the Principal Regulations remain fit for purpose and </w:t>
      </w:r>
      <w:r w:rsidR="00620D70">
        <w:t xml:space="preserve">provide certainty to trustees by </w:t>
      </w:r>
      <w:r w:rsidR="00620D70" w:rsidRPr="006B3A71">
        <w:t>explicit</w:t>
      </w:r>
      <w:r w:rsidR="00620D70">
        <w:t xml:space="preserve">ly stating in the law that it is the largest RAFE that is relevant to ‘actual RAFE’ and ‘benchmark RAFE’. </w:t>
      </w:r>
      <w:r w:rsidR="00620D70" w:rsidRPr="00760497">
        <w:t xml:space="preserve">Item </w:t>
      </w:r>
      <w:r w:rsidR="27DA1C1B">
        <w:t>57</w:t>
      </w:r>
      <w:r w:rsidR="00620D70">
        <w:t xml:space="preserve"> repeals </w:t>
      </w:r>
      <w:proofErr w:type="spellStart"/>
      <w:r w:rsidR="00620D70">
        <w:t>subregulations</w:t>
      </w:r>
      <w:proofErr w:type="spellEnd"/>
      <w:r w:rsidR="00620D70">
        <w:t xml:space="preserve"> 9AB.16(7) and (8) of the Principal Regulations which set out how to provide RAFE for lifecycle Part 6A products. These </w:t>
      </w:r>
      <w:proofErr w:type="spellStart"/>
      <w:r w:rsidR="00620D70">
        <w:t>subregulations</w:t>
      </w:r>
      <w:proofErr w:type="spellEnd"/>
      <w:r w:rsidR="00620D70">
        <w:t xml:space="preserve"> are no longer required as the rules are now provided for in the updated definition of RAFE.</w:t>
      </w:r>
    </w:p>
    <w:p w14:paraId="21E86D8B" w14:textId="77777777" w:rsidR="00620D70" w:rsidRDefault="00620D70" w:rsidP="00620D70">
      <w:pPr>
        <w:spacing w:before="0" w:after="0"/>
      </w:pPr>
    </w:p>
    <w:p w14:paraId="3C3EE586" w14:textId="77777777" w:rsidR="00230291" w:rsidRDefault="00421ADA" w:rsidP="00620D70">
      <w:pPr>
        <w:spacing w:before="0" w:after="0"/>
      </w:pPr>
      <w:proofErr w:type="spellStart"/>
      <w:r>
        <w:t>S</w:t>
      </w:r>
      <w:r w:rsidR="00620D70">
        <w:t>ubregulations</w:t>
      </w:r>
      <w:proofErr w:type="spellEnd"/>
      <w:r w:rsidR="00620D70">
        <w:t xml:space="preserve"> 9AB.4A(7) to (9) clarif</w:t>
      </w:r>
      <w:r w:rsidR="00FD45C3">
        <w:t>y</w:t>
      </w:r>
      <w:r w:rsidR="00620D70">
        <w:t xml:space="preserve"> that the RAFE for trustee-directed products is the standard fees and costs arrangement within each investment pathway and asset-weighted across investment pathways. </w:t>
      </w:r>
      <w:proofErr w:type="spellStart"/>
      <w:r w:rsidR="00620D70">
        <w:t>Subregulation</w:t>
      </w:r>
      <w:proofErr w:type="spellEnd"/>
      <w:r w:rsidR="00620D70">
        <w:t xml:space="preserve"> 9AB.4A(8) provides the rule for asset-weighting across an investment pathway in relation to a period. Asset-weighting by pathway provides an incentive for funds to reduce fees on the most popular pathways. </w:t>
      </w:r>
    </w:p>
    <w:p w14:paraId="56DE9CDB" w14:textId="77777777" w:rsidR="00230291" w:rsidRDefault="00230291" w:rsidP="00620D70">
      <w:pPr>
        <w:spacing w:before="0" w:after="0"/>
      </w:pPr>
    </w:p>
    <w:p w14:paraId="6CBF2AEF" w14:textId="111B1418" w:rsidR="00620D70" w:rsidRDefault="00620D70" w:rsidP="00620D70">
      <w:pPr>
        <w:spacing w:before="0" w:after="0"/>
      </w:pPr>
      <w:r>
        <w:t xml:space="preserve">Item </w:t>
      </w:r>
      <w:r w:rsidR="00D46E9D">
        <w:t>5</w:t>
      </w:r>
      <w:r>
        <w:t xml:space="preserve"> inserts a definition for ‘investment pathway’ to clarify that </w:t>
      </w:r>
      <w:r w:rsidRPr="00555F6A">
        <w:t>if there is a choice of different ways of investing in a Part 6A product, as reported to APRA in accordance with the applicable RSE structure standard, each of those ways is an investment pathway of the Part 6A product.</w:t>
      </w:r>
      <w:r>
        <w:t xml:space="preserve"> </w:t>
      </w:r>
      <w:r w:rsidR="00A22552">
        <w:t xml:space="preserve">A </w:t>
      </w:r>
      <w:r w:rsidR="0032487B">
        <w:t xml:space="preserve">single </w:t>
      </w:r>
      <w:r w:rsidR="00A22552">
        <w:t>Part 6A product can be accessed</w:t>
      </w:r>
      <w:r w:rsidR="008D3D15">
        <w:t xml:space="preserve"> through </w:t>
      </w:r>
      <w:r w:rsidR="003B5FB0">
        <w:t>multiple</w:t>
      </w:r>
      <w:r w:rsidR="008D3D15">
        <w:t xml:space="preserve"> </w:t>
      </w:r>
      <w:r w:rsidR="002F236D">
        <w:t xml:space="preserve">investment </w:t>
      </w:r>
      <w:r w:rsidR="00C66A42">
        <w:t>pathways</w:t>
      </w:r>
      <w:r w:rsidR="004E52E8">
        <w:t>.</w:t>
      </w:r>
      <w:r w:rsidR="001E4753">
        <w:t xml:space="preserve"> Investment pathways can be identified through APRA data collection and are the combinations of ways that a member may </w:t>
      </w:r>
      <w:r w:rsidR="008C74FB">
        <w:t>access the Part 6A product</w:t>
      </w:r>
      <w:r w:rsidR="00C77F36">
        <w:t xml:space="preserve">. In a complex </w:t>
      </w:r>
      <w:r w:rsidR="00DC603A">
        <w:t xml:space="preserve">superannuation structure </w:t>
      </w:r>
      <w:r w:rsidR="00A65F01">
        <w:t xml:space="preserve">the investment option can be accessed through different </w:t>
      </w:r>
      <w:r w:rsidR="00B22077">
        <w:t xml:space="preserve">superannuation products and </w:t>
      </w:r>
      <w:r w:rsidR="00A65F01">
        <w:t>investment menus</w:t>
      </w:r>
      <w:r w:rsidR="00B727FB">
        <w:t xml:space="preserve">. </w:t>
      </w:r>
      <w:r>
        <w:t xml:space="preserve">Item </w:t>
      </w:r>
      <w:r w:rsidR="00D46E9D">
        <w:t>5</w:t>
      </w:r>
      <w:r>
        <w:t xml:space="preserve"> also inserts a definition of ‘investment pathway weight’</w:t>
      </w:r>
      <w:r w:rsidR="00FD45C3">
        <w:t>, which</w:t>
      </w:r>
      <w:r>
        <w:t xml:space="preserve"> has the meaning given by </w:t>
      </w:r>
      <w:proofErr w:type="spellStart"/>
      <w:r>
        <w:t>subregulation</w:t>
      </w:r>
      <w:proofErr w:type="spellEnd"/>
      <w:r w:rsidR="0047259E">
        <w:t> </w:t>
      </w:r>
      <w:r>
        <w:t xml:space="preserve">9AB.4A. </w:t>
      </w:r>
    </w:p>
    <w:p w14:paraId="7CDF10ED" w14:textId="77777777" w:rsidR="00620D70" w:rsidRDefault="00620D70" w:rsidP="00620D70">
      <w:pPr>
        <w:spacing w:before="0" w:after="0"/>
      </w:pPr>
    </w:p>
    <w:p w14:paraId="578EF360" w14:textId="012BAA70" w:rsidR="00620D70" w:rsidRDefault="00421ADA" w:rsidP="00620D70">
      <w:pPr>
        <w:spacing w:before="0" w:after="0"/>
      </w:pPr>
      <w:proofErr w:type="spellStart"/>
      <w:r>
        <w:t>S</w:t>
      </w:r>
      <w:r w:rsidR="00620D70">
        <w:t>ubregulation</w:t>
      </w:r>
      <w:proofErr w:type="spellEnd"/>
      <w:r w:rsidR="00620D70">
        <w:t xml:space="preserve"> 9AB.4A(8) clarifies that RAFE is first worked out for each investment pathway for a quarter and then asset-weighted to get the RAFE for the quarter. The RAFE for </w:t>
      </w:r>
      <w:r w:rsidR="5EDDC0E1">
        <w:t>the</w:t>
      </w:r>
      <w:r w:rsidR="00620D70">
        <w:t xml:space="preserve"> four quarters in a year is then summed to produce the RAFE for a financial year. This ensures that RAFE remains fit for purpose when new investment pathways begin during a financial year.</w:t>
      </w:r>
    </w:p>
    <w:p w14:paraId="1F3ECD16" w14:textId="69BD2A35" w:rsidR="0821B533" w:rsidRDefault="0821B533" w:rsidP="0821B533">
      <w:pPr>
        <w:spacing w:before="0" w:after="0"/>
      </w:pPr>
    </w:p>
    <w:p w14:paraId="2172FA5E" w14:textId="25B7089D" w:rsidR="00985406" w:rsidRPr="00F4229F" w:rsidRDefault="00985406" w:rsidP="0821B533">
      <w:pPr>
        <w:spacing w:before="0" w:after="0"/>
        <w:rPr>
          <w:b/>
          <w:bCs/>
          <w:i/>
          <w:iCs/>
        </w:rPr>
      </w:pPr>
      <w:r w:rsidRPr="00F4229F">
        <w:rPr>
          <w:b/>
          <w:bCs/>
          <w:i/>
          <w:iCs/>
        </w:rPr>
        <w:t xml:space="preserve">Item </w:t>
      </w:r>
      <w:r w:rsidR="471B94F9" w:rsidRPr="6C731DA5">
        <w:rPr>
          <w:b/>
          <w:bCs/>
          <w:i/>
          <w:iCs/>
        </w:rPr>
        <w:t>56</w:t>
      </w:r>
      <w:r w:rsidRPr="00F4229F">
        <w:rPr>
          <w:b/>
          <w:bCs/>
          <w:i/>
          <w:iCs/>
        </w:rPr>
        <w:t xml:space="preserve"> – Meaning of benchmark RAFE</w:t>
      </w:r>
    </w:p>
    <w:p w14:paraId="69527CD5" w14:textId="77777777" w:rsidR="00985406" w:rsidRPr="00985406" w:rsidRDefault="00985406" w:rsidP="0821B533">
      <w:pPr>
        <w:spacing w:before="0" w:after="0"/>
        <w:rPr>
          <w:b/>
        </w:rPr>
      </w:pPr>
    </w:p>
    <w:p w14:paraId="46ADE02D" w14:textId="03A69839" w:rsidR="734D6982" w:rsidRDefault="734D6982" w:rsidP="0821B533">
      <w:pPr>
        <w:spacing w:before="0" w:after="0"/>
      </w:pPr>
      <w:r>
        <w:t xml:space="preserve">Item </w:t>
      </w:r>
      <w:r w:rsidR="1C613912">
        <w:t>56</w:t>
      </w:r>
      <w:r>
        <w:t xml:space="preserve"> </w:t>
      </w:r>
      <w:r w:rsidR="007C648D">
        <w:rPr>
          <w:rStyle w:val="normaltextrun"/>
          <w:color w:val="000000"/>
          <w:shd w:val="clear" w:color="auto" w:fill="FFFFFF"/>
        </w:rPr>
        <w:t xml:space="preserve">amends regulation 9AB.16 of the Principal Regulations </w:t>
      </w:r>
      <w:r w:rsidR="00970962">
        <w:rPr>
          <w:rStyle w:val="normaltextrun"/>
          <w:color w:val="000000"/>
          <w:shd w:val="clear" w:color="auto" w:fill="FFFFFF"/>
        </w:rPr>
        <w:t xml:space="preserve">which </w:t>
      </w:r>
      <w:r w:rsidR="007C648D">
        <w:rPr>
          <w:rStyle w:val="normaltextrun"/>
          <w:color w:val="000000"/>
          <w:shd w:val="clear" w:color="auto" w:fill="FFFFFF"/>
        </w:rPr>
        <w:t xml:space="preserve">sets out the identification of ‘benchmark RAFE’. The amendment </w:t>
      </w:r>
      <w:r>
        <w:t xml:space="preserve">clarifies </w:t>
      </w:r>
      <w:r w:rsidR="62F909EF">
        <w:t>that</w:t>
      </w:r>
      <w:r w:rsidR="1052F5A7">
        <w:t xml:space="preserve"> </w:t>
      </w:r>
      <w:r w:rsidR="00EF72E3">
        <w:t xml:space="preserve">Part 6A </w:t>
      </w:r>
      <w:r w:rsidR="1052F5A7">
        <w:t xml:space="preserve">products </w:t>
      </w:r>
      <w:r w:rsidR="00284EFD">
        <w:t xml:space="preserve">which </w:t>
      </w:r>
      <w:r w:rsidR="00B67D7E">
        <w:t xml:space="preserve">have their initial quarter </w:t>
      </w:r>
      <w:r w:rsidR="1052F5A7">
        <w:t xml:space="preserve">start </w:t>
      </w:r>
      <w:r w:rsidR="00F924AB">
        <w:t xml:space="preserve">after 1 July </w:t>
      </w:r>
      <w:r w:rsidR="1052F5A7">
        <w:t>during the test year</w:t>
      </w:r>
      <w:r w:rsidR="005E0BDE">
        <w:t xml:space="preserve"> are not included in the </w:t>
      </w:r>
      <w:r w:rsidR="00B314FF">
        <w:t xml:space="preserve">identification </w:t>
      </w:r>
      <w:r w:rsidR="001766D7">
        <w:t xml:space="preserve">of ‘benchmark RAFE’. That is, </w:t>
      </w:r>
      <w:r w:rsidR="00BD6400">
        <w:t>such products</w:t>
      </w:r>
      <w:r w:rsidR="001766D7">
        <w:t xml:space="preserve"> are excluded from the group </w:t>
      </w:r>
      <w:r w:rsidDel="001766D7">
        <w:t xml:space="preserve">of </w:t>
      </w:r>
      <w:r w:rsidR="001766D7">
        <w:rPr>
          <w:color w:val="000000"/>
          <w:shd w:val="clear" w:color="auto" w:fill="FFFFFF"/>
        </w:rPr>
        <w:t>products from which the median administration fee</w:t>
      </w:r>
      <w:r w:rsidR="00603DA0">
        <w:rPr>
          <w:color w:val="000000"/>
          <w:shd w:val="clear" w:color="auto" w:fill="FFFFFF"/>
        </w:rPr>
        <w:t>s</w:t>
      </w:r>
      <w:r w:rsidR="001766D7">
        <w:rPr>
          <w:color w:val="000000"/>
          <w:shd w:val="clear" w:color="auto" w:fill="FFFFFF"/>
        </w:rPr>
        <w:t xml:space="preserve"> and expenses (as charged on a $50,000 balance) </w:t>
      </w:r>
      <w:r w:rsidR="00BC26BC">
        <w:rPr>
          <w:color w:val="000000"/>
          <w:shd w:val="clear" w:color="auto" w:fill="FFFFFF"/>
        </w:rPr>
        <w:t>is identified</w:t>
      </w:r>
      <w:r w:rsidR="001766D7">
        <w:rPr>
          <w:color w:val="000000"/>
          <w:shd w:val="clear" w:color="auto" w:fill="FFFFFF"/>
        </w:rPr>
        <w:t>.</w:t>
      </w:r>
      <w:r w:rsidR="008D789C">
        <w:t xml:space="preserve"> </w:t>
      </w:r>
      <w:r w:rsidR="408893AD">
        <w:t>As t</w:t>
      </w:r>
      <w:r w:rsidR="43905923">
        <w:t>hese</w:t>
      </w:r>
      <w:r w:rsidR="51512CE5">
        <w:t xml:space="preserve"> products may have less than </w:t>
      </w:r>
      <w:r w:rsidR="008D789C">
        <w:t xml:space="preserve">a full year of performance history and less than </w:t>
      </w:r>
      <w:r w:rsidR="51512CE5">
        <w:t>a full year’</w:t>
      </w:r>
      <w:r w:rsidR="245AA4D8">
        <w:t>s worth of administration fees</w:t>
      </w:r>
      <w:r w:rsidR="008D789C">
        <w:t xml:space="preserve"> and expenses,</w:t>
      </w:r>
      <w:r w:rsidR="564642AC">
        <w:t xml:space="preserve"> </w:t>
      </w:r>
      <w:r w:rsidR="37C03D74">
        <w:t xml:space="preserve">this </w:t>
      </w:r>
      <w:r w:rsidR="008D789C">
        <w:t xml:space="preserve">exclusion </w:t>
      </w:r>
      <w:r w:rsidR="37C03D74">
        <w:t xml:space="preserve">ensures the benchmark RAFE is not artificially </w:t>
      </w:r>
      <w:r w:rsidR="00C63D73">
        <w:t>skewed</w:t>
      </w:r>
      <w:r w:rsidR="004063D6">
        <w:t>.</w:t>
      </w:r>
    </w:p>
    <w:p w14:paraId="1775D42D" w14:textId="77777777" w:rsidR="00620D70" w:rsidRDefault="00620D70" w:rsidP="00620D70">
      <w:pPr>
        <w:spacing w:before="0" w:after="0"/>
      </w:pPr>
    </w:p>
    <w:p w14:paraId="1E598CAE" w14:textId="4A3C1872" w:rsidR="00620D70" w:rsidRPr="00BC363F" w:rsidRDefault="00620D70" w:rsidP="00620D70">
      <w:pPr>
        <w:spacing w:before="0" w:after="0"/>
        <w:rPr>
          <w:b/>
          <w:bCs/>
          <w:i/>
          <w:iCs/>
          <w:color w:val="000000" w:themeColor="text1"/>
        </w:rPr>
      </w:pPr>
      <w:r w:rsidRPr="00BC363F">
        <w:rPr>
          <w:b/>
          <w:bCs/>
          <w:i/>
          <w:iCs/>
          <w:color w:val="000000" w:themeColor="text1"/>
        </w:rPr>
        <w:t>Item</w:t>
      </w:r>
      <w:r>
        <w:rPr>
          <w:b/>
          <w:bCs/>
          <w:i/>
          <w:iCs/>
          <w:color w:val="000000" w:themeColor="text1"/>
        </w:rPr>
        <w:t>s</w:t>
      </w:r>
      <w:r w:rsidRPr="00BC363F">
        <w:rPr>
          <w:b/>
          <w:bCs/>
          <w:i/>
          <w:iCs/>
          <w:color w:val="000000" w:themeColor="text1"/>
        </w:rPr>
        <w:t xml:space="preserve"> </w:t>
      </w:r>
      <w:r w:rsidR="0A96A557" w:rsidRPr="20B15F81">
        <w:rPr>
          <w:b/>
          <w:bCs/>
          <w:i/>
          <w:iCs/>
          <w:color w:val="000000" w:themeColor="text1"/>
        </w:rPr>
        <w:t>17, 18, 19, 20, 21</w:t>
      </w:r>
      <w:r>
        <w:rPr>
          <w:b/>
          <w:bCs/>
          <w:i/>
          <w:iCs/>
          <w:color w:val="000000" w:themeColor="text1"/>
        </w:rPr>
        <w:t xml:space="preserve">, </w:t>
      </w:r>
      <w:r w:rsidR="3922AA70" w:rsidRPr="20B15F81">
        <w:rPr>
          <w:b/>
          <w:bCs/>
          <w:i/>
          <w:iCs/>
          <w:color w:val="000000" w:themeColor="text1"/>
        </w:rPr>
        <w:t>44</w:t>
      </w:r>
      <w:r w:rsidRPr="20B15F81">
        <w:rPr>
          <w:b/>
          <w:bCs/>
          <w:i/>
          <w:iCs/>
          <w:color w:val="000000" w:themeColor="text1"/>
        </w:rPr>
        <w:t>,</w:t>
      </w:r>
      <w:r w:rsidR="00A90ACF" w:rsidRPr="20B15F81">
        <w:rPr>
          <w:b/>
          <w:bCs/>
          <w:i/>
          <w:iCs/>
          <w:color w:val="000000" w:themeColor="text1"/>
        </w:rPr>
        <w:t xml:space="preserve"> </w:t>
      </w:r>
      <w:r w:rsidR="5BA17BEF" w:rsidRPr="20B15F81">
        <w:rPr>
          <w:b/>
          <w:bCs/>
          <w:i/>
          <w:iCs/>
          <w:color w:val="000000" w:themeColor="text1"/>
        </w:rPr>
        <w:t>45</w:t>
      </w:r>
      <w:r w:rsidR="00A90ACF" w:rsidRPr="20B15F81">
        <w:rPr>
          <w:b/>
          <w:bCs/>
          <w:i/>
          <w:iCs/>
          <w:color w:val="000000" w:themeColor="text1"/>
        </w:rPr>
        <w:t>,</w:t>
      </w:r>
      <w:r w:rsidRPr="20B15F81">
        <w:rPr>
          <w:b/>
          <w:bCs/>
          <w:i/>
          <w:iCs/>
          <w:color w:val="000000" w:themeColor="text1"/>
        </w:rPr>
        <w:t xml:space="preserve"> </w:t>
      </w:r>
      <w:r w:rsidR="40242BFF" w:rsidRPr="20B15F81">
        <w:rPr>
          <w:b/>
          <w:bCs/>
          <w:i/>
          <w:iCs/>
          <w:color w:val="000000" w:themeColor="text1"/>
        </w:rPr>
        <w:t>48</w:t>
      </w:r>
      <w:r>
        <w:rPr>
          <w:b/>
          <w:bCs/>
          <w:i/>
          <w:iCs/>
          <w:color w:val="000000" w:themeColor="text1"/>
        </w:rPr>
        <w:t xml:space="preserve"> </w:t>
      </w:r>
      <w:r w:rsidR="0052297F">
        <w:rPr>
          <w:b/>
          <w:bCs/>
          <w:i/>
          <w:iCs/>
          <w:color w:val="000000" w:themeColor="text1"/>
        </w:rPr>
        <w:t>and</w:t>
      </w:r>
      <w:r>
        <w:rPr>
          <w:b/>
          <w:bCs/>
          <w:i/>
          <w:iCs/>
          <w:color w:val="000000" w:themeColor="text1"/>
        </w:rPr>
        <w:t xml:space="preserve"> </w:t>
      </w:r>
      <w:r w:rsidR="1CB1CA5E" w:rsidRPr="20B15F81">
        <w:rPr>
          <w:b/>
          <w:bCs/>
          <w:i/>
          <w:iCs/>
          <w:color w:val="000000" w:themeColor="text1"/>
        </w:rPr>
        <w:t>49</w:t>
      </w:r>
      <w:r>
        <w:rPr>
          <w:b/>
          <w:bCs/>
          <w:i/>
          <w:iCs/>
          <w:color w:val="000000" w:themeColor="text1"/>
        </w:rPr>
        <w:t xml:space="preserve"> </w:t>
      </w:r>
      <w:r w:rsidRPr="00BC363F">
        <w:rPr>
          <w:b/>
          <w:bCs/>
          <w:i/>
          <w:iCs/>
          <w:color w:val="000000" w:themeColor="text1"/>
        </w:rPr>
        <w:t xml:space="preserve">– </w:t>
      </w:r>
      <w:r>
        <w:rPr>
          <w:b/>
          <w:bCs/>
          <w:i/>
          <w:iCs/>
          <w:color w:val="000000" w:themeColor="text1"/>
        </w:rPr>
        <w:t>Meaning of strategic asset allocation or SAA</w:t>
      </w:r>
    </w:p>
    <w:p w14:paraId="6C76A9E1" w14:textId="77777777" w:rsidR="00620D70" w:rsidRDefault="00620D70" w:rsidP="00620D70">
      <w:pPr>
        <w:spacing w:before="0" w:after="0"/>
        <w:rPr>
          <w:i/>
          <w:iCs/>
          <w:color w:val="000000" w:themeColor="text1"/>
        </w:rPr>
      </w:pPr>
    </w:p>
    <w:p w14:paraId="1F5FFF32" w14:textId="29863B33" w:rsidR="00620D70" w:rsidRDefault="00620D70" w:rsidP="00620D70">
      <w:pPr>
        <w:spacing w:before="0" w:after="0"/>
        <w:rPr>
          <w:color w:val="000000" w:themeColor="text1"/>
        </w:rPr>
      </w:pPr>
      <w:r>
        <w:rPr>
          <w:color w:val="000000" w:themeColor="text1"/>
        </w:rPr>
        <w:t xml:space="preserve">Under the Principal </w:t>
      </w:r>
      <w:r w:rsidR="000F4950">
        <w:rPr>
          <w:color w:val="000000" w:themeColor="text1"/>
        </w:rPr>
        <w:t>R</w:t>
      </w:r>
      <w:r>
        <w:rPr>
          <w:color w:val="000000" w:themeColor="text1"/>
        </w:rPr>
        <w:t xml:space="preserve">egulations the calculation for </w:t>
      </w:r>
      <w:r w:rsidR="00D4014B">
        <w:rPr>
          <w:color w:val="000000" w:themeColor="text1"/>
        </w:rPr>
        <w:t>‘</w:t>
      </w:r>
      <w:r w:rsidRPr="00D4014B">
        <w:rPr>
          <w:color w:val="000000" w:themeColor="text1"/>
        </w:rPr>
        <w:t>strategic asset allocation</w:t>
      </w:r>
      <w:r w:rsidR="00D4014B">
        <w:rPr>
          <w:color w:val="000000" w:themeColor="text1"/>
        </w:rPr>
        <w:t>’</w:t>
      </w:r>
      <w:r w:rsidRPr="00D4014B">
        <w:rPr>
          <w:color w:val="000000" w:themeColor="text1"/>
        </w:rPr>
        <w:t xml:space="preserve"> or </w:t>
      </w:r>
      <w:r w:rsidR="00D4014B">
        <w:rPr>
          <w:color w:val="000000" w:themeColor="text1"/>
        </w:rPr>
        <w:t>‘</w:t>
      </w:r>
      <w:r w:rsidRPr="00D4014B">
        <w:rPr>
          <w:color w:val="000000" w:themeColor="text1"/>
        </w:rPr>
        <w:t>SAA</w:t>
      </w:r>
      <w:r w:rsidR="00D4014B">
        <w:rPr>
          <w:color w:val="000000" w:themeColor="text1"/>
        </w:rPr>
        <w:t>’</w:t>
      </w:r>
      <w:r>
        <w:rPr>
          <w:color w:val="000000" w:themeColor="text1"/>
        </w:rPr>
        <w:t xml:space="preserve"> was set out separately for standard Part 6A products and lifecycle Part 6A products. The amendments place these rules together under regulation 9AB.5 of the Principal </w:t>
      </w:r>
      <w:r w:rsidR="000F4950">
        <w:rPr>
          <w:color w:val="000000" w:themeColor="text1"/>
        </w:rPr>
        <w:t>R</w:t>
      </w:r>
      <w:r>
        <w:rPr>
          <w:color w:val="000000" w:themeColor="text1"/>
        </w:rPr>
        <w:t xml:space="preserve">egulations. </w:t>
      </w:r>
    </w:p>
    <w:p w14:paraId="40CDEEB7" w14:textId="77777777" w:rsidR="00620D70" w:rsidRDefault="00620D70" w:rsidP="00620D70">
      <w:pPr>
        <w:spacing w:before="0" w:after="0"/>
        <w:rPr>
          <w:color w:val="000000" w:themeColor="text1"/>
        </w:rPr>
      </w:pPr>
    </w:p>
    <w:p w14:paraId="337AFC53" w14:textId="6F3A7633" w:rsidR="004C1929" w:rsidRDefault="00E760EF" w:rsidP="00620D70">
      <w:pPr>
        <w:spacing w:before="0" w:after="0"/>
        <w:rPr>
          <w:color w:val="000000" w:themeColor="text1"/>
        </w:rPr>
      </w:pPr>
      <w:r>
        <w:t xml:space="preserve">Items </w:t>
      </w:r>
      <w:r w:rsidR="3B0B34C6">
        <w:t>17, 18, 19, 20 and 21</w:t>
      </w:r>
      <w:r>
        <w:t xml:space="preserve"> consolidate and clarify</w:t>
      </w:r>
      <w:r w:rsidR="006D66CE">
        <w:t xml:space="preserve"> </w:t>
      </w:r>
      <w:r w:rsidR="006D66CE">
        <w:rPr>
          <w:color w:val="000000" w:themeColor="text1"/>
        </w:rPr>
        <w:t xml:space="preserve">how SAA is calculated for lifecycle Part 6A products, where the test will consider data reported at the </w:t>
      </w:r>
      <w:proofErr w:type="spellStart"/>
      <w:r w:rsidR="006D66CE">
        <w:rPr>
          <w:color w:val="000000" w:themeColor="text1"/>
        </w:rPr>
        <w:t>lifestage</w:t>
      </w:r>
      <w:proofErr w:type="spellEnd"/>
      <w:r w:rsidR="006D66CE">
        <w:rPr>
          <w:color w:val="000000" w:themeColor="text1"/>
        </w:rPr>
        <w:t xml:space="preserve"> level. This ensures that the test more accurately reflects the characteristics of lifecycle products</w:t>
      </w:r>
      <w:r w:rsidR="004C1929">
        <w:rPr>
          <w:color w:val="000000" w:themeColor="text1"/>
        </w:rPr>
        <w:t xml:space="preserve">, but does not substantively change the operation of the current law. </w:t>
      </w:r>
    </w:p>
    <w:p w14:paraId="124B9220" w14:textId="77777777" w:rsidR="0083255E" w:rsidRDefault="0083255E" w:rsidP="00620D70">
      <w:pPr>
        <w:spacing w:before="0" w:after="0"/>
        <w:rPr>
          <w:color w:val="000000" w:themeColor="text1"/>
        </w:rPr>
      </w:pPr>
    </w:p>
    <w:p w14:paraId="75D53C0E" w14:textId="7E82B39D" w:rsidR="0083255E" w:rsidRDefault="00ED15B6" w:rsidP="00620D70">
      <w:pPr>
        <w:spacing w:before="0" w:after="0"/>
        <w:rPr>
          <w:color w:val="000000" w:themeColor="text1"/>
        </w:rPr>
      </w:pPr>
      <w:r w:rsidRPr="226DA115">
        <w:rPr>
          <w:color w:val="000000" w:themeColor="text1"/>
        </w:rPr>
        <w:t xml:space="preserve">Item </w:t>
      </w:r>
      <w:r w:rsidR="1403E491" w:rsidRPr="20B15F81">
        <w:rPr>
          <w:color w:val="000000" w:themeColor="text1"/>
        </w:rPr>
        <w:t>21</w:t>
      </w:r>
      <w:r w:rsidRPr="226DA115">
        <w:rPr>
          <w:color w:val="000000" w:themeColor="text1"/>
        </w:rPr>
        <w:t xml:space="preserve"> </w:t>
      </w:r>
      <w:r w:rsidR="00574766" w:rsidRPr="226DA115">
        <w:rPr>
          <w:color w:val="000000" w:themeColor="text1"/>
        </w:rPr>
        <w:t>inserts a rule for whe</w:t>
      </w:r>
      <w:r w:rsidR="004446E1" w:rsidRPr="226DA115">
        <w:rPr>
          <w:color w:val="000000" w:themeColor="text1"/>
        </w:rPr>
        <w:t>re the SAA may not add up to 100</w:t>
      </w:r>
      <w:r w:rsidR="0041314F" w:rsidRPr="226DA115">
        <w:rPr>
          <w:color w:val="000000" w:themeColor="text1"/>
        </w:rPr>
        <w:t xml:space="preserve"> per cent</w:t>
      </w:r>
      <w:r w:rsidR="00A243A6" w:rsidRPr="226DA115">
        <w:rPr>
          <w:color w:val="000000" w:themeColor="text1"/>
        </w:rPr>
        <w:t xml:space="preserve"> </w:t>
      </w:r>
      <w:r w:rsidR="004729EA" w:rsidRPr="226DA115">
        <w:rPr>
          <w:color w:val="000000" w:themeColor="text1"/>
        </w:rPr>
        <w:t>where the</w:t>
      </w:r>
      <w:r w:rsidR="00EA41BF" w:rsidRPr="226DA115">
        <w:rPr>
          <w:color w:val="000000" w:themeColor="text1"/>
        </w:rPr>
        <w:t xml:space="preserve"> trustee reports </w:t>
      </w:r>
      <w:r w:rsidR="0041314F" w:rsidRPr="226DA115">
        <w:rPr>
          <w:color w:val="000000" w:themeColor="text1"/>
        </w:rPr>
        <w:t xml:space="preserve">SAA </w:t>
      </w:r>
      <w:r w:rsidR="0099507C" w:rsidRPr="226DA115">
        <w:rPr>
          <w:color w:val="000000" w:themeColor="text1"/>
        </w:rPr>
        <w:t xml:space="preserve">at the disaggregate level. </w:t>
      </w:r>
      <w:proofErr w:type="spellStart"/>
      <w:r w:rsidR="0099507C" w:rsidRPr="226DA115">
        <w:rPr>
          <w:color w:val="000000" w:themeColor="text1"/>
        </w:rPr>
        <w:t>Subregulation</w:t>
      </w:r>
      <w:r w:rsidR="00E5611A" w:rsidRPr="226DA115">
        <w:rPr>
          <w:color w:val="000000" w:themeColor="text1"/>
        </w:rPr>
        <w:t>s</w:t>
      </w:r>
      <w:proofErr w:type="spellEnd"/>
      <w:r w:rsidR="0099507C" w:rsidRPr="226DA115">
        <w:rPr>
          <w:color w:val="000000" w:themeColor="text1"/>
        </w:rPr>
        <w:t xml:space="preserve"> </w:t>
      </w:r>
      <w:r w:rsidR="00F867FE" w:rsidRPr="226DA115">
        <w:rPr>
          <w:color w:val="000000" w:themeColor="text1"/>
        </w:rPr>
        <w:t>9AB.</w:t>
      </w:r>
      <w:r w:rsidR="00B474FA" w:rsidRPr="226DA115">
        <w:rPr>
          <w:color w:val="000000" w:themeColor="text1"/>
        </w:rPr>
        <w:t>5</w:t>
      </w:r>
      <w:r w:rsidR="65DFC0E7" w:rsidRPr="2007BB7F">
        <w:rPr>
          <w:color w:val="000000" w:themeColor="text1"/>
        </w:rPr>
        <w:t>(</w:t>
      </w:r>
      <w:r w:rsidR="00E5611A" w:rsidRPr="226DA115">
        <w:rPr>
          <w:color w:val="000000" w:themeColor="text1"/>
        </w:rPr>
        <w:t>11</w:t>
      </w:r>
      <w:r w:rsidR="5C1A596F" w:rsidRPr="226DA115">
        <w:rPr>
          <w:color w:val="000000" w:themeColor="text1"/>
        </w:rPr>
        <w:t>)</w:t>
      </w:r>
      <w:r w:rsidR="00E5611A" w:rsidRPr="226DA115">
        <w:rPr>
          <w:color w:val="000000" w:themeColor="text1"/>
        </w:rPr>
        <w:t xml:space="preserve"> and (</w:t>
      </w:r>
      <w:r w:rsidR="767CDD37" w:rsidRPr="226DA115">
        <w:rPr>
          <w:color w:val="000000" w:themeColor="text1"/>
        </w:rPr>
        <w:t>1</w:t>
      </w:r>
      <w:r w:rsidR="00E5611A" w:rsidRPr="226DA115">
        <w:rPr>
          <w:color w:val="000000" w:themeColor="text1"/>
        </w:rPr>
        <w:t>2)</w:t>
      </w:r>
      <w:r w:rsidR="0099507C" w:rsidRPr="226DA115">
        <w:rPr>
          <w:color w:val="000000" w:themeColor="text1"/>
        </w:rPr>
        <w:t xml:space="preserve"> allows </w:t>
      </w:r>
      <w:r w:rsidR="0082231C" w:rsidRPr="226DA115">
        <w:rPr>
          <w:color w:val="000000" w:themeColor="text1"/>
        </w:rPr>
        <w:t xml:space="preserve">APRA to apply </w:t>
      </w:r>
      <w:r w:rsidR="00A02801" w:rsidRPr="226DA115">
        <w:rPr>
          <w:color w:val="000000" w:themeColor="text1"/>
        </w:rPr>
        <w:t>a reasonable allocation to a covered asset class if the sum of all the SAA</w:t>
      </w:r>
      <w:r w:rsidR="10160D5A" w:rsidRPr="226DA115">
        <w:rPr>
          <w:color w:val="000000" w:themeColor="text1"/>
        </w:rPr>
        <w:t>s</w:t>
      </w:r>
      <w:r w:rsidR="00A02801" w:rsidRPr="226DA115">
        <w:rPr>
          <w:color w:val="000000" w:themeColor="text1"/>
        </w:rPr>
        <w:t xml:space="preserve"> do not equal 100</w:t>
      </w:r>
      <w:r w:rsidR="00150E07" w:rsidRPr="226DA115">
        <w:rPr>
          <w:color w:val="000000" w:themeColor="text1"/>
        </w:rPr>
        <w:t xml:space="preserve"> per cent</w:t>
      </w:r>
      <w:r w:rsidR="007810A3" w:rsidRPr="226DA115">
        <w:rPr>
          <w:color w:val="000000" w:themeColor="text1"/>
        </w:rPr>
        <w:t>.</w:t>
      </w:r>
    </w:p>
    <w:p w14:paraId="3937C490" w14:textId="77777777" w:rsidR="004C1929" w:rsidRDefault="004C1929" w:rsidP="00620D70">
      <w:pPr>
        <w:spacing w:before="0" w:after="0"/>
        <w:rPr>
          <w:color w:val="000000" w:themeColor="text1"/>
        </w:rPr>
      </w:pPr>
    </w:p>
    <w:p w14:paraId="374BBC3F" w14:textId="0392CEF0" w:rsidR="00620D70" w:rsidRDefault="004C1929" w:rsidP="004C1929">
      <w:pPr>
        <w:spacing w:before="0" w:after="0"/>
        <w:rPr>
          <w:color w:val="000000" w:themeColor="text1"/>
        </w:rPr>
      </w:pPr>
      <w:r>
        <w:rPr>
          <w:color w:val="000000" w:themeColor="text1"/>
        </w:rPr>
        <w:t xml:space="preserve">Items </w:t>
      </w:r>
      <w:r w:rsidR="6E6ECA3F" w:rsidRPr="20B15F81">
        <w:rPr>
          <w:color w:val="000000" w:themeColor="text1"/>
        </w:rPr>
        <w:t>44</w:t>
      </w:r>
      <w:r w:rsidR="00E760EF">
        <w:t>,</w:t>
      </w:r>
      <w:r>
        <w:t xml:space="preserve"> </w:t>
      </w:r>
      <w:r w:rsidR="21C8BA6A">
        <w:t>45</w:t>
      </w:r>
      <w:r>
        <w:t>,</w:t>
      </w:r>
      <w:r w:rsidR="00E760EF">
        <w:t xml:space="preserve"> </w:t>
      </w:r>
      <w:r w:rsidR="18E0BCBF">
        <w:t>48</w:t>
      </w:r>
      <w:r w:rsidR="00E760EF">
        <w:t xml:space="preserve"> and </w:t>
      </w:r>
      <w:r w:rsidR="27032F7E">
        <w:t>49</w:t>
      </w:r>
      <w:r w:rsidR="00E760EF">
        <w:t xml:space="preserve"> make related consequential amendments</w:t>
      </w:r>
      <w:r w:rsidR="004D624E">
        <w:t xml:space="preserve"> relating to the </w:t>
      </w:r>
      <w:r w:rsidR="00F773D4">
        <w:t>consolidation of the definition of SAA</w:t>
      </w:r>
      <w:r>
        <w:t>.</w:t>
      </w:r>
      <w:r w:rsidR="00620D70">
        <w:rPr>
          <w:color w:val="000000" w:themeColor="text1"/>
        </w:rPr>
        <w:t xml:space="preserve"> </w:t>
      </w:r>
      <w:r w:rsidR="005D215D">
        <w:rPr>
          <w:color w:val="000000" w:themeColor="text1"/>
        </w:rPr>
        <w:t xml:space="preserve">Definitions of SAA </w:t>
      </w:r>
      <w:r w:rsidR="00CC4971">
        <w:rPr>
          <w:color w:val="000000" w:themeColor="text1"/>
        </w:rPr>
        <w:t xml:space="preserve">now refer to 9AB.5A </w:t>
      </w:r>
      <w:r w:rsidR="0030397F">
        <w:rPr>
          <w:color w:val="000000" w:themeColor="text1"/>
        </w:rPr>
        <w:t>and</w:t>
      </w:r>
      <w:r w:rsidR="00CC4971">
        <w:rPr>
          <w:color w:val="000000" w:themeColor="text1"/>
        </w:rPr>
        <w:t xml:space="preserve"> </w:t>
      </w:r>
      <w:proofErr w:type="spellStart"/>
      <w:r w:rsidR="00974C36">
        <w:rPr>
          <w:color w:val="000000" w:themeColor="text1"/>
        </w:rPr>
        <w:t>subregul</w:t>
      </w:r>
      <w:r w:rsidR="008A1493">
        <w:rPr>
          <w:color w:val="000000" w:themeColor="text1"/>
        </w:rPr>
        <w:t>a</w:t>
      </w:r>
      <w:r w:rsidR="00974C36">
        <w:rPr>
          <w:color w:val="000000" w:themeColor="text1"/>
        </w:rPr>
        <w:t>tions</w:t>
      </w:r>
      <w:proofErr w:type="spellEnd"/>
      <w:r w:rsidR="00974C36">
        <w:rPr>
          <w:color w:val="000000" w:themeColor="text1"/>
        </w:rPr>
        <w:t xml:space="preserve"> that </w:t>
      </w:r>
      <w:r w:rsidR="008A1493">
        <w:rPr>
          <w:color w:val="000000" w:themeColor="text1"/>
        </w:rPr>
        <w:t>set our rules for SAA in the Principal Regulations are repealed.</w:t>
      </w:r>
    </w:p>
    <w:p w14:paraId="53817917" w14:textId="77777777" w:rsidR="00163AB8" w:rsidRDefault="00163AB8" w:rsidP="00620D70">
      <w:pPr>
        <w:spacing w:before="0" w:after="0"/>
        <w:rPr>
          <w:color w:val="000000" w:themeColor="text1"/>
        </w:rPr>
      </w:pPr>
    </w:p>
    <w:p w14:paraId="285202E6" w14:textId="09EF0B42" w:rsidR="00163AB8" w:rsidRPr="003848FB" w:rsidRDefault="00163AB8" w:rsidP="00163AB8">
      <w:pPr>
        <w:spacing w:before="0" w:after="0"/>
        <w:rPr>
          <w:b/>
          <w:bCs/>
          <w:i/>
          <w:iCs/>
          <w:color w:val="000000" w:themeColor="text1"/>
        </w:rPr>
      </w:pPr>
      <w:r>
        <w:rPr>
          <w:b/>
          <w:bCs/>
          <w:i/>
          <w:iCs/>
          <w:color w:val="000000" w:themeColor="text1"/>
        </w:rPr>
        <w:t xml:space="preserve">Items </w:t>
      </w:r>
      <w:r w:rsidR="000E51FD">
        <w:rPr>
          <w:b/>
          <w:bCs/>
          <w:i/>
          <w:iCs/>
          <w:color w:val="000000" w:themeColor="text1"/>
        </w:rPr>
        <w:t>3</w:t>
      </w:r>
      <w:r>
        <w:rPr>
          <w:b/>
          <w:bCs/>
          <w:i/>
          <w:iCs/>
          <w:color w:val="000000" w:themeColor="text1"/>
        </w:rPr>
        <w:t xml:space="preserve"> and </w:t>
      </w:r>
      <w:r w:rsidR="0DF4AB15" w:rsidRPr="336C7F5B">
        <w:rPr>
          <w:b/>
          <w:bCs/>
          <w:i/>
          <w:iCs/>
          <w:color w:val="000000" w:themeColor="text1"/>
        </w:rPr>
        <w:t>17</w:t>
      </w:r>
      <w:r>
        <w:rPr>
          <w:b/>
          <w:bCs/>
          <w:i/>
          <w:iCs/>
          <w:color w:val="000000" w:themeColor="text1"/>
        </w:rPr>
        <w:t xml:space="preserve"> </w:t>
      </w:r>
      <w:r w:rsidRPr="003848FB">
        <w:rPr>
          <w:b/>
          <w:bCs/>
          <w:i/>
          <w:iCs/>
          <w:color w:val="000000" w:themeColor="text1"/>
        </w:rPr>
        <w:t xml:space="preserve">– </w:t>
      </w:r>
      <w:r>
        <w:rPr>
          <w:b/>
          <w:bCs/>
          <w:i/>
          <w:iCs/>
          <w:color w:val="000000" w:themeColor="text1"/>
        </w:rPr>
        <w:t>Rules for determining ‘currency hedging ratio’</w:t>
      </w:r>
    </w:p>
    <w:p w14:paraId="6D460938" w14:textId="77777777" w:rsidR="00163AB8" w:rsidRDefault="00163AB8" w:rsidP="00163AB8">
      <w:pPr>
        <w:spacing w:before="0" w:after="0"/>
        <w:rPr>
          <w:b/>
          <w:bCs/>
          <w:i/>
          <w:iCs/>
          <w:color w:val="000000" w:themeColor="text1"/>
        </w:rPr>
      </w:pPr>
    </w:p>
    <w:p w14:paraId="32DC971D" w14:textId="328FA417" w:rsidR="00163AB8" w:rsidRDefault="00163AB8" w:rsidP="00163AB8">
      <w:pPr>
        <w:spacing w:before="0" w:after="0"/>
      </w:pPr>
      <w:r w:rsidRPr="00367348">
        <w:rPr>
          <w:color w:val="000000" w:themeColor="text1"/>
        </w:rPr>
        <w:t>Regulation 9AB.5</w:t>
      </w:r>
      <w:r>
        <w:rPr>
          <w:color w:val="000000" w:themeColor="text1"/>
        </w:rPr>
        <w:t xml:space="preserve"> of the Principal Regulations</w:t>
      </w:r>
      <w:r w:rsidRPr="00367348">
        <w:rPr>
          <w:color w:val="000000" w:themeColor="text1"/>
        </w:rPr>
        <w:t xml:space="preserve"> provides rules to work </w:t>
      </w:r>
      <w:r>
        <w:rPr>
          <w:color w:val="000000" w:themeColor="text1"/>
        </w:rPr>
        <w:t>out</w:t>
      </w:r>
      <w:r w:rsidRPr="00367348">
        <w:rPr>
          <w:color w:val="000000" w:themeColor="text1"/>
        </w:rPr>
        <w:t xml:space="preserve"> strategic asset allocation where certain information about ‘asset domicile type’, ‘currency hedging ratio’ and/or ‘the ‘asset listing type’ is identified or not identified. </w:t>
      </w:r>
      <w:r>
        <w:rPr>
          <w:color w:val="000000" w:themeColor="text1"/>
        </w:rPr>
        <w:t xml:space="preserve">Item </w:t>
      </w:r>
      <w:r w:rsidR="0042317A" w:rsidRPr="336C7F5B">
        <w:rPr>
          <w:color w:val="000000" w:themeColor="text1"/>
        </w:rPr>
        <w:t>1</w:t>
      </w:r>
      <w:r w:rsidR="6BDF29DE" w:rsidRPr="336C7F5B">
        <w:rPr>
          <w:color w:val="000000" w:themeColor="text1"/>
        </w:rPr>
        <w:t>7</w:t>
      </w:r>
      <w:r>
        <w:rPr>
          <w:color w:val="000000" w:themeColor="text1"/>
        </w:rPr>
        <w:t xml:space="preserve"> updates these rules to allow </w:t>
      </w:r>
      <w:r w:rsidRPr="00B4113C">
        <w:t xml:space="preserve">‘strategic asset allocation’ </w:t>
      </w:r>
      <w:r>
        <w:t>to be worked out where</w:t>
      </w:r>
      <w:r w:rsidRPr="00B4113C">
        <w:t xml:space="preserve"> information about ‘currency hedging ratio’ is </w:t>
      </w:r>
      <w:r>
        <w:t>not identified but option-level currency exposure is identified. Where currency exposure is identified, it</w:t>
      </w:r>
      <w:r w:rsidRPr="0089604F">
        <w:t xml:space="preserve"> </w:t>
      </w:r>
      <w:r>
        <w:t xml:space="preserve">can be used </w:t>
      </w:r>
      <w:r w:rsidRPr="0089604F">
        <w:t xml:space="preserve">to impute a </w:t>
      </w:r>
      <w:r>
        <w:t xml:space="preserve">currency </w:t>
      </w:r>
      <w:r w:rsidRPr="0089604F">
        <w:t>hedging ratio</w:t>
      </w:r>
      <w:r>
        <w:t xml:space="preserve"> for the international asset classes. </w:t>
      </w:r>
    </w:p>
    <w:p w14:paraId="539E116B" w14:textId="77777777" w:rsidR="00163AB8" w:rsidRDefault="00163AB8" w:rsidP="00163AB8">
      <w:pPr>
        <w:spacing w:before="0" w:after="0"/>
      </w:pPr>
    </w:p>
    <w:p w14:paraId="720F268F" w14:textId="5780A096" w:rsidR="00163AB8" w:rsidRDefault="00163AB8" w:rsidP="00163AB8">
      <w:pPr>
        <w:spacing w:before="0" w:after="0"/>
      </w:pPr>
      <w:r>
        <w:t xml:space="preserve">The purpose of the amendment is to improve </w:t>
      </w:r>
      <w:r>
        <w:rPr>
          <w:szCs w:val="24"/>
        </w:rPr>
        <w:t xml:space="preserve">the accuracy of the test. The currency exposure </w:t>
      </w:r>
      <w:r w:rsidR="009D1D04">
        <w:rPr>
          <w:szCs w:val="24"/>
        </w:rPr>
        <w:t xml:space="preserve">can now </w:t>
      </w:r>
      <w:r>
        <w:rPr>
          <w:szCs w:val="24"/>
        </w:rPr>
        <w:t xml:space="preserve">be used for the performance test as, under the </w:t>
      </w:r>
      <w:r w:rsidRPr="00CA01C1">
        <w:t xml:space="preserve">new </w:t>
      </w:r>
      <w:r>
        <w:t xml:space="preserve">asset allocation standard, funds now have the choice to report currency exposure at the investment option level instead of currency hedging ratios for each asset class. </w:t>
      </w:r>
    </w:p>
    <w:p w14:paraId="4A474358" w14:textId="77777777" w:rsidR="00163AB8" w:rsidRDefault="00163AB8" w:rsidP="00163AB8">
      <w:pPr>
        <w:spacing w:before="0" w:after="0"/>
      </w:pPr>
    </w:p>
    <w:p w14:paraId="2AEF6980" w14:textId="231DB76B" w:rsidR="00163AB8" w:rsidRPr="00367348" w:rsidRDefault="00163AB8" w:rsidP="00163AB8">
      <w:pPr>
        <w:spacing w:before="0" w:after="0"/>
        <w:rPr>
          <w:color w:val="000000" w:themeColor="text1"/>
        </w:rPr>
      </w:pPr>
      <w:r>
        <w:rPr>
          <w:color w:val="000000" w:themeColor="text1"/>
        </w:rPr>
        <w:t xml:space="preserve">Item </w:t>
      </w:r>
      <w:r w:rsidR="000E51FD">
        <w:rPr>
          <w:color w:val="000000" w:themeColor="text1"/>
        </w:rPr>
        <w:t>3</w:t>
      </w:r>
      <w:r>
        <w:rPr>
          <w:color w:val="000000" w:themeColor="text1"/>
        </w:rPr>
        <w:t xml:space="preserve"> inserts a definition of ‘currency exposure’ into </w:t>
      </w:r>
      <w:r w:rsidR="009D1D04">
        <w:rPr>
          <w:color w:val="000000" w:themeColor="text1"/>
        </w:rPr>
        <w:t xml:space="preserve">regulation </w:t>
      </w:r>
      <w:r>
        <w:rPr>
          <w:color w:val="000000" w:themeColor="text1"/>
        </w:rPr>
        <w:t xml:space="preserve">9AB.1 of the Principal Regulations. ‘Currency exposure’ </w:t>
      </w:r>
      <w:r>
        <w:t xml:space="preserve">of a standard Part 6A product in relation to a quarter, means the Part 6A product’s currency exposure in relation to the quarter, as reported to APRA in accordance with the applicable asset allocation standard. </w:t>
      </w:r>
      <w:r>
        <w:rPr>
          <w:color w:val="000000" w:themeColor="text1"/>
        </w:rPr>
        <w:t xml:space="preserve">‘Currency exposure’ </w:t>
      </w:r>
      <w:r>
        <w:t xml:space="preserve">of a lifecycle Part 6A product in relation to a quarter, means the Part 6A product’s currency exposure in relation to the </w:t>
      </w:r>
      <w:proofErr w:type="spellStart"/>
      <w:r>
        <w:t>lifestage</w:t>
      </w:r>
      <w:proofErr w:type="spellEnd"/>
      <w:r>
        <w:t xml:space="preserve"> and the quarter, as reported to APRA in accordance with the applicable asset allocation standard. This difference is because lifecycle Part 6A products report currency hedging exposure at the </w:t>
      </w:r>
      <w:proofErr w:type="spellStart"/>
      <w:r>
        <w:t>lifestage</w:t>
      </w:r>
      <w:proofErr w:type="spellEnd"/>
      <w:r>
        <w:t xml:space="preserve"> level. </w:t>
      </w:r>
    </w:p>
    <w:p w14:paraId="679AB78B" w14:textId="77777777" w:rsidR="00163AB8" w:rsidRPr="00330BB5" w:rsidRDefault="00163AB8" w:rsidP="00620D70">
      <w:pPr>
        <w:spacing w:before="0" w:after="0"/>
        <w:rPr>
          <w:color w:val="000000" w:themeColor="text1"/>
        </w:rPr>
      </w:pPr>
    </w:p>
    <w:p w14:paraId="6F818796" w14:textId="2FCBEE83" w:rsidR="00620D70" w:rsidRDefault="00620D70" w:rsidP="00620D70">
      <w:pPr>
        <w:spacing w:before="0" w:after="0"/>
        <w:rPr>
          <w:b/>
          <w:bCs/>
          <w:i/>
          <w:iCs/>
          <w:color w:val="000000" w:themeColor="text1"/>
        </w:rPr>
      </w:pPr>
      <w:r w:rsidRPr="00BC363F">
        <w:rPr>
          <w:b/>
          <w:bCs/>
          <w:i/>
          <w:iCs/>
          <w:color w:val="000000" w:themeColor="text1"/>
        </w:rPr>
        <w:t>Item</w:t>
      </w:r>
      <w:r>
        <w:rPr>
          <w:b/>
          <w:bCs/>
          <w:i/>
          <w:iCs/>
          <w:color w:val="000000" w:themeColor="text1"/>
        </w:rPr>
        <w:t xml:space="preserve">s </w:t>
      </w:r>
      <w:r w:rsidR="008A2D02">
        <w:rPr>
          <w:b/>
          <w:bCs/>
          <w:i/>
          <w:iCs/>
          <w:color w:val="000000" w:themeColor="text1"/>
        </w:rPr>
        <w:t>5</w:t>
      </w:r>
      <w:r>
        <w:rPr>
          <w:b/>
          <w:bCs/>
          <w:i/>
          <w:iCs/>
          <w:color w:val="000000" w:themeColor="text1"/>
        </w:rPr>
        <w:t xml:space="preserve">, </w:t>
      </w:r>
      <w:r w:rsidR="127E2E16" w:rsidRPr="7FE786BF">
        <w:rPr>
          <w:b/>
          <w:bCs/>
          <w:i/>
          <w:iCs/>
          <w:color w:val="000000" w:themeColor="text1"/>
        </w:rPr>
        <w:t>22</w:t>
      </w:r>
      <w:r w:rsidRPr="7FE786BF">
        <w:rPr>
          <w:b/>
          <w:bCs/>
          <w:i/>
          <w:iCs/>
          <w:color w:val="000000" w:themeColor="text1"/>
        </w:rPr>
        <w:t xml:space="preserve">, </w:t>
      </w:r>
      <w:r w:rsidR="0DC7161B" w:rsidRPr="7FE786BF">
        <w:rPr>
          <w:b/>
          <w:bCs/>
          <w:i/>
          <w:iCs/>
          <w:color w:val="000000" w:themeColor="text1"/>
        </w:rPr>
        <w:t>43</w:t>
      </w:r>
      <w:r w:rsidRPr="7FE786BF">
        <w:rPr>
          <w:b/>
          <w:bCs/>
          <w:i/>
          <w:iCs/>
          <w:color w:val="000000" w:themeColor="text1"/>
        </w:rPr>
        <w:t>,</w:t>
      </w:r>
      <w:r w:rsidR="003D23C8" w:rsidRPr="7FE786BF">
        <w:rPr>
          <w:b/>
          <w:bCs/>
          <w:i/>
          <w:iCs/>
          <w:color w:val="000000" w:themeColor="text1"/>
        </w:rPr>
        <w:t xml:space="preserve"> </w:t>
      </w:r>
      <w:r w:rsidR="78932D69" w:rsidRPr="7FE786BF">
        <w:rPr>
          <w:b/>
          <w:bCs/>
          <w:i/>
          <w:iCs/>
          <w:color w:val="000000" w:themeColor="text1"/>
        </w:rPr>
        <w:t>45</w:t>
      </w:r>
      <w:r w:rsidR="00696392" w:rsidRPr="7FE786BF">
        <w:rPr>
          <w:b/>
          <w:bCs/>
          <w:i/>
          <w:iCs/>
          <w:color w:val="000000" w:themeColor="text1"/>
        </w:rPr>
        <w:t>,</w:t>
      </w:r>
      <w:r w:rsidRPr="7FE786BF">
        <w:rPr>
          <w:b/>
          <w:bCs/>
          <w:i/>
          <w:iCs/>
          <w:color w:val="000000" w:themeColor="text1"/>
        </w:rPr>
        <w:t xml:space="preserve"> </w:t>
      </w:r>
      <w:r w:rsidR="6FCAD730" w:rsidRPr="7FE786BF">
        <w:rPr>
          <w:b/>
          <w:bCs/>
          <w:i/>
          <w:iCs/>
          <w:color w:val="000000" w:themeColor="text1"/>
        </w:rPr>
        <w:t>47</w:t>
      </w:r>
      <w:r w:rsidR="003961EE">
        <w:rPr>
          <w:b/>
          <w:bCs/>
          <w:i/>
          <w:iCs/>
          <w:color w:val="000000" w:themeColor="text1"/>
        </w:rPr>
        <w:t xml:space="preserve"> and </w:t>
      </w:r>
      <w:r w:rsidR="662CABBE" w:rsidRPr="7FE786BF">
        <w:rPr>
          <w:b/>
          <w:bCs/>
          <w:i/>
          <w:iCs/>
          <w:color w:val="000000" w:themeColor="text1"/>
        </w:rPr>
        <w:t>49</w:t>
      </w:r>
      <w:r>
        <w:rPr>
          <w:b/>
          <w:bCs/>
          <w:i/>
          <w:iCs/>
          <w:color w:val="000000" w:themeColor="text1"/>
        </w:rPr>
        <w:t xml:space="preserve"> </w:t>
      </w:r>
      <w:r w:rsidRPr="00BC363F">
        <w:rPr>
          <w:b/>
          <w:bCs/>
          <w:i/>
          <w:iCs/>
          <w:color w:val="000000" w:themeColor="text1"/>
        </w:rPr>
        <w:t xml:space="preserve">– </w:t>
      </w:r>
      <w:r>
        <w:rPr>
          <w:b/>
          <w:bCs/>
          <w:i/>
          <w:iCs/>
          <w:color w:val="000000" w:themeColor="text1"/>
        </w:rPr>
        <w:t>Meaning of index</w:t>
      </w:r>
    </w:p>
    <w:p w14:paraId="573B895D" w14:textId="77777777" w:rsidR="00620D70" w:rsidRPr="00BC363F" w:rsidRDefault="00620D70" w:rsidP="00620D70">
      <w:pPr>
        <w:spacing w:before="0" w:after="0"/>
        <w:rPr>
          <w:b/>
          <w:bCs/>
          <w:i/>
          <w:iCs/>
          <w:color w:val="000000" w:themeColor="text1"/>
        </w:rPr>
      </w:pPr>
    </w:p>
    <w:p w14:paraId="361B4203" w14:textId="31CC7F47" w:rsidR="00620D70" w:rsidRDefault="00620D70" w:rsidP="00620D70">
      <w:pPr>
        <w:spacing w:before="0" w:after="0"/>
        <w:rPr>
          <w:color w:val="000000" w:themeColor="text1"/>
        </w:rPr>
      </w:pPr>
      <w:r>
        <w:rPr>
          <w:color w:val="000000" w:themeColor="text1"/>
        </w:rPr>
        <w:t xml:space="preserve">Under the Principal </w:t>
      </w:r>
      <w:r w:rsidR="009034FB">
        <w:rPr>
          <w:color w:val="000000" w:themeColor="text1"/>
        </w:rPr>
        <w:t>R</w:t>
      </w:r>
      <w:r>
        <w:rPr>
          <w:color w:val="000000" w:themeColor="text1"/>
        </w:rPr>
        <w:t xml:space="preserve">egulations the calculation for </w:t>
      </w:r>
      <w:r w:rsidR="006815A6" w:rsidRPr="006815A6">
        <w:rPr>
          <w:color w:val="000000" w:themeColor="text1"/>
        </w:rPr>
        <w:t>‘</w:t>
      </w:r>
      <w:r w:rsidRPr="006815A6">
        <w:rPr>
          <w:color w:val="000000" w:themeColor="text1"/>
        </w:rPr>
        <w:t>index</w:t>
      </w:r>
      <w:r w:rsidR="006815A6" w:rsidRPr="006815A6">
        <w:rPr>
          <w:color w:val="000000" w:themeColor="text1"/>
        </w:rPr>
        <w:t>’</w:t>
      </w:r>
      <w:r>
        <w:rPr>
          <w:color w:val="000000" w:themeColor="text1"/>
        </w:rPr>
        <w:t xml:space="preserve"> was set out separately throughout Division 9AB. </w:t>
      </w:r>
      <w:r w:rsidR="00E05B6F">
        <w:rPr>
          <w:color w:val="000000" w:themeColor="text1"/>
        </w:rPr>
        <w:t>Item</w:t>
      </w:r>
      <w:r w:rsidR="00A86DAE">
        <w:rPr>
          <w:color w:val="000000" w:themeColor="text1"/>
        </w:rPr>
        <w:t>s 5 and</w:t>
      </w:r>
      <w:r w:rsidR="00E05B6F">
        <w:rPr>
          <w:color w:val="000000" w:themeColor="text1"/>
        </w:rPr>
        <w:t xml:space="preserve"> 22 makes </w:t>
      </w:r>
      <w:r>
        <w:rPr>
          <w:color w:val="000000" w:themeColor="text1"/>
        </w:rPr>
        <w:t xml:space="preserve">amendments </w:t>
      </w:r>
      <w:r w:rsidR="00E05B6F">
        <w:rPr>
          <w:color w:val="000000" w:themeColor="text1"/>
        </w:rPr>
        <w:t xml:space="preserve">to </w:t>
      </w:r>
      <w:r w:rsidR="009A4C88">
        <w:rPr>
          <w:color w:val="000000" w:themeColor="text1"/>
        </w:rPr>
        <w:t xml:space="preserve">consolidate </w:t>
      </w:r>
      <w:r>
        <w:rPr>
          <w:color w:val="000000" w:themeColor="text1"/>
        </w:rPr>
        <w:t xml:space="preserve">the rules </w:t>
      </w:r>
      <w:r>
        <w:rPr>
          <w:color w:val="000000" w:themeColor="text1"/>
        </w:rPr>
        <w:lastRenderedPageBreak/>
        <w:t xml:space="preserve">for calculating </w:t>
      </w:r>
      <w:r w:rsidR="00D4014B" w:rsidRPr="003B5D97">
        <w:rPr>
          <w:color w:val="000000" w:themeColor="text1"/>
        </w:rPr>
        <w:t>‘</w:t>
      </w:r>
      <w:r w:rsidRPr="003B5D97">
        <w:rPr>
          <w:color w:val="000000" w:themeColor="text1"/>
        </w:rPr>
        <w:t>index</w:t>
      </w:r>
      <w:r w:rsidR="00D4014B" w:rsidRPr="003B5D97">
        <w:rPr>
          <w:color w:val="000000" w:themeColor="text1"/>
        </w:rPr>
        <w:t>’</w:t>
      </w:r>
      <w:r>
        <w:rPr>
          <w:color w:val="000000" w:themeColor="text1"/>
        </w:rPr>
        <w:t xml:space="preserve"> under a new regulation 9AB.5A so that there is a single definition of the term for </w:t>
      </w:r>
      <w:r w:rsidR="00F35112">
        <w:rPr>
          <w:color w:val="000000" w:themeColor="text1"/>
        </w:rPr>
        <w:t>Division</w:t>
      </w:r>
      <w:r w:rsidR="003B5D97">
        <w:rPr>
          <w:color w:val="000000" w:themeColor="text1"/>
        </w:rPr>
        <w:t> </w:t>
      </w:r>
      <w:r w:rsidR="00262D53">
        <w:rPr>
          <w:color w:val="000000" w:themeColor="text1"/>
        </w:rPr>
        <w:t>9AB</w:t>
      </w:r>
      <w:r>
        <w:rPr>
          <w:color w:val="000000" w:themeColor="text1"/>
        </w:rPr>
        <w:t xml:space="preserve">. </w:t>
      </w:r>
    </w:p>
    <w:p w14:paraId="5E406E1F" w14:textId="77777777" w:rsidR="00AD1A50" w:rsidRDefault="00AD1A50" w:rsidP="00620D70">
      <w:pPr>
        <w:spacing w:before="0" w:after="0"/>
        <w:rPr>
          <w:color w:val="000000" w:themeColor="text1"/>
        </w:rPr>
      </w:pPr>
    </w:p>
    <w:p w14:paraId="2F625D7A" w14:textId="7086E908" w:rsidR="00AD1A50" w:rsidRDefault="00AD1A50" w:rsidP="00620D70">
      <w:pPr>
        <w:spacing w:before="0" w:after="0"/>
        <w:rPr>
          <w:color w:val="000000" w:themeColor="text1"/>
        </w:rPr>
      </w:pPr>
      <w:r w:rsidRPr="00AD1A50">
        <w:rPr>
          <w:color w:val="000000" w:themeColor="text1"/>
        </w:rPr>
        <w:t xml:space="preserve">Items </w:t>
      </w:r>
      <w:r w:rsidR="00700351">
        <w:rPr>
          <w:color w:val="000000" w:themeColor="text1"/>
        </w:rPr>
        <w:t xml:space="preserve">43, </w:t>
      </w:r>
      <w:r w:rsidRPr="00AD1A50">
        <w:rPr>
          <w:color w:val="000000" w:themeColor="text1"/>
        </w:rPr>
        <w:t xml:space="preserve">45, 47 and 49 would make related consequential amendments relating to the consolidation of the definition of index.  </w:t>
      </w:r>
    </w:p>
    <w:p w14:paraId="360CCF87" w14:textId="77777777" w:rsidR="00E97DD4" w:rsidRDefault="00E97DD4" w:rsidP="00620D70">
      <w:pPr>
        <w:spacing w:before="0" w:after="0"/>
        <w:rPr>
          <w:color w:val="000000" w:themeColor="text1"/>
        </w:rPr>
      </w:pPr>
    </w:p>
    <w:p w14:paraId="4EC04C19" w14:textId="1064E29A" w:rsidR="00620D70" w:rsidRPr="00456141" w:rsidRDefault="00620D70" w:rsidP="00620D70">
      <w:pPr>
        <w:spacing w:before="0" w:after="0"/>
        <w:rPr>
          <w:b/>
          <w:bCs/>
          <w:i/>
          <w:iCs/>
          <w:color w:val="000000" w:themeColor="text1"/>
        </w:rPr>
      </w:pPr>
      <w:r w:rsidRPr="00456141">
        <w:rPr>
          <w:b/>
          <w:bCs/>
          <w:i/>
          <w:iCs/>
          <w:color w:val="000000" w:themeColor="text1"/>
        </w:rPr>
        <w:t xml:space="preserve">Items 1, </w:t>
      </w:r>
      <w:r w:rsidR="008A2D02">
        <w:rPr>
          <w:b/>
          <w:bCs/>
          <w:i/>
          <w:iCs/>
          <w:color w:val="000000" w:themeColor="text1"/>
        </w:rPr>
        <w:t>5</w:t>
      </w:r>
      <w:r w:rsidRPr="00456141">
        <w:rPr>
          <w:b/>
          <w:bCs/>
          <w:i/>
          <w:iCs/>
          <w:color w:val="000000" w:themeColor="text1"/>
        </w:rPr>
        <w:t xml:space="preserve">, </w:t>
      </w:r>
      <w:r w:rsidR="31F03188" w:rsidRPr="7FE786BF">
        <w:rPr>
          <w:b/>
          <w:bCs/>
          <w:i/>
          <w:iCs/>
          <w:color w:val="000000" w:themeColor="text1"/>
        </w:rPr>
        <w:t>22</w:t>
      </w:r>
      <w:r w:rsidR="0006422E" w:rsidRPr="7FE786BF">
        <w:rPr>
          <w:b/>
          <w:bCs/>
          <w:i/>
          <w:iCs/>
          <w:color w:val="000000" w:themeColor="text1"/>
        </w:rPr>
        <w:t xml:space="preserve">, </w:t>
      </w:r>
      <w:r w:rsidR="3785153B" w:rsidRPr="7FE786BF">
        <w:rPr>
          <w:b/>
          <w:bCs/>
          <w:i/>
          <w:iCs/>
          <w:color w:val="000000" w:themeColor="text1"/>
        </w:rPr>
        <w:t>58</w:t>
      </w:r>
      <w:r w:rsidRPr="00456141">
        <w:rPr>
          <w:b/>
          <w:bCs/>
          <w:i/>
          <w:iCs/>
          <w:color w:val="000000" w:themeColor="text1"/>
        </w:rPr>
        <w:t xml:space="preserve"> and </w:t>
      </w:r>
      <w:r w:rsidR="47864D34" w:rsidRPr="7FE786BF">
        <w:rPr>
          <w:b/>
          <w:bCs/>
          <w:i/>
          <w:iCs/>
          <w:color w:val="000000" w:themeColor="text1"/>
        </w:rPr>
        <w:t>59</w:t>
      </w:r>
      <w:r w:rsidRPr="00456141">
        <w:rPr>
          <w:b/>
          <w:bCs/>
          <w:i/>
          <w:iCs/>
          <w:color w:val="000000" w:themeColor="text1"/>
        </w:rPr>
        <w:t xml:space="preserve"> – </w:t>
      </w:r>
      <w:r w:rsidRPr="2545B2CC">
        <w:rPr>
          <w:b/>
          <w:bCs/>
          <w:i/>
          <w:iCs/>
          <w:color w:val="000000" w:themeColor="text1"/>
        </w:rPr>
        <w:t>Alternative</w:t>
      </w:r>
      <w:r w:rsidR="3EE84513" w:rsidRPr="2545B2CC">
        <w:rPr>
          <w:b/>
          <w:bCs/>
          <w:i/>
          <w:iCs/>
          <w:color w:val="000000" w:themeColor="text1"/>
        </w:rPr>
        <w:t>s</w:t>
      </w:r>
      <w:r w:rsidRPr="00456141">
        <w:rPr>
          <w:b/>
          <w:bCs/>
          <w:i/>
          <w:iCs/>
          <w:color w:val="000000" w:themeColor="text1"/>
        </w:rPr>
        <w:t xml:space="preserve"> asset class</w:t>
      </w:r>
    </w:p>
    <w:p w14:paraId="42344136" w14:textId="77777777" w:rsidR="00620D70" w:rsidRDefault="00620D70" w:rsidP="00620D70">
      <w:pPr>
        <w:spacing w:before="0" w:after="0"/>
        <w:rPr>
          <w:b/>
          <w:bCs/>
          <w:i/>
          <w:iCs/>
          <w:color w:val="000000" w:themeColor="text1"/>
        </w:rPr>
      </w:pPr>
    </w:p>
    <w:p w14:paraId="69B67E32" w14:textId="06203B6D" w:rsidR="00620D70" w:rsidRDefault="00620D70" w:rsidP="319402DB">
      <w:pPr>
        <w:spacing w:before="0" w:after="0"/>
        <w:rPr>
          <w:rFonts w:eastAsia="Calibri"/>
        </w:rPr>
      </w:pPr>
      <w:r w:rsidRPr="319402DB">
        <w:rPr>
          <w:rFonts w:eastAsia="Calibri"/>
        </w:rPr>
        <w:t xml:space="preserve">Item </w:t>
      </w:r>
      <w:r w:rsidR="0C4CC044" w:rsidRPr="6B8A0ABF">
        <w:rPr>
          <w:rFonts w:eastAsia="Calibri"/>
        </w:rPr>
        <w:t>58</w:t>
      </w:r>
      <w:r w:rsidRPr="319402DB">
        <w:rPr>
          <w:rFonts w:eastAsia="Calibri"/>
        </w:rPr>
        <w:t xml:space="preserve"> </w:t>
      </w:r>
      <w:r w:rsidR="00D93320" w:rsidRPr="319402DB">
        <w:rPr>
          <w:rFonts w:eastAsia="Calibri"/>
        </w:rPr>
        <w:t>amends</w:t>
      </w:r>
      <w:r w:rsidRPr="319402DB">
        <w:rPr>
          <w:rFonts w:eastAsia="Calibri"/>
        </w:rPr>
        <w:t xml:space="preserve"> the description of the covered asset class ‘Other/Commodities’ to ‘Alternatives’ to reflect the description of the covered asset class as it appears in the updated APRA reporting standard for asset allocation. Consequential amendments are made to correct references to this covered asset class description throughout Division</w:t>
      </w:r>
      <w:r w:rsidR="004E57D8" w:rsidRPr="319402DB">
        <w:rPr>
          <w:rFonts w:eastAsia="Calibri"/>
        </w:rPr>
        <w:t> </w:t>
      </w:r>
      <w:r w:rsidRPr="319402DB">
        <w:rPr>
          <w:rFonts w:eastAsia="Calibri"/>
        </w:rPr>
        <w:t>9AB.</w:t>
      </w:r>
    </w:p>
    <w:p w14:paraId="19142C3E" w14:textId="77777777" w:rsidR="00620D70" w:rsidRDefault="00620D70" w:rsidP="00620D70">
      <w:pPr>
        <w:spacing w:before="0" w:after="0"/>
        <w:rPr>
          <w:rFonts w:eastAsia="Calibri"/>
          <w:szCs w:val="24"/>
        </w:rPr>
      </w:pPr>
    </w:p>
    <w:p w14:paraId="35F20577" w14:textId="00837120" w:rsidR="00620D70" w:rsidRDefault="005B02AB" w:rsidP="00620D70">
      <w:pPr>
        <w:spacing w:before="0" w:after="0"/>
      </w:pPr>
      <w:r w:rsidRPr="319402DB">
        <w:rPr>
          <w:rFonts w:eastAsia="Calibri"/>
        </w:rPr>
        <w:t xml:space="preserve">Items </w:t>
      </w:r>
      <w:r w:rsidR="5803216D" w:rsidRPr="6B8A0ABF">
        <w:rPr>
          <w:rFonts w:eastAsia="Calibri"/>
        </w:rPr>
        <w:t>22</w:t>
      </w:r>
      <w:r w:rsidR="002A4D34" w:rsidRPr="319402DB">
        <w:rPr>
          <w:rFonts w:eastAsia="Calibri"/>
        </w:rPr>
        <w:t xml:space="preserve"> and </w:t>
      </w:r>
      <w:r w:rsidR="7F15265E" w:rsidRPr="6B8A0ABF">
        <w:rPr>
          <w:rFonts w:eastAsia="Calibri"/>
        </w:rPr>
        <w:t>59</w:t>
      </w:r>
      <w:r w:rsidR="00620D70" w:rsidRPr="319402DB">
        <w:rPr>
          <w:rFonts w:eastAsia="Calibri"/>
        </w:rPr>
        <w:t xml:space="preserve"> clarify the treatment of index assumptions for the Alternatives asset class</w:t>
      </w:r>
      <w:r w:rsidR="00062452" w:rsidRPr="319402DB">
        <w:rPr>
          <w:rFonts w:eastAsia="Calibri"/>
        </w:rPr>
        <w:t>es</w:t>
      </w:r>
      <w:r w:rsidR="004E57D8" w:rsidRPr="319402DB">
        <w:rPr>
          <w:rFonts w:eastAsia="Calibri"/>
        </w:rPr>
        <w:t xml:space="preserve"> </w:t>
      </w:r>
      <w:r w:rsidR="003970F4" w:rsidRPr="319402DB">
        <w:rPr>
          <w:rFonts w:eastAsia="Calibri"/>
        </w:rPr>
        <w:t>which</w:t>
      </w:r>
      <w:r w:rsidR="00FD16BA">
        <w:t xml:space="preserve"> can now be reported to APRA in an aggregated or disaggregated form</w:t>
      </w:r>
      <w:r w:rsidR="00FB49DC">
        <w:t xml:space="preserve"> </w:t>
      </w:r>
      <w:r w:rsidR="00FB49DC" w:rsidRPr="319402DB">
        <w:rPr>
          <w:rFonts w:eastAsia="Calibri"/>
        </w:rPr>
        <w:t>(see table items 17, 18 and 19 of the table in 9AB.17)</w:t>
      </w:r>
      <w:r w:rsidR="00FD16BA">
        <w:t>.</w:t>
      </w:r>
      <w:r w:rsidR="00FD16BA" w:rsidRPr="319402DB">
        <w:rPr>
          <w:rFonts w:eastAsia="Calibri"/>
        </w:rPr>
        <w:t xml:space="preserve"> </w:t>
      </w:r>
      <w:r w:rsidR="00620D70" w:rsidRPr="319402DB">
        <w:rPr>
          <w:rFonts w:eastAsia="Calibri"/>
        </w:rPr>
        <w:t>T</w:t>
      </w:r>
      <w:r w:rsidR="00620D70">
        <w:t xml:space="preserve">he amendments allow the consideration of data </w:t>
      </w:r>
      <w:r w:rsidR="00551397">
        <w:t xml:space="preserve">whether it </w:t>
      </w:r>
      <w:r w:rsidR="005E1B3D">
        <w:t xml:space="preserve">is </w:t>
      </w:r>
      <w:r w:rsidR="00620D70">
        <w:t>reported to APRA in an aggregated or disaggregated form</w:t>
      </w:r>
      <w:r w:rsidR="78A4D1A3">
        <w:t>. The</w:t>
      </w:r>
      <w:r w:rsidR="00620D70">
        <w:t xml:space="preserve"> </w:t>
      </w:r>
      <w:r w:rsidR="00562564">
        <w:t xml:space="preserve">disaggregated </w:t>
      </w:r>
      <w:r w:rsidR="00912C9B">
        <w:t xml:space="preserve">form will be </w:t>
      </w:r>
      <w:r w:rsidR="00620D70">
        <w:t xml:space="preserve">reported as Growth Alternatives and Defensive Alternatives. </w:t>
      </w:r>
    </w:p>
    <w:p w14:paraId="20C86FE3" w14:textId="77777777" w:rsidR="00620D70" w:rsidRPr="00D91C7C" w:rsidRDefault="00620D70" w:rsidP="00620D70">
      <w:pPr>
        <w:spacing w:before="0" w:after="0"/>
        <w:rPr>
          <w:color w:val="000000" w:themeColor="text1"/>
        </w:rPr>
      </w:pPr>
    </w:p>
    <w:p w14:paraId="44792025" w14:textId="79C3F476" w:rsidR="00620D70" w:rsidRDefault="002A4D34" w:rsidP="00620D70">
      <w:pPr>
        <w:spacing w:before="0" w:after="0"/>
        <w:rPr>
          <w:rFonts w:eastAsia="Calibri"/>
        </w:rPr>
      </w:pPr>
      <w:r w:rsidRPr="319402DB">
        <w:rPr>
          <w:rFonts w:eastAsia="Calibri"/>
        </w:rPr>
        <w:t xml:space="preserve">Item </w:t>
      </w:r>
      <w:r w:rsidR="14AF7FBF" w:rsidRPr="6B8A0ABF">
        <w:rPr>
          <w:rFonts w:eastAsia="Calibri"/>
        </w:rPr>
        <w:t>22</w:t>
      </w:r>
      <w:r w:rsidR="00620D70" w:rsidRPr="319402DB">
        <w:rPr>
          <w:rFonts w:eastAsia="Calibri"/>
        </w:rPr>
        <w:t xml:space="preserve"> also set</w:t>
      </w:r>
      <w:r w:rsidR="6F70D262" w:rsidRPr="319402DB">
        <w:rPr>
          <w:rFonts w:eastAsia="Calibri"/>
        </w:rPr>
        <w:t>s</w:t>
      </w:r>
      <w:r w:rsidR="00620D70" w:rsidRPr="319402DB">
        <w:rPr>
          <w:rFonts w:eastAsia="Calibri"/>
        </w:rPr>
        <w:t xml:space="preserve"> out that for the Alternatives asset class</w:t>
      </w:r>
      <w:r w:rsidR="00FB49DC" w:rsidRPr="319402DB">
        <w:rPr>
          <w:rFonts w:eastAsia="Calibri"/>
        </w:rPr>
        <w:t>es</w:t>
      </w:r>
      <w:r w:rsidR="00620D70" w:rsidRPr="319402DB">
        <w:rPr>
          <w:rFonts w:eastAsia="Calibri"/>
        </w:rPr>
        <w:t>, the index returns for the underlying asset class are first adjusted for fees and taxes using their corresponding fee and tax assumption and subsequently have a weighting applied.</w:t>
      </w:r>
      <w:r w:rsidR="00620D70">
        <w:t xml:space="preserve"> This </w:t>
      </w:r>
      <w:r w:rsidR="00620D70" w:rsidRPr="319402DB">
        <w:rPr>
          <w:rFonts w:eastAsia="Calibri"/>
        </w:rPr>
        <w:t>provides for a more consistent calculation of the benchmark return for the Alternatives covered asset class</w:t>
      </w:r>
      <w:r w:rsidR="001105CD" w:rsidRPr="319402DB">
        <w:rPr>
          <w:rFonts w:eastAsia="Calibri"/>
        </w:rPr>
        <w:t>es</w:t>
      </w:r>
      <w:r w:rsidR="00620D70" w:rsidRPr="319402DB">
        <w:rPr>
          <w:rFonts w:eastAsia="Calibri"/>
        </w:rPr>
        <w:t xml:space="preserve"> by ensuring each assumed component is adjusted based on their relevant fee and tax assumption before aggregating. </w:t>
      </w:r>
    </w:p>
    <w:p w14:paraId="75D30C9F" w14:textId="77777777" w:rsidR="00620D70" w:rsidRDefault="00620D70" w:rsidP="00620D70">
      <w:pPr>
        <w:spacing w:before="0" w:after="0"/>
        <w:rPr>
          <w:rFonts w:eastAsia="Calibri"/>
          <w:szCs w:val="24"/>
        </w:rPr>
      </w:pPr>
    </w:p>
    <w:p w14:paraId="3C982028" w14:textId="6D863C97" w:rsidR="00620D70" w:rsidRDefault="00D941CA" w:rsidP="00620D70">
      <w:pPr>
        <w:spacing w:before="0" w:after="0"/>
        <w:rPr>
          <w:rFonts w:eastAsia="Calibri"/>
        </w:rPr>
      </w:pPr>
      <w:r w:rsidRPr="6B8A0ABF">
        <w:rPr>
          <w:rFonts w:eastAsia="Calibri"/>
        </w:rPr>
        <w:t xml:space="preserve">Item </w:t>
      </w:r>
      <w:r w:rsidR="1C80C592" w:rsidRPr="6B8A0ABF">
        <w:rPr>
          <w:rFonts w:eastAsia="Calibri"/>
        </w:rPr>
        <w:t>59</w:t>
      </w:r>
      <w:r w:rsidRPr="6B8A0ABF">
        <w:rPr>
          <w:rFonts w:eastAsia="Calibri"/>
        </w:rPr>
        <w:t xml:space="preserve"> includes </w:t>
      </w:r>
      <w:r w:rsidR="00440F6D" w:rsidRPr="6B8A0ABF">
        <w:rPr>
          <w:rFonts w:eastAsia="Calibri"/>
        </w:rPr>
        <w:t>a</w:t>
      </w:r>
      <w:r w:rsidR="00620D70" w:rsidRPr="6B8A0ABF">
        <w:rPr>
          <w:rFonts w:eastAsia="Calibri"/>
        </w:rPr>
        <w:t xml:space="preserve"> consequential change to </w:t>
      </w:r>
      <w:r w:rsidR="00D76671" w:rsidRPr="6B8A0ABF">
        <w:rPr>
          <w:rFonts w:eastAsia="Calibri"/>
        </w:rPr>
        <w:t xml:space="preserve">table </w:t>
      </w:r>
      <w:r w:rsidR="00620D70" w:rsidRPr="6B8A0ABF">
        <w:rPr>
          <w:rFonts w:eastAsia="Calibri"/>
        </w:rPr>
        <w:t>item 24 in t</w:t>
      </w:r>
      <w:r w:rsidR="00620D70">
        <w:t xml:space="preserve">he table of covered asset classes </w:t>
      </w:r>
      <w:r w:rsidR="00620D70" w:rsidRPr="6B8A0ABF">
        <w:rPr>
          <w:rFonts w:eastAsia="Calibri"/>
        </w:rPr>
        <w:t>under 9AB.17(7) of the Principal Regulations</w:t>
      </w:r>
      <w:r w:rsidR="00620D70">
        <w:t xml:space="preserve"> to reflect that after the adjustments in </w:t>
      </w:r>
      <w:proofErr w:type="spellStart"/>
      <w:r w:rsidR="00620D70">
        <w:t>subregulations</w:t>
      </w:r>
      <w:proofErr w:type="spellEnd"/>
      <w:r w:rsidR="00620D70">
        <w:t> 9AB.13(7) and 9AB.14(7), the relevant assumed annual fee for the Alternatives asset class is 0% and the relevant assumed rate of tax for the Alternatives asset class is 0%. Table items 25 and 26 now reflect the disaggregated asset classes, Growth Alternatives and Defensive Alternatives.</w:t>
      </w:r>
    </w:p>
    <w:p w14:paraId="331663B1" w14:textId="77777777" w:rsidR="00620D70" w:rsidRDefault="00620D70" w:rsidP="00620D70">
      <w:pPr>
        <w:spacing w:before="0" w:after="0"/>
        <w:rPr>
          <w:rFonts w:eastAsia="Calibri"/>
          <w:szCs w:val="24"/>
        </w:rPr>
      </w:pPr>
    </w:p>
    <w:p w14:paraId="7CFB49E0" w14:textId="099E847F" w:rsidR="00620D70" w:rsidRDefault="001A1832" w:rsidP="6422190E">
      <w:pPr>
        <w:spacing w:before="0" w:after="0"/>
      </w:pPr>
      <w:r>
        <w:t>Item</w:t>
      </w:r>
      <w:r w:rsidR="00E4297D">
        <w:t>s 1 and</w:t>
      </w:r>
      <w:r w:rsidR="00E97DD4">
        <w:t xml:space="preserve"> </w:t>
      </w:r>
      <w:r w:rsidR="00B90CC3">
        <w:t>5</w:t>
      </w:r>
      <w:r>
        <w:t xml:space="preserve"> </w:t>
      </w:r>
      <w:r w:rsidR="00620D70">
        <w:t xml:space="preserve">insert definitions of </w:t>
      </w:r>
      <w:r w:rsidR="00CD4742">
        <w:t>‘</w:t>
      </w:r>
      <w:r w:rsidR="00620D70">
        <w:t>adjusted index</w:t>
      </w:r>
      <w:r w:rsidR="00CD4742">
        <w:t>’</w:t>
      </w:r>
      <w:r w:rsidR="00620D70">
        <w:t xml:space="preserve">, </w:t>
      </w:r>
      <w:r w:rsidR="00CD4742">
        <w:t>‘</w:t>
      </w:r>
      <w:r w:rsidR="00620D70">
        <w:t>IEH percentage</w:t>
      </w:r>
      <w:r w:rsidR="00CD4742">
        <w:t>’</w:t>
      </w:r>
      <w:r w:rsidR="00620D70">
        <w:t xml:space="preserve">, </w:t>
      </w:r>
      <w:r w:rsidR="00CD4742">
        <w:t>‘</w:t>
      </w:r>
      <w:r w:rsidR="00620D70">
        <w:t>IEU percentage</w:t>
      </w:r>
      <w:r w:rsidR="00CD4742">
        <w:t>’</w:t>
      </w:r>
      <w:r w:rsidR="00620D70">
        <w:t xml:space="preserve"> and </w:t>
      </w:r>
      <w:r w:rsidR="00CD4742">
        <w:t>‘</w:t>
      </w:r>
      <w:r w:rsidR="00620D70">
        <w:t>IFI percentage</w:t>
      </w:r>
      <w:r w:rsidR="00CD4742">
        <w:t>’</w:t>
      </w:r>
      <w:r w:rsidR="00620D70" w:rsidRPr="319402DB">
        <w:rPr>
          <w:b/>
          <w:bCs/>
          <w:i/>
          <w:iCs/>
        </w:rPr>
        <w:t xml:space="preserve"> </w:t>
      </w:r>
      <w:r w:rsidR="00620D70">
        <w:t>as these are all new terms required for the updated rules about the calculation of index for the Alternatives asset class</w:t>
      </w:r>
      <w:r w:rsidR="008C3196">
        <w:t>es</w:t>
      </w:r>
      <w:r w:rsidR="62F6DB5D">
        <w:t>:</w:t>
      </w:r>
    </w:p>
    <w:p w14:paraId="1B4BF6E8" w14:textId="3E9D085A" w:rsidR="6422190E" w:rsidRPr="001E7652" w:rsidRDefault="009E50BD" w:rsidP="001E7652">
      <w:pPr>
        <w:pStyle w:val="Bullet"/>
      </w:pPr>
      <w:r>
        <w:t>‘</w:t>
      </w:r>
      <w:r w:rsidR="6FBE2570">
        <w:t>Adjusted index</w:t>
      </w:r>
      <w:r>
        <w:t>’</w:t>
      </w:r>
      <w:r w:rsidR="6FBE2570">
        <w:t xml:space="preserve"> </w:t>
      </w:r>
      <w:r w:rsidR="68E614C7">
        <w:t xml:space="preserve">is </w:t>
      </w:r>
      <w:r w:rsidR="5A7DA3A0">
        <w:t xml:space="preserve">worked out using a formula in </w:t>
      </w:r>
      <w:proofErr w:type="spellStart"/>
      <w:r w:rsidR="5A7DA3A0">
        <w:t>subregulation</w:t>
      </w:r>
      <w:proofErr w:type="spellEnd"/>
      <w:r w:rsidR="5A7DA3A0">
        <w:t xml:space="preserve"> 9AB.5A</w:t>
      </w:r>
      <w:r w:rsidR="00623B1C">
        <w:t>(7)</w:t>
      </w:r>
      <w:r w:rsidR="6FBE2570">
        <w:t>;</w:t>
      </w:r>
    </w:p>
    <w:p w14:paraId="484E0446" w14:textId="5EFA254E" w:rsidR="6422190E" w:rsidRPr="001E7652" w:rsidRDefault="009E50BD" w:rsidP="001E7652">
      <w:pPr>
        <w:pStyle w:val="Bullet"/>
      </w:pPr>
      <w:r>
        <w:t>‘</w:t>
      </w:r>
      <w:r w:rsidR="6FBE2570" w:rsidRPr="001E7652">
        <w:t>IEH percentage</w:t>
      </w:r>
      <w:r>
        <w:t>’</w:t>
      </w:r>
      <w:r w:rsidR="6FBE2570" w:rsidRPr="001E7652">
        <w:t xml:space="preserve"> relates to </w:t>
      </w:r>
      <w:r w:rsidR="00A97014">
        <w:t xml:space="preserve">the proportion of the allocation benchmarked against </w:t>
      </w:r>
      <w:r w:rsidR="6FBE2570" w:rsidRPr="001E7652">
        <w:t>international equities hedged;</w:t>
      </w:r>
    </w:p>
    <w:p w14:paraId="6C7C3910" w14:textId="04E731F9" w:rsidR="6FBE2570" w:rsidRPr="001E7652" w:rsidRDefault="009E50BD" w:rsidP="001E7652">
      <w:pPr>
        <w:pStyle w:val="Bullet"/>
      </w:pPr>
      <w:r>
        <w:t>‘</w:t>
      </w:r>
      <w:r w:rsidR="6FBE2570" w:rsidRPr="001E7652">
        <w:t>IEU percentage</w:t>
      </w:r>
      <w:r>
        <w:t>’</w:t>
      </w:r>
      <w:r w:rsidR="6FBE2570" w:rsidRPr="001E7652">
        <w:t xml:space="preserve"> relates </w:t>
      </w:r>
      <w:r w:rsidR="00A97014">
        <w:t>to the proportion of the allocation benchmarked against</w:t>
      </w:r>
      <w:r w:rsidR="6FBE2570" w:rsidRPr="001E7652">
        <w:t xml:space="preserve"> international equities unhedged;</w:t>
      </w:r>
    </w:p>
    <w:p w14:paraId="10E4928A" w14:textId="4D1915D0" w:rsidR="6FBE2570" w:rsidRPr="001E7652" w:rsidRDefault="009E50BD" w:rsidP="001E7652">
      <w:pPr>
        <w:pStyle w:val="Bullet"/>
      </w:pPr>
      <w:r>
        <w:t>‘</w:t>
      </w:r>
      <w:r w:rsidR="6FBE2570" w:rsidRPr="001E7652">
        <w:t>IFI percentage</w:t>
      </w:r>
      <w:r>
        <w:t>’</w:t>
      </w:r>
      <w:r w:rsidR="6FBE2570" w:rsidRPr="001E7652">
        <w:t xml:space="preserve"> relates to </w:t>
      </w:r>
      <w:r w:rsidR="00A97014">
        <w:t xml:space="preserve">the proportion of the allocation benchmarked against </w:t>
      </w:r>
      <w:r w:rsidR="6FBE2570" w:rsidRPr="001E7652">
        <w:t>international fixed interest.</w:t>
      </w:r>
    </w:p>
    <w:bookmarkEnd w:id="0"/>
    <w:p w14:paraId="367A8176" w14:textId="77777777" w:rsidR="00462899" w:rsidRDefault="00462899" w:rsidP="002F42EA">
      <w:pPr>
        <w:spacing w:before="0" w:after="0"/>
        <w:rPr>
          <w:color w:val="000000" w:themeColor="text1"/>
        </w:rPr>
      </w:pPr>
    </w:p>
    <w:p w14:paraId="02A9D558" w14:textId="2D196832" w:rsidR="00CA3AF3" w:rsidRDefault="00CA3AF3" w:rsidP="00CA3AF3">
      <w:pPr>
        <w:spacing w:before="0" w:after="0"/>
        <w:rPr>
          <w:b/>
          <w:bCs/>
          <w:i/>
          <w:iCs/>
          <w:color w:val="000000" w:themeColor="text1"/>
        </w:rPr>
      </w:pPr>
      <w:r>
        <w:rPr>
          <w:b/>
          <w:bCs/>
          <w:i/>
          <w:iCs/>
          <w:color w:val="000000" w:themeColor="text1"/>
        </w:rPr>
        <w:lastRenderedPageBreak/>
        <w:t xml:space="preserve">Items </w:t>
      </w:r>
      <w:r w:rsidR="00937954">
        <w:rPr>
          <w:b/>
          <w:bCs/>
          <w:i/>
          <w:iCs/>
          <w:color w:val="000000" w:themeColor="text1"/>
        </w:rPr>
        <w:t>2</w:t>
      </w:r>
      <w:r>
        <w:rPr>
          <w:b/>
          <w:bCs/>
          <w:i/>
          <w:iCs/>
          <w:color w:val="000000" w:themeColor="text1"/>
        </w:rPr>
        <w:t xml:space="preserve">, </w:t>
      </w:r>
      <w:r w:rsidR="00B90CC3">
        <w:rPr>
          <w:b/>
          <w:bCs/>
          <w:i/>
          <w:iCs/>
          <w:color w:val="000000" w:themeColor="text1"/>
        </w:rPr>
        <w:t>4</w:t>
      </w:r>
      <w:r>
        <w:rPr>
          <w:b/>
          <w:bCs/>
          <w:i/>
          <w:iCs/>
          <w:color w:val="000000" w:themeColor="text1"/>
        </w:rPr>
        <w:t xml:space="preserve">, </w:t>
      </w:r>
      <w:r w:rsidR="00D96FAE">
        <w:rPr>
          <w:b/>
          <w:bCs/>
          <w:i/>
          <w:iCs/>
          <w:color w:val="000000" w:themeColor="text1"/>
        </w:rPr>
        <w:t>6</w:t>
      </w:r>
      <w:r>
        <w:rPr>
          <w:b/>
          <w:bCs/>
          <w:i/>
          <w:iCs/>
          <w:color w:val="000000" w:themeColor="text1"/>
        </w:rPr>
        <w:t xml:space="preserve"> and </w:t>
      </w:r>
      <w:r w:rsidR="3B4964CE" w:rsidRPr="509EC809">
        <w:rPr>
          <w:b/>
          <w:bCs/>
          <w:i/>
          <w:iCs/>
          <w:color w:val="000000" w:themeColor="text1"/>
        </w:rPr>
        <w:t>9</w:t>
      </w:r>
      <w:r>
        <w:rPr>
          <w:b/>
          <w:bCs/>
          <w:i/>
          <w:iCs/>
          <w:color w:val="000000" w:themeColor="text1"/>
        </w:rPr>
        <w:t xml:space="preserve"> – Definitions of asset allocation standard, fees standard, investment performance standard, and RSE structure standard</w:t>
      </w:r>
    </w:p>
    <w:p w14:paraId="486A32E9" w14:textId="77777777" w:rsidR="00CA3AF3" w:rsidRDefault="00CA3AF3" w:rsidP="00CA3AF3">
      <w:pPr>
        <w:spacing w:before="0" w:after="0"/>
        <w:rPr>
          <w:color w:val="000000" w:themeColor="text1"/>
        </w:rPr>
      </w:pPr>
    </w:p>
    <w:p w14:paraId="27658F6A" w14:textId="1457E23D" w:rsidR="00A65738" w:rsidRDefault="00CA3AF3" w:rsidP="00CA3AF3">
      <w:pPr>
        <w:spacing w:before="0" w:after="0"/>
        <w:rPr>
          <w:color w:val="000000" w:themeColor="text1"/>
        </w:rPr>
      </w:pPr>
      <w:r>
        <w:rPr>
          <w:color w:val="000000" w:themeColor="text1"/>
        </w:rPr>
        <w:t xml:space="preserve">Items </w:t>
      </w:r>
      <w:r w:rsidR="00937954">
        <w:rPr>
          <w:color w:val="000000" w:themeColor="text1"/>
        </w:rPr>
        <w:t>2</w:t>
      </w:r>
      <w:r>
        <w:rPr>
          <w:color w:val="000000" w:themeColor="text1"/>
        </w:rPr>
        <w:t xml:space="preserve">, </w:t>
      </w:r>
      <w:r w:rsidR="00B90CC3">
        <w:rPr>
          <w:color w:val="000000" w:themeColor="text1"/>
        </w:rPr>
        <w:t>4</w:t>
      </w:r>
      <w:r>
        <w:rPr>
          <w:color w:val="000000" w:themeColor="text1"/>
        </w:rPr>
        <w:t xml:space="preserve">, and </w:t>
      </w:r>
      <w:r w:rsidR="00D96FAE">
        <w:rPr>
          <w:color w:val="000000" w:themeColor="text1"/>
        </w:rPr>
        <w:t>6</w:t>
      </w:r>
      <w:r>
        <w:rPr>
          <w:color w:val="000000" w:themeColor="text1"/>
        </w:rPr>
        <w:t xml:space="preserve"> repeal the definitions of ‘</w:t>
      </w:r>
      <w:r w:rsidRPr="000F6659">
        <w:rPr>
          <w:color w:val="000000" w:themeColor="text1"/>
        </w:rPr>
        <w:t>asset allocation standard</w:t>
      </w:r>
      <w:r>
        <w:rPr>
          <w:color w:val="000000" w:themeColor="text1"/>
        </w:rPr>
        <w:t>’</w:t>
      </w:r>
      <w:r w:rsidRPr="000F6659">
        <w:rPr>
          <w:color w:val="000000" w:themeColor="text1"/>
        </w:rPr>
        <w:t xml:space="preserve">, </w:t>
      </w:r>
      <w:r>
        <w:rPr>
          <w:color w:val="000000" w:themeColor="text1"/>
        </w:rPr>
        <w:t>‘</w:t>
      </w:r>
      <w:r w:rsidRPr="000F6659">
        <w:rPr>
          <w:color w:val="000000" w:themeColor="text1"/>
        </w:rPr>
        <w:t>fees standard</w:t>
      </w:r>
      <w:r>
        <w:rPr>
          <w:color w:val="000000" w:themeColor="text1"/>
        </w:rPr>
        <w:t>’</w:t>
      </w:r>
      <w:r w:rsidRPr="000F6659">
        <w:rPr>
          <w:color w:val="000000" w:themeColor="text1"/>
        </w:rPr>
        <w:t xml:space="preserve">, and </w:t>
      </w:r>
      <w:r>
        <w:rPr>
          <w:color w:val="000000" w:themeColor="text1"/>
        </w:rPr>
        <w:t>‘</w:t>
      </w:r>
      <w:r w:rsidRPr="000F6659">
        <w:rPr>
          <w:color w:val="000000" w:themeColor="text1"/>
        </w:rPr>
        <w:t>investment performance standard</w:t>
      </w:r>
      <w:r>
        <w:rPr>
          <w:color w:val="000000" w:themeColor="text1"/>
        </w:rPr>
        <w:t>’</w:t>
      </w:r>
      <w:r w:rsidRPr="000F6659">
        <w:rPr>
          <w:color w:val="000000" w:themeColor="text1"/>
        </w:rPr>
        <w:t xml:space="preserve"> </w:t>
      </w:r>
      <w:r>
        <w:rPr>
          <w:color w:val="000000" w:themeColor="text1"/>
        </w:rPr>
        <w:t>in regulation 9AB.1 of the Principal Regulations and substitute new definitions that incorporate new legislative instruments that were made in 202</w:t>
      </w:r>
      <w:r w:rsidR="00C9236A">
        <w:rPr>
          <w:color w:val="000000" w:themeColor="text1"/>
        </w:rPr>
        <w:t>3</w:t>
      </w:r>
      <w:r>
        <w:rPr>
          <w:color w:val="000000" w:themeColor="text1"/>
        </w:rPr>
        <w:t xml:space="preserve">. </w:t>
      </w:r>
    </w:p>
    <w:p w14:paraId="07F822F7" w14:textId="77777777" w:rsidR="00A65738" w:rsidRDefault="00A65738" w:rsidP="00CA3AF3">
      <w:pPr>
        <w:spacing w:before="0" w:after="0"/>
        <w:rPr>
          <w:color w:val="000000" w:themeColor="text1"/>
        </w:rPr>
      </w:pPr>
    </w:p>
    <w:p w14:paraId="6769F94A" w14:textId="42BF0FBE" w:rsidR="00823F70" w:rsidRDefault="00CA3AF3" w:rsidP="00CA3AF3">
      <w:pPr>
        <w:spacing w:before="0" w:after="0"/>
        <w:rPr>
          <w:color w:val="000000" w:themeColor="text1"/>
        </w:rPr>
      </w:pPr>
      <w:r>
        <w:rPr>
          <w:color w:val="000000" w:themeColor="text1"/>
        </w:rPr>
        <w:t xml:space="preserve">Item </w:t>
      </w:r>
      <w:r w:rsidR="48D7F453" w:rsidRPr="509EC809">
        <w:rPr>
          <w:color w:val="000000" w:themeColor="text1"/>
        </w:rPr>
        <w:t>9</w:t>
      </w:r>
      <w:r>
        <w:rPr>
          <w:color w:val="000000" w:themeColor="text1"/>
        </w:rPr>
        <w:t xml:space="preserve"> inserts a definition of ‘RSE structure standard’ to incorporate another two reporting standards made in </w:t>
      </w:r>
      <w:r w:rsidR="00C47C62" w:rsidRPr="154EC3E5">
        <w:rPr>
          <w:color w:val="000000" w:themeColor="text1"/>
        </w:rPr>
        <w:t>2023</w:t>
      </w:r>
      <w:r>
        <w:rPr>
          <w:color w:val="000000" w:themeColor="text1"/>
        </w:rPr>
        <w:t xml:space="preserve"> under which trustees report information relevant for the performance test. </w:t>
      </w:r>
    </w:p>
    <w:p w14:paraId="14553E75" w14:textId="77777777" w:rsidR="00823F70" w:rsidRDefault="00823F70" w:rsidP="00CA3AF3">
      <w:pPr>
        <w:spacing w:before="0" w:after="0"/>
        <w:rPr>
          <w:color w:val="000000" w:themeColor="text1"/>
        </w:rPr>
      </w:pPr>
    </w:p>
    <w:p w14:paraId="2D2FF95A" w14:textId="25504AE0" w:rsidR="00CA3AF3" w:rsidRDefault="00CA3AF3" w:rsidP="00CA3AF3">
      <w:pPr>
        <w:spacing w:before="0" w:after="0"/>
        <w:rPr>
          <w:color w:val="000000" w:themeColor="text1"/>
        </w:rPr>
      </w:pPr>
      <w:r>
        <w:rPr>
          <w:color w:val="000000" w:themeColor="text1"/>
        </w:rPr>
        <w:t>The amendments provide clarity for trustees that APRA is allowed to use information collected under the new APRA reporting standards which have been determined by:</w:t>
      </w:r>
    </w:p>
    <w:p w14:paraId="247DC0F9" w14:textId="33F56152" w:rsidR="00CA3AF3" w:rsidRPr="00BC363F" w:rsidRDefault="00CA3AF3" w:rsidP="00CA3AF3">
      <w:pPr>
        <w:pStyle w:val="Bullet"/>
        <w:rPr>
          <w:i/>
          <w:iCs/>
        </w:rPr>
      </w:pPr>
      <w:r w:rsidRPr="78E5D3B6">
        <w:rPr>
          <w:i/>
          <w:iCs/>
        </w:rPr>
        <w:t xml:space="preserve">Financial Sector (Collection of Data) (reporting standard) determination No. </w:t>
      </w:r>
      <w:r w:rsidR="00814D4C" w:rsidRPr="78E5D3B6">
        <w:rPr>
          <w:i/>
          <w:iCs/>
        </w:rPr>
        <w:t>42</w:t>
      </w:r>
      <w:r w:rsidRPr="78E5D3B6">
        <w:rPr>
          <w:i/>
          <w:iCs/>
        </w:rPr>
        <w:t xml:space="preserve"> of 202</w:t>
      </w:r>
      <w:r w:rsidR="00814D4C" w:rsidRPr="78E5D3B6">
        <w:rPr>
          <w:i/>
          <w:iCs/>
        </w:rPr>
        <w:t>3</w:t>
      </w:r>
      <w:r w:rsidRPr="78E5D3B6">
        <w:rPr>
          <w:i/>
          <w:iCs/>
        </w:rPr>
        <w:t>;</w:t>
      </w:r>
    </w:p>
    <w:p w14:paraId="0760CAAE" w14:textId="019693FA" w:rsidR="00CA3AF3" w:rsidRPr="004D1632" w:rsidRDefault="00CA3AF3" w:rsidP="00CA3AF3">
      <w:pPr>
        <w:pStyle w:val="Bullet"/>
        <w:rPr>
          <w:i/>
          <w:iCs/>
        </w:rPr>
      </w:pPr>
      <w:r w:rsidRPr="78E5D3B6">
        <w:rPr>
          <w:i/>
          <w:iCs/>
        </w:rPr>
        <w:t xml:space="preserve">Financial Sector (Collection of Data) (reporting standard) determination No. </w:t>
      </w:r>
      <w:r w:rsidR="00814D4C" w:rsidRPr="78E5D3B6">
        <w:rPr>
          <w:i/>
          <w:iCs/>
        </w:rPr>
        <w:t>43</w:t>
      </w:r>
      <w:r w:rsidRPr="78E5D3B6">
        <w:rPr>
          <w:i/>
          <w:iCs/>
        </w:rPr>
        <w:t xml:space="preserve"> of 202</w:t>
      </w:r>
      <w:r w:rsidR="00814D4C" w:rsidRPr="78E5D3B6">
        <w:rPr>
          <w:i/>
          <w:iCs/>
        </w:rPr>
        <w:t>3</w:t>
      </w:r>
      <w:r w:rsidRPr="78E5D3B6">
        <w:rPr>
          <w:i/>
          <w:iCs/>
        </w:rPr>
        <w:t>;</w:t>
      </w:r>
    </w:p>
    <w:p w14:paraId="274C2DDC" w14:textId="026283E9" w:rsidR="00CA3AF3" w:rsidRDefault="00CA3AF3" w:rsidP="00CA3AF3">
      <w:pPr>
        <w:pStyle w:val="Bullet"/>
        <w:rPr>
          <w:i/>
          <w:iCs/>
        </w:rPr>
      </w:pPr>
      <w:r w:rsidRPr="78E5D3B6">
        <w:rPr>
          <w:i/>
          <w:iCs/>
        </w:rPr>
        <w:t xml:space="preserve">Financial Sector (Collection of Data) (reporting standard) determination No. </w:t>
      </w:r>
      <w:r w:rsidR="00814D4C" w:rsidRPr="78E5D3B6">
        <w:rPr>
          <w:i/>
          <w:iCs/>
        </w:rPr>
        <w:t>44</w:t>
      </w:r>
      <w:r w:rsidRPr="78E5D3B6">
        <w:rPr>
          <w:i/>
          <w:iCs/>
        </w:rPr>
        <w:t xml:space="preserve"> of 202</w:t>
      </w:r>
      <w:r w:rsidR="00814D4C" w:rsidRPr="78E5D3B6">
        <w:rPr>
          <w:i/>
          <w:iCs/>
        </w:rPr>
        <w:t>3</w:t>
      </w:r>
      <w:r w:rsidRPr="78E5D3B6">
        <w:rPr>
          <w:i/>
          <w:iCs/>
        </w:rPr>
        <w:t>;</w:t>
      </w:r>
    </w:p>
    <w:p w14:paraId="308810B0" w14:textId="65223984" w:rsidR="00CA3AF3" w:rsidRPr="00BC363F" w:rsidRDefault="00CA3AF3" w:rsidP="00CA3AF3">
      <w:pPr>
        <w:pStyle w:val="Bullet"/>
        <w:rPr>
          <w:i/>
          <w:iCs/>
        </w:rPr>
      </w:pPr>
      <w:r w:rsidRPr="78E5D3B6">
        <w:rPr>
          <w:i/>
          <w:iCs/>
        </w:rPr>
        <w:t xml:space="preserve">Financial Sector (Collection of Data) (reporting standard) determination No. </w:t>
      </w:r>
      <w:r w:rsidR="00814D4C" w:rsidRPr="78E5D3B6">
        <w:rPr>
          <w:i/>
          <w:iCs/>
        </w:rPr>
        <w:t>45</w:t>
      </w:r>
      <w:r w:rsidRPr="78E5D3B6">
        <w:rPr>
          <w:i/>
          <w:iCs/>
        </w:rPr>
        <w:t xml:space="preserve"> of 202</w:t>
      </w:r>
      <w:r w:rsidR="00A359A6" w:rsidRPr="78E5D3B6">
        <w:rPr>
          <w:i/>
          <w:iCs/>
        </w:rPr>
        <w:t>3</w:t>
      </w:r>
      <w:r w:rsidRPr="78E5D3B6">
        <w:rPr>
          <w:i/>
          <w:iCs/>
        </w:rPr>
        <w:t>; and</w:t>
      </w:r>
    </w:p>
    <w:p w14:paraId="6EF4F984" w14:textId="0181E414" w:rsidR="00CA3AF3" w:rsidRDefault="00CA3AF3" w:rsidP="00CA3AF3">
      <w:pPr>
        <w:pStyle w:val="Bullet"/>
        <w:rPr>
          <w:i/>
          <w:iCs/>
        </w:rPr>
      </w:pPr>
      <w:r w:rsidRPr="78E5D3B6">
        <w:rPr>
          <w:i/>
          <w:iCs/>
        </w:rPr>
        <w:t xml:space="preserve">Financial Sector (Collection of Data) (reporting standard) determination No. </w:t>
      </w:r>
      <w:r w:rsidR="00A359A6" w:rsidRPr="78E5D3B6">
        <w:rPr>
          <w:i/>
          <w:iCs/>
        </w:rPr>
        <w:t>46</w:t>
      </w:r>
      <w:r w:rsidRPr="78E5D3B6">
        <w:rPr>
          <w:i/>
          <w:iCs/>
        </w:rPr>
        <w:t xml:space="preserve"> of 202</w:t>
      </w:r>
      <w:r w:rsidR="00A359A6" w:rsidRPr="78E5D3B6">
        <w:rPr>
          <w:i/>
          <w:iCs/>
        </w:rPr>
        <w:t>3</w:t>
      </w:r>
      <w:r w:rsidRPr="78E5D3B6">
        <w:rPr>
          <w:i/>
          <w:iCs/>
        </w:rPr>
        <w:t>; and</w:t>
      </w:r>
    </w:p>
    <w:p w14:paraId="47152507" w14:textId="739C0413" w:rsidR="00CA3AF3" w:rsidRPr="00BC363F" w:rsidRDefault="00CA3AF3" w:rsidP="00CA3AF3">
      <w:pPr>
        <w:pStyle w:val="Bullet"/>
        <w:rPr>
          <w:i/>
          <w:iCs/>
        </w:rPr>
      </w:pPr>
      <w:r w:rsidRPr="78E5D3B6">
        <w:rPr>
          <w:i/>
          <w:iCs/>
        </w:rPr>
        <w:t xml:space="preserve">Financial Sector (Collection of Data) (reporting standard) determination No. </w:t>
      </w:r>
      <w:r w:rsidR="00A359A6" w:rsidRPr="78E5D3B6">
        <w:rPr>
          <w:i/>
          <w:iCs/>
        </w:rPr>
        <w:t>47</w:t>
      </w:r>
      <w:r w:rsidRPr="78E5D3B6">
        <w:rPr>
          <w:i/>
          <w:iCs/>
        </w:rPr>
        <w:t xml:space="preserve"> of 202</w:t>
      </w:r>
      <w:r w:rsidR="00A359A6" w:rsidRPr="78E5D3B6">
        <w:rPr>
          <w:i/>
          <w:iCs/>
        </w:rPr>
        <w:t>3</w:t>
      </w:r>
      <w:r w:rsidRPr="78E5D3B6">
        <w:rPr>
          <w:i/>
          <w:iCs/>
        </w:rPr>
        <w:t>.</w:t>
      </w:r>
    </w:p>
    <w:p w14:paraId="113A62ED" w14:textId="1FAC7ADE" w:rsidR="00CA3AF3" w:rsidRPr="00004E40" w:rsidRDefault="00CA3AF3" w:rsidP="00004E40">
      <w:pPr>
        <w:spacing w:before="0" w:after="0"/>
        <w:rPr>
          <w:color w:val="000000" w:themeColor="text1"/>
        </w:rPr>
      </w:pPr>
      <w:r w:rsidRPr="00004E40">
        <w:rPr>
          <w:color w:val="000000" w:themeColor="text1"/>
        </w:rPr>
        <w:t xml:space="preserve">APRA may use information collected under these legislative instruments and analogous past and future instruments. The Regulations incorporate the above legislative instruments as in force at the commencement </w:t>
      </w:r>
      <w:r w:rsidR="005D29AB" w:rsidRPr="00004E40">
        <w:rPr>
          <w:color w:val="000000" w:themeColor="text1"/>
        </w:rPr>
        <w:t xml:space="preserve">of </w:t>
      </w:r>
      <w:r w:rsidRPr="00004E40">
        <w:rPr>
          <w:color w:val="000000" w:themeColor="text1"/>
        </w:rPr>
        <w:t xml:space="preserve">the instrument, and analogous legislative instruments (whether or not the legislative instrument is in force). The incorporated instruments, past, present and future, are freely and publicly available or will be available on the Federal Register of Legislation. </w:t>
      </w:r>
    </w:p>
    <w:p w14:paraId="1BB070A4" w14:textId="48D324D9" w:rsidR="007D4A4F" w:rsidRPr="00004E40" w:rsidRDefault="007D4A4F" w:rsidP="00004E40">
      <w:pPr>
        <w:spacing w:before="0" w:after="0"/>
        <w:rPr>
          <w:color w:val="000000" w:themeColor="text1"/>
        </w:rPr>
      </w:pPr>
    </w:p>
    <w:p w14:paraId="42D0C178" w14:textId="5C87CBB3" w:rsidR="00462899" w:rsidRDefault="00462899" w:rsidP="00462899">
      <w:pPr>
        <w:spacing w:before="0" w:after="0"/>
        <w:rPr>
          <w:b/>
          <w:bCs/>
          <w:i/>
          <w:iCs/>
          <w:color w:val="000000" w:themeColor="text1"/>
        </w:rPr>
      </w:pPr>
      <w:r w:rsidRPr="00110CAD">
        <w:rPr>
          <w:b/>
          <w:bCs/>
          <w:i/>
          <w:iCs/>
          <w:color w:val="000000" w:themeColor="text1"/>
        </w:rPr>
        <w:t>Item</w:t>
      </w:r>
      <w:r w:rsidR="0076339C">
        <w:rPr>
          <w:b/>
          <w:bCs/>
          <w:i/>
          <w:iCs/>
          <w:color w:val="000000" w:themeColor="text1"/>
        </w:rPr>
        <w:t>s</w:t>
      </w:r>
      <w:r w:rsidRPr="00110CAD">
        <w:rPr>
          <w:b/>
          <w:bCs/>
          <w:i/>
          <w:iCs/>
          <w:color w:val="000000" w:themeColor="text1"/>
        </w:rPr>
        <w:t xml:space="preserve"> </w:t>
      </w:r>
      <w:r w:rsidR="023138AD" w:rsidRPr="509EC809">
        <w:rPr>
          <w:b/>
          <w:bCs/>
          <w:i/>
          <w:iCs/>
          <w:color w:val="000000" w:themeColor="text1"/>
        </w:rPr>
        <w:t>37, 38, 39, 40, 41</w:t>
      </w:r>
      <w:r w:rsidR="00B234C9">
        <w:rPr>
          <w:b/>
          <w:bCs/>
          <w:i/>
          <w:iCs/>
          <w:color w:val="000000" w:themeColor="text1"/>
        </w:rPr>
        <w:t xml:space="preserve">, </w:t>
      </w:r>
      <w:r w:rsidR="2A6E4F81" w:rsidRPr="509EC809">
        <w:rPr>
          <w:b/>
          <w:bCs/>
          <w:i/>
          <w:iCs/>
          <w:color w:val="000000" w:themeColor="text1"/>
        </w:rPr>
        <w:t>50, 51, 52, 53 and 54</w:t>
      </w:r>
      <w:r w:rsidR="00F44DB3">
        <w:rPr>
          <w:b/>
          <w:bCs/>
          <w:i/>
          <w:iCs/>
          <w:color w:val="000000" w:themeColor="text1"/>
        </w:rPr>
        <w:t xml:space="preserve"> </w:t>
      </w:r>
      <w:r w:rsidRPr="00110CAD">
        <w:rPr>
          <w:b/>
          <w:bCs/>
          <w:i/>
          <w:iCs/>
          <w:color w:val="000000" w:themeColor="text1"/>
        </w:rPr>
        <w:t xml:space="preserve"> – </w:t>
      </w:r>
      <w:r w:rsidR="00850CB5" w:rsidRPr="5BF2EFF3">
        <w:rPr>
          <w:b/>
          <w:bCs/>
          <w:i/>
          <w:iCs/>
          <w:color w:val="000000" w:themeColor="text1"/>
        </w:rPr>
        <w:t>Actual</w:t>
      </w:r>
      <w:r w:rsidR="00850CB5">
        <w:rPr>
          <w:b/>
          <w:bCs/>
          <w:i/>
          <w:iCs/>
          <w:color w:val="000000" w:themeColor="text1"/>
        </w:rPr>
        <w:t xml:space="preserve"> and benchmark return</w:t>
      </w:r>
      <w:r w:rsidR="003E6995">
        <w:rPr>
          <w:b/>
          <w:bCs/>
          <w:i/>
          <w:iCs/>
          <w:color w:val="000000" w:themeColor="text1"/>
        </w:rPr>
        <w:t xml:space="preserve"> formulae modifications</w:t>
      </w:r>
      <w:r w:rsidR="00CD6B99">
        <w:rPr>
          <w:b/>
          <w:bCs/>
          <w:i/>
          <w:iCs/>
          <w:color w:val="000000" w:themeColor="text1"/>
        </w:rPr>
        <w:t xml:space="preserve"> </w:t>
      </w:r>
      <w:r w:rsidR="00F832DD">
        <w:rPr>
          <w:b/>
          <w:bCs/>
          <w:i/>
          <w:iCs/>
          <w:color w:val="000000" w:themeColor="text1"/>
        </w:rPr>
        <w:t xml:space="preserve">determination </w:t>
      </w:r>
    </w:p>
    <w:p w14:paraId="5D9AFEDF" w14:textId="77777777" w:rsidR="00462899" w:rsidRDefault="00462899" w:rsidP="00462899">
      <w:pPr>
        <w:spacing w:before="0" w:after="0"/>
        <w:rPr>
          <w:b/>
          <w:bCs/>
          <w:i/>
          <w:iCs/>
          <w:color w:val="000000" w:themeColor="text1"/>
        </w:rPr>
      </w:pPr>
    </w:p>
    <w:p w14:paraId="034E5280" w14:textId="10C6EEDE" w:rsidR="0030208A" w:rsidRDefault="009E4111" w:rsidP="00FF3D46">
      <w:pPr>
        <w:spacing w:before="0" w:after="0"/>
        <w:rPr>
          <w:color w:val="000000" w:themeColor="text1"/>
        </w:rPr>
      </w:pPr>
      <w:r w:rsidRPr="00004E40">
        <w:rPr>
          <w:color w:val="000000" w:themeColor="text1"/>
        </w:rPr>
        <w:t xml:space="preserve">Items </w:t>
      </w:r>
      <w:r w:rsidR="48FB5B48" w:rsidRPr="509EC809">
        <w:rPr>
          <w:color w:val="000000" w:themeColor="text1"/>
        </w:rPr>
        <w:t>37, 38, 39, 40 and 41</w:t>
      </w:r>
      <w:r w:rsidRPr="5DBAB2BF">
        <w:rPr>
          <w:color w:val="000000" w:themeColor="text1"/>
        </w:rPr>
        <w:t xml:space="preserve"> </w:t>
      </w:r>
      <w:r w:rsidR="0084638E" w:rsidRPr="5DBAB2BF">
        <w:rPr>
          <w:color w:val="000000" w:themeColor="text1"/>
        </w:rPr>
        <w:t>amend</w:t>
      </w:r>
      <w:r w:rsidRPr="5DBAB2BF">
        <w:rPr>
          <w:color w:val="000000" w:themeColor="text1"/>
        </w:rPr>
        <w:t xml:space="preserve"> </w:t>
      </w:r>
      <w:r w:rsidR="00527615" w:rsidRPr="5DBAB2BF">
        <w:rPr>
          <w:color w:val="000000" w:themeColor="text1"/>
        </w:rPr>
        <w:t xml:space="preserve">section 9AB.12 </w:t>
      </w:r>
      <w:r w:rsidR="0045783C" w:rsidRPr="5DBAB2BF">
        <w:rPr>
          <w:color w:val="000000" w:themeColor="text1"/>
        </w:rPr>
        <w:t xml:space="preserve">of </w:t>
      </w:r>
      <w:r w:rsidRPr="5DBAB2BF">
        <w:rPr>
          <w:color w:val="000000" w:themeColor="text1"/>
        </w:rPr>
        <w:t xml:space="preserve">the </w:t>
      </w:r>
      <w:r w:rsidR="000B36BE" w:rsidRPr="5DBAB2BF">
        <w:rPr>
          <w:color w:val="000000" w:themeColor="text1"/>
        </w:rPr>
        <w:t xml:space="preserve">Principal Regulations to </w:t>
      </w:r>
      <w:r w:rsidR="0084638E" w:rsidRPr="5DBAB2BF">
        <w:rPr>
          <w:color w:val="000000" w:themeColor="text1"/>
        </w:rPr>
        <w:t xml:space="preserve">allow APRA to make a general determination to </w:t>
      </w:r>
      <w:r w:rsidR="00CF4AC6" w:rsidRPr="5DBAB2BF">
        <w:rPr>
          <w:color w:val="000000" w:themeColor="text1"/>
        </w:rPr>
        <w:t xml:space="preserve">combine part quarter data </w:t>
      </w:r>
      <w:r w:rsidR="001273A1" w:rsidRPr="5DBAB2BF">
        <w:rPr>
          <w:color w:val="000000" w:themeColor="text1"/>
        </w:rPr>
        <w:t>for the calculation of ‘actual return’</w:t>
      </w:r>
      <w:r w:rsidR="00E7451D" w:rsidRPr="5DBAB2BF">
        <w:rPr>
          <w:color w:val="000000" w:themeColor="text1"/>
        </w:rPr>
        <w:t xml:space="preserve"> for a lifecycle Part 6A product</w:t>
      </w:r>
      <w:r w:rsidR="000B36BE" w:rsidRPr="5DBAB2BF">
        <w:rPr>
          <w:color w:val="000000" w:themeColor="text1"/>
        </w:rPr>
        <w:t>.</w:t>
      </w:r>
      <w:r w:rsidR="00544D0A" w:rsidRPr="5DBAB2BF">
        <w:rPr>
          <w:color w:val="000000" w:themeColor="text1"/>
        </w:rPr>
        <w:t xml:space="preserve"> </w:t>
      </w:r>
      <w:r w:rsidR="000B36BE" w:rsidRPr="509EC809">
        <w:rPr>
          <w:color w:val="000000" w:themeColor="text1"/>
        </w:rPr>
        <w:t>Items</w:t>
      </w:r>
      <w:r w:rsidR="00B42851" w:rsidRPr="509EC809">
        <w:rPr>
          <w:color w:val="000000" w:themeColor="text1"/>
        </w:rPr>
        <w:t> </w:t>
      </w:r>
      <w:r w:rsidR="65AEEEF6" w:rsidRPr="509EC809">
        <w:rPr>
          <w:color w:val="000000" w:themeColor="text1"/>
        </w:rPr>
        <w:t>50, 51, 52, 53 and 54</w:t>
      </w:r>
      <w:r w:rsidR="000B36BE" w:rsidRPr="5DBAB2BF">
        <w:rPr>
          <w:color w:val="000000" w:themeColor="text1"/>
        </w:rPr>
        <w:t xml:space="preserve"> makes a similar amendment</w:t>
      </w:r>
      <w:r w:rsidR="00D26033" w:rsidRPr="5DBAB2BF">
        <w:rPr>
          <w:color w:val="000000" w:themeColor="text1"/>
        </w:rPr>
        <w:t xml:space="preserve"> </w:t>
      </w:r>
      <w:r w:rsidR="0045783C" w:rsidRPr="5DBAB2BF">
        <w:rPr>
          <w:color w:val="000000" w:themeColor="text1"/>
        </w:rPr>
        <w:t xml:space="preserve">to section 9AB.14 of the Principal Regulations </w:t>
      </w:r>
      <w:r w:rsidR="00785D6E" w:rsidRPr="5DBAB2BF">
        <w:rPr>
          <w:color w:val="000000" w:themeColor="text1"/>
        </w:rPr>
        <w:t>for the calculation of ‘benchmark return’</w:t>
      </w:r>
      <w:r w:rsidR="00631FD9" w:rsidRPr="5DBAB2BF">
        <w:rPr>
          <w:color w:val="000000" w:themeColor="text1"/>
        </w:rPr>
        <w:t xml:space="preserve"> for a </w:t>
      </w:r>
      <w:proofErr w:type="spellStart"/>
      <w:r w:rsidR="00631FD9" w:rsidRPr="5DBAB2BF">
        <w:rPr>
          <w:color w:val="000000" w:themeColor="text1"/>
        </w:rPr>
        <w:t>lifecyle</w:t>
      </w:r>
      <w:proofErr w:type="spellEnd"/>
      <w:r w:rsidR="00631FD9" w:rsidRPr="5DBAB2BF">
        <w:rPr>
          <w:color w:val="000000" w:themeColor="text1"/>
        </w:rPr>
        <w:t xml:space="preserve"> Part 6A product</w:t>
      </w:r>
      <w:r w:rsidR="001273A1" w:rsidRPr="5DBAB2BF">
        <w:rPr>
          <w:color w:val="000000" w:themeColor="text1"/>
        </w:rPr>
        <w:t xml:space="preserve">. This </w:t>
      </w:r>
      <w:r w:rsidR="00BE0D02" w:rsidRPr="5DBAB2BF">
        <w:rPr>
          <w:color w:val="000000" w:themeColor="text1"/>
        </w:rPr>
        <w:t>ensures</w:t>
      </w:r>
      <w:r w:rsidR="001273A1" w:rsidRPr="5DBAB2BF">
        <w:rPr>
          <w:color w:val="000000" w:themeColor="text1"/>
        </w:rPr>
        <w:t xml:space="preserve"> the test</w:t>
      </w:r>
      <w:r w:rsidRPr="5DBAB2BF" w:rsidDel="001273A1">
        <w:rPr>
          <w:color w:val="000000" w:themeColor="text1"/>
        </w:rPr>
        <w:t xml:space="preserve"> </w:t>
      </w:r>
      <w:r w:rsidR="00BE0D02" w:rsidRPr="5DBAB2BF">
        <w:rPr>
          <w:color w:val="000000" w:themeColor="text1"/>
        </w:rPr>
        <w:t xml:space="preserve">can more </w:t>
      </w:r>
      <w:r w:rsidR="001273A1" w:rsidRPr="5DBAB2BF">
        <w:rPr>
          <w:color w:val="000000" w:themeColor="text1"/>
        </w:rPr>
        <w:t xml:space="preserve">accurately reflect products which change </w:t>
      </w:r>
      <w:r w:rsidR="00A906F5" w:rsidRPr="5DBAB2BF">
        <w:rPr>
          <w:color w:val="000000" w:themeColor="text1"/>
        </w:rPr>
        <w:t>character during a quarter</w:t>
      </w:r>
      <w:r w:rsidR="001273A1" w:rsidRPr="5DBAB2BF">
        <w:rPr>
          <w:color w:val="000000" w:themeColor="text1"/>
        </w:rPr>
        <w:t>.</w:t>
      </w:r>
      <w:r w:rsidR="00BF05B2" w:rsidRPr="5DBAB2BF">
        <w:rPr>
          <w:color w:val="000000" w:themeColor="text1"/>
        </w:rPr>
        <w:t xml:space="preserve"> </w:t>
      </w:r>
      <w:r w:rsidR="001E6D64" w:rsidRPr="5DBAB2BF">
        <w:rPr>
          <w:color w:val="000000" w:themeColor="text1"/>
        </w:rPr>
        <w:t>The data</w:t>
      </w:r>
      <w:r w:rsidR="00937BCC" w:rsidRPr="5DBAB2BF">
        <w:rPr>
          <w:color w:val="000000" w:themeColor="text1"/>
        </w:rPr>
        <w:t xml:space="preserve"> for </w:t>
      </w:r>
      <w:r w:rsidR="00925D78" w:rsidRPr="5DBAB2BF">
        <w:rPr>
          <w:color w:val="000000" w:themeColor="text1"/>
        </w:rPr>
        <w:t>a quarter before and after a change are “stitched” together for the purposes of the test.</w:t>
      </w:r>
      <w:r w:rsidR="00365A2C" w:rsidRPr="5DBAB2BF">
        <w:rPr>
          <w:color w:val="000000" w:themeColor="text1"/>
        </w:rPr>
        <w:t xml:space="preserve"> </w:t>
      </w:r>
    </w:p>
    <w:p w14:paraId="19CFC71B" w14:textId="77777777" w:rsidR="00F832DD" w:rsidRDefault="00F832DD" w:rsidP="00462899">
      <w:pPr>
        <w:spacing w:before="0" w:after="0"/>
        <w:rPr>
          <w:color w:val="000000" w:themeColor="text1"/>
        </w:rPr>
      </w:pPr>
    </w:p>
    <w:p w14:paraId="3679EB98" w14:textId="543463E0" w:rsidR="00F832DD" w:rsidRDefault="00F832DD" w:rsidP="00462899">
      <w:pPr>
        <w:spacing w:before="0" w:after="0"/>
        <w:rPr>
          <w:color w:val="000000" w:themeColor="text1"/>
        </w:rPr>
      </w:pPr>
      <w:r>
        <w:rPr>
          <w:color w:val="000000" w:themeColor="text1"/>
        </w:rPr>
        <w:t xml:space="preserve">It is expected that APRA will make a general determination </w:t>
      </w:r>
      <w:r w:rsidR="00B234C9">
        <w:rPr>
          <w:color w:val="000000" w:themeColor="text1"/>
        </w:rPr>
        <w:t xml:space="preserve">that will be made </w:t>
      </w:r>
      <w:r w:rsidR="003407E9">
        <w:rPr>
          <w:color w:val="000000" w:themeColor="text1"/>
        </w:rPr>
        <w:t xml:space="preserve">publicly </w:t>
      </w:r>
      <w:r w:rsidR="00B234C9">
        <w:rPr>
          <w:color w:val="000000" w:themeColor="text1"/>
        </w:rPr>
        <w:t>available on the APRA website</w:t>
      </w:r>
      <w:r w:rsidR="003407E9">
        <w:rPr>
          <w:color w:val="000000" w:themeColor="text1"/>
        </w:rPr>
        <w:t xml:space="preserve"> and the Federal Register of Legislation</w:t>
      </w:r>
      <w:r w:rsidR="00B234C9">
        <w:rPr>
          <w:color w:val="000000" w:themeColor="text1"/>
        </w:rPr>
        <w:t>.</w:t>
      </w:r>
      <w:r w:rsidR="007435DF">
        <w:rPr>
          <w:color w:val="000000" w:themeColor="text1"/>
        </w:rPr>
        <w:t xml:space="preserve"> </w:t>
      </w:r>
      <w:r w:rsidR="00B96414">
        <w:rPr>
          <w:color w:val="000000" w:themeColor="text1"/>
        </w:rPr>
        <w:t xml:space="preserve">Despite this amendment, </w:t>
      </w:r>
      <w:r w:rsidR="007435DF">
        <w:rPr>
          <w:color w:val="000000" w:themeColor="text1"/>
        </w:rPr>
        <w:t xml:space="preserve">APRA retains the power </w:t>
      </w:r>
      <w:r w:rsidR="00B96414">
        <w:rPr>
          <w:color w:val="000000" w:themeColor="text1"/>
        </w:rPr>
        <w:t xml:space="preserve">provided for under the Principal Regulations </w:t>
      </w:r>
      <w:r w:rsidR="007435DF">
        <w:rPr>
          <w:color w:val="000000" w:themeColor="text1"/>
        </w:rPr>
        <w:t xml:space="preserve">to make a specific determination for intra-quarter data stitching. </w:t>
      </w:r>
      <w:r w:rsidR="0042705F">
        <w:rPr>
          <w:color w:val="000000" w:themeColor="text1"/>
        </w:rPr>
        <w:t xml:space="preserve">The amendments clarify that the formulas may be modified </w:t>
      </w:r>
      <w:r w:rsidR="00FF3D46">
        <w:rPr>
          <w:color w:val="000000" w:themeColor="text1"/>
        </w:rPr>
        <w:t>th</w:t>
      </w:r>
      <w:r w:rsidR="006A2EEE">
        <w:rPr>
          <w:color w:val="000000" w:themeColor="text1"/>
        </w:rPr>
        <w:t>r</w:t>
      </w:r>
      <w:r w:rsidR="00FF3D46">
        <w:rPr>
          <w:color w:val="000000" w:themeColor="text1"/>
        </w:rPr>
        <w:t xml:space="preserve">ough either the specific or general determination. </w:t>
      </w:r>
    </w:p>
    <w:p w14:paraId="71FECA41" w14:textId="1D6A51CC" w:rsidR="00794CF5" w:rsidRPr="00067075" w:rsidRDefault="00794CF5" w:rsidP="00794CF5">
      <w:pPr>
        <w:spacing w:before="0" w:after="0"/>
        <w:rPr>
          <w:b/>
          <w:bCs/>
          <w:i/>
          <w:iCs/>
          <w:color w:val="000000" w:themeColor="text1"/>
        </w:rPr>
      </w:pPr>
    </w:p>
    <w:p w14:paraId="3C22B5AC" w14:textId="64B64B41" w:rsidR="001A6AB9" w:rsidRPr="003848FB" w:rsidRDefault="001A6AB9" w:rsidP="001A6AB9">
      <w:pPr>
        <w:spacing w:before="0" w:after="0"/>
        <w:rPr>
          <w:b/>
          <w:bCs/>
          <w:i/>
          <w:iCs/>
          <w:color w:val="000000" w:themeColor="text1"/>
        </w:rPr>
      </w:pPr>
      <w:r w:rsidRPr="003848FB">
        <w:rPr>
          <w:b/>
          <w:bCs/>
          <w:i/>
          <w:iCs/>
          <w:color w:val="000000" w:themeColor="text1"/>
        </w:rPr>
        <w:t>Item</w:t>
      </w:r>
      <w:r w:rsidR="003737E2">
        <w:rPr>
          <w:b/>
          <w:bCs/>
          <w:i/>
          <w:iCs/>
          <w:color w:val="000000" w:themeColor="text1"/>
        </w:rPr>
        <w:t>s</w:t>
      </w:r>
      <w:r w:rsidR="001D05D6">
        <w:rPr>
          <w:b/>
          <w:bCs/>
          <w:i/>
          <w:iCs/>
          <w:color w:val="000000" w:themeColor="text1"/>
        </w:rPr>
        <w:t xml:space="preserve"> </w:t>
      </w:r>
      <w:r w:rsidR="38D29530" w:rsidRPr="44D8E51F">
        <w:rPr>
          <w:b/>
          <w:bCs/>
          <w:i/>
          <w:iCs/>
          <w:color w:val="000000" w:themeColor="text1"/>
        </w:rPr>
        <w:t>22</w:t>
      </w:r>
      <w:r w:rsidR="00250600" w:rsidRPr="44D8E51F">
        <w:rPr>
          <w:b/>
          <w:bCs/>
          <w:i/>
          <w:iCs/>
          <w:color w:val="000000" w:themeColor="text1"/>
        </w:rPr>
        <w:t xml:space="preserve">, </w:t>
      </w:r>
      <w:r w:rsidR="0F0FDBE4" w:rsidRPr="44D8E51F">
        <w:rPr>
          <w:b/>
          <w:bCs/>
          <w:i/>
          <w:iCs/>
          <w:color w:val="000000" w:themeColor="text1"/>
        </w:rPr>
        <w:t>28</w:t>
      </w:r>
      <w:r w:rsidR="001D05D6" w:rsidRPr="44D8E51F">
        <w:rPr>
          <w:b/>
          <w:bCs/>
          <w:i/>
          <w:iCs/>
          <w:color w:val="000000" w:themeColor="text1"/>
        </w:rPr>
        <w:t>,</w:t>
      </w:r>
      <w:r w:rsidR="00E40AE3" w:rsidRPr="44D8E51F">
        <w:rPr>
          <w:b/>
          <w:bCs/>
          <w:i/>
          <w:iCs/>
          <w:color w:val="000000" w:themeColor="text1"/>
        </w:rPr>
        <w:t xml:space="preserve"> </w:t>
      </w:r>
      <w:r w:rsidR="4941850E" w:rsidRPr="44D8E51F">
        <w:rPr>
          <w:b/>
          <w:bCs/>
          <w:i/>
          <w:iCs/>
          <w:color w:val="000000" w:themeColor="text1"/>
        </w:rPr>
        <w:t>33</w:t>
      </w:r>
      <w:r w:rsidR="00E40AE3" w:rsidRPr="44D8E51F">
        <w:rPr>
          <w:b/>
          <w:bCs/>
          <w:i/>
          <w:iCs/>
          <w:color w:val="000000" w:themeColor="text1"/>
        </w:rPr>
        <w:t xml:space="preserve">, </w:t>
      </w:r>
      <w:r w:rsidR="104862F5" w:rsidRPr="44D8E51F">
        <w:rPr>
          <w:b/>
          <w:bCs/>
          <w:i/>
          <w:iCs/>
          <w:color w:val="000000" w:themeColor="text1"/>
        </w:rPr>
        <w:t>42</w:t>
      </w:r>
      <w:r w:rsidR="00E40AE3">
        <w:rPr>
          <w:b/>
          <w:bCs/>
          <w:i/>
          <w:iCs/>
          <w:color w:val="000000" w:themeColor="text1"/>
        </w:rPr>
        <w:t xml:space="preserve">, </w:t>
      </w:r>
      <w:r w:rsidR="00D94BE5">
        <w:rPr>
          <w:b/>
          <w:bCs/>
          <w:i/>
          <w:iCs/>
          <w:color w:val="000000" w:themeColor="text1"/>
        </w:rPr>
        <w:t xml:space="preserve">and </w:t>
      </w:r>
      <w:r w:rsidR="25E87E9B" w:rsidRPr="44D8E51F">
        <w:rPr>
          <w:b/>
          <w:bCs/>
          <w:i/>
          <w:iCs/>
          <w:color w:val="000000" w:themeColor="text1"/>
        </w:rPr>
        <w:t>46</w:t>
      </w:r>
      <w:r w:rsidRPr="003848FB">
        <w:rPr>
          <w:b/>
          <w:bCs/>
          <w:i/>
          <w:iCs/>
          <w:color w:val="000000" w:themeColor="text1"/>
        </w:rPr>
        <w:t xml:space="preserve">– </w:t>
      </w:r>
      <w:r>
        <w:rPr>
          <w:b/>
          <w:bCs/>
          <w:i/>
          <w:iCs/>
          <w:color w:val="000000" w:themeColor="text1"/>
        </w:rPr>
        <w:t xml:space="preserve">Rounding rules </w:t>
      </w:r>
    </w:p>
    <w:p w14:paraId="1AA06DC4" w14:textId="77777777" w:rsidR="001A6AB9" w:rsidRDefault="001A6AB9" w:rsidP="001A6AB9">
      <w:pPr>
        <w:spacing w:before="0" w:after="0"/>
      </w:pPr>
    </w:p>
    <w:p w14:paraId="70CB23A0" w14:textId="2ABB6EA3" w:rsidR="001A6AB9" w:rsidRDefault="00E40AE3" w:rsidP="001E599D">
      <w:pPr>
        <w:spacing w:before="0" w:after="0"/>
      </w:pPr>
      <w:r w:rsidRPr="00E40AE3">
        <w:t xml:space="preserve">Items </w:t>
      </w:r>
      <w:r w:rsidR="30336DBF">
        <w:t>22</w:t>
      </w:r>
      <w:r w:rsidR="00250600">
        <w:t xml:space="preserve">, </w:t>
      </w:r>
      <w:r w:rsidR="29DF128C">
        <w:t>28</w:t>
      </w:r>
      <w:r>
        <w:t xml:space="preserve">, </w:t>
      </w:r>
      <w:r w:rsidR="2FD3B1FF">
        <w:t>33</w:t>
      </w:r>
      <w:r>
        <w:t xml:space="preserve">, </w:t>
      </w:r>
      <w:r w:rsidR="22D3BB41">
        <w:t>42</w:t>
      </w:r>
      <w:r w:rsidR="00FA52C4">
        <w:t xml:space="preserve"> and</w:t>
      </w:r>
      <w:r w:rsidRPr="00E40AE3">
        <w:t xml:space="preserve"> </w:t>
      </w:r>
      <w:r w:rsidR="3511555A">
        <w:t>46</w:t>
      </w:r>
      <w:r w:rsidRPr="00E40AE3">
        <w:t xml:space="preserve"> </w:t>
      </w:r>
      <w:r w:rsidR="005F43D4">
        <w:t xml:space="preserve">update the rounding rules in Part 9AB of the Principal Regulations to ensure greater certainty and consistency. Certain calculation outputs must now be rounded to 10 decimal places instead of 4 decimal places. </w:t>
      </w:r>
      <w:r w:rsidR="005F43D4" w:rsidRPr="005F43D4">
        <w:t xml:space="preserve">For certain calculation </w:t>
      </w:r>
      <w:r w:rsidR="005F43D4">
        <w:t>output</w:t>
      </w:r>
      <w:r w:rsidR="003CB590">
        <w:t>s</w:t>
      </w:r>
      <w:r w:rsidR="005F43D4" w:rsidRPr="005F43D4">
        <w:t xml:space="preserve"> that </w:t>
      </w:r>
      <w:r w:rsidR="611EBA11">
        <w:t>are</w:t>
      </w:r>
      <w:r w:rsidR="005F43D4" w:rsidRPr="005F43D4">
        <w:t xml:space="preserve"> </w:t>
      </w:r>
      <w:r w:rsidR="009B67B0">
        <w:t>eleven</w:t>
      </w:r>
      <w:r w:rsidR="005F43D4" w:rsidRPr="005F43D4">
        <w:t xml:space="preserve"> or more decimal places, the output should be rounded to </w:t>
      </w:r>
      <w:r w:rsidR="005F43D4">
        <w:t>10</w:t>
      </w:r>
      <w:r w:rsidR="005F43D4" w:rsidRPr="005F43D4">
        <w:t xml:space="preserve"> decimal places. This should be done by rounding up if the </w:t>
      </w:r>
      <w:r w:rsidR="009B67B0">
        <w:t>eleventh</w:t>
      </w:r>
      <w:r w:rsidR="005F43D4" w:rsidRPr="005F43D4">
        <w:t xml:space="preserve"> decimal place is a 5 or higher, or down if the </w:t>
      </w:r>
      <w:r w:rsidR="00345167">
        <w:t>eleventh</w:t>
      </w:r>
      <w:r w:rsidR="00345167" w:rsidRPr="005F43D4">
        <w:t xml:space="preserve"> </w:t>
      </w:r>
      <w:r w:rsidR="005F43D4" w:rsidRPr="005F43D4">
        <w:t xml:space="preserve">decimal place is a 4 or lower. Where calculation output is </w:t>
      </w:r>
      <w:r w:rsidR="005F43D4">
        <w:t>10</w:t>
      </w:r>
      <w:r w:rsidR="005F43D4" w:rsidRPr="005F43D4">
        <w:t xml:space="preserve"> decimal places or lower, generally the rounding rules do not apply and the value should be inputted into the formula in full. </w:t>
      </w:r>
    </w:p>
    <w:p w14:paraId="77086550" w14:textId="02786142" w:rsidR="001A6AB9" w:rsidRDefault="001A6AB9" w:rsidP="001E599D">
      <w:pPr>
        <w:spacing w:before="0" w:after="0"/>
      </w:pPr>
    </w:p>
    <w:p w14:paraId="7E8CA833" w14:textId="6E28CA42" w:rsidR="003B14A9" w:rsidRDefault="00E605F2" w:rsidP="008C00C7">
      <w:pPr>
        <w:spacing w:before="0" w:after="0"/>
        <w:rPr>
          <w:b/>
          <w:bCs/>
          <w:i/>
          <w:iCs/>
          <w:color w:val="000000" w:themeColor="text1"/>
        </w:rPr>
      </w:pPr>
      <w:r>
        <w:rPr>
          <w:b/>
          <w:bCs/>
          <w:i/>
          <w:iCs/>
          <w:color w:val="000000" w:themeColor="text1"/>
        </w:rPr>
        <w:t>Item</w:t>
      </w:r>
      <w:r w:rsidR="00CC5C61">
        <w:rPr>
          <w:b/>
          <w:bCs/>
          <w:i/>
          <w:iCs/>
          <w:color w:val="000000" w:themeColor="text1"/>
        </w:rPr>
        <w:t>s</w:t>
      </w:r>
      <w:r>
        <w:rPr>
          <w:b/>
          <w:bCs/>
          <w:i/>
          <w:iCs/>
          <w:color w:val="000000" w:themeColor="text1"/>
        </w:rPr>
        <w:t xml:space="preserve"> </w:t>
      </w:r>
      <w:r w:rsidR="423C3B3C" w:rsidRPr="250CE7E6">
        <w:rPr>
          <w:b/>
          <w:bCs/>
          <w:i/>
          <w:iCs/>
          <w:color w:val="000000" w:themeColor="text1"/>
        </w:rPr>
        <w:t>9</w:t>
      </w:r>
      <w:r w:rsidR="6E746063" w:rsidRPr="250CE7E6">
        <w:rPr>
          <w:b/>
          <w:bCs/>
          <w:i/>
          <w:iCs/>
          <w:color w:val="000000" w:themeColor="text1"/>
        </w:rPr>
        <w:t xml:space="preserve">, </w:t>
      </w:r>
      <w:r w:rsidR="0A930229" w:rsidRPr="250CE7E6">
        <w:rPr>
          <w:b/>
          <w:bCs/>
          <w:i/>
          <w:iCs/>
          <w:color w:val="000000" w:themeColor="text1"/>
        </w:rPr>
        <w:t>61</w:t>
      </w:r>
      <w:r w:rsidR="00CD6CD5" w:rsidRPr="250CE7E6">
        <w:rPr>
          <w:b/>
          <w:bCs/>
          <w:i/>
          <w:iCs/>
          <w:color w:val="000000" w:themeColor="text1"/>
        </w:rPr>
        <w:t xml:space="preserve">, </w:t>
      </w:r>
      <w:r w:rsidR="46774631" w:rsidRPr="250CE7E6">
        <w:rPr>
          <w:b/>
          <w:bCs/>
          <w:i/>
          <w:iCs/>
          <w:color w:val="000000" w:themeColor="text1"/>
        </w:rPr>
        <w:t>62</w:t>
      </w:r>
      <w:r w:rsidR="00CD6CD5" w:rsidRPr="250CE7E6">
        <w:rPr>
          <w:b/>
          <w:bCs/>
          <w:i/>
          <w:iCs/>
          <w:color w:val="000000" w:themeColor="text1"/>
        </w:rPr>
        <w:t xml:space="preserve">, </w:t>
      </w:r>
      <w:r w:rsidR="368FB380" w:rsidRPr="250CE7E6">
        <w:rPr>
          <w:b/>
          <w:bCs/>
          <w:i/>
          <w:iCs/>
          <w:color w:val="000000" w:themeColor="text1"/>
        </w:rPr>
        <w:t>63</w:t>
      </w:r>
      <w:r w:rsidR="00CD6CD5">
        <w:rPr>
          <w:b/>
          <w:bCs/>
          <w:i/>
          <w:iCs/>
          <w:color w:val="000000" w:themeColor="text1"/>
        </w:rPr>
        <w:t xml:space="preserve"> </w:t>
      </w:r>
      <w:r w:rsidR="00CD6CD5" w:rsidRPr="00CD6CD5">
        <w:rPr>
          <w:b/>
          <w:bCs/>
          <w:i/>
          <w:iCs/>
          <w:color w:val="000000" w:themeColor="text1"/>
        </w:rPr>
        <w:t xml:space="preserve">and </w:t>
      </w:r>
      <w:r w:rsidR="114CFC18" w:rsidRPr="250CE7E6">
        <w:rPr>
          <w:b/>
          <w:bCs/>
          <w:i/>
          <w:iCs/>
          <w:color w:val="000000" w:themeColor="text1"/>
        </w:rPr>
        <w:t>64</w:t>
      </w:r>
      <w:r>
        <w:rPr>
          <w:b/>
          <w:bCs/>
          <w:i/>
          <w:iCs/>
          <w:color w:val="000000" w:themeColor="text1"/>
        </w:rPr>
        <w:t xml:space="preserve">  </w:t>
      </w:r>
      <w:r w:rsidR="003B14A9">
        <w:rPr>
          <w:b/>
          <w:bCs/>
          <w:i/>
          <w:iCs/>
          <w:color w:val="000000" w:themeColor="text1"/>
        </w:rPr>
        <w:t xml:space="preserve">– Fee ranking formula </w:t>
      </w:r>
      <w:r w:rsidR="00E23B0A">
        <w:rPr>
          <w:b/>
          <w:bCs/>
          <w:i/>
          <w:iCs/>
          <w:color w:val="000000" w:themeColor="text1"/>
        </w:rPr>
        <w:t xml:space="preserve">to support implementation of </w:t>
      </w:r>
      <w:proofErr w:type="spellStart"/>
      <w:r w:rsidR="00E23B0A">
        <w:rPr>
          <w:b/>
          <w:bCs/>
          <w:i/>
          <w:iCs/>
          <w:color w:val="000000" w:themeColor="text1"/>
        </w:rPr>
        <w:t>YourSuper</w:t>
      </w:r>
      <w:proofErr w:type="spellEnd"/>
      <w:r w:rsidR="00E23B0A">
        <w:rPr>
          <w:b/>
          <w:bCs/>
          <w:i/>
          <w:iCs/>
          <w:color w:val="000000" w:themeColor="text1"/>
        </w:rPr>
        <w:t xml:space="preserve"> </w:t>
      </w:r>
      <w:r w:rsidR="00337058">
        <w:rPr>
          <w:b/>
          <w:bCs/>
          <w:i/>
          <w:iCs/>
          <w:color w:val="000000" w:themeColor="text1"/>
        </w:rPr>
        <w:t>c</w:t>
      </w:r>
      <w:r w:rsidR="00E23B0A">
        <w:rPr>
          <w:b/>
          <w:bCs/>
          <w:i/>
          <w:iCs/>
          <w:color w:val="000000" w:themeColor="text1"/>
        </w:rPr>
        <w:t>omparison tool</w:t>
      </w:r>
    </w:p>
    <w:p w14:paraId="5D7109FF" w14:textId="77777777" w:rsidR="00E23B0A" w:rsidRDefault="00E23B0A" w:rsidP="008C00C7">
      <w:pPr>
        <w:spacing w:before="0" w:after="0"/>
        <w:rPr>
          <w:b/>
          <w:bCs/>
          <w:i/>
          <w:iCs/>
          <w:color w:val="000000" w:themeColor="text1"/>
        </w:rPr>
      </w:pPr>
    </w:p>
    <w:p w14:paraId="3E6CBE44" w14:textId="568B0D9B" w:rsidR="009A5CF6" w:rsidRDefault="00857AF4" w:rsidP="008C00C7">
      <w:pPr>
        <w:spacing w:before="0" w:after="0"/>
        <w:rPr>
          <w:color w:val="000000" w:themeColor="text1"/>
        </w:rPr>
      </w:pPr>
      <w:r>
        <w:rPr>
          <w:color w:val="000000" w:themeColor="text1"/>
        </w:rPr>
        <w:t>Division 9AB.</w:t>
      </w:r>
      <w:r w:rsidR="00974483">
        <w:rPr>
          <w:color w:val="000000" w:themeColor="text1"/>
        </w:rPr>
        <w:t>2</w:t>
      </w:r>
      <w:r>
        <w:rPr>
          <w:color w:val="000000" w:themeColor="text1"/>
        </w:rPr>
        <w:t>3 of the Principal R</w:t>
      </w:r>
      <w:r w:rsidR="0023643C">
        <w:rPr>
          <w:color w:val="000000" w:themeColor="text1"/>
        </w:rPr>
        <w:t xml:space="preserve">egulations specify formulas and method by which Part 6A products can be comparatively ranked. </w:t>
      </w:r>
      <w:r w:rsidR="002F351D">
        <w:rPr>
          <w:color w:val="000000" w:themeColor="text1"/>
        </w:rPr>
        <w:t>Part 6A products are ranked according to two methods: by net returns and</w:t>
      </w:r>
      <w:r w:rsidR="008678FF">
        <w:rPr>
          <w:color w:val="000000" w:themeColor="text1"/>
        </w:rPr>
        <w:t xml:space="preserve"> </w:t>
      </w:r>
      <w:r w:rsidR="002F351D">
        <w:rPr>
          <w:color w:val="000000" w:themeColor="text1"/>
        </w:rPr>
        <w:t>by total annual fees</w:t>
      </w:r>
      <w:r w:rsidR="008678FF">
        <w:rPr>
          <w:color w:val="000000" w:themeColor="text1"/>
        </w:rPr>
        <w:t>.</w:t>
      </w:r>
      <w:r w:rsidR="002F351D">
        <w:rPr>
          <w:color w:val="000000" w:themeColor="text1"/>
        </w:rPr>
        <w:t xml:space="preserve"> </w:t>
      </w:r>
      <w:r w:rsidR="007F7437">
        <w:rPr>
          <w:color w:val="000000" w:themeColor="text1"/>
        </w:rPr>
        <w:t xml:space="preserve">These rankings are published on the </w:t>
      </w:r>
      <w:proofErr w:type="spellStart"/>
      <w:r w:rsidR="007F7437">
        <w:rPr>
          <w:color w:val="000000" w:themeColor="text1"/>
        </w:rPr>
        <w:t>YourSuper</w:t>
      </w:r>
      <w:proofErr w:type="spellEnd"/>
      <w:r w:rsidR="007F7437">
        <w:rPr>
          <w:color w:val="000000" w:themeColor="text1"/>
        </w:rPr>
        <w:t xml:space="preserve"> comparison tool – the interactive website maintained by the Commissioner of Taxation. </w:t>
      </w:r>
    </w:p>
    <w:p w14:paraId="6EB7F973" w14:textId="77777777" w:rsidR="009A5CF6" w:rsidRDefault="009A5CF6" w:rsidP="008C00C7">
      <w:pPr>
        <w:spacing w:before="0" w:after="0"/>
        <w:rPr>
          <w:color w:val="000000" w:themeColor="text1"/>
        </w:rPr>
      </w:pPr>
    </w:p>
    <w:p w14:paraId="414761F0" w14:textId="608E0381" w:rsidR="00ED3CAF" w:rsidRDefault="009F7FB9" w:rsidP="008C00C7">
      <w:pPr>
        <w:spacing w:before="0" w:after="0"/>
        <w:rPr>
          <w:color w:val="000000" w:themeColor="text1"/>
        </w:rPr>
      </w:pPr>
      <w:r w:rsidRPr="6D5C4A3C">
        <w:rPr>
          <w:color w:val="000000" w:themeColor="text1"/>
        </w:rPr>
        <w:t>Item</w:t>
      </w:r>
      <w:r w:rsidR="00A770A6">
        <w:rPr>
          <w:color w:val="000000" w:themeColor="text1"/>
        </w:rPr>
        <w:t>s</w:t>
      </w:r>
      <w:r w:rsidRPr="6D5C4A3C">
        <w:rPr>
          <w:color w:val="000000" w:themeColor="text1"/>
        </w:rPr>
        <w:t xml:space="preserve"> </w:t>
      </w:r>
      <w:r w:rsidR="4A5C0F51" w:rsidRPr="250CE7E6">
        <w:rPr>
          <w:color w:val="000000" w:themeColor="text1"/>
        </w:rPr>
        <w:t>61</w:t>
      </w:r>
      <w:r w:rsidR="00CD6CD5" w:rsidRPr="250CE7E6">
        <w:rPr>
          <w:rStyle w:val="normaltextrun"/>
          <w:color w:val="000000" w:themeColor="text1"/>
        </w:rPr>
        <w:t xml:space="preserve">, </w:t>
      </w:r>
      <w:r w:rsidR="49A403CC" w:rsidRPr="250CE7E6">
        <w:rPr>
          <w:rStyle w:val="normaltextrun"/>
          <w:color w:val="000000" w:themeColor="text1"/>
        </w:rPr>
        <w:t>62</w:t>
      </w:r>
      <w:r w:rsidR="00CD6CD5" w:rsidRPr="6D5C4A3C">
        <w:rPr>
          <w:rStyle w:val="normaltextrun"/>
          <w:color w:val="000000" w:themeColor="text1"/>
        </w:rPr>
        <w:t xml:space="preserve"> and </w:t>
      </w:r>
      <w:r w:rsidR="7EDBA9C3" w:rsidRPr="250CE7E6">
        <w:rPr>
          <w:rStyle w:val="normaltextrun"/>
          <w:color w:val="000000" w:themeColor="text1"/>
        </w:rPr>
        <w:t>64</w:t>
      </w:r>
      <w:r w:rsidR="00CD6CD5" w:rsidRPr="6D5C4A3C">
        <w:rPr>
          <w:rStyle w:val="normaltextrun"/>
          <w:color w:val="000000" w:themeColor="text1"/>
        </w:rPr>
        <w:t xml:space="preserve"> </w:t>
      </w:r>
      <w:r w:rsidR="00F64E74" w:rsidRPr="6D5C4A3C">
        <w:rPr>
          <w:color w:val="000000" w:themeColor="text1"/>
        </w:rPr>
        <w:t>amend</w:t>
      </w:r>
      <w:r w:rsidR="00D975E2" w:rsidRPr="6D5C4A3C">
        <w:rPr>
          <w:color w:val="000000" w:themeColor="text1"/>
        </w:rPr>
        <w:t xml:space="preserve"> </w:t>
      </w:r>
      <w:r w:rsidR="0076190C">
        <w:rPr>
          <w:color w:val="000000" w:themeColor="text1"/>
        </w:rPr>
        <w:t xml:space="preserve">regulation </w:t>
      </w:r>
      <w:r w:rsidR="00F64E74" w:rsidRPr="6D5C4A3C">
        <w:rPr>
          <w:color w:val="000000" w:themeColor="text1"/>
        </w:rPr>
        <w:t xml:space="preserve">9AB.24 of the Principal Regulations </w:t>
      </w:r>
      <w:r w:rsidR="001B18E9" w:rsidRPr="6D5C4A3C">
        <w:rPr>
          <w:color w:val="000000" w:themeColor="text1"/>
        </w:rPr>
        <w:t xml:space="preserve">to ensure that products can continue to be ranked by total annual fees </w:t>
      </w:r>
      <w:r w:rsidR="00581DEC" w:rsidRPr="6D5C4A3C">
        <w:rPr>
          <w:color w:val="000000" w:themeColor="text1"/>
        </w:rPr>
        <w:t>after changes to APRA’s data collection</w:t>
      </w:r>
      <w:r w:rsidR="00D0431A" w:rsidRPr="6D5C4A3C">
        <w:rPr>
          <w:color w:val="000000" w:themeColor="text1"/>
        </w:rPr>
        <w:t xml:space="preserve"> </w:t>
      </w:r>
      <w:r w:rsidR="001D62D0" w:rsidRPr="6D5C4A3C">
        <w:rPr>
          <w:color w:val="000000" w:themeColor="text1"/>
        </w:rPr>
        <w:t xml:space="preserve">to reflect </w:t>
      </w:r>
      <w:r w:rsidR="00D0431A" w:rsidRPr="6D5C4A3C">
        <w:rPr>
          <w:color w:val="000000" w:themeColor="text1"/>
        </w:rPr>
        <w:t xml:space="preserve">ASIC </w:t>
      </w:r>
      <w:r w:rsidR="008516F5" w:rsidRPr="6D5C4A3C">
        <w:rPr>
          <w:color w:val="000000" w:themeColor="text1"/>
        </w:rPr>
        <w:t>Regulatory</w:t>
      </w:r>
      <w:r w:rsidR="00D0431A" w:rsidRPr="6D5C4A3C">
        <w:rPr>
          <w:color w:val="000000" w:themeColor="text1"/>
        </w:rPr>
        <w:t xml:space="preserve"> Guides</w:t>
      </w:r>
      <w:r w:rsidR="00581DEC" w:rsidRPr="6D5C4A3C">
        <w:rPr>
          <w:color w:val="000000" w:themeColor="text1"/>
        </w:rPr>
        <w:t>.</w:t>
      </w:r>
      <w:r w:rsidR="00030E81" w:rsidRPr="6D5C4A3C">
        <w:rPr>
          <w:color w:val="000000" w:themeColor="text1"/>
        </w:rPr>
        <w:t xml:space="preserve"> The updated fee ranking formula takes into account </w:t>
      </w:r>
      <w:r w:rsidR="004521E3">
        <w:rPr>
          <w:color w:val="000000" w:themeColor="text1"/>
        </w:rPr>
        <w:t xml:space="preserve">‘applicable cost amount’ </w:t>
      </w:r>
      <w:r w:rsidR="00686616">
        <w:rPr>
          <w:color w:val="000000" w:themeColor="text1"/>
        </w:rPr>
        <w:t xml:space="preserve">which </w:t>
      </w:r>
      <w:r w:rsidR="004A746B">
        <w:rPr>
          <w:color w:val="000000" w:themeColor="text1"/>
        </w:rPr>
        <w:t xml:space="preserve">means either </w:t>
      </w:r>
      <w:r w:rsidR="00DF0126">
        <w:rPr>
          <w:color w:val="000000" w:themeColor="text1"/>
        </w:rPr>
        <w:t xml:space="preserve">the Part 6A products </w:t>
      </w:r>
      <w:r w:rsidR="00030E81" w:rsidRPr="6D5C4A3C">
        <w:rPr>
          <w:color w:val="000000" w:themeColor="text1"/>
        </w:rPr>
        <w:t xml:space="preserve">applicable transaction costs, </w:t>
      </w:r>
      <w:r w:rsidR="004A746B">
        <w:rPr>
          <w:color w:val="000000" w:themeColor="text1"/>
        </w:rPr>
        <w:t>or</w:t>
      </w:r>
      <w:r w:rsidR="004A746B" w:rsidRPr="6D5C4A3C">
        <w:rPr>
          <w:color w:val="000000" w:themeColor="text1"/>
        </w:rPr>
        <w:t xml:space="preserve"> </w:t>
      </w:r>
      <w:r w:rsidR="00DF0126">
        <w:rPr>
          <w:color w:val="000000" w:themeColor="text1"/>
        </w:rPr>
        <w:t xml:space="preserve">applicable </w:t>
      </w:r>
      <w:r w:rsidR="00030E81" w:rsidRPr="6D5C4A3C">
        <w:rPr>
          <w:color w:val="000000" w:themeColor="text1"/>
        </w:rPr>
        <w:t>indirect cost ratio</w:t>
      </w:r>
      <w:r w:rsidR="00585CB4">
        <w:rPr>
          <w:color w:val="000000" w:themeColor="text1"/>
        </w:rPr>
        <w:t>.</w:t>
      </w:r>
      <w:r w:rsidR="00030E81" w:rsidRPr="6D5C4A3C">
        <w:rPr>
          <w:color w:val="000000" w:themeColor="text1"/>
        </w:rPr>
        <w:t xml:space="preserve"> </w:t>
      </w:r>
      <w:r w:rsidR="00DF0126">
        <w:rPr>
          <w:color w:val="000000" w:themeColor="text1"/>
        </w:rPr>
        <w:t>T</w:t>
      </w:r>
      <w:r w:rsidR="00585CB4">
        <w:rPr>
          <w:color w:val="000000" w:themeColor="text1"/>
        </w:rPr>
        <w:t xml:space="preserve">ransactions costs </w:t>
      </w:r>
      <w:r w:rsidR="00535769">
        <w:rPr>
          <w:color w:val="000000" w:themeColor="text1"/>
        </w:rPr>
        <w:t xml:space="preserve">and indirect costs ratio are </w:t>
      </w:r>
      <w:r w:rsidR="00030E81" w:rsidRPr="6D5C4A3C">
        <w:rPr>
          <w:color w:val="000000" w:themeColor="text1"/>
        </w:rPr>
        <w:t>both relevant to the calculation of total annual fees</w:t>
      </w:r>
      <w:r w:rsidR="00535769">
        <w:rPr>
          <w:color w:val="000000" w:themeColor="text1"/>
        </w:rPr>
        <w:t xml:space="preserve"> and either can be reported </w:t>
      </w:r>
      <w:r w:rsidR="00DD2B67">
        <w:rPr>
          <w:color w:val="000000" w:themeColor="text1"/>
        </w:rPr>
        <w:t>to APRA</w:t>
      </w:r>
      <w:r w:rsidR="00030E81" w:rsidRPr="6D5C4A3C">
        <w:rPr>
          <w:color w:val="000000" w:themeColor="text1"/>
        </w:rPr>
        <w:t>.</w:t>
      </w:r>
      <w:r w:rsidR="00E75FF3" w:rsidRPr="6D5C4A3C">
        <w:rPr>
          <w:color w:val="000000" w:themeColor="text1"/>
        </w:rPr>
        <w:t xml:space="preserve"> </w:t>
      </w:r>
      <w:r w:rsidR="00ED3CAF" w:rsidRPr="6D5C4A3C">
        <w:rPr>
          <w:color w:val="000000" w:themeColor="text1"/>
        </w:rPr>
        <w:t xml:space="preserve">Where ‘applicable transaction costs’ are reported, this should replace ‘indirect cost ratio’ in the fee ranking formula. This will ensure the formula is appropriate for products whether they report fees based on the 2017 version of ASIC Regulatory Guide RG 97, or the newer 2020 version of ASIC Regulatory Guide RG 97. </w:t>
      </w:r>
    </w:p>
    <w:p w14:paraId="3E0EF9A7" w14:textId="77777777" w:rsidR="00ED3CAF" w:rsidRDefault="00ED3CAF" w:rsidP="008C00C7">
      <w:pPr>
        <w:spacing w:before="0" w:after="0"/>
        <w:rPr>
          <w:color w:val="000000" w:themeColor="text1"/>
        </w:rPr>
      </w:pPr>
    </w:p>
    <w:p w14:paraId="53CEBAC7" w14:textId="07619A2D" w:rsidR="002262CC" w:rsidRDefault="00DA081A" w:rsidP="008C00C7">
      <w:pPr>
        <w:spacing w:before="0" w:after="0"/>
        <w:rPr>
          <w:color w:val="000000" w:themeColor="text1"/>
        </w:rPr>
      </w:pPr>
      <w:proofErr w:type="spellStart"/>
      <w:r w:rsidRPr="6D5C4A3C">
        <w:rPr>
          <w:color w:val="000000" w:themeColor="text1"/>
        </w:rPr>
        <w:t>Subregulation</w:t>
      </w:r>
      <w:proofErr w:type="spellEnd"/>
      <w:r w:rsidRPr="6D5C4A3C">
        <w:rPr>
          <w:color w:val="000000" w:themeColor="text1"/>
        </w:rPr>
        <w:t xml:space="preserve"> 9.AB.24(</w:t>
      </w:r>
      <w:r w:rsidR="5376E5BC" w:rsidRPr="5C21810C">
        <w:rPr>
          <w:color w:val="000000" w:themeColor="text1"/>
        </w:rPr>
        <w:t>4</w:t>
      </w:r>
      <w:r w:rsidRPr="6D5C4A3C">
        <w:rPr>
          <w:color w:val="000000" w:themeColor="text1"/>
        </w:rPr>
        <w:t xml:space="preserve">) </w:t>
      </w:r>
      <w:r w:rsidR="00255878">
        <w:rPr>
          <w:color w:val="000000" w:themeColor="text1"/>
        </w:rPr>
        <w:t>provides</w:t>
      </w:r>
      <w:r w:rsidR="00255878" w:rsidRPr="6D5C4A3C">
        <w:rPr>
          <w:color w:val="000000" w:themeColor="text1"/>
        </w:rPr>
        <w:t xml:space="preserve"> </w:t>
      </w:r>
      <w:r w:rsidR="00E033AC" w:rsidRPr="6D5C4A3C">
        <w:rPr>
          <w:color w:val="000000" w:themeColor="text1"/>
        </w:rPr>
        <w:t xml:space="preserve">the method for calculating the ‘applicable transaction costs’ for the purposes of </w:t>
      </w:r>
      <w:r w:rsidR="00224FDD">
        <w:rPr>
          <w:color w:val="000000" w:themeColor="text1"/>
        </w:rPr>
        <w:t xml:space="preserve">the fee ranking formula </w:t>
      </w:r>
      <w:r w:rsidR="003C2657">
        <w:rPr>
          <w:color w:val="000000" w:themeColor="text1"/>
        </w:rPr>
        <w:t xml:space="preserve">in </w:t>
      </w:r>
      <w:proofErr w:type="spellStart"/>
      <w:r w:rsidR="00E033AC" w:rsidRPr="6D5C4A3C">
        <w:rPr>
          <w:color w:val="000000" w:themeColor="text1"/>
        </w:rPr>
        <w:t>subregulation</w:t>
      </w:r>
      <w:proofErr w:type="spellEnd"/>
      <w:r w:rsidR="00E033AC" w:rsidRPr="6D5C4A3C">
        <w:rPr>
          <w:color w:val="000000" w:themeColor="text1"/>
        </w:rPr>
        <w:t xml:space="preserve"> 9.AB.24(1). </w:t>
      </w:r>
    </w:p>
    <w:p w14:paraId="7062FC1D" w14:textId="77777777" w:rsidR="002262CC" w:rsidRDefault="002262CC" w:rsidP="008C00C7">
      <w:pPr>
        <w:spacing w:before="0" w:after="0"/>
        <w:rPr>
          <w:color w:val="000000" w:themeColor="text1"/>
        </w:rPr>
      </w:pPr>
    </w:p>
    <w:p w14:paraId="0CECB4FE" w14:textId="0229BBB2" w:rsidR="00DA081A" w:rsidRDefault="49A33427" w:rsidP="008C00C7">
      <w:pPr>
        <w:spacing w:before="0" w:after="0"/>
        <w:rPr>
          <w:color w:val="000000" w:themeColor="text1"/>
        </w:rPr>
      </w:pPr>
      <w:r w:rsidRPr="1066B354">
        <w:rPr>
          <w:color w:val="000000" w:themeColor="text1"/>
        </w:rPr>
        <w:t xml:space="preserve">Item </w:t>
      </w:r>
      <w:r w:rsidR="5EE0C046" w:rsidRPr="250CE7E6">
        <w:rPr>
          <w:color w:val="000000" w:themeColor="text1"/>
        </w:rPr>
        <w:t>9</w:t>
      </w:r>
      <w:r w:rsidRPr="1066B354">
        <w:rPr>
          <w:color w:val="000000" w:themeColor="text1"/>
        </w:rPr>
        <w:t xml:space="preserve"> inserts definitions for </w:t>
      </w:r>
      <w:r w:rsidR="00407BD7">
        <w:rPr>
          <w:color w:val="000000" w:themeColor="text1"/>
        </w:rPr>
        <w:t>‘</w:t>
      </w:r>
      <w:r w:rsidRPr="35F55217">
        <w:rPr>
          <w:color w:val="000000" w:themeColor="text1"/>
        </w:rPr>
        <w:t>transaction costs cap</w:t>
      </w:r>
      <w:r w:rsidR="00407BD7">
        <w:rPr>
          <w:color w:val="000000" w:themeColor="text1"/>
        </w:rPr>
        <w:t>’</w:t>
      </w:r>
      <w:r w:rsidRPr="35F55217">
        <w:rPr>
          <w:color w:val="000000" w:themeColor="text1"/>
        </w:rPr>
        <w:t>,</w:t>
      </w:r>
      <w:r w:rsidRPr="72433863">
        <w:rPr>
          <w:color w:val="000000" w:themeColor="text1"/>
        </w:rPr>
        <w:t xml:space="preserve"> </w:t>
      </w:r>
      <w:r w:rsidR="00407BD7">
        <w:rPr>
          <w:color w:val="000000" w:themeColor="text1"/>
        </w:rPr>
        <w:t>‘</w:t>
      </w:r>
      <w:r w:rsidRPr="72433863">
        <w:rPr>
          <w:color w:val="000000" w:themeColor="text1"/>
        </w:rPr>
        <w:t xml:space="preserve">transactions </w:t>
      </w:r>
      <w:r w:rsidRPr="734049A2">
        <w:rPr>
          <w:color w:val="000000" w:themeColor="text1"/>
        </w:rPr>
        <w:t>costs flat amount</w:t>
      </w:r>
      <w:r w:rsidR="00407BD7">
        <w:rPr>
          <w:color w:val="000000" w:themeColor="text1"/>
        </w:rPr>
        <w:t>’</w:t>
      </w:r>
      <w:r w:rsidRPr="734049A2">
        <w:rPr>
          <w:color w:val="000000" w:themeColor="text1"/>
        </w:rPr>
        <w:t xml:space="preserve"> and </w:t>
      </w:r>
      <w:r w:rsidR="00407BD7">
        <w:rPr>
          <w:color w:val="000000" w:themeColor="text1"/>
        </w:rPr>
        <w:t>‘</w:t>
      </w:r>
      <w:r w:rsidRPr="1F15BEF4">
        <w:rPr>
          <w:color w:val="000000" w:themeColor="text1"/>
        </w:rPr>
        <w:t>transaction costs percentage</w:t>
      </w:r>
      <w:r w:rsidR="00407BD7">
        <w:rPr>
          <w:color w:val="000000" w:themeColor="text1"/>
        </w:rPr>
        <w:t>’</w:t>
      </w:r>
      <w:r w:rsidRPr="33316C2E">
        <w:rPr>
          <w:color w:val="000000" w:themeColor="text1"/>
        </w:rPr>
        <w:t xml:space="preserve"> </w:t>
      </w:r>
      <w:r w:rsidRPr="7906B36F">
        <w:rPr>
          <w:color w:val="000000" w:themeColor="text1"/>
        </w:rPr>
        <w:t>that are necessary</w:t>
      </w:r>
      <w:r w:rsidRPr="2EA19039">
        <w:rPr>
          <w:color w:val="000000" w:themeColor="text1"/>
        </w:rPr>
        <w:t xml:space="preserve"> </w:t>
      </w:r>
      <w:r w:rsidRPr="3FAADF7E">
        <w:rPr>
          <w:color w:val="000000" w:themeColor="text1"/>
        </w:rPr>
        <w:t xml:space="preserve">for calculating </w:t>
      </w:r>
      <w:r w:rsidRPr="3DFF350C">
        <w:rPr>
          <w:color w:val="000000" w:themeColor="text1"/>
        </w:rPr>
        <w:t xml:space="preserve">the ‘applicable </w:t>
      </w:r>
      <w:r w:rsidRPr="492B5007">
        <w:rPr>
          <w:color w:val="000000" w:themeColor="text1"/>
        </w:rPr>
        <w:t>transaction</w:t>
      </w:r>
      <w:r w:rsidRPr="1A682816">
        <w:rPr>
          <w:color w:val="000000" w:themeColor="text1"/>
        </w:rPr>
        <w:t xml:space="preserve"> costs’. </w:t>
      </w:r>
      <w:r w:rsidR="008C5815">
        <w:rPr>
          <w:color w:val="000000" w:themeColor="text1"/>
        </w:rPr>
        <w:t>The definition clarifies that this informati</w:t>
      </w:r>
      <w:r w:rsidR="008951EA">
        <w:rPr>
          <w:color w:val="000000" w:themeColor="text1"/>
        </w:rPr>
        <w:t xml:space="preserve">on </w:t>
      </w:r>
      <w:r w:rsidR="00BA0C16">
        <w:rPr>
          <w:color w:val="000000" w:themeColor="text1"/>
        </w:rPr>
        <w:t xml:space="preserve">corresponds to information </w:t>
      </w:r>
      <w:r w:rsidR="003D18F2">
        <w:rPr>
          <w:color w:val="000000" w:themeColor="text1"/>
        </w:rPr>
        <w:t xml:space="preserve">reported to APRA </w:t>
      </w:r>
      <w:r w:rsidR="00A83C64">
        <w:rPr>
          <w:color w:val="000000" w:themeColor="text1"/>
        </w:rPr>
        <w:t>in accordance with the fees standard.</w:t>
      </w:r>
    </w:p>
    <w:p w14:paraId="67FB1096" w14:textId="10040ECE" w:rsidR="00171D53" w:rsidRDefault="00171D53" w:rsidP="008C00C7">
      <w:pPr>
        <w:spacing w:before="0" w:after="0"/>
        <w:rPr>
          <w:color w:val="000000" w:themeColor="text1"/>
        </w:rPr>
      </w:pPr>
    </w:p>
    <w:p w14:paraId="03FB4889" w14:textId="2CD46D46" w:rsidR="00171D53" w:rsidRPr="00EF654D" w:rsidRDefault="00171D53" w:rsidP="13D3D696">
      <w:pPr>
        <w:pStyle w:val="paragraph"/>
        <w:spacing w:before="0"/>
        <w:textAlignment w:val="baseline"/>
        <w:rPr>
          <w:color w:val="000000" w:themeColor="text1"/>
          <w:sz w:val="24"/>
          <w:szCs w:val="24"/>
        </w:rPr>
      </w:pPr>
      <w:r w:rsidRPr="250CE7E6">
        <w:rPr>
          <w:sz w:val="24"/>
          <w:szCs w:val="24"/>
        </w:rPr>
        <w:t xml:space="preserve">Item </w:t>
      </w:r>
      <w:r w:rsidR="7F9D5A97" w:rsidRPr="250CE7E6">
        <w:rPr>
          <w:sz w:val="24"/>
          <w:szCs w:val="24"/>
        </w:rPr>
        <w:t>63</w:t>
      </w:r>
      <w:r w:rsidRPr="250CE7E6">
        <w:rPr>
          <w:sz w:val="24"/>
          <w:szCs w:val="24"/>
        </w:rPr>
        <w:t xml:space="preserve"> corrects a typographical error. </w:t>
      </w:r>
    </w:p>
    <w:p w14:paraId="2933CAE0" w14:textId="77777777" w:rsidR="00175DD5" w:rsidRDefault="00175DD5" w:rsidP="008C00C7">
      <w:pPr>
        <w:spacing w:before="0" w:after="0"/>
        <w:rPr>
          <w:color w:val="000000" w:themeColor="text1"/>
        </w:rPr>
      </w:pPr>
    </w:p>
    <w:p w14:paraId="29B0A2F8" w14:textId="34460FA9" w:rsidR="008C00C7" w:rsidRDefault="008F1AE1" w:rsidP="008C00C7">
      <w:pPr>
        <w:spacing w:before="0" w:after="0"/>
        <w:rPr>
          <w:b/>
          <w:bCs/>
          <w:i/>
          <w:iCs/>
          <w:color w:val="000000" w:themeColor="text1"/>
        </w:rPr>
      </w:pPr>
      <w:r>
        <w:rPr>
          <w:color w:val="000000" w:themeColor="text1"/>
        </w:rPr>
        <w:t xml:space="preserve"> </w:t>
      </w:r>
      <w:r w:rsidR="008C00C7">
        <w:rPr>
          <w:b/>
          <w:bCs/>
          <w:i/>
          <w:iCs/>
          <w:color w:val="000000" w:themeColor="text1"/>
        </w:rPr>
        <w:t>Item</w:t>
      </w:r>
      <w:r w:rsidR="00DF4C4C">
        <w:rPr>
          <w:b/>
          <w:bCs/>
          <w:i/>
          <w:iCs/>
          <w:color w:val="000000" w:themeColor="text1"/>
        </w:rPr>
        <w:t>s</w:t>
      </w:r>
      <w:r w:rsidR="008C00C7">
        <w:rPr>
          <w:b/>
          <w:bCs/>
          <w:i/>
          <w:iCs/>
          <w:color w:val="000000" w:themeColor="text1"/>
        </w:rPr>
        <w:t xml:space="preserve"> </w:t>
      </w:r>
      <w:r w:rsidR="56A8C704" w:rsidRPr="4F3059D1">
        <w:rPr>
          <w:b/>
          <w:bCs/>
          <w:i/>
          <w:iCs/>
          <w:color w:val="000000" w:themeColor="text1"/>
        </w:rPr>
        <w:t>65</w:t>
      </w:r>
      <w:r w:rsidR="0052565D" w:rsidRPr="4F3059D1">
        <w:rPr>
          <w:b/>
          <w:bCs/>
          <w:i/>
          <w:iCs/>
          <w:color w:val="000000" w:themeColor="text1"/>
        </w:rPr>
        <w:t xml:space="preserve">, </w:t>
      </w:r>
      <w:r w:rsidR="2ADA421F" w:rsidRPr="4F3059D1">
        <w:rPr>
          <w:b/>
          <w:bCs/>
          <w:i/>
          <w:iCs/>
          <w:color w:val="000000" w:themeColor="text1"/>
        </w:rPr>
        <w:t>66</w:t>
      </w:r>
      <w:r w:rsidR="0052565D">
        <w:rPr>
          <w:b/>
          <w:bCs/>
          <w:i/>
          <w:iCs/>
          <w:color w:val="000000" w:themeColor="text1"/>
        </w:rPr>
        <w:t xml:space="preserve"> and </w:t>
      </w:r>
      <w:r w:rsidR="4F930BA9" w:rsidRPr="4F3059D1">
        <w:rPr>
          <w:b/>
          <w:bCs/>
          <w:i/>
          <w:iCs/>
          <w:color w:val="000000" w:themeColor="text1"/>
        </w:rPr>
        <w:t>67</w:t>
      </w:r>
      <w:r w:rsidR="008C00C7">
        <w:rPr>
          <w:b/>
          <w:bCs/>
          <w:i/>
          <w:iCs/>
          <w:color w:val="000000" w:themeColor="text1"/>
        </w:rPr>
        <w:t xml:space="preserve"> </w:t>
      </w:r>
      <w:r w:rsidR="0052565D">
        <w:rPr>
          <w:b/>
          <w:bCs/>
          <w:i/>
          <w:iCs/>
          <w:color w:val="000000" w:themeColor="text1"/>
        </w:rPr>
        <w:t>–</w:t>
      </w:r>
      <w:r w:rsidR="008C00C7">
        <w:rPr>
          <w:b/>
          <w:bCs/>
          <w:i/>
          <w:iCs/>
          <w:color w:val="000000" w:themeColor="text1"/>
        </w:rPr>
        <w:t xml:space="preserve"> Application</w:t>
      </w:r>
      <w:r w:rsidR="0052565D">
        <w:rPr>
          <w:b/>
          <w:bCs/>
          <w:i/>
          <w:iCs/>
          <w:color w:val="000000" w:themeColor="text1"/>
        </w:rPr>
        <w:t xml:space="preserve"> and transitional provisions</w:t>
      </w:r>
    </w:p>
    <w:p w14:paraId="7868DC0E" w14:textId="77777777" w:rsidR="008C00C7" w:rsidRDefault="008C00C7" w:rsidP="008C00C7">
      <w:pPr>
        <w:spacing w:before="0" w:after="0"/>
        <w:rPr>
          <w:color w:val="000000" w:themeColor="text1"/>
        </w:rPr>
      </w:pPr>
    </w:p>
    <w:p w14:paraId="69CF0EBA" w14:textId="622BF35E" w:rsidR="008C00C7" w:rsidRDefault="008C00C7" w:rsidP="008C00C7">
      <w:pPr>
        <w:spacing w:before="0" w:after="0"/>
        <w:rPr>
          <w:color w:val="000000" w:themeColor="text1"/>
        </w:rPr>
      </w:pPr>
      <w:r>
        <w:rPr>
          <w:color w:val="000000" w:themeColor="text1"/>
        </w:rPr>
        <w:t xml:space="preserve">Item </w:t>
      </w:r>
      <w:r w:rsidR="59616085" w:rsidRPr="4F3059D1">
        <w:rPr>
          <w:color w:val="000000" w:themeColor="text1"/>
        </w:rPr>
        <w:t>65</w:t>
      </w:r>
      <w:r>
        <w:rPr>
          <w:color w:val="000000" w:themeColor="text1"/>
        </w:rPr>
        <w:t xml:space="preserve"> </w:t>
      </w:r>
      <w:r w:rsidR="00F0706C">
        <w:rPr>
          <w:color w:val="000000" w:themeColor="text1"/>
        </w:rPr>
        <w:t>is</w:t>
      </w:r>
      <w:r w:rsidR="00796D34">
        <w:rPr>
          <w:color w:val="000000" w:themeColor="text1"/>
        </w:rPr>
        <w:t xml:space="preserve"> a minor amendment to clarify that the transition</w:t>
      </w:r>
      <w:r w:rsidR="0052565D">
        <w:rPr>
          <w:color w:val="000000" w:themeColor="text1"/>
        </w:rPr>
        <w:t>al</w:t>
      </w:r>
      <w:r w:rsidR="00796D34">
        <w:rPr>
          <w:color w:val="000000" w:themeColor="text1"/>
        </w:rPr>
        <w:t xml:space="preserve"> arrangements in Division</w:t>
      </w:r>
      <w:r w:rsidR="002C4297">
        <w:rPr>
          <w:color w:val="000000" w:themeColor="text1"/>
        </w:rPr>
        <w:t> </w:t>
      </w:r>
      <w:r w:rsidR="00796D34">
        <w:rPr>
          <w:color w:val="000000" w:themeColor="text1"/>
        </w:rPr>
        <w:t>1</w:t>
      </w:r>
      <w:r w:rsidR="0052565D">
        <w:rPr>
          <w:color w:val="000000" w:themeColor="text1"/>
        </w:rPr>
        <w:t>4</w:t>
      </w:r>
      <w:r w:rsidR="00796D34">
        <w:rPr>
          <w:color w:val="000000" w:themeColor="text1"/>
        </w:rPr>
        <w:t xml:space="preserve">.27 </w:t>
      </w:r>
      <w:r w:rsidR="000D6D48">
        <w:rPr>
          <w:color w:val="000000" w:themeColor="text1"/>
        </w:rPr>
        <w:t xml:space="preserve">are the </w:t>
      </w:r>
      <w:r w:rsidR="00697E4D">
        <w:rPr>
          <w:color w:val="000000" w:themeColor="text1"/>
        </w:rPr>
        <w:t xml:space="preserve">arrangements </w:t>
      </w:r>
      <w:r w:rsidR="001C3417">
        <w:rPr>
          <w:color w:val="000000" w:themeColor="text1"/>
        </w:rPr>
        <w:t>specifically</w:t>
      </w:r>
      <w:r w:rsidR="00796D34">
        <w:rPr>
          <w:color w:val="000000" w:themeColor="text1"/>
        </w:rPr>
        <w:t xml:space="preserve"> </w:t>
      </w:r>
      <w:r w:rsidR="00697E4D">
        <w:rPr>
          <w:color w:val="000000" w:themeColor="text1"/>
        </w:rPr>
        <w:t>arising out of</w:t>
      </w:r>
      <w:r w:rsidR="000D6D48">
        <w:rPr>
          <w:color w:val="000000" w:themeColor="text1"/>
        </w:rPr>
        <w:t xml:space="preserve"> </w:t>
      </w:r>
      <w:r w:rsidR="00796D34">
        <w:rPr>
          <w:color w:val="000000" w:themeColor="text1"/>
        </w:rPr>
        <w:t>to</w:t>
      </w:r>
      <w:r w:rsidR="0095069C">
        <w:rPr>
          <w:color w:val="000000" w:themeColor="text1"/>
        </w:rPr>
        <w:t xml:space="preserve"> </w:t>
      </w:r>
      <w:r w:rsidR="0095069C" w:rsidRPr="0095069C">
        <w:rPr>
          <w:color w:val="000000" w:themeColor="text1"/>
        </w:rPr>
        <w:t xml:space="preserve">Schedule 1 to the </w:t>
      </w:r>
      <w:r w:rsidR="0095069C" w:rsidRPr="00C90E38">
        <w:rPr>
          <w:i/>
          <w:iCs/>
        </w:rPr>
        <w:t xml:space="preserve">Superannuation Industry (Supervision) Amendment (Your Future, Your Super—Addressing Underperformance in Superannuation) Regulations </w:t>
      </w:r>
      <w:r w:rsidR="0095069C" w:rsidRPr="000D6D48">
        <w:rPr>
          <w:i/>
          <w:iCs/>
          <w:color w:val="000000" w:themeColor="text1"/>
        </w:rPr>
        <w:t>2021</w:t>
      </w:r>
      <w:r w:rsidR="0095069C">
        <w:rPr>
          <w:color w:val="000000" w:themeColor="text1"/>
        </w:rPr>
        <w:t>. This fixes</w:t>
      </w:r>
      <w:r w:rsidR="00537A3B">
        <w:rPr>
          <w:color w:val="000000" w:themeColor="text1"/>
        </w:rPr>
        <w:t xml:space="preserve"> a technical drafting issue where</w:t>
      </w:r>
      <w:r w:rsidR="0095069C">
        <w:rPr>
          <w:color w:val="000000" w:themeColor="text1"/>
        </w:rPr>
        <w:t xml:space="preserve"> the original provision </w:t>
      </w:r>
      <w:r w:rsidR="00697E4D">
        <w:rPr>
          <w:color w:val="000000" w:themeColor="text1"/>
        </w:rPr>
        <w:t xml:space="preserve">did not </w:t>
      </w:r>
      <w:r w:rsidR="00FF38B7">
        <w:rPr>
          <w:color w:val="000000" w:themeColor="text1"/>
        </w:rPr>
        <w:t xml:space="preserve">correctly </w:t>
      </w:r>
      <w:r w:rsidR="00697E4D">
        <w:rPr>
          <w:color w:val="000000" w:themeColor="text1"/>
        </w:rPr>
        <w:t xml:space="preserve">specify the </w:t>
      </w:r>
      <w:r w:rsidR="00FF38B7">
        <w:rPr>
          <w:color w:val="000000" w:themeColor="text1"/>
        </w:rPr>
        <w:t>amending regulations</w:t>
      </w:r>
      <w:r w:rsidR="00F445F7">
        <w:rPr>
          <w:color w:val="000000" w:themeColor="text1"/>
        </w:rPr>
        <w:t>.</w:t>
      </w:r>
    </w:p>
    <w:p w14:paraId="76A98D78" w14:textId="39A88BAF" w:rsidR="0010223D" w:rsidRDefault="0010223D" w:rsidP="008C00C7">
      <w:pPr>
        <w:spacing w:before="0" w:after="0"/>
        <w:rPr>
          <w:color w:val="000000" w:themeColor="text1"/>
        </w:rPr>
      </w:pPr>
    </w:p>
    <w:p w14:paraId="7C8DF824" w14:textId="41E2EF58" w:rsidR="00FC06C5" w:rsidRDefault="0010223D" w:rsidP="00FC06C5">
      <w:pPr>
        <w:spacing w:before="0" w:after="0"/>
        <w:rPr>
          <w:color w:val="000000" w:themeColor="text1"/>
        </w:rPr>
      </w:pPr>
      <w:r>
        <w:rPr>
          <w:color w:val="000000" w:themeColor="text1"/>
        </w:rPr>
        <w:t xml:space="preserve">Item </w:t>
      </w:r>
      <w:r w:rsidR="07E92D3E" w:rsidRPr="4F3059D1">
        <w:rPr>
          <w:color w:val="000000" w:themeColor="text1"/>
        </w:rPr>
        <w:t>66</w:t>
      </w:r>
      <w:r>
        <w:rPr>
          <w:color w:val="000000" w:themeColor="text1"/>
        </w:rPr>
        <w:t xml:space="preserve"> repeals a </w:t>
      </w:r>
      <w:r w:rsidR="003473EF">
        <w:rPr>
          <w:color w:val="000000" w:themeColor="text1"/>
        </w:rPr>
        <w:t>transitional</w:t>
      </w:r>
      <w:r>
        <w:rPr>
          <w:color w:val="000000" w:themeColor="text1"/>
        </w:rPr>
        <w:t xml:space="preserve"> provision that is no longer required as it was only applicable to the </w:t>
      </w:r>
      <w:r w:rsidR="003473EF">
        <w:rPr>
          <w:color w:val="000000" w:themeColor="text1"/>
        </w:rPr>
        <w:t xml:space="preserve">2021 </w:t>
      </w:r>
      <w:r>
        <w:rPr>
          <w:color w:val="000000" w:themeColor="text1"/>
        </w:rPr>
        <w:t>performance test</w:t>
      </w:r>
      <w:r w:rsidR="001D6B80">
        <w:rPr>
          <w:color w:val="000000" w:themeColor="text1"/>
        </w:rPr>
        <w:t xml:space="preserve">, which has occurred. </w:t>
      </w:r>
    </w:p>
    <w:p w14:paraId="372F46A0" w14:textId="77777777" w:rsidR="00FF3E11" w:rsidRDefault="00FF3E11" w:rsidP="006A02E5">
      <w:pPr>
        <w:spacing w:before="0" w:after="0"/>
        <w:rPr>
          <w:color w:val="000000" w:themeColor="text1"/>
        </w:rPr>
      </w:pPr>
    </w:p>
    <w:p w14:paraId="5CD84473" w14:textId="22F07AA1" w:rsidR="00FF5BB0" w:rsidRDefault="00FC06C5" w:rsidP="00FF3E11">
      <w:pPr>
        <w:spacing w:before="0" w:after="0"/>
        <w:rPr>
          <w:rStyle w:val="eop"/>
        </w:rPr>
      </w:pPr>
      <w:r>
        <w:rPr>
          <w:color w:val="000000" w:themeColor="text1"/>
        </w:rPr>
        <w:t xml:space="preserve">Item </w:t>
      </w:r>
      <w:r w:rsidR="2256B97D" w:rsidRPr="4F3059D1">
        <w:rPr>
          <w:color w:val="000000" w:themeColor="text1"/>
        </w:rPr>
        <w:t>67</w:t>
      </w:r>
      <w:r>
        <w:rPr>
          <w:color w:val="000000" w:themeColor="text1"/>
        </w:rPr>
        <w:t xml:space="preserve"> inserts</w:t>
      </w:r>
      <w:r w:rsidR="00B850FE">
        <w:rPr>
          <w:color w:val="000000" w:themeColor="text1"/>
        </w:rPr>
        <w:t xml:space="preserve"> a</w:t>
      </w:r>
      <w:r>
        <w:rPr>
          <w:color w:val="000000" w:themeColor="text1"/>
        </w:rPr>
        <w:t xml:space="preserve"> new Division 14.</w:t>
      </w:r>
      <w:r w:rsidR="00C41FC4">
        <w:rPr>
          <w:color w:val="000000" w:themeColor="text1"/>
        </w:rPr>
        <w:t>32</w:t>
      </w:r>
      <w:r>
        <w:rPr>
          <w:color w:val="000000" w:themeColor="text1"/>
        </w:rPr>
        <w:t xml:space="preserve"> to the Principal Regulations to provide </w:t>
      </w:r>
      <w:r w:rsidR="008074F7">
        <w:rPr>
          <w:color w:val="000000" w:themeColor="text1"/>
        </w:rPr>
        <w:t>transitional</w:t>
      </w:r>
      <w:r w:rsidR="00310524">
        <w:rPr>
          <w:color w:val="000000" w:themeColor="text1"/>
        </w:rPr>
        <w:t xml:space="preserve"> </w:t>
      </w:r>
      <w:r w:rsidR="008074F7">
        <w:t xml:space="preserve">arrangements </w:t>
      </w:r>
      <w:r w:rsidR="00310524">
        <w:rPr>
          <w:color w:val="000000" w:themeColor="text1"/>
        </w:rPr>
        <w:t xml:space="preserve">arising out of </w:t>
      </w:r>
      <w:r w:rsidR="00537A3B">
        <w:rPr>
          <w:color w:val="000000" w:themeColor="text1"/>
        </w:rPr>
        <w:t>t</w:t>
      </w:r>
      <w:r>
        <w:rPr>
          <w:color w:val="000000" w:themeColor="text1"/>
        </w:rPr>
        <w:t xml:space="preserve">he amendments </w:t>
      </w:r>
      <w:r w:rsidR="00537A3B">
        <w:rPr>
          <w:color w:val="000000" w:themeColor="text1"/>
        </w:rPr>
        <w:t>made by these Regulations</w:t>
      </w:r>
      <w:r w:rsidR="00310524">
        <w:rPr>
          <w:color w:val="000000" w:themeColor="text1"/>
        </w:rPr>
        <w:t xml:space="preserve">. The first transitional </w:t>
      </w:r>
      <w:r w:rsidR="008074F7">
        <w:t xml:space="preserve">rule </w:t>
      </w:r>
      <w:r w:rsidR="00310524">
        <w:rPr>
          <w:color w:val="000000" w:themeColor="text1"/>
        </w:rPr>
        <w:t xml:space="preserve">provides that the </w:t>
      </w:r>
      <w:r w:rsidR="00F06396">
        <w:rPr>
          <w:color w:val="000000" w:themeColor="text1"/>
        </w:rPr>
        <w:t>amendments</w:t>
      </w:r>
      <w:r w:rsidR="00537A3B">
        <w:rPr>
          <w:color w:val="000000" w:themeColor="text1"/>
        </w:rPr>
        <w:t xml:space="preserve"> </w:t>
      </w:r>
      <w:r>
        <w:rPr>
          <w:color w:val="000000" w:themeColor="text1"/>
        </w:rPr>
        <w:t>apply</w:t>
      </w:r>
      <w:r w:rsidR="006A02E5">
        <w:rPr>
          <w:color w:val="000000" w:themeColor="text1"/>
        </w:rPr>
        <w:t xml:space="preserve"> o</w:t>
      </w:r>
      <w:r>
        <w:t>n and after 1</w:t>
      </w:r>
      <w:r w:rsidR="002C4297">
        <w:t> </w:t>
      </w:r>
      <w:r>
        <w:t>July 202</w:t>
      </w:r>
      <w:r w:rsidR="00377C85">
        <w:t>3</w:t>
      </w:r>
      <w:r w:rsidR="006A02E5">
        <w:t>.</w:t>
      </w:r>
      <w:r>
        <w:t xml:space="preserve"> </w:t>
      </w:r>
      <w:r w:rsidR="00F06396">
        <w:t xml:space="preserve">The second transitional </w:t>
      </w:r>
      <w:r w:rsidR="008074F7">
        <w:t>rule</w:t>
      </w:r>
      <w:r w:rsidR="00F06396">
        <w:t xml:space="preserve"> provides that </w:t>
      </w:r>
      <w:r w:rsidR="00C53DBE">
        <w:t>for</w:t>
      </w:r>
      <w:r w:rsidR="0052003A" w:rsidRPr="0052003A">
        <w:t xml:space="preserve"> </w:t>
      </w:r>
      <w:r w:rsidR="007A7478">
        <w:t>performance assessment conducted for the</w:t>
      </w:r>
      <w:r w:rsidR="0052003A" w:rsidRPr="0052003A">
        <w:t xml:space="preserve"> 2022-23 financial year, the </w:t>
      </w:r>
      <w:r w:rsidR="00F51AAA">
        <w:rPr>
          <w:color w:val="000000" w:themeColor="text1"/>
        </w:rPr>
        <w:t>minimum period of performance history that a product must have to be subject to the performance test is 6</w:t>
      </w:r>
      <w:r w:rsidR="0093500F">
        <w:rPr>
          <w:color w:val="000000" w:themeColor="text1"/>
        </w:rPr>
        <w:t> </w:t>
      </w:r>
      <w:r w:rsidR="00F51AAA">
        <w:rPr>
          <w:color w:val="000000" w:themeColor="text1"/>
        </w:rPr>
        <w:t>years</w:t>
      </w:r>
      <w:r w:rsidR="0093500F">
        <w:t>.</w:t>
      </w:r>
      <w:r w:rsidR="009C171E">
        <w:t xml:space="preserve"> </w:t>
      </w:r>
      <w:r w:rsidR="009C171E">
        <w:rPr>
          <w:rStyle w:val="normaltextrun"/>
        </w:rPr>
        <w:t xml:space="preserve">The third transitional rule provides that for performance assessment conducted for the 2022-23 financial year, the </w:t>
      </w:r>
      <w:r w:rsidR="009C171E" w:rsidRPr="2F9A7D30">
        <w:rPr>
          <w:rStyle w:val="normaltextrun"/>
          <w:color w:val="000000" w:themeColor="text1"/>
        </w:rPr>
        <w:t xml:space="preserve">lookback period </w:t>
      </w:r>
      <w:r w:rsidR="00217545" w:rsidRPr="2F9A7D30">
        <w:rPr>
          <w:rStyle w:val="normaltextrun"/>
          <w:color w:val="000000" w:themeColor="text1"/>
        </w:rPr>
        <w:t>is</w:t>
      </w:r>
      <w:r w:rsidR="009C171E" w:rsidRPr="2F9A7D30">
        <w:rPr>
          <w:rStyle w:val="normaltextrun"/>
          <w:color w:val="000000" w:themeColor="text1"/>
        </w:rPr>
        <w:t xml:space="preserve"> 9 years</w:t>
      </w:r>
      <w:r w:rsidR="009C171E">
        <w:rPr>
          <w:rStyle w:val="normaltextrun"/>
        </w:rPr>
        <w:t>.</w:t>
      </w:r>
      <w:r w:rsidR="009C171E">
        <w:rPr>
          <w:rStyle w:val="eop"/>
        </w:rPr>
        <w:t> </w:t>
      </w:r>
    </w:p>
    <w:p w14:paraId="496E0454" w14:textId="77777777" w:rsidR="008D0929" w:rsidRDefault="008D0929" w:rsidP="00FF3E11">
      <w:pPr>
        <w:spacing w:before="0" w:after="0"/>
        <w:rPr>
          <w:rStyle w:val="eop"/>
        </w:rPr>
      </w:pPr>
    </w:p>
    <w:p w14:paraId="2F71471D" w14:textId="77777777" w:rsidR="008D0929" w:rsidRPr="00004E40" w:rsidRDefault="008D0929" w:rsidP="00004E40">
      <w:pPr>
        <w:spacing w:before="0" w:after="0"/>
        <w:rPr>
          <w:u w:val="single"/>
        </w:rPr>
      </w:pPr>
      <w:r>
        <w:rPr>
          <w:u w:val="single"/>
        </w:rPr>
        <w:t xml:space="preserve">Schedule 2 –Amendments </w:t>
      </w:r>
      <w:r w:rsidRPr="00003687">
        <w:rPr>
          <w:u w:val="single"/>
        </w:rPr>
        <w:t xml:space="preserve">to </w:t>
      </w:r>
      <w:r>
        <w:rPr>
          <w:u w:val="single"/>
        </w:rPr>
        <w:t xml:space="preserve">the </w:t>
      </w:r>
      <w:r w:rsidRPr="00004E40">
        <w:rPr>
          <w:i/>
          <w:iCs/>
          <w:u w:val="single"/>
        </w:rPr>
        <w:t>Electronic Transactions Regulations 2020</w:t>
      </w:r>
      <w:r w:rsidRPr="00004E40">
        <w:rPr>
          <w:u w:val="single"/>
        </w:rPr>
        <w:t xml:space="preserve"> </w:t>
      </w:r>
    </w:p>
    <w:p w14:paraId="27C1E9AB" w14:textId="77777777" w:rsidR="008D0929" w:rsidRDefault="008D0929" w:rsidP="008D0929">
      <w:pPr>
        <w:pStyle w:val="paragraph"/>
        <w:spacing w:before="0"/>
        <w:textAlignment w:val="baseline"/>
        <w:rPr>
          <w:rFonts w:ascii="Segoe UI" w:hAnsi="Segoe UI" w:cs="Segoe UI"/>
          <w:sz w:val="18"/>
          <w:szCs w:val="18"/>
        </w:rPr>
      </w:pPr>
    </w:p>
    <w:p w14:paraId="552E1F8F" w14:textId="6E92D0F2" w:rsidR="008D0929" w:rsidRDefault="008D0929" w:rsidP="008D0929">
      <w:pPr>
        <w:spacing w:before="0" w:after="0"/>
        <w:rPr>
          <w:color w:val="000000" w:themeColor="text1"/>
        </w:rPr>
      </w:pPr>
      <w:r w:rsidRPr="008D0929">
        <w:rPr>
          <w:color w:val="000000" w:themeColor="text1"/>
        </w:rPr>
        <w:t xml:space="preserve">Subsections 60C(3) and (4) of the </w:t>
      </w:r>
      <w:r w:rsidRPr="008D0929">
        <w:rPr>
          <w:i/>
          <w:iCs/>
          <w:color w:val="000000" w:themeColor="text1"/>
        </w:rPr>
        <w:t>Superannuation Industry (Supervision) Act 1993</w:t>
      </w:r>
      <w:r w:rsidRPr="008D0929">
        <w:rPr>
          <w:color w:val="000000" w:themeColor="text1"/>
        </w:rPr>
        <w:t xml:space="preserve"> require APRA to give notification in writing, which includes a copy of the determination, about the annual performance assessment to trustees of the superannuation fund. Part 9AB of the Principal Regulations requires APRA to give written notification about various discretionary decisions related to the annual performance assessment to trustees of the superannuation fund.</w:t>
      </w:r>
    </w:p>
    <w:p w14:paraId="5B995338" w14:textId="77777777" w:rsidR="008D0929" w:rsidRPr="008D0929" w:rsidRDefault="008D0929" w:rsidP="008D0929">
      <w:pPr>
        <w:spacing w:before="0" w:after="0"/>
        <w:rPr>
          <w:color w:val="000000" w:themeColor="text1"/>
        </w:rPr>
      </w:pPr>
    </w:p>
    <w:p w14:paraId="657D9401" w14:textId="77777777" w:rsidR="008D0929" w:rsidRDefault="008D0929" w:rsidP="008D0929">
      <w:pPr>
        <w:spacing w:before="0" w:after="0"/>
        <w:rPr>
          <w:color w:val="000000" w:themeColor="text1"/>
        </w:rPr>
      </w:pPr>
      <w:r w:rsidRPr="008D0929">
        <w:rPr>
          <w:color w:val="000000" w:themeColor="text1"/>
        </w:rPr>
        <w:t xml:space="preserve">The </w:t>
      </w:r>
      <w:r w:rsidRPr="008D0929">
        <w:rPr>
          <w:i/>
          <w:iCs/>
          <w:color w:val="000000" w:themeColor="text1"/>
        </w:rPr>
        <w:t>Electronic Transactions Act 1999</w:t>
      </w:r>
      <w:r w:rsidRPr="008D0929">
        <w:rPr>
          <w:color w:val="000000" w:themeColor="text1"/>
        </w:rPr>
        <w:t xml:space="preserve"> applies to all Commonwealth laws unless, pursuant to section 7A of that Act, they are specifically exempted by regulations, or another exemption applies. Schedule 1 to the </w:t>
      </w:r>
      <w:r w:rsidRPr="008D0929">
        <w:rPr>
          <w:i/>
          <w:iCs/>
          <w:color w:val="000000" w:themeColor="text1"/>
        </w:rPr>
        <w:t>Electronic Transactions Regulations 2020</w:t>
      </w:r>
      <w:r w:rsidRPr="008D0929">
        <w:rPr>
          <w:color w:val="000000" w:themeColor="text1"/>
        </w:rPr>
        <w:t xml:space="preserve"> contains a list of Commonwealth laws that are exempt from the application of the </w:t>
      </w:r>
      <w:r w:rsidRPr="008D0929">
        <w:rPr>
          <w:i/>
          <w:iCs/>
          <w:color w:val="000000" w:themeColor="text1"/>
        </w:rPr>
        <w:t>Electronic Transactions Act 1999</w:t>
      </w:r>
      <w:r w:rsidRPr="008D0929">
        <w:rPr>
          <w:color w:val="000000" w:themeColor="text1"/>
        </w:rPr>
        <w:t>. Exemptions are necessary to account for circumstances where it is not appropriate to provide information, documents or signatures electronically.</w:t>
      </w:r>
    </w:p>
    <w:p w14:paraId="7F906D83" w14:textId="77777777" w:rsidR="008D0929" w:rsidRPr="008D0929" w:rsidRDefault="008D0929" w:rsidP="008D0929">
      <w:pPr>
        <w:spacing w:before="0" w:after="0"/>
        <w:rPr>
          <w:color w:val="000000" w:themeColor="text1"/>
        </w:rPr>
      </w:pPr>
    </w:p>
    <w:p w14:paraId="1DA3C926" w14:textId="77777777" w:rsidR="008D0929" w:rsidRDefault="008D0929" w:rsidP="008D0929">
      <w:pPr>
        <w:spacing w:before="0" w:after="0"/>
        <w:rPr>
          <w:color w:val="000000" w:themeColor="text1"/>
        </w:rPr>
      </w:pPr>
      <w:r w:rsidRPr="008D0929">
        <w:rPr>
          <w:color w:val="000000" w:themeColor="text1"/>
        </w:rPr>
        <w:t xml:space="preserve">Item 89 of the table in Section 1 of Schedule 1 to the </w:t>
      </w:r>
      <w:r w:rsidRPr="008D0929">
        <w:rPr>
          <w:i/>
          <w:iCs/>
          <w:color w:val="000000" w:themeColor="text1"/>
        </w:rPr>
        <w:t>Electronic Transactions Regulations 2020</w:t>
      </w:r>
      <w:r w:rsidRPr="008D0929">
        <w:rPr>
          <w:color w:val="000000" w:themeColor="text1"/>
        </w:rPr>
        <w:t xml:space="preserve"> exempts the whole of the </w:t>
      </w:r>
      <w:r w:rsidRPr="008D0929">
        <w:rPr>
          <w:i/>
          <w:iCs/>
          <w:color w:val="000000" w:themeColor="text1"/>
        </w:rPr>
        <w:t>Superannuation Industry (Supervision) Act 1993</w:t>
      </w:r>
      <w:r w:rsidRPr="008D0929">
        <w:rPr>
          <w:color w:val="000000" w:themeColor="text1"/>
        </w:rPr>
        <w:t xml:space="preserve"> from certain provisions of the </w:t>
      </w:r>
      <w:r w:rsidRPr="008D0929">
        <w:rPr>
          <w:i/>
          <w:iCs/>
          <w:color w:val="000000" w:themeColor="text1"/>
        </w:rPr>
        <w:t>Electronic Transactions Act 1999</w:t>
      </w:r>
      <w:r w:rsidRPr="008D0929">
        <w:rPr>
          <w:color w:val="000000" w:themeColor="text1"/>
        </w:rPr>
        <w:t xml:space="preserve">, except for certain provisions that are listed in that item. Item 90 of the table in Section 1 of Schedule 1 to the </w:t>
      </w:r>
      <w:r w:rsidRPr="008D0929">
        <w:rPr>
          <w:i/>
          <w:iCs/>
          <w:color w:val="000000" w:themeColor="text1"/>
        </w:rPr>
        <w:t>Electronic Transactions Regulations 2020</w:t>
      </w:r>
      <w:r w:rsidRPr="008D0929">
        <w:rPr>
          <w:color w:val="000000" w:themeColor="text1"/>
        </w:rPr>
        <w:t xml:space="preserve"> exempts the whole of the </w:t>
      </w:r>
      <w:r w:rsidRPr="008D0929">
        <w:rPr>
          <w:i/>
          <w:iCs/>
          <w:color w:val="000000" w:themeColor="text1"/>
        </w:rPr>
        <w:t>Superannuation Industry (Supervision) Regulations 1994</w:t>
      </w:r>
      <w:r w:rsidRPr="008D0929">
        <w:rPr>
          <w:color w:val="000000" w:themeColor="text1"/>
        </w:rPr>
        <w:t xml:space="preserve"> from certain provisions of the </w:t>
      </w:r>
      <w:r w:rsidRPr="008D0929">
        <w:rPr>
          <w:i/>
          <w:iCs/>
          <w:color w:val="000000" w:themeColor="text1"/>
        </w:rPr>
        <w:t>Electronic Transactions Act 1999</w:t>
      </w:r>
      <w:r w:rsidRPr="008D0929">
        <w:rPr>
          <w:color w:val="000000" w:themeColor="text1"/>
        </w:rPr>
        <w:t>, except for certain provisions that are listed in that item.</w:t>
      </w:r>
    </w:p>
    <w:p w14:paraId="2C7FB0D7" w14:textId="77777777" w:rsidR="008D0929" w:rsidRPr="008D0929" w:rsidRDefault="008D0929" w:rsidP="008D0929">
      <w:pPr>
        <w:spacing w:before="0" w:after="0"/>
        <w:rPr>
          <w:color w:val="000000" w:themeColor="text1"/>
        </w:rPr>
      </w:pPr>
    </w:p>
    <w:p w14:paraId="2F688807" w14:textId="3AE8DCFA" w:rsidR="008D0929" w:rsidRDefault="008D0929" w:rsidP="008D0929">
      <w:pPr>
        <w:spacing w:before="0" w:after="0"/>
        <w:rPr>
          <w:color w:val="000000" w:themeColor="text1"/>
        </w:rPr>
      </w:pPr>
      <w:r w:rsidRPr="008D0929">
        <w:rPr>
          <w:color w:val="000000" w:themeColor="text1"/>
        </w:rPr>
        <w:t xml:space="preserve">The amendments in Schedule 2 to the proposed Regulations would apply the </w:t>
      </w:r>
      <w:r w:rsidRPr="008D0929">
        <w:rPr>
          <w:i/>
          <w:iCs/>
          <w:color w:val="000000" w:themeColor="text1"/>
        </w:rPr>
        <w:t>Electronic Transactions Act 1999</w:t>
      </w:r>
      <w:r w:rsidRPr="008D0929">
        <w:rPr>
          <w:color w:val="000000" w:themeColor="text1"/>
        </w:rPr>
        <w:t xml:space="preserve"> to subsections 60C(3) and 60C(4) of the SIS Act. </w:t>
      </w:r>
      <w:r w:rsidRPr="008D0929">
        <w:rPr>
          <w:color w:val="000000" w:themeColor="text1"/>
        </w:rPr>
        <w:lastRenderedPageBreak/>
        <w:t xml:space="preserve">The amendments in Schedule 2 to the proposed Regulations also would apply the </w:t>
      </w:r>
      <w:r w:rsidRPr="008D0929">
        <w:rPr>
          <w:i/>
          <w:iCs/>
          <w:color w:val="000000" w:themeColor="text1"/>
        </w:rPr>
        <w:t>Electronic Transactions Act 1999</w:t>
      </w:r>
      <w:r w:rsidRPr="008D0929">
        <w:rPr>
          <w:color w:val="000000" w:themeColor="text1"/>
        </w:rPr>
        <w:t xml:space="preserve"> to certain provisions in Part 9AB of the Principal Regulations.  The amendments would enable that where APRA is required to give notification in writing of an APRA determination in relation to the annual performance assessment of superannuation products, it may do so by means of electronic communication.</w:t>
      </w:r>
    </w:p>
    <w:p w14:paraId="72689681" w14:textId="77777777" w:rsidR="008D0929" w:rsidRPr="008D0929" w:rsidRDefault="008D0929" w:rsidP="008D0929">
      <w:pPr>
        <w:spacing w:before="0" w:after="0"/>
        <w:rPr>
          <w:color w:val="000000" w:themeColor="text1"/>
        </w:rPr>
      </w:pPr>
    </w:p>
    <w:p w14:paraId="58374A7C" w14:textId="77777777" w:rsidR="008D0929" w:rsidRPr="008D0929" w:rsidRDefault="008D0929" w:rsidP="008D0929">
      <w:pPr>
        <w:spacing w:before="0" w:after="0"/>
        <w:rPr>
          <w:color w:val="000000" w:themeColor="text1"/>
        </w:rPr>
      </w:pPr>
      <w:r w:rsidRPr="008D0929">
        <w:rPr>
          <w:color w:val="000000" w:themeColor="text1"/>
        </w:rPr>
        <w:t xml:space="preserve">Allowing electronic communication will reduce the administration burden for APRA while ensuring that notifications are received by trustees in a timely manner. This is in light of the extension of the annual performance test to trustee-directed products which has significantly increased the number of products subject to the test, and subsequently the number of notifications in writing APRA must give.  </w:t>
      </w:r>
    </w:p>
    <w:p w14:paraId="2136530C" w14:textId="77777777" w:rsidR="008D0929" w:rsidRDefault="008D0929" w:rsidP="00FF3E11">
      <w:pPr>
        <w:spacing w:before="0" w:after="0"/>
      </w:pPr>
    </w:p>
    <w:p w14:paraId="2C4AF957" w14:textId="77777777" w:rsidR="00887B5A" w:rsidRDefault="00887B5A" w:rsidP="00FF3E11">
      <w:pPr>
        <w:spacing w:before="0" w:after="0"/>
      </w:pPr>
    </w:p>
    <w:p w14:paraId="063051BD" w14:textId="523D6FB4" w:rsidR="00834666" w:rsidRDefault="00834666">
      <w:pPr>
        <w:spacing w:before="0" w:after="0"/>
      </w:pPr>
      <w:r>
        <w:br w:type="page"/>
      </w:r>
    </w:p>
    <w:p w14:paraId="17D5413F" w14:textId="23942F00" w:rsidR="00922AE7" w:rsidRPr="003C5719" w:rsidRDefault="00922AE7" w:rsidP="00922AE7">
      <w:pPr>
        <w:pageBreakBefore/>
        <w:spacing w:before="240"/>
        <w:jc w:val="right"/>
        <w:rPr>
          <w:b/>
          <w:u w:val="single"/>
        </w:rPr>
      </w:pPr>
      <w:r w:rsidRPr="003C5719">
        <w:rPr>
          <w:b/>
          <w:u w:val="single"/>
        </w:rPr>
        <w:lastRenderedPageBreak/>
        <w:t xml:space="preserve">ATTACHMENT </w:t>
      </w:r>
      <w:r w:rsidR="00C44B41">
        <w:rPr>
          <w:b/>
          <w:u w:val="single"/>
        </w:rPr>
        <w:t>B</w:t>
      </w:r>
    </w:p>
    <w:p w14:paraId="4F647C6B" w14:textId="77777777" w:rsidR="00922AE7" w:rsidRPr="00757B95" w:rsidRDefault="00922AE7" w:rsidP="005F4C6C">
      <w:pPr>
        <w:pStyle w:val="base-text-paragraph"/>
        <w:ind w:left="0"/>
      </w:pPr>
    </w:p>
    <w:p w14:paraId="5D05E20C" w14:textId="77777777" w:rsidR="00922AE7" w:rsidRPr="003C5719" w:rsidRDefault="00922AE7" w:rsidP="00922AE7">
      <w:pPr>
        <w:pStyle w:val="Heading3"/>
        <w:jc w:val="center"/>
      </w:pPr>
      <w:r w:rsidRPr="003C5719">
        <w:t>Statement of Compatibility with Human Rights</w:t>
      </w:r>
    </w:p>
    <w:p w14:paraId="45BDC3A5" w14:textId="77777777" w:rsidR="00922AE7" w:rsidRPr="003C5719" w:rsidRDefault="00922AE7" w:rsidP="00922AE7">
      <w:pPr>
        <w:spacing w:before="240"/>
        <w:jc w:val="center"/>
        <w:rPr>
          <w:i/>
        </w:rPr>
      </w:pPr>
      <w:r w:rsidRPr="003C5719">
        <w:rPr>
          <w:i/>
        </w:rPr>
        <w:t>Prepared in accordance with Part 3 of the Human Rights (Parliamentary Scrutiny) Act</w:t>
      </w:r>
      <w:r>
        <w:rPr>
          <w:i/>
        </w:rPr>
        <w:t> </w:t>
      </w:r>
      <w:r w:rsidRPr="003C5719">
        <w:rPr>
          <w:i/>
        </w:rPr>
        <w:t>2011</w:t>
      </w:r>
    </w:p>
    <w:p w14:paraId="1C077041" w14:textId="2618C1DE" w:rsidR="00922AE7" w:rsidRPr="003C5719" w:rsidRDefault="00771631" w:rsidP="00922AE7">
      <w:pPr>
        <w:pStyle w:val="Heading3"/>
        <w:jc w:val="center"/>
      </w:pPr>
      <w:r w:rsidRPr="00771631">
        <w:t>Superannuation Industry (Supervision) Amendment (Your Future, Your Super—Addressing Underperformance in Superannuation) Regulations 2023</w:t>
      </w:r>
    </w:p>
    <w:p w14:paraId="646A22E3" w14:textId="77777777" w:rsidR="00922AE7" w:rsidRPr="003C5719" w:rsidRDefault="00922AE7" w:rsidP="00922AE7">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6C93DEC" w14:textId="77777777" w:rsidR="00922AE7" w:rsidRPr="003C5719" w:rsidRDefault="00922AE7" w:rsidP="00922AE7">
      <w:pPr>
        <w:pStyle w:val="Heading3"/>
      </w:pPr>
      <w:r w:rsidRPr="003C5719">
        <w:t>Overview of the Legislative Instrument</w:t>
      </w:r>
    </w:p>
    <w:p w14:paraId="6F182D3F" w14:textId="5F5B07AB" w:rsidR="00035AD5" w:rsidRPr="00035AD5" w:rsidRDefault="00035AD5" w:rsidP="00035AD5">
      <w:pPr>
        <w:pStyle w:val="Heading3"/>
        <w:rPr>
          <w:b w:val="0"/>
          <w:kern w:val="0"/>
        </w:rPr>
      </w:pPr>
      <w:r w:rsidRPr="00035AD5">
        <w:rPr>
          <w:b w:val="0"/>
          <w:kern w:val="0"/>
        </w:rPr>
        <w:t xml:space="preserve">The purpose of </w:t>
      </w:r>
      <w:r w:rsidRPr="00035AD5">
        <w:rPr>
          <w:b w:val="0"/>
          <w:i/>
          <w:iCs/>
          <w:kern w:val="0"/>
        </w:rPr>
        <w:t>Superannuation Industry (Supervision) Amendment (Your Future, Your Super—Addressing Underperformance in Superannuation) Regulations 2023</w:t>
      </w:r>
      <w:r w:rsidRPr="00035AD5">
        <w:rPr>
          <w:b w:val="0"/>
          <w:kern w:val="0"/>
        </w:rPr>
        <w:t xml:space="preserve"> (the </w:t>
      </w:r>
      <w:r>
        <w:rPr>
          <w:b w:val="0"/>
          <w:kern w:val="0"/>
        </w:rPr>
        <w:t xml:space="preserve">proposed </w:t>
      </w:r>
      <w:r w:rsidRPr="00035AD5">
        <w:rPr>
          <w:b w:val="0"/>
          <w:kern w:val="0"/>
        </w:rPr>
        <w:t xml:space="preserve">Regulations) is to amend the </w:t>
      </w:r>
      <w:r w:rsidRPr="00035AD5">
        <w:rPr>
          <w:b w:val="0"/>
          <w:i/>
          <w:iCs/>
          <w:kern w:val="0"/>
        </w:rPr>
        <w:t xml:space="preserve">Superannuation Industry (Supervision) Regulations 1994 </w:t>
      </w:r>
      <w:r w:rsidRPr="00035AD5">
        <w:rPr>
          <w:b w:val="0"/>
          <w:kern w:val="0"/>
        </w:rPr>
        <w:t xml:space="preserve">(the Principal Regulations) to support the improved implementation of the annual performance test. The amendments address issues raised in Treasury’s review of Your Future, Your Super laws. The Regulations: </w:t>
      </w:r>
    </w:p>
    <w:p w14:paraId="0D8CC200" w14:textId="28EACB97" w:rsidR="00035AD5" w:rsidRPr="0097186A" w:rsidRDefault="00035AD5" w:rsidP="00035AD5">
      <w:pPr>
        <w:pStyle w:val="Bullet"/>
      </w:pPr>
      <w:r w:rsidRPr="0097186A">
        <w:t xml:space="preserve">amend the testing period, benchmarks and notification letter that form part of the annual performance test requirements. </w:t>
      </w:r>
    </w:p>
    <w:p w14:paraId="5829D31F" w14:textId="77777777" w:rsidR="00375A3A" w:rsidRDefault="00375A3A" w:rsidP="00375A3A">
      <w:pPr>
        <w:pStyle w:val="Bullet"/>
        <w:rPr>
          <w:shd w:val="clear" w:color="auto" w:fill="FFFFFF"/>
        </w:rPr>
      </w:pPr>
      <w:r>
        <w:rPr>
          <w:shd w:val="clear" w:color="auto" w:fill="FFFFFF"/>
        </w:rPr>
        <w:t>amend the operation of the test for trustee-direct products, so that platform products are tested separately to non-platform products, and on a gross-of-taxation basis.</w:t>
      </w:r>
    </w:p>
    <w:p w14:paraId="6BFB3411" w14:textId="71A10FF2" w:rsidR="00035AD5" w:rsidRPr="0097186A" w:rsidRDefault="00035AD5" w:rsidP="00035AD5">
      <w:pPr>
        <w:pStyle w:val="Bullet"/>
      </w:pPr>
      <w:r w:rsidRPr="0097186A">
        <w:t>make minor technical updates to improve accuracy and clarity for the annual performance test, reduce the administrative burden for APRA and ensure the test is fit for purpose when it is extended to trustee directed products.</w:t>
      </w:r>
    </w:p>
    <w:p w14:paraId="01597050" w14:textId="61095576" w:rsidR="00922AE7" w:rsidRDefault="00552513" w:rsidP="00035AD5">
      <w:pPr>
        <w:pStyle w:val="Bullet"/>
      </w:pPr>
      <w:r w:rsidRPr="0097186A">
        <w:t>M</w:t>
      </w:r>
      <w:r w:rsidR="00035AD5" w:rsidRPr="0097186A">
        <w:t xml:space="preserve">ake minor and technical amendments to the Your Super comparison tool to ensure that the tool reflects </w:t>
      </w:r>
      <w:r w:rsidR="00405F40">
        <w:rPr>
          <w:shd w:val="clear" w:color="auto" w:fill="FFFFFF"/>
        </w:rPr>
        <w:t>updated reporting standards</w:t>
      </w:r>
      <w:r w:rsidR="00035AD5" w:rsidRPr="0097186A">
        <w:t xml:space="preserve">.  </w:t>
      </w:r>
    </w:p>
    <w:p w14:paraId="398643C3" w14:textId="77777777" w:rsidR="00552513" w:rsidRPr="009570F1" w:rsidRDefault="00552513" w:rsidP="00552513">
      <w:pPr>
        <w:spacing w:before="240"/>
      </w:pPr>
      <w:r w:rsidRPr="009570F1">
        <w:t xml:space="preserve">The Regulations also amend the </w:t>
      </w:r>
      <w:r w:rsidRPr="00230230">
        <w:rPr>
          <w:i/>
          <w:iCs/>
        </w:rPr>
        <w:t>Electronic Transactions Regulations 2020</w:t>
      </w:r>
      <w:r w:rsidRPr="009570F1">
        <w:t xml:space="preserve"> to allow APRA to give notifications in relation to the performance test to trustees by means of electronic communication. </w:t>
      </w:r>
    </w:p>
    <w:p w14:paraId="43BDC455" w14:textId="77777777" w:rsidR="00922AE7" w:rsidRDefault="00922AE7" w:rsidP="00922AE7">
      <w:pPr>
        <w:pStyle w:val="Heading3"/>
      </w:pPr>
      <w:r w:rsidRPr="003C5719">
        <w:t>Human rights implications</w:t>
      </w:r>
      <w:r>
        <w:t xml:space="preserve"> </w:t>
      </w:r>
    </w:p>
    <w:p w14:paraId="45AFC369" w14:textId="71A154C8" w:rsidR="00922AE7" w:rsidRPr="003C5719" w:rsidRDefault="00922AE7" w:rsidP="00922AE7">
      <w:pPr>
        <w:spacing w:before="240"/>
      </w:pPr>
      <w:r>
        <w:t xml:space="preserve">This Legislative Instrument does not engage any of the applicable rights or freedoms. </w:t>
      </w:r>
    </w:p>
    <w:p w14:paraId="02E87CB9" w14:textId="77777777" w:rsidR="00922AE7" w:rsidRDefault="00922AE7" w:rsidP="00922AE7">
      <w:pPr>
        <w:pStyle w:val="Heading3"/>
      </w:pPr>
      <w:r w:rsidRPr="003C5719">
        <w:t>Conclusion</w:t>
      </w:r>
      <w:r>
        <w:t xml:space="preserve"> </w:t>
      </w:r>
    </w:p>
    <w:p w14:paraId="558BC27C" w14:textId="0BFB2D38" w:rsidR="00214C2D" w:rsidRDefault="00922AE7" w:rsidP="00CB2793">
      <w:pPr>
        <w:spacing w:before="240"/>
        <w:rPr>
          <w:b/>
          <w:bCs/>
        </w:rPr>
      </w:pPr>
      <w:r>
        <w:t xml:space="preserve">This Legislative Instrument is compatible with human rights as it does not raise any human rights issues. </w:t>
      </w:r>
    </w:p>
    <w:p w14:paraId="710AA26C" w14:textId="77777777" w:rsidR="00214C2D" w:rsidRPr="00214C2D" w:rsidRDefault="00214C2D" w:rsidP="00FF3E11">
      <w:pPr>
        <w:spacing w:before="0" w:after="0"/>
        <w:rPr>
          <w:color w:val="FF0000"/>
        </w:rPr>
      </w:pPr>
    </w:p>
    <w:sectPr w:rsidR="00214C2D" w:rsidRPr="00214C2D" w:rsidSect="00392BBA">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B256" w14:textId="77777777" w:rsidR="00042109" w:rsidRDefault="00042109" w:rsidP="00954679">
      <w:pPr>
        <w:spacing w:before="0" w:after="0"/>
      </w:pPr>
      <w:r>
        <w:separator/>
      </w:r>
    </w:p>
  </w:endnote>
  <w:endnote w:type="continuationSeparator" w:id="0">
    <w:p w14:paraId="792E8BDA" w14:textId="77777777" w:rsidR="00042109" w:rsidRDefault="00042109" w:rsidP="00954679">
      <w:pPr>
        <w:spacing w:before="0" w:after="0"/>
      </w:pPr>
      <w:r>
        <w:continuationSeparator/>
      </w:r>
    </w:p>
  </w:endnote>
  <w:endnote w:type="continuationNotice" w:id="1">
    <w:p w14:paraId="77E38C86" w14:textId="77777777" w:rsidR="00042109" w:rsidRDefault="000421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32A3" w14:textId="77777777" w:rsidR="00954679" w:rsidRDefault="00CB2793"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2E99" w14:textId="77777777" w:rsidR="00042109" w:rsidRDefault="00042109" w:rsidP="00954679">
      <w:pPr>
        <w:spacing w:before="0" w:after="0"/>
      </w:pPr>
      <w:r>
        <w:separator/>
      </w:r>
    </w:p>
  </w:footnote>
  <w:footnote w:type="continuationSeparator" w:id="0">
    <w:p w14:paraId="756CB06D" w14:textId="77777777" w:rsidR="00042109" w:rsidRDefault="00042109" w:rsidP="00954679">
      <w:pPr>
        <w:spacing w:before="0" w:after="0"/>
      </w:pPr>
      <w:r>
        <w:continuationSeparator/>
      </w:r>
    </w:p>
  </w:footnote>
  <w:footnote w:type="continuationNotice" w:id="1">
    <w:p w14:paraId="0EB7C6CF" w14:textId="77777777" w:rsidR="00042109" w:rsidRDefault="000421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1BB9" w14:textId="09E458A3" w:rsidR="0063651A" w:rsidRDefault="0063651A" w:rsidP="0033048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C2B5"/>
    <w:multiLevelType w:val="hybridMultilevel"/>
    <w:tmpl w:val="FFFFFFFF"/>
    <w:lvl w:ilvl="0" w:tplc="C03AEAA6">
      <w:start w:val="1"/>
      <w:numFmt w:val="bullet"/>
      <w:lvlText w:val=""/>
      <w:lvlJc w:val="left"/>
      <w:pPr>
        <w:ind w:left="720" w:hanging="360"/>
      </w:pPr>
      <w:rPr>
        <w:rFonts w:ascii="Symbol" w:hAnsi="Symbol" w:hint="default"/>
      </w:rPr>
    </w:lvl>
    <w:lvl w:ilvl="1" w:tplc="A51A5B46">
      <w:start w:val="1"/>
      <w:numFmt w:val="bullet"/>
      <w:lvlText w:val="o"/>
      <w:lvlJc w:val="left"/>
      <w:pPr>
        <w:ind w:left="1440" w:hanging="360"/>
      </w:pPr>
      <w:rPr>
        <w:rFonts w:ascii="Courier New" w:hAnsi="Courier New" w:hint="default"/>
      </w:rPr>
    </w:lvl>
    <w:lvl w:ilvl="2" w:tplc="109C8D40">
      <w:start w:val="1"/>
      <w:numFmt w:val="bullet"/>
      <w:lvlText w:val=""/>
      <w:lvlJc w:val="left"/>
      <w:pPr>
        <w:ind w:left="2160" w:hanging="360"/>
      </w:pPr>
      <w:rPr>
        <w:rFonts w:ascii="Wingdings" w:hAnsi="Wingdings" w:hint="default"/>
      </w:rPr>
    </w:lvl>
    <w:lvl w:ilvl="3" w:tplc="682AA078">
      <w:start w:val="1"/>
      <w:numFmt w:val="bullet"/>
      <w:lvlText w:val=""/>
      <w:lvlJc w:val="left"/>
      <w:pPr>
        <w:ind w:left="2880" w:hanging="360"/>
      </w:pPr>
      <w:rPr>
        <w:rFonts w:ascii="Symbol" w:hAnsi="Symbol" w:hint="default"/>
      </w:rPr>
    </w:lvl>
    <w:lvl w:ilvl="4" w:tplc="A38A621C">
      <w:start w:val="1"/>
      <w:numFmt w:val="bullet"/>
      <w:lvlText w:val="o"/>
      <w:lvlJc w:val="left"/>
      <w:pPr>
        <w:ind w:left="3600" w:hanging="360"/>
      </w:pPr>
      <w:rPr>
        <w:rFonts w:ascii="Courier New" w:hAnsi="Courier New" w:hint="default"/>
      </w:rPr>
    </w:lvl>
    <w:lvl w:ilvl="5" w:tplc="57EC8B66">
      <w:start w:val="1"/>
      <w:numFmt w:val="bullet"/>
      <w:lvlText w:val=""/>
      <w:lvlJc w:val="left"/>
      <w:pPr>
        <w:ind w:left="4320" w:hanging="360"/>
      </w:pPr>
      <w:rPr>
        <w:rFonts w:ascii="Wingdings" w:hAnsi="Wingdings" w:hint="default"/>
      </w:rPr>
    </w:lvl>
    <w:lvl w:ilvl="6" w:tplc="3CFACDDA">
      <w:start w:val="1"/>
      <w:numFmt w:val="bullet"/>
      <w:lvlText w:val=""/>
      <w:lvlJc w:val="left"/>
      <w:pPr>
        <w:ind w:left="5040" w:hanging="360"/>
      </w:pPr>
      <w:rPr>
        <w:rFonts w:ascii="Symbol" w:hAnsi="Symbol" w:hint="default"/>
      </w:rPr>
    </w:lvl>
    <w:lvl w:ilvl="7" w:tplc="AE98B38A">
      <w:start w:val="1"/>
      <w:numFmt w:val="bullet"/>
      <w:lvlText w:val="o"/>
      <w:lvlJc w:val="left"/>
      <w:pPr>
        <w:ind w:left="5760" w:hanging="360"/>
      </w:pPr>
      <w:rPr>
        <w:rFonts w:ascii="Courier New" w:hAnsi="Courier New" w:hint="default"/>
      </w:rPr>
    </w:lvl>
    <w:lvl w:ilvl="8" w:tplc="40B25508">
      <w:start w:val="1"/>
      <w:numFmt w:val="bullet"/>
      <w:lvlText w:val=""/>
      <w:lvlJc w:val="left"/>
      <w:pPr>
        <w:ind w:left="6480" w:hanging="360"/>
      </w:pPr>
      <w:rPr>
        <w:rFonts w:ascii="Wingdings" w:hAnsi="Wingdings" w:hint="default"/>
      </w:rPr>
    </w:lvl>
  </w:abstractNum>
  <w:abstractNum w:abstractNumId="1" w15:restartNumberingAfterBreak="0">
    <w:nsid w:val="164D4712"/>
    <w:multiLevelType w:val="hybridMultilevel"/>
    <w:tmpl w:val="918C41A8"/>
    <w:lvl w:ilvl="0" w:tplc="8AD21E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B605F2"/>
    <w:multiLevelType w:val="multilevel"/>
    <w:tmpl w:val="25BCFD0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72E310"/>
    <w:multiLevelType w:val="hybridMultilevel"/>
    <w:tmpl w:val="FFFFFFFF"/>
    <w:lvl w:ilvl="0" w:tplc="9D565672">
      <w:start w:val="1"/>
      <w:numFmt w:val="bullet"/>
      <w:lvlText w:val="-"/>
      <w:lvlJc w:val="left"/>
      <w:pPr>
        <w:ind w:left="720" w:hanging="360"/>
      </w:pPr>
      <w:rPr>
        <w:rFonts w:ascii="Calibri" w:hAnsi="Calibri" w:hint="default"/>
      </w:rPr>
    </w:lvl>
    <w:lvl w:ilvl="1" w:tplc="EAEC0000">
      <w:start w:val="1"/>
      <w:numFmt w:val="bullet"/>
      <w:lvlText w:val="o"/>
      <w:lvlJc w:val="left"/>
      <w:pPr>
        <w:ind w:left="1440" w:hanging="360"/>
      </w:pPr>
      <w:rPr>
        <w:rFonts w:ascii="Courier New" w:hAnsi="Courier New" w:hint="default"/>
      </w:rPr>
    </w:lvl>
    <w:lvl w:ilvl="2" w:tplc="4A6EDF40">
      <w:start w:val="1"/>
      <w:numFmt w:val="bullet"/>
      <w:lvlText w:val=""/>
      <w:lvlJc w:val="left"/>
      <w:pPr>
        <w:ind w:left="2160" w:hanging="360"/>
      </w:pPr>
      <w:rPr>
        <w:rFonts w:ascii="Wingdings" w:hAnsi="Wingdings" w:hint="default"/>
      </w:rPr>
    </w:lvl>
    <w:lvl w:ilvl="3" w:tplc="3A5898EE">
      <w:start w:val="1"/>
      <w:numFmt w:val="bullet"/>
      <w:lvlText w:val=""/>
      <w:lvlJc w:val="left"/>
      <w:pPr>
        <w:ind w:left="2880" w:hanging="360"/>
      </w:pPr>
      <w:rPr>
        <w:rFonts w:ascii="Symbol" w:hAnsi="Symbol" w:hint="default"/>
      </w:rPr>
    </w:lvl>
    <w:lvl w:ilvl="4" w:tplc="8F1E00F6">
      <w:start w:val="1"/>
      <w:numFmt w:val="bullet"/>
      <w:lvlText w:val="o"/>
      <w:lvlJc w:val="left"/>
      <w:pPr>
        <w:ind w:left="3600" w:hanging="360"/>
      </w:pPr>
      <w:rPr>
        <w:rFonts w:ascii="Courier New" w:hAnsi="Courier New" w:hint="default"/>
      </w:rPr>
    </w:lvl>
    <w:lvl w:ilvl="5" w:tplc="1410EE8C">
      <w:start w:val="1"/>
      <w:numFmt w:val="bullet"/>
      <w:lvlText w:val=""/>
      <w:lvlJc w:val="left"/>
      <w:pPr>
        <w:ind w:left="4320" w:hanging="360"/>
      </w:pPr>
      <w:rPr>
        <w:rFonts w:ascii="Wingdings" w:hAnsi="Wingdings" w:hint="default"/>
      </w:rPr>
    </w:lvl>
    <w:lvl w:ilvl="6" w:tplc="058C4DF8">
      <w:start w:val="1"/>
      <w:numFmt w:val="bullet"/>
      <w:lvlText w:val=""/>
      <w:lvlJc w:val="left"/>
      <w:pPr>
        <w:ind w:left="5040" w:hanging="360"/>
      </w:pPr>
      <w:rPr>
        <w:rFonts w:ascii="Symbol" w:hAnsi="Symbol" w:hint="default"/>
      </w:rPr>
    </w:lvl>
    <w:lvl w:ilvl="7" w:tplc="7CE4C16C">
      <w:start w:val="1"/>
      <w:numFmt w:val="bullet"/>
      <w:lvlText w:val="o"/>
      <w:lvlJc w:val="left"/>
      <w:pPr>
        <w:ind w:left="5760" w:hanging="360"/>
      </w:pPr>
      <w:rPr>
        <w:rFonts w:ascii="Courier New" w:hAnsi="Courier New" w:hint="default"/>
      </w:rPr>
    </w:lvl>
    <w:lvl w:ilvl="8" w:tplc="C3E007E4">
      <w:start w:val="1"/>
      <w:numFmt w:val="bullet"/>
      <w:lvlText w:val=""/>
      <w:lvlJc w:val="left"/>
      <w:pPr>
        <w:ind w:left="6480" w:hanging="360"/>
      </w:pPr>
      <w:rPr>
        <w:rFonts w:ascii="Wingdings" w:hAnsi="Wingdings" w:hint="default"/>
      </w:r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2D2D49A2"/>
    <w:multiLevelType w:val="hybridMultilevel"/>
    <w:tmpl w:val="398E634A"/>
    <w:lvl w:ilvl="0" w:tplc="94A4DE2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B5ED46"/>
    <w:multiLevelType w:val="hybridMultilevel"/>
    <w:tmpl w:val="FFFFFFFF"/>
    <w:lvl w:ilvl="0" w:tplc="478C5DCA">
      <w:start w:val="1"/>
      <w:numFmt w:val="bullet"/>
      <w:lvlText w:val="-"/>
      <w:lvlJc w:val="left"/>
      <w:pPr>
        <w:ind w:left="720" w:hanging="360"/>
      </w:pPr>
      <w:rPr>
        <w:rFonts w:ascii="Calibri" w:hAnsi="Calibri" w:hint="default"/>
      </w:rPr>
    </w:lvl>
    <w:lvl w:ilvl="1" w:tplc="952A0C92">
      <w:start w:val="1"/>
      <w:numFmt w:val="bullet"/>
      <w:lvlText w:val="o"/>
      <w:lvlJc w:val="left"/>
      <w:pPr>
        <w:ind w:left="1440" w:hanging="360"/>
      </w:pPr>
      <w:rPr>
        <w:rFonts w:ascii="Courier New" w:hAnsi="Courier New" w:hint="default"/>
      </w:rPr>
    </w:lvl>
    <w:lvl w:ilvl="2" w:tplc="BF76A710">
      <w:start w:val="1"/>
      <w:numFmt w:val="bullet"/>
      <w:lvlText w:val=""/>
      <w:lvlJc w:val="left"/>
      <w:pPr>
        <w:ind w:left="2160" w:hanging="360"/>
      </w:pPr>
      <w:rPr>
        <w:rFonts w:ascii="Wingdings" w:hAnsi="Wingdings" w:hint="default"/>
      </w:rPr>
    </w:lvl>
    <w:lvl w:ilvl="3" w:tplc="9B546092">
      <w:start w:val="1"/>
      <w:numFmt w:val="bullet"/>
      <w:lvlText w:val=""/>
      <w:lvlJc w:val="left"/>
      <w:pPr>
        <w:ind w:left="2880" w:hanging="360"/>
      </w:pPr>
      <w:rPr>
        <w:rFonts w:ascii="Symbol" w:hAnsi="Symbol" w:hint="default"/>
      </w:rPr>
    </w:lvl>
    <w:lvl w:ilvl="4" w:tplc="5B6EE546">
      <w:start w:val="1"/>
      <w:numFmt w:val="bullet"/>
      <w:lvlText w:val="o"/>
      <w:lvlJc w:val="left"/>
      <w:pPr>
        <w:ind w:left="3600" w:hanging="360"/>
      </w:pPr>
      <w:rPr>
        <w:rFonts w:ascii="Courier New" w:hAnsi="Courier New" w:hint="default"/>
      </w:rPr>
    </w:lvl>
    <w:lvl w:ilvl="5" w:tplc="5D141E08">
      <w:start w:val="1"/>
      <w:numFmt w:val="bullet"/>
      <w:lvlText w:val=""/>
      <w:lvlJc w:val="left"/>
      <w:pPr>
        <w:ind w:left="4320" w:hanging="360"/>
      </w:pPr>
      <w:rPr>
        <w:rFonts w:ascii="Wingdings" w:hAnsi="Wingdings" w:hint="default"/>
      </w:rPr>
    </w:lvl>
    <w:lvl w:ilvl="6" w:tplc="9574319E">
      <w:start w:val="1"/>
      <w:numFmt w:val="bullet"/>
      <w:lvlText w:val=""/>
      <w:lvlJc w:val="left"/>
      <w:pPr>
        <w:ind w:left="5040" w:hanging="360"/>
      </w:pPr>
      <w:rPr>
        <w:rFonts w:ascii="Symbol" w:hAnsi="Symbol" w:hint="default"/>
      </w:rPr>
    </w:lvl>
    <w:lvl w:ilvl="7" w:tplc="C228EE48">
      <w:start w:val="1"/>
      <w:numFmt w:val="bullet"/>
      <w:lvlText w:val="o"/>
      <w:lvlJc w:val="left"/>
      <w:pPr>
        <w:ind w:left="5760" w:hanging="360"/>
      </w:pPr>
      <w:rPr>
        <w:rFonts w:ascii="Courier New" w:hAnsi="Courier New" w:hint="default"/>
      </w:rPr>
    </w:lvl>
    <w:lvl w:ilvl="8" w:tplc="00DAF92C">
      <w:start w:val="1"/>
      <w:numFmt w:val="bullet"/>
      <w:lvlText w:val=""/>
      <w:lvlJc w:val="left"/>
      <w:pPr>
        <w:ind w:left="6480" w:hanging="360"/>
      </w:pPr>
      <w:rPr>
        <w:rFonts w:ascii="Wingdings" w:hAnsi="Wingdings" w:hint="default"/>
      </w:rPr>
    </w:lvl>
  </w:abstractNum>
  <w:abstractNum w:abstractNumId="8" w15:restartNumberingAfterBreak="0">
    <w:nsid w:val="36F220D3"/>
    <w:multiLevelType w:val="hybridMultilevel"/>
    <w:tmpl w:val="3A66E6C6"/>
    <w:lvl w:ilvl="0" w:tplc="CED669D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BC7E8D"/>
    <w:multiLevelType w:val="singleLevel"/>
    <w:tmpl w:val="FFFCF7D0"/>
    <w:name w:val="BaseTextParagraphList"/>
    <w:lvl w:ilvl="0">
      <w:start w:val="1"/>
      <w:numFmt w:val="decimal"/>
      <w:lvlText w:val="%1."/>
      <w:lvlJc w:val="left"/>
      <w:pPr>
        <w:tabs>
          <w:tab w:val="num" w:pos="1984"/>
        </w:tabs>
        <w:ind w:left="1140" w:firstLine="0"/>
      </w:pPr>
      <w:rPr>
        <w:b w:val="0"/>
        <w:i w:val="0"/>
        <w:color w:val="000000"/>
      </w:rPr>
    </w:lvl>
  </w:abstractNum>
  <w:abstractNum w:abstractNumId="10" w15:restartNumberingAfterBreak="0">
    <w:nsid w:val="67A43C0B"/>
    <w:multiLevelType w:val="multilevel"/>
    <w:tmpl w:val="824E7BA8"/>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5252097">
    <w:abstractNumId w:val="0"/>
  </w:num>
  <w:num w:numId="2" w16cid:durableId="89787427">
    <w:abstractNumId w:val="7"/>
  </w:num>
  <w:num w:numId="3" w16cid:durableId="707611544">
    <w:abstractNumId w:val="5"/>
  </w:num>
  <w:num w:numId="4" w16cid:durableId="783303637">
    <w:abstractNumId w:val="10"/>
  </w:num>
  <w:num w:numId="5" w16cid:durableId="1793355313">
    <w:abstractNumId w:val="2"/>
  </w:num>
  <w:num w:numId="6" w16cid:durableId="2114204107">
    <w:abstractNumId w:val="9"/>
    <w:lvlOverride w:ilvl="0">
      <w:startOverride w:val="1"/>
    </w:lvlOverride>
  </w:num>
  <w:num w:numId="7" w16cid:durableId="191473152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815766">
    <w:abstractNumId w:val="8"/>
  </w:num>
  <w:num w:numId="9" w16cid:durableId="1044140574">
    <w:abstractNumId w:val="6"/>
  </w:num>
  <w:num w:numId="10" w16cid:durableId="1318917604">
    <w:abstractNumId w:val="10"/>
  </w:num>
  <w:num w:numId="11" w16cid:durableId="1610619051">
    <w:abstractNumId w:val="4"/>
  </w:num>
  <w:num w:numId="12" w16cid:durableId="1279217566">
    <w:abstractNumId w:val="3"/>
  </w:num>
  <w:num w:numId="13" w16cid:durableId="2082364350">
    <w:abstractNumId w:val="1"/>
  </w:num>
  <w:num w:numId="14" w16cid:durableId="443810361">
    <w:abstractNumId w:val="10"/>
  </w:num>
  <w:num w:numId="15" w16cid:durableId="232857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2"/>
    <w:rsid w:val="0000028A"/>
    <w:rsid w:val="000009BC"/>
    <w:rsid w:val="00001044"/>
    <w:rsid w:val="00001136"/>
    <w:rsid w:val="00001951"/>
    <w:rsid w:val="00001C4F"/>
    <w:rsid w:val="00002117"/>
    <w:rsid w:val="000038A0"/>
    <w:rsid w:val="00003E94"/>
    <w:rsid w:val="00004436"/>
    <w:rsid w:val="00004E40"/>
    <w:rsid w:val="00006034"/>
    <w:rsid w:val="0000699F"/>
    <w:rsid w:val="00006C07"/>
    <w:rsid w:val="0000708C"/>
    <w:rsid w:val="00010161"/>
    <w:rsid w:val="000106E7"/>
    <w:rsid w:val="00010F23"/>
    <w:rsid w:val="00011070"/>
    <w:rsid w:val="000119D5"/>
    <w:rsid w:val="0001217C"/>
    <w:rsid w:val="00012E22"/>
    <w:rsid w:val="00013130"/>
    <w:rsid w:val="00013165"/>
    <w:rsid w:val="000132EC"/>
    <w:rsid w:val="00013390"/>
    <w:rsid w:val="000138FB"/>
    <w:rsid w:val="00013AF6"/>
    <w:rsid w:val="00013E62"/>
    <w:rsid w:val="00013FEF"/>
    <w:rsid w:val="000146F7"/>
    <w:rsid w:val="0001498E"/>
    <w:rsid w:val="00014BCF"/>
    <w:rsid w:val="000161BF"/>
    <w:rsid w:val="00016599"/>
    <w:rsid w:val="00016EA2"/>
    <w:rsid w:val="00017181"/>
    <w:rsid w:val="000172D2"/>
    <w:rsid w:val="000176B2"/>
    <w:rsid w:val="000178EE"/>
    <w:rsid w:val="00020C11"/>
    <w:rsid w:val="00020D51"/>
    <w:rsid w:val="00021099"/>
    <w:rsid w:val="000212E0"/>
    <w:rsid w:val="0002138F"/>
    <w:rsid w:val="000216DB"/>
    <w:rsid w:val="00021B9D"/>
    <w:rsid w:val="00021FB7"/>
    <w:rsid w:val="000225CE"/>
    <w:rsid w:val="00022792"/>
    <w:rsid w:val="00023471"/>
    <w:rsid w:val="000245EA"/>
    <w:rsid w:val="00024714"/>
    <w:rsid w:val="00024768"/>
    <w:rsid w:val="00024E28"/>
    <w:rsid w:val="000253EF"/>
    <w:rsid w:val="00025B22"/>
    <w:rsid w:val="00027363"/>
    <w:rsid w:val="0003000B"/>
    <w:rsid w:val="00030E81"/>
    <w:rsid w:val="00031611"/>
    <w:rsid w:val="00031E81"/>
    <w:rsid w:val="000329B9"/>
    <w:rsid w:val="000335FD"/>
    <w:rsid w:val="00033860"/>
    <w:rsid w:val="00033D06"/>
    <w:rsid w:val="000341B6"/>
    <w:rsid w:val="00034A44"/>
    <w:rsid w:val="00034CE7"/>
    <w:rsid w:val="00034D7B"/>
    <w:rsid w:val="00034F15"/>
    <w:rsid w:val="00035503"/>
    <w:rsid w:val="0003559F"/>
    <w:rsid w:val="00035AD5"/>
    <w:rsid w:val="00036055"/>
    <w:rsid w:val="00036207"/>
    <w:rsid w:val="00036359"/>
    <w:rsid w:val="00036A00"/>
    <w:rsid w:val="00036C52"/>
    <w:rsid w:val="00036CF6"/>
    <w:rsid w:val="00036D69"/>
    <w:rsid w:val="000378B9"/>
    <w:rsid w:val="000379A9"/>
    <w:rsid w:val="00037A21"/>
    <w:rsid w:val="00037A8A"/>
    <w:rsid w:val="00037CFC"/>
    <w:rsid w:val="00040412"/>
    <w:rsid w:val="0004171E"/>
    <w:rsid w:val="00041C40"/>
    <w:rsid w:val="000420EC"/>
    <w:rsid w:val="00042109"/>
    <w:rsid w:val="00042271"/>
    <w:rsid w:val="000428C3"/>
    <w:rsid w:val="0004363F"/>
    <w:rsid w:val="00043C6C"/>
    <w:rsid w:val="00044C34"/>
    <w:rsid w:val="000468DD"/>
    <w:rsid w:val="00047DE7"/>
    <w:rsid w:val="000501EB"/>
    <w:rsid w:val="0005070B"/>
    <w:rsid w:val="00050A88"/>
    <w:rsid w:val="000511C9"/>
    <w:rsid w:val="00051665"/>
    <w:rsid w:val="000519D4"/>
    <w:rsid w:val="00051FEE"/>
    <w:rsid w:val="00052663"/>
    <w:rsid w:val="0005266F"/>
    <w:rsid w:val="0005388B"/>
    <w:rsid w:val="000539B1"/>
    <w:rsid w:val="00053C82"/>
    <w:rsid w:val="00054BDD"/>
    <w:rsid w:val="00054DCF"/>
    <w:rsid w:val="0005505B"/>
    <w:rsid w:val="00055349"/>
    <w:rsid w:val="00055A86"/>
    <w:rsid w:val="00055A8F"/>
    <w:rsid w:val="00055D5F"/>
    <w:rsid w:val="000562C6"/>
    <w:rsid w:val="0005678F"/>
    <w:rsid w:val="0005775F"/>
    <w:rsid w:val="00057F02"/>
    <w:rsid w:val="00061032"/>
    <w:rsid w:val="00061041"/>
    <w:rsid w:val="00061055"/>
    <w:rsid w:val="00061227"/>
    <w:rsid w:val="0006143E"/>
    <w:rsid w:val="0006165F"/>
    <w:rsid w:val="00061882"/>
    <w:rsid w:val="00062452"/>
    <w:rsid w:val="000631E5"/>
    <w:rsid w:val="00063986"/>
    <w:rsid w:val="00063B5E"/>
    <w:rsid w:val="00063D31"/>
    <w:rsid w:val="0006412C"/>
    <w:rsid w:val="0006422E"/>
    <w:rsid w:val="00065591"/>
    <w:rsid w:val="00066571"/>
    <w:rsid w:val="000665FD"/>
    <w:rsid w:val="00067070"/>
    <w:rsid w:val="0006709D"/>
    <w:rsid w:val="000676FD"/>
    <w:rsid w:val="00067805"/>
    <w:rsid w:val="00070263"/>
    <w:rsid w:val="00070952"/>
    <w:rsid w:val="00070AE7"/>
    <w:rsid w:val="00070DDD"/>
    <w:rsid w:val="00071F26"/>
    <w:rsid w:val="000726F3"/>
    <w:rsid w:val="00072943"/>
    <w:rsid w:val="00072963"/>
    <w:rsid w:val="00073A1C"/>
    <w:rsid w:val="00073F08"/>
    <w:rsid w:val="00074464"/>
    <w:rsid w:val="00074696"/>
    <w:rsid w:val="00074749"/>
    <w:rsid w:val="00074A1F"/>
    <w:rsid w:val="00074F35"/>
    <w:rsid w:val="000751AA"/>
    <w:rsid w:val="00075B7A"/>
    <w:rsid w:val="00076178"/>
    <w:rsid w:val="00076E93"/>
    <w:rsid w:val="00077EC8"/>
    <w:rsid w:val="00077FF7"/>
    <w:rsid w:val="000807C0"/>
    <w:rsid w:val="00080850"/>
    <w:rsid w:val="00080B24"/>
    <w:rsid w:val="00080F2C"/>
    <w:rsid w:val="0008141F"/>
    <w:rsid w:val="000815CF"/>
    <w:rsid w:val="00081BBA"/>
    <w:rsid w:val="000827B5"/>
    <w:rsid w:val="0008297D"/>
    <w:rsid w:val="00082DBA"/>
    <w:rsid w:val="000830BB"/>
    <w:rsid w:val="0008332E"/>
    <w:rsid w:val="00083925"/>
    <w:rsid w:val="00083B3C"/>
    <w:rsid w:val="00083F1C"/>
    <w:rsid w:val="00083F7C"/>
    <w:rsid w:val="00084BA3"/>
    <w:rsid w:val="00084F3D"/>
    <w:rsid w:val="00084FB9"/>
    <w:rsid w:val="000850ED"/>
    <w:rsid w:val="0008559D"/>
    <w:rsid w:val="00085E0C"/>
    <w:rsid w:val="00085E85"/>
    <w:rsid w:val="0008617F"/>
    <w:rsid w:val="00086517"/>
    <w:rsid w:val="000865C6"/>
    <w:rsid w:val="0008745E"/>
    <w:rsid w:val="00087921"/>
    <w:rsid w:val="00087E96"/>
    <w:rsid w:val="000903E0"/>
    <w:rsid w:val="000910B1"/>
    <w:rsid w:val="00091364"/>
    <w:rsid w:val="000915AE"/>
    <w:rsid w:val="000915C4"/>
    <w:rsid w:val="00091815"/>
    <w:rsid w:val="000919B1"/>
    <w:rsid w:val="00091B48"/>
    <w:rsid w:val="00091C4C"/>
    <w:rsid w:val="00092526"/>
    <w:rsid w:val="00092BAD"/>
    <w:rsid w:val="000930F6"/>
    <w:rsid w:val="00093FF1"/>
    <w:rsid w:val="00094117"/>
    <w:rsid w:val="00094206"/>
    <w:rsid w:val="000943C9"/>
    <w:rsid w:val="00094C8C"/>
    <w:rsid w:val="00094E1B"/>
    <w:rsid w:val="00094E2B"/>
    <w:rsid w:val="00095211"/>
    <w:rsid w:val="00095788"/>
    <w:rsid w:val="000967F8"/>
    <w:rsid w:val="00096A52"/>
    <w:rsid w:val="00096CFA"/>
    <w:rsid w:val="00096DC2"/>
    <w:rsid w:val="00097766"/>
    <w:rsid w:val="000A03A7"/>
    <w:rsid w:val="000A0646"/>
    <w:rsid w:val="000A0714"/>
    <w:rsid w:val="000A07C6"/>
    <w:rsid w:val="000A0829"/>
    <w:rsid w:val="000A0899"/>
    <w:rsid w:val="000A08B7"/>
    <w:rsid w:val="000A0966"/>
    <w:rsid w:val="000A0C6F"/>
    <w:rsid w:val="000A1576"/>
    <w:rsid w:val="000A158C"/>
    <w:rsid w:val="000A15B4"/>
    <w:rsid w:val="000A1B55"/>
    <w:rsid w:val="000A1D62"/>
    <w:rsid w:val="000A250D"/>
    <w:rsid w:val="000A27D9"/>
    <w:rsid w:val="000A2C89"/>
    <w:rsid w:val="000A3163"/>
    <w:rsid w:val="000A3AB5"/>
    <w:rsid w:val="000A4427"/>
    <w:rsid w:val="000A48CE"/>
    <w:rsid w:val="000A4C85"/>
    <w:rsid w:val="000A4D55"/>
    <w:rsid w:val="000A4EF7"/>
    <w:rsid w:val="000A4FEA"/>
    <w:rsid w:val="000A5590"/>
    <w:rsid w:val="000A5D9C"/>
    <w:rsid w:val="000A61D0"/>
    <w:rsid w:val="000A6373"/>
    <w:rsid w:val="000A66CE"/>
    <w:rsid w:val="000A67E9"/>
    <w:rsid w:val="000A6B62"/>
    <w:rsid w:val="000A772F"/>
    <w:rsid w:val="000B0276"/>
    <w:rsid w:val="000B098E"/>
    <w:rsid w:val="000B09B1"/>
    <w:rsid w:val="000B140D"/>
    <w:rsid w:val="000B17ED"/>
    <w:rsid w:val="000B1B1A"/>
    <w:rsid w:val="000B1F03"/>
    <w:rsid w:val="000B1FC6"/>
    <w:rsid w:val="000B23AC"/>
    <w:rsid w:val="000B2C07"/>
    <w:rsid w:val="000B2D17"/>
    <w:rsid w:val="000B2F22"/>
    <w:rsid w:val="000B3234"/>
    <w:rsid w:val="000B3409"/>
    <w:rsid w:val="000B35CA"/>
    <w:rsid w:val="000B36BE"/>
    <w:rsid w:val="000B37AE"/>
    <w:rsid w:val="000B39A1"/>
    <w:rsid w:val="000B3CB5"/>
    <w:rsid w:val="000B4750"/>
    <w:rsid w:val="000B60A5"/>
    <w:rsid w:val="000B60F5"/>
    <w:rsid w:val="000B6242"/>
    <w:rsid w:val="000B6565"/>
    <w:rsid w:val="000B68AA"/>
    <w:rsid w:val="000B69CF"/>
    <w:rsid w:val="000B7130"/>
    <w:rsid w:val="000B76CA"/>
    <w:rsid w:val="000B779C"/>
    <w:rsid w:val="000B77CD"/>
    <w:rsid w:val="000B798F"/>
    <w:rsid w:val="000B7C6C"/>
    <w:rsid w:val="000B7F14"/>
    <w:rsid w:val="000C0032"/>
    <w:rsid w:val="000C0CA6"/>
    <w:rsid w:val="000C109F"/>
    <w:rsid w:val="000C10DF"/>
    <w:rsid w:val="000C1221"/>
    <w:rsid w:val="000C2533"/>
    <w:rsid w:val="000C2877"/>
    <w:rsid w:val="000C29A9"/>
    <w:rsid w:val="000C2C07"/>
    <w:rsid w:val="000C2C60"/>
    <w:rsid w:val="000C3B10"/>
    <w:rsid w:val="000C3DD2"/>
    <w:rsid w:val="000C3EE8"/>
    <w:rsid w:val="000C3FB7"/>
    <w:rsid w:val="000C44F6"/>
    <w:rsid w:val="000C453D"/>
    <w:rsid w:val="000C5849"/>
    <w:rsid w:val="000C61A3"/>
    <w:rsid w:val="000C6338"/>
    <w:rsid w:val="000C6935"/>
    <w:rsid w:val="000C6DDD"/>
    <w:rsid w:val="000C6ED1"/>
    <w:rsid w:val="000C6EE2"/>
    <w:rsid w:val="000C751A"/>
    <w:rsid w:val="000C7C3B"/>
    <w:rsid w:val="000D0BBC"/>
    <w:rsid w:val="000D0C5A"/>
    <w:rsid w:val="000D1139"/>
    <w:rsid w:val="000D1253"/>
    <w:rsid w:val="000D1EE3"/>
    <w:rsid w:val="000D1F7F"/>
    <w:rsid w:val="000D27FB"/>
    <w:rsid w:val="000D3000"/>
    <w:rsid w:val="000D38A1"/>
    <w:rsid w:val="000D502F"/>
    <w:rsid w:val="000D512C"/>
    <w:rsid w:val="000D51EB"/>
    <w:rsid w:val="000D5786"/>
    <w:rsid w:val="000D5D2A"/>
    <w:rsid w:val="000D62EB"/>
    <w:rsid w:val="000D6556"/>
    <w:rsid w:val="000D661A"/>
    <w:rsid w:val="000D69E0"/>
    <w:rsid w:val="000D6D48"/>
    <w:rsid w:val="000D6E9E"/>
    <w:rsid w:val="000D6F8C"/>
    <w:rsid w:val="000D753B"/>
    <w:rsid w:val="000D7766"/>
    <w:rsid w:val="000D7AEC"/>
    <w:rsid w:val="000E0011"/>
    <w:rsid w:val="000E020B"/>
    <w:rsid w:val="000E0E40"/>
    <w:rsid w:val="000E0ED9"/>
    <w:rsid w:val="000E0F71"/>
    <w:rsid w:val="000E12A0"/>
    <w:rsid w:val="000E1309"/>
    <w:rsid w:val="000E14F9"/>
    <w:rsid w:val="000E1551"/>
    <w:rsid w:val="000E1556"/>
    <w:rsid w:val="000E16A3"/>
    <w:rsid w:val="000E1970"/>
    <w:rsid w:val="000E1D58"/>
    <w:rsid w:val="000E1D9D"/>
    <w:rsid w:val="000E2DA4"/>
    <w:rsid w:val="000E3208"/>
    <w:rsid w:val="000E32E3"/>
    <w:rsid w:val="000E34BB"/>
    <w:rsid w:val="000E3778"/>
    <w:rsid w:val="000E3C73"/>
    <w:rsid w:val="000E4246"/>
    <w:rsid w:val="000E432D"/>
    <w:rsid w:val="000E4B9C"/>
    <w:rsid w:val="000E4DA1"/>
    <w:rsid w:val="000E51FD"/>
    <w:rsid w:val="000E55A7"/>
    <w:rsid w:val="000E6158"/>
    <w:rsid w:val="000E6F2E"/>
    <w:rsid w:val="000E7CA0"/>
    <w:rsid w:val="000E7E3F"/>
    <w:rsid w:val="000F003B"/>
    <w:rsid w:val="000F0359"/>
    <w:rsid w:val="000F0632"/>
    <w:rsid w:val="000F0665"/>
    <w:rsid w:val="000F0850"/>
    <w:rsid w:val="000F0CD8"/>
    <w:rsid w:val="000F0CE1"/>
    <w:rsid w:val="000F169A"/>
    <w:rsid w:val="000F1A45"/>
    <w:rsid w:val="000F1B0D"/>
    <w:rsid w:val="000F1CE1"/>
    <w:rsid w:val="000F1EB9"/>
    <w:rsid w:val="000F3B74"/>
    <w:rsid w:val="000F3CCA"/>
    <w:rsid w:val="000F4950"/>
    <w:rsid w:val="000F4BBC"/>
    <w:rsid w:val="000F4BF5"/>
    <w:rsid w:val="000F55AE"/>
    <w:rsid w:val="000F5A27"/>
    <w:rsid w:val="000F5C40"/>
    <w:rsid w:val="000F5FB8"/>
    <w:rsid w:val="000F651C"/>
    <w:rsid w:val="000F6659"/>
    <w:rsid w:val="000F667A"/>
    <w:rsid w:val="000F69D8"/>
    <w:rsid w:val="000F7633"/>
    <w:rsid w:val="000F7C90"/>
    <w:rsid w:val="000F7EB5"/>
    <w:rsid w:val="001001C3"/>
    <w:rsid w:val="001005AC"/>
    <w:rsid w:val="001007CC"/>
    <w:rsid w:val="00100AD2"/>
    <w:rsid w:val="0010162F"/>
    <w:rsid w:val="00101BBE"/>
    <w:rsid w:val="00101F4F"/>
    <w:rsid w:val="00101FB3"/>
    <w:rsid w:val="001021C8"/>
    <w:rsid w:val="0010223D"/>
    <w:rsid w:val="00102A25"/>
    <w:rsid w:val="00103443"/>
    <w:rsid w:val="00103BAE"/>
    <w:rsid w:val="0010406F"/>
    <w:rsid w:val="001042FF"/>
    <w:rsid w:val="00104A91"/>
    <w:rsid w:val="00104BB5"/>
    <w:rsid w:val="0010535E"/>
    <w:rsid w:val="00105360"/>
    <w:rsid w:val="001057EF"/>
    <w:rsid w:val="00105E1A"/>
    <w:rsid w:val="00106167"/>
    <w:rsid w:val="001062C9"/>
    <w:rsid w:val="00106AE8"/>
    <w:rsid w:val="00106B29"/>
    <w:rsid w:val="00106B99"/>
    <w:rsid w:val="00106CA3"/>
    <w:rsid w:val="00106D82"/>
    <w:rsid w:val="00106F01"/>
    <w:rsid w:val="00110316"/>
    <w:rsid w:val="001103D3"/>
    <w:rsid w:val="001105CD"/>
    <w:rsid w:val="00110CAD"/>
    <w:rsid w:val="0011141A"/>
    <w:rsid w:val="00111772"/>
    <w:rsid w:val="00112E3C"/>
    <w:rsid w:val="001136DE"/>
    <w:rsid w:val="00113B45"/>
    <w:rsid w:val="001140EF"/>
    <w:rsid w:val="0011432A"/>
    <w:rsid w:val="00115042"/>
    <w:rsid w:val="001150BE"/>
    <w:rsid w:val="001151E4"/>
    <w:rsid w:val="001151E5"/>
    <w:rsid w:val="001153AC"/>
    <w:rsid w:val="0011558F"/>
    <w:rsid w:val="00115AD4"/>
    <w:rsid w:val="00115F95"/>
    <w:rsid w:val="00116AE7"/>
    <w:rsid w:val="00116F90"/>
    <w:rsid w:val="00117478"/>
    <w:rsid w:val="001178DD"/>
    <w:rsid w:val="00117E56"/>
    <w:rsid w:val="00117F88"/>
    <w:rsid w:val="001200DC"/>
    <w:rsid w:val="0012012B"/>
    <w:rsid w:val="00120427"/>
    <w:rsid w:val="0012053C"/>
    <w:rsid w:val="001205E3"/>
    <w:rsid w:val="00120BC6"/>
    <w:rsid w:val="00120BE2"/>
    <w:rsid w:val="00120BFC"/>
    <w:rsid w:val="00120D59"/>
    <w:rsid w:val="00122357"/>
    <w:rsid w:val="0012362E"/>
    <w:rsid w:val="00123D2D"/>
    <w:rsid w:val="00124327"/>
    <w:rsid w:val="001243E6"/>
    <w:rsid w:val="001248CA"/>
    <w:rsid w:val="00124985"/>
    <w:rsid w:val="001250A6"/>
    <w:rsid w:val="001254D8"/>
    <w:rsid w:val="0012557F"/>
    <w:rsid w:val="00125F8E"/>
    <w:rsid w:val="00125FD5"/>
    <w:rsid w:val="00126031"/>
    <w:rsid w:val="00126690"/>
    <w:rsid w:val="00126720"/>
    <w:rsid w:val="00126B1D"/>
    <w:rsid w:val="00126F83"/>
    <w:rsid w:val="001273A1"/>
    <w:rsid w:val="00127943"/>
    <w:rsid w:val="00130B4D"/>
    <w:rsid w:val="001315D8"/>
    <w:rsid w:val="0013173B"/>
    <w:rsid w:val="001333C8"/>
    <w:rsid w:val="00133DE3"/>
    <w:rsid w:val="00133EB5"/>
    <w:rsid w:val="00134243"/>
    <w:rsid w:val="001344CF"/>
    <w:rsid w:val="00134ECF"/>
    <w:rsid w:val="00134F7D"/>
    <w:rsid w:val="001367FE"/>
    <w:rsid w:val="0013687B"/>
    <w:rsid w:val="00136AA2"/>
    <w:rsid w:val="00136B33"/>
    <w:rsid w:val="00136C61"/>
    <w:rsid w:val="001372A4"/>
    <w:rsid w:val="0013749E"/>
    <w:rsid w:val="001379B7"/>
    <w:rsid w:val="0014037B"/>
    <w:rsid w:val="00140A0E"/>
    <w:rsid w:val="0014183D"/>
    <w:rsid w:val="0014195D"/>
    <w:rsid w:val="00141D37"/>
    <w:rsid w:val="00141D8B"/>
    <w:rsid w:val="00141D8C"/>
    <w:rsid w:val="0014205F"/>
    <w:rsid w:val="001420A7"/>
    <w:rsid w:val="00143047"/>
    <w:rsid w:val="00143267"/>
    <w:rsid w:val="00143289"/>
    <w:rsid w:val="00143302"/>
    <w:rsid w:val="00143F97"/>
    <w:rsid w:val="00143FDC"/>
    <w:rsid w:val="001446FC"/>
    <w:rsid w:val="00144896"/>
    <w:rsid w:val="001453A8"/>
    <w:rsid w:val="001455E7"/>
    <w:rsid w:val="001458E2"/>
    <w:rsid w:val="00145C34"/>
    <w:rsid w:val="00145CB2"/>
    <w:rsid w:val="00145DFD"/>
    <w:rsid w:val="00146025"/>
    <w:rsid w:val="0014617C"/>
    <w:rsid w:val="00146778"/>
    <w:rsid w:val="00146931"/>
    <w:rsid w:val="0014694A"/>
    <w:rsid w:val="0014712B"/>
    <w:rsid w:val="00147655"/>
    <w:rsid w:val="001477B8"/>
    <w:rsid w:val="0014783E"/>
    <w:rsid w:val="00147A86"/>
    <w:rsid w:val="0015007D"/>
    <w:rsid w:val="00150119"/>
    <w:rsid w:val="0015049A"/>
    <w:rsid w:val="00150818"/>
    <w:rsid w:val="00150989"/>
    <w:rsid w:val="00150CFA"/>
    <w:rsid w:val="00150E07"/>
    <w:rsid w:val="00150F1D"/>
    <w:rsid w:val="00151041"/>
    <w:rsid w:val="001515D9"/>
    <w:rsid w:val="0015177C"/>
    <w:rsid w:val="001519DC"/>
    <w:rsid w:val="00151E9A"/>
    <w:rsid w:val="0015216D"/>
    <w:rsid w:val="00152903"/>
    <w:rsid w:val="00153678"/>
    <w:rsid w:val="00153970"/>
    <w:rsid w:val="001546E2"/>
    <w:rsid w:val="00154CD4"/>
    <w:rsid w:val="00155038"/>
    <w:rsid w:val="00156036"/>
    <w:rsid w:val="00156F26"/>
    <w:rsid w:val="00157370"/>
    <w:rsid w:val="0015758C"/>
    <w:rsid w:val="001601CE"/>
    <w:rsid w:val="00160A0C"/>
    <w:rsid w:val="00160D28"/>
    <w:rsid w:val="00161633"/>
    <w:rsid w:val="00161730"/>
    <w:rsid w:val="00161C48"/>
    <w:rsid w:val="001635C8"/>
    <w:rsid w:val="00163614"/>
    <w:rsid w:val="001638E3"/>
    <w:rsid w:val="00163997"/>
    <w:rsid w:val="001639B6"/>
    <w:rsid w:val="00163A47"/>
    <w:rsid w:val="00163AB8"/>
    <w:rsid w:val="00163C46"/>
    <w:rsid w:val="00164096"/>
    <w:rsid w:val="001640F4"/>
    <w:rsid w:val="001641A6"/>
    <w:rsid w:val="001647C1"/>
    <w:rsid w:val="001647CB"/>
    <w:rsid w:val="00164A44"/>
    <w:rsid w:val="00165B51"/>
    <w:rsid w:val="0016623D"/>
    <w:rsid w:val="00166469"/>
    <w:rsid w:val="0016652D"/>
    <w:rsid w:val="001677F1"/>
    <w:rsid w:val="001700C9"/>
    <w:rsid w:val="001703F6"/>
    <w:rsid w:val="001706F8"/>
    <w:rsid w:val="00170D49"/>
    <w:rsid w:val="001711B1"/>
    <w:rsid w:val="00171739"/>
    <w:rsid w:val="0017193E"/>
    <w:rsid w:val="00171D53"/>
    <w:rsid w:val="0017245C"/>
    <w:rsid w:val="001725E0"/>
    <w:rsid w:val="00172C52"/>
    <w:rsid w:val="00172CA5"/>
    <w:rsid w:val="00172D06"/>
    <w:rsid w:val="00173082"/>
    <w:rsid w:val="00173416"/>
    <w:rsid w:val="00173CA7"/>
    <w:rsid w:val="0017467E"/>
    <w:rsid w:val="001749A0"/>
    <w:rsid w:val="001751DC"/>
    <w:rsid w:val="00175229"/>
    <w:rsid w:val="0017564E"/>
    <w:rsid w:val="00175B80"/>
    <w:rsid w:val="00175DD5"/>
    <w:rsid w:val="0017621E"/>
    <w:rsid w:val="001763C2"/>
    <w:rsid w:val="001766B5"/>
    <w:rsid w:val="001766D7"/>
    <w:rsid w:val="00177862"/>
    <w:rsid w:val="001778DE"/>
    <w:rsid w:val="0017794B"/>
    <w:rsid w:val="0017799F"/>
    <w:rsid w:val="0018025B"/>
    <w:rsid w:val="0018036D"/>
    <w:rsid w:val="00180654"/>
    <w:rsid w:val="001807F8"/>
    <w:rsid w:val="00180A60"/>
    <w:rsid w:val="00180B22"/>
    <w:rsid w:val="00180DC5"/>
    <w:rsid w:val="00180F71"/>
    <w:rsid w:val="00181210"/>
    <w:rsid w:val="00181264"/>
    <w:rsid w:val="0018144A"/>
    <w:rsid w:val="00181A90"/>
    <w:rsid w:val="00181DBA"/>
    <w:rsid w:val="001825F1"/>
    <w:rsid w:val="00182DC3"/>
    <w:rsid w:val="001830FE"/>
    <w:rsid w:val="0018366A"/>
    <w:rsid w:val="00183962"/>
    <w:rsid w:val="00184154"/>
    <w:rsid w:val="00184A91"/>
    <w:rsid w:val="0018582D"/>
    <w:rsid w:val="00185A7D"/>
    <w:rsid w:val="00185D0E"/>
    <w:rsid w:val="00185ECD"/>
    <w:rsid w:val="0018666C"/>
    <w:rsid w:val="00186862"/>
    <w:rsid w:val="00186A71"/>
    <w:rsid w:val="0018743A"/>
    <w:rsid w:val="0018784C"/>
    <w:rsid w:val="001879A9"/>
    <w:rsid w:val="0019023F"/>
    <w:rsid w:val="00190C5E"/>
    <w:rsid w:val="00191C05"/>
    <w:rsid w:val="00191C48"/>
    <w:rsid w:val="00192BF8"/>
    <w:rsid w:val="00192DE8"/>
    <w:rsid w:val="00192F3B"/>
    <w:rsid w:val="0019343E"/>
    <w:rsid w:val="001939D3"/>
    <w:rsid w:val="00193A24"/>
    <w:rsid w:val="00193A7C"/>
    <w:rsid w:val="00193B76"/>
    <w:rsid w:val="00193CFB"/>
    <w:rsid w:val="0019448C"/>
    <w:rsid w:val="00194A7E"/>
    <w:rsid w:val="001950B1"/>
    <w:rsid w:val="001954A1"/>
    <w:rsid w:val="00195676"/>
    <w:rsid w:val="00195E1E"/>
    <w:rsid w:val="00196D72"/>
    <w:rsid w:val="00197793"/>
    <w:rsid w:val="00197D9C"/>
    <w:rsid w:val="001A008D"/>
    <w:rsid w:val="001A055F"/>
    <w:rsid w:val="001A0CB7"/>
    <w:rsid w:val="001A0FA5"/>
    <w:rsid w:val="001A163F"/>
    <w:rsid w:val="001A1832"/>
    <w:rsid w:val="001A1945"/>
    <w:rsid w:val="001A2D03"/>
    <w:rsid w:val="001A2DA6"/>
    <w:rsid w:val="001A2F83"/>
    <w:rsid w:val="001A3CB9"/>
    <w:rsid w:val="001A3E10"/>
    <w:rsid w:val="001A40EF"/>
    <w:rsid w:val="001A4724"/>
    <w:rsid w:val="001A4893"/>
    <w:rsid w:val="001A48F1"/>
    <w:rsid w:val="001A49C8"/>
    <w:rsid w:val="001A55E8"/>
    <w:rsid w:val="001A5C9D"/>
    <w:rsid w:val="001A6894"/>
    <w:rsid w:val="001A6A26"/>
    <w:rsid w:val="001A6AB9"/>
    <w:rsid w:val="001A6CB0"/>
    <w:rsid w:val="001A6E2A"/>
    <w:rsid w:val="001A721A"/>
    <w:rsid w:val="001A723B"/>
    <w:rsid w:val="001A7612"/>
    <w:rsid w:val="001A7789"/>
    <w:rsid w:val="001A7B5A"/>
    <w:rsid w:val="001B0119"/>
    <w:rsid w:val="001B0750"/>
    <w:rsid w:val="001B0794"/>
    <w:rsid w:val="001B086C"/>
    <w:rsid w:val="001B0B64"/>
    <w:rsid w:val="001B1769"/>
    <w:rsid w:val="001B18E9"/>
    <w:rsid w:val="001B1DB2"/>
    <w:rsid w:val="001B205D"/>
    <w:rsid w:val="001B3AF2"/>
    <w:rsid w:val="001B3B9F"/>
    <w:rsid w:val="001B4FCC"/>
    <w:rsid w:val="001B53D9"/>
    <w:rsid w:val="001B5556"/>
    <w:rsid w:val="001B57E7"/>
    <w:rsid w:val="001B5B93"/>
    <w:rsid w:val="001B5FC6"/>
    <w:rsid w:val="001B5FFE"/>
    <w:rsid w:val="001B60A0"/>
    <w:rsid w:val="001B6EAA"/>
    <w:rsid w:val="001B710E"/>
    <w:rsid w:val="001B74F1"/>
    <w:rsid w:val="001B7535"/>
    <w:rsid w:val="001B78C5"/>
    <w:rsid w:val="001C0215"/>
    <w:rsid w:val="001C06B1"/>
    <w:rsid w:val="001C166E"/>
    <w:rsid w:val="001C23E1"/>
    <w:rsid w:val="001C2474"/>
    <w:rsid w:val="001C25FC"/>
    <w:rsid w:val="001C26B8"/>
    <w:rsid w:val="001C2F4F"/>
    <w:rsid w:val="001C3417"/>
    <w:rsid w:val="001C3ABA"/>
    <w:rsid w:val="001C3F3E"/>
    <w:rsid w:val="001C43BD"/>
    <w:rsid w:val="001C5050"/>
    <w:rsid w:val="001C52AA"/>
    <w:rsid w:val="001C5652"/>
    <w:rsid w:val="001C59C0"/>
    <w:rsid w:val="001C632A"/>
    <w:rsid w:val="001C6454"/>
    <w:rsid w:val="001C6B30"/>
    <w:rsid w:val="001D05D6"/>
    <w:rsid w:val="001D1C88"/>
    <w:rsid w:val="001D1D33"/>
    <w:rsid w:val="001D1D68"/>
    <w:rsid w:val="001D2482"/>
    <w:rsid w:val="001D251E"/>
    <w:rsid w:val="001D262B"/>
    <w:rsid w:val="001D32CF"/>
    <w:rsid w:val="001D330E"/>
    <w:rsid w:val="001D385D"/>
    <w:rsid w:val="001D4B6F"/>
    <w:rsid w:val="001D4C39"/>
    <w:rsid w:val="001D514C"/>
    <w:rsid w:val="001D5C78"/>
    <w:rsid w:val="001D614B"/>
    <w:rsid w:val="001D62D0"/>
    <w:rsid w:val="001D648E"/>
    <w:rsid w:val="001D6B80"/>
    <w:rsid w:val="001D6C04"/>
    <w:rsid w:val="001D6D40"/>
    <w:rsid w:val="001D7516"/>
    <w:rsid w:val="001D78B3"/>
    <w:rsid w:val="001D7DAC"/>
    <w:rsid w:val="001E022A"/>
    <w:rsid w:val="001E0D8D"/>
    <w:rsid w:val="001E129D"/>
    <w:rsid w:val="001E1565"/>
    <w:rsid w:val="001E15C9"/>
    <w:rsid w:val="001E1CD5"/>
    <w:rsid w:val="001E43D1"/>
    <w:rsid w:val="001E4753"/>
    <w:rsid w:val="001E4E22"/>
    <w:rsid w:val="001E599D"/>
    <w:rsid w:val="001E5EDF"/>
    <w:rsid w:val="001E60CA"/>
    <w:rsid w:val="001E6199"/>
    <w:rsid w:val="001E66C7"/>
    <w:rsid w:val="001E6714"/>
    <w:rsid w:val="001E6A74"/>
    <w:rsid w:val="001E6D45"/>
    <w:rsid w:val="001E6D64"/>
    <w:rsid w:val="001E7652"/>
    <w:rsid w:val="001E7930"/>
    <w:rsid w:val="001F095B"/>
    <w:rsid w:val="001F21D7"/>
    <w:rsid w:val="001F2415"/>
    <w:rsid w:val="001F302E"/>
    <w:rsid w:val="001F37D0"/>
    <w:rsid w:val="001F41D0"/>
    <w:rsid w:val="001F4E79"/>
    <w:rsid w:val="001F55C3"/>
    <w:rsid w:val="001F570D"/>
    <w:rsid w:val="001F5A25"/>
    <w:rsid w:val="001F5BB2"/>
    <w:rsid w:val="001F5C00"/>
    <w:rsid w:val="001F5D20"/>
    <w:rsid w:val="001F5FDE"/>
    <w:rsid w:val="001F6A65"/>
    <w:rsid w:val="001F6C90"/>
    <w:rsid w:val="001F713E"/>
    <w:rsid w:val="001F7496"/>
    <w:rsid w:val="001F7943"/>
    <w:rsid w:val="001F79AA"/>
    <w:rsid w:val="001F7A7D"/>
    <w:rsid w:val="001F7B8D"/>
    <w:rsid w:val="001F7C33"/>
    <w:rsid w:val="00200F6E"/>
    <w:rsid w:val="0020130C"/>
    <w:rsid w:val="00201326"/>
    <w:rsid w:val="0020158C"/>
    <w:rsid w:val="002016F2"/>
    <w:rsid w:val="00201ABF"/>
    <w:rsid w:val="002022A7"/>
    <w:rsid w:val="002026DC"/>
    <w:rsid w:val="002034E8"/>
    <w:rsid w:val="00203923"/>
    <w:rsid w:val="002044B2"/>
    <w:rsid w:val="00204DB8"/>
    <w:rsid w:val="00204E08"/>
    <w:rsid w:val="002052C8"/>
    <w:rsid w:val="00205459"/>
    <w:rsid w:val="00206271"/>
    <w:rsid w:val="00206400"/>
    <w:rsid w:val="002065E9"/>
    <w:rsid w:val="00206920"/>
    <w:rsid w:val="00206C56"/>
    <w:rsid w:val="00207312"/>
    <w:rsid w:val="002075FA"/>
    <w:rsid w:val="002077BE"/>
    <w:rsid w:val="00207819"/>
    <w:rsid w:val="002078F9"/>
    <w:rsid w:val="00207B50"/>
    <w:rsid w:val="00207BAF"/>
    <w:rsid w:val="00207D6F"/>
    <w:rsid w:val="002103A7"/>
    <w:rsid w:val="00210A66"/>
    <w:rsid w:val="00210D16"/>
    <w:rsid w:val="002116AF"/>
    <w:rsid w:val="00211AF4"/>
    <w:rsid w:val="00211D11"/>
    <w:rsid w:val="00212555"/>
    <w:rsid w:val="00212D25"/>
    <w:rsid w:val="002139A3"/>
    <w:rsid w:val="00213C15"/>
    <w:rsid w:val="00213C54"/>
    <w:rsid w:val="0021412B"/>
    <w:rsid w:val="00214AEC"/>
    <w:rsid w:val="00214C2D"/>
    <w:rsid w:val="0021516F"/>
    <w:rsid w:val="00215E25"/>
    <w:rsid w:val="00215FA7"/>
    <w:rsid w:val="00216991"/>
    <w:rsid w:val="00216ED0"/>
    <w:rsid w:val="00216FAF"/>
    <w:rsid w:val="0021722A"/>
    <w:rsid w:val="00217545"/>
    <w:rsid w:val="0021760E"/>
    <w:rsid w:val="0021796B"/>
    <w:rsid w:val="00217980"/>
    <w:rsid w:val="00217A27"/>
    <w:rsid w:val="002207B5"/>
    <w:rsid w:val="00220C4D"/>
    <w:rsid w:val="00220F16"/>
    <w:rsid w:val="002213DD"/>
    <w:rsid w:val="00221CA6"/>
    <w:rsid w:val="00221D1F"/>
    <w:rsid w:val="002221EB"/>
    <w:rsid w:val="0022254D"/>
    <w:rsid w:val="0022285A"/>
    <w:rsid w:val="00222903"/>
    <w:rsid w:val="00222951"/>
    <w:rsid w:val="00222E84"/>
    <w:rsid w:val="00222EB1"/>
    <w:rsid w:val="00222EE5"/>
    <w:rsid w:val="0022332F"/>
    <w:rsid w:val="002233CF"/>
    <w:rsid w:val="00223AC6"/>
    <w:rsid w:val="00223C05"/>
    <w:rsid w:val="00223D45"/>
    <w:rsid w:val="00223D4C"/>
    <w:rsid w:val="002241F9"/>
    <w:rsid w:val="002244EE"/>
    <w:rsid w:val="002249AA"/>
    <w:rsid w:val="00224A74"/>
    <w:rsid w:val="00224FDD"/>
    <w:rsid w:val="002252D0"/>
    <w:rsid w:val="002252FA"/>
    <w:rsid w:val="0022539B"/>
    <w:rsid w:val="0022567C"/>
    <w:rsid w:val="0022581B"/>
    <w:rsid w:val="00225CCF"/>
    <w:rsid w:val="002262CC"/>
    <w:rsid w:val="00226382"/>
    <w:rsid w:val="00226423"/>
    <w:rsid w:val="002266F4"/>
    <w:rsid w:val="00226902"/>
    <w:rsid w:val="00226F97"/>
    <w:rsid w:val="002278FB"/>
    <w:rsid w:val="00227A62"/>
    <w:rsid w:val="00227AB5"/>
    <w:rsid w:val="00227B0F"/>
    <w:rsid w:val="00227FA1"/>
    <w:rsid w:val="00230230"/>
    <w:rsid w:val="00230291"/>
    <w:rsid w:val="00230563"/>
    <w:rsid w:val="0023082E"/>
    <w:rsid w:val="00230CAC"/>
    <w:rsid w:val="00232020"/>
    <w:rsid w:val="00232297"/>
    <w:rsid w:val="0023299D"/>
    <w:rsid w:val="00232EF5"/>
    <w:rsid w:val="002343A6"/>
    <w:rsid w:val="0023509C"/>
    <w:rsid w:val="00235866"/>
    <w:rsid w:val="00235C8D"/>
    <w:rsid w:val="0023602D"/>
    <w:rsid w:val="0023643C"/>
    <w:rsid w:val="00236B86"/>
    <w:rsid w:val="00236B99"/>
    <w:rsid w:val="00236F53"/>
    <w:rsid w:val="002374F1"/>
    <w:rsid w:val="0023785B"/>
    <w:rsid w:val="002378DD"/>
    <w:rsid w:val="00237CBE"/>
    <w:rsid w:val="0024081D"/>
    <w:rsid w:val="0024081F"/>
    <w:rsid w:val="00240BE7"/>
    <w:rsid w:val="00240DF8"/>
    <w:rsid w:val="00241375"/>
    <w:rsid w:val="00241425"/>
    <w:rsid w:val="002419CC"/>
    <w:rsid w:val="00241CF4"/>
    <w:rsid w:val="002420F4"/>
    <w:rsid w:val="00242142"/>
    <w:rsid w:val="00242D68"/>
    <w:rsid w:val="002434FB"/>
    <w:rsid w:val="002434FF"/>
    <w:rsid w:val="00243963"/>
    <w:rsid w:val="00243D73"/>
    <w:rsid w:val="002440BA"/>
    <w:rsid w:val="002444A4"/>
    <w:rsid w:val="0024464E"/>
    <w:rsid w:val="00244EB0"/>
    <w:rsid w:val="002451E1"/>
    <w:rsid w:val="00245523"/>
    <w:rsid w:val="00245D5E"/>
    <w:rsid w:val="0024675A"/>
    <w:rsid w:val="002473A5"/>
    <w:rsid w:val="0024747E"/>
    <w:rsid w:val="00247900"/>
    <w:rsid w:val="00247E13"/>
    <w:rsid w:val="00247E20"/>
    <w:rsid w:val="00247FD9"/>
    <w:rsid w:val="0025023B"/>
    <w:rsid w:val="00250500"/>
    <w:rsid w:val="00250600"/>
    <w:rsid w:val="0025079E"/>
    <w:rsid w:val="0025096A"/>
    <w:rsid w:val="00250D22"/>
    <w:rsid w:val="00250DA6"/>
    <w:rsid w:val="00251981"/>
    <w:rsid w:val="0025271A"/>
    <w:rsid w:val="0025285B"/>
    <w:rsid w:val="00253060"/>
    <w:rsid w:val="00254328"/>
    <w:rsid w:val="002543C2"/>
    <w:rsid w:val="002543F7"/>
    <w:rsid w:val="00254566"/>
    <w:rsid w:val="00254692"/>
    <w:rsid w:val="00254C5B"/>
    <w:rsid w:val="0025506A"/>
    <w:rsid w:val="00255878"/>
    <w:rsid w:val="00255C39"/>
    <w:rsid w:val="00255CA4"/>
    <w:rsid w:val="00256101"/>
    <w:rsid w:val="0025665D"/>
    <w:rsid w:val="00256D3F"/>
    <w:rsid w:val="00257072"/>
    <w:rsid w:val="002573C1"/>
    <w:rsid w:val="002574FE"/>
    <w:rsid w:val="00257663"/>
    <w:rsid w:val="00257C7C"/>
    <w:rsid w:val="002606CD"/>
    <w:rsid w:val="00260807"/>
    <w:rsid w:val="00260A99"/>
    <w:rsid w:val="00261C9F"/>
    <w:rsid w:val="0026221D"/>
    <w:rsid w:val="002622DF"/>
    <w:rsid w:val="0026255F"/>
    <w:rsid w:val="00262850"/>
    <w:rsid w:val="002629D9"/>
    <w:rsid w:val="00262C14"/>
    <w:rsid w:val="00262D53"/>
    <w:rsid w:val="00262F60"/>
    <w:rsid w:val="00263315"/>
    <w:rsid w:val="002635D5"/>
    <w:rsid w:val="00263820"/>
    <w:rsid w:val="00263B0E"/>
    <w:rsid w:val="00263B62"/>
    <w:rsid w:val="002640A3"/>
    <w:rsid w:val="00264ADF"/>
    <w:rsid w:val="0026542E"/>
    <w:rsid w:val="0026567F"/>
    <w:rsid w:val="00266176"/>
    <w:rsid w:val="00266629"/>
    <w:rsid w:val="00266999"/>
    <w:rsid w:val="002669BB"/>
    <w:rsid w:val="00266B09"/>
    <w:rsid w:val="002673A2"/>
    <w:rsid w:val="00267472"/>
    <w:rsid w:val="00267A12"/>
    <w:rsid w:val="0027030B"/>
    <w:rsid w:val="00270433"/>
    <w:rsid w:val="00270AB4"/>
    <w:rsid w:val="002711BC"/>
    <w:rsid w:val="0027173A"/>
    <w:rsid w:val="0027192D"/>
    <w:rsid w:val="00271A94"/>
    <w:rsid w:val="00271CD5"/>
    <w:rsid w:val="0027232D"/>
    <w:rsid w:val="0027297F"/>
    <w:rsid w:val="0027354B"/>
    <w:rsid w:val="00273935"/>
    <w:rsid w:val="00273A43"/>
    <w:rsid w:val="00273B1D"/>
    <w:rsid w:val="00273B98"/>
    <w:rsid w:val="00273C9F"/>
    <w:rsid w:val="00273F00"/>
    <w:rsid w:val="00273FBD"/>
    <w:rsid w:val="002740E5"/>
    <w:rsid w:val="002742CF"/>
    <w:rsid w:val="002745E5"/>
    <w:rsid w:val="00274D04"/>
    <w:rsid w:val="00274F6F"/>
    <w:rsid w:val="00275438"/>
    <w:rsid w:val="0027550E"/>
    <w:rsid w:val="00276317"/>
    <w:rsid w:val="0027644E"/>
    <w:rsid w:val="00276459"/>
    <w:rsid w:val="0027685D"/>
    <w:rsid w:val="002768C1"/>
    <w:rsid w:val="00276976"/>
    <w:rsid w:val="00276BA4"/>
    <w:rsid w:val="00276EDC"/>
    <w:rsid w:val="002774E7"/>
    <w:rsid w:val="00277855"/>
    <w:rsid w:val="00277A45"/>
    <w:rsid w:val="00277C2D"/>
    <w:rsid w:val="00277DE6"/>
    <w:rsid w:val="0028080A"/>
    <w:rsid w:val="00280A3B"/>
    <w:rsid w:val="00280BF4"/>
    <w:rsid w:val="00281F3D"/>
    <w:rsid w:val="00282293"/>
    <w:rsid w:val="00282740"/>
    <w:rsid w:val="00282D17"/>
    <w:rsid w:val="0028305F"/>
    <w:rsid w:val="0028337F"/>
    <w:rsid w:val="00283600"/>
    <w:rsid w:val="00284183"/>
    <w:rsid w:val="002844E2"/>
    <w:rsid w:val="00284EFD"/>
    <w:rsid w:val="0028505B"/>
    <w:rsid w:val="00285555"/>
    <w:rsid w:val="00285AF6"/>
    <w:rsid w:val="002860B7"/>
    <w:rsid w:val="00286276"/>
    <w:rsid w:val="002862DB"/>
    <w:rsid w:val="002864FA"/>
    <w:rsid w:val="002873ED"/>
    <w:rsid w:val="00287660"/>
    <w:rsid w:val="00287748"/>
    <w:rsid w:val="00290635"/>
    <w:rsid w:val="002915CC"/>
    <w:rsid w:val="00291863"/>
    <w:rsid w:val="00292D20"/>
    <w:rsid w:val="002930F7"/>
    <w:rsid w:val="00293515"/>
    <w:rsid w:val="00294F12"/>
    <w:rsid w:val="002961E8"/>
    <w:rsid w:val="00296444"/>
    <w:rsid w:val="00296727"/>
    <w:rsid w:val="0029674C"/>
    <w:rsid w:val="00296C6D"/>
    <w:rsid w:val="00297984"/>
    <w:rsid w:val="00297AE2"/>
    <w:rsid w:val="00297CC6"/>
    <w:rsid w:val="00297DEB"/>
    <w:rsid w:val="00297ED5"/>
    <w:rsid w:val="002A0115"/>
    <w:rsid w:val="002A02B5"/>
    <w:rsid w:val="002A0CB6"/>
    <w:rsid w:val="002A1867"/>
    <w:rsid w:val="002A2BAA"/>
    <w:rsid w:val="002A2BCF"/>
    <w:rsid w:val="002A2FB8"/>
    <w:rsid w:val="002A3754"/>
    <w:rsid w:val="002A3D2D"/>
    <w:rsid w:val="002A4533"/>
    <w:rsid w:val="002A4D34"/>
    <w:rsid w:val="002A564F"/>
    <w:rsid w:val="002A6356"/>
    <w:rsid w:val="002A6696"/>
    <w:rsid w:val="002A66CC"/>
    <w:rsid w:val="002A6B70"/>
    <w:rsid w:val="002A71CD"/>
    <w:rsid w:val="002A7815"/>
    <w:rsid w:val="002A7E1F"/>
    <w:rsid w:val="002A7FCE"/>
    <w:rsid w:val="002B0327"/>
    <w:rsid w:val="002B0995"/>
    <w:rsid w:val="002B0F01"/>
    <w:rsid w:val="002B1DA8"/>
    <w:rsid w:val="002B2870"/>
    <w:rsid w:val="002B29F5"/>
    <w:rsid w:val="002B2AC9"/>
    <w:rsid w:val="002B2F83"/>
    <w:rsid w:val="002B314E"/>
    <w:rsid w:val="002B3B02"/>
    <w:rsid w:val="002B4ED0"/>
    <w:rsid w:val="002B5050"/>
    <w:rsid w:val="002B5D4F"/>
    <w:rsid w:val="002B6142"/>
    <w:rsid w:val="002B67CA"/>
    <w:rsid w:val="002B6A21"/>
    <w:rsid w:val="002B761F"/>
    <w:rsid w:val="002C11D0"/>
    <w:rsid w:val="002C1C1D"/>
    <w:rsid w:val="002C226C"/>
    <w:rsid w:val="002C242F"/>
    <w:rsid w:val="002C285C"/>
    <w:rsid w:val="002C3B17"/>
    <w:rsid w:val="002C40BF"/>
    <w:rsid w:val="002C4297"/>
    <w:rsid w:val="002C4A85"/>
    <w:rsid w:val="002C5437"/>
    <w:rsid w:val="002C5518"/>
    <w:rsid w:val="002C565D"/>
    <w:rsid w:val="002C6204"/>
    <w:rsid w:val="002C668E"/>
    <w:rsid w:val="002C6FEC"/>
    <w:rsid w:val="002C7253"/>
    <w:rsid w:val="002D055F"/>
    <w:rsid w:val="002D09C5"/>
    <w:rsid w:val="002D0B39"/>
    <w:rsid w:val="002D1076"/>
    <w:rsid w:val="002D1515"/>
    <w:rsid w:val="002D17E0"/>
    <w:rsid w:val="002D1D7A"/>
    <w:rsid w:val="002D2158"/>
    <w:rsid w:val="002D2BD6"/>
    <w:rsid w:val="002D3279"/>
    <w:rsid w:val="002D3636"/>
    <w:rsid w:val="002D3C7B"/>
    <w:rsid w:val="002D3EFD"/>
    <w:rsid w:val="002D4049"/>
    <w:rsid w:val="002D4700"/>
    <w:rsid w:val="002D4ED9"/>
    <w:rsid w:val="002D50F9"/>
    <w:rsid w:val="002D6347"/>
    <w:rsid w:val="002D6AFF"/>
    <w:rsid w:val="002D71A2"/>
    <w:rsid w:val="002D72BE"/>
    <w:rsid w:val="002D75BB"/>
    <w:rsid w:val="002E0496"/>
    <w:rsid w:val="002E07E1"/>
    <w:rsid w:val="002E08D3"/>
    <w:rsid w:val="002E0C62"/>
    <w:rsid w:val="002E1137"/>
    <w:rsid w:val="002E1D72"/>
    <w:rsid w:val="002E1FE8"/>
    <w:rsid w:val="002E21E3"/>
    <w:rsid w:val="002E2AA7"/>
    <w:rsid w:val="002E2F14"/>
    <w:rsid w:val="002E3199"/>
    <w:rsid w:val="002E3676"/>
    <w:rsid w:val="002E404C"/>
    <w:rsid w:val="002E44D6"/>
    <w:rsid w:val="002E4820"/>
    <w:rsid w:val="002E4C74"/>
    <w:rsid w:val="002E4FC2"/>
    <w:rsid w:val="002E5234"/>
    <w:rsid w:val="002E5CD9"/>
    <w:rsid w:val="002E5D5A"/>
    <w:rsid w:val="002E6602"/>
    <w:rsid w:val="002E6C7D"/>
    <w:rsid w:val="002E76D9"/>
    <w:rsid w:val="002E7D9E"/>
    <w:rsid w:val="002F0375"/>
    <w:rsid w:val="002F0689"/>
    <w:rsid w:val="002F0824"/>
    <w:rsid w:val="002F099D"/>
    <w:rsid w:val="002F0CA9"/>
    <w:rsid w:val="002F0E4B"/>
    <w:rsid w:val="002F108A"/>
    <w:rsid w:val="002F1172"/>
    <w:rsid w:val="002F1980"/>
    <w:rsid w:val="002F21AD"/>
    <w:rsid w:val="002F236D"/>
    <w:rsid w:val="002F24DD"/>
    <w:rsid w:val="002F255A"/>
    <w:rsid w:val="002F2592"/>
    <w:rsid w:val="002F2E8F"/>
    <w:rsid w:val="002F2EEF"/>
    <w:rsid w:val="002F3050"/>
    <w:rsid w:val="002F339B"/>
    <w:rsid w:val="002F34BC"/>
    <w:rsid w:val="002F351D"/>
    <w:rsid w:val="002F35E3"/>
    <w:rsid w:val="002F3804"/>
    <w:rsid w:val="002F388F"/>
    <w:rsid w:val="002F3C1C"/>
    <w:rsid w:val="002F3CFA"/>
    <w:rsid w:val="002F3DED"/>
    <w:rsid w:val="002F42EA"/>
    <w:rsid w:val="002F437A"/>
    <w:rsid w:val="002F4AB7"/>
    <w:rsid w:val="002F4E88"/>
    <w:rsid w:val="002F556B"/>
    <w:rsid w:val="002F59DF"/>
    <w:rsid w:val="002F5CCD"/>
    <w:rsid w:val="002F616F"/>
    <w:rsid w:val="002F6775"/>
    <w:rsid w:val="002F7240"/>
    <w:rsid w:val="002F7372"/>
    <w:rsid w:val="002F7FA0"/>
    <w:rsid w:val="0030008B"/>
    <w:rsid w:val="003000A0"/>
    <w:rsid w:val="00300B60"/>
    <w:rsid w:val="0030133D"/>
    <w:rsid w:val="003013BF"/>
    <w:rsid w:val="0030208A"/>
    <w:rsid w:val="003022B7"/>
    <w:rsid w:val="0030245B"/>
    <w:rsid w:val="00303820"/>
    <w:rsid w:val="00303956"/>
    <w:rsid w:val="0030397F"/>
    <w:rsid w:val="00303AED"/>
    <w:rsid w:val="00304089"/>
    <w:rsid w:val="003041FA"/>
    <w:rsid w:val="00304A0D"/>
    <w:rsid w:val="00304B56"/>
    <w:rsid w:val="00304C02"/>
    <w:rsid w:val="00304E3B"/>
    <w:rsid w:val="00305E16"/>
    <w:rsid w:val="00305E67"/>
    <w:rsid w:val="00306393"/>
    <w:rsid w:val="0030650F"/>
    <w:rsid w:val="00306766"/>
    <w:rsid w:val="00306BA9"/>
    <w:rsid w:val="00306C41"/>
    <w:rsid w:val="00306D36"/>
    <w:rsid w:val="00310524"/>
    <w:rsid w:val="00310763"/>
    <w:rsid w:val="00310BBD"/>
    <w:rsid w:val="00310C3D"/>
    <w:rsid w:val="00310FC4"/>
    <w:rsid w:val="00311C44"/>
    <w:rsid w:val="003123BE"/>
    <w:rsid w:val="003128FE"/>
    <w:rsid w:val="0031302E"/>
    <w:rsid w:val="003135E2"/>
    <w:rsid w:val="0031403C"/>
    <w:rsid w:val="003140E0"/>
    <w:rsid w:val="00314AE8"/>
    <w:rsid w:val="003151A9"/>
    <w:rsid w:val="003151F3"/>
    <w:rsid w:val="003155E0"/>
    <w:rsid w:val="00315B39"/>
    <w:rsid w:val="00315E7E"/>
    <w:rsid w:val="00315F91"/>
    <w:rsid w:val="00316256"/>
    <w:rsid w:val="00316EE5"/>
    <w:rsid w:val="00317456"/>
    <w:rsid w:val="003175EA"/>
    <w:rsid w:val="003177B4"/>
    <w:rsid w:val="0031797E"/>
    <w:rsid w:val="00317B49"/>
    <w:rsid w:val="00320C3B"/>
    <w:rsid w:val="00321585"/>
    <w:rsid w:val="00321CCA"/>
    <w:rsid w:val="00322AC4"/>
    <w:rsid w:val="00322FC0"/>
    <w:rsid w:val="003231A7"/>
    <w:rsid w:val="003231F6"/>
    <w:rsid w:val="0032370A"/>
    <w:rsid w:val="0032392D"/>
    <w:rsid w:val="00323A9F"/>
    <w:rsid w:val="00323F05"/>
    <w:rsid w:val="00323F63"/>
    <w:rsid w:val="00323FCE"/>
    <w:rsid w:val="003242E9"/>
    <w:rsid w:val="003246A8"/>
    <w:rsid w:val="00324781"/>
    <w:rsid w:val="0032487B"/>
    <w:rsid w:val="00325263"/>
    <w:rsid w:val="00325290"/>
    <w:rsid w:val="00326B5C"/>
    <w:rsid w:val="00326B83"/>
    <w:rsid w:val="003271E5"/>
    <w:rsid w:val="00327FD5"/>
    <w:rsid w:val="0033012F"/>
    <w:rsid w:val="0033046D"/>
    <w:rsid w:val="00330488"/>
    <w:rsid w:val="00330879"/>
    <w:rsid w:val="00330BB5"/>
    <w:rsid w:val="0033115E"/>
    <w:rsid w:val="00331684"/>
    <w:rsid w:val="0033192E"/>
    <w:rsid w:val="00331A4D"/>
    <w:rsid w:val="003329DE"/>
    <w:rsid w:val="003330D7"/>
    <w:rsid w:val="00333106"/>
    <w:rsid w:val="003332B1"/>
    <w:rsid w:val="003332CC"/>
    <w:rsid w:val="003336CF"/>
    <w:rsid w:val="00333758"/>
    <w:rsid w:val="00333977"/>
    <w:rsid w:val="00333DF9"/>
    <w:rsid w:val="003340BB"/>
    <w:rsid w:val="003342CD"/>
    <w:rsid w:val="00334C0B"/>
    <w:rsid w:val="00334C1F"/>
    <w:rsid w:val="00335014"/>
    <w:rsid w:val="00335042"/>
    <w:rsid w:val="00335581"/>
    <w:rsid w:val="00335DDB"/>
    <w:rsid w:val="00336068"/>
    <w:rsid w:val="00336082"/>
    <w:rsid w:val="003362A4"/>
    <w:rsid w:val="00336A8E"/>
    <w:rsid w:val="00336BF4"/>
    <w:rsid w:val="00337058"/>
    <w:rsid w:val="003372BA"/>
    <w:rsid w:val="003407E9"/>
    <w:rsid w:val="00340E1E"/>
    <w:rsid w:val="00341073"/>
    <w:rsid w:val="003411E0"/>
    <w:rsid w:val="003422EF"/>
    <w:rsid w:val="00342411"/>
    <w:rsid w:val="00342516"/>
    <w:rsid w:val="003426C4"/>
    <w:rsid w:val="00342EC8"/>
    <w:rsid w:val="003435D9"/>
    <w:rsid w:val="003436BC"/>
    <w:rsid w:val="003438F0"/>
    <w:rsid w:val="00343B9C"/>
    <w:rsid w:val="00345167"/>
    <w:rsid w:val="003457A9"/>
    <w:rsid w:val="00345AB4"/>
    <w:rsid w:val="00345B03"/>
    <w:rsid w:val="00345B5B"/>
    <w:rsid w:val="00345CFE"/>
    <w:rsid w:val="003463B9"/>
    <w:rsid w:val="003466C9"/>
    <w:rsid w:val="00346DDB"/>
    <w:rsid w:val="00347021"/>
    <w:rsid w:val="003473EF"/>
    <w:rsid w:val="00347AAD"/>
    <w:rsid w:val="00347B38"/>
    <w:rsid w:val="003504BC"/>
    <w:rsid w:val="00350963"/>
    <w:rsid w:val="00350B9E"/>
    <w:rsid w:val="003511EA"/>
    <w:rsid w:val="00351BC5"/>
    <w:rsid w:val="003524F6"/>
    <w:rsid w:val="00352859"/>
    <w:rsid w:val="00352869"/>
    <w:rsid w:val="00352BA1"/>
    <w:rsid w:val="00353472"/>
    <w:rsid w:val="00353979"/>
    <w:rsid w:val="00353ACD"/>
    <w:rsid w:val="00353C26"/>
    <w:rsid w:val="00354111"/>
    <w:rsid w:val="003549CE"/>
    <w:rsid w:val="00355920"/>
    <w:rsid w:val="00355930"/>
    <w:rsid w:val="0035686D"/>
    <w:rsid w:val="00356BA7"/>
    <w:rsid w:val="003578F9"/>
    <w:rsid w:val="00357C9B"/>
    <w:rsid w:val="00360032"/>
    <w:rsid w:val="0036048B"/>
    <w:rsid w:val="0036055E"/>
    <w:rsid w:val="0036090D"/>
    <w:rsid w:val="003609A8"/>
    <w:rsid w:val="00361228"/>
    <w:rsid w:val="0036156A"/>
    <w:rsid w:val="00362B70"/>
    <w:rsid w:val="00362F2B"/>
    <w:rsid w:val="0036368F"/>
    <w:rsid w:val="003642CD"/>
    <w:rsid w:val="003642E2"/>
    <w:rsid w:val="00365A2C"/>
    <w:rsid w:val="00366772"/>
    <w:rsid w:val="00366B78"/>
    <w:rsid w:val="00366D01"/>
    <w:rsid w:val="00366D15"/>
    <w:rsid w:val="00366FA2"/>
    <w:rsid w:val="00367348"/>
    <w:rsid w:val="0036748A"/>
    <w:rsid w:val="003674D9"/>
    <w:rsid w:val="003676B2"/>
    <w:rsid w:val="00367D4F"/>
    <w:rsid w:val="00367D50"/>
    <w:rsid w:val="00370101"/>
    <w:rsid w:val="0037056A"/>
    <w:rsid w:val="00370635"/>
    <w:rsid w:val="003706CA"/>
    <w:rsid w:val="00370D72"/>
    <w:rsid w:val="00370DAD"/>
    <w:rsid w:val="00370FC8"/>
    <w:rsid w:val="00371143"/>
    <w:rsid w:val="00371241"/>
    <w:rsid w:val="00372244"/>
    <w:rsid w:val="0037250B"/>
    <w:rsid w:val="00372E09"/>
    <w:rsid w:val="003737E2"/>
    <w:rsid w:val="00373B5A"/>
    <w:rsid w:val="003742E4"/>
    <w:rsid w:val="00374673"/>
    <w:rsid w:val="00374E46"/>
    <w:rsid w:val="0037537A"/>
    <w:rsid w:val="00375547"/>
    <w:rsid w:val="0037568F"/>
    <w:rsid w:val="0037585B"/>
    <w:rsid w:val="00375A3A"/>
    <w:rsid w:val="00375EC3"/>
    <w:rsid w:val="003760CF"/>
    <w:rsid w:val="003762AA"/>
    <w:rsid w:val="00376838"/>
    <w:rsid w:val="003768DC"/>
    <w:rsid w:val="00376D0D"/>
    <w:rsid w:val="0037722A"/>
    <w:rsid w:val="003772E6"/>
    <w:rsid w:val="003777E6"/>
    <w:rsid w:val="00377970"/>
    <w:rsid w:val="00377BF1"/>
    <w:rsid w:val="00377C85"/>
    <w:rsid w:val="00377EC1"/>
    <w:rsid w:val="003801A1"/>
    <w:rsid w:val="003804BE"/>
    <w:rsid w:val="00380B70"/>
    <w:rsid w:val="0038132C"/>
    <w:rsid w:val="00381736"/>
    <w:rsid w:val="00381851"/>
    <w:rsid w:val="00381DE8"/>
    <w:rsid w:val="003822F5"/>
    <w:rsid w:val="00383955"/>
    <w:rsid w:val="003840D7"/>
    <w:rsid w:val="003845CC"/>
    <w:rsid w:val="00384659"/>
    <w:rsid w:val="00384D0A"/>
    <w:rsid w:val="00384EED"/>
    <w:rsid w:val="003852E3"/>
    <w:rsid w:val="00386100"/>
    <w:rsid w:val="003861FF"/>
    <w:rsid w:val="00386581"/>
    <w:rsid w:val="0038662D"/>
    <w:rsid w:val="00386D34"/>
    <w:rsid w:val="00387033"/>
    <w:rsid w:val="00387231"/>
    <w:rsid w:val="0038772B"/>
    <w:rsid w:val="00387C45"/>
    <w:rsid w:val="00387D4F"/>
    <w:rsid w:val="00387DA9"/>
    <w:rsid w:val="00387FB7"/>
    <w:rsid w:val="00390047"/>
    <w:rsid w:val="003901A6"/>
    <w:rsid w:val="003904F8"/>
    <w:rsid w:val="00390549"/>
    <w:rsid w:val="003906C2"/>
    <w:rsid w:val="00390735"/>
    <w:rsid w:val="003909E3"/>
    <w:rsid w:val="00390BDB"/>
    <w:rsid w:val="00390D9C"/>
    <w:rsid w:val="00391427"/>
    <w:rsid w:val="003917CF"/>
    <w:rsid w:val="0039192E"/>
    <w:rsid w:val="00391C43"/>
    <w:rsid w:val="003922E1"/>
    <w:rsid w:val="003929BA"/>
    <w:rsid w:val="00392BBA"/>
    <w:rsid w:val="00392C1E"/>
    <w:rsid w:val="00392FB9"/>
    <w:rsid w:val="003937D3"/>
    <w:rsid w:val="00393A30"/>
    <w:rsid w:val="00394191"/>
    <w:rsid w:val="003945E9"/>
    <w:rsid w:val="003948C6"/>
    <w:rsid w:val="00394CFE"/>
    <w:rsid w:val="0039530D"/>
    <w:rsid w:val="00395312"/>
    <w:rsid w:val="003954FD"/>
    <w:rsid w:val="00395DA6"/>
    <w:rsid w:val="003961EE"/>
    <w:rsid w:val="00396558"/>
    <w:rsid w:val="003967C4"/>
    <w:rsid w:val="003968C1"/>
    <w:rsid w:val="003970F4"/>
    <w:rsid w:val="00397DD6"/>
    <w:rsid w:val="00397FD7"/>
    <w:rsid w:val="003A01B2"/>
    <w:rsid w:val="003A03B1"/>
    <w:rsid w:val="003A042B"/>
    <w:rsid w:val="003A0696"/>
    <w:rsid w:val="003A0942"/>
    <w:rsid w:val="003A0D3A"/>
    <w:rsid w:val="003A0F79"/>
    <w:rsid w:val="003A1061"/>
    <w:rsid w:val="003A1617"/>
    <w:rsid w:val="003A1780"/>
    <w:rsid w:val="003A1DEA"/>
    <w:rsid w:val="003A24C8"/>
    <w:rsid w:val="003A38A3"/>
    <w:rsid w:val="003A42C5"/>
    <w:rsid w:val="003A44FC"/>
    <w:rsid w:val="003A4928"/>
    <w:rsid w:val="003A4CFB"/>
    <w:rsid w:val="003A4E9E"/>
    <w:rsid w:val="003A5A2E"/>
    <w:rsid w:val="003A5AA6"/>
    <w:rsid w:val="003A5F5F"/>
    <w:rsid w:val="003A6064"/>
    <w:rsid w:val="003A63D6"/>
    <w:rsid w:val="003A6B1C"/>
    <w:rsid w:val="003A6B54"/>
    <w:rsid w:val="003A6F35"/>
    <w:rsid w:val="003A73E3"/>
    <w:rsid w:val="003A75DB"/>
    <w:rsid w:val="003A767D"/>
    <w:rsid w:val="003A7706"/>
    <w:rsid w:val="003A7CD5"/>
    <w:rsid w:val="003B0009"/>
    <w:rsid w:val="003B098A"/>
    <w:rsid w:val="003B0A20"/>
    <w:rsid w:val="003B0DE5"/>
    <w:rsid w:val="003B0F7A"/>
    <w:rsid w:val="003B139C"/>
    <w:rsid w:val="003B14A9"/>
    <w:rsid w:val="003B1869"/>
    <w:rsid w:val="003B1BA3"/>
    <w:rsid w:val="003B2083"/>
    <w:rsid w:val="003B24F9"/>
    <w:rsid w:val="003B31A8"/>
    <w:rsid w:val="003B33C7"/>
    <w:rsid w:val="003B3457"/>
    <w:rsid w:val="003B40F6"/>
    <w:rsid w:val="003B434F"/>
    <w:rsid w:val="003B4377"/>
    <w:rsid w:val="003B472F"/>
    <w:rsid w:val="003B4CD0"/>
    <w:rsid w:val="003B4E65"/>
    <w:rsid w:val="003B529C"/>
    <w:rsid w:val="003B58E0"/>
    <w:rsid w:val="003B5D97"/>
    <w:rsid w:val="003B5FB0"/>
    <w:rsid w:val="003B61DA"/>
    <w:rsid w:val="003B6EFE"/>
    <w:rsid w:val="003B794C"/>
    <w:rsid w:val="003C00C5"/>
    <w:rsid w:val="003C014C"/>
    <w:rsid w:val="003C117C"/>
    <w:rsid w:val="003C1E55"/>
    <w:rsid w:val="003C224B"/>
    <w:rsid w:val="003C2480"/>
    <w:rsid w:val="003C2657"/>
    <w:rsid w:val="003C2A3D"/>
    <w:rsid w:val="003C2BEE"/>
    <w:rsid w:val="003C2E45"/>
    <w:rsid w:val="003C3A87"/>
    <w:rsid w:val="003C3A94"/>
    <w:rsid w:val="003C3C76"/>
    <w:rsid w:val="003C49BA"/>
    <w:rsid w:val="003C4D89"/>
    <w:rsid w:val="003C513D"/>
    <w:rsid w:val="003C520D"/>
    <w:rsid w:val="003C594F"/>
    <w:rsid w:val="003C5B12"/>
    <w:rsid w:val="003C5D49"/>
    <w:rsid w:val="003C60B9"/>
    <w:rsid w:val="003C6C78"/>
    <w:rsid w:val="003C736B"/>
    <w:rsid w:val="003C7449"/>
    <w:rsid w:val="003C76BB"/>
    <w:rsid w:val="003C7907"/>
    <w:rsid w:val="003C7D75"/>
    <w:rsid w:val="003C7F0D"/>
    <w:rsid w:val="003CB590"/>
    <w:rsid w:val="003D06AD"/>
    <w:rsid w:val="003D0C89"/>
    <w:rsid w:val="003D0E9D"/>
    <w:rsid w:val="003D1160"/>
    <w:rsid w:val="003D1647"/>
    <w:rsid w:val="003D18F2"/>
    <w:rsid w:val="003D1C24"/>
    <w:rsid w:val="003D1C29"/>
    <w:rsid w:val="003D23C8"/>
    <w:rsid w:val="003D264F"/>
    <w:rsid w:val="003D347B"/>
    <w:rsid w:val="003D34B4"/>
    <w:rsid w:val="003D3A70"/>
    <w:rsid w:val="003D3FC1"/>
    <w:rsid w:val="003D4193"/>
    <w:rsid w:val="003D45C2"/>
    <w:rsid w:val="003D5446"/>
    <w:rsid w:val="003D5B97"/>
    <w:rsid w:val="003D5ED7"/>
    <w:rsid w:val="003D6086"/>
    <w:rsid w:val="003D60D7"/>
    <w:rsid w:val="003D6227"/>
    <w:rsid w:val="003D62EF"/>
    <w:rsid w:val="003D64C2"/>
    <w:rsid w:val="003D6DDA"/>
    <w:rsid w:val="003D7ED4"/>
    <w:rsid w:val="003E035D"/>
    <w:rsid w:val="003E0811"/>
    <w:rsid w:val="003E081A"/>
    <w:rsid w:val="003E09B5"/>
    <w:rsid w:val="003E09D4"/>
    <w:rsid w:val="003E0C47"/>
    <w:rsid w:val="003E0EA4"/>
    <w:rsid w:val="003E1092"/>
    <w:rsid w:val="003E1C6D"/>
    <w:rsid w:val="003E1C7E"/>
    <w:rsid w:val="003E1CE3"/>
    <w:rsid w:val="003E1F6B"/>
    <w:rsid w:val="003E396E"/>
    <w:rsid w:val="003E40A4"/>
    <w:rsid w:val="003E429A"/>
    <w:rsid w:val="003E4AB7"/>
    <w:rsid w:val="003E50C8"/>
    <w:rsid w:val="003E5463"/>
    <w:rsid w:val="003E59E0"/>
    <w:rsid w:val="003E648F"/>
    <w:rsid w:val="003E6995"/>
    <w:rsid w:val="003E6A6A"/>
    <w:rsid w:val="003E6DE7"/>
    <w:rsid w:val="003E6ED3"/>
    <w:rsid w:val="003E73E0"/>
    <w:rsid w:val="003E7D33"/>
    <w:rsid w:val="003F0173"/>
    <w:rsid w:val="003F0528"/>
    <w:rsid w:val="003F0AC8"/>
    <w:rsid w:val="003F0C83"/>
    <w:rsid w:val="003F0E05"/>
    <w:rsid w:val="003F0E7E"/>
    <w:rsid w:val="003F1568"/>
    <w:rsid w:val="003F1917"/>
    <w:rsid w:val="003F19BE"/>
    <w:rsid w:val="003F1BB3"/>
    <w:rsid w:val="003F1C47"/>
    <w:rsid w:val="003F2689"/>
    <w:rsid w:val="003F29A8"/>
    <w:rsid w:val="003F2ABD"/>
    <w:rsid w:val="003F2E53"/>
    <w:rsid w:val="003F34BB"/>
    <w:rsid w:val="003F3A82"/>
    <w:rsid w:val="003F41DB"/>
    <w:rsid w:val="003F4278"/>
    <w:rsid w:val="003F44B5"/>
    <w:rsid w:val="003F5226"/>
    <w:rsid w:val="003F5B5C"/>
    <w:rsid w:val="003F5F10"/>
    <w:rsid w:val="003F65FF"/>
    <w:rsid w:val="003F68B6"/>
    <w:rsid w:val="003F6AB5"/>
    <w:rsid w:val="003F7564"/>
    <w:rsid w:val="003F79DB"/>
    <w:rsid w:val="0040006F"/>
    <w:rsid w:val="00400E61"/>
    <w:rsid w:val="00401098"/>
    <w:rsid w:val="0040117D"/>
    <w:rsid w:val="004011D7"/>
    <w:rsid w:val="00401DCD"/>
    <w:rsid w:val="00402251"/>
    <w:rsid w:val="0040266C"/>
    <w:rsid w:val="004033E1"/>
    <w:rsid w:val="00403A36"/>
    <w:rsid w:val="00404016"/>
    <w:rsid w:val="0040403F"/>
    <w:rsid w:val="0040449A"/>
    <w:rsid w:val="0040496D"/>
    <w:rsid w:val="00404A95"/>
    <w:rsid w:val="00405071"/>
    <w:rsid w:val="004052A6"/>
    <w:rsid w:val="004054BE"/>
    <w:rsid w:val="004057DB"/>
    <w:rsid w:val="00405D0A"/>
    <w:rsid w:val="00405F40"/>
    <w:rsid w:val="004063D6"/>
    <w:rsid w:val="00406D1F"/>
    <w:rsid w:val="00407232"/>
    <w:rsid w:val="00407760"/>
    <w:rsid w:val="00407929"/>
    <w:rsid w:val="00407BD5"/>
    <w:rsid w:val="00407BD7"/>
    <w:rsid w:val="00407D35"/>
    <w:rsid w:val="00407F92"/>
    <w:rsid w:val="004108B9"/>
    <w:rsid w:val="004109EB"/>
    <w:rsid w:val="00410A05"/>
    <w:rsid w:val="00411686"/>
    <w:rsid w:val="00411C68"/>
    <w:rsid w:val="00411F33"/>
    <w:rsid w:val="004121EF"/>
    <w:rsid w:val="00412B6B"/>
    <w:rsid w:val="0041314F"/>
    <w:rsid w:val="004133E7"/>
    <w:rsid w:val="004133EB"/>
    <w:rsid w:val="004134C8"/>
    <w:rsid w:val="004137F7"/>
    <w:rsid w:val="004139FB"/>
    <w:rsid w:val="00413B9D"/>
    <w:rsid w:val="00413C06"/>
    <w:rsid w:val="004151B1"/>
    <w:rsid w:val="004158CC"/>
    <w:rsid w:val="00416BB6"/>
    <w:rsid w:val="00416E05"/>
    <w:rsid w:val="00417DF1"/>
    <w:rsid w:val="00417E84"/>
    <w:rsid w:val="00420B68"/>
    <w:rsid w:val="00420BC4"/>
    <w:rsid w:val="00421804"/>
    <w:rsid w:val="00421ADA"/>
    <w:rsid w:val="0042245B"/>
    <w:rsid w:val="004225C1"/>
    <w:rsid w:val="0042267E"/>
    <w:rsid w:val="00422713"/>
    <w:rsid w:val="0042277E"/>
    <w:rsid w:val="00422D60"/>
    <w:rsid w:val="0042317A"/>
    <w:rsid w:val="004233A1"/>
    <w:rsid w:val="004237F1"/>
    <w:rsid w:val="00423F36"/>
    <w:rsid w:val="0042431D"/>
    <w:rsid w:val="0042446C"/>
    <w:rsid w:val="00424907"/>
    <w:rsid w:val="00425430"/>
    <w:rsid w:val="004259DE"/>
    <w:rsid w:val="00426434"/>
    <w:rsid w:val="00426490"/>
    <w:rsid w:val="00426581"/>
    <w:rsid w:val="00426775"/>
    <w:rsid w:val="0042692D"/>
    <w:rsid w:val="00426B3A"/>
    <w:rsid w:val="00426C0C"/>
    <w:rsid w:val="0042705F"/>
    <w:rsid w:val="004270A4"/>
    <w:rsid w:val="00427A22"/>
    <w:rsid w:val="00427AB2"/>
    <w:rsid w:val="00427D55"/>
    <w:rsid w:val="00427F3A"/>
    <w:rsid w:val="00427F7A"/>
    <w:rsid w:val="00430269"/>
    <w:rsid w:val="004302FE"/>
    <w:rsid w:val="004306D4"/>
    <w:rsid w:val="0043076C"/>
    <w:rsid w:val="00430B3E"/>
    <w:rsid w:val="0043121F"/>
    <w:rsid w:val="0043187A"/>
    <w:rsid w:val="00431A4E"/>
    <w:rsid w:val="00431C3C"/>
    <w:rsid w:val="00431C70"/>
    <w:rsid w:val="00432078"/>
    <w:rsid w:val="004329E6"/>
    <w:rsid w:val="00432DB1"/>
    <w:rsid w:val="00433045"/>
    <w:rsid w:val="004330A7"/>
    <w:rsid w:val="00433265"/>
    <w:rsid w:val="0043329F"/>
    <w:rsid w:val="00433BD9"/>
    <w:rsid w:val="00434909"/>
    <w:rsid w:val="0043496A"/>
    <w:rsid w:val="00434BE6"/>
    <w:rsid w:val="00434CCE"/>
    <w:rsid w:val="00434D1F"/>
    <w:rsid w:val="004357F3"/>
    <w:rsid w:val="00435DC6"/>
    <w:rsid w:val="00435FB3"/>
    <w:rsid w:val="0043672E"/>
    <w:rsid w:val="00436816"/>
    <w:rsid w:val="00436A4B"/>
    <w:rsid w:val="00437297"/>
    <w:rsid w:val="004372B6"/>
    <w:rsid w:val="00437303"/>
    <w:rsid w:val="0044001E"/>
    <w:rsid w:val="004400B1"/>
    <w:rsid w:val="0044012C"/>
    <w:rsid w:val="0044070E"/>
    <w:rsid w:val="00440F6D"/>
    <w:rsid w:val="004418A3"/>
    <w:rsid w:val="004429C7"/>
    <w:rsid w:val="00442B0A"/>
    <w:rsid w:val="00442BCE"/>
    <w:rsid w:val="00442F79"/>
    <w:rsid w:val="004434D0"/>
    <w:rsid w:val="004436B3"/>
    <w:rsid w:val="00443A5E"/>
    <w:rsid w:val="00443B16"/>
    <w:rsid w:val="00443D38"/>
    <w:rsid w:val="00443D7A"/>
    <w:rsid w:val="0044427C"/>
    <w:rsid w:val="00444331"/>
    <w:rsid w:val="004446E1"/>
    <w:rsid w:val="004452BA"/>
    <w:rsid w:val="004455E6"/>
    <w:rsid w:val="004457B4"/>
    <w:rsid w:val="00445F98"/>
    <w:rsid w:val="0044642C"/>
    <w:rsid w:val="004467C4"/>
    <w:rsid w:val="00446B87"/>
    <w:rsid w:val="00447099"/>
    <w:rsid w:val="00447A61"/>
    <w:rsid w:val="00447A66"/>
    <w:rsid w:val="004504EC"/>
    <w:rsid w:val="00450847"/>
    <w:rsid w:val="00450A11"/>
    <w:rsid w:val="00450A7C"/>
    <w:rsid w:val="00450C08"/>
    <w:rsid w:val="00450CAB"/>
    <w:rsid w:val="00450E78"/>
    <w:rsid w:val="00451038"/>
    <w:rsid w:val="0045164E"/>
    <w:rsid w:val="00451812"/>
    <w:rsid w:val="0045181B"/>
    <w:rsid w:val="00451B3F"/>
    <w:rsid w:val="00451FA0"/>
    <w:rsid w:val="00452190"/>
    <w:rsid w:val="004521E3"/>
    <w:rsid w:val="00453294"/>
    <w:rsid w:val="00453DD1"/>
    <w:rsid w:val="00453DD6"/>
    <w:rsid w:val="00454697"/>
    <w:rsid w:val="00454C7B"/>
    <w:rsid w:val="00454E6E"/>
    <w:rsid w:val="00455634"/>
    <w:rsid w:val="00455D4C"/>
    <w:rsid w:val="00456463"/>
    <w:rsid w:val="00456568"/>
    <w:rsid w:val="004567CB"/>
    <w:rsid w:val="004567EA"/>
    <w:rsid w:val="00456DF6"/>
    <w:rsid w:val="0045722F"/>
    <w:rsid w:val="0045783C"/>
    <w:rsid w:val="00457B57"/>
    <w:rsid w:val="0046023C"/>
    <w:rsid w:val="0046064E"/>
    <w:rsid w:val="004607C8"/>
    <w:rsid w:val="004607D5"/>
    <w:rsid w:val="0046084D"/>
    <w:rsid w:val="00461289"/>
    <w:rsid w:val="004613E4"/>
    <w:rsid w:val="00461487"/>
    <w:rsid w:val="00461994"/>
    <w:rsid w:val="00461C72"/>
    <w:rsid w:val="00462095"/>
    <w:rsid w:val="00462384"/>
    <w:rsid w:val="00462899"/>
    <w:rsid w:val="00462BE5"/>
    <w:rsid w:val="0046318E"/>
    <w:rsid w:val="004636CE"/>
    <w:rsid w:val="00463947"/>
    <w:rsid w:val="00463B4A"/>
    <w:rsid w:val="0046412B"/>
    <w:rsid w:val="0046459D"/>
    <w:rsid w:val="004647C4"/>
    <w:rsid w:val="004648B8"/>
    <w:rsid w:val="00464C2C"/>
    <w:rsid w:val="004654C2"/>
    <w:rsid w:val="004655C9"/>
    <w:rsid w:val="00465832"/>
    <w:rsid w:val="004662DD"/>
    <w:rsid w:val="004663E6"/>
    <w:rsid w:val="004668D4"/>
    <w:rsid w:val="00466FD3"/>
    <w:rsid w:val="004673C3"/>
    <w:rsid w:val="00467965"/>
    <w:rsid w:val="00467B89"/>
    <w:rsid w:val="00467C41"/>
    <w:rsid w:val="00470330"/>
    <w:rsid w:val="0047077C"/>
    <w:rsid w:val="00470929"/>
    <w:rsid w:val="004710A5"/>
    <w:rsid w:val="004712D4"/>
    <w:rsid w:val="00471E9D"/>
    <w:rsid w:val="00471FD6"/>
    <w:rsid w:val="0047259E"/>
    <w:rsid w:val="004729EA"/>
    <w:rsid w:val="00472AEA"/>
    <w:rsid w:val="00472C63"/>
    <w:rsid w:val="00473091"/>
    <w:rsid w:val="0047333B"/>
    <w:rsid w:val="0047510D"/>
    <w:rsid w:val="00475243"/>
    <w:rsid w:val="0047536C"/>
    <w:rsid w:val="00475B9C"/>
    <w:rsid w:val="004764C8"/>
    <w:rsid w:val="0047659D"/>
    <w:rsid w:val="00476AEE"/>
    <w:rsid w:val="00476FC9"/>
    <w:rsid w:val="0047716B"/>
    <w:rsid w:val="0047723D"/>
    <w:rsid w:val="0047746B"/>
    <w:rsid w:val="00477F8F"/>
    <w:rsid w:val="00480121"/>
    <w:rsid w:val="00480A66"/>
    <w:rsid w:val="0048178F"/>
    <w:rsid w:val="00481E6A"/>
    <w:rsid w:val="00482772"/>
    <w:rsid w:val="00482971"/>
    <w:rsid w:val="00482B81"/>
    <w:rsid w:val="00482D4C"/>
    <w:rsid w:val="00483182"/>
    <w:rsid w:val="00483534"/>
    <w:rsid w:val="00483DBA"/>
    <w:rsid w:val="004841DF"/>
    <w:rsid w:val="00485362"/>
    <w:rsid w:val="00485520"/>
    <w:rsid w:val="004855FB"/>
    <w:rsid w:val="004857CD"/>
    <w:rsid w:val="00485C5B"/>
    <w:rsid w:val="00485DF0"/>
    <w:rsid w:val="00486223"/>
    <w:rsid w:val="00486EA1"/>
    <w:rsid w:val="00487203"/>
    <w:rsid w:val="004875A5"/>
    <w:rsid w:val="00487B51"/>
    <w:rsid w:val="00487D81"/>
    <w:rsid w:val="00490032"/>
    <w:rsid w:val="004902FC"/>
    <w:rsid w:val="004904DF"/>
    <w:rsid w:val="00490534"/>
    <w:rsid w:val="0049095B"/>
    <w:rsid w:val="00490D13"/>
    <w:rsid w:val="00490D15"/>
    <w:rsid w:val="00490E5C"/>
    <w:rsid w:val="00491398"/>
    <w:rsid w:val="00492CB1"/>
    <w:rsid w:val="0049308D"/>
    <w:rsid w:val="004930C0"/>
    <w:rsid w:val="004932B5"/>
    <w:rsid w:val="00493A50"/>
    <w:rsid w:val="00493AA7"/>
    <w:rsid w:val="00493C08"/>
    <w:rsid w:val="00493CBB"/>
    <w:rsid w:val="00494431"/>
    <w:rsid w:val="0049491E"/>
    <w:rsid w:val="00494A04"/>
    <w:rsid w:val="00494A2F"/>
    <w:rsid w:val="00495293"/>
    <w:rsid w:val="00495390"/>
    <w:rsid w:val="004957B9"/>
    <w:rsid w:val="00495EF2"/>
    <w:rsid w:val="0049690E"/>
    <w:rsid w:val="00496D0C"/>
    <w:rsid w:val="00496F0F"/>
    <w:rsid w:val="00496F3C"/>
    <w:rsid w:val="004973FC"/>
    <w:rsid w:val="004975AE"/>
    <w:rsid w:val="004975B8"/>
    <w:rsid w:val="00497698"/>
    <w:rsid w:val="004A0084"/>
    <w:rsid w:val="004A00F9"/>
    <w:rsid w:val="004A080E"/>
    <w:rsid w:val="004A0A9B"/>
    <w:rsid w:val="004A18A2"/>
    <w:rsid w:val="004A1EBB"/>
    <w:rsid w:val="004A2096"/>
    <w:rsid w:val="004A224B"/>
    <w:rsid w:val="004A23A3"/>
    <w:rsid w:val="004A2932"/>
    <w:rsid w:val="004A2F3E"/>
    <w:rsid w:val="004A36CA"/>
    <w:rsid w:val="004A37D1"/>
    <w:rsid w:val="004A3B3D"/>
    <w:rsid w:val="004A3F4D"/>
    <w:rsid w:val="004A43DB"/>
    <w:rsid w:val="004A47AF"/>
    <w:rsid w:val="004A49AC"/>
    <w:rsid w:val="004A4A78"/>
    <w:rsid w:val="004A4C89"/>
    <w:rsid w:val="004A4F08"/>
    <w:rsid w:val="004A54AA"/>
    <w:rsid w:val="004A570A"/>
    <w:rsid w:val="004A64A6"/>
    <w:rsid w:val="004A6C16"/>
    <w:rsid w:val="004A710B"/>
    <w:rsid w:val="004A746B"/>
    <w:rsid w:val="004A74F3"/>
    <w:rsid w:val="004A78E4"/>
    <w:rsid w:val="004B0463"/>
    <w:rsid w:val="004B07FC"/>
    <w:rsid w:val="004B0B91"/>
    <w:rsid w:val="004B10AC"/>
    <w:rsid w:val="004B1CFE"/>
    <w:rsid w:val="004B1E9C"/>
    <w:rsid w:val="004B22D4"/>
    <w:rsid w:val="004B2992"/>
    <w:rsid w:val="004B2E4B"/>
    <w:rsid w:val="004B2EF2"/>
    <w:rsid w:val="004B3710"/>
    <w:rsid w:val="004B37CC"/>
    <w:rsid w:val="004B3B57"/>
    <w:rsid w:val="004B3C0F"/>
    <w:rsid w:val="004B3F0F"/>
    <w:rsid w:val="004B43E9"/>
    <w:rsid w:val="004B51E8"/>
    <w:rsid w:val="004B5346"/>
    <w:rsid w:val="004B53ED"/>
    <w:rsid w:val="004B5652"/>
    <w:rsid w:val="004B5DB4"/>
    <w:rsid w:val="004B5E0E"/>
    <w:rsid w:val="004B64DA"/>
    <w:rsid w:val="004B6C7D"/>
    <w:rsid w:val="004B72C6"/>
    <w:rsid w:val="004B77FA"/>
    <w:rsid w:val="004B785D"/>
    <w:rsid w:val="004B7DE1"/>
    <w:rsid w:val="004C035A"/>
    <w:rsid w:val="004C0446"/>
    <w:rsid w:val="004C05E4"/>
    <w:rsid w:val="004C136D"/>
    <w:rsid w:val="004C1692"/>
    <w:rsid w:val="004C1929"/>
    <w:rsid w:val="004C196D"/>
    <w:rsid w:val="004C1F8C"/>
    <w:rsid w:val="004C238C"/>
    <w:rsid w:val="004C2B05"/>
    <w:rsid w:val="004C2B80"/>
    <w:rsid w:val="004C2DA6"/>
    <w:rsid w:val="004C348D"/>
    <w:rsid w:val="004C3663"/>
    <w:rsid w:val="004C3ED0"/>
    <w:rsid w:val="004C4100"/>
    <w:rsid w:val="004C414D"/>
    <w:rsid w:val="004C44A4"/>
    <w:rsid w:val="004C4578"/>
    <w:rsid w:val="004C459A"/>
    <w:rsid w:val="004C48AC"/>
    <w:rsid w:val="004C491C"/>
    <w:rsid w:val="004C4A30"/>
    <w:rsid w:val="004C4F02"/>
    <w:rsid w:val="004C5757"/>
    <w:rsid w:val="004C5C23"/>
    <w:rsid w:val="004C690E"/>
    <w:rsid w:val="004C7138"/>
    <w:rsid w:val="004C769C"/>
    <w:rsid w:val="004C7A8D"/>
    <w:rsid w:val="004D009E"/>
    <w:rsid w:val="004D051D"/>
    <w:rsid w:val="004D0ADA"/>
    <w:rsid w:val="004D0C54"/>
    <w:rsid w:val="004D0DA0"/>
    <w:rsid w:val="004D0E6B"/>
    <w:rsid w:val="004D123F"/>
    <w:rsid w:val="004D151A"/>
    <w:rsid w:val="004D151C"/>
    <w:rsid w:val="004D1632"/>
    <w:rsid w:val="004D1EA0"/>
    <w:rsid w:val="004D26B2"/>
    <w:rsid w:val="004D2979"/>
    <w:rsid w:val="004D32D0"/>
    <w:rsid w:val="004D3366"/>
    <w:rsid w:val="004D4273"/>
    <w:rsid w:val="004D4315"/>
    <w:rsid w:val="004D4B99"/>
    <w:rsid w:val="004D6018"/>
    <w:rsid w:val="004D624E"/>
    <w:rsid w:val="004D6D3D"/>
    <w:rsid w:val="004D7F8C"/>
    <w:rsid w:val="004E08F8"/>
    <w:rsid w:val="004E137C"/>
    <w:rsid w:val="004E2271"/>
    <w:rsid w:val="004E2CC1"/>
    <w:rsid w:val="004E348D"/>
    <w:rsid w:val="004E39E1"/>
    <w:rsid w:val="004E3CA7"/>
    <w:rsid w:val="004E3F77"/>
    <w:rsid w:val="004E408A"/>
    <w:rsid w:val="004E49C7"/>
    <w:rsid w:val="004E4E64"/>
    <w:rsid w:val="004E52E8"/>
    <w:rsid w:val="004E53C1"/>
    <w:rsid w:val="004E573F"/>
    <w:rsid w:val="004E57D8"/>
    <w:rsid w:val="004E5E0E"/>
    <w:rsid w:val="004E64C1"/>
    <w:rsid w:val="004E68D1"/>
    <w:rsid w:val="004E6A2E"/>
    <w:rsid w:val="004E6C19"/>
    <w:rsid w:val="004E7313"/>
    <w:rsid w:val="004E75DD"/>
    <w:rsid w:val="004E7951"/>
    <w:rsid w:val="004F1030"/>
    <w:rsid w:val="004F1DF9"/>
    <w:rsid w:val="004F1F90"/>
    <w:rsid w:val="004F25FE"/>
    <w:rsid w:val="004F26CC"/>
    <w:rsid w:val="004F2800"/>
    <w:rsid w:val="004F2949"/>
    <w:rsid w:val="004F310E"/>
    <w:rsid w:val="004F34F8"/>
    <w:rsid w:val="004F35A7"/>
    <w:rsid w:val="004F3A7B"/>
    <w:rsid w:val="004F47AF"/>
    <w:rsid w:val="004F4D50"/>
    <w:rsid w:val="004F4EEF"/>
    <w:rsid w:val="004F5282"/>
    <w:rsid w:val="004F56D0"/>
    <w:rsid w:val="004F5BD7"/>
    <w:rsid w:val="004F5C7A"/>
    <w:rsid w:val="004F5E9E"/>
    <w:rsid w:val="004F5EB7"/>
    <w:rsid w:val="004F6198"/>
    <w:rsid w:val="004F69EF"/>
    <w:rsid w:val="004F6A45"/>
    <w:rsid w:val="004F6C26"/>
    <w:rsid w:val="004F6ED7"/>
    <w:rsid w:val="004F714D"/>
    <w:rsid w:val="004F735A"/>
    <w:rsid w:val="004F73A9"/>
    <w:rsid w:val="004F78BB"/>
    <w:rsid w:val="004F7BB7"/>
    <w:rsid w:val="0050069C"/>
    <w:rsid w:val="00500745"/>
    <w:rsid w:val="00500CDF"/>
    <w:rsid w:val="00500EF8"/>
    <w:rsid w:val="005013ED"/>
    <w:rsid w:val="00501BA9"/>
    <w:rsid w:val="00502178"/>
    <w:rsid w:val="005032A2"/>
    <w:rsid w:val="005036BA"/>
    <w:rsid w:val="00503A02"/>
    <w:rsid w:val="00503E24"/>
    <w:rsid w:val="00503E44"/>
    <w:rsid w:val="00503E5F"/>
    <w:rsid w:val="00504372"/>
    <w:rsid w:val="005043C6"/>
    <w:rsid w:val="005047EE"/>
    <w:rsid w:val="00504880"/>
    <w:rsid w:val="00504E47"/>
    <w:rsid w:val="00505094"/>
    <w:rsid w:val="00505EF9"/>
    <w:rsid w:val="0050639C"/>
    <w:rsid w:val="005067F1"/>
    <w:rsid w:val="00507284"/>
    <w:rsid w:val="00507343"/>
    <w:rsid w:val="00507DB5"/>
    <w:rsid w:val="00507DDE"/>
    <w:rsid w:val="005105BA"/>
    <w:rsid w:val="00510AFC"/>
    <w:rsid w:val="005119C2"/>
    <w:rsid w:val="00511AAC"/>
    <w:rsid w:val="00511F61"/>
    <w:rsid w:val="0051282A"/>
    <w:rsid w:val="00512A20"/>
    <w:rsid w:val="00512F34"/>
    <w:rsid w:val="00513361"/>
    <w:rsid w:val="00513724"/>
    <w:rsid w:val="00513C3E"/>
    <w:rsid w:val="00514934"/>
    <w:rsid w:val="00514ADD"/>
    <w:rsid w:val="00514CEA"/>
    <w:rsid w:val="00514D1F"/>
    <w:rsid w:val="00515283"/>
    <w:rsid w:val="00515C6E"/>
    <w:rsid w:val="00515C8C"/>
    <w:rsid w:val="00515EFF"/>
    <w:rsid w:val="005168D2"/>
    <w:rsid w:val="00516F46"/>
    <w:rsid w:val="005179C1"/>
    <w:rsid w:val="0052003A"/>
    <w:rsid w:val="00520C5C"/>
    <w:rsid w:val="005211EE"/>
    <w:rsid w:val="0052125E"/>
    <w:rsid w:val="00521382"/>
    <w:rsid w:val="005214D1"/>
    <w:rsid w:val="00521528"/>
    <w:rsid w:val="00521564"/>
    <w:rsid w:val="00521C3B"/>
    <w:rsid w:val="00521F84"/>
    <w:rsid w:val="005221A5"/>
    <w:rsid w:val="00522583"/>
    <w:rsid w:val="0052297F"/>
    <w:rsid w:val="005238B2"/>
    <w:rsid w:val="00523C94"/>
    <w:rsid w:val="00523DA0"/>
    <w:rsid w:val="005246EB"/>
    <w:rsid w:val="00524ADF"/>
    <w:rsid w:val="0052565D"/>
    <w:rsid w:val="00525984"/>
    <w:rsid w:val="00525FB4"/>
    <w:rsid w:val="00526BAA"/>
    <w:rsid w:val="00526BB3"/>
    <w:rsid w:val="00526FEA"/>
    <w:rsid w:val="00527096"/>
    <w:rsid w:val="00527615"/>
    <w:rsid w:val="005279CA"/>
    <w:rsid w:val="00527F2A"/>
    <w:rsid w:val="00530957"/>
    <w:rsid w:val="00530ECB"/>
    <w:rsid w:val="00531257"/>
    <w:rsid w:val="00531883"/>
    <w:rsid w:val="00531C7D"/>
    <w:rsid w:val="0053275C"/>
    <w:rsid w:val="00532AC5"/>
    <w:rsid w:val="00532C8F"/>
    <w:rsid w:val="00533926"/>
    <w:rsid w:val="005346A4"/>
    <w:rsid w:val="00534BEC"/>
    <w:rsid w:val="00534CAE"/>
    <w:rsid w:val="0053527C"/>
    <w:rsid w:val="0053533A"/>
    <w:rsid w:val="00535702"/>
    <w:rsid w:val="00535769"/>
    <w:rsid w:val="0053589F"/>
    <w:rsid w:val="00535E39"/>
    <w:rsid w:val="005360CE"/>
    <w:rsid w:val="00536AD4"/>
    <w:rsid w:val="00536EDF"/>
    <w:rsid w:val="005371A6"/>
    <w:rsid w:val="005374FB"/>
    <w:rsid w:val="00537728"/>
    <w:rsid w:val="00537802"/>
    <w:rsid w:val="00537A3B"/>
    <w:rsid w:val="005406C0"/>
    <w:rsid w:val="00540F35"/>
    <w:rsid w:val="00541134"/>
    <w:rsid w:val="005413F3"/>
    <w:rsid w:val="00541782"/>
    <w:rsid w:val="00541F9D"/>
    <w:rsid w:val="00542138"/>
    <w:rsid w:val="00543057"/>
    <w:rsid w:val="00543424"/>
    <w:rsid w:val="005436DA"/>
    <w:rsid w:val="00543916"/>
    <w:rsid w:val="00543BA7"/>
    <w:rsid w:val="00543D2D"/>
    <w:rsid w:val="0054423B"/>
    <w:rsid w:val="005447AB"/>
    <w:rsid w:val="00544911"/>
    <w:rsid w:val="00544CF0"/>
    <w:rsid w:val="00544D0A"/>
    <w:rsid w:val="00545AA3"/>
    <w:rsid w:val="00545B7A"/>
    <w:rsid w:val="00545E28"/>
    <w:rsid w:val="005460ED"/>
    <w:rsid w:val="005461D4"/>
    <w:rsid w:val="00546754"/>
    <w:rsid w:val="00546D27"/>
    <w:rsid w:val="00547055"/>
    <w:rsid w:val="00547743"/>
    <w:rsid w:val="005477E9"/>
    <w:rsid w:val="00547F93"/>
    <w:rsid w:val="005507B0"/>
    <w:rsid w:val="00551166"/>
    <w:rsid w:val="0055125A"/>
    <w:rsid w:val="00551397"/>
    <w:rsid w:val="00551894"/>
    <w:rsid w:val="005518C0"/>
    <w:rsid w:val="005520A3"/>
    <w:rsid w:val="005523E4"/>
    <w:rsid w:val="00552513"/>
    <w:rsid w:val="005529A6"/>
    <w:rsid w:val="00552A43"/>
    <w:rsid w:val="00552C54"/>
    <w:rsid w:val="00552EA0"/>
    <w:rsid w:val="00553147"/>
    <w:rsid w:val="00553316"/>
    <w:rsid w:val="00553813"/>
    <w:rsid w:val="005539B5"/>
    <w:rsid w:val="00553BB9"/>
    <w:rsid w:val="00553E78"/>
    <w:rsid w:val="00553F7B"/>
    <w:rsid w:val="0055414C"/>
    <w:rsid w:val="005545AC"/>
    <w:rsid w:val="0055477D"/>
    <w:rsid w:val="00554DDB"/>
    <w:rsid w:val="00555058"/>
    <w:rsid w:val="00555145"/>
    <w:rsid w:val="00555CEF"/>
    <w:rsid w:val="00555F6A"/>
    <w:rsid w:val="00556143"/>
    <w:rsid w:val="0055675D"/>
    <w:rsid w:val="00556A24"/>
    <w:rsid w:val="00556B11"/>
    <w:rsid w:val="00557861"/>
    <w:rsid w:val="00557CA3"/>
    <w:rsid w:val="00557D69"/>
    <w:rsid w:val="00557F6C"/>
    <w:rsid w:val="005607CC"/>
    <w:rsid w:val="00560B50"/>
    <w:rsid w:val="0056116F"/>
    <w:rsid w:val="005617DE"/>
    <w:rsid w:val="00561E6C"/>
    <w:rsid w:val="0056235A"/>
    <w:rsid w:val="00562564"/>
    <w:rsid w:val="00562E18"/>
    <w:rsid w:val="00562FCE"/>
    <w:rsid w:val="00563146"/>
    <w:rsid w:val="005639E8"/>
    <w:rsid w:val="00564410"/>
    <w:rsid w:val="005647B3"/>
    <w:rsid w:val="00564AC1"/>
    <w:rsid w:val="00564C80"/>
    <w:rsid w:val="00564F5D"/>
    <w:rsid w:val="00565E7F"/>
    <w:rsid w:val="00565F38"/>
    <w:rsid w:val="005660DC"/>
    <w:rsid w:val="0056615E"/>
    <w:rsid w:val="00566468"/>
    <w:rsid w:val="00566A66"/>
    <w:rsid w:val="00566E8F"/>
    <w:rsid w:val="005671A6"/>
    <w:rsid w:val="00567251"/>
    <w:rsid w:val="00567397"/>
    <w:rsid w:val="00567747"/>
    <w:rsid w:val="00567C1F"/>
    <w:rsid w:val="00570EFF"/>
    <w:rsid w:val="00571088"/>
    <w:rsid w:val="00571576"/>
    <w:rsid w:val="00571C5B"/>
    <w:rsid w:val="00571DF7"/>
    <w:rsid w:val="00572765"/>
    <w:rsid w:val="005728DE"/>
    <w:rsid w:val="005739E8"/>
    <w:rsid w:val="00573F42"/>
    <w:rsid w:val="00573F54"/>
    <w:rsid w:val="0057422E"/>
    <w:rsid w:val="00574690"/>
    <w:rsid w:val="00574766"/>
    <w:rsid w:val="00574808"/>
    <w:rsid w:val="00574BB9"/>
    <w:rsid w:val="00574E99"/>
    <w:rsid w:val="00574F17"/>
    <w:rsid w:val="00575874"/>
    <w:rsid w:val="00576BB2"/>
    <w:rsid w:val="00576F7D"/>
    <w:rsid w:val="0057734C"/>
    <w:rsid w:val="00577452"/>
    <w:rsid w:val="005778A8"/>
    <w:rsid w:val="00581285"/>
    <w:rsid w:val="005819EE"/>
    <w:rsid w:val="00581DEC"/>
    <w:rsid w:val="00582065"/>
    <w:rsid w:val="005823F9"/>
    <w:rsid w:val="00582492"/>
    <w:rsid w:val="005827C9"/>
    <w:rsid w:val="00582A11"/>
    <w:rsid w:val="00582CAB"/>
    <w:rsid w:val="005833BE"/>
    <w:rsid w:val="00583743"/>
    <w:rsid w:val="00583C8F"/>
    <w:rsid w:val="00584E05"/>
    <w:rsid w:val="00584ED8"/>
    <w:rsid w:val="0058520D"/>
    <w:rsid w:val="0058558F"/>
    <w:rsid w:val="00585CB4"/>
    <w:rsid w:val="00585D9E"/>
    <w:rsid w:val="00585ED2"/>
    <w:rsid w:val="0058622A"/>
    <w:rsid w:val="005871FD"/>
    <w:rsid w:val="00587B43"/>
    <w:rsid w:val="00587F6A"/>
    <w:rsid w:val="00590728"/>
    <w:rsid w:val="005910BC"/>
    <w:rsid w:val="00591AD3"/>
    <w:rsid w:val="00591CD5"/>
    <w:rsid w:val="00591CEE"/>
    <w:rsid w:val="00591EDA"/>
    <w:rsid w:val="005920D3"/>
    <w:rsid w:val="005925A9"/>
    <w:rsid w:val="0059297D"/>
    <w:rsid w:val="00592B5E"/>
    <w:rsid w:val="00592BFA"/>
    <w:rsid w:val="00592F77"/>
    <w:rsid w:val="00593658"/>
    <w:rsid w:val="00593B7F"/>
    <w:rsid w:val="0059438F"/>
    <w:rsid w:val="005946B5"/>
    <w:rsid w:val="005946F2"/>
    <w:rsid w:val="00594BC1"/>
    <w:rsid w:val="00594C0E"/>
    <w:rsid w:val="00595398"/>
    <w:rsid w:val="0059539D"/>
    <w:rsid w:val="0059564A"/>
    <w:rsid w:val="00595CDF"/>
    <w:rsid w:val="0059635C"/>
    <w:rsid w:val="005966DC"/>
    <w:rsid w:val="005968D5"/>
    <w:rsid w:val="005969CA"/>
    <w:rsid w:val="005978DD"/>
    <w:rsid w:val="005A0787"/>
    <w:rsid w:val="005A08B7"/>
    <w:rsid w:val="005A09F6"/>
    <w:rsid w:val="005A1365"/>
    <w:rsid w:val="005A1C74"/>
    <w:rsid w:val="005A200B"/>
    <w:rsid w:val="005A3115"/>
    <w:rsid w:val="005A3289"/>
    <w:rsid w:val="005A35F1"/>
    <w:rsid w:val="005A3B3A"/>
    <w:rsid w:val="005A454F"/>
    <w:rsid w:val="005A492D"/>
    <w:rsid w:val="005A4B34"/>
    <w:rsid w:val="005A4CD9"/>
    <w:rsid w:val="005A5124"/>
    <w:rsid w:val="005A55F5"/>
    <w:rsid w:val="005A5B3B"/>
    <w:rsid w:val="005A6D47"/>
    <w:rsid w:val="005A76FB"/>
    <w:rsid w:val="005A7742"/>
    <w:rsid w:val="005A7774"/>
    <w:rsid w:val="005A7B4D"/>
    <w:rsid w:val="005B01A6"/>
    <w:rsid w:val="005B02AB"/>
    <w:rsid w:val="005B13CF"/>
    <w:rsid w:val="005B147B"/>
    <w:rsid w:val="005B14DE"/>
    <w:rsid w:val="005B1519"/>
    <w:rsid w:val="005B1527"/>
    <w:rsid w:val="005B1803"/>
    <w:rsid w:val="005B2CCF"/>
    <w:rsid w:val="005B3914"/>
    <w:rsid w:val="005B3C11"/>
    <w:rsid w:val="005B3D11"/>
    <w:rsid w:val="005B3E05"/>
    <w:rsid w:val="005B4587"/>
    <w:rsid w:val="005B45FE"/>
    <w:rsid w:val="005B47F8"/>
    <w:rsid w:val="005B4A23"/>
    <w:rsid w:val="005B5143"/>
    <w:rsid w:val="005B555B"/>
    <w:rsid w:val="005B60DF"/>
    <w:rsid w:val="005B6902"/>
    <w:rsid w:val="005B69A6"/>
    <w:rsid w:val="005B6FAF"/>
    <w:rsid w:val="005B7104"/>
    <w:rsid w:val="005B7B00"/>
    <w:rsid w:val="005C036A"/>
    <w:rsid w:val="005C0550"/>
    <w:rsid w:val="005C0587"/>
    <w:rsid w:val="005C0971"/>
    <w:rsid w:val="005C0BCF"/>
    <w:rsid w:val="005C109A"/>
    <w:rsid w:val="005C1573"/>
    <w:rsid w:val="005C23D0"/>
    <w:rsid w:val="005C2813"/>
    <w:rsid w:val="005C339C"/>
    <w:rsid w:val="005C3EE9"/>
    <w:rsid w:val="005C47D7"/>
    <w:rsid w:val="005C5018"/>
    <w:rsid w:val="005C5203"/>
    <w:rsid w:val="005C5464"/>
    <w:rsid w:val="005C58F8"/>
    <w:rsid w:val="005C5DC6"/>
    <w:rsid w:val="005C607F"/>
    <w:rsid w:val="005C6343"/>
    <w:rsid w:val="005C68C9"/>
    <w:rsid w:val="005C6C12"/>
    <w:rsid w:val="005C71FF"/>
    <w:rsid w:val="005C72BF"/>
    <w:rsid w:val="005C79AA"/>
    <w:rsid w:val="005D0134"/>
    <w:rsid w:val="005D0660"/>
    <w:rsid w:val="005D0721"/>
    <w:rsid w:val="005D1250"/>
    <w:rsid w:val="005D18E4"/>
    <w:rsid w:val="005D1C1F"/>
    <w:rsid w:val="005D1D7F"/>
    <w:rsid w:val="005D1F63"/>
    <w:rsid w:val="005D215D"/>
    <w:rsid w:val="005D2681"/>
    <w:rsid w:val="005D29AB"/>
    <w:rsid w:val="005D34A7"/>
    <w:rsid w:val="005D34BC"/>
    <w:rsid w:val="005D3629"/>
    <w:rsid w:val="005D3D18"/>
    <w:rsid w:val="005D44C6"/>
    <w:rsid w:val="005D4AC6"/>
    <w:rsid w:val="005D4E8E"/>
    <w:rsid w:val="005D4F94"/>
    <w:rsid w:val="005D51D4"/>
    <w:rsid w:val="005D56D9"/>
    <w:rsid w:val="005D574E"/>
    <w:rsid w:val="005D5A3A"/>
    <w:rsid w:val="005D63EB"/>
    <w:rsid w:val="005D67BB"/>
    <w:rsid w:val="005D6893"/>
    <w:rsid w:val="005D7091"/>
    <w:rsid w:val="005D719B"/>
    <w:rsid w:val="005D72C0"/>
    <w:rsid w:val="005D7573"/>
    <w:rsid w:val="005D7D5A"/>
    <w:rsid w:val="005D7DE1"/>
    <w:rsid w:val="005E019B"/>
    <w:rsid w:val="005E04AA"/>
    <w:rsid w:val="005E07C3"/>
    <w:rsid w:val="005E0BDE"/>
    <w:rsid w:val="005E0D2A"/>
    <w:rsid w:val="005E15EE"/>
    <w:rsid w:val="005E1B3D"/>
    <w:rsid w:val="005E20A3"/>
    <w:rsid w:val="005E2C01"/>
    <w:rsid w:val="005E2FE7"/>
    <w:rsid w:val="005E320F"/>
    <w:rsid w:val="005E340C"/>
    <w:rsid w:val="005E4324"/>
    <w:rsid w:val="005E4342"/>
    <w:rsid w:val="005E45E0"/>
    <w:rsid w:val="005E46CB"/>
    <w:rsid w:val="005E4BAC"/>
    <w:rsid w:val="005E4C42"/>
    <w:rsid w:val="005E4FF8"/>
    <w:rsid w:val="005E60E7"/>
    <w:rsid w:val="005E6B58"/>
    <w:rsid w:val="005E6FCA"/>
    <w:rsid w:val="005E723D"/>
    <w:rsid w:val="005E75A6"/>
    <w:rsid w:val="005F06EC"/>
    <w:rsid w:val="005F0BAD"/>
    <w:rsid w:val="005F0C29"/>
    <w:rsid w:val="005F100E"/>
    <w:rsid w:val="005F112F"/>
    <w:rsid w:val="005F194D"/>
    <w:rsid w:val="005F1A1C"/>
    <w:rsid w:val="005F1CD2"/>
    <w:rsid w:val="005F2801"/>
    <w:rsid w:val="005F2D86"/>
    <w:rsid w:val="005F2EC1"/>
    <w:rsid w:val="005F2EEC"/>
    <w:rsid w:val="005F2EFD"/>
    <w:rsid w:val="005F321B"/>
    <w:rsid w:val="005F3BEC"/>
    <w:rsid w:val="005F40B1"/>
    <w:rsid w:val="005F4231"/>
    <w:rsid w:val="005F438F"/>
    <w:rsid w:val="005F43D4"/>
    <w:rsid w:val="005F47C3"/>
    <w:rsid w:val="005F4C6C"/>
    <w:rsid w:val="005F4D5B"/>
    <w:rsid w:val="005F4F8C"/>
    <w:rsid w:val="005F5019"/>
    <w:rsid w:val="005F57A7"/>
    <w:rsid w:val="005F638F"/>
    <w:rsid w:val="005F6685"/>
    <w:rsid w:val="005F6D2E"/>
    <w:rsid w:val="005F7578"/>
    <w:rsid w:val="005F7AFE"/>
    <w:rsid w:val="006008E9"/>
    <w:rsid w:val="00600AB3"/>
    <w:rsid w:val="00600D8D"/>
    <w:rsid w:val="00600FBC"/>
    <w:rsid w:val="006012BB"/>
    <w:rsid w:val="0060130D"/>
    <w:rsid w:val="0060178E"/>
    <w:rsid w:val="00601943"/>
    <w:rsid w:val="0060223D"/>
    <w:rsid w:val="0060262A"/>
    <w:rsid w:val="00602F66"/>
    <w:rsid w:val="006030E8"/>
    <w:rsid w:val="00603DA0"/>
    <w:rsid w:val="00603DD5"/>
    <w:rsid w:val="006042B7"/>
    <w:rsid w:val="0060482A"/>
    <w:rsid w:val="0060526F"/>
    <w:rsid w:val="006053E1"/>
    <w:rsid w:val="0060603F"/>
    <w:rsid w:val="00606A46"/>
    <w:rsid w:val="00606FFF"/>
    <w:rsid w:val="006073C3"/>
    <w:rsid w:val="006074E7"/>
    <w:rsid w:val="006078F1"/>
    <w:rsid w:val="00610D2C"/>
    <w:rsid w:val="006111EC"/>
    <w:rsid w:val="00611666"/>
    <w:rsid w:val="00611F58"/>
    <w:rsid w:val="00611FB5"/>
    <w:rsid w:val="00612255"/>
    <w:rsid w:val="0061343D"/>
    <w:rsid w:val="006138DE"/>
    <w:rsid w:val="00613AE3"/>
    <w:rsid w:val="0061485B"/>
    <w:rsid w:val="006148C2"/>
    <w:rsid w:val="00614C98"/>
    <w:rsid w:val="006152B9"/>
    <w:rsid w:val="00615AAC"/>
    <w:rsid w:val="00615E3E"/>
    <w:rsid w:val="00615ED2"/>
    <w:rsid w:val="006160CD"/>
    <w:rsid w:val="0061660B"/>
    <w:rsid w:val="00616736"/>
    <w:rsid w:val="006168B4"/>
    <w:rsid w:val="006176DA"/>
    <w:rsid w:val="00617E47"/>
    <w:rsid w:val="00620035"/>
    <w:rsid w:val="00620113"/>
    <w:rsid w:val="00620778"/>
    <w:rsid w:val="00620D70"/>
    <w:rsid w:val="00620DEC"/>
    <w:rsid w:val="0062116D"/>
    <w:rsid w:val="006221BE"/>
    <w:rsid w:val="00622315"/>
    <w:rsid w:val="00622549"/>
    <w:rsid w:val="00623B1C"/>
    <w:rsid w:val="00623E5B"/>
    <w:rsid w:val="006249DE"/>
    <w:rsid w:val="00624C95"/>
    <w:rsid w:val="00625309"/>
    <w:rsid w:val="006254BB"/>
    <w:rsid w:val="006258F6"/>
    <w:rsid w:val="00625B8A"/>
    <w:rsid w:val="00625EF2"/>
    <w:rsid w:val="00625F28"/>
    <w:rsid w:val="00625FAE"/>
    <w:rsid w:val="006264EE"/>
    <w:rsid w:val="00626709"/>
    <w:rsid w:val="00626B4D"/>
    <w:rsid w:val="00626CE8"/>
    <w:rsid w:val="00626D08"/>
    <w:rsid w:val="00627075"/>
    <w:rsid w:val="0062721B"/>
    <w:rsid w:val="0062729D"/>
    <w:rsid w:val="00627500"/>
    <w:rsid w:val="00627AA8"/>
    <w:rsid w:val="00627CDE"/>
    <w:rsid w:val="00627EB1"/>
    <w:rsid w:val="0063035A"/>
    <w:rsid w:val="00631123"/>
    <w:rsid w:val="0063195E"/>
    <w:rsid w:val="00631B9B"/>
    <w:rsid w:val="00631FD9"/>
    <w:rsid w:val="00632006"/>
    <w:rsid w:val="00632A0F"/>
    <w:rsid w:val="006331EC"/>
    <w:rsid w:val="006335B5"/>
    <w:rsid w:val="00633BE7"/>
    <w:rsid w:val="006347A8"/>
    <w:rsid w:val="006349C2"/>
    <w:rsid w:val="00634EEA"/>
    <w:rsid w:val="006350F9"/>
    <w:rsid w:val="00635181"/>
    <w:rsid w:val="006352C8"/>
    <w:rsid w:val="00635374"/>
    <w:rsid w:val="00635BB1"/>
    <w:rsid w:val="0063616F"/>
    <w:rsid w:val="0063643C"/>
    <w:rsid w:val="0063651A"/>
    <w:rsid w:val="006367C2"/>
    <w:rsid w:val="00636967"/>
    <w:rsid w:val="00636A7C"/>
    <w:rsid w:val="00636C47"/>
    <w:rsid w:val="00636F25"/>
    <w:rsid w:val="00637C2E"/>
    <w:rsid w:val="00640700"/>
    <w:rsid w:val="006408BE"/>
    <w:rsid w:val="00640BE8"/>
    <w:rsid w:val="00640ECC"/>
    <w:rsid w:val="00641222"/>
    <w:rsid w:val="0064129F"/>
    <w:rsid w:val="00641431"/>
    <w:rsid w:val="006431C7"/>
    <w:rsid w:val="00643DC4"/>
    <w:rsid w:val="00644A17"/>
    <w:rsid w:val="00644A53"/>
    <w:rsid w:val="00644E51"/>
    <w:rsid w:val="0064514A"/>
    <w:rsid w:val="006456BE"/>
    <w:rsid w:val="006456F9"/>
    <w:rsid w:val="00647536"/>
    <w:rsid w:val="00647639"/>
    <w:rsid w:val="00647BB7"/>
    <w:rsid w:val="00647E06"/>
    <w:rsid w:val="006504A8"/>
    <w:rsid w:val="00650778"/>
    <w:rsid w:val="006509C1"/>
    <w:rsid w:val="00650ADA"/>
    <w:rsid w:val="00651088"/>
    <w:rsid w:val="00651464"/>
    <w:rsid w:val="00651783"/>
    <w:rsid w:val="0065183D"/>
    <w:rsid w:val="006519F1"/>
    <w:rsid w:val="00651BDE"/>
    <w:rsid w:val="00651DD5"/>
    <w:rsid w:val="006523B7"/>
    <w:rsid w:val="006525A0"/>
    <w:rsid w:val="006529CD"/>
    <w:rsid w:val="00652BB6"/>
    <w:rsid w:val="00652D26"/>
    <w:rsid w:val="00652F36"/>
    <w:rsid w:val="006535F5"/>
    <w:rsid w:val="006543D5"/>
    <w:rsid w:val="006545CA"/>
    <w:rsid w:val="00654EF7"/>
    <w:rsid w:val="00655489"/>
    <w:rsid w:val="006555D2"/>
    <w:rsid w:val="0065563B"/>
    <w:rsid w:val="0065568B"/>
    <w:rsid w:val="0065570F"/>
    <w:rsid w:val="00656187"/>
    <w:rsid w:val="0065632F"/>
    <w:rsid w:val="00656453"/>
    <w:rsid w:val="006564BA"/>
    <w:rsid w:val="00656A9C"/>
    <w:rsid w:val="00656FBD"/>
    <w:rsid w:val="006570BE"/>
    <w:rsid w:val="00657137"/>
    <w:rsid w:val="0065750B"/>
    <w:rsid w:val="00657CBA"/>
    <w:rsid w:val="00657CE3"/>
    <w:rsid w:val="00657E52"/>
    <w:rsid w:val="00657F4A"/>
    <w:rsid w:val="00660292"/>
    <w:rsid w:val="00660615"/>
    <w:rsid w:val="0066090F"/>
    <w:rsid w:val="00660CF0"/>
    <w:rsid w:val="00660DB0"/>
    <w:rsid w:val="00660F34"/>
    <w:rsid w:val="006614C1"/>
    <w:rsid w:val="00662312"/>
    <w:rsid w:val="00662356"/>
    <w:rsid w:val="00662C6C"/>
    <w:rsid w:val="00662E5B"/>
    <w:rsid w:val="00662F5D"/>
    <w:rsid w:val="00663205"/>
    <w:rsid w:val="00663CE6"/>
    <w:rsid w:val="006643E5"/>
    <w:rsid w:val="0066559D"/>
    <w:rsid w:val="006655C8"/>
    <w:rsid w:val="00665991"/>
    <w:rsid w:val="0066618E"/>
    <w:rsid w:val="00666785"/>
    <w:rsid w:val="006668A5"/>
    <w:rsid w:val="0066691C"/>
    <w:rsid w:val="00666B62"/>
    <w:rsid w:val="006677E9"/>
    <w:rsid w:val="00667C08"/>
    <w:rsid w:val="00667CC8"/>
    <w:rsid w:val="0067027E"/>
    <w:rsid w:val="00670856"/>
    <w:rsid w:val="00670AA3"/>
    <w:rsid w:val="00670CDF"/>
    <w:rsid w:val="00671019"/>
    <w:rsid w:val="00671DA8"/>
    <w:rsid w:val="006724B1"/>
    <w:rsid w:val="00672B9C"/>
    <w:rsid w:val="00672D89"/>
    <w:rsid w:val="00672E3A"/>
    <w:rsid w:val="00672EFB"/>
    <w:rsid w:val="00673319"/>
    <w:rsid w:val="006739E6"/>
    <w:rsid w:val="0067480F"/>
    <w:rsid w:val="00674C11"/>
    <w:rsid w:val="00674C7E"/>
    <w:rsid w:val="00674EA0"/>
    <w:rsid w:val="00675E47"/>
    <w:rsid w:val="00675F06"/>
    <w:rsid w:val="00675F79"/>
    <w:rsid w:val="006763FA"/>
    <w:rsid w:val="00676441"/>
    <w:rsid w:val="00676E66"/>
    <w:rsid w:val="00676F1E"/>
    <w:rsid w:val="00677382"/>
    <w:rsid w:val="006773CF"/>
    <w:rsid w:val="006774A7"/>
    <w:rsid w:val="00677514"/>
    <w:rsid w:val="00677F3F"/>
    <w:rsid w:val="006800D6"/>
    <w:rsid w:val="00680297"/>
    <w:rsid w:val="00680D22"/>
    <w:rsid w:val="006810E6"/>
    <w:rsid w:val="00681173"/>
    <w:rsid w:val="006812C0"/>
    <w:rsid w:val="006815A6"/>
    <w:rsid w:val="006818A4"/>
    <w:rsid w:val="00681ED7"/>
    <w:rsid w:val="00682839"/>
    <w:rsid w:val="006828A0"/>
    <w:rsid w:val="00683136"/>
    <w:rsid w:val="0068331B"/>
    <w:rsid w:val="0068465A"/>
    <w:rsid w:val="00684BCD"/>
    <w:rsid w:val="00684C46"/>
    <w:rsid w:val="00684C79"/>
    <w:rsid w:val="00685263"/>
    <w:rsid w:val="006852B8"/>
    <w:rsid w:val="00685336"/>
    <w:rsid w:val="00685A12"/>
    <w:rsid w:val="00686616"/>
    <w:rsid w:val="00686752"/>
    <w:rsid w:val="006867B9"/>
    <w:rsid w:val="00686E08"/>
    <w:rsid w:val="00687320"/>
    <w:rsid w:val="006873CE"/>
    <w:rsid w:val="00687692"/>
    <w:rsid w:val="006877DF"/>
    <w:rsid w:val="0068781F"/>
    <w:rsid w:val="00687933"/>
    <w:rsid w:val="00687CE8"/>
    <w:rsid w:val="00687D8F"/>
    <w:rsid w:val="00687DF3"/>
    <w:rsid w:val="00687E15"/>
    <w:rsid w:val="00687F15"/>
    <w:rsid w:val="00690662"/>
    <w:rsid w:val="0069117A"/>
    <w:rsid w:val="00691D0E"/>
    <w:rsid w:val="0069248D"/>
    <w:rsid w:val="006924F9"/>
    <w:rsid w:val="006927E8"/>
    <w:rsid w:val="00692988"/>
    <w:rsid w:val="0069392B"/>
    <w:rsid w:val="006942BA"/>
    <w:rsid w:val="0069445D"/>
    <w:rsid w:val="00694A41"/>
    <w:rsid w:val="00694FF6"/>
    <w:rsid w:val="00695727"/>
    <w:rsid w:val="0069573C"/>
    <w:rsid w:val="00695DA6"/>
    <w:rsid w:val="00695EF6"/>
    <w:rsid w:val="00696257"/>
    <w:rsid w:val="00696392"/>
    <w:rsid w:val="0069664B"/>
    <w:rsid w:val="00697917"/>
    <w:rsid w:val="00697E4D"/>
    <w:rsid w:val="006A01B1"/>
    <w:rsid w:val="006A02E5"/>
    <w:rsid w:val="006A0786"/>
    <w:rsid w:val="006A07C7"/>
    <w:rsid w:val="006A081A"/>
    <w:rsid w:val="006A0A7A"/>
    <w:rsid w:val="006A1812"/>
    <w:rsid w:val="006A2A72"/>
    <w:rsid w:val="006A2ED9"/>
    <w:rsid w:val="006A2EEE"/>
    <w:rsid w:val="006A350E"/>
    <w:rsid w:val="006A3516"/>
    <w:rsid w:val="006A4B0A"/>
    <w:rsid w:val="006A5EF6"/>
    <w:rsid w:val="006A67B1"/>
    <w:rsid w:val="006A6A1D"/>
    <w:rsid w:val="006A6EEB"/>
    <w:rsid w:val="006A7434"/>
    <w:rsid w:val="006A7718"/>
    <w:rsid w:val="006A77D9"/>
    <w:rsid w:val="006A7852"/>
    <w:rsid w:val="006A7B80"/>
    <w:rsid w:val="006A7BD8"/>
    <w:rsid w:val="006A7FC1"/>
    <w:rsid w:val="006B0B3E"/>
    <w:rsid w:val="006B1BE4"/>
    <w:rsid w:val="006B212C"/>
    <w:rsid w:val="006B2713"/>
    <w:rsid w:val="006B3208"/>
    <w:rsid w:val="006B3243"/>
    <w:rsid w:val="006B3A75"/>
    <w:rsid w:val="006B3BA7"/>
    <w:rsid w:val="006B4A6B"/>
    <w:rsid w:val="006B4C00"/>
    <w:rsid w:val="006B5535"/>
    <w:rsid w:val="006B5AD6"/>
    <w:rsid w:val="006B602B"/>
    <w:rsid w:val="006B6672"/>
    <w:rsid w:val="006B6BBF"/>
    <w:rsid w:val="006B71D6"/>
    <w:rsid w:val="006B7428"/>
    <w:rsid w:val="006B79E1"/>
    <w:rsid w:val="006B7D36"/>
    <w:rsid w:val="006C1745"/>
    <w:rsid w:val="006C1757"/>
    <w:rsid w:val="006C200C"/>
    <w:rsid w:val="006C2D03"/>
    <w:rsid w:val="006C302B"/>
    <w:rsid w:val="006C3730"/>
    <w:rsid w:val="006C3D89"/>
    <w:rsid w:val="006C3DA2"/>
    <w:rsid w:val="006C3FFC"/>
    <w:rsid w:val="006C418F"/>
    <w:rsid w:val="006C4A39"/>
    <w:rsid w:val="006C5128"/>
    <w:rsid w:val="006C55C5"/>
    <w:rsid w:val="006C5B07"/>
    <w:rsid w:val="006C64DF"/>
    <w:rsid w:val="006C6E6F"/>
    <w:rsid w:val="006C70A8"/>
    <w:rsid w:val="006C74CC"/>
    <w:rsid w:val="006C7878"/>
    <w:rsid w:val="006C78EB"/>
    <w:rsid w:val="006D0287"/>
    <w:rsid w:val="006D0A51"/>
    <w:rsid w:val="006D0D98"/>
    <w:rsid w:val="006D13B5"/>
    <w:rsid w:val="006D1452"/>
    <w:rsid w:val="006D160F"/>
    <w:rsid w:val="006D1675"/>
    <w:rsid w:val="006D1B62"/>
    <w:rsid w:val="006D25A2"/>
    <w:rsid w:val="006D2A3D"/>
    <w:rsid w:val="006D4B6A"/>
    <w:rsid w:val="006D4D2A"/>
    <w:rsid w:val="006D5265"/>
    <w:rsid w:val="006D52A7"/>
    <w:rsid w:val="006D5A9D"/>
    <w:rsid w:val="006D5D38"/>
    <w:rsid w:val="006D5E8C"/>
    <w:rsid w:val="006D60B3"/>
    <w:rsid w:val="006D6120"/>
    <w:rsid w:val="006D6325"/>
    <w:rsid w:val="006D63D3"/>
    <w:rsid w:val="006D658A"/>
    <w:rsid w:val="006D66CE"/>
    <w:rsid w:val="006D6BDB"/>
    <w:rsid w:val="006D6C4D"/>
    <w:rsid w:val="006D6D4F"/>
    <w:rsid w:val="006D709A"/>
    <w:rsid w:val="006D7423"/>
    <w:rsid w:val="006D7C5D"/>
    <w:rsid w:val="006D7C6E"/>
    <w:rsid w:val="006E033C"/>
    <w:rsid w:val="006E0401"/>
    <w:rsid w:val="006E05B8"/>
    <w:rsid w:val="006E079C"/>
    <w:rsid w:val="006E090A"/>
    <w:rsid w:val="006E0AA6"/>
    <w:rsid w:val="006E19FA"/>
    <w:rsid w:val="006E1B28"/>
    <w:rsid w:val="006E1F84"/>
    <w:rsid w:val="006E213C"/>
    <w:rsid w:val="006E2823"/>
    <w:rsid w:val="006E364B"/>
    <w:rsid w:val="006E365D"/>
    <w:rsid w:val="006E394F"/>
    <w:rsid w:val="006E3E48"/>
    <w:rsid w:val="006E41C1"/>
    <w:rsid w:val="006E4333"/>
    <w:rsid w:val="006E43B2"/>
    <w:rsid w:val="006E475C"/>
    <w:rsid w:val="006E4E22"/>
    <w:rsid w:val="006E4EF9"/>
    <w:rsid w:val="006E504E"/>
    <w:rsid w:val="006E5D37"/>
    <w:rsid w:val="006E5D43"/>
    <w:rsid w:val="006E5E11"/>
    <w:rsid w:val="006E5FA5"/>
    <w:rsid w:val="006E635A"/>
    <w:rsid w:val="006E68DA"/>
    <w:rsid w:val="006E73B3"/>
    <w:rsid w:val="006E7752"/>
    <w:rsid w:val="006F0533"/>
    <w:rsid w:val="006F0A6F"/>
    <w:rsid w:val="006F0BD0"/>
    <w:rsid w:val="006F0F8A"/>
    <w:rsid w:val="006F1371"/>
    <w:rsid w:val="006F1654"/>
    <w:rsid w:val="006F1830"/>
    <w:rsid w:val="006F1B20"/>
    <w:rsid w:val="006F1F04"/>
    <w:rsid w:val="006F2227"/>
    <w:rsid w:val="006F2247"/>
    <w:rsid w:val="006F24A3"/>
    <w:rsid w:val="006F2863"/>
    <w:rsid w:val="006F31D2"/>
    <w:rsid w:val="006F35CA"/>
    <w:rsid w:val="006F3860"/>
    <w:rsid w:val="006F3B4D"/>
    <w:rsid w:val="006F4C66"/>
    <w:rsid w:val="006F4D88"/>
    <w:rsid w:val="006F4E9F"/>
    <w:rsid w:val="006F4FDB"/>
    <w:rsid w:val="006F54B3"/>
    <w:rsid w:val="006F590F"/>
    <w:rsid w:val="006F618B"/>
    <w:rsid w:val="006F62F7"/>
    <w:rsid w:val="006F677E"/>
    <w:rsid w:val="006F6EBE"/>
    <w:rsid w:val="006F7436"/>
    <w:rsid w:val="006F7C08"/>
    <w:rsid w:val="0070006E"/>
    <w:rsid w:val="007000BA"/>
    <w:rsid w:val="00700351"/>
    <w:rsid w:val="00700602"/>
    <w:rsid w:val="00700B5F"/>
    <w:rsid w:val="00700BD5"/>
    <w:rsid w:val="00701988"/>
    <w:rsid w:val="00702392"/>
    <w:rsid w:val="00702B7E"/>
    <w:rsid w:val="00703674"/>
    <w:rsid w:val="00703AF7"/>
    <w:rsid w:val="007043F9"/>
    <w:rsid w:val="007044F8"/>
    <w:rsid w:val="0070463F"/>
    <w:rsid w:val="00704853"/>
    <w:rsid w:val="00704DF2"/>
    <w:rsid w:val="00704F53"/>
    <w:rsid w:val="00705078"/>
    <w:rsid w:val="0070676E"/>
    <w:rsid w:val="007067BE"/>
    <w:rsid w:val="00706A92"/>
    <w:rsid w:val="00707224"/>
    <w:rsid w:val="007073AF"/>
    <w:rsid w:val="0070794C"/>
    <w:rsid w:val="0071049F"/>
    <w:rsid w:val="0071053D"/>
    <w:rsid w:val="007105A0"/>
    <w:rsid w:val="00710700"/>
    <w:rsid w:val="007107D6"/>
    <w:rsid w:val="00710827"/>
    <w:rsid w:val="007109AE"/>
    <w:rsid w:val="00710E94"/>
    <w:rsid w:val="007110E2"/>
    <w:rsid w:val="0071197A"/>
    <w:rsid w:val="00711DD7"/>
    <w:rsid w:val="00712BCB"/>
    <w:rsid w:val="00712E77"/>
    <w:rsid w:val="00713266"/>
    <w:rsid w:val="00713B52"/>
    <w:rsid w:val="00713EC9"/>
    <w:rsid w:val="00713F38"/>
    <w:rsid w:val="0071403A"/>
    <w:rsid w:val="00714975"/>
    <w:rsid w:val="0071512D"/>
    <w:rsid w:val="007167CF"/>
    <w:rsid w:val="007168CC"/>
    <w:rsid w:val="0071723E"/>
    <w:rsid w:val="0072059D"/>
    <w:rsid w:val="0072108B"/>
    <w:rsid w:val="0072158A"/>
    <w:rsid w:val="00721758"/>
    <w:rsid w:val="00721F52"/>
    <w:rsid w:val="00721FD8"/>
    <w:rsid w:val="0072259C"/>
    <w:rsid w:val="007225C2"/>
    <w:rsid w:val="007226B8"/>
    <w:rsid w:val="00722A14"/>
    <w:rsid w:val="007231DE"/>
    <w:rsid w:val="007237DB"/>
    <w:rsid w:val="00723EAE"/>
    <w:rsid w:val="00723FEF"/>
    <w:rsid w:val="0072481E"/>
    <w:rsid w:val="00724B84"/>
    <w:rsid w:val="007253EC"/>
    <w:rsid w:val="007254F7"/>
    <w:rsid w:val="007269DC"/>
    <w:rsid w:val="007274AC"/>
    <w:rsid w:val="0072781E"/>
    <w:rsid w:val="00727D8A"/>
    <w:rsid w:val="007303DE"/>
    <w:rsid w:val="00730A43"/>
    <w:rsid w:val="00730BB8"/>
    <w:rsid w:val="00731A4F"/>
    <w:rsid w:val="00731FEA"/>
    <w:rsid w:val="0073205A"/>
    <w:rsid w:val="007329E5"/>
    <w:rsid w:val="00732ABE"/>
    <w:rsid w:val="00732B35"/>
    <w:rsid w:val="00733778"/>
    <w:rsid w:val="00733B86"/>
    <w:rsid w:val="0073458D"/>
    <w:rsid w:val="00734763"/>
    <w:rsid w:val="00734B07"/>
    <w:rsid w:val="007350FE"/>
    <w:rsid w:val="007353F5"/>
    <w:rsid w:val="0073543E"/>
    <w:rsid w:val="00735E16"/>
    <w:rsid w:val="00735F4E"/>
    <w:rsid w:val="00736BB0"/>
    <w:rsid w:val="00736F61"/>
    <w:rsid w:val="007371BC"/>
    <w:rsid w:val="007377D8"/>
    <w:rsid w:val="0073798D"/>
    <w:rsid w:val="00737D0C"/>
    <w:rsid w:val="00737FBB"/>
    <w:rsid w:val="00740668"/>
    <w:rsid w:val="00740CE8"/>
    <w:rsid w:val="00741284"/>
    <w:rsid w:val="007415E9"/>
    <w:rsid w:val="00741A15"/>
    <w:rsid w:val="00741DBA"/>
    <w:rsid w:val="007420B4"/>
    <w:rsid w:val="00742253"/>
    <w:rsid w:val="0074226E"/>
    <w:rsid w:val="007423A7"/>
    <w:rsid w:val="00742AAD"/>
    <w:rsid w:val="0074312E"/>
    <w:rsid w:val="007435DF"/>
    <w:rsid w:val="00743699"/>
    <w:rsid w:val="0074401C"/>
    <w:rsid w:val="0074413B"/>
    <w:rsid w:val="00744AE1"/>
    <w:rsid w:val="00745374"/>
    <w:rsid w:val="007455EF"/>
    <w:rsid w:val="007459E9"/>
    <w:rsid w:val="0074629A"/>
    <w:rsid w:val="007467AF"/>
    <w:rsid w:val="00746B81"/>
    <w:rsid w:val="00746FE5"/>
    <w:rsid w:val="00747C84"/>
    <w:rsid w:val="007500B7"/>
    <w:rsid w:val="007500CA"/>
    <w:rsid w:val="00750805"/>
    <w:rsid w:val="00750A62"/>
    <w:rsid w:val="00750A98"/>
    <w:rsid w:val="00751363"/>
    <w:rsid w:val="00751409"/>
    <w:rsid w:val="007515D7"/>
    <w:rsid w:val="00751977"/>
    <w:rsid w:val="00751B5F"/>
    <w:rsid w:val="00751E73"/>
    <w:rsid w:val="0075213A"/>
    <w:rsid w:val="00752DFB"/>
    <w:rsid w:val="00754B7D"/>
    <w:rsid w:val="00754D2A"/>
    <w:rsid w:val="007557A7"/>
    <w:rsid w:val="00755A61"/>
    <w:rsid w:val="0075695E"/>
    <w:rsid w:val="0075746D"/>
    <w:rsid w:val="007574C3"/>
    <w:rsid w:val="007574E9"/>
    <w:rsid w:val="00757D10"/>
    <w:rsid w:val="00757E17"/>
    <w:rsid w:val="00757EEB"/>
    <w:rsid w:val="0076020F"/>
    <w:rsid w:val="00760497"/>
    <w:rsid w:val="00760893"/>
    <w:rsid w:val="00760AE7"/>
    <w:rsid w:val="007610B2"/>
    <w:rsid w:val="0076131B"/>
    <w:rsid w:val="0076136B"/>
    <w:rsid w:val="0076190C"/>
    <w:rsid w:val="00761944"/>
    <w:rsid w:val="00761A99"/>
    <w:rsid w:val="00761B04"/>
    <w:rsid w:val="0076232F"/>
    <w:rsid w:val="00762860"/>
    <w:rsid w:val="00762F00"/>
    <w:rsid w:val="007631B3"/>
    <w:rsid w:val="0076339C"/>
    <w:rsid w:val="00763CE0"/>
    <w:rsid w:val="0076486B"/>
    <w:rsid w:val="00765351"/>
    <w:rsid w:val="007653EC"/>
    <w:rsid w:val="007659C2"/>
    <w:rsid w:val="00765E5F"/>
    <w:rsid w:val="007662C7"/>
    <w:rsid w:val="00766A21"/>
    <w:rsid w:val="00766ACC"/>
    <w:rsid w:val="00766FDF"/>
    <w:rsid w:val="0076702D"/>
    <w:rsid w:val="00770402"/>
    <w:rsid w:val="007704C2"/>
    <w:rsid w:val="00770D70"/>
    <w:rsid w:val="00770E9F"/>
    <w:rsid w:val="00771631"/>
    <w:rsid w:val="00771C77"/>
    <w:rsid w:val="007720C6"/>
    <w:rsid w:val="00772346"/>
    <w:rsid w:val="007723C6"/>
    <w:rsid w:val="007729FC"/>
    <w:rsid w:val="00772ABF"/>
    <w:rsid w:val="00772D60"/>
    <w:rsid w:val="00772D84"/>
    <w:rsid w:val="007730F4"/>
    <w:rsid w:val="007741FD"/>
    <w:rsid w:val="00774753"/>
    <w:rsid w:val="007747B5"/>
    <w:rsid w:val="00774BD7"/>
    <w:rsid w:val="007752EB"/>
    <w:rsid w:val="007757F4"/>
    <w:rsid w:val="00775F10"/>
    <w:rsid w:val="00776306"/>
    <w:rsid w:val="00776365"/>
    <w:rsid w:val="0077653B"/>
    <w:rsid w:val="007765C5"/>
    <w:rsid w:val="007767DB"/>
    <w:rsid w:val="007768FB"/>
    <w:rsid w:val="00776E40"/>
    <w:rsid w:val="00776E67"/>
    <w:rsid w:val="007776C7"/>
    <w:rsid w:val="00777C4A"/>
    <w:rsid w:val="00777CA4"/>
    <w:rsid w:val="007800DA"/>
    <w:rsid w:val="007804E0"/>
    <w:rsid w:val="00780901"/>
    <w:rsid w:val="00780C7F"/>
    <w:rsid w:val="00780D8E"/>
    <w:rsid w:val="007810A3"/>
    <w:rsid w:val="00781573"/>
    <w:rsid w:val="00782D7C"/>
    <w:rsid w:val="00782E26"/>
    <w:rsid w:val="00782EB2"/>
    <w:rsid w:val="00782EE1"/>
    <w:rsid w:val="00782EF7"/>
    <w:rsid w:val="007838A1"/>
    <w:rsid w:val="00783F17"/>
    <w:rsid w:val="00783F86"/>
    <w:rsid w:val="007842B8"/>
    <w:rsid w:val="00784305"/>
    <w:rsid w:val="00784B8B"/>
    <w:rsid w:val="00784CEB"/>
    <w:rsid w:val="00784D44"/>
    <w:rsid w:val="00785D6E"/>
    <w:rsid w:val="007860A4"/>
    <w:rsid w:val="007863B8"/>
    <w:rsid w:val="007869DA"/>
    <w:rsid w:val="00786BE6"/>
    <w:rsid w:val="0078737D"/>
    <w:rsid w:val="00787CBF"/>
    <w:rsid w:val="00787E63"/>
    <w:rsid w:val="00787F76"/>
    <w:rsid w:val="007903EA"/>
    <w:rsid w:val="00790535"/>
    <w:rsid w:val="00790845"/>
    <w:rsid w:val="00790B53"/>
    <w:rsid w:val="00790BAB"/>
    <w:rsid w:val="00791042"/>
    <w:rsid w:val="007912F8"/>
    <w:rsid w:val="00791A3A"/>
    <w:rsid w:val="00791AA2"/>
    <w:rsid w:val="00791CBF"/>
    <w:rsid w:val="007928AC"/>
    <w:rsid w:val="00792A17"/>
    <w:rsid w:val="00792F35"/>
    <w:rsid w:val="00793097"/>
    <w:rsid w:val="00793A5E"/>
    <w:rsid w:val="007946A6"/>
    <w:rsid w:val="00794782"/>
    <w:rsid w:val="00794B4D"/>
    <w:rsid w:val="00794CF5"/>
    <w:rsid w:val="00795A14"/>
    <w:rsid w:val="00795E58"/>
    <w:rsid w:val="0079669C"/>
    <w:rsid w:val="00796D34"/>
    <w:rsid w:val="00796D4B"/>
    <w:rsid w:val="00797B22"/>
    <w:rsid w:val="00797CE2"/>
    <w:rsid w:val="007A015A"/>
    <w:rsid w:val="007A0612"/>
    <w:rsid w:val="007A07B3"/>
    <w:rsid w:val="007A0D1D"/>
    <w:rsid w:val="007A13C9"/>
    <w:rsid w:val="007A14BD"/>
    <w:rsid w:val="007A1F58"/>
    <w:rsid w:val="007A265B"/>
    <w:rsid w:val="007A2A42"/>
    <w:rsid w:val="007A2F98"/>
    <w:rsid w:val="007A3217"/>
    <w:rsid w:val="007A32FF"/>
    <w:rsid w:val="007A3CC5"/>
    <w:rsid w:val="007A44EC"/>
    <w:rsid w:val="007A4913"/>
    <w:rsid w:val="007A50DD"/>
    <w:rsid w:val="007A5438"/>
    <w:rsid w:val="007A55A7"/>
    <w:rsid w:val="007A60D9"/>
    <w:rsid w:val="007A625A"/>
    <w:rsid w:val="007A6A9B"/>
    <w:rsid w:val="007A6BCB"/>
    <w:rsid w:val="007A6DB1"/>
    <w:rsid w:val="007A733D"/>
    <w:rsid w:val="007A7478"/>
    <w:rsid w:val="007A7638"/>
    <w:rsid w:val="007A78A6"/>
    <w:rsid w:val="007A7B5C"/>
    <w:rsid w:val="007A7B9C"/>
    <w:rsid w:val="007A7BEF"/>
    <w:rsid w:val="007A7D32"/>
    <w:rsid w:val="007B032C"/>
    <w:rsid w:val="007B0B46"/>
    <w:rsid w:val="007B0CD3"/>
    <w:rsid w:val="007B11F3"/>
    <w:rsid w:val="007B12D9"/>
    <w:rsid w:val="007B1640"/>
    <w:rsid w:val="007B1A26"/>
    <w:rsid w:val="007B1D9D"/>
    <w:rsid w:val="007B1F10"/>
    <w:rsid w:val="007B20C7"/>
    <w:rsid w:val="007B2291"/>
    <w:rsid w:val="007B263A"/>
    <w:rsid w:val="007B32E2"/>
    <w:rsid w:val="007B335E"/>
    <w:rsid w:val="007B35FE"/>
    <w:rsid w:val="007B3832"/>
    <w:rsid w:val="007B3BAB"/>
    <w:rsid w:val="007B412B"/>
    <w:rsid w:val="007B57D0"/>
    <w:rsid w:val="007B58FC"/>
    <w:rsid w:val="007B59F5"/>
    <w:rsid w:val="007B5BF8"/>
    <w:rsid w:val="007B6055"/>
    <w:rsid w:val="007B7476"/>
    <w:rsid w:val="007B7554"/>
    <w:rsid w:val="007B756D"/>
    <w:rsid w:val="007B79DF"/>
    <w:rsid w:val="007C000D"/>
    <w:rsid w:val="007C002D"/>
    <w:rsid w:val="007C0045"/>
    <w:rsid w:val="007C06E8"/>
    <w:rsid w:val="007C0CED"/>
    <w:rsid w:val="007C0F34"/>
    <w:rsid w:val="007C1358"/>
    <w:rsid w:val="007C1C84"/>
    <w:rsid w:val="007C1F74"/>
    <w:rsid w:val="007C2267"/>
    <w:rsid w:val="007C244F"/>
    <w:rsid w:val="007C3343"/>
    <w:rsid w:val="007C3383"/>
    <w:rsid w:val="007C388E"/>
    <w:rsid w:val="007C3EEE"/>
    <w:rsid w:val="007C4441"/>
    <w:rsid w:val="007C4EA9"/>
    <w:rsid w:val="007C5487"/>
    <w:rsid w:val="007C5623"/>
    <w:rsid w:val="007C5E29"/>
    <w:rsid w:val="007C648D"/>
    <w:rsid w:val="007C64FC"/>
    <w:rsid w:val="007C68E7"/>
    <w:rsid w:val="007C6B62"/>
    <w:rsid w:val="007C6CFF"/>
    <w:rsid w:val="007C6E3D"/>
    <w:rsid w:val="007C7CCF"/>
    <w:rsid w:val="007C7F9F"/>
    <w:rsid w:val="007D0326"/>
    <w:rsid w:val="007D044C"/>
    <w:rsid w:val="007D0718"/>
    <w:rsid w:val="007D08DA"/>
    <w:rsid w:val="007D0956"/>
    <w:rsid w:val="007D0B60"/>
    <w:rsid w:val="007D0C2C"/>
    <w:rsid w:val="007D1153"/>
    <w:rsid w:val="007D118C"/>
    <w:rsid w:val="007D2927"/>
    <w:rsid w:val="007D2CEA"/>
    <w:rsid w:val="007D46B7"/>
    <w:rsid w:val="007D478A"/>
    <w:rsid w:val="007D49F2"/>
    <w:rsid w:val="007D4A4F"/>
    <w:rsid w:val="007D4AF9"/>
    <w:rsid w:val="007D5167"/>
    <w:rsid w:val="007D5ED3"/>
    <w:rsid w:val="007D60B4"/>
    <w:rsid w:val="007D6705"/>
    <w:rsid w:val="007D6747"/>
    <w:rsid w:val="007D6E23"/>
    <w:rsid w:val="007D78AA"/>
    <w:rsid w:val="007E0056"/>
    <w:rsid w:val="007E018D"/>
    <w:rsid w:val="007E0374"/>
    <w:rsid w:val="007E0681"/>
    <w:rsid w:val="007E086A"/>
    <w:rsid w:val="007E096C"/>
    <w:rsid w:val="007E0D9D"/>
    <w:rsid w:val="007E0E8D"/>
    <w:rsid w:val="007E0EA5"/>
    <w:rsid w:val="007E10AE"/>
    <w:rsid w:val="007E1A15"/>
    <w:rsid w:val="007E1ADE"/>
    <w:rsid w:val="007E28BC"/>
    <w:rsid w:val="007E2923"/>
    <w:rsid w:val="007E3466"/>
    <w:rsid w:val="007E34E0"/>
    <w:rsid w:val="007E371D"/>
    <w:rsid w:val="007E3907"/>
    <w:rsid w:val="007E446D"/>
    <w:rsid w:val="007E56FD"/>
    <w:rsid w:val="007E5B44"/>
    <w:rsid w:val="007E6436"/>
    <w:rsid w:val="007E7653"/>
    <w:rsid w:val="007E79C6"/>
    <w:rsid w:val="007E7BD0"/>
    <w:rsid w:val="007F0356"/>
    <w:rsid w:val="007F0597"/>
    <w:rsid w:val="007F087C"/>
    <w:rsid w:val="007F0B04"/>
    <w:rsid w:val="007F0D79"/>
    <w:rsid w:val="007F11E5"/>
    <w:rsid w:val="007F11E8"/>
    <w:rsid w:val="007F1B71"/>
    <w:rsid w:val="007F1E1B"/>
    <w:rsid w:val="007F22F9"/>
    <w:rsid w:val="007F2717"/>
    <w:rsid w:val="007F3071"/>
    <w:rsid w:val="007F31E3"/>
    <w:rsid w:val="007F341C"/>
    <w:rsid w:val="007F35C2"/>
    <w:rsid w:val="007F3C76"/>
    <w:rsid w:val="007F3CAB"/>
    <w:rsid w:val="007F4042"/>
    <w:rsid w:val="007F415C"/>
    <w:rsid w:val="007F4433"/>
    <w:rsid w:val="007F48B1"/>
    <w:rsid w:val="007F5A82"/>
    <w:rsid w:val="007F6414"/>
    <w:rsid w:val="007F7437"/>
    <w:rsid w:val="007F77D9"/>
    <w:rsid w:val="007F7B39"/>
    <w:rsid w:val="00800193"/>
    <w:rsid w:val="00800421"/>
    <w:rsid w:val="008006C8"/>
    <w:rsid w:val="00800838"/>
    <w:rsid w:val="00800E4C"/>
    <w:rsid w:val="00800FED"/>
    <w:rsid w:val="008025FA"/>
    <w:rsid w:val="00802745"/>
    <w:rsid w:val="00802CBB"/>
    <w:rsid w:val="00803B76"/>
    <w:rsid w:val="00803E98"/>
    <w:rsid w:val="00803F66"/>
    <w:rsid w:val="008040E0"/>
    <w:rsid w:val="00804823"/>
    <w:rsid w:val="00804BCA"/>
    <w:rsid w:val="00804FA8"/>
    <w:rsid w:val="00805140"/>
    <w:rsid w:val="008052D1"/>
    <w:rsid w:val="00805499"/>
    <w:rsid w:val="00805961"/>
    <w:rsid w:val="00805C1C"/>
    <w:rsid w:val="0080697E"/>
    <w:rsid w:val="0080698C"/>
    <w:rsid w:val="00806994"/>
    <w:rsid w:val="00806DB9"/>
    <w:rsid w:val="008074F7"/>
    <w:rsid w:val="008075DF"/>
    <w:rsid w:val="00807C6E"/>
    <w:rsid w:val="00807E7D"/>
    <w:rsid w:val="00810530"/>
    <w:rsid w:val="008107D8"/>
    <w:rsid w:val="008114C9"/>
    <w:rsid w:val="0081163A"/>
    <w:rsid w:val="008119CE"/>
    <w:rsid w:val="008123E4"/>
    <w:rsid w:val="00812543"/>
    <w:rsid w:val="00813060"/>
    <w:rsid w:val="00813199"/>
    <w:rsid w:val="008141A8"/>
    <w:rsid w:val="008143D6"/>
    <w:rsid w:val="00814493"/>
    <w:rsid w:val="00814782"/>
    <w:rsid w:val="00814C63"/>
    <w:rsid w:val="00814D4C"/>
    <w:rsid w:val="00814EF5"/>
    <w:rsid w:val="008155BA"/>
    <w:rsid w:val="008155E1"/>
    <w:rsid w:val="00817114"/>
    <w:rsid w:val="00817D77"/>
    <w:rsid w:val="00817F63"/>
    <w:rsid w:val="00820274"/>
    <w:rsid w:val="00820812"/>
    <w:rsid w:val="008208A1"/>
    <w:rsid w:val="00820A6E"/>
    <w:rsid w:val="00820E0A"/>
    <w:rsid w:val="0082113F"/>
    <w:rsid w:val="00822244"/>
    <w:rsid w:val="0082231C"/>
    <w:rsid w:val="0082299A"/>
    <w:rsid w:val="00822A73"/>
    <w:rsid w:val="00822ADE"/>
    <w:rsid w:val="008232C7"/>
    <w:rsid w:val="00823A78"/>
    <w:rsid w:val="00823F70"/>
    <w:rsid w:val="00823FC6"/>
    <w:rsid w:val="0082428A"/>
    <w:rsid w:val="00824717"/>
    <w:rsid w:val="008247AD"/>
    <w:rsid w:val="00824B1F"/>
    <w:rsid w:val="008250D2"/>
    <w:rsid w:val="00825F2B"/>
    <w:rsid w:val="00826C3F"/>
    <w:rsid w:val="00827438"/>
    <w:rsid w:val="008307C2"/>
    <w:rsid w:val="00830DF6"/>
    <w:rsid w:val="008313D0"/>
    <w:rsid w:val="00831675"/>
    <w:rsid w:val="008318A1"/>
    <w:rsid w:val="0083199D"/>
    <w:rsid w:val="00831A02"/>
    <w:rsid w:val="00832214"/>
    <w:rsid w:val="0083235C"/>
    <w:rsid w:val="0083255E"/>
    <w:rsid w:val="00832D19"/>
    <w:rsid w:val="00832EB8"/>
    <w:rsid w:val="00832F58"/>
    <w:rsid w:val="00832FF2"/>
    <w:rsid w:val="008330E8"/>
    <w:rsid w:val="008332FF"/>
    <w:rsid w:val="008335CF"/>
    <w:rsid w:val="008339B0"/>
    <w:rsid w:val="00833AB0"/>
    <w:rsid w:val="00834032"/>
    <w:rsid w:val="00834558"/>
    <w:rsid w:val="00834666"/>
    <w:rsid w:val="00834C92"/>
    <w:rsid w:val="008350BE"/>
    <w:rsid w:val="00835386"/>
    <w:rsid w:val="008354E1"/>
    <w:rsid w:val="008364E7"/>
    <w:rsid w:val="008368C2"/>
    <w:rsid w:val="00836C98"/>
    <w:rsid w:val="008376FA"/>
    <w:rsid w:val="0083779B"/>
    <w:rsid w:val="0083783A"/>
    <w:rsid w:val="00837D1A"/>
    <w:rsid w:val="00837EF6"/>
    <w:rsid w:val="00840C26"/>
    <w:rsid w:val="00840C90"/>
    <w:rsid w:val="00841D97"/>
    <w:rsid w:val="00842073"/>
    <w:rsid w:val="0084229D"/>
    <w:rsid w:val="008425A8"/>
    <w:rsid w:val="008427D7"/>
    <w:rsid w:val="00842849"/>
    <w:rsid w:val="00842DE6"/>
    <w:rsid w:val="008430F8"/>
    <w:rsid w:val="00843146"/>
    <w:rsid w:val="00843955"/>
    <w:rsid w:val="0084425F"/>
    <w:rsid w:val="00844651"/>
    <w:rsid w:val="0084465B"/>
    <w:rsid w:val="008449F9"/>
    <w:rsid w:val="008451DE"/>
    <w:rsid w:val="00845340"/>
    <w:rsid w:val="0084548D"/>
    <w:rsid w:val="008456D6"/>
    <w:rsid w:val="0084638E"/>
    <w:rsid w:val="00846D6B"/>
    <w:rsid w:val="00847440"/>
    <w:rsid w:val="008502A5"/>
    <w:rsid w:val="008505F5"/>
    <w:rsid w:val="008506BA"/>
    <w:rsid w:val="008506E0"/>
    <w:rsid w:val="00850CB5"/>
    <w:rsid w:val="00850D41"/>
    <w:rsid w:val="008516F5"/>
    <w:rsid w:val="008517AB"/>
    <w:rsid w:val="00851BD5"/>
    <w:rsid w:val="00851FEE"/>
    <w:rsid w:val="00852450"/>
    <w:rsid w:val="008528EA"/>
    <w:rsid w:val="008535FF"/>
    <w:rsid w:val="00853AE3"/>
    <w:rsid w:val="00853ECA"/>
    <w:rsid w:val="00853EE5"/>
    <w:rsid w:val="00854015"/>
    <w:rsid w:val="008542FF"/>
    <w:rsid w:val="00854F5F"/>
    <w:rsid w:val="00855356"/>
    <w:rsid w:val="00855BA9"/>
    <w:rsid w:val="00856212"/>
    <w:rsid w:val="00856E1E"/>
    <w:rsid w:val="00856E4E"/>
    <w:rsid w:val="00857AF4"/>
    <w:rsid w:val="0086045F"/>
    <w:rsid w:val="008609F4"/>
    <w:rsid w:val="00860D9C"/>
    <w:rsid w:val="008610B7"/>
    <w:rsid w:val="00861126"/>
    <w:rsid w:val="00861BA9"/>
    <w:rsid w:val="00861C95"/>
    <w:rsid w:val="0086280A"/>
    <w:rsid w:val="00862844"/>
    <w:rsid w:val="00862931"/>
    <w:rsid w:val="00863371"/>
    <w:rsid w:val="008635AF"/>
    <w:rsid w:val="008639CD"/>
    <w:rsid w:val="00863AFB"/>
    <w:rsid w:val="008647AE"/>
    <w:rsid w:val="00864B58"/>
    <w:rsid w:val="008659AD"/>
    <w:rsid w:val="00865A89"/>
    <w:rsid w:val="00865A8A"/>
    <w:rsid w:val="00865D2E"/>
    <w:rsid w:val="00865D69"/>
    <w:rsid w:val="0086633F"/>
    <w:rsid w:val="00866403"/>
    <w:rsid w:val="00866712"/>
    <w:rsid w:val="008669AF"/>
    <w:rsid w:val="00866B9D"/>
    <w:rsid w:val="00866E43"/>
    <w:rsid w:val="00867155"/>
    <w:rsid w:val="008678FF"/>
    <w:rsid w:val="00867AB7"/>
    <w:rsid w:val="00867FAE"/>
    <w:rsid w:val="008704BC"/>
    <w:rsid w:val="008709D8"/>
    <w:rsid w:val="00870CA8"/>
    <w:rsid w:val="00870E25"/>
    <w:rsid w:val="00870EAA"/>
    <w:rsid w:val="00871900"/>
    <w:rsid w:val="00871A20"/>
    <w:rsid w:val="00871ECE"/>
    <w:rsid w:val="00871F39"/>
    <w:rsid w:val="008720A0"/>
    <w:rsid w:val="0087218E"/>
    <w:rsid w:val="0087234C"/>
    <w:rsid w:val="00872A74"/>
    <w:rsid w:val="00873653"/>
    <w:rsid w:val="00873694"/>
    <w:rsid w:val="00873D52"/>
    <w:rsid w:val="008745BC"/>
    <w:rsid w:val="00874745"/>
    <w:rsid w:val="00874895"/>
    <w:rsid w:val="00874E1E"/>
    <w:rsid w:val="0087592D"/>
    <w:rsid w:val="00875BDD"/>
    <w:rsid w:val="00875E00"/>
    <w:rsid w:val="0087600E"/>
    <w:rsid w:val="00876602"/>
    <w:rsid w:val="008767F2"/>
    <w:rsid w:val="00876BF9"/>
    <w:rsid w:val="00877111"/>
    <w:rsid w:val="008771C8"/>
    <w:rsid w:val="00877B8C"/>
    <w:rsid w:val="008803F2"/>
    <w:rsid w:val="008804FA"/>
    <w:rsid w:val="00880730"/>
    <w:rsid w:val="00880EC3"/>
    <w:rsid w:val="00881486"/>
    <w:rsid w:val="00881C27"/>
    <w:rsid w:val="008823B8"/>
    <w:rsid w:val="00883449"/>
    <w:rsid w:val="00883494"/>
    <w:rsid w:val="008834BA"/>
    <w:rsid w:val="0088369D"/>
    <w:rsid w:val="008838EE"/>
    <w:rsid w:val="00883F3B"/>
    <w:rsid w:val="00884249"/>
    <w:rsid w:val="0088467C"/>
    <w:rsid w:val="00884AD8"/>
    <w:rsid w:val="00884DFC"/>
    <w:rsid w:val="0088523B"/>
    <w:rsid w:val="0088572D"/>
    <w:rsid w:val="0088598A"/>
    <w:rsid w:val="00885C84"/>
    <w:rsid w:val="00886377"/>
    <w:rsid w:val="00886386"/>
    <w:rsid w:val="0088642B"/>
    <w:rsid w:val="008866A0"/>
    <w:rsid w:val="008869B0"/>
    <w:rsid w:val="00886B2A"/>
    <w:rsid w:val="00886C24"/>
    <w:rsid w:val="00887394"/>
    <w:rsid w:val="008879BA"/>
    <w:rsid w:val="00887B5A"/>
    <w:rsid w:val="00887C70"/>
    <w:rsid w:val="00887ED6"/>
    <w:rsid w:val="00890297"/>
    <w:rsid w:val="00890CDB"/>
    <w:rsid w:val="00891CB5"/>
    <w:rsid w:val="008922D0"/>
    <w:rsid w:val="008925E3"/>
    <w:rsid w:val="00892E80"/>
    <w:rsid w:val="008934E1"/>
    <w:rsid w:val="00893814"/>
    <w:rsid w:val="00893D92"/>
    <w:rsid w:val="00893F2B"/>
    <w:rsid w:val="008940DB"/>
    <w:rsid w:val="0089417C"/>
    <w:rsid w:val="00894579"/>
    <w:rsid w:val="00894D16"/>
    <w:rsid w:val="00894E6E"/>
    <w:rsid w:val="0089507B"/>
    <w:rsid w:val="008951EA"/>
    <w:rsid w:val="00895D24"/>
    <w:rsid w:val="00895D7C"/>
    <w:rsid w:val="00895EF2"/>
    <w:rsid w:val="008963E2"/>
    <w:rsid w:val="008971A5"/>
    <w:rsid w:val="008972AB"/>
    <w:rsid w:val="0089735A"/>
    <w:rsid w:val="0089737B"/>
    <w:rsid w:val="008978EB"/>
    <w:rsid w:val="00897CDF"/>
    <w:rsid w:val="008A059F"/>
    <w:rsid w:val="008A1042"/>
    <w:rsid w:val="008A1102"/>
    <w:rsid w:val="008A1126"/>
    <w:rsid w:val="008A1493"/>
    <w:rsid w:val="008A1641"/>
    <w:rsid w:val="008A1D86"/>
    <w:rsid w:val="008A2345"/>
    <w:rsid w:val="008A2D02"/>
    <w:rsid w:val="008A3268"/>
    <w:rsid w:val="008A363B"/>
    <w:rsid w:val="008A3CEE"/>
    <w:rsid w:val="008A3F73"/>
    <w:rsid w:val="008A4298"/>
    <w:rsid w:val="008A457F"/>
    <w:rsid w:val="008A497F"/>
    <w:rsid w:val="008A49A5"/>
    <w:rsid w:val="008A4A12"/>
    <w:rsid w:val="008A4B75"/>
    <w:rsid w:val="008A56E0"/>
    <w:rsid w:val="008A5B67"/>
    <w:rsid w:val="008A5E5B"/>
    <w:rsid w:val="008A6141"/>
    <w:rsid w:val="008A63BA"/>
    <w:rsid w:val="008A6563"/>
    <w:rsid w:val="008A6B96"/>
    <w:rsid w:val="008B0C99"/>
    <w:rsid w:val="008B122F"/>
    <w:rsid w:val="008B1642"/>
    <w:rsid w:val="008B1680"/>
    <w:rsid w:val="008B1AA9"/>
    <w:rsid w:val="008B1B83"/>
    <w:rsid w:val="008B1E01"/>
    <w:rsid w:val="008B202E"/>
    <w:rsid w:val="008B2420"/>
    <w:rsid w:val="008B281D"/>
    <w:rsid w:val="008B3137"/>
    <w:rsid w:val="008B3241"/>
    <w:rsid w:val="008B37E3"/>
    <w:rsid w:val="008B3CE7"/>
    <w:rsid w:val="008B3E4C"/>
    <w:rsid w:val="008B636A"/>
    <w:rsid w:val="008B65B1"/>
    <w:rsid w:val="008B6974"/>
    <w:rsid w:val="008B7062"/>
    <w:rsid w:val="008B736F"/>
    <w:rsid w:val="008B746F"/>
    <w:rsid w:val="008C00C7"/>
    <w:rsid w:val="008C00CC"/>
    <w:rsid w:val="008C07C6"/>
    <w:rsid w:val="008C09EF"/>
    <w:rsid w:val="008C0A52"/>
    <w:rsid w:val="008C1B99"/>
    <w:rsid w:val="008C1D88"/>
    <w:rsid w:val="008C1EE8"/>
    <w:rsid w:val="008C2299"/>
    <w:rsid w:val="008C3196"/>
    <w:rsid w:val="008C324D"/>
    <w:rsid w:val="008C36F0"/>
    <w:rsid w:val="008C3F16"/>
    <w:rsid w:val="008C40D5"/>
    <w:rsid w:val="008C453F"/>
    <w:rsid w:val="008C5305"/>
    <w:rsid w:val="008C5734"/>
    <w:rsid w:val="008C5770"/>
    <w:rsid w:val="008C5815"/>
    <w:rsid w:val="008C5BA2"/>
    <w:rsid w:val="008C6353"/>
    <w:rsid w:val="008C74FB"/>
    <w:rsid w:val="008C7570"/>
    <w:rsid w:val="008C7BE1"/>
    <w:rsid w:val="008C7F4B"/>
    <w:rsid w:val="008D07F7"/>
    <w:rsid w:val="008D0929"/>
    <w:rsid w:val="008D0A03"/>
    <w:rsid w:val="008D0A51"/>
    <w:rsid w:val="008D0BBC"/>
    <w:rsid w:val="008D0BDA"/>
    <w:rsid w:val="008D0D5E"/>
    <w:rsid w:val="008D0DB9"/>
    <w:rsid w:val="008D107C"/>
    <w:rsid w:val="008D16F7"/>
    <w:rsid w:val="008D1AE0"/>
    <w:rsid w:val="008D1C11"/>
    <w:rsid w:val="008D219F"/>
    <w:rsid w:val="008D242A"/>
    <w:rsid w:val="008D2D9B"/>
    <w:rsid w:val="008D3249"/>
    <w:rsid w:val="008D33D9"/>
    <w:rsid w:val="008D3473"/>
    <w:rsid w:val="008D3864"/>
    <w:rsid w:val="008D3A4A"/>
    <w:rsid w:val="008D3B85"/>
    <w:rsid w:val="008D3D15"/>
    <w:rsid w:val="008D3DB2"/>
    <w:rsid w:val="008D3DF8"/>
    <w:rsid w:val="008D4074"/>
    <w:rsid w:val="008D4882"/>
    <w:rsid w:val="008D48B9"/>
    <w:rsid w:val="008D536B"/>
    <w:rsid w:val="008D5752"/>
    <w:rsid w:val="008D5F6B"/>
    <w:rsid w:val="008D5F99"/>
    <w:rsid w:val="008D6182"/>
    <w:rsid w:val="008D61A8"/>
    <w:rsid w:val="008D66E2"/>
    <w:rsid w:val="008D6D43"/>
    <w:rsid w:val="008D6DE8"/>
    <w:rsid w:val="008D6EA8"/>
    <w:rsid w:val="008D778E"/>
    <w:rsid w:val="008D789C"/>
    <w:rsid w:val="008D7E95"/>
    <w:rsid w:val="008E0BB5"/>
    <w:rsid w:val="008E1427"/>
    <w:rsid w:val="008E1789"/>
    <w:rsid w:val="008E1C11"/>
    <w:rsid w:val="008E22EB"/>
    <w:rsid w:val="008E2829"/>
    <w:rsid w:val="008E34D2"/>
    <w:rsid w:val="008E353F"/>
    <w:rsid w:val="008E367E"/>
    <w:rsid w:val="008E4019"/>
    <w:rsid w:val="008E411B"/>
    <w:rsid w:val="008E4435"/>
    <w:rsid w:val="008E453A"/>
    <w:rsid w:val="008E4AD0"/>
    <w:rsid w:val="008E4D32"/>
    <w:rsid w:val="008E5084"/>
    <w:rsid w:val="008E52A3"/>
    <w:rsid w:val="008E5C67"/>
    <w:rsid w:val="008E5EF4"/>
    <w:rsid w:val="008E6373"/>
    <w:rsid w:val="008E6A1E"/>
    <w:rsid w:val="008E75FD"/>
    <w:rsid w:val="008E76E9"/>
    <w:rsid w:val="008E7C96"/>
    <w:rsid w:val="008F07FD"/>
    <w:rsid w:val="008F099C"/>
    <w:rsid w:val="008F0A00"/>
    <w:rsid w:val="008F1270"/>
    <w:rsid w:val="008F15A3"/>
    <w:rsid w:val="008F1753"/>
    <w:rsid w:val="008F1AE1"/>
    <w:rsid w:val="008F1E0F"/>
    <w:rsid w:val="008F3977"/>
    <w:rsid w:val="008F3CDB"/>
    <w:rsid w:val="008F43CA"/>
    <w:rsid w:val="008F457B"/>
    <w:rsid w:val="008F45A9"/>
    <w:rsid w:val="008F4DFA"/>
    <w:rsid w:val="008F542C"/>
    <w:rsid w:val="008F574C"/>
    <w:rsid w:val="008F5B83"/>
    <w:rsid w:val="008F5E50"/>
    <w:rsid w:val="008F71A1"/>
    <w:rsid w:val="008F7755"/>
    <w:rsid w:val="008F7D38"/>
    <w:rsid w:val="008F7FEB"/>
    <w:rsid w:val="00900817"/>
    <w:rsid w:val="00901255"/>
    <w:rsid w:val="0090152E"/>
    <w:rsid w:val="0090204C"/>
    <w:rsid w:val="009029D7"/>
    <w:rsid w:val="00902ACF"/>
    <w:rsid w:val="00902C5C"/>
    <w:rsid w:val="00902FBD"/>
    <w:rsid w:val="009030D5"/>
    <w:rsid w:val="009034FB"/>
    <w:rsid w:val="00903A19"/>
    <w:rsid w:val="00903AAF"/>
    <w:rsid w:val="00904338"/>
    <w:rsid w:val="00904A83"/>
    <w:rsid w:val="00904EA8"/>
    <w:rsid w:val="009051E8"/>
    <w:rsid w:val="00905384"/>
    <w:rsid w:val="00905A05"/>
    <w:rsid w:val="00905A54"/>
    <w:rsid w:val="009060A5"/>
    <w:rsid w:val="009061B5"/>
    <w:rsid w:val="00906550"/>
    <w:rsid w:val="009067F9"/>
    <w:rsid w:val="0090681B"/>
    <w:rsid w:val="00906909"/>
    <w:rsid w:val="00906F2E"/>
    <w:rsid w:val="009074B0"/>
    <w:rsid w:val="00907868"/>
    <w:rsid w:val="0090799C"/>
    <w:rsid w:val="009079EC"/>
    <w:rsid w:val="00907D08"/>
    <w:rsid w:val="00907E54"/>
    <w:rsid w:val="00910C21"/>
    <w:rsid w:val="00910E07"/>
    <w:rsid w:val="00911B46"/>
    <w:rsid w:val="00912607"/>
    <w:rsid w:val="00912790"/>
    <w:rsid w:val="00912C9B"/>
    <w:rsid w:val="009132AF"/>
    <w:rsid w:val="009133ED"/>
    <w:rsid w:val="00913875"/>
    <w:rsid w:val="009143A0"/>
    <w:rsid w:val="009148D1"/>
    <w:rsid w:val="00914F57"/>
    <w:rsid w:val="009150C1"/>
    <w:rsid w:val="00915666"/>
    <w:rsid w:val="00915972"/>
    <w:rsid w:val="00915B25"/>
    <w:rsid w:val="00915E92"/>
    <w:rsid w:val="009172A7"/>
    <w:rsid w:val="009172B0"/>
    <w:rsid w:val="0091739C"/>
    <w:rsid w:val="009205D1"/>
    <w:rsid w:val="00920BBD"/>
    <w:rsid w:val="00920CFB"/>
    <w:rsid w:val="00920DEA"/>
    <w:rsid w:val="009214AB"/>
    <w:rsid w:val="00921736"/>
    <w:rsid w:val="00921C27"/>
    <w:rsid w:val="00922030"/>
    <w:rsid w:val="009223FE"/>
    <w:rsid w:val="00922680"/>
    <w:rsid w:val="0092295A"/>
    <w:rsid w:val="00922A6A"/>
    <w:rsid w:val="00922AE1"/>
    <w:rsid w:val="00922AE7"/>
    <w:rsid w:val="00922DFD"/>
    <w:rsid w:val="00922E41"/>
    <w:rsid w:val="0092356B"/>
    <w:rsid w:val="0092356E"/>
    <w:rsid w:val="00923E7B"/>
    <w:rsid w:val="009244F8"/>
    <w:rsid w:val="009246B7"/>
    <w:rsid w:val="00924DEE"/>
    <w:rsid w:val="0092518E"/>
    <w:rsid w:val="0092525B"/>
    <w:rsid w:val="00925914"/>
    <w:rsid w:val="009259A5"/>
    <w:rsid w:val="00925D78"/>
    <w:rsid w:val="009265AA"/>
    <w:rsid w:val="00926C16"/>
    <w:rsid w:val="00926D1B"/>
    <w:rsid w:val="00927229"/>
    <w:rsid w:val="00927366"/>
    <w:rsid w:val="00927BAF"/>
    <w:rsid w:val="00930556"/>
    <w:rsid w:val="0093072A"/>
    <w:rsid w:val="0093092D"/>
    <w:rsid w:val="00930C55"/>
    <w:rsid w:val="00930CEE"/>
    <w:rsid w:val="0093118A"/>
    <w:rsid w:val="00931387"/>
    <w:rsid w:val="0093156E"/>
    <w:rsid w:val="00932043"/>
    <w:rsid w:val="00932692"/>
    <w:rsid w:val="009327FD"/>
    <w:rsid w:val="00932C06"/>
    <w:rsid w:val="00932D91"/>
    <w:rsid w:val="00933211"/>
    <w:rsid w:val="009332C7"/>
    <w:rsid w:val="00933D25"/>
    <w:rsid w:val="0093500F"/>
    <w:rsid w:val="0093523A"/>
    <w:rsid w:val="00935665"/>
    <w:rsid w:val="00936491"/>
    <w:rsid w:val="009364C7"/>
    <w:rsid w:val="009364E7"/>
    <w:rsid w:val="00936525"/>
    <w:rsid w:val="009366FF"/>
    <w:rsid w:val="00936902"/>
    <w:rsid w:val="00936D3C"/>
    <w:rsid w:val="00937113"/>
    <w:rsid w:val="009371CF"/>
    <w:rsid w:val="0093765F"/>
    <w:rsid w:val="0093784E"/>
    <w:rsid w:val="00937954"/>
    <w:rsid w:val="00937BCC"/>
    <w:rsid w:val="0094035C"/>
    <w:rsid w:val="00941225"/>
    <w:rsid w:val="009417C2"/>
    <w:rsid w:val="00941B33"/>
    <w:rsid w:val="009424E8"/>
    <w:rsid w:val="00942A69"/>
    <w:rsid w:val="00943BCC"/>
    <w:rsid w:val="00943DB2"/>
    <w:rsid w:val="00944BCB"/>
    <w:rsid w:val="00945538"/>
    <w:rsid w:val="009459E4"/>
    <w:rsid w:val="00945A2D"/>
    <w:rsid w:val="009464BE"/>
    <w:rsid w:val="009465C9"/>
    <w:rsid w:val="0094676D"/>
    <w:rsid w:val="00946969"/>
    <w:rsid w:val="00946D2C"/>
    <w:rsid w:val="00946E63"/>
    <w:rsid w:val="00946EF4"/>
    <w:rsid w:val="00946F90"/>
    <w:rsid w:val="009475A3"/>
    <w:rsid w:val="009478F6"/>
    <w:rsid w:val="00947D5A"/>
    <w:rsid w:val="0095026F"/>
    <w:rsid w:val="0095069C"/>
    <w:rsid w:val="00950D06"/>
    <w:rsid w:val="00950D54"/>
    <w:rsid w:val="009523A5"/>
    <w:rsid w:val="009525B7"/>
    <w:rsid w:val="00952957"/>
    <w:rsid w:val="00952AB9"/>
    <w:rsid w:val="00952BDB"/>
    <w:rsid w:val="009530EA"/>
    <w:rsid w:val="009542F3"/>
    <w:rsid w:val="00954679"/>
    <w:rsid w:val="00954689"/>
    <w:rsid w:val="00954FF8"/>
    <w:rsid w:val="00955187"/>
    <w:rsid w:val="00956426"/>
    <w:rsid w:val="00956A83"/>
    <w:rsid w:val="00956B99"/>
    <w:rsid w:val="00956C68"/>
    <w:rsid w:val="00956EC5"/>
    <w:rsid w:val="00957D93"/>
    <w:rsid w:val="00957F45"/>
    <w:rsid w:val="00960A2A"/>
    <w:rsid w:val="00960C8C"/>
    <w:rsid w:val="00960DA7"/>
    <w:rsid w:val="00961321"/>
    <w:rsid w:val="00961434"/>
    <w:rsid w:val="009628E1"/>
    <w:rsid w:val="009631D5"/>
    <w:rsid w:val="009634D2"/>
    <w:rsid w:val="00963B49"/>
    <w:rsid w:val="00963BAC"/>
    <w:rsid w:val="00964431"/>
    <w:rsid w:val="009648FA"/>
    <w:rsid w:val="00964B74"/>
    <w:rsid w:val="00964C00"/>
    <w:rsid w:val="00964EA0"/>
    <w:rsid w:val="00965398"/>
    <w:rsid w:val="009654F0"/>
    <w:rsid w:val="00965F7E"/>
    <w:rsid w:val="00965F9B"/>
    <w:rsid w:val="00966255"/>
    <w:rsid w:val="009665CF"/>
    <w:rsid w:val="00966842"/>
    <w:rsid w:val="00966C29"/>
    <w:rsid w:val="009670B2"/>
    <w:rsid w:val="00970275"/>
    <w:rsid w:val="00970315"/>
    <w:rsid w:val="0097058C"/>
    <w:rsid w:val="00970962"/>
    <w:rsid w:val="00970F3A"/>
    <w:rsid w:val="00970F9D"/>
    <w:rsid w:val="00971398"/>
    <w:rsid w:val="0097178B"/>
    <w:rsid w:val="0097186A"/>
    <w:rsid w:val="009718DD"/>
    <w:rsid w:val="0097241D"/>
    <w:rsid w:val="00972A0D"/>
    <w:rsid w:val="00972B75"/>
    <w:rsid w:val="00972CA7"/>
    <w:rsid w:val="0097348F"/>
    <w:rsid w:val="00973B37"/>
    <w:rsid w:val="00974117"/>
    <w:rsid w:val="00974483"/>
    <w:rsid w:val="00974687"/>
    <w:rsid w:val="0097493E"/>
    <w:rsid w:val="00974B3F"/>
    <w:rsid w:val="00974C36"/>
    <w:rsid w:val="00974FA6"/>
    <w:rsid w:val="009754B3"/>
    <w:rsid w:val="009756F4"/>
    <w:rsid w:val="00975799"/>
    <w:rsid w:val="009758C7"/>
    <w:rsid w:val="009758E9"/>
    <w:rsid w:val="00975AC7"/>
    <w:rsid w:val="00976781"/>
    <w:rsid w:val="00976D26"/>
    <w:rsid w:val="00976D41"/>
    <w:rsid w:val="00976E7F"/>
    <w:rsid w:val="0097712C"/>
    <w:rsid w:val="0097753C"/>
    <w:rsid w:val="0098074B"/>
    <w:rsid w:val="00981168"/>
    <w:rsid w:val="009812D8"/>
    <w:rsid w:val="009818DB"/>
    <w:rsid w:val="00981ADB"/>
    <w:rsid w:val="00981CB8"/>
    <w:rsid w:val="00981E07"/>
    <w:rsid w:val="009820BA"/>
    <w:rsid w:val="009827E1"/>
    <w:rsid w:val="00982EEA"/>
    <w:rsid w:val="0098358C"/>
    <w:rsid w:val="009836F4"/>
    <w:rsid w:val="00983E75"/>
    <w:rsid w:val="0098450D"/>
    <w:rsid w:val="0098458B"/>
    <w:rsid w:val="00984883"/>
    <w:rsid w:val="009851BD"/>
    <w:rsid w:val="00985406"/>
    <w:rsid w:val="0098558B"/>
    <w:rsid w:val="0098604C"/>
    <w:rsid w:val="00986117"/>
    <w:rsid w:val="00986215"/>
    <w:rsid w:val="00986AE3"/>
    <w:rsid w:val="00986C33"/>
    <w:rsid w:val="0098734A"/>
    <w:rsid w:val="00987B4E"/>
    <w:rsid w:val="00990804"/>
    <w:rsid w:val="009915EC"/>
    <w:rsid w:val="009919F5"/>
    <w:rsid w:val="00991B41"/>
    <w:rsid w:val="00991FEA"/>
    <w:rsid w:val="009921AF"/>
    <w:rsid w:val="00993069"/>
    <w:rsid w:val="0099315F"/>
    <w:rsid w:val="009932BE"/>
    <w:rsid w:val="00993987"/>
    <w:rsid w:val="00993ADB"/>
    <w:rsid w:val="00993E3D"/>
    <w:rsid w:val="00993F9E"/>
    <w:rsid w:val="00994097"/>
    <w:rsid w:val="0099465A"/>
    <w:rsid w:val="00994D5E"/>
    <w:rsid w:val="0099507C"/>
    <w:rsid w:val="0099543A"/>
    <w:rsid w:val="00995CED"/>
    <w:rsid w:val="00995E20"/>
    <w:rsid w:val="009963D7"/>
    <w:rsid w:val="0099644F"/>
    <w:rsid w:val="00996CEC"/>
    <w:rsid w:val="00997187"/>
    <w:rsid w:val="00997F1F"/>
    <w:rsid w:val="009A02F7"/>
    <w:rsid w:val="009A03DD"/>
    <w:rsid w:val="009A0FA4"/>
    <w:rsid w:val="009A1048"/>
    <w:rsid w:val="009A1215"/>
    <w:rsid w:val="009A1BDE"/>
    <w:rsid w:val="009A1C62"/>
    <w:rsid w:val="009A2767"/>
    <w:rsid w:val="009A2A91"/>
    <w:rsid w:val="009A2D87"/>
    <w:rsid w:val="009A3413"/>
    <w:rsid w:val="009A409F"/>
    <w:rsid w:val="009A41E5"/>
    <w:rsid w:val="009A4C88"/>
    <w:rsid w:val="009A5037"/>
    <w:rsid w:val="009A51EA"/>
    <w:rsid w:val="009A524D"/>
    <w:rsid w:val="009A527D"/>
    <w:rsid w:val="009A5AB6"/>
    <w:rsid w:val="009A5B4D"/>
    <w:rsid w:val="009A5B5D"/>
    <w:rsid w:val="009A5CF6"/>
    <w:rsid w:val="009A68FD"/>
    <w:rsid w:val="009A69D5"/>
    <w:rsid w:val="009A6E42"/>
    <w:rsid w:val="009A6E85"/>
    <w:rsid w:val="009A6EF9"/>
    <w:rsid w:val="009A71E3"/>
    <w:rsid w:val="009A7474"/>
    <w:rsid w:val="009A7946"/>
    <w:rsid w:val="009B0108"/>
    <w:rsid w:val="009B04E4"/>
    <w:rsid w:val="009B08EF"/>
    <w:rsid w:val="009B0C9D"/>
    <w:rsid w:val="009B12A8"/>
    <w:rsid w:val="009B1638"/>
    <w:rsid w:val="009B2128"/>
    <w:rsid w:val="009B2CF7"/>
    <w:rsid w:val="009B2D62"/>
    <w:rsid w:val="009B30BA"/>
    <w:rsid w:val="009B3168"/>
    <w:rsid w:val="009B32BA"/>
    <w:rsid w:val="009B331B"/>
    <w:rsid w:val="009B39CB"/>
    <w:rsid w:val="009B3A97"/>
    <w:rsid w:val="009B3C9A"/>
    <w:rsid w:val="009B413D"/>
    <w:rsid w:val="009B4F38"/>
    <w:rsid w:val="009B4F87"/>
    <w:rsid w:val="009B5227"/>
    <w:rsid w:val="009B5D96"/>
    <w:rsid w:val="009B6332"/>
    <w:rsid w:val="009B67B0"/>
    <w:rsid w:val="009B69E3"/>
    <w:rsid w:val="009B72F5"/>
    <w:rsid w:val="009B7487"/>
    <w:rsid w:val="009B7AA3"/>
    <w:rsid w:val="009B7B15"/>
    <w:rsid w:val="009B7F51"/>
    <w:rsid w:val="009C0E87"/>
    <w:rsid w:val="009C1574"/>
    <w:rsid w:val="009C171E"/>
    <w:rsid w:val="009C171F"/>
    <w:rsid w:val="009C19E1"/>
    <w:rsid w:val="009C246B"/>
    <w:rsid w:val="009C2806"/>
    <w:rsid w:val="009C293E"/>
    <w:rsid w:val="009C29CB"/>
    <w:rsid w:val="009C2F98"/>
    <w:rsid w:val="009C33E3"/>
    <w:rsid w:val="009C39D8"/>
    <w:rsid w:val="009C3A93"/>
    <w:rsid w:val="009C51BE"/>
    <w:rsid w:val="009C546F"/>
    <w:rsid w:val="009C54F1"/>
    <w:rsid w:val="009C5FB5"/>
    <w:rsid w:val="009C614C"/>
    <w:rsid w:val="009C6198"/>
    <w:rsid w:val="009C61C3"/>
    <w:rsid w:val="009C6836"/>
    <w:rsid w:val="009C6A1E"/>
    <w:rsid w:val="009C6A53"/>
    <w:rsid w:val="009C7107"/>
    <w:rsid w:val="009C7385"/>
    <w:rsid w:val="009C768E"/>
    <w:rsid w:val="009C7786"/>
    <w:rsid w:val="009C7A8A"/>
    <w:rsid w:val="009D0A21"/>
    <w:rsid w:val="009D1571"/>
    <w:rsid w:val="009D1617"/>
    <w:rsid w:val="009D17CE"/>
    <w:rsid w:val="009D1D04"/>
    <w:rsid w:val="009D1ED0"/>
    <w:rsid w:val="009D235D"/>
    <w:rsid w:val="009D254D"/>
    <w:rsid w:val="009D2CB9"/>
    <w:rsid w:val="009D31F9"/>
    <w:rsid w:val="009D3914"/>
    <w:rsid w:val="009D3956"/>
    <w:rsid w:val="009D3F35"/>
    <w:rsid w:val="009D4248"/>
    <w:rsid w:val="009D44AF"/>
    <w:rsid w:val="009D44F6"/>
    <w:rsid w:val="009D5762"/>
    <w:rsid w:val="009D5C21"/>
    <w:rsid w:val="009D6119"/>
    <w:rsid w:val="009D6434"/>
    <w:rsid w:val="009D69C8"/>
    <w:rsid w:val="009D6C9E"/>
    <w:rsid w:val="009D6D24"/>
    <w:rsid w:val="009D72D8"/>
    <w:rsid w:val="009D7B10"/>
    <w:rsid w:val="009D7DD0"/>
    <w:rsid w:val="009E09D7"/>
    <w:rsid w:val="009E0BA4"/>
    <w:rsid w:val="009E1608"/>
    <w:rsid w:val="009E1E90"/>
    <w:rsid w:val="009E1F3A"/>
    <w:rsid w:val="009E219F"/>
    <w:rsid w:val="009E220E"/>
    <w:rsid w:val="009E24D0"/>
    <w:rsid w:val="009E2764"/>
    <w:rsid w:val="009E2B2A"/>
    <w:rsid w:val="009E2F86"/>
    <w:rsid w:val="009E3091"/>
    <w:rsid w:val="009E361C"/>
    <w:rsid w:val="009E3E5E"/>
    <w:rsid w:val="009E4111"/>
    <w:rsid w:val="009E411D"/>
    <w:rsid w:val="009E412A"/>
    <w:rsid w:val="009E446D"/>
    <w:rsid w:val="009E4FBE"/>
    <w:rsid w:val="009E50BD"/>
    <w:rsid w:val="009E653D"/>
    <w:rsid w:val="009E6B1A"/>
    <w:rsid w:val="009E6D10"/>
    <w:rsid w:val="009E701E"/>
    <w:rsid w:val="009E738D"/>
    <w:rsid w:val="009E7405"/>
    <w:rsid w:val="009F0605"/>
    <w:rsid w:val="009F105E"/>
    <w:rsid w:val="009F1156"/>
    <w:rsid w:val="009F115B"/>
    <w:rsid w:val="009F1414"/>
    <w:rsid w:val="009F16E7"/>
    <w:rsid w:val="009F1B64"/>
    <w:rsid w:val="009F1F54"/>
    <w:rsid w:val="009F263E"/>
    <w:rsid w:val="009F28AC"/>
    <w:rsid w:val="009F2C5E"/>
    <w:rsid w:val="009F2EB8"/>
    <w:rsid w:val="009F39DC"/>
    <w:rsid w:val="009F39F9"/>
    <w:rsid w:val="009F3C2D"/>
    <w:rsid w:val="009F3E71"/>
    <w:rsid w:val="009F42BF"/>
    <w:rsid w:val="009F4DC4"/>
    <w:rsid w:val="009F59AF"/>
    <w:rsid w:val="009F5E00"/>
    <w:rsid w:val="009F63C0"/>
    <w:rsid w:val="009F63FE"/>
    <w:rsid w:val="009F6F95"/>
    <w:rsid w:val="009F74B8"/>
    <w:rsid w:val="009F7A78"/>
    <w:rsid w:val="009F7BD3"/>
    <w:rsid w:val="009F7FB9"/>
    <w:rsid w:val="00A0035B"/>
    <w:rsid w:val="00A0047A"/>
    <w:rsid w:val="00A00996"/>
    <w:rsid w:val="00A01F47"/>
    <w:rsid w:val="00A0216F"/>
    <w:rsid w:val="00A02801"/>
    <w:rsid w:val="00A028BD"/>
    <w:rsid w:val="00A02FFA"/>
    <w:rsid w:val="00A032F9"/>
    <w:rsid w:val="00A03B2C"/>
    <w:rsid w:val="00A03BAC"/>
    <w:rsid w:val="00A0412D"/>
    <w:rsid w:val="00A05475"/>
    <w:rsid w:val="00A054AF"/>
    <w:rsid w:val="00A06571"/>
    <w:rsid w:val="00A06827"/>
    <w:rsid w:val="00A0695F"/>
    <w:rsid w:val="00A06C2D"/>
    <w:rsid w:val="00A0722A"/>
    <w:rsid w:val="00A07272"/>
    <w:rsid w:val="00A0780A"/>
    <w:rsid w:val="00A07A90"/>
    <w:rsid w:val="00A07B23"/>
    <w:rsid w:val="00A07CD5"/>
    <w:rsid w:val="00A10326"/>
    <w:rsid w:val="00A10BD4"/>
    <w:rsid w:val="00A11717"/>
    <w:rsid w:val="00A11795"/>
    <w:rsid w:val="00A119F0"/>
    <w:rsid w:val="00A12209"/>
    <w:rsid w:val="00A12214"/>
    <w:rsid w:val="00A13CDA"/>
    <w:rsid w:val="00A145A7"/>
    <w:rsid w:val="00A14E2B"/>
    <w:rsid w:val="00A15150"/>
    <w:rsid w:val="00A15829"/>
    <w:rsid w:val="00A15B02"/>
    <w:rsid w:val="00A15B16"/>
    <w:rsid w:val="00A168CF"/>
    <w:rsid w:val="00A170C0"/>
    <w:rsid w:val="00A170C9"/>
    <w:rsid w:val="00A17269"/>
    <w:rsid w:val="00A17302"/>
    <w:rsid w:val="00A173AC"/>
    <w:rsid w:val="00A174EE"/>
    <w:rsid w:val="00A1758C"/>
    <w:rsid w:val="00A20080"/>
    <w:rsid w:val="00A205C2"/>
    <w:rsid w:val="00A2137E"/>
    <w:rsid w:val="00A219D7"/>
    <w:rsid w:val="00A21E75"/>
    <w:rsid w:val="00A21FFF"/>
    <w:rsid w:val="00A223E0"/>
    <w:rsid w:val="00A22552"/>
    <w:rsid w:val="00A232CF"/>
    <w:rsid w:val="00A23EE3"/>
    <w:rsid w:val="00A243A6"/>
    <w:rsid w:val="00A247FB"/>
    <w:rsid w:val="00A24BB9"/>
    <w:rsid w:val="00A24F1E"/>
    <w:rsid w:val="00A24FEF"/>
    <w:rsid w:val="00A26256"/>
    <w:rsid w:val="00A2634B"/>
    <w:rsid w:val="00A266AC"/>
    <w:rsid w:val="00A271B2"/>
    <w:rsid w:val="00A277DD"/>
    <w:rsid w:val="00A27CE6"/>
    <w:rsid w:val="00A303E7"/>
    <w:rsid w:val="00A309BD"/>
    <w:rsid w:val="00A31451"/>
    <w:rsid w:val="00A3157F"/>
    <w:rsid w:val="00A315AD"/>
    <w:rsid w:val="00A3297E"/>
    <w:rsid w:val="00A32E46"/>
    <w:rsid w:val="00A32E9F"/>
    <w:rsid w:val="00A33406"/>
    <w:rsid w:val="00A341A7"/>
    <w:rsid w:val="00A3445A"/>
    <w:rsid w:val="00A35386"/>
    <w:rsid w:val="00A35440"/>
    <w:rsid w:val="00A35689"/>
    <w:rsid w:val="00A35736"/>
    <w:rsid w:val="00A357FE"/>
    <w:rsid w:val="00A359A6"/>
    <w:rsid w:val="00A35B39"/>
    <w:rsid w:val="00A36897"/>
    <w:rsid w:val="00A36DF3"/>
    <w:rsid w:val="00A404E9"/>
    <w:rsid w:val="00A408C1"/>
    <w:rsid w:val="00A40CB4"/>
    <w:rsid w:val="00A412D9"/>
    <w:rsid w:val="00A419C6"/>
    <w:rsid w:val="00A41A76"/>
    <w:rsid w:val="00A420E9"/>
    <w:rsid w:val="00A42BB6"/>
    <w:rsid w:val="00A43449"/>
    <w:rsid w:val="00A43526"/>
    <w:rsid w:val="00A438F9"/>
    <w:rsid w:val="00A4394B"/>
    <w:rsid w:val="00A43F91"/>
    <w:rsid w:val="00A4482C"/>
    <w:rsid w:val="00A44901"/>
    <w:rsid w:val="00A44D1B"/>
    <w:rsid w:val="00A44F03"/>
    <w:rsid w:val="00A450D3"/>
    <w:rsid w:val="00A45909"/>
    <w:rsid w:val="00A45C3F"/>
    <w:rsid w:val="00A47BA4"/>
    <w:rsid w:val="00A50321"/>
    <w:rsid w:val="00A50815"/>
    <w:rsid w:val="00A515B1"/>
    <w:rsid w:val="00A51EE0"/>
    <w:rsid w:val="00A5258D"/>
    <w:rsid w:val="00A528B2"/>
    <w:rsid w:val="00A532DD"/>
    <w:rsid w:val="00A534B5"/>
    <w:rsid w:val="00A534CA"/>
    <w:rsid w:val="00A538AF"/>
    <w:rsid w:val="00A53F80"/>
    <w:rsid w:val="00A54039"/>
    <w:rsid w:val="00A541CC"/>
    <w:rsid w:val="00A5468F"/>
    <w:rsid w:val="00A548DE"/>
    <w:rsid w:val="00A54AC7"/>
    <w:rsid w:val="00A54DA9"/>
    <w:rsid w:val="00A55056"/>
    <w:rsid w:val="00A55666"/>
    <w:rsid w:val="00A557AB"/>
    <w:rsid w:val="00A55803"/>
    <w:rsid w:val="00A55A62"/>
    <w:rsid w:val="00A561A9"/>
    <w:rsid w:val="00A561C7"/>
    <w:rsid w:val="00A56C25"/>
    <w:rsid w:val="00A56FD4"/>
    <w:rsid w:val="00A570B3"/>
    <w:rsid w:val="00A5759F"/>
    <w:rsid w:val="00A57E8D"/>
    <w:rsid w:val="00A57F35"/>
    <w:rsid w:val="00A6055A"/>
    <w:rsid w:val="00A605C4"/>
    <w:rsid w:val="00A6063A"/>
    <w:rsid w:val="00A6089F"/>
    <w:rsid w:val="00A60B7A"/>
    <w:rsid w:val="00A60FF2"/>
    <w:rsid w:val="00A61BB1"/>
    <w:rsid w:val="00A61CFF"/>
    <w:rsid w:val="00A61EBC"/>
    <w:rsid w:val="00A61EFB"/>
    <w:rsid w:val="00A6216C"/>
    <w:rsid w:val="00A62DCC"/>
    <w:rsid w:val="00A63B0D"/>
    <w:rsid w:val="00A640B8"/>
    <w:rsid w:val="00A6418A"/>
    <w:rsid w:val="00A64305"/>
    <w:rsid w:val="00A656A5"/>
    <w:rsid w:val="00A65725"/>
    <w:rsid w:val="00A65738"/>
    <w:rsid w:val="00A65F01"/>
    <w:rsid w:val="00A66128"/>
    <w:rsid w:val="00A668E0"/>
    <w:rsid w:val="00A66952"/>
    <w:rsid w:val="00A66AF0"/>
    <w:rsid w:val="00A6708A"/>
    <w:rsid w:val="00A67448"/>
    <w:rsid w:val="00A700BA"/>
    <w:rsid w:val="00A70510"/>
    <w:rsid w:val="00A70651"/>
    <w:rsid w:val="00A70D0F"/>
    <w:rsid w:val="00A71060"/>
    <w:rsid w:val="00A711E0"/>
    <w:rsid w:val="00A717F4"/>
    <w:rsid w:val="00A71F4D"/>
    <w:rsid w:val="00A72370"/>
    <w:rsid w:val="00A7239B"/>
    <w:rsid w:val="00A72A79"/>
    <w:rsid w:val="00A72F25"/>
    <w:rsid w:val="00A72FB6"/>
    <w:rsid w:val="00A73E75"/>
    <w:rsid w:val="00A74767"/>
    <w:rsid w:val="00A7488A"/>
    <w:rsid w:val="00A749DF"/>
    <w:rsid w:val="00A7542E"/>
    <w:rsid w:val="00A7587E"/>
    <w:rsid w:val="00A75B34"/>
    <w:rsid w:val="00A75D20"/>
    <w:rsid w:val="00A76651"/>
    <w:rsid w:val="00A76655"/>
    <w:rsid w:val="00A770A6"/>
    <w:rsid w:val="00A770C3"/>
    <w:rsid w:val="00A7737C"/>
    <w:rsid w:val="00A77864"/>
    <w:rsid w:val="00A77D06"/>
    <w:rsid w:val="00A77DE7"/>
    <w:rsid w:val="00A77F7B"/>
    <w:rsid w:val="00A80455"/>
    <w:rsid w:val="00A809EB"/>
    <w:rsid w:val="00A80BCF"/>
    <w:rsid w:val="00A80EFC"/>
    <w:rsid w:val="00A81CE9"/>
    <w:rsid w:val="00A82AE3"/>
    <w:rsid w:val="00A82E92"/>
    <w:rsid w:val="00A82F2B"/>
    <w:rsid w:val="00A83176"/>
    <w:rsid w:val="00A8325B"/>
    <w:rsid w:val="00A8369C"/>
    <w:rsid w:val="00A839B7"/>
    <w:rsid w:val="00A83C64"/>
    <w:rsid w:val="00A83C83"/>
    <w:rsid w:val="00A83DFC"/>
    <w:rsid w:val="00A8435F"/>
    <w:rsid w:val="00A84618"/>
    <w:rsid w:val="00A84A89"/>
    <w:rsid w:val="00A84B94"/>
    <w:rsid w:val="00A84D32"/>
    <w:rsid w:val="00A84E20"/>
    <w:rsid w:val="00A850AA"/>
    <w:rsid w:val="00A8514F"/>
    <w:rsid w:val="00A85401"/>
    <w:rsid w:val="00A85487"/>
    <w:rsid w:val="00A8566D"/>
    <w:rsid w:val="00A85F28"/>
    <w:rsid w:val="00A864CE"/>
    <w:rsid w:val="00A86727"/>
    <w:rsid w:val="00A86D55"/>
    <w:rsid w:val="00A86DAE"/>
    <w:rsid w:val="00A87146"/>
    <w:rsid w:val="00A900B5"/>
    <w:rsid w:val="00A9044F"/>
    <w:rsid w:val="00A906F5"/>
    <w:rsid w:val="00A90A0B"/>
    <w:rsid w:val="00A90ACF"/>
    <w:rsid w:val="00A91497"/>
    <w:rsid w:val="00A92BF9"/>
    <w:rsid w:val="00A92DEB"/>
    <w:rsid w:val="00A93385"/>
    <w:rsid w:val="00A935E8"/>
    <w:rsid w:val="00A93A3D"/>
    <w:rsid w:val="00A942CB"/>
    <w:rsid w:val="00A94901"/>
    <w:rsid w:val="00A9502C"/>
    <w:rsid w:val="00A96813"/>
    <w:rsid w:val="00A9699D"/>
    <w:rsid w:val="00A969F7"/>
    <w:rsid w:val="00A97014"/>
    <w:rsid w:val="00A976DE"/>
    <w:rsid w:val="00A97AE1"/>
    <w:rsid w:val="00AA0693"/>
    <w:rsid w:val="00AA0894"/>
    <w:rsid w:val="00AA0BC3"/>
    <w:rsid w:val="00AA122E"/>
    <w:rsid w:val="00AA134E"/>
    <w:rsid w:val="00AA155E"/>
    <w:rsid w:val="00AA1689"/>
    <w:rsid w:val="00AA1FA4"/>
    <w:rsid w:val="00AA20B1"/>
    <w:rsid w:val="00AA2573"/>
    <w:rsid w:val="00AA28AD"/>
    <w:rsid w:val="00AA2BFC"/>
    <w:rsid w:val="00AA2CAC"/>
    <w:rsid w:val="00AA3662"/>
    <w:rsid w:val="00AA3828"/>
    <w:rsid w:val="00AA38CA"/>
    <w:rsid w:val="00AA3FDD"/>
    <w:rsid w:val="00AA4EAC"/>
    <w:rsid w:val="00AA5770"/>
    <w:rsid w:val="00AA6D22"/>
    <w:rsid w:val="00AA6EC5"/>
    <w:rsid w:val="00AA7066"/>
    <w:rsid w:val="00AA70A7"/>
    <w:rsid w:val="00AA76CD"/>
    <w:rsid w:val="00AA7834"/>
    <w:rsid w:val="00AA788B"/>
    <w:rsid w:val="00AA7F86"/>
    <w:rsid w:val="00AB04B6"/>
    <w:rsid w:val="00AB0640"/>
    <w:rsid w:val="00AB0CC1"/>
    <w:rsid w:val="00AB10BD"/>
    <w:rsid w:val="00AB1859"/>
    <w:rsid w:val="00AB1CCF"/>
    <w:rsid w:val="00AB1ECF"/>
    <w:rsid w:val="00AB263A"/>
    <w:rsid w:val="00AB2AA8"/>
    <w:rsid w:val="00AB2E96"/>
    <w:rsid w:val="00AB3534"/>
    <w:rsid w:val="00AB3936"/>
    <w:rsid w:val="00AB405B"/>
    <w:rsid w:val="00AB4460"/>
    <w:rsid w:val="00AB4721"/>
    <w:rsid w:val="00AB4C3C"/>
    <w:rsid w:val="00AB559A"/>
    <w:rsid w:val="00AB5951"/>
    <w:rsid w:val="00AB5E23"/>
    <w:rsid w:val="00AB6464"/>
    <w:rsid w:val="00AB65AF"/>
    <w:rsid w:val="00AB6728"/>
    <w:rsid w:val="00AB686F"/>
    <w:rsid w:val="00AB6B2E"/>
    <w:rsid w:val="00AB744A"/>
    <w:rsid w:val="00AB777A"/>
    <w:rsid w:val="00AB77A7"/>
    <w:rsid w:val="00AB7A36"/>
    <w:rsid w:val="00AB7E86"/>
    <w:rsid w:val="00AC0561"/>
    <w:rsid w:val="00AC0678"/>
    <w:rsid w:val="00AC0BC8"/>
    <w:rsid w:val="00AC1042"/>
    <w:rsid w:val="00AC139B"/>
    <w:rsid w:val="00AC152A"/>
    <w:rsid w:val="00AC1946"/>
    <w:rsid w:val="00AC1D15"/>
    <w:rsid w:val="00AC23C1"/>
    <w:rsid w:val="00AC2462"/>
    <w:rsid w:val="00AC2550"/>
    <w:rsid w:val="00AC2D39"/>
    <w:rsid w:val="00AC31CF"/>
    <w:rsid w:val="00AC3903"/>
    <w:rsid w:val="00AC4873"/>
    <w:rsid w:val="00AC495E"/>
    <w:rsid w:val="00AC4B30"/>
    <w:rsid w:val="00AC5591"/>
    <w:rsid w:val="00AC5674"/>
    <w:rsid w:val="00AC5683"/>
    <w:rsid w:val="00AC59A9"/>
    <w:rsid w:val="00AC5AC9"/>
    <w:rsid w:val="00AC5B7E"/>
    <w:rsid w:val="00AC5EED"/>
    <w:rsid w:val="00AC5FF6"/>
    <w:rsid w:val="00AC62E9"/>
    <w:rsid w:val="00AC69D5"/>
    <w:rsid w:val="00AC6A76"/>
    <w:rsid w:val="00AC6AF3"/>
    <w:rsid w:val="00AC7104"/>
    <w:rsid w:val="00AC71A4"/>
    <w:rsid w:val="00AC73E2"/>
    <w:rsid w:val="00AC742D"/>
    <w:rsid w:val="00AC77E9"/>
    <w:rsid w:val="00AC7BDF"/>
    <w:rsid w:val="00AC7C29"/>
    <w:rsid w:val="00AC7D2B"/>
    <w:rsid w:val="00AC7D91"/>
    <w:rsid w:val="00AC7EED"/>
    <w:rsid w:val="00AD0606"/>
    <w:rsid w:val="00AD0993"/>
    <w:rsid w:val="00AD0D09"/>
    <w:rsid w:val="00AD1363"/>
    <w:rsid w:val="00AD15BE"/>
    <w:rsid w:val="00AD161E"/>
    <w:rsid w:val="00AD16FA"/>
    <w:rsid w:val="00AD1A08"/>
    <w:rsid w:val="00AD1A50"/>
    <w:rsid w:val="00AD2234"/>
    <w:rsid w:val="00AD296E"/>
    <w:rsid w:val="00AD29CC"/>
    <w:rsid w:val="00AD2A09"/>
    <w:rsid w:val="00AD2A5F"/>
    <w:rsid w:val="00AD2A99"/>
    <w:rsid w:val="00AD2D95"/>
    <w:rsid w:val="00AD364B"/>
    <w:rsid w:val="00AD426B"/>
    <w:rsid w:val="00AD463F"/>
    <w:rsid w:val="00AD5084"/>
    <w:rsid w:val="00AD50DA"/>
    <w:rsid w:val="00AD5413"/>
    <w:rsid w:val="00AD56A8"/>
    <w:rsid w:val="00AD56F2"/>
    <w:rsid w:val="00AD613F"/>
    <w:rsid w:val="00AD647D"/>
    <w:rsid w:val="00AD6597"/>
    <w:rsid w:val="00AD678D"/>
    <w:rsid w:val="00AD6E34"/>
    <w:rsid w:val="00AD739D"/>
    <w:rsid w:val="00AD762F"/>
    <w:rsid w:val="00AD7755"/>
    <w:rsid w:val="00AD781C"/>
    <w:rsid w:val="00AD783A"/>
    <w:rsid w:val="00AD7AE0"/>
    <w:rsid w:val="00AE005B"/>
    <w:rsid w:val="00AE0EEA"/>
    <w:rsid w:val="00AE2445"/>
    <w:rsid w:val="00AE30B8"/>
    <w:rsid w:val="00AE389C"/>
    <w:rsid w:val="00AE4066"/>
    <w:rsid w:val="00AE424E"/>
    <w:rsid w:val="00AE4340"/>
    <w:rsid w:val="00AE46FF"/>
    <w:rsid w:val="00AE4B3A"/>
    <w:rsid w:val="00AE5565"/>
    <w:rsid w:val="00AE55EE"/>
    <w:rsid w:val="00AE565A"/>
    <w:rsid w:val="00AE58E5"/>
    <w:rsid w:val="00AE5F8F"/>
    <w:rsid w:val="00AE63AC"/>
    <w:rsid w:val="00AE6413"/>
    <w:rsid w:val="00AE658C"/>
    <w:rsid w:val="00AE671D"/>
    <w:rsid w:val="00AE69CF"/>
    <w:rsid w:val="00AE74CE"/>
    <w:rsid w:val="00AE7515"/>
    <w:rsid w:val="00AE799D"/>
    <w:rsid w:val="00AE7FCE"/>
    <w:rsid w:val="00AF069F"/>
    <w:rsid w:val="00AF0B19"/>
    <w:rsid w:val="00AF1146"/>
    <w:rsid w:val="00AF1164"/>
    <w:rsid w:val="00AF12BE"/>
    <w:rsid w:val="00AF1407"/>
    <w:rsid w:val="00AF1935"/>
    <w:rsid w:val="00AF231E"/>
    <w:rsid w:val="00AF282C"/>
    <w:rsid w:val="00AF2832"/>
    <w:rsid w:val="00AF2B1E"/>
    <w:rsid w:val="00AF2D37"/>
    <w:rsid w:val="00AF3085"/>
    <w:rsid w:val="00AF354F"/>
    <w:rsid w:val="00AF451D"/>
    <w:rsid w:val="00AF4EFD"/>
    <w:rsid w:val="00AF54A1"/>
    <w:rsid w:val="00AF60ED"/>
    <w:rsid w:val="00AF6289"/>
    <w:rsid w:val="00AF65E1"/>
    <w:rsid w:val="00AF67A1"/>
    <w:rsid w:val="00AF685F"/>
    <w:rsid w:val="00AF6A41"/>
    <w:rsid w:val="00AF6B85"/>
    <w:rsid w:val="00AF6D30"/>
    <w:rsid w:val="00AF7362"/>
    <w:rsid w:val="00AF76A7"/>
    <w:rsid w:val="00AF77E6"/>
    <w:rsid w:val="00AF7890"/>
    <w:rsid w:val="00B00049"/>
    <w:rsid w:val="00B009D7"/>
    <w:rsid w:val="00B00AE7"/>
    <w:rsid w:val="00B00C1C"/>
    <w:rsid w:val="00B00F64"/>
    <w:rsid w:val="00B011CF"/>
    <w:rsid w:val="00B0123B"/>
    <w:rsid w:val="00B0177C"/>
    <w:rsid w:val="00B018FC"/>
    <w:rsid w:val="00B01B71"/>
    <w:rsid w:val="00B025B0"/>
    <w:rsid w:val="00B02C2D"/>
    <w:rsid w:val="00B02C8A"/>
    <w:rsid w:val="00B02E35"/>
    <w:rsid w:val="00B0316E"/>
    <w:rsid w:val="00B03CBA"/>
    <w:rsid w:val="00B04164"/>
    <w:rsid w:val="00B043C2"/>
    <w:rsid w:val="00B04CC6"/>
    <w:rsid w:val="00B05623"/>
    <w:rsid w:val="00B06324"/>
    <w:rsid w:val="00B0648A"/>
    <w:rsid w:val="00B06F5B"/>
    <w:rsid w:val="00B06FCC"/>
    <w:rsid w:val="00B0713F"/>
    <w:rsid w:val="00B07292"/>
    <w:rsid w:val="00B0752D"/>
    <w:rsid w:val="00B07ABD"/>
    <w:rsid w:val="00B07B0C"/>
    <w:rsid w:val="00B07D6F"/>
    <w:rsid w:val="00B07FAA"/>
    <w:rsid w:val="00B10030"/>
    <w:rsid w:val="00B1031E"/>
    <w:rsid w:val="00B1079C"/>
    <w:rsid w:val="00B107A3"/>
    <w:rsid w:val="00B10F4D"/>
    <w:rsid w:val="00B110C0"/>
    <w:rsid w:val="00B112B1"/>
    <w:rsid w:val="00B113A7"/>
    <w:rsid w:val="00B117F6"/>
    <w:rsid w:val="00B1185D"/>
    <w:rsid w:val="00B11E8F"/>
    <w:rsid w:val="00B12901"/>
    <w:rsid w:val="00B12B2A"/>
    <w:rsid w:val="00B12B6B"/>
    <w:rsid w:val="00B12DD0"/>
    <w:rsid w:val="00B132ED"/>
    <w:rsid w:val="00B13823"/>
    <w:rsid w:val="00B13882"/>
    <w:rsid w:val="00B1392F"/>
    <w:rsid w:val="00B13B54"/>
    <w:rsid w:val="00B1416F"/>
    <w:rsid w:val="00B14871"/>
    <w:rsid w:val="00B14C82"/>
    <w:rsid w:val="00B15296"/>
    <w:rsid w:val="00B152CD"/>
    <w:rsid w:val="00B154EE"/>
    <w:rsid w:val="00B1555E"/>
    <w:rsid w:val="00B15FE7"/>
    <w:rsid w:val="00B165A5"/>
    <w:rsid w:val="00B1689E"/>
    <w:rsid w:val="00B16B56"/>
    <w:rsid w:val="00B16F2A"/>
    <w:rsid w:val="00B17B6F"/>
    <w:rsid w:val="00B17D9F"/>
    <w:rsid w:val="00B17EEC"/>
    <w:rsid w:val="00B20A1B"/>
    <w:rsid w:val="00B20BAF"/>
    <w:rsid w:val="00B20F83"/>
    <w:rsid w:val="00B21443"/>
    <w:rsid w:val="00B21464"/>
    <w:rsid w:val="00B214F1"/>
    <w:rsid w:val="00B2170B"/>
    <w:rsid w:val="00B2199A"/>
    <w:rsid w:val="00B21BF7"/>
    <w:rsid w:val="00B22077"/>
    <w:rsid w:val="00B220C9"/>
    <w:rsid w:val="00B224E7"/>
    <w:rsid w:val="00B2270A"/>
    <w:rsid w:val="00B22971"/>
    <w:rsid w:val="00B229BA"/>
    <w:rsid w:val="00B22D0F"/>
    <w:rsid w:val="00B234C9"/>
    <w:rsid w:val="00B23878"/>
    <w:rsid w:val="00B2422C"/>
    <w:rsid w:val="00B244B1"/>
    <w:rsid w:val="00B24525"/>
    <w:rsid w:val="00B2498E"/>
    <w:rsid w:val="00B24A32"/>
    <w:rsid w:val="00B24A5F"/>
    <w:rsid w:val="00B2500C"/>
    <w:rsid w:val="00B2502E"/>
    <w:rsid w:val="00B2513C"/>
    <w:rsid w:val="00B25563"/>
    <w:rsid w:val="00B258C8"/>
    <w:rsid w:val="00B2680D"/>
    <w:rsid w:val="00B26D48"/>
    <w:rsid w:val="00B26EC4"/>
    <w:rsid w:val="00B2711D"/>
    <w:rsid w:val="00B2718A"/>
    <w:rsid w:val="00B30681"/>
    <w:rsid w:val="00B30A14"/>
    <w:rsid w:val="00B30C79"/>
    <w:rsid w:val="00B31132"/>
    <w:rsid w:val="00B314FF"/>
    <w:rsid w:val="00B317A8"/>
    <w:rsid w:val="00B31B43"/>
    <w:rsid w:val="00B31B55"/>
    <w:rsid w:val="00B31DFA"/>
    <w:rsid w:val="00B31F6A"/>
    <w:rsid w:val="00B31FE3"/>
    <w:rsid w:val="00B321E5"/>
    <w:rsid w:val="00B32556"/>
    <w:rsid w:val="00B3327F"/>
    <w:rsid w:val="00B33F60"/>
    <w:rsid w:val="00B342F8"/>
    <w:rsid w:val="00B348F1"/>
    <w:rsid w:val="00B3491C"/>
    <w:rsid w:val="00B349C0"/>
    <w:rsid w:val="00B34EB7"/>
    <w:rsid w:val="00B3586C"/>
    <w:rsid w:val="00B35927"/>
    <w:rsid w:val="00B3593B"/>
    <w:rsid w:val="00B367EF"/>
    <w:rsid w:val="00B36D3A"/>
    <w:rsid w:val="00B37436"/>
    <w:rsid w:val="00B3748A"/>
    <w:rsid w:val="00B37638"/>
    <w:rsid w:val="00B379F7"/>
    <w:rsid w:val="00B37F84"/>
    <w:rsid w:val="00B4029E"/>
    <w:rsid w:val="00B404E3"/>
    <w:rsid w:val="00B41075"/>
    <w:rsid w:val="00B417C0"/>
    <w:rsid w:val="00B41C89"/>
    <w:rsid w:val="00B41D4A"/>
    <w:rsid w:val="00B42851"/>
    <w:rsid w:val="00B42A46"/>
    <w:rsid w:val="00B42EE1"/>
    <w:rsid w:val="00B430A2"/>
    <w:rsid w:val="00B439B4"/>
    <w:rsid w:val="00B43AC3"/>
    <w:rsid w:val="00B43B08"/>
    <w:rsid w:val="00B43DF0"/>
    <w:rsid w:val="00B444CF"/>
    <w:rsid w:val="00B4457C"/>
    <w:rsid w:val="00B45002"/>
    <w:rsid w:val="00B4552B"/>
    <w:rsid w:val="00B456E4"/>
    <w:rsid w:val="00B45C2E"/>
    <w:rsid w:val="00B45DFE"/>
    <w:rsid w:val="00B4605F"/>
    <w:rsid w:val="00B4690B"/>
    <w:rsid w:val="00B469B1"/>
    <w:rsid w:val="00B46A28"/>
    <w:rsid w:val="00B46B63"/>
    <w:rsid w:val="00B474FA"/>
    <w:rsid w:val="00B47FB4"/>
    <w:rsid w:val="00B50028"/>
    <w:rsid w:val="00B50290"/>
    <w:rsid w:val="00B50C45"/>
    <w:rsid w:val="00B51329"/>
    <w:rsid w:val="00B51528"/>
    <w:rsid w:val="00B5152E"/>
    <w:rsid w:val="00B52005"/>
    <w:rsid w:val="00B52013"/>
    <w:rsid w:val="00B525B3"/>
    <w:rsid w:val="00B526B0"/>
    <w:rsid w:val="00B52F2E"/>
    <w:rsid w:val="00B532DD"/>
    <w:rsid w:val="00B532E9"/>
    <w:rsid w:val="00B53751"/>
    <w:rsid w:val="00B53F28"/>
    <w:rsid w:val="00B5413F"/>
    <w:rsid w:val="00B5456F"/>
    <w:rsid w:val="00B5618E"/>
    <w:rsid w:val="00B5664A"/>
    <w:rsid w:val="00B568AF"/>
    <w:rsid w:val="00B56AE0"/>
    <w:rsid w:val="00B56D62"/>
    <w:rsid w:val="00B57A1B"/>
    <w:rsid w:val="00B602EE"/>
    <w:rsid w:val="00B60B62"/>
    <w:rsid w:val="00B60CA5"/>
    <w:rsid w:val="00B61392"/>
    <w:rsid w:val="00B61527"/>
    <w:rsid w:val="00B61769"/>
    <w:rsid w:val="00B6218C"/>
    <w:rsid w:val="00B62295"/>
    <w:rsid w:val="00B627E7"/>
    <w:rsid w:val="00B62C52"/>
    <w:rsid w:val="00B636B4"/>
    <w:rsid w:val="00B6400A"/>
    <w:rsid w:val="00B644C7"/>
    <w:rsid w:val="00B644FA"/>
    <w:rsid w:val="00B649AF"/>
    <w:rsid w:val="00B64E74"/>
    <w:rsid w:val="00B64EBD"/>
    <w:rsid w:val="00B65858"/>
    <w:rsid w:val="00B659B6"/>
    <w:rsid w:val="00B65B67"/>
    <w:rsid w:val="00B65FAD"/>
    <w:rsid w:val="00B66052"/>
    <w:rsid w:val="00B6631A"/>
    <w:rsid w:val="00B6666A"/>
    <w:rsid w:val="00B66B64"/>
    <w:rsid w:val="00B67377"/>
    <w:rsid w:val="00B673A5"/>
    <w:rsid w:val="00B67CAB"/>
    <w:rsid w:val="00B67D7E"/>
    <w:rsid w:val="00B70708"/>
    <w:rsid w:val="00B70C74"/>
    <w:rsid w:val="00B70D03"/>
    <w:rsid w:val="00B714AD"/>
    <w:rsid w:val="00B71651"/>
    <w:rsid w:val="00B71655"/>
    <w:rsid w:val="00B72071"/>
    <w:rsid w:val="00B727FB"/>
    <w:rsid w:val="00B72DEC"/>
    <w:rsid w:val="00B72E6B"/>
    <w:rsid w:val="00B72FBE"/>
    <w:rsid w:val="00B73125"/>
    <w:rsid w:val="00B73B4F"/>
    <w:rsid w:val="00B73B6D"/>
    <w:rsid w:val="00B73E32"/>
    <w:rsid w:val="00B74525"/>
    <w:rsid w:val="00B747A3"/>
    <w:rsid w:val="00B74F95"/>
    <w:rsid w:val="00B75478"/>
    <w:rsid w:val="00B7556A"/>
    <w:rsid w:val="00B75927"/>
    <w:rsid w:val="00B75992"/>
    <w:rsid w:val="00B76791"/>
    <w:rsid w:val="00B767E3"/>
    <w:rsid w:val="00B76831"/>
    <w:rsid w:val="00B76D42"/>
    <w:rsid w:val="00B76E66"/>
    <w:rsid w:val="00B77DA7"/>
    <w:rsid w:val="00B77F7E"/>
    <w:rsid w:val="00B8000D"/>
    <w:rsid w:val="00B806AD"/>
    <w:rsid w:val="00B80BC3"/>
    <w:rsid w:val="00B811FD"/>
    <w:rsid w:val="00B81B1A"/>
    <w:rsid w:val="00B81BC3"/>
    <w:rsid w:val="00B81CB3"/>
    <w:rsid w:val="00B81F85"/>
    <w:rsid w:val="00B822F2"/>
    <w:rsid w:val="00B82758"/>
    <w:rsid w:val="00B8293D"/>
    <w:rsid w:val="00B82AC0"/>
    <w:rsid w:val="00B82B01"/>
    <w:rsid w:val="00B82F56"/>
    <w:rsid w:val="00B830FF"/>
    <w:rsid w:val="00B83352"/>
    <w:rsid w:val="00B83450"/>
    <w:rsid w:val="00B844F6"/>
    <w:rsid w:val="00B8469B"/>
    <w:rsid w:val="00B84E95"/>
    <w:rsid w:val="00B850FE"/>
    <w:rsid w:val="00B852CE"/>
    <w:rsid w:val="00B85427"/>
    <w:rsid w:val="00B854AD"/>
    <w:rsid w:val="00B856D2"/>
    <w:rsid w:val="00B85D3F"/>
    <w:rsid w:val="00B8666D"/>
    <w:rsid w:val="00B87072"/>
    <w:rsid w:val="00B872E8"/>
    <w:rsid w:val="00B8733A"/>
    <w:rsid w:val="00B87F83"/>
    <w:rsid w:val="00B9062B"/>
    <w:rsid w:val="00B90CC3"/>
    <w:rsid w:val="00B9131D"/>
    <w:rsid w:val="00B9137E"/>
    <w:rsid w:val="00B91995"/>
    <w:rsid w:val="00B91A0E"/>
    <w:rsid w:val="00B91B85"/>
    <w:rsid w:val="00B92101"/>
    <w:rsid w:val="00B92478"/>
    <w:rsid w:val="00B92C78"/>
    <w:rsid w:val="00B92F0F"/>
    <w:rsid w:val="00B92F87"/>
    <w:rsid w:val="00B93054"/>
    <w:rsid w:val="00B9387D"/>
    <w:rsid w:val="00B93BBB"/>
    <w:rsid w:val="00B9422D"/>
    <w:rsid w:val="00B94DEC"/>
    <w:rsid w:val="00B94E65"/>
    <w:rsid w:val="00B95077"/>
    <w:rsid w:val="00B95745"/>
    <w:rsid w:val="00B95E11"/>
    <w:rsid w:val="00B95F95"/>
    <w:rsid w:val="00B96414"/>
    <w:rsid w:val="00B96574"/>
    <w:rsid w:val="00B971ED"/>
    <w:rsid w:val="00B97512"/>
    <w:rsid w:val="00B977BE"/>
    <w:rsid w:val="00BA06AC"/>
    <w:rsid w:val="00BA0C16"/>
    <w:rsid w:val="00BA0CBF"/>
    <w:rsid w:val="00BA0FCC"/>
    <w:rsid w:val="00BA1923"/>
    <w:rsid w:val="00BA2AAF"/>
    <w:rsid w:val="00BA3393"/>
    <w:rsid w:val="00BA3603"/>
    <w:rsid w:val="00BA3A5D"/>
    <w:rsid w:val="00BA3B0F"/>
    <w:rsid w:val="00BA3E41"/>
    <w:rsid w:val="00BA41EA"/>
    <w:rsid w:val="00BA433D"/>
    <w:rsid w:val="00BA5193"/>
    <w:rsid w:val="00BA5BB3"/>
    <w:rsid w:val="00BA5E57"/>
    <w:rsid w:val="00BA5F33"/>
    <w:rsid w:val="00BA5FBC"/>
    <w:rsid w:val="00BA6188"/>
    <w:rsid w:val="00BA63E6"/>
    <w:rsid w:val="00BA6BEE"/>
    <w:rsid w:val="00BA6F37"/>
    <w:rsid w:val="00BA7131"/>
    <w:rsid w:val="00BA7872"/>
    <w:rsid w:val="00BA7C15"/>
    <w:rsid w:val="00BA7C24"/>
    <w:rsid w:val="00BB02C6"/>
    <w:rsid w:val="00BB0355"/>
    <w:rsid w:val="00BB0630"/>
    <w:rsid w:val="00BB0A29"/>
    <w:rsid w:val="00BB0B80"/>
    <w:rsid w:val="00BB0D51"/>
    <w:rsid w:val="00BB0E80"/>
    <w:rsid w:val="00BB1F69"/>
    <w:rsid w:val="00BB20D4"/>
    <w:rsid w:val="00BB2275"/>
    <w:rsid w:val="00BB23ED"/>
    <w:rsid w:val="00BB2743"/>
    <w:rsid w:val="00BB2B7F"/>
    <w:rsid w:val="00BB2E12"/>
    <w:rsid w:val="00BB39D0"/>
    <w:rsid w:val="00BB3C64"/>
    <w:rsid w:val="00BB47DC"/>
    <w:rsid w:val="00BB4851"/>
    <w:rsid w:val="00BB56DC"/>
    <w:rsid w:val="00BB59B0"/>
    <w:rsid w:val="00BB5C12"/>
    <w:rsid w:val="00BB5F65"/>
    <w:rsid w:val="00BB5F7D"/>
    <w:rsid w:val="00BB606F"/>
    <w:rsid w:val="00BB62CB"/>
    <w:rsid w:val="00BB6A0D"/>
    <w:rsid w:val="00BB6CDF"/>
    <w:rsid w:val="00BB7352"/>
    <w:rsid w:val="00BB7ADA"/>
    <w:rsid w:val="00BC09E3"/>
    <w:rsid w:val="00BC0A6C"/>
    <w:rsid w:val="00BC106C"/>
    <w:rsid w:val="00BC1345"/>
    <w:rsid w:val="00BC153D"/>
    <w:rsid w:val="00BC26BC"/>
    <w:rsid w:val="00BC2C99"/>
    <w:rsid w:val="00BC319B"/>
    <w:rsid w:val="00BC327D"/>
    <w:rsid w:val="00BC363F"/>
    <w:rsid w:val="00BC3FAF"/>
    <w:rsid w:val="00BC4102"/>
    <w:rsid w:val="00BC411F"/>
    <w:rsid w:val="00BC4252"/>
    <w:rsid w:val="00BC4415"/>
    <w:rsid w:val="00BC4700"/>
    <w:rsid w:val="00BC4868"/>
    <w:rsid w:val="00BC5151"/>
    <w:rsid w:val="00BC597E"/>
    <w:rsid w:val="00BC5EE6"/>
    <w:rsid w:val="00BC6027"/>
    <w:rsid w:val="00BC62F2"/>
    <w:rsid w:val="00BC7380"/>
    <w:rsid w:val="00BC7888"/>
    <w:rsid w:val="00BC7920"/>
    <w:rsid w:val="00BD0593"/>
    <w:rsid w:val="00BD0B26"/>
    <w:rsid w:val="00BD0DF1"/>
    <w:rsid w:val="00BD1027"/>
    <w:rsid w:val="00BD133E"/>
    <w:rsid w:val="00BD14D7"/>
    <w:rsid w:val="00BD1EB2"/>
    <w:rsid w:val="00BD2834"/>
    <w:rsid w:val="00BD3032"/>
    <w:rsid w:val="00BD3294"/>
    <w:rsid w:val="00BD32D1"/>
    <w:rsid w:val="00BD3912"/>
    <w:rsid w:val="00BD3D15"/>
    <w:rsid w:val="00BD44C6"/>
    <w:rsid w:val="00BD4790"/>
    <w:rsid w:val="00BD4BAE"/>
    <w:rsid w:val="00BD4C7A"/>
    <w:rsid w:val="00BD4C8B"/>
    <w:rsid w:val="00BD51BE"/>
    <w:rsid w:val="00BD52DD"/>
    <w:rsid w:val="00BD538F"/>
    <w:rsid w:val="00BD5679"/>
    <w:rsid w:val="00BD596D"/>
    <w:rsid w:val="00BD61A2"/>
    <w:rsid w:val="00BD6400"/>
    <w:rsid w:val="00BD6748"/>
    <w:rsid w:val="00BD6FE3"/>
    <w:rsid w:val="00BE07D3"/>
    <w:rsid w:val="00BE0B28"/>
    <w:rsid w:val="00BE0C30"/>
    <w:rsid w:val="00BE0D02"/>
    <w:rsid w:val="00BE10A6"/>
    <w:rsid w:val="00BE11A2"/>
    <w:rsid w:val="00BE1420"/>
    <w:rsid w:val="00BE1624"/>
    <w:rsid w:val="00BE17AB"/>
    <w:rsid w:val="00BE1E76"/>
    <w:rsid w:val="00BE20EF"/>
    <w:rsid w:val="00BE250A"/>
    <w:rsid w:val="00BE2AC2"/>
    <w:rsid w:val="00BE2D0C"/>
    <w:rsid w:val="00BE3798"/>
    <w:rsid w:val="00BE442A"/>
    <w:rsid w:val="00BE446B"/>
    <w:rsid w:val="00BE484D"/>
    <w:rsid w:val="00BE4F0E"/>
    <w:rsid w:val="00BE51B6"/>
    <w:rsid w:val="00BE53BA"/>
    <w:rsid w:val="00BE5AAD"/>
    <w:rsid w:val="00BE725F"/>
    <w:rsid w:val="00BE7915"/>
    <w:rsid w:val="00BE7DFD"/>
    <w:rsid w:val="00BF05B2"/>
    <w:rsid w:val="00BF0833"/>
    <w:rsid w:val="00BF0B33"/>
    <w:rsid w:val="00BF0F49"/>
    <w:rsid w:val="00BF10EA"/>
    <w:rsid w:val="00BF133A"/>
    <w:rsid w:val="00BF195E"/>
    <w:rsid w:val="00BF2502"/>
    <w:rsid w:val="00BF27A1"/>
    <w:rsid w:val="00BF2D83"/>
    <w:rsid w:val="00BF34E3"/>
    <w:rsid w:val="00BF3AFE"/>
    <w:rsid w:val="00BF3B40"/>
    <w:rsid w:val="00BF3BB0"/>
    <w:rsid w:val="00BF4078"/>
    <w:rsid w:val="00BF4B77"/>
    <w:rsid w:val="00BF4F5B"/>
    <w:rsid w:val="00BF52DA"/>
    <w:rsid w:val="00BF5445"/>
    <w:rsid w:val="00BF55E0"/>
    <w:rsid w:val="00BF572A"/>
    <w:rsid w:val="00BF5E7A"/>
    <w:rsid w:val="00BF5ECA"/>
    <w:rsid w:val="00BF6BE8"/>
    <w:rsid w:val="00BF7321"/>
    <w:rsid w:val="00BF76EC"/>
    <w:rsid w:val="00BF7A19"/>
    <w:rsid w:val="00C00800"/>
    <w:rsid w:val="00C00FD6"/>
    <w:rsid w:val="00C016EC"/>
    <w:rsid w:val="00C01C3A"/>
    <w:rsid w:val="00C01C89"/>
    <w:rsid w:val="00C0283B"/>
    <w:rsid w:val="00C03DCC"/>
    <w:rsid w:val="00C03F55"/>
    <w:rsid w:val="00C040B7"/>
    <w:rsid w:val="00C04146"/>
    <w:rsid w:val="00C04814"/>
    <w:rsid w:val="00C049A0"/>
    <w:rsid w:val="00C049B1"/>
    <w:rsid w:val="00C053A6"/>
    <w:rsid w:val="00C0564A"/>
    <w:rsid w:val="00C05D84"/>
    <w:rsid w:val="00C05E5F"/>
    <w:rsid w:val="00C05FBC"/>
    <w:rsid w:val="00C06206"/>
    <w:rsid w:val="00C0631B"/>
    <w:rsid w:val="00C06751"/>
    <w:rsid w:val="00C0698A"/>
    <w:rsid w:val="00C06A72"/>
    <w:rsid w:val="00C06A9B"/>
    <w:rsid w:val="00C07717"/>
    <w:rsid w:val="00C07A84"/>
    <w:rsid w:val="00C07C91"/>
    <w:rsid w:val="00C07EF6"/>
    <w:rsid w:val="00C10029"/>
    <w:rsid w:val="00C1071A"/>
    <w:rsid w:val="00C10CC5"/>
    <w:rsid w:val="00C10F3E"/>
    <w:rsid w:val="00C12175"/>
    <w:rsid w:val="00C1224E"/>
    <w:rsid w:val="00C123E6"/>
    <w:rsid w:val="00C1299A"/>
    <w:rsid w:val="00C12BF9"/>
    <w:rsid w:val="00C13177"/>
    <w:rsid w:val="00C140EF"/>
    <w:rsid w:val="00C14BCB"/>
    <w:rsid w:val="00C15090"/>
    <w:rsid w:val="00C150FA"/>
    <w:rsid w:val="00C154A7"/>
    <w:rsid w:val="00C158BB"/>
    <w:rsid w:val="00C15B44"/>
    <w:rsid w:val="00C16438"/>
    <w:rsid w:val="00C16999"/>
    <w:rsid w:val="00C16CD2"/>
    <w:rsid w:val="00C16E26"/>
    <w:rsid w:val="00C16EA1"/>
    <w:rsid w:val="00C16FDE"/>
    <w:rsid w:val="00C1703C"/>
    <w:rsid w:val="00C17171"/>
    <w:rsid w:val="00C1726A"/>
    <w:rsid w:val="00C175A8"/>
    <w:rsid w:val="00C1792A"/>
    <w:rsid w:val="00C20078"/>
    <w:rsid w:val="00C207A6"/>
    <w:rsid w:val="00C2087C"/>
    <w:rsid w:val="00C20998"/>
    <w:rsid w:val="00C21AF9"/>
    <w:rsid w:val="00C2274E"/>
    <w:rsid w:val="00C22E9C"/>
    <w:rsid w:val="00C237C4"/>
    <w:rsid w:val="00C23849"/>
    <w:rsid w:val="00C23B9E"/>
    <w:rsid w:val="00C23EFC"/>
    <w:rsid w:val="00C2419A"/>
    <w:rsid w:val="00C25A22"/>
    <w:rsid w:val="00C267F0"/>
    <w:rsid w:val="00C2685E"/>
    <w:rsid w:val="00C26B6E"/>
    <w:rsid w:val="00C26CF0"/>
    <w:rsid w:val="00C26D3D"/>
    <w:rsid w:val="00C279C4"/>
    <w:rsid w:val="00C27CE4"/>
    <w:rsid w:val="00C3031B"/>
    <w:rsid w:val="00C3066D"/>
    <w:rsid w:val="00C30890"/>
    <w:rsid w:val="00C31391"/>
    <w:rsid w:val="00C3160D"/>
    <w:rsid w:val="00C32621"/>
    <w:rsid w:val="00C32BD1"/>
    <w:rsid w:val="00C33147"/>
    <w:rsid w:val="00C3328D"/>
    <w:rsid w:val="00C3343E"/>
    <w:rsid w:val="00C33505"/>
    <w:rsid w:val="00C33769"/>
    <w:rsid w:val="00C33F0C"/>
    <w:rsid w:val="00C341E5"/>
    <w:rsid w:val="00C34584"/>
    <w:rsid w:val="00C34912"/>
    <w:rsid w:val="00C34C6D"/>
    <w:rsid w:val="00C35650"/>
    <w:rsid w:val="00C35895"/>
    <w:rsid w:val="00C35C21"/>
    <w:rsid w:val="00C35CC9"/>
    <w:rsid w:val="00C35E4B"/>
    <w:rsid w:val="00C368FC"/>
    <w:rsid w:val="00C36D4B"/>
    <w:rsid w:val="00C36F81"/>
    <w:rsid w:val="00C370F3"/>
    <w:rsid w:val="00C37673"/>
    <w:rsid w:val="00C37756"/>
    <w:rsid w:val="00C37B37"/>
    <w:rsid w:val="00C37E05"/>
    <w:rsid w:val="00C40D5B"/>
    <w:rsid w:val="00C40D65"/>
    <w:rsid w:val="00C410A7"/>
    <w:rsid w:val="00C4133B"/>
    <w:rsid w:val="00C415A3"/>
    <w:rsid w:val="00C41F80"/>
    <w:rsid w:val="00C41FC4"/>
    <w:rsid w:val="00C427CD"/>
    <w:rsid w:val="00C427CF"/>
    <w:rsid w:val="00C42C91"/>
    <w:rsid w:val="00C4303C"/>
    <w:rsid w:val="00C439EE"/>
    <w:rsid w:val="00C43A2E"/>
    <w:rsid w:val="00C43DDD"/>
    <w:rsid w:val="00C43EF5"/>
    <w:rsid w:val="00C43F09"/>
    <w:rsid w:val="00C44519"/>
    <w:rsid w:val="00C445F6"/>
    <w:rsid w:val="00C44727"/>
    <w:rsid w:val="00C44B41"/>
    <w:rsid w:val="00C44CDA"/>
    <w:rsid w:val="00C44E7B"/>
    <w:rsid w:val="00C45237"/>
    <w:rsid w:val="00C45B63"/>
    <w:rsid w:val="00C45E68"/>
    <w:rsid w:val="00C460E4"/>
    <w:rsid w:val="00C4648B"/>
    <w:rsid w:val="00C4671A"/>
    <w:rsid w:val="00C46E28"/>
    <w:rsid w:val="00C47278"/>
    <w:rsid w:val="00C47C62"/>
    <w:rsid w:val="00C47CCF"/>
    <w:rsid w:val="00C47E70"/>
    <w:rsid w:val="00C50491"/>
    <w:rsid w:val="00C50862"/>
    <w:rsid w:val="00C509A8"/>
    <w:rsid w:val="00C51CB4"/>
    <w:rsid w:val="00C52142"/>
    <w:rsid w:val="00C5221B"/>
    <w:rsid w:val="00C5276E"/>
    <w:rsid w:val="00C52F5D"/>
    <w:rsid w:val="00C53076"/>
    <w:rsid w:val="00C534FE"/>
    <w:rsid w:val="00C538FA"/>
    <w:rsid w:val="00C53DBE"/>
    <w:rsid w:val="00C53F9F"/>
    <w:rsid w:val="00C54728"/>
    <w:rsid w:val="00C54A0F"/>
    <w:rsid w:val="00C54D24"/>
    <w:rsid w:val="00C54EBA"/>
    <w:rsid w:val="00C54EFF"/>
    <w:rsid w:val="00C54F89"/>
    <w:rsid w:val="00C5576D"/>
    <w:rsid w:val="00C55948"/>
    <w:rsid w:val="00C55AD5"/>
    <w:rsid w:val="00C55D29"/>
    <w:rsid w:val="00C55F74"/>
    <w:rsid w:val="00C55F7D"/>
    <w:rsid w:val="00C57081"/>
    <w:rsid w:val="00C573E9"/>
    <w:rsid w:val="00C57CF5"/>
    <w:rsid w:val="00C57D0E"/>
    <w:rsid w:val="00C57EF3"/>
    <w:rsid w:val="00C57FA2"/>
    <w:rsid w:val="00C6002A"/>
    <w:rsid w:val="00C6017F"/>
    <w:rsid w:val="00C60999"/>
    <w:rsid w:val="00C6114F"/>
    <w:rsid w:val="00C612CD"/>
    <w:rsid w:val="00C616B0"/>
    <w:rsid w:val="00C62378"/>
    <w:rsid w:val="00C62850"/>
    <w:rsid w:val="00C628C5"/>
    <w:rsid w:val="00C62979"/>
    <w:rsid w:val="00C629A1"/>
    <w:rsid w:val="00C62FF8"/>
    <w:rsid w:val="00C633F8"/>
    <w:rsid w:val="00C638B5"/>
    <w:rsid w:val="00C6394D"/>
    <w:rsid w:val="00C63B3B"/>
    <w:rsid w:val="00C63C7C"/>
    <w:rsid w:val="00C63D73"/>
    <w:rsid w:val="00C643BA"/>
    <w:rsid w:val="00C64443"/>
    <w:rsid w:val="00C64E6E"/>
    <w:rsid w:val="00C6503D"/>
    <w:rsid w:val="00C65254"/>
    <w:rsid w:val="00C65439"/>
    <w:rsid w:val="00C66A42"/>
    <w:rsid w:val="00C67598"/>
    <w:rsid w:val="00C67916"/>
    <w:rsid w:val="00C67D88"/>
    <w:rsid w:val="00C702B0"/>
    <w:rsid w:val="00C7034A"/>
    <w:rsid w:val="00C708AE"/>
    <w:rsid w:val="00C70E5F"/>
    <w:rsid w:val="00C7105F"/>
    <w:rsid w:val="00C7151E"/>
    <w:rsid w:val="00C71F4F"/>
    <w:rsid w:val="00C724FD"/>
    <w:rsid w:val="00C729F9"/>
    <w:rsid w:val="00C72D5A"/>
    <w:rsid w:val="00C72E5B"/>
    <w:rsid w:val="00C72EC1"/>
    <w:rsid w:val="00C738E0"/>
    <w:rsid w:val="00C7408A"/>
    <w:rsid w:val="00C74A45"/>
    <w:rsid w:val="00C75058"/>
    <w:rsid w:val="00C75076"/>
    <w:rsid w:val="00C75778"/>
    <w:rsid w:val="00C75E36"/>
    <w:rsid w:val="00C76378"/>
    <w:rsid w:val="00C76F11"/>
    <w:rsid w:val="00C77465"/>
    <w:rsid w:val="00C77D44"/>
    <w:rsid w:val="00C77F36"/>
    <w:rsid w:val="00C80449"/>
    <w:rsid w:val="00C807E2"/>
    <w:rsid w:val="00C80A49"/>
    <w:rsid w:val="00C8190A"/>
    <w:rsid w:val="00C81C67"/>
    <w:rsid w:val="00C81E72"/>
    <w:rsid w:val="00C826B0"/>
    <w:rsid w:val="00C8273D"/>
    <w:rsid w:val="00C82865"/>
    <w:rsid w:val="00C83033"/>
    <w:rsid w:val="00C832AE"/>
    <w:rsid w:val="00C85005"/>
    <w:rsid w:val="00C850D9"/>
    <w:rsid w:val="00C85238"/>
    <w:rsid w:val="00C85B00"/>
    <w:rsid w:val="00C8660A"/>
    <w:rsid w:val="00C86BFE"/>
    <w:rsid w:val="00C86FF1"/>
    <w:rsid w:val="00C87023"/>
    <w:rsid w:val="00C875A8"/>
    <w:rsid w:val="00C876E8"/>
    <w:rsid w:val="00C87800"/>
    <w:rsid w:val="00C87CE2"/>
    <w:rsid w:val="00C90157"/>
    <w:rsid w:val="00C90319"/>
    <w:rsid w:val="00C903E3"/>
    <w:rsid w:val="00C90B35"/>
    <w:rsid w:val="00C90E38"/>
    <w:rsid w:val="00C9121A"/>
    <w:rsid w:val="00C914C2"/>
    <w:rsid w:val="00C9161F"/>
    <w:rsid w:val="00C9236A"/>
    <w:rsid w:val="00C92A31"/>
    <w:rsid w:val="00C92DB6"/>
    <w:rsid w:val="00C92F7C"/>
    <w:rsid w:val="00C931C2"/>
    <w:rsid w:val="00C939A7"/>
    <w:rsid w:val="00C942E1"/>
    <w:rsid w:val="00C95DD0"/>
    <w:rsid w:val="00C961C6"/>
    <w:rsid w:val="00C96813"/>
    <w:rsid w:val="00C96A13"/>
    <w:rsid w:val="00C96C61"/>
    <w:rsid w:val="00C96E8C"/>
    <w:rsid w:val="00C972A0"/>
    <w:rsid w:val="00CA06D8"/>
    <w:rsid w:val="00CA0BE9"/>
    <w:rsid w:val="00CA10CE"/>
    <w:rsid w:val="00CA11F7"/>
    <w:rsid w:val="00CA138D"/>
    <w:rsid w:val="00CA1B15"/>
    <w:rsid w:val="00CA1D82"/>
    <w:rsid w:val="00CA28D6"/>
    <w:rsid w:val="00CA2B75"/>
    <w:rsid w:val="00CA2C73"/>
    <w:rsid w:val="00CA2F4F"/>
    <w:rsid w:val="00CA3AF3"/>
    <w:rsid w:val="00CA3E72"/>
    <w:rsid w:val="00CA4064"/>
    <w:rsid w:val="00CA5FCB"/>
    <w:rsid w:val="00CA615C"/>
    <w:rsid w:val="00CA61E4"/>
    <w:rsid w:val="00CA6873"/>
    <w:rsid w:val="00CA6F55"/>
    <w:rsid w:val="00CA6FEE"/>
    <w:rsid w:val="00CA76F3"/>
    <w:rsid w:val="00CA7A36"/>
    <w:rsid w:val="00CA7C7C"/>
    <w:rsid w:val="00CB021B"/>
    <w:rsid w:val="00CB04E8"/>
    <w:rsid w:val="00CB1031"/>
    <w:rsid w:val="00CB1BC4"/>
    <w:rsid w:val="00CB1CB1"/>
    <w:rsid w:val="00CB2052"/>
    <w:rsid w:val="00CB2195"/>
    <w:rsid w:val="00CB2793"/>
    <w:rsid w:val="00CB2B89"/>
    <w:rsid w:val="00CB32BF"/>
    <w:rsid w:val="00CB364B"/>
    <w:rsid w:val="00CB461B"/>
    <w:rsid w:val="00CB4864"/>
    <w:rsid w:val="00CB50EC"/>
    <w:rsid w:val="00CB5406"/>
    <w:rsid w:val="00CB5E84"/>
    <w:rsid w:val="00CB609B"/>
    <w:rsid w:val="00CB668E"/>
    <w:rsid w:val="00CB6A2F"/>
    <w:rsid w:val="00CB6C35"/>
    <w:rsid w:val="00CB6D92"/>
    <w:rsid w:val="00CB7126"/>
    <w:rsid w:val="00CB717C"/>
    <w:rsid w:val="00CB7AB2"/>
    <w:rsid w:val="00CB7D94"/>
    <w:rsid w:val="00CB7FA5"/>
    <w:rsid w:val="00CC0006"/>
    <w:rsid w:val="00CC0557"/>
    <w:rsid w:val="00CC0879"/>
    <w:rsid w:val="00CC0EB4"/>
    <w:rsid w:val="00CC1271"/>
    <w:rsid w:val="00CC1F84"/>
    <w:rsid w:val="00CC24C8"/>
    <w:rsid w:val="00CC3BE0"/>
    <w:rsid w:val="00CC402B"/>
    <w:rsid w:val="00CC4279"/>
    <w:rsid w:val="00CC4971"/>
    <w:rsid w:val="00CC4C20"/>
    <w:rsid w:val="00CC5C61"/>
    <w:rsid w:val="00CC6C62"/>
    <w:rsid w:val="00CC6DFF"/>
    <w:rsid w:val="00CC74B8"/>
    <w:rsid w:val="00CC7641"/>
    <w:rsid w:val="00CC7695"/>
    <w:rsid w:val="00CC7740"/>
    <w:rsid w:val="00CC7854"/>
    <w:rsid w:val="00CC7B47"/>
    <w:rsid w:val="00CC7EE5"/>
    <w:rsid w:val="00CD0279"/>
    <w:rsid w:val="00CD02F4"/>
    <w:rsid w:val="00CD0934"/>
    <w:rsid w:val="00CD0CE4"/>
    <w:rsid w:val="00CD0D03"/>
    <w:rsid w:val="00CD0DED"/>
    <w:rsid w:val="00CD143B"/>
    <w:rsid w:val="00CD14F4"/>
    <w:rsid w:val="00CD1987"/>
    <w:rsid w:val="00CD1A28"/>
    <w:rsid w:val="00CD1F05"/>
    <w:rsid w:val="00CD1FAD"/>
    <w:rsid w:val="00CD235F"/>
    <w:rsid w:val="00CD24C2"/>
    <w:rsid w:val="00CD282D"/>
    <w:rsid w:val="00CD2C3F"/>
    <w:rsid w:val="00CD2CBA"/>
    <w:rsid w:val="00CD387B"/>
    <w:rsid w:val="00CD3A0B"/>
    <w:rsid w:val="00CD40DB"/>
    <w:rsid w:val="00CD42A7"/>
    <w:rsid w:val="00CD4438"/>
    <w:rsid w:val="00CD4742"/>
    <w:rsid w:val="00CD47B1"/>
    <w:rsid w:val="00CD4F64"/>
    <w:rsid w:val="00CD5982"/>
    <w:rsid w:val="00CD5D29"/>
    <w:rsid w:val="00CD5DCC"/>
    <w:rsid w:val="00CD622A"/>
    <w:rsid w:val="00CD629E"/>
    <w:rsid w:val="00CD6AE3"/>
    <w:rsid w:val="00CD6B99"/>
    <w:rsid w:val="00CD6CD5"/>
    <w:rsid w:val="00CD6E89"/>
    <w:rsid w:val="00CD71E8"/>
    <w:rsid w:val="00CD7A28"/>
    <w:rsid w:val="00CD7C5F"/>
    <w:rsid w:val="00CE06DD"/>
    <w:rsid w:val="00CE06E8"/>
    <w:rsid w:val="00CE076B"/>
    <w:rsid w:val="00CE12D3"/>
    <w:rsid w:val="00CE196F"/>
    <w:rsid w:val="00CE1B5D"/>
    <w:rsid w:val="00CE2046"/>
    <w:rsid w:val="00CE2F36"/>
    <w:rsid w:val="00CE31EC"/>
    <w:rsid w:val="00CE3CAA"/>
    <w:rsid w:val="00CE4181"/>
    <w:rsid w:val="00CE422D"/>
    <w:rsid w:val="00CE4341"/>
    <w:rsid w:val="00CE46D1"/>
    <w:rsid w:val="00CE60EA"/>
    <w:rsid w:val="00CE60FD"/>
    <w:rsid w:val="00CE630A"/>
    <w:rsid w:val="00CE659A"/>
    <w:rsid w:val="00CE659F"/>
    <w:rsid w:val="00CE6B6E"/>
    <w:rsid w:val="00CE79F0"/>
    <w:rsid w:val="00CE7C2B"/>
    <w:rsid w:val="00CE7DB2"/>
    <w:rsid w:val="00CF05B6"/>
    <w:rsid w:val="00CF07C8"/>
    <w:rsid w:val="00CF0C6B"/>
    <w:rsid w:val="00CF0CC2"/>
    <w:rsid w:val="00CF11D1"/>
    <w:rsid w:val="00CF1440"/>
    <w:rsid w:val="00CF16DC"/>
    <w:rsid w:val="00CF1CF3"/>
    <w:rsid w:val="00CF1FD7"/>
    <w:rsid w:val="00CF210D"/>
    <w:rsid w:val="00CF227D"/>
    <w:rsid w:val="00CF2ACF"/>
    <w:rsid w:val="00CF2BD3"/>
    <w:rsid w:val="00CF3664"/>
    <w:rsid w:val="00CF3C20"/>
    <w:rsid w:val="00CF3DF2"/>
    <w:rsid w:val="00CF3E14"/>
    <w:rsid w:val="00CF4508"/>
    <w:rsid w:val="00CF4526"/>
    <w:rsid w:val="00CF4AC6"/>
    <w:rsid w:val="00CF4B52"/>
    <w:rsid w:val="00CF4FFE"/>
    <w:rsid w:val="00CF50D2"/>
    <w:rsid w:val="00CF5296"/>
    <w:rsid w:val="00CF5D28"/>
    <w:rsid w:val="00CF64BB"/>
    <w:rsid w:val="00CF6DEC"/>
    <w:rsid w:val="00CF7160"/>
    <w:rsid w:val="00CF75A3"/>
    <w:rsid w:val="00CF7674"/>
    <w:rsid w:val="00CF7B33"/>
    <w:rsid w:val="00D00307"/>
    <w:rsid w:val="00D004C9"/>
    <w:rsid w:val="00D00860"/>
    <w:rsid w:val="00D00E6E"/>
    <w:rsid w:val="00D00FE1"/>
    <w:rsid w:val="00D0133B"/>
    <w:rsid w:val="00D013E5"/>
    <w:rsid w:val="00D02CE9"/>
    <w:rsid w:val="00D032E0"/>
    <w:rsid w:val="00D03319"/>
    <w:rsid w:val="00D033F9"/>
    <w:rsid w:val="00D03644"/>
    <w:rsid w:val="00D039DB"/>
    <w:rsid w:val="00D039E4"/>
    <w:rsid w:val="00D0431A"/>
    <w:rsid w:val="00D0489E"/>
    <w:rsid w:val="00D0495F"/>
    <w:rsid w:val="00D04A35"/>
    <w:rsid w:val="00D05152"/>
    <w:rsid w:val="00D05639"/>
    <w:rsid w:val="00D062A7"/>
    <w:rsid w:val="00D068D8"/>
    <w:rsid w:val="00D06E75"/>
    <w:rsid w:val="00D0717B"/>
    <w:rsid w:val="00D07C95"/>
    <w:rsid w:val="00D07D1F"/>
    <w:rsid w:val="00D07E91"/>
    <w:rsid w:val="00D1018A"/>
    <w:rsid w:val="00D1022C"/>
    <w:rsid w:val="00D109AB"/>
    <w:rsid w:val="00D10B1F"/>
    <w:rsid w:val="00D10CFC"/>
    <w:rsid w:val="00D1220B"/>
    <w:rsid w:val="00D1261A"/>
    <w:rsid w:val="00D12720"/>
    <w:rsid w:val="00D12F05"/>
    <w:rsid w:val="00D13066"/>
    <w:rsid w:val="00D13794"/>
    <w:rsid w:val="00D13A0F"/>
    <w:rsid w:val="00D13A1B"/>
    <w:rsid w:val="00D1457C"/>
    <w:rsid w:val="00D1486B"/>
    <w:rsid w:val="00D14F02"/>
    <w:rsid w:val="00D152F8"/>
    <w:rsid w:val="00D153B3"/>
    <w:rsid w:val="00D1585B"/>
    <w:rsid w:val="00D1589D"/>
    <w:rsid w:val="00D158EC"/>
    <w:rsid w:val="00D15CB4"/>
    <w:rsid w:val="00D16319"/>
    <w:rsid w:val="00D16D9C"/>
    <w:rsid w:val="00D2046E"/>
    <w:rsid w:val="00D20930"/>
    <w:rsid w:val="00D20AAB"/>
    <w:rsid w:val="00D21458"/>
    <w:rsid w:val="00D2158E"/>
    <w:rsid w:val="00D21FFA"/>
    <w:rsid w:val="00D2214F"/>
    <w:rsid w:val="00D22415"/>
    <w:rsid w:val="00D22488"/>
    <w:rsid w:val="00D227B9"/>
    <w:rsid w:val="00D227EE"/>
    <w:rsid w:val="00D2283B"/>
    <w:rsid w:val="00D23705"/>
    <w:rsid w:val="00D23CAD"/>
    <w:rsid w:val="00D24052"/>
    <w:rsid w:val="00D24386"/>
    <w:rsid w:val="00D24C19"/>
    <w:rsid w:val="00D24FCA"/>
    <w:rsid w:val="00D2581D"/>
    <w:rsid w:val="00D25831"/>
    <w:rsid w:val="00D25E99"/>
    <w:rsid w:val="00D26033"/>
    <w:rsid w:val="00D26D92"/>
    <w:rsid w:val="00D26FB9"/>
    <w:rsid w:val="00D2716F"/>
    <w:rsid w:val="00D2772C"/>
    <w:rsid w:val="00D27763"/>
    <w:rsid w:val="00D303A5"/>
    <w:rsid w:val="00D3102F"/>
    <w:rsid w:val="00D311BC"/>
    <w:rsid w:val="00D31575"/>
    <w:rsid w:val="00D3162D"/>
    <w:rsid w:val="00D31C8B"/>
    <w:rsid w:val="00D31E6F"/>
    <w:rsid w:val="00D32167"/>
    <w:rsid w:val="00D3278D"/>
    <w:rsid w:val="00D32D18"/>
    <w:rsid w:val="00D33094"/>
    <w:rsid w:val="00D330F6"/>
    <w:rsid w:val="00D33342"/>
    <w:rsid w:val="00D33854"/>
    <w:rsid w:val="00D33912"/>
    <w:rsid w:val="00D340DA"/>
    <w:rsid w:val="00D34626"/>
    <w:rsid w:val="00D34E4C"/>
    <w:rsid w:val="00D34FB4"/>
    <w:rsid w:val="00D35010"/>
    <w:rsid w:val="00D3598F"/>
    <w:rsid w:val="00D35C2D"/>
    <w:rsid w:val="00D363A8"/>
    <w:rsid w:val="00D36720"/>
    <w:rsid w:val="00D36C4F"/>
    <w:rsid w:val="00D375C4"/>
    <w:rsid w:val="00D37E3B"/>
    <w:rsid w:val="00D4014B"/>
    <w:rsid w:val="00D4031F"/>
    <w:rsid w:val="00D40C64"/>
    <w:rsid w:val="00D40E22"/>
    <w:rsid w:val="00D419E1"/>
    <w:rsid w:val="00D4257A"/>
    <w:rsid w:val="00D428C0"/>
    <w:rsid w:val="00D42C45"/>
    <w:rsid w:val="00D4333B"/>
    <w:rsid w:val="00D4398D"/>
    <w:rsid w:val="00D43A5F"/>
    <w:rsid w:val="00D43E34"/>
    <w:rsid w:val="00D43F1E"/>
    <w:rsid w:val="00D43FEE"/>
    <w:rsid w:val="00D44420"/>
    <w:rsid w:val="00D44588"/>
    <w:rsid w:val="00D44B22"/>
    <w:rsid w:val="00D451CC"/>
    <w:rsid w:val="00D4540F"/>
    <w:rsid w:val="00D45572"/>
    <w:rsid w:val="00D45580"/>
    <w:rsid w:val="00D45EEC"/>
    <w:rsid w:val="00D461B1"/>
    <w:rsid w:val="00D46224"/>
    <w:rsid w:val="00D46E9D"/>
    <w:rsid w:val="00D50967"/>
    <w:rsid w:val="00D51332"/>
    <w:rsid w:val="00D513E6"/>
    <w:rsid w:val="00D51CE7"/>
    <w:rsid w:val="00D51DA8"/>
    <w:rsid w:val="00D51F8C"/>
    <w:rsid w:val="00D5243E"/>
    <w:rsid w:val="00D524A3"/>
    <w:rsid w:val="00D52500"/>
    <w:rsid w:val="00D525AB"/>
    <w:rsid w:val="00D526F9"/>
    <w:rsid w:val="00D52991"/>
    <w:rsid w:val="00D53081"/>
    <w:rsid w:val="00D531E2"/>
    <w:rsid w:val="00D53217"/>
    <w:rsid w:val="00D5353A"/>
    <w:rsid w:val="00D53C4F"/>
    <w:rsid w:val="00D53F3E"/>
    <w:rsid w:val="00D5448B"/>
    <w:rsid w:val="00D551A6"/>
    <w:rsid w:val="00D55BC5"/>
    <w:rsid w:val="00D55E03"/>
    <w:rsid w:val="00D56D08"/>
    <w:rsid w:val="00D56E4B"/>
    <w:rsid w:val="00D572A8"/>
    <w:rsid w:val="00D57868"/>
    <w:rsid w:val="00D57A6E"/>
    <w:rsid w:val="00D57ABB"/>
    <w:rsid w:val="00D57FED"/>
    <w:rsid w:val="00D60350"/>
    <w:rsid w:val="00D603F7"/>
    <w:rsid w:val="00D605D2"/>
    <w:rsid w:val="00D62143"/>
    <w:rsid w:val="00D62421"/>
    <w:rsid w:val="00D624F5"/>
    <w:rsid w:val="00D62665"/>
    <w:rsid w:val="00D626B9"/>
    <w:rsid w:val="00D62A1E"/>
    <w:rsid w:val="00D630C7"/>
    <w:rsid w:val="00D631E6"/>
    <w:rsid w:val="00D6366A"/>
    <w:rsid w:val="00D63723"/>
    <w:rsid w:val="00D639B7"/>
    <w:rsid w:val="00D63CB4"/>
    <w:rsid w:val="00D63CDA"/>
    <w:rsid w:val="00D640D2"/>
    <w:rsid w:val="00D6461A"/>
    <w:rsid w:val="00D65460"/>
    <w:rsid w:val="00D657CB"/>
    <w:rsid w:val="00D65F59"/>
    <w:rsid w:val="00D6614A"/>
    <w:rsid w:val="00D66681"/>
    <w:rsid w:val="00D66B48"/>
    <w:rsid w:val="00D66D9E"/>
    <w:rsid w:val="00D6721C"/>
    <w:rsid w:val="00D6784F"/>
    <w:rsid w:val="00D67F40"/>
    <w:rsid w:val="00D7011A"/>
    <w:rsid w:val="00D70174"/>
    <w:rsid w:val="00D707D6"/>
    <w:rsid w:val="00D70BFD"/>
    <w:rsid w:val="00D70F82"/>
    <w:rsid w:val="00D71585"/>
    <w:rsid w:val="00D71ADA"/>
    <w:rsid w:val="00D72360"/>
    <w:rsid w:val="00D724DA"/>
    <w:rsid w:val="00D725B6"/>
    <w:rsid w:val="00D72749"/>
    <w:rsid w:val="00D72D0A"/>
    <w:rsid w:val="00D73A59"/>
    <w:rsid w:val="00D73F37"/>
    <w:rsid w:val="00D74BBC"/>
    <w:rsid w:val="00D74FDE"/>
    <w:rsid w:val="00D7506E"/>
    <w:rsid w:val="00D757E7"/>
    <w:rsid w:val="00D75C5A"/>
    <w:rsid w:val="00D75D43"/>
    <w:rsid w:val="00D75DBD"/>
    <w:rsid w:val="00D75EC7"/>
    <w:rsid w:val="00D76671"/>
    <w:rsid w:val="00D76889"/>
    <w:rsid w:val="00D768DF"/>
    <w:rsid w:val="00D77080"/>
    <w:rsid w:val="00D774AB"/>
    <w:rsid w:val="00D77990"/>
    <w:rsid w:val="00D77B78"/>
    <w:rsid w:val="00D77E5C"/>
    <w:rsid w:val="00D802F9"/>
    <w:rsid w:val="00D80A6E"/>
    <w:rsid w:val="00D80B8F"/>
    <w:rsid w:val="00D81663"/>
    <w:rsid w:val="00D818C2"/>
    <w:rsid w:val="00D81A55"/>
    <w:rsid w:val="00D81AB3"/>
    <w:rsid w:val="00D81BC1"/>
    <w:rsid w:val="00D82209"/>
    <w:rsid w:val="00D82C94"/>
    <w:rsid w:val="00D82E47"/>
    <w:rsid w:val="00D8383C"/>
    <w:rsid w:val="00D8462C"/>
    <w:rsid w:val="00D84C10"/>
    <w:rsid w:val="00D85C7D"/>
    <w:rsid w:val="00D85F7C"/>
    <w:rsid w:val="00D86149"/>
    <w:rsid w:val="00D861BC"/>
    <w:rsid w:val="00D86F3A"/>
    <w:rsid w:val="00D871C0"/>
    <w:rsid w:val="00D8768C"/>
    <w:rsid w:val="00D87997"/>
    <w:rsid w:val="00D87DA4"/>
    <w:rsid w:val="00D90083"/>
    <w:rsid w:val="00D906E2"/>
    <w:rsid w:val="00D91C37"/>
    <w:rsid w:val="00D91C7C"/>
    <w:rsid w:val="00D92055"/>
    <w:rsid w:val="00D929EA"/>
    <w:rsid w:val="00D93320"/>
    <w:rsid w:val="00D934D1"/>
    <w:rsid w:val="00D937F2"/>
    <w:rsid w:val="00D938A1"/>
    <w:rsid w:val="00D93A0C"/>
    <w:rsid w:val="00D93B08"/>
    <w:rsid w:val="00D93E06"/>
    <w:rsid w:val="00D941CA"/>
    <w:rsid w:val="00D94A20"/>
    <w:rsid w:val="00D94BE5"/>
    <w:rsid w:val="00D95203"/>
    <w:rsid w:val="00D9577F"/>
    <w:rsid w:val="00D958D0"/>
    <w:rsid w:val="00D9608E"/>
    <w:rsid w:val="00D9619C"/>
    <w:rsid w:val="00D96211"/>
    <w:rsid w:val="00D965D5"/>
    <w:rsid w:val="00D96BD6"/>
    <w:rsid w:val="00D96DE1"/>
    <w:rsid w:val="00D96FAE"/>
    <w:rsid w:val="00D97005"/>
    <w:rsid w:val="00D97513"/>
    <w:rsid w:val="00D975E2"/>
    <w:rsid w:val="00D97896"/>
    <w:rsid w:val="00D97C9F"/>
    <w:rsid w:val="00D97DFA"/>
    <w:rsid w:val="00DA03A4"/>
    <w:rsid w:val="00DA081A"/>
    <w:rsid w:val="00DA0A42"/>
    <w:rsid w:val="00DA0B86"/>
    <w:rsid w:val="00DA0F14"/>
    <w:rsid w:val="00DA10BE"/>
    <w:rsid w:val="00DA23E2"/>
    <w:rsid w:val="00DA2A78"/>
    <w:rsid w:val="00DA2AE6"/>
    <w:rsid w:val="00DA2DFD"/>
    <w:rsid w:val="00DA313C"/>
    <w:rsid w:val="00DA3FA6"/>
    <w:rsid w:val="00DA4A55"/>
    <w:rsid w:val="00DA5B5A"/>
    <w:rsid w:val="00DA69EE"/>
    <w:rsid w:val="00DA7403"/>
    <w:rsid w:val="00DA7F64"/>
    <w:rsid w:val="00DB00C0"/>
    <w:rsid w:val="00DB05A8"/>
    <w:rsid w:val="00DB05CE"/>
    <w:rsid w:val="00DB0917"/>
    <w:rsid w:val="00DB0AEB"/>
    <w:rsid w:val="00DB0EBE"/>
    <w:rsid w:val="00DB1035"/>
    <w:rsid w:val="00DB1853"/>
    <w:rsid w:val="00DB1D55"/>
    <w:rsid w:val="00DB2AE9"/>
    <w:rsid w:val="00DB2C11"/>
    <w:rsid w:val="00DB3075"/>
    <w:rsid w:val="00DB32DA"/>
    <w:rsid w:val="00DB3EFD"/>
    <w:rsid w:val="00DB463E"/>
    <w:rsid w:val="00DB4ED9"/>
    <w:rsid w:val="00DB4F5A"/>
    <w:rsid w:val="00DB568B"/>
    <w:rsid w:val="00DB60FC"/>
    <w:rsid w:val="00DB6B43"/>
    <w:rsid w:val="00DB6E12"/>
    <w:rsid w:val="00DB6E5C"/>
    <w:rsid w:val="00DB7639"/>
    <w:rsid w:val="00DB7E2B"/>
    <w:rsid w:val="00DC0318"/>
    <w:rsid w:val="00DC0CDE"/>
    <w:rsid w:val="00DC0E93"/>
    <w:rsid w:val="00DC0EEC"/>
    <w:rsid w:val="00DC1FB8"/>
    <w:rsid w:val="00DC2035"/>
    <w:rsid w:val="00DC36DB"/>
    <w:rsid w:val="00DC4034"/>
    <w:rsid w:val="00DC4804"/>
    <w:rsid w:val="00DC4B28"/>
    <w:rsid w:val="00DC4D72"/>
    <w:rsid w:val="00DC5232"/>
    <w:rsid w:val="00DC56A4"/>
    <w:rsid w:val="00DC5A68"/>
    <w:rsid w:val="00DC603A"/>
    <w:rsid w:val="00DC64A9"/>
    <w:rsid w:val="00DC6DAD"/>
    <w:rsid w:val="00DC7230"/>
    <w:rsid w:val="00DC789F"/>
    <w:rsid w:val="00DC7C39"/>
    <w:rsid w:val="00DC7C85"/>
    <w:rsid w:val="00DC7D1C"/>
    <w:rsid w:val="00DD021A"/>
    <w:rsid w:val="00DD0420"/>
    <w:rsid w:val="00DD0AF0"/>
    <w:rsid w:val="00DD0C9F"/>
    <w:rsid w:val="00DD1940"/>
    <w:rsid w:val="00DD1A35"/>
    <w:rsid w:val="00DD1C46"/>
    <w:rsid w:val="00DD1DB6"/>
    <w:rsid w:val="00DD1FD4"/>
    <w:rsid w:val="00DD1FDC"/>
    <w:rsid w:val="00DD2A71"/>
    <w:rsid w:val="00DD2B67"/>
    <w:rsid w:val="00DD2E60"/>
    <w:rsid w:val="00DD48FF"/>
    <w:rsid w:val="00DD5619"/>
    <w:rsid w:val="00DD60D8"/>
    <w:rsid w:val="00DD6744"/>
    <w:rsid w:val="00DD701C"/>
    <w:rsid w:val="00DD7065"/>
    <w:rsid w:val="00DD7542"/>
    <w:rsid w:val="00DD77BA"/>
    <w:rsid w:val="00DD7C5A"/>
    <w:rsid w:val="00DD7DA4"/>
    <w:rsid w:val="00DE0152"/>
    <w:rsid w:val="00DE07A9"/>
    <w:rsid w:val="00DE0FAF"/>
    <w:rsid w:val="00DE176B"/>
    <w:rsid w:val="00DE196B"/>
    <w:rsid w:val="00DE2001"/>
    <w:rsid w:val="00DE35A1"/>
    <w:rsid w:val="00DE3A2C"/>
    <w:rsid w:val="00DE3D7B"/>
    <w:rsid w:val="00DE3FA4"/>
    <w:rsid w:val="00DE41CB"/>
    <w:rsid w:val="00DE478B"/>
    <w:rsid w:val="00DE4F2E"/>
    <w:rsid w:val="00DE5415"/>
    <w:rsid w:val="00DE5978"/>
    <w:rsid w:val="00DE5AD0"/>
    <w:rsid w:val="00DE5F08"/>
    <w:rsid w:val="00DE6172"/>
    <w:rsid w:val="00DE68EE"/>
    <w:rsid w:val="00DE75CE"/>
    <w:rsid w:val="00DE796D"/>
    <w:rsid w:val="00DE79E7"/>
    <w:rsid w:val="00DE7D35"/>
    <w:rsid w:val="00DE7FCA"/>
    <w:rsid w:val="00DF0126"/>
    <w:rsid w:val="00DF069D"/>
    <w:rsid w:val="00DF0E7A"/>
    <w:rsid w:val="00DF1141"/>
    <w:rsid w:val="00DF15F5"/>
    <w:rsid w:val="00DF17D0"/>
    <w:rsid w:val="00DF1A76"/>
    <w:rsid w:val="00DF1C4D"/>
    <w:rsid w:val="00DF1EE8"/>
    <w:rsid w:val="00DF21DD"/>
    <w:rsid w:val="00DF2A0F"/>
    <w:rsid w:val="00DF2C43"/>
    <w:rsid w:val="00DF33F7"/>
    <w:rsid w:val="00DF3ED2"/>
    <w:rsid w:val="00DF4267"/>
    <w:rsid w:val="00DF43CD"/>
    <w:rsid w:val="00DF4C4C"/>
    <w:rsid w:val="00DF646F"/>
    <w:rsid w:val="00DF6A80"/>
    <w:rsid w:val="00DF6F16"/>
    <w:rsid w:val="00DF7342"/>
    <w:rsid w:val="00DF7353"/>
    <w:rsid w:val="00DF7989"/>
    <w:rsid w:val="00DF7CD0"/>
    <w:rsid w:val="00E0008E"/>
    <w:rsid w:val="00E0047A"/>
    <w:rsid w:val="00E00B70"/>
    <w:rsid w:val="00E00C0F"/>
    <w:rsid w:val="00E01169"/>
    <w:rsid w:val="00E0180F"/>
    <w:rsid w:val="00E018EF"/>
    <w:rsid w:val="00E01B52"/>
    <w:rsid w:val="00E01E92"/>
    <w:rsid w:val="00E0206E"/>
    <w:rsid w:val="00E026E7"/>
    <w:rsid w:val="00E03117"/>
    <w:rsid w:val="00E033AC"/>
    <w:rsid w:val="00E03E07"/>
    <w:rsid w:val="00E03E6C"/>
    <w:rsid w:val="00E03F13"/>
    <w:rsid w:val="00E04349"/>
    <w:rsid w:val="00E04425"/>
    <w:rsid w:val="00E048F5"/>
    <w:rsid w:val="00E0517A"/>
    <w:rsid w:val="00E052AD"/>
    <w:rsid w:val="00E05301"/>
    <w:rsid w:val="00E059A0"/>
    <w:rsid w:val="00E05B6F"/>
    <w:rsid w:val="00E05FD4"/>
    <w:rsid w:val="00E0624D"/>
    <w:rsid w:val="00E06D22"/>
    <w:rsid w:val="00E06F58"/>
    <w:rsid w:val="00E07303"/>
    <w:rsid w:val="00E074AE"/>
    <w:rsid w:val="00E0774D"/>
    <w:rsid w:val="00E077EC"/>
    <w:rsid w:val="00E1009A"/>
    <w:rsid w:val="00E100C1"/>
    <w:rsid w:val="00E10358"/>
    <w:rsid w:val="00E104B2"/>
    <w:rsid w:val="00E106CC"/>
    <w:rsid w:val="00E11366"/>
    <w:rsid w:val="00E11564"/>
    <w:rsid w:val="00E11634"/>
    <w:rsid w:val="00E11A0F"/>
    <w:rsid w:val="00E11A73"/>
    <w:rsid w:val="00E11C20"/>
    <w:rsid w:val="00E11C85"/>
    <w:rsid w:val="00E125A5"/>
    <w:rsid w:val="00E129F3"/>
    <w:rsid w:val="00E1372E"/>
    <w:rsid w:val="00E13D49"/>
    <w:rsid w:val="00E14065"/>
    <w:rsid w:val="00E140AF"/>
    <w:rsid w:val="00E14A6A"/>
    <w:rsid w:val="00E151CF"/>
    <w:rsid w:val="00E152C2"/>
    <w:rsid w:val="00E15840"/>
    <w:rsid w:val="00E15BBC"/>
    <w:rsid w:val="00E15C32"/>
    <w:rsid w:val="00E15F39"/>
    <w:rsid w:val="00E16085"/>
    <w:rsid w:val="00E1646A"/>
    <w:rsid w:val="00E1654A"/>
    <w:rsid w:val="00E16C27"/>
    <w:rsid w:val="00E1758C"/>
    <w:rsid w:val="00E208CF"/>
    <w:rsid w:val="00E20A42"/>
    <w:rsid w:val="00E21705"/>
    <w:rsid w:val="00E218B3"/>
    <w:rsid w:val="00E21E07"/>
    <w:rsid w:val="00E2249A"/>
    <w:rsid w:val="00E22CDD"/>
    <w:rsid w:val="00E23A89"/>
    <w:rsid w:val="00E23B0A"/>
    <w:rsid w:val="00E23C54"/>
    <w:rsid w:val="00E240A3"/>
    <w:rsid w:val="00E24253"/>
    <w:rsid w:val="00E2477D"/>
    <w:rsid w:val="00E25AA1"/>
    <w:rsid w:val="00E25CE1"/>
    <w:rsid w:val="00E260CE"/>
    <w:rsid w:val="00E26377"/>
    <w:rsid w:val="00E2645B"/>
    <w:rsid w:val="00E266D1"/>
    <w:rsid w:val="00E27512"/>
    <w:rsid w:val="00E275A2"/>
    <w:rsid w:val="00E27CEC"/>
    <w:rsid w:val="00E30027"/>
    <w:rsid w:val="00E30077"/>
    <w:rsid w:val="00E30A34"/>
    <w:rsid w:val="00E30CBE"/>
    <w:rsid w:val="00E31052"/>
    <w:rsid w:val="00E316EF"/>
    <w:rsid w:val="00E32E21"/>
    <w:rsid w:val="00E32E51"/>
    <w:rsid w:val="00E330F5"/>
    <w:rsid w:val="00E33233"/>
    <w:rsid w:val="00E3362B"/>
    <w:rsid w:val="00E337C7"/>
    <w:rsid w:val="00E3422A"/>
    <w:rsid w:val="00E342B2"/>
    <w:rsid w:val="00E342DA"/>
    <w:rsid w:val="00E34545"/>
    <w:rsid w:val="00E349ED"/>
    <w:rsid w:val="00E34AF3"/>
    <w:rsid w:val="00E34E4C"/>
    <w:rsid w:val="00E34E50"/>
    <w:rsid w:val="00E35326"/>
    <w:rsid w:val="00E355CB"/>
    <w:rsid w:val="00E3628F"/>
    <w:rsid w:val="00E3799B"/>
    <w:rsid w:val="00E4050E"/>
    <w:rsid w:val="00E4065B"/>
    <w:rsid w:val="00E40AE3"/>
    <w:rsid w:val="00E41044"/>
    <w:rsid w:val="00E4120D"/>
    <w:rsid w:val="00E413CE"/>
    <w:rsid w:val="00E4297D"/>
    <w:rsid w:val="00E42A16"/>
    <w:rsid w:val="00E42FBC"/>
    <w:rsid w:val="00E4322E"/>
    <w:rsid w:val="00E43490"/>
    <w:rsid w:val="00E436D5"/>
    <w:rsid w:val="00E43DBB"/>
    <w:rsid w:val="00E44152"/>
    <w:rsid w:val="00E4438C"/>
    <w:rsid w:val="00E4447D"/>
    <w:rsid w:val="00E4454D"/>
    <w:rsid w:val="00E44A46"/>
    <w:rsid w:val="00E456F0"/>
    <w:rsid w:val="00E457F3"/>
    <w:rsid w:val="00E45A44"/>
    <w:rsid w:val="00E46486"/>
    <w:rsid w:val="00E467A5"/>
    <w:rsid w:val="00E46D62"/>
    <w:rsid w:val="00E46E6C"/>
    <w:rsid w:val="00E46F44"/>
    <w:rsid w:val="00E4728F"/>
    <w:rsid w:val="00E474B6"/>
    <w:rsid w:val="00E475E0"/>
    <w:rsid w:val="00E47666"/>
    <w:rsid w:val="00E476DE"/>
    <w:rsid w:val="00E5031A"/>
    <w:rsid w:val="00E504B5"/>
    <w:rsid w:val="00E5063E"/>
    <w:rsid w:val="00E509B6"/>
    <w:rsid w:val="00E514A9"/>
    <w:rsid w:val="00E51613"/>
    <w:rsid w:val="00E51D42"/>
    <w:rsid w:val="00E51FD8"/>
    <w:rsid w:val="00E5236B"/>
    <w:rsid w:val="00E52597"/>
    <w:rsid w:val="00E5299D"/>
    <w:rsid w:val="00E52C90"/>
    <w:rsid w:val="00E5382B"/>
    <w:rsid w:val="00E53B91"/>
    <w:rsid w:val="00E53EE3"/>
    <w:rsid w:val="00E54EB1"/>
    <w:rsid w:val="00E55431"/>
    <w:rsid w:val="00E5611A"/>
    <w:rsid w:val="00E56D93"/>
    <w:rsid w:val="00E56EF0"/>
    <w:rsid w:val="00E572AD"/>
    <w:rsid w:val="00E5758E"/>
    <w:rsid w:val="00E57CB5"/>
    <w:rsid w:val="00E57D4B"/>
    <w:rsid w:val="00E601A2"/>
    <w:rsid w:val="00E605F2"/>
    <w:rsid w:val="00E60811"/>
    <w:rsid w:val="00E60901"/>
    <w:rsid w:val="00E610F6"/>
    <w:rsid w:val="00E617E7"/>
    <w:rsid w:val="00E617FF"/>
    <w:rsid w:val="00E61A12"/>
    <w:rsid w:val="00E61F6E"/>
    <w:rsid w:val="00E6214F"/>
    <w:rsid w:val="00E627C4"/>
    <w:rsid w:val="00E62806"/>
    <w:rsid w:val="00E63496"/>
    <w:rsid w:val="00E63AB9"/>
    <w:rsid w:val="00E63B82"/>
    <w:rsid w:val="00E63F69"/>
    <w:rsid w:val="00E64573"/>
    <w:rsid w:val="00E6481F"/>
    <w:rsid w:val="00E64D0B"/>
    <w:rsid w:val="00E655CC"/>
    <w:rsid w:val="00E65D0E"/>
    <w:rsid w:val="00E65F4A"/>
    <w:rsid w:val="00E66023"/>
    <w:rsid w:val="00E664CA"/>
    <w:rsid w:val="00E666C0"/>
    <w:rsid w:val="00E66B30"/>
    <w:rsid w:val="00E66C12"/>
    <w:rsid w:val="00E67012"/>
    <w:rsid w:val="00E674BC"/>
    <w:rsid w:val="00E70ADC"/>
    <w:rsid w:val="00E70F6E"/>
    <w:rsid w:val="00E712E8"/>
    <w:rsid w:val="00E718A9"/>
    <w:rsid w:val="00E71D2C"/>
    <w:rsid w:val="00E71DA3"/>
    <w:rsid w:val="00E7295E"/>
    <w:rsid w:val="00E731EF"/>
    <w:rsid w:val="00E7451D"/>
    <w:rsid w:val="00E74828"/>
    <w:rsid w:val="00E74AB4"/>
    <w:rsid w:val="00E75030"/>
    <w:rsid w:val="00E75031"/>
    <w:rsid w:val="00E756F4"/>
    <w:rsid w:val="00E75B16"/>
    <w:rsid w:val="00E75B66"/>
    <w:rsid w:val="00E75BA5"/>
    <w:rsid w:val="00E75FF3"/>
    <w:rsid w:val="00E760EF"/>
    <w:rsid w:val="00E76D7E"/>
    <w:rsid w:val="00E76E3C"/>
    <w:rsid w:val="00E77397"/>
    <w:rsid w:val="00E77E0C"/>
    <w:rsid w:val="00E77F0E"/>
    <w:rsid w:val="00E80663"/>
    <w:rsid w:val="00E8072A"/>
    <w:rsid w:val="00E80B47"/>
    <w:rsid w:val="00E81A5B"/>
    <w:rsid w:val="00E81A81"/>
    <w:rsid w:val="00E821C7"/>
    <w:rsid w:val="00E82240"/>
    <w:rsid w:val="00E828F1"/>
    <w:rsid w:val="00E83016"/>
    <w:rsid w:val="00E831B9"/>
    <w:rsid w:val="00E83480"/>
    <w:rsid w:val="00E834F0"/>
    <w:rsid w:val="00E8363E"/>
    <w:rsid w:val="00E83E21"/>
    <w:rsid w:val="00E8423D"/>
    <w:rsid w:val="00E84D4B"/>
    <w:rsid w:val="00E84E13"/>
    <w:rsid w:val="00E853D4"/>
    <w:rsid w:val="00E856AD"/>
    <w:rsid w:val="00E85F21"/>
    <w:rsid w:val="00E862E4"/>
    <w:rsid w:val="00E8642D"/>
    <w:rsid w:val="00E86486"/>
    <w:rsid w:val="00E86CA7"/>
    <w:rsid w:val="00E87491"/>
    <w:rsid w:val="00E87E83"/>
    <w:rsid w:val="00E87F60"/>
    <w:rsid w:val="00E90770"/>
    <w:rsid w:val="00E90EDD"/>
    <w:rsid w:val="00E918E6"/>
    <w:rsid w:val="00E921A5"/>
    <w:rsid w:val="00E92B74"/>
    <w:rsid w:val="00E92ED7"/>
    <w:rsid w:val="00E930E5"/>
    <w:rsid w:val="00E931A9"/>
    <w:rsid w:val="00E93494"/>
    <w:rsid w:val="00E943B0"/>
    <w:rsid w:val="00E949E5"/>
    <w:rsid w:val="00E95EE4"/>
    <w:rsid w:val="00E9608B"/>
    <w:rsid w:val="00E9691B"/>
    <w:rsid w:val="00E96E86"/>
    <w:rsid w:val="00E974A1"/>
    <w:rsid w:val="00E97794"/>
    <w:rsid w:val="00E97C39"/>
    <w:rsid w:val="00E97D72"/>
    <w:rsid w:val="00E97DD4"/>
    <w:rsid w:val="00EA0F52"/>
    <w:rsid w:val="00EA0F9D"/>
    <w:rsid w:val="00EA1607"/>
    <w:rsid w:val="00EA18D1"/>
    <w:rsid w:val="00EA198C"/>
    <w:rsid w:val="00EA19C1"/>
    <w:rsid w:val="00EA24BC"/>
    <w:rsid w:val="00EA2B7A"/>
    <w:rsid w:val="00EA3165"/>
    <w:rsid w:val="00EA3F46"/>
    <w:rsid w:val="00EA4006"/>
    <w:rsid w:val="00EA41BF"/>
    <w:rsid w:val="00EA4457"/>
    <w:rsid w:val="00EA452D"/>
    <w:rsid w:val="00EA4799"/>
    <w:rsid w:val="00EA4893"/>
    <w:rsid w:val="00EA4919"/>
    <w:rsid w:val="00EA4A80"/>
    <w:rsid w:val="00EA4B0A"/>
    <w:rsid w:val="00EA4DD8"/>
    <w:rsid w:val="00EA4FC3"/>
    <w:rsid w:val="00EA511D"/>
    <w:rsid w:val="00EA5199"/>
    <w:rsid w:val="00EA5531"/>
    <w:rsid w:val="00EA5D7C"/>
    <w:rsid w:val="00EA5E51"/>
    <w:rsid w:val="00EA62EA"/>
    <w:rsid w:val="00EA6318"/>
    <w:rsid w:val="00EA6454"/>
    <w:rsid w:val="00EA6AA4"/>
    <w:rsid w:val="00EA6B24"/>
    <w:rsid w:val="00EA6B50"/>
    <w:rsid w:val="00EA6D4E"/>
    <w:rsid w:val="00EA7595"/>
    <w:rsid w:val="00EA76CE"/>
    <w:rsid w:val="00EA7916"/>
    <w:rsid w:val="00EB017F"/>
    <w:rsid w:val="00EB03F9"/>
    <w:rsid w:val="00EB1163"/>
    <w:rsid w:val="00EB213D"/>
    <w:rsid w:val="00EB2AEF"/>
    <w:rsid w:val="00EB2FA1"/>
    <w:rsid w:val="00EB3C3B"/>
    <w:rsid w:val="00EB3F88"/>
    <w:rsid w:val="00EB4289"/>
    <w:rsid w:val="00EB436E"/>
    <w:rsid w:val="00EB48C3"/>
    <w:rsid w:val="00EB48F8"/>
    <w:rsid w:val="00EB4A7C"/>
    <w:rsid w:val="00EB4B66"/>
    <w:rsid w:val="00EB4FFB"/>
    <w:rsid w:val="00EB5040"/>
    <w:rsid w:val="00EB5454"/>
    <w:rsid w:val="00EB5923"/>
    <w:rsid w:val="00EB5C0C"/>
    <w:rsid w:val="00EB5D0A"/>
    <w:rsid w:val="00EB656D"/>
    <w:rsid w:val="00EB69EA"/>
    <w:rsid w:val="00EB6BE1"/>
    <w:rsid w:val="00EB71D3"/>
    <w:rsid w:val="00EB776E"/>
    <w:rsid w:val="00EB7C19"/>
    <w:rsid w:val="00EB7C4C"/>
    <w:rsid w:val="00EB7E71"/>
    <w:rsid w:val="00EC01A4"/>
    <w:rsid w:val="00EC0CC5"/>
    <w:rsid w:val="00EC0F4A"/>
    <w:rsid w:val="00EC0F6E"/>
    <w:rsid w:val="00EC1E15"/>
    <w:rsid w:val="00EC266C"/>
    <w:rsid w:val="00EC2883"/>
    <w:rsid w:val="00EC33E6"/>
    <w:rsid w:val="00EC37B0"/>
    <w:rsid w:val="00EC42B1"/>
    <w:rsid w:val="00EC4E4A"/>
    <w:rsid w:val="00EC5068"/>
    <w:rsid w:val="00EC629F"/>
    <w:rsid w:val="00EC7A7C"/>
    <w:rsid w:val="00EC7A7D"/>
    <w:rsid w:val="00EC7C20"/>
    <w:rsid w:val="00EC7E77"/>
    <w:rsid w:val="00ED013E"/>
    <w:rsid w:val="00ED051F"/>
    <w:rsid w:val="00ED0994"/>
    <w:rsid w:val="00ED0C85"/>
    <w:rsid w:val="00ED0C8F"/>
    <w:rsid w:val="00ED124A"/>
    <w:rsid w:val="00ED15B6"/>
    <w:rsid w:val="00ED1798"/>
    <w:rsid w:val="00ED3050"/>
    <w:rsid w:val="00ED3166"/>
    <w:rsid w:val="00ED3193"/>
    <w:rsid w:val="00ED38AD"/>
    <w:rsid w:val="00ED38D7"/>
    <w:rsid w:val="00ED3A92"/>
    <w:rsid w:val="00ED3CAF"/>
    <w:rsid w:val="00ED3EEC"/>
    <w:rsid w:val="00ED43A7"/>
    <w:rsid w:val="00ED450C"/>
    <w:rsid w:val="00ED4D2A"/>
    <w:rsid w:val="00ED5076"/>
    <w:rsid w:val="00ED5195"/>
    <w:rsid w:val="00ED56F3"/>
    <w:rsid w:val="00ED5942"/>
    <w:rsid w:val="00ED6AC4"/>
    <w:rsid w:val="00ED71AB"/>
    <w:rsid w:val="00ED737F"/>
    <w:rsid w:val="00ED7598"/>
    <w:rsid w:val="00ED78A7"/>
    <w:rsid w:val="00ED7DCA"/>
    <w:rsid w:val="00ED7E45"/>
    <w:rsid w:val="00EE15B8"/>
    <w:rsid w:val="00EE1704"/>
    <w:rsid w:val="00EE1B21"/>
    <w:rsid w:val="00EE1B8A"/>
    <w:rsid w:val="00EE266F"/>
    <w:rsid w:val="00EE2A03"/>
    <w:rsid w:val="00EE3117"/>
    <w:rsid w:val="00EE345B"/>
    <w:rsid w:val="00EE3D4F"/>
    <w:rsid w:val="00EE41A2"/>
    <w:rsid w:val="00EE4A15"/>
    <w:rsid w:val="00EE4FEE"/>
    <w:rsid w:val="00EE57AA"/>
    <w:rsid w:val="00EE5C35"/>
    <w:rsid w:val="00EE5CE2"/>
    <w:rsid w:val="00EE6104"/>
    <w:rsid w:val="00EE619E"/>
    <w:rsid w:val="00EE6427"/>
    <w:rsid w:val="00EE6A5E"/>
    <w:rsid w:val="00EE705F"/>
    <w:rsid w:val="00EE7B47"/>
    <w:rsid w:val="00EF070B"/>
    <w:rsid w:val="00EF0AF7"/>
    <w:rsid w:val="00EF1212"/>
    <w:rsid w:val="00EF18B7"/>
    <w:rsid w:val="00EF1B9E"/>
    <w:rsid w:val="00EF20E1"/>
    <w:rsid w:val="00EF2510"/>
    <w:rsid w:val="00EF2796"/>
    <w:rsid w:val="00EF280C"/>
    <w:rsid w:val="00EF2C0E"/>
    <w:rsid w:val="00EF2C4B"/>
    <w:rsid w:val="00EF2C92"/>
    <w:rsid w:val="00EF2E11"/>
    <w:rsid w:val="00EF3623"/>
    <w:rsid w:val="00EF3969"/>
    <w:rsid w:val="00EF4041"/>
    <w:rsid w:val="00EF41D3"/>
    <w:rsid w:val="00EF4BF8"/>
    <w:rsid w:val="00EF4C70"/>
    <w:rsid w:val="00EF52F9"/>
    <w:rsid w:val="00EF5A26"/>
    <w:rsid w:val="00EF5C0D"/>
    <w:rsid w:val="00EF5C2A"/>
    <w:rsid w:val="00EF625A"/>
    <w:rsid w:val="00EF654D"/>
    <w:rsid w:val="00EF659B"/>
    <w:rsid w:val="00EF6942"/>
    <w:rsid w:val="00EF72E3"/>
    <w:rsid w:val="00EF7423"/>
    <w:rsid w:val="00EF76C5"/>
    <w:rsid w:val="00F00B5D"/>
    <w:rsid w:val="00F00C4A"/>
    <w:rsid w:val="00F0197A"/>
    <w:rsid w:val="00F01AC5"/>
    <w:rsid w:val="00F01E5E"/>
    <w:rsid w:val="00F022CB"/>
    <w:rsid w:val="00F022D3"/>
    <w:rsid w:val="00F02603"/>
    <w:rsid w:val="00F02968"/>
    <w:rsid w:val="00F02BB1"/>
    <w:rsid w:val="00F0336C"/>
    <w:rsid w:val="00F03758"/>
    <w:rsid w:val="00F0388F"/>
    <w:rsid w:val="00F03DE7"/>
    <w:rsid w:val="00F03F46"/>
    <w:rsid w:val="00F0497E"/>
    <w:rsid w:val="00F04D05"/>
    <w:rsid w:val="00F04D25"/>
    <w:rsid w:val="00F0519E"/>
    <w:rsid w:val="00F05A49"/>
    <w:rsid w:val="00F0607F"/>
    <w:rsid w:val="00F06371"/>
    <w:rsid w:val="00F06396"/>
    <w:rsid w:val="00F0673A"/>
    <w:rsid w:val="00F06A71"/>
    <w:rsid w:val="00F06E66"/>
    <w:rsid w:val="00F06E67"/>
    <w:rsid w:val="00F0706C"/>
    <w:rsid w:val="00F07E60"/>
    <w:rsid w:val="00F109D4"/>
    <w:rsid w:val="00F1169B"/>
    <w:rsid w:val="00F12308"/>
    <w:rsid w:val="00F1234B"/>
    <w:rsid w:val="00F125D7"/>
    <w:rsid w:val="00F12E86"/>
    <w:rsid w:val="00F13034"/>
    <w:rsid w:val="00F13556"/>
    <w:rsid w:val="00F1362E"/>
    <w:rsid w:val="00F13852"/>
    <w:rsid w:val="00F139DF"/>
    <w:rsid w:val="00F13D4E"/>
    <w:rsid w:val="00F1420D"/>
    <w:rsid w:val="00F142FE"/>
    <w:rsid w:val="00F14A16"/>
    <w:rsid w:val="00F14F57"/>
    <w:rsid w:val="00F15689"/>
    <w:rsid w:val="00F15EE9"/>
    <w:rsid w:val="00F16116"/>
    <w:rsid w:val="00F176DC"/>
    <w:rsid w:val="00F17B3D"/>
    <w:rsid w:val="00F17E8E"/>
    <w:rsid w:val="00F2084C"/>
    <w:rsid w:val="00F20D18"/>
    <w:rsid w:val="00F21942"/>
    <w:rsid w:val="00F21A8E"/>
    <w:rsid w:val="00F22594"/>
    <w:rsid w:val="00F22E84"/>
    <w:rsid w:val="00F22FB5"/>
    <w:rsid w:val="00F23D1A"/>
    <w:rsid w:val="00F23DCF"/>
    <w:rsid w:val="00F2410B"/>
    <w:rsid w:val="00F24471"/>
    <w:rsid w:val="00F252D1"/>
    <w:rsid w:val="00F25777"/>
    <w:rsid w:val="00F26011"/>
    <w:rsid w:val="00F2601A"/>
    <w:rsid w:val="00F27208"/>
    <w:rsid w:val="00F276E0"/>
    <w:rsid w:val="00F277DF"/>
    <w:rsid w:val="00F27CF6"/>
    <w:rsid w:val="00F301AF"/>
    <w:rsid w:val="00F30AEE"/>
    <w:rsid w:val="00F30B54"/>
    <w:rsid w:val="00F30BEE"/>
    <w:rsid w:val="00F31080"/>
    <w:rsid w:val="00F31486"/>
    <w:rsid w:val="00F31FD9"/>
    <w:rsid w:val="00F32045"/>
    <w:rsid w:val="00F327EF"/>
    <w:rsid w:val="00F32A6F"/>
    <w:rsid w:val="00F33718"/>
    <w:rsid w:val="00F337E2"/>
    <w:rsid w:val="00F33B0D"/>
    <w:rsid w:val="00F33CE5"/>
    <w:rsid w:val="00F3421D"/>
    <w:rsid w:val="00F34BA7"/>
    <w:rsid w:val="00F35112"/>
    <w:rsid w:val="00F3574D"/>
    <w:rsid w:val="00F358ED"/>
    <w:rsid w:val="00F35BFE"/>
    <w:rsid w:val="00F3607D"/>
    <w:rsid w:val="00F361CF"/>
    <w:rsid w:val="00F366B6"/>
    <w:rsid w:val="00F36FE4"/>
    <w:rsid w:val="00F37AFA"/>
    <w:rsid w:val="00F415CF"/>
    <w:rsid w:val="00F4229F"/>
    <w:rsid w:val="00F4252E"/>
    <w:rsid w:val="00F42FFB"/>
    <w:rsid w:val="00F433D2"/>
    <w:rsid w:val="00F436FD"/>
    <w:rsid w:val="00F445F7"/>
    <w:rsid w:val="00F4498A"/>
    <w:rsid w:val="00F44DB3"/>
    <w:rsid w:val="00F44ED3"/>
    <w:rsid w:val="00F45686"/>
    <w:rsid w:val="00F45B5D"/>
    <w:rsid w:val="00F45DBF"/>
    <w:rsid w:val="00F46983"/>
    <w:rsid w:val="00F46ECC"/>
    <w:rsid w:val="00F47314"/>
    <w:rsid w:val="00F47585"/>
    <w:rsid w:val="00F47632"/>
    <w:rsid w:val="00F50724"/>
    <w:rsid w:val="00F5079B"/>
    <w:rsid w:val="00F50D1D"/>
    <w:rsid w:val="00F50EB9"/>
    <w:rsid w:val="00F50F12"/>
    <w:rsid w:val="00F51AAA"/>
    <w:rsid w:val="00F51B0D"/>
    <w:rsid w:val="00F51B52"/>
    <w:rsid w:val="00F51C18"/>
    <w:rsid w:val="00F51E8A"/>
    <w:rsid w:val="00F52098"/>
    <w:rsid w:val="00F520FF"/>
    <w:rsid w:val="00F523FA"/>
    <w:rsid w:val="00F52441"/>
    <w:rsid w:val="00F526C0"/>
    <w:rsid w:val="00F52730"/>
    <w:rsid w:val="00F52F4C"/>
    <w:rsid w:val="00F53046"/>
    <w:rsid w:val="00F5506B"/>
    <w:rsid w:val="00F55242"/>
    <w:rsid w:val="00F554C1"/>
    <w:rsid w:val="00F55804"/>
    <w:rsid w:val="00F55BAD"/>
    <w:rsid w:val="00F55D97"/>
    <w:rsid w:val="00F567C2"/>
    <w:rsid w:val="00F56803"/>
    <w:rsid w:val="00F57C93"/>
    <w:rsid w:val="00F60901"/>
    <w:rsid w:val="00F6129A"/>
    <w:rsid w:val="00F61B42"/>
    <w:rsid w:val="00F61DC0"/>
    <w:rsid w:val="00F61FE3"/>
    <w:rsid w:val="00F6231F"/>
    <w:rsid w:val="00F62896"/>
    <w:rsid w:val="00F62CDE"/>
    <w:rsid w:val="00F63049"/>
    <w:rsid w:val="00F635B1"/>
    <w:rsid w:val="00F63B50"/>
    <w:rsid w:val="00F6404E"/>
    <w:rsid w:val="00F644C0"/>
    <w:rsid w:val="00F64E74"/>
    <w:rsid w:val="00F6692F"/>
    <w:rsid w:val="00F66BE5"/>
    <w:rsid w:val="00F66FBF"/>
    <w:rsid w:val="00F6719F"/>
    <w:rsid w:val="00F67466"/>
    <w:rsid w:val="00F6756E"/>
    <w:rsid w:val="00F679F6"/>
    <w:rsid w:val="00F67EB1"/>
    <w:rsid w:val="00F67EF2"/>
    <w:rsid w:val="00F70007"/>
    <w:rsid w:val="00F71074"/>
    <w:rsid w:val="00F717AA"/>
    <w:rsid w:val="00F727F9"/>
    <w:rsid w:val="00F72C7B"/>
    <w:rsid w:val="00F7439A"/>
    <w:rsid w:val="00F743C2"/>
    <w:rsid w:val="00F74672"/>
    <w:rsid w:val="00F74788"/>
    <w:rsid w:val="00F74DDA"/>
    <w:rsid w:val="00F74E36"/>
    <w:rsid w:val="00F7507D"/>
    <w:rsid w:val="00F753AB"/>
    <w:rsid w:val="00F75627"/>
    <w:rsid w:val="00F756F6"/>
    <w:rsid w:val="00F7578A"/>
    <w:rsid w:val="00F75DB2"/>
    <w:rsid w:val="00F75E07"/>
    <w:rsid w:val="00F771CF"/>
    <w:rsid w:val="00F772B4"/>
    <w:rsid w:val="00F773D4"/>
    <w:rsid w:val="00F77860"/>
    <w:rsid w:val="00F77E2B"/>
    <w:rsid w:val="00F8088D"/>
    <w:rsid w:val="00F808F5"/>
    <w:rsid w:val="00F81112"/>
    <w:rsid w:val="00F811E9"/>
    <w:rsid w:val="00F81CC2"/>
    <w:rsid w:val="00F820A9"/>
    <w:rsid w:val="00F82509"/>
    <w:rsid w:val="00F83154"/>
    <w:rsid w:val="00F832DD"/>
    <w:rsid w:val="00F83372"/>
    <w:rsid w:val="00F84252"/>
    <w:rsid w:val="00F844A3"/>
    <w:rsid w:val="00F8450E"/>
    <w:rsid w:val="00F84C01"/>
    <w:rsid w:val="00F84D3E"/>
    <w:rsid w:val="00F85096"/>
    <w:rsid w:val="00F859ED"/>
    <w:rsid w:val="00F85E6F"/>
    <w:rsid w:val="00F86731"/>
    <w:rsid w:val="00F867FE"/>
    <w:rsid w:val="00F86E17"/>
    <w:rsid w:val="00F870E0"/>
    <w:rsid w:val="00F8768A"/>
    <w:rsid w:val="00F87959"/>
    <w:rsid w:val="00F907F9"/>
    <w:rsid w:val="00F90AB5"/>
    <w:rsid w:val="00F90B4C"/>
    <w:rsid w:val="00F90D88"/>
    <w:rsid w:val="00F91144"/>
    <w:rsid w:val="00F916E2"/>
    <w:rsid w:val="00F91722"/>
    <w:rsid w:val="00F91802"/>
    <w:rsid w:val="00F91C55"/>
    <w:rsid w:val="00F91F9F"/>
    <w:rsid w:val="00F92123"/>
    <w:rsid w:val="00F924AB"/>
    <w:rsid w:val="00F92C4A"/>
    <w:rsid w:val="00F93029"/>
    <w:rsid w:val="00F93782"/>
    <w:rsid w:val="00F937AB"/>
    <w:rsid w:val="00F9432A"/>
    <w:rsid w:val="00F945E7"/>
    <w:rsid w:val="00F94D7C"/>
    <w:rsid w:val="00F950C2"/>
    <w:rsid w:val="00F9514F"/>
    <w:rsid w:val="00F95904"/>
    <w:rsid w:val="00F95F31"/>
    <w:rsid w:val="00F9626B"/>
    <w:rsid w:val="00F9628F"/>
    <w:rsid w:val="00F962A5"/>
    <w:rsid w:val="00F97061"/>
    <w:rsid w:val="00F973C2"/>
    <w:rsid w:val="00F973DC"/>
    <w:rsid w:val="00F9773B"/>
    <w:rsid w:val="00F978B7"/>
    <w:rsid w:val="00F97E81"/>
    <w:rsid w:val="00FA0E05"/>
    <w:rsid w:val="00FA0FA4"/>
    <w:rsid w:val="00FA10CA"/>
    <w:rsid w:val="00FA121B"/>
    <w:rsid w:val="00FA179F"/>
    <w:rsid w:val="00FA1967"/>
    <w:rsid w:val="00FA2878"/>
    <w:rsid w:val="00FA29C5"/>
    <w:rsid w:val="00FA34E7"/>
    <w:rsid w:val="00FA3766"/>
    <w:rsid w:val="00FA3EC2"/>
    <w:rsid w:val="00FA43A3"/>
    <w:rsid w:val="00FA4B67"/>
    <w:rsid w:val="00FA4CA8"/>
    <w:rsid w:val="00FA501A"/>
    <w:rsid w:val="00FA50CE"/>
    <w:rsid w:val="00FA51A5"/>
    <w:rsid w:val="00FA52C4"/>
    <w:rsid w:val="00FA550D"/>
    <w:rsid w:val="00FA5BBE"/>
    <w:rsid w:val="00FA5C15"/>
    <w:rsid w:val="00FA5ECF"/>
    <w:rsid w:val="00FA6478"/>
    <w:rsid w:val="00FA672A"/>
    <w:rsid w:val="00FA69D9"/>
    <w:rsid w:val="00FA6F95"/>
    <w:rsid w:val="00FA702D"/>
    <w:rsid w:val="00FA7717"/>
    <w:rsid w:val="00FB04E2"/>
    <w:rsid w:val="00FB0FEC"/>
    <w:rsid w:val="00FB10F2"/>
    <w:rsid w:val="00FB12CA"/>
    <w:rsid w:val="00FB142E"/>
    <w:rsid w:val="00FB1CD4"/>
    <w:rsid w:val="00FB2114"/>
    <w:rsid w:val="00FB2270"/>
    <w:rsid w:val="00FB2873"/>
    <w:rsid w:val="00FB294A"/>
    <w:rsid w:val="00FB294B"/>
    <w:rsid w:val="00FB319D"/>
    <w:rsid w:val="00FB33C9"/>
    <w:rsid w:val="00FB33F7"/>
    <w:rsid w:val="00FB34C4"/>
    <w:rsid w:val="00FB387F"/>
    <w:rsid w:val="00FB41FD"/>
    <w:rsid w:val="00FB4613"/>
    <w:rsid w:val="00FB49DC"/>
    <w:rsid w:val="00FB547A"/>
    <w:rsid w:val="00FB5CA9"/>
    <w:rsid w:val="00FB6459"/>
    <w:rsid w:val="00FB665E"/>
    <w:rsid w:val="00FB6AF2"/>
    <w:rsid w:val="00FB6B6D"/>
    <w:rsid w:val="00FB72C5"/>
    <w:rsid w:val="00FB7776"/>
    <w:rsid w:val="00FB7CD1"/>
    <w:rsid w:val="00FB7E9D"/>
    <w:rsid w:val="00FC0024"/>
    <w:rsid w:val="00FC06C5"/>
    <w:rsid w:val="00FC0DFF"/>
    <w:rsid w:val="00FC0FCF"/>
    <w:rsid w:val="00FC1534"/>
    <w:rsid w:val="00FC1535"/>
    <w:rsid w:val="00FC1914"/>
    <w:rsid w:val="00FC2682"/>
    <w:rsid w:val="00FC2C48"/>
    <w:rsid w:val="00FC3DC3"/>
    <w:rsid w:val="00FC40EE"/>
    <w:rsid w:val="00FC4178"/>
    <w:rsid w:val="00FC438F"/>
    <w:rsid w:val="00FC4B2A"/>
    <w:rsid w:val="00FC4BF2"/>
    <w:rsid w:val="00FC511F"/>
    <w:rsid w:val="00FC5537"/>
    <w:rsid w:val="00FC5BAC"/>
    <w:rsid w:val="00FC6263"/>
    <w:rsid w:val="00FC6B18"/>
    <w:rsid w:val="00FC6B73"/>
    <w:rsid w:val="00FC6FBD"/>
    <w:rsid w:val="00FC7013"/>
    <w:rsid w:val="00FC75B7"/>
    <w:rsid w:val="00FC7AE1"/>
    <w:rsid w:val="00FC7BA5"/>
    <w:rsid w:val="00FD01DA"/>
    <w:rsid w:val="00FD0AF6"/>
    <w:rsid w:val="00FD0D7F"/>
    <w:rsid w:val="00FD0F14"/>
    <w:rsid w:val="00FD135A"/>
    <w:rsid w:val="00FD16BA"/>
    <w:rsid w:val="00FD1BE5"/>
    <w:rsid w:val="00FD1C00"/>
    <w:rsid w:val="00FD20CB"/>
    <w:rsid w:val="00FD2B7D"/>
    <w:rsid w:val="00FD2C5B"/>
    <w:rsid w:val="00FD3D73"/>
    <w:rsid w:val="00FD3E0B"/>
    <w:rsid w:val="00FD45C3"/>
    <w:rsid w:val="00FD46BB"/>
    <w:rsid w:val="00FD4743"/>
    <w:rsid w:val="00FD4B4B"/>
    <w:rsid w:val="00FD5563"/>
    <w:rsid w:val="00FD56A0"/>
    <w:rsid w:val="00FD5F67"/>
    <w:rsid w:val="00FD6200"/>
    <w:rsid w:val="00FD694E"/>
    <w:rsid w:val="00FD7742"/>
    <w:rsid w:val="00FD79D4"/>
    <w:rsid w:val="00FD7C35"/>
    <w:rsid w:val="00FE01C8"/>
    <w:rsid w:val="00FE04E4"/>
    <w:rsid w:val="00FE098B"/>
    <w:rsid w:val="00FE17F6"/>
    <w:rsid w:val="00FE181F"/>
    <w:rsid w:val="00FE1A20"/>
    <w:rsid w:val="00FE1C71"/>
    <w:rsid w:val="00FE1CCC"/>
    <w:rsid w:val="00FE1E90"/>
    <w:rsid w:val="00FE1F27"/>
    <w:rsid w:val="00FE23D7"/>
    <w:rsid w:val="00FE2453"/>
    <w:rsid w:val="00FE2468"/>
    <w:rsid w:val="00FE2595"/>
    <w:rsid w:val="00FE26EC"/>
    <w:rsid w:val="00FE2D07"/>
    <w:rsid w:val="00FE2D94"/>
    <w:rsid w:val="00FE31C5"/>
    <w:rsid w:val="00FE388E"/>
    <w:rsid w:val="00FE3C8E"/>
    <w:rsid w:val="00FE3EE6"/>
    <w:rsid w:val="00FE488E"/>
    <w:rsid w:val="00FE4ECF"/>
    <w:rsid w:val="00FE62C4"/>
    <w:rsid w:val="00FE64F9"/>
    <w:rsid w:val="00FE661C"/>
    <w:rsid w:val="00FE6AED"/>
    <w:rsid w:val="00FE6EB1"/>
    <w:rsid w:val="00FE714E"/>
    <w:rsid w:val="00FE73F9"/>
    <w:rsid w:val="00FE7911"/>
    <w:rsid w:val="00FE7B8E"/>
    <w:rsid w:val="00FF0C20"/>
    <w:rsid w:val="00FF1057"/>
    <w:rsid w:val="00FF12C5"/>
    <w:rsid w:val="00FF17D4"/>
    <w:rsid w:val="00FF206B"/>
    <w:rsid w:val="00FF30A0"/>
    <w:rsid w:val="00FF38B7"/>
    <w:rsid w:val="00FF3D46"/>
    <w:rsid w:val="00FF3E11"/>
    <w:rsid w:val="00FF3E25"/>
    <w:rsid w:val="00FF3E35"/>
    <w:rsid w:val="00FF3F47"/>
    <w:rsid w:val="00FF41B2"/>
    <w:rsid w:val="00FF438B"/>
    <w:rsid w:val="00FF4443"/>
    <w:rsid w:val="00FF469F"/>
    <w:rsid w:val="00FF586D"/>
    <w:rsid w:val="00FF5BB0"/>
    <w:rsid w:val="00FF5ECC"/>
    <w:rsid w:val="00FF7494"/>
    <w:rsid w:val="00FF7686"/>
    <w:rsid w:val="00FF7691"/>
    <w:rsid w:val="00FF7D20"/>
    <w:rsid w:val="019891E1"/>
    <w:rsid w:val="019D63B3"/>
    <w:rsid w:val="01EA9DB6"/>
    <w:rsid w:val="0202C9F4"/>
    <w:rsid w:val="02292AE8"/>
    <w:rsid w:val="023138AD"/>
    <w:rsid w:val="024B2E99"/>
    <w:rsid w:val="027C4418"/>
    <w:rsid w:val="029C8FB2"/>
    <w:rsid w:val="02C4A62E"/>
    <w:rsid w:val="02E18A7B"/>
    <w:rsid w:val="030BF847"/>
    <w:rsid w:val="03188214"/>
    <w:rsid w:val="032648BD"/>
    <w:rsid w:val="035293E0"/>
    <w:rsid w:val="0358F64C"/>
    <w:rsid w:val="0383C6BD"/>
    <w:rsid w:val="039CCFE7"/>
    <w:rsid w:val="03EA1B34"/>
    <w:rsid w:val="04027B1D"/>
    <w:rsid w:val="041C083E"/>
    <w:rsid w:val="04682A71"/>
    <w:rsid w:val="04B387BF"/>
    <w:rsid w:val="04BD54E1"/>
    <w:rsid w:val="04D4F426"/>
    <w:rsid w:val="0503C764"/>
    <w:rsid w:val="0510B83F"/>
    <w:rsid w:val="052FA6F5"/>
    <w:rsid w:val="0549E1C9"/>
    <w:rsid w:val="055A1CA7"/>
    <w:rsid w:val="05871E03"/>
    <w:rsid w:val="058ED4DB"/>
    <w:rsid w:val="060F41FB"/>
    <w:rsid w:val="0663163D"/>
    <w:rsid w:val="068922F7"/>
    <w:rsid w:val="06D1B0AE"/>
    <w:rsid w:val="06E9C8EE"/>
    <w:rsid w:val="06F2999D"/>
    <w:rsid w:val="06F84E23"/>
    <w:rsid w:val="06F95100"/>
    <w:rsid w:val="071E88F2"/>
    <w:rsid w:val="073B905C"/>
    <w:rsid w:val="078EB589"/>
    <w:rsid w:val="07BAB174"/>
    <w:rsid w:val="07E92D3E"/>
    <w:rsid w:val="07E9C72E"/>
    <w:rsid w:val="080F8E1A"/>
    <w:rsid w:val="0821B533"/>
    <w:rsid w:val="082240C4"/>
    <w:rsid w:val="0829B27D"/>
    <w:rsid w:val="08A62A62"/>
    <w:rsid w:val="08D59D95"/>
    <w:rsid w:val="09536889"/>
    <w:rsid w:val="09F983EB"/>
    <w:rsid w:val="0A2904DB"/>
    <w:rsid w:val="0A2C2A07"/>
    <w:rsid w:val="0A32872E"/>
    <w:rsid w:val="0A930229"/>
    <w:rsid w:val="0A9669A4"/>
    <w:rsid w:val="0A96A557"/>
    <w:rsid w:val="0ACC7026"/>
    <w:rsid w:val="0B167223"/>
    <w:rsid w:val="0B7DB458"/>
    <w:rsid w:val="0BAF6983"/>
    <w:rsid w:val="0BE60687"/>
    <w:rsid w:val="0C4CC044"/>
    <w:rsid w:val="0CCBCC35"/>
    <w:rsid w:val="0D20829B"/>
    <w:rsid w:val="0D7BFB2E"/>
    <w:rsid w:val="0D80EE3A"/>
    <w:rsid w:val="0DC7161B"/>
    <w:rsid w:val="0DDA7516"/>
    <w:rsid w:val="0DF4AB15"/>
    <w:rsid w:val="0DF90EAF"/>
    <w:rsid w:val="0E91358B"/>
    <w:rsid w:val="0E9143FD"/>
    <w:rsid w:val="0EB2A641"/>
    <w:rsid w:val="0ECEAEF7"/>
    <w:rsid w:val="0F053C29"/>
    <w:rsid w:val="0F0FDBE4"/>
    <w:rsid w:val="0F9257C6"/>
    <w:rsid w:val="0FE51E7A"/>
    <w:rsid w:val="10160D5A"/>
    <w:rsid w:val="103A4755"/>
    <w:rsid w:val="104862F5"/>
    <w:rsid w:val="1052F5A7"/>
    <w:rsid w:val="1066B354"/>
    <w:rsid w:val="1078DC85"/>
    <w:rsid w:val="114CFC18"/>
    <w:rsid w:val="11741B35"/>
    <w:rsid w:val="1186DC51"/>
    <w:rsid w:val="1196CB18"/>
    <w:rsid w:val="11D6CD0D"/>
    <w:rsid w:val="127E2E16"/>
    <w:rsid w:val="12AF5DDD"/>
    <w:rsid w:val="1370DA46"/>
    <w:rsid w:val="13CAB537"/>
    <w:rsid w:val="13D3D696"/>
    <w:rsid w:val="13EA569B"/>
    <w:rsid w:val="13F8E692"/>
    <w:rsid w:val="1403E491"/>
    <w:rsid w:val="143FB295"/>
    <w:rsid w:val="14AF7FBF"/>
    <w:rsid w:val="14CA9A3D"/>
    <w:rsid w:val="154EC3E5"/>
    <w:rsid w:val="15876D93"/>
    <w:rsid w:val="158E75E9"/>
    <w:rsid w:val="15D0C4B1"/>
    <w:rsid w:val="1607AA80"/>
    <w:rsid w:val="16292E64"/>
    <w:rsid w:val="16432DF9"/>
    <w:rsid w:val="165F0B36"/>
    <w:rsid w:val="16938499"/>
    <w:rsid w:val="1695F8D1"/>
    <w:rsid w:val="169A52F3"/>
    <w:rsid w:val="17478E60"/>
    <w:rsid w:val="176B6907"/>
    <w:rsid w:val="1782CAA0"/>
    <w:rsid w:val="17ABCFEA"/>
    <w:rsid w:val="17B9DDAC"/>
    <w:rsid w:val="17D9CA70"/>
    <w:rsid w:val="183B4795"/>
    <w:rsid w:val="18810EA9"/>
    <w:rsid w:val="18E0BCBF"/>
    <w:rsid w:val="18E4ED4B"/>
    <w:rsid w:val="18EB842F"/>
    <w:rsid w:val="190CC452"/>
    <w:rsid w:val="194EDA98"/>
    <w:rsid w:val="198C00C0"/>
    <w:rsid w:val="198EFC3E"/>
    <w:rsid w:val="19BD37A1"/>
    <w:rsid w:val="1A682816"/>
    <w:rsid w:val="1AD82B20"/>
    <w:rsid w:val="1B056818"/>
    <w:rsid w:val="1B0DE7AB"/>
    <w:rsid w:val="1B2660EF"/>
    <w:rsid w:val="1B4D3D3C"/>
    <w:rsid w:val="1B8C93B7"/>
    <w:rsid w:val="1BB61D11"/>
    <w:rsid w:val="1BDD0193"/>
    <w:rsid w:val="1C1201CB"/>
    <w:rsid w:val="1C613912"/>
    <w:rsid w:val="1C80C592"/>
    <w:rsid w:val="1CAC0E72"/>
    <w:rsid w:val="1CB1CA5E"/>
    <w:rsid w:val="1CC0EA75"/>
    <w:rsid w:val="1CF83B3B"/>
    <w:rsid w:val="1CF9AFCE"/>
    <w:rsid w:val="1D964AB8"/>
    <w:rsid w:val="1D9FCBD5"/>
    <w:rsid w:val="1DAD1557"/>
    <w:rsid w:val="1DDB6C92"/>
    <w:rsid w:val="1DF0DD34"/>
    <w:rsid w:val="1E9ADAE9"/>
    <w:rsid w:val="1EA074B7"/>
    <w:rsid w:val="1ECF4C94"/>
    <w:rsid w:val="1F15BEF4"/>
    <w:rsid w:val="1F334807"/>
    <w:rsid w:val="1F359C13"/>
    <w:rsid w:val="1FA68756"/>
    <w:rsid w:val="2007BB7F"/>
    <w:rsid w:val="209DE71D"/>
    <w:rsid w:val="20B15F81"/>
    <w:rsid w:val="20EFFA7F"/>
    <w:rsid w:val="2162F861"/>
    <w:rsid w:val="21778028"/>
    <w:rsid w:val="219BA157"/>
    <w:rsid w:val="21C8BA6A"/>
    <w:rsid w:val="2212F25A"/>
    <w:rsid w:val="222EC67B"/>
    <w:rsid w:val="2256B97D"/>
    <w:rsid w:val="226DA115"/>
    <w:rsid w:val="22D3BB41"/>
    <w:rsid w:val="234D671C"/>
    <w:rsid w:val="237E5EE3"/>
    <w:rsid w:val="23CD3BA6"/>
    <w:rsid w:val="23E110BB"/>
    <w:rsid w:val="245AA4D8"/>
    <w:rsid w:val="247AEDF0"/>
    <w:rsid w:val="24BD73BB"/>
    <w:rsid w:val="24D5D6A4"/>
    <w:rsid w:val="24DBEA54"/>
    <w:rsid w:val="24EF79BA"/>
    <w:rsid w:val="24F68C65"/>
    <w:rsid w:val="250CE7E6"/>
    <w:rsid w:val="2545B2CC"/>
    <w:rsid w:val="2579BC4C"/>
    <w:rsid w:val="257B15CB"/>
    <w:rsid w:val="25E87E9B"/>
    <w:rsid w:val="25EEBDE6"/>
    <w:rsid w:val="26157532"/>
    <w:rsid w:val="263238E5"/>
    <w:rsid w:val="2634712D"/>
    <w:rsid w:val="2642B1A8"/>
    <w:rsid w:val="2674E26D"/>
    <w:rsid w:val="27032F7E"/>
    <w:rsid w:val="27895F57"/>
    <w:rsid w:val="27DA1C1B"/>
    <w:rsid w:val="280292DF"/>
    <w:rsid w:val="2844DCC0"/>
    <w:rsid w:val="295EBEF1"/>
    <w:rsid w:val="296E5CB2"/>
    <w:rsid w:val="29CBF3A2"/>
    <w:rsid w:val="29DF128C"/>
    <w:rsid w:val="29F04767"/>
    <w:rsid w:val="2A5C436F"/>
    <w:rsid w:val="2A6D75B0"/>
    <w:rsid w:val="2A6E4F81"/>
    <w:rsid w:val="2A8BC3FA"/>
    <w:rsid w:val="2A928961"/>
    <w:rsid w:val="2AB7FEFF"/>
    <w:rsid w:val="2ADA421F"/>
    <w:rsid w:val="2AFED186"/>
    <w:rsid w:val="2B15BCC6"/>
    <w:rsid w:val="2B603C84"/>
    <w:rsid w:val="2B9FAAA4"/>
    <w:rsid w:val="2C7ED6D0"/>
    <w:rsid w:val="2CBA7210"/>
    <w:rsid w:val="2D069678"/>
    <w:rsid w:val="2DD8C4BF"/>
    <w:rsid w:val="2DF3847D"/>
    <w:rsid w:val="2E2B1593"/>
    <w:rsid w:val="2EA19039"/>
    <w:rsid w:val="2F86C4FB"/>
    <w:rsid w:val="2F9A7D30"/>
    <w:rsid w:val="2F9BAF1D"/>
    <w:rsid w:val="2FD3B1FF"/>
    <w:rsid w:val="30336DBF"/>
    <w:rsid w:val="308769E6"/>
    <w:rsid w:val="30DEEF95"/>
    <w:rsid w:val="319402DB"/>
    <w:rsid w:val="31C0B9E8"/>
    <w:rsid w:val="31D8020B"/>
    <w:rsid w:val="31F03188"/>
    <w:rsid w:val="31FA5335"/>
    <w:rsid w:val="31FB3D19"/>
    <w:rsid w:val="322DB360"/>
    <w:rsid w:val="3242FBBB"/>
    <w:rsid w:val="32B19101"/>
    <w:rsid w:val="33316C2E"/>
    <w:rsid w:val="335DBA91"/>
    <w:rsid w:val="336C7F5B"/>
    <w:rsid w:val="337E544B"/>
    <w:rsid w:val="33A7C357"/>
    <w:rsid w:val="33C79026"/>
    <w:rsid w:val="33CC3C93"/>
    <w:rsid w:val="344A6D05"/>
    <w:rsid w:val="34BAFFB5"/>
    <w:rsid w:val="3511555A"/>
    <w:rsid w:val="3594BBF1"/>
    <w:rsid w:val="35DC6EDC"/>
    <w:rsid w:val="35E7A001"/>
    <w:rsid w:val="35F162FE"/>
    <w:rsid w:val="35F55217"/>
    <w:rsid w:val="3604AFD2"/>
    <w:rsid w:val="365CA8CC"/>
    <w:rsid w:val="368FB380"/>
    <w:rsid w:val="36B3C776"/>
    <w:rsid w:val="36E79BA2"/>
    <w:rsid w:val="374A21DC"/>
    <w:rsid w:val="375EFCF4"/>
    <w:rsid w:val="37814F3E"/>
    <w:rsid w:val="3785153B"/>
    <w:rsid w:val="37C03D74"/>
    <w:rsid w:val="37F8C81E"/>
    <w:rsid w:val="380FECDA"/>
    <w:rsid w:val="381C4FBA"/>
    <w:rsid w:val="38A23FE0"/>
    <w:rsid w:val="38D29530"/>
    <w:rsid w:val="391D7D6F"/>
    <w:rsid w:val="3922AA70"/>
    <w:rsid w:val="3927A29E"/>
    <w:rsid w:val="399F671B"/>
    <w:rsid w:val="39C01B6C"/>
    <w:rsid w:val="39CBDFE3"/>
    <w:rsid w:val="39D41C12"/>
    <w:rsid w:val="3A21F7E5"/>
    <w:rsid w:val="3A9A9D9F"/>
    <w:rsid w:val="3AD5064B"/>
    <w:rsid w:val="3B041F20"/>
    <w:rsid w:val="3B0B34C6"/>
    <w:rsid w:val="3B127677"/>
    <w:rsid w:val="3B44778A"/>
    <w:rsid w:val="3B4964CE"/>
    <w:rsid w:val="3B58F63F"/>
    <w:rsid w:val="3B984FF3"/>
    <w:rsid w:val="3BB1A6A8"/>
    <w:rsid w:val="3BFF1F3C"/>
    <w:rsid w:val="3C71D2A6"/>
    <w:rsid w:val="3CA3E324"/>
    <w:rsid w:val="3CBA6D11"/>
    <w:rsid w:val="3CDC6671"/>
    <w:rsid w:val="3D092F63"/>
    <w:rsid w:val="3D86E0D0"/>
    <w:rsid w:val="3DDAEE5E"/>
    <w:rsid w:val="3DF4590A"/>
    <w:rsid w:val="3DFF350C"/>
    <w:rsid w:val="3E1B6EAF"/>
    <w:rsid w:val="3E325BAE"/>
    <w:rsid w:val="3EA3868E"/>
    <w:rsid w:val="3EB9DA29"/>
    <w:rsid w:val="3EE84513"/>
    <w:rsid w:val="3EF2978B"/>
    <w:rsid w:val="3EF8BF5C"/>
    <w:rsid w:val="3F292728"/>
    <w:rsid w:val="3FAADF7E"/>
    <w:rsid w:val="40242BFF"/>
    <w:rsid w:val="404BF940"/>
    <w:rsid w:val="408893AD"/>
    <w:rsid w:val="40E860BF"/>
    <w:rsid w:val="41513972"/>
    <w:rsid w:val="41EA6D10"/>
    <w:rsid w:val="41EDC12E"/>
    <w:rsid w:val="421A92B6"/>
    <w:rsid w:val="423C3B3C"/>
    <w:rsid w:val="42A025FD"/>
    <w:rsid w:val="4309FB12"/>
    <w:rsid w:val="43624B34"/>
    <w:rsid w:val="43905923"/>
    <w:rsid w:val="44356AF5"/>
    <w:rsid w:val="446F89DE"/>
    <w:rsid w:val="4489E5EA"/>
    <w:rsid w:val="44ACE878"/>
    <w:rsid w:val="44C5B1C7"/>
    <w:rsid w:val="44D674C9"/>
    <w:rsid w:val="44D8E51F"/>
    <w:rsid w:val="459F5BD1"/>
    <w:rsid w:val="45C22D07"/>
    <w:rsid w:val="4655447E"/>
    <w:rsid w:val="4670BA6C"/>
    <w:rsid w:val="46774631"/>
    <w:rsid w:val="46AF9FBC"/>
    <w:rsid w:val="46F325FF"/>
    <w:rsid w:val="471B94F9"/>
    <w:rsid w:val="47755092"/>
    <w:rsid w:val="47864D34"/>
    <w:rsid w:val="482A77A5"/>
    <w:rsid w:val="4839125A"/>
    <w:rsid w:val="484F4085"/>
    <w:rsid w:val="4879E2DE"/>
    <w:rsid w:val="488FC509"/>
    <w:rsid w:val="48D7F453"/>
    <w:rsid w:val="48FB5B48"/>
    <w:rsid w:val="48FF995F"/>
    <w:rsid w:val="492B5007"/>
    <w:rsid w:val="4941850E"/>
    <w:rsid w:val="49427F2B"/>
    <w:rsid w:val="49560F19"/>
    <w:rsid w:val="4979562A"/>
    <w:rsid w:val="49A33427"/>
    <w:rsid w:val="49A403CC"/>
    <w:rsid w:val="49C5EE96"/>
    <w:rsid w:val="49ED5C72"/>
    <w:rsid w:val="4A185464"/>
    <w:rsid w:val="4A34C61E"/>
    <w:rsid w:val="4A53C834"/>
    <w:rsid w:val="4A5C0F51"/>
    <w:rsid w:val="4AB35913"/>
    <w:rsid w:val="4AE2E8EF"/>
    <w:rsid w:val="4B0AEF3E"/>
    <w:rsid w:val="4B226246"/>
    <w:rsid w:val="4B81A4EF"/>
    <w:rsid w:val="4BA08EC8"/>
    <w:rsid w:val="4C457AAB"/>
    <w:rsid w:val="4CF7C87E"/>
    <w:rsid w:val="4D2710D1"/>
    <w:rsid w:val="4DAA1E12"/>
    <w:rsid w:val="4E1E73BE"/>
    <w:rsid w:val="4E6F4195"/>
    <w:rsid w:val="4E714F15"/>
    <w:rsid w:val="4E94CC75"/>
    <w:rsid w:val="4EA3489F"/>
    <w:rsid w:val="4EB1BDCD"/>
    <w:rsid w:val="4F3059D1"/>
    <w:rsid w:val="4F547283"/>
    <w:rsid w:val="4F930BA9"/>
    <w:rsid w:val="4FA048B2"/>
    <w:rsid w:val="4FA84B72"/>
    <w:rsid w:val="4FE0C3C1"/>
    <w:rsid w:val="50170FD2"/>
    <w:rsid w:val="5080DFE8"/>
    <w:rsid w:val="509EC809"/>
    <w:rsid w:val="50F73350"/>
    <w:rsid w:val="51512CE5"/>
    <w:rsid w:val="51535387"/>
    <w:rsid w:val="51792DA9"/>
    <w:rsid w:val="51C0AB98"/>
    <w:rsid w:val="51D3617D"/>
    <w:rsid w:val="524ED70B"/>
    <w:rsid w:val="524F6182"/>
    <w:rsid w:val="5252D129"/>
    <w:rsid w:val="52C777EB"/>
    <w:rsid w:val="5322E202"/>
    <w:rsid w:val="5376E5BC"/>
    <w:rsid w:val="538FA489"/>
    <w:rsid w:val="540BE84E"/>
    <w:rsid w:val="541DE16B"/>
    <w:rsid w:val="54368AED"/>
    <w:rsid w:val="54567379"/>
    <w:rsid w:val="54796621"/>
    <w:rsid w:val="54DB6AF9"/>
    <w:rsid w:val="550D7CB9"/>
    <w:rsid w:val="55B966F8"/>
    <w:rsid w:val="55CCEDE7"/>
    <w:rsid w:val="55DABF30"/>
    <w:rsid w:val="564642AC"/>
    <w:rsid w:val="56479B86"/>
    <w:rsid w:val="5672406E"/>
    <w:rsid w:val="56A8C704"/>
    <w:rsid w:val="56BC39B3"/>
    <w:rsid w:val="56E8EC0A"/>
    <w:rsid w:val="570256FF"/>
    <w:rsid w:val="57462791"/>
    <w:rsid w:val="574EBF4B"/>
    <w:rsid w:val="5793F5F1"/>
    <w:rsid w:val="57F4B831"/>
    <w:rsid w:val="5803216D"/>
    <w:rsid w:val="58199657"/>
    <w:rsid w:val="58B3D99E"/>
    <w:rsid w:val="5923E5D5"/>
    <w:rsid w:val="59556420"/>
    <w:rsid w:val="59616085"/>
    <w:rsid w:val="597F0FC9"/>
    <w:rsid w:val="5982D990"/>
    <w:rsid w:val="59C916FD"/>
    <w:rsid w:val="59DFE976"/>
    <w:rsid w:val="5A78FEC3"/>
    <w:rsid w:val="5A7DA3A0"/>
    <w:rsid w:val="5ABD6B73"/>
    <w:rsid w:val="5B0EB4BB"/>
    <w:rsid w:val="5B38097F"/>
    <w:rsid w:val="5BA17BEF"/>
    <w:rsid w:val="5BD4D63F"/>
    <w:rsid w:val="5BF2EFF3"/>
    <w:rsid w:val="5C1A596F"/>
    <w:rsid w:val="5C21810C"/>
    <w:rsid w:val="5C3C6FD1"/>
    <w:rsid w:val="5CB75582"/>
    <w:rsid w:val="5D200FFA"/>
    <w:rsid w:val="5D281D61"/>
    <w:rsid w:val="5D71CFB4"/>
    <w:rsid w:val="5D77938E"/>
    <w:rsid w:val="5D90072E"/>
    <w:rsid w:val="5DA7253F"/>
    <w:rsid w:val="5DB3A2AD"/>
    <w:rsid w:val="5DBAB2BF"/>
    <w:rsid w:val="5DC5F92F"/>
    <w:rsid w:val="5E2A05F2"/>
    <w:rsid w:val="5E3E0128"/>
    <w:rsid w:val="5E4E05C6"/>
    <w:rsid w:val="5EB409B8"/>
    <w:rsid w:val="5EDDC0E1"/>
    <w:rsid w:val="5EE0C046"/>
    <w:rsid w:val="5F271731"/>
    <w:rsid w:val="5F65299B"/>
    <w:rsid w:val="5F819FF2"/>
    <w:rsid w:val="5FC9B77B"/>
    <w:rsid w:val="607C1429"/>
    <w:rsid w:val="608A67E6"/>
    <w:rsid w:val="609088D7"/>
    <w:rsid w:val="60A09A9E"/>
    <w:rsid w:val="60AE1AF1"/>
    <w:rsid w:val="60B940B3"/>
    <w:rsid w:val="60C36221"/>
    <w:rsid w:val="60EB609E"/>
    <w:rsid w:val="60FAEC5D"/>
    <w:rsid w:val="611EBA11"/>
    <w:rsid w:val="61B511EF"/>
    <w:rsid w:val="61C69523"/>
    <w:rsid w:val="62613812"/>
    <w:rsid w:val="626FE750"/>
    <w:rsid w:val="6286DFC9"/>
    <w:rsid w:val="628DD035"/>
    <w:rsid w:val="62F6DB5D"/>
    <w:rsid w:val="62F909EF"/>
    <w:rsid w:val="638AFFD9"/>
    <w:rsid w:val="63EE9345"/>
    <w:rsid w:val="64019CB7"/>
    <w:rsid w:val="6422190E"/>
    <w:rsid w:val="647B3D2F"/>
    <w:rsid w:val="647B535A"/>
    <w:rsid w:val="649BFA0A"/>
    <w:rsid w:val="65151214"/>
    <w:rsid w:val="651EC507"/>
    <w:rsid w:val="6574F710"/>
    <w:rsid w:val="6577E96B"/>
    <w:rsid w:val="65A84DE2"/>
    <w:rsid w:val="65AB74B4"/>
    <w:rsid w:val="65AEEEF6"/>
    <w:rsid w:val="65C5D656"/>
    <w:rsid w:val="65DFC0E7"/>
    <w:rsid w:val="660013BC"/>
    <w:rsid w:val="662CABBE"/>
    <w:rsid w:val="66B563C0"/>
    <w:rsid w:val="67002548"/>
    <w:rsid w:val="6704AFE0"/>
    <w:rsid w:val="6744808C"/>
    <w:rsid w:val="67ACC3C9"/>
    <w:rsid w:val="67BBD430"/>
    <w:rsid w:val="67E75D06"/>
    <w:rsid w:val="68D5A39A"/>
    <w:rsid w:val="68E614C7"/>
    <w:rsid w:val="68F45DC9"/>
    <w:rsid w:val="6988955F"/>
    <w:rsid w:val="69B43F3E"/>
    <w:rsid w:val="69B78DC3"/>
    <w:rsid w:val="69E82D2C"/>
    <w:rsid w:val="6A0FC2E5"/>
    <w:rsid w:val="6A1E9C34"/>
    <w:rsid w:val="6A2320CC"/>
    <w:rsid w:val="6AA16718"/>
    <w:rsid w:val="6B52C2D2"/>
    <w:rsid w:val="6B8A0ABF"/>
    <w:rsid w:val="6BDF29DE"/>
    <w:rsid w:val="6C1C0335"/>
    <w:rsid w:val="6C35D568"/>
    <w:rsid w:val="6C731DA5"/>
    <w:rsid w:val="6CD33F84"/>
    <w:rsid w:val="6CFC0F64"/>
    <w:rsid w:val="6D185709"/>
    <w:rsid w:val="6D2C8C64"/>
    <w:rsid w:val="6D4D85C6"/>
    <w:rsid w:val="6D5C4A3C"/>
    <w:rsid w:val="6D742A54"/>
    <w:rsid w:val="6DD128CB"/>
    <w:rsid w:val="6E09004D"/>
    <w:rsid w:val="6E339759"/>
    <w:rsid w:val="6E473010"/>
    <w:rsid w:val="6E6ECA3F"/>
    <w:rsid w:val="6E746063"/>
    <w:rsid w:val="6E9C9F46"/>
    <w:rsid w:val="6EB2FB96"/>
    <w:rsid w:val="6EC134B0"/>
    <w:rsid w:val="6ED950FC"/>
    <w:rsid w:val="6F65010E"/>
    <w:rsid w:val="6F66F466"/>
    <w:rsid w:val="6F6CB89C"/>
    <w:rsid w:val="6F70D262"/>
    <w:rsid w:val="6F7683FF"/>
    <w:rsid w:val="6FB99473"/>
    <w:rsid w:val="6FBE2570"/>
    <w:rsid w:val="6FCAD730"/>
    <w:rsid w:val="6FF773E5"/>
    <w:rsid w:val="7042B31B"/>
    <w:rsid w:val="707B9B41"/>
    <w:rsid w:val="70B9FBC1"/>
    <w:rsid w:val="70ED173A"/>
    <w:rsid w:val="71934446"/>
    <w:rsid w:val="71AE1BE0"/>
    <w:rsid w:val="71B9E8D4"/>
    <w:rsid w:val="71CB5348"/>
    <w:rsid w:val="71FCADDD"/>
    <w:rsid w:val="72433863"/>
    <w:rsid w:val="72CE7907"/>
    <w:rsid w:val="734049A2"/>
    <w:rsid w:val="734D6982"/>
    <w:rsid w:val="738E07D9"/>
    <w:rsid w:val="73A16383"/>
    <w:rsid w:val="73E2441B"/>
    <w:rsid w:val="7431389F"/>
    <w:rsid w:val="744C1259"/>
    <w:rsid w:val="746C8FC9"/>
    <w:rsid w:val="7512C19F"/>
    <w:rsid w:val="751644BB"/>
    <w:rsid w:val="75341F27"/>
    <w:rsid w:val="75A15BAC"/>
    <w:rsid w:val="75A65AFA"/>
    <w:rsid w:val="75EAA287"/>
    <w:rsid w:val="76538063"/>
    <w:rsid w:val="767CDD37"/>
    <w:rsid w:val="76A2C1A2"/>
    <w:rsid w:val="76A5E405"/>
    <w:rsid w:val="77083136"/>
    <w:rsid w:val="770DF2B2"/>
    <w:rsid w:val="777E2414"/>
    <w:rsid w:val="7782842B"/>
    <w:rsid w:val="77E1081E"/>
    <w:rsid w:val="7823D3FE"/>
    <w:rsid w:val="78845072"/>
    <w:rsid w:val="78932D69"/>
    <w:rsid w:val="78A4D1A3"/>
    <w:rsid w:val="78B5B284"/>
    <w:rsid w:val="78D38D2C"/>
    <w:rsid w:val="78E5D3B6"/>
    <w:rsid w:val="78F024BE"/>
    <w:rsid w:val="7906B36F"/>
    <w:rsid w:val="79202238"/>
    <w:rsid w:val="792D80FA"/>
    <w:rsid w:val="7937673A"/>
    <w:rsid w:val="7941F76B"/>
    <w:rsid w:val="79A4A943"/>
    <w:rsid w:val="7A740AA1"/>
    <w:rsid w:val="7A97C052"/>
    <w:rsid w:val="7AA285EB"/>
    <w:rsid w:val="7B0D2200"/>
    <w:rsid w:val="7B3A0E60"/>
    <w:rsid w:val="7B8FCE2C"/>
    <w:rsid w:val="7BC24A84"/>
    <w:rsid w:val="7BF00075"/>
    <w:rsid w:val="7BF36F2D"/>
    <w:rsid w:val="7C9D37E2"/>
    <w:rsid w:val="7D3D382F"/>
    <w:rsid w:val="7D724AB8"/>
    <w:rsid w:val="7D7FA95E"/>
    <w:rsid w:val="7ED31486"/>
    <w:rsid w:val="7ED48717"/>
    <w:rsid w:val="7EDBA9C3"/>
    <w:rsid w:val="7F09315D"/>
    <w:rsid w:val="7F15265E"/>
    <w:rsid w:val="7F3CE958"/>
    <w:rsid w:val="7F7C54BE"/>
    <w:rsid w:val="7F9D5A97"/>
    <w:rsid w:val="7FE786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5C3B6"/>
  <w15:docId w15:val="{B4BC4F08-0AB1-4347-98CF-C91283FF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E6"/>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3"/>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4"/>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4"/>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4"/>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locked/>
    <w:rsid w:val="006570BE"/>
    <w:rPr>
      <w:sz w:val="24"/>
    </w:rPr>
  </w:style>
  <w:style w:type="paragraph" w:styleId="ListParagraph">
    <w:name w:val="List Paragraph"/>
    <w:basedOn w:val="Normal"/>
    <w:uiPriority w:val="34"/>
    <w:qFormat/>
    <w:rsid w:val="00B8666D"/>
    <w:pPr>
      <w:ind w:left="720"/>
      <w:contextualSpacing/>
    </w:pPr>
  </w:style>
  <w:style w:type="paragraph" w:customStyle="1" w:styleId="Definition">
    <w:name w:val="Definition"/>
    <w:aliases w:val="dd"/>
    <w:basedOn w:val="Normal"/>
    <w:rsid w:val="00B8666D"/>
    <w:pPr>
      <w:spacing w:before="180" w:after="0"/>
      <w:ind w:left="1134"/>
    </w:pPr>
    <w:rPr>
      <w:sz w:val="22"/>
    </w:rPr>
  </w:style>
  <w:style w:type="character" w:customStyle="1" w:styleId="ItemChar">
    <w:name w:val="Item Char"/>
    <w:aliases w:val="i Char"/>
    <w:basedOn w:val="DefaultParagraphFont"/>
    <w:link w:val="Item"/>
    <w:locked/>
    <w:rsid w:val="00B8666D"/>
    <w:rPr>
      <w:sz w:val="22"/>
    </w:rPr>
  </w:style>
  <w:style w:type="paragraph" w:customStyle="1" w:styleId="ItemHead">
    <w:name w:val="ItemHead"/>
    <w:aliases w:val="ih"/>
    <w:basedOn w:val="Normal"/>
    <w:next w:val="Item"/>
    <w:link w:val="ItemHeadChar"/>
    <w:rsid w:val="00B8666D"/>
    <w:pPr>
      <w:keepNext/>
      <w:keepLines/>
      <w:spacing w:before="220" w:after="0"/>
      <w:ind w:left="709" w:hanging="709"/>
    </w:pPr>
    <w:rPr>
      <w:rFonts w:ascii="Arial" w:hAnsi="Arial"/>
      <w:b/>
      <w:kern w:val="28"/>
    </w:rPr>
  </w:style>
  <w:style w:type="paragraph" w:customStyle="1" w:styleId="Item">
    <w:name w:val="Item"/>
    <w:aliases w:val="i"/>
    <w:basedOn w:val="Normal"/>
    <w:next w:val="ItemHead"/>
    <w:link w:val="ItemChar"/>
    <w:rsid w:val="00B8666D"/>
    <w:pPr>
      <w:keepLines/>
      <w:spacing w:before="80" w:after="0"/>
      <w:ind w:left="709"/>
    </w:pPr>
    <w:rPr>
      <w:sz w:val="22"/>
    </w:rPr>
  </w:style>
  <w:style w:type="character" w:customStyle="1" w:styleId="ItemHeadChar">
    <w:name w:val="ItemHead Char"/>
    <w:aliases w:val="ih Char"/>
    <w:basedOn w:val="DefaultParagraphFont"/>
    <w:link w:val="ItemHead"/>
    <w:locked/>
    <w:rsid w:val="00B8666D"/>
    <w:rPr>
      <w:rFonts w:ascii="Arial" w:hAnsi="Arial"/>
      <w:b/>
      <w:kern w:val="28"/>
      <w:sz w:val="24"/>
    </w:rPr>
  </w:style>
  <w:style w:type="paragraph" w:customStyle="1" w:styleId="paragraph">
    <w:name w:val="paragraph"/>
    <w:aliases w:val="a"/>
    <w:basedOn w:val="Normal"/>
    <w:rsid w:val="00B8666D"/>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B8666D"/>
    <w:rPr>
      <w:sz w:val="22"/>
    </w:rPr>
  </w:style>
  <w:style w:type="paragraph" w:customStyle="1" w:styleId="subsection">
    <w:name w:val="subsection"/>
    <w:aliases w:val="ss,Subsection"/>
    <w:basedOn w:val="Normal"/>
    <w:link w:val="subsectionChar"/>
    <w:rsid w:val="00B8666D"/>
    <w:pPr>
      <w:tabs>
        <w:tab w:val="right" w:pos="1021"/>
      </w:tabs>
      <w:spacing w:before="180" w:after="0"/>
      <w:ind w:left="1134" w:hanging="1134"/>
    </w:pPr>
    <w:rPr>
      <w:sz w:val="22"/>
    </w:rPr>
  </w:style>
  <w:style w:type="paragraph" w:customStyle="1" w:styleId="SubsectionHead">
    <w:name w:val="SubsectionHead"/>
    <w:aliases w:val="ssh"/>
    <w:basedOn w:val="Normal"/>
    <w:next w:val="subsection"/>
    <w:rsid w:val="00B8666D"/>
    <w:pPr>
      <w:keepNext/>
      <w:keepLines/>
      <w:spacing w:before="240" w:after="0"/>
      <w:ind w:left="1134"/>
    </w:pPr>
    <w:rPr>
      <w:i/>
      <w:sz w:val="22"/>
    </w:rPr>
  </w:style>
  <w:style w:type="character" w:customStyle="1" w:styleId="ActHead5Char">
    <w:name w:val="ActHead 5 Char"/>
    <w:aliases w:val="s Char"/>
    <w:link w:val="ActHead5"/>
    <w:locked/>
    <w:rsid w:val="00B8666D"/>
    <w:rPr>
      <w:b/>
      <w:kern w:val="28"/>
      <w:sz w:val="24"/>
    </w:rPr>
  </w:style>
  <w:style w:type="paragraph" w:customStyle="1" w:styleId="ActHead5">
    <w:name w:val="ActHead 5"/>
    <w:aliases w:val="s"/>
    <w:basedOn w:val="Normal"/>
    <w:next w:val="subsection"/>
    <w:link w:val="ActHead5Char"/>
    <w:qFormat/>
    <w:rsid w:val="00B8666D"/>
    <w:pPr>
      <w:keepNext/>
      <w:keepLines/>
      <w:spacing w:before="280" w:after="0"/>
      <w:ind w:left="1134" w:hanging="1134"/>
      <w:outlineLvl w:val="4"/>
    </w:pPr>
    <w:rPr>
      <w:b/>
      <w:kern w:val="28"/>
    </w:rPr>
  </w:style>
  <w:style w:type="paragraph" w:customStyle="1" w:styleId="notedraft">
    <w:name w:val="note(draft)"/>
    <w:aliases w:val="nd"/>
    <w:basedOn w:val="Normal"/>
    <w:rsid w:val="00B8666D"/>
    <w:pPr>
      <w:spacing w:before="240" w:after="0"/>
      <w:ind w:left="284" w:hanging="284"/>
    </w:pPr>
    <w:rPr>
      <w:i/>
    </w:rPr>
  </w:style>
  <w:style w:type="paragraph" w:customStyle="1" w:styleId="noteToPara">
    <w:name w:val="noteToPara"/>
    <w:aliases w:val="ntp"/>
    <w:basedOn w:val="Normal"/>
    <w:rsid w:val="00B8666D"/>
    <w:pPr>
      <w:spacing w:before="122" w:after="0" w:line="198" w:lineRule="exact"/>
      <w:ind w:left="2353" w:hanging="709"/>
    </w:pPr>
    <w:rPr>
      <w:sz w:val="18"/>
    </w:rPr>
  </w:style>
  <w:style w:type="paragraph" w:customStyle="1" w:styleId="paragraphsub">
    <w:name w:val="paragraph(sub)"/>
    <w:aliases w:val="aa"/>
    <w:basedOn w:val="Normal"/>
    <w:rsid w:val="00B8666D"/>
    <w:pPr>
      <w:tabs>
        <w:tab w:val="right" w:pos="1985"/>
      </w:tabs>
      <w:spacing w:before="40" w:after="0"/>
      <w:ind w:left="2098" w:hanging="2098"/>
    </w:pPr>
    <w:rPr>
      <w:sz w:val="22"/>
    </w:rPr>
  </w:style>
  <w:style w:type="paragraph" w:customStyle="1" w:styleId="subsection2">
    <w:name w:val="subsection2"/>
    <w:aliases w:val="ss2"/>
    <w:basedOn w:val="Normal"/>
    <w:next w:val="subsection"/>
    <w:rsid w:val="00B8666D"/>
    <w:pPr>
      <w:spacing w:before="40" w:after="0"/>
      <w:ind w:left="1134"/>
    </w:pPr>
    <w:rPr>
      <w:sz w:val="22"/>
    </w:rPr>
  </w:style>
  <w:style w:type="paragraph" w:customStyle="1" w:styleId="ActHead1">
    <w:name w:val="ActHead 1"/>
    <w:aliases w:val="c"/>
    <w:basedOn w:val="Normal"/>
    <w:next w:val="Normal"/>
    <w:qFormat/>
    <w:rsid w:val="00B8666D"/>
    <w:pPr>
      <w:keepNext/>
      <w:keepLines/>
      <w:spacing w:before="0" w:after="0"/>
      <w:ind w:left="1134" w:hanging="1134"/>
      <w:outlineLvl w:val="0"/>
    </w:pPr>
    <w:rPr>
      <w:b/>
      <w:kern w:val="28"/>
      <w:sz w:val="36"/>
    </w:rPr>
  </w:style>
  <w:style w:type="paragraph" w:customStyle="1" w:styleId="ActHead3">
    <w:name w:val="ActHead 3"/>
    <w:aliases w:val="d"/>
    <w:basedOn w:val="Normal"/>
    <w:next w:val="Normal"/>
    <w:qFormat/>
    <w:rsid w:val="00B8666D"/>
    <w:pPr>
      <w:keepNext/>
      <w:keepLines/>
      <w:spacing w:before="240" w:after="0"/>
      <w:ind w:left="1134" w:hanging="1134"/>
      <w:outlineLvl w:val="2"/>
    </w:pPr>
    <w:rPr>
      <w:b/>
      <w:kern w:val="28"/>
      <w:sz w:val="28"/>
    </w:rPr>
  </w:style>
  <w:style w:type="paragraph" w:customStyle="1" w:styleId="notemargin">
    <w:name w:val="note(margin)"/>
    <w:aliases w:val="nm"/>
    <w:basedOn w:val="Normal"/>
    <w:rsid w:val="00B8666D"/>
    <w:pPr>
      <w:tabs>
        <w:tab w:val="left" w:pos="709"/>
      </w:tabs>
      <w:spacing w:before="122" w:after="0" w:line="198" w:lineRule="exact"/>
      <w:ind w:left="709" w:hanging="709"/>
    </w:pPr>
    <w:rPr>
      <w:sz w:val="18"/>
    </w:rPr>
  </w:style>
  <w:style w:type="paragraph" w:customStyle="1" w:styleId="Tabletext">
    <w:name w:val="Tabletext"/>
    <w:aliases w:val="tt"/>
    <w:basedOn w:val="Normal"/>
    <w:rsid w:val="00B8666D"/>
    <w:pPr>
      <w:spacing w:before="60" w:after="0" w:line="240" w:lineRule="atLeast"/>
    </w:pPr>
    <w:rPr>
      <w:sz w:val="20"/>
    </w:rPr>
  </w:style>
  <w:style w:type="character" w:customStyle="1" w:styleId="notetextChar">
    <w:name w:val="note(text) Char"/>
    <w:aliases w:val="n Char"/>
    <w:basedOn w:val="DefaultParagraphFont"/>
    <w:link w:val="notetext"/>
    <w:locked/>
    <w:rsid w:val="00B8666D"/>
    <w:rPr>
      <w:sz w:val="18"/>
    </w:rPr>
  </w:style>
  <w:style w:type="paragraph" w:customStyle="1" w:styleId="notetext">
    <w:name w:val="note(text)"/>
    <w:aliases w:val="n"/>
    <w:basedOn w:val="Normal"/>
    <w:link w:val="notetextChar"/>
    <w:rsid w:val="00B8666D"/>
    <w:pPr>
      <w:spacing w:before="122" w:after="0"/>
      <w:ind w:left="1985" w:hanging="851"/>
    </w:pPr>
    <w:rPr>
      <w:sz w:val="18"/>
    </w:rPr>
  </w:style>
  <w:style w:type="character" w:customStyle="1" w:styleId="CharChapNo">
    <w:name w:val="CharChapNo"/>
    <w:basedOn w:val="DefaultParagraphFont"/>
    <w:uiPriority w:val="1"/>
    <w:qFormat/>
    <w:rsid w:val="00B8666D"/>
  </w:style>
  <w:style w:type="character" w:customStyle="1" w:styleId="CharChapText">
    <w:name w:val="CharChapText"/>
    <w:basedOn w:val="DefaultParagraphFont"/>
    <w:uiPriority w:val="1"/>
    <w:qFormat/>
    <w:rsid w:val="00B8666D"/>
  </w:style>
  <w:style w:type="character" w:customStyle="1" w:styleId="CharDivNo">
    <w:name w:val="CharDivNo"/>
    <w:basedOn w:val="DefaultParagraphFont"/>
    <w:uiPriority w:val="1"/>
    <w:qFormat/>
    <w:rsid w:val="00B8666D"/>
  </w:style>
  <w:style w:type="character" w:customStyle="1" w:styleId="CharDivText">
    <w:name w:val="CharDivText"/>
    <w:basedOn w:val="DefaultParagraphFont"/>
    <w:uiPriority w:val="1"/>
    <w:qFormat/>
    <w:rsid w:val="00B8666D"/>
  </w:style>
  <w:style w:type="character" w:customStyle="1" w:styleId="CharSectno">
    <w:name w:val="CharSectno"/>
    <w:basedOn w:val="DefaultParagraphFont"/>
    <w:qFormat/>
    <w:rsid w:val="00B8666D"/>
  </w:style>
  <w:style w:type="paragraph" w:styleId="Revision">
    <w:name w:val="Revision"/>
    <w:hidden/>
    <w:uiPriority w:val="99"/>
    <w:semiHidden/>
    <w:rsid w:val="00E32E21"/>
    <w:rPr>
      <w:sz w:val="24"/>
    </w:rPr>
  </w:style>
  <w:style w:type="character" w:styleId="UnresolvedMention">
    <w:name w:val="Unresolved Mention"/>
    <w:basedOn w:val="DefaultParagraphFont"/>
    <w:uiPriority w:val="99"/>
    <w:unhideWhenUsed/>
    <w:rsid w:val="00F31080"/>
    <w:rPr>
      <w:color w:val="605E5C"/>
      <w:shd w:val="clear" w:color="auto" w:fill="E1DFDD"/>
    </w:rPr>
  </w:style>
  <w:style w:type="character" w:styleId="Mention">
    <w:name w:val="Mention"/>
    <w:basedOn w:val="DefaultParagraphFont"/>
    <w:uiPriority w:val="99"/>
    <w:unhideWhenUsed/>
    <w:rsid w:val="00F31080"/>
    <w:rPr>
      <w:color w:val="2B579A"/>
      <w:shd w:val="clear" w:color="auto" w:fill="E1DFDD"/>
    </w:rPr>
  </w:style>
  <w:style w:type="character" w:customStyle="1" w:styleId="normaltextrun">
    <w:name w:val="normaltextrun"/>
    <w:basedOn w:val="DefaultParagraphFont"/>
    <w:rsid w:val="00AF4EFD"/>
  </w:style>
  <w:style w:type="character" w:customStyle="1" w:styleId="eop">
    <w:name w:val="eop"/>
    <w:basedOn w:val="DefaultParagraphFont"/>
    <w:rsid w:val="00A028BD"/>
  </w:style>
  <w:style w:type="paragraph" w:customStyle="1" w:styleId="OutlineNumbered1">
    <w:name w:val="Outline Numbered 1"/>
    <w:basedOn w:val="Normal"/>
    <w:link w:val="OutlineNumbered1Char"/>
    <w:rsid w:val="008D0929"/>
    <w:pPr>
      <w:numPr>
        <w:numId w:val="12"/>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8D0929"/>
    <w:rPr>
      <w:rFonts w:ascii="Book Antiqua" w:hAnsi="Book Antiqua"/>
      <w:sz w:val="22"/>
      <w:szCs w:val="24"/>
    </w:rPr>
  </w:style>
  <w:style w:type="paragraph" w:customStyle="1" w:styleId="OutlineNumbered2">
    <w:name w:val="Outline Numbered 2"/>
    <w:basedOn w:val="Normal"/>
    <w:rsid w:val="008D0929"/>
    <w:pPr>
      <w:numPr>
        <w:ilvl w:val="1"/>
        <w:numId w:val="12"/>
      </w:numPr>
      <w:spacing w:before="0" w:after="240"/>
    </w:pPr>
    <w:rPr>
      <w:rFonts w:ascii="Book Antiqua" w:hAnsi="Book Antiqua"/>
      <w:sz w:val="22"/>
      <w:szCs w:val="24"/>
    </w:rPr>
  </w:style>
  <w:style w:type="paragraph" w:customStyle="1" w:styleId="OutlineNumbered3">
    <w:name w:val="Outline Numbered 3"/>
    <w:basedOn w:val="Normal"/>
    <w:rsid w:val="008D0929"/>
    <w:pPr>
      <w:numPr>
        <w:ilvl w:val="2"/>
        <w:numId w:val="12"/>
      </w:numPr>
      <w:spacing w:before="0" w:after="240"/>
    </w:pPr>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8226">
      <w:bodyDiv w:val="1"/>
      <w:marLeft w:val="0"/>
      <w:marRight w:val="0"/>
      <w:marTop w:val="0"/>
      <w:marBottom w:val="0"/>
      <w:divBdr>
        <w:top w:val="none" w:sz="0" w:space="0" w:color="auto"/>
        <w:left w:val="none" w:sz="0" w:space="0" w:color="auto"/>
        <w:bottom w:val="none" w:sz="0" w:space="0" w:color="auto"/>
        <w:right w:val="none" w:sz="0" w:space="0" w:color="auto"/>
      </w:divBdr>
    </w:div>
    <w:div w:id="125322814">
      <w:bodyDiv w:val="1"/>
      <w:marLeft w:val="0"/>
      <w:marRight w:val="0"/>
      <w:marTop w:val="0"/>
      <w:marBottom w:val="0"/>
      <w:divBdr>
        <w:top w:val="none" w:sz="0" w:space="0" w:color="auto"/>
        <w:left w:val="none" w:sz="0" w:space="0" w:color="auto"/>
        <w:bottom w:val="none" w:sz="0" w:space="0" w:color="auto"/>
        <w:right w:val="none" w:sz="0" w:space="0" w:color="auto"/>
      </w:divBdr>
    </w:div>
    <w:div w:id="263462786">
      <w:bodyDiv w:val="1"/>
      <w:marLeft w:val="0"/>
      <w:marRight w:val="0"/>
      <w:marTop w:val="0"/>
      <w:marBottom w:val="0"/>
      <w:divBdr>
        <w:top w:val="none" w:sz="0" w:space="0" w:color="auto"/>
        <w:left w:val="none" w:sz="0" w:space="0" w:color="auto"/>
        <w:bottom w:val="none" w:sz="0" w:space="0" w:color="auto"/>
        <w:right w:val="none" w:sz="0" w:space="0" w:color="auto"/>
      </w:divBdr>
    </w:div>
    <w:div w:id="356345824">
      <w:bodyDiv w:val="1"/>
      <w:marLeft w:val="0"/>
      <w:marRight w:val="0"/>
      <w:marTop w:val="0"/>
      <w:marBottom w:val="0"/>
      <w:divBdr>
        <w:top w:val="none" w:sz="0" w:space="0" w:color="auto"/>
        <w:left w:val="none" w:sz="0" w:space="0" w:color="auto"/>
        <w:bottom w:val="none" w:sz="0" w:space="0" w:color="auto"/>
        <w:right w:val="none" w:sz="0" w:space="0" w:color="auto"/>
      </w:divBdr>
    </w:div>
    <w:div w:id="378826376">
      <w:bodyDiv w:val="1"/>
      <w:marLeft w:val="0"/>
      <w:marRight w:val="0"/>
      <w:marTop w:val="0"/>
      <w:marBottom w:val="0"/>
      <w:divBdr>
        <w:top w:val="none" w:sz="0" w:space="0" w:color="auto"/>
        <w:left w:val="none" w:sz="0" w:space="0" w:color="auto"/>
        <w:bottom w:val="none" w:sz="0" w:space="0" w:color="auto"/>
        <w:right w:val="none" w:sz="0" w:space="0" w:color="auto"/>
      </w:divBdr>
    </w:div>
    <w:div w:id="379138839">
      <w:bodyDiv w:val="1"/>
      <w:marLeft w:val="0"/>
      <w:marRight w:val="0"/>
      <w:marTop w:val="0"/>
      <w:marBottom w:val="0"/>
      <w:divBdr>
        <w:top w:val="none" w:sz="0" w:space="0" w:color="auto"/>
        <w:left w:val="none" w:sz="0" w:space="0" w:color="auto"/>
        <w:bottom w:val="none" w:sz="0" w:space="0" w:color="auto"/>
        <w:right w:val="none" w:sz="0" w:space="0" w:color="auto"/>
      </w:divBdr>
    </w:div>
    <w:div w:id="528565489">
      <w:bodyDiv w:val="1"/>
      <w:marLeft w:val="0"/>
      <w:marRight w:val="0"/>
      <w:marTop w:val="0"/>
      <w:marBottom w:val="0"/>
      <w:divBdr>
        <w:top w:val="none" w:sz="0" w:space="0" w:color="auto"/>
        <w:left w:val="none" w:sz="0" w:space="0" w:color="auto"/>
        <w:bottom w:val="none" w:sz="0" w:space="0" w:color="auto"/>
        <w:right w:val="none" w:sz="0" w:space="0" w:color="auto"/>
      </w:divBdr>
    </w:div>
    <w:div w:id="746339157">
      <w:bodyDiv w:val="1"/>
      <w:marLeft w:val="0"/>
      <w:marRight w:val="0"/>
      <w:marTop w:val="0"/>
      <w:marBottom w:val="0"/>
      <w:divBdr>
        <w:top w:val="none" w:sz="0" w:space="0" w:color="auto"/>
        <w:left w:val="none" w:sz="0" w:space="0" w:color="auto"/>
        <w:bottom w:val="none" w:sz="0" w:space="0" w:color="auto"/>
        <w:right w:val="none" w:sz="0" w:space="0" w:color="auto"/>
      </w:divBdr>
    </w:div>
    <w:div w:id="789663926">
      <w:bodyDiv w:val="1"/>
      <w:marLeft w:val="0"/>
      <w:marRight w:val="0"/>
      <w:marTop w:val="0"/>
      <w:marBottom w:val="0"/>
      <w:divBdr>
        <w:top w:val="none" w:sz="0" w:space="0" w:color="auto"/>
        <w:left w:val="none" w:sz="0" w:space="0" w:color="auto"/>
        <w:bottom w:val="none" w:sz="0" w:space="0" w:color="auto"/>
        <w:right w:val="none" w:sz="0" w:space="0" w:color="auto"/>
      </w:divBdr>
    </w:div>
    <w:div w:id="861359733">
      <w:bodyDiv w:val="1"/>
      <w:marLeft w:val="0"/>
      <w:marRight w:val="0"/>
      <w:marTop w:val="0"/>
      <w:marBottom w:val="0"/>
      <w:divBdr>
        <w:top w:val="none" w:sz="0" w:space="0" w:color="auto"/>
        <w:left w:val="none" w:sz="0" w:space="0" w:color="auto"/>
        <w:bottom w:val="none" w:sz="0" w:space="0" w:color="auto"/>
        <w:right w:val="none" w:sz="0" w:space="0" w:color="auto"/>
      </w:divBdr>
    </w:div>
    <w:div w:id="989017276">
      <w:bodyDiv w:val="1"/>
      <w:marLeft w:val="0"/>
      <w:marRight w:val="0"/>
      <w:marTop w:val="0"/>
      <w:marBottom w:val="0"/>
      <w:divBdr>
        <w:top w:val="none" w:sz="0" w:space="0" w:color="auto"/>
        <w:left w:val="none" w:sz="0" w:space="0" w:color="auto"/>
        <w:bottom w:val="none" w:sz="0" w:space="0" w:color="auto"/>
        <w:right w:val="none" w:sz="0" w:space="0" w:color="auto"/>
      </w:divBdr>
    </w:div>
    <w:div w:id="1046485266">
      <w:bodyDiv w:val="1"/>
      <w:marLeft w:val="0"/>
      <w:marRight w:val="0"/>
      <w:marTop w:val="0"/>
      <w:marBottom w:val="0"/>
      <w:divBdr>
        <w:top w:val="none" w:sz="0" w:space="0" w:color="auto"/>
        <w:left w:val="none" w:sz="0" w:space="0" w:color="auto"/>
        <w:bottom w:val="none" w:sz="0" w:space="0" w:color="auto"/>
        <w:right w:val="none" w:sz="0" w:space="0" w:color="auto"/>
      </w:divBdr>
    </w:div>
    <w:div w:id="1083573826">
      <w:bodyDiv w:val="1"/>
      <w:marLeft w:val="0"/>
      <w:marRight w:val="0"/>
      <w:marTop w:val="0"/>
      <w:marBottom w:val="0"/>
      <w:divBdr>
        <w:top w:val="none" w:sz="0" w:space="0" w:color="auto"/>
        <w:left w:val="none" w:sz="0" w:space="0" w:color="auto"/>
        <w:bottom w:val="none" w:sz="0" w:space="0" w:color="auto"/>
        <w:right w:val="none" w:sz="0" w:space="0" w:color="auto"/>
      </w:divBdr>
    </w:div>
    <w:div w:id="1231188871">
      <w:bodyDiv w:val="1"/>
      <w:marLeft w:val="0"/>
      <w:marRight w:val="0"/>
      <w:marTop w:val="0"/>
      <w:marBottom w:val="0"/>
      <w:divBdr>
        <w:top w:val="none" w:sz="0" w:space="0" w:color="auto"/>
        <w:left w:val="none" w:sz="0" w:space="0" w:color="auto"/>
        <w:bottom w:val="none" w:sz="0" w:space="0" w:color="auto"/>
        <w:right w:val="none" w:sz="0" w:space="0" w:color="auto"/>
      </w:divBdr>
    </w:div>
    <w:div w:id="1300919070">
      <w:bodyDiv w:val="1"/>
      <w:marLeft w:val="0"/>
      <w:marRight w:val="0"/>
      <w:marTop w:val="0"/>
      <w:marBottom w:val="0"/>
      <w:divBdr>
        <w:top w:val="none" w:sz="0" w:space="0" w:color="auto"/>
        <w:left w:val="none" w:sz="0" w:space="0" w:color="auto"/>
        <w:bottom w:val="none" w:sz="0" w:space="0" w:color="auto"/>
        <w:right w:val="none" w:sz="0" w:space="0" w:color="auto"/>
      </w:divBdr>
    </w:div>
    <w:div w:id="1518037801">
      <w:bodyDiv w:val="1"/>
      <w:marLeft w:val="0"/>
      <w:marRight w:val="0"/>
      <w:marTop w:val="0"/>
      <w:marBottom w:val="0"/>
      <w:divBdr>
        <w:top w:val="none" w:sz="0" w:space="0" w:color="auto"/>
        <w:left w:val="none" w:sz="0" w:space="0" w:color="auto"/>
        <w:bottom w:val="none" w:sz="0" w:space="0" w:color="auto"/>
        <w:right w:val="none" w:sz="0" w:space="0" w:color="auto"/>
      </w:divBdr>
    </w:div>
    <w:div w:id="1763524522">
      <w:bodyDiv w:val="1"/>
      <w:marLeft w:val="0"/>
      <w:marRight w:val="0"/>
      <w:marTop w:val="0"/>
      <w:marBottom w:val="0"/>
      <w:divBdr>
        <w:top w:val="none" w:sz="0" w:space="0" w:color="auto"/>
        <w:left w:val="none" w:sz="0" w:space="0" w:color="auto"/>
        <w:bottom w:val="none" w:sz="0" w:space="0" w:color="auto"/>
        <w:right w:val="none" w:sz="0" w:space="0" w:color="auto"/>
      </w:divBdr>
    </w:div>
    <w:div w:id="181352164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37131367">
      <w:bodyDiv w:val="1"/>
      <w:marLeft w:val="0"/>
      <w:marRight w:val="0"/>
      <w:marTop w:val="0"/>
      <w:marBottom w:val="0"/>
      <w:divBdr>
        <w:top w:val="none" w:sz="0" w:space="0" w:color="auto"/>
        <w:left w:val="none" w:sz="0" w:space="0" w:color="auto"/>
        <w:bottom w:val="none" w:sz="0" w:space="0" w:color="auto"/>
        <w:right w:val="none" w:sz="0" w:space="0" w:color="auto"/>
      </w:divBdr>
    </w:div>
    <w:div w:id="1993169057">
      <w:bodyDiv w:val="1"/>
      <w:marLeft w:val="0"/>
      <w:marRight w:val="0"/>
      <w:marTop w:val="0"/>
      <w:marBottom w:val="0"/>
      <w:divBdr>
        <w:top w:val="none" w:sz="0" w:space="0" w:color="auto"/>
        <w:left w:val="none" w:sz="0" w:space="0" w:color="auto"/>
        <w:bottom w:val="none" w:sz="0" w:space="0" w:color="auto"/>
        <w:right w:val="none" w:sz="0" w:space="0" w:color="auto"/>
      </w:divBdr>
    </w:div>
    <w:div w:id="20705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97AB4E8C84232A6546298BCBD22A0"/>
        <w:category>
          <w:name w:val="General"/>
          <w:gallery w:val="placeholder"/>
        </w:category>
        <w:types>
          <w:type w:val="bbPlcHdr"/>
        </w:types>
        <w:behaviors>
          <w:behavior w:val="content"/>
        </w:behaviors>
        <w:guid w:val="{315E87A5-5D56-4078-88AA-64D939724A56}"/>
      </w:docPartPr>
      <w:docPartBody>
        <w:p w:rsidR="00645D31" w:rsidRDefault="0014694A">
          <w:pPr>
            <w:pStyle w:val="95E97AB4E8C84232A6546298BCBD22A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4A"/>
    <w:rsid w:val="00005B3D"/>
    <w:rsid w:val="000119FA"/>
    <w:rsid w:val="00016480"/>
    <w:rsid w:val="000237AF"/>
    <w:rsid w:val="000466DC"/>
    <w:rsid w:val="00051B65"/>
    <w:rsid w:val="000D1541"/>
    <w:rsid w:val="00100B5D"/>
    <w:rsid w:val="001443C5"/>
    <w:rsid w:val="0014694A"/>
    <w:rsid w:val="001A62F5"/>
    <w:rsid w:val="001F6731"/>
    <w:rsid w:val="00203345"/>
    <w:rsid w:val="0021047A"/>
    <w:rsid w:val="00221F1D"/>
    <w:rsid w:val="002325AD"/>
    <w:rsid w:val="00240706"/>
    <w:rsid w:val="00251F08"/>
    <w:rsid w:val="002552B4"/>
    <w:rsid w:val="002607B8"/>
    <w:rsid w:val="0027605C"/>
    <w:rsid w:val="00285DA6"/>
    <w:rsid w:val="002946C8"/>
    <w:rsid w:val="002C7F08"/>
    <w:rsid w:val="002E2A88"/>
    <w:rsid w:val="00312F57"/>
    <w:rsid w:val="00331ECB"/>
    <w:rsid w:val="003343ED"/>
    <w:rsid w:val="00346954"/>
    <w:rsid w:val="00350AE5"/>
    <w:rsid w:val="00383C78"/>
    <w:rsid w:val="003B64BE"/>
    <w:rsid w:val="003C36A0"/>
    <w:rsid w:val="003F6176"/>
    <w:rsid w:val="00420BD6"/>
    <w:rsid w:val="0043276C"/>
    <w:rsid w:val="00451BEE"/>
    <w:rsid w:val="00487377"/>
    <w:rsid w:val="004A5F09"/>
    <w:rsid w:val="004B67C5"/>
    <w:rsid w:val="004F7D0A"/>
    <w:rsid w:val="0050266F"/>
    <w:rsid w:val="00503E34"/>
    <w:rsid w:val="00511A48"/>
    <w:rsid w:val="00535F1D"/>
    <w:rsid w:val="00562B8D"/>
    <w:rsid w:val="00575413"/>
    <w:rsid w:val="00596932"/>
    <w:rsid w:val="005C04D6"/>
    <w:rsid w:val="005C49F4"/>
    <w:rsid w:val="005E097B"/>
    <w:rsid w:val="005E3125"/>
    <w:rsid w:val="005E7F4C"/>
    <w:rsid w:val="005F1D34"/>
    <w:rsid w:val="00601643"/>
    <w:rsid w:val="006227B5"/>
    <w:rsid w:val="00645D31"/>
    <w:rsid w:val="00651BA8"/>
    <w:rsid w:val="00674D8D"/>
    <w:rsid w:val="00681E1A"/>
    <w:rsid w:val="00697ADA"/>
    <w:rsid w:val="006E4618"/>
    <w:rsid w:val="006F1AF9"/>
    <w:rsid w:val="00700557"/>
    <w:rsid w:val="00750CC0"/>
    <w:rsid w:val="0075669C"/>
    <w:rsid w:val="00757658"/>
    <w:rsid w:val="00781BA5"/>
    <w:rsid w:val="007879FF"/>
    <w:rsid w:val="007B5F60"/>
    <w:rsid w:val="00802A44"/>
    <w:rsid w:val="00804F45"/>
    <w:rsid w:val="0082314A"/>
    <w:rsid w:val="00831DD4"/>
    <w:rsid w:val="00841A5C"/>
    <w:rsid w:val="00860EDA"/>
    <w:rsid w:val="00862212"/>
    <w:rsid w:val="00884590"/>
    <w:rsid w:val="008B1E8F"/>
    <w:rsid w:val="008E6CDB"/>
    <w:rsid w:val="009044E2"/>
    <w:rsid w:val="009056CD"/>
    <w:rsid w:val="00923FE4"/>
    <w:rsid w:val="00926440"/>
    <w:rsid w:val="009352F8"/>
    <w:rsid w:val="009A48D1"/>
    <w:rsid w:val="00A32938"/>
    <w:rsid w:val="00A44465"/>
    <w:rsid w:val="00A51075"/>
    <w:rsid w:val="00A677F4"/>
    <w:rsid w:val="00A75174"/>
    <w:rsid w:val="00AC293D"/>
    <w:rsid w:val="00AF4E75"/>
    <w:rsid w:val="00B12174"/>
    <w:rsid w:val="00B15667"/>
    <w:rsid w:val="00B15B87"/>
    <w:rsid w:val="00B3310F"/>
    <w:rsid w:val="00B361BE"/>
    <w:rsid w:val="00B43249"/>
    <w:rsid w:val="00B777F0"/>
    <w:rsid w:val="00B82D29"/>
    <w:rsid w:val="00BA4620"/>
    <w:rsid w:val="00BB29FE"/>
    <w:rsid w:val="00BD29D2"/>
    <w:rsid w:val="00BE44E8"/>
    <w:rsid w:val="00C04CAB"/>
    <w:rsid w:val="00C074CC"/>
    <w:rsid w:val="00C1583B"/>
    <w:rsid w:val="00C32F7A"/>
    <w:rsid w:val="00C345EB"/>
    <w:rsid w:val="00C47EEF"/>
    <w:rsid w:val="00CB77F0"/>
    <w:rsid w:val="00CC511C"/>
    <w:rsid w:val="00CE08C4"/>
    <w:rsid w:val="00D070B0"/>
    <w:rsid w:val="00D23166"/>
    <w:rsid w:val="00D343FD"/>
    <w:rsid w:val="00D508A5"/>
    <w:rsid w:val="00D87913"/>
    <w:rsid w:val="00DC08AD"/>
    <w:rsid w:val="00DD6E7C"/>
    <w:rsid w:val="00E02CBE"/>
    <w:rsid w:val="00E042D4"/>
    <w:rsid w:val="00E0654A"/>
    <w:rsid w:val="00E15DB9"/>
    <w:rsid w:val="00E17775"/>
    <w:rsid w:val="00E23296"/>
    <w:rsid w:val="00E5231B"/>
    <w:rsid w:val="00E55843"/>
    <w:rsid w:val="00E64596"/>
    <w:rsid w:val="00E66E39"/>
    <w:rsid w:val="00EA5D8A"/>
    <w:rsid w:val="00EB7C3F"/>
    <w:rsid w:val="00EC1A43"/>
    <w:rsid w:val="00ED3433"/>
    <w:rsid w:val="00F019CA"/>
    <w:rsid w:val="00F2365E"/>
    <w:rsid w:val="00F40970"/>
    <w:rsid w:val="00F44C65"/>
    <w:rsid w:val="00F605B8"/>
    <w:rsid w:val="00F8378A"/>
    <w:rsid w:val="00F952BC"/>
    <w:rsid w:val="00FD4AD8"/>
    <w:rsid w:val="00FE40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D34"/>
    <w:rPr>
      <w:color w:val="808080"/>
    </w:rPr>
  </w:style>
  <w:style w:type="paragraph" w:customStyle="1" w:styleId="95E97AB4E8C84232A6546298BCBD22A0">
    <w:name w:val="95E97AB4E8C84232A6546298BCBD2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81</Value>
      <Value>36</Value>
      <Value>1</Value>
      <Value>35</Value>
    </TaxCatchAll>
    <_dlc_DocId xmlns="fe39d773-a83d-4623-ae74-f25711a76616">S574FYTY5PW6-349572302-516</_dlc_DocId>
    <_dlc_DocIdUrl xmlns="fe39d773-a83d-4623-ae74-f25711a76616">
      <Url>https://austreasury.sharepoint.com/sites/leg-cord-function/_layouts/15/DocIdRedir.aspx?ID=S574FYTY5PW6-349572302-516</Url>
      <Description>S574FYTY5PW6-349572302-516</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7" ma:contentTypeDescription="Create a new document." ma:contentTypeScope="" ma:versionID="a6a26a950b9f036b64762f60d091909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e7e6f7c0848fe5d5c2a76a468d694e8b"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http://www.w3.org/XML/1998/namespace"/>
    <ds:schemaRef ds:uri="http://purl.org/dc/elements/1.1/"/>
    <ds:schemaRef ds:uri="9a91be02-49fe-4568-a0ce-30550d2c0542"/>
    <ds:schemaRef ds:uri="42f4cb5a-261c-4c59-b165-7132460581a3"/>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fe39d773-a83d-4623-ae74-f25711a76616"/>
    <ds:schemaRef ds:uri="ff38c824-6e29-4496-8487-69f397e7ed29"/>
    <ds:schemaRef ds:uri="http://purl.org/dc/terms/"/>
  </ds:schemaRefs>
</ds:datastoreItem>
</file>

<file path=customXml/itemProps2.xml><?xml version="1.0" encoding="utf-8"?>
<ds:datastoreItem xmlns:ds="http://schemas.openxmlformats.org/officeDocument/2006/customXml" ds:itemID="{9B8C2E1F-9734-4048-9545-8D4B7F4605C4}">
  <ds:schemaRefs>
    <ds:schemaRef ds:uri="http://schemas.microsoft.com/sharepoint/event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68B4CA97-C48A-4FEA-9558-65C0E2E21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18</Pages>
  <Words>7378</Words>
  <Characters>40690</Characters>
  <Application>Microsoft Office Word</Application>
  <DocSecurity>0</DocSecurity>
  <Lines>339</Lines>
  <Paragraphs>95</Paragraphs>
  <ScaleCrop>false</ScaleCrop>
  <Company>Treasury</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Chiu, Jenny</dc:creator>
  <cp:keywords/>
  <cp:lastModifiedBy>Cowie, Vhairi</cp:lastModifiedBy>
  <cp:revision>5</cp:revision>
  <cp:lastPrinted>2023-04-14T11:36:00Z</cp:lastPrinted>
  <dcterms:created xsi:type="dcterms:W3CDTF">2023-07-12T00:21:00Z</dcterms:created>
  <dcterms:modified xsi:type="dcterms:W3CDTF">2023-08-03T05:26:00Z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fdf06511-235c-421e-81bf-bf5436825ee9</vt:lpwstr>
  </property>
  <property fmtid="{D5CDD505-2E9C-101B-9397-08002B2CF9AE}" pid="6" name="TSYTopic">
    <vt:lpwstr/>
  </property>
  <property fmtid="{D5CDD505-2E9C-101B-9397-08002B2CF9AE}" pid="7" name="eActivity">
    <vt:lpwstr>35;#Legislation management|cb630f2f-9155-496b-ad0f-d960eb1bf90c</vt:lpwstr>
  </property>
  <property fmtid="{D5CDD505-2E9C-101B-9397-08002B2CF9AE}" pid="8" name="k8424359e03846678cc4a99dd97e9705">
    <vt:lpwstr>Treasury Enterprise Terms|69519368-d55f-4403-adc0-7b3d464d5501</vt:lpwstr>
  </property>
  <property fmtid="{D5CDD505-2E9C-101B-9397-08002B2CF9AE}" pid="9" name="eTopic">
    <vt:lpwstr>36;#Legislation Coordination|58c6712e-e847-48f4-81ab-b25e2bbd3986</vt:lpwstr>
  </property>
  <property fmtid="{D5CDD505-2E9C-101B-9397-08002B2CF9AE}" pid="10" name="eTheme">
    <vt:lpwstr>1;#Law Design|318dd2d2-18da-4b8e-a458-14db2c1af95f</vt:lpwstr>
  </property>
  <property fmtid="{D5CDD505-2E9C-101B-9397-08002B2CF9AE}" pid="11" name="TSYStatus">
    <vt:lpwstr/>
  </property>
  <property fmtid="{D5CDD505-2E9C-101B-9397-08002B2CF9AE}" pid="12" name="eDocumentType">
    <vt:lpwstr>81;#Explanatory Materials|ac61e78e-992e-40fd-ae93-2c9522960b05</vt:lpwstr>
  </property>
  <property fmtid="{D5CDD505-2E9C-101B-9397-08002B2CF9AE}" pid="13" name="LMDivision">
    <vt:lpwstr>3;#Treasury Enterprise Terms|69519368-d55f-4403-adc0-7b3d464d5501</vt:lpwstr>
  </property>
  <property fmtid="{D5CDD505-2E9C-101B-9397-08002B2CF9AE}" pid="14" name="SharedWithUsers">
    <vt:lpwstr>683;#Hassan, Roger;#533;#Peppercorn, Nicholas;#177;#Munsie, Laura</vt:lpwstr>
  </property>
  <property fmtid="{D5CDD505-2E9C-101B-9397-08002B2CF9AE}" pid="15" name="Theme">
    <vt:lpwstr>1;#Law Design|318dd2d2-18da-4b8e-a458-14db2c1af95f</vt:lpwstr>
  </property>
  <property fmtid="{D5CDD505-2E9C-101B-9397-08002B2CF9AE}" pid="16" name="Order">
    <vt:r8>50500</vt:r8>
  </property>
  <property fmtid="{D5CDD505-2E9C-101B-9397-08002B2CF9AE}" pid="17" name="EmailAttachments">
    <vt:bool>false</vt:bool>
  </property>
</Properties>
</file>