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8F923" w14:textId="77777777" w:rsidR="0048364F" w:rsidRPr="003D5D4C" w:rsidRDefault="00193461" w:rsidP="0020300C">
      <w:pPr>
        <w:rPr>
          <w:sz w:val="28"/>
        </w:rPr>
      </w:pPr>
      <w:r w:rsidRPr="003D5D4C">
        <w:rPr>
          <w:noProof/>
          <w:lang w:eastAsia="en-AU"/>
        </w:rPr>
        <w:drawing>
          <wp:inline distT="0" distB="0" distL="0" distR="0" wp14:anchorId="40893757" wp14:editId="6B1CE42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F1AA54D" w14:textId="77777777" w:rsidR="0048364F" w:rsidRPr="003D5D4C" w:rsidRDefault="0048364F" w:rsidP="0048364F">
      <w:pPr>
        <w:rPr>
          <w:sz w:val="19"/>
        </w:rPr>
      </w:pPr>
    </w:p>
    <w:p w14:paraId="3C448943" w14:textId="77777777" w:rsidR="0048364F" w:rsidRPr="003D5D4C" w:rsidRDefault="00D64F46" w:rsidP="0048364F">
      <w:pPr>
        <w:pStyle w:val="ShortT"/>
      </w:pPr>
      <w:r w:rsidRPr="003D5D4C">
        <w:t xml:space="preserve">Superannuation Industry (Supervision) Amendment (Your Future, Your Super—Addressing Underperformance in Superannuation) </w:t>
      </w:r>
      <w:r w:rsidR="00A70ACD" w:rsidRPr="003D5D4C">
        <w:t>Regulations 2</w:t>
      </w:r>
      <w:r w:rsidRPr="003D5D4C">
        <w:t>023</w:t>
      </w:r>
    </w:p>
    <w:p w14:paraId="2C52A6C8" w14:textId="77777777" w:rsidR="00D64F46" w:rsidRPr="003D5D4C" w:rsidRDefault="00D64F46" w:rsidP="00B14A5F">
      <w:pPr>
        <w:pStyle w:val="SignCoverPageStart"/>
        <w:spacing w:before="240"/>
        <w:rPr>
          <w:szCs w:val="22"/>
        </w:rPr>
      </w:pPr>
      <w:r w:rsidRPr="003D5D4C">
        <w:rPr>
          <w:szCs w:val="22"/>
        </w:rPr>
        <w:t>I, General the Honourable David Hurley AC DSC (Retd), Governor</w:t>
      </w:r>
      <w:r w:rsidR="00A70ACD" w:rsidRPr="003D5D4C">
        <w:rPr>
          <w:szCs w:val="22"/>
        </w:rPr>
        <w:noBreakHyphen/>
      </w:r>
      <w:r w:rsidRPr="003D5D4C">
        <w:rPr>
          <w:szCs w:val="22"/>
        </w:rPr>
        <w:t>General of the Commonwealth of Australia, acting with the advice of the Federal Executive Council, make the following regulations.</w:t>
      </w:r>
    </w:p>
    <w:p w14:paraId="79D51F85" w14:textId="3CA96E9C" w:rsidR="00D64F46" w:rsidRPr="003D5D4C" w:rsidRDefault="00D64F46" w:rsidP="00B14A5F">
      <w:pPr>
        <w:keepNext/>
        <w:spacing w:before="720" w:line="240" w:lineRule="atLeast"/>
        <w:ind w:right="397"/>
        <w:jc w:val="both"/>
        <w:rPr>
          <w:szCs w:val="22"/>
        </w:rPr>
      </w:pPr>
      <w:r w:rsidRPr="003D5D4C">
        <w:rPr>
          <w:szCs w:val="22"/>
        </w:rPr>
        <w:t xml:space="preserve">Dated </w:t>
      </w:r>
      <w:r w:rsidRPr="003D5D4C">
        <w:rPr>
          <w:szCs w:val="22"/>
        </w:rPr>
        <w:tab/>
      </w:r>
      <w:r w:rsidRPr="003D5D4C">
        <w:rPr>
          <w:szCs w:val="22"/>
        </w:rPr>
        <w:tab/>
      </w:r>
      <w:r w:rsidR="00D32DC2" w:rsidRPr="003D5D4C">
        <w:rPr>
          <w:szCs w:val="22"/>
        </w:rPr>
        <w:t xml:space="preserve">3 August </w:t>
      </w:r>
      <w:r w:rsidRPr="003D5D4C">
        <w:rPr>
          <w:szCs w:val="22"/>
        </w:rPr>
        <w:fldChar w:fldCharType="begin"/>
      </w:r>
      <w:r w:rsidRPr="003D5D4C">
        <w:rPr>
          <w:szCs w:val="22"/>
        </w:rPr>
        <w:instrText xml:space="preserve"> DOCPROPERTY  DateMade </w:instrText>
      </w:r>
      <w:r w:rsidRPr="003D5D4C">
        <w:rPr>
          <w:szCs w:val="22"/>
        </w:rPr>
        <w:fldChar w:fldCharType="separate"/>
      </w:r>
      <w:r w:rsidR="00571D7B" w:rsidRPr="003D5D4C">
        <w:rPr>
          <w:szCs w:val="22"/>
        </w:rPr>
        <w:t>2023</w:t>
      </w:r>
      <w:r w:rsidRPr="003D5D4C">
        <w:rPr>
          <w:szCs w:val="22"/>
        </w:rPr>
        <w:fldChar w:fldCharType="end"/>
      </w:r>
    </w:p>
    <w:p w14:paraId="00271B7E" w14:textId="77777777" w:rsidR="00D64F46" w:rsidRPr="003D5D4C" w:rsidRDefault="00D64F46" w:rsidP="00B14A5F">
      <w:pPr>
        <w:keepNext/>
        <w:tabs>
          <w:tab w:val="left" w:pos="3402"/>
        </w:tabs>
        <w:spacing w:before="1080" w:line="300" w:lineRule="atLeast"/>
        <w:ind w:left="397" w:right="397"/>
        <w:jc w:val="right"/>
        <w:rPr>
          <w:szCs w:val="22"/>
        </w:rPr>
      </w:pPr>
      <w:r w:rsidRPr="003D5D4C">
        <w:rPr>
          <w:szCs w:val="22"/>
        </w:rPr>
        <w:t>David Hurley</w:t>
      </w:r>
    </w:p>
    <w:p w14:paraId="77567315" w14:textId="77777777" w:rsidR="00D64F46" w:rsidRPr="003D5D4C" w:rsidRDefault="00D64F46" w:rsidP="00B14A5F">
      <w:pPr>
        <w:keepNext/>
        <w:tabs>
          <w:tab w:val="left" w:pos="3402"/>
        </w:tabs>
        <w:spacing w:line="300" w:lineRule="atLeast"/>
        <w:ind w:left="397" w:right="397"/>
        <w:jc w:val="right"/>
        <w:rPr>
          <w:szCs w:val="22"/>
        </w:rPr>
      </w:pPr>
      <w:r w:rsidRPr="003D5D4C">
        <w:rPr>
          <w:szCs w:val="22"/>
        </w:rPr>
        <w:t>Governor</w:t>
      </w:r>
      <w:r w:rsidR="00A70ACD" w:rsidRPr="003D5D4C">
        <w:rPr>
          <w:szCs w:val="22"/>
        </w:rPr>
        <w:noBreakHyphen/>
      </w:r>
      <w:r w:rsidRPr="003D5D4C">
        <w:rPr>
          <w:szCs w:val="22"/>
        </w:rPr>
        <w:t>General</w:t>
      </w:r>
    </w:p>
    <w:p w14:paraId="4A89E351" w14:textId="77777777" w:rsidR="00D64F46" w:rsidRPr="003D5D4C" w:rsidRDefault="00D64F46" w:rsidP="00B14A5F">
      <w:pPr>
        <w:keepNext/>
        <w:tabs>
          <w:tab w:val="left" w:pos="3402"/>
        </w:tabs>
        <w:spacing w:before="840" w:after="1080" w:line="300" w:lineRule="atLeast"/>
        <w:ind w:right="397"/>
        <w:rPr>
          <w:szCs w:val="22"/>
        </w:rPr>
      </w:pPr>
      <w:r w:rsidRPr="003D5D4C">
        <w:rPr>
          <w:szCs w:val="22"/>
        </w:rPr>
        <w:t>By His Excellency</w:t>
      </w:r>
      <w:r w:rsidR="001376B0" w:rsidRPr="003D5D4C">
        <w:rPr>
          <w:szCs w:val="22"/>
        </w:rPr>
        <w:t>’</w:t>
      </w:r>
      <w:r w:rsidRPr="003D5D4C">
        <w:rPr>
          <w:szCs w:val="22"/>
        </w:rPr>
        <w:t>s Command</w:t>
      </w:r>
    </w:p>
    <w:p w14:paraId="26E277DD" w14:textId="77777777" w:rsidR="00D64F46" w:rsidRPr="003D5D4C" w:rsidRDefault="00D64F46" w:rsidP="00B14A5F">
      <w:pPr>
        <w:keepNext/>
        <w:tabs>
          <w:tab w:val="left" w:pos="3402"/>
        </w:tabs>
        <w:spacing w:before="480" w:line="300" w:lineRule="atLeast"/>
        <w:ind w:right="397"/>
        <w:rPr>
          <w:szCs w:val="22"/>
        </w:rPr>
      </w:pPr>
      <w:r w:rsidRPr="003D5D4C">
        <w:rPr>
          <w:szCs w:val="22"/>
        </w:rPr>
        <w:t>Stephen Jones</w:t>
      </w:r>
    </w:p>
    <w:p w14:paraId="591D202B" w14:textId="77777777" w:rsidR="00D64F46" w:rsidRPr="003D5D4C" w:rsidRDefault="00D64F46" w:rsidP="00B14A5F">
      <w:pPr>
        <w:pStyle w:val="SignCoverPageEnd"/>
        <w:rPr>
          <w:szCs w:val="22"/>
        </w:rPr>
      </w:pPr>
      <w:r w:rsidRPr="003D5D4C">
        <w:rPr>
          <w:szCs w:val="22"/>
        </w:rPr>
        <w:t>Assistant Treasurer</w:t>
      </w:r>
      <w:r w:rsidRPr="003D5D4C">
        <w:rPr>
          <w:szCs w:val="22"/>
        </w:rPr>
        <w:br/>
        <w:t>Minister for Financial Services</w:t>
      </w:r>
    </w:p>
    <w:p w14:paraId="4D67E504" w14:textId="77777777" w:rsidR="00D64F46" w:rsidRPr="003D5D4C" w:rsidRDefault="00D64F46" w:rsidP="00B14A5F"/>
    <w:p w14:paraId="25C9AAAA" w14:textId="77777777" w:rsidR="00D64F46" w:rsidRPr="003D5D4C" w:rsidRDefault="00D64F46" w:rsidP="00B14A5F"/>
    <w:p w14:paraId="44A4F7ED" w14:textId="77777777" w:rsidR="00D64F46" w:rsidRPr="003D5D4C" w:rsidRDefault="00D64F46" w:rsidP="00B14A5F"/>
    <w:p w14:paraId="07C81378" w14:textId="77777777" w:rsidR="0048364F" w:rsidRPr="003D5D4C" w:rsidRDefault="0048364F" w:rsidP="0048364F">
      <w:pPr>
        <w:pStyle w:val="Header"/>
        <w:tabs>
          <w:tab w:val="clear" w:pos="4150"/>
          <w:tab w:val="clear" w:pos="8307"/>
        </w:tabs>
      </w:pPr>
      <w:r w:rsidRPr="003D5D4C">
        <w:rPr>
          <w:rStyle w:val="CharAmSchNo"/>
        </w:rPr>
        <w:t xml:space="preserve"> </w:t>
      </w:r>
      <w:r w:rsidRPr="003D5D4C">
        <w:rPr>
          <w:rStyle w:val="CharAmSchText"/>
        </w:rPr>
        <w:t xml:space="preserve"> </w:t>
      </w:r>
    </w:p>
    <w:p w14:paraId="219FAA4D" w14:textId="77777777" w:rsidR="0048364F" w:rsidRPr="003D5D4C" w:rsidRDefault="0048364F" w:rsidP="0048364F">
      <w:pPr>
        <w:pStyle w:val="Header"/>
        <w:tabs>
          <w:tab w:val="clear" w:pos="4150"/>
          <w:tab w:val="clear" w:pos="8307"/>
        </w:tabs>
      </w:pPr>
      <w:r w:rsidRPr="003D5D4C">
        <w:rPr>
          <w:rStyle w:val="CharAmPartNo"/>
        </w:rPr>
        <w:t xml:space="preserve"> </w:t>
      </w:r>
      <w:r w:rsidRPr="003D5D4C">
        <w:rPr>
          <w:rStyle w:val="CharAmPartText"/>
        </w:rPr>
        <w:t xml:space="preserve"> </w:t>
      </w:r>
    </w:p>
    <w:p w14:paraId="05551F4C" w14:textId="77777777" w:rsidR="0048364F" w:rsidRPr="003D5D4C" w:rsidRDefault="0048364F" w:rsidP="0048364F">
      <w:pPr>
        <w:sectPr w:rsidR="0048364F" w:rsidRPr="003D5D4C" w:rsidSect="0049111F">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2D9E597D" w14:textId="77777777" w:rsidR="00220A0C" w:rsidRPr="003D5D4C" w:rsidRDefault="0048364F" w:rsidP="0048364F">
      <w:pPr>
        <w:outlineLvl w:val="0"/>
        <w:rPr>
          <w:sz w:val="36"/>
        </w:rPr>
      </w:pPr>
      <w:r w:rsidRPr="003D5D4C">
        <w:rPr>
          <w:sz w:val="36"/>
        </w:rPr>
        <w:lastRenderedPageBreak/>
        <w:t>Contents</w:t>
      </w:r>
    </w:p>
    <w:p w14:paraId="2EDBD0B3" w14:textId="43174659" w:rsidR="00745FEE" w:rsidRPr="003D5D4C" w:rsidRDefault="00745FEE">
      <w:pPr>
        <w:pStyle w:val="TOC5"/>
        <w:rPr>
          <w:rFonts w:asciiTheme="minorHAnsi" w:eastAsiaTheme="minorEastAsia" w:hAnsiTheme="minorHAnsi" w:cstheme="minorBidi"/>
          <w:noProof/>
          <w:kern w:val="0"/>
          <w:sz w:val="22"/>
          <w:szCs w:val="22"/>
        </w:rPr>
      </w:pPr>
      <w:r w:rsidRPr="003D5D4C">
        <w:fldChar w:fldCharType="begin"/>
      </w:r>
      <w:r w:rsidRPr="003D5D4C">
        <w:instrText xml:space="preserve"> TOC \o "1-9" </w:instrText>
      </w:r>
      <w:r w:rsidRPr="003D5D4C">
        <w:fldChar w:fldCharType="separate"/>
      </w:r>
      <w:r w:rsidRPr="003D5D4C">
        <w:rPr>
          <w:noProof/>
        </w:rPr>
        <w:t>1</w:t>
      </w:r>
      <w:r w:rsidRPr="003D5D4C">
        <w:rPr>
          <w:noProof/>
        </w:rPr>
        <w:tab/>
        <w:t>Name</w:t>
      </w:r>
      <w:r w:rsidRPr="003D5D4C">
        <w:rPr>
          <w:noProof/>
        </w:rPr>
        <w:tab/>
      </w:r>
      <w:r w:rsidRPr="003D5D4C">
        <w:rPr>
          <w:noProof/>
        </w:rPr>
        <w:fldChar w:fldCharType="begin"/>
      </w:r>
      <w:r w:rsidRPr="003D5D4C">
        <w:rPr>
          <w:noProof/>
        </w:rPr>
        <w:instrText xml:space="preserve"> PAGEREF _Toc139624470 \h </w:instrText>
      </w:r>
      <w:r w:rsidRPr="003D5D4C">
        <w:rPr>
          <w:noProof/>
        </w:rPr>
      </w:r>
      <w:r w:rsidRPr="003D5D4C">
        <w:rPr>
          <w:noProof/>
        </w:rPr>
        <w:fldChar w:fldCharType="separate"/>
      </w:r>
      <w:r w:rsidR="00571D7B" w:rsidRPr="003D5D4C">
        <w:rPr>
          <w:noProof/>
        </w:rPr>
        <w:t>1</w:t>
      </w:r>
      <w:r w:rsidRPr="003D5D4C">
        <w:rPr>
          <w:noProof/>
        </w:rPr>
        <w:fldChar w:fldCharType="end"/>
      </w:r>
    </w:p>
    <w:p w14:paraId="41E23706" w14:textId="6A3DEB97" w:rsidR="00745FEE" w:rsidRPr="003D5D4C" w:rsidRDefault="00745FEE">
      <w:pPr>
        <w:pStyle w:val="TOC5"/>
        <w:rPr>
          <w:rFonts w:asciiTheme="minorHAnsi" w:eastAsiaTheme="minorEastAsia" w:hAnsiTheme="minorHAnsi" w:cstheme="minorBidi"/>
          <w:noProof/>
          <w:kern w:val="0"/>
          <w:sz w:val="22"/>
          <w:szCs w:val="22"/>
        </w:rPr>
      </w:pPr>
      <w:r w:rsidRPr="003D5D4C">
        <w:rPr>
          <w:noProof/>
        </w:rPr>
        <w:t>2</w:t>
      </w:r>
      <w:r w:rsidRPr="003D5D4C">
        <w:rPr>
          <w:noProof/>
        </w:rPr>
        <w:tab/>
        <w:t>Commencement</w:t>
      </w:r>
      <w:r w:rsidRPr="003D5D4C">
        <w:rPr>
          <w:noProof/>
        </w:rPr>
        <w:tab/>
      </w:r>
      <w:r w:rsidRPr="003D5D4C">
        <w:rPr>
          <w:noProof/>
        </w:rPr>
        <w:fldChar w:fldCharType="begin"/>
      </w:r>
      <w:r w:rsidRPr="003D5D4C">
        <w:rPr>
          <w:noProof/>
        </w:rPr>
        <w:instrText xml:space="preserve"> PAGEREF _Toc139624471 \h </w:instrText>
      </w:r>
      <w:r w:rsidRPr="003D5D4C">
        <w:rPr>
          <w:noProof/>
        </w:rPr>
      </w:r>
      <w:r w:rsidRPr="003D5D4C">
        <w:rPr>
          <w:noProof/>
        </w:rPr>
        <w:fldChar w:fldCharType="separate"/>
      </w:r>
      <w:r w:rsidR="00571D7B" w:rsidRPr="003D5D4C">
        <w:rPr>
          <w:noProof/>
        </w:rPr>
        <w:t>1</w:t>
      </w:r>
      <w:r w:rsidRPr="003D5D4C">
        <w:rPr>
          <w:noProof/>
        </w:rPr>
        <w:fldChar w:fldCharType="end"/>
      </w:r>
    </w:p>
    <w:p w14:paraId="1E65AC69" w14:textId="3262C668" w:rsidR="00745FEE" w:rsidRPr="003D5D4C" w:rsidRDefault="00745FEE">
      <w:pPr>
        <w:pStyle w:val="TOC5"/>
        <w:rPr>
          <w:rFonts w:asciiTheme="minorHAnsi" w:eastAsiaTheme="minorEastAsia" w:hAnsiTheme="minorHAnsi" w:cstheme="minorBidi"/>
          <w:noProof/>
          <w:kern w:val="0"/>
          <w:sz w:val="22"/>
          <w:szCs w:val="22"/>
        </w:rPr>
      </w:pPr>
      <w:r w:rsidRPr="003D5D4C">
        <w:rPr>
          <w:noProof/>
        </w:rPr>
        <w:t>3</w:t>
      </w:r>
      <w:r w:rsidRPr="003D5D4C">
        <w:rPr>
          <w:noProof/>
        </w:rPr>
        <w:tab/>
        <w:t>Authority</w:t>
      </w:r>
      <w:r w:rsidRPr="003D5D4C">
        <w:rPr>
          <w:noProof/>
        </w:rPr>
        <w:tab/>
      </w:r>
      <w:r w:rsidRPr="003D5D4C">
        <w:rPr>
          <w:noProof/>
        </w:rPr>
        <w:fldChar w:fldCharType="begin"/>
      </w:r>
      <w:r w:rsidRPr="003D5D4C">
        <w:rPr>
          <w:noProof/>
        </w:rPr>
        <w:instrText xml:space="preserve"> PAGEREF _Toc139624472 \h </w:instrText>
      </w:r>
      <w:r w:rsidRPr="003D5D4C">
        <w:rPr>
          <w:noProof/>
        </w:rPr>
      </w:r>
      <w:r w:rsidRPr="003D5D4C">
        <w:rPr>
          <w:noProof/>
        </w:rPr>
        <w:fldChar w:fldCharType="separate"/>
      </w:r>
      <w:r w:rsidR="00571D7B" w:rsidRPr="003D5D4C">
        <w:rPr>
          <w:noProof/>
        </w:rPr>
        <w:t>1</w:t>
      </w:r>
      <w:r w:rsidRPr="003D5D4C">
        <w:rPr>
          <w:noProof/>
        </w:rPr>
        <w:fldChar w:fldCharType="end"/>
      </w:r>
    </w:p>
    <w:p w14:paraId="3D93F9B5" w14:textId="5E58E05A" w:rsidR="00745FEE" w:rsidRPr="003D5D4C" w:rsidRDefault="00745FEE">
      <w:pPr>
        <w:pStyle w:val="TOC5"/>
        <w:rPr>
          <w:rFonts w:asciiTheme="minorHAnsi" w:eastAsiaTheme="minorEastAsia" w:hAnsiTheme="minorHAnsi" w:cstheme="minorBidi"/>
          <w:noProof/>
          <w:kern w:val="0"/>
          <w:sz w:val="22"/>
          <w:szCs w:val="22"/>
        </w:rPr>
      </w:pPr>
      <w:r w:rsidRPr="003D5D4C">
        <w:rPr>
          <w:noProof/>
        </w:rPr>
        <w:t>4</w:t>
      </w:r>
      <w:r w:rsidRPr="003D5D4C">
        <w:rPr>
          <w:noProof/>
        </w:rPr>
        <w:tab/>
        <w:t>Schedules</w:t>
      </w:r>
      <w:r w:rsidRPr="003D5D4C">
        <w:rPr>
          <w:noProof/>
        </w:rPr>
        <w:tab/>
      </w:r>
      <w:r w:rsidRPr="003D5D4C">
        <w:rPr>
          <w:noProof/>
        </w:rPr>
        <w:fldChar w:fldCharType="begin"/>
      </w:r>
      <w:r w:rsidRPr="003D5D4C">
        <w:rPr>
          <w:noProof/>
        </w:rPr>
        <w:instrText xml:space="preserve"> PAGEREF _Toc139624473 \h </w:instrText>
      </w:r>
      <w:r w:rsidRPr="003D5D4C">
        <w:rPr>
          <w:noProof/>
        </w:rPr>
      </w:r>
      <w:r w:rsidRPr="003D5D4C">
        <w:rPr>
          <w:noProof/>
        </w:rPr>
        <w:fldChar w:fldCharType="separate"/>
      </w:r>
      <w:r w:rsidR="00571D7B" w:rsidRPr="003D5D4C">
        <w:rPr>
          <w:noProof/>
        </w:rPr>
        <w:t>1</w:t>
      </w:r>
      <w:r w:rsidRPr="003D5D4C">
        <w:rPr>
          <w:noProof/>
        </w:rPr>
        <w:fldChar w:fldCharType="end"/>
      </w:r>
    </w:p>
    <w:p w14:paraId="70DF6C1E" w14:textId="30395970" w:rsidR="00745FEE" w:rsidRPr="003D5D4C" w:rsidRDefault="00745FEE">
      <w:pPr>
        <w:pStyle w:val="TOC6"/>
        <w:rPr>
          <w:rFonts w:asciiTheme="minorHAnsi" w:eastAsiaTheme="minorEastAsia" w:hAnsiTheme="minorHAnsi" w:cstheme="minorBidi"/>
          <w:b w:val="0"/>
          <w:noProof/>
          <w:kern w:val="0"/>
          <w:sz w:val="22"/>
          <w:szCs w:val="22"/>
        </w:rPr>
      </w:pPr>
      <w:r w:rsidRPr="003D5D4C">
        <w:rPr>
          <w:noProof/>
        </w:rPr>
        <w:t>Schedule 1—Main Amendments</w:t>
      </w:r>
      <w:r w:rsidRPr="003D5D4C">
        <w:rPr>
          <w:b w:val="0"/>
          <w:noProof/>
          <w:sz w:val="18"/>
        </w:rPr>
        <w:tab/>
      </w:r>
      <w:r w:rsidRPr="003D5D4C">
        <w:rPr>
          <w:b w:val="0"/>
          <w:noProof/>
          <w:sz w:val="18"/>
        </w:rPr>
        <w:fldChar w:fldCharType="begin"/>
      </w:r>
      <w:r w:rsidRPr="003D5D4C">
        <w:rPr>
          <w:b w:val="0"/>
          <w:noProof/>
          <w:sz w:val="18"/>
        </w:rPr>
        <w:instrText xml:space="preserve"> PAGEREF _Toc139624474 \h </w:instrText>
      </w:r>
      <w:r w:rsidRPr="003D5D4C">
        <w:rPr>
          <w:b w:val="0"/>
          <w:noProof/>
          <w:sz w:val="18"/>
        </w:rPr>
      </w:r>
      <w:r w:rsidRPr="003D5D4C">
        <w:rPr>
          <w:b w:val="0"/>
          <w:noProof/>
          <w:sz w:val="18"/>
        </w:rPr>
        <w:fldChar w:fldCharType="separate"/>
      </w:r>
      <w:r w:rsidR="00571D7B" w:rsidRPr="003D5D4C">
        <w:rPr>
          <w:b w:val="0"/>
          <w:noProof/>
          <w:sz w:val="18"/>
        </w:rPr>
        <w:t>2</w:t>
      </w:r>
      <w:r w:rsidRPr="003D5D4C">
        <w:rPr>
          <w:b w:val="0"/>
          <w:noProof/>
          <w:sz w:val="18"/>
        </w:rPr>
        <w:fldChar w:fldCharType="end"/>
      </w:r>
    </w:p>
    <w:p w14:paraId="4643B329" w14:textId="760E8351" w:rsidR="00745FEE" w:rsidRPr="003D5D4C" w:rsidRDefault="00745FEE">
      <w:pPr>
        <w:pStyle w:val="TOC9"/>
        <w:rPr>
          <w:rFonts w:asciiTheme="minorHAnsi" w:eastAsiaTheme="minorEastAsia" w:hAnsiTheme="minorHAnsi" w:cstheme="minorBidi"/>
          <w:i w:val="0"/>
          <w:noProof/>
          <w:kern w:val="0"/>
          <w:sz w:val="22"/>
          <w:szCs w:val="22"/>
        </w:rPr>
      </w:pPr>
      <w:r w:rsidRPr="003D5D4C">
        <w:rPr>
          <w:noProof/>
        </w:rPr>
        <w:t>Superannuation Industry (Supervision) Regulations 1994</w:t>
      </w:r>
      <w:r w:rsidRPr="003D5D4C">
        <w:rPr>
          <w:i w:val="0"/>
          <w:noProof/>
          <w:sz w:val="18"/>
        </w:rPr>
        <w:tab/>
      </w:r>
      <w:r w:rsidRPr="003D5D4C">
        <w:rPr>
          <w:i w:val="0"/>
          <w:noProof/>
          <w:sz w:val="18"/>
        </w:rPr>
        <w:fldChar w:fldCharType="begin"/>
      </w:r>
      <w:r w:rsidRPr="003D5D4C">
        <w:rPr>
          <w:i w:val="0"/>
          <w:noProof/>
          <w:sz w:val="18"/>
        </w:rPr>
        <w:instrText xml:space="preserve"> PAGEREF _Toc139624475 \h </w:instrText>
      </w:r>
      <w:r w:rsidRPr="003D5D4C">
        <w:rPr>
          <w:i w:val="0"/>
          <w:noProof/>
          <w:sz w:val="18"/>
        </w:rPr>
      </w:r>
      <w:r w:rsidRPr="003D5D4C">
        <w:rPr>
          <w:i w:val="0"/>
          <w:noProof/>
          <w:sz w:val="18"/>
        </w:rPr>
        <w:fldChar w:fldCharType="separate"/>
      </w:r>
      <w:r w:rsidR="00571D7B" w:rsidRPr="003D5D4C">
        <w:rPr>
          <w:i w:val="0"/>
          <w:noProof/>
          <w:sz w:val="18"/>
        </w:rPr>
        <w:t>2</w:t>
      </w:r>
      <w:r w:rsidRPr="003D5D4C">
        <w:rPr>
          <w:i w:val="0"/>
          <w:noProof/>
          <w:sz w:val="18"/>
        </w:rPr>
        <w:fldChar w:fldCharType="end"/>
      </w:r>
    </w:p>
    <w:p w14:paraId="2E3CF3E7" w14:textId="4FC33035" w:rsidR="00745FEE" w:rsidRPr="003D5D4C" w:rsidRDefault="00745FEE">
      <w:pPr>
        <w:pStyle w:val="TOC6"/>
        <w:rPr>
          <w:rFonts w:asciiTheme="minorHAnsi" w:eastAsiaTheme="minorEastAsia" w:hAnsiTheme="minorHAnsi" w:cstheme="minorBidi"/>
          <w:b w:val="0"/>
          <w:noProof/>
          <w:kern w:val="0"/>
          <w:sz w:val="22"/>
          <w:szCs w:val="22"/>
        </w:rPr>
      </w:pPr>
      <w:r w:rsidRPr="003D5D4C">
        <w:rPr>
          <w:noProof/>
        </w:rPr>
        <w:t xml:space="preserve">Schedule 2—Amendments to the Electronic Transactions </w:t>
      </w:r>
      <w:r w:rsidR="00A70ACD" w:rsidRPr="003D5D4C">
        <w:rPr>
          <w:noProof/>
        </w:rPr>
        <w:t>Regulations 2</w:t>
      </w:r>
      <w:r w:rsidRPr="003D5D4C">
        <w:rPr>
          <w:noProof/>
        </w:rPr>
        <w:t>020</w:t>
      </w:r>
      <w:r w:rsidRPr="003D5D4C">
        <w:rPr>
          <w:b w:val="0"/>
          <w:noProof/>
          <w:sz w:val="18"/>
        </w:rPr>
        <w:tab/>
      </w:r>
      <w:r w:rsidRPr="003D5D4C">
        <w:rPr>
          <w:b w:val="0"/>
          <w:noProof/>
          <w:sz w:val="18"/>
        </w:rPr>
        <w:fldChar w:fldCharType="begin"/>
      </w:r>
      <w:r w:rsidRPr="003D5D4C">
        <w:rPr>
          <w:b w:val="0"/>
          <w:noProof/>
          <w:sz w:val="18"/>
        </w:rPr>
        <w:instrText xml:space="preserve"> PAGEREF _Toc139624481 \h </w:instrText>
      </w:r>
      <w:r w:rsidRPr="003D5D4C">
        <w:rPr>
          <w:b w:val="0"/>
          <w:noProof/>
          <w:sz w:val="18"/>
        </w:rPr>
      </w:r>
      <w:r w:rsidRPr="003D5D4C">
        <w:rPr>
          <w:b w:val="0"/>
          <w:noProof/>
          <w:sz w:val="18"/>
        </w:rPr>
        <w:fldChar w:fldCharType="separate"/>
      </w:r>
      <w:r w:rsidR="00571D7B" w:rsidRPr="003D5D4C">
        <w:rPr>
          <w:b w:val="0"/>
          <w:noProof/>
          <w:sz w:val="18"/>
        </w:rPr>
        <w:t>31</w:t>
      </w:r>
      <w:r w:rsidRPr="003D5D4C">
        <w:rPr>
          <w:b w:val="0"/>
          <w:noProof/>
          <w:sz w:val="18"/>
        </w:rPr>
        <w:fldChar w:fldCharType="end"/>
      </w:r>
    </w:p>
    <w:p w14:paraId="7365ADBF" w14:textId="10AD8DB3" w:rsidR="00745FEE" w:rsidRPr="003D5D4C" w:rsidRDefault="00745FEE">
      <w:pPr>
        <w:pStyle w:val="TOC9"/>
        <w:rPr>
          <w:rFonts w:asciiTheme="minorHAnsi" w:eastAsiaTheme="minorEastAsia" w:hAnsiTheme="minorHAnsi" w:cstheme="minorBidi"/>
          <w:i w:val="0"/>
          <w:noProof/>
          <w:kern w:val="0"/>
          <w:sz w:val="22"/>
          <w:szCs w:val="22"/>
        </w:rPr>
      </w:pPr>
      <w:r w:rsidRPr="003D5D4C">
        <w:rPr>
          <w:noProof/>
        </w:rPr>
        <w:t xml:space="preserve">Electronic Transactions </w:t>
      </w:r>
      <w:r w:rsidR="00A70ACD" w:rsidRPr="003D5D4C">
        <w:rPr>
          <w:noProof/>
        </w:rPr>
        <w:t>Regulations 2</w:t>
      </w:r>
      <w:r w:rsidRPr="003D5D4C">
        <w:rPr>
          <w:noProof/>
        </w:rPr>
        <w:t>020</w:t>
      </w:r>
      <w:r w:rsidRPr="003D5D4C">
        <w:rPr>
          <w:i w:val="0"/>
          <w:noProof/>
          <w:sz w:val="18"/>
        </w:rPr>
        <w:tab/>
      </w:r>
      <w:r w:rsidRPr="003D5D4C">
        <w:rPr>
          <w:i w:val="0"/>
          <w:noProof/>
          <w:sz w:val="18"/>
        </w:rPr>
        <w:fldChar w:fldCharType="begin"/>
      </w:r>
      <w:r w:rsidRPr="003D5D4C">
        <w:rPr>
          <w:i w:val="0"/>
          <w:noProof/>
          <w:sz w:val="18"/>
        </w:rPr>
        <w:instrText xml:space="preserve"> PAGEREF _Toc139624482 \h </w:instrText>
      </w:r>
      <w:r w:rsidRPr="003D5D4C">
        <w:rPr>
          <w:i w:val="0"/>
          <w:noProof/>
          <w:sz w:val="18"/>
        </w:rPr>
      </w:r>
      <w:r w:rsidRPr="003D5D4C">
        <w:rPr>
          <w:i w:val="0"/>
          <w:noProof/>
          <w:sz w:val="18"/>
        </w:rPr>
        <w:fldChar w:fldCharType="separate"/>
      </w:r>
      <w:r w:rsidR="00571D7B" w:rsidRPr="003D5D4C">
        <w:rPr>
          <w:i w:val="0"/>
          <w:noProof/>
          <w:sz w:val="18"/>
        </w:rPr>
        <w:t>31</w:t>
      </w:r>
      <w:r w:rsidRPr="003D5D4C">
        <w:rPr>
          <w:i w:val="0"/>
          <w:noProof/>
          <w:sz w:val="18"/>
        </w:rPr>
        <w:fldChar w:fldCharType="end"/>
      </w:r>
    </w:p>
    <w:p w14:paraId="1EC76782" w14:textId="77777777" w:rsidR="0048364F" w:rsidRPr="003D5D4C" w:rsidRDefault="00745FEE" w:rsidP="0048364F">
      <w:r w:rsidRPr="003D5D4C">
        <w:fldChar w:fldCharType="end"/>
      </w:r>
    </w:p>
    <w:p w14:paraId="62DAA816" w14:textId="77777777" w:rsidR="0048364F" w:rsidRPr="003D5D4C" w:rsidRDefault="0048364F" w:rsidP="0048364F">
      <w:pPr>
        <w:sectPr w:rsidR="0048364F" w:rsidRPr="003D5D4C" w:rsidSect="0049111F">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796F473B" w14:textId="77777777" w:rsidR="0048364F" w:rsidRPr="003D5D4C" w:rsidRDefault="0048364F" w:rsidP="0048364F">
      <w:pPr>
        <w:pStyle w:val="ActHead5"/>
      </w:pPr>
      <w:bookmarkStart w:id="0" w:name="_Toc139624470"/>
      <w:r w:rsidRPr="003D5D4C">
        <w:rPr>
          <w:rStyle w:val="CharSectno"/>
        </w:rPr>
        <w:lastRenderedPageBreak/>
        <w:t>1</w:t>
      </w:r>
      <w:r w:rsidRPr="003D5D4C">
        <w:t xml:space="preserve">  </w:t>
      </w:r>
      <w:r w:rsidR="004F676E" w:rsidRPr="003D5D4C">
        <w:t>Name</w:t>
      </w:r>
      <w:bookmarkEnd w:id="0"/>
    </w:p>
    <w:p w14:paraId="3D0C8A36" w14:textId="77777777" w:rsidR="0048364F" w:rsidRPr="003D5D4C" w:rsidRDefault="0048364F" w:rsidP="0048364F">
      <w:pPr>
        <w:pStyle w:val="subsection"/>
      </w:pPr>
      <w:r w:rsidRPr="003D5D4C">
        <w:tab/>
      </w:r>
      <w:r w:rsidRPr="003D5D4C">
        <w:tab/>
      </w:r>
      <w:r w:rsidR="00D64F46" w:rsidRPr="003D5D4C">
        <w:t>This instrument is</w:t>
      </w:r>
      <w:r w:rsidRPr="003D5D4C">
        <w:t xml:space="preserve"> the </w:t>
      </w:r>
      <w:r w:rsidR="00A70ACD" w:rsidRPr="003D5D4C">
        <w:rPr>
          <w:i/>
          <w:noProof/>
        </w:rPr>
        <w:t>Superannuation Industry (Supervision) Amendment (Your Future, Your Super—Addressing Underperformance in Superannuation) Regulations 2023</w:t>
      </w:r>
      <w:r w:rsidRPr="003D5D4C">
        <w:t>.</w:t>
      </w:r>
    </w:p>
    <w:p w14:paraId="251F0320" w14:textId="77777777" w:rsidR="004F676E" w:rsidRPr="003D5D4C" w:rsidRDefault="0048364F" w:rsidP="005452CC">
      <w:pPr>
        <w:pStyle w:val="ActHead5"/>
      </w:pPr>
      <w:bookmarkStart w:id="1" w:name="_Toc139624471"/>
      <w:r w:rsidRPr="003D5D4C">
        <w:rPr>
          <w:rStyle w:val="CharSectno"/>
        </w:rPr>
        <w:t>2</w:t>
      </w:r>
      <w:r w:rsidRPr="003D5D4C">
        <w:t xml:space="preserve">  Commencement</w:t>
      </w:r>
      <w:bookmarkEnd w:id="1"/>
    </w:p>
    <w:p w14:paraId="31C79D5F" w14:textId="77777777" w:rsidR="005452CC" w:rsidRPr="003D5D4C" w:rsidRDefault="005452CC" w:rsidP="00B14A5F">
      <w:pPr>
        <w:pStyle w:val="subsection"/>
      </w:pPr>
      <w:r w:rsidRPr="003D5D4C">
        <w:tab/>
        <w:t>(1)</w:t>
      </w:r>
      <w:r w:rsidRPr="003D5D4C">
        <w:tab/>
        <w:t xml:space="preserve">Each provision of </w:t>
      </w:r>
      <w:r w:rsidR="00D64F46" w:rsidRPr="003D5D4C">
        <w:t>this instrument</w:t>
      </w:r>
      <w:r w:rsidRPr="003D5D4C">
        <w:t xml:space="preserve"> specified in column 1 of the table commences, or is taken to have commenced, in accordance with column 2 of the table. Any other statement in column 2 has effect according to its terms.</w:t>
      </w:r>
    </w:p>
    <w:p w14:paraId="51ED0892" w14:textId="77777777" w:rsidR="005452CC" w:rsidRPr="003D5D4C" w:rsidRDefault="005452CC" w:rsidP="00B14A5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3D5D4C" w14:paraId="6BAFDDC6" w14:textId="77777777" w:rsidTr="00AD7252">
        <w:trPr>
          <w:tblHeader/>
        </w:trPr>
        <w:tc>
          <w:tcPr>
            <w:tcW w:w="8364" w:type="dxa"/>
            <w:gridSpan w:val="3"/>
            <w:tcBorders>
              <w:top w:val="single" w:sz="12" w:space="0" w:color="auto"/>
              <w:bottom w:val="single" w:sz="6" w:space="0" w:color="auto"/>
            </w:tcBorders>
            <w:shd w:val="clear" w:color="auto" w:fill="auto"/>
            <w:hideMark/>
          </w:tcPr>
          <w:p w14:paraId="0D6EB8B0" w14:textId="77777777" w:rsidR="005452CC" w:rsidRPr="003D5D4C" w:rsidRDefault="005452CC" w:rsidP="00B14A5F">
            <w:pPr>
              <w:pStyle w:val="TableHeading"/>
            </w:pPr>
            <w:r w:rsidRPr="003D5D4C">
              <w:t>Commencement information</w:t>
            </w:r>
          </w:p>
        </w:tc>
      </w:tr>
      <w:tr w:rsidR="005452CC" w:rsidRPr="003D5D4C" w14:paraId="2E920915" w14:textId="77777777" w:rsidTr="00AD7252">
        <w:trPr>
          <w:tblHeader/>
        </w:trPr>
        <w:tc>
          <w:tcPr>
            <w:tcW w:w="2127" w:type="dxa"/>
            <w:tcBorders>
              <w:top w:val="single" w:sz="6" w:space="0" w:color="auto"/>
              <w:bottom w:val="single" w:sz="6" w:space="0" w:color="auto"/>
            </w:tcBorders>
            <w:shd w:val="clear" w:color="auto" w:fill="auto"/>
            <w:hideMark/>
          </w:tcPr>
          <w:p w14:paraId="54DBEAB7" w14:textId="77777777" w:rsidR="005452CC" w:rsidRPr="003D5D4C" w:rsidRDefault="005452CC" w:rsidP="00B14A5F">
            <w:pPr>
              <w:pStyle w:val="TableHeading"/>
            </w:pPr>
            <w:r w:rsidRPr="003D5D4C">
              <w:t>Column 1</w:t>
            </w:r>
          </w:p>
        </w:tc>
        <w:tc>
          <w:tcPr>
            <w:tcW w:w="4394" w:type="dxa"/>
            <w:tcBorders>
              <w:top w:val="single" w:sz="6" w:space="0" w:color="auto"/>
              <w:bottom w:val="single" w:sz="6" w:space="0" w:color="auto"/>
            </w:tcBorders>
            <w:shd w:val="clear" w:color="auto" w:fill="auto"/>
            <w:hideMark/>
          </w:tcPr>
          <w:p w14:paraId="13C85D01" w14:textId="77777777" w:rsidR="005452CC" w:rsidRPr="003D5D4C" w:rsidRDefault="005452CC" w:rsidP="00B14A5F">
            <w:pPr>
              <w:pStyle w:val="TableHeading"/>
            </w:pPr>
            <w:r w:rsidRPr="003D5D4C">
              <w:t>Column 2</w:t>
            </w:r>
          </w:p>
        </w:tc>
        <w:tc>
          <w:tcPr>
            <w:tcW w:w="1843" w:type="dxa"/>
            <w:tcBorders>
              <w:top w:val="single" w:sz="6" w:space="0" w:color="auto"/>
              <w:bottom w:val="single" w:sz="6" w:space="0" w:color="auto"/>
            </w:tcBorders>
            <w:shd w:val="clear" w:color="auto" w:fill="auto"/>
            <w:hideMark/>
          </w:tcPr>
          <w:p w14:paraId="08A49FC5" w14:textId="77777777" w:rsidR="005452CC" w:rsidRPr="003D5D4C" w:rsidRDefault="005452CC" w:rsidP="00B14A5F">
            <w:pPr>
              <w:pStyle w:val="TableHeading"/>
            </w:pPr>
            <w:r w:rsidRPr="003D5D4C">
              <w:t>Column 3</w:t>
            </w:r>
          </w:p>
        </w:tc>
      </w:tr>
      <w:tr w:rsidR="005452CC" w:rsidRPr="003D5D4C" w14:paraId="721DE2E1" w14:textId="77777777" w:rsidTr="00AD7252">
        <w:trPr>
          <w:tblHeader/>
        </w:trPr>
        <w:tc>
          <w:tcPr>
            <w:tcW w:w="2127" w:type="dxa"/>
            <w:tcBorders>
              <w:top w:val="single" w:sz="6" w:space="0" w:color="auto"/>
              <w:bottom w:val="single" w:sz="12" w:space="0" w:color="auto"/>
            </w:tcBorders>
            <w:shd w:val="clear" w:color="auto" w:fill="auto"/>
            <w:hideMark/>
          </w:tcPr>
          <w:p w14:paraId="33732D2B" w14:textId="77777777" w:rsidR="005452CC" w:rsidRPr="003D5D4C" w:rsidRDefault="005452CC" w:rsidP="00B14A5F">
            <w:pPr>
              <w:pStyle w:val="TableHeading"/>
            </w:pPr>
            <w:r w:rsidRPr="003D5D4C">
              <w:t>Provisions</w:t>
            </w:r>
          </w:p>
        </w:tc>
        <w:tc>
          <w:tcPr>
            <w:tcW w:w="4394" w:type="dxa"/>
            <w:tcBorders>
              <w:top w:val="single" w:sz="6" w:space="0" w:color="auto"/>
              <w:bottom w:val="single" w:sz="12" w:space="0" w:color="auto"/>
            </w:tcBorders>
            <w:shd w:val="clear" w:color="auto" w:fill="auto"/>
            <w:hideMark/>
          </w:tcPr>
          <w:p w14:paraId="6498897C" w14:textId="77777777" w:rsidR="005452CC" w:rsidRPr="003D5D4C" w:rsidRDefault="005452CC" w:rsidP="00B14A5F">
            <w:pPr>
              <w:pStyle w:val="TableHeading"/>
            </w:pPr>
            <w:r w:rsidRPr="003D5D4C">
              <w:t>Commencement</w:t>
            </w:r>
          </w:p>
        </w:tc>
        <w:tc>
          <w:tcPr>
            <w:tcW w:w="1843" w:type="dxa"/>
            <w:tcBorders>
              <w:top w:val="single" w:sz="6" w:space="0" w:color="auto"/>
              <w:bottom w:val="single" w:sz="12" w:space="0" w:color="auto"/>
            </w:tcBorders>
            <w:shd w:val="clear" w:color="auto" w:fill="auto"/>
            <w:hideMark/>
          </w:tcPr>
          <w:p w14:paraId="4ADF4319" w14:textId="77777777" w:rsidR="005452CC" w:rsidRPr="003D5D4C" w:rsidRDefault="005452CC" w:rsidP="00B14A5F">
            <w:pPr>
              <w:pStyle w:val="TableHeading"/>
            </w:pPr>
            <w:r w:rsidRPr="003D5D4C">
              <w:t>Date/Details</w:t>
            </w:r>
          </w:p>
        </w:tc>
      </w:tr>
      <w:tr w:rsidR="005452CC" w:rsidRPr="003D5D4C" w14:paraId="687DA008" w14:textId="77777777" w:rsidTr="00AD7252">
        <w:tc>
          <w:tcPr>
            <w:tcW w:w="2127" w:type="dxa"/>
            <w:tcBorders>
              <w:top w:val="single" w:sz="12" w:space="0" w:color="auto"/>
              <w:bottom w:val="single" w:sz="12" w:space="0" w:color="auto"/>
            </w:tcBorders>
            <w:shd w:val="clear" w:color="auto" w:fill="auto"/>
            <w:hideMark/>
          </w:tcPr>
          <w:p w14:paraId="7F95D8E8" w14:textId="77777777" w:rsidR="005452CC" w:rsidRPr="003D5D4C" w:rsidRDefault="005452CC" w:rsidP="00AD7252">
            <w:pPr>
              <w:pStyle w:val="Tabletext"/>
            </w:pPr>
            <w:r w:rsidRPr="003D5D4C">
              <w:t xml:space="preserve">1.  </w:t>
            </w:r>
            <w:r w:rsidR="00AD7252" w:rsidRPr="003D5D4C">
              <w:t xml:space="preserve">The whole of </w:t>
            </w:r>
            <w:r w:rsidR="00D64F46" w:rsidRPr="003D5D4C">
              <w:t>this instrument</w:t>
            </w:r>
          </w:p>
        </w:tc>
        <w:tc>
          <w:tcPr>
            <w:tcW w:w="4394" w:type="dxa"/>
            <w:tcBorders>
              <w:top w:val="single" w:sz="12" w:space="0" w:color="auto"/>
              <w:bottom w:val="single" w:sz="12" w:space="0" w:color="auto"/>
            </w:tcBorders>
            <w:shd w:val="clear" w:color="auto" w:fill="auto"/>
            <w:hideMark/>
          </w:tcPr>
          <w:p w14:paraId="32AF3032" w14:textId="77777777" w:rsidR="005452CC" w:rsidRPr="003D5D4C" w:rsidRDefault="005452CC" w:rsidP="005452CC">
            <w:pPr>
              <w:pStyle w:val="Tabletext"/>
            </w:pPr>
            <w:r w:rsidRPr="003D5D4C">
              <w:t xml:space="preserve">The day after </w:t>
            </w:r>
            <w:r w:rsidR="00D64F46" w:rsidRPr="003D5D4C">
              <w:t>this instrument is</w:t>
            </w:r>
            <w:r w:rsidRPr="003D5D4C">
              <w:t xml:space="preserve"> registered.</w:t>
            </w:r>
          </w:p>
        </w:tc>
        <w:tc>
          <w:tcPr>
            <w:tcW w:w="1843" w:type="dxa"/>
            <w:tcBorders>
              <w:top w:val="single" w:sz="12" w:space="0" w:color="auto"/>
              <w:bottom w:val="single" w:sz="12" w:space="0" w:color="auto"/>
            </w:tcBorders>
            <w:shd w:val="clear" w:color="auto" w:fill="auto"/>
          </w:tcPr>
          <w:p w14:paraId="05D8C802" w14:textId="7F1742D7" w:rsidR="005452CC" w:rsidRPr="003D5D4C" w:rsidRDefault="00F60E58">
            <w:pPr>
              <w:pStyle w:val="Tabletext"/>
            </w:pPr>
            <w:r>
              <w:t>4 August 2023</w:t>
            </w:r>
            <w:bookmarkStart w:id="2" w:name="_GoBack"/>
            <w:bookmarkEnd w:id="2"/>
          </w:p>
        </w:tc>
      </w:tr>
    </w:tbl>
    <w:p w14:paraId="367152A9" w14:textId="77777777" w:rsidR="005452CC" w:rsidRPr="003D5D4C" w:rsidRDefault="005452CC" w:rsidP="00B14A5F">
      <w:pPr>
        <w:pStyle w:val="notetext"/>
      </w:pPr>
      <w:r w:rsidRPr="003D5D4C">
        <w:rPr>
          <w:snapToGrid w:val="0"/>
          <w:lang w:eastAsia="en-US"/>
        </w:rPr>
        <w:t>Note:</w:t>
      </w:r>
      <w:r w:rsidRPr="003D5D4C">
        <w:rPr>
          <w:snapToGrid w:val="0"/>
          <w:lang w:eastAsia="en-US"/>
        </w:rPr>
        <w:tab/>
        <w:t xml:space="preserve">This table relates only to the provisions of </w:t>
      </w:r>
      <w:r w:rsidR="00D64F46" w:rsidRPr="003D5D4C">
        <w:rPr>
          <w:snapToGrid w:val="0"/>
          <w:lang w:eastAsia="en-US"/>
        </w:rPr>
        <w:t>this instrument</w:t>
      </w:r>
      <w:r w:rsidRPr="003D5D4C">
        <w:t xml:space="preserve"> </w:t>
      </w:r>
      <w:r w:rsidRPr="003D5D4C">
        <w:rPr>
          <w:snapToGrid w:val="0"/>
          <w:lang w:eastAsia="en-US"/>
        </w:rPr>
        <w:t xml:space="preserve">as originally made. It will not be amended to deal with any later amendments of </w:t>
      </w:r>
      <w:r w:rsidR="00D64F46" w:rsidRPr="003D5D4C">
        <w:rPr>
          <w:snapToGrid w:val="0"/>
          <w:lang w:eastAsia="en-US"/>
        </w:rPr>
        <w:t>this instrument</w:t>
      </w:r>
      <w:r w:rsidRPr="003D5D4C">
        <w:rPr>
          <w:snapToGrid w:val="0"/>
          <w:lang w:eastAsia="en-US"/>
        </w:rPr>
        <w:t>.</w:t>
      </w:r>
    </w:p>
    <w:p w14:paraId="347CEB9F" w14:textId="77777777" w:rsidR="005452CC" w:rsidRPr="003D5D4C" w:rsidRDefault="005452CC" w:rsidP="004F676E">
      <w:pPr>
        <w:pStyle w:val="subsection"/>
      </w:pPr>
      <w:r w:rsidRPr="003D5D4C">
        <w:tab/>
        <w:t>(2)</w:t>
      </w:r>
      <w:r w:rsidRPr="003D5D4C">
        <w:tab/>
        <w:t xml:space="preserve">Any information in column 3 of the table is not part of </w:t>
      </w:r>
      <w:r w:rsidR="00D64F46" w:rsidRPr="003D5D4C">
        <w:t>this instrument</w:t>
      </w:r>
      <w:r w:rsidRPr="003D5D4C">
        <w:t xml:space="preserve">. Information may be inserted in this column, or information in it may be edited, in any published version of </w:t>
      </w:r>
      <w:r w:rsidR="00D64F46" w:rsidRPr="003D5D4C">
        <w:t>this instrument</w:t>
      </w:r>
      <w:r w:rsidRPr="003D5D4C">
        <w:t>.</w:t>
      </w:r>
    </w:p>
    <w:p w14:paraId="3767FE84" w14:textId="77777777" w:rsidR="00BF6650" w:rsidRPr="003D5D4C" w:rsidRDefault="00BF6650" w:rsidP="00BF6650">
      <w:pPr>
        <w:pStyle w:val="ActHead5"/>
      </w:pPr>
      <w:bookmarkStart w:id="3" w:name="_Toc139624472"/>
      <w:r w:rsidRPr="003D5D4C">
        <w:rPr>
          <w:rStyle w:val="CharSectno"/>
        </w:rPr>
        <w:t>3</w:t>
      </w:r>
      <w:r w:rsidRPr="003D5D4C">
        <w:t xml:space="preserve">  Authority</w:t>
      </w:r>
      <w:bookmarkEnd w:id="3"/>
    </w:p>
    <w:p w14:paraId="2B9BD9EF" w14:textId="77777777" w:rsidR="00EB71B2" w:rsidRPr="003D5D4C" w:rsidRDefault="00BF6650" w:rsidP="00BF6650">
      <w:pPr>
        <w:pStyle w:val="subsection"/>
      </w:pPr>
      <w:r w:rsidRPr="003D5D4C">
        <w:tab/>
      </w:r>
      <w:r w:rsidRPr="003D5D4C">
        <w:tab/>
      </w:r>
      <w:r w:rsidR="00D64F46" w:rsidRPr="003D5D4C">
        <w:t>This instrument is</w:t>
      </w:r>
      <w:r w:rsidRPr="003D5D4C">
        <w:t xml:space="preserve"> made under</w:t>
      </w:r>
      <w:r w:rsidR="00EB71B2" w:rsidRPr="003D5D4C">
        <w:t>:</w:t>
      </w:r>
    </w:p>
    <w:p w14:paraId="15046059" w14:textId="77777777" w:rsidR="00EB71B2" w:rsidRPr="003D5D4C" w:rsidRDefault="00EB71B2" w:rsidP="00EB71B2">
      <w:pPr>
        <w:pStyle w:val="paragraph"/>
      </w:pPr>
      <w:r w:rsidRPr="003D5D4C">
        <w:tab/>
        <w:t>(a)</w:t>
      </w:r>
      <w:r w:rsidRPr="003D5D4C">
        <w:tab/>
        <w:t xml:space="preserve">the </w:t>
      </w:r>
      <w:r w:rsidRPr="003D5D4C">
        <w:rPr>
          <w:i/>
        </w:rPr>
        <w:t>Electronic Transactions Act 1999</w:t>
      </w:r>
      <w:r w:rsidRPr="003D5D4C">
        <w:t>; and</w:t>
      </w:r>
    </w:p>
    <w:p w14:paraId="63F0E47C" w14:textId="77777777" w:rsidR="00BF6650" w:rsidRPr="003D5D4C" w:rsidRDefault="00EB71B2" w:rsidP="00EB71B2">
      <w:pPr>
        <w:pStyle w:val="paragraph"/>
      </w:pPr>
      <w:r w:rsidRPr="003D5D4C">
        <w:tab/>
        <w:t>(b)</w:t>
      </w:r>
      <w:r w:rsidRPr="003D5D4C">
        <w:tab/>
      </w:r>
      <w:r w:rsidR="00BF6650" w:rsidRPr="003D5D4C">
        <w:t xml:space="preserve">the </w:t>
      </w:r>
      <w:r w:rsidR="00690D49" w:rsidRPr="003D5D4C">
        <w:rPr>
          <w:i/>
        </w:rPr>
        <w:t>Superannuation Industry (Supervision) Act 1993</w:t>
      </w:r>
      <w:r w:rsidR="00546FA3" w:rsidRPr="003D5D4C">
        <w:t>.</w:t>
      </w:r>
    </w:p>
    <w:p w14:paraId="2B7A650E" w14:textId="77777777" w:rsidR="00557C7A" w:rsidRPr="003D5D4C" w:rsidRDefault="00BF6650" w:rsidP="00557C7A">
      <w:pPr>
        <w:pStyle w:val="ActHead5"/>
      </w:pPr>
      <w:bookmarkStart w:id="4" w:name="_Toc139624473"/>
      <w:r w:rsidRPr="003D5D4C">
        <w:rPr>
          <w:rStyle w:val="CharSectno"/>
        </w:rPr>
        <w:t>4</w:t>
      </w:r>
      <w:r w:rsidR="00557C7A" w:rsidRPr="003D5D4C">
        <w:t xml:space="preserve">  </w:t>
      </w:r>
      <w:r w:rsidR="00083F48" w:rsidRPr="003D5D4C">
        <w:t>Schedules</w:t>
      </w:r>
      <w:bookmarkEnd w:id="4"/>
    </w:p>
    <w:p w14:paraId="1183952B" w14:textId="77777777" w:rsidR="00557C7A" w:rsidRPr="003D5D4C" w:rsidRDefault="00557C7A" w:rsidP="00557C7A">
      <w:pPr>
        <w:pStyle w:val="subsection"/>
      </w:pPr>
      <w:r w:rsidRPr="003D5D4C">
        <w:tab/>
      </w:r>
      <w:r w:rsidRPr="003D5D4C">
        <w:tab/>
      </w:r>
      <w:r w:rsidR="00083F48" w:rsidRPr="003D5D4C">
        <w:t xml:space="preserve">Each </w:t>
      </w:r>
      <w:r w:rsidR="00160BD7" w:rsidRPr="003D5D4C">
        <w:t>instrument</w:t>
      </w:r>
      <w:r w:rsidR="00083F48" w:rsidRPr="003D5D4C">
        <w:t xml:space="preserve"> that is specified in a Schedule to </w:t>
      </w:r>
      <w:r w:rsidR="00D64F46" w:rsidRPr="003D5D4C">
        <w:t>this instrument</w:t>
      </w:r>
      <w:r w:rsidR="00083F48" w:rsidRPr="003D5D4C">
        <w:t xml:space="preserve"> is amended or repealed as set out in the applicable items in the Schedule concerned, and any other item in a Schedule to </w:t>
      </w:r>
      <w:r w:rsidR="00D64F46" w:rsidRPr="003D5D4C">
        <w:t>this instrument</w:t>
      </w:r>
      <w:r w:rsidR="00083F48" w:rsidRPr="003D5D4C">
        <w:t xml:space="preserve"> has effect according to its terms.</w:t>
      </w:r>
    </w:p>
    <w:p w14:paraId="7FFE463E" w14:textId="77777777" w:rsidR="0048364F" w:rsidRPr="003D5D4C" w:rsidRDefault="00BF544A" w:rsidP="009C5989">
      <w:pPr>
        <w:pStyle w:val="ActHead6"/>
        <w:pageBreakBefore/>
      </w:pPr>
      <w:bookmarkStart w:id="5" w:name="_Toc139624474"/>
      <w:r w:rsidRPr="003D5D4C">
        <w:rPr>
          <w:rStyle w:val="CharAmSchNo"/>
        </w:rPr>
        <w:lastRenderedPageBreak/>
        <w:t>Schedule 1</w:t>
      </w:r>
      <w:r w:rsidR="0048364F" w:rsidRPr="003D5D4C">
        <w:t>—</w:t>
      </w:r>
      <w:r w:rsidR="003304F1" w:rsidRPr="003D5D4C">
        <w:rPr>
          <w:rStyle w:val="CharAmSchText"/>
        </w:rPr>
        <w:t xml:space="preserve">Main </w:t>
      </w:r>
      <w:r w:rsidR="00C923A3" w:rsidRPr="003D5D4C">
        <w:rPr>
          <w:rStyle w:val="CharAmSchText"/>
        </w:rPr>
        <w:t>a</w:t>
      </w:r>
      <w:r w:rsidR="00460499" w:rsidRPr="003D5D4C">
        <w:rPr>
          <w:rStyle w:val="CharAmSchText"/>
        </w:rPr>
        <w:t>mendments</w:t>
      </w:r>
      <w:bookmarkEnd w:id="5"/>
    </w:p>
    <w:p w14:paraId="58D9BE7E" w14:textId="77777777" w:rsidR="0004044E" w:rsidRPr="003D5D4C" w:rsidRDefault="0004044E" w:rsidP="0004044E">
      <w:pPr>
        <w:pStyle w:val="Header"/>
      </w:pPr>
      <w:r w:rsidRPr="003D5D4C">
        <w:rPr>
          <w:rStyle w:val="CharAmPartNo"/>
        </w:rPr>
        <w:t xml:space="preserve"> </w:t>
      </w:r>
      <w:r w:rsidRPr="003D5D4C">
        <w:rPr>
          <w:rStyle w:val="CharAmPartText"/>
        </w:rPr>
        <w:t xml:space="preserve"> </w:t>
      </w:r>
    </w:p>
    <w:p w14:paraId="346DDF49" w14:textId="77777777" w:rsidR="00690D49" w:rsidRPr="003D5D4C" w:rsidRDefault="00690D49" w:rsidP="00690D49">
      <w:pPr>
        <w:pStyle w:val="ActHead9"/>
      </w:pPr>
      <w:bookmarkStart w:id="6" w:name="_Toc139624475"/>
      <w:r w:rsidRPr="003D5D4C">
        <w:t>Superannuation Industry (Supervision) Regulations 1994</w:t>
      </w:r>
      <w:bookmarkEnd w:id="6"/>
    </w:p>
    <w:p w14:paraId="761BC27E" w14:textId="77777777" w:rsidR="007E1CDD" w:rsidRPr="003D5D4C" w:rsidRDefault="00F75733" w:rsidP="007E1CDD">
      <w:pPr>
        <w:pStyle w:val="ItemHead"/>
      </w:pPr>
      <w:bookmarkStart w:id="7" w:name="_Hlk98835371"/>
      <w:r w:rsidRPr="003D5D4C">
        <w:t>1</w:t>
      </w:r>
      <w:r w:rsidR="007E1CDD" w:rsidRPr="003D5D4C">
        <w:t xml:space="preserve">  </w:t>
      </w:r>
      <w:r w:rsidR="000666F1" w:rsidRPr="003D5D4C">
        <w:t>Regulation 9</w:t>
      </w:r>
      <w:r w:rsidR="007E1CDD" w:rsidRPr="003D5D4C">
        <w:t>AB.1</w:t>
      </w:r>
    </w:p>
    <w:p w14:paraId="220146D9" w14:textId="77777777" w:rsidR="007E1CDD" w:rsidRPr="003D5D4C" w:rsidRDefault="007E1CDD" w:rsidP="007E1CDD">
      <w:pPr>
        <w:pStyle w:val="Item"/>
      </w:pPr>
      <w:r w:rsidRPr="003D5D4C">
        <w:t>Insert:</w:t>
      </w:r>
    </w:p>
    <w:p w14:paraId="2607BC0A" w14:textId="77777777" w:rsidR="007E1CDD" w:rsidRPr="003D5D4C" w:rsidRDefault="007E1CDD" w:rsidP="007E1CDD">
      <w:pPr>
        <w:pStyle w:val="Definition"/>
      </w:pPr>
      <w:r w:rsidRPr="003D5D4C">
        <w:rPr>
          <w:b/>
          <w:i/>
        </w:rPr>
        <w:t>adjusted index</w:t>
      </w:r>
      <w:r w:rsidRPr="003D5D4C">
        <w:t xml:space="preserve"> has the meaning given by </w:t>
      </w:r>
      <w:r w:rsidR="00F75733" w:rsidRPr="003D5D4C">
        <w:t>subregulation 9</w:t>
      </w:r>
      <w:r w:rsidRPr="003D5D4C">
        <w:t>AB.5A(7).</w:t>
      </w:r>
    </w:p>
    <w:p w14:paraId="11C590DF" w14:textId="77777777" w:rsidR="00690D49" w:rsidRPr="003D5D4C" w:rsidRDefault="00F75733" w:rsidP="00690D49">
      <w:pPr>
        <w:pStyle w:val="ItemHead"/>
      </w:pPr>
      <w:r w:rsidRPr="003D5D4C">
        <w:t>2</w:t>
      </w:r>
      <w:r w:rsidR="00690D49" w:rsidRPr="003D5D4C">
        <w:t xml:space="preserve">  </w:t>
      </w:r>
      <w:r w:rsidR="000666F1" w:rsidRPr="003D5D4C">
        <w:t>Regulation 9</w:t>
      </w:r>
      <w:r w:rsidR="00690D49" w:rsidRPr="003D5D4C">
        <w:t xml:space="preserve">AB.1 (definition of </w:t>
      </w:r>
      <w:r w:rsidR="00690D49" w:rsidRPr="003D5D4C">
        <w:rPr>
          <w:i/>
        </w:rPr>
        <w:t>asset allocation standard</w:t>
      </w:r>
      <w:r w:rsidR="00690D49" w:rsidRPr="003D5D4C">
        <w:t>)</w:t>
      </w:r>
    </w:p>
    <w:p w14:paraId="63536831" w14:textId="77777777" w:rsidR="00690D49" w:rsidRPr="003D5D4C" w:rsidRDefault="00690D49" w:rsidP="00690D49">
      <w:pPr>
        <w:pStyle w:val="Item"/>
      </w:pPr>
      <w:r w:rsidRPr="003D5D4C">
        <w:t>Repeal the definition, substitute:</w:t>
      </w:r>
    </w:p>
    <w:p w14:paraId="11D10DF3" w14:textId="77777777" w:rsidR="00690D49" w:rsidRPr="003D5D4C" w:rsidRDefault="00690D49" w:rsidP="00690D49">
      <w:pPr>
        <w:pStyle w:val="Definition"/>
      </w:pPr>
      <w:r w:rsidRPr="003D5D4C">
        <w:rPr>
          <w:b/>
          <w:i/>
        </w:rPr>
        <w:t>asset allocation standard</w:t>
      </w:r>
      <w:r w:rsidRPr="003D5D4C">
        <w:t xml:space="preserve"> means:</w:t>
      </w:r>
    </w:p>
    <w:p w14:paraId="1C10D735" w14:textId="77777777" w:rsidR="00690D49" w:rsidRPr="003D5D4C" w:rsidRDefault="00690D49" w:rsidP="00690D49">
      <w:pPr>
        <w:pStyle w:val="paragraph"/>
        <w:rPr>
          <w:i/>
        </w:rPr>
      </w:pPr>
      <w:r w:rsidRPr="003D5D4C">
        <w:tab/>
        <w:t>(a)</w:t>
      </w:r>
      <w:r w:rsidRPr="003D5D4C">
        <w:tab/>
        <w:t xml:space="preserve">the </w:t>
      </w:r>
      <w:r w:rsidRPr="003D5D4C">
        <w:rPr>
          <w:i/>
        </w:rPr>
        <w:t xml:space="preserve">Financial Sector (Collection of Data) (reporting standard) determination No. </w:t>
      </w:r>
      <w:r w:rsidR="00493810" w:rsidRPr="003D5D4C">
        <w:rPr>
          <w:i/>
        </w:rPr>
        <w:t>42</w:t>
      </w:r>
      <w:r w:rsidRPr="003D5D4C">
        <w:rPr>
          <w:i/>
        </w:rPr>
        <w:t xml:space="preserve"> of 202</w:t>
      </w:r>
      <w:r w:rsidR="00493810" w:rsidRPr="003D5D4C">
        <w:rPr>
          <w:i/>
        </w:rPr>
        <w:t>3</w:t>
      </w:r>
      <w:r w:rsidRPr="003D5D4C">
        <w:t>; or</w:t>
      </w:r>
    </w:p>
    <w:p w14:paraId="4D1CBB02" w14:textId="77777777" w:rsidR="00690D49" w:rsidRPr="003D5D4C" w:rsidRDefault="00690D49" w:rsidP="00690D49">
      <w:pPr>
        <w:pStyle w:val="paragraph"/>
      </w:pPr>
      <w:r w:rsidRPr="003D5D4C">
        <w:tab/>
        <w:t>(b)</w:t>
      </w:r>
      <w:r w:rsidRPr="003D5D4C">
        <w:tab/>
        <w:t>an analogous legislative instrument (whether or not the legislative instrument is in force).</w:t>
      </w:r>
    </w:p>
    <w:p w14:paraId="623F22C0" w14:textId="77777777" w:rsidR="00690D49" w:rsidRPr="003D5D4C" w:rsidRDefault="00F75733" w:rsidP="00690D49">
      <w:pPr>
        <w:pStyle w:val="ItemHead"/>
      </w:pPr>
      <w:r w:rsidRPr="003D5D4C">
        <w:t>3</w:t>
      </w:r>
      <w:r w:rsidR="00690D49" w:rsidRPr="003D5D4C">
        <w:t xml:space="preserve">  </w:t>
      </w:r>
      <w:r w:rsidR="000666F1" w:rsidRPr="003D5D4C">
        <w:t>Regulation 9</w:t>
      </w:r>
      <w:r w:rsidR="00690D49" w:rsidRPr="003D5D4C">
        <w:t>AB.1</w:t>
      </w:r>
    </w:p>
    <w:p w14:paraId="2B251696" w14:textId="77777777" w:rsidR="00690D49" w:rsidRPr="003D5D4C" w:rsidRDefault="00690D49" w:rsidP="00690D49">
      <w:pPr>
        <w:pStyle w:val="Item"/>
      </w:pPr>
      <w:r w:rsidRPr="003D5D4C">
        <w:t>Insert:</w:t>
      </w:r>
    </w:p>
    <w:p w14:paraId="48E0557A" w14:textId="77777777" w:rsidR="00B341FF" w:rsidRPr="003D5D4C" w:rsidRDefault="00B341FF" w:rsidP="00690D49">
      <w:pPr>
        <w:pStyle w:val="Definition"/>
      </w:pPr>
      <w:r w:rsidRPr="003D5D4C">
        <w:rPr>
          <w:b/>
          <w:i/>
        </w:rPr>
        <w:t>assumed index</w:t>
      </w:r>
      <w:r w:rsidRPr="003D5D4C">
        <w:t xml:space="preserve"> has the meaning given by </w:t>
      </w:r>
      <w:r w:rsidR="00F75733" w:rsidRPr="003D5D4C">
        <w:t>regulation 9</w:t>
      </w:r>
      <w:r w:rsidRPr="003D5D4C">
        <w:t>AB.17.</w:t>
      </w:r>
    </w:p>
    <w:p w14:paraId="613C131E" w14:textId="77777777" w:rsidR="00F53F3C" w:rsidRPr="003D5D4C" w:rsidRDefault="00690D49" w:rsidP="00690D49">
      <w:pPr>
        <w:pStyle w:val="Definition"/>
      </w:pPr>
      <w:r w:rsidRPr="003D5D4C">
        <w:rPr>
          <w:b/>
          <w:i/>
        </w:rPr>
        <w:t>currency exposure</w:t>
      </w:r>
      <w:r w:rsidR="00F53F3C" w:rsidRPr="003D5D4C">
        <w:t>:</w:t>
      </w:r>
    </w:p>
    <w:p w14:paraId="58B65205" w14:textId="77777777" w:rsidR="00F53F3C" w:rsidRPr="003D5D4C" w:rsidRDefault="00F53F3C" w:rsidP="00F53F3C">
      <w:pPr>
        <w:pStyle w:val="paragraph"/>
      </w:pPr>
      <w:r w:rsidRPr="003D5D4C">
        <w:tab/>
        <w:t>(a)</w:t>
      </w:r>
      <w:r w:rsidRPr="003D5D4C">
        <w:tab/>
      </w:r>
      <w:r w:rsidR="00DA3389" w:rsidRPr="003D5D4C">
        <w:t>of</w:t>
      </w:r>
      <w:r w:rsidRPr="003D5D4C">
        <w:t xml:space="preserve"> a standard </w:t>
      </w:r>
      <w:r w:rsidR="00D251D3" w:rsidRPr="003D5D4C">
        <w:t>Part 6</w:t>
      </w:r>
      <w:r w:rsidRPr="003D5D4C">
        <w:t xml:space="preserve">A product in relation to a quarter, means the </w:t>
      </w:r>
      <w:r w:rsidR="00D251D3" w:rsidRPr="003D5D4C">
        <w:t>Part 6</w:t>
      </w:r>
      <w:r w:rsidRPr="003D5D4C">
        <w:t>A product</w:t>
      </w:r>
      <w:r w:rsidR="001376B0" w:rsidRPr="003D5D4C">
        <w:t>’</w:t>
      </w:r>
      <w:r w:rsidRPr="003D5D4C">
        <w:t>s currency exposure in relation to the quarter, as reported to APRA in accordance with the applicable asset allocation standard; and</w:t>
      </w:r>
    </w:p>
    <w:p w14:paraId="657567C6" w14:textId="77777777" w:rsidR="00690D49" w:rsidRPr="003D5D4C" w:rsidRDefault="00F53F3C" w:rsidP="00F53F3C">
      <w:pPr>
        <w:pStyle w:val="paragraph"/>
      </w:pPr>
      <w:r w:rsidRPr="003D5D4C">
        <w:tab/>
        <w:t>(b)</w:t>
      </w:r>
      <w:r w:rsidRPr="003D5D4C">
        <w:tab/>
      </w:r>
      <w:r w:rsidR="00DA3389" w:rsidRPr="003D5D4C">
        <w:t xml:space="preserve">of </w:t>
      </w:r>
      <w:r w:rsidRPr="003D5D4C">
        <w:t xml:space="preserve">a lifecycle </w:t>
      </w:r>
      <w:r w:rsidR="00D251D3" w:rsidRPr="003D5D4C">
        <w:t>Part 6</w:t>
      </w:r>
      <w:r w:rsidRPr="003D5D4C">
        <w:t xml:space="preserve">A product in relation to a lifestage and a quarter, means the </w:t>
      </w:r>
      <w:r w:rsidR="00D251D3" w:rsidRPr="003D5D4C">
        <w:t>Part 6</w:t>
      </w:r>
      <w:r w:rsidRPr="003D5D4C">
        <w:t>A product</w:t>
      </w:r>
      <w:r w:rsidR="001376B0" w:rsidRPr="003D5D4C">
        <w:t>’</w:t>
      </w:r>
      <w:r w:rsidRPr="003D5D4C">
        <w:t>s currency exposure in relation to the lifestage and the quarter, as reported to APRA in accordance with the applicable asset allocation standard.</w:t>
      </w:r>
    </w:p>
    <w:p w14:paraId="641B0E97" w14:textId="77777777" w:rsidR="00690D49" w:rsidRPr="003D5D4C" w:rsidRDefault="00F75733" w:rsidP="00690D49">
      <w:pPr>
        <w:pStyle w:val="ItemHead"/>
      </w:pPr>
      <w:r w:rsidRPr="003D5D4C">
        <w:t>4</w:t>
      </w:r>
      <w:r w:rsidR="00690D49" w:rsidRPr="003D5D4C">
        <w:t xml:space="preserve">  </w:t>
      </w:r>
      <w:r w:rsidR="000666F1" w:rsidRPr="003D5D4C">
        <w:t>Regulation 9</w:t>
      </w:r>
      <w:r w:rsidR="00690D49" w:rsidRPr="003D5D4C">
        <w:t xml:space="preserve">AB.1 (definition of </w:t>
      </w:r>
      <w:r w:rsidR="00690D49" w:rsidRPr="003D5D4C">
        <w:rPr>
          <w:i/>
        </w:rPr>
        <w:t>fees standard</w:t>
      </w:r>
      <w:r w:rsidR="00690D49" w:rsidRPr="003D5D4C">
        <w:t>)</w:t>
      </w:r>
    </w:p>
    <w:p w14:paraId="7D0B93C3" w14:textId="77777777" w:rsidR="00690D49" w:rsidRPr="003D5D4C" w:rsidRDefault="00690D49" w:rsidP="00690D49">
      <w:pPr>
        <w:pStyle w:val="Item"/>
      </w:pPr>
      <w:r w:rsidRPr="003D5D4C">
        <w:t>Repeal the definition, substitute:</w:t>
      </w:r>
    </w:p>
    <w:p w14:paraId="4030A909" w14:textId="77777777" w:rsidR="00690D49" w:rsidRPr="003D5D4C" w:rsidRDefault="00690D49" w:rsidP="00690D49">
      <w:pPr>
        <w:pStyle w:val="Definition"/>
      </w:pPr>
      <w:r w:rsidRPr="003D5D4C">
        <w:rPr>
          <w:b/>
          <w:i/>
        </w:rPr>
        <w:t>fees standard</w:t>
      </w:r>
      <w:r w:rsidRPr="003D5D4C">
        <w:t xml:space="preserve"> means:</w:t>
      </w:r>
    </w:p>
    <w:p w14:paraId="25D1883A" w14:textId="77777777" w:rsidR="00690D49" w:rsidRPr="003D5D4C" w:rsidRDefault="00690D49" w:rsidP="00690D49">
      <w:pPr>
        <w:pStyle w:val="paragraph"/>
      </w:pPr>
      <w:r w:rsidRPr="003D5D4C">
        <w:tab/>
        <w:t>(a)</w:t>
      </w:r>
      <w:r w:rsidRPr="003D5D4C">
        <w:tab/>
        <w:t xml:space="preserve">the </w:t>
      </w:r>
      <w:r w:rsidRPr="003D5D4C">
        <w:rPr>
          <w:i/>
        </w:rPr>
        <w:t xml:space="preserve">Financial Sector (Collection of Data) (reporting standard) determination No. </w:t>
      </w:r>
      <w:r w:rsidR="00406548" w:rsidRPr="003D5D4C">
        <w:rPr>
          <w:i/>
        </w:rPr>
        <w:t>47</w:t>
      </w:r>
      <w:r w:rsidRPr="003D5D4C">
        <w:rPr>
          <w:i/>
        </w:rPr>
        <w:t xml:space="preserve"> of 202</w:t>
      </w:r>
      <w:r w:rsidR="00406548" w:rsidRPr="003D5D4C">
        <w:rPr>
          <w:i/>
        </w:rPr>
        <w:t>3</w:t>
      </w:r>
      <w:r w:rsidRPr="003D5D4C">
        <w:t>; or</w:t>
      </w:r>
    </w:p>
    <w:p w14:paraId="7263D742" w14:textId="77777777" w:rsidR="00690D49" w:rsidRPr="003D5D4C" w:rsidRDefault="00690D49" w:rsidP="00690D49">
      <w:pPr>
        <w:pStyle w:val="paragraph"/>
      </w:pPr>
      <w:r w:rsidRPr="003D5D4C">
        <w:tab/>
        <w:t>(b)</w:t>
      </w:r>
      <w:r w:rsidRPr="003D5D4C">
        <w:tab/>
        <w:t>an analogous legislative instrument (whether or not the legislative instrument is in force).</w:t>
      </w:r>
    </w:p>
    <w:p w14:paraId="7B45F609" w14:textId="77777777" w:rsidR="00690D49" w:rsidRPr="003D5D4C" w:rsidRDefault="00F75733" w:rsidP="00690D49">
      <w:pPr>
        <w:pStyle w:val="ItemHead"/>
      </w:pPr>
      <w:r w:rsidRPr="003D5D4C">
        <w:t>5</w:t>
      </w:r>
      <w:r w:rsidR="00690D49" w:rsidRPr="003D5D4C">
        <w:t xml:space="preserve">  </w:t>
      </w:r>
      <w:r w:rsidR="000666F1" w:rsidRPr="003D5D4C">
        <w:t>Regulation 9</w:t>
      </w:r>
      <w:r w:rsidR="00690D49" w:rsidRPr="003D5D4C">
        <w:t>AB.1</w:t>
      </w:r>
    </w:p>
    <w:p w14:paraId="45FCA93C" w14:textId="77777777" w:rsidR="00690D49" w:rsidRPr="003D5D4C" w:rsidRDefault="00690D49" w:rsidP="00690D49">
      <w:pPr>
        <w:pStyle w:val="Item"/>
      </w:pPr>
      <w:r w:rsidRPr="003D5D4C">
        <w:t>Insert:</w:t>
      </w:r>
    </w:p>
    <w:p w14:paraId="08F54748" w14:textId="77777777" w:rsidR="009545CE" w:rsidRPr="003D5D4C" w:rsidRDefault="00690D49" w:rsidP="00690D49">
      <w:pPr>
        <w:pStyle w:val="Definition"/>
      </w:pPr>
      <w:r w:rsidRPr="003D5D4C">
        <w:rPr>
          <w:b/>
          <w:i/>
        </w:rPr>
        <w:t>gross investment return net of fees</w:t>
      </w:r>
      <w:r w:rsidR="009545CE" w:rsidRPr="003D5D4C">
        <w:t>:</w:t>
      </w:r>
    </w:p>
    <w:p w14:paraId="44BC3886" w14:textId="77777777" w:rsidR="009545CE" w:rsidRPr="003D5D4C" w:rsidRDefault="009545CE" w:rsidP="009545CE">
      <w:pPr>
        <w:pStyle w:val="paragraph"/>
      </w:pPr>
      <w:r w:rsidRPr="003D5D4C">
        <w:tab/>
        <w:t>(a)</w:t>
      </w:r>
      <w:r w:rsidRPr="003D5D4C">
        <w:tab/>
      </w:r>
      <w:r w:rsidR="00F53F3C" w:rsidRPr="003D5D4C">
        <w:t>of</w:t>
      </w:r>
      <w:r w:rsidR="003930F8" w:rsidRPr="003D5D4C">
        <w:t xml:space="preserve"> </w:t>
      </w:r>
      <w:r w:rsidR="009B31D5" w:rsidRPr="003D5D4C">
        <w:t xml:space="preserve">a </w:t>
      </w:r>
      <w:r w:rsidRPr="003D5D4C">
        <w:t xml:space="preserve">standard </w:t>
      </w:r>
      <w:r w:rsidR="00D251D3" w:rsidRPr="003D5D4C">
        <w:t>Part 6</w:t>
      </w:r>
      <w:r w:rsidR="00690D49" w:rsidRPr="003D5D4C">
        <w:t>A product in relation to a quarter</w:t>
      </w:r>
      <w:r w:rsidR="003930F8" w:rsidRPr="003D5D4C">
        <w:t xml:space="preserve">, means the </w:t>
      </w:r>
      <w:r w:rsidR="00D251D3" w:rsidRPr="003D5D4C">
        <w:t>Part 6</w:t>
      </w:r>
      <w:r w:rsidR="003930F8" w:rsidRPr="003D5D4C">
        <w:t>A product</w:t>
      </w:r>
      <w:r w:rsidR="001376B0" w:rsidRPr="003D5D4C">
        <w:t>’</w:t>
      </w:r>
      <w:r w:rsidR="003930F8" w:rsidRPr="003D5D4C">
        <w:t>s gross investment return net of fees in relation to the quarter</w:t>
      </w:r>
      <w:r w:rsidR="00DA3389" w:rsidRPr="003D5D4C">
        <w:t>, as</w:t>
      </w:r>
      <w:r w:rsidR="003930F8" w:rsidRPr="003D5D4C">
        <w:t xml:space="preserve"> reported to APRA in accordance with the applicable investment performance standard</w:t>
      </w:r>
      <w:r w:rsidRPr="003D5D4C">
        <w:t xml:space="preserve">; </w:t>
      </w:r>
      <w:r w:rsidR="003930F8" w:rsidRPr="003D5D4C">
        <w:t>and</w:t>
      </w:r>
    </w:p>
    <w:p w14:paraId="03D13C55" w14:textId="77777777" w:rsidR="00690D49" w:rsidRPr="003D5D4C" w:rsidRDefault="009545CE" w:rsidP="003930F8">
      <w:pPr>
        <w:pStyle w:val="paragraph"/>
      </w:pPr>
      <w:r w:rsidRPr="003D5D4C">
        <w:lastRenderedPageBreak/>
        <w:tab/>
        <w:t>(b)</w:t>
      </w:r>
      <w:r w:rsidRPr="003D5D4C">
        <w:tab/>
      </w:r>
      <w:r w:rsidR="00F53F3C" w:rsidRPr="003D5D4C">
        <w:t>of</w:t>
      </w:r>
      <w:r w:rsidR="003930F8" w:rsidRPr="003D5D4C">
        <w:t xml:space="preserve"> </w:t>
      </w:r>
      <w:r w:rsidR="009B31D5" w:rsidRPr="003D5D4C">
        <w:t xml:space="preserve">a </w:t>
      </w:r>
      <w:r w:rsidRPr="003D5D4C">
        <w:t xml:space="preserve">lifecycle </w:t>
      </w:r>
      <w:r w:rsidR="00D251D3" w:rsidRPr="003D5D4C">
        <w:t>Part 6</w:t>
      </w:r>
      <w:r w:rsidRPr="003D5D4C">
        <w:t xml:space="preserve">A product in relation to </w:t>
      </w:r>
      <w:r w:rsidR="003618EC" w:rsidRPr="003D5D4C">
        <w:t xml:space="preserve">a lifestage and </w:t>
      </w:r>
      <w:r w:rsidRPr="003D5D4C">
        <w:t>a quarter</w:t>
      </w:r>
      <w:r w:rsidR="003930F8" w:rsidRPr="003D5D4C">
        <w:t>, m</w:t>
      </w:r>
      <w:r w:rsidR="00690D49" w:rsidRPr="003D5D4C">
        <w:t xml:space="preserve">eans </w:t>
      </w:r>
      <w:r w:rsidR="003930F8" w:rsidRPr="003D5D4C">
        <w:t xml:space="preserve">the </w:t>
      </w:r>
      <w:r w:rsidR="00D251D3" w:rsidRPr="003D5D4C">
        <w:t>Part 6</w:t>
      </w:r>
      <w:r w:rsidR="003930F8" w:rsidRPr="003D5D4C">
        <w:t>A product</w:t>
      </w:r>
      <w:r w:rsidR="001376B0" w:rsidRPr="003D5D4C">
        <w:t>’</w:t>
      </w:r>
      <w:r w:rsidR="003930F8" w:rsidRPr="003D5D4C">
        <w:t xml:space="preserve">s </w:t>
      </w:r>
      <w:r w:rsidR="00690D49" w:rsidRPr="003D5D4C">
        <w:t xml:space="preserve">gross investment return net of fees in relation to the </w:t>
      </w:r>
      <w:r w:rsidR="003930F8" w:rsidRPr="003D5D4C">
        <w:t xml:space="preserve">lifestage and the </w:t>
      </w:r>
      <w:r w:rsidR="00690D49" w:rsidRPr="003D5D4C">
        <w:t>quarter</w:t>
      </w:r>
      <w:r w:rsidR="00DA3389" w:rsidRPr="003D5D4C">
        <w:t>, as</w:t>
      </w:r>
      <w:r w:rsidR="00690D49" w:rsidRPr="003D5D4C">
        <w:t xml:space="preserve"> reported to APRA in accordance with the applicable investment performance standard.</w:t>
      </w:r>
    </w:p>
    <w:p w14:paraId="0D043F94" w14:textId="77777777" w:rsidR="0031275E" w:rsidRPr="003D5D4C" w:rsidRDefault="0031275E" w:rsidP="0031275E">
      <w:pPr>
        <w:pStyle w:val="Definition"/>
      </w:pPr>
      <w:r w:rsidRPr="003D5D4C">
        <w:rPr>
          <w:b/>
          <w:i/>
        </w:rPr>
        <w:t>hybrid platform TDP</w:t>
      </w:r>
      <w:r w:rsidRPr="003D5D4C">
        <w:t xml:space="preserve"> means a platform TDP that is offered through one or more investment menus of the generic type or the lifecycle option type (in addition to investment menus of the platform type), as reported to APRA in accordance with the applicable RSE structure standard.</w:t>
      </w:r>
    </w:p>
    <w:p w14:paraId="7707DB2B" w14:textId="77777777" w:rsidR="0096378F" w:rsidRPr="003D5D4C" w:rsidRDefault="0096378F" w:rsidP="007F1EA7">
      <w:pPr>
        <w:pStyle w:val="Definition"/>
      </w:pPr>
      <w:r w:rsidRPr="003D5D4C">
        <w:rPr>
          <w:b/>
          <w:i/>
        </w:rPr>
        <w:t>IEH percentage</w:t>
      </w:r>
      <w:r w:rsidR="007E1CDD" w:rsidRPr="003D5D4C">
        <w:t xml:space="preserve">, </w:t>
      </w:r>
      <w:r w:rsidR="007E1CDD" w:rsidRPr="003D5D4C">
        <w:rPr>
          <w:b/>
          <w:i/>
        </w:rPr>
        <w:t>IEU percentage</w:t>
      </w:r>
      <w:r w:rsidR="007E1CDD" w:rsidRPr="003D5D4C">
        <w:t xml:space="preserve"> and </w:t>
      </w:r>
      <w:r w:rsidR="007E1CDD" w:rsidRPr="003D5D4C">
        <w:rPr>
          <w:b/>
          <w:i/>
        </w:rPr>
        <w:t>IFI percentage</w:t>
      </w:r>
      <w:r w:rsidR="007E1CDD" w:rsidRPr="003D5D4C">
        <w:t xml:space="preserve"> have the meanings given by </w:t>
      </w:r>
      <w:r w:rsidR="00F75733" w:rsidRPr="003D5D4C">
        <w:t>subregulation 9</w:t>
      </w:r>
      <w:r w:rsidR="007E1CDD" w:rsidRPr="003D5D4C">
        <w:t>AB.5A(6).</w:t>
      </w:r>
    </w:p>
    <w:p w14:paraId="036FE8A0" w14:textId="77777777" w:rsidR="007F1EA7" w:rsidRPr="003D5D4C" w:rsidRDefault="00B341FF" w:rsidP="007F1EA7">
      <w:pPr>
        <w:pStyle w:val="Definition"/>
      </w:pPr>
      <w:r w:rsidRPr="003D5D4C">
        <w:rPr>
          <w:b/>
          <w:i/>
        </w:rPr>
        <w:t xml:space="preserve">index </w:t>
      </w:r>
      <w:r w:rsidRPr="003D5D4C">
        <w:t xml:space="preserve">has the meaning given by </w:t>
      </w:r>
      <w:r w:rsidR="00F75733" w:rsidRPr="003D5D4C">
        <w:t>regulation 9</w:t>
      </w:r>
      <w:r w:rsidRPr="003D5D4C">
        <w:t>AB.5A.</w:t>
      </w:r>
    </w:p>
    <w:p w14:paraId="773BFA18" w14:textId="77777777" w:rsidR="009F24C6" w:rsidRPr="003D5D4C" w:rsidRDefault="009F24C6" w:rsidP="00690D49">
      <w:pPr>
        <w:pStyle w:val="Definition"/>
        <w:rPr>
          <w:b/>
          <w:i/>
        </w:rPr>
      </w:pPr>
      <w:r w:rsidRPr="003D5D4C">
        <w:rPr>
          <w:b/>
          <w:i/>
        </w:rPr>
        <w:t xml:space="preserve">initial quarter </w:t>
      </w:r>
      <w:r w:rsidRPr="003D5D4C">
        <w:t xml:space="preserve">of a </w:t>
      </w:r>
      <w:r w:rsidR="00D251D3" w:rsidRPr="003D5D4C">
        <w:t>Part 6</w:t>
      </w:r>
      <w:r w:rsidRPr="003D5D4C">
        <w:t xml:space="preserve">A product means the first quarter in relation to which the trustee of the superannuation entity that offers the </w:t>
      </w:r>
      <w:r w:rsidR="00D251D3" w:rsidRPr="003D5D4C">
        <w:t>Part 6</w:t>
      </w:r>
      <w:r w:rsidRPr="003D5D4C">
        <w:t xml:space="preserve">A product reported to APRA, in accordance with the applicable investment performance standard, a net investment return or gross investment return net of fees of the </w:t>
      </w:r>
      <w:r w:rsidR="00D251D3" w:rsidRPr="003D5D4C">
        <w:t>Part 6</w:t>
      </w:r>
      <w:r w:rsidRPr="003D5D4C">
        <w:t>A product.</w:t>
      </w:r>
    </w:p>
    <w:p w14:paraId="52F65EDB" w14:textId="77777777" w:rsidR="00690D49" w:rsidRPr="003D5D4C" w:rsidRDefault="00690D49" w:rsidP="00690D49">
      <w:pPr>
        <w:pStyle w:val="Definition"/>
      </w:pPr>
      <w:r w:rsidRPr="003D5D4C">
        <w:rPr>
          <w:b/>
          <w:i/>
        </w:rPr>
        <w:t>investment pathway</w:t>
      </w:r>
      <w:r w:rsidRPr="003D5D4C">
        <w:t xml:space="preserve">: if there is a choice of different ways of investing in a </w:t>
      </w:r>
      <w:r w:rsidR="00D251D3" w:rsidRPr="003D5D4C">
        <w:t>Part 6</w:t>
      </w:r>
      <w:r w:rsidRPr="003D5D4C">
        <w:t xml:space="preserve">A product, as reported to APRA in accordance with the applicable RSE structure standard, each of those ways is an </w:t>
      </w:r>
      <w:r w:rsidRPr="003D5D4C">
        <w:rPr>
          <w:b/>
          <w:i/>
        </w:rPr>
        <w:t>investment pathway</w:t>
      </w:r>
      <w:r w:rsidRPr="003D5D4C">
        <w:t xml:space="preserve"> of the </w:t>
      </w:r>
      <w:r w:rsidR="00D251D3" w:rsidRPr="003D5D4C">
        <w:t>Part 6</w:t>
      </w:r>
      <w:r w:rsidRPr="003D5D4C">
        <w:t>A product.</w:t>
      </w:r>
    </w:p>
    <w:p w14:paraId="50A1E660" w14:textId="77777777" w:rsidR="00690D49" w:rsidRPr="003D5D4C" w:rsidRDefault="00690D49" w:rsidP="00690D49">
      <w:pPr>
        <w:pStyle w:val="Definition"/>
      </w:pPr>
      <w:r w:rsidRPr="003D5D4C">
        <w:rPr>
          <w:b/>
          <w:i/>
        </w:rPr>
        <w:t>investment pathway weight</w:t>
      </w:r>
      <w:r w:rsidRPr="003D5D4C">
        <w:t xml:space="preserve"> has the meaning given by </w:t>
      </w:r>
      <w:r w:rsidR="00F75733" w:rsidRPr="003D5D4C">
        <w:t>subregulation 9</w:t>
      </w:r>
      <w:r w:rsidRPr="003D5D4C">
        <w:t>AB.4A</w:t>
      </w:r>
      <w:r w:rsidR="00FF1FE5" w:rsidRPr="003D5D4C">
        <w:t>(9)</w:t>
      </w:r>
      <w:r w:rsidRPr="003D5D4C">
        <w:t>.</w:t>
      </w:r>
    </w:p>
    <w:p w14:paraId="6E0FE383" w14:textId="77777777" w:rsidR="00690D49" w:rsidRPr="003D5D4C" w:rsidRDefault="00F75733" w:rsidP="00690D49">
      <w:pPr>
        <w:pStyle w:val="ItemHead"/>
      </w:pPr>
      <w:r w:rsidRPr="003D5D4C">
        <w:t>6</w:t>
      </w:r>
      <w:r w:rsidR="00690D49" w:rsidRPr="003D5D4C">
        <w:t xml:space="preserve">  </w:t>
      </w:r>
      <w:r w:rsidR="000666F1" w:rsidRPr="003D5D4C">
        <w:t>Regulation 9</w:t>
      </w:r>
      <w:r w:rsidR="00690D49" w:rsidRPr="003D5D4C">
        <w:t xml:space="preserve">AB.1 (definition of </w:t>
      </w:r>
      <w:r w:rsidR="00690D49" w:rsidRPr="003D5D4C">
        <w:rPr>
          <w:i/>
        </w:rPr>
        <w:t>investment performance standard</w:t>
      </w:r>
      <w:r w:rsidR="00690D49" w:rsidRPr="003D5D4C">
        <w:t>)</w:t>
      </w:r>
    </w:p>
    <w:p w14:paraId="72981558" w14:textId="77777777" w:rsidR="00690D49" w:rsidRPr="003D5D4C" w:rsidRDefault="00690D49" w:rsidP="00690D49">
      <w:pPr>
        <w:pStyle w:val="Item"/>
      </w:pPr>
      <w:r w:rsidRPr="003D5D4C">
        <w:t>Repeal the definition, substitute:</w:t>
      </w:r>
    </w:p>
    <w:p w14:paraId="4F77BB71" w14:textId="77777777" w:rsidR="00690D49" w:rsidRPr="003D5D4C" w:rsidRDefault="00690D49" w:rsidP="00690D49">
      <w:pPr>
        <w:pStyle w:val="Definition"/>
      </w:pPr>
      <w:r w:rsidRPr="003D5D4C">
        <w:rPr>
          <w:b/>
          <w:i/>
        </w:rPr>
        <w:t xml:space="preserve">investment performance standard </w:t>
      </w:r>
      <w:r w:rsidRPr="003D5D4C">
        <w:t>means:</w:t>
      </w:r>
    </w:p>
    <w:p w14:paraId="3F5EBC3C" w14:textId="77777777" w:rsidR="00690D49" w:rsidRPr="003D5D4C" w:rsidRDefault="00690D49" w:rsidP="00690D49">
      <w:pPr>
        <w:pStyle w:val="paragraph"/>
      </w:pPr>
      <w:r w:rsidRPr="003D5D4C">
        <w:tab/>
        <w:t>(a)</w:t>
      </w:r>
      <w:r w:rsidRPr="003D5D4C">
        <w:tab/>
        <w:t xml:space="preserve">the </w:t>
      </w:r>
      <w:r w:rsidRPr="003D5D4C">
        <w:rPr>
          <w:i/>
        </w:rPr>
        <w:t xml:space="preserve">Financial Sector (Collection of Data) (reporting standard) determination No. </w:t>
      </w:r>
      <w:r w:rsidR="00406548" w:rsidRPr="003D5D4C">
        <w:rPr>
          <w:i/>
        </w:rPr>
        <w:t>45</w:t>
      </w:r>
      <w:r w:rsidRPr="003D5D4C">
        <w:rPr>
          <w:i/>
        </w:rPr>
        <w:t xml:space="preserve"> of 202</w:t>
      </w:r>
      <w:r w:rsidR="00406548" w:rsidRPr="003D5D4C">
        <w:rPr>
          <w:i/>
        </w:rPr>
        <w:t>3</w:t>
      </w:r>
      <w:r w:rsidRPr="003D5D4C">
        <w:t>; or</w:t>
      </w:r>
    </w:p>
    <w:p w14:paraId="30683000" w14:textId="77777777" w:rsidR="00690D49" w:rsidRPr="003D5D4C" w:rsidRDefault="00690D49" w:rsidP="00690D49">
      <w:pPr>
        <w:pStyle w:val="paragraph"/>
      </w:pPr>
      <w:r w:rsidRPr="003D5D4C">
        <w:tab/>
        <w:t>(b)</w:t>
      </w:r>
      <w:r w:rsidRPr="003D5D4C">
        <w:tab/>
        <w:t xml:space="preserve">the </w:t>
      </w:r>
      <w:r w:rsidRPr="003D5D4C">
        <w:rPr>
          <w:i/>
        </w:rPr>
        <w:t xml:space="preserve">Financial Sector (Collection of Data) (reporting standard) determination No. </w:t>
      </w:r>
      <w:r w:rsidR="00406548" w:rsidRPr="003D5D4C">
        <w:rPr>
          <w:i/>
        </w:rPr>
        <w:t>46</w:t>
      </w:r>
      <w:r w:rsidRPr="003D5D4C">
        <w:rPr>
          <w:i/>
        </w:rPr>
        <w:t xml:space="preserve"> of 202</w:t>
      </w:r>
      <w:r w:rsidR="00406548" w:rsidRPr="003D5D4C">
        <w:rPr>
          <w:i/>
        </w:rPr>
        <w:t>3</w:t>
      </w:r>
      <w:r w:rsidRPr="003D5D4C">
        <w:t>; or</w:t>
      </w:r>
    </w:p>
    <w:p w14:paraId="2806408D" w14:textId="77777777" w:rsidR="00690D49" w:rsidRPr="003D5D4C" w:rsidRDefault="00690D49" w:rsidP="00690D49">
      <w:pPr>
        <w:pStyle w:val="paragraph"/>
      </w:pPr>
      <w:r w:rsidRPr="003D5D4C">
        <w:tab/>
        <w:t>(c)</w:t>
      </w:r>
      <w:r w:rsidRPr="003D5D4C">
        <w:tab/>
        <w:t>an analogous legislative instrument (whether or not the legislative instrument is in force).</w:t>
      </w:r>
    </w:p>
    <w:p w14:paraId="12E71ED1" w14:textId="77777777" w:rsidR="0031275E" w:rsidRPr="003D5D4C" w:rsidRDefault="00F75733" w:rsidP="0031275E">
      <w:pPr>
        <w:pStyle w:val="ItemHead"/>
      </w:pPr>
      <w:r w:rsidRPr="003D5D4C">
        <w:t>7</w:t>
      </w:r>
      <w:r w:rsidR="0031275E" w:rsidRPr="003D5D4C">
        <w:t xml:space="preserve">  Regulation 9AB.1</w:t>
      </w:r>
    </w:p>
    <w:p w14:paraId="4795F73D" w14:textId="77777777" w:rsidR="0031275E" w:rsidRPr="003D5D4C" w:rsidRDefault="0031275E" w:rsidP="0031275E">
      <w:pPr>
        <w:pStyle w:val="Item"/>
      </w:pPr>
      <w:r w:rsidRPr="003D5D4C">
        <w:t>Insert:</w:t>
      </w:r>
    </w:p>
    <w:p w14:paraId="5F3ACBA8" w14:textId="77777777" w:rsidR="0031275E" w:rsidRPr="003D5D4C" w:rsidRDefault="0031275E" w:rsidP="0031275E">
      <w:pPr>
        <w:pStyle w:val="Definition"/>
      </w:pPr>
      <w:r w:rsidRPr="003D5D4C">
        <w:rPr>
          <w:b/>
          <w:i/>
        </w:rPr>
        <w:t>platform TDP</w:t>
      </w:r>
      <w:r w:rsidRPr="003D5D4C">
        <w:t xml:space="preserve"> means a trustee</w:t>
      </w:r>
      <w:r w:rsidR="00A70ACD" w:rsidRPr="003D5D4C">
        <w:noBreakHyphen/>
      </w:r>
      <w:r w:rsidRPr="003D5D4C">
        <w:t>directed product that is offered through one or more investment menus of the platform type, as reported to APRA in accordance with the applicable RSE structure standard.</w:t>
      </w:r>
    </w:p>
    <w:p w14:paraId="6DA3C678" w14:textId="77777777" w:rsidR="00690D49" w:rsidRPr="003D5D4C" w:rsidRDefault="00F75733" w:rsidP="00690D49">
      <w:pPr>
        <w:pStyle w:val="ItemHead"/>
      </w:pPr>
      <w:r w:rsidRPr="003D5D4C">
        <w:t>8</w:t>
      </w:r>
      <w:r w:rsidR="00690D49" w:rsidRPr="003D5D4C">
        <w:t xml:space="preserve">  </w:t>
      </w:r>
      <w:r w:rsidR="000666F1" w:rsidRPr="003D5D4C">
        <w:t>Regulation 9</w:t>
      </w:r>
      <w:r w:rsidR="00690D49" w:rsidRPr="003D5D4C">
        <w:t xml:space="preserve">AB.1 (definition of </w:t>
      </w:r>
      <w:r w:rsidR="00690D49" w:rsidRPr="003D5D4C">
        <w:rPr>
          <w:i/>
        </w:rPr>
        <w:t xml:space="preserve">representative </w:t>
      </w:r>
      <w:r w:rsidR="00690D49" w:rsidRPr="003D5D4C">
        <w:rPr>
          <w:bCs/>
          <w:i/>
        </w:rPr>
        <w:t>administration</w:t>
      </w:r>
      <w:r w:rsidR="00690D49" w:rsidRPr="003D5D4C">
        <w:rPr>
          <w:i/>
        </w:rPr>
        <w:t xml:space="preserve"> fees and expenses</w:t>
      </w:r>
      <w:r w:rsidR="00690D49" w:rsidRPr="003D5D4C">
        <w:t xml:space="preserve"> or </w:t>
      </w:r>
      <w:r w:rsidR="00690D49" w:rsidRPr="003D5D4C">
        <w:rPr>
          <w:i/>
        </w:rPr>
        <w:t>RAFE</w:t>
      </w:r>
      <w:r w:rsidR="00690D49" w:rsidRPr="003D5D4C">
        <w:t>)</w:t>
      </w:r>
    </w:p>
    <w:p w14:paraId="3F01CCA6" w14:textId="77777777" w:rsidR="00690D49" w:rsidRPr="003D5D4C" w:rsidRDefault="00690D49" w:rsidP="00690D49">
      <w:pPr>
        <w:pStyle w:val="Item"/>
      </w:pPr>
      <w:r w:rsidRPr="003D5D4C">
        <w:t>Repeal the definition, substitute:</w:t>
      </w:r>
    </w:p>
    <w:p w14:paraId="4314DB3D" w14:textId="77777777" w:rsidR="00690D49" w:rsidRPr="003D5D4C" w:rsidRDefault="00690D49" w:rsidP="00690D49">
      <w:pPr>
        <w:pStyle w:val="Definition"/>
      </w:pPr>
      <w:r w:rsidRPr="003D5D4C">
        <w:rPr>
          <w:b/>
          <w:i/>
        </w:rPr>
        <w:t xml:space="preserve">representative </w:t>
      </w:r>
      <w:r w:rsidRPr="003D5D4C">
        <w:rPr>
          <w:b/>
          <w:bCs/>
          <w:i/>
        </w:rPr>
        <w:t>administration</w:t>
      </w:r>
      <w:r w:rsidRPr="003D5D4C">
        <w:rPr>
          <w:b/>
          <w:i/>
        </w:rPr>
        <w:t xml:space="preserve"> fees and expenses</w:t>
      </w:r>
      <w:r w:rsidRPr="003D5D4C">
        <w:t xml:space="preserve"> or </w:t>
      </w:r>
      <w:r w:rsidRPr="003D5D4C">
        <w:rPr>
          <w:b/>
          <w:i/>
        </w:rPr>
        <w:t>RAFE</w:t>
      </w:r>
      <w:bookmarkEnd w:id="7"/>
      <w:r w:rsidRPr="003D5D4C">
        <w:t xml:space="preserve"> has the meaning given by </w:t>
      </w:r>
      <w:r w:rsidR="00F75733" w:rsidRPr="003D5D4C">
        <w:t>regulation 9</w:t>
      </w:r>
      <w:r w:rsidRPr="003D5D4C">
        <w:t>AB.4A.</w:t>
      </w:r>
    </w:p>
    <w:p w14:paraId="122B9252" w14:textId="77777777" w:rsidR="00690D49" w:rsidRPr="003D5D4C" w:rsidRDefault="00F75733" w:rsidP="00690D49">
      <w:pPr>
        <w:pStyle w:val="ItemHead"/>
      </w:pPr>
      <w:r w:rsidRPr="003D5D4C">
        <w:t>9</w:t>
      </w:r>
      <w:r w:rsidR="00690D49" w:rsidRPr="003D5D4C">
        <w:t xml:space="preserve">  </w:t>
      </w:r>
      <w:r w:rsidR="000666F1" w:rsidRPr="003D5D4C">
        <w:t>Regulation 9</w:t>
      </w:r>
      <w:r w:rsidR="00690D49" w:rsidRPr="003D5D4C">
        <w:t>AB.1</w:t>
      </w:r>
    </w:p>
    <w:p w14:paraId="2C99217E" w14:textId="77777777" w:rsidR="00690D49" w:rsidRPr="003D5D4C" w:rsidRDefault="00690D49" w:rsidP="00690D49">
      <w:pPr>
        <w:pStyle w:val="Item"/>
      </w:pPr>
      <w:r w:rsidRPr="003D5D4C">
        <w:t>Insert:</w:t>
      </w:r>
    </w:p>
    <w:p w14:paraId="09A6A01D" w14:textId="77777777" w:rsidR="00690D49" w:rsidRPr="003D5D4C" w:rsidRDefault="00690D49" w:rsidP="00690D49">
      <w:pPr>
        <w:pStyle w:val="Definition"/>
      </w:pPr>
      <w:r w:rsidRPr="003D5D4C">
        <w:rPr>
          <w:b/>
          <w:i/>
        </w:rPr>
        <w:lastRenderedPageBreak/>
        <w:t>RSE structure standard</w:t>
      </w:r>
      <w:r w:rsidRPr="003D5D4C">
        <w:t xml:space="preserve"> means:</w:t>
      </w:r>
    </w:p>
    <w:p w14:paraId="58593AFF" w14:textId="77777777" w:rsidR="00690D49" w:rsidRPr="003D5D4C" w:rsidRDefault="00690D49" w:rsidP="00690D49">
      <w:pPr>
        <w:pStyle w:val="paragraph"/>
        <w:rPr>
          <w:i/>
        </w:rPr>
      </w:pPr>
      <w:r w:rsidRPr="003D5D4C">
        <w:tab/>
        <w:t>(a)</w:t>
      </w:r>
      <w:r w:rsidRPr="003D5D4C">
        <w:tab/>
        <w:t xml:space="preserve">the </w:t>
      </w:r>
      <w:r w:rsidRPr="003D5D4C">
        <w:rPr>
          <w:i/>
        </w:rPr>
        <w:t xml:space="preserve">Financial Sector (Collection of Data) (reporting standard) determination No. </w:t>
      </w:r>
      <w:r w:rsidR="00406548" w:rsidRPr="003D5D4C">
        <w:rPr>
          <w:i/>
        </w:rPr>
        <w:t>43</w:t>
      </w:r>
      <w:r w:rsidRPr="003D5D4C">
        <w:rPr>
          <w:i/>
        </w:rPr>
        <w:t xml:space="preserve"> of 202</w:t>
      </w:r>
      <w:r w:rsidR="00406548" w:rsidRPr="003D5D4C">
        <w:rPr>
          <w:i/>
        </w:rPr>
        <w:t>3</w:t>
      </w:r>
      <w:r w:rsidRPr="003D5D4C">
        <w:t>; or</w:t>
      </w:r>
    </w:p>
    <w:p w14:paraId="723926E5" w14:textId="77777777" w:rsidR="00690D49" w:rsidRPr="003D5D4C" w:rsidRDefault="00690D49" w:rsidP="00690D49">
      <w:pPr>
        <w:pStyle w:val="paragraph"/>
      </w:pPr>
      <w:r w:rsidRPr="003D5D4C">
        <w:tab/>
        <w:t>(b)</w:t>
      </w:r>
      <w:r w:rsidRPr="003D5D4C">
        <w:tab/>
        <w:t xml:space="preserve">the </w:t>
      </w:r>
      <w:r w:rsidRPr="003D5D4C">
        <w:rPr>
          <w:i/>
        </w:rPr>
        <w:t xml:space="preserve">Financial Sector (Collection of Data) (reporting standard) determination No. </w:t>
      </w:r>
      <w:r w:rsidR="00406548" w:rsidRPr="003D5D4C">
        <w:rPr>
          <w:i/>
        </w:rPr>
        <w:t>44</w:t>
      </w:r>
      <w:r w:rsidRPr="003D5D4C">
        <w:rPr>
          <w:i/>
        </w:rPr>
        <w:t xml:space="preserve"> of 202</w:t>
      </w:r>
      <w:r w:rsidR="00406548" w:rsidRPr="003D5D4C">
        <w:rPr>
          <w:i/>
        </w:rPr>
        <w:t>3</w:t>
      </w:r>
      <w:r w:rsidRPr="003D5D4C">
        <w:t>; or</w:t>
      </w:r>
    </w:p>
    <w:p w14:paraId="15960C5D" w14:textId="77777777" w:rsidR="00690D49" w:rsidRPr="003D5D4C" w:rsidRDefault="00690D49" w:rsidP="00690D49">
      <w:pPr>
        <w:pStyle w:val="paragraph"/>
      </w:pPr>
      <w:r w:rsidRPr="003D5D4C">
        <w:tab/>
        <w:t>(c)</w:t>
      </w:r>
      <w:r w:rsidRPr="003D5D4C">
        <w:tab/>
        <w:t>an analogous legislative instrument (whether or not the legislative instrument is in force).</w:t>
      </w:r>
    </w:p>
    <w:p w14:paraId="3865184A" w14:textId="77777777" w:rsidR="00DB1035" w:rsidRPr="003D5D4C" w:rsidRDefault="00DB1035" w:rsidP="0031275E">
      <w:pPr>
        <w:pStyle w:val="Definition"/>
      </w:pPr>
      <w:r w:rsidRPr="003D5D4C">
        <w:rPr>
          <w:b/>
          <w:i/>
        </w:rPr>
        <w:t>standard fees and costs arrangement</w:t>
      </w:r>
      <w:r w:rsidRPr="003D5D4C">
        <w:t xml:space="preserve">, of a </w:t>
      </w:r>
      <w:r w:rsidR="00D251D3" w:rsidRPr="003D5D4C">
        <w:t>Part 6</w:t>
      </w:r>
      <w:r w:rsidRPr="003D5D4C">
        <w:t xml:space="preserve">A product </w:t>
      </w:r>
      <w:r w:rsidR="00DA2562" w:rsidRPr="003D5D4C">
        <w:t xml:space="preserve">in relation to </w:t>
      </w:r>
      <w:r w:rsidRPr="003D5D4C">
        <w:t xml:space="preserve">a period, means the </w:t>
      </w:r>
      <w:r w:rsidR="00D251D3" w:rsidRPr="003D5D4C">
        <w:t>Part 6</w:t>
      </w:r>
      <w:r w:rsidRPr="003D5D4C">
        <w:t>A product</w:t>
      </w:r>
      <w:r w:rsidR="001376B0" w:rsidRPr="003D5D4C">
        <w:t>’</w:t>
      </w:r>
      <w:r w:rsidRPr="003D5D4C">
        <w:t>s standard fees and costs arrangement</w:t>
      </w:r>
      <w:r w:rsidR="00B5787D" w:rsidRPr="003D5D4C">
        <w:t xml:space="preserve"> </w:t>
      </w:r>
      <w:r w:rsidR="00DA2562" w:rsidRPr="003D5D4C">
        <w:t xml:space="preserve">in relation to </w:t>
      </w:r>
      <w:r w:rsidR="00B5787D" w:rsidRPr="003D5D4C">
        <w:t>the period</w:t>
      </w:r>
      <w:r w:rsidRPr="003D5D4C">
        <w:t>, as reported to APRA in accordance with the applicable investment performance standard and applicable RSE structure standard.</w:t>
      </w:r>
    </w:p>
    <w:p w14:paraId="196193D2" w14:textId="77777777" w:rsidR="0031275E" w:rsidRPr="003D5D4C" w:rsidRDefault="0031275E" w:rsidP="0031275E">
      <w:pPr>
        <w:pStyle w:val="Definition"/>
      </w:pPr>
      <w:r w:rsidRPr="003D5D4C">
        <w:rPr>
          <w:b/>
          <w:i/>
        </w:rPr>
        <w:t>standard platform TDP</w:t>
      </w:r>
      <w:r w:rsidRPr="003D5D4C">
        <w:t xml:space="preserve"> means a platform TDP that is not a hybrid platform TDP.</w:t>
      </w:r>
    </w:p>
    <w:p w14:paraId="4F7096F6" w14:textId="77777777" w:rsidR="00B16E5E" w:rsidRPr="003D5D4C" w:rsidRDefault="00B16E5E" w:rsidP="00B16E5E">
      <w:pPr>
        <w:pStyle w:val="Definition"/>
      </w:pPr>
      <w:r w:rsidRPr="003D5D4C">
        <w:rPr>
          <w:b/>
          <w:i/>
        </w:rPr>
        <w:t>transaction costs cap</w:t>
      </w:r>
      <w:r w:rsidRPr="003D5D4C">
        <w:t xml:space="preserve">, of a </w:t>
      </w:r>
      <w:r w:rsidR="00D251D3" w:rsidRPr="003D5D4C">
        <w:t>Part 6</w:t>
      </w:r>
      <w:r w:rsidRPr="003D5D4C">
        <w:t xml:space="preserve">A product in relation to a financial year, means the </w:t>
      </w:r>
      <w:r w:rsidR="00D251D3" w:rsidRPr="003D5D4C">
        <w:t>Part 6</w:t>
      </w:r>
      <w:r w:rsidRPr="003D5D4C">
        <w:t>A product’s fee cap (for the transaction costs type of fee) in relation to the end of the financial year, as reported to APRA in accordance with the applicable fees standard.</w:t>
      </w:r>
    </w:p>
    <w:p w14:paraId="2D5C33A2" w14:textId="77777777" w:rsidR="00B16E5E" w:rsidRPr="003D5D4C" w:rsidRDefault="00205D70" w:rsidP="00B16E5E">
      <w:pPr>
        <w:pStyle w:val="Definition"/>
      </w:pPr>
      <w:r w:rsidRPr="003D5D4C">
        <w:rPr>
          <w:b/>
          <w:i/>
        </w:rPr>
        <w:t xml:space="preserve">transaction costs </w:t>
      </w:r>
      <w:r w:rsidR="00B16E5E" w:rsidRPr="003D5D4C">
        <w:rPr>
          <w:b/>
          <w:i/>
        </w:rPr>
        <w:t>flat amount</w:t>
      </w:r>
      <w:r w:rsidR="00B16E5E" w:rsidRPr="003D5D4C">
        <w:t xml:space="preserve">, of a </w:t>
      </w:r>
      <w:r w:rsidR="00D251D3" w:rsidRPr="003D5D4C">
        <w:t>Part 6</w:t>
      </w:r>
      <w:r w:rsidR="00B16E5E" w:rsidRPr="003D5D4C">
        <w:t xml:space="preserve">A product in relation to a financial year, means the </w:t>
      </w:r>
      <w:r w:rsidR="00D251D3" w:rsidRPr="003D5D4C">
        <w:t>Part 6</w:t>
      </w:r>
      <w:r w:rsidR="00B16E5E" w:rsidRPr="003D5D4C">
        <w:t xml:space="preserve">A product’s dollar amount (for the </w:t>
      </w:r>
      <w:r w:rsidRPr="003D5D4C">
        <w:t xml:space="preserve">transaction costs </w:t>
      </w:r>
      <w:r w:rsidR="00B16E5E" w:rsidRPr="003D5D4C">
        <w:t>type of fee) in relation to the end of the financial year, as reported to APRA in accordance with the applicable fees standard.</w:t>
      </w:r>
    </w:p>
    <w:p w14:paraId="4535A6A4" w14:textId="77777777" w:rsidR="00B16E5E" w:rsidRPr="003D5D4C" w:rsidRDefault="00205D70" w:rsidP="00B16E5E">
      <w:pPr>
        <w:pStyle w:val="Definition"/>
      </w:pPr>
      <w:r w:rsidRPr="003D5D4C">
        <w:rPr>
          <w:b/>
          <w:i/>
        </w:rPr>
        <w:t xml:space="preserve">transaction costs </w:t>
      </w:r>
      <w:r w:rsidR="00B16E5E" w:rsidRPr="003D5D4C">
        <w:rPr>
          <w:b/>
          <w:i/>
        </w:rPr>
        <w:t>percentage</w:t>
      </w:r>
      <w:r w:rsidR="00B16E5E" w:rsidRPr="003D5D4C">
        <w:t xml:space="preserve">, of a </w:t>
      </w:r>
      <w:r w:rsidR="00D251D3" w:rsidRPr="003D5D4C">
        <w:t>Part 6</w:t>
      </w:r>
      <w:r w:rsidR="00B16E5E" w:rsidRPr="003D5D4C">
        <w:t xml:space="preserve">A product in relation to a financial year, means the </w:t>
      </w:r>
      <w:r w:rsidR="00D251D3" w:rsidRPr="003D5D4C">
        <w:t>Part 6</w:t>
      </w:r>
      <w:r w:rsidR="00B16E5E" w:rsidRPr="003D5D4C">
        <w:t xml:space="preserve">A product’s percentage of member balance (for the </w:t>
      </w:r>
      <w:r w:rsidRPr="003D5D4C">
        <w:t xml:space="preserve">transaction costs </w:t>
      </w:r>
      <w:r w:rsidR="00B16E5E" w:rsidRPr="003D5D4C">
        <w:t>type of fee) in relation to the end of the financial year, as reported to APRA in accordance with the applicable fees standard.</w:t>
      </w:r>
    </w:p>
    <w:p w14:paraId="3646C4C9" w14:textId="77777777" w:rsidR="00690D49" w:rsidRPr="003D5D4C" w:rsidRDefault="00690D49" w:rsidP="00690D49">
      <w:pPr>
        <w:pStyle w:val="Definition"/>
      </w:pPr>
      <w:r w:rsidRPr="003D5D4C">
        <w:rPr>
          <w:b/>
          <w:i/>
        </w:rPr>
        <w:t>trustee</w:t>
      </w:r>
      <w:r w:rsidR="00A70ACD" w:rsidRPr="003D5D4C">
        <w:rPr>
          <w:b/>
          <w:i/>
        </w:rPr>
        <w:noBreakHyphen/>
      </w:r>
      <w:r w:rsidRPr="003D5D4C">
        <w:rPr>
          <w:b/>
          <w:i/>
        </w:rPr>
        <w:t xml:space="preserve">directed product </w:t>
      </w:r>
      <w:r w:rsidRPr="003D5D4C">
        <w:t xml:space="preserve">has the meaning given by </w:t>
      </w:r>
      <w:r w:rsidR="00F75733" w:rsidRPr="003D5D4C">
        <w:t>regulation 9</w:t>
      </w:r>
      <w:r w:rsidRPr="003D5D4C">
        <w:t>AB.2.</w:t>
      </w:r>
    </w:p>
    <w:p w14:paraId="53F81960" w14:textId="77777777" w:rsidR="00690D49" w:rsidRPr="003D5D4C" w:rsidRDefault="00F75733" w:rsidP="00690D49">
      <w:pPr>
        <w:pStyle w:val="ItemHead"/>
      </w:pPr>
      <w:r w:rsidRPr="003D5D4C">
        <w:t>10</w:t>
      </w:r>
      <w:r w:rsidR="00690D49" w:rsidRPr="003D5D4C">
        <w:t xml:space="preserve">  </w:t>
      </w:r>
      <w:r w:rsidRPr="003D5D4C">
        <w:t>Subregulation 9</w:t>
      </w:r>
      <w:r w:rsidR="00690D49" w:rsidRPr="003D5D4C">
        <w:t>AB.2(1)</w:t>
      </w:r>
    </w:p>
    <w:p w14:paraId="6FF26737" w14:textId="77777777" w:rsidR="00690D49" w:rsidRPr="003D5D4C" w:rsidRDefault="00690D49" w:rsidP="00690D49">
      <w:pPr>
        <w:pStyle w:val="Item"/>
      </w:pPr>
      <w:r w:rsidRPr="003D5D4C">
        <w:t>Repeal the subregulation, substitute:</w:t>
      </w:r>
    </w:p>
    <w:p w14:paraId="416EA609" w14:textId="77777777" w:rsidR="00690D49" w:rsidRPr="003D5D4C" w:rsidRDefault="00690D49" w:rsidP="00690D49">
      <w:pPr>
        <w:pStyle w:val="subsection"/>
      </w:pPr>
      <w:r w:rsidRPr="003D5D4C">
        <w:tab/>
        <w:t>(1)</w:t>
      </w:r>
      <w:r w:rsidRPr="003D5D4C">
        <w:tab/>
        <w:t>For the purposes of paragraph 60B(b) of the Act, trustee</w:t>
      </w:r>
      <w:r w:rsidR="00A70ACD" w:rsidRPr="003D5D4C">
        <w:noBreakHyphen/>
      </w:r>
      <w:r w:rsidRPr="003D5D4C">
        <w:t>directed products are identified as a class of beneficial interest in a regulated superannuation fund.</w:t>
      </w:r>
    </w:p>
    <w:p w14:paraId="4CE48741" w14:textId="77777777" w:rsidR="00690D49" w:rsidRPr="003D5D4C" w:rsidRDefault="00F75733" w:rsidP="00690D49">
      <w:pPr>
        <w:pStyle w:val="ItemHead"/>
      </w:pPr>
      <w:r w:rsidRPr="003D5D4C">
        <w:t>11</w:t>
      </w:r>
      <w:r w:rsidR="00690D49" w:rsidRPr="003D5D4C">
        <w:t xml:space="preserve">  </w:t>
      </w:r>
      <w:r w:rsidR="008217CF" w:rsidRPr="003D5D4C">
        <w:t>Paragraph 9</w:t>
      </w:r>
      <w:r w:rsidR="00690D49" w:rsidRPr="003D5D4C">
        <w:t>AB.2(2)(a)</w:t>
      </w:r>
    </w:p>
    <w:p w14:paraId="7625963C" w14:textId="77777777" w:rsidR="00690D49" w:rsidRPr="003D5D4C" w:rsidRDefault="00690D49" w:rsidP="00690D49">
      <w:pPr>
        <w:pStyle w:val="Item"/>
      </w:pPr>
      <w:r w:rsidRPr="003D5D4C">
        <w:t>Repeal the paragraph, substitute:</w:t>
      </w:r>
    </w:p>
    <w:p w14:paraId="1B0182E5" w14:textId="77777777" w:rsidR="00690D49" w:rsidRPr="003D5D4C" w:rsidRDefault="00690D49" w:rsidP="00690D49">
      <w:pPr>
        <w:pStyle w:val="paragraph"/>
      </w:pPr>
      <w:r w:rsidRPr="003D5D4C">
        <w:tab/>
        <w:t>(a)</w:t>
      </w:r>
      <w:r w:rsidRPr="003D5D4C">
        <w:tab/>
        <w:t>a</w:t>
      </w:r>
      <w:r w:rsidR="00155162" w:rsidRPr="003D5D4C">
        <w:t>t</w:t>
      </w:r>
      <w:r w:rsidRPr="003D5D4C">
        <w:t xml:space="preserve"> least one of the beneficial interests in the class is </w:t>
      </w:r>
      <w:r w:rsidRPr="003D5D4C">
        <w:rPr>
          <w:i/>
        </w:rPr>
        <w:t>not</w:t>
      </w:r>
      <w:r w:rsidRPr="003D5D4C">
        <w:t xml:space="preserve"> a superannuation interest (within the meaning of the 1997 Tax Act) that supports a superannuation income stream that is in the retirement phase; and</w:t>
      </w:r>
    </w:p>
    <w:p w14:paraId="240751DA" w14:textId="77777777" w:rsidR="00427989" w:rsidRPr="003D5D4C" w:rsidRDefault="00F75733" w:rsidP="00427989">
      <w:pPr>
        <w:pStyle w:val="ItemHead"/>
      </w:pPr>
      <w:r w:rsidRPr="003D5D4C">
        <w:t>12</w:t>
      </w:r>
      <w:r w:rsidR="00427989" w:rsidRPr="003D5D4C">
        <w:t xml:space="preserve">  </w:t>
      </w:r>
      <w:r w:rsidRPr="003D5D4C">
        <w:t>Subregulation 9</w:t>
      </w:r>
      <w:r w:rsidR="00427989" w:rsidRPr="003D5D4C">
        <w:t>AB.2(3)</w:t>
      </w:r>
    </w:p>
    <w:p w14:paraId="47DBD6AF" w14:textId="77777777" w:rsidR="00427989" w:rsidRPr="003D5D4C" w:rsidRDefault="00427989" w:rsidP="00427989">
      <w:pPr>
        <w:pStyle w:val="Item"/>
      </w:pPr>
      <w:r w:rsidRPr="003D5D4C">
        <w:t xml:space="preserve">Omit </w:t>
      </w:r>
      <w:r w:rsidR="001376B0" w:rsidRPr="003D5D4C">
        <w:t>“</w:t>
      </w:r>
      <w:r w:rsidR="00D251D3" w:rsidRPr="003D5D4C">
        <w:t>Part 6</w:t>
      </w:r>
      <w:r w:rsidRPr="003D5D4C">
        <w:t>A product</w:t>
      </w:r>
      <w:r w:rsidR="001376B0" w:rsidRPr="003D5D4C">
        <w:t>”</w:t>
      </w:r>
      <w:r w:rsidRPr="003D5D4C">
        <w:t xml:space="preserve">, substitute </w:t>
      </w:r>
      <w:r w:rsidR="001376B0" w:rsidRPr="003D5D4C">
        <w:t>“</w:t>
      </w:r>
      <w:r w:rsidRPr="003D5D4C">
        <w:t xml:space="preserve">standard </w:t>
      </w:r>
      <w:r w:rsidR="00D251D3" w:rsidRPr="003D5D4C">
        <w:t>Part 6</w:t>
      </w:r>
      <w:r w:rsidRPr="003D5D4C">
        <w:t>A product</w:t>
      </w:r>
      <w:r w:rsidR="001376B0" w:rsidRPr="003D5D4C">
        <w:t>”</w:t>
      </w:r>
      <w:r w:rsidRPr="003D5D4C">
        <w:t>.</w:t>
      </w:r>
    </w:p>
    <w:p w14:paraId="57C7E425" w14:textId="77777777" w:rsidR="00203317" w:rsidRPr="003D5D4C" w:rsidRDefault="00F75733" w:rsidP="00203317">
      <w:pPr>
        <w:pStyle w:val="ItemHead"/>
      </w:pPr>
      <w:r w:rsidRPr="003D5D4C">
        <w:t>13</w:t>
      </w:r>
      <w:r w:rsidR="00203317" w:rsidRPr="003D5D4C">
        <w:t xml:space="preserve">  After </w:t>
      </w:r>
      <w:r w:rsidRPr="003D5D4C">
        <w:t>subregulation 9</w:t>
      </w:r>
      <w:r w:rsidR="00203317" w:rsidRPr="003D5D4C">
        <w:t>AB.2(4)</w:t>
      </w:r>
    </w:p>
    <w:p w14:paraId="2A8840DA" w14:textId="77777777" w:rsidR="00203317" w:rsidRPr="003D5D4C" w:rsidRDefault="00203317" w:rsidP="00203317">
      <w:pPr>
        <w:pStyle w:val="Item"/>
      </w:pPr>
      <w:r w:rsidRPr="003D5D4C">
        <w:t>Insert:</w:t>
      </w:r>
    </w:p>
    <w:p w14:paraId="482CA3C4" w14:textId="77777777" w:rsidR="00203317" w:rsidRPr="003D5D4C" w:rsidRDefault="00203317" w:rsidP="00203317">
      <w:pPr>
        <w:pStyle w:val="subsection"/>
      </w:pPr>
      <w:r w:rsidRPr="003D5D4C">
        <w:lastRenderedPageBreak/>
        <w:tab/>
        <w:t>(4A)</w:t>
      </w:r>
      <w:r w:rsidRPr="003D5D4C">
        <w:tab/>
        <w:t xml:space="preserve">Despite subregulation (4), for the purposes of </w:t>
      </w:r>
      <w:r w:rsidR="00FB3C31" w:rsidRPr="003D5D4C">
        <w:t>sub</w:t>
      </w:r>
      <w:r w:rsidR="00F75733" w:rsidRPr="003D5D4C">
        <w:t>paragraph (</w:t>
      </w:r>
      <w:r w:rsidRPr="003D5D4C">
        <w:t>2)(b)(i), treat the covered asset classes for a quarter listed in each of the following paragraphs as each being one covered asset class for the quarter:</w:t>
      </w:r>
    </w:p>
    <w:p w14:paraId="7393755C" w14:textId="77777777" w:rsidR="00203317" w:rsidRPr="003D5D4C" w:rsidRDefault="00203317" w:rsidP="00203317">
      <w:pPr>
        <w:pStyle w:val="paragraph"/>
      </w:pPr>
      <w:r w:rsidRPr="003D5D4C">
        <w:tab/>
        <w:t>(a)</w:t>
      </w:r>
      <w:r w:rsidRPr="003D5D4C">
        <w:tab/>
        <w:t xml:space="preserve">the covered asset classes identified in </w:t>
      </w:r>
      <w:r w:rsidR="008217CF" w:rsidRPr="003D5D4C">
        <w:t>items 2</w:t>
      </w:r>
      <w:r w:rsidRPr="003D5D4C">
        <w:t xml:space="preserve">, 3, 4, 5, 6 and 7 of the table in </w:t>
      </w:r>
      <w:r w:rsidR="00F75733" w:rsidRPr="003D5D4C">
        <w:t>regulation 9</w:t>
      </w:r>
      <w:r w:rsidRPr="003D5D4C">
        <w:t>AB.17;</w:t>
      </w:r>
    </w:p>
    <w:p w14:paraId="7B0A3E7C" w14:textId="77777777" w:rsidR="00203317" w:rsidRPr="003D5D4C" w:rsidRDefault="00203317" w:rsidP="00203317">
      <w:pPr>
        <w:pStyle w:val="paragraph"/>
      </w:pPr>
      <w:r w:rsidRPr="003D5D4C">
        <w:tab/>
        <w:t>(b)</w:t>
      </w:r>
      <w:r w:rsidRPr="003D5D4C">
        <w:tab/>
        <w:t xml:space="preserve">the covered asset classes identified in </w:t>
      </w:r>
      <w:r w:rsidR="008217CF" w:rsidRPr="003D5D4C">
        <w:t>items 1</w:t>
      </w:r>
      <w:r w:rsidRPr="003D5D4C">
        <w:t>6, 17 and 18 of that table;</w:t>
      </w:r>
    </w:p>
    <w:p w14:paraId="530C02D2" w14:textId="77777777" w:rsidR="00203317" w:rsidRPr="003D5D4C" w:rsidRDefault="00203317" w:rsidP="00203317">
      <w:pPr>
        <w:pStyle w:val="paragraph"/>
      </w:pPr>
      <w:r w:rsidRPr="003D5D4C">
        <w:tab/>
        <w:t>(c)</w:t>
      </w:r>
      <w:r w:rsidRPr="003D5D4C">
        <w:tab/>
        <w:t xml:space="preserve">the covered asset classes identified in </w:t>
      </w:r>
      <w:r w:rsidR="008217CF" w:rsidRPr="003D5D4C">
        <w:t>items 1</w:t>
      </w:r>
      <w:r w:rsidRPr="003D5D4C">
        <w:t>9, 20 and 21 of that table</w:t>
      </w:r>
      <w:r w:rsidR="00F65F04" w:rsidRPr="003D5D4C">
        <w:t>;</w:t>
      </w:r>
    </w:p>
    <w:p w14:paraId="0ED52229" w14:textId="77777777" w:rsidR="00F65F04" w:rsidRPr="003D5D4C" w:rsidRDefault="00F65F04" w:rsidP="00F65F04">
      <w:pPr>
        <w:pStyle w:val="paragraph"/>
      </w:pPr>
      <w:r w:rsidRPr="003D5D4C">
        <w:tab/>
        <w:t>(d)</w:t>
      </w:r>
      <w:r w:rsidRPr="003D5D4C">
        <w:tab/>
        <w:t>the covered asset classes identified in items 24, 25 and 26 of that table.</w:t>
      </w:r>
    </w:p>
    <w:p w14:paraId="218C39A4" w14:textId="77777777" w:rsidR="00D77EC5" w:rsidRPr="003D5D4C" w:rsidRDefault="00F75733" w:rsidP="00D77EC5">
      <w:pPr>
        <w:pStyle w:val="ItemHead"/>
      </w:pPr>
      <w:r w:rsidRPr="003D5D4C">
        <w:t>14</w:t>
      </w:r>
      <w:r w:rsidR="00D77EC5" w:rsidRPr="003D5D4C">
        <w:t xml:space="preserve">  </w:t>
      </w:r>
      <w:r w:rsidRPr="003D5D4C">
        <w:t>Subregulation 9</w:t>
      </w:r>
      <w:r w:rsidR="00D77EC5" w:rsidRPr="003D5D4C">
        <w:t>AB.3(5)</w:t>
      </w:r>
    </w:p>
    <w:p w14:paraId="1B8C0BA4" w14:textId="77777777" w:rsidR="009F24C6" w:rsidRPr="003D5D4C" w:rsidRDefault="009F24C6" w:rsidP="009F24C6">
      <w:pPr>
        <w:pStyle w:val="Item"/>
      </w:pPr>
      <w:r w:rsidRPr="003D5D4C">
        <w:t>Repeal the subregulation, substitute:</w:t>
      </w:r>
    </w:p>
    <w:p w14:paraId="66A75BDB" w14:textId="77777777" w:rsidR="009F24C6" w:rsidRPr="003D5D4C" w:rsidRDefault="009F24C6" w:rsidP="009F24C6">
      <w:pPr>
        <w:pStyle w:val="subsection"/>
      </w:pPr>
      <w:r w:rsidRPr="003D5D4C">
        <w:tab/>
        <w:t>(5)</w:t>
      </w:r>
      <w:r w:rsidRPr="003D5D4C">
        <w:tab/>
        <w:t>For the purposes of sub</w:t>
      </w:r>
      <w:r w:rsidR="00F75733" w:rsidRPr="003D5D4C">
        <w:t>paragraph (</w:t>
      </w:r>
      <w:r w:rsidRPr="003D5D4C">
        <w:t xml:space="preserve">3)(b)(ii), if the previous quarter is before the </w:t>
      </w:r>
      <w:r w:rsidR="00D251D3" w:rsidRPr="003D5D4C">
        <w:t>Part 6</w:t>
      </w:r>
      <w:r w:rsidRPr="003D5D4C">
        <w:t>A product</w:t>
      </w:r>
      <w:r w:rsidR="001376B0" w:rsidRPr="003D5D4C">
        <w:t>’</w:t>
      </w:r>
      <w:r w:rsidRPr="003D5D4C">
        <w:t>s initial quarter, treat the reference in that subparagraph to the previous quarter as being a reference to the initial quarter.</w:t>
      </w:r>
    </w:p>
    <w:p w14:paraId="3D7BD320" w14:textId="77777777" w:rsidR="00D77EC5" w:rsidRPr="003D5D4C" w:rsidRDefault="00F75733" w:rsidP="00D77EC5">
      <w:pPr>
        <w:pStyle w:val="ItemHead"/>
      </w:pPr>
      <w:r w:rsidRPr="003D5D4C">
        <w:t>15</w:t>
      </w:r>
      <w:r w:rsidR="00D77EC5" w:rsidRPr="003D5D4C">
        <w:t xml:space="preserve">  </w:t>
      </w:r>
      <w:r w:rsidRPr="003D5D4C">
        <w:t>Subregulation 9</w:t>
      </w:r>
      <w:r w:rsidR="00D77EC5" w:rsidRPr="003D5D4C">
        <w:t>AB.4(2)</w:t>
      </w:r>
    </w:p>
    <w:p w14:paraId="525F420C" w14:textId="77777777" w:rsidR="005D3D6F" w:rsidRPr="003D5D4C" w:rsidRDefault="005D3D6F" w:rsidP="005D3D6F">
      <w:pPr>
        <w:pStyle w:val="Item"/>
      </w:pPr>
      <w:r w:rsidRPr="003D5D4C">
        <w:t>Repeal the subregulation, substitute:</w:t>
      </w:r>
    </w:p>
    <w:p w14:paraId="2B75B4E1" w14:textId="77777777" w:rsidR="005D3D6F" w:rsidRPr="003D5D4C" w:rsidRDefault="005D3D6F" w:rsidP="005D3D6F">
      <w:pPr>
        <w:pStyle w:val="subsection"/>
      </w:pPr>
      <w:r w:rsidRPr="003D5D4C">
        <w:tab/>
        <w:t>(2)</w:t>
      </w:r>
      <w:r w:rsidRPr="003D5D4C">
        <w:tab/>
        <w:t xml:space="preserve">For the purposes of subregulation (1), if the previous quarter is before the </w:t>
      </w:r>
      <w:r w:rsidR="00D251D3" w:rsidRPr="003D5D4C">
        <w:t>Part 6</w:t>
      </w:r>
      <w:r w:rsidRPr="003D5D4C">
        <w:t>A product</w:t>
      </w:r>
      <w:r w:rsidR="001376B0" w:rsidRPr="003D5D4C">
        <w:t>’</w:t>
      </w:r>
      <w:r w:rsidRPr="003D5D4C">
        <w:t>s initial quarter, treat the references in subregulation (1) to the previous quarter as being references to the initial quarter.</w:t>
      </w:r>
    </w:p>
    <w:p w14:paraId="5DA8F281" w14:textId="77777777" w:rsidR="00690D49" w:rsidRPr="003D5D4C" w:rsidRDefault="00F75733" w:rsidP="00690D49">
      <w:pPr>
        <w:pStyle w:val="ItemHead"/>
      </w:pPr>
      <w:r w:rsidRPr="003D5D4C">
        <w:t>16</w:t>
      </w:r>
      <w:r w:rsidR="00690D49" w:rsidRPr="003D5D4C">
        <w:t xml:space="preserve">  After </w:t>
      </w:r>
      <w:r w:rsidRPr="003D5D4C">
        <w:t>regulation 9</w:t>
      </w:r>
      <w:r w:rsidR="00690D49" w:rsidRPr="003D5D4C">
        <w:t>AB.4</w:t>
      </w:r>
    </w:p>
    <w:p w14:paraId="356C25BE" w14:textId="77777777" w:rsidR="00690D49" w:rsidRPr="003D5D4C" w:rsidRDefault="00690D49" w:rsidP="00690D49">
      <w:pPr>
        <w:pStyle w:val="Item"/>
      </w:pPr>
      <w:r w:rsidRPr="003D5D4C">
        <w:t>Insert:</w:t>
      </w:r>
    </w:p>
    <w:p w14:paraId="10F0AC90" w14:textId="77777777" w:rsidR="00690D49" w:rsidRPr="003D5D4C" w:rsidRDefault="00690D49" w:rsidP="00690D49">
      <w:pPr>
        <w:pStyle w:val="ActHead5"/>
        <w:rPr>
          <w:i/>
        </w:rPr>
      </w:pPr>
      <w:bookmarkStart w:id="8" w:name="_Toc139624476"/>
      <w:r w:rsidRPr="003D5D4C">
        <w:rPr>
          <w:rStyle w:val="CharSectno"/>
        </w:rPr>
        <w:t>9AB.4A</w:t>
      </w:r>
      <w:r w:rsidRPr="003D5D4C">
        <w:t xml:space="preserve">  Meaning of </w:t>
      </w:r>
      <w:r w:rsidRPr="003D5D4C">
        <w:rPr>
          <w:i/>
        </w:rPr>
        <w:t xml:space="preserve">representative </w:t>
      </w:r>
      <w:r w:rsidRPr="003D5D4C">
        <w:rPr>
          <w:bCs/>
          <w:i/>
        </w:rPr>
        <w:t>administration</w:t>
      </w:r>
      <w:r w:rsidRPr="003D5D4C">
        <w:rPr>
          <w:i/>
        </w:rPr>
        <w:t xml:space="preserve"> fees and expenses</w:t>
      </w:r>
      <w:r w:rsidRPr="003D5D4C">
        <w:t xml:space="preserve"> or </w:t>
      </w:r>
      <w:r w:rsidRPr="003D5D4C">
        <w:rPr>
          <w:i/>
        </w:rPr>
        <w:t>RAFE</w:t>
      </w:r>
      <w:bookmarkEnd w:id="8"/>
    </w:p>
    <w:p w14:paraId="7C18CF2D" w14:textId="77777777" w:rsidR="00690D49" w:rsidRPr="003D5D4C" w:rsidRDefault="00690D49" w:rsidP="00690D49">
      <w:pPr>
        <w:pStyle w:val="subsection"/>
      </w:pPr>
      <w:r w:rsidRPr="003D5D4C">
        <w:tab/>
        <w:t>(1)</w:t>
      </w:r>
      <w:r w:rsidRPr="003D5D4C">
        <w:tab/>
      </w:r>
      <w:r w:rsidRPr="003D5D4C">
        <w:rPr>
          <w:b/>
          <w:i/>
        </w:rPr>
        <w:t xml:space="preserve">Representative </w:t>
      </w:r>
      <w:r w:rsidRPr="003D5D4C">
        <w:rPr>
          <w:b/>
          <w:bCs/>
          <w:i/>
        </w:rPr>
        <w:t>administration</w:t>
      </w:r>
      <w:r w:rsidRPr="003D5D4C">
        <w:rPr>
          <w:b/>
          <w:i/>
        </w:rPr>
        <w:t xml:space="preserve"> fees</w:t>
      </w:r>
      <w:r w:rsidRPr="003D5D4C">
        <w:rPr>
          <w:i/>
        </w:rPr>
        <w:t xml:space="preserve"> </w:t>
      </w:r>
      <w:r w:rsidRPr="003D5D4C">
        <w:rPr>
          <w:b/>
          <w:i/>
        </w:rPr>
        <w:t>and expenses</w:t>
      </w:r>
      <w:r w:rsidRPr="003D5D4C">
        <w:t xml:space="preserve"> or </w:t>
      </w:r>
      <w:r w:rsidRPr="003D5D4C">
        <w:rPr>
          <w:b/>
          <w:i/>
        </w:rPr>
        <w:t>RAFE</w:t>
      </w:r>
      <w:r w:rsidRPr="003D5D4C">
        <w:t xml:space="preserve">, for a </w:t>
      </w:r>
      <w:r w:rsidR="00D251D3" w:rsidRPr="003D5D4C">
        <w:t>Part 6</w:t>
      </w:r>
      <w:r w:rsidRPr="003D5D4C">
        <w:t>A product in relation to a period, means the sum of the following:</w:t>
      </w:r>
    </w:p>
    <w:p w14:paraId="5ED0DA65" w14:textId="77777777" w:rsidR="00690D49" w:rsidRPr="003D5D4C" w:rsidRDefault="00690D49" w:rsidP="00690D49">
      <w:pPr>
        <w:pStyle w:val="paragraph"/>
      </w:pPr>
      <w:r w:rsidRPr="003D5D4C">
        <w:tab/>
        <w:t>(a)</w:t>
      </w:r>
      <w:r w:rsidRPr="003D5D4C">
        <w:tab/>
        <w:t xml:space="preserve">the </w:t>
      </w:r>
      <w:r w:rsidR="00D251D3" w:rsidRPr="003D5D4C">
        <w:t>Part 6</w:t>
      </w:r>
      <w:r w:rsidRPr="003D5D4C">
        <w:t>A product</w:t>
      </w:r>
      <w:r w:rsidR="001376B0" w:rsidRPr="003D5D4C">
        <w:t>’</w:t>
      </w:r>
      <w:r w:rsidRPr="003D5D4C">
        <w:t>s administration fees and costs, and related tax expenses and benefits</w:t>
      </w:r>
      <w:r w:rsidR="00A135E7" w:rsidRPr="003D5D4C">
        <w:t>,</w:t>
      </w:r>
      <w:r w:rsidRPr="003D5D4C">
        <w:t xml:space="preserve"> in relation to the period</w:t>
      </w:r>
      <w:r w:rsidR="00B07D72" w:rsidRPr="003D5D4C">
        <w:t xml:space="preserve"> under the </w:t>
      </w:r>
      <w:r w:rsidR="00D251D3" w:rsidRPr="003D5D4C">
        <w:t>Part 6</w:t>
      </w:r>
      <w:r w:rsidR="00B07D72" w:rsidRPr="003D5D4C">
        <w:t>A product</w:t>
      </w:r>
      <w:r w:rsidR="001376B0" w:rsidRPr="003D5D4C">
        <w:t>’</w:t>
      </w:r>
      <w:r w:rsidR="00B07D72" w:rsidRPr="003D5D4C">
        <w:t>s standard fees and costs arrangement in relation to the period as reported to APRA in accordance with the applicable investment performance standard and applicable RSE structure standard</w:t>
      </w:r>
      <w:r w:rsidRPr="003D5D4C">
        <w:t>;</w:t>
      </w:r>
    </w:p>
    <w:p w14:paraId="0D574802" w14:textId="77777777" w:rsidR="005D25A6" w:rsidRPr="003D5D4C" w:rsidRDefault="00690D49" w:rsidP="00690D49">
      <w:pPr>
        <w:pStyle w:val="paragraph"/>
      </w:pPr>
      <w:r w:rsidRPr="003D5D4C">
        <w:tab/>
        <w:t>(b)</w:t>
      </w:r>
      <w:r w:rsidRPr="003D5D4C">
        <w:tab/>
        <w:t xml:space="preserve">the </w:t>
      </w:r>
      <w:r w:rsidR="00D251D3" w:rsidRPr="003D5D4C">
        <w:t>Part 6</w:t>
      </w:r>
      <w:r w:rsidRPr="003D5D4C">
        <w:t>A product</w:t>
      </w:r>
      <w:r w:rsidR="001376B0" w:rsidRPr="003D5D4C">
        <w:t>’</w:t>
      </w:r>
      <w:r w:rsidRPr="003D5D4C">
        <w:t>s advice fees and costs, and related tax expenses and benefits</w:t>
      </w:r>
      <w:r w:rsidR="00A135E7" w:rsidRPr="003D5D4C">
        <w:t>,</w:t>
      </w:r>
      <w:r w:rsidRPr="003D5D4C">
        <w:t xml:space="preserve"> in relation to the period</w:t>
      </w:r>
      <w:r w:rsidR="00B07D72" w:rsidRPr="003D5D4C">
        <w:t xml:space="preserve"> under </w:t>
      </w:r>
      <w:r w:rsidR="008E3333" w:rsidRPr="003D5D4C">
        <w:t>that</w:t>
      </w:r>
      <w:r w:rsidR="00B07D72" w:rsidRPr="003D5D4C">
        <w:t xml:space="preserve"> standard fees and costs arrangement.</w:t>
      </w:r>
    </w:p>
    <w:p w14:paraId="68723D1B" w14:textId="77777777" w:rsidR="004D0771" w:rsidRPr="003D5D4C" w:rsidRDefault="00690D49" w:rsidP="00690D49">
      <w:pPr>
        <w:pStyle w:val="subsection"/>
      </w:pPr>
      <w:r w:rsidRPr="003D5D4C">
        <w:tab/>
        <w:t>(2)</w:t>
      </w:r>
      <w:r w:rsidRPr="003D5D4C">
        <w:tab/>
        <w:t xml:space="preserve">In working out an amount for the purposes of </w:t>
      </w:r>
      <w:r w:rsidR="00F75733" w:rsidRPr="003D5D4C">
        <w:t>paragraph (</w:t>
      </w:r>
      <w:r w:rsidRPr="003D5D4C">
        <w:t xml:space="preserve">1)(a) or (b), assume that the amount related to a beneficiary of the entity offering the </w:t>
      </w:r>
      <w:r w:rsidR="00D251D3" w:rsidRPr="003D5D4C">
        <w:t>Part 6</w:t>
      </w:r>
      <w:r w:rsidRPr="003D5D4C">
        <w:t xml:space="preserve">A product with an account balance in respect of the </w:t>
      </w:r>
      <w:r w:rsidR="00D251D3" w:rsidRPr="003D5D4C">
        <w:t>Part 6</w:t>
      </w:r>
      <w:r w:rsidRPr="003D5D4C">
        <w:t xml:space="preserve">A product </w:t>
      </w:r>
      <w:r w:rsidR="004D0771" w:rsidRPr="003D5D4C">
        <w:t xml:space="preserve">throughout the period </w:t>
      </w:r>
      <w:r w:rsidRPr="003D5D4C">
        <w:t>of</w:t>
      </w:r>
      <w:r w:rsidR="004D0771" w:rsidRPr="003D5D4C">
        <w:t>:</w:t>
      </w:r>
    </w:p>
    <w:p w14:paraId="019F207C" w14:textId="77777777" w:rsidR="004D0771" w:rsidRPr="003D5D4C" w:rsidRDefault="004D0771" w:rsidP="004D0771">
      <w:pPr>
        <w:pStyle w:val="paragraph"/>
      </w:pPr>
      <w:r w:rsidRPr="003D5D4C">
        <w:tab/>
        <w:t>(a)</w:t>
      </w:r>
      <w:r w:rsidRPr="003D5D4C">
        <w:tab/>
        <w:t xml:space="preserve">if </w:t>
      </w:r>
      <w:r w:rsidR="00F75733" w:rsidRPr="003D5D4C">
        <w:t>paragraph (</w:t>
      </w:r>
      <w:r w:rsidRPr="003D5D4C">
        <w:t>b) does not apply—</w:t>
      </w:r>
      <w:r w:rsidR="00690D49" w:rsidRPr="003D5D4C">
        <w:t>$50,000</w:t>
      </w:r>
      <w:r w:rsidRPr="003D5D4C">
        <w:t>;</w:t>
      </w:r>
    </w:p>
    <w:p w14:paraId="50ADE932" w14:textId="77777777" w:rsidR="00690D49" w:rsidRPr="003D5D4C" w:rsidRDefault="004D0771" w:rsidP="004D0771">
      <w:pPr>
        <w:pStyle w:val="paragraph"/>
      </w:pPr>
      <w:r w:rsidRPr="003D5D4C">
        <w:tab/>
        <w:t>(b)</w:t>
      </w:r>
      <w:r w:rsidRPr="003D5D4C">
        <w:tab/>
        <w:t xml:space="preserve">if there is a minimum balance requirement to access the </w:t>
      </w:r>
      <w:r w:rsidR="00D251D3" w:rsidRPr="003D5D4C">
        <w:t>Part 6</w:t>
      </w:r>
      <w:r w:rsidRPr="003D5D4C">
        <w:t>A product that is greater than $50,000—that minimum balance</w:t>
      </w:r>
      <w:r w:rsidR="00690D49" w:rsidRPr="003D5D4C">
        <w:t>.</w:t>
      </w:r>
    </w:p>
    <w:p w14:paraId="3AD80D30" w14:textId="77777777" w:rsidR="00690D49" w:rsidRPr="003D5D4C" w:rsidRDefault="00690D49" w:rsidP="00690D49">
      <w:pPr>
        <w:pStyle w:val="SubsectionHead"/>
      </w:pPr>
      <w:r w:rsidRPr="003D5D4C">
        <w:t xml:space="preserve">Lifecycle </w:t>
      </w:r>
      <w:r w:rsidR="00D251D3" w:rsidRPr="003D5D4C">
        <w:t>Part 6</w:t>
      </w:r>
      <w:r w:rsidRPr="003D5D4C">
        <w:t>A products</w:t>
      </w:r>
    </w:p>
    <w:p w14:paraId="0D7ED091" w14:textId="77777777" w:rsidR="00690D49" w:rsidRPr="003D5D4C" w:rsidRDefault="00690D49" w:rsidP="00690D49">
      <w:pPr>
        <w:pStyle w:val="subsection"/>
      </w:pPr>
      <w:r w:rsidRPr="003D5D4C">
        <w:tab/>
        <w:t>(3)</w:t>
      </w:r>
      <w:r w:rsidRPr="003D5D4C">
        <w:tab/>
        <w:t xml:space="preserve">Subregulations (4) to (6) apply if the </w:t>
      </w:r>
      <w:r w:rsidR="00D251D3" w:rsidRPr="003D5D4C">
        <w:t>Part 6</w:t>
      </w:r>
      <w:r w:rsidRPr="003D5D4C">
        <w:t xml:space="preserve">A product is a lifecycle </w:t>
      </w:r>
      <w:r w:rsidR="00D251D3" w:rsidRPr="003D5D4C">
        <w:t>Part 6</w:t>
      </w:r>
      <w:r w:rsidRPr="003D5D4C">
        <w:t>A product.</w:t>
      </w:r>
    </w:p>
    <w:p w14:paraId="55141441" w14:textId="77777777" w:rsidR="00690D49" w:rsidRPr="003D5D4C" w:rsidRDefault="00690D49" w:rsidP="00690D49">
      <w:pPr>
        <w:pStyle w:val="subsection"/>
      </w:pPr>
      <w:r w:rsidRPr="003D5D4C">
        <w:lastRenderedPageBreak/>
        <w:tab/>
        <w:t>(4)</w:t>
      </w:r>
      <w:r w:rsidRPr="003D5D4C">
        <w:tab/>
        <w:t xml:space="preserve">Despite subregulation (1), work out the </w:t>
      </w:r>
      <w:r w:rsidRPr="003D5D4C">
        <w:rPr>
          <w:b/>
          <w:i/>
        </w:rPr>
        <w:t xml:space="preserve">representative </w:t>
      </w:r>
      <w:r w:rsidRPr="003D5D4C">
        <w:rPr>
          <w:b/>
          <w:bCs/>
          <w:i/>
        </w:rPr>
        <w:t>administration</w:t>
      </w:r>
      <w:r w:rsidRPr="003D5D4C">
        <w:rPr>
          <w:b/>
          <w:i/>
        </w:rPr>
        <w:t xml:space="preserve"> fees</w:t>
      </w:r>
      <w:r w:rsidRPr="003D5D4C">
        <w:rPr>
          <w:i/>
        </w:rPr>
        <w:t xml:space="preserve"> </w:t>
      </w:r>
      <w:r w:rsidRPr="003D5D4C">
        <w:rPr>
          <w:b/>
          <w:i/>
        </w:rPr>
        <w:t>and expenses</w:t>
      </w:r>
      <w:r w:rsidRPr="003D5D4C">
        <w:t xml:space="preserve"> or </w:t>
      </w:r>
      <w:r w:rsidRPr="003D5D4C">
        <w:rPr>
          <w:b/>
          <w:i/>
        </w:rPr>
        <w:t>RAFE</w:t>
      </w:r>
      <w:r w:rsidRPr="003D5D4C">
        <w:t xml:space="preserve"> for the </w:t>
      </w:r>
      <w:r w:rsidR="00D251D3" w:rsidRPr="003D5D4C">
        <w:t>Part 6</w:t>
      </w:r>
      <w:r w:rsidRPr="003D5D4C">
        <w:t>A product in relation to a period as follows:</w:t>
      </w:r>
    </w:p>
    <w:p w14:paraId="7E59E9AF" w14:textId="77777777" w:rsidR="00690D49" w:rsidRPr="003D5D4C" w:rsidRDefault="00690D49" w:rsidP="00690D49">
      <w:pPr>
        <w:pStyle w:val="paragraph"/>
      </w:pPr>
      <w:r w:rsidRPr="003D5D4C">
        <w:tab/>
        <w:t>(a)</w:t>
      </w:r>
      <w:r w:rsidRPr="003D5D4C">
        <w:tab/>
        <w:t xml:space="preserve">first, work out each RAFE for the </w:t>
      </w:r>
      <w:r w:rsidR="00D251D3" w:rsidRPr="003D5D4C">
        <w:t>Part 6</w:t>
      </w:r>
      <w:r w:rsidRPr="003D5D4C">
        <w:t>A product in relation to the period, in accordance with subregulation (1), on the assumptions that:</w:t>
      </w:r>
    </w:p>
    <w:p w14:paraId="5A66EA3D" w14:textId="77777777" w:rsidR="00690D49" w:rsidRPr="003D5D4C" w:rsidRDefault="00690D49" w:rsidP="00690D49">
      <w:pPr>
        <w:pStyle w:val="paragraphsub"/>
      </w:pPr>
      <w:r w:rsidRPr="003D5D4C">
        <w:tab/>
        <w:t>(i)</w:t>
      </w:r>
      <w:r w:rsidRPr="003D5D4C">
        <w:tab/>
        <w:t xml:space="preserve">subregulation (1) applies separately in respect of each lifestage of the </w:t>
      </w:r>
      <w:r w:rsidR="00D251D3" w:rsidRPr="003D5D4C">
        <w:t>Part 6</w:t>
      </w:r>
      <w:r w:rsidRPr="003D5D4C">
        <w:t>A product; and</w:t>
      </w:r>
    </w:p>
    <w:p w14:paraId="3935162E" w14:textId="77777777" w:rsidR="00690D49" w:rsidRPr="003D5D4C" w:rsidRDefault="00690D49" w:rsidP="00690D49">
      <w:pPr>
        <w:pStyle w:val="paragraphsub"/>
      </w:pPr>
      <w:r w:rsidRPr="003D5D4C">
        <w:tab/>
        <w:t>(ii)</w:t>
      </w:r>
      <w:r w:rsidRPr="003D5D4C">
        <w:tab/>
        <w:t>in applying subregulation (1) to a lifestage, references in that subregulation to amounts reported to APRA were references to such amounts to the extent that they relate to that lifestage;</w:t>
      </w:r>
    </w:p>
    <w:p w14:paraId="44A0AB64" w14:textId="77777777" w:rsidR="00690D49" w:rsidRPr="003D5D4C" w:rsidRDefault="00690D49" w:rsidP="00690D49">
      <w:pPr>
        <w:pStyle w:val="paragraph"/>
      </w:pPr>
      <w:r w:rsidRPr="003D5D4C">
        <w:tab/>
        <w:t>(b)</w:t>
      </w:r>
      <w:r w:rsidRPr="003D5D4C">
        <w:tab/>
        <w:t xml:space="preserve">next, identify the largest of the RAFEs worked out under </w:t>
      </w:r>
      <w:r w:rsidR="00F75733" w:rsidRPr="003D5D4C">
        <w:t>paragraph (</w:t>
      </w:r>
      <w:r w:rsidRPr="003D5D4C">
        <w:t>a).</w:t>
      </w:r>
    </w:p>
    <w:p w14:paraId="62DBFC82" w14:textId="77777777" w:rsidR="00690D49" w:rsidRPr="003D5D4C" w:rsidRDefault="00690D49" w:rsidP="00690D49">
      <w:pPr>
        <w:pStyle w:val="subsection"/>
      </w:pPr>
      <w:r w:rsidRPr="003D5D4C">
        <w:tab/>
        <w:t>(5)</w:t>
      </w:r>
      <w:r w:rsidRPr="003D5D4C">
        <w:tab/>
        <w:t>Subregulation (6) applies if:</w:t>
      </w:r>
    </w:p>
    <w:p w14:paraId="2C72F79F" w14:textId="77777777" w:rsidR="00690D49" w:rsidRPr="003D5D4C" w:rsidRDefault="00690D49" w:rsidP="00690D49">
      <w:pPr>
        <w:pStyle w:val="paragraph"/>
      </w:pPr>
      <w:r w:rsidRPr="003D5D4C">
        <w:tab/>
        <w:t>(a)</w:t>
      </w:r>
      <w:r w:rsidRPr="003D5D4C">
        <w:tab/>
        <w:t xml:space="preserve">the lifecycle </w:t>
      </w:r>
      <w:r w:rsidR="00D251D3" w:rsidRPr="003D5D4C">
        <w:t>Part 6</w:t>
      </w:r>
      <w:r w:rsidRPr="003D5D4C">
        <w:t>A product has particular lifestages at the start of a financial year; and</w:t>
      </w:r>
    </w:p>
    <w:p w14:paraId="519253EB" w14:textId="77777777" w:rsidR="00690D49" w:rsidRPr="003D5D4C" w:rsidRDefault="00690D49" w:rsidP="00690D49">
      <w:pPr>
        <w:pStyle w:val="paragraph"/>
      </w:pPr>
      <w:r w:rsidRPr="003D5D4C">
        <w:tab/>
        <w:t>(b)</w:t>
      </w:r>
      <w:r w:rsidRPr="003D5D4C">
        <w:tab/>
        <w:t>at one or more times during the year, the product starts to have different lifestages.</w:t>
      </w:r>
    </w:p>
    <w:p w14:paraId="75AA514F" w14:textId="77777777" w:rsidR="00690D49" w:rsidRPr="003D5D4C" w:rsidRDefault="00690D49" w:rsidP="00690D49">
      <w:pPr>
        <w:pStyle w:val="subsection"/>
      </w:pPr>
      <w:r w:rsidRPr="003D5D4C">
        <w:tab/>
        <w:t>(6)</w:t>
      </w:r>
      <w:r w:rsidRPr="003D5D4C">
        <w:tab/>
        <w:t xml:space="preserve">Despite subregulations (1) and (4), work out the RAFE for the </w:t>
      </w:r>
      <w:r w:rsidR="00D251D3" w:rsidRPr="003D5D4C">
        <w:t>Part 6</w:t>
      </w:r>
      <w:r w:rsidRPr="003D5D4C">
        <w:t>A product in relation to the year as follows:</w:t>
      </w:r>
    </w:p>
    <w:p w14:paraId="21FE35F8" w14:textId="77777777" w:rsidR="00690D49" w:rsidRPr="003D5D4C" w:rsidRDefault="00690D49" w:rsidP="00690D49">
      <w:pPr>
        <w:pStyle w:val="paragraph"/>
      </w:pPr>
      <w:r w:rsidRPr="003D5D4C">
        <w:tab/>
        <w:t>(a)</w:t>
      </w:r>
      <w:r w:rsidRPr="003D5D4C">
        <w:tab/>
        <w:t>first, divide the year into periods on the following basis:</w:t>
      </w:r>
    </w:p>
    <w:p w14:paraId="30691EB8" w14:textId="77777777" w:rsidR="00690D49" w:rsidRPr="003D5D4C" w:rsidRDefault="00690D49" w:rsidP="00690D49">
      <w:pPr>
        <w:pStyle w:val="paragraphsub"/>
      </w:pPr>
      <w:r w:rsidRPr="003D5D4C">
        <w:tab/>
        <w:t>(i)</w:t>
      </w:r>
      <w:r w:rsidRPr="003D5D4C">
        <w:tab/>
        <w:t>the first period starts at the start of the year;</w:t>
      </w:r>
    </w:p>
    <w:p w14:paraId="4BCC5874" w14:textId="77777777" w:rsidR="00690D49" w:rsidRPr="003D5D4C" w:rsidRDefault="00690D49" w:rsidP="00690D49">
      <w:pPr>
        <w:pStyle w:val="paragraphsub"/>
      </w:pPr>
      <w:r w:rsidRPr="003D5D4C">
        <w:tab/>
        <w:t>(ii)</w:t>
      </w:r>
      <w:r w:rsidRPr="003D5D4C">
        <w:tab/>
        <w:t>a new period starts each time the product starts to have different lifestages;</w:t>
      </w:r>
    </w:p>
    <w:p w14:paraId="796A2B49" w14:textId="77777777" w:rsidR="00690D49" w:rsidRPr="003D5D4C" w:rsidRDefault="00690D49" w:rsidP="00690D49">
      <w:pPr>
        <w:pStyle w:val="paragraphsub"/>
      </w:pPr>
      <w:r w:rsidRPr="003D5D4C">
        <w:tab/>
        <w:t>(iii)</w:t>
      </w:r>
      <w:r w:rsidRPr="003D5D4C">
        <w:tab/>
        <w:t>the last period ends at the end of the year;</w:t>
      </w:r>
    </w:p>
    <w:p w14:paraId="790B84DB" w14:textId="77777777" w:rsidR="00690D49" w:rsidRPr="003D5D4C" w:rsidRDefault="00690D49" w:rsidP="00690D49">
      <w:pPr>
        <w:pStyle w:val="noteToPara"/>
      </w:pPr>
      <w:r w:rsidRPr="003D5D4C">
        <w:t>Note:</w:t>
      </w:r>
      <w:r w:rsidRPr="003D5D4C">
        <w:tab/>
        <w:t>Each period, other than the last period, ends immediately before the first time after the start of that period at which there is a change of the lifestages.</w:t>
      </w:r>
    </w:p>
    <w:p w14:paraId="49F4B0C8" w14:textId="77777777" w:rsidR="00690D49" w:rsidRPr="003D5D4C" w:rsidRDefault="00690D49" w:rsidP="00690D49">
      <w:pPr>
        <w:pStyle w:val="paragraph"/>
      </w:pPr>
      <w:r w:rsidRPr="003D5D4C">
        <w:tab/>
        <w:t>(b)</w:t>
      </w:r>
      <w:r w:rsidRPr="003D5D4C">
        <w:tab/>
        <w:t xml:space="preserve">next, work out the RAFE for the </w:t>
      </w:r>
      <w:r w:rsidR="00D251D3" w:rsidRPr="003D5D4C">
        <w:t>Part 6</w:t>
      </w:r>
      <w:r w:rsidRPr="003D5D4C">
        <w:t xml:space="preserve">A product in relation to each period identified under </w:t>
      </w:r>
      <w:r w:rsidR="00F75733" w:rsidRPr="003D5D4C">
        <w:t>paragraph (</w:t>
      </w:r>
      <w:r w:rsidRPr="003D5D4C">
        <w:t>a), in accordance with subregulation (4);</w:t>
      </w:r>
    </w:p>
    <w:p w14:paraId="4B2EBFCC" w14:textId="77777777" w:rsidR="00690D49" w:rsidRPr="003D5D4C" w:rsidRDefault="00690D49" w:rsidP="00690D49">
      <w:pPr>
        <w:pStyle w:val="paragraph"/>
      </w:pPr>
      <w:r w:rsidRPr="003D5D4C">
        <w:tab/>
        <w:t>(c)</w:t>
      </w:r>
      <w:r w:rsidRPr="003D5D4C">
        <w:tab/>
        <w:t xml:space="preserve">next, work out the sum of the RAFEs worked out under </w:t>
      </w:r>
      <w:r w:rsidR="00F75733" w:rsidRPr="003D5D4C">
        <w:t>paragraph (</w:t>
      </w:r>
      <w:r w:rsidRPr="003D5D4C">
        <w:t>b).</w:t>
      </w:r>
    </w:p>
    <w:p w14:paraId="5B80D877" w14:textId="77777777" w:rsidR="00690D49" w:rsidRPr="003D5D4C" w:rsidRDefault="00690D49" w:rsidP="00690D49">
      <w:pPr>
        <w:pStyle w:val="SubsectionHead"/>
      </w:pPr>
      <w:r w:rsidRPr="003D5D4C">
        <w:t>Trustee</w:t>
      </w:r>
      <w:r w:rsidR="00A70ACD" w:rsidRPr="003D5D4C">
        <w:noBreakHyphen/>
      </w:r>
      <w:r w:rsidRPr="003D5D4C">
        <w:t>directed products</w:t>
      </w:r>
    </w:p>
    <w:p w14:paraId="78FD2186" w14:textId="77777777" w:rsidR="00690D49" w:rsidRPr="003D5D4C" w:rsidRDefault="00690D49" w:rsidP="00690D49">
      <w:pPr>
        <w:pStyle w:val="subsection"/>
      </w:pPr>
      <w:r w:rsidRPr="003D5D4C">
        <w:tab/>
        <w:t>(7)</w:t>
      </w:r>
      <w:r w:rsidRPr="003D5D4C">
        <w:tab/>
        <w:t xml:space="preserve">Subregulations (8) and (9) apply if the </w:t>
      </w:r>
      <w:r w:rsidR="00D251D3" w:rsidRPr="003D5D4C">
        <w:t>Part 6</w:t>
      </w:r>
      <w:r w:rsidRPr="003D5D4C">
        <w:t>A product is a trustee</w:t>
      </w:r>
      <w:r w:rsidR="00A70ACD" w:rsidRPr="003D5D4C">
        <w:noBreakHyphen/>
      </w:r>
      <w:r w:rsidRPr="003D5D4C">
        <w:t>directed product.</w:t>
      </w:r>
    </w:p>
    <w:p w14:paraId="21FBF8C8" w14:textId="77777777" w:rsidR="00690D49" w:rsidRPr="003D5D4C" w:rsidRDefault="00690D49" w:rsidP="00690D49">
      <w:pPr>
        <w:pStyle w:val="subsection"/>
      </w:pPr>
      <w:r w:rsidRPr="003D5D4C">
        <w:tab/>
        <w:t>(8)</w:t>
      </w:r>
      <w:r w:rsidRPr="003D5D4C">
        <w:tab/>
        <w:t xml:space="preserve">Despite subregulations (1) to (6), work out the </w:t>
      </w:r>
      <w:r w:rsidRPr="003D5D4C">
        <w:rPr>
          <w:b/>
          <w:i/>
        </w:rPr>
        <w:t xml:space="preserve">representative </w:t>
      </w:r>
      <w:r w:rsidRPr="003D5D4C">
        <w:rPr>
          <w:b/>
          <w:bCs/>
          <w:i/>
        </w:rPr>
        <w:t>administration</w:t>
      </w:r>
      <w:r w:rsidRPr="003D5D4C">
        <w:rPr>
          <w:b/>
          <w:i/>
        </w:rPr>
        <w:t xml:space="preserve"> fees</w:t>
      </w:r>
      <w:r w:rsidRPr="003D5D4C">
        <w:rPr>
          <w:i/>
        </w:rPr>
        <w:t xml:space="preserve"> </w:t>
      </w:r>
      <w:r w:rsidRPr="003D5D4C">
        <w:rPr>
          <w:b/>
          <w:i/>
        </w:rPr>
        <w:t>and expenses</w:t>
      </w:r>
      <w:r w:rsidRPr="003D5D4C">
        <w:t xml:space="preserve"> or </w:t>
      </w:r>
      <w:r w:rsidRPr="003D5D4C">
        <w:rPr>
          <w:b/>
          <w:i/>
        </w:rPr>
        <w:t>RAFE</w:t>
      </w:r>
      <w:r w:rsidRPr="003D5D4C">
        <w:t xml:space="preserve"> for the </w:t>
      </w:r>
      <w:r w:rsidR="00D251D3" w:rsidRPr="003D5D4C">
        <w:t>Part 6</w:t>
      </w:r>
      <w:r w:rsidRPr="003D5D4C">
        <w:t>A product in relation to a period as follows:</w:t>
      </w:r>
    </w:p>
    <w:p w14:paraId="5A83E819" w14:textId="77777777" w:rsidR="00690D49" w:rsidRPr="003D5D4C" w:rsidRDefault="00690D49" w:rsidP="00690D49">
      <w:pPr>
        <w:pStyle w:val="paragraph"/>
      </w:pPr>
      <w:r w:rsidRPr="003D5D4C">
        <w:tab/>
        <w:t>(a)</w:t>
      </w:r>
      <w:r w:rsidRPr="003D5D4C">
        <w:tab/>
        <w:t xml:space="preserve">first, work out each RAFE for the </w:t>
      </w:r>
      <w:r w:rsidR="00D251D3" w:rsidRPr="003D5D4C">
        <w:t>Part 6</w:t>
      </w:r>
      <w:r w:rsidRPr="003D5D4C">
        <w:t xml:space="preserve">A product in relation to </w:t>
      </w:r>
      <w:r w:rsidR="00F65F04" w:rsidRPr="003D5D4C">
        <w:t xml:space="preserve">each quarter in </w:t>
      </w:r>
      <w:r w:rsidRPr="003D5D4C">
        <w:t>the period, in accordance with those subregulations, on the assumptions that:</w:t>
      </w:r>
    </w:p>
    <w:p w14:paraId="116BDFF3" w14:textId="77777777" w:rsidR="00690D49" w:rsidRPr="003D5D4C" w:rsidRDefault="00690D49" w:rsidP="00690D49">
      <w:pPr>
        <w:pStyle w:val="paragraphsub"/>
      </w:pPr>
      <w:r w:rsidRPr="003D5D4C">
        <w:tab/>
        <w:t>(i)</w:t>
      </w:r>
      <w:r w:rsidRPr="003D5D4C">
        <w:tab/>
        <w:t xml:space="preserve">those subregulations apply separately in respect of each investment pathway of the </w:t>
      </w:r>
      <w:r w:rsidR="00D251D3" w:rsidRPr="003D5D4C">
        <w:t>Part 6</w:t>
      </w:r>
      <w:r w:rsidRPr="003D5D4C">
        <w:t>A product; and</w:t>
      </w:r>
    </w:p>
    <w:p w14:paraId="727B3116" w14:textId="77777777" w:rsidR="00690D49" w:rsidRPr="003D5D4C" w:rsidRDefault="00690D49" w:rsidP="00690D49">
      <w:pPr>
        <w:pStyle w:val="paragraphsub"/>
      </w:pPr>
      <w:r w:rsidRPr="003D5D4C">
        <w:tab/>
        <w:t>(ii)</w:t>
      </w:r>
      <w:r w:rsidRPr="003D5D4C">
        <w:tab/>
        <w:t xml:space="preserve">in applying those subregulations </w:t>
      </w:r>
      <w:r w:rsidR="000B21E1" w:rsidRPr="003D5D4C">
        <w:t>in respect of an investment pathway</w:t>
      </w:r>
      <w:r w:rsidRPr="003D5D4C">
        <w:t xml:space="preserve">, references in those subregulations to amounts reported to APRA were references to such amounts to the extent that they relate to that </w:t>
      </w:r>
      <w:r w:rsidR="000B21E1" w:rsidRPr="003D5D4C">
        <w:t>investment pathway</w:t>
      </w:r>
      <w:r w:rsidRPr="003D5D4C">
        <w:t>;</w:t>
      </w:r>
    </w:p>
    <w:p w14:paraId="7B170197" w14:textId="77777777" w:rsidR="00690D49" w:rsidRPr="003D5D4C" w:rsidRDefault="00690D49" w:rsidP="00690D49">
      <w:pPr>
        <w:pStyle w:val="paragraph"/>
      </w:pPr>
      <w:r w:rsidRPr="003D5D4C">
        <w:tab/>
        <w:t>(b)</w:t>
      </w:r>
      <w:r w:rsidRPr="003D5D4C">
        <w:tab/>
        <w:t xml:space="preserve">next, multiply each RAFE identified under </w:t>
      </w:r>
      <w:r w:rsidR="00F75733" w:rsidRPr="003D5D4C">
        <w:t>paragraph (</w:t>
      </w:r>
      <w:r w:rsidRPr="003D5D4C">
        <w:t xml:space="preserve">a) in relation to </w:t>
      </w:r>
      <w:r w:rsidR="00F65F04" w:rsidRPr="003D5D4C">
        <w:t xml:space="preserve">a quarter and </w:t>
      </w:r>
      <w:r w:rsidRPr="003D5D4C">
        <w:t xml:space="preserve">an investment pathway by the investment pathway weight for the investment pathway for the </w:t>
      </w:r>
      <w:r w:rsidR="00F65F04" w:rsidRPr="003D5D4C">
        <w:t xml:space="preserve">quarter </w:t>
      </w:r>
      <w:r w:rsidRPr="003D5D4C">
        <w:t>(see subregulation (9));</w:t>
      </w:r>
    </w:p>
    <w:p w14:paraId="3CA4ED93" w14:textId="77777777" w:rsidR="00690D49" w:rsidRPr="003D5D4C" w:rsidRDefault="00690D49" w:rsidP="00690D49">
      <w:pPr>
        <w:pStyle w:val="paragraph"/>
      </w:pPr>
      <w:r w:rsidRPr="003D5D4C">
        <w:tab/>
        <w:t>(</w:t>
      </w:r>
      <w:r w:rsidR="00F65F04" w:rsidRPr="003D5D4C">
        <w:t>c</w:t>
      </w:r>
      <w:r w:rsidRPr="003D5D4C">
        <w:t>)</w:t>
      </w:r>
      <w:r w:rsidRPr="003D5D4C">
        <w:tab/>
        <w:t xml:space="preserve">next, work out the sum of the results of </w:t>
      </w:r>
      <w:r w:rsidR="00F75733" w:rsidRPr="003D5D4C">
        <w:t>paragraph (</w:t>
      </w:r>
      <w:r w:rsidRPr="003D5D4C">
        <w:t>b).</w:t>
      </w:r>
    </w:p>
    <w:p w14:paraId="1E3AF3A6" w14:textId="77777777" w:rsidR="00690D49" w:rsidRPr="003D5D4C" w:rsidRDefault="00690D49" w:rsidP="00690D49">
      <w:pPr>
        <w:pStyle w:val="subsection"/>
      </w:pPr>
      <w:r w:rsidRPr="003D5D4C">
        <w:lastRenderedPageBreak/>
        <w:tab/>
        <w:t>(9)</w:t>
      </w:r>
      <w:r w:rsidRPr="003D5D4C">
        <w:tab/>
        <w:t xml:space="preserve">The </w:t>
      </w:r>
      <w:r w:rsidRPr="003D5D4C">
        <w:rPr>
          <w:b/>
          <w:i/>
        </w:rPr>
        <w:t>investment pathway weight</w:t>
      </w:r>
      <w:r w:rsidRPr="003D5D4C">
        <w:t xml:space="preserve"> of a </w:t>
      </w:r>
      <w:r w:rsidR="00D251D3" w:rsidRPr="003D5D4C">
        <w:t>Part 6</w:t>
      </w:r>
      <w:r w:rsidRPr="003D5D4C">
        <w:t>A product for an investment pathway</w:t>
      </w:r>
      <w:bookmarkStart w:id="9" w:name="_Hlk72161796"/>
      <w:r w:rsidRPr="003D5D4C">
        <w:t xml:space="preserve"> for a </w:t>
      </w:r>
      <w:r w:rsidR="00F65F04" w:rsidRPr="003D5D4C">
        <w:t xml:space="preserve">quarter </w:t>
      </w:r>
      <w:r w:rsidRPr="003D5D4C">
        <w:t>is:</w:t>
      </w:r>
    </w:p>
    <w:p w14:paraId="56A1F993" w14:textId="77777777" w:rsidR="00690D49" w:rsidRPr="003D5D4C" w:rsidRDefault="00690D49" w:rsidP="00690D49">
      <w:pPr>
        <w:pStyle w:val="paragraph"/>
      </w:pPr>
      <w:r w:rsidRPr="003D5D4C">
        <w:tab/>
        <w:t>(a)</w:t>
      </w:r>
      <w:r w:rsidRPr="003D5D4C">
        <w:tab/>
        <w:t xml:space="preserve">the market value at the end of the </w:t>
      </w:r>
      <w:r w:rsidR="00F65F04" w:rsidRPr="003D5D4C">
        <w:t xml:space="preserve">quarter </w:t>
      </w:r>
      <w:r w:rsidRPr="003D5D4C">
        <w:t xml:space="preserve">of all </w:t>
      </w:r>
      <w:r w:rsidR="004D0771" w:rsidRPr="003D5D4C">
        <w:t>member assets</w:t>
      </w:r>
      <w:r w:rsidRPr="003D5D4C">
        <w:t xml:space="preserve"> supporting the </w:t>
      </w:r>
      <w:r w:rsidR="00D251D3" w:rsidRPr="003D5D4C">
        <w:t>Part 6</w:t>
      </w:r>
      <w:r w:rsidRPr="003D5D4C">
        <w:t>A product that are referable to the investment pathway;</w:t>
      </w:r>
    </w:p>
    <w:p w14:paraId="1EF0672D" w14:textId="77777777" w:rsidR="00690D49" w:rsidRPr="003D5D4C" w:rsidRDefault="00690D49" w:rsidP="00690D49">
      <w:pPr>
        <w:pStyle w:val="subsection2"/>
      </w:pPr>
      <w:r w:rsidRPr="003D5D4C">
        <w:t>divided by:</w:t>
      </w:r>
    </w:p>
    <w:p w14:paraId="07B2FCF9" w14:textId="77777777" w:rsidR="00690D49" w:rsidRPr="003D5D4C" w:rsidRDefault="00690D49" w:rsidP="00690D49">
      <w:pPr>
        <w:pStyle w:val="paragraph"/>
      </w:pPr>
      <w:r w:rsidRPr="003D5D4C">
        <w:tab/>
        <w:t>(b)</w:t>
      </w:r>
      <w:r w:rsidRPr="003D5D4C">
        <w:tab/>
        <w:t xml:space="preserve">the market value at the end of the </w:t>
      </w:r>
      <w:r w:rsidR="00F65F04" w:rsidRPr="003D5D4C">
        <w:t xml:space="preserve">quarter </w:t>
      </w:r>
      <w:r w:rsidRPr="003D5D4C">
        <w:t xml:space="preserve">of all </w:t>
      </w:r>
      <w:r w:rsidR="004D0771" w:rsidRPr="003D5D4C">
        <w:t xml:space="preserve">member assets </w:t>
      </w:r>
      <w:r w:rsidRPr="003D5D4C">
        <w:t xml:space="preserve">supporting the </w:t>
      </w:r>
      <w:r w:rsidR="00D251D3" w:rsidRPr="003D5D4C">
        <w:t>Part 6</w:t>
      </w:r>
      <w:r w:rsidRPr="003D5D4C">
        <w:t xml:space="preserve">A product that are referable to an investment pathway of the </w:t>
      </w:r>
      <w:r w:rsidR="00D251D3" w:rsidRPr="003D5D4C">
        <w:t>Part 6</w:t>
      </w:r>
      <w:r w:rsidRPr="003D5D4C">
        <w:t>A product.</w:t>
      </w:r>
    </w:p>
    <w:bookmarkEnd w:id="9"/>
    <w:p w14:paraId="789F84D7" w14:textId="77777777" w:rsidR="00690D49" w:rsidRPr="003D5D4C" w:rsidRDefault="00F75733" w:rsidP="00690D49">
      <w:pPr>
        <w:pStyle w:val="ItemHead"/>
      </w:pPr>
      <w:r w:rsidRPr="003D5D4C">
        <w:t>17</w:t>
      </w:r>
      <w:r w:rsidR="00690D49" w:rsidRPr="003D5D4C">
        <w:t xml:space="preserve">  </w:t>
      </w:r>
      <w:r w:rsidR="008217CF" w:rsidRPr="003D5D4C">
        <w:t>Subregulations 9</w:t>
      </w:r>
      <w:r w:rsidR="00690D49" w:rsidRPr="003D5D4C">
        <w:t>AB.5(</w:t>
      </w:r>
      <w:r w:rsidR="00E3032B" w:rsidRPr="003D5D4C">
        <w:t>1</w:t>
      </w:r>
      <w:r w:rsidR="00690D49" w:rsidRPr="003D5D4C">
        <w:t xml:space="preserve">) </w:t>
      </w:r>
      <w:r w:rsidR="00E3032B" w:rsidRPr="003D5D4C">
        <w:t xml:space="preserve">to </w:t>
      </w:r>
      <w:r w:rsidR="00690D49" w:rsidRPr="003D5D4C">
        <w:t>(3)</w:t>
      </w:r>
    </w:p>
    <w:p w14:paraId="1AB828A4" w14:textId="77777777" w:rsidR="00690D49" w:rsidRPr="003D5D4C" w:rsidRDefault="00690D49" w:rsidP="00690D49">
      <w:pPr>
        <w:pStyle w:val="Item"/>
      </w:pPr>
      <w:r w:rsidRPr="003D5D4C">
        <w:t>Repeal the subregulations, substitute:</w:t>
      </w:r>
    </w:p>
    <w:p w14:paraId="25FBCADC" w14:textId="77777777" w:rsidR="00E3032B" w:rsidRPr="003D5D4C" w:rsidRDefault="00E3032B" w:rsidP="00690D49">
      <w:pPr>
        <w:pStyle w:val="subsection"/>
      </w:pPr>
      <w:r w:rsidRPr="003D5D4C">
        <w:tab/>
        <w:t>(1)</w:t>
      </w:r>
      <w:r w:rsidRPr="003D5D4C">
        <w:tab/>
        <w:t xml:space="preserve">A </w:t>
      </w:r>
      <w:r w:rsidR="00D251D3" w:rsidRPr="003D5D4C">
        <w:t>Part 6</w:t>
      </w:r>
      <w:r w:rsidRPr="003D5D4C">
        <w:t>A product</w:t>
      </w:r>
      <w:r w:rsidR="001376B0" w:rsidRPr="003D5D4C">
        <w:t>’</w:t>
      </w:r>
      <w:r w:rsidRPr="003D5D4C">
        <w:t xml:space="preserve">s </w:t>
      </w:r>
      <w:r w:rsidRPr="003D5D4C">
        <w:rPr>
          <w:b/>
          <w:i/>
        </w:rPr>
        <w:t>strategic asset allocation</w:t>
      </w:r>
      <w:r w:rsidRPr="003D5D4C">
        <w:t xml:space="preserve"> in relation to a quarter to a covered asset class </w:t>
      </w:r>
      <w:r w:rsidR="006D67E2" w:rsidRPr="003D5D4C">
        <w:t xml:space="preserve">for </w:t>
      </w:r>
      <w:r w:rsidRPr="003D5D4C">
        <w:t>the quarter is:</w:t>
      </w:r>
    </w:p>
    <w:p w14:paraId="47A22500" w14:textId="77777777" w:rsidR="00E3032B" w:rsidRPr="003D5D4C" w:rsidRDefault="00E3032B" w:rsidP="00E3032B">
      <w:pPr>
        <w:pStyle w:val="paragraph"/>
      </w:pPr>
      <w:r w:rsidRPr="003D5D4C">
        <w:tab/>
        <w:t>(a)</w:t>
      </w:r>
      <w:r w:rsidRPr="003D5D4C">
        <w:tab/>
        <w:t xml:space="preserve">unless </w:t>
      </w:r>
      <w:r w:rsidR="00F75733" w:rsidRPr="003D5D4C">
        <w:t>paragraph (</w:t>
      </w:r>
      <w:r w:rsidRPr="003D5D4C">
        <w:t xml:space="preserve">b) or (c) applies—the </w:t>
      </w:r>
      <w:r w:rsidR="00D251D3" w:rsidRPr="003D5D4C">
        <w:t>Part 6</w:t>
      </w:r>
      <w:r w:rsidRPr="003D5D4C">
        <w:t>A product</w:t>
      </w:r>
      <w:r w:rsidR="001376B0" w:rsidRPr="003D5D4C">
        <w:t>’</w:t>
      </w:r>
      <w:r w:rsidRPr="003D5D4C">
        <w:t>s benchmark asset allocation in relation to the quarter to the covered asset class, as reported to APRA in accordance with the applicable asset allocation standard (expressed as a fraction); or</w:t>
      </w:r>
    </w:p>
    <w:p w14:paraId="32724AFD" w14:textId="77777777" w:rsidR="00E3032B" w:rsidRPr="003D5D4C" w:rsidRDefault="00E3032B" w:rsidP="00E3032B">
      <w:pPr>
        <w:pStyle w:val="paragraph"/>
      </w:pPr>
      <w:r w:rsidRPr="003D5D4C">
        <w:tab/>
        <w:t>(b)</w:t>
      </w:r>
      <w:r w:rsidRPr="003D5D4C">
        <w:tab/>
        <w:t xml:space="preserve">unless </w:t>
      </w:r>
      <w:r w:rsidR="00F75733" w:rsidRPr="003D5D4C">
        <w:t>paragraph (</w:t>
      </w:r>
      <w:r w:rsidRPr="003D5D4C">
        <w:t xml:space="preserve">c) applies, if the </w:t>
      </w:r>
      <w:r w:rsidR="00D251D3" w:rsidRPr="003D5D4C">
        <w:t>Part 6</w:t>
      </w:r>
      <w:r w:rsidR="008E25F9" w:rsidRPr="003D5D4C">
        <w:t xml:space="preserve">A </w:t>
      </w:r>
      <w:r w:rsidRPr="003D5D4C">
        <w:t xml:space="preserve">product does not have a </w:t>
      </w:r>
      <w:r w:rsidR="00644FA2" w:rsidRPr="003D5D4C">
        <w:t>benchmark</w:t>
      </w:r>
      <w:r w:rsidRPr="003D5D4C">
        <w:t xml:space="preserve"> asset allocation </w:t>
      </w:r>
      <w:r w:rsidR="00644FA2" w:rsidRPr="003D5D4C">
        <w:t xml:space="preserve">in relation to the quarter </w:t>
      </w:r>
      <w:r w:rsidRPr="003D5D4C">
        <w:t>to the covered asset class—zero; or</w:t>
      </w:r>
    </w:p>
    <w:p w14:paraId="65B3AB84" w14:textId="77777777" w:rsidR="00E3032B" w:rsidRPr="003D5D4C" w:rsidRDefault="00E3032B" w:rsidP="00E3032B">
      <w:pPr>
        <w:pStyle w:val="paragraph"/>
      </w:pPr>
      <w:r w:rsidRPr="003D5D4C">
        <w:tab/>
        <w:t>(c)</w:t>
      </w:r>
      <w:r w:rsidRPr="003D5D4C">
        <w:tab/>
        <w:t xml:space="preserve">if the quarter is before </w:t>
      </w:r>
      <w:r w:rsidR="005D3D6F" w:rsidRPr="003D5D4C">
        <w:t xml:space="preserve">the </w:t>
      </w:r>
      <w:r w:rsidR="00D251D3" w:rsidRPr="003D5D4C">
        <w:t>Part 6</w:t>
      </w:r>
      <w:r w:rsidR="005D3D6F" w:rsidRPr="003D5D4C">
        <w:t>A product</w:t>
      </w:r>
      <w:r w:rsidR="001376B0" w:rsidRPr="003D5D4C">
        <w:t>’</w:t>
      </w:r>
      <w:r w:rsidR="005D3D6F" w:rsidRPr="003D5D4C">
        <w:t>s</w:t>
      </w:r>
      <w:r w:rsidRPr="003D5D4C">
        <w:t xml:space="preserve"> </w:t>
      </w:r>
      <w:r w:rsidR="005D3D6F" w:rsidRPr="003D5D4C">
        <w:t>initial</w:t>
      </w:r>
      <w:r w:rsidRPr="003D5D4C">
        <w:t xml:space="preserve"> quarter—the product</w:t>
      </w:r>
      <w:r w:rsidR="001376B0" w:rsidRPr="003D5D4C">
        <w:t>’</w:t>
      </w:r>
      <w:r w:rsidRPr="003D5D4C">
        <w:t xml:space="preserve">s </w:t>
      </w:r>
      <w:r w:rsidR="00644FA2" w:rsidRPr="003D5D4C">
        <w:t>benchmark</w:t>
      </w:r>
      <w:r w:rsidRPr="003D5D4C">
        <w:t xml:space="preserve"> asset allocation </w:t>
      </w:r>
      <w:r w:rsidR="00644FA2" w:rsidRPr="003D5D4C">
        <w:t xml:space="preserve">in relation to the initial quarter </w:t>
      </w:r>
      <w:r w:rsidRPr="003D5D4C">
        <w:t>to the covered asset class (expressed as a fraction).</w:t>
      </w:r>
    </w:p>
    <w:p w14:paraId="38C7DE77" w14:textId="77777777" w:rsidR="00690D49" w:rsidRPr="003D5D4C" w:rsidRDefault="00690D49" w:rsidP="00690D49">
      <w:pPr>
        <w:pStyle w:val="subsection"/>
      </w:pPr>
      <w:r w:rsidRPr="003D5D4C">
        <w:tab/>
        <w:t>(2)</w:t>
      </w:r>
      <w:r w:rsidRPr="003D5D4C">
        <w:tab/>
        <w:t>For the purposes of subregulation (1), if a benchmark asset allocation to a covered asset class does not identify an asset domicile type for the covered asset class:</w:t>
      </w:r>
    </w:p>
    <w:p w14:paraId="66AE4A34" w14:textId="77777777" w:rsidR="00690D49" w:rsidRPr="003D5D4C" w:rsidRDefault="00690D49" w:rsidP="00690D49">
      <w:pPr>
        <w:pStyle w:val="paragraph"/>
      </w:pPr>
      <w:r w:rsidRPr="003D5D4C">
        <w:tab/>
        <w:t>(a)</w:t>
      </w:r>
      <w:r w:rsidRPr="003D5D4C">
        <w:tab/>
        <w:t>treat half of the amount of that benchmark asset allocation as identified with an Australian domicile type;</w:t>
      </w:r>
    </w:p>
    <w:p w14:paraId="476197F7" w14:textId="77777777" w:rsidR="00690D49" w:rsidRPr="003D5D4C" w:rsidRDefault="00690D49" w:rsidP="00690D49">
      <w:pPr>
        <w:pStyle w:val="paragraph"/>
      </w:pPr>
      <w:r w:rsidRPr="003D5D4C">
        <w:tab/>
        <w:t>(b)</w:t>
      </w:r>
      <w:r w:rsidRPr="003D5D4C">
        <w:tab/>
        <w:t>treat half of the amount of that benchmark asset allocation as identified with an international domicile type; and</w:t>
      </w:r>
    </w:p>
    <w:p w14:paraId="060FA7DD" w14:textId="77777777" w:rsidR="00690D49" w:rsidRPr="003D5D4C" w:rsidRDefault="00690D49" w:rsidP="00690D49">
      <w:pPr>
        <w:pStyle w:val="paragraph"/>
      </w:pPr>
      <w:r w:rsidRPr="003D5D4C">
        <w:tab/>
        <w:t>(c)</w:t>
      </w:r>
      <w:r w:rsidRPr="003D5D4C">
        <w:tab/>
        <w:t>where the benchmark asset allocation identifies a currency hedging ratio for the covered asset class (including a currency hedging ratio of zero)—treat all of the amount of that currency hedging ratio as identified with the international domicile type; and</w:t>
      </w:r>
    </w:p>
    <w:p w14:paraId="21A7878E" w14:textId="77777777" w:rsidR="00690D49" w:rsidRPr="003D5D4C" w:rsidRDefault="00690D49" w:rsidP="00690D49">
      <w:pPr>
        <w:pStyle w:val="paragraph"/>
      </w:pPr>
      <w:r w:rsidRPr="003D5D4C">
        <w:tab/>
        <w:t>(d)</w:t>
      </w:r>
      <w:r w:rsidRPr="003D5D4C">
        <w:tab/>
        <w:t xml:space="preserve">where the benchmark asset allocation does </w:t>
      </w:r>
      <w:r w:rsidRPr="003D5D4C">
        <w:rPr>
          <w:i/>
        </w:rPr>
        <w:t>not</w:t>
      </w:r>
      <w:r w:rsidRPr="003D5D4C">
        <w:t xml:space="preserve"> identify a currency hedging ratio for the covered asset class:</w:t>
      </w:r>
    </w:p>
    <w:p w14:paraId="330803E4" w14:textId="77777777" w:rsidR="00690D49" w:rsidRPr="003D5D4C" w:rsidRDefault="00690D49" w:rsidP="00690D49">
      <w:pPr>
        <w:pStyle w:val="paragraphsub"/>
      </w:pPr>
      <w:r w:rsidRPr="003D5D4C">
        <w:tab/>
        <w:t>(i)</w:t>
      </w:r>
      <w:r w:rsidRPr="003D5D4C">
        <w:tab/>
        <w:t xml:space="preserve">if the </w:t>
      </w:r>
      <w:r w:rsidR="00D251D3" w:rsidRPr="003D5D4C">
        <w:t>Part 6</w:t>
      </w:r>
      <w:r w:rsidRPr="003D5D4C">
        <w:t xml:space="preserve">A product does </w:t>
      </w:r>
      <w:r w:rsidRPr="003D5D4C">
        <w:rPr>
          <w:i/>
        </w:rPr>
        <w:t>not</w:t>
      </w:r>
      <w:r w:rsidRPr="003D5D4C">
        <w:t xml:space="preserve"> have a currency exposure in relation to the quarter—treat a currency hedging ratio of zero as identified with the international domicile type; or</w:t>
      </w:r>
    </w:p>
    <w:p w14:paraId="558A093C" w14:textId="77777777" w:rsidR="00690D49" w:rsidRPr="003D5D4C" w:rsidRDefault="00690D49" w:rsidP="00690D49">
      <w:pPr>
        <w:pStyle w:val="paragraphsub"/>
      </w:pPr>
      <w:r w:rsidRPr="003D5D4C">
        <w:tab/>
        <w:t>(ii)</w:t>
      </w:r>
      <w:r w:rsidRPr="003D5D4C">
        <w:tab/>
        <w:t xml:space="preserve">if the </w:t>
      </w:r>
      <w:r w:rsidR="00D251D3" w:rsidRPr="003D5D4C">
        <w:t>Part 6</w:t>
      </w:r>
      <w:r w:rsidRPr="003D5D4C">
        <w:t>A product has a currency exposure in relation to the quarter (including a currency exposure of zero)—treat a currency hedging ratio of the amount worked out under subregulation (3A) as identified with the international domicile type.</w:t>
      </w:r>
    </w:p>
    <w:p w14:paraId="2B91209C" w14:textId="77777777" w:rsidR="00690D49" w:rsidRPr="003D5D4C" w:rsidRDefault="00690D49" w:rsidP="00690D49">
      <w:pPr>
        <w:pStyle w:val="subsection"/>
      </w:pPr>
      <w:r w:rsidRPr="003D5D4C">
        <w:tab/>
        <w:t>(3)</w:t>
      </w:r>
      <w:r w:rsidRPr="003D5D4C">
        <w:tab/>
        <w:t xml:space="preserve">For the purposes of subregulation (1), if a benchmark asset allocation to a covered </w:t>
      </w:r>
      <w:r w:rsidR="000979F6" w:rsidRPr="003D5D4C">
        <w:t xml:space="preserve">asset </w:t>
      </w:r>
      <w:r w:rsidRPr="003D5D4C">
        <w:t xml:space="preserve">class identifies the international domicile type with the covered asset class and does </w:t>
      </w:r>
      <w:r w:rsidRPr="003D5D4C">
        <w:rPr>
          <w:i/>
        </w:rPr>
        <w:t>not</w:t>
      </w:r>
      <w:r w:rsidRPr="003D5D4C">
        <w:t xml:space="preserve"> identify a currency hedging ratio for the covered asset class:</w:t>
      </w:r>
    </w:p>
    <w:p w14:paraId="799CC407" w14:textId="77777777" w:rsidR="00690D49" w:rsidRPr="003D5D4C" w:rsidRDefault="00690D49" w:rsidP="00690D49">
      <w:pPr>
        <w:pStyle w:val="paragraph"/>
      </w:pPr>
      <w:r w:rsidRPr="003D5D4C">
        <w:lastRenderedPageBreak/>
        <w:tab/>
        <w:t>(a)</w:t>
      </w:r>
      <w:r w:rsidRPr="003D5D4C">
        <w:tab/>
        <w:t xml:space="preserve">if the </w:t>
      </w:r>
      <w:r w:rsidR="00D251D3" w:rsidRPr="003D5D4C">
        <w:t>Part 6</w:t>
      </w:r>
      <w:r w:rsidRPr="003D5D4C">
        <w:t xml:space="preserve">A product does </w:t>
      </w:r>
      <w:r w:rsidRPr="003D5D4C">
        <w:rPr>
          <w:i/>
        </w:rPr>
        <w:t>not</w:t>
      </w:r>
      <w:r w:rsidRPr="003D5D4C">
        <w:t xml:space="preserve"> have a currency exposure in relation to the quarter—treat a currency hedging ratio of zero as identified with the international domicile type; or</w:t>
      </w:r>
    </w:p>
    <w:p w14:paraId="0E194C10" w14:textId="77777777" w:rsidR="00690D49" w:rsidRPr="003D5D4C" w:rsidRDefault="00690D49" w:rsidP="00690D49">
      <w:pPr>
        <w:pStyle w:val="paragraph"/>
      </w:pPr>
      <w:r w:rsidRPr="003D5D4C">
        <w:tab/>
        <w:t>(b)</w:t>
      </w:r>
      <w:r w:rsidRPr="003D5D4C">
        <w:tab/>
        <w:t xml:space="preserve">if the </w:t>
      </w:r>
      <w:r w:rsidR="00D251D3" w:rsidRPr="003D5D4C">
        <w:t>Part 6</w:t>
      </w:r>
      <w:r w:rsidRPr="003D5D4C">
        <w:t>A product has a currency exposure in relation to the quarter (including a currency exposure of zero)—treat a currency hedging ratio of the amount worked out under subregulation (3A) as identified with the international domicile type.</w:t>
      </w:r>
    </w:p>
    <w:p w14:paraId="7B87BDAD" w14:textId="77777777" w:rsidR="00690D49" w:rsidRPr="003D5D4C" w:rsidRDefault="00690D49" w:rsidP="00690D49">
      <w:pPr>
        <w:pStyle w:val="subsection"/>
      </w:pPr>
      <w:r w:rsidRPr="003D5D4C">
        <w:tab/>
        <w:t>(3A)</w:t>
      </w:r>
      <w:r w:rsidRPr="003D5D4C">
        <w:tab/>
        <w:t xml:space="preserve">For the purposes of </w:t>
      </w:r>
      <w:r w:rsidR="00FB3C31" w:rsidRPr="003D5D4C">
        <w:t>sub</w:t>
      </w:r>
      <w:r w:rsidR="00F75733" w:rsidRPr="003D5D4C">
        <w:t>paragraph (</w:t>
      </w:r>
      <w:r w:rsidRPr="003D5D4C">
        <w:t xml:space="preserve">2)(d)(ii) and </w:t>
      </w:r>
      <w:r w:rsidR="00F75733" w:rsidRPr="003D5D4C">
        <w:t>paragraph (</w:t>
      </w:r>
      <w:r w:rsidRPr="003D5D4C">
        <w:t>3)(b), work out the currency hedging ratio as follows:</w:t>
      </w:r>
    </w:p>
    <w:p w14:paraId="21849B13" w14:textId="77777777" w:rsidR="00690D49" w:rsidRPr="003D5D4C" w:rsidRDefault="00690D49" w:rsidP="00690D49">
      <w:pPr>
        <w:pStyle w:val="paragraph"/>
      </w:pPr>
      <w:r w:rsidRPr="003D5D4C">
        <w:tab/>
        <w:t>(a)</w:t>
      </w:r>
      <w:r w:rsidRPr="003D5D4C">
        <w:tab/>
        <w:t xml:space="preserve">first, work out the </w:t>
      </w:r>
      <w:r w:rsidR="00D251D3" w:rsidRPr="003D5D4C">
        <w:t>Part 6</w:t>
      </w:r>
      <w:r w:rsidR="004844D6" w:rsidRPr="003D5D4C">
        <w:t>A product</w:t>
      </w:r>
      <w:r w:rsidR="001376B0" w:rsidRPr="003D5D4C">
        <w:t>’</w:t>
      </w:r>
      <w:r w:rsidR="004844D6" w:rsidRPr="003D5D4C">
        <w:t xml:space="preserve">s </w:t>
      </w:r>
      <w:r w:rsidR="00644FA2" w:rsidRPr="003D5D4C">
        <w:t>strategic asset allocation</w:t>
      </w:r>
      <w:r w:rsidR="004844D6" w:rsidRPr="003D5D4C">
        <w:t xml:space="preserve">, in relation to the quarter, </w:t>
      </w:r>
      <w:r w:rsidRPr="003D5D4C">
        <w:t>to each covered asset class identified with the international domicile type;</w:t>
      </w:r>
    </w:p>
    <w:p w14:paraId="773DD9E0" w14:textId="77777777" w:rsidR="00690D49" w:rsidRPr="003D5D4C" w:rsidRDefault="00690D49" w:rsidP="00690D49">
      <w:pPr>
        <w:pStyle w:val="paragraph"/>
      </w:pPr>
      <w:r w:rsidRPr="003D5D4C">
        <w:tab/>
        <w:t>(b)</w:t>
      </w:r>
      <w:r w:rsidRPr="003D5D4C">
        <w:tab/>
        <w:t xml:space="preserve">next, work out the sum of the </w:t>
      </w:r>
      <w:r w:rsidR="00644FA2" w:rsidRPr="003D5D4C">
        <w:t>strategic asset allocation</w:t>
      </w:r>
      <w:r w:rsidRPr="003D5D4C">
        <w:t xml:space="preserve">s worked out under </w:t>
      </w:r>
      <w:r w:rsidR="00F75733" w:rsidRPr="003D5D4C">
        <w:t>paragraph (</w:t>
      </w:r>
      <w:r w:rsidRPr="003D5D4C">
        <w:t>a);</w:t>
      </w:r>
    </w:p>
    <w:p w14:paraId="1ADC6C80" w14:textId="77777777" w:rsidR="00690D49" w:rsidRPr="003D5D4C" w:rsidRDefault="00690D49" w:rsidP="00690D49">
      <w:pPr>
        <w:pStyle w:val="paragraph"/>
      </w:pPr>
      <w:r w:rsidRPr="003D5D4C">
        <w:tab/>
        <w:t>(c)</w:t>
      </w:r>
      <w:r w:rsidRPr="003D5D4C">
        <w:tab/>
        <w:t xml:space="preserve">next, divide the currency exposure mentioned in </w:t>
      </w:r>
      <w:r w:rsidR="00FB3C31" w:rsidRPr="003D5D4C">
        <w:t>sub</w:t>
      </w:r>
      <w:r w:rsidR="00F75733" w:rsidRPr="003D5D4C">
        <w:t>paragraph (</w:t>
      </w:r>
      <w:r w:rsidRPr="003D5D4C">
        <w:t xml:space="preserve">2)(d)(ii) and </w:t>
      </w:r>
      <w:r w:rsidR="00F75733" w:rsidRPr="003D5D4C">
        <w:t>paragraph (</w:t>
      </w:r>
      <w:r w:rsidRPr="003D5D4C">
        <w:t xml:space="preserve">3)(b) by the result of </w:t>
      </w:r>
      <w:r w:rsidR="00F75733" w:rsidRPr="003D5D4C">
        <w:t>paragraph (</w:t>
      </w:r>
      <w:r w:rsidRPr="003D5D4C">
        <w:t>b);</w:t>
      </w:r>
    </w:p>
    <w:p w14:paraId="153B2360" w14:textId="77777777" w:rsidR="00690D49" w:rsidRPr="003D5D4C" w:rsidRDefault="00690D49" w:rsidP="00690D49">
      <w:pPr>
        <w:pStyle w:val="paragraph"/>
      </w:pPr>
      <w:r w:rsidRPr="003D5D4C">
        <w:tab/>
        <w:t>(d)</w:t>
      </w:r>
      <w:r w:rsidRPr="003D5D4C">
        <w:tab/>
        <w:t xml:space="preserve">next, subtract the result of </w:t>
      </w:r>
      <w:r w:rsidR="00F75733" w:rsidRPr="003D5D4C">
        <w:t>paragraph (</w:t>
      </w:r>
      <w:r w:rsidRPr="003D5D4C">
        <w:t>c) from one.</w:t>
      </w:r>
    </w:p>
    <w:p w14:paraId="18C8C82F" w14:textId="77777777" w:rsidR="00690D49" w:rsidRPr="003D5D4C" w:rsidRDefault="00690D49" w:rsidP="00690D49">
      <w:pPr>
        <w:pStyle w:val="subsection2"/>
      </w:pPr>
      <w:r w:rsidRPr="003D5D4C">
        <w:t xml:space="preserve">If the result of </w:t>
      </w:r>
      <w:r w:rsidR="00F75733" w:rsidRPr="003D5D4C">
        <w:t>paragraph (</w:t>
      </w:r>
      <w:r w:rsidRPr="003D5D4C">
        <w:t>d) is less than zero, treat it as being zero.</w:t>
      </w:r>
    </w:p>
    <w:p w14:paraId="69B4704A" w14:textId="77777777" w:rsidR="00262F3B" w:rsidRPr="003D5D4C" w:rsidRDefault="00F75733" w:rsidP="00262F3B">
      <w:pPr>
        <w:pStyle w:val="ItemHead"/>
      </w:pPr>
      <w:r w:rsidRPr="003D5D4C">
        <w:t>18</w:t>
      </w:r>
      <w:r w:rsidR="00262F3B" w:rsidRPr="003D5D4C">
        <w:t xml:space="preserve">  After </w:t>
      </w:r>
      <w:r w:rsidRPr="003D5D4C">
        <w:t>subregulation 9</w:t>
      </w:r>
      <w:r w:rsidR="00262F3B" w:rsidRPr="003D5D4C">
        <w:t>AB.5(4)</w:t>
      </w:r>
    </w:p>
    <w:p w14:paraId="4A44B015" w14:textId="77777777" w:rsidR="00262F3B" w:rsidRPr="003D5D4C" w:rsidRDefault="00262F3B" w:rsidP="00262F3B">
      <w:pPr>
        <w:pStyle w:val="Item"/>
      </w:pPr>
      <w:r w:rsidRPr="003D5D4C">
        <w:t>Insert:</w:t>
      </w:r>
    </w:p>
    <w:p w14:paraId="4823F05E" w14:textId="77777777" w:rsidR="00262F3B" w:rsidRPr="003D5D4C" w:rsidRDefault="00262F3B" w:rsidP="00262F3B">
      <w:pPr>
        <w:pStyle w:val="SubsectionHead"/>
      </w:pPr>
      <w:r w:rsidRPr="003D5D4C">
        <w:t xml:space="preserve">Lifecycle </w:t>
      </w:r>
      <w:r w:rsidR="00D251D3" w:rsidRPr="003D5D4C">
        <w:t>Part 6</w:t>
      </w:r>
      <w:r w:rsidRPr="003D5D4C">
        <w:t>A products</w:t>
      </w:r>
    </w:p>
    <w:p w14:paraId="25C91EB7" w14:textId="77777777" w:rsidR="00262F3B" w:rsidRPr="003D5D4C" w:rsidRDefault="00262F3B" w:rsidP="00262F3B">
      <w:pPr>
        <w:pStyle w:val="subsection"/>
      </w:pPr>
      <w:r w:rsidRPr="003D5D4C">
        <w:tab/>
        <w:t>(4A)</w:t>
      </w:r>
      <w:r w:rsidRPr="003D5D4C">
        <w:tab/>
        <w:t xml:space="preserve">Subregulation (4B) applies if the </w:t>
      </w:r>
      <w:r w:rsidR="00D251D3" w:rsidRPr="003D5D4C">
        <w:t>Part 6</w:t>
      </w:r>
      <w:r w:rsidRPr="003D5D4C">
        <w:t xml:space="preserve">A product is a lifecycle </w:t>
      </w:r>
      <w:r w:rsidR="00D251D3" w:rsidRPr="003D5D4C">
        <w:t>Part 6</w:t>
      </w:r>
      <w:r w:rsidRPr="003D5D4C">
        <w:t>A product.</w:t>
      </w:r>
    </w:p>
    <w:p w14:paraId="2FAC20C8" w14:textId="77777777" w:rsidR="00262F3B" w:rsidRPr="003D5D4C" w:rsidRDefault="00262F3B" w:rsidP="00262F3B">
      <w:pPr>
        <w:pStyle w:val="subsection"/>
      </w:pPr>
      <w:r w:rsidRPr="003D5D4C">
        <w:tab/>
        <w:t>(4B)</w:t>
      </w:r>
      <w:r w:rsidRPr="003D5D4C">
        <w:tab/>
        <w:t xml:space="preserve">Despite subregulations (1) to (4), work out the </w:t>
      </w:r>
      <w:r w:rsidRPr="003D5D4C">
        <w:rPr>
          <w:b/>
          <w:i/>
        </w:rPr>
        <w:t>strategic asset allocation</w:t>
      </w:r>
      <w:r w:rsidRPr="003D5D4C">
        <w:t xml:space="preserve"> of a lifecycle </w:t>
      </w:r>
      <w:r w:rsidR="00D251D3" w:rsidRPr="003D5D4C">
        <w:t>Part 6</w:t>
      </w:r>
      <w:r w:rsidRPr="003D5D4C">
        <w:t>A product in relation to a lifestage and a quarter to a covered asset class for the quarter on the assumptions that:</w:t>
      </w:r>
    </w:p>
    <w:p w14:paraId="79726B60" w14:textId="77777777" w:rsidR="00262F3B" w:rsidRPr="003D5D4C" w:rsidRDefault="00262F3B" w:rsidP="00262F3B">
      <w:pPr>
        <w:pStyle w:val="paragraph"/>
      </w:pPr>
      <w:r w:rsidRPr="003D5D4C">
        <w:tab/>
        <w:t>(a)</w:t>
      </w:r>
      <w:r w:rsidRPr="003D5D4C">
        <w:tab/>
        <w:t xml:space="preserve">those subregulations apply separately in respect of each lifestage of the </w:t>
      </w:r>
      <w:r w:rsidR="00D251D3" w:rsidRPr="003D5D4C">
        <w:t>Part 6</w:t>
      </w:r>
      <w:r w:rsidRPr="003D5D4C">
        <w:t>A product; and</w:t>
      </w:r>
    </w:p>
    <w:p w14:paraId="358E3018" w14:textId="77777777" w:rsidR="00262F3B" w:rsidRPr="003D5D4C" w:rsidRDefault="00262F3B" w:rsidP="00262F3B">
      <w:pPr>
        <w:pStyle w:val="paragraph"/>
      </w:pPr>
      <w:r w:rsidRPr="003D5D4C">
        <w:tab/>
        <w:t>(b)</w:t>
      </w:r>
      <w:r w:rsidRPr="003D5D4C">
        <w:tab/>
        <w:t xml:space="preserve">in applying those subregulations to a lifestage, references in </w:t>
      </w:r>
      <w:r w:rsidR="000C16EC" w:rsidRPr="003D5D4C">
        <w:t>this</w:t>
      </w:r>
      <w:r w:rsidRPr="003D5D4C">
        <w:t xml:space="preserve"> regulation to amounts reported to APRA were references to such amounts to the extent that they relate to that lifestage.</w:t>
      </w:r>
    </w:p>
    <w:p w14:paraId="2AD7EA0D" w14:textId="77777777" w:rsidR="00B115BD" w:rsidRPr="003D5D4C" w:rsidRDefault="00F75733" w:rsidP="00644FA2">
      <w:pPr>
        <w:pStyle w:val="ItemHead"/>
      </w:pPr>
      <w:r w:rsidRPr="003D5D4C">
        <w:t>19</w:t>
      </w:r>
      <w:r w:rsidR="00B115BD" w:rsidRPr="003D5D4C">
        <w:t xml:space="preserve">  </w:t>
      </w:r>
      <w:r w:rsidRPr="003D5D4C">
        <w:t>Subregulation 9</w:t>
      </w:r>
      <w:r w:rsidR="00644FA2" w:rsidRPr="003D5D4C">
        <w:t>AB.5(5)</w:t>
      </w:r>
    </w:p>
    <w:p w14:paraId="383ACCB0" w14:textId="77777777" w:rsidR="00644FA2" w:rsidRPr="003D5D4C" w:rsidRDefault="00644FA2" w:rsidP="00644FA2">
      <w:pPr>
        <w:pStyle w:val="Item"/>
      </w:pPr>
      <w:r w:rsidRPr="003D5D4C">
        <w:t xml:space="preserve">Omit </w:t>
      </w:r>
      <w:r w:rsidR="001376B0" w:rsidRPr="003D5D4C">
        <w:t>“</w:t>
      </w:r>
      <w:r w:rsidRPr="003D5D4C">
        <w:t>strategic asset allocation to a covered asset class in relation to a quarter</w:t>
      </w:r>
      <w:r w:rsidR="001376B0" w:rsidRPr="003D5D4C">
        <w:t>”</w:t>
      </w:r>
      <w:r w:rsidRPr="003D5D4C">
        <w:t xml:space="preserve">, substitute </w:t>
      </w:r>
      <w:r w:rsidR="001376B0" w:rsidRPr="003D5D4C">
        <w:t>“</w:t>
      </w:r>
      <w:r w:rsidRPr="003D5D4C">
        <w:t>strategic asset allocation in relation to a quarter to a covered asset class for the quarter</w:t>
      </w:r>
      <w:r w:rsidR="001376B0" w:rsidRPr="003D5D4C">
        <w:t>”</w:t>
      </w:r>
      <w:r w:rsidRPr="003D5D4C">
        <w:t>.</w:t>
      </w:r>
    </w:p>
    <w:p w14:paraId="42CB5F38" w14:textId="77777777" w:rsidR="006D67E2" w:rsidRPr="003D5D4C" w:rsidRDefault="00F75733" w:rsidP="006D67E2">
      <w:pPr>
        <w:pStyle w:val="ItemHead"/>
      </w:pPr>
      <w:r w:rsidRPr="003D5D4C">
        <w:t>20</w:t>
      </w:r>
      <w:r w:rsidR="006D67E2" w:rsidRPr="003D5D4C">
        <w:t xml:space="preserve">  </w:t>
      </w:r>
      <w:r w:rsidRPr="003D5D4C">
        <w:t>Subregulation 9</w:t>
      </w:r>
      <w:r w:rsidR="006D67E2" w:rsidRPr="003D5D4C">
        <w:t>AB.5(10)</w:t>
      </w:r>
    </w:p>
    <w:p w14:paraId="0F10B4AC" w14:textId="77777777" w:rsidR="006D67E2" w:rsidRPr="003D5D4C" w:rsidRDefault="006D67E2" w:rsidP="006D67E2">
      <w:pPr>
        <w:pStyle w:val="Item"/>
      </w:pPr>
      <w:r w:rsidRPr="003D5D4C">
        <w:t xml:space="preserve">Omit </w:t>
      </w:r>
      <w:r w:rsidR="001376B0" w:rsidRPr="003D5D4C">
        <w:t>“</w:t>
      </w:r>
      <w:r w:rsidRPr="003D5D4C">
        <w:t>covered asset class in relation to the quarter</w:t>
      </w:r>
      <w:r w:rsidR="001376B0" w:rsidRPr="003D5D4C">
        <w:t>”</w:t>
      </w:r>
      <w:r w:rsidRPr="003D5D4C">
        <w:t xml:space="preserve">, substitute </w:t>
      </w:r>
      <w:r w:rsidR="001376B0" w:rsidRPr="003D5D4C">
        <w:t>“</w:t>
      </w:r>
      <w:r w:rsidRPr="003D5D4C">
        <w:t>covered asset class for the quarter</w:t>
      </w:r>
      <w:r w:rsidR="001376B0" w:rsidRPr="003D5D4C">
        <w:t>”</w:t>
      </w:r>
      <w:r w:rsidRPr="003D5D4C">
        <w:t>.</w:t>
      </w:r>
    </w:p>
    <w:p w14:paraId="0EEFEF59" w14:textId="77777777" w:rsidR="00690D49" w:rsidRPr="003D5D4C" w:rsidRDefault="00F75733" w:rsidP="00690D49">
      <w:pPr>
        <w:pStyle w:val="ItemHead"/>
      </w:pPr>
      <w:r w:rsidRPr="003D5D4C">
        <w:t>21</w:t>
      </w:r>
      <w:r w:rsidR="00690D49" w:rsidRPr="003D5D4C">
        <w:t xml:space="preserve">  At the end of </w:t>
      </w:r>
      <w:r w:rsidRPr="003D5D4C">
        <w:t>regulation 9</w:t>
      </w:r>
      <w:r w:rsidR="00690D49" w:rsidRPr="003D5D4C">
        <w:t>AB.5</w:t>
      </w:r>
    </w:p>
    <w:p w14:paraId="25BDDA0A" w14:textId="77777777" w:rsidR="00690D49" w:rsidRPr="003D5D4C" w:rsidRDefault="00690D49" w:rsidP="00690D49">
      <w:pPr>
        <w:pStyle w:val="Item"/>
      </w:pPr>
      <w:r w:rsidRPr="003D5D4C">
        <w:t>Add:</w:t>
      </w:r>
    </w:p>
    <w:p w14:paraId="7F6267A7" w14:textId="77777777" w:rsidR="002A18B0" w:rsidRPr="003D5D4C" w:rsidRDefault="002A18B0" w:rsidP="002A18B0">
      <w:pPr>
        <w:pStyle w:val="SubsectionHead"/>
      </w:pPr>
      <w:r w:rsidRPr="003D5D4C">
        <w:t>Strategic asset allocations add up to less than 1</w:t>
      </w:r>
    </w:p>
    <w:p w14:paraId="7D2F7071" w14:textId="77777777" w:rsidR="00690D49" w:rsidRPr="003D5D4C" w:rsidRDefault="00690D49" w:rsidP="00690D49">
      <w:pPr>
        <w:pStyle w:val="subsection"/>
      </w:pPr>
      <w:r w:rsidRPr="003D5D4C">
        <w:tab/>
        <w:t>(11)</w:t>
      </w:r>
      <w:r w:rsidRPr="003D5D4C">
        <w:tab/>
        <w:t>Subregulation (12) applies if</w:t>
      </w:r>
      <w:r w:rsidR="000E6D45" w:rsidRPr="003D5D4C">
        <w:t>, in relation to a quarter,</w:t>
      </w:r>
      <w:r w:rsidRPr="003D5D4C">
        <w:t xml:space="preserve"> </w:t>
      </w:r>
      <w:r w:rsidR="000E6D45" w:rsidRPr="003D5D4C">
        <w:t xml:space="preserve">the sum of </w:t>
      </w:r>
      <w:r w:rsidR="000C16EC" w:rsidRPr="003D5D4C">
        <w:t>the</w:t>
      </w:r>
      <w:r w:rsidRPr="003D5D4C">
        <w:t xml:space="preserve"> strategic asset allocation</w:t>
      </w:r>
      <w:r w:rsidR="000E6D45" w:rsidRPr="003D5D4C">
        <w:t>s</w:t>
      </w:r>
      <w:r w:rsidRPr="003D5D4C">
        <w:t xml:space="preserve"> </w:t>
      </w:r>
      <w:r w:rsidR="000C16EC" w:rsidRPr="003D5D4C">
        <w:t xml:space="preserve">of a standard </w:t>
      </w:r>
      <w:r w:rsidR="00D251D3" w:rsidRPr="003D5D4C">
        <w:t>Part 6</w:t>
      </w:r>
      <w:r w:rsidR="000C16EC" w:rsidRPr="003D5D4C">
        <w:t>A product</w:t>
      </w:r>
      <w:r w:rsidR="000E6D45" w:rsidRPr="003D5D4C">
        <w:t xml:space="preserve"> in relation to the quarter,</w:t>
      </w:r>
      <w:r w:rsidR="000C16EC" w:rsidRPr="003D5D4C">
        <w:t xml:space="preserve"> or a </w:t>
      </w:r>
      <w:r w:rsidR="000C16EC" w:rsidRPr="003D5D4C">
        <w:lastRenderedPageBreak/>
        <w:t xml:space="preserve">lifecycle </w:t>
      </w:r>
      <w:r w:rsidR="00D251D3" w:rsidRPr="003D5D4C">
        <w:t>Part 6</w:t>
      </w:r>
      <w:r w:rsidR="000C16EC" w:rsidRPr="003D5D4C">
        <w:t xml:space="preserve">A product in relation to a lifestage and </w:t>
      </w:r>
      <w:r w:rsidR="000E6D45" w:rsidRPr="003D5D4C">
        <w:t>the</w:t>
      </w:r>
      <w:r w:rsidR="000C16EC" w:rsidRPr="003D5D4C">
        <w:t xml:space="preserve"> quarter</w:t>
      </w:r>
      <w:r w:rsidR="000E6D45" w:rsidRPr="003D5D4C">
        <w:t>,</w:t>
      </w:r>
      <w:r w:rsidR="000C16EC" w:rsidRPr="003D5D4C">
        <w:t xml:space="preserve"> </w:t>
      </w:r>
      <w:r w:rsidRPr="003D5D4C">
        <w:t>to a</w:t>
      </w:r>
      <w:r w:rsidR="000E6D45" w:rsidRPr="003D5D4C">
        <w:t>ll</w:t>
      </w:r>
      <w:r w:rsidRPr="003D5D4C">
        <w:t xml:space="preserve"> covered asset class</w:t>
      </w:r>
      <w:r w:rsidR="000E6D45" w:rsidRPr="003D5D4C">
        <w:t>es</w:t>
      </w:r>
      <w:r w:rsidR="00E727BA" w:rsidRPr="003D5D4C">
        <w:t xml:space="preserve"> for the quarter</w:t>
      </w:r>
      <w:r w:rsidR="000E6D45" w:rsidRPr="003D5D4C">
        <w:t xml:space="preserve"> is less than 1.</w:t>
      </w:r>
    </w:p>
    <w:p w14:paraId="1FF9AC25" w14:textId="77777777" w:rsidR="00690D49" w:rsidRPr="003D5D4C" w:rsidRDefault="00690D49" w:rsidP="00690D49">
      <w:pPr>
        <w:pStyle w:val="subsection"/>
      </w:pPr>
      <w:r w:rsidRPr="003D5D4C">
        <w:tab/>
        <w:t>(12)</w:t>
      </w:r>
      <w:r w:rsidRPr="003D5D4C">
        <w:tab/>
        <w:t xml:space="preserve">For the purposes of this regulation, treat the </w:t>
      </w:r>
      <w:r w:rsidR="000E6D45" w:rsidRPr="003D5D4C">
        <w:t xml:space="preserve">strategic asset allocation of the standard </w:t>
      </w:r>
      <w:r w:rsidR="00D251D3" w:rsidRPr="003D5D4C">
        <w:t>Part 6</w:t>
      </w:r>
      <w:r w:rsidR="000E6D45" w:rsidRPr="003D5D4C">
        <w:t xml:space="preserve">A product in relation to the quarter, or the lifecycle </w:t>
      </w:r>
      <w:r w:rsidR="00D251D3" w:rsidRPr="003D5D4C">
        <w:t>Part 6</w:t>
      </w:r>
      <w:r w:rsidR="000E6D45" w:rsidRPr="003D5D4C">
        <w:t xml:space="preserve">A product in relation to the lifestage and the quarter, to each covered asset class </w:t>
      </w:r>
      <w:r w:rsidR="00F86888" w:rsidRPr="003D5D4C">
        <w:t xml:space="preserve">for the quarter </w:t>
      </w:r>
      <w:r w:rsidRPr="003D5D4C">
        <w:t>as being</w:t>
      </w:r>
      <w:r w:rsidR="000E6D45" w:rsidRPr="003D5D4C">
        <w:t xml:space="preserve"> reasonably adjusted such that the sum mentioned in subregulation (11) is 1.</w:t>
      </w:r>
    </w:p>
    <w:p w14:paraId="484DBC1E" w14:textId="77777777" w:rsidR="00B341FF" w:rsidRPr="003D5D4C" w:rsidRDefault="00F75733" w:rsidP="00B341FF">
      <w:pPr>
        <w:pStyle w:val="ItemHead"/>
      </w:pPr>
      <w:r w:rsidRPr="003D5D4C">
        <w:t>22</w:t>
      </w:r>
      <w:r w:rsidR="00B341FF" w:rsidRPr="003D5D4C">
        <w:t xml:space="preserve">  After </w:t>
      </w:r>
      <w:r w:rsidRPr="003D5D4C">
        <w:t>regulation 9</w:t>
      </w:r>
      <w:r w:rsidR="00B341FF" w:rsidRPr="003D5D4C">
        <w:t>AB.5</w:t>
      </w:r>
    </w:p>
    <w:p w14:paraId="693698F9" w14:textId="77777777" w:rsidR="00B341FF" w:rsidRPr="003D5D4C" w:rsidRDefault="00B341FF" w:rsidP="00B341FF">
      <w:pPr>
        <w:pStyle w:val="Item"/>
      </w:pPr>
      <w:r w:rsidRPr="003D5D4C">
        <w:t>Insert:</w:t>
      </w:r>
    </w:p>
    <w:p w14:paraId="6E976CA2" w14:textId="77777777" w:rsidR="00B341FF" w:rsidRPr="003D5D4C" w:rsidRDefault="00B341FF" w:rsidP="00B341FF">
      <w:pPr>
        <w:pStyle w:val="ActHead5"/>
      </w:pPr>
      <w:bookmarkStart w:id="10" w:name="_Toc139624477"/>
      <w:r w:rsidRPr="003D5D4C">
        <w:rPr>
          <w:rStyle w:val="CharSectno"/>
        </w:rPr>
        <w:t>9AB.5A</w:t>
      </w:r>
      <w:r w:rsidRPr="003D5D4C">
        <w:t xml:space="preserve">  Meaning of </w:t>
      </w:r>
      <w:r w:rsidRPr="003D5D4C">
        <w:rPr>
          <w:i/>
        </w:rPr>
        <w:t>index</w:t>
      </w:r>
      <w:bookmarkEnd w:id="10"/>
    </w:p>
    <w:p w14:paraId="422F7D6F" w14:textId="77777777" w:rsidR="00B341FF" w:rsidRPr="003D5D4C" w:rsidRDefault="00B341FF" w:rsidP="00B341FF">
      <w:pPr>
        <w:pStyle w:val="subsection"/>
      </w:pPr>
      <w:r w:rsidRPr="003D5D4C">
        <w:tab/>
      </w:r>
      <w:r w:rsidR="007F1EA7" w:rsidRPr="003D5D4C">
        <w:t>(1)</w:t>
      </w:r>
      <w:r w:rsidRPr="003D5D4C">
        <w:tab/>
      </w:r>
      <w:r w:rsidRPr="003D5D4C">
        <w:rPr>
          <w:b/>
          <w:i/>
        </w:rPr>
        <w:t>Index</w:t>
      </w:r>
      <w:r w:rsidRPr="003D5D4C">
        <w:t>, of a covered asset class for a quarter, means the amount calculated using the following formula, rounded to 10 decimal places (rounding up if the eleventh decimal place is 5 or more):</w:t>
      </w:r>
    </w:p>
    <w:p w14:paraId="32EBEB75" w14:textId="77777777" w:rsidR="00B341FF" w:rsidRPr="003D5D4C" w:rsidRDefault="00A47F0E" w:rsidP="00A47F0E">
      <w:pPr>
        <w:pStyle w:val="subsection2"/>
      </w:pPr>
      <w:r w:rsidRPr="003D5D4C">
        <w:object w:dxaOrig="4160" w:dyaOrig="1240" w14:anchorId="4E690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start fraction Value at the end of the quarter of the assumed index for the covered asset class over Value at the end of the previous quarter of the assumed index for the covered asset class end fraction minus 1 end formula" style="width:209.1pt;height:62.05pt" o:ole="">
            <v:imagedata r:id="rId23" o:title=""/>
          </v:shape>
          <o:OLEObject Type="Embed" ProgID="Equation.DSMT4" ShapeID="_x0000_i1025" DrawAspect="Content" ObjectID="_1752581538" r:id="rId24"/>
        </w:object>
      </w:r>
    </w:p>
    <w:p w14:paraId="1FB4C312" w14:textId="77777777" w:rsidR="00A22B2A" w:rsidRPr="003D5D4C" w:rsidRDefault="00A22B2A" w:rsidP="00A22B2A">
      <w:pPr>
        <w:pStyle w:val="notetext"/>
      </w:pPr>
      <w:r w:rsidRPr="003D5D4C">
        <w:t>Note:</w:t>
      </w:r>
      <w:r w:rsidRPr="003D5D4C">
        <w:tab/>
        <w:t xml:space="preserve">For a covered asset class for a quarter that is identified in </w:t>
      </w:r>
      <w:r w:rsidR="00FB3C31" w:rsidRPr="003D5D4C">
        <w:t>item 2</w:t>
      </w:r>
      <w:r w:rsidRPr="003D5D4C">
        <w:t xml:space="preserve">4, 25 or 26 of the table in </w:t>
      </w:r>
      <w:r w:rsidR="00F75733" w:rsidRPr="003D5D4C">
        <w:t>regulation 9</w:t>
      </w:r>
      <w:r w:rsidRPr="003D5D4C">
        <w:t xml:space="preserve">AB.17 (alternatives, defensive alternatives or growth alternatives asset class), see subregulations (4) </w:t>
      </w:r>
      <w:r w:rsidR="007E1CDD" w:rsidRPr="003D5D4C">
        <w:t>to</w:t>
      </w:r>
      <w:r w:rsidRPr="003D5D4C">
        <w:t xml:space="preserve"> (</w:t>
      </w:r>
      <w:r w:rsidR="007E1CDD" w:rsidRPr="003D5D4C">
        <w:t>7</w:t>
      </w:r>
      <w:r w:rsidRPr="003D5D4C">
        <w:t>) of this regulation.</w:t>
      </w:r>
    </w:p>
    <w:p w14:paraId="74AC3BAA" w14:textId="77777777" w:rsidR="00A22B2A" w:rsidRPr="003D5D4C" w:rsidRDefault="00A22B2A" w:rsidP="00A22B2A">
      <w:pPr>
        <w:pStyle w:val="SubsectionHead"/>
      </w:pPr>
      <w:r w:rsidRPr="003D5D4C">
        <w:t>Late reporting of unlisted infrastructure indices</w:t>
      </w:r>
    </w:p>
    <w:p w14:paraId="0E79D675" w14:textId="77777777" w:rsidR="009B57FD" w:rsidRPr="003D5D4C" w:rsidRDefault="00A22B2A" w:rsidP="005103EB">
      <w:pPr>
        <w:pStyle w:val="subsection"/>
      </w:pPr>
      <w:r w:rsidRPr="003D5D4C">
        <w:tab/>
        <w:t>(2)</w:t>
      </w:r>
      <w:r w:rsidRPr="003D5D4C">
        <w:tab/>
        <w:t>Subregulation (3) applies</w:t>
      </w:r>
      <w:r w:rsidR="005103EB" w:rsidRPr="003D5D4C">
        <w:t xml:space="preserve"> </w:t>
      </w:r>
      <w:r w:rsidR="00332EBC" w:rsidRPr="003D5D4C">
        <w:t xml:space="preserve">in relation to </w:t>
      </w:r>
      <w:r w:rsidR="00D318DB" w:rsidRPr="003D5D4C">
        <w:t>a</w:t>
      </w:r>
      <w:r w:rsidR="00332EBC" w:rsidRPr="003D5D4C">
        <w:t xml:space="preserve"> covered asset class</w:t>
      </w:r>
      <w:r w:rsidR="00D318DB" w:rsidRPr="003D5D4C">
        <w:t xml:space="preserve"> for a quarter </w:t>
      </w:r>
      <w:r w:rsidR="009B57FD" w:rsidRPr="003D5D4C">
        <w:t>if:</w:t>
      </w:r>
    </w:p>
    <w:p w14:paraId="7324F6FB" w14:textId="77777777" w:rsidR="009B57FD" w:rsidRPr="003D5D4C" w:rsidRDefault="009B57FD" w:rsidP="009B57FD">
      <w:pPr>
        <w:pStyle w:val="paragraph"/>
      </w:pPr>
      <w:r w:rsidRPr="003D5D4C">
        <w:tab/>
        <w:t>(a)</w:t>
      </w:r>
      <w:r w:rsidRPr="003D5D4C">
        <w:tab/>
        <w:t xml:space="preserve">the covered asset class </w:t>
      </w:r>
      <w:r w:rsidR="00D318DB" w:rsidRPr="003D5D4C">
        <w:t>is</w:t>
      </w:r>
      <w:r w:rsidR="00332EBC" w:rsidRPr="003D5D4C">
        <w:t xml:space="preserve"> identified in </w:t>
      </w:r>
      <w:r w:rsidR="002F1B03" w:rsidRPr="003D5D4C">
        <w:t>item 1</w:t>
      </w:r>
      <w:r w:rsidR="009E25B3" w:rsidRPr="003D5D4C">
        <w:t>4</w:t>
      </w:r>
      <w:r w:rsidR="00332EBC" w:rsidRPr="003D5D4C">
        <w:t xml:space="preserve"> or 1</w:t>
      </w:r>
      <w:r w:rsidR="009E25B3" w:rsidRPr="003D5D4C">
        <w:t>5</w:t>
      </w:r>
      <w:r w:rsidR="00332EBC" w:rsidRPr="003D5D4C">
        <w:t xml:space="preserve"> of the table in </w:t>
      </w:r>
      <w:r w:rsidR="00F75733" w:rsidRPr="003D5D4C">
        <w:t>regulation 9</w:t>
      </w:r>
      <w:r w:rsidR="00332EBC" w:rsidRPr="003D5D4C">
        <w:t>AB.17</w:t>
      </w:r>
      <w:r w:rsidRPr="003D5D4C">
        <w:t>; and</w:t>
      </w:r>
    </w:p>
    <w:p w14:paraId="6C23E907" w14:textId="77777777" w:rsidR="00A22B2A" w:rsidRPr="003D5D4C" w:rsidRDefault="009B57FD" w:rsidP="009B57FD">
      <w:pPr>
        <w:pStyle w:val="paragraph"/>
      </w:pPr>
      <w:r w:rsidRPr="003D5D4C">
        <w:tab/>
        <w:t>(b)</w:t>
      </w:r>
      <w:r w:rsidRPr="003D5D4C">
        <w:tab/>
      </w:r>
      <w:r w:rsidR="00A22B2A" w:rsidRPr="003D5D4C">
        <w:t xml:space="preserve">the value at the end of </w:t>
      </w:r>
      <w:r w:rsidR="00B350CB" w:rsidRPr="003D5D4C">
        <w:t>the</w:t>
      </w:r>
      <w:r w:rsidR="00391328" w:rsidRPr="003D5D4C">
        <w:t xml:space="preserve"> </w:t>
      </w:r>
      <w:r w:rsidR="00A22B2A" w:rsidRPr="003D5D4C">
        <w:t xml:space="preserve">quarter of the assumed index for the </w:t>
      </w:r>
      <w:r w:rsidR="00D318DB" w:rsidRPr="003D5D4C">
        <w:t>covered asset class</w:t>
      </w:r>
      <w:r w:rsidR="00A22B2A" w:rsidRPr="003D5D4C">
        <w:t xml:space="preserve"> is not publicly available earlier than 36 days after the end of the financial year</w:t>
      </w:r>
      <w:r w:rsidR="00B350CB" w:rsidRPr="003D5D4C">
        <w:t xml:space="preserve"> in which the quarter occurs</w:t>
      </w:r>
      <w:r w:rsidR="00A22B2A" w:rsidRPr="003D5D4C">
        <w:t>.</w:t>
      </w:r>
    </w:p>
    <w:p w14:paraId="38AF9679" w14:textId="77777777" w:rsidR="00A22B2A" w:rsidRPr="003D5D4C" w:rsidRDefault="00A22B2A" w:rsidP="00A22B2A">
      <w:pPr>
        <w:pStyle w:val="subsection"/>
      </w:pPr>
      <w:r w:rsidRPr="003D5D4C">
        <w:tab/>
        <w:t>(</w:t>
      </w:r>
      <w:r w:rsidR="00391328" w:rsidRPr="003D5D4C">
        <w:t>3</w:t>
      </w:r>
      <w:r w:rsidRPr="003D5D4C">
        <w:t>)</w:t>
      </w:r>
      <w:r w:rsidRPr="003D5D4C">
        <w:tab/>
      </w:r>
      <w:r w:rsidR="00391328" w:rsidRPr="003D5D4C">
        <w:t>For the purposes of calculating the index of the covered asset class for the quarter</w:t>
      </w:r>
      <w:r w:rsidRPr="003D5D4C">
        <w:t>:</w:t>
      </w:r>
    </w:p>
    <w:p w14:paraId="432C6D35" w14:textId="77777777" w:rsidR="00A22B2A" w:rsidRPr="003D5D4C" w:rsidRDefault="00A22B2A" w:rsidP="00A22B2A">
      <w:pPr>
        <w:pStyle w:val="paragraph"/>
      </w:pPr>
      <w:r w:rsidRPr="003D5D4C">
        <w:tab/>
        <w:t>(a)</w:t>
      </w:r>
      <w:r w:rsidRPr="003D5D4C">
        <w:tab/>
        <w:t xml:space="preserve">treat the value at the end of the quarter of the assumed index for the covered asset class as being the value at the end of the quarter of the assumed index for the covered asset class identified in </w:t>
      </w:r>
      <w:r w:rsidR="002F1B03" w:rsidRPr="003D5D4C">
        <w:t>item 1</w:t>
      </w:r>
      <w:r w:rsidR="009E25B3" w:rsidRPr="003D5D4C">
        <w:t>0</w:t>
      </w:r>
      <w:r w:rsidRPr="003D5D4C">
        <w:t xml:space="preserve"> of the table in </w:t>
      </w:r>
      <w:r w:rsidR="00F75733" w:rsidRPr="003D5D4C">
        <w:t>regulation 9</w:t>
      </w:r>
      <w:r w:rsidRPr="003D5D4C">
        <w:t>AB.17; and</w:t>
      </w:r>
    </w:p>
    <w:p w14:paraId="1A666E83" w14:textId="77777777" w:rsidR="00A22B2A" w:rsidRPr="003D5D4C" w:rsidRDefault="00A22B2A" w:rsidP="00A22B2A">
      <w:pPr>
        <w:pStyle w:val="paragraph"/>
      </w:pPr>
      <w:r w:rsidRPr="003D5D4C">
        <w:tab/>
        <w:t>(b)</w:t>
      </w:r>
      <w:r w:rsidRPr="003D5D4C">
        <w:tab/>
        <w:t xml:space="preserve">treat the value at the end of the previous quarter of the assumed index for the covered asset class as being the value at the end of the previous quarter of the assumed index for the covered asset class identified in </w:t>
      </w:r>
      <w:r w:rsidR="002F1B03" w:rsidRPr="003D5D4C">
        <w:t>item 1</w:t>
      </w:r>
      <w:r w:rsidR="009E25B3" w:rsidRPr="003D5D4C">
        <w:t>0</w:t>
      </w:r>
      <w:r w:rsidRPr="003D5D4C">
        <w:t xml:space="preserve"> of the table in </w:t>
      </w:r>
      <w:r w:rsidR="00F75733" w:rsidRPr="003D5D4C">
        <w:t>regulation 9</w:t>
      </w:r>
      <w:r w:rsidRPr="003D5D4C">
        <w:t>AB.17.</w:t>
      </w:r>
    </w:p>
    <w:p w14:paraId="66AA4C6A" w14:textId="77777777" w:rsidR="00332EBC" w:rsidRPr="003D5D4C" w:rsidRDefault="00332EBC" w:rsidP="00332EBC">
      <w:pPr>
        <w:pStyle w:val="SubsectionHead"/>
      </w:pPr>
      <w:r w:rsidRPr="003D5D4C">
        <w:t>Index for alternatives, defensive alternatives and growth alternatives</w:t>
      </w:r>
    </w:p>
    <w:p w14:paraId="2E425A85" w14:textId="77777777" w:rsidR="00332EBC" w:rsidRPr="003D5D4C" w:rsidRDefault="00332EBC" w:rsidP="00332EBC">
      <w:pPr>
        <w:pStyle w:val="subsection"/>
      </w:pPr>
      <w:r w:rsidRPr="003D5D4C">
        <w:tab/>
        <w:t>(4)</w:t>
      </w:r>
      <w:r w:rsidRPr="003D5D4C">
        <w:tab/>
        <w:t xml:space="preserve">Subregulations (5), (6) and (7) apply in relation to a covered asset class for a quarter </w:t>
      </w:r>
      <w:r w:rsidR="009B57FD" w:rsidRPr="003D5D4C">
        <w:t>if the covered asset class</w:t>
      </w:r>
      <w:r w:rsidRPr="003D5D4C">
        <w:t xml:space="preserve"> is identified in </w:t>
      </w:r>
      <w:r w:rsidR="00FB3C31" w:rsidRPr="003D5D4C">
        <w:t>item 2</w:t>
      </w:r>
      <w:r w:rsidRPr="003D5D4C">
        <w:t xml:space="preserve">4, 25 or 26 of the table in </w:t>
      </w:r>
      <w:r w:rsidR="00F75733" w:rsidRPr="003D5D4C">
        <w:t>regulation 9</w:t>
      </w:r>
      <w:r w:rsidRPr="003D5D4C">
        <w:t>AB.17.</w:t>
      </w:r>
    </w:p>
    <w:p w14:paraId="42977C41" w14:textId="77777777" w:rsidR="00D318DB" w:rsidRPr="003D5D4C" w:rsidRDefault="00D318DB" w:rsidP="00D318DB">
      <w:pPr>
        <w:pStyle w:val="subsection"/>
      </w:pPr>
      <w:r w:rsidRPr="003D5D4C">
        <w:lastRenderedPageBreak/>
        <w:tab/>
        <w:t>(5)</w:t>
      </w:r>
      <w:r w:rsidRPr="003D5D4C">
        <w:tab/>
        <w:t>Despite subregulation (1), the index of the covered asset class for a quarter is the sum of the following:</w:t>
      </w:r>
    </w:p>
    <w:p w14:paraId="48869E95" w14:textId="77777777" w:rsidR="00D318DB" w:rsidRPr="003D5D4C" w:rsidRDefault="00D318DB" w:rsidP="00D318DB">
      <w:pPr>
        <w:pStyle w:val="paragraph"/>
      </w:pPr>
      <w:r w:rsidRPr="003D5D4C">
        <w:tab/>
        <w:t>(a)</w:t>
      </w:r>
      <w:r w:rsidRPr="003D5D4C">
        <w:tab/>
        <w:t xml:space="preserve">the </w:t>
      </w:r>
      <w:r w:rsidR="009B57FD" w:rsidRPr="003D5D4C">
        <w:t>covered</w:t>
      </w:r>
      <w:r w:rsidRPr="003D5D4C">
        <w:t xml:space="preserve"> asset class</w:t>
      </w:r>
      <w:r w:rsidR="001376B0" w:rsidRPr="003D5D4C">
        <w:t>’</w:t>
      </w:r>
      <w:r w:rsidRPr="003D5D4C">
        <w:t xml:space="preserve">s IEH percentage </w:t>
      </w:r>
      <w:r w:rsidR="009B57FD" w:rsidRPr="003D5D4C">
        <w:t xml:space="preserve">(see subregulation (6)) </w:t>
      </w:r>
      <w:r w:rsidRPr="003D5D4C">
        <w:t>of the adjusted index (</w:t>
      </w:r>
      <w:r w:rsidR="009B57FD" w:rsidRPr="003D5D4C">
        <w:t>see</w:t>
      </w:r>
      <w:r w:rsidRPr="003D5D4C">
        <w:t xml:space="preserve"> subregulation (</w:t>
      </w:r>
      <w:r w:rsidR="009B57FD" w:rsidRPr="003D5D4C">
        <w:t>7</w:t>
      </w:r>
      <w:r w:rsidRPr="003D5D4C">
        <w:t xml:space="preserve">)) of the covered asset class identified in </w:t>
      </w:r>
      <w:r w:rsidR="00FB3C31" w:rsidRPr="003D5D4C">
        <w:t>item 2</w:t>
      </w:r>
      <w:r w:rsidRPr="003D5D4C">
        <w:t xml:space="preserve"> </w:t>
      </w:r>
      <w:r w:rsidR="009B57FD" w:rsidRPr="003D5D4C">
        <w:t xml:space="preserve">(International Equity (hedged)) </w:t>
      </w:r>
      <w:r w:rsidRPr="003D5D4C">
        <w:t xml:space="preserve">of the table in </w:t>
      </w:r>
      <w:r w:rsidR="00F75733" w:rsidRPr="003D5D4C">
        <w:t>regulation 9</w:t>
      </w:r>
      <w:r w:rsidRPr="003D5D4C">
        <w:t>AB.17 for the quarter;</w:t>
      </w:r>
    </w:p>
    <w:p w14:paraId="6F7E9337" w14:textId="77777777" w:rsidR="00D318DB" w:rsidRPr="003D5D4C" w:rsidRDefault="00D318DB" w:rsidP="00D318DB">
      <w:pPr>
        <w:pStyle w:val="paragraph"/>
      </w:pPr>
      <w:r w:rsidRPr="003D5D4C">
        <w:tab/>
        <w:t>(b)</w:t>
      </w:r>
      <w:r w:rsidRPr="003D5D4C">
        <w:tab/>
        <w:t xml:space="preserve">the </w:t>
      </w:r>
      <w:r w:rsidR="009B57FD" w:rsidRPr="003D5D4C">
        <w:t>covered</w:t>
      </w:r>
      <w:r w:rsidRPr="003D5D4C">
        <w:t xml:space="preserve"> asset class</w:t>
      </w:r>
      <w:r w:rsidR="001376B0" w:rsidRPr="003D5D4C">
        <w:t>’</w:t>
      </w:r>
      <w:r w:rsidRPr="003D5D4C">
        <w:t>s IEU percentage</w:t>
      </w:r>
      <w:r w:rsidR="009B57FD" w:rsidRPr="003D5D4C">
        <w:t xml:space="preserve"> (see subregulation (6))</w:t>
      </w:r>
      <w:r w:rsidRPr="003D5D4C">
        <w:t xml:space="preserve"> of the adjusted index (</w:t>
      </w:r>
      <w:r w:rsidR="009B57FD" w:rsidRPr="003D5D4C">
        <w:t xml:space="preserve">see </w:t>
      </w:r>
      <w:r w:rsidRPr="003D5D4C">
        <w:t>subregulation (</w:t>
      </w:r>
      <w:r w:rsidR="009B57FD" w:rsidRPr="003D5D4C">
        <w:t>7</w:t>
      </w:r>
      <w:r w:rsidRPr="003D5D4C">
        <w:t xml:space="preserve">)) of the covered asset class identified in item 5 </w:t>
      </w:r>
      <w:r w:rsidR="009B57FD" w:rsidRPr="003D5D4C">
        <w:t xml:space="preserve">(International Equity (unhedged)) </w:t>
      </w:r>
      <w:r w:rsidRPr="003D5D4C">
        <w:t>of that table for the quarter;</w:t>
      </w:r>
    </w:p>
    <w:p w14:paraId="65E2A40F" w14:textId="77777777" w:rsidR="00D318DB" w:rsidRPr="003D5D4C" w:rsidRDefault="00D318DB" w:rsidP="00D318DB">
      <w:pPr>
        <w:pStyle w:val="paragraph"/>
      </w:pPr>
      <w:r w:rsidRPr="003D5D4C">
        <w:tab/>
        <w:t>(c)</w:t>
      </w:r>
      <w:r w:rsidRPr="003D5D4C">
        <w:tab/>
        <w:t xml:space="preserve">the </w:t>
      </w:r>
      <w:r w:rsidR="009B57FD" w:rsidRPr="003D5D4C">
        <w:t>covered</w:t>
      </w:r>
      <w:r w:rsidRPr="003D5D4C">
        <w:t xml:space="preserve"> asset class</w:t>
      </w:r>
      <w:r w:rsidR="001376B0" w:rsidRPr="003D5D4C">
        <w:t>’</w:t>
      </w:r>
      <w:r w:rsidRPr="003D5D4C">
        <w:t>s IFI percentage</w:t>
      </w:r>
      <w:r w:rsidR="009B57FD" w:rsidRPr="003D5D4C">
        <w:t xml:space="preserve"> (see subregulation (6))</w:t>
      </w:r>
      <w:r w:rsidRPr="003D5D4C">
        <w:t xml:space="preserve"> of the adjusted index (</w:t>
      </w:r>
      <w:r w:rsidR="009B57FD" w:rsidRPr="003D5D4C">
        <w:t xml:space="preserve">see </w:t>
      </w:r>
      <w:r w:rsidRPr="003D5D4C">
        <w:t>subregulation (</w:t>
      </w:r>
      <w:r w:rsidR="009B57FD" w:rsidRPr="003D5D4C">
        <w:t>7</w:t>
      </w:r>
      <w:r w:rsidRPr="003D5D4C">
        <w:t xml:space="preserve">)) of the covered asset class identified in </w:t>
      </w:r>
      <w:r w:rsidR="002F1B03" w:rsidRPr="003D5D4C">
        <w:t>item 1</w:t>
      </w:r>
      <w:r w:rsidRPr="003D5D4C">
        <w:t xml:space="preserve">9 </w:t>
      </w:r>
      <w:r w:rsidR="009B57FD" w:rsidRPr="003D5D4C">
        <w:t xml:space="preserve">(International Fixed Interest) </w:t>
      </w:r>
      <w:r w:rsidRPr="003D5D4C">
        <w:t>of that table for the quarter.</w:t>
      </w:r>
    </w:p>
    <w:p w14:paraId="42BCAFB0" w14:textId="77777777" w:rsidR="00332EBC" w:rsidRPr="003D5D4C" w:rsidRDefault="00332EBC" w:rsidP="00332EBC">
      <w:pPr>
        <w:pStyle w:val="subsection"/>
      </w:pPr>
      <w:r w:rsidRPr="003D5D4C">
        <w:tab/>
        <w:t>(</w:t>
      </w:r>
      <w:r w:rsidR="009B57FD" w:rsidRPr="003D5D4C">
        <w:t>6</w:t>
      </w:r>
      <w:r w:rsidRPr="003D5D4C">
        <w:t>)</w:t>
      </w:r>
      <w:r w:rsidRPr="003D5D4C">
        <w:tab/>
      </w:r>
      <w:r w:rsidR="009B57FD" w:rsidRPr="003D5D4C">
        <w:t xml:space="preserve">The </w:t>
      </w:r>
      <w:r w:rsidRPr="003D5D4C">
        <w:rPr>
          <w:b/>
          <w:i/>
        </w:rPr>
        <w:t>IEH percentage</w:t>
      </w:r>
      <w:r w:rsidRPr="003D5D4C">
        <w:t xml:space="preserve">, </w:t>
      </w:r>
      <w:r w:rsidRPr="003D5D4C">
        <w:rPr>
          <w:b/>
          <w:i/>
        </w:rPr>
        <w:t>IEU percentage</w:t>
      </w:r>
      <w:r w:rsidRPr="003D5D4C">
        <w:t xml:space="preserve"> and </w:t>
      </w:r>
      <w:r w:rsidRPr="003D5D4C">
        <w:rPr>
          <w:b/>
          <w:i/>
        </w:rPr>
        <w:t>IFI percentage</w:t>
      </w:r>
      <w:r w:rsidRPr="003D5D4C">
        <w:t xml:space="preserve"> </w:t>
      </w:r>
      <w:r w:rsidR="009B57FD" w:rsidRPr="003D5D4C">
        <w:t xml:space="preserve">of the covered asset class mentioned in subregulation (4) is that </w:t>
      </w:r>
      <w:r w:rsidRPr="003D5D4C">
        <w:t xml:space="preserve">identified in </w:t>
      </w:r>
      <w:r w:rsidR="009B57FD" w:rsidRPr="003D5D4C">
        <w:t xml:space="preserve">the </w:t>
      </w:r>
      <w:r w:rsidRPr="003D5D4C">
        <w:t>item</w:t>
      </w:r>
      <w:r w:rsidR="009B57FD" w:rsidRPr="003D5D4C">
        <w:t xml:space="preserve"> of the following table that has the covered asset class item number and covered asset class description that corresponds to the covered asset class</w:t>
      </w:r>
      <w:r w:rsidRPr="003D5D4C">
        <w:t>:</w:t>
      </w:r>
    </w:p>
    <w:p w14:paraId="5BACBD6A" w14:textId="77777777" w:rsidR="00332EBC" w:rsidRPr="003D5D4C" w:rsidRDefault="00332EBC" w:rsidP="00332EBC">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2116"/>
        <w:gridCol w:w="1163"/>
        <w:gridCol w:w="1203"/>
        <w:gridCol w:w="1242"/>
      </w:tblGrid>
      <w:tr w:rsidR="00332EBC" w:rsidRPr="003D5D4C" w14:paraId="40C67489" w14:textId="77777777" w:rsidTr="0096378F">
        <w:trPr>
          <w:tblHeader/>
        </w:trPr>
        <w:tc>
          <w:tcPr>
            <w:tcW w:w="6853" w:type="dxa"/>
            <w:gridSpan w:val="5"/>
            <w:tcBorders>
              <w:top w:val="single" w:sz="12" w:space="0" w:color="auto"/>
              <w:bottom w:val="single" w:sz="6" w:space="0" w:color="auto"/>
            </w:tcBorders>
            <w:shd w:val="clear" w:color="auto" w:fill="auto"/>
          </w:tcPr>
          <w:p w14:paraId="0CEB7A7B" w14:textId="77777777" w:rsidR="00332EBC" w:rsidRPr="003D5D4C" w:rsidRDefault="00332EBC" w:rsidP="0096378F">
            <w:pPr>
              <w:pStyle w:val="TableHeading"/>
            </w:pPr>
            <w:r w:rsidRPr="003D5D4C">
              <w:t>Component percentages for calculation of adjusted index for alternatives</w:t>
            </w:r>
          </w:p>
        </w:tc>
      </w:tr>
      <w:tr w:rsidR="00332EBC" w:rsidRPr="003D5D4C" w14:paraId="2A4A7119" w14:textId="77777777" w:rsidTr="0096378F">
        <w:trPr>
          <w:tblHeader/>
        </w:trPr>
        <w:tc>
          <w:tcPr>
            <w:tcW w:w="1129" w:type="dxa"/>
            <w:tcBorders>
              <w:top w:val="single" w:sz="6" w:space="0" w:color="auto"/>
              <w:bottom w:val="single" w:sz="12" w:space="0" w:color="auto"/>
            </w:tcBorders>
            <w:shd w:val="clear" w:color="auto" w:fill="auto"/>
          </w:tcPr>
          <w:p w14:paraId="187179EC" w14:textId="77777777" w:rsidR="00332EBC" w:rsidRPr="003D5D4C" w:rsidRDefault="00332EBC" w:rsidP="0096378F">
            <w:pPr>
              <w:pStyle w:val="TableHeading"/>
            </w:pPr>
            <w:r w:rsidRPr="003D5D4C">
              <w:t>Covered asset class item</w:t>
            </w:r>
          </w:p>
        </w:tc>
        <w:tc>
          <w:tcPr>
            <w:tcW w:w="2116" w:type="dxa"/>
            <w:tcBorders>
              <w:top w:val="single" w:sz="6" w:space="0" w:color="auto"/>
              <w:bottom w:val="single" w:sz="12" w:space="0" w:color="auto"/>
            </w:tcBorders>
            <w:shd w:val="clear" w:color="auto" w:fill="auto"/>
          </w:tcPr>
          <w:p w14:paraId="545F1785" w14:textId="77777777" w:rsidR="00332EBC" w:rsidRPr="003D5D4C" w:rsidRDefault="00332EBC" w:rsidP="0096378F">
            <w:pPr>
              <w:pStyle w:val="TableHeading"/>
            </w:pPr>
            <w:r w:rsidRPr="003D5D4C">
              <w:t>Covered asset class description</w:t>
            </w:r>
          </w:p>
        </w:tc>
        <w:tc>
          <w:tcPr>
            <w:tcW w:w="1163" w:type="dxa"/>
            <w:tcBorders>
              <w:top w:val="single" w:sz="6" w:space="0" w:color="auto"/>
              <w:bottom w:val="single" w:sz="12" w:space="0" w:color="auto"/>
            </w:tcBorders>
            <w:shd w:val="clear" w:color="auto" w:fill="auto"/>
          </w:tcPr>
          <w:p w14:paraId="5F16196A" w14:textId="77777777" w:rsidR="00332EBC" w:rsidRPr="003D5D4C" w:rsidRDefault="00332EBC" w:rsidP="0096378F">
            <w:pPr>
              <w:pStyle w:val="TableHeading"/>
            </w:pPr>
            <w:r w:rsidRPr="003D5D4C">
              <w:t>IEH percentage</w:t>
            </w:r>
          </w:p>
        </w:tc>
        <w:tc>
          <w:tcPr>
            <w:tcW w:w="1203" w:type="dxa"/>
            <w:tcBorders>
              <w:top w:val="single" w:sz="6" w:space="0" w:color="auto"/>
              <w:bottom w:val="single" w:sz="12" w:space="0" w:color="auto"/>
            </w:tcBorders>
            <w:shd w:val="clear" w:color="auto" w:fill="auto"/>
          </w:tcPr>
          <w:p w14:paraId="6DD9D803" w14:textId="77777777" w:rsidR="00332EBC" w:rsidRPr="003D5D4C" w:rsidRDefault="00332EBC" w:rsidP="0096378F">
            <w:pPr>
              <w:pStyle w:val="TableHeading"/>
            </w:pPr>
            <w:r w:rsidRPr="003D5D4C">
              <w:t>IEU percentage</w:t>
            </w:r>
          </w:p>
        </w:tc>
        <w:tc>
          <w:tcPr>
            <w:tcW w:w="1242" w:type="dxa"/>
            <w:tcBorders>
              <w:top w:val="single" w:sz="6" w:space="0" w:color="auto"/>
              <w:bottom w:val="single" w:sz="12" w:space="0" w:color="auto"/>
            </w:tcBorders>
            <w:shd w:val="clear" w:color="auto" w:fill="auto"/>
          </w:tcPr>
          <w:p w14:paraId="5940E97E" w14:textId="77777777" w:rsidR="00332EBC" w:rsidRPr="003D5D4C" w:rsidRDefault="00332EBC" w:rsidP="0096378F">
            <w:pPr>
              <w:pStyle w:val="TableHeading"/>
            </w:pPr>
            <w:r w:rsidRPr="003D5D4C">
              <w:t>IFI percentage</w:t>
            </w:r>
          </w:p>
        </w:tc>
      </w:tr>
      <w:tr w:rsidR="00332EBC" w:rsidRPr="003D5D4C" w14:paraId="4EFC298F" w14:textId="77777777" w:rsidTr="0096378F">
        <w:tc>
          <w:tcPr>
            <w:tcW w:w="1129" w:type="dxa"/>
            <w:tcBorders>
              <w:top w:val="single" w:sz="12" w:space="0" w:color="auto"/>
            </w:tcBorders>
            <w:shd w:val="clear" w:color="auto" w:fill="auto"/>
          </w:tcPr>
          <w:p w14:paraId="04E19C42" w14:textId="77777777" w:rsidR="00332EBC" w:rsidRPr="003D5D4C" w:rsidRDefault="00332EBC" w:rsidP="0096378F">
            <w:pPr>
              <w:pStyle w:val="Tabletext"/>
            </w:pPr>
            <w:r w:rsidRPr="003D5D4C">
              <w:t>24</w:t>
            </w:r>
          </w:p>
        </w:tc>
        <w:tc>
          <w:tcPr>
            <w:tcW w:w="2116" w:type="dxa"/>
            <w:tcBorders>
              <w:top w:val="single" w:sz="12" w:space="0" w:color="auto"/>
            </w:tcBorders>
            <w:shd w:val="clear" w:color="auto" w:fill="auto"/>
          </w:tcPr>
          <w:p w14:paraId="5E345116" w14:textId="77777777" w:rsidR="00332EBC" w:rsidRPr="003D5D4C" w:rsidRDefault="00332EBC" w:rsidP="0096378F">
            <w:pPr>
              <w:pStyle w:val="Tabletext"/>
            </w:pPr>
            <w:r w:rsidRPr="003D5D4C">
              <w:t>Alternatives</w:t>
            </w:r>
          </w:p>
        </w:tc>
        <w:tc>
          <w:tcPr>
            <w:tcW w:w="1163" w:type="dxa"/>
            <w:tcBorders>
              <w:top w:val="single" w:sz="12" w:space="0" w:color="auto"/>
            </w:tcBorders>
            <w:shd w:val="clear" w:color="auto" w:fill="auto"/>
          </w:tcPr>
          <w:p w14:paraId="1817B347" w14:textId="77777777" w:rsidR="00332EBC" w:rsidRPr="003D5D4C" w:rsidRDefault="00332EBC" w:rsidP="0096378F">
            <w:pPr>
              <w:pStyle w:val="Tabletext"/>
            </w:pPr>
            <w:r w:rsidRPr="003D5D4C">
              <w:t>25%</w:t>
            </w:r>
          </w:p>
        </w:tc>
        <w:tc>
          <w:tcPr>
            <w:tcW w:w="1203" w:type="dxa"/>
            <w:tcBorders>
              <w:top w:val="single" w:sz="12" w:space="0" w:color="auto"/>
            </w:tcBorders>
            <w:shd w:val="clear" w:color="auto" w:fill="auto"/>
          </w:tcPr>
          <w:p w14:paraId="60456F0D" w14:textId="77777777" w:rsidR="00332EBC" w:rsidRPr="003D5D4C" w:rsidRDefault="00332EBC" w:rsidP="0096378F">
            <w:pPr>
              <w:pStyle w:val="Tabletext"/>
            </w:pPr>
            <w:r w:rsidRPr="003D5D4C">
              <w:t>25%</w:t>
            </w:r>
          </w:p>
        </w:tc>
        <w:tc>
          <w:tcPr>
            <w:tcW w:w="1242" w:type="dxa"/>
            <w:tcBorders>
              <w:top w:val="single" w:sz="12" w:space="0" w:color="auto"/>
            </w:tcBorders>
            <w:shd w:val="clear" w:color="auto" w:fill="auto"/>
          </w:tcPr>
          <w:p w14:paraId="62C231C4" w14:textId="77777777" w:rsidR="00332EBC" w:rsidRPr="003D5D4C" w:rsidRDefault="00332EBC" w:rsidP="0096378F">
            <w:pPr>
              <w:pStyle w:val="Tabletext"/>
            </w:pPr>
            <w:r w:rsidRPr="003D5D4C">
              <w:t>50%</w:t>
            </w:r>
          </w:p>
        </w:tc>
      </w:tr>
      <w:tr w:rsidR="00332EBC" w:rsidRPr="003D5D4C" w14:paraId="737B5888" w14:textId="77777777" w:rsidTr="0096378F">
        <w:tc>
          <w:tcPr>
            <w:tcW w:w="1129" w:type="dxa"/>
            <w:tcBorders>
              <w:bottom w:val="single" w:sz="2" w:space="0" w:color="auto"/>
            </w:tcBorders>
            <w:shd w:val="clear" w:color="auto" w:fill="auto"/>
          </w:tcPr>
          <w:p w14:paraId="3AD3285E" w14:textId="77777777" w:rsidR="00332EBC" w:rsidRPr="003D5D4C" w:rsidRDefault="00332EBC" w:rsidP="0096378F">
            <w:pPr>
              <w:pStyle w:val="Tabletext"/>
            </w:pPr>
            <w:r w:rsidRPr="003D5D4C">
              <w:t>25</w:t>
            </w:r>
          </w:p>
        </w:tc>
        <w:tc>
          <w:tcPr>
            <w:tcW w:w="2116" w:type="dxa"/>
            <w:tcBorders>
              <w:bottom w:val="single" w:sz="2" w:space="0" w:color="auto"/>
            </w:tcBorders>
            <w:shd w:val="clear" w:color="auto" w:fill="auto"/>
          </w:tcPr>
          <w:p w14:paraId="51C07AAF" w14:textId="77777777" w:rsidR="00332EBC" w:rsidRPr="003D5D4C" w:rsidRDefault="00332EBC" w:rsidP="0096378F">
            <w:pPr>
              <w:pStyle w:val="Tabletext"/>
            </w:pPr>
            <w:r w:rsidRPr="003D5D4C">
              <w:t>Defensive alternatives</w:t>
            </w:r>
          </w:p>
        </w:tc>
        <w:tc>
          <w:tcPr>
            <w:tcW w:w="1163" w:type="dxa"/>
            <w:tcBorders>
              <w:bottom w:val="single" w:sz="2" w:space="0" w:color="auto"/>
            </w:tcBorders>
            <w:shd w:val="clear" w:color="auto" w:fill="auto"/>
          </w:tcPr>
          <w:p w14:paraId="602F71ED" w14:textId="77777777" w:rsidR="00332EBC" w:rsidRPr="003D5D4C" w:rsidRDefault="00332EBC" w:rsidP="0096378F">
            <w:pPr>
              <w:pStyle w:val="Tabletext"/>
            </w:pPr>
            <w:r w:rsidRPr="003D5D4C">
              <w:t>12.5%</w:t>
            </w:r>
          </w:p>
        </w:tc>
        <w:tc>
          <w:tcPr>
            <w:tcW w:w="1203" w:type="dxa"/>
            <w:tcBorders>
              <w:bottom w:val="single" w:sz="2" w:space="0" w:color="auto"/>
            </w:tcBorders>
            <w:shd w:val="clear" w:color="auto" w:fill="auto"/>
          </w:tcPr>
          <w:p w14:paraId="17326F96" w14:textId="77777777" w:rsidR="00332EBC" w:rsidRPr="003D5D4C" w:rsidRDefault="00332EBC" w:rsidP="0096378F">
            <w:pPr>
              <w:pStyle w:val="Tabletext"/>
            </w:pPr>
            <w:r w:rsidRPr="003D5D4C">
              <w:t>12.5%</w:t>
            </w:r>
          </w:p>
        </w:tc>
        <w:tc>
          <w:tcPr>
            <w:tcW w:w="1242" w:type="dxa"/>
            <w:tcBorders>
              <w:bottom w:val="single" w:sz="2" w:space="0" w:color="auto"/>
            </w:tcBorders>
            <w:shd w:val="clear" w:color="auto" w:fill="auto"/>
          </w:tcPr>
          <w:p w14:paraId="04EF82D8" w14:textId="77777777" w:rsidR="00332EBC" w:rsidRPr="003D5D4C" w:rsidRDefault="00332EBC" w:rsidP="0096378F">
            <w:pPr>
              <w:pStyle w:val="Tabletext"/>
            </w:pPr>
            <w:r w:rsidRPr="003D5D4C">
              <w:t>75%</w:t>
            </w:r>
          </w:p>
        </w:tc>
      </w:tr>
      <w:tr w:rsidR="00332EBC" w:rsidRPr="003D5D4C" w14:paraId="402BDB91" w14:textId="77777777" w:rsidTr="0096378F">
        <w:tc>
          <w:tcPr>
            <w:tcW w:w="1129" w:type="dxa"/>
            <w:tcBorders>
              <w:top w:val="single" w:sz="2" w:space="0" w:color="auto"/>
              <w:bottom w:val="single" w:sz="12" w:space="0" w:color="auto"/>
            </w:tcBorders>
            <w:shd w:val="clear" w:color="auto" w:fill="auto"/>
          </w:tcPr>
          <w:p w14:paraId="5E003EDC" w14:textId="77777777" w:rsidR="00332EBC" w:rsidRPr="003D5D4C" w:rsidRDefault="00332EBC" w:rsidP="0096378F">
            <w:pPr>
              <w:pStyle w:val="Tabletext"/>
            </w:pPr>
            <w:r w:rsidRPr="003D5D4C">
              <w:t>26</w:t>
            </w:r>
          </w:p>
        </w:tc>
        <w:tc>
          <w:tcPr>
            <w:tcW w:w="2116" w:type="dxa"/>
            <w:tcBorders>
              <w:top w:val="single" w:sz="2" w:space="0" w:color="auto"/>
              <w:bottom w:val="single" w:sz="12" w:space="0" w:color="auto"/>
            </w:tcBorders>
            <w:shd w:val="clear" w:color="auto" w:fill="auto"/>
          </w:tcPr>
          <w:p w14:paraId="4A7855AA" w14:textId="77777777" w:rsidR="00332EBC" w:rsidRPr="003D5D4C" w:rsidRDefault="00332EBC" w:rsidP="0096378F">
            <w:pPr>
              <w:pStyle w:val="Tabletext"/>
            </w:pPr>
            <w:r w:rsidRPr="003D5D4C">
              <w:t>Growth alternatives</w:t>
            </w:r>
          </w:p>
        </w:tc>
        <w:tc>
          <w:tcPr>
            <w:tcW w:w="1163" w:type="dxa"/>
            <w:tcBorders>
              <w:top w:val="single" w:sz="2" w:space="0" w:color="auto"/>
              <w:bottom w:val="single" w:sz="12" w:space="0" w:color="auto"/>
            </w:tcBorders>
            <w:shd w:val="clear" w:color="auto" w:fill="auto"/>
          </w:tcPr>
          <w:p w14:paraId="057B2923" w14:textId="77777777" w:rsidR="00332EBC" w:rsidRPr="003D5D4C" w:rsidRDefault="00332EBC" w:rsidP="0096378F">
            <w:pPr>
              <w:pStyle w:val="Tabletext"/>
            </w:pPr>
            <w:r w:rsidRPr="003D5D4C">
              <w:t>37.5%</w:t>
            </w:r>
          </w:p>
        </w:tc>
        <w:tc>
          <w:tcPr>
            <w:tcW w:w="1203" w:type="dxa"/>
            <w:tcBorders>
              <w:top w:val="single" w:sz="2" w:space="0" w:color="auto"/>
              <w:bottom w:val="single" w:sz="12" w:space="0" w:color="auto"/>
            </w:tcBorders>
            <w:shd w:val="clear" w:color="auto" w:fill="auto"/>
          </w:tcPr>
          <w:p w14:paraId="60E5D70A" w14:textId="77777777" w:rsidR="00332EBC" w:rsidRPr="003D5D4C" w:rsidRDefault="00332EBC" w:rsidP="0096378F">
            <w:pPr>
              <w:pStyle w:val="Tabletext"/>
            </w:pPr>
            <w:r w:rsidRPr="003D5D4C">
              <w:t>37.5%</w:t>
            </w:r>
          </w:p>
        </w:tc>
        <w:tc>
          <w:tcPr>
            <w:tcW w:w="1242" w:type="dxa"/>
            <w:tcBorders>
              <w:top w:val="single" w:sz="2" w:space="0" w:color="auto"/>
              <w:bottom w:val="single" w:sz="12" w:space="0" w:color="auto"/>
            </w:tcBorders>
            <w:shd w:val="clear" w:color="auto" w:fill="auto"/>
          </w:tcPr>
          <w:p w14:paraId="6C7784BB" w14:textId="77777777" w:rsidR="00332EBC" w:rsidRPr="003D5D4C" w:rsidRDefault="00332EBC" w:rsidP="0096378F">
            <w:pPr>
              <w:pStyle w:val="Tabletext"/>
            </w:pPr>
            <w:r w:rsidRPr="003D5D4C">
              <w:t>25%</w:t>
            </w:r>
          </w:p>
        </w:tc>
      </w:tr>
    </w:tbl>
    <w:p w14:paraId="6D931739" w14:textId="77777777" w:rsidR="00332EBC" w:rsidRPr="003D5D4C" w:rsidRDefault="00332EBC" w:rsidP="00332EBC">
      <w:pPr>
        <w:pStyle w:val="Tabletext"/>
      </w:pPr>
    </w:p>
    <w:p w14:paraId="3EEEE5D6" w14:textId="77777777" w:rsidR="00332EBC" w:rsidRPr="003D5D4C" w:rsidRDefault="00332EBC" w:rsidP="00332EBC">
      <w:pPr>
        <w:pStyle w:val="subsection"/>
      </w:pPr>
      <w:r w:rsidRPr="003D5D4C">
        <w:tab/>
        <w:t>(</w:t>
      </w:r>
      <w:r w:rsidR="009B57FD" w:rsidRPr="003D5D4C">
        <w:t>7</w:t>
      </w:r>
      <w:r w:rsidRPr="003D5D4C">
        <w:t>)</w:t>
      </w:r>
      <w:r w:rsidRPr="003D5D4C">
        <w:tab/>
        <w:t xml:space="preserve">For the purposes of </w:t>
      </w:r>
      <w:r w:rsidR="00F75733" w:rsidRPr="003D5D4C">
        <w:t>paragraphs (</w:t>
      </w:r>
      <w:r w:rsidR="009B57FD" w:rsidRPr="003D5D4C">
        <w:t>5</w:t>
      </w:r>
      <w:r w:rsidRPr="003D5D4C">
        <w:t xml:space="preserve">)(a), (b) and (c), work out the </w:t>
      </w:r>
      <w:r w:rsidRPr="003D5D4C">
        <w:rPr>
          <w:b/>
          <w:i/>
        </w:rPr>
        <w:t>adjusted index</w:t>
      </w:r>
      <w:r w:rsidRPr="003D5D4C">
        <w:t xml:space="preserve"> of a covered asset class for a quarter using the following formula, rounded to 10 decimal places (rounding up if the eleventh decimal place is 5 or more):</w:t>
      </w:r>
    </w:p>
    <w:p w14:paraId="6DF40D98" w14:textId="77777777" w:rsidR="00332EBC" w:rsidRPr="003D5D4C" w:rsidRDefault="00C646E9" w:rsidP="00212658">
      <w:pPr>
        <w:pStyle w:val="subsection2"/>
      </w:pPr>
      <w:r w:rsidRPr="003D5D4C">
        <w:object w:dxaOrig="2900" w:dyaOrig="1300" w14:anchorId="2DAECE39">
          <v:shape id="_x0000_i1026" type="#_x0000_t75" alt="This formula works out the adjusted index of a covered asset class for a quarter" style="width:150.15pt;height:65.85pt" o:ole="">
            <v:imagedata r:id="rId25" o:title=""/>
          </v:shape>
          <o:OLEObject Type="Embed" ProgID="Equation.DSMT4" ShapeID="_x0000_i1026" DrawAspect="Content" ObjectID="_1752581539" r:id="rId26"/>
        </w:object>
      </w:r>
    </w:p>
    <w:p w14:paraId="46BA6BAA" w14:textId="77777777" w:rsidR="00332EBC" w:rsidRPr="003D5D4C" w:rsidRDefault="00332EBC" w:rsidP="00332EBC">
      <w:pPr>
        <w:pStyle w:val="subsection2"/>
      </w:pPr>
      <w:r w:rsidRPr="003D5D4C">
        <w:t>where:</w:t>
      </w:r>
    </w:p>
    <w:p w14:paraId="78C144E0" w14:textId="77777777" w:rsidR="00332EBC" w:rsidRPr="003D5D4C" w:rsidRDefault="00332EBC" w:rsidP="00332EBC">
      <w:pPr>
        <w:pStyle w:val="Definition"/>
      </w:pPr>
      <w:r w:rsidRPr="003D5D4C">
        <w:rPr>
          <w:b/>
          <w:i/>
        </w:rPr>
        <w:t>ART</w:t>
      </w:r>
      <w:r w:rsidRPr="003D5D4C">
        <w:t xml:space="preserve"> means the assumed rate of tax for the quarter for the covered asset class.</w:t>
      </w:r>
    </w:p>
    <w:p w14:paraId="297C49B3" w14:textId="77777777" w:rsidR="00332EBC" w:rsidRPr="003D5D4C" w:rsidRDefault="00332EBC" w:rsidP="00332EBC">
      <w:pPr>
        <w:pStyle w:val="Definition"/>
      </w:pPr>
      <w:r w:rsidRPr="003D5D4C">
        <w:rPr>
          <w:b/>
          <w:i/>
        </w:rPr>
        <w:t>fee</w:t>
      </w:r>
      <w:r w:rsidRPr="003D5D4C">
        <w:t xml:space="preserve"> means the assumed annual fee for the quarter for the covered asset class.</w:t>
      </w:r>
    </w:p>
    <w:p w14:paraId="2024297A" w14:textId="77777777" w:rsidR="00332EBC" w:rsidRPr="003D5D4C" w:rsidRDefault="00332EBC" w:rsidP="00332EBC">
      <w:pPr>
        <w:pStyle w:val="Definition"/>
      </w:pPr>
      <w:r w:rsidRPr="003D5D4C">
        <w:rPr>
          <w:b/>
          <w:i/>
        </w:rPr>
        <w:t>index</w:t>
      </w:r>
      <w:r w:rsidRPr="003D5D4C">
        <w:t xml:space="preserve"> means the index of the covered asset class for the quarter.</w:t>
      </w:r>
    </w:p>
    <w:p w14:paraId="2657F1CF" w14:textId="77777777" w:rsidR="00D77EC5" w:rsidRPr="003D5D4C" w:rsidRDefault="00F75733" w:rsidP="00D77EC5">
      <w:pPr>
        <w:pStyle w:val="ItemHead"/>
      </w:pPr>
      <w:r w:rsidRPr="003D5D4C">
        <w:t>23</w:t>
      </w:r>
      <w:r w:rsidR="00D77EC5" w:rsidRPr="003D5D4C">
        <w:t xml:space="preserve">  </w:t>
      </w:r>
      <w:r w:rsidRPr="003D5D4C">
        <w:t>Subparagraph 9</w:t>
      </w:r>
      <w:r w:rsidR="00D77EC5" w:rsidRPr="003D5D4C">
        <w:t>AB.6(1)(a)(i)</w:t>
      </w:r>
    </w:p>
    <w:p w14:paraId="16E4466D" w14:textId="77777777" w:rsidR="00D77EC5" w:rsidRPr="003D5D4C" w:rsidRDefault="00D77EC5" w:rsidP="00D77EC5">
      <w:pPr>
        <w:pStyle w:val="Item"/>
      </w:pPr>
      <w:r w:rsidRPr="003D5D4C">
        <w:t xml:space="preserve">Omit </w:t>
      </w:r>
      <w:r w:rsidR="001376B0" w:rsidRPr="003D5D4C">
        <w:t>“</w:t>
      </w:r>
      <w:r w:rsidRPr="003D5D4C">
        <w:t>net return</w:t>
      </w:r>
      <w:r w:rsidR="001376B0" w:rsidRPr="003D5D4C">
        <w:t>”</w:t>
      </w:r>
      <w:r w:rsidRPr="003D5D4C">
        <w:t xml:space="preserve">, substitute </w:t>
      </w:r>
      <w:r w:rsidR="001376B0" w:rsidRPr="003D5D4C">
        <w:t>“</w:t>
      </w:r>
      <w:r w:rsidRPr="003D5D4C">
        <w:t>net investment return or gross investment return net of fees</w:t>
      </w:r>
      <w:r w:rsidR="001376B0" w:rsidRPr="003D5D4C">
        <w:t>”</w:t>
      </w:r>
      <w:r w:rsidRPr="003D5D4C">
        <w:t>.</w:t>
      </w:r>
    </w:p>
    <w:p w14:paraId="4E6E8E3A" w14:textId="77777777" w:rsidR="009E3736" w:rsidRPr="003D5D4C" w:rsidRDefault="00F75733" w:rsidP="001E360D">
      <w:pPr>
        <w:pStyle w:val="ItemHead"/>
      </w:pPr>
      <w:r w:rsidRPr="003D5D4C">
        <w:t>24</w:t>
      </w:r>
      <w:r w:rsidR="009E3736" w:rsidRPr="003D5D4C">
        <w:t xml:space="preserve">  </w:t>
      </w:r>
      <w:r w:rsidRPr="003D5D4C">
        <w:t>Subparagraph 9</w:t>
      </w:r>
      <w:r w:rsidR="001E360D" w:rsidRPr="003D5D4C">
        <w:t>AB.6(1)(a)(ii)</w:t>
      </w:r>
    </w:p>
    <w:p w14:paraId="02531D9E" w14:textId="77777777" w:rsidR="00FA490D" w:rsidRPr="003D5D4C" w:rsidRDefault="00FA490D" w:rsidP="00FA490D">
      <w:pPr>
        <w:pStyle w:val="Item"/>
      </w:pPr>
      <w:r w:rsidRPr="003D5D4C">
        <w:t>Repeal the subparagraph, substitute:</w:t>
      </w:r>
    </w:p>
    <w:p w14:paraId="49A3E202" w14:textId="77777777" w:rsidR="00FA490D" w:rsidRPr="003D5D4C" w:rsidRDefault="00FA490D" w:rsidP="00FA490D">
      <w:pPr>
        <w:pStyle w:val="paragraphsub"/>
      </w:pPr>
      <w:r w:rsidRPr="003D5D4C">
        <w:tab/>
        <w:t>(ii)</w:t>
      </w:r>
      <w:r w:rsidRPr="003D5D4C">
        <w:tab/>
        <w:t>if the financial year is the 2020</w:t>
      </w:r>
      <w:r w:rsidR="00A70ACD" w:rsidRPr="003D5D4C">
        <w:noBreakHyphen/>
      </w:r>
      <w:r w:rsidRPr="003D5D4C">
        <w:t xml:space="preserve">21 financial year—the </w:t>
      </w:r>
      <w:r w:rsidR="00F75733" w:rsidRPr="003D5D4C">
        <w:t>1 July</w:t>
      </w:r>
      <w:r w:rsidRPr="003D5D4C">
        <w:t xml:space="preserve"> that is 6 years before </w:t>
      </w:r>
      <w:r w:rsidR="00F75733" w:rsidRPr="003D5D4C">
        <w:t>1 July</w:t>
      </w:r>
      <w:r w:rsidRPr="003D5D4C">
        <w:t xml:space="preserve"> in the financial year;</w:t>
      </w:r>
    </w:p>
    <w:p w14:paraId="2F2235A1" w14:textId="77777777" w:rsidR="00FA490D" w:rsidRPr="003D5D4C" w:rsidRDefault="00FA490D" w:rsidP="00FA490D">
      <w:pPr>
        <w:pStyle w:val="paragraphsub"/>
      </w:pPr>
      <w:r w:rsidRPr="003D5D4C">
        <w:lastRenderedPageBreak/>
        <w:tab/>
        <w:t>(iii)</w:t>
      </w:r>
      <w:r w:rsidRPr="003D5D4C">
        <w:tab/>
        <w:t>if the financial year is the 2021</w:t>
      </w:r>
      <w:r w:rsidR="00A70ACD" w:rsidRPr="003D5D4C">
        <w:noBreakHyphen/>
      </w:r>
      <w:r w:rsidRPr="003D5D4C">
        <w:t xml:space="preserve">22 financial year—the </w:t>
      </w:r>
      <w:r w:rsidR="00F75733" w:rsidRPr="003D5D4C">
        <w:t>1 July</w:t>
      </w:r>
      <w:r w:rsidRPr="003D5D4C">
        <w:t xml:space="preserve"> that is 7 years before </w:t>
      </w:r>
      <w:r w:rsidR="00F75733" w:rsidRPr="003D5D4C">
        <w:t>1 July</w:t>
      </w:r>
      <w:r w:rsidRPr="003D5D4C">
        <w:t xml:space="preserve"> in the financial year;</w:t>
      </w:r>
    </w:p>
    <w:p w14:paraId="4E70363B" w14:textId="77777777" w:rsidR="00FA490D" w:rsidRPr="003D5D4C" w:rsidRDefault="00FA490D" w:rsidP="00FA490D">
      <w:pPr>
        <w:pStyle w:val="paragraphsub"/>
      </w:pPr>
      <w:r w:rsidRPr="003D5D4C">
        <w:tab/>
        <w:t>(iv)</w:t>
      </w:r>
      <w:r w:rsidRPr="003D5D4C">
        <w:tab/>
        <w:t>if the financial year is the 2022</w:t>
      </w:r>
      <w:r w:rsidR="00A70ACD" w:rsidRPr="003D5D4C">
        <w:noBreakHyphen/>
      </w:r>
      <w:r w:rsidRPr="003D5D4C">
        <w:t xml:space="preserve">23 financial year—the </w:t>
      </w:r>
      <w:r w:rsidR="00F75733" w:rsidRPr="003D5D4C">
        <w:t>1 July</w:t>
      </w:r>
      <w:r w:rsidRPr="003D5D4C">
        <w:t xml:space="preserve"> that is 8 years before </w:t>
      </w:r>
      <w:r w:rsidR="00F75733" w:rsidRPr="003D5D4C">
        <w:t>1 July</w:t>
      </w:r>
      <w:r w:rsidRPr="003D5D4C">
        <w:t xml:space="preserve"> in the financial year;</w:t>
      </w:r>
    </w:p>
    <w:p w14:paraId="41DD5FFB" w14:textId="77777777" w:rsidR="00FA490D" w:rsidRPr="003D5D4C" w:rsidRDefault="00FA490D" w:rsidP="00FA490D">
      <w:pPr>
        <w:pStyle w:val="paragraphsub"/>
      </w:pPr>
      <w:r w:rsidRPr="003D5D4C">
        <w:tab/>
        <w:t>(v)</w:t>
      </w:r>
      <w:r w:rsidRPr="003D5D4C">
        <w:tab/>
        <w:t>if the financial year is the 2023</w:t>
      </w:r>
      <w:r w:rsidR="00A70ACD" w:rsidRPr="003D5D4C">
        <w:noBreakHyphen/>
      </w:r>
      <w:r w:rsidRPr="003D5D4C">
        <w:t xml:space="preserve">24 financial year or a later financial year—the </w:t>
      </w:r>
      <w:r w:rsidR="00F75733" w:rsidRPr="003D5D4C">
        <w:t>1 July</w:t>
      </w:r>
      <w:r w:rsidRPr="003D5D4C">
        <w:t xml:space="preserve"> that is 9 years before </w:t>
      </w:r>
      <w:r w:rsidR="00F75733" w:rsidRPr="003D5D4C">
        <w:t>1 July</w:t>
      </w:r>
      <w:r w:rsidRPr="003D5D4C">
        <w:t xml:space="preserve"> in the financial year; and</w:t>
      </w:r>
    </w:p>
    <w:p w14:paraId="64B80543" w14:textId="77777777" w:rsidR="00587C3E" w:rsidRPr="003D5D4C" w:rsidRDefault="00F75733" w:rsidP="00587C3E">
      <w:pPr>
        <w:pStyle w:val="ItemHead"/>
      </w:pPr>
      <w:r w:rsidRPr="003D5D4C">
        <w:t>25</w:t>
      </w:r>
      <w:r w:rsidR="00587C3E" w:rsidRPr="003D5D4C">
        <w:t xml:space="preserve">  </w:t>
      </w:r>
      <w:r w:rsidRPr="003D5D4C">
        <w:t>Subregulation 9</w:t>
      </w:r>
      <w:r w:rsidR="00587C3E" w:rsidRPr="003D5D4C">
        <w:t>AB.6(1) (note)</w:t>
      </w:r>
    </w:p>
    <w:p w14:paraId="02AEB675" w14:textId="77777777" w:rsidR="00587C3E" w:rsidRPr="003D5D4C" w:rsidRDefault="00587C3E" w:rsidP="00587C3E">
      <w:pPr>
        <w:pStyle w:val="Item"/>
      </w:pPr>
      <w:r w:rsidRPr="003D5D4C">
        <w:t>Repeal the note, substitute:</w:t>
      </w:r>
    </w:p>
    <w:p w14:paraId="039A5530" w14:textId="77777777" w:rsidR="00587C3E" w:rsidRPr="003D5D4C" w:rsidRDefault="00587C3E" w:rsidP="00587C3E">
      <w:pPr>
        <w:pStyle w:val="notetext"/>
      </w:pPr>
      <w:r w:rsidRPr="003D5D4C">
        <w:t>Note:</w:t>
      </w:r>
      <w:r w:rsidRPr="003D5D4C">
        <w:tab/>
        <w:t xml:space="preserve">The lookback period will be 10 financial years, unless </w:t>
      </w:r>
      <w:r w:rsidR="00FB3C31" w:rsidRPr="003D5D4C">
        <w:t>sub</w:t>
      </w:r>
      <w:r w:rsidR="00F75733" w:rsidRPr="003D5D4C">
        <w:t>paragraph (</w:t>
      </w:r>
      <w:r w:rsidRPr="003D5D4C">
        <w:t>a)(i), (ii), (iii) or (iv) applies.</w:t>
      </w:r>
    </w:p>
    <w:p w14:paraId="52C2CC22" w14:textId="77777777" w:rsidR="000B21E1" w:rsidRPr="003D5D4C" w:rsidRDefault="00F75733" w:rsidP="00F41203">
      <w:pPr>
        <w:pStyle w:val="ItemHead"/>
      </w:pPr>
      <w:r w:rsidRPr="003D5D4C">
        <w:t>26</w:t>
      </w:r>
      <w:r w:rsidR="000B21E1" w:rsidRPr="003D5D4C">
        <w:t xml:space="preserve">  </w:t>
      </w:r>
      <w:r w:rsidRPr="003D5D4C">
        <w:t>Subparagraph 9</w:t>
      </w:r>
      <w:r w:rsidR="00F41203" w:rsidRPr="003D5D4C">
        <w:t>AB.10(2)(a)(ii)</w:t>
      </w:r>
    </w:p>
    <w:p w14:paraId="161E1FF1" w14:textId="77777777" w:rsidR="00F41203" w:rsidRPr="003D5D4C" w:rsidRDefault="00F41203" w:rsidP="00F41203">
      <w:pPr>
        <w:pStyle w:val="Item"/>
      </w:pPr>
      <w:r w:rsidRPr="003D5D4C">
        <w:t xml:space="preserve">Omit </w:t>
      </w:r>
      <w:r w:rsidR="001376B0" w:rsidRPr="003D5D4C">
        <w:t>“</w:t>
      </w:r>
      <w:r w:rsidRPr="003D5D4C">
        <w:t>5</w:t>
      </w:r>
      <w:r w:rsidR="001376B0" w:rsidRPr="003D5D4C">
        <w:t>”</w:t>
      </w:r>
      <w:r w:rsidRPr="003D5D4C">
        <w:t xml:space="preserve">, substitute </w:t>
      </w:r>
      <w:r w:rsidR="001376B0" w:rsidRPr="003D5D4C">
        <w:t>“</w:t>
      </w:r>
      <w:r w:rsidRPr="003D5D4C">
        <w:t>7</w:t>
      </w:r>
      <w:r w:rsidR="001376B0" w:rsidRPr="003D5D4C">
        <w:t>”</w:t>
      </w:r>
      <w:r w:rsidRPr="003D5D4C">
        <w:t>.</w:t>
      </w:r>
    </w:p>
    <w:p w14:paraId="1CBC24D0" w14:textId="77777777" w:rsidR="0031275E" w:rsidRPr="003D5D4C" w:rsidRDefault="00F75733" w:rsidP="0031275E">
      <w:pPr>
        <w:pStyle w:val="ItemHead"/>
      </w:pPr>
      <w:r w:rsidRPr="003D5D4C">
        <w:t>27</w:t>
      </w:r>
      <w:r w:rsidR="0031275E" w:rsidRPr="003D5D4C">
        <w:t xml:space="preserve">  At the end of </w:t>
      </w:r>
      <w:r w:rsidRPr="003D5D4C">
        <w:t>regulation 9</w:t>
      </w:r>
      <w:r w:rsidR="0031275E" w:rsidRPr="003D5D4C">
        <w:t>AB.10</w:t>
      </w:r>
    </w:p>
    <w:p w14:paraId="78DD053E" w14:textId="77777777" w:rsidR="0031275E" w:rsidRPr="003D5D4C" w:rsidRDefault="0031275E" w:rsidP="0031275E">
      <w:pPr>
        <w:pStyle w:val="Item"/>
      </w:pPr>
      <w:r w:rsidRPr="003D5D4C">
        <w:t>Add:</w:t>
      </w:r>
    </w:p>
    <w:p w14:paraId="521F18E1" w14:textId="77777777" w:rsidR="0031275E" w:rsidRPr="003D5D4C" w:rsidRDefault="0031275E" w:rsidP="0031275E">
      <w:pPr>
        <w:pStyle w:val="SubsectionHead"/>
      </w:pPr>
      <w:r w:rsidRPr="003D5D4C">
        <w:t>Hybrid platform TDP</w:t>
      </w:r>
    </w:p>
    <w:p w14:paraId="0E0A453C" w14:textId="77777777" w:rsidR="0031275E" w:rsidRPr="003D5D4C" w:rsidRDefault="0031275E" w:rsidP="0031275E">
      <w:pPr>
        <w:pStyle w:val="subsection"/>
      </w:pPr>
      <w:r w:rsidRPr="003D5D4C">
        <w:tab/>
        <w:t>(9)</w:t>
      </w:r>
      <w:r w:rsidRPr="003D5D4C">
        <w:tab/>
        <w:t xml:space="preserve">Subregulation (10) applies if the </w:t>
      </w:r>
      <w:r w:rsidR="00D251D3" w:rsidRPr="003D5D4C">
        <w:t>Part 6</w:t>
      </w:r>
      <w:r w:rsidRPr="003D5D4C">
        <w:t>A product mentioned in subregulation (1) is a hybrid platform TDP.</w:t>
      </w:r>
    </w:p>
    <w:p w14:paraId="3B0ECBF0" w14:textId="77777777" w:rsidR="0031275E" w:rsidRPr="003D5D4C" w:rsidRDefault="0031275E" w:rsidP="0031275E">
      <w:pPr>
        <w:pStyle w:val="subsection"/>
      </w:pPr>
      <w:r w:rsidRPr="003D5D4C">
        <w:tab/>
        <w:t>(10)</w:t>
      </w:r>
      <w:r w:rsidRPr="003D5D4C">
        <w:tab/>
        <w:t>In applying subregulation (2) in relation to the hybrid platform TDP:</w:t>
      </w:r>
    </w:p>
    <w:p w14:paraId="41B2986B" w14:textId="77777777" w:rsidR="0031275E" w:rsidRPr="003D5D4C" w:rsidRDefault="0031275E" w:rsidP="0031275E">
      <w:pPr>
        <w:pStyle w:val="paragraph"/>
      </w:pPr>
      <w:r w:rsidRPr="003D5D4C">
        <w:tab/>
        <w:t>(a)</w:t>
      </w:r>
      <w:r w:rsidRPr="003D5D4C">
        <w:tab/>
        <w:t>work out 2 performance measures for the hybrid platform TDP, as follows:</w:t>
      </w:r>
    </w:p>
    <w:p w14:paraId="7B8E1FBA" w14:textId="77777777" w:rsidR="0031275E" w:rsidRPr="003D5D4C" w:rsidRDefault="0031275E" w:rsidP="0031275E">
      <w:pPr>
        <w:pStyle w:val="paragraphsub"/>
      </w:pPr>
      <w:r w:rsidRPr="003D5D4C">
        <w:tab/>
        <w:t>(i)</w:t>
      </w:r>
      <w:r w:rsidRPr="003D5D4C">
        <w:tab/>
        <w:t xml:space="preserve">assume that the hybrid platform TDP were 2 separate </w:t>
      </w:r>
      <w:r w:rsidR="00D251D3" w:rsidRPr="003D5D4C">
        <w:t>Part 6</w:t>
      </w:r>
      <w:r w:rsidRPr="003D5D4C">
        <w:t>A products;</w:t>
      </w:r>
    </w:p>
    <w:p w14:paraId="16642121" w14:textId="77777777" w:rsidR="0031275E" w:rsidRPr="003D5D4C" w:rsidRDefault="0031275E" w:rsidP="0031275E">
      <w:pPr>
        <w:pStyle w:val="paragraphsub"/>
      </w:pPr>
      <w:r w:rsidRPr="003D5D4C">
        <w:tab/>
        <w:t>(ii)</w:t>
      </w:r>
      <w:r w:rsidRPr="003D5D4C">
        <w:tab/>
        <w:t xml:space="preserve">assume that one of those separate products was a standard platform TDP, and had the characteristics of the hybrid platform TDP relating to </w:t>
      </w:r>
      <w:r w:rsidR="00D123BC" w:rsidRPr="003D5D4C">
        <w:t>it b</w:t>
      </w:r>
      <w:r w:rsidRPr="003D5D4C">
        <w:t>eing offered through investment menus of the platform type;</w:t>
      </w:r>
    </w:p>
    <w:p w14:paraId="1A579A86" w14:textId="77777777" w:rsidR="0031275E" w:rsidRPr="003D5D4C" w:rsidRDefault="0031275E" w:rsidP="0031275E">
      <w:pPr>
        <w:pStyle w:val="paragraphsub"/>
      </w:pPr>
      <w:r w:rsidRPr="003D5D4C">
        <w:tab/>
        <w:t>(iii)</w:t>
      </w:r>
      <w:r w:rsidRPr="003D5D4C">
        <w:tab/>
        <w:t>assume that the other of those separate products was a trustee</w:t>
      </w:r>
      <w:r w:rsidR="00A70ACD" w:rsidRPr="003D5D4C">
        <w:noBreakHyphen/>
      </w:r>
      <w:r w:rsidRPr="003D5D4C">
        <w:t>directed product that was not a platform TD</w:t>
      </w:r>
      <w:r w:rsidR="00D301C4" w:rsidRPr="003D5D4C">
        <w:t>P</w:t>
      </w:r>
      <w:r w:rsidRPr="003D5D4C">
        <w:t xml:space="preserve">, and had the characteristics of the hybrid platform TDP relating to </w:t>
      </w:r>
      <w:r w:rsidR="00D123BC" w:rsidRPr="003D5D4C">
        <w:t xml:space="preserve">it being offered through </w:t>
      </w:r>
      <w:r w:rsidRPr="003D5D4C">
        <w:t>investment menus of the generic type</w:t>
      </w:r>
      <w:r w:rsidR="00D123BC" w:rsidRPr="003D5D4C">
        <w:t>,</w:t>
      </w:r>
      <w:r w:rsidRPr="003D5D4C">
        <w:t xml:space="preserve"> </w:t>
      </w:r>
      <w:r w:rsidR="00D123BC" w:rsidRPr="003D5D4C">
        <w:t xml:space="preserve">the </w:t>
      </w:r>
      <w:r w:rsidRPr="003D5D4C">
        <w:t>lifecycle option type</w:t>
      </w:r>
      <w:r w:rsidR="00D123BC" w:rsidRPr="003D5D4C">
        <w:t>, or both</w:t>
      </w:r>
      <w:r w:rsidRPr="003D5D4C">
        <w:t xml:space="preserve"> (</w:t>
      </w:r>
      <w:r w:rsidR="00D123BC" w:rsidRPr="003D5D4C">
        <w:t>as the case may be</w:t>
      </w:r>
      <w:r w:rsidRPr="003D5D4C">
        <w:t>);</w:t>
      </w:r>
    </w:p>
    <w:p w14:paraId="2DCFCE9D" w14:textId="77777777" w:rsidR="0031275E" w:rsidRPr="003D5D4C" w:rsidRDefault="0031275E" w:rsidP="0031275E">
      <w:pPr>
        <w:pStyle w:val="paragraphsub"/>
      </w:pPr>
      <w:r w:rsidRPr="003D5D4C">
        <w:tab/>
        <w:t>(iv)</w:t>
      </w:r>
      <w:r w:rsidRPr="003D5D4C">
        <w:tab/>
        <w:t xml:space="preserve">work out the performance measures for the 2 separate </w:t>
      </w:r>
      <w:r w:rsidR="00D251D3" w:rsidRPr="003D5D4C">
        <w:t>Part 6</w:t>
      </w:r>
      <w:r w:rsidRPr="003D5D4C">
        <w:t>A products in accordance with subregulation (3); and</w:t>
      </w:r>
    </w:p>
    <w:p w14:paraId="18361EE6" w14:textId="77777777" w:rsidR="0031275E" w:rsidRPr="003D5D4C" w:rsidRDefault="0031275E" w:rsidP="0031275E">
      <w:pPr>
        <w:pStyle w:val="paragraph"/>
      </w:pPr>
      <w:r w:rsidRPr="003D5D4C">
        <w:tab/>
        <w:t>(b)</w:t>
      </w:r>
      <w:r w:rsidRPr="003D5D4C">
        <w:tab/>
        <w:t xml:space="preserve">treat </w:t>
      </w:r>
      <w:r w:rsidR="00FB3C31" w:rsidRPr="003D5D4C">
        <w:t>sub</w:t>
      </w:r>
      <w:r w:rsidR="00F75733" w:rsidRPr="003D5D4C">
        <w:t>paragraph (</w:t>
      </w:r>
      <w:r w:rsidRPr="003D5D4C">
        <w:t xml:space="preserve">2)(a)(i) as reading </w:t>
      </w:r>
      <w:r w:rsidR="001376B0" w:rsidRPr="003D5D4C">
        <w:t>“</w:t>
      </w:r>
      <w:r w:rsidRPr="003D5D4C">
        <w:t xml:space="preserve">both performance measures for the </w:t>
      </w:r>
      <w:r w:rsidR="00D251D3" w:rsidRPr="003D5D4C">
        <w:t>Part 6</w:t>
      </w:r>
      <w:r w:rsidRPr="003D5D4C">
        <w:t xml:space="preserve">A product for the assessment year equal or exceed </w:t>
      </w:r>
      <w:r w:rsidR="00A70ACD" w:rsidRPr="003D5D4C">
        <w:noBreakHyphen/>
      </w:r>
      <w:r w:rsidRPr="003D5D4C">
        <w:t>0.005</w:t>
      </w:r>
      <w:r w:rsidR="001376B0" w:rsidRPr="003D5D4C">
        <w:t>”</w:t>
      </w:r>
      <w:r w:rsidRPr="003D5D4C">
        <w:t>.</w:t>
      </w:r>
    </w:p>
    <w:p w14:paraId="6F4C2A6E" w14:textId="77777777" w:rsidR="00690D49" w:rsidRPr="003D5D4C" w:rsidRDefault="00F75733" w:rsidP="00690D49">
      <w:pPr>
        <w:pStyle w:val="ItemHead"/>
      </w:pPr>
      <w:r w:rsidRPr="003D5D4C">
        <w:t>28</w:t>
      </w:r>
      <w:r w:rsidR="00690D49" w:rsidRPr="003D5D4C">
        <w:t xml:space="preserve">  </w:t>
      </w:r>
      <w:r w:rsidRPr="003D5D4C">
        <w:t>Subregulation 9</w:t>
      </w:r>
      <w:r w:rsidR="00690D49" w:rsidRPr="003D5D4C">
        <w:t>AB.11(2)</w:t>
      </w:r>
    </w:p>
    <w:p w14:paraId="5804A5BC" w14:textId="77777777" w:rsidR="00690D49" w:rsidRPr="003D5D4C" w:rsidRDefault="00690D49" w:rsidP="00690D49">
      <w:pPr>
        <w:pStyle w:val="Item"/>
      </w:pPr>
      <w:r w:rsidRPr="003D5D4C">
        <w:t xml:space="preserve">Omit </w:t>
      </w:r>
      <w:r w:rsidR="001376B0" w:rsidRPr="003D5D4C">
        <w:t>“</w:t>
      </w:r>
      <w:r w:rsidRPr="003D5D4C">
        <w:t>rounded to 4 decimal places (rounding up if the fifth decimal place is 5 or more)</w:t>
      </w:r>
      <w:r w:rsidR="001376B0" w:rsidRPr="003D5D4C">
        <w:t>”</w:t>
      </w:r>
      <w:r w:rsidRPr="003D5D4C">
        <w:t xml:space="preserve">, substitute </w:t>
      </w:r>
      <w:r w:rsidR="001376B0" w:rsidRPr="003D5D4C">
        <w:t>“</w:t>
      </w:r>
      <w:r w:rsidRPr="003D5D4C">
        <w:t>rounded to 10 decimal places (rounding up if the eleventh decimal place is 5 or more)</w:t>
      </w:r>
      <w:r w:rsidR="001376B0" w:rsidRPr="003D5D4C">
        <w:t>”</w:t>
      </w:r>
      <w:r w:rsidRPr="003D5D4C">
        <w:t>.</w:t>
      </w:r>
    </w:p>
    <w:p w14:paraId="45570D2A" w14:textId="77777777" w:rsidR="005C77D0" w:rsidRPr="003D5D4C" w:rsidRDefault="00F75733" w:rsidP="005C77D0">
      <w:pPr>
        <w:pStyle w:val="ItemHead"/>
      </w:pPr>
      <w:r w:rsidRPr="003D5D4C">
        <w:t>29</w:t>
      </w:r>
      <w:r w:rsidR="005C77D0" w:rsidRPr="003D5D4C">
        <w:t xml:space="preserve">  </w:t>
      </w:r>
      <w:r w:rsidRPr="003D5D4C">
        <w:t>Subregulation 9</w:t>
      </w:r>
      <w:r w:rsidR="005C77D0" w:rsidRPr="003D5D4C">
        <w:t>AB.11(2) (formula)</w:t>
      </w:r>
    </w:p>
    <w:p w14:paraId="37A0E55E" w14:textId="77777777" w:rsidR="00A76736" w:rsidRPr="003D5D4C" w:rsidRDefault="00A76736" w:rsidP="005C77D0">
      <w:pPr>
        <w:pStyle w:val="Item"/>
      </w:pPr>
      <w:r w:rsidRPr="003D5D4C">
        <w:t>Repeal the formula, substitute:</w:t>
      </w:r>
    </w:p>
    <w:p w14:paraId="328C0A36" w14:textId="77777777" w:rsidR="00A76736" w:rsidRPr="003D5D4C" w:rsidRDefault="00A76736" w:rsidP="00A76736">
      <w:pPr>
        <w:pStyle w:val="subsection2"/>
      </w:pPr>
      <w:r w:rsidRPr="003D5D4C">
        <w:rPr>
          <w:position w:val="-32"/>
        </w:rPr>
        <w:object w:dxaOrig="2299" w:dyaOrig="1120" w14:anchorId="262A32FB">
          <v:shape id="_x0000_i1027" type="#_x0000_t75" alt="This formula calculates the actual return for the product." style="width:114.9pt;height:55.15pt" o:ole="">
            <v:imagedata r:id="rId27" o:title=""/>
          </v:shape>
          <o:OLEObject Type="Embed" ProgID="Equation.DSMT4" ShapeID="_x0000_i1027" DrawAspect="Content" ObjectID="_1752581540" r:id="rId28"/>
        </w:object>
      </w:r>
    </w:p>
    <w:p w14:paraId="417082E6" w14:textId="77777777" w:rsidR="00690D49" w:rsidRPr="003D5D4C" w:rsidRDefault="00F75733" w:rsidP="00690D49">
      <w:pPr>
        <w:pStyle w:val="ItemHead"/>
      </w:pPr>
      <w:r w:rsidRPr="003D5D4C">
        <w:t>30</w:t>
      </w:r>
      <w:r w:rsidR="00690D49" w:rsidRPr="003D5D4C">
        <w:t xml:space="preserve">  </w:t>
      </w:r>
      <w:r w:rsidRPr="003D5D4C">
        <w:t>Subregulation 9</w:t>
      </w:r>
      <w:r w:rsidR="00690D49" w:rsidRPr="003D5D4C">
        <w:t xml:space="preserve">AB.11(2) (definition of </w:t>
      </w:r>
      <w:r w:rsidR="00690D49" w:rsidRPr="003D5D4C">
        <w:rPr>
          <w:i/>
        </w:rPr>
        <w:t>NIR</w:t>
      </w:r>
      <w:r w:rsidR="00690D49" w:rsidRPr="003D5D4C">
        <w:t>)</w:t>
      </w:r>
    </w:p>
    <w:p w14:paraId="145A7DC2" w14:textId="77777777" w:rsidR="005C77D0" w:rsidRPr="003D5D4C" w:rsidRDefault="00690D49" w:rsidP="00690D49">
      <w:pPr>
        <w:pStyle w:val="Item"/>
      </w:pPr>
      <w:r w:rsidRPr="003D5D4C">
        <w:t>Repeal the definition</w:t>
      </w:r>
      <w:r w:rsidR="005C77D0" w:rsidRPr="003D5D4C">
        <w:t>.</w:t>
      </w:r>
    </w:p>
    <w:p w14:paraId="6E974AE6" w14:textId="77777777" w:rsidR="005C77D0" w:rsidRPr="003D5D4C" w:rsidRDefault="00F75733" w:rsidP="005C77D0">
      <w:pPr>
        <w:pStyle w:val="ItemHead"/>
      </w:pPr>
      <w:r w:rsidRPr="003D5D4C">
        <w:t>31</w:t>
      </w:r>
      <w:r w:rsidR="005C77D0" w:rsidRPr="003D5D4C">
        <w:t xml:space="preserve">  </w:t>
      </w:r>
      <w:r w:rsidRPr="003D5D4C">
        <w:t>Subregulation 9</w:t>
      </w:r>
      <w:r w:rsidR="005C77D0" w:rsidRPr="003D5D4C">
        <w:t>AB.11(2)</w:t>
      </w:r>
    </w:p>
    <w:p w14:paraId="3D214813" w14:textId="77777777" w:rsidR="005C77D0" w:rsidRPr="003D5D4C" w:rsidRDefault="005C77D0" w:rsidP="005C77D0">
      <w:pPr>
        <w:pStyle w:val="Item"/>
      </w:pPr>
      <w:r w:rsidRPr="003D5D4C">
        <w:t>Insert:</w:t>
      </w:r>
    </w:p>
    <w:p w14:paraId="40D6D7BF" w14:textId="77777777" w:rsidR="00690D49" w:rsidRPr="003D5D4C" w:rsidRDefault="005C77D0" w:rsidP="00690D49">
      <w:pPr>
        <w:pStyle w:val="Definition"/>
      </w:pPr>
      <w:r w:rsidRPr="003D5D4C">
        <w:rPr>
          <w:b/>
          <w:i/>
        </w:rPr>
        <w:t>return</w:t>
      </w:r>
      <w:r w:rsidR="00690D49" w:rsidRPr="003D5D4C">
        <w:t>, in relation to a quarter, means:</w:t>
      </w:r>
    </w:p>
    <w:p w14:paraId="0D1F81DF" w14:textId="77777777" w:rsidR="00A44ACF" w:rsidRPr="003D5D4C" w:rsidRDefault="00690D49" w:rsidP="00690D49">
      <w:pPr>
        <w:pStyle w:val="paragraph"/>
      </w:pPr>
      <w:r w:rsidRPr="003D5D4C">
        <w:tab/>
        <w:t>(a)</w:t>
      </w:r>
      <w:r w:rsidRPr="003D5D4C">
        <w:tab/>
      </w:r>
      <w:r w:rsidR="00FA3F94" w:rsidRPr="003D5D4C">
        <w:t xml:space="preserve">if </w:t>
      </w:r>
      <w:r w:rsidR="00F75733" w:rsidRPr="003D5D4C">
        <w:t>paragraph (</w:t>
      </w:r>
      <w:r w:rsidR="00FA3F94" w:rsidRPr="003D5D4C">
        <w:t>b) does not apply</w:t>
      </w:r>
      <w:r w:rsidRPr="003D5D4C">
        <w:t xml:space="preserve">—the </w:t>
      </w:r>
      <w:r w:rsidR="00D251D3" w:rsidRPr="003D5D4C">
        <w:t>Part 6</w:t>
      </w:r>
      <w:r w:rsidRPr="003D5D4C">
        <w:t>A product</w:t>
      </w:r>
      <w:r w:rsidR="001376B0" w:rsidRPr="003D5D4C">
        <w:t>’</w:t>
      </w:r>
      <w:r w:rsidRPr="003D5D4C">
        <w:t>s net investment return in relation to</w:t>
      </w:r>
      <w:r w:rsidR="007B4A70" w:rsidRPr="003D5D4C">
        <w:t xml:space="preserve"> the quarter for the </w:t>
      </w:r>
      <w:r w:rsidR="00D251D3" w:rsidRPr="003D5D4C">
        <w:t>Part 6</w:t>
      </w:r>
      <w:r w:rsidR="007B4A70" w:rsidRPr="003D5D4C">
        <w:t>A product’s standard fees and costs arrangement in relation to the quarter; or</w:t>
      </w:r>
    </w:p>
    <w:p w14:paraId="0CC6066E" w14:textId="77777777" w:rsidR="00A44ACF" w:rsidRPr="003D5D4C" w:rsidRDefault="00690D49" w:rsidP="00690D49">
      <w:pPr>
        <w:pStyle w:val="paragraph"/>
      </w:pPr>
      <w:r w:rsidRPr="003D5D4C">
        <w:tab/>
        <w:t>(b)</w:t>
      </w:r>
      <w:r w:rsidRPr="003D5D4C">
        <w:tab/>
      </w:r>
      <w:r w:rsidR="00EB71B2" w:rsidRPr="003D5D4C">
        <w:t>if</w:t>
      </w:r>
      <w:r w:rsidRPr="003D5D4C">
        <w:t xml:space="preserve"> it is </w:t>
      </w:r>
      <w:r w:rsidRPr="003D5D4C">
        <w:rPr>
          <w:i/>
        </w:rPr>
        <w:t>not</w:t>
      </w:r>
      <w:r w:rsidRPr="003D5D4C">
        <w:t xml:space="preserve"> possible to identify the </w:t>
      </w:r>
      <w:r w:rsidR="00D251D3" w:rsidRPr="003D5D4C">
        <w:t>Part 6</w:t>
      </w:r>
      <w:r w:rsidRPr="003D5D4C">
        <w:t>A product</w:t>
      </w:r>
      <w:r w:rsidR="001376B0" w:rsidRPr="003D5D4C">
        <w:t>’</w:t>
      </w:r>
      <w:r w:rsidRPr="003D5D4C">
        <w:t xml:space="preserve">s net investment return in relation to the quarter from information available to APRA, but it is possible to identify the </w:t>
      </w:r>
      <w:r w:rsidR="00D251D3" w:rsidRPr="003D5D4C">
        <w:t>Part 6</w:t>
      </w:r>
      <w:r w:rsidRPr="003D5D4C">
        <w:t>A product</w:t>
      </w:r>
      <w:r w:rsidR="001376B0" w:rsidRPr="003D5D4C">
        <w:t>’</w:t>
      </w:r>
      <w:r w:rsidRPr="003D5D4C">
        <w:t xml:space="preserve">s gross investment return net of fees in relation to the quarter from information available to APRA—the </w:t>
      </w:r>
      <w:r w:rsidR="00D251D3" w:rsidRPr="003D5D4C">
        <w:t>Part 6</w:t>
      </w:r>
      <w:r w:rsidR="005C77D0" w:rsidRPr="003D5D4C">
        <w:t>A product</w:t>
      </w:r>
      <w:r w:rsidR="001376B0" w:rsidRPr="003D5D4C">
        <w:t>’</w:t>
      </w:r>
      <w:r w:rsidR="005C77D0" w:rsidRPr="003D5D4C">
        <w:t xml:space="preserve">s gross investment return net of fees </w:t>
      </w:r>
      <w:r w:rsidRPr="003D5D4C">
        <w:t>in relation to</w:t>
      </w:r>
      <w:r w:rsidR="007B4A70" w:rsidRPr="003D5D4C">
        <w:t xml:space="preserve"> the quarter for the </w:t>
      </w:r>
      <w:r w:rsidR="00D251D3" w:rsidRPr="003D5D4C">
        <w:t>Part 6</w:t>
      </w:r>
      <w:r w:rsidR="007B4A70" w:rsidRPr="003D5D4C">
        <w:t>A product’s standard fees and costs arrangement in relation to the quarter.</w:t>
      </w:r>
    </w:p>
    <w:p w14:paraId="23F16934" w14:textId="77777777" w:rsidR="00690D49" w:rsidRPr="003D5D4C" w:rsidRDefault="00F75733" w:rsidP="00690D49">
      <w:pPr>
        <w:pStyle w:val="ItemHead"/>
      </w:pPr>
      <w:bookmarkStart w:id="11" w:name="_Hlk139555904"/>
      <w:r w:rsidRPr="003D5D4C">
        <w:t>32</w:t>
      </w:r>
      <w:r w:rsidR="00690D49" w:rsidRPr="003D5D4C">
        <w:t xml:space="preserve">  At the end of </w:t>
      </w:r>
      <w:r w:rsidRPr="003D5D4C">
        <w:t>regulation 9</w:t>
      </w:r>
      <w:r w:rsidR="00690D49" w:rsidRPr="003D5D4C">
        <w:t>AB.11</w:t>
      </w:r>
    </w:p>
    <w:p w14:paraId="7F5DAF0D" w14:textId="77777777" w:rsidR="00690D49" w:rsidRPr="003D5D4C" w:rsidRDefault="00690D49" w:rsidP="00690D49">
      <w:pPr>
        <w:pStyle w:val="Item"/>
      </w:pPr>
      <w:r w:rsidRPr="003D5D4C">
        <w:t>Add:</w:t>
      </w:r>
    </w:p>
    <w:p w14:paraId="48118AA5" w14:textId="77777777" w:rsidR="00342381" w:rsidRPr="003D5D4C" w:rsidRDefault="00342381" w:rsidP="00342381">
      <w:pPr>
        <w:pStyle w:val="SubsectionHead"/>
      </w:pPr>
      <w:r w:rsidRPr="003D5D4C">
        <w:t>Trustee</w:t>
      </w:r>
      <w:r w:rsidR="00A70ACD" w:rsidRPr="003D5D4C">
        <w:noBreakHyphen/>
      </w:r>
      <w:r w:rsidRPr="003D5D4C">
        <w:t>directed products</w:t>
      </w:r>
    </w:p>
    <w:p w14:paraId="6400BEC5" w14:textId="77777777" w:rsidR="00613C01" w:rsidRPr="003D5D4C" w:rsidRDefault="00613C01" w:rsidP="00690D49">
      <w:pPr>
        <w:pStyle w:val="subsection"/>
      </w:pPr>
      <w:r w:rsidRPr="003D5D4C">
        <w:tab/>
        <w:t>(</w:t>
      </w:r>
      <w:r w:rsidR="008F5242" w:rsidRPr="003D5D4C">
        <w:t>3</w:t>
      </w:r>
      <w:r w:rsidRPr="003D5D4C">
        <w:t>)</w:t>
      </w:r>
      <w:r w:rsidRPr="003D5D4C">
        <w:tab/>
        <w:t>Sub</w:t>
      </w:r>
      <w:r w:rsidR="00D35CBF" w:rsidRPr="003D5D4C">
        <w:t>regulation</w:t>
      </w:r>
      <w:r w:rsidRPr="003D5D4C">
        <w:t xml:space="preserve"> (</w:t>
      </w:r>
      <w:r w:rsidR="008F5242" w:rsidRPr="003D5D4C">
        <w:t>4</w:t>
      </w:r>
      <w:r w:rsidRPr="003D5D4C">
        <w:t>) applies if:</w:t>
      </w:r>
    </w:p>
    <w:p w14:paraId="0BA37BD0" w14:textId="77777777" w:rsidR="00613C01" w:rsidRPr="003D5D4C" w:rsidRDefault="00613C01" w:rsidP="00613C01">
      <w:pPr>
        <w:pStyle w:val="paragraph"/>
      </w:pPr>
      <w:r w:rsidRPr="003D5D4C">
        <w:tab/>
        <w:t>(a)</w:t>
      </w:r>
      <w:r w:rsidRPr="003D5D4C">
        <w:tab/>
        <w:t xml:space="preserve">the </w:t>
      </w:r>
      <w:r w:rsidR="00D251D3" w:rsidRPr="003D5D4C">
        <w:t>Part 6</w:t>
      </w:r>
      <w:r w:rsidRPr="003D5D4C">
        <w:t>A product is a trustee</w:t>
      </w:r>
      <w:r w:rsidR="00A70ACD" w:rsidRPr="003D5D4C">
        <w:noBreakHyphen/>
      </w:r>
      <w:r w:rsidRPr="003D5D4C">
        <w:t>directed product; and</w:t>
      </w:r>
    </w:p>
    <w:p w14:paraId="19D191CA" w14:textId="77777777" w:rsidR="00613C01" w:rsidRPr="003D5D4C" w:rsidRDefault="00613C01" w:rsidP="00613C01">
      <w:pPr>
        <w:pStyle w:val="paragraph"/>
      </w:pPr>
      <w:r w:rsidRPr="003D5D4C">
        <w:tab/>
        <w:t>(b)</w:t>
      </w:r>
      <w:r w:rsidRPr="003D5D4C">
        <w:tab/>
        <w:t xml:space="preserve">at the </w:t>
      </w:r>
      <w:r w:rsidR="008F5242" w:rsidRPr="003D5D4C">
        <w:t xml:space="preserve">end </w:t>
      </w:r>
      <w:r w:rsidRPr="003D5D4C">
        <w:t xml:space="preserve">of a quarter in the lookback period, there are no member assets supporting the </w:t>
      </w:r>
      <w:r w:rsidR="00D251D3" w:rsidRPr="003D5D4C">
        <w:t>Part 6</w:t>
      </w:r>
      <w:r w:rsidRPr="003D5D4C">
        <w:t xml:space="preserve">A product that are referable to any of the investment pathways of the </w:t>
      </w:r>
      <w:r w:rsidR="00D251D3" w:rsidRPr="003D5D4C">
        <w:t>Part 6</w:t>
      </w:r>
      <w:r w:rsidRPr="003D5D4C">
        <w:t>A product.</w:t>
      </w:r>
    </w:p>
    <w:p w14:paraId="17D2A0D7" w14:textId="77777777" w:rsidR="00613C01" w:rsidRPr="003D5D4C" w:rsidRDefault="00613C01" w:rsidP="00613C01">
      <w:pPr>
        <w:pStyle w:val="subsection"/>
      </w:pPr>
      <w:r w:rsidRPr="003D5D4C">
        <w:tab/>
        <w:t>(</w:t>
      </w:r>
      <w:r w:rsidR="008F5242" w:rsidRPr="003D5D4C">
        <w:t>4</w:t>
      </w:r>
      <w:r w:rsidRPr="003D5D4C">
        <w:t>)</w:t>
      </w:r>
      <w:r w:rsidRPr="003D5D4C">
        <w:tab/>
      </w:r>
      <w:r w:rsidR="0079520E" w:rsidRPr="003D5D4C">
        <w:t>T</w:t>
      </w:r>
      <w:r w:rsidRPr="003D5D4C">
        <w:t xml:space="preserve">reat the </w:t>
      </w:r>
      <w:r w:rsidRPr="003D5D4C">
        <w:rPr>
          <w:b/>
          <w:i/>
        </w:rPr>
        <w:t>return</w:t>
      </w:r>
      <w:r w:rsidRPr="003D5D4C">
        <w:t xml:space="preserve"> (as defined in subregulation (2)), in relation to </w:t>
      </w:r>
      <w:r w:rsidR="0079520E" w:rsidRPr="003D5D4C">
        <w:t>the</w:t>
      </w:r>
      <w:r w:rsidRPr="003D5D4C">
        <w:t xml:space="preserve"> quarter</w:t>
      </w:r>
      <w:r w:rsidR="0079520E" w:rsidRPr="003D5D4C">
        <w:t>, as zero.</w:t>
      </w:r>
    </w:p>
    <w:p w14:paraId="06712343" w14:textId="77777777" w:rsidR="008F5242" w:rsidRPr="003D5D4C" w:rsidRDefault="00690D49" w:rsidP="00690D49">
      <w:pPr>
        <w:pStyle w:val="subsection"/>
      </w:pPr>
      <w:r w:rsidRPr="003D5D4C">
        <w:tab/>
        <w:t>(</w:t>
      </w:r>
      <w:r w:rsidR="008F5242" w:rsidRPr="003D5D4C">
        <w:t>5</w:t>
      </w:r>
      <w:r w:rsidRPr="003D5D4C">
        <w:t>)</w:t>
      </w:r>
      <w:r w:rsidRPr="003D5D4C">
        <w:tab/>
        <w:t>Subregulation (</w:t>
      </w:r>
      <w:r w:rsidR="008F5242" w:rsidRPr="003D5D4C">
        <w:t>6</w:t>
      </w:r>
      <w:r w:rsidRPr="003D5D4C">
        <w:t>) applies if</w:t>
      </w:r>
      <w:r w:rsidR="008F5242" w:rsidRPr="003D5D4C">
        <w:t>:</w:t>
      </w:r>
    </w:p>
    <w:p w14:paraId="3D627BEF" w14:textId="77777777" w:rsidR="00690D49" w:rsidRPr="003D5D4C" w:rsidRDefault="008F5242" w:rsidP="008F5242">
      <w:pPr>
        <w:pStyle w:val="paragraph"/>
      </w:pPr>
      <w:r w:rsidRPr="003D5D4C">
        <w:tab/>
        <w:t>(a)</w:t>
      </w:r>
      <w:r w:rsidRPr="003D5D4C">
        <w:tab/>
      </w:r>
      <w:r w:rsidR="00690D49" w:rsidRPr="003D5D4C">
        <w:t xml:space="preserve">the </w:t>
      </w:r>
      <w:r w:rsidR="00D251D3" w:rsidRPr="003D5D4C">
        <w:t>Part 6</w:t>
      </w:r>
      <w:r w:rsidR="00690D49" w:rsidRPr="003D5D4C">
        <w:t>A product is a trustee</w:t>
      </w:r>
      <w:r w:rsidR="00A70ACD" w:rsidRPr="003D5D4C">
        <w:noBreakHyphen/>
      </w:r>
      <w:r w:rsidR="00690D49" w:rsidRPr="003D5D4C">
        <w:t>directed product that has 2 or more net investment returns</w:t>
      </w:r>
      <w:r w:rsidR="000E6D45" w:rsidRPr="003D5D4C">
        <w:t xml:space="preserve"> or gross investment returns net of fees</w:t>
      </w:r>
      <w:r w:rsidR="00690D49" w:rsidRPr="003D5D4C">
        <w:t xml:space="preserve"> in relation to </w:t>
      </w:r>
      <w:r w:rsidR="00EB71B2" w:rsidRPr="003D5D4C">
        <w:t>a</w:t>
      </w:r>
      <w:r w:rsidR="00690D49" w:rsidRPr="003D5D4C">
        <w:t xml:space="preserve"> quarter in the lookback period</w:t>
      </w:r>
      <w:r w:rsidRPr="003D5D4C">
        <w:t>; and</w:t>
      </w:r>
    </w:p>
    <w:p w14:paraId="06395B51" w14:textId="77777777" w:rsidR="008F5242" w:rsidRPr="003D5D4C" w:rsidRDefault="008F5242" w:rsidP="008F5242">
      <w:pPr>
        <w:pStyle w:val="paragraph"/>
      </w:pPr>
      <w:r w:rsidRPr="003D5D4C">
        <w:tab/>
        <w:t>(b)</w:t>
      </w:r>
      <w:r w:rsidRPr="003D5D4C">
        <w:tab/>
        <w:t>sub</w:t>
      </w:r>
      <w:r w:rsidR="00D35CBF" w:rsidRPr="003D5D4C">
        <w:t>regulation</w:t>
      </w:r>
      <w:r w:rsidRPr="003D5D4C">
        <w:t xml:space="preserve"> (4) does not apply in relation to the quarter.</w:t>
      </w:r>
    </w:p>
    <w:p w14:paraId="6170DD95" w14:textId="77777777" w:rsidR="009D515A" w:rsidRPr="003D5D4C" w:rsidRDefault="009D515A" w:rsidP="0079520E">
      <w:pPr>
        <w:pStyle w:val="subsection"/>
      </w:pPr>
      <w:bookmarkStart w:id="12" w:name="_Hlk99637872"/>
      <w:r w:rsidRPr="003D5D4C">
        <w:tab/>
        <w:t>(</w:t>
      </w:r>
      <w:r w:rsidR="008F5242" w:rsidRPr="003D5D4C">
        <w:t>6</w:t>
      </w:r>
      <w:r w:rsidRPr="003D5D4C">
        <w:t>)</w:t>
      </w:r>
      <w:r w:rsidRPr="003D5D4C">
        <w:tab/>
        <w:t xml:space="preserve">For the purposes of subregulation (2), treat the </w:t>
      </w:r>
      <w:r w:rsidRPr="003D5D4C">
        <w:rPr>
          <w:b/>
          <w:i/>
        </w:rPr>
        <w:t>return</w:t>
      </w:r>
      <w:r w:rsidRPr="003D5D4C">
        <w:t xml:space="preserve"> (as defined in subregulation (2)), in relation to </w:t>
      </w:r>
      <w:r w:rsidR="0079520E" w:rsidRPr="003D5D4C">
        <w:t>the</w:t>
      </w:r>
      <w:r w:rsidRPr="003D5D4C">
        <w:t xml:space="preserve"> quarter, as being</w:t>
      </w:r>
      <w:r w:rsidR="0079520E" w:rsidRPr="003D5D4C">
        <w:t xml:space="preserve"> </w:t>
      </w:r>
      <w:r w:rsidRPr="003D5D4C">
        <w:t>the amount worked out under subregulation (</w:t>
      </w:r>
      <w:r w:rsidR="008F5242" w:rsidRPr="003D5D4C">
        <w:t>7</w:t>
      </w:r>
      <w:r w:rsidRPr="003D5D4C">
        <w:t>).</w:t>
      </w:r>
    </w:p>
    <w:p w14:paraId="41F18EF2" w14:textId="77777777" w:rsidR="00A44ACF" w:rsidRPr="003D5D4C" w:rsidRDefault="0027564C" w:rsidP="0027564C">
      <w:pPr>
        <w:pStyle w:val="subsection"/>
      </w:pPr>
      <w:r w:rsidRPr="003D5D4C">
        <w:tab/>
        <w:t>(</w:t>
      </w:r>
      <w:r w:rsidR="008F5242" w:rsidRPr="003D5D4C">
        <w:t>7</w:t>
      </w:r>
      <w:r w:rsidRPr="003D5D4C">
        <w:t>)</w:t>
      </w:r>
      <w:r w:rsidRPr="003D5D4C">
        <w:tab/>
      </w:r>
      <w:r w:rsidR="009D515A" w:rsidRPr="003D5D4C">
        <w:t xml:space="preserve">For the purposes of </w:t>
      </w:r>
      <w:r w:rsidR="0079520E" w:rsidRPr="003D5D4C">
        <w:t>sub</w:t>
      </w:r>
      <w:r w:rsidR="00D35CBF" w:rsidRPr="003D5D4C">
        <w:t>regulation</w:t>
      </w:r>
      <w:r w:rsidR="009D515A" w:rsidRPr="003D5D4C">
        <w:t xml:space="preserve"> (</w:t>
      </w:r>
      <w:r w:rsidR="008F5242" w:rsidRPr="003D5D4C">
        <w:t>6</w:t>
      </w:r>
      <w:r w:rsidR="009D515A" w:rsidRPr="003D5D4C">
        <w:t>)</w:t>
      </w:r>
      <w:r w:rsidR="001C56BE" w:rsidRPr="003D5D4C">
        <w:t xml:space="preserve">, </w:t>
      </w:r>
      <w:r w:rsidR="00D72ED3" w:rsidRPr="003D5D4C">
        <w:t xml:space="preserve">work out </w:t>
      </w:r>
      <w:r w:rsidR="00A44ACF" w:rsidRPr="003D5D4C">
        <w:t>the amount as follows:</w:t>
      </w:r>
    </w:p>
    <w:p w14:paraId="6B05B061" w14:textId="77777777" w:rsidR="009E46C1" w:rsidRPr="003D5D4C" w:rsidRDefault="00A44ACF" w:rsidP="00A44ACF">
      <w:pPr>
        <w:pStyle w:val="paragraph"/>
      </w:pPr>
      <w:r w:rsidRPr="003D5D4C">
        <w:tab/>
        <w:t>(a)</w:t>
      </w:r>
      <w:r w:rsidRPr="003D5D4C">
        <w:tab/>
        <w:t xml:space="preserve">first, work out </w:t>
      </w:r>
      <w:r w:rsidR="009D515A" w:rsidRPr="003D5D4C">
        <w:t>a separate return</w:t>
      </w:r>
      <w:r w:rsidRPr="003D5D4C">
        <w:t xml:space="preserve"> (as defined in subregulation (2))</w:t>
      </w:r>
      <w:r w:rsidR="009D515A" w:rsidRPr="003D5D4C">
        <w:t xml:space="preserve"> </w:t>
      </w:r>
      <w:r w:rsidR="00273BD2" w:rsidRPr="003D5D4C">
        <w:t xml:space="preserve">in relation to the quarter </w:t>
      </w:r>
      <w:r w:rsidR="009D515A" w:rsidRPr="003D5D4C">
        <w:t xml:space="preserve">for each investment pathway of the </w:t>
      </w:r>
      <w:r w:rsidR="00D251D3" w:rsidRPr="003D5D4C">
        <w:t>Part 6</w:t>
      </w:r>
      <w:r w:rsidR="009D515A" w:rsidRPr="003D5D4C">
        <w:t>A product</w:t>
      </w:r>
      <w:r w:rsidRPr="003D5D4C">
        <w:t>, on the assumptions that</w:t>
      </w:r>
      <w:r w:rsidR="009E46C1" w:rsidRPr="003D5D4C">
        <w:t>:</w:t>
      </w:r>
    </w:p>
    <w:p w14:paraId="544C6A9B" w14:textId="77777777" w:rsidR="00845121" w:rsidRPr="003D5D4C" w:rsidRDefault="00845121" w:rsidP="00D72ED3">
      <w:pPr>
        <w:pStyle w:val="paragraphsub"/>
      </w:pPr>
      <w:r w:rsidRPr="003D5D4C">
        <w:lastRenderedPageBreak/>
        <w:tab/>
        <w:t>(</w:t>
      </w:r>
      <w:r w:rsidR="00D72ED3" w:rsidRPr="003D5D4C">
        <w:t>i</w:t>
      </w:r>
      <w:r w:rsidRPr="003D5D4C">
        <w:t>)</w:t>
      </w:r>
      <w:r w:rsidRPr="003D5D4C">
        <w:tab/>
        <w:t xml:space="preserve">references </w:t>
      </w:r>
      <w:r w:rsidR="00D72ED3" w:rsidRPr="003D5D4C">
        <w:t xml:space="preserve">in that definition </w:t>
      </w:r>
      <w:r w:rsidRPr="003D5D4C">
        <w:t xml:space="preserve">to net investment return and gross investment return net of fees </w:t>
      </w:r>
      <w:r w:rsidR="00D72ED3" w:rsidRPr="003D5D4C">
        <w:t>were</w:t>
      </w:r>
      <w:r w:rsidRPr="003D5D4C">
        <w:t xml:space="preserve"> references to such amounts to the extent that they relate to </w:t>
      </w:r>
      <w:r w:rsidR="00A44ACF" w:rsidRPr="003D5D4C">
        <w:t xml:space="preserve">each </w:t>
      </w:r>
      <w:r w:rsidRPr="003D5D4C">
        <w:t xml:space="preserve">investment pathway of the </w:t>
      </w:r>
      <w:r w:rsidR="00D251D3" w:rsidRPr="003D5D4C">
        <w:t>Part 6</w:t>
      </w:r>
      <w:r w:rsidR="000F5AA4" w:rsidRPr="003D5D4C">
        <w:t>A</w:t>
      </w:r>
      <w:r w:rsidRPr="003D5D4C">
        <w:t xml:space="preserve"> product; and</w:t>
      </w:r>
    </w:p>
    <w:p w14:paraId="12A28F68" w14:textId="77777777" w:rsidR="00D72ED3" w:rsidRPr="003D5D4C" w:rsidRDefault="00D72ED3" w:rsidP="00D72ED3">
      <w:pPr>
        <w:pStyle w:val="paragraphsub"/>
      </w:pPr>
      <w:r w:rsidRPr="003D5D4C">
        <w:tab/>
        <w:t>(ii)</w:t>
      </w:r>
      <w:r w:rsidRPr="003D5D4C">
        <w:tab/>
        <w:t xml:space="preserve">references in that definition to the </w:t>
      </w:r>
      <w:r w:rsidR="00D251D3" w:rsidRPr="003D5D4C">
        <w:t>Part 6</w:t>
      </w:r>
      <w:r w:rsidRPr="003D5D4C">
        <w:t>A product</w:t>
      </w:r>
      <w:r w:rsidR="001376B0" w:rsidRPr="003D5D4C">
        <w:t>’</w:t>
      </w:r>
      <w:r w:rsidRPr="003D5D4C">
        <w:t>s standard fees and costs arrangement were references to each investment pathway</w:t>
      </w:r>
      <w:r w:rsidR="001376B0" w:rsidRPr="003D5D4C">
        <w:t>’</w:t>
      </w:r>
      <w:r w:rsidRPr="003D5D4C">
        <w:t>s standard fees and costs arrangement;</w:t>
      </w:r>
    </w:p>
    <w:p w14:paraId="01644D1F" w14:textId="77777777" w:rsidR="00F60861" w:rsidRPr="003D5D4C" w:rsidRDefault="009E46C1" w:rsidP="001C56BE">
      <w:pPr>
        <w:pStyle w:val="paragraph"/>
      </w:pPr>
      <w:r w:rsidRPr="003D5D4C">
        <w:tab/>
        <w:t>(</w:t>
      </w:r>
      <w:r w:rsidR="00A44ACF" w:rsidRPr="003D5D4C">
        <w:t>b</w:t>
      </w:r>
      <w:r w:rsidRPr="003D5D4C">
        <w:t>)</w:t>
      </w:r>
      <w:r w:rsidRPr="003D5D4C">
        <w:tab/>
      </w:r>
      <w:r w:rsidR="00EB71B2" w:rsidRPr="003D5D4C">
        <w:t>next</w:t>
      </w:r>
      <w:r w:rsidR="0041273A" w:rsidRPr="003D5D4C">
        <w:t xml:space="preserve">, </w:t>
      </w:r>
      <w:r w:rsidR="00F60861" w:rsidRPr="003D5D4C">
        <w:t xml:space="preserve">disregard </w:t>
      </w:r>
      <w:r w:rsidR="00126AC6" w:rsidRPr="003D5D4C">
        <w:t>any return</w:t>
      </w:r>
      <w:r w:rsidR="009D515A" w:rsidRPr="003D5D4C">
        <w:t xml:space="preserve"> worked out in accordance with </w:t>
      </w:r>
      <w:r w:rsidR="00F75733" w:rsidRPr="003D5D4C">
        <w:t>paragraph (</w:t>
      </w:r>
      <w:r w:rsidR="009D515A" w:rsidRPr="003D5D4C">
        <w:t xml:space="preserve">a) </w:t>
      </w:r>
      <w:r w:rsidR="00917888" w:rsidRPr="003D5D4C">
        <w:t xml:space="preserve">for </w:t>
      </w:r>
      <w:r w:rsidR="00126AC6" w:rsidRPr="003D5D4C">
        <w:t xml:space="preserve">an investment pathway of the </w:t>
      </w:r>
      <w:r w:rsidR="00D251D3" w:rsidRPr="003D5D4C">
        <w:t>Part 6</w:t>
      </w:r>
      <w:r w:rsidR="00126AC6" w:rsidRPr="003D5D4C">
        <w:t>A product</w:t>
      </w:r>
      <w:r w:rsidR="009D515A" w:rsidRPr="003D5D4C">
        <w:t>,</w:t>
      </w:r>
      <w:r w:rsidR="00126AC6" w:rsidRPr="003D5D4C">
        <w:t xml:space="preserve"> if there are no member assets supporting the </w:t>
      </w:r>
      <w:r w:rsidR="00D251D3" w:rsidRPr="003D5D4C">
        <w:t>Part 6</w:t>
      </w:r>
      <w:r w:rsidR="00126AC6" w:rsidRPr="003D5D4C">
        <w:t>A product that are referable to the investment pathway;</w:t>
      </w:r>
    </w:p>
    <w:p w14:paraId="7FEF448C" w14:textId="77777777" w:rsidR="001C56BE" w:rsidRPr="003D5D4C" w:rsidRDefault="00F60861" w:rsidP="001C56BE">
      <w:pPr>
        <w:pStyle w:val="paragraph"/>
      </w:pPr>
      <w:r w:rsidRPr="003D5D4C">
        <w:tab/>
        <w:t>(</w:t>
      </w:r>
      <w:r w:rsidR="00A44ACF" w:rsidRPr="003D5D4C">
        <w:t>c</w:t>
      </w:r>
      <w:r w:rsidRPr="003D5D4C">
        <w:t>)</w:t>
      </w:r>
      <w:r w:rsidRPr="003D5D4C">
        <w:tab/>
      </w:r>
      <w:r w:rsidR="00EB71B2" w:rsidRPr="003D5D4C">
        <w:t>next</w:t>
      </w:r>
      <w:r w:rsidRPr="003D5D4C">
        <w:t xml:space="preserve">, </w:t>
      </w:r>
      <w:r w:rsidR="00DA2562" w:rsidRPr="003D5D4C">
        <w:t>identify the smallest of the returns</w:t>
      </w:r>
      <w:r w:rsidR="009D515A" w:rsidRPr="003D5D4C">
        <w:t xml:space="preserve"> worked out in accordance with </w:t>
      </w:r>
      <w:r w:rsidR="00F75733" w:rsidRPr="003D5D4C">
        <w:t>paragraphs (</w:t>
      </w:r>
      <w:r w:rsidR="009D515A" w:rsidRPr="003D5D4C">
        <w:t>a) and (b)</w:t>
      </w:r>
      <w:r w:rsidR="00DA2562" w:rsidRPr="003D5D4C">
        <w:t>.</w:t>
      </w:r>
    </w:p>
    <w:bookmarkEnd w:id="12"/>
    <w:bookmarkEnd w:id="11"/>
    <w:p w14:paraId="1925A819" w14:textId="77777777" w:rsidR="00690D49" w:rsidRPr="003D5D4C" w:rsidRDefault="00F75733" w:rsidP="00690D49">
      <w:pPr>
        <w:pStyle w:val="ItemHead"/>
      </w:pPr>
      <w:r w:rsidRPr="003D5D4C">
        <w:t>33</w:t>
      </w:r>
      <w:r w:rsidR="00690D49" w:rsidRPr="003D5D4C">
        <w:t xml:space="preserve">  </w:t>
      </w:r>
      <w:r w:rsidRPr="003D5D4C">
        <w:t>Subregulation 9</w:t>
      </w:r>
      <w:r w:rsidR="00690D49" w:rsidRPr="003D5D4C">
        <w:t>AB.12(2)</w:t>
      </w:r>
    </w:p>
    <w:p w14:paraId="54AE820D" w14:textId="77777777" w:rsidR="00690D49" w:rsidRPr="003D5D4C" w:rsidRDefault="00690D49" w:rsidP="00690D49">
      <w:pPr>
        <w:pStyle w:val="Item"/>
      </w:pPr>
      <w:r w:rsidRPr="003D5D4C">
        <w:t xml:space="preserve">Omit </w:t>
      </w:r>
      <w:r w:rsidR="001376B0" w:rsidRPr="003D5D4C">
        <w:t>“</w:t>
      </w:r>
      <w:r w:rsidRPr="003D5D4C">
        <w:t>rounded to 4 decimal places (rounding up if the fifth decimal place is 5 or more)</w:t>
      </w:r>
      <w:r w:rsidR="001376B0" w:rsidRPr="003D5D4C">
        <w:t>”</w:t>
      </w:r>
      <w:r w:rsidRPr="003D5D4C">
        <w:t xml:space="preserve">, substitute </w:t>
      </w:r>
      <w:r w:rsidR="001376B0" w:rsidRPr="003D5D4C">
        <w:t>“</w:t>
      </w:r>
      <w:r w:rsidRPr="003D5D4C">
        <w:t>rounded to 10 decimal places (rounding up if the eleventh decimal place is 5 or more)</w:t>
      </w:r>
      <w:r w:rsidR="001376B0" w:rsidRPr="003D5D4C">
        <w:t>”</w:t>
      </w:r>
      <w:r w:rsidRPr="003D5D4C">
        <w:t>.</w:t>
      </w:r>
    </w:p>
    <w:p w14:paraId="45C004B0" w14:textId="77777777" w:rsidR="005C77D0" w:rsidRPr="003D5D4C" w:rsidRDefault="00F75733" w:rsidP="005C77D0">
      <w:pPr>
        <w:pStyle w:val="ItemHead"/>
      </w:pPr>
      <w:r w:rsidRPr="003D5D4C">
        <w:t>34</w:t>
      </w:r>
      <w:r w:rsidR="005C77D0" w:rsidRPr="003D5D4C">
        <w:t xml:space="preserve">  </w:t>
      </w:r>
      <w:r w:rsidRPr="003D5D4C">
        <w:t>Subregulation 9</w:t>
      </w:r>
      <w:r w:rsidR="005C77D0" w:rsidRPr="003D5D4C">
        <w:t>AB.1</w:t>
      </w:r>
      <w:r w:rsidR="009757FE" w:rsidRPr="003D5D4C">
        <w:t>2</w:t>
      </w:r>
      <w:r w:rsidR="005C77D0" w:rsidRPr="003D5D4C">
        <w:t>(2) (formula)</w:t>
      </w:r>
    </w:p>
    <w:p w14:paraId="7280B737" w14:textId="77777777" w:rsidR="007E2BE7" w:rsidRPr="003D5D4C" w:rsidRDefault="007E2BE7" w:rsidP="005C77D0">
      <w:pPr>
        <w:pStyle w:val="Item"/>
      </w:pPr>
      <w:r w:rsidRPr="003D5D4C">
        <w:t>Repeal the formula, substitute:</w:t>
      </w:r>
    </w:p>
    <w:p w14:paraId="4F01ACAB" w14:textId="77777777" w:rsidR="007E2BE7" w:rsidRPr="003D5D4C" w:rsidRDefault="007E2BE7" w:rsidP="007E2BE7">
      <w:pPr>
        <w:pStyle w:val="subsection2"/>
      </w:pPr>
      <w:r w:rsidRPr="003D5D4C">
        <w:rPr>
          <w:position w:val="-60"/>
        </w:rPr>
        <w:object w:dxaOrig="4860" w:dyaOrig="1700" w14:anchorId="3BF28B98">
          <v:shape id="_x0000_i1028" type="#_x0000_t75" alt="This formula calculates the actual return for the product." style="width:244.35pt;height:84.25pt" o:ole="">
            <v:imagedata r:id="rId29" o:title=""/>
          </v:shape>
          <o:OLEObject Type="Embed" ProgID="Equation.DSMT4" ShapeID="_x0000_i1028" DrawAspect="Content" ObjectID="_1752581541" r:id="rId30"/>
        </w:object>
      </w:r>
    </w:p>
    <w:p w14:paraId="0E4A0759" w14:textId="77777777" w:rsidR="00690D49" w:rsidRPr="003D5D4C" w:rsidRDefault="00F75733" w:rsidP="00690D49">
      <w:pPr>
        <w:pStyle w:val="ItemHead"/>
      </w:pPr>
      <w:r w:rsidRPr="003D5D4C">
        <w:t>35</w:t>
      </w:r>
      <w:r w:rsidR="00690D49" w:rsidRPr="003D5D4C">
        <w:t xml:space="preserve">  </w:t>
      </w:r>
      <w:r w:rsidRPr="003D5D4C">
        <w:t>Subregulation 9</w:t>
      </w:r>
      <w:r w:rsidR="00690D49" w:rsidRPr="003D5D4C">
        <w:t xml:space="preserve">AB.12(2) (definition of </w:t>
      </w:r>
      <w:r w:rsidR="00690D49" w:rsidRPr="003D5D4C">
        <w:rPr>
          <w:i/>
        </w:rPr>
        <w:t>NIR</w:t>
      </w:r>
      <w:r w:rsidR="00690D49" w:rsidRPr="003D5D4C">
        <w:t>)</w:t>
      </w:r>
    </w:p>
    <w:p w14:paraId="49089209" w14:textId="77777777" w:rsidR="000A405E" w:rsidRPr="003D5D4C" w:rsidRDefault="00690D49" w:rsidP="00690D49">
      <w:pPr>
        <w:pStyle w:val="Item"/>
      </w:pPr>
      <w:r w:rsidRPr="003D5D4C">
        <w:t>Repeal the definition</w:t>
      </w:r>
      <w:r w:rsidR="000A405E" w:rsidRPr="003D5D4C">
        <w:t>.</w:t>
      </w:r>
    </w:p>
    <w:p w14:paraId="68D73FA7" w14:textId="77777777" w:rsidR="000A405E" w:rsidRPr="003D5D4C" w:rsidRDefault="00F75733" w:rsidP="000A405E">
      <w:pPr>
        <w:pStyle w:val="ItemHead"/>
      </w:pPr>
      <w:r w:rsidRPr="003D5D4C">
        <w:t>36</w:t>
      </w:r>
      <w:r w:rsidR="000A405E" w:rsidRPr="003D5D4C">
        <w:t xml:space="preserve">  </w:t>
      </w:r>
      <w:r w:rsidRPr="003D5D4C">
        <w:t>Subregulation 9</w:t>
      </w:r>
      <w:r w:rsidR="000A405E" w:rsidRPr="003D5D4C">
        <w:t>AB.1</w:t>
      </w:r>
      <w:r w:rsidR="009757FE" w:rsidRPr="003D5D4C">
        <w:t>2</w:t>
      </w:r>
      <w:r w:rsidR="000A405E" w:rsidRPr="003D5D4C">
        <w:t>(2)</w:t>
      </w:r>
    </w:p>
    <w:p w14:paraId="24B1E873" w14:textId="77777777" w:rsidR="000A405E" w:rsidRPr="003D5D4C" w:rsidRDefault="000A405E" w:rsidP="000A405E">
      <w:pPr>
        <w:pStyle w:val="Item"/>
      </w:pPr>
      <w:r w:rsidRPr="003D5D4C">
        <w:t>Insert:</w:t>
      </w:r>
    </w:p>
    <w:p w14:paraId="582F4424" w14:textId="77777777" w:rsidR="00690D49" w:rsidRPr="003D5D4C" w:rsidRDefault="000A405E" w:rsidP="00690D49">
      <w:pPr>
        <w:pStyle w:val="Definition"/>
      </w:pPr>
      <w:r w:rsidRPr="003D5D4C">
        <w:rPr>
          <w:b/>
          <w:i/>
        </w:rPr>
        <w:t>return</w:t>
      </w:r>
      <w:r w:rsidRPr="003D5D4C">
        <w:t xml:space="preserve">, in relation to a quarter </w:t>
      </w:r>
      <w:r w:rsidR="00690D49" w:rsidRPr="003D5D4C">
        <w:t>and a lifestage, means:</w:t>
      </w:r>
    </w:p>
    <w:p w14:paraId="2855F40B" w14:textId="77777777" w:rsidR="00690D49" w:rsidRPr="003D5D4C" w:rsidRDefault="00690D49" w:rsidP="00690D49">
      <w:pPr>
        <w:pStyle w:val="paragraph"/>
      </w:pPr>
      <w:r w:rsidRPr="003D5D4C">
        <w:tab/>
        <w:t>(a)</w:t>
      </w:r>
      <w:r w:rsidRPr="003D5D4C">
        <w:tab/>
      </w:r>
      <w:r w:rsidR="00FA3F94" w:rsidRPr="003D5D4C">
        <w:t xml:space="preserve">if </w:t>
      </w:r>
      <w:r w:rsidR="00F75733" w:rsidRPr="003D5D4C">
        <w:t>paragraph (</w:t>
      </w:r>
      <w:r w:rsidR="00FA3F94" w:rsidRPr="003D5D4C">
        <w:t>b) does not apply</w:t>
      </w:r>
      <w:r w:rsidRPr="003D5D4C">
        <w:t xml:space="preserve">—the </w:t>
      </w:r>
      <w:r w:rsidR="00D251D3" w:rsidRPr="003D5D4C">
        <w:t>Part 6</w:t>
      </w:r>
      <w:r w:rsidRPr="003D5D4C">
        <w:t>A product</w:t>
      </w:r>
      <w:r w:rsidR="001376B0" w:rsidRPr="003D5D4C">
        <w:t>’</w:t>
      </w:r>
      <w:r w:rsidRPr="003D5D4C">
        <w:t>s net investment return in relation to the quarter</w:t>
      </w:r>
      <w:r w:rsidR="007B4A70" w:rsidRPr="003D5D4C">
        <w:t xml:space="preserve"> and</w:t>
      </w:r>
      <w:r w:rsidRPr="003D5D4C">
        <w:t xml:space="preserve"> the lifestage</w:t>
      </w:r>
      <w:r w:rsidR="007B4A70" w:rsidRPr="003D5D4C">
        <w:t>,</w:t>
      </w:r>
      <w:r w:rsidR="00DB1035" w:rsidRPr="003D5D4C">
        <w:t xml:space="preserve"> </w:t>
      </w:r>
      <w:r w:rsidR="007B4A70" w:rsidRPr="003D5D4C">
        <w:t xml:space="preserve">for </w:t>
      </w:r>
      <w:r w:rsidR="00DB1035" w:rsidRPr="003D5D4C">
        <w:t xml:space="preserve">the </w:t>
      </w:r>
      <w:r w:rsidR="00D251D3" w:rsidRPr="003D5D4C">
        <w:t>Part 6</w:t>
      </w:r>
      <w:r w:rsidR="00DB1035" w:rsidRPr="003D5D4C">
        <w:t>A product</w:t>
      </w:r>
      <w:r w:rsidR="001376B0" w:rsidRPr="003D5D4C">
        <w:t>’</w:t>
      </w:r>
      <w:r w:rsidR="00DB1035" w:rsidRPr="003D5D4C">
        <w:t>s standard fees and costs arrangement</w:t>
      </w:r>
      <w:r w:rsidR="00DA2562" w:rsidRPr="003D5D4C">
        <w:t xml:space="preserve"> in relation to the quarter</w:t>
      </w:r>
      <w:r w:rsidRPr="003D5D4C">
        <w:t>; or</w:t>
      </w:r>
    </w:p>
    <w:p w14:paraId="0480111B" w14:textId="77777777" w:rsidR="00690D49" w:rsidRPr="003D5D4C" w:rsidRDefault="00690D49" w:rsidP="00690D49">
      <w:pPr>
        <w:pStyle w:val="paragraph"/>
      </w:pPr>
      <w:r w:rsidRPr="003D5D4C">
        <w:tab/>
        <w:t>(b)</w:t>
      </w:r>
      <w:r w:rsidRPr="003D5D4C">
        <w:tab/>
      </w:r>
      <w:r w:rsidR="00EB71B2" w:rsidRPr="003D5D4C">
        <w:t>if</w:t>
      </w:r>
      <w:r w:rsidRPr="003D5D4C">
        <w:t xml:space="preserve"> it is </w:t>
      </w:r>
      <w:r w:rsidRPr="003D5D4C">
        <w:rPr>
          <w:i/>
        </w:rPr>
        <w:t>not</w:t>
      </w:r>
      <w:r w:rsidRPr="003D5D4C">
        <w:t xml:space="preserve"> possible to identify the </w:t>
      </w:r>
      <w:r w:rsidR="00D251D3" w:rsidRPr="003D5D4C">
        <w:t>Part 6</w:t>
      </w:r>
      <w:r w:rsidRPr="003D5D4C">
        <w:t>A product</w:t>
      </w:r>
      <w:r w:rsidR="001376B0" w:rsidRPr="003D5D4C">
        <w:t>’</w:t>
      </w:r>
      <w:r w:rsidRPr="003D5D4C">
        <w:t xml:space="preserve">s net investment return in relation to the quarter and the lifestage from information available to APRA, but it is possible to identify the </w:t>
      </w:r>
      <w:r w:rsidR="00D251D3" w:rsidRPr="003D5D4C">
        <w:t>Part 6</w:t>
      </w:r>
      <w:r w:rsidRPr="003D5D4C">
        <w:t>A product</w:t>
      </w:r>
      <w:r w:rsidR="001376B0" w:rsidRPr="003D5D4C">
        <w:t>’</w:t>
      </w:r>
      <w:r w:rsidRPr="003D5D4C">
        <w:t xml:space="preserve">s gross investment return net of fees in relation to the </w:t>
      </w:r>
      <w:r w:rsidR="007B4A70" w:rsidRPr="003D5D4C">
        <w:t xml:space="preserve">quarter and the </w:t>
      </w:r>
      <w:r w:rsidR="00F53F3C" w:rsidRPr="003D5D4C">
        <w:t xml:space="preserve">lifestage </w:t>
      </w:r>
      <w:r w:rsidRPr="003D5D4C">
        <w:t xml:space="preserve">from information available to APRA—the </w:t>
      </w:r>
      <w:r w:rsidR="00D251D3" w:rsidRPr="003D5D4C">
        <w:t>Part 6</w:t>
      </w:r>
      <w:r w:rsidR="000A405E" w:rsidRPr="003D5D4C">
        <w:t>A product</w:t>
      </w:r>
      <w:r w:rsidR="001376B0" w:rsidRPr="003D5D4C">
        <w:t>’</w:t>
      </w:r>
      <w:r w:rsidR="000A405E" w:rsidRPr="003D5D4C">
        <w:t>s gross investment return net of fees</w:t>
      </w:r>
      <w:r w:rsidRPr="003D5D4C">
        <w:t xml:space="preserve"> in relation to the </w:t>
      </w:r>
      <w:r w:rsidR="007B4A70" w:rsidRPr="003D5D4C">
        <w:t xml:space="preserve">quarter and the </w:t>
      </w:r>
      <w:r w:rsidR="00F53F3C" w:rsidRPr="003D5D4C">
        <w:t>lifestage</w:t>
      </w:r>
      <w:r w:rsidR="00DB1035" w:rsidRPr="003D5D4C">
        <w:t>,</w:t>
      </w:r>
      <w:r w:rsidR="00F53F3C" w:rsidRPr="003D5D4C">
        <w:t xml:space="preserve"> </w:t>
      </w:r>
      <w:r w:rsidR="007B4A70" w:rsidRPr="003D5D4C">
        <w:t xml:space="preserve">for </w:t>
      </w:r>
      <w:r w:rsidR="00DB1035" w:rsidRPr="003D5D4C">
        <w:t xml:space="preserve">the </w:t>
      </w:r>
      <w:r w:rsidR="00D251D3" w:rsidRPr="003D5D4C">
        <w:t>Part 6</w:t>
      </w:r>
      <w:r w:rsidR="00DB1035" w:rsidRPr="003D5D4C">
        <w:t>A product</w:t>
      </w:r>
      <w:r w:rsidR="001376B0" w:rsidRPr="003D5D4C">
        <w:t>’</w:t>
      </w:r>
      <w:r w:rsidR="00DB1035" w:rsidRPr="003D5D4C">
        <w:t>s standard fees and costs arrangement</w:t>
      </w:r>
      <w:r w:rsidR="00DA2562" w:rsidRPr="003D5D4C">
        <w:t xml:space="preserve"> in relation to the quarter</w:t>
      </w:r>
      <w:r w:rsidRPr="003D5D4C">
        <w:t>.</w:t>
      </w:r>
    </w:p>
    <w:p w14:paraId="401CFABF" w14:textId="77777777" w:rsidR="00941755" w:rsidRPr="003D5D4C" w:rsidRDefault="00F75733" w:rsidP="00941755">
      <w:pPr>
        <w:pStyle w:val="ItemHead"/>
      </w:pPr>
      <w:r w:rsidRPr="003D5D4C">
        <w:t>37</w:t>
      </w:r>
      <w:r w:rsidR="00941755" w:rsidRPr="003D5D4C">
        <w:t xml:space="preserve">  </w:t>
      </w:r>
      <w:r w:rsidR="008217CF" w:rsidRPr="003D5D4C">
        <w:t>Paragraph 9</w:t>
      </w:r>
      <w:r w:rsidR="00941755" w:rsidRPr="003D5D4C">
        <w:t>AB.12(3)(b)</w:t>
      </w:r>
    </w:p>
    <w:p w14:paraId="32CC453C" w14:textId="77777777" w:rsidR="00941755" w:rsidRPr="003D5D4C" w:rsidRDefault="00941755" w:rsidP="00941755">
      <w:pPr>
        <w:pStyle w:val="Item"/>
      </w:pPr>
      <w:r w:rsidRPr="003D5D4C">
        <w:t>Repeal the paragraph, substitute:</w:t>
      </w:r>
    </w:p>
    <w:p w14:paraId="6188CC16" w14:textId="77777777" w:rsidR="00941755" w:rsidRPr="003D5D4C" w:rsidRDefault="00941755" w:rsidP="00941755">
      <w:pPr>
        <w:pStyle w:val="paragraph"/>
      </w:pPr>
      <w:r w:rsidRPr="003D5D4C">
        <w:tab/>
        <w:t>(b)</w:t>
      </w:r>
      <w:r w:rsidRPr="003D5D4C">
        <w:tab/>
      </w:r>
      <w:r w:rsidR="006D1489" w:rsidRPr="003D5D4C">
        <w:t>either or both of the following apply</w:t>
      </w:r>
      <w:r w:rsidR="00691E6B" w:rsidRPr="003D5D4C">
        <w:t>:</w:t>
      </w:r>
    </w:p>
    <w:p w14:paraId="580A5829" w14:textId="77777777" w:rsidR="00691E6B" w:rsidRPr="003D5D4C" w:rsidRDefault="00691E6B" w:rsidP="00691E6B">
      <w:pPr>
        <w:pStyle w:val="paragraphsub"/>
      </w:pPr>
      <w:r w:rsidRPr="003D5D4C">
        <w:lastRenderedPageBreak/>
        <w:tab/>
        <w:t>(i)</w:t>
      </w:r>
      <w:r w:rsidRPr="003D5D4C">
        <w:tab/>
      </w:r>
      <w:r w:rsidR="006D1489" w:rsidRPr="003D5D4C">
        <w:t xml:space="preserve">the </w:t>
      </w:r>
      <w:r w:rsidR="00D251D3" w:rsidRPr="003D5D4C">
        <w:t>Part 6</w:t>
      </w:r>
      <w:r w:rsidR="006D1489" w:rsidRPr="003D5D4C">
        <w:t xml:space="preserve">A product and the quarters are </w:t>
      </w:r>
      <w:r w:rsidRPr="003D5D4C">
        <w:t xml:space="preserve">in a class of </w:t>
      </w:r>
      <w:r w:rsidR="00D251D3" w:rsidRPr="003D5D4C">
        <w:t>Part 6</w:t>
      </w:r>
      <w:r w:rsidRPr="003D5D4C">
        <w:t>A products and quarters specified in a determination under subregulation (4A);</w:t>
      </w:r>
    </w:p>
    <w:p w14:paraId="1FE4F384" w14:textId="77777777" w:rsidR="00691E6B" w:rsidRPr="003D5D4C" w:rsidRDefault="00691E6B" w:rsidP="00691E6B">
      <w:pPr>
        <w:pStyle w:val="paragraphsub"/>
      </w:pPr>
      <w:r w:rsidRPr="003D5D4C">
        <w:tab/>
        <w:t>(ii)</w:t>
      </w:r>
      <w:r w:rsidRPr="003D5D4C">
        <w:tab/>
      </w:r>
      <w:r w:rsidR="006D1489" w:rsidRPr="003D5D4C">
        <w:t xml:space="preserve">the </w:t>
      </w:r>
      <w:r w:rsidR="00D251D3" w:rsidRPr="003D5D4C">
        <w:t>Part 6</w:t>
      </w:r>
      <w:r w:rsidR="006D1489" w:rsidRPr="003D5D4C">
        <w:t xml:space="preserve">A product and the quarters are </w:t>
      </w:r>
      <w:r w:rsidRPr="003D5D4C">
        <w:t>specified in a determination under subregulation (5).</w:t>
      </w:r>
    </w:p>
    <w:p w14:paraId="2D5EC188" w14:textId="77777777" w:rsidR="00941755" w:rsidRPr="003D5D4C" w:rsidRDefault="00F75733" w:rsidP="0041715E">
      <w:pPr>
        <w:pStyle w:val="ItemHead"/>
      </w:pPr>
      <w:r w:rsidRPr="003D5D4C">
        <w:t>38</w:t>
      </w:r>
      <w:r w:rsidR="0041715E" w:rsidRPr="003D5D4C">
        <w:t xml:space="preserve">  </w:t>
      </w:r>
      <w:r w:rsidRPr="003D5D4C">
        <w:t>Subregulation 9</w:t>
      </w:r>
      <w:r w:rsidR="0041715E" w:rsidRPr="003D5D4C">
        <w:t>AB.12(4)</w:t>
      </w:r>
    </w:p>
    <w:p w14:paraId="27334930" w14:textId="77777777" w:rsidR="0041715E" w:rsidRPr="003D5D4C" w:rsidRDefault="0041715E" w:rsidP="0041715E">
      <w:pPr>
        <w:pStyle w:val="Item"/>
      </w:pPr>
      <w:r w:rsidRPr="003D5D4C">
        <w:t>Repeal the subregulation, substitute:</w:t>
      </w:r>
    </w:p>
    <w:p w14:paraId="758B748D" w14:textId="77777777" w:rsidR="0041715E" w:rsidRPr="003D5D4C" w:rsidRDefault="0041715E" w:rsidP="00941755">
      <w:pPr>
        <w:pStyle w:val="subsection"/>
      </w:pPr>
      <w:r w:rsidRPr="003D5D4C">
        <w:tab/>
        <w:t>(4)</w:t>
      </w:r>
      <w:r w:rsidRPr="003D5D4C">
        <w:tab/>
        <w:t xml:space="preserve">Despite subregulation (2), the </w:t>
      </w:r>
      <w:r w:rsidRPr="003D5D4C">
        <w:rPr>
          <w:b/>
          <w:i/>
        </w:rPr>
        <w:t>actual return</w:t>
      </w:r>
      <w:r w:rsidRPr="003D5D4C">
        <w:t xml:space="preserve">, for the </w:t>
      </w:r>
      <w:r w:rsidR="00D251D3" w:rsidRPr="003D5D4C">
        <w:t>Part 6</w:t>
      </w:r>
      <w:r w:rsidRPr="003D5D4C">
        <w:t>A product for the lookback period, is the amount calculated using the formula in subregulation (2), as modified in the way specified in</w:t>
      </w:r>
      <w:r w:rsidR="000C2075" w:rsidRPr="003D5D4C">
        <w:t xml:space="preserve"> the following determination</w:t>
      </w:r>
      <w:r w:rsidRPr="003D5D4C">
        <w:t>:</w:t>
      </w:r>
    </w:p>
    <w:p w14:paraId="02033552" w14:textId="77777777" w:rsidR="006D1489" w:rsidRPr="003D5D4C" w:rsidRDefault="006D1489" w:rsidP="006D1489">
      <w:pPr>
        <w:pStyle w:val="paragraph"/>
      </w:pPr>
      <w:r w:rsidRPr="003D5D4C">
        <w:tab/>
        <w:t>(a)</w:t>
      </w:r>
      <w:r w:rsidRPr="003D5D4C">
        <w:tab/>
        <w:t xml:space="preserve">if only </w:t>
      </w:r>
      <w:r w:rsidR="00FB3C31" w:rsidRPr="003D5D4C">
        <w:t>sub</w:t>
      </w:r>
      <w:r w:rsidR="00F75733" w:rsidRPr="003D5D4C">
        <w:t>paragraph (</w:t>
      </w:r>
      <w:r w:rsidRPr="003D5D4C">
        <w:t xml:space="preserve">3)(b)(i) applies—the determination mentioned in </w:t>
      </w:r>
      <w:r w:rsidR="000C2075" w:rsidRPr="003D5D4C">
        <w:t xml:space="preserve">that </w:t>
      </w:r>
      <w:r w:rsidRPr="003D5D4C">
        <w:t>subparagraph</w:t>
      </w:r>
      <w:r w:rsidR="000C2075" w:rsidRPr="003D5D4C">
        <w:t>;</w:t>
      </w:r>
    </w:p>
    <w:p w14:paraId="50213413" w14:textId="77777777" w:rsidR="0041715E" w:rsidRPr="003D5D4C" w:rsidRDefault="0041715E" w:rsidP="0041715E">
      <w:pPr>
        <w:pStyle w:val="paragraph"/>
      </w:pPr>
      <w:r w:rsidRPr="003D5D4C">
        <w:tab/>
        <w:t>(</w:t>
      </w:r>
      <w:r w:rsidR="006D1489" w:rsidRPr="003D5D4C">
        <w:t>b</w:t>
      </w:r>
      <w:r w:rsidRPr="003D5D4C">
        <w:t>)</w:t>
      </w:r>
      <w:r w:rsidRPr="003D5D4C">
        <w:tab/>
        <w:t xml:space="preserve">if </w:t>
      </w:r>
      <w:r w:rsidR="000C2075" w:rsidRPr="003D5D4C">
        <w:t xml:space="preserve">only </w:t>
      </w:r>
      <w:r w:rsidR="00FB3C31" w:rsidRPr="003D5D4C">
        <w:t>sub</w:t>
      </w:r>
      <w:r w:rsidR="00F75733" w:rsidRPr="003D5D4C">
        <w:t>paragraph (</w:t>
      </w:r>
      <w:r w:rsidRPr="003D5D4C">
        <w:t>3)(b)(ii) applies—the determination mentioned in that subparagraph;</w:t>
      </w:r>
    </w:p>
    <w:p w14:paraId="24D799F8" w14:textId="77777777" w:rsidR="006D1489" w:rsidRPr="003D5D4C" w:rsidRDefault="006D1489" w:rsidP="0041715E">
      <w:pPr>
        <w:pStyle w:val="paragraph"/>
      </w:pPr>
      <w:r w:rsidRPr="003D5D4C">
        <w:tab/>
        <w:t>(c)</w:t>
      </w:r>
      <w:r w:rsidRPr="003D5D4C">
        <w:tab/>
        <w:t>if both</w:t>
      </w:r>
      <w:r w:rsidR="000C2075" w:rsidRPr="003D5D4C">
        <w:t xml:space="preserve"> </w:t>
      </w:r>
      <w:r w:rsidR="0083156D" w:rsidRPr="003D5D4C">
        <w:t>sub</w:t>
      </w:r>
      <w:r w:rsidR="00F75733" w:rsidRPr="003D5D4C">
        <w:t>paragraphs (</w:t>
      </w:r>
      <w:r w:rsidR="000C2075" w:rsidRPr="003D5D4C">
        <w:t xml:space="preserve">3)(b)(i) and (ii) apply—the determination mentioned in </w:t>
      </w:r>
      <w:r w:rsidR="00FB3C31" w:rsidRPr="003D5D4C">
        <w:t>sub</w:t>
      </w:r>
      <w:r w:rsidR="00F75733" w:rsidRPr="003D5D4C">
        <w:t>paragraph (</w:t>
      </w:r>
      <w:r w:rsidR="000C2075" w:rsidRPr="003D5D4C">
        <w:t>3)(b)(i).</w:t>
      </w:r>
    </w:p>
    <w:p w14:paraId="7E3A7A22" w14:textId="77777777" w:rsidR="00941755" w:rsidRPr="003D5D4C" w:rsidRDefault="00941755" w:rsidP="00941755">
      <w:pPr>
        <w:pStyle w:val="subsection"/>
      </w:pPr>
      <w:r w:rsidRPr="003D5D4C">
        <w:tab/>
        <w:t>(4A)</w:t>
      </w:r>
      <w:r w:rsidRPr="003D5D4C">
        <w:tab/>
        <w:t xml:space="preserve">For the purposes of </w:t>
      </w:r>
      <w:r w:rsidR="00FB3C31" w:rsidRPr="003D5D4C">
        <w:t>sub</w:t>
      </w:r>
      <w:r w:rsidR="00F75733" w:rsidRPr="003D5D4C">
        <w:t>paragraph (</w:t>
      </w:r>
      <w:r w:rsidRPr="003D5D4C">
        <w:t>3)(b)</w:t>
      </w:r>
      <w:r w:rsidR="00691E6B" w:rsidRPr="003D5D4C">
        <w:t>(i)</w:t>
      </w:r>
      <w:r w:rsidRPr="003D5D4C">
        <w:t>, APRA may, by legislative instrument, make a determination that:</w:t>
      </w:r>
    </w:p>
    <w:p w14:paraId="246C6FA7" w14:textId="77777777" w:rsidR="00941755" w:rsidRPr="003D5D4C" w:rsidRDefault="00941755" w:rsidP="00941755">
      <w:pPr>
        <w:pStyle w:val="paragraph"/>
      </w:pPr>
      <w:r w:rsidRPr="003D5D4C">
        <w:tab/>
        <w:t>(a)</w:t>
      </w:r>
      <w:r w:rsidRPr="003D5D4C">
        <w:tab/>
        <w:t xml:space="preserve">specifies classes of </w:t>
      </w:r>
      <w:r w:rsidR="00D251D3" w:rsidRPr="003D5D4C">
        <w:t>Part 6</w:t>
      </w:r>
      <w:r w:rsidRPr="003D5D4C">
        <w:t>A products and quarters; and</w:t>
      </w:r>
    </w:p>
    <w:p w14:paraId="6F041289" w14:textId="77777777" w:rsidR="00941755" w:rsidRPr="003D5D4C" w:rsidRDefault="00941755" w:rsidP="00941755">
      <w:pPr>
        <w:pStyle w:val="paragraph"/>
      </w:pPr>
      <w:r w:rsidRPr="003D5D4C">
        <w:tab/>
        <w:t>(b)</w:t>
      </w:r>
      <w:r w:rsidRPr="003D5D4C">
        <w:tab/>
        <w:t xml:space="preserve">specifies modifications of the formula in subregulation (2) that APRA considers are reasonably necessary to reflect the circumstances mentioned in </w:t>
      </w:r>
      <w:r w:rsidR="00F75733" w:rsidRPr="003D5D4C">
        <w:t>paragraph (</w:t>
      </w:r>
      <w:r w:rsidRPr="003D5D4C">
        <w:t xml:space="preserve">3)(a) in respect of the </w:t>
      </w:r>
      <w:r w:rsidR="00691E6B" w:rsidRPr="003D5D4C">
        <w:t xml:space="preserve">specified </w:t>
      </w:r>
      <w:r w:rsidRPr="003D5D4C">
        <w:t xml:space="preserve">classes of </w:t>
      </w:r>
      <w:r w:rsidR="00D251D3" w:rsidRPr="003D5D4C">
        <w:t>Part 6</w:t>
      </w:r>
      <w:r w:rsidRPr="003D5D4C">
        <w:t>A products and quarters.</w:t>
      </w:r>
    </w:p>
    <w:p w14:paraId="0A480CCE" w14:textId="77777777" w:rsidR="0041715E" w:rsidRPr="003D5D4C" w:rsidRDefault="00F75733" w:rsidP="0041715E">
      <w:pPr>
        <w:pStyle w:val="ItemHead"/>
      </w:pPr>
      <w:r w:rsidRPr="003D5D4C">
        <w:t>39</w:t>
      </w:r>
      <w:r w:rsidR="0041715E" w:rsidRPr="003D5D4C">
        <w:t xml:space="preserve">  </w:t>
      </w:r>
      <w:r w:rsidRPr="003D5D4C">
        <w:t>Subregulation 9</w:t>
      </w:r>
      <w:r w:rsidR="0041715E" w:rsidRPr="003D5D4C">
        <w:t>AB.12(5)</w:t>
      </w:r>
    </w:p>
    <w:p w14:paraId="091FF835" w14:textId="77777777" w:rsidR="0041715E" w:rsidRPr="003D5D4C" w:rsidRDefault="0041715E" w:rsidP="0041715E">
      <w:pPr>
        <w:pStyle w:val="Item"/>
      </w:pPr>
      <w:r w:rsidRPr="003D5D4C">
        <w:t xml:space="preserve">Omit </w:t>
      </w:r>
      <w:r w:rsidR="001376B0" w:rsidRPr="003D5D4C">
        <w:t>“</w:t>
      </w:r>
      <w:r w:rsidR="00F75733" w:rsidRPr="003D5D4C">
        <w:t>paragraph (</w:t>
      </w:r>
      <w:r w:rsidRPr="003D5D4C">
        <w:t>3)(b)</w:t>
      </w:r>
      <w:r w:rsidR="001376B0" w:rsidRPr="003D5D4C">
        <w:t>”</w:t>
      </w:r>
      <w:r w:rsidRPr="003D5D4C">
        <w:t xml:space="preserve">, substitute </w:t>
      </w:r>
      <w:r w:rsidR="001376B0" w:rsidRPr="003D5D4C">
        <w:t>“</w:t>
      </w:r>
      <w:r w:rsidR="00FB3C31" w:rsidRPr="003D5D4C">
        <w:t>sub</w:t>
      </w:r>
      <w:r w:rsidR="00F75733" w:rsidRPr="003D5D4C">
        <w:t>paragraph (</w:t>
      </w:r>
      <w:r w:rsidRPr="003D5D4C">
        <w:t>3)(b)(ii)</w:t>
      </w:r>
      <w:r w:rsidR="001376B0" w:rsidRPr="003D5D4C">
        <w:t>”</w:t>
      </w:r>
      <w:r w:rsidRPr="003D5D4C">
        <w:t>.</w:t>
      </w:r>
    </w:p>
    <w:p w14:paraId="2A81B3AA" w14:textId="77777777" w:rsidR="0041715E" w:rsidRPr="003D5D4C" w:rsidRDefault="00F75733" w:rsidP="00B70565">
      <w:pPr>
        <w:pStyle w:val="ItemHead"/>
      </w:pPr>
      <w:r w:rsidRPr="003D5D4C">
        <w:t>40</w:t>
      </w:r>
      <w:r w:rsidR="0041715E" w:rsidRPr="003D5D4C">
        <w:t xml:space="preserve">  </w:t>
      </w:r>
      <w:r w:rsidR="00B70565" w:rsidRPr="003D5D4C">
        <w:t xml:space="preserve">At the end of </w:t>
      </w:r>
      <w:r w:rsidR="0083156D" w:rsidRPr="003D5D4C">
        <w:t>paragraph 9</w:t>
      </w:r>
      <w:r w:rsidR="00B70565" w:rsidRPr="003D5D4C">
        <w:t>AB.12(5)(b)</w:t>
      </w:r>
    </w:p>
    <w:p w14:paraId="4CD65341" w14:textId="77777777" w:rsidR="00B70565" w:rsidRPr="003D5D4C" w:rsidRDefault="00B70565" w:rsidP="00B70565">
      <w:pPr>
        <w:pStyle w:val="Item"/>
      </w:pPr>
      <w:r w:rsidRPr="003D5D4C">
        <w:t xml:space="preserve">Add </w:t>
      </w:r>
      <w:r w:rsidR="001376B0" w:rsidRPr="003D5D4C">
        <w:t>“</w:t>
      </w:r>
      <w:r w:rsidRPr="003D5D4C">
        <w:t xml:space="preserve">in respect of the specified </w:t>
      </w:r>
      <w:r w:rsidR="00D251D3" w:rsidRPr="003D5D4C">
        <w:t>Part 6</w:t>
      </w:r>
      <w:r w:rsidRPr="003D5D4C">
        <w:t>A product and quarters</w:t>
      </w:r>
      <w:r w:rsidR="001376B0" w:rsidRPr="003D5D4C">
        <w:t>”</w:t>
      </w:r>
      <w:r w:rsidRPr="003D5D4C">
        <w:t>.</w:t>
      </w:r>
    </w:p>
    <w:p w14:paraId="5544BDED" w14:textId="77777777" w:rsidR="00941755" w:rsidRPr="003D5D4C" w:rsidRDefault="00F75733" w:rsidP="00941755">
      <w:pPr>
        <w:pStyle w:val="ItemHead"/>
      </w:pPr>
      <w:r w:rsidRPr="003D5D4C">
        <w:t>41</w:t>
      </w:r>
      <w:r w:rsidR="00941755" w:rsidRPr="003D5D4C">
        <w:t xml:space="preserve">  </w:t>
      </w:r>
      <w:r w:rsidRPr="003D5D4C">
        <w:t>Subregulation 9</w:t>
      </w:r>
      <w:r w:rsidR="00941755" w:rsidRPr="003D5D4C">
        <w:t>AB.12(6)</w:t>
      </w:r>
    </w:p>
    <w:p w14:paraId="49371AB8" w14:textId="77777777" w:rsidR="00941755" w:rsidRPr="003D5D4C" w:rsidRDefault="00941755" w:rsidP="00941755">
      <w:pPr>
        <w:pStyle w:val="Item"/>
      </w:pPr>
      <w:r w:rsidRPr="003D5D4C">
        <w:t xml:space="preserve">Omit </w:t>
      </w:r>
      <w:r w:rsidR="001376B0" w:rsidRPr="003D5D4C">
        <w:t>“</w:t>
      </w:r>
      <w:r w:rsidRPr="003D5D4C">
        <w:t>the determination</w:t>
      </w:r>
      <w:r w:rsidR="001376B0" w:rsidRPr="003D5D4C">
        <w:t>”</w:t>
      </w:r>
      <w:r w:rsidRPr="003D5D4C">
        <w:t xml:space="preserve">, substitute </w:t>
      </w:r>
      <w:r w:rsidR="001376B0" w:rsidRPr="003D5D4C">
        <w:t>“</w:t>
      </w:r>
      <w:r w:rsidRPr="003D5D4C">
        <w:t>a determination under subregulation (5)</w:t>
      </w:r>
      <w:r w:rsidR="001376B0" w:rsidRPr="003D5D4C">
        <w:t>”</w:t>
      </w:r>
      <w:r w:rsidRPr="003D5D4C">
        <w:t>.</w:t>
      </w:r>
    </w:p>
    <w:p w14:paraId="6208D4B7" w14:textId="77777777" w:rsidR="00690D49" w:rsidRPr="003D5D4C" w:rsidRDefault="00F75733" w:rsidP="00690D49">
      <w:pPr>
        <w:pStyle w:val="ItemHead"/>
      </w:pPr>
      <w:r w:rsidRPr="003D5D4C">
        <w:t>42</w:t>
      </w:r>
      <w:r w:rsidR="00690D49" w:rsidRPr="003D5D4C">
        <w:t xml:space="preserve">  </w:t>
      </w:r>
      <w:r w:rsidRPr="003D5D4C">
        <w:t>Subregulation 9</w:t>
      </w:r>
      <w:r w:rsidR="00690D49" w:rsidRPr="003D5D4C">
        <w:t>AB.13(2)</w:t>
      </w:r>
    </w:p>
    <w:p w14:paraId="07D56273" w14:textId="77777777" w:rsidR="00690D49" w:rsidRPr="003D5D4C" w:rsidRDefault="00690D49" w:rsidP="00690D49">
      <w:pPr>
        <w:pStyle w:val="Item"/>
      </w:pPr>
      <w:r w:rsidRPr="003D5D4C">
        <w:t xml:space="preserve">Omit </w:t>
      </w:r>
      <w:r w:rsidR="001376B0" w:rsidRPr="003D5D4C">
        <w:t>“</w:t>
      </w:r>
      <w:r w:rsidRPr="003D5D4C">
        <w:t>rounded to 4 decimal places (rounding up if the fifth decimal place is 5 or more)</w:t>
      </w:r>
      <w:r w:rsidR="001376B0" w:rsidRPr="003D5D4C">
        <w:t>”</w:t>
      </w:r>
      <w:r w:rsidRPr="003D5D4C">
        <w:t xml:space="preserve">, substitute </w:t>
      </w:r>
      <w:r w:rsidR="001376B0" w:rsidRPr="003D5D4C">
        <w:t>“</w:t>
      </w:r>
      <w:r w:rsidRPr="003D5D4C">
        <w:t>rounded to 10 decimal places (rounding up if the eleventh decimal place is 5 or more)</w:t>
      </w:r>
      <w:r w:rsidR="001376B0" w:rsidRPr="003D5D4C">
        <w:t>”</w:t>
      </w:r>
      <w:r w:rsidRPr="003D5D4C">
        <w:t>.</w:t>
      </w:r>
    </w:p>
    <w:p w14:paraId="202E93D2" w14:textId="77777777" w:rsidR="00690D49" w:rsidRPr="003D5D4C" w:rsidRDefault="00F75733" w:rsidP="00690D49">
      <w:pPr>
        <w:pStyle w:val="ItemHead"/>
      </w:pPr>
      <w:r w:rsidRPr="003D5D4C">
        <w:t>43</w:t>
      </w:r>
      <w:r w:rsidR="00690D49" w:rsidRPr="003D5D4C">
        <w:t xml:space="preserve">  </w:t>
      </w:r>
      <w:r w:rsidRPr="003D5D4C">
        <w:t>Subregulation 9</w:t>
      </w:r>
      <w:r w:rsidR="00690D49" w:rsidRPr="003D5D4C">
        <w:t xml:space="preserve">AB.13(2) (definition of </w:t>
      </w:r>
      <w:r w:rsidR="00690D49" w:rsidRPr="003D5D4C">
        <w:rPr>
          <w:i/>
        </w:rPr>
        <w:t>index</w:t>
      </w:r>
      <w:r w:rsidR="00690D49" w:rsidRPr="003D5D4C">
        <w:t>)</w:t>
      </w:r>
    </w:p>
    <w:p w14:paraId="35E9A20D" w14:textId="77777777" w:rsidR="00B341FF" w:rsidRPr="003D5D4C" w:rsidRDefault="00B341FF" w:rsidP="00690D49">
      <w:pPr>
        <w:pStyle w:val="Item"/>
      </w:pPr>
      <w:r w:rsidRPr="003D5D4C">
        <w:t>Repeal the definition, substitute:</w:t>
      </w:r>
    </w:p>
    <w:p w14:paraId="5EFAA07E" w14:textId="77777777" w:rsidR="00B341FF" w:rsidRPr="003D5D4C" w:rsidRDefault="00B341FF" w:rsidP="00B341FF">
      <w:pPr>
        <w:pStyle w:val="Definition"/>
      </w:pPr>
      <w:r w:rsidRPr="003D5D4C">
        <w:rPr>
          <w:b/>
          <w:i/>
        </w:rPr>
        <w:t>index</w:t>
      </w:r>
      <w:r w:rsidRPr="003D5D4C">
        <w:t>, in relation to a covered asset class and a quarter, means the index of the covered asset class for the quarter.</w:t>
      </w:r>
    </w:p>
    <w:p w14:paraId="4FEBDE76" w14:textId="77777777" w:rsidR="0058150C" w:rsidRPr="003D5D4C" w:rsidRDefault="00F75733" w:rsidP="0058150C">
      <w:pPr>
        <w:pStyle w:val="ItemHead"/>
      </w:pPr>
      <w:r w:rsidRPr="003D5D4C">
        <w:t>44</w:t>
      </w:r>
      <w:r w:rsidR="0058150C" w:rsidRPr="003D5D4C">
        <w:t xml:space="preserve">  </w:t>
      </w:r>
      <w:r w:rsidRPr="003D5D4C">
        <w:t>Subregulation 9</w:t>
      </w:r>
      <w:r w:rsidR="0058150C" w:rsidRPr="003D5D4C">
        <w:t xml:space="preserve">AB.13(2) (definition of </w:t>
      </w:r>
      <w:r w:rsidR="0058150C" w:rsidRPr="003D5D4C">
        <w:rPr>
          <w:i/>
        </w:rPr>
        <w:t>SAA</w:t>
      </w:r>
      <w:r w:rsidR="0058150C" w:rsidRPr="003D5D4C">
        <w:t>)</w:t>
      </w:r>
    </w:p>
    <w:p w14:paraId="26C222CB" w14:textId="77777777" w:rsidR="0058150C" w:rsidRPr="003D5D4C" w:rsidRDefault="0058150C" w:rsidP="0058150C">
      <w:pPr>
        <w:pStyle w:val="Item"/>
      </w:pPr>
      <w:r w:rsidRPr="003D5D4C">
        <w:t>Repeal the definition, substitute:</w:t>
      </w:r>
    </w:p>
    <w:p w14:paraId="00BD9BFE" w14:textId="77777777" w:rsidR="0058150C" w:rsidRPr="003D5D4C" w:rsidRDefault="0058150C" w:rsidP="0058150C">
      <w:pPr>
        <w:pStyle w:val="Definition"/>
      </w:pPr>
      <w:r w:rsidRPr="003D5D4C">
        <w:rPr>
          <w:b/>
          <w:i/>
        </w:rPr>
        <w:lastRenderedPageBreak/>
        <w:t>SAA</w:t>
      </w:r>
      <w:r w:rsidRPr="003D5D4C">
        <w:t>, in relation to a covered asset class and a quarter,</w:t>
      </w:r>
      <w:r w:rsidRPr="003D5D4C">
        <w:rPr>
          <w:b/>
          <w:i/>
        </w:rPr>
        <w:t xml:space="preserve"> </w:t>
      </w:r>
      <w:r w:rsidRPr="003D5D4C">
        <w:t xml:space="preserve">means the </w:t>
      </w:r>
      <w:r w:rsidR="00D251D3" w:rsidRPr="003D5D4C">
        <w:t>Part 6</w:t>
      </w:r>
      <w:r w:rsidRPr="003D5D4C">
        <w:t>A product</w:t>
      </w:r>
      <w:r w:rsidR="001376B0" w:rsidRPr="003D5D4C">
        <w:t>’</w:t>
      </w:r>
      <w:r w:rsidRPr="003D5D4C">
        <w:t>s strategic asset allocation in relation to the quarter to the covered asset class for the quarter.</w:t>
      </w:r>
    </w:p>
    <w:p w14:paraId="05161560" w14:textId="77777777" w:rsidR="0058150C" w:rsidRPr="003D5D4C" w:rsidRDefault="00F75733" w:rsidP="0058150C">
      <w:pPr>
        <w:pStyle w:val="ItemHead"/>
      </w:pPr>
      <w:r w:rsidRPr="003D5D4C">
        <w:t>45</w:t>
      </w:r>
      <w:r w:rsidR="0058150C" w:rsidRPr="003D5D4C">
        <w:t xml:space="preserve">  </w:t>
      </w:r>
      <w:r w:rsidR="008217CF" w:rsidRPr="003D5D4C">
        <w:t>Sub</w:t>
      </w:r>
      <w:r w:rsidR="0095249F" w:rsidRPr="003D5D4C">
        <w:t>regulation</w:t>
      </w:r>
      <w:r w:rsidR="00A80E6D" w:rsidRPr="003D5D4C">
        <w:t>s</w:t>
      </w:r>
      <w:r w:rsidR="0095249F" w:rsidRPr="003D5D4C">
        <w:t> 9</w:t>
      </w:r>
      <w:r w:rsidR="0058150C" w:rsidRPr="003D5D4C">
        <w:t>AB.13(3)</w:t>
      </w:r>
      <w:r w:rsidR="00A80E6D" w:rsidRPr="003D5D4C">
        <w:t xml:space="preserve"> to (7)</w:t>
      </w:r>
    </w:p>
    <w:p w14:paraId="3B3EBCE6" w14:textId="77777777" w:rsidR="0058150C" w:rsidRPr="003D5D4C" w:rsidRDefault="0058150C" w:rsidP="0058150C">
      <w:pPr>
        <w:pStyle w:val="Item"/>
      </w:pPr>
      <w:r w:rsidRPr="003D5D4C">
        <w:t>Repeal the subregulation</w:t>
      </w:r>
      <w:r w:rsidR="00A80E6D" w:rsidRPr="003D5D4C">
        <w:t>s</w:t>
      </w:r>
      <w:r w:rsidR="00747C6E" w:rsidRPr="003D5D4C">
        <w:t>, substitute:</w:t>
      </w:r>
    </w:p>
    <w:p w14:paraId="70E18B4B" w14:textId="77777777" w:rsidR="004D4FA3" w:rsidRPr="003D5D4C" w:rsidRDefault="00342381" w:rsidP="004D4FA3">
      <w:pPr>
        <w:pStyle w:val="SubsectionHead"/>
      </w:pPr>
      <w:r w:rsidRPr="003D5D4C">
        <w:t xml:space="preserve">Standard </w:t>
      </w:r>
      <w:r w:rsidR="00D251D3" w:rsidRPr="003D5D4C">
        <w:t>Part 6</w:t>
      </w:r>
      <w:r w:rsidR="004D4FA3" w:rsidRPr="003D5D4C">
        <w:t>A products that report gross investment return net of fees</w:t>
      </w:r>
    </w:p>
    <w:p w14:paraId="17A99EA1" w14:textId="77777777" w:rsidR="004D4FA3" w:rsidRPr="003D5D4C" w:rsidRDefault="004D4FA3" w:rsidP="004D4FA3">
      <w:pPr>
        <w:pStyle w:val="subsection"/>
      </w:pPr>
      <w:r w:rsidRPr="003D5D4C">
        <w:tab/>
        <w:t>(3)</w:t>
      </w:r>
      <w:r w:rsidRPr="003D5D4C">
        <w:tab/>
        <w:t>Subregulation (4) appl</w:t>
      </w:r>
      <w:r w:rsidR="008558B7" w:rsidRPr="003D5D4C">
        <w:t>ies</w:t>
      </w:r>
      <w:r w:rsidRPr="003D5D4C">
        <w:t xml:space="preserve"> in relation to a </w:t>
      </w:r>
      <w:r w:rsidR="00D251D3" w:rsidRPr="003D5D4C">
        <w:t>Part 6</w:t>
      </w:r>
      <w:r w:rsidRPr="003D5D4C">
        <w:t>A product and a quarter if:</w:t>
      </w:r>
    </w:p>
    <w:p w14:paraId="61374CFE" w14:textId="77777777" w:rsidR="004D4FA3" w:rsidRPr="003D5D4C" w:rsidRDefault="004D4FA3" w:rsidP="004D4FA3">
      <w:pPr>
        <w:pStyle w:val="paragraph"/>
      </w:pPr>
      <w:r w:rsidRPr="003D5D4C">
        <w:tab/>
        <w:t>(a)</w:t>
      </w:r>
      <w:r w:rsidRPr="003D5D4C">
        <w:tab/>
        <w:t xml:space="preserve">it is </w:t>
      </w:r>
      <w:r w:rsidRPr="003D5D4C">
        <w:rPr>
          <w:i/>
        </w:rPr>
        <w:t>not</w:t>
      </w:r>
      <w:r w:rsidRPr="003D5D4C">
        <w:t xml:space="preserve"> possible to identify the </w:t>
      </w:r>
      <w:r w:rsidR="00D251D3" w:rsidRPr="003D5D4C">
        <w:t>Part 6</w:t>
      </w:r>
      <w:r w:rsidRPr="003D5D4C">
        <w:t>A product</w:t>
      </w:r>
      <w:r w:rsidR="001376B0" w:rsidRPr="003D5D4C">
        <w:t>’</w:t>
      </w:r>
      <w:r w:rsidRPr="003D5D4C">
        <w:t>s net investment return in relation to the quarter from information available to APRA; but</w:t>
      </w:r>
    </w:p>
    <w:p w14:paraId="2191A98E" w14:textId="77777777" w:rsidR="004D4FA3" w:rsidRPr="003D5D4C" w:rsidRDefault="004D4FA3" w:rsidP="004D4FA3">
      <w:pPr>
        <w:pStyle w:val="paragraph"/>
      </w:pPr>
      <w:r w:rsidRPr="003D5D4C">
        <w:tab/>
        <w:t>(b)</w:t>
      </w:r>
      <w:r w:rsidRPr="003D5D4C">
        <w:tab/>
        <w:t xml:space="preserve">it is possible to identify the </w:t>
      </w:r>
      <w:r w:rsidR="00D251D3" w:rsidRPr="003D5D4C">
        <w:t>Part 6</w:t>
      </w:r>
      <w:r w:rsidRPr="003D5D4C">
        <w:t>A product</w:t>
      </w:r>
      <w:r w:rsidR="001376B0" w:rsidRPr="003D5D4C">
        <w:t>’</w:t>
      </w:r>
      <w:r w:rsidRPr="003D5D4C">
        <w:t>s gross investment return net of fees in relation to the quarter from information available to APRA.</w:t>
      </w:r>
    </w:p>
    <w:p w14:paraId="6C227B09" w14:textId="77777777" w:rsidR="004D4FA3" w:rsidRPr="003D5D4C" w:rsidRDefault="004D4FA3" w:rsidP="004D4FA3">
      <w:pPr>
        <w:pStyle w:val="subsection"/>
      </w:pPr>
      <w:r w:rsidRPr="003D5D4C">
        <w:tab/>
        <w:t>(4)</w:t>
      </w:r>
      <w:r w:rsidRPr="003D5D4C">
        <w:tab/>
        <w:t>For the purposes of subregulation (2):</w:t>
      </w:r>
    </w:p>
    <w:p w14:paraId="01D6E8EE" w14:textId="77777777" w:rsidR="004D4FA3" w:rsidRPr="003D5D4C" w:rsidRDefault="004D4FA3" w:rsidP="004D4FA3">
      <w:pPr>
        <w:pStyle w:val="paragraph"/>
      </w:pPr>
      <w:r w:rsidRPr="003D5D4C">
        <w:tab/>
        <w:t>(a)</w:t>
      </w:r>
      <w:r w:rsidRPr="003D5D4C">
        <w:tab/>
        <w:t xml:space="preserve">treat </w:t>
      </w:r>
      <w:r w:rsidRPr="003D5D4C">
        <w:rPr>
          <w:b/>
          <w:i/>
        </w:rPr>
        <w:t>ART</w:t>
      </w:r>
      <w:r w:rsidRPr="003D5D4C">
        <w:t>, in relation to a covered asset class and the quarter, as being zero;</w:t>
      </w:r>
      <w:r w:rsidR="008558B7" w:rsidRPr="003D5D4C">
        <w:t xml:space="preserve"> and</w:t>
      </w:r>
    </w:p>
    <w:p w14:paraId="2CB2B23A" w14:textId="77777777" w:rsidR="004D4FA3" w:rsidRPr="003D5D4C" w:rsidRDefault="004D4FA3" w:rsidP="004D4FA3">
      <w:pPr>
        <w:pStyle w:val="paragraph"/>
      </w:pPr>
      <w:r w:rsidRPr="003D5D4C">
        <w:tab/>
        <w:t>(b)</w:t>
      </w:r>
      <w:r w:rsidRPr="003D5D4C">
        <w:tab/>
      </w:r>
      <w:r w:rsidR="00B07D72" w:rsidRPr="003D5D4C">
        <w:t>in</w:t>
      </w:r>
      <w:r w:rsidRPr="003D5D4C">
        <w:t xml:space="preserve"> </w:t>
      </w:r>
      <w:r w:rsidR="008558B7" w:rsidRPr="003D5D4C">
        <w:t xml:space="preserve">working out </w:t>
      </w:r>
      <w:r w:rsidR="008558B7" w:rsidRPr="003D5D4C">
        <w:rPr>
          <w:b/>
          <w:i/>
        </w:rPr>
        <w:t>index</w:t>
      </w:r>
      <w:r w:rsidR="008558B7" w:rsidRPr="003D5D4C">
        <w:t xml:space="preserve"> </w:t>
      </w:r>
      <w:r w:rsidRPr="003D5D4C">
        <w:t xml:space="preserve">in relation to a covered asset class identified in </w:t>
      </w:r>
      <w:r w:rsidR="00FB3C31" w:rsidRPr="003D5D4C">
        <w:t>item 2</w:t>
      </w:r>
      <w:r w:rsidRPr="003D5D4C">
        <w:t xml:space="preserve">4, 25 or 26 of the table in </w:t>
      </w:r>
      <w:r w:rsidR="00F75733" w:rsidRPr="003D5D4C">
        <w:t>regulation 9</w:t>
      </w:r>
      <w:r w:rsidRPr="003D5D4C">
        <w:t>AB.17 and the quarter</w:t>
      </w:r>
      <w:r w:rsidR="008558B7" w:rsidRPr="003D5D4C">
        <w:t xml:space="preserve"> by applying </w:t>
      </w:r>
      <w:r w:rsidR="00F75733" w:rsidRPr="003D5D4C">
        <w:t>subregulation 9</w:t>
      </w:r>
      <w:r w:rsidR="008558B7" w:rsidRPr="003D5D4C">
        <w:t>AB.5A(7)</w:t>
      </w:r>
      <w:r w:rsidRPr="003D5D4C">
        <w:t xml:space="preserve">, </w:t>
      </w:r>
      <w:r w:rsidR="008558B7" w:rsidRPr="003D5D4C">
        <w:t xml:space="preserve">treat </w:t>
      </w:r>
      <w:r w:rsidR="008558B7" w:rsidRPr="003D5D4C">
        <w:rPr>
          <w:b/>
          <w:i/>
        </w:rPr>
        <w:t>ART</w:t>
      </w:r>
      <w:r w:rsidR="008558B7" w:rsidRPr="003D5D4C">
        <w:t xml:space="preserve"> in that subregulation as being zero.</w:t>
      </w:r>
    </w:p>
    <w:p w14:paraId="5E6C24A7" w14:textId="77777777" w:rsidR="00C736A6" w:rsidRPr="003D5D4C" w:rsidRDefault="00C736A6" w:rsidP="00C736A6">
      <w:pPr>
        <w:pStyle w:val="SubsectionHead"/>
      </w:pPr>
      <w:r w:rsidRPr="003D5D4C">
        <w:t>Trustee</w:t>
      </w:r>
      <w:r w:rsidR="00A70ACD" w:rsidRPr="003D5D4C">
        <w:noBreakHyphen/>
      </w:r>
      <w:r w:rsidRPr="003D5D4C">
        <w:t>directed products</w:t>
      </w:r>
    </w:p>
    <w:p w14:paraId="75C6F361" w14:textId="77777777" w:rsidR="00C736A6" w:rsidRPr="003D5D4C" w:rsidRDefault="00C736A6" w:rsidP="00C736A6">
      <w:pPr>
        <w:pStyle w:val="subsection"/>
      </w:pPr>
      <w:r w:rsidRPr="003D5D4C">
        <w:tab/>
        <w:t>(5)</w:t>
      </w:r>
      <w:r w:rsidRPr="003D5D4C">
        <w:tab/>
        <w:t xml:space="preserve">Subregulation (6) applies in relation to a </w:t>
      </w:r>
      <w:r w:rsidR="00D251D3" w:rsidRPr="003D5D4C">
        <w:t>Part 6</w:t>
      </w:r>
      <w:r w:rsidRPr="003D5D4C">
        <w:t>A product and a quarter if:</w:t>
      </w:r>
    </w:p>
    <w:p w14:paraId="6C73D2D6" w14:textId="77777777" w:rsidR="00C736A6" w:rsidRPr="003D5D4C" w:rsidRDefault="00C736A6" w:rsidP="00C736A6">
      <w:pPr>
        <w:pStyle w:val="paragraph"/>
      </w:pPr>
      <w:r w:rsidRPr="003D5D4C">
        <w:tab/>
        <w:t>(a)</w:t>
      </w:r>
      <w:r w:rsidRPr="003D5D4C">
        <w:tab/>
        <w:t xml:space="preserve">the </w:t>
      </w:r>
      <w:r w:rsidR="00D251D3" w:rsidRPr="003D5D4C">
        <w:t>Part 6</w:t>
      </w:r>
      <w:r w:rsidRPr="003D5D4C">
        <w:t>A product is a trustee</w:t>
      </w:r>
      <w:r w:rsidR="00A70ACD" w:rsidRPr="003D5D4C">
        <w:noBreakHyphen/>
      </w:r>
      <w:r w:rsidRPr="003D5D4C">
        <w:t>directed product; and</w:t>
      </w:r>
    </w:p>
    <w:p w14:paraId="326C4CA9" w14:textId="77777777" w:rsidR="00C736A6" w:rsidRPr="003D5D4C" w:rsidRDefault="00C736A6" w:rsidP="00C736A6">
      <w:pPr>
        <w:pStyle w:val="paragraph"/>
      </w:pPr>
      <w:r w:rsidRPr="003D5D4C">
        <w:tab/>
        <w:t>(b)</w:t>
      </w:r>
      <w:r w:rsidRPr="003D5D4C">
        <w:tab/>
      </w:r>
      <w:r w:rsidR="00845121" w:rsidRPr="003D5D4C">
        <w:t>at the end of</w:t>
      </w:r>
      <w:r w:rsidR="00D65676" w:rsidRPr="003D5D4C">
        <w:t xml:space="preserve"> the quarter, there are no member assets supporting the </w:t>
      </w:r>
      <w:r w:rsidR="00D251D3" w:rsidRPr="003D5D4C">
        <w:t>Part 6</w:t>
      </w:r>
      <w:r w:rsidR="00D65676" w:rsidRPr="003D5D4C">
        <w:t xml:space="preserve">A product that are referable to any of the investment pathways of the </w:t>
      </w:r>
      <w:r w:rsidR="00D251D3" w:rsidRPr="003D5D4C">
        <w:t>Part 6</w:t>
      </w:r>
      <w:r w:rsidR="00D65676" w:rsidRPr="003D5D4C">
        <w:t>A product.</w:t>
      </w:r>
    </w:p>
    <w:p w14:paraId="7FC5BF0A" w14:textId="77777777" w:rsidR="00C736A6" w:rsidRPr="003D5D4C" w:rsidRDefault="00D65676" w:rsidP="00C736A6">
      <w:pPr>
        <w:pStyle w:val="subsection"/>
      </w:pPr>
      <w:r w:rsidRPr="003D5D4C">
        <w:tab/>
        <w:t>(6)</w:t>
      </w:r>
      <w:r w:rsidRPr="003D5D4C">
        <w:tab/>
        <w:t xml:space="preserve">For the purposes of subregulation (2), treat </w:t>
      </w:r>
      <w:r w:rsidR="00F67E37" w:rsidRPr="003D5D4C">
        <w:rPr>
          <w:b/>
          <w:i/>
        </w:rPr>
        <w:t xml:space="preserve">fee </w:t>
      </w:r>
      <w:r w:rsidR="00F67E37" w:rsidRPr="003D5D4C">
        <w:t>and</w:t>
      </w:r>
      <w:r w:rsidR="00F67E37" w:rsidRPr="003D5D4C">
        <w:rPr>
          <w:b/>
          <w:i/>
        </w:rPr>
        <w:t xml:space="preserve"> index</w:t>
      </w:r>
      <w:r w:rsidRPr="003D5D4C">
        <w:t xml:space="preserve">, in relation to all covered asset classes and the quarter, as being </w:t>
      </w:r>
      <w:r w:rsidR="00F67E37" w:rsidRPr="003D5D4C">
        <w:t>zero</w:t>
      </w:r>
      <w:r w:rsidRPr="003D5D4C">
        <w:t>.</w:t>
      </w:r>
    </w:p>
    <w:p w14:paraId="603EE60E" w14:textId="77777777" w:rsidR="00690D49" w:rsidRPr="003D5D4C" w:rsidRDefault="00F75733" w:rsidP="00690D49">
      <w:pPr>
        <w:pStyle w:val="ItemHead"/>
      </w:pPr>
      <w:r w:rsidRPr="003D5D4C">
        <w:t>46</w:t>
      </w:r>
      <w:r w:rsidR="00690D49" w:rsidRPr="003D5D4C">
        <w:t xml:space="preserve">  </w:t>
      </w:r>
      <w:r w:rsidRPr="003D5D4C">
        <w:t>Subregulation 9</w:t>
      </w:r>
      <w:r w:rsidR="00690D49" w:rsidRPr="003D5D4C">
        <w:t>AB.14(2)</w:t>
      </w:r>
    </w:p>
    <w:p w14:paraId="680C9800" w14:textId="77777777" w:rsidR="00690D49" w:rsidRPr="003D5D4C" w:rsidRDefault="00690D49" w:rsidP="00690D49">
      <w:pPr>
        <w:pStyle w:val="Item"/>
      </w:pPr>
      <w:r w:rsidRPr="003D5D4C">
        <w:t xml:space="preserve">Omit </w:t>
      </w:r>
      <w:r w:rsidR="001376B0" w:rsidRPr="003D5D4C">
        <w:t>“</w:t>
      </w:r>
      <w:r w:rsidRPr="003D5D4C">
        <w:t>rounded to 4 decimal places (rounding up if the fifth decimal place is 5 or more)</w:t>
      </w:r>
      <w:r w:rsidR="001376B0" w:rsidRPr="003D5D4C">
        <w:t>”</w:t>
      </w:r>
      <w:r w:rsidRPr="003D5D4C">
        <w:t xml:space="preserve">, substitute </w:t>
      </w:r>
      <w:r w:rsidR="001376B0" w:rsidRPr="003D5D4C">
        <w:t>“</w:t>
      </w:r>
      <w:r w:rsidRPr="003D5D4C">
        <w:t>rounded to 10 decimal places (rounding up if the eleventh decimal place is 5 or more)</w:t>
      </w:r>
      <w:r w:rsidR="001376B0" w:rsidRPr="003D5D4C">
        <w:t>”</w:t>
      </w:r>
      <w:r w:rsidRPr="003D5D4C">
        <w:t>.</w:t>
      </w:r>
    </w:p>
    <w:p w14:paraId="46302DF0" w14:textId="77777777" w:rsidR="00690D49" w:rsidRPr="003D5D4C" w:rsidRDefault="00F75733" w:rsidP="00690D49">
      <w:pPr>
        <w:pStyle w:val="ItemHead"/>
      </w:pPr>
      <w:r w:rsidRPr="003D5D4C">
        <w:t>47</w:t>
      </w:r>
      <w:r w:rsidR="00690D49" w:rsidRPr="003D5D4C">
        <w:t xml:space="preserve">  </w:t>
      </w:r>
      <w:r w:rsidRPr="003D5D4C">
        <w:t>Subregulation 9</w:t>
      </w:r>
      <w:r w:rsidR="00690D49" w:rsidRPr="003D5D4C">
        <w:t xml:space="preserve">AB.14(2) (definition of </w:t>
      </w:r>
      <w:r w:rsidR="00690D49" w:rsidRPr="003D5D4C">
        <w:rPr>
          <w:i/>
        </w:rPr>
        <w:t>index</w:t>
      </w:r>
      <w:r w:rsidR="00690D49" w:rsidRPr="003D5D4C">
        <w:t>)</w:t>
      </w:r>
    </w:p>
    <w:p w14:paraId="415F2648" w14:textId="77777777" w:rsidR="00A80E6D" w:rsidRPr="003D5D4C" w:rsidRDefault="00A80E6D" w:rsidP="00690D49">
      <w:pPr>
        <w:pStyle w:val="Item"/>
      </w:pPr>
      <w:r w:rsidRPr="003D5D4C">
        <w:t>Repeal the definition, substitute:</w:t>
      </w:r>
    </w:p>
    <w:p w14:paraId="7A4C66AE" w14:textId="77777777" w:rsidR="00A80E6D" w:rsidRPr="003D5D4C" w:rsidRDefault="00A80E6D" w:rsidP="00A80E6D">
      <w:pPr>
        <w:pStyle w:val="Definition"/>
      </w:pPr>
      <w:r w:rsidRPr="003D5D4C">
        <w:rPr>
          <w:b/>
          <w:i/>
        </w:rPr>
        <w:t>index</w:t>
      </w:r>
      <w:r w:rsidRPr="003D5D4C">
        <w:t>, in relation to a covered asset class and a quarter, means the index of the covered asset class for the quarter.</w:t>
      </w:r>
    </w:p>
    <w:p w14:paraId="600C08D6" w14:textId="77777777" w:rsidR="00F11D28" w:rsidRPr="003D5D4C" w:rsidRDefault="00F75733" w:rsidP="00F11D28">
      <w:pPr>
        <w:pStyle w:val="ItemHead"/>
      </w:pPr>
      <w:r w:rsidRPr="003D5D4C">
        <w:t>48</w:t>
      </w:r>
      <w:r w:rsidR="00F11D28" w:rsidRPr="003D5D4C">
        <w:t xml:space="preserve">  </w:t>
      </w:r>
      <w:r w:rsidRPr="003D5D4C">
        <w:t>Subregulation 9</w:t>
      </w:r>
      <w:r w:rsidR="00F11D28" w:rsidRPr="003D5D4C">
        <w:t xml:space="preserve">AB.14(2) (definition of </w:t>
      </w:r>
      <w:r w:rsidR="00F11D28" w:rsidRPr="003D5D4C">
        <w:rPr>
          <w:i/>
        </w:rPr>
        <w:t>SAA</w:t>
      </w:r>
      <w:r w:rsidR="00F11D28" w:rsidRPr="003D5D4C">
        <w:t>)</w:t>
      </w:r>
    </w:p>
    <w:p w14:paraId="48BBDBAC" w14:textId="77777777" w:rsidR="00F11D28" w:rsidRPr="003D5D4C" w:rsidRDefault="00F11D28" w:rsidP="00F11D28">
      <w:pPr>
        <w:pStyle w:val="Item"/>
      </w:pPr>
      <w:r w:rsidRPr="003D5D4C">
        <w:t>Repeal the definition, substitute:</w:t>
      </w:r>
    </w:p>
    <w:p w14:paraId="69E73ED5" w14:textId="77777777" w:rsidR="00F11D28" w:rsidRPr="003D5D4C" w:rsidRDefault="00F11D28" w:rsidP="00F11D28">
      <w:pPr>
        <w:pStyle w:val="Definition"/>
      </w:pPr>
      <w:r w:rsidRPr="003D5D4C">
        <w:rPr>
          <w:b/>
          <w:i/>
        </w:rPr>
        <w:t>SAA</w:t>
      </w:r>
      <w:r w:rsidRPr="003D5D4C">
        <w:t xml:space="preserve">, in relation to a covered asset class, a lifestage and a quarter, means the </w:t>
      </w:r>
      <w:r w:rsidR="00D251D3" w:rsidRPr="003D5D4C">
        <w:t>Part 6</w:t>
      </w:r>
      <w:r w:rsidRPr="003D5D4C">
        <w:t>A product</w:t>
      </w:r>
      <w:r w:rsidR="001376B0" w:rsidRPr="003D5D4C">
        <w:t>’</w:t>
      </w:r>
      <w:r w:rsidRPr="003D5D4C">
        <w:t>s strategic asset allocation in relation to the lifestage and the quarter to the covered asset class for the quarter.</w:t>
      </w:r>
    </w:p>
    <w:p w14:paraId="67625A0D" w14:textId="77777777" w:rsidR="00F11D28" w:rsidRPr="003D5D4C" w:rsidRDefault="00F75733" w:rsidP="00F11D28">
      <w:pPr>
        <w:pStyle w:val="ItemHead"/>
      </w:pPr>
      <w:r w:rsidRPr="003D5D4C">
        <w:lastRenderedPageBreak/>
        <w:t>49</w:t>
      </w:r>
      <w:r w:rsidR="00F11D28" w:rsidRPr="003D5D4C">
        <w:t xml:space="preserve">  </w:t>
      </w:r>
      <w:r w:rsidR="008217CF" w:rsidRPr="003D5D4C">
        <w:t>Sub</w:t>
      </w:r>
      <w:r w:rsidR="0095249F" w:rsidRPr="003D5D4C">
        <w:t>regulation</w:t>
      </w:r>
      <w:r w:rsidR="00A80E6D" w:rsidRPr="003D5D4C">
        <w:t>s</w:t>
      </w:r>
      <w:r w:rsidR="0095249F" w:rsidRPr="003D5D4C">
        <w:t> 9</w:t>
      </w:r>
      <w:r w:rsidR="00F11D28" w:rsidRPr="003D5D4C">
        <w:t>AB.14(3)</w:t>
      </w:r>
      <w:r w:rsidR="00A80E6D" w:rsidRPr="003D5D4C">
        <w:t xml:space="preserve"> to (7)</w:t>
      </w:r>
    </w:p>
    <w:p w14:paraId="43259B69" w14:textId="77777777" w:rsidR="00F11D28" w:rsidRPr="003D5D4C" w:rsidRDefault="00F11D28" w:rsidP="00F11D28">
      <w:pPr>
        <w:pStyle w:val="Item"/>
      </w:pPr>
      <w:r w:rsidRPr="003D5D4C">
        <w:t>Repeal the subregulation</w:t>
      </w:r>
      <w:r w:rsidR="00A80E6D" w:rsidRPr="003D5D4C">
        <w:t>s</w:t>
      </w:r>
      <w:r w:rsidR="008558B7" w:rsidRPr="003D5D4C">
        <w:t>, substitute:</w:t>
      </w:r>
    </w:p>
    <w:p w14:paraId="14C7DA32" w14:textId="77777777" w:rsidR="008558B7" w:rsidRPr="003D5D4C" w:rsidRDefault="008558B7" w:rsidP="008558B7">
      <w:pPr>
        <w:pStyle w:val="SubsectionHead"/>
      </w:pPr>
      <w:r w:rsidRPr="003D5D4C">
        <w:t>Life</w:t>
      </w:r>
      <w:r w:rsidR="00342381" w:rsidRPr="003D5D4C">
        <w:t>cycle</w:t>
      </w:r>
      <w:r w:rsidRPr="003D5D4C">
        <w:t xml:space="preserve"> </w:t>
      </w:r>
      <w:r w:rsidR="00D251D3" w:rsidRPr="003D5D4C">
        <w:t>Part 6</w:t>
      </w:r>
      <w:r w:rsidRPr="003D5D4C">
        <w:t>A products that report gross investment return net of fees</w:t>
      </w:r>
    </w:p>
    <w:p w14:paraId="520A7BD7" w14:textId="77777777" w:rsidR="008558B7" w:rsidRPr="003D5D4C" w:rsidRDefault="008558B7" w:rsidP="008558B7">
      <w:pPr>
        <w:pStyle w:val="subsection"/>
      </w:pPr>
      <w:r w:rsidRPr="003D5D4C">
        <w:tab/>
        <w:t>(3)</w:t>
      </w:r>
      <w:r w:rsidRPr="003D5D4C">
        <w:tab/>
        <w:t>Subregulation (4) appl</w:t>
      </w:r>
      <w:r w:rsidR="00FA3F94" w:rsidRPr="003D5D4C">
        <w:t>ies</w:t>
      </w:r>
      <w:r w:rsidRPr="003D5D4C">
        <w:t xml:space="preserve"> in relation to a lifestage and a quarter if:</w:t>
      </w:r>
    </w:p>
    <w:p w14:paraId="773DD27A" w14:textId="77777777" w:rsidR="008558B7" w:rsidRPr="003D5D4C" w:rsidRDefault="008558B7" w:rsidP="008558B7">
      <w:pPr>
        <w:pStyle w:val="paragraph"/>
      </w:pPr>
      <w:r w:rsidRPr="003D5D4C">
        <w:tab/>
        <w:t>(a)</w:t>
      </w:r>
      <w:r w:rsidRPr="003D5D4C">
        <w:tab/>
        <w:t xml:space="preserve">it is </w:t>
      </w:r>
      <w:r w:rsidRPr="003D5D4C">
        <w:rPr>
          <w:i/>
        </w:rPr>
        <w:t>not</w:t>
      </w:r>
      <w:r w:rsidRPr="003D5D4C">
        <w:t xml:space="preserve"> possible to identify the </w:t>
      </w:r>
      <w:r w:rsidR="00D251D3" w:rsidRPr="003D5D4C">
        <w:t>Part 6</w:t>
      </w:r>
      <w:r w:rsidRPr="003D5D4C">
        <w:t>A product</w:t>
      </w:r>
      <w:r w:rsidR="001376B0" w:rsidRPr="003D5D4C">
        <w:t>’</w:t>
      </w:r>
      <w:r w:rsidRPr="003D5D4C">
        <w:t>s net investment return in relation to the lifestage and the quarter from information available to APRA; but</w:t>
      </w:r>
    </w:p>
    <w:p w14:paraId="19C07754" w14:textId="77777777" w:rsidR="008558B7" w:rsidRPr="003D5D4C" w:rsidRDefault="008558B7" w:rsidP="008558B7">
      <w:pPr>
        <w:pStyle w:val="paragraph"/>
      </w:pPr>
      <w:r w:rsidRPr="003D5D4C">
        <w:tab/>
        <w:t>(b)</w:t>
      </w:r>
      <w:r w:rsidRPr="003D5D4C">
        <w:tab/>
        <w:t xml:space="preserve">it is possible to identify the </w:t>
      </w:r>
      <w:r w:rsidR="00D251D3" w:rsidRPr="003D5D4C">
        <w:t>Part 6</w:t>
      </w:r>
      <w:r w:rsidRPr="003D5D4C">
        <w:t>A product</w:t>
      </w:r>
      <w:r w:rsidR="001376B0" w:rsidRPr="003D5D4C">
        <w:t>’</w:t>
      </w:r>
      <w:r w:rsidRPr="003D5D4C">
        <w:t>s gross investment return net of fees in relation to the lifestage and the quarter from information available to APRA.</w:t>
      </w:r>
    </w:p>
    <w:p w14:paraId="07AE7F4D" w14:textId="77777777" w:rsidR="008558B7" w:rsidRPr="003D5D4C" w:rsidRDefault="008558B7" w:rsidP="008558B7">
      <w:pPr>
        <w:pStyle w:val="subsection"/>
      </w:pPr>
      <w:r w:rsidRPr="003D5D4C">
        <w:tab/>
        <w:t>(4)</w:t>
      </w:r>
      <w:r w:rsidRPr="003D5D4C">
        <w:tab/>
        <w:t>For the purposes of subregulation (2):</w:t>
      </w:r>
    </w:p>
    <w:p w14:paraId="4C565FC6" w14:textId="77777777" w:rsidR="008558B7" w:rsidRPr="003D5D4C" w:rsidRDefault="008558B7" w:rsidP="008558B7">
      <w:pPr>
        <w:pStyle w:val="paragraph"/>
      </w:pPr>
      <w:r w:rsidRPr="003D5D4C">
        <w:tab/>
        <w:t>(a)</w:t>
      </w:r>
      <w:r w:rsidRPr="003D5D4C">
        <w:tab/>
        <w:t xml:space="preserve">treat </w:t>
      </w:r>
      <w:r w:rsidRPr="003D5D4C">
        <w:rPr>
          <w:b/>
          <w:i/>
        </w:rPr>
        <w:t>ART</w:t>
      </w:r>
      <w:r w:rsidRPr="003D5D4C">
        <w:t>, in relation to a covered asset class and the quarter, as being zero; and</w:t>
      </w:r>
    </w:p>
    <w:p w14:paraId="28A50E9D" w14:textId="77777777" w:rsidR="008558B7" w:rsidRPr="003D5D4C" w:rsidRDefault="008558B7" w:rsidP="008558B7">
      <w:pPr>
        <w:pStyle w:val="paragraph"/>
      </w:pPr>
      <w:r w:rsidRPr="003D5D4C">
        <w:tab/>
        <w:t>(b)</w:t>
      </w:r>
      <w:r w:rsidRPr="003D5D4C">
        <w:tab/>
      </w:r>
      <w:r w:rsidR="00B07D72" w:rsidRPr="003D5D4C">
        <w:t>in</w:t>
      </w:r>
      <w:r w:rsidRPr="003D5D4C">
        <w:t xml:space="preserve"> working out </w:t>
      </w:r>
      <w:r w:rsidRPr="003D5D4C">
        <w:rPr>
          <w:b/>
          <w:i/>
        </w:rPr>
        <w:t>index</w:t>
      </w:r>
      <w:r w:rsidRPr="003D5D4C">
        <w:t xml:space="preserve"> in relation to a covered asset class identified in </w:t>
      </w:r>
      <w:r w:rsidR="00FB3C31" w:rsidRPr="003D5D4C">
        <w:t>item 2</w:t>
      </w:r>
      <w:r w:rsidRPr="003D5D4C">
        <w:t xml:space="preserve">4, 25 or 26 of the table in </w:t>
      </w:r>
      <w:r w:rsidR="00F75733" w:rsidRPr="003D5D4C">
        <w:t>regulation 9</w:t>
      </w:r>
      <w:r w:rsidRPr="003D5D4C">
        <w:t xml:space="preserve">AB.17 and the quarter by applying </w:t>
      </w:r>
      <w:r w:rsidR="00F75733" w:rsidRPr="003D5D4C">
        <w:t>subregulation 9</w:t>
      </w:r>
      <w:r w:rsidRPr="003D5D4C">
        <w:t xml:space="preserve">AB.5A(7), treat </w:t>
      </w:r>
      <w:r w:rsidRPr="003D5D4C">
        <w:rPr>
          <w:b/>
          <w:i/>
        </w:rPr>
        <w:t>ART</w:t>
      </w:r>
      <w:r w:rsidRPr="003D5D4C">
        <w:t xml:space="preserve"> in that subregulation as being zero.</w:t>
      </w:r>
    </w:p>
    <w:p w14:paraId="5F2E7526" w14:textId="77777777" w:rsidR="00F11D28" w:rsidRPr="003D5D4C" w:rsidRDefault="00F75733" w:rsidP="00F11D28">
      <w:pPr>
        <w:pStyle w:val="ItemHead"/>
      </w:pPr>
      <w:r w:rsidRPr="003D5D4C">
        <w:t>50</w:t>
      </w:r>
      <w:r w:rsidR="00F11D28" w:rsidRPr="003D5D4C">
        <w:t xml:space="preserve">  </w:t>
      </w:r>
      <w:r w:rsidR="008217CF" w:rsidRPr="003D5D4C">
        <w:t>Paragraph 9</w:t>
      </w:r>
      <w:r w:rsidR="00F11D28" w:rsidRPr="003D5D4C">
        <w:t>AB.14(8)(b)</w:t>
      </w:r>
    </w:p>
    <w:p w14:paraId="14512406" w14:textId="77777777" w:rsidR="00F11D28" w:rsidRPr="003D5D4C" w:rsidRDefault="00F11D28" w:rsidP="00F11D28">
      <w:pPr>
        <w:pStyle w:val="Item"/>
      </w:pPr>
      <w:r w:rsidRPr="003D5D4C">
        <w:t>Repeal the paragraph, substitute:</w:t>
      </w:r>
    </w:p>
    <w:p w14:paraId="07DFBF44" w14:textId="77777777" w:rsidR="00B70565" w:rsidRPr="003D5D4C" w:rsidRDefault="00B70565" w:rsidP="00B70565">
      <w:pPr>
        <w:pStyle w:val="paragraph"/>
      </w:pPr>
      <w:r w:rsidRPr="003D5D4C">
        <w:tab/>
        <w:t>(b)</w:t>
      </w:r>
      <w:r w:rsidRPr="003D5D4C">
        <w:tab/>
      </w:r>
      <w:r w:rsidR="00A644AB" w:rsidRPr="003D5D4C">
        <w:t>either or both of the following apply</w:t>
      </w:r>
      <w:r w:rsidRPr="003D5D4C">
        <w:t>:</w:t>
      </w:r>
    </w:p>
    <w:p w14:paraId="2DB95950" w14:textId="77777777" w:rsidR="00B70565" w:rsidRPr="003D5D4C" w:rsidRDefault="00B70565" w:rsidP="00B70565">
      <w:pPr>
        <w:pStyle w:val="paragraphsub"/>
      </w:pPr>
      <w:r w:rsidRPr="003D5D4C">
        <w:tab/>
        <w:t>(i)</w:t>
      </w:r>
      <w:r w:rsidRPr="003D5D4C">
        <w:tab/>
      </w:r>
      <w:r w:rsidR="00A644AB" w:rsidRPr="003D5D4C">
        <w:t xml:space="preserve">the </w:t>
      </w:r>
      <w:r w:rsidR="00D251D3" w:rsidRPr="003D5D4C">
        <w:t>Part 6</w:t>
      </w:r>
      <w:r w:rsidR="00A644AB" w:rsidRPr="003D5D4C">
        <w:t xml:space="preserve">A product and the quarters are </w:t>
      </w:r>
      <w:r w:rsidRPr="003D5D4C">
        <w:t xml:space="preserve">in a class of </w:t>
      </w:r>
      <w:r w:rsidR="00D251D3" w:rsidRPr="003D5D4C">
        <w:t>Part 6</w:t>
      </w:r>
      <w:r w:rsidRPr="003D5D4C">
        <w:t>A products and quarters specified in a determination under subregulation (9A);</w:t>
      </w:r>
    </w:p>
    <w:p w14:paraId="3AA42216" w14:textId="77777777" w:rsidR="00B70565" w:rsidRPr="003D5D4C" w:rsidRDefault="00B70565" w:rsidP="00B70565">
      <w:pPr>
        <w:pStyle w:val="paragraphsub"/>
      </w:pPr>
      <w:r w:rsidRPr="003D5D4C">
        <w:tab/>
        <w:t>(ii)</w:t>
      </w:r>
      <w:r w:rsidRPr="003D5D4C">
        <w:tab/>
      </w:r>
      <w:r w:rsidR="00A644AB" w:rsidRPr="003D5D4C">
        <w:t xml:space="preserve">the </w:t>
      </w:r>
      <w:r w:rsidR="00D251D3" w:rsidRPr="003D5D4C">
        <w:t>Part 6</w:t>
      </w:r>
      <w:r w:rsidR="00A644AB" w:rsidRPr="003D5D4C">
        <w:t xml:space="preserve">A product and the quarters are </w:t>
      </w:r>
      <w:r w:rsidRPr="003D5D4C">
        <w:t>specified in a determination under subregulation (10).</w:t>
      </w:r>
    </w:p>
    <w:p w14:paraId="45BC7F88" w14:textId="77777777" w:rsidR="000D12D6" w:rsidRPr="003D5D4C" w:rsidRDefault="00F75733" w:rsidP="00B70565">
      <w:pPr>
        <w:pStyle w:val="ItemHead"/>
      </w:pPr>
      <w:r w:rsidRPr="003D5D4C">
        <w:t>51</w:t>
      </w:r>
      <w:r w:rsidR="000D12D6" w:rsidRPr="003D5D4C">
        <w:t xml:space="preserve">  </w:t>
      </w:r>
      <w:r w:rsidRPr="003D5D4C">
        <w:t>Subregulation 9</w:t>
      </w:r>
      <w:r w:rsidR="00B70565" w:rsidRPr="003D5D4C">
        <w:t>AB.14(9)</w:t>
      </w:r>
    </w:p>
    <w:p w14:paraId="6B756091" w14:textId="77777777" w:rsidR="00B70565" w:rsidRPr="003D5D4C" w:rsidRDefault="00B70565" w:rsidP="00B70565">
      <w:pPr>
        <w:pStyle w:val="Item"/>
      </w:pPr>
      <w:r w:rsidRPr="003D5D4C">
        <w:t>Repeal the subregulation, substitute:</w:t>
      </w:r>
    </w:p>
    <w:p w14:paraId="1106848D" w14:textId="77777777" w:rsidR="00B70565" w:rsidRPr="003D5D4C" w:rsidRDefault="00B70565" w:rsidP="000D12D6">
      <w:pPr>
        <w:pStyle w:val="subsection"/>
      </w:pPr>
      <w:r w:rsidRPr="003D5D4C">
        <w:tab/>
        <w:t>(9)</w:t>
      </w:r>
      <w:r w:rsidRPr="003D5D4C">
        <w:tab/>
        <w:t xml:space="preserve">Despite subregulation (2), the </w:t>
      </w:r>
      <w:r w:rsidRPr="003D5D4C">
        <w:rPr>
          <w:b/>
          <w:i/>
        </w:rPr>
        <w:t>benchmark return</w:t>
      </w:r>
      <w:r w:rsidRPr="003D5D4C">
        <w:t xml:space="preserve">, for the </w:t>
      </w:r>
      <w:r w:rsidR="00D251D3" w:rsidRPr="003D5D4C">
        <w:t>Part 6</w:t>
      </w:r>
      <w:r w:rsidRPr="003D5D4C">
        <w:t>A product for the lookback period for the product in respect of the year, is the amount calculated using the formula in subregulation (2), as modified in the way specified in</w:t>
      </w:r>
      <w:r w:rsidR="00A644AB" w:rsidRPr="003D5D4C">
        <w:t xml:space="preserve"> the following determination</w:t>
      </w:r>
      <w:r w:rsidRPr="003D5D4C">
        <w:t>:</w:t>
      </w:r>
    </w:p>
    <w:p w14:paraId="4217E206" w14:textId="77777777" w:rsidR="00A644AB" w:rsidRPr="003D5D4C" w:rsidRDefault="00A644AB" w:rsidP="00A644AB">
      <w:pPr>
        <w:pStyle w:val="paragraph"/>
      </w:pPr>
      <w:r w:rsidRPr="003D5D4C">
        <w:tab/>
        <w:t>(a)</w:t>
      </w:r>
      <w:r w:rsidRPr="003D5D4C">
        <w:tab/>
        <w:t xml:space="preserve">if only </w:t>
      </w:r>
      <w:r w:rsidR="00FB3C31" w:rsidRPr="003D5D4C">
        <w:t>sub</w:t>
      </w:r>
      <w:r w:rsidR="00F75733" w:rsidRPr="003D5D4C">
        <w:t>paragraph (</w:t>
      </w:r>
      <w:r w:rsidRPr="003D5D4C">
        <w:t>8)(b)(i) applies—the determination mentioned in that subparagraph;</w:t>
      </w:r>
    </w:p>
    <w:p w14:paraId="2946E0FD" w14:textId="77777777" w:rsidR="00B70565" w:rsidRPr="003D5D4C" w:rsidRDefault="00B70565" w:rsidP="00B70565">
      <w:pPr>
        <w:pStyle w:val="paragraph"/>
      </w:pPr>
      <w:r w:rsidRPr="003D5D4C">
        <w:tab/>
        <w:t>(a)</w:t>
      </w:r>
      <w:r w:rsidRPr="003D5D4C">
        <w:tab/>
        <w:t xml:space="preserve">if </w:t>
      </w:r>
      <w:r w:rsidR="00A644AB" w:rsidRPr="003D5D4C">
        <w:t xml:space="preserve">only </w:t>
      </w:r>
      <w:r w:rsidR="00FB3C31" w:rsidRPr="003D5D4C">
        <w:t>sub</w:t>
      </w:r>
      <w:r w:rsidR="00F75733" w:rsidRPr="003D5D4C">
        <w:t>paragraph (</w:t>
      </w:r>
      <w:r w:rsidRPr="003D5D4C">
        <w:t>8)(b)(ii) applies—the determination mentioned in that subparagraph;</w:t>
      </w:r>
    </w:p>
    <w:p w14:paraId="1F321777" w14:textId="77777777" w:rsidR="00B70565" w:rsidRPr="003D5D4C" w:rsidRDefault="00B70565" w:rsidP="00B70565">
      <w:pPr>
        <w:pStyle w:val="paragraph"/>
      </w:pPr>
      <w:r w:rsidRPr="003D5D4C">
        <w:tab/>
        <w:t>(b)</w:t>
      </w:r>
      <w:r w:rsidRPr="003D5D4C">
        <w:tab/>
      </w:r>
      <w:r w:rsidR="00A644AB" w:rsidRPr="003D5D4C">
        <w:t xml:space="preserve">if both </w:t>
      </w:r>
      <w:r w:rsidR="0083156D" w:rsidRPr="003D5D4C">
        <w:t>sub</w:t>
      </w:r>
      <w:r w:rsidR="00F75733" w:rsidRPr="003D5D4C">
        <w:t>paragraphs (</w:t>
      </w:r>
      <w:r w:rsidR="00A644AB" w:rsidRPr="003D5D4C">
        <w:t>8)(b)(i) and (ii) apply</w:t>
      </w:r>
      <w:r w:rsidRPr="003D5D4C">
        <w:t xml:space="preserve">—the determination mentioned in </w:t>
      </w:r>
      <w:r w:rsidR="00FB3C31" w:rsidRPr="003D5D4C">
        <w:t>sub</w:t>
      </w:r>
      <w:r w:rsidR="00F75733" w:rsidRPr="003D5D4C">
        <w:t>paragraph (</w:t>
      </w:r>
      <w:r w:rsidRPr="003D5D4C">
        <w:t>8)(b)(i).</w:t>
      </w:r>
    </w:p>
    <w:p w14:paraId="5FBAE3A1" w14:textId="77777777" w:rsidR="000D12D6" w:rsidRPr="003D5D4C" w:rsidRDefault="000D12D6" w:rsidP="000D12D6">
      <w:pPr>
        <w:pStyle w:val="subsection"/>
      </w:pPr>
      <w:r w:rsidRPr="003D5D4C">
        <w:tab/>
        <w:t>(9A)</w:t>
      </w:r>
      <w:r w:rsidRPr="003D5D4C">
        <w:tab/>
        <w:t xml:space="preserve">For the purposes of </w:t>
      </w:r>
      <w:r w:rsidR="00FB3C31" w:rsidRPr="003D5D4C">
        <w:t>sub</w:t>
      </w:r>
      <w:r w:rsidR="00F75733" w:rsidRPr="003D5D4C">
        <w:t>paragraph (</w:t>
      </w:r>
      <w:r w:rsidRPr="003D5D4C">
        <w:t>8)(b)</w:t>
      </w:r>
      <w:r w:rsidR="00B70565" w:rsidRPr="003D5D4C">
        <w:t>(i)</w:t>
      </w:r>
      <w:r w:rsidRPr="003D5D4C">
        <w:t>, APRA may, by legislative instrument, make a determination that:</w:t>
      </w:r>
    </w:p>
    <w:p w14:paraId="1FBB888F" w14:textId="77777777" w:rsidR="000D12D6" w:rsidRPr="003D5D4C" w:rsidRDefault="000D12D6" w:rsidP="000D12D6">
      <w:pPr>
        <w:pStyle w:val="paragraph"/>
      </w:pPr>
      <w:r w:rsidRPr="003D5D4C">
        <w:tab/>
        <w:t>(a)</w:t>
      </w:r>
      <w:r w:rsidRPr="003D5D4C">
        <w:tab/>
        <w:t xml:space="preserve">specifies </w:t>
      </w:r>
      <w:r w:rsidR="0089472B" w:rsidRPr="003D5D4C">
        <w:t xml:space="preserve">classes of </w:t>
      </w:r>
      <w:r w:rsidR="00D251D3" w:rsidRPr="003D5D4C">
        <w:t>Part 6</w:t>
      </w:r>
      <w:r w:rsidR="0089472B" w:rsidRPr="003D5D4C">
        <w:t>A products and quarters</w:t>
      </w:r>
      <w:r w:rsidRPr="003D5D4C">
        <w:t>; and</w:t>
      </w:r>
    </w:p>
    <w:p w14:paraId="78728D18" w14:textId="77777777" w:rsidR="000D12D6" w:rsidRPr="003D5D4C" w:rsidRDefault="000D12D6" w:rsidP="000D12D6">
      <w:pPr>
        <w:pStyle w:val="paragraph"/>
      </w:pPr>
      <w:r w:rsidRPr="003D5D4C">
        <w:tab/>
        <w:t>(b)</w:t>
      </w:r>
      <w:r w:rsidRPr="003D5D4C">
        <w:tab/>
        <w:t xml:space="preserve">specifies modifications of the formula in subregulation (2) that APRA considers are reasonably necessary to reflect the circumstances mentioned in </w:t>
      </w:r>
      <w:r w:rsidR="00F75733" w:rsidRPr="003D5D4C">
        <w:t>paragraph (</w:t>
      </w:r>
      <w:r w:rsidRPr="003D5D4C">
        <w:t xml:space="preserve">8)(a) </w:t>
      </w:r>
      <w:r w:rsidR="002439ED" w:rsidRPr="003D5D4C">
        <w:t xml:space="preserve">in respect of the </w:t>
      </w:r>
      <w:r w:rsidR="00B70565" w:rsidRPr="003D5D4C">
        <w:t xml:space="preserve">specified </w:t>
      </w:r>
      <w:r w:rsidR="002439ED" w:rsidRPr="003D5D4C">
        <w:t xml:space="preserve">classes of </w:t>
      </w:r>
      <w:r w:rsidR="00D251D3" w:rsidRPr="003D5D4C">
        <w:t>Part 6</w:t>
      </w:r>
      <w:r w:rsidR="002439ED" w:rsidRPr="003D5D4C">
        <w:t>A products and quarters</w:t>
      </w:r>
      <w:r w:rsidRPr="003D5D4C">
        <w:t>.</w:t>
      </w:r>
    </w:p>
    <w:p w14:paraId="5D9BC5EE" w14:textId="77777777" w:rsidR="000D12D6" w:rsidRPr="003D5D4C" w:rsidRDefault="00F75733" w:rsidP="00B70565">
      <w:pPr>
        <w:pStyle w:val="ItemHead"/>
      </w:pPr>
      <w:r w:rsidRPr="003D5D4C">
        <w:lastRenderedPageBreak/>
        <w:t>52</w:t>
      </w:r>
      <w:r w:rsidR="000D12D6" w:rsidRPr="003D5D4C">
        <w:t xml:space="preserve">  </w:t>
      </w:r>
      <w:r w:rsidRPr="003D5D4C">
        <w:t>Subregulation 9</w:t>
      </w:r>
      <w:r w:rsidR="00B70565" w:rsidRPr="003D5D4C">
        <w:t>AB.14(10)</w:t>
      </w:r>
    </w:p>
    <w:p w14:paraId="3C05312D" w14:textId="77777777" w:rsidR="00B70565" w:rsidRPr="003D5D4C" w:rsidRDefault="00B70565" w:rsidP="00B70565">
      <w:pPr>
        <w:pStyle w:val="Item"/>
      </w:pPr>
      <w:r w:rsidRPr="003D5D4C">
        <w:t xml:space="preserve">Omit </w:t>
      </w:r>
      <w:r w:rsidR="001376B0" w:rsidRPr="003D5D4C">
        <w:t>“</w:t>
      </w:r>
      <w:r w:rsidR="00F75733" w:rsidRPr="003D5D4C">
        <w:t>paragraph (</w:t>
      </w:r>
      <w:r w:rsidRPr="003D5D4C">
        <w:t>8)(b)</w:t>
      </w:r>
      <w:r w:rsidR="001376B0" w:rsidRPr="003D5D4C">
        <w:t>”</w:t>
      </w:r>
      <w:r w:rsidRPr="003D5D4C">
        <w:t xml:space="preserve">, substitute </w:t>
      </w:r>
      <w:r w:rsidR="001376B0" w:rsidRPr="003D5D4C">
        <w:t>“</w:t>
      </w:r>
      <w:r w:rsidR="00FB3C31" w:rsidRPr="003D5D4C">
        <w:t>sub</w:t>
      </w:r>
      <w:r w:rsidR="00F75733" w:rsidRPr="003D5D4C">
        <w:t>paragraph (</w:t>
      </w:r>
      <w:r w:rsidRPr="003D5D4C">
        <w:t>8)(b)(ii)</w:t>
      </w:r>
      <w:r w:rsidR="001376B0" w:rsidRPr="003D5D4C">
        <w:t>”</w:t>
      </w:r>
      <w:r w:rsidRPr="003D5D4C">
        <w:t>.</w:t>
      </w:r>
    </w:p>
    <w:p w14:paraId="2E3C4C89" w14:textId="77777777" w:rsidR="00B70565" w:rsidRPr="003D5D4C" w:rsidRDefault="00F75733" w:rsidP="00B70565">
      <w:pPr>
        <w:pStyle w:val="ItemHead"/>
      </w:pPr>
      <w:r w:rsidRPr="003D5D4C">
        <w:t>53</w:t>
      </w:r>
      <w:r w:rsidR="00B70565" w:rsidRPr="003D5D4C">
        <w:t xml:space="preserve">  At the end of </w:t>
      </w:r>
      <w:r w:rsidR="0083156D" w:rsidRPr="003D5D4C">
        <w:t>paragraph 9</w:t>
      </w:r>
      <w:r w:rsidR="00B70565" w:rsidRPr="003D5D4C">
        <w:t>AB.14(10)(b)</w:t>
      </w:r>
    </w:p>
    <w:p w14:paraId="5A50FEA8" w14:textId="77777777" w:rsidR="00B70565" w:rsidRPr="003D5D4C" w:rsidRDefault="00B70565" w:rsidP="00B70565">
      <w:pPr>
        <w:pStyle w:val="Item"/>
      </w:pPr>
      <w:r w:rsidRPr="003D5D4C">
        <w:t xml:space="preserve">Add </w:t>
      </w:r>
      <w:r w:rsidR="001376B0" w:rsidRPr="003D5D4C">
        <w:t>“</w:t>
      </w:r>
      <w:r w:rsidRPr="003D5D4C">
        <w:t xml:space="preserve">in respect of the specified </w:t>
      </w:r>
      <w:r w:rsidR="00D251D3" w:rsidRPr="003D5D4C">
        <w:t>Part 6</w:t>
      </w:r>
      <w:r w:rsidRPr="003D5D4C">
        <w:t>A product and quarters</w:t>
      </w:r>
      <w:r w:rsidR="001376B0" w:rsidRPr="003D5D4C">
        <w:t>”</w:t>
      </w:r>
      <w:r w:rsidRPr="003D5D4C">
        <w:t>.</w:t>
      </w:r>
    </w:p>
    <w:p w14:paraId="70465988" w14:textId="77777777" w:rsidR="00941755" w:rsidRPr="003D5D4C" w:rsidRDefault="00F75733" w:rsidP="00941755">
      <w:pPr>
        <w:pStyle w:val="ItemHead"/>
      </w:pPr>
      <w:r w:rsidRPr="003D5D4C">
        <w:t>54</w:t>
      </w:r>
      <w:r w:rsidR="00941755" w:rsidRPr="003D5D4C">
        <w:t xml:space="preserve">  </w:t>
      </w:r>
      <w:r w:rsidRPr="003D5D4C">
        <w:t>Subregulation 9</w:t>
      </w:r>
      <w:r w:rsidR="00941755" w:rsidRPr="003D5D4C">
        <w:t>AB.14(11)</w:t>
      </w:r>
    </w:p>
    <w:p w14:paraId="55E5A2D4" w14:textId="77777777" w:rsidR="00941755" w:rsidRPr="003D5D4C" w:rsidRDefault="00941755" w:rsidP="00941755">
      <w:pPr>
        <w:pStyle w:val="Item"/>
      </w:pPr>
      <w:r w:rsidRPr="003D5D4C">
        <w:t xml:space="preserve">Omit </w:t>
      </w:r>
      <w:r w:rsidR="001376B0" w:rsidRPr="003D5D4C">
        <w:t>“</w:t>
      </w:r>
      <w:r w:rsidRPr="003D5D4C">
        <w:t>the determination</w:t>
      </w:r>
      <w:r w:rsidR="001376B0" w:rsidRPr="003D5D4C">
        <w:t>”</w:t>
      </w:r>
      <w:r w:rsidRPr="003D5D4C">
        <w:t xml:space="preserve">, substitute </w:t>
      </w:r>
      <w:r w:rsidR="001376B0" w:rsidRPr="003D5D4C">
        <w:t>“</w:t>
      </w:r>
      <w:r w:rsidRPr="003D5D4C">
        <w:t>a determination under subregulation (10)</w:t>
      </w:r>
      <w:r w:rsidR="001376B0" w:rsidRPr="003D5D4C">
        <w:t>”</w:t>
      </w:r>
      <w:r w:rsidRPr="003D5D4C">
        <w:t>.</w:t>
      </w:r>
    </w:p>
    <w:p w14:paraId="65A4728F" w14:textId="77777777" w:rsidR="009D4752" w:rsidRPr="003D5D4C" w:rsidRDefault="00F75733" w:rsidP="009D4752">
      <w:pPr>
        <w:pStyle w:val="ItemHead"/>
      </w:pPr>
      <w:r w:rsidRPr="003D5D4C">
        <w:t>55</w:t>
      </w:r>
      <w:r w:rsidR="009D4752" w:rsidRPr="003D5D4C">
        <w:t xml:space="preserve">  </w:t>
      </w:r>
      <w:r w:rsidRPr="003D5D4C">
        <w:t>Subregulation 9</w:t>
      </w:r>
      <w:r w:rsidR="009D4752" w:rsidRPr="003D5D4C">
        <w:t>AB.16(2)(b)</w:t>
      </w:r>
    </w:p>
    <w:p w14:paraId="70CBC617" w14:textId="77777777" w:rsidR="009D4752" w:rsidRPr="003D5D4C" w:rsidRDefault="009D4752" w:rsidP="009D4752">
      <w:pPr>
        <w:pStyle w:val="Item"/>
      </w:pPr>
      <w:r w:rsidRPr="003D5D4C">
        <w:t>Repeal the paragraph, substitute:</w:t>
      </w:r>
    </w:p>
    <w:p w14:paraId="547B6102" w14:textId="77777777" w:rsidR="009D4752" w:rsidRPr="003D5D4C" w:rsidRDefault="009D4752" w:rsidP="009D4752">
      <w:pPr>
        <w:pStyle w:val="paragraph"/>
      </w:pPr>
      <w:r w:rsidRPr="003D5D4C">
        <w:tab/>
        <w:t>(b)</w:t>
      </w:r>
      <w:r w:rsidRPr="003D5D4C">
        <w:tab/>
        <w:t xml:space="preserve">if the </w:t>
      </w:r>
      <w:r w:rsidR="00D251D3" w:rsidRPr="003D5D4C">
        <w:t>Part 6</w:t>
      </w:r>
      <w:r w:rsidRPr="003D5D4C">
        <w:t xml:space="preserve">A product is not a MySuper product and is a platform TDP—identify all </w:t>
      </w:r>
      <w:r w:rsidR="00D251D3" w:rsidRPr="003D5D4C">
        <w:t>Part 6</w:t>
      </w:r>
      <w:r w:rsidRPr="003D5D4C">
        <w:t>A products that exist at the end of the year that are not MySuper products and are platform TDPs; or</w:t>
      </w:r>
    </w:p>
    <w:p w14:paraId="1C455EEC" w14:textId="77777777" w:rsidR="009D4752" w:rsidRPr="003D5D4C" w:rsidRDefault="009D4752" w:rsidP="009D4752">
      <w:pPr>
        <w:pStyle w:val="paragraph"/>
      </w:pPr>
      <w:r w:rsidRPr="003D5D4C">
        <w:tab/>
        <w:t>(c)</w:t>
      </w:r>
      <w:r w:rsidRPr="003D5D4C">
        <w:tab/>
        <w:t xml:space="preserve">if the </w:t>
      </w:r>
      <w:r w:rsidR="00D251D3" w:rsidRPr="003D5D4C">
        <w:t>Part 6</w:t>
      </w:r>
      <w:r w:rsidRPr="003D5D4C">
        <w:t xml:space="preserve">A product is not a MySuper product and is not a platform TDP—identify all </w:t>
      </w:r>
      <w:r w:rsidR="00D251D3" w:rsidRPr="003D5D4C">
        <w:t>Part 6</w:t>
      </w:r>
      <w:r w:rsidRPr="003D5D4C">
        <w:t>A products that exist at the end of the year that are not MySuper products and are not platform TDPs.</w:t>
      </w:r>
    </w:p>
    <w:p w14:paraId="2C574B5E" w14:textId="77777777" w:rsidR="009F24C6" w:rsidRPr="003D5D4C" w:rsidRDefault="00F75733" w:rsidP="009F24C6">
      <w:pPr>
        <w:pStyle w:val="ItemHead"/>
      </w:pPr>
      <w:r w:rsidRPr="003D5D4C">
        <w:t>56</w:t>
      </w:r>
      <w:r w:rsidR="009F24C6" w:rsidRPr="003D5D4C">
        <w:t xml:space="preserve">  After </w:t>
      </w:r>
      <w:r w:rsidRPr="003D5D4C">
        <w:t>subregulation 9</w:t>
      </w:r>
      <w:r w:rsidR="009F24C6" w:rsidRPr="003D5D4C">
        <w:t>AB.16(2)</w:t>
      </w:r>
    </w:p>
    <w:p w14:paraId="2BF32180" w14:textId="77777777" w:rsidR="009F24C6" w:rsidRPr="003D5D4C" w:rsidRDefault="009F24C6" w:rsidP="009F24C6">
      <w:pPr>
        <w:pStyle w:val="Item"/>
      </w:pPr>
      <w:r w:rsidRPr="003D5D4C">
        <w:t>Insert:</w:t>
      </w:r>
    </w:p>
    <w:p w14:paraId="295908DD" w14:textId="77777777" w:rsidR="009F24C6" w:rsidRPr="003D5D4C" w:rsidRDefault="009F24C6" w:rsidP="009F24C6">
      <w:pPr>
        <w:pStyle w:val="subsection"/>
      </w:pPr>
      <w:r w:rsidRPr="003D5D4C">
        <w:tab/>
        <w:t>(2A)</w:t>
      </w:r>
      <w:r w:rsidRPr="003D5D4C">
        <w:tab/>
        <w:t xml:space="preserve">However, do not include a </w:t>
      </w:r>
      <w:r w:rsidR="00D251D3" w:rsidRPr="003D5D4C">
        <w:t>Part 6</w:t>
      </w:r>
      <w:r w:rsidRPr="003D5D4C">
        <w:t xml:space="preserve">A product </w:t>
      </w:r>
      <w:r w:rsidR="005D3D6F" w:rsidRPr="003D5D4C">
        <w:t xml:space="preserve">in the identification under subregulation (2) in relation to the year </w:t>
      </w:r>
      <w:r w:rsidRPr="003D5D4C">
        <w:t xml:space="preserve">if the </w:t>
      </w:r>
      <w:r w:rsidR="00D251D3" w:rsidRPr="003D5D4C">
        <w:t>Part 6</w:t>
      </w:r>
      <w:r w:rsidR="005D3D6F" w:rsidRPr="003D5D4C">
        <w:t>A product</w:t>
      </w:r>
      <w:r w:rsidR="001376B0" w:rsidRPr="003D5D4C">
        <w:t>’</w:t>
      </w:r>
      <w:r w:rsidR="005D3D6F" w:rsidRPr="003D5D4C">
        <w:t xml:space="preserve">s initial </w:t>
      </w:r>
      <w:r w:rsidRPr="003D5D4C">
        <w:t xml:space="preserve">quarter </w:t>
      </w:r>
      <w:r w:rsidR="005D3D6F" w:rsidRPr="003D5D4C">
        <w:t>starts</w:t>
      </w:r>
      <w:r w:rsidR="00074261" w:rsidRPr="003D5D4C">
        <w:t xml:space="preserve"> on a day</w:t>
      </w:r>
      <w:r w:rsidR="005D3D6F" w:rsidRPr="003D5D4C">
        <w:t xml:space="preserve"> during the </w:t>
      </w:r>
      <w:r w:rsidR="00EB71B2" w:rsidRPr="003D5D4C">
        <w:t xml:space="preserve">financial </w:t>
      </w:r>
      <w:r w:rsidR="005D3D6F" w:rsidRPr="003D5D4C">
        <w:t>year</w:t>
      </w:r>
      <w:r w:rsidR="00074261" w:rsidRPr="003D5D4C">
        <w:t xml:space="preserve"> that is not </w:t>
      </w:r>
      <w:r w:rsidR="00F75733" w:rsidRPr="003D5D4C">
        <w:t>1 July</w:t>
      </w:r>
      <w:r w:rsidR="005D3D6F" w:rsidRPr="003D5D4C">
        <w:t>.</w:t>
      </w:r>
    </w:p>
    <w:p w14:paraId="57B5C633" w14:textId="77777777" w:rsidR="00690D49" w:rsidRPr="003D5D4C" w:rsidRDefault="00F75733" w:rsidP="00690D49">
      <w:pPr>
        <w:pStyle w:val="ItemHead"/>
      </w:pPr>
      <w:r w:rsidRPr="003D5D4C">
        <w:t>57</w:t>
      </w:r>
      <w:r w:rsidR="00690D49" w:rsidRPr="003D5D4C">
        <w:t xml:space="preserve">  </w:t>
      </w:r>
      <w:r w:rsidR="008217CF" w:rsidRPr="003D5D4C">
        <w:t>Subregulations 9</w:t>
      </w:r>
      <w:r w:rsidR="00690D49" w:rsidRPr="003D5D4C">
        <w:t>AB.16(7) and (8)</w:t>
      </w:r>
    </w:p>
    <w:p w14:paraId="73816A0A" w14:textId="77777777" w:rsidR="00690D49" w:rsidRPr="003D5D4C" w:rsidRDefault="00690D49" w:rsidP="00690D49">
      <w:pPr>
        <w:pStyle w:val="Item"/>
      </w:pPr>
      <w:r w:rsidRPr="003D5D4C">
        <w:t>Repeal the subregulations.</w:t>
      </w:r>
    </w:p>
    <w:p w14:paraId="46CE07D4" w14:textId="77777777" w:rsidR="00690D49" w:rsidRPr="003D5D4C" w:rsidRDefault="00F75733" w:rsidP="00690D49">
      <w:pPr>
        <w:pStyle w:val="ItemHead"/>
      </w:pPr>
      <w:r w:rsidRPr="003D5D4C">
        <w:t>58</w:t>
      </w:r>
      <w:r w:rsidR="00690D49" w:rsidRPr="003D5D4C">
        <w:t xml:space="preserve">  </w:t>
      </w:r>
      <w:r w:rsidRPr="003D5D4C">
        <w:t>Subregulation 9</w:t>
      </w:r>
      <w:r w:rsidR="00690D49" w:rsidRPr="003D5D4C">
        <w:t>AB.17(3)</w:t>
      </w:r>
    </w:p>
    <w:p w14:paraId="690F3624" w14:textId="77777777" w:rsidR="00690D49" w:rsidRPr="003D5D4C" w:rsidRDefault="00690D49" w:rsidP="00690D49">
      <w:pPr>
        <w:pStyle w:val="Item"/>
      </w:pPr>
      <w:r w:rsidRPr="003D5D4C">
        <w:t xml:space="preserve">Omit </w:t>
      </w:r>
      <w:r w:rsidR="001376B0" w:rsidRPr="003D5D4C">
        <w:t>“</w:t>
      </w:r>
      <w:r w:rsidRPr="003D5D4C">
        <w:rPr>
          <w:b/>
          <w:i/>
        </w:rPr>
        <w:t>Other/Commodities</w:t>
      </w:r>
      <w:r w:rsidR="001376B0" w:rsidRPr="003D5D4C">
        <w:t>”</w:t>
      </w:r>
      <w:r w:rsidRPr="003D5D4C">
        <w:t xml:space="preserve">, substitute </w:t>
      </w:r>
      <w:r w:rsidR="001376B0" w:rsidRPr="003D5D4C">
        <w:t>“</w:t>
      </w:r>
      <w:r w:rsidRPr="003D5D4C">
        <w:rPr>
          <w:b/>
          <w:i/>
        </w:rPr>
        <w:t>Alternatives</w:t>
      </w:r>
      <w:r w:rsidR="001376B0" w:rsidRPr="003D5D4C">
        <w:t>”</w:t>
      </w:r>
      <w:r w:rsidRPr="003D5D4C">
        <w:t>.</w:t>
      </w:r>
    </w:p>
    <w:p w14:paraId="079CF306" w14:textId="77777777" w:rsidR="005A0820" w:rsidRPr="003D5D4C" w:rsidRDefault="00F75733" w:rsidP="005A0820">
      <w:pPr>
        <w:pStyle w:val="ItemHead"/>
      </w:pPr>
      <w:r w:rsidRPr="003D5D4C">
        <w:t>59</w:t>
      </w:r>
      <w:r w:rsidR="005A0820" w:rsidRPr="003D5D4C">
        <w:t xml:space="preserve">  </w:t>
      </w:r>
      <w:r w:rsidRPr="003D5D4C">
        <w:t>Subregulation 9</w:t>
      </w:r>
      <w:r w:rsidR="005A0820" w:rsidRPr="003D5D4C">
        <w:t>AB.17(7) (table)</w:t>
      </w:r>
    </w:p>
    <w:p w14:paraId="2B23EEE5" w14:textId="77777777" w:rsidR="005A0820" w:rsidRPr="003D5D4C" w:rsidRDefault="005A0820" w:rsidP="005A0820">
      <w:pPr>
        <w:pStyle w:val="Item"/>
      </w:pPr>
      <w:r w:rsidRPr="003D5D4C">
        <w:t>Repeal the table, substitute:</w:t>
      </w:r>
    </w:p>
    <w:tbl>
      <w:tblPr>
        <w:tblW w:w="8316"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833"/>
        <w:gridCol w:w="3402"/>
        <w:gridCol w:w="1134"/>
        <w:gridCol w:w="1233"/>
      </w:tblGrid>
      <w:tr w:rsidR="005A0820" w:rsidRPr="003D5D4C" w14:paraId="6F769001" w14:textId="77777777" w:rsidTr="001A0554">
        <w:trPr>
          <w:tblHeader/>
        </w:trPr>
        <w:tc>
          <w:tcPr>
            <w:tcW w:w="8316" w:type="dxa"/>
            <w:gridSpan w:val="5"/>
            <w:tcBorders>
              <w:top w:val="single" w:sz="12" w:space="0" w:color="auto"/>
              <w:bottom w:val="single" w:sz="6" w:space="0" w:color="auto"/>
            </w:tcBorders>
            <w:shd w:val="clear" w:color="auto" w:fill="auto"/>
          </w:tcPr>
          <w:p w14:paraId="1C908622" w14:textId="77777777" w:rsidR="005A0820" w:rsidRPr="003D5D4C" w:rsidRDefault="005A0820" w:rsidP="005A0820">
            <w:pPr>
              <w:pStyle w:val="TableHeading"/>
            </w:pPr>
            <w:r w:rsidRPr="003D5D4C">
              <w:t xml:space="preserve">Covered asset classes, assumed indices, assumed annual fees and assumed tax rates for quarters starting on or after </w:t>
            </w:r>
            <w:r w:rsidR="00F75733" w:rsidRPr="003D5D4C">
              <w:t>1 July</w:t>
            </w:r>
            <w:r w:rsidRPr="003D5D4C">
              <w:t xml:space="preserve"> 2014</w:t>
            </w:r>
          </w:p>
        </w:tc>
      </w:tr>
      <w:tr w:rsidR="005A0820" w:rsidRPr="003D5D4C" w14:paraId="69C50A67" w14:textId="77777777" w:rsidTr="001A0554">
        <w:trPr>
          <w:tblHeader/>
        </w:trPr>
        <w:tc>
          <w:tcPr>
            <w:tcW w:w="714" w:type="dxa"/>
            <w:tcBorders>
              <w:top w:val="single" w:sz="6" w:space="0" w:color="auto"/>
              <w:bottom w:val="single" w:sz="12" w:space="0" w:color="auto"/>
            </w:tcBorders>
            <w:shd w:val="clear" w:color="auto" w:fill="auto"/>
          </w:tcPr>
          <w:p w14:paraId="327F6568" w14:textId="77777777" w:rsidR="005A0820" w:rsidRPr="003D5D4C" w:rsidRDefault="005A0820" w:rsidP="005A0820">
            <w:pPr>
              <w:pStyle w:val="TableHeading"/>
            </w:pPr>
            <w:r w:rsidRPr="003D5D4C">
              <w:t>Item</w:t>
            </w:r>
          </w:p>
        </w:tc>
        <w:tc>
          <w:tcPr>
            <w:tcW w:w="1833" w:type="dxa"/>
            <w:tcBorders>
              <w:top w:val="single" w:sz="6" w:space="0" w:color="auto"/>
              <w:bottom w:val="single" w:sz="12" w:space="0" w:color="auto"/>
            </w:tcBorders>
            <w:shd w:val="clear" w:color="auto" w:fill="auto"/>
          </w:tcPr>
          <w:p w14:paraId="5C62281D" w14:textId="77777777" w:rsidR="005A0820" w:rsidRPr="003D5D4C" w:rsidRDefault="005A0820" w:rsidP="005A0820">
            <w:pPr>
              <w:pStyle w:val="TableHeading"/>
            </w:pPr>
            <w:r w:rsidRPr="003D5D4C">
              <w:t>Description</w:t>
            </w:r>
          </w:p>
        </w:tc>
        <w:tc>
          <w:tcPr>
            <w:tcW w:w="3402" w:type="dxa"/>
            <w:tcBorders>
              <w:top w:val="single" w:sz="6" w:space="0" w:color="auto"/>
              <w:bottom w:val="single" w:sz="12" w:space="0" w:color="auto"/>
            </w:tcBorders>
            <w:shd w:val="clear" w:color="auto" w:fill="auto"/>
          </w:tcPr>
          <w:p w14:paraId="3CA9B880" w14:textId="77777777" w:rsidR="005A0820" w:rsidRPr="003D5D4C" w:rsidRDefault="005A0820" w:rsidP="005A0820">
            <w:pPr>
              <w:pStyle w:val="TableHeading"/>
            </w:pPr>
            <w:r w:rsidRPr="003D5D4C">
              <w:t>Assumed index</w:t>
            </w:r>
          </w:p>
        </w:tc>
        <w:tc>
          <w:tcPr>
            <w:tcW w:w="1134" w:type="dxa"/>
            <w:tcBorders>
              <w:top w:val="single" w:sz="6" w:space="0" w:color="auto"/>
              <w:bottom w:val="single" w:sz="12" w:space="0" w:color="auto"/>
            </w:tcBorders>
            <w:shd w:val="clear" w:color="auto" w:fill="auto"/>
          </w:tcPr>
          <w:p w14:paraId="5617E9C7" w14:textId="77777777" w:rsidR="005A0820" w:rsidRPr="003D5D4C" w:rsidRDefault="005A0820" w:rsidP="005A0820">
            <w:pPr>
              <w:pStyle w:val="TableHeading"/>
            </w:pPr>
            <w:r w:rsidRPr="003D5D4C">
              <w:t>Assumed annual fee</w:t>
            </w:r>
          </w:p>
        </w:tc>
        <w:tc>
          <w:tcPr>
            <w:tcW w:w="1233" w:type="dxa"/>
            <w:tcBorders>
              <w:top w:val="single" w:sz="6" w:space="0" w:color="auto"/>
              <w:bottom w:val="single" w:sz="12" w:space="0" w:color="auto"/>
            </w:tcBorders>
            <w:shd w:val="clear" w:color="auto" w:fill="auto"/>
          </w:tcPr>
          <w:p w14:paraId="6E706AFB" w14:textId="77777777" w:rsidR="005A0820" w:rsidRPr="003D5D4C" w:rsidRDefault="005A0820" w:rsidP="005A0820">
            <w:pPr>
              <w:pStyle w:val="TableHeading"/>
            </w:pPr>
            <w:r w:rsidRPr="003D5D4C">
              <w:t>Assumed annual rate of tax</w:t>
            </w:r>
          </w:p>
        </w:tc>
      </w:tr>
      <w:tr w:rsidR="005A0820" w:rsidRPr="003D5D4C" w14:paraId="4A3DCB15" w14:textId="77777777" w:rsidTr="001A0554">
        <w:tc>
          <w:tcPr>
            <w:tcW w:w="714" w:type="dxa"/>
            <w:tcBorders>
              <w:top w:val="single" w:sz="12" w:space="0" w:color="auto"/>
            </w:tcBorders>
            <w:shd w:val="clear" w:color="auto" w:fill="auto"/>
          </w:tcPr>
          <w:p w14:paraId="472D0EEC" w14:textId="77777777" w:rsidR="005A0820" w:rsidRPr="003D5D4C" w:rsidRDefault="001A0554" w:rsidP="005A0820">
            <w:pPr>
              <w:pStyle w:val="Tabletext"/>
            </w:pPr>
            <w:r w:rsidRPr="003D5D4C">
              <w:t>1</w:t>
            </w:r>
          </w:p>
        </w:tc>
        <w:tc>
          <w:tcPr>
            <w:tcW w:w="1833" w:type="dxa"/>
            <w:tcBorders>
              <w:top w:val="single" w:sz="12" w:space="0" w:color="auto"/>
            </w:tcBorders>
            <w:shd w:val="clear" w:color="auto" w:fill="auto"/>
          </w:tcPr>
          <w:p w14:paraId="26A25717" w14:textId="77777777" w:rsidR="005A0820" w:rsidRPr="003D5D4C" w:rsidRDefault="005A0820" w:rsidP="005A0820">
            <w:pPr>
              <w:pStyle w:val="Tabletext"/>
            </w:pPr>
            <w:r w:rsidRPr="003D5D4C">
              <w:t>Australian Equity</w:t>
            </w:r>
          </w:p>
        </w:tc>
        <w:tc>
          <w:tcPr>
            <w:tcW w:w="3402" w:type="dxa"/>
            <w:tcBorders>
              <w:top w:val="single" w:sz="12" w:space="0" w:color="auto"/>
            </w:tcBorders>
            <w:shd w:val="clear" w:color="auto" w:fill="auto"/>
          </w:tcPr>
          <w:p w14:paraId="3CF3E1A6" w14:textId="77777777" w:rsidR="005A0820" w:rsidRPr="003D5D4C" w:rsidRDefault="005A0820" w:rsidP="005A0820">
            <w:pPr>
              <w:pStyle w:val="Tabletext"/>
            </w:pPr>
            <w:r w:rsidRPr="003D5D4C">
              <w:t>ASA52</w:t>
            </w:r>
          </w:p>
          <w:p w14:paraId="73248467" w14:textId="77777777" w:rsidR="005A0820" w:rsidRPr="003D5D4C" w:rsidRDefault="005A0820" w:rsidP="005A0820">
            <w:pPr>
              <w:pStyle w:val="Tabletext"/>
            </w:pPr>
            <w:r w:rsidRPr="003D5D4C">
              <w:t>S&amp;P/ASX 300 Total Return Index</w:t>
            </w:r>
          </w:p>
        </w:tc>
        <w:tc>
          <w:tcPr>
            <w:tcW w:w="1134" w:type="dxa"/>
            <w:tcBorders>
              <w:top w:val="single" w:sz="12" w:space="0" w:color="auto"/>
            </w:tcBorders>
            <w:shd w:val="clear" w:color="auto" w:fill="auto"/>
          </w:tcPr>
          <w:p w14:paraId="5AF86139" w14:textId="77777777" w:rsidR="005A0820" w:rsidRPr="003D5D4C" w:rsidRDefault="005A0820" w:rsidP="005A0820">
            <w:pPr>
              <w:pStyle w:val="Tabletext"/>
            </w:pPr>
            <w:r w:rsidRPr="003D5D4C">
              <w:t>0.05%</w:t>
            </w:r>
          </w:p>
        </w:tc>
        <w:tc>
          <w:tcPr>
            <w:tcW w:w="1233" w:type="dxa"/>
            <w:tcBorders>
              <w:top w:val="single" w:sz="12" w:space="0" w:color="auto"/>
            </w:tcBorders>
            <w:shd w:val="clear" w:color="auto" w:fill="auto"/>
          </w:tcPr>
          <w:p w14:paraId="05B6A0A7" w14:textId="77777777" w:rsidR="005A0820" w:rsidRPr="003D5D4C" w:rsidRDefault="005A0820" w:rsidP="005A0820">
            <w:pPr>
              <w:pStyle w:val="Tabletext"/>
            </w:pPr>
            <w:r w:rsidRPr="003D5D4C">
              <w:t>0.00%</w:t>
            </w:r>
          </w:p>
        </w:tc>
      </w:tr>
      <w:tr w:rsidR="005A0820" w:rsidRPr="003D5D4C" w14:paraId="1785B7E6" w14:textId="77777777" w:rsidTr="001A0554">
        <w:tc>
          <w:tcPr>
            <w:tcW w:w="714" w:type="dxa"/>
            <w:shd w:val="clear" w:color="auto" w:fill="auto"/>
          </w:tcPr>
          <w:p w14:paraId="3FA4C91C" w14:textId="77777777" w:rsidR="005A0820" w:rsidRPr="003D5D4C" w:rsidRDefault="001A0554" w:rsidP="005A0820">
            <w:pPr>
              <w:pStyle w:val="Tabletext"/>
            </w:pPr>
            <w:r w:rsidRPr="003D5D4C">
              <w:t>2</w:t>
            </w:r>
          </w:p>
        </w:tc>
        <w:tc>
          <w:tcPr>
            <w:tcW w:w="1833" w:type="dxa"/>
            <w:shd w:val="clear" w:color="auto" w:fill="auto"/>
          </w:tcPr>
          <w:p w14:paraId="2FC400E7" w14:textId="77777777" w:rsidR="005A0820" w:rsidRPr="003D5D4C" w:rsidRDefault="005A0820" w:rsidP="005A0820">
            <w:pPr>
              <w:pStyle w:val="Tabletext"/>
            </w:pPr>
            <w:r w:rsidRPr="003D5D4C">
              <w:t>International Equity (hedged; international economy type not specified or not applicable)</w:t>
            </w:r>
          </w:p>
        </w:tc>
        <w:tc>
          <w:tcPr>
            <w:tcW w:w="3402" w:type="dxa"/>
            <w:shd w:val="clear" w:color="auto" w:fill="auto"/>
          </w:tcPr>
          <w:p w14:paraId="0D636D92" w14:textId="77777777" w:rsidR="005A0820" w:rsidRPr="003D5D4C" w:rsidRDefault="005A0820" w:rsidP="005A0820">
            <w:pPr>
              <w:pStyle w:val="Tabletext"/>
            </w:pPr>
            <w:r w:rsidRPr="003D5D4C">
              <w:t>DE725341</w:t>
            </w:r>
          </w:p>
          <w:p w14:paraId="3A6F30BD" w14:textId="77777777" w:rsidR="005A0820" w:rsidRPr="003D5D4C" w:rsidRDefault="005A0820" w:rsidP="005A0820">
            <w:pPr>
              <w:pStyle w:val="Tabletext"/>
            </w:pPr>
            <w:r w:rsidRPr="003D5D4C">
              <w:t>MSCI All Country World Ex</w:t>
            </w:r>
            <w:r w:rsidR="00A70ACD" w:rsidRPr="003D5D4C">
              <w:noBreakHyphen/>
            </w:r>
            <w:r w:rsidRPr="003D5D4C">
              <w:t>Australia Equities Index with Special Tax (100% hedged to AUD)</w:t>
            </w:r>
          </w:p>
        </w:tc>
        <w:tc>
          <w:tcPr>
            <w:tcW w:w="1134" w:type="dxa"/>
            <w:shd w:val="clear" w:color="auto" w:fill="auto"/>
          </w:tcPr>
          <w:p w14:paraId="56AD8D10" w14:textId="77777777" w:rsidR="005A0820" w:rsidRPr="003D5D4C" w:rsidRDefault="005A0820" w:rsidP="005A0820">
            <w:pPr>
              <w:pStyle w:val="Tabletext"/>
            </w:pPr>
            <w:r w:rsidRPr="003D5D4C">
              <w:t>0.11%</w:t>
            </w:r>
          </w:p>
        </w:tc>
        <w:tc>
          <w:tcPr>
            <w:tcW w:w="1233" w:type="dxa"/>
            <w:shd w:val="clear" w:color="auto" w:fill="auto"/>
          </w:tcPr>
          <w:p w14:paraId="5B0986D0" w14:textId="77777777" w:rsidR="005A0820" w:rsidRPr="003D5D4C" w:rsidRDefault="005A0820" w:rsidP="005A0820">
            <w:pPr>
              <w:pStyle w:val="Tabletext"/>
            </w:pPr>
            <w:r w:rsidRPr="003D5D4C">
              <w:t>14.00%</w:t>
            </w:r>
          </w:p>
        </w:tc>
      </w:tr>
      <w:tr w:rsidR="005A0820" w:rsidRPr="003D5D4C" w14:paraId="5B14EC7B" w14:textId="77777777" w:rsidTr="001A0554">
        <w:tc>
          <w:tcPr>
            <w:tcW w:w="714" w:type="dxa"/>
            <w:shd w:val="clear" w:color="auto" w:fill="auto"/>
          </w:tcPr>
          <w:p w14:paraId="7FECC054" w14:textId="77777777" w:rsidR="005A0820" w:rsidRPr="003D5D4C" w:rsidRDefault="001A0554" w:rsidP="005A0820">
            <w:pPr>
              <w:pStyle w:val="Tabletext"/>
            </w:pPr>
            <w:r w:rsidRPr="003D5D4C">
              <w:t>3</w:t>
            </w:r>
          </w:p>
        </w:tc>
        <w:tc>
          <w:tcPr>
            <w:tcW w:w="1833" w:type="dxa"/>
            <w:shd w:val="clear" w:color="auto" w:fill="auto"/>
          </w:tcPr>
          <w:p w14:paraId="389B452F" w14:textId="77777777" w:rsidR="005A0820" w:rsidRPr="003D5D4C" w:rsidRDefault="005A0820" w:rsidP="005A0820">
            <w:pPr>
              <w:pStyle w:val="Tabletext"/>
            </w:pPr>
            <w:r w:rsidRPr="003D5D4C">
              <w:t>International Equity (hedged; emerging markets)</w:t>
            </w:r>
          </w:p>
        </w:tc>
        <w:tc>
          <w:tcPr>
            <w:tcW w:w="3402" w:type="dxa"/>
            <w:shd w:val="clear" w:color="auto" w:fill="auto"/>
          </w:tcPr>
          <w:p w14:paraId="37BA00DB" w14:textId="77777777" w:rsidR="005A0820" w:rsidRPr="003D5D4C" w:rsidRDefault="005A0820" w:rsidP="005A0820">
            <w:pPr>
              <w:spacing w:before="60" w:line="240" w:lineRule="atLeast"/>
              <w:rPr>
                <w:rFonts w:eastAsia="Times New Roman" w:cs="Times New Roman"/>
                <w:color w:val="000000" w:themeColor="text1"/>
                <w:sz w:val="20"/>
                <w:lang w:eastAsia="en-AU"/>
              </w:rPr>
            </w:pPr>
            <w:r w:rsidRPr="003D5D4C">
              <w:rPr>
                <w:rFonts w:eastAsia="Times New Roman" w:cs="Times New Roman"/>
                <w:color w:val="000000" w:themeColor="text1"/>
                <w:sz w:val="20"/>
                <w:lang w:eastAsia="en-AU"/>
              </w:rPr>
              <w:t>DA725342</w:t>
            </w:r>
          </w:p>
          <w:p w14:paraId="75BF90CC" w14:textId="77777777" w:rsidR="005A0820" w:rsidRPr="003D5D4C" w:rsidRDefault="005A0820" w:rsidP="005A0820">
            <w:pPr>
              <w:spacing w:before="60" w:line="240" w:lineRule="atLeast"/>
              <w:rPr>
                <w:rFonts w:eastAsia="Times New Roman" w:cs="Times New Roman"/>
                <w:color w:val="000000"/>
                <w:sz w:val="20"/>
                <w:lang w:eastAsia="en-AU"/>
              </w:rPr>
            </w:pPr>
            <w:r w:rsidRPr="003D5D4C">
              <w:rPr>
                <w:rFonts w:eastAsia="Times New Roman" w:cs="Times New Roman"/>
                <w:color w:val="000000" w:themeColor="text1"/>
                <w:sz w:val="20"/>
                <w:lang w:eastAsia="en-AU"/>
              </w:rPr>
              <w:t>MSCI Emerging Markets with Special Tax (100% hedged to AUD)</w:t>
            </w:r>
          </w:p>
        </w:tc>
        <w:tc>
          <w:tcPr>
            <w:tcW w:w="1134" w:type="dxa"/>
            <w:shd w:val="clear" w:color="auto" w:fill="auto"/>
          </w:tcPr>
          <w:p w14:paraId="5122C7A3" w14:textId="77777777" w:rsidR="005A0820" w:rsidRPr="003D5D4C" w:rsidRDefault="005A0820" w:rsidP="005A0820">
            <w:pPr>
              <w:spacing w:before="60" w:line="240" w:lineRule="atLeast"/>
              <w:rPr>
                <w:rFonts w:eastAsia="Times New Roman" w:cs="Times New Roman"/>
                <w:color w:val="000000"/>
                <w:sz w:val="20"/>
                <w:lang w:eastAsia="en-AU"/>
              </w:rPr>
            </w:pPr>
            <w:r w:rsidRPr="003D5D4C">
              <w:rPr>
                <w:rFonts w:eastAsia="Times New Roman" w:cs="Times New Roman"/>
                <w:color w:val="000000"/>
                <w:sz w:val="20"/>
                <w:lang w:eastAsia="en-AU"/>
              </w:rPr>
              <w:t>0.1</w:t>
            </w:r>
            <w:r w:rsidR="00AB0A15" w:rsidRPr="003D5D4C">
              <w:rPr>
                <w:rFonts w:eastAsia="Times New Roman" w:cs="Times New Roman"/>
                <w:color w:val="000000"/>
                <w:sz w:val="20"/>
                <w:lang w:eastAsia="en-AU"/>
              </w:rPr>
              <w:t>6</w:t>
            </w:r>
            <w:r w:rsidRPr="003D5D4C">
              <w:rPr>
                <w:rFonts w:eastAsia="Times New Roman" w:cs="Times New Roman"/>
                <w:color w:val="000000"/>
                <w:sz w:val="20"/>
                <w:lang w:eastAsia="en-AU"/>
              </w:rPr>
              <w:t>%</w:t>
            </w:r>
          </w:p>
        </w:tc>
        <w:tc>
          <w:tcPr>
            <w:tcW w:w="1233" w:type="dxa"/>
            <w:shd w:val="clear" w:color="auto" w:fill="auto"/>
          </w:tcPr>
          <w:p w14:paraId="3E5196DA" w14:textId="77777777" w:rsidR="005A0820" w:rsidRPr="003D5D4C" w:rsidRDefault="005A0820" w:rsidP="005A0820">
            <w:pPr>
              <w:spacing w:before="60" w:line="240" w:lineRule="atLeast"/>
              <w:rPr>
                <w:rFonts w:eastAsia="Times New Roman" w:cs="Times New Roman"/>
                <w:color w:val="000000"/>
                <w:sz w:val="20"/>
                <w:lang w:eastAsia="en-AU"/>
              </w:rPr>
            </w:pPr>
            <w:r w:rsidRPr="003D5D4C">
              <w:rPr>
                <w:rFonts w:eastAsia="Times New Roman" w:cs="Times New Roman"/>
                <w:color w:val="000000"/>
                <w:sz w:val="20"/>
                <w:lang w:eastAsia="en-AU"/>
              </w:rPr>
              <w:t>14.00%</w:t>
            </w:r>
          </w:p>
        </w:tc>
      </w:tr>
      <w:tr w:rsidR="005A0820" w:rsidRPr="003D5D4C" w14:paraId="02AAE24B" w14:textId="77777777" w:rsidTr="001A0554">
        <w:tc>
          <w:tcPr>
            <w:tcW w:w="714" w:type="dxa"/>
            <w:shd w:val="clear" w:color="auto" w:fill="auto"/>
          </w:tcPr>
          <w:p w14:paraId="4CC108DE" w14:textId="77777777" w:rsidR="005A0820" w:rsidRPr="003D5D4C" w:rsidRDefault="001A0554" w:rsidP="005A0820">
            <w:pPr>
              <w:pStyle w:val="Tabletext"/>
            </w:pPr>
            <w:r w:rsidRPr="003D5D4C">
              <w:lastRenderedPageBreak/>
              <w:t>4</w:t>
            </w:r>
          </w:p>
        </w:tc>
        <w:tc>
          <w:tcPr>
            <w:tcW w:w="1833" w:type="dxa"/>
            <w:shd w:val="clear" w:color="auto" w:fill="auto"/>
          </w:tcPr>
          <w:p w14:paraId="247E12DA" w14:textId="77777777" w:rsidR="005A0820" w:rsidRPr="003D5D4C" w:rsidRDefault="005A0820" w:rsidP="005A0820">
            <w:pPr>
              <w:pStyle w:val="Tabletext"/>
            </w:pPr>
            <w:r w:rsidRPr="003D5D4C">
              <w:t>International Equity (hedged; developed markets)</w:t>
            </w:r>
          </w:p>
        </w:tc>
        <w:tc>
          <w:tcPr>
            <w:tcW w:w="3402" w:type="dxa"/>
            <w:shd w:val="clear" w:color="auto" w:fill="auto"/>
          </w:tcPr>
          <w:p w14:paraId="13A605BF" w14:textId="77777777" w:rsidR="005A0820" w:rsidRPr="003D5D4C" w:rsidRDefault="005A0820" w:rsidP="005A0820">
            <w:pPr>
              <w:spacing w:before="60" w:line="240" w:lineRule="atLeast"/>
              <w:rPr>
                <w:rFonts w:eastAsia="Times New Roman" w:cs="Times New Roman"/>
                <w:color w:val="000000" w:themeColor="text1"/>
                <w:sz w:val="20"/>
                <w:lang w:eastAsia="en-AU"/>
              </w:rPr>
            </w:pPr>
            <w:r w:rsidRPr="003D5D4C">
              <w:rPr>
                <w:rFonts w:eastAsia="Times New Roman" w:cs="Times New Roman"/>
                <w:color w:val="000000" w:themeColor="text1"/>
                <w:sz w:val="20"/>
                <w:lang w:eastAsia="en-AU"/>
              </w:rPr>
              <w:t>DA750700</w:t>
            </w:r>
          </w:p>
          <w:p w14:paraId="63372DFA" w14:textId="77777777" w:rsidR="005A0820" w:rsidRPr="003D5D4C" w:rsidRDefault="005A0820" w:rsidP="005A0820">
            <w:pPr>
              <w:spacing w:before="60" w:line="240" w:lineRule="atLeast"/>
              <w:rPr>
                <w:rFonts w:eastAsia="Times New Roman" w:cs="Times New Roman"/>
                <w:color w:val="000000"/>
                <w:sz w:val="20"/>
                <w:lang w:eastAsia="en-AU"/>
              </w:rPr>
            </w:pPr>
            <w:r w:rsidRPr="003D5D4C">
              <w:rPr>
                <w:rFonts w:eastAsia="Times New Roman" w:cs="Times New Roman"/>
                <w:color w:val="000000" w:themeColor="text1"/>
                <w:sz w:val="20"/>
                <w:lang w:eastAsia="en-AU"/>
              </w:rPr>
              <w:t>MSCI World ex Australia with Special Tax (100% hedged to AUD)</w:t>
            </w:r>
          </w:p>
        </w:tc>
        <w:tc>
          <w:tcPr>
            <w:tcW w:w="1134" w:type="dxa"/>
            <w:shd w:val="clear" w:color="auto" w:fill="auto"/>
          </w:tcPr>
          <w:p w14:paraId="56EBB57F" w14:textId="77777777" w:rsidR="005A0820" w:rsidRPr="003D5D4C" w:rsidRDefault="005A0820" w:rsidP="005A0820">
            <w:pPr>
              <w:spacing w:before="60" w:line="240" w:lineRule="atLeast"/>
              <w:rPr>
                <w:rFonts w:eastAsia="Times New Roman" w:cs="Times New Roman"/>
                <w:color w:val="000000"/>
                <w:sz w:val="20"/>
                <w:lang w:eastAsia="en-AU"/>
              </w:rPr>
            </w:pPr>
            <w:r w:rsidRPr="003D5D4C">
              <w:rPr>
                <w:rFonts w:eastAsia="Times New Roman" w:cs="Times New Roman"/>
                <w:color w:val="000000"/>
                <w:sz w:val="20"/>
                <w:lang w:eastAsia="en-AU"/>
              </w:rPr>
              <w:t>0.1</w:t>
            </w:r>
            <w:r w:rsidR="00AB0A15" w:rsidRPr="003D5D4C">
              <w:rPr>
                <w:rFonts w:eastAsia="Times New Roman" w:cs="Times New Roman"/>
                <w:color w:val="000000"/>
                <w:sz w:val="20"/>
                <w:lang w:eastAsia="en-AU"/>
              </w:rPr>
              <w:t>0</w:t>
            </w:r>
            <w:r w:rsidRPr="003D5D4C">
              <w:rPr>
                <w:rFonts w:eastAsia="Times New Roman" w:cs="Times New Roman"/>
                <w:color w:val="000000"/>
                <w:sz w:val="20"/>
                <w:lang w:eastAsia="en-AU"/>
              </w:rPr>
              <w:t>%</w:t>
            </w:r>
          </w:p>
        </w:tc>
        <w:tc>
          <w:tcPr>
            <w:tcW w:w="1233" w:type="dxa"/>
            <w:shd w:val="clear" w:color="auto" w:fill="auto"/>
          </w:tcPr>
          <w:p w14:paraId="2B9EB5A2" w14:textId="77777777" w:rsidR="005A0820" w:rsidRPr="003D5D4C" w:rsidRDefault="005A0820" w:rsidP="005A0820">
            <w:pPr>
              <w:spacing w:before="60" w:line="240" w:lineRule="atLeast"/>
              <w:rPr>
                <w:rFonts w:eastAsia="Times New Roman" w:cs="Times New Roman"/>
                <w:color w:val="000000"/>
                <w:sz w:val="20"/>
                <w:lang w:eastAsia="en-AU"/>
              </w:rPr>
            </w:pPr>
            <w:r w:rsidRPr="003D5D4C">
              <w:rPr>
                <w:rFonts w:eastAsia="Times New Roman" w:cs="Times New Roman"/>
                <w:color w:val="000000"/>
                <w:sz w:val="20"/>
                <w:lang w:eastAsia="en-AU"/>
              </w:rPr>
              <w:t>14.00%</w:t>
            </w:r>
          </w:p>
        </w:tc>
      </w:tr>
      <w:tr w:rsidR="005A0820" w:rsidRPr="003D5D4C" w14:paraId="4A7CDD76" w14:textId="77777777" w:rsidTr="001A0554">
        <w:tc>
          <w:tcPr>
            <w:tcW w:w="714" w:type="dxa"/>
            <w:shd w:val="clear" w:color="auto" w:fill="auto"/>
          </w:tcPr>
          <w:p w14:paraId="70B813EF" w14:textId="77777777" w:rsidR="005A0820" w:rsidRPr="003D5D4C" w:rsidRDefault="001A0554" w:rsidP="005A0820">
            <w:pPr>
              <w:pStyle w:val="Tabletext"/>
            </w:pPr>
            <w:r w:rsidRPr="003D5D4C">
              <w:t>5</w:t>
            </w:r>
          </w:p>
        </w:tc>
        <w:tc>
          <w:tcPr>
            <w:tcW w:w="1833" w:type="dxa"/>
            <w:shd w:val="clear" w:color="auto" w:fill="auto"/>
          </w:tcPr>
          <w:p w14:paraId="60E1BCF9" w14:textId="77777777" w:rsidR="005A0820" w:rsidRPr="003D5D4C" w:rsidRDefault="005A0820" w:rsidP="005A0820">
            <w:pPr>
              <w:pStyle w:val="Tabletext"/>
            </w:pPr>
            <w:r w:rsidRPr="003D5D4C">
              <w:t>International Equity (unhedged; international economy type not specified or not applicable)</w:t>
            </w:r>
          </w:p>
        </w:tc>
        <w:tc>
          <w:tcPr>
            <w:tcW w:w="3402" w:type="dxa"/>
            <w:shd w:val="clear" w:color="auto" w:fill="auto"/>
          </w:tcPr>
          <w:p w14:paraId="4F1B84AF" w14:textId="77777777" w:rsidR="005A0820" w:rsidRPr="003D5D4C" w:rsidRDefault="005A0820" w:rsidP="005A0820">
            <w:pPr>
              <w:pStyle w:val="Tabletext"/>
            </w:pPr>
            <w:r w:rsidRPr="003D5D4C">
              <w:t>DN714533</w:t>
            </w:r>
          </w:p>
          <w:p w14:paraId="6DBDFA73" w14:textId="77777777" w:rsidR="005A0820" w:rsidRPr="003D5D4C" w:rsidRDefault="005A0820" w:rsidP="005A0820">
            <w:pPr>
              <w:pStyle w:val="Tabletext"/>
            </w:pPr>
            <w:r w:rsidRPr="003D5D4C">
              <w:t>MSCI All Country World Ex</w:t>
            </w:r>
            <w:r w:rsidR="00A70ACD" w:rsidRPr="003D5D4C">
              <w:noBreakHyphen/>
            </w:r>
            <w:r w:rsidRPr="003D5D4C">
              <w:t>Australia Equities Index with Special Tax (unhedged in AUD)</w:t>
            </w:r>
          </w:p>
        </w:tc>
        <w:tc>
          <w:tcPr>
            <w:tcW w:w="1134" w:type="dxa"/>
            <w:shd w:val="clear" w:color="auto" w:fill="auto"/>
          </w:tcPr>
          <w:p w14:paraId="2C3DF58E" w14:textId="77777777" w:rsidR="005A0820" w:rsidRPr="003D5D4C" w:rsidRDefault="005A0820" w:rsidP="005A0820">
            <w:pPr>
              <w:pStyle w:val="Tabletext"/>
            </w:pPr>
            <w:r w:rsidRPr="003D5D4C">
              <w:t>0.09%</w:t>
            </w:r>
          </w:p>
        </w:tc>
        <w:tc>
          <w:tcPr>
            <w:tcW w:w="1233" w:type="dxa"/>
            <w:shd w:val="clear" w:color="auto" w:fill="auto"/>
          </w:tcPr>
          <w:p w14:paraId="60021217" w14:textId="77777777" w:rsidR="005A0820" w:rsidRPr="003D5D4C" w:rsidRDefault="005A0820" w:rsidP="005A0820">
            <w:pPr>
              <w:pStyle w:val="Tabletext"/>
            </w:pPr>
            <w:r w:rsidRPr="003D5D4C">
              <w:t>14.00%</w:t>
            </w:r>
          </w:p>
        </w:tc>
      </w:tr>
      <w:tr w:rsidR="005A0820" w:rsidRPr="003D5D4C" w14:paraId="0837B30D" w14:textId="77777777" w:rsidTr="001A0554">
        <w:tc>
          <w:tcPr>
            <w:tcW w:w="714" w:type="dxa"/>
            <w:shd w:val="clear" w:color="auto" w:fill="auto"/>
          </w:tcPr>
          <w:p w14:paraId="3348E14B" w14:textId="77777777" w:rsidR="005A0820" w:rsidRPr="003D5D4C" w:rsidRDefault="001A0554" w:rsidP="005A0820">
            <w:pPr>
              <w:pStyle w:val="Tabletext"/>
            </w:pPr>
            <w:r w:rsidRPr="003D5D4C">
              <w:t>6</w:t>
            </w:r>
          </w:p>
        </w:tc>
        <w:tc>
          <w:tcPr>
            <w:tcW w:w="1833" w:type="dxa"/>
            <w:shd w:val="clear" w:color="auto" w:fill="auto"/>
          </w:tcPr>
          <w:p w14:paraId="0DF7C388" w14:textId="77777777" w:rsidR="005A0820" w:rsidRPr="003D5D4C" w:rsidRDefault="005A0820" w:rsidP="005A0820">
            <w:pPr>
              <w:pStyle w:val="Tabletext"/>
            </w:pPr>
            <w:r w:rsidRPr="003D5D4C">
              <w:t>International Equity (unhedged; emerging markets)</w:t>
            </w:r>
          </w:p>
        </w:tc>
        <w:tc>
          <w:tcPr>
            <w:tcW w:w="3402" w:type="dxa"/>
            <w:shd w:val="clear" w:color="auto" w:fill="auto"/>
          </w:tcPr>
          <w:p w14:paraId="7514DE3E" w14:textId="77777777" w:rsidR="00D70699" w:rsidRPr="003D5D4C" w:rsidRDefault="00D70699" w:rsidP="005A0820">
            <w:pPr>
              <w:spacing w:before="60" w:line="240" w:lineRule="atLeast"/>
              <w:rPr>
                <w:rFonts w:eastAsia="Times New Roman" w:cs="Times New Roman"/>
                <w:color w:val="000000" w:themeColor="text1"/>
                <w:sz w:val="20"/>
                <w:lang w:eastAsia="en-AU"/>
              </w:rPr>
            </w:pPr>
            <w:r w:rsidRPr="003D5D4C">
              <w:rPr>
                <w:rFonts w:eastAsia="Times New Roman" w:cs="Times New Roman"/>
                <w:color w:val="000000" w:themeColor="text1"/>
                <w:sz w:val="20"/>
                <w:lang w:eastAsia="en-AU"/>
              </w:rPr>
              <w:t>NA714531</w:t>
            </w:r>
          </w:p>
          <w:p w14:paraId="3C9EE650" w14:textId="77777777" w:rsidR="005A0820" w:rsidRPr="003D5D4C" w:rsidRDefault="005A0820" w:rsidP="005A0820">
            <w:pPr>
              <w:spacing w:before="60" w:line="240" w:lineRule="atLeast"/>
              <w:rPr>
                <w:rFonts w:eastAsia="Times New Roman" w:cs="Times New Roman"/>
                <w:color w:val="000000"/>
                <w:sz w:val="20"/>
                <w:lang w:eastAsia="en-AU"/>
              </w:rPr>
            </w:pPr>
            <w:r w:rsidRPr="003D5D4C">
              <w:rPr>
                <w:rFonts w:eastAsia="Times New Roman" w:cs="Times New Roman"/>
                <w:color w:val="000000" w:themeColor="text1"/>
                <w:sz w:val="20"/>
                <w:lang w:eastAsia="en-AU"/>
              </w:rPr>
              <w:t>MSCI Emerging Markets with Special Tax (unhedged in AUD)</w:t>
            </w:r>
          </w:p>
        </w:tc>
        <w:tc>
          <w:tcPr>
            <w:tcW w:w="1134" w:type="dxa"/>
            <w:shd w:val="clear" w:color="auto" w:fill="auto"/>
          </w:tcPr>
          <w:p w14:paraId="36F65338" w14:textId="77777777" w:rsidR="005A0820" w:rsidRPr="003D5D4C" w:rsidRDefault="005A0820" w:rsidP="005A0820">
            <w:pPr>
              <w:spacing w:before="60" w:line="240" w:lineRule="atLeast"/>
              <w:rPr>
                <w:rFonts w:eastAsia="Times New Roman" w:cs="Times New Roman"/>
                <w:color w:val="000000"/>
                <w:sz w:val="20"/>
                <w:lang w:eastAsia="en-AU"/>
              </w:rPr>
            </w:pPr>
            <w:r w:rsidRPr="003D5D4C">
              <w:rPr>
                <w:rFonts w:eastAsia="Times New Roman" w:cs="Times New Roman"/>
                <w:color w:val="000000"/>
                <w:sz w:val="20"/>
                <w:lang w:eastAsia="en-AU"/>
              </w:rPr>
              <w:t>0.</w:t>
            </w:r>
            <w:r w:rsidR="00D70699" w:rsidRPr="003D5D4C">
              <w:rPr>
                <w:rFonts w:eastAsia="Times New Roman" w:cs="Times New Roman"/>
                <w:color w:val="000000"/>
                <w:sz w:val="20"/>
                <w:lang w:eastAsia="en-AU"/>
              </w:rPr>
              <w:t>14</w:t>
            </w:r>
            <w:r w:rsidRPr="003D5D4C">
              <w:rPr>
                <w:rFonts w:eastAsia="Times New Roman" w:cs="Times New Roman"/>
                <w:color w:val="000000"/>
                <w:sz w:val="20"/>
                <w:lang w:eastAsia="en-AU"/>
              </w:rPr>
              <w:t>%</w:t>
            </w:r>
          </w:p>
        </w:tc>
        <w:tc>
          <w:tcPr>
            <w:tcW w:w="1233" w:type="dxa"/>
            <w:shd w:val="clear" w:color="auto" w:fill="auto"/>
          </w:tcPr>
          <w:p w14:paraId="22E3621D" w14:textId="77777777" w:rsidR="005A0820" w:rsidRPr="003D5D4C" w:rsidRDefault="005A0820" w:rsidP="005A0820">
            <w:pPr>
              <w:spacing w:before="60" w:line="240" w:lineRule="atLeast"/>
              <w:rPr>
                <w:rFonts w:eastAsia="Times New Roman" w:cs="Times New Roman"/>
                <w:color w:val="000000"/>
                <w:sz w:val="20"/>
                <w:lang w:eastAsia="en-AU"/>
              </w:rPr>
            </w:pPr>
            <w:r w:rsidRPr="003D5D4C">
              <w:rPr>
                <w:rFonts w:eastAsia="Times New Roman" w:cs="Times New Roman"/>
                <w:color w:val="000000"/>
                <w:sz w:val="20"/>
                <w:lang w:eastAsia="en-AU"/>
              </w:rPr>
              <w:t>14.00%</w:t>
            </w:r>
          </w:p>
        </w:tc>
      </w:tr>
      <w:tr w:rsidR="005A0820" w:rsidRPr="003D5D4C" w14:paraId="33E34146" w14:textId="77777777" w:rsidTr="001A0554">
        <w:tc>
          <w:tcPr>
            <w:tcW w:w="714" w:type="dxa"/>
            <w:shd w:val="clear" w:color="auto" w:fill="auto"/>
          </w:tcPr>
          <w:p w14:paraId="5BDCBC42" w14:textId="77777777" w:rsidR="005A0820" w:rsidRPr="003D5D4C" w:rsidRDefault="001A0554" w:rsidP="005A0820">
            <w:pPr>
              <w:pStyle w:val="Tabletext"/>
            </w:pPr>
            <w:r w:rsidRPr="003D5D4C">
              <w:t>7</w:t>
            </w:r>
          </w:p>
        </w:tc>
        <w:tc>
          <w:tcPr>
            <w:tcW w:w="1833" w:type="dxa"/>
            <w:shd w:val="clear" w:color="auto" w:fill="auto"/>
          </w:tcPr>
          <w:p w14:paraId="3E2F1535" w14:textId="77777777" w:rsidR="005A0820" w:rsidRPr="003D5D4C" w:rsidRDefault="005A0820" w:rsidP="005A0820">
            <w:pPr>
              <w:pStyle w:val="Tabletext"/>
            </w:pPr>
            <w:r w:rsidRPr="003D5D4C">
              <w:t>International Equity (unhedged; developed markets)</w:t>
            </w:r>
          </w:p>
        </w:tc>
        <w:tc>
          <w:tcPr>
            <w:tcW w:w="3402" w:type="dxa"/>
            <w:shd w:val="clear" w:color="auto" w:fill="auto"/>
          </w:tcPr>
          <w:p w14:paraId="2F4D54F1" w14:textId="77777777" w:rsidR="00D70699" w:rsidRPr="003D5D4C" w:rsidRDefault="00D70699" w:rsidP="005A0820">
            <w:pPr>
              <w:spacing w:before="60" w:line="240" w:lineRule="atLeast"/>
              <w:rPr>
                <w:rFonts w:eastAsia="Times New Roman" w:cs="Times New Roman"/>
                <w:color w:val="000000" w:themeColor="text1"/>
                <w:sz w:val="20"/>
                <w:lang w:eastAsia="en-AU"/>
              </w:rPr>
            </w:pPr>
            <w:r w:rsidRPr="003D5D4C">
              <w:rPr>
                <w:rFonts w:eastAsia="Times New Roman" w:cs="Times New Roman"/>
                <w:color w:val="000000" w:themeColor="text1"/>
                <w:sz w:val="20"/>
                <w:lang w:eastAsia="en-AU"/>
              </w:rPr>
              <w:t>NA714532</w:t>
            </w:r>
          </w:p>
          <w:p w14:paraId="44C06E5A" w14:textId="77777777" w:rsidR="005A0820" w:rsidRPr="003D5D4C" w:rsidRDefault="005A0820" w:rsidP="005A0820">
            <w:pPr>
              <w:spacing w:before="60" w:line="240" w:lineRule="atLeast"/>
              <w:rPr>
                <w:rFonts w:eastAsia="Times New Roman" w:cs="Times New Roman"/>
                <w:color w:val="000000"/>
                <w:sz w:val="20"/>
                <w:lang w:eastAsia="en-AU"/>
              </w:rPr>
            </w:pPr>
            <w:r w:rsidRPr="003D5D4C">
              <w:rPr>
                <w:rFonts w:eastAsia="Times New Roman" w:cs="Times New Roman"/>
                <w:color w:val="000000" w:themeColor="text1"/>
                <w:sz w:val="20"/>
                <w:lang w:eastAsia="en-AU"/>
              </w:rPr>
              <w:t>MSCI World ex Australia with Special Tax (unhedged in AUD)</w:t>
            </w:r>
          </w:p>
        </w:tc>
        <w:tc>
          <w:tcPr>
            <w:tcW w:w="1134" w:type="dxa"/>
            <w:shd w:val="clear" w:color="auto" w:fill="auto"/>
          </w:tcPr>
          <w:p w14:paraId="25565381" w14:textId="77777777" w:rsidR="005A0820" w:rsidRPr="003D5D4C" w:rsidRDefault="005A0820" w:rsidP="005A0820">
            <w:pPr>
              <w:spacing w:before="60" w:line="240" w:lineRule="atLeast"/>
              <w:rPr>
                <w:rFonts w:eastAsia="Times New Roman" w:cs="Times New Roman"/>
                <w:color w:val="000000"/>
                <w:sz w:val="20"/>
                <w:lang w:eastAsia="en-AU"/>
              </w:rPr>
            </w:pPr>
            <w:r w:rsidRPr="003D5D4C">
              <w:rPr>
                <w:rFonts w:eastAsia="Times New Roman" w:cs="Times New Roman"/>
                <w:color w:val="000000"/>
                <w:sz w:val="20"/>
                <w:lang w:eastAsia="en-AU"/>
              </w:rPr>
              <w:t>0.0</w:t>
            </w:r>
            <w:r w:rsidR="00D70699" w:rsidRPr="003D5D4C">
              <w:rPr>
                <w:rFonts w:eastAsia="Times New Roman" w:cs="Times New Roman"/>
                <w:color w:val="000000"/>
                <w:sz w:val="20"/>
                <w:lang w:eastAsia="en-AU"/>
              </w:rPr>
              <w:t>8</w:t>
            </w:r>
            <w:r w:rsidRPr="003D5D4C">
              <w:rPr>
                <w:rFonts w:eastAsia="Times New Roman" w:cs="Times New Roman"/>
                <w:color w:val="000000"/>
                <w:sz w:val="20"/>
                <w:lang w:eastAsia="en-AU"/>
              </w:rPr>
              <w:t>%</w:t>
            </w:r>
          </w:p>
        </w:tc>
        <w:tc>
          <w:tcPr>
            <w:tcW w:w="1233" w:type="dxa"/>
            <w:shd w:val="clear" w:color="auto" w:fill="auto"/>
          </w:tcPr>
          <w:p w14:paraId="7BCE4969" w14:textId="77777777" w:rsidR="005A0820" w:rsidRPr="003D5D4C" w:rsidRDefault="005A0820" w:rsidP="005A0820">
            <w:pPr>
              <w:spacing w:before="60" w:line="240" w:lineRule="atLeast"/>
              <w:rPr>
                <w:rFonts w:eastAsia="Times New Roman" w:cs="Times New Roman"/>
                <w:color w:val="000000"/>
                <w:sz w:val="20"/>
                <w:lang w:eastAsia="en-AU"/>
              </w:rPr>
            </w:pPr>
            <w:r w:rsidRPr="003D5D4C">
              <w:rPr>
                <w:rFonts w:eastAsia="Times New Roman" w:cs="Times New Roman"/>
                <w:color w:val="000000"/>
                <w:sz w:val="20"/>
                <w:lang w:eastAsia="en-AU"/>
              </w:rPr>
              <w:t>14.00%</w:t>
            </w:r>
          </w:p>
        </w:tc>
      </w:tr>
      <w:tr w:rsidR="005A0820" w:rsidRPr="003D5D4C" w14:paraId="5558D417" w14:textId="77777777" w:rsidTr="001A0554">
        <w:tc>
          <w:tcPr>
            <w:tcW w:w="714" w:type="dxa"/>
            <w:shd w:val="clear" w:color="auto" w:fill="auto"/>
          </w:tcPr>
          <w:p w14:paraId="304BE549" w14:textId="77777777" w:rsidR="005A0820" w:rsidRPr="003D5D4C" w:rsidRDefault="001A0554" w:rsidP="005A0820">
            <w:pPr>
              <w:pStyle w:val="Tabletext"/>
            </w:pPr>
            <w:r w:rsidRPr="003D5D4C">
              <w:t>8</w:t>
            </w:r>
          </w:p>
        </w:tc>
        <w:tc>
          <w:tcPr>
            <w:tcW w:w="1833" w:type="dxa"/>
            <w:shd w:val="clear" w:color="auto" w:fill="auto"/>
          </w:tcPr>
          <w:p w14:paraId="6AA7E69A" w14:textId="77777777" w:rsidR="005A0820" w:rsidRPr="003D5D4C" w:rsidRDefault="005A0820" w:rsidP="005A0820">
            <w:pPr>
              <w:pStyle w:val="Tabletext"/>
            </w:pPr>
            <w:r w:rsidRPr="003D5D4C">
              <w:t>Australian Listed Property</w:t>
            </w:r>
          </w:p>
        </w:tc>
        <w:tc>
          <w:tcPr>
            <w:tcW w:w="3402" w:type="dxa"/>
            <w:shd w:val="clear" w:color="auto" w:fill="auto"/>
          </w:tcPr>
          <w:p w14:paraId="46468DEB" w14:textId="77777777" w:rsidR="005A0820" w:rsidRPr="003D5D4C" w:rsidRDefault="005A0820" w:rsidP="005A0820">
            <w:pPr>
              <w:pStyle w:val="Tabletext"/>
            </w:pPr>
            <w:r w:rsidRPr="003D5D4C">
              <w:t>ASA6PROP</w:t>
            </w:r>
          </w:p>
          <w:p w14:paraId="1BBF4066" w14:textId="77777777" w:rsidR="005A0820" w:rsidRPr="003D5D4C" w:rsidRDefault="005A0820" w:rsidP="005A0820">
            <w:pPr>
              <w:pStyle w:val="Tabletext"/>
            </w:pPr>
            <w:r w:rsidRPr="003D5D4C">
              <w:t>S&amp;P/ASX 300 A</w:t>
            </w:r>
            <w:r w:rsidR="00A70ACD" w:rsidRPr="003D5D4C">
              <w:noBreakHyphen/>
            </w:r>
            <w:r w:rsidRPr="003D5D4C">
              <w:t>REIT Total Return Index</w:t>
            </w:r>
          </w:p>
        </w:tc>
        <w:tc>
          <w:tcPr>
            <w:tcW w:w="1134" w:type="dxa"/>
            <w:shd w:val="clear" w:color="auto" w:fill="auto"/>
          </w:tcPr>
          <w:p w14:paraId="13163C3C" w14:textId="77777777" w:rsidR="005A0820" w:rsidRPr="003D5D4C" w:rsidRDefault="005A0820" w:rsidP="005A0820">
            <w:pPr>
              <w:pStyle w:val="Tabletext"/>
            </w:pPr>
            <w:r w:rsidRPr="003D5D4C">
              <w:t>0.12%</w:t>
            </w:r>
          </w:p>
        </w:tc>
        <w:tc>
          <w:tcPr>
            <w:tcW w:w="1233" w:type="dxa"/>
            <w:shd w:val="clear" w:color="auto" w:fill="auto"/>
          </w:tcPr>
          <w:p w14:paraId="57117F98" w14:textId="77777777" w:rsidR="005A0820" w:rsidRPr="003D5D4C" w:rsidRDefault="005A0820" w:rsidP="005A0820">
            <w:pPr>
              <w:pStyle w:val="Tabletext"/>
            </w:pPr>
            <w:r w:rsidRPr="003D5D4C">
              <w:t>14.00%</w:t>
            </w:r>
          </w:p>
        </w:tc>
      </w:tr>
      <w:tr w:rsidR="005A0820" w:rsidRPr="003D5D4C" w14:paraId="6C537CAE" w14:textId="77777777" w:rsidTr="001A0554">
        <w:tc>
          <w:tcPr>
            <w:tcW w:w="714" w:type="dxa"/>
            <w:shd w:val="clear" w:color="auto" w:fill="auto"/>
          </w:tcPr>
          <w:p w14:paraId="4BCD6972" w14:textId="77777777" w:rsidR="005A0820" w:rsidRPr="003D5D4C" w:rsidRDefault="001A0554" w:rsidP="005A0820">
            <w:pPr>
              <w:pStyle w:val="Tabletext"/>
            </w:pPr>
            <w:r w:rsidRPr="003D5D4C">
              <w:t>9</w:t>
            </w:r>
          </w:p>
        </w:tc>
        <w:tc>
          <w:tcPr>
            <w:tcW w:w="1833" w:type="dxa"/>
            <w:shd w:val="clear" w:color="auto" w:fill="auto"/>
          </w:tcPr>
          <w:p w14:paraId="22531441" w14:textId="77777777" w:rsidR="005A0820" w:rsidRPr="003D5D4C" w:rsidRDefault="005A0820" w:rsidP="005A0820">
            <w:pPr>
              <w:pStyle w:val="Tabletext"/>
            </w:pPr>
            <w:r w:rsidRPr="003D5D4C">
              <w:t>International Listed Property</w:t>
            </w:r>
          </w:p>
        </w:tc>
        <w:tc>
          <w:tcPr>
            <w:tcW w:w="3402" w:type="dxa"/>
            <w:shd w:val="clear" w:color="auto" w:fill="auto"/>
          </w:tcPr>
          <w:p w14:paraId="683CD348" w14:textId="77777777" w:rsidR="005A0820" w:rsidRPr="003D5D4C" w:rsidRDefault="005A0820" w:rsidP="005A0820">
            <w:pPr>
              <w:pStyle w:val="Tabletext"/>
            </w:pPr>
            <w:r w:rsidRPr="003D5D4C">
              <w:t>RAHRSAH</w:t>
            </w:r>
          </w:p>
          <w:p w14:paraId="008270EA" w14:textId="77777777" w:rsidR="005A0820" w:rsidRPr="003D5D4C" w:rsidRDefault="005A0820" w:rsidP="005A0820">
            <w:pPr>
              <w:pStyle w:val="Tabletext"/>
            </w:pPr>
            <w:r w:rsidRPr="003D5D4C">
              <w:t>FTSE EPRA Nareit Developed ex Aus Rental 100% Hedged to AUD Net Tax (Super) Index</w:t>
            </w:r>
          </w:p>
        </w:tc>
        <w:tc>
          <w:tcPr>
            <w:tcW w:w="1134" w:type="dxa"/>
            <w:shd w:val="clear" w:color="auto" w:fill="auto"/>
          </w:tcPr>
          <w:p w14:paraId="273268DF" w14:textId="77777777" w:rsidR="005A0820" w:rsidRPr="003D5D4C" w:rsidRDefault="005A0820" w:rsidP="005A0820">
            <w:pPr>
              <w:pStyle w:val="Tabletext"/>
            </w:pPr>
            <w:r w:rsidRPr="003D5D4C">
              <w:t>0.22%</w:t>
            </w:r>
          </w:p>
        </w:tc>
        <w:tc>
          <w:tcPr>
            <w:tcW w:w="1233" w:type="dxa"/>
            <w:shd w:val="clear" w:color="auto" w:fill="auto"/>
          </w:tcPr>
          <w:p w14:paraId="53EDFEC4" w14:textId="77777777" w:rsidR="005A0820" w:rsidRPr="003D5D4C" w:rsidRDefault="005A0820" w:rsidP="005A0820">
            <w:pPr>
              <w:pStyle w:val="Tabletext"/>
            </w:pPr>
            <w:r w:rsidRPr="003D5D4C">
              <w:t>14.00%</w:t>
            </w:r>
          </w:p>
        </w:tc>
      </w:tr>
      <w:tr w:rsidR="005A0820" w:rsidRPr="003D5D4C" w14:paraId="161E7790" w14:textId="77777777" w:rsidTr="001A0554">
        <w:tc>
          <w:tcPr>
            <w:tcW w:w="714" w:type="dxa"/>
            <w:shd w:val="clear" w:color="auto" w:fill="auto"/>
          </w:tcPr>
          <w:p w14:paraId="59E30EB4" w14:textId="77777777" w:rsidR="005A0820" w:rsidRPr="003D5D4C" w:rsidRDefault="001A0554" w:rsidP="005A0820">
            <w:pPr>
              <w:pStyle w:val="Tabletext"/>
            </w:pPr>
            <w:r w:rsidRPr="003D5D4C">
              <w:t>10</w:t>
            </w:r>
          </w:p>
        </w:tc>
        <w:tc>
          <w:tcPr>
            <w:tcW w:w="1833" w:type="dxa"/>
            <w:shd w:val="clear" w:color="auto" w:fill="auto"/>
          </w:tcPr>
          <w:p w14:paraId="76B7F404" w14:textId="77777777" w:rsidR="005A0820" w:rsidRPr="003D5D4C" w:rsidRDefault="005A0820" w:rsidP="005A0820">
            <w:pPr>
              <w:pStyle w:val="Tabletext"/>
            </w:pPr>
            <w:r w:rsidRPr="003D5D4C">
              <w:t>Australian Listed Infrastructure</w:t>
            </w:r>
          </w:p>
        </w:tc>
        <w:tc>
          <w:tcPr>
            <w:tcW w:w="3402" w:type="dxa"/>
            <w:shd w:val="clear" w:color="auto" w:fill="auto"/>
          </w:tcPr>
          <w:p w14:paraId="0A193B7C" w14:textId="77777777" w:rsidR="00D70699" w:rsidRPr="003D5D4C" w:rsidRDefault="00D70699" w:rsidP="00D70699">
            <w:pPr>
              <w:pStyle w:val="Tabletext"/>
            </w:pPr>
            <w:r w:rsidRPr="003D5D4C">
              <w:t>FDCICSAH</w:t>
            </w:r>
          </w:p>
          <w:p w14:paraId="050BCB9B" w14:textId="77777777" w:rsidR="005A0820" w:rsidRPr="003D5D4C" w:rsidRDefault="00D70699" w:rsidP="00D70699">
            <w:pPr>
              <w:pStyle w:val="Tabletext"/>
            </w:pPr>
            <w:r w:rsidRPr="003D5D4C">
              <w:t>FTSE Developed Core Infrastructure 50/5</w:t>
            </w:r>
            <w:r w:rsidR="00FB3C31" w:rsidRPr="003D5D4C">
              <w:t>0 1</w:t>
            </w:r>
            <w:r w:rsidRPr="003D5D4C">
              <w:t>00% Hedged to AUD Net Tax (Super) Index</w:t>
            </w:r>
          </w:p>
        </w:tc>
        <w:tc>
          <w:tcPr>
            <w:tcW w:w="1134" w:type="dxa"/>
            <w:shd w:val="clear" w:color="auto" w:fill="auto"/>
          </w:tcPr>
          <w:p w14:paraId="308EBEB2" w14:textId="77777777" w:rsidR="005A0820" w:rsidRPr="003D5D4C" w:rsidRDefault="005A0820" w:rsidP="005A0820">
            <w:pPr>
              <w:pStyle w:val="Tabletext"/>
            </w:pPr>
            <w:r w:rsidRPr="003D5D4C">
              <w:t>0.26%</w:t>
            </w:r>
          </w:p>
        </w:tc>
        <w:tc>
          <w:tcPr>
            <w:tcW w:w="1233" w:type="dxa"/>
            <w:shd w:val="clear" w:color="auto" w:fill="auto"/>
          </w:tcPr>
          <w:p w14:paraId="6F366DC8" w14:textId="77777777" w:rsidR="005A0820" w:rsidRPr="003D5D4C" w:rsidRDefault="005A0820" w:rsidP="005A0820">
            <w:pPr>
              <w:pStyle w:val="Tabletext"/>
            </w:pPr>
            <w:r w:rsidRPr="003D5D4C">
              <w:t>14.00%</w:t>
            </w:r>
          </w:p>
        </w:tc>
      </w:tr>
      <w:tr w:rsidR="005A0820" w:rsidRPr="003D5D4C" w14:paraId="58F6F071" w14:textId="77777777" w:rsidTr="001A0554">
        <w:tc>
          <w:tcPr>
            <w:tcW w:w="714" w:type="dxa"/>
            <w:shd w:val="clear" w:color="auto" w:fill="auto"/>
          </w:tcPr>
          <w:p w14:paraId="29DD83FD" w14:textId="77777777" w:rsidR="005A0820" w:rsidRPr="003D5D4C" w:rsidRDefault="001A0554" w:rsidP="005A0820">
            <w:pPr>
              <w:pStyle w:val="Tabletext"/>
            </w:pPr>
            <w:r w:rsidRPr="003D5D4C">
              <w:t>11</w:t>
            </w:r>
          </w:p>
        </w:tc>
        <w:tc>
          <w:tcPr>
            <w:tcW w:w="1833" w:type="dxa"/>
            <w:shd w:val="clear" w:color="auto" w:fill="auto"/>
          </w:tcPr>
          <w:p w14:paraId="321D4EFD" w14:textId="77777777" w:rsidR="005A0820" w:rsidRPr="003D5D4C" w:rsidRDefault="005A0820" w:rsidP="005A0820">
            <w:pPr>
              <w:pStyle w:val="Tabletext"/>
            </w:pPr>
            <w:r w:rsidRPr="003D5D4C">
              <w:t>International Listed Infrastructure</w:t>
            </w:r>
          </w:p>
        </w:tc>
        <w:tc>
          <w:tcPr>
            <w:tcW w:w="3402" w:type="dxa"/>
            <w:shd w:val="clear" w:color="auto" w:fill="auto"/>
          </w:tcPr>
          <w:p w14:paraId="296BFDBA" w14:textId="77777777" w:rsidR="00D70699" w:rsidRPr="003D5D4C" w:rsidRDefault="00D70699" w:rsidP="00D70699">
            <w:pPr>
              <w:pStyle w:val="Tabletext"/>
            </w:pPr>
            <w:r w:rsidRPr="003D5D4C">
              <w:t>FDCICSAH</w:t>
            </w:r>
          </w:p>
          <w:p w14:paraId="2EF19CCB" w14:textId="77777777" w:rsidR="005A0820" w:rsidRPr="003D5D4C" w:rsidRDefault="00D70699" w:rsidP="00D70699">
            <w:pPr>
              <w:pStyle w:val="Tabletext"/>
            </w:pPr>
            <w:r w:rsidRPr="003D5D4C">
              <w:t>FTSE Developed Core Infrastructure 50/5</w:t>
            </w:r>
            <w:r w:rsidR="00FB3C31" w:rsidRPr="003D5D4C">
              <w:t>0 1</w:t>
            </w:r>
            <w:r w:rsidRPr="003D5D4C">
              <w:t>00% Hedged to AUD Net Tax (Super) Index</w:t>
            </w:r>
          </w:p>
        </w:tc>
        <w:tc>
          <w:tcPr>
            <w:tcW w:w="1134" w:type="dxa"/>
            <w:shd w:val="clear" w:color="auto" w:fill="auto"/>
          </w:tcPr>
          <w:p w14:paraId="0618D185" w14:textId="77777777" w:rsidR="005A0820" w:rsidRPr="003D5D4C" w:rsidRDefault="005A0820" w:rsidP="005A0820">
            <w:pPr>
              <w:pStyle w:val="Tabletext"/>
            </w:pPr>
            <w:r w:rsidRPr="003D5D4C">
              <w:t>0.26%</w:t>
            </w:r>
          </w:p>
        </w:tc>
        <w:tc>
          <w:tcPr>
            <w:tcW w:w="1233" w:type="dxa"/>
            <w:shd w:val="clear" w:color="auto" w:fill="auto"/>
          </w:tcPr>
          <w:p w14:paraId="012A9085" w14:textId="77777777" w:rsidR="005A0820" w:rsidRPr="003D5D4C" w:rsidRDefault="005A0820" w:rsidP="005A0820">
            <w:pPr>
              <w:pStyle w:val="Tabletext"/>
            </w:pPr>
            <w:r w:rsidRPr="003D5D4C">
              <w:t>14.00%</w:t>
            </w:r>
          </w:p>
        </w:tc>
      </w:tr>
      <w:tr w:rsidR="005A0820" w:rsidRPr="003D5D4C" w14:paraId="3187C9BF" w14:textId="77777777" w:rsidTr="001A0554">
        <w:tc>
          <w:tcPr>
            <w:tcW w:w="714" w:type="dxa"/>
            <w:shd w:val="clear" w:color="auto" w:fill="auto"/>
          </w:tcPr>
          <w:p w14:paraId="14730CC0" w14:textId="77777777" w:rsidR="005A0820" w:rsidRPr="003D5D4C" w:rsidRDefault="001A0554" w:rsidP="005A0820">
            <w:pPr>
              <w:pStyle w:val="Tabletext"/>
            </w:pPr>
            <w:r w:rsidRPr="003D5D4C">
              <w:t>12</w:t>
            </w:r>
          </w:p>
        </w:tc>
        <w:tc>
          <w:tcPr>
            <w:tcW w:w="1833" w:type="dxa"/>
            <w:shd w:val="clear" w:color="auto" w:fill="auto"/>
          </w:tcPr>
          <w:p w14:paraId="1CBCDDB2" w14:textId="77777777" w:rsidR="005A0820" w:rsidRPr="003D5D4C" w:rsidRDefault="005A0820" w:rsidP="005A0820">
            <w:pPr>
              <w:pStyle w:val="Tabletext"/>
            </w:pPr>
            <w:r w:rsidRPr="003D5D4C">
              <w:t>Australian Unlisted Property</w:t>
            </w:r>
          </w:p>
        </w:tc>
        <w:tc>
          <w:tcPr>
            <w:tcW w:w="3402" w:type="dxa"/>
            <w:shd w:val="clear" w:color="auto" w:fill="auto"/>
          </w:tcPr>
          <w:p w14:paraId="1491B522" w14:textId="77777777" w:rsidR="005A0820" w:rsidRPr="003D5D4C" w:rsidRDefault="005A0820" w:rsidP="005A0820">
            <w:pPr>
              <w:pStyle w:val="Tabletext"/>
            </w:pPr>
            <w:r w:rsidRPr="003D5D4C">
              <w:t>MSCI/Mercer Australia Core Wholesale Monthly Property Fund Index – NAV</w:t>
            </w:r>
            <w:r w:rsidR="00A70ACD" w:rsidRPr="003D5D4C">
              <w:noBreakHyphen/>
            </w:r>
            <w:r w:rsidRPr="003D5D4C">
              <w:t>Weighted Post</w:t>
            </w:r>
            <w:r w:rsidR="00A70ACD" w:rsidRPr="003D5D4C">
              <w:noBreakHyphen/>
            </w:r>
            <w:r w:rsidRPr="003D5D4C">
              <w:t>Fee Total Return (All Funds)</w:t>
            </w:r>
          </w:p>
        </w:tc>
        <w:tc>
          <w:tcPr>
            <w:tcW w:w="1134" w:type="dxa"/>
            <w:shd w:val="clear" w:color="auto" w:fill="auto"/>
          </w:tcPr>
          <w:p w14:paraId="34DE870F" w14:textId="77777777" w:rsidR="005A0820" w:rsidRPr="003D5D4C" w:rsidRDefault="005A0820" w:rsidP="005A0820">
            <w:pPr>
              <w:pStyle w:val="Tabletext"/>
            </w:pPr>
            <w:r w:rsidRPr="003D5D4C">
              <w:t>0%</w:t>
            </w:r>
          </w:p>
        </w:tc>
        <w:tc>
          <w:tcPr>
            <w:tcW w:w="1233" w:type="dxa"/>
            <w:shd w:val="clear" w:color="auto" w:fill="auto"/>
          </w:tcPr>
          <w:p w14:paraId="57F01CA5" w14:textId="77777777" w:rsidR="005A0820" w:rsidRPr="003D5D4C" w:rsidRDefault="005A0820" w:rsidP="005A0820">
            <w:pPr>
              <w:pStyle w:val="Tabletext"/>
            </w:pPr>
            <w:r w:rsidRPr="003D5D4C">
              <w:t>14.00%</w:t>
            </w:r>
          </w:p>
        </w:tc>
      </w:tr>
      <w:tr w:rsidR="005A0820" w:rsidRPr="003D5D4C" w14:paraId="42971752" w14:textId="77777777" w:rsidTr="001A0554">
        <w:tc>
          <w:tcPr>
            <w:tcW w:w="714" w:type="dxa"/>
            <w:shd w:val="clear" w:color="auto" w:fill="auto"/>
          </w:tcPr>
          <w:p w14:paraId="41537C21" w14:textId="77777777" w:rsidR="005A0820" w:rsidRPr="003D5D4C" w:rsidRDefault="001A0554" w:rsidP="005A0820">
            <w:pPr>
              <w:pStyle w:val="Tabletext"/>
            </w:pPr>
            <w:r w:rsidRPr="003D5D4C">
              <w:t>13</w:t>
            </w:r>
          </w:p>
        </w:tc>
        <w:tc>
          <w:tcPr>
            <w:tcW w:w="1833" w:type="dxa"/>
            <w:shd w:val="clear" w:color="auto" w:fill="auto"/>
          </w:tcPr>
          <w:p w14:paraId="3ACDCC5D" w14:textId="77777777" w:rsidR="005A0820" w:rsidRPr="003D5D4C" w:rsidRDefault="005A0820" w:rsidP="005A0820">
            <w:pPr>
              <w:pStyle w:val="Tabletext"/>
            </w:pPr>
            <w:r w:rsidRPr="003D5D4C">
              <w:t>International Unlisted Property</w:t>
            </w:r>
          </w:p>
        </w:tc>
        <w:tc>
          <w:tcPr>
            <w:tcW w:w="3402" w:type="dxa"/>
            <w:shd w:val="clear" w:color="auto" w:fill="auto"/>
          </w:tcPr>
          <w:p w14:paraId="0425E57A" w14:textId="77777777" w:rsidR="005A0820" w:rsidRPr="003D5D4C" w:rsidRDefault="00587C3E" w:rsidP="005A0820">
            <w:pPr>
              <w:pStyle w:val="Tabletext"/>
            </w:pPr>
            <w:r w:rsidRPr="003D5D4C">
              <w:t>MSCI Global (Excl. Pan</w:t>
            </w:r>
            <w:r w:rsidR="00A70ACD" w:rsidRPr="003D5D4C">
              <w:noBreakHyphen/>
            </w:r>
            <w:r w:rsidRPr="003D5D4C">
              <w:t>Europe and Pan</w:t>
            </w:r>
            <w:r w:rsidR="00A70ACD" w:rsidRPr="003D5D4C">
              <w:noBreakHyphen/>
            </w:r>
            <w:r w:rsidRPr="003D5D4C">
              <w:t>Asia Funds) Quarterly Property Fund Index (Unfrozen) (Net Total Return; AUD fixed)</w:t>
            </w:r>
          </w:p>
        </w:tc>
        <w:tc>
          <w:tcPr>
            <w:tcW w:w="1134" w:type="dxa"/>
            <w:shd w:val="clear" w:color="auto" w:fill="auto"/>
          </w:tcPr>
          <w:p w14:paraId="3CE13D0E" w14:textId="77777777" w:rsidR="005A0820" w:rsidRPr="003D5D4C" w:rsidRDefault="005A0820" w:rsidP="005A0820">
            <w:pPr>
              <w:pStyle w:val="Tabletext"/>
            </w:pPr>
            <w:r w:rsidRPr="003D5D4C">
              <w:t>0%</w:t>
            </w:r>
          </w:p>
        </w:tc>
        <w:tc>
          <w:tcPr>
            <w:tcW w:w="1233" w:type="dxa"/>
            <w:shd w:val="clear" w:color="auto" w:fill="auto"/>
          </w:tcPr>
          <w:p w14:paraId="27F023B8" w14:textId="77777777" w:rsidR="005A0820" w:rsidRPr="003D5D4C" w:rsidRDefault="005A0820" w:rsidP="005A0820">
            <w:pPr>
              <w:pStyle w:val="Tabletext"/>
            </w:pPr>
            <w:r w:rsidRPr="003D5D4C">
              <w:t>14.00%</w:t>
            </w:r>
          </w:p>
        </w:tc>
      </w:tr>
      <w:tr w:rsidR="005A0820" w:rsidRPr="003D5D4C" w14:paraId="71BEA772" w14:textId="77777777" w:rsidTr="001A0554">
        <w:tc>
          <w:tcPr>
            <w:tcW w:w="714" w:type="dxa"/>
            <w:shd w:val="clear" w:color="auto" w:fill="auto"/>
          </w:tcPr>
          <w:p w14:paraId="39667796" w14:textId="77777777" w:rsidR="005A0820" w:rsidRPr="003D5D4C" w:rsidRDefault="001A0554" w:rsidP="005A0820">
            <w:pPr>
              <w:pStyle w:val="Tabletext"/>
            </w:pPr>
            <w:r w:rsidRPr="003D5D4C">
              <w:t>14</w:t>
            </w:r>
          </w:p>
        </w:tc>
        <w:tc>
          <w:tcPr>
            <w:tcW w:w="1833" w:type="dxa"/>
            <w:shd w:val="clear" w:color="auto" w:fill="auto"/>
          </w:tcPr>
          <w:p w14:paraId="2B068451" w14:textId="77777777" w:rsidR="005A0820" w:rsidRPr="003D5D4C" w:rsidRDefault="005A0820" w:rsidP="005A0820">
            <w:pPr>
              <w:pStyle w:val="Tabletext"/>
            </w:pPr>
            <w:r w:rsidRPr="003D5D4C">
              <w:t>Australian Unlisted Infrastructure</w:t>
            </w:r>
          </w:p>
          <w:p w14:paraId="340EF490" w14:textId="77777777" w:rsidR="005A0820" w:rsidRPr="003D5D4C" w:rsidRDefault="005A0820" w:rsidP="005A0820">
            <w:pPr>
              <w:pStyle w:val="Tabletext"/>
            </w:pPr>
          </w:p>
        </w:tc>
        <w:tc>
          <w:tcPr>
            <w:tcW w:w="3402" w:type="dxa"/>
            <w:shd w:val="clear" w:color="auto" w:fill="auto"/>
          </w:tcPr>
          <w:p w14:paraId="3CC909AF" w14:textId="77777777" w:rsidR="005A0820" w:rsidRPr="003D5D4C" w:rsidRDefault="005A0820" w:rsidP="005A0820">
            <w:pPr>
              <w:pStyle w:val="Tabletext"/>
            </w:pPr>
            <w:r w:rsidRPr="003D5D4C">
              <w:t>MSCI Australia Quarterly Private Infrastructure Fund Index (Unfrozen) – 50th Percentile Post</w:t>
            </w:r>
            <w:r w:rsidR="00A70ACD" w:rsidRPr="003D5D4C">
              <w:noBreakHyphen/>
            </w:r>
            <w:r w:rsidRPr="003D5D4C">
              <w:t>Fee Total Return (All Funds)</w:t>
            </w:r>
          </w:p>
        </w:tc>
        <w:tc>
          <w:tcPr>
            <w:tcW w:w="1134" w:type="dxa"/>
            <w:shd w:val="clear" w:color="auto" w:fill="auto"/>
          </w:tcPr>
          <w:p w14:paraId="07856275" w14:textId="77777777" w:rsidR="005A0820" w:rsidRPr="003D5D4C" w:rsidRDefault="005A0820" w:rsidP="005A0820">
            <w:pPr>
              <w:pStyle w:val="Tabletext"/>
            </w:pPr>
            <w:r w:rsidRPr="003D5D4C">
              <w:t>0%</w:t>
            </w:r>
          </w:p>
        </w:tc>
        <w:tc>
          <w:tcPr>
            <w:tcW w:w="1233" w:type="dxa"/>
            <w:shd w:val="clear" w:color="auto" w:fill="auto"/>
          </w:tcPr>
          <w:p w14:paraId="231EDADA" w14:textId="77777777" w:rsidR="005A0820" w:rsidRPr="003D5D4C" w:rsidRDefault="005A0820" w:rsidP="005A0820">
            <w:pPr>
              <w:pStyle w:val="Tabletext"/>
            </w:pPr>
            <w:r w:rsidRPr="003D5D4C">
              <w:t>14.00%</w:t>
            </w:r>
          </w:p>
        </w:tc>
      </w:tr>
      <w:tr w:rsidR="005A0820" w:rsidRPr="003D5D4C" w14:paraId="0C3CC6BD" w14:textId="77777777" w:rsidTr="001A0554">
        <w:tc>
          <w:tcPr>
            <w:tcW w:w="714" w:type="dxa"/>
            <w:shd w:val="clear" w:color="auto" w:fill="auto"/>
          </w:tcPr>
          <w:p w14:paraId="3A2AC0D8" w14:textId="77777777" w:rsidR="005A0820" w:rsidRPr="003D5D4C" w:rsidRDefault="001A0554" w:rsidP="005A0820">
            <w:pPr>
              <w:pStyle w:val="Tabletext"/>
            </w:pPr>
            <w:r w:rsidRPr="003D5D4C">
              <w:t>15</w:t>
            </w:r>
          </w:p>
        </w:tc>
        <w:tc>
          <w:tcPr>
            <w:tcW w:w="1833" w:type="dxa"/>
            <w:shd w:val="clear" w:color="auto" w:fill="auto"/>
          </w:tcPr>
          <w:p w14:paraId="1534DED6" w14:textId="77777777" w:rsidR="005A0820" w:rsidRPr="003D5D4C" w:rsidRDefault="005A0820" w:rsidP="005A0820">
            <w:pPr>
              <w:pStyle w:val="Tabletext"/>
            </w:pPr>
            <w:r w:rsidRPr="003D5D4C">
              <w:t>International Unlisted Infrastructure</w:t>
            </w:r>
          </w:p>
        </w:tc>
        <w:tc>
          <w:tcPr>
            <w:tcW w:w="3402" w:type="dxa"/>
            <w:shd w:val="clear" w:color="auto" w:fill="auto"/>
          </w:tcPr>
          <w:p w14:paraId="28556C58" w14:textId="77777777" w:rsidR="005A0820" w:rsidRPr="003D5D4C" w:rsidRDefault="005A0820" w:rsidP="005A0820">
            <w:pPr>
              <w:pStyle w:val="Tabletext"/>
            </w:pPr>
            <w:r w:rsidRPr="003D5D4C">
              <w:t xml:space="preserve">MSCI Australia Quarterly Private Infrastructure Fund Index (Unfrozen) – </w:t>
            </w:r>
            <w:r w:rsidR="001A0554" w:rsidRPr="003D5D4C">
              <w:t xml:space="preserve">50th Percentile </w:t>
            </w:r>
            <w:r w:rsidRPr="003D5D4C">
              <w:t>Post</w:t>
            </w:r>
            <w:r w:rsidR="00A70ACD" w:rsidRPr="003D5D4C">
              <w:noBreakHyphen/>
            </w:r>
            <w:r w:rsidRPr="003D5D4C">
              <w:t xml:space="preserve">Fee Total Return </w:t>
            </w:r>
            <w:r w:rsidRPr="003D5D4C">
              <w:lastRenderedPageBreak/>
              <w:t>(All Funds)</w:t>
            </w:r>
          </w:p>
        </w:tc>
        <w:tc>
          <w:tcPr>
            <w:tcW w:w="1134" w:type="dxa"/>
            <w:shd w:val="clear" w:color="auto" w:fill="auto"/>
          </w:tcPr>
          <w:p w14:paraId="702A3313" w14:textId="77777777" w:rsidR="005A0820" w:rsidRPr="003D5D4C" w:rsidRDefault="005A0820" w:rsidP="005A0820">
            <w:pPr>
              <w:pStyle w:val="Tabletext"/>
            </w:pPr>
            <w:r w:rsidRPr="003D5D4C">
              <w:lastRenderedPageBreak/>
              <w:t>0%</w:t>
            </w:r>
          </w:p>
        </w:tc>
        <w:tc>
          <w:tcPr>
            <w:tcW w:w="1233" w:type="dxa"/>
            <w:shd w:val="clear" w:color="auto" w:fill="auto"/>
          </w:tcPr>
          <w:p w14:paraId="1DF64834" w14:textId="77777777" w:rsidR="005A0820" w:rsidRPr="003D5D4C" w:rsidRDefault="005A0820" w:rsidP="005A0820">
            <w:pPr>
              <w:pStyle w:val="Tabletext"/>
            </w:pPr>
            <w:r w:rsidRPr="003D5D4C">
              <w:t>14.00%</w:t>
            </w:r>
          </w:p>
        </w:tc>
      </w:tr>
      <w:tr w:rsidR="001A0554" w:rsidRPr="003D5D4C" w14:paraId="79BA63A3" w14:textId="77777777" w:rsidTr="001A0554">
        <w:tc>
          <w:tcPr>
            <w:tcW w:w="714" w:type="dxa"/>
            <w:shd w:val="clear" w:color="auto" w:fill="auto"/>
          </w:tcPr>
          <w:p w14:paraId="12A0FDF4" w14:textId="77777777" w:rsidR="001A0554" w:rsidRPr="003D5D4C" w:rsidRDefault="001A0554" w:rsidP="001A0554">
            <w:pPr>
              <w:pStyle w:val="Tabletext"/>
            </w:pPr>
            <w:r w:rsidRPr="003D5D4C">
              <w:t>16</w:t>
            </w:r>
          </w:p>
        </w:tc>
        <w:tc>
          <w:tcPr>
            <w:tcW w:w="1833" w:type="dxa"/>
            <w:shd w:val="clear" w:color="auto" w:fill="auto"/>
          </w:tcPr>
          <w:p w14:paraId="453B4372" w14:textId="77777777" w:rsidR="001A0554" w:rsidRPr="003D5D4C" w:rsidRDefault="001A0554" w:rsidP="001A0554">
            <w:pPr>
              <w:pStyle w:val="Tabletext"/>
            </w:pPr>
            <w:r w:rsidRPr="003D5D4C">
              <w:t>Australian Fixed Income</w:t>
            </w:r>
          </w:p>
        </w:tc>
        <w:tc>
          <w:tcPr>
            <w:tcW w:w="3402" w:type="dxa"/>
            <w:shd w:val="clear" w:color="auto" w:fill="auto"/>
          </w:tcPr>
          <w:p w14:paraId="0D974309" w14:textId="77777777" w:rsidR="00D70699" w:rsidRPr="003D5D4C" w:rsidRDefault="00D70699" w:rsidP="00D70699">
            <w:pPr>
              <w:spacing w:before="60" w:line="240" w:lineRule="atLeast"/>
              <w:rPr>
                <w:rFonts w:eastAsia="Times New Roman" w:cs="Times New Roman"/>
                <w:color w:val="000000" w:themeColor="text1"/>
                <w:sz w:val="20"/>
                <w:lang w:eastAsia="en-AU"/>
              </w:rPr>
            </w:pPr>
            <w:r w:rsidRPr="003D5D4C">
              <w:rPr>
                <w:rFonts w:eastAsia="Times New Roman" w:cs="Times New Roman"/>
                <w:color w:val="000000" w:themeColor="text1"/>
                <w:sz w:val="20"/>
                <w:lang w:eastAsia="en-AU"/>
              </w:rPr>
              <w:t>BACM0</w:t>
            </w:r>
          </w:p>
          <w:p w14:paraId="7EF362D8" w14:textId="77777777" w:rsidR="001A0554" w:rsidRPr="003D5D4C" w:rsidRDefault="00D70699" w:rsidP="00D70699">
            <w:pPr>
              <w:spacing w:before="60" w:line="240" w:lineRule="atLeast"/>
              <w:rPr>
                <w:rFonts w:eastAsia="Times New Roman" w:cs="Times New Roman"/>
                <w:color w:val="000000"/>
                <w:sz w:val="20"/>
                <w:lang w:eastAsia="en-AU"/>
              </w:rPr>
            </w:pPr>
            <w:r w:rsidRPr="003D5D4C">
              <w:rPr>
                <w:rFonts w:eastAsia="Times New Roman" w:cs="Times New Roman"/>
                <w:color w:val="000000" w:themeColor="text1"/>
                <w:sz w:val="20"/>
                <w:lang w:eastAsia="en-AU"/>
              </w:rPr>
              <w:t>Bloomberg Ausbond Composite 0+ Yr Index</w:t>
            </w:r>
          </w:p>
        </w:tc>
        <w:tc>
          <w:tcPr>
            <w:tcW w:w="1134" w:type="dxa"/>
            <w:shd w:val="clear" w:color="auto" w:fill="auto"/>
          </w:tcPr>
          <w:p w14:paraId="5A23E99C" w14:textId="77777777" w:rsidR="001A0554" w:rsidRPr="003D5D4C" w:rsidRDefault="001A0554" w:rsidP="001A0554">
            <w:pPr>
              <w:pStyle w:val="Tabletext"/>
            </w:pPr>
            <w:r w:rsidRPr="003D5D4C">
              <w:t>0.10%</w:t>
            </w:r>
          </w:p>
        </w:tc>
        <w:tc>
          <w:tcPr>
            <w:tcW w:w="1233" w:type="dxa"/>
            <w:shd w:val="clear" w:color="auto" w:fill="auto"/>
          </w:tcPr>
          <w:p w14:paraId="2EC5EA4D" w14:textId="77777777" w:rsidR="001A0554" w:rsidRPr="003D5D4C" w:rsidRDefault="001A0554" w:rsidP="001A0554">
            <w:pPr>
              <w:pStyle w:val="Tabletext"/>
            </w:pPr>
            <w:r w:rsidRPr="003D5D4C">
              <w:t>15.00%</w:t>
            </w:r>
          </w:p>
        </w:tc>
      </w:tr>
      <w:tr w:rsidR="001A0554" w:rsidRPr="003D5D4C" w14:paraId="61E63AF9" w14:textId="77777777" w:rsidTr="001A0554">
        <w:tc>
          <w:tcPr>
            <w:tcW w:w="714" w:type="dxa"/>
            <w:shd w:val="clear" w:color="auto" w:fill="auto"/>
          </w:tcPr>
          <w:p w14:paraId="7E8D51FB" w14:textId="77777777" w:rsidR="001A0554" w:rsidRPr="003D5D4C" w:rsidRDefault="001A0554" w:rsidP="001A0554">
            <w:pPr>
              <w:pStyle w:val="Tabletext"/>
            </w:pPr>
            <w:r w:rsidRPr="003D5D4C">
              <w:t>17</w:t>
            </w:r>
          </w:p>
        </w:tc>
        <w:tc>
          <w:tcPr>
            <w:tcW w:w="1833" w:type="dxa"/>
            <w:shd w:val="clear" w:color="auto" w:fill="auto"/>
          </w:tcPr>
          <w:p w14:paraId="0E8F0E6F" w14:textId="77777777" w:rsidR="001A0554" w:rsidRPr="003D5D4C" w:rsidRDefault="001A0554" w:rsidP="001A0554">
            <w:pPr>
              <w:pStyle w:val="Tabletext"/>
            </w:pPr>
            <w:r w:rsidRPr="003D5D4C">
              <w:t>Australian Fixed Income Excluding Credit</w:t>
            </w:r>
          </w:p>
        </w:tc>
        <w:tc>
          <w:tcPr>
            <w:tcW w:w="3402" w:type="dxa"/>
            <w:shd w:val="clear" w:color="auto" w:fill="auto"/>
          </w:tcPr>
          <w:p w14:paraId="212982BB" w14:textId="77777777" w:rsidR="001A0554" w:rsidRPr="003D5D4C" w:rsidRDefault="001A0554" w:rsidP="001A0554">
            <w:pPr>
              <w:spacing w:before="60" w:line="240" w:lineRule="atLeast"/>
              <w:rPr>
                <w:rFonts w:eastAsia="Times New Roman" w:cs="Times New Roman"/>
                <w:color w:val="000000" w:themeColor="text1"/>
                <w:sz w:val="20"/>
                <w:lang w:eastAsia="en-AU"/>
              </w:rPr>
            </w:pPr>
            <w:r w:rsidRPr="003D5D4C">
              <w:rPr>
                <w:rFonts w:eastAsia="Times New Roman" w:cs="Times New Roman"/>
                <w:color w:val="000000" w:themeColor="text1"/>
                <w:sz w:val="20"/>
                <w:lang w:eastAsia="en-AU"/>
              </w:rPr>
              <w:t>BAGV0</w:t>
            </w:r>
          </w:p>
          <w:p w14:paraId="50890192" w14:textId="77777777" w:rsidR="001A0554" w:rsidRPr="003D5D4C" w:rsidRDefault="001A0554" w:rsidP="001A0554">
            <w:pPr>
              <w:spacing w:before="60" w:line="240" w:lineRule="atLeast"/>
              <w:rPr>
                <w:rFonts w:eastAsia="Times New Roman" w:cs="Times New Roman"/>
                <w:color w:val="000000"/>
                <w:sz w:val="20"/>
                <w:lang w:eastAsia="en-AU"/>
              </w:rPr>
            </w:pPr>
            <w:r w:rsidRPr="003D5D4C">
              <w:rPr>
                <w:rFonts w:eastAsia="Times New Roman" w:cs="Times New Roman"/>
                <w:color w:val="000000"/>
                <w:sz w:val="20"/>
                <w:lang w:eastAsia="en-AU"/>
              </w:rPr>
              <w:t xml:space="preserve">Bloomberg Ausbond </w:t>
            </w:r>
            <w:r w:rsidR="000771F3" w:rsidRPr="003D5D4C">
              <w:rPr>
                <w:rFonts w:eastAsia="Times New Roman" w:cs="Times New Roman"/>
                <w:color w:val="000000"/>
                <w:sz w:val="20"/>
                <w:lang w:eastAsia="en-AU"/>
              </w:rPr>
              <w:t>Govt</w:t>
            </w:r>
            <w:r w:rsidRPr="003D5D4C">
              <w:rPr>
                <w:rFonts w:eastAsia="Times New Roman" w:cs="Times New Roman"/>
                <w:color w:val="000000"/>
                <w:sz w:val="20"/>
                <w:lang w:eastAsia="en-AU"/>
              </w:rPr>
              <w:t xml:space="preserve"> 0+ Yr Index</w:t>
            </w:r>
          </w:p>
        </w:tc>
        <w:tc>
          <w:tcPr>
            <w:tcW w:w="1134" w:type="dxa"/>
            <w:shd w:val="clear" w:color="auto" w:fill="auto"/>
          </w:tcPr>
          <w:p w14:paraId="330E1C60" w14:textId="77777777" w:rsidR="001A0554" w:rsidRPr="003D5D4C" w:rsidRDefault="001A0554" w:rsidP="001A0554">
            <w:pPr>
              <w:spacing w:before="60" w:line="240" w:lineRule="atLeast"/>
              <w:rPr>
                <w:rFonts w:eastAsia="Times New Roman" w:cs="Times New Roman"/>
                <w:color w:val="000000"/>
                <w:sz w:val="20"/>
                <w:lang w:eastAsia="en-AU"/>
              </w:rPr>
            </w:pPr>
            <w:r w:rsidRPr="003D5D4C">
              <w:rPr>
                <w:rFonts w:eastAsia="Times New Roman" w:cs="Times New Roman"/>
                <w:color w:val="000000"/>
                <w:sz w:val="20"/>
                <w:lang w:eastAsia="en-AU"/>
              </w:rPr>
              <w:t>0.0</w:t>
            </w:r>
            <w:r w:rsidR="00D70699" w:rsidRPr="003D5D4C">
              <w:rPr>
                <w:rFonts w:eastAsia="Times New Roman" w:cs="Times New Roman"/>
                <w:color w:val="000000"/>
                <w:sz w:val="20"/>
                <w:lang w:eastAsia="en-AU"/>
              </w:rPr>
              <w:t>8</w:t>
            </w:r>
            <w:r w:rsidRPr="003D5D4C">
              <w:rPr>
                <w:rFonts w:eastAsia="Times New Roman" w:cs="Times New Roman"/>
                <w:color w:val="000000"/>
                <w:sz w:val="20"/>
                <w:lang w:eastAsia="en-AU"/>
              </w:rPr>
              <w:t>%</w:t>
            </w:r>
          </w:p>
        </w:tc>
        <w:tc>
          <w:tcPr>
            <w:tcW w:w="1233" w:type="dxa"/>
            <w:shd w:val="clear" w:color="auto" w:fill="auto"/>
          </w:tcPr>
          <w:p w14:paraId="3F635CA7" w14:textId="77777777" w:rsidR="001A0554" w:rsidRPr="003D5D4C" w:rsidRDefault="001A0554" w:rsidP="001A0554">
            <w:pPr>
              <w:spacing w:before="60" w:line="240" w:lineRule="atLeast"/>
              <w:rPr>
                <w:rFonts w:eastAsia="Times New Roman" w:cs="Times New Roman"/>
                <w:color w:val="000000"/>
                <w:sz w:val="20"/>
                <w:lang w:eastAsia="en-AU"/>
              </w:rPr>
            </w:pPr>
            <w:r w:rsidRPr="003D5D4C">
              <w:rPr>
                <w:rFonts w:eastAsia="Times New Roman" w:cs="Times New Roman"/>
                <w:color w:val="000000"/>
                <w:sz w:val="20"/>
                <w:lang w:eastAsia="en-AU"/>
              </w:rPr>
              <w:t>15.00%</w:t>
            </w:r>
          </w:p>
        </w:tc>
      </w:tr>
      <w:tr w:rsidR="001A0554" w:rsidRPr="003D5D4C" w14:paraId="6A1C8223" w14:textId="77777777" w:rsidTr="001A0554">
        <w:tc>
          <w:tcPr>
            <w:tcW w:w="714" w:type="dxa"/>
            <w:shd w:val="clear" w:color="auto" w:fill="auto"/>
          </w:tcPr>
          <w:p w14:paraId="58714729" w14:textId="77777777" w:rsidR="001A0554" w:rsidRPr="003D5D4C" w:rsidRDefault="001A0554" w:rsidP="001A0554">
            <w:pPr>
              <w:pStyle w:val="Tabletext"/>
            </w:pPr>
            <w:r w:rsidRPr="003D5D4C">
              <w:t>18</w:t>
            </w:r>
          </w:p>
        </w:tc>
        <w:tc>
          <w:tcPr>
            <w:tcW w:w="1833" w:type="dxa"/>
            <w:shd w:val="clear" w:color="auto" w:fill="auto"/>
          </w:tcPr>
          <w:p w14:paraId="0CC3CE88" w14:textId="77777777" w:rsidR="001A0554" w:rsidRPr="003D5D4C" w:rsidRDefault="001A0554" w:rsidP="001A0554">
            <w:pPr>
              <w:pStyle w:val="Tabletext"/>
            </w:pPr>
            <w:r w:rsidRPr="003D5D4C">
              <w:t>Australian Credit</w:t>
            </w:r>
          </w:p>
        </w:tc>
        <w:tc>
          <w:tcPr>
            <w:tcW w:w="3402" w:type="dxa"/>
            <w:shd w:val="clear" w:color="auto" w:fill="auto"/>
          </w:tcPr>
          <w:p w14:paraId="4ED6FAB1" w14:textId="77777777" w:rsidR="006005E1" w:rsidRPr="003D5D4C" w:rsidRDefault="006005E1" w:rsidP="006005E1">
            <w:pPr>
              <w:spacing w:before="60" w:line="240" w:lineRule="atLeast"/>
              <w:rPr>
                <w:rFonts w:eastAsia="Times New Roman" w:cs="Times New Roman"/>
                <w:color w:val="000000" w:themeColor="text1"/>
                <w:sz w:val="20"/>
                <w:lang w:eastAsia="en-AU"/>
              </w:rPr>
            </w:pPr>
            <w:r w:rsidRPr="003D5D4C">
              <w:rPr>
                <w:rFonts w:eastAsia="Times New Roman" w:cs="Times New Roman"/>
                <w:color w:val="000000" w:themeColor="text1"/>
                <w:sz w:val="20"/>
                <w:lang w:eastAsia="en-AU"/>
              </w:rPr>
              <w:t>BACR0</w:t>
            </w:r>
          </w:p>
          <w:p w14:paraId="285C367D" w14:textId="77777777" w:rsidR="001A0554" w:rsidRPr="003D5D4C" w:rsidRDefault="006005E1" w:rsidP="006005E1">
            <w:pPr>
              <w:spacing w:before="60" w:line="240" w:lineRule="atLeast"/>
              <w:rPr>
                <w:rFonts w:eastAsia="Times New Roman" w:cs="Times New Roman"/>
                <w:color w:val="000000"/>
                <w:sz w:val="20"/>
                <w:lang w:eastAsia="en-AU"/>
              </w:rPr>
            </w:pPr>
            <w:r w:rsidRPr="003D5D4C">
              <w:rPr>
                <w:rFonts w:eastAsia="Times New Roman" w:cs="Times New Roman"/>
                <w:color w:val="000000" w:themeColor="text1"/>
                <w:sz w:val="20"/>
                <w:lang w:eastAsia="en-AU"/>
              </w:rPr>
              <w:t>Bloomberg Aus</w:t>
            </w:r>
            <w:r w:rsidR="00D70699" w:rsidRPr="003D5D4C">
              <w:rPr>
                <w:rFonts w:eastAsia="Times New Roman" w:cs="Times New Roman"/>
                <w:color w:val="000000" w:themeColor="text1"/>
                <w:sz w:val="20"/>
                <w:lang w:eastAsia="en-AU"/>
              </w:rPr>
              <w:t>b</w:t>
            </w:r>
            <w:r w:rsidRPr="003D5D4C">
              <w:rPr>
                <w:rFonts w:eastAsia="Times New Roman" w:cs="Times New Roman"/>
                <w:color w:val="000000" w:themeColor="text1"/>
                <w:sz w:val="20"/>
                <w:lang w:eastAsia="en-AU"/>
              </w:rPr>
              <w:t>ond Credit 0+ Yr Index</w:t>
            </w:r>
          </w:p>
        </w:tc>
        <w:tc>
          <w:tcPr>
            <w:tcW w:w="1134" w:type="dxa"/>
            <w:shd w:val="clear" w:color="auto" w:fill="auto"/>
          </w:tcPr>
          <w:p w14:paraId="74A3193F" w14:textId="77777777" w:rsidR="001A0554" w:rsidRPr="003D5D4C" w:rsidRDefault="001A0554" w:rsidP="001A0554">
            <w:pPr>
              <w:spacing w:before="60" w:line="240" w:lineRule="atLeast"/>
              <w:rPr>
                <w:rFonts w:eastAsia="Times New Roman" w:cs="Times New Roman"/>
                <w:color w:val="000000"/>
                <w:sz w:val="20"/>
                <w:lang w:eastAsia="en-AU"/>
              </w:rPr>
            </w:pPr>
            <w:r w:rsidRPr="003D5D4C">
              <w:rPr>
                <w:rFonts w:eastAsia="Times New Roman" w:cs="Times New Roman"/>
                <w:color w:val="000000"/>
                <w:sz w:val="20"/>
                <w:lang w:eastAsia="en-AU"/>
              </w:rPr>
              <w:t>0.1</w:t>
            </w:r>
            <w:r w:rsidR="00D70699" w:rsidRPr="003D5D4C">
              <w:rPr>
                <w:rFonts w:eastAsia="Times New Roman" w:cs="Times New Roman"/>
                <w:color w:val="000000"/>
                <w:sz w:val="20"/>
                <w:lang w:eastAsia="en-AU"/>
              </w:rPr>
              <w:t>5</w:t>
            </w:r>
            <w:r w:rsidRPr="003D5D4C">
              <w:rPr>
                <w:rFonts w:eastAsia="Times New Roman" w:cs="Times New Roman"/>
                <w:color w:val="000000"/>
                <w:sz w:val="20"/>
                <w:lang w:eastAsia="en-AU"/>
              </w:rPr>
              <w:t>%</w:t>
            </w:r>
          </w:p>
        </w:tc>
        <w:tc>
          <w:tcPr>
            <w:tcW w:w="1233" w:type="dxa"/>
            <w:shd w:val="clear" w:color="auto" w:fill="auto"/>
          </w:tcPr>
          <w:p w14:paraId="300C7CCD" w14:textId="77777777" w:rsidR="001A0554" w:rsidRPr="003D5D4C" w:rsidRDefault="001A0554" w:rsidP="001A0554">
            <w:pPr>
              <w:spacing w:before="60" w:line="240" w:lineRule="atLeast"/>
              <w:rPr>
                <w:rFonts w:eastAsia="Times New Roman" w:cs="Times New Roman"/>
                <w:color w:val="000000"/>
                <w:sz w:val="20"/>
                <w:lang w:eastAsia="en-AU"/>
              </w:rPr>
            </w:pPr>
            <w:r w:rsidRPr="003D5D4C">
              <w:rPr>
                <w:rFonts w:eastAsia="Times New Roman" w:cs="Times New Roman"/>
                <w:color w:val="000000"/>
                <w:sz w:val="20"/>
                <w:lang w:eastAsia="en-AU"/>
              </w:rPr>
              <w:t>15.00%</w:t>
            </w:r>
          </w:p>
        </w:tc>
      </w:tr>
      <w:tr w:rsidR="001A0554" w:rsidRPr="003D5D4C" w14:paraId="1C239EA0" w14:textId="77777777" w:rsidTr="001A0554">
        <w:tc>
          <w:tcPr>
            <w:tcW w:w="714" w:type="dxa"/>
            <w:shd w:val="clear" w:color="auto" w:fill="auto"/>
          </w:tcPr>
          <w:p w14:paraId="62B9655C" w14:textId="77777777" w:rsidR="001A0554" w:rsidRPr="003D5D4C" w:rsidRDefault="001A0554" w:rsidP="001A0554">
            <w:pPr>
              <w:pStyle w:val="Tabletext"/>
            </w:pPr>
            <w:r w:rsidRPr="003D5D4C">
              <w:t>19</w:t>
            </w:r>
          </w:p>
        </w:tc>
        <w:tc>
          <w:tcPr>
            <w:tcW w:w="1833" w:type="dxa"/>
            <w:shd w:val="clear" w:color="auto" w:fill="auto"/>
          </w:tcPr>
          <w:p w14:paraId="7D7262CB" w14:textId="77777777" w:rsidR="001A0554" w:rsidRPr="003D5D4C" w:rsidRDefault="001A0554" w:rsidP="001A0554">
            <w:pPr>
              <w:pStyle w:val="Tabletext"/>
            </w:pPr>
            <w:r w:rsidRPr="003D5D4C">
              <w:t>International Fixed Income</w:t>
            </w:r>
          </w:p>
        </w:tc>
        <w:tc>
          <w:tcPr>
            <w:tcW w:w="3402" w:type="dxa"/>
            <w:shd w:val="clear" w:color="auto" w:fill="auto"/>
          </w:tcPr>
          <w:p w14:paraId="284506ED" w14:textId="77777777" w:rsidR="001A0554" w:rsidRPr="003D5D4C" w:rsidRDefault="001A0554" w:rsidP="001A0554">
            <w:pPr>
              <w:spacing w:before="60" w:line="240" w:lineRule="atLeast"/>
              <w:rPr>
                <w:rFonts w:eastAsia="Times New Roman" w:cs="Times New Roman"/>
                <w:color w:val="000000"/>
                <w:sz w:val="20"/>
                <w:lang w:eastAsia="en-AU"/>
              </w:rPr>
            </w:pPr>
            <w:r w:rsidRPr="003D5D4C">
              <w:rPr>
                <w:rFonts w:eastAsia="Times New Roman" w:cs="Times New Roman"/>
                <w:color w:val="000000"/>
                <w:sz w:val="20"/>
                <w:lang w:eastAsia="en-AU"/>
              </w:rPr>
              <w:t>LEGATRAH</w:t>
            </w:r>
          </w:p>
          <w:p w14:paraId="7B276B44" w14:textId="77777777" w:rsidR="001A0554" w:rsidRPr="003D5D4C" w:rsidRDefault="001A0554" w:rsidP="001A0554">
            <w:pPr>
              <w:spacing w:before="60" w:line="240" w:lineRule="atLeast"/>
              <w:rPr>
                <w:rFonts w:eastAsia="Times New Roman" w:cs="Times New Roman"/>
                <w:color w:val="000000"/>
                <w:sz w:val="20"/>
                <w:lang w:eastAsia="en-AU"/>
              </w:rPr>
            </w:pPr>
            <w:r w:rsidRPr="003D5D4C">
              <w:rPr>
                <w:rFonts w:eastAsia="Times New Roman" w:cs="Times New Roman"/>
                <w:color w:val="000000"/>
                <w:sz w:val="20"/>
                <w:lang w:eastAsia="en-AU"/>
              </w:rPr>
              <w:t>Bloomberg Global Aggregate Index (hedged AUD)</w:t>
            </w:r>
          </w:p>
        </w:tc>
        <w:tc>
          <w:tcPr>
            <w:tcW w:w="1134" w:type="dxa"/>
            <w:shd w:val="clear" w:color="auto" w:fill="auto"/>
          </w:tcPr>
          <w:p w14:paraId="324B003F" w14:textId="77777777" w:rsidR="001A0554" w:rsidRPr="003D5D4C" w:rsidRDefault="001A0554" w:rsidP="001A0554">
            <w:pPr>
              <w:pStyle w:val="Tabletext"/>
            </w:pPr>
            <w:r w:rsidRPr="003D5D4C">
              <w:t>0.10%</w:t>
            </w:r>
          </w:p>
        </w:tc>
        <w:tc>
          <w:tcPr>
            <w:tcW w:w="1233" w:type="dxa"/>
            <w:shd w:val="clear" w:color="auto" w:fill="auto"/>
          </w:tcPr>
          <w:p w14:paraId="02554423" w14:textId="77777777" w:rsidR="001A0554" w:rsidRPr="003D5D4C" w:rsidRDefault="001A0554" w:rsidP="001A0554">
            <w:pPr>
              <w:pStyle w:val="Tabletext"/>
            </w:pPr>
            <w:r w:rsidRPr="003D5D4C">
              <w:t>15.00%</w:t>
            </w:r>
          </w:p>
        </w:tc>
      </w:tr>
      <w:tr w:rsidR="001A0554" w:rsidRPr="003D5D4C" w14:paraId="5018F178" w14:textId="77777777" w:rsidTr="001A0554">
        <w:tc>
          <w:tcPr>
            <w:tcW w:w="714" w:type="dxa"/>
            <w:shd w:val="clear" w:color="auto" w:fill="auto"/>
          </w:tcPr>
          <w:p w14:paraId="1D89248A" w14:textId="77777777" w:rsidR="001A0554" w:rsidRPr="003D5D4C" w:rsidRDefault="001A0554" w:rsidP="001A0554">
            <w:pPr>
              <w:pStyle w:val="Tabletext"/>
            </w:pPr>
            <w:r w:rsidRPr="003D5D4C">
              <w:t>20</w:t>
            </w:r>
          </w:p>
        </w:tc>
        <w:tc>
          <w:tcPr>
            <w:tcW w:w="1833" w:type="dxa"/>
            <w:shd w:val="clear" w:color="auto" w:fill="auto"/>
          </w:tcPr>
          <w:p w14:paraId="314B8665" w14:textId="77777777" w:rsidR="001A0554" w:rsidRPr="003D5D4C" w:rsidRDefault="001A0554" w:rsidP="001A0554">
            <w:pPr>
              <w:pStyle w:val="Tabletext"/>
            </w:pPr>
            <w:r w:rsidRPr="003D5D4C">
              <w:t>International Fixed Income Excluding Credit</w:t>
            </w:r>
          </w:p>
        </w:tc>
        <w:tc>
          <w:tcPr>
            <w:tcW w:w="3402" w:type="dxa"/>
            <w:shd w:val="clear" w:color="auto" w:fill="auto"/>
          </w:tcPr>
          <w:p w14:paraId="396F9660" w14:textId="77777777" w:rsidR="001A0554" w:rsidRPr="003D5D4C" w:rsidRDefault="001A0554" w:rsidP="001A0554">
            <w:pPr>
              <w:spacing w:before="60" w:line="240" w:lineRule="atLeast"/>
              <w:rPr>
                <w:rFonts w:eastAsia="Times New Roman" w:cs="Times New Roman"/>
                <w:color w:val="000000" w:themeColor="text1"/>
                <w:sz w:val="20"/>
                <w:lang w:eastAsia="en-AU"/>
              </w:rPr>
            </w:pPr>
            <w:r w:rsidRPr="003D5D4C">
              <w:rPr>
                <w:rFonts w:eastAsia="Times New Roman" w:cs="Times New Roman"/>
                <w:color w:val="000000" w:themeColor="text1"/>
                <w:sz w:val="20"/>
                <w:lang w:eastAsia="en-AU"/>
              </w:rPr>
              <w:t>BTSYTRAH</w:t>
            </w:r>
          </w:p>
          <w:p w14:paraId="08E8B7DF" w14:textId="77777777" w:rsidR="001A0554" w:rsidRPr="003D5D4C" w:rsidRDefault="001A0554" w:rsidP="001A0554">
            <w:pPr>
              <w:spacing w:before="60" w:line="240" w:lineRule="atLeast"/>
              <w:rPr>
                <w:rFonts w:eastAsia="Times New Roman" w:cs="Times New Roman"/>
                <w:color w:val="000000"/>
                <w:sz w:val="20"/>
                <w:lang w:eastAsia="en-AU"/>
              </w:rPr>
            </w:pPr>
            <w:r w:rsidRPr="003D5D4C">
              <w:rPr>
                <w:rFonts w:eastAsia="Times New Roman" w:cs="Times New Roman"/>
                <w:color w:val="000000"/>
                <w:sz w:val="20"/>
                <w:lang w:eastAsia="en-AU"/>
              </w:rPr>
              <w:t>Bloomberg Global Treasury Index (hedged AUD)</w:t>
            </w:r>
          </w:p>
        </w:tc>
        <w:tc>
          <w:tcPr>
            <w:tcW w:w="1134" w:type="dxa"/>
            <w:shd w:val="clear" w:color="auto" w:fill="auto"/>
          </w:tcPr>
          <w:p w14:paraId="62E29511" w14:textId="77777777" w:rsidR="001A0554" w:rsidRPr="003D5D4C" w:rsidRDefault="001A0554" w:rsidP="001A0554">
            <w:pPr>
              <w:spacing w:before="60" w:line="240" w:lineRule="atLeast"/>
              <w:rPr>
                <w:rFonts w:eastAsia="Times New Roman" w:cs="Times New Roman"/>
                <w:color w:val="000000"/>
                <w:sz w:val="20"/>
                <w:lang w:eastAsia="en-AU"/>
              </w:rPr>
            </w:pPr>
            <w:r w:rsidRPr="003D5D4C">
              <w:rPr>
                <w:rFonts w:eastAsia="Times New Roman" w:cs="Times New Roman"/>
                <w:color w:val="000000"/>
                <w:sz w:val="20"/>
                <w:lang w:eastAsia="en-AU"/>
              </w:rPr>
              <w:t>0.</w:t>
            </w:r>
            <w:r w:rsidR="00D70699" w:rsidRPr="003D5D4C">
              <w:rPr>
                <w:rFonts w:eastAsia="Times New Roman" w:cs="Times New Roman"/>
                <w:color w:val="000000"/>
                <w:sz w:val="20"/>
                <w:lang w:eastAsia="en-AU"/>
              </w:rPr>
              <w:t>08</w:t>
            </w:r>
            <w:r w:rsidRPr="003D5D4C">
              <w:rPr>
                <w:rFonts w:eastAsia="Times New Roman" w:cs="Times New Roman"/>
                <w:color w:val="000000"/>
                <w:sz w:val="20"/>
                <w:lang w:eastAsia="en-AU"/>
              </w:rPr>
              <w:t>%</w:t>
            </w:r>
          </w:p>
        </w:tc>
        <w:tc>
          <w:tcPr>
            <w:tcW w:w="1233" w:type="dxa"/>
            <w:shd w:val="clear" w:color="auto" w:fill="auto"/>
          </w:tcPr>
          <w:p w14:paraId="297D89B7" w14:textId="77777777" w:rsidR="001A0554" w:rsidRPr="003D5D4C" w:rsidRDefault="001A0554" w:rsidP="001A0554">
            <w:pPr>
              <w:spacing w:before="60" w:line="240" w:lineRule="atLeast"/>
              <w:rPr>
                <w:rFonts w:eastAsia="Times New Roman" w:cs="Times New Roman"/>
                <w:color w:val="000000"/>
                <w:sz w:val="20"/>
                <w:lang w:eastAsia="en-AU"/>
              </w:rPr>
            </w:pPr>
            <w:r w:rsidRPr="003D5D4C">
              <w:rPr>
                <w:rFonts w:eastAsia="Times New Roman" w:cs="Times New Roman"/>
                <w:color w:val="000000"/>
                <w:sz w:val="20"/>
                <w:lang w:eastAsia="en-AU"/>
              </w:rPr>
              <w:t>15.00%</w:t>
            </w:r>
          </w:p>
        </w:tc>
      </w:tr>
      <w:tr w:rsidR="001A0554" w:rsidRPr="003D5D4C" w14:paraId="495F3E88" w14:textId="77777777" w:rsidTr="001A0554">
        <w:tc>
          <w:tcPr>
            <w:tcW w:w="714" w:type="dxa"/>
            <w:shd w:val="clear" w:color="auto" w:fill="auto"/>
          </w:tcPr>
          <w:p w14:paraId="67F46714" w14:textId="77777777" w:rsidR="001A0554" w:rsidRPr="003D5D4C" w:rsidRDefault="001A0554" w:rsidP="001A0554">
            <w:pPr>
              <w:pStyle w:val="Tabletext"/>
            </w:pPr>
            <w:r w:rsidRPr="003D5D4C">
              <w:t>21</w:t>
            </w:r>
          </w:p>
        </w:tc>
        <w:tc>
          <w:tcPr>
            <w:tcW w:w="1833" w:type="dxa"/>
            <w:shd w:val="clear" w:color="auto" w:fill="auto"/>
          </w:tcPr>
          <w:p w14:paraId="262345FB" w14:textId="77777777" w:rsidR="001A0554" w:rsidRPr="003D5D4C" w:rsidRDefault="001A0554" w:rsidP="001A0554">
            <w:pPr>
              <w:pStyle w:val="Tabletext"/>
            </w:pPr>
            <w:r w:rsidRPr="003D5D4C">
              <w:t>International Credit</w:t>
            </w:r>
          </w:p>
        </w:tc>
        <w:tc>
          <w:tcPr>
            <w:tcW w:w="3402" w:type="dxa"/>
            <w:shd w:val="clear" w:color="auto" w:fill="auto"/>
          </w:tcPr>
          <w:p w14:paraId="32406E40" w14:textId="77777777" w:rsidR="00D70699" w:rsidRPr="003D5D4C" w:rsidRDefault="00D70699" w:rsidP="00D70699">
            <w:pPr>
              <w:spacing w:before="60" w:line="240" w:lineRule="atLeast"/>
              <w:rPr>
                <w:rFonts w:eastAsia="Times New Roman" w:cs="Times New Roman"/>
                <w:color w:val="000000" w:themeColor="text1"/>
                <w:sz w:val="20"/>
                <w:lang w:eastAsia="en-AU"/>
              </w:rPr>
            </w:pPr>
            <w:r w:rsidRPr="003D5D4C">
              <w:rPr>
                <w:rFonts w:eastAsia="Times New Roman" w:cs="Times New Roman"/>
                <w:color w:val="000000" w:themeColor="text1"/>
                <w:sz w:val="20"/>
                <w:lang w:eastAsia="en-AU"/>
              </w:rPr>
              <w:t>LGCPTRAH</w:t>
            </w:r>
          </w:p>
          <w:p w14:paraId="6CD24C56" w14:textId="77777777" w:rsidR="001A0554" w:rsidRPr="003D5D4C" w:rsidRDefault="00D70699" w:rsidP="00D70699">
            <w:pPr>
              <w:spacing w:before="60" w:line="240" w:lineRule="atLeast"/>
              <w:rPr>
                <w:rFonts w:eastAsia="Times New Roman" w:cs="Times New Roman"/>
                <w:color w:val="000000"/>
                <w:sz w:val="20"/>
                <w:lang w:eastAsia="en-AU"/>
              </w:rPr>
            </w:pPr>
            <w:r w:rsidRPr="003D5D4C">
              <w:rPr>
                <w:rFonts w:eastAsia="Times New Roman" w:cs="Times New Roman"/>
                <w:color w:val="000000" w:themeColor="text1"/>
                <w:sz w:val="20"/>
                <w:lang w:eastAsia="en-AU"/>
              </w:rPr>
              <w:t>Bloomberg Global Aggregate Corporate Index (hedged AUD)</w:t>
            </w:r>
          </w:p>
        </w:tc>
        <w:tc>
          <w:tcPr>
            <w:tcW w:w="1134" w:type="dxa"/>
            <w:shd w:val="clear" w:color="auto" w:fill="auto"/>
          </w:tcPr>
          <w:p w14:paraId="5AC77D32" w14:textId="77777777" w:rsidR="001A0554" w:rsidRPr="003D5D4C" w:rsidRDefault="001A0554" w:rsidP="001A0554">
            <w:pPr>
              <w:spacing w:before="60" w:line="240" w:lineRule="atLeast"/>
              <w:rPr>
                <w:rFonts w:eastAsia="Times New Roman" w:cs="Times New Roman"/>
                <w:color w:val="000000"/>
                <w:sz w:val="20"/>
                <w:lang w:eastAsia="en-AU"/>
              </w:rPr>
            </w:pPr>
            <w:r w:rsidRPr="003D5D4C">
              <w:rPr>
                <w:rFonts w:eastAsia="Times New Roman" w:cs="Times New Roman"/>
                <w:color w:val="000000"/>
                <w:sz w:val="20"/>
                <w:lang w:eastAsia="en-AU"/>
              </w:rPr>
              <w:t>0.1</w:t>
            </w:r>
            <w:r w:rsidR="00D70699" w:rsidRPr="003D5D4C">
              <w:rPr>
                <w:rFonts w:eastAsia="Times New Roman" w:cs="Times New Roman"/>
                <w:color w:val="000000"/>
                <w:sz w:val="20"/>
                <w:lang w:eastAsia="en-AU"/>
              </w:rPr>
              <w:t>5</w:t>
            </w:r>
            <w:r w:rsidRPr="003D5D4C">
              <w:rPr>
                <w:rFonts w:eastAsia="Times New Roman" w:cs="Times New Roman"/>
                <w:color w:val="000000"/>
                <w:sz w:val="20"/>
                <w:lang w:eastAsia="en-AU"/>
              </w:rPr>
              <w:t>%</w:t>
            </w:r>
          </w:p>
        </w:tc>
        <w:tc>
          <w:tcPr>
            <w:tcW w:w="1233" w:type="dxa"/>
            <w:shd w:val="clear" w:color="auto" w:fill="auto"/>
          </w:tcPr>
          <w:p w14:paraId="321ACE0B" w14:textId="77777777" w:rsidR="001A0554" w:rsidRPr="003D5D4C" w:rsidRDefault="001A0554" w:rsidP="001A0554">
            <w:pPr>
              <w:spacing w:before="60" w:line="240" w:lineRule="atLeast"/>
              <w:rPr>
                <w:rFonts w:eastAsia="Times New Roman" w:cs="Times New Roman"/>
                <w:color w:val="000000"/>
                <w:sz w:val="20"/>
                <w:lang w:eastAsia="en-AU"/>
              </w:rPr>
            </w:pPr>
            <w:r w:rsidRPr="003D5D4C">
              <w:rPr>
                <w:rFonts w:eastAsia="Times New Roman" w:cs="Times New Roman"/>
                <w:color w:val="000000"/>
                <w:sz w:val="20"/>
                <w:lang w:eastAsia="en-AU"/>
              </w:rPr>
              <w:t>15.00%</w:t>
            </w:r>
          </w:p>
        </w:tc>
      </w:tr>
      <w:tr w:rsidR="001A0554" w:rsidRPr="003D5D4C" w14:paraId="4B342EE0" w14:textId="77777777" w:rsidTr="001A0554">
        <w:tc>
          <w:tcPr>
            <w:tcW w:w="714" w:type="dxa"/>
            <w:shd w:val="clear" w:color="auto" w:fill="auto"/>
          </w:tcPr>
          <w:p w14:paraId="65EECCA2" w14:textId="77777777" w:rsidR="001A0554" w:rsidRPr="003D5D4C" w:rsidRDefault="001A0554" w:rsidP="001A0554">
            <w:pPr>
              <w:pStyle w:val="Tabletext"/>
            </w:pPr>
            <w:r w:rsidRPr="003D5D4C">
              <w:t>22</w:t>
            </w:r>
          </w:p>
        </w:tc>
        <w:tc>
          <w:tcPr>
            <w:tcW w:w="1833" w:type="dxa"/>
            <w:shd w:val="clear" w:color="auto" w:fill="auto"/>
          </w:tcPr>
          <w:p w14:paraId="152D4BE7" w14:textId="77777777" w:rsidR="001A0554" w:rsidRPr="003D5D4C" w:rsidRDefault="001A0554" w:rsidP="001A0554">
            <w:pPr>
              <w:pStyle w:val="Tabletext"/>
            </w:pPr>
            <w:r w:rsidRPr="003D5D4C">
              <w:t>Australian Cash</w:t>
            </w:r>
          </w:p>
        </w:tc>
        <w:tc>
          <w:tcPr>
            <w:tcW w:w="3402" w:type="dxa"/>
            <w:shd w:val="clear" w:color="auto" w:fill="auto"/>
          </w:tcPr>
          <w:p w14:paraId="05C5A9B9" w14:textId="77777777" w:rsidR="001A0554" w:rsidRPr="003D5D4C" w:rsidRDefault="001A0554" w:rsidP="001A0554">
            <w:pPr>
              <w:pStyle w:val="Tabletext"/>
            </w:pPr>
            <w:r w:rsidRPr="003D5D4C">
              <w:t>BAUBIL</w:t>
            </w:r>
          </w:p>
          <w:p w14:paraId="0B0CD8A8" w14:textId="77777777" w:rsidR="001A0554" w:rsidRPr="003D5D4C" w:rsidRDefault="001A0554" w:rsidP="001A0554">
            <w:pPr>
              <w:pStyle w:val="Tabletext"/>
            </w:pPr>
            <w:r w:rsidRPr="003D5D4C">
              <w:t>Bloomberg Ausbond Bank Bill Index</w:t>
            </w:r>
          </w:p>
        </w:tc>
        <w:tc>
          <w:tcPr>
            <w:tcW w:w="1134" w:type="dxa"/>
            <w:shd w:val="clear" w:color="auto" w:fill="auto"/>
          </w:tcPr>
          <w:p w14:paraId="06E04C39" w14:textId="77777777" w:rsidR="001A0554" w:rsidRPr="003D5D4C" w:rsidRDefault="001A0554" w:rsidP="001A0554">
            <w:pPr>
              <w:pStyle w:val="Tabletext"/>
            </w:pPr>
            <w:r w:rsidRPr="003D5D4C">
              <w:t>0.04%</w:t>
            </w:r>
          </w:p>
        </w:tc>
        <w:tc>
          <w:tcPr>
            <w:tcW w:w="1233" w:type="dxa"/>
            <w:shd w:val="clear" w:color="auto" w:fill="auto"/>
          </w:tcPr>
          <w:p w14:paraId="65D8DA1B" w14:textId="77777777" w:rsidR="001A0554" w:rsidRPr="003D5D4C" w:rsidRDefault="001A0554" w:rsidP="001A0554">
            <w:pPr>
              <w:pStyle w:val="Tabletext"/>
            </w:pPr>
            <w:r w:rsidRPr="003D5D4C">
              <w:t>15.00%</w:t>
            </w:r>
          </w:p>
        </w:tc>
      </w:tr>
      <w:tr w:rsidR="001A0554" w:rsidRPr="003D5D4C" w14:paraId="667DBE2F" w14:textId="77777777" w:rsidTr="001A0554">
        <w:tc>
          <w:tcPr>
            <w:tcW w:w="714" w:type="dxa"/>
            <w:shd w:val="clear" w:color="auto" w:fill="auto"/>
          </w:tcPr>
          <w:p w14:paraId="2BF724E3" w14:textId="77777777" w:rsidR="001A0554" w:rsidRPr="003D5D4C" w:rsidRDefault="001A0554" w:rsidP="001A0554">
            <w:pPr>
              <w:pStyle w:val="Tabletext"/>
            </w:pPr>
            <w:r w:rsidRPr="003D5D4C">
              <w:t>23</w:t>
            </w:r>
          </w:p>
        </w:tc>
        <w:tc>
          <w:tcPr>
            <w:tcW w:w="1833" w:type="dxa"/>
            <w:shd w:val="clear" w:color="auto" w:fill="auto"/>
          </w:tcPr>
          <w:p w14:paraId="434EE651" w14:textId="77777777" w:rsidR="001A0554" w:rsidRPr="003D5D4C" w:rsidRDefault="001A0554" w:rsidP="001A0554">
            <w:pPr>
              <w:pStyle w:val="Tabletext"/>
            </w:pPr>
            <w:r w:rsidRPr="003D5D4C">
              <w:t>International Cash</w:t>
            </w:r>
          </w:p>
        </w:tc>
        <w:tc>
          <w:tcPr>
            <w:tcW w:w="3402" w:type="dxa"/>
            <w:shd w:val="clear" w:color="auto" w:fill="auto"/>
          </w:tcPr>
          <w:p w14:paraId="44E680B3" w14:textId="77777777" w:rsidR="001A0554" w:rsidRPr="003D5D4C" w:rsidRDefault="001A0554" w:rsidP="001A0554">
            <w:pPr>
              <w:pStyle w:val="Tabletext"/>
            </w:pPr>
            <w:r w:rsidRPr="003D5D4C">
              <w:t>BAUBIL</w:t>
            </w:r>
          </w:p>
          <w:p w14:paraId="59E4339C" w14:textId="77777777" w:rsidR="001A0554" w:rsidRPr="003D5D4C" w:rsidRDefault="001A0554" w:rsidP="001A0554">
            <w:pPr>
              <w:pStyle w:val="Tabletext"/>
            </w:pPr>
            <w:r w:rsidRPr="003D5D4C">
              <w:t>Bloomberg Ausbond Bank Bill Index</w:t>
            </w:r>
          </w:p>
        </w:tc>
        <w:tc>
          <w:tcPr>
            <w:tcW w:w="1134" w:type="dxa"/>
            <w:shd w:val="clear" w:color="auto" w:fill="auto"/>
          </w:tcPr>
          <w:p w14:paraId="229CC6AF" w14:textId="77777777" w:rsidR="001A0554" w:rsidRPr="003D5D4C" w:rsidRDefault="001A0554" w:rsidP="001A0554">
            <w:pPr>
              <w:pStyle w:val="Tabletext"/>
            </w:pPr>
            <w:r w:rsidRPr="003D5D4C">
              <w:t>0.04%</w:t>
            </w:r>
          </w:p>
        </w:tc>
        <w:tc>
          <w:tcPr>
            <w:tcW w:w="1233" w:type="dxa"/>
            <w:shd w:val="clear" w:color="auto" w:fill="auto"/>
          </w:tcPr>
          <w:p w14:paraId="737EE756" w14:textId="77777777" w:rsidR="001A0554" w:rsidRPr="003D5D4C" w:rsidRDefault="001A0554" w:rsidP="001A0554">
            <w:pPr>
              <w:pStyle w:val="Tabletext"/>
            </w:pPr>
            <w:r w:rsidRPr="003D5D4C">
              <w:t>15.00%</w:t>
            </w:r>
          </w:p>
        </w:tc>
      </w:tr>
      <w:tr w:rsidR="001A0554" w:rsidRPr="003D5D4C" w14:paraId="7FEA92B9" w14:textId="77777777" w:rsidTr="001A0554">
        <w:tc>
          <w:tcPr>
            <w:tcW w:w="714" w:type="dxa"/>
            <w:shd w:val="clear" w:color="auto" w:fill="auto"/>
          </w:tcPr>
          <w:p w14:paraId="00F5F94E" w14:textId="77777777" w:rsidR="001A0554" w:rsidRPr="003D5D4C" w:rsidRDefault="001A0554" w:rsidP="001A0554">
            <w:pPr>
              <w:pStyle w:val="Tabletext"/>
            </w:pPr>
            <w:r w:rsidRPr="003D5D4C">
              <w:t>24</w:t>
            </w:r>
          </w:p>
        </w:tc>
        <w:tc>
          <w:tcPr>
            <w:tcW w:w="1833" w:type="dxa"/>
            <w:shd w:val="clear" w:color="auto" w:fill="auto"/>
          </w:tcPr>
          <w:p w14:paraId="7769CBD9" w14:textId="77777777" w:rsidR="001A0554" w:rsidRPr="003D5D4C" w:rsidRDefault="001A0554" w:rsidP="001A0554">
            <w:pPr>
              <w:pStyle w:val="Tabletext"/>
            </w:pPr>
            <w:r w:rsidRPr="003D5D4C">
              <w:t>Alternatives</w:t>
            </w:r>
          </w:p>
        </w:tc>
        <w:tc>
          <w:tcPr>
            <w:tcW w:w="3402" w:type="dxa"/>
            <w:shd w:val="clear" w:color="auto" w:fill="auto"/>
          </w:tcPr>
          <w:p w14:paraId="30BE2B9C" w14:textId="77777777" w:rsidR="001A0554" w:rsidRPr="003D5D4C" w:rsidRDefault="001A0554" w:rsidP="001A0554">
            <w:pPr>
              <w:pStyle w:val="Tabletext"/>
            </w:pPr>
          </w:p>
        </w:tc>
        <w:tc>
          <w:tcPr>
            <w:tcW w:w="1134" w:type="dxa"/>
            <w:shd w:val="clear" w:color="auto" w:fill="auto"/>
          </w:tcPr>
          <w:p w14:paraId="0A9BD4B8" w14:textId="77777777" w:rsidR="001A0554" w:rsidRPr="003D5D4C" w:rsidRDefault="001A0554" w:rsidP="001A0554">
            <w:pPr>
              <w:pStyle w:val="Tabletext"/>
            </w:pPr>
            <w:r w:rsidRPr="003D5D4C">
              <w:t>0%</w:t>
            </w:r>
          </w:p>
        </w:tc>
        <w:tc>
          <w:tcPr>
            <w:tcW w:w="1233" w:type="dxa"/>
            <w:shd w:val="clear" w:color="auto" w:fill="auto"/>
          </w:tcPr>
          <w:p w14:paraId="173C508B" w14:textId="77777777" w:rsidR="001A0554" w:rsidRPr="003D5D4C" w:rsidRDefault="001A0554" w:rsidP="001A0554">
            <w:pPr>
              <w:pStyle w:val="Tabletext"/>
            </w:pPr>
            <w:r w:rsidRPr="003D5D4C">
              <w:t>0%</w:t>
            </w:r>
          </w:p>
        </w:tc>
      </w:tr>
      <w:tr w:rsidR="001A0554" w:rsidRPr="003D5D4C" w14:paraId="7DE6A4BF" w14:textId="77777777" w:rsidTr="001A0554">
        <w:tc>
          <w:tcPr>
            <w:tcW w:w="714" w:type="dxa"/>
            <w:tcBorders>
              <w:bottom w:val="single" w:sz="2" w:space="0" w:color="auto"/>
            </w:tcBorders>
            <w:shd w:val="clear" w:color="auto" w:fill="auto"/>
          </w:tcPr>
          <w:p w14:paraId="650BC62E" w14:textId="77777777" w:rsidR="001A0554" w:rsidRPr="003D5D4C" w:rsidRDefault="001A0554" w:rsidP="001A0554">
            <w:pPr>
              <w:pStyle w:val="Tabletext"/>
            </w:pPr>
            <w:r w:rsidRPr="003D5D4C">
              <w:t>25</w:t>
            </w:r>
          </w:p>
        </w:tc>
        <w:tc>
          <w:tcPr>
            <w:tcW w:w="1833" w:type="dxa"/>
            <w:tcBorders>
              <w:bottom w:val="single" w:sz="2" w:space="0" w:color="auto"/>
            </w:tcBorders>
            <w:shd w:val="clear" w:color="auto" w:fill="auto"/>
          </w:tcPr>
          <w:p w14:paraId="0FBEC009" w14:textId="77777777" w:rsidR="001A0554" w:rsidRPr="003D5D4C" w:rsidRDefault="001A0554" w:rsidP="001A0554">
            <w:pPr>
              <w:pStyle w:val="Tabletext"/>
            </w:pPr>
            <w:r w:rsidRPr="003D5D4C">
              <w:t>Defensive Alternatives</w:t>
            </w:r>
          </w:p>
        </w:tc>
        <w:tc>
          <w:tcPr>
            <w:tcW w:w="3402" w:type="dxa"/>
            <w:tcBorders>
              <w:bottom w:val="single" w:sz="2" w:space="0" w:color="auto"/>
            </w:tcBorders>
            <w:shd w:val="clear" w:color="auto" w:fill="auto"/>
          </w:tcPr>
          <w:p w14:paraId="23D9CD46" w14:textId="77777777" w:rsidR="001A0554" w:rsidRPr="003D5D4C" w:rsidRDefault="001A0554" w:rsidP="001A0554">
            <w:pPr>
              <w:pStyle w:val="Tabletext"/>
            </w:pPr>
          </w:p>
        </w:tc>
        <w:tc>
          <w:tcPr>
            <w:tcW w:w="1134" w:type="dxa"/>
            <w:tcBorders>
              <w:bottom w:val="single" w:sz="2" w:space="0" w:color="auto"/>
            </w:tcBorders>
            <w:shd w:val="clear" w:color="auto" w:fill="auto"/>
          </w:tcPr>
          <w:p w14:paraId="75A4AC26" w14:textId="77777777" w:rsidR="001A0554" w:rsidRPr="003D5D4C" w:rsidRDefault="001A0554" w:rsidP="001A0554">
            <w:pPr>
              <w:pStyle w:val="Tabletext"/>
            </w:pPr>
            <w:r w:rsidRPr="003D5D4C">
              <w:t>0%</w:t>
            </w:r>
          </w:p>
        </w:tc>
        <w:tc>
          <w:tcPr>
            <w:tcW w:w="1233" w:type="dxa"/>
            <w:tcBorders>
              <w:bottom w:val="single" w:sz="2" w:space="0" w:color="auto"/>
            </w:tcBorders>
            <w:shd w:val="clear" w:color="auto" w:fill="auto"/>
          </w:tcPr>
          <w:p w14:paraId="496D3713" w14:textId="77777777" w:rsidR="001A0554" w:rsidRPr="003D5D4C" w:rsidRDefault="001A0554" w:rsidP="001A0554">
            <w:pPr>
              <w:pStyle w:val="Tabletext"/>
            </w:pPr>
            <w:r w:rsidRPr="003D5D4C">
              <w:t>0%</w:t>
            </w:r>
          </w:p>
        </w:tc>
      </w:tr>
      <w:tr w:rsidR="001A0554" w:rsidRPr="003D5D4C" w14:paraId="6BC1FC00" w14:textId="77777777" w:rsidTr="001A0554">
        <w:tc>
          <w:tcPr>
            <w:tcW w:w="714" w:type="dxa"/>
            <w:tcBorders>
              <w:top w:val="single" w:sz="2" w:space="0" w:color="auto"/>
              <w:bottom w:val="single" w:sz="12" w:space="0" w:color="auto"/>
            </w:tcBorders>
            <w:shd w:val="clear" w:color="auto" w:fill="auto"/>
          </w:tcPr>
          <w:p w14:paraId="144B3338" w14:textId="77777777" w:rsidR="001A0554" w:rsidRPr="003D5D4C" w:rsidRDefault="001A0554" w:rsidP="001A0554">
            <w:pPr>
              <w:pStyle w:val="Tabletext"/>
            </w:pPr>
            <w:r w:rsidRPr="003D5D4C">
              <w:t>26</w:t>
            </w:r>
          </w:p>
        </w:tc>
        <w:tc>
          <w:tcPr>
            <w:tcW w:w="1833" w:type="dxa"/>
            <w:tcBorders>
              <w:top w:val="single" w:sz="2" w:space="0" w:color="auto"/>
              <w:bottom w:val="single" w:sz="12" w:space="0" w:color="auto"/>
            </w:tcBorders>
            <w:shd w:val="clear" w:color="auto" w:fill="auto"/>
          </w:tcPr>
          <w:p w14:paraId="23F89A53" w14:textId="77777777" w:rsidR="001A0554" w:rsidRPr="003D5D4C" w:rsidRDefault="001A0554" w:rsidP="001A0554">
            <w:pPr>
              <w:pStyle w:val="Tabletext"/>
            </w:pPr>
            <w:r w:rsidRPr="003D5D4C">
              <w:t>Growth Alternatives</w:t>
            </w:r>
          </w:p>
        </w:tc>
        <w:tc>
          <w:tcPr>
            <w:tcW w:w="3402" w:type="dxa"/>
            <w:tcBorders>
              <w:top w:val="single" w:sz="2" w:space="0" w:color="auto"/>
              <w:bottom w:val="single" w:sz="12" w:space="0" w:color="auto"/>
            </w:tcBorders>
            <w:shd w:val="clear" w:color="auto" w:fill="auto"/>
          </w:tcPr>
          <w:p w14:paraId="134537B9" w14:textId="77777777" w:rsidR="001A0554" w:rsidRPr="003D5D4C" w:rsidRDefault="001A0554" w:rsidP="001A0554">
            <w:pPr>
              <w:pStyle w:val="Tabletext"/>
            </w:pPr>
          </w:p>
        </w:tc>
        <w:tc>
          <w:tcPr>
            <w:tcW w:w="1134" w:type="dxa"/>
            <w:tcBorders>
              <w:top w:val="single" w:sz="2" w:space="0" w:color="auto"/>
              <w:bottom w:val="single" w:sz="12" w:space="0" w:color="auto"/>
            </w:tcBorders>
            <w:shd w:val="clear" w:color="auto" w:fill="auto"/>
          </w:tcPr>
          <w:p w14:paraId="61777851" w14:textId="77777777" w:rsidR="001A0554" w:rsidRPr="003D5D4C" w:rsidRDefault="001A0554" w:rsidP="001A0554">
            <w:pPr>
              <w:pStyle w:val="Tabletext"/>
            </w:pPr>
            <w:r w:rsidRPr="003D5D4C">
              <w:t>0%</w:t>
            </w:r>
          </w:p>
        </w:tc>
        <w:tc>
          <w:tcPr>
            <w:tcW w:w="1233" w:type="dxa"/>
            <w:tcBorders>
              <w:top w:val="single" w:sz="2" w:space="0" w:color="auto"/>
              <w:bottom w:val="single" w:sz="12" w:space="0" w:color="auto"/>
            </w:tcBorders>
            <w:shd w:val="clear" w:color="auto" w:fill="auto"/>
          </w:tcPr>
          <w:p w14:paraId="3F4F9989" w14:textId="77777777" w:rsidR="001A0554" w:rsidRPr="003D5D4C" w:rsidRDefault="001A0554" w:rsidP="001A0554">
            <w:pPr>
              <w:pStyle w:val="Tabletext"/>
            </w:pPr>
            <w:r w:rsidRPr="003D5D4C">
              <w:t>0%</w:t>
            </w:r>
          </w:p>
        </w:tc>
      </w:tr>
    </w:tbl>
    <w:p w14:paraId="0BED8709" w14:textId="77777777" w:rsidR="005A0820" w:rsidRPr="003D5D4C" w:rsidRDefault="005A0820" w:rsidP="005A0820">
      <w:pPr>
        <w:pStyle w:val="Tabletext"/>
      </w:pPr>
    </w:p>
    <w:p w14:paraId="326221A3" w14:textId="77777777" w:rsidR="00D4001B" w:rsidRPr="003D5D4C" w:rsidRDefault="00F75733" w:rsidP="00D4001B">
      <w:pPr>
        <w:pStyle w:val="ItemHead"/>
      </w:pPr>
      <w:r w:rsidRPr="003D5D4C">
        <w:t>60</w:t>
      </w:r>
      <w:r w:rsidR="009E3736" w:rsidRPr="003D5D4C">
        <w:t xml:space="preserve">  </w:t>
      </w:r>
      <w:r w:rsidR="000666F1" w:rsidRPr="003D5D4C">
        <w:t>Regulation 9</w:t>
      </w:r>
      <w:r w:rsidR="00D4001B" w:rsidRPr="003D5D4C">
        <w:t>AB.23 (</w:t>
      </w:r>
      <w:r w:rsidR="00FB3C31" w:rsidRPr="003D5D4C">
        <w:t>sub</w:t>
      </w:r>
      <w:r w:rsidRPr="003D5D4C">
        <w:t>paragraph (</w:t>
      </w:r>
      <w:r w:rsidR="00D4001B" w:rsidRPr="003D5D4C">
        <w:t xml:space="preserve">a)(i) of the definition of </w:t>
      </w:r>
      <w:r w:rsidR="00D4001B" w:rsidRPr="003D5D4C">
        <w:rPr>
          <w:i/>
        </w:rPr>
        <w:t>test period</w:t>
      </w:r>
      <w:r w:rsidR="00D4001B" w:rsidRPr="003D5D4C">
        <w:t>)</w:t>
      </w:r>
    </w:p>
    <w:p w14:paraId="79B13AFC" w14:textId="77777777" w:rsidR="00D4001B" w:rsidRPr="003D5D4C" w:rsidRDefault="00D4001B" w:rsidP="00D4001B">
      <w:pPr>
        <w:pStyle w:val="Item"/>
      </w:pPr>
      <w:r w:rsidRPr="003D5D4C">
        <w:t xml:space="preserve">Omit </w:t>
      </w:r>
      <w:r w:rsidR="001376B0" w:rsidRPr="003D5D4C">
        <w:t>“</w:t>
      </w:r>
      <w:r w:rsidRPr="003D5D4C">
        <w:t>8</w:t>
      </w:r>
      <w:r w:rsidR="001376B0" w:rsidRPr="003D5D4C">
        <w:t>”</w:t>
      </w:r>
      <w:r w:rsidRPr="003D5D4C">
        <w:t xml:space="preserve">, substitute </w:t>
      </w:r>
      <w:r w:rsidR="001376B0" w:rsidRPr="003D5D4C">
        <w:t>“</w:t>
      </w:r>
      <w:r w:rsidRPr="003D5D4C">
        <w:t>10</w:t>
      </w:r>
      <w:r w:rsidR="001376B0" w:rsidRPr="003D5D4C">
        <w:t>”</w:t>
      </w:r>
      <w:r w:rsidRPr="003D5D4C">
        <w:t>.</w:t>
      </w:r>
    </w:p>
    <w:p w14:paraId="1F30CE69" w14:textId="77777777" w:rsidR="005D3D6F" w:rsidRPr="003D5D4C" w:rsidRDefault="00F75733" w:rsidP="005D3D6F">
      <w:pPr>
        <w:pStyle w:val="ItemHead"/>
      </w:pPr>
      <w:r w:rsidRPr="003D5D4C">
        <w:t>61</w:t>
      </w:r>
      <w:r w:rsidR="005D3D6F" w:rsidRPr="003D5D4C">
        <w:t xml:space="preserve">  </w:t>
      </w:r>
      <w:r w:rsidRPr="003D5D4C">
        <w:t>Subregulation 9</w:t>
      </w:r>
      <w:r w:rsidR="005D3D6F" w:rsidRPr="003D5D4C">
        <w:t>AB.24(1) (formula)</w:t>
      </w:r>
    </w:p>
    <w:p w14:paraId="2E6B452C" w14:textId="77777777" w:rsidR="007E2BE7" w:rsidRPr="003D5D4C" w:rsidRDefault="007E2BE7" w:rsidP="005D3D6F">
      <w:pPr>
        <w:pStyle w:val="Item"/>
      </w:pPr>
      <w:r w:rsidRPr="003D5D4C">
        <w:t>Repeal the formula, substitute:</w:t>
      </w:r>
    </w:p>
    <w:p w14:paraId="64497735" w14:textId="77777777" w:rsidR="007E2BE7" w:rsidRPr="003D5D4C" w:rsidRDefault="0076179E" w:rsidP="007E2BE7">
      <w:pPr>
        <w:pStyle w:val="subsection2"/>
      </w:pPr>
      <w:r w:rsidRPr="003D5D4C">
        <w:rPr>
          <w:position w:val="-20"/>
        </w:rPr>
        <w:object w:dxaOrig="4280" w:dyaOrig="639" w14:anchorId="62E219D6">
          <v:shape id="_x0000_i1029" type="#_x0000_t75" alt="Start formula Applicable investment fee plus Applicable administration fee plus Applicable cost amount end formula." style="width:214.45pt;height:31.4pt;mso-position-horizontal:absolute" o:ole="">
            <v:imagedata r:id="rId31" o:title=""/>
          </v:shape>
          <o:OLEObject Type="Embed" ProgID="Equation.DSMT4" ShapeID="_x0000_i1029" DrawAspect="Content" ObjectID="_1752581542" r:id="rId32"/>
        </w:object>
      </w:r>
    </w:p>
    <w:p w14:paraId="716F1E5E" w14:textId="77777777" w:rsidR="005D3D6F" w:rsidRPr="003D5D4C" w:rsidRDefault="00F75733" w:rsidP="005D3D6F">
      <w:pPr>
        <w:pStyle w:val="ItemHead"/>
      </w:pPr>
      <w:r w:rsidRPr="003D5D4C">
        <w:t>62</w:t>
      </w:r>
      <w:r w:rsidR="005D3D6F" w:rsidRPr="003D5D4C">
        <w:t xml:space="preserve">  </w:t>
      </w:r>
      <w:r w:rsidRPr="003D5D4C">
        <w:t>Subregulation 9</w:t>
      </w:r>
      <w:r w:rsidR="005D3D6F" w:rsidRPr="003D5D4C">
        <w:t>AB.24(1)</w:t>
      </w:r>
    </w:p>
    <w:p w14:paraId="4EECEE7D" w14:textId="77777777" w:rsidR="005D3D6F" w:rsidRPr="003D5D4C" w:rsidRDefault="005D3D6F" w:rsidP="005D3D6F">
      <w:pPr>
        <w:pStyle w:val="Item"/>
      </w:pPr>
      <w:r w:rsidRPr="003D5D4C">
        <w:t>Insert:</w:t>
      </w:r>
    </w:p>
    <w:p w14:paraId="72861271" w14:textId="77777777" w:rsidR="005D3D6F" w:rsidRPr="003D5D4C" w:rsidRDefault="005D3D6F" w:rsidP="005D3D6F">
      <w:pPr>
        <w:pStyle w:val="Definition"/>
      </w:pPr>
      <w:r w:rsidRPr="003D5D4C">
        <w:rPr>
          <w:b/>
          <w:i/>
        </w:rPr>
        <w:lastRenderedPageBreak/>
        <w:t xml:space="preserve">applicable </w:t>
      </w:r>
      <w:r w:rsidR="00537DE8" w:rsidRPr="003D5D4C">
        <w:rPr>
          <w:b/>
          <w:i/>
        </w:rPr>
        <w:t>cost</w:t>
      </w:r>
      <w:r w:rsidRPr="003D5D4C">
        <w:rPr>
          <w:b/>
          <w:i/>
        </w:rPr>
        <w:t xml:space="preserve"> amount</w:t>
      </w:r>
      <w:r w:rsidR="00A131B5" w:rsidRPr="003D5D4C">
        <w:rPr>
          <w:b/>
          <w:i/>
        </w:rPr>
        <w:t xml:space="preserve"> </w:t>
      </w:r>
      <w:r w:rsidR="00A131B5" w:rsidRPr="003D5D4C">
        <w:t>means</w:t>
      </w:r>
      <w:r w:rsidRPr="003D5D4C">
        <w:t>:</w:t>
      </w:r>
    </w:p>
    <w:p w14:paraId="1C7E5B82" w14:textId="77777777" w:rsidR="005D3D6F" w:rsidRPr="003D5D4C" w:rsidRDefault="005D3D6F" w:rsidP="005D3D6F">
      <w:pPr>
        <w:pStyle w:val="paragraph"/>
      </w:pPr>
      <w:r w:rsidRPr="003D5D4C">
        <w:tab/>
        <w:t>(a)</w:t>
      </w:r>
      <w:r w:rsidRPr="003D5D4C">
        <w:tab/>
      </w:r>
      <w:r w:rsidR="00A131B5" w:rsidRPr="003D5D4C">
        <w:t xml:space="preserve">where it is possible to identify the </w:t>
      </w:r>
      <w:r w:rsidR="00D251D3" w:rsidRPr="003D5D4C">
        <w:t>Part 6</w:t>
      </w:r>
      <w:r w:rsidR="00A131B5" w:rsidRPr="003D5D4C">
        <w:t>A product</w:t>
      </w:r>
      <w:r w:rsidR="001376B0" w:rsidRPr="003D5D4C">
        <w:t>’</w:t>
      </w:r>
      <w:r w:rsidR="00A131B5" w:rsidRPr="003D5D4C">
        <w:t>s applicable transaction costs in relation to the relevant year from information available to APRA—means the applicable transaction costs; or</w:t>
      </w:r>
    </w:p>
    <w:p w14:paraId="368957C7" w14:textId="77777777" w:rsidR="00A131B5" w:rsidRPr="003D5D4C" w:rsidRDefault="00A131B5" w:rsidP="005D3D6F">
      <w:pPr>
        <w:pStyle w:val="paragraph"/>
      </w:pPr>
      <w:r w:rsidRPr="003D5D4C">
        <w:tab/>
        <w:t>(b)</w:t>
      </w:r>
      <w:r w:rsidRPr="003D5D4C">
        <w:tab/>
        <w:t>otherwise—means the applicable indirect cost ratio.</w:t>
      </w:r>
    </w:p>
    <w:p w14:paraId="4DF9470E" w14:textId="77777777" w:rsidR="001376B0" w:rsidRPr="003D5D4C" w:rsidRDefault="001376B0" w:rsidP="001376B0">
      <w:pPr>
        <w:pStyle w:val="Definition"/>
      </w:pPr>
      <w:r w:rsidRPr="003D5D4C">
        <w:rPr>
          <w:b/>
          <w:i/>
        </w:rPr>
        <w:t>applicable transaction costs</w:t>
      </w:r>
      <w:r w:rsidRPr="003D5D4C">
        <w:t xml:space="preserve"> has the meaning given by subregulation (4).</w:t>
      </w:r>
    </w:p>
    <w:p w14:paraId="6F27D526" w14:textId="77777777" w:rsidR="00B50734" w:rsidRPr="003D5D4C" w:rsidRDefault="00F75733" w:rsidP="00B50734">
      <w:pPr>
        <w:pStyle w:val="ItemHead"/>
      </w:pPr>
      <w:r w:rsidRPr="003D5D4C">
        <w:t>63</w:t>
      </w:r>
      <w:r w:rsidR="00B50734" w:rsidRPr="003D5D4C">
        <w:t xml:space="preserve">  </w:t>
      </w:r>
      <w:r w:rsidRPr="003D5D4C">
        <w:t>Subparagraph 9</w:t>
      </w:r>
      <w:r w:rsidR="00B50734" w:rsidRPr="003D5D4C">
        <w:t>AB.24(3)(d)(i)</w:t>
      </w:r>
    </w:p>
    <w:p w14:paraId="662916AD" w14:textId="77777777" w:rsidR="00B50734" w:rsidRPr="003D5D4C" w:rsidRDefault="00B50734" w:rsidP="00B50734">
      <w:pPr>
        <w:pStyle w:val="Item"/>
      </w:pPr>
      <w:r w:rsidRPr="003D5D4C">
        <w:t xml:space="preserve">Before </w:t>
      </w:r>
      <w:r w:rsidR="001376B0" w:rsidRPr="003D5D4C">
        <w:t>“</w:t>
      </w:r>
      <w:r w:rsidRPr="003D5D4C">
        <w:t>result</w:t>
      </w:r>
      <w:r w:rsidR="001376B0" w:rsidRPr="003D5D4C">
        <w:t>”</w:t>
      </w:r>
      <w:r w:rsidRPr="003D5D4C">
        <w:t xml:space="preserve">, insert </w:t>
      </w:r>
      <w:r w:rsidR="001376B0" w:rsidRPr="003D5D4C">
        <w:t>“</w:t>
      </w:r>
      <w:r w:rsidRPr="003D5D4C">
        <w:t>the</w:t>
      </w:r>
      <w:r w:rsidR="001376B0" w:rsidRPr="003D5D4C">
        <w:t>”</w:t>
      </w:r>
      <w:r w:rsidRPr="003D5D4C">
        <w:t>.</w:t>
      </w:r>
    </w:p>
    <w:p w14:paraId="5157DF10" w14:textId="77777777" w:rsidR="00A131B5" w:rsidRPr="003D5D4C" w:rsidRDefault="00F75733" w:rsidP="00A131B5">
      <w:pPr>
        <w:pStyle w:val="ItemHead"/>
      </w:pPr>
      <w:r w:rsidRPr="003D5D4C">
        <w:t>64</w:t>
      </w:r>
      <w:r w:rsidR="00A131B5" w:rsidRPr="003D5D4C">
        <w:t xml:space="preserve">  At the end of </w:t>
      </w:r>
      <w:r w:rsidRPr="003D5D4C">
        <w:t>regulation 9</w:t>
      </w:r>
      <w:r w:rsidR="00A131B5" w:rsidRPr="003D5D4C">
        <w:t>AB.24</w:t>
      </w:r>
    </w:p>
    <w:p w14:paraId="33153816" w14:textId="77777777" w:rsidR="00A131B5" w:rsidRPr="003D5D4C" w:rsidRDefault="00A131B5" w:rsidP="00A131B5">
      <w:pPr>
        <w:pStyle w:val="Item"/>
      </w:pPr>
      <w:r w:rsidRPr="003D5D4C">
        <w:t>Add:</w:t>
      </w:r>
    </w:p>
    <w:p w14:paraId="50158493" w14:textId="77777777" w:rsidR="00A131B5" w:rsidRPr="003D5D4C" w:rsidRDefault="00A131B5" w:rsidP="00A131B5">
      <w:pPr>
        <w:pStyle w:val="subsection"/>
      </w:pPr>
      <w:r w:rsidRPr="003D5D4C">
        <w:tab/>
        <w:t>(4)</w:t>
      </w:r>
      <w:r w:rsidRPr="003D5D4C">
        <w:tab/>
        <w:t xml:space="preserve">For the purposes of subregulation (1), work out the </w:t>
      </w:r>
      <w:r w:rsidRPr="003D5D4C">
        <w:rPr>
          <w:b/>
          <w:i/>
        </w:rPr>
        <w:t>applicable transaction costs</w:t>
      </w:r>
      <w:r w:rsidRPr="003D5D4C">
        <w:t xml:space="preserve"> as follows:</w:t>
      </w:r>
    </w:p>
    <w:p w14:paraId="648BDA69" w14:textId="77777777" w:rsidR="00A131B5" w:rsidRPr="003D5D4C" w:rsidRDefault="00A131B5" w:rsidP="00A131B5">
      <w:pPr>
        <w:pStyle w:val="paragraph"/>
      </w:pPr>
      <w:r w:rsidRPr="003D5D4C">
        <w:tab/>
        <w:t>(a)</w:t>
      </w:r>
      <w:r w:rsidRPr="003D5D4C">
        <w:tab/>
        <w:t>first, work out the product of the following:</w:t>
      </w:r>
    </w:p>
    <w:p w14:paraId="6446D445" w14:textId="77777777" w:rsidR="00A131B5" w:rsidRPr="003D5D4C" w:rsidRDefault="00A131B5" w:rsidP="00A131B5">
      <w:pPr>
        <w:pStyle w:val="paragraphsub"/>
      </w:pPr>
      <w:r w:rsidRPr="003D5D4C">
        <w:tab/>
        <w:t>(i)</w:t>
      </w:r>
      <w:r w:rsidRPr="003D5D4C">
        <w:tab/>
        <w:t xml:space="preserve">an account balance in respect of the </w:t>
      </w:r>
      <w:r w:rsidR="00D251D3" w:rsidRPr="003D5D4C">
        <w:t>Part 6</w:t>
      </w:r>
      <w:r w:rsidRPr="003D5D4C">
        <w:t>A product;</w:t>
      </w:r>
    </w:p>
    <w:p w14:paraId="0C4A4B03" w14:textId="77777777" w:rsidR="00A131B5" w:rsidRPr="003D5D4C" w:rsidRDefault="00A131B5" w:rsidP="00A131B5">
      <w:pPr>
        <w:pStyle w:val="paragraphsub"/>
      </w:pPr>
      <w:r w:rsidRPr="003D5D4C">
        <w:tab/>
        <w:t>(ii)</w:t>
      </w:r>
      <w:r w:rsidRPr="003D5D4C">
        <w:tab/>
        <w:t xml:space="preserve">the </w:t>
      </w:r>
      <w:r w:rsidR="00D251D3" w:rsidRPr="003D5D4C">
        <w:t>Part 6</w:t>
      </w:r>
      <w:r w:rsidRPr="003D5D4C">
        <w:t>A product</w:t>
      </w:r>
      <w:r w:rsidR="001376B0" w:rsidRPr="003D5D4C">
        <w:t>’</w:t>
      </w:r>
      <w:r w:rsidRPr="003D5D4C">
        <w:t xml:space="preserve">s </w:t>
      </w:r>
      <w:r w:rsidR="001376B0" w:rsidRPr="003D5D4C">
        <w:t>transaction costs</w:t>
      </w:r>
      <w:r w:rsidRPr="003D5D4C">
        <w:t xml:space="preserve"> percentage in relation to the relevant year;</w:t>
      </w:r>
    </w:p>
    <w:p w14:paraId="192C73CE" w14:textId="77777777" w:rsidR="00A131B5" w:rsidRPr="003D5D4C" w:rsidRDefault="00A131B5" w:rsidP="00A131B5">
      <w:pPr>
        <w:pStyle w:val="paragraph"/>
      </w:pPr>
      <w:r w:rsidRPr="003D5D4C">
        <w:tab/>
        <w:t>(b)</w:t>
      </w:r>
      <w:r w:rsidRPr="003D5D4C">
        <w:tab/>
        <w:t>work out the sum of the following:</w:t>
      </w:r>
    </w:p>
    <w:p w14:paraId="596364C6" w14:textId="77777777" w:rsidR="00A131B5" w:rsidRPr="003D5D4C" w:rsidRDefault="00A131B5" w:rsidP="00A131B5">
      <w:pPr>
        <w:pStyle w:val="paragraphsub"/>
      </w:pPr>
      <w:r w:rsidRPr="003D5D4C">
        <w:tab/>
        <w:t>(i)</w:t>
      </w:r>
      <w:r w:rsidRPr="003D5D4C">
        <w:tab/>
        <w:t xml:space="preserve">the result of </w:t>
      </w:r>
      <w:r w:rsidR="00F75733" w:rsidRPr="003D5D4C">
        <w:t>paragraph (</w:t>
      </w:r>
      <w:r w:rsidRPr="003D5D4C">
        <w:t>a);</w:t>
      </w:r>
    </w:p>
    <w:p w14:paraId="551DEFF2" w14:textId="77777777" w:rsidR="00A131B5" w:rsidRPr="003D5D4C" w:rsidRDefault="00A131B5" w:rsidP="00A131B5">
      <w:pPr>
        <w:pStyle w:val="paragraphsub"/>
      </w:pPr>
      <w:r w:rsidRPr="003D5D4C">
        <w:tab/>
        <w:t>(ii)</w:t>
      </w:r>
      <w:r w:rsidRPr="003D5D4C">
        <w:tab/>
        <w:t xml:space="preserve">the </w:t>
      </w:r>
      <w:r w:rsidR="00D251D3" w:rsidRPr="003D5D4C">
        <w:t>Part 6</w:t>
      </w:r>
      <w:r w:rsidRPr="003D5D4C">
        <w:t>A product</w:t>
      </w:r>
      <w:r w:rsidR="001376B0" w:rsidRPr="003D5D4C">
        <w:t>’</w:t>
      </w:r>
      <w:r w:rsidRPr="003D5D4C">
        <w:t xml:space="preserve">s </w:t>
      </w:r>
      <w:r w:rsidR="001376B0" w:rsidRPr="003D5D4C">
        <w:t xml:space="preserve">transaction costs </w:t>
      </w:r>
      <w:r w:rsidRPr="003D5D4C">
        <w:t>flat amount in relation to the relevant year;</w:t>
      </w:r>
    </w:p>
    <w:p w14:paraId="788B05F4" w14:textId="77777777" w:rsidR="00A131B5" w:rsidRPr="003D5D4C" w:rsidRDefault="00A131B5" w:rsidP="00A131B5">
      <w:pPr>
        <w:pStyle w:val="paragraph"/>
      </w:pPr>
      <w:r w:rsidRPr="003D5D4C">
        <w:tab/>
        <w:t>(c)</w:t>
      </w:r>
      <w:r w:rsidRPr="003D5D4C">
        <w:tab/>
        <w:t xml:space="preserve">if the </w:t>
      </w:r>
      <w:r w:rsidR="00D251D3" w:rsidRPr="003D5D4C">
        <w:t>Part 6</w:t>
      </w:r>
      <w:r w:rsidRPr="003D5D4C">
        <w:t xml:space="preserve">A product does </w:t>
      </w:r>
      <w:r w:rsidRPr="003D5D4C">
        <w:rPr>
          <w:i/>
        </w:rPr>
        <w:t>not</w:t>
      </w:r>
      <w:r w:rsidRPr="003D5D4C">
        <w:t xml:space="preserve"> have a </w:t>
      </w:r>
      <w:r w:rsidR="001376B0" w:rsidRPr="003D5D4C">
        <w:t xml:space="preserve">transaction costs </w:t>
      </w:r>
      <w:r w:rsidRPr="003D5D4C">
        <w:t xml:space="preserve">cap in relation to the relevant year, the </w:t>
      </w:r>
      <w:r w:rsidRPr="003D5D4C">
        <w:rPr>
          <w:b/>
          <w:i/>
        </w:rPr>
        <w:t>applicable</w:t>
      </w:r>
      <w:r w:rsidRPr="003D5D4C">
        <w:t xml:space="preserve"> </w:t>
      </w:r>
      <w:r w:rsidRPr="003D5D4C">
        <w:rPr>
          <w:b/>
          <w:i/>
        </w:rPr>
        <w:t xml:space="preserve">transaction costs </w:t>
      </w:r>
      <w:r w:rsidRPr="003D5D4C">
        <w:t xml:space="preserve">is the result of </w:t>
      </w:r>
      <w:r w:rsidR="00F75733" w:rsidRPr="003D5D4C">
        <w:t>paragraph (</w:t>
      </w:r>
      <w:r w:rsidRPr="003D5D4C">
        <w:t>b);</w:t>
      </w:r>
    </w:p>
    <w:p w14:paraId="08706931" w14:textId="77777777" w:rsidR="00A131B5" w:rsidRPr="003D5D4C" w:rsidRDefault="00A131B5" w:rsidP="00A131B5">
      <w:pPr>
        <w:pStyle w:val="paragraph"/>
      </w:pPr>
      <w:r w:rsidRPr="003D5D4C">
        <w:tab/>
        <w:t>(d)</w:t>
      </w:r>
      <w:r w:rsidRPr="003D5D4C">
        <w:tab/>
        <w:t xml:space="preserve">if the </w:t>
      </w:r>
      <w:r w:rsidR="00D251D3" w:rsidRPr="003D5D4C">
        <w:t>Part 6</w:t>
      </w:r>
      <w:r w:rsidRPr="003D5D4C">
        <w:t>A product has a</w:t>
      </w:r>
      <w:r w:rsidR="001376B0" w:rsidRPr="003D5D4C">
        <w:t xml:space="preserve"> transaction costs </w:t>
      </w:r>
      <w:r w:rsidRPr="003D5D4C">
        <w:t xml:space="preserve">cap in relation to the relevant year, the </w:t>
      </w:r>
      <w:r w:rsidRPr="003D5D4C">
        <w:rPr>
          <w:b/>
          <w:i/>
        </w:rPr>
        <w:t>applicable</w:t>
      </w:r>
      <w:r w:rsidRPr="003D5D4C">
        <w:t xml:space="preserve"> </w:t>
      </w:r>
      <w:r w:rsidRPr="003D5D4C">
        <w:rPr>
          <w:b/>
          <w:i/>
        </w:rPr>
        <w:t xml:space="preserve">transaction costs </w:t>
      </w:r>
      <w:r w:rsidRPr="003D5D4C">
        <w:t>is the lesser of the following:</w:t>
      </w:r>
    </w:p>
    <w:p w14:paraId="5B80208A" w14:textId="77777777" w:rsidR="00A131B5" w:rsidRPr="003D5D4C" w:rsidRDefault="00A131B5" w:rsidP="00A131B5">
      <w:pPr>
        <w:pStyle w:val="paragraphsub"/>
      </w:pPr>
      <w:r w:rsidRPr="003D5D4C">
        <w:tab/>
        <w:t>(i)</w:t>
      </w:r>
      <w:r w:rsidRPr="003D5D4C">
        <w:tab/>
      </w:r>
      <w:r w:rsidR="00B50734" w:rsidRPr="003D5D4C">
        <w:t xml:space="preserve">the </w:t>
      </w:r>
      <w:r w:rsidRPr="003D5D4C">
        <w:t xml:space="preserve">result of </w:t>
      </w:r>
      <w:r w:rsidR="00F75733" w:rsidRPr="003D5D4C">
        <w:t>paragraph (</w:t>
      </w:r>
      <w:r w:rsidRPr="003D5D4C">
        <w:t>b);</w:t>
      </w:r>
    </w:p>
    <w:p w14:paraId="5D6D409F" w14:textId="77777777" w:rsidR="00A131B5" w:rsidRPr="003D5D4C" w:rsidRDefault="00A131B5" w:rsidP="00A131B5">
      <w:pPr>
        <w:pStyle w:val="paragraphsub"/>
      </w:pPr>
      <w:r w:rsidRPr="003D5D4C">
        <w:tab/>
        <w:t>(ii)</w:t>
      </w:r>
      <w:r w:rsidRPr="003D5D4C">
        <w:tab/>
        <w:t xml:space="preserve">that </w:t>
      </w:r>
      <w:r w:rsidR="00B16E5E" w:rsidRPr="003D5D4C">
        <w:t>transaction costs cap</w:t>
      </w:r>
      <w:r w:rsidRPr="003D5D4C">
        <w:t>.</w:t>
      </w:r>
    </w:p>
    <w:p w14:paraId="43550295" w14:textId="77777777" w:rsidR="009E3736" w:rsidRPr="003D5D4C" w:rsidRDefault="00F75733" w:rsidP="00A21E00">
      <w:pPr>
        <w:pStyle w:val="ItemHead"/>
      </w:pPr>
      <w:r w:rsidRPr="003D5D4C">
        <w:t>65</w:t>
      </w:r>
      <w:r w:rsidR="00D4001B" w:rsidRPr="003D5D4C">
        <w:t xml:space="preserve">  </w:t>
      </w:r>
      <w:r w:rsidR="00D81805" w:rsidRPr="003D5D4C">
        <w:t>Subregulation 1</w:t>
      </w:r>
      <w:r w:rsidR="00A21E00" w:rsidRPr="003D5D4C">
        <w:t>4.28(1)</w:t>
      </w:r>
    </w:p>
    <w:p w14:paraId="2F50DA68" w14:textId="77777777" w:rsidR="00A21E00" w:rsidRPr="003D5D4C" w:rsidRDefault="00A21E00" w:rsidP="00A21E00">
      <w:pPr>
        <w:pStyle w:val="Item"/>
      </w:pPr>
      <w:r w:rsidRPr="003D5D4C">
        <w:t xml:space="preserve">Omit </w:t>
      </w:r>
      <w:r w:rsidR="001376B0" w:rsidRPr="003D5D4C">
        <w:t>“</w:t>
      </w:r>
      <w:r w:rsidR="00FA490D" w:rsidRPr="003D5D4C">
        <w:t xml:space="preserve">(1) The amendments made by </w:t>
      </w:r>
      <w:r w:rsidRPr="003D5D4C">
        <w:t>this Schedule</w:t>
      </w:r>
      <w:r w:rsidR="001376B0" w:rsidRPr="003D5D4C">
        <w:t>”</w:t>
      </w:r>
      <w:r w:rsidRPr="003D5D4C">
        <w:t xml:space="preserve">, substitute </w:t>
      </w:r>
      <w:r w:rsidR="001376B0" w:rsidRPr="003D5D4C">
        <w:t>“</w:t>
      </w:r>
      <w:r w:rsidR="00FA490D" w:rsidRPr="003D5D4C">
        <w:t xml:space="preserve">The amendments made by </w:t>
      </w:r>
      <w:r w:rsidR="00BF544A" w:rsidRPr="003D5D4C">
        <w:t>Schedule 1</w:t>
      </w:r>
      <w:r w:rsidRPr="003D5D4C">
        <w:t xml:space="preserve"> to the </w:t>
      </w:r>
      <w:r w:rsidRPr="003D5D4C">
        <w:rPr>
          <w:i/>
        </w:rPr>
        <w:t xml:space="preserve">Treasury Laws Amendment (Your Future, Your Super—Addressing Underperformance in Superannuation) </w:t>
      </w:r>
      <w:r w:rsidR="00A70ACD" w:rsidRPr="003D5D4C">
        <w:rPr>
          <w:i/>
        </w:rPr>
        <w:t>Regulations 2</w:t>
      </w:r>
      <w:r w:rsidRPr="003D5D4C">
        <w:rPr>
          <w:i/>
        </w:rPr>
        <w:t>021</w:t>
      </w:r>
      <w:r w:rsidR="001376B0" w:rsidRPr="003D5D4C">
        <w:t>”</w:t>
      </w:r>
      <w:r w:rsidRPr="003D5D4C">
        <w:t>.</w:t>
      </w:r>
    </w:p>
    <w:p w14:paraId="4BD79E2C" w14:textId="77777777" w:rsidR="003A2E34" w:rsidRPr="003D5D4C" w:rsidRDefault="00F75733" w:rsidP="00FA490D">
      <w:pPr>
        <w:pStyle w:val="ItemHead"/>
      </w:pPr>
      <w:r w:rsidRPr="003D5D4C">
        <w:t>66</w:t>
      </w:r>
      <w:r w:rsidR="003A2E34" w:rsidRPr="003D5D4C">
        <w:t xml:space="preserve">  </w:t>
      </w:r>
      <w:r w:rsidR="00D81805" w:rsidRPr="003D5D4C">
        <w:t>Subregulation 1</w:t>
      </w:r>
      <w:r w:rsidR="00FA490D" w:rsidRPr="003D5D4C">
        <w:t>4.28(2)</w:t>
      </w:r>
    </w:p>
    <w:p w14:paraId="29DBE862" w14:textId="77777777" w:rsidR="00FA490D" w:rsidRPr="003D5D4C" w:rsidRDefault="00FA490D" w:rsidP="00FA490D">
      <w:pPr>
        <w:pStyle w:val="Item"/>
      </w:pPr>
      <w:r w:rsidRPr="003D5D4C">
        <w:t>Repeal the subregulation.</w:t>
      </w:r>
    </w:p>
    <w:p w14:paraId="746ECEBE" w14:textId="77777777" w:rsidR="00690D49" w:rsidRPr="003D5D4C" w:rsidRDefault="00F75733" w:rsidP="00690D49">
      <w:pPr>
        <w:pStyle w:val="ItemHead"/>
      </w:pPr>
      <w:r w:rsidRPr="003D5D4C">
        <w:t>67</w:t>
      </w:r>
      <w:r w:rsidR="00690D49" w:rsidRPr="003D5D4C">
        <w:t xml:space="preserve">  In the appropriate position in Part 14</w:t>
      </w:r>
    </w:p>
    <w:p w14:paraId="59FE3261" w14:textId="77777777" w:rsidR="00690D49" w:rsidRPr="003D5D4C" w:rsidRDefault="00690D49" w:rsidP="00690D49">
      <w:pPr>
        <w:pStyle w:val="Item"/>
      </w:pPr>
      <w:r w:rsidRPr="003D5D4C">
        <w:t>Insert:</w:t>
      </w:r>
    </w:p>
    <w:p w14:paraId="07DF87B0" w14:textId="77777777" w:rsidR="00690D49" w:rsidRPr="003D5D4C" w:rsidRDefault="00690D49" w:rsidP="00690D49">
      <w:pPr>
        <w:pStyle w:val="ActHead3"/>
      </w:pPr>
      <w:bookmarkStart w:id="13" w:name="_Toc139624478"/>
      <w:r w:rsidRPr="003D5D4C">
        <w:rPr>
          <w:rStyle w:val="CharDivNo"/>
        </w:rPr>
        <w:lastRenderedPageBreak/>
        <w:t>Division 14.</w:t>
      </w:r>
      <w:r w:rsidR="009E3736" w:rsidRPr="003D5D4C">
        <w:rPr>
          <w:rStyle w:val="CharDivNo"/>
        </w:rPr>
        <w:t>3</w:t>
      </w:r>
      <w:r w:rsidR="002D098C" w:rsidRPr="003D5D4C">
        <w:rPr>
          <w:rStyle w:val="CharDivNo"/>
        </w:rPr>
        <w:t>4</w:t>
      </w:r>
      <w:r w:rsidRPr="003D5D4C">
        <w:t>—</w:t>
      </w:r>
      <w:r w:rsidRPr="003D5D4C">
        <w:rPr>
          <w:rStyle w:val="CharDivText"/>
        </w:rPr>
        <w:t xml:space="preserve">Transitional arrangements arising out of the Superannuation Industry (Supervision) Amendment (Your Future, Your Super—Addressing Underperformance in Superannuation) </w:t>
      </w:r>
      <w:r w:rsidR="00A70ACD" w:rsidRPr="003D5D4C">
        <w:rPr>
          <w:rStyle w:val="CharDivText"/>
        </w:rPr>
        <w:t>Regulations 2</w:t>
      </w:r>
      <w:r w:rsidRPr="003D5D4C">
        <w:rPr>
          <w:rStyle w:val="CharDivText"/>
        </w:rPr>
        <w:t>02</w:t>
      </w:r>
      <w:r w:rsidR="00A53E54" w:rsidRPr="003D5D4C">
        <w:rPr>
          <w:rStyle w:val="CharDivText"/>
        </w:rPr>
        <w:t>3</w:t>
      </w:r>
      <w:bookmarkEnd w:id="13"/>
    </w:p>
    <w:p w14:paraId="25651340" w14:textId="77777777" w:rsidR="00690D49" w:rsidRPr="003D5D4C" w:rsidRDefault="00690D49" w:rsidP="00690D49">
      <w:pPr>
        <w:pStyle w:val="ActHead5"/>
      </w:pPr>
      <w:bookmarkStart w:id="14" w:name="_Toc139624479"/>
      <w:r w:rsidRPr="003D5D4C">
        <w:rPr>
          <w:rStyle w:val="CharSectno"/>
        </w:rPr>
        <w:t>14.</w:t>
      </w:r>
      <w:r w:rsidR="009E3736" w:rsidRPr="003D5D4C">
        <w:rPr>
          <w:rStyle w:val="CharSectno"/>
        </w:rPr>
        <w:t>3</w:t>
      </w:r>
      <w:r w:rsidR="002D098C" w:rsidRPr="003D5D4C">
        <w:rPr>
          <w:rStyle w:val="CharSectno"/>
        </w:rPr>
        <w:t>6</w:t>
      </w:r>
      <w:r w:rsidRPr="003D5D4C">
        <w:t xml:space="preserve">  Arrangements</w:t>
      </w:r>
      <w:bookmarkEnd w:id="14"/>
    </w:p>
    <w:p w14:paraId="31A04D73" w14:textId="77777777" w:rsidR="00A21E00" w:rsidRPr="003D5D4C" w:rsidRDefault="00690D49" w:rsidP="00A21E00">
      <w:pPr>
        <w:pStyle w:val="subsection"/>
      </w:pPr>
      <w:r w:rsidRPr="003D5D4C">
        <w:tab/>
      </w:r>
      <w:r w:rsidR="00F41203" w:rsidRPr="003D5D4C">
        <w:t>(1)</w:t>
      </w:r>
      <w:r w:rsidRPr="003D5D4C">
        <w:tab/>
        <w:t xml:space="preserve">The amendments made by </w:t>
      </w:r>
      <w:r w:rsidR="00BF544A" w:rsidRPr="003D5D4C">
        <w:t>Schedule 1</w:t>
      </w:r>
      <w:r w:rsidR="00A21E00" w:rsidRPr="003D5D4C">
        <w:t xml:space="preserve"> to the </w:t>
      </w:r>
      <w:r w:rsidR="00A21E00" w:rsidRPr="003D5D4C">
        <w:rPr>
          <w:i/>
        </w:rPr>
        <w:t xml:space="preserve">Superannuation Industry (Supervision) Amendment (Your Future, Your Super—Addressing Underperformance in Superannuation) </w:t>
      </w:r>
      <w:r w:rsidR="00A70ACD" w:rsidRPr="003D5D4C">
        <w:rPr>
          <w:i/>
        </w:rPr>
        <w:t>Regulations 2</w:t>
      </w:r>
      <w:r w:rsidR="00A21E00" w:rsidRPr="003D5D4C">
        <w:rPr>
          <w:i/>
        </w:rPr>
        <w:t>023</w:t>
      </w:r>
      <w:r w:rsidRPr="003D5D4C">
        <w:t xml:space="preserve"> apply</w:t>
      </w:r>
      <w:r w:rsidR="009E3736" w:rsidRPr="003D5D4C">
        <w:t xml:space="preserve"> </w:t>
      </w:r>
      <w:r w:rsidRPr="003D5D4C">
        <w:t xml:space="preserve">on and after </w:t>
      </w:r>
      <w:r w:rsidR="00F75733" w:rsidRPr="003D5D4C">
        <w:t>1 July</w:t>
      </w:r>
      <w:r w:rsidRPr="003D5D4C">
        <w:t xml:space="preserve"> 202</w:t>
      </w:r>
      <w:r w:rsidR="009E3736" w:rsidRPr="003D5D4C">
        <w:t>3</w:t>
      </w:r>
      <w:r w:rsidR="00A21E00" w:rsidRPr="003D5D4C">
        <w:t>.</w:t>
      </w:r>
    </w:p>
    <w:p w14:paraId="6DC80E64" w14:textId="77777777" w:rsidR="00F41203" w:rsidRPr="003D5D4C" w:rsidRDefault="00F41203" w:rsidP="00A21E00">
      <w:pPr>
        <w:pStyle w:val="subsection"/>
      </w:pPr>
      <w:r w:rsidRPr="003D5D4C">
        <w:tab/>
        <w:t>(2)</w:t>
      </w:r>
      <w:r w:rsidRPr="003D5D4C">
        <w:tab/>
        <w:t xml:space="preserve">If the assessment year mentioned in </w:t>
      </w:r>
      <w:r w:rsidR="00FB3C31" w:rsidRPr="003D5D4C">
        <w:t>subparagraph 9</w:t>
      </w:r>
      <w:r w:rsidRPr="003D5D4C">
        <w:t>AB.10(2)(a)(ii) is the 2022</w:t>
      </w:r>
      <w:r w:rsidR="00A70ACD" w:rsidRPr="003D5D4C">
        <w:noBreakHyphen/>
      </w:r>
      <w:r w:rsidRPr="003D5D4C">
        <w:t>23 financial year, treat the reference in that subparagraph to 7 as instead being a reference to 6.</w:t>
      </w:r>
    </w:p>
    <w:p w14:paraId="2EDCF576" w14:textId="77777777" w:rsidR="00717C0C" w:rsidRPr="003D5D4C" w:rsidRDefault="00717C0C" w:rsidP="00717C0C">
      <w:pPr>
        <w:pStyle w:val="subsection"/>
      </w:pPr>
      <w:r w:rsidRPr="003D5D4C">
        <w:tab/>
        <w:t>(3)</w:t>
      </w:r>
      <w:r w:rsidRPr="003D5D4C">
        <w:tab/>
        <w:t xml:space="preserve">If the financial year mentioned in the definition of test period in </w:t>
      </w:r>
      <w:r w:rsidR="00F75733" w:rsidRPr="003D5D4C">
        <w:t>regulation 9</w:t>
      </w:r>
      <w:r w:rsidRPr="003D5D4C">
        <w:t>AB.23 is the 2022</w:t>
      </w:r>
      <w:r w:rsidR="00A70ACD" w:rsidRPr="003D5D4C">
        <w:noBreakHyphen/>
      </w:r>
      <w:r w:rsidRPr="003D5D4C">
        <w:t>23 financial year, treat the reference in that definition to 10 as instead being a reference to 9.</w:t>
      </w:r>
    </w:p>
    <w:p w14:paraId="6DC16F54" w14:textId="77777777" w:rsidR="00690D49" w:rsidRPr="003D5D4C" w:rsidRDefault="00F75733" w:rsidP="00690D49">
      <w:pPr>
        <w:pStyle w:val="ItemHead"/>
      </w:pPr>
      <w:r w:rsidRPr="003D5D4C">
        <w:t>68</w:t>
      </w:r>
      <w:r w:rsidR="00690D49" w:rsidRPr="003D5D4C">
        <w:t xml:space="preserve">  Schedule 2A</w:t>
      </w:r>
    </w:p>
    <w:p w14:paraId="30D8E3F3" w14:textId="77777777" w:rsidR="00690D49" w:rsidRPr="003D5D4C" w:rsidRDefault="00690D49" w:rsidP="00690D49">
      <w:pPr>
        <w:pStyle w:val="Item"/>
      </w:pPr>
      <w:r w:rsidRPr="003D5D4C">
        <w:t>Repeal the Schedule, substitute:</w:t>
      </w:r>
    </w:p>
    <w:p w14:paraId="0BADB3A1" w14:textId="77777777" w:rsidR="00A5370B" w:rsidRPr="003D5D4C" w:rsidRDefault="00A5370B" w:rsidP="00811EE1">
      <w:pPr>
        <w:pStyle w:val="ActHead1"/>
      </w:pPr>
      <w:bookmarkStart w:id="15" w:name="_Toc139624480"/>
      <w:r w:rsidRPr="003D5D4C">
        <w:rPr>
          <w:rStyle w:val="CharChapNo"/>
        </w:rPr>
        <w:t>Schedule 2A</w:t>
      </w:r>
      <w:r w:rsidRPr="003D5D4C">
        <w:t>—</w:t>
      </w:r>
      <w:r w:rsidRPr="003D5D4C">
        <w:rPr>
          <w:rStyle w:val="CharChapText"/>
        </w:rPr>
        <w:t xml:space="preserve">Information in notice under </w:t>
      </w:r>
      <w:r w:rsidR="00D251D3" w:rsidRPr="003D5D4C">
        <w:rPr>
          <w:rStyle w:val="CharChapText"/>
        </w:rPr>
        <w:t>subsection 6</w:t>
      </w:r>
      <w:r w:rsidRPr="003D5D4C">
        <w:rPr>
          <w:rStyle w:val="CharChapText"/>
        </w:rPr>
        <w:t>0E(2) of Act</w:t>
      </w:r>
      <w:bookmarkEnd w:id="15"/>
    </w:p>
    <w:p w14:paraId="21D0CC81" w14:textId="77777777" w:rsidR="00A5370B" w:rsidRPr="003D5D4C" w:rsidRDefault="00A5370B" w:rsidP="00D251D3">
      <w:pPr>
        <w:pStyle w:val="notemargin"/>
      </w:pPr>
      <w:r w:rsidRPr="003D5D4C">
        <w:t>Note:</w:t>
      </w:r>
      <w:r w:rsidRPr="003D5D4C">
        <w:tab/>
        <w:t xml:space="preserve">See </w:t>
      </w:r>
      <w:r w:rsidR="00F75733" w:rsidRPr="003D5D4C">
        <w:t>subregulation 9</w:t>
      </w:r>
      <w:r w:rsidRPr="003D5D4C">
        <w:t>AB.19(2).</w:t>
      </w:r>
    </w:p>
    <w:p w14:paraId="6242405C" w14:textId="77777777" w:rsidR="00A5370B" w:rsidRPr="003D5D4C" w:rsidRDefault="00A5370B" w:rsidP="00A5370B">
      <w:pPr>
        <w:rPr>
          <w:rFonts w:eastAsia="Calibri" w:cs="Arial"/>
          <w:lang w:eastAsia="en-AU"/>
        </w:rPr>
      </w:pPr>
    </w:p>
    <w:p w14:paraId="22ABFEE9" w14:textId="77777777" w:rsidR="00811EE1" w:rsidRPr="003D5D4C" w:rsidRDefault="00811EE1" w:rsidP="00811EE1">
      <w:pPr>
        <w:spacing w:before="120" w:after="120"/>
        <w:rPr>
          <w:rFonts w:eastAsia="Calibri" w:cs="Times New Roman"/>
          <w:b/>
          <w:i/>
        </w:rPr>
      </w:pPr>
      <w:r w:rsidRPr="003D5D4C">
        <w:rPr>
          <w:rFonts w:eastAsia="Calibri" w:cs="Times New Roman"/>
          <w:b/>
          <w:i/>
        </w:rPr>
        <w:t>[</w:t>
      </w:r>
      <w:r w:rsidRPr="003D5D4C">
        <w:rPr>
          <w:rFonts w:eastAsia="Calibri" w:cs="Arial"/>
          <w:b/>
          <w:i/>
        </w:rPr>
        <w:t>Use the following template if:</w:t>
      </w:r>
      <w:r w:rsidRPr="003D5D4C">
        <w:rPr>
          <w:rFonts w:eastAsia="Calibri" w:cs="Times New Roman"/>
          <w:b/>
          <w:i/>
        </w:rPr>
        <w:t xml:space="preserve"> the </w:t>
      </w:r>
      <w:r w:rsidR="00D251D3" w:rsidRPr="003D5D4C">
        <w:rPr>
          <w:rFonts w:eastAsia="Calibri" w:cs="Times New Roman"/>
          <w:b/>
          <w:i/>
        </w:rPr>
        <w:t>Part 6</w:t>
      </w:r>
      <w:r w:rsidRPr="003D5D4C">
        <w:rPr>
          <w:rFonts w:eastAsia="Calibri" w:cs="Times New Roman"/>
          <w:b/>
          <w:i/>
        </w:rPr>
        <w:t>A product is a MySuper product]</w:t>
      </w:r>
    </w:p>
    <w:p w14:paraId="3B5F034B" w14:textId="77777777" w:rsidR="00811EE1" w:rsidRPr="003D5D4C" w:rsidRDefault="00811EE1" w:rsidP="00811EE1">
      <w:pPr>
        <w:spacing w:before="120" w:after="120"/>
        <w:rPr>
          <w:rFonts w:eastAsia="Calibri" w:cs="Times New Roman"/>
          <w:i/>
        </w:rPr>
      </w:pPr>
      <w:r w:rsidRPr="003D5D4C">
        <w:rPr>
          <w:rFonts w:eastAsia="Calibri" w:cs="Times New Roman"/>
        </w:rPr>
        <w:t xml:space="preserve">Dear </w:t>
      </w:r>
      <w:r w:rsidRPr="003D5D4C">
        <w:rPr>
          <w:rFonts w:eastAsia="Calibri" w:cs="Times New Roman"/>
          <w:i/>
        </w:rPr>
        <w:t>[insert the name of the beneficiary of the superannuation entity],</w:t>
      </w:r>
    </w:p>
    <w:p w14:paraId="470E1522" w14:textId="77777777" w:rsidR="00811EE1" w:rsidRPr="003D5D4C" w:rsidRDefault="00811EE1" w:rsidP="00811EE1">
      <w:pPr>
        <w:spacing w:before="120" w:after="120"/>
        <w:rPr>
          <w:rFonts w:eastAsia="Calibri" w:cs="Times New Roman"/>
          <w:i/>
        </w:rPr>
      </w:pPr>
      <w:r w:rsidRPr="003D5D4C">
        <w:rPr>
          <w:rFonts w:eastAsia="Calibri" w:cs="Times New Roman"/>
          <w:i/>
        </w:rPr>
        <w:t xml:space="preserve">[If the conditions in </w:t>
      </w:r>
      <w:r w:rsidR="00D251D3" w:rsidRPr="003D5D4C">
        <w:rPr>
          <w:rFonts w:eastAsia="Calibri" w:cs="Times New Roman"/>
          <w:i/>
        </w:rPr>
        <w:t>subsection 6</w:t>
      </w:r>
      <w:r w:rsidRPr="003D5D4C">
        <w:rPr>
          <w:rFonts w:eastAsia="Calibri" w:cs="Times New Roman"/>
          <w:i/>
        </w:rPr>
        <w:t>0F(1) of the Act (2 consecutive fail assessments) are not satisfied, include the following paragraph]</w:t>
      </w:r>
    </w:p>
    <w:p w14:paraId="024D9EBC" w14:textId="77777777" w:rsidR="00811EE1" w:rsidRPr="003D5D4C" w:rsidRDefault="00811EE1" w:rsidP="00811EE1">
      <w:pPr>
        <w:shd w:val="clear" w:color="auto" w:fill="FFFFFF"/>
        <w:spacing w:before="120" w:after="160"/>
        <w:rPr>
          <w:rFonts w:eastAsia="Calibri" w:cs="Times New Roman"/>
          <w:b/>
          <w:bCs/>
        </w:rPr>
      </w:pPr>
      <w:r w:rsidRPr="003D5D4C">
        <w:rPr>
          <w:rFonts w:eastAsia="Calibri" w:cs="Times New Roman"/>
          <w:b/>
          <w:bCs/>
        </w:rPr>
        <w:t xml:space="preserve">Your superannuation product </w:t>
      </w:r>
      <w:r w:rsidRPr="003D5D4C">
        <w:rPr>
          <w:rFonts w:eastAsia="Calibri" w:cs="Times New Roman"/>
          <w:b/>
          <w:bCs/>
          <w:i/>
          <w:iCs/>
        </w:rPr>
        <w:t xml:space="preserve">[insert the name of the superannuation entity and the name of the </w:t>
      </w:r>
      <w:r w:rsidR="00D251D3" w:rsidRPr="003D5D4C">
        <w:rPr>
          <w:rFonts w:eastAsia="Calibri" w:cs="Times New Roman"/>
          <w:b/>
          <w:bCs/>
          <w:i/>
          <w:iCs/>
        </w:rPr>
        <w:t>Part 6</w:t>
      </w:r>
      <w:r w:rsidRPr="003D5D4C">
        <w:rPr>
          <w:rFonts w:eastAsia="Calibri" w:cs="Times New Roman"/>
          <w:b/>
          <w:bCs/>
          <w:i/>
          <w:iCs/>
        </w:rPr>
        <w:t>A product]</w:t>
      </w:r>
      <w:r w:rsidRPr="003D5D4C">
        <w:rPr>
          <w:rFonts w:eastAsia="Calibri" w:cs="Times New Roman"/>
          <w:b/>
          <w:bCs/>
        </w:rPr>
        <w:t xml:space="preserve"> has failed the annual performance test. You should think about moving your money to a different super fund.</w:t>
      </w:r>
    </w:p>
    <w:p w14:paraId="76CF3C8E" w14:textId="77777777" w:rsidR="00811EE1" w:rsidRPr="003D5D4C" w:rsidRDefault="00811EE1" w:rsidP="00811EE1">
      <w:pPr>
        <w:shd w:val="clear" w:color="auto" w:fill="FFFFFF"/>
        <w:spacing w:before="120" w:after="160"/>
        <w:rPr>
          <w:rFonts w:eastAsia="Calibri" w:cs="Times New Roman"/>
          <w:i/>
        </w:rPr>
      </w:pPr>
      <w:r w:rsidRPr="003D5D4C">
        <w:rPr>
          <w:rFonts w:eastAsia="Calibri" w:cs="Times New Roman"/>
          <w:i/>
        </w:rPr>
        <w:t xml:space="preserve">[If the conditions in </w:t>
      </w:r>
      <w:r w:rsidR="00D251D3" w:rsidRPr="003D5D4C">
        <w:rPr>
          <w:rFonts w:eastAsia="Calibri" w:cs="Times New Roman"/>
          <w:i/>
        </w:rPr>
        <w:t>subsection 6</w:t>
      </w:r>
      <w:r w:rsidRPr="003D5D4C">
        <w:rPr>
          <w:rFonts w:eastAsia="Calibri" w:cs="Times New Roman"/>
          <w:i/>
        </w:rPr>
        <w:t>0F(1) of the Act (2 consecutive fail assessments) are satisfied, include the following paragraph]</w:t>
      </w:r>
    </w:p>
    <w:p w14:paraId="0752FE84" w14:textId="77777777" w:rsidR="00811EE1" w:rsidRPr="003D5D4C" w:rsidRDefault="00811EE1" w:rsidP="00811EE1">
      <w:pPr>
        <w:shd w:val="clear" w:color="auto" w:fill="FFFFFF"/>
        <w:spacing w:before="120" w:after="160"/>
        <w:rPr>
          <w:rFonts w:eastAsia="Calibri" w:cs="Times New Roman"/>
          <w:b/>
          <w:bCs/>
        </w:rPr>
      </w:pPr>
      <w:r w:rsidRPr="003D5D4C">
        <w:rPr>
          <w:rFonts w:eastAsia="Calibri" w:cs="Times New Roman"/>
          <w:b/>
          <w:bCs/>
        </w:rPr>
        <w:t xml:space="preserve">Your superannuation product </w:t>
      </w:r>
      <w:r w:rsidRPr="003D5D4C">
        <w:rPr>
          <w:rFonts w:eastAsia="Calibri" w:cs="Times New Roman"/>
          <w:b/>
          <w:bCs/>
          <w:i/>
          <w:iCs/>
        </w:rPr>
        <w:t xml:space="preserve">[insert the name of the superannuation entity and the name of the </w:t>
      </w:r>
      <w:r w:rsidR="00D251D3" w:rsidRPr="003D5D4C">
        <w:rPr>
          <w:rFonts w:eastAsia="Calibri" w:cs="Times New Roman"/>
          <w:b/>
          <w:bCs/>
          <w:i/>
          <w:iCs/>
        </w:rPr>
        <w:t>Part 6</w:t>
      </w:r>
      <w:r w:rsidRPr="003D5D4C">
        <w:rPr>
          <w:rFonts w:eastAsia="Calibri" w:cs="Times New Roman"/>
          <w:b/>
          <w:bCs/>
          <w:i/>
          <w:iCs/>
        </w:rPr>
        <w:t xml:space="preserve">A product] </w:t>
      </w:r>
      <w:r w:rsidRPr="003D5D4C">
        <w:rPr>
          <w:rFonts w:eastAsia="Calibri" w:cs="Times New Roman"/>
          <w:b/>
          <w:bCs/>
        </w:rPr>
        <w:t>has failed the annual performance test at least 2 years in a row.</w:t>
      </w:r>
      <w:r w:rsidRPr="003D5D4C">
        <w:rPr>
          <w:rFonts w:eastAsia="Calibri" w:cs="Times New Roman"/>
        </w:rPr>
        <w:t xml:space="preserve"> </w:t>
      </w:r>
      <w:r w:rsidRPr="003D5D4C">
        <w:rPr>
          <w:rFonts w:eastAsia="Calibri" w:cs="Times New Roman"/>
          <w:b/>
          <w:bCs/>
        </w:rPr>
        <w:t>We are now banned from accepting new members into this product until it passes a future test. You should think about moving your money to a different super fund.</w:t>
      </w:r>
    </w:p>
    <w:p w14:paraId="15FAB9CA" w14:textId="77777777" w:rsidR="00811EE1" w:rsidRPr="003D5D4C" w:rsidRDefault="00811EE1" w:rsidP="00811EE1">
      <w:pPr>
        <w:spacing w:before="120" w:after="120"/>
        <w:rPr>
          <w:rFonts w:eastAsia="Calibri" w:cs="Times New Roman"/>
          <w:iCs/>
        </w:rPr>
      </w:pPr>
      <w:r w:rsidRPr="003D5D4C">
        <w:rPr>
          <w:rFonts w:eastAsia="Calibri" w:cs="Times New Roman"/>
          <w:iCs/>
        </w:rPr>
        <w:t xml:space="preserve">The Australian Government tests your super fund’s </w:t>
      </w:r>
      <w:r w:rsidRPr="003D5D4C">
        <w:rPr>
          <w:rFonts w:eastAsia="Calibri" w:cs="Times New Roman"/>
        </w:rPr>
        <w:t>products</w:t>
      </w:r>
      <w:r w:rsidRPr="003D5D4C">
        <w:rPr>
          <w:rFonts w:eastAsia="Calibri" w:cs="Times New Roman"/>
          <w:iCs/>
        </w:rPr>
        <w:t xml:space="preserve"> every year to make sure your savings are well managed for when you retire. Funds that fail this test are required by law to tell you.</w:t>
      </w:r>
    </w:p>
    <w:p w14:paraId="4EB637D3" w14:textId="77777777" w:rsidR="00811EE1" w:rsidRPr="003D5D4C" w:rsidRDefault="00811EE1" w:rsidP="00811EE1">
      <w:pPr>
        <w:shd w:val="clear" w:color="auto" w:fill="FFFFFF"/>
        <w:spacing w:before="120" w:after="160"/>
        <w:rPr>
          <w:rFonts w:eastAsia="Calibri" w:cs="Times New Roman"/>
          <w:i/>
        </w:rPr>
      </w:pPr>
      <w:r w:rsidRPr="003D5D4C">
        <w:rPr>
          <w:rFonts w:eastAsia="Calibri" w:cs="Times New Roman"/>
          <w:i/>
        </w:rPr>
        <w:t xml:space="preserve">[If the beneficiary holds only one </w:t>
      </w:r>
      <w:r w:rsidRPr="003D5D4C">
        <w:rPr>
          <w:rFonts w:eastAsia="Calibri" w:cs="Times New Roman"/>
          <w:i/>
          <w:iCs/>
        </w:rPr>
        <w:t>investment option</w:t>
      </w:r>
      <w:r w:rsidRPr="003D5D4C">
        <w:rPr>
          <w:rFonts w:eastAsia="Calibri" w:cs="Times New Roman"/>
        </w:rPr>
        <w:t xml:space="preserve"> </w:t>
      </w:r>
      <w:r w:rsidRPr="003D5D4C">
        <w:rPr>
          <w:rFonts w:eastAsia="Calibri" w:cs="Times New Roman"/>
          <w:i/>
        </w:rPr>
        <w:t>offered by the superannuation entity, include the following two paragraphs]</w:t>
      </w:r>
    </w:p>
    <w:p w14:paraId="3F887165"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rPr>
        <w:lastRenderedPageBreak/>
        <w:t>You had $</w:t>
      </w:r>
      <w:r w:rsidRPr="003D5D4C">
        <w:rPr>
          <w:rFonts w:eastAsia="Calibri" w:cs="Times New Roman"/>
          <w:i/>
          <w:iCs/>
        </w:rPr>
        <w:t xml:space="preserve">[insert the beneficiary’s account balance for the </w:t>
      </w:r>
      <w:r w:rsidR="00D251D3" w:rsidRPr="003D5D4C">
        <w:rPr>
          <w:rFonts w:eastAsia="Calibri" w:cs="Times New Roman"/>
          <w:i/>
          <w:iCs/>
        </w:rPr>
        <w:t>Part 6</w:t>
      </w:r>
      <w:r w:rsidRPr="003D5D4C">
        <w:rPr>
          <w:rFonts w:eastAsia="Calibri" w:cs="Times New Roman"/>
          <w:i/>
          <w:iCs/>
        </w:rPr>
        <w:t>A product as at 30 June in the calendar year in which the date of this letter falls]</w:t>
      </w:r>
      <w:r w:rsidRPr="003D5D4C">
        <w:rPr>
          <w:rFonts w:eastAsia="Calibri" w:cs="Times New Roman"/>
        </w:rPr>
        <w:t xml:space="preserve"> invested with </w:t>
      </w:r>
      <w:r w:rsidRPr="003D5D4C">
        <w:rPr>
          <w:rFonts w:eastAsia="Calibri" w:cs="Times New Roman"/>
          <w:i/>
          <w:iCs/>
        </w:rPr>
        <w:t xml:space="preserve">[insert the name of the superannuation entity and the name of the </w:t>
      </w:r>
      <w:r w:rsidR="00D251D3" w:rsidRPr="003D5D4C">
        <w:rPr>
          <w:rFonts w:eastAsia="Calibri" w:cs="Times New Roman"/>
          <w:i/>
          <w:iCs/>
        </w:rPr>
        <w:t>Part 6</w:t>
      </w:r>
      <w:r w:rsidRPr="003D5D4C">
        <w:rPr>
          <w:rFonts w:eastAsia="Calibri" w:cs="Times New Roman"/>
          <w:i/>
          <w:iCs/>
        </w:rPr>
        <w:t xml:space="preserve">A product] </w:t>
      </w:r>
      <w:r w:rsidRPr="003D5D4C">
        <w:rPr>
          <w:rFonts w:eastAsia="Calibri" w:cs="Times New Roman"/>
        </w:rPr>
        <w:t>on 30 June</w:t>
      </w:r>
      <w:r w:rsidRPr="003D5D4C">
        <w:rPr>
          <w:rFonts w:eastAsia="Calibri" w:cs="Times New Roman"/>
          <w:i/>
          <w:iCs/>
        </w:rPr>
        <w:t xml:space="preserve"> [insert the calendar year in which the date of this letter falls] </w:t>
      </w:r>
      <w:r w:rsidRPr="003D5D4C">
        <w:rPr>
          <w:rFonts w:eastAsia="Calibri" w:cs="Times New Roman"/>
        </w:rPr>
        <w:t>and paid a total of $</w:t>
      </w:r>
      <w:r w:rsidRPr="003D5D4C">
        <w:rPr>
          <w:rFonts w:eastAsia="Calibri" w:cs="Times New Roman"/>
          <w:i/>
          <w:iCs/>
        </w:rPr>
        <w:t>[insert total fees and costs charged to the beneficiary in the relevant financial year, excluding insurance fees]</w:t>
      </w:r>
      <w:r w:rsidRPr="003D5D4C">
        <w:rPr>
          <w:rFonts w:eastAsia="Calibri" w:cs="Times New Roman"/>
        </w:rPr>
        <w:t xml:space="preserve"> in fees in the last financial year.</w:t>
      </w:r>
    </w:p>
    <w:p w14:paraId="7072FE10"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b/>
          <w:bCs/>
        </w:rPr>
        <w:t xml:space="preserve">Your money will stay in </w:t>
      </w:r>
      <w:r w:rsidRPr="003D5D4C">
        <w:rPr>
          <w:rFonts w:eastAsia="Calibri" w:cs="Times New Roman"/>
          <w:b/>
          <w:bCs/>
          <w:i/>
          <w:iCs/>
        </w:rPr>
        <w:t xml:space="preserve">[insert the name of the superannuation entity and the name of the </w:t>
      </w:r>
      <w:r w:rsidR="00D251D3" w:rsidRPr="003D5D4C">
        <w:rPr>
          <w:rFonts w:eastAsia="Calibri" w:cs="Times New Roman"/>
          <w:b/>
          <w:bCs/>
          <w:i/>
          <w:iCs/>
        </w:rPr>
        <w:t>Part 6</w:t>
      </w:r>
      <w:r w:rsidRPr="003D5D4C">
        <w:rPr>
          <w:rFonts w:eastAsia="Calibri" w:cs="Times New Roman"/>
          <w:b/>
          <w:bCs/>
          <w:i/>
          <w:iCs/>
        </w:rPr>
        <w:t>A product]</w:t>
      </w:r>
      <w:r w:rsidRPr="003D5D4C">
        <w:rPr>
          <w:rFonts w:eastAsia="Calibri" w:cs="Times New Roman"/>
        </w:rPr>
        <w:t xml:space="preserve"> </w:t>
      </w:r>
      <w:r w:rsidRPr="003D5D4C">
        <w:rPr>
          <w:rFonts w:eastAsia="Calibri" w:cs="Times New Roman"/>
          <w:b/>
          <w:bCs/>
        </w:rPr>
        <w:t xml:space="preserve">unless you move it. </w:t>
      </w:r>
      <w:r w:rsidRPr="003D5D4C">
        <w:rPr>
          <w:rFonts w:eastAsia="Calibri" w:cs="Times New Roman"/>
        </w:rPr>
        <w:t>Switching super funds is easy and there are no exit fees.</w:t>
      </w:r>
    </w:p>
    <w:p w14:paraId="0689ABDE" w14:textId="77777777" w:rsidR="00811EE1" w:rsidRPr="003D5D4C" w:rsidRDefault="00811EE1" w:rsidP="00811EE1">
      <w:pPr>
        <w:shd w:val="clear" w:color="auto" w:fill="FFFFFF"/>
        <w:spacing w:before="120" w:after="160"/>
        <w:rPr>
          <w:rFonts w:eastAsia="Calibri" w:cs="Times New Roman"/>
          <w:i/>
        </w:rPr>
      </w:pPr>
      <w:r w:rsidRPr="003D5D4C">
        <w:rPr>
          <w:rFonts w:eastAsia="Calibri" w:cs="Times New Roman"/>
          <w:i/>
        </w:rPr>
        <w:t xml:space="preserve">[If the beneficiary holds more than one </w:t>
      </w:r>
      <w:r w:rsidRPr="003D5D4C">
        <w:rPr>
          <w:rFonts w:eastAsia="Calibri" w:cs="Times New Roman"/>
          <w:i/>
          <w:iCs/>
        </w:rPr>
        <w:t>investment option</w:t>
      </w:r>
      <w:r w:rsidRPr="003D5D4C">
        <w:rPr>
          <w:rFonts w:eastAsia="Calibri" w:cs="Times New Roman"/>
          <w:i/>
        </w:rPr>
        <w:t xml:space="preserve"> offered by the superannuation entity, include the following two paragraphs]</w:t>
      </w:r>
    </w:p>
    <w:p w14:paraId="6A932775"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rPr>
        <w:t>You had $</w:t>
      </w:r>
      <w:r w:rsidRPr="003D5D4C">
        <w:rPr>
          <w:rFonts w:eastAsia="Calibri" w:cs="Times New Roman"/>
          <w:i/>
          <w:iCs/>
        </w:rPr>
        <w:t>[insert the beneficiary’s total account balance for all investment option</w:t>
      </w:r>
      <w:r w:rsidRPr="003D5D4C">
        <w:rPr>
          <w:rFonts w:eastAsia="Calibri" w:cs="Times New Roman"/>
          <w:b/>
          <w:bCs/>
          <w:i/>
          <w:iCs/>
        </w:rPr>
        <w:t>s</w:t>
      </w:r>
      <w:r w:rsidRPr="003D5D4C">
        <w:rPr>
          <w:rFonts w:eastAsia="Calibri" w:cs="Times New Roman"/>
          <w:i/>
          <w:iCs/>
        </w:rPr>
        <w:t xml:space="preserve"> offered by the superannuation entity as at 30 June in the calendar year in which the date of this letter falls]</w:t>
      </w:r>
      <w:r w:rsidRPr="003D5D4C">
        <w:rPr>
          <w:rFonts w:eastAsia="Calibri" w:cs="Times New Roman"/>
        </w:rPr>
        <w:t xml:space="preserve"> invested with </w:t>
      </w:r>
      <w:r w:rsidRPr="003D5D4C">
        <w:rPr>
          <w:rFonts w:eastAsia="Calibri" w:cs="Times New Roman"/>
          <w:i/>
          <w:iCs/>
        </w:rPr>
        <w:t>[insert the name of the superannuation entity]</w:t>
      </w:r>
      <w:r w:rsidRPr="003D5D4C">
        <w:rPr>
          <w:rFonts w:eastAsia="Calibri" w:cs="Times New Roman"/>
        </w:rPr>
        <w:t xml:space="preserve"> on 30 June</w:t>
      </w:r>
      <w:r w:rsidRPr="003D5D4C">
        <w:rPr>
          <w:rFonts w:eastAsia="Calibri" w:cs="Times New Roman"/>
          <w:i/>
          <w:iCs/>
        </w:rPr>
        <w:t xml:space="preserve"> [insert the calendar year in which the date of this letter falls]</w:t>
      </w:r>
      <w:r w:rsidRPr="003D5D4C">
        <w:rPr>
          <w:rFonts w:eastAsia="Calibri" w:cs="Times New Roman"/>
        </w:rPr>
        <w:t>, of which $</w:t>
      </w:r>
      <w:r w:rsidRPr="003D5D4C">
        <w:rPr>
          <w:rFonts w:eastAsia="Calibri" w:cs="Times New Roman"/>
          <w:i/>
          <w:iCs/>
        </w:rPr>
        <w:t xml:space="preserve">[insert the beneficiary’s account balance for the </w:t>
      </w:r>
      <w:r w:rsidR="00D251D3" w:rsidRPr="003D5D4C">
        <w:rPr>
          <w:rFonts w:eastAsia="Calibri" w:cs="Times New Roman"/>
          <w:i/>
          <w:iCs/>
        </w:rPr>
        <w:t>Part 6</w:t>
      </w:r>
      <w:r w:rsidRPr="003D5D4C">
        <w:rPr>
          <w:rFonts w:eastAsia="Calibri" w:cs="Times New Roman"/>
          <w:i/>
          <w:iCs/>
        </w:rPr>
        <w:t xml:space="preserve">A product as at 30 June in the calendar year in which the date of this letter falls] </w:t>
      </w:r>
      <w:r w:rsidRPr="003D5D4C">
        <w:rPr>
          <w:rFonts w:eastAsia="Calibri" w:cs="Times New Roman"/>
        </w:rPr>
        <w:t>was invested in</w:t>
      </w:r>
      <w:r w:rsidRPr="003D5D4C">
        <w:rPr>
          <w:rFonts w:eastAsia="Calibri" w:cs="Times New Roman"/>
          <w:i/>
          <w:iCs/>
        </w:rPr>
        <w:t xml:space="preserve"> [insert the name of the </w:t>
      </w:r>
      <w:r w:rsidR="00D251D3" w:rsidRPr="003D5D4C">
        <w:rPr>
          <w:rFonts w:eastAsia="Calibri" w:cs="Times New Roman"/>
          <w:i/>
          <w:iCs/>
        </w:rPr>
        <w:t>Part 6</w:t>
      </w:r>
      <w:r w:rsidRPr="003D5D4C">
        <w:rPr>
          <w:rFonts w:eastAsia="Calibri" w:cs="Times New Roman"/>
          <w:i/>
          <w:iCs/>
        </w:rPr>
        <w:t>A product]</w:t>
      </w:r>
      <w:r w:rsidRPr="003D5D4C">
        <w:rPr>
          <w:rFonts w:eastAsia="Calibri" w:cs="Times New Roman"/>
        </w:rPr>
        <w:t>. Last financial year you paid a total of $</w:t>
      </w:r>
      <w:r w:rsidRPr="003D5D4C">
        <w:rPr>
          <w:rFonts w:eastAsia="Calibri" w:cs="Times New Roman"/>
          <w:i/>
          <w:iCs/>
        </w:rPr>
        <w:t>[insert total fees and costs charged to the beneficiary in the relevant financial year, excluding insurance fees]</w:t>
      </w:r>
      <w:r w:rsidRPr="003D5D4C">
        <w:rPr>
          <w:rFonts w:eastAsia="Calibri" w:cs="Times New Roman"/>
        </w:rPr>
        <w:t xml:space="preserve"> in fees to </w:t>
      </w:r>
      <w:r w:rsidRPr="003D5D4C">
        <w:rPr>
          <w:rFonts w:eastAsia="Calibri" w:cs="Times New Roman"/>
          <w:i/>
          <w:iCs/>
        </w:rPr>
        <w:t>[insert the name of the superannuation entity]</w:t>
      </w:r>
      <w:r w:rsidRPr="003D5D4C">
        <w:rPr>
          <w:rFonts w:eastAsia="Calibri" w:cs="Times New Roman"/>
        </w:rPr>
        <w:t>.</w:t>
      </w:r>
    </w:p>
    <w:p w14:paraId="2A5D9C1B"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b/>
          <w:bCs/>
        </w:rPr>
        <w:t xml:space="preserve">Your money will stay in </w:t>
      </w:r>
      <w:r w:rsidRPr="003D5D4C">
        <w:rPr>
          <w:rFonts w:eastAsia="Calibri" w:cs="Times New Roman"/>
          <w:b/>
          <w:bCs/>
          <w:i/>
          <w:iCs/>
        </w:rPr>
        <w:t xml:space="preserve">[insert the name of the superannuation entity and the name of the </w:t>
      </w:r>
      <w:r w:rsidR="00D251D3" w:rsidRPr="003D5D4C">
        <w:rPr>
          <w:rFonts w:eastAsia="Calibri" w:cs="Times New Roman"/>
          <w:b/>
          <w:bCs/>
          <w:i/>
          <w:iCs/>
        </w:rPr>
        <w:t>Part 6</w:t>
      </w:r>
      <w:r w:rsidRPr="003D5D4C">
        <w:rPr>
          <w:rFonts w:eastAsia="Calibri" w:cs="Times New Roman"/>
          <w:b/>
          <w:bCs/>
          <w:i/>
          <w:iCs/>
        </w:rPr>
        <w:t>A product]</w:t>
      </w:r>
      <w:r w:rsidRPr="003D5D4C">
        <w:rPr>
          <w:rFonts w:eastAsia="Calibri" w:cs="Times New Roman"/>
        </w:rPr>
        <w:t xml:space="preserve"> </w:t>
      </w:r>
      <w:r w:rsidRPr="003D5D4C">
        <w:rPr>
          <w:rFonts w:eastAsia="Calibri" w:cs="Times New Roman"/>
          <w:b/>
          <w:bCs/>
        </w:rPr>
        <w:t xml:space="preserve">unless you move it. </w:t>
      </w:r>
      <w:r w:rsidRPr="003D5D4C">
        <w:rPr>
          <w:rFonts w:eastAsia="Calibri" w:cs="Times New Roman"/>
        </w:rPr>
        <w:t>Switching super funds is easy and there are no exit fees.</w:t>
      </w:r>
    </w:p>
    <w:p w14:paraId="643A8129"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rPr>
        <w:t>You could save thousands of dollars more for when you retire by switching to a better super fund. Super is a long</w:t>
      </w:r>
      <w:r w:rsidR="00A70ACD" w:rsidRPr="003D5D4C">
        <w:rPr>
          <w:rFonts w:eastAsia="Calibri" w:cs="Times New Roman"/>
        </w:rPr>
        <w:noBreakHyphen/>
      </w:r>
      <w:r w:rsidRPr="003D5D4C">
        <w:rPr>
          <w:rFonts w:eastAsia="Calibri" w:cs="Times New Roman"/>
        </w:rPr>
        <w:t>term investment. By earning 1% more each year for 30 years, you could retire with 20% more in savings; for example, your super could increase from $100,000 to $120,000.</w:t>
      </w:r>
    </w:p>
    <w:p w14:paraId="3379FB6E"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rPr>
        <w:t>Finding a better super fund</w:t>
      </w:r>
      <w:r w:rsidRPr="003D5D4C">
        <w:rPr>
          <w:rFonts w:eastAsia="Calibri" w:cs="Times New Roman"/>
          <w:i/>
          <w:iCs/>
        </w:rPr>
        <w:t xml:space="preserve"> </w:t>
      </w:r>
      <w:r w:rsidRPr="003D5D4C">
        <w:rPr>
          <w:rFonts w:eastAsia="Calibri" w:cs="Times New Roman"/>
        </w:rPr>
        <w:t>is easy with the Australian Government’s YourSuper comparison tool. You can use the tool to compare the fees and earnings of all simple, low</w:t>
      </w:r>
      <w:r w:rsidR="00A70ACD" w:rsidRPr="003D5D4C">
        <w:rPr>
          <w:rFonts w:eastAsia="Calibri" w:cs="Times New Roman"/>
        </w:rPr>
        <w:noBreakHyphen/>
      </w:r>
      <w:r w:rsidRPr="003D5D4C">
        <w:rPr>
          <w:rFonts w:eastAsia="Calibri" w:cs="Times New Roman"/>
        </w:rPr>
        <w:t>cost MySuper products. Go to </w:t>
      </w:r>
      <w:r w:rsidRPr="003D5D4C">
        <w:rPr>
          <w:rFonts w:eastAsia="Calibri" w:cs="Times New Roman"/>
          <w:i/>
          <w:iCs/>
        </w:rPr>
        <w:t>ato.gov.au/yoursupe</w:t>
      </w:r>
      <w:r w:rsidRPr="003D5D4C">
        <w:rPr>
          <w:rFonts w:eastAsia="Calibri" w:cs="Times New Roman"/>
          <w:i/>
        </w:rPr>
        <w:t>r</w:t>
      </w:r>
      <w:r w:rsidRPr="003D5D4C">
        <w:rPr>
          <w:rFonts w:eastAsia="Calibri" w:cs="Times New Roman"/>
        </w:rPr>
        <w:t xml:space="preserve"> or use the QR code below:</w:t>
      </w:r>
    </w:p>
    <w:p w14:paraId="69AF7643" w14:textId="77777777" w:rsidR="00811EE1" w:rsidRPr="003D5D4C" w:rsidRDefault="00811EE1" w:rsidP="00811EE1">
      <w:pPr>
        <w:shd w:val="clear" w:color="auto" w:fill="FFFFFF"/>
        <w:spacing w:before="120" w:after="160"/>
        <w:rPr>
          <w:rFonts w:eastAsia="Calibri" w:cs="Times New Roman"/>
          <w:i/>
          <w:iCs/>
        </w:rPr>
      </w:pPr>
      <w:r w:rsidRPr="003D5D4C">
        <w:rPr>
          <w:rFonts w:eastAsia="Calibri" w:cs="Times New Roman"/>
          <w:i/>
          <w:iCs/>
        </w:rPr>
        <w:t>[insert QR code for ato.gov.au/yoursuper]</w:t>
      </w:r>
    </w:p>
    <w:p w14:paraId="0B58D73D"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rPr>
        <w:t>This letter does not take your personal situation into account. You should think about your investment plans and personal situation, including insurance, when switching.</w:t>
      </w:r>
    </w:p>
    <w:p w14:paraId="6A45EC0A"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rPr>
        <w:t>When you have opened a new super account, contact the new fund or use myGov to move your money over.</w:t>
      </w:r>
    </w:p>
    <w:p w14:paraId="177D3445"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b/>
          <w:bCs/>
        </w:rPr>
        <w:t>Your questions answered</w:t>
      </w:r>
    </w:p>
    <w:p w14:paraId="394AFF7A"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b/>
          <w:bCs/>
        </w:rPr>
        <w:t>What is the annual performance test?</w:t>
      </w:r>
    </w:p>
    <w:p w14:paraId="0D37BEF2"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The annual government test checks how much your super product has earned (after costs) over the last </w:t>
      </w:r>
      <w:r w:rsidRPr="003D5D4C">
        <w:rPr>
          <w:rFonts w:eastAsia="Calibri" w:cs="Times New Roman"/>
          <w:i/>
          <w:iCs/>
        </w:rPr>
        <w:t xml:space="preserve">[insert the number of financial years in the lookback period for the </w:t>
      </w:r>
      <w:r w:rsidR="00D251D3" w:rsidRPr="003D5D4C">
        <w:rPr>
          <w:rFonts w:eastAsia="Calibri" w:cs="Times New Roman"/>
          <w:i/>
          <w:iCs/>
        </w:rPr>
        <w:t>Part 6</w:t>
      </w:r>
      <w:r w:rsidRPr="003D5D4C">
        <w:rPr>
          <w:rFonts w:eastAsia="Calibri" w:cs="Times New Roman"/>
          <w:i/>
          <w:iCs/>
        </w:rPr>
        <w:t xml:space="preserve">A product </w:t>
      </w:r>
      <w:r w:rsidRPr="003D5D4C">
        <w:rPr>
          <w:rFonts w:eastAsia="Calibri" w:cs="Times New Roman"/>
          <w:i/>
        </w:rPr>
        <w:t>in respect of the relevant financial year]</w:t>
      </w:r>
      <w:r w:rsidRPr="003D5D4C">
        <w:rPr>
          <w:rFonts w:eastAsia="Calibri" w:cs="Times New Roman"/>
        </w:rPr>
        <w:t> financial years. It compares your product’s earnings with those of a similar product over the same period.</w:t>
      </w:r>
    </w:p>
    <w:p w14:paraId="2EA4F24D"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Super funds with products that fail this test are required to tell you.</w:t>
      </w:r>
    </w:p>
    <w:p w14:paraId="08F04A25"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You can find out more about super at </w:t>
      </w:r>
      <w:r w:rsidRPr="003D5D4C">
        <w:rPr>
          <w:rFonts w:eastAsia="Calibri" w:cs="Times New Roman"/>
          <w:i/>
          <w:iCs/>
        </w:rPr>
        <w:t>moneysmart.gov.au</w:t>
      </w:r>
      <w:r w:rsidRPr="003D5D4C">
        <w:rPr>
          <w:rFonts w:eastAsia="Calibri" w:cs="Times New Roman"/>
        </w:rPr>
        <w:t>.</w:t>
      </w:r>
    </w:p>
    <w:p w14:paraId="05591C93" w14:textId="77777777" w:rsidR="00811EE1" w:rsidRPr="003D5D4C" w:rsidRDefault="00811EE1" w:rsidP="00811EE1">
      <w:pPr>
        <w:shd w:val="clear" w:color="auto" w:fill="FFFFFF"/>
        <w:spacing w:before="120" w:after="120"/>
        <w:rPr>
          <w:rFonts w:eastAsia="Calibri" w:cs="Times New Roman"/>
          <w:b/>
          <w:bCs/>
        </w:rPr>
      </w:pPr>
      <w:r w:rsidRPr="003D5D4C">
        <w:rPr>
          <w:rFonts w:eastAsia="Calibri" w:cs="Times New Roman"/>
          <w:b/>
          <w:bCs/>
        </w:rPr>
        <w:lastRenderedPageBreak/>
        <w:t>How do I move to a new super fund?</w:t>
      </w:r>
    </w:p>
    <w:p w14:paraId="46A9F08B"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The first step is to find a new super fund. You should think about your investment plans and personal situation, including insurance, when switching.</w:t>
      </w:r>
    </w:p>
    <w:p w14:paraId="007DE6BB"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You may find it helpful to use the Australian Government’s YourSuper comparison tool. You can use the tool to compare the fees and earnings of simple, low</w:t>
      </w:r>
      <w:r w:rsidR="00A70ACD" w:rsidRPr="003D5D4C">
        <w:rPr>
          <w:rFonts w:eastAsia="Calibri" w:cs="Times New Roman"/>
        </w:rPr>
        <w:noBreakHyphen/>
      </w:r>
      <w:r w:rsidRPr="003D5D4C">
        <w:rPr>
          <w:rFonts w:eastAsia="Calibri" w:cs="Times New Roman"/>
        </w:rPr>
        <w:t xml:space="preserve">cost </w:t>
      </w:r>
      <w:r w:rsidRPr="003D5D4C">
        <w:rPr>
          <w:rFonts w:eastAsia="Calibri" w:cs="Times New Roman"/>
          <w:i/>
          <w:iCs/>
        </w:rPr>
        <w:t>MySuper products</w:t>
      </w:r>
      <w:r w:rsidRPr="003D5D4C">
        <w:rPr>
          <w:rFonts w:eastAsia="Calibri" w:cs="Times New Roman"/>
        </w:rPr>
        <w:t>. Go to </w:t>
      </w:r>
      <w:r w:rsidRPr="003D5D4C">
        <w:rPr>
          <w:rFonts w:eastAsia="Calibri" w:cs="Times New Roman"/>
          <w:i/>
          <w:iCs/>
        </w:rPr>
        <w:t>ato.gov.au/yoursupe</w:t>
      </w:r>
      <w:r w:rsidRPr="003D5D4C">
        <w:rPr>
          <w:rFonts w:eastAsia="Calibri" w:cs="Times New Roman"/>
          <w:i/>
        </w:rPr>
        <w:t>r</w:t>
      </w:r>
      <w:r w:rsidRPr="003D5D4C">
        <w:rPr>
          <w:rFonts w:eastAsia="Calibri" w:cs="Times New Roman"/>
        </w:rPr>
        <w:t xml:space="preserve"> or use the QR code above.</w:t>
      </w:r>
    </w:p>
    <w:p w14:paraId="79094C6D"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Once you have chosen a new super fund, contact the new fund to open a new account.</w:t>
      </w:r>
    </w:p>
    <w:p w14:paraId="74C5F026" w14:textId="77777777" w:rsidR="00811EE1" w:rsidRPr="003D5D4C" w:rsidRDefault="00811EE1" w:rsidP="00811EE1">
      <w:pPr>
        <w:shd w:val="clear" w:color="auto" w:fill="FFFFFF"/>
        <w:spacing w:before="120" w:after="120"/>
        <w:rPr>
          <w:rFonts w:eastAsia="Calibri" w:cs="Times New Roman"/>
          <w:i/>
          <w:iCs/>
        </w:rPr>
      </w:pPr>
      <w:r w:rsidRPr="003D5D4C">
        <w:rPr>
          <w:rFonts w:eastAsia="Calibri" w:cs="Times New Roman"/>
        </w:rPr>
        <w:t xml:space="preserve">After opening a new account, move your money from your existing one. You can contact the new fund or use myGov to do this. Find out more at </w:t>
      </w:r>
      <w:r w:rsidRPr="003D5D4C">
        <w:rPr>
          <w:rFonts w:eastAsia="Calibri" w:cs="Times New Roman"/>
          <w:i/>
          <w:iCs/>
        </w:rPr>
        <w:t>moneysmart.gov.au</w:t>
      </w:r>
    </w:p>
    <w:p w14:paraId="689AE59A" w14:textId="77777777" w:rsidR="00811EE1" w:rsidRPr="003D5D4C" w:rsidRDefault="00811EE1" w:rsidP="00811EE1">
      <w:pPr>
        <w:shd w:val="clear" w:color="auto" w:fill="FFFFFF"/>
        <w:spacing w:before="120" w:after="120"/>
        <w:rPr>
          <w:rFonts w:eastAsia="Calibri" w:cs="Times New Roman"/>
          <w:b/>
          <w:bCs/>
        </w:rPr>
      </w:pPr>
      <w:r w:rsidRPr="003D5D4C">
        <w:rPr>
          <w:rFonts w:eastAsia="Calibri" w:cs="Times New Roman"/>
          <w:b/>
          <w:bCs/>
        </w:rPr>
        <w:t>What happens if a super product fails two or more years in a row?</w:t>
      </w:r>
    </w:p>
    <w:p w14:paraId="19673245"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If a super product</w:t>
      </w:r>
      <w:r w:rsidRPr="003D5D4C">
        <w:rPr>
          <w:rFonts w:eastAsia="Calibri" w:cs="Times New Roman"/>
          <w:b/>
          <w:bCs/>
        </w:rPr>
        <w:t xml:space="preserve"> </w:t>
      </w:r>
      <w:r w:rsidRPr="003D5D4C">
        <w:rPr>
          <w:rFonts w:eastAsia="Calibri" w:cs="Times New Roman"/>
        </w:rPr>
        <w:t>fails the test at least two years in a row, it cannot accept new members until it passes a future test. You should think about the impact of this on</w:t>
      </w:r>
      <w:r w:rsidR="00D77B3A" w:rsidRPr="003D5D4C">
        <w:rPr>
          <w:rFonts w:eastAsia="Calibri" w:cs="Times New Roman"/>
        </w:rPr>
        <w:t xml:space="preserve"> the</w:t>
      </w:r>
      <w:r w:rsidRPr="003D5D4C">
        <w:rPr>
          <w:rFonts w:eastAsia="Calibri" w:cs="Times New Roman"/>
        </w:rPr>
        <w:t xml:space="preserve"> product’s ability to improve.</w:t>
      </w:r>
    </w:p>
    <w:p w14:paraId="27003512" w14:textId="77777777" w:rsidR="00811EE1" w:rsidRPr="003D5D4C" w:rsidRDefault="00811EE1" w:rsidP="00811EE1">
      <w:pPr>
        <w:spacing w:before="120" w:after="120" w:line="256" w:lineRule="auto"/>
        <w:rPr>
          <w:rFonts w:eastAsia="Calibri" w:cs="Times New Roman"/>
        </w:rPr>
      </w:pPr>
      <w:r w:rsidRPr="003D5D4C">
        <w:rPr>
          <w:rFonts w:eastAsia="Calibri" w:cs="Times New Roman"/>
        </w:rPr>
        <w:t>Your money will stay in the failed super product unless you move it.</w:t>
      </w:r>
    </w:p>
    <w:p w14:paraId="4E00A943" w14:textId="77777777" w:rsidR="00811EE1" w:rsidRPr="003D5D4C" w:rsidRDefault="00811EE1" w:rsidP="00811EE1">
      <w:pPr>
        <w:spacing w:before="120" w:after="120" w:line="256" w:lineRule="auto"/>
        <w:rPr>
          <w:rFonts w:eastAsia="Calibri" w:cs="Times New Roman"/>
        </w:rPr>
      </w:pPr>
    </w:p>
    <w:p w14:paraId="0A6A5240" w14:textId="77777777" w:rsidR="00811EE1" w:rsidRPr="003D5D4C" w:rsidRDefault="00811EE1" w:rsidP="00811EE1">
      <w:pPr>
        <w:spacing w:after="160" w:line="256" w:lineRule="auto"/>
        <w:rPr>
          <w:rFonts w:eastAsia="Calibri" w:cs="Arial"/>
          <w:b/>
          <w:i/>
        </w:rPr>
      </w:pPr>
      <w:r w:rsidRPr="003D5D4C">
        <w:rPr>
          <w:rFonts w:eastAsia="Calibri" w:cs="Arial"/>
          <w:b/>
          <w:i/>
        </w:rPr>
        <w:t xml:space="preserve">[Use the following template if: one or more </w:t>
      </w:r>
      <w:r w:rsidR="00D251D3" w:rsidRPr="003D5D4C">
        <w:rPr>
          <w:rFonts w:eastAsia="Calibri" w:cs="Arial"/>
          <w:b/>
          <w:i/>
        </w:rPr>
        <w:t>Part 6</w:t>
      </w:r>
      <w:r w:rsidRPr="003D5D4C">
        <w:rPr>
          <w:rFonts w:eastAsia="Calibri" w:cs="Arial"/>
          <w:b/>
          <w:i/>
        </w:rPr>
        <w:t>A products are a trustee</w:t>
      </w:r>
      <w:r w:rsidR="00A70ACD" w:rsidRPr="003D5D4C">
        <w:rPr>
          <w:rFonts w:eastAsia="Calibri" w:cs="Arial"/>
          <w:b/>
          <w:i/>
        </w:rPr>
        <w:noBreakHyphen/>
      </w:r>
      <w:r w:rsidRPr="003D5D4C">
        <w:rPr>
          <w:rFonts w:eastAsia="Calibri" w:cs="Arial"/>
          <w:b/>
          <w:i/>
        </w:rPr>
        <w:t xml:space="preserve">directed product, the beneficiary accessed the product via a generic or lifecycle investment menu, and the conditions in </w:t>
      </w:r>
      <w:r w:rsidR="00D251D3" w:rsidRPr="003D5D4C">
        <w:rPr>
          <w:rFonts w:eastAsia="Calibri" w:cs="Arial"/>
          <w:b/>
          <w:i/>
        </w:rPr>
        <w:t>subsection 6</w:t>
      </w:r>
      <w:r w:rsidRPr="003D5D4C">
        <w:rPr>
          <w:rFonts w:eastAsia="Calibri" w:cs="Arial"/>
          <w:b/>
          <w:i/>
        </w:rPr>
        <w:t>0F(1) of the Act (2 consecutive fail assessments) are not satisfied for these products]</w:t>
      </w:r>
    </w:p>
    <w:p w14:paraId="2BE20BBC" w14:textId="77777777" w:rsidR="00811EE1" w:rsidRPr="003D5D4C" w:rsidRDefault="00811EE1" w:rsidP="00811EE1">
      <w:pPr>
        <w:spacing w:before="120" w:after="120"/>
        <w:rPr>
          <w:rFonts w:eastAsia="Calibri" w:cs="Times New Roman"/>
          <w:i/>
        </w:rPr>
      </w:pPr>
      <w:r w:rsidRPr="003D5D4C">
        <w:rPr>
          <w:rFonts w:eastAsia="Calibri" w:cs="Times New Roman"/>
        </w:rPr>
        <w:t xml:space="preserve">Dear </w:t>
      </w:r>
      <w:r w:rsidRPr="003D5D4C">
        <w:rPr>
          <w:rFonts w:eastAsia="Calibri" w:cs="Times New Roman"/>
          <w:i/>
        </w:rPr>
        <w:t>[insert the name of the beneficiary of the superannuation entity],</w:t>
      </w:r>
    </w:p>
    <w:p w14:paraId="19E904C4" w14:textId="77777777" w:rsidR="00811EE1" w:rsidRPr="003D5D4C" w:rsidRDefault="00811EE1" w:rsidP="00811EE1">
      <w:pPr>
        <w:spacing w:before="120" w:after="120"/>
        <w:rPr>
          <w:rFonts w:eastAsia="Calibri" w:cs="Times New Roman"/>
          <w:i/>
        </w:rPr>
      </w:pPr>
      <w:r w:rsidRPr="003D5D4C">
        <w:rPr>
          <w:rFonts w:eastAsia="Calibri" w:cs="Times New Roman"/>
          <w:i/>
        </w:rPr>
        <w:t xml:space="preserve">[If the beneficiary holds only one failed </w:t>
      </w:r>
      <w:r w:rsidR="00D251D3" w:rsidRPr="003D5D4C">
        <w:rPr>
          <w:rFonts w:eastAsia="Calibri" w:cs="Times New Roman"/>
          <w:i/>
        </w:rPr>
        <w:t>Part 6</w:t>
      </w:r>
      <w:r w:rsidRPr="003D5D4C">
        <w:rPr>
          <w:rFonts w:eastAsia="Calibri" w:cs="Times New Roman"/>
          <w:i/>
        </w:rPr>
        <w:t>A product offered by the superannuation entity, include the following paragraph]</w:t>
      </w:r>
    </w:p>
    <w:p w14:paraId="1B688209" w14:textId="77777777" w:rsidR="00811EE1" w:rsidRPr="003D5D4C" w:rsidRDefault="00811EE1" w:rsidP="00811EE1">
      <w:pPr>
        <w:shd w:val="clear" w:color="auto" w:fill="FFFFFF"/>
        <w:spacing w:before="120" w:after="160"/>
        <w:rPr>
          <w:rFonts w:eastAsia="Calibri" w:cs="Times New Roman"/>
          <w:b/>
          <w:bCs/>
        </w:rPr>
      </w:pPr>
      <w:r w:rsidRPr="003D5D4C">
        <w:rPr>
          <w:rFonts w:eastAsia="Calibri" w:cs="Times New Roman"/>
          <w:b/>
          <w:bCs/>
        </w:rPr>
        <w:t xml:space="preserve">Your superannuation investment option </w:t>
      </w:r>
      <w:r w:rsidRPr="003D5D4C">
        <w:rPr>
          <w:rFonts w:eastAsia="Calibri" w:cs="Times New Roman"/>
          <w:b/>
          <w:bCs/>
          <w:i/>
          <w:iCs/>
        </w:rPr>
        <w:t xml:space="preserve">[insert the name of the superannuation entity and the name of the </w:t>
      </w:r>
      <w:r w:rsidR="00D251D3" w:rsidRPr="003D5D4C">
        <w:rPr>
          <w:rFonts w:eastAsia="Calibri" w:cs="Times New Roman"/>
          <w:b/>
          <w:bCs/>
          <w:i/>
          <w:iCs/>
        </w:rPr>
        <w:t>Part 6</w:t>
      </w:r>
      <w:r w:rsidRPr="003D5D4C">
        <w:rPr>
          <w:rFonts w:eastAsia="Calibri" w:cs="Times New Roman"/>
          <w:b/>
          <w:bCs/>
          <w:i/>
          <w:iCs/>
        </w:rPr>
        <w:t>A product]</w:t>
      </w:r>
      <w:r w:rsidRPr="003D5D4C">
        <w:rPr>
          <w:rFonts w:eastAsia="Calibri" w:cs="Times New Roman"/>
          <w:b/>
          <w:bCs/>
        </w:rPr>
        <w:t xml:space="preserve"> has failed the annual performance test. You should think about moving your money to a different super investment option or fund.</w:t>
      </w:r>
    </w:p>
    <w:p w14:paraId="13515AE7" w14:textId="77777777" w:rsidR="00811EE1" w:rsidRPr="003D5D4C" w:rsidRDefault="00811EE1" w:rsidP="00811EE1">
      <w:pPr>
        <w:spacing w:before="120" w:after="120"/>
        <w:rPr>
          <w:rFonts w:eastAsia="Calibri" w:cs="Times New Roman"/>
          <w:i/>
        </w:rPr>
      </w:pPr>
      <w:r w:rsidRPr="003D5D4C">
        <w:rPr>
          <w:rFonts w:eastAsia="Calibri" w:cs="Times New Roman"/>
          <w:i/>
        </w:rPr>
        <w:t xml:space="preserve">[If the beneficiary holds more than one failed </w:t>
      </w:r>
      <w:r w:rsidR="00D251D3" w:rsidRPr="003D5D4C">
        <w:rPr>
          <w:rFonts w:eastAsia="Calibri" w:cs="Times New Roman"/>
          <w:i/>
        </w:rPr>
        <w:t>Part 6</w:t>
      </w:r>
      <w:r w:rsidRPr="003D5D4C">
        <w:rPr>
          <w:rFonts w:eastAsia="Calibri" w:cs="Times New Roman"/>
          <w:i/>
        </w:rPr>
        <w:t>A product offered by the superannuation entity, include the following paragraph]</w:t>
      </w:r>
    </w:p>
    <w:p w14:paraId="33191C45" w14:textId="77777777" w:rsidR="00811EE1" w:rsidRPr="003D5D4C" w:rsidRDefault="00811EE1" w:rsidP="00811EE1">
      <w:pPr>
        <w:shd w:val="clear" w:color="auto" w:fill="FFFFFF"/>
        <w:spacing w:before="120" w:after="160"/>
        <w:rPr>
          <w:rFonts w:eastAsia="Calibri" w:cs="Times New Roman"/>
          <w:b/>
          <w:bCs/>
        </w:rPr>
      </w:pPr>
      <w:r w:rsidRPr="003D5D4C">
        <w:rPr>
          <w:rFonts w:eastAsia="Calibri" w:cs="Times New Roman"/>
          <w:b/>
          <w:bCs/>
        </w:rPr>
        <w:t xml:space="preserve">You have multiple superannuation investment options in </w:t>
      </w:r>
      <w:r w:rsidRPr="003D5D4C">
        <w:rPr>
          <w:rFonts w:eastAsia="Calibri" w:cs="Times New Roman"/>
          <w:b/>
          <w:bCs/>
          <w:i/>
          <w:iCs/>
        </w:rPr>
        <w:t>[insert the name of the superannuation entity]</w:t>
      </w:r>
      <w:r w:rsidRPr="003D5D4C">
        <w:rPr>
          <w:rFonts w:eastAsia="Calibri" w:cs="Times New Roman"/>
          <w:b/>
          <w:bCs/>
        </w:rPr>
        <w:t xml:space="preserve"> that have failed </w:t>
      </w:r>
      <w:r w:rsidRPr="003D5D4C">
        <w:rPr>
          <w:rFonts w:eastAsia="Calibri" w:cs="Times New Roman"/>
          <w:b/>
        </w:rPr>
        <w:t>the</w:t>
      </w:r>
      <w:r w:rsidRPr="003D5D4C">
        <w:rPr>
          <w:rFonts w:eastAsia="Calibri" w:cs="Times New Roman"/>
          <w:b/>
          <w:bCs/>
        </w:rPr>
        <w:t xml:space="preserve"> annual performance test. You should think about moving your money to a different super investment option or fund.</w:t>
      </w:r>
    </w:p>
    <w:p w14:paraId="655E606D" w14:textId="77777777" w:rsidR="00811EE1" w:rsidRPr="003D5D4C" w:rsidRDefault="00811EE1" w:rsidP="00811EE1">
      <w:pPr>
        <w:spacing w:before="120" w:after="120"/>
        <w:rPr>
          <w:rFonts w:eastAsia="Calibri" w:cs="Times New Roman"/>
          <w:iCs/>
        </w:rPr>
      </w:pPr>
      <w:r w:rsidRPr="003D5D4C">
        <w:rPr>
          <w:rFonts w:eastAsia="Calibri" w:cs="Times New Roman"/>
          <w:iCs/>
        </w:rPr>
        <w:t>The Australian Government tests your super fund’s investment options every year to make sure your savings are well managed for when you retire. Funds that fail this test are required by law to tell you.</w:t>
      </w:r>
    </w:p>
    <w:p w14:paraId="70A61BDF"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iCs/>
        </w:rPr>
        <w:t xml:space="preserve">You had </w:t>
      </w:r>
      <w:r w:rsidRPr="003D5D4C">
        <w:rPr>
          <w:rFonts w:eastAsia="Calibri" w:cs="Times New Roman"/>
        </w:rPr>
        <w:t>$</w:t>
      </w:r>
      <w:r w:rsidRPr="003D5D4C">
        <w:rPr>
          <w:rFonts w:eastAsia="Calibri" w:cs="Times New Roman"/>
          <w:i/>
          <w:iCs/>
        </w:rPr>
        <w:t xml:space="preserve">[insert the beneficiary’s total account balance for all </w:t>
      </w:r>
      <w:r w:rsidRPr="003D5D4C">
        <w:rPr>
          <w:rFonts w:eastAsia="Calibri" w:cs="Times New Roman"/>
          <w:i/>
        </w:rPr>
        <w:t xml:space="preserve">investment options </w:t>
      </w:r>
      <w:r w:rsidRPr="003D5D4C">
        <w:rPr>
          <w:rFonts w:eastAsia="Calibri" w:cs="Times New Roman"/>
          <w:i/>
          <w:iCs/>
        </w:rPr>
        <w:t>offered by the superannuation entity as at 30 June in the calendar year in which the date of this letter falls]</w:t>
      </w:r>
      <w:r w:rsidRPr="003D5D4C">
        <w:rPr>
          <w:rFonts w:eastAsia="Calibri" w:cs="Times New Roman"/>
        </w:rPr>
        <w:t xml:space="preserve"> invested in </w:t>
      </w:r>
      <w:r w:rsidRPr="003D5D4C">
        <w:rPr>
          <w:rFonts w:eastAsia="Calibri" w:cs="Times New Roman"/>
          <w:i/>
          <w:iCs/>
        </w:rPr>
        <w:t>[insert the name of the superannuation entity]</w:t>
      </w:r>
      <w:r w:rsidRPr="003D5D4C">
        <w:rPr>
          <w:rFonts w:eastAsia="Calibri" w:cs="Times New Roman"/>
        </w:rPr>
        <w:t xml:space="preserve"> on 30 June</w:t>
      </w:r>
      <w:r w:rsidRPr="003D5D4C">
        <w:rPr>
          <w:rFonts w:eastAsia="Calibri" w:cs="Times New Roman"/>
          <w:i/>
          <w:iCs/>
        </w:rPr>
        <w:t xml:space="preserve"> [insert the calendar year in which the date of this letter falls]</w:t>
      </w:r>
      <w:r w:rsidRPr="003D5D4C">
        <w:rPr>
          <w:rFonts w:eastAsia="Calibri" w:cs="Times New Roman"/>
        </w:rPr>
        <w:t xml:space="preserve"> and paid a total of $</w:t>
      </w:r>
      <w:r w:rsidRPr="003D5D4C">
        <w:rPr>
          <w:rFonts w:eastAsia="Calibri" w:cs="Times New Roman"/>
          <w:i/>
          <w:iCs/>
        </w:rPr>
        <w:t>[insert total fees and costs charged to the beneficiary in the relevant financial year, excluding insurance fees]</w:t>
      </w:r>
      <w:r w:rsidRPr="003D5D4C">
        <w:rPr>
          <w:rFonts w:eastAsia="Calibri" w:cs="Times New Roman"/>
        </w:rPr>
        <w:t xml:space="preserve"> in fees in the last financial year. You had the following amount invested in failing </w:t>
      </w:r>
      <w:r w:rsidRPr="003D5D4C">
        <w:rPr>
          <w:rFonts w:eastAsia="Calibri" w:cs="Times New Roman"/>
          <w:iCs/>
        </w:rPr>
        <w:t>investment options</w:t>
      </w:r>
      <w:r w:rsidRPr="003D5D4C">
        <w:rPr>
          <w:rFonts w:eastAsia="Calibri" w:cs="Times New Roman"/>
        </w:rPr>
        <w:t xml:space="preserve">: </w:t>
      </w:r>
      <w:r w:rsidRPr="003D5D4C">
        <w:rPr>
          <w:rFonts w:eastAsia="Calibri" w:cs="Times New Roman"/>
          <w:i/>
          <w:iCs/>
        </w:rPr>
        <w:t xml:space="preserve">[insert a bullet list with the name of each failed </w:t>
      </w:r>
      <w:r w:rsidR="00D251D3" w:rsidRPr="003D5D4C">
        <w:rPr>
          <w:rFonts w:eastAsia="Calibri" w:cs="Times New Roman"/>
          <w:i/>
          <w:iCs/>
        </w:rPr>
        <w:t>Part 6</w:t>
      </w:r>
      <w:r w:rsidRPr="003D5D4C">
        <w:rPr>
          <w:rFonts w:eastAsia="Calibri" w:cs="Times New Roman"/>
          <w:i/>
          <w:iCs/>
        </w:rPr>
        <w:t xml:space="preserve">A product, followed by the beneficiary’s account balance for that </w:t>
      </w:r>
      <w:r w:rsidR="00D251D3" w:rsidRPr="003D5D4C">
        <w:rPr>
          <w:rFonts w:eastAsia="Calibri" w:cs="Times New Roman"/>
          <w:i/>
          <w:iCs/>
        </w:rPr>
        <w:t>Part 6</w:t>
      </w:r>
      <w:r w:rsidRPr="003D5D4C">
        <w:rPr>
          <w:rFonts w:eastAsia="Calibri" w:cs="Times New Roman"/>
          <w:i/>
          <w:iCs/>
        </w:rPr>
        <w:t>A product as at 30 June in the calendar year in which the date of this letter falls, in parentheses]</w:t>
      </w:r>
    </w:p>
    <w:p w14:paraId="2F8837E4" w14:textId="77777777" w:rsidR="00811EE1" w:rsidRPr="003D5D4C" w:rsidRDefault="00811EE1" w:rsidP="00811EE1">
      <w:pPr>
        <w:spacing w:before="120" w:after="120"/>
        <w:rPr>
          <w:rFonts w:eastAsia="Calibri" w:cs="Times New Roman"/>
          <w:i/>
        </w:rPr>
      </w:pPr>
      <w:r w:rsidRPr="003D5D4C">
        <w:rPr>
          <w:rFonts w:eastAsia="Calibri" w:cs="Times New Roman"/>
          <w:i/>
        </w:rPr>
        <w:t xml:space="preserve">[If the bullet list above has one failed </w:t>
      </w:r>
      <w:r w:rsidR="00D251D3" w:rsidRPr="003D5D4C">
        <w:rPr>
          <w:rFonts w:eastAsia="Calibri" w:cs="Times New Roman"/>
          <w:i/>
        </w:rPr>
        <w:t>Part 6</w:t>
      </w:r>
      <w:r w:rsidRPr="003D5D4C">
        <w:rPr>
          <w:rFonts w:eastAsia="Calibri" w:cs="Times New Roman"/>
          <w:i/>
        </w:rPr>
        <w:t>A product, include the following paragraph]</w:t>
      </w:r>
    </w:p>
    <w:p w14:paraId="17D505AA"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b/>
          <w:bCs/>
        </w:rPr>
        <w:lastRenderedPageBreak/>
        <w:t xml:space="preserve">Your money will stay in this failing investment option in </w:t>
      </w:r>
      <w:r w:rsidRPr="003D5D4C">
        <w:rPr>
          <w:rFonts w:eastAsia="Calibri" w:cs="Times New Roman"/>
          <w:b/>
          <w:bCs/>
          <w:i/>
          <w:iCs/>
        </w:rPr>
        <w:t>[insert the name of the superannuation entity]</w:t>
      </w:r>
      <w:r w:rsidRPr="003D5D4C">
        <w:rPr>
          <w:rFonts w:eastAsia="Calibri" w:cs="Times New Roman"/>
        </w:rPr>
        <w:t xml:space="preserve"> </w:t>
      </w:r>
      <w:r w:rsidRPr="003D5D4C">
        <w:rPr>
          <w:rFonts w:eastAsia="Calibri" w:cs="Times New Roman"/>
          <w:b/>
          <w:bCs/>
        </w:rPr>
        <w:t>unless you move it.</w:t>
      </w:r>
    </w:p>
    <w:p w14:paraId="62470A72" w14:textId="77777777" w:rsidR="00811EE1" w:rsidRPr="003D5D4C" w:rsidRDefault="00811EE1" w:rsidP="00811EE1">
      <w:pPr>
        <w:spacing w:before="120" w:after="120"/>
        <w:rPr>
          <w:rFonts w:eastAsia="Calibri" w:cs="Times New Roman"/>
          <w:i/>
        </w:rPr>
      </w:pPr>
      <w:r w:rsidRPr="003D5D4C">
        <w:rPr>
          <w:rFonts w:eastAsia="Calibri" w:cs="Times New Roman"/>
          <w:i/>
        </w:rPr>
        <w:t xml:space="preserve">[If the bullet list above has more than one failed </w:t>
      </w:r>
      <w:r w:rsidR="00D251D3" w:rsidRPr="003D5D4C">
        <w:rPr>
          <w:rFonts w:eastAsia="Calibri" w:cs="Times New Roman"/>
          <w:i/>
        </w:rPr>
        <w:t>Part 6</w:t>
      </w:r>
      <w:r w:rsidRPr="003D5D4C">
        <w:rPr>
          <w:rFonts w:eastAsia="Calibri" w:cs="Times New Roman"/>
          <w:i/>
        </w:rPr>
        <w:t>A product, include the following paragraph]</w:t>
      </w:r>
    </w:p>
    <w:p w14:paraId="5A68A063"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b/>
          <w:bCs/>
        </w:rPr>
        <w:t xml:space="preserve">Your money will stay in these failing investment options in </w:t>
      </w:r>
      <w:r w:rsidRPr="003D5D4C">
        <w:rPr>
          <w:rFonts w:eastAsia="Calibri" w:cs="Times New Roman"/>
          <w:b/>
          <w:bCs/>
          <w:i/>
          <w:iCs/>
        </w:rPr>
        <w:t>[insert the name of the superannuation entity]</w:t>
      </w:r>
      <w:r w:rsidRPr="003D5D4C">
        <w:rPr>
          <w:rFonts w:eastAsia="Calibri" w:cs="Times New Roman"/>
        </w:rPr>
        <w:t xml:space="preserve"> </w:t>
      </w:r>
      <w:r w:rsidRPr="003D5D4C">
        <w:rPr>
          <w:rFonts w:eastAsia="Calibri" w:cs="Times New Roman"/>
          <w:b/>
          <w:bCs/>
        </w:rPr>
        <w:t>unless you move it.</w:t>
      </w:r>
    </w:p>
    <w:p w14:paraId="7ADDE228"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rPr>
        <w:t xml:space="preserve">Finding a better super </w:t>
      </w:r>
      <w:r w:rsidRPr="003D5D4C">
        <w:rPr>
          <w:rFonts w:eastAsia="Calibri" w:cs="Times New Roman"/>
          <w:iCs/>
        </w:rPr>
        <w:t>investment option</w:t>
      </w:r>
      <w:r w:rsidRPr="003D5D4C">
        <w:rPr>
          <w:rFonts w:eastAsia="Calibri" w:cs="Times New Roman"/>
        </w:rPr>
        <w:t xml:space="preserve"> could be worthwhile for your future. You could save thousands of dollars more for when you retire by switching to a better </w:t>
      </w:r>
      <w:r w:rsidRPr="003D5D4C">
        <w:rPr>
          <w:rFonts w:eastAsia="Calibri" w:cs="Times New Roman"/>
          <w:iCs/>
        </w:rPr>
        <w:t xml:space="preserve">investment option </w:t>
      </w:r>
      <w:r w:rsidRPr="003D5D4C">
        <w:rPr>
          <w:rFonts w:eastAsia="Calibri" w:cs="Times New Roman"/>
        </w:rPr>
        <w:t>or super fund. Super is a long</w:t>
      </w:r>
      <w:r w:rsidR="00A70ACD" w:rsidRPr="003D5D4C">
        <w:rPr>
          <w:rFonts w:eastAsia="Calibri" w:cs="Times New Roman"/>
        </w:rPr>
        <w:noBreakHyphen/>
      </w:r>
      <w:r w:rsidRPr="003D5D4C">
        <w:rPr>
          <w:rFonts w:eastAsia="Calibri" w:cs="Times New Roman"/>
        </w:rPr>
        <w:t>term investment. By earning 1% more each year for 30 years, you could retire with 20% more in savings; for example, your super could increase from $100,000 to $120,000.</w:t>
      </w:r>
    </w:p>
    <w:p w14:paraId="2D3A23D3" w14:textId="77777777" w:rsidR="00811EE1" w:rsidRPr="003D5D4C" w:rsidRDefault="00811EE1" w:rsidP="00811EE1">
      <w:pPr>
        <w:shd w:val="clear" w:color="auto" w:fill="FFFFFF"/>
        <w:spacing w:before="240" w:after="160"/>
        <w:rPr>
          <w:rFonts w:eastAsia="Calibri" w:cs="Times New Roman"/>
        </w:rPr>
      </w:pPr>
      <w:r w:rsidRPr="003D5D4C">
        <w:rPr>
          <w:rFonts w:eastAsia="Calibri" w:cs="Times New Roman"/>
        </w:rPr>
        <w:t>You may find it helpful to use the Australian Government’s YourSuper comparison tool. You can use the tool to compare the fees and earnings of simple, low</w:t>
      </w:r>
      <w:r w:rsidR="00A70ACD" w:rsidRPr="003D5D4C">
        <w:rPr>
          <w:rFonts w:eastAsia="Calibri" w:cs="Times New Roman"/>
        </w:rPr>
        <w:noBreakHyphen/>
      </w:r>
      <w:r w:rsidRPr="003D5D4C">
        <w:rPr>
          <w:rFonts w:eastAsia="Calibri" w:cs="Times New Roman"/>
        </w:rPr>
        <w:t xml:space="preserve">cost </w:t>
      </w:r>
      <w:r w:rsidRPr="003D5D4C">
        <w:rPr>
          <w:rFonts w:eastAsia="Calibri" w:cs="Times New Roman"/>
          <w:i/>
          <w:iCs/>
        </w:rPr>
        <w:t xml:space="preserve">MySuper </w:t>
      </w:r>
      <w:r w:rsidRPr="003D5D4C">
        <w:rPr>
          <w:rFonts w:eastAsia="Calibri" w:cs="Times New Roman"/>
          <w:i/>
        </w:rPr>
        <w:t>investment options</w:t>
      </w:r>
      <w:r w:rsidRPr="003D5D4C">
        <w:rPr>
          <w:rFonts w:eastAsia="Calibri" w:cs="Times New Roman"/>
        </w:rPr>
        <w:t xml:space="preserve">. Note that the </w:t>
      </w:r>
      <w:r w:rsidRPr="003D5D4C">
        <w:rPr>
          <w:rFonts w:eastAsia="Calibri" w:cs="Times New Roman"/>
          <w:iCs/>
        </w:rPr>
        <w:t>investment options</w:t>
      </w:r>
      <w:r w:rsidRPr="003D5D4C">
        <w:rPr>
          <w:rFonts w:eastAsia="Calibri" w:cs="Times New Roman"/>
        </w:rPr>
        <w:t xml:space="preserve"> listed above are </w:t>
      </w:r>
      <w:r w:rsidRPr="003D5D4C">
        <w:rPr>
          <w:rFonts w:eastAsia="Calibri" w:cs="Times New Roman"/>
          <w:i/>
          <w:iCs/>
        </w:rPr>
        <w:t>not</w:t>
      </w:r>
      <w:r w:rsidRPr="003D5D4C">
        <w:rPr>
          <w:rFonts w:eastAsia="Calibri" w:cs="Times New Roman"/>
        </w:rPr>
        <w:t xml:space="preserve"> MySuper </w:t>
      </w:r>
      <w:r w:rsidRPr="003D5D4C">
        <w:rPr>
          <w:rFonts w:eastAsia="Calibri" w:cs="Times New Roman"/>
          <w:iCs/>
        </w:rPr>
        <w:t>investment options</w:t>
      </w:r>
      <w:r w:rsidRPr="003D5D4C">
        <w:rPr>
          <w:rFonts w:eastAsia="Calibri" w:cs="Times New Roman"/>
        </w:rPr>
        <w:t xml:space="preserve">. You should think about whether a MySuper </w:t>
      </w:r>
      <w:r w:rsidRPr="003D5D4C">
        <w:rPr>
          <w:rFonts w:eastAsia="Calibri" w:cs="Times New Roman"/>
          <w:iCs/>
        </w:rPr>
        <w:t xml:space="preserve">investment option </w:t>
      </w:r>
      <w:r w:rsidRPr="003D5D4C">
        <w:rPr>
          <w:rFonts w:eastAsia="Calibri" w:cs="Times New Roman"/>
        </w:rPr>
        <w:t>is right for you. Go to</w:t>
      </w:r>
      <w:r w:rsidRPr="003D5D4C">
        <w:rPr>
          <w:rFonts w:eastAsia="Calibri" w:cs="Times New Roman"/>
          <w:i/>
          <w:iCs/>
        </w:rPr>
        <w:t xml:space="preserve"> ato.gov.au/yoursupe</w:t>
      </w:r>
      <w:r w:rsidRPr="003D5D4C">
        <w:rPr>
          <w:rFonts w:eastAsia="Calibri" w:cs="Times New Roman"/>
          <w:i/>
        </w:rPr>
        <w:t>r</w:t>
      </w:r>
      <w:r w:rsidRPr="003D5D4C">
        <w:rPr>
          <w:rFonts w:eastAsia="Calibri" w:cs="Times New Roman"/>
        </w:rPr>
        <w:t xml:space="preserve"> or use the QR code below:</w:t>
      </w:r>
    </w:p>
    <w:p w14:paraId="2A7D22E8" w14:textId="77777777" w:rsidR="00811EE1" w:rsidRPr="003D5D4C" w:rsidRDefault="00811EE1" w:rsidP="00811EE1">
      <w:pPr>
        <w:shd w:val="clear" w:color="auto" w:fill="FFFFFF"/>
        <w:spacing w:before="120" w:after="160"/>
        <w:rPr>
          <w:rFonts w:eastAsia="Calibri" w:cs="Times New Roman"/>
          <w:i/>
          <w:iCs/>
        </w:rPr>
      </w:pPr>
      <w:r w:rsidRPr="003D5D4C">
        <w:rPr>
          <w:rFonts w:eastAsia="Calibri" w:cs="Times New Roman"/>
          <w:i/>
          <w:iCs/>
        </w:rPr>
        <w:t>[insert QR code for ato.gov.au/yoursuper]</w:t>
      </w:r>
    </w:p>
    <w:p w14:paraId="1DB0DC2D"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rPr>
        <w:t xml:space="preserve">This letter does not take your personal situation into account. Before switching </w:t>
      </w:r>
      <w:r w:rsidRPr="003D5D4C">
        <w:rPr>
          <w:rFonts w:eastAsia="Calibri" w:cs="Times New Roman"/>
          <w:iCs/>
        </w:rPr>
        <w:t>investment options</w:t>
      </w:r>
      <w:r w:rsidRPr="003D5D4C">
        <w:rPr>
          <w:rFonts w:eastAsia="Calibri" w:cs="Times New Roman"/>
        </w:rPr>
        <w:t>, you should think about your investment plans and personal situation, such as investment goals and values, as well as insurance, fee and tax impacts. You may wish to speak to a financial adviser about your personal circumstances if you are unsure.</w:t>
      </w:r>
    </w:p>
    <w:p w14:paraId="24FB5F2D"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b/>
          <w:bCs/>
        </w:rPr>
        <w:t>Your questions answered</w:t>
      </w:r>
    </w:p>
    <w:p w14:paraId="5A7EF6FF"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b/>
          <w:bCs/>
        </w:rPr>
        <w:t>What is the annual performance test?</w:t>
      </w:r>
    </w:p>
    <w:p w14:paraId="53D67093"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 xml:space="preserve">The annual government test checks how much your super </w:t>
      </w:r>
      <w:r w:rsidRPr="003D5D4C">
        <w:rPr>
          <w:rFonts w:eastAsia="Calibri" w:cs="Times New Roman"/>
          <w:iCs/>
        </w:rPr>
        <w:t>investment option</w:t>
      </w:r>
      <w:r w:rsidRPr="003D5D4C">
        <w:rPr>
          <w:rFonts w:eastAsia="Calibri" w:cs="Times New Roman"/>
        </w:rPr>
        <w:t xml:space="preserve"> has earned (after costs) over time. It compares your </w:t>
      </w:r>
      <w:r w:rsidRPr="003D5D4C">
        <w:rPr>
          <w:rFonts w:eastAsia="Calibri" w:cs="Times New Roman"/>
          <w:iCs/>
        </w:rPr>
        <w:t>investment option</w:t>
      </w:r>
      <w:r w:rsidRPr="003D5D4C">
        <w:rPr>
          <w:rFonts w:eastAsia="Calibri" w:cs="Times New Roman"/>
        </w:rPr>
        <w:t xml:space="preserve">’s earnings with those of a similar </w:t>
      </w:r>
      <w:r w:rsidRPr="003D5D4C">
        <w:rPr>
          <w:rFonts w:eastAsia="Calibri" w:cs="Times New Roman"/>
          <w:iCs/>
        </w:rPr>
        <w:t>investment option</w:t>
      </w:r>
      <w:r w:rsidRPr="003D5D4C">
        <w:rPr>
          <w:rFonts w:eastAsia="Calibri" w:cs="Times New Roman"/>
        </w:rPr>
        <w:t xml:space="preserve"> over the same period. The test is done at the </w:t>
      </w:r>
      <w:r w:rsidRPr="003D5D4C">
        <w:rPr>
          <w:rFonts w:eastAsia="Calibri" w:cs="Times New Roman"/>
          <w:iCs/>
        </w:rPr>
        <w:t>investment option</w:t>
      </w:r>
      <w:r w:rsidRPr="003D5D4C">
        <w:rPr>
          <w:rFonts w:eastAsia="Calibri" w:cs="Times New Roman"/>
        </w:rPr>
        <w:t xml:space="preserve"> level. There may be a range of fees associated with an </w:t>
      </w:r>
      <w:r w:rsidRPr="003D5D4C">
        <w:rPr>
          <w:rFonts w:eastAsia="Calibri" w:cs="Times New Roman"/>
          <w:iCs/>
        </w:rPr>
        <w:t>investment option</w:t>
      </w:r>
      <w:r w:rsidRPr="003D5D4C">
        <w:rPr>
          <w:rFonts w:eastAsia="Calibri" w:cs="Times New Roman"/>
        </w:rPr>
        <w:t>. The test does not account for your personal situation, fees or tax.</w:t>
      </w:r>
    </w:p>
    <w:p w14:paraId="64A98C5E"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Super funds with investment options that fail this test are required to tell you.</w:t>
      </w:r>
    </w:p>
    <w:p w14:paraId="577AF19A"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You can find out more about super at </w:t>
      </w:r>
      <w:r w:rsidRPr="003D5D4C">
        <w:rPr>
          <w:rFonts w:eastAsia="Calibri" w:cs="Times New Roman"/>
          <w:i/>
          <w:iCs/>
        </w:rPr>
        <w:t>moneysmart.gov.au</w:t>
      </w:r>
      <w:r w:rsidRPr="003D5D4C">
        <w:rPr>
          <w:rFonts w:eastAsia="Calibri" w:cs="Times New Roman"/>
        </w:rPr>
        <w:t>.</w:t>
      </w:r>
    </w:p>
    <w:p w14:paraId="229379AA" w14:textId="77777777" w:rsidR="00811EE1" w:rsidRPr="003D5D4C" w:rsidRDefault="00811EE1" w:rsidP="00811EE1">
      <w:pPr>
        <w:shd w:val="clear" w:color="auto" w:fill="FFFFFF"/>
        <w:spacing w:before="120" w:after="120"/>
        <w:rPr>
          <w:rFonts w:eastAsia="Calibri" w:cs="Times New Roman"/>
          <w:b/>
          <w:bCs/>
        </w:rPr>
      </w:pPr>
      <w:r w:rsidRPr="003D5D4C">
        <w:rPr>
          <w:rFonts w:eastAsia="Calibri" w:cs="Times New Roman"/>
          <w:b/>
          <w:bCs/>
        </w:rPr>
        <w:t xml:space="preserve">What things should I consider when deciding to switch super </w:t>
      </w:r>
      <w:r w:rsidRPr="003D5D4C">
        <w:rPr>
          <w:rFonts w:eastAsia="Calibri" w:cs="Times New Roman"/>
          <w:b/>
          <w:bCs/>
          <w:iCs/>
        </w:rPr>
        <w:t>investment options or funds</w:t>
      </w:r>
      <w:r w:rsidRPr="003D5D4C">
        <w:rPr>
          <w:rFonts w:eastAsia="Calibri" w:cs="Times New Roman"/>
          <w:b/>
          <w:bCs/>
        </w:rPr>
        <w:t>?</w:t>
      </w:r>
    </w:p>
    <w:p w14:paraId="0EAF24A2"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The performance test does not take into account your individual circumstances. You should think about your investment plans and personal situation, such as investment goals and values, as well as insurance, fees and tax impacts, when switching. You may wish to speak to a financial adviser about your personal circumstances.</w:t>
      </w:r>
    </w:p>
    <w:p w14:paraId="701D2554" w14:textId="77777777" w:rsidR="00811EE1" w:rsidRPr="003D5D4C" w:rsidRDefault="00811EE1" w:rsidP="00811EE1">
      <w:pPr>
        <w:shd w:val="clear" w:color="auto" w:fill="FFFFFF"/>
        <w:spacing w:before="120" w:after="120"/>
        <w:rPr>
          <w:rFonts w:eastAsia="Calibri" w:cs="Times New Roman"/>
          <w:b/>
          <w:bCs/>
        </w:rPr>
      </w:pPr>
      <w:r w:rsidRPr="003D5D4C">
        <w:rPr>
          <w:rFonts w:eastAsia="Calibri" w:cs="Times New Roman"/>
          <w:b/>
          <w:bCs/>
        </w:rPr>
        <w:t xml:space="preserve">How can I find a new super </w:t>
      </w:r>
      <w:r w:rsidRPr="003D5D4C">
        <w:rPr>
          <w:rFonts w:eastAsia="Calibri" w:cs="Times New Roman"/>
          <w:b/>
          <w:bCs/>
          <w:iCs/>
        </w:rPr>
        <w:t>investment option or fund</w:t>
      </w:r>
      <w:r w:rsidRPr="003D5D4C">
        <w:rPr>
          <w:rFonts w:eastAsia="Calibri" w:cs="Times New Roman"/>
          <w:b/>
          <w:bCs/>
        </w:rPr>
        <w:t>?</w:t>
      </w:r>
    </w:p>
    <w:p w14:paraId="292DF67C" w14:textId="77777777" w:rsidR="00811EE1" w:rsidRPr="003D5D4C" w:rsidRDefault="00811EE1" w:rsidP="00811EE1">
      <w:pPr>
        <w:shd w:val="clear" w:color="auto" w:fill="FFFFFF"/>
        <w:spacing w:before="120" w:after="120"/>
        <w:rPr>
          <w:rFonts w:eastAsia="Calibri" w:cs="Times New Roman"/>
          <w:i/>
          <w:iCs/>
        </w:rPr>
      </w:pPr>
      <w:r w:rsidRPr="003D5D4C">
        <w:rPr>
          <w:rFonts w:eastAsia="Calibri" w:cs="Times New Roman"/>
        </w:rPr>
        <w:t>You may find it helpful to use the Australian Government’s YourSuper comparison tool. You can use the tool to compare the fees and earnings of simple, low</w:t>
      </w:r>
      <w:r w:rsidR="00A70ACD" w:rsidRPr="003D5D4C">
        <w:rPr>
          <w:rFonts w:eastAsia="Calibri" w:cs="Times New Roman"/>
        </w:rPr>
        <w:noBreakHyphen/>
      </w:r>
      <w:r w:rsidRPr="003D5D4C">
        <w:rPr>
          <w:rFonts w:eastAsia="Calibri" w:cs="Times New Roman"/>
        </w:rPr>
        <w:t xml:space="preserve">cost </w:t>
      </w:r>
      <w:r w:rsidRPr="003D5D4C">
        <w:rPr>
          <w:rFonts w:eastAsia="Calibri" w:cs="Times New Roman"/>
          <w:i/>
          <w:iCs/>
        </w:rPr>
        <w:t>MySuper investment options</w:t>
      </w:r>
      <w:r w:rsidRPr="003D5D4C">
        <w:rPr>
          <w:rFonts w:eastAsia="Calibri" w:cs="Times New Roman"/>
        </w:rPr>
        <w:t xml:space="preserve">. Note that the </w:t>
      </w:r>
      <w:r w:rsidRPr="003D5D4C">
        <w:rPr>
          <w:rFonts w:eastAsia="Calibri" w:cs="Times New Roman"/>
          <w:iCs/>
        </w:rPr>
        <w:t>investment options</w:t>
      </w:r>
      <w:r w:rsidRPr="003D5D4C">
        <w:rPr>
          <w:rFonts w:eastAsia="Calibri" w:cs="Times New Roman"/>
        </w:rPr>
        <w:t xml:space="preserve"> listed above are </w:t>
      </w:r>
      <w:r w:rsidRPr="003D5D4C">
        <w:rPr>
          <w:rFonts w:eastAsia="Calibri" w:cs="Times New Roman"/>
          <w:i/>
          <w:iCs/>
        </w:rPr>
        <w:t>not</w:t>
      </w:r>
      <w:r w:rsidRPr="003D5D4C">
        <w:rPr>
          <w:rFonts w:eastAsia="Calibri" w:cs="Times New Roman"/>
        </w:rPr>
        <w:t xml:space="preserve"> MySuper </w:t>
      </w:r>
      <w:r w:rsidRPr="003D5D4C">
        <w:rPr>
          <w:rFonts w:eastAsia="Calibri" w:cs="Times New Roman"/>
          <w:iCs/>
        </w:rPr>
        <w:t>investment options</w:t>
      </w:r>
      <w:r w:rsidRPr="003D5D4C">
        <w:rPr>
          <w:rFonts w:eastAsia="Calibri" w:cs="Times New Roman"/>
        </w:rPr>
        <w:t xml:space="preserve">. You should think about whether a MySuper </w:t>
      </w:r>
      <w:r w:rsidRPr="003D5D4C">
        <w:rPr>
          <w:rFonts w:eastAsia="Calibri" w:cs="Times New Roman"/>
          <w:iCs/>
        </w:rPr>
        <w:t>investment option</w:t>
      </w:r>
      <w:r w:rsidRPr="003D5D4C">
        <w:rPr>
          <w:rFonts w:eastAsia="Calibri" w:cs="Times New Roman"/>
        </w:rPr>
        <w:t xml:space="preserve"> is right for you. Go to</w:t>
      </w:r>
      <w:r w:rsidRPr="003D5D4C">
        <w:rPr>
          <w:rFonts w:eastAsia="Calibri" w:cs="Times New Roman"/>
          <w:i/>
          <w:iCs/>
        </w:rPr>
        <w:t xml:space="preserve"> ato.gov.au/yoursupe</w:t>
      </w:r>
      <w:r w:rsidRPr="003D5D4C">
        <w:rPr>
          <w:rFonts w:eastAsia="Calibri" w:cs="Times New Roman"/>
          <w:i/>
        </w:rPr>
        <w:t>r</w:t>
      </w:r>
      <w:r w:rsidRPr="003D5D4C">
        <w:rPr>
          <w:rFonts w:eastAsia="Calibri" w:cs="Times New Roman"/>
        </w:rPr>
        <w:t xml:space="preserve"> or use the QR code above.</w:t>
      </w:r>
    </w:p>
    <w:p w14:paraId="6355CD55" w14:textId="77777777" w:rsidR="00811EE1" w:rsidRPr="003D5D4C" w:rsidRDefault="00811EE1" w:rsidP="00811EE1">
      <w:pPr>
        <w:shd w:val="clear" w:color="auto" w:fill="FFFFFF"/>
        <w:spacing w:before="120" w:after="120"/>
        <w:rPr>
          <w:rFonts w:eastAsia="Calibri" w:cs="Times New Roman"/>
          <w:b/>
          <w:bCs/>
        </w:rPr>
      </w:pPr>
      <w:r w:rsidRPr="003D5D4C">
        <w:rPr>
          <w:rFonts w:eastAsia="Calibri" w:cs="Times New Roman"/>
          <w:b/>
          <w:bCs/>
        </w:rPr>
        <w:t>How do I consolidate my super?</w:t>
      </w:r>
    </w:p>
    <w:p w14:paraId="6DB3315C"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lastRenderedPageBreak/>
        <w:t>If you open an account with a new super fund, contact the new fund or use myGov to consolidate your money, saving on fees by avoiding charges on multiple accounts.</w:t>
      </w:r>
    </w:p>
    <w:p w14:paraId="0E797D74" w14:textId="77777777" w:rsidR="00811EE1" w:rsidRPr="003D5D4C" w:rsidRDefault="00811EE1" w:rsidP="00811EE1">
      <w:pPr>
        <w:shd w:val="clear" w:color="auto" w:fill="FFFFFF"/>
        <w:spacing w:before="120" w:after="120"/>
        <w:rPr>
          <w:rFonts w:eastAsia="Calibri" w:cs="Times New Roman"/>
          <w:b/>
          <w:bCs/>
        </w:rPr>
      </w:pPr>
      <w:r w:rsidRPr="003D5D4C">
        <w:rPr>
          <w:rFonts w:eastAsia="Calibri" w:cs="Times New Roman"/>
          <w:b/>
          <w:bCs/>
        </w:rPr>
        <w:t xml:space="preserve">What happens if a super </w:t>
      </w:r>
      <w:r w:rsidRPr="003D5D4C">
        <w:rPr>
          <w:rFonts w:eastAsia="Calibri" w:cs="Times New Roman"/>
          <w:b/>
          <w:bCs/>
          <w:iCs/>
        </w:rPr>
        <w:t>investment option</w:t>
      </w:r>
      <w:r w:rsidRPr="003D5D4C">
        <w:rPr>
          <w:rFonts w:eastAsia="Calibri" w:cs="Times New Roman"/>
          <w:b/>
          <w:bCs/>
        </w:rPr>
        <w:t xml:space="preserve"> fails two or more years in a row?</w:t>
      </w:r>
    </w:p>
    <w:p w14:paraId="65CE7553"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 xml:space="preserve">If a super </w:t>
      </w:r>
      <w:r w:rsidRPr="003D5D4C">
        <w:rPr>
          <w:rFonts w:eastAsia="Calibri" w:cs="Times New Roman"/>
          <w:iCs/>
        </w:rPr>
        <w:t>investment option</w:t>
      </w:r>
      <w:r w:rsidRPr="003D5D4C">
        <w:rPr>
          <w:rFonts w:eastAsia="Calibri" w:cs="Times New Roman"/>
        </w:rPr>
        <w:t xml:space="preserve"> fails the test at least two years in a row, it cannot accept new members until it passes a future test. You should think about the impact of this on the </w:t>
      </w:r>
      <w:r w:rsidRPr="003D5D4C">
        <w:rPr>
          <w:rFonts w:eastAsia="Calibri" w:cs="Times New Roman"/>
          <w:iCs/>
        </w:rPr>
        <w:t>investment option</w:t>
      </w:r>
      <w:r w:rsidRPr="003D5D4C">
        <w:rPr>
          <w:rFonts w:eastAsia="Calibri" w:cs="Times New Roman"/>
        </w:rPr>
        <w:t>’s ability to improve.</w:t>
      </w:r>
    </w:p>
    <w:p w14:paraId="3C77D51B" w14:textId="77777777" w:rsidR="00811EE1" w:rsidRPr="003D5D4C" w:rsidRDefault="00811EE1" w:rsidP="00811EE1">
      <w:pPr>
        <w:spacing w:before="120" w:after="120"/>
        <w:rPr>
          <w:rFonts w:eastAsia="Calibri" w:cs="Times New Roman"/>
        </w:rPr>
      </w:pPr>
      <w:r w:rsidRPr="003D5D4C">
        <w:rPr>
          <w:rFonts w:eastAsia="Calibri" w:cs="Times New Roman"/>
        </w:rPr>
        <w:t xml:space="preserve">Your money will stay in the failed super </w:t>
      </w:r>
      <w:r w:rsidRPr="003D5D4C">
        <w:rPr>
          <w:rFonts w:eastAsia="Calibri" w:cs="Times New Roman"/>
          <w:iCs/>
        </w:rPr>
        <w:t>investment option</w:t>
      </w:r>
      <w:r w:rsidRPr="003D5D4C">
        <w:rPr>
          <w:rFonts w:eastAsia="Calibri" w:cs="Times New Roman"/>
        </w:rPr>
        <w:t xml:space="preserve"> unless you move it.</w:t>
      </w:r>
    </w:p>
    <w:p w14:paraId="5C37527C" w14:textId="77777777" w:rsidR="00811EE1" w:rsidRPr="003D5D4C" w:rsidRDefault="00811EE1" w:rsidP="00811EE1">
      <w:pPr>
        <w:spacing w:before="120" w:after="120" w:line="256" w:lineRule="auto"/>
        <w:rPr>
          <w:rFonts w:eastAsia="Calibri" w:cs="Times New Roman"/>
        </w:rPr>
      </w:pPr>
    </w:p>
    <w:p w14:paraId="51644B8B" w14:textId="77777777" w:rsidR="00811EE1" w:rsidRPr="003D5D4C" w:rsidRDefault="00811EE1" w:rsidP="00811EE1">
      <w:pPr>
        <w:spacing w:after="160" w:line="256" w:lineRule="auto"/>
        <w:rPr>
          <w:rFonts w:eastAsia="Calibri" w:cs="Arial"/>
          <w:b/>
          <w:i/>
        </w:rPr>
      </w:pPr>
      <w:r w:rsidRPr="003D5D4C">
        <w:rPr>
          <w:rFonts w:eastAsia="Calibri" w:cs="Arial"/>
          <w:b/>
          <w:i/>
        </w:rPr>
        <w:t xml:space="preserve">[Use the following template if: one or more </w:t>
      </w:r>
      <w:r w:rsidR="00D251D3" w:rsidRPr="003D5D4C">
        <w:rPr>
          <w:rFonts w:eastAsia="Calibri" w:cs="Arial"/>
          <w:b/>
          <w:i/>
        </w:rPr>
        <w:t>Part 6</w:t>
      </w:r>
      <w:r w:rsidRPr="003D5D4C">
        <w:rPr>
          <w:rFonts w:eastAsia="Calibri" w:cs="Arial"/>
          <w:b/>
          <w:i/>
        </w:rPr>
        <w:t>A products are a trustee</w:t>
      </w:r>
      <w:r w:rsidR="00A70ACD" w:rsidRPr="003D5D4C">
        <w:rPr>
          <w:rFonts w:eastAsia="Calibri" w:cs="Arial"/>
          <w:b/>
          <w:i/>
        </w:rPr>
        <w:noBreakHyphen/>
      </w:r>
      <w:r w:rsidRPr="003D5D4C">
        <w:rPr>
          <w:rFonts w:eastAsia="Calibri" w:cs="Arial"/>
          <w:b/>
          <w:i/>
        </w:rPr>
        <w:t xml:space="preserve">directed product, the beneficiary accessed the product via a generic or lifecycle investment menu, and the conditions in </w:t>
      </w:r>
      <w:r w:rsidR="00D251D3" w:rsidRPr="003D5D4C">
        <w:rPr>
          <w:rFonts w:eastAsia="Calibri" w:cs="Arial"/>
          <w:b/>
          <w:i/>
        </w:rPr>
        <w:t>subsection 6</w:t>
      </w:r>
      <w:r w:rsidRPr="003D5D4C">
        <w:rPr>
          <w:rFonts w:eastAsia="Calibri" w:cs="Arial"/>
          <w:b/>
          <w:i/>
        </w:rPr>
        <w:t>0F(1) of the Act (2 consecutive fail assessments) are satisfied for these products]</w:t>
      </w:r>
    </w:p>
    <w:p w14:paraId="0FB2EDF0" w14:textId="77777777" w:rsidR="00811EE1" w:rsidRPr="003D5D4C" w:rsidRDefault="00811EE1" w:rsidP="00811EE1">
      <w:pPr>
        <w:spacing w:before="120" w:after="120"/>
        <w:rPr>
          <w:rFonts w:eastAsia="Calibri" w:cs="Times New Roman"/>
          <w:i/>
        </w:rPr>
      </w:pPr>
      <w:r w:rsidRPr="003D5D4C">
        <w:rPr>
          <w:rFonts w:eastAsia="Calibri" w:cs="Times New Roman"/>
        </w:rPr>
        <w:t xml:space="preserve">Dear </w:t>
      </w:r>
      <w:r w:rsidRPr="003D5D4C">
        <w:rPr>
          <w:rFonts w:eastAsia="Calibri" w:cs="Times New Roman"/>
          <w:i/>
        </w:rPr>
        <w:t>[insert the name of the beneficiary of the superannuation entity],</w:t>
      </w:r>
    </w:p>
    <w:p w14:paraId="5E5ECCE1" w14:textId="77777777" w:rsidR="00811EE1" w:rsidRPr="003D5D4C" w:rsidRDefault="00811EE1" w:rsidP="00811EE1">
      <w:pPr>
        <w:spacing w:before="120" w:after="120"/>
        <w:rPr>
          <w:rFonts w:eastAsia="Calibri" w:cs="Times New Roman"/>
          <w:i/>
        </w:rPr>
      </w:pPr>
      <w:r w:rsidRPr="003D5D4C">
        <w:rPr>
          <w:rFonts w:eastAsia="Calibri" w:cs="Times New Roman"/>
          <w:i/>
        </w:rPr>
        <w:t xml:space="preserve">[If the beneficiary holds only one failed </w:t>
      </w:r>
      <w:r w:rsidR="00D251D3" w:rsidRPr="003D5D4C">
        <w:rPr>
          <w:rFonts w:eastAsia="Calibri" w:cs="Times New Roman"/>
          <w:i/>
        </w:rPr>
        <w:t>Part 6</w:t>
      </w:r>
      <w:r w:rsidRPr="003D5D4C">
        <w:rPr>
          <w:rFonts w:eastAsia="Calibri" w:cs="Times New Roman"/>
          <w:i/>
        </w:rPr>
        <w:t>A product offered by the superannuation entity, include the following paragraph]</w:t>
      </w:r>
    </w:p>
    <w:p w14:paraId="75E6B285" w14:textId="77777777" w:rsidR="00811EE1" w:rsidRPr="003D5D4C" w:rsidRDefault="00811EE1" w:rsidP="00811EE1">
      <w:pPr>
        <w:shd w:val="clear" w:color="auto" w:fill="FFFFFF"/>
        <w:spacing w:before="120" w:after="160"/>
        <w:rPr>
          <w:rFonts w:eastAsia="Calibri" w:cs="Times New Roman"/>
          <w:b/>
          <w:bCs/>
        </w:rPr>
      </w:pPr>
      <w:r w:rsidRPr="003D5D4C">
        <w:rPr>
          <w:rFonts w:eastAsia="Calibri" w:cs="Times New Roman"/>
          <w:b/>
          <w:bCs/>
        </w:rPr>
        <w:t xml:space="preserve">Your superannuation </w:t>
      </w:r>
      <w:r w:rsidRPr="003D5D4C">
        <w:rPr>
          <w:rFonts w:eastAsia="Calibri" w:cs="Times New Roman"/>
          <w:b/>
          <w:bCs/>
          <w:iCs/>
        </w:rPr>
        <w:t>investment option</w:t>
      </w:r>
      <w:r w:rsidRPr="003D5D4C">
        <w:rPr>
          <w:rFonts w:eastAsia="Calibri" w:cs="Times New Roman"/>
          <w:b/>
          <w:bCs/>
        </w:rPr>
        <w:t xml:space="preserve"> </w:t>
      </w:r>
      <w:r w:rsidRPr="003D5D4C">
        <w:rPr>
          <w:rFonts w:eastAsia="Calibri" w:cs="Times New Roman"/>
          <w:b/>
          <w:bCs/>
          <w:i/>
          <w:iCs/>
        </w:rPr>
        <w:t xml:space="preserve">[insert the name of the superannuation entity and the name of the </w:t>
      </w:r>
      <w:r w:rsidR="00D251D3" w:rsidRPr="003D5D4C">
        <w:rPr>
          <w:rFonts w:eastAsia="Calibri" w:cs="Times New Roman"/>
          <w:b/>
          <w:bCs/>
          <w:i/>
          <w:iCs/>
        </w:rPr>
        <w:t>Part 6</w:t>
      </w:r>
      <w:r w:rsidRPr="003D5D4C">
        <w:rPr>
          <w:rFonts w:eastAsia="Calibri" w:cs="Times New Roman"/>
          <w:b/>
          <w:bCs/>
          <w:i/>
          <w:iCs/>
        </w:rPr>
        <w:t>A product]</w:t>
      </w:r>
      <w:r w:rsidRPr="003D5D4C">
        <w:rPr>
          <w:rFonts w:eastAsia="Calibri" w:cs="Times New Roman"/>
          <w:b/>
          <w:bCs/>
        </w:rPr>
        <w:t xml:space="preserve"> has failed the annual performance test at least 2 years in a row. We are now banned from accepting new members into this </w:t>
      </w:r>
      <w:r w:rsidRPr="003D5D4C">
        <w:rPr>
          <w:rFonts w:eastAsia="Calibri" w:cs="Times New Roman"/>
          <w:b/>
          <w:bCs/>
          <w:iCs/>
        </w:rPr>
        <w:t>investment option</w:t>
      </w:r>
      <w:r w:rsidRPr="003D5D4C">
        <w:rPr>
          <w:rFonts w:eastAsia="Calibri" w:cs="Times New Roman"/>
          <w:b/>
          <w:bCs/>
        </w:rPr>
        <w:t xml:space="preserve"> until it passes a future test. You should think about moving your money to a different super </w:t>
      </w:r>
      <w:r w:rsidRPr="003D5D4C">
        <w:rPr>
          <w:rFonts w:eastAsia="Calibri" w:cs="Times New Roman"/>
          <w:b/>
          <w:bCs/>
          <w:iCs/>
        </w:rPr>
        <w:t xml:space="preserve">investment option </w:t>
      </w:r>
      <w:r w:rsidRPr="003D5D4C">
        <w:rPr>
          <w:rFonts w:eastAsia="Calibri" w:cs="Times New Roman"/>
          <w:b/>
          <w:bCs/>
        </w:rPr>
        <w:t>or fund.</w:t>
      </w:r>
    </w:p>
    <w:p w14:paraId="2E5B8FE7" w14:textId="77777777" w:rsidR="00811EE1" w:rsidRPr="003D5D4C" w:rsidRDefault="00811EE1" w:rsidP="00811EE1">
      <w:pPr>
        <w:spacing w:before="120" w:after="120"/>
        <w:rPr>
          <w:rFonts w:eastAsia="Calibri" w:cs="Times New Roman"/>
          <w:i/>
        </w:rPr>
      </w:pPr>
      <w:r w:rsidRPr="003D5D4C">
        <w:rPr>
          <w:rFonts w:eastAsia="Calibri" w:cs="Times New Roman"/>
          <w:i/>
        </w:rPr>
        <w:t xml:space="preserve">[If the beneficiary holds more than one failed </w:t>
      </w:r>
      <w:r w:rsidR="00D251D3" w:rsidRPr="003D5D4C">
        <w:rPr>
          <w:rFonts w:eastAsia="Calibri" w:cs="Times New Roman"/>
          <w:i/>
        </w:rPr>
        <w:t>Part 6</w:t>
      </w:r>
      <w:r w:rsidRPr="003D5D4C">
        <w:rPr>
          <w:rFonts w:eastAsia="Calibri" w:cs="Times New Roman"/>
          <w:i/>
        </w:rPr>
        <w:t>A product offered by the superannuation entity, include the following paragraph]</w:t>
      </w:r>
    </w:p>
    <w:p w14:paraId="09AC66DD" w14:textId="77777777" w:rsidR="00811EE1" w:rsidRPr="003D5D4C" w:rsidRDefault="00811EE1" w:rsidP="00811EE1">
      <w:pPr>
        <w:shd w:val="clear" w:color="auto" w:fill="FFFFFF"/>
        <w:spacing w:before="120" w:after="160"/>
        <w:rPr>
          <w:rFonts w:eastAsia="Calibri" w:cs="Times New Roman"/>
          <w:b/>
          <w:bCs/>
        </w:rPr>
      </w:pPr>
      <w:r w:rsidRPr="003D5D4C">
        <w:rPr>
          <w:rFonts w:eastAsia="Calibri" w:cs="Times New Roman"/>
          <w:b/>
          <w:bCs/>
        </w:rPr>
        <w:t xml:space="preserve">You have multiple superannuation </w:t>
      </w:r>
      <w:r w:rsidRPr="003D5D4C">
        <w:rPr>
          <w:rFonts w:eastAsia="Calibri" w:cs="Times New Roman"/>
          <w:b/>
          <w:bCs/>
          <w:iCs/>
        </w:rPr>
        <w:t>investment options</w:t>
      </w:r>
      <w:r w:rsidRPr="003D5D4C">
        <w:rPr>
          <w:rFonts w:eastAsia="Calibri" w:cs="Times New Roman"/>
          <w:iCs/>
        </w:rPr>
        <w:t xml:space="preserve"> </w:t>
      </w:r>
      <w:r w:rsidRPr="003D5D4C">
        <w:rPr>
          <w:rFonts w:eastAsia="Calibri" w:cs="Times New Roman"/>
          <w:b/>
          <w:bCs/>
        </w:rPr>
        <w:t xml:space="preserve">in </w:t>
      </w:r>
      <w:r w:rsidRPr="003D5D4C">
        <w:rPr>
          <w:rFonts w:eastAsia="Calibri" w:cs="Times New Roman"/>
          <w:b/>
          <w:bCs/>
          <w:i/>
          <w:iCs/>
        </w:rPr>
        <w:t>[insert the name of the superannuation entity]</w:t>
      </w:r>
      <w:r w:rsidRPr="003D5D4C">
        <w:rPr>
          <w:rFonts w:eastAsia="Calibri" w:cs="Times New Roman"/>
          <w:b/>
          <w:bCs/>
        </w:rPr>
        <w:t xml:space="preserve"> that have failed </w:t>
      </w:r>
      <w:r w:rsidRPr="003D5D4C">
        <w:rPr>
          <w:rFonts w:eastAsia="Calibri" w:cs="Times New Roman"/>
          <w:b/>
        </w:rPr>
        <w:t>the</w:t>
      </w:r>
      <w:r w:rsidRPr="003D5D4C">
        <w:rPr>
          <w:rFonts w:eastAsia="Calibri" w:cs="Times New Roman"/>
          <w:b/>
          <w:bCs/>
        </w:rPr>
        <w:t xml:space="preserve"> annual performance test at least 2 years in a row. We are now banned from accepting new members into these </w:t>
      </w:r>
      <w:r w:rsidRPr="003D5D4C">
        <w:rPr>
          <w:rFonts w:eastAsia="Calibri" w:cs="Times New Roman"/>
          <w:b/>
          <w:bCs/>
          <w:iCs/>
        </w:rPr>
        <w:t>investment options</w:t>
      </w:r>
      <w:r w:rsidRPr="003D5D4C">
        <w:rPr>
          <w:rFonts w:eastAsia="Calibri" w:cs="Times New Roman"/>
          <w:b/>
          <w:bCs/>
        </w:rPr>
        <w:t xml:space="preserve"> until they pass a future test. You should think about moving your money to a different super </w:t>
      </w:r>
      <w:r w:rsidRPr="003D5D4C">
        <w:rPr>
          <w:rFonts w:eastAsia="Calibri" w:cs="Times New Roman"/>
          <w:b/>
          <w:bCs/>
          <w:iCs/>
        </w:rPr>
        <w:t xml:space="preserve">investment option </w:t>
      </w:r>
      <w:r w:rsidRPr="003D5D4C">
        <w:rPr>
          <w:rFonts w:eastAsia="Calibri" w:cs="Times New Roman"/>
          <w:b/>
          <w:bCs/>
        </w:rPr>
        <w:t>or fund.</w:t>
      </w:r>
    </w:p>
    <w:p w14:paraId="35F2ECE0" w14:textId="77777777" w:rsidR="00811EE1" w:rsidRPr="003D5D4C" w:rsidRDefault="00811EE1" w:rsidP="00811EE1">
      <w:pPr>
        <w:spacing w:before="120" w:after="120"/>
        <w:rPr>
          <w:rFonts w:eastAsia="Calibri" w:cs="Times New Roman"/>
          <w:iCs/>
        </w:rPr>
      </w:pPr>
      <w:r w:rsidRPr="003D5D4C">
        <w:rPr>
          <w:rFonts w:eastAsia="Calibri" w:cs="Times New Roman"/>
          <w:iCs/>
        </w:rPr>
        <w:t>The Australian Government tests your super fund’s investment options every year to make sure your savings are well managed for when you retire. Funds that fail this test are required by law to tell you.</w:t>
      </w:r>
    </w:p>
    <w:p w14:paraId="437616E1"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iCs/>
        </w:rPr>
        <w:t xml:space="preserve">You had </w:t>
      </w:r>
      <w:r w:rsidRPr="003D5D4C">
        <w:rPr>
          <w:rFonts w:eastAsia="Calibri" w:cs="Times New Roman"/>
        </w:rPr>
        <w:t>$</w:t>
      </w:r>
      <w:r w:rsidRPr="003D5D4C">
        <w:rPr>
          <w:rFonts w:eastAsia="Calibri" w:cs="Times New Roman"/>
          <w:i/>
          <w:iCs/>
        </w:rPr>
        <w:t xml:space="preserve">[insert the beneficiary’s total account balance for all </w:t>
      </w:r>
      <w:r w:rsidRPr="003D5D4C">
        <w:rPr>
          <w:rFonts w:eastAsia="Calibri" w:cs="Times New Roman"/>
          <w:i/>
        </w:rPr>
        <w:t>investment options</w:t>
      </w:r>
      <w:r w:rsidRPr="003D5D4C">
        <w:rPr>
          <w:rFonts w:eastAsia="Calibri" w:cs="Times New Roman"/>
          <w:i/>
          <w:iCs/>
        </w:rPr>
        <w:t xml:space="preserve"> offered by the superannuation entity as at 30 June in the calendar year in which the date of this letter falls]</w:t>
      </w:r>
      <w:r w:rsidRPr="003D5D4C">
        <w:rPr>
          <w:rFonts w:eastAsia="Calibri" w:cs="Times New Roman"/>
        </w:rPr>
        <w:t xml:space="preserve"> invested in </w:t>
      </w:r>
      <w:r w:rsidRPr="003D5D4C">
        <w:rPr>
          <w:rFonts w:eastAsia="Calibri" w:cs="Times New Roman"/>
          <w:i/>
          <w:iCs/>
        </w:rPr>
        <w:t>[insert the name of the superannuation entity]</w:t>
      </w:r>
      <w:r w:rsidRPr="003D5D4C">
        <w:rPr>
          <w:rFonts w:eastAsia="Calibri" w:cs="Times New Roman"/>
        </w:rPr>
        <w:t xml:space="preserve"> on 30 June</w:t>
      </w:r>
      <w:r w:rsidRPr="003D5D4C">
        <w:rPr>
          <w:rFonts w:eastAsia="Calibri" w:cs="Times New Roman"/>
          <w:i/>
          <w:iCs/>
        </w:rPr>
        <w:t xml:space="preserve"> [insert the calendar year in which the date of this letter falls]</w:t>
      </w:r>
      <w:r w:rsidRPr="003D5D4C">
        <w:rPr>
          <w:rFonts w:eastAsia="Calibri" w:cs="Times New Roman"/>
        </w:rPr>
        <w:t xml:space="preserve"> and paid a total of $</w:t>
      </w:r>
      <w:r w:rsidRPr="003D5D4C">
        <w:rPr>
          <w:rFonts w:eastAsia="Calibri" w:cs="Times New Roman"/>
          <w:i/>
          <w:iCs/>
        </w:rPr>
        <w:t>[insert total fees and costs charged to the beneficiary in the relevant financial year, excluding insurance fees]</w:t>
      </w:r>
      <w:r w:rsidRPr="003D5D4C">
        <w:rPr>
          <w:rFonts w:eastAsia="Calibri" w:cs="Times New Roman"/>
        </w:rPr>
        <w:t xml:space="preserve"> in fees in the last financial year. You had the following amount invested in failing </w:t>
      </w:r>
      <w:r w:rsidRPr="003D5D4C">
        <w:rPr>
          <w:rFonts w:eastAsia="Calibri" w:cs="Times New Roman"/>
          <w:iCs/>
        </w:rPr>
        <w:t>investment options</w:t>
      </w:r>
      <w:r w:rsidRPr="003D5D4C">
        <w:rPr>
          <w:rFonts w:eastAsia="Calibri" w:cs="Times New Roman"/>
        </w:rPr>
        <w:t xml:space="preserve">: </w:t>
      </w:r>
      <w:r w:rsidRPr="003D5D4C">
        <w:rPr>
          <w:rFonts w:eastAsia="Calibri" w:cs="Times New Roman"/>
          <w:i/>
          <w:iCs/>
        </w:rPr>
        <w:t xml:space="preserve">[insert a bullet list with the name of each failed </w:t>
      </w:r>
      <w:r w:rsidR="00D251D3" w:rsidRPr="003D5D4C">
        <w:rPr>
          <w:rFonts w:eastAsia="Calibri" w:cs="Times New Roman"/>
          <w:i/>
          <w:iCs/>
        </w:rPr>
        <w:t>Part 6</w:t>
      </w:r>
      <w:r w:rsidRPr="003D5D4C">
        <w:rPr>
          <w:rFonts w:eastAsia="Calibri" w:cs="Times New Roman"/>
          <w:i/>
          <w:iCs/>
        </w:rPr>
        <w:t xml:space="preserve">A product, followed by the beneficiary’s account balance for that </w:t>
      </w:r>
      <w:r w:rsidR="00D251D3" w:rsidRPr="003D5D4C">
        <w:rPr>
          <w:rFonts w:eastAsia="Calibri" w:cs="Times New Roman"/>
          <w:i/>
          <w:iCs/>
        </w:rPr>
        <w:t>Part 6</w:t>
      </w:r>
      <w:r w:rsidRPr="003D5D4C">
        <w:rPr>
          <w:rFonts w:eastAsia="Calibri" w:cs="Times New Roman"/>
          <w:i/>
          <w:iCs/>
        </w:rPr>
        <w:t>A product as at 30 June in the calendar year in which the date of this letter falls, in parentheses]</w:t>
      </w:r>
    </w:p>
    <w:p w14:paraId="245896D9" w14:textId="77777777" w:rsidR="00811EE1" w:rsidRPr="003D5D4C" w:rsidRDefault="00811EE1" w:rsidP="00811EE1">
      <w:pPr>
        <w:spacing w:before="120" w:after="120"/>
        <w:rPr>
          <w:rFonts w:eastAsia="Calibri" w:cs="Times New Roman"/>
          <w:i/>
        </w:rPr>
      </w:pPr>
      <w:r w:rsidRPr="003D5D4C">
        <w:rPr>
          <w:rFonts w:eastAsia="Calibri" w:cs="Times New Roman"/>
          <w:i/>
        </w:rPr>
        <w:t xml:space="preserve">[If the bullet list above has one failed </w:t>
      </w:r>
      <w:r w:rsidR="00D251D3" w:rsidRPr="003D5D4C">
        <w:rPr>
          <w:rFonts w:eastAsia="Calibri" w:cs="Times New Roman"/>
          <w:i/>
        </w:rPr>
        <w:t>Part 6</w:t>
      </w:r>
      <w:r w:rsidRPr="003D5D4C">
        <w:rPr>
          <w:rFonts w:eastAsia="Calibri" w:cs="Times New Roman"/>
          <w:i/>
        </w:rPr>
        <w:t>A product, include the following paragraph]</w:t>
      </w:r>
    </w:p>
    <w:p w14:paraId="759FC5E4"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b/>
          <w:bCs/>
        </w:rPr>
        <w:t xml:space="preserve">Your money will stay in this failing investment option in </w:t>
      </w:r>
      <w:r w:rsidRPr="003D5D4C">
        <w:rPr>
          <w:rFonts w:eastAsia="Calibri" w:cs="Times New Roman"/>
          <w:b/>
          <w:bCs/>
          <w:i/>
          <w:iCs/>
        </w:rPr>
        <w:t>[insert the name of the superannuation entity]</w:t>
      </w:r>
      <w:r w:rsidRPr="003D5D4C">
        <w:rPr>
          <w:rFonts w:eastAsia="Calibri" w:cs="Times New Roman"/>
        </w:rPr>
        <w:t xml:space="preserve"> </w:t>
      </w:r>
      <w:r w:rsidRPr="003D5D4C">
        <w:rPr>
          <w:rFonts w:eastAsia="Calibri" w:cs="Times New Roman"/>
          <w:b/>
          <w:bCs/>
        </w:rPr>
        <w:t>unless you move it.</w:t>
      </w:r>
    </w:p>
    <w:p w14:paraId="0D77AB7A" w14:textId="77777777" w:rsidR="00811EE1" w:rsidRPr="003D5D4C" w:rsidRDefault="00811EE1" w:rsidP="00811EE1">
      <w:pPr>
        <w:spacing w:before="120" w:after="120"/>
        <w:rPr>
          <w:rFonts w:eastAsia="Calibri" w:cs="Times New Roman"/>
          <w:i/>
        </w:rPr>
      </w:pPr>
      <w:r w:rsidRPr="003D5D4C">
        <w:rPr>
          <w:rFonts w:eastAsia="Calibri" w:cs="Times New Roman"/>
          <w:i/>
        </w:rPr>
        <w:lastRenderedPageBreak/>
        <w:t xml:space="preserve">[If the bullet list above has more than one failed </w:t>
      </w:r>
      <w:r w:rsidR="00D251D3" w:rsidRPr="003D5D4C">
        <w:rPr>
          <w:rFonts w:eastAsia="Calibri" w:cs="Times New Roman"/>
          <w:i/>
        </w:rPr>
        <w:t>Part 6</w:t>
      </w:r>
      <w:r w:rsidRPr="003D5D4C">
        <w:rPr>
          <w:rFonts w:eastAsia="Calibri" w:cs="Times New Roman"/>
          <w:i/>
        </w:rPr>
        <w:t>A product, include the following paragraph]</w:t>
      </w:r>
    </w:p>
    <w:p w14:paraId="42FA0D4F"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b/>
          <w:bCs/>
        </w:rPr>
        <w:t xml:space="preserve">Your money will stay in these failing </w:t>
      </w:r>
      <w:r w:rsidRPr="003D5D4C">
        <w:rPr>
          <w:rFonts w:eastAsia="Calibri" w:cs="Times New Roman"/>
          <w:b/>
          <w:bCs/>
          <w:iCs/>
        </w:rPr>
        <w:t>investment options</w:t>
      </w:r>
      <w:r w:rsidRPr="003D5D4C">
        <w:rPr>
          <w:rFonts w:eastAsia="Calibri" w:cs="Times New Roman"/>
          <w:b/>
          <w:bCs/>
        </w:rPr>
        <w:t xml:space="preserve"> in </w:t>
      </w:r>
      <w:r w:rsidRPr="003D5D4C">
        <w:rPr>
          <w:rFonts w:eastAsia="Calibri" w:cs="Times New Roman"/>
          <w:b/>
          <w:bCs/>
          <w:i/>
          <w:iCs/>
        </w:rPr>
        <w:t>[insert the name of the superannuation entity]</w:t>
      </w:r>
      <w:r w:rsidRPr="003D5D4C">
        <w:rPr>
          <w:rFonts w:eastAsia="Calibri" w:cs="Times New Roman"/>
        </w:rPr>
        <w:t xml:space="preserve"> </w:t>
      </w:r>
      <w:r w:rsidRPr="003D5D4C">
        <w:rPr>
          <w:rFonts w:eastAsia="Calibri" w:cs="Times New Roman"/>
          <w:b/>
          <w:bCs/>
        </w:rPr>
        <w:t>unless you move it.</w:t>
      </w:r>
    </w:p>
    <w:p w14:paraId="0DDD6D10"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rPr>
        <w:t xml:space="preserve">Finding a better super </w:t>
      </w:r>
      <w:r w:rsidRPr="003D5D4C">
        <w:rPr>
          <w:rFonts w:eastAsia="Calibri" w:cs="Times New Roman"/>
          <w:iCs/>
        </w:rPr>
        <w:t>investment option</w:t>
      </w:r>
      <w:r w:rsidRPr="003D5D4C">
        <w:rPr>
          <w:rFonts w:eastAsia="Calibri" w:cs="Times New Roman"/>
        </w:rPr>
        <w:t xml:space="preserve"> could be worthwhile for your future. You could save thousands of dollars more for when you retire by switching to a better </w:t>
      </w:r>
      <w:r w:rsidRPr="003D5D4C">
        <w:rPr>
          <w:rFonts w:eastAsia="Calibri" w:cs="Times New Roman"/>
          <w:iCs/>
        </w:rPr>
        <w:t xml:space="preserve">investment option </w:t>
      </w:r>
      <w:r w:rsidRPr="003D5D4C">
        <w:rPr>
          <w:rFonts w:eastAsia="Calibri" w:cs="Times New Roman"/>
        </w:rPr>
        <w:t>or super fund. Super is a long</w:t>
      </w:r>
      <w:r w:rsidR="00A70ACD" w:rsidRPr="003D5D4C">
        <w:rPr>
          <w:rFonts w:eastAsia="Calibri" w:cs="Times New Roman"/>
        </w:rPr>
        <w:noBreakHyphen/>
      </w:r>
      <w:r w:rsidRPr="003D5D4C">
        <w:rPr>
          <w:rFonts w:eastAsia="Calibri" w:cs="Times New Roman"/>
        </w:rPr>
        <w:t>term investment. By earning 1% more each year for 30 years, you could retire with 20% more in savings; for example, your super could increase from $100,000 to $120,000.</w:t>
      </w:r>
    </w:p>
    <w:p w14:paraId="02ADBEBB" w14:textId="77777777" w:rsidR="00811EE1" w:rsidRPr="003D5D4C" w:rsidRDefault="00811EE1" w:rsidP="00811EE1">
      <w:pPr>
        <w:shd w:val="clear" w:color="auto" w:fill="FFFFFF"/>
        <w:spacing w:before="240" w:after="160"/>
        <w:rPr>
          <w:rFonts w:eastAsia="Calibri" w:cs="Times New Roman"/>
        </w:rPr>
      </w:pPr>
      <w:r w:rsidRPr="003D5D4C">
        <w:rPr>
          <w:rFonts w:eastAsia="Calibri" w:cs="Times New Roman"/>
        </w:rPr>
        <w:t>You may find it helpful to use the Australian Government’s YourSuper comparison tool. You can use the tool to compare the fees and earnings of simple, low</w:t>
      </w:r>
      <w:r w:rsidR="00A70ACD" w:rsidRPr="003D5D4C">
        <w:rPr>
          <w:rFonts w:eastAsia="Calibri" w:cs="Times New Roman"/>
        </w:rPr>
        <w:noBreakHyphen/>
      </w:r>
      <w:r w:rsidRPr="003D5D4C">
        <w:rPr>
          <w:rFonts w:eastAsia="Calibri" w:cs="Times New Roman"/>
        </w:rPr>
        <w:t xml:space="preserve">cost </w:t>
      </w:r>
      <w:r w:rsidRPr="003D5D4C">
        <w:rPr>
          <w:rFonts w:eastAsia="Calibri" w:cs="Times New Roman"/>
          <w:i/>
          <w:iCs/>
        </w:rPr>
        <w:t xml:space="preserve">MySuper </w:t>
      </w:r>
      <w:r w:rsidRPr="003D5D4C">
        <w:rPr>
          <w:rFonts w:eastAsia="Calibri" w:cs="Times New Roman"/>
          <w:i/>
        </w:rPr>
        <w:t>investment options</w:t>
      </w:r>
      <w:r w:rsidRPr="003D5D4C">
        <w:rPr>
          <w:rFonts w:eastAsia="Calibri" w:cs="Times New Roman"/>
        </w:rPr>
        <w:t xml:space="preserve">. Note that the </w:t>
      </w:r>
      <w:r w:rsidRPr="003D5D4C">
        <w:rPr>
          <w:rFonts w:eastAsia="Calibri" w:cs="Times New Roman"/>
          <w:iCs/>
        </w:rPr>
        <w:t>investment options</w:t>
      </w:r>
      <w:r w:rsidRPr="003D5D4C">
        <w:rPr>
          <w:rFonts w:eastAsia="Calibri" w:cs="Times New Roman"/>
        </w:rPr>
        <w:t xml:space="preserve"> listed above are </w:t>
      </w:r>
      <w:r w:rsidRPr="003D5D4C">
        <w:rPr>
          <w:rFonts w:eastAsia="Calibri" w:cs="Times New Roman"/>
          <w:i/>
          <w:iCs/>
        </w:rPr>
        <w:t>not</w:t>
      </w:r>
      <w:r w:rsidRPr="003D5D4C">
        <w:rPr>
          <w:rFonts w:eastAsia="Calibri" w:cs="Times New Roman"/>
        </w:rPr>
        <w:t xml:space="preserve"> MySuper </w:t>
      </w:r>
      <w:r w:rsidRPr="003D5D4C">
        <w:rPr>
          <w:rFonts w:eastAsia="Calibri" w:cs="Times New Roman"/>
          <w:iCs/>
        </w:rPr>
        <w:t>investment options</w:t>
      </w:r>
      <w:r w:rsidRPr="003D5D4C">
        <w:rPr>
          <w:rFonts w:eastAsia="Calibri" w:cs="Times New Roman"/>
        </w:rPr>
        <w:t xml:space="preserve">. You should think about whether a MySuper </w:t>
      </w:r>
      <w:r w:rsidRPr="003D5D4C">
        <w:rPr>
          <w:rFonts w:eastAsia="Calibri" w:cs="Times New Roman"/>
          <w:iCs/>
        </w:rPr>
        <w:t>investment option</w:t>
      </w:r>
      <w:r w:rsidRPr="003D5D4C">
        <w:rPr>
          <w:rFonts w:eastAsia="Calibri" w:cs="Times New Roman"/>
        </w:rPr>
        <w:t xml:space="preserve"> is right for you. Go to</w:t>
      </w:r>
      <w:r w:rsidRPr="003D5D4C">
        <w:rPr>
          <w:rFonts w:eastAsia="Calibri" w:cs="Times New Roman"/>
          <w:i/>
          <w:iCs/>
        </w:rPr>
        <w:t xml:space="preserve"> ato.gov.au/yoursuper</w:t>
      </w:r>
      <w:r w:rsidRPr="003D5D4C">
        <w:rPr>
          <w:rFonts w:eastAsia="Calibri" w:cs="Times New Roman"/>
        </w:rPr>
        <w:t xml:space="preserve"> or use the QR code below:</w:t>
      </w:r>
    </w:p>
    <w:p w14:paraId="5E7ABD16" w14:textId="77777777" w:rsidR="00811EE1" w:rsidRPr="003D5D4C" w:rsidRDefault="00811EE1" w:rsidP="00811EE1">
      <w:pPr>
        <w:shd w:val="clear" w:color="auto" w:fill="FFFFFF"/>
        <w:spacing w:before="120" w:after="160"/>
        <w:rPr>
          <w:rFonts w:eastAsia="Calibri" w:cs="Times New Roman"/>
          <w:i/>
          <w:iCs/>
        </w:rPr>
      </w:pPr>
      <w:r w:rsidRPr="003D5D4C">
        <w:rPr>
          <w:rFonts w:eastAsia="Calibri" w:cs="Times New Roman"/>
          <w:i/>
          <w:iCs/>
        </w:rPr>
        <w:t>[insert QR code for ato.gov.au/yoursuper]</w:t>
      </w:r>
    </w:p>
    <w:p w14:paraId="25B4D4D4"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rPr>
        <w:t xml:space="preserve">This letter does not take your personal situation into account. Before switching </w:t>
      </w:r>
      <w:r w:rsidRPr="003D5D4C">
        <w:rPr>
          <w:rFonts w:eastAsia="Calibri" w:cs="Times New Roman"/>
          <w:iCs/>
        </w:rPr>
        <w:t>investment options</w:t>
      </w:r>
      <w:r w:rsidRPr="003D5D4C">
        <w:rPr>
          <w:rFonts w:eastAsia="Calibri" w:cs="Times New Roman"/>
        </w:rPr>
        <w:t>, you should think about your investment plans and personal situation, such as investment goals and values, as well as insurance, fee and tax impacts. You may wish to speak to a financial adviser about your personal circumstances if you are unsure.</w:t>
      </w:r>
    </w:p>
    <w:p w14:paraId="25559FB6"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b/>
          <w:bCs/>
        </w:rPr>
        <w:t>Your questions answered</w:t>
      </w:r>
    </w:p>
    <w:p w14:paraId="60DCC2A9"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b/>
          <w:bCs/>
        </w:rPr>
        <w:t>What is the annual performance test?</w:t>
      </w:r>
    </w:p>
    <w:p w14:paraId="1024BA6B"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 xml:space="preserve">The annual government test checks how much your super </w:t>
      </w:r>
      <w:r w:rsidRPr="003D5D4C">
        <w:rPr>
          <w:rFonts w:eastAsia="Calibri" w:cs="Times New Roman"/>
          <w:iCs/>
        </w:rPr>
        <w:t>investment option</w:t>
      </w:r>
      <w:r w:rsidRPr="003D5D4C">
        <w:rPr>
          <w:rFonts w:eastAsia="Calibri" w:cs="Times New Roman"/>
        </w:rPr>
        <w:t xml:space="preserve"> has earned (after costs) over time. It compares your </w:t>
      </w:r>
      <w:r w:rsidRPr="003D5D4C">
        <w:rPr>
          <w:rFonts w:eastAsia="Calibri" w:cs="Times New Roman"/>
          <w:iCs/>
        </w:rPr>
        <w:t>investment option</w:t>
      </w:r>
      <w:r w:rsidRPr="003D5D4C">
        <w:rPr>
          <w:rFonts w:eastAsia="Calibri" w:cs="Times New Roman"/>
        </w:rPr>
        <w:t xml:space="preserve">’s earnings with those of a similar </w:t>
      </w:r>
      <w:r w:rsidRPr="003D5D4C">
        <w:rPr>
          <w:rFonts w:eastAsia="Calibri" w:cs="Times New Roman"/>
          <w:iCs/>
        </w:rPr>
        <w:t>investment option</w:t>
      </w:r>
      <w:r w:rsidRPr="003D5D4C">
        <w:rPr>
          <w:rFonts w:eastAsia="Calibri" w:cs="Times New Roman"/>
        </w:rPr>
        <w:t xml:space="preserve"> over the same period. The test is done at the </w:t>
      </w:r>
      <w:r w:rsidRPr="003D5D4C">
        <w:rPr>
          <w:rFonts w:eastAsia="Calibri" w:cs="Times New Roman"/>
          <w:iCs/>
        </w:rPr>
        <w:t>investment option</w:t>
      </w:r>
      <w:r w:rsidRPr="003D5D4C">
        <w:rPr>
          <w:rFonts w:eastAsia="Calibri" w:cs="Times New Roman"/>
        </w:rPr>
        <w:t xml:space="preserve"> level. There may be a range of fees associated with an </w:t>
      </w:r>
      <w:r w:rsidRPr="003D5D4C">
        <w:rPr>
          <w:rFonts w:eastAsia="Calibri" w:cs="Times New Roman"/>
          <w:iCs/>
        </w:rPr>
        <w:t>investment option</w:t>
      </w:r>
      <w:r w:rsidRPr="003D5D4C">
        <w:rPr>
          <w:rFonts w:eastAsia="Calibri" w:cs="Times New Roman"/>
        </w:rPr>
        <w:t>. The test does not account for your personal situation, fees or tax.</w:t>
      </w:r>
    </w:p>
    <w:p w14:paraId="6C10595C"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Super funds with investment options that fail this test are required to tell you.</w:t>
      </w:r>
    </w:p>
    <w:p w14:paraId="4A410AFE"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You can find out more about super at </w:t>
      </w:r>
      <w:r w:rsidRPr="003D5D4C">
        <w:rPr>
          <w:rFonts w:eastAsia="Calibri" w:cs="Times New Roman"/>
          <w:i/>
          <w:iCs/>
        </w:rPr>
        <w:t>moneysmart.gov.au</w:t>
      </w:r>
      <w:r w:rsidRPr="003D5D4C">
        <w:rPr>
          <w:rFonts w:eastAsia="Calibri" w:cs="Times New Roman"/>
        </w:rPr>
        <w:t>.</w:t>
      </w:r>
    </w:p>
    <w:p w14:paraId="3C4F93C1" w14:textId="77777777" w:rsidR="00811EE1" w:rsidRPr="003D5D4C" w:rsidRDefault="00811EE1" w:rsidP="00811EE1">
      <w:pPr>
        <w:shd w:val="clear" w:color="auto" w:fill="FFFFFF"/>
        <w:spacing w:before="120" w:after="120"/>
        <w:rPr>
          <w:rFonts w:eastAsia="Calibri" w:cs="Times New Roman"/>
          <w:b/>
          <w:bCs/>
        </w:rPr>
      </w:pPr>
      <w:r w:rsidRPr="003D5D4C">
        <w:rPr>
          <w:rFonts w:eastAsia="Calibri" w:cs="Times New Roman"/>
          <w:b/>
          <w:bCs/>
        </w:rPr>
        <w:t xml:space="preserve">What things should I consider when deciding to switch super </w:t>
      </w:r>
      <w:r w:rsidRPr="003D5D4C">
        <w:rPr>
          <w:rFonts w:eastAsia="Calibri" w:cs="Times New Roman"/>
          <w:b/>
          <w:bCs/>
          <w:iCs/>
        </w:rPr>
        <w:t>investment options or funds</w:t>
      </w:r>
      <w:r w:rsidRPr="003D5D4C">
        <w:rPr>
          <w:rFonts w:eastAsia="Calibri" w:cs="Times New Roman"/>
          <w:b/>
          <w:bCs/>
        </w:rPr>
        <w:t>?</w:t>
      </w:r>
    </w:p>
    <w:p w14:paraId="53E43904"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The performance test does not take into account your individual circumstances. You should think about your investment plans and personal situation, such as investment goals and values, as well as insurance, fees and tax impacts, when switching. You may wish to speak to a financial adviser about your personal circumstances.</w:t>
      </w:r>
    </w:p>
    <w:p w14:paraId="756C297D" w14:textId="77777777" w:rsidR="00811EE1" w:rsidRPr="003D5D4C" w:rsidRDefault="00811EE1" w:rsidP="00811EE1">
      <w:pPr>
        <w:shd w:val="clear" w:color="auto" w:fill="FFFFFF"/>
        <w:spacing w:before="120" w:after="120"/>
        <w:rPr>
          <w:rFonts w:eastAsia="Calibri" w:cs="Times New Roman"/>
          <w:b/>
          <w:bCs/>
        </w:rPr>
      </w:pPr>
      <w:r w:rsidRPr="003D5D4C">
        <w:rPr>
          <w:rFonts w:eastAsia="Calibri" w:cs="Times New Roman"/>
          <w:b/>
          <w:bCs/>
        </w:rPr>
        <w:t xml:space="preserve">How can I find a new super </w:t>
      </w:r>
      <w:r w:rsidRPr="003D5D4C">
        <w:rPr>
          <w:rFonts w:eastAsia="Calibri" w:cs="Times New Roman"/>
          <w:b/>
          <w:bCs/>
          <w:iCs/>
        </w:rPr>
        <w:t>investment option or fund</w:t>
      </w:r>
      <w:r w:rsidRPr="003D5D4C">
        <w:rPr>
          <w:rFonts w:eastAsia="Calibri" w:cs="Times New Roman"/>
          <w:b/>
          <w:bCs/>
        </w:rPr>
        <w:t>?</w:t>
      </w:r>
    </w:p>
    <w:p w14:paraId="518094D9" w14:textId="77777777" w:rsidR="00811EE1" w:rsidRPr="003D5D4C" w:rsidRDefault="00811EE1" w:rsidP="00811EE1">
      <w:pPr>
        <w:shd w:val="clear" w:color="auto" w:fill="FFFFFF"/>
        <w:spacing w:before="120" w:after="120"/>
        <w:rPr>
          <w:rFonts w:eastAsia="Calibri" w:cs="Times New Roman"/>
          <w:i/>
          <w:iCs/>
        </w:rPr>
      </w:pPr>
      <w:r w:rsidRPr="003D5D4C">
        <w:rPr>
          <w:rFonts w:eastAsia="Calibri" w:cs="Times New Roman"/>
        </w:rPr>
        <w:t>You may find it helpful to use the Australian Government’s YourSuper comparison tool. You can use the tool to compare the fees and earnings of simple, low</w:t>
      </w:r>
      <w:r w:rsidR="00A70ACD" w:rsidRPr="003D5D4C">
        <w:rPr>
          <w:rFonts w:eastAsia="Calibri" w:cs="Times New Roman"/>
        </w:rPr>
        <w:noBreakHyphen/>
      </w:r>
      <w:r w:rsidRPr="003D5D4C">
        <w:rPr>
          <w:rFonts w:eastAsia="Calibri" w:cs="Times New Roman"/>
        </w:rPr>
        <w:t xml:space="preserve">cost </w:t>
      </w:r>
      <w:r w:rsidRPr="003D5D4C">
        <w:rPr>
          <w:rFonts w:eastAsia="Calibri" w:cs="Times New Roman"/>
          <w:i/>
          <w:iCs/>
        </w:rPr>
        <w:t xml:space="preserve">MySuper </w:t>
      </w:r>
      <w:r w:rsidRPr="003D5D4C">
        <w:rPr>
          <w:rFonts w:eastAsia="Calibri" w:cs="Times New Roman"/>
          <w:i/>
        </w:rPr>
        <w:t>investment options</w:t>
      </w:r>
      <w:r w:rsidRPr="003D5D4C">
        <w:rPr>
          <w:rFonts w:eastAsia="Calibri" w:cs="Times New Roman"/>
        </w:rPr>
        <w:t xml:space="preserve">. Note that the </w:t>
      </w:r>
      <w:r w:rsidRPr="003D5D4C">
        <w:rPr>
          <w:rFonts w:eastAsia="Calibri" w:cs="Times New Roman"/>
          <w:iCs/>
        </w:rPr>
        <w:t>investment options</w:t>
      </w:r>
      <w:r w:rsidRPr="003D5D4C">
        <w:rPr>
          <w:rFonts w:eastAsia="Calibri" w:cs="Times New Roman"/>
        </w:rPr>
        <w:t xml:space="preserve"> listed above are </w:t>
      </w:r>
      <w:r w:rsidRPr="003D5D4C">
        <w:rPr>
          <w:rFonts w:eastAsia="Calibri" w:cs="Times New Roman"/>
          <w:i/>
          <w:iCs/>
        </w:rPr>
        <w:t>not</w:t>
      </w:r>
      <w:r w:rsidRPr="003D5D4C">
        <w:rPr>
          <w:rFonts w:eastAsia="Calibri" w:cs="Times New Roman"/>
        </w:rPr>
        <w:t xml:space="preserve"> MySuper </w:t>
      </w:r>
      <w:r w:rsidRPr="003D5D4C">
        <w:rPr>
          <w:rFonts w:eastAsia="Calibri" w:cs="Times New Roman"/>
          <w:iCs/>
        </w:rPr>
        <w:t>investment options</w:t>
      </w:r>
      <w:r w:rsidRPr="003D5D4C">
        <w:rPr>
          <w:rFonts w:eastAsia="Calibri" w:cs="Times New Roman"/>
        </w:rPr>
        <w:t xml:space="preserve">. You should think about whether a MySuper </w:t>
      </w:r>
      <w:r w:rsidRPr="003D5D4C">
        <w:rPr>
          <w:rFonts w:eastAsia="Calibri" w:cs="Times New Roman"/>
          <w:iCs/>
        </w:rPr>
        <w:t>investment option</w:t>
      </w:r>
      <w:r w:rsidRPr="003D5D4C">
        <w:rPr>
          <w:rFonts w:eastAsia="Calibri" w:cs="Times New Roman"/>
        </w:rPr>
        <w:t xml:space="preserve"> is right for you. Go to</w:t>
      </w:r>
      <w:r w:rsidRPr="003D5D4C">
        <w:rPr>
          <w:rFonts w:eastAsia="Calibri" w:cs="Times New Roman"/>
          <w:i/>
          <w:iCs/>
        </w:rPr>
        <w:t xml:space="preserve"> ato.gov.au/yoursuper</w:t>
      </w:r>
      <w:r w:rsidRPr="003D5D4C">
        <w:rPr>
          <w:rFonts w:eastAsia="Calibri" w:cs="Times New Roman"/>
        </w:rPr>
        <w:t xml:space="preserve"> or use the QR code above.</w:t>
      </w:r>
    </w:p>
    <w:p w14:paraId="4CDB2D29" w14:textId="77777777" w:rsidR="00811EE1" w:rsidRPr="003D5D4C" w:rsidRDefault="00811EE1" w:rsidP="00811EE1">
      <w:pPr>
        <w:shd w:val="clear" w:color="auto" w:fill="FFFFFF"/>
        <w:spacing w:before="120" w:after="120"/>
        <w:rPr>
          <w:rFonts w:eastAsia="Calibri" w:cs="Times New Roman"/>
          <w:b/>
          <w:bCs/>
        </w:rPr>
      </w:pPr>
      <w:r w:rsidRPr="003D5D4C">
        <w:rPr>
          <w:rFonts w:eastAsia="Calibri" w:cs="Times New Roman"/>
          <w:b/>
          <w:bCs/>
        </w:rPr>
        <w:t>How do I consolidate my super?</w:t>
      </w:r>
    </w:p>
    <w:p w14:paraId="0F60600E"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If you open an account with a new super fund, contact the new fund or use myGov to consolidate your money, saving on fees by avoiding charges on multiple accounts.</w:t>
      </w:r>
    </w:p>
    <w:p w14:paraId="7F51AA9C" w14:textId="77777777" w:rsidR="00811EE1" w:rsidRPr="003D5D4C" w:rsidRDefault="00811EE1" w:rsidP="00811EE1">
      <w:pPr>
        <w:shd w:val="clear" w:color="auto" w:fill="FFFFFF"/>
        <w:spacing w:before="120" w:after="120"/>
        <w:rPr>
          <w:rFonts w:eastAsia="Calibri" w:cs="Times New Roman"/>
          <w:b/>
          <w:bCs/>
        </w:rPr>
      </w:pPr>
      <w:r w:rsidRPr="003D5D4C">
        <w:rPr>
          <w:rFonts w:eastAsia="Calibri" w:cs="Times New Roman"/>
          <w:b/>
          <w:bCs/>
        </w:rPr>
        <w:lastRenderedPageBreak/>
        <w:t xml:space="preserve">What happens if a super </w:t>
      </w:r>
      <w:r w:rsidRPr="003D5D4C">
        <w:rPr>
          <w:rFonts w:eastAsia="Calibri" w:cs="Times New Roman"/>
          <w:b/>
          <w:bCs/>
          <w:iCs/>
        </w:rPr>
        <w:t>investment option</w:t>
      </w:r>
      <w:r w:rsidRPr="003D5D4C">
        <w:rPr>
          <w:rFonts w:eastAsia="Calibri" w:cs="Times New Roman"/>
          <w:b/>
          <w:bCs/>
        </w:rPr>
        <w:t xml:space="preserve"> fails two or more years in a row?</w:t>
      </w:r>
    </w:p>
    <w:p w14:paraId="7B0B2558"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 xml:space="preserve">If a super </w:t>
      </w:r>
      <w:r w:rsidRPr="003D5D4C">
        <w:rPr>
          <w:rFonts w:eastAsia="Calibri" w:cs="Times New Roman"/>
          <w:iCs/>
        </w:rPr>
        <w:t>investment option</w:t>
      </w:r>
      <w:r w:rsidRPr="003D5D4C">
        <w:rPr>
          <w:rFonts w:eastAsia="Calibri" w:cs="Times New Roman"/>
        </w:rPr>
        <w:t xml:space="preserve"> fails the test at least two years in a row, it cannot accept new members until it passes a future test. You should think about the impact of this on the </w:t>
      </w:r>
      <w:r w:rsidRPr="003D5D4C">
        <w:rPr>
          <w:rFonts w:eastAsia="Calibri" w:cs="Times New Roman"/>
          <w:iCs/>
        </w:rPr>
        <w:t>investment option</w:t>
      </w:r>
      <w:r w:rsidRPr="003D5D4C">
        <w:rPr>
          <w:rFonts w:eastAsia="Calibri" w:cs="Times New Roman"/>
        </w:rPr>
        <w:t>’s ability to improve.</w:t>
      </w:r>
    </w:p>
    <w:p w14:paraId="75A498C7" w14:textId="77777777" w:rsidR="00811EE1" w:rsidRPr="003D5D4C" w:rsidRDefault="00811EE1" w:rsidP="00811EE1">
      <w:pPr>
        <w:spacing w:before="120" w:after="120"/>
        <w:rPr>
          <w:rFonts w:eastAsia="Calibri" w:cs="Times New Roman"/>
        </w:rPr>
      </w:pPr>
      <w:r w:rsidRPr="003D5D4C">
        <w:rPr>
          <w:rFonts w:eastAsia="Calibri" w:cs="Times New Roman"/>
        </w:rPr>
        <w:t xml:space="preserve">Your money will stay in the failed super </w:t>
      </w:r>
      <w:r w:rsidRPr="003D5D4C">
        <w:rPr>
          <w:rFonts w:eastAsia="Calibri" w:cs="Times New Roman"/>
          <w:iCs/>
        </w:rPr>
        <w:t>investment option</w:t>
      </w:r>
      <w:r w:rsidRPr="003D5D4C">
        <w:rPr>
          <w:rFonts w:eastAsia="Calibri" w:cs="Times New Roman"/>
        </w:rPr>
        <w:t xml:space="preserve"> unless you move it.</w:t>
      </w:r>
    </w:p>
    <w:p w14:paraId="4685F537" w14:textId="77777777" w:rsidR="00811EE1" w:rsidRPr="003D5D4C" w:rsidRDefault="00811EE1" w:rsidP="00811EE1">
      <w:pPr>
        <w:spacing w:before="120" w:after="120" w:line="256" w:lineRule="auto"/>
        <w:rPr>
          <w:rFonts w:eastAsia="Calibri" w:cs="Arial"/>
          <w:b/>
          <w:i/>
        </w:rPr>
      </w:pPr>
    </w:p>
    <w:p w14:paraId="1C1D209D" w14:textId="77777777" w:rsidR="00811EE1" w:rsidRPr="003D5D4C" w:rsidRDefault="00811EE1" w:rsidP="00811EE1">
      <w:pPr>
        <w:spacing w:after="160" w:line="256" w:lineRule="auto"/>
        <w:rPr>
          <w:rFonts w:eastAsia="Calibri" w:cs="Arial"/>
          <w:b/>
          <w:i/>
        </w:rPr>
      </w:pPr>
      <w:r w:rsidRPr="003D5D4C">
        <w:rPr>
          <w:rFonts w:eastAsia="Calibri" w:cs="Arial"/>
          <w:b/>
          <w:i/>
        </w:rPr>
        <w:t xml:space="preserve">[Use the following template if: one or more </w:t>
      </w:r>
      <w:r w:rsidR="00D251D3" w:rsidRPr="003D5D4C">
        <w:rPr>
          <w:rFonts w:eastAsia="Calibri" w:cs="Arial"/>
          <w:b/>
          <w:i/>
        </w:rPr>
        <w:t>Part 6</w:t>
      </w:r>
      <w:r w:rsidRPr="003D5D4C">
        <w:rPr>
          <w:rFonts w:eastAsia="Calibri" w:cs="Arial"/>
          <w:b/>
          <w:i/>
        </w:rPr>
        <w:t>A products are a trustee</w:t>
      </w:r>
      <w:r w:rsidR="00A70ACD" w:rsidRPr="003D5D4C">
        <w:rPr>
          <w:rFonts w:eastAsia="Calibri" w:cs="Arial"/>
          <w:b/>
          <w:i/>
        </w:rPr>
        <w:noBreakHyphen/>
      </w:r>
      <w:r w:rsidRPr="003D5D4C">
        <w:rPr>
          <w:rFonts w:eastAsia="Calibri" w:cs="Arial"/>
          <w:b/>
          <w:i/>
        </w:rPr>
        <w:t xml:space="preserve">directed product, the beneficiary accessed the product via a platform investment menu, and the conditions in </w:t>
      </w:r>
      <w:r w:rsidR="00D251D3" w:rsidRPr="003D5D4C">
        <w:rPr>
          <w:rFonts w:eastAsia="Calibri" w:cs="Arial"/>
          <w:b/>
          <w:i/>
        </w:rPr>
        <w:t>subsection 6</w:t>
      </w:r>
      <w:r w:rsidRPr="003D5D4C">
        <w:rPr>
          <w:rFonts w:eastAsia="Calibri" w:cs="Arial"/>
          <w:b/>
          <w:i/>
        </w:rPr>
        <w:t>0F(1) of the Act (2 consecutive fail assessments) are not satisfied for these products]</w:t>
      </w:r>
    </w:p>
    <w:p w14:paraId="2478F483" w14:textId="77777777" w:rsidR="00811EE1" w:rsidRPr="003D5D4C" w:rsidRDefault="00811EE1" w:rsidP="00811EE1">
      <w:pPr>
        <w:spacing w:before="120" w:after="120"/>
        <w:rPr>
          <w:rFonts w:eastAsia="Calibri" w:cs="Times New Roman"/>
          <w:i/>
        </w:rPr>
      </w:pPr>
      <w:r w:rsidRPr="003D5D4C">
        <w:rPr>
          <w:rFonts w:eastAsia="Calibri" w:cs="Times New Roman"/>
        </w:rPr>
        <w:t xml:space="preserve">Dear </w:t>
      </w:r>
      <w:r w:rsidRPr="003D5D4C">
        <w:rPr>
          <w:rFonts w:eastAsia="Calibri" w:cs="Times New Roman"/>
          <w:i/>
        </w:rPr>
        <w:t>[insert the name of the beneficiary of the superannuation entity],</w:t>
      </w:r>
    </w:p>
    <w:p w14:paraId="4F491863" w14:textId="77777777" w:rsidR="00811EE1" w:rsidRPr="003D5D4C" w:rsidRDefault="00811EE1" w:rsidP="00811EE1">
      <w:pPr>
        <w:spacing w:before="120" w:after="120"/>
        <w:rPr>
          <w:rFonts w:eastAsia="Calibri" w:cs="Times New Roman"/>
          <w:i/>
        </w:rPr>
      </w:pPr>
      <w:r w:rsidRPr="003D5D4C">
        <w:rPr>
          <w:rFonts w:eastAsia="Calibri" w:cs="Times New Roman"/>
          <w:i/>
        </w:rPr>
        <w:t xml:space="preserve">[If the beneficiary holds only one failed </w:t>
      </w:r>
      <w:r w:rsidR="00D251D3" w:rsidRPr="003D5D4C">
        <w:rPr>
          <w:rFonts w:eastAsia="Calibri" w:cs="Times New Roman"/>
          <w:i/>
        </w:rPr>
        <w:t>Part 6</w:t>
      </w:r>
      <w:r w:rsidRPr="003D5D4C">
        <w:rPr>
          <w:rFonts w:eastAsia="Calibri" w:cs="Times New Roman"/>
          <w:i/>
        </w:rPr>
        <w:t>A product offered by the superannuation entity, include the following paragraph]</w:t>
      </w:r>
    </w:p>
    <w:p w14:paraId="42395CCA" w14:textId="77777777" w:rsidR="00811EE1" w:rsidRPr="003D5D4C" w:rsidRDefault="00811EE1" w:rsidP="00811EE1">
      <w:pPr>
        <w:shd w:val="clear" w:color="auto" w:fill="FFFFFF"/>
        <w:spacing w:before="120" w:after="160"/>
        <w:rPr>
          <w:rFonts w:eastAsia="Calibri" w:cs="Times New Roman"/>
          <w:b/>
          <w:bCs/>
        </w:rPr>
      </w:pPr>
      <w:r w:rsidRPr="003D5D4C">
        <w:rPr>
          <w:rFonts w:eastAsia="Calibri" w:cs="Times New Roman"/>
          <w:b/>
          <w:bCs/>
        </w:rPr>
        <w:t xml:space="preserve">Your superannuation </w:t>
      </w:r>
      <w:r w:rsidRPr="003D5D4C">
        <w:rPr>
          <w:rFonts w:eastAsia="Calibri" w:cs="Times New Roman"/>
          <w:b/>
          <w:bCs/>
          <w:iCs/>
        </w:rPr>
        <w:t>investment option</w:t>
      </w:r>
      <w:r w:rsidRPr="003D5D4C">
        <w:rPr>
          <w:rFonts w:eastAsia="Calibri" w:cs="Times New Roman"/>
          <w:b/>
          <w:bCs/>
        </w:rPr>
        <w:t xml:space="preserve"> </w:t>
      </w:r>
      <w:r w:rsidRPr="003D5D4C">
        <w:rPr>
          <w:rFonts w:eastAsia="Calibri" w:cs="Times New Roman"/>
          <w:b/>
          <w:bCs/>
          <w:i/>
          <w:iCs/>
        </w:rPr>
        <w:t xml:space="preserve">[insert the name of the superannuation entity and the name of the </w:t>
      </w:r>
      <w:r w:rsidR="00D251D3" w:rsidRPr="003D5D4C">
        <w:rPr>
          <w:rFonts w:eastAsia="Calibri" w:cs="Times New Roman"/>
          <w:b/>
          <w:bCs/>
          <w:i/>
          <w:iCs/>
        </w:rPr>
        <w:t>Part 6</w:t>
      </w:r>
      <w:r w:rsidRPr="003D5D4C">
        <w:rPr>
          <w:rFonts w:eastAsia="Calibri" w:cs="Times New Roman"/>
          <w:b/>
          <w:bCs/>
          <w:i/>
          <w:iCs/>
        </w:rPr>
        <w:t>A product]</w:t>
      </w:r>
      <w:r w:rsidRPr="003D5D4C">
        <w:rPr>
          <w:rFonts w:eastAsia="Calibri" w:cs="Times New Roman"/>
          <w:b/>
          <w:bCs/>
        </w:rPr>
        <w:t xml:space="preserve"> has failed the annual performance test. You should think about moving your money to a different super </w:t>
      </w:r>
      <w:r w:rsidRPr="003D5D4C">
        <w:rPr>
          <w:rFonts w:eastAsia="Calibri" w:cs="Times New Roman"/>
          <w:b/>
          <w:bCs/>
          <w:iCs/>
        </w:rPr>
        <w:t xml:space="preserve">investment option </w:t>
      </w:r>
      <w:r w:rsidRPr="003D5D4C">
        <w:rPr>
          <w:rFonts w:eastAsia="Calibri" w:cs="Times New Roman"/>
          <w:b/>
          <w:bCs/>
        </w:rPr>
        <w:t>or fund.</w:t>
      </w:r>
    </w:p>
    <w:p w14:paraId="2DA98E85" w14:textId="77777777" w:rsidR="00811EE1" w:rsidRPr="003D5D4C" w:rsidRDefault="00811EE1" w:rsidP="00811EE1">
      <w:pPr>
        <w:spacing w:before="120" w:after="120"/>
        <w:rPr>
          <w:rFonts w:eastAsia="Calibri" w:cs="Times New Roman"/>
          <w:i/>
        </w:rPr>
      </w:pPr>
      <w:r w:rsidRPr="003D5D4C">
        <w:rPr>
          <w:rFonts w:eastAsia="Calibri" w:cs="Times New Roman"/>
          <w:i/>
        </w:rPr>
        <w:t xml:space="preserve">[If the beneficiary holds more than one failed </w:t>
      </w:r>
      <w:r w:rsidR="00D251D3" w:rsidRPr="003D5D4C">
        <w:rPr>
          <w:rFonts w:eastAsia="Calibri" w:cs="Times New Roman"/>
          <w:i/>
        </w:rPr>
        <w:t>Part 6</w:t>
      </w:r>
      <w:r w:rsidRPr="003D5D4C">
        <w:rPr>
          <w:rFonts w:eastAsia="Calibri" w:cs="Times New Roman"/>
          <w:i/>
        </w:rPr>
        <w:t>A product offered by the superannuation entity, include the following paragraph]</w:t>
      </w:r>
    </w:p>
    <w:p w14:paraId="5CCD55B0" w14:textId="77777777" w:rsidR="00811EE1" w:rsidRPr="003D5D4C" w:rsidRDefault="00811EE1" w:rsidP="00811EE1">
      <w:pPr>
        <w:shd w:val="clear" w:color="auto" w:fill="FFFFFF"/>
        <w:spacing w:before="120" w:after="160"/>
        <w:rPr>
          <w:rFonts w:eastAsia="Calibri" w:cs="Times New Roman"/>
          <w:b/>
          <w:bCs/>
        </w:rPr>
      </w:pPr>
      <w:r w:rsidRPr="003D5D4C">
        <w:rPr>
          <w:rFonts w:eastAsia="Calibri" w:cs="Times New Roman"/>
          <w:b/>
          <w:bCs/>
        </w:rPr>
        <w:t xml:space="preserve">You have multiple superannuation </w:t>
      </w:r>
      <w:r w:rsidRPr="003D5D4C">
        <w:rPr>
          <w:rFonts w:eastAsia="Calibri" w:cs="Times New Roman"/>
          <w:b/>
          <w:bCs/>
          <w:iCs/>
        </w:rPr>
        <w:t>investment options</w:t>
      </w:r>
      <w:r w:rsidRPr="003D5D4C">
        <w:rPr>
          <w:rFonts w:eastAsia="Calibri" w:cs="Times New Roman"/>
          <w:b/>
          <w:bCs/>
        </w:rPr>
        <w:t xml:space="preserve"> in </w:t>
      </w:r>
      <w:r w:rsidRPr="003D5D4C">
        <w:rPr>
          <w:rFonts w:eastAsia="Calibri" w:cs="Times New Roman"/>
          <w:b/>
          <w:bCs/>
          <w:i/>
          <w:iCs/>
        </w:rPr>
        <w:t>[insert the name of the superannuation entity]</w:t>
      </w:r>
      <w:r w:rsidRPr="003D5D4C">
        <w:rPr>
          <w:rFonts w:eastAsia="Calibri" w:cs="Times New Roman"/>
          <w:b/>
          <w:bCs/>
        </w:rPr>
        <w:t xml:space="preserve"> that have failed </w:t>
      </w:r>
      <w:r w:rsidRPr="003D5D4C">
        <w:rPr>
          <w:rFonts w:eastAsia="Calibri" w:cs="Times New Roman"/>
          <w:b/>
        </w:rPr>
        <w:t>the</w:t>
      </w:r>
      <w:r w:rsidRPr="003D5D4C">
        <w:rPr>
          <w:rFonts w:eastAsia="Calibri" w:cs="Times New Roman"/>
          <w:b/>
          <w:bCs/>
        </w:rPr>
        <w:t xml:space="preserve"> annual performance test. You should think about moving your money to a different super </w:t>
      </w:r>
      <w:r w:rsidRPr="003D5D4C">
        <w:rPr>
          <w:rFonts w:eastAsia="Calibri" w:cs="Times New Roman"/>
          <w:b/>
          <w:bCs/>
          <w:iCs/>
        </w:rPr>
        <w:t xml:space="preserve">investment option </w:t>
      </w:r>
      <w:r w:rsidRPr="003D5D4C">
        <w:rPr>
          <w:rFonts w:eastAsia="Calibri" w:cs="Times New Roman"/>
          <w:b/>
          <w:bCs/>
        </w:rPr>
        <w:t>or fund.</w:t>
      </w:r>
    </w:p>
    <w:p w14:paraId="4C5D24D1" w14:textId="77777777" w:rsidR="00811EE1" w:rsidRPr="003D5D4C" w:rsidRDefault="00811EE1" w:rsidP="00811EE1">
      <w:pPr>
        <w:spacing w:before="120" w:after="120"/>
        <w:rPr>
          <w:rFonts w:eastAsia="Calibri" w:cs="Times New Roman"/>
          <w:iCs/>
        </w:rPr>
      </w:pPr>
      <w:r w:rsidRPr="003D5D4C">
        <w:rPr>
          <w:rFonts w:eastAsia="Calibri" w:cs="Times New Roman"/>
          <w:iCs/>
        </w:rPr>
        <w:t>The Australian Government tests your super fund’s investment options every year to make sure your savings are well managed for when you retire. Funds that fail this test are required by law to tell you.</w:t>
      </w:r>
    </w:p>
    <w:p w14:paraId="2C5A44A3"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iCs/>
        </w:rPr>
        <w:t xml:space="preserve">You had </w:t>
      </w:r>
      <w:r w:rsidRPr="003D5D4C">
        <w:rPr>
          <w:rFonts w:eastAsia="Calibri" w:cs="Times New Roman"/>
        </w:rPr>
        <w:t>$</w:t>
      </w:r>
      <w:r w:rsidRPr="003D5D4C">
        <w:rPr>
          <w:rFonts w:eastAsia="Calibri" w:cs="Times New Roman"/>
          <w:i/>
          <w:iCs/>
        </w:rPr>
        <w:t xml:space="preserve">[insert the beneficiary’s total account balance for all </w:t>
      </w:r>
      <w:r w:rsidRPr="003D5D4C">
        <w:rPr>
          <w:rFonts w:eastAsia="Calibri" w:cs="Times New Roman"/>
          <w:i/>
        </w:rPr>
        <w:t>investment options</w:t>
      </w:r>
      <w:r w:rsidRPr="003D5D4C">
        <w:rPr>
          <w:rFonts w:eastAsia="Calibri" w:cs="Times New Roman"/>
          <w:i/>
          <w:iCs/>
        </w:rPr>
        <w:t xml:space="preserve"> offered by the superannuation entity as at 30 June in the calendar year in which the date of this letter falls]</w:t>
      </w:r>
      <w:r w:rsidRPr="003D5D4C">
        <w:rPr>
          <w:rFonts w:eastAsia="Calibri" w:cs="Times New Roman"/>
        </w:rPr>
        <w:t xml:space="preserve"> invested in </w:t>
      </w:r>
      <w:r w:rsidRPr="003D5D4C">
        <w:rPr>
          <w:rFonts w:eastAsia="Calibri" w:cs="Times New Roman"/>
          <w:i/>
          <w:iCs/>
        </w:rPr>
        <w:t>[insert the name of the superannuation entity]</w:t>
      </w:r>
      <w:r w:rsidRPr="003D5D4C">
        <w:rPr>
          <w:rFonts w:eastAsia="Calibri" w:cs="Times New Roman"/>
        </w:rPr>
        <w:t xml:space="preserve"> on 30 June</w:t>
      </w:r>
      <w:r w:rsidRPr="003D5D4C">
        <w:rPr>
          <w:rFonts w:eastAsia="Calibri" w:cs="Times New Roman"/>
          <w:i/>
          <w:iCs/>
        </w:rPr>
        <w:t xml:space="preserve"> [insert the calendar year in which the date of this letter falls]</w:t>
      </w:r>
      <w:r w:rsidRPr="003D5D4C">
        <w:rPr>
          <w:rFonts w:eastAsia="Calibri" w:cs="Times New Roman"/>
        </w:rPr>
        <w:t xml:space="preserve"> and paid a total of $</w:t>
      </w:r>
      <w:r w:rsidRPr="003D5D4C">
        <w:rPr>
          <w:rFonts w:eastAsia="Calibri" w:cs="Times New Roman"/>
          <w:i/>
          <w:iCs/>
        </w:rPr>
        <w:t>[insert total fees and costs charged to the beneficiary in the relevant financial year, excluding insurance fees]</w:t>
      </w:r>
      <w:r w:rsidRPr="003D5D4C">
        <w:rPr>
          <w:rFonts w:eastAsia="Calibri" w:cs="Times New Roman"/>
        </w:rPr>
        <w:t xml:space="preserve"> in fees in the last financial year. You had the following amount invested in failing </w:t>
      </w:r>
      <w:r w:rsidRPr="003D5D4C">
        <w:rPr>
          <w:rFonts w:eastAsia="Calibri" w:cs="Times New Roman"/>
          <w:iCs/>
        </w:rPr>
        <w:t>investment options</w:t>
      </w:r>
      <w:r w:rsidRPr="003D5D4C">
        <w:rPr>
          <w:rFonts w:eastAsia="Calibri" w:cs="Times New Roman"/>
        </w:rPr>
        <w:t xml:space="preserve">: </w:t>
      </w:r>
      <w:r w:rsidRPr="003D5D4C">
        <w:rPr>
          <w:rFonts w:eastAsia="Calibri" w:cs="Times New Roman"/>
          <w:i/>
          <w:iCs/>
        </w:rPr>
        <w:t xml:space="preserve">[insert a bullet list with the name of each failed </w:t>
      </w:r>
      <w:r w:rsidR="00D251D3" w:rsidRPr="003D5D4C">
        <w:rPr>
          <w:rFonts w:eastAsia="Calibri" w:cs="Times New Roman"/>
          <w:i/>
          <w:iCs/>
        </w:rPr>
        <w:t>Part 6</w:t>
      </w:r>
      <w:r w:rsidRPr="003D5D4C">
        <w:rPr>
          <w:rFonts w:eastAsia="Calibri" w:cs="Times New Roman"/>
          <w:i/>
          <w:iCs/>
        </w:rPr>
        <w:t xml:space="preserve">A product, followed by the beneficiary’s account balance for that </w:t>
      </w:r>
      <w:r w:rsidR="00D251D3" w:rsidRPr="003D5D4C">
        <w:rPr>
          <w:rFonts w:eastAsia="Calibri" w:cs="Times New Roman"/>
          <w:i/>
          <w:iCs/>
        </w:rPr>
        <w:t>Part 6</w:t>
      </w:r>
      <w:r w:rsidRPr="003D5D4C">
        <w:rPr>
          <w:rFonts w:eastAsia="Calibri" w:cs="Times New Roman"/>
          <w:i/>
          <w:iCs/>
        </w:rPr>
        <w:t>A product as at 30 June in the calendar year in which the date of this letter falls, in parentheses]</w:t>
      </w:r>
    </w:p>
    <w:p w14:paraId="1E07EB79" w14:textId="77777777" w:rsidR="00811EE1" w:rsidRPr="003D5D4C" w:rsidRDefault="00811EE1" w:rsidP="00811EE1">
      <w:pPr>
        <w:spacing w:before="120" w:after="120"/>
        <w:rPr>
          <w:rFonts w:eastAsia="Calibri" w:cs="Times New Roman"/>
          <w:i/>
        </w:rPr>
      </w:pPr>
      <w:r w:rsidRPr="003D5D4C">
        <w:rPr>
          <w:rFonts w:eastAsia="Calibri" w:cs="Times New Roman"/>
          <w:i/>
        </w:rPr>
        <w:t xml:space="preserve">[If the bullet list above has one failed </w:t>
      </w:r>
      <w:r w:rsidR="00D251D3" w:rsidRPr="003D5D4C">
        <w:rPr>
          <w:rFonts w:eastAsia="Calibri" w:cs="Times New Roman"/>
          <w:i/>
        </w:rPr>
        <w:t>Part 6</w:t>
      </w:r>
      <w:r w:rsidRPr="003D5D4C">
        <w:rPr>
          <w:rFonts w:eastAsia="Calibri" w:cs="Times New Roman"/>
          <w:i/>
        </w:rPr>
        <w:t>A product, include the following paragraph]</w:t>
      </w:r>
    </w:p>
    <w:p w14:paraId="30E134A9"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b/>
          <w:bCs/>
        </w:rPr>
        <w:t xml:space="preserve">Your money will stay in this failing investment option in </w:t>
      </w:r>
      <w:r w:rsidRPr="003D5D4C">
        <w:rPr>
          <w:rFonts w:eastAsia="Calibri" w:cs="Times New Roman"/>
          <w:b/>
          <w:bCs/>
          <w:i/>
          <w:iCs/>
        </w:rPr>
        <w:t>[insert the name of the superannuation entity]</w:t>
      </w:r>
      <w:r w:rsidRPr="003D5D4C">
        <w:rPr>
          <w:rFonts w:eastAsia="Calibri" w:cs="Times New Roman"/>
        </w:rPr>
        <w:t xml:space="preserve"> </w:t>
      </w:r>
      <w:r w:rsidRPr="003D5D4C">
        <w:rPr>
          <w:rFonts w:eastAsia="Calibri" w:cs="Times New Roman"/>
          <w:b/>
          <w:bCs/>
        </w:rPr>
        <w:t>unless you move it.</w:t>
      </w:r>
    </w:p>
    <w:p w14:paraId="4AADF79C" w14:textId="77777777" w:rsidR="00811EE1" w:rsidRPr="003D5D4C" w:rsidRDefault="00811EE1" w:rsidP="00811EE1">
      <w:pPr>
        <w:spacing w:before="120" w:after="120"/>
        <w:rPr>
          <w:rFonts w:eastAsia="Calibri" w:cs="Times New Roman"/>
          <w:i/>
        </w:rPr>
      </w:pPr>
      <w:r w:rsidRPr="003D5D4C">
        <w:rPr>
          <w:rFonts w:eastAsia="Calibri" w:cs="Times New Roman"/>
          <w:i/>
        </w:rPr>
        <w:t xml:space="preserve">[If the bullet list above has more than one failed </w:t>
      </w:r>
      <w:r w:rsidR="00D251D3" w:rsidRPr="003D5D4C">
        <w:rPr>
          <w:rFonts w:eastAsia="Calibri" w:cs="Times New Roman"/>
          <w:i/>
        </w:rPr>
        <w:t>Part 6</w:t>
      </w:r>
      <w:r w:rsidRPr="003D5D4C">
        <w:rPr>
          <w:rFonts w:eastAsia="Calibri" w:cs="Times New Roman"/>
          <w:i/>
        </w:rPr>
        <w:t>A product, include the following paragraph]</w:t>
      </w:r>
    </w:p>
    <w:p w14:paraId="0F00E8B4"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b/>
          <w:bCs/>
        </w:rPr>
        <w:t xml:space="preserve">Your money will stay in these failing </w:t>
      </w:r>
      <w:r w:rsidRPr="003D5D4C">
        <w:rPr>
          <w:rFonts w:eastAsia="Calibri" w:cs="Times New Roman"/>
          <w:b/>
          <w:bCs/>
          <w:iCs/>
        </w:rPr>
        <w:t>investment options</w:t>
      </w:r>
      <w:r w:rsidRPr="003D5D4C">
        <w:rPr>
          <w:rFonts w:eastAsia="Calibri" w:cs="Times New Roman"/>
          <w:b/>
          <w:bCs/>
        </w:rPr>
        <w:t xml:space="preserve"> in </w:t>
      </w:r>
      <w:r w:rsidRPr="003D5D4C">
        <w:rPr>
          <w:rFonts w:eastAsia="Calibri" w:cs="Times New Roman"/>
          <w:b/>
          <w:bCs/>
          <w:i/>
          <w:iCs/>
        </w:rPr>
        <w:t>[insert the name of the superannuation entity]</w:t>
      </w:r>
      <w:r w:rsidRPr="003D5D4C">
        <w:rPr>
          <w:rFonts w:eastAsia="Calibri" w:cs="Times New Roman"/>
        </w:rPr>
        <w:t xml:space="preserve"> </w:t>
      </w:r>
      <w:r w:rsidRPr="003D5D4C">
        <w:rPr>
          <w:rFonts w:eastAsia="Calibri" w:cs="Times New Roman"/>
          <w:b/>
          <w:bCs/>
        </w:rPr>
        <w:t>unless you move it.</w:t>
      </w:r>
    </w:p>
    <w:p w14:paraId="30EBEA61"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rPr>
        <w:t xml:space="preserve">Finding a better super </w:t>
      </w:r>
      <w:r w:rsidRPr="003D5D4C">
        <w:rPr>
          <w:rFonts w:eastAsia="Calibri" w:cs="Times New Roman"/>
          <w:iCs/>
        </w:rPr>
        <w:t>investment option</w:t>
      </w:r>
      <w:r w:rsidRPr="003D5D4C">
        <w:rPr>
          <w:rFonts w:eastAsia="Calibri" w:cs="Times New Roman"/>
        </w:rPr>
        <w:t xml:space="preserve"> could be worthwhile for your future. You could save thousands of dollars more for when you retire by switching to a better </w:t>
      </w:r>
      <w:r w:rsidRPr="003D5D4C">
        <w:rPr>
          <w:rFonts w:eastAsia="Calibri" w:cs="Times New Roman"/>
          <w:iCs/>
        </w:rPr>
        <w:t xml:space="preserve">investment option </w:t>
      </w:r>
      <w:r w:rsidRPr="003D5D4C">
        <w:rPr>
          <w:rFonts w:eastAsia="Calibri" w:cs="Times New Roman"/>
        </w:rPr>
        <w:t>or super fund. Super is a long</w:t>
      </w:r>
      <w:r w:rsidR="00A70ACD" w:rsidRPr="003D5D4C">
        <w:rPr>
          <w:rFonts w:eastAsia="Calibri" w:cs="Times New Roman"/>
        </w:rPr>
        <w:noBreakHyphen/>
      </w:r>
      <w:r w:rsidRPr="003D5D4C">
        <w:rPr>
          <w:rFonts w:eastAsia="Calibri" w:cs="Times New Roman"/>
        </w:rPr>
        <w:t xml:space="preserve">term investment. By earning 1% more each year for 30 years, you </w:t>
      </w:r>
      <w:r w:rsidRPr="003D5D4C">
        <w:rPr>
          <w:rFonts w:eastAsia="Calibri" w:cs="Times New Roman"/>
        </w:rPr>
        <w:lastRenderedPageBreak/>
        <w:t>could retire with 20% more in savings; for example, your super could increase from $100,000 to $120,000.</w:t>
      </w:r>
    </w:p>
    <w:p w14:paraId="658B4C6D"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rPr>
        <w:t xml:space="preserve">This letter does not take your personal situation into account. Before switching </w:t>
      </w:r>
      <w:r w:rsidRPr="003D5D4C">
        <w:rPr>
          <w:rFonts w:eastAsia="Calibri" w:cs="Times New Roman"/>
          <w:iCs/>
        </w:rPr>
        <w:t>investment options</w:t>
      </w:r>
      <w:r w:rsidRPr="003D5D4C">
        <w:rPr>
          <w:rFonts w:eastAsia="Calibri" w:cs="Times New Roman"/>
        </w:rPr>
        <w:t>, you should think about your investment plans and personal situation, such as investment goals and values, as well as insurance, fee and tax impacts. You may wish to speak to a financial adviser about your personal circumstances if you are unsure.</w:t>
      </w:r>
    </w:p>
    <w:p w14:paraId="2BFFCC7D"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b/>
          <w:bCs/>
        </w:rPr>
        <w:t>Your questions answered</w:t>
      </w:r>
    </w:p>
    <w:p w14:paraId="0F54978D"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b/>
          <w:bCs/>
        </w:rPr>
        <w:t>What is the annual performance test?</w:t>
      </w:r>
    </w:p>
    <w:p w14:paraId="3B46C248"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 xml:space="preserve">The annual government test checks how much your super </w:t>
      </w:r>
      <w:r w:rsidRPr="003D5D4C">
        <w:rPr>
          <w:rFonts w:eastAsia="Calibri" w:cs="Times New Roman"/>
          <w:iCs/>
        </w:rPr>
        <w:t>investment option</w:t>
      </w:r>
      <w:r w:rsidRPr="003D5D4C">
        <w:rPr>
          <w:rFonts w:eastAsia="Calibri" w:cs="Times New Roman"/>
        </w:rPr>
        <w:t xml:space="preserve"> has earned for you (after costs) over time. It compares your </w:t>
      </w:r>
      <w:r w:rsidRPr="003D5D4C">
        <w:rPr>
          <w:rFonts w:eastAsia="Calibri" w:cs="Times New Roman"/>
          <w:iCs/>
        </w:rPr>
        <w:t>investment option</w:t>
      </w:r>
      <w:r w:rsidRPr="003D5D4C">
        <w:rPr>
          <w:rFonts w:eastAsia="Calibri" w:cs="Times New Roman"/>
        </w:rPr>
        <w:t xml:space="preserve">’s earnings with those of a similar </w:t>
      </w:r>
      <w:r w:rsidRPr="003D5D4C">
        <w:rPr>
          <w:rFonts w:eastAsia="Calibri" w:cs="Times New Roman"/>
          <w:iCs/>
        </w:rPr>
        <w:t>investment option</w:t>
      </w:r>
      <w:r w:rsidRPr="003D5D4C">
        <w:rPr>
          <w:rFonts w:eastAsia="Calibri" w:cs="Times New Roman"/>
        </w:rPr>
        <w:t xml:space="preserve"> over the same period. The test is done at the </w:t>
      </w:r>
      <w:r w:rsidRPr="003D5D4C">
        <w:rPr>
          <w:rFonts w:eastAsia="Calibri" w:cs="Times New Roman"/>
          <w:iCs/>
        </w:rPr>
        <w:t>investment option</w:t>
      </w:r>
      <w:r w:rsidRPr="003D5D4C">
        <w:rPr>
          <w:rFonts w:eastAsia="Calibri" w:cs="Times New Roman"/>
        </w:rPr>
        <w:t xml:space="preserve"> level. There may be a range of fees associated with an </w:t>
      </w:r>
      <w:r w:rsidRPr="003D5D4C">
        <w:rPr>
          <w:rFonts w:eastAsia="Calibri" w:cs="Times New Roman"/>
          <w:iCs/>
        </w:rPr>
        <w:t>investment option</w:t>
      </w:r>
      <w:r w:rsidRPr="003D5D4C">
        <w:rPr>
          <w:rFonts w:eastAsia="Calibri" w:cs="Times New Roman"/>
        </w:rPr>
        <w:t>. The test does not account for your personal situation, fees or tax.</w:t>
      </w:r>
    </w:p>
    <w:p w14:paraId="249817A1"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Super funds with investment options that fail this test are required to tell you.</w:t>
      </w:r>
    </w:p>
    <w:p w14:paraId="79CF3C4C"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You can find out more about super at </w:t>
      </w:r>
      <w:r w:rsidRPr="003D5D4C">
        <w:rPr>
          <w:rFonts w:eastAsia="Calibri" w:cs="Times New Roman"/>
          <w:i/>
          <w:iCs/>
        </w:rPr>
        <w:t>moneysmart.gov.au</w:t>
      </w:r>
      <w:r w:rsidRPr="003D5D4C">
        <w:rPr>
          <w:rFonts w:eastAsia="Calibri" w:cs="Times New Roman"/>
        </w:rPr>
        <w:t>.</w:t>
      </w:r>
    </w:p>
    <w:p w14:paraId="1E493462" w14:textId="77777777" w:rsidR="00811EE1" w:rsidRPr="003D5D4C" w:rsidRDefault="00811EE1" w:rsidP="00811EE1">
      <w:pPr>
        <w:shd w:val="clear" w:color="auto" w:fill="FFFFFF"/>
        <w:spacing w:before="120" w:after="120"/>
        <w:rPr>
          <w:rFonts w:eastAsia="Calibri" w:cs="Times New Roman"/>
          <w:b/>
          <w:bCs/>
        </w:rPr>
      </w:pPr>
      <w:r w:rsidRPr="003D5D4C">
        <w:rPr>
          <w:rFonts w:eastAsia="Calibri" w:cs="Times New Roman"/>
          <w:b/>
          <w:bCs/>
        </w:rPr>
        <w:t xml:space="preserve">What things should I consider when deciding to switch super </w:t>
      </w:r>
      <w:r w:rsidRPr="003D5D4C">
        <w:rPr>
          <w:rFonts w:eastAsia="Calibri" w:cs="Times New Roman"/>
          <w:b/>
          <w:bCs/>
          <w:iCs/>
        </w:rPr>
        <w:t>investment options or funds</w:t>
      </w:r>
      <w:r w:rsidRPr="003D5D4C">
        <w:rPr>
          <w:rFonts w:eastAsia="Calibri" w:cs="Times New Roman"/>
          <w:b/>
          <w:bCs/>
        </w:rPr>
        <w:t>?</w:t>
      </w:r>
    </w:p>
    <w:p w14:paraId="796B6858"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The performance test does not take into account your individual circumstances. You should think about your investment plans and personal situation, such as investment goals and values, as well as insurance, fees and tax impacts, when switching. You may wish to speak to a financial adviser about your personal circumstances.</w:t>
      </w:r>
    </w:p>
    <w:p w14:paraId="288EE285" w14:textId="77777777" w:rsidR="00811EE1" w:rsidRPr="003D5D4C" w:rsidRDefault="00811EE1" w:rsidP="00811EE1">
      <w:pPr>
        <w:shd w:val="clear" w:color="auto" w:fill="FFFFFF"/>
        <w:spacing w:before="120" w:after="120"/>
        <w:rPr>
          <w:rFonts w:eastAsia="Calibri" w:cs="Times New Roman"/>
          <w:b/>
          <w:bCs/>
        </w:rPr>
      </w:pPr>
      <w:r w:rsidRPr="003D5D4C">
        <w:rPr>
          <w:rFonts w:eastAsia="Calibri" w:cs="Times New Roman"/>
          <w:b/>
          <w:bCs/>
        </w:rPr>
        <w:t xml:space="preserve">How can I find a new super </w:t>
      </w:r>
      <w:r w:rsidRPr="003D5D4C">
        <w:rPr>
          <w:rFonts w:eastAsia="Calibri" w:cs="Times New Roman"/>
          <w:b/>
          <w:bCs/>
          <w:iCs/>
        </w:rPr>
        <w:t>investment option or fund</w:t>
      </w:r>
      <w:r w:rsidRPr="003D5D4C">
        <w:rPr>
          <w:rFonts w:eastAsia="Calibri" w:cs="Times New Roman"/>
          <w:b/>
          <w:bCs/>
        </w:rPr>
        <w:t>?</w:t>
      </w:r>
    </w:p>
    <w:p w14:paraId="0C94C72F"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You may find it helpful to use the Australian Government’s YourSuper comparison tool. You can use the tool to compare the fees and earnings of simple, low</w:t>
      </w:r>
      <w:r w:rsidR="00A70ACD" w:rsidRPr="003D5D4C">
        <w:rPr>
          <w:rFonts w:eastAsia="Calibri" w:cs="Times New Roman"/>
        </w:rPr>
        <w:noBreakHyphen/>
      </w:r>
      <w:r w:rsidRPr="003D5D4C">
        <w:rPr>
          <w:rFonts w:eastAsia="Calibri" w:cs="Times New Roman"/>
        </w:rPr>
        <w:t xml:space="preserve">cost </w:t>
      </w:r>
      <w:r w:rsidRPr="003D5D4C">
        <w:rPr>
          <w:rFonts w:eastAsia="Calibri" w:cs="Times New Roman"/>
          <w:i/>
          <w:iCs/>
        </w:rPr>
        <w:t xml:space="preserve">MySuper </w:t>
      </w:r>
      <w:r w:rsidRPr="003D5D4C">
        <w:rPr>
          <w:rFonts w:eastAsia="Calibri" w:cs="Times New Roman"/>
          <w:i/>
        </w:rPr>
        <w:t>investment options</w:t>
      </w:r>
      <w:r w:rsidRPr="003D5D4C">
        <w:rPr>
          <w:rFonts w:eastAsia="Calibri" w:cs="Times New Roman"/>
        </w:rPr>
        <w:t xml:space="preserve">. Note that the </w:t>
      </w:r>
      <w:r w:rsidRPr="003D5D4C">
        <w:rPr>
          <w:rFonts w:eastAsia="Calibri" w:cs="Times New Roman"/>
          <w:iCs/>
        </w:rPr>
        <w:t>investment options</w:t>
      </w:r>
      <w:r w:rsidRPr="003D5D4C">
        <w:rPr>
          <w:rFonts w:eastAsia="Calibri" w:cs="Times New Roman"/>
        </w:rPr>
        <w:t xml:space="preserve"> listed above are </w:t>
      </w:r>
      <w:r w:rsidRPr="003D5D4C">
        <w:rPr>
          <w:rFonts w:eastAsia="Calibri" w:cs="Times New Roman"/>
          <w:i/>
          <w:iCs/>
        </w:rPr>
        <w:t>not</w:t>
      </w:r>
      <w:r w:rsidRPr="003D5D4C">
        <w:rPr>
          <w:rFonts w:eastAsia="Calibri" w:cs="Times New Roman"/>
        </w:rPr>
        <w:t xml:space="preserve"> MySuper </w:t>
      </w:r>
      <w:r w:rsidRPr="003D5D4C">
        <w:rPr>
          <w:rFonts w:eastAsia="Calibri" w:cs="Times New Roman"/>
          <w:iCs/>
        </w:rPr>
        <w:t>investment options</w:t>
      </w:r>
      <w:r w:rsidRPr="003D5D4C">
        <w:rPr>
          <w:rFonts w:eastAsia="Calibri" w:cs="Times New Roman"/>
        </w:rPr>
        <w:t xml:space="preserve">. You should think about whether a MySuper </w:t>
      </w:r>
      <w:r w:rsidRPr="003D5D4C">
        <w:rPr>
          <w:rFonts w:eastAsia="Calibri" w:cs="Times New Roman"/>
          <w:iCs/>
        </w:rPr>
        <w:t>investment option</w:t>
      </w:r>
      <w:r w:rsidRPr="003D5D4C">
        <w:rPr>
          <w:rFonts w:eastAsia="Calibri" w:cs="Times New Roman"/>
        </w:rPr>
        <w:t xml:space="preserve"> is right for you. Go to</w:t>
      </w:r>
      <w:r w:rsidRPr="003D5D4C">
        <w:rPr>
          <w:rFonts w:eastAsia="Calibri" w:cs="Times New Roman"/>
          <w:i/>
          <w:iCs/>
        </w:rPr>
        <w:t xml:space="preserve"> ato.gov.au/yoursuper</w:t>
      </w:r>
      <w:r w:rsidRPr="003D5D4C">
        <w:rPr>
          <w:rFonts w:eastAsia="Calibri" w:cs="Times New Roman"/>
        </w:rPr>
        <w:t xml:space="preserve"> or use the QR code below:</w:t>
      </w:r>
    </w:p>
    <w:p w14:paraId="42AA18C3" w14:textId="77777777" w:rsidR="00811EE1" w:rsidRPr="003D5D4C" w:rsidRDefault="00811EE1" w:rsidP="00811EE1">
      <w:pPr>
        <w:shd w:val="clear" w:color="auto" w:fill="FFFFFF"/>
        <w:spacing w:before="120" w:after="120"/>
        <w:rPr>
          <w:rFonts w:eastAsia="Calibri" w:cs="Times New Roman"/>
          <w:i/>
          <w:iCs/>
        </w:rPr>
      </w:pPr>
      <w:r w:rsidRPr="003D5D4C">
        <w:rPr>
          <w:rFonts w:eastAsia="Calibri" w:cs="Times New Roman"/>
          <w:i/>
          <w:iCs/>
        </w:rPr>
        <w:t>[insert QR code for ato.gov.au/yoursuper]</w:t>
      </w:r>
    </w:p>
    <w:p w14:paraId="1284BDA5" w14:textId="77777777" w:rsidR="00811EE1" w:rsidRPr="003D5D4C" w:rsidRDefault="00811EE1" w:rsidP="00811EE1">
      <w:pPr>
        <w:shd w:val="clear" w:color="auto" w:fill="FFFFFF"/>
        <w:spacing w:before="120" w:after="120"/>
        <w:rPr>
          <w:rFonts w:eastAsia="Calibri" w:cs="Times New Roman"/>
          <w:b/>
          <w:bCs/>
        </w:rPr>
      </w:pPr>
      <w:r w:rsidRPr="003D5D4C">
        <w:rPr>
          <w:rFonts w:eastAsia="Calibri" w:cs="Times New Roman"/>
          <w:b/>
          <w:bCs/>
        </w:rPr>
        <w:t>How do I consolidate my super?</w:t>
      </w:r>
    </w:p>
    <w:p w14:paraId="096C1D64"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If you open an account with a new super fund, contact the new fund or use myGov to consolidate your money, saving on fees by avoiding charges on multiple accounts.</w:t>
      </w:r>
    </w:p>
    <w:p w14:paraId="13B02C85" w14:textId="77777777" w:rsidR="00811EE1" w:rsidRPr="003D5D4C" w:rsidRDefault="00811EE1" w:rsidP="00811EE1">
      <w:pPr>
        <w:shd w:val="clear" w:color="auto" w:fill="FFFFFF"/>
        <w:spacing w:before="120" w:after="120"/>
        <w:rPr>
          <w:rFonts w:eastAsia="Calibri" w:cs="Times New Roman"/>
          <w:b/>
          <w:bCs/>
        </w:rPr>
      </w:pPr>
      <w:r w:rsidRPr="003D5D4C">
        <w:rPr>
          <w:rFonts w:eastAsia="Calibri" w:cs="Times New Roman"/>
          <w:b/>
          <w:bCs/>
        </w:rPr>
        <w:t xml:space="preserve">What happens if a super </w:t>
      </w:r>
      <w:r w:rsidRPr="003D5D4C">
        <w:rPr>
          <w:rFonts w:eastAsia="Calibri" w:cs="Times New Roman"/>
          <w:b/>
          <w:bCs/>
          <w:iCs/>
        </w:rPr>
        <w:t>investment option</w:t>
      </w:r>
      <w:r w:rsidRPr="003D5D4C">
        <w:rPr>
          <w:rFonts w:eastAsia="Calibri" w:cs="Times New Roman"/>
          <w:b/>
          <w:bCs/>
        </w:rPr>
        <w:t xml:space="preserve"> fails two or more years in a row?</w:t>
      </w:r>
    </w:p>
    <w:p w14:paraId="68A89DB7"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 xml:space="preserve">If a super </w:t>
      </w:r>
      <w:r w:rsidRPr="003D5D4C">
        <w:rPr>
          <w:rFonts w:eastAsia="Calibri" w:cs="Times New Roman"/>
          <w:iCs/>
        </w:rPr>
        <w:t>investment option</w:t>
      </w:r>
      <w:r w:rsidRPr="003D5D4C">
        <w:rPr>
          <w:rFonts w:eastAsia="Calibri" w:cs="Times New Roman"/>
        </w:rPr>
        <w:t xml:space="preserve"> fails the test at least two years in a row, it cannot accept new members until it passes a future test. You should think about the impact of this on the </w:t>
      </w:r>
      <w:r w:rsidRPr="003D5D4C">
        <w:rPr>
          <w:rFonts w:eastAsia="Calibri" w:cs="Times New Roman"/>
          <w:iCs/>
        </w:rPr>
        <w:t>investment option</w:t>
      </w:r>
      <w:r w:rsidRPr="003D5D4C">
        <w:rPr>
          <w:rFonts w:eastAsia="Calibri" w:cs="Times New Roman"/>
        </w:rPr>
        <w:t>’s ability to improve.</w:t>
      </w:r>
    </w:p>
    <w:p w14:paraId="27B7668D" w14:textId="77777777" w:rsidR="00811EE1" w:rsidRPr="003D5D4C" w:rsidRDefault="00811EE1" w:rsidP="00811EE1">
      <w:pPr>
        <w:spacing w:before="120" w:after="120"/>
        <w:rPr>
          <w:rFonts w:eastAsia="Calibri" w:cs="Times New Roman"/>
        </w:rPr>
      </w:pPr>
      <w:r w:rsidRPr="003D5D4C">
        <w:rPr>
          <w:rFonts w:eastAsia="Calibri" w:cs="Times New Roman"/>
        </w:rPr>
        <w:t xml:space="preserve">Your money will stay in the failed super </w:t>
      </w:r>
      <w:r w:rsidRPr="003D5D4C">
        <w:rPr>
          <w:rFonts w:eastAsia="Calibri" w:cs="Times New Roman"/>
          <w:iCs/>
        </w:rPr>
        <w:t>investment option</w:t>
      </w:r>
      <w:r w:rsidRPr="003D5D4C">
        <w:rPr>
          <w:rFonts w:eastAsia="Calibri" w:cs="Times New Roman"/>
        </w:rPr>
        <w:t xml:space="preserve"> unless you move it.</w:t>
      </w:r>
    </w:p>
    <w:p w14:paraId="41E5E65F" w14:textId="77777777" w:rsidR="00811EE1" w:rsidRPr="003D5D4C" w:rsidRDefault="00811EE1" w:rsidP="00811EE1">
      <w:pPr>
        <w:spacing w:before="120" w:after="120" w:line="256" w:lineRule="auto"/>
        <w:rPr>
          <w:rFonts w:eastAsia="Calibri" w:cs="Times New Roman"/>
        </w:rPr>
      </w:pPr>
    </w:p>
    <w:p w14:paraId="2BC3985D" w14:textId="77777777" w:rsidR="00811EE1" w:rsidRPr="003D5D4C" w:rsidRDefault="00811EE1" w:rsidP="00811EE1">
      <w:pPr>
        <w:spacing w:after="160" w:line="256" w:lineRule="auto"/>
        <w:rPr>
          <w:rFonts w:eastAsia="Calibri" w:cs="Arial"/>
          <w:b/>
          <w:i/>
        </w:rPr>
      </w:pPr>
      <w:r w:rsidRPr="003D5D4C">
        <w:rPr>
          <w:rFonts w:eastAsia="Calibri" w:cs="Arial"/>
          <w:b/>
          <w:i/>
        </w:rPr>
        <w:t xml:space="preserve">[Use the following template if: one or more </w:t>
      </w:r>
      <w:r w:rsidR="00D251D3" w:rsidRPr="003D5D4C">
        <w:rPr>
          <w:rFonts w:eastAsia="Calibri" w:cs="Arial"/>
          <w:b/>
          <w:i/>
        </w:rPr>
        <w:t>Part 6</w:t>
      </w:r>
      <w:r w:rsidRPr="003D5D4C">
        <w:rPr>
          <w:rFonts w:eastAsia="Calibri" w:cs="Arial"/>
          <w:b/>
          <w:i/>
        </w:rPr>
        <w:t>A products are a trustee</w:t>
      </w:r>
      <w:r w:rsidR="00A70ACD" w:rsidRPr="003D5D4C">
        <w:rPr>
          <w:rFonts w:eastAsia="Calibri" w:cs="Arial"/>
          <w:b/>
          <w:i/>
        </w:rPr>
        <w:noBreakHyphen/>
      </w:r>
      <w:r w:rsidRPr="003D5D4C">
        <w:rPr>
          <w:rFonts w:eastAsia="Calibri" w:cs="Arial"/>
          <w:b/>
          <w:i/>
        </w:rPr>
        <w:t xml:space="preserve">directed product, the beneficiary accessed the product via a platform investment menu, and the conditions in </w:t>
      </w:r>
      <w:r w:rsidR="00D251D3" w:rsidRPr="003D5D4C">
        <w:rPr>
          <w:rFonts w:eastAsia="Calibri" w:cs="Arial"/>
          <w:b/>
          <w:i/>
        </w:rPr>
        <w:t>subsection 6</w:t>
      </w:r>
      <w:r w:rsidRPr="003D5D4C">
        <w:rPr>
          <w:rFonts w:eastAsia="Calibri" w:cs="Arial"/>
          <w:b/>
          <w:i/>
        </w:rPr>
        <w:t>0F(1) of the Act (2 consecutive fail assessments) are satisfied for these products]</w:t>
      </w:r>
    </w:p>
    <w:p w14:paraId="09B8F710" w14:textId="77777777" w:rsidR="00811EE1" w:rsidRPr="003D5D4C" w:rsidRDefault="00811EE1" w:rsidP="00811EE1">
      <w:pPr>
        <w:spacing w:before="120" w:after="120"/>
        <w:rPr>
          <w:rFonts w:eastAsia="Calibri" w:cs="Times New Roman"/>
          <w:i/>
        </w:rPr>
      </w:pPr>
      <w:r w:rsidRPr="003D5D4C">
        <w:rPr>
          <w:rFonts w:eastAsia="Calibri" w:cs="Times New Roman"/>
        </w:rPr>
        <w:t xml:space="preserve">Dear </w:t>
      </w:r>
      <w:r w:rsidRPr="003D5D4C">
        <w:rPr>
          <w:rFonts w:eastAsia="Calibri" w:cs="Times New Roman"/>
          <w:i/>
        </w:rPr>
        <w:t>[insert the name of the beneficiary of the superannuation entity],</w:t>
      </w:r>
    </w:p>
    <w:p w14:paraId="17EADB09" w14:textId="77777777" w:rsidR="00811EE1" w:rsidRPr="003D5D4C" w:rsidRDefault="00811EE1" w:rsidP="00811EE1">
      <w:pPr>
        <w:spacing w:before="120" w:after="120"/>
        <w:rPr>
          <w:rFonts w:eastAsia="Calibri" w:cs="Times New Roman"/>
          <w:i/>
        </w:rPr>
      </w:pPr>
      <w:r w:rsidRPr="003D5D4C">
        <w:rPr>
          <w:rFonts w:eastAsia="Calibri" w:cs="Times New Roman"/>
          <w:i/>
        </w:rPr>
        <w:lastRenderedPageBreak/>
        <w:t xml:space="preserve">[If the beneficiary holds only one failed </w:t>
      </w:r>
      <w:r w:rsidR="00D251D3" w:rsidRPr="003D5D4C">
        <w:rPr>
          <w:rFonts w:eastAsia="Calibri" w:cs="Times New Roman"/>
          <w:i/>
        </w:rPr>
        <w:t>Part 6</w:t>
      </w:r>
      <w:r w:rsidRPr="003D5D4C">
        <w:rPr>
          <w:rFonts w:eastAsia="Calibri" w:cs="Times New Roman"/>
          <w:i/>
        </w:rPr>
        <w:t>A product offered by the superannuation entity, include the following paragraph]</w:t>
      </w:r>
    </w:p>
    <w:p w14:paraId="27E1A0EB" w14:textId="77777777" w:rsidR="00811EE1" w:rsidRPr="003D5D4C" w:rsidRDefault="00811EE1" w:rsidP="00811EE1">
      <w:pPr>
        <w:shd w:val="clear" w:color="auto" w:fill="FFFFFF"/>
        <w:spacing w:before="120" w:after="160"/>
        <w:rPr>
          <w:rFonts w:eastAsia="Calibri" w:cs="Times New Roman"/>
          <w:b/>
          <w:bCs/>
        </w:rPr>
      </w:pPr>
      <w:r w:rsidRPr="003D5D4C">
        <w:rPr>
          <w:rFonts w:eastAsia="Calibri" w:cs="Times New Roman"/>
          <w:b/>
          <w:bCs/>
        </w:rPr>
        <w:t xml:space="preserve">Your superannuation </w:t>
      </w:r>
      <w:r w:rsidRPr="003D5D4C">
        <w:rPr>
          <w:rFonts w:eastAsia="Calibri" w:cs="Times New Roman"/>
          <w:b/>
          <w:bCs/>
          <w:iCs/>
        </w:rPr>
        <w:t>investment option</w:t>
      </w:r>
      <w:r w:rsidRPr="003D5D4C">
        <w:rPr>
          <w:rFonts w:eastAsia="Calibri" w:cs="Times New Roman"/>
          <w:b/>
          <w:bCs/>
        </w:rPr>
        <w:t xml:space="preserve"> </w:t>
      </w:r>
      <w:r w:rsidRPr="003D5D4C">
        <w:rPr>
          <w:rFonts w:eastAsia="Calibri" w:cs="Times New Roman"/>
          <w:b/>
          <w:bCs/>
          <w:i/>
          <w:iCs/>
        </w:rPr>
        <w:t xml:space="preserve">[insert the name of the superannuation entity and the name of the </w:t>
      </w:r>
      <w:r w:rsidR="00D251D3" w:rsidRPr="003D5D4C">
        <w:rPr>
          <w:rFonts w:eastAsia="Calibri" w:cs="Times New Roman"/>
          <w:b/>
          <w:bCs/>
          <w:i/>
          <w:iCs/>
        </w:rPr>
        <w:t>Part 6</w:t>
      </w:r>
      <w:r w:rsidRPr="003D5D4C">
        <w:rPr>
          <w:rFonts w:eastAsia="Calibri" w:cs="Times New Roman"/>
          <w:b/>
          <w:bCs/>
          <w:i/>
          <w:iCs/>
        </w:rPr>
        <w:t>A product]</w:t>
      </w:r>
      <w:r w:rsidRPr="003D5D4C">
        <w:rPr>
          <w:rFonts w:eastAsia="Calibri" w:cs="Times New Roman"/>
          <w:b/>
          <w:bCs/>
        </w:rPr>
        <w:t xml:space="preserve"> has failed the annual performance test at least 2 years in a row. We are now banned from accepting new members into this </w:t>
      </w:r>
      <w:r w:rsidRPr="003D5D4C">
        <w:rPr>
          <w:rFonts w:eastAsia="Calibri" w:cs="Times New Roman"/>
          <w:b/>
          <w:bCs/>
          <w:iCs/>
        </w:rPr>
        <w:t>investment option</w:t>
      </w:r>
      <w:r w:rsidRPr="003D5D4C">
        <w:rPr>
          <w:rFonts w:eastAsia="Calibri" w:cs="Times New Roman"/>
          <w:b/>
          <w:bCs/>
        </w:rPr>
        <w:t xml:space="preserve"> until it passes a future test. You should think about moving your money to a different super </w:t>
      </w:r>
      <w:r w:rsidRPr="003D5D4C">
        <w:rPr>
          <w:rFonts w:eastAsia="Calibri" w:cs="Times New Roman"/>
          <w:b/>
          <w:bCs/>
          <w:iCs/>
        </w:rPr>
        <w:t xml:space="preserve">investment option </w:t>
      </w:r>
      <w:r w:rsidRPr="003D5D4C">
        <w:rPr>
          <w:rFonts w:eastAsia="Calibri" w:cs="Times New Roman"/>
          <w:b/>
          <w:bCs/>
        </w:rPr>
        <w:t>or fund.</w:t>
      </w:r>
    </w:p>
    <w:p w14:paraId="15E71723" w14:textId="77777777" w:rsidR="00811EE1" w:rsidRPr="003D5D4C" w:rsidRDefault="00811EE1" w:rsidP="00811EE1">
      <w:pPr>
        <w:spacing w:before="120" w:after="120"/>
        <w:rPr>
          <w:rFonts w:eastAsia="Calibri" w:cs="Times New Roman"/>
          <w:i/>
        </w:rPr>
      </w:pPr>
      <w:r w:rsidRPr="003D5D4C">
        <w:rPr>
          <w:rFonts w:eastAsia="Calibri" w:cs="Times New Roman"/>
          <w:i/>
        </w:rPr>
        <w:t xml:space="preserve">[If the beneficiary holds more than one failed </w:t>
      </w:r>
      <w:r w:rsidR="00D251D3" w:rsidRPr="003D5D4C">
        <w:rPr>
          <w:rFonts w:eastAsia="Calibri" w:cs="Times New Roman"/>
          <w:i/>
        </w:rPr>
        <w:t>Part 6</w:t>
      </w:r>
      <w:r w:rsidRPr="003D5D4C">
        <w:rPr>
          <w:rFonts w:eastAsia="Calibri" w:cs="Times New Roman"/>
          <w:i/>
        </w:rPr>
        <w:t>A product offered by the superannuation entity, include the following paragraph]</w:t>
      </w:r>
    </w:p>
    <w:p w14:paraId="5D6F634B" w14:textId="77777777" w:rsidR="00811EE1" w:rsidRPr="003D5D4C" w:rsidRDefault="00811EE1" w:rsidP="00811EE1">
      <w:pPr>
        <w:shd w:val="clear" w:color="auto" w:fill="FFFFFF"/>
        <w:spacing w:before="120" w:after="160"/>
        <w:rPr>
          <w:rFonts w:eastAsia="Calibri" w:cs="Times New Roman"/>
          <w:b/>
          <w:bCs/>
        </w:rPr>
      </w:pPr>
      <w:r w:rsidRPr="003D5D4C">
        <w:rPr>
          <w:rFonts w:eastAsia="Calibri" w:cs="Times New Roman"/>
          <w:b/>
          <w:bCs/>
        </w:rPr>
        <w:t xml:space="preserve">You have multiple superannuation </w:t>
      </w:r>
      <w:r w:rsidRPr="003D5D4C">
        <w:rPr>
          <w:rFonts w:eastAsia="Calibri" w:cs="Times New Roman"/>
          <w:b/>
          <w:bCs/>
          <w:iCs/>
        </w:rPr>
        <w:t>investment options</w:t>
      </w:r>
      <w:r w:rsidRPr="003D5D4C">
        <w:rPr>
          <w:rFonts w:eastAsia="Calibri" w:cs="Times New Roman"/>
          <w:b/>
          <w:bCs/>
        </w:rPr>
        <w:t xml:space="preserve"> in </w:t>
      </w:r>
      <w:r w:rsidRPr="003D5D4C">
        <w:rPr>
          <w:rFonts w:eastAsia="Calibri" w:cs="Times New Roman"/>
          <w:b/>
          <w:bCs/>
          <w:i/>
          <w:iCs/>
        </w:rPr>
        <w:t>[insert the name of the superannuation entity]</w:t>
      </w:r>
      <w:r w:rsidRPr="003D5D4C">
        <w:rPr>
          <w:rFonts w:eastAsia="Calibri" w:cs="Times New Roman"/>
          <w:b/>
          <w:bCs/>
        </w:rPr>
        <w:t xml:space="preserve"> that have failed </w:t>
      </w:r>
      <w:r w:rsidRPr="003D5D4C">
        <w:rPr>
          <w:rFonts w:eastAsia="Calibri" w:cs="Times New Roman"/>
          <w:b/>
        </w:rPr>
        <w:t>the</w:t>
      </w:r>
      <w:r w:rsidRPr="003D5D4C">
        <w:rPr>
          <w:rFonts w:eastAsia="Calibri" w:cs="Times New Roman"/>
          <w:b/>
          <w:bCs/>
        </w:rPr>
        <w:t xml:space="preserve"> annual performance test at least 2 years in a row. We are now banned from accepting new members into these </w:t>
      </w:r>
      <w:r w:rsidRPr="003D5D4C">
        <w:rPr>
          <w:rFonts w:eastAsia="Calibri" w:cs="Times New Roman"/>
          <w:b/>
          <w:bCs/>
          <w:iCs/>
        </w:rPr>
        <w:t>investment options</w:t>
      </w:r>
      <w:r w:rsidRPr="003D5D4C">
        <w:rPr>
          <w:rFonts w:eastAsia="Calibri" w:cs="Times New Roman"/>
          <w:b/>
          <w:bCs/>
        </w:rPr>
        <w:t xml:space="preserve"> until they pass a future test. You should think about moving your money to a different super </w:t>
      </w:r>
      <w:r w:rsidRPr="003D5D4C">
        <w:rPr>
          <w:rFonts w:eastAsia="Calibri" w:cs="Times New Roman"/>
          <w:b/>
          <w:bCs/>
          <w:iCs/>
        </w:rPr>
        <w:t xml:space="preserve">investment option </w:t>
      </w:r>
      <w:r w:rsidRPr="003D5D4C">
        <w:rPr>
          <w:rFonts w:eastAsia="Calibri" w:cs="Times New Roman"/>
          <w:b/>
          <w:bCs/>
        </w:rPr>
        <w:t>or fund.</w:t>
      </w:r>
    </w:p>
    <w:p w14:paraId="15411C53" w14:textId="77777777" w:rsidR="00811EE1" w:rsidRPr="003D5D4C" w:rsidRDefault="00811EE1" w:rsidP="00811EE1">
      <w:pPr>
        <w:spacing w:before="120" w:after="120"/>
        <w:rPr>
          <w:rFonts w:eastAsia="Calibri" w:cs="Times New Roman"/>
          <w:iCs/>
        </w:rPr>
      </w:pPr>
      <w:r w:rsidRPr="003D5D4C">
        <w:rPr>
          <w:rFonts w:eastAsia="Calibri" w:cs="Times New Roman"/>
          <w:iCs/>
        </w:rPr>
        <w:t>The Australian Government tests your super fund’s investment options every year to make sure your savings are well managed for when you retire. Funds that fail this test are required by law to tell you.</w:t>
      </w:r>
    </w:p>
    <w:p w14:paraId="7DE85B17"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iCs/>
        </w:rPr>
        <w:t xml:space="preserve">You had </w:t>
      </w:r>
      <w:r w:rsidRPr="003D5D4C">
        <w:rPr>
          <w:rFonts w:eastAsia="Calibri" w:cs="Times New Roman"/>
        </w:rPr>
        <w:t>$</w:t>
      </w:r>
      <w:r w:rsidRPr="003D5D4C">
        <w:rPr>
          <w:rFonts w:eastAsia="Calibri" w:cs="Times New Roman"/>
          <w:i/>
          <w:iCs/>
        </w:rPr>
        <w:t xml:space="preserve">[insert the beneficiary’s total account balance for all </w:t>
      </w:r>
      <w:r w:rsidRPr="003D5D4C">
        <w:rPr>
          <w:rFonts w:eastAsia="Calibri" w:cs="Times New Roman"/>
          <w:i/>
        </w:rPr>
        <w:t>investment options</w:t>
      </w:r>
      <w:r w:rsidRPr="003D5D4C">
        <w:rPr>
          <w:rFonts w:eastAsia="Calibri" w:cs="Times New Roman"/>
          <w:i/>
          <w:iCs/>
        </w:rPr>
        <w:t xml:space="preserve"> offered by the superannuation entity as at 30 June in the calendar year in which the date of this letter falls]</w:t>
      </w:r>
      <w:r w:rsidRPr="003D5D4C">
        <w:rPr>
          <w:rFonts w:eastAsia="Calibri" w:cs="Times New Roman"/>
        </w:rPr>
        <w:t xml:space="preserve"> invested in </w:t>
      </w:r>
      <w:r w:rsidRPr="003D5D4C">
        <w:rPr>
          <w:rFonts w:eastAsia="Calibri" w:cs="Times New Roman"/>
          <w:i/>
          <w:iCs/>
        </w:rPr>
        <w:t>[insert the name of the superannuation entity]</w:t>
      </w:r>
      <w:r w:rsidRPr="003D5D4C">
        <w:rPr>
          <w:rFonts w:eastAsia="Calibri" w:cs="Times New Roman"/>
        </w:rPr>
        <w:t xml:space="preserve"> on 30 June</w:t>
      </w:r>
      <w:r w:rsidRPr="003D5D4C">
        <w:rPr>
          <w:rFonts w:eastAsia="Calibri" w:cs="Times New Roman"/>
          <w:i/>
          <w:iCs/>
        </w:rPr>
        <w:t xml:space="preserve"> [insert the calendar year in which the date of this letter falls]</w:t>
      </w:r>
      <w:r w:rsidRPr="003D5D4C">
        <w:rPr>
          <w:rFonts w:eastAsia="Calibri" w:cs="Times New Roman"/>
        </w:rPr>
        <w:t xml:space="preserve"> and paid a total of $</w:t>
      </w:r>
      <w:r w:rsidRPr="003D5D4C">
        <w:rPr>
          <w:rFonts w:eastAsia="Calibri" w:cs="Times New Roman"/>
          <w:i/>
          <w:iCs/>
        </w:rPr>
        <w:t>[insert total fees and costs charged to the beneficiary in the relevant financial year, excluding insurance fees]</w:t>
      </w:r>
      <w:r w:rsidRPr="003D5D4C">
        <w:rPr>
          <w:rFonts w:eastAsia="Calibri" w:cs="Times New Roman"/>
        </w:rPr>
        <w:t xml:space="preserve"> in fees in the last financial year. You had the following amount invested in failing </w:t>
      </w:r>
      <w:r w:rsidRPr="003D5D4C">
        <w:rPr>
          <w:rFonts w:eastAsia="Calibri" w:cs="Times New Roman"/>
          <w:iCs/>
        </w:rPr>
        <w:t>investment options</w:t>
      </w:r>
      <w:r w:rsidRPr="003D5D4C">
        <w:rPr>
          <w:rFonts w:eastAsia="Calibri" w:cs="Times New Roman"/>
        </w:rPr>
        <w:t xml:space="preserve">: </w:t>
      </w:r>
      <w:r w:rsidRPr="003D5D4C">
        <w:rPr>
          <w:rFonts w:eastAsia="Calibri" w:cs="Times New Roman"/>
          <w:i/>
          <w:iCs/>
        </w:rPr>
        <w:t xml:space="preserve">[insert a bullet list with the name of each failed </w:t>
      </w:r>
      <w:r w:rsidR="00D251D3" w:rsidRPr="003D5D4C">
        <w:rPr>
          <w:rFonts w:eastAsia="Calibri" w:cs="Times New Roman"/>
          <w:i/>
          <w:iCs/>
        </w:rPr>
        <w:t>Part 6</w:t>
      </w:r>
      <w:r w:rsidRPr="003D5D4C">
        <w:rPr>
          <w:rFonts w:eastAsia="Calibri" w:cs="Times New Roman"/>
          <w:i/>
          <w:iCs/>
        </w:rPr>
        <w:t xml:space="preserve">A product, followed by the beneficiary’s account balance for that </w:t>
      </w:r>
      <w:r w:rsidR="00D251D3" w:rsidRPr="003D5D4C">
        <w:rPr>
          <w:rFonts w:eastAsia="Calibri" w:cs="Times New Roman"/>
          <w:i/>
          <w:iCs/>
        </w:rPr>
        <w:t>Part 6</w:t>
      </w:r>
      <w:r w:rsidRPr="003D5D4C">
        <w:rPr>
          <w:rFonts w:eastAsia="Calibri" w:cs="Times New Roman"/>
          <w:i/>
          <w:iCs/>
        </w:rPr>
        <w:t>A product as at 30 June in the calendar year in which the date of this letter falls, in parentheses]</w:t>
      </w:r>
    </w:p>
    <w:p w14:paraId="55FB715F" w14:textId="77777777" w:rsidR="00811EE1" w:rsidRPr="003D5D4C" w:rsidRDefault="00811EE1" w:rsidP="00811EE1">
      <w:pPr>
        <w:spacing w:before="120" w:after="120"/>
        <w:rPr>
          <w:rFonts w:eastAsia="Calibri" w:cs="Times New Roman"/>
          <w:i/>
        </w:rPr>
      </w:pPr>
      <w:r w:rsidRPr="003D5D4C">
        <w:rPr>
          <w:rFonts w:eastAsia="Calibri" w:cs="Times New Roman"/>
          <w:i/>
        </w:rPr>
        <w:t xml:space="preserve">[If the bullet list above has one failed </w:t>
      </w:r>
      <w:r w:rsidR="00D251D3" w:rsidRPr="003D5D4C">
        <w:rPr>
          <w:rFonts w:eastAsia="Calibri" w:cs="Times New Roman"/>
          <w:i/>
        </w:rPr>
        <w:t>Part 6</w:t>
      </w:r>
      <w:r w:rsidRPr="003D5D4C">
        <w:rPr>
          <w:rFonts w:eastAsia="Calibri" w:cs="Times New Roman"/>
          <w:i/>
        </w:rPr>
        <w:t>A product, include the following paragraph]</w:t>
      </w:r>
    </w:p>
    <w:p w14:paraId="2A3938A2"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b/>
          <w:bCs/>
        </w:rPr>
        <w:t xml:space="preserve">Your money will stay in this failing investment option in </w:t>
      </w:r>
      <w:r w:rsidRPr="003D5D4C">
        <w:rPr>
          <w:rFonts w:eastAsia="Calibri" w:cs="Times New Roman"/>
          <w:b/>
          <w:bCs/>
          <w:i/>
          <w:iCs/>
        </w:rPr>
        <w:t>[insert the name of the superannuation entity]</w:t>
      </w:r>
      <w:r w:rsidRPr="003D5D4C">
        <w:rPr>
          <w:rFonts w:eastAsia="Calibri" w:cs="Times New Roman"/>
        </w:rPr>
        <w:t xml:space="preserve"> </w:t>
      </w:r>
      <w:r w:rsidRPr="003D5D4C">
        <w:rPr>
          <w:rFonts w:eastAsia="Calibri" w:cs="Times New Roman"/>
          <w:b/>
          <w:bCs/>
        </w:rPr>
        <w:t>unless you move it.</w:t>
      </w:r>
    </w:p>
    <w:p w14:paraId="703E60A3" w14:textId="77777777" w:rsidR="00811EE1" w:rsidRPr="003D5D4C" w:rsidRDefault="00811EE1" w:rsidP="00811EE1">
      <w:pPr>
        <w:spacing w:before="120" w:after="120"/>
        <w:rPr>
          <w:rFonts w:eastAsia="Calibri" w:cs="Times New Roman"/>
          <w:i/>
        </w:rPr>
      </w:pPr>
      <w:r w:rsidRPr="003D5D4C">
        <w:rPr>
          <w:rFonts w:eastAsia="Calibri" w:cs="Times New Roman"/>
          <w:i/>
        </w:rPr>
        <w:t xml:space="preserve">[If the bullet list above has more than one failed </w:t>
      </w:r>
      <w:r w:rsidR="00D251D3" w:rsidRPr="003D5D4C">
        <w:rPr>
          <w:rFonts w:eastAsia="Calibri" w:cs="Times New Roman"/>
          <w:i/>
        </w:rPr>
        <w:t>Part 6</w:t>
      </w:r>
      <w:r w:rsidRPr="003D5D4C">
        <w:rPr>
          <w:rFonts w:eastAsia="Calibri" w:cs="Times New Roman"/>
          <w:i/>
        </w:rPr>
        <w:t>A product, include the following paragraph]</w:t>
      </w:r>
    </w:p>
    <w:p w14:paraId="240E397D"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b/>
          <w:bCs/>
        </w:rPr>
        <w:t xml:space="preserve">Your money will stay in these failing </w:t>
      </w:r>
      <w:r w:rsidRPr="003D5D4C">
        <w:rPr>
          <w:rFonts w:eastAsia="Calibri" w:cs="Times New Roman"/>
          <w:b/>
          <w:bCs/>
          <w:iCs/>
        </w:rPr>
        <w:t>investment options</w:t>
      </w:r>
      <w:r w:rsidRPr="003D5D4C">
        <w:rPr>
          <w:rFonts w:eastAsia="Calibri" w:cs="Times New Roman"/>
          <w:b/>
          <w:bCs/>
        </w:rPr>
        <w:t xml:space="preserve"> in </w:t>
      </w:r>
      <w:r w:rsidRPr="003D5D4C">
        <w:rPr>
          <w:rFonts w:eastAsia="Calibri" w:cs="Times New Roman"/>
          <w:b/>
          <w:bCs/>
          <w:i/>
          <w:iCs/>
        </w:rPr>
        <w:t>[insert the name of the superannuation entity]</w:t>
      </w:r>
      <w:r w:rsidRPr="003D5D4C">
        <w:rPr>
          <w:rFonts w:eastAsia="Calibri" w:cs="Times New Roman"/>
        </w:rPr>
        <w:t xml:space="preserve"> </w:t>
      </w:r>
      <w:r w:rsidRPr="003D5D4C">
        <w:rPr>
          <w:rFonts w:eastAsia="Calibri" w:cs="Times New Roman"/>
          <w:b/>
          <w:bCs/>
        </w:rPr>
        <w:t>unless you move it.</w:t>
      </w:r>
    </w:p>
    <w:p w14:paraId="50C03605"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rPr>
        <w:t xml:space="preserve">Finding a better super </w:t>
      </w:r>
      <w:r w:rsidRPr="003D5D4C">
        <w:rPr>
          <w:rFonts w:eastAsia="Calibri" w:cs="Times New Roman"/>
          <w:iCs/>
        </w:rPr>
        <w:t>investment option</w:t>
      </w:r>
      <w:r w:rsidRPr="003D5D4C">
        <w:rPr>
          <w:rFonts w:eastAsia="Calibri" w:cs="Times New Roman"/>
        </w:rPr>
        <w:t xml:space="preserve"> could be worthwhile for your future. You could save thousands of dollars more for when you retire by switching to a better </w:t>
      </w:r>
      <w:r w:rsidRPr="003D5D4C">
        <w:rPr>
          <w:rFonts w:eastAsia="Calibri" w:cs="Times New Roman"/>
          <w:iCs/>
        </w:rPr>
        <w:t xml:space="preserve">investment option </w:t>
      </w:r>
      <w:r w:rsidRPr="003D5D4C">
        <w:rPr>
          <w:rFonts w:eastAsia="Calibri" w:cs="Times New Roman"/>
        </w:rPr>
        <w:t>or super fund. Super is a long</w:t>
      </w:r>
      <w:r w:rsidR="00A70ACD" w:rsidRPr="003D5D4C">
        <w:rPr>
          <w:rFonts w:eastAsia="Calibri" w:cs="Times New Roman"/>
        </w:rPr>
        <w:noBreakHyphen/>
      </w:r>
      <w:r w:rsidRPr="003D5D4C">
        <w:rPr>
          <w:rFonts w:eastAsia="Calibri" w:cs="Times New Roman"/>
        </w:rPr>
        <w:t>term investment. By earning 1% more each year for 30 years, you could retire with 20% more in savings; for example, your super could increase from $100,000 to $120,000.</w:t>
      </w:r>
    </w:p>
    <w:p w14:paraId="78E52DD6" w14:textId="77777777" w:rsidR="00811EE1" w:rsidRPr="003D5D4C" w:rsidRDefault="00811EE1" w:rsidP="00811EE1">
      <w:pPr>
        <w:shd w:val="clear" w:color="auto" w:fill="FFFFFF"/>
        <w:spacing w:before="120" w:after="160"/>
        <w:rPr>
          <w:rFonts w:eastAsia="Calibri" w:cs="Times New Roman"/>
        </w:rPr>
      </w:pPr>
      <w:r w:rsidRPr="003D5D4C">
        <w:rPr>
          <w:rFonts w:eastAsia="Calibri" w:cs="Times New Roman"/>
        </w:rPr>
        <w:t xml:space="preserve">This letter does not take your personal situation into account. Before switching </w:t>
      </w:r>
      <w:r w:rsidRPr="003D5D4C">
        <w:rPr>
          <w:rFonts w:eastAsia="Calibri" w:cs="Times New Roman"/>
          <w:iCs/>
        </w:rPr>
        <w:t>investment options</w:t>
      </w:r>
      <w:r w:rsidRPr="003D5D4C">
        <w:rPr>
          <w:rFonts w:eastAsia="Calibri" w:cs="Times New Roman"/>
        </w:rPr>
        <w:t>, you should think about your investment plans and personal situation, such as investment goals and values, as well as insurance, fee and tax impacts. You may wish to speak to a financial adviser about your personal circumstances if you are unsure.</w:t>
      </w:r>
    </w:p>
    <w:p w14:paraId="0B1C6AA6"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b/>
          <w:bCs/>
        </w:rPr>
        <w:t>Your questions answered</w:t>
      </w:r>
    </w:p>
    <w:p w14:paraId="5C34182D"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b/>
          <w:bCs/>
        </w:rPr>
        <w:t>What is the annual performance test?</w:t>
      </w:r>
    </w:p>
    <w:p w14:paraId="55906730"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lastRenderedPageBreak/>
        <w:t xml:space="preserve">The annual government test checks how much your super </w:t>
      </w:r>
      <w:r w:rsidRPr="003D5D4C">
        <w:rPr>
          <w:rFonts w:eastAsia="Calibri" w:cs="Times New Roman"/>
          <w:iCs/>
        </w:rPr>
        <w:t>investment option</w:t>
      </w:r>
      <w:r w:rsidRPr="003D5D4C">
        <w:rPr>
          <w:rFonts w:eastAsia="Calibri" w:cs="Times New Roman"/>
        </w:rPr>
        <w:t xml:space="preserve"> has earned for you (after costs) over time. It compares your </w:t>
      </w:r>
      <w:r w:rsidRPr="003D5D4C">
        <w:rPr>
          <w:rFonts w:eastAsia="Calibri" w:cs="Times New Roman"/>
          <w:iCs/>
        </w:rPr>
        <w:t>investment option</w:t>
      </w:r>
      <w:r w:rsidRPr="003D5D4C">
        <w:rPr>
          <w:rFonts w:eastAsia="Calibri" w:cs="Times New Roman"/>
        </w:rPr>
        <w:t xml:space="preserve">’s earnings with those of a similar </w:t>
      </w:r>
      <w:r w:rsidRPr="003D5D4C">
        <w:rPr>
          <w:rFonts w:eastAsia="Calibri" w:cs="Times New Roman"/>
          <w:iCs/>
        </w:rPr>
        <w:t>investment option</w:t>
      </w:r>
      <w:r w:rsidRPr="003D5D4C">
        <w:rPr>
          <w:rFonts w:eastAsia="Calibri" w:cs="Times New Roman"/>
        </w:rPr>
        <w:t xml:space="preserve"> over the same period. The test is done at the </w:t>
      </w:r>
      <w:r w:rsidRPr="003D5D4C">
        <w:rPr>
          <w:rFonts w:eastAsia="Calibri" w:cs="Times New Roman"/>
          <w:iCs/>
        </w:rPr>
        <w:t>investment option</w:t>
      </w:r>
      <w:r w:rsidRPr="003D5D4C">
        <w:rPr>
          <w:rFonts w:eastAsia="Calibri" w:cs="Times New Roman"/>
        </w:rPr>
        <w:t xml:space="preserve"> level. There may be a range of fees associated with an </w:t>
      </w:r>
      <w:r w:rsidRPr="003D5D4C">
        <w:rPr>
          <w:rFonts w:eastAsia="Calibri" w:cs="Times New Roman"/>
          <w:iCs/>
        </w:rPr>
        <w:t>investment option</w:t>
      </w:r>
      <w:r w:rsidRPr="003D5D4C">
        <w:rPr>
          <w:rFonts w:eastAsia="Calibri" w:cs="Times New Roman"/>
        </w:rPr>
        <w:t>. The test does not account for your personal situation, fees or tax.</w:t>
      </w:r>
    </w:p>
    <w:p w14:paraId="1FD38B69"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Super funds with investment options that fail this test are required to tell you.</w:t>
      </w:r>
    </w:p>
    <w:p w14:paraId="1197EF00"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You can find out more about super at </w:t>
      </w:r>
      <w:r w:rsidRPr="003D5D4C">
        <w:rPr>
          <w:rFonts w:eastAsia="Calibri" w:cs="Times New Roman"/>
          <w:i/>
          <w:iCs/>
        </w:rPr>
        <w:t>moneysmart.gov.au</w:t>
      </w:r>
      <w:r w:rsidRPr="003D5D4C">
        <w:rPr>
          <w:rFonts w:eastAsia="Calibri" w:cs="Times New Roman"/>
        </w:rPr>
        <w:t>.</w:t>
      </w:r>
    </w:p>
    <w:p w14:paraId="0CB87ACA" w14:textId="77777777" w:rsidR="00811EE1" w:rsidRPr="003D5D4C" w:rsidRDefault="00811EE1" w:rsidP="00811EE1">
      <w:pPr>
        <w:shd w:val="clear" w:color="auto" w:fill="FFFFFF"/>
        <w:spacing w:before="120" w:after="120"/>
        <w:rPr>
          <w:rFonts w:eastAsia="Calibri" w:cs="Times New Roman"/>
          <w:b/>
          <w:bCs/>
        </w:rPr>
      </w:pPr>
      <w:r w:rsidRPr="003D5D4C">
        <w:rPr>
          <w:rFonts w:eastAsia="Calibri" w:cs="Times New Roman"/>
          <w:b/>
          <w:bCs/>
        </w:rPr>
        <w:t xml:space="preserve">What things should I consider when deciding to switch super </w:t>
      </w:r>
      <w:r w:rsidRPr="003D5D4C">
        <w:rPr>
          <w:rFonts w:eastAsia="Calibri" w:cs="Times New Roman"/>
          <w:b/>
          <w:bCs/>
          <w:iCs/>
        </w:rPr>
        <w:t>investment options or funds</w:t>
      </w:r>
      <w:r w:rsidRPr="003D5D4C">
        <w:rPr>
          <w:rFonts w:eastAsia="Calibri" w:cs="Times New Roman"/>
          <w:b/>
          <w:bCs/>
        </w:rPr>
        <w:t>?</w:t>
      </w:r>
    </w:p>
    <w:p w14:paraId="1C4B5C2B"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The performance test does not take into account your individual circumstances. You should think about your investment plans and personal situation, such as investment goals and values, as well as insurance, fees and tax impacts, when switching. You may wish to speak to a financial adviser about your personal circumstances.</w:t>
      </w:r>
    </w:p>
    <w:p w14:paraId="121BADB9" w14:textId="77777777" w:rsidR="00811EE1" w:rsidRPr="003D5D4C" w:rsidRDefault="00811EE1" w:rsidP="00811EE1">
      <w:pPr>
        <w:shd w:val="clear" w:color="auto" w:fill="FFFFFF"/>
        <w:spacing w:before="120" w:after="120"/>
        <w:rPr>
          <w:rFonts w:eastAsia="Calibri" w:cs="Times New Roman"/>
          <w:b/>
          <w:bCs/>
        </w:rPr>
      </w:pPr>
      <w:r w:rsidRPr="003D5D4C">
        <w:rPr>
          <w:rFonts w:eastAsia="Calibri" w:cs="Times New Roman"/>
          <w:b/>
          <w:bCs/>
        </w:rPr>
        <w:t xml:space="preserve">How can I find a new super </w:t>
      </w:r>
      <w:r w:rsidRPr="003D5D4C">
        <w:rPr>
          <w:rFonts w:eastAsia="Calibri" w:cs="Times New Roman"/>
          <w:b/>
          <w:bCs/>
          <w:iCs/>
        </w:rPr>
        <w:t>investment option or fund</w:t>
      </w:r>
      <w:r w:rsidRPr="003D5D4C">
        <w:rPr>
          <w:rFonts w:eastAsia="Calibri" w:cs="Times New Roman"/>
          <w:b/>
          <w:bCs/>
        </w:rPr>
        <w:t>?</w:t>
      </w:r>
    </w:p>
    <w:p w14:paraId="4AE44C5A"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You may find it helpful to use the Australian Government’s YourSuper comparison tool. You can use the tool to compare the fees and earnings of simple, low</w:t>
      </w:r>
      <w:r w:rsidR="00A70ACD" w:rsidRPr="003D5D4C">
        <w:rPr>
          <w:rFonts w:eastAsia="Calibri" w:cs="Times New Roman"/>
        </w:rPr>
        <w:noBreakHyphen/>
      </w:r>
      <w:r w:rsidRPr="003D5D4C">
        <w:rPr>
          <w:rFonts w:eastAsia="Calibri" w:cs="Times New Roman"/>
        </w:rPr>
        <w:t xml:space="preserve">cost </w:t>
      </w:r>
      <w:r w:rsidRPr="003D5D4C">
        <w:rPr>
          <w:rFonts w:eastAsia="Calibri" w:cs="Times New Roman"/>
          <w:i/>
          <w:iCs/>
        </w:rPr>
        <w:t xml:space="preserve">MySuper </w:t>
      </w:r>
      <w:r w:rsidRPr="003D5D4C">
        <w:rPr>
          <w:rFonts w:eastAsia="Calibri" w:cs="Times New Roman"/>
          <w:i/>
        </w:rPr>
        <w:t>investment options</w:t>
      </w:r>
      <w:r w:rsidRPr="003D5D4C">
        <w:rPr>
          <w:rFonts w:eastAsia="Calibri" w:cs="Times New Roman"/>
        </w:rPr>
        <w:t xml:space="preserve">. Note that the </w:t>
      </w:r>
      <w:r w:rsidRPr="003D5D4C">
        <w:rPr>
          <w:rFonts w:eastAsia="Calibri" w:cs="Times New Roman"/>
          <w:iCs/>
        </w:rPr>
        <w:t>investment options</w:t>
      </w:r>
      <w:r w:rsidRPr="003D5D4C">
        <w:rPr>
          <w:rFonts w:eastAsia="Calibri" w:cs="Times New Roman"/>
        </w:rPr>
        <w:t xml:space="preserve"> listed above are </w:t>
      </w:r>
      <w:r w:rsidRPr="003D5D4C">
        <w:rPr>
          <w:rFonts w:eastAsia="Calibri" w:cs="Times New Roman"/>
          <w:i/>
          <w:iCs/>
        </w:rPr>
        <w:t>not</w:t>
      </w:r>
      <w:r w:rsidRPr="003D5D4C">
        <w:rPr>
          <w:rFonts w:eastAsia="Calibri" w:cs="Times New Roman"/>
        </w:rPr>
        <w:t xml:space="preserve"> MySuper </w:t>
      </w:r>
      <w:r w:rsidRPr="003D5D4C">
        <w:rPr>
          <w:rFonts w:eastAsia="Calibri" w:cs="Times New Roman"/>
          <w:iCs/>
        </w:rPr>
        <w:t>investment options</w:t>
      </w:r>
      <w:r w:rsidRPr="003D5D4C">
        <w:rPr>
          <w:rFonts w:eastAsia="Calibri" w:cs="Times New Roman"/>
        </w:rPr>
        <w:t xml:space="preserve">. You should think about whether a MySuper </w:t>
      </w:r>
      <w:r w:rsidRPr="003D5D4C">
        <w:rPr>
          <w:rFonts w:eastAsia="Calibri" w:cs="Times New Roman"/>
          <w:iCs/>
        </w:rPr>
        <w:t>investment option</w:t>
      </w:r>
      <w:r w:rsidRPr="003D5D4C">
        <w:rPr>
          <w:rFonts w:eastAsia="Calibri" w:cs="Times New Roman"/>
        </w:rPr>
        <w:t xml:space="preserve"> is right for you. Go to</w:t>
      </w:r>
      <w:r w:rsidRPr="003D5D4C">
        <w:rPr>
          <w:rFonts w:eastAsia="Calibri" w:cs="Times New Roman"/>
          <w:i/>
          <w:iCs/>
        </w:rPr>
        <w:t xml:space="preserve"> ato.gov.au/yoursuper</w:t>
      </w:r>
      <w:r w:rsidRPr="003D5D4C">
        <w:rPr>
          <w:rFonts w:eastAsia="Calibri" w:cs="Times New Roman"/>
        </w:rPr>
        <w:t xml:space="preserve"> or use the QR code below:</w:t>
      </w:r>
    </w:p>
    <w:p w14:paraId="3351F0BD" w14:textId="77777777" w:rsidR="00811EE1" w:rsidRPr="003D5D4C" w:rsidRDefault="00811EE1" w:rsidP="00811EE1">
      <w:pPr>
        <w:shd w:val="clear" w:color="auto" w:fill="FFFFFF"/>
        <w:spacing w:before="120" w:after="120"/>
        <w:rPr>
          <w:rFonts w:eastAsia="Calibri" w:cs="Times New Roman"/>
          <w:i/>
          <w:iCs/>
        </w:rPr>
      </w:pPr>
      <w:r w:rsidRPr="003D5D4C">
        <w:rPr>
          <w:rFonts w:eastAsia="Calibri" w:cs="Times New Roman"/>
          <w:i/>
          <w:iCs/>
        </w:rPr>
        <w:t>[insert QR code for ato.gov.au/yoursuper]</w:t>
      </w:r>
    </w:p>
    <w:p w14:paraId="698D468B" w14:textId="77777777" w:rsidR="00811EE1" w:rsidRPr="003D5D4C" w:rsidRDefault="00811EE1" w:rsidP="00811EE1">
      <w:pPr>
        <w:shd w:val="clear" w:color="auto" w:fill="FFFFFF"/>
        <w:spacing w:before="120" w:after="120"/>
        <w:rPr>
          <w:rFonts w:eastAsia="Calibri" w:cs="Times New Roman"/>
          <w:b/>
          <w:bCs/>
        </w:rPr>
      </w:pPr>
      <w:r w:rsidRPr="003D5D4C">
        <w:rPr>
          <w:rFonts w:eastAsia="Calibri" w:cs="Times New Roman"/>
          <w:b/>
          <w:bCs/>
        </w:rPr>
        <w:t>How do I consolidate my super?</w:t>
      </w:r>
    </w:p>
    <w:p w14:paraId="6BD83210"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If you open an account with a new super fund, contact the new fund or use myGov to consolidate your money, saving on fees by avoiding charges on multiple accounts.</w:t>
      </w:r>
    </w:p>
    <w:p w14:paraId="60057B68" w14:textId="77777777" w:rsidR="00811EE1" w:rsidRPr="003D5D4C" w:rsidRDefault="00811EE1" w:rsidP="00811EE1">
      <w:pPr>
        <w:shd w:val="clear" w:color="auto" w:fill="FFFFFF"/>
        <w:spacing w:before="120" w:after="120"/>
        <w:rPr>
          <w:rFonts w:eastAsia="Calibri" w:cs="Times New Roman"/>
          <w:b/>
          <w:bCs/>
        </w:rPr>
      </w:pPr>
      <w:r w:rsidRPr="003D5D4C">
        <w:rPr>
          <w:rFonts w:eastAsia="Calibri" w:cs="Times New Roman"/>
          <w:b/>
          <w:bCs/>
        </w:rPr>
        <w:t xml:space="preserve">What happens if a super </w:t>
      </w:r>
      <w:r w:rsidRPr="003D5D4C">
        <w:rPr>
          <w:rFonts w:eastAsia="Calibri" w:cs="Times New Roman"/>
          <w:b/>
          <w:bCs/>
          <w:iCs/>
        </w:rPr>
        <w:t>investment option</w:t>
      </w:r>
      <w:r w:rsidRPr="003D5D4C">
        <w:rPr>
          <w:rFonts w:eastAsia="Calibri" w:cs="Times New Roman"/>
          <w:b/>
          <w:bCs/>
        </w:rPr>
        <w:t xml:space="preserve"> fails two or more years in a row?</w:t>
      </w:r>
    </w:p>
    <w:p w14:paraId="4D5C3EB0" w14:textId="77777777" w:rsidR="00811EE1" w:rsidRPr="003D5D4C" w:rsidRDefault="00811EE1" w:rsidP="00811EE1">
      <w:pPr>
        <w:shd w:val="clear" w:color="auto" w:fill="FFFFFF"/>
        <w:spacing w:before="120" w:after="120"/>
        <w:rPr>
          <w:rFonts w:eastAsia="Calibri" w:cs="Times New Roman"/>
        </w:rPr>
      </w:pPr>
      <w:r w:rsidRPr="003D5D4C">
        <w:rPr>
          <w:rFonts w:eastAsia="Calibri" w:cs="Times New Roman"/>
        </w:rPr>
        <w:t xml:space="preserve">If a super </w:t>
      </w:r>
      <w:r w:rsidRPr="003D5D4C">
        <w:rPr>
          <w:rFonts w:eastAsia="Calibri" w:cs="Times New Roman"/>
          <w:iCs/>
        </w:rPr>
        <w:t>investment option</w:t>
      </w:r>
      <w:r w:rsidRPr="003D5D4C">
        <w:rPr>
          <w:rFonts w:eastAsia="Calibri" w:cs="Times New Roman"/>
        </w:rPr>
        <w:t xml:space="preserve"> fails the test at least two years in a row, it cannot accept new members until it passes a future test. You should think about the impact of this on the </w:t>
      </w:r>
      <w:r w:rsidRPr="003D5D4C">
        <w:rPr>
          <w:rFonts w:eastAsia="Calibri" w:cs="Times New Roman"/>
          <w:iCs/>
        </w:rPr>
        <w:t>investment option</w:t>
      </w:r>
      <w:r w:rsidRPr="003D5D4C">
        <w:rPr>
          <w:rFonts w:eastAsia="Calibri" w:cs="Times New Roman"/>
        </w:rPr>
        <w:t>’s ability to improve.</w:t>
      </w:r>
    </w:p>
    <w:p w14:paraId="66DDD414" w14:textId="77777777" w:rsidR="00811EE1" w:rsidRPr="003D5D4C" w:rsidRDefault="00811EE1" w:rsidP="00811EE1">
      <w:pPr>
        <w:spacing w:before="120" w:after="120"/>
        <w:rPr>
          <w:rFonts w:eastAsia="Calibri" w:cs="Times New Roman"/>
        </w:rPr>
      </w:pPr>
      <w:r w:rsidRPr="003D5D4C">
        <w:rPr>
          <w:rFonts w:eastAsia="Calibri" w:cs="Times New Roman"/>
        </w:rPr>
        <w:t xml:space="preserve">Your money will stay in the failed super </w:t>
      </w:r>
      <w:r w:rsidRPr="003D5D4C">
        <w:rPr>
          <w:rFonts w:eastAsia="Calibri" w:cs="Times New Roman"/>
          <w:iCs/>
        </w:rPr>
        <w:t>investment option</w:t>
      </w:r>
      <w:r w:rsidRPr="003D5D4C">
        <w:rPr>
          <w:rFonts w:eastAsia="Calibri" w:cs="Times New Roman"/>
        </w:rPr>
        <w:t xml:space="preserve"> unless you move it.</w:t>
      </w:r>
    </w:p>
    <w:p w14:paraId="671E03EA" w14:textId="77777777" w:rsidR="00811EE1" w:rsidRPr="003D5D4C" w:rsidRDefault="00811EE1" w:rsidP="00811EE1">
      <w:pPr>
        <w:rPr>
          <w:rFonts w:eastAsia="Calibri" w:cs="Times New Roman"/>
        </w:rPr>
      </w:pPr>
    </w:p>
    <w:p w14:paraId="0589237E" w14:textId="77777777" w:rsidR="003304F1" w:rsidRPr="003D5D4C" w:rsidRDefault="003304F1" w:rsidP="003304F1">
      <w:pPr>
        <w:pStyle w:val="ActHead6"/>
        <w:pageBreakBefore/>
      </w:pPr>
      <w:bookmarkStart w:id="16" w:name="_Toc139624481"/>
      <w:r w:rsidRPr="003D5D4C">
        <w:rPr>
          <w:rStyle w:val="CharAmSchNo"/>
        </w:rPr>
        <w:lastRenderedPageBreak/>
        <w:t>Schedule 2</w:t>
      </w:r>
      <w:r w:rsidRPr="003D5D4C">
        <w:t>—</w:t>
      </w:r>
      <w:r w:rsidRPr="003D5D4C">
        <w:rPr>
          <w:rStyle w:val="CharAmSchText"/>
        </w:rPr>
        <w:t xml:space="preserve">Amendments to the Electronic Transactions </w:t>
      </w:r>
      <w:r w:rsidR="00A70ACD" w:rsidRPr="003D5D4C">
        <w:rPr>
          <w:rStyle w:val="CharAmSchText"/>
        </w:rPr>
        <w:t>Regulations 2</w:t>
      </w:r>
      <w:r w:rsidRPr="003D5D4C">
        <w:rPr>
          <w:rStyle w:val="CharAmSchText"/>
        </w:rPr>
        <w:t>020</w:t>
      </w:r>
      <w:bookmarkEnd w:id="16"/>
    </w:p>
    <w:p w14:paraId="7923596F" w14:textId="77777777" w:rsidR="003304F1" w:rsidRPr="003D5D4C" w:rsidRDefault="003304F1" w:rsidP="003304F1">
      <w:pPr>
        <w:pStyle w:val="Header"/>
      </w:pPr>
      <w:r w:rsidRPr="003D5D4C">
        <w:rPr>
          <w:rStyle w:val="CharAmPartNo"/>
        </w:rPr>
        <w:t xml:space="preserve"> </w:t>
      </w:r>
      <w:r w:rsidRPr="003D5D4C">
        <w:rPr>
          <w:rStyle w:val="CharAmPartText"/>
        </w:rPr>
        <w:t xml:space="preserve"> </w:t>
      </w:r>
    </w:p>
    <w:p w14:paraId="5C2AEE29" w14:textId="77777777" w:rsidR="003304F1" w:rsidRPr="003D5D4C" w:rsidRDefault="003304F1" w:rsidP="003304F1">
      <w:pPr>
        <w:pStyle w:val="ActHead9"/>
      </w:pPr>
      <w:bookmarkStart w:id="17" w:name="_Toc139624482"/>
      <w:r w:rsidRPr="003D5D4C">
        <w:t xml:space="preserve">Electronic Transactions </w:t>
      </w:r>
      <w:r w:rsidR="00A70ACD" w:rsidRPr="003D5D4C">
        <w:t>Regulations 2</w:t>
      </w:r>
      <w:r w:rsidRPr="003D5D4C">
        <w:t>020</w:t>
      </w:r>
      <w:bookmarkEnd w:id="17"/>
    </w:p>
    <w:p w14:paraId="75FF7807" w14:textId="77777777" w:rsidR="003304F1" w:rsidRPr="003D5D4C" w:rsidRDefault="003304F1" w:rsidP="003304F1">
      <w:pPr>
        <w:pStyle w:val="ItemHead"/>
      </w:pPr>
      <w:r w:rsidRPr="003D5D4C">
        <w:t xml:space="preserve">1  Clause 1 of Schedule 1 (cell at table item 89, column 1, after </w:t>
      </w:r>
      <w:r w:rsidR="00F75733" w:rsidRPr="003D5D4C">
        <w:t>paragraph (</w:t>
      </w:r>
      <w:r w:rsidRPr="003D5D4C">
        <w:t>f))</w:t>
      </w:r>
    </w:p>
    <w:p w14:paraId="64AC9C47" w14:textId="77777777" w:rsidR="003304F1" w:rsidRPr="003D5D4C" w:rsidRDefault="003304F1" w:rsidP="003304F1">
      <w:pPr>
        <w:pStyle w:val="Item"/>
      </w:pPr>
      <w:r w:rsidRPr="003D5D4C">
        <w:t>Insert:</w:t>
      </w:r>
    </w:p>
    <w:p w14:paraId="4CF433D2" w14:textId="77777777" w:rsidR="003304F1" w:rsidRPr="003D5D4C" w:rsidRDefault="003304F1" w:rsidP="003304F1">
      <w:pPr>
        <w:pStyle w:val="Tablea"/>
      </w:pPr>
      <w:r w:rsidRPr="003D5D4C">
        <w:t>(fa) subsections 60C(3) and (4);</w:t>
      </w:r>
    </w:p>
    <w:p w14:paraId="4F74EBEF" w14:textId="77777777" w:rsidR="003304F1" w:rsidRPr="003D5D4C" w:rsidRDefault="003304F1" w:rsidP="003304F1">
      <w:pPr>
        <w:pStyle w:val="ItemHead"/>
      </w:pPr>
      <w:r w:rsidRPr="003D5D4C">
        <w:t xml:space="preserve">2  Clause 1 of Schedule 1 (cell at table item 90, column 1, </w:t>
      </w:r>
      <w:r w:rsidR="00F75733" w:rsidRPr="003D5D4C">
        <w:t>paragraph (</w:t>
      </w:r>
      <w:r w:rsidRPr="003D5D4C">
        <w:t>c))</w:t>
      </w:r>
    </w:p>
    <w:p w14:paraId="538C1833" w14:textId="77777777" w:rsidR="003304F1" w:rsidRPr="00A70ACD" w:rsidRDefault="003304F1" w:rsidP="003304F1">
      <w:pPr>
        <w:pStyle w:val="Item"/>
      </w:pPr>
      <w:r w:rsidRPr="003D5D4C">
        <w:t xml:space="preserve">After </w:t>
      </w:r>
      <w:r w:rsidR="001376B0" w:rsidRPr="003D5D4C">
        <w:t>“</w:t>
      </w:r>
      <w:r w:rsidRPr="003D5D4C">
        <w:t>9.46A</w:t>
      </w:r>
      <w:r w:rsidR="001376B0" w:rsidRPr="003D5D4C">
        <w:t>”</w:t>
      </w:r>
      <w:r w:rsidRPr="003D5D4C">
        <w:t xml:space="preserve">, insert </w:t>
      </w:r>
      <w:r w:rsidR="001376B0" w:rsidRPr="003D5D4C">
        <w:t>“</w:t>
      </w:r>
      <w:r w:rsidRPr="003D5D4C">
        <w:t>and subregulations 9AB.5(8), 9AB.7(6), 9AB.10(6) and (8), 9AB.12(6), 9AB.14(11) and 9AB.15(2)</w:t>
      </w:r>
      <w:r w:rsidR="001376B0" w:rsidRPr="003D5D4C">
        <w:t>”</w:t>
      </w:r>
      <w:r w:rsidRPr="003D5D4C">
        <w:t>.</w:t>
      </w:r>
    </w:p>
    <w:sectPr w:rsidR="003304F1" w:rsidRPr="00A70ACD" w:rsidSect="0049111F">
      <w:headerReference w:type="even" r:id="rId33"/>
      <w:headerReference w:type="default" r:id="rId34"/>
      <w:footerReference w:type="even" r:id="rId35"/>
      <w:footerReference w:type="default" r:id="rId36"/>
      <w:headerReference w:type="first" r:id="rId37"/>
      <w:footerReference w:type="first" r:id="rId3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2FA51" w14:textId="77777777" w:rsidR="00D35CBF" w:rsidRDefault="00D35CBF" w:rsidP="0048364F">
      <w:pPr>
        <w:spacing w:line="240" w:lineRule="auto"/>
      </w:pPr>
      <w:r>
        <w:separator/>
      </w:r>
    </w:p>
  </w:endnote>
  <w:endnote w:type="continuationSeparator" w:id="0">
    <w:p w14:paraId="0BF5D126" w14:textId="77777777" w:rsidR="00D35CBF" w:rsidRDefault="00D35CBF" w:rsidP="0048364F">
      <w:pPr>
        <w:spacing w:line="240" w:lineRule="auto"/>
      </w:pPr>
      <w:r>
        <w:continuationSeparator/>
      </w:r>
    </w:p>
  </w:endnote>
  <w:endnote w:type="continuationNotice" w:id="1">
    <w:p w14:paraId="234F3FE3" w14:textId="77777777" w:rsidR="003D5D4C" w:rsidRDefault="003D5D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A2FB9" w14:textId="77777777" w:rsidR="00D35CBF" w:rsidRPr="0049111F" w:rsidRDefault="0049111F" w:rsidP="0049111F">
    <w:pPr>
      <w:pStyle w:val="Footer"/>
      <w:tabs>
        <w:tab w:val="clear" w:pos="4153"/>
        <w:tab w:val="clear" w:pos="8306"/>
        <w:tab w:val="center" w:pos="4150"/>
        <w:tab w:val="right" w:pos="8307"/>
      </w:tabs>
      <w:spacing w:before="120"/>
      <w:rPr>
        <w:i/>
        <w:sz w:val="18"/>
      </w:rPr>
    </w:pPr>
    <w:r w:rsidRPr="0049111F">
      <w:rPr>
        <w:i/>
        <w:sz w:val="18"/>
      </w:rPr>
      <w:t>OPC66331 -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31CC6" w14:textId="77777777" w:rsidR="00D35CBF" w:rsidRDefault="00D35CBF" w:rsidP="00E97334"/>
  <w:p w14:paraId="24F39765" w14:textId="77777777" w:rsidR="00D35CBF" w:rsidRPr="0049111F" w:rsidRDefault="0049111F" w:rsidP="0049111F">
    <w:pPr>
      <w:rPr>
        <w:rFonts w:cs="Times New Roman"/>
        <w:i/>
        <w:sz w:val="18"/>
      </w:rPr>
    </w:pPr>
    <w:r w:rsidRPr="0049111F">
      <w:rPr>
        <w:rFonts w:cs="Times New Roman"/>
        <w:i/>
        <w:sz w:val="18"/>
      </w:rPr>
      <w:t>OPC66331 -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691A5" w14:textId="77777777" w:rsidR="00D35CBF" w:rsidRPr="0049111F" w:rsidRDefault="0049111F" w:rsidP="0049111F">
    <w:pPr>
      <w:pStyle w:val="Footer"/>
      <w:tabs>
        <w:tab w:val="clear" w:pos="4153"/>
        <w:tab w:val="clear" w:pos="8306"/>
        <w:tab w:val="center" w:pos="4150"/>
        <w:tab w:val="right" w:pos="8307"/>
      </w:tabs>
      <w:spacing w:before="120"/>
      <w:rPr>
        <w:i/>
        <w:sz w:val="18"/>
      </w:rPr>
    </w:pPr>
    <w:r w:rsidRPr="0049111F">
      <w:rPr>
        <w:i/>
        <w:sz w:val="18"/>
      </w:rPr>
      <w:t>OPC66331 -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2D1A0" w14:textId="77777777" w:rsidR="00D35CBF" w:rsidRPr="00E33C1C" w:rsidRDefault="00D35CB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35CBF" w14:paraId="1313809D" w14:textId="77777777" w:rsidTr="004262B2">
      <w:tc>
        <w:tcPr>
          <w:tcW w:w="709" w:type="dxa"/>
          <w:tcBorders>
            <w:top w:val="nil"/>
            <w:left w:val="nil"/>
            <w:bottom w:val="nil"/>
            <w:right w:val="nil"/>
          </w:tcBorders>
        </w:tcPr>
        <w:p w14:paraId="1A20C3F7" w14:textId="77777777" w:rsidR="00D35CBF" w:rsidRDefault="00D35CBF" w:rsidP="00B14A5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60A903A" w14:textId="355380AB" w:rsidR="00D35CBF" w:rsidRDefault="00D35CBF" w:rsidP="00B14A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1D7B">
            <w:rPr>
              <w:i/>
              <w:sz w:val="18"/>
            </w:rPr>
            <w:t>Superannuation Industry (Supervision) Amendment (Your Future, Your Super—Addressing Underperformance in Superannuation) Regulations 2023</w:t>
          </w:r>
          <w:r w:rsidRPr="007A1328">
            <w:rPr>
              <w:i/>
              <w:sz w:val="18"/>
            </w:rPr>
            <w:fldChar w:fldCharType="end"/>
          </w:r>
        </w:p>
      </w:tc>
      <w:tc>
        <w:tcPr>
          <w:tcW w:w="1384" w:type="dxa"/>
          <w:tcBorders>
            <w:top w:val="nil"/>
            <w:left w:val="nil"/>
            <w:bottom w:val="nil"/>
            <w:right w:val="nil"/>
          </w:tcBorders>
        </w:tcPr>
        <w:p w14:paraId="0E4BF570" w14:textId="77777777" w:rsidR="00D35CBF" w:rsidRDefault="00D35CBF" w:rsidP="00B14A5F">
          <w:pPr>
            <w:spacing w:line="0" w:lineRule="atLeast"/>
            <w:jc w:val="right"/>
            <w:rPr>
              <w:sz w:val="18"/>
            </w:rPr>
          </w:pPr>
        </w:p>
      </w:tc>
    </w:tr>
  </w:tbl>
  <w:p w14:paraId="6E39BFFA" w14:textId="77777777" w:rsidR="00D35CBF" w:rsidRPr="0049111F" w:rsidRDefault="0049111F" w:rsidP="0049111F">
    <w:pPr>
      <w:rPr>
        <w:rFonts w:cs="Times New Roman"/>
        <w:i/>
        <w:sz w:val="18"/>
      </w:rPr>
    </w:pPr>
    <w:r w:rsidRPr="0049111F">
      <w:rPr>
        <w:rFonts w:cs="Times New Roman"/>
        <w:i/>
        <w:sz w:val="18"/>
      </w:rPr>
      <w:t>OPC66331 -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BE6D3" w14:textId="77777777" w:rsidR="00D35CBF" w:rsidRPr="00E33C1C" w:rsidRDefault="00D35CB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D35CBF" w14:paraId="409B51AF" w14:textId="77777777" w:rsidTr="004262B2">
      <w:tc>
        <w:tcPr>
          <w:tcW w:w="1383" w:type="dxa"/>
          <w:tcBorders>
            <w:top w:val="nil"/>
            <w:left w:val="nil"/>
            <w:bottom w:val="nil"/>
            <w:right w:val="nil"/>
          </w:tcBorders>
        </w:tcPr>
        <w:p w14:paraId="65C2F6D4" w14:textId="77777777" w:rsidR="00D35CBF" w:rsidRDefault="00D35CBF" w:rsidP="00B14A5F">
          <w:pPr>
            <w:spacing w:line="0" w:lineRule="atLeast"/>
            <w:rPr>
              <w:sz w:val="18"/>
            </w:rPr>
          </w:pPr>
        </w:p>
      </w:tc>
      <w:tc>
        <w:tcPr>
          <w:tcW w:w="6379" w:type="dxa"/>
          <w:tcBorders>
            <w:top w:val="nil"/>
            <w:left w:val="nil"/>
            <w:bottom w:val="nil"/>
            <w:right w:val="nil"/>
          </w:tcBorders>
        </w:tcPr>
        <w:p w14:paraId="03841C7A" w14:textId="30E0D32C" w:rsidR="00D35CBF" w:rsidRDefault="00D35CBF" w:rsidP="00B14A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1D7B">
            <w:rPr>
              <w:i/>
              <w:sz w:val="18"/>
            </w:rPr>
            <w:t>Superannuation Industry (Supervision) Amendment (Your Future, Your Super—Addressing Underperformance in Superannuation) Regulations 2023</w:t>
          </w:r>
          <w:r w:rsidRPr="007A1328">
            <w:rPr>
              <w:i/>
              <w:sz w:val="18"/>
            </w:rPr>
            <w:fldChar w:fldCharType="end"/>
          </w:r>
        </w:p>
      </w:tc>
      <w:tc>
        <w:tcPr>
          <w:tcW w:w="710" w:type="dxa"/>
          <w:tcBorders>
            <w:top w:val="nil"/>
            <w:left w:val="nil"/>
            <w:bottom w:val="nil"/>
            <w:right w:val="nil"/>
          </w:tcBorders>
        </w:tcPr>
        <w:p w14:paraId="7E4538A7" w14:textId="77777777" w:rsidR="00D35CBF" w:rsidRDefault="00D35CBF" w:rsidP="00B14A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1997986" w14:textId="77777777" w:rsidR="00D35CBF" w:rsidRPr="0049111F" w:rsidRDefault="0049111F" w:rsidP="0049111F">
    <w:pPr>
      <w:rPr>
        <w:rFonts w:cs="Times New Roman"/>
        <w:i/>
        <w:sz w:val="18"/>
      </w:rPr>
    </w:pPr>
    <w:r w:rsidRPr="0049111F">
      <w:rPr>
        <w:rFonts w:cs="Times New Roman"/>
        <w:i/>
        <w:sz w:val="18"/>
      </w:rPr>
      <w:t>OPC66331 -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1C582" w14:textId="77777777" w:rsidR="00D35CBF" w:rsidRPr="00E33C1C" w:rsidRDefault="00D35CB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35CBF" w14:paraId="0AEF9188" w14:textId="77777777" w:rsidTr="004262B2">
      <w:tc>
        <w:tcPr>
          <w:tcW w:w="709" w:type="dxa"/>
          <w:tcBorders>
            <w:top w:val="nil"/>
            <w:left w:val="nil"/>
            <w:bottom w:val="nil"/>
            <w:right w:val="nil"/>
          </w:tcBorders>
        </w:tcPr>
        <w:p w14:paraId="6BB2CE50" w14:textId="77777777" w:rsidR="00D35CBF" w:rsidRDefault="00D35CBF" w:rsidP="00B14A5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5A1B4D8" w14:textId="0614AC15" w:rsidR="00D35CBF" w:rsidRDefault="00D35CBF" w:rsidP="00B14A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1D7B">
            <w:rPr>
              <w:i/>
              <w:sz w:val="18"/>
            </w:rPr>
            <w:t>Superannuation Industry (Supervision) Amendment (Your Future, Your Super—Addressing Underperformance in Superannuation) Regulations 2023</w:t>
          </w:r>
          <w:r w:rsidRPr="007A1328">
            <w:rPr>
              <w:i/>
              <w:sz w:val="18"/>
            </w:rPr>
            <w:fldChar w:fldCharType="end"/>
          </w:r>
        </w:p>
      </w:tc>
      <w:tc>
        <w:tcPr>
          <w:tcW w:w="1384" w:type="dxa"/>
          <w:tcBorders>
            <w:top w:val="nil"/>
            <w:left w:val="nil"/>
            <w:bottom w:val="nil"/>
            <w:right w:val="nil"/>
          </w:tcBorders>
        </w:tcPr>
        <w:p w14:paraId="67A39DF4" w14:textId="77777777" w:rsidR="00D35CBF" w:rsidRDefault="00D35CBF" w:rsidP="00B14A5F">
          <w:pPr>
            <w:spacing w:line="0" w:lineRule="atLeast"/>
            <w:jc w:val="right"/>
            <w:rPr>
              <w:sz w:val="18"/>
            </w:rPr>
          </w:pPr>
        </w:p>
      </w:tc>
    </w:tr>
  </w:tbl>
  <w:p w14:paraId="23AEB37F" w14:textId="77777777" w:rsidR="00D35CBF" w:rsidRPr="0049111F" w:rsidRDefault="0049111F" w:rsidP="0049111F">
    <w:pPr>
      <w:rPr>
        <w:rFonts w:cs="Times New Roman"/>
        <w:i/>
        <w:sz w:val="18"/>
      </w:rPr>
    </w:pPr>
    <w:r w:rsidRPr="0049111F">
      <w:rPr>
        <w:rFonts w:cs="Times New Roman"/>
        <w:i/>
        <w:sz w:val="18"/>
      </w:rPr>
      <w:t>OPC66331 -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D3650" w14:textId="77777777" w:rsidR="00D35CBF" w:rsidRPr="00E33C1C" w:rsidRDefault="00D35CB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35CBF" w14:paraId="5D17C49D" w14:textId="77777777" w:rsidTr="00B14A5F">
      <w:tc>
        <w:tcPr>
          <w:tcW w:w="1384" w:type="dxa"/>
          <w:tcBorders>
            <w:top w:val="nil"/>
            <w:left w:val="nil"/>
            <w:bottom w:val="nil"/>
            <w:right w:val="nil"/>
          </w:tcBorders>
        </w:tcPr>
        <w:p w14:paraId="7C196E15" w14:textId="77777777" w:rsidR="00D35CBF" w:rsidRDefault="00D35CBF" w:rsidP="00B14A5F">
          <w:pPr>
            <w:spacing w:line="0" w:lineRule="atLeast"/>
            <w:rPr>
              <w:sz w:val="18"/>
            </w:rPr>
          </w:pPr>
        </w:p>
      </w:tc>
      <w:tc>
        <w:tcPr>
          <w:tcW w:w="6379" w:type="dxa"/>
          <w:tcBorders>
            <w:top w:val="nil"/>
            <w:left w:val="nil"/>
            <w:bottom w:val="nil"/>
            <w:right w:val="nil"/>
          </w:tcBorders>
        </w:tcPr>
        <w:p w14:paraId="76A10DBE" w14:textId="25CA0F4B" w:rsidR="00D35CBF" w:rsidRDefault="00D35CBF" w:rsidP="00B14A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1D7B">
            <w:rPr>
              <w:i/>
              <w:sz w:val="18"/>
            </w:rPr>
            <w:t>Superannuation Industry (Supervision) Amendment (Your Future, Your Super—Addressing Underperformance in Superannuation) Regulations 2023</w:t>
          </w:r>
          <w:r w:rsidRPr="007A1328">
            <w:rPr>
              <w:i/>
              <w:sz w:val="18"/>
            </w:rPr>
            <w:fldChar w:fldCharType="end"/>
          </w:r>
        </w:p>
      </w:tc>
      <w:tc>
        <w:tcPr>
          <w:tcW w:w="709" w:type="dxa"/>
          <w:tcBorders>
            <w:top w:val="nil"/>
            <w:left w:val="nil"/>
            <w:bottom w:val="nil"/>
            <w:right w:val="nil"/>
          </w:tcBorders>
        </w:tcPr>
        <w:p w14:paraId="1B992471" w14:textId="77777777" w:rsidR="00D35CBF" w:rsidRDefault="00D35CBF" w:rsidP="00B14A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3DE9266" w14:textId="77777777" w:rsidR="00D35CBF" w:rsidRPr="0049111F" w:rsidRDefault="0049111F" w:rsidP="0049111F">
    <w:pPr>
      <w:rPr>
        <w:rFonts w:cs="Times New Roman"/>
        <w:i/>
        <w:sz w:val="18"/>
      </w:rPr>
    </w:pPr>
    <w:r w:rsidRPr="0049111F">
      <w:rPr>
        <w:rFonts w:cs="Times New Roman"/>
        <w:i/>
        <w:sz w:val="18"/>
      </w:rPr>
      <w:t>OPC66331 -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CA049" w14:textId="77777777" w:rsidR="00D35CBF" w:rsidRPr="00E33C1C" w:rsidRDefault="00D35CBF"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35CBF" w14:paraId="539E8620" w14:textId="77777777" w:rsidTr="007A6863">
      <w:tc>
        <w:tcPr>
          <w:tcW w:w="1384" w:type="dxa"/>
          <w:tcBorders>
            <w:top w:val="nil"/>
            <w:left w:val="nil"/>
            <w:bottom w:val="nil"/>
            <w:right w:val="nil"/>
          </w:tcBorders>
        </w:tcPr>
        <w:p w14:paraId="561DF8AB" w14:textId="77777777" w:rsidR="00D35CBF" w:rsidRDefault="00D35CBF" w:rsidP="00B14A5F">
          <w:pPr>
            <w:spacing w:line="0" w:lineRule="atLeast"/>
            <w:rPr>
              <w:sz w:val="18"/>
            </w:rPr>
          </w:pPr>
        </w:p>
      </w:tc>
      <w:tc>
        <w:tcPr>
          <w:tcW w:w="6379" w:type="dxa"/>
          <w:tcBorders>
            <w:top w:val="nil"/>
            <w:left w:val="nil"/>
            <w:bottom w:val="nil"/>
            <w:right w:val="nil"/>
          </w:tcBorders>
        </w:tcPr>
        <w:p w14:paraId="56D9A464" w14:textId="0FAE42C5" w:rsidR="00D35CBF" w:rsidRDefault="00D35CBF" w:rsidP="00B14A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1D7B">
            <w:rPr>
              <w:i/>
              <w:sz w:val="18"/>
            </w:rPr>
            <w:t>Superannuation Industry (Supervision) Amendment (Your Future, Your Super—Addressing Underperformance in Superannuation) Regulations 2023</w:t>
          </w:r>
          <w:r w:rsidRPr="007A1328">
            <w:rPr>
              <w:i/>
              <w:sz w:val="18"/>
            </w:rPr>
            <w:fldChar w:fldCharType="end"/>
          </w:r>
        </w:p>
      </w:tc>
      <w:tc>
        <w:tcPr>
          <w:tcW w:w="709" w:type="dxa"/>
          <w:tcBorders>
            <w:top w:val="nil"/>
            <w:left w:val="nil"/>
            <w:bottom w:val="nil"/>
            <w:right w:val="nil"/>
          </w:tcBorders>
        </w:tcPr>
        <w:p w14:paraId="76847C39" w14:textId="77777777" w:rsidR="00D35CBF" w:rsidRDefault="00D35CBF" w:rsidP="00B14A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038C575D" w14:textId="77777777" w:rsidR="00D35CBF" w:rsidRPr="0049111F" w:rsidRDefault="0049111F" w:rsidP="0049111F">
    <w:pPr>
      <w:rPr>
        <w:rFonts w:cs="Times New Roman"/>
        <w:i/>
        <w:sz w:val="18"/>
      </w:rPr>
    </w:pPr>
    <w:r w:rsidRPr="0049111F">
      <w:rPr>
        <w:rFonts w:cs="Times New Roman"/>
        <w:i/>
        <w:sz w:val="18"/>
      </w:rPr>
      <w:t>OPC66331 -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B81B5" w14:textId="77777777" w:rsidR="00D35CBF" w:rsidRDefault="00D35CBF" w:rsidP="0048364F">
      <w:pPr>
        <w:spacing w:line="240" w:lineRule="auto"/>
      </w:pPr>
      <w:r>
        <w:separator/>
      </w:r>
    </w:p>
  </w:footnote>
  <w:footnote w:type="continuationSeparator" w:id="0">
    <w:p w14:paraId="03E1A289" w14:textId="77777777" w:rsidR="00D35CBF" w:rsidRDefault="00D35CBF" w:rsidP="0048364F">
      <w:pPr>
        <w:spacing w:line="240" w:lineRule="auto"/>
      </w:pPr>
      <w:r>
        <w:continuationSeparator/>
      </w:r>
    </w:p>
  </w:footnote>
  <w:footnote w:type="continuationNotice" w:id="1">
    <w:p w14:paraId="2DD31525" w14:textId="77777777" w:rsidR="003D5D4C" w:rsidRDefault="003D5D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E6EB3" w14:textId="77777777" w:rsidR="00D35CBF" w:rsidRPr="005F1388" w:rsidRDefault="00D35CB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DDFA7" w14:textId="77777777" w:rsidR="00D35CBF" w:rsidRPr="005F1388" w:rsidRDefault="00D35CB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2F80A" w14:textId="77777777" w:rsidR="00D35CBF" w:rsidRPr="005F1388" w:rsidRDefault="00D35CB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03E1D" w14:textId="77777777" w:rsidR="00D35CBF" w:rsidRPr="00ED79B6" w:rsidRDefault="00D35CB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CD07B" w14:textId="77777777" w:rsidR="00D35CBF" w:rsidRPr="00ED79B6" w:rsidRDefault="00D35CBF"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09429" w14:textId="77777777" w:rsidR="00D35CBF" w:rsidRPr="00ED79B6" w:rsidRDefault="00D35CB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3654B" w14:textId="32B97931" w:rsidR="00D35CBF" w:rsidRPr="00A961C4" w:rsidRDefault="00D35CBF" w:rsidP="0048364F">
    <w:pPr>
      <w:rPr>
        <w:b/>
        <w:sz w:val="20"/>
      </w:rPr>
    </w:pPr>
    <w:r>
      <w:rPr>
        <w:b/>
        <w:sz w:val="20"/>
      </w:rPr>
      <w:fldChar w:fldCharType="begin"/>
    </w:r>
    <w:r>
      <w:rPr>
        <w:b/>
        <w:sz w:val="20"/>
      </w:rPr>
      <w:instrText xml:space="preserve"> STYLEREF CharAmSchNo </w:instrText>
    </w:r>
    <w:r>
      <w:rPr>
        <w:b/>
        <w:sz w:val="20"/>
      </w:rPr>
      <w:fldChar w:fldCharType="separate"/>
    </w:r>
    <w:r w:rsidR="00F60E5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F60E58">
      <w:rPr>
        <w:noProof/>
        <w:sz w:val="20"/>
      </w:rPr>
      <w:t>Main amendments</w:t>
    </w:r>
    <w:r>
      <w:rPr>
        <w:sz w:val="20"/>
      </w:rPr>
      <w:fldChar w:fldCharType="end"/>
    </w:r>
  </w:p>
  <w:p w14:paraId="6011A3BE" w14:textId="2D0EE9BA" w:rsidR="00D35CBF" w:rsidRPr="00A961C4" w:rsidRDefault="00D35CB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FC3A464" w14:textId="77777777" w:rsidR="00D35CBF" w:rsidRPr="00A961C4" w:rsidRDefault="00D35CB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561B0" w14:textId="2541A935" w:rsidR="00D35CBF" w:rsidRPr="00A961C4" w:rsidRDefault="00D35CB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5617CB2" w14:textId="2C77ADAD" w:rsidR="00D35CBF" w:rsidRPr="00A961C4" w:rsidRDefault="00D35CB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7F997BF" w14:textId="77777777" w:rsidR="00D35CBF" w:rsidRPr="00A961C4" w:rsidRDefault="00D35CB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D2A6E" w14:textId="77777777" w:rsidR="00D35CBF" w:rsidRPr="00A961C4" w:rsidRDefault="00D35CB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86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46"/>
    <w:rsid w:val="00000263"/>
    <w:rsid w:val="00001401"/>
    <w:rsid w:val="000110C5"/>
    <w:rsid w:val="000113BC"/>
    <w:rsid w:val="000136AF"/>
    <w:rsid w:val="00014FF4"/>
    <w:rsid w:val="000203B8"/>
    <w:rsid w:val="00022119"/>
    <w:rsid w:val="000270F3"/>
    <w:rsid w:val="0003012E"/>
    <w:rsid w:val="00031C54"/>
    <w:rsid w:val="00035B7B"/>
    <w:rsid w:val="00036E24"/>
    <w:rsid w:val="0004044E"/>
    <w:rsid w:val="000466E9"/>
    <w:rsid w:val="00046F47"/>
    <w:rsid w:val="0005120E"/>
    <w:rsid w:val="00054577"/>
    <w:rsid w:val="000614BF"/>
    <w:rsid w:val="000666F1"/>
    <w:rsid w:val="0007169C"/>
    <w:rsid w:val="00074261"/>
    <w:rsid w:val="000771F3"/>
    <w:rsid w:val="00077593"/>
    <w:rsid w:val="0008115B"/>
    <w:rsid w:val="00081279"/>
    <w:rsid w:val="0008381E"/>
    <w:rsid w:val="00083F48"/>
    <w:rsid w:val="000979F6"/>
    <w:rsid w:val="000A405E"/>
    <w:rsid w:val="000A7DF9"/>
    <w:rsid w:val="000B21E1"/>
    <w:rsid w:val="000C16EC"/>
    <w:rsid w:val="000C2075"/>
    <w:rsid w:val="000D05EF"/>
    <w:rsid w:val="000D12D6"/>
    <w:rsid w:val="000D5485"/>
    <w:rsid w:val="000E6D45"/>
    <w:rsid w:val="000F21C1"/>
    <w:rsid w:val="000F5AA4"/>
    <w:rsid w:val="00105D72"/>
    <w:rsid w:val="0010745C"/>
    <w:rsid w:val="00116E31"/>
    <w:rsid w:val="00117277"/>
    <w:rsid w:val="001248F8"/>
    <w:rsid w:val="00126AC6"/>
    <w:rsid w:val="001376B0"/>
    <w:rsid w:val="00155162"/>
    <w:rsid w:val="00155873"/>
    <w:rsid w:val="00160BD7"/>
    <w:rsid w:val="001643C9"/>
    <w:rsid w:val="00165568"/>
    <w:rsid w:val="00166082"/>
    <w:rsid w:val="00166C2F"/>
    <w:rsid w:val="001716C9"/>
    <w:rsid w:val="00172B2C"/>
    <w:rsid w:val="00184261"/>
    <w:rsid w:val="00190BA1"/>
    <w:rsid w:val="00190DF5"/>
    <w:rsid w:val="00193461"/>
    <w:rsid w:val="001939E1"/>
    <w:rsid w:val="00195382"/>
    <w:rsid w:val="001A0554"/>
    <w:rsid w:val="001A167A"/>
    <w:rsid w:val="001A3B9F"/>
    <w:rsid w:val="001A4302"/>
    <w:rsid w:val="001A65C0"/>
    <w:rsid w:val="001B6456"/>
    <w:rsid w:val="001B7A5D"/>
    <w:rsid w:val="001C56BE"/>
    <w:rsid w:val="001C69C4"/>
    <w:rsid w:val="001E0A8D"/>
    <w:rsid w:val="001E3590"/>
    <w:rsid w:val="001E360D"/>
    <w:rsid w:val="001E3AC5"/>
    <w:rsid w:val="001E6DFB"/>
    <w:rsid w:val="001E7407"/>
    <w:rsid w:val="001F6863"/>
    <w:rsid w:val="00201D27"/>
    <w:rsid w:val="0020300C"/>
    <w:rsid w:val="00203317"/>
    <w:rsid w:val="00205D70"/>
    <w:rsid w:val="00212658"/>
    <w:rsid w:val="00213115"/>
    <w:rsid w:val="00220A0C"/>
    <w:rsid w:val="00223E4A"/>
    <w:rsid w:val="002302EA"/>
    <w:rsid w:val="002315E5"/>
    <w:rsid w:val="00240749"/>
    <w:rsid w:val="00241E21"/>
    <w:rsid w:val="002439ED"/>
    <w:rsid w:val="002468D7"/>
    <w:rsid w:val="00260DD9"/>
    <w:rsid w:val="00262F3B"/>
    <w:rsid w:val="00263886"/>
    <w:rsid w:val="0026400F"/>
    <w:rsid w:val="00273BD2"/>
    <w:rsid w:val="0027564C"/>
    <w:rsid w:val="00285CDD"/>
    <w:rsid w:val="00291167"/>
    <w:rsid w:val="00291F98"/>
    <w:rsid w:val="00297ECB"/>
    <w:rsid w:val="002A18B0"/>
    <w:rsid w:val="002C152A"/>
    <w:rsid w:val="002D043A"/>
    <w:rsid w:val="002D098C"/>
    <w:rsid w:val="002E1738"/>
    <w:rsid w:val="002F1B03"/>
    <w:rsid w:val="002F1DE7"/>
    <w:rsid w:val="002F7F84"/>
    <w:rsid w:val="0031275E"/>
    <w:rsid w:val="0031713F"/>
    <w:rsid w:val="00321913"/>
    <w:rsid w:val="00323BAB"/>
    <w:rsid w:val="00324EE6"/>
    <w:rsid w:val="00325E26"/>
    <w:rsid w:val="003304F1"/>
    <w:rsid w:val="003316DC"/>
    <w:rsid w:val="00332E0D"/>
    <w:rsid w:val="00332EBC"/>
    <w:rsid w:val="00341438"/>
    <w:rsid w:val="003415D3"/>
    <w:rsid w:val="00342381"/>
    <w:rsid w:val="00346335"/>
    <w:rsid w:val="00350FE8"/>
    <w:rsid w:val="00352B0F"/>
    <w:rsid w:val="003561B0"/>
    <w:rsid w:val="0036063F"/>
    <w:rsid w:val="003618EC"/>
    <w:rsid w:val="00367960"/>
    <w:rsid w:val="003821FF"/>
    <w:rsid w:val="00391328"/>
    <w:rsid w:val="003930F8"/>
    <w:rsid w:val="003A15AC"/>
    <w:rsid w:val="003A2C87"/>
    <w:rsid w:val="003A2E34"/>
    <w:rsid w:val="003A56EB"/>
    <w:rsid w:val="003B0627"/>
    <w:rsid w:val="003B3723"/>
    <w:rsid w:val="003B3F8B"/>
    <w:rsid w:val="003B4712"/>
    <w:rsid w:val="003C04D7"/>
    <w:rsid w:val="003C5F2B"/>
    <w:rsid w:val="003D0BFE"/>
    <w:rsid w:val="003D5700"/>
    <w:rsid w:val="003D5D4C"/>
    <w:rsid w:val="003D69A0"/>
    <w:rsid w:val="003E5F39"/>
    <w:rsid w:val="003F0F5A"/>
    <w:rsid w:val="00400A30"/>
    <w:rsid w:val="00401037"/>
    <w:rsid w:val="004022CA"/>
    <w:rsid w:val="00406548"/>
    <w:rsid w:val="004116CD"/>
    <w:rsid w:val="00411D9D"/>
    <w:rsid w:val="0041273A"/>
    <w:rsid w:val="00414ADE"/>
    <w:rsid w:val="0041715E"/>
    <w:rsid w:val="00417462"/>
    <w:rsid w:val="00424CA9"/>
    <w:rsid w:val="004257BB"/>
    <w:rsid w:val="004261D9"/>
    <w:rsid w:val="004262B2"/>
    <w:rsid w:val="00427989"/>
    <w:rsid w:val="00441384"/>
    <w:rsid w:val="0044161D"/>
    <w:rsid w:val="0044291A"/>
    <w:rsid w:val="0044459D"/>
    <w:rsid w:val="00454C49"/>
    <w:rsid w:val="00460499"/>
    <w:rsid w:val="00474835"/>
    <w:rsid w:val="004811AF"/>
    <w:rsid w:val="004819C7"/>
    <w:rsid w:val="0048364F"/>
    <w:rsid w:val="004844D6"/>
    <w:rsid w:val="00490F2E"/>
    <w:rsid w:val="0049111F"/>
    <w:rsid w:val="00493810"/>
    <w:rsid w:val="004952DF"/>
    <w:rsid w:val="00496DB3"/>
    <w:rsid w:val="00496F97"/>
    <w:rsid w:val="004A32C1"/>
    <w:rsid w:val="004A53EA"/>
    <w:rsid w:val="004B4972"/>
    <w:rsid w:val="004B51BF"/>
    <w:rsid w:val="004B5BDB"/>
    <w:rsid w:val="004C3C23"/>
    <w:rsid w:val="004C5F04"/>
    <w:rsid w:val="004D0771"/>
    <w:rsid w:val="004D4FA3"/>
    <w:rsid w:val="004D617B"/>
    <w:rsid w:val="004E7533"/>
    <w:rsid w:val="004F05BC"/>
    <w:rsid w:val="004F1FAC"/>
    <w:rsid w:val="004F4CD5"/>
    <w:rsid w:val="004F676E"/>
    <w:rsid w:val="005103EB"/>
    <w:rsid w:val="00510E3E"/>
    <w:rsid w:val="00516B8D"/>
    <w:rsid w:val="0052686F"/>
    <w:rsid w:val="00526870"/>
    <w:rsid w:val="0052756C"/>
    <w:rsid w:val="00530230"/>
    <w:rsid w:val="00530CC9"/>
    <w:rsid w:val="005350F6"/>
    <w:rsid w:val="00537DE8"/>
    <w:rsid w:val="00537FBC"/>
    <w:rsid w:val="00541D73"/>
    <w:rsid w:val="00543469"/>
    <w:rsid w:val="005452CC"/>
    <w:rsid w:val="00546357"/>
    <w:rsid w:val="00546FA3"/>
    <w:rsid w:val="00554243"/>
    <w:rsid w:val="0055641E"/>
    <w:rsid w:val="00557C7A"/>
    <w:rsid w:val="00562A58"/>
    <w:rsid w:val="005633D2"/>
    <w:rsid w:val="00571D7B"/>
    <w:rsid w:val="005745CD"/>
    <w:rsid w:val="00577FCE"/>
    <w:rsid w:val="00581211"/>
    <w:rsid w:val="0058150C"/>
    <w:rsid w:val="00584811"/>
    <w:rsid w:val="005867C9"/>
    <w:rsid w:val="00587C3E"/>
    <w:rsid w:val="00593AA6"/>
    <w:rsid w:val="00594161"/>
    <w:rsid w:val="00594512"/>
    <w:rsid w:val="00594749"/>
    <w:rsid w:val="00596B59"/>
    <w:rsid w:val="005A0820"/>
    <w:rsid w:val="005A482B"/>
    <w:rsid w:val="005B4067"/>
    <w:rsid w:val="005B6A7B"/>
    <w:rsid w:val="005C36E0"/>
    <w:rsid w:val="005C3F41"/>
    <w:rsid w:val="005C60DE"/>
    <w:rsid w:val="005C77D0"/>
    <w:rsid w:val="005D168D"/>
    <w:rsid w:val="005D25A6"/>
    <w:rsid w:val="005D3D6F"/>
    <w:rsid w:val="005D5EA1"/>
    <w:rsid w:val="005D6124"/>
    <w:rsid w:val="005E295E"/>
    <w:rsid w:val="005E61D3"/>
    <w:rsid w:val="005F4840"/>
    <w:rsid w:val="005F7738"/>
    <w:rsid w:val="00600219"/>
    <w:rsid w:val="006005E1"/>
    <w:rsid w:val="00603095"/>
    <w:rsid w:val="00613C01"/>
    <w:rsid w:val="00613EAD"/>
    <w:rsid w:val="006158AC"/>
    <w:rsid w:val="0061797C"/>
    <w:rsid w:val="006212E7"/>
    <w:rsid w:val="00627977"/>
    <w:rsid w:val="00640402"/>
    <w:rsid w:val="00640706"/>
    <w:rsid w:val="00640F78"/>
    <w:rsid w:val="00644FA2"/>
    <w:rsid w:val="00646E7B"/>
    <w:rsid w:val="00646FF5"/>
    <w:rsid w:val="006544EB"/>
    <w:rsid w:val="00655D6A"/>
    <w:rsid w:val="00656DE9"/>
    <w:rsid w:val="00661DAB"/>
    <w:rsid w:val="00677CC2"/>
    <w:rsid w:val="00683433"/>
    <w:rsid w:val="00685F42"/>
    <w:rsid w:val="006866A1"/>
    <w:rsid w:val="00690D49"/>
    <w:rsid w:val="00691E6B"/>
    <w:rsid w:val="0069207B"/>
    <w:rsid w:val="006A4309"/>
    <w:rsid w:val="006B04CC"/>
    <w:rsid w:val="006B0E55"/>
    <w:rsid w:val="006B2BC0"/>
    <w:rsid w:val="006B7006"/>
    <w:rsid w:val="006C7F8C"/>
    <w:rsid w:val="006D1489"/>
    <w:rsid w:val="006D67E2"/>
    <w:rsid w:val="006D7AB9"/>
    <w:rsid w:val="00700B2C"/>
    <w:rsid w:val="00713084"/>
    <w:rsid w:val="00717C0C"/>
    <w:rsid w:val="00720D0B"/>
    <w:rsid w:val="00720FC2"/>
    <w:rsid w:val="007236EB"/>
    <w:rsid w:val="00731AC0"/>
    <w:rsid w:val="00731E00"/>
    <w:rsid w:val="00732E9D"/>
    <w:rsid w:val="00733CF3"/>
    <w:rsid w:val="0073491A"/>
    <w:rsid w:val="007440B7"/>
    <w:rsid w:val="00745FEE"/>
    <w:rsid w:val="007474C9"/>
    <w:rsid w:val="00747993"/>
    <w:rsid w:val="00747C6E"/>
    <w:rsid w:val="0076179E"/>
    <w:rsid w:val="007618BB"/>
    <w:rsid w:val="007634AD"/>
    <w:rsid w:val="007715C9"/>
    <w:rsid w:val="00774EDD"/>
    <w:rsid w:val="007757EC"/>
    <w:rsid w:val="0079520E"/>
    <w:rsid w:val="007A115D"/>
    <w:rsid w:val="007A35E6"/>
    <w:rsid w:val="007A501F"/>
    <w:rsid w:val="007A6863"/>
    <w:rsid w:val="007A784F"/>
    <w:rsid w:val="007B4A70"/>
    <w:rsid w:val="007D1A7E"/>
    <w:rsid w:val="007D45C1"/>
    <w:rsid w:val="007E1CDD"/>
    <w:rsid w:val="007E2BE7"/>
    <w:rsid w:val="007E6BA8"/>
    <w:rsid w:val="007E7D4A"/>
    <w:rsid w:val="007F1EA7"/>
    <w:rsid w:val="007F48ED"/>
    <w:rsid w:val="007F7947"/>
    <w:rsid w:val="008073F6"/>
    <w:rsid w:val="00810654"/>
    <w:rsid w:val="00811EE1"/>
    <w:rsid w:val="00812F45"/>
    <w:rsid w:val="008217CF"/>
    <w:rsid w:val="00823870"/>
    <w:rsid w:val="00823B55"/>
    <w:rsid w:val="00826EEA"/>
    <w:rsid w:val="0083156D"/>
    <w:rsid w:val="00831A36"/>
    <w:rsid w:val="00834C03"/>
    <w:rsid w:val="00841245"/>
    <w:rsid w:val="0084172C"/>
    <w:rsid w:val="00845121"/>
    <w:rsid w:val="00846DBF"/>
    <w:rsid w:val="008558B7"/>
    <w:rsid w:val="00856A31"/>
    <w:rsid w:val="00860F5D"/>
    <w:rsid w:val="00872C60"/>
    <w:rsid w:val="008754D0"/>
    <w:rsid w:val="00877D48"/>
    <w:rsid w:val="00880902"/>
    <w:rsid w:val="008816F0"/>
    <w:rsid w:val="0088345B"/>
    <w:rsid w:val="0089472B"/>
    <w:rsid w:val="008A16A5"/>
    <w:rsid w:val="008A42A2"/>
    <w:rsid w:val="008B5D42"/>
    <w:rsid w:val="008C2B5D"/>
    <w:rsid w:val="008C33EF"/>
    <w:rsid w:val="008C5333"/>
    <w:rsid w:val="008C783E"/>
    <w:rsid w:val="008D0EE0"/>
    <w:rsid w:val="008D5B99"/>
    <w:rsid w:val="008D7A27"/>
    <w:rsid w:val="008E25F9"/>
    <w:rsid w:val="008E3333"/>
    <w:rsid w:val="008E4702"/>
    <w:rsid w:val="008E69AA"/>
    <w:rsid w:val="008F4F1C"/>
    <w:rsid w:val="008F5242"/>
    <w:rsid w:val="0090593C"/>
    <w:rsid w:val="00917888"/>
    <w:rsid w:val="00922764"/>
    <w:rsid w:val="00923895"/>
    <w:rsid w:val="00932377"/>
    <w:rsid w:val="009408EA"/>
    <w:rsid w:val="00941755"/>
    <w:rsid w:val="00943102"/>
    <w:rsid w:val="0094523D"/>
    <w:rsid w:val="00950652"/>
    <w:rsid w:val="0095249F"/>
    <w:rsid w:val="009545CE"/>
    <w:rsid w:val="009559E6"/>
    <w:rsid w:val="0096378F"/>
    <w:rsid w:val="009649DB"/>
    <w:rsid w:val="009757FE"/>
    <w:rsid w:val="00976A63"/>
    <w:rsid w:val="009801C2"/>
    <w:rsid w:val="00983419"/>
    <w:rsid w:val="00994821"/>
    <w:rsid w:val="00994D28"/>
    <w:rsid w:val="009A3C1C"/>
    <w:rsid w:val="009A68DC"/>
    <w:rsid w:val="009B1F5D"/>
    <w:rsid w:val="009B31D5"/>
    <w:rsid w:val="009B57FD"/>
    <w:rsid w:val="009C3431"/>
    <w:rsid w:val="009C4C35"/>
    <w:rsid w:val="009C5989"/>
    <w:rsid w:val="009D08DA"/>
    <w:rsid w:val="009D3406"/>
    <w:rsid w:val="009D4752"/>
    <w:rsid w:val="009D515A"/>
    <w:rsid w:val="009D5D15"/>
    <w:rsid w:val="009E25B3"/>
    <w:rsid w:val="009E3390"/>
    <w:rsid w:val="009E3736"/>
    <w:rsid w:val="009E46C1"/>
    <w:rsid w:val="009E4A76"/>
    <w:rsid w:val="009F1287"/>
    <w:rsid w:val="009F24C6"/>
    <w:rsid w:val="00A06860"/>
    <w:rsid w:val="00A06B13"/>
    <w:rsid w:val="00A12257"/>
    <w:rsid w:val="00A131B5"/>
    <w:rsid w:val="00A135E7"/>
    <w:rsid w:val="00A136F5"/>
    <w:rsid w:val="00A1729E"/>
    <w:rsid w:val="00A21E00"/>
    <w:rsid w:val="00A22B2A"/>
    <w:rsid w:val="00A231E2"/>
    <w:rsid w:val="00A2550D"/>
    <w:rsid w:val="00A4169B"/>
    <w:rsid w:val="00A445F2"/>
    <w:rsid w:val="00A44ACF"/>
    <w:rsid w:val="00A45755"/>
    <w:rsid w:val="00A47F0E"/>
    <w:rsid w:val="00A50D55"/>
    <w:rsid w:val="00A5165B"/>
    <w:rsid w:val="00A52BED"/>
    <w:rsid w:val="00A52FDA"/>
    <w:rsid w:val="00A5370B"/>
    <w:rsid w:val="00A53E54"/>
    <w:rsid w:val="00A62FD5"/>
    <w:rsid w:val="00A644AB"/>
    <w:rsid w:val="00A64912"/>
    <w:rsid w:val="00A70A74"/>
    <w:rsid w:val="00A70ACD"/>
    <w:rsid w:val="00A76736"/>
    <w:rsid w:val="00A800FE"/>
    <w:rsid w:val="00A8021F"/>
    <w:rsid w:val="00A80E6D"/>
    <w:rsid w:val="00A90EA8"/>
    <w:rsid w:val="00AA0343"/>
    <w:rsid w:val="00AA2A5C"/>
    <w:rsid w:val="00AB0A15"/>
    <w:rsid w:val="00AB14AB"/>
    <w:rsid w:val="00AB78E9"/>
    <w:rsid w:val="00AC015E"/>
    <w:rsid w:val="00AC02A5"/>
    <w:rsid w:val="00AC1D63"/>
    <w:rsid w:val="00AD3467"/>
    <w:rsid w:val="00AD5641"/>
    <w:rsid w:val="00AD7252"/>
    <w:rsid w:val="00AE0F9B"/>
    <w:rsid w:val="00AF55FF"/>
    <w:rsid w:val="00B032D8"/>
    <w:rsid w:val="00B055AA"/>
    <w:rsid w:val="00B05E07"/>
    <w:rsid w:val="00B07D72"/>
    <w:rsid w:val="00B10882"/>
    <w:rsid w:val="00B11137"/>
    <w:rsid w:val="00B115BD"/>
    <w:rsid w:val="00B1328B"/>
    <w:rsid w:val="00B14A5F"/>
    <w:rsid w:val="00B16E5E"/>
    <w:rsid w:val="00B23130"/>
    <w:rsid w:val="00B33B3C"/>
    <w:rsid w:val="00B341FF"/>
    <w:rsid w:val="00B350CB"/>
    <w:rsid w:val="00B40D74"/>
    <w:rsid w:val="00B472F0"/>
    <w:rsid w:val="00B50734"/>
    <w:rsid w:val="00B52663"/>
    <w:rsid w:val="00B56DCB"/>
    <w:rsid w:val="00B5787D"/>
    <w:rsid w:val="00B633B8"/>
    <w:rsid w:val="00B70565"/>
    <w:rsid w:val="00B7279D"/>
    <w:rsid w:val="00B770D2"/>
    <w:rsid w:val="00B93054"/>
    <w:rsid w:val="00B9352A"/>
    <w:rsid w:val="00B94F68"/>
    <w:rsid w:val="00BA47A3"/>
    <w:rsid w:val="00BA5026"/>
    <w:rsid w:val="00BB6E79"/>
    <w:rsid w:val="00BC6386"/>
    <w:rsid w:val="00BD4197"/>
    <w:rsid w:val="00BD78DF"/>
    <w:rsid w:val="00BE0C58"/>
    <w:rsid w:val="00BE3B31"/>
    <w:rsid w:val="00BE719A"/>
    <w:rsid w:val="00BE720A"/>
    <w:rsid w:val="00BF544A"/>
    <w:rsid w:val="00BF6650"/>
    <w:rsid w:val="00BF73D7"/>
    <w:rsid w:val="00C067E5"/>
    <w:rsid w:val="00C13EAD"/>
    <w:rsid w:val="00C1567D"/>
    <w:rsid w:val="00C164CA"/>
    <w:rsid w:val="00C247A1"/>
    <w:rsid w:val="00C379DE"/>
    <w:rsid w:val="00C42BF8"/>
    <w:rsid w:val="00C460AE"/>
    <w:rsid w:val="00C50043"/>
    <w:rsid w:val="00C50A0F"/>
    <w:rsid w:val="00C6283D"/>
    <w:rsid w:val="00C646E9"/>
    <w:rsid w:val="00C720F8"/>
    <w:rsid w:val="00C736A6"/>
    <w:rsid w:val="00C74553"/>
    <w:rsid w:val="00C7573B"/>
    <w:rsid w:val="00C76CF3"/>
    <w:rsid w:val="00C923A3"/>
    <w:rsid w:val="00CA7844"/>
    <w:rsid w:val="00CB58EF"/>
    <w:rsid w:val="00CD4114"/>
    <w:rsid w:val="00CD4C77"/>
    <w:rsid w:val="00CE7D64"/>
    <w:rsid w:val="00CF0929"/>
    <w:rsid w:val="00CF0BB2"/>
    <w:rsid w:val="00D12129"/>
    <w:rsid w:val="00D123BC"/>
    <w:rsid w:val="00D13441"/>
    <w:rsid w:val="00D14D53"/>
    <w:rsid w:val="00D15DBF"/>
    <w:rsid w:val="00D20665"/>
    <w:rsid w:val="00D243A3"/>
    <w:rsid w:val="00D251D3"/>
    <w:rsid w:val="00D301C4"/>
    <w:rsid w:val="00D318DB"/>
    <w:rsid w:val="00D3200B"/>
    <w:rsid w:val="00D32DC2"/>
    <w:rsid w:val="00D33440"/>
    <w:rsid w:val="00D35CBF"/>
    <w:rsid w:val="00D37E56"/>
    <w:rsid w:val="00D4001B"/>
    <w:rsid w:val="00D42347"/>
    <w:rsid w:val="00D43CF2"/>
    <w:rsid w:val="00D52EFE"/>
    <w:rsid w:val="00D56A0D"/>
    <w:rsid w:val="00D5767F"/>
    <w:rsid w:val="00D63EF6"/>
    <w:rsid w:val="00D64F46"/>
    <w:rsid w:val="00D65676"/>
    <w:rsid w:val="00D66518"/>
    <w:rsid w:val="00D66B45"/>
    <w:rsid w:val="00D70699"/>
    <w:rsid w:val="00D70DFB"/>
    <w:rsid w:val="00D71EEA"/>
    <w:rsid w:val="00D72ED3"/>
    <w:rsid w:val="00D735CD"/>
    <w:rsid w:val="00D743BF"/>
    <w:rsid w:val="00D766DF"/>
    <w:rsid w:val="00D76928"/>
    <w:rsid w:val="00D77B3A"/>
    <w:rsid w:val="00D77EC5"/>
    <w:rsid w:val="00D81805"/>
    <w:rsid w:val="00D95891"/>
    <w:rsid w:val="00DA2562"/>
    <w:rsid w:val="00DA3389"/>
    <w:rsid w:val="00DB0D54"/>
    <w:rsid w:val="00DB1035"/>
    <w:rsid w:val="00DB5CB4"/>
    <w:rsid w:val="00DB72DA"/>
    <w:rsid w:val="00DE149E"/>
    <w:rsid w:val="00DE572E"/>
    <w:rsid w:val="00E04C51"/>
    <w:rsid w:val="00E05704"/>
    <w:rsid w:val="00E05A00"/>
    <w:rsid w:val="00E05EBC"/>
    <w:rsid w:val="00E12F1A"/>
    <w:rsid w:val="00E15561"/>
    <w:rsid w:val="00E21CFB"/>
    <w:rsid w:val="00E22935"/>
    <w:rsid w:val="00E3032B"/>
    <w:rsid w:val="00E33C1C"/>
    <w:rsid w:val="00E54292"/>
    <w:rsid w:val="00E546F2"/>
    <w:rsid w:val="00E60191"/>
    <w:rsid w:val="00E6772C"/>
    <w:rsid w:val="00E727BA"/>
    <w:rsid w:val="00E73A95"/>
    <w:rsid w:val="00E74DC7"/>
    <w:rsid w:val="00E87556"/>
    <w:rsid w:val="00E87699"/>
    <w:rsid w:val="00E92E27"/>
    <w:rsid w:val="00E9586B"/>
    <w:rsid w:val="00E97334"/>
    <w:rsid w:val="00EA0D36"/>
    <w:rsid w:val="00EB71B2"/>
    <w:rsid w:val="00EC1450"/>
    <w:rsid w:val="00EC646C"/>
    <w:rsid w:val="00ED24A2"/>
    <w:rsid w:val="00ED4928"/>
    <w:rsid w:val="00ED4AC2"/>
    <w:rsid w:val="00ED6398"/>
    <w:rsid w:val="00EE3749"/>
    <w:rsid w:val="00EE6190"/>
    <w:rsid w:val="00EF2E3A"/>
    <w:rsid w:val="00EF5958"/>
    <w:rsid w:val="00EF6402"/>
    <w:rsid w:val="00F025DF"/>
    <w:rsid w:val="00F047E2"/>
    <w:rsid w:val="00F04D57"/>
    <w:rsid w:val="00F078DC"/>
    <w:rsid w:val="00F11D28"/>
    <w:rsid w:val="00F13E86"/>
    <w:rsid w:val="00F32FCB"/>
    <w:rsid w:val="00F41203"/>
    <w:rsid w:val="00F53F3C"/>
    <w:rsid w:val="00F60861"/>
    <w:rsid w:val="00F60E58"/>
    <w:rsid w:val="00F65F04"/>
    <w:rsid w:val="00F6709F"/>
    <w:rsid w:val="00F677A9"/>
    <w:rsid w:val="00F67E37"/>
    <w:rsid w:val="00F723BD"/>
    <w:rsid w:val="00F732EA"/>
    <w:rsid w:val="00F75733"/>
    <w:rsid w:val="00F84CF5"/>
    <w:rsid w:val="00F8612E"/>
    <w:rsid w:val="00F86888"/>
    <w:rsid w:val="00F94F5C"/>
    <w:rsid w:val="00FA078B"/>
    <w:rsid w:val="00FA3F94"/>
    <w:rsid w:val="00FA420B"/>
    <w:rsid w:val="00FA4476"/>
    <w:rsid w:val="00FA490D"/>
    <w:rsid w:val="00FB3C31"/>
    <w:rsid w:val="00FD5575"/>
    <w:rsid w:val="00FE0781"/>
    <w:rsid w:val="00FE1AE1"/>
    <w:rsid w:val="00FE57B7"/>
    <w:rsid w:val="00FF1FE5"/>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687B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70ACD"/>
    <w:pPr>
      <w:spacing w:line="260" w:lineRule="atLeast"/>
    </w:pPr>
    <w:rPr>
      <w:sz w:val="22"/>
    </w:rPr>
  </w:style>
  <w:style w:type="paragraph" w:styleId="Heading1">
    <w:name w:val="heading 1"/>
    <w:basedOn w:val="Normal"/>
    <w:next w:val="Normal"/>
    <w:link w:val="Heading1Char"/>
    <w:uiPriority w:val="9"/>
    <w:qFormat/>
    <w:rsid w:val="00A70AC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C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70AC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70AC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70AC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70AC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70AC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70AC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70AC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70ACD"/>
  </w:style>
  <w:style w:type="paragraph" w:customStyle="1" w:styleId="OPCParaBase">
    <w:name w:val="OPCParaBase"/>
    <w:qFormat/>
    <w:rsid w:val="00A70ACD"/>
    <w:pPr>
      <w:spacing w:line="260" w:lineRule="atLeast"/>
    </w:pPr>
    <w:rPr>
      <w:rFonts w:eastAsia="Times New Roman" w:cs="Times New Roman"/>
      <w:sz w:val="22"/>
      <w:lang w:eastAsia="en-AU"/>
    </w:rPr>
  </w:style>
  <w:style w:type="paragraph" w:customStyle="1" w:styleId="ShortT">
    <w:name w:val="ShortT"/>
    <w:basedOn w:val="OPCParaBase"/>
    <w:next w:val="Normal"/>
    <w:qFormat/>
    <w:rsid w:val="00A70ACD"/>
    <w:pPr>
      <w:spacing w:line="240" w:lineRule="auto"/>
    </w:pPr>
    <w:rPr>
      <w:b/>
      <w:sz w:val="40"/>
    </w:rPr>
  </w:style>
  <w:style w:type="paragraph" w:customStyle="1" w:styleId="ActHead1">
    <w:name w:val="ActHead 1"/>
    <w:aliases w:val="c"/>
    <w:basedOn w:val="OPCParaBase"/>
    <w:next w:val="Normal"/>
    <w:qFormat/>
    <w:rsid w:val="00A70A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70A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70A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70A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70A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70A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70A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70A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70AC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70ACD"/>
  </w:style>
  <w:style w:type="paragraph" w:customStyle="1" w:styleId="Blocks">
    <w:name w:val="Blocks"/>
    <w:aliases w:val="bb"/>
    <w:basedOn w:val="OPCParaBase"/>
    <w:qFormat/>
    <w:rsid w:val="00A70ACD"/>
    <w:pPr>
      <w:spacing w:line="240" w:lineRule="auto"/>
    </w:pPr>
    <w:rPr>
      <w:sz w:val="24"/>
    </w:rPr>
  </w:style>
  <w:style w:type="paragraph" w:customStyle="1" w:styleId="BoxText">
    <w:name w:val="BoxText"/>
    <w:aliases w:val="bt"/>
    <w:basedOn w:val="OPCParaBase"/>
    <w:qFormat/>
    <w:rsid w:val="00A70A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70ACD"/>
    <w:rPr>
      <w:b/>
    </w:rPr>
  </w:style>
  <w:style w:type="paragraph" w:customStyle="1" w:styleId="BoxHeadItalic">
    <w:name w:val="BoxHeadItalic"/>
    <w:aliases w:val="bhi"/>
    <w:basedOn w:val="BoxText"/>
    <w:next w:val="BoxStep"/>
    <w:qFormat/>
    <w:rsid w:val="00A70ACD"/>
    <w:rPr>
      <w:i/>
    </w:rPr>
  </w:style>
  <w:style w:type="paragraph" w:customStyle="1" w:styleId="BoxList">
    <w:name w:val="BoxList"/>
    <w:aliases w:val="bl"/>
    <w:basedOn w:val="BoxText"/>
    <w:qFormat/>
    <w:rsid w:val="00A70ACD"/>
    <w:pPr>
      <w:ind w:left="1559" w:hanging="425"/>
    </w:pPr>
  </w:style>
  <w:style w:type="paragraph" w:customStyle="1" w:styleId="BoxNote">
    <w:name w:val="BoxNote"/>
    <w:aliases w:val="bn"/>
    <w:basedOn w:val="BoxText"/>
    <w:qFormat/>
    <w:rsid w:val="00A70ACD"/>
    <w:pPr>
      <w:tabs>
        <w:tab w:val="left" w:pos="1985"/>
      </w:tabs>
      <w:spacing w:before="122" w:line="198" w:lineRule="exact"/>
      <w:ind w:left="2948" w:hanging="1814"/>
    </w:pPr>
    <w:rPr>
      <w:sz w:val="18"/>
    </w:rPr>
  </w:style>
  <w:style w:type="paragraph" w:customStyle="1" w:styleId="BoxPara">
    <w:name w:val="BoxPara"/>
    <w:aliases w:val="bp"/>
    <w:basedOn w:val="BoxText"/>
    <w:qFormat/>
    <w:rsid w:val="00A70ACD"/>
    <w:pPr>
      <w:tabs>
        <w:tab w:val="right" w:pos="2268"/>
      </w:tabs>
      <w:ind w:left="2552" w:hanging="1418"/>
    </w:pPr>
  </w:style>
  <w:style w:type="paragraph" w:customStyle="1" w:styleId="BoxStep">
    <w:name w:val="BoxStep"/>
    <w:aliases w:val="bs"/>
    <w:basedOn w:val="BoxText"/>
    <w:qFormat/>
    <w:rsid w:val="00A70ACD"/>
    <w:pPr>
      <w:ind w:left="1985" w:hanging="851"/>
    </w:pPr>
  </w:style>
  <w:style w:type="character" w:customStyle="1" w:styleId="CharAmPartNo">
    <w:name w:val="CharAmPartNo"/>
    <w:basedOn w:val="OPCCharBase"/>
    <w:qFormat/>
    <w:rsid w:val="00A70ACD"/>
  </w:style>
  <w:style w:type="character" w:customStyle="1" w:styleId="CharAmPartText">
    <w:name w:val="CharAmPartText"/>
    <w:basedOn w:val="OPCCharBase"/>
    <w:qFormat/>
    <w:rsid w:val="00A70ACD"/>
  </w:style>
  <w:style w:type="character" w:customStyle="1" w:styleId="CharAmSchNo">
    <w:name w:val="CharAmSchNo"/>
    <w:basedOn w:val="OPCCharBase"/>
    <w:qFormat/>
    <w:rsid w:val="00A70ACD"/>
  </w:style>
  <w:style w:type="character" w:customStyle="1" w:styleId="CharAmSchText">
    <w:name w:val="CharAmSchText"/>
    <w:basedOn w:val="OPCCharBase"/>
    <w:qFormat/>
    <w:rsid w:val="00A70ACD"/>
  </w:style>
  <w:style w:type="character" w:customStyle="1" w:styleId="CharBoldItalic">
    <w:name w:val="CharBoldItalic"/>
    <w:basedOn w:val="OPCCharBase"/>
    <w:uiPriority w:val="1"/>
    <w:qFormat/>
    <w:rsid w:val="00A70ACD"/>
    <w:rPr>
      <w:b/>
      <w:i/>
    </w:rPr>
  </w:style>
  <w:style w:type="character" w:customStyle="1" w:styleId="CharChapNo">
    <w:name w:val="CharChapNo"/>
    <w:basedOn w:val="OPCCharBase"/>
    <w:uiPriority w:val="1"/>
    <w:qFormat/>
    <w:rsid w:val="00A70ACD"/>
  </w:style>
  <w:style w:type="character" w:customStyle="1" w:styleId="CharChapText">
    <w:name w:val="CharChapText"/>
    <w:basedOn w:val="OPCCharBase"/>
    <w:uiPriority w:val="1"/>
    <w:qFormat/>
    <w:rsid w:val="00A70ACD"/>
  </w:style>
  <w:style w:type="character" w:customStyle="1" w:styleId="CharDivNo">
    <w:name w:val="CharDivNo"/>
    <w:basedOn w:val="OPCCharBase"/>
    <w:uiPriority w:val="1"/>
    <w:qFormat/>
    <w:rsid w:val="00A70ACD"/>
  </w:style>
  <w:style w:type="character" w:customStyle="1" w:styleId="CharDivText">
    <w:name w:val="CharDivText"/>
    <w:basedOn w:val="OPCCharBase"/>
    <w:uiPriority w:val="1"/>
    <w:qFormat/>
    <w:rsid w:val="00A70ACD"/>
  </w:style>
  <w:style w:type="character" w:customStyle="1" w:styleId="CharItalic">
    <w:name w:val="CharItalic"/>
    <w:basedOn w:val="OPCCharBase"/>
    <w:uiPriority w:val="1"/>
    <w:qFormat/>
    <w:rsid w:val="00A70ACD"/>
    <w:rPr>
      <w:i/>
    </w:rPr>
  </w:style>
  <w:style w:type="character" w:customStyle="1" w:styleId="CharPartNo">
    <w:name w:val="CharPartNo"/>
    <w:basedOn w:val="OPCCharBase"/>
    <w:uiPriority w:val="1"/>
    <w:qFormat/>
    <w:rsid w:val="00A70ACD"/>
  </w:style>
  <w:style w:type="character" w:customStyle="1" w:styleId="CharPartText">
    <w:name w:val="CharPartText"/>
    <w:basedOn w:val="OPCCharBase"/>
    <w:uiPriority w:val="1"/>
    <w:qFormat/>
    <w:rsid w:val="00A70ACD"/>
  </w:style>
  <w:style w:type="character" w:customStyle="1" w:styleId="CharSectno">
    <w:name w:val="CharSectno"/>
    <w:basedOn w:val="OPCCharBase"/>
    <w:qFormat/>
    <w:rsid w:val="00A70ACD"/>
  </w:style>
  <w:style w:type="character" w:customStyle="1" w:styleId="CharSubdNo">
    <w:name w:val="CharSubdNo"/>
    <w:basedOn w:val="OPCCharBase"/>
    <w:uiPriority w:val="1"/>
    <w:qFormat/>
    <w:rsid w:val="00A70ACD"/>
  </w:style>
  <w:style w:type="character" w:customStyle="1" w:styleId="CharSubdText">
    <w:name w:val="CharSubdText"/>
    <w:basedOn w:val="OPCCharBase"/>
    <w:uiPriority w:val="1"/>
    <w:qFormat/>
    <w:rsid w:val="00A70ACD"/>
  </w:style>
  <w:style w:type="paragraph" w:customStyle="1" w:styleId="CTA--">
    <w:name w:val="CTA --"/>
    <w:basedOn w:val="OPCParaBase"/>
    <w:next w:val="Normal"/>
    <w:rsid w:val="00A70ACD"/>
    <w:pPr>
      <w:spacing w:before="60" w:line="240" w:lineRule="atLeast"/>
      <w:ind w:left="142" w:hanging="142"/>
    </w:pPr>
    <w:rPr>
      <w:sz w:val="20"/>
    </w:rPr>
  </w:style>
  <w:style w:type="paragraph" w:customStyle="1" w:styleId="CTA-">
    <w:name w:val="CTA -"/>
    <w:basedOn w:val="OPCParaBase"/>
    <w:rsid w:val="00A70ACD"/>
    <w:pPr>
      <w:spacing w:before="60" w:line="240" w:lineRule="atLeast"/>
      <w:ind w:left="85" w:hanging="85"/>
    </w:pPr>
    <w:rPr>
      <w:sz w:val="20"/>
    </w:rPr>
  </w:style>
  <w:style w:type="paragraph" w:customStyle="1" w:styleId="CTA---">
    <w:name w:val="CTA ---"/>
    <w:basedOn w:val="OPCParaBase"/>
    <w:next w:val="Normal"/>
    <w:rsid w:val="00A70ACD"/>
    <w:pPr>
      <w:spacing w:before="60" w:line="240" w:lineRule="atLeast"/>
      <w:ind w:left="198" w:hanging="198"/>
    </w:pPr>
    <w:rPr>
      <w:sz w:val="20"/>
    </w:rPr>
  </w:style>
  <w:style w:type="paragraph" w:customStyle="1" w:styleId="CTA----">
    <w:name w:val="CTA ----"/>
    <w:basedOn w:val="OPCParaBase"/>
    <w:next w:val="Normal"/>
    <w:rsid w:val="00A70ACD"/>
    <w:pPr>
      <w:spacing w:before="60" w:line="240" w:lineRule="atLeast"/>
      <w:ind w:left="255" w:hanging="255"/>
    </w:pPr>
    <w:rPr>
      <w:sz w:val="20"/>
    </w:rPr>
  </w:style>
  <w:style w:type="paragraph" w:customStyle="1" w:styleId="CTA1a">
    <w:name w:val="CTA 1(a)"/>
    <w:basedOn w:val="OPCParaBase"/>
    <w:rsid w:val="00A70ACD"/>
    <w:pPr>
      <w:tabs>
        <w:tab w:val="right" w:pos="414"/>
      </w:tabs>
      <w:spacing w:before="40" w:line="240" w:lineRule="atLeast"/>
      <w:ind w:left="675" w:hanging="675"/>
    </w:pPr>
    <w:rPr>
      <w:sz w:val="20"/>
    </w:rPr>
  </w:style>
  <w:style w:type="paragraph" w:customStyle="1" w:styleId="CTA1ai">
    <w:name w:val="CTA 1(a)(i)"/>
    <w:basedOn w:val="OPCParaBase"/>
    <w:rsid w:val="00A70ACD"/>
    <w:pPr>
      <w:tabs>
        <w:tab w:val="right" w:pos="1004"/>
      </w:tabs>
      <w:spacing w:before="40" w:line="240" w:lineRule="atLeast"/>
      <w:ind w:left="1253" w:hanging="1253"/>
    </w:pPr>
    <w:rPr>
      <w:sz w:val="20"/>
    </w:rPr>
  </w:style>
  <w:style w:type="paragraph" w:customStyle="1" w:styleId="CTA2a">
    <w:name w:val="CTA 2(a)"/>
    <w:basedOn w:val="OPCParaBase"/>
    <w:rsid w:val="00A70ACD"/>
    <w:pPr>
      <w:tabs>
        <w:tab w:val="right" w:pos="482"/>
      </w:tabs>
      <w:spacing w:before="40" w:line="240" w:lineRule="atLeast"/>
      <w:ind w:left="748" w:hanging="748"/>
    </w:pPr>
    <w:rPr>
      <w:sz w:val="20"/>
    </w:rPr>
  </w:style>
  <w:style w:type="paragraph" w:customStyle="1" w:styleId="CTA2ai">
    <w:name w:val="CTA 2(a)(i)"/>
    <w:basedOn w:val="OPCParaBase"/>
    <w:rsid w:val="00A70ACD"/>
    <w:pPr>
      <w:tabs>
        <w:tab w:val="right" w:pos="1089"/>
      </w:tabs>
      <w:spacing w:before="40" w:line="240" w:lineRule="atLeast"/>
      <w:ind w:left="1327" w:hanging="1327"/>
    </w:pPr>
    <w:rPr>
      <w:sz w:val="20"/>
    </w:rPr>
  </w:style>
  <w:style w:type="paragraph" w:customStyle="1" w:styleId="CTA3a">
    <w:name w:val="CTA 3(a)"/>
    <w:basedOn w:val="OPCParaBase"/>
    <w:rsid w:val="00A70ACD"/>
    <w:pPr>
      <w:tabs>
        <w:tab w:val="right" w:pos="556"/>
      </w:tabs>
      <w:spacing w:before="40" w:line="240" w:lineRule="atLeast"/>
      <w:ind w:left="805" w:hanging="805"/>
    </w:pPr>
    <w:rPr>
      <w:sz w:val="20"/>
    </w:rPr>
  </w:style>
  <w:style w:type="paragraph" w:customStyle="1" w:styleId="CTA3ai">
    <w:name w:val="CTA 3(a)(i)"/>
    <w:basedOn w:val="OPCParaBase"/>
    <w:rsid w:val="00A70ACD"/>
    <w:pPr>
      <w:tabs>
        <w:tab w:val="right" w:pos="1140"/>
      </w:tabs>
      <w:spacing w:before="40" w:line="240" w:lineRule="atLeast"/>
      <w:ind w:left="1361" w:hanging="1361"/>
    </w:pPr>
    <w:rPr>
      <w:sz w:val="20"/>
    </w:rPr>
  </w:style>
  <w:style w:type="paragraph" w:customStyle="1" w:styleId="CTA4a">
    <w:name w:val="CTA 4(a)"/>
    <w:basedOn w:val="OPCParaBase"/>
    <w:rsid w:val="00A70ACD"/>
    <w:pPr>
      <w:tabs>
        <w:tab w:val="right" w:pos="624"/>
      </w:tabs>
      <w:spacing w:before="40" w:line="240" w:lineRule="atLeast"/>
      <w:ind w:left="873" w:hanging="873"/>
    </w:pPr>
    <w:rPr>
      <w:sz w:val="20"/>
    </w:rPr>
  </w:style>
  <w:style w:type="paragraph" w:customStyle="1" w:styleId="CTA4ai">
    <w:name w:val="CTA 4(a)(i)"/>
    <w:basedOn w:val="OPCParaBase"/>
    <w:rsid w:val="00A70ACD"/>
    <w:pPr>
      <w:tabs>
        <w:tab w:val="right" w:pos="1213"/>
      </w:tabs>
      <w:spacing w:before="40" w:line="240" w:lineRule="atLeast"/>
      <w:ind w:left="1452" w:hanging="1452"/>
    </w:pPr>
    <w:rPr>
      <w:sz w:val="20"/>
    </w:rPr>
  </w:style>
  <w:style w:type="paragraph" w:customStyle="1" w:styleId="CTACAPS">
    <w:name w:val="CTA CAPS"/>
    <w:basedOn w:val="OPCParaBase"/>
    <w:rsid w:val="00A70ACD"/>
    <w:pPr>
      <w:spacing w:before="60" w:line="240" w:lineRule="atLeast"/>
    </w:pPr>
    <w:rPr>
      <w:sz w:val="20"/>
    </w:rPr>
  </w:style>
  <w:style w:type="paragraph" w:customStyle="1" w:styleId="CTAright">
    <w:name w:val="CTA right"/>
    <w:basedOn w:val="OPCParaBase"/>
    <w:rsid w:val="00A70ACD"/>
    <w:pPr>
      <w:spacing w:before="60" w:line="240" w:lineRule="auto"/>
      <w:jc w:val="right"/>
    </w:pPr>
    <w:rPr>
      <w:sz w:val="20"/>
    </w:rPr>
  </w:style>
  <w:style w:type="paragraph" w:customStyle="1" w:styleId="subsection">
    <w:name w:val="subsection"/>
    <w:aliases w:val="ss"/>
    <w:basedOn w:val="OPCParaBase"/>
    <w:link w:val="subsectionChar"/>
    <w:rsid w:val="00A70ACD"/>
    <w:pPr>
      <w:tabs>
        <w:tab w:val="right" w:pos="1021"/>
      </w:tabs>
      <w:spacing w:before="180" w:line="240" w:lineRule="auto"/>
      <w:ind w:left="1134" w:hanging="1134"/>
    </w:pPr>
  </w:style>
  <w:style w:type="paragraph" w:customStyle="1" w:styleId="Definition">
    <w:name w:val="Definition"/>
    <w:aliases w:val="dd"/>
    <w:basedOn w:val="OPCParaBase"/>
    <w:rsid w:val="00A70ACD"/>
    <w:pPr>
      <w:spacing w:before="180" w:line="240" w:lineRule="auto"/>
      <w:ind w:left="1134"/>
    </w:pPr>
  </w:style>
  <w:style w:type="paragraph" w:customStyle="1" w:styleId="ETAsubitem">
    <w:name w:val="ETA(subitem)"/>
    <w:basedOn w:val="OPCParaBase"/>
    <w:rsid w:val="00A70ACD"/>
    <w:pPr>
      <w:tabs>
        <w:tab w:val="right" w:pos="340"/>
      </w:tabs>
      <w:spacing w:before="60" w:line="240" w:lineRule="auto"/>
      <w:ind w:left="454" w:hanging="454"/>
    </w:pPr>
    <w:rPr>
      <w:sz w:val="20"/>
    </w:rPr>
  </w:style>
  <w:style w:type="paragraph" w:customStyle="1" w:styleId="ETApara">
    <w:name w:val="ETA(para)"/>
    <w:basedOn w:val="OPCParaBase"/>
    <w:rsid w:val="00A70ACD"/>
    <w:pPr>
      <w:tabs>
        <w:tab w:val="right" w:pos="754"/>
      </w:tabs>
      <w:spacing w:before="60" w:line="240" w:lineRule="auto"/>
      <w:ind w:left="828" w:hanging="828"/>
    </w:pPr>
    <w:rPr>
      <w:sz w:val="20"/>
    </w:rPr>
  </w:style>
  <w:style w:type="paragraph" w:customStyle="1" w:styleId="ETAsubpara">
    <w:name w:val="ETA(subpara)"/>
    <w:basedOn w:val="OPCParaBase"/>
    <w:rsid w:val="00A70ACD"/>
    <w:pPr>
      <w:tabs>
        <w:tab w:val="right" w:pos="1083"/>
      </w:tabs>
      <w:spacing w:before="60" w:line="240" w:lineRule="auto"/>
      <w:ind w:left="1191" w:hanging="1191"/>
    </w:pPr>
    <w:rPr>
      <w:sz w:val="20"/>
    </w:rPr>
  </w:style>
  <w:style w:type="paragraph" w:customStyle="1" w:styleId="ETAsub-subpara">
    <w:name w:val="ETA(sub-subpara)"/>
    <w:basedOn w:val="OPCParaBase"/>
    <w:rsid w:val="00A70ACD"/>
    <w:pPr>
      <w:tabs>
        <w:tab w:val="right" w:pos="1412"/>
      </w:tabs>
      <w:spacing w:before="60" w:line="240" w:lineRule="auto"/>
      <w:ind w:left="1525" w:hanging="1525"/>
    </w:pPr>
    <w:rPr>
      <w:sz w:val="20"/>
    </w:rPr>
  </w:style>
  <w:style w:type="paragraph" w:customStyle="1" w:styleId="Formula">
    <w:name w:val="Formula"/>
    <w:basedOn w:val="OPCParaBase"/>
    <w:rsid w:val="00A70ACD"/>
    <w:pPr>
      <w:spacing w:line="240" w:lineRule="auto"/>
      <w:ind w:left="1134"/>
    </w:pPr>
    <w:rPr>
      <w:sz w:val="20"/>
    </w:rPr>
  </w:style>
  <w:style w:type="paragraph" w:styleId="Header">
    <w:name w:val="header"/>
    <w:basedOn w:val="OPCParaBase"/>
    <w:link w:val="HeaderChar"/>
    <w:unhideWhenUsed/>
    <w:rsid w:val="00A70A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70ACD"/>
    <w:rPr>
      <w:rFonts w:eastAsia="Times New Roman" w:cs="Times New Roman"/>
      <w:sz w:val="16"/>
      <w:lang w:eastAsia="en-AU"/>
    </w:rPr>
  </w:style>
  <w:style w:type="paragraph" w:customStyle="1" w:styleId="House">
    <w:name w:val="House"/>
    <w:basedOn w:val="OPCParaBase"/>
    <w:rsid w:val="00A70ACD"/>
    <w:pPr>
      <w:spacing w:line="240" w:lineRule="auto"/>
    </w:pPr>
    <w:rPr>
      <w:sz w:val="28"/>
    </w:rPr>
  </w:style>
  <w:style w:type="paragraph" w:customStyle="1" w:styleId="Item">
    <w:name w:val="Item"/>
    <w:aliases w:val="i"/>
    <w:basedOn w:val="OPCParaBase"/>
    <w:next w:val="ItemHead"/>
    <w:link w:val="ItemChar"/>
    <w:rsid w:val="00A70ACD"/>
    <w:pPr>
      <w:keepLines/>
      <w:spacing w:before="80" w:line="240" w:lineRule="auto"/>
      <w:ind w:left="709"/>
    </w:pPr>
  </w:style>
  <w:style w:type="paragraph" w:customStyle="1" w:styleId="ItemHead">
    <w:name w:val="ItemHead"/>
    <w:aliases w:val="ih"/>
    <w:basedOn w:val="OPCParaBase"/>
    <w:next w:val="Item"/>
    <w:link w:val="ItemHeadChar"/>
    <w:rsid w:val="00A70AC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70ACD"/>
    <w:pPr>
      <w:spacing w:line="240" w:lineRule="auto"/>
    </w:pPr>
    <w:rPr>
      <w:b/>
      <w:sz w:val="32"/>
    </w:rPr>
  </w:style>
  <w:style w:type="paragraph" w:customStyle="1" w:styleId="notedraft">
    <w:name w:val="note(draft)"/>
    <w:aliases w:val="nd"/>
    <w:basedOn w:val="OPCParaBase"/>
    <w:rsid w:val="00A70ACD"/>
    <w:pPr>
      <w:spacing w:before="240" w:line="240" w:lineRule="auto"/>
      <w:ind w:left="284" w:hanging="284"/>
    </w:pPr>
    <w:rPr>
      <w:i/>
      <w:sz w:val="24"/>
    </w:rPr>
  </w:style>
  <w:style w:type="paragraph" w:customStyle="1" w:styleId="notemargin">
    <w:name w:val="note(margin)"/>
    <w:aliases w:val="nm"/>
    <w:basedOn w:val="OPCParaBase"/>
    <w:rsid w:val="00A70ACD"/>
    <w:pPr>
      <w:tabs>
        <w:tab w:val="left" w:pos="709"/>
      </w:tabs>
      <w:spacing w:before="122" w:line="198" w:lineRule="exact"/>
      <w:ind w:left="709" w:hanging="709"/>
    </w:pPr>
    <w:rPr>
      <w:sz w:val="18"/>
    </w:rPr>
  </w:style>
  <w:style w:type="paragraph" w:customStyle="1" w:styleId="noteToPara">
    <w:name w:val="noteToPara"/>
    <w:aliases w:val="ntp"/>
    <w:basedOn w:val="OPCParaBase"/>
    <w:rsid w:val="00A70ACD"/>
    <w:pPr>
      <w:spacing w:before="122" w:line="198" w:lineRule="exact"/>
      <w:ind w:left="2353" w:hanging="709"/>
    </w:pPr>
    <w:rPr>
      <w:sz w:val="18"/>
    </w:rPr>
  </w:style>
  <w:style w:type="paragraph" w:customStyle="1" w:styleId="noteParlAmend">
    <w:name w:val="note(ParlAmend)"/>
    <w:aliases w:val="npp"/>
    <w:basedOn w:val="OPCParaBase"/>
    <w:next w:val="ParlAmend"/>
    <w:rsid w:val="00A70ACD"/>
    <w:pPr>
      <w:spacing w:line="240" w:lineRule="auto"/>
      <w:jc w:val="right"/>
    </w:pPr>
    <w:rPr>
      <w:rFonts w:ascii="Arial" w:hAnsi="Arial"/>
      <w:b/>
      <w:i/>
    </w:rPr>
  </w:style>
  <w:style w:type="paragraph" w:customStyle="1" w:styleId="Page1">
    <w:name w:val="Page1"/>
    <w:basedOn w:val="OPCParaBase"/>
    <w:rsid w:val="00A70ACD"/>
    <w:pPr>
      <w:spacing w:before="5600" w:line="240" w:lineRule="auto"/>
    </w:pPr>
    <w:rPr>
      <w:b/>
      <w:sz w:val="32"/>
    </w:rPr>
  </w:style>
  <w:style w:type="paragraph" w:customStyle="1" w:styleId="PageBreak">
    <w:name w:val="PageBreak"/>
    <w:aliases w:val="pb"/>
    <w:basedOn w:val="OPCParaBase"/>
    <w:rsid w:val="00A70ACD"/>
    <w:pPr>
      <w:spacing w:line="240" w:lineRule="auto"/>
    </w:pPr>
    <w:rPr>
      <w:sz w:val="20"/>
    </w:rPr>
  </w:style>
  <w:style w:type="paragraph" w:customStyle="1" w:styleId="paragraphsub">
    <w:name w:val="paragraph(sub)"/>
    <w:aliases w:val="aa"/>
    <w:basedOn w:val="OPCParaBase"/>
    <w:rsid w:val="00A70ACD"/>
    <w:pPr>
      <w:tabs>
        <w:tab w:val="right" w:pos="1985"/>
      </w:tabs>
      <w:spacing w:before="40" w:line="240" w:lineRule="auto"/>
      <w:ind w:left="2098" w:hanging="2098"/>
    </w:pPr>
  </w:style>
  <w:style w:type="paragraph" w:customStyle="1" w:styleId="paragraphsub-sub">
    <w:name w:val="paragraph(sub-sub)"/>
    <w:aliases w:val="aaa"/>
    <w:basedOn w:val="OPCParaBase"/>
    <w:rsid w:val="00A70ACD"/>
    <w:pPr>
      <w:tabs>
        <w:tab w:val="right" w:pos="2722"/>
      </w:tabs>
      <w:spacing w:before="40" w:line="240" w:lineRule="auto"/>
      <w:ind w:left="2835" w:hanging="2835"/>
    </w:pPr>
  </w:style>
  <w:style w:type="paragraph" w:customStyle="1" w:styleId="paragraph">
    <w:name w:val="paragraph"/>
    <w:aliases w:val="a"/>
    <w:basedOn w:val="OPCParaBase"/>
    <w:rsid w:val="00A70ACD"/>
    <w:pPr>
      <w:tabs>
        <w:tab w:val="right" w:pos="1531"/>
      </w:tabs>
      <w:spacing w:before="40" w:line="240" w:lineRule="auto"/>
      <w:ind w:left="1644" w:hanging="1644"/>
    </w:pPr>
  </w:style>
  <w:style w:type="paragraph" w:customStyle="1" w:styleId="ParlAmend">
    <w:name w:val="ParlAmend"/>
    <w:aliases w:val="pp"/>
    <w:basedOn w:val="OPCParaBase"/>
    <w:rsid w:val="00A70ACD"/>
    <w:pPr>
      <w:spacing w:before="240" w:line="240" w:lineRule="atLeast"/>
      <w:ind w:hanging="567"/>
    </w:pPr>
    <w:rPr>
      <w:sz w:val="24"/>
    </w:rPr>
  </w:style>
  <w:style w:type="paragraph" w:customStyle="1" w:styleId="Penalty">
    <w:name w:val="Penalty"/>
    <w:basedOn w:val="OPCParaBase"/>
    <w:rsid w:val="00A70ACD"/>
    <w:pPr>
      <w:tabs>
        <w:tab w:val="left" w:pos="2977"/>
      </w:tabs>
      <w:spacing w:before="180" w:line="240" w:lineRule="auto"/>
      <w:ind w:left="1985" w:hanging="851"/>
    </w:pPr>
  </w:style>
  <w:style w:type="paragraph" w:customStyle="1" w:styleId="Portfolio">
    <w:name w:val="Portfolio"/>
    <w:basedOn w:val="OPCParaBase"/>
    <w:rsid w:val="00A70ACD"/>
    <w:pPr>
      <w:spacing w:line="240" w:lineRule="auto"/>
    </w:pPr>
    <w:rPr>
      <w:i/>
      <w:sz w:val="20"/>
    </w:rPr>
  </w:style>
  <w:style w:type="paragraph" w:customStyle="1" w:styleId="Preamble">
    <w:name w:val="Preamble"/>
    <w:basedOn w:val="OPCParaBase"/>
    <w:next w:val="Normal"/>
    <w:rsid w:val="00A70A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70ACD"/>
    <w:pPr>
      <w:spacing w:line="240" w:lineRule="auto"/>
    </w:pPr>
    <w:rPr>
      <w:i/>
      <w:sz w:val="20"/>
    </w:rPr>
  </w:style>
  <w:style w:type="paragraph" w:customStyle="1" w:styleId="Session">
    <w:name w:val="Session"/>
    <w:basedOn w:val="OPCParaBase"/>
    <w:rsid w:val="00A70ACD"/>
    <w:pPr>
      <w:spacing w:line="240" w:lineRule="auto"/>
    </w:pPr>
    <w:rPr>
      <w:sz w:val="28"/>
    </w:rPr>
  </w:style>
  <w:style w:type="paragraph" w:customStyle="1" w:styleId="Sponsor">
    <w:name w:val="Sponsor"/>
    <w:basedOn w:val="OPCParaBase"/>
    <w:rsid w:val="00A70ACD"/>
    <w:pPr>
      <w:spacing w:line="240" w:lineRule="auto"/>
    </w:pPr>
    <w:rPr>
      <w:i/>
    </w:rPr>
  </w:style>
  <w:style w:type="paragraph" w:customStyle="1" w:styleId="Subitem">
    <w:name w:val="Subitem"/>
    <w:aliases w:val="iss"/>
    <w:basedOn w:val="OPCParaBase"/>
    <w:rsid w:val="00A70ACD"/>
    <w:pPr>
      <w:spacing w:before="180" w:line="240" w:lineRule="auto"/>
      <w:ind w:left="709" w:hanging="709"/>
    </w:pPr>
  </w:style>
  <w:style w:type="paragraph" w:customStyle="1" w:styleId="SubitemHead">
    <w:name w:val="SubitemHead"/>
    <w:aliases w:val="issh"/>
    <w:basedOn w:val="OPCParaBase"/>
    <w:rsid w:val="00A70A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70ACD"/>
    <w:pPr>
      <w:spacing w:before="40" w:line="240" w:lineRule="auto"/>
      <w:ind w:left="1134"/>
    </w:pPr>
  </w:style>
  <w:style w:type="paragraph" w:customStyle="1" w:styleId="SubsectionHead">
    <w:name w:val="SubsectionHead"/>
    <w:aliases w:val="ssh"/>
    <w:basedOn w:val="OPCParaBase"/>
    <w:next w:val="subsection"/>
    <w:rsid w:val="00A70ACD"/>
    <w:pPr>
      <w:keepNext/>
      <w:keepLines/>
      <w:spacing w:before="240" w:line="240" w:lineRule="auto"/>
      <w:ind w:left="1134"/>
    </w:pPr>
    <w:rPr>
      <w:i/>
    </w:rPr>
  </w:style>
  <w:style w:type="paragraph" w:customStyle="1" w:styleId="Tablea">
    <w:name w:val="Table(a)"/>
    <w:aliases w:val="ta"/>
    <w:basedOn w:val="OPCParaBase"/>
    <w:rsid w:val="00A70ACD"/>
    <w:pPr>
      <w:spacing w:before="60" w:line="240" w:lineRule="auto"/>
      <w:ind w:left="284" w:hanging="284"/>
    </w:pPr>
    <w:rPr>
      <w:sz w:val="20"/>
    </w:rPr>
  </w:style>
  <w:style w:type="paragraph" w:customStyle="1" w:styleId="TableAA">
    <w:name w:val="Table(AA)"/>
    <w:aliases w:val="taaa"/>
    <w:basedOn w:val="OPCParaBase"/>
    <w:rsid w:val="00A70A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70A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70ACD"/>
    <w:pPr>
      <w:spacing w:before="60" w:line="240" w:lineRule="atLeast"/>
    </w:pPr>
    <w:rPr>
      <w:sz w:val="20"/>
    </w:rPr>
  </w:style>
  <w:style w:type="paragraph" w:customStyle="1" w:styleId="TLPBoxTextnote">
    <w:name w:val="TLPBoxText(note"/>
    <w:aliases w:val="right)"/>
    <w:basedOn w:val="OPCParaBase"/>
    <w:rsid w:val="00A70A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70AC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70ACD"/>
    <w:pPr>
      <w:spacing w:before="122" w:line="198" w:lineRule="exact"/>
      <w:ind w:left="1985" w:hanging="851"/>
      <w:jc w:val="right"/>
    </w:pPr>
    <w:rPr>
      <w:sz w:val="18"/>
    </w:rPr>
  </w:style>
  <w:style w:type="paragraph" w:customStyle="1" w:styleId="TLPTableBullet">
    <w:name w:val="TLPTableBullet"/>
    <w:aliases w:val="ttb"/>
    <w:basedOn w:val="OPCParaBase"/>
    <w:rsid w:val="00A70ACD"/>
    <w:pPr>
      <w:spacing w:line="240" w:lineRule="exact"/>
      <w:ind w:left="284" w:hanging="284"/>
    </w:pPr>
    <w:rPr>
      <w:sz w:val="20"/>
    </w:rPr>
  </w:style>
  <w:style w:type="paragraph" w:styleId="TOC1">
    <w:name w:val="toc 1"/>
    <w:basedOn w:val="Normal"/>
    <w:next w:val="Normal"/>
    <w:uiPriority w:val="39"/>
    <w:unhideWhenUsed/>
    <w:rsid w:val="00A70AC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70AC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70AC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70AC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70AC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70AC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70AC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70AC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70AC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70ACD"/>
    <w:pPr>
      <w:keepLines/>
      <w:spacing w:before="240" w:after="120" w:line="240" w:lineRule="auto"/>
      <w:ind w:left="794"/>
    </w:pPr>
    <w:rPr>
      <w:b/>
      <w:kern w:val="28"/>
      <w:sz w:val="20"/>
    </w:rPr>
  </w:style>
  <w:style w:type="paragraph" w:customStyle="1" w:styleId="TofSectsHeading">
    <w:name w:val="TofSects(Heading)"/>
    <w:basedOn w:val="OPCParaBase"/>
    <w:rsid w:val="00A70ACD"/>
    <w:pPr>
      <w:spacing w:before="240" w:after="120" w:line="240" w:lineRule="auto"/>
    </w:pPr>
    <w:rPr>
      <w:b/>
      <w:sz w:val="24"/>
    </w:rPr>
  </w:style>
  <w:style w:type="paragraph" w:customStyle="1" w:styleId="TofSectsSection">
    <w:name w:val="TofSects(Section)"/>
    <w:basedOn w:val="OPCParaBase"/>
    <w:rsid w:val="00A70ACD"/>
    <w:pPr>
      <w:keepLines/>
      <w:spacing w:before="40" w:line="240" w:lineRule="auto"/>
      <w:ind w:left="1588" w:hanging="794"/>
    </w:pPr>
    <w:rPr>
      <w:kern w:val="28"/>
      <w:sz w:val="18"/>
    </w:rPr>
  </w:style>
  <w:style w:type="paragraph" w:customStyle="1" w:styleId="TofSectsSubdiv">
    <w:name w:val="TofSects(Subdiv)"/>
    <w:basedOn w:val="OPCParaBase"/>
    <w:rsid w:val="00A70ACD"/>
    <w:pPr>
      <w:keepLines/>
      <w:spacing w:before="80" w:line="240" w:lineRule="auto"/>
      <w:ind w:left="1588" w:hanging="794"/>
    </w:pPr>
    <w:rPr>
      <w:kern w:val="28"/>
    </w:rPr>
  </w:style>
  <w:style w:type="paragraph" w:customStyle="1" w:styleId="WRStyle">
    <w:name w:val="WR Style"/>
    <w:aliases w:val="WR"/>
    <w:basedOn w:val="OPCParaBase"/>
    <w:rsid w:val="00A70ACD"/>
    <w:pPr>
      <w:spacing w:before="240" w:line="240" w:lineRule="auto"/>
      <w:ind w:left="284" w:hanging="284"/>
    </w:pPr>
    <w:rPr>
      <w:b/>
      <w:i/>
      <w:kern w:val="28"/>
      <w:sz w:val="24"/>
    </w:rPr>
  </w:style>
  <w:style w:type="paragraph" w:customStyle="1" w:styleId="notepara">
    <w:name w:val="note(para)"/>
    <w:aliases w:val="na"/>
    <w:basedOn w:val="OPCParaBase"/>
    <w:rsid w:val="00A70ACD"/>
    <w:pPr>
      <w:spacing w:before="40" w:line="198" w:lineRule="exact"/>
      <w:ind w:left="2354" w:hanging="369"/>
    </w:pPr>
    <w:rPr>
      <w:sz w:val="18"/>
    </w:rPr>
  </w:style>
  <w:style w:type="paragraph" w:styleId="Footer">
    <w:name w:val="footer"/>
    <w:link w:val="FooterChar"/>
    <w:rsid w:val="00A70A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70ACD"/>
    <w:rPr>
      <w:rFonts w:eastAsia="Times New Roman" w:cs="Times New Roman"/>
      <w:sz w:val="22"/>
      <w:szCs w:val="24"/>
      <w:lang w:eastAsia="en-AU"/>
    </w:rPr>
  </w:style>
  <w:style w:type="character" w:styleId="LineNumber">
    <w:name w:val="line number"/>
    <w:basedOn w:val="OPCCharBase"/>
    <w:uiPriority w:val="99"/>
    <w:unhideWhenUsed/>
    <w:rsid w:val="00A70ACD"/>
    <w:rPr>
      <w:sz w:val="16"/>
    </w:rPr>
  </w:style>
  <w:style w:type="table" w:customStyle="1" w:styleId="CFlag">
    <w:name w:val="CFlag"/>
    <w:basedOn w:val="TableNormal"/>
    <w:uiPriority w:val="99"/>
    <w:rsid w:val="00A70ACD"/>
    <w:rPr>
      <w:rFonts w:eastAsia="Times New Roman" w:cs="Times New Roman"/>
      <w:lang w:eastAsia="en-AU"/>
    </w:rPr>
    <w:tblPr/>
  </w:style>
  <w:style w:type="paragraph" w:styleId="BalloonText">
    <w:name w:val="Balloon Text"/>
    <w:basedOn w:val="Normal"/>
    <w:link w:val="BalloonTextChar"/>
    <w:uiPriority w:val="99"/>
    <w:unhideWhenUsed/>
    <w:rsid w:val="00A70A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70ACD"/>
    <w:rPr>
      <w:rFonts w:ascii="Tahoma" w:hAnsi="Tahoma" w:cs="Tahoma"/>
      <w:sz w:val="16"/>
      <w:szCs w:val="16"/>
    </w:rPr>
  </w:style>
  <w:style w:type="table" w:styleId="TableGrid">
    <w:name w:val="Table Grid"/>
    <w:basedOn w:val="TableNormal"/>
    <w:uiPriority w:val="59"/>
    <w:rsid w:val="00A70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70ACD"/>
    <w:rPr>
      <w:b/>
      <w:sz w:val="28"/>
      <w:szCs w:val="32"/>
    </w:rPr>
  </w:style>
  <w:style w:type="paragraph" w:customStyle="1" w:styleId="LegislationMadeUnder">
    <w:name w:val="LegislationMadeUnder"/>
    <w:basedOn w:val="OPCParaBase"/>
    <w:next w:val="Normal"/>
    <w:rsid w:val="00A70ACD"/>
    <w:rPr>
      <w:i/>
      <w:sz w:val="32"/>
      <w:szCs w:val="32"/>
    </w:rPr>
  </w:style>
  <w:style w:type="paragraph" w:customStyle="1" w:styleId="SignCoverPageEnd">
    <w:name w:val="SignCoverPageEnd"/>
    <w:basedOn w:val="OPCParaBase"/>
    <w:next w:val="Normal"/>
    <w:rsid w:val="00A70AC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70ACD"/>
    <w:pPr>
      <w:pBdr>
        <w:top w:val="single" w:sz="4" w:space="1" w:color="auto"/>
      </w:pBdr>
      <w:spacing w:before="360"/>
      <w:ind w:right="397"/>
      <w:jc w:val="both"/>
    </w:pPr>
  </w:style>
  <w:style w:type="paragraph" w:customStyle="1" w:styleId="NotesHeading1">
    <w:name w:val="NotesHeading 1"/>
    <w:basedOn w:val="OPCParaBase"/>
    <w:next w:val="Normal"/>
    <w:rsid w:val="00A70ACD"/>
    <w:rPr>
      <w:b/>
      <w:sz w:val="28"/>
      <w:szCs w:val="28"/>
    </w:rPr>
  </w:style>
  <w:style w:type="paragraph" w:customStyle="1" w:styleId="NotesHeading2">
    <w:name w:val="NotesHeading 2"/>
    <w:basedOn w:val="OPCParaBase"/>
    <w:next w:val="Normal"/>
    <w:rsid w:val="00A70ACD"/>
    <w:rPr>
      <w:b/>
      <w:sz w:val="28"/>
      <w:szCs w:val="28"/>
    </w:rPr>
  </w:style>
  <w:style w:type="paragraph" w:customStyle="1" w:styleId="ENotesText">
    <w:name w:val="ENotesText"/>
    <w:aliases w:val="Ent"/>
    <w:basedOn w:val="OPCParaBase"/>
    <w:next w:val="Normal"/>
    <w:rsid w:val="00A70ACD"/>
    <w:pPr>
      <w:spacing w:before="120"/>
    </w:pPr>
  </w:style>
  <w:style w:type="paragraph" w:customStyle="1" w:styleId="CompiledActNo">
    <w:name w:val="CompiledActNo"/>
    <w:basedOn w:val="OPCParaBase"/>
    <w:next w:val="Normal"/>
    <w:rsid w:val="00A70ACD"/>
    <w:rPr>
      <w:b/>
      <w:sz w:val="24"/>
      <w:szCs w:val="24"/>
    </w:rPr>
  </w:style>
  <w:style w:type="paragraph" w:customStyle="1" w:styleId="CompiledMadeUnder">
    <w:name w:val="CompiledMadeUnder"/>
    <w:basedOn w:val="OPCParaBase"/>
    <w:next w:val="Normal"/>
    <w:rsid w:val="00A70ACD"/>
    <w:rPr>
      <w:i/>
      <w:sz w:val="24"/>
      <w:szCs w:val="24"/>
    </w:rPr>
  </w:style>
  <w:style w:type="paragraph" w:customStyle="1" w:styleId="Paragraphsub-sub-sub">
    <w:name w:val="Paragraph(sub-sub-sub)"/>
    <w:aliases w:val="aaaa"/>
    <w:basedOn w:val="OPCParaBase"/>
    <w:rsid w:val="00A70AC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70A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70A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70A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70AC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70ACD"/>
    <w:pPr>
      <w:spacing w:before="60" w:line="240" w:lineRule="auto"/>
    </w:pPr>
    <w:rPr>
      <w:rFonts w:cs="Arial"/>
      <w:sz w:val="20"/>
      <w:szCs w:val="22"/>
    </w:rPr>
  </w:style>
  <w:style w:type="paragraph" w:customStyle="1" w:styleId="NoteToSubpara">
    <w:name w:val="NoteToSubpara"/>
    <w:aliases w:val="nts"/>
    <w:basedOn w:val="OPCParaBase"/>
    <w:rsid w:val="00A70ACD"/>
    <w:pPr>
      <w:spacing w:before="40" w:line="198" w:lineRule="exact"/>
      <w:ind w:left="2835" w:hanging="709"/>
    </w:pPr>
    <w:rPr>
      <w:sz w:val="18"/>
    </w:rPr>
  </w:style>
  <w:style w:type="paragraph" w:customStyle="1" w:styleId="ENoteTableHeading">
    <w:name w:val="ENoteTableHeading"/>
    <w:aliases w:val="enth"/>
    <w:basedOn w:val="OPCParaBase"/>
    <w:rsid w:val="00A70ACD"/>
    <w:pPr>
      <w:keepNext/>
      <w:spacing w:before="60" w:line="240" w:lineRule="atLeast"/>
    </w:pPr>
    <w:rPr>
      <w:rFonts w:ascii="Arial" w:hAnsi="Arial"/>
      <w:b/>
      <w:sz w:val="16"/>
    </w:rPr>
  </w:style>
  <w:style w:type="paragraph" w:customStyle="1" w:styleId="ENoteTTi">
    <w:name w:val="ENoteTTi"/>
    <w:aliases w:val="entti"/>
    <w:basedOn w:val="OPCParaBase"/>
    <w:rsid w:val="00A70ACD"/>
    <w:pPr>
      <w:keepNext/>
      <w:spacing w:before="60" w:line="240" w:lineRule="atLeast"/>
      <w:ind w:left="170"/>
    </w:pPr>
    <w:rPr>
      <w:sz w:val="16"/>
    </w:rPr>
  </w:style>
  <w:style w:type="paragraph" w:customStyle="1" w:styleId="ENotesHeading1">
    <w:name w:val="ENotesHeading 1"/>
    <w:aliases w:val="Enh1"/>
    <w:basedOn w:val="OPCParaBase"/>
    <w:next w:val="Normal"/>
    <w:rsid w:val="00A70ACD"/>
    <w:pPr>
      <w:spacing w:before="120"/>
      <w:outlineLvl w:val="1"/>
    </w:pPr>
    <w:rPr>
      <w:b/>
      <w:sz w:val="28"/>
      <w:szCs w:val="28"/>
    </w:rPr>
  </w:style>
  <w:style w:type="paragraph" w:customStyle="1" w:styleId="ENotesHeading2">
    <w:name w:val="ENotesHeading 2"/>
    <w:aliases w:val="Enh2"/>
    <w:basedOn w:val="OPCParaBase"/>
    <w:next w:val="Normal"/>
    <w:rsid w:val="00A70ACD"/>
    <w:pPr>
      <w:spacing w:before="120" w:after="120"/>
      <w:outlineLvl w:val="2"/>
    </w:pPr>
    <w:rPr>
      <w:b/>
      <w:sz w:val="24"/>
      <w:szCs w:val="28"/>
    </w:rPr>
  </w:style>
  <w:style w:type="paragraph" w:customStyle="1" w:styleId="ENoteTTIndentHeading">
    <w:name w:val="ENoteTTIndentHeading"/>
    <w:aliases w:val="enTTHi"/>
    <w:basedOn w:val="OPCParaBase"/>
    <w:rsid w:val="00A70AC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70ACD"/>
    <w:pPr>
      <w:spacing w:before="60" w:line="240" w:lineRule="atLeast"/>
    </w:pPr>
    <w:rPr>
      <w:sz w:val="16"/>
    </w:rPr>
  </w:style>
  <w:style w:type="paragraph" w:customStyle="1" w:styleId="MadeunderText">
    <w:name w:val="MadeunderText"/>
    <w:basedOn w:val="OPCParaBase"/>
    <w:next w:val="Normal"/>
    <w:rsid w:val="00A70ACD"/>
    <w:pPr>
      <w:spacing w:before="240"/>
    </w:pPr>
    <w:rPr>
      <w:sz w:val="24"/>
      <w:szCs w:val="24"/>
    </w:rPr>
  </w:style>
  <w:style w:type="paragraph" w:customStyle="1" w:styleId="ENotesHeading3">
    <w:name w:val="ENotesHeading 3"/>
    <w:aliases w:val="Enh3"/>
    <w:basedOn w:val="OPCParaBase"/>
    <w:next w:val="Normal"/>
    <w:rsid w:val="00A70ACD"/>
    <w:pPr>
      <w:keepNext/>
      <w:spacing w:before="120" w:line="240" w:lineRule="auto"/>
      <w:outlineLvl w:val="4"/>
    </w:pPr>
    <w:rPr>
      <w:b/>
      <w:szCs w:val="24"/>
    </w:rPr>
  </w:style>
  <w:style w:type="character" w:customStyle="1" w:styleId="CharSubPartTextCASA">
    <w:name w:val="CharSubPartText(CASA)"/>
    <w:basedOn w:val="OPCCharBase"/>
    <w:uiPriority w:val="1"/>
    <w:rsid w:val="00A70ACD"/>
  </w:style>
  <w:style w:type="character" w:customStyle="1" w:styleId="CharSubPartNoCASA">
    <w:name w:val="CharSubPartNo(CASA)"/>
    <w:basedOn w:val="OPCCharBase"/>
    <w:uiPriority w:val="1"/>
    <w:rsid w:val="00A70ACD"/>
  </w:style>
  <w:style w:type="paragraph" w:customStyle="1" w:styleId="ENoteTTIndentHeadingSub">
    <w:name w:val="ENoteTTIndentHeadingSub"/>
    <w:aliases w:val="enTTHis"/>
    <w:basedOn w:val="OPCParaBase"/>
    <w:rsid w:val="00A70ACD"/>
    <w:pPr>
      <w:keepNext/>
      <w:spacing w:before="60" w:line="240" w:lineRule="atLeast"/>
      <w:ind w:left="340"/>
    </w:pPr>
    <w:rPr>
      <w:b/>
      <w:sz w:val="16"/>
    </w:rPr>
  </w:style>
  <w:style w:type="paragraph" w:customStyle="1" w:styleId="ENoteTTiSub">
    <w:name w:val="ENoteTTiSub"/>
    <w:aliases w:val="enttis"/>
    <w:basedOn w:val="OPCParaBase"/>
    <w:rsid w:val="00A70ACD"/>
    <w:pPr>
      <w:keepNext/>
      <w:spacing w:before="60" w:line="240" w:lineRule="atLeast"/>
      <w:ind w:left="340"/>
    </w:pPr>
    <w:rPr>
      <w:sz w:val="16"/>
    </w:rPr>
  </w:style>
  <w:style w:type="paragraph" w:customStyle="1" w:styleId="SubDivisionMigration">
    <w:name w:val="SubDivisionMigration"/>
    <w:aliases w:val="sdm"/>
    <w:basedOn w:val="OPCParaBase"/>
    <w:rsid w:val="00A70AC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70AC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70ACD"/>
    <w:pPr>
      <w:spacing w:before="122" w:line="240" w:lineRule="auto"/>
      <w:ind w:left="1985" w:hanging="851"/>
    </w:pPr>
    <w:rPr>
      <w:sz w:val="18"/>
    </w:rPr>
  </w:style>
  <w:style w:type="paragraph" w:customStyle="1" w:styleId="FreeForm">
    <w:name w:val="FreeForm"/>
    <w:rsid w:val="00A70ACD"/>
    <w:rPr>
      <w:rFonts w:ascii="Arial" w:hAnsi="Arial"/>
      <w:sz w:val="22"/>
    </w:rPr>
  </w:style>
  <w:style w:type="paragraph" w:customStyle="1" w:styleId="SOText">
    <w:name w:val="SO Text"/>
    <w:aliases w:val="sot"/>
    <w:link w:val="SOTextChar"/>
    <w:rsid w:val="00A70AC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70ACD"/>
    <w:rPr>
      <w:sz w:val="22"/>
    </w:rPr>
  </w:style>
  <w:style w:type="paragraph" w:customStyle="1" w:styleId="SOTextNote">
    <w:name w:val="SO TextNote"/>
    <w:aliases w:val="sont"/>
    <w:basedOn w:val="SOText"/>
    <w:qFormat/>
    <w:rsid w:val="00A70ACD"/>
    <w:pPr>
      <w:spacing w:before="122" w:line="198" w:lineRule="exact"/>
      <w:ind w:left="1843" w:hanging="709"/>
    </w:pPr>
    <w:rPr>
      <w:sz w:val="18"/>
    </w:rPr>
  </w:style>
  <w:style w:type="paragraph" w:customStyle="1" w:styleId="SOPara">
    <w:name w:val="SO Para"/>
    <w:aliases w:val="soa"/>
    <w:basedOn w:val="SOText"/>
    <w:link w:val="SOParaChar"/>
    <w:qFormat/>
    <w:rsid w:val="00A70ACD"/>
    <w:pPr>
      <w:tabs>
        <w:tab w:val="right" w:pos="1786"/>
      </w:tabs>
      <w:spacing w:before="40"/>
      <w:ind w:left="2070" w:hanging="936"/>
    </w:pPr>
  </w:style>
  <w:style w:type="character" w:customStyle="1" w:styleId="SOParaChar">
    <w:name w:val="SO Para Char"/>
    <w:aliases w:val="soa Char"/>
    <w:basedOn w:val="DefaultParagraphFont"/>
    <w:link w:val="SOPara"/>
    <w:rsid w:val="00A70ACD"/>
    <w:rPr>
      <w:sz w:val="22"/>
    </w:rPr>
  </w:style>
  <w:style w:type="paragraph" w:customStyle="1" w:styleId="FileName">
    <w:name w:val="FileName"/>
    <w:basedOn w:val="Normal"/>
    <w:rsid w:val="00A70ACD"/>
  </w:style>
  <w:style w:type="paragraph" w:customStyle="1" w:styleId="TableHeading">
    <w:name w:val="TableHeading"/>
    <w:aliases w:val="th"/>
    <w:basedOn w:val="OPCParaBase"/>
    <w:next w:val="Tabletext"/>
    <w:rsid w:val="00A70ACD"/>
    <w:pPr>
      <w:keepNext/>
      <w:spacing w:before="60" w:line="240" w:lineRule="atLeast"/>
    </w:pPr>
    <w:rPr>
      <w:b/>
      <w:sz w:val="20"/>
    </w:rPr>
  </w:style>
  <w:style w:type="paragraph" w:customStyle="1" w:styleId="SOHeadBold">
    <w:name w:val="SO HeadBold"/>
    <w:aliases w:val="sohb"/>
    <w:basedOn w:val="SOText"/>
    <w:next w:val="SOText"/>
    <w:link w:val="SOHeadBoldChar"/>
    <w:qFormat/>
    <w:rsid w:val="00A70ACD"/>
    <w:rPr>
      <w:b/>
    </w:rPr>
  </w:style>
  <w:style w:type="character" w:customStyle="1" w:styleId="SOHeadBoldChar">
    <w:name w:val="SO HeadBold Char"/>
    <w:aliases w:val="sohb Char"/>
    <w:basedOn w:val="DefaultParagraphFont"/>
    <w:link w:val="SOHeadBold"/>
    <w:rsid w:val="00A70ACD"/>
    <w:rPr>
      <w:b/>
      <w:sz w:val="22"/>
    </w:rPr>
  </w:style>
  <w:style w:type="paragraph" w:customStyle="1" w:styleId="SOHeadItalic">
    <w:name w:val="SO HeadItalic"/>
    <w:aliases w:val="sohi"/>
    <w:basedOn w:val="SOText"/>
    <w:next w:val="SOText"/>
    <w:link w:val="SOHeadItalicChar"/>
    <w:qFormat/>
    <w:rsid w:val="00A70ACD"/>
    <w:rPr>
      <w:i/>
    </w:rPr>
  </w:style>
  <w:style w:type="character" w:customStyle="1" w:styleId="SOHeadItalicChar">
    <w:name w:val="SO HeadItalic Char"/>
    <w:aliases w:val="sohi Char"/>
    <w:basedOn w:val="DefaultParagraphFont"/>
    <w:link w:val="SOHeadItalic"/>
    <w:rsid w:val="00A70ACD"/>
    <w:rPr>
      <w:i/>
      <w:sz w:val="22"/>
    </w:rPr>
  </w:style>
  <w:style w:type="paragraph" w:customStyle="1" w:styleId="SOBullet">
    <w:name w:val="SO Bullet"/>
    <w:aliases w:val="sotb"/>
    <w:basedOn w:val="SOText"/>
    <w:link w:val="SOBulletChar"/>
    <w:qFormat/>
    <w:rsid w:val="00A70ACD"/>
    <w:pPr>
      <w:ind w:left="1559" w:hanging="425"/>
    </w:pPr>
  </w:style>
  <w:style w:type="character" w:customStyle="1" w:styleId="SOBulletChar">
    <w:name w:val="SO Bullet Char"/>
    <w:aliases w:val="sotb Char"/>
    <w:basedOn w:val="DefaultParagraphFont"/>
    <w:link w:val="SOBullet"/>
    <w:rsid w:val="00A70ACD"/>
    <w:rPr>
      <w:sz w:val="22"/>
    </w:rPr>
  </w:style>
  <w:style w:type="paragraph" w:customStyle="1" w:styleId="SOBulletNote">
    <w:name w:val="SO BulletNote"/>
    <w:aliases w:val="sonb"/>
    <w:basedOn w:val="SOTextNote"/>
    <w:link w:val="SOBulletNoteChar"/>
    <w:qFormat/>
    <w:rsid w:val="00A70ACD"/>
    <w:pPr>
      <w:tabs>
        <w:tab w:val="left" w:pos="1560"/>
      </w:tabs>
      <w:ind w:left="2268" w:hanging="1134"/>
    </w:pPr>
  </w:style>
  <w:style w:type="character" w:customStyle="1" w:styleId="SOBulletNoteChar">
    <w:name w:val="SO BulletNote Char"/>
    <w:aliases w:val="sonb Char"/>
    <w:basedOn w:val="DefaultParagraphFont"/>
    <w:link w:val="SOBulletNote"/>
    <w:rsid w:val="00A70ACD"/>
    <w:rPr>
      <w:sz w:val="18"/>
    </w:rPr>
  </w:style>
  <w:style w:type="paragraph" w:customStyle="1" w:styleId="SOText2">
    <w:name w:val="SO Text2"/>
    <w:aliases w:val="sot2"/>
    <w:basedOn w:val="Normal"/>
    <w:next w:val="SOText"/>
    <w:link w:val="SOText2Char"/>
    <w:rsid w:val="00A70AC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70ACD"/>
    <w:rPr>
      <w:sz w:val="22"/>
    </w:rPr>
  </w:style>
  <w:style w:type="paragraph" w:customStyle="1" w:styleId="SubPartCASA">
    <w:name w:val="SubPart(CASA)"/>
    <w:aliases w:val="csp"/>
    <w:basedOn w:val="OPCParaBase"/>
    <w:next w:val="ActHead3"/>
    <w:rsid w:val="00A70AC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70ACD"/>
    <w:rPr>
      <w:rFonts w:eastAsia="Times New Roman" w:cs="Times New Roman"/>
      <w:sz w:val="22"/>
      <w:lang w:eastAsia="en-AU"/>
    </w:rPr>
  </w:style>
  <w:style w:type="character" w:customStyle="1" w:styleId="notetextChar">
    <w:name w:val="note(text) Char"/>
    <w:aliases w:val="n Char"/>
    <w:basedOn w:val="DefaultParagraphFont"/>
    <w:link w:val="notetext"/>
    <w:rsid w:val="00A70ACD"/>
    <w:rPr>
      <w:rFonts w:eastAsia="Times New Roman" w:cs="Times New Roman"/>
      <w:sz w:val="18"/>
      <w:lang w:eastAsia="en-AU"/>
    </w:rPr>
  </w:style>
  <w:style w:type="character" w:customStyle="1" w:styleId="Heading1Char">
    <w:name w:val="Heading 1 Char"/>
    <w:basedOn w:val="DefaultParagraphFont"/>
    <w:link w:val="Heading1"/>
    <w:uiPriority w:val="9"/>
    <w:rsid w:val="00A70A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70AC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70AC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70AC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70AC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70AC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70AC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70AC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A70ACD"/>
  </w:style>
  <w:style w:type="character" w:customStyle="1" w:styleId="charlegsubtitle1">
    <w:name w:val="charlegsubtitle1"/>
    <w:basedOn w:val="DefaultParagraphFont"/>
    <w:rsid w:val="00A70ACD"/>
    <w:rPr>
      <w:rFonts w:ascii="Arial" w:hAnsi="Arial" w:cs="Arial" w:hint="default"/>
      <w:b/>
      <w:bCs/>
      <w:sz w:val="28"/>
      <w:szCs w:val="28"/>
    </w:rPr>
  </w:style>
  <w:style w:type="paragraph" w:styleId="Index1">
    <w:name w:val="index 1"/>
    <w:basedOn w:val="Normal"/>
    <w:next w:val="Normal"/>
    <w:autoRedefine/>
    <w:rsid w:val="00A70ACD"/>
    <w:pPr>
      <w:ind w:left="240" w:hanging="240"/>
    </w:pPr>
  </w:style>
  <w:style w:type="paragraph" w:styleId="Index2">
    <w:name w:val="index 2"/>
    <w:basedOn w:val="Normal"/>
    <w:next w:val="Normal"/>
    <w:autoRedefine/>
    <w:rsid w:val="00A70ACD"/>
    <w:pPr>
      <w:ind w:left="480" w:hanging="240"/>
    </w:pPr>
  </w:style>
  <w:style w:type="paragraph" w:styleId="Index3">
    <w:name w:val="index 3"/>
    <w:basedOn w:val="Normal"/>
    <w:next w:val="Normal"/>
    <w:autoRedefine/>
    <w:rsid w:val="00A70ACD"/>
    <w:pPr>
      <w:ind w:left="720" w:hanging="240"/>
    </w:pPr>
  </w:style>
  <w:style w:type="paragraph" w:styleId="Index4">
    <w:name w:val="index 4"/>
    <w:basedOn w:val="Normal"/>
    <w:next w:val="Normal"/>
    <w:autoRedefine/>
    <w:rsid w:val="00A70ACD"/>
    <w:pPr>
      <w:ind w:left="960" w:hanging="240"/>
    </w:pPr>
  </w:style>
  <w:style w:type="paragraph" w:styleId="Index5">
    <w:name w:val="index 5"/>
    <w:basedOn w:val="Normal"/>
    <w:next w:val="Normal"/>
    <w:autoRedefine/>
    <w:rsid w:val="00A70ACD"/>
    <w:pPr>
      <w:ind w:left="1200" w:hanging="240"/>
    </w:pPr>
  </w:style>
  <w:style w:type="paragraph" w:styleId="Index6">
    <w:name w:val="index 6"/>
    <w:basedOn w:val="Normal"/>
    <w:next w:val="Normal"/>
    <w:autoRedefine/>
    <w:rsid w:val="00A70ACD"/>
    <w:pPr>
      <w:ind w:left="1440" w:hanging="240"/>
    </w:pPr>
  </w:style>
  <w:style w:type="paragraph" w:styleId="Index7">
    <w:name w:val="index 7"/>
    <w:basedOn w:val="Normal"/>
    <w:next w:val="Normal"/>
    <w:autoRedefine/>
    <w:rsid w:val="00A70ACD"/>
    <w:pPr>
      <w:ind w:left="1680" w:hanging="240"/>
    </w:pPr>
  </w:style>
  <w:style w:type="paragraph" w:styleId="Index8">
    <w:name w:val="index 8"/>
    <w:basedOn w:val="Normal"/>
    <w:next w:val="Normal"/>
    <w:autoRedefine/>
    <w:rsid w:val="00A70ACD"/>
    <w:pPr>
      <w:ind w:left="1920" w:hanging="240"/>
    </w:pPr>
  </w:style>
  <w:style w:type="paragraph" w:styleId="Index9">
    <w:name w:val="index 9"/>
    <w:basedOn w:val="Normal"/>
    <w:next w:val="Normal"/>
    <w:autoRedefine/>
    <w:rsid w:val="00A70ACD"/>
    <w:pPr>
      <w:ind w:left="2160" w:hanging="240"/>
    </w:pPr>
  </w:style>
  <w:style w:type="paragraph" w:styleId="NormalIndent">
    <w:name w:val="Normal Indent"/>
    <w:basedOn w:val="Normal"/>
    <w:rsid w:val="00A70ACD"/>
    <w:pPr>
      <w:ind w:left="720"/>
    </w:pPr>
  </w:style>
  <w:style w:type="paragraph" w:styleId="FootnoteText">
    <w:name w:val="footnote text"/>
    <w:basedOn w:val="Normal"/>
    <w:link w:val="FootnoteTextChar"/>
    <w:rsid w:val="00A70ACD"/>
    <w:rPr>
      <w:sz w:val="20"/>
    </w:rPr>
  </w:style>
  <w:style w:type="character" w:customStyle="1" w:styleId="FootnoteTextChar">
    <w:name w:val="Footnote Text Char"/>
    <w:basedOn w:val="DefaultParagraphFont"/>
    <w:link w:val="FootnoteText"/>
    <w:rsid w:val="00A70ACD"/>
  </w:style>
  <w:style w:type="paragraph" w:styleId="CommentText">
    <w:name w:val="annotation text"/>
    <w:basedOn w:val="Normal"/>
    <w:link w:val="CommentTextChar"/>
    <w:rsid w:val="00A70ACD"/>
    <w:rPr>
      <w:sz w:val="20"/>
    </w:rPr>
  </w:style>
  <w:style w:type="character" w:customStyle="1" w:styleId="CommentTextChar">
    <w:name w:val="Comment Text Char"/>
    <w:basedOn w:val="DefaultParagraphFont"/>
    <w:link w:val="CommentText"/>
    <w:rsid w:val="00A70ACD"/>
  </w:style>
  <w:style w:type="paragraph" w:styleId="IndexHeading">
    <w:name w:val="index heading"/>
    <w:basedOn w:val="Normal"/>
    <w:next w:val="Index1"/>
    <w:rsid w:val="00A70ACD"/>
    <w:rPr>
      <w:rFonts w:ascii="Arial" w:hAnsi="Arial" w:cs="Arial"/>
      <w:b/>
      <w:bCs/>
    </w:rPr>
  </w:style>
  <w:style w:type="paragraph" w:styleId="Caption">
    <w:name w:val="caption"/>
    <w:basedOn w:val="Normal"/>
    <w:next w:val="Normal"/>
    <w:qFormat/>
    <w:rsid w:val="00A70ACD"/>
    <w:pPr>
      <w:spacing w:before="120" w:after="120"/>
    </w:pPr>
    <w:rPr>
      <w:b/>
      <w:bCs/>
      <w:sz w:val="20"/>
    </w:rPr>
  </w:style>
  <w:style w:type="paragraph" w:styleId="TableofFigures">
    <w:name w:val="table of figures"/>
    <w:basedOn w:val="Normal"/>
    <w:next w:val="Normal"/>
    <w:rsid w:val="00A70ACD"/>
    <w:pPr>
      <w:ind w:left="480" w:hanging="480"/>
    </w:pPr>
  </w:style>
  <w:style w:type="paragraph" w:styleId="EnvelopeAddress">
    <w:name w:val="envelope address"/>
    <w:basedOn w:val="Normal"/>
    <w:rsid w:val="00A70AC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70ACD"/>
    <w:rPr>
      <w:rFonts w:ascii="Arial" w:hAnsi="Arial" w:cs="Arial"/>
      <w:sz w:val="20"/>
    </w:rPr>
  </w:style>
  <w:style w:type="character" w:styleId="FootnoteReference">
    <w:name w:val="footnote reference"/>
    <w:basedOn w:val="DefaultParagraphFont"/>
    <w:rsid w:val="00A70ACD"/>
    <w:rPr>
      <w:rFonts w:ascii="Times New Roman" w:hAnsi="Times New Roman"/>
      <w:sz w:val="20"/>
      <w:vertAlign w:val="superscript"/>
    </w:rPr>
  </w:style>
  <w:style w:type="character" w:styleId="CommentReference">
    <w:name w:val="annotation reference"/>
    <w:basedOn w:val="DefaultParagraphFont"/>
    <w:rsid w:val="00A70ACD"/>
    <w:rPr>
      <w:sz w:val="16"/>
      <w:szCs w:val="16"/>
    </w:rPr>
  </w:style>
  <w:style w:type="character" w:styleId="PageNumber">
    <w:name w:val="page number"/>
    <w:basedOn w:val="DefaultParagraphFont"/>
    <w:rsid w:val="00A70ACD"/>
  </w:style>
  <w:style w:type="character" w:styleId="EndnoteReference">
    <w:name w:val="endnote reference"/>
    <w:basedOn w:val="DefaultParagraphFont"/>
    <w:rsid w:val="00A70ACD"/>
    <w:rPr>
      <w:vertAlign w:val="superscript"/>
    </w:rPr>
  </w:style>
  <w:style w:type="paragraph" w:styleId="EndnoteText">
    <w:name w:val="endnote text"/>
    <w:basedOn w:val="Normal"/>
    <w:link w:val="EndnoteTextChar"/>
    <w:rsid w:val="00A70ACD"/>
    <w:rPr>
      <w:sz w:val="20"/>
    </w:rPr>
  </w:style>
  <w:style w:type="character" w:customStyle="1" w:styleId="EndnoteTextChar">
    <w:name w:val="Endnote Text Char"/>
    <w:basedOn w:val="DefaultParagraphFont"/>
    <w:link w:val="EndnoteText"/>
    <w:rsid w:val="00A70ACD"/>
  </w:style>
  <w:style w:type="paragraph" w:styleId="TableofAuthorities">
    <w:name w:val="table of authorities"/>
    <w:basedOn w:val="Normal"/>
    <w:next w:val="Normal"/>
    <w:rsid w:val="00A70ACD"/>
    <w:pPr>
      <w:ind w:left="240" w:hanging="240"/>
    </w:pPr>
  </w:style>
  <w:style w:type="paragraph" w:styleId="MacroText">
    <w:name w:val="macro"/>
    <w:link w:val="MacroTextChar"/>
    <w:rsid w:val="00A70AC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70ACD"/>
    <w:rPr>
      <w:rFonts w:ascii="Courier New" w:eastAsia="Times New Roman" w:hAnsi="Courier New" w:cs="Courier New"/>
      <w:lang w:eastAsia="en-AU"/>
    </w:rPr>
  </w:style>
  <w:style w:type="paragraph" w:styleId="TOAHeading">
    <w:name w:val="toa heading"/>
    <w:basedOn w:val="Normal"/>
    <w:next w:val="Normal"/>
    <w:rsid w:val="00A70ACD"/>
    <w:pPr>
      <w:spacing w:before="120"/>
    </w:pPr>
    <w:rPr>
      <w:rFonts w:ascii="Arial" w:hAnsi="Arial" w:cs="Arial"/>
      <w:b/>
      <w:bCs/>
    </w:rPr>
  </w:style>
  <w:style w:type="paragraph" w:styleId="List">
    <w:name w:val="List"/>
    <w:basedOn w:val="Normal"/>
    <w:rsid w:val="00A70ACD"/>
    <w:pPr>
      <w:ind w:left="283" w:hanging="283"/>
    </w:pPr>
  </w:style>
  <w:style w:type="paragraph" w:styleId="ListBullet">
    <w:name w:val="List Bullet"/>
    <w:basedOn w:val="Normal"/>
    <w:autoRedefine/>
    <w:rsid w:val="00A70ACD"/>
    <w:pPr>
      <w:tabs>
        <w:tab w:val="num" w:pos="360"/>
      </w:tabs>
      <w:ind w:left="360" w:hanging="360"/>
    </w:pPr>
  </w:style>
  <w:style w:type="paragraph" w:styleId="ListNumber">
    <w:name w:val="List Number"/>
    <w:basedOn w:val="Normal"/>
    <w:rsid w:val="00A70ACD"/>
    <w:pPr>
      <w:tabs>
        <w:tab w:val="num" w:pos="360"/>
      </w:tabs>
      <w:ind w:left="360" w:hanging="360"/>
    </w:pPr>
  </w:style>
  <w:style w:type="paragraph" w:styleId="List2">
    <w:name w:val="List 2"/>
    <w:basedOn w:val="Normal"/>
    <w:rsid w:val="00A70ACD"/>
    <w:pPr>
      <w:ind w:left="566" w:hanging="283"/>
    </w:pPr>
  </w:style>
  <w:style w:type="paragraph" w:styleId="List3">
    <w:name w:val="List 3"/>
    <w:basedOn w:val="Normal"/>
    <w:rsid w:val="00A70ACD"/>
    <w:pPr>
      <w:ind w:left="849" w:hanging="283"/>
    </w:pPr>
  </w:style>
  <w:style w:type="paragraph" w:styleId="List4">
    <w:name w:val="List 4"/>
    <w:basedOn w:val="Normal"/>
    <w:rsid w:val="00A70ACD"/>
    <w:pPr>
      <w:ind w:left="1132" w:hanging="283"/>
    </w:pPr>
  </w:style>
  <w:style w:type="paragraph" w:styleId="List5">
    <w:name w:val="List 5"/>
    <w:basedOn w:val="Normal"/>
    <w:rsid w:val="00A70ACD"/>
    <w:pPr>
      <w:ind w:left="1415" w:hanging="283"/>
    </w:pPr>
  </w:style>
  <w:style w:type="paragraph" w:styleId="ListBullet2">
    <w:name w:val="List Bullet 2"/>
    <w:basedOn w:val="Normal"/>
    <w:autoRedefine/>
    <w:rsid w:val="00A70ACD"/>
    <w:pPr>
      <w:tabs>
        <w:tab w:val="num" w:pos="360"/>
      </w:tabs>
    </w:pPr>
  </w:style>
  <w:style w:type="paragraph" w:styleId="ListBullet3">
    <w:name w:val="List Bullet 3"/>
    <w:basedOn w:val="Normal"/>
    <w:autoRedefine/>
    <w:rsid w:val="00A70ACD"/>
    <w:pPr>
      <w:tabs>
        <w:tab w:val="num" w:pos="926"/>
      </w:tabs>
      <w:ind w:left="926" w:hanging="360"/>
    </w:pPr>
  </w:style>
  <w:style w:type="paragraph" w:styleId="ListBullet4">
    <w:name w:val="List Bullet 4"/>
    <w:basedOn w:val="Normal"/>
    <w:autoRedefine/>
    <w:rsid w:val="00A70ACD"/>
    <w:pPr>
      <w:tabs>
        <w:tab w:val="num" w:pos="1209"/>
      </w:tabs>
      <w:ind w:left="1209" w:hanging="360"/>
    </w:pPr>
  </w:style>
  <w:style w:type="paragraph" w:styleId="ListBullet5">
    <w:name w:val="List Bullet 5"/>
    <w:basedOn w:val="Normal"/>
    <w:autoRedefine/>
    <w:rsid w:val="00A70ACD"/>
    <w:pPr>
      <w:tabs>
        <w:tab w:val="num" w:pos="1492"/>
      </w:tabs>
      <w:ind w:left="1492" w:hanging="360"/>
    </w:pPr>
  </w:style>
  <w:style w:type="paragraph" w:styleId="ListNumber2">
    <w:name w:val="List Number 2"/>
    <w:basedOn w:val="Normal"/>
    <w:rsid w:val="00A70ACD"/>
    <w:pPr>
      <w:tabs>
        <w:tab w:val="num" w:pos="643"/>
      </w:tabs>
      <w:ind w:left="643" w:hanging="360"/>
    </w:pPr>
  </w:style>
  <w:style w:type="paragraph" w:styleId="ListNumber3">
    <w:name w:val="List Number 3"/>
    <w:basedOn w:val="Normal"/>
    <w:rsid w:val="00A70ACD"/>
    <w:pPr>
      <w:tabs>
        <w:tab w:val="num" w:pos="926"/>
      </w:tabs>
      <w:ind w:left="926" w:hanging="360"/>
    </w:pPr>
  </w:style>
  <w:style w:type="paragraph" w:styleId="ListNumber4">
    <w:name w:val="List Number 4"/>
    <w:basedOn w:val="Normal"/>
    <w:rsid w:val="00A70ACD"/>
    <w:pPr>
      <w:tabs>
        <w:tab w:val="num" w:pos="1209"/>
      </w:tabs>
      <w:ind w:left="1209" w:hanging="360"/>
    </w:pPr>
  </w:style>
  <w:style w:type="paragraph" w:styleId="ListNumber5">
    <w:name w:val="List Number 5"/>
    <w:basedOn w:val="Normal"/>
    <w:rsid w:val="00A70ACD"/>
    <w:pPr>
      <w:tabs>
        <w:tab w:val="num" w:pos="1492"/>
      </w:tabs>
      <w:ind w:left="1492" w:hanging="360"/>
    </w:pPr>
  </w:style>
  <w:style w:type="paragraph" w:styleId="Title">
    <w:name w:val="Title"/>
    <w:basedOn w:val="Normal"/>
    <w:link w:val="TitleChar"/>
    <w:qFormat/>
    <w:rsid w:val="00A70ACD"/>
    <w:pPr>
      <w:spacing w:before="240" w:after="60"/>
    </w:pPr>
    <w:rPr>
      <w:rFonts w:ascii="Arial" w:hAnsi="Arial" w:cs="Arial"/>
      <w:b/>
      <w:bCs/>
      <w:sz w:val="40"/>
      <w:szCs w:val="40"/>
    </w:rPr>
  </w:style>
  <w:style w:type="character" w:customStyle="1" w:styleId="TitleChar">
    <w:name w:val="Title Char"/>
    <w:basedOn w:val="DefaultParagraphFont"/>
    <w:link w:val="Title"/>
    <w:rsid w:val="00A70ACD"/>
    <w:rPr>
      <w:rFonts w:ascii="Arial" w:hAnsi="Arial" w:cs="Arial"/>
      <w:b/>
      <w:bCs/>
      <w:sz w:val="40"/>
      <w:szCs w:val="40"/>
    </w:rPr>
  </w:style>
  <w:style w:type="paragraph" w:styleId="Closing">
    <w:name w:val="Closing"/>
    <w:basedOn w:val="Normal"/>
    <w:link w:val="ClosingChar"/>
    <w:rsid w:val="00A70ACD"/>
    <w:pPr>
      <w:ind w:left="4252"/>
    </w:pPr>
  </w:style>
  <w:style w:type="character" w:customStyle="1" w:styleId="ClosingChar">
    <w:name w:val="Closing Char"/>
    <w:basedOn w:val="DefaultParagraphFont"/>
    <w:link w:val="Closing"/>
    <w:rsid w:val="00A70ACD"/>
    <w:rPr>
      <w:sz w:val="22"/>
    </w:rPr>
  </w:style>
  <w:style w:type="paragraph" w:styleId="Signature">
    <w:name w:val="Signature"/>
    <w:basedOn w:val="Normal"/>
    <w:link w:val="SignatureChar"/>
    <w:rsid w:val="00A70ACD"/>
    <w:pPr>
      <w:ind w:left="4252"/>
    </w:pPr>
  </w:style>
  <w:style w:type="character" w:customStyle="1" w:styleId="SignatureChar">
    <w:name w:val="Signature Char"/>
    <w:basedOn w:val="DefaultParagraphFont"/>
    <w:link w:val="Signature"/>
    <w:rsid w:val="00A70ACD"/>
    <w:rPr>
      <w:sz w:val="22"/>
    </w:rPr>
  </w:style>
  <w:style w:type="paragraph" w:styleId="BodyText">
    <w:name w:val="Body Text"/>
    <w:basedOn w:val="Normal"/>
    <w:link w:val="BodyTextChar"/>
    <w:rsid w:val="00A70ACD"/>
    <w:pPr>
      <w:spacing w:after="120"/>
    </w:pPr>
  </w:style>
  <w:style w:type="character" w:customStyle="1" w:styleId="BodyTextChar">
    <w:name w:val="Body Text Char"/>
    <w:basedOn w:val="DefaultParagraphFont"/>
    <w:link w:val="BodyText"/>
    <w:rsid w:val="00A70ACD"/>
    <w:rPr>
      <w:sz w:val="22"/>
    </w:rPr>
  </w:style>
  <w:style w:type="paragraph" w:styleId="BodyTextIndent">
    <w:name w:val="Body Text Indent"/>
    <w:basedOn w:val="Normal"/>
    <w:link w:val="BodyTextIndentChar"/>
    <w:rsid w:val="00A70ACD"/>
    <w:pPr>
      <w:spacing w:after="120"/>
      <w:ind w:left="283"/>
    </w:pPr>
  </w:style>
  <w:style w:type="character" w:customStyle="1" w:styleId="BodyTextIndentChar">
    <w:name w:val="Body Text Indent Char"/>
    <w:basedOn w:val="DefaultParagraphFont"/>
    <w:link w:val="BodyTextIndent"/>
    <w:rsid w:val="00A70ACD"/>
    <w:rPr>
      <w:sz w:val="22"/>
    </w:rPr>
  </w:style>
  <w:style w:type="paragraph" w:styleId="ListContinue">
    <w:name w:val="List Continue"/>
    <w:basedOn w:val="Normal"/>
    <w:rsid w:val="00A70ACD"/>
    <w:pPr>
      <w:spacing w:after="120"/>
      <w:ind w:left="283"/>
    </w:pPr>
  </w:style>
  <w:style w:type="paragraph" w:styleId="ListContinue2">
    <w:name w:val="List Continue 2"/>
    <w:basedOn w:val="Normal"/>
    <w:rsid w:val="00A70ACD"/>
    <w:pPr>
      <w:spacing w:after="120"/>
      <w:ind w:left="566"/>
    </w:pPr>
  </w:style>
  <w:style w:type="paragraph" w:styleId="ListContinue3">
    <w:name w:val="List Continue 3"/>
    <w:basedOn w:val="Normal"/>
    <w:rsid w:val="00A70ACD"/>
    <w:pPr>
      <w:spacing w:after="120"/>
      <w:ind w:left="849"/>
    </w:pPr>
  </w:style>
  <w:style w:type="paragraph" w:styleId="ListContinue4">
    <w:name w:val="List Continue 4"/>
    <w:basedOn w:val="Normal"/>
    <w:rsid w:val="00A70ACD"/>
    <w:pPr>
      <w:spacing w:after="120"/>
      <w:ind w:left="1132"/>
    </w:pPr>
  </w:style>
  <w:style w:type="paragraph" w:styleId="ListContinue5">
    <w:name w:val="List Continue 5"/>
    <w:basedOn w:val="Normal"/>
    <w:rsid w:val="00A70ACD"/>
    <w:pPr>
      <w:spacing w:after="120"/>
      <w:ind w:left="1415"/>
    </w:pPr>
  </w:style>
  <w:style w:type="paragraph" w:styleId="MessageHeader">
    <w:name w:val="Message Header"/>
    <w:basedOn w:val="Normal"/>
    <w:link w:val="MessageHeaderChar"/>
    <w:rsid w:val="00A70A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70ACD"/>
    <w:rPr>
      <w:rFonts w:ascii="Arial" w:hAnsi="Arial" w:cs="Arial"/>
      <w:sz w:val="22"/>
      <w:shd w:val="pct20" w:color="auto" w:fill="auto"/>
    </w:rPr>
  </w:style>
  <w:style w:type="paragraph" w:styleId="Subtitle">
    <w:name w:val="Subtitle"/>
    <w:basedOn w:val="Normal"/>
    <w:link w:val="SubtitleChar"/>
    <w:qFormat/>
    <w:rsid w:val="00A70ACD"/>
    <w:pPr>
      <w:spacing w:after="60"/>
      <w:jc w:val="center"/>
      <w:outlineLvl w:val="1"/>
    </w:pPr>
    <w:rPr>
      <w:rFonts w:ascii="Arial" w:hAnsi="Arial" w:cs="Arial"/>
    </w:rPr>
  </w:style>
  <w:style w:type="character" w:customStyle="1" w:styleId="SubtitleChar">
    <w:name w:val="Subtitle Char"/>
    <w:basedOn w:val="DefaultParagraphFont"/>
    <w:link w:val="Subtitle"/>
    <w:rsid w:val="00A70ACD"/>
    <w:rPr>
      <w:rFonts w:ascii="Arial" w:hAnsi="Arial" w:cs="Arial"/>
      <w:sz w:val="22"/>
    </w:rPr>
  </w:style>
  <w:style w:type="paragraph" w:styleId="Salutation">
    <w:name w:val="Salutation"/>
    <w:basedOn w:val="Normal"/>
    <w:next w:val="Normal"/>
    <w:link w:val="SalutationChar"/>
    <w:rsid w:val="00A70ACD"/>
  </w:style>
  <w:style w:type="character" w:customStyle="1" w:styleId="SalutationChar">
    <w:name w:val="Salutation Char"/>
    <w:basedOn w:val="DefaultParagraphFont"/>
    <w:link w:val="Salutation"/>
    <w:rsid w:val="00A70ACD"/>
    <w:rPr>
      <w:sz w:val="22"/>
    </w:rPr>
  </w:style>
  <w:style w:type="paragraph" w:styleId="Date">
    <w:name w:val="Date"/>
    <w:basedOn w:val="Normal"/>
    <w:next w:val="Normal"/>
    <w:link w:val="DateChar"/>
    <w:rsid w:val="00A70ACD"/>
  </w:style>
  <w:style w:type="character" w:customStyle="1" w:styleId="DateChar">
    <w:name w:val="Date Char"/>
    <w:basedOn w:val="DefaultParagraphFont"/>
    <w:link w:val="Date"/>
    <w:rsid w:val="00A70ACD"/>
    <w:rPr>
      <w:sz w:val="22"/>
    </w:rPr>
  </w:style>
  <w:style w:type="paragraph" w:styleId="BodyTextFirstIndent">
    <w:name w:val="Body Text First Indent"/>
    <w:basedOn w:val="BodyText"/>
    <w:link w:val="BodyTextFirstIndentChar"/>
    <w:rsid w:val="00A70ACD"/>
    <w:pPr>
      <w:ind w:firstLine="210"/>
    </w:pPr>
  </w:style>
  <w:style w:type="character" w:customStyle="1" w:styleId="BodyTextFirstIndentChar">
    <w:name w:val="Body Text First Indent Char"/>
    <w:basedOn w:val="BodyTextChar"/>
    <w:link w:val="BodyTextFirstIndent"/>
    <w:rsid w:val="00A70ACD"/>
    <w:rPr>
      <w:sz w:val="22"/>
    </w:rPr>
  </w:style>
  <w:style w:type="paragraph" w:styleId="BodyTextFirstIndent2">
    <w:name w:val="Body Text First Indent 2"/>
    <w:basedOn w:val="BodyTextIndent"/>
    <w:link w:val="BodyTextFirstIndent2Char"/>
    <w:rsid w:val="00A70ACD"/>
    <w:pPr>
      <w:ind w:firstLine="210"/>
    </w:pPr>
  </w:style>
  <w:style w:type="character" w:customStyle="1" w:styleId="BodyTextFirstIndent2Char">
    <w:name w:val="Body Text First Indent 2 Char"/>
    <w:basedOn w:val="BodyTextIndentChar"/>
    <w:link w:val="BodyTextFirstIndent2"/>
    <w:rsid w:val="00A70ACD"/>
    <w:rPr>
      <w:sz w:val="22"/>
    </w:rPr>
  </w:style>
  <w:style w:type="paragraph" w:styleId="BodyText2">
    <w:name w:val="Body Text 2"/>
    <w:basedOn w:val="Normal"/>
    <w:link w:val="BodyText2Char"/>
    <w:rsid w:val="00A70ACD"/>
    <w:pPr>
      <w:spacing w:after="120" w:line="480" w:lineRule="auto"/>
    </w:pPr>
  </w:style>
  <w:style w:type="character" w:customStyle="1" w:styleId="BodyText2Char">
    <w:name w:val="Body Text 2 Char"/>
    <w:basedOn w:val="DefaultParagraphFont"/>
    <w:link w:val="BodyText2"/>
    <w:rsid w:val="00A70ACD"/>
    <w:rPr>
      <w:sz w:val="22"/>
    </w:rPr>
  </w:style>
  <w:style w:type="paragraph" w:styleId="BodyText3">
    <w:name w:val="Body Text 3"/>
    <w:basedOn w:val="Normal"/>
    <w:link w:val="BodyText3Char"/>
    <w:rsid w:val="00A70ACD"/>
    <w:pPr>
      <w:spacing w:after="120"/>
    </w:pPr>
    <w:rPr>
      <w:sz w:val="16"/>
      <w:szCs w:val="16"/>
    </w:rPr>
  </w:style>
  <w:style w:type="character" w:customStyle="1" w:styleId="BodyText3Char">
    <w:name w:val="Body Text 3 Char"/>
    <w:basedOn w:val="DefaultParagraphFont"/>
    <w:link w:val="BodyText3"/>
    <w:rsid w:val="00A70ACD"/>
    <w:rPr>
      <w:sz w:val="16"/>
      <w:szCs w:val="16"/>
    </w:rPr>
  </w:style>
  <w:style w:type="paragraph" w:styleId="BodyTextIndent2">
    <w:name w:val="Body Text Indent 2"/>
    <w:basedOn w:val="Normal"/>
    <w:link w:val="BodyTextIndent2Char"/>
    <w:rsid w:val="00A70ACD"/>
    <w:pPr>
      <w:spacing w:after="120" w:line="480" w:lineRule="auto"/>
      <w:ind w:left="283"/>
    </w:pPr>
  </w:style>
  <w:style w:type="character" w:customStyle="1" w:styleId="BodyTextIndent2Char">
    <w:name w:val="Body Text Indent 2 Char"/>
    <w:basedOn w:val="DefaultParagraphFont"/>
    <w:link w:val="BodyTextIndent2"/>
    <w:rsid w:val="00A70ACD"/>
    <w:rPr>
      <w:sz w:val="22"/>
    </w:rPr>
  </w:style>
  <w:style w:type="paragraph" w:styleId="BodyTextIndent3">
    <w:name w:val="Body Text Indent 3"/>
    <w:basedOn w:val="Normal"/>
    <w:link w:val="BodyTextIndent3Char"/>
    <w:rsid w:val="00A70ACD"/>
    <w:pPr>
      <w:spacing w:after="120"/>
      <w:ind w:left="283"/>
    </w:pPr>
    <w:rPr>
      <w:sz w:val="16"/>
      <w:szCs w:val="16"/>
    </w:rPr>
  </w:style>
  <w:style w:type="character" w:customStyle="1" w:styleId="BodyTextIndent3Char">
    <w:name w:val="Body Text Indent 3 Char"/>
    <w:basedOn w:val="DefaultParagraphFont"/>
    <w:link w:val="BodyTextIndent3"/>
    <w:rsid w:val="00A70ACD"/>
    <w:rPr>
      <w:sz w:val="16"/>
      <w:szCs w:val="16"/>
    </w:rPr>
  </w:style>
  <w:style w:type="paragraph" w:styleId="BlockText">
    <w:name w:val="Block Text"/>
    <w:basedOn w:val="Normal"/>
    <w:rsid w:val="00A70ACD"/>
    <w:pPr>
      <w:spacing w:after="120"/>
      <w:ind w:left="1440" w:right="1440"/>
    </w:pPr>
  </w:style>
  <w:style w:type="character" w:styleId="Hyperlink">
    <w:name w:val="Hyperlink"/>
    <w:basedOn w:val="DefaultParagraphFont"/>
    <w:rsid w:val="00A70ACD"/>
    <w:rPr>
      <w:color w:val="0000FF"/>
      <w:u w:val="single"/>
    </w:rPr>
  </w:style>
  <w:style w:type="character" w:styleId="FollowedHyperlink">
    <w:name w:val="FollowedHyperlink"/>
    <w:basedOn w:val="DefaultParagraphFont"/>
    <w:rsid w:val="00A70ACD"/>
    <w:rPr>
      <w:color w:val="800080"/>
      <w:u w:val="single"/>
    </w:rPr>
  </w:style>
  <w:style w:type="character" w:styleId="Strong">
    <w:name w:val="Strong"/>
    <w:basedOn w:val="DefaultParagraphFont"/>
    <w:qFormat/>
    <w:rsid w:val="00A70ACD"/>
    <w:rPr>
      <w:b/>
      <w:bCs/>
    </w:rPr>
  </w:style>
  <w:style w:type="character" w:styleId="Emphasis">
    <w:name w:val="Emphasis"/>
    <w:basedOn w:val="DefaultParagraphFont"/>
    <w:qFormat/>
    <w:rsid w:val="00A70ACD"/>
    <w:rPr>
      <w:i/>
      <w:iCs/>
    </w:rPr>
  </w:style>
  <w:style w:type="paragraph" w:styleId="DocumentMap">
    <w:name w:val="Document Map"/>
    <w:basedOn w:val="Normal"/>
    <w:link w:val="DocumentMapChar"/>
    <w:rsid w:val="00A70ACD"/>
    <w:pPr>
      <w:shd w:val="clear" w:color="auto" w:fill="000080"/>
    </w:pPr>
    <w:rPr>
      <w:rFonts w:ascii="Tahoma" w:hAnsi="Tahoma" w:cs="Tahoma"/>
    </w:rPr>
  </w:style>
  <w:style w:type="character" w:customStyle="1" w:styleId="DocumentMapChar">
    <w:name w:val="Document Map Char"/>
    <w:basedOn w:val="DefaultParagraphFont"/>
    <w:link w:val="DocumentMap"/>
    <w:rsid w:val="00A70ACD"/>
    <w:rPr>
      <w:rFonts w:ascii="Tahoma" w:hAnsi="Tahoma" w:cs="Tahoma"/>
      <w:sz w:val="22"/>
      <w:shd w:val="clear" w:color="auto" w:fill="000080"/>
    </w:rPr>
  </w:style>
  <w:style w:type="paragraph" w:styleId="PlainText">
    <w:name w:val="Plain Text"/>
    <w:basedOn w:val="Normal"/>
    <w:link w:val="PlainTextChar"/>
    <w:rsid w:val="00A70ACD"/>
    <w:rPr>
      <w:rFonts w:ascii="Courier New" w:hAnsi="Courier New" w:cs="Courier New"/>
      <w:sz w:val="20"/>
    </w:rPr>
  </w:style>
  <w:style w:type="character" w:customStyle="1" w:styleId="PlainTextChar">
    <w:name w:val="Plain Text Char"/>
    <w:basedOn w:val="DefaultParagraphFont"/>
    <w:link w:val="PlainText"/>
    <w:rsid w:val="00A70ACD"/>
    <w:rPr>
      <w:rFonts w:ascii="Courier New" w:hAnsi="Courier New" w:cs="Courier New"/>
    </w:rPr>
  </w:style>
  <w:style w:type="paragraph" w:styleId="E-mailSignature">
    <w:name w:val="E-mail Signature"/>
    <w:basedOn w:val="Normal"/>
    <w:link w:val="E-mailSignatureChar"/>
    <w:rsid w:val="00A70ACD"/>
  </w:style>
  <w:style w:type="character" w:customStyle="1" w:styleId="E-mailSignatureChar">
    <w:name w:val="E-mail Signature Char"/>
    <w:basedOn w:val="DefaultParagraphFont"/>
    <w:link w:val="E-mailSignature"/>
    <w:rsid w:val="00A70ACD"/>
    <w:rPr>
      <w:sz w:val="22"/>
    </w:rPr>
  </w:style>
  <w:style w:type="paragraph" w:styleId="NormalWeb">
    <w:name w:val="Normal (Web)"/>
    <w:basedOn w:val="Normal"/>
    <w:rsid w:val="00A70ACD"/>
  </w:style>
  <w:style w:type="character" w:styleId="HTMLAcronym">
    <w:name w:val="HTML Acronym"/>
    <w:basedOn w:val="DefaultParagraphFont"/>
    <w:rsid w:val="00A70ACD"/>
  </w:style>
  <w:style w:type="paragraph" w:styleId="HTMLAddress">
    <w:name w:val="HTML Address"/>
    <w:basedOn w:val="Normal"/>
    <w:link w:val="HTMLAddressChar"/>
    <w:rsid w:val="00A70ACD"/>
    <w:rPr>
      <w:i/>
      <w:iCs/>
    </w:rPr>
  </w:style>
  <w:style w:type="character" w:customStyle="1" w:styleId="HTMLAddressChar">
    <w:name w:val="HTML Address Char"/>
    <w:basedOn w:val="DefaultParagraphFont"/>
    <w:link w:val="HTMLAddress"/>
    <w:rsid w:val="00A70ACD"/>
    <w:rPr>
      <w:i/>
      <w:iCs/>
      <w:sz w:val="22"/>
    </w:rPr>
  </w:style>
  <w:style w:type="character" w:styleId="HTMLCite">
    <w:name w:val="HTML Cite"/>
    <w:basedOn w:val="DefaultParagraphFont"/>
    <w:rsid w:val="00A70ACD"/>
    <w:rPr>
      <w:i/>
      <w:iCs/>
    </w:rPr>
  </w:style>
  <w:style w:type="character" w:styleId="HTMLCode">
    <w:name w:val="HTML Code"/>
    <w:basedOn w:val="DefaultParagraphFont"/>
    <w:rsid w:val="00A70ACD"/>
    <w:rPr>
      <w:rFonts w:ascii="Courier New" w:hAnsi="Courier New" w:cs="Courier New"/>
      <w:sz w:val="20"/>
      <w:szCs w:val="20"/>
    </w:rPr>
  </w:style>
  <w:style w:type="character" w:styleId="HTMLDefinition">
    <w:name w:val="HTML Definition"/>
    <w:basedOn w:val="DefaultParagraphFont"/>
    <w:rsid w:val="00A70ACD"/>
    <w:rPr>
      <w:i/>
      <w:iCs/>
    </w:rPr>
  </w:style>
  <w:style w:type="character" w:styleId="HTMLKeyboard">
    <w:name w:val="HTML Keyboard"/>
    <w:basedOn w:val="DefaultParagraphFont"/>
    <w:rsid w:val="00A70ACD"/>
    <w:rPr>
      <w:rFonts w:ascii="Courier New" w:hAnsi="Courier New" w:cs="Courier New"/>
      <w:sz w:val="20"/>
      <w:szCs w:val="20"/>
    </w:rPr>
  </w:style>
  <w:style w:type="paragraph" w:styleId="HTMLPreformatted">
    <w:name w:val="HTML Preformatted"/>
    <w:basedOn w:val="Normal"/>
    <w:link w:val="HTMLPreformattedChar"/>
    <w:rsid w:val="00A70ACD"/>
    <w:rPr>
      <w:rFonts w:ascii="Courier New" w:hAnsi="Courier New" w:cs="Courier New"/>
      <w:sz w:val="20"/>
    </w:rPr>
  </w:style>
  <w:style w:type="character" w:customStyle="1" w:styleId="HTMLPreformattedChar">
    <w:name w:val="HTML Preformatted Char"/>
    <w:basedOn w:val="DefaultParagraphFont"/>
    <w:link w:val="HTMLPreformatted"/>
    <w:rsid w:val="00A70ACD"/>
    <w:rPr>
      <w:rFonts w:ascii="Courier New" w:hAnsi="Courier New" w:cs="Courier New"/>
    </w:rPr>
  </w:style>
  <w:style w:type="character" w:styleId="HTMLSample">
    <w:name w:val="HTML Sample"/>
    <w:basedOn w:val="DefaultParagraphFont"/>
    <w:rsid w:val="00A70ACD"/>
    <w:rPr>
      <w:rFonts w:ascii="Courier New" w:hAnsi="Courier New" w:cs="Courier New"/>
    </w:rPr>
  </w:style>
  <w:style w:type="character" w:styleId="HTMLTypewriter">
    <w:name w:val="HTML Typewriter"/>
    <w:basedOn w:val="DefaultParagraphFont"/>
    <w:rsid w:val="00A70ACD"/>
    <w:rPr>
      <w:rFonts w:ascii="Courier New" w:hAnsi="Courier New" w:cs="Courier New"/>
      <w:sz w:val="20"/>
      <w:szCs w:val="20"/>
    </w:rPr>
  </w:style>
  <w:style w:type="character" w:styleId="HTMLVariable">
    <w:name w:val="HTML Variable"/>
    <w:basedOn w:val="DefaultParagraphFont"/>
    <w:rsid w:val="00A70ACD"/>
    <w:rPr>
      <w:i/>
      <w:iCs/>
    </w:rPr>
  </w:style>
  <w:style w:type="paragraph" w:styleId="CommentSubject">
    <w:name w:val="annotation subject"/>
    <w:basedOn w:val="CommentText"/>
    <w:next w:val="CommentText"/>
    <w:link w:val="CommentSubjectChar"/>
    <w:rsid w:val="00A70ACD"/>
    <w:rPr>
      <w:b/>
      <w:bCs/>
    </w:rPr>
  </w:style>
  <w:style w:type="character" w:customStyle="1" w:styleId="CommentSubjectChar">
    <w:name w:val="Comment Subject Char"/>
    <w:basedOn w:val="CommentTextChar"/>
    <w:link w:val="CommentSubject"/>
    <w:rsid w:val="00A70ACD"/>
    <w:rPr>
      <w:b/>
      <w:bCs/>
    </w:rPr>
  </w:style>
  <w:style w:type="numbering" w:styleId="1ai">
    <w:name w:val="Outline List 1"/>
    <w:basedOn w:val="NoList"/>
    <w:rsid w:val="00A70ACD"/>
    <w:pPr>
      <w:numPr>
        <w:numId w:val="14"/>
      </w:numPr>
    </w:pPr>
  </w:style>
  <w:style w:type="numbering" w:styleId="111111">
    <w:name w:val="Outline List 2"/>
    <w:basedOn w:val="NoList"/>
    <w:rsid w:val="00A70ACD"/>
    <w:pPr>
      <w:numPr>
        <w:numId w:val="15"/>
      </w:numPr>
    </w:pPr>
  </w:style>
  <w:style w:type="numbering" w:styleId="ArticleSection">
    <w:name w:val="Outline List 3"/>
    <w:basedOn w:val="NoList"/>
    <w:rsid w:val="00A70ACD"/>
    <w:pPr>
      <w:numPr>
        <w:numId w:val="17"/>
      </w:numPr>
    </w:pPr>
  </w:style>
  <w:style w:type="table" w:styleId="TableSimple1">
    <w:name w:val="Table Simple 1"/>
    <w:basedOn w:val="TableNormal"/>
    <w:rsid w:val="00A70AC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70AC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70A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70AC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70AC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70AC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70AC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70AC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70AC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70AC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70AC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70AC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70AC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70AC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70AC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70AC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70AC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70AC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70AC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70A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70A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70AC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70AC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70AC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70AC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70AC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70A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70AC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70AC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70AC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70AC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70AC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70AC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70AC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70AC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70AC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70AC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70AC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70AC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70AC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70AC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70AC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70AC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70ACD"/>
    <w:rPr>
      <w:rFonts w:eastAsia="Times New Roman" w:cs="Times New Roman"/>
      <w:b/>
      <w:kern w:val="28"/>
      <w:sz w:val="24"/>
      <w:lang w:eastAsia="en-AU"/>
    </w:rPr>
  </w:style>
  <w:style w:type="character" w:customStyle="1" w:styleId="ItemChar">
    <w:name w:val="Item Char"/>
    <w:aliases w:val="i Char"/>
    <w:basedOn w:val="DefaultParagraphFont"/>
    <w:link w:val="Item"/>
    <w:locked/>
    <w:rsid w:val="00690D49"/>
    <w:rPr>
      <w:rFonts w:eastAsia="Times New Roman" w:cs="Times New Roman"/>
      <w:sz w:val="22"/>
      <w:lang w:eastAsia="en-AU"/>
    </w:rPr>
  </w:style>
  <w:style w:type="character" w:customStyle="1" w:styleId="ItemHeadChar">
    <w:name w:val="ItemHead Char"/>
    <w:aliases w:val="ih Char"/>
    <w:basedOn w:val="DefaultParagraphFont"/>
    <w:link w:val="ItemHead"/>
    <w:locked/>
    <w:rsid w:val="00690D49"/>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8074">
      <w:bodyDiv w:val="1"/>
      <w:marLeft w:val="0"/>
      <w:marRight w:val="0"/>
      <w:marTop w:val="0"/>
      <w:marBottom w:val="0"/>
      <w:divBdr>
        <w:top w:val="none" w:sz="0" w:space="0" w:color="auto"/>
        <w:left w:val="none" w:sz="0" w:space="0" w:color="auto"/>
        <w:bottom w:val="none" w:sz="0" w:space="0" w:color="auto"/>
        <w:right w:val="none" w:sz="0" w:space="0" w:color="auto"/>
      </w:divBdr>
    </w:div>
    <w:div w:id="73402000">
      <w:bodyDiv w:val="1"/>
      <w:marLeft w:val="0"/>
      <w:marRight w:val="0"/>
      <w:marTop w:val="0"/>
      <w:marBottom w:val="0"/>
      <w:divBdr>
        <w:top w:val="none" w:sz="0" w:space="0" w:color="auto"/>
        <w:left w:val="none" w:sz="0" w:space="0" w:color="auto"/>
        <w:bottom w:val="none" w:sz="0" w:space="0" w:color="auto"/>
        <w:right w:val="none" w:sz="0" w:space="0" w:color="auto"/>
      </w:divBdr>
    </w:div>
    <w:div w:id="112986773">
      <w:bodyDiv w:val="1"/>
      <w:marLeft w:val="0"/>
      <w:marRight w:val="0"/>
      <w:marTop w:val="0"/>
      <w:marBottom w:val="0"/>
      <w:divBdr>
        <w:top w:val="none" w:sz="0" w:space="0" w:color="auto"/>
        <w:left w:val="none" w:sz="0" w:space="0" w:color="auto"/>
        <w:bottom w:val="none" w:sz="0" w:space="0" w:color="auto"/>
        <w:right w:val="none" w:sz="0" w:space="0" w:color="auto"/>
      </w:divBdr>
    </w:div>
    <w:div w:id="220756843">
      <w:bodyDiv w:val="1"/>
      <w:marLeft w:val="0"/>
      <w:marRight w:val="0"/>
      <w:marTop w:val="0"/>
      <w:marBottom w:val="0"/>
      <w:divBdr>
        <w:top w:val="none" w:sz="0" w:space="0" w:color="auto"/>
        <w:left w:val="none" w:sz="0" w:space="0" w:color="auto"/>
        <w:bottom w:val="none" w:sz="0" w:space="0" w:color="auto"/>
        <w:right w:val="none" w:sz="0" w:space="0" w:color="auto"/>
      </w:divBdr>
    </w:div>
    <w:div w:id="595215518">
      <w:bodyDiv w:val="1"/>
      <w:marLeft w:val="0"/>
      <w:marRight w:val="0"/>
      <w:marTop w:val="0"/>
      <w:marBottom w:val="0"/>
      <w:divBdr>
        <w:top w:val="none" w:sz="0" w:space="0" w:color="auto"/>
        <w:left w:val="none" w:sz="0" w:space="0" w:color="auto"/>
        <w:bottom w:val="none" w:sz="0" w:space="0" w:color="auto"/>
        <w:right w:val="none" w:sz="0" w:space="0" w:color="auto"/>
      </w:divBdr>
    </w:div>
    <w:div w:id="739324693">
      <w:bodyDiv w:val="1"/>
      <w:marLeft w:val="0"/>
      <w:marRight w:val="0"/>
      <w:marTop w:val="0"/>
      <w:marBottom w:val="0"/>
      <w:divBdr>
        <w:top w:val="none" w:sz="0" w:space="0" w:color="auto"/>
        <w:left w:val="none" w:sz="0" w:space="0" w:color="auto"/>
        <w:bottom w:val="none" w:sz="0" w:space="0" w:color="auto"/>
        <w:right w:val="none" w:sz="0" w:space="0" w:color="auto"/>
      </w:divBdr>
    </w:div>
    <w:div w:id="785197114">
      <w:bodyDiv w:val="1"/>
      <w:marLeft w:val="0"/>
      <w:marRight w:val="0"/>
      <w:marTop w:val="0"/>
      <w:marBottom w:val="0"/>
      <w:divBdr>
        <w:top w:val="none" w:sz="0" w:space="0" w:color="auto"/>
        <w:left w:val="none" w:sz="0" w:space="0" w:color="auto"/>
        <w:bottom w:val="none" w:sz="0" w:space="0" w:color="auto"/>
        <w:right w:val="none" w:sz="0" w:space="0" w:color="auto"/>
      </w:divBdr>
    </w:div>
    <w:div w:id="796869897">
      <w:bodyDiv w:val="1"/>
      <w:marLeft w:val="0"/>
      <w:marRight w:val="0"/>
      <w:marTop w:val="0"/>
      <w:marBottom w:val="0"/>
      <w:divBdr>
        <w:top w:val="none" w:sz="0" w:space="0" w:color="auto"/>
        <w:left w:val="none" w:sz="0" w:space="0" w:color="auto"/>
        <w:bottom w:val="none" w:sz="0" w:space="0" w:color="auto"/>
        <w:right w:val="none" w:sz="0" w:space="0" w:color="auto"/>
      </w:divBdr>
    </w:div>
    <w:div w:id="803347763">
      <w:bodyDiv w:val="1"/>
      <w:marLeft w:val="0"/>
      <w:marRight w:val="0"/>
      <w:marTop w:val="0"/>
      <w:marBottom w:val="0"/>
      <w:divBdr>
        <w:top w:val="none" w:sz="0" w:space="0" w:color="auto"/>
        <w:left w:val="none" w:sz="0" w:space="0" w:color="auto"/>
        <w:bottom w:val="none" w:sz="0" w:space="0" w:color="auto"/>
        <w:right w:val="none" w:sz="0" w:space="0" w:color="auto"/>
      </w:divBdr>
    </w:div>
    <w:div w:id="194394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oleObject" Target="embeddings/oleObject2.bin"/><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wmf"/><Relationship Id="rId33" Type="http://schemas.openxmlformats.org/officeDocument/2006/relationships/header" Target="header7.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wmf"/><Relationship Id="rId28" Type="http://schemas.openxmlformats.org/officeDocument/2006/relationships/oleObject" Target="embeddings/oleObject3.bin"/><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4.wmf"/><Relationship Id="rId30" Type="http://schemas.openxmlformats.org/officeDocument/2006/relationships/oleObject" Target="embeddings/oleObject4.bin"/><Relationship Id="rId35"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_dlc_DocId xmlns="fe39d773-a83d-4623-ae74-f25711a76616">S574FYTY5PW6-349572302-517</_dlc_DocId>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_dlc_DocIdUrl xmlns="fe39d773-a83d-4623-ae74-f25711a76616">
      <Url>https://austreasury.sharepoint.com/sites/leg-cord-function/_layouts/15/DocIdRedir.aspx?ID=S574FYTY5PW6-349572302-517</Url>
      <Description>S574FYTY5PW6-349572302-517</Description>
    </_dlc_DocIdUrl>
    <ge25bdd0d6464e36b066695d9e81d63d xmlns="fe39d773-a83d-4623-ae74-f25711a76616">
      <Terms xmlns="http://schemas.microsoft.com/office/infopath/2007/PartnerControls"/>
    </ge25bdd0d6464e36b066695d9e81d63d>
    <TaxCatchAll xmlns="ff38c824-6e29-4496-8487-69f397e7ed29">
      <Value>42</Value>
      <Value>36</Value>
      <Value>1</Value>
      <Value>35</Value>
    </TaxCatchAll>
    <ExcoMeetingDate xmlns="9a91be02-49fe-4568-a0ce-30550d2c05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7" ma:contentTypeDescription="Create a new document." ma:contentTypeScope="" ma:versionID="a6a26a950b9f036b64762f60d091909f">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e7e6f7c0848fe5d5c2a76a468d694e8b"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801C9-0E79-49F8-9F30-283900A97A41}">
  <ds:schemaRefs>
    <ds:schemaRef ds:uri="42f4cb5a-261c-4c59-b165-7132460581a3"/>
    <ds:schemaRef ds:uri="9a91be02-49fe-4568-a0ce-30550d2c0542"/>
    <ds:schemaRef ds:uri="fe39d773-a83d-4623-ae74-f25711a76616"/>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ff38c824-6e29-4496-8487-69f397e7ed29"/>
    <ds:schemaRef ds:uri="http://www.w3.org/XML/1998/namespace"/>
    <ds:schemaRef ds:uri="http://purl.org/dc/dcmitype/"/>
  </ds:schemaRefs>
</ds:datastoreItem>
</file>

<file path=customXml/itemProps2.xml><?xml version="1.0" encoding="utf-8"?>
<ds:datastoreItem xmlns:ds="http://schemas.openxmlformats.org/officeDocument/2006/customXml" ds:itemID="{4E6D85CA-558A-44D4-865C-5E30F3D785EB}">
  <ds:schemaRefs>
    <ds:schemaRef ds:uri="http://schemas.microsoft.com/sharepoint/v3/contenttype/forms"/>
  </ds:schemaRefs>
</ds:datastoreItem>
</file>

<file path=customXml/itemProps3.xml><?xml version="1.0" encoding="utf-8"?>
<ds:datastoreItem xmlns:ds="http://schemas.openxmlformats.org/officeDocument/2006/customXml" ds:itemID="{14DD44BF-F356-4858-AFB1-FFDEA921BCC3}">
  <ds:schemaRefs>
    <ds:schemaRef ds:uri="http://schemas.microsoft.com/sharepoint/events"/>
  </ds:schemaRefs>
</ds:datastoreItem>
</file>

<file path=customXml/itemProps4.xml><?xml version="1.0" encoding="utf-8"?>
<ds:datastoreItem xmlns:ds="http://schemas.openxmlformats.org/officeDocument/2006/customXml" ds:itemID="{3EBC0494-4F14-48A8-A2E0-D504C9ADD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35</Pages>
  <Words>12184</Words>
  <Characters>60071</Characters>
  <Application>Microsoft Office Word</Application>
  <DocSecurity>0</DocSecurity>
  <PresentationFormat/>
  <Lines>5005</Lines>
  <Paragraphs>2189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2023-08-03T05:25:00Z</dcterms:created>
  <dcterms:modified xsi:type="dcterms:W3CDTF">2023-08-03T05:25:00Z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Superannuation Industry (Supervision) Amendment (Your Future, Your Super—Addressing Underperformance in Superannuation)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OPC66331</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TSYStatus">
    <vt:lpwstr/>
  </property>
  <property fmtid="{D5CDD505-2E9C-101B-9397-08002B2CF9AE}" pid="18" name="ContentTypeId">
    <vt:lpwstr>0x01010045D28D97A9C21749A9E8F8B6AC29448A</vt:lpwstr>
  </property>
  <property fmtid="{D5CDD505-2E9C-101B-9397-08002B2CF9AE}" pid="19" name="eDocumentType">
    <vt:lpwstr>42;#Legislation|25c35cca-98fe-4d3e-a63c-3dda1c39f3ec</vt:lpwstr>
  </property>
  <property fmtid="{D5CDD505-2E9C-101B-9397-08002B2CF9AE}" pid="20" name="_dlc_DocIdItemGuid">
    <vt:lpwstr>2e9a599a-4601-4354-b0fa-ba1ce228c781</vt:lpwstr>
  </property>
  <property fmtid="{D5CDD505-2E9C-101B-9397-08002B2CF9AE}" pid="21" name="Theme">
    <vt:lpwstr>1;#Law Design|318dd2d2-18da-4b8e-a458-14db2c1af95f</vt:lpwstr>
  </property>
  <property fmtid="{D5CDD505-2E9C-101B-9397-08002B2CF9AE}" pid="22" name="eTopic">
    <vt:lpwstr>36;#Legislation Coordination|58c6712e-e847-48f4-81ab-b25e2bbd3986</vt:lpwstr>
  </property>
  <property fmtid="{D5CDD505-2E9C-101B-9397-08002B2CF9AE}" pid="23" name="eActivity">
    <vt:lpwstr>35;#Legislation management|cb630f2f-9155-496b-ad0f-d960eb1bf90c</vt:lpwstr>
  </property>
</Properties>
</file>