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965D" w14:textId="3B787318" w:rsidR="003A6026" w:rsidRPr="008912EC" w:rsidRDefault="003A6026" w:rsidP="003A6026">
      <w:pPr>
        <w:jc w:val="center"/>
        <w:rPr>
          <w:b/>
          <w:u w:val="single"/>
        </w:rPr>
      </w:pPr>
      <w:r w:rsidRPr="008912EC">
        <w:rPr>
          <w:b/>
          <w:u w:val="single"/>
        </w:rPr>
        <w:t>EXPLANATORY STATEMENT</w:t>
      </w:r>
    </w:p>
    <w:p w14:paraId="653C2C0C" w14:textId="77777777" w:rsidR="003A6026" w:rsidRPr="008912EC" w:rsidRDefault="003A6026" w:rsidP="003A6026">
      <w:pPr>
        <w:jc w:val="center"/>
        <w:rPr>
          <w:b/>
        </w:rPr>
      </w:pPr>
    </w:p>
    <w:p w14:paraId="173C6DD5" w14:textId="77777777" w:rsidR="009B49D9" w:rsidRPr="008912EC" w:rsidRDefault="009B49D9" w:rsidP="009B49D9"/>
    <w:p w14:paraId="5072C663" w14:textId="260CED1E" w:rsidR="006042BB" w:rsidRPr="008912EC" w:rsidRDefault="006042BB" w:rsidP="003A6026">
      <w:pPr>
        <w:jc w:val="center"/>
        <w:rPr>
          <w:b/>
        </w:rPr>
      </w:pPr>
      <w:r w:rsidRPr="008912EC">
        <w:rPr>
          <w:b/>
        </w:rPr>
        <w:t xml:space="preserve">Issued by the authority </w:t>
      </w:r>
      <w:r w:rsidR="00F15CDA" w:rsidRPr="008912EC">
        <w:rPr>
          <w:b/>
        </w:rPr>
        <w:t xml:space="preserve">of </w:t>
      </w:r>
      <w:r w:rsidRPr="008912EC">
        <w:rPr>
          <w:b/>
        </w:rPr>
        <w:t>the Minister for Aged Care</w:t>
      </w:r>
    </w:p>
    <w:p w14:paraId="5E31B1BC" w14:textId="77777777" w:rsidR="006042BB" w:rsidRPr="008912EC" w:rsidRDefault="006042BB" w:rsidP="003A6026">
      <w:pPr>
        <w:jc w:val="center"/>
        <w:rPr>
          <w:b/>
        </w:rPr>
      </w:pPr>
    </w:p>
    <w:p w14:paraId="337C571C" w14:textId="77777777" w:rsidR="003A6026" w:rsidRPr="008912EC" w:rsidRDefault="00330A62" w:rsidP="00AB1D6C">
      <w:pPr>
        <w:jc w:val="center"/>
        <w:rPr>
          <w:b/>
          <w:i/>
        </w:rPr>
      </w:pPr>
      <w:r w:rsidRPr="008912EC">
        <w:rPr>
          <w:b/>
          <w:i/>
        </w:rPr>
        <w:t>Aged Care Act 1997</w:t>
      </w:r>
      <w:r w:rsidR="007757EA" w:rsidRPr="008912EC">
        <w:rPr>
          <w:b/>
          <w:i/>
        </w:rPr>
        <w:t xml:space="preserve"> </w:t>
      </w:r>
    </w:p>
    <w:p w14:paraId="44269088" w14:textId="77777777" w:rsidR="003A6026" w:rsidRPr="008912EC" w:rsidRDefault="003A6026" w:rsidP="003A6026">
      <w:pPr>
        <w:rPr>
          <w:b/>
        </w:rPr>
      </w:pPr>
    </w:p>
    <w:p w14:paraId="16839690" w14:textId="1A57F5AB" w:rsidR="00AB1D6C" w:rsidRPr="008912EC" w:rsidRDefault="00103A1B" w:rsidP="00AB1D6C">
      <w:pPr>
        <w:jc w:val="center"/>
        <w:rPr>
          <w:b/>
          <w:i/>
        </w:rPr>
      </w:pPr>
      <w:r w:rsidRPr="008912EC">
        <w:rPr>
          <w:b/>
          <w:i/>
        </w:rPr>
        <w:t>Accountability Amendment (Access and Assistance for Independent Health and Aged Care Pricing Authority) Principles 2023</w:t>
      </w:r>
    </w:p>
    <w:p w14:paraId="0226CDD6" w14:textId="77777777" w:rsidR="009B49D9" w:rsidRPr="008912EC" w:rsidRDefault="009B49D9" w:rsidP="00875806"/>
    <w:p w14:paraId="4B73D9D4" w14:textId="77777777" w:rsidR="00C546D6" w:rsidRPr="008912EC" w:rsidRDefault="00C546D6" w:rsidP="003A6026">
      <w:pPr>
        <w:rPr>
          <w:b/>
        </w:rPr>
      </w:pPr>
      <w:r w:rsidRPr="008912EC">
        <w:rPr>
          <w:b/>
        </w:rPr>
        <w:t>Purpose</w:t>
      </w:r>
    </w:p>
    <w:p w14:paraId="36787A73" w14:textId="65192300" w:rsidR="00ED3005" w:rsidRPr="008912EC" w:rsidRDefault="00ED3005" w:rsidP="006D588A">
      <w:pPr>
        <w:jc w:val="both"/>
        <w:rPr>
          <w:rFonts w:ascii="Tms Rmn" w:hAnsi="Tms Rmn"/>
          <w:szCs w:val="20"/>
        </w:rPr>
      </w:pPr>
      <w:r w:rsidRPr="008912EC">
        <w:rPr>
          <w:rFonts w:ascii="Tms Rmn" w:hAnsi="Tms Rmn"/>
          <w:szCs w:val="20"/>
        </w:rPr>
        <w:t xml:space="preserve">The purpose of the </w:t>
      </w:r>
      <w:r w:rsidR="008D31B0" w:rsidRPr="008912EC">
        <w:rPr>
          <w:rFonts w:ascii="Tms Rmn" w:hAnsi="Tms Rmn"/>
          <w:i/>
          <w:iCs/>
          <w:szCs w:val="20"/>
        </w:rPr>
        <w:t>Accountability Amendment (Access and Assistance for Independent Health and Aged Care Pricing Authority) Principles 2023</w:t>
      </w:r>
      <w:r w:rsidRPr="008912EC">
        <w:rPr>
          <w:rFonts w:ascii="Tms Rmn" w:hAnsi="Tms Rmn"/>
          <w:szCs w:val="20"/>
        </w:rPr>
        <w:t xml:space="preserve"> (Amending Principle</w:t>
      </w:r>
      <w:r w:rsidR="00BE7A62" w:rsidRPr="008912EC">
        <w:rPr>
          <w:rFonts w:ascii="Tms Rmn" w:hAnsi="Tms Rmn"/>
          <w:szCs w:val="20"/>
        </w:rPr>
        <w:t>s</w:t>
      </w:r>
      <w:r w:rsidRPr="008912EC">
        <w:rPr>
          <w:rFonts w:ascii="Tms Rmn" w:hAnsi="Tms Rmn"/>
          <w:szCs w:val="20"/>
        </w:rPr>
        <w:t xml:space="preserve">) is to amend the </w:t>
      </w:r>
      <w:r w:rsidRPr="008912EC">
        <w:rPr>
          <w:rFonts w:ascii="Tms Rmn" w:hAnsi="Tms Rmn"/>
          <w:i/>
          <w:szCs w:val="20"/>
        </w:rPr>
        <w:t>Accountability</w:t>
      </w:r>
      <w:r w:rsidR="003F72E7" w:rsidRPr="008912EC">
        <w:rPr>
          <w:rFonts w:ascii="Tms Rmn" w:hAnsi="Tms Rmn"/>
          <w:i/>
          <w:szCs w:val="20"/>
        </w:rPr>
        <w:t> </w:t>
      </w:r>
      <w:r w:rsidRPr="008912EC">
        <w:rPr>
          <w:rFonts w:ascii="Tms Rmn" w:hAnsi="Tms Rmn"/>
          <w:i/>
          <w:szCs w:val="20"/>
        </w:rPr>
        <w:t>Principles</w:t>
      </w:r>
      <w:r w:rsidR="00BE7A62" w:rsidRPr="008912EC">
        <w:rPr>
          <w:rFonts w:ascii="Tms Rmn" w:hAnsi="Tms Rmn"/>
          <w:i/>
          <w:szCs w:val="20"/>
        </w:rPr>
        <w:t xml:space="preserve"> 2014 </w:t>
      </w:r>
      <w:r w:rsidR="00BE7A62" w:rsidRPr="008912EC">
        <w:rPr>
          <w:rFonts w:ascii="Tms Rmn" w:hAnsi="Tms Rmn"/>
          <w:szCs w:val="20"/>
        </w:rPr>
        <w:t>(Accountability Principles)</w:t>
      </w:r>
      <w:r w:rsidRPr="008912EC">
        <w:rPr>
          <w:rFonts w:ascii="Tms Rmn" w:hAnsi="Tms Rmn"/>
          <w:szCs w:val="20"/>
        </w:rPr>
        <w:t xml:space="preserve"> to give effect to matters </w:t>
      </w:r>
      <w:r w:rsidR="00103A1B" w:rsidRPr="008912EC">
        <w:rPr>
          <w:rFonts w:ascii="Tms Rmn" w:hAnsi="Tms Rmn"/>
          <w:szCs w:val="20"/>
        </w:rPr>
        <w:t xml:space="preserve">specified </w:t>
      </w:r>
      <w:r w:rsidRPr="008912EC">
        <w:rPr>
          <w:rFonts w:ascii="Tms Rmn" w:hAnsi="Tms Rmn"/>
          <w:szCs w:val="20"/>
        </w:rPr>
        <w:t>by</w:t>
      </w:r>
      <w:r w:rsidR="00103A1B" w:rsidRPr="008912EC">
        <w:rPr>
          <w:rFonts w:ascii="Tms Rmn" w:hAnsi="Tms Rmn"/>
          <w:szCs w:val="20"/>
        </w:rPr>
        <w:t xml:space="preserve"> paragraphs 63-1(</w:t>
      </w:r>
      <w:proofErr w:type="gramStart"/>
      <w:r w:rsidR="00103A1B" w:rsidRPr="008912EC">
        <w:rPr>
          <w:rFonts w:ascii="Tms Rmn" w:hAnsi="Tms Rmn"/>
          <w:szCs w:val="20"/>
        </w:rPr>
        <w:t>1)(</w:t>
      </w:r>
      <w:proofErr w:type="spellStart"/>
      <w:proofErr w:type="gramEnd"/>
      <w:r w:rsidR="00103A1B" w:rsidRPr="008912EC">
        <w:rPr>
          <w:rFonts w:ascii="Tms Rmn" w:hAnsi="Tms Rmn"/>
          <w:szCs w:val="20"/>
        </w:rPr>
        <w:t>hb</w:t>
      </w:r>
      <w:proofErr w:type="spellEnd"/>
      <w:r w:rsidR="00103A1B" w:rsidRPr="008912EC">
        <w:rPr>
          <w:rFonts w:ascii="Tms Rmn" w:hAnsi="Tms Rmn"/>
          <w:szCs w:val="20"/>
        </w:rPr>
        <w:t>) and (</w:t>
      </w:r>
      <w:proofErr w:type="spellStart"/>
      <w:r w:rsidR="00103A1B" w:rsidRPr="008912EC">
        <w:rPr>
          <w:rFonts w:ascii="Tms Rmn" w:hAnsi="Tms Rmn"/>
          <w:szCs w:val="20"/>
        </w:rPr>
        <w:t>hc</w:t>
      </w:r>
      <w:proofErr w:type="spellEnd"/>
      <w:r w:rsidR="00103A1B" w:rsidRPr="008912EC">
        <w:rPr>
          <w:rFonts w:ascii="Tms Rmn" w:hAnsi="Tms Rmn"/>
          <w:szCs w:val="20"/>
        </w:rPr>
        <w:t xml:space="preserve">) of the </w:t>
      </w:r>
      <w:r w:rsidR="00103A1B" w:rsidRPr="008912EC">
        <w:rPr>
          <w:rFonts w:ascii="Tms Rmn" w:hAnsi="Tms Rmn"/>
          <w:i/>
          <w:iCs/>
          <w:szCs w:val="20"/>
        </w:rPr>
        <w:t>Aged Care Act 1997</w:t>
      </w:r>
      <w:r w:rsidR="00103A1B" w:rsidRPr="008912EC">
        <w:rPr>
          <w:rFonts w:ascii="Tms Rmn" w:hAnsi="Tms Rmn"/>
          <w:szCs w:val="20"/>
        </w:rPr>
        <w:t xml:space="preserve"> (Aged Care Act)</w:t>
      </w:r>
      <w:r w:rsidRPr="008912EC">
        <w:rPr>
          <w:rFonts w:ascii="Tms Rmn" w:hAnsi="Tms Rmn"/>
          <w:szCs w:val="20"/>
        </w:rPr>
        <w:t>.</w:t>
      </w:r>
      <w:r w:rsidR="00E35AD3" w:rsidRPr="008912EC">
        <w:rPr>
          <w:rFonts w:ascii="Tms Rmn" w:hAnsi="Tms Rmn"/>
          <w:szCs w:val="20"/>
        </w:rPr>
        <w:t xml:space="preserve"> </w:t>
      </w:r>
    </w:p>
    <w:p w14:paraId="46FE5EDA" w14:textId="77777777" w:rsidR="004334A3" w:rsidRPr="008912EC" w:rsidRDefault="004334A3" w:rsidP="006D588A">
      <w:pPr>
        <w:jc w:val="both"/>
        <w:rPr>
          <w:rFonts w:ascii="Tms Rmn" w:hAnsi="Tms Rmn"/>
          <w:szCs w:val="20"/>
        </w:rPr>
      </w:pPr>
    </w:p>
    <w:p w14:paraId="27899934" w14:textId="2359FEE3" w:rsidR="007400D7" w:rsidRPr="008912EC" w:rsidRDefault="007400D7" w:rsidP="006D588A">
      <w:pPr>
        <w:jc w:val="both"/>
        <w:rPr>
          <w:rFonts w:ascii="Tms Rmn" w:hAnsi="Tms Rmn"/>
          <w:szCs w:val="20"/>
        </w:rPr>
      </w:pPr>
      <w:r w:rsidRPr="008912EC">
        <w:rPr>
          <w:rFonts w:ascii="Tms Rmn" w:hAnsi="Tms Rmn"/>
          <w:szCs w:val="20"/>
        </w:rPr>
        <w:t xml:space="preserve">The Amending Principles set out provisions </w:t>
      </w:r>
      <w:r w:rsidR="0017244F" w:rsidRPr="008912EC">
        <w:rPr>
          <w:rFonts w:ascii="Tms Rmn" w:hAnsi="Tms Rmn"/>
          <w:szCs w:val="20"/>
        </w:rPr>
        <w:t xml:space="preserve">relating to </w:t>
      </w:r>
      <w:r w:rsidR="006C07A9" w:rsidRPr="008912EC">
        <w:rPr>
          <w:rFonts w:ascii="Tms Rmn" w:hAnsi="Tms Rmn"/>
          <w:szCs w:val="20"/>
        </w:rPr>
        <w:t>two</w:t>
      </w:r>
      <w:r w:rsidR="00103A1B" w:rsidRPr="008912EC">
        <w:rPr>
          <w:rFonts w:ascii="Tms Rmn" w:hAnsi="Tms Rmn"/>
          <w:szCs w:val="20"/>
        </w:rPr>
        <w:t xml:space="preserve"> new responsibilit</w:t>
      </w:r>
      <w:r w:rsidR="006C07A9" w:rsidRPr="008912EC">
        <w:rPr>
          <w:rFonts w:ascii="Tms Rmn" w:hAnsi="Tms Rmn"/>
          <w:szCs w:val="20"/>
        </w:rPr>
        <w:t>ies</w:t>
      </w:r>
      <w:r w:rsidR="00103A1B" w:rsidRPr="008912EC">
        <w:rPr>
          <w:rFonts w:ascii="Tms Rmn" w:hAnsi="Tms Rmn"/>
          <w:szCs w:val="20"/>
        </w:rPr>
        <w:t xml:space="preserve"> of approved providers of residential care with effect from </w:t>
      </w:r>
      <w:r w:rsidR="009E76C7" w:rsidRPr="008912EC">
        <w:t>the day after this instrument is registered</w:t>
      </w:r>
      <w:r w:rsidR="006C07A9" w:rsidRPr="008912EC">
        <w:rPr>
          <w:rFonts w:ascii="Tms Rmn" w:hAnsi="Tms Rmn"/>
          <w:szCs w:val="20"/>
        </w:rPr>
        <w:t xml:space="preserve">. The new responsibilities are </w:t>
      </w:r>
      <w:r w:rsidR="00103A1B" w:rsidRPr="008912EC">
        <w:rPr>
          <w:rFonts w:ascii="Tms Rmn" w:hAnsi="Tms Rmn"/>
          <w:szCs w:val="20"/>
        </w:rPr>
        <w:t>to provide access</w:t>
      </w:r>
      <w:r w:rsidR="00C7076C" w:rsidRPr="008912EC">
        <w:rPr>
          <w:rFonts w:ascii="Tms Rmn" w:hAnsi="Tms Rmn"/>
          <w:szCs w:val="20"/>
        </w:rPr>
        <w:t xml:space="preserve"> to residential care service</w:t>
      </w:r>
      <w:r w:rsidR="006C07A9" w:rsidRPr="008912EC">
        <w:rPr>
          <w:rFonts w:ascii="Tms Rmn" w:hAnsi="Tms Rmn"/>
          <w:szCs w:val="20"/>
        </w:rPr>
        <w:t>s</w:t>
      </w:r>
      <w:r w:rsidR="00103A1B" w:rsidRPr="008912EC">
        <w:rPr>
          <w:rFonts w:ascii="Tms Rmn" w:hAnsi="Tms Rmn"/>
          <w:szCs w:val="20"/>
        </w:rPr>
        <w:t xml:space="preserve"> and</w:t>
      </w:r>
      <w:r w:rsidR="00BD4A0D" w:rsidRPr="008912EC">
        <w:rPr>
          <w:rFonts w:ascii="Tms Rmn" w:hAnsi="Tms Rmn"/>
          <w:szCs w:val="20"/>
        </w:rPr>
        <w:t xml:space="preserve"> to provide</w:t>
      </w:r>
      <w:r w:rsidR="00103A1B" w:rsidRPr="008912EC">
        <w:rPr>
          <w:rFonts w:ascii="Tms Rmn" w:hAnsi="Tms Rmn"/>
          <w:szCs w:val="20"/>
        </w:rPr>
        <w:t xml:space="preserve"> all reasonable facilities and assistance necessary to persons</w:t>
      </w:r>
      <w:r w:rsidR="00C7076C" w:rsidRPr="008912EC">
        <w:rPr>
          <w:rFonts w:ascii="Tms Rmn" w:hAnsi="Tms Rmn"/>
          <w:szCs w:val="20"/>
        </w:rPr>
        <w:t xml:space="preserve"> performing activities under paragraph 131A(1)(c) of the </w:t>
      </w:r>
      <w:r w:rsidR="00C7076C" w:rsidRPr="008912EC">
        <w:rPr>
          <w:rFonts w:ascii="Tms Rmn" w:hAnsi="Tms Rmn"/>
          <w:i/>
          <w:iCs/>
          <w:szCs w:val="20"/>
        </w:rPr>
        <w:t>National Health Reform Act 2011</w:t>
      </w:r>
      <w:r w:rsidR="00C7076C" w:rsidRPr="008912EC">
        <w:rPr>
          <w:rFonts w:ascii="Tms Rmn" w:hAnsi="Tms Rmn"/>
          <w:szCs w:val="20"/>
        </w:rPr>
        <w:t xml:space="preserve"> (NHR Act) for the purposes of</w:t>
      </w:r>
      <w:r w:rsidR="00103A1B" w:rsidRPr="008912EC">
        <w:rPr>
          <w:rFonts w:ascii="Tms Rmn" w:hAnsi="Tms Rmn"/>
          <w:szCs w:val="20"/>
        </w:rPr>
        <w:t xml:space="preserve"> assisting the Independent Health and Aged Care Pricing Authority (Pricing</w:t>
      </w:r>
      <w:r w:rsidR="007D5599" w:rsidRPr="008912EC">
        <w:rPr>
          <w:rFonts w:ascii="Tms Rmn" w:hAnsi="Tms Rmn"/>
          <w:szCs w:val="20"/>
        </w:rPr>
        <w:t xml:space="preserve"> Authority</w:t>
      </w:r>
      <w:r w:rsidR="00103A1B" w:rsidRPr="008912EC">
        <w:rPr>
          <w:rFonts w:ascii="Tms Rmn" w:hAnsi="Tms Rmn"/>
          <w:szCs w:val="20"/>
        </w:rPr>
        <w:t xml:space="preserve">) to perform its </w:t>
      </w:r>
      <w:r w:rsidR="00C7076C" w:rsidRPr="008912EC">
        <w:rPr>
          <w:rFonts w:ascii="Tms Rmn" w:hAnsi="Tms Rmn"/>
          <w:szCs w:val="20"/>
        </w:rPr>
        <w:t xml:space="preserve">aged care pricing and costing advice </w:t>
      </w:r>
      <w:r w:rsidR="00103A1B" w:rsidRPr="008912EC">
        <w:rPr>
          <w:rFonts w:ascii="Tms Rmn" w:hAnsi="Tms Rmn"/>
          <w:szCs w:val="20"/>
        </w:rPr>
        <w:t xml:space="preserve">functions </w:t>
      </w:r>
      <w:r w:rsidR="007D5599" w:rsidRPr="008912EC">
        <w:rPr>
          <w:rFonts w:ascii="Tms Rmn" w:hAnsi="Tms Rmn"/>
          <w:szCs w:val="20"/>
        </w:rPr>
        <w:t xml:space="preserve">under </w:t>
      </w:r>
      <w:r w:rsidR="00C7076C" w:rsidRPr="008912EC">
        <w:rPr>
          <w:rFonts w:ascii="Tms Rmn" w:hAnsi="Tms Rmn"/>
          <w:szCs w:val="20"/>
        </w:rPr>
        <w:t>paragraph</w:t>
      </w:r>
      <w:r w:rsidR="007D5599" w:rsidRPr="008912EC">
        <w:rPr>
          <w:rFonts w:ascii="Tms Rmn" w:hAnsi="Tms Rmn"/>
          <w:szCs w:val="20"/>
        </w:rPr>
        <w:t xml:space="preserve"> 131A</w:t>
      </w:r>
      <w:r w:rsidR="00C7076C" w:rsidRPr="008912EC">
        <w:rPr>
          <w:rFonts w:ascii="Tms Rmn" w:hAnsi="Tms Rmn"/>
          <w:szCs w:val="20"/>
        </w:rPr>
        <w:t>(1)(a)</w:t>
      </w:r>
      <w:r w:rsidR="007D5599" w:rsidRPr="008912EC">
        <w:rPr>
          <w:rFonts w:ascii="Tms Rmn" w:hAnsi="Tms Rmn"/>
          <w:szCs w:val="20"/>
        </w:rPr>
        <w:t xml:space="preserve"> of the NHR Act</w:t>
      </w:r>
      <w:r w:rsidR="00103A1B" w:rsidRPr="008912EC">
        <w:rPr>
          <w:rFonts w:ascii="Tms Rmn" w:hAnsi="Tms Rmn"/>
          <w:szCs w:val="20"/>
        </w:rPr>
        <w:t>.</w:t>
      </w:r>
    </w:p>
    <w:p w14:paraId="7CF50A84" w14:textId="77777777" w:rsidR="00AB1D6C" w:rsidRPr="008912EC" w:rsidRDefault="00AB1D6C" w:rsidP="006D588A">
      <w:pPr>
        <w:jc w:val="both"/>
      </w:pPr>
    </w:p>
    <w:p w14:paraId="5FA15639" w14:textId="77777777" w:rsidR="00F6224B" w:rsidRPr="008912EC" w:rsidRDefault="0017244F" w:rsidP="006D588A">
      <w:pPr>
        <w:jc w:val="both"/>
        <w:rPr>
          <w:i/>
        </w:rPr>
      </w:pPr>
      <w:r w:rsidRPr="008912EC">
        <w:t>The</w:t>
      </w:r>
      <w:r w:rsidR="00F6224B" w:rsidRPr="008912EC">
        <w:t xml:space="preserve"> Amending Principles are a legislative instrument for the purposes of the </w:t>
      </w:r>
      <w:r w:rsidR="00F6224B" w:rsidRPr="008912EC">
        <w:rPr>
          <w:i/>
        </w:rPr>
        <w:t>Legislation Act 2003.</w:t>
      </w:r>
    </w:p>
    <w:p w14:paraId="4B75B4AE" w14:textId="77777777" w:rsidR="00F6224B" w:rsidRPr="008912EC" w:rsidRDefault="00F6224B" w:rsidP="006D588A">
      <w:pPr>
        <w:jc w:val="both"/>
      </w:pPr>
    </w:p>
    <w:p w14:paraId="7DA1473B" w14:textId="77777777" w:rsidR="00C546D6" w:rsidRPr="008912EC" w:rsidRDefault="00BB171B" w:rsidP="006D588A">
      <w:pPr>
        <w:jc w:val="both"/>
        <w:rPr>
          <w:b/>
        </w:rPr>
      </w:pPr>
      <w:r w:rsidRPr="008912EC">
        <w:rPr>
          <w:b/>
        </w:rPr>
        <w:t>Background</w:t>
      </w:r>
    </w:p>
    <w:p w14:paraId="2C7B307E" w14:textId="70D8AB4E" w:rsidR="00103A1B" w:rsidRPr="008912EC" w:rsidRDefault="00103A1B" w:rsidP="00185912">
      <w:pPr>
        <w:jc w:val="both"/>
      </w:pPr>
      <w:r w:rsidRPr="008912EC">
        <w:rPr>
          <w:rFonts w:ascii="Tms Rmn" w:hAnsi="Tms Rmn"/>
          <w:szCs w:val="20"/>
        </w:rPr>
        <w:t xml:space="preserve">Schedule 8 </w:t>
      </w:r>
      <w:r w:rsidR="00C7076C" w:rsidRPr="008912EC">
        <w:rPr>
          <w:rFonts w:ascii="Tms Rmn" w:hAnsi="Tms Rmn"/>
          <w:szCs w:val="20"/>
        </w:rPr>
        <w:t>to</w:t>
      </w:r>
      <w:r w:rsidRPr="008912EC">
        <w:rPr>
          <w:rFonts w:ascii="Tms Rmn" w:hAnsi="Tms Rmn"/>
          <w:szCs w:val="20"/>
        </w:rPr>
        <w:t xml:space="preserve"> the </w:t>
      </w:r>
      <w:r w:rsidRPr="008912EC">
        <w:rPr>
          <w:rFonts w:ascii="Tms Rmn" w:hAnsi="Tms Rmn"/>
          <w:i/>
          <w:iCs/>
          <w:szCs w:val="20"/>
        </w:rPr>
        <w:t>Aged Care and Other Legislation Amendment (Royal Commission Response) Act 2022</w:t>
      </w:r>
      <w:r w:rsidRPr="008912EC">
        <w:rPr>
          <w:rFonts w:ascii="Tms Rmn" w:hAnsi="Tms Rmn"/>
          <w:szCs w:val="20"/>
        </w:rPr>
        <w:t xml:space="preserve"> (Amending Act) amended the NHR Act to</w:t>
      </w:r>
      <w:r w:rsidR="006C07A9" w:rsidRPr="008912EC">
        <w:rPr>
          <w:rFonts w:ascii="Tms Rmn" w:hAnsi="Tms Rmn"/>
          <w:szCs w:val="20"/>
        </w:rPr>
        <w:t>, amongst other things,</w:t>
      </w:r>
      <w:r w:rsidRPr="008912EC">
        <w:rPr>
          <w:rFonts w:ascii="Tms Rmn" w:hAnsi="Tms Rmn"/>
          <w:szCs w:val="20"/>
        </w:rPr>
        <w:t xml:space="preserve"> create a new function of the Pricing Authority to </w:t>
      </w:r>
      <w:r w:rsidRPr="008912EC">
        <w:t xml:space="preserve">provide advice to each relevant Commonwealth Minister in relation to one or more aged care pricing or costing matters, including in relation to methods for calculating amounts of subsidies to be paid under the Aged Care Act or the </w:t>
      </w:r>
      <w:r w:rsidRPr="008912EC">
        <w:rPr>
          <w:i/>
          <w:iCs/>
        </w:rPr>
        <w:t>Aged Care (Transitional Provisions) Act 1997</w:t>
      </w:r>
      <w:r w:rsidRPr="008912EC">
        <w:t xml:space="preserve"> (see paragraph 131A(1)(a) of the NHR Act)</w:t>
      </w:r>
      <w:r w:rsidR="00391BAE" w:rsidRPr="008912EC">
        <w:t>.</w:t>
      </w:r>
    </w:p>
    <w:p w14:paraId="1834A435" w14:textId="77777777" w:rsidR="00103A1B" w:rsidRPr="008912EC" w:rsidRDefault="00103A1B" w:rsidP="00103A1B">
      <w:pPr>
        <w:jc w:val="both"/>
      </w:pPr>
    </w:p>
    <w:p w14:paraId="55C76308" w14:textId="2D80E927" w:rsidR="00103A1B" w:rsidRPr="008912EC" w:rsidRDefault="008E6920" w:rsidP="00103A1B">
      <w:pPr>
        <w:jc w:val="both"/>
      </w:pPr>
      <w:r w:rsidRPr="008912EC">
        <w:t xml:space="preserve">To </w:t>
      </w:r>
      <w:r w:rsidR="00103A1B" w:rsidRPr="008912EC">
        <w:t>support</w:t>
      </w:r>
      <w:r w:rsidRPr="008912EC">
        <w:t xml:space="preserve"> the performance</w:t>
      </w:r>
      <w:r w:rsidR="00103A1B" w:rsidRPr="008912EC">
        <w:t xml:space="preserve"> of </w:t>
      </w:r>
      <w:r w:rsidRPr="008912EC">
        <w:t>this</w:t>
      </w:r>
      <w:r w:rsidR="00103A1B" w:rsidRPr="008912EC">
        <w:t xml:space="preserve"> function, paragraph 131A(1)(c) of the NHR Act</w:t>
      </w:r>
      <w:r w:rsidR="00FB1E0E" w:rsidRPr="008912EC">
        <w:t xml:space="preserve"> provides that</w:t>
      </w:r>
      <w:r w:rsidR="00103A1B" w:rsidRPr="008912EC">
        <w:t xml:space="preserve"> the Pricing Authority also</w:t>
      </w:r>
      <w:r w:rsidR="00FB1E0E" w:rsidRPr="008912EC">
        <w:t xml:space="preserve"> has</w:t>
      </w:r>
      <w:r w:rsidR="00103A1B" w:rsidRPr="008912EC">
        <w:t xml:space="preserve"> the function to conduct, or arrange for the conduct of, one or more of the following activities for the purpose of performing a function mentioned in paragraph 131(1)(a):</w:t>
      </w:r>
    </w:p>
    <w:p w14:paraId="33AD41F1" w14:textId="5BB909D9" w:rsidR="00103A1B" w:rsidRPr="008912EC" w:rsidRDefault="00103A1B" w:rsidP="00103A1B">
      <w:pPr>
        <w:pStyle w:val="ListParagraph"/>
        <w:numPr>
          <w:ilvl w:val="0"/>
          <w:numId w:val="40"/>
        </w:numPr>
        <w:ind w:left="714" w:hanging="357"/>
        <w:jc w:val="both"/>
      </w:pPr>
      <w:r w:rsidRPr="008912EC">
        <w:t xml:space="preserve">the collection and review of </w:t>
      </w:r>
      <w:proofErr w:type="gramStart"/>
      <w:r w:rsidRPr="008912EC">
        <w:t>data;</w:t>
      </w:r>
      <w:proofErr w:type="gramEnd"/>
    </w:p>
    <w:p w14:paraId="18C7984A" w14:textId="64BBBA26" w:rsidR="00103A1B" w:rsidRPr="008912EC" w:rsidRDefault="00103A1B" w:rsidP="00103A1B">
      <w:pPr>
        <w:pStyle w:val="ListParagraph"/>
        <w:numPr>
          <w:ilvl w:val="0"/>
          <w:numId w:val="40"/>
        </w:numPr>
        <w:ind w:left="714" w:hanging="357"/>
        <w:jc w:val="both"/>
      </w:pPr>
      <w:r w:rsidRPr="008912EC">
        <w:t xml:space="preserve">costing and other </w:t>
      </w:r>
      <w:proofErr w:type="gramStart"/>
      <w:r w:rsidRPr="008912EC">
        <w:t>studies;</w:t>
      </w:r>
      <w:proofErr w:type="gramEnd"/>
    </w:p>
    <w:p w14:paraId="425ECC4C" w14:textId="39E7CACA" w:rsidR="003F0F89" w:rsidRPr="008912EC" w:rsidRDefault="00103A1B" w:rsidP="00103A1B">
      <w:pPr>
        <w:pStyle w:val="ListParagraph"/>
        <w:numPr>
          <w:ilvl w:val="0"/>
          <w:numId w:val="40"/>
        </w:numPr>
        <w:ind w:left="714" w:hanging="357"/>
        <w:jc w:val="both"/>
      </w:pPr>
      <w:r w:rsidRPr="008912EC">
        <w:t>consultations.</w:t>
      </w:r>
    </w:p>
    <w:p w14:paraId="7AEB4D81" w14:textId="77777777" w:rsidR="007D5599" w:rsidRPr="008912EC" w:rsidRDefault="007D5599" w:rsidP="006D588A">
      <w:pPr>
        <w:jc w:val="both"/>
      </w:pPr>
    </w:p>
    <w:p w14:paraId="2E03332C" w14:textId="0F3F8BE4" w:rsidR="00103A1B" w:rsidRPr="008912EC" w:rsidRDefault="00103A1B" w:rsidP="006D588A">
      <w:pPr>
        <w:jc w:val="both"/>
      </w:pPr>
      <w:r w:rsidRPr="008912EC">
        <w:t xml:space="preserve">Schedule 8 of the Amending Act also made complementary amendments to the Aged Care Act to create </w:t>
      </w:r>
      <w:r w:rsidR="009508DD" w:rsidRPr="008912EC">
        <w:t xml:space="preserve">two </w:t>
      </w:r>
      <w:r w:rsidRPr="008912EC">
        <w:t>new responsibilities of approved providers of residential care</w:t>
      </w:r>
      <w:r w:rsidR="00B24951" w:rsidRPr="008912EC">
        <w:t xml:space="preserve">. This </w:t>
      </w:r>
      <w:r w:rsidR="00C248C2" w:rsidRPr="008912EC">
        <w:t>was</w:t>
      </w:r>
      <w:r w:rsidRPr="008912EC">
        <w:t xml:space="preserve"> to enable the effective exercise of the Pricing Authority’s functions under paragraph</w:t>
      </w:r>
      <w:r w:rsidR="007D5599" w:rsidRPr="008912EC">
        <w:t> </w:t>
      </w:r>
      <w:r w:rsidRPr="008912EC">
        <w:t>131A(1)(c) of the NHR Act, specifically the responsibilities:</w:t>
      </w:r>
    </w:p>
    <w:p w14:paraId="0CF15AB4" w14:textId="3BD3BB52" w:rsidR="00103A1B" w:rsidRPr="008912EC" w:rsidRDefault="00103A1B" w:rsidP="00103A1B">
      <w:pPr>
        <w:pStyle w:val="ListParagraph"/>
        <w:numPr>
          <w:ilvl w:val="0"/>
          <w:numId w:val="40"/>
        </w:numPr>
        <w:ind w:left="714" w:hanging="357"/>
        <w:jc w:val="both"/>
      </w:pPr>
      <w:r w:rsidRPr="008912EC">
        <w:lastRenderedPageBreak/>
        <w:t>to allow persons performing an activity mentioned in paragraph 131A(1)(c) of the NHR Act access to the service, as required under the Accountability Principles, for the purposes of the Pricing Authority performing the function mentioned in paragraph 131A(1)(a) of the NHR Act (see paragraph 63-1(</w:t>
      </w:r>
      <w:proofErr w:type="gramStart"/>
      <w:r w:rsidRPr="008912EC">
        <w:t>1)(</w:t>
      </w:r>
      <w:proofErr w:type="spellStart"/>
      <w:proofErr w:type="gramEnd"/>
      <w:r w:rsidRPr="008912EC">
        <w:t>hb</w:t>
      </w:r>
      <w:proofErr w:type="spellEnd"/>
      <w:r w:rsidRPr="008912EC">
        <w:t>) of the Aged Care Act);</w:t>
      </w:r>
    </w:p>
    <w:p w14:paraId="3CEAFF03" w14:textId="73A6DEBD" w:rsidR="00103A1B" w:rsidRPr="008912EC" w:rsidRDefault="00103A1B" w:rsidP="00103A1B">
      <w:pPr>
        <w:pStyle w:val="ListParagraph"/>
        <w:numPr>
          <w:ilvl w:val="0"/>
          <w:numId w:val="40"/>
        </w:numPr>
        <w:ind w:left="714" w:hanging="357"/>
        <w:jc w:val="both"/>
      </w:pPr>
      <w:r w:rsidRPr="008912EC">
        <w:t>to provide persons performing an activity mentioned in paragraph 131A(1)(c) of the NHR Act with all reasonable facilities and assistance necessary, as required under the Accountability Principles, for the purposes of the Pricing Authority performing the function mentioned in paragraph 131A(1)(a) of the NHR Act (see paragraph 63-1(</w:t>
      </w:r>
      <w:proofErr w:type="gramStart"/>
      <w:r w:rsidRPr="008912EC">
        <w:t>1)(</w:t>
      </w:r>
      <w:proofErr w:type="spellStart"/>
      <w:proofErr w:type="gramEnd"/>
      <w:r w:rsidRPr="008912EC">
        <w:t>hc</w:t>
      </w:r>
      <w:proofErr w:type="spellEnd"/>
      <w:r w:rsidRPr="008912EC">
        <w:t>) of the Aged Care Act).</w:t>
      </w:r>
    </w:p>
    <w:p w14:paraId="5D355372" w14:textId="63BBE06F" w:rsidR="00103A1B" w:rsidRPr="008912EC" w:rsidRDefault="00103A1B" w:rsidP="006D588A">
      <w:pPr>
        <w:jc w:val="both"/>
      </w:pPr>
    </w:p>
    <w:p w14:paraId="34884B6C" w14:textId="69FCD092" w:rsidR="00325A31" w:rsidRPr="008912EC" w:rsidRDefault="00103A1B" w:rsidP="006D588A">
      <w:pPr>
        <w:jc w:val="both"/>
      </w:pPr>
      <w:r w:rsidRPr="008912EC">
        <w:t xml:space="preserve">The Amending Principles give effect </w:t>
      </w:r>
      <w:r w:rsidR="001A75F9" w:rsidRPr="008912EC">
        <w:t>to</w:t>
      </w:r>
      <w:r w:rsidRPr="008912EC">
        <w:t xml:space="preserve"> paragraphs 63-1(</w:t>
      </w:r>
      <w:proofErr w:type="gramStart"/>
      <w:r w:rsidRPr="008912EC">
        <w:t>1)(</w:t>
      </w:r>
      <w:proofErr w:type="spellStart"/>
      <w:proofErr w:type="gramEnd"/>
      <w:r w:rsidRPr="008912EC">
        <w:t>hb</w:t>
      </w:r>
      <w:proofErr w:type="spellEnd"/>
      <w:r w:rsidRPr="008912EC">
        <w:t>) and (</w:t>
      </w:r>
      <w:proofErr w:type="spellStart"/>
      <w:r w:rsidRPr="008912EC">
        <w:t>hc</w:t>
      </w:r>
      <w:proofErr w:type="spellEnd"/>
      <w:r w:rsidRPr="008912EC">
        <w:t xml:space="preserve">) of the Aged Care Act by specifying </w:t>
      </w:r>
      <w:r w:rsidR="007D5599" w:rsidRPr="008912EC">
        <w:t xml:space="preserve">the </w:t>
      </w:r>
      <w:r w:rsidR="0011262E" w:rsidRPr="008912EC">
        <w:t>requirements in relation to</w:t>
      </w:r>
      <w:r w:rsidRPr="008912EC">
        <w:t xml:space="preserve"> access to</w:t>
      </w:r>
      <w:r w:rsidR="0011262E" w:rsidRPr="008912EC">
        <w:t xml:space="preserve"> residential care services</w:t>
      </w:r>
      <w:r w:rsidRPr="008912EC">
        <w:t xml:space="preserve"> and</w:t>
      </w:r>
      <w:r w:rsidR="005C23DC" w:rsidRPr="008912EC">
        <w:t xml:space="preserve"> requirements to provide</w:t>
      </w:r>
      <w:r w:rsidRPr="008912EC">
        <w:t xml:space="preserve"> all reasonable facilities and assistance necessary.</w:t>
      </w:r>
      <w:r w:rsidR="00325A31" w:rsidRPr="008912EC">
        <w:t xml:space="preserve"> Th</w:t>
      </w:r>
      <w:r w:rsidR="006C07A9" w:rsidRPr="008912EC">
        <w:t>ese</w:t>
      </w:r>
      <w:r w:rsidR="00325A31" w:rsidRPr="008912EC">
        <w:t xml:space="preserve"> </w:t>
      </w:r>
      <w:r w:rsidR="006C07A9" w:rsidRPr="008912EC">
        <w:t xml:space="preserve">requirements </w:t>
      </w:r>
      <w:r w:rsidR="00325A31" w:rsidRPr="008912EC">
        <w:t xml:space="preserve">will enable the Pricing Authority to conduct costing studies, engage in consultation and collect and review data </w:t>
      </w:r>
      <w:r w:rsidR="00AF4C2A" w:rsidRPr="008912EC">
        <w:t>from approved providers that will</w:t>
      </w:r>
      <w:r w:rsidR="00862B8E" w:rsidRPr="008912EC">
        <w:t xml:space="preserve"> directly inform their </w:t>
      </w:r>
      <w:r w:rsidR="000A581E" w:rsidRPr="008912EC">
        <w:t xml:space="preserve">advice on </w:t>
      </w:r>
      <w:r w:rsidR="00862B8E" w:rsidRPr="008912EC">
        <w:t xml:space="preserve">aged care pricing and costing </w:t>
      </w:r>
      <w:r w:rsidR="000A581E" w:rsidRPr="008912EC">
        <w:t>matters.</w:t>
      </w:r>
    </w:p>
    <w:p w14:paraId="15981250" w14:textId="06033778" w:rsidR="00185912" w:rsidRPr="008912EC" w:rsidRDefault="00185912" w:rsidP="006D588A">
      <w:pPr>
        <w:jc w:val="both"/>
      </w:pPr>
    </w:p>
    <w:p w14:paraId="4473B71B" w14:textId="4C02213C" w:rsidR="00185912" w:rsidRPr="008912EC" w:rsidRDefault="00185912" w:rsidP="006D588A">
      <w:pPr>
        <w:jc w:val="both"/>
      </w:pPr>
      <w:r w:rsidRPr="008912EC">
        <w:t xml:space="preserve">Implementing the amendments is also consistent with Recommendation 116 (‘Requirement to participate in Pricing Authority activities’) of the 1 March 2021 </w:t>
      </w:r>
      <w:r w:rsidRPr="008912EC">
        <w:rPr>
          <w:i/>
        </w:rPr>
        <w:t>Final Report</w:t>
      </w:r>
      <w:r w:rsidRPr="008912EC">
        <w:t xml:space="preserve"> of the Royal Commission into Aged Care Quality and Safety.</w:t>
      </w:r>
    </w:p>
    <w:p w14:paraId="588507B4" w14:textId="77777777" w:rsidR="00103A1B" w:rsidRPr="008912EC" w:rsidRDefault="00103A1B" w:rsidP="006D588A">
      <w:pPr>
        <w:jc w:val="both"/>
      </w:pPr>
    </w:p>
    <w:p w14:paraId="49D0636A" w14:textId="77777777" w:rsidR="006042BB" w:rsidRPr="008912EC" w:rsidRDefault="006042BB" w:rsidP="006D588A">
      <w:pPr>
        <w:jc w:val="both"/>
        <w:rPr>
          <w:b/>
        </w:rPr>
      </w:pPr>
      <w:r w:rsidRPr="008912EC">
        <w:rPr>
          <w:b/>
        </w:rPr>
        <w:t xml:space="preserve">Authority </w:t>
      </w:r>
    </w:p>
    <w:p w14:paraId="5A82B13F" w14:textId="75B641CB" w:rsidR="006042BB" w:rsidRPr="008912EC" w:rsidRDefault="009C711A" w:rsidP="006D588A">
      <w:pPr>
        <w:jc w:val="both"/>
      </w:pPr>
      <w:r w:rsidRPr="008912EC">
        <w:rPr>
          <w:color w:val="000000"/>
          <w:shd w:val="clear" w:color="auto" w:fill="FFFFFF"/>
        </w:rPr>
        <w:t>Section 96</w:t>
      </w:r>
      <w:r w:rsidRPr="008912EC">
        <w:rPr>
          <w:color w:val="000000"/>
          <w:shd w:val="clear" w:color="auto" w:fill="FFFFFF"/>
        </w:rPr>
        <w:noBreakHyphen/>
        <w:t xml:space="preserve">1 of the Act provides that the Minister has the power to make instruments providing for matters required or permitted, or necessary or convenient, </w:t>
      </w:r>
      <w:proofErr w:type="gramStart"/>
      <w:r w:rsidRPr="008912EC">
        <w:rPr>
          <w:color w:val="000000"/>
          <w:shd w:val="clear" w:color="auto" w:fill="FFFFFF"/>
        </w:rPr>
        <w:t>in order to</w:t>
      </w:r>
      <w:proofErr w:type="gramEnd"/>
      <w:r w:rsidRPr="008912EC">
        <w:rPr>
          <w:color w:val="000000"/>
          <w:shd w:val="clear" w:color="auto" w:fill="FFFFFF"/>
        </w:rPr>
        <w:t xml:space="preserve"> give effect to the relevant Part or section of the</w:t>
      </w:r>
      <w:r w:rsidR="002975A7" w:rsidRPr="008912EC">
        <w:rPr>
          <w:color w:val="000000"/>
          <w:shd w:val="clear" w:color="auto" w:fill="FFFFFF"/>
        </w:rPr>
        <w:t xml:space="preserve"> Aged Care</w:t>
      </w:r>
      <w:r w:rsidRPr="008912EC">
        <w:rPr>
          <w:color w:val="000000"/>
          <w:shd w:val="clear" w:color="auto" w:fill="FFFFFF"/>
        </w:rPr>
        <w:t xml:space="preserve"> Act. </w:t>
      </w:r>
      <w:r w:rsidRPr="008912EC">
        <w:t>Item </w:t>
      </w:r>
      <w:r w:rsidR="006042BB" w:rsidRPr="008912EC">
        <w:t>1 in the table to</w:t>
      </w:r>
      <w:r w:rsidR="00D05316" w:rsidRPr="008912EC">
        <w:t xml:space="preserve"> </w:t>
      </w:r>
      <w:r w:rsidR="006042BB" w:rsidRPr="008912EC">
        <w:t>section</w:t>
      </w:r>
      <w:r w:rsidR="00D05316" w:rsidRPr="008912EC">
        <w:t> </w:t>
      </w:r>
      <w:r w:rsidR="006042BB" w:rsidRPr="008912EC">
        <w:t>96</w:t>
      </w:r>
      <w:r w:rsidRPr="008912EC">
        <w:noBreakHyphen/>
      </w:r>
      <w:r w:rsidR="006042BB" w:rsidRPr="008912EC">
        <w:t xml:space="preserve">1 of the Act provides that the Minister may make Accountability Principles providing for matters </w:t>
      </w:r>
      <w:r w:rsidR="00E35AD3" w:rsidRPr="008912EC">
        <w:t>in</w:t>
      </w:r>
      <w:r w:rsidR="006042BB" w:rsidRPr="008912EC">
        <w:t xml:space="preserve"> Part</w:t>
      </w:r>
      <w:r w:rsidRPr="008912EC">
        <w:t> </w:t>
      </w:r>
      <w:r w:rsidR="006042BB" w:rsidRPr="008912EC">
        <w:t xml:space="preserve">4.3 of that Act. </w:t>
      </w:r>
    </w:p>
    <w:p w14:paraId="62D6B2A0" w14:textId="77777777" w:rsidR="009C711A" w:rsidRPr="008912EC" w:rsidRDefault="009C711A" w:rsidP="006D588A">
      <w:pPr>
        <w:jc w:val="both"/>
      </w:pPr>
    </w:p>
    <w:p w14:paraId="618F7DD0" w14:textId="77777777" w:rsidR="009C711A" w:rsidRPr="008912EC" w:rsidRDefault="009C711A" w:rsidP="006D588A">
      <w:pPr>
        <w:jc w:val="both"/>
      </w:pPr>
      <w:r w:rsidRPr="008912EC">
        <w:rPr>
          <w:b/>
          <w:bCs/>
        </w:rPr>
        <w:t>Reliance on subsection 33(3) of the </w:t>
      </w:r>
      <w:r w:rsidRPr="008912EC">
        <w:rPr>
          <w:b/>
          <w:bCs/>
          <w:i/>
          <w:iCs/>
        </w:rPr>
        <w:t>Acts Interpretation Act 1901</w:t>
      </w:r>
    </w:p>
    <w:p w14:paraId="5EB6992B" w14:textId="25B93CBB" w:rsidR="003F0F89" w:rsidRPr="008912EC" w:rsidRDefault="009C711A" w:rsidP="00103A1B">
      <w:pPr>
        <w:jc w:val="both"/>
      </w:pPr>
      <w:r w:rsidRPr="008912EC">
        <w:t>Under subsection 33(3) of the </w:t>
      </w:r>
      <w:r w:rsidRPr="008912EC">
        <w:rPr>
          <w:i/>
          <w:iCs/>
        </w:rPr>
        <w:t>Acts Interpretation Act 1901</w:t>
      </w:r>
      <w:r w:rsidRPr="008912EC">
        <w:t xml:space="preserve">, where an Act confers a power to make, grant or issue any instrument of a legislative or administrative character (including rules, </w:t>
      </w:r>
      <w:proofErr w:type="gramStart"/>
      <w:r w:rsidRPr="008912EC">
        <w:t>regulations</w:t>
      </w:r>
      <w:proofErr w:type="gramEnd"/>
      <w:r w:rsidRPr="008912EC">
        <w:t xml:space="preserve"> or by-laws), the power shall be construed as including a power exercisable in the like manner and sub</w:t>
      </w:r>
      <w:r w:rsidR="00613067" w:rsidRPr="008912EC">
        <w:t>ject to the like conditions (if </w:t>
      </w:r>
      <w:r w:rsidRPr="008912EC">
        <w:t>any) to repeal, rescind, revoke, amend, or vary any such instrument.</w:t>
      </w:r>
    </w:p>
    <w:p w14:paraId="1E1EE555" w14:textId="77777777" w:rsidR="003F0F89" w:rsidRPr="008912EC" w:rsidRDefault="003F0F89" w:rsidP="006D588A">
      <w:pPr>
        <w:jc w:val="both"/>
      </w:pPr>
      <w:r w:rsidRPr="008912EC">
        <w:t xml:space="preserve"> </w:t>
      </w:r>
    </w:p>
    <w:p w14:paraId="2250B823" w14:textId="77777777" w:rsidR="003F0F89" w:rsidRPr="008912EC" w:rsidRDefault="003F0F89" w:rsidP="006D588A">
      <w:pPr>
        <w:jc w:val="both"/>
        <w:rPr>
          <w:b/>
        </w:rPr>
      </w:pPr>
      <w:r w:rsidRPr="008912EC">
        <w:rPr>
          <w:b/>
        </w:rPr>
        <w:t>Consultation</w:t>
      </w:r>
    </w:p>
    <w:p w14:paraId="76D688DC" w14:textId="67F67D7F" w:rsidR="00103A1B" w:rsidRPr="008912EC" w:rsidRDefault="00103A1B" w:rsidP="007C1FF6">
      <w:pPr>
        <w:jc w:val="both"/>
      </w:pPr>
      <w:r w:rsidRPr="008912EC">
        <w:t>The Pricing Authority has conducted a pilot costing study with voluntary participation of approved providers</w:t>
      </w:r>
      <w:r w:rsidR="00560655" w:rsidRPr="008912EC">
        <w:t xml:space="preserve"> and </w:t>
      </w:r>
      <w:r w:rsidR="0026469F" w:rsidRPr="008912EC">
        <w:t xml:space="preserve">their </w:t>
      </w:r>
      <w:r w:rsidR="00560655" w:rsidRPr="008912EC">
        <w:t>care recipients</w:t>
      </w:r>
      <w:r w:rsidRPr="008912EC">
        <w:t xml:space="preserve"> and has taken </w:t>
      </w:r>
      <w:r w:rsidR="007D5599" w:rsidRPr="008912EC">
        <w:t xml:space="preserve">the </w:t>
      </w:r>
      <w:r w:rsidRPr="008912EC">
        <w:t>feedback from those participating approved providers</w:t>
      </w:r>
      <w:r w:rsidR="0026469F" w:rsidRPr="008912EC">
        <w:t xml:space="preserve"> and care recipients</w:t>
      </w:r>
      <w:r w:rsidRPr="008912EC">
        <w:t xml:space="preserve"> to ensure the scope of access and assistance requirements </w:t>
      </w:r>
      <w:r w:rsidR="007D5599" w:rsidRPr="008912EC">
        <w:t xml:space="preserve">included in the Amending Principles </w:t>
      </w:r>
      <w:r w:rsidRPr="008912EC">
        <w:t xml:space="preserve">are reasonable and do what is necessary to enable </w:t>
      </w:r>
      <w:r w:rsidR="007D5599" w:rsidRPr="008912EC">
        <w:t xml:space="preserve">the </w:t>
      </w:r>
      <w:r w:rsidRPr="008912EC">
        <w:t>Pricing Authority to fulfill its aged care pricing</w:t>
      </w:r>
      <w:r w:rsidR="005C707F" w:rsidRPr="008912EC">
        <w:t xml:space="preserve"> and costing</w:t>
      </w:r>
      <w:r w:rsidRPr="008912EC">
        <w:t xml:space="preserve"> advice function.</w:t>
      </w:r>
    </w:p>
    <w:p w14:paraId="6BC62B15" w14:textId="1E4C3DC5" w:rsidR="006F3D13" w:rsidRPr="008912EC" w:rsidRDefault="006F3D13" w:rsidP="006D588A">
      <w:pPr>
        <w:jc w:val="both"/>
      </w:pPr>
    </w:p>
    <w:p w14:paraId="35C03EC8" w14:textId="77777777" w:rsidR="00222B12" w:rsidRPr="008912EC" w:rsidRDefault="00222B12" w:rsidP="00222B12">
      <w:pPr>
        <w:jc w:val="both"/>
      </w:pPr>
      <w:r w:rsidRPr="008912EC">
        <w:t xml:space="preserve">The Department of Health and Aged Care consulted with the Pricing Authority in conducting the pilot costing studies and throughout the drafting of the Amending Principles. Feedback from the Pricing Authority was </w:t>
      </w:r>
      <w:proofErr w:type="gramStart"/>
      <w:r w:rsidRPr="008912EC">
        <w:t>taken into account</w:t>
      </w:r>
      <w:proofErr w:type="gramEnd"/>
      <w:r w:rsidRPr="008912EC">
        <w:t xml:space="preserve"> in finalising the details in the Amending Principles.</w:t>
      </w:r>
    </w:p>
    <w:p w14:paraId="15DFA00C" w14:textId="77777777" w:rsidR="006C07A9" w:rsidRPr="008912EC" w:rsidRDefault="006C07A9" w:rsidP="006D588A">
      <w:pPr>
        <w:jc w:val="both"/>
      </w:pPr>
    </w:p>
    <w:p w14:paraId="17C2E31C" w14:textId="77777777" w:rsidR="00AE7235" w:rsidRPr="008912EC" w:rsidRDefault="00AE7235" w:rsidP="006D588A">
      <w:pPr>
        <w:jc w:val="both"/>
      </w:pPr>
    </w:p>
    <w:p w14:paraId="2C6FB805" w14:textId="77777777" w:rsidR="006F3D13" w:rsidRPr="008912EC" w:rsidRDefault="006F3D13" w:rsidP="006D588A">
      <w:pPr>
        <w:jc w:val="both"/>
        <w:rPr>
          <w:b/>
        </w:rPr>
      </w:pPr>
      <w:r w:rsidRPr="008912EC">
        <w:rPr>
          <w:b/>
        </w:rPr>
        <w:lastRenderedPageBreak/>
        <w:t>Commencement</w:t>
      </w:r>
    </w:p>
    <w:p w14:paraId="54F3672A" w14:textId="4A74C977" w:rsidR="00B72E5D" w:rsidRPr="008912EC" w:rsidRDefault="00B72E5D" w:rsidP="006D588A">
      <w:pPr>
        <w:jc w:val="both"/>
      </w:pPr>
      <w:r w:rsidRPr="008912EC">
        <w:t>Th</w:t>
      </w:r>
      <w:r w:rsidR="009C711A" w:rsidRPr="008912EC">
        <w:t>e</w:t>
      </w:r>
      <w:r w:rsidRPr="008912EC">
        <w:t xml:space="preserve"> Amending Principle</w:t>
      </w:r>
      <w:r w:rsidR="009C711A" w:rsidRPr="008912EC">
        <w:t>s</w:t>
      </w:r>
      <w:r w:rsidRPr="008912EC">
        <w:t xml:space="preserve"> commence</w:t>
      </w:r>
      <w:r w:rsidR="009C711A" w:rsidRPr="008912EC">
        <w:t xml:space="preserve"> on</w:t>
      </w:r>
      <w:r w:rsidR="00D70E3D" w:rsidRPr="008912EC">
        <w:t xml:space="preserve"> the day after the Amending Principles are registered</w:t>
      </w:r>
      <w:r w:rsidR="00C715DE" w:rsidRPr="008912EC">
        <w:t>.</w:t>
      </w:r>
    </w:p>
    <w:p w14:paraId="5DDB5EC0" w14:textId="77777777" w:rsidR="00240E99" w:rsidRPr="008912EC" w:rsidRDefault="00240E99" w:rsidP="00240E99"/>
    <w:p w14:paraId="09B7E917" w14:textId="0A22386D" w:rsidR="009C711A" w:rsidRPr="008912EC" w:rsidRDefault="00103A1B" w:rsidP="00240E99">
      <w:pPr>
        <w:rPr>
          <w:b/>
          <w:bCs/>
        </w:rPr>
      </w:pPr>
      <w:r w:rsidRPr="008912EC">
        <w:rPr>
          <w:b/>
          <w:bCs/>
        </w:rPr>
        <w:t xml:space="preserve">Impact Assessment </w:t>
      </w:r>
    </w:p>
    <w:p w14:paraId="4E73BCA5" w14:textId="098DDE38" w:rsidR="00240E99" w:rsidRPr="008912EC" w:rsidRDefault="00103A1B" w:rsidP="00240E99">
      <w:pPr>
        <w:jc w:val="both"/>
        <w:rPr>
          <w:color w:val="000000"/>
          <w:shd w:val="clear" w:color="auto" w:fill="FFFFFF"/>
        </w:rPr>
      </w:pPr>
      <w:r w:rsidRPr="008912EC">
        <w:rPr>
          <w:color w:val="000000"/>
          <w:shd w:val="clear" w:color="auto" w:fill="FFFFFF"/>
        </w:rPr>
        <w:t>The estimated additional regulatory burden of participating in Pricing Authority activities was measured in the Impact Assessment (formerly known as a Regulatory Impact Statement</w:t>
      </w:r>
      <w:r w:rsidR="0000305A" w:rsidRPr="008912EC">
        <w:rPr>
          <w:color w:val="000000"/>
          <w:shd w:val="clear" w:color="auto" w:fill="FFFFFF"/>
        </w:rPr>
        <w:t xml:space="preserve"> (RIS)</w:t>
      </w:r>
      <w:r w:rsidRPr="008912EC">
        <w:rPr>
          <w:color w:val="000000"/>
          <w:shd w:val="clear" w:color="auto" w:fill="FFFFFF"/>
        </w:rPr>
        <w:t>) for the Amending Act. See</w:t>
      </w:r>
      <w:r w:rsidRPr="008912EC">
        <w:t xml:space="preserve"> </w:t>
      </w:r>
      <w:hyperlink r:id="rId9" w:history="1">
        <w:r w:rsidRPr="008912EC">
          <w:rPr>
            <w:rStyle w:val="Hyperlink"/>
            <w:shd w:val="clear" w:color="auto" w:fill="FFFFFF"/>
          </w:rPr>
          <w:t>https://oia.pmc.gov.au/published-impact-analyses-and-reports/aged-care-reforms</w:t>
        </w:r>
      </w:hyperlink>
      <w:r w:rsidRPr="008912EC">
        <w:rPr>
          <w:color w:val="000000"/>
          <w:shd w:val="clear" w:color="auto" w:fill="FFFFFF"/>
        </w:rPr>
        <w:t xml:space="preserve"> (particularly the attachment Residential Aged Care Funding Arrangements RIS May 2021).</w:t>
      </w:r>
    </w:p>
    <w:p w14:paraId="2292BD39" w14:textId="59D6B036" w:rsidR="00240E99" w:rsidRPr="008912EC" w:rsidRDefault="00240E99" w:rsidP="00240E99">
      <w:pPr>
        <w:jc w:val="both"/>
        <w:rPr>
          <w:color w:val="000000"/>
          <w:shd w:val="clear" w:color="auto" w:fill="FFFFFF"/>
        </w:rPr>
      </w:pPr>
    </w:p>
    <w:p w14:paraId="1C32F4F1" w14:textId="5BD06681" w:rsidR="00240E99" w:rsidRPr="008912EC" w:rsidRDefault="00240E99" w:rsidP="00240E99">
      <w:pPr>
        <w:jc w:val="both"/>
        <w:rPr>
          <w:b/>
          <w:bCs/>
          <w:color w:val="000000"/>
          <w:shd w:val="clear" w:color="auto" w:fill="FFFFFF"/>
        </w:rPr>
      </w:pPr>
      <w:r w:rsidRPr="008912EC">
        <w:rPr>
          <w:b/>
          <w:bCs/>
          <w:color w:val="000000"/>
          <w:shd w:val="clear" w:color="auto" w:fill="FFFFFF"/>
        </w:rPr>
        <w:t>Inc</w:t>
      </w:r>
      <w:r w:rsidR="000A7A4C" w:rsidRPr="008912EC">
        <w:rPr>
          <w:b/>
          <w:bCs/>
          <w:color w:val="000000"/>
          <w:shd w:val="clear" w:color="auto" w:fill="FFFFFF"/>
        </w:rPr>
        <w:t>orporation by reference</w:t>
      </w:r>
    </w:p>
    <w:p w14:paraId="64F93D00" w14:textId="167F7D4B" w:rsidR="000A7A4C" w:rsidRPr="008912EC" w:rsidRDefault="000A7A4C" w:rsidP="00240E99">
      <w:pPr>
        <w:jc w:val="both"/>
        <w:rPr>
          <w:color w:val="000000"/>
          <w:shd w:val="clear" w:color="auto" w:fill="FFFFFF"/>
        </w:rPr>
      </w:pPr>
      <w:r w:rsidRPr="008912EC">
        <w:rPr>
          <w:color w:val="000000"/>
          <w:shd w:val="clear" w:color="auto" w:fill="FFFFFF"/>
        </w:rPr>
        <w:t>The Amending Principles incorporate by reference paragraph 131A(1)(c) of the NHR Act, as in force from time to time.  The NHR Act can be accessed free of charge on the Federal Register of Legislation (</w:t>
      </w:r>
      <w:hyperlink r:id="rId10" w:history="1">
        <w:r w:rsidR="00907F48" w:rsidRPr="008912EC">
          <w:rPr>
            <w:rStyle w:val="Hyperlink"/>
            <w:shd w:val="clear" w:color="auto" w:fill="FFFFFF"/>
          </w:rPr>
          <w:t>https://www.legislation.gov.au</w:t>
        </w:r>
      </w:hyperlink>
      <w:r w:rsidR="00907F48" w:rsidRPr="008912EC">
        <w:rPr>
          <w:color w:val="000000"/>
          <w:shd w:val="clear" w:color="auto" w:fill="FFFFFF"/>
        </w:rPr>
        <w:t xml:space="preserve">). </w:t>
      </w:r>
    </w:p>
    <w:p w14:paraId="6AF0B3B7" w14:textId="77777777" w:rsidR="000A7A4C" w:rsidRPr="008912EC" w:rsidRDefault="000A7A4C" w:rsidP="00240E99">
      <w:pPr>
        <w:jc w:val="both"/>
        <w:rPr>
          <w:color w:val="000000"/>
          <w:shd w:val="clear" w:color="auto" w:fill="FFFFFF"/>
        </w:rPr>
      </w:pPr>
    </w:p>
    <w:p w14:paraId="60E36BE6" w14:textId="6BE86B92" w:rsidR="00BB171B" w:rsidRPr="008912EC" w:rsidRDefault="007C1FF6" w:rsidP="00240E99">
      <w:pPr>
        <w:jc w:val="both"/>
      </w:pPr>
      <w:r w:rsidRPr="008912EC">
        <w:rPr>
          <w:b/>
        </w:rPr>
        <w:br w:type="page"/>
      </w:r>
      <w:r w:rsidR="007757EA" w:rsidRPr="008912EC">
        <w:rPr>
          <w:b/>
        </w:rPr>
        <w:lastRenderedPageBreak/>
        <w:t>ATTACHMENT</w:t>
      </w:r>
    </w:p>
    <w:p w14:paraId="0FAF30D9" w14:textId="77777777" w:rsidR="007757EA" w:rsidRPr="008912EC" w:rsidRDefault="007757EA" w:rsidP="007757EA">
      <w:pPr>
        <w:jc w:val="right"/>
        <w:rPr>
          <w:b/>
        </w:rPr>
      </w:pPr>
    </w:p>
    <w:p w14:paraId="4EF1A396" w14:textId="4BD92DBD" w:rsidR="007757EA" w:rsidRPr="008912EC" w:rsidRDefault="006105C0" w:rsidP="004C59C6">
      <w:pPr>
        <w:rPr>
          <w:b/>
          <w:i/>
          <w:u w:val="single"/>
        </w:rPr>
      </w:pPr>
      <w:r w:rsidRPr="008912EC">
        <w:rPr>
          <w:b/>
          <w:u w:val="single"/>
        </w:rPr>
        <w:t xml:space="preserve">Details of the </w:t>
      </w:r>
      <w:r w:rsidR="008D31B0" w:rsidRPr="008912EC">
        <w:rPr>
          <w:b/>
          <w:i/>
          <w:iCs/>
          <w:u w:val="single"/>
        </w:rPr>
        <w:t>Accountability Amendment (Access and Assistance for Independent Health and Aged Care Pricing Authority) Principles 2023</w:t>
      </w:r>
    </w:p>
    <w:p w14:paraId="271D9885" w14:textId="77777777" w:rsidR="007757EA" w:rsidRPr="008912EC" w:rsidRDefault="007757EA" w:rsidP="004C59C6">
      <w:pPr>
        <w:rPr>
          <w:b/>
        </w:rPr>
      </w:pPr>
    </w:p>
    <w:p w14:paraId="3570F6CA" w14:textId="370DA966" w:rsidR="007757EA" w:rsidRPr="008912EC" w:rsidRDefault="00617304" w:rsidP="006D588A">
      <w:pPr>
        <w:jc w:val="both"/>
      </w:pPr>
      <w:r w:rsidRPr="008912EC">
        <w:rPr>
          <w:b/>
        </w:rPr>
        <w:t xml:space="preserve">Section </w:t>
      </w:r>
      <w:r w:rsidR="00A9134B" w:rsidRPr="008912EC">
        <w:rPr>
          <w:b/>
        </w:rPr>
        <w:t>1</w:t>
      </w:r>
      <w:r w:rsidR="00A9134B" w:rsidRPr="008912EC">
        <w:t xml:space="preserve"> states that the name of the amending </w:t>
      </w:r>
      <w:r w:rsidR="00E4673E" w:rsidRPr="008912EC">
        <w:t xml:space="preserve">instrument </w:t>
      </w:r>
      <w:r w:rsidR="00A9134B" w:rsidRPr="008912EC">
        <w:t>is</w:t>
      </w:r>
      <w:r w:rsidR="006105C0" w:rsidRPr="008912EC">
        <w:t xml:space="preserve"> the </w:t>
      </w:r>
      <w:r w:rsidR="007D5599" w:rsidRPr="008912EC">
        <w:rPr>
          <w:i/>
          <w:iCs/>
        </w:rPr>
        <w:t>Accountability Amendment (Access and Assistance for Independent Health and Aged Care Pricing Authority) Principles 2023</w:t>
      </w:r>
      <w:r w:rsidR="007D5599" w:rsidRPr="008912EC">
        <w:rPr>
          <w:i/>
        </w:rPr>
        <w:t>.</w:t>
      </w:r>
    </w:p>
    <w:p w14:paraId="49B8805E" w14:textId="77777777" w:rsidR="007757EA" w:rsidRPr="008912EC" w:rsidRDefault="007757EA" w:rsidP="004C59C6">
      <w:pPr>
        <w:jc w:val="both"/>
        <w:rPr>
          <w:b/>
        </w:rPr>
      </w:pPr>
    </w:p>
    <w:p w14:paraId="46217FF2" w14:textId="43211E3E" w:rsidR="007757EA" w:rsidRPr="008912EC" w:rsidRDefault="00142BE0" w:rsidP="006D588A">
      <w:pPr>
        <w:jc w:val="both"/>
      </w:pPr>
      <w:r w:rsidRPr="008912EC">
        <w:rPr>
          <w:b/>
        </w:rPr>
        <w:t xml:space="preserve">Section </w:t>
      </w:r>
      <w:r w:rsidR="003F4E20" w:rsidRPr="008912EC">
        <w:rPr>
          <w:b/>
        </w:rPr>
        <w:t>2</w:t>
      </w:r>
      <w:r w:rsidR="003F4E20" w:rsidRPr="008912EC">
        <w:t xml:space="preserve"> states that the</w:t>
      </w:r>
      <w:r w:rsidR="00A9134B" w:rsidRPr="008912EC">
        <w:t xml:space="preserve"> </w:t>
      </w:r>
      <w:r w:rsidR="004334A3" w:rsidRPr="008912EC">
        <w:t xml:space="preserve">Amending Principles </w:t>
      </w:r>
      <w:r w:rsidR="00A9134B" w:rsidRPr="008912EC">
        <w:t>commence on</w:t>
      </w:r>
      <w:r w:rsidR="00C715DE" w:rsidRPr="008912EC">
        <w:t xml:space="preserve"> </w:t>
      </w:r>
      <w:r w:rsidR="000C463A" w:rsidRPr="008912EC">
        <w:t>the day after this instrument is registered.</w:t>
      </w:r>
    </w:p>
    <w:p w14:paraId="0E36530A" w14:textId="77777777" w:rsidR="006105C0" w:rsidRPr="008912EC" w:rsidRDefault="006105C0" w:rsidP="006D588A">
      <w:pPr>
        <w:jc w:val="both"/>
      </w:pPr>
    </w:p>
    <w:p w14:paraId="551C5E3B" w14:textId="4A4D360F" w:rsidR="006105C0" w:rsidRPr="008912EC" w:rsidRDefault="006105C0" w:rsidP="006D588A">
      <w:pPr>
        <w:jc w:val="both"/>
        <w:rPr>
          <w:lang w:val="en-US"/>
        </w:rPr>
      </w:pPr>
      <w:r w:rsidRPr="008912EC">
        <w:rPr>
          <w:b/>
        </w:rPr>
        <w:t>Section 3</w:t>
      </w:r>
      <w:r w:rsidRPr="008912EC">
        <w:t xml:space="preserve"> states that </w:t>
      </w:r>
      <w:r w:rsidR="00E4673E" w:rsidRPr="008912EC">
        <w:t xml:space="preserve">the </w:t>
      </w:r>
      <w:r w:rsidRPr="008912EC">
        <w:t>Amending Principle</w:t>
      </w:r>
      <w:r w:rsidR="00E4673E" w:rsidRPr="008912EC">
        <w:t>s are</w:t>
      </w:r>
      <w:r w:rsidRPr="008912EC">
        <w:t xml:space="preserve"> made under the </w:t>
      </w:r>
      <w:r w:rsidRPr="008912EC">
        <w:rPr>
          <w:i/>
          <w:iCs/>
        </w:rPr>
        <w:t>Aged Care Act 1997</w:t>
      </w:r>
      <w:r w:rsidR="00395039" w:rsidRPr="008912EC">
        <w:t xml:space="preserve"> (Aged Care Act)</w:t>
      </w:r>
      <w:r w:rsidRPr="008912EC">
        <w:t>.</w:t>
      </w:r>
    </w:p>
    <w:p w14:paraId="3C57CEBB" w14:textId="77777777" w:rsidR="007757EA" w:rsidRPr="008912EC" w:rsidRDefault="007757EA" w:rsidP="006D588A">
      <w:pPr>
        <w:jc w:val="both"/>
        <w:rPr>
          <w:b/>
        </w:rPr>
      </w:pPr>
    </w:p>
    <w:p w14:paraId="0FA2B8D9" w14:textId="77777777" w:rsidR="00A9134B" w:rsidRPr="008912EC" w:rsidRDefault="00142BE0" w:rsidP="006D588A">
      <w:pPr>
        <w:jc w:val="both"/>
      </w:pPr>
      <w:r w:rsidRPr="008912EC">
        <w:rPr>
          <w:b/>
        </w:rPr>
        <w:t xml:space="preserve">Section </w:t>
      </w:r>
      <w:r w:rsidR="006105C0" w:rsidRPr="008912EC">
        <w:rPr>
          <w:b/>
        </w:rPr>
        <w:t>4</w:t>
      </w:r>
      <w:r w:rsidR="00A9134B" w:rsidRPr="008912EC">
        <w:t xml:space="preserve"> states that </w:t>
      </w:r>
      <w:r w:rsidR="003F4E20" w:rsidRPr="008912EC">
        <w:t>each instrument that is specified in a Schedule to this instrument is amended or repealed as set out in the applicable items in the Schedule concerned, and any other item in a Schedule to this instrument has effect according to its terms</w:t>
      </w:r>
      <w:r w:rsidR="006105C0" w:rsidRPr="008912EC">
        <w:t>.</w:t>
      </w:r>
    </w:p>
    <w:p w14:paraId="709A194C" w14:textId="77777777" w:rsidR="00A9134B" w:rsidRPr="008912EC" w:rsidRDefault="00A9134B" w:rsidP="004C59C6">
      <w:pPr>
        <w:jc w:val="both"/>
        <w:rPr>
          <w:b/>
        </w:rPr>
      </w:pPr>
    </w:p>
    <w:p w14:paraId="62C968DA" w14:textId="5E6C9F53" w:rsidR="004334A3" w:rsidRPr="008912EC" w:rsidRDefault="004334A3" w:rsidP="004C59C6">
      <w:pPr>
        <w:jc w:val="both"/>
      </w:pPr>
      <w:r w:rsidRPr="008912EC">
        <w:rPr>
          <w:b/>
        </w:rPr>
        <w:t>Schedule 1</w:t>
      </w:r>
      <w:r w:rsidRPr="008912EC">
        <w:t xml:space="preserve"> amends the Accountability Principles.</w:t>
      </w:r>
    </w:p>
    <w:p w14:paraId="63C850EE" w14:textId="77777777" w:rsidR="004334A3" w:rsidRPr="008912EC" w:rsidRDefault="004334A3" w:rsidP="006D588A">
      <w:pPr>
        <w:ind w:left="360"/>
        <w:jc w:val="both"/>
        <w:rPr>
          <w:b/>
        </w:rPr>
      </w:pPr>
    </w:p>
    <w:p w14:paraId="16D59D38" w14:textId="77777777" w:rsidR="00A9134B" w:rsidRPr="008912EC" w:rsidRDefault="00A9134B" w:rsidP="006D588A">
      <w:pPr>
        <w:jc w:val="both"/>
        <w:rPr>
          <w:b/>
        </w:rPr>
      </w:pPr>
      <w:r w:rsidRPr="008912EC">
        <w:rPr>
          <w:b/>
        </w:rPr>
        <w:t>Schedule 1</w:t>
      </w:r>
      <w:r w:rsidR="004334A3" w:rsidRPr="008912EC">
        <w:rPr>
          <w:b/>
        </w:rPr>
        <w:t>–</w:t>
      </w:r>
      <w:r w:rsidRPr="008912EC">
        <w:rPr>
          <w:b/>
        </w:rPr>
        <w:t>Amendments</w:t>
      </w:r>
    </w:p>
    <w:p w14:paraId="1BFD3042" w14:textId="77777777" w:rsidR="00A9134B" w:rsidRPr="008912EC" w:rsidRDefault="00A9134B" w:rsidP="006D588A">
      <w:pPr>
        <w:jc w:val="both"/>
        <w:rPr>
          <w:b/>
        </w:rPr>
      </w:pPr>
    </w:p>
    <w:p w14:paraId="5B310F52" w14:textId="77777777" w:rsidR="009B1D6A" w:rsidRPr="008912EC" w:rsidRDefault="009B1D6A" w:rsidP="006D588A">
      <w:pPr>
        <w:jc w:val="both"/>
        <w:rPr>
          <w:b/>
          <w:i/>
        </w:rPr>
      </w:pPr>
      <w:r w:rsidRPr="008912EC">
        <w:rPr>
          <w:b/>
          <w:i/>
        </w:rPr>
        <w:t>Accountability Principles 2014</w:t>
      </w:r>
    </w:p>
    <w:p w14:paraId="0425913D" w14:textId="08292532" w:rsidR="009B1D6A" w:rsidRPr="008912EC" w:rsidRDefault="009B1D6A" w:rsidP="006D588A">
      <w:pPr>
        <w:jc w:val="both"/>
        <w:rPr>
          <w:b/>
        </w:rPr>
      </w:pPr>
    </w:p>
    <w:p w14:paraId="2D84B42D" w14:textId="2D3811F2" w:rsidR="007D5599" w:rsidRPr="008912EC" w:rsidRDefault="007D5599" w:rsidP="006D588A">
      <w:pPr>
        <w:jc w:val="both"/>
        <w:rPr>
          <w:b/>
        </w:rPr>
      </w:pPr>
      <w:r w:rsidRPr="008912EC">
        <w:rPr>
          <w:b/>
        </w:rPr>
        <w:t>Item 1 – Section 4 (note)</w:t>
      </w:r>
    </w:p>
    <w:p w14:paraId="7E65148E" w14:textId="2FF7BEB6" w:rsidR="007D5599" w:rsidRPr="008912EC" w:rsidRDefault="007D5599" w:rsidP="007D5599">
      <w:pPr>
        <w:jc w:val="both"/>
        <w:rPr>
          <w:bCs/>
        </w:rPr>
      </w:pPr>
      <w:r w:rsidRPr="008912EC">
        <w:rPr>
          <w:bCs/>
        </w:rPr>
        <w:t xml:space="preserve">This item repeals the note to Section 4 and substitutes a new </w:t>
      </w:r>
      <w:r w:rsidR="00395039" w:rsidRPr="008912EC">
        <w:rPr>
          <w:bCs/>
        </w:rPr>
        <w:t>n</w:t>
      </w:r>
      <w:r w:rsidRPr="008912EC">
        <w:rPr>
          <w:bCs/>
        </w:rPr>
        <w:t xml:space="preserve">ote </w:t>
      </w:r>
      <w:r w:rsidR="00F544CB" w:rsidRPr="008912EC">
        <w:rPr>
          <w:bCs/>
        </w:rPr>
        <w:t>which provides</w:t>
      </w:r>
      <w:r w:rsidR="00AF5E48" w:rsidRPr="008912EC">
        <w:rPr>
          <w:bCs/>
        </w:rPr>
        <w:t xml:space="preserve"> that </w:t>
      </w:r>
      <w:proofErr w:type="gramStart"/>
      <w:r w:rsidR="00AF5E48" w:rsidRPr="008912EC">
        <w:rPr>
          <w:bCs/>
        </w:rPr>
        <w:t>a number of</w:t>
      </w:r>
      <w:proofErr w:type="gramEnd"/>
      <w:r w:rsidRPr="008912EC">
        <w:rPr>
          <w:bCs/>
        </w:rPr>
        <w:t xml:space="preserve"> expressions used in </w:t>
      </w:r>
      <w:r w:rsidR="00F544CB" w:rsidRPr="008912EC">
        <w:rPr>
          <w:bCs/>
        </w:rPr>
        <w:t>the Accountability</w:t>
      </w:r>
      <w:r w:rsidRPr="008912EC">
        <w:rPr>
          <w:bCs/>
        </w:rPr>
        <w:t xml:space="preserve"> </w:t>
      </w:r>
      <w:r w:rsidR="00F544CB" w:rsidRPr="008912EC">
        <w:rPr>
          <w:bCs/>
        </w:rPr>
        <w:t>P</w:t>
      </w:r>
      <w:r w:rsidRPr="008912EC">
        <w:rPr>
          <w:bCs/>
        </w:rPr>
        <w:t xml:space="preserve">rinciples are defined in the </w:t>
      </w:r>
      <w:r w:rsidR="009632F3" w:rsidRPr="008912EC">
        <w:rPr>
          <w:bCs/>
        </w:rPr>
        <w:t xml:space="preserve">Aged Care </w:t>
      </w:r>
      <w:r w:rsidRPr="008912EC">
        <w:rPr>
          <w:bCs/>
        </w:rPr>
        <w:t>Act, including the following:</w:t>
      </w:r>
    </w:p>
    <w:p w14:paraId="06D27BD5" w14:textId="10946520" w:rsidR="007D5599" w:rsidRPr="008912EC" w:rsidRDefault="007D5599" w:rsidP="007D5599">
      <w:pPr>
        <w:pStyle w:val="ListParagraph"/>
        <w:numPr>
          <w:ilvl w:val="0"/>
          <w:numId w:val="44"/>
        </w:numPr>
        <w:jc w:val="both"/>
        <w:rPr>
          <w:bCs/>
        </w:rPr>
      </w:pPr>
      <w:r w:rsidRPr="008912EC">
        <w:rPr>
          <w:bCs/>
        </w:rPr>
        <w:t xml:space="preserve">approved </w:t>
      </w:r>
      <w:proofErr w:type="gramStart"/>
      <w:r w:rsidRPr="008912EC">
        <w:rPr>
          <w:bCs/>
        </w:rPr>
        <w:t>provider;</w:t>
      </w:r>
      <w:proofErr w:type="gramEnd"/>
    </w:p>
    <w:p w14:paraId="53E551C0" w14:textId="1BAEBA2B" w:rsidR="007D5599" w:rsidRPr="008912EC" w:rsidRDefault="007D5599" w:rsidP="007D5599">
      <w:pPr>
        <w:pStyle w:val="ListParagraph"/>
        <w:numPr>
          <w:ilvl w:val="0"/>
          <w:numId w:val="44"/>
        </w:numPr>
        <w:jc w:val="both"/>
        <w:rPr>
          <w:bCs/>
        </w:rPr>
      </w:pPr>
      <w:r w:rsidRPr="008912EC">
        <w:rPr>
          <w:bCs/>
        </w:rPr>
        <w:t xml:space="preserve">disqualified </w:t>
      </w:r>
      <w:proofErr w:type="gramStart"/>
      <w:r w:rsidRPr="008912EC">
        <w:rPr>
          <w:bCs/>
        </w:rPr>
        <w:t>individual;</w:t>
      </w:r>
      <w:proofErr w:type="gramEnd"/>
    </w:p>
    <w:p w14:paraId="1F7E1582" w14:textId="6B4E58F6" w:rsidR="007D5599" w:rsidRPr="008912EC" w:rsidRDefault="007D5599" w:rsidP="007D5599">
      <w:pPr>
        <w:pStyle w:val="ListParagraph"/>
        <w:numPr>
          <w:ilvl w:val="0"/>
          <w:numId w:val="44"/>
        </w:numPr>
        <w:jc w:val="both"/>
        <w:rPr>
          <w:bCs/>
        </w:rPr>
      </w:pPr>
      <w:r w:rsidRPr="008912EC">
        <w:rPr>
          <w:bCs/>
        </w:rPr>
        <w:t xml:space="preserve">flexible </w:t>
      </w:r>
      <w:proofErr w:type="gramStart"/>
      <w:r w:rsidRPr="008912EC">
        <w:rPr>
          <w:bCs/>
        </w:rPr>
        <w:t>care;</w:t>
      </w:r>
      <w:proofErr w:type="gramEnd"/>
    </w:p>
    <w:p w14:paraId="430BDF23" w14:textId="22436ED7" w:rsidR="007D5599" w:rsidRPr="008912EC" w:rsidRDefault="007D5599" w:rsidP="007D5599">
      <w:pPr>
        <w:pStyle w:val="ListParagraph"/>
        <w:numPr>
          <w:ilvl w:val="0"/>
          <w:numId w:val="44"/>
        </w:numPr>
        <w:jc w:val="both"/>
        <w:rPr>
          <w:bCs/>
        </w:rPr>
      </w:pPr>
      <w:r w:rsidRPr="008912EC">
        <w:rPr>
          <w:bCs/>
        </w:rPr>
        <w:t xml:space="preserve">home </w:t>
      </w:r>
      <w:proofErr w:type="gramStart"/>
      <w:r w:rsidRPr="008912EC">
        <w:rPr>
          <w:bCs/>
        </w:rPr>
        <w:t>care;</w:t>
      </w:r>
      <w:proofErr w:type="gramEnd"/>
    </w:p>
    <w:p w14:paraId="397C236C" w14:textId="53D388A0" w:rsidR="007D5599" w:rsidRPr="008912EC" w:rsidRDefault="007D5599" w:rsidP="007D5599">
      <w:pPr>
        <w:pStyle w:val="ListParagraph"/>
        <w:numPr>
          <w:ilvl w:val="0"/>
          <w:numId w:val="44"/>
        </w:numPr>
        <w:jc w:val="both"/>
        <w:rPr>
          <w:bCs/>
        </w:rPr>
      </w:pPr>
      <w:r w:rsidRPr="008912EC">
        <w:rPr>
          <w:bCs/>
        </w:rPr>
        <w:t xml:space="preserve">key </w:t>
      </w:r>
      <w:proofErr w:type="gramStart"/>
      <w:r w:rsidRPr="008912EC">
        <w:rPr>
          <w:bCs/>
        </w:rPr>
        <w:t>personnel;</w:t>
      </w:r>
      <w:proofErr w:type="gramEnd"/>
    </w:p>
    <w:p w14:paraId="6A67BAAD" w14:textId="736EED87" w:rsidR="007D5599" w:rsidRPr="008912EC" w:rsidRDefault="007D5599" w:rsidP="007D5599">
      <w:pPr>
        <w:pStyle w:val="ListParagraph"/>
        <w:numPr>
          <w:ilvl w:val="0"/>
          <w:numId w:val="44"/>
        </w:numPr>
        <w:jc w:val="both"/>
        <w:rPr>
          <w:bCs/>
        </w:rPr>
      </w:pPr>
      <w:r w:rsidRPr="008912EC">
        <w:rPr>
          <w:bCs/>
        </w:rPr>
        <w:t xml:space="preserve">Pricing </w:t>
      </w:r>
      <w:proofErr w:type="gramStart"/>
      <w:r w:rsidRPr="008912EC">
        <w:rPr>
          <w:bCs/>
        </w:rPr>
        <w:t>Authority;</w:t>
      </w:r>
      <w:proofErr w:type="gramEnd"/>
    </w:p>
    <w:p w14:paraId="287173E3" w14:textId="7CC6CD64" w:rsidR="007D5599" w:rsidRPr="008912EC" w:rsidRDefault="007D5599" w:rsidP="007D5599">
      <w:pPr>
        <w:pStyle w:val="ListParagraph"/>
        <w:numPr>
          <w:ilvl w:val="0"/>
          <w:numId w:val="44"/>
        </w:numPr>
        <w:jc w:val="both"/>
        <w:rPr>
          <w:bCs/>
        </w:rPr>
      </w:pPr>
      <w:r w:rsidRPr="008912EC">
        <w:rPr>
          <w:bCs/>
        </w:rPr>
        <w:t xml:space="preserve">Quality and Safety </w:t>
      </w:r>
      <w:proofErr w:type="gramStart"/>
      <w:r w:rsidRPr="008912EC">
        <w:rPr>
          <w:bCs/>
        </w:rPr>
        <w:t>Commissioner;</w:t>
      </w:r>
      <w:proofErr w:type="gramEnd"/>
    </w:p>
    <w:p w14:paraId="57C41E0E" w14:textId="612B8631" w:rsidR="007D5599" w:rsidRPr="008912EC" w:rsidRDefault="007D5599" w:rsidP="007D5599">
      <w:pPr>
        <w:pStyle w:val="ListParagraph"/>
        <w:numPr>
          <w:ilvl w:val="0"/>
          <w:numId w:val="44"/>
        </w:numPr>
        <w:jc w:val="both"/>
        <w:rPr>
          <w:bCs/>
        </w:rPr>
      </w:pPr>
      <w:r w:rsidRPr="008912EC">
        <w:rPr>
          <w:bCs/>
        </w:rPr>
        <w:t>residential care.</w:t>
      </w:r>
    </w:p>
    <w:p w14:paraId="58CDD7B6" w14:textId="77777777" w:rsidR="007D5599" w:rsidRPr="008912EC" w:rsidRDefault="007D5599" w:rsidP="006D588A">
      <w:pPr>
        <w:jc w:val="both"/>
        <w:rPr>
          <w:bCs/>
        </w:rPr>
      </w:pPr>
    </w:p>
    <w:p w14:paraId="06EB83DD" w14:textId="246088B9" w:rsidR="007D5599" w:rsidRPr="008912EC" w:rsidRDefault="007D5599" w:rsidP="006D588A">
      <w:pPr>
        <w:jc w:val="both"/>
        <w:rPr>
          <w:bCs/>
        </w:rPr>
      </w:pPr>
      <w:r w:rsidRPr="008912EC">
        <w:rPr>
          <w:bCs/>
        </w:rPr>
        <w:t xml:space="preserve">The effect </w:t>
      </w:r>
      <w:r w:rsidR="009632F3" w:rsidRPr="008912EC">
        <w:rPr>
          <w:bCs/>
        </w:rPr>
        <w:t xml:space="preserve">of this amendment </w:t>
      </w:r>
      <w:r w:rsidRPr="008912EC">
        <w:rPr>
          <w:bCs/>
        </w:rPr>
        <w:t xml:space="preserve">is to </w:t>
      </w:r>
      <w:r w:rsidR="009632F3" w:rsidRPr="008912EC">
        <w:rPr>
          <w:bCs/>
        </w:rPr>
        <w:t>include</w:t>
      </w:r>
      <w:r w:rsidRPr="008912EC">
        <w:rPr>
          <w:bCs/>
        </w:rPr>
        <w:t xml:space="preserve"> a reference to the Pricing Authority into the existing list of expressions</w:t>
      </w:r>
      <w:r w:rsidR="00980A17" w:rsidRPr="008912EC">
        <w:rPr>
          <w:bCs/>
        </w:rPr>
        <w:t xml:space="preserve"> used in the Accountability Principles</w:t>
      </w:r>
      <w:r w:rsidRPr="008912EC">
        <w:rPr>
          <w:bCs/>
        </w:rPr>
        <w:t xml:space="preserve"> that are noted as being defined in the </w:t>
      </w:r>
      <w:r w:rsidR="00980A17" w:rsidRPr="008912EC">
        <w:rPr>
          <w:bCs/>
        </w:rPr>
        <w:t xml:space="preserve">Aged Care </w:t>
      </w:r>
      <w:r w:rsidRPr="008912EC">
        <w:rPr>
          <w:bCs/>
        </w:rPr>
        <w:t>Act</w:t>
      </w:r>
      <w:r w:rsidR="00395039" w:rsidRPr="008912EC">
        <w:rPr>
          <w:bCs/>
        </w:rPr>
        <w:t>, and to renumber the items in the list to accommodate the new reference</w:t>
      </w:r>
      <w:r w:rsidRPr="008912EC">
        <w:rPr>
          <w:bCs/>
        </w:rPr>
        <w:t>.</w:t>
      </w:r>
    </w:p>
    <w:p w14:paraId="66DBD73C" w14:textId="4DF90E89" w:rsidR="007D5599" w:rsidRPr="008912EC" w:rsidRDefault="007D5599" w:rsidP="006D588A">
      <w:pPr>
        <w:jc w:val="both"/>
        <w:rPr>
          <w:b/>
        </w:rPr>
      </w:pPr>
    </w:p>
    <w:p w14:paraId="66AF7ECD" w14:textId="52D49A91" w:rsidR="007D5599" w:rsidRPr="008912EC" w:rsidRDefault="007D5599" w:rsidP="006D588A">
      <w:pPr>
        <w:jc w:val="both"/>
        <w:rPr>
          <w:b/>
        </w:rPr>
      </w:pPr>
      <w:r w:rsidRPr="008912EC">
        <w:rPr>
          <w:b/>
        </w:rPr>
        <w:t xml:space="preserve">Item 2 – </w:t>
      </w:r>
      <w:r w:rsidR="00395039" w:rsidRPr="008912EC">
        <w:rPr>
          <w:b/>
        </w:rPr>
        <w:t>Section 4</w:t>
      </w:r>
    </w:p>
    <w:p w14:paraId="24B357DD" w14:textId="2669E851" w:rsidR="007D5599" w:rsidRPr="008912EC" w:rsidRDefault="00395039" w:rsidP="006D588A">
      <w:pPr>
        <w:jc w:val="both"/>
        <w:rPr>
          <w:bCs/>
        </w:rPr>
      </w:pPr>
      <w:r w:rsidRPr="008912EC">
        <w:rPr>
          <w:bCs/>
        </w:rPr>
        <w:t xml:space="preserve">This item inserts </w:t>
      </w:r>
      <w:r w:rsidR="00F17193" w:rsidRPr="008912EC">
        <w:rPr>
          <w:bCs/>
        </w:rPr>
        <w:t>two</w:t>
      </w:r>
      <w:r w:rsidRPr="008912EC">
        <w:rPr>
          <w:bCs/>
        </w:rPr>
        <w:t xml:space="preserve"> new definitions in Section 4:</w:t>
      </w:r>
      <w:r w:rsidR="00F17193" w:rsidRPr="008912EC">
        <w:rPr>
          <w:bCs/>
        </w:rPr>
        <w:t xml:space="preserve"> </w:t>
      </w:r>
      <w:r w:rsidR="00F17193" w:rsidRPr="008912EC">
        <w:rPr>
          <w:b/>
          <w:i/>
          <w:iCs/>
        </w:rPr>
        <w:t xml:space="preserve">participating </w:t>
      </w:r>
      <w:r w:rsidR="007F7BAC" w:rsidRPr="008912EC">
        <w:rPr>
          <w:b/>
          <w:i/>
          <w:iCs/>
        </w:rPr>
        <w:t>care recipient</w:t>
      </w:r>
      <w:r w:rsidR="007F7BAC" w:rsidRPr="008912EC">
        <w:rPr>
          <w:bCs/>
        </w:rPr>
        <w:t xml:space="preserve"> and </w:t>
      </w:r>
      <w:r w:rsidR="007F7BAC" w:rsidRPr="008912EC">
        <w:rPr>
          <w:b/>
          <w:i/>
          <w:iCs/>
        </w:rPr>
        <w:t>Pricing Authority advice activity</w:t>
      </w:r>
      <w:r w:rsidR="005D630B" w:rsidRPr="008912EC">
        <w:rPr>
          <w:bCs/>
        </w:rPr>
        <w:t>.</w:t>
      </w:r>
    </w:p>
    <w:p w14:paraId="3AE8288F" w14:textId="77777777" w:rsidR="00C55D0F" w:rsidRPr="008912EC" w:rsidRDefault="00C55D0F" w:rsidP="00395039">
      <w:pPr>
        <w:jc w:val="both"/>
        <w:rPr>
          <w:bCs/>
        </w:rPr>
      </w:pPr>
    </w:p>
    <w:p w14:paraId="750BB628" w14:textId="24BE3025" w:rsidR="00395039" w:rsidRPr="008912EC" w:rsidRDefault="005D630B" w:rsidP="00395039">
      <w:pPr>
        <w:jc w:val="both"/>
        <w:rPr>
          <w:bCs/>
        </w:rPr>
      </w:pPr>
      <w:r w:rsidRPr="008912EC">
        <w:rPr>
          <w:bCs/>
        </w:rPr>
        <w:t>A</w:t>
      </w:r>
      <w:r w:rsidR="00395039" w:rsidRPr="008912EC">
        <w:rPr>
          <w:bCs/>
        </w:rPr>
        <w:t xml:space="preserve"> care recipient is a </w:t>
      </w:r>
      <w:r w:rsidR="00395039" w:rsidRPr="008912EC">
        <w:rPr>
          <w:b/>
          <w:i/>
          <w:iCs/>
        </w:rPr>
        <w:t>participating care recipient</w:t>
      </w:r>
      <w:r w:rsidR="00395039" w:rsidRPr="008912EC">
        <w:rPr>
          <w:bCs/>
        </w:rPr>
        <w:t xml:space="preserve"> for a Pricing Authority advice activity if:</w:t>
      </w:r>
      <w:r w:rsidR="006B7C28" w:rsidRPr="008912EC">
        <w:rPr>
          <w:bCs/>
        </w:rPr>
        <w:br/>
      </w:r>
    </w:p>
    <w:p w14:paraId="5D5815EA" w14:textId="2C1E6EA7" w:rsidR="00395039" w:rsidRPr="008912EC" w:rsidRDefault="00395039" w:rsidP="00395039">
      <w:pPr>
        <w:pStyle w:val="ListParagraph"/>
        <w:numPr>
          <w:ilvl w:val="0"/>
          <w:numId w:val="46"/>
        </w:numPr>
        <w:jc w:val="both"/>
        <w:rPr>
          <w:bCs/>
        </w:rPr>
      </w:pPr>
      <w:r w:rsidRPr="008912EC">
        <w:rPr>
          <w:bCs/>
        </w:rPr>
        <w:lastRenderedPageBreak/>
        <w:t>consent for the care recipient to participate in the activity has been given by:</w:t>
      </w:r>
    </w:p>
    <w:p w14:paraId="174D95BD" w14:textId="41E45CEE" w:rsidR="00395039" w:rsidRPr="008912EC" w:rsidRDefault="00395039" w:rsidP="00395039">
      <w:pPr>
        <w:pStyle w:val="ListParagraph"/>
        <w:numPr>
          <w:ilvl w:val="1"/>
          <w:numId w:val="46"/>
        </w:numPr>
        <w:jc w:val="both"/>
        <w:rPr>
          <w:bCs/>
        </w:rPr>
      </w:pPr>
      <w:r w:rsidRPr="008912EC">
        <w:rPr>
          <w:bCs/>
        </w:rPr>
        <w:t>the care recipient; or</w:t>
      </w:r>
    </w:p>
    <w:p w14:paraId="16764470" w14:textId="08FD171D" w:rsidR="00395039" w:rsidRPr="008912EC" w:rsidRDefault="00395039" w:rsidP="00395039">
      <w:pPr>
        <w:pStyle w:val="ListParagraph"/>
        <w:numPr>
          <w:ilvl w:val="1"/>
          <w:numId w:val="46"/>
        </w:numPr>
        <w:jc w:val="both"/>
        <w:rPr>
          <w:bCs/>
        </w:rPr>
      </w:pPr>
      <w:r w:rsidRPr="008912EC">
        <w:rPr>
          <w:bCs/>
        </w:rPr>
        <w:t>if the care recipient lacks capacity to give consent to participate in the activity—a representative of the care recipient; and</w:t>
      </w:r>
    </w:p>
    <w:p w14:paraId="522C28D2" w14:textId="0A28CAB9" w:rsidR="00395039" w:rsidRPr="008912EC" w:rsidRDefault="00395039" w:rsidP="00395039">
      <w:pPr>
        <w:pStyle w:val="ListParagraph"/>
        <w:numPr>
          <w:ilvl w:val="0"/>
          <w:numId w:val="46"/>
        </w:numPr>
        <w:jc w:val="both"/>
        <w:rPr>
          <w:bCs/>
        </w:rPr>
      </w:pPr>
      <w:r w:rsidRPr="008912EC">
        <w:rPr>
          <w:bCs/>
        </w:rPr>
        <w:t xml:space="preserve"> that consent has not been withdrawn by:</w:t>
      </w:r>
    </w:p>
    <w:p w14:paraId="0326D99C" w14:textId="44E1AE70" w:rsidR="00395039" w:rsidRPr="008912EC" w:rsidRDefault="00395039" w:rsidP="00395039">
      <w:pPr>
        <w:pStyle w:val="ListParagraph"/>
        <w:numPr>
          <w:ilvl w:val="1"/>
          <w:numId w:val="46"/>
        </w:numPr>
        <w:jc w:val="both"/>
        <w:rPr>
          <w:bCs/>
        </w:rPr>
      </w:pPr>
      <w:r w:rsidRPr="008912EC">
        <w:rPr>
          <w:bCs/>
        </w:rPr>
        <w:t xml:space="preserve"> the care recipient; or</w:t>
      </w:r>
    </w:p>
    <w:p w14:paraId="0476D692" w14:textId="41F627E1" w:rsidR="00395039" w:rsidRPr="008912EC" w:rsidRDefault="00395039" w:rsidP="00395039">
      <w:pPr>
        <w:pStyle w:val="ListParagraph"/>
        <w:numPr>
          <w:ilvl w:val="1"/>
          <w:numId w:val="46"/>
        </w:numPr>
        <w:jc w:val="both"/>
        <w:rPr>
          <w:bCs/>
        </w:rPr>
      </w:pPr>
      <w:r w:rsidRPr="008912EC">
        <w:rPr>
          <w:bCs/>
        </w:rPr>
        <w:t xml:space="preserve"> if the care recipient lacks capacity to withdraw consent to participate in the activity—a representative of the care recipient.</w:t>
      </w:r>
    </w:p>
    <w:p w14:paraId="1C818F4A" w14:textId="00EB78CA" w:rsidR="00AB6B7D" w:rsidRPr="008912EC" w:rsidRDefault="00AB6B7D" w:rsidP="00AB6B7D">
      <w:pPr>
        <w:jc w:val="both"/>
        <w:rPr>
          <w:bCs/>
        </w:rPr>
      </w:pPr>
    </w:p>
    <w:p w14:paraId="6485926E" w14:textId="3C2847C1" w:rsidR="00AB6B7D" w:rsidRPr="008912EC" w:rsidRDefault="000D31E9" w:rsidP="00AB6B7D">
      <w:pPr>
        <w:jc w:val="both"/>
        <w:rPr>
          <w:bCs/>
        </w:rPr>
      </w:pPr>
      <w:r w:rsidRPr="008912EC">
        <w:rPr>
          <w:bCs/>
        </w:rPr>
        <w:t xml:space="preserve">The term participating care recipient </w:t>
      </w:r>
      <w:r w:rsidR="005F74AE" w:rsidRPr="008912EC">
        <w:rPr>
          <w:bCs/>
        </w:rPr>
        <w:t>appears in new section 4D of the Accountability Principles, specifically in subsection (2) deals with requirements for approved providers to allow the Pricing Authority access to specified areas of the residential care service</w:t>
      </w:r>
      <w:r w:rsidR="00771883" w:rsidRPr="008912EC">
        <w:rPr>
          <w:bCs/>
        </w:rPr>
        <w:t>,</w:t>
      </w:r>
      <w:r w:rsidR="005F74AE" w:rsidRPr="008912EC">
        <w:rPr>
          <w:bCs/>
        </w:rPr>
        <w:t xml:space="preserve"> as required</w:t>
      </w:r>
      <w:r w:rsidR="00771883" w:rsidRPr="008912EC">
        <w:rPr>
          <w:bCs/>
        </w:rPr>
        <w:t>,</w:t>
      </w:r>
      <w:r w:rsidR="005F74AE" w:rsidRPr="008912EC">
        <w:rPr>
          <w:bCs/>
        </w:rPr>
        <w:t xml:space="preserve"> for them to perform their pricing and costing activities. </w:t>
      </w:r>
      <w:r w:rsidR="00AB6B7D" w:rsidRPr="008912EC">
        <w:rPr>
          <w:bCs/>
        </w:rPr>
        <w:t>Th</w:t>
      </w:r>
      <w:r w:rsidR="00846038" w:rsidRPr="008912EC">
        <w:rPr>
          <w:bCs/>
        </w:rPr>
        <w:t xml:space="preserve">is definition has been included to </w:t>
      </w:r>
      <w:r w:rsidR="00770A13" w:rsidRPr="008912EC">
        <w:rPr>
          <w:bCs/>
        </w:rPr>
        <w:t>ensure that only care recipients who have provided consent to participate in the</w:t>
      </w:r>
      <w:r w:rsidR="005F74AE" w:rsidRPr="008912EC">
        <w:rPr>
          <w:bCs/>
        </w:rPr>
        <w:t>se</w:t>
      </w:r>
      <w:r w:rsidR="00770A13" w:rsidRPr="008912EC">
        <w:rPr>
          <w:bCs/>
        </w:rPr>
        <w:t xml:space="preserve"> activit</w:t>
      </w:r>
      <w:r w:rsidR="00CD44FF" w:rsidRPr="008912EC">
        <w:rPr>
          <w:bCs/>
        </w:rPr>
        <w:t>ies</w:t>
      </w:r>
      <w:r w:rsidR="00770A13" w:rsidRPr="008912EC">
        <w:rPr>
          <w:bCs/>
        </w:rPr>
        <w:t xml:space="preserve"> conducted by the Pricing Authority</w:t>
      </w:r>
      <w:r w:rsidR="005F7375" w:rsidRPr="008912EC">
        <w:rPr>
          <w:bCs/>
        </w:rPr>
        <w:t xml:space="preserve"> are those who</w:t>
      </w:r>
      <w:r w:rsidR="00536A90" w:rsidRPr="008912EC">
        <w:rPr>
          <w:bCs/>
        </w:rPr>
        <w:t xml:space="preserve"> approved providers must allow access to for the purpose of </w:t>
      </w:r>
      <w:r w:rsidR="00EA1A5C" w:rsidRPr="008912EC">
        <w:rPr>
          <w:bCs/>
        </w:rPr>
        <w:t>the performance of those activities.</w:t>
      </w:r>
      <w:r w:rsidR="005F74AE" w:rsidRPr="008912EC">
        <w:rPr>
          <w:bCs/>
        </w:rPr>
        <w:t xml:space="preserve"> Approved providers are not required to provide access to care recipients who are not participating care recipients for the purposes of the Pricing Authority performing their pricing and costing activities. </w:t>
      </w:r>
    </w:p>
    <w:p w14:paraId="4A2497FE" w14:textId="78E7B573" w:rsidR="00EA1A5C" w:rsidRPr="008912EC" w:rsidRDefault="00EA1A5C" w:rsidP="00AB6B7D">
      <w:pPr>
        <w:jc w:val="both"/>
        <w:rPr>
          <w:bCs/>
        </w:rPr>
      </w:pPr>
    </w:p>
    <w:p w14:paraId="6C28F63C" w14:textId="0D199C7C" w:rsidR="00EA1A5C" w:rsidRPr="008912EC" w:rsidRDefault="00FE1B4A" w:rsidP="00AB6B7D">
      <w:pPr>
        <w:jc w:val="both"/>
        <w:rPr>
          <w:bCs/>
        </w:rPr>
      </w:pPr>
      <w:r w:rsidRPr="008912EC">
        <w:rPr>
          <w:bCs/>
        </w:rPr>
        <w:t xml:space="preserve">The definition provides that </w:t>
      </w:r>
      <w:r w:rsidR="00F61E7D" w:rsidRPr="008912EC">
        <w:rPr>
          <w:bCs/>
        </w:rPr>
        <w:t xml:space="preserve">consent for the care recipient to participate in the activity </w:t>
      </w:r>
      <w:r w:rsidR="000055A5" w:rsidRPr="008912EC">
        <w:rPr>
          <w:bCs/>
        </w:rPr>
        <w:t>mu</w:t>
      </w:r>
      <w:r w:rsidR="00E0547D" w:rsidRPr="008912EC">
        <w:rPr>
          <w:bCs/>
        </w:rPr>
        <w:t>s</w:t>
      </w:r>
      <w:r w:rsidR="000055A5" w:rsidRPr="008912EC">
        <w:rPr>
          <w:bCs/>
        </w:rPr>
        <w:t xml:space="preserve">t be given by either </w:t>
      </w:r>
      <w:r w:rsidRPr="008912EC">
        <w:rPr>
          <w:bCs/>
        </w:rPr>
        <w:t>the care recipient</w:t>
      </w:r>
      <w:r w:rsidR="000055A5" w:rsidRPr="008912EC">
        <w:rPr>
          <w:bCs/>
        </w:rPr>
        <w:t xml:space="preserve"> themselves</w:t>
      </w:r>
      <w:r w:rsidRPr="008912EC">
        <w:rPr>
          <w:bCs/>
        </w:rPr>
        <w:t>, or their</w:t>
      </w:r>
      <w:r w:rsidR="00F61E7D" w:rsidRPr="008912EC">
        <w:rPr>
          <w:bCs/>
        </w:rPr>
        <w:t xml:space="preserve"> representative (if the care recipient lacks capacity to give consent</w:t>
      </w:r>
      <w:r w:rsidR="007B31C6" w:rsidRPr="008912EC">
        <w:rPr>
          <w:bCs/>
        </w:rPr>
        <w:t xml:space="preserve"> to participate in the activity</w:t>
      </w:r>
      <w:r w:rsidR="00C54B70" w:rsidRPr="008912EC">
        <w:rPr>
          <w:bCs/>
        </w:rPr>
        <w:t>)</w:t>
      </w:r>
      <w:r w:rsidR="007B31C6" w:rsidRPr="008912EC">
        <w:rPr>
          <w:bCs/>
        </w:rPr>
        <w:t>. Th</w:t>
      </w:r>
      <w:r w:rsidR="00EB4941" w:rsidRPr="008912EC">
        <w:rPr>
          <w:bCs/>
        </w:rPr>
        <w:t>e</w:t>
      </w:r>
      <w:r w:rsidR="007B31C6" w:rsidRPr="008912EC">
        <w:rPr>
          <w:bCs/>
        </w:rPr>
        <w:t xml:space="preserve"> </w:t>
      </w:r>
      <w:r w:rsidR="00EB4941" w:rsidRPr="008912EC">
        <w:rPr>
          <w:bCs/>
        </w:rPr>
        <w:t>language in the provision</w:t>
      </w:r>
      <w:r w:rsidR="007B31C6" w:rsidRPr="008912EC">
        <w:rPr>
          <w:bCs/>
        </w:rPr>
        <w:t xml:space="preserve"> </w:t>
      </w:r>
      <w:r w:rsidR="00EB4941" w:rsidRPr="008912EC">
        <w:rPr>
          <w:bCs/>
        </w:rPr>
        <w:t>of</w:t>
      </w:r>
      <w:r w:rsidR="007B31C6" w:rsidRPr="008912EC">
        <w:rPr>
          <w:bCs/>
        </w:rPr>
        <w:t xml:space="preserve"> </w:t>
      </w:r>
      <w:r w:rsidR="00EB4941" w:rsidRPr="008912EC">
        <w:rPr>
          <w:bCs/>
        </w:rPr>
        <w:t>“</w:t>
      </w:r>
      <w:r w:rsidR="007B31C6" w:rsidRPr="008912EC">
        <w:rPr>
          <w:bCs/>
        </w:rPr>
        <w:t>consent to participate in the activity</w:t>
      </w:r>
      <w:r w:rsidR="00EB4941" w:rsidRPr="008912EC">
        <w:rPr>
          <w:bCs/>
        </w:rPr>
        <w:t xml:space="preserve">” has been included </w:t>
      </w:r>
      <w:r w:rsidR="00771883" w:rsidRPr="008912EC">
        <w:rPr>
          <w:bCs/>
        </w:rPr>
        <w:t xml:space="preserve">specifically </w:t>
      </w:r>
      <w:r w:rsidR="00EB4941" w:rsidRPr="008912EC">
        <w:rPr>
          <w:bCs/>
        </w:rPr>
        <w:t>to</w:t>
      </w:r>
      <w:r w:rsidR="007B31C6" w:rsidRPr="008912EC">
        <w:rPr>
          <w:bCs/>
        </w:rPr>
        <w:t xml:space="preserve"> </w:t>
      </w:r>
      <w:r w:rsidR="00D56939" w:rsidRPr="008912EC">
        <w:rPr>
          <w:bCs/>
        </w:rPr>
        <w:t>clarify</w:t>
      </w:r>
      <w:r w:rsidR="007B31C6" w:rsidRPr="008912EC">
        <w:rPr>
          <w:bCs/>
        </w:rPr>
        <w:t xml:space="preserve"> that the care recipient or their representative are only giving</w:t>
      </w:r>
      <w:r w:rsidR="0057377E" w:rsidRPr="008912EC">
        <w:rPr>
          <w:bCs/>
        </w:rPr>
        <w:t xml:space="preserve"> their</w:t>
      </w:r>
      <w:r w:rsidR="007B31C6" w:rsidRPr="008912EC">
        <w:rPr>
          <w:bCs/>
        </w:rPr>
        <w:t xml:space="preserve"> consent with respect to the specific activities under</w:t>
      </w:r>
      <w:r w:rsidR="0057377E" w:rsidRPr="008912EC">
        <w:rPr>
          <w:bCs/>
        </w:rPr>
        <w:t>taken by the Pricing Authority under paragraph 131A(1)(c) (that is,</w:t>
      </w:r>
      <w:r w:rsidR="00395202" w:rsidRPr="008912EC">
        <w:rPr>
          <w:bCs/>
        </w:rPr>
        <w:t xml:space="preserve"> costing and other studies, consultations and the collection and review of data).</w:t>
      </w:r>
      <w:r w:rsidR="00E10B2A" w:rsidRPr="008912EC">
        <w:rPr>
          <w:bCs/>
        </w:rPr>
        <w:t xml:space="preserve"> </w:t>
      </w:r>
    </w:p>
    <w:p w14:paraId="1D322F88" w14:textId="29562496" w:rsidR="003573B4" w:rsidRPr="008912EC" w:rsidRDefault="003573B4" w:rsidP="00AB6B7D">
      <w:pPr>
        <w:jc w:val="both"/>
        <w:rPr>
          <w:bCs/>
        </w:rPr>
      </w:pPr>
    </w:p>
    <w:p w14:paraId="654C7BF7" w14:textId="306F9F1A" w:rsidR="000D31E9" w:rsidRPr="008912EC" w:rsidRDefault="00A61FCF" w:rsidP="00AB6B7D">
      <w:pPr>
        <w:jc w:val="both"/>
        <w:rPr>
          <w:bCs/>
        </w:rPr>
      </w:pPr>
      <w:r w:rsidRPr="008912EC">
        <w:rPr>
          <w:bCs/>
        </w:rPr>
        <w:t>The definition also provides that in addition to the initial seeking of consent</w:t>
      </w:r>
      <w:r w:rsidR="00BC42D1" w:rsidRPr="008912EC">
        <w:rPr>
          <w:bCs/>
        </w:rPr>
        <w:t xml:space="preserve"> for the care recipient</w:t>
      </w:r>
      <w:r w:rsidRPr="008912EC">
        <w:rPr>
          <w:bCs/>
        </w:rPr>
        <w:t xml:space="preserve"> to </w:t>
      </w:r>
      <w:r w:rsidR="00BC42D1" w:rsidRPr="008912EC">
        <w:rPr>
          <w:bCs/>
        </w:rPr>
        <w:t>participate in the Pricing Authorit</w:t>
      </w:r>
      <w:r w:rsidR="002E5D65" w:rsidRPr="008912EC">
        <w:rPr>
          <w:bCs/>
        </w:rPr>
        <w:t>y</w:t>
      </w:r>
      <w:r w:rsidR="00BC42D1" w:rsidRPr="008912EC">
        <w:rPr>
          <w:bCs/>
        </w:rPr>
        <w:t xml:space="preserve"> activities, the care recipient will only be a participating care recipient if that consent has not been withdrawn by either the care recipient themselves, or their representative (if the care recipient lacks capacity </w:t>
      </w:r>
      <w:r w:rsidR="005C0BF0" w:rsidRPr="008912EC">
        <w:rPr>
          <w:bCs/>
        </w:rPr>
        <w:t>to withdraw consent to participate in the activity). This</w:t>
      </w:r>
      <w:r w:rsidR="00D56939" w:rsidRPr="008912EC">
        <w:rPr>
          <w:bCs/>
        </w:rPr>
        <w:t xml:space="preserve"> is intended to make clear</w:t>
      </w:r>
      <w:r w:rsidR="005C0BF0" w:rsidRPr="008912EC">
        <w:rPr>
          <w:bCs/>
        </w:rPr>
        <w:t xml:space="preserve"> </w:t>
      </w:r>
      <w:r w:rsidR="005C1235" w:rsidRPr="008912EC">
        <w:rPr>
          <w:bCs/>
        </w:rPr>
        <w:t xml:space="preserve">that care recipients and their </w:t>
      </w:r>
      <w:r w:rsidR="00771883" w:rsidRPr="008912EC">
        <w:rPr>
          <w:bCs/>
        </w:rPr>
        <w:t xml:space="preserve">representatives </w:t>
      </w:r>
      <w:r w:rsidR="005C1235" w:rsidRPr="008912EC">
        <w:rPr>
          <w:bCs/>
        </w:rPr>
        <w:t xml:space="preserve">can withdraw their consent </w:t>
      </w:r>
      <w:r w:rsidR="00050622" w:rsidRPr="008912EC">
        <w:rPr>
          <w:bCs/>
        </w:rPr>
        <w:t xml:space="preserve">to participate in the Pricing Authorities activities at any time </w:t>
      </w:r>
      <w:r w:rsidR="000D31E9" w:rsidRPr="008912EC">
        <w:rPr>
          <w:bCs/>
        </w:rPr>
        <w:t>prior to</w:t>
      </w:r>
      <w:r w:rsidR="00E0547D" w:rsidRPr="008912EC">
        <w:rPr>
          <w:bCs/>
        </w:rPr>
        <w:t>,</w:t>
      </w:r>
      <w:r w:rsidR="000D31E9" w:rsidRPr="008912EC">
        <w:rPr>
          <w:bCs/>
        </w:rPr>
        <w:t xml:space="preserve"> or </w:t>
      </w:r>
      <w:r w:rsidR="00050622" w:rsidRPr="008912EC">
        <w:rPr>
          <w:bCs/>
        </w:rPr>
        <w:t>during</w:t>
      </w:r>
      <w:r w:rsidR="00E0547D" w:rsidRPr="008912EC">
        <w:rPr>
          <w:bCs/>
        </w:rPr>
        <w:t>,</w:t>
      </w:r>
      <w:r w:rsidR="00050622" w:rsidRPr="008912EC">
        <w:rPr>
          <w:bCs/>
        </w:rPr>
        <w:t xml:space="preserve"> the activities.</w:t>
      </w:r>
      <w:r w:rsidR="000D31E9" w:rsidRPr="008912EC">
        <w:rPr>
          <w:bCs/>
        </w:rPr>
        <w:t xml:space="preserve"> </w:t>
      </w:r>
    </w:p>
    <w:p w14:paraId="2D9DCD04" w14:textId="77777777" w:rsidR="000D31E9" w:rsidRPr="008912EC" w:rsidRDefault="000D31E9" w:rsidP="00AB6B7D">
      <w:pPr>
        <w:jc w:val="both"/>
        <w:rPr>
          <w:bCs/>
        </w:rPr>
      </w:pPr>
    </w:p>
    <w:p w14:paraId="7986D560" w14:textId="1BA355C3" w:rsidR="00050622" w:rsidRPr="008912EC" w:rsidRDefault="000D31E9" w:rsidP="006B7C28">
      <w:pPr>
        <w:jc w:val="both"/>
        <w:rPr>
          <w:bCs/>
        </w:rPr>
      </w:pPr>
      <w:r w:rsidRPr="008912EC">
        <w:rPr>
          <w:bCs/>
        </w:rPr>
        <w:t>The definition is intended to align with the Pricing Authorit</w:t>
      </w:r>
      <w:r w:rsidR="002E5D65" w:rsidRPr="008912EC">
        <w:rPr>
          <w:bCs/>
        </w:rPr>
        <w:t>y’s</w:t>
      </w:r>
      <w:r w:rsidRPr="008912EC">
        <w:rPr>
          <w:bCs/>
        </w:rPr>
        <w:t xml:space="preserve"> current consent model for care recipient participation in their pricing and costing activities. </w:t>
      </w:r>
    </w:p>
    <w:p w14:paraId="036DB249" w14:textId="77777777" w:rsidR="00395039" w:rsidRPr="008912EC" w:rsidRDefault="00395039" w:rsidP="00395039">
      <w:pPr>
        <w:jc w:val="both"/>
        <w:rPr>
          <w:bCs/>
          <w:i/>
          <w:iCs/>
        </w:rPr>
      </w:pPr>
    </w:p>
    <w:p w14:paraId="5E12488D" w14:textId="4AEFBCBE" w:rsidR="00395039" w:rsidRPr="008912EC" w:rsidRDefault="00395039" w:rsidP="00395039">
      <w:pPr>
        <w:jc w:val="both"/>
        <w:rPr>
          <w:bCs/>
        </w:rPr>
      </w:pPr>
      <w:r w:rsidRPr="008912EC">
        <w:rPr>
          <w:b/>
          <w:i/>
          <w:iCs/>
        </w:rPr>
        <w:t>Pricing Authority advice activity</w:t>
      </w:r>
      <w:r w:rsidRPr="008912EC">
        <w:rPr>
          <w:bCs/>
        </w:rPr>
        <w:t xml:space="preserve"> </w:t>
      </w:r>
      <w:r w:rsidR="000D31E9" w:rsidRPr="008912EC">
        <w:rPr>
          <w:bCs/>
        </w:rPr>
        <w:t>is defined as</w:t>
      </w:r>
      <w:r w:rsidRPr="008912EC">
        <w:rPr>
          <w:bCs/>
        </w:rPr>
        <w:t xml:space="preserve"> an activity mentioned in paragraph 131A(1)(c) of the </w:t>
      </w:r>
      <w:r w:rsidRPr="008912EC">
        <w:rPr>
          <w:bCs/>
          <w:i/>
          <w:iCs/>
        </w:rPr>
        <w:t>National Health Reform Act 2011</w:t>
      </w:r>
      <w:r w:rsidRPr="008912EC">
        <w:rPr>
          <w:bCs/>
        </w:rPr>
        <w:t xml:space="preserve"> (NHR Act) conducted for the purpose of performing a function mentioned in paragraph 131A(1)(a) of that Act.</w:t>
      </w:r>
    </w:p>
    <w:p w14:paraId="0A2711AE" w14:textId="225D412F" w:rsidR="00395039" w:rsidRPr="008912EC" w:rsidRDefault="00395039" w:rsidP="006D588A">
      <w:pPr>
        <w:jc w:val="both"/>
        <w:rPr>
          <w:b/>
        </w:rPr>
      </w:pPr>
    </w:p>
    <w:p w14:paraId="6E9A776C" w14:textId="6A289B57" w:rsidR="00395039" w:rsidRPr="008912EC" w:rsidRDefault="00395039" w:rsidP="00395039">
      <w:pPr>
        <w:jc w:val="both"/>
        <w:rPr>
          <w:bCs/>
        </w:rPr>
      </w:pPr>
      <w:r w:rsidRPr="008912EC">
        <w:rPr>
          <w:bCs/>
        </w:rPr>
        <w:t>The Pricing Authority function in paragraph 131A(1)(</w:t>
      </w:r>
      <w:r w:rsidR="000D31E9" w:rsidRPr="008912EC">
        <w:rPr>
          <w:bCs/>
        </w:rPr>
        <w:t>a</w:t>
      </w:r>
      <w:r w:rsidRPr="008912EC">
        <w:rPr>
          <w:bCs/>
        </w:rPr>
        <w:t xml:space="preserve">) of the NHR Act is to provide advice to each relevant Commonwealth Minister in relation to one or more aged care pricing or costing matters, including in relation to methods for calculating amounts of subsidies to be paid under the Aged Care Act or the </w:t>
      </w:r>
      <w:r w:rsidRPr="008912EC">
        <w:rPr>
          <w:bCs/>
          <w:i/>
          <w:iCs/>
        </w:rPr>
        <w:t>Aged Care (Transitional Provisions) Act 1997</w:t>
      </w:r>
      <w:r w:rsidRPr="008912EC">
        <w:rPr>
          <w:bCs/>
        </w:rPr>
        <w:t>.</w:t>
      </w:r>
    </w:p>
    <w:p w14:paraId="6F852393" w14:textId="61B29E75" w:rsidR="00395039" w:rsidRPr="008912EC" w:rsidRDefault="00395039" w:rsidP="00395039">
      <w:pPr>
        <w:jc w:val="both"/>
        <w:rPr>
          <w:bCs/>
        </w:rPr>
      </w:pPr>
    </w:p>
    <w:p w14:paraId="1C75E99D" w14:textId="16FF796D" w:rsidR="00395039" w:rsidRPr="008912EC" w:rsidRDefault="00395039" w:rsidP="00395039">
      <w:pPr>
        <w:jc w:val="both"/>
        <w:rPr>
          <w:bCs/>
        </w:rPr>
      </w:pPr>
      <w:r w:rsidRPr="008912EC">
        <w:rPr>
          <w:bCs/>
        </w:rPr>
        <w:t>The Pricing Authority function in paragraph 131A(1)(c) of the NHR Act is to:</w:t>
      </w:r>
    </w:p>
    <w:p w14:paraId="6E789A18" w14:textId="2273B7D9" w:rsidR="00395039" w:rsidRPr="008912EC" w:rsidRDefault="00395039" w:rsidP="00395039">
      <w:pPr>
        <w:pStyle w:val="ListParagraph"/>
        <w:numPr>
          <w:ilvl w:val="0"/>
          <w:numId w:val="46"/>
        </w:numPr>
        <w:jc w:val="both"/>
        <w:rPr>
          <w:bCs/>
        </w:rPr>
      </w:pPr>
      <w:r w:rsidRPr="008912EC">
        <w:rPr>
          <w:bCs/>
        </w:rPr>
        <w:t>to conduct, or arrange for the conduct of, one or more of the following activities for the purpose of performing a function mentioned in paragraph 131A(a) or (b) of the NHR Act:</w:t>
      </w:r>
    </w:p>
    <w:p w14:paraId="0FF9F637" w14:textId="24807161" w:rsidR="00395039" w:rsidRPr="008912EC" w:rsidRDefault="00395039" w:rsidP="00395039">
      <w:pPr>
        <w:pStyle w:val="ListParagraph"/>
        <w:numPr>
          <w:ilvl w:val="1"/>
          <w:numId w:val="46"/>
        </w:numPr>
        <w:jc w:val="both"/>
        <w:rPr>
          <w:bCs/>
        </w:rPr>
      </w:pPr>
      <w:r w:rsidRPr="008912EC">
        <w:rPr>
          <w:bCs/>
        </w:rPr>
        <w:t xml:space="preserve">the collection and review of </w:t>
      </w:r>
      <w:proofErr w:type="gramStart"/>
      <w:r w:rsidRPr="008912EC">
        <w:rPr>
          <w:bCs/>
        </w:rPr>
        <w:t>data;</w:t>
      </w:r>
      <w:proofErr w:type="gramEnd"/>
    </w:p>
    <w:p w14:paraId="2B85C284" w14:textId="6E8A5AB8" w:rsidR="00395039" w:rsidRPr="008912EC" w:rsidRDefault="00395039" w:rsidP="00395039">
      <w:pPr>
        <w:pStyle w:val="ListParagraph"/>
        <w:numPr>
          <w:ilvl w:val="1"/>
          <w:numId w:val="46"/>
        </w:numPr>
        <w:jc w:val="both"/>
        <w:rPr>
          <w:bCs/>
        </w:rPr>
      </w:pPr>
      <w:r w:rsidRPr="008912EC">
        <w:rPr>
          <w:bCs/>
        </w:rPr>
        <w:t xml:space="preserve">costing and other </w:t>
      </w:r>
      <w:proofErr w:type="gramStart"/>
      <w:r w:rsidRPr="008912EC">
        <w:rPr>
          <w:bCs/>
        </w:rPr>
        <w:t>studies;</w:t>
      </w:r>
      <w:proofErr w:type="gramEnd"/>
    </w:p>
    <w:p w14:paraId="36A711F5" w14:textId="7B7FF3DB" w:rsidR="00395039" w:rsidRPr="008912EC" w:rsidRDefault="00395039" w:rsidP="00395039">
      <w:pPr>
        <w:pStyle w:val="ListParagraph"/>
        <w:numPr>
          <w:ilvl w:val="1"/>
          <w:numId w:val="46"/>
        </w:numPr>
        <w:jc w:val="both"/>
        <w:rPr>
          <w:bCs/>
        </w:rPr>
      </w:pPr>
      <w:r w:rsidRPr="008912EC">
        <w:rPr>
          <w:bCs/>
        </w:rPr>
        <w:t>consultations</w:t>
      </w:r>
      <w:r w:rsidR="00E0547D" w:rsidRPr="008912EC">
        <w:rPr>
          <w:bCs/>
        </w:rPr>
        <w:t>.</w:t>
      </w:r>
    </w:p>
    <w:p w14:paraId="7D9A9B64" w14:textId="13929196" w:rsidR="000D31E9" w:rsidRPr="008912EC" w:rsidRDefault="000D31E9" w:rsidP="005F74AE">
      <w:pPr>
        <w:jc w:val="both"/>
        <w:rPr>
          <w:bCs/>
        </w:rPr>
      </w:pPr>
    </w:p>
    <w:p w14:paraId="78E7D1D3" w14:textId="32DC3C09" w:rsidR="000D31E9" w:rsidRPr="008912EC" w:rsidRDefault="000D31E9" w:rsidP="006B7C28">
      <w:pPr>
        <w:jc w:val="both"/>
        <w:rPr>
          <w:bCs/>
        </w:rPr>
      </w:pPr>
      <w:r w:rsidRPr="008912EC">
        <w:rPr>
          <w:bCs/>
        </w:rPr>
        <w:t xml:space="preserve">The inclusion of Pricing Authority advice activity as a defined term will assist in user readability </w:t>
      </w:r>
      <w:r w:rsidR="00EE5323" w:rsidRPr="008912EC">
        <w:rPr>
          <w:bCs/>
        </w:rPr>
        <w:t>where</w:t>
      </w:r>
      <w:r w:rsidRPr="008912EC">
        <w:rPr>
          <w:bCs/>
        </w:rPr>
        <w:t xml:space="preserve"> the relevant</w:t>
      </w:r>
      <w:r w:rsidR="00EE5323" w:rsidRPr="008912EC">
        <w:rPr>
          <w:bCs/>
        </w:rPr>
        <w:t xml:space="preserve"> provisions are intend</w:t>
      </w:r>
      <w:r w:rsidR="006B7C28" w:rsidRPr="008912EC">
        <w:rPr>
          <w:bCs/>
        </w:rPr>
        <w:t>ed</w:t>
      </w:r>
      <w:r w:rsidR="00EE5323" w:rsidRPr="008912EC">
        <w:rPr>
          <w:bCs/>
        </w:rPr>
        <w:t xml:space="preserve"> to describe the</w:t>
      </w:r>
      <w:r w:rsidR="00F9298B" w:rsidRPr="008912EC">
        <w:rPr>
          <w:bCs/>
        </w:rPr>
        <w:t xml:space="preserve"> requirements of approved providers in relation to access and assistance for the</w:t>
      </w:r>
      <w:r w:rsidR="00EE5323" w:rsidRPr="008912EC">
        <w:rPr>
          <w:bCs/>
        </w:rPr>
        <w:t xml:space="preserve"> Pricing Authority </w:t>
      </w:r>
      <w:r w:rsidR="00F9298B" w:rsidRPr="008912EC">
        <w:rPr>
          <w:bCs/>
        </w:rPr>
        <w:t xml:space="preserve">when </w:t>
      </w:r>
      <w:r w:rsidR="00EE5323" w:rsidRPr="008912EC">
        <w:rPr>
          <w:bCs/>
        </w:rPr>
        <w:t>performing or conducting any of the three activities mentioned in paragraph 131A(1)(c) of the NHR Act.</w:t>
      </w:r>
    </w:p>
    <w:p w14:paraId="3373D548" w14:textId="77777777" w:rsidR="00395039" w:rsidRPr="008912EC" w:rsidRDefault="00395039" w:rsidP="006D588A">
      <w:pPr>
        <w:jc w:val="both"/>
        <w:rPr>
          <w:b/>
        </w:rPr>
      </w:pPr>
    </w:p>
    <w:p w14:paraId="40FA819E" w14:textId="5D6CD6A8" w:rsidR="007D5599" w:rsidRPr="008912EC" w:rsidRDefault="00395039" w:rsidP="006D588A">
      <w:pPr>
        <w:jc w:val="both"/>
        <w:rPr>
          <w:b/>
        </w:rPr>
      </w:pPr>
      <w:r w:rsidRPr="008912EC">
        <w:rPr>
          <w:b/>
        </w:rPr>
        <w:t>Item 3 – After Part 1A</w:t>
      </w:r>
    </w:p>
    <w:p w14:paraId="67893A1B" w14:textId="161414A7" w:rsidR="00371492" w:rsidRPr="008912EC" w:rsidRDefault="00371492" w:rsidP="00371492">
      <w:pPr>
        <w:jc w:val="both"/>
      </w:pPr>
      <w:r w:rsidRPr="008912EC">
        <w:t xml:space="preserve">This item inserts new Part 1B— Access, </w:t>
      </w:r>
      <w:proofErr w:type="gramStart"/>
      <w:r w:rsidRPr="008912EC">
        <w:t>facilities</w:t>
      </w:r>
      <w:proofErr w:type="gramEnd"/>
      <w:r w:rsidRPr="008912EC">
        <w:t xml:space="preserve"> and assistance for Pricing Authority advice activities—residential care services, after Part 1A of the Accountability Principles. New Part 1B comprises </w:t>
      </w:r>
      <w:r w:rsidR="00F12220" w:rsidRPr="008912EC">
        <w:t xml:space="preserve">new </w:t>
      </w:r>
      <w:r w:rsidRPr="008912EC">
        <w:t>sections 4C, 4D, 4E and 4F.</w:t>
      </w:r>
    </w:p>
    <w:p w14:paraId="1B6907E3" w14:textId="2760524D" w:rsidR="00145C6A" w:rsidRPr="008912EC" w:rsidRDefault="00145C6A" w:rsidP="00371492">
      <w:pPr>
        <w:jc w:val="both"/>
      </w:pPr>
    </w:p>
    <w:p w14:paraId="35422EB6" w14:textId="6FA9FFE1" w:rsidR="00145C6A" w:rsidRPr="008912EC" w:rsidRDefault="00145C6A" w:rsidP="00371492">
      <w:pPr>
        <w:jc w:val="both"/>
        <w:rPr>
          <w:u w:val="single"/>
        </w:rPr>
      </w:pPr>
      <w:r w:rsidRPr="008912EC">
        <w:rPr>
          <w:u w:val="single"/>
        </w:rPr>
        <w:t>Section</w:t>
      </w:r>
      <w:r w:rsidR="003437E6" w:rsidRPr="008912EC">
        <w:rPr>
          <w:u w:val="single"/>
        </w:rPr>
        <w:t xml:space="preserve"> 4C</w:t>
      </w:r>
    </w:p>
    <w:p w14:paraId="40334A52" w14:textId="77777777" w:rsidR="00371492" w:rsidRPr="008912EC" w:rsidRDefault="00371492" w:rsidP="00371492">
      <w:pPr>
        <w:jc w:val="both"/>
      </w:pPr>
    </w:p>
    <w:p w14:paraId="64D16367" w14:textId="704B3A5A" w:rsidR="00F12220" w:rsidRPr="008912EC" w:rsidRDefault="00371492" w:rsidP="00371492">
      <w:pPr>
        <w:jc w:val="both"/>
      </w:pPr>
      <w:r w:rsidRPr="008912EC">
        <w:t>New section 4C states the purpose of new Part 1B.</w:t>
      </w:r>
      <w:r w:rsidR="00F12220" w:rsidRPr="008912EC">
        <w:t xml:space="preserve"> This provides that,</w:t>
      </w:r>
      <w:r w:rsidRPr="008912EC">
        <w:t xml:space="preserve"> </w:t>
      </w:r>
      <w:r w:rsidR="001F4A39" w:rsidRPr="008912EC">
        <w:t xml:space="preserve">for </w:t>
      </w:r>
      <w:r w:rsidRPr="008912EC">
        <w:t>the purposes of paragraph 63</w:t>
      </w:r>
      <w:r w:rsidRPr="008912EC">
        <w:noBreakHyphen/>
        <w:t>1(</w:t>
      </w:r>
      <w:proofErr w:type="gramStart"/>
      <w:r w:rsidRPr="008912EC">
        <w:t>1)(</w:t>
      </w:r>
      <w:proofErr w:type="spellStart"/>
      <w:proofErr w:type="gramEnd"/>
      <w:r w:rsidRPr="008912EC">
        <w:t>hb</w:t>
      </w:r>
      <w:proofErr w:type="spellEnd"/>
      <w:r w:rsidRPr="008912EC">
        <w:t>) and (</w:t>
      </w:r>
      <w:proofErr w:type="spellStart"/>
      <w:r w:rsidRPr="008912EC">
        <w:t>hc</w:t>
      </w:r>
      <w:proofErr w:type="spellEnd"/>
      <w:r w:rsidRPr="008912EC">
        <w:t>) of the Aged Care Act, new Part 1B requires an approved provider</w:t>
      </w:r>
      <w:r w:rsidR="00F12220" w:rsidRPr="008912EC">
        <w:t xml:space="preserve"> of a residential care service</w:t>
      </w:r>
      <w:r w:rsidRPr="008912EC">
        <w:t xml:space="preserve"> to</w:t>
      </w:r>
      <w:r w:rsidR="00F12220" w:rsidRPr="008912EC">
        <w:t>:</w:t>
      </w:r>
    </w:p>
    <w:p w14:paraId="2AC626DF" w14:textId="5A613E99" w:rsidR="00F12220" w:rsidRPr="008912EC" w:rsidRDefault="00371492" w:rsidP="00244579">
      <w:pPr>
        <w:pStyle w:val="ListParagraph"/>
        <w:numPr>
          <w:ilvl w:val="0"/>
          <w:numId w:val="46"/>
        </w:numPr>
        <w:jc w:val="both"/>
      </w:pPr>
      <w:r w:rsidRPr="008912EC">
        <w:t>allow persons performing Pricing Authority advice activities access to the service</w:t>
      </w:r>
      <w:r w:rsidR="001F4A39" w:rsidRPr="008912EC">
        <w:t>;</w:t>
      </w:r>
      <w:r w:rsidRPr="008912EC">
        <w:t xml:space="preserve"> and</w:t>
      </w:r>
    </w:p>
    <w:p w14:paraId="0AB6F047" w14:textId="5FAB53CA" w:rsidR="00371492" w:rsidRPr="008912EC" w:rsidRDefault="00371492" w:rsidP="001F4A39">
      <w:pPr>
        <w:pStyle w:val="ListParagraph"/>
        <w:numPr>
          <w:ilvl w:val="0"/>
          <w:numId w:val="46"/>
        </w:numPr>
        <w:jc w:val="both"/>
      </w:pPr>
      <w:r w:rsidRPr="008912EC">
        <w:t>provide such persons with all reasonable facilities and assistance necessary for the performance of those activities.</w:t>
      </w:r>
    </w:p>
    <w:p w14:paraId="41F418DC" w14:textId="116E8FA0" w:rsidR="00371492" w:rsidRPr="008912EC" w:rsidRDefault="00371492" w:rsidP="00371492">
      <w:pPr>
        <w:jc w:val="both"/>
      </w:pPr>
    </w:p>
    <w:p w14:paraId="5BFEFF84" w14:textId="2529585B" w:rsidR="00371492" w:rsidRPr="008912EC" w:rsidRDefault="00371492" w:rsidP="00371492">
      <w:pPr>
        <w:jc w:val="both"/>
      </w:pPr>
      <w:r w:rsidRPr="008912EC">
        <w:t>Pricing Authority advice activity is defined in Section 4 as amended (see item 2</w:t>
      </w:r>
      <w:r w:rsidR="00145C6A" w:rsidRPr="008912EC">
        <w:t xml:space="preserve"> above</w:t>
      </w:r>
      <w:r w:rsidRPr="008912EC">
        <w:t>).</w:t>
      </w:r>
    </w:p>
    <w:p w14:paraId="272C8805" w14:textId="4992A508" w:rsidR="00371492" w:rsidRPr="008912EC" w:rsidRDefault="00371492" w:rsidP="00371492">
      <w:pPr>
        <w:jc w:val="both"/>
      </w:pPr>
    </w:p>
    <w:p w14:paraId="19D1FB80" w14:textId="5399D6F5" w:rsidR="003437E6" w:rsidRPr="008912EC" w:rsidRDefault="003437E6" w:rsidP="00371492">
      <w:pPr>
        <w:jc w:val="both"/>
        <w:rPr>
          <w:u w:val="single"/>
        </w:rPr>
      </w:pPr>
      <w:r w:rsidRPr="008912EC">
        <w:rPr>
          <w:u w:val="single"/>
        </w:rPr>
        <w:t>Section 4D</w:t>
      </w:r>
    </w:p>
    <w:p w14:paraId="59771CA4" w14:textId="329688B0" w:rsidR="003437E6" w:rsidRPr="008912EC" w:rsidRDefault="003437E6" w:rsidP="00371492">
      <w:pPr>
        <w:jc w:val="both"/>
      </w:pPr>
    </w:p>
    <w:p w14:paraId="540690C4" w14:textId="7E36F507" w:rsidR="003437E6" w:rsidRPr="008912EC" w:rsidRDefault="003437E6" w:rsidP="00371492">
      <w:pPr>
        <w:jc w:val="both"/>
      </w:pPr>
      <w:r w:rsidRPr="008912EC">
        <w:t>New section 4D provides for the general requirements of approved provider</w:t>
      </w:r>
      <w:r w:rsidR="009E567B" w:rsidRPr="008912EC">
        <w:t xml:space="preserve">s of residential </w:t>
      </w:r>
      <w:r w:rsidR="00C12BEB" w:rsidRPr="008912EC">
        <w:t>services</w:t>
      </w:r>
      <w:r w:rsidRPr="008912EC">
        <w:t xml:space="preserve"> to allow persons performing Pricing Authority advice activities</w:t>
      </w:r>
      <w:r w:rsidR="00C12BEB" w:rsidRPr="008912EC">
        <w:t xml:space="preserve"> access</w:t>
      </w:r>
      <w:r w:rsidRPr="008912EC">
        <w:t xml:space="preserve"> to their residential care services and to provide reasonable facilities and assistance necessary.</w:t>
      </w:r>
    </w:p>
    <w:p w14:paraId="028297F2" w14:textId="77777777" w:rsidR="003437E6" w:rsidRPr="008912EC" w:rsidRDefault="003437E6" w:rsidP="00371492">
      <w:pPr>
        <w:jc w:val="both"/>
      </w:pPr>
    </w:p>
    <w:p w14:paraId="0BE3D5F6" w14:textId="1F932B6F" w:rsidR="00371492" w:rsidRPr="008912EC" w:rsidRDefault="00371492" w:rsidP="00371492">
      <w:pPr>
        <w:jc w:val="both"/>
      </w:pPr>
      <w:r w:rsidRPr="008912EC">
        <w:t>New subsection 4</w:t>
      </w:r>
      <w:proofErr w:type="gramStart"/>
      <w:r w:rsidRPr="008912EC">
        <w:t>D(</w:t>
      </w:r>
      <w:proofErr w:type="gramEnd"/>
      <w:r w:rsidRPr="008912EC">
        <w:t>1) provides that section</w:t>
      </w:r>
      <w:r w:rsidR="003437E6" w:rsidRPr="008912EC">
        <w:t xml:space="preserve"> 4D</w:t>
      </w:r>
      <w:r w:rsidRPr="008912EC">
        <w:t xml:space="preserve"> applies if two</w:t>
      </w:r>
      <w:r w:rsidR="003437E6" w:rsidRPr="008912EC">
        <w:t xml:space="preserve"> requirements</w:t>
      </w:r>
      <w:r w:rsidRPr="008912EC">
        <w:t xml:space="preserve"> are met. The first is that </w:t>
      </w:r>
      <w:r w:rsidR="003437E6" w:rsidRPr="008912EC">
        <w:t>the Pricing Authority has given</w:t>
      </w:r>
      <w:r w:rsidRPr="008912EC">
        <w:t xml:space="preserve"> the approved provider of the </w:t>
      </w:r>
      <w:r w:rsidR="003437E6" w:rsidRPr="008912EC">
        <w:t xml:space="preserve">residential care </w:t>
      </w:r>
      <w:r w:rsidRPr="008912EC">
        <w:t>service written notice that access to the service</w:t>
      </w:r>
      <w:r w:rsidR="003437E6" w:rsidRPr="008912EC">
        <w:t xml:space="preserve"> is required</w:t>
      </w:r>
      <w:r w:rsidRPr="008912EC">
        <w:t xml:space="preserve">, on a day specified in the notice for the conduct of a Pricing Authority advice activity. The second </w:t>
      </w:r>
      <w:r w:rsidR="003437E6" w:rsidRPr="008912EC">
        <w:t>requirement</w:t>
      </w:r>
      <w:r w:rsidRPr="008912EC">
        <w:t xml:space="preserve"> is that the notice is given at least 14 days before the specified day.</w:t>
      </w:r>
    </w:p>
    <w:p w14:paraId="68723B60" w14:textId="77777777" w:rsidR="001F4A39" w:rsidRPr="008912EC" w:rsidRDefault="001F4A39" w:rsidP="00371492">
      <w:pPr>
        <w:jc w:val="both"/>
      </w:pPr>
    </w:p>
    <w:p w14:paraId="5FC74D53" w14:textId="76BB0B32" w:rsidR="003437E6" w:rsidRPr="008912EC" w:rsidRDefault="003437E6" w:rsidP="00371492">
      <w:pPr>
        <w:jc w:val="both"/>
      </w:pPr>
      <w:r w:rsidRPr="008912EC">
        <w:t xml:space="preserve">This provision will ensure </w:t>
      </w:r>
      <w:r w:rsidR="00E80AF7" w:rsidRPr="008912EC">
        <w:t>that</w:t>
      </w:r>
      <w:r w:rsidRPr="008912EC">
        <w:t xml:space="preserve"> approved provider</w:t>
      </w:r>
      <w:r w:rsidR="00E80AF7" w:rsidRPr="008912EC">
        <w:t>s</w:t>
      </w:r>
      <w:r w:rsidRPr="008912EC">
        <w:t xml:space="preserve"> </w:t>
      </w:r>
      <w:r w:rsidR="00C12BEB" w:rsidRPr="008912EC">
        <w:t xml:space="preserve">have </w:t>
      </w:r>
      <w:r w:rsidRPr="008912EC">
        <w:t>sufficient notice that the</w:t>
      </w:r>
      <w:r w:rsidR="00C12BEB" w:rsidRPr="008912EC">
        <w:t xml:space="preserve"> Pricing Authority</w:t>
      </w:r>
      <w:r w:rsidRPr="008912EC">
        <w:t xml:space="preserve"> intend</w:t>
      </w:r>
      <w:r w:rsidR="00C12BEB" w:rsidRPr="008912EC">
        <w:t>s</w:t>
      </w:r>
      <w:r w:rsidRPr="008912EC">
        <w:t xml:space="preserve"> to access their re</w:t>
      </w:r>
      <w:r w:rsidR="00E80AF7" w:rsidRPr="008912EC">
        <w:t>sidential care services for the purpose of performing any of their pricing and costing advice activities.</w:t>
      </w:r>
    </w:p>
    <w:p w14:paraId="07AF007A" w14:textId="4175750E" w:rsidR="00371492" w:rsidRPr="008912EC" w:rsidRDefault="00371492" w:rsidP="00371492">
      <w:pPr>
        <w:jc w:val="both"/>
      </w:pPr>
    </w:p>
    <w:p w14:paraId="52185F18" w14:textId="3CBF18D4" w:rsidR="00371492" w:rsidRPr="008912EC" w:rsidRDefault="00371492" w:rsidP="00A5737B">
      <w:pPr>
        <w:keepNext/>
        <w:jc w:val="both"/>
        <w:rPr>
          <w:i/>
          <w:iCs/>
        </w:rPr>
      </w:pPr>
      <w:r w:rsidRPr="008912EC">
        <w:rPr>
          <w:i/>
          <w:iCs/>
        </w:rPr>
        <w:lastRenderedPageBreak/>
        <w:t>Access</w:t>
      </w:r>
    </w:p>
    <w:p w14:paraId="15ADC83A" w14:textId="64FBBCC9" w:rsidR="007D5599" w:rsidRPr="008912EC" w:rsidRDefault="00371492" w:rsidP="006D588A">
      <w:pPr>
        <w:jc w:val="both"/>
      </w:pPr>
      <w:r w:rsidRPr="008912EC">
        <w:t>New subsection 4</w:t>
      </w:r>
      <w:proofErr w:type="gramStart"/>
      <w:r w:rsidRPr="008912EC">
        <w:t>D(</w:t>
      </w:r>
      <w:proofErr w:type="gramEnd"/>
      <w:r w:rsidRPr="008912EC">
        <w:t xml:space="preserve">2) outlines </w:t>
      </w:r>
      <w:r w:rsidR="003765A1" w:rsidRPr="008912EC">
        <w:t xml:space="preserve">further details of </w:t>
      </w:r>
      <w:r w:rsidRPr="008912EC">
        <w:t>the timely access that an approved provider must allow to the persons performing the activity on the specified day</w:t>
      </w:r>
      <w:r w:rsidR="00E80AF7" w:rsidRPr="008912EC">
        <w:t>, which involves access to</w:t>
      </w:r>
      <w:r w:rsidRPr="008912EC">
        <w:t>:</w:t>
      </w:r>
    </w:p>
    <w:p w14:paraId="293E66ED" w14:textId="7FC04AC0" w:rsidR="00371492" w:rsidRPr="008912EC" w:rsidRDefault="00371492" w:rsidP="00371492">
      <w:pPr>
        <w:numPr>
          <w:ilvl w:val="0"/>
          <w:numId w:val="5"/>
        </w:numPr>
        <w:ind w:left="709"/>
        <w:jc w:val="both"/>
      </w:pPr>
      <w:r w:rsidRPr="008912EC">
        <w:tab/>
        <w:t xml:space="preserve">all areas of the premises of the service, other than the personal rooms of care recipients who are not participating care recipients for the </w:t>
      </w:r>
      <w:proofErr w:type="gramStart"/>
      <w:r w:rsidRPr="008912EC">
        <w:t>activity;</w:t>
      </w:r>
      <w:proofErr w:type="gramEnd"/>
    </w:p>
    <w:p w14:paraId="59FF5CCD" w14:textId="0F009CF1" w:rsidR="00371492" w:rsidRPr="008912EC" w:rsidRDefault="00371492" w:rsidP="00371492">
      <w:pPr>
        <w:numPr>
          <w:ilvl w:val="0"/>
          <w:numId w:val="5"/>
        </w:numPr>
        <w:ind w:left="709"/>
        <w:jc w:val="both"/>
      </w:pPr>
      <w:r w:rsidRPr="008912EC">
        <w:tab/>
        <w:t xml:space="preserve">service staff in relation to the service who are on the premises of the service on the specified </w:t>
      </w:r>
      <w:proofErr w:type="gramStart"/>
      <w:r w:rsidRPr="008912EC">
        <w:t>day;</w:t>
      </w:r>
      <w:proofErr w:type="gramEnd"/>
    </w:p>
    <w:p w14:paraId="349801FC" w14:textId="25918053" w:rsidR="00371492" w:rsidRPr="008912EC" w:rsidRDefault="00371492" w:rsidP="00371492">
      <w:pPr>
        <w:numPr>
          <w:ilvl w:val="0"/>
          <w:numId w:val="5"/>
        </w:numPr>
        <w:ind w:left="709"/>
        <w:jc w:val="both"/>
      </w:pPr>
      <w:r w:rsidRPr="008912EC">
        <w:tab/>
        <w:t xml:space="preserve">the care recipients who are provided with residential care through the service and are participating care recipients for the </w:t>
      </w:r>
      <w:proofErr w:type="gramStart"/>
      <w:r w:rsidRPr="008912EC">
        <w:t>activity;</w:t>
      </w:r>
      <w:proofErr w:type="gramEnd"/>
    </w:p>
    <w:p w14:paraId="2A2F3925" w14:textId="1DB11590" w:rsidR="007D5599" w:rsidRPr="008912EC" w:rsidRDefault="00371492" w:rsidP="00371492">
      <w:pPr>
        <w:numPr>
          <w:ilvl w:val="0"/>
          <w:numId w:val="5"/>
        </w:numPr>
        <w:ind w:left="709"/>
        <w:jc w:val="both"/>
      </w:pPr>
      <w:r w:rsidRPr="008912EC">
        <w:tab/>
        <w:t>records kept by the approved provider.</w:t>
      </w:r>
    </w:p>
    <w:p w14:paraId="2D94EDA9" w14:textId="456E36A6" w:rsidR="00371492" w:rsidRPr="008912EC" w:rsidRDefault="00371492" w:rsidP="00371492">
      <w:pPr>
        <w:jc w:val="both"/>
      </w:pPr>
    </w:p>
    <w:p w14:paraId="3033585F" w14:textId="2886533F" w:rsidR="00371492" w:rsidRPr="008912EC" w:rsidRDefault="00371492" w:rsidP="00371492">
      <w:pPr>
        <w:jc w:val="both"/>
      </w:pPr>
      <w:r w:rsidRPr="008912EC">
        <w:t>Participating care recipient is defined in Section 4 as amended (see item 2</w:t>
      </w:r>
      <w:r w:rsidR="00E80AF7" w:rsidRPr="008912EC">
        <w:t xml:space="preserve"> above</w:t>
      </w:r>
      <w:r w:rsidRPr="008912EC">
        <w:t>).</w:t>
      </w:r>
    </w:p>
    <w:p w14:paraId="17974919" w14:textId="01F5D2C7" w:rsidR="00371492" w:rsidRPr="008912EC" w:rsidRDefault="00371492" w:rsidP="00371492">
      <w:pPr>
        <w:jc w:val="both"/>
      </w:pPr>
    </w:p>
    <w:p w14:paraId="4EA3D444" w14:textId="580F82ED" w:rsidR="00BD7670" w:rsidRPr="008912EC" w:rsidRDefault="003805DA" w:rsidP="00371492">
      <w:pPr>
        <w:jc w:val="both"/>
      </w:pPr>
      <w:r w:rsidRPr="008912EC">
        <w:t>The inclusion of p</w:t>
      </w:r>
      <w:r w:rsidR="00E80AF7" w:rsidRPr="008912EC">
        <w:t xml:space="preserve">aragraph 4D(2)(a) </w:t>
      </w:r>
      <w:r w:rsidRPr="008912EC">
        <w:t xml:space="preserve">makes clear that while approved providers must allow persons performing a Pricing Authority advice activity access to all areas of the service, this does not include the personal rooms of care recipients who have not provided their consent to participate in the activity. </w:t>
      </w:r>
    </w:p>
    <w:p w14:paraId="359D2D02" w14:textId="69D478E5" w:rsidR="003805DA" w:rsidRPr="008912EC" w:rsidRDefault="003805DA" w:rsidP="00371492">
      <w:pPr>
        <w:jc w:val="both"/>
      </w:pPr>
    </w:p>
    <w:p w14:paraId="172EDADC" w14:textId="661E977C" w:rsidR="003805DA" w:rsidRPr="008912EC" w:rsidRDefault="009E0686" w:rsidP="00371492">
      <w:pPr>
        <w:jc w:val="both"/>
      </w:pPr>
      <w:r w:rsidRPr="008912EC">
        <w:t>P</w:t>
      </w:r>
      <w:r w:rsidR="003805DA" w:rsidRPr="008912EC">
        <w:t>aragraph 4D(2)(c) makes clear that approved provides must allow persons performing the</w:t>
      </w:r>
      <w:r w:rsidR="00CA0F72" w:rsidRPr="008912EC">
        <w:t xml:space="preserve"> relevant</w:t>
      </w:r>
      <w:r w:rsidR="003805DA" w:rsidRPr="008912EC">
        <w:t xml:space="preserve"> activity access to care recipients who are participating care recipients for the activity. Paragraph 4D(2)(b) provides for similar access to service staff</w:t>
      </w:r>
      <w:r w:rsidR="00CA0F72" w:rsidRPr="008912EC">
        <w:t xml:space="preserve">, which has the meaning given by section 4 of the </w:t>
      </w:r>
      <w:proofErr w:type="gramStart"/>
      <w:r w:rsidR="00CA0F72" w:rsidRPr="008912EC">
        <w:rPr>
          <w:i/>
          <w:iCs/>
        </w:rPr>
        <w:t>Quality of Care</w:t>
      </w:r>
      <w:proofErr w:type="gramEnd"/>
      <w:r w:rsidR="00CA0F72" w:rsidRPr="008912EC">
        <w:rPr>
          <w:i/>
          <w:iCs/>
        </w:rPr>
        <w:t xml:space="preserve"> Principles 2014</w:t>
      </w:r>
      <w:r w:rsidR="00CA0F72" w:rsidRPr="008912EC">
        <w:t xml:space="preserve"> (see section 4 of the Accountability Principles).</w:t>
      </w:r>
      <w:r w:rsidR="003805DA" w:rsidRPr="008912EC">
        <w:t xml:space="preserve"> This will ensure that the Pricing Authority can, for example, conduct a costing study </w:t>
      </w:r>
      <w:r w:rsidR="00CA0F72" w:rsidRPr="008912EC">
        <w:t xml:space="preserve">onsite </w:t>
      </w:r>
      <w:r w:rsidR="003805DA" w:rsidRPr="008912EC">
        <w:t xml:space="preserve">at </w:t>
      </w:r>
      <w:r w:rsidR="00CA0F72" w:rsidRPr="008912EC">
        <w:t xml:space="preserve">a </w:t>
      </w:r>
      <w:r w:rsidR="003805DA" w:rsidRPr="008912EC">
        <w:t xml:space="preserve">residential care service </w:t>
      </w:r>
      <w:r w:rsidR="00CA0F72" w:rsidRPr="008912EC">
        <w:t xml:space="preserve">by monitoring and recording data on care time </w:t>
      </w:r>
      <w:r w:rsidR="00BF057D" w:rsidRPr="008912EC">
        <w:t xml:space="preserve">spent </w:t>
      </w:r>
      <w:r w:rsidR="00CA0F72" w:rsidRPr="008912EC">
        <w:t>between staff and</w:t>
      </w:r>
      <w:r w:rsidR="00C12BEB" w:rsidRPr="008912EC">
        <w:t xml:space="preserve"> participating</w:t>
      </w:r>
      <w:r w:rsidR="00CA0F72" w:rsidRPr="008912EC">
        <w:t xml:space="preserve"> care recipients. This will enable the Pricing Authority to prepare and provide advice regarding aged care pricing and costing in accordance with paragraph 131A(1)(a) of the NHR Act.</w:t>
      </w:r>
    </w:p>
    <w:p w14:paraId="6EA283F3" w14:textId="6BACFBC8" w:rsidR="00CA0F72" w:rsidRPr="008912EC" w:rsidRDefault="00CA0F72" w:rsidP="00371492">
      <w:pPr>
        <w:jc w:val="both"/>
      </w:pPr>
    </w:p>
    <w:p w14:paraId="5040B442" w14:textId="4D765DC1" w:rsidR="00371492" w:rsidRPr="008912EC" w:rsidRDefault="00CA0F72" w:rsidP="00371492">
      <w:pPr>
        <w:jc w:val="both"/>
      </w:pPr>
      <w:r w:rsidRPr="008912EC">
        <w:t>Paragraph 4D(2)(d) provides that approved provide</w:t>
      </w:r>
      <w:r w:rsidR="00446E8F" w:rsidRPr="008912EC">
        <w:t>r</w:t>
      </w:r>
      <w:r w:rsidRPr="008912EC">
        <w:t xml:space="preserve">s must also allow access to records kept by the provider. The </w:t>
      </w:r>
      <w:r w:rsidR="00371492" w:rsidRPr="008912EC">
        <w:t>note to</w:t>
      </w:r>
      <w:r w:rsidRPr="008912EC">
        <w:t xml:space="preserve"> this paragraph provides a list of</w:t>
      </w:r>
      <w:r w:rsidR="00371492" w:rsidRPr="008912EC">
        <w:t xml:space="preserve"> examples of records kept by the approved provider that may be required for the persons to perform the activity</w:t>
      </w:r>
      <w:r w:rsidRPr="008912EC">
        <w:t>, which</w:t>
      </w:r>
      <w:r w:rsidR="00371492" w:rsidRPr="008912EC">
        <w:t xml:space="preserve"> include the following:</w:t>
      </w:r>
    </w:p>
    <w:p w14:paraId="5D50221D" w14:textId="0C019CF9" w:rsidR="00371492" w:rsidRPr="008912EC" w:rsidRDefault="00371492" w:rsidP="00371492">
      <w:pPr>
        <w:numPr>
          <w:ilvl w:val="0"/>
          <w:numId w:val="5"/>
        </w:numPr>
        <w:ind w:left="709"/>
        <w:jc w:val="both"/>
      </w:pPr>
      <w:r w:rsidRPr="008912EC">
        <w:t xml:space="preserve">records relating to the care needs of care recipients who are provided with residential care through the </w:t>
      </w:r>
      <w:proofErr w:type="gramStart"/>
      <w:r w:rsidRPr="008912EC">
        <w:t>service;</w:t>
      </w:r>
      <w:proofErr w:type="gramEnd"/>
    </w:p>
    <w:p w14:paraId="2D3D19AC" w14:textId="5069D9F0" w:rsidR="00371492" w:rsidRPr="008912EC" w:rsidRDefault="00371492" w:rsidP="00371492">
      <w:pPr>
        <w:numPr>
          <w:ilvl w:val="0"/>
          <w:numId w:val="5"/>
        </w:numPr>
        <w:ind w:left="709"/>
        <w:jc w:val="both"/>
      </w:pPr>
      <w:r w:rsidRPr="008912EC">
        <w:t>records relating to the costs of providing residential care.</w:t>
      </w:r>
    </w:p>
    <w:p w14:paraId="5BFB756F" w14:textId="7246A5A0" w:rsidR="00371492" w:rsidRPr="008912EC" w:rsidRDefault="00371492" w:rsidP="00371492">
      <w:pPr>
        <w:jc w:val="both"/>
      </w:pPr>
    </w:p>
    <w:p w14:paraId="3573E19E" w14:textId="3250C5E1" w:rsidR="00FD35E2" w:rsidRPr="008912EC" w:rsidRDefault="00C12BEB" w:rsidP="00371492">
      <w:pPr>
        <w:jc w:val="both"/>
      </w:pPr>
      <w:r w:rsidRPr="008912EC">
        <w:t>These examples are not intended to be an exhaustive list</w:t>
      </w:r>
      <w:r w:rsidR="0087466E" w:rsidRPr="008912EC">
        <w:t xml:space="preserve"> of the types of records </w:t>
      </w:r>
      <w:r w:rsidR="00A5737B" w:rsidRPr="008912EC">
        <w:t xml:space="preserve">to which </w:t>
      </w:r>
      <w:r w:rsidR="0087466E" w:rsidRPr="008912EC">
        <w:t xml:space="preserve">the Pricing Authority may require for the purpose of their functions. </w:t>
      </w:r>
      <w:r w:rsidR="00BF057D" w:rsidRPr="008912EC">
        <w:t xml:space="preserve">Access to relevant records kept by the approved provider is necessary to enable the Pricing Authority to perform its functions. Using the example of a costing study, access to relevant records, such as records relating to the cost of providing residential care, will ensure the Pricing Authority has all relevant information to inform the costing study and </w:t>
      </w:r>
      <w:r w:rsidR="00A5737B" w:rsidRPr="008912EC">
        <w:t xml:space="preserve">to </w:t>
      </w:r>
      <w:r w:rsidR="00BF057D" w:rsidRPr="008912EC">
        <w:t xml:space="preserve">provide its advice </w:t>
      </w:r>
      <w:r w:rsidR="00FD35E2" w:rsidRPr="008912EC">
        <w:t>in relation to aged care pricing and costing.</w:t>
      </w:r>
    </w:p>
    <w:p w14:paraId="4707CF22" w14:textId="77777777" w:rsidR="00FD35E2" w:rsidRPr="008912EC" w:rsidRDefault="00FD35E2" w:rsidP="00371492">
      <w:pPr>
        <w:jc w:val="both"/>
      </w:pPr>
    </w:p>
    <w:p w14:paraId="1B4CD095" w14:textId="25F5D8A2" w:rsidR="00BD7670" w:rsidRPr="008912EC" w:rsidRDefault="00BD7670" w:rsidP="00371492">
      <w:pPr>
        <w:jc w:val="both"/>
      </w:pPr>
      <w:r w:rsidRPr="008912EC">
        <w:t>All records accessed about care recipients and approved providers by persons performing Pricing Authority advice activities will become protected Pricing Authority information and be subject to the</w:t>
      </w:r>
      <w:r w:rsidR="00446E8F" w:rsidRPr="008912EC">
        <w:t xml:space="preserve"> protections</w:t>
      </w:r>
      <w:r w:rsidRPr="008912EC">
        <w:t xml:space="preserve"> in Part 4.14 of the NHR Act.</w:t>
      </w:r>
      <w:r w:rsidR="00446E8F" w:rsidRPr="008912EC">
        <w:t xml:space="preserve"> Any personal information obtained by the Pricing Authority will also need to be collected, </w:t>
      </w:r>
      <w:proofErr w:type="gramStart"/>
      <w:r w:rsidR="00446E8F" w:rsidRPr="008912EC">
        <w:t>used</w:t>
      </w:r>
      <w:proofErr w:type="gramEnd"/>
      <w:r w:rsidR="00446E8F" w:rsidRPr="008912EC">
        <w:t xml:space="preserve"> and disclosed in accordance with the </w:t>
      </w:r>
      <w:r w:rsidR="00446E8F" w:rsidRPr="008912EC">
        <w:rPr>
          <w:i/>
          <w:iCs/>
        </w:rPr>
        <w:t>Privacy Act 1988</w:t>
      </w:r>
      <w:r w:rsidR="00446E8F" w:rsidRPr="008912EC">
        <w:t>.</w:t>
      </w:r>
    </w:p>
    <w:p w14:paraId="1253F82C" w14:textId="73C15C36" w:rsidR="00371492" w:rsidRPr="008912EC" w:rsidRDefault="00371492" w:rsidP="00371492">
      <w:pPr>
        <w:jc w:val="both"/>
        <w:rPr>
          <w:i/>
          <w:iCs/>
        </w:rPr>
      </w:pPr>
      <w:r w:rsidRPr="008912EC">
        <w:rPr>
          <w:i/>
          <w:iCs/>
        </w:rPr>
        <w:lastRenderedPageBreak/>
        <w:t>Facilities and assistance—general</w:t>
      </w:r>
    </w:p>
    <w:p w14:paraId="3DB416E5" w14:textId="4C837196" w:rsidR="0032089F" w:rsidRPr="008912EC" w:rsidRDefault="0032089F" w:rsidP="0032089F">
      <w:pPr>
        <w:jc w:val="both"/>
      </w:pPr>
      <w:r w:rsidRPr="008912EC">
        <w:t>New subsection 4</w:t>
      </w:r>
      <w:proofErr w:type="gramStart"/>
      <w:r w:rsidRPr="008912EC">
        <w:t>D(</w:t>
      </w:r>
      <w:proofErr w:type="gramEnd"/>
      <w:r w:rsidRPr="008912EC">
        <w:t xml:space="preserve">3) outlines the reasonable facilities and assistance necessary that an approved provider must </w:t>
      </w:r>
      <w:r w:rsidR="007A3C1F" w:rsidRPr="008912EC">
        <w:t>provide</w:t>
      </w:r>
      <w:r w:rsidRPr="008912EC">
        <w:t xml:space="preserve"> to the persons performing the activity on the specified day,</w:t>
      </w:r>
      <w:r w:rsidR="007A3C1F" w:rsidRPr="008912EC">
        <w:t xml:space="preserve"> which include but are not limited </w:t>
      </w:r>
      <w:r w:rsidRPr="008912EC">
        <w:t>to any of the following:</w:t>
      </w:r>
    </w:p>
    <w:p w14:paraId="3B679396" w14:textId="7CB357BE" w:rsidR="00371492" w:rsidRPr="008912EC" w:rsidRDefault="00371492" w:rsidP="0032089F">
      <w:pPr>
        <w:numPr>
          <w:ilvl w:val="0"/>
          <w:numId w:val="5"/>
        </w:numPr>
        <w:ind w:left="709"/>
        <w:jc w:val="both"/>
      </w:pPr>
      <w:r w:rsidRPr="008912EC">
        <w:tab/>
        <w:t xml:space="preserve">site orientation, including guidance on how to safely navigate the premises of the </w:t>
      </w:r>
      <w:proofErr w:type="gramStart"/>
      <w:r w:rsidRPr="008912EC">
        <w:t>service;</w:t>
      </w:r>
      <w:proofErr w:type="gramEnd"/>
    </w:p>
    <w:p w14:paraId="0F95C021" w14:textId="073A04CB" w:rsidR="00371492" w:rsidRPr="008912EC" w:rsidRDefault="00371492" w:rsidP="0032089F">
      <w:pPr>
        <w:numPr>
          <w:ilvl w:val="0"/>
          <w:numId w:val="5"/>
        </w:numPr>
        <w:ind w:left="709"/>
        <w:jc w:val="both"/>
      </w:pPr>
      <w:r w:rsidRPr="008912EC">
        <w:tab/>
        <w:t xml:space="preserve">dissemination of information to service staff in relation to the service and care recipients and their families or </w:t>
      </w:r>
      <w:proofErr w:type="gramStart"/>
      <w:r w:rsidRPr="008912EC">
        <w:t>representatives;</w:t>
      </w:r>
      <w:proofErr w:type="gramEnd"/>
    </w:p>
    <w:p w14:paraId="7EF87545" w14:textId="57D6A175" w:rsidR="00371492" w:rsidRPr="008912EC" w:rsidRDefault="00371492" w:rsidP="0032089F">
      <w:pPr>
        <w:numPr>
          <w:ilvl w:val="0"/>
          <w:numId w:val="5"/>
        </w:numPr>
        <w:ind w:left="709"/>
        <w:jc w:val="both"/>
      </w:pPr>
      <w:r w:rsidRPr="008912EC">
        <w:tab/>
        <w:t xml:space="preserve">access to facilities at the premises of the service for working onsite at the </w:t>
      </w:r>
      <w:proofErr w:type="gramStart"/>
      <w:r w:rsidRPr="008912EC">
        <w:t>premises;</w:t>
      </w:r>
      <w:proofErr w:type="gramEnd"/>
    </w:p>
    <w:p w14:paraId="1CB7DC9E" w14:textId="6A637605" w:rsidR="00371492" w:rsidRPr="008912EC" w:rsidRDefault="00371492" w:rsidP="0032089F">
      <w:pPr>
        <w:numPr>
          <w:ilvl w:val="0"/>
          <w:numId w:val="5"/>
        </w:numPr>
        <w:ind w:left="709"/>
        <w:jc w:val="both"/>
      </w:pPr>
      <w:r w:rsidRPr="008912EC">
        <w:tab/>
        <w:t>instructions necessary for accessing records of the service.</w:t>
      </w:r>
    </w:p>
    <w:p w14:paraId="52B93CEA" w14:textId="5350F9E4" w:rsidR="00FD35E2" w:rsidRPr="008912EC" w:rsidRDefault="00FD35E2" w:rsidP="00FD35E2">
      <w:pPr>
        <w:jc w:val="both"/>
      </w:pPr>
    </w:p>
    <w:p w14:paraId="648F7F49" w14:textId="57E3EB59" w:rsidR="00FD35E2" w:rsidRPr="008912EC" w:rsidRDefault="00FD35E2" w:rsidP="009B5219">
      <w:pPr>
        <w:jc w:val="both"/>
      </w:pPr>
      <w:r w:rsidRPr="008912EC">
        <w:t>This provision assists in clarifying what facilities and assistance an approved provider may need to provide to persons performing a Pricing Authority advice activity.</w:t>
      </w:r>
      <w:r w:rsidR="004D6F57" w:rsidRPr="008912EC">
        <w:t xml:space="preserve"> Assis</w:t>
      </w:r>
      <w:r w:rsidR="001A5B67" w:rsidRPr="008912EC">
        <w:t xml:space="preserve">tance with things such as site orientation or providing information to staff, care recipients and their families </w:t>
      </w:r>
      <w:r w:rsidR="00677B08" w:rsidRPr="008912EC">
        <w:t xml:space="preserve">where </w:t>
      </w:r>
      <w:r w:rsidR="00333B42" w:rsidRPr="008912EC">
        <w:t>reasonable and necessary having regard</w:t>
      </w:r>
      <w:r w:rsidR="00DE68BB" w:rsidRPr="008912EC">
        <w:t xml:space="preserve"> to the </w:t>
      </w:r>
      <w:r w:rsidR="007A64C9" w:rsidRPr="008912EC">
        <w:t>activity</w:t>
      </w:r>
      <w:r w:rsidR="00DE68BB" w:rsidRPr="008912EC">
        <w:t xml:space="preserve"> </w:t>
      </w:r>
      <w:r w:rsidR="001A5B67" w:rsidRPr="008912EC">
        <w:t>will ensure the Pricing Authority can effectively and efficiently perform Pricing Authority activities at residential care services as required.</w:t>
      </w:r>
      <w:r w:rsidRPr="008912EC">
        <w:t xml:space="preserve"> </w:t>
      </w:r>
    </w:p>
    <w:p w14:paraId="2527DB45" w14:textId="5C23DCDD" w:rsidR="00BD08C3" w:rsidRPr="008912EC" w:rsidRDefault="00BD08C3" w:rsidP="00BD08C3">
      <w:pPr>
        <w:jc w:val="both"/>
        <w:rPr>
          <w:rStyle w:val="CharDivText"/>
        </w:rPr>
      </w:pPr>
    </w:p>
    <w:p w14:paraId="66DCEB3E" w14:textId="170F3E57" w:rsidR="007A3C1F" w:rsidRPr="008912EC" w:rsidRDefault="007A3C1F" w:rsidP="00BD08C3">
      <w:pPr>
        <w:jc w:val="both"/>
        <w:rPr>
          <w:rStyle w:val="CharDivText"/>
          <w:u w:val="single"/>
        </w:rPr>
      </w:pPr>
      <w:r w:rsidRPr="008912EC">
        <w:rPr>
          <w:rStyle w:val="CharDivText"/>
          <w:u w:val="single"/>
        </w:rPr>
        <w:t>Section 4E</w:t>
      </w:r>
    </w:p>
    <w:p w14:paraId="3ED74601" w14:textId="77777777" w:rsidR="007A3C1F" w:rsidRPr="008912EC" w:rsidRDefault="007A3C1F" w:rsidP="00BD08C3">
      <w:pPr>
        <w:jc w:val="both"/>
        <w:rPr>
          <w:rStyle w:val="CharDivText"/>
        </w:rPr>
      </w:pPr>
    </w:p>
    <w:p w14:paraId="3DBAA622" w14:textId="1AEA8253" w:rsidR="00B60147" w:rsidRPr="008912EC" w:rsidRDefault="00B60147" w:rsidP="00BD08C3">
      <w:pPr>
        <w:jc w:val="both"/>
        <w:rPr>
          <w:rStyle w:val="CharDivText"/>
        </w:rPr>
      </w:pPr>
      <w:r w:rsidRPr="008912EC">
        <w:rPr>
          <w:rStyle w:val="CharDivText"/>
        </w:rPr>
        <w:t>New section 4E</w:t>
      </w:r>
      <w:r w:rsidRPr="008912EC">
        <w:t xml:space="preserve"> </w:t>
      </w:r>
      <w:r w:rsidR="00FC0023" w:rsidRPr="008912EC">
        <w:t xml:space="preserve">deals with </w:t>
      </w:r>
      <w:proofErr w:type="gramStart"/>
      <w:r w:rsidR="00FC0023" w:rsidRPr="008912EC">
        <w:rPr>
          <w:rStyle w:val="CharDivText"/>
        </w:rPr>
        <w:t>p</w:t>
      </w:r>
      <w:r w:rsidRPr="008912EC">
        <w:rPr>
          <w:rStyle w:val="CharDivText"/>
        </w:rPr>
        <w:t>roviding assistance</w:t>
      </w:r>
      <w:proofErr w:type="gramEnd"/>
      <w:r w:rsidR="00FC0023" w:rsidRPr="008912EC">
        <w:rPr>
          <w:rStyle w:val="CharDivText"/>
        </w:rPr>
        <w:t xml:space="preserve"> with respect to </w:t>
      </w:r>
      <w:r w:rsidR="001A5B67" w:rsidRPr="008912EC">
        <w:rPr>
          <w:rStyle w:val="CharDivText"/>
        </w:rPr>
        <w:t xml:space="preserve">the provision of </w:t>
      </w:r>
      <w:r w:rsidRPr="008912EC">
        <w:rPr>
          <w:rStyle w:val="CharDivText"/>
        </w:rPr>
        <w:t>data</w:t>
      </w:r>
      <w:r w:rsidR="001A5B67" w:rsidRPr="008912EC">
        <w:rPr>
          <w:rStyle w:val="CharDivText"/>
        </w:rPr>
        <w:t xml:space="preserve"> to the Pricing Authority</w:t>
      </w:r>
      <w:r w:rsidR="00FC0023" w:rsidRPr="008912EC">
        <w:rPr>
          <w:rStyle w:val="CharDivText"/>
        </w:rPr>
        <w:t>.</w:t>
      </w:r>
    </w:p>
    <w:p w14:paraId="3196748F" w14:textId="74025395" w:rsidR="007244BA" w:rsidRPr="008912EC" w:rsidRDefault="007244BA" w:rsidP="00BD08C3">
      <w:pPr>
        <w:jc w:val="both"/>
        <w:rPr>
          <w:rStyle w:val="CharDivText"/>
        </w:rPr>
      </w:pPr>
    </w:p>
    <w:p w14:paraId="47D4FBC4" w14:textId="345AD6CB" w:rsidR="00FC0023" w:rsidRPr="008912EC" w:rsidRDefault="00FC0023" w:rsidP="00B60147">
      <w:pPr>
        <w:jc w:val="both"/>
      </w:pPr>
      <w:r w:rsidRPr="008912EC">
        <w:t>New subsection 4</w:t>
      </w:r>
      <w:proofErr w:type="gramStart"/>
      <w:r w:rsidRPr="008912EC">
        <w:t>E(</w:t>
      </w:r>
      <w:proofErr w:type="gramEnd"/>
      <w:r w:rsidRPr="008912EC">
        <w:t xml:space="preserve">1) provides that the section applies if three </w:t>
      </w:r>
      <w:r w:rsidR="004C7204" w:rsidRPr="008912EC">
        <w:t xml:space="preserve">requirements </w:t>
      </w:r>
      <w:r w:rsidRPr="008912EC">
        <w:t xml:space="preserve">are met. The first </w:t>
      </w:r>
      <w:r w:rsidR="004C7204" w:rsidRPr="008912EC">
        <w:t>requirement</w:t>
      </w:r>
      <w:r w:rsidR="00601608" w:rsidRPr="008912EC">
        <w:t xml:space="preserve"> </w:t>
      </w:r>
      <w:r w:rsidR="009B5219" w:rsidRPr="008912EC">
        <w:t xml:space="preserve">is that </w:t>
      </w:r>
      <w:r w:rsidRPr="008912EC">
        <w:t>the</w:t>
      </w:r>
      <w:r w:rsidR="004C7204" w:rsidRPr="008912EC">
        <w:t xml:space="preserve"> Pricing Authority</w:t>
      </w:r>
      <w:r w:rsidRPr="008912EC">
        <w:t xml:space="preserve"> gives the approved provider of the</w:t>
      </w:r>
      <w:r w:rsidR="004C7204" w:rsidRPr="008912EC">
        <w:t xml:space="preserve"> residential care</w:t>
      </w:r>
      <w:r w:rsidRPr="008912EC">
        <w:t xml:space="preserve"> service written notice</w:t>
      </w:r>
      <w:r w:rsidR="004C7204" w:rsidRPr="008912EC">
        <w:t xml:space="preserve"> of</w:t>
      </w:r>
      <w:r w:rsidRPr="008912EC">
        <w:t xml:space="preserve"> </w:t>
      </w:r>
      <w:r w:rsidR="004C7204" w:rsidRPr="008912EC">
        <w:t>data that is necessary</w:t>
      </w:r>
      <w:r w:rsidRPr="008912EC">
        <w:t xml:space="preserve"> for the conduct of a Pricing Authority advice activity. The second </w:t>
      </w:r>
      <w:r w:rsidR="004C7204" w:rsidRPr="008912EC">
        <w:t>requirement</w:t>
      </w:r>
      <w:r w:rsidRPr="008912EC">
        <w:t xml:space="preserve"> is that the notice specifies a day for providing the data. The third </w:t>
      </w:r>
      <w:r w:rsidR="004C7204" w:rsidRPr="008912EC">
        <w:t>requirement</w:t>
      </w:r>
      <w:r w:rsidRPr="008912EC">
        <w:t xml:space="preserve"> is that the notice is given at least 14</w:t>
      </w:r>
      <w:r w:rsidR="009B5219" w:rsidRPr="008912EC">
        <w:t> </w:t>
      </w:r>
      <w:r w:rsidRPr="008912EC">
        <w:t>days before the specified day.</w:t>
      </w:r>
    </w:p>
    <w:p w14:paraId="5015641C" w14:textId="5FAE58BE" w:rsidR="004C7204" w:rsidRPr="008912EC" w:rsidRDefault="004C7204" w:rsidP="00B60147">
      <w:pPr>
        <w:jc w:val="both"/>
      </w:pPr>
    </w:p>
    <w:p w14:paraId="3E8F514F" w14:textId="7D1D9061" w:rsidR="004C7204" w:rsidRPr="008912EC" w:rsidRDefault="004C7204" w:rsidP="00B60147">
      <w:pPr>
        <w:jc w:val="both"/>
      </w:pPr>
      <w:r w:rsidRPr="008912EC">
        <w:t xml:space="preserve">This provision will ensure approved providers </w:t>
      </w:r>
      <w:r w:rsidR="00A86B5E" w:rsidRPr="008912EC">
        <w:t xml:space="preserve">have </w:t>
      </w:r>
      <w:r w:rsidRPr="008912EC">
        <w:t xml:space="preserve">sufficient notice where certain data is required </w:t>
      </w:r>
      <w:r w:rsidR="00A86B5E" w:rsidRPr="008912EC">
        <w:t xml:space="preserve">for </w:t>
      </w:r>
      <w:r w:rsidRPr="008912EC">
        <w:t xml:space="preserve">the purpose of the Pricing Authority performing any of their pricing and costing advice activities. </w:t>
      </w:r>
    </w:p>
    <w:p w14:paraId="7E16528A" w14:textId="39697E41" w:rsidR="00FC0023" w:rsidRPr="008912EC" w:rsidRDefault="00FC0023" w:rsidP="00B60147">
      <w:pPr>
        <w:jc w:val="both"/>
      </w:pPr>
    </w:p>
    <w:p w14:paraId="34D0C1DB" w14:textId="5EEBEC5E" w:rsidR="00FC0023" w:rsidRPr="008912EC" w:rsidRDefault="00FC0023" w:rsidP="00FC0023">
      <w:pPr>
        <w:jc w:val="both"/>
      </w:pPr>
      <w:r w:rsidRPr="008912EC">
        <w:t>New subsection 4</w:t>
      </w:r>
      <w:proofErr w:type="gramStart"/>
      <w:r w:rsidRPr="008912EC">
        <w:t>E(</w:t>
      </w:r>
      <w:proofErr w:type="gramEnd"/>
      <w:r w:rsidRPr="008912EC">
        <w:t>2) provides that the notice may specify requirements for the form or quality of the data or the manner for providing the data.</w:t>
      </w:r>
      <w:r w:rsidR="004C7204" w:rsidRPr="008912EC">
        <w:t xml:space="preserve"> This is intended to allow for the Pricing Authority to specify certain requirements or standards for which data must be provided</w:t>
      </w:r>
      <w:r w:rsidR="009B5219" w:rsidRPr="008912EC">
        <w:t>. This</w:t>
      </w:r>
      <w:r w:rsidR="004C7204" w:rsidRPr="008912EC">
        <w:t xml:space="preserve"> will ensure data is</w:t>
      </w:r>
      <w:r w:rsidR="00EF381F" w:rsidRPr="008912EC">
        <w:t xml:space="preserve">, as much as possible, </w:t>
      </w:r>
      <w:proofErr w:type="gramStart"/>
      <w:r w:rsidR="00EF381F" w:rsidRPr="008912EC">
        <w:t>complete</w:t>
      </w:r>
      <w:proofErr w:type="gramEnd"/>
      <w:r w:rsidR="00EF381F" w:rsidRPr="008912EC">
        <w:t xml:space="preserve"> and</w:t>
      </w:r>
      <w:r w:rsidR="004C7204" w:rsidRPr="008912EC">
        <w:t xml:space="preserve"> received from approved providers i</w:t>
      </w:r>
      <w:r w:rsidR="00EF381F" w:rsidRPr="008912EC">
        <w:t>n a consistent format. This will enable the effective and efficient performance of the Pricing Authority’s functions, in particular the collection and review of data.</w:t>
      </w:r>
    </w:p>
    <w:p w14:paraId="699A8A4D" w14:textId="77777777" w:rsidR="00FC0023" w:rsidRPr="008912EC" w:rsidRDefault="00FC0023" w:rsidP="00FC0023">
      <w:pPr>
        <w:jc w:val="both"/>
      </w:pPr>
    </w:p>
    <w:p w14:paraId="7DE0CBFF" w14:textId="78239CBF" w:rsidR="00FC0023" w:rsidRPr="008912EC" w:rsidRDefault="00FC0023" w:rsidP="00FC0023">
      <w:pPr>
        <w:jc w:val="both"/>
      </w:pPr>
      <w:r w:rsidRPr="008912EC">
        <w:t>New subsection 4</w:t>
      </w:r>
      <w:proofErr w:type="gramStart"/>
      <w:r w:rsidRPr="008912EC">
        <w:t>E(</w:t>
      </w:r>
      <w:proofErr w:type="gramEnd"/>
      <w:r w:rsidRPr="008912EC">
        <w:t>3)</w:t>
      </w:r>
      <w:r w:rsidRPr="008912EC">
        <w:tab/>
        <w:t>provides that the approved provider must provide the data in accordance with the notice.</w:t>
      </w:r>
    </w:p>
    <w:p w14:paraId="63972A5E" w14:textId="130565AE" w:rsidR="009228EA" w:rsidRPr="008912EC" w:rsidRDefault="009228EA" w:rsidP="00B60147">
      <w:pPr>
        <w:jc w:val="both"/>
      </w:pPr>
    </w:p>
    <w:p w14:paraId="511A8C37" w14:textId="6C77FB37" w:rsidR="009228EA" w:rsidRPr="008912EC" w:rsidRDefault="009228EA" w:rsidP="00B60147">
      <w:pPr>
        <w:jc w:val="both"/>
      </w:pPr>
      <w:r w:rsidRPr="008912EC">
        <w:t>This is reasonable and necessary as for the Pricing Authority to perform effective cost data analysis that the same types of data must be submitted by approved providers in the same form or quality, as appropriate, to ensure comparability.</w:t>
      </w:r>
    </w:p>
    <w:p w14:paraId="51ED66BD" w14:textId="1B8B40F2" w:rsidR="00BD595C" w:rsidRPr="008912EC" w:rsidRDefault="00BD595C" w:rsidP="00B60147">
      <w:pPr>
        <w:jc w:val="both"/>
      </w:pPr>
    </w:p>
    <w:p w14:paraId="4847470D" w14:textId="079F138E" w:rsidR="00BD595C" w:rsidRPr="008912EC" w:rsidRDefault="00BD595C" w:rsidP="00B60147">
      <w:pPr>
        <w:jc w:val="both"/>
        <w:rPr>
          <w:u w:val="single"/>
        </w:rPr>
      </w:pPr>
      <w:r w:rsidRPr="008912EC">
        <w:rPr>
          <w:u w:val="single"/>
        </w:rPr>
        <w:lastRenderedPageBreak/>
        <w:t xml:space="preserve">Section </w:t>
      </w:r>
      <w:r w:rsidR="00000BBD" w:rsidRPr="008912EC">
        <w:rPr>
          <w:u w:val="single"/>
        </w:rPr>
        <w:t>4</w:t>
      </w:r>
      <w:r w:rsidRPr="008912EC">
        <w:rPr>
          <w:u w:val="single"/>
        </w:rPr>
        <w:t>F</w:t>
      </w:r>
    </w:p>
    <w:p w14:paraId="51A6CC1A" w14:textId="77777777" w:rsidR="009228EA" w:rsidRPr="008912EC" w:rsidRDefault="009228EA" w:rsidP="00B60147">
      <w:pPr>
        <w:jc w:val="both"/>
      </w:pPr>
    </w:p>
    <w:p w14:paraId="29C6E88D" w14:textId="3DE2656B" w:rsidR="00FC0023" w:rsidRPr="008912EC" w:rsidRDefault="00FC0023" w:rsidP="00B60147">
      <w:pPr>
        <w:jc w:val="both"/>
      </w:pPr>
      <w:r w:rsidRPr="008912EC">
        <w:t xml:space="preserve">New section 4F deals with </w:t>
      </w:r>
      <w:proofErr w:type="gramStart"/>
      <w:r w:rsidRPr="008912EC">
        <w:t>providing assistance</w:t>
      </w:r>
      <w:proofErr w:type="gramEnd"/>
      <w:r w:rsidRPr="008912EC">
        <w:t xml:space="preserve"> with respect to access to relevant persons.</w:t>
      </w:r>
    </w:p>
    <w:p w14:paraId="1A2CC2C4" w14:textId="77777777" w:rsidR="009228EA" w:rsidRPr="008912EC" w:rsidRDefault="009228EA" w:rsidP="00B60147">
      <w:pPr>
        <w:jc w:val="both"/>
      </w:pPr>
    </w:p>
    <w:p w14:paraId="29D6523B" w14:textId="728E90F3" w:rsidR="00FC0023" w:rsidRPr="008912EC" w:rsidRDefault="00FC0023" w:rsidP="00B60147">
      <w:pPr>
        <w:jc w:val="both"/>
      </w:pPr>
      <w:r w:rsidRPr="008912EC">
        <w:t>New subsection 4</w:t>
      </w:r>
      <w:proofErr w:type="gramStart"/>
      <w:r w:rsidRPr="008912EC">
        <w:t>F(</w:t>
      </w:r>
      <w:proofErr w:type="gramEnd"/>
      <w:r w:rsidRPr="008912EC">
        <w:t xml:space="preserve">1) provides that the section applies if three </w:t>
      </w:r>
      <w:r w:rsidR="00BD595C" w:rsidRPr="008912EC">
        <w:t>requirements</w:t>
      </w:r>
      <w:r w:rsidRPr="008912EC">
        <w:t xml:space="preserve"> are met. The first </w:t>
      </w:r>
      <w:r w:rsidR="00BD595C" w:rsidRPr="008912EC">
        <w:t>requirement</w:t>
      </w:r>
      <w:r w:rsidRPr="008912EC">
        <w:t xml:space="preserve"> is that</w:t>
      </w:r>
      <w:r w:rsidR="00BD595C" w:rsidRPr="008912EC">
        <w:t xml:space="preserve"> the Pricing Authority</w:t>
      </w:r>
      <w:r w:rsidRPr="008912EC">
        <w:t xml:space="preserve"> gives the approved provider of the </w:t>
      </w:r>
      <w:r w:rsidR="00BD595C" w:rsidRPr="008912EC">
        <w:t xml:space="preserve">residential care </w:t>
      </w:r>
      <w:r w:rsidRPr="008912EC">
        <w:t>service written notice that access to a person mentioned in subsection</w:t>
      </w:r>
      <w:r w:rsidR="007D66EE" w:rsidRPr="008912EC">
        <w:t> </w:t>
      </w:r>
      <w:r w:rsidRPr="008912EC">
        <w:t>4</w:t>
      </w:r>
      <w:proofErr w:type="gramStart"/>
      <w:r w:rsidRPr="008912EC">
        <w:t>F(</w:t>
      </w:r>
      <w:proofErr w:type="gramEnd"/>
      <w:r w:rsidRPr="008912EC">
        <w:t>2)</w:t>
      </w:r>
      <w:r w:rsidR="00BD595C" w:rsidRPr="008912EC">
        <w:t xml:space="preserve"> (a relevant person)</w:t>
      </w:r>
      <w:r w:rsidRPr="008912EC">
        <w:t xml:space="preserve"> is required for the conduct of a Pricing Authority advice activity. The second </w:t>
      </w:r>
      <w:r w:rsidR="00BD595C" w:rsidRPr="008912EC">
        <w:t>requirement</w:t>
      </w:r>
      <w:r w:rsidRPr="008912EC">
        <w:t xml:space="preserve"> is that the notice specifies a day by which arrangements must be made for the access. The third </w:t>
      </w:r>
      <w:r w:rsidR="00BD595C" w:rsidRPr="008912EC">
        <w:t xml:space="preserve">requirement </w:t>
      </w:r>
      <w:r w:rsidRPr="008912EC">
        <w:t>is that the notice is given at least 14 days before the specified day.</w:t>
      </w:r>
    </w:p>
    <w:p w14:paraId="21A7BA18" w14:textId="3A9AF2CD" w:rsidR="00BD595C" w:rsidRPr="008912EC" w:rsidRDefault="00BD595C" w:rsidP="00B60147">
      <w:pPr>
        <w:jc w:val="both"/>
      </w:pPr>
    </w:p>
    <w:p w14:paraId="65617245" w14:textId="6FA5EED7" w:rsidR="00BD595C" w:rsidRPr="008912EC" w:rsidRDefault="00BD595C" w:rsidP="00B60147">
      <w:pPr>
        <w:jc w:val="both"/>
      </w:pPr>
      <w:r w:rsidRPr="008912EC">
        <w:t xml:space="preserve">This provision will ensure that approved providers </w:t>
      </w:r>
      <w:r w:rsidR="00CB7F16" w:rsidRPr="008912EC">
        <w:t xml:space="preserve">have </w:t>
      </w:r>
      <w:r w:rsidRPr="008912EC">
        <w:t xml:space="preserve">sufficient notice where access to relevant persons is required </w:t>
      </w:r>
      <w:r w:rsidR="00CB7F16" w:rsidRPr="008912EC">
        <w:t xml:space="preserve">for </w:t>
      </w:r>
      <w:r w:rsidRPr="008912EC">
        <w:t xml:space="preserve">the purpose of the Pricing Authority performing any of their pricing and costing advice activities. </w:t>
      </w:r>
    </w:p>
    <w:p w14:paraId="16ECDCAC" w14:textId="7E7DA7B1" w:rsidR="00FC0023" w:rsidRPr="008912EC" w:rsidRDefault="00FC0023" w:rsidP="00B60147">
      <w:pPr>
        <w:jc w:val="both"/>
      </w:pPr>
    </w:p>
    <w:p w14:paraId="359721EB" w14:textId="6015127C" w:rsidR="008D31B0" w:rsidRPr="008912EC" w:rsidRDefault="008D31B0" w:rsidP="00B60147">
      <w:pPr>
        <w:jc w:val="both"/>
      </w:pPr>
      <w:r w:rsidRPr="008912EC">
        <w:t>New subsection 4</w:t>
      </w:r>
      <w:proofErr w:type="gramStart"/>
      <w:r w:rsidRPr="008912EC">
        <w:t>F(</w:t>
      </w:r>
      <w:proofErr w:type="gramEnd"/>
      <w:r w:rsidRPr="008912EC">
        <w:t>2) provides that</w:t>
      </w:r>
      <w:r w:rsidR="009B5219" w:rsidRPr="008912EC">
        <w:t>,</w:t>
      </w:r>
      <w:r w:rsidRPr="008912EC">
        <w:t xml:space="preserve"> for the purposes </w:t>
      </w:r>
      <w:r w:rsidR="00BD595C" w:rsidRPr="008912EC">
        <w:t>of</w:t>
      </w:r>
      <w:r w:rsidRPr="008912EC">
        <w:t xml:space="preserve"> subsection 4F(1)</w:t>
      </w:r>
      <w:r w:rsidR="00B15F1E" w:rsidRPr="008912EC">
        <w:t>(a)</w:t>
      </w:r>
      <w:r w:rsidRPr="008912EC">
        <w:t xml:space="preserve">, </w:t>
      </w:r>
      <w:r w:rsidR="00BD595C" w:rsidRPr="008912EC">
        <w:t xml:space="preserve">the </w:t>
      </w:r>
      <w:r w:rsidRPr="008912EC">
        <w:t xml:space="preserve">relevant persons are the following: </w:t>
      </w:r>
    </w:p>
    <w:p w14:paraId="7B011A92" w14:textId="2158D3FB" w:rsidR="00FC0023" w:rsidRPr="008912EC" w:rsidRDefault="00FC0023" w:rsidP="008D31B0">
      <w:pPr>
        <w:numPr>
          <w:ilvl w:val="0"/>
          <w:numId w:val="5"/>
        </w:numPr>
        <w:ind w:left="709"/>
        <w:jc w:val="both"/>
      </w:pPr>
      <w:r w:rsidRPr="008912EC">
        <w:tab/>
        <w:t xml:space="preserve">a specified member of the key personnel of the </w:t>
      </w:r>
      <w:proofErr w:type="gramStart"/>
      <w:r w:rsidRPr="008912EC">
        <w:t>provider;</w:t>
      </w:r>
      <w:proofErr w:type="gramEnd"/>
    </w:p>
    <w:p w14:paraId="74655EB4" w14:textId="67C90542" w:rsidR="00FC0023" w:rsidRPr="008912EC" w:rsidRDefault="00FC0023" w:rsidP="008D31B0">
      <w:pPr>
        <w:numPr>
          <w:ilvl w:val="0"/>
          <w:numId w:val="5"/>
        </w:numPr>
        <w:ind w:left="709"/>
        <w:jc w:val="both"/>
      </w:pPr>
      <w:r w:rsidRPr="008912EC">
        <w:tab/>
        <w:t xml:space="preserve">a member of the key personnel of the provider who is responsible for a specified matter for the </w:t>
      </w:r>
      <w:proofErr w:type="gramStart"/>
      <w:r w:rsidRPr="008912EC">
        <w:t>provider;</w:t>
      </w:r>
      <w:proofErr w:type="gramEnd"/>
    </w:p>
    <w:p w14:paraId="6FEF0F68" w14:textId="25DB9898" w:rsidR="00FC0023" w:rsidRPr="008912EC" w:rsidRDefault="00FC0023" w:rsidP="008D31B0">
      <w:pPr>
        <w:numPr>
          <w:ilvl w:val="0"/>
          <w:numId w:val="5"/>
        </w:numPr>
        <w:ind w:left="709"/>
        <w:jc w:val="both"/>
      </w:pPr>
      <w:r w:rsidRPr="008912EC">
        <w:tab/>
        <w:t xml:space="preserve">a specified member of the service staff in relation to the </w:t>
      </w:r>
      <w:proofErr w:type="gramStart"/>
      <w:r w:rsidRPr="008912EC">
        <w:t>service;</w:t>
      </w:r>
      <w:proofErr w:type="gramEnd"/>
    </w:p>
    <w:p w14:paraId="09001106" w14:textId="1A3E35B7" w:rsidR="007E036F" w:rsidRPr="008912EC" w:rsidRDefault="00FC0023" w:rsidP="009B5219">
      <w:pPr>
        <w:numPr>
          <w:ilvl w:val="0"/>
          <w:numId w:val="5"/>
        </w:numPr>
        <w:ind w:left="709"/>
        <w:jc w:val="both"/>
      </w:pPr>
      <w:r w:rsidRPr="008912EC">
        <w:tab/>
        <w:t>a member of the service staff in relation to the service who is responsible for a specified matter for the service.</w:t>
      </w:r>
    </w:p>
    <w:p w14:paraId="3FC03434" w14:textId="77777777" w:rsidR="007E036F" w:rsidRPr="008912EC" w:rsidRDefault="007E036F" w:rsidP="007E036F">
      <w:pPr>
        <w:jc w:val="both"/>
      </w:pPr>
    </w:p>
    <w:p w14:paraId="6AB5178F" w14:textId="77777777" w:rsidR="009B5219" w:rsidRPr="008912EC" w:rsidRDefault="00725CBA" w:rsidP="009B5219">
      <w:pPr>
        <w:jc w:val="both"/>
      </w:pPr>
      <w:r w:rsidRPr="008912EC">
        <w:t xml:space="preserve">The difference in language in the above provision of a “specified member” </w:t>
      </w:r>
      <w:r w:rsidR="009B5219" w:rsidRPr="008912EC">
        <w:t>compared to</w:t>
      </w:r>
      <w:r w:rsidRPr="008912EC">
        <w:t xml:space="preserve"> “a member” of either the key personnel or the service staff of a</w:t>
      </w:r>
      <w:r w:rsidR="007E036F" w:rsidRPr="008912EC">
        <w:t>n approved</w:t>
      </w:r>
      <w:r w:rsidRPr="008912EC">
        <w:t xml:space="preserve"> provider is intended to capture both </w:t>
      </w:r>
      <w:proofErr w:type="gramStart"/>
      <w:r w:rsidRPr="008912EC">
        <w:t>particular individuals</w:t>
      </w:r>
      <w:proofErr w:type="gramEnd"/>
      <w:r w:rsidRPr="008912EC">
        <w:t xml:space="preserve"> and </w:t>
      </w:r>
      <w:r w:rsidR="00B15F1E" w:rsidRPr="008912EC">
        <w:t>those</w:t>
      </w:r>
      <w:r w:rsidRPr="008912EC">
        <w:t xml:space="preserve"> occupying particular positions. </w:t>
      </w:r>
    </w:p>
    <w:p w14:paraId="332FF014" w14:textId="77777777" w:rsidR="009B5219" w:rsidRPr="008912EC" w:rsidRDefault="009B5219" w:rsidP="009B5219">
      <w:pPr>
        <w:jc w:val="both"/>
      </w:pPr>
    </w:p>
    <w:p w14:paraId="2CEC26FC" w14:textId="34979EE0" w:rsidR="00725CBA" w:rsidRPr="008912EC" w:rsidRDefault="00725CBA" w:rsidP="009B5219">
      <w:pPr>
        <w:jc w:val="both"/>
      </w:pPr>
      <w:r w:rsidRPr="008912EC">
        <w:t xml:space="preserve">For example, access may be required </w:t>
      </w:r>
      <w:r w:rsidR="007D66EE" w:rsidRPr="008912EC">
        <w:t xml:space="preserve">simply </w:t>
      </w:r>
      <w:r w:rsidRPr="008912EC">
        <w:t>to the CEO of the approved provider or the Head of Nursing Services at the residential care service. However, in other circumstances access may be required to a specific individual, for example a particular member of the service staff who</w:t>
      </w:r>
      <w:r w:rsidR="007E036F" w:rsidRPr="008912EC">
        <w:t xml:space="preserve"> was present at the service on a particular day.</w:t>
      </w:r>
    </w:p>
    <w:p w14:paraId="5490FB46" w14:textId="59047FC0" w:rsidR="008D31B0" w:rsidRPr="008912EC" w:rsidRDefault="008D31B0" w:rsidP="008D31B0">
      <w:pPr>
        <w:jc w:val="both"/>
      </w:pPr>
    </w:p>
    <w:p w14:paraId="3A1E6DF4" w14:textId="2DB66704" w:rsidR="008D31B0" w:rsidRPr="008912EC" w:rsidRDefault="008D31B0" w:rsidP="008D31B0">
      <w:pPr>
        <w:jc w:val="both"/>
      </w:pPr>
      <w:r w:rsidRPr="008912EC">
        <w:t>New subsection 4</w:t>
      </w:r>
      <w:proofErr w:type="gramStart"/>
      <w:r w:rsidRPr="008912EC">
        <w:t>F(</w:t>
      </w:r>
      <w:proofErr w:type="gramEnd"/>
      <w:r w:rsidRPr="008912EC">
        <w:t xml:space="preserve">3) provides that </w:t>
      </w:r>
      <w:r w:rsidR="00F0668F" w:rsidRPr="008912EC">
        <w:t>the approved provider must</w:t>
      </w:r>
      <w:r w:rsidRPr="008912EC">
        <w:t xml:space="preserve">: </w:t>
      </w:r>
    </w:p>
    <w:p w14:paraId="26B53789" w14:textId="0A96B614" w:rsidR="00FC0023" w:rsidRPr="008912EC" w:rsidRDefault="00FC0023" w:rsidP="008D31B0">
      <w:pPr>
        <w:numPr>
          <w:ilvl w:val="0"/>
          <w:numId w:val="5"/>
        </w:numPr>
        <w:ind w:left="709"/>
        <w:jc w:val="both"/>
      </w:pPr>
      <w:r w:rsidRPr="008912EC">
        <w:tab/>
        <w:t xml:space="preserve">before the end of the specified day, </w:t>
      </w:r>
      <w:proofErr w:type="gramStart"/>
      <w:r w:rsidRPr="008912EC">
        <w:t>make arrangements</w:t>
      </w:r>
      <w:proofErr w:type="gramEnd"/>
      <w:r w:rsidRPr="008912EC">
        <w:t xml:space="preserve"> to allow the persons performing the activity timely access to the relevant person; and</w:t>
      </w:r>
    </w:p>
    <w:p w14:paraId="1120442F" w14:textId="52D3D157" w:rsidR="00FC0023" w:rsidRPr="008912EC" w:rsidRDefault="00FC0023" w:rsidP="008D31B0">
      <w:pPr>
        <w:numPr>
          <w:ilvl w:val="0"/>
          <w:numId w:val="5"/>
        </w:numPr>
        <w:ind w:left="709"/>
        <w:jc w:val="both"/>
      </w:pPr>
      <w:r w:rsidRPr="008912EC">
        <w:tab/>
        <w:t>facilitate the access in accordance with the arrangements.</w:t>
      </w:r>
    </w:p>
    <w:p w14:paraId="40BA0611" w14:textId="2312D9AA" w:rsidR="00FC0023" w:rsidRPr="008912EC" w:rsidRDefault="00FC0023" w:rsidP="00B60147">
      <w:pPr>
        <w:jc w:val="both"/>
      </w:pPr>
    </w:p>
    <w:p w14:paraId="4545470F" w14:textId="6B11BE15" w:rsidR="009228EA" w:rsidRPr="008912EC" w:rsidRDefault="009228EA" w:rsidP="009228EA">
      <w:pPr>
        <w:jc w:val="both"/>
      </w:pPr>
      <w:r w:rsidRPr="008912EC">
        <w:t>This is reasonable and necessary for the Pricing Authority to perform effective cost data analysis</w:t>
      </w:r>
      <w:r w:rsidR="00F0668F" w:rsidRPr="008912EC">
        <w:t xml:space="preserve"> when undertaking a Pricing Authority advice activity.</w:t>
      </w:r>
      <w:r w:rsidRPr="008912EC">
        <w:t xml:space="preserve"> </w:t>
      </w:r>
      <w:r w:rsidR="00D275DE" w:rsidRPr="008912EC">
        <w:t>For example, p</w:t>
      </w:r>
      <w:r w:rsidRPr="008912EC">
        <w:t xml:space="preserve">ersons performing </w:t>
      </w:r>
      <w:r w:rsidR="00F0668F" w:rsidRPr="008912EC">
        <w:t xml:space="preserve">a </w:t>
      </w:r>
      <w:r w:rsidRPr="008912EC">
        <w:t>Pricing Authority advice</w:t>
      </w:r>
      <w:r w:rsidR="00F0668F" w:rsidRPr="008912EC">
        <w:t xml:space="preserve"> activity</w:t>
      </w:r>
      <w:r w:rsidRPr="008912EC">
        <w:t xml:space="preserve"> must be able to seek information from the approved provider’s relevant persons to understand the significance of and any issues in relation to provided cost </w:t>
      </w:r>
      <w:r w:rsidR="00F0668F" w:rsidRPr="008912EC">
        <w:t xml:space="preserve">information or </w:t>
      </w:r>
      <w:r w:rsidRPr="008912EC">
        <w:t>data.</w:t>
      </w:r>
    </w:p>
    <w:p w14:paraId="3CFB090B" w14:textId="77777777" w:rsidR="007D5599" w:rsidRPr="008912EC" w:rsidRDefault="007D5599">
      <w:pPr>
        <w:rPr>
          <w:b/>
          <w:sz w:val="28"/>
          <w:szCs w:val="20"/>
        </w:rPr>
      </w:pPr>
      <w:r w:rsidRPr="008912EC">
        <w:rPr>
          <w:b/>
          <w:sz w:val="28"/>
          <w:szCs w:val="20"/>
        </w:rPr>
        <w:br w:type="page"/>
      </w:r>
    </w:p>
    <w:p w14:paraId="1240D9BB" w14:textId="7E3B1E01" w:rsidR="00E4673E" w:rsidRPr="008912EC" w:rsidRDefault="00E4673E" w:rsidP="00D07FED">
      <w:pPr>
        <w:jc w:val="center"/>
        <w:rPr>
          <w:b/>
          <w:sz w:val="28"/>
          <w:szCs w:val="28"/>
        </w:rPr>
      </w:pPr>
      <w:r w:rsidRPr="008912EC">
        <w:rPr>
          <w:b/>
          <w:sz w:val="28"/>
          <w:szCs w:val="20"/>
        </w:rPr>
        <w:lastRenderedPageBreak/>
        <w:t>Statement of Compatibility with Human Rights</w:t>
      </w:r>
    </w:p>
    <w:p w14:paraId="5CED89EA" w14:textId="77777777" w:rsidR="00E4673E" w:rsidRPr="008912EC" w:rsidRDefault="00E4673E" w:rsidP="00E4673E">
      <w:pPr>
        <w:jc w:val="center"/>
        <w:rPr>
          <w:i/>
        </w:rPr>
      </w:pPr>
      <w:r w:rsidRPr="008912EC">
        <w:t>Prepared in accordance with Part 3 of the</w:t>
      </w:r>
      <w:r w:rsidRPr="008912EC">
        <w:rPr>
          <w:i/>
        </w:rPr>
        <w:t xml:space="preserve"> Human Rights (Parliamentary Scrutiny) Act 2011</w:t>
      </w:r>
    </w:p>
    <w:p w14:paraId="1FD0AB94" w14:textId="77777777" w:rsidR="00E4673E" w:rsidRPr="008912EC" w:rsidRDefault="00E4673E" w:rsidP="00E4673E">
      <w:pPr>
        <w:jc w:val="center"/>
      </w:pPr>
    </w:p>
    <w:p w14:paraId="235310E1" w14:textId="40E41C6F" w:rsidR="00E4673E" w:rsidRPr="008912EC" w:rsidRDefault="008D31B0" w:rsidP="00E4673E">
      <w:pPr>
        <w:jc w:val="center"/>
        <w:rPr>
          <w:b/>
          <w:i/>
        </w:rPr>
      </w:pPr>
      <w:r w:rsidRPr="008912EC">
        <w:rPr>
          <w:b/>
          <w:i/>
        </w:rPr>
        <w:t>Accountability Amendment (Access and Assistance for Independent Health and Aged Care Pricing Authority) Principles 2023</w:t>
      </w:r>
    </w:p>
    <w:p w14:paraId="44BB3F7C" w14:textId="77777777" w:rsidR="00E4673E" w:rsidRPr="008912EC" w:rsidRDefault="00E4673E" w:rsidP="00E4673E"/>
    <w:p w14:paraId="5E7F5747" w14:textId="77777777" w:rsidR="00E4673E" w:rsidRPr="008912EC" w:rsidRDefault="00E4673E" w:rsidP="00E4673E">
      <w:r w:rsidRPr="008912EC">
        <w:t xml:space="preserve">This legislative instrument is compatible with the human rights and freedoms recognised or declared in the international instruments listed in section 3 of the </w:t>
      </w:r>
      <w:r w:rsidRPr="008912EC">
        <w:rPr>
          <w:i/>
        </w:rPr>
        <w:t>Human Rights (Parliamentary Scrutiny) Act 2011</w:t>
      </w:r>
      <w:r w:rsidRPr="008912EC">
        <w:t>.</w:t>
      </w:r>
    </w:p>
    <w:p w14:paraId="564439D3" w14:textId="77777777" w:rsidR="00E4673E" w:rsidRPr="008912EC" w:rsidRDefault="00E4673E" w:rsidP="00E4673E">
      <w:pPr>
        <w:jc w:val="both"/>
        <w:rPr>
          <w:b/>
        </w:rPr>
      </w:pPr>
    </w:p>
    <w:p w14:paraId="126B373C" w14:textId="77777777" w:rsidR="00E4673E" w:rsidRPr="008912EC" w:rsidRDefault="00E4673E" w:rsidP="00E4673E">
      <w:pPr>
        <w:jc w:val="both"/>
        <w:rPr>
          <w:b/>
        </w:rPr>
      </w:pPr>
      <w:r w:rsidRPr="008912EC">
        <w:rPr>
          <w:b/>
        </w:rPr>
        <w:t>Overview of the legislative instrument</w:t>
      </w:r>
    </w:p>
    <w:p w14:paraId="5ADFD3CD" w14:textId="61EDE52C" w:rsidR="007D5599" w:rsidRPr="008912EC" w:rsidRDefault="007D5599" w:rsidP="007D5599">
      <w:pPr>
        <w:jc w:val="both"/>
        <w:rPr>
          <w:rFonts w:ascii="Tms Rmn" w:hAnsi="Tms Rmn"/>
          <w:szCs w:val="20"/>
        </w:rPr>
      </w:pPr>
      <w:r w:rsidRPr="008912EC">
        <w:rPr>
          <w:rFonts w:ascii="Tms Rmn" w:hAnsi="Tms Rmn"/>
          <w:szCs w:val="20"/>
        </w:rPr>
        <w:t xml:space="preserve">The purpose of the </w:t>
      </w:r>
      <w:r w:rsidR="008D31B0" w:rsidRPr="008912EC">
        <w:rPr>
          <w:rFonts w:ascii="Tms Rmn" w:hAnsi="Tms Rmn"/>
          <w:i/>
          <w:iCs/>
          <w:szCs w:val="20"/>
        </w:rPr>
        <w:t>Accountability Amendment (Access and Assistance for Independent Health and Aged Care Pricing Authority) Principles 2023</w:t>
      </w:r>
      <w:r w:rsidR="008D31B0" w:rsidRPr="008912EC">
        <w:rPr>
          <w:rFonts w:ascii="Tms Rmn" w:hAnsi="Tms Rmn"/>
          <w:szCs w:val="20"/>
        </w:rPr>
        <w:t xml:space="preserve"> </w:t>
      </w:r>
      <w:r w:rsidRPr="008912EC">
        <w:rPr>
          <w:rFonts w:ascii="Tms Rmn" w:hAnsi="Tms Rmn"/>
          <w:szCs w:val="20"/>
        </w:rPr>
        <w:t xml:space="preserve">(Amending Principles) is to amend the </w:t>
      </w:r>
      <w:r w:rsidRPr="008912EC">
        <w:rPr>
          <w:rFonts w:ascii="Tms Rmn" w:hAnsi="Tms Rmn"/>
          <w:i/>
          <w:szCs w:val="20"/>
        </w:rPr>
        <w:t xml:space="preserve">Accountability Principles 2014 </w:t>
      </w:r>
      <w:r w:rsidRPr="008912EC">
        <w:rPr>
          <w:rFonts w:ascii="Tms Rmn" w:hAnsi="Tms Rmn"/>
          <w:szCs w:val="20"/>
        </w:rPr>
        <w:t>(Accountability Principles) to give effect to matters specified by paragraphs 63</w:t>
      </w:r>
      <w:r w:rsidR="008D31B0" w:rsidRPr="008912EC">
        <w:rPr>
          <w:rFonts w:ascii="Tms Rmn" w:hAnsi="Tms Rmn"/>
          <w:szCs w:val="20"/>
        </w:rPr>
        <w:noBreakHyphen/>
      </w:r>
      <w:r w:rsidRPr="008912EC">
        <w:rPr>
          <w:rFonts w:ascii="Tms Rmn" w:hAnsi="Tms Rmn"/>
          <w:szCs w:val="20"/>
        </w:rPr>
        <w:t>1(</w:t>
      </w:r>
      <w:proofErr w:type="gramStart"/>
      <w:r w:rsidRPr="008912EC">
        <w:rPr>
          <w:rFonts w:ascii="Tms Rmn" w:hAnsi="Tms Rmn"/>
          <w:szCs w:val="20"/>
        </w:rPr>
        <w:t>1)(</w:t>
      </w:r>
      <w:proofErr w:type="spellStart"/>
      <w:proofErr w:type="gramEnd"/>
      <w:r w:rsidRPr="008912EC">
        <w:rPr>
          <w:rFonts w:ascii="Tms Rmn" w:hAnsi="Tms Rmn"/>
          <w:szCs w:val="20"/>
        </w:rPr>
        <w:t>hb</w:t>
      </w:r>
      <w:proofErr w:type="spellEnd"/>
      <w:r w:rsidRPr="008912EC">
        <w:rPr>
          <w:rFonts w:ascii="Tms Rmn" w:hAnsi="Tms Rmn"/>
          <w:szCs w:val="20"/>
        </w:rPr>
        <w:t>) and (</w:t>
      </w:r>
      <w:proofErr w:type="spellStart"/>
      <w:r w:rsidRPr="008912EC">
        <w:rPr>
          <w:rFonts w:ascii="Tms Rmn" w:hAnsi="Tms Rmn"/>
          <w:szCs w:val="20"/>
        </w:rPr>
        <w:t>hc</w:t>
      </w:r>
      <w:proofErr w:type="spellEnd"/>
      <w:r w:rsidRPr="008912EC">
        <w:rPr>
          <w:rFonts w:ascii="Tms Rmn" w:hAnsi="Tms Rmn"/>
          <w:szCs w:val="20"/>
        </w:rPr>
        <w:t xml:space="preserve">) of the </w:t>
      </w:r>
      <w:r w:rsidRPr="008912EC">
        <w:rPr>
          <w:rFonts w:ascii="Tms Rmn" w:hAnsi="Tms Rmn"/>
          <w:i/>
          <w:iCs/>
          <w:szCs w:val="20"/>
        </w:rPr>
        <w:t>Aged Care Act 1997</w:t>
      </w:r>
      <w:r w:rsidRPr="008912EC">
        <w:rPr>
          <w:rFonts w:ascii="Tms Rmn" w:hAnsi="Tms Rmn"/>
          <w:szCs w:val="20"/>
        </w:rPr>
        <w:t xml:space="preserve"> (Aged Care Act). </w:t>
      </w:r>
    </w:p>
    <w:p w14:paraId="1B074BE3" w14:textId="77777777" w:rsidR="008D31B0" w:rsidRPr="008912EC" w:rsidRDefault="008D31B0" w:rsidP="004C59C6">
      <w:pPr>
        <w:jc w:val="both"/>
        <w:rPr>
          <w:rFonts w:ascii="Tms Rmn" w:hAnsi="Tms Rmn"/>
          <w:szCs w:val="20"/>
        </w:rPr>
      </w:pPr>
    </w:p>
    <w:p w14:paraId="3103C245" w14:textId="4E94170A" w:rsidR="006C07A9" w:rsidRPr="008912EC" w:rsidRDefault="006C07A9" w:rsidP="006C07A9">
      <w:pPr>
        <w:jc w:val="both"/>
        <w:rPr>
          <w:rFonts w:ascii="Tms Rmn" w:hAnsi="Tms Rmn"/>
          <w:szCs w:val="20"/>
        </w:rPr>
      </w:pPr>
      <w:r w:rsidRPr="008912EC">
        <w:rPr>
          <w:rFonts w:ascii="Tms Rmn" w:hAnsi="Tms Rmn"/>
          <w:szCs w:val="20"/>
        </w:rPr>
        <w:t>The Amending Principles set out provisions relating to two new responsibilities of approved providers of residential care with effect from</w:t>
      </w:r>
      <w:r w:rsidR="009E76C7" w:rsidRPr="008912EC">
        <w:t xml:space="preserve"> the day after this instrument is registered</w:t>
      </w:r>
      <w:r w:rsidRPr="008912EC">
        <w:rPr>
          <w:rFonts w:ascii="Tms Rmn" w:hAnsi="Tms Rmn"/>
          <w:szCs w:val="20"/>
        </w:rPr>
        <w:t xml:space="preserve">. The new responsibilities are to provide access to residential care services and to provide all reasonable facilities and assistance necessary to persons performing activities under paragraph 131A(1)(c) of the </w:t>
      </w:r>
      <w:r w:rsidRPr="008912EC">
        <w:rPr>
          <w:rFonts w:ascii="Tms Rmn" w:hAnsi="Tms Rmn"/>
          <w:i/>
          <w:iCs/>
          <w:szCs w:val="20"/>
        </w:rPr>
        <w:t>National Health Reform Act 2011</w:t>
      </w:r>
      <w:r w:rsidRPr="008912EC">
        <w:rPr>
          <w:rFonts w:ascii="Tms Rmn" w:hAnsi="Tms Rmn"/>
          <w:szCs w:val="20"/>
        </w:rPr>
        <w:t xml:space="preserve"> (NHR Act) for the purposes of assisting the Independent Health and Aged Care Pricing Authority (Pricing Authority) to perform its aged care pricing and costing advice functions under paragraph 131A(1)(a) of the NHR Act.</w:t>
      </w:r>
    </w:p>
    <w:p w14:paraId="19D13784" w14:textId="77777777" w:rsidR="00E4673E" w:rsidRPr="008912EC" w:rsidRDefault="00E4673E" w:rsidP="004C59C6">
      <w:pPr>
        <w:jc w:val="both"/>
        <w:rPr>
          <w:rFonts w:ascii="Tms Rmn" w:hAnsi="Tms Rmn"/>
          <w:szCs w:val="20"/>
        </w:rPr>
      </w:pPr>
    </w:p>
    <w:p w14:paraId="0A4B7C47" w14:textId="77777777" w:rsidR="00E4673E" w:rsidRPr="008912EC" w:rsidRDefault="00E4673E" w:rsidP="004C59C6">
      <w:pPr>
        <w:keepNext/>
        <w:jc w:val="both"/>
        <w:rPr>
          <w:kern w:val="28"/>
          <w:lang w:val="en-US"/>
        </w:rPr>
      </w:pPr>
      <w:r w:rsidRPr="008912EC">
        <w:rPr>
          <w:b/>
          <w:kern w:val="28"/>
          <w:lang w:val="en-US"/>
        </w:rPr>
        <w:t>Human rights implications</w:t>
      </w:r>
    </w:p>
    <w:p w14:paraId="2E37FEA1" w14:textId="16953D2D" w:rsidR="007D5599" w:rsidRPr="008912EC" w:rsidRDefault="00E4673E" w:rsidP="007D5599">
      <w:pPr>
        <w:shd w:val="clear" w:color="auto" w:fill="FFFFFF"/>
        <w:jc w:val="both"/>
      </w:pPr>
      <w:r w:rsidRPr="008912EC">
        <w:rPr>
          <w:color w:val="000000"/>
          <w:lang w:val="en-GB"/>
        </w:rPr>
        <w:t xml:space="preserve">The Amending Principles </w:t>
      </w:r>
      <w:r w:rsidR="007D5599" w:rsidRPr="008912EC">
        <w:t xml:space="preserve">engages the human right to privacy in article 17 of the </w:t>
      </w:r>
      <w:r w:rsidR="007D5599" w:rsidRPr="008912EC">
        <w:rPr>
          <w:i/>
          <w:iCs/>
        </w:rPr>
        <w:t>International Covenant on Civil and Political Rights</w:t>
      </w:r>
      <w:r w:rsidR="007D5599" w:rsidRPr="008912EC">
        <w:t xml:space="preserve"> (ICCPR) and article 22 of the </w:t>
      </w:r>
      <w:r w:rsidR="007D5599" w:rsidRPr="008912EC">
        <w:rPr>
          <w:i/>
          <w:iCs/>
        </w:rPr>
        <w:t>Convention of the Rights of Persons with Disabilities</w:t>
      </w:r>
      <w:r w:rsidR="007D5599" w:rsidRPr="008912EC">
        <w:t xml:space="preserve"> (CRPD).</w:t>
      </w:r>
    </w:p>
    <w:p w14:paraId="7EB093DE" w14:textId="77777777" w:rsidR="007D5599" w:rsidRPr="008912EC" w:rsidRDefault="007D5599" w:rsidP="007D5599">
      <w:pPr>
        <w:pStyle w:val="legcohead3"/>
        <w:keepNext w:val="0"/>
        <w:widowControl w:val="0"/>
        <w:jc w:val="both"/>
        <w:rPr>
          <w:b w:val="0"/>
          <w:szCs w:val="24"/>
        </w:rPr>
      </w:pPr>
    </w:p>
    <w:p w14:paraId="13917130" w14:textId="70532A58" w:rsidR="007D5599" w:rsidRPr="008912EC" w:rsidRDefault="007D5599" w:rsidP="007D5599">
      <w:pPr>
        <w:widowControl w:val="0"/>
        <w:autoSpaceDE w:val="0"/>
        <w:autoSpaceDN w:val="0"/>
        <w:adjustRightInd w:val="0"/>
        <w:jc w:val="both"/>
      </w:pPr>
      <w:r w:rsidRPr="008912EC">
        <w:t xml:space="preserve">Article 17 of the ICCPR provides that no one shall be subjected to arbitrary or unlawful interference with his or her privacy, family, </w:t>
      </w:r>
      <w:proofErr w:type="gramStart"/>
      <w:r w:rsidRPr="008912EC">
        <w:t>home</w:t>
      </w:r>
      <w:proofErr w:type="gramEnd"/>
      <w:r w:rsidRPr="008912EC">
        <w:t xml:space="preserve"> or correspondence, nor to unlawful attacks on his or her honour or reputation, and that everyone has the right to the protection of the law against such interference or attacks. Article 22 of the CRPD outlines a similar right</w:t>
      </w:r>
      <w:r w:rsidR="0081728A" w:rsidRPr="008912EC">
        <w:t xml:space="preserve"> with respect to persons with disability</w:t>
      </w:r>
      <w:r w:rsidRPr="008912EC">
        <w:t>.</w:t>
      </w:r>
    </w:p>
    <w:p w14:paraId="4DAFF37C" w14:textId="77777777" w:rsidR="007D5599" w:rsidRPr="008912EC" w:rsidRDefault="007D5599" w:rsidP="007D5599">
      <w:pPr>
        <w:pStyle w:val="legcohead3"/>
        <w:keepNext w:val="0"/>
        <w:widowControl w:val="0"/>
        <w:jc w:val="both"/>
        <w:rPr>
          <w:b w:val="0"/>
          <w:szCs w:val="24"/>
        </w:rPr>
      </w:pPr>
    </w:p>
    <w:p w14:paraId="44A2D532" w14:textId="5B6957C8" w:rsidR="003B06B7" w:rsidRPr="008912EC" w:rsidRDefault="003B06B7" w:rsidP="009B5219">
      <w:pPr>
        <w:widowControl w:val="0"/>
        <w:autoSpaceDE w:val="0"/>
        <w:autoSpaceDN w:val="0"/>
        <w:adjustRightInd w:val="0"/>
        <w:jc w:val="both"/>
      </w:pPr>
      <w:r w:rsidRPr="008912EC">
        <w:rPr>
          <w:color w:val="000000"/>
          <w:shd w:val="clear" w:color="auto" w:fill="FFFFFF"/>
        </w:rPr>
        <w:t xml:space="preserve">The right to privacy under Article 17 can be permissibly limited to achieve a legitimate objective and where the limitations are lawful and not arbitrary. The term ‘unlawful’ in Article 17(1) of the ICCPR means that no interference can take place except as authorised under domestic law. Additionally, the term ‘arbitrary’ in Article 17(1) means that any interference with privacy must be in accordance with the provisions, aims and objectives of the ICCPR and should be reasonable in the </w:t>
      </w:r>
      <w:proofErr w:type="gramStart"/>
      <w:r w:rsidRPr="008912EC">
        <w:rPr>
          <w:color w:val="000000"/>
          <w:shd w:val="clear" w:color="auto" w:fill="FFFFFF"/>
        </w:rPr>
        <w:t>particular circumstances</w:t>
      </w:r>
      <w:proofErr w:type="gramEnd"/>
      <w:r w:rsidRPr="008912EC">
        <w:rPr>
          <w:color w:val="000000"/>
          <w:shd w:val="clear" w:color="auto" w:fill="FFFFFF"/>
        </w:rPr>
        <w:t>. The United Nations Human Rights Committee has interpreted ‘reasonableness’ to mean that any limitation must be proportionate and necessary in the circumstances.</w:t>
      </w:r>
    </w:p>
    <w:p w14:paraId="286A7F7B" w14:textId="1F073397" w:rsidR="006C07A9" w:rsidRPr="008912EC" w:rsidRDefault="006C07A9" w:rsidP="007D5599">
      <w:pPr>
        <w:pStyle w:val="legcohead3"/>
        <w:keepNext w:val="0"/>
        <w:widowControl w:val="0"/>
        <w:jc w:val="both"/>
        <w:rPr>
          <w:b w:val="0"/>
          <w:szCs w:val="24"/>
        </w:rPr>
      </w:pPr>
    </w:p>
    <w:p w14:paraId="7252F5C7" w14:textId="73ABCFE5" w:rsidR="006C07A9" w:rsidRPr="008912EC" w:rsidRDefault="006C07A9" w:rsidP="007D5599">
      <w:pPr>
        <w:pStyle w:val="legcohead3"/>
        <w:keepNext w:val="0"/>
        <w:widowControl w:val="0"/>
        <w:jc w:val="both"/>
        <w:rPr>
          <w:b w:val="0"/>
          <w:szCs w:val="24"/>
        </w:rPr>
      </w:pPr>
    </w:p>
    <w:p w14:paraId="21538718" w14:textId="77777777" w:rsidR="006C07A9" w:rsidRPr="008912EC" w:rsidRDefault="006C07A9" w:rsidP="007D5599">
      <w:pPr>
        <w:pStyle w:val="legcohead3"/>
        <w:keepNext w:val="0"/>
        <w:widowControl w:val="0"/>
        <w:jc w:val="both"/>
        <w:rPr>
          <w:b w:val="0"/>
          <w:szCs w:val="24"/>
        </w:rPr>
      </w:pPr>
    </w:p>
    <w:p w14:paraId="721CCCF6" w14:textId="59831444" w:rsidR="007D5599" w:rsidRPr="008912EC" w:rsidRDefault="007D5599" w:rsidP="007D5599">
      <w:pPr>
        <w:widowControl w:val="0"/>
        <w:shd w:val="clear" w:color="auto" w:fill="FFFFFF"/>
        <w:jc w:val="both"/>
        <w:rPr>
          <w:color w:val="000000"/>
        </w:rPr>
      </w:pPr>
      <w:bookmarkStart w:id="0" w:name="_Hlk106652153"/>
      <w:r w:rsidRPr="008912EC">
        <w:rPr>
          <w:color w:val="000000"/>
        </w:rPr>
        <w:lastRenderedPageBreak/>
        <w:t xml:space="preserve">The Amending Principles </w:t>
      </w:r>
      <w:r w:rsidR="003B06B7" w:rsidRPr="008912EC">
        <w:rPr>
          <w:color w:val="000000"/>
        </w:rPr>
        <w:t>limit</w:t>
      </w:r>
      <w:r w:rsidRPr="008912EC">
        <w:rPr>
          <w:color w:val="000000"/>
        </w:rPr>
        <w:t xml:space="preserve"> the right to privacy under article 17(1) of the ICCPR and Article 22 of the CPRD by making it a responsibility of approved providers to provide persons performing Pricing Authority advice activities with access to</w:t>
      </w:r>
      <w:r w:rsidR="003B06B7" w:rsidRPr="008912EC">
        <w:rPr>
          <w:color w:val="000000"/>
        </w:rPr>
        <w:t xml:space="preserve"> participating care recipients, which may include the</w:t>
      </w:r>
      <w:r w:rsidRPr="008912EC">
        <w:rPr>
          <w:color w:val="000000"/>
        </w:rPr>
        <w:t xml:space="preserve"> personal rooms of </w:t>
      </w:r>
      <w:r w:rsidR="0086183C" w:rsidRPr="008912EC">
        <w:rPr>
          <w:color w:val="000000"/>
        </w:rPr>
        <w:t>those</w:t>
      </w:r>
      <w:r w:rsidRPr="008912EC">
        <w:rPr>
          <w:color w:val="000000"/>
        </w:rPr>
        <w:t xml:space="preserve"> care recipients</w:t>
      </w:r>
      <w:r w:rsidR="0086183C" w:rsidRPr="008912EC">
        <w:rPr>
          <w:color w:val="000000"/>
        </w:rPr>
        <w:t>.</w:t>
      </w:r>
      <w:r w:rsidRPr="008912EC">
        <w:rPr>
          <w:color w:val="000000"/>
        </w:rPr>
        <w:t xml:space="preserve"> </w:t>
      </w:r>
      <w:r w:rsidR="001113C0" w:rsidRPr="008912EC">
        <w:rPr>
          <w:color w:val="000000"/>
        </w:rPr>
        <w:t>However, for a person to be a participating care recipient, they or their representative</w:t>
      </w:r>
      <w:r w:rsidRPr="008912EC">
        <w:rPr>
          <w:color w:val="000000"/>
        </w:rPr>
        <w:t xml:space="preserve"> must have consented to participate in the Pricing Authority </w:t>
      </w:r>
      <w:r w:rsidR="001113C0" w:rsidRPr="008912EC">
        <w:rPr>
          <w:color w:val="000000"/>
        </w:rPr>
        <w:t xml:space="preserve">advice </w:t>
      </w:r>
      <w:r w:rsidRPr="008912EC">
        <w:rPr>
          <w:color w:val="000000"/>
        </w:rPr>
        <w:t>activities. A care recipient who has previously consented to be a participating care recipient can</w:t>
      </w:r>
      <w:r w:rsidR="001113C0" w:rsidRPr="008912EC">
        <w:rPr>
          <w:color w:val="000000"/>
        </w:rPr>
        <w:t xml:space="preserve"> also</w:t>
      </w:r>
      <w:r w:rsidRPr="008912EC">
        <w:rPr>
          <w:color w:val="000000"/>
        </w:rPr>
        <w:t xml:space="preserve"> withdraw consent</w:t>
      </w:r>
      <w:r w:rsidR="001113C0" w:rsidRPr="008912EC">
        <w:rPr>
          <w:color w:val="000000"/>
        </w:rPr>
        <w:t xml:space="preserve"> at any time</w:t>
      </w:r>
      <w:r w:rsidRPr="008912EC">
        <w:rPr>
          <w:color w:val="000000"/>
        </w:rPr>
        <w:t>.</w:t>
      </w:r>
      <w:r w:rsidR="001113C0" w:rsidRPr="008912EC">
        <w:rPr>
          <w:color w:val="000000"/>
        </w:rPr>
        <w:t xml:space="preserve"> </w:t>
      </w:r>
      <w:r w:rsidR="009F1956" w:rsidRPr="008912EC">
        <w:rPr>
          <w:color w:val="000000"/>
        </w:rPr>
        <w:t xml:space="preserve">Approved providers must also provide the Pricing Authority with access to records kept by the approved provider, which may include records relating to the care needs of care recipients. </w:t>
      </w:r>
    </w:p>
    <w:p w14:paraId="594B17C3" w14:textId="77777777" w:rsidR="0075712C" w:rsidRPr="008912EC" w:rsidRDefault="0075712C" w:rsidP="007D5599">
      <w:pPr>
        <w:widowControl w:val="0"/>
        <w:shd w:val="clear" w:color="auto" w:fill="FFFFFF"/>
        <w:jc w:val="both"/>
        <w:rPr>
          <w:color w:val="000000"/>
        </w:rPr>
      </w:pPr>
    </w:p>
    <w:p w14:paraId="778C34CC" w14:textId="377261E7" w:rsidR="003D146E" w:rsidRPr="008912EC" w:rsidRDefault="0075712C" w:rsidP="007D5599">
      <w:pPr>
        <w:widowControl w:val="0"/>
        <w:shd w:val="clear" w:color="auto" w:fill="FFFFFF"/>
        <w:jc w:val="both"/>
      </w:pPr>
      <w:r w:rsidRPr="008912EC">
        <w:rPr>
          <w:color w:val="000000"/>
        </w:rPr>
        <w:t>These arrangements support the legitimate objective of enabling the Pricing Authority to perform its aged care pricing and costing advice functions. The performance of these functions by the Pricing Authority will aim to ensure that aged care funding is directly informed by the actual costs of delivering aged care.</w:t>
      </w:r>
      <w:r w:rsidR="003D146E" w:rsidRPr="008912EC">
        <w:rPr>
          <w:color w:val="000000"/>
        </w:rPr>
        <w:t xml:space="preserve"> </w:t>
      </w:r>
      <w:bookmarkEnd w:id="0"/>
      <w:r w:rsidR="003D146E" w:rsidRPr="008912EC">
        <w:t>The provisions in the Amending Principles are reasonable</w:t>
      </w:r>
      <w:r w:rsidR="0078642C" w:rsidRPr="008912EC">
        <w:t>,</w:t>
      </w:r>
      <w:r w:rsidR="003D146E" w:rsidRPr="008912EC">
        <w:t xml:space="preserve"> </w:t>
      </w:r>
      <w:proofErr w:type="gramStart"/>
      <w:r w:rsidR="003D146E" w:rsidRPr="008912EC">
        <w:t>necessary</w:t>
      </w:r>
      <w:proofErr w:type="gramEnd"/>
      <w:r w:rsidR="003D146E" w:rsidRPr="008912EC">
        <w:t xml:space="preserve"> and proportionate to achieving this objective, as access to participating care recipients and care records will ensure the Pricing Authority’s advice is adequately informed by relevant data and information about the cost of delivering aged care</w:t>
      </w:r>
    </w:p>
    <w:p w14:paraId="69A00068" w14:textId="77777777" w:rsidR="003D146E" w:rsidRPr="008912EC" w:rsidRDefault="003D146E" w:rsidP="007D5599">
      <w:pPr>
        <w:widowControl w:val="0"/>
        <w:shd w:val="clear" w:color="auto" w:fill="FFFFFF"/>
        <w:jc w:val="both"/>
      </w:pPr>
    </w:p>
    <w:p w14:paraId="1BF6666F" w14:textId="5CAA642E" w:rsidR="00E4673E" w:rsidRPr="008912EC" w:rsidRDefault="007D5599" w:rsidP="004C59C6">
      <w:pPr>
        <w:jc w:val="both"/>
        <w:rPr>
          <w:shd w:val="clear" w:color="auto" w:fill="FFFFFF"/>
        </w:rPr>
      </w:pPr>
      <w:r w:rsidRPr="008912EC">
        <w:rPr>
          <w:bCs/>
        </w:rPr>
        <w:t>Further, any personal information</w:t>
      </w:r>
      <w:r w:rsidR="00395039" w:rsidRPr="008912EC">
        <w:rPr>
          <w:bCs/>
        </w:rPr>
        <w:t xml:space="preserve"> (including sensitive information)</w:t>
      </w:r>
      <w:r w:rsidR="00BD7670" w:rsidRPr="008912EC">
        <w:rPr>
          <w:bCs/>
        </w:rPr>
        <w:t xml:space="preserve"> </w:t>
      </w:r>
      <w:r w:rsidRPr="008912EC">
        <w:rPr>
          <w:bCs/>
        </w:rPr>
        <w:t>about care recipients</w:t>
      </w:r>
      <w:r w:rsidR="0075712C" w:rsidRPr="008912EC">
        <w:rPr>
          <w:bCs/>
        </w:rPr>
        <w:t xml:space="preserve"> that is recorded, </w:t>
      </w:r>
      <w:proofErr w:type="gramStart"/>
      <w:r w:rsidR="0075712C" w:rsidRPr="008912EC">
        <w:rPr>
          <w:bCs/>
        </w:rPr>
        <w:t>used</w:t>
      </w:r>
      <w:proofErr w:type="gramEnd"/>
      <w:r w:rsidR="0075712C" w:rsidRPr="008912EC">
        <w:rPr>
          <w:bCs/>
        </w:rPr>
        <w:t xml:space="preserve"> or disclosed</w:t>
      </w:r>
      <w:r w:rsidR="00395039" w:rsidRPr="008912EC">
        <w:rPr>
          <w:bCs/>
        </w:rPr>
        <w:t xml:space="preserve"> </w:t>
      </w:r>
      <w:r w:rsidR="00371492" w:rsidRPr="008912EC">
        <w:rPr>
          <w:bCs/>
        </w:rPr>
        <w:t xml:space="preserve">by </w:t>
      </w:r>
      <w:r w:rsidR="00371492" w:rsidRPr="008912EC">
        <w:t xml:space="preserve">persons performing Pricing Authority advice activities </w:t>
      </w:r>
      <w:r w:rsidRPr="008912EC">
        <w:rPr>
          <w:bCs/>
        </w:rPr>
        <w:t xml:space="preserve">will </w:t>
      </w:r>
      <w:r w:rsidR="00F60560" w:rsidRPr="008912EC">
        <w:rPr>
          <w:bCs/>
        </w:rPr>
        <w:t>be</w:t>
      </w:r>
      <w:r w:rsidRPr="008912EC">
        <w:rPr>
          <w:bCs/>
        </w:rPr>
        <w:t xml:space="preserve"> protected Pricing Authority information and </w:t>
      </w:r>
      <w:r w:rsidR="00BD7670" w:rsidRPr="008912EC">
        <w:rPr>
          <w:bCs/>
        </w:rPr>
        <w:t xml:space="preserve">be </w:t>
      </w:r>
      <w:r w:rsidRPr="008912EC">
        <w:rPr>
          <w:bCs/>
        </w:rPr>
        <w:t xml:space="preserve">subject to </w:t>
      </w:r>
      <w:r w:rsidR="00BD7670" w:rsidRPr="008912EC">
        <w:rPr>
          <w:bCs/>
        </w:rPr>
        <w:t>the</w:t>
      </w:r>
      <w:r w:rsidR="00066980" w:rsidRPr="008912EC">
        <w:rPr>
          <w:bCs/>
        </w:rPr>
        <w:t xml:space="preserve"> protections</w:t>
      </w:r>
      <w:r w:rsidRPr="008912EC">
        <w:rPr>
          <w:bCs/>
        </w:rPr>
        <w:t xml:space="preserve"> in Part 4.14 of the NHR</w:t>
      </w:r>
      <w:r w:rsidR="00BD7670" w:rsidRPr="008912EC">
        <w:rPr>
          <w:bCs/>
        </w:rPr>
        <w:t> </w:t>
      </w:r>
      <w:r w:rsidRPr="008912EC">
        <w:rPr>
          <w:bCs/>
        </w:rPr>
        <w:t>Act</w:t>
      </w:r>
      <w:r w:rsidR="00066980" w:rsidRPr="008912EC">
        <w:rPr>
          <w:bCs/>
        </w:rPr>
        <w:t>,</w:t>
      </w:r>
      <w:r w:rsidR="002A7C9F" w:rsidRPr="008912EC">
        <w:rPr>
          <w:bCs/>
        </w:rPr>
        <w:t xml:space="preserve"> as well as the general protections under </w:t>
      </w:r>
      <w:r w:rsidR="002A7C9F" w:rsidRPr="008912EC">
        <w:t xml:space="preserve">the </w:t>
      </w:r>
      <w:r w:rsidR="002A7C9F" w:rsidRPr="008912EC">
        <w:rPr>
          <w:i/>
          <w:iCs/>
        </w:rPr>
        <w:t>Privacy Act 1988</w:t>
      </w:r>
      <w:r w:rsidR="002A7C9F" w:rsidRPr="008912EC">
        <w:t xml:space="preserve">. </w:t>
      </w:r>
      <w:bookmarkStart w:id="1" w:name="_Hlk118963386"/>
      <w:r w:rsidR="002A7C9F" w:rsidRPr="008912EC">
        <w:rPr>
          <w:shd w:val="clear" w:color="auto" w:fill="FFFFFF"/>
        </w:rPr>
        <w:t>The existing penalties for misuse of protected information will protect and ensure safe handling of the information collected.</w:t>
      </w:r>
      <w:bookmarkEnd w:id="1"/>
    </w:p>
    <w:p w14:paraId="7A9A5DBB" w14:textId="77777777" w:rsidR="002A7C9F" w:rsidRPr="008912EC" w:rsidRDefault="002A7C9F" w:rsidP="004C59C6">
      <w:pPr>
        <w:jc w:val="both"/>
        <w:rPr>
          <w:bCs/>
        </w:rPr>
      </w:pPr>
    </w:p>
    <w:p w14:paraId="56C481FF" w14:textId="77777777" w:rsidR="00E4673E" w:rsidRPr="008912EC" w:rsidRDefault="00E4673E" w:rsidP="004C59C6">
      <w:pPr>
        <w:keepNext/>
        <w:keepLines/>
        <w:jc w:val="both"/>
        <w:rPr>
          <w:b/>
        </w:rPr>
      </w:pPr>
      <w:r w:rsidRPr="008912EC">
        <w:rPr>
          <w:b/>
        </w:rPr>
        <w:t>Conclusion</w:t>
      </w:r>
    </w:p>
    <w:p w14:paraId="4BBBED07" w14:textId="44B9EBA9" w:rsidR="00E4673E" w:rsidRPr="008912EC" w:rsidRDefault="00E4673E" w:rsidP="004C59C6">
      <w:pPr>
        <w:jc w:val="both"/>
        <w:rPr>
          <w:b/>
          <w:kern w:val="28"/>
        </w:rPr>
      </w:pPr>
      <w:r w:rsidRPr="008912EC">
        <w:rPr>
          <w:kern w:val="28"/>
        </w:rPr>
        <w:t xml:space="preserve">The Amending Principles are compatible with human rights </w:t>
      </w:r>
      <w:r w:rsidR="00040A1F" w:rsidRPr="008912EC">
        <w:rPr>
          <w:kern w:val="28"/>
        </w:rPr>
        <w:t xml:space="preserve">and freedoms recognised or declared in the international instruments listed in section 3 of the </w:t>
      </w:r>
      <w:r w:rsidR="00040A1F" w:rsidRPr="008912EC">
        <w:rPr>
          <w:i/>
          <w:iCs/>
          <w:color w:val="000000"/>
          <w:shd w:val="clear" w:color="auto" w:fill="FFFFFF"/>
        </w:rPr>
        <w:t>Human Rights (Parliamentary Scrutiny) Act 2011</w:t>
      </w:r>
      <w:r w:rsidR="00040A1F" w:rsidRPr="008912EC">
        <w:rPr>
          <w:color w:val="000000"/>
          <w:shd w:val="clear" w:color="auto" w:fill="FFFFFF"/>
        </w:rPr>
        <w:t xml:space="preserve">. To the extent that aspects of the Amending Principles limit the right to privacy, those limitations are reasonable, </w:t>
      </w:r>
      <w:proofErr w:type="gramStart"/>
      <w:r w:rsidR="00040A1F" w:rsidRPr="008912EC">
        <w:rPr>
          <w:color w:val="000000"/>
          <w:shd w:val="clear" w:color="auto" w:fill="FFFFFF"/>
        </w:rPr>
        <w:t>necessary</w:t>
      </w:r>
      <w:proofErr w:type="gramEnd"/>
      <w:r w:rsidR="00040A1F" w:rsidRPr="008912EC">
        <w:rPr>
          <w:color w:val="000000"/>
          <w:shd w:val="clear" w:color="auto" w:fill="FFFFFF"/>
        </w:rPr>
        <w:t xml:space="preserve"> and proportionate to achieving a legitimate objective</w:t>
      </w:r>
      <w:r w:rsidRPr="008912EC">
        <w:rPr>
          <w:kern w:val="28"/>
        </w:rPr>
        <w:t>.</w:t>
      </w:r>
    </w:p>
    <w:p w14:paraId="0380F3C6" w14:textId="77777777" w:rsidR="00E4673E" w:rsidRPr="008912EC" w:rsidRDefault="00E4673E" w:rsidP="004C59C6">
      <w:pPr>
        <w:rPr>
          <w:b/>
          <w:kern w:val="28"/>
        </w:rPr>
      </w:pPr>
    </w:p>
    <w:p w14:paraId="31DD05A4" w14:textId="77777777" w:rsidR="007D5599" w:rsidRPr="008912EC" w:rsidRDefault="007D5599" w:rsidP="00E4673E">
      <w:pPr>
        <w:jc w:val="center"/>
        <w:rPr>
          <w:rFonts w:ascii="Tms Rmn" w:hAnsi="Tms Rmn"/>
          <w:b/>
          <w:bCs/>
        </w:rPr>
      </w:pPr>
      <w:r w:rsidRPr="008912EC">
        <w:rPr>
          <w:rFonts w:ascii="Tms Rmn" w:hAnsi="Tms Rmn"/>
          <w:b/>
          <w:bCs/>
        </w:rPr>
        <w:t>T</w:t>
      </w:r>
      <w:r w:rsidR="00E4673E" w:rsidRPr="008912EC">
        <w:rPr>
          <w:rFonts w:ascii="Tms Rmn" w:hAnsi="Tms Rmn"/>
          <w:b/>
          <w:bCs/>
        </w:rPr>
        <w:t>he Hon</w:t>
      </w:r>
      <w:r w:rsidRPr="008912EC">
        <w:rPr>
          <w:rFonts w:ascii="Tms Rmn" w:hAnsi="Tms Rmn"/>
          <w:b/>
          <w:bCs/>
        </w:rPr>
        <w:t xml:space="preserve"> Anika Wells MP</w:t>
      </w:r>
    </w:p>
    <w:p w14:paraId="05149853" w14:textId="44A4D4E0" w:rsidR="00E4673E" w:rsidRDefault="00E4673E" w:rsidP="00E4673E">
      <w:pPr>
        <w:jc w:val="center"/>
        <w:rPr>
          <w:rFonts w:ascii="Tms Rmn" w:hAnsi="Tms Rmn"/>
          <w:b/>
          <w:bCs/>
        </w:rPr>
      </w:pPr>
      <w:r w:rsidRPr="008912EC">
        <w:rPr>
          <w:rFonts w:ascii="Tms Rmn" w:hAnsi="Tms Rmn"/>
          <w:b/>
          <w:bCs/>
        </w:rPr>
        <w:t xml:space="preserve">Minister </w:t>
      </w:r>
      <w:r w:rsidR="00BD7670" w:rsidRPr="008912EC">
        <w:rPr>
          <w:rFonts w:ascii="Tms Rmn" w:hAnsi="Tms Rmn"/>
          <w:b/>
          <w:bCs/>
        </w:rPr>
        <w:t xml:space="preserve">for </w:t>
      </w:r>
      <w:r w:rsidRPr="008912EC">
        <w:rPr>
          <w:rFonts w:ascii="Tms Rmn" w:hAnsi="Tms Rmn"/>
          <w:b/>
          <w:bCs/>
        </w:rPr>
        <w:t>Aged Care</w:t>
      </w:r>
      <w:r w:rsidRPr="00336E4E">
        <w:rPr>
          <w:rFonts w:ascii="Tms Rmn" w:hAnsi="Tms Rmn"/>
          <w:b/>
          <w:bCs/>
        </w:rPr>
        <w:t xml:space="preserve"> </w:t>
      </w:r>
    </w:p>
    <w:p w14:paraId="02244DC5" w14:textId="77777777" w:rsidR="00FF78FB" w:rsidRPr="00C546D6" w:rsidRDefault="00FF78FB" w:rsidP="00EC6EAD"/>
    <w:sectPr w:rsidR="00FF78FB" w:rsidRPr="00C546D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DB94" w14:textId="77777777" w:rsidR="00AA345B" w:rsidRDefault="00AA345B" w:rsidP="005D35EB">
      <w:r>
        <w:separator/>
      </w:r>
    </w:p>
  </w:endnote>
  <w:endnote w:type="continuationSeparator" w:id="0">
    <w:p w14:paraId="1A27086E" w14:textId="77777777" w:rsidR="00AA345B" w:rsidRDefault="00AA345B" w:rsidP="005D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1DF" w14:textId="3F121971" w:rsidR="00655D3F" w:rsidRDefault="00655D3F">
    <w:pPr>
      <w:pStyle w:val="Footer"/>
      <w:jc w:val="right"/>
    </w:pPr>
    <w:r>
      <w:fldChar w:fldCharType="begin"/>
    </w:r>
    <w:r>
      <w:instrText xml:space="preserve"> PAGE   \* MERGEFORMAT </w:instrText>
    </w:r>
    <w:r>
      <w:fldChar w:fldCharType="separate"/>
    </w:r>
    <w:r w:rsidR="00336E4E">
      <w:rPr>
        <w:noProof/>
      </w:rPr>
      <w:t>1</w:t>
    </w:r>
    <w:r>
      <w:rPr>
        <w:noProof/>
      </w:rPr>
      <w:fldChar w:fldCharType="end"/>
    </w:r>
  </w:p>
  <w:p w14:paraId="67AB5ED3" w14:textId="77777777" w:rsidR="00655D3F" w:rsidRDefault="0065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6158" w14:textId="77777777" w:rsidR="00AA345B" w:rsidRDefault="00AA345B" w:rsidP="005D35EB">
      <w:r>
        <w:separator/>
      </w:r>
    </w:p>
  </w:footnote>
  <w:footnote w:type="continuationSeparator" w:id="0">
    <w:p w14:paraId="09DA6B36" w14:textId="77777777" w:rsidR="00AA345B" w:rsidRDefault="00AA345B" w:rsidP="005D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269"/>
    <w:multiLevelType w:val="hybridMultilevel"/>
    <w:tmpl w:val="DCB23D36"/>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65B49"/>
    <w:multiLevelType w:val="hybridMultilevel"/>
    <w:tmpl w:val="75386E52"/>
    <w:lvl w:ilvl="0" w:tplc="0C090001">
      <w:start w:val="1"/>
      <w:numFmt w:val="bullet"/>
      <w:lvlText w:val=""/>
      <w:lvlJc w:val="left"/>
      <w:pPr>
        <w:ind w:left="-687" w:hanging="360"/>
      </w:pPr>
      <w:rPr>
        <w:rFonts w:ascii="Symbol" w:hAnsi="Symbol" w:hint="default"/>
      </w:rPr>
    </w:lvl>
    <w:lvl w:ilvl="1" w:tplc="0C090003">
      <w:start w:val="1"/>
      <w:numFmt w:val="bullet"/>
      <w:lvlText w:val="o"/>
      <w:lvlJc w:val="left"/>
      <w:pPr>
        <w:ind w:left="33" w:hanging="360"/>
      </w:pPr>
      <w:rPr>
        <w:rFonts w:ascii="Courier New" w:hAnsi="Courier New" w:cs="Courier New" w:hint="default"/>
      </w:rPr>
    </w:lvl>
    <w:lvl w:ilvl="2" w:tplc="0C090005" w:tentative="1">
      <w:start w:val="1"/>
      <w:numFmt w:val="bullet"/>
      <w:lvlText w:val=""/>
      <w:lvlJc w:val="left"/>
      <w:pPr>
        <w:ind w:left="753" w:hanging="360"/>
      </w:pPr>
      <w:rPr>
        <w:rFonts w:ascii="Wingdings" w:hAnsi="Wingdings" w:hint="default"/>
      </w:rPr>
    </w:lvl>
    <w:lvl w:ilvl="3" w:tplc="0C090001" w:tentative="1">
      <w:start w:val="1"/>
      <w:numFmt w:val="bullet"/>
      <w:lvlText w:val=""/>
      <w:lvlJc w:val="left"/>
      <w:pPr>
        <w:ind w:left="1473" w:hanging="360"/>
      </w:pPr>
      <w:rPr>
        <w:rFonts w:ascii="Symbol" w:hAnsi="Symbol" w:hint="default"/>
      </w:rPr>
    </w:lvl>
    <w:lvl w:ilvl="4" w:tplc="0C090003" w:tentative="1">
      <w:start w:val="1"/>
      <w:numFmt w:val="bullet"/>
      <w:lvlText w:val="o"/>
      <w:lvlJc w:val="left"/>
      <w:pPr>
        <w:ind w:left="2193" w:hanging="360"/>
      </w:pPr>
      <w:rPr>
        <w:rFonts w:ascii="Courier New" w:hAnsi="Courier New" w:cs="Courier New" w:hint="default"/>
      </w:rPr>
    </w:lvl>
    <w:lvl w:ilvl="5" w:tplc="0C090005" w:tentative="1">
      <w:start w:val="1"/>
      <w:numFmt w:val="bullet"/>
      <w:lvlText w:val=""/>
      <w:lvlJc w:val="left"/>
      <w:pPr>
        <w:ind w:left="2913" w:hanging="360"/>
      </w:pPr>
      <w:rPr>
        <w:rFonts w:ascii="Wingdings" w:hAnsi="Wingdings" w:hint="default"/>
      </w:rPr>
    </w:lvl>
    <w:lvl w:ilvl="6" w:tplc="0C090001" w:tentative="1">
      <w:start w:val="1"/>
      <w:numFmt w:val="bullet"/>
      <w:lvlText w:val=""/>
      <w:lvlJc w:val="left"/>
      <w:pPr>
        <w:ind w:left="3633" w:hanging="360"/>
      </w:pPr>
      <w:rPr>
        <w:rFonts w:ascii="Symbol" w:hAnsi="Symbol" w:hint="default"/>
      </w:rPr>
    </w:lvl>
    <w:lvl w:ilvl="7" w:tplc="0C090003" w:tentative="1">
      <w:start w:val="1"/>
      <w:numFmt w:val="bullet"/>
      <w:lvlText w:val="o"/>
      <w:lvlJc w:val="left"/>
      <w:pPr>
        <w:ind w:left="4353" w:hanging="360"/>
      </w:pPr>
      <w:rPr>
        <w:rFonts w:ascii="Courier New" w:hAnsi="Courier New" w:cs="Courier New" w:hint="default"/>
      </w:rPr>
    </w:lvl>
    <w:lvl w:ilvl="8" w:tplc="0C090005" w:tentative="1">
      <w:start w:val="1"/>
      <w:numFmt w:val="bullet"/>
      <w:lvlText w:val=""/>
      <w:lvlJc w:val="left"/>
      <w:pPr>
        <w:ind w:left="5073" w:hanging="360"/>
      </w:pPr>
      <w:rPr>
        <w:rFonts w:ascii="Wingdings" w:hAnsi="Wingdings" w:hint="default"/>
      </w:rPr>
    </w:lvl>
  </w:abstractNum>
  <w:abstractNum w:abstractNumId="2" w15:restartNumberingAfterBreak="0">
    <w:nsid w:val="08765065"/>
    <w:multiLevelType w:val="hybridMultilevel"/>
    <w:tmpl w:val="D21CF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E43BC"/>
    <w:multiLevelType w:val="hybridMultilevel"/>
    <w:tmpl w:val="8B827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75A8C"/>
    <w:multiLevelType w:val="hybridMultilevel"/>
    <w:tmpl w:val="D55A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B4E96"/>
    <w:multiLevelType w:val="hybridMultilevel"/>
    <w:tmpl w:val="AEC442A4"/>
    <w:lvl w:ilvl="0" w:tplc="02AA767E">
      <w:start w:val="1"/>
      <w:numFmt w:val="lowerLetter"/>
      <w:lvlText w:val="(%1)"/>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1E0F2E"/>
    <w:multiLevelType w:val="hybridMultilevel"/>
    <w:tmpl w:val="FC329FBA"/>
    <w:lvl w:ilvl="0" w:tplc="AEF8DC9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990040"/>
    <w:multiLevelType w:val="hybridMultilevel"/>
    <w:tmpl w:val="1EF89A4A"/>
    <w:lvl w:ilvl="0" w:tplc="189A14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9A0F30"/>
    <w:multiLevelType w:val="hybridMultilevel"/>
    <w:tmpl w:val="B362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D93452"/>
    <w:multiLevelType w:val="hybridMultilevel"/>
    <w:tmpl w:val="6344C2E2"/>
    <w:lvl w:ilvl="0" w:tplc="FEEEAEC6">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14577776"/>
    <w:multiLevelType w:val="hybridMultilevel"/>
    <w:tmpl w:val="7A1AD200"/>
    <w:lvl w:ilvl="0" w:tplc="0C090001">
      <w:start w:val="1"/>
      <w:numFmt w:val="bullet"/>
      <w:lvlText w:val=""/>
      <w:lvlJc w:val="left"/>
      <w:pPr>
        <w:ind w:left="360" w:hanging="360"/>
      </w:pPr>
      <w:rPr>
        <w:rFonts w:ascii="Symbol" w:hAnsi="Symbol" w:hint="default"/>
      </w:rPr>
    </w:lvl>
    <w:lvl w:ilvl="1" w:tplc="DBCA8D16">
      <w:numFmt w:val="bullet"/>
      <w:lvlText w:val="•"/>
      <w:lvlJc w:val="left"/>
      <w:pPr>
        <w:ind w:left="1440" w:hanging="72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0D1A1D"/>
    <w:multiLevelType w:val="hybridMultilevel"/>
    <w:tmpl w:val="E1CA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D3CDD"/>
    <w:multiLevelType w:val="hybridMultilevel"/>
    <w:tmpl w:val="625E1C24"/>
    <w:lvl w:ilvl="0" w:tplc="02AA767E">
      <w:start w:val="1"/>
      <w:numFmt w:val="lowerLetter"/>
      <w:lvlText w:val="(%1)"/>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53097E"/>
    <w:multiLevelType w:val="hybridMultilevel"/>
    <w:tmpl w:val="92427E70"/>
    <w:lvl w:ilvl="0" w:tplc="02AA767E">
      <w:start w:val="1"/>
      <w:numFmt w:val="lowerLetter"/>
      <w:lvlText w:val="(%1)"/>
      <w:lvlJc w:val="left"/>
      <w:pPr>
        <w:ind w:left="720" w:hanging="360"/>
      </w:pPr>
      <w:rPr>
        <w:rFonts w:ascii="Times New Roman" w:eastAsia="Times New Roman" w:hAnsi="Times New Roman" w:cs="Times New Roman"/>
      </w:rPr>
    </w:lvl>
    <w:lvl w:ilvl="1" w:tplc="B3C074F0">
      <w:start w:val="1"/>
      <w:numFmt w:val="lowerRoman"/>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6F2FF2"/>
    <w:multiLevelType w:val="hybridMultilevel"/>
    <w:tmpl w:val="26D65D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277935"/>
    <w:multiLevelType w:val="hybridMultilevel"/>
    <w:tmpl w:val="6EBCA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48482A"/>
    <w:multiLevelType w:val="hybridMultilevel"/>
    <w:tmpl w:val="7A242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F77916"/>
    <w:multiLevelType w:val="hybridMultilevel"/>
    <w:tmpl w:val="EA6CC342"/>
    <w:lvl w:ilvl="0" w:tplc="41E086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241567"/>
    <w:multiLevelType w:val="hybridMultilevel"/>
    <w:tmpl w:val="A482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1A6D55"/>
    <w:multiLevelType w:val="hybridMultilevel"/>
    <w:tmpl w:val="24AA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B05F6"/>
    <w:multiLevelType w:val="hybridMultilevel"/>
    <w:tmpl w:val="9850D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736EE1"/>
    <w:multiLevelType w:val="hybridMultilevel"/>
    <w:tmpl w:val="E7A4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D37B5F"/>
    <w:multiLevelType w:val="hybridMultilevel"/>
    <w:tmpl w:val="77266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973930"/>
    <w:multiLevelType w:val="hybridMultilevel"/>
    <w:tmpl w:val="514A1B88"/>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374F9B"/>
    <w:multiLevelType w:val="hybridMultilevel"/>
    <w:tmpl w:val="2C56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C420A8"/>
    <w:multiLevelType w:val="hybridMultilevel"/>
    <w:tmpl w:val="0186E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6" w15:restartNumberingAfterBreak="0">
    <w:nsid w:val="47CE7F4E"/>
    <w:multiLevelType w:val="hybridMultilevel"/>
    <w:tmpl w:val="5DAE5B6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EA7F0B"/>
    <w:multiLevelType w:val="hybridMultilevel"/>
    <w:tmpl w:val="07BAA8C0"/>
    <w:lvl w:ilvl="0" w:tplc="7C22CB70">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7B7F2F"/>
    <w:multiLevelType w:val="hybridMultilevel"/>
    <w:tmpl w:val="2A4895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F7322EC"/>
    <w:multiLevelType w:val="hybridMultilevel"/>
    <w:tmpl w:val="F9BA0B3A"/>
    <w:lvl w:ilvl="0" w:tplc="02AA767E">
      <w:start w:val="1"/>
      <w:numFmt w:val="lowerLetter"/>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8926F1"/>
    <w:multiLevelType w:val="hybridMultilevel"/>
    <w:tmpl w:val="2C54E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3E115F"/>
    <w:multiLevelType w:val="hybridMultilevel"/>
    <w:tmpl w:val="16A630A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0861F5"/>
    <w:multiLevelType w:val="hybridMultilevel"/>
    <w:tmpl w:val="9A145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B00609"/>
    <w:multiLevelType w:val="hybridMultilevel"/>
    <w:tmpl w:val="5008B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C941E9"/>
    <w:multiLevelType w:val="hybridMultilevel"/>
    <w:tmpl w:val="AA226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034F16"/>
    <w:multiLevelType w:val="hybridMultilevel"/>
    <w:tmpl w:val="B4361D44"/>
    <w:lvl w:ilvl="0" w:tplc="02AA767E">
      <w:start w:val="1"/>
      <w:numFmt w:val="lowerLetter"/>
      <w:lvlText w:val="(%1)"/>
      <w:lvlJc w:val="left"/>
      <w:pPr>
        <w:ind w:left="360" w:hanging="360"/>
      </w:pPr>
      <w:rPr>
        <w:rFonts w:ascii="Times New Roman" w:eastAsia="Times New Roman" w:hAnsi="Times New Roman" w:cs="Times New Roman" w:hint="default"/>
      </w:rPr>
    </w:lvl>
    <w:lvl w:ilvl="1" w:tplc="B3C074F0">
      <w:start w:val="1"/>
      <w:numFmt w:val="lowerRoman"/>
      <w:lvlText w:val="(%2)"/>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88D6945"/>
    <w:multiLevelType w:val="hybridMultilevel"/>
    <w:tmpl w:val="9FCE4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EC7792"/>
    <w:multiLevelType w:val="hybridMultilevel"/>
    <w:tmpl w:val="DC544134"/>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967280"/>
    <w:multiLevelType w:val="hybridMultilevel"/>
    <w:tmpl w:val="E99E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9E040B"/>
    <w:multiLevelType w:val="hybridMultilevel"/>
    <w:tmpl w:val="B35076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4BB2CFB"/>
    <w:multiLevelType w:val="hybridMultilevel"/>
    <w:tmpl w:val="85440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609DB"/>
    <w:multiLevelType w:val="hybridMultilevel"/>
    <w:tmpl w:val="9D16E862"/>
    <w:lvl w:ilvl="0" w:tplc="B64C240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914D2F"/>
    <w:multiLevelType w:val="hybridMultilevel"/>
    <w:tmpl w:val="AB3C9A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C25F98"/>
    <w:multiLevelType w:val="hybridMultilevel"/>
    <w:tmpl w:val="9FBC8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D23B03"/>
    <w:multiLevelType w:val="hybridMultilevel"/>
    <w:tmpl w:val="47D87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D54382"/>
    <w:multiLevelType w:val="hybridMultilevel"/>
    <w:tmpl w:val="1EF89A4A"/>
    <w:lvl w:ilvl="0" w:tplc="189A14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44377029">
    <w:abstractNumId w:val="41"/>
  </w:num>
  <w:num w:numId="2" w16cid:durableId="399182162">
    <w:abstractNumId w:val="44"/>
  </w:num>
  <w:num w:numId="3" w16cid:durableId="860313299">
    <w:abstractNumId w:val="16"/>
  </w:num>
  <w:num w:numId="4" w16cid:durableId="930315110">
    <w:abstractNumId w:val="34"/>
  </w:num>
  <w:num w:numId="5" w16cid:durableId="802312587">
    <w:abstractNumId w:val="1"/>
  </w:num>
  <w:num w:numId="6" w16cid:durableId="1239173018">
    <w:abstractNumId w:val="43"/>
  </w:num>
  <w:num w:numId="7" w16cid:durableId="33892979">
    <w:abstractNumId w:val="3"/>
  </w:num>
  <w:num w:numId="8" w16cid:durableId="1521121372">
    <w:abstractNumId w:val="20"/>
  </w:num>
  <w:num w:numId="9" w16cid:durableId="71706065">
    <w:abstractNumId w:val="39"/>
  </w:num>
  <w:num w:numId="10" w16cid:durableId="302587845">
    <w:abstractNumId w:val="2"/>
  </w:num>
  <w:num w:numId="11" w16cid:durableId="1773891864">
    <w:abstractNumId w:val="33"/>
  </w:num>
  <w:num w:numId="12" w16cid:durableId="472606129">
    <w:abstractNumId w:val="6"/>
  </w:num>
  <w:num w:numId="13" w16cid:durableId="271715548">
    <w:abstractNumId w:val="7"/>
  </w:num>
  <w:num w:numId="14" w16cid:durableId="130444858">
    <w:abstractNumId w:val="47"/>
  </w:num>
  <w:num w:numId="15" w16cid:durableId="659037959">
    <w:abstractNumId w:val="8"/>
  </w:num>
  <w:num w:numId="16" w16cid:durableId="112794179">
    <w:abstractNumId w:val="22"/>
  </w:num>
  <w:num w:numId="17" w16cid:durableId="1605071421">
    <w:abstractNumId w:val="46"/>
  </w:num>
  <w:num w:numId="18" w16cid:durableId="777219655">
    <w:abstractNumId w:val="11"/>
  </w:num>
  <w:num w:numId="19" w16cid:durableId="975333873">
    <w:abstractNumId w:val="5"/>
  </w:num>
  <w:num w:numId="20" w16cid:durableId="205872035">
    <w:abstractNumId w:val="12"/>
  </w:num>
  <w:num w:numId="21" w16cid:durableId="964971144">
    <w:abstractNumId w:val="10"/>
  </w:num>
  <w:num w:numId="22" w16cid:durableId="1918249455">
    <w:abstractNumId w:val="31"/>
  </w:num>
  <w:num w:numId="23" w16cid:durableId="1018653593">
    <w:abstractNumId w:val="14"/>
  </w:num>
  <w:num w:numId="24" w16cid:durableId="1070150537">
    <w:abstractNumId w:val="15"/>
  </w:num>
  <w:num w:numId="25" w16cid:durableId="714547717">
    <w:abstractNumId w:val="32"/>
  </w:num>
  <w:num w:numId="26" w16cid:durableId="1293437076">
    <w:abstractNumId w:val="18"/>
  </w:num>
  <w:num w:numId="27" w16cid:durableId="1102527946">
    <w:abstractNumId w:val="40"/>
  </w:num>
  <w:num w:numId="28" w16cid:durableId="789126850">
    <w:abstractNumId w:val="4"/>
  </w:num>
  <w:num w:numId="29" w16cid:durableId="996029714">
    <w:abstractNumId w:val="19"/>
  </w:num>
  <w:num w:numId="30" w16cid:durableId="1598365343">
    <w:abstractNumId w:val="24"/>
  </w:num>
  <w:num w:numId="31" w16cid:durableId="1518815631">
    <w:abstractNumId w:val="25"/>
  </w:num>
  <w:num w:numId="32" w16cid:durableId="1029112853">
    <w:abstractNumId w:val="23"/>
  </w:num>
  <w:num w:numId="33" w16cid:durableId="342978491">
    <w:abstractNumId w:val="37"/>
  </w:num>
  <w:num w:numId="34" w16cid:durableId="1229536043">
    <w:abstractNumId w:val="0"/>
  </w:num>
  <w:num w:numId="35" w16cid:durableId="1991401433">
    <w:abstractNumId w:val="29"/>
  </w:num>
  <w:num w:numId="36" w16cid:durableId="1128082788">
    <w:abstractNumId w:val="13"/>
  </w:num>
  <w:num w:numId="37" w16cid:durableId="1869223518">
    <w:abstractNumId w:val="35"/>
  </w:num>
  <w:num w:numId="38" w16cid:durableId="1577738545">
    <w:abstractNumId w:val="21"/>
  </w:num>
  <w:num w:numId="39" w16cid:durableId="772096182">
    <w:abstractNumId w:val="27"/>
  </w:num>
  <w:num w:numId="40" w16cid:durableId="1297906982">
    <w:abstractNumId w:val="36"/>
  </w:num>
  <w:num w:numId="41" w16cid:durableId="1934127665">
    <w:abstractNumId w:val="30"/>
  </w:num>
  <w:num w:numId="42" w16cid:durableId="835338713">
    <w:abstractNumId w:val="26"/>
  </w:num>
  <w:num w:numId="43" w16cid:durableId="1766265262">
    <w:abstractNumId w:val="28"/>
  </w:num>
  <w:num w:numId="44" w16cid:durableId="892883967">
    <w:abstractNumId w:val="38"/>
  </w:num>
  <w:num w:numId="45" w16cid:durableId="1907719848">
    <w:abstractNumId w:val="17"/>
  </w:num>
  <w:num w:numId="46" w16cid:durableId="672219138">
    <w:abstractNumId w:val="45"/>
  </w:num>
  <w:num w:numId="47" w16cid:durableId="882255743">
    <w:abstractNumId w:val="42"/>
  </w:num>
  <w:num w:numId="48" w16cid:durableId="142090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0BBD"/>
    <w:rsid w:val="000013BF"/>
    <w:rsid w:val="000020EF"/>
    <w:rsid w:val="0000255B"/>
    <w:rsid w:val="000027A0"/>
    <w:rsid w:val="0000305A"/>
    <w:rsid w:val="0000314E"/>
    <w:rsid w:val="000031CA"/>
    <w:rsid w:val="000039CD"/>
    <w:rsid w:val="00003B1F"/>
    <w:rsid w:val="00003B2A"/>
    <w:rsid w:val="0000408A"/>
    <w:rsid w:val="000042D0"/>
    <w:rsid w:val="000044FC"/>
    <w:rsid w:val="000046B6"/>
    <w:rsid w:val="00004707"/>
    <w:rsid w:val="00004892"/>
    <w:rsid w:val="00004B2C"/>
    <w:rsid w:val="00005251"/>
    <w:rsid w:val="000053E5"/>
    <w:rsid w:val="000054FC"/>
    <w:rsid w:val="000055A5"/>
    <w:rsid w:val="00005AEF"/>
    <w:rsid w:val="00005C2B"/>
    <w:rsid w:val="000062AE"/>
    <w:rsid w:val="000069B1"/>
    <w:rsid w:val="00006EA7"/>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CD8"/>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0A1F"/>
    <w:rsid w:val="000410BA"/>
    <w:rsid w:val="000411DB"/>
    <w:rsid w:val="0004124E"/>
    <w:rsid w:val="0004138B"/>
    <w:rsid w:val="00041A76"/>
    <w:rsid w:val="00041B9C"/>
    <w:rsid w:val="0004200B"/>
    <w:rsid w:val="000420A2"/>
    <w:rsid w:val="0004246C"/>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622"/>
    <w:rsid w:val="00050A0C"/>
    <w:rsid w:val="00050C99"/>
    <w:rsid w:val="00050F4D"/>
    <w:rsid w:val="000512B0"/>
    <w:rsid w:val="00052294"/>
    <w:rsid w:val="00052345"/>
    <w:rsid w:val="00052A8F"/>
    <w:rsid w:val="00053464"/>
    <w:rsid w:val="00053590"/>
    <w:rsid w:val="000536B8"/>
    <w:rsid w:val="00053C1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234"/>
    <w:rsid w:val="000623B5"/>
    <w:rsid w:val="00062422"/>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980"/>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7B6"/>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81E"/>
    <w:rsid w:val="000A5B6A"/>
    <w:rsid w:val="000A65FC"/>
    <w:rsid w:val="000A6D2C"/>
    <w:rsid w:val="000A6DB5"/>
    <w:rsid w:val="000A6FA3"/>
    <w:rsid w:val="000A7419"/>
    <w:rsid w:val="000A7628"/>
    <w:rsid w:val="000A7A4C"/>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F0"/>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A60"/>
    <w:rsid w:val="000C4228"/>
    <w:rsid w:val="000C463A"/>
    <w:rsid w:val="000C47FF"/>
    <w:rsid w:val="000C4805"/>
    <w:rsid w:val="000C4CEA"/>
    <w:rsid w:val="000C4D64"/>
    <w:rsid w:val="000C500A"/>
    <w:rsid w:val="000C500D"/>
    <w:rsid w:val="000C5393"/>
    <w:rsid w:val="000C5BB1"/>
    <w:rsid w:val="000C6F17"/>
    <w:rsid w:val="000C7001"/>
    <w:rsid w:val="000C7454"/>
    <w:rsid w:val="000C750E"/>
    <w:rsid w:val="000C7ABD"/>
    <w:rsid w:val="000C7DDB"/>
    <w:rsid w:val="000C7EFB"/>
    <w:rsid w:val="000D0205"/>
    <w:rsid w:val="000D0673"/>
    <w:rsid w:val="000D090A"/>
    <w:rsid w:val="000D1565"/>
    <w:rsid w:val="000D1683"/>
    <w:rsid w:val="000D1730"/>
    <w:rsid w:val="000D1777"/>
    <w:rsid w:val="000D1ACE"/>
    <w:rsid w:val="000D1C51"/>
    <w:rsid w:val="000D1C86"/>
    <w:rsid w:val="000D2391"/>
    <w:rsid w:val="000D27EE"/>
    <w:rsid w:val="000D29A9"/>
    <w:rsid w:val="000D2DFF"/>
    <w:rsid w:val="000D2F41"/>
    <w:rsid w:val="000D31E9"/>
    <w:rsid w:val="000D33A0"/>
    <w:rsid w:val="000D33AB"/>
    <w:rsid w:val="000D34BA"/>
    <w:rsid w:val="000D397F"/>
    <w:rsid w:val="000D3AFF"/>
    <w:rsid w:val="000D3BA1"/>
    <w:rsid w:val="000D42FA"/>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4B1"/>
    <w:rsid w:val="000E0633"/>
    <w:rsid w:val="000E06D3"/>
    <w:rsid w:val="000E0DA4"/>
    <w:rsid w:val="000E0E77"/>
    <w:rsid w:val="000E0F5F"/>
    <w:rsid w:val="000E1359"/>
    <w:rsid w:val="000E1770"/>
    <w:rsid w:val="000E1C07"/>
    <w:rsid w:val="000E1E5D"/>
    <w:rsid w:val="000E20C1"/>
    <w:rsid w:val="000E2268"/>
    <w:rsid w:val="000E2295"/>
    <w:rsid w:val="000E27D7"/>
    <w:rsid w:val="000E2BA4"/>
    <w:rsid w:val="000E3186"/>
    <w:rsid w:val="000E32D7"/>
    <w:rsid w:val="000E38DD"/>
    <w:rsid w:val="000E3F6A"/>
    <w:rsid w:val="000E407B"/>
    <w:rsid w:val="000E475B"/>
    <w:rsid w:val="000E4C37"/>
    <w:rsid w:val="000E4C72"/>
    <w:rsid w:val="000E4DDF"/>
    <w:rsid w:val="000E4E14"/>
    <w:rsid w:val="000E5B0F"/>
    <w:rsid w:val="000E5F62"/>
    <w:rsid w:val="000E630A"/>
    <w:rsid w:val="000E6550"/>
    <w:rsid w:val="000E6621"/>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A1B"/>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049"/>
    <w:rsid w:val="0010755C"/>
    <w:rsid w:val="0010760E"/>
    <w:rsid w:val="0010772B"/>
    <w:rsid w:val="0010776D"/>
    <w:rsid w:val="00107CDE"/>
    <w:rsid w:val="001100B2"/>
    <w:rsid w:val="001100F9"/>
    <w:rsid w:val="00110461"/>
    <w:rsid w:val="00110CF9"/>
    <w:rsid w:val="00110ECD"/>
    <w:rsid w:val="0011108D"/>
    <w:rsid w:val="001111DF"/>
    <w:rsid w:val="001113C0"/>
    <w:rsid w:val="0011176C"/>
    <w:rsid w:val="00111B2A"/>
    <w:rsid w:val="00111D3E"/>
    <w:rsid w:val="00111DAD"/>
    <w:rsid w:val="00112231"/>
    <w:rsid w:val="001123C2"/>
    <w:rsid w:val="00112466"/>
    <w:rsid w:val="0011262E"/>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9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102"/>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C6A"/>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44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12"/>
    <w:rsid w:val="00185985"/>
    <w:rsid w:val="0018619B"/>
    <w:rsid w:val="00186BFC"/>
    <w:rsid w:val="00186CCB"/>
    <w:rsid w:val="00186F50"/>
    <w:rsid w:val="00187930"/>
    <w:rsid w:val="00187E91"/>
    <w:rsid w:val="001902FD"/>
    <w:rsid w:val="00190327"/>
    <w:rsid w:val="001906FA"/>
    <w:rsid w:val="00190AF9"/>
    <w:rsid w:val="00190B19"/>
    <w:rsid w:val="00190E90"/>
    <w:rsid w:val="001918ED"/>
    <w:rsid w:val="00191FCF"/>
    <w:rsid w:val="0019208F"/>
    <w:rsid w:val="0019242B"/>
    <w:rsid w:val="001928F6"/>
    <w:rsid w:val="00192C11"/>
    <w:rsid w:val="00192E83"/>
    <w:rsid w:val="00192F31"/>
    <w:rsid w:val="0019316E"/>
    <w:rsid w:val="001934EC"/>
    <w:rsid w:val="001937CB"/>
    <w:rsid w:val="0019461F"/>
    <w:rsid w:val="001947B6"/>
    <w:rsid w:val="00194FF6"/>
    <w:rsid w:val="001954D0"/>
    <w:rsid w:val="001954E6"/>
    <w:rsid w:val="001956D0"/>
    <w:rsid w:val="00195BBA"/>
    <w:rsid w:val="00195C5A"/>
    <w:rsid w:val="00195CC0"/>
    <w:rsid w:val="00195DEB"/>
    <w:rsid w:val="00195ECD"/>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92"/>
    <w:rsid w:val="001A3D6D"/>
    <w:rsid w:val="001A4C2B"/>
    <w:rsid w:val="001A4E29"/>
    <w:rsid w:val="001A5161"/>
    <w:rsid w:val="001A5362"/>
    <w:rsid w:val="001A55DE"/>
    <w:rsid w:val="001A5B67"/>
    <w:rsid w:val="001A5F74"/>
    <w:rsid w:val="001A619E"/>
    <w:rsid w:val="001A653E"/>
    <w:rsid w:val="001A6874"/>
    <w:rsid w:val="001A7552"/>
    <w:rsid w:val="001A75F9"/>
    <w:rsid w:val="001A791C"/>
    <w:rsid w:val="001A7FAA"/>
    <w:rsid w:val="001B0875"/>
    <w:rsid w:val="001B0DFE"/>
    <w:rsid w:val="001B0EFC"/>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1C"/>
    <w:rsid w:val="001B514D"/>
    <w:rsid w:val="001B55E5"/>
    <w:rsid w:val="001B5B2E"/>
    <w:rsid w:val="001B5C81"/>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A84"/>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A39"/>
    <w:rsid w:val="001F4CAF"/>
    <w:rsid w:val="001F53A3"/>
    <w:rsid w:val="001F5452"/>
    <w:rsid w:val="001F5712"/>
    <w:rsid w:val="001F5AF4"/>
    <w:rsid w:val="001F5CA7"/>
    <w:rsid w:val="001F5D18"/>
    <w:rsid w:val="001F6AD6"/>
    <w:rsid w:val="001F6C67"/>
    <w:rsid w:val="001F6FBD"/>
    <w:rsid w:val="001F7072"/>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7A5"/>
    <w:rsid w:val="00221A8C"/>
    <w:rsid w:val="00222A01"/>
    <w:rsid w:val="00222B12"/>
    <w:rsid w:val="00222D13"/>
    <w:rsid w:val="002231B6"/>
    <w:rsid w:val="00223384"/>
    <w:rsid w:val="00223A51"/>
    <w:rsid w:val="00223C21"/>
    <w:rsid w:val="00223E9D"/>
    <w:rsid w:val="0022409E"/>
    <w:rsid w:val="0022445E"/>
    <w:rsid w:val="00224A4A"/>
    <w:rsid w:val="00225E3D"/>
    <w:rsid w:val="00225E8B"/>
    <w:rsid w:val="00226144"/>
    <w:rsid w:val="00226CCB"/>
    <w:rsid w:val="00226CD7"/>
    <w:rsid w:val="00226CDC"/>
    <w:rsid w:val="00226E43"/>
    <w:rsid w:val="00226E70"/>
    <w:rsid w:val="00226FD3"/>
    <w:rsid w:val="00227171"/>
    <w:rsid w:val="00227904"/>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214"/>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0E99"/>
    <w:rsid w:val="0024122F"/>
    <w:rsid w:val="00241EA1"/>
    <w:rsid w:val="00241EF5"/>
    <w:rsid w:val="0024246F"/>
    <w:rsid w:val="00242689"/>
    <w:rsid w:val="00242AA8"/>
    <w:rsid w:val="0024325B"/>
    <w:rsid w:val="002432E4"/>
    <w:rsid w:val="002435C8"/>
    <w:rsid w:val="00243650"/>
    <w:rsid w:val="002436C8"/>
    <w:rsid w:val="00243B24"/>
    <w:rsid w:val="002441BC"/>
    <w:rsid w:val="002444E8"/>
    <w:rsid w:val="00244579"/>
    <w:rsid w:val="00245450"/>
    <w:rsid w:val="0024559A"/>
    <w:rsid w:val="00245611"/>
    <w:rsid w:val="00245A32"/>
    <w:rsid w:val="00245C4B"/>
    <w:rsid w:val="00245E45"/>
    <w:rsid w:val="00246CDB"/>
    <w:rsid w:val="002471C1"/>
    <w:rsid w:val="0024743C"/>
    <w:rsid w:val="00247A23"/>
    <w:rsid w:val="00247D5A"/>
    <w:rsid w:val="002505E6"/>
    <w:rsid w:val="00250965"/>
    <w:rsid w:val="00250CF9"/>
    <w:rsid w:val="0025189E"/>
    <w:rsid w:val="00251A82"/>
    <w:rsid w:val="00252056"/>
    <w:rsid w:val="00252BFA"/>
    <w:rsid w:val="002532CF"/>
    <w:rsid w:val="002533DA"/>
    <w:rsid w:val="0025371D"/>
    <w:rsid w:val="00253872"/>
    <w:rsid w:val="00253A02"/>
    <w:rsid w:val="002544B0"/>
    <w:rsid w:val="0025453A"/>
    <w:rsid w:val="002545FA"/>
    <w:rsid w:val="002549F1"/>
    <w:rsid w:val="00254A27"/>
    <w:rsid w:val="00254A41"/>
    <w:rsid w:val="00254A7D"/>
    <w:rsid w:val="00254DF6"/>
    <w:rsid w:val="00254EDC"/>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69F"/>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E8B"/>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749"/>
    <w:rsid w:val="00276CA6"/>
    <w:rsid w:val="00277120"/>
    <w:rsid w:val="0027719C"/>
    <w:rsid w:val="00277667"/>
    <w:rsid w:val="00277707"/>
    <w:rsid w:val="00277C65"/>
    <w:rsid w:val="00277CAF"/>
    <w:rsid w:val="002807CA"/>
    <w:rsid w:val="0028097D"/>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5A7"/>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B1E"/>
    <w:rsid w:val="002A3048"/>
    <w:rsid w:val="002A30D2"/>
    <w:rsid w:val="002A3416"/>
    <w:rsid w:val="002A3783"/>
    <w:rsid w:val="002A461D"/>
    <w:rsid w:val="002A481B"/>
    <w:rsid w:val="002A48FA"/>
    <w:rsid w:val="002A4938"/>
    <w:rsid w:val="002A4BFE"/>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C9F"/>
    <w:rsid w:val="002B02D9"/>
    <w:rsid w:val="002B06B7"/>
    <w:rsid w:val="002B0723"/>
    <w:rsid w:val="002B0864"/>
    <w:rsid w:val="002B0B0B"/>
    <w:rsid w:val="002B0D69"/>
    <w:rsid w:val="002B1079"/>
    <w:rsid w:val="002B109F"/>
    <w:rsid w:val="002B10EF"/>
    <w:rsid w:val="002B1650"/>
    <w:rsid w:val="002B17AD"/>
    <w:rsid w:val="002B191F"/>
    <w:rsid w:val="002B1A6D"/>
    <w:rsid w:val="002B1B2F"/>
    <w:rsid w:val="002B1C2A"/>
    <w:rsid w:val="002B20A4"/>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8A1"/>
    <w:rsid w:val="002B49F2"/>
    <w:rsid w:val="002B4AF8"/>
    <w:rsid w:val="002B4B24"/>
    <w:rsid w:val="002B4B56"/>
    <w:rsid w:val="002B4D32"/>
    <w:rsid w:val="002B5471"/>
    <w:rsid w:val="002B54DF"/>
    <w:rsid w:val="002B586E"/>
    <w:rsid w:val="002B595D"/>
    <w:rsid w:val="002B5FA3"/>
    <w:rsid w:val="002B6139"/>
    <w:rsid w:val="002B6C59"/>
    <w:rsid w:val="002B6E2E"/>
    <w:rsid w:val="002B74C0"/>
    <w:rsid w:val="002B74D6"/>
    <w:rsid w:val="002B7824"/>
    <w:rsid w:val="002B788B"/>
    <w:rsid w:val="002B78E3"/>
    <w:rsid w:val="002C006A"/>
    <w:rsid w:val="002C0266"/>
    <w:rsid w:val="002C06FC"/>
    <w:rsid w:val="002C09B8"/>
    <w:rsid w:val="002C0C4F"/>
    <w:rsid w:val="002C0F53"/>
    <w:rsid w:val="002C13BF"/>
    <w:rsid w:val="002C1577"/>
    <w:rsid w:val="002C16C2"/>
    <w:rsid w:val="002C1860"/>
    <w:rsid w:val="002C1B1C"/>
    <w:rsid w:val="002C273E"/>
    <w:rsid w:val="002C29C7"/>
    <w:rsid w:val="002C2A7F"/>
    <w:rsid w:val="002C2D30"/>
    <w:rsid w:val="002C2DBA"/>
    <w:rsid w:val="002C2F65"/>
    <w:rsid w:val="002C361A"/>
    <w:rsid w:val="002C3996"/>
    <w:rsid w:val="002C4243"/>
    <w:rsid w:val="002C4353"/>
    <w:rsid w:val="002C49B3"/>
    <w:rsid w:val="002C49D9"/>
    <w:rsid w:val="002C4AA4"/>
    <w:rsid w:val="002C4BBB"/>
    <w:rsid w:val="002C4BD7"/>
    <w:rsid w:val="002C4D2F"/>
    <w:rsid w:val="002C4EAA"/>
    <w:rsid w:val="002C5003"/>
    <w:rsid w:val="002C5297"/>
    <w:rsid w:val="002C5588"/>
    <w:rsid w:val="002C55D7"/>
    <w:rsid w:val="002C630D"/>
    <w:rsid w:val="002C6570"/>
    <w:rsid w:val="002C65C3"/>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DCC"/>
    <w:rsid w:val="002E5BA1"/>
    <w:rsid w:val="002E5D65"/>
    <w:rsid w:val="002E5F4C"/>
    <w:rsid w:val="002E6561"/>
    <w:rsid w:val="002E65A1"/>
    <w:rsid w:val="002E66B7"/>
    <w:rsid w:val="002E67C4"/>
    <w:rsid w:val="002E6ACD"/>
    <w:rsid w:val="002E6C41"/>
    <w:rsid w:val="002E729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A7A"/>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89F"/>
    <w:rsid w:val="00320B52"/>
    <w:rsid w:val="00320E41"/>
    <w:rsid w:val="003210D7"/>
    <w:rsid w:val="0032192C"/>
    <w:rsid w:val="003219E8"/>
    <w:rsid w:val="00321E3A"/>
    <w:rsid w:val="00322C9B"/>
    <w:rsid w:val="00322C9C"/>
    <w:rsid w:val="00322CBA"/>
    <w:rsid w:val="00322E83"/>
    <w:rsid w:val="003243E4"/>
    <w:rsid w:val="00324AB4"/>
    <w:rsid w:val="00324E72"/>
    <w:rsid w:val="0032578C"/>
    <w:rsid w:val="00325A31"/>
    <w:rsid w:val="00325B90"/>
    <w:rsid w:val="00326169"/>
    <w:rsid w:val="003263C0"/>
    <w:rsid w:val="00326467"/>
    <w:rsid w:val="00326749"/>
    <w:rsid w:val="003275A9"/>
    <w:rsid w:val="00327B5D"/>
    <w:rsid w:val="00330367"/>
    <w:rsid w:val="003305DD"/>
    <w:rsid w:val="00330886"/>
    <w:rsid w:val="00330A62"/>
    <w:rsid w:val="00330AE9"/>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B42"/>
    <w:rsid w:val="003342C3"/>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4E"/>
    <w:rsid w:val="003373A2"/>
    <w:rsid w:val="00337624"/>
    <w:rsid w:val="00337667"/>
    <w:rsid w:val="003376B7"/>
    <w:rsid w:val="003378EF"/>
    <w:rsid w:val="00337EFF"/>
    <w:rsid w:val="003406C6"/>
    <w:rsid w:val="00340E3A"/>
    <w:rsid w:val="00341034"/>
    <w:rsid w:val="00341241"/>
    <w:rsid w:val="00341570"/>
    <w:rsid w:val="003418E6"/>
    <w:rsid w:val="003425A8"/>
    <w:rsid w:val="00342A17"/>
    <w:rsid w:val="00342D10"/>
    <w:rsid w:val="00343053"/>
    <w:rsid w:val="00343113"/>
    <w:rsid w:val="00343490"/>
    <w:rsid w:val="003437E6"/>
    <w:rsid w:val="00343935"/>
    <w:rsid w:val="00344029"/>
    <w:rsid w:val="00344ACB"/>
    <w:rsid w:val="00344B4D"/>
    <w:rsid w:val="0034552C"/>
    <w:rsid w:val="0034561F"/>
    <w:rsid w:val="0034563B"/>
    <w:rsid w:val="00345A84"/>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2BBA"/>
    <w:rsid w:val="00353570"/>
    <w:rsid w:val="003537E5"/>
    <w:rsid w:val="00353C0F"/>
    <w:rsid w:val="00353C64"/>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3B4"/>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492"/>
    <w:rsid w:val="003717B5"/>
    <w:rsid w:val="00371A96"/>
    <w:rsid w:val="0037236F"/>
    <w:rsid w:val="003727D4"/>
    <w:rsid w:val="00372850"/>
    <w:rsid w:val="00372CB5"/>
    <w:rsid w:val="00372EC6"/>
    <w:rsid w:val="003730F9"/>
    <w:rsid w:val="00373659"/>
    <w:rsid w:val="00373763"/>
    <w:rsid w:val="0037442E"/>
    <w:rsid w:val="0037448C"/>
    <w:rsid w:val="00374C2A"/>
    <w:rsid w:val="003756E4"/>
    <w:rsid w:val="00375CE3"/>
    <w:rsid w:val="003765A1"/>
    <w:rsid w:val="0037699F"/>
    <w:rsid w:val="003777E7"/>
    <w:rsid w:val="00377C8B"/>
    <w:rsid w:val="00380123"/>
    <w:rsid w:val="00380544"/>
    <w:rsid w:val="0038056C"/>
    <w:rsid w:val="003805DA"/>
    <w:rsid w:val="00381ECE"/>
    <w:rsid w:val="00382719"/>
    <w:rsid w:val="00382DDC"/>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195"/>
    <w:rsid w:val="00386270"/>
    <w:rsid w:val="00386417"/>
    <w:rsid w:val="00386664"/>
    <w:rsid w:val="00387023"/>
    <w:rsid w:val="00387B31"/>
    <w:rsid w:val="00387F18"/>
    <w:rsid w:val="00390378"/>
    <w:rsid w:val="00390E38"/>
    <w:rsid w:val="003913A4"/>
    <w:rsid w:val="003917A1"/>
    <w:rsid w:val="00391BAE"/>
    <w:rsid w:val="00392753"/>
    <w:rsid w:val="00392E6B"/>
    <w:rsid w:val="00392EE5"/>
    <w:rsid w:val="00393129"/>
    <w:rsid w:val="003932B5"/>
    <w:rsid w:val="00393499"/>
    <w:rsid w:val="003934C1"/>
    <w:rsid w:val="00393DBB"/>
    <w:rsid w:val="0039408C"/>
    <w:rsid w:val="00394125"/>
    <w:rsid w:val="00394F85"/>
    <w:rsid w:val="00395039"/>
    <w:rsid w:val="00395137"/>
    <w:rsid w:val="00395202"/>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714"/>
    <w:rsid w:val="003A4E0A"/>
    <w:rsid w:val="003A4F0B"/>
    <w:rsid w:val="003A548C"/>
    <w:rsid w:val="003A5699"/>
    <w:rsid w:val="003A5ACA"/>
    <w:rsid w:val="003A5B6D"/>
    <w:rsid w:val="003A5CF4"/>
    <w:rsid w:val="003A6026"/>
    <w:rsid w:val="003A60EE"/>
    <w:rsid w:val="003A6505"/>
    <w:rsid w:val="003A6746"/>
    <w:rsid w:val="003A6834"/>
    <w:rsid w:val="003A6AC8"/>
    <w:rsid w:val="003A6FB3"/>
    <w:rsid w:val="003A74A7"/>
    <w:rsid w:val="003A7BB8"/>
    <w:rsid w:val="003B01EC"/>
    <w:rsid w:val="003B0418"/>
    <w:rsid w:val="003B04A7"/>
    <w:rsid w:val="003B05A4"/>
    <w:rsid w:val="003B06A0"/>
    <w:rsid w:val="003B06B7"/>
    <w:rsid w:val="003B06B8"/>
    <w:rsid w:val="003B0E3A"/>
    <w:rsid w:val="003B11E5"/>
    <w:rsid w:val="003B1320"/>
    <w:rsid w:val="003B2339"/>
    <w:rsid w:val="003B2A4B"/>
    <w:rsid w:val="003B2C04"/>
    <w:rsid w:val="003B3110"/>
    <w:rsid w:val="003B3559"/>
    <w:rsid w:val="003B3E2B"/>
    <w:rsid w:val="003B59AF"/>
    <w:rsid w:val="003B6034"/>
    <w:rsid w:val="003B65EC"/>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46E"/>
    <w:rsid w:val="003D1CB0"/>
    <w:rsid w:val="003D2625"/>
    <w:rsid w:val="003D2BB5"/>
    <w:rsid w:val="003D32F9"/>
    <w:rsid w:val="003D3A43"/>
    <w:rsid w:val="003D3C06"/>
    <w:rsid w:val="003D3EAC"/>
    <w:rsid w:val="003D3EB8"/>
    <w:rsid w:val="003D3F7F"/>
    <w:rsid w:val="003D4031"/>
    <w:rsid w:val="003D40A0"/>
    <w:rsid w:val="003D422F"/>
    <w:rsid w:val="003D45F7"/>
    <w:rsid w:val="003D4BC2"/>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3B25"/>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0F89"/>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E20"/>
    <w:rsid w:val="003F5C68"/>
    <w:rsid w:val="003F5DDF"/>
    <w:rsid w:val="003F64FC"/>
    <w:rsid w:val="003F701B"/>
    <w:rsid w:val="003F72E7"/>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4F82"/>
    <w:rsid w:val="00405478"/>
    <w:rsid w:val="0040554E"/>
    <w:rsid w:val="004059AB"/>
    <w:rsid w:val="00405F28"/>
    <w:rsid w:val="004063C0"/>
    <w:rsid w:val="00406873"/>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8E3"/>
    <w:rsid w:val="004138EC"/>
    <w:rsid w:val="00413928"/>
    <w:rsid w:val="00413BF8"/>
    <w:rsid w:val="004140CD"/>
    <w:rsid w:val="00414168"/>
    <w:rsid w:val="0041466F"/>
    <w:rsid w:val="0041483D"/>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34D"/>
    <w:rsid w:val="004277B2"/>
    <w:rsid w:val="00427BF4"/>
    <w:rsid w:val="00427EEE"/>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4A3"/>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0EBF"/>
    <w:rsid w:val="004413E1"/>
    <w:rsid w:val="00441995"/>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6E8F"/>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0DA"/>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1FCA"/>
    <w:rsid w:val="0048207C"/>
    <w:rsid w:val="00482AAF"/>
    <w:rsid w:val="00482DB0"/>
    <w:rsid w:val="00483C82"/>
    <w:rsid w:val="0048424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4F"/>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E02"/>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70B"/>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9C6"/>
    <w:rsid w:val="004C5E6F"/>
    <w:rsid w:val="004C5FDA"/>
    <w:rsid w:val="004C6495"/>
    <w:rsid w:val="004C64E1"/>
    <w:rsid w:val="004C6B77"/>
    <w:rsid w:val="004C7204"/>
    <w:rsid w:val="004D06EA"/>
    <w:rsid w:val="004D07E9"/>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6F57"/>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265"/>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C26"/>
    <w:rsid w:val="004F5F00"/>
    <w:rsid w:val="004F6967"/>
    <w:rsid w:val="004F6CE7"/>
    <w:rsid w:val="004F71A1"/>
    <w:rsid w:val="004F7363"/>
    <w:rsid w:val="004F750F"/>
    <w:rsid w:val="004F7D01"/>
    <w:rsid w:val="00500597"/>
    <w:rsid w:val="005006C8"/>
    <w:rsid w:val="00500DD6"/>
    <w:rsid w:val="005017B2"/>
    <w:rsid w:val="00501A4B"/>
    <w:rsid w:val="0050241B"/>
    <w:rsid w:val="00502686"/>
    <w:rsid w:val="005031B4"/>
    <w:rsid w:val="00503263"/>
    <w:rsid w:val="00503B36"/>
    <w:rsid w:val="00503CB2"/>
    <w:rsid w:val="00503E3F"/>
    <w:rsid w:val="00503E89"/>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820"/>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410"/>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6A90"/>
    <w:rsid w:val="00536C21"/>
    <w:rsid w:val="00537045"/>
    <w:rsid w:val="00537053"/>
    <w:rsid w:val="005372CA"/>
    <w:rsid w:val="00537871"/>
    <w:rsid w:val="00537AA6"/>
    <w:rsid w:val="00537B5C"/>
    <w:rsid w:val="00537D8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46B"/>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655"/>
    <w:rsid w:val="00560C21"/>
    <w:rsid w:val="005612B3"/>
    <w:rsid w:val="00561BA5"/>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77E"/>
    <w:rsid w:val="00573E7B"/>
    <w:rsid w:val="00573F9F"/>
    <w:rsid w:val="00574450"/>
    <w:rsid w:val="00574944"/>
    <w:rsid w:val="005751BE"/>
    <w:rsid w:val="00575222"/>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9DA"/>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12"/>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630"/>
    <w:rsid w:val="00596709"/>
    <w:rsid w:val="005967C1"/>
    <w:rsid w:val="00596A67"/>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4B5"/>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807"/>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BF0"/>
    <w:rsid w:val="005C0D62"/>
    <w:rsid w:val="005C1235"/>
    <w:rsid w:val="005C13C9"/>
    <w:rsid w:val="005C20C0"/>
    <w:rsid w:val="005C23DC"/>
    <w:rsid w:val="005C2414"/>
    <w:rsid w:val="005C2660"/>
    <w:rsid w:val="005C2A07"/>
    <w:rsid w:val="005C2D57"/>
    <w:rsid w:val="005C2DAC"/>
    <w:rsid w:val="005C2FEF"/>
    <w:rsid w:val="005C32A4"/>
    <w:rsid w:val="005C3ACE"/>
    <w:rsid w:val="005C3F74"/>
    <w:rsid w:val="005C411B"/>
    <w:rsid w:val="005C41BB"/>
    <w:rsid w:val="005C49EC"/>
    <w:rsid w:val="005C4EB4"/>
    <w:rsid w:val="005C510C"/>
    <w:rsid w:val="005C5151"/>
    <w:rsid w:val="005C5BA4"/>
    <w:rsid w:val="005C5F6E"/>
    <w:rsid w:val="005C600C"/>
    <w:rsid w:val="005C63CD"/>
    <w:rsid w:val="005C65B3"/>
    <w:rsid w:val="005C6B02"/>
    <w:rsid w:val="005C707F"/>
    <w:rsid w:val="005C72C6"/>
    <w:rsid w:val="005C7397"/>
    <w:rsid w:val="005C73AD"/>
    <w:rsid w:val="005C7635"/>
    <w:rsid w:val="005C7894"/>
    <w:rsid w:val="005C7CEB"/>
    <w:rsid w:val="005C7D85"/>
    <w:rsid w:val="005D0661"/>
    <w:rsid w:val="005D078A"/>
    <w:rsid w:val="005D082D"/>
    <w:rsid w:val="005D0986"/>
    <w:rsid w:val="005D0B78"/>
    <w:rsid w:val="005D0BEE"/>
    <w:rsid w:val="005D0F48"/>
    <w:rsid w:val="005D1FD8"/>
    <w:rsid w:val="005D25D7"/>
    <w:rsid w:val="005D2648"/>
    <w:rsid w:val="005D273D"/>
    <w:rsid w:val="005D2788"/>
    <w:rsid w:val="005D2C87"/>
    <w:rsid w:val="005D2E89"/>
    <w:rsid w:val="005D31FD"/>
    <w:rsid w:val="005D32FF"/>
    <w:rsid w:val="005D35EB"/>
    <w:rsid w:val="005D39E1"/>
    <w:rsid w:val="005D3BB5"/>
    <w:rsid w:val="005D3BF7"/>
    <w:rsid w:val="005D3CDE"/>
    <w:rsid w:val="005D3F59"/>
    <w:rsid w:val="005D440E"/>
    <w:rsid w:val="005D48C0"/>
    <w:rsid w:val="005D49DE"/>
    <w:rsid w:val="005D52BF"/>
    <w:rsid w:val="005D54C3"/>
    <w:rsid w:val="005D60F4"/>
    <w:rsid w:val="005D630B"/>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279"/>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8C1"/>
    <w:rsid w:val="005F7220"/>
    <w:rsid w:val="005F7375"/>
    <w:rsid w:val="005F74A3"/>
    <w:rsid w:val="005F74AE"/>
    <w:rsid w:val="005F7641"/>
    <w:rsid w:val="005F772F"/>
    <w:rsid w:val="005F7B8F"/>
    <w:rsid w:val="005F7E17"/>
    <w:rsid w:val="0060061D"/>
    <w:rsid w:val="006015CF"/>
    <w:rsid w:val="00601608"/>
    <w:rsid w:val="00601B6E"/>
    <w:rsid w:val="00601D5D"/>
    <w:rsid w:val="00602366"/>
    <w:rsid w:val="006025CD"/>
    <w:rsid w:val="00602C06"/>
    <w:rsid w:val="00603338"/>
    <w:rsid w:val="00603A2A"/>
    <w:rsid w:val="00603FB6"/>
    <w:rsid w:val="00603FE2"/>
    <w:rsid w:val="006042BB"/>
    <w:rsid w:val="00604433"/>
    <w:rsid w:val="00604785"/>
    <w:rsid w:val="00604B8E"/>
    <w:rsid w:val="0060528C"/>
    <w:rsid w:val="00605BCF"/>
    <w:rsid w:val="00606425"/>
    <w:rsid w:val="00606FF1"/>
    <w:rsid w:val="006070A7"/>
    <w:rsid w:val="006070EA"/>
    <w:rsid w:val="0060740C"/>
    <w:rsid w:val="006075BB"/>
    <w:rsid w:val="006077A2"/>
    <w:rsid w:val="00607914"/>
    <w:rsid w:val="00607AC1"/>
    <w:rsid w:val="006104AA"/>
    <w:rsid w:val="006105C0"/>
    <w:rsid w:val="0061064B"/>
    <w:rsid w:val="00610D9D"/>
    <w:rsid w:val="00611B5B"/>
    <w:rsid w:val="00611C40"/>
    <w:rsid w:val="00611C8D"/>
    <w:rsid w:val="00611E29"/>
    <w:rsid w:val="00612AF0"/>
    <w:rsid w:val="00612BD2"/>
    <w:rsid w:val="00613067"/>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304"/>
    <w:rsid w:val="0061781E"/>
    <w:rsid w:val="006178BB"/>
    <w:rsid w:val="00617E5C"/>
    <w:rsid w:val="0062091A"/>
    <w:rsid w:val="00620987"/>
    <w:rsid w:val="00620B73"/>
    <w:rsid w:val="00620D5C"/>
    <w:rsid w:val="00621287"/>
    <w:rsid w:val="00621365"/>
    <w:rsid w:val="00621CD3"/>
    <w:rsid w:val="00622843"/>
    <w:rsid w:val="00622C7F"/>
    <w:rsid w:val="00622C90"/>
    <w:rsid w:val="006230C1"/>
    <w:rsid w:val="006232E4"/>
    <w:rsid w:val="0062356B"/>
    <w:rsid w:val="0062359F"/>
    <w:rsid w:val="006237DC"/>
    <w:rsid w:val="006238F3"/>
    <w:rsid w:val="00624A2A"/>
    <w:rsid w:val="00624B10"/>
    <w:rsid w:val="00624D11"/>
    <w:rsid w:val="00624F26"/>
    <w:rsid w:val="00624FF4"/>
    <w:rsid w:val="00625300"/>
    <w:rsid w:val="00625823"/>
    <w:rsid w:val="00625DCA"/>
    <w:rsid w:val="006263A0"/>
    <w:rsid w:val="00626519"/>
    <w:rsid w:val="00626AF9"/>
    <w:rsid w:val="00626E00"/>
    <w:rsid w:val="00627187"/>
    <w:rsid w:val="00627A75"/>
    <w:rsid w:val="00627AF7"/>
    <w:rsid w:val="00627E5E"/>
    <w:rsid w:val="00630022"/>
    <w:rsid w:val="0063061C"/>
    <w:rsid w:val="00630DA1"/>
    <w:rsid w:val="00630FDB"/>
    <w:rsid w:val="006312A3"/>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1E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2C9"/>
    <w:rsid w:val="00655807"/>
    <w:rsid w:val="00655D3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491"/>
    <w:rsid w:val="0067686C"/>
    <w:rsid w:val="0067695C"/>
    <w:rsid w:val="00676BB5"/>
    <w:rsid w:val="00677126"/>
    <w:rsid w:val="00677B08"/>
    <w:rsid w:val="00680185"/>
    <w:rsid w:val="006804FA"/>
    <w:rsid w:val="0068061A"/>
    <w:rsid w:val="006806E6"/>
    <w:rsid w:val="00680A0A"/>
    <w:rsid w:val="006813B9"/>
    <w:rsid w:val="00681D3A"/>
    <w:rsid w:val="00681DBF"/>
    <w:rsid w:val="00682113"/>
    <w:rsid w:val="0068225C"/>
    <w:rsid w:val="00682D91"/>
    <w:rsid w:val="00682F7F"/>
    <w:rsid w:val="00682FF4"/>
    <w:rsid w:val="00683269"/>
    <w:rsid w:val="006836B3"/>
    <w:rsid w:val="0068396F"/>
    <w:rsid w:val="006844BD"/>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94"/>
    <w:rsid w:val="00690FE5"/>
    <w:rsid w:val="00691855"/>
    <w:rsid w:val="00692668"/>
    <w:rsid w:val="006927AE"/>
    <w:rsid w:val="00692C93"/>
    <w:rsid w:val="00692F96"/>
    <w:rsid w:val="00693141"/>
    <w:rsid w:val="006936B5"/>
    <w:rsid w:val="006938E6"/>
    <w:rsid w:val="006940DF"/>
    <w:rsid w:val="0069414E"/>
    <w:rsid w:val="006943C4"/>
    <w:rsid w:val="00694590"/>
    <w:rsid w:val="00694738"/>
    <w:rsid w:val="00694EC3"/>
    <w:rsid w:val="0069513E"/>
    <w:rsid w:val="00695376"/>
    <w:rsid w:val="006953D5"/>
    <w:rsid w:val="006959C3"/>
    <w:rsid w:val="00695C8D"/>
    <w:rsid w:val="0069618D"/>
    <w:rsid w:val="0069629F"/>
    <w:rsid w:val="00696731"/>
    <w:rsid w:val="00696745"/>
    <w:rsid w:val="00696978"/>
    <w:rsid w:val="00696B3A"/>
    <w:rsid w:val="00696B75"/>
    <w:rsid w:val="00696C31"/>
    <w:rsid w:val="00697967"/>
    <w:rsid w:val="006979AB"/>
    <w:rsid w:val="00697F82"/>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6FF2"/>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B7C28"/>
    <w:rsid w:val="006C0240"/>
    <w:rsid w:val="006C0310"/>
    <w:rsid w:val="006C0322"/>
    <w:rsid w:val="006C046C"/>
    <w:rsid w:val="006C05EE"/>
    <w:rsid w:val="006C07A9"/>
    <w:rsid w:val="006C1194"/>
    <w:rsid w:val="006C15D5"/>
    <w:rsid w:val="006C16B5"/>
    <w:rsid w:val="006C1728"/>
    <w:rsid w:val="006C17C6"/>
    <w:rsid w:val="006C188D"/>
    <w:rsid w:val="006C1A1B"/>
    <w:rsid w:val="006C1BE9"/>
    <w:rsid w:val="006C1D60"/>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88A"/>
    <w:rsid w:val="006D5F69"/>
    <w:rsid w:val="006D6560"/>
    <w:rsid w:val="006D681E"/>
    <w:rsid w:val="006D6D36"/>
    <w:rsid w:val="006D7692"/>
    <w:rsid w:val="006D7742"/>
    <w:rsid w:val="006D7824"/>
    <w:rsid w:val="006D7E2D"/>
    <w:rsid w:val="006E0607"/>
    <w:rsid w:val="006E067B"/>
    <w:rsid w:val="006E105B"/>
    <w:rsid w:val="006E135F"/>
    <w:rsid w:val="006E139A"/>
    <w:rsid w:val="006E2106"/>
    <w:rsid w:val="006E2B78"/>
    <w:rsid w:val="006E2D21"/>
    <w:rsid w:val="006E32B2"/>
    <w:rsid w:val="006E3A26"/>
    <w:rsid w:val="006E4384"/>
    <w:rsid w:val="006E4687"/>
    <w:rsid w:val="006E47B4"/>
    <w:rsid w:val="006E4F77"/>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13"/>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0D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219"/>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BBB"/>
    <w:rsid w:val="00714F7C"/>
    <w:rsid w:val="007150E1"/>
    <w:rsid w:val="0071549A"/>
    <w:rsid w:val="0071570C"/>
    <w:rsid w:val="007159A5"/>
    <w:rsid w:val="00715D94"/>
    <w:rsid w:val="00715F80"/>
    <w:rsid w:val="00715FA8"/>
    <w:rsid w:val="00715FED"/>
    <w:rsid w:val="007161AD"/>
    <w:rsid w:val="0071659E"/>
    <w:rsid w:val="00716A20"/>
    <w:rsid w:val="00716EA9"/>
    <w:rsid w:val="00716F85"/>
    <w:rsid w:val="0071704D"/>
    <w:rsid w:val="007174D0"/>
    <w:rsid w:val="00717600"/>
    <w:rsid w:val="0071766D"/>
    <w:rsid w:val="00717749"/>
    <w:rsid w:val="00717E6E"/>
    <w:rsid w:val="0072002D"/>
    <w:rsid w:val="00720040"/>
    <w:rsid w:val="007201F8"/>
    <w:rsid w:val="0072056D"/>
    <w:rsid w:val="007206A9"/>
    <w:rsid w:val="0072070C"/>
    <w:rsid w:val="00720A0D"/>
    <w:rsid w:val="00720C2E"/>
    <w:rsid w:val="00720C4F"/>
    <w:rsid w:val="00720F0A"/>
    <w:rsid w:val="007217B4"/>
    <w:rsid w:val="00722623"/>
    <w:rsid w:val="007230CE"/>
    <w:rsid w:val="00723231"/>
    <w:rsid w:val="00723D66"/>
    <w:rsid w:val="007241CF"/>
    <w:rsid w:val="0072444D"/>
    <w:rsid w:val="007244BA"/>
    <w:rsid w:val="0072462A"/>
    <w:rsid w:val="007246EC"/>
    <w:rsid w:val="00724790"/>
    <w:rsid w:val="00724907"/>
    <w:rsid w:val="0072509A"/>
    <w:rsid w:val="007250DD"/>
    <w:rsid w:val="00725160"/>
    <w:rsid w:val="007251A9"/>
    <w:rsid w:val="007251B0"/>
    <w:rsid w:val="00725CBA"/>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D49"/>
    <w:rsid w:val="00735F7F"/>
    <w:rsid w:val="00736A76"/>
    <w:rsid w:val="00736C7A"/>
    <w:rsid w:val="00736E5C"/>
    <w:rsid w:val="00737299"/>
    <w:rsid w:val="007372DC"/>
    <w:rsid w:val="00737404"/>
    <w:rsid w:val="00737489"/>
    <w:rsid w:val="007375EA"/>
    <w:rsid w:val="00737EAE"/>
    <w:rsid w:val="007400D7"/>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2C"/>
    <w:rsid w:val="007571F9"/>
    <w:rsid w:val="00757494"/>
    <w:rsid w:val="007574D7"/>
    <w:rsid w:val="00757801"/>
    <w:rsid w:val="00757A18"/>
    <w:rsid w:val="00757EFD"/>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67DB0"/>
    <w:rsid w:val="00770455"/>
    <w:rsid w:val="007705A6"/>
    <w:rsid w:val="0077066B"/>
    <w:rsid w:val="00770944"/>
    <w:rsid w:val="00770A13"/>
    <w:rsid w:val="00770FE1"/>
    <w:rsid w:val="00771007"/>
    <w:rsid w:val="00771703"/>
    <w:rsid w:val="00771883"/>
    <w:rsid w:val="00771BCF"/>
    <w:rsid w:val="007720C8"/>
    <w:rsid w:val="00772EAD"/>
    <w:rsid w:val="007734A4"/>
    <w:rsid w:val="00773B08"/>
    <w:rsid w:val="00773B26"/>
    <w:rsid w:val="00773C4C"/>
    <w:rsid w:val="00773DE2"/>
    <w:rsid w:val="00773F03"/>
    <w:rsid w:val="007744E9"/>
    <w:rsid w:val="00774576"/>
    <w:rsid w:val="0077459C"/>
    <w:rsid w:val="00774619"/>
    <w:rsid w:val="00774C36"/>
    <w:rsid w:val="00774F47"/>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03"/>
    <w:rsid w:val="007846F5"/>
    <w:rsid w:val="00784848"/>
    <w:rsid w:val="007848D1"/>
    <w:rsid w:val="00784B24"/>
    <w:rsid w:val="00785507"/>
    <w:rsid w:val="007857C7"/>
    <w:rsid w:val="00785AEC"/>
    <w:rsid w:val="00785B2C"/>
    <w:rsid w:val="00785BD3"/>
    <w:rsid w:val="00785CC8"/>
    <w:rsid w:val="007861D8"/>
    <w:rsid w:val="007863CE"/>
    <w:rsid w:val="007863ED"/>
    <w:rsid w:val="00786402"/>
    <w:rsid w:val="00786411"/>
    <w:rsid w:val="0078642C"/>
    <w:rsid w:val="0078751B"/>
    <w:rsid w:val="00787CAA"/>
    <w:rsid w:val="00787DD9"/>
    <w:rsid w:val="00790334"/>
    <w:rsid w:val="007905F1"/>
    <w:rsid w:val="007907FC"/>
    <w:rsid w:val="007909A5"/>
    <w:rsid w:val="00790C69"/>
    <w:rsid w:val="00790E87"/>
    <w:rsid w:val="00790FE5"/>
    <w:rsid w:val="007916D0"/>
    <w:rsid w:val="00791A2D"/>
    <w:rsid w:val="00791BB2"/>
    <w:rsid w:val="00791E7A"/>
    <w:rsid w:val="00792322"/>
    <w:rsid w:val="0079235A"/>
    <w:rsid w:val="00792C15"/>
    <w:rsid w:val="0079360A"/>
    <w:rsid w:val="007936D2"/>
    <w:rsid w:val="00793826"/>
    <w:rsid w:val="00793999"/>
    <w:rsid w:val="00793D3F"/>
    <w:rsid w:val="007940FB"/>
    <w:rsid w:val="0079436D"/>
    <w:rsid w:val="007948D2"/>
    <w:rsid w:val="00795896"/>
    <w:rsid w:val="007964BD"/>
    <w:rsid w:val="00796596"/>
    <w:rsid w:val="0079677B"/>
    <w:rsid w:val="00797180"/>
    <w:rsid w:val="007971ED"/>
    <w:rsid w:val="00797858"/>
    <w:rsid w:val="00797A7E"/>
    <w:rsid w:val="007A0166"/>
    <w:rsid w:val="007A045D"/>
    <w:rsid w:val="007A079E"/>
    <w:rsid w:val="007A0DF8"/>
    <w:rsid w:val="007A1A8C"/>
    <w:rsid w:val="007A1BB7"/>
    <w:rsid w:val="007A20AB"/>
    <w:rsid w:val="007A2312"/>
    <w:rsid w:val="007A2666"/>
    <w:rsid w:val="007A2EBF"/>
    <w:rsid w:val="007A3508"/>
    <w:rsid w:val="007A3843"/>
    <w:rsid w:val="007A3C1F"/>
    <w:rsid w:val="007A3FB8"/>
    <w:rsid w:val="007A4973"/>
    <w:rsid w:val="007A4C0F"/>
    <w:rsid w:val="007A58B7"/>
    <w:rsid w:val="007A59F8"/>
    <w:rsid w:val="007A5A3A"/>
    <w:rsid w:val="007A61E7"/>
    <w:rsid w:val="007A64C9"/>
    <w:rsid w:val="007A6BA1"/>
    <w:rsid w:val="007A6F31"/>
    <w:rsid w:val="007A7316"/>
    <w:rsid w:val="007A76E1"/>
    <w:rsid w:val="007A78ED"/>
    <w:rsid w:val="007A78F5"/>
    <w:rsid w:val="007A7F28"/>
    <w:rsid w:val="007B012C"/>
    <w:rsid w:val="007B05FB"/>
    <w:rsid w:val="007B0AC9"/>
    <w:rsid w:val="007B0B6C"/>
    <w:rsid w:val="007B111D"/>
    <w:rsid w:val="007B1491"/>
    <w:rsid w:val="007B168D"/>
    <w:rsid w:val="007B1EAA"/>
    <w:rsid w:val="007B21F4"/>
    <w:rsid w:val="007B242A"/>
    <w:rsid w:val="007B29F5"/>
    <w:rsid w:val="007B2BBA"/>
    <w:rsid w:val="007B2CF1"/>
    <w:rsid w:val="007B31C6"/>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665"/>
    <w:rsid w:val="007B797B"/>
    <w:rsid w:val="007B7D01"/>
    <w:rsid w:val="007C0154"/>
    <w:rsid w:val="007C020E"/>
    <w:rsid w:val="007C03A1"/>
    <w:rsid w:val="007C0D6D"/>
    <w:rsid w:val="007C0EE4"/>
    <w:rsid w:val="007C10F4"/>
    <w:rsid w:val="007C1137"/>
    <w:rsid w:val="007C1819"/>
    <w:rsid w:val="007C1FF6"/>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2A2"/>
    <w:rsid w:val="007D2B85"/>
    <w:rsid w:val="007D2C03"/>
    <w:rsid w:val="007D3109"/>
    <w:rsid w:val="007D3448"/>
    <w:rsid w:val="007D37EC"/>
    <w:rsid w:val="007D37FF"/>
    <w:rsid w:val="007D396E"/>
    <w:rsid w:val="007D3AAC"/>
    <w:rsid w:val="007D3B66"/>
    <w:rsid w:val="007D3CCB"/>
    <w:rsid w:val="007D403E"/>
    <w:rsid w:val="007D541C"/>
    <w:rsid w:val="007D54C4"/>
    <w:rsid w:val="007D5599"/>
    <w:rsid w:val="007D55CE"/>
    <w:rsid w:val="007D5928"/>
    <w:rsid w:val="007D59AA"/>
    <w:rsid w:val="007D5A81"/>
    <w:rsid w:val="007D5C0F"/>
    <w:rsid w:val="007D5D0C"/>
    <w:rsid w:val="007D5D9F"/>
    <w:rsid w:val="007D640C"/>
    <w:rsid w:val="007D66EE"/>
    <w:rsid w:val="007D6A88"/>
    <w:rsid w:val="007D6BE8"/>
    <w:rsid w:val="007D6C43"/>
    <w:rsid w:val="007D6C4F"/>
    <w:rsid w:val="007D6D49"/>
    <w:rsid w:val="007D704C"/>
    <w:rsid w:val="007D7245"/>
    <w:rsid w:val="007D72D5"/>
    <w:rsid w:val="007D7BB3"/>
    <w:rsid w:val="007E01AC"/>
    <w:rsid w:val="007E036F"/>
    <w:rsid w:val="007E06F6"/>
    <w:rsid w:val="007E0906"/>
    <w:rsid w:val="007E091F"/>
    <w:rsid w:val="007E096A"/>
    <w:rsid w:val="007E0DC4"/>
    <w:rsid w:val="007E1480"/>
    <w:rsid w:val="007E167F"/>
    <w:rsid w:val="007E1A75"/>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DE6"/>
    <w:rsid w:val="007F322C"/>
    <w:rsid w:val="007F3442"/>
    <w:rsid w:val="007F36E7"/>
    <w:rsid w:val="007F36EE"/>
    <w:rsid w:val="007F3CFA"/>
    <w:rsid w:val="007F473A"/>
    <w:rsid w:val="007F4E08"/>
    <w:rsid w:val="007F5354"/>
    <w:rsid w:val="007F63AB"/>
    <w:rsid w:val="007F65D8"/>
    <w:rsid w:val="007F672D"/>
    <w:rsid w:val="007F69B0"/>
    <w:rsid w:val="007F7AD7"/>
    <w:rsid w:val="007F7BAC"/>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881"/>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5820"/>
    <w:rsid w:val="008162BC"/>
    <w:rsid w:val="008164AC"/>
    <w:rsid w:val="00816507"/>
    <w:rsid w:val="00816559"/>
    <w:rsid w:val="00816A50"/>
    <w:rsid w:val="0081722A"/>
    <w:rsid w:val="0081728A"/>
    <w:rsid w:val="0081794B"/>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038"/>
    <w:rsid w:val="008461A6"/>
    <w:rsid w:val="00846343"/>
    <w:rsid w:val="008469A2"/>
    <w:rsid w:val="008475A2"/>
    <w:rsid w:val="00847651"/>
    <w:rsid w:val="00847A75"/>
    <w:rsid w:val="00847E08"/>
    <w:rsid w:val="00850668"/>
    <w:rsid w:val="00850829"/>
    <w:rsid w:val="008509C9"/>
    <w:rsid w:val="00850BCC"/>
    <w:rsid w:val="0085102B"/>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697"/>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83C"/>
    <w:rsid w:val="00861FBB"/>
    <w:rsid w:val="008620E5"/>
    <w:rsid w:val="008621A8"/>
    <w:rsid w:val="008626A0"/>
    <w:rsid w:val="008626D8"/>
    <w:rsid w:val="00862744"/>
    <w:rsid w:val="008628F3"/>
    <w:rsid w:val="00862AF6"/>
    <w:rsid w:val="00862B8E"/>
    <w:rsid w:val="00863182"/>
    <w:rsid w:val="0086327C"/>
    <w:rsid w:val="008633BA"/>
    <w:rsid w:val="008638F5"/>
    <w:rsid w:val="00863942"/>
    <w:rsid w:val="00863A8B"/>
    <w:rsid w:val="00863B49"/>
    <w:rsid w:val="00863D3B"/>
    <w:rsid w:val="00863F26"/>
    <w:rsid w:val="00864639"/>
    <w:rsid w:val="00864D9D"/>
    <w:rsid w:val="0086507C"/>
    <w:rsid w:val="00865127"/>
    <w:rsid w:val="008652D6"/>
    <w:rsid w:val="0086532A"/>
    <w:rsid w:val="008654B4"/>
    <w:rsid w:val="008655A2"/>
    <w:rsid w:val="008657E9"/>
    <w:rsid w:val="0086681A"/>
    <w:rsid w:val="00866EF7"/>
    <w:rsid w:val="0086717E"/>
    <w:rsid w:val="008675BB"/>
    <w:rsid w:val="00870515"/>
    <w:rsid w:val="008707A8"/>
    <w:rsid w:val="00870862"/>
    <w:rsid w:val="00870F48"/>
    <w:rsid w:val="008711D4"/>
    <w:rsid w:val="0087129C"/>
    <w:rsid w:val="00871DD9"/>
    <w:rsid w:val="00871E9C"/>
    <w:rsid w:val="00872030"/>
    <w:rsid w:val="008722FD"/>
    <w:rsid w:val="00872C0C"/>
    <w:rsid w:val="008733BF"/>
    <w:rsid w:val="00873964"/>
    <w:rsid w:val="00873C02"/>
    <w:rsid w:val="0087466E"/>
    <w:rsid w:val="00874C83"/>
    <w:rsid w:val="00874D3B"/>
    <w:rsid w:val="008755B6"/>
    <w:rsid w:val="0087561D"/>
    <w:rsid w:val="00875806"/>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2EC"/>
    <w:rsid w:val="008917ED"/>
    <w:rsid w:val="00891A0D"/>
    <w:rsid w:val="00891C03"/>
    <w:rsid w:val="008920F8"/>
    <w:rsid w:val="008925D3"/>
    <w:rsid w:val="0089365D"/>
    <w:rsid w:val="00893753"/>
    <w:rsid w:val="0089378A"/>
    <w:rsid w:val="00893E27"/>
    <w:rsid w:val="00893F02"/>
    <w:rsid w:val="00894997"/>
    <w:rsid w:val="00895031"/>
    <w:rsid w:val="008954CD"/>
    <w:rsid w:val="008955C5"/>
    <w:rsid w:val="00895764"/>
    <w:rsid w:val="008959EE"/>
    <w:rsid w:val="00895C8E"/>
    <w:rsid w:val="008960DF"/>
    <w:rsid w:val="008965D4"/>
    <w:rsid w:val="00896D43"/>
    <w:rsid w:val="0089779D"/>
    <w:rsid w:val="00897C55"/>
    <w:rsid w:val="00897F7B"/>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1B0"/>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920"/>
    <w:rsid w:val="008E6CB7"/>
    <w:rsid w:val="008E6FA4"/>
    <w:rsid w:val="008E7025"/>
    <w:rsid w:val="008E72F4"/>
    <w:rsid w:val="008E747B"/>
    <w:rsid w:val="008E7BCF"/>
    <w:rsid w:val="008F00FF"/>
    <w:rsid w:val="008F0568"/>
    <w:rsid w:val="008F0656"/>
    <w:rsid w:val="008F0AEB"/>
    <w:rsid w:val="008F0D71"/>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59C"/>
    <w:rsid w:val="008F58D3"/>
    <w:rsid w:val="008F59EA"/>
    <w:rsid w:val="008F6095"/>
    <w:rsid w:val="008F6243"/>
    <w:rsid w:val="008F671C"/>
    <w:rsid w:val="008F6727"/>
    <w:rsid w:val="008F6729"/>
    <w:rsid w:val="008F6ADE"/>
    <w:rsid w:val="008F6E39"/>
    <w:rsid w:val="008F6FBF"/>
    <w:rsid w:val="008F7224"/>
    <w:rsid w:val="008F72B1"/>
    <w:rsid w:val="008F7367"/>
    <w:rsid w:val="008F7637"/>
    <w:rsid w:val="008F797E"/>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624"/>
    <w:rsid w:val="009048F0"/>
    <w:rsid w:val="00904B1A"/>
    <w:rsid w:val="00904C11"/>
    <w:rsid w:val="00905942"/>
    <w:rsid w:val="009059A7"/>
    <w:rsid w:val="00906142"/>
    <w:rsid w:val="0090674A"/>
    <w:rsid w:val="00906B09"/>
    <w:rsid w:val="00906B5F"/>
    <w:rsid w:val="00906DAA"/>
    <w:rsid w:val="0090720A"/>
    <w:rsid w:val="00907350"/>
    <w:rsid w:val="00907583"/>
    <w:rsid w:val="0090776A"/>
    <w:rsid w:val="009079A6"/>
    <w:rsid w:val="009079FF"/>
    <w:rsid w:val="00907BAD"/>
    <w:rsid w:val="00907F48"/>
    <w:rsid w:val="00910183"/>
    <w:rsid w:val="0091046E"/>
    <w:rsid w:val="0091048B"/>
    <w:rsid w:val="00910795"/>
    <w:rsid w:val="009111E8"/>
    <w:rsid w:val="009116FE"/>
    <w:rsid w:val="0091189A"/>
    <w:rsid w:val="00911A7E"/>
    <w:rsid w:val="00911C05"/>
    <w:rsid w:val="009121EB"/>
    <w:rsid w:val="0091253C"/>
    <w:rsid w:val="009125A6"/>
    <w:rsid w:val="0091273F"/>
    <w:rsid w:val="00912A3C"/>
    <w:rsid w:val="00912AE7"/>
    <w:rsid w:val="00912D2F"/>
    <w:rsid w:val="00912D6F"/>
    <w:rsid w:val="00912FC6"/>
    <w:rsid w:val="00913162"/>
    <w:rsid w:val="0091319A"/>
    <w:rsid w:val="0091390D"/>
    <w:rsid w:val="00913DD1"/>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28EA"/>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B3"/>
    <w:rsid w:val="00934E47"/>
    <w:rsid w:val="00934EDD"/>
    <w:rsid w:val="00935418"/>
    <w:rsid w:val="00935AD2"/>
    <w:rsid w:val="009365A5"/>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234"/>
    <w:rsid w:val="0094355D"/>
    <w:rsid w:val="00943D4D"/>
    <w:rsid w:val="00943DBA"/>
    <w:rsid w:val="00944814"/>
    <w:rsid w:val="00944F25"/>
    <w:rsid w:val="009459C8"/>
    <w:rsid w:val="00946C0B"/>
    <w:rsid w:val="00946F14"/>
    <w:rsid w:val="009471C0"/>
    <w:rsid w:val="00947A0B"/>
    <w:rsid w:val="00947A23"/>
    <w:rsid w:val="00947CB2"/>
    <w:rsid w:val="00950194"/>
    <w:rsid w:val="00950227"/>
    <w:rsid w:val="009508DD"/>
    <w:rsid w:val="009508E4"/>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2F3"/>
    <w:rsid w:val="00963C9A"/>
    <w:rsid w:val="00963E43"/>
    <w:rsid w:val="0096439C"/>
    <w:rsid w:val="0096440B"/>
    <w:rsid w:val="00964572"/>
    <w:rsid w:val="00964EBC"/>
    <w:rsid w:val="009653F6"/>
    <w:rsid w:val="00965C51"/>
    <w:rsid w:val="00965E39"/>
    <w:rsid w:val="009661E8"/>
    <w:rsid w:val="009663CF"/>
    <w:rsid w:val="0096679E"/>
    <w:rsid w:val="0096731C"/>
    <w:rsid w:val="00967ABA"/>
    <w:rsid w:val="00967C13"/>
    <w:rsid w:val="00970046"/>
    <w:rsid w:val="009700EE"/>
    <w:rsid w:val="009705C4"/>
    <w:rsid w:val="00970CD8"/>
    <w:rsid w:val="00971058"/>
    <w:rsid w:val="00971296"/>
    <w:rsid w:val="009716B4"/>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A17"/>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68D"/>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9A"/>
    <w:rsid w:val="009A2AF0"/>
    <w:rsid w:val="009A34A2"/>
    <w:rsid w:val="009A36AD"/>
    <w:rsid w:val="009A3E54"/>
    <w:rsid w:val="009A4204"/>
    <w:rsid w:val="009A4374"/>
    <w:rsid w:val="009A4C2B"/>
    <w:rsid w:val="009A4D33"/>
    <w:rsid w:val="009A4F06"/>
    <w:rsid w:val="009A551D"/>
    <w:rsid w:val="009A5771"/>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6A"/>
    <w:rsid w:val="009B1DE8"/>
    <w:rsid w:val="009B2565"/>
    <w:rsid w:val="009B2896"/>
    <w:rsid w:val="009B31F8"/>
    <w:rsid w:val="009B363E"/>
    <w:rsid w:val="009B379C"/>
    <w:rsid w:val="009B38F1"/>
    <w:rsid w:val="009B3D53"/>
    <w:rsid w:val="009B3F58"/>
    <w:rsid w:val="009B3F70"/>
    <w:rsid w:val="009B49D9"/>
    <w:rsid w:val="009B5219"/>
    <w:rsid w:val="009B53A3"/>
    <w:rsid w:val="009B5537"/>
    <w:rsid w:val="009B5552"/>
    <w:rsid w:val="009B59C8"/>
    <w:rsid w:val="009B5E62"/>
    <w:rsid w:val="009B7310"/>
    <w:rsid w:val="009C0273"/>
    <w:rsid w:val="009C05EC"/>
    <w:rsid w:val="009C0B24"/>
    <w:rsid w:val="009C0FDF"/>
    <w:rsid w:val="009C107C"/>
    <w:rsid w:val="009C14AD"/>
    <w:rsid w:val="009C1975"/>
    <w:rsid w:val="009C19B1"/>
    <w:rsid w:val="009C1ACD"/>
    <w:rsid w:val="009C1BE2"/>
    <w:rsid w:val="009C1DA0"/>
    <w:rsid w:val="009C2105"/>
    <w:rsid w:val="009C23C9"/>
    <w:rsid w:val="009C2BB0"/>
    <w:rsid w:val="009C2D5F"/>
    <w:rsid w:val="009C35CA"/>
    <w:rsid w:val="009C38DB"/>
    <w:rsid w:val="009C3940"/>
    <w:rsid w:val="009C3C45"/>
    <w:rsid w:val="009C3DD7"/>
    <w:rsid w:val="009C4152"/>
    <w:rsid w:val="009C43BC"/>
    <w:rsid w:val="009C4447"/>
    <w:rsid w:val="009C4584"/>
    <w:rsid w:val="009C47A5"/>
    <w:rsid w:val="009C47F6"/>
    <w:rsid w:val="009C4ABC"/>
    <w:rsid w:val="009C68B7"/>
    <w:rsid w:val="009C711A"/>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686"/>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67B"/>
    <w:rsid w:val="009E59B3"/>
    <w:rsid w:val="009E5D65"/>
    <w:rsid w:val="009E5D8A"/>
    <w:rsid w:val="009E5FBC"/>
    <w:rsid w:val="009E615A"/>
    <w:rsid w:val="009E6346"/>
    <w:rsid w:val="009E65DE"/>
    <w:rsid w:val="009E689D"/>
    <w:rsid w:val="009E6C75"/>
    <w:rsid w:val="009E6D0B"/>
    <w:rsid w:val="009E70F6"/>
    <w:rsid w:val="009E76C7"/>
    <w:rsid w:val="009E7CAE"/>
    <w:rsid w:val="009F0572"/>
    <w:rsid w:val="009F059A"/>
    <w:rsid w:val="009F0850"/>
    <w:rsid w:val="009F087F"/>
    <w:rsid w:val="009F08BF"/>
    <w:rsid w:val="009F0984"/>
    <w:rsid w:val="009F0C8E"/>
    <w:rsid w:val="009F166F"/>
    <w:rsid w:val="009F1956"/>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0FB5"/>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BEE"/>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37B"/>
    <w:rsid w:val="00A574E4"/>
    <w:rsid w:val="00A57517"/>
    <w:rsid w:val="00A5788A"/>
    <w:rsid w:val="00A57AEF"/>
    <w:rsid w:val="00A57E1E"/>
    <w:rsid w:val="00A605AB"/>
    <w:rsid w:val="00A6084C"/>
    <w:rsid w:val="00A60927"/>
    <w:rsid w:val="00A60B73"/>
    <w:rsid w:val="00A6157A"/>
    <w:rsid w:val="00A618E5"/>
    <w:rsid w:val="00A61A63"/>
    <w:rsid w:val="00A61DCF"/>
    <w:rsid w:val="00A61F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82"/>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D68"/>
    <w:rsid w:val="00A73E04"/>
    <w:rsid w:val="00A740A9"/>
    <w:rsid w:val="00A74334"/>
    <w:rsid w:val="00A748DF"/>
    <w:rsid w:val="00A74A1C"/>
    <w:rsid w:val="00A7502B"/>
    <w:rsid w:val="00A75B81"/>
    <w:rsid w:val="00A75D45"/>
    <w:rsid w:val="00A75EBB"/>
    <w:rsid w:val="00A762B7"/>
    <w:rsid w:val="00A7690C"/>
    <w:rsid w:val="00A76DA8"/>
    <w:rsid w:val="00A77182"/>
    <w:rsid w:val="00A7795F"/>
    <w:rsid w:val="00A80BB8"/>
    <w:rsid w:val="00A811AB"/>
    <w:rsid w:val="00A816CC"/>
    <w:rsid w:val="00A818E5"/>
    <w:rsid w:val="00A81D93"/>
    <w:rsid w:val="00A81F87"/>
    <w:rsid w:val="00A82128"/>
    <w:rsid w:val="00A82AA8"/>
    <w:rsid w:val="00A82B9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B5E"/>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C1A"/>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45B"/>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6B7"/>
    <w:rsid w:val="00AB189E"/>
    <w:rsid w:val="00AB1D6C"/>
    <w:rsid w:val="00AB2555"/>
    <w:rsid w:val="00AB2974"/>
    <w:rsid w:val="00AB2C21"/>
    <w:rsid w:val="00AB30C3"/>
    <w:rsid w:val="00AB32CC"/>
    <w:rsid w:val="00AB3436"/>
    <w:rsid w:val="00AB3AD4"/>
    <w:rsid w:val="00AB43FA"/>
    <w:rsid w:val="00AB5937"/>
    <w:rsid w:val="00AB5CA6"/>
    <w:rsid w:val="00AB5E49"/>
    <w:rsid w:val="00AB5F59"/>
    <w:rsid w:val="00AB67BC"/>
    <w:rsid w:val="00AB6B7D"/>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4845"/>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2E97"/>
    <w:rsid w:val="00AD322E"/>
    <w:rsid w:val="00AD3BA8"/>
    <w:rsid w:val="00AD3CF4"/>
    <w:rsid w:val="00AD421F"/>
    <w:rsid w:val="00AD4DBD"/>
    <w:rsid w:val="00AD4EE4"/>
    <w:rsid w:val="00AD5115"/>
    <w:rsid w:val="00AD554A"/>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DBF"/>
    <w:rsid w:val="00AE4F40"/>
    <w:rsid w:val="00AE52B7"/>
    <w:rsid w:val="00AE558D"/>
    <w:rsid w:val="00AE5F25"/>
    <w:rsid w:val="00AE61C2"/>
    <w:rsid w:val="00AE62DD"/>
    <w:rsid w:val="00AE6C51"/>
    <w:rsid w:val="00AE702D"/>
    <w:rsid w:val="00AE70EE"/>
    <w:rsid w:val="00AE7235"/>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AE0"/>
    <w:rsid w:val="00AF3B8D"/>
    <w:rsid w:val="00AF43BF"/>
    <w:rsid w:val="00AF47B7"/>
    <w:rsid w:val="00AF4B0A"/>
    <w:rsid w:val="00AF4C2A"/>
    <w:rsid w:val="00AF4C83"/>
    <w:rsid w:val="00AF5239"/>
    <w:rsid w:val="00AF54E8"/>
    <w:rsid w:val="00AF56B7"/>
    <w:rsid w:val="00AF5E48"/>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751"/>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2BA"/>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2D5"/>
    <w:rsid w:val="00B145C5"/>
    <w:rsid w:val="00B149D1"/>
    <w:rsid w:val="00B14B0F"/>
    <w:rsid w:val="00B14F44"/>
    <w:rsid w:val="00B15214"/>
    <w:rsid w:val="00B152D6"/>
    <w:rsid w:val="00B15600"/>
    <w:rsid w:val="00B1595E"/>
    <w:rsid w:val="00B15A6E"/>
    <w:rsid w:val="00B15DB2"/>
    <w:rsid w:val="00B15E87"/>
    <w:rsid w:val="00B15F1E"/>
    <w:rsid w:val="00B167CB"/>
    <w:rsid w:val="00B16C85"/>
    <w:rsid w:val="00B1777B"/>
    <w:rsid w:val="00B17D8E"/>
    <w:rsid w:val="00B20262"/>
    <w:rsid w:val="00B20313"/>
    <w:rsid w:val="00B2051A"/>
    <w:rsid w:val="00B207DF"/>
    <w:rsid w:val="00B209EA"/>
    <w:rsid w:val="00B2101A"/>
    <w:rsid w:val="00B21085"/>
    <w:rsid w:val="00B212C8"/>
    <w:rsid w:val="00B220D4"/>
    <w:rsid w:val="00B2264C"/>
    <w:rsid w:val="00B2337F"/>
    <w:rsid w:val="00B233E9"/>
    <w:rsid w:val="00B23465"/>
    <w:rsid w:val="00B23B55"/>
    <w:rsid w:val="00B23F05"/>
    <w:rsid w:val="00B2410E"/>
    <w:rsid w:val="00B24438"/>
    <w:rsid w:val="00B244E2"/>
    <w:rsid w:val="00B2491C"/>
    <w:rsid w:val="00B24951"/>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26A"/>
    <w:rsid w:val="00B32333"/>
    <w:rsid w:val="00B324CF"/>
    <w:rsid w:val="00B32536"/>
    <w:rsid w:val="00B32C0D"/>
    <w:rsid w:val="00B33530"/>
    <w:rsid w:val="00B34004"/>
    <w:rsid w:val="00B34521"/>
    <w:rsid w:val="00B34563"/>
    <w:rsid w:val="00B34780"/>
    <w:rsid w:val="00B348FD"/>
    <w:rsid w:val="00B349D7"/>
    <w:rsid w:val="00B349E6"/>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37CA2"/>
    <w:rsid w:val="00B40250"/>
    <w:rsid w:val="00B40AFE"/>
    <w:rsid w:val="00B40DD6"/>
    <w:rsid w:val="00B40E7F"/>
    <w:rsid w:val="00B41AB2"/>
    <w:rsid w:val="00B41E62"/>
    <w:rsid w:val="00B41E67"/>
    <w:rsid w:val="00B426B1"/>
    <w:rsid w:val="00B4295F"/>
    <w:rsid w:val="00B42D42"/>
    <w:rsid w:val="00B43002"/>
    <w:rsid w:val="00B43121"/>
    <w:rsid w:val="00B4322A"/>
    <w:rsid w:val="00B43925"/>
    <w:rsid w:val="00B43B7D"/>
    <w:rsid w:val="00B43D44"/>
    <w:rsid w:val="00B444D8"/>
    <w:rsid w:val="00B44742"/>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ADB"/>
    <w:rsid w:val="00B52C04"/>
    <w:rsid w:val="00B53115"/>
    <w:rsid w:val="00B531DD"/>
    <w:rsid w:val="00B534C0"/>
    <w:rsid w:val="00B53778"/>
    <w:rsid w:val="00B541B8"/>
    <w:rsid w:val="00B54325"/>
    <w:rsid w:val="00B5479E"/>
    <w:rsid w:val="00B54A24"/>
    <w:rsid w:val="00B54FB5"/>
    <w:rsid w:val="00B54FE5"/>
    <w:rsid w:val="00B54FF1"/>
    <w:rsid w:val="00B55A49"/>
    <w:rsid w:val="00B55B06"/>
    <w:rsid w:val="00B55B57"/>
    <w:rsid w:val="00B56179"/>
    <w:rsid w:val="00B56242"/>
    <w:rsid w:val="00B56254"/>
    <w:rsid w:val="00B56376"/>
    <w:rsid w:val="00B56B1B"/>
    <w:rsid w:val="00B56B9E"/>
    <w:rsid w:val="00B574E8"/>
    <w:rsid w:val="00B5754F"/>
    <w:rsid w:val="00B576C2"/>
    <w:rsid w:val="00B57765"/>
    <w:rsid w:val="00B5795D"/>
    <w:rsid w:val="00B57D55"/>
    <w:rsid w:val="00B57E2D"/>
    <w:rsid w:val="00B60147"/>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28A0"/>
    <w:rsid w:val="00B72E5D"/>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2FC"/>
    <w:rsid w:val="00B837BA"/>
    <w:rsid w:val="00B8384D"/>
    <w:rsid w:val="00B83DA3"/>
    <w:rsid w:val="00B8427D"/>
    <w:rsid w:val="00B8467F"/>
    <w:rsid w:val="00B846A2"/>
    <w:rsid w:val="00B84B08"/>
    <w:rsid w:val="00B85178"/>
    <w:rsid w:val="00B86635"/>
    <w:rsid w:val="00B86757"/>
    <w:rsid w:val="00B86B63"/>
    <w:rsid w:val="00B86D6D"/>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0A"/>
    <w:rsid w:val="00B960DC"/>
    <w:rsid w:val="00B9627E"/>
    <w:rsid w:val="00B96589"/>
    <w:rsid w:val="00B9659A"/>
    <w:rsid w:val="00B965AB"/>
    <w:rsid w:val="00B96B44"/>
    <w:rsid w:val="00B97681"/>
    <w:rsid w:val="00B97973"/>
    <w:rsid w:val="00B97C8B"/>
    <w:rsid w:val="00BA05B0"/>
    <w:rsid w:val="00BA07E0"/>
    <w:rsid w:val="00BA0A3F"/>
    <w:rsid w:val="00BA0D65"/>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094"/>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0CE9"/>
    <w:rsid w:val="00BB1106"/>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C6"/>
    <w:rsid w:val="00BC05D8"/>
    <w:rsid w:val="00BC067B"/>
    <w:rsid w:val="00BC06B5"/>
    <w:rsid w:val="00BC08EE"/>
    <w:rsid w:val="00BC0D08"/>
    <w:rsid w:val="00BC1536"/>
    <w:rsid w:val="00BC1572"/>
    <w:rsid w:val="00BC1820"/>
    <w:rsid w:val="00BC18EF"/>
    <w:rsid w:val="00BC18FE"/>
    <w:rsid w:val="00BC1F5A"/>
    <w:rsid w:val="00BC1FBF"/>
    <w:rsid w:val="00BC20AE"/>
    <w:rsid w:val="00BC2372"/>
    <w:rsid w:val="00BC248C"/>
    <w:rsid w:val="00BC2528"/>
    <w:rsid w:val="00BC2848"/>
    <w:rsid w:val="00BC2C2E"/>
    <w:rsid w:val="00BC3319"/>
    <w:rsid w:val="00BC334A"/>
    <w:rsid w:val="00BC3394"/>
    <w:rsid w:val="00BC37D9"/>
    <w:rsid w:val="00BC3D3D"/>
    <w:rsid w:val="00BC3ED7"/>
    <w:rsid w:val="00BC424E"/>
    <w:rsid w:val="00BC42D1"/>
    <w:rsid w:val="00BC42F4"/>
    <w:rsid w:val="00BC4572"/>
    <w:rsid w:val="00BC4874"/>
    <w:rsid w:val="00BC511E"/>
    <w:rsid w:val="00BC5F28"/>
    <w:rsid w:val="00BC67DA"/>
    <w:rsid w:val="00BC6903"/>
    <w:rsid w:val="00BC6CA4"/>
    <w:rsid w:val="00BC716D"/>
    <w:rsid w:val="00BC7FAF"/>
    <w:rsid w:val="00BD0454"/>
    <w:rsid w:val="00BD08C3"/>
    <w:rsid w:val="00BD0B49"/>
    <w:rsid w:val="00BD1118"/>
    <w:rsid w:val="00BD11FE"/>
    <w:rsid w:val="00BD142E"/>
    <w:rsid w:val="00BD1560"/>
    <w:rsid w:val="00BD1B00"/>
    <w:rsid w:val="00BD208E"/>
    <w:rsid w:val="00BD209A"/>
    <w:rsid w:val="00BD24AC"/>
    <w:rsid w:val="00BD2526"/>
    <w:rsid w:val="00BD2E3C"/>
    <w:rsid w:val="00BD2F49"/>
    <w:rsid w:val="00BD2FA9"/>
    <w:rsid w:val="00BD351D"/>
    <w:rsid w:val="00BD39BF"/>
    <w:rsid w:val="00BD3BAA"/>
    <w:rsid w:val="00BD3BB2"/>
    <w:rsid w:val="00BD3C24"/>
    <w:rsid w:val="00BD403B"/>
    <w:rsid w:val="00BD43D1"/>
    <w:rsid w:val="00BD47EA"/>
    <w:rsid w:val="00BD494A"/>
    <w:rsid w:val="00BD4A0D"/>
    <w:rsid w:val="00BD4A9D"/>
    <w:rsid w:val="00BD4ADD"/>
    <w:rsid w:val="00BD4BDC"/>
    <w:rsid w:val="00BD53A9"/>
    <w:rsid w:val="00BD562B"/>
    <w:rsid w:val="00BD595C"/>
    <w:rsid w:val="00BD5EC1"/>
    <w:rsid w:val="00BD6271"/>
    <w:rsid w:val="00BD6B05"/>
    <w:rsid w:val="00BD7012"/>
    <w:rsid w:val="00BD71EC"/>
    <w:rsid w:val="00BD73EE"/>
    <w:rsid w:val="00BD752A"/>
    <w:rsid w:val="00BD7670"/>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BC"/>
    <w:rsid w:val="00BE75CB"/>
    <w:rsid w:val="00BE7612"/>
    <w:rsid w:val="00BE7A62"/>
    <w:rsid w:val="00BE7BF2"/>
    <w:rsid w:val="00BE7DA8"/>
    <w:rsid w:val="00BF057D"/>
    <w:rsid w:val="00BF105A"/>
    <w:rsid w:val="00BF1559"/>
    <w:rsid w:val="00BF16BA"/>
    <w:rsid w:val="00BF18F6"/>
    <w:rsid w:val="00BF1D4A"/>
    <w:rsid w:val="00BF1EC9"/>
    <w:rsid w:val="00BF2091"/>
    <w:rsid w:val="00BF3536"/>
    <w:rsid w:val="00BF4091"/>
    <w:rsid w:val="00BF4477"/>
    <w:rsid w:val="00BF491C"/>
    <w:rsid w:val="00BF4982"/>
    <w:rsid w:val="00BF5148"/>
    <w:rsid w:val="00BF57A4"/>
    <w:rsid w:val="00BF5C77"/>
    <w:rsid w:val="00BF5EFC"/>
    <w:rsid w:val="00BF5F0B"/>
    <w:rsid w:val="00BF5FC7"/>
    <w:rsid w:val="00BF6762"/>
    <w:rsid w:val="00BF7296"/>
    <w:rsid w:val="00BF7674"/>
    <w:rsid w:val="00BF7A10"/>
    <w:rsid w:val="00BF7EE5"/>
    <w:rsid w:val="00C005C8"/>
    <w:rsid w:val="00C006F6"/>
    <w:rsid w:val="00C00F89"/>
    <w:rsid w:val="00C01343"/>
    <w:rsid w:val="00C0188E"/>
    <w:rsid w:val="00C019FB"/>
    <w:rsid w:val="00C01CC4"/>
    <w:rsid w:val="00C01DF1"/>
    <w:rsid w:val="00C01F6A"/>
    <w:rsid w:val="00C020F5"/>
    <w:rsid w:val="00C0221D"/>
    <w:rsid w:val="00C02557"/>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A9E"/>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BEB"/>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8C2"/>
    <w:rsid w:val="00C24ACB"/>
    <w:rsid w:val="00C251CE"/>
    <w:rsid w:val="00C252D7"/>
    <w:rsid w:val="00C25539"/>
    <w:rsid w:val="00C2585B"/>
    <w:rsid w:val="00C2632A"/>
    <w:rsid w:val="00C267F4"/>
    <w:rsid w:val="00C2774F"/>
    <w:rsid w:val="00C27FC9"/>
    <w:rsid w:val="00C302B3"/>
    <w:rsid w:val="00C30818"/>
    <w:rsid w:val="00C30854"/>
    <w:rsid w:val="00C30955"/>
    <w:rsid w:val="00C30F83"/>
    <w:rsid w:val="00C30FB7"/>
    <w:rsid w:val="00C30FFD"/>
    <w:rsid w:val="00C316F7"/>
    <w:rsid w:val="00C31C92"/>
    <w:rsid w:val="00C31CEB"/>
    <w:rsid w:val="00C322FE"/>
    <w:rsid w:val="00C327BD"/>
    <w:rsid w:val="00C328BA"/>
    <w:rsid w:val="00C32AEF"/>
    <w:rsid w:val="00C32C25"/>
    <w:rsid w:val="00C32E57"/>
    <w:rsid w:val="00C33194"/>
    <w:rsid w:val="00C33489"/>
    <w:rsid w:val="00C33695"/>
    <w:rsid w:val="00C33A03"/>
    <w:rsid w:val="00C33D58"/>
    <w:rsid w:val="00C33FE1"/>
    <w:rsid w:val="00C340EE"/>
    <w:rsid w:val="00C34135"/>
    <w:rsid w:val="00C34262"/>
    <w:rsid w:val="00C34680"/>
    <w:rsid w:val="00C3485B"/>
    <w:rsid w:val="00C3498D"/>
    <w:rsid w:val="00C34B30"/>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19C"/>
    <w:rsid w:val="00C544FE"/>
    <w:rsid w:val="00C5451A"/>
    <w:rsid w:val="00C546D6"/>
    <w:rsid w:val="00C547DA"/>
    <w:rsid w:val="00C548AE"/>
    <w:rsid w:val="00C5497E"/>
    <w:rsid w:val="00C54ADC"/>
    <w:rsid w:val="00C54B70"/>
    <w:rsid w:val="00C54D30"/>
    <w:rsid w:val="00C55265"/>
    <w:rsid w:val="00C553C7"/>
    <w:rsid w:val="00C55832"/>
    <w:rsid w:val="00C55B26"/>
    <w:rsid w:val="00C55B9A"/>
    <w:rsid w:val="00C55D0F"/>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51C3"/>
    <w:rsid w:val="00C66003"/>
    <w:rsid w:val="00C6612C"/>
    <w:rsid w:val="00C665CB"/>
    <w:rsid w:val="00C66672"/>
    <w:rsid w:val="00C667A8"/>
    <w:rsid w:val="00C66DA7"/>
    <w:rsid w:val="00C66DE4"/>
    <w:rsid w:val="00C66F63"/>
    <w:rsid w:val="00C670D8"/>
    <w:rsid w:val="00C6773F"/>
    <w:rsid w:val="00C67B33"/>
    <w:rsid w:val="00C67B8C"/>
    <w:rsid w:val="00C7045B"/>
    <w:rsid w:val="00C706E2"/>
    <w:rsid w:val="00C7076C"/>
    <w:rsid w:val="00C70DC2"/>
    <w:rsid w:val="00C70E3F"/>
    <w:rsid w:val="00C710B5"/>
    <w:rsid w:val="00C71367"/>
    <w:rsid w:val="00C715DE"/>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9F2"/>
    <w:rsid w:val="00C86BFA"/>
    <w:rsid w:val="00C86DAF"/>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2E8"/>
    <w:rsid w:val="00C9333A"/>
    <w:rsid w:val="00C936F6"/>
    <w:rsid w:val="00C93E11"/>
    <w:rsid w:val="00C940A8"/>
    <w:rsid w:val="00C94901"/>
    <w:rsid w:val="00C94A2F"/>
    <w:rsid w:val="00C94A3B"/>
    <w:rsid w:val="00C952DD"/>
    <w:rsid w:val="00C95950"/>
    <w:rsid w:val="00C9640C"/>
    <w:rsid w:val="00C96865"/>
    <w:rsid w:val="00C971EC"/>
    <w:rsid w:val="00C97631"/>
    <w:rsid w:val="00CA0420"/>
    <w:rsid w:val="00CA0D69"/>
    <w:rsid w:val="00CA0E06"/>
    <w:rsid w:val="00CA0F72"/>
    <w:rsid w:val="00CA10CC"/>
    <w:rsid w:val="00CA114E"/>
    <w:rsid w:val="00CA1378"/>
    <w:rsid w:val="00CA17AF"/>
    <w:rsid w:val="00CA1C7E"/>
    <w:rsid w:val="00CA1F3F"/>
    <w:rsid w:val="00CA211D"/>
    <w:rsid w:val="00CA242A"/>
    <w:rsid w:val="00CA2868"/>
    <w:rsid w:val="00CA2BD9"/>
    <w:rsid w:val="00CA31AE"/>
    <w:rsid w:val="00CA4392"/>
    <w:rsid w:val="00CA4EE6"/>
    <w:rsid w:val="00CA513B"/>
    <w:rsid w:val="00CA5E5B"/>
    <w:rsid w:val="00CA6013"/>
    <w:rsid w:val="00CA6256"/>
    <w:rsid w:val="00CA6664"/>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B7F16"/>
    <w:rsid w:val="00CB7F66"/>
    <w:rsid w:val="00CC0591"/>
    <w:rsid w:val="00CC105F"/>
    <w:rsid w:val="00CC117C"/>
    <w:rsid w:val="00CC1196"/>
    <w:rsid w:val="00CC183D"/>
    <w:rsid w:val="00CC187E"/>
    <w:rsid w:val="00CC18BA"/>
    <w:rsid w:val="00CC19F6"/>
    <w:rsid w:val="00CC260D"/>
    <w:rsid w:val="00CC2B8B"/>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4FF"/>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258"/>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398"/>
    <w:rsid w:val="00CF4651"/>
    <w:rsid w:val="00CF4768"/>
    <w:rsid w:val="00CF4778"/>
    <w:rsid w:val="00CF491D"/>
    <w:rsid w:val="00CF50A0"/>
    <w:rsid w:val="00CF5232"/>
    <w:rsid w:val="00CF5271"/>
    <w:rsid w:val="00CF5493"/>
    <w:rsid w:val="00CF563E"/>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AEC"/>
    <w:rsid w:val="00D02EF5"/>
    <w:rsid w:val="00D03A23"/>
    <w:rsid w:val="00D03C92"/>
    <w:rsid w:val="00D03F97"/>
    <w:rsid w:val="00D043DD"/>
    <w:rsid w:val="00D048B7"/>
    <w:rsid w:val="00D04C61"/>
    <w:rsid w:val="00D04D1D"/>
    <w:rsid w:val="00D05316"/>
    <w:rsid w:val="00D05F78"/>
    <w:rsid w:val="00D06336"/>
    <w:rsid w:val="00D063C0"/>
    <w:rsid w:val="00D0656B"/>
    <w:rsid w:val="00D06693"/>
    <w:rsid w:val="00D06A65"/>
    <w:rsid w:val="00D06AAE"/>
    <w:rsid w:val="00D06EFB"/>
    <w:rsid w:val="00D0722C"/>
    <w:rsid w:val="00D07581"/>
    <w:rsid w:val="00D077E6"/>
    <w:rsid w:val="00D07B01"/>
    <w:rsid w:val="00D07FED"/>
    <w:rsid w:val="00D107C0"/>
    <w:rsid w:val="00D107F1"/>
    <w:rsid w:val="00D10C3D"/>
    <w:rsid w:val="00D11431"/>
    <w:rsid w:val="00D114C3"/>
    <w:rsid w:val="00D114FE"/>
    <w:rsid w:val="00D11699"/>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559"/>
    <w:rsid w:val="00D2086D"/>
    <w:rsid w:val="00D20AD8"/>
    <w:rsid w:val="00D21196"/>
    <w:rsid w:val="00D21800"/>
    <w:rsid w:val="00D21928"/>
    <w:rsid w:val="00D21CC6"/>
    <w:rsid w:val="00D22B0A"/>
    <w:rsid w:val="00D22B4B"/>
    <w:rsid w:val="00D22CC8"/>
    <w:rsid w:val="00D22E64"/>
    <w:rsid w:val="00D23902"/>
    <w:rsid w:val="00D239F9"/>
    <w:rsid w:val="00D23E7D"/>
    <w:rsid w:val="00D23F5D"/>
    <w:rsid w:val="00D241A0"/>
    <w:rsid w:val="00D241DC"/>
    <w:rsid w:val="00D2427F"/>
    <w:rsid w:val="00D24625"/>
    <w:rsid w:val="00D24A08"/>
    <w:rsid w:val="00D24CA7"/>
    <w:rsid w:val="00D25259"/>
    <w:rsid w:val="00D258C0"/>
    <w:rsid w:val="00D25E71"/>
    <w:rsid w:val="00D25F14"/>
    <w:rsid w:val="00D27293"/>
    <w:rsid w:val="00D2739B"/>
    <w:rsid w:val="00D27471"/>
    <w:rsid w:val="00D27474"/>
    <w:rsid w:val="00D275DE"/>
    <w:rsid w:val="00D27676"/>
    <w:rsid w:val="00D27774"/>
    <w:rsid w:val="00D27EF0"/>
    <w:rsid w:val="00D311A4"/>
    <w:rsid w:val="00D312F7"/>
    <w:rsid w:val="00D31490"/>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6C32"/>
    <w:rsid w:val="00D372C6"/>
    <w:rsid w:val="00D374B4"/>
    <w:rsid w:val="00D37738"/>
    <w:rsid w:val="00D3784C"/>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BA9"/>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D22"/>
    <w:rsid w:val="00D53E64"/>
    <w:rsid w:val="00D547A3"/>
    <w:rsid w:val="00D549F5"/>
    <w:rsid w:val="00D54DE4"/>
    <w:rsid w:val="00D556B3"/>
    <w:rsid w:val="00D55971"/>
    <w:rsid w:val="00D55D06"/>
    <w:rsid w:val="00D56434"/>
    <w:rsid w:val="00D566D6"/>
    <w:rsid w:val="00D56939"/>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3DA9"/>
    <w:rsid w:val="00D64275"/>
    <w:rsid w:val="00D6527D"/>
    <w:rsid w:val="00D65B11"/>
    <w:rsid w:val="00D65B44"/>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0E3D"/>
    <w:rsid w:val="00D71148"/>
    <w:rsid w:val="00D71764"/>
    <w:rsid w:val="00D7178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90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2C5"/>
    <w:rsid w:val="00D943F8"/>
    <w:rsid w:val="00D947B2"/>
    <w:rsid w:val="00D94918"/>
    <w:rsid w:val="00D94D5E"/>
    <w:rsid w:val="00D94DBC"/>
    <w:rsid w:val="00D94EA4"/>
    <w:rsid w:val="00D95339"/>
    <w:rsid w:val="00D956B8"/>
    <w:rsid w:val="00D95980"/>
    <w:rsid w:val="00D95CBD"/>
    <w:rsid w:val="00D96A6B"/>
    <w:rsid w:val="00D96DCE"/>
    <w:rsid w:val="00D9737A"/>
    <w:rsid w:val="00D9745D"/>
    <w:rsid w:val="00D97AFC"/>
    <w:rsid w:val="00D97DB0"/>
    <w:rsid w:val="00D97EF8"/>
    <w:rsid w:val="00DA064A"/>
    <w:rsid w:val="00DA074B"/>
    <w:rsid w:val="00DA0D07"/>
    <w:rsid w:val="00DA14CB"/>
    <w:rsid w:val="00DA175C"/>
    <w:rsid w:val="00DA17FA"/>
    <w:rsid w:val="00DA1805"/>
    <w:rsid w:val="00DA1DD5"/>
    <w:rsid w:val="00DA1EE1"/>
    <w:rsid w:val="00DA268C"/>
    <w:rsid w:val="00DA2B0B"/>
    <w:rsid w:val="00DA2B9E"/>
    <w:rsid w:val="00DA2C7E"/>
    <w:rsid w:val="00DA3048"/>
    <w:rsid w:val="00DA3400"/>
    <w:rsid w:val="00DA382B"/>
    <w:rsid w:val="00DA3953"/>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927"/>
    <w:rsid w:val="00DB1D70"/>
    <w:rsid w:val="00DB1E17"/>
    <w:rsid w:val="00DB249A"/>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6FE8"/>
    <w:rsid w:val="00DB70D7"/>
    <w:rsid w:val="00DB746D"/>
    <w:rsid w:val="00DB74A6"/>
    <w:rsid w:val="00DB79AF"/>
    <w:rsid w:val="00DB7A0B"/>
    <w:rsid w:val="00DC00E5"/>
    <w:rsid w:val="00DC06D6"/>
    <w:rsid w:val="00DC0ED2"/>
    <w:rsid w:val="00DC1081"/>
    <w:rsid w:val="00DC18CC"/>
    <w:rsid w:val="00DC1EF0"/>
    <w:rsid w:val="00DC2020"/>
    <w:rsid w:val="00DC20A0"/>
    <w:rsid w:val="00DC240D"/>
    <w:rsid w:val="00DC2466"/>
    <w:rsid w:val="00DC2541"/>
    <w:rsid w:val="00DC294B"/>
    <w:rsid w:val="00DC2A0D"/>
    <w:rsid w:val="00DC2B65"/>
    <w:rsid w:val="00DC3129"/>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9E2"/>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0A5"/>
    <w:rsid w:val="00DE0184"/>
    <w:rsid w:val="00DE0185"/>
    <w:rsid w:val="00DE0DB7"/>
    <w:rsid w:val="00DE0FE1"/>
    <w:rsid w:val="00DE1728"/>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8BB"/>
    <w:rsid w:val="00DE6A7C"/>
    <w:rsid w:val="00DE6B8B"/>
    <w:rsid w:val="00DE7630"/>
    <w:rsid w:val="00DE7BE8"/>
    <w:rsid w:val="00DE7F13"/>
    <w:rsid w:val="00DE7F94"/>
    <w:rsid w:val="00DF0548"/>
    <w:rsid w:val="00DF08CB"/>
    <w:rsid w:val="00DF148C"/>
    <w:rsid w:val="00DF1AEC"/>
    <w:rsid w:val="00DF1CF1"/>
    <w:rsid w:val="00DF21E2"/>
    <w:rsid w:val="00DF26FF"/>
    <w:rsid w:val="00DF2A6B"/>
    <w:rsid w:val="00DF3029"/>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47D"/>
    <w:rsid w:val="00E057D8"/>
    <w:rsid w:val="00E05BCD"/>
    <w:rsid w:val="00E05D47"/>
    <w:rsid w:val="00E05DF4"/>
    <w:rsid w:val="00E05F8D"/>
    <w:rsid w:val="00E0644E"/>
    <w:rsid w:val="00E07639"/>
    <w:rsid w:val="00E076E6"/>
    <w:rsid w:val="00E07916"/>
    <w:rsid w:val="00E07E23"/>
    <w:rsid w:val="00E10670"/>
    <w:rsid w:val="00E10B2A"/>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1AA"/>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AD3"/>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73E"/>
    <w:rsid w:val="00E4687F"/>
    <w:rsid w:val="00E46919"/>
    <w:rsid w:val="00E46B43"/>
    <w:rsid w:val="00E471FA"/>
    <w:rsid w:val="00E472F6"/>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AF7"/>
    <w:rsid w:val="00E80BC1"/>
    <w:rsid w:val="00E80DEA"/>
    <w:rsid w:val="00E813CB"/>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CFB"/>
    <w:rsid w:val="00E96EBA"/>
    <w:rsid w:val="00E96FAD"/>
    <w:rsid w:val="00E975D8"/>
    <w:rsid w:val="00E977D6"/>
    <w:rsid w:val="00EA009E"/>
    <w:rsid w:val="00EA0A2B"/>
    <w:rsid w:val="00EA1314"/>
    <w:rsid w:val="00EA148E"/>
    <w:rsid w:val="00EA14C6"/>
    <w:rsid w:val="00EA16F8"/>
    <w:rsid w:val="00EA17BF"/>
    <w:rsid w:val="00EA19E2"/>
    <w:rsid w:val="00EA1A5C"/>
    <w:rsid w:val="00EA1AE4"/>
    <w:rsid w:val="00EA1BD2"/>
    <w:rsid w:val="00EA1DF1"/>
    <w:rsid w:val="00EA1EA5"/>
    <w:rsid w:val="00EA23DF"/>
    <w:rsid w:val="00EA245B"/>
    <w:rsid w:val="00EA274D"/>
    <w:rsid w:val="00EA278D"/>
    <w:rsid w:val="00EA2882"/>
    <w:rsid w:val="00EA2C74"/>
    <w:rsid w:val="00EA2CA5"/>
    <w:rsid w:val="00EA30F7"/>
    <w:rsid w:val="00EA36F3"/>
    <w:rsid w:val="00EA3A0A"/>
    <w:rsid w:val="00EA3F8E"/>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941"/>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6EAD"/>
    <w:rsid w:val="00EC715B"/>
    <w:rsid w:val="00EC71E6"/>
    <w:rsid w:val="00EC75FD"/>
    <w:rsid w:val="00EC7732"/>
    <w:rsid w:val="00EC775F"/>
    <w:rsid w:val="00EC792A"/>
    <w:rsid w:val="00EC79DB"/>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005"/>
    <w:rsid w:val="00ED32A8"/>
    <w:rsid w:val="00ED3A66"/>
    <w:rsid w:val="00ED3F71"/>
    <w:rsid w:val="00ED43A4"/>
    <w:rsid w:val="00ED4679"/>
    <w:rsid w:val="00ED4D57"/>
    <w:rsid w:val="00ED4DD6"/>
    <w:rsid w:val="00ED4E49"/>
    <w:rsid w:val="00ED502C"/>
    <w:rsid w:val="00ED5103"/>
    <w:rsid w:val="00ED5BF5"/>
    <w:rsid w:val="00ED5ED6"/>
    <w:rsid w:val="00ED62EF"/>
    <w:rsid w:val="00ED675F"/>
    <w:rsid w:val="00ED75C4"/>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BEA"/>
    <w:rsid w:val="00EE3CB0"/>
    <w:rsid w:val="00EE44D7"/>
    <w:rsid w:val="00EE4C40"/>
    <w:rsid w:val="00EE5202"/>
    <w:rsid w:val="00EE5323"/>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2F3C"/>
    <w:rsid w:val="00EF30D1"/>
    <w:rsid w:val="00EF3675"/>
    <w:rsid w:val="00EF381F"/>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68F"/>
    <w:rsid w:val="00F0678E"/>
    <w:rsid w:val="00F0684A"/>
    <w:rsid w:val="00F06D3D"/>
    <w:rsid w:val="00F06F8F"/>
    <w:rsid w:val="00F0700D"/>
    <w:rsid w:val="00F07068"/>
    <w:rsid w:val="00F07920"/>
    <w:rsid w:val="00F07A2F"/>
    <w:rsid w:val="00F07FE8"/>
    <w:rsid w:val="00F1024C"/>
    <w:rsid w:val="00F10A66"/>
    <w:rsid w:val="00F10B7B"/>
    <w:rsid w:val="00F10E0C"/>
    <w:rsid w:val="00F11408"/>
    <w:rsid w:val="00F11637"/>
    <w:rsid w:val="00F116EB"/>
    <w:rsid w:val="00F11A09"/>
    <w:rsid w:val="00F11E8D"/>
    <w:rsid w:val="00F11F0B"/>
    <w:rsid w:val="00F12220"/>
    <w:rsid w:val="00F1227A"/>
    <w:rsid w:val="00F1243A"/>
    <w:rsid w:val="00F126AB"/>
    <w:rsid w:val="00F12D0D"/>
    <w:rsid w:val="00F12FA2"/>
    <w:rsid w:val="00F13023"/>
    <w:rsid w:val="00F13465"/>
    <w:rsid w:val="00F14795"/>
    <w:rsid w:val="00F150F0"/>
    <w:rsid w:val="00F15703"/>
    <w:rsid w:val="00F15A6B"/>
    <w:rsid w:val="00F15ACC"/>
    <w:rsid w:val="00F15AE6"/>
    <w:rsid w:val="00F15B04"/>
    <w:rsid w:val="00F15CDA"/>
    <w:rsid w:val="00F167B6"/>
    <w:rsid w:val="00F1690D"/>
    <w:rsid w:val="00F16D07"/>
    <w:rsid w:val="00F16D1F"/>
    <w:rsid w:val="00F16EEF"/>
    <w:rsid w:val="00F17193"/>
    <w:rsid w:val="00F171E3"/>
    <w:rsid w:val="00F17333"/>
    <w:rsid w:val="00F1778C"/>
    <w:rsid w:val="00F20181"/>
    <w:rsid w:val="00F206F5"/>
    <w:rsid w:val="00F2082B"/>
    <w:rsid w:val="00F21083"/>
    <w:rsid w:val="00F211A7"/>
    <w:rsid w:val="00F215BA"/>
    <w:rsid w:val="00F21812"/>
    <w:rsid w:val="00F21919"/>
    <w:rsid w:val="00F21B12"/>
    <w:rsid w:val="00F21BC2"/>
    <w:rsid w:val="00F21C1D"/>
    <w:rsid w:val="00F21C25"/>
    <w:rsid w:val="00F21D24"/>
    <w:rsid w:val="00F21E1A"/>
    <w:rsid w:val="00F21EDF"/>
    <w:rsid w:val="00F22235"/>
    <w:rsid w:val="00F22673"/>
    <w:rsid w:val="00F22EB8"/>
    <w:rsid w:val="00F22F3E"/>
    <w:rsid w:val="00F2312D"/>
    <w:rsid w:val="00F23539"/>
    <w:rsid w:val="00F23960"/>
    <w:rsid w:val="00F2398F"/>
    <w:rsid w:val="00F242BB"/>
    <w:rsid w:val="00F247AD"/>
    <w:rsid w:val="00F2481D"/>
    <w:rsid w:val="00F24831"/>
    <w:rsid w:val="00F2501C"/>
    <w:rsid w:val="00F2534B"/>
    <w:rsid w:val="00F25F97"/>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242"/>
    <w:rsid w:val="00F4440A"/>
    <w:rsid w:val="00F446E4"/>
    <w:rsid w:val="00F447B0"/>
    <w:rsid w:val="00F4486A"/>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C03"/>
    <w:rsid w:val="00F50FF7"/>
    <w:rsid w:val="00F512D4"/>
    <w:rsid w:val="00F5139A"/>
    <w:rsid w:val="00F515C7"/>
    <w:rsid w:val="00F515D8"/>
    <w:rsid w:val="00F51745"/>
    <w:rsid w:val="00F523B9"/>
    <w:rsid w:val="00F52B7F"/>
    <w:rsid w:val="00F530B1"/>
    <w:rsid w:val="00F53153"/>
    <w:rsid w:val="00F534BC"/>
    <w:rsid w:val="00F539F7"/>
    <w:rsid w:val="00F53FCA"/>
    <w:rsid w:val="00F544CB"/>
    <w:rsid w:val="00F5458E"/>
    <w:rsid w:val="00F54969"/>
    <w:rsid w:val="00F54BF6"/>
    <w:rsid w:val="00F550AC"/>
    <w:rsid w:val="00F554E3"/>
    <w:rsid w:val="00F55DA8"/>
    <w:rsid w:val="00F56B62"/>
    <w:rsid w:val="00F56E26"/>
    <w:rsid w:val="00F56E55"/>
    <w:rsid w:val="00F570C5"/>
    <w:rsid w:val="00F57580"/>
    <w:rsid w:val="00F5758A"/>
    <w:rsid w:val="00F57754"/>
    <w:rsid w:val="00F57EA6"/>
    <w:rsid w:val="00F60560"/>
    <w:rsid w:val="00F60F72"/>
    <w:rsid w:val="00F61012"/>
    <w:rsid w:val="00F61311"/>
    <w:rsid w:val="00F61C64"/>
    <w:rsid w:val="00F61E7D"/>
    <w:rsid w:val="00F6224B"/>
    <w:rsid w:val="00F622B3"/>
    <w:rsid w:val="00F6236C"/>
    <w:rsid w:val="00F628CF"/>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D0D"/>
    <w:rsid w:val="00F84E25"/>
    <w:rsid w:val="00F85206"/>
    <w:rsid w:val="00F853C6"/>
    <w:rsid w:val="00F85740"/>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98B"/>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26"/>
    <w:rsid w:val="00FB0996"/>
    <w:rsid w:val="00FB0C97"/>
    <w:rsid w:val="00FB122F"/>
    <w:rsid w:val="00FB15B1"/>
    <w:rsid w:val="00FB19D6"/>
    <w:rsid w:val="00FB1E0E"/>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8E6"/>
    <w:rsid w:val="00FB6D31"/>
    <w:rsid w:val="00FB7115"/>
    <w:rsid w:val="00FB7E17"/>
    <w:rsid w:val="00FC0023"/>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5E2"/>
    <w:rsid w:val="00FD3610"/>
    <w:rsid w:val="00FD3843"/>
    <w:rsid w:val="00FD3C63"/>
    <w:rsid w:val="00FD3FED"/>
    <w:rsid w:val="00FD40C8"/>
    <w:rsid w:val="00FD4393"/>
    <w:rsid w:val="00FD442E"/>
    <w:rsid w:val="00FD450D"/>
    <w:rsid w:val="00FD473C"/>
    <w:rsid w:val="00FD4740"/>
    <w:rsid w:val="00FD4760"/>
    <w:rsid w:val="00FD4B95"/>
    <w:rsid w:val="00FD510A"/>
    <w:rsid w:val="00FD5611"/>
    <w:rsid w:val="00FD6AED"/>
    <w:rsid w:val="00FD707B"/>
    <w:rsid w:val="00FD7348"/>
    <w:rsid w:val="00FD746B"/>
    <w:rsid w:val="00FD7485"/>
    <w:rsid w:val="00FE031D"/>
    <w:rsid w:val="00FE04F9"/>
    <w:rsid w:val="00FE07D3"/>
    <w:rsid w:val="00FE07F7"/>
    <w:rsid w:val="00FE0B50"/>
    <w:rsid w:val="00FE1076"/>
    <w:rsid w:val="00FE10AC"/>
    <w:rsid w:val="00FE1177"/>
    <w:rsid w:val="00FE121A"/>
    <w:rsid w:val="00FE18EE"/>
    <w:rsid w:val="00FE1AE2"/>
    <w:rsid w:val="00FE1B4A"/>
    <w:rsid w:val="00FE21FF"/>
    <w:rsid w:val="00FE32A2"/>
    <w:rsid w:val="00FE342A"/>
    <w:rsid w:val="00FE35EE"/>
    <w:rsid w:val="00FE38BC"/>
    <w:rsid w:val="00FE3ED6"/>
    <w:rsid w:val="00FE3F46"/>
    <w:rsid w:val="00FE3FEF"/>
    <w:rsid w:val="00FE429F"/>
    <w:rsid w:val="00FE5740"/>
    <w:rsid w:val="00FE5DAE"/>
    <w:rsid w:val="00FE5E55"/>
    <w:rsid w:val="00FE5FF8"/>
    <w:rsid w:val="00FE64CD"/>
    <w:rsid w:val="00FE65E0"/>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2EEB"/>
    <w:rsid w:val="00FF3502"/>
    <w:rsid w:val="00FF3671"/>
    <w:rsid w:val="00FF3D5C"/>
    <w:rsid w:val="00FF3F6A"/>
    <w:rsid w:val="00FF4143"/>
    <w:rsid w:val="00FF4DF7"/>
    <w:rsid w:val="00FF4F9A"/>
    <w:rsid w:val="00FF55B1"/>
    <w:rsid w:val="00FF59A8"/>
    <w:rsid w:val="00FF60BD"/>
    <w:rsid w:val="00FF6548"/>
    <w:rsid w:val="00FF6998"/>
    <w:rsid w:val="00FF7144"/>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C2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3F0F89"/>
    <w:rPr>
      <w:color w:val="0563C1"/>
      <w:u w:val="single"/>
    </w:rPr>
  </w:style>
  <w:style w:type="paragraph" w:customStyle="1" w:styleId="Definition">
    <w:name w:val="Definition"/>
    <w:aliases w:val="dd"/>
    <w:basedOn w:val="Normal"/>
    <w:rsid w:val="00BF1559"/>
    <w:pPr>
      <w:spacing w:before="180"/>
      <w:ind w:left="1134"/>
    </w:pPr>
    <w:rPr>
      <w:sz w:val="22"/>
      <w:szCs w:val="20"/>
    </w:rPr>
  </w:style>
  <w:style w:type="paragraph" w:customStyle="1" w:styleId="notedraft">
    <w:name w:val="note(draft)"/>
    <w:aliases w:val="nd"/>
    <w:basedOn w:val="Normal"/>
    <w:rsid w:val="00BF1559"/>
    <w:pPr>
      <w:spacing w:before="240"/>
      <w:ind w:left="284" w:hanging="284"/>
    </w:pPr>
    <w:rPr>
      <w:i/>
      <w:szCs w:val="20"/>
    </w:rPr>
  </w:style>
  <w:style w:type="paragraph" w:styleId="CommentText">
    <w:name w:val="annotation text"/>
    <w:basedOn w:val="Normal"/>
    <w:link w:val="CommentTextChar"/>
    <w:rsid w:val="00BF1559"/>
    <w:pPr>
      <w:spacing w:line="260" w:lineRule="atLeast"/>
    </w:pPr>
    <w:rPr>
      <w:rFonts w:eastAsia="Calibri"/>
      <w:sz w:val="20"/>
      <w:szCs w:val="20"/>
      <w:lang w:eastAsia="en-US"/>
    </w:rPr>
  </w:style>
  <w:style w:type="character" w:customStyle="1" w:styleId="CommentTextChar">
    <w:name w:val="Comment Text Char"/>
    <w:link w:val="CommentText"/>
    <w:rsid w:val="00BF1559"/>
    <w:rPr>
      <w:rFonts w:eastAsia="Calibri"/>
      <w:lang w:eastAsia="en-US"/>
    </w:rPr>
  </w:style>
  <w:style w:type="character" w:styleId="CommentReference">
    <w:name w:val="annotation reference"/>
    <w:rsid w:val="00BF1559"/>
    <w:rPr>
      <w:sz w:val="16"/>
      <w:szCs w:val="16"/>
    </w:rPr>
  </w:style>
  <w:style w:type="paragraph" w:customStyle="1" w:styleId="Tablea">
    <w:name w:val="Table(a)"/>
    <w:aliases w:val="ta"/>
    <w:basedOn w:val="Normal"/>
    <w:rsid w:val="009365A5"/>
    <w:pPr>
      <w:spacing w:before="60"/>
      <w:ind w:left="284" w:hanging="284"/>
    </w:pPr>
    <w:rPr>
      <w:sz w:val="20"/>
      <w:szCs w:val="20"/>
    </w:rPr>
  </w:style>
  <w:style w:type="paragraph" w:customStyle="1" w:styleId="Tablei">
    <w:name w:val="Table(i)"/>
    <w:aliases w:val="taa"/>
    <w:basedOn w:val="Normal"/>
    <w:rsid w:val="0070521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rsid w:val="00705219"/>
    <w:pPr>
      <w:spacing w:before="60" w:line="240" w:lineRule="atLeast"/>
    </w:pPr>
    <w:rPr>
      <w:sz w:val="20"/>
      <w:szCs w:val="20"/>
    </w:rPr>
  </w:style>
  <w:style w:type="paragraph" w:customStyle="1" w:styleId="TableHeading">
    <w:name w:val="TableHeading"/>
    <w:aliases w:val="th"/>
    <w:basedOn w:val="Normal"/>
    <w:next w:val="Tabletext"/>
    <w:rsid w:val="00705219"/>
    <w:pPr>
      <w:keepNext/>
      <w:spacing w:before="60" w:line="240" w:lineRule="atLeast"/>
    </w:pPr>
    <w:rPr>
      <w:b/>
      <w:sz w:val="20"/>
      <w:szCs w:val="20"/>
    </w:rPr>
  </w:style>
  <w:style w:type="paragraph" w:customStyle="1" w:styleId="legcohead3">
    <w:name w:val="legcohead3"/>
    <w:basedOn w:val="Normal"/>
    <w:rsid w:val="00C932E8"/>
    <w:pPr>
      <w:keepNext/>
    </w:pPr>
    <w:rPr>
      <w:b/>
      <w:kern w:val="28"/>
      <w:szCs w:val="20"/>
      <w:lang w:val="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32E8"/>
    <w:pPr>
      <w:ind w:left="720"/>
      <w:contextualSpacing/>
    </w:pPr>
    <w:rPr>
      <w:rFonts w:ascii="Tms Rmn" w:hAnsi="Tms Rmn"/>
      <w:szCs w:val="20"/>
    </w:rPr>
  </w:style>
  <w:style w:type="paragraph" w:styleId="Header">
    <w:name w:val="header"/>
    <w:basedOn w:val="Normal"/>
    <w:link w:val="HeaderChar"/>
    <w:rsid w:val="005D35EB"/>
    <w:pPr>
      <w:tabs>
        <w:tab w:val="center" w:pos="4513"/>
        <w:tab w:val="right" w:pos="9026"/>
      </w:tabs>
    </w:pPr>
  </w:style>
  <w:style w:type="character" w:customStyle="1" w:styleId="HeaderChar">
    <w:name w:val="Header Char"/>
    <w:link w:val="Header"/>
    <w:rsid w:val="005D35EB"/>
    <w:rPr>
      <w:sz w:val="24"/>
      <w:szCs w:val="24"/>
    </w:rPr>
  </w:style>
  <w:style w:type="paragraph" w:styleId="Footer">
    <w:name w:val="footer"/>
    <w:basedOn w:val="Normal"/>
    <w:link w:val="FooterChar"/>
    <w:uiPriority w:val="99"/>
    <w:rsid w:val="005D35EB"/>
    <w:pPr>
      <w:tabs>
        <w:tab w:val="center" w:pos="4513"/>
        <w:tab w:val="right" w:pos="9026"/>
      </w:tabs>
    </w:pPr>
  </w:style>
  <w:style w:type="character" w:customStyle="1" w:styleId="FooterChar">
    <w:name w:val="Footer Char"/>
    <w:link w:val="Footer"/>
    <w:uiPriority w:val="99"/>
    <w:rsid w:val="005D35EB"/>
    <w:rPr>
      <w:sz w:val="24"/>
      <w:szCs w:val="24"/>
    </w:rPr>
  </w:style>
  <w:style w:type="paragraph" w:customStyle="1" w:styleId="ActHead5">
    <w:name w:val="ActHead 5"/>
    <w:aliases w:val="s"/>
    <w:basedOn w:val="Normal"/>
    <w:next w:val="subsection"/>
    <w:link w:val="ActHead5Char"/>
    <w:qFormat/>
    <w:rsid w:val="00B86B63"/>
    <w:pPr>
      <w:keepNext/>
      <w:keepLines/>
      <w:spacing w:before="280"/>
      <w:ind w:left="1134" w:hanging="1134"/>
      <w:outlineLvl w:val="4"/>
    </w:pPr>
    <w:rPr>
      <w:b/>
      <w:kern w:val="28"/>
      <w:szCs w:val="20"/>
    </w:rPr>
  </w:style>
  <w:style w:type="character" w:customStyle="1" w:styleId="CharSectno">
    <w:name w:val="CharSectno"/>
    <w:qFormat/>
    <w:rsid w:val="00B86B63"/>
  </w:style>
  <w:style w:type="paragraph" w:customStyle="1" w:styleId="subsection">
    <w:name w:val="subsection"/>
    <w:aliases w:val="ss"/>
    <w:basedOn w:val="Normal"/>
    <w:link w:val="subsectionChar"/>
    <w:rsid w:val="00B86B63"/>
    <w:pPr>
      <w:tabs>
        <w:tab w:val="right" w:pos="1021"/>
      </w:tabs>
      <w:spacing w:before="180"/>
      <w:ind w:left="1134" w:hanging="1134"/>
    </w:pPr>
    <w:rPr>
      <w:sz w:val="22"/>
      <w:szCs w:val="20"/>
    </w:rPr>
  </w:style>
  <w:style w:type="character" w:customStyle="1" w:styleId="subsectionChar">
    <w:name w:val="subsection Char"/>
    <w:aliases w:val="ss Char"/>
    <w:link w:val="subsection"/>
    <w:rsid w:val="00B86B63"/>
    <w:rPr>
      <w:sz w:val="22"/>
    </w:rPr>
  </w:style>
  <w:style w:type="character" w:customStyle="1" w:styleId="ActHead5Char">
    <w:name w:val="ActHead 5 Char"/>
    <w:aliases w:val="s Char"/>
    <w:link w:val="ActHead5"/>
    <w:rsid w:val="00B86B63"/>
    <w:rPr>
      <w:b/>
      <w:kern w:val="28"/>
      <w:sz w:val="24"/>
    </w:rPr>
  </w:style>
  <w:style w:type="character" w:styleId="FollowedHyperlink">
    <w:name w:val="FollowedHyperlink"/>
    <w:rsid w:val="009C711A"/>
    <w:rPr>
      <w:color w:val="954F72"/>
      <w:u w:val="single"/>
    </w:rPr>
  </w:style>
  <w:style w:type="paragraph" w:styleId="CommentSubject">
    <w:name w:val="annotation subject"/>
    <w:basedOn w:val="CommentText"/>
    <w:next w:val="CommentText"/>
    <w:link w:val="CommentSubjectChar"/>
    <w:rsid w:val="005D082D"/>
    <w:pPr>
      <w:spacing w:line="240" w:lineRule="auto"/>
    </w:pPr>
    <w:rPr>
      <w:rFonts w:eastAsia="Times New Roman"/>
      <w:b/>
      <w:bCs/>
      <w:lang w:eastAsia="en-AU"/>
    </w:rPr>
  </w:style>
  <w:style w:type="character" w:customStyle="1" w:styleId="CommentSubjectChar">
    <w:name w:val="Comment Subject Char"/>
    <w:link w:val="CommentSubject"/>
    <w:rsid w:val="005D082D"/>
    <w:rPr>
      <w:rFonts w:eastAsia="Calibri"/>
      <w:b/>
      <w:bCs/>
      <w:lang w:eastAsia="en-US"/>
    </w:rPr>
  </w:style>
  <w:style w:type="paragraph" w:styleId="Revision">
    <w:name w:val="Revision"/>
    <w:hidden/>
    <w:uiPriority w:val="99"/>
    <w:semiHidden/>
    <w:rsid w:val="0077459C"/>
    <w:rPr>
      <w:sz w:val="24"/>
      <w:szCs w:val="24"/>
    </w:rPr>
  </w:style>
  <w:style w:type="paragraph" w:customStyle="1" w:styleId="ActHead2">
    <w:name w:val="ActHead 2"/>
    <w:aliases w:val="p"/>
    <w:basedOn w:val="Normal"/>
    <w:next w:val="Normal"/>
    <w:qFormat/>
    <w:rsid w:val="00103A1B"/>
    <w:pPr>
      <w:keepNext/>
      <w:keepLines/>
      <w:spacing w:before="280"/>
      <w:ind w:left="1134" w:hanging="1134"/>
      <w:outlineLvl w:val="1"/>
    </w:pPr>
    <w:rPr>
      <w:b/>
      <w:kern w:val="28"/>
      <w:sz w:val="32"/>
      <w:szCs w:val="20"/>
    </w:rPr>
  </w:style>
  <w:style w:type="paragraph" w:customStyle="1" w:styleId="ActHead6">
    <w:name w:val="ActHead 6"/>
    <w:aliases w:val="as"/>
    <w:basedOn w:val="Normal"/>
    <w:next w:val="Normal"/>
    <w:qFormat/>
    <w:rsid w:val="00103A1B"/>
    <w:pPr>
      <w:keepNext/>
      <w:keepLines/>
      <w:ind w:left="1134" w:hanging="1134"/>
      <w:outlineLvl w:val="5"/>
    </w:pPr>
    <w:rPr>
      <w:rFonts w:ascii="Arial" w:hAnsi="Arial"/>
      <w:b/>
      <w:kern w:val="28"/>
      <w:sz w:val="32"/>
      <w:szCs w:val="20"/>
    </w:rPr>
  </w:style>
  <w:style w:type="paragraph" w:customStyle="1" w:styleId="ActHead9">
    <w:name w:val="ActHead 9"/>
    <w:aliases w:val="aat"/>
    <w:basedOn w:val="Normal"/>
    <w:next w:val="ItemHead"/>
    <w:qFormat/>
    <w:rsid w:val="00103A1B"/>
    <w:pPr>
      <w:keepNext/>
      <w:keepLines/>
      <w:spacing w:before="280"/>
      <w:ind w:left="1134" w:hanging="1134"/>
      <w:outlineLvl w:val="8"/>
    </w:pPr>
    <w:rPr>
      <w:b/>
      <w:i/>
      <w:kern w:val="28"/>
      <w:sz w:val="28"/>
      <w:szCs w:val="20"/>
    </w:rPr>
  </w:style>
  <w:style w:type="character" w:customStyle="1" w:styleId="CharAmPartNo">
    <w:name w:val="CharAmPartNo"/>
    <w:basedOn w:val="DefaultParagraphFont"/>
    <w:qFormat/>
    <w:rsid w:val="00103A1B"/>
  </w:style>
  <w:style w:type="character" w:customStyle="1" w:styleId="CharAmPartText">
    <w:name w:val="CharAmPartText"/>
    <w:basedOn w:val="DefaultParagraphFont"/>
    <w:qFormat/>
    <w:rsid w:val="00103A1B"/>
  </w:style>
  <w:style w:type="character" w:customStyle="1" w:styleId="CharAmSchNo">
    <w:name w:val="CharAmSchNo"/>
    <w:basedOn w:val="DefaultParagraphFont"/>
    <w:qFormat/>
    <w:rsid w:val="00103A1B"/>
  </w:style>
  <w:style w:type="character" w:customStyle="1" w:styleId="CharAmSchText">
    <w:name w:val="CharAmSchText"/>
    <w:basedOn w:val="DefaultParagraphFont"/>
    <w:qFormat/>
    <w:rsid w:val="00103A1B"/>
  </w:style>
  <w:style w:type="character" w:customStyle="1" w:styleId="CharDivNo">
    <w:name w:val="CharDivNo"/>
    <w:basedOn w:val="DefaultParagraphFont"/>
    <w:uiPriority w:val="1"/>
    <w:qFormat/>
    <w:rsid w:val="00103A1B"/>
  </w:style>
  <w:style w:type="character" w:customStyle="1" w:styleId="CharDivText">
    <w:name w:val="CharDivText"/>
    <w:basedOn w:val="DefaultParagraphFont"/>
    <w:uiPriority w:val="1"/>
    <w:qFormat/>
    <w:rsid w:val="00103A1B"/>
  </w:style>
  <w:style w:type="character" w:customStyle="1" w:styleId="CharPartNo">
    <w:name w:val="CharPartNo"/>
    <w:basedOn w:val="DefaultParagraphFont"/>
    <w:uiPriority w:val="1"/>
    <w:qFormat/>
    <w:rsid w:val="00103A1B"/>
  </w:style>
  <w:style w:type="character" w:customStyle="1" w:styleId="CharPartText">
    <w:name w:val="CharPartText"/>
    <w:basedOn w:val="DefaultParagraphFont"/>
    <w:uiPriority w:val="1"/>
    <w:qFormat/>
    <w:rsid w:val="00103A1B"/>
  </w:style>
  <w:style w:type="paragraph" w:customStyle="1" w:styleId="Item">
    <w:name w:val="Item"/>
    <w:aliases w:val="i"/>
    <w:basedOn w:val="Normal"/>
    <w:next w:val="ItemHead"/>
    <w:rsid w:val="00103A1B"/>
    <w:pPr>
      <w:keepLines/>
      <w:spacing w:before="80"/>
      <w:ind w:left="709"/>
    </w:pPr>
    <w:rPr>
      <w:sz w:val="22"/>
      <w:szCs w:val="20"/>
    </w:rPr>
  </w:style>
  <w:style w:type="paragraph" w:customStyle="1" w:styleId="ItemHead">
    <w:name w:val="ItemHead"/>
    <w:aliases w:val="ih"/>
    <w:basedOn w:val="Normal"/>
    <w:next w:val="Item"/>
    <w:rsid w:val="00103A1B"/>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103A1B"/>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103A1B"/>
    <w:pPr>
      <w:tabs>
        <w:tab w:val="right" w:pos="1531"/>
      </w:tabs>
      <w:spacing w:before="40"/>
      <w:ind w:left="1644" w:hanging="1644"/>
    </w:pPr>
    <w:rPr>
      <w:sz w:val="22"/>
      <w:szCs w:val="20"/>
    </w:rPr>
  </w:style>
  <w:style w:type="paragraph" w:customStyle="1" w:styleId="SubsectionHead">
    <w:name w:val="SubsectionHead"/>
    <w:aliases w:val="ssh"/>
    <w:basedOn w:val="Normal"/>
    <w:next w:val="subsection"/>
    <w:rsid w:val="00103A1B"/>
    <w:pPr>
      <w:keepNext/>
      <w:keepLines/>
      <w:spacing w:before="240"/>
      <w:ind w:left="1134"/>
    </w:pPr>
    <w:rPr>
      <w:i/>
      <w:sz w:val="22"/>
      <w:szCs w:val="20"/>
    </w:rPr>
  </w:style>
  <w:style w:type="paragraph" w:customStyle="1" w:styleId="notepara">
    <w:name w:val="note(para)"/>
    <w:aliases w:val="na"/>
    <w:basedOn w:val="Normal"/>
    <w:rsid w:val="00103A1B"/>
    <w:pPr>
      <w:spacing w:before="40" w:line="198" w:lineRule="exact"/>
      <w:ind w:left="2354" w:hanging="369"/>
    </w:pPr>
    <w:rPr>
      <w:sz w:val="18"/>
      <w:szCs w:val="20"/>
    </w:rPr>
  </w:style>
  <w:style w:type="paragraph" w:customStyle="1" w:styleId="notetext">
    <w:name w:val="note(text)"/>
    <w:aliases w:val="n"/>
    <w:basedOn w:val="Normal"/>
    <w:link w:val="notetextChar"/>
    <w:rsid w:val="00103A1B"/>
    <w:pPr>
      <w:spacing w:before="122"/>
      <w:ind w:left="1985" w:hanging="851"/>
    </w:pPr>
    <w:rPr>
      <w:sz w:val="18"/>
      <w:szCs w:val="20"/>
    </w:rPr>
  </w:style>
  <w:style w:type="character" w:customStyle="1" w:styleId="notetextChar">
    <w:name w:val="note(text) Char"/>
    <w:aliases w:val="n Char"/>
    <w:basedOn w:val="DefaultParagraphFont"/>
    <w:link w:val="notetext"/>
    <w:rsid w:val="00103A1B"/>
    <w:rPr>
      <w:sz w:val="18"/>
    </w:rPr>
  </w:style>
  <w:style w:type="character" w:customStyle="1" w:styleId="paragraphChar">
    <w:name w:val="paragraph Char"/>
    <w:aliases w:val="a Char"/>
    <w:link w:val="paragraph"/>
    <w:rsid w:val="00103A1B"/>
    <w:rPr>
      <w:sz w:val="22"/>
    </w:rPr>
  </w:style>
  <w:style w:type="character" w:styleId="UnresolvedMention">
    <w:name w:val="Unresolved Mention"/>
    <w:basedOn w:val="DefaultParagraphFont"/>
    <w:uiPriority w:val="99"/>
    <w:semiHidden/>
    <w:unhideWhenUsed/>
    <w:rsid w:val="00103A1B"/>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7D5599"/>
    <w:rPr>
      <w:rFonts w:ascii="Tms Rmn" w:hAnsi="Tms Rmn"/>
      <w:sz w:val="24"/>
    </w:rPr>
  </w:style>
  <w:style w:type="paragraph" w:customStyle="1" w:styleId="notepara0">
    <w:name w:val="notepara"/>
    <w:basedOn w:val="Normal"/>
    <w:rsid w:val="007D5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20121">
      <w:bodyDiv w:val="1"/>
      <w:marLeft w:val="0"/>
      <w:marRight w:val="0"/>
      <w:marTop w:val="0"/>
      <w:marBottom w:val="0"/>
      <w:divBdr>
        <w:top w:val="none" w:sz="0" w:space="0" w:color="auto"/>
        <w:left w:val="none" w:sz="0" w:space="0" w:color="auto"/>
        <w:bottom w:val="none" w:sz="0" w:space="0" w:color="auto"/>
        <w:right w:val="none" w:sz="0" w:space="0" w:color="auto"/>
      </w:divBdr>
    </w:div>
    <w:div w:id="873036772">
      <w:bodyDiv w:val="1"/>
      <w:marLeft w:val="0"/>
      <w:marRight w:val="0"/>
      <w:marTop w:val="0"/>
      <w:marBottom w:val="0"/>
      <w:divBdr>
        <w:top w:val="none" w:sz="0" w:space="0" w:color="auto"/>
        <w:left w:val="none" w:sz="0" w:space="0" w:color="auto"/>
        <w:bottom w:val="none" w:sz="0" w:space="0" w:color="auto"/>
        <w:right w:val="none" w:sz="0" w:space="0" w:color="auto"/>
      </w:divBdr>
      <w:divsChild>
        <w:div w:id="1245457572">
          <w:marLeft w:val="0"/>
          <w:marRight w:val="0"/>
          <w:marTop w:val="0"/>
          <w:marBottom w:val="0"/>
          <w:divBdr>
            <w:top w:val="none" w:sz="0" w:space="0" w:color="auto"/>
            <w:left w:val="none" w:sz="0" w:space="0" w:color="auto"/>
            <w:bottom w:val="none" w:sz="0" w:space="0" w:color="auto"/>
            <w:right w:val="none" w:sz="0" w:space="0" w:color="auto"/>
          </w:divBdr>
          <w:divsChild>
            <w:div w:id="479427254">
              <w:marLeft w:val="0"/>
              <w:marRight w:val="0"/>
              <w:marTop w:val="0"/>
              <w:marBottom w:val="0"/>
              <w:divBdr>
                <w:top w:val="none" w:sz="0" w:space="0" w:color="auto"/>
                <w:left w:val="none" w:sz="0" w:space="0" w:color="auto"/>
                <w:bottom w:val="none" w:sz="0" w:space="0" w:color="auto"/>
                <w:right w:val="none" w:sz="0" w:space="0" w:color="auto"/>
              </w:divBdr>
              <w:divsChild>
                <w:div w:id="1409645220">
                  <w:marLeft w:val="0"/>
                  <w:marRight w:val="0"/>
                  <w:marTop w:val="0"/>
                  <w:marBottom w:val="0"/>
                  <w:divBdr>
                    <w:top w:val="none" w:sz="0" w:space="0" w:color="auto"/>
                    <w:left w:val="none" w:sz="0" w:space="0" w:color="auto"/>
                    <w:bottom w:val="none" w:sz="0" w:space="0" w:color="auto"/>
                    <w:right w:val="none" w:sz="0" w:space="0" w:color="auto"/>
                  </w:divBdr>
                  <w:divsChild>
                    <w:div w:id="1421566681">
                      <w:marLeft w:val="0"/>
                      <w:marRight w:val="0"/>
                      <w:marTop w:val="0"/>
                      <w:marBottom w:val="0"/>
                      <w:divBdr>
                        <w:top w:val="none" w:sz="0" w:space="0" w:color="auto"/>
                        <w:left w:val="none" w:sz="0" w:space="0" w:color="auto"/>
                        <w:bottom w:val="none" w:sz="0" w:space="0" w:color="auto"/>
                        <w:right w:val="none" w:sz="0" w:space="0" w:color="auto"/>
                      </w:divBdr>
                      <w:divsChild>
                        <w:div w:id="1931042174">
                          <w:marLeft w:val="0"/>
                          <w:marRight w:val="0"/>
                          <w:marTop w:val="0"/>
                          <w:marBottom w:val="0"/>
                          <w:divBdr>
                            <w:top w:val="none" w:sz="0" w:space="0" w:color="auto"/>
                            <w:left w:val="none" w:sz="0" w:space="0" w:color="auto"/>
                            <w:bottom w:val="none" w:sz="0" w:space="0" w:color="auto"/>
                            <w:right w:val="none" w:sz="0" w:space="0" w:color="auto"/>
                          </w:divBdr>
                          <w:divsChild>
                            <w:div w:id="1176652464">
                              <w:marLeft w:val="0"/>
                              <w:marRight w:val="0"/>
                              <w:marTop w:val="0"/>
                              <w:marBottom w:val="0"/>
                              <w:divBdr>
                                <w:top w:val="none" w:sz="0" w:space="0" w:color="auto"/>
                                <w:left w:val="none" w:sz="0" w:space="0" w:color="auto"/>
                                <w:bottom w:val="none" w:sz="0" w:space="0" w:color="auto"/>
                                <w:right w:val="none" w:sz="0" w:space="0" w:color="auto"/>
                              </w:divBdr>
                              <w:divsChild>
                                <w:div w:id="506098831">
                                  <w:marLeft w:val="0"/>
                                  <w:marRight w:val="0"/>
                                  <w:marTop w:val="0"/>
                                  <w:marBottom w:val="0"/>
                                  <w:divBdr>
                                    <w:top w:val="none" w:sz="0" w:space="0" w:color="auto"/>
                                    <w:left w:val="none" w:sz="0" w:space="0" w:color="auto"/>
                                    <w:bottom w:val="none" w:sz="0" w:space="0" w:color="auto"/>
                                    <w:right w:val="none" w:sz="0" w:space="0" w:color="auto"/>
                                  </w:divBdr>
                                  <w:divsChild>
                                    <w:div w:id="554662207">
                                      <w:marLeft w:val="0"/>
                                      <w:marRight w:val="0"/>
                                      <w:marTop w:val="0"/>
                                      <w:marBottom w:val="0"/>
                                      <w:divBdr>
                                        <w:top w:val="none" w:sz="0" w:space="0" w:color="auto"/>
                                        <w:left w:val="none" w:sz="0" w:space="0" w:color="auto"/>
                                        <w:bottom w:val="none" w:sz="0" w:space="0" w:color="auto"/>
                                        <w:right w:val="none" w:sz="0" w:space="0" w:color="auto"/>
                                      </w:divBdr>
                                      <w:divsChild>
                                        <w:div w:id="2140300459">
                                          <w:marLeft w:val="0"/>
                                          <w:marRight w:val="0"/>
                                          <w:marTop w:val="0"/>
                                          <w:marBottom w:val="0"/>
                                          <w:divBdr>
                                            <w:top w:val="none" w:sz="0" w:space="0" w:color="auto"/>
                                            <w:left w:val="none" w:sz="0" w:space="0" w:color="auto"/>
                                            <w:bottom w:val="none" w:sz="0" w:space="0" w:color="auto"/>
                                            <w:right w:val="none" w:sz="0" w:space="0" w:color="auto"/>
                                          </w:divBdr>
                                          <w:divsChild>
                                            <w:div w:id="818234416">
                                              <w:marLeft w:val="0"/>
                                              <w:marRight w:val="0"/>
                                              <w:marTop w:val="0"/>
                                              <w:marBottom w:val="0"/>
                                              <w:divBdr>
                                                <w:top w:val="none" w:sz="0" w:space="0" w:color="auto"/>
                                                <w:left w:val="none" w:sz="0" w:space="0" w:color="auto"/>
                                                <w:bottom w:val="none" w:sz="0" w:space="0" w:color="auto"/>
                                                <w:right w:val="none" w:sz="0" w:space="0" w:color="auto"/>
                                              </w:divBdr>
                                              <w:divsChild>
                                                <w:div w:id="65760145">
                                                  <w:marLeft w:val="0"/>
                                                  <w:marRight w:val="0"/>
                                                  <w:marTop w:val="0"/>
                                                  <w:marBottom w:val="0"/>
                                                  <w:divBdr>
                                                    <w:top w:val="none" w:sz="0" w:space="0" w:color="auto"/>
                                                    <w:left w:val="none" w:sz="0" w:space="0" w:color="auto"/>
                                                    <w:bottom w:val="none" w:sz="0" w:space="0" w:color="auto"/>
                                                    <w:right w:val="none" w:sz="0" w:space="0" w:color="auto"/>
                                                  </w:divBdr>
                                                  <w:divsChild>
                                                    <w:div w:id="1138962245">
                                                      <w:marLeft w:val="0"/>
                                                      <w:marRight w:val="0"/>
                                                      <w:marTop w:val="0"/>
                                                      <w:marBottom w:val="0"/>
                                                      <w:divBdr>
                                                        <w:top w:val="none" w:sz="0" w:space="0" w:color="auto"/>
                                                        <w:left w:val="none" w:sz="0" w:space="0" w:color="auto"/>
                                                        <w:bottom w:val="none" w:sz="0" w:space="0" w:color="auto"/>
                                                        <w:right w:val="none" w:sz="0" w:space="0" w:color="auto"/>
                                                      </w:divBdr>
                                                      <w:divsChild>
                                                        <w:div w:id="10602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771027">
      <w:bodyDiv w:val="1"/>
      <w:marLeft w:val="0"/>
      <w:marRight w:val="0"/>
      <w:marTop w:val="0"/>
      <w:marBottom w:val="0"/>
      <w:divBdr>
        <w:top w:val="none" w:sz="0" w:space="0" w:color="auto"/>
        <w:left w:val="none" w:sz="0" w:space="0" w:color="auto"/>
        <w:bottom w:val="none" w:sz="0" w:space="0" w:color="auto"/>
        <w:right w:val="none" w:sz="0" w:space="0" w:color="auto"/>
      </w:divBdr>
    </w:div>
    <w:div w:id="1560626857">
      <w:bodyDiv w:val="1"/>
      <w:marLeft w:val="0"/>
      <w:marRight w:val="0"/>
      <w:marTop w:val="0"/>
      <w:marBottom w:val="0"/>
      <w:divBdr>
        <w:top w:val="none" w:sz="0" w:space="0" w:color="auto"/>
        <w:left w:val="none" w:sz="0" w:space="0" w:color="auto"/>
        <w:bottom w:val="none" w:sz="0" w:space="0" w:color="auto"/>
        <w:right w:val="none" w:sz="0" w:space="0" w:color="auto"/>
      </w:divBdr>
    </w:div>
    <w:div w:id="18978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egislation.gov.au" TargetMode="External"/><Relationship Id="rId4" Type="http://schemas.openxmlformats.org/officeDocument/2006/relationships/styles" Target="styles.xml"/><Relationship Id="rId9" Type="http://schemas.openxmlformats.org/officeDocument/2006/relationships/hyperlink" Target="https://oia.pmc.gov.au/published-impact-analyses-and-reports/aged-care-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BA2AE62-3CB5-49BC-BFF3-74455340ADB6}">
  <ds:schemaRefs>
    <ds:schemaRef ds:uri="http://schemas.openxmlformats.org/officeDocument/2006/bibliography"/>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27895</CharactersWithSpaces>
  <SharedDoc>false</SharedDoc>
  <HLinks>
    <vt:vector size="30" baseType="variant">
      <vt:variant>
        <vt:i4>1114176</vt:i4>
      </vt:variant>
      <vt:variant>
        <vt:i4>12</vt:i4>
      </vt:variant>
      <vt:variant>
        <vt:i4>0</vt:i4>
      </vt:variant>
      <vt:variant>
        <vt:i4>5</vt:i4>
      </vt:variant>
      <vt:variant>
        <vt:lpwstr>https://ahpra.gov.au/</vt:lpwstr>
      </vt:variant>
      <vt:variant>
        <vt:lpwstr/>
      </vt:variant>
      <vt:variant>
        <vt:i4>7733287</vt:i4>
      </vt:variant>
      <vt:variant>
        <vt:i4>9</vt:i4>
      </vt:variant>
      <vt:variant>
        <vt:i4>0</vt:i4>
      </vt:variant>
      <vt:variant>
        <vt:i4>5</vt:i4>
      </vt:variant>
      <vt:variant>
        <vt:lpwstr>https://www.health.gov.au/</vt:lpwstr>
      </vt:variant>
      <vt:variant>
        <vt:lpwstr/>
      </vt:variant>
      <vt:variant>
        <vt:i4>3080280</vt:i4>
      </vt:variant>
      <vt:variant>
        <vt:i4>6</vt:i4>
      </vt:variant>
      <vt:variant>
        <vt:i4>0</vt:i4>
      </vt:variant>
      <vt:variant>
        <vt:i4>5</vt:i4>
      </vt:variant>
      <vt:variant>
        <vt:lpwstr>https://ris.pmc.gov.au/sites/default/files/posts/2020/11/m_lye_correspondence_-_shadow_assessment_-_8_october_2020.pdf</vt:lpwstr>
      </vt:variant>
      <vt:variant>
        <vt:lpwstr/>
      </vt:variant>
      <vt:variant>
        <vt:i4>7733287</vt:i4>
      </vt:variant>
      <vt:variant>
        <vt:i4>3</vt:i4>
      </vt:variant>
      <vt:variant>
        <vt:i4>0</vt:i4>
      </vt:variant>
      <vt:variant>
        <vt:i4>5</vt:i4>
      </vt:variant>
      <vt:variant>
        <vt:lpwstr>https://www.health.gov.au/</vt:lpwstr>
      </vt:variant>
      <vt:variant>
        <vt:lpwstr/>
      </vt:variant>
      <vt:variant>
        <vt:i4>7733287</vt:i4>
      </vt:variant>
      <vt:variant>
        <vt:i4>0</vt:i4>
      </vt:variant>
      <vt:variant>
        <vt:i4>0</vt:i4>
      </vt:variant>
      <vt:variant>
        <vt:i4>5</vt:i4>
      </vt:variant>
      <vt:variant>
        <vt:lpwstr>https://www.health.gov.au/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2023-06-30T06:31:00Z</dcterms:created>
  <dcterms:modified xsi:type="dcterms:W3CDTF">2023-08-14T04:52:00Z</dcterms:modified>
</cp:coreProperties>
</file>