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481C" w14:textId="77777777" w:rsidR="005C07E5" w:rsidRDefault="005C07E5">
      <w:pPr>
        <w:pStyle w:val="Heading1"/>
        <w:spacing w:line="360" w:lineRule="auto"/>
      </w:pPr>
      <w:bookmarkStart w:id="0" w:name="_GoBack"/>
      <w:bookmarkEnd w:id="0"/>
      <w:r>
        <w:t>EXPLANATORY STATEMENT</w:t>
      </w:r>
    </w:p>
    <w:p w14:paraId="39375D4C" w14:textId="77777777" w:rsidR="005C07E5" w:rsidRPr="00E30EA5" w:rsidRDefault="00353FC0" w:rsidP="00E30EA5">
      <w:pPr>
        <w:spacing w:before="240" w:line="360" w:lineRule="auto"/>
        <w:jc w:val="center"/>
        <w:rPr>
          <w:sz w:val="24"/>
          <w:szCs w:val="24"/>
        </w:rPr>
      </w:pPr>
      <w:r w:rsidRPr="00E30EA5">
        <w:rPr>
          <w:sz w:val="24"/>
          <w:szCs w:val="24"/>
        </w:rPr>
        <w:t>Issued by authority of the Minister for Immigration, Citizenship and Multicultural Affairs</w:t>
      </w:r>
    </w:p>
    <w:p w14:paraId="1C0301A8" w14:textId="77777777" w:rsidR="00353FC0" w:rsidRDefault="00353FC0" w:rsidP="00FF75A7">
      <w:pPr>
        <w:ind w:right="-188"/>
        <w:jc w:val="center"/>
        <w:rPr>
          <w:i/>
          <w:sz w:val="24"/>
          <w:szCs w:val="24"/>
        </w:rPr>
      </w:pPr>
    </w:p>
    <w:p w14:paraId="3A6343BA" w14:textId="77777777" w:rsidR="00FF75A7" w:rsidRPr="00616C23" w:rsidRDefault="00FF75A7" w:rsidP="00FF75A7">
      <w:pPr>
        <w:ind w:right="-188"/>
        <w:jc w:val="center"/>
        <w:rPr>
          <w:i/>
          <w:sz w:val="24"/>
          <w:szCs w:val="24"/>
        </w:rPr>
      </w:pPr>
      <w:r w:rsidRPr="00616C23">
        <w:rPr>
          <w:i/>
          <w:sz w:val="24"/>
          <w:szCs w:val="24"/>
        </w:rPr>
        <w:t>Migration Regulations 1994</w:t>
      </w:r>
    </w:p>
    <w:p w14:paraId="0D2A0B2B" w14:textId="77777777" w:rsidR="00FF75A7" w:rsidRDefault="00FF75A7" w:rsidP="00FF75A7">
      <w:pPr>
        <w:pStyle w:val="Heading1"/>
        <w:ind w:right="-188"/>
      </w:pPr>
    </w:p>
    <w:p w14:paraId="20FB26DF" w14:textId="77777777" w:rsidR="009757A0" w:rsidRPr="009757A0" w:rsidRDefault="009757A0" w:rsidP="009757A0"/>
    <w:p w14:paraId="5E0EFFF8" w14:textId="359E2C12" w:rsidR="00FF75A7" w:rsidRPr="009757A0" w:rsidRDefault="0094253B" w:rsidP="009757A0">
      <w:pPr>
        <w:ind w:right="-188"/>
        <w:jc w:val="center"/>
        <w:rPr>
          <w:b/>
          <w:i/>
          <w:sz w:val="24"/>
          <w:szCs w:val="24"/>
        </w:rPr>
      </w:pPr>
      <w:r w:rsidRPr="0094253B">
        <w:rPr>
          <w:b/>
          <w:i/>
          <w:sz w:val="24"/>
          <w:szCs w:val="24"/>
        </w:rPr>
        <w:t>Migration (Chemicals of Security Concern) Specification (LIN 23/053) 2023</w:t>
      </w:r>
    </w:p>
    <w:p w14:paraId="3FF65ED5" w14:textId="0CCA72AC" w:rsidR="00416A2F" w:rsidRDefault="00416A2F" w:rsidP="00844DC4">
      <w:pPr>
        <w:spacing w:after="240"/>
        <w:rPr>
          <w:sz w:val="24"/>
        </w:rPr>
      </w:pPr>
    </w:p>
    <w:p w14:paraId="15EB0F98" w14:textId="5C54E587" w:rsidR="005C07E5" w:rsidRDefault="005C07E5" w:rsidP="0094253B">
      <w:pPr>
        <w:numPr>
          <w:ilvl w:val="0"/>
          <w:numId w:val="4"/>
        </w:numPr>
        <w:tabs>
          <w:tab w:val="clear" w:pos="720"/>
        </w:tabs>
        <w:spacing w:after="240"/>
        <w:ind w:left="709" w:hanging="709"/>
        <w:rPr>
          <w:sz w:val="24"/>
        </w:rPr>
      </w:pPr>
      <w:r>
        <w:rPr>
          <w:sz w:val="24"/>
        </w:rPr>
        <w:t>Th</w:t>
      </w:r>
      <w:r w:rsidR="0094253B">
        <w:rPr>
          <w:sz w:val="24"/>
        </w:rPr>
        <w:t>e</w:t>
      </w:r>
      <w:r>
        <w:rPr>
          <w:sz w:val="24"/>
        </w:rPr>
        <w:t xml:space="preserve"> </w:t>
      </w:r>
      <w:r w:rsidR="0094253B">
        <w:rPr>
          <w:sz w:val="24"/>
        </w:rPr>
        <w:t>i</w:t>
      </w:r>
      <w:r w:rsidR="00DC344E">
        <w:rPr>
          <w:sz w:val="24"/>
        </w:rPr>
        <w:t>nstrument</w:t>
      </w:r>
      <w:r w:rsidR="0094253B">
        <w:rPr>
          <w:sz w:val="24"/>
        </w:rPr>
        <w:t xml:space="preserve">, </w:t>
      </w:r>
      <w:r w:rsidR="0094253B" w:rsidRPr="0094253B">
        <w:rPr>
          <w:sz w:val="24"/>
        </w:rPr>
        <w:t>D</w:t>
      </w:r>
      <w:r w:rsidR="0094253B">
        <w:rPr>
          <w:sz w:val="24"/>
        </w:rPr>
        <w:t>epartmental reference LIN 23/053</w:t>
      </w:r>
      <w:r w:rsidR="0094253B" w:rsidRPr="0094253B">
        <w:rPr>
          <w:sz w:val="24"/>
        </w:rPr>
        <w:t>,</w:t>
      </w:r>
      <w:r w:rsidR="00DC344E">
        <w:rPr>
          <w:sz w:val="24"/>
        </w:rPr>
        <w:t xml:space="preserve"> </w:t>
      </w:r>
      <w:r>
        <w:rPr>
          <w:sz w:val="24"/>
        </w:rPr>
        <w:t xml:space="preserve">is made </w:t>
      </w:r>
      <w:r w:rsidR="0094253B" w:rsidRPr="0094253B">
        <w:rPr>
          <w:sz w:val="24"/>
        </w:rPr>
        <w:t xml:space="preserve">by the Minister for Immigration, Citizenship and Multicultural Affairs </w:t>
      </w:r>
      <w:r>
        <w:rPr>
          <w:sz w:val="24"/>
        </w:rPr>
        <w:t>under</w:t>
      </w:r>
      <w:r w:rsidR="00A3241A">
        <w:rPr>
          <w:sz w:val="24"/>
        </w:rPr>
        <w:t xml:space="preserve"> </w:t>
      </w:r>
      <w:r w:rsidR="0094253B" w:rsidRPr="0094253B">
        <w:rPr>
          <w:sz w:val="24"/>
        </w:rPr>
        <w:t xml:space="preserve">subclauses 8551(2) </w:t>
      </w:r>
      <w:r w:rsidR="0094253B">
        <w:rPr>
          <w:sz w:val="24"/>
        </w:rPr>
        <w:t xml:space="preserve">and 8560(2) of Schedule 8 to </w:t>
      </w:r>
      <w:r>
        <w:rPr>
          <w:sz w:val="24"/>
        </w:rPr>
        <w:t>the</w:t>
      </w:r>
      <w:r w:rsidR="005D5E65">
        <w:rPr>
          <w:sz w:val="24"/>
        </w:rPr>
        <w:t xml:space="preserve"> </w:t>
      </w:r>
      <w:r w:rsidR="00231FFD" w:rsidRPr="00231FFD">
        <w:rPr>
          <w:i/>
          <w:sz w:val="24"/>
        </w:rPr>
        <w:t>Migration Regulations</w:t>
      </w:r>
      <w:r w:rsidR="0094253B">
        <w:rPr>
          <w:i/>
          <w:sz w:val="24"/>
        </w:rPr>
        <w:t> </w:t>
      </w:r>
      <w:r w:rsidR="00231FFD" w:rsidRPr="00231FFD">
        <w:rPr>
          <w:i/>
          <w:sz w:val="24"/>
        </w:rPr>
        <w:t>1994</w:t>
      </w:r>
      <w:r w:rsidR="006124F1">
        <w:rPr>
          <w:sz w:val="24"/>
        </w:rPr>
        <w:t xml:space="preserve"> (the Migration Regulations</w:t>
      </w:r>
      <w:r w:rsidR="00231FFD">
        <w:rPr>
          <w:sz w:val="24"/>
        </w:rPr>
        <w:t>)</w:t>
      </w:r>
      <w:r>
        <w:rPr>
          <w:sz w:val="24"/>
        </w:rPr>
        <w:t>.</w:t>
      </w:r>
    </w:p>
    <w:p w14:paraId="75C1F6C2" w14:textId="2D47D1F0" w:rsidR="00B94720" w:rsidRDefault="00D01FF1" w:rsidP="0094253B">
      <w:pPr>
        <w:numPr>
          <w:ilvl w:val="0"/>
          <w:numId w:val="4"/>
        </w:numPr>
        <w:tabs>
          <w:tab w:val="clear" w:pos="720"/>
        </w:tabs>
        <w:spacing w:after="240"/>
        <w:ind w:left="709" w:hanging="709"/>
        <w:rPr>
          <w:sz w:val="24"/>
          <w:szCs w:val="24"/>
        </w:rPr>
      </w:pPr>
      <w:r w:rsidRPr="00FD07B3">
        <w:rPr>
          <w:sz w:val="24"/>
          <w:szCs w:val="24"/>
        </w:rPr>
        <w:t>Th</w:t>
      </w:r>
      <w:r w:rsidR="002D065D">
        <w:rPr>
          <w:sz w:val="24"/>
          <w:szCs w:val="24"/>
        </w:rPr>
        <w:t>e</w:t>
      </w:r>
      <w:r w:rsidRPr="00FD07B3">
        <w:rPr>
          <w:sz w:val="24"/>
          <w:szCs w:val="24"/>
        </w:rPr>
        <w:t xml:space="preserve"> instrument repeals </w:t>
      </w:r>
      <w:r w:rsidRPr="00FD07B3">
        <w:rPr>
          <w:i/>
          <w:iCs/>
          <w:sz w:val="24"/>
          <w:szCs w:val="24"/>
        </w:rPr>
        <w:t>Specification of Definition of Chemicals of Security Concern</w:t>
      </w:r>
      <w:r w:rsidR="002D065D">
        <w:rPr>
          <w:i/>
          <w:iCs/>
          <w:sz w:val="24"/>
          <w:szCs w:val="24"/>
        </w:rPr>
        <w:t> </w:t>
      </w:r>
      <w:r w:rsidR="002D065D">
        <w:rPr>
          <w:i/>
          <w:iCs/>
          <w:sz w:val="24"/>
          <w:szCs w:val="24"/>
        </w:rPr>
        <w:noBreakHyphen/>
        <w:t> </w:t>
      </w:r>
      <w:r w:rsidRPr="00FD07B3">
        <w:rPr>
          <w:i/>
          <w:iCs/>
          <w:sz w:val="24"/>
          <w:szCs w:val="24"/>
        </w:rPr>
        <w:t>IMMI</w:t>
      </w:r>
      <w:r w:rsidR="002D065D">
        <w:rPr>
          <w:i/>
          <w:iCs/>
          <w:sz w:val="24"/>
          <w:szCs w:val="24"/>
        </w:rPr>
        <w:t> </w:t>
      </w:r>
      <w:r w:rsidRPr="00FD07B3">
        <w:rPr>
          <w:i/>
          <w:iCs/>
          <w:sz w:val="24"/>
          <w:szCs w:val="24"/>
        </w:rPr>
        <w:t>13/083</w:t>
      </w:r>
      <w:r w:rsidRPr="00FD07B3">
        <w:rPr>
          <w:sz w:val="24"/>
          <w:szCs w:val="24"/>
        </w:rPr>
        <w:t xml:space="preserve"> </w:t>
      </w:r>
      <w:r w:rsidR="00162746">
        <w:rPr>
          <w:sz w:val="24"/>
          <w:szCs w:val="24"/>
          <w:lang w:eastAsia="en-US"/>
        </w:rPr>
        <w:t>(</w:t>
      </w:r>
      <w:r w:rsidR="00162746" w:rsidRPr="00FD07B3">
        <w:rPr>
          <w:i/>
          <w:iCs/>
          <w:sz w:val="24"/>
          <w:szCs w:val="24"/>
        </w:rPr>
        <w:t>IMMI</w:t>
      </w:r>
      <w:r w:rsidR="00162746">
        <w:rPr>
          <w:i/>
          <w:iCs/>
          <w:sz w:val="24"/>
          <w:szCs w:val="24"/>
        </w:rPr>
        <w:t> </w:t>
      </w:r>
      <w:r w:rsidR="00162746" w:rsidRPr="00FD07B3">
        <w:rPr>
          <w:i/>
          <w:iCs/>
          <w:sz w:val="24"/>
          <w:szCs w:val="24"/>
        </w:rPr>
        <w:t>13/083</w:t>
      </w:r>
      <w:r w:rsidR="00162746">
        <w:rPr>
          <w:iCs/>
          <w:sz w:val="24"/>
          <w:szCs w:val="24"/>
        </w:rPr>
        <w:t>)</w:t>
      </w:r>
      <w:r w:rsidR="00162746">
        <w:rPr>
          <w:sz w:val="24"/>
          <w:szCs w:val="24"/>
          <w:lang w:eastAsia="en-US"/>
        </w:rPr>
        <w:t>. S</w:t>
      </w:r>
      <w:r w:rsidR="00162746" w:rsidRPr="00FD07B3">
        <w:rPr>
          <w:sz w:val="24"/>
          <w:szCs w:val="24"/>
          <w:lang w:eastAsia="en-US"/>
        </w:rPr>
        <w:t xml:space="preserve">ubsection 33(3) of the </w:t>
      </w:r>
      <w:r w:rsidR="00162746" w:rsidRPr="00FD07B3">
        <w:rPr>
          <w:i/>
          <w:sz w:val="24"/>
          <w:szCs w:val="24"/>
          <w:lang w:eastAsia="en-US"/>
        </w:rPr>
        <w:t>Acts Interpretation Act 1901</w:t>
      </w:r>
      <w:r w:rsidRPr="00FD07B3">
        <w:rPr>
          <w:sz w:val="24"/>
          <w:szCs w:val="24"/>
          <w:lang w:eastAsia="en-US"/>
        </w:rPr>
        <w:t xml:space="preserve">provides that a </w:t>
      </w:r>
      <w:r w:rsidR="00FD07B3">
        <w:rPr>
          <w:sz w:val="24"/>
          <w:szCs w:val="24"/>
          <w:lang w:eastAsia="en-US"/>
        </w:rPr>
        <w:t>p</w:t>
      </w:r>
      <w:r w:rsidRPr="00FD07B3">
        <w:rPr>
          <w:sz w:val="24"/>
          <w:szCs w:val="24"/>
          <w:lang w:eastAsia="en-US"/>
        </w:rPr>
        <w:t xml:space="preserve">ower to make a legislative instrument includes a power to amend or </w:t>
      </w:r>
      <w:proofErr w:type="gramStart"/>
      <w:r w:rsidRPr="00FD07B3">
        <w:rPr>
          <w:sz w:val="24"/>
          <w:szCs w:val="24"/>
          <w:lang w:eastAsia="en-US"/>
        </w:rPr>
        <w:t>r</w:t>
      </w:r>
      <w:r w:rsidR="00FD07B3">
        <w:rPr>
          <w:sz w:val="24"/>
          <w:szCs w:val="24"/>
          <w:lang w:eastAsia="en-US"/>
        </w:rPr>
        <w:t>e</w:t>
      </w:r>
      <w:r w:rsidRPr="00FD07B3">
        <w:rPr>
          <w:sz w:val="24"/>
          <w:szCs w:val="24"/>
          <w:lang w:eastAsia="en-US"/>
        </w:rPr>
        <w:t>peal</w:t>
      </w:r>
      <w:proofErr w:type="gramEnd"/>
      <w:r w:rsidRPr="00FD07B3">
        <w:rPr>
          <w:sz w:val="24"/>
          <w:szCs w:val="24"/>
          <w:lang w:eastAsia="en-US"/>
        </w:rPr>
        <w:t xml:space="preserve"> that instrument in the same manner, and subject to the same conditions, as the power to make the instrument.</w:t>
      </w:r>
    </w:p>
    <w:p w14:paraId="51A101E9" w14:textId="503B5466" w:rsidR="00162746" w:rsidRPr="006F6ED3" w:rsidRDefault="00E47DA2" w:rsidP="006F6ED3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  <w:rPr>
          <w:b/>
          <w:i/>
          <w:szCs w:val="24"/>
        </w:rPr>
      </w:pPr>
      <w:r w:rsidRPr="00FD07B3">
        <w:rPr>
          <w:i/>
          <w:iCs/>
          <w:szCs w:val="24"/>
        </w:rPr>
        <w:t>IMMI</w:t>
      </w:r>
      <w:r>
        <w:rPr>
          <w:i/>
          <w:iCs/>
          <w:szCs w:val="24"/>
        </w:rPr>
        <w:t> </w:t>
      </w:r>
      <w:r w:rsidRPr="00FD07B3">
        <w:rPr>
          <w:i/>
          <w:iCs/>
          <w:szCs w:val="24"/>
        </w:rPr>
        <w:t>13/083</w:t>
      </w:r>
      <w:r w:rsidRPr="00FD07B3">
        <w:rPr>
          <w:szCs w:val="24"/>
        </w:rPr>
        <w:t xml:space="preserve"> </w:t>
      </w:r>
      <w:r>
        <w:rPr>
          <w:szCs w:val="24"/>
        </w:rPr>
        <w:t xml:space="preserve">is scheduled to sunset on 1 October 2023. </w:t>
      </w:r>
      <w:r w:rsidR="006F6ED3">
        <w:rPr>
          <w:color w:val="000000"/>
          <w:shd w:val="clear" w:color="auto" w:fill="FFFFFF"/>
        </w:rPr>
        <w:t xml:space="preserve">The Department of Home Affairs (Department) reviewed and assessed the necessity and performance of IMMI 13/083 and found that this instrument was achieving its objective efficiently and effectively. The Department determined that </w:t>
      </w:r>
      <w:r w:rsidR="006F6ED3" w:rsidRPr="00FD07B3">
        <w:rPr>
          <w:i/>
          <w:iCs/>
          <w:szCs w:val="24"/>
        </w:rPr>
        <w:t>IMMI</w:t>
      </w:r>
      <w:r w:rsidR="006F6ED3">
        <w:rPr>
          <w:i/>
          <w:iCs/>
          <w:szCs w:val="24"/>
        </w:rPr>
        <w:t> </w:t>
      </w:r>
      <w:r w:rsidR="006F6ED3" w:rsidRPr="00FD07B3">
        <w:rPr>
          <w:i/>
          <w:iCs/>
          <w:szCs w:val="24"/>
        </w:rPr>
        <w:t>13/083</w:t>
      </w:r>
      <w:r w:rsidR="006F6ED3">
        <w:rPr>
          <w:iCs/>
          <w:szCs w:val="24"/>
        </w:rPr>
        <w:t xml:space="preserve"> </w:t>
      </w:r>
      <w:r w:rsidR="006F6ED3">
        <w:rPr>
          <w:color w:val="000000"/>
          <w:shd w:val="clear" w:color="auto" w:fill="FFFFFF"/>
        </w:rPr>
        <w:t xml:space="preserve">should be remade to ensure that the same list of chemicals of security concern </w:t>
      </w:r>
    </w:p>
    <w:p w14:paraId="2D247331" w14:textId="24828441" w:rsidR="002B5C50" w:rsidRDefault="002B5C50" w:rsidP="0094253B">
      <w:pPr>
        <w:numPr>
          <w:ilvl w:val="0"/>
          <w:numId w:val="4"/>
        </w:numPr>
        <w:tabs>
          <w:tab w:val="clear" w:pos="720"/>
        </w:tabs>
        <w:spacing w:after="240"/>
        <w:ind w:left="709" w:hanging="709"/>
        <w:rPr>
          <w:sz w:val="24"/>
        </w:rPr>
      </w:pPr>
      <w:r>
        <w:rPr>
          <w:sz w:val="24"/>
        </w:rPr>
        <w:t xml:space="preserve">The instrument, </w:t>
      </w:r>
      <w:r w:rsidR="00162746">
        <w:rPr>
          <w:sz w:val="24"/>
        </w:rPr>
        <w:t>LIN 23/053</w:t>
      </w:r>
      <w:r>
        <w:rPr>
          <w:sz w:val="24"/>
        </w:rPr>
        <w:t xml:space="preserve">, </w:t>
      </w:r>
      <w:r w:rsidR="00E028F2">
        <w:rPr>
          <w:sz w:val="24"/>
        </w:rPr>
        <w:t xml:space="preserve">is a remake of </w:t>
      </w:r>
      <w:r w:rsidR="00E028F2" w:rsidRPr="00FD07B3">
        <w:rPr>
          <w:i/>
          <w:iCs/>
          <w:sz w:val="24"/>
          <w:szCs w:val="24"/>
        </w:rPr>
        <w:t>IMMI</w:t>
      </w:r>
      <w:r w:rsidR="00E028F2">
        <w:rPr>
          <w:i/>
          <w:iCs/>
          <w:sz w:val="24"/>
          <w:szCs w:val="24"/>
        </w:rPr>
        <w:t> </w:t>
      </w:r>
      <w:r w:rsidR="00E028F2" w:rsidRPr="00FD07B3">
        <w:rPr>
          <w:i/>
          <w:iCs/>
          <w:sz w:val="24"/>
          <w:szCs w:val="24"/>
        </w:rPr>
        <w:t>13/083</w:t>
      </w:r>
      <w:r w:rsidR="00E028F2" w:rsidRPr="00FD07B3">
        <w:rPr>
          <w:sz w:val="24"/>
          <w:szCs w:val="24"/>
        </w:rPr>
        <w:t xml:space="preserve"> </w:t>
      </w:r>
      <w:r w:rsidR="00E028F2">
        <w:rPr>
          <w:sz w:val="24"/>
          <w:szCs w:val="24"/>
        </w:rPr>
        <w:t xml:space="preserve">and </w:t>
      </w:r>
      <w:r>
        <w:rPr>
          <w:sz w:val="24"/>
        </w:rPr>
        <w:t xml:space="preserve">commences </w:t>
      </w:r>
      <w:r w:rsidR="00ED289A">
        <w:rPr>
          <w:sz w:val="24"/>
        </w:rPr>
        <w:t>the day after registration</w:t>
      </w:r>
      <w:r w:rsidR="00E028F2">
        <w:rPr>
          <w:sz w:val="24"/>
        </w:rPr>
        <w:t xml:space="preserve">. LIN 23/053 </w:t>
      </w:r>
      <w:r>
        <w:rPr>
          <w:sz w:val="24"/>
        </w:rPr>
        <w:t xml:space="preserve">is a legislative instrument for the </w:t>
      </w:r>
      <w:r w:rsidRPr="002B5C50">
        <w:rPr>
          <w:i/>
          <w:sz w:val="24"/>
        </w:rPr>
        <w:t>Legislative Act 2003</w:t>
      </w:r>
      <w:r w:rsidRPr="002B5C50">
        <w:rPr>
          <w:sz w:val="24"/>
        </w:rPr>
        <w:t xml:space="preserve"> </w:t>
      </w:r>
      <w:r w:rsidRPr="006124F1">
        <w:rPr>
          <w:sz w:val="24"/>
        </w:rPr>
        <w:t>(</w:t>
      </w:r>
      <w:r w:rsidR="00190505">
        <w:rPr>
          <w:sz w:val="24"/>
        </w:rPr>
        <w:t xml:space="preserve">the </w:t>
      </w:r>
      <w:r w:rsidRPr="006124F1">
        <w:rPr>
          <w:sz w:val="24"/>
        </w:rPr>
        <w:t>Legislation Act).</w:t>
      </w:r>
    </w:p>
    <w:p w14:paraId="6A63E0A9" w14:textId="4EB4B7FF" w:rsidR="00353FC0" w:rsidRPr="00353FC0" w:rsidRDefault="00353FC0" w:rsidP="005206DE">
      <w:pPr>
        <w:keepNext/>
        <w:spacing w:after="240"/>
        <w:jc w:val="both"/>
        <w:rPr>
          <w:b/>
          <w:i/>
          <w:sz w:val="24"/>
          <w:szCs w:val="24"/>
        </w:rPr>
      </w:pPr>
      <w:r w:rsidRPr="00353FC0">
        <w:rPr>
          <w:b/>
          <w:i/>
          <w:sz w:val="24"/>
          <w:szCs w:val="24"/>
        </w:rPr>
        <w:t>Purpose</w:t>
      </w:r>
      <w:r w:rsidR="008420A8">
        <w:rPr>
          <w:b/>
          <w:i/>
          <w:sz w:val="24"/>
          <w:szCs w:val="24"/>
        </w:rPr>
        <w:t xml:space="preserve"> </w:t>
      </w:r>
    </w:p>
    <w:p w14:paraId="14AEA6A3" w14:textId="77777777" w:rsidR="00EA331A" w:rsidRDefault="007A4AB0" w:rsidP="004E21AF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t>The purpose of the</w:t>
      </w:r>
      <w:r w:rsidR="00190505">
        <w:t xml:space="preserve"> instrument is to specify </w:t>
      </w:r>
      <w:r>
        <w:t>chemicals</w:t>
      </w:r>
      <w:r w:rsidR="00190505">
        <w:t xml:space="preserve"> of security concern</w:t>
      </w:r>
      <w:r>
        <w:t xml:space="preserve"> </w:t>
      </w:r>
      <w:r w:rsidR="00EA331A">
        <w:t>under</w:t>
      </w:r>
      <w:r w:rsidR="0001085A">
        <w:t xml:space="preserve"> subclauses </w:t>
      </w:r>
      <w:r>
        <w:t>8551(2) and 8560(2) of Schedule 8</w:t>
      </w:r>
      <w:r w:rsidRPr="00137DDC">
        <w:t xml:space="preserve"> to the Migration Regulations</w:t>
      </w:r>
      <w:r w:rsidR="006C4FEE">
        <w:t xml:space="preserve">, </w:t>
      </w:r>
      <w:r w:rsidR="00EA331A">
        <w:t>for the purposes of visa conditions 8551 and 8560.</w:t>
      </w:r>
    </w:p>
    <w:p w14:paraId="0B3B7CA1" w14:textId="77777777" w:rsidR="00F87CC3" w:rsidRPr="00A82115" w:rsidRDefault="00F87CC3" w:rsidP="00F87CC3">
      <w:pPr>
        <w:numPr>
          <w:ilvl w:val="0"/>
          <w:numId w:val="4"/>
        </w:numPr>
        <w:tabs>
          <w:tab w:val="clear" w:pos="720"/>
        </w:tabs>
        <w:spacing w:after="240"/>
        <w:ind w:left="709" w:hanging="709"/>
        <w:rPr>
          <w:sz w:val="24"/>
        </w:rPr>
      </w:pPr>
      <w:r>
        <w:rPr>
          <w:sz w:val="24"/>
        </w:rPr>
        <w:t>These visa conditions require that</w:t>
      </w:r>
      <w:r w:rsidRPr="00A82115">
        <w:rPr>
          <w:sz w:val="24"/>
        </w:rPr>
        <w:t xml:space="preserve"> </w:t>
      </w:r>
      <w:r w:rsidR="00896B29">
        <w:rPr>
          <w:sz w:val="24"/>
        </w:rPr>
        <w:t xml:space="preserve">visa holders </w:t>
      </w:r>
      <w:r w:rsidRPr="00A82115">
        <w:rPr>
          <w:sz w:val="24"/>
        </w:rPr>
        <w:t xml:space="preserve">who hold a </w:t>
      </w:r>
      <w:r>
        <w:rPr>
          <w:sz w:val="24"/>
        </w:rPr>
        <w:t>S</w:t>
      </w:r>
      <w:r w:rsidRPr="00A82115">
        <w:rPr>
          <w:sz w:val="24"/>
        </w:rPr>
        <w:t>ubclass</w:t>
      </w:r>
      <w:r>
        <w:rPr>
          <w:sz w:val="24"/>
        </w:rPr>
        <w:t xml:space="preserve"> 050 Bridging (General) visa or a Subclass</w:t>
      </w:r>
      <w:r w:rsidRPr="00A82115">
        <w:rPr>
          <w:sz w:val="24"/>
        </w:rPr>
        <w:t xml:space="preserve"> 070 Bridging </w:t>
      </w:r>
      <w:r>
        <w:rPr>
          <w:sz w:val="24"/>
        </w:rPr>
        <w:t xml:space="preserve">(Removal Pending) </w:t>
      </w:r>
      <w:r w:rsidRPr="00A82115">
        <w:rPr>
          <w:sz w:val="24"/>
        </w:rPr>
        <w:t xml:space="preserve">visa must obtain </w:t>
      </w:r>
      <w:r>
        <w:rPr>
          <w:sz w:val="24"/>
        </w:rPr>
        <w:t xml:space="preserve">the Minister's approval </w:t>
      </w:r>
      <w:r w:rsidRPr="00A82115">
        <w:rPr>
          <w:sz w:val="24"/>
        </w:rPr>
        <w:t>before:</w:t>
      </w:r>
    </w:p>
    <w:p w14:paraId="0428F5EC" w14:textId="77777777" w:rsidR="00F87CC3" w:rsidRPr="00A82115" w:rsidRDefault="00F87CC3" w:rsidP="00F87CC3">
      <w:pPr>
        <w:numPr>
          <w:ilvl w:val="1"/>
          <w:numId w:val="4"/>
        </w:numPr>
        <w:spacing w:after="240"/>
        <w:rPr>
          <w:sz w:val="24"/>
        </w:rPr>
      </w:pPr>
      <w:r w:rsidRPr="00A82115">
        <w:rPr>
          <w:sz w:val="24"/>
        </w:rPr>
        <w:t>taking up employment in an occupation that involves the use of, or access to, chemicals of security concern</w:t>
      </w:r>
      <w:r>
        <w:rPr>
          <w:sz w:val="24"/>
        </w:rPr>
        <w:t>; or</w:t>
      </w:r>
    </w:p>
    <w:p w14:paraId="326F1283" w14:textId="77777777" w:rsidR="00F87CC3" w:rsidRDefault="00F87CC3" w:rsidP="00F87CC3">
      <w:pPr>
        <w:numPr>
          <w:ilvl w:val="1"/>
          <w:numId w:val="4"/>
        </w:numPr>
        <w:spacing w:after="240"/>
        <w:rPr>
          <w:sz w:val="24"/>
        </w:rPr>
      </w:pPr>
      <w:proofErr w:type="gramStart"/>
      <w:r w:rsidRPr="00A256D6">
        <w:rPr>
          <w:sz w:val="24"/>
        </w:rPr>
        <w:t>acquiring</w:t>
      </w:r>
      <w:proofErr w:type="gramEnd"/>
      <w:r w:rsidRPr="00A256D6">
        <w:rPr>
          <w:sz w:val="24"/>
        </w:rPr>
        <w:t xml:space="preserve"> chemicals of security concern</w:t>
      </w:r>
      <w:r>
        <w:rPr>
          <w:sz w:val="24"/>
        </w:rPr>
        <w:t>.</w:t>
      </w:r>
    </w:p>
    <w:p w14:paraId="6A25F2C5" w14:textId="0DB2C8DF" w:rsidR="004E6AE5" w:rsidRPr="005206DE" w:rsidRDefault="00EA331A" w:rsidP="004E21AF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t>Subclauses 8551(2) and 8560(2) of Schedule 8</w:t>
      </w:r>
      <w:r w:rsidRPr="00137DDC">
        <w:t xml:space="preserve"> to the Migration Regulation</w:t>
      </w:r>
      <w:r w:rsidR="000C204A">
        <w:t xml:space="preserve"> provide </w:t>
      </w:r>
      <w:r w:rsidR="004E6AE5">
        <w:rPr>
          <w:color w:val="000000"/>
          <w:shd w:val="clear" w:color="auto" w:fill="FFFFFF"/>
        </w:rPr>
        <w:t xml:space="preserve">that ‘chemicals of security concern’ means chemicals specified by the Minister in an instrument in writing for this definition. The previous instrument </w:t>
      </w:r>
      <w:r w:rsidR="005B6D96">
        <w:rPr>
          <w:color w:val="000000"/>
          <w:shd w:val="clear" w:color="auto" w:fill="FFFFFF"/>
        </w:rPr>
        <w:t>specifying chemicals of security concern</w:t>
      </w:r>
      <w:r w:rsidR="005B6D96">
        <w:t xml:space="preserve"> for the purposes of visa conditions 8551 and 8560</w:t>
      </w:r>
      <w:r w:rsidR="0001085A">
        <w:t xml:space="preserve"> </w:t>
      </w:r>
      <w:r w:rsidR="004E6AE5">
        <w:rPr>
          <w:color w:val="000000"/>
          <w:shd w:val="clear" w:color="auto" w:fill="FFFFFF"/>
        </w:rPr>
        <w:t>was IMMI 13/083, which commenced on 13 July 2013</w:t>
      </w:r>
      <w:r w:rsidR="008E5AE2">
        <w:rPr>
          <w:color w:val="000000"/>
          <w:shd w:val="clear" w:color="auto" w:fill="FFFFFF"/>
        </w:rPr>
        <w:t xml:space="preserve"> and </w:t>
      </w:r>
      <w:r w:rsidR="005E5A14">
        <w:rPr>
          <w:color w:val="000000"/>
          <w:shd w:val="clear" w:color="auto" w:fill="FFFFFF"/>
        </w:rPr>
        <w:t xml:space="preserve">is scheduled to </w:t>
      </w:r>
      <w:r w:rsidR="008E5AE2">
        <w:rPr>
          <w:color w:val="000000"/>
          <w:shd w:val="clear" w:color="auto" w:fill="FFFFFF"/>
        </w:rPr>
        <w:t>sunset on 1 October 2023</w:t>
      </w:r>
      <w:r w:rsidR="004E6AE5">
        <w:rPr>
          <w:color w:val="000000"/>
          <w:shd w:val="clear" w:color="auto" w:fill="FFFFFF"/>
        </w:rPr>
        <w:t>.</w:t>
      </w:r>
      <w:r w:rsidR="008E5AE2">
        <w:rPr>
          <w:color w:val="000000"/>
          <w:shd w:val="clear" w:color="auto" w:fill="FFFFFF"/>
        </w:rPr>
        <w:t xml:space="preserve"> </w:t>
      </w:r>
      <w:r w:rsidR="004E6AE5">
        <w:rPr>
          <w:color w:val="000000"/>
          <w:shd w:val="clear" w:color="auto" w:fill="FFFFFF"/>
        </w:rPr>
        <w:t xml:space="preserve"> </w:t>
      </w:r>
    </w:p>
    <w:p w14:paraId="4CDF5ED6" w14:textId="77777777" w:rsidR="00896B29" w:rsidRPr="005206DE" w:rsidRDefault="00A6774E" w:rsidP="004E21AF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rPr>
          <w:color w:val="000000"/>
          <w:shd w:val="clear" w:color="auto" w:fill="FFFFFF"/>
        </w:rPr>
        <w:lastRenderedPageBreak/>
        <w:t xml:space="preserve">The instrument operates to </w:t>
      </w:r>
      <w:r w:rsidR="00896B29">
        <w:rPr>
          <w:color w:val="000000"/>
          <w:shd w:val="clear" w:color="auto" w:fill="FFFFFF"/>
        </w:rPr>
        <w:t xml:space="preserve">repeal IMMI 13/083 and give effect to </w:t>
      </w:r>
      <w:r w:rsidR="00896B29" w:rsidRPr="004E21AF">
        <w:rPr>
          <w:color w:val="000000"/>
          <w:shd w:val="clear" w:color="auto" w:fill="FFFFFF"/>
        </w:rPr>
        <w:t xml:space="preserve">allow the Minister to prevent visa holders working in occupations where there is a potential risk to security and to facilitate </w:t>
      </w:r>
      <w:r w:rsidR="0008289A">
        <w:rPr>
          <w:color w:val="000000"/>
          <w:shd w:val="clear" w:color="auto" w:fill="FFFFFF"/>
        </w:rPr>
        <w:t xml:space="preserve">possible </w:t>
      </w:r>
      <w:r w:rsidR="00896B29" w:rsidRPr="004E21AF">
        <w:rPr>
          <w:color w:val="000000"/>
          <w:shd w:val="clear" w:color="auto" w:fill="FFFFFF"/>
        </w:rPr>
        <w:t xml:space="preserve">cancellation of the bridging visa if the visa holder takes up employment </w:t>
      </w:r>
      <w:r w:rsidR="00935238">
        <w:t>involving the use of or access to</w:t>
      </w:r>
      <w:r w:rsidR="00935238" w:rsidRPr="00A82115">
        <w:t xml:space="preserve"> </w:t>
      </w:r>
      <w:r w:rsidR="00935238">
        <w:t>such chemicals</w:t>
      </w:r>
      <w:r w:rsidR="00935238">
        <w:rPr>
          <w:color w:val="000000"/>
          <w:shd w:val="clear" w:color="auto" w:fill="FFFFFF"/>
        </w:rPr>
        <w:t xml:space="preserve">, </w:t>
      </w:r>
      <w:r w:rsidR="0008289A">
        <w:rPr>
          <w:color w:val="000000"/>
          <w:shd w:val="clear" w:color="auto" w:fill="FFFFFF"/>
        </w:rPr>
        <w:t>or acquires such chemicals</w:t>
      </w:r>
      <w:r w:rsidR="0008289A" w:rsidRPr="004E21AF">
        <w:rPr>
          <w:color w:val="000000"/>
          <w:shd w:val="clear" w:color="auto" w:fill="FFFFFF"/>
        </w:rPr>
        <w:t xml:space="preserve"> </w:t>
      </w:r>
      <w:r w:rsidR="00896B29" w:rsidRPr="004E21AF">
        <w:rPr>
          <w:color w:val="000000"/>
          <w:shd w:val="clear" w:color="auto" w:fill="FFFFFF"/>
        </w:rPr>
        <w:t>without the Minister’s approval.</w:t>
      </w:r>
    </w:p>
    <w:p w14:paraId="30460778" w14:textId="77777777" w:rsidR="00D302DE" w:rsidRPr="005206DE" w:rsidRDefault="00D302DE" w:rsidP="004E21AF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 w:rsidRPr="00D302DE">
        <w:t xml:space="preserve">The instrument does not make changes to </w:t>
      </w:r>
      <w:r>
        <w:t>the list of chemicals of security concern</w:t>
      </w:r>
      <w:r w:rsidRPr="00D302DE">
        <w:t xml:space="preserve"> specifie</w:t>
      </w:r>
      <w:r>
        <w:t>d in IMMI 13/083</w:t>
      </w:r>
      <w:r w:rsidRPr="00D302DE">
        <w:t>.</w:t>
      </w:r>
    </w:p>
    <w:p w14:paraId="476B7AF2" w14:textId="42010CC5" w:rsidR="002F0B56" w:rsidRPr="002F0B56" w:rsidRDefault="002F0B56" w:rsidP="005206DE">
      <w:pPr>
        <w:keepNext/>
        <w:spacing w:after="240"/>
        <w:jc w:val="both"/>
        <w:rPr>
          <w:b/>
          <w:i/>
          <w:sz w:val="24"/>
          <w:szCs w:val="24"/>
        </w:rPr>
      </w:pPr>
      <w:r w:rsidRPr="002F0B56">
        <w:rPr>
          <w:b/>
          <w:i/>
          <w:sz w:val="24"/>
          <w:szCs w:val="24"/>
        </w:rPr>
        <w:t>Consultation</w:t>
      </w:r>
    </w:p>
    <w:p w14:paraId="01586904" w14:textId="29930E0B" w:rsidR="00A256D6" w:rsidRPr="00962518" w:rsidRDefault="008420A8" w:rsidP="008420A8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 w:rsidRPr="00962518">
        <w:t xml:space="preserve">Consultation was undertaken with the Attorney-General’s Department and </w:t>
      </w:r>
      <w:r w:rsidR="00706914" w:rsidRPr="00962518">
        <w:t xml:space="preserve">the Australian Safeguards and Non-Proliferation Office </w:t>
      </w:r>
      <w:r w:rsidR="00223019" w:rsidRPr="00962518">
        <w:t>within the Department of Foreign Affairs and Trade</w:t>
      </w:r>
      <w:r w:rsidRPr="00962518">
        <w:t>. No</w:t>
      </w:r>
      <w:r w:rsidR="00C12864" w:rsidRPr="00962518">
        <w:t xml:space="preserve"> </w:t>
      </w:r>
      <w:r w:rsidR="00E64421" w:rsidRPr="00962518">
        <w:t xml:space="preserve">changes were required to the </w:t>
      </w:r>
      <w:r w:rsidR="00A256D6" w:rsidRPr="00962518">
        <w:t xml:space="preserve">list of chemicals of security concern </w:t>
      </w:r>
      <w:r w:rsidR="00223019" w:rsidRPr="00962518">
        <w:t xml:space="preserve">previously </w:t>
      </w:r>
      <w:r w:rsidR="00A256D6" w:rsidRPr="00962518">
        <w:t xml:space="preserve">identified by the </w:t>
      </w:r>
      <w:r w:rsidR="00223019" w:rsidRPr="00962518">
        <w:t xml:space="preserve">(then) </w:t>
      </w:r>
      <w:r w:rsidR="00A256D6" w:rsidRPr="00962518">
        <w:t xml:space="preserve">Council of Australian Governments for use in this instrument. </w:t>
      </w:r>
    </w:p>
    <w:p w14:paraId="37C15C6D" w14:textId="16977FC6" w:rsidR="000B29BF" w:rsidRPr="00D56687" w:rsidRDefault="00546F77" w:rsidP="00D56687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 w:rsidRPr="00D56687">
        <w:t xml:space="preserve">The Office of </w:t>
      </w:r>
      <w:r w:rsidR="00BF586D" w:rsidRPr="00D56687">
        <w:t>Impact Analysis (OIA)</w:t>
      </w:r>
      <w:r w:rsidR="006358D0" w:rsidRPr="00D56687">
        <w:t xml:space="preserve"> was consulted and considered </w:t>
      </w:r>
      <w:r w:rsidR="00E02AB9" w:rsidRPr="00D56687">
        <w:t xml:space="preserve">that the instrument was unlikely to have a more than minor impact, </w:t>
      </w:r>
      <w:r w:rsidR="006358D0" w:rsidRPr="00D56687">
        <w:t xml:space="preserve">and no regulatory impact statement was required. The OIA reference number is </w:t>
      </w:r>
      <w:r w:rsidR="00E02AB9" w:rsidRPr="00D56687">
        <w:t>OIA23-05040</w:t>
      </w:r>
      <w:r w:rsidR="000B29BF" w:rsidRPr="00D56687">
        <w:t>.</w:t>
      </w:r>
    </w:p>
    <w:p w14:paraId="10038E41" w14:textId="3A3820BE" w:rsidR="006124F1" w:rsidRPr="006124F1" w:rsidRDefault="006124F1" w:rsidP="005206DE">
      <w:pPr>
        <w:keepNext/>
        <w:spacing w:after="240"/>
        <w:jc w:val="both"/>
        <w:rPr>
          <w:b/>
          <w:i/>
          <w:sz w:val="24"/>
        </w:rPr>
      </w:pPr>
      <w:r w:rsidRPr="006124F1">
        <w:rPr>
          <w:b/>
          <w:i/>
          <w:sz w:val="24"/>
        </w:rPr>
        <w:t>Details of the instrument</w:t>
      </w:r>
    </w:p>
    <w:p w14:paraId="73750B95" w14:textId="77777777" w:rsidR="00F24805" w:rsidRDefault="00F24805" w:rsidP="0094253B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t xml:space="preserve">Section 1 sets out the name of the instrument. </w:t>
      </w:r>
    </w:p>
    <w:p w14:paraId="6C4A4744" w14:textId="7BA01693" w:rsidR="00F24805" w:rsidRDefault="00F24805" w:rsidP="0094253B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t xml:space="preserve">Section 2 provides for the commencement of the </w:t>
      </w:r>
      <w:r w:rsidRPr="00187123">
        <w:t xml:space="preserve">instrument on </w:t>
      </w:r>
      <w:r w:rsidR="00ED289A" w:rsidRPr="00187123">
        <w:t>the</w:t>
      </w:r>
      <w:r w:rsidR="00ED289A">
        <w:t xml:space="preserve"> day after registration</w:t>
      </w:r>
      <w:r>
        <w:t>.</w:t>
      </w:r>
    </w:p>
    <w:p w14:paraId="789CEA85" w14:textId="77777777" w:rsidR="00C53C94" w:rsidRDefault="00C53C94" w:rsidP="0094253B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t xml:space="preserve">Section 3 provides that the instrument is made under </w:t>
      </w:r>
      <w:r w:rsidRPr="0094253B">
        <w:t xml:space="preserve">subclauses 8551(2) </w:t>
      </w:r>
      <w:r>
        <w:t>and 8560(2) of Schedule 8</w:t>
      </w:r>
      <w:r w:rsidRPr="00137DDC">
        <w:t xml:space="preserve"> to the Migration Regulations.</w:t>
      </w:r>
    </w:p>
    <w:p w14:paraId="36DDE308" w14:textId="77777777" w:rsidR="00C53C94" w:rsidRDefault="00C53C94" w:rsidP="0094253B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t xml:space="preserve">Section 4 </w:t>
      </w:r>
      <w:r w:rsidR="00602F81" w:rsidRPr="00602F81">
        <w:t xml:space="preserve">sets out </w:t>
      </w:r>
      <w:r w:rsidR="00CF2760">
        <w:t xml:space="preserve">the </w:t>
      </w:r>
      <w:r w:rsidR="00602F81" w:rsidRPr="00602F81">
        <w:t>definitions of terms used in the instrument.</w:t>
      </w:r>
    </w:p>
    <w:p w14:paraId="795B8757" w14:textId="77777777" w:rsidR="00E536EC" w:rsidRDefault="00E536EC" w:rsidP="0094253B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t xml:space="preserve">Section 5 </w:t>
      </w:r>
      <w:r w:rsidR="0018027C">
        <w:t xml:space="preserve">provides that </w:t>
      </w:r>
      <w:r w:rsidR="0018027C" w:rsidRPr="00FD07B3">
        <w:rPr>
          <w:i/>
          <w:iCs/>
          <w:szCs w:val="24"/>
        </w:rPr>
        <w:t>Specification of Definition of Chemicals of Security Concern</w:t>
      </w:r>
      <w:r w:rsidR="0018027C">
        <w:rPr>
          <w:i/>
          <w:iCs/>
          <w:szCs w:val="24"/>
        </w:rPr>
        <w:t> </w:t>
      </w:r>
      <w:r w:rsidR="0018027C">
        <w:rPr>
          <w:i/>
          <w:iCs/>
          <w:szCs w:val="24"/>
        </w:rPr>
        <w:noBreakHyphen/>
        <w:t> </w:t>
      </w:r>
      <w:r w:rsidR="0018027C" w:rsidRPr="00FD07B3">
        <w:rPr>
          <w:i/>
          <w:iCs/>
          <w:szCs w:val="24"/>
        </w:rPr>
        <w:t>IMMI</w:t>
      </w:r>
      <w:r w:rsidR="0018027C">
        <w:rPr>
          <w:i/>
          <w:iCs/>
          <w:szCs w:val="24"/>
        </w:rPr>
        <w:t> </w:t>
      </w:r>
      <w:r w:rsidR="0018027C" w:rsidRPr="00FD07B3">
        <w:rPr>
          <w:i/>
          <w:iCs/>
          <w:szCs w:val="24"/>
        </w:rPr>
        <w:t>13/083</w:t>
      </w:r>
      <w:r w:rsidR="0018027C" w:rsidRPr="00FD07B3">
        <w:rPr>
          <w:szCs w:val="24"/>
        </w:rPr>
        <w:t xml:space="preserve"> </w:t>
      </w:r>
      <w:r w:rsidR="0018027C" w:rsidRPr="00FD07B3">
        <w:rPr>
          <w:szCs w:val="24"/>
          <w:lang w:eastAsia="en-US"/>
        </w:rPr>
        <w:t>(</w:t>
      </w:r>
      <w:hyperlink r:id="rId7" w:history="1">
        <w:r w:rsidR="0018027C" w:rsidRPr="00FD07B3">
          <w:rPr>
            <w:szCs w:val="24"/>
          </w:rPr>
          <w:t>F2013L01185</w:t>
        </w:r>
      </w:hyperlink>
      <w:r w:rsidR="0018027C" w:rsidRPr="00FD07B3">
        <w:rPr>
          <w:szCs w:val="24"/>
          <w:lang w:eastAsia="en-US"/>
        </w:rPr>
        <w:t>)</w:t>
      </w:r>
      <w:r w:rsidR="0018027C">
        <w:t xml:space="preserve"> is repealed</w:t>
      </w:r>
      <w:r w:rsidR="0018027C" w:rsidRPr="00EE4D43">
        <w:t>.</w:t>
      </w:r>
    </w:p>
    <w:p w14:paraId="476401DA" w14:textId="691183B9" w:rsidR="006124F1" w:rsidRDefault="00CD2F38" w:rsidP="0094253B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t xml:space="preserve">Schedule 1 </w:t>
      </w:r>
      <w:r w:rsidR="00C53C94">
        <w:t xml:space="preserve">to the instrument </w:t>
      </w:r>
      <w:r w:rsidR="00602F81">
        <w:t>specifies</w:t>
      </w:r>
      <w:r>
        <w:t xml:space="preserve"> the </w:t>
      </w:r>
      <w:r w:rsidR="00CC727B">
        <w:t xml:space="preserve">chemicals of security concern for the purposes of </w:t>
      </w:r>
      <w:r w:rsidR="00602F81">
        <w:t>s</w:t>
      </w:r>
      <w:r w:rsidR="00CC727B">
        <w:t xml:space="preserve">ubclauses 8551(2) and 8560(2) </w:t>
      </w:r>
      <w:r w:rsidR="00602F81">
        <w:t>of Schedule 8</w:t>
      </w:r>
      <w:r w:rsidR="00602F81" w:rsidRPr="00137DDC">
        <w:t xml:space="preserve"> to the Migration Regulations</w:t>
      </w:r>
      <w:r w:rsidR="00602F81">
        <w:t>.</w:t>
      </w:r>
    </w:p>
    <w:p w14:paraId="5CA5CFCE" w14:textId="77777777" w:rsidR="006124F1" w:rsidRPr="006124F1" w:rsidRDefault="006124F1" w:rsidP="005206DE">
      <w:pPr>
        <w:keepNext/>
        <w:spacing w:after="240"/>
        <w:jc w:val="both"/>
        <w:rPr>
          <w:b/>
          <w:i/>
          <w:sz w:val="24"/>
        </w:rPr>
      </w:pPr>
      <w:r w:rsidRPr="006124F1">
        <w:rPr>
          <w:b/>
          <w:i/>
          <w:sz w:val="24"/>
        </w:rPr>
        <w:t>Parliamentary scrutiny etc.</w:t>
      </w:r>
    </w:p>
    <w:p w14:paraId="6021EC1F" w14:textId="77777777" w:rsidR="006124F1" w:rsidRDefault="006124F1" w:rsidP="0094253B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t xml:space="preserve">The instrument is exempt from disallowance under section 42 of the Legislation Act. This is because a legislative instrument made under Schedule 8 to the Migration Regulations is prescribed under section 10, item 20(b), of the </w:t>
      </w:r>
      <w:r w:rsidRPr="00D80BEB">
        <w:rPr>
          <w:i/>
        </w:rPr>
        <w:t>Legislation (Exemptions and Other Matters) Regulation 2015</w:t>
      </w:r>
      <w:r>
        <w:t xml:space="preserve"> as an instrument not subject to disallowance. </w:t>
      </w:r>
    </w:p>
    <w:p w14:paraId="106C5CBF" w14:textId="77777777" w:rsidR="00AE2031" w:rsidRDefault="00AE2031" w:rsidP="0094253B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t xml:space="preserve">As the instrument is exempt from disallowance, a Statement of Compatibility with Human Rights is not required. </w:t>
      </w:r>
    </w:p>
    <w:p w14:paraId="282ECC0D" w14:textId="77777777" w:rsidR="00137DDC" w:rsidRDefault="00E3622A" w:rsidP="0094253B">
      <w:pPr>
        <w:pStyle w:val="BodyTextIndent"/>
        <w:numPr>
          <w:ilvl w:val="0"/>
          <w:numId w:val="4"/>
        </w:numPr>
        <w:tabs>
          <w:tab w:val="clear" w:pos="720"/>
        </w:tabs>
        <w:spacing w:after="240"/>
        <w:ind w:left="709" w:hanging="709"/>
        <w:jc w:val="left"/>
      </w:pPr>
      <w:r>
        <w:t>The instrument i</w:t>
      </w:r>
      <w:r w:rsidR="00137DDC" w:rsidRPr="00137DDC">
        <w:t xml:space="preserve">s made by the Minister for Immigration, Citizenship and Multicultural Affairs, in accordance with </w:t>
      </w:r>
      <w:r w:rsidR="00137DDC" w:rsidRPr="0094253B">
        <w:t xml:space="preserve">subclauses 8551(2) </w:t>
      </w:r>
      <w:r w:rsidR="00137DDC">
        <w:t>and 8560(2) of Schedule 8</w:t>
      </w:r>
      <w:r w:rsidR="00137DDC" w:rsidRPr="00137DDC">
        <w:t xml:space="preserve"> to the Migration Regulations.</w:t>
      </w:r>
    </w:p>
    <w:sectPr w:rsidR="00137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62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D2B2" w14:textId="77777777" w:rsidR="00963929" w:rsidRDefault="00963929">
      <w:r>
        <w:separator/>
      </w:r>
    </w:p>
  </w:endnote>
  <w:endnote w:type="continuationSeparator" w:id="0">
    <w:p w14:paraId="4E930DBE" w14:textId="77777777" w:rsidR="00963929" w:rsidRDefault="00963929">
      <w:r>
        <w:continuationSeparator/>
      </w:r>
    </w:p>
  </w:endnote>
  <w:endnote w:type="continuationNotice" w:id="1">
    <w:p w14:paraId="5554BD2A" w14:textId="77777777" w:rsidR="00B86945" w:rsidRDefault="00B86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3E131" w14:textId="77777777" w:rsidR="00AE7C04" w:rsidRDefault="00AE7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B350D" w14:textId="7BB6F0B6" w:rsidR="00963929" w:rsidRPr="005206DE" w:rsidRDefault="00963929" w:rsidP="005206DE">
    <w:pPr>
      <w:pStyle w:val="Footer"/>
      <w:pBdr>
        <w:top w:val="single" w:sz="4" w:space="1" w:color="auto"/>
      </w:pBdr>
      <w:tabs>
        <w:tab w:val="left" w:pos="7035"/>
        <w:tab w:val="right" w:pos="9746"/>
      </w:tabs>
      <w:rPr>
        <w:sz w:val="16"/>
        <w:szCs w:val="16"/>
      </w:rPr>
    </w:pPr>
    <w:r w:rsidRPr="001D6591">
      <w:rPr>
        <w:bCs/>
        <w:i/>
        <w:sz w:val="18"/>
        <w:szCs w:val="18"/>
      </w:rPr>
      <w:t>Migration (Chemicals of Security Concern) Specification (LIN 23/053) 2023</w:t>
    </w:r>
    <w:r w:rsidRPr="00411FEA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411FEA">
      <w:rPr>
        <w:rStyle w:val="PageNumber"/>
        <w:sz w:val="16"/>
        <w:szCs w:val="16"/>
      </w:rPr>
      <w:fldChar w:fldCharType="begin"/>
    </w:r>
    <w:r w:rsidRPr="00411FEA">
      <w:rPr>
        <w:rStyle w:val="PageNumber"/>
        <w:sz w:val="16"/>
        <w:szCs w:val="16"/>
      </w:rPr>
      <w:instrText xml:space="preserve"> PAGE </w:instrText>
    </w:r>
    <w:r w:rsidRPr="00411FEA">
      <w:rPr>
        <w:rStyle w:val="PageNumber"/>
        <w:sz w:val="16"/>
        <w:szCs w:val="16"/>
      </w:rPr>
      <w:fldChar w:fldCharType="separate"/>
    </w:r>
    <w:r w:rsidR="00AE7C04">
      <w:rPr>
        <w:rStyle w:val="PageNumber"/>
        <w:noProof/>
        <w:sz w:val="16"/>
        <w:szCs w:val="16"/>
      </w:rPr>
      <w:t>2</w:t>
    </w:r>
    <w:r w:rsidRPr="00411FEA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D9AF" w14:textId="77777777" w:rsidR="00AE7C04" w:rsidRDefault="00AE7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3018" w14:textId="77777777" w:rsidR="00963929" w:rsidRDefault="00963929">
      <w:r>
        <w:separator/>
      </w:r>
    </w:p>
  </w:footnote>
  <w:footnote w:type="continuationSeparator" w:id="0">
    <w:p w14:paraId="0CDC4F56" w14:textId="77777777" w:rsidR="00963929" w:rsidRDefault="00963929">
      <w:r>
        <w:continuationSeparator/>
      </w:r>
    </w:p>
  </w:footnote>
  <w:footnote w:type="continuationNotice" w:id="1">
    <w:p w14:paraId="6756930B" w14:textId="77777777" w:rsidR="00B86945" w:rsidRDefault="00B86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437DD" w14:textId="77777777" w:rsidR="00AE7C04" w:rsidRDefault="00AE7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2C59" w14:textId="77777777" w:rsidR="00963929" w:rsidRPr="00FC5421" w:rsidRDefault="00963929" w:rsidP="00FF75A7">
    <w:pPr>
      <w:pStyle w:val="Head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LIN 23/053</w:t>
    </w:r>
  </w:p>
  <w:p w14:paraId="055E38C3" w14:textId="77777777" w:rsidR="00963929" w:rsidRPr="00FF75A7" w:rsidRDefault="00963929" w:rsidP="00FF75A7">
    <w:pPr>
      <w:pStyle w:val="Header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B3FE9" w14:textId="77777777" w:rsidR="00AE7C04" w:rsidRDefault="00AE7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FFC"/>
    <w:multiLevelType w:val="hybridMultilevel"/>
    <w:tmpl w:val="001210E8"/>
    <w:lvl w:ilvl="0" w:tplc="F79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2FA0"/>
    <w:multiLevelType w:val="multilevel"/>
    <w:tmpl w:val="688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F3EB4"/>
    <w:multiLevelType w:val="hybridMultilevel"/>
    <w:tmpl w:val="5D18D9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730128"/>
    <w:multiLevelType w:val="hybridMultilevel"/>
    <w:tmpl w:val="FC4EDDB6"/>
    <w:lvl w:ilvl="0" w:tplc="0C09000F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4" w15:restartNumberingAfterBreak="0">
    <w:nsid w:val="4E513158"/>
    <w:multiLevelType w:val="hybridMultilevel"/>
    <w:tmpl w:val="99ACD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C2C87"/>
    <w:multiLevelType w:val="hybridMultilevel"/>
    <w:tmpl w:val="65C6B758"/>
    <w:lvl w:ilvl="0" w:tplc="AA5050D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B7796A"/>
    <w:multiLevelType w:val="singleLevel"/>
    <w:tmpl w:val="3E6ACC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F2D692E"/>
    <w:multiLevelType w:val="hybridMultilevel"/>
    <w:tmpl w:val="981A823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56253"/>
    <w:multiLevelType w:val="hybridMultilevel"/>
    <w:tmpl w:val="207202EE"/>
    <w:lvl w:ilvl="0" w:tplc="AA5050D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69723E"/>
    <w:multiLevelType w:val="singleLevel"/>
    <w:tmpl w:val="0ED8E5E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A"/>
    <w:rsid w:val="0001085A"/>
    <w:rsid w:val="00015DC3"/>
    <w:rsid w:val="00016544"/>
    <w:rsid w:val="00025B5D"/>
    <w:rsid w:val="00027109"/>
    <w:rsid w:val="000371B3"/>
    <w:rsid w:val="0008289A"/>
    <w:rsid w:val="00097199"/>
    <w:rsid w:val="000B29BF"/>
    <w:rsid w:val="000C204A"/>
    <w:rsid w:val="000C7A64"/>
    <w:rsid w:val="001132D9"/>
    <w:rsid w:val="00121DB4"/>
    <w:rsid w:val="00126890"/>
    <w:rsid w:val="00136AE7"/>
    <w:rsid w:val="00137DDC"/>
    <w:rsid w:val="00162746"/>
    <w:rsid w:val="00162BD5"/>
    <w:rsid w:val="0018027C"/>
    <w:rsid w:val="00187123"/>
    <w:rsid w:val="00190505"/>
    <w:rsid w:val="00192C8D"/>
    <w:rsid w:val="00192DF0"/>
    <w:rsid w:val="001C726C"/>
    <w:rsid w:val="001D0DD5"/>
    <w:rsid w:val="001D6591"/>
    <w:rsid w:val="001F4EC7"/>
    <w:rsid w:val="00210C49"/>
    <w:rsid w:val="00211709"/>
    <w:rsid w:val="00215DF3"/>
    <w:rsid w:val="00223019"/>
    <w:rsid w:val="002250A9"/>
    <w:rsid w:val="00231FFD"/>
    <w:rsid w:val="002331FF"/>
    <w:rsid w:val="00243868"/>
    <w:rsid w:val="00253CAF"/>
    <w:rsid w:val="00266B35"/>
    <w:rsid w:val="0026747D"/>
    <w:rsid w:val="002715A7"/>
    <w:rsid w:val="002B53FF"/>
    <w:rsid w:val="002B5C50"/>
    <w:rsid w:val="002D065D"/>
    <w:rsid w:val="002F0B56"/>
    <w:rsid w:val="002F37AD"/>
    <w:rsid w:val="00302251"/>
    <w:rsid w:val="00322CC0"/>
    <w:rsid w:val="00325247"/>
    <w:rsid w:val="00353FC0"/>
    <w:rsid w:val="003838E9"/>
    <w:rsid w:val="00383A68"/>
    <w:rsid w:val="003B1A05"/>
    <w:rsid w:val="003C5137"/>
    <w:rsid w:val="003F1E3E"/>
    <w:rsid w:val="00416A2F"/>
    <w:rsid w:val="00416CAD"/>
    <w:rsid w:val="004346F4"/>
    <w:rsid w:val="00451AB3"/>
    <w:rsid w:val="00492EA1"/>
    <w:rsid w:val="004E21AF"/>
    <w:rsid w:val="004E6AE5"/>
    <w:rsid w:val="00507251"/>
    <w:rsid w:val="005206DE"/>
    <w:rsid w:val="00537360"/>
    <w:rsid w:val="00546F77"/>
    <w:rsid w:val="00563AC6"/>
    <w:rsid w:val="00567814"/>
    <w:rsid w:val="00571046"/>
    <w:rsid w:val="00587B61"/>
    <w:rsid w:val="00597760"/>
    <w:rsid w:val="005A199D"/>
    <w:rsid w:val="005B5D1A"/>
    <w:rsid w:val="005B6D96"/>
    <w:rsid w:val="005C07E5"/>
    <w:rsid w:val="005C7F7F"/>
    <w:rsid w:val="005D5E65"/>
    <w:rsid w:val="005D6A5A"/>
    <w:rsid w:val="005E2D8B"/>
    <w:rsid w:val="005E5A14"/>
    <w:rsid w:val="005E6FCA"/>
    <w:rsid w:val="005F24A5"/>
    <w:rsid w:val="005F5C18"/>
    <w:rsid w:val="00602F81"/>
    <w:rsid w:val="00610658"/>
    <w:rsid w:val="006124F1"/>
    <w:rsid w:val="00616C23"/>
    <w:rsid w:val="006358D0"/>
    <w:rsid w:val="006374DF"/>
    <w:rsid w:val="00671004"/>
    <w:rsid w:val="006B03CF"/>
    <w:rsid w:val="006B0F72"/>
    <w:rsid w:val="006C1428"/>
    <w:rsid w:val="006C1E0A"/>
    <w:rsid w:val="006C2ED2"/>
    <w:rsid w:val="006C4FEE"/>
    <w:rsid w:val="006F6ED3"/>
    <w:rsid w:val="0070010D"/>
    <w:rsid w:val="00706914"/>
    <w:rsid w:val="00777EC6"/>
    <w:rsid w:val="00781785"/>
    <w:rsid w:val="007A4AB0"/>
    <w:rsid w:val="007B2990"/>
    <w:rsid w:val="007F6DA1"/>
    <w:rsid w:val="008154D5"/>
    <w:rsid w:val="008341A5"/>
    <w:rsid w:val="008420A8"/>
    <w:rsid w:val="00843107"/>
    <w:rsid w:val="00844079"/>
    <w:rsid w:val="00844DC4"/>
    <w:rsid w:val="00847898"/>
    <w:rsid w:val="008617C1"/>
    <w:rsid w:val="00862004"/>
    <w:rsid w:val="0086607A"/>
    <w:rsid w:val="00871668"/>
    <w:rsid w:val="00885ED5"/>
    <w:rsid w:val="00896B29"/>
    <w:rsid w:val="008C3954"/>
    <w:rsid w:val="008D1BED"/>
    <w:rsid w:val="008E5555"/>
    <w:rsid w:val="008E5AE2"/>
    <w:rsid w:val="008E7205"/>
    <w:rsid w:val="00911D5A"/>
    <w:rsid w:val="00917454"/>
    <w:rsid w:val="00935238"/>
    <w:rsid w:val="0094253B"/>
    <w:rsid w:val="0094678B"/>
    <w:rsid w:val="00952654"/>
    <w:rsid w:val="00962518"/>
    <w:rsid w:val="00962B6B"/>
    <w:rsid w:val="00963929"/>
    <w:rsid w:val="009660FC"/>
    <w:rsid w:val="0097085F"/>
    <w:rsid w:val="009757A0"/>
    <w:rsid w:val="00991315"/>
    <w:rsid w:val="0099707E"/>
    <w:rsid w:val="009A3A18"/>
    <w:rsid w:val="009B0C9A"/>
    <w:rsid w:val="009C39E4"/>
    <w:rsid w:val="009F40CE"/>
    <w:rsid w:val="00A07797"/>
    <w:rsid w:val="00A1610A"/>
    <w:rsid w:val="00A256D6"/>
    <w:rsid w:val="00A25CAD"/>
    <w:rsid w:val="00A30383"/>
    <w:rsid w:val="00A3241A"/>
    <w:rsid w:val="00A40F42"/>
    <w:rsid w:val="00A4261F"/>
    <w:rsid w:val="00A56B55"/>
    <w:rsid w:val="00A6774E"/>
    <w:rsid w:val="00A7755E"/>
    <w:rsid w:val="00A82115"/>
    <w:rsid w:val="00A9347E"/>
    <w:rsid w:val="00AB373E"/>
    <w:rsid w:val="00AD1676"/>
    <w:rsid w:val="00AD38BB"/>
    <w:rsid w:val="00AE2031"/>
    <w:rsid w:val="00AE4897"/>
    <w:rsid w:val="00AE7C04"/>
    <w:rsid w:val="00AF6D8F"/>
    <w:rsid w:val="00B07307"/>
    <w:rsid w:val="00B10112"/>
    <w:rsid w:val="00B618FB"/>
    <w:rsid w:val="00B637D7"/>
    <w:rsid w:val="00B86945"/>
    <w:rsid w:val="00B90B25"/>
    <w:rsid w:val="00B94720"/>
    <w:rsid w:val="00B95AAE"/>
    <w:rsid w:val="00BB62DB"/>
    <w:rsid w:val="00BE6349"/>
    <w:rsid w:val="00BF2A49"/>
    <w:rsid w:val="00BF3D6A"/>
    <w:rsid w:val="00BF4868"/>
    <w:rsid w:val="00BF586D"/>
    <w:rsid w:val="00C07146"/>
    <w:rsid w:val="00C12864"/>
    <w:rsid w:val="00C20153"/>
    <w:rsid w:val="00C34BCA"/>
    <w:rsid w:val="00C40586"/>
    <w:rsid w:val="00C53C94"/>
    <w:rsid w:val="00C66E22"/>
    <w:rsid w:val="00C73101"/>
    <w:rsid w:val="00C866D8"/>
    <w:rsid w:val="00C90573"/>
    <w:rsid w:val="00CA32B9"/>
    <w:rsid w:val="00CC727B"/>
    <w:rsid w:val="00CD2F38"/>
    <w:rsid w:val="00CD3E97"/>
    <w:rsid w:val="00CF2760"/>
    <w:rsid w:val="00CF2EB7"/>
    <w:rsid w:val="00CF53D2"/>
    <w:rsid w:val="00D01FF1"/>
    <w:rsid w:val="00D22275"/>
    <w:rsid w:val="00D302DE"/>
    <w:rsid w:val="00D323F4"/>
    <w:rsid w:val="00D32505"/>
    <w:rsid w:val="00D44799"/>
    <w:rsid w:val="00D474A6"/>
    <w:rsid w:val="00D56687"/>
    <w:rsid w:val="00D60CC8"/>
    <w:rsid w:val="00D80BEB"/>
    <w:rsid w:val="00D838FF"/>
    <w:rsid w:val="00D950E2"/>
    <w:rsid w:val="00D96C48"/>
    <w:rsid w:val="00DA476A"/>
    <w:rsid w:val="00DB5D89"/>
    <w:rsid w:val="00DC344E"/>
    <w:rsid w:val="00DD01C3"/>
    <w:rsid w:val="00E00F6E"/>
    <w:rsid w:val="00E028F2"/>
    <w:rsid w:val="00E02AB9"/>
    <w:rsid w:val="00E17D83"/>
    <w:rsid w:val="00E22EBF"/>
    <w:rsid w:val="00E26DBC"/>
    <w:rsid w:val="00E30EA5"/>
    <w:rsid w:val="00E314A5"/>
    <w:rsid w:val="00E3622A"/>
    <w:rsid w:val="00E4055D"/>
    <w:rsid w:val="00E47DA2"/>
    <w:rsid w:val="00E536EC"/>
    <w:rsid w:val="00E54243"/>
    <w:rsid w:val="00E64421"/>
    <w:rsid w:val="00E81065"/>
    <w:rsid w:val="00E8404A"/>
    <w:rsid w:val="00E94B88"/>
    <w:rsid w:val="00E95A3F"/>
    <w:rsid w:val="00E95DEE"/>
    <w:rsid w:val="00EA2B4C"/>
    <w:rsid w:val="00EA331A"/>
    <w:rsid w:val="00EB5F33"/>
    <w:rsid w:val="00ED289A"/>
    <w:rsid w:val="00ED5A2E"/>
    <w:rsid w:val="00F03923"/>
    <w:rsid w:val="00F24805"/>
    <w:rsid w:val="00F64AC1"/>
    <w:rsid w:val="00F74AE3"/>
    <w:rsid w:val="00F826C8"/>
    <w:rsid w:val="00F87CC3"/>
    <w:rsid w:val="00FC211B"/>
    <w:rsid w:val="00FD07B3"/>
    <w:rsid w:val="00FD38D1"/>
    <w:rsid w:val="00FD3B2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E633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404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22"/>
      <w:jc w:val="both"/>
    </w:pPr>
    <w:rPr>
      <w:sz w:val="24"/>
    </w:rPr>
  </w:style>
  <w:style w:type="paragraph" w:styleId="BodyTextIndent2">
    <w:name w:val="Body Text Indent 2"/>
    <w:basedOn w:val="Normal"/>
    <w:pPr>
      <w:ind w:left="1134" w:hanging="1134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843" w:hanging="1843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1D0D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64AC1"/>
    <w:pPr>
      <w:tabs>
        <w:tab w:val="center" w:pos="4153"/>
        <w:tab w:val="right" w:pos="8306"/>
      </w:tabs>
    </w:pPr>
  </w:style>
  <w:style w:type="paragraph" w:customStyle="1" w:styleId="a">
    <w:basedOn w:val="Normal"/>
    <w:rsid w:val="00E8404A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DefaultParagraphFont1CharChar1">
    <w:name w:val="Default Paragraph Font1 Char Char1"/>
    <w:aliases w:val=" Char Char1 Char Char1, Char1 Char Char Char Char Char Char"/>
    <w:basedOn w:val="Normal"/>
    <w:rsid w:val="00BF4868"/>
    <w:pPr>
      <w:spacing w:after="160" w:line="240" w:lineRule="exact"/>
    </w:pPr>
    <w:rPr>
      <w:rFonts w:ascii="Arial" w:hAnsi="Arial"/>
      <w:sz w:val="22"/>
      <w:lang w:val="en-US" w:eastAsia="en-US"/>
    </w:rPr>
  </w:style>
  <w:style w:type="paragraph" w:customStyle="1" w:styleId="CharChar1">
    <w:name w:val="Char Char1"/>
    <w:basedOn w:val="Normal"/>
    <w:rsid w:val="00FF75A7"/>
    <w:rPr>
      <w:rFonts w:ascii="Arial" w:hAnsi="Arial"/>
      <w:sz w:val="22"/>
      <w:lang w:eastAsia="en-US"/>
    </w:rPr>
  </w:style>
  <w:style w:type="character" w:styleId="CommentReference">
    <w:name w:val="annotation reference"/>
    <w:semiHidden/>
    <w:rsid w:val="00192DF0"/>
    <w:rPr>
      <w:sz w:val="16"/>
      <w:szCs w:val="16"/>
    </w:rPr>
  </w:style>
  <w:style w:type="paragraph" w:styleId="CommentText">
    <w:name w:val="annotation text"/>
    <w:basedOn w:val="Normal"/>
    <w:semiHidden/>
    <w:rsid w:val="00192DF0"/>
  </w:style>
  <w:style w:type="paragraph" w:styleId="CommentSubject">
    <w:name w:val="annotation subject"/>
    <w:basedOn w:val="CommentText"/>
    <w:next w:val="CommentText"/>
    <w:semiHidden/>
    <w:rsid w:val="00192DF0"/>
    <w:rPr>
      <w:b/>
      <w:bCs/>
    </w:rPr>
  </w:style>
  <w:style w:type="paragraph" w:styleId="ListParagraph">
    <w:name w:val="List Paragraph"/>
    <w:basedOn w:val="Normal"/>
    <w:uiPriority w:val="34"/>
    <w:qFormat/>
    <w:rsid w:val="00D44799"/>
    <w:pPr>
      <w:ind w:left="720"/>
    </w:pPr>
  </w:style>
  <w:style w:type="character" w:customStyle="1" w:styleId="FooterChar">
    <w:name w:val="Footer Char"/>
    <w:link w:val="Footer"/>
    <w:rsid w:val="001D6591"/>
  </w:style>
  <w:style w:type="paragraph" w:customStyle="1" w:styleId="ESHeading">
    <w:name w:val="ES_Heading"/>
    <w:basedOn w:val="ListParagraph"/>
    <w:link w:val="ESHeadingChar"/>
    <w:qFormat/>
    <w:rsid w:val="001D6591"/>
    <w:pPr>
      <w:keepNext/>
      <w:spacing w:before="240" w:after="240" w:line="276" w:lineRule="auto"/>
      <w:ind w:left="0"/>
    </w:pPr>
    <w:rPr>
      <w:rFonts w:eastAsia="SimSun"/>
      <w:b/>
      <w:i/>
      <w:sz w:val="22"/>
      <w:szCs w:val="22"/>
      <w:lang w:eastAsia="en-US"/>
    </w:rPr>
  </w:style>
  <w:style w:type="character" w:customStyle="1" w:styleId="ESHeadingChar">
    <w:name w:val="ES_Heading Char"/>
    <w:link w:val="ESHeading"/>
    <w:rsid w:val="001D6591"/>
    <w:rPr>
      <w:rFonts w:eastAsia="SimSun"/>
      <w:b/>
      <w:i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1D6591"/>
    <w:rPr>
      <w:rFonts w:ascii="Arial" w:hAnsi="Arial"/>
      <w:sz w:val="24"/>
    </w:rPr>
  </w:style>
  <w:style w:type="character" w:styleId="PageNumber">
    <w:name w:val="page number"/>
    <w:rsid w:val="001D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au/Details/F2013L0118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Links>
    <vt:vector size="12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https://www.legislation.gov.au/Details/F2013L01185</vt:lpwstr>
      </vt:variant>
      <vt:variant>
        <vt:lpwstr/>
      </vt:variant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https://www.legislation.gov.au/Details/F2013L01185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2023-08-18T00:45:00Z</dcterms:created>
  <dcterms:modified xsi:type="dcterms:W3CDTF">2023-08-18T00:45:00Z</dcterms:modified>
</cp:coreProperties>
</file>