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B0D7" w14:textId="77777777" w:rsidR="00FB640B" w:rsidRPr="008B24C8" w:rsidRDefault="0057002B" w:rsidP="00BB0CF2">
      <w:pPr>
        <w:pStyle w:val="ESTitleHeader"/>
      </w:pPr>
      <w:r w:rsidRPr="008B24C8">
        <w:t>EXPLANATORY STATEMENT</w:t>
      </w:r>
    </w:p>
    <w:p w14:paraId="34B31A99" w14:textId="77777777" w:rsidR="0057002B" w:rsidRPr="008B24C8" w:rsidRDefault="0057002B" w:rsidP="0020549D">
      <w:pPr>
        <w:pStyle w:val="ESTitleDecisionMaker"/>
      </w:pPr>
      <w:r w:rsidRPr="008B24C8">
        <w:t xml:space="preserve">Issued by authority of the </w:t>
      </w:r>
      <w:r w:rsidR="0020549D">
        <w:t>Minister for Immigration, Citizenship and Multicultural Affairs</w:t>
      </w:r>
    </w:p>
    <w:p w14:paraId="56102809" w14:textId="77777777" w:rsidR="0057002B" w:rsidRPr="008B24C8" w:rsidRDefault="0020549D" w:rsidP="00BB0CF2">
      <w:pPr>
        <w:pStyle w:val="ESTitleEnablingLegislation"/>
      </w:pPr>
      <w:r>
        <w:t>Migration Regulations 1994</w:t>
      </w:r>
    </w:p>
    <w:p w14:paraId="44DCD3E9" w14:textId="77777777" w:rsidR="0057002B" w:rsidRPr="008B24C8" w:rsidRDefault="0020549D" w:rsidP="00BB0CF2">
      <w:pPr>
        <w:pStyle w:val="ESTitleInstrumentName"/>
      </w:pPr>
      <w:r>
        <w:t>Migration (Arrangements for Protection, Refugee and Humanitarian Visas) Amendment Instrument (LIN 23/049) 2023</w:t>
      </w:r>
      <w:bookmarkStart w:id="0" w:name="_GoBack"/>
      <w:bookmarkEnd w:id="0"/>
      <w:r>
        <w:t xml:space="preserve"> (No. 2)</w:t>
      </w:r>
    </w:p>
    <w:p w14:paraId="66BA6809" w14:textId="77777777" w:rsidR="0057002B" w:rsidRPr="008B24C8" w:rsidRDefault="0057002B" w:rsidP="002D167E">
      <w:pPr>
        <w:pStyle w:val="ESPara"/>
      </w:pPr>
      <w:r w:rsidRPr="008B24C8">
        <w:t xml:space="preserve">The instrument, Departmental reference </w:t>
      </w:r>
      <w:r w:rsidR="0020549D">
        <w:t>LIN 23/049,</w:t>
      </w:r>
      <w:r w:rsidRPr="008B24C8">
        <w:t xml:space="preserve"> is made under </w:t>
      </w:r>
      <w:r w:rsidR="00AC701D">
        <w:t>subregulation 2.07</w:t>
      </w:r>
      <w:r w:rsidR="00F97315">
        <w:t>(</w:t>
      </w:r>
      <w:r w:rsidR="00AC701D">
        <w:t>5)</w:t>
      </w:r>
      <w:r w:rsidRPr="008B24C8">
        <w:t xml:space="preserve"> of the </w:t>
      </w:r>
      <w:r w:rsidRPr="008B24C8">
        <w:rPr>
          <w:i/>
        </w:rPr>
        <w:t>Migration Regulations 1994</w:t>
      </w:r>
      <w:r w:rsidR="00A32D7C">
        <w:t xml:space="preserve"> (the Migration Regulations)</w:t>
      </w:r>
      <w:r w:rsidRPr="008B24C8">
        <w:t xml:space="preserve">.  </w:t>
      </w:r>
    </w:p>
    <w:p w14:paraId="18360BAC" w14:textId="77777777" w:rsidR="00EA12C9" w:rsidRPr="008B24C8" w:rsidRDefault="00EA12C9" w:rsidP="002D167E">
      <w:pPr>
        <w:pStyle w:val="ESPara"/>
      </w:pPr>
      <w:r w:rsidRPr="008B24C8">
        <w:t xml:space="preserve">The instrument </w:t>
      </w:r>
      <w:r w:rsidR="00AC701D">
        <w:t xml:space="preserve">amends </w:t>
      </w:r>
      <w:r w:rsidR="00AC701D">
        <w:rPr>
          <w:i/>
          <w:iCs/>
          <w:color w:val="000000"/>
          <w:shd w:val="clear" w:color="auto" w:fill="FFFFFF"/>
        </w:rPr>
        <w:t xml:space="preserve">Migration (Arrangements for Protection, Refugee and Humanitarian Visas) Instrument (LIN 20/169) 2020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6C6A7643" w14:textId="72FA1FBD" w:rsidR="00BD598E" w:rsidRPr="008B24C8" w:rsidRDefault="00AA4557" w:rsidP="002D167E">
      <w:pPr>
        <w:pStyle w:val="ESPara"/>
      </w:pPr>
      <w:r>
        <w:t xml:space="preserve">The instrument commences </w:t>
      </w:r>
      <w:r w:rsidR="00AC701D">
        <w:t xml:space="preserve">on the day after registration on </w:t>
      </w:r>
      <w:r w:rsidR="009D00E6">
        <w:t xml:space="preserve">the </w:t>
      </w:r>
      <w:r w:rsidR="00AC701D">
        <w:t>Federal Register of Legislation</w:t>
      </w:r>
      <w:r>
        <w:t xml:space="preserve"> 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4B47CBB2" w14:textId="77777777" w:rsidR="00EA12C9" w:rsidRPr="00BB0CF2" w:rsidRDefault="00BD598E" w:rsidP="00100DFC">
      <w:pPr>
        <w:pStyle w:val="ESHeading"/>
        <w:rPr>
          <w:color w:val="FF0000"/>
        </w:rPr>
      </w:pPr>
      <w:r w:rsidRPr="008B24C8">
        <w:t>Purpose</w:t>
      </w:r>
      <w:r w:rsidR="00BB0CF2">
        <w:t xml:space="preserve"> </w:t>
      </w:r>
    </w:p>
    <w:p w14:paraId="66CE40D8" w14:textId="77777777" w:rsidR="00AC701D" w:rsidRDefault="003A7A3C" w:rsidP="002D167E">
      <w:pPr>
        <w:pStyle w:val="ESPara"/>
      </w:pPr>
      <w:r>
        <w:t>Subregulation 2.07(5) of the Migration Regulations provides that if an item of Schedule 1 to the Migration Regulations prescribes a criteria or requirements by reference to a legislative instrument made under subregulation 2.07(5), the Minister may, by legislative instrument, specify the following:</w:t>
      </w:r>
    </w:p>
    <w:p w14:paraId="119A9409" w14:textId="77777777" w:rsidR="003A7A3C" w:rsidRDefault="003A7A3C" w:rsidP="003A7A3C">
      <w:pPr>
        <w:pStyle w:val="ESPara"/>
        <w:numPr>
          <w:ilvl w:val="0"/>
          <w:numId w:val="5"/>
        </w:numPr>
      </w:pPr>
      <w:r>
        <w:t xml:space="preserve">an approved form for making an application for a visa of a specified class; </w:t>
      </w:r>
    </w:p>
    <w:p w14:paraId="722DD085" w14:textId="77777777" w:rsidR="003A7A3C" w:rsidRDefault="003A7A3C" w:rsidP="003A7A3C">
      <w:pPr>
        <w:pStyle w:val="ESPara"/>
        <w:numPr>
          <w:ilvl w:val="0"/>
          <w:numId w:val="5"/>
        </w:numPr>
      </w:pPr>
      <w:r>
        <w:t>the way in which an application for a visa of a specified class must be made;</w:t>
      </w:r>
    </w:p>
    <w:p w14:paraId="62A56172" w14:textId="77777777" w:rsidR="003A7A3C" w:rsidRDefault="003A7A3C" w:rsidP="003A7A3C">
      <w:pPr>
        <w:pStyle w:val="ESPara"/>
        <w:numPr>
          <w:ilvl w:val="0"/>
          <w:numId w:val="5"/>
        </w:numPr>
      </w:pPr>
      <w:r>
        <w:t>the place at which an application for a visa of a specified class must be made; and</w:t>
      </w:r>
    </w:p>
    <w:p w14:paraId="7D98383D" w14:textId="77777777" w:rsidR="003A7A3C" w:rsidRDefault="003A7A3C" w:rsidP="003A7A3C">
      <w:pPr>
        <w:pStyle w:val="ESPara"/>
        <w:numPr>
          <w:ilvl w:val="0"/>
          <w:numId w:val="5"/>
        </w:numPr>
      </w:pPr>
      <w:r>
        <w:t xml:space="preserve">any other matter. </w:t>
      </w:r>
    </w:p>
    <w:p w14:paraId="0A225B7E" w14:textId="22B65AB2" w:rsidR="000726BC" w:rsidRDefault="003A7A3C" w:rsidP="002D167E">
      <w:pPr>
        <w:pStyle w:val="ESPara"/>
      </w:pPr>
      <w:r>
        <w:t>Item</w:t>
      </w:r>
      <w:r w:rsidR="00266DD4">
        <w:t>s</w:t>
      </w:r>
      <w:r>
        <w:t xml:space="preserve"> 1401</w:t>
      </w:r>
      <w:r w:rsidR="000726BC">
        <w:t>, 1403 and 1404</w:t>
      </w:r>
      <w:r>
        <w:t xml:space="preserve"> of </w:t>
      </w:r>
      <w:r w:rsidR="00B06492">
        <w:t xml:space="preserve">Schedule 1 </w:t>
      </w:r>
      <w:r>
        <w:t>to the Migration Regulations provide</w:t>
      </w:r>
      <w:r w:rsidR="006A6350">
        <w:t>s</w:t>
      </w:r>
      <w:r>
        <w:t xml:space="preserve"> that </w:t>
      </w:r>
      <w:r w:rsidR="00266DD4">
        <w:t>an application for a visa of the following classes</w:t>
      </w:r>
      <w:r w:rsidR="000726BC">
        <w:t xml:space="preserve"> must be in the approved form specified by the Minister in a legislative instrument made for each item under subregulation 2.07(5) of the Migration Regulations:</w:t>
      </w:r>
    </w:p>
    <w:p w14:paraId="6A40E044" w14:textId="13EB5EFC" w:rsidR="000726BC" w:rsidRDefault="000726BC" w:rsidP="000726BC">
      <w:pPr>
        <w:pStyle w:val="ESPara"/>
        <w:numPr>
          <w:ilvl w:val="0"/>
          <w:numId w:val="7"/>
        </w:numPr>
      </w:pPr>
      <w:r>
        <w:t>Protection (Class XA) visa;</w:t>
      </w:r>
    </w:p>
    <w:p w14:paraId="2FC526C0" w14:textId="3921C654" w:rsidR="000726BC" w:rsidRDefault="000726BC" w:rsidP="000726BC">
      <w:pPr>
        <w:pStyle w:val="ESPara"/>
        <w:numPr>
          <w:ilvl w:val="0"/>
          <w:numId w:val="7"/>
        </w:numPr>
      </w:pPr>
      <w:r>
        <w:t>Temporary Protection (Class XD) visa; and</w:t>
      </w:r>
    </w:p>
    <w:p w14:paraId="5FC254C3" w14:textId="326E44C3" w:rsidR="000726BC" w:rsidRDefault="000726BC" w:rsidP="000726BC">
      <w:pPr>
        <w:pStyle w:val="ESPara"/>
        <w:numPr>
          <w:ilvl w:val="0"/>
          <w:numId w:val="7"/>
        </w:numPr>
      </w:pPr>
      <w:r>
        <w:t>Safe Haven Enterprise (Class XE) visa.</w:t>
      </w:r>
    </w:p>
    <w:p w14:paraId="25120597" w14:textId="794BC13A" w:rsidR="00B75478" w:rsidRPr="00B75478" w:rsidRDefault="000726BC" w:rsidP="000726BC">
      <w:pPr>
        <w:pStyle w:val="ESPara"/>
      </w:pPr>
      <w:r>
        <w:t xml:space="preserve">This instrument </w:t>
      </w:r>
      <w:r w:rsidR="00AC701D">
        <w:t>update</w:t>
      </w:r>
      <w:r w:rsidR="00266DD4">
        <w:t>s</w:t>
      </w:r>
      <w:r w:rsidR="00AC701D">
        <w:t xml:space="preserve"> the </w:t>
      </w:r>
      <w:r>
        <w:t xml:space="preserve">arrangements for lodging </w:t>
      </w:r>
      <w:r w:rsidR="00872664">
        <w:t>visa application</w:t>
      </w:r>
      <w:r w:rsidR="00266DD4">
        <w:t>s for these three visa classes</w:t>
      </w:r>
      <w:r w:rsidR="00872664">
        <w:t xml:space="preserve">.  The purpose of this instrument is to </w:t>
      </w:r>
      <w:r w:rsidR="00266DD4">
        <w:t>increase the</w:t>
      </w:r>
      <w:r w:rsidR="00872664">
        <w:t xml:space="preserve"> administrative </w:t>
      </w:r>
      <w:r w:rsidR="00266DD4">
        <w:t xml:space="preserve">efficiencies associated with the lodgement of internet applications </w:t>
      </w:r>
      <w:r w:rsidR="0046403D">
        <w:t>for both the department and prospective applicants</w:t>
      </w:r>
      <w:r w:rsidR="009567C7">
        <w:t xml:space="preserve"> </w:t>
      </w:r>
      <w:r w:rsidR="00872664">
        <w:t xml:space="preserve">and to ensure paper applications are being submitted only when there is a genuine need to do so. </w:t>
      </w:r>
    </w:p>
    <w:p w14:paraId="3F6D2615" w14:textId="77777777" w:rsidR="008B24C8" w:rsidRDefault="008B24C8" w:rsidP="00100DFC">
      <w:pPr>
        <w:pStyle w:val="ESHeading"/>
      </w:pPr>
      <w:r w:rsidRPr="008B24C8">
        <w:lastRenderedPageBreak/>
        <w:t>Consultation</w:t>
      </w:r>
    </w:p>
    <w:p w14:paraId="595ABE42" w14:textId="77777777" w:rsidR="005A3733" w:rsidRDefault="005A3733" w:rsidP="005A3733">
      <w:pPr>
        <w:pStyle w:val="ESPara"/>
      </w:pPr>
      <w:r>
        <w:t xml:space="preserve">No consultation was done for this instrument.  This is because the instrument </w:t>
      </w:r>
      <w:r w:rsidR="003A7A3C">
        <w:t xml:space="preserve">does not </w:t>
      </w:r>
      <w:r>
        <w:t xml:space="preserve">substantially </w:t>
      </w:r>
      <w:r w:rsidR="003A7A3C">
        <w:t xml:space="preserve">alter existing arrangements. </w:t>
      </w:r>
    </w:p>
    <w:p w14:paraId="0941C086" w14:textId="77777777" w:rsidR="008B24C8" w:rsidRPr="008B24C8" w:rsidRDefault="008B24C8" w:rsidP="002D167E">
      <w:pPr>
        <w:pStyle w:val="ESPara"/>
      </w:pPr>
      <w:r w:rsidRPr="008B24C8">
        <w:t xml:space="preserve">The Office of </w:t>
      </w:r>
      <w:r w:rsidR="003A7A3C">
        <w:t>Impact Analysis</w:t>
      </w:r>
      <w:r w:rsidRPr="008B24C8">
        <w:t xml:space="preserve"> (</w:t>
      </w:r>
      <w:r w:rsidR="003A7A3C">
        <w:t>OIA</w:t>
      </w:r>
      <w:r w:rsidRPr="008B24C8">
        <w:t>) was consulted and considered that the instrument dealt with m</w:t>
      </w:r>
      <w:r w:rsidR="003A7A3C">
        <w:t xml:space="preserve">atters of a </w:t>
      </w:r>
      <w:r>
        <w:t xml:space="preserve">minor </w:t>
      </w:r>
      <w:r w:rsidRPr="008B24C8">
        <w:t xml:space="preserve">nature and no regulatory impact statement was required.  </w:t>
      </w:r>
      <w:r>
        <w:t xml:space="preserve">The </w:t>
      </w:r>
      <w:r w:rsidR="003A7A3C">
        <w:t>OIA</w:t>
      </w:r>
      <w:r>
        <w:t xml:space="preserve"> reference</w:t>
      </w:r>
      <w:r w:rsidR="003A7A3C">
        <w:t xml:space="preserve"> number is OIA23-05013</w:t>
      </w:r>
      <w:r w:rsidRPr="008B24C8">
        <w:t>.</w:t>
      </w:r>
    </w:p>
    <w:p w14:paraId="3A83804A" w14:textId="77777777" w:rsidR="00AA4557" w:rsidRDefault="00464080" w:rsidP="00100DFC">
      <w:pPr>
        <w:pStyle w:val="ESHeading"/>
      </w:pPr>
      <w:r>
        <w:t>Details</w:t>
      </w:r>
      <w:r w:rsidR="00AA4557">
        <w:t xml:space="preserve"> of the instrument</w:t>
      </w:r>
    </w:p>
    <w:p w14:paraId="61DD65C8" w14:textId="77777777" w:rsidR="00AA4557" w:rsidRDefault="00AA4557" w:rsidP="002D167E">
      <w:pPr>
        <w:pStyle w:val="ESPara"/>
      </w:pPr>
      <w:r>
        <w:t>Section 1 sets out</w:t>
      </w:r>
      <w:r w:rsidR="00E03DCC">
        <w:t xml:space="preserve"> the name of the instrument. </w:t>
      </w:r>
    </w:p>
    <w:p w14:paraId="05968DC4" w14:textId="0BDF8962" w:rsidR="00AA4557" w:rsidRDefault="00AA4557" w:rsidP="002D167E">
      <w:pPr>
        <w:pStyle w:val="ESPara"/>
      </w:pPr>
      <w:r>
        <w:t xml:space="preserve">Section 2 provides </w:t>
      </w:r>
      <w:r w:rsidR="00F3499A">
        <w:t>for the commencement of the instrument on 28 August 2023</w:t>
      </w:r>
      <w:r w:rsidR="00A32D7C">
        <w:t>.</w:t>
      </w:r>
    </w:p>
    <w:p w14:paraId="7BC93F16" w14:textId="77777777" w:rsidR="00AA4F77" w:rsidRDefault="00AA4F77" w:rsidP="00AA4F77">
      <w:pPr>
        <w:pStyle w:val="ESPara"/>
      </w:pPr>
      <w:r>
        <w:t xml:space="preserve">Section 3 sets out </w:t>
      </w:r>
      <w:r w:rsidR="00A32D7C">
        <w:t xml:space="preserve">that Schedule 1 amends </w:t>
      </w:r>
      <w:r w:rsidR="00A32D7C">
        <w:rPr>
          <w:i/>
        </w:rPr>
        <w:t xml:space="preserve">Migration </w:t>
      </w:r>
      <w:r w:rsidR="00A32D7C">
        <w:rPr>
          <w:i/>
          <w:iCs/>
          <w:color w:val="000000"/>
          <w:shd w:val="clear" w:color="auto" w:fill="FFFFFF"/>
        </w:rPr>
        <w:t>(Arrangements for Protection, Refugee and Humanitarian Visas) Instrument (LIN 20/169) 2020.</w:t>
      </w:r>
      <w:r>
        <w:t xml:space="preserve"> </w:t>
      </w:r>
    </w:p>
    <w:p w14:paraId="7286399B" w14:textId="77777777" w:rsidR="00A32D7C" w:rsidRDefault="00A32D7C" w:rsidP="003A7A3C">
      <w:pPr>
        <w:pStyle w:val="ESPara"/>
      </w:pPr>
      <w:r>
        <w:t xml:space="preserve">Item 1 of Schedule 1 substitutes section 7 of LIN 20/169.  </w:t>
      </w:r>
    </w:p>
    <w:p w14:paraId="225CF103" w14:textId="04B758E6" w:rsidR="00A32D7C" w:rsidRDefault="00CC5460" w:rsidP="000726BC">
      <w:pPr>
        <w:pStyle w:val="ESPara"/>
        <w:numPr>
          <w:ilvl w:val="0"/>
          <w:numId w:val="9"/>
        </w:numPr>
      </w:pPr>
      <w:r>
        <w:t>New subs</w:t>
      </w:r>
      <w:r w:rsidR="00A32D7C">
        <w:t>ection 7(1) provide</w:t>
      </w:r>
      <w:r>
        <w:t>s</w:t>
      </w:r>
      <w:r w:rsidR="00A32D7C">
        <w:t xml:space="preserve"> that for the purposes of item 1401 of Schedule 1 to the Migration Regulations, all Protection (Class XA) visa applications must be made using form 866 (Internet) as an Internet application</w:t>
      </w:r>
      <w:r w:rsidR="00AA4F77">
        <w:t>.</w:t>
      </w:r>
    </w:p>
    <w:p w14:paraId="6296C3C0" w14:textId="4568238B" w:rsidR="00A32D7C" w:rsidRDefault="00CC5460" w:rsidP="000726BC">
      <w:pPr>
        <w:pStyle w:val="ESPara"/>
        <w:numPr>
          <w:ilvl w:val="0"/>
          <w:numId w:val="9"/>
        </w:numPr>
      </w:pPr>
      <w:r>
        <w:t>New subs</w:t>
      </w:r>
      <w:r w:rsidR="00A32D7C">
        <w:t>ection 7(2) provide</w:t>
      </w:r>
      <w:r>
        <w:t>s</w:t>
      </w:r>
      <w:r w:rsidR="00A32D7C">
        <w:t xml:space="preserve"> that if </w:t>
      </w:r>
      <w:r w:rsidR="000625A1">
        <w:t xml:space="preserve">an </w:t>
      </w:r>
      <w:r w:rsidR="00A32D7C">
        <w:t xml:space="preserve">application cannot be made in accordance with subsection </w:t>
      </w:r>
      <w:r>
        <w:t>7</w:t>
      </w:r>
      <w:r w:rsidR="00A32D7C">
        <w:t xml:space="preserve">(1), </w:t>
      </w:r>
      <w:r w:rsidR="000625A1">
        <w:t xml:space="preserve">the </w:t>
      </w:r>
      <w:r w:rsidR="00A32D7C">
        <w:t>application can be made using form 866 and poste</w:t>
      </w:r>
      <w:r w:rsidR="00E24C55">
        <w:t>d</w:t>
      </w:r>
      <w:r w:rsidR="00A32D7C">
        <w:t xml:space="preserve"> with sufficient prepaid postage to the specified departmental address in Sydney, but only if the Department specifically authorises </w:t>
      </w:r>
      <w:r w:rsidR="000625A1">
        <w:t xml:space="preserve">the applicant </w:t>
      </w:r>
      <w:r w:rsidR="00A32D7C">
        <w:t xml:space="preserve">to do so. </w:t>
      </w:r>
    </w:p>
    <w:p w14:paraId="664EFA96" w14:textId="6065B642" w:rsidR="000726BC" w:rsidRDefault="000726BC" w:rsidP="000726BC">
      <w:pPr>
        <w:pStyle w:val="ESSubparaHeader"/>
      </w:pPr>
      <w:r>
        <w:t>Item 2 of Schedule 1 substitutes section 9 of LIN 20/169.</w:t>
      </w:r>
    </w:p>
    <w:p w14:paraId="68DB375D" w14:textId="22985B6C" w:rsidR="000726BC" w:rsidRDefault="00CC5460" w:rsidP="000726BC">
      <w:pPr>
        <w:pStyle w:val="ESSubparaHeader"/>
        <w:numPr>
          <w:ilvl w:val="0"/>
          <w:numId w:val="8"/>
        </w:numPr>
      </w:pPr>
      <w:r>
        <w:t>New subs</w:t>
      </w:r>
      <w:r w:rsidR="000726BC">
        <w:t>ection 9(1) provide</w:t>
      </w:r>
      <w:r>
        <w:t>s</w:t>
      </w:r>
      <w:r w:rsidR="000726BC">
        <w:t xml:space="preserve"> that for the purposes of item 1403 of Schedule 1 to the Migration Regulations, all Temporary Protection (Class XD) visa applications must be made using form 866 (Internet) as an Internet application.</w:t>
      </w:r>
    </w:p>
    <w:p w14:paraId="390DFE22" w14:textId="19C17452" w:rsidR="000726BC" w:rsidRPr="000726BC" w:rsidRDefault="00CC5460" w:rsidP="000726BC">
      <w:pPr>
        <w:pStyle w:val="ESSubparaHeader"/>
        <w:numPr>
          <w:ilvl w:val="0"/>
          <w:numId w:val="8"/>
        </w:numPr>
      </w:pPr>
      <w:r>
        <w:t>New subs</w:t>
      </w:r>
      <w:r w:rsidR="000726BC">
        <w:t>ection 9(2) provide</w:t>
      </w:r>
      <w:r>
        <w:t>s</w:t>
      </w:r>
      <w:r w:rsidR="000726BC">
        <w:t xml:space="preserve"> that if </w:t>
      </w:r>
      <w:r w:rsidR="000625A1">
        <w:t xml:space="preserve">an </w:t>
      </w:r>
      <w:r w:rsidR="000726BC">
        <w:t xml:space="preserve">application cannot be made in accordance with subsection </w:t>
      </w:r>
      <w:r>
        <w:t>9</w:t>
      </w:r>
      <w:r w:rsidR="000726BC">
        <w:t xml:space="preserve">(1), </w:t>
      </w:r>
      <w:r w:rsidR="000625A1">
        <w:t xml:space="preserve">the </w:t>
      </w:r>
      <w:r w:rsidR="000726BC">
        <w:t xml:space="preserve">application can be made using form 866 and posted with sufficient prepaid postage to the specified departmental address in Sydney, but only if the Department specifically authorises </w:t>
      </w:r>
      <w:r w:rsidR="000625A1">
        <w:t xml:space="preserve">the applicant </w:t>
      </w:r>
      <w:r w:rsidR="000726BC">
        <w:t xml:space="preserve">to do so. </w:t>
      </w:r>
    </w:p>
    <w:p w14:paraId="05408112" w14:textId="2245A7FD" w:rsidR="000726BC" w:rsidRDefault="000726BC" w:rsidP="000726BC">
      <w:pPr>
        <w:pStyle w:val="ESSubparaHeader"/>
      </w:pPr>
      <w:r>
        <w:t>Item 3 of Schedule 1 substitutes section 10 of LIN 20/169.</w:t>
      </w:r>
    </w:p>
    <w:p w14:paraId="72C41637" w14:textId="49F802CB" w:rsidR="000726BC" w:rsidRDefault="00CC5460" w:rsidP="000726BC">
      <w:pPr>
        <w:pStyle w:val="ESSubparaHeader"/>
        <w:numPr>
          <w:ilvl w:val="0"/>
          <w:numId w:val="10"/>
        </w:numPr>
      </w:pPr>
      <w:r>
        <w:t>New subs</w:t>
      </w:r>
      <w:r w:rsidR="000726BC">
        <w:t>ection 10(1) provide</w:t>
      </w:r>
      <w:r>
        <w:t>s</w:t>
      </w:r>
      <w:r w:rsidR="000726BC">
        <w:t xml:space="preserve"> that for the purposes of item 1404 of Schedule 1 to the Migration Regulations, all Safe Haven Enterprise (Class XE) visa applications must be made using form 866 (Internet) as an Internet application.</w:t>
      </w:r>
    </w:p>
    <w:p w14:paraId="654A69A7" w14:textId="3DFAA698" w:rsidR="000726BC" w:rsidRPr="000726BC" w:rsidRDefault="00CC5460" w:rsidP="000726BC">
      <w:pPr>
        <w:pStyle w:val="ESSubparaHeader"/>
        <w:numPr>
          <w:ilvl w:val="0"/>
          <w:numId w:val="10"/>
        </w:numPr>
      </w:pPr>
      <w:r>
        <w:t>New subs</w:t>
      </w:r>
      <w:r w:rsidR="000726BC">
        <w:t>ection 10(2) provide</w:t>
      </w:r>
      <w:r w:rsidR="000625A1">
        <w:t>s</w:t>
      </w:r>
      <w:r w:rsidR="000726BC">
        <w:t xml:space="preserve"> that if </w:t>
      </w:r>
      <w:r w:rsidR="000625A1">
        <w:t xml:space="preserve">an </w:t>
      </w:r>
      <w:r w:rsidR="000726BC">
        <w:t xml:space="preserve">application cannot be made in accordance with subsection </w:t>
      </w:r>
      <w:r>
        <w:t>10</w:t>
      </w:r>
      <w:r w:rsidR="000726BC">
        <w:t xml:space="preserve">(1), </w:t>
      </w:r>
      <w:r w:rsidR="000625A1">
        <w:t xml:space="preserve">the </w:t>
      </w:r>
      <w:r w:rsidR="000726BC">
        <w:t xml:space="preserve">application can be made using form 866 and posted with sufficient prepaid postage to the </w:t>
      </w:r>
      <w:r w:rsidR="000726BC">
        <w:lastRenderedPageBreak/>
        <w:t xml:space="preserve">specified departmental address in Sydney, but only if the Department specifically authorises </w:t>
      </w:r>
      <w:r w:rsidR="000625A1">
        <w:t xml:space="preserve">the applicant </w:t>
      </w:r>
      <w:r w:rsidR="000726BC">
        <w:t xml:space="preserve">to do so. </w:t>
      </w:r>
    </w:p>
    <w:p w14:paraId="4CE0776A" w14:textId="77777777" w:rsidR="00AA4557" w:rsidRPr="00AA4557" w:rsidRDefault="00AA4557" w:rsidP="00100DFC">
      <w:pPr>
        <w:pStyle w:val="ESHeading"/>
      </w:pPr>
      <w:r>
        <w:t xml:space="preserve">Parliamentary scrutiny etc.  </w:t>
      </w:r>
    </w:p>
    <w:p w14:paraId="5A51EF1A" w14:textId="53D5EB29" w:rsidR="00E03DCC" w:rsidRDefault="00E03DCC" w:rsidP="002D167E">
      <w:pPr>
        <w:pStyle w:val="ESPara"/>
      </w:pPr>
      <w:r>
        <w:t xml:space="preserve">The instrument is exempt from disallowance under section 42 of the Legislation Act because </w:t>
      </w:r>
      <w:r w:rsidR="00F97315">
        <w:t xml:space="preserve">an </w:t>
      </w:r>
      <w:r w:rsidR="00A32D7C">
        <w:t xml:space="preserve">instrument made under Part 2 and Schedule 1 to the Migration Regulations </w:t>
      </w:r>
      <w:r w:rsidR="00927E44">
        <w:t xml:space="preserve">is </w:t>
      </w:r>
      <w:r>
        <w:t xml:space="preserve">prescribed </w:t>
      </w:r>
      <w:r w:rsidR="00A32D7C">
        <w:t>as exempt by</w:t>
      </w:r>
      <w:r>
        <w:t xml:space="preserve"> </w:t>
      </w:r>
      <w:r w:rsidR="00A32D7C">
        <w:t xml:space="preserve">item 20 of </w:t>
      </w:r>
      <w:r>
        <w:t xml:space="preserve">section 10 of the </w:t>
      </w:r>
      <w:r>
        <w:rPr>
          <w:i/>
        </w:rPr>
        <w:t>Legislation (Exemptions and Other Matters) Regulation 2015</w:t>
      </w:r>
      <w:r w:rsidR="00A32D7C">
        <w:t>.</w:t>
      </w:r>
    </w:p>
    <w:p w14:paraId="144EB13C" w14:textId="77777777" w:rsidR="00A32D7C" w:rsidRDefault="00A32D7C" w:rsidP="002D167E">
      <w:pPr>
        <w:pStyle w:val="ESPara"/>
      </w:pPr>
      <w:r>
        <w:rPr>
          <w:color w:val="000000"/>
          <w:shd w:val="clear" w:color="auto" w:fill="FFFFFF"/>
        </w:rP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29F1F6C8" w14:textId="77777777" w:rsidR="00915032" w:rsidRPr="00E24C55" w:rsidRDefault="00B75478" w:rsidP="00100DFC">
      <w:pPr>
        <w:pStyle w:val="ESPara"/>
      </w:pPr>
      <w:r w:rsidRPr="00B75478">
        <w:t xml:space="preserve">The </w:t>
      </w:r>
      <w:r>
        <w:t xml:space="preserve">instrument was made by </w:t>
      </w:r>
      <w:r w:rsidR="00A32D7C">
        <w:t>delegate of the Minister in accordance with subregulation 2.07(5) of the Migration Regulations.</w:t>
      </w:r>
    </w:p>
    <w:sectPr w:rsidR="00915032" w:rsidRPr="00E24C55"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797"/>
    <w:multiLevelType w:val="hybridMultilevel"/>
    <w:tmpl w:val="DDEC40A6"/>
    <w:lvl w:ilvl="0" w:tplc="0C090001">
      <w:start w:val="1"/>
      <w:numFmt w:val="bullet"/>
      <w:lvlText w:val=""/>
      <w:lvlJc w:val="left"/>
      <w:pPr>
        <w:ind w:left="927" w:hanging="360"/>
      </w:pPr>
      <w:rPr>
        <w:rFonts w:ascii="Symbol" w:hAnsi="Symbol" w:hint="default"/>
        <w:b w:val="0"/>
        <w:i w:val="0"/>
      </w:rPr>
    </w:lvl>
    <w:lvl w:ilvl="1" w:tplc="ABC2DF26">
      <w:start w:val="1"/>
      <w:numFmt w:val="bullet"/>
      <w:lvlText w:val=""/>
      <w:lvlJc w:val="left"/>
      <w:pPr>
        <w:ind w:left="1647" w:hanging="360"/>
      </w:pPr>
      <w:rPr>
        <w:rFonts w:ascii="Symbol" w:hAnsi="Symbol"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23A40BE3"/>
    <w:multiLevelType w:val="hybridMultilevel"/>
    <w:tmpl w:val="70D4FBA0"/>
    <w:lvl w:ilvl="0" w:tplc="0C090001">
      <w:start w:val="1"/>
      <w:numFmt w:val="bullet"/>
      <w:lvlText w:val=""/>
      <w:lvlJc w:val="left"/>
      <w:pPr>
        <w:ind w:left="927" w:hanging="360"/>
      </w:pPr>
      <w:rPr>
        <w:rFonts w:ascii="Symbol" w:hAnsi="Symbol" w:hint="default"/>
        <w:b w:val="0"/>
        <w:i w:val="0"/>
      </w:rPr>
    </w:lvl>
    <w:lvl w:ilvl="1" w:tplc="ABC2DF26">
      <w:start w:val="1"/>
      <w:numFmt w:val="bullet"/>
      <w:lvlText w:val=""/>
      <w:lvlJc w:val="left"/>
      <w:pPr>
        <w:ind w:left="1647" w:hanging="360"/>
      </w:pPr>
      <w:rPr>
        <w:rFonts w:ascii="Symbol" w:hAnsi="Symbol"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353C757A"/>
    <w:multiLevelType w:val="hybridMultilevel"/>
    <w:tmpl w:val="1684243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3A965C5B"/>
    <w:multiLevelType w:val="hybridMultilevel"/>
    <w:tmpl w:val="A42EFD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E7549E"/>
    <w:multiLevelType w:val="hybridMultilevel"/>
    <w:tmpl w:val="D924C2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708F5CC1"/>
    <w:multiLevelType w:val="hybridMultilevel"/>
    <w:tmpl w:val="322295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5"/>
  </w:num>
  <w:num w:numId="4">
    <w:abstractNumId w:val="5"/>
  </w:num>
  <w:num w:numId="5">
    <w:abstractNumId w:val="7"/>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EB"/>
    <w:rsid w:val="000625A1"/>
    <w:rsid w:val="000726BC"/>
    <w:rsid w:val="000D014F"/>
    <w:rsid w:val="00100DFC"/>
    <w:rsid w:val="0019164E"/>
    <w:rsid w:val="001A04D7"/>
    <w:rsid w:val="0020549D"/>
    <w:rsid w:val="002402E0"/>
    <w:rsid w:val="00266DD4"/>
    <w:rsid w:val="002D167E"/>
    <w:rsid w:val="003373C2"/>
    <w:rsid w:val="003A7A3C"/>
    <w:rsid w:val="00436987"/>
    <w:rsid w:val="00457D4A"/>
    <w:rsid w:val="0046403D"/>
    <w:rsid w:val="00464080"/>
    <w:rsid w:val="00492386"/>
    <w:rsid w:val="004B0047"/>
    <w:rsid w:val="004F5CE4"/>
    <w:rsid w:val="00537DA5"/>
    <w:rsid w:val="00560B24"/>
    <w:rsid w:val="0057002B"/>
    <w:rsid w:val="005A3733"/>
    <w:rsid w:val="00604E06"/>
    <w:rsid w:val="00682FA2"/>
    <w:rsid w:val="006A6350"/>
    <w:rsid w:val="007E4691"/>
    <w:rsid w:val="00872664"/>
    <w:rsid w:val="0088407D"/>
    <w:rsid w:val="008B24C8"/>
    <w:rsid w:val="00915032"/>
    <w:rsid w:val="00927E44"/>
    <w:rsid w:val="009567C7"/>
    <w:rsid w:val="009D00E6"/>
    <w:rsid w:val="00A32D7C"/>
    <w:rsid w:val="00AA4557"/>
    <w:rsid w:val="00AA4F77"/>
    <w:rsid w:val="00AC701D"/>
    <w:rsid w:val="00AD71EB"/>
    <w:rsid w:val="00B06492"/>
    <w:rsid w:val="00B43EB8"/>
    <w:rsid w:val="00B445D9"/>
    <w:rsid w:val="00B65A06"/>
    <w:rsid w:val="00B75478"/>
    <w:rsid w:val="00BB0CF2"/>
    <w:rsid w:val="00BD598E"/>
    <w:rsid w:val="00BE3E7F"/>
    <w:rsid w:val="00C81A5E"/>
    <w:rsid w:val="00C930F2"/>
    <w:rsid w:val="00CC5460"/>
    <w:rsid w:val="00D40E1E"/>
    <w:rsid w:val="00DB7432"/>
    <w:rsid w:val="00DE4530"/>
    <w:rsid w:val="00E03DCC"/>
    <w:rsid w:val="00E24C55"/>
    <w:rsid w:val="00E419CC"/>
    <w:rsid w:val="00E45FE2"/>
    <w:rsid w:val="00EA12C9"/>
    <w:rsid w:val="00F3499A"/>
    <w:rsid w:val="00F46AC1"/>
    <w:rsid w:val="00F85167"/>
    <w:rsid w:val="00F97315"/>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A8BE"/>
  <w15:chartTrackingRefBased/>
  <w15:docId w15:val="{C8A88283-6D17-47B6-9B97-98217BA3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6A6350"/>
    <w:rPr>
      <w:sz w:val="16"/>
      <w:szCs w:val="16"/>
    </w:rPr>
  </w:style>
  <w:style w:type="paragraph" w:styleId="CommentText">
    <w:name w:val="annotation text"/>
    <w:basedOn w:val="Normal"/>
    <w:link w:val="CommentTextChar"/>
    <w:uiPriority w:val="99"/>
    <w:semiHidden/>
    <w:unhideWhenUsed/>
    <w:rsid w:val="006A6350"/>
    <w:pPr>
      <w:spacing w:line="240" w:lineRule="auto"/>
    </w:pPr>
    <w:rPr>
      <w:sz w:val="20"/>
      <w:szCs w:val="20"/>
    </w:rPr>
  </w:style>
  <w:style w:type="character" w:customStyle="1" w:styleId="CommentTextChar">
    <w:name w:val="Comment Text Char"/>
    <w:basedOn w:val="DefaultParagraphFont"/>
    <w:link w:val="CommentText"/>
    <w:uiPriority w:val="99"/>
    <w:semiHidden/>
    <w:rsid w:val="006A6350"/>
    <w:rPr>
      <w:sz w:val="20"/>
      <w:szCs w:val="20"/>
    </w:rPr>
  </w:style>
  <w:style w:type="paragraph" w:styleId="CommentSubject">
    <w:name w:val="annotation subject"/>
    <w:basedOn w:val="CommentText"/>
    <w:next w:val="CommentText"/>
    <w:link w:val="CommentSubjectChar"/>
    <w:uiPriority w:val="99"/>
    <w:semiHidden/>
    <w:unhideWhenUsed/>
    <w:rsid w:val="006A6350"/>
    <w:rPr>
      <w:b/>
      <w:bCs/>
    </w:rPr>
  </w:style>
  <w:style w:type="character" w:customStyle="1" w:styleId="CommentSubjectChar">
    <w:name w:val="Comment Subject Char"/>
    <w:basedOn w:val="CommentTextChar"/>
    <w:link w:val="CommentSubject"/>
    <w:uiPriority w:val="99"/>
    <w:semiHidden/>
    <w:rsid w:val="006A6350"/>
    <w:rPr>
      <w:b/>
      <w:bCs/>
      <w:sz w:val="20"/>
      <w:szCs w:val="20"/>
    </w:rPr>
  </w:style>
  <w:style w:type="paragraph" w:styleId="BalloonText">
    <w:name w:val="Balloon Text"/>
    <w:basedOn w:val="Normal"/>
    <w:link w:val="BalloonTextChar"/>
    <w:uiPriority w:val="99"/>
    <w:semiHidden/>
    <w:unhideWhenUsed/>
    <w:rsid w:val="006A6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LEE</dc:creator>
  <cp:keywords/>
  <dc:description/>
  <cp:lastModifiedBy>Mariana LEE</cp:lastModifiedBy>
  <cp:revision>2</cp:revision>
  <dcterms:created xsi:type="dcterms:W3CDTF">2023-08-22T23:48:00Z</dcterms:created>
  <dcterms:modified xsi:type="dcterms:W3CDTF">2023-08-22T23:48:00Z</dcterms:modified>
</cp:coreProperties>
</file>