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7371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0CA8948A" w14:textId="1F295483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14C53E787DC2462DB7A9761D64234989"/>
          </w:placeholder>
          <w:dropDownList>
            <w:listItem w:displayText="the Treasurer" w:value="the Treasurer"/>
            <w:listItem w:displayText="the Minister for Housing, Minister for Homelessness and Minister for Small Business" w:value="the Minister for Housing, Minister for Homelessness and Minister for Small Busi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072BEB">
            <w:rPr>
              <w:rStyle w:val="DefaultChar"/>
            </w:rPr>
            <w:t>the Assistant Minister for Competition, Charities and Treasury</w:t>
          </w:r>
        </w:sdtContent>
      </w:sdt>
      <w:r w:rsidR="00076178" w:rsidRPr="003C5719">
        <w:rPr>
          <w:sz w:val="24"/>
          <w:szCs w:val="24"/>
        </w:rPr>
        <w:t xml:space="preserve"> </w:t>
      </w:r>
    </w:p>
    <w:p w14:paraId="3A57277C" w14:textId="5DD3877F" w:rsidR="00F109D4" w:rsidRPr="003C5719" w:rsidRDefault="005E5F98" w:rsidP="004A27A8">
      <w:pPr>
        <w:spacing w:before="240" w:after="240"/>
        <w:jc w:val="center"/>
        <w:rPr>
          <w:i/>
        </w:rPr>
      </w:pPr>
      <w:r>
        <w:rPr>
          <w:i/>
        </w:rPr>
        <w:t>Competition and Consumer Act 2010</w:t>
      </w:r>
    </w:p>
    <w:p w14:paraId="3C92801C" w14:textId="68ECA8B5" w:rsidR="00F109D4" w:rsidRPr="003C5719" w:rsidRDefault="005E5F98" w:rsidP="004A27A8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 xml:space="preserve">Competition and Consumer (Price Inquiry—Child Care) </w:t>
      </w:r>
      <w:r w:rsidR="00F813AE">
        <w:rPr>
          <w:i/>
        </w:rPr>
        <w:t xml:space="preserve">Amendment </w:t>
      </w:r>
      <w:r>
        <w:rPr>
          <w:i/>
        </w:rPr>
        <w:t>Direction 202</w:t>
      </w:r>
      <w:r w:rsidR="00F813AE">
        <w:rPr>
          <w:i/>
        </w:rPr>
        <w:t>3</w:t>
      </w:r>
    </w:p>
    <w:p w14:paraId="5B4997A0" w14:textId="54D89C7F" w:rsidR="00892D3B" w:rsidRDefault="00C55D29" w:rsidP="004A27A8">
      <w:pPr>
        <w:spacing w:before="240"/>
      </w:pPr>
      <w:r w:rsidRPr="003C5719">
        <w:t xml:space="preserve">Section </w:t>
      </w:r>
      <w:r w:rsidR="005E5F98">
        <w:t>95H</w:t>
      </w:r>
      <w:r w:rsidR="005E4BAC" w:rsidRPr="003C5719">
        <w:t xml:space="preserve"> </w:t>
      </w:r>
      <w:r w:rsidR="00F109D4" w:rsidRPr="003C5719">
        <w:t xml:space="preserve">of the </w:t>
      </w:r>
      <w:r w:rsidR="005E5F98" w:rsidRPr="005E5F98">
        <w:rPr>
          <w:i/>
          <w:iCs/>
        </w:rPr>
        <w:t>Competition and Consumer Act 2010</w:t>
      </w:r>
      <w:r w:rsidR="00F109D4" w:rsidRPr="003C5719">
        <w:t xml:space="preserve"> (the Act) provides that the</w:t>
      </w:r>
      <w:r w:rsidR="005E5F98" w:rsidRPr="005E5F98">
        <w:t xml:space="preserve"> Minister may require the Australian Competition and Consumer Commission (ACCC) to hold an inquiry into a specified matter or matters.</w:t>
      </w:r>
    </w:p>
    <w:p w14:paraId="14F89552" w14:textId="461E4EA7" w:rsidR="00633B99" w:rsidRDefault="00633B99" w:rsidP="004A27A8">
      <w:pPr>
        <w:spacing w:before="240"/>
      </w:pPr>
      <w:r>
        <w:t xml:space="preserve">Subsection </w:t>
      </w:r>
      <w:r w:rsidR="00A73494">
        <w:t>95</w:t>
      </w:r>
      <w:proofErr w:type="gramStart"/>
      <w:r w:rsidR="00A73494">
        <w:t>J(</w:t>
      </w:r>
      <w:proofErr w:type="gramEnd"/>
      <w:r w:rsidR="00A73494">
        <w:t>6) provides that the Minister may give such directions as they think fit into the holding of the inquiry and matters to be taken into consideration of the inquiry.</w:t>
      </w:r>
    </w:p>
    <w:p w14:paraId="09171BDD" w14:textId="2C704266" w:rsidR="005E5F98" w:rsidRDefault="005E5F98" w:rsidP="004A27A8">
      <w:pPr>
        <w:spacing w:before="240"/>
      </w:pPr>
      <w:r>
        <w:t>On 28 October 2022</w:t>
      </w:r>
      <w:r w:rsidR="009A043C">
        <w:t>,</w:t>
      </w:r>
      <w:r w:rsidR="00C10DC0">
        <w:t xml:space="preserve"> </w:t>
      </w:r>
      <w:r w:rsidR="00C10DC0" w:rsidRPr="00C10DC0">
        <w:t xml:space="preserve">the Treasurer provided a direction to the </w:t>
      </w:r>
      <w:r w:rsidR="00C10DC0">
        <w:t xml:space="preserve">ACCC </w:t>
      </w:r>
      <w:r w:rsidR="00C10DC0" w:rsidRPr="00C10DC0">
        <w:t>under subsection</w:t>
      </w:r>
      <w:r w:rsidR="00F0143E">
        <w:t> </w:t>
      </w:r>
      <w:r w:rsidR="00C10DC0" w:rsidRPr="00C10DC0">
        <w:t>95</w:t>
      </w:r>
      <w:proofErr w:type="gramStart"/>
      <w:r w:rsidR="00C10DC0" w:rsidRPr="00C10DC0">
        <w:t>H(</w:t>
      </w:r>
      <w:proofErr w:type="gramEnd"/>
      <w:r w:rsidR="00C10DC0" w:rsidRPr="00C10DC0">
        <w:t>1) of the Act, requiring the ACCC to hold a</w:t>
      </w:r>
      <w:r w:rsidR="00C8251A">
        <w:t xml:space="preserve"> price</w:t>
      </w:r>
      <w:r w:rsidR="00C10DC0" w:rsidRPr="00C10DC0">
        <w:t xml:space="preserve"> inquiry into </w:t>
      </w:r>
      <w:r w:rsidR="005441E7">
        <w:t xml:space="preserve">approved </w:t>
      </w:r>
      <w:r w:rsidR="00C10DC0">
        <w:t>child care services</w:t>
      </w:r>
      <w:r w:rsidR="00C10DC0" w:rsidRPr="00C10DC0">
        <w:t xml:space="preserve"> and to provide an interim report to the Treasurer by no later than 3</w:t>
      </w:r>
      <w:r w:rsidR="00345C9E">
        <w:t>0</w:t>
      </w:r>
      <w:r w:rsidR="00580260">
        <w:t> </w:t>
      </w:r>
      <w:r w:rsidR="00345C9E">
        <w:t xml:space="preserve">June 2023 </w:t>
      </w:r>
      <w:r w:rsidR="00C10DC0" w:rsidRPr="00C10DC0">
        <w:t xml:space="preserve">and a final report to the Treasurer by no later than </w:t>
      </w:r>
      <w:r w:rsidR="00345C9E">
        <w:t>31 December 2023.</w:t>
      </w:r>
    </w:p>
    <w:p w14:paraId="78FDE5DD" w14:textId="3B4E569A" w:rsidR="00314936" w:rsidRDefault="004F03F4" w:rsidP="004A27A8">
      <w:pPr>
        <w:spacing w:before="240"/>
        <w:rPr>
          <w:i/>
        </w:rPr>
      </w:pPr>
      <w:r w:rsidRPr="003C5719">
        <w:t xml:space="preserve">The </w:t>
      </w:r>
      <w:r w:rsidR="00A73494">
        <w:rPr>
          <w:i/>
        </w:rPr>
        <w:t>Competition and Consumer (Price Inquiry—Child Care)</w:t>
      </w:r>
      <w:r w:rsidR="00B63E5E">
        <w:rPr>
          <w:i/>
        </w:rPr>
        <w:t xml:space="preserve"> Amendment</w:t>
      </w:r>
      <w:r w:rsidR="00A73494">
        <w:rPr>
          <w:i/>
        </w:rPr>
        <w:t xml:space="preserve"> Direction 2023 </w:t>
      </w:r>
      <w:r w:rsidR="00A73494">
        <w:rPr>
          <w:iCs/>
        </w:rPr>
        <w:t>(the</w:t>
      </w:r>
      <w:r w:rsidR="00E406AD">
        <w:rPr>
          <w:iCs/>
        </w:rPr>
        <w:t xml:space="preserve"> Amending</w:t>
      </w:r>
      <w:r w:rsidR="00A73494">
        <w:rPr>
          <w:iCs/>
        </w:rPr>
        <w:t xml:space="preserve"> Direction)</w:t>
      </w:r>
      <w:r w:rsidR="00907AC3">
        <w:rPr>
          <w:iCs/>
        </w:rPr>
        <w:t xml:space="preserve"> is made under subsection 95</w:t>
      </w:r>
      <w:proofErr w:type="gramStart"/>
      <w:r w:rsidR="00907AC3">
        <w:rPr>
          <w:iCs/>
        </w:rPr>
        <w:t>J(</w:t>
      </w:r>
      <w:proofErr w:type="gramEnd"/>
      <w:r w:rsidR="00907AC3">
        <w:rPr>
          <w:iCs/>
        </w:rPr>
        <w:t xml:space="preserve">6) of the Act and subsection 33(3) of the </w:t>
      </w:r>
      <w:r w:rsidR="00907AC3">
        <w:rPr>
          <w:i/>
        </w:rPr>
        <w:t>Acts Interpretation Act 1901.</w:t>
      </w:r>
    </w:p>
    <w:p w14:paraId="0BF73858" w14:textId="475D17C7" w:rsidR="006E3AB4" w:rsidRDefault="00907AC3" w:rsidP="004A27A8">
      <w:pPr>
        <w:spacing w:before="240"/>
      </w:pPr>
      <w:r>
        <w:rPr>
          <w:iCs/>
        </w:rPr>
        <w:t xml:space="preserve">The purpose of the </w:t>
      </w:r>
      <w:r w:rsidR="00770486">
        <w:rPr>
          <w:iCs/>
        </w:rPr>
        <w:t xml:space="preserve">Amending </w:t>
      </w:r>
      <w:r>
        <w:rPr>
          <w:iCs/>
        </w:rPr>
        <w:t>Direction</w:t>
      </w:r>
      <w:r w:rsidR="00A73494">
        <w:rPr>
          <w:iCs/>
        </w:rPr>
        <w:t xml:space="preserve"> </w:t>
      </w:r>
      <w:r w:rsidR="004F03F4" w:rsidRPr="003C5719">
        <w:t xml:space="preserve">is to </w:t>
      </w:r>
      <w:r w:rsidR="00A73494">
        <w:t xml:space="preserve">alter the interim report requirements for the </w:t>
      </w:r>
      <w:proofErr w:type="gramStart"/>
      <w:r w:rsidR="00A73494">
        <w:t>child care</w:t>
      </w:r>
      <w:proofErr w:type="gramEnd"/>
      <w:r w:rsidR="00A73494">
        <w:t xml:space="preserve"> price inquiry</w:t>
      </w:r>
      <w:r w:rsidR="004E3590">
        <w:t>.</w:t>
      </w:r>
    </w:p>
    <w:p w14:paraId="717CA3B6" w14:textId="1993314F" w:rsidR="00907AC3" w:rsidRDefault="00907AC3" w:rsidP="00907AC3">
      <w:pPr>
        <w:spacing w:before="240"/>
      </w:pPr>
      <w:r>
        <w:t>The</w:t>
      </w:r>
      <w:r w:rsidR="00F2666F">
        <w:t xml:space="preserve"> amendments at Schedule 1 to the Amending Direction provide that</w:t>
      </w:r>
      <w:r>
        <w:t xml:space="preserve"> ACCC must give the Treasurer a</w:t>
      </w:r>
      <w:r w:rsidR="006E1B2B">
        <w:t xml:space="preserve"> first</w:t>
      </w:r>
      <w:r w:rsidR="001C162D">
        <w:t xml:space="preserve"> interim report on the inquiry by 30 June 2023 and a second interim report on the inquiry by 30 September 2023</w:t>
      </w:r>
      <w:r>
        <w:t>.</w:t>
      </w:r>
    </w:p>
    <w:p w14:paraId="2E4BF03B" w14:textId="2F15455E" w:rsidR="00907AC3" w:rsidRDefault="00907AC3" w:rsidP="00907AC3">
      <w:pPr>
        <w:spacing w:before="240"/>
      </w:pPr>
      <w:r>
        <w:t xml:space="preserve">In accordance with section 17 of the </w:t>
      </w:r>
      <w:r w:rsidRPr="001C162D">
        <w:rPr>
          <w:i/>
          <w:iCs/>
        </w:rPr>
        <w:t>Legislation Act 2003</w:t>
      </w:r>
      <w:r>
        <w:t xml:space="preserve">, the ACCC has been consulted on the terms of the </w:t>
      </w:r>
      <w:r w:rsidR="00770486">
        <w:t xml:space="preserve">Amending </w:t>
      </w:r>
      <w:r>
        <w:t>Direction.</w:t>
      </w:r>
      <w:r w:rsidR="001C162D">
        <w:t xml:space="preserve"> </w:t>
      </w:r>
    </w:p>
    <w:p w14:paraId="22B23BC1" w14:textId="132708AB" w:rsidR="00907AC3" w:rsidRDefault="00907AC3" w:rsidP="00907AC3">
      <w:pPr>
        <w:spacing w:before="240"/>
      </w:pPr>
      <w:r>
        <w:t>The</w:t>
      </w:r>
      <w:r w:rsidR="00770486">
        <w:t xml:space="preserve"> Amending</w:t>
      </w:r>
      <w:r>
        <w:t xml:space="preserve"> Direction is a legislative instrument for the purposes of the </w:t>
      </w:r>
      <w:r w:rsidRPr="00907AC3">
        <w:rPr>
          <w:i/>
          <w:iCs/>
        </w:rPr>
        <w:t>Legislation</w:t>
      </w:r>
      <w:r w:rsidR="0074793B">
        <w:rPr>
          <w:i/>
          <w:iCs/>
        </w:rPr>
        <w:t> </w:t>
      </w:r>
      <w:r w:rsidRPr="00907AC3">
        <w:rPr>
          <w:i/>
          <w:iCs/>
        </w:rPr>
        <w:t>Act</w:t>
      </w:r>
      <w:r w:rsidR="0074793B">
        <w:rPr>
          <w:i/>
          <w:iCs/>
        </w:rPr>
        <w:t> </w:t>
      </w:r>
      <w:r w:rsidRPr="00907AC3">
        <w:rPr>
          <w:i/>
          <w:iCs/>
        </w:rPr>
        <w:t>2003</w:t>
      </w:r>
      <w:r>
        <w:t>.  In accordance with item 2 of the table in section 9 and item 3 of the table in section</w:t>
      </w:r>
      <w:r w:rsidR="00875A69">
        <w:t> </w:t>
      </w:r>
      <w:r>
        <w:t xml:space="preserve">11 of the </w:t>
      </w:r>
      <w:r w:rsidRPr="00907AC3">
        <w:rPr>
          <w:i/>
          <w:iCs/>
        </w:rPr>
        <w:t>Legislation (Exemptions and Other Matters) Regulation 2015</w:t>
      </w:r>
      <w:r>
        <w:t xml:space="preserve">, the instrument is not disallowable and does not sunset as it is a direction by a Minister to a person or body. It is appropriate that this instrument is not disallowable </w:t>
      </w:r>
      <w:r w:rsidR="0058779E">
        <w:t xml:space="preserve">or subject to sunsetting </w:t>
      </w:r>
      <w:r>
        <w:t>as it is a ministerial direction, and therefore executive control is intended.</w:t>
      </w:r>
    </w:p>
    <w:p w14:paraId="1DE32DD9" w14:textId="353A4050" w:rsidR="00907AC3" w:rsidRDefault="00907AC3" w:rsidP="00907AC3">
      <w:pPr>
        <w:spacing w:before="240"/>
      </w:pPr>
      <w:r>
        <w:t xml:space="preserve">The </w:t>
      </w:r>
      <w:r w:rsidR="00770486">
        <w:t xml:space="preserve">Amending </w:t>
      </w:r>
      <w:r>
        <w:t>Direction commences the day after the instrument is registered</w:t>
      </w:r>
      <w:r w:rsidR="00F86844">
        <w:t>.</w:t>
      </w:r>
    </w:p>
    <w:p w14:paraId="2F2A0A2C" w14:textId="5B84511A" w:rsidR="0000628C" w:rsidRDefault="00EB2AEF" w:rsidP="004A27A8">
      <w:pPr>
        <w:spacing w:before="240"/>
      </w:pPr>
      <w:r w:rsidRPr="003C5719">
        <w:t xml:space="preserve">A statement of Compatibility with Human Rights is at </w:t>
      </w:r>
      <w:r w:rsidRPr="003C5719">
        <w:rPr>
          <w:u w:val="single"/>
        </w:rPr>
        <w:t xml:space="preserve">Attachment </w:t>
      </w:r>
      <w:r w:rsidR="001C162D">
        <w:rPr>
          <w:u w:val="single"/>
        </w:rPr>
        <w:t>A</w:t>
      </w:r>
      <w:r w:rsidR="00CE4EFB" w:rsidRPr="003C5719">
        <w:rPr>
          <w:u w:val="single"/>
        </w:rPr>
        <w:t>.</w:t>
      </w:r>
    </w:p>
    <w:p w14:paraId="575C2869" w14:textId="5BA35185" w:rsidR="0093421F" w:rsidRPr="003C5719" w:rsidRDefault="007A55A7" w:rsidP="0093421F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1C162D">
        <w:rPr>
          <w:b/>
          <w:u w:val="single"/>
        </w:rPr>
        <w:t>A</w:t>
      </w:r>
    </w:p>
    <w:p w14:paraId="05BA987A" w14:textId="77777777" w:rsidR="00E4438C" w:rsidRPr="003C5719" w:rsidRDefault="00E4438C" w:rsidP="00883863">
      <w:pPr>
        <w:pStyle w:val="Heading3"/>
        <w:jc w:val="center"/>
      </w:pPr>
      <w:r w:rsidRPr="003C5719">
        <w:t>Statement of Compatibility with Human Rights</w:t>
      </w:r>
    </w:p>
    <w:p w14:paraId="62782A81" w14:textId="77777777" w:rsidR="00E4438C" w:rsidRPr="003C5719" w:rsidRDefault="00E4438C" w:rsidP="004A27A8">
      <w:pPr>
        <w:spacing w:before="240"/>
        <w:jc w:val="center"/>
        <w:rPr>
          <w:i/>
        </w:rPr>
      </w:pPr>
      <w:r w:rsidRPr="003C5719">
        <w:rPr>
          <w:i/>
        </w:rPr>
        <w:t>Prepared in accordance with Part 3 of the Human Rights (Parliamentary Scrutiny) Act</w:t>
      </w:r>
      <w:r w:rsidR="00466731">
        <w:rPr>
          <w:i/>
        </w:rPr>
        <w:t> </w:t>
      </w:r>
      <w:r w:rsidRPr="003C5719">
        <w:rPr>
          <w:i/>
        </w:rPr>
        <w:t>2011</w:t>
      </w:r>
    </w:p>
    <w:p w14:paraId="37037AD2" w14:textId="5DF4CA91" w:rsidR="00E4438C" w:rsidRPr="003C5719" w:rsidRDefault="006D5CF6" w:rsidP="004A27A8">
      <w:pPr>
        <w:pStyle w:val="Heading3"/>
        <w:jc w:val="center"/>
      </w:pPr>
      <w:r>
        <w:t>Competition and Consumer (Price Inquiry—Child Care) Amendment Direction 2023</w:t>
      </w:r>
    </w:p>
    <w:p w14:paraId="1B8B899B" w14:textId="77777777" w:rsidR="00E4438C" w:rsidRPr="003C5719" w:rsidRDefault="00E4438C" w:rsidP="004A27A8">
      <w:pPr>
        <w:spacing w:before="240"/>
      </w:pPr>
      <w:r w:rsidRPr="003C5719">
        <w:t xml:space="preserve">This Legislative Instrument is compatible with the human rights and freedoms recognised or declared in the international instruments listed in section 3 of the </w:t>
      </w:r>
      <w:r w:rsidRPr="003C5719">
        <w:rPr>
          <w:i/>
        </w:rPr>
        <w:t>Human Rights (Parliamentary Scrutiny) Act 2011</w:t>
      </w:r>
      <w:r w:rsidRPr="003C5719">
        <w:t>.</w:t>
      </w:r>
    </w:p>
    <w:p w14:paraId="532AC571" w14:textId="77777777" w:rsidR="00E4438C" w:rsidRPr="003C5719" w:rsidRDefault="00E4438C" w:rsidP="004A27A8">
      <w:pPr>
        <w:pStyle w:val="Heading3"/>
      </w:pPr>
      <w:r w:rsidRPr="003C5719">
        <w:t>Overview of the Legislative Instrument</w:t>
      </w:r>
    </w:p>
    <w:p w14:paraId="2AE55A7E" w14:textId="7D584E6A" w:rsidR="00E4438C" w:rsidRDefault="009A043C" w:rsidP="004A27A8">
      <w:pPr>
        <w:spacing w:before="240"/>
      </w:pPr>
      <w:r w:rsidRPr="003C5719">
        <w:t xml:space="preserve">Section </w:t>
      </w:r>
      <w:r>
        <w:t>95H</w:t>
      </w:r>
      <w:r w:rsidRPr="003C5719">
        <w:t xml:space="preserve"> of the </w:t>
      </w:r>
      <w:r w:rsidRPr="005E5F98">
        <w:rPr>
          <w:i/>
          <w:iCs/>
        </w:rPr>
        <w:t>Competition and Consumer Act 2010</w:t>
      </w:r>
      <w:r w:rsidRPr="003C5719">
        <w:t xml:space="preserve"> (the Act) provides that the</w:t>
      </w:r>
      <w:r w:rsidRPr="005E5F98">
        <w:t xml:space="preserve"> Minister may require the Australian Competition and Consumer Commission (ACCC) to hold an inquiry into a specified matter or matters.</w:t>
      </w:r>
    </w:p>
    <w:p w14:paraId="4E95FAFB" w14:textId="67783FCF" w:rsidR="009A043C" w:rsidRDefault="009A043C" w:rsidP="004A27A8">
      <w:pPr>
        <w:spacing w:before="240"/>
      </w:pPr>
      <w:r>
        <w:t xml:space="preserve">On 28 October 2022, </w:t>
      </w:r>
      <w:r w:rsidRPr="00C10DC0">
        <w:t xml:space="preserve">the Treasurer provided a direction to the </w:t>
      </w:r>
      <w:r>
        <w:t xml:space="preserve">ACCC </w:t>
      </w:r>
      <w:r w:rsidRPr="00C10DC0">
        <w:t>under subsection</w:t>
      </w:r>
      <w:r w:rsidR="008000CE">
        <w:t> </w:t>
      </w:r>
      <w:r w:rsidRPr="00C10DC0">
        <w:t>95</w:t>
      </w:r>
      <w:proofErr w:type="gramStart"/>
      <w:r w:rsidRPr="00C10DC0">
        <w:t>H(</w:t>
      </w:r>
      <w:proofErr w:type="gramEnd"/>
      <w:r w:rsidRPr="00C10DC0">
        <w:t xml:space="preserve">1) of the Act, requiring the ACCC to hold an inquiry into </w:t>
      </w:r>
      <w:r>
        <w:t>the market for the supply of child care services</w:t>
      </w:r>
      <w:r w:rsidRPr="00C10DC0">
        <w:t>.</w:t>
      </w:r>
    </w:p>
    <w:p w14:paraId="5BD3CD33" w14:textId="0B34C5F0" w:rsidR="009A043C" w:rsidRDefault="009A043C" w:rsidP="009A043C">
      <w:pPr>
        <w:spacing w:before="240"/>
      </w:pPr>
      <w:r w:rsidRPr="003C5719">
        <w:t xml:space="preserve">The </w:t>
      </w:r>
      <w:r>
        <w:rPr>
          <w:i/>
        </w:rPr>
        <w:t xml:space="preserve">Competition and Consumer Amendment (Price Inquiry—Child Care) Direction 2023 </w:t>
      </w:r>
      <w:r>
        <w:rPr>
          <w:iCs/>
        </w:rPr>
        <w:t xml:space="preserve">(the Amending Direction) </w:t>
      </w:r>
      <w:r>
        <w:t>alters the interim report requirements for the child care price inquiry.</w:t>
      </w:r>
    </w:p>
    <w:p w14:paraId="6C98CB49" w14:textId="059A1351" w:rsidR="009A043C" w:rsidRDefault="009A043C" w:rsidP="009A043C">
      <w:pPr>
        <w:spacing w:before="240"/>
      </w:pPr>
      <w:r>
        <w:t>The amendments at Schedule 1 to the Amending Direction provide that ACCC must give the Treasurer a</w:t>
      </w:r>
      <w:r w:rsidR="00F93445">
        <w:t xml:space="preserve"> first</w:t>
      </w:r>
      <w:r>
        <w:t xml:space="preserve"> interim report on the inquiry by 30 June 2023 and a second interim report on the inquiry by 30 September 2023.</w:t>
      </w:r>
    </w:p>
    <w:p w14:paraId="4E94C404" w14:textId="77777777" w:rsidR="00EB2BED" w:rsidRDefault="00E4438C" w:rsidP="004A27A8">
      <w:pPr>
        <w:pStyle w:val="Heading3"/>
      </w:pPr>
      <w:r w:rsidRPr="003C5719">
        <w:t>Human rights implications</w:t>
      </w:r>
      <w:r w:rsidR="006B520A">
        <w:t xml:space="preserve"> </w:t>
      </w:r>
    </w:p>
    <w:p w14:paraId="304428CB" w14:textId="130BF611" w:rsidR="00E4438C" w:rsidRPr="003C5719" w:rsidRDefault="00454E2D" w:rsidP="004A27A8">
      <w:pPr>
        <w:spacing w:before="240"/>
      </w:pPr>
      <w:r>
        <w:t>This Legislative Instrument does not engage any of the applicable rights or freedoms.</w:t>
      </w:r>
      <w:r w:rsidR="00F24736">
        <w:t xml:space="preserve"> </w:t>
      </w:r>
    </w:p>
    <w:p w14:paraId="41DDB456" w14:textId="77777777" w:rsidR="00EB2BED" w:rsidRDefault="00E4438C" w:rsidP="004A27A8">
      <w:pPr>
        <w:pStyle w:val="Heading3"/>
      </w:pPr>
      <w:r w:rsidRPr="003C5719">
        <w:t>Conclusion</w:t>
      </w:r>
      <w:r w:rsidR="006D60D0">
        <w:t xml:space="preserve"> </w:t>
      </w:r>
    </w:p>
    <w:p w14:paraId="73FB507E" w14:textId="27CA8BC5" w:rsidR="00E37FF7" w:rsidRPr="00C84FA0" w:rsidRDefault="00B91ECE" w:rsidP="004A27A8">
      <w:pPr>
        <w:spacing w:before="240"/>
      </w:pPr>
      <w:r>
        <w:t>This Legislative Instrument is compatible with human rights as it does not raise any human rights issues.</w:t>
      </w:r>
      <w:r w:rsidR="007A57BC">
        <w:t xml:space="preserve"> </w:t>
      </w:r>
    </w:p>
    <w:sectPr w:rsidR="00E37FF7" w:rsidRPr="00C84FA0" w:rsidSect="004A27A8">
      <w:footerReference w:type="default" r:id="rId12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96D4" w14:textId="77777777" w:rsidR="00976D7D" w:rsidRDefault="00976D7D" w:rsidP="00954679">
      <w:pPr>
        <w:spacing w:before="0" w:after="0"/>
      </w:pPr>
      <w:r>
        <w:separator/>
      </w:r>
    </w:p>
  </w:endnote>
  <w:endnote w:type="continuationSeparator" w:id="0">
    <w:p w14:paraId="7683D238" w14:textId="77777777" w:rsidR="00976D7D" w:rsidRDefault="00976D7D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24EB4CE8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9703" w14:textId="77777777" w:rsidR="00976D7D" w:rsidRDefault="00976D7D" w:rsidP="00954679">
      <w:pPr>
        <w:spacing w:before="0" w:after="0"/>
      </w:pPr>
      <w:r>
        <w:separator/>
      </w:r>
    </w:p>
  </w:footnote>
  <w:footnote w:type="continuationSeparator" w:id="0">
    <w:p w14:paraId="52C60DAC" w14:textId="77777777" w:rsidR="00976D7D" w:rsidRDefault="00976D7D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67A43C0B"/>
    <w:multiLevelType w:val="multilevel"/>
    <w:tmpl w:val="BE429E3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2"/>
  </w:num>
  <w:num w:numId="2" w16cid:durableId="92435628">
    <w:abstractNumId w:val="3"/>
  </w:num>
  <w:num w:numId="3" w16cid:durableId="102648425">
    <w:abstractNumId w:val="1"/>
  </w:num>
  <w:num w:numId="4" w16cid:durableId="1451314351">
    <w:abstractNumId w:val="0"/>
  </w:num>
  <w:num w:numId="5" w16cid:durableId="1455824937">
    <w:abstractNumId w:val="3"/>
  </w:num>
  <w:num w:numId="6" w16cid:durableId="2012178582">
    <w:abstractNumId w:val="3"/>
  </w:num>
  <w:num w:numId="7" w16cid:durableId="1173374635">
    <w:abstractNumId w:val="3"/>
  </w:num>
  <w:num w:numId="8" w16cid:durableId="1074162301">
    <w:abstractNumId w:val="3"/>
  </w:num>
  <w:num w:numId="9" w16cid:durableId="1206795025">
    <w:abstractNumId w:val="3"/>
  </w:num>
  <w:num w:numId="10" w16cid:durableId="474571849">
    <w:abstractNumId w:val="3"/>
  </w:num>
  <w:num w:numId="11" w16cid:durableId="890385033">
    <w:abstractNumId w:val="3"/>
  </w:num>
  <w:num w:numId="12" w16cid:durableId="392780191">
    <w:abstractNumId w:val="3"/>
  </w:num>
  <w:num w:numId="13" w16cid:durableId="1793669345">
    <w:abstractNumId w:val="3"/>
  </w:num>
  <w:num w:numId="14" w16cid:durableId="2085832638">
    <w:abstractNumId w:val="3"/>
  </w:num>
  <w:num w:numId="15" w16cid:durableId="724838217">
    <w:abstractNumId w:val="3"/>
  </w:num>
  <w:num w:numId="16" w16cid:durableId="95139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98"/>
    <w:rsid w:val="000026BE"/>
    <w:rsid w:val="00003189"/>
    <w:rsid w:val="00005B51"/>
    <w:rsid w:val="0000628C"/>
    <w:rsid w:val="00013390"/>
    <w:rsid w:val="00016EA2"/>
    <w:rsid w:val="0002546A"/>
    <w:rsid w:val="00031AE1"/>
    <w:rsid w:val="00041C87"/>
    <w:rsid w:val="000455BA"/>
    <w:rsid w:val="00051648"/>
    <w:rsid w:val="000524A9"/>
    <w:rsid w:val="0005316A"/>
    <w:rsid w:val="000547DB"/>
    <w:rsid w:val="00072BEB"/>
    <w:rsid w:val="00075A77"/>
    <w:rsid w:val="00076178"/>
    <w:rsid w:val="00076E15"/>
    <w:rsid w:val="00076FF9"/>
    <w:rsid w:val="00080673"/>
    <w:rsid w:val="000854E0"/>
    <w:rsid w:val="0008741E"/>
    <w:rsid w:val="00095211"/>
    <w:rsid w:val="000A69C5"/>
    <w:rsid w:val="000B39A1"/>
    <w:rsid w:val="000C10DF"/>
    <w:rsid w:val="000C2E12"/>
    <w:rsid w:val="000C3ECC"/>
    <w:rsid w:val="000C4B61"/>
    <w:rsid w:val="000C5C40"/>
    <w:rsid w:val="000C6935"/>
    <w:rsid w:val="000D11E5"/>
    <w:rsid w:val="000D2234"/>
    <w:rsid w:val="000D5827"/>
    <w:rsid w:val="000D59B4"/>
    <w:rsid w:val="000E32E3"/>
    <w:rsid w:val="000F1F12"/>
    <w:rsid w:val="000F3A05"/>
    <w:rsid w:val="000F53D9"/>
    <w:rsid w:val="001012C2"/>
    <w:rsid w:val="00113B45"/>
    <w:rsid w:val="00114003"/>
    <w:rsid w:val="0011527C"/>
    <w:rsid w:val="00117C02"/>
    <w:rsid w:val="001276B4"/>
    <w:rsid w:val="001319C8"/>
    <w:rsid w:val="001331B7"/>
    <w:rsid w:val="00133D7A"/>
    <w:rsid w:val="00142BCF"/>
    <w:rsid w:val="0014608E"/>
    <w:rsid w:val="00172B5A"/>
    <w:rsid w:val="00187857"/>
    <w:rsid w:val="00195A29"/>
    <w:rsid w:val="001B4919"/>
    <w:rsid w:val="001B7535"/>
    <w:rsid w:val="001B7EC2"/>
    <w:rsid w:val="001C0477"/>
    <w:rsid w:val="001C162D"/>
    <w:rsid w:val="001E6A74"/>
    <w:rsid w:val="001F41D0"/>
    <w:rsid w:val="001F462C"/>
    <w:rsid w:val="00220F16"/>
    <w:rsid w:val="00221082"/>
    <w:rsid w:val="00231837"/>
    <w:rsid w:val="002349A0"/>
    <w:rsid w:val="00240D31"/>
    <w:rsid w:val="0024245F"/>
    <w:rsid w:val="00254C5B"/>
    <w:rsid w:val="0027118E"/>
    <w:rsid w:val="002725F4"/>
    <w:rsid w:val="002771E5"/>
    <w:rsid w:val="00277840"/>
    <w:rsid w:val="00287C5A"/>
    <w:rsid w:val="00293839"/>
    <w:rsid w:val="002A1236"/>
    <w:rsid w:val="002A3C80"/>
    <w:rsid w:val="002A6DA4"/>
    <w:rsid w:val="002A7B74"/>
    <w:rsid w:val="002A7E1F"/>
    <w:rsid w:val="002C0792"/>
    <w:rsid w:val="002C0A5A"/>
    <w:rsid w:val="002C226C"/>
    <w:rsid w:val="002C3EE2"/>
    <w:rsid w:val="002C7A8B"/>
    <w:rsid w:val="002D4B55"/>
    <w:rsid w:val="002E73BB"/>
    <w:rsid w:val="002F022D"/>
    <w:rsid w:val="002F6BB1"/>
    <w:rsid w:val="003037F8"/>
    <w:rsid w:val="003041FA"/>
    <w:rsid w:val="00312A68"/>
    <w:rsid w:val="00314936"/>
    <w:rsid w:val="003342CD"/>
    <w:rsid w:val="0033477F"/>
    <w:rsid w:val="00335042"/>
    <w:rsid w:val="00341642"/>
    <w:rsid w:val="00345C9E"/>
    <w:rsid w:val="00355872"/>
    <w:rsid w:val="00357733"/>
    <w:rsid w:val="00360C0A"/>
    <w:rsid w:val="00362B70"/>
    <w:rsid w:val="00364DEE"/>
    <w:rsid w:val="00370395"/>
    <w:rsid w:val="0037180D"/>
    <w:rsid w:val="00373853"/>
    <w:rsid w:val="00392BBA"/>
    <w:rsid w:val="00392C0C"/>
    <w:rsid w:val="003954FD"/>
    <w:rsid w:val="003B19DD"/>
    <w:rsid w:val="003B31F4"/>
    <w:rsid w:val="003B4356"/>
    <w:rsid w:val="003B56FD"/>
    <w:rsid w:val="003C445C"/>
    <w:rsid w:val="003C5719"/>
    <w:rsid w:val="003C7907"/>
    <w:rsid w:val="003C7B82"/>
    <w:rsid w:val="003D0B99"/>
    <w:rsid w:val="003D392B"/>
    <w:rsid w:val="003D60D7"/>
    <w:rsid w:val="003E0411"/>
    <w:rsid w:val="003E1C8F"/>
    <w:rsid w:val="003E1CE3"/>
    <w:rsid w:val="003E77BC"/>
    <w:rsid w:val="003F17A4"/>
    <w:rsid w:val="003F3B86"/>
    <w:rsid w:val="004000AE"/>
    <w:rsid w:val="004049A9"/>
    <w:rsid w:val="00412BB6"/>
    <w:rsid w:val="00436952"/>
    <w:rsid w:val="00454E2D"/>
    <w:rsid w:val="004577E7"/>
    <w:rsid w:val="00462095"/>
    <w:rsid w:val="00464356"/>
    <w:rsid w:val="00466731"/>
    <w:rsid w:val="00466DD5"/>
    <w:rsid w:val="00467E83"/>
    <w:rsid w:val="0047265F"/>
    <w:rsid w:val="00473B71"/>
    <w:rsid w:val="004755FE"/>
    <w:rsid w:val="00482B81"/>
    <w:rsid w:val="00482D4C"/>
    <w:rsid w:val="00483475"/>
    <w:rsid w:val="004838E4"/>
    <w:rsid w:val="0048463A"/>
    <w:rsid w:val="00490404"/>
    <w:rsid w:val="00492BF6"/>
    <w:rsid w:val="004A10CE"/>
    <w:rsid w:val="004A1638"/>
    <w:rsid w:val="004A27A8"/>
    <w:rsid w:val="004A3018"/>
    <w:rsid w:val="004A4499"/>
    <w:rsid w:val="004B3C0F"/>
    <w:rsid w:val="004B4A3C"/>
    <w:rsid w:val="004C05E4"/>
    <w:rsid w:val="004C28DF"/>
    <w:rsid w:val="004D4AE5"/>
    <w:rsid w:val="004E2DB1"/>
    <w:rsid w:val="004E2EE7"/>
    <w:rsid w:val="004E3590"/>
    <w:rsid w:val="004E39E1"/>
    <w:rsid w:val="004F00BA"/>
    <w:rsid w:val="004F011F"/>
    <w:rsid w:val="004F03F4"/>
    <w:rsid w:val="004F4C00"/>
    <w:rsid w:val="004F56D0"/>
    <w:rsid w:val="0050235E"/>
    <w:rsid w:val="00503A99"/>
    <w:rsid w:val="00503E44"/>
    <w:rsid w:val="0050777E"/>
    <w:rsid w:val="00513FE8"/>
    <w:rsid w:val="0051429B"/>
    <w:rsid w:val="00515283"/>
    <w:rsid w:val="005227CE"/>
    <w:rsid w:val="005231C5"/>
    <w:rsid w:val="00533926"/>
    <w:rsid w:val="00537FB7"/>
    <w:rsid w:val="005411D1"/>
    <w:rsid w:val="00542873"/>
    <w:rsid w:val="005441E7"/>
    <w:rsid w:val="0055675D"/>
    <w:rsid w:val="005573C4"/>
    <w:rsid w:val="00566E8F"/>
    <w:rsid w:val="005709DE"/>
    <w:rsid w:val="005726BA"/>
    <w:rsid w:val="00573FFC"/>
    <w:rsid w:val="0057422E"/>
    <w:rsid w:val="00580260"/>
    <w:rsid w:val="005833BE"/>
    <w:rsid w:val="005858FB"/>
    <w:rsid w:val="0058779E"/>
    <w:rsid w:val="0059302A"/>
    <w:rsid w:val="005A2572"/>
    <w:rsid w:val="005B3AF1"/>
    <w:rsid w:val="005C032C"/>
    <w:rsid w:val="005C73D6"/>
    <w:rsid w:val="005D2168"/>
    <w:rsid w:val="005D7D5A"/>
    <w:rsid w:val="005D7E35"/>
    <w:rsid w:val="005E4792"/>
    <w:rsid w:val="005E4BAC"/>
    <w:rsid w:val="005E580A"/>
    <w:rsid w:val="005E5F98"/>
    <w:rsid w:val="005F0ABE"/>
    <w:rsid w:val="005F1BC2"/>
    <w:rsid w:val="0060130D"/>
    <w:rsid w:val="00606671"/>
    <w:rsid w:val="006100E5"/>
    <w:rsid w:val="00612329"/>
    <w:rsid w:val="006137A6"/>
    <w:rsid w:val="00613B16"/>
    <w:rsid w:val="00615574"/>
    <w:rsid w:val="00623F9C"/>
    <w:rsid w:val="006243C6"/>
    <w:rsid w:val="00630893"/>
    <w:rsid w:val="00633B99"/>
    <w:rsid w:val="0064129F"/>
    <w:rsid w:val="0064309D"/>
    <w:rsid w:val="00647BB7"/>
    <w:rsid w:val="00660F56"/>
    <w:rsid w:val="006711DF"/>
    <w:rsid w:val="00680297"/>
    <w:rsid w:val="0068046D"/>
    <w:rsid w:val="00680871"/>
    <w:rsid w:val="00683956"/>
    <w:rsid w:val="006873CE"/>
    <w:rsid w:val="0069205F"/>
    <w:rsid w:val="006A0786"/>
    <w:rsid w:val="006A11D6"/>
    <w:rsid w:val="006B520A"/>
    <w:rsid w:val="006B523A"/>
    <w:rsid w:val="006C170A"/>
    <w:rsid w:val="006D10EC"/>
    <w:rsid w:val="006D478B"/>
    <w:rsid w:val="006D4DAA"/>
    <w:rsid w:val="006D5CF6"/>
    <w:rsid w:val="006D60D0"/>
    <w:rsid w:val="006D672B"/>
    <w:rsid w:val="006E04DB"/>
    <w:rsid w:val="006E0852"/>
    <w:rsid w:val="006E0CBA"/>
    <w:rsid w:val="006E1B2B"/>
    <w:rsid w:val="006E3AB4"/>
    <w:rsid w:val="006E6321"/>
    <w:rsid w:val="006F06C1"/>
    <w:rsid w:val="006F683C"/>
    <w:rsid w:val="006F6C2A"/>
    <w:rsid w:val="006F74AB"/>
    <w:rsid w:val="0070169C"/>
    <w:rsid w:val="00701F57"/>
    <w:rsid w:val="00704CCA"/>
    <w:rsid w:val="00705091"/>
    <w:rsid w:val="00705171"/>
    <w:rsid w:val="007053B0"/>
    <w:rsid w:val="00710E94"/>
    <w:rsid w:val="00727D8A"/>
    <w:rsid w:val="00730DA8"/>
    <w:rsid w:val="00731FEA"/>
    <w:rsid w:val="007323F4"/>
    <w:rsid w:val="00735921"/>
    <w:rsid w:val="0073599B"/>
    <w:rsid w:val="00736F61"/>
    <w:rsid w:val="0074185E"/>
    <w:rsid w:val="00742253"/>
    <w:rsid w:val="007436F0"/>
    <w:rsid w:val="0074422A"/>
    <w:rsid w:val="0074728E"/>
    <w:rsid w:val="0074793B"/>
    <w:rsid w:val="00757B95"/>
    <w:rsid w:val="007662C7"/>
    <w:rsid w:val="00770486"/>
    <w:rsid w:val="00772FAF"/>
    <w:rsid w:val="00776306"/>
    <w:rsid w:val="007816E2"/>
    <w:rsid w:val="007A1887"/>
    <w:rsid w:val="007A33F8"/>
    <w:rsid w:val="007A55A7"/>
    <w:rsid w:val="007A57BC"/>
    <w:rsid w:val="007B1F10"/>
    <w:rsid w:val="007B2143"/>
    <w:rsid w:val="007B335E"/>
    <w:rsid w:val="007B4A9D"/>
    <w:rsid w:val="007C137D"/>
    <w:rsid w:val="007C1B25"/>
    <w:rsid w:val="007C7D64"/>
    <w:rsid w:val="007D6771"/>
    <w:rsid w:val="007E018D"/>
    <w:rsid w:val="007E697B"/>
    <w:rsid w:val="007E6A45"/>
    <w:rsid w:val="007F1B71"/>
    <w:rsid w:val="008000CE"/>
    <w:rsid w:val="0080320B"/>
    <w:rsid w:val="00807E7D"/>
    <w:rsid w:val="008145BA"/>
    <w:rsid w:val="008249BE"/>
    <w:rsid w:val="00831675"/>
    <w:rsid w:val="00833654"/>
    <w:rsid w:val="008404AD"/>
    <w:rsid w:val="00844849"/>
    <w:rsid w:val="00845A80"/>
    <w:rsid w:val="008552D6"/>
    <w:rsid w:val="00855DA3"/>
    <w:rsid w:val="00860BB5"/>
    <w:rsid w:val="00862443"/>
    <w:rsid w:val="00875A69"/>
    <w:rsid w:val="00877071"/>
    <w:rsid w:val="008779B4"/>
    <w:rsid w:val="00877A2F"/>
    <w:rsid w:val="0088138D"/>
    <w:rsid w:val="00883863"/>
    <w:rsid w:val="0088467C"/>
    <w:rsid w:val="008853B9"/>
    <w:rsid w:val="00885AA3"/>
    <w:rsid w:val="00891F21"/>
    <w:rsid w:val="00892D3B"/>
    <w:rsid w:val="00894579"/>
    <w:rsid w:val="008A2BDB"/>
    <w:rsid w:val="008A5B67"/>
    <w:rsid w:val="008A5CCD"/>
    <w:rsid w:val="008A6A6D"/>
    <w:rsid w:val="008B29E7"/>
    <w:rsid w:val="008B2C4E"/>
    <w:rsid w:val="008B33DF"/>
    <w:rsid w:val="008B5C0B"/>
    <w:rsid w:val="008C2216"/>
    <w:rsid w:val="008D07E2"/>
    <w:rsid w:val="008D16F7"/>
    <w:rsid w:val="008D40FA"/>
    <w:rsid w:val="008D4835"/>
    <w:rsid w:val="008E1427"/>
    <w:rsid w:val="008E52C7"/>
    <w:rsid w:val="008E5A1D"/>
    <w:rsid w:val="008F0C50"/>
    <w:rsid w:val="008F2529"/>
    <w:rsid w:val="008F778A"/>
    <w:rsid w:val="00902ED6"/>
    <w:rsid w:val="0090320B"/>
    <w:rsid w:val="00906037"/>
    <w:rsid w:val="00907AC3"/>
    <w:rsid w:val="0091280A"/>
    <w:rsid w:val="009143A0"/>
    <w:rsid w:val="00921B5A"/>
    <w:rsid w:val="00925124"/>
    <w:rsid w:val="00925635"/>
    <w:rsid w:val="00927C59"/>
    <w:rsid w:val="00931881"/>
    <w:rsid w:val="0093421F"/>
    <w:rsid w:val="00936902"/>
    <w:rsid w:val="00942170"/>
    <w:rsid w:val="0094486D"/>
    <w:rsid w:val="00950E58"/>
    <w:rsid w:val="00952DF0"/>
    <w:rsid w:val="00954679"/>
    <w:rsid w:val="009552FE"/>
    <w:rsid w:val="00955673"/>
    <w:rsid w:val="009562E9"/>
    <w:rsid w:val="009655DA"/>
    <w:rsid w:val="00965BBC"/>
    <w:rsid w:val="009673D0"/>
    <w:rsid w:val="00972823"/>
    <w:rsid w:val="00974996"/>
    <w:rsid w:val="00976D7D"/>
    <w:rsid w:val="0098737D"/>
    <w:rsid w:val="00990BE6"/>
    <w:rsid w:val="009A043C"/>
    <w:rsid w:val="009A2167"/>
    <w:rsid w:val="009A49F0"/>
    <w:rsid w:val="009A5307"/>
    <w:rsid w:val="009B7A38"/>
    <w:rsid w:val="009C0051"/>
    <w:rsid w:val="009C6A1E"/>
    <w:rsid w:val="009D2F0C"/>
    <w:rsid w:val="009D477C"/>
    <w:rsid w:val="009E27A5"/>
    <w:rsid w:val="009E2F86"/>
    <w:rsid w:val="00A12209"/>
    <w:rsid w:val="00A31484"/>
    <w:rsid w:val="00A31681"/>
    <w:rsid w:val="00A34CA4"/>
    <w:rsid w:val="00A36DF3"/>
    <w:rsid w:val="00A4441D"/>
    <w:rsid w:val="00A532DD"/>
    <w:rsid w:val="00A5522E"/>
    <w:rsid w:val="00A649B6"/>
    <w:rsid w:val="00A73494"/>
    <w:rsid w:val="00A74B90"/>
    <w:rsid w:val="00A760F0"/>
    <w:rsid w:val="00A80BCF"/>
    <w:rsid w:val="00A825D1"/>
    <w:rsid w:val="00A8369C"/>
    <w:rsid w:val="00A86579"/>
    <w:rsid w:val="00A90212"/>
    <w:rsid w:val="00A90CC4"/>
    <w:rsid w:val="00A926B2"/>
    <w:rsid w:val="00A9401D"/>
    <w:rsid w:val="00AA1689"/>
    <w:rsid w:val="00AA496F"/>
    <w:rsid w:val="00AA5770"/>
    <w:rsid w:val="00AA70DB"/>
    <w:rsid w:val="00AB2E70"/>
    <w:rsid w:val="00AB33C1"/>
    <w:rsid w:val="00AB3E03"/>
    <w:rsid w:val="00AC1D15"/>
    <w:rsid w:val="00AD44C6"/>
    <w:rsid w:val="00AE2EC5"/>
    <w:rsid w:val="00AE460D"/>
    <w:rsid w:val="00AE7F82"/>
    <w:rsid w:val="00AF7AEF"/>
    <w:rsid w:val="00B07B0C"/>
    <w:rsid w:val="00B120F9"/>
    <w:rsid w:val="00B23CDB"/>
    <w:rsid w:val="00B25563"/>
    <w:rsid w:val="00B26D48"/>
    <w:rsid w:val="00B27487"/>
    <w:rsid w:val="00B2789F"/>
    <w:rsid w:val="00B40949"/>
    <w:rsid w:val="00B40D80"/>
    <w:rsid w:val="00B41F7B"/>
    <w:rsid w:val="00B42EE1"/>
    <w:rsid w:val="00B47A59"/>
    <w:rsid w:val="00B5349B"/>
    <w:rsid w:val="00B5649C"/>
    <w:rsid w:val="00B63E5E"/>
    <w:rsid w:val="00B7138A"/>
    <w:rsid w:val="00B8293D"/>
    <w:rsid w:val="00B87A49"/>
    <w:rsid w:val="00B91ECE"/>
    <w:rsid w:val="00B92478"/>
    <w:rsid w:val="00B943FB"/>
    <w:rsid w:val="00B97463"/>
    <w:rsid w:val="00BA13A1"/>
    <w:rsid w:val="00BA25B4"/>
    <w:rsid w:val="00BA6188"/>
    <w:rsid w:val="00BB608E"/>
    <w:rsid w:val="00BB7567"/>
    <w:rsid w:val="00BC361A"/>
    <w:rsid w:val="00BC68C2"/>
    <w:rsid w:val="00BD2045"/>
    <w:rsid w:val="00BD3450"/>
    <w:rsid w:val="00BD3D7D"/>
    <w:rsid w:val="00BD49F7"/>
    <w:rsid w:val="00BD61A2"/>
    <w:rsid w:val="00BE484D"/>
    <w:rsid w:val="00BE6DED"/>
    <w:rsid w:val="00BF2596"/>
    <w:rsid w:val="00C00B11"/>
    <w:rsid w:val="00C10DC0"/>
    <w:rsid w:val="00C24EDE"/>
    <w:rsid w:val="00C37E05"/>
    <w:rsid w:val="00C4270A"/>
    <w:rsid w:val="00C47789"/>
    <w:rsid w:val="00C52172"/>
    <w:rsid w:val="00C55D29"/>
    <w:rsid w:val="00C56F2E"/>
    <w:rsid w:val="00C62B3A"/>
    <w:rsid w:val="00C8251A"/>
    <w:rsid w:val="00C83DB6"/>
    <w:rsid w:val="00C84FA0"/>
    <w:rsid w:val="00C86F6D"/>
    <w:rsid w:val="00C948D8"/>
    <w:rsid w:val="00CA0BE9"/>
    <w:rsid w:val="00CA138D"/>
    <w:rsid w:val="00CA57D9"/>
    <w:rsid w:val="00CA5D67"/>
    <w:rsid w:val="00CB684F"/>
    <w:rsid w:val="00CC220F"/>
    <w:rsid w:val="00CC2AFE"/>
    <w:rsid w:val="00CC7641"/>
    <w:rsid w:val="00CE0B46"/>
    <w:rsid w:val="00CE4EFB"/>
    <w:rsid w:val="00CE7D19"/>
    <w:rsid w:val="00CF0681"/>
    <w:rsid w:val="00CF2515"/>
    <w:rsid w:val="00CF3E79"/>
    <w:rsid w:val="00D074A2"/>
    <w:rsid w:val="00D13794"/>
    <w:rsid w:val="00D218E7"/>
    <w:rsid w:val="00D24052"/>
    <w:rsid w:val="00D24386"/>
    <w:rsid w:val="00D31575"/>
    <w:rsid w:val="00D31A89"/>
    <w:rsid w:val="00D34626"/>
    <w:rsid w:val="00D34FB4"/>
    <w:rsid w:val="00D359BA"/>
    <w:rsid w:val="00D4257A"/>
    <w:rsid w:val="00D456A9"/>
    <w:rsid w:val="00D52798"/>
    <w:rsid w:val="00D5468A"/>
    <w:rsid w:val="00D61745"/>
    <w:rsid w:val="00D62665"/>
    <w:rsid w:val="00D645AC"/>
    <w:rsid w:val="00D66C71"/>
    <w:rsid w:val="00D66D7C"/>
    <w:rsid w:val="00D70205"/>
    <w:rsid w:val="00D735EF"/>
    <w:rsid w:val="00D7609F"/>
    <w:rsid w:val="00D81AA7"/>
    <w:rsid w:val="00D82E47"/>
    <w:rsid w:val="00D84A01"/>
    <w:rsid w:val="00D977EA"/>
    <w:rsid w:val="00DB148C"/>
    <w:rsid w:val="00DB1A31"/>
    <w:rsid w:val="00DB202E"/>
    <w:rsid w:val="00DB4F78"/>
    <w:rsid w:val="00DC027B"/>
    <w:rsid w:val="00DC0CDE"/>
    <w:rsid w:val="00DC1A85"/>
    <w:rsid w:val="00DC498E"/>
    <w:rsid w:val="00DC4D72"/>
    <w:rsid w:val="00DC6525"/>
    <w:rsid w:val="00DC7018"/>
    <w:rsid w:val="00DD12B0"/>
    <w:rsid w:val="00DD13E0"/>
    <w:rsid w:val="00DD5610"/>
    <w:rsid w:val="00DF0CB3"/>
    <w:rsid w:val="00DF494C"/>
    <w:rsid w:val="00DF6D0B"/>
    <w:rsid w:val="00DF7E0D"/>
    <w:rsid w:val="00E059F7"/>
    <w:rsid w:val="00E0624D"/>
    <w:rsid w:val="00E179D4"/>
    <w:rsid w:val="00E20023"/>
    <w:rsid w:val="00E353A3"/>
    <w:rsid w:val="00E35C9D"/>
    <w:rsid w:val="00E37FF7"/>
    <w:rsid w:val="00E406AD"/>
    <w:rsid w:val="00E4438C"/>
    <w:rsid w:val="00E457F3"/>
    <w:rsid w:val="00E47947"/>
    <w:rsid w:val="00E50663"/>
    <w:rsid w:val="00E55F9B"/>
    <w:rsid w:val="00E576F5"/>
    <w:rsid w:val="00E57A6A"/>
    <w:rsid w:val="00E73CC1"/>
    <w:rsid w:val="00E86357"/>
    <w:rsid w:val="00E87284"/>
    <w:rsid w:val="00E97664"/>
    <w:rsid w:val="00EA4DD8"/>
    <w:rsid w:val="00EA7959"/>
    <w:rsid w:val="00EB2AEF"/>
    <w:rsid w:val="00EB2BED"/>
    <w:rsid w:val="00EB7E71"/>
    <w:rsid w:val="00ED123E"/>
    <w:rsid w:val="00ED1F15"/>
    <w:rsid w:val="00ED216B"/>
    <w:rsid w:val="00EF2788"/>
    <w:rsid w:val="00EF3103"/>
    <w:rsid w:val="00EF6E9B"/>
    <w:rsid w:val="00EF7714"/>
    <w:rsid w:val="00F0143E"/>
    <w:rsid w:val="00F023DB"/>
    <w:rsid w:val="00F065D2"/>
    <w:rsid w:val="00F109D4"/>
    <w:rsid w:val="00F10A6F"/>
    <w:rsid w:val="00F15EE9"/>
    <w:rsid w:val="00F24736"/>
    <w:rsid w:val="00F2666F"/>
    <w:rsid w:val="00F27344"/>
    <w:rsid w:val="00F343AA"/>
    <w:rsid w:val="00F4241B"/>
    <w:rsid w:val="00F46704"/>
    <w:rsid w:val="00F46C17"/>
    <w:rsid w:val="00F47585"/>
    <w:rsid w:val="00F6249C"/>
    <w:rsid w:val="00F678B8"/>
    <w:rsid w:val="00F7078E"/>
    <w:rsid w:val="00F75BDB"/>
    <w:rsid w:val="00F81232"/>
    <w:rsid w:val="00F813AE"/>
    <w:rsid w:val="00F8291C"/>
    <w:rsid w:val="00F85E6F"/>
    <w:rsid w:val="00F86844"/>
    <w:rsid w:val="00F93445"/>
    <w:rsid w:val="00F95449"/>
    <w:rsid w:val="00FA1942"/>
    <w:rsid w:val="00FA380A"/>
    <w:rsid w:val="00FC2CB5"/>
    <w:rsid w:val="00FC38D9"/>
    <w:rsid w:val="00FC3A8F"/>
    <w:rsid w:val="00FC595E"/>
    <w:rsid w:val="00FD19F7"/>
    <w:rsid w:val="00FD7402"/>
    <w:rsid w:val="00FE04E4"/>
    <w:rsid w:val="00FE2DD7"/>
    <w:rsid w:val="00FE73F9"/>
    <w:rsid w:val="00FF1057"/>
    <w:rsid w:val="00FF3E2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9EFA"/>
  <w15:docId w15:val="{6040E80D-960F-4FD3-85B5-B3D647BB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53E787DC2462DB7A9761D6423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BE815-99E2-4756-80E1-61D0C07B21B4}"/>
      </w:docPartPr>
      <w:docPartBody>
        <w:p w:rsidR="00A86C2F" w:rsidRDefault="00863417">
          <w:pPr>
            <w:pStyle w:val="14C53E787DC2462DB7A9761D64234989"/>
          </w:pPr>
          <w:r w:rsidRPr="003C5719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2F"/>
    <w:rsid w:val="00242A2C"/>
    <w:rsid w:val="00863417"/>
    <w:rsid w:val="009872AB"/>
    <w:rsid w:val="00A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C53E787DC2462DB7A9761D64234989">
    <w:name w:val="14C53E787DC2462DB7A9761D64234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S574FYTY5PW6-969949929-692</_dlc_DocId>
    <_dlc_DocIdUrl xmlns="fe39d773-a83d-4623-ae74-f25711a76616">
      <Url>https://austreasury.sharepoint.com/sites/leg-cord-function/_layouts/15/DocIdRedir.aspx?ID=S574FYTY5PW6-969949929-692</Url>
      <Description>S574FYTY5PW6-969949929-692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41</Value>
      <Value>36</Value>
      <Value>1</Value>
      <Value>35</Value>
    </TaxCatchAl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Additional Documents</TermName>
          <TermId xmlns="http://schemas.microsoft.com/office/infopath/2007/PartnerControls">00485a83-454b-4661-806b-0c0b2f8c1787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C2BA-AE17-4950-B3EF-899968B638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aaa27373-fe26-474f-aaa6-4ebba1fd6b2b"/>
    <ds:schemaRef ds:uri="http://schemas.microsoft.com/sharepoint/v3"/>
    <ds:schemaRef ds:uri="a289cb20-8bb9-401f-8d7b-706fb1a2988d"/>
  </ds:schemaRefs>
</ds:datastoreItem>
</file>

<file path=customXml/itemProps3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6FFC3-8DEC-4F03-ABF5-1D7AD51ACB85}"/>
</file>

<file path=customXml/itemProps5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68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Treasury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Croft, Eliza</dc:creator>
  <cp:lastModifiedBy>Leggett, Chris</cp:lastModifiedBy>
  <cp:revision>34</cp:revision>
  <cp:lastPrinted>2023-08-22T01:11:00Z</cp:lastPrinted>
  <dcterms:created xsi:type="dcterms:W3CDTF">2023-08-08T06:18:00Z</dcterms:created>
  <dcterms:modified xsi:type="dcterms:W3CDTF">2023-08-22T01:11:00Z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0x010100B569D256E75E71428C72445DFBB99E7A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0f319961-9fc1-465a-a9aa-38450e06bc7a</vt:lpwstr>
  </property>
  <property fmtid="{D5CDD505-2E9C-101B-9397-08002B2CF9AE}" pid="6" name="TSYTopic">
    <vt:lpwstr/>
  </property>
  <property fmtid="{D5CDD505-2E9C-101B-9397-08002B2CF9AE}" pid="7" name="eTheme">
    <vt:lpwstr>1;#Law Design|318dd2d2-18da-4b8e-a458-14db2c1af95f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153;#Explanatory Materials|ac61e78e-992e-40fd-ae93-2c9522960b05</vt:lpwstr>
  </property>
  <property fmtid="{D5CDD505-2E9C-101B-9397-08002B2CF9AE}" pid="11" name="TSYOffice">
    <vt:lpwstr/>
  </property>
  <property fmtid="{D5CDD505-2E9C-101B-9397-08002B2CF9AE}" pid="12" name="eTopic">
    <vt:lpwstr>89;#Competition|81d9f373-20dd-4302-803b-382d7df6488e;#95;#Consumer|061f16b5-21de-40bb-a136-07b896bfb829</vt:lpwstr>
  </property>
  <property fmtid="{D5CDD505-2E9C-101B-9397-08002B2CF9AE}" pid="13" name="eActivity">
    <vt:lpwstr>28;#Legislative measures|0d31ce10-0017-4a46-8d2d-ba60058cb6a2</vt:lpwstr>
  </property>
  <property fmtid="{D5CDD505-2E9C-101B-9397-08002B2CF9AE}" pid="14" name="k8424359e03846678cc4a99dd97e9705">
    <vt:lpwstr>Treasury Enterprise Terms|69519368-d55f-4403-adc0-7b3d464d5501</vt:lpwstr>
  </property>
  <property fmtid="{D5CDD505-2E9C-101B-9397-08002B2CF9AE}" pid="15" name="LMDivision">
    <vt:lpwstr>3;#Treasury Enterprise Terms|69519368-d55f-4403-adc0-7b3d464d5501</vt:lpwstr>
  </property>
  <property fmtid="{D5CDD505-2E9C-101B-9397-08002B2CF9AE}" pid="16" name="Topic">
    <vt:lpwstr>36;#Legislation Coordination|58c6712e-e847-48f4-81ab-b25e2bbd3986</vt:lpwstr>
  </property>
  <property fmtid="{D5CDD505-2E9C-101B-9397-08002B2CF9AE}" pid="17" name="Document_x0020_Type">
    <vt:lpwstr/>
  </property>
  <property fmtid="{D5CDD505-2E9C-101B-9397-08002B2CF9AE}" pid="18" name="Activity">
    <vt:lpwstr>35;#Legislation management|cb630f2f-9155-496b-ad0f-d960eb1bf90c</vt:lpwstr>
  </property>
  <property fmtid="{D5CDD505-2E9C-101B-9397-08002B2CF9AE}" pid="19" name="Document Type">
    <vt:lpwstr>41;#Additional Documents|00485a83-454b-4661-806b-0c0b2f8c1787</vt:lpwstr>
  </property>
</Properties>
</file>