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EB3D" w14:textId="77777777" w:rsidR="00955175" w:rsidRDefault="00955175" w:rsidP="00E2168B">
      <w:pPr>
        <w:spacing w:before="280" w:after="240"/>
        <w:rPr>
          <w:b/>
          <w:sz w:val="32"/>
          <w:szCs w:val="32"/>
        </w:rPr>
      </w:pPr>
    </w:p>
    <w:p w14:paraId="0AAC3FC8" w14:textId="5A734B7C" w:rsidR="00955175" w:rsidRPr="005F5E91" w:rsidRDefault="00C50FC5" w:rsidP="00E2168B">
      <w:pPr>
        <w:spacing w:before="280" w:after="240"/>
        <w:rPr>
          <w:b/>
          <w:sz w:val="32"/>
          <w:szCs w:val="32"/>
        </w:rPr>
      </w:pPr>
      <w:r w:rsidRPr="005F5E91">
        <w:rPr>
          <w:noProof/>
        </w:rPr>
        <w:drawing>
          <wp:anchor distT="0" distB="0" distL="114300" distR="114300" simplePos="0" relativeHeight="251658240" behindDoc="0" locked="0" layoutInCell="1" allowOverlap="1" wp14:anchorId="7F506AFA" wp14:editId="31C7D641">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5F5E91" w:rsidRDefault="00955175" w:rsidP="00955175">
      <w:pPr>
        <w:pStyle w:val="LI-Title"/>
        <w:pBdr>
          <w:top w:val="none" w:sz="0" w:space="0" w:color="auto"/>
        </w:pBdr>
        <w:jc w:val="center"/>
      </w:pPr>
    </w:p>
    <w:p w14:paraId="5B8D4084" w14:textId="77777777" w:rsidR="00955175" w:rsidRPr="005F5E91" w:rsidRDefault="00955175" w:rsidP="00955175">
      <w:pPr>
        <w:pStyle w:val="LI-Title"/>
        <w:pBdr>
          <w:top w:val="none" w:sz="0" w:space="0" w:color="auto"/>
        </w:pBdr>
        <w:jc w:val="center"/>
      </w:pPr>
      <w:r w:rsidRPr="005F5E91">
        <w:t>Explanatory Statement</w:t>
      </w:r>
    </w:p>
    <w:p w14:paraId="54F0DD85" w14:textId="77777777" w:rsidR="00955175" w:rsidRPr="005F5E91" w:rsidRDefault="00955175" w:rsidP="00955175">
      <w:pPr>
        <w:rPr>
          <w:lang w:eastAsia="en-AU"/>
        </w:rPr>
      </w:pPr>
    </w:p>
    <w:p w14:paraId="376F21CA" w14:textId="77F08725" w:rsidR="00C4170B" w:rsidRPr="005F5E91" w:rsidRDefault="00354C40" w:rsidP="00C4170B">
      <w:pPr>
        <w:jc w:val="center"/>
        <w:rPr>
          <w:b/>
          <w:i/>
          <w:sz w:val="28"/>
          <w:szCs w:val="28"/>
          <w:lang w:eastAsia="en-AU"/>
        </w:rPr>
      </w:pPr>
      <w:r w:rsidRPr="005F5E91">
        <w:rPr>
          <w:b/>
          <w:i/>
          <w:sz w:val="28"/>
          <w:szCs w:val="28"/>
          <w:lang w:eastAsia="en-AU"/>
        </w:rPr>
        <w:t>ASIC Regulated Foreign Markets Determination 2023/346</w:t>
      </w:r>
    </w:p>
    <w:p w14:paraId="3D70207E" w14:textId="32100B6A" w:rsidR="00863657" w:rsidRPr="005F5E91" w:rsidRDefault="00F800C9" w:rsidP="00F800C9">
      <w:pPr>
        <w:pStyle w:val="LI-BodyTextParaa"/>
        <w:ind w:left="0" w:firstLine="0"/>
      </w:pPr>
      <w:r w:rsidRPr="005F5E91">
        <w:t xml:space="preserve">This is the Explanatory Statement for </w:t>
      </w:r>
      <w:r w:rsidR="00354C40" w:rsidRPr="005F5E91">
        <w:t>ASIC Regulated Foreign Markets Determination 2023/346</w:t>
      </w:r>
      <w:r w:rsidR="004D4E85" w:rsidRPr="005F5E91">
        <w:t xml:space="preserve"> (the </w:t>
      </w:r>
      <w:r w:rsidR="004D4E85" w:rsidRPr="005F5E91">
        <w:rPr>
          <w:b/>
          <w:bCs/>
          <w:i/>
          <w:iCs/>
        </w:rPr>
        <w:t>Instrument</w:t>
      </w:r>
      <w:r w:rsidR="004D4E85" w:rsidRPr="005F5E91">
        <w:t>)</w:t>
      </w:r>
      <w:r w:rsidR="00354C40" w:rsidRPr="005F5E91">
        <w:t>.</w:t>
      </w:r>
    </w:p>
    <w:p w14:paraId="119B6103" w14:textId="77777777" w:rsidR="00F800C9" w:rsidRPr="005F5E91" w:rsidRDefault="00863657" w:rsidP="00F800C9">
      <w:pPr>
        <w:pStyle w:val="LI-BodyTextParaa"/>
        <w:ind w:left="0" w:firstLine="0"/>
      </w:pPr>
      <w:r w:rsidRPr="005F5E91">
        <w:t>Th</w:t>
      </w:r>
      <w:r w:rsidR="00F800C9" w:rsidRPr="005F5E91">
        <w:t>e</w:t>
      </w:r>
      <w:r w:rsidRPr="005F5E91">
        <w:t xml:space="preserve"> </w:t>
      </w:r>
      <w:r w:rsidR="00F800C9" w:rsidRPr="005F5E91">
        <w:t>Explanatory Statement is approved by the Australian Securities and Investments Commission (</w:t>
      </w:r>
      <w:r w:rsidR="00F800C9" w:rsidRPr="005F5E91">
        <w:rPr>
          <w:b/>
          <w:i/>
        </w:rPr>
        <w:t>ASIC</w:t>
      </w:r>
      <w:r w:rsidR="00F800C9" w:rsidRPr="005F5E91">
        <w:t>).</w:t>
      </w:r>
    </w:p>
    <w:p w14:paraId="10E55E66" w14:textId="77777777" w:rsidR="00F800C9" w:rsidRPr="005F5E91" w:rsidRDefault="005D1FEA" w:rsidP="006D6079">
      <w:pPr>
        <w:pStyle w:val="LI-BodyTextNumbered"/>
        <w:keepNext/>
        <w:ind w:left="0" w:firstLine="0"/>
        <w:rPr>
          <w:b/>
        </w:rPr>
      </w:pPr>
      <w:r w:rsidRPr="005F5E91">
        <w:rPr>
          <w:b/>
        </w:rPr>
        <w:t>Summary</w:t>
      </w:r>
    </w:p>
    <w:p w14:paraId="4A632C45" w14:textId="0AB282D7" w:rsidR="00F800C9" w:rsidRPr="005F5E91" w:rsidRDefault="000C704F" w:rsidP="00B557A8">
      <w:pPr>
        <w:pStyle w:val="LI-BodyTextParaa"/>
        <w:numPr>
          <w:ilvl w:val="0"/>
          <w:numId w:val="16"/>
        </w:numPr>
      </w:pPr>
      <w:r w:rsidRPr="005F5E91">
        <w:t>This instrument determines the financial markets that are Regulated Foreign Markets for the purposes of subrule 1.2.4(</w:t>
      </w:r>
      <w:r w:rsidR="00315100" w:rsidRPr="005F5E91">
        <w:t>3</w:t>
      </w:r>
      <w:r w:rsidRPr="005F5E91">
        <w:t xml:space="preserve">) of the </w:t>
      </w:r>
      <w:r w:rsidRPr="005F5E91">
        <w:rPr>
          <w:i/>
          <w:iCs/>
        </w:rPr>
        <w:t>ASIC Derivative Transaction Rules (Reporting) 2022</w:t>
      </w:r>
      <w:r w:rsidRPr="005F5E91">
        <w:t xml:space="preserve"> (</w:t>
      </w:r>
      <w:r w:rsidR="00CA7767" w:rsidRPr="005F5E91">
        <w:rPr>
          <w:b/>
          <w:bCs/>
          <w:i/>
          <w:iCs/>
        </w:rPr>
        <w:t>2022 TRRs</w:t>
      </w:r>
      <w:r w:rsidRPr="005F5E91">
        <w:t>)</w:t>
      </w:r>
      <w:r w:rsidR="00CA7767" w:rsidRPr="005F5E91">
        <w:t xml:space="preserve"> and the</w:t>
      </w:r>
      <w:r w:rsidR="00CA7767" w:rsidRPr="005F5E91">
        <w:rPr>
          <w:i/>
          <w:iCs/>
        </w:rPr>
        <w:t xml:space="preserve"> ASIC Derivative Transaction Rules (Reporting) 2024 </w:t>
      </w:r>
      <w:r w:rsidR="00CA7767" w:rsidRPr="005F5E91">
        <w:t>(</w:t>
      </w:r>
      <w:r w:rsidR="00CA7767" w:rsidRPr="005F5E91">
        <w:rPr>
          <w:b/>
          <w:bCs/>
          <w:i/>
          <w:iCs/>
        </w:rPr>
        <w:t>2024 TRRs</w:t>
      </w:r>
      <w:r w:rsidR="00CA7767" w:rsidRPr="005F5E91">
        <w:t>)</w:t>
      </w:r>
      <w:r w:rsidRPr="005F5E91">
        <w:t>.</w:t>
      </w:r>
    </w:p>
    <w:p w14:paraId="59A63C44" w14:textId="77777777" w:rsidR="005D1FEA" w:rsidRPr="005F5E91" w:rsidRDefault="005D1FEA" w:rsidP="006D6079">
      <w:pPr>
        <w:pStyle w:val="LI-BodyTextNumbered"/>
        <w:keepNext/>
        <w:ind w:left="0" w:firstLine="0"/>
        <w:rPr>
          <w:b/>
        </w:rPr>
      </w:pPr>
      <w:r w:rsidRPr="005F5E91">
        <w:rPr>
          <w:b/>
        </w:rPr>
        <w:t>Purpose of the instrument</w:t>
      </w:r>
    </w:p>
    <w:p w14:paraId="48ED8741" w14:textId="6AF6649C" w:rsidR="00B2251F" w:rsidRPr="005F5E91" w:rsidRDefault="00B2251F" w:rsidP="00B557A8">
      <w:pPr>
        <w:pStyle w:val="LI-BodyTextParaa"/>
        <w:numPr>
          <w:ilvl w:val="0"/>
          <w:numId w:val="16"/>
        </w:numPr>
      </w:pPr>
      <w:bookmarkStart w:id="0" w:name="_Hlk534291624"/>
      <w:r w:rsidRPr="005F5E91">
        <w:t xml:space="preserve">The purpose of the instrument is to determine </w:t>
      </w:r>
      <w:r w:rsidR="00C12666" w:rsidRPr="005F5E91">
        <w:t>35</w:t>
      </w:r>
      <w:r w:rsidRPr="005F5E91">
        <w:t xml:space="preserve"> Regulated Foreign Markets, along with SEC Regulated Markets and UK Regulated Markets, as Regulated Foreign Markets for the purposes of subrule 1.2.4(</w:t>
      </w:r>
      <w:r w:rsidR="00375908" w:rsidRPr="005F5E91">
        <w:t>3</w:t>
      </w:r>
      <w:r w:rsidRPr="005F5E91">
        <w:t xml:space="preserve">) of the </w:t>
      </w:r>
      <w:r w:rsidR="005F7890" w:rsidRPr="005F5E91">
        <w:t>2022 TRRs and 2024 TRRs</w:t>
      </w:r>
      <w:r w:rsidRPr="005F5E91">
        <w:t>.</w:t>
      </w:r>
    </w:p>
    <w:p w14:paraId="1B573F5D" w14:textId="32C10BBF" w:rsidR="00020168" w:rsidRDefault="00B17167" w:rsidP="00B557A8">
      <w:pPr>
        <w:pStyle w:val="LI-BodyTextParaa"/>
        <w:numPr>
          <w:ilvl w:val="0"/>
          <w:numId w:val="16"/>
        </w:numPr>
      </w:pPr>
      <w:r w:rsidRPr="005F5E91">
        <w:t>The 2022 TRRs</w:t>
      </w:r>
      <w:r w:rsidR="009F4A14" w:rsidRPr="005F5E91">
        <w:t xml:space="preserve"> commenced</w:t>
      </w:r>
      <w:r w:rsidR="009F4A14">
        <w:t xml:space="preserve"> on 21 December 2022 and</w:t>
      </w:r>
      <w:r>
        <w:t xml:space="preserve"> repealed and replaced the </w:t>
      </w:r>
      <w:r w:rsidR="008B399E" w:rsidRPr="00585A6D">
        <w:rPr>
          <w:i/>
          <w:iCs/>
        </w:rPr>
        <w:t xml:space="preserve">ASIC Derivative Transaction Rules (Reporting) 2013 </w:t>
      </w:r>
      <w:r w:rsidR="008B399E">
        <w:t>(</w:t>
      </w:r>
      <w:r w:rsidR="008B399E" w:rsidRPr="00585A6D">
        <w:rPr>
          <w:b/>
          <w:bCs/>
          <w:i/>
          <w:iCs/>
        </w:rPr>
        <w:t>2013 TRRs</w:t>
      </w:r>
      <w:r w:rsidR="008B399E">
        <w:t>)</w:t>
      </w:r>
      <w:r w:rsidR="0027425D">
        <w:t xml:space="preserve">. The 2024 TRRs </w:t>
      </w:r>
      <w:r w:rsidR="00913637">
        <w:t xml:space="preserve">will </w:t>
      </w:r>
      <w:r w:rsidR="0027425D">
        <w:t xml:space="preserve">commence </w:t>
      </w:r>
      <w:r w:rsidR="00103A91">
        <w:t xml:space="preserve">on </w:t>
      </w:r>
      <w:r w:rsidR="00437BAD">
        <w:t xml:space="preserve">21 October </w:t>
      </w:r>
      <w:r w:rsidR="002D222D">
        <w:t>2024, at which time they will repeal and replace the 2022 TRRs.</w:t>
      </w:r>
      <w:r w:rsidR="00103A91">
        <w:t xml:space="preserve"> </w:t>
      </w:r>
    </w:p>
    <w:p w14:paraId="69277401" w14:textId="75E53307" w:rsidR="00A20CB6" w:rsidRDefault="00A20CB6" w:rsidP="00B557A8">
      <w:pPr>
        <w:pStyle w:val="LI-BodyTextParaa"/>
        <w:numPr>
          <w:ilvl w:val="0"/>
          <w:numId w:val="16"/>
        </w:numPr>
      </w:pPr>
      <w:r>
        <w:t>Prior to the making of the 2022 TRRs and the 2024</w:t>
      </w:r>
      <w:r w:rsidR="00232088">
        <w:t xml:space="preserve"> </w:t>
      </w:r>
      <w:r>
        <w:t xml:space="preserve">TRRs, </w:t>
      </w:r>
      <w:r w:rsidR="00B17167">
        <w:t xml:space="preserve">the </w:t>
      </w:r>
      <w:r w:rsidRPr="00484D3E">
        <w:t>ASIC Regulated Foreign Markets Determination [OTC DET 13/1145]</w:t>
      </w:r>
      <w:r w:rsidR="00155B7F">
        <w:t xml:space="preserve"> (</w:t>
      </w:r>
      <w:r w:rsidR="00155B7F" w:rsidRPr="00585A6D">
        <w:rPr>
          <w:b/>
          <w:bCs/>
          <w:i/>
          <w:iCs/>
        </w:rPr>
        <w:t>2013 Determination</w:t>
      </w:r>
      <w:r w:rsidR="00155B7F">
        <w:t>)</w:t>
      </w:r>
      <w:r w:rsidR="00BA5CE8">
        <w:t xml:space="preserve"> determined the </w:t>
      </w:r>
      <w:r w:rsidR="00EB33ED">
        <w:t>same</w:t>
      </w:r>
      <w:r w:rsidR="00EF4D3B">
        <w:t xml:space="preserve"> Regulated Foreign Markets</w:t>
      </w:r>
      <w:r w:rsidR="0034459B">
        <w:t xml:space="preserve"> that are covered by the Instrument</w:t>
      </w:r>
      <w:r w:rsidR="00EF4D3B">
        <w:t xml:space="preserve"> for the </w:t>
      </w:r>
      <w:r w:rsidR="0034459B">
        <w:t xml:space="preserve">purposes of subrule 1.2.4(3) of the </w:t>
      </w:r>
      <w:r w:rsidR="00DC372A">
        <w:t xml:space="preserve">2013 </w:t>
      </w:r>
      <w:r w:rsidR="00C522B9">
        <w:t>TRRs</w:t>
      </w:r>
      <w:r w:rsidR="00DC372A">
        <w:t xml:space="preserve">. It was intended that </w:t>
      </w:r>
      <w:r w:rsidR="00797F25">
        <w:t>the 2013 De</w:t>
      </w:r>
      <w:r w:rsidR="00155B7F">
        <w:t>termination would remain in force</w:t>
      </w:r>
      <w:r w:rsidR="00797F25">
        <w:t xml:space="preserve"> for the purposes of the 2022 Rules</w:t>
      </w:r>
      <w:r w:rsidR="00155B7F">
        <w:t xml:space="preserve"> following the repeal of the 2013 TRRs, but it </w:t>
      </w:r>
      <w:r w:rsidR="00870A1F">
        <w:t>is</w:t>
      </w:r>
      <w:r w:rsidR="00155B7F">
        <w:t xml:space="preserve"> likely that </w:t>
      </w:r>
      <w:r w:rsidR="00FD0508">
        <w:t xml:space="preserve">the 2013 Determination was repealed </w:t>
      </w:r>
      <w:r w:rsidR="00797F25">
        <w:t>as a result of the repeal of the 20</w:t>
      </w:r>
      <w:r w:rsidR="00870A1F">
        <w:t>1</w:t>
      </w:r>
      <w:r w:rsidR="00797F25">
        <w:t>3 TRRs.</w:t>
      </w:r>
    </w:p>
    <w:p w14:paraId="0EA02556" w14:textId="462D11B0" w:rsidR="00CD258A" w:rsidRDefault="00CD258A" w:rsidP="00B557A8">
      <w:pPr>
        <w:pStyle w:val="LI-BodyTextParaa"/>
        <w:numPr>
          <w:ilvl w:val="0"/>
          <w:numId w:val="16"/>
        </w:numPr>
      </w:pPr>
      <w:r>
        <w:t xml:space="preserve">Accordingly, it is necessary to determine the relevant Regulated Foreign Markets for the purposes of the </w:t>
      </w:r>
      <w:r w:rsidR="00C522B9">
        <w:t xml:space="preserve">2022 </w:t>
      </w:r>
      <w:r w:rsidR="0012134A">
        <w:t xml:space="preserve">TRRs and </w:t>
      </w:r>
      <w:r w:rsidR="00913637">
        <w:t>the 2024 TRRs.</w:t>
      </w:r>
    </w:p>
    <w:p w14:paraId="3E80E3E2" w14:textId="416CB89D" w:rsidR="003676E0" w:rsidRPr="003676E0" w:rsidRDefault="003676E0" w:rsidP="003676E0">
      <w:pPr>
        <w:pStyle w:val="LI-BodyTextParaa"/>
        <w:ind w:left="570" w:firstLine="0"/>
        <w:rPr>
          <w:i/>
          <w:iCs/>
          <w:u w:val="single"/>
        </w:rPr>
      </w:pPr>
      <w:r>
        <w:rPr>
          <w:i/>
          <w:iCs/>
          <w:u w:val="single"/>
        </w:rPr>
        <w:t>Reporting Rules</w:t>
      </w:r>
    </w:p>
    <w:p w14:paraId="681E23C9" w14:textId="7F3B2417" w:rsidR="00B557A8" w:rsidRDefault="00B557A8" w:rsidP="00B557A8">
      <w:pPr>
        <w:pStyle w:val="LI-BodyTextParaa"/>
        <w:numPr>
          <w:ilvl w:val="0"/>
          <w:numId w:val="16"/>
        </w:numPr>
      </w:pPr>
      <w:r>
        <w:lastRenderedPageBreak/>
        <w:t xml:space="preserve">The </w:t>
      </w:r>
      <w:r w:rsidR="006B7193">
        <w:t>2022 TRRs and 2024 TRRs</w:t>
      </w:r>
      <w:r>
        <w:t xml:space="preserve"> </w:t>
      </w:r>
      <w:r w:rsidR="002C2D5C">
        <w:t>(see Rule 1.2.5)</w:t>
      </w:r>
      <w:r w:rsidR="00EF4CF0">
        <w:t>, made under section 901A of the Corporations Act 2001 (</w:t>
      </w:r>
      <w:r w:rsidR="00EF4CF0">
        <w:rPr>
          <w:b/>
          <w:bCs/>
          <w:i/>
          <w:iCs/>
        </w:rPr>
        <w:t>Act</w:t>
      </w:r>
      <w:r w:rsidR="00EF4CF0">
        <w:t>)</w:t>
      </w:r>
      <w:r w:rsidR="006A06A8">
        <w:t>,</w:t>
      </w:r>
      <w:r w:rsidR="002C2D5C">
        <w:t xml:space="preserve"> </w:t>
      </w:r>
      <w:r w:rsidR="002E3BCD">
        <w:t xml:space="preserve">each </w:t>
      </w:r>
      <w:r>
        <w:t xml:space="preserve">impose reporting requirements on ‘Reporting Entities’ to report information about their Derivative Transactions in ‘OTC Derivatives’ (referred to in the </w:t>
      </w:r>
      <w:r w:rsidR="005F7890">
        <w:t>2022 TRRs and 2024 TRRs</w:t>
      </w:r>
      <w:r>
        <w:t xml:space="preserve"> as ‘Reportable Transactions’), and </w:t>
      </w:r>
      <w:r w:rsidR="0059737D">
        <w:t xml:space="preserve">for the 2022 TRRs only, </w:t>
      </w:r>
      <w:r>
        <w:t xml:space="preserve">positions in relation to ‘OTC Derivatives’ (referred to in the </w:t>
      </w:r>
      <w:r w:rsidR="005F7890">
        <w:t>2022 TRRs</w:t>
      </w:r>
      <w:r>
        <w:t xml:space="preserve"> as ‘Reportable Positions’)</w:t>
      </w:r>
      <w:r w:rsidR="00E03D3A">
        <w:t>.</w:t>
      </w:r>
    </w:p>
    <w:p w14:paraId="2845CAD4" w14:textId="0890DB2F" w:rsidR="00B557A8" w:rsidRDefault="00B557A8" w:rsidP="00B557A8">
      <w:pPr>
        <w:pStyle w:val="LI-BodyTextParaa"/>
        <w:numPr>
          <w:ilvl w:val="0"/>
          <w:numId w:val="16"/>
        </w:numPr>
      </w:pPr>
      <w:r>
        <w:t xml:space="preserve">Rule 1.2.4 provides a definition of ‘OTC Derivative’ for the purposes of the </w:t>
      </w:r>
      <w:r w:rsidR="003663FE">
        <w:t>2022 TRRs and 2024 TRRs</w:t>
      </w:r>
      <w:r>
        <w:t xml:space="preserve">. </w:t>
      </w:r>
    </w:p>
    <w:p w14:paraId="07D66B69" w14:textId="5BAD2761" w:rsidR="00B557A8" w:rsidRDefault="00B557A8" w:rsidP="00B557A8">
      <w:pPr>
        <w:pStyle w:val="LI-BodyTextParaa"/>
        <w:numPr>
          <w:ilvl w:val="0"/>
          <w:numId w:val="16"/>
        </w:numPr>
      </w:pPr>
      <w:r>
        <w:t xml:space="preserve">Subrule 1.2.4(2) of the </w:t>
      </w:r>
      <w:r w:rsidR="00D92438">
        <w:t>2022 TRRs and 2024 TRRs</w:t>
      </w:r>
      <w:r>
        <w:t xml:space="preserve"> carves out certain exchange-traded Derivatives from the definition of ‘OTC Derivatives’ for the purposes of the Rules. Under that subrule, a Derivative is not an OTC Derivative if it is able to be traded (within the meaning of section 761A of the Act):</w:t>
      </w:r>
    </w:p>
    <w:p w14:paraId="0A54EBEC" w14:textId="77777777" w:rsidR="00B557A8" w:rsidRDefault="00B557A8" w:rsidP="00D13218">
      <w:pPr>
        <w:pStyle w:val="LI-BodyTextParaa"/>
        <w:numPr>
          <w:ilvl w:val="1"/>
          <w:numId w:val="16"/>
        </w:numPr>
        <w:ind w:left="1287" w:hanging="567"/>
      </w:pPr>
      <w:r>
        <w:t xml:space="preserve">on a Part 7.2A Market and the entry into the arrangement that is the Derivative takes place on the Part 7.2A </w:t>
      </w:r>
      <w:proofErr w:type="gramStart"/>
      <w:r>
        <w:t>Market, or</w:t>
      </w:r>
      <w:proofErr w:type="gramEnd"/>
      <w:r>
        <w:t xml:space="preserve"> is reported to the operator of the Part 7.2A Market in its capacity as operator of the Part 7.2A Market, in accordance with the Operating Rules of the Part 7.2A Market; or</w:t>
      </w:r>
    </w:p>
    <w:p w14:paraId="71D221BD" w14:textId="2C27FE6B" w:rsidR="00B557A8" w:rsidRDefault="00B557A8" w:rsidP="001C0A4B">
      <w:pPr>
        <w:pStyle w:val="LI-BodyTextParaa"/>
        <w:numPr>
          <w:ilvl w:val="1"/>
          <w:numId w:val="16"/>
        </w:numPr>
        <w:ind w:left="1287" w:hanging="567"/>
      </w:pPr>
      <w:r>
        <w:t>on a Regulated Foreign Market and the entry into of the arrangement that is the Derivative takes place on the Regulated Foreign Market.</w:t>
      </w:r>
    </w:p>
    <w:p w14:paraId="7EF10DBB" w14:textId="77777777" w:rsidR="005670E4" w:rsidRDefault="005670E4" w:rsidP="005670E4">
      <w:pPr>
        <w:pStyle w:val="li-bodytextparaa0"/>
        <w:numPr>
          <w:ilvl w:val="0"/>
          <w:numId w:val="16"/>
        </w:numPr>
        <w:shd w:val="clear" w:color="auto" w:fill="FFFFFF"/>
        <w:spacing w:before="240" w:beforeAutospacing="0" w:after="0" w:afterAutospacing="0"/>
        <w:jc w:val="both"/>
        <w:rPr>
          <w:color w:val="000000"/>
        </w:rPr>
      </w:pPr>
      <w:r>
        <w:rPr>
          <w:color w:val="000000"/>
          <w:sz w:val="14"/>
          <w:szCs w:val="14"/>
        </w:rPr>
        <w:t> </w:t>
      </w:r>
      <w:r>
        <w:rPr>
          <w:color w:val="000000"/>
        </w:rPr>
        <w:t>Subrule 1.2.4(2A) provides that the following are Regulated Foreign Markets:</w:t>
      </w:r>
    </w:p>
    <w:p w14:paraId="789CD81C" w14:textId="77777777" w:rsidR="005670E4" w:rsidRDefault="005670E4" w:rsidP="005670E4">
      <w:pPr>
        <w:pStyle w:val="li-bodytextparaa0"/>
        <w:numPr>
          <w:ilvl w:val="1"/>
          <w:numId w:val="16"/>
        </w:numPr>
        <w:shd w:val="clear" w:color="auto" w:fill="FFFFFF"/>
        <w:spacing w:before="240" w:beforeAutospacing="0" w:after="0" w:afterAutospacing="0"/>
        <w:ind w:left="1287" w:hanging="567"/>
        <w:jc w:val="both"/>
        <w:rPr>
          <w:color w:val="000000"/>
        </w:rPr>
      </w:pPr>
      <w:r>
        <w:rPr>
          <w:color w:val="000000"/>
          <w:sz w:val="14"/>
          <w:szCs w:val="14"/>
        </w:rPr>
        <w:t> </w:t>
      </w:r>
      <w:r>
        <w:rPr>
          <w:color w:val="000000"/>
        </w:rPr>
        <w:t>a financial market that is registered by the United States Commodity Futures Trading Commission as a "Designated Contract Market" under section 5h of Commodity Exchange Act 1936 (US) (a </w:t>
      </w:r>
      <w:r>
        <w:rPr>
          <w:b/>
          <w:bCs/>
          <w:i/>
          <w:iCs/>
          <w:color w:val="000000"/>
        </w:rPr>
        <w:t>CFTC Regulated Market</w:t>
      </w:r>
      <w:r>
        <w:rPr>
          <w:color w:val="000000"/>
        </w:rPr>
        <w:t>);</w:t>
      </w:r>
    </w:p>
    <w:p w14:paraId="52E66F5C" w14:textId="77777777" w:rsidR="005670E4" w:rsidRDefault="005670E4" w:rsidP="005670E4">
      <w:pPr>
        <w:pStyle w:val="li-bodytextparaa0"/>
        <w:numPr>
          <w:ilvl w:val="1"/>
          <w:numId w:val="16"/>
        </w:numPr>
        <w:shd w:val="clear" w:color="auto" w:fill="FFFFFF"/>
        <w:spacing w:before="240" w:beforeAutospacing="0" w:after="0" w:afterAutospacing="0"/>
        <w:ind w:left="1287" w:hanging="567"/>
        <w:jc w:val="both"/>
        <w:rPr>
          <w:color w:val="000000"/>
        </w:rPr>
      </w:pPr>
      <w:r w:rsidRPr="005670E4">
        <w:rPr>
          <w:color w:val="000000"/>
        </w:rPr>
        <w:t>a financial market that is a "Regulated market" as defined in Article 4(1)(21) of Directive 2014/65/EU of the European Parliament and of the Council of 15 May 2014 on markets in financial instruments (an </w:t>
      </w:r>
      <w:r w:rsidRPr="005670E4">
        <w:rPr>
          <w:b/>
          <w:bCs/>
          <w:i/>
          <w:iCs/>
          <w:color w:val="000000"/>
        </w:rPr>
        <w:t>EU Regulated Market</w:t>
      </w:r>
      <w:r w:rsidRPr="005670E4">
        <w:rPr>
          <w:color w:val="000000"/>
        </w:rPr>
        <w:t>); and</w:t>
      </w:r>
    </w:p>
    <w:p w14:paraId="15582B43" w14:textId="764F3A52" w:rsidR="005670E4" w:rsidRPr="005670E4" w:rsidRDefault="005670E4" w:rsidP="005670E4">
      <w:pPr>
        <w:pStyle w:val="li-bodytextparaa0"/>
        <w:numPr>
          <w:ilvl w:val="1"/>
          <w:numId w:val="16"/>
        </w:numPr>
        <w:shd w:val="clear" w:color="auto" w:fill="FFFFFF"/>
        <w:spacing w:before="240" w:beforeAutospacing="0" w:after="0" w:afterAutospacing="0"/>
        <w:ind w:left="1287" w:hanging="567"/>
        <w:jc w:val="both"/>
        <w:rPr>
          <w:color w:val="000000"/>
        </w:rPr>
      </w:pPr>
      <w:r w:rsidRPr="005670E4">
        <w:rPr>
          <w:color w:val="000000"/>
        </w:rPr>
        <w:t xml:space="preserve">a financial market that is a financial market, or is in a class of financial markets, that has been determined by ASIC as a Regulated Foreign Market under subrule 1.2.4(3) of the </w:t>
      </w:r>
      <w:r>
        <w:rPr>
          <w:color w:val="000000"/>
        </w:rPr>
        <w:t>2022 TRRs or 2024 TRRs</w:t>
      </w:r>
      <w:r w:rsidRPr="005670E4">
        <w:rPr>
          <w:color w:val="000000"/>
        </w:rPr>
        <w:t>.</w:t>
      </w:r>
    </w:p>
    <w:p w14:paraId="3915A640" w14:textId="2E07990D" w:rsidR="006C4146" w:rsidRDefault="00B557A8" w:rsidP="006C4146">
      <w:pPr>
        <w:pStyle w:val="LI-BodyTextParaa"/>
        <w:numPr>
          <w:ilvl w:val="0"/>
          <w:numId w:val="16"/>
        </w:numPr>
      </w:pPr>
      <w:r>
        <w:t xml:space="preserve">‘Part 7.2A Market’ is defined in Rule 1.2.3 </w:t>
      </w:r>
      <w:r w:rsidR="00C134DE">
        <w:t>of the 2</w:t>
      </w:r>
      <w:r w:rsidR="006C4146">
        <w:t>022 TRRs as:</w:t>
      </w:r>
    </w:p>
    <w:p w14:paraId="7EA5CF9E" w14:textId="74874DDA" w:rsidR="00B557A8" w:rsidRDefault="00B557A8" w:rsidP="006C4146">
      <w:pPr>
        <w:pStyle w:val="LI-BodyTextParaa"/>
        <w:numPr>
          <w:ilvl w:val="1"/>
          <w:numId w:val="16"/>
        </w:numPr>
        <w:ind w:left="1287" w:hanging="567"/>
      </w:pPr>
      <w:r>
        <w:t xml:space="preserve">‘a financial market the operator of which is licensed under subsection 795B(1) of the </w:t>
      </w:r>
      <w:proofErr w:type="gramStart"/>
      <w:r>
        <w:t>Act, but</w:t>
      </w:r>
      <w:proofErr w:type="gramEnd"/>
      <w:r>
        <w:t xml:space="preserve"> does not include a financial market operated by an operator specified in regulation 10.15.02 of the Regulations  or any other financial market that ASIC does not have the function of supervising under section 798F of the Act.’  </w:t>
      </w:r>
    </w:p>
    <w:p w14:paraId="05C2A500" w14:textId="12F89BF3" w:rsidR="006C4146" w:rsidRDefault="006C4146" w:rsidP="006C4146">
      <w:pPr>
        <w:pStyle w:val="LI-BodyTextParaa"/>
        <w:numPr>
          <w:ilvl w:val="0"/>
          <w:numId w:val="16"/>
        </w:numPr>
      </w:pPr>
      <w:r>
        <w:t xml:space="preserve">‘Part 7.2A Market’ is </w:t>
      </w:r>
      <w:r w:rsidR="00B26207">
        <w:t>defined</w:t>
      </w:r>
      <w:r>
        <w:t xml:space="preserve"> in Rule 1.2.3 of the 2024 TRRs as:</w:t>
      </w:r>
    </w:p>
    <w:p w14:paraId="0D4379CC" w14:textId="541DF3E0" w:rsidR="006C4146" w:rsidRDefault="006C4146" w:rsidP="006C4146">
      <w:pPr>
        <w:pStyle w:val="LI-BodyTextParaa"/>
        <w:numPr>
          <w:ilvl w:val="1"/>
          <w:numId w:val="16"/>
        </w:numPr>
        <w:ind w:left="1287" w:hanging="567"/>
      </w:pPr>
      <w:r>
        <w:lastRenderedPageBreak/>
        <w:t>‘</w:t>
      </w:r>
      <w:r w:rsidRPr="006C4146">
        <w:t>a financial market to which an instrument made under subsection 798G(1) of the Act applies.</w:t>
      </w:r>
      <w:r>
        <w:t>’</w:t>
      </w:r>
    </w:p>
    <w:p w14:paraId="1C21CE17" w14:textId="7044B56F" w:rsidR="00860695" w:rsidRDefault="00860695" w:rsidP="006C4146">
      <w:pPr>
        <w:pStyle w:val="LI-BodyTextParaa"/>
        <w:numPr>
          <w:ilvl w:val="1"/>
          <w:numId w:val="16"/>
        </w:numPr>
        <w:ind w:left="1287" w:hanging="567"/>
      </w:pPr>
      <w:r>
        <w:t>The note to this definition explains that instruments made under subsection 798G(1) of the Act are market integrity rules made by ASIC.</w:t>
      </w:r>
    </w:p>
    <w:p w14:paraId="41DF5BFF" w14:textId="6FCD41C5" w:rsidR="00B557A8" w:rsidRDefault="00B557A8" w:rsidP="00B557A8">
      <w:pPr>
        <w:pStyle w:val="LI-BodyTextParaa"/>
        <w:numPr>
          <w:ilvl w:val="0"/>
          <w:numId w:val="16"/>
        </w:numPr>
      </w:pPr>
      <w:r>
        <w:t>Under subrule 1.2.4(3)</w:t>
      </w:r>
      <w:r w:rsidR="00671EF2">
        <w:t xml:space="preserve"> of </w:t>
      </w:r>
      <w:r w:rsidR="00E133CE">
        <w:t xml:space="preserve">each of </w:t>
      </w:r>
      <w:r w:rsidR="00671EF2">
        <w:t>the 2022 TRRs and 2024 TRRs</w:t>
      </w:r>
      <w:r>
        <w:t xml:space="preserve">, ASIC may determine from time to time that a financial market in a foreign jurisdictions is a ‘Regulated Foreign Market’ where, in the opinion of ASIC, the operation of the financial market in the foreign jurisdiction is subject to requirements and supervision that are sufficiently equivalent, in relation to market integrity and market transparency, to the requirements and supervision to which a Part 7.2A Market is subject in this jurisdiction. </w:t>
      </w:r>
    </w:p>
    <w:p w14:paraId="7667366C" w14:textId="66BCA12D" w:rsidR="00342411" w:rsidRDefault="00B557A8" w:rsidP="002A7268">
      <w:pPr>
        <w:pStyle w:val="LI-BodyTextParaa"/>
        <w:numPr>
          <w:ilvl w:val="0"/>
          <w:numId w:val="16"/>
        </w:numPr>
      </w:pPr>
      <w:r>
        <w:t xml:space="preserve">The consequence of a financial market being a Regulated Foreign Market is that Derivatives entered into on the Regulated Foreign Market are not OTC Derivatives under the Rules and do not need to be reported by Reporting Entities under the </w:t>
      </w:r>
      <w:r w:rsidR="00D14A55">
        <w:t>2022 TRRs and 2024 TRRs</w:t>
      </w:r>
      <w:r>
        <w:t>.</w:t>
      </w:r>
    </w:p>
    <w:p w14:paraId="454498CB" w14:textId="04EBB73F" w:rsidR="003676E0" w:rsidRDefault="003676E0" w:rsidP="003676E0">
      <w:pPr>
        <w:pStyle w:val="LI-BodyTextParaa"/>
        <w:ind w:left="570" w:firstLine="0"/>
        <w:rPr>
          <w:i/>
          <w:iCs/>
          <w:u w:val="single"/>
        </w:rPr>
      </w:pPr>
      <w:r>
        <w:rPr>
          <w:i/>
          <w:iCs/>
          <w:u w:val="single"/>
        </w:rPr>
        <w:t>Clearing Rules</w:t>
      </w:r>
    </w:p>
    <w:p w14:paraId="297B271A" w14:textId="0FD01149" w:rsidR="006A4CAF" w:rsidRDefault="006A4CAF" w:rsidP="006A4CAF">
      <w:pPr>
        <w:pStyle w:val="li-bodytextparaa0"/>
        <w:numPr>
          <w:ilvl w:val="0"/>
          <w:numId w:val="16"/>
        </w:numPr>
        <w:shd w:val="clear" w:color="auto" w:fill="FFFFFF"/>
        <w:spacing w:before="240" w:beforeAutospacing="0" w:after="0" w:afterAutospacing="0"/>
        <w:jc w:val="both"/>
        <w:rPr>
          <w:color w:val="000000"/>
        </w:rPr>
      </w:pPr>
      <w:r>
        <w:rPr>
          <w:color w:val="000000"/>
          <w:sz w:val="14"/>
          <w:szCs w:val="14"/>
        </w:rPr>
        <w:t> </w:t>
      </w:r>
      <w:r>
        <w:rPr>
          <w:color w:val="000000"/>
        </w:rPr>
        <w:t xml:space="preserve">The </w:t>
      </w:r>
      <w:r w:rsidR="000E42AE" w:rsidRPr="00585A6D">
        <w:rPr>
          <w:i/>
          <w:iCs/>
          <w:color w:val="000000"/>
        </w:rPr>
        <w:t>ASIC Derivative Transaction Rules (Clearing) 2015</w:t>
      </w:r>
      <w:r w:rsidR="000E42AE">
        <w:rPr>
          <w:color w:val="000000"/>
        </w:rPr>
        <w:t xml:space="preserve"> (</w:t>
      </w:r>
      <w:r w:rsidRPr="000E42AE">
        <w:rPr>
          <w:b/>
          <w:bCs/>
          <w:i/>
          <w:iCs/>
          <w:color w:val="000000"/>
        </w:rPr>
        <w:t>Clearing Rules</w:t>
      </w:r>
      <w:r w:rsidR="000E42AE">
        <w:rPr>
          <w:color w:val="000000"/>
        </w:rPr>
        <w:t>)</w:t>
      </w:r>
      <w:r>
        <w:rPr>
          <w:color w:val="000000"/>
        </w:rPr>
        <w:t>, made under section 901A of the Act, impose requirements (referred to as ‘clearing requirements’) for derivative transactions to be cleared through a licensed or prescribed clearing and settlement facility.</w:t>
      </w:r>
    </w:p>
    <w:p w14:paraId="0C978846" w14:textId="2C5597FB" w:rsidR="006A4CAF" w:rsidRDefault="006A4CAF" w:rsidP="006A4CAF">
      <w:pPr>
        <w:pStyle w:val="li-bodytextparaa0"/>
        <w:numPr>
          <w:ilvl w:val="0"/>
          <w:numId w:val="16"/>
        </w:numPr>
        <w:shd w:val="clear" w:color="auto" w:fill="FFFFFF"/>
        <w:spacing w:before="240" w:beforeAutospacing="0" w:after="0" w:afterAutospacing="0"/>
        <w:jc w:val="both"/>
        <w:rPr>
          <w:color w:val="000000"/>
        </w:rPr>
      </w:pPr>
      <w:r>
        <w:rPr>
          <w:color w:val="000000"/>
        </w:rPr>
        <w:t xml:space="preserve">The Clearing Rules generally apply to transactions in relation to “Clearing Derivatives” as defined in Rule 1.2.3 of the Clearing Rules. Subrule 1.2.3(7) of the Clearing Rules carves out certain exchange-traded derivatives from the definition of “Clearing Derivative” for the purposes of the Clearing Rules, being derivatives entered into on or reported to a “Part 7.2A Market” or entered into on a “Regulated Foreign Market” or an “Exempt Financial Market” and that are able to be traded on a Part 7.2A Market, a Regulated Foreign </w:t>
      </w:r>
      <w:proofErr w:type="gramStart"/>
      <w:r>
        <w:rPr>
          <w:color w:val="000000"/>
        </w:rPr>
        <w:t>Market</w:t>
      </w:r>
      <w:proofErr w:type="gramEnd"/>
      <w:r>
        <w:rPr>
          <w:color w:val="000000"/>
        </w:rPr>
        <w:t xml:space="preserve"> or an Exempt Financial Market. For this purpose, Rule 1.2.1 </w:t>
      </w:r>
      <w:r w:rsidR="00992F3F">
        <w:rPr>
          <w:color w:val="000000"/>
        </w:rPr>
        <w:t>of the Clearing Rules</w:t>
      </w:r>
      <w:r w:rsidR="007C215C">
        <w:rPr>
          <w:color w:val="000000"/>
        </w:rPr>
        <w:t xml:space="preserve"> </w:t>
      </w:r>
      <w:r>
        <w:rPr>
          <w:color w:val="000000"/>
        </w:rPr>
        <w:t>defines “Regulated Foreign Market” to mean:</w:t>
      </w:r>
    </w:p>
    <w:p w14:paraId="7C1A2FA6" w14:textId="77777777" w:rsidR="006A4CAF" w:rsidRDefault="006A4CAF" w:rsidP="006A4CAF">
      <w:pPr>
        <w:pStyle w:val="li-bodytextparaa0"/>
        <w:numPr>
          <w:ilvl w:val="1"/>
          <w:numId w:val="16"/>
        </w:numPr>
        <w:shd w:val="clear" w:color="auto" w:fill="FFFFFF"/>
        <w:spacing w:before="240" w:beforeAutospacing="0" w:after="0" w:afterAutospacing="0"/>
        <w:ind w:left="1287" w:hanging="567"/>
        <w:jc w:val="both"/>
        <w:rPr>
          <w:color w:val="000000"/>
        </w:rPr>
      </w:pPr>
      <w:r w:rsidRPr="006A4CAF">
        <w:rPr>
          <w:color w:val="000000"/>
        </w:rPr>
        <w:t>a CFTC Regulated Market;</w:t>
      </w:r>
    </w:p>
    <w:p w14:paraId="3358E9D8" w14:textId="77777777" w:rsidR="006A4CAF" w:rsidRDefault="006A4CAF" w:rsidP="006A4CAF">
      <w:pPr>
        <w:pStyle w:val="li-bodytextparaa0"/>
        <w:numPr>
          <w:ilvl w:val="1"/>
          <w:numId w:val="16"/>
        </w:numPr>
        <w:shd w:val="clear" w:color="auto" w:fill="FFFFFF"/>
        <w:spacing w:before="240" w:beforeAutospacing="0" w:after="0" w:afterAutospacing="0"/>
        <w:ind w:left="1287" w:hanging="567"/>
        <w:jc w:val="both"/>
        <w:rPr>
          <w:color w:val="000000"/>
        </w:rPr>
      </w:pPr>
      <w:r w:rsidRPr="006A4CAF">
        <w:rPr>
          <w:color w:val="000000"/>
          <w:sz w:val="14"/>
          <w:szCs w:val="14"/>
        </w:rPr>
        <w:t> </w:t>
      </w:r>
      <w:r w:rsidRPr="006A4CAF">
        <w:rPr>
          <w:color w:val="000000"/>
        </w:rPr>
        <w:t>an EU Regulated Market;</w:t>
      </w:r>
    </w:p>
    <w:p w14:paraId="6ADD90CC" w14:textId="6D1F41DF" w:rsidR="006A4CAF" w:rsidRPr="006A4CAF" w:rsidRDefault="006A4CAF" w:rsidP="006A4CAF">
      <w:pPr>
        <w:pStyle w:val="li-bodytextparaa0"/>
        <w:numPr>
          <w:ilvl w:val="1"/>
          <w:numId w:val="16"/>
        </w:numPr>
        <w:shd w:val="clear" w:color="auto" w:fill="FFFFFF"/>
        <w:spacing w:before="240" w:beforeAutospacing="0" w:after="0" w:afterAutospacing="0"/>
        <w:ind w:left="1287" w:hanging="567"/>
        <w:jc w:val="both"/>
        <w:rPr>
          <w:color w:val="000000"/>
        </w:rPr>
      </w:pPr>
      <w:r w:rsidRPr="006A4CAF">
        <w:rPr>
          <w:color w:val="000000"/>
        </w:rPr>
        <w:t xml:space="preserve">a financial market that is a financial market, or is in a class of financial markets, that has been determined by ASIC as a Regulated Foreign Market under subrule 1.2.4(3) of the </w:t>
      </w:r>
      <w:r w:rsidR="000D4178">
        <w:rPr>
          <w:color w:val="000000"/>
        </w:rPr>
        <w:t>2022 TRRs</w:t>
      </w:r>
      <w:r w:rsidR="00E97973">
        <w:rPr>
          <w:color w:val="000000"/>
        </w:rPr>
        <w:t xml:space="preserve"> or 2024 TRRs</w:t>
      </w:r>
      <w:r w:rsidRPr="006A4CAF">
        <w:rPr>
          <w:color w:val="000000"/>
        </w:rPr>
        <w:t>.</w:t>
      </w:r>
    </w:p>
    <w:p w14:paraId="61E19146" w14:textId="468647D8" w:rsidR="003676E0" w:rsidRPr="006A4CAF" w:rsidRDefault="006A4CAF" w:rsidP="006A4CAF">
      <w:pPr>
        <w:pStyle w:val="li-bodytextparaa0"/>
        <w:numPr>
          <w:ilvl w:val="0"/>
          <w:numId w:val="16"/>
        </w:numPr>
        <w:shd w:val="clear" w:color="auto" w:fill="FFFFFF"/>
        <w:spacing w:before="240" w:beforeAutospacing="0" w:after="0" w:afterAutospacing="0"/>
        <w:jc w:val="both"/>
        <w:rPr>
          <w:color w:val="000000"/>
        </w:rPr>
      </w:pPr>
      <w:r>
        <w:rPr>
          <w:color w:val="000000"/>
        </w:rPr>
        <w:t xml:space="preserve">Accordingly, any determination of a Regulated Foreign Market for the purposes of subrule 1.2.4(3) of </w:t>
      </w:r>
      <w:r w:rsidR="007107D9">
        <w:rPr>
          <w:color w:val="000000"/>
        </w:rPr>
        <w:t xml:space="preserve">each of </w:t>
      </w:r>
      <w:r>
        <w:rPr>
          <w:color w:val="000000"/>
        </w:rPr>
        <w:t xml:space="preserve">the </w:t>
      </w:r>
      <w:r w:rsidR="004E03F7">
        <w:rPr>
          <w:color w:val="000000"/>
        </w:rPr>
        <w:t>2022 TRRs and 2024 TRRs</w:t>
      </w:r>
      <w:r>
        <w:rPr>
          <w:color w:val="000000"/>
        </w:rPr>
        <w:t xml:space="preserve"> also affects the operation of the Clearing Rules.</w:t>
      </w:r>
    </w:p>
    <w:p w14:paraId="3FEFE29E" w14:textId="30D924F2" w:rsidR="009A3F74" w:rsidRPr="00B557A8" w:rsidRDefault="009A3F74" w:rsidP="00B557A8">
      <w:pPr>
        <w:pStyle w:val="LI-BodyTextParaa"/>
        <w:ind w:left="0" w:firstLine="0"/>
      </w:pPr>
      <w:r w:rsidRPr="00B557A8">
        <w:rPr>
          <w:b/>
        </w:rPr>
        <w:t>Consultation</w:t>
      </w:r>
    </w:p>
    <w:p w14:paraId="70D595B2" w14:textId="50AD835C" w:rsidR="009A3F74" w:rsidRPr="00A03B2D" w:rsidRDefault="00484D3E" w:rsidP="005D0D90">
      <w:pPr>
        <w:pStyle w:val="LI-BodyTextParaa"/>
        <w:numPr>
          <w:ilvl w:val="0"/>
          <w:numId w:val="16"/>
        </w:numPr>
        <w:rPr>
          <w:bCs/>
        </w:rPr>
      </w:pPr>
      <w:r>
        <w:lastRenderedPageBreak/>
        <w:t xml:space="preserve">ASIC has consulted bilaterally with industry associations </w:t>
      </w:r>
      <w:r w:rsidR="00DF4484">
        <w:t>on</w:t>
      </w:r>
      <w:r w:rsidR="00E426FA">
        <w:t xml:space="preserve"> ASIC’s proposal</w:t>
      </w:r>
      <w:r>
        <w:t xml:space="preserve"> to remake the </w:t>
      </w:r>
      <w:r w:rsidRPr="00484D3E">
        <w:t>ASIC Regulated Foreign Markets Determination [OTC DET 13/1145], in its current state with no changes.</w:t>
      </w:r>
      <w:r w:rsidR="009A74AF">
        <w:t xml:space="preserve"> There were no objections raised by the industry associations to </w:t>
      </w:r>
      <w:r w:rsidR="00D5495B">
        <w:t>the proposal.</w:t>
      </w:r>
      <w:r w:rsidR="009A74AF">
        <w:t xml:space="preserve"> </w:t>
      </w:r>
    </w:p>
    <w:p w14:paraId="1E612122" w14:textId="3C37D2F0" w:rsidR="00A03B2D" w:rsidRPr="00484D3E" w:rsidRDefault="00A03B2D" w:rsidP="005D0D90">
      <w:pPr>
        <w:pStyle w:val="LI-BodyTextParaa"/>
        <w:numPr>
          <w:ilvl w:val="0"/>
          <w:numId w:val="16"/>
        </w:numPr>
        <w:rPr>
          <w:bCs/>
        </w:rPr>
      </w:pPr>
      <w:r w:rsidRPr="00A03B2D">
        <w:t>ASIC has consulted with the Office of Impact Analysis (</w:t>
      </w:r>
      <w:r w:rsidRPr="00E63DF9">
        <w:rPr>
          <w:b/>
          <w:bCs/>
          <w:i/>
          <w:iCs/>
        </w:rPr>
        <w:t>OIA</w:t>
      </w:r>
      <w:r w:rsidRPr="00A03B2D">
        <w:t>) in relation to whether an Impact Analysis (</w:t>
      </w:r>
      <w:r w:rsidRPr="00E63DF9">
        <w:rPr>
          <w:b/>
          <w:bCs/>
          <w:i/>
          <w:iCs/>
        </w:rPr>
        <w:t>IA</w:t>
      </w:r>
      <w:r w:rsidRPr="00A03B2D">
        <w:t>) would be required. OIA advised that the preparation of an IA was not required because it assessed the proposal as unlikely to have a more than minor regulatory impact.</w:t>
      </w:r>
    </w:p>
    <w:p w14:paraId="4CDCC6BF" w14:textId="77777777" w:rsidR="005D1FEA" w:rsidRDefault="005D1FEA" w:rsidP="006D6079">
      <w:pPr>
        <w:pStyle w:val="LI-BodyTextNumbered"/>
        <w:keepNext/>
        <w:ind w:left="0" w:firstLine="0"/>
        <w:rPr>
          <w:b/>
        </w:rPr>
      </w:pPr>
      <w:r>
        <w:rPr>
          <w:b/>
        </w:rPr>
        <w:t>Operation of the instrument</w:t>
      </w:r>
    </w:p>
    <w:p w14:paraId="645B8585" w14:textId="287D2744" w:rsidR="00D13218" w:rsidRPr="00D13218" w:rsidRDefault="00D13218" w:rsidP="00D13218">
      <w:pPr>
        <w:pStyle w:val="LI-BodyTextParaa"/>
        <w:ind w:left="0" w:firstLine="0"/>
        <w:rPr>
          <w:iCs/>
        </w:rPr>
      </w:pPr>
      <w:r>
        <w:rPr>
          <w:b/>
          <w:bCs/>
          <w:color w:val="000000"/>
          <w:shd w:val="clear" w:color="auto" w:fill="FFFFFF"/>
        </w:rPr>
        <w:t>Part 1 – Preliminary</w:t>
      </w:r>
    </w:p>
    <w:p w14:paraId="5251BA90" w14:textId="06996697" w:rsidR="00D13218" w:rsidRPr="00D13218" w:rsidRDefault="00D13218" w:rsidP="00D13218">
      <w:pPr>
        <w:pStyle w:val="LI-BodyTextParaa"/>
        <w:numPr>
          <w:ilvl w:val="0"/>
          <w:numId w:val="16"/>
        </w:numPr>
        <w:rPr>
          <w:i/>
        </w:rPr>
      </w:pPr>
      <w:r>
        <w:t xml:space="preserve">Section 2 of the instrument provides for a staggered and </w:t>
      </w:r>
      <w:r w:rsidR="006F46FF">
        <w:t xml:space="preserve">partly </w:t>
      </w:r>
      <w:r>
        <w:t>retrospective commencement of the instrument such that:</w:t>
      </w:r>
    </w:p>
    <w:p w14:paraId="0CC78F3A" w14:textId="50612666" w:rsidR="00D13218" w:rsidRPr="00D13218" w:rsidRDefault="00D13218" w:rsidP="00D13218">
      <w:pPr>
        <w:pStyle w:val="LI-BodyTextParaa"/>
        <w:numPr>
          <w:ilvl w:val="1"/>
          <w:numId w:val="16"/>
        </w:numPr>
        <w:ind w:left="1287" w:hanging="567"/>
        <w:rPr>
          <w:i/>
        </w:rPr>
      </w:pPr>
      <w:r>
        <w:rPr>
          <w:iCs/>
        </w:rPr>
        <w:t>The instrument (other than section 5</w:t>
      </w:r>
      <w:r w:rsidR="0090345F">
        <w:rPr>
          <w:iCs/>
        </w:rPr>
        <w:t>)</w:t>
      </w:r>
      <w:r>
        <w:rPr>
          <w:iCs/>
        </w:rPr>
        <w:t xml:space="preserve"> commences on the day after it is registered on the Federal Register of Legislation;</w:t>
      </w:r>
    </w:p>
    <w:p w14:paraId="6F760DDE" w14:textId="3A0AE954" w:rsidR="00D13218" w:rsidRPr="002C127D" w:rsidRDefault="00D13218" w:rsidP="00D13218">
      <w:pPr>
        <w:pStyle w:val="LI-BodyTextParaa"/>
        <w:numPr>
          <w:ilvl w:val="1"/>
          <w:numId w:val="16"/>
        </w:numPr>
        <w:ind w:left="1287" w:hanging="567"/>
        <w:rPr>
          <w:i/>
        </w:rPr>
      </w:pPr>
      <w:r>
        <w:rPr>
          <w:iCs/>
        </w:rPr>
        <w:t>Subsection</w:t>
      </w:r>
      <w:r w:rsidR="00C07414">
        <w:rPr>
          <w:iCs/>
        </w:rPr>
        <w:t>s</w:t>
      </w:r>
      <w:r>
        <w:rPr>
          <w:iCs/>
        </w:rPr>
        <w:t xml:space="preserve"> 5(1) </w:t>
      </w:r>
      <w:r w:rsidR="00C07414">
        <w:rPr>
          <w:iCs/>
        </w:rPr>
        <w:t xml:space="preserve">and (3) </w:t>
      </w:r>
      <w:r>
        <w:rPr>
          <w:iCs/>
        </w:rPr>
        <w:t xml:space="preserve">of the instrument retrospectively commence on 21 December 2022 </w:t>
      </w:r>
      <w:r w:rsidR="004710E5">
        <w:rPr>
          <w:iCs/>
        </w:rPr>
        <w:t xml:space="preserve">(being </w:t>
      </w:r>
      <w:r>
        <w:rPr>
          <w:iCs/>
        </w:rPr>
        <w:t xml:space="preserve">the </w:t>
      </w:r>
      <w:r w:rsidR="004710E5">
        <w:rPr>
          <w:iCs/>
        </w:rPr>
        <w:t xml:space="preserve">day </w:t>
      </w:r>
      <w:r>
        <w:rPr>
          <w:iCs/>
        </w:rPr>
        <w:t xml:space="preserve">the </w:t>
      </w:r>
      <w:r w:rsidR="009E4C10">
        <w:rPr>
          <w:iCs/>
        </w:rPr>
        <w:t>2022 TRRs</w:t>
      </w:r>
      <w:r w:rsidR="004710E5">
        <w:rPr>
          <w:iCs/>
        </w:rPr>
        <w:t xml:space="preserve"> commenced)</w:t>
      </w:r>
      <w:r w:rsidR="002C127D">
        <w:rPr>
          <w:iCs/>
        </w:rPr>
        <w:t>; and</w:t>
      </w:r>
    </w:p>
    <w:p w14:paraId="67C148E6" w14:textId="3F2556D9" w:rsidR="002C127D" w:rsidRDefault="002C127D" w:rsidP="00D13218">
      <w:pPr>
        <w:pStyle w:val="LI-BodyTextParaa"/>
        <w:numPr>
          <w:ilvl w:val="1"/>
          <w:numId w:val="16"/>
        </w:numPr>
        <w:ind w:left="1287" w:hanging="567"/>
        <w:rPr>
          <w:i/>
        </w:rPr>
      </w:pPr>
      <w:r>
        <w:rPr>
          <w:iCs/>
        </w:rPr>
        <w:t>Subsection 5(2) commences on 21 October 2024 upon the commencement of the</w:t>
      </w:r>
      <w:r w:rsidR="009E4C10">
        <w:rPr>
          <w:iCs/>
        </w:rPr>
        <w:t xml:space="preserve"> 2024 TRRs</w:t>
      </w:r>
      <w:r>
        <w:rPr>
          <w:iCs/>
        </w:rPr>
        <w:t>.</w:t>
      </w:r>
    </w:p>
    <w:p w14:paraId="30A16491" w14:textId="62E396B5" w:rsidR="00A7213C" w:rsidRPr="00A7213C" w:rsidRDefault="00A7213C" w:rsidP="00CA7767">
      <w:pPr>
        <w:pStyle w:val="LI-BodyTextParaa"/>
        <w:numPr>
          <w:ilvl w:val="0"/>
          <w:numId w:val="16"/>
        </w:numPr>
        <w:rPr>
          <w:i/>
        </w:rPr>
      </w:pPr>
      <w:r>
        <w:rPr>
          <w:iCs/>
        </w:rPr>
        <w:t xml:space="preserve">The retrospective commencement in subsection 5(1) of the instrument is </w:t>
      </w:r>
      <w:r w:rsidR="003D60E7">
        <w:rPr>
          <w:iCs/>
        </w:rPr>
        <w:t xml:space="preserve">discussed in paragraph </w:t>
      </w:r>
      <w:r w:rsidR="003D60E7" w:rsidRPr="002E1C5B">
        <w:rPr>
          <w:iCs/>
        </w:rPr>
        <w:t>25</w:t>
      </w:r>
      <w:r w:rsidR="003D60E7">
        <w:rPr>
          <w:iCs/>
        </w:rPr>
        <w:t xml:space="preserve"> below and </w:t>
      </w:r>
      <w:r>
        <w:rPr>
          <w:iCs/>
        </w:rPr>
        <w:t>address</w:t>
      </w:r>
      <w:r w:rsidR="003D60E7">
        <w:rPr>
          <w:iCs/>
        </w:rPr>
        <w:t>es</w:t>
      </w:r>
      <w:r>
        <w:rPr>
          <w:iCs/>
        </w:rPr>
        <w:t xml:space="preserve"> </w:t>
      </w:r>
      <w:r w:rsidR="00CD72A4">
        <w:rPr>
          <w:iCs/>
        </w:rPr>
        <w:t>the</w:t>
      </w:r>
      <w:r w:rsidR="003D60E7">
        <w:rPr>
          <w:iCs/>
        </w:rPr>
        <w:t xml:space="preserve"> likely repeal of</w:t>
      </w:r>
      <w:r w:rsidR="00CD72A4">
        <w:rPr>
          <w:iCs/>
        </w:rPr>
        <w:t xml:space="preserve"> </w:t>
      </w:r>
      <w:r w:rsidR="000278CB">
        <w:rPr>
          <w:iCs/>
        </w:rPr>
        <w:t xml:space="preserve">the 2013 Determination as a result of </w:t>
      </w:r>
      <w:r>
        <w:rPr>
          <w:iCs/>
        </w:rPr>
        <w:t xml:space="preserve">the repeal and replacement of the 2013 </w:t>
      </w:r>
      <w:r w:rsidR="000278CB">
        <w:rPr>
          <w:iCs/>
        </w:rPr>
        <w:t>TRR</w:t>
      </w:r>
      <w:r w:rsidR="00DF5FD1">
        <w:rPr>
          <w:iCs/>
        </w:rPr>
        <w:t>s</w:t>
      </w:r>
      <w:r w:rsidR="000278CB">
        <w:rPr>
          <w:iCs/>
        </w:rPr>
        <w:t xml:space="preserve"> </w:t>
      </w:r>
      <w:r>
        <w:rPr>
          <w:iCs/>
        </w:rPr>
        <w:t>with the 2022 TRRs.</w:t>
      </w:r>
    </w:p>
    <w:p w14:paraId="581C552C" w14:textId="2AFF7AB1" w:rsidR="00CA7767" w:rsidRDefault="003648EA" w:rsidP="00CA7767">
      <w:pPr>
        <w:pStyle w:val="LI-BodyTextParaa"/>
        <w:numPr>
          <w:ilvl w:val="0"/>
          <w:numId w:val="16"/>
        </w:numPr>
        <w:rPr>
          <w:i/>
        </w:rPr>
      </w:pPr>
      <w:r>
        <w:rPr>
          <w:iCs/>
        </w:rPr>
        <w:t xml:space="preserve">Section 3 of the instrument provides that this instrument is made under subrules 1.2.4(3) and (5) of the </w:t>
      </w:r>
      <w:r w:rsidR="009E4C10">
        <w:t>2022 TRRs</w:t>
      </w:r>
      <w:r>
        <w:rPr>
          <w:i/>
          <w:iCs/>
        </w:rPr>
        <w:t xml:space="preserve"> </w:t>
      </w:r>
      <w:r>
        <w:t>and subrules 1.2.4(3)</w:t>
      </w:r>
      <w:r w:rsidRPr="005D3D41">
        <w:t xml:space="preserve"> </w:t>
      </w:r>
      <w:r>
        <w:t xml:space="preserve">and (5) </w:t>
      </w:r>
      <w:r w:rsidRPr="005D3D41">
        <w:t>of</w:t>
      </w:r>
      <w:r>
        <w:t xml:space="preserve"> the</w:t>
      </w:r>
      <w:r w:rsidR="009E4C10">
        <w:t xml:space="preserve"> 2024 TRRs</w:t>
      </w:r>
      <w:r w:rsidRPr="008C0F29">
        <w:t>.</w:t>
      </w:r>
    </w:p>
    <w:p w14:paraId="613E81C4" w14:textId="41C102F6" w:rsidR="00CA7767" w:rsidRPr="00CA7767" w:rsidRDefault="00CA7767" w:rsidP="00CA7767">
      <w:pPr>
        <w:pStyle w:val="LI-BodyTextParaa"/>
        <w:ind w:left="0" w:firstLine="0"/>
        <w:rPr>
          <w:iCs/>
        </w:rPr>
      </w:pPr>
      <w:r>
        <w:rPr>
          <w:b/>
          <w:bCs/>
          <w:color w:val="000000"/>
          <w:shd w:val="clear" w:color="auto" w:fill="FFFFFF"/>
        </w:rPr>
        <w:t>Part 2 – Determination</w:t>
      </w:r>
    </w:p>
    <w:p w14:paraId="39DE35BE" w14:textId="34F0174A" w:rsidR="00D418E5" w:rsidRPr="00585A6D" w:rsidRDefault="00CA7767" w:rsidP="005D0D90">
      <w:pPr>
        <w:pStyle w:val="LI-BodyTextParaa"/>
        <w:numPr>
          <w:ilvl w:val="0"/>
          <w:numId w:val="16"/>
        </w:numPr>
        <w:rPr>
          <w:i/>
        </w:rPr>
      </w:pPr>
      <w:r>
        <w:t xml:space="preserve">Section 5 of the instrument sets out the list of financial markets that are specified as Regulated Foreign Markets for the purposes of </w:t>
      </w:r>
      <w:r w:rsidR="009E4C10">
        <w:t>subrule 1.2.4(3) of</w:t>
      </w:r>
      <w:r w:rsidR="00874234">
        <w:t xml:space="preserve"> each of</w:t>
      </w:r>
      <w:r w:rsidR="009E4C10">
        <w:t xml:space="preserve"> the 2022 TRRs and 2024 TRRs</w:t>
      </w:r>
      <w:r w:rsidR="00D418E5">
        <w:t xml:space="preserve"> as follows:</w:t>
      </w:r>
    </w:p>
    <w:p w14:paraId="4984BCFD" w14:textId="78E7805B" w:rsidR="00D418E5" w:rsidRPr="00585A6D" w:rsidRDefault="004D3C97" w:rsidP="00585A6D">
      <w:pPr>
        <w:pStyle w:val="LI-BodyTextParaa"/>
        <w:numPr>
          <w:ilvl w:val="1"/>
          <w:numId w:val="16"/>
        </w:numPr>
        <w:ind w:left="1134" w:hanging="567"/>
        <w:rPr>
          <w:i/>
        </w:rPr>
      </w:pPr>
      <w:r>
        <w:t xml:space="preserve">Subsection 5(1) </w:t>
      </w:r>
      <w:r w:rsidR="002C06C5">
        <w:t xml:space="preserve">(which commences on 21 December 2022) </w:t>
      </w:r>
      <w:r>
        <w:t xml:space="preserve">determines </w:t>
      </w:r>
      <w:r w:rsidR="002C06C5">
        <w:t>the Regulated Foreign Markets</w:t>
      </w:r>
      <w:r w:rsidR="00C07414">
        <w:t xml:space="preserve"> specified in </w:t>
      </w:r>
      <w:r w:rsidR="00ED384C">
        <w:t>subsection 5(3)</w:t>
      </w:r>
      <w:r w:rsidR="002C06C5">
        <w:t xml:space="preserve"> for the purposes of subrule 1.2.4(3) of the </w:t>
      </w:r>
      <w:r w:rsidR="00960C37">
        <w:t>2022 TRRs</w:t>
      </w:r>
      <w:r w:rsidR="00D418E5">
        <w:t>; and</w:t>
      </w:r>
      <w:r w:rsidR="00960C37">
        <w:t xml:space="preserve"> </w:t>
      </w:r>
    </w:p>
    <w:p w14:paraId="33FAEDAD" w14:textId="7A76A1D2" w:rsidR="00474B52" w:rsidRPr="001B6A17" w:rsidRDefault="00960C37" w:rsidP="00585A6D">
      <w:pPr>
        <w:pStyle w:val="LI-BodyTextParaa"/>
        <w:numPr>
          <w:ilvl w:val="1"/>
          <w:numId w:val="16"/>
        </w:numPr>
        <w:ind w:left="1134" w:hanging="567"/>
        <w:rPr>
          <w:i/>
        </w:rPr>
      </w:pPr>
      <w:r>
        <w:t>Subsection 5(</w:t>
      </w:r>
      <w:r w:rsidR="00454BA1">
        <w:t>2</w:t>
      </w:r>
      <w:r>
        <w:t xml:space="preserve">) (which commences on 21 </w:t>
      </w:r>
      <w:r w:rsidR="00454BA1">
        <w:t>October</w:t>
      </w:r>
      <w:r>
        <w:t xml:space="preserve"> 202</w:t>
      </w:r>
      <w:r w:rsidR="00454BA1">
        <w:t>4</w:t>
      </w:r>
      <w:r>
        <w:t xml:space="preserve">) determines the Regulated Foreign Markets </w:t>
      </w:r>
      <w:r w:rsidR="00ED384C">
        <w:t xml:space="preserve">specified in subsection 5(3) </w:t>
      </w:r>
      <w:r>
        <w:t>for the purposes of subrule 1.2.4(3) of the 2024 TRRs.</w:t>
      </w:r>
    </w:p>
    <w:p w14:paraId="4789663F" w14:textId="3C14E986" w:rsidR="00A40AAA" w:rsidRPr="00CA7767" w:rsidRDefault="00A40AAA" w:rsidP="00A40AAA">
      <w:pPr>
        <w:pStyle w:val="LI-BodyTextParaa"/>
        <w:ind w:left="0" w:firstLine="0"/>
        <w:rPr>
          <w:iCs/>
        </w:rPr>
      </w:pPr>
      <w:r>
        <w:rPr>
          <w:b/>
          <w:bCs/>
          <w:color w:val="000000"/>
          <w:shd w:val="clear" w:color="auto" w:fill="FFFFFF"/>
        </w:rPr>
        <w:t>Part 3 – Notice of Withdrawal</w:t>
      </w:r>
    </w:p>
    <w:p w14:paraId="6A5D175F" w14:textId="3F27A7B7" w:rsidR="00B573E4" w:rsidRPr="00B573E4" w:rsidRDefault="00A40AAA" w:rsidP="00A40AAA">
      <w:pPr>
        <w:pStyle w:val="LI-BodyTextParaa"/>
        <w:numPr>
          <w:ilvl w:val="0"/>
          <w:numId w:val="16"/>
        </w:numPr>
        <w:rPr>
          <w:i/>
        </w:rPr>
      </w:pPr>
      <w:r>
        <w:lastRenderedPageBreak/>
        <w:t>Section 6 of the instrument set</w:t>
      </w:r>
      <w:r w:rsidR="00586255">
        <w:t>s</w:t>
      </w:r>
      <w:r>
        <w:t xml:space="preserve"> out</w:t>
      </w:r>
      <w:r w:rsidR="00993408">
        <w:t xml:space="preserve"> the notice of withdrawal</w:t>
      </w:r>
      <w:r w:rsidR="003D2FA3">
        <w:t xml:space="preserve"> as required under subrule 1.2.4(5) of the 2022 TRRs and 2024 TRRs</w:t>
      </w:r>
      <w:r w:rsidR="00F96FAC">
        <w:t xml:space="preserve"> (which require </w:t>
      </w:r>
      <w:r w:rsidR="00ED4371">
        <w:t xml:space="preserve">a minimum of one </w:t>
      </w:r>
      <w:r w:rsidR="00F96FAC">
        <w:t>month’s notice of withdrawal</w:t>
      </w:r>
      <w:r w:rsidR="00ED4371">
        <w:t>)</w:t>
      </w:r>
      <w:r w:rsidR="00B573E4">
        <w:t>:</w:t>
      </w:r>
    </w:p>
    <w:p w14:paraId="2C3688F6" w14:textId="2E1F7532" w:rsidR="00B573E4" w:rsidRPr="0033483F" w:rsidRDefault="0033483F" w:rsidP="005D23BC">
      <w:pPr>
        <w:pStyle w:val="LI-BodyTextParaa"/>
        <w:numPr>
          <w:ilvl w:val="1"/>
          <w:numId w:val="16"/>
        </w:numPr>
        <w:ind w:left="1287" w:hanging="567"/>
        <w:rPr>
          <w:i/>
        </w:rPr>
      </w:pPr>
      <w:r>
        <w:t xml:space="preserve">To the extent that it is still in force, </w:t>
      </w:r>
      <w:r w:rsidR="00B573E4">
        <w:t xml:space="preserve">the </w:t>
      </w:r>
      <w:r w:rsidR="00FD5728">
        <w:t xml:space="preserve">2013 Determination </w:t>
      </w:r>
      <w:r>
        <w:t xml:space="preserve">is withdrawn at the start of the day that is one month after the day </w:t>
      </w:r>
      <w:r w:rsidR="00FD5728">
        <w:t xml:space="preserve">the </w:t>
      </w:r>
      <w:r>
        <w:t>instrument is registered on the Federal Register of Legislation;</w:t>
      </w:r>
    </w:p>
    <w:p w14:paraId="0C67B9B1" w14:textId="6D0B2ACE" w:rsidR="0033483F" w:rsidRPr="0033483F" w:rsidRDefault="0033483F" w:rsidP="005D23BC">
      <w:pPr>
        <w:pStyle w:val="LI-BodyTextParaa"/>
        <w:numPr>
          <w:ilvl w:val="1"/>
          <w:numId w:val="16"/>
        </w:numPr>
        <w:ind w:left="1287" w:hanging="567"/>
        <w:rPr>
          <w:i/>
        </w:rPr>
      </w:pPr>
      <w:r>
        <w:t>The determination in subsection 5(1) of the instrument is withdrawn at the start of 21 October 2024</w:t>
      </w:r>
      <w:r w:rsidR="00AF7C6E">
        <w:t xml:space="preserve"> (being the time the 2024 TRRs commence)</w:t>
      </w:r>
      <w:r>
        <w:t>; and</w:t>
      </w:r>
    </w:p>
    <w:p w14:paraId="6B2A231E" w14:textId="655E47EA" w:rsidR="0033483F" w:rsidRPr="00B573E4" w:rsidRDefault="0033483F" w:rsidP="005D23BC">
      <w:pPr>
        <w:pStyle w:val="LI-BodyTextParaa"/>
        <w:numPr>
          <w:ilvl w:val="1"/>
          <w:numId w:val="16"/>
        </w:numPr>
        <w:ind w:left="1287" w:hanging="567"/>
        <w:rPr>
          <w:i/>
        </w:rPr>
      </w:pPr>
      <w:r>
        <w:t xml:space="preserve">The determination in subsection 5(2) is withdrawn at the start of 1 </w:t>
      </w:r>
      <w:r w:rsidR="00A32F71">
        <w:t>April</w:t>
      </w:r>
      <w:r>
        <w:t xml:space="preserve"> 20</w:t>
      </w:r>
      <w:r w:rsidR="00A32F71">
        <w:t>33</w:t>
      </w:r>
      <w:r w:rsidR="00AF7C6E">
        <w:t xml:space="preserve"> (being the time the 2024 TRRs sunset)</w:t>
      </w:r>
      <w:r>
        <w:t>.</w:t>
      </w:r>
    </w:p>
    <w:p w14:paraId="7D64CC4F" w14:textId="1B2D5E14" w:rsidR="00A40AAA" w:rsidRPr="00CA7767" w:rsidRDefault="00A40AAA" w:rsidP="00A40AAA">
      <w:pPr>
        <w:pStyle w:val="LI-BodyTextParaa"/>
        <w:ind w:left="0" w:firstLine="0"/>
        <w:rPr>
          <w:iCs/>
        </w:rPr>
      </w:pPr>
      <w:r>
        <w:rPr>
          <w:b/>
          <w:bCs/>
          <w:color w:val="000000"/>
          <w:shd w:val="clear" w:color="auto" w:fill="FFFFFF"/>
        </w:rPr>
        <w:t>Part 4 – Repeal</w:t>
      </w:r>
    </w:p>
    <w:p w14:paraId="5A5CAB0D" w14:textId="00E50B2B" w:rsidR="005D23BC" w:rsidRPr="006A320E" w:rsidRDefault="00586255" w:rsidP="005D23BC">
      <w:pPr>
        <w:pStyle w:val="LI-BodyTextParaa"/>
        <w:numPr>
          <w:ilvl w:val="0"/>
          <w:numId w:val="16"/>
        </w:numPr>
        <w:rPr>
          <w:i/>
        </w:rPr>
      </w:pPr>
      <w:r>
        <w:t xml:space="preserve">Section 7 of Part 4 of the instrument sets </w:t>
      </w:r>
      <w:r w:rsidR="006A320E">
        <w:t xml:space="preserve">out </w:t>
      </w:r>
      <w:r w:rsidR="005D23BC">
        <w:t>that:</w:t>
      </w:r>
    </w:p>
    <w:p w14:paraId="6DEA2FB5" w14:textId="02F3191E" w:rsidR="006A320E" w:rsidRDefault="006A320E" w:rsidP="006A320E">
      <w:pPr>
        <w:pStyle w:val="LI-BodyTextParaa"/>
        <w:numPr>
          <w:ilvl w:val="1"/>
          <w:numId w:val="16"/>
        </w:numPr>
        <w:ind w:left="1287" w:hanging="567"/>
        <w:rPr>
          <w:i/>
        </w:rPr>
      </w:pPr>
      <w:r>
        <w:t xml:space="preserve">To the extent that it is still in force, the </w:t>
      </w:r>
      <w:r w:rsidR="000D02EC">
        <w:t>2013 Determination</w:t>
      </w:r>
      <w:r>
        <w:t xml:space="preserve"> is repealed at the start of the day that is one month after the day </w:t>
      </w:r>
      <w:r w:rsidR="00113283">
        <w:t xml:space="preserve">the </w:t>
      </w:r>
      <w:r>
        <w:t>instrument is registered on the Federal Register of Legislation;</w:t>
      </w:r>
    </w:p>
    <w:p w14:paraId="2647DB83" w14:textId="61BA50E3" w:rsidR="006A320E" w:rsidRPr="006A320E" w:rsidRDefault="006A320E" w:rsidP="006A320E">
      <w:pPr>
        <w:pStyle w:val="LI-BodyTextParaa"/>
        <w:numPr>
          <w:ilvl w:val="1"/>
          <w:numId w:val="16"/>
        </w:numPr>
        <w:ind w:left="1287" w:hanging="567"/>
        <w:rPr>
          <w:i/>
        </w:rPr>
      </w:pPr>
      <w:r>
        <w:rPr>
          <w:iCs/>
        </w:rPr>
        <w:t>Subsection 5(</w:t>
      </w:r>
      <w:r w:rsidR="00381056">
        <w:rPr>
          <w:iCs/>
        </w:rPr>
        <w:t>1</w:t>
      </w:r>
      <w:r>
        <w:rPr>
          <w:iCs/>
        </w:rPr>
        <w:t>) i</w:t>
      </w:r>
      <w:r w:rsidR="00735219">
        <w:rPr>
          <w:iCs/>
        </w:rPr>
        <w:t xml:space="preserve">s </w:t>
      </w:r>
      <w:r>
        <w:rPr>
          <w:iCs/>
        </w:rPr>
        <w:t>repealed at the start of 21 October 2024</w:t>
      </w:r>
      <w:r w:rsidR="00B275B9">
        <w:rPr>
          <w:iCs/>
        </w:rPr>
        <w:t xml:space="preserve"> </w:t>
      </w:r>
      <w:r w:rsidR="00B275B9">
        <w:t>(being the time the 2024 TRRs commence)</w:t>
      </w:r>
      <w:r>
        <w:rPr>
          <w:iCs/>
        </w:rPr>
        <w:t>; and</w:t>
      </w:r>
    </w:p>
    <w:p w14:paraId="63B6EB76" w14:textId="6474638E" w:rsidR="006A320E" w:rsidRPr="006A320E" w:rsidRDefault="006A320E" w:rsidP="006A320E">
      <w:pPr>
        <w:pStyle w:val="LI-BodyTextParaa"/>
        <w:numPr>
          <w:ilvl w:val="1"/>
          <w:numId w:val="16"/>
        </w:numPr>
        <w:ind w:left="1287" w:hanging="567"/>
        <w:rPr>
          <w:i/>
        </w:rPr>
      </w:pPr>
      <w:r>
        <w:rPr>
          <w:iCs/>
        </w:rPr>
        <w:t xml:space="preserve">This instrument is repealed at the start of 1 </w:t>
      </w:r>
      <w:r w:rsidR="00A373A9">
        <w:rPr>
          <w:iCs/>
        </w:rPr>
        <w:t>April 2033</w:t>
      </w:r>
      <w:r w:rsidR="00416674">
        <w:rPr>
          <w:iCs/>
        </w:rPr>
        <w:t xml:space="preserve"> </w:t>
      </w:r>
      <w:r w:rsidR="00B275B9">
        <w:t>(being the time the 2024 TRRs sunset)</w:t>
      </w:r>
      <w:r>
        <w:rPr>
          <w:iCs/>
        </w:rPr>
        <w:t>.</w:t>
      </w:r>
    </w:p>
    <w:p w14:paraId="5C5F6D62" w14:textId="77777777" w:rsidR="00863657" w:rsidRPr="006D6079" w:rsidRDefault="00863657" w:rsidP="006D6079">
      <w:pPr>
        <w:pStyle w:val="LI-BodyTextParaa"/>
        <w:keepNext/>
        <w:ind w:left="567"/>
        <w:rPr>
          <w:b/>
          <w:bCs/>
        </w:rPr>
      </w:pPr>
      <w:r w:rsidRPr="006D6079">
        <w:rPr>
          <w:b/>
          <w:bCs/>
        </w:rPr>
        <w:t>Retrospective application</w:t>
      </w:r>
    </w:p>
    <w:p w14:paraId="22D9FF8F" w14:textId="3CF33DDF" w:rsidR="005A289A" w:rsidRPr="00585A6D" w:rsidRDefault="00113283" w:rsidP="005D0D90">
      <w:pPr>
        <w:pStyle w:val="LI-BodyTextParaa"/>
        <w:numPr>
          <w:ilvl w:val="0"/>
          <w:numId w:val="16"/>
        </w:numPr>
        <w:rPr>
          <w:i/>
        </w:rPr>
      </w:pPr>
      <w:r>
        <w:rPr>
          <w:iCs/>
        </w:rPr>
        <w:t>Subsection</w:t>
      </w:r>
      <w:r w:rsidR="00ED384C">
        <w:rPr>
          <w:iCs/>
        </w:rPr>
        <w:t>s</w:t>
      </w:r>
      <w:r>
        <w:rPr>
          <w:iCs/>
        </w:rPr>
        <w:t xml:space="preserve"> 5(1)</w:t>
      </w:r>
      <w:r w:rsidR="00ED384C">
        <w:rPr>
          <w:iCs/>
        </w:rPr>
        <w:t xml:space="preserve"> and (3)</w:t>
      </w:r>
      <w:r>
        <w:rPr>
          <w:iCs/>
        </w:rPr>
        <w:t xml:space="preserve"> of the </w:t>
      </w:r>
      <w:r w:rsidR="0006449A">
        <w:rPr>
          <w:iCs/>
        </w:rPr>
        <w:t xml:space="preserve">instrument </w:t>
      </w:r>
      <w:r>
        <w:rPr>
          <w:iCs/>
        </w:rPr>
        <w:t xml:space="preserve">(which determine </w:t>
      </w:r>
      <w:r w:rsidR="005A289A">
        <w:rPr>
          <w:iCs/>
        </w:rPr>
        <w:t xml:space="preserve">Regulated Foreign Markets for the purposes of </w:t>
      </w:r>
      <w:r w:rsidR="005A289A">
        <w:t>subrule 1.2.4(3) of the 2022 TRRs</w:t>
      </w:r>
      <w:r w:rsidR="00A1630D">
        <w:t>)</w:t>
      </w:r>
      <w:r w:rsidR="005A289A">
        <w:rPr>
          <w:iCs/>
        </w:rPr>
        <w:t xml:space="preserve"> </w:t>
      </w:r>
      <w:r w:rsidR="0006449A">
        <w:rPr>
          <w:iCs/>
        </w:rPr>
        <w:t>ha</w:t>
      </w:r>
      <w:r w:rsidR="00ED384C">
        <w:rPr>
          <w:iCs/>
        </w:rPr>
        <w:t>ve</w:t>
      </w:r>
      <w:r w:rsidR="0006449A">
        <w:rPr>
          <w:iCs/>
        </w:rPr>
        <w:t xml:space="preserve"> retrospective application </w:t>
      </w:r>
      <w:r w:rsidR="005F0995">
        <w:rPr>
          <w:iCs/>
        </w:rPr>
        <w:t>from 21 December 2022,</w:t>
      </w:r>
      <w:r w:rsidR="00636C5C">
        <w:rPr>
          <w:iCs/>
        </w:rPr>
        <w:t xml:space="preserve"> which is the commencement </w:t>
      </w:r>
      <w:r w:rsidR="005F0995">
        <w:rPr>
          <w:iCs/>
        </w:rPr>
        <w:t xml:space="preserve">date </w:t>
      </w:r>
      <w:r w:rsidR="00636C5C">
        <w:rPr>
          <w:iCs/>
        </w:rPr>
        <w:t>of the</w:t>
      </w:r>
      <w:r w:rsidR="005F0995">
        <w:rPr>
          <w:iCs/>
        </w:rPr>
        <w:t xml:space="preserve"> 2022 TRRs.</w:t>
      </w:r>
      <w:r w:rsidR="005F0995" w:rsidRPr="005F0995">
        <w:rPr>
          <w:iCs/>
        </w:rPr>
        <w:t xml:space="preserve"> </w:t>
      </w:r>
    </w:p>
    <w:p w14:paraId="12A6883D" w14:textId="56A55114" w:rsidR="00F777EA" w:rsidRPr="00585A6D" w:rsidRDefault="005F0995" w:rsidP="005D0D90">
      <w:pPr>
        <w:pStyle w:val="LI-BodyTextParaa"/>
        <w:numPr>
          <w:ilvl w:val="0"/>
          <w:numId w:val="16"/>
        </w:numPr>
        <w:rPr>
          <w:i/>
        </w:rPr>
      </w:pPr>
      <w:r w:rsidRPr="005F0995">
        <w:rPr>
          <w:iCs/>
        </w:rPr>
        <w:t xml:space="preserve">The effect of </w:t>
      </w:r>
      <w:r w:rsidR="00864B17">
        <w:rPr>
          <w:iCs/>
        </w:rPr>
        <w:t>subsection</w:t>
      </w:r>
      <w:r w:rsidR="00ED384C">
        <w:rPr>
          <w:iCs/>
        </w:rPr>
        <w:t>s</w:t>
      </w:r>
      <w:r w:rsidR="00864B17">
        <w:rPr>
          <w:iCs/>
        </w:rPr>
        <w:t xml:space="preserve"> 5(1)</w:t>
      </w:r>
      <w:r w:rsidR="00ED384C">
        <w:rPr>
          <w:iCs/>
        </w:rPr>
        <w:t xml:space="preserve"> and (3)</w:t>
      </w:r>
      <w:r w:rsidR="00864B17">
        <w:rPr>
          <w:iCs/>
        </w:rPr>
        <w:t xml:space="preserve"> is to give effect to the intention that</w:t>
      </w:r>
      <w:r w:rsidR="00FC459E">
        <w:rPr>
          <w:iCs/>
        </w:rPr>
        <w:t>, from commencement of the 2022 TRRs,</w:t>
      </w:r>
      <w:r w:rsidR="00864B17">
        <w:rPr>
          <w:iCs/>
        </w:rPr>
        <w:t xml:space="preserve"> th</w:t>
      </w:r>
      <w:r w:rsidR="005D5FA5">
        <w:rPr>
          <w:iCs/>
        </w:rPr>
        <w:t xml:space="preserve">e Regulated Foreign Markets </w:t>
      </w:r>
      <w:r w:rsidR="00FC459E">
        <w:rPr>
          <w:iCs/>
        </w:rPr>
        <w:t>specified</w:t>
      </w:r>
      <w:r w:rsidR="005D5FA5">
        <w:rPr>
          <w:iCs/>
        </w:rPr>
        <w:t xml:space="preserve"> in the 2013 Determination </w:t>
      </w:r>
      <w:r w:rsidR="00D6672A">
        <w:rPr>
          <w:iCs/>
        </w:rPr>
        <w:t xml:space="preserve">for the purposes of subrule 1.2.4(3) of the TRRs </w:t>
      </w:r>
      <w:r w:rsidR="005D5FA5">
        <w:rPr>
          <w:iCs/>
        </w:rPr>
        <w:t xml:space="preserve">would </w:t>
      </w:r>
      <w:r w:rsidR="00FC459E">
        <w:rPr>
          <w:iCs/>
        </w:rPr>
        <w:t xml:space="preserve">continue </w:t>
      </w:r>
      <w:r w:rsidR="005D5FA5">
        <w:rPr>
          <w:iCs/>
        </w:rPr>
        <w:t xml:space="preserve">be </w:t>
      </w:r>
      <w:r w:rsidR="00493DBB">
        <w:rPr>
          <w:iCs/>
        </w:rPr>
        <w:t>Regulated Foreign Markets</w:t>
      </w:r>
      <w:r w:rsidR="00FC459E">
        <w:rPr>
          <w:iCs/>
        </w:rPr>
        <w:t>, but</w:t>
      </w:r>
      <w:r w:rsidR="00493DBB">
        <w:rPr>
          <w:iCs/>
        </w:rPr>
        <w:t xml:space="preserve"> for the purposes of </w:t>
      </w:r>
      <w:r w:rsidR="00F777EA">
        <w:t>subrule 1.2.4(3) of the 2022 TRRs</w:t>
      </w:r>
      <w:r w:rsidR="00F777EA">
        <w:rPr>
          <w:iCs/>
        </w:rPr>
        <w:t>.</w:t>
      </w:r>
    </w:p>
    <w:p w14:paraId="0B5BD05F" w14:textId="612D508B" w:rsidR="00C00901" w:rsidRPr="00585A6D" w:rsidRDefault="00FC459E" w:rsidP="005D0D90">
      <w:pPr>
        <w:pStyle w:val="LI-BodyTextParaa"/>
        <w:numPr>
          <w:ilvl w:val="0"/>
          <w:numId w:val="16"/>
        </w:numPr>
        <w:rPr>
          <w:i/>
        </w:rPr>
      </w:pPr>
      <w:r>
        <w:rPr>
          <w:iCs/>
        </w:rPr>
        <w:t xml:space="preserve">The effect of determining financial markets </w:t>
      </w:r>
      <w:r w:rsidR="00A36FE8">
        <w:rPr>
          <w:iCs/>
        </w:rPr>
        <w:t>as Regulated Foreign Markets</w:t>
      </w:r>
      <w:r w:rsidR="00DF79B1">
        <w:rPr>
          <w:iCs/>
        </w:rPr>
        <w:t xml:space="preserve"> for the purposes of the 2022 TRRs</w:t>
      </w:r>
      <w:r w:rsidR="00A36FE8">
        <w:rPr>
          <w:iCs/>
        </w:rPr>
        <w:t xml:space="preserve"> is </w:t>
      </w:r>
      <w:r w:rsidR="00DF79B1">
        <w:rPr>
          <w:iCs/>
        </w:rPr>
        <w:t>that</w:t>
      </w:r>
      <w:r w:rsidR="005F0995" w:rsidRPr="005F0995">
        <w:rPr>
          <w:iCs/>
        </w:rPr>
        <w:t xml:space="preserve"> derivatives </w:t>
      </w:r>
      <w:r w:rsidR="00204B71">
        <w:rPr>
          <w:iCs/>
        </w:rPr>
        <w:t>that are en</w:t>
      </w:r>
      <w:r w:rsidR="009142D4">
        <w:rPr>
          <w:iCs/>
        </w:rPr>
        <w:t>tered into</w:t>
      </w:r>
      <w:r w:rsidR="00DF79B1">
        <w:rPr>
          <w:iCs/>
        </w:rPr>
        <w:t>,</w:t>
      </w:r>
      <w:r w:rsidR="009142D4">
        <w:rPr>
          <w:iCs/>
        </w:rPr>
        <w:t xml:space="preserve"> and able to </w:t>
      </w:r>
      <w:proofErr w:type="gramStart"/>
      <w:r w:rsidR="009142D4">
        <w:rPr>
          <w:iCs/>
        </w:rPr>
        <w:t>traded</w:t>
      </w:r>
      <w:proofErr w:type="gramEnd"/>
      <w:r w:rsidR="00DF79B1">
        <w:rPr>
          <w:iCs/>
        </w:rPr>
        <w:t>,</w:t>
      </w:r>
      <w:r w:rsidR="009142D4">
        <w:rPr>
          <w:iCs/>
        </w:rPr>
        <w:t xml:space="preserve"> on th</w:t>
      </w:r>
      <w:r w:rsidR="00F47F4C">
        <w:rPr>
          <w:iCs/>
        </w:rPr>
        <w:t>os</w:t>
      </w:r>
      <w:r w:rsidR="009142D4">
        <w:rPr>
          <w:iCs/>
        </w:rPr>
        <w:t xml:space="preserve">e Regulated Foreign Markets </w:t>
      </w:r>
      <w:r w:rsidR="00DF79B1">
        <w:rPr>
          <w:iCs/>
        </w:rPr>
        <w:t>will</w:t>
      </w:r>
      <w:r w:rsidR="005F0995" w:rsidRPr="005F0995">
        <w:rPr>
          <w:iCs/>
        </w:rPr>
        <w:t xml:space="preserve"> not </w:t>
      </w:r>
      <w:r w:rsidR="00DF79B1">
        <w:rPr>
          <w:iCs/>
        </w:rPr>
        <w:t xml:space="preserve">be </w:t>
      </w:r>
      <w:r w:rsidR="005F0995" w:rsidRPr="005F0995">
        <w:rPr>
          <w:iCs/>
        </w:rPr>
        <w:t>subject to reporting requirement</w:t>
      </w:r>
      <w:r w:rsidR="005F0995">
        <w:rPr>
          <w:iCs/>
        </w:rPr>
        <w:t>s under the 2022 TRRs</w:t>
      </w:r>
      <w:r w:rsidR="00DF79B1">
        <w:rPr>
          <w:iCs/>
        </w:rPr>
        <w:t xml:space="preserve">. </w:t>
      </w:r>
      <w:r w:rsidR="00E82390">
        <w:rPr>
          <w:iCs/>
        </w:rPr>
        <w:t xml:space="preserve">Accordingly, </w:t>
      </w:r>
      <w:r w:rsidR="00A1630D">
        <w:rPr>
          <w:iCs/>
        </w:rPr>
        <w:t>the</w:t>
      </w:r>
      <w:r w:rsidR="00E82390">
        <w:rPr>
          <w:iCs/>
        </w:rPr>
        <w:t xml:space="preserve"> determination in </w:t>
      </w:r>
      <w:r w:rsidR="009D4460">
        <w:rPr>
          <w:iCs/>
        </w:rPr>
        <w:t>subsection</w:t>
      </w:r>
      <w:r w:rsidR="00920D2D">
        <w:rPr>
          <w:iCs/>
        </w:rPr>
        <w:t>s</w:t>
      </w:r>
      <w:r w:rsidR="00E82390">
        <w:rPr>
          <w:iCs/>
        </w:rPr>
        <w:t xml:space="preserve"> 5(1)</w:t>
      </w:r>
      <w:r w:rsidR="00920D2D">
        <w:rPr>
          <w:iCs/>
        </w:rPr>
        <w:t xml:space="preserve"> and (3)</w:t>
      </w:r>
      <w:r w:rsidR="00E82390">
        <w:rPr>
          <w:iCs/>
        </w:rPr>
        <w:t xml:space="preserve"> </w:t>
      </w:r>
      <w:r w:rsidR="00A1630D">
        <w:rPr>
          <w:iCs/>
        </w:rPr>
        <w:t>will</w:t>
      </w:r>
      <w:r w:rsidR="00E82390">
        <w:rPr>
          <w:iCs/>
        </w:rPr>
        <w:t xml:space="preserve"> relieve entities </w:t>
      </w:r>
      <w:r w:rsidR="009D4460">
        <w:rPr>
          <w:iCs/>
        </w:rPr>
        <w:t>that are subject to the 2022 TRRs from reporting obligations that would otherwise apply</w:t>
      </w:r>
      <w:r w:rsidR="009A454E">
        <w:rPr>
          <w:iCs/>
        </w:rPr>
        <w:t xml:space="preserve"> to the entities</w:t>
      </w:r>
      <w:r w:rsidR="009D4460">
        <w:rPr>
          <w:iCs/>
        </w:rPr>
        <w:t xml:space="preserve"> in relation to </w:t>
      </w:r>
      <w:r w:rsidR="00906920">
        <w:rPr>
          <w:iCs/>
        </w:rPr>
        <w:t>such</w:t>
      </w:r>
      <w:r w:rsidR="009D4460">
        <w:rPr>
          <w:iCs/>
        </w:rPr>
        <w:t xml:space="preserve"> derivatives.</w:t>
      </w:r>
    </w:p>
    <w:p w14:paraId="0245CD99" w14:textId="32EAF9B3" w:rsidR="00E212B8" w:rsidRPr="00585A6D" w:rsidRDefault="009A454E" w:rsidP="005D0D90">
      <w:pPr>
        <w:pStyle w:val="LI-BodyTextParaa"/>
        <w:numPr>
          <w:ilvl w:val="0"/>
          <w:numId w:val="16"/>
        </w:numPr>
        <w:rPr>
          <w:i/>
        </w:rPr>
      </w:pPr>
      <w:r>
        <w:rPr>
          <w:iCs/>
        </w:rPr>
        <w:lastRenderedPageBreak/>
        <w:t xml:space="preserve">Consequently, </w:t>
      </w:r>
      <w:r w:rsidR="00484022" w:rsidRPr="00484022">
        <w:rPr>
          <w:iCs/>
        </w:rPr>
        <w:t xml:space="preserve">the retrospective operation of </w:t>
      </w:r>
      <w:r w:rsidR="00E83220">
        <w:rPr>
          <w:iCs/>
        </w:rPr>
        <w:t>subsection</w:t>
      </w:r>
      <w:r w:rsidR="00920D2D">
        <w:rPr>
          <w:iCs/>
        </w:rPr>
        <w:t>s</w:t>
      </w:r>
      <w:r w:rsidR="00E83220">
        <w:rPr>
          <w:iCs/>
        </w:rPr>
        <w:t xml:space="preserve"> 5(1)</w:t>
      </w:r>
      <w:r w:rsidR="00920D2D">
        <w:rPr>
          <w:iCs/>
        </w:rPr>
        <w:t xml:space="preserve"> and (3)</w:t>
      </w:r>
      <w:r w:rsidR="00E83220">
        <w:rPr>
          <w:iCs/>
        </w:rPr>
        <w:t xml:space="preserve"> of the instrument </w:t>
      </w:r>
      <w:r w:rsidR="007D4F39">
        <w:rPr>
          <w:iCs/>
        </w:rPr>
        <w:t>will not</w:t>
      </w:r>
      <w:r w:rsidR="00E212B8">
        <w:rPr>
          <w:iCs/>
        </w:rPr>
        <w:t>:</w:t>
      </w:r>
    </w:p>
    <w:p w14:paraId="5EA2F6A4" w14:textId="24C0D47C" w:rsidR="00E23AD3" w:rsidRPr="00585A6D" w:rsidRDefault="00484022" w:rsidP="00585A6D">
      <w:pPr>
        <w:pStyle w:val="LI-BodyTextParaa"/>
        <w:numPr>
          <w:ilvl w:val="1"/>
          <w:numId w:val="16"/>
        </w:numPr>
        <w:ind w:left="1134" w:hanging="567"/>
        <w:rPr>
          <w:i/>
        </w:rPr>
      </w:pPr>
      <w:r w:rsidRPr="00484022">
        <w:rPr>
          <w:iCs/>
        </w:rPr>
        <w:t xml:space="preserve">affect a person’s rights </w:t>
      </w:r>
      <w:r w:rsidR="00E212B8">
        <w:rPr>
          <w:iCs/>
        </w:rPr>
        <w:t>as at the time the instrument is registered</w:t>
      </w:r>
      <w:r w:rsidR="00E23AD3">
        <w:rPr>
          <w:iCs/>
        </w:rPr>
        <w:t xml:space="preserve"> </w:t>
      </w:r>
      <w:r w:rsidRPr="00484022">
        <w:rPr>
          <w:iCs/>
        </w:rPr>
        <w:t>so as to disadvantage the person</w:t>
      </w:r>
      <w:r w:rsidR="00E23AD3">
        <w:rPr>
          <w:iCs/>
        </w:rPr>
        <w:t>;</w:t>
      </w:r>
      <w:r w:rsidRPr="00484022">
        <w:rPr>
          <w:iCs/>
        </w:rPr>
        <w:t xml:space="preserve"> </w:t>
      </w:r>
      <w:r w:rsidR="007D4F39">
        <w:rPr>
          <w:iCs/>
        </w:rPr>
        <w:t>or</w:t>
      </w:r>
      <w:r w:rsidRPr="00484022">
        <w:rPr>
          <w:iCs/>
        </w:rPr>
        <w:t xml:space="preserve"> </w:t>
      </w:r>
    </w:p>
    <w:p w14:paraId="1DEF3CAF" w14:textId="7F81C280" w:rsidR="0006449A" w:rsidRPr="0006449A" w:rsidRDefault="00484022" w:rsidP="00585A6D">
      <w:pPr>
        <w:pStyle w:val="LI-BodyTextParaa"/>
        <w:numPr>
          <w:ilvl w:val="1"/>
          <w:numId w:val="16"/>
        </w:numPr>
        <w:ind w:left="1134" w:hanging="567"/>
        <w:rPr>
          <w:i/>
        </w:rPr>
      </w:pPr>
      <w:r w:rsidRPr="00484022">
        <w:rPr>
          <w:iCs/>
        </w:rPr>
        <w:t>impose liabilities on a person in respect of anything done or omitted to be done before registration of the instrument.</w:t>
      </w:r>
      <w:r>
        <w:rPr>
          <w:iCs/>
        </w:rPr>
        <w:t xml:space="preserve"> </w:t>
      </w:r>
    </w:p>
    <w:p w14:paraId="57A93CEC" w14:textId="77777777" w:rsidR="00C52E7C" w:rsidRPr="006D6079" w:rsidRDefault="00C52E7C" w:rsidP="00241F8E">
      <w:pPr>
        <w:pStyle w:val="LI-BodyTextParaa"/>
        <w:keepNext/>
        <w:ind w:left="0" w:firstLine="0"/>
        <w:rPr>
          <w:b/>
          <w:bCs/>
        </w:rPr>
      </w:pPr>
      <w:r w:rsidRPr="006D6079">
        <w:rPr>
          <w:b/>
          <w:bCs/>
        </w:rPr>
        <w:t xml:space="preserve">Legislative instrument </w:t>
      </w:r>
      <w:r w:rsidR="00610709" w:rsidRPr="006D6079">
        <w:rPr>
          <w:b/>
          <w:bCs/>
        </w:rPr>
        <w:t xml:space="preserve">and </w:t>
      </w:r>
      <w:r w:rsidRPr="006D6079">
        <w:rPr>
          <w:b/>
          <w:bCs/>
        </w:rPr>
        <w:t xml:space="preserve">primary legislation  </w:t>
      </w:r>
    </w:p>
    <w:p w14:paraId="1292FC75" w14:textId="5DBD4954" w:rsidR="001E7E2B" w:rsidRDefault="00C52E7C" w:rsidP="005D0D90">
      <w:pPr>
        <w:pStyle w:val="LI-BodyTextParaa"/>
        <w:numPr>
          <w:ilvl w:val="0"/>
          <w:numId w:val="16"/>
        </w:numPr>
      </w:pPr>
      <w:r>
        <w:t xml:space="preserve">The </w:t>
      </w:r>
      <w:r w:rsidR="00ED796D">
        <w:t xml:space="preserve">subject matter and </w:t>
      </w:r>
      <w:r>
        <w:t xml:space="preserve">policy implemented by this instrument is more appropriate for </w:t>
      </w:r>
      <w:r w:rsidR="00ED796D">
        <w:t>a legislative instrument rather than primary legislation because:</w:t>
      </w:r>
    </w:p>
    <w:p w14:paraId="2BEBDC5D" w14:textId="3DA9C516" w:rsidR="00C52E7C" w:rsidRDefault="00ED796D" w:rsidP="001E7E2B">
      <w:pPr>
        <w:pStyle w:val="LI-BodyTextParaa"/>
        <w:ind w:left="1134"/>
      </w:pPr>
      <w:r>
        <w:t>(a)</w:t>
      </w:r>
      <w:r>
        <w:tab/>
      </w:r>
      <w:r w:rsidR="00283E92">
        <w:t>the effect of the instrument is to provide exemptions from requirements in the 2022 TRRs and 2024 TRRs. The 2022 TRRs and 2024 TRRs themselves are a legislative instrument rather than primary legislation;</w:t>
      </w:r>
      <w:r w:rsidR="00C52E7C" w:rsidRPr="00C52E7C">
        <w:t xml:space="preserve"> </w:t>
      </w:r>
      <w:r w:rsidR="004B389F">
        <w:t>and</w:t>
      </w:r>
    </w:p>
    <w:p w14:paraId="127196AF" w14:textId="42055434" w:rsidR="00F46947" w:rsidRDefault="00F46947" w:rsidP="001E7E2B">
      <w:pPr>
        <w:pStyle w:val="LI-BodyTextParaa"/>
        <w:ind w:left="1134"/>
      </w:pPr>
      <w:r w:rsidRPr="00F46947">
        <w:t>(b)</w:t>
      </w:r>
      <w:r w:rsidRPr="00F46947">
        <w:tab/>
      </w:r>
      <w:r w:rsidR="00283E92">
        <w:t xml:space="preserve">the matters contained in the instrument are designed to ensure the application of the 2022 TRRs and 2024 TRRs remains flexible to adapt to market developments (in particular, excluding exchange-traded derivatives from reporting requirements) and applied in a way consistent with the intended policy of the 2022 TRRs and 2024 TRRs and the enabling provisions in the primary legislation. </w:t>
      </w:r>
    </w:p>
    <w:p w14:paraId="50EBD214" w14:textId="77777777" w:rsidR="005D1770" w:rsidRDefault="00F61A66" w:rsidP="00F61A66">
      <w:pPr>
        <w:pStyle w:val="LI-BodyTextParaa"/>
        <w:keepNext/>
        <w:ind w:left="567"/>
        <w:rPr>
          <w:u w:val="single"/>
        </w:rPr>
      </w:pPr>
      <w:r w:rsidRPr="006D6079">
        <w:rPr>
          <w:b/>
          <w:bCs/>
        </w:rPr>
        <w:t>Duration</w:t>
      </w:r>
      <w:r w:rsidR="009A2319" w:rsidRPr="006D6079">
        <w:rPr>
          <w:b/>
          <w:bCs/>
        </w:rPr>
        <w:t xml:space="preserve"> of the instrument</w:t>
      </w:r>
      <w:r>
        <w:rPr>
          <w:u w:val="single"/>
        </w:rPr>
        <w:t xml:space="preserve"> </w:t>
      </w:r>
    </w:p>
    <w:p w14:paraId="2FEC9E4F" w14:textId="26CE5767" w:rsidR="00B7290E" w:rsidRDefault="003A23C0" w:rsidP="00D772AE">
      <w:pPr>
        <w:pStyle w:val="LI-BodyTextParaa"/>
        <w:numPr>
          <w:ilvl w:val="0"/>
          <w:numId w:val="16"/>
        </w:numPr>
      </w:pPr>
      <w:r>
        <w:t xml:space="preserve">The Instrument is repealed at the start of </w:t>
      </w:r>
      <w:r w:rsidR="00B97F17">
        <w:t>1 April 2033</w:t>
      </w:r>
      <w:r>
        <w:t>, by subsection 7(2) of the Instrument.</w:t>
      </w:r>
      <w:r w:rsidR="00A77100">
        <w:t xml:space="preserve"> This repeal date aligns with the 1 April 2033 sunset date of the </w:t>
      </w:r>
      <w:r w:rsidR="00C164B7">
        <w:t>2024 TRR</w:t>
      </w:r>
      <w:r w:rsidR="00A77100">
        <w:t xml:space="preserve">. </w:t>
      </w:r>
    </w:p>
    <w:p w14:paraId="5E0CCF21" w14:textId="45A13973" w:rsidR="005326EF" w:rsidRDefault="005326EF" w:rsidP="00D772AE">
      <w:pPr>
        <w:pStyle w:val="LI-BodyTextParaa"/>
        <w:numPr>
          <w:ilvl w:val="0"/>
          <w:numId w:val="16"/>
        </w:numPr>
      </w:pPr>
      <w:r>
        <w:t>This duration is appropriate because:</w:t>
      </w:r>
    </w:p>
    <w:p w14:paraId="520855AB" w14:textId="7B448B18" w:rsidR="00E21D73" w:rsidRDefault="00381056" w:rsidP="00E21D73">
      <w:pPr>
        <w:pStyle w:val="LI-BodyTextParaa"/>
        <w:numPr>
          <w:ilvl w:val="1"/>
          <w:numId w:val="16"/>
        </w:numPr>
        <w:ind w:left="1287" w:hanging="567"/>
      </w:pPr>
      <w:r>
        <w:t xml:space="preserve">The </w:t>
      </w:r>
      <w:r w:rsidR="0006466C">
        <w:t>I</w:t>
      </w:r>
      <w:r>
        <w:t xml:space="preserve">nstrument is made under </w:t>
      </w:r>
      <w:r w:rsidR="00790471">
        <w:t>delegated legislation (</w:t>
      </w:r>
      <w:r w:rsidR="00C164B7">
        <w:t>being the 2022 TRRs and 2024 TRRs</w:t>
      </w:r>
      <w:r w:rsidR="00790471">
        <w:t>)</w:t>
      </w:r>
      <w:r w:rsidR="00C164B7">
        <w:t xml:space="preserve"> and as such it is appropriate that the duration of the Instrument aligns with the duration of the 2024 TRRs</w:t>
      </w:r>
      <w:r w:rsidR="00E21D73">
        <w:t>;</w:t>
      </w:r>
      <w:r w:rsidR="0006466C">
        <w:t xml:space="preserve"> and</w:t>
      </w:r>
    </w:p>
    <w:p w14:paraId="00F6D883" w14:textId="457B35E2" w:rsidR="00E21D73" w:rsidRPr="003A23C0" w:rsidRDefault="00E21D73" w:rsidP="00E21D73">
      <w:pPr>
        <w:pStyle w:val="LI-BodyTextParaa"/>
        <w:numPr>
          <w:ilvl w:val="1"/>
          <w:numId w:val="16"/>
        </w:numPr>
        <w:ind w:left="1287" w:hanging="567"/>
      </w:pPr>
      <w:r>
        <w:t xml:space="preserve">The </w:t>
      </w:r>
      <w:r w:rsidR="0006466C">
        <w:t>I</w:t>
      </w:r>
      <w:r>
        <w:t xml:space="preserve">nstrument deals with confined and unique circumstances affecting a particular class of products, specifically exchanged-traded derivatives, which do not fit within the strict operation of the </w:t>
      </w:r>
      <w:r w:rsidR="000859AA">
        <w:t>2022 TRRs and 2024 TRRs</w:t>
      </w:r>
      <w:r>
        <w:t xml:space="preserve"> but would result in anomalous or inconsistent outcomes given the intent of the </w:t>
      </w:r>
      <w:r w:rsidR="000859AA">
        <w:t>2022 TRRs and 2024 TRRs</w:t>
      </w:r>
      <w:r w:rsidR="00E071ED">
        <w:t xml:space="preserve"> is to require reporting of information about over-the-counter derivatives</w:t>
      </w:r>
      <w:r w:rsidR="00E24B43">
        <w:t xml:space="preserve"> transactions</w:t>
      </w:r>
      <w:r>
        <w:t xml:space="preserve">. </w:t>
      </w:r>
    </w:p>
    <w:bookmarkEnd w:id="0"/>
    <w:p w14:paraId="6E228E05" w14:textId="77777777" w:rsidR="00F03BB5" w:rsidRDefault="00474B52" w:rsidP="006D6079">
      <w:pPr>
        <w:pStyle w:val="LI-BodyTextNumbered"/>
        <w:keepNext/>
        <w:ind w:left="0" w:firstLine="0"/>
        <w:rPr>
          <w:b/>
        </w:rPr>
      </w:pPr>
      <w:r>
        <w:rPr>
          <w:b/>
        </w:rPr>
        <w:t>Legislative authority</w:t>
      </w:r>
    </w:p>
    <w:p w14:paraId="3EAF355A" w14:textId="43F7218E" w:rsidR="009A3F74" w:rsidRDefault="0006449A" w:rsidP="00D772AE">
      <w:pPr>
        <w:pStyle w:val="LI-BodyTextParaa"/>
        <w:numPr>
          <w:ilvl w:val="0"/>
          <w:numId w:val="16"/>
        </w:numPr>
      </w:pPr>
      <w:r>
        <w:t xml:space="preserve">ASIC makes the Instrument under subrules 1.2.4(3) and (5) of the </w:t>
      </w:r>
      <w:r w:rsidR="007D6EBF">
        <w:t xml:space="preserve">2022 TRRs </w:t>
      </w:r>
      <w:r>
        <w:t>and subrules 1.2.4(3)</w:t>
      </w:r>
      <w:r w:rsidRPr="005D3D41">
        <w:t xml:space="preserve"> </w:t>
      </w:r>
      <w:r>
        <w:t xml:space="preserve">and (5) </w:t>
      </w:r>
      <w:r w:rsidRPr="005D3D41">
        <w:t>of</w:t>
      </w:r>
      <w:r>
        <w:t xml:space="preserve"> the </w:t>
      </w:r>
      <w:r w:rsidR="007D6EBF">
        <w:t>2024 TRRs.</w:t>
      </w:r>
    </w:p>
    <w:p w14:paraId="4D930F2D" w14:textId="77777777" w:rsidR="00EA17A6" w:rsidRPr="00EA17A6" w:rsidRDefault="00EA17A6" w:rsidP="006D6079">
      <w:pPr>
        <w:pStyle w:val="LI-BodyTextNumbered"/>
        <w:keepNext/>
        <w:ind w:left="0" w:firstLine="0"/>
        <w:rPr>
          <w:b/>
        </w:rPr>
      </w:pPr>
      <w:r w:rsidRPr="00EA17A6">
        <w:rPr>
          <w:b/>
        </w:rPr>
        <w:lastRenderedPageBreak/>
        <w:t xml:space="preserve">Statement of Compatibility with Human Rights  </w:t>
      </w:r>
    </w:p>
    <w:p w14:paraId="1DBA07BE" w14:textId="2D097DB8" w:rsidR="00223DCF" w:rsidRPr="00EA17A6" w:rsidRDefault="00223DCF" w:rsidP="00D772AE">
      <w:pPr>
        <w:pStyle w:val="LI-BodyTextParaa"/>
        <w:numPr>
          <w:ilvl w:val="0"/>
          <w:numId w:val="16"/>
        </w:numPr>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1"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2" w:name="_Hlk4054932"/>
      <w:r w:rsidRPr="00EA17A6">
        <w:rPr>
          <w:iCs/>
        </w:rPr>
        <w:t xml:space="preserve">the </w:t>
      </w:r>
      <w:r w:rsidRPr="00EA17A6">
        <w:rPr>
          <w:i/>
          <w:iCs/>
        </w:rPr>
        <w:t>Human Rights (Parliamentary Scrutiny) Act 2011</w:t>
      </w:r>
      <w:bookmarkEnd w:id="2"/>
      <w:r w:rsidRPr="00EA17A6">
        <w:rPr>
          <w:iCs/>
        </w:rPr>
        <w:t xml:space="preserve">.   </w:t>
      </w:r>
    </w:p>
    <w:p w14:paraId="4B154A7D" w14:textId="568C33BD" w:rsidR="00223DCF" w:rsidRPr="00EA17A6" w:rsidRDefault="006731DA" w:rsidP="00223DCF">
      <w:pPr>
        <w:pStyle w:val="LI-BodyTextNumbered"/>
        <w:ind w:left="0" w:firstLine="0"/>
        <w:rPr>
          <w:b/>
          <w:i/>
        </w:rPr>
      </w:pPr>
      <w:r w:rsidRPr="006731DA">
        <w:rPr>
          <w:b/>
          <w:i/>
        </w:rPr>
        <w:t>ASIC Regulated Foreign Markets Determination 2023/346</w:t>
      </w:r>
    </w:p>
    <w:p w14:paraId="0AD76C9D" w14:textId="77777777" w:rsidR="00223DCF" w:rsidRPr="00EA17A6" w:rsidRDefault="00223DCF" w:rsidP="001872DC">
      <w:pPr>
        <w:pStyle w:val="LI-BodyTextNumbered"/>
        <w:ind w:left="567"/>
        <w:rPr>
          <w:u w:val="single"/>
        </w:rPr>
      </w:pPr>
      <w:r w:rsidRPr="00EA17A6">
        <w:rPr>
          <w:u w:val="single"/>
        </w:rPr>
        <w:t>Overview</w:t>
      </w:r>
    </w:p>
    <w:p w14:paraId="056E764A" w14:textId="4991D7FC" w:rsidR="00CB2D96" w:rsidRDefault="00E51AE9" w:rsidP="00E51AE9">
      <w:pPr>
        <w:pStyle w:val="LI-BodyTextParaa"/>
        <w:numPr>
          <w:ilvl w:val="0"/>
          <w:numId w:val="16"/>
        </w:numPr>
      </w:pPr>
      <w:r>
        <w:t xml:space="preserve">The </w:t>
      </w:r>
      <w:r>
        <w:rPr>
          <w:i/>
          <w:iCs/>
        </w:rPr>
        <w:t xml:space="preserve">ASIC Regulated Foreign Markets Determination 2023/346 </w:t>
      </w:r>
      <w:r>
        <w:t xml:space="preserve">(the </w:t>
      </w:r>
      <w:r>
        <w:rPr>
          <w:b/>
          <w:bCs/>
          <w:i/>
          <w:iCs/>
        </w:rPr>
        <w:t>Instrument</w:t>
      </w:r>
      <w:r>
        <w:t xml:space="preserve">) replaces the ASIC Regulated Foreign Markets Determination [OTC DET 13/1145] to determine 36 Regulated Foreign Markets, along with SEC Regulated Markets and UK Regulated Markets, </w:t>
      </w:r>
      <w:r w:rsidRPr="00B2251F">
        <w:t xml:space="preserve">as Regulated Foreign Markets for the purposes of subrule 1.2.4(2A) of </w:t>
      </w:r>
      <w:r w:rsidR="006D1FB3">
        <w:t xml:space="preserve">each of </w:t>
      </w:r>
      <w:r w:rsidRPr="00B2251F">
        <w:t xml:space="preserve">the </w:t>
      </w:r>
      <w:r w:rsidR="006D1FB3" w:rsidRPr="00485054">
        <w:rPr>
          <w:i/>
          <w:iCs/>
        </w:rPr>
        <w:t>ASIC Derivative Transaction Rules (Reporting) 2022</w:t>
      </w:r>
      <w:r w:rsidR="006D1FB3">
        <w:t xml:space="preserve"> (</w:t>
      </w:r>
      <w:r w:rsidRPr="006D1FB3">
        <w:rPr>
          <w:b/>
          <w:bCs/>
          <w:i/>
          <w:iCs/>
        </w:rPr>
        <w:t>2022 TRRs</w:t>
      </w:r>
      <w:r w:rsidR="006D1FB3">
        <w:t>)</w:t>
      </w:r>
      <w:r>
        <w:t xml:space="preserve"> and </w:t>
      </w:r>
      <w:r w:rsidR="006D1FB3">
        <w:t xml:space="preserve">the </w:t>
      </w:r>
      <w:r w:rsidR="006D1FB3" w:rsidRPr="00485054">
        <w:rPr>
          <w:i/>
          <w:iCs/>
        </w:rPr>
        <w:t>ASIC Derivative Transaction Rules (Reporting) 2024</w:t>
      </w:r>
      <w:r w:rsidR="006D1FB3">
        <w:t xml:space="preserve"> (</w:t>
      </w:r>
      <w:r w:rsidRPr="006D1FB3">
        <w:rPr>
          <w:b/>
          <w:bCs/>
          <w:i/>
          <w:iCs/>
        </w:rPr>
        <w:t>2024 TRRs</w:t>
      </w:r>
      <w:r w:rsidR="006D1FB3">
        <w:t>)</w:t>
      </w:r>
      <w:r>
        <w:t>.</w:t>
      </w:r>
    </w:p>
    <w:p w14:paraId="65D39F64" w14:textId="725DC40E" w:rsidR="006F3170" w:rsidRDefault="006F3170" w:rsidP="003B2A8A">
      <w:pPr>
        <w:pStyle w:val="LI-BodyTextParaa"/>
        <w:numPr>
          <w:ilvl w:val="0"/>
          <w:numId w:val="16"/>
        </w:numPr>
      </w:pPr>
      <w:r w:rsidRPr="00846727">
        <w:t xml:space="preserve">The </w:t>
      </w:r>
      <w:r w:rsidR="00846727">
        <w:t>effect</w:t>
      </w:r>
      <w:r w:rsidRPr="00846727">
        <w:t xml:space="preserve"> of a financial market being</w:t>
      </w:r>
      <w:r w:rsidR="00846727">
        <w:t xml:space="preserve"> determined as</w:t>
      </w:r>
      <w:r w:rsidRPr="00846727">
        <w:t xml:space="preserve"> a Regulated Foreign Market is that Derivatives entered into on the Regulated Foreign Market are not OTC Derivatives under the Rules and do not need to be reported by Reporting Entities under the 2022 TRRs and 2024 TRRs.</w:t>
      </w:r>
    </w:p>
    <w:p w14:paraId="1237499F" w14:textId="2B165C39" w:rsidR="00B82BAE" w:rsidRPr="00E51AE9" w:rsidRDefault="00B82BAE" w:rsidP="003B2A8A">
      <w:pPr>
        <w:pStyle w:val="LI-BodyTextParaa"/>
        <w:numPr>
          <w:ilvl w:val="0"/>
          <w:numId w:val="16"/>
        </w:numPr>
      </w:pPr>
      <w:r>
        <w:t xml:space="preserve">The determination of a financial market as a Regulated Foreign Market also affects the </w:t>
      </w:r>
      <w:r>
        <w:rPr>
          <w:i/>
          <w:iCs/>
        </w:rPr>
        <w:t xml:space="preserve">ASIC Derivative Transaction Rules (Clearing) 2015 </w:t>
      </w:r>
      <w:r>
        <w:t>(</w:t>
      </w:r>
      <w:r>
        <w:rPr>
          <w:b/>
          <w:bCs/>
          <w:i/>
          <w:iCs/>
        </w:rPr>
        <w:t>Clearing Rules</w:t>
      </w:r>
      <w:r>
        <w:t xml:space="preserve">), </w:t>
      </w:r>
      <w:r w:rsidRPr="00B82BAE">
        <w:t xml:space="preserve">which contains an </w:t>
      </w:r>
      <w:r w:rsidR="000F4A02" w:rsidRPr="00B82BAE">
        <w:t>exclusion from</w:t>
      </w:r>
      <w:r w:rsidRPr="00B82BAE">
        <w:t xml:space="preserve"> the clearing requirements under the Clearing Rules that applies in relation to Regulated Foreign Markets that are determined by ASIC under subrule 1.2.4(3) of the </w:t>
      </w:r>
      <w:r>
        <w:t>2022 TRRs and 2024 TRRs.</w:t>
      </w:r>
    </w:p>
    <w:p w14:paraId="79BCB1A5" w14:textId="77777777" w:rsidR="001872DC" w:rsidRPr="00EA17A6" w:rsidRDefault="001872DC" w:rsidP="001872DC">
      <w:pPr>
        <w:pStyle w:val="LI-BodyTextNumbered"/>
        <w:ind w:left="567"/>
        <w:rPr>
          <w:u w:val="single"/>
        </w:rPr>
      </w:pPr>
      <w:bookmarkStart w:id="3" w:name="_Hlk534286807"/>
      <w:bookmarkEnd w:id="1"/>
      <w:r w:rsidRPr="00EA17A6">
        <w:rPr>
          <w:u w:val="single"/>
        </w:rPr>
        <w:t>Assessment of human rights implications</w:t>
      </w:r>
    </w:p>
    <w:bookmarkEnd w:id="3"/>
    <w:p w14:paraId="56F8130E" w14:textId="0A07E4DE" w:rsidR="00946759" w:rsidRPr="00EA17A6" w:rsidRDefault="001872DC" w:rsidP="00082B77">
      <w:pPr>
        <w:pStyle w:val="LI-BodyTextNumbered"/>
        <w:numPr>
          <w:ilvl w:val="0"/>
          <w:numId w:val="16"/>
        </w:numPr>
      </w:pPr>
      <w:r w:rsidRPr="00EA17A6">
        <w:t xml:space="preserve">This instrument </w:t>
      </w:r>
      <w:r w:rsidR="00D306F8" w:rsidRPr="00EA17A6">
        <w:t>does not engage any of the applicable rights or freedoms</w:t>
      </w:r>
      <w:r w:rsidR="00F77243">
        <w:t>.</w:t>
      </w:r>
    </w:p>
    <w:p w14:paraId="05FFF3B4" w14:textId="77777777" w:rsidR="00CB2D96" w:rsidRPr="00EA17A6" w:rsidRDefault="00CB2D96" w:rsidP="00D306F8">
      <w:pPr>
        <w:pStyle w:val="LI-BodyTextNumbered"/>
        <w:ind w:left="567"/>
        <w:rPr>
          <w:u w:val="single"/>
        </w:rPr>
      </w:pPr>
      <w:r w:rsidRPr="00EA17A6">
        <w:rPr>
          <w:u w:val="single"/>
        </w:rPr>
        <w:t>Conclusion</w:t>
      </w:r>
    </w:p>
    <w:p w14:paraId="4734FE48" w14:textId="6305609E" w:rsidR="00CB2D96" w:rsidRPr="00EA17A6" w:rsidRDefault="00CB2D96" w:rsidP="00082B77">
      <w:pPr>
        <w:pStyle w:val="LI-BodyTextNumbered"/>
        <w:numPr>
          <w:ilvl w:val="0"/>
          <w:numId w:val="16"/>
        </w:numPr>
      </w:pPr>
      <w:r w:rsidRPr="00EA17A6">
        <w:t xml:space="preserve">This instrument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570BEB58"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36F2" w14:textId="77777777" w:rsidR="00CF0EAA" w:rsidRDefault="00CF0EAA" w:rsidP="00715914">
      <w:pPr>
        <w:spacing w:line="240" w:lineRule="auto"/>
      </w:pPr>
      <w:r>
        <w:separator/>
      </w:r>
    </w:p>
  </w:endnote>
  <w:endnote w:type="continuationSeparator" w:id="0">
    <w:p w14:paraId="63BA4F71" w14:textId="77777777" w:rsidR="00CF0EAA" w:rsidRDefault="00CF0EAA" w:rsidP="00715914">
      <w:pPr>
        <w:spacing w:line="240" w:lineRule="auto"/>
      </w:pPr>
      <w:r>
        <w:continuationSeparator/>
      </w:r>
    </w:p>
  </w:endnote>
  <w:endnote w:type="continuationNotice" w:id="1">
    <w:p w14:paraId="2FC3B808" w14:textId="77777777" w:rsidR="00CF0EAA" w:rsidRDefault="00CF0E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C13D0" w14:textId="77777777" w:rsidR="00CF0EAA" w:rsidRDefault="00CF0EAA" w:rsidP="00715914">
      <w:pPr>
        <w:spacing w:line="240" w:lineRule="auto"/>
      </w:pPr>
      <w:r>
        <w:separator/>
      </w:r>
    </w:p>
  </w:footnote>
  <w:footnote w:type="continuationSeparator" w:id="0">
    <w:p w14:paraId="28A35966" w14:textId="77777777" w:rsidR="00CF0EAA" w:rsidRDefault="00CF0EAA" w:rsidP="00715914">
      <w:pPr>
        <w:spacing w:line="240" w:lineRule="auto"/>
      </w:pPr>
      <w:r>
        <w:continuationSeparator/>
      </w:r>
    </w:p>
  </w:footnote>
  <w:footnote w:type="continuationNotice" w:id="1">
    <w:p w14:paraId="05A38952" w14:textId="77777777" w:rsidR="00CF0EAA" w:rsidRDefault="00CF0E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shd w:val="clear" w:color="auto" w:fill="auto"/>
        </w:tcPr>
        <w:p w14:paraId="4D19EF3A" w14:textId="77777777" w:rsidR="00F4215A" w:rsidRDefault="00F4215A" w:rsidP="00E40FF8">
          <w:pPr>
            <w:pStyle w:val="LI-Header"/>
            <w:pBdr>
              <w:bottom w:val="none" w:sz="0" w:space="0" w:color="auto"/>
            </w:pBdr>
            <w:jc w:val="left"/>
          </w:pPr>
        </w:p>
      </w:tc>
      <w:tc>
        <w:tcPr>
          <w:tcW w:w="4060" w:type="dxa"/>
          <w:shd w:val="clear" w:color="auto" w:fill="auto"/>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785E68"/>
    <w:multiLevelType w:val="hybridMultilevel"/>
    <w:tmpl w:val="0BDEB6E2"/>
    <w:lvl w:ilvl="0" w:tplc="4CBC1D22">
      <w:start w:val="1"/>
      <w:numFmt w:val="decimal"/>
      <w:lvlText w:val="%1."/>
      <w:lvlJc w:val="left"/>
      <w:pPr>
        <w:ind w:left="570" w:hanging="57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D04A23"/>
    <w:multiLevelType w:val="hybridMultilevel"/>
    <w:tmpl w:val="A866ECB0"/>
    <w:lvl w:ilvl="0" w:tplc="4CBC1D22">
      <w:start w:val="1"/>
      <w:numFmt w:val="decimal"/>
      <w:lvlText w:val="%1."/>
      <w:lvlJc w:val="left"/>
      <w:pPr>
        <w:ind w:left="360" w:hanging="360"/>
      </w:pPr>
      <w:rPr>
        <w:rFonts w:hint="default"/>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E490505"/>
    <w:multiLevelType w:val="hybridMultilevel"/>
    <w:tmpl w:val="6C9649B4"/>
    <w:lvl w:ilvl="0" w:tplc="4CBC1D22">
      <w:start w:val="1"/>
      <w:numFmt w:val="decimal"/>
      <w:lvlText w:val="%1."/>
      <w:lvlJc w:val="left"/>
      <w:pPr>
        <w:ind w:left="570" w:hanging="570"/>
      </w:pPr>
      <w:rPr>
        <w:rFonts w:hint="default"/>
        <w:i w:val="0"/>
        <w:iCs/>
      </w:rPr>
    </w:lvl>
    <w:lvl w:ilvl="1" w:tplc="DB4457BA">
      <w:start w:val="1"/>
      <w:numFmt w:val="lowerLetter"/>
      <w:lvlText w:val="(%2)"/>
      <w:lvlJc w:val="left"/>
      <w:pPr>
        <w:ind w:left="644" w:hanging="360"/>
      </w:pPr>
      <w:rPr>
        <w:rFonts w:hint="default"/>
        <w:i w:val="0"/>
        <w:iCs/>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72C5FBE"/>
    <w:multiLevelType w:val="hybridMultilevel"/>
    <w:tmpl w:val="6F7AFF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DAB133C"/>
    <w:multiLevelType w:val="hybridMultilevel"/>
    <w:tmpl w:val="42B8E494"/>
    <w:lvl w:ilvl="0" w:tplc="4CBC1D22">
      <w:start w:val="1"/>
      <w:numFmt w:val="decimal"/>
      <w:lvlText w:val="%1."/>
      <w:lvlJc w:val="left"/>
      <w:pPr>
        <w:ind w:left="360" w:hanging="360"/>
      </w:pPr>
      <w:rPr>
        <w:rFonts w:hint="default"/>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133B27"/>
    <w:multiLevelType w:val="hybridMultilevel"/>
    <w:tmpl w:val="33906134"/>
    <w:lvl w:ilvl="0" w:tplc="4CBC1D22">
      <w:start w:val="1"/>
      <w:numFmt w:val="decimal"/>
      <w:lvlText w:val="%1."/>
      <w:lvlJc w:val="left"/>
      <w:pPr>
        <w:ind w:left="360" w:hanging="360"/>
      </w:pPr>
      <w:rPr>
        <w:rFonts w:hint="default"/>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89F2175"/>
    <w:multiLevelType w:val="hybridMultilevel"/>
    <w:tmpl w:val="9F4CCFE2"/>
    <w:lvl w:ilvl="0" w:tplc="4CBC1D22">
      <w:start w:val="1"/>
      <w:numFmt w:val="decimal"/>
      <w:lvlText w:val="%1."/>
      <w:lvlJc w:val="left"/>
      <w:pPr>
        <w:ind w:left="360" w:hanging="360"/>
      </w:pPr>
      <w:rPr>
        <w:rFonts w:hint="default"/>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40552F3"/>
    <w:multiLevelType w:val="hybridMultilevel"/>
    <w:tmpl w:val="17D0EC1E"/>
    <w:lvl w:ilvl="0" w:tplc="49361730">
      <w:start w:val="1"/>
      <w:numFmt w:val="decimal"/>
      <w:lvlText w:val="%1."/>
      <w:lvlJc w:val="left"/>
      <w:pPr>
        <w:ind w:left="57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3175561">
    <w:abstractNumId w:val="9"/>
  </w:num>
  <w:num w:numId="2" w16cid:durableId="1893808210">
    <w:abstractNumId w:val="7"/>
  </w:num>
  <w:num w:numId="3" w16cid:durableId="1665553295">
    <w:abstractNumId w:val="6"/>
  </w:num>
  <w:num w:numId="4" w16cid:durableId="2103257661">
    <w:abstractNumId w:val="5"/>
  </w:num>
  <w:num w:numId="5" w16cid:durableId="992562875">
    <w:abstractNumId w:val="4"/>
  </w:num>
  <w:num w:numId="6" w16cid:durableId="1990670605">
    <w:abstractNumId w:val="8"/>
  </w:num>
  <w:num w:numId="7" w16cid:durableId="1326277385">
    <w:abstractNumId w:val="3"/>
  </w:num>
  <w:num w:numId="8" w16cid:durableId="1407071028">
    <w:abstractNumId w:val="2"/>
  </w:num>
  <w:num w:numId="9" w16cid:durableId="1579171820">
    <w:abstractNumId w:val="1"/>
  </w:num>
  <w:num w:numId="10" w16cid:durableId="314645539">
    <w:abstractNumId w:val="0"/>
  </w:num>
  <w:num w:numId="11" w16cid:durableId="1226068107">
    <w:abstractNumId w:val="16"/>
  </w:num>
  <w:num w:numId="12" w16cid:durableId="879973948">
    <w:abstractNumId w:val="10"/>
  </w:num>
  <w:num w:numId="13" w16cid:durableId="903834831">
    <w:abstractNumId w:val="12"/>
  </w:num>
  <w:num w:numId="14" w16cid:durableId="1966767231">
    <w:abstractNumId w:val="18"/>
  </w:num>
  <w:num w:numId="15" w16cid:durableId="1029329719">
    <w:abstractNumId w:val="15"/>
  </w:num>
  <w:num w:numId="16" w16cid:durableId="423188906">
    <w:abstractNumId w:val="14"/>
  </w:num>
  <w:num w:numId="17" w16cid:durableId="1416702293">
    <w:abstractNumId w:val="21"/>
  </w:num>
  <w:num w:numId="18" w16cid:durableId="17583726">
    <w:abstractNumId w:val="11"/>
  </w:num>
  <w:num w:numId="19" w16cid:durableId="84033044">
    <w:abstractNumId w:val="20"/>
  </w:num>
  <w:num w:numId="20" w16cid:durableId="480971267">
    <w:abstractNumId w:val="17"/>
  </w:num>
  <w:num w:numId="21" w16cid:durableId="1782652289">
    <w:abstractNumId w:val="13"/>
  </w:num>
  <w:num w:numId="22" w16cid:durableId="2723210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136AF"/>
    <w:rsid w:val="00013B8D"/>
    <w:rsid w:val="00015719"/>
    <w:rsid w:val="00020168"/>
    <w:rsid w:val="00023D53"/>
    <w:rsid w:val="000278CB"/>
    <w:rsid w:val="000437C1"/>
    <w:rsid w:val="00046AF3"/>
    <w:rsid w:val="000501A2"/>
    <w:rsid w:val="0005365D"/>
    <w:rsid w:val="000614BF"/>
    <w:rsid w:val="0006250C"/>
    <w:rsid w:val="0006449A"/>
    <w:rsid w:val="0006466C"/>
    <w:rsid w:val="0006608D"/>
    <w:rsid w:val="00067187"/>
    <w:rsid w:val="00081794"/>
    <w:rsid w:val="00082B77"/>
    <w:rsid w:val="00084FF4"/>
    <w:rsid w:val="000859AA"/>
    <w:rsid w:val="000A142F"/>
    <w:rsid w:val="000A6C39"/>
    <w:rsid w:val="000B58FA"/>
    <w:rsid w:val="000C55A0"/>
    <w:rsid w:val="000C704F"/>
    <w:rsid w:val="000D02EC"/>
    <w:rsid w:val="000D041F"/>
    <w:rsid w:val="000D05EF"/>
    <w:rsid w:val="000D4178"/>
    <w:rsid w:val="000E2261"/>
    <w:rsid w:val="000E3C2E"/>
    <w:rsid w:val="000E42AE"/>
    <w:rsid w:val="000F21C1"/>
    <w:rsid w:val="000F4A02"/>
    <w:rsid w:val="00102CA6"/>
    <w:rsid w:val="00103A91"/>
    <w:rsid w:val="0010745C"/>
    <w:rsid w:val="00113283"/>
    <w:rsid w:val="0012134A"/>
    <w:rsid w:val="00125141"/>
    <w:rsid w:val="001274DF"/>
    <w:rsid w:val="00132CEB"/>
    <w:rsid w:val="00142B62"/>
    <w:rsid w:val="00153B32"/>
    <w:rsid w:val="00155B7F"/>
    <w:rsid w:val="00157B8B"/>
    <w:rsid w:val="001624E1"/>
    <w:rsid w:val="00166C2F"/>
    <w:rsid w:val="00171A6E"/>
    <w:rsid w:val="001809D7"/>
    <w:rsid w:val="001863C3"/>
    <w:rsid w:val="0018659E"/>
    <w:rsid w:val="001872DC"/>
    <w:rsid w:val="001939E1"/>
    <w:rsid w:val="00194490"/>
    <w:rsid w:val="00194C3E"/>
    <w:rsid w:val="00195382"/>
    <w:rsid w:val="00195BD4"/>
    <w:rsid w:val="001B6A17"/>
    <w:rsid w:val="001C0A4B"/>
    <w:rsid w:val="001C3007"/>
    <w:rsid w:val="001C61C5"/>
    <w:rsid w:val="001C69C4"/>
    <w:rsid w:val="001D37EF"/>
    <w:rsid w:val="001E3590"/>
    <w:rsid w:val="001E7407"/>
    <w:rsid w:val="001E77ED"/>
    <w:rsid w:val="001E7E2B"/>
    <w:rsid w:val="001F02B1"/>
    <w:rsid w:val="001F5D5E"/>
    <w:rsid w:val="001F6219"/>
    <w:rsid w:val="001F6CD4"/>
    <w:rsid w:val="00204B71"/>
    <w:rsid w:val="00206C4D"/>
    <w:rsid w:val="0021050C"/>
    <w:rsid w:val="0021053C"/>
    <w:rsid w:val="00215AF1"/>
    <w:rsid w:val="0022087F"/>
    <w:rsid w:val="00220A36"/>
    <w:rsid w:val="00223C11"/>
    <w:rsid w:val="00223DCF"/>
    <w:rsid w:val="00232088"/>
    <w:rsid w:val="002321E8"/>
    <w:rsid w:val="00236EEC"/>
    <w:rsid w:val="0024010F"/>
    <w:rsid w:val="00240749"/>
    <w:rsid w:val="00241F8E"/>
    <w:rsid w:val="00243018"/>
    <w:rsid w:val="00243EC0"/>
    <w:rsid w:val="00244742"/>
    <w:rsid w:val="002462A3"/>
    <w:rsid w:val="002564A4"/>
    <w:rsid w:val="0026736C"/>
    <w:rsid w:val="0027425D"/>
    <w:rsid w:val="00281308"/>
    <w:rsid w:val="00281813"/>
    <w:rsid w:val="00283E92"/>
    <w:rsid w:val="00284719"/>
    <w:rsid w:val="00297ECB"/>
    <w:rsid w:val="002A7268"/>
    <w:rsid w:val="002A7328"/>
    <w:rsid w:val="002A7BCF"/>
    <w:rsid w:val="002B19F3"/>
    <w:rsid w:val="002B1A91"/>
    <w:rsid w:val="002B4A0D"/>
    <w:rsid w:val="002B5EB2"/>
    <w:rsid w:val="002C06C5"/>
    <w:rsid w:val="002C127D"/>
    <w:rsid w:val="002C2D5C"/>
    <w:rsid w:val="002C7B6F"/>
    <w:rsid w:val="002D043A"/>
    <w:rsid w:val="002D222D"/>
    <w:rsid w:val="002D6224"/>
    <w:rsid w:val="002E1C5B"/>
    <w:rsid w:val="002E3BCD"/>
    <w:rsid w:val="002E3F4B"/>
    <w:rsid w:val="00304F8B"/>
    <w:rsid w:val="00315100"/>
    <w:rsid w:val="00327DDF"/>
    <w:rsid w:val="0033483F"/>
    <w:rsid w:val="003354D2"/>
    <w:rsid w:val="00335BC6"/>
    <w:rsid w:val="003415D3"/>
    <w:rsid w:val="00342411"/>
    <w:rsid w:val="0034459B"/>
    <w:rsid w:val="00344701"/>
    <w:rsid w:val="00350998"/>
    <w:rsid w:val="003528DA"/>
    <w:rsid w:val="00352B0F"/>
    <w:rsid w:val="00354C40"/>
    <w:rsid w:val="00356690"/>
    <w:rsid w:val="00357DD0"/>
    <w:rsid w:val="00360459"/>
    <w:rsid w:val="003648EA"/>
    <w:rsid w:val="00365497"/>
    <w:rsid w:val="003663FE"/>
    <w:rsid w:val="003676E0"/>
    <w:rsid w:val="003715CB"/>
    <w:rsid w:val="00375908"/>
    <w:rsid w:val="00381056"/>
    <w:rsid w:val="00381DC8"/>
    <w:rsid w:val="00387A96"/>
    <w:rsid w:val="003A2178"/>
    <w:rsid w:val="003A23C0"/>
    <w:rsid w:val="003A2A48"/>
    <w:rsid w:val="003B28C3"/>
    <w:rsid w:val="003B2A8A"/>
    <w:rsid w:val="003B732F"/>
    <w:rsid w:val="003C2C25"/>
    <w:rsid w:val="003C5829"/>
    <w:rsid w:val="003C6231"/>
    <w:rsid w:val="003D0BFE"/>
    <w:rsid w:val="003D2FA3"/>
    <w:rsid w:val="003D5700"/>
    <w:rsid w:val="003D60E7"/>
    <w:rsid w:val="003E0F99"/>
    <w:rsid w:val="003E341B"/>
    <w:rsid w:val="003E637B"/>
    <w:rsid w:val="003F3EFD"/>
    <w:rsid w:val="003F587E"/>
    <w:rsid w:val="0040053F"/>
    <w:rsid w:val="004113A1"/>
    <w:rsid w:val="004116CD"/>
    <w:rsid w:val="004144EC"/>
    <w:rsid w:val="00416674"/>
    <w:rsid w:val="00417EB9"/>
    <w:rsid w:val="0042169A"/>
    <w:rsid w:val="00424CA9"/>
    <w:rsid w:val="00431E9B"/>
    <w:rsid w:val="00435EEF"/>
    <w:rsid w:val="004379E3"/>
    <w:rsid w:val="00437BAD"/>
    <w:rsid w:val="0044015E"/>
    <w:rsid w:val="0044291A"/>
    <w:rsid w:val="00444ABD"/>
    <w:rsid w:val="00447DB4"/>
    <w:rsid w:val="0045007F"/>
    <w:rsid w:val="00454BA1"/>
    <w:rsid w:val="00456EB8"/>
    <w:rsid w:val="00460F1D"/>
    <w:rsid w:val="00465DC1"/>
    <w:rsid w:val="00467661"/>
    <w:rsid w:val="004705B7"/>
    <w:rsid w:val="004710E5"/>
    <w:rsid w:val="00472DBE"/>
    <w:rsid w:val="00474A19"/>
    <w:rsid w:val="00474B52"/>
    <w:rsid w:val="00481C24"/>
    <w:rsid w:val="00481F6A"/>
    <w:rsid w:val="004823C0"/>
    <w:rsid w:val="0048276B"/>
    <w:rsid w:val="00484022"/>
    <w:rsid w:val="00484D3E"/>
    <w:rsid w:val="00485054"/>
    <w:rsid w:val="00493DBB"/>
    <w:rsid w:val="00495D4D"/>
    <w:rsid w:val="00496B5F"/>
    <w:rsid w:val="00496F97"/>
    <w:rsid w:val="004A44FC"/>
    <w:rsid w:val="004B389F"/>
    <w:rsid w:val="004B44D8"/>
    <w:rsid w:val="004B5B44"/>
    <w:rsid w:val="004B6823"/>
    <w:rsid w:val="004C1CB1"/>
    <w:rsid w:val="004D3C97"/>
    <w:rsid w:val="004D4E85"/>
    <w:rsid w:val="004D7E7F"/>
    <w:rsid w:val="004E03F7"/>
    <w:rsid w:val="004E063A"/>
    <w:rsid w:val="004E7BEC"/>
    <w:rsid w:val="0050044F"/>
    <w:rsid w:val="00505D3D"/>
    <w:rsid w:val="00506AF6"/>
    <w:rsid w:val="00507335"/>
    <w:rsid w:val="00516B8D"/>
    <w:rsid w:val="00517E56"/>
    <w:rsid w:val="00532049"/>
    <w:rsid w:val="005326EF"/>
    <w:rsid w:val="005356A7"/>
    <w:rsid w:val="00536184"/>
    <w:rsid w:val="00537FBC"/>
    <w:rsid w:val="00540E94"/>
    <w:rsid w:val="005420F3"/>
    <w:rsid w:val="005447BA"/>
    <w:rsid w:val="005574D1"/>
    <w:rsid w:val="00561ABB"/>
    <w:rsid w:val="005657FE"/>
    <w:rsid w:val="005670E4"/>
    <w:rsid w:val="0057186D"/>
    <w:rsid w:val="00572BB1"/>
    <w:rsid w:val="0057670F"/>
    <w:rsid w:val="005831A6"/>
    <w:rsid w:val="00584811"/>
    <w:rsid w:val="00585784"/>
    <w:rsid w:val="00585A6D"/>
    <w:rsid w:val="00586255"/>
    <w:rsid w:val="00593AA6"/>
    <w:rsid w:val="00594161"/>
    <w:rsid w:val="00594749"/>
    <w:rsid w:val="0059737D"/>
    <w:rsid w:val="005A289A"/>
    <w:rsid w:val="005B4067"/>
    <w:rsid w:val="005B780C"/>
    <w:rsid w:val="005C3F41"/>
    <w:rsid w:val="005D0489"/>
    <w:rsid w:val="005D0D90"/>
    <w:rsid w:val="005D1770"/>
    <w:rsid w:val="005D1FEA"/>
    <w:rsid w:val="005D23BC"/>
    <w:rsid w:val="005D2D09"/>
    <w:rsid w:val="005D35C0"/>
    <w:rsid w:val="005D3D41"/>
    <w:rsid w:val="005D5FA5"/>
    <w:rsid w:val="005E4810"/>
    <w:rsid w:val="005F0995"/>
    <w:rsid w:val="005F1DB6"/>
    <w:rsid w:val="005F4140"/>
    <w:rsid w:val="005F5E91"/>
    <w:rsid w:val="005F65CD"/>
    <w:rsid w:val="005F7890"/>
    <w:rsid w:val="00600219"/>
    <w:rsid w:val="00601955"/>
    <w:rsid w:val="00603DC4"/>
    <w:rsid w:val="0060614B"/>
    <w:rsid w:val="00607A71"/>
    <w:rsid w:val="00610709"/>
    <w:rsid w:val="006117CB"/>
    <w:rsid w:val="00620076"/>
    <w:rsid w:val="006256CA"/>
    <w:rsid w:val="00634044"/>
    <w:rsid w:val="00636C5C"/>
    <w:rsid w:val="00637038"/>
    <w:rsid w:val="00640161"/>
    <w:rsid w:val="00644AEB"/>
    <w:rsid w:val="00652769"/>
    <w:rsid w:val="0065542F"/>
    <w:rsid w:val="006554FF"/>
    <w:rsid w:val="0065661E"/>
    <w:rsid w:val="00670752"/>
    <w:rsid w:val="00670EA1"/>
    <w:rsid w:val="00671EF2"/>
    <w:rsid w:val="006731DA"/>
    <w:rsid w:val="00677CC2"/>
    <w:rsid w:val="00686AE2"/>
    <w:rsid w:val="006905DE"/>
    <w:rsid w:val="0069207B"/>
    <w:rsid w:val="00693F29"/>
    <w:rsid w:val="006A06A8"/>
    <w:rsid w:val="006A320E"/>
    <w:rsid w:val="006A4CAF"/>
    <w:rsid w:val="006B5789"/>
    <w:rsid w:val="006B7193"/>
    <w:rsid w:val="006C0F87"/>
    <w:rsid w:val="006C30C5"/>
    <w:rsid w:val="006C4146"/>
    <w:rsid w:val="006C48FA"/>
    <w:rsid w:val="006C7F8C"/>
    <w:rsid w:val="006D1FB3"/>
    <w:rsid w:val="006D6079"/>
    <w:rsid w:val="006E5320"/>
    <w:rsid w:val="006E6246"/>
    <w:rsid w:val="006F3170"/>
    <w:rsid w:val="006F318F"/>
    <w:rsid w:val="006F4226"/>
    <w:rsid w:val="006F46FF"/>
    <w:rsid w:val="0070017E"/>
    <w:rsid w:val="00700B2C"/>
    <w:rsid w:val="00702EFD"/>
    <w:rsid w:val="007050A2"/>
    <w:rsid w:val="007059E3"/>
    <w:rsid w:val="007107D9"/>
    <w:rsid w:val="00713084"/>
    <w:rsid w:val="0071399B"/>
    <w:rsid w:val="00714F20"/>
    <w:rsid w:val="0071590F"/>
    <w:rsid w:val="00715914"/>
    <w:rsid w:val="0072683B"/>
    <w:rsid w:val="00731E00"/>
    <w:rsid w:val="00735219"/>
    <w:rsid w:val="00741EE8"/>
    <w:rsid w:val="007440B7"/>
    <w:rsid w:val="007500C8"/>
    <w:rsid w:val="00756272"/>
    <w:rsid w:val="00765001"/>
    <w:rsid w:val="007662B5"/>
    <w:rsid w:val="0076681A"/>
    <w:rsid w:val="007715C9"/>
    <w:rsid w:val="00771613"/>
    <w:rsid w:val="00774EDD"/>
    <w:rsid w:val="0077506D"/>
    <w:rsid w:val="007757EC"/>
    <w:rsid w:val="00783E89"/>
    <w:rsid w:val="007842CE"/>
    <w:rsid w:val="00785A9E"/>
    <w:rsid w:val="00790471"/>
    <w:rsid w:val="00793915"/>
    <w:rsid w:val="00797F25"/>
    <w:rsid w:val="007B4C4F"/>
    <w:rsid w:val="007B69CE"/>
    <w:rsid w:val="007C215C"/>
    <w:rsid w:val="007C2253"/>
    <w:rsid w:val="007D230B"/>
    <w:rsid w:val="007D4F39"/>
    <w:rsid w:val="007D6EBF"/>
    <w:rsid w:val="007E163D"/>
    <w:rsid w:val="007E667A"/>
    <w:rsid w:val="007F28C9"/>
    <w:rsid w:val="007F7CF7"/>
    <w:rsid w:val="0080312D"/>
    <w:rsid w:val="00803587"/>
    <w:rsid w:val="008117E9"/>
    <w:rsid w:val="00824498"/>
    <w:rsid w:val="008346A0"/>
    <w:rsid w:val="00835179"/>
    <w:rsid w:val="008353D0"/>
    <w:rsid w:val="008356AC"/>
    <w:rsid w:val="00840442"/>
    <w:rsid w:val="00842639"/>
    <w:rsid w:val="00846727"/>
    <w:rsid w:val="008527C0"/>
    <w:rsid w:val="00856A31"/>
    <w:rsid w:val="00860695"/>
    <w:rsid w:val="00860B58"/>
    <w:rsid w:val="00863657"/>
    <w:rsid w:val="00864B17"/>
    <w:rsid w:val="00867B37"/>
    <w:rsid w:val="00870A1F"/>
    <w:rsid w:val="008718DD"/>
    <w:rsid w:val="00874234"/>
    <w:rsid w:val="008754D0"/>
    <w:rsid w:val="008855C9"/>
    <w:rsid w:val="00886456"/>
    <w:rsid w:val="008945E0"/>
    <w:rsid w:val="0089527F"/>
    <w:rsid w:val="008A362B"/>
    <w:rsid w:val="008A46E1"/>
    <w:rsid w:val="008A4F43"/>
    <w:rsid w:val="008A5192"/>
    <w:rsid w:val="008B2706"/>
    <w:rsid w:val="008B399E"/>
    <w:rsid w:val="008C0F29"/>
    <w:rsid w:val="008D0526"/>
    <w:rsid w:val="008D0EE0"/>
    <w:rsid w:val="008D3422"/>
    <w:rsid w:val="008E6067"/>
    <w:rsid w:val="008F54E7"/>
    <w:rsid w:val="009016BE"/>
    <w:rsid w:val="00903422"/>
    <w:rsid w:val="0090345F"/>
    <w:rsid w:val="00906920"/>
    <w:rsid w:val="00912A58"/>
    <w:rsid w:val="00913637"/>
    <w:rsid w:val="009142D4"/>
    <w:rsid w:val="009157B9"/>
    <w:rsid w:val="00915DF9"/>
    <w:rsid w:val="00917B5B"/>
    <w:rsid w:val="00920D2D"/>
    <w:rsid w:val="009225AE"/>
    <w:rsid w:val="009254C3"/>
    <w:rsid w:val="00926940"/>
    <w:rsid w:val="00930A0A"/>
    <w:rsid w:val="00932377"/>
    <w:rsid w:val="00942608"/>
    <w:rsid w:val="009460DC"/>
    <w:rsid w:val="00946759"/>
    <w:rsid w:val="00947D5A"/>
    <w:rsid w:val="009532A5"/>
    <w:rsid w:val="00955175"/>
    <w:rsid w:val="0095528E"/>
    <w:rsid w:val="00960C37"/>
    <w:rsid w:val="0096753E"/>
    <w:rsid w:val="00982242"/>
    <w:rsid w:val="009868E9"/>
    <w:rsid w:val="0099215C"/>
    <w:rsid w:val="00992F3F"/>
    <w:rsid w:val="00993408"/>
    <w:rsid w:val="009944E6"/>
    <w:rsid w:val="009A2319"/>
    <w:rsid w:val="009A3A6F"/>
    <w:rsid w:val="009A3F74"/>
    <w:rsid w:val="009A454E"/>
    <w:rsid w:val="009A49C9"/>
    <w:rsid w:val="009A74AF"/>
    <w:rsid w:val="009C2791"/>
    <w:rsid w:val="009D1818"/>
    <w:rsid w:val="009D195A"/>
    <w:rsid w:val="009D4460"/>
    <w:rsid w:val="009D7993"/>
    <w:rsid w:val="009E01A4"/>
    <w:rsid w:val="009E4C10"/>
    <w:rsid w:val="009E5CFC"/>
    <w:rsid w:val="009E75A7"/>
    <w:rsid w:val="009F4A14"/>
    <w:rsid w:val="009F5515"/>
    <w:rsid w:val="00A03AF1"/>
    <w:rsid w:val="00A03B2D"/>
    <w:rsid w:val="00A079CB"/>
    <w:rsid w:val="00A12128"/>
    <w:rsid w:val="00A12F48"/>
    <w:rsid w:val="00A14F6A"/>
    <w:rsid w:val="00A15512"/>
    <w:rsid w:val="00A1630D"/>
    <w:rsid w:val="00A20CB6"/>
    <w:rsid w:val="00A22C98"/>
    <w:rsid w:val="00A231E2"/>
    <w:rsid w:val="00A32F71"/>
    <w:rsid w:val="00A33D55"/>
    <w:rsid w:val="00A34412"/>
    <w:rsid w:val="00A36FE8"/>
    <w:rsid w:val="00A373A9"/>
    <w:rsid w:val="00A40424"/>
    <w:rsid w:val="00A40AAA"/>
    <w:rsid w:val="00A44C99"/>
    <w:rsid w:val="00A52B0F"/>
    <w:rsid w:val="00A559B3"/>
    <w:rsid w:val="00A5632E"/>
    <w:rsid w:val="00A64912"/>
    <w:rsid w:val="00A70A74"/>
    <w:rsid w:val="00A7213C"/>
    <w:rsid w:val="00A77100"/>
    <w:rsid w:val="00A91966"/>
    <w:rsid w:val="00AA66AC"/>
    <w:rsid w:val="00AB17BD"/>
    <w:rsid w:val="00AB1DE8"/>
    <w:rsid w:val="00AB4202"/>
    <w:rsid w:val="00AB69D9"/>
    <w:rsid w:val="00AC0886"/>
    <w:rsid w:val="00AD02B8"/>
    <w:rsid w:val="00AD1F73"/>
    <w:rsid w:val="00AD5315"/>
    <w:rsid w:val="00AD5641"/>
    <w:rsid w:val="00AD57D1"/>
    <w:rsid w:val="00AD7889"/>
    <w:rsid w:val="00AE787B"/>
    <w:rsid w:val="00AF021B"/>
    <w:rsid w:val="00AF06CF"/>
    <w:rsid w:val="00AF7C6E"/>
    <w:rsid w:val="00B04305"/>
    <w:rsid w:val="00B07CDB"/>
    <w:rsid w:val="00B16A31"/>
    <w:rsid w:val="00B17167"/>
    <w:rsid w:val="00B17DFD"/>
    <w:rsid w:val="00B2251F"/>
    <w:rsid w:val="00B26207"/>
    <w:rsid w:val="00B275B9"/>
    <w:rsid w:val="00B2799D"/>
    <w:rsid w:val="00B308FE"/>
    <w:rsid w:val="00B33709"/>
    <w:rsid w:val="00B33B3C"/>
    <w:rsid w:val="00B33BD1"/>
    <w:rsid w:val="00B436FB"/>
    <w:rsid w:val="00B50ADC"/>
    <w:rsid w:val="00B557A8"/>
    <w:rsid w:val="00B566B1"/>
    <w:rsid w:val="00B573E4"/>
    <w:rsid w:val="00B577C8"/>
    <w:rsid w:val="00B63834"/>
    <w:rsid w:val="00B66B84"/>
    <w:rsid w:val="00B72734"/>
    <w:rsid w:val="00B7290E"/>
    <w:rsid w:val="00B80199"/>
    <w:rsid w:val="00B82BAE"/>
    <w:rsid w:val="00B82D81"/>
    <w:rsid w:val="00B83204"/>
    <w:rsid w:val="00B9126E"/>
    <w:rsid w:val="00B97F17"/>
    <w:rsid w:val="00BA220B"/>
    <w:rsid w:val="00BA3A57"/>
    <w:rsid w:val="00BA5CE8"/>
    <w:rsid w:val="00BB4DB6"/>
    <w:rsid w:val="00BB4E1A"/>
    <w:rsid w:val="00BB5C17"/>
    <w:rsid w:val="00BC015E"/>
    <w:rsid w:val="00BC7183"/>
    <w:rsid w:val="00BC76AC"/>
    <w:rsid w:val="00BD0ECB"/>
    <w:rsid w:val="00BE12BE"/>
    <w:rsid w:val="00BE2155"/>
    <w:rsid w:val="00BE2213"/>
    <w:rsid w:val="00BE6EF9"/>
    <w:rsid w:val="00BE719A"/>
    <w:rsid w:val="00BE720A"/>
    <w:rsid w:val="00BF0D73"/>
    <w:rsid w:val="00BF2465"/>
    <w:rsid w:val="00BF75C9"/>
    <w:rsid w:val="00C00901"/>
    <w:rsid w:val="00C0544A"/>
    <w:rsid w:val="00C06AC9"/>
    <w:rsid w:val="00C07414"/>
    <w:rsid w:val="00C11452"/>
    <w:rsid w:val="00C12666"/>
    <w:rsid w:val="00C134DE"/>
    <w:rsid w:val="00C164B7"/>
    <w:rsid w:val="00C17457"/>
    <w:rsid w:val="00C25E7F"/>
    <w:rsid w:val="00C2746F"/>
    <w:rsid w:val="00C314CA"/>
    <w:rsid w:val="00C324A0"/>
    <w:rsid w:val="00C3300F"/>
    <w:rsid w:val="00C34E77"/>
    <w:rsid w:val="00C35875"/>
    <w:rsid w:val="00C35DAF"/>
    <w:rsid w:val="00C4170B"/>
    <w:rsid w:val="00C42BF8"/>
    <w:rsid w:val="00C45171"/>
    <w:rsid w:val="00C47D01"/>
    <w:rsid w:val="00C50043"/>
    <w:rsid w:val="00C50B97"/>
    <w:rsid w:val="00C50FC5"/>
    <w:rsid w:val="00C522B9"/>
    <w:rsid w:val="00C52E7C"/>
    <w:rsid w:val="00C6434E"/>
    <w:rsid w:val="00C70CA8"/>
    <w:rsid w:val="00C7573B"/>
    <w:rsid w:val="00C76FB4"/>
    <w:rsid w:val="00C7761F"/>
    <w:rsid w:val="00C86B32"/>
    <w:rsid w:val="00C93C03"/>
    <w:rsid w:val="00CA66DC"/>
    <w:rsid w:val="00CA7767"/>
    <w:rsid w:val="00CB2C8E"/>
    <w:rsid w:val="00CB2D96"/>
    <w:rsid w:val="00CB602E"/>
    <w:rsid w:val="00CC3AEC"/>
    <w:rsid w:val="00CD258A"/>
    <w:rsid w:val="00CD2E90"/>
    <w:rsid w:val="00CD4781"/>
    <w:rsid w:val="00CD72A4"/>
    <w:rsid w:val="00CE0149"/>
    <w:rsid w:val="00CE051D"/>
    <w:rsid w:val="00CE1009"/>
    <w:rsid w:val="00CE1335"/>
    <w:rsid w:val="00CE3D2A"/>
    <w:rsid w:val="00CE493D"/>
    <w:rsid w:val="00CE541A"/>
    <w:rsid w:val="00CE6D42"/>
    <w:rsid w:val="00CF07FA"/>
    <w:rsid w:val="00CF0BB2"/>
    <w:rsid w:val="00CF0EAA"/>
    <w:rsid w:val="00CF20FF"/>
    <w:rsid w:val="00CF3EE8"/>
    <w:rsid w:val="00CF5313"/>
    <w:rsid w:val="00D050E6"/>
    <w:rsid w:val="00D0571B"/>
    <w:rsid w:val="00D13218"/>
    <w:rsid w:val="00D13441"/>
    <w:rsid w:val="00D14A55"/>
    <w:rsid w:val="00D150E7"/>
    <w:rsid w:val="00D20A4B"/>
    <w:rsid w:val="00D23672"/>
    <w:rsid w:val="00D306F8"/>
    <w:rsid w:val="00D32F65"/>
    <w:rsid w:val="00D341C4"/>
    <w:rsid w:val="00D418E5"/>
    <w:rsid w:val="00D41A47"/>
    <w:rsid w:val="00D442A2"/>
    <w:rsid w:val="00D52DC2"/>
    <w:rsid w:val="00D53BCC"/>
    <w:rsid w:val="00D5495B"/>
    <w:rsid w:val="00D648BB"/>
    <w:rsid w:val="00D6672A"/>
    <w:rsid w:val="00D702DE"/>
    <w:rsid w:val="00D70DFB"/>
    <w:rsid w:val="00D732EC"/>
    <w:rsid w:val="00D73C22"/>
    <w:rsid w:val="00D766DF"/>
    <w:rsid w:val="00D772AE"/>
    <w:rsid w:val="00D92438"/>
    <w:rsid w:val="00DA186E"/>
    <w:rsid w:val="00DA4116"/>
    <w:rsid w:val="00DB251C"/>
    <w:rsid w:val="00DB38AD"/>
    <w:rsid w:val="00DB4630"/>
    <w:rsid w:val="00DB51FD"/>
    <w:rsid w:val="00DB5DBF"/>
    <w:rsid w:val="00DC1135"/>
    <w:rsid w:val="00DC372A"/>
    <w:rsid w:val="00DC4445"/>
    <w:rsid w:val="00DC4F88"/>
    <w:rsid w:val="00DD12E7"/>
    <w:rsid w:val="00DE0A85"/>
    <w:rsid w:val="00DE79F9"/>
    <w:rsid w:val="00DF4484"/>
    <w:rsid w:val="00DF5FD1"/>
    <w:rsid w:val="00DF79B1"/>
    <w:rsid w:val="00E03D3A"/>
    <w:rsid w:val="00E05704"/>
    <w:rsid w:val="00E06CC3"/>
    <w:rsid w:val="00E071ED"/>
    <w:rsid w:val="00E11E44"/>
    <w:rsid w:val="00E133CE"/>
    <w:rsid w:val="00E13AFA"/>
    <w:rsid w:val="00E212B8"/>
    <w:rsid w:val="00E2168B"/>
    <w:rsid w:val="00E21D73"/>
    <w:rsid w:val="00E21F03"/>
    <w:rsid w:val="00E23AD3"/>
    <w:rsid w:val="00E24B43"/>
    <w:rsid w:val="00E3361C"/>
    <w:rsid w:val="00E338EF"/>
    <w:rsid w:val="00E40FF8"/>
    <w:rsid w:val="00E426FA"/>
    <w:rsid w:val="00E51AE9"/>
    <w:rsid w:val="00E544BB"/>
    <w:rsid w:val="00E578EC"/>
    <w:rsid w:val="00E60423"/>
    <w:rsid w:val="00E63D13"/>
    <w:rsid w:val="00E63DF9"/>
    <w:rsid w:val="00E649D7"/>
    <w:rsid w:val="00E662CB"/>
    <w:rsid w:val="00E74DC7"/>
    <w:rsid w:val="00E8075A"/>
    <w:rsid w:val="00E818A6"/>
    <w:rsid w:val="00E82390"/>
    <w:rsid w:val="00E83220"/>
    <w:rsid w:val="00E85235"/>
    <w:rsid w:val="00E85A91"/>
    <w:rsid w:val="00E87718"/>
    <w:rsid w:val="00E94D5E"/>
    <w:rsid w:val="00E97973"/>
    <w:rsid w:val="00EA0BF6"/>
    <w:rsid w:val="00EA17A6"/>
    <w:rsid w:val="00EA3078"/>
    <w:rsid w:val="00EA7100"/>
    <w:rsid w:val="00EA7F9F"/>
    <w:rsid w:val="00EB0E70"/>
    <w:rsid w:val="00EB1274"/>
    <w:rsid w:val="00EB33ED"/>
    <w:rsid w:val="00EC4757"/>
    <w:rsid w:val="00EC7EDB"/>
    <w:rsid w:val="00ED14FB"/>
    <w:rsid w:val="00ED2BB6"/>
    <w:rsid w:val="00ED34E1"/>
    <w:rsid w:val="00ED384C"/>
    <w:rsid w:val="00ED3B8D"/>
    <w:rsid w:val="00ED4371"/>
    <w:rsid w:val="00ED796D"/>
    <w:rsid w:val="00EF15D3"/>
    <w:rsid w:val="00EF2E3A"/>
    <w:rsid w:val="00EF4CF0"/>
    <w:rsid w:val="00EF4D3B"/>
    <w:rsid w:val="00F02EF9"/>
    <w:rsid w:val="00F03BB5"/>
    <w:rsid w:val="00F047D8"/>
    <w:rsid w:val="00F072A7"/>
    <w:rsid w:val="00F078DC"/>
    <w:rsid w:val="00F14593"/>
    <w:rsid w:val="00F1653D"/>
    <w:rsid w:val="00F171A1"/>
    <w:rsid w:val="00F24261"/>
    <w:rsid w:val="00F32BA8"/>
    <w:rsid w:val="00F349F1"/>
    <w:rsid w:val="00F4215A"/>
    <w:rsid w:val="00F4350D"/>
    <w:rsid w:val="00F45C97"/>
    <w:rsid w:val="00F46947"/>
    <w:rsid w:val="00F47F4C"/>
    <w:rsid w:val="00F50532"/>
    <w:rsid w:val="00F52CA6"/>
    <w:rsid w:val="00F567F7"/>
    <w:rsid w:val="00F61A66"/>
    <w:rsid w:val="00F61B09"/>
    <w:rsid w:val="00F62036"/>
    <w:rsid w:val="00F65B52"/>
    <w:rsid w:val="00F67BCA"/>
    <w:rsid w:val="00F73BD6"/>
    <w:rsid w:val="00F77243"/>
    <w:rsid w:val="00F777EA"/>
    <w:rsid w:val="00F800C9"/>
    <w:rsid w:val="00F83989"/>
    <w:rsid w:val="00F85099"/>
    <w:rsid w:val="00F87E83"/>
    <w:rsid w:val="00F9379C"/>
    <w:rsid w:val="00F9632C"/>
    <w:rsid w:val="00F96FAC"/>
    <w:rsid w:val="00FA13A8"/>
    <w:rsid w:val="00FA1E52"/>
    <w:rsid w:val="00FA31DE"/>
    <w:rsid w:val="00FA7A41"/>
    <w:rsid w:val="00FA7D17"/>
    <w:rsid w:val="00FC3EB8"/>
    <w:rsid w:val="00FC459E"/>
    <w:rsid w:val="00FC7D25"/>
    <w:rsid w:val="00FD0508"/>
    <w:rsid w:val="00FD13CC"/>
    <w:rsid w:val="00FD2E53"/>
    <w:rsid w:val="00FD5728"/>
    <w:rsid w:val="00FE2FB8"/>
    <w:rsid w:val="00FE4688"/>
    <w:rsid w:val="00FE72D6"/>
    <w:rsid w:val="00FE79D0"/>
    <w:rsid w:val="00FF38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ACABBCC2-DCBB-4D2A-8496-CD3B77F3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customStyle="1" w:styleId="li-bodytextparaa0">
    <w:name w:val="li-bodytextparaa"/>
    <w:basedOn w:val="Normal"/>
    <w:rsid w:val="006A4CAF"/>
    <w:pPr>
      <w:spacing w:before="100" w:beforeAutospacing="1" w:after="100" w:afterAutospacing="1" w:line="240" w:lineRule="auto"/>
    </w:pPr>
    <w:rPr>
      <w:rFonts w:eastAsia="Times New Roman"/>
      <w:sz w:val="24"/>
      <w:szCs w:val="24"/>
      <w:lang w:eastAsia="en-AU"/>
    </w:rPr>
  </w:style>
  <w:style w:type="paragraph" w:styleId="Revision">
    <w:name w:val="Revision"/>
    <w:hidden/>
    <w:uiPriority w:val="99"/>
    <w:semiHidden/>
    <w:rsid w:val="009E01A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51716814">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20985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F47466A5CC0C5D48A446AD5782D8375F" ma:contentTypeVersion="19" ma:contentTypeDescription="" ma:contentTypeScope="" ma:versionID="7164cff521b33b1a3d8b4bbda24068e8">
  <xsd:schema xmlns:xsd="http://www.w3.org/2001/XMLSchema" xmlns:xs="http://www.w3.org/2001/XMLSchema" xmlns:p="http://schemas.microsoft.com/office/2006/metadata/properties" xmlns:ns2="db2b92ca-6ed0-4085-802d-4c686a2e8c3f" xmlns:ns3="eb44715b-cd74-4c79-92c4-f0e9f1a86440" targetNamespace="http://schemas.microsoft.com/office/2006/metadata/properties" ma:root="true" ma:fieldsID="89f1f8534702cedee2ae90c1e0d8b0fe" ns2:_="" ns3:_="">
    <xsd:import namespace="db2b92ca-6ed0-4085-802d-4c686a2e8c3f"/>
    <xsd:import namespace="eb44715b-cd74-4c79-92c4-f0e9f1a8644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fce34cc-bad1-49e6-aa59-6651be61fae6}"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fce34cc-bad1-49e6-aa59-6651be61fae6}"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af302855-5de3-48f9-83c2-fc1acc0f760b" ContentTypeId="0x010100B5F685A1365F544391EF8C813B164F3A" PreviousValue="false"/>
</file>

<file path=customXml/item5.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p1abb5e704a84578aa4b8ef0390c3b25>
    <DocumentNotes xmlns="db2b92ca-6ed0-4085-802d-4c686a2e8c3f" xsi:nil="true"/>
    <NAPReason xmlns="db2b92ca-6ed0-4085-802d-4c686a2e8c3f" xsi:nil="true"/>
    <_dlc_DocId xmlns="eb44715b-cd74-4c79-92c4-f0e9f1a86440">001055-1122178031-2716</_dlc_DocId>
    <_dlc_DocIdUrl xmlns="eb44715b-cd74-4c79-92c4-f0e9f1a86440">
      <Url>https://asiclink.sharepoint.com/teams/001055/_layouts/15/DocIdRedir.aspx?ID=001055-1122178031-2716</Url>
      <Description>001055-1122178031-2716</Description>
    </_dlc_DocIdUrl>
    <TaxCatchAll xmlns="db2b92ca-6ed0-4085-802d-4c686a2e8c3f">
      <Value>2</Value>
    </TaxCatchAll>
  </documentManagement>
</p:properties>
</file>

<file path=customXml/item6.xml><?xml version="1.0" encoding="utf-8"?>
<?mso-contentType ?>
<FormTemplates xmlns="http://schemas.microsoft.com/sharepoint/v3/contenttype/form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989E-F560-4476-871F-A38B4C9B4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3.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4.xml><?xml version="1.0" encoding="utf-8"?>
<ds:datastoreItem xmlns:ds="http://schemas.openxmlformats.org/officeDocument/2006/customXml" ds:itemID="{D620FF69-220D-4F05-A89E-6FF76087B92C}">
  <ds:schemaRefs>
    <ds:schemaRef ds:uri="Microsoft.SharePoint.Taxonomy.ContentTypeSync"/>
  </ds:schemaRefs>
</ds:datastoreItem>
</file>

<file path=customXml/itemProps5.xml><?xml version="1.0" encoding="utf-8"?>
<ds:datastoreItem xmlns:ds="http://schemas.openxmlformats.org/officeDocument/2006/customXml" ds:itemID="{A954CD4F-4ADE-45EC-8760-0728E2692B40}">
  <ds:schemaRefs>
    <ds:schemaRef ds:uri="http://schemas.microsoft.com/office/2006/metadata/properties"/>
    <ds:schemaRef ds:uri="http://schemas.microsoft.com/office/infopath/2007/PartnerControls"/>
    <ds:schemaRef ds:uri="db2b92ca-6ed0-4085-802d-4c686a2e8c3f"/>
    <ds:schemaRef ds:uri="eb44715b-cd74-4c79-92c4-f0e9f1a86440"/>
  </ds:schemaRefs>
</ds:datastoreItem>
</file>

<file path=customXml/itemProps6.xml><?xml version="1.0" encoding="utf-8"?>
<ds:datastoreItem xmlns:ds="http://schemas.openxmlformats.org/officeDocument/2006/customXml" ds:itemID="{5C7A7D27-956A-41B5-8B8B-9B83F3A68304}">
  <ds:schemaRefs>
    <ds:schemaRef ds:uri="http://schemas.microsoft.com/sharepoint/v3/contenttype/forms"/>
  </ds:schemaRefs>
</ds:datastoreItem>
</file>

<file path=customXml/itemProps7.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2</TotalTime>
  <Pages>8</Pages>
  <Words>2249</Words>
  <Characters>12821</Characters>
  <Application>Microsoft Office Word</Application>
  <DocSecurity>0</DocSecurity>
  <PresentationFormat/>
  <Lines>106</Lines>
  <Paragraphs>30</Paragraphs>
  <ScaleCrop>false</ScaleCrop>
  <HeadingPairs>
    <vt:vector size="2" baseType="variant">
      <vt:variant>
        <vt:lpstr>Title</vt:lpstr>
      </vt:variant>
      <vt:variant>
        <vt:i4>1</vt:i4>
      </vt:variant>
    </vt:vector>
  </HeadingPairs>
  <TitlesOfParts>
    <vt:vector size="1" baseType="lpstr">
      <vt:lpstr>ASIC Regulated Foreign Markets Determination 2023/346</vt:lpstr>
    </vt:vector>
  </TitlesOfParts>
  <Company>ASIC</Company>
  <LinksUpToDate>false</LinksUpToDate>
  <CharactersWithSpaces>15040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Regulated Foreign Markets Determination 2023/346</dc:title>
  <dc:subject/>
  <dc:creator>Narelle Kane</dc:creator>
  <cp:keywords/>
  <dc:description/>
  <cp:lastModifiedBy>Narelle Kane</cp:lastModifiedBy>
  <cp:revision>2</cp:revision>
  <cp:lastPrinted>2023-08-21T00:08:00Z</cp:lastPrinted>
  <dcterms:created xsi:type="dcterms:W3CDTF">2023-08-25T07:07:00Z</dcterms:created>
  <dcterms:modified xsi:type="dcterms:W3CDTF">2023-08-25T07:07:00Z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ObjectiveID">
    <vt:lpwstr/>
  </property>
  <property fmtid="{D5CDD505-2E9C-101B-9397-08002B2CF9AE}" pid="53" name="SignificantFlag">
    <vt:lpwstr>0</vt:lpwstr>
  </property>
  <property fmtid="{D5CDD505-2E9C-101B-9397-08002B2CF9AE}" pid="54" name="SenateOrder12">
    <vt:lpwstr>0</vt:lpwstr>
  </property>
  <property fmtid="{D5CDD505-2E9C-101B-9397-08002B2CF9AE}" pid="55" name="ded95d7ab059406991d558011d18c177">
    <vt:lpwstr/>
  </property>
  <property fmtid="{D5CDD505-2E9C-101B-9397-08002B2CF9AE}" pid="56" name="SignificantReason">
    <vt:lpwstr/>
  </property>
  <property fmtid="{D5CDD505-2E9C-101B-9397-08002B2CF9AE}" pid="57" name="Order">
    <vt:lpwstr>71900.0000000000</vt:lpwstr>
  </property>
  <property fmtid="{D5CDD505-2E9C-101B-9397-08002B2CF9AE}" pid="58" name="RecordPoint_SubmissionDate">
    <vt:lpwstr/>
  </property>
  <property fmtid="{D5CDD505-2E9C-101B-9397-08002B2CF9AE}" pid="59" name="RecordPoint_RecordFormat">
    <vt:lpwstr/>
  </property>
  <property fmtid="{D5CDD505-2E9C-101B-9397-08002B2CF9AE}" pid="60" name="_dlc_DocId">
    <vt:lpwstr>000853-1726373233-1250</vt:lpwstr>
  </property>
  <property fmtid="{D5CDD505-2E9C-101B-9397-08002B2CF9AE}" pid="61" name="_dlc_DocIdItemGuid">
    <vt:lpwstr>ea590338-c1d9-414e-ae76-987aaabd1266</vt:lpwstr>
  </property>
  <property fmtid="{D5CDD505-2E9C-101B-9397-08002B2CF9AE}" pid="62" name="_dlc_DocIdUrl">
    <vt:lpwstr>https://asiclink.sharepoint.com/teams/000853/_layouts/15/DocIdRedir.aspx?ID=000853-1726373233-1250, 000853-1726373233-1250</vt:lpwstr>
  </property>
  <property fmtid="{D5CDD505-2E9C-101B-9397-08002B2CF9AE}" pid="63" name="bdf3bab5a81c426f8b5cbfa0265a271c">
    <vt:lpwstr/>
  </property>
  <property fmtid="{D5CDD505-2E9C-101B-9397-08002B2CF9AE}" pid="64" name="PolicyWorkDocumentType">
    <vt:lpwstr/>
  </property>
  <property fmtid="{D5CDD505-2E9C-101B-9397-08002B2CF9AE}" pid="65" name="SecurityClassification">
    <vt:lpwstr>2;#OFFICIAL|cffd3088-7a74-4edb-8c9e-fbf79371a422</vt:lpwstr>
  </property>
  <property fmtid="{D5CDD505-2E9C-101B-9397-08002B2CF9AE}" pid="66" name="ContentTypeId">
    <vt:lpwstr>0x010100B5F685A1365F544391EF8C813B164F3A00F47466A5CC0C5D48A446AD5782D8375F</vt:lpwstr>
  </property>
  <property fmtid="{D5CDD505-2E9C-101B-9397-08002B2CF9AE}" pid="67" name="MSIP_Label_a6aead41-07f8-4767-ac8e-ef1c9c793766_Enabled">
    <vt:lpwstr>true</vt:lpwstr>
  </property>
  <property fmtid="{D5CDD505-2E9C-101B-9397-08002B2CF9AE}" pid="68" name="MSIP_Label_a6aead41-07f8-4767-ac8e-ef1c9c793766_SetDate">
    <vt:lpwstr>2023-08-16T23:40:06Z</vt:lpwstr>
  </property>
  <property fmtid="{D5CDD505-2E9C-101B-9397-08002B2CF9AE}" pid="69" name="MSIP_Label_a6aead41-07f8-4767-ac8e-ef1c9c793766_Method">
    <vt:lpwstr>Standard</vt:lpwstr>
  </property>
  <property fmtid="{D5CDD505-2E9C-101B-9397-08002B2CF9AE}" pid="70" name="MSIP_Label_a6aead41-07f8-4767-ac8e-ef1c9c793766_Name">
    <vt:lpwstr>OFFICIAL</vt:lpwstr>
  </property>
  <property fmtid="{D5CDD505-2E9C-101B-9397-08002B2CF9AE}" pid="71" name="MSIP_Label_a6aead41-07f8-4767-ac8e-ef1c9c793766_SiteId">
    <vt:lpwstr>5f1de7c6-55cd-4bb2-902d-514c78cf10f4</vt:lpwstr>
  </property>
  <property fmtid="{D5CDD505-2E9C-101B-9397-08002B2CF9AE}" pid="72" name="MSIP_Label_a6aead41-07f8-4767-ac8e-ef1c9c793766_ActionId">
    <vt:lpwstr>26b22218-7fbe-46cd-91e7-f7c334ce7adb</vt:lpwstr>
  </property>
  <property fmtid="{D5CDD505-2E9C-101B-9397-08002B2CF9AE}" pid="73" name="MSIP_Label_a6aead41-07f8-4767-ac8e-ef1c9c793766_ContentBits">
    <vt:lpwstr>0</vt:lpwstr>
  </property>
</Properties>
</file>