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B11AB" w14:textId="612AF742" w:rsidR="00955175" w:rsidRPr="00C7004B" w:rsidRDefault="00B050E4" w:rsidP="00FF666D">
      <w:pPr>
        <w:spacing w:before="280" w:after="240"/>
      </w:pPr>
      <w:r w:rsidRPr="00C7004B">
        <w:rPr>
          <w:noProof/>
        </w:rPr>
        <w:drawing>
          <wp:anchor distT="0" distB="0" distL="114300" distR="114300" simplePos="0" relativeHeight="251658240" behindDoc="0" locked="0" layoutInCell="1" allowOverlap="1" wp14:anchorId="7295059C" wp14:editId="18873D9D">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and ASIC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23032884" w14:textId="77777777" w:rsidR="00FF666D" w:rsidRPr="00C7004B" w:rsidRDefault="00FF666D" w:rsidP="00FF666D">
      <w:pPr>
        <w:spacing w:before="280" w:after="240"/>
      </w:pPr>
    </w:p>
    <w:p w14:paraId="4FD199EC" w14:textId="77777777" w:rsidR="00955175" w:rsidRPr="00C7004B" w:rsidRDefault="00955175" w:rsidP="00955175">
      <w:pPr>
        <w:pStyle w:val="LI-Title"/>
        <w:pBdr>
          <w:top w:val="none" w:sz="0" w:space="0" w:color="auto"/>
        </w:pBdr>
        <w:jc w:val="center"/>
      </w:pPr>
      <w:r w:rsidRPr="00C7004B">
        <w:t>Explanatory Statement</w:t>
      </w:r>
    </w:p>
    <w:p w14:paraId="370AD38B" w14:textId="77777777" w:rsidR="00955175" w:rsidRPr="00C7004B" w:rsidRDefault="00955175" w:rsidP="00955175">
      <w:pPr>
        <w:rPr>
          <w:lang w:eastAsia="en-AU"/>
        </w:rPr>
      </w:pPr>
    </w:p>
    <w:p w14:paraId="3562490C" w14:textId="4DAF767D" w:rsidR="003A6EC0" w:rsidRPr="00C7004B" w:rsidRDefault="005955E6" w:rsidP="003A6EC0">
      <w:pPr>
        <w:jc w:val="center"/>
        <w:rPr>
          <w:b/>
          <w:i/>
          <w:sz w:val="28"/>
          <w:szCs w:val="28"/>
          <w:lang w:eastAsia="en-AU"/>
        </w:rPr>
      </w:pPr>
      <w:r w:rsidRPr="00C7004B">
        <w:rPr>
          <w:b/>
          <w:i/>
          <w:sz w:val="28"/>
          <w:szCs w:val="28"/>
          <w:lang w:eastAsia="en-AU"/>
        </w:rPr>
        <w:t>ASIC Corporations (Investor Directed Portfolio Services) Instrument 2023/</w:t>
      </w:r>
      <w:r w:rsidR="0033227C" w:rsidRPr="00C7004B">
        <w:rPr>
          <w:b/>
          <w:i/>
          <w:sz w:val="28"/>
          <w:szCs w:val="28"/>
          <w:lang w:eastAsia="en-AU"/>
        </w:rPr>
        <w:t>669</w:t>
      </w:r>
      <w:r w:rsidR="00F42BE2" w:rsidRPr="00C7004B">
        <w:rPr>
          <w:b/>
          <w:i/>
          <w:sz w:val="28"/>
          <w:szCs w:val="28"/>
          <w:lang w:eastAsia="en-AU"/>
        </w:rPr>
        <w:t xml:space="preserve"> </w:t>
      </w:r>
    </w:p>
    <w:p w14:paraId="16992B20" w14:textId="77777777" w:rsidR="00C4170B" w:rsidRPr="00C7004B" w:rsidRDefault="00C4170B" w:rsidP="00C4170B">
      <w:pPr>
        <w:jc w:val="center"/>
        <w:rPr>
          <w:b/>
          <w:i/>
          <w:sz w:val="28"/>
          <w:szCs w:val="28"/>
          <w:lang w:eastAsia="en-AU"/>
        </w:rPr>
      </w:pPr>
    </w:p>
    <w:p w14:paraId="0D183555" w14:textId="44F43924" w:rsidR="00863657" w:rsidRPr="00C7004B" w:rsidRDefault="00F800C9" w:rsidP="00F800C9">
      <w:pPr>
        <w:pStyle w:val="LI-BodyTextParaa"/>
        <w:ind w:left="0" w:firstLine="0"/>
      </w:pPr>
      <w:bookmarkStart w:id="0" w:name="BK_S3P1L1C1"/>
      <w:bookmarkEnd w:id="0"/>
      <w:r w:rsidRPr="00C7004B">
        <w:t>This is the Explanatory Statement for</w:t>
      </w:r>
      <w:r w:rsidR="003A6EC0" w:rsidRPr="00C7004B">
        <w:t xml:space="preserve"> </w:t>
      </w:r>
      <w:r w:rsidR="005955E6" w:rsidRPr="00C7004B">
        <w:rPr>
          <w:i/>
          <w:iCs/>
        </w:rPr>
        <w:t>ASIC Corporations (Investor Directed Portfolio Services) Instrument 2023/</w:t>
      </w:r>
      <w:r w:rsidR="0033227C" w:rsidRPr="00C7004B">
        <w:rPr>
          <w:i/>
          <w:iCs/>
        </w:rPr>
        <w:t>669</w:t>
      </w:r>
      <w:r w:rsidR="005C10A9" w:rsidRPr="00C7004B">
        <w:rPr>
          <w:i/>
          <w:iCs/>
        </w:rPr>
        <w:t xml:space="preserve"> </w:t>
      </w:r>
      <w:r w:rsidR="00913A3B" w:rsidRPr="00C7004B">
        <w:t xml:space="preserve">(the </w:t>
      </w:r>
      <w:r w:rsidR="00913A3B" w:rsidRPr="00C7004B">
        <w:rPr>
          <w:b/>
          <w:bCs/>
        </w:rPr>
        <w:t>Instrument</w:t>
      </w:r>
      <w:r w:rsidR="00913A3B" w:rsidRPr="00C7004B">
        <w:t>)</w:t>
      </w:r>
      <w:r w:rsidR="001435E2" w:rsidRPr="00C7004B">
        <w:t>.</w:t>
      </w:r>
    </w:p>
    <w:p w14:paraId="74C2B506" w14:textId="77777777" w:rsidR="00F800C9" w:rsidRPr="00C7004B" w:rsidRDefault="00863657" w:rsidP="00F800C9">
      <w:pPr>
        <w:pStyle w:val="LI-BodyTextParaa"/>
        <w:ind w:left="0" w:firstLine="0"/>
      </w:pPr>
      <w:r w:rsidRPr="00C7004B">
        <w:t>Th</w:t>
      </w:r>
      <w:r w:rsidR="00F800C9" w:rsidRPr="00C7004B">
        <w:t>e</w:t>
      </w:r>
      <w:r w:rsidRPr="00C7004B">
        <w:t xml:space="preserve"> </w:t>
      </w:r>
      <w:r w:rsidR="00F800C9" w:rsidRPr="00C7004B">
        <w:t>Explanatory Statement is approved by the Australian Securities and Investments Commission (</w:t>
      </w:r>
      <w:r w:rsidR="00F800C9" w:rsidRPr="00C7004B">
        <w:rPr>
          <w:b/>
          <w:i/>
        </w:rPr>
        <w:t>ASIC</w:t>
      </w:r>
      <w:r w:rsidR="00F800C9" w:rsidRPr="00C7004B">
        <w:t>).</w:t>
      </w:r>
    </w:p>
    <w:p w14:paraId="6CA79B64" w14:textId="77777777" w:rsidR="00F800C9" w:rsidRPr="00C7004B" w:rsidRDefault="005D1FEA" w:rsidP="006D6079">
      <w:pPr>
        <w:pStyle w:val="LI-BodyTextNumbered"/>
        <w:keepNext/>
        <w:ind w:left="0" w:firstLine="0"/>
        <w:rPr>
          <w:b/>
        </w:rPr>
      </w:pPr>
      <w:r w:rsidRPr="00C7004B">
        <w:rPr>
          <w:b/>
        </w:rPr>
        <w:t>Summary</w:t>
      </w:r>
    </w:p>
    <w:p w14:paraId="7501410A" w14:textId="24F74206" w:rsidR="00E014DC" w:rsidRPr="00C7004B" w:rsidRDefault="00F800C9" w:rsidP="00F800C9">
      <w:pPr>
        <w:pStyle w:val="LI-BodyTextParaa"/>
        <w:ind w:left="567"/>
      </w:pPr>
      <w:r w:rsidRPr="00C7004B">
        <w:t>1</w:t>
      </w:r>
      <w:r w:rsidR="005D1FEA" w:rsidRPr="00C7004B">
        <w:t>.</w:t>
      </w:r>
      <w:r w:rsidRPr="00C7004B">
        <w:tab/>
      </w:r>
      <w:bookmarkStart w:id="1" w:name="_Hlk144228182"/>
      <w:r w:rsidR="00EE60BC" w:rsidRPr="00C7004B">
        <w:rPr>
          <w:i/>
          <w:iCs/>
        </w:rPr>
        <w:t>ASIC Corporations (Investor Directed Portfolio Services) Instrument 2023/</w:t>
      </w:r>
      <w:r w:rsidR="0033227C" w:rsidRPr="00C7004B">
        <w:rPr>
          <w:i/>
          <w:iCs/>
        </w:rPr>
        <w:t>669</w:t>
      </w:r>
      <w:r w:rsidR="000B538A" w:rsidRPr="00C7004B">
        <w:rPr>
          <w:i/>
          <w:iCs/>
        </w:rPr>
        <w:t xml:space="preserve"> </w:t>
      </w:r>
      <w:bookmarkEnd w:id="1"/>
      <w:r w:rsidR="003A6EC0" w:rsidRPr="00C7004B">
        <w:t xml:space="preserve">maintains the relief previously given under </w:t>
      </w:r>
      <w:bookmarkStart w:id="2" w:name="_Hlk144227914"/>
      <w:r w:rsidR="003A6EC0" w:rsidRPr="00C7004B">
        <w:t xml:space="preserve">ASIC Class Order [CO </w:t>
      </w:r>
      <w:r w:rsidR="007D7633" w:rsidRPr="00C7004B">
        <w:t>13</w:t>
      </w:r>
      <w:r w:rsidR="003A6EC0" w:rsidRPr="00C7004B">
        <w:t>/</w:t>
      </w:r>
      <w:r w:rsidR="007D7633" w:rsidRPr="00C7004B">
        <w:t>763</w:t>
      </w:r>
      <w:r w:rsidR="003A6EC0" w:rsidRPr="00C7004B">
        <w:t>]</w:t>
      </w:r>
      <w:r w:rsidR="00502A87" w:rsidRPr="00C7004B">
        <w:t xml:space="preserve"> - </w:t>
      </w:r>
      <w:r w:rsidR="00B273F8" w:rsidRPr="00C7004B">
        <w:rPr>
          <w:i/>
          <w:iCs/>
        </w:rPr>
        <w:t>Investor directed portfolio services</w:t>
      </w:r>
      <w:r w:rsidR="00B273F8" w:rsidRPr="00C7004B">
        <w:t xml:space="preserve"> </w:t>
      </w:r>
      <w:r w:rsidR="00502A87" w:rsidRPr="00C7004B">
        <w:t>(</w:t>
      </w:r>
      <w:r w:rsidR="00502A87" w:rsidRPr="00C7004B">
        <w:rPr>
          <w:b/>
          <w:bCs/>
        </w:rPr>
        <w:t>[</w:t>
      </w:r>
      <w:hyperlink r:id="rId15" w:history="1">
        <w:r w:rsidR="00502A87" w:rsidRPr="00C7004B">
          <w:rPr>
            <w:rStyle w:val="Hyperlink"/>
            <w:b/>
            <w:bCs/>
          </w:rPr>
          <w:t>CO 13/</w:t>
        </w:r>
        <w:r w:rsidR="004B03A8" w:rsidRPr="00C7004B">
          <w:rPr>
            <w:rStyle w:val="Hyperlink"/>
            <w:b/>
            <w:bCs/>
          </w:rPr>
          <w:t>763</w:t>
        </w:r>
      </w:hyperlink>
      <w:r w:rsidR="00502A87" w:rsidRPr="00C7004B">
        <w:rPr>
          <w:b/>
          <w:bCs/>
        </w:rPr>
        <w:t>]</w:t>
      </w:r>
      <w:r w:rsidR="00502A87" w:rsidRPr="00C7004B">
        <w:t>)</w:t>
      </w:r>
      <w:r w:rsidR="003A6EC0" w:rsidRPr="00C7004B">
        <w:t>.</w:t>
      </w:r>
      <w:r w:rsidR="00644E62" w:rsidRPr="00C7004B">
        <w:t xml:space="preserve"> </w:t>
      </w:r>
      <w:bookmarkEnd w:id="2"/>
      <w:r w:rsidR="00644E62" w:rsidRPr="00C7004B">
        <w:t xml:space="preserve">It </w:t>
      </w:r>
      <w:r w:rsidR="00B267EA" w:rsidRPr="00C7004B">
        <w:t xml:space="preserve">establishes the regulatory framework for </w:t>
      </w:r>
      <w:r w:rsidR="00913A3B" w:rsidRPr="00C7004B">
        <w:t>i</w:t>
      </w:r>
      <w:r w:rsidR="00B267EA" w:rsidRPr="00C7004B">
        <w:t xml:space="preserve">nvestor </w:t>
      </w:r>
      <w:r w:rsidR="00913A3B" w:rsidRPr="00C7004B">
        <w:t>d</w:t>
      </w:r>
      <w:r w:rsidR="00B267EA" w:rsidRPr="00C7004B">
        <w:t xml:space="preserve">irected </w:t>
      </w:r>
      <w:r w:rsidR="00913A3B" w:rsidRPr="00C7004B">
        <w:t>p</w:t>
      </w:r>
      <w:r w:rsidR="00B267EA" w:rsidRPr="00C7004B">
        <w:t xml:space="preserve">ortfolio </w:t>
      </w:r>
      <w:r w:rsidR="00913A3B" w:rsidRPr="00C7004B">
        <w:t>s</w:t>
      </w:r>
      <w:r w:rsidR="00B267EA" w:rsidRPr="00C7004B">
        <w:t>ervices (</w:t>
      </w:r>
      <w:r w:rsidR="00B267EA" w:rsidRPr="00C7004B">
        <w:rPr>
          <w:b/>
          <w:bCs/>
        </w:rPr>
        <w:t>IDPS</w:t>
      </w:r>
      <w:r w:rsidR="007E3EBB" w:rsidRPr="00C7004B">
        <w:rPr>
          <w:b/>
          <w:bCs/>
        </w:rPr>
        <w:t>s</w:t>
      </w:r>
      <w:r w:rsidR="007E3EBB" w:rsidRPr="00C7004B">
        <w:t>)</w:t>
      </w:r>
      <w:r w:rsidR="00913A3B" w:rsidRPr="00C7004B">
        <w:t>. IDPS operators are provided with relief because</w:t>
      </w:r>
      <w:r w:rsidR="00B267EA" w:rsidRPr="00C7004B">
        <w:t xml:space="preserve">, unlike </w:t>
      </w:r>
      <w:r w:rsidR="00913A3B" w:rsidRPr="00C7004B">
        <w:t xml:space="preserve">most </w:t>
      </w:r>
      <w:r w:rsidR="00B267EA" w:rsidRPr="00C7004B">
        <w:t>responsible entities, operators do not make investment decisions</w:t>
      </w:r>
      <w:r w:rsidR="00BF6AB5" w:rsidRPr="00C7004B">
        <w:t xml:space="preserve"> and </w:t>
      </w:r>
      <w:r w:rsidR="00913A3B" w:rsidRPr="00C7004B">
        <w:t xml:space="preserve">therefore </w:t>
      </w:r>
      <w:r w:rsidR="00B267EA" w:rsidRPr="00C7004B">
        <w:t xml:space="preserve">have more limited functions. </w:t>
      </w:r>
    </w:p>
    <w:p w14:paraId="4C290442" w14:textId="13254354" w:rsidR="00E014DC" w:rsidRDefault="00E014DC" w:rsidP="00F800C9">
      <w:pPr>
        <w:pStyle w:val="LI-BodyTextParaa"/>
        <w:ind w:left="567"/>
      </w:pPr>
      <w:r w:rsidRPr="00C7004B">
        <w:t>2.</w:t>
      </w:r>
      <w:r w:rsidRPr="00C7004B">
        <w:tab/>
        <w:t>[CO 13/</w:t>
      </w:r>
      <w:r w:rsidR="00091A04" w:rsidRPr="00C7004B">
        <w:t>763]</w:t>
      </w:r>
      <w:r w:rsidRPr="00C7004B">
        <w:t xml:space="preserve"> </w:t>
      </w:r>
      <w:r w:rsidRPr="00C7004B">
        <w:rPr>
          <w:lang w:val="en-US"/>
        </w:rPr>
        <w:t>was due</w:t>
      </w:r>
      <w:r w:rsidRPr="00E014DC">
        <w:rPr>
          <w:lang w:val="en-US"/>
        </w:rPr>
        <w:t xml:space="preserve"> to sunset on 1 October 2023. </w:t>
      </w:r>
      <w:r w:rsidRPr="00E014DC">
        <w:t>Following consultation, ASIC considered that [CO 13/</w:t>
      </w:r>
      <w:r w:rsidR="00091A04">
        <w:t>763</w:t>
      </w:r>
      <w:r w:rsidRPr="00E014DC">
        <w:t>] was operating effectively and efficiently to achieve its objectives and continued to form a necessary and useful part of the legislative framework.</w:t>
      </w:r>
    </w:p>
    <w:p w14:paraId="015BA232" w14:textId="68410633" w:rsidR="0017779C" w:rsidRDefault="00E014DC" w:rsidP="0017779C">
      <w:pPr>
        <w:pStyle w:val="LI-BodyTextParaa"/>
        <w:ind w:left="567"/>
      </w:pPr>
      <w:r>
        <w:t>3.</w:t>
      </w:r>
      <w:r>
        <w:tab/>
      </w:r>
      <w:r w:rsidRPr="00E014DC">
        <w:t>As a result, [CO 13/</w:t>
      </w:r>
      <w:r w:rsidR="00091A04">
        <w:t>763</w:t>
      </w:r>
      <w:r w:rsidR="0080466E">
        <w:t>]</w:t>
      </w:r>
      <w:r w:rsidRPr="00E014DC">
        <w:t xml:space="preserve"> has</w:t>
      </w:r>
      <w:r>
        <w:t xml:space="preserve"> been</w:t>
      </w:r>
      <w:r w:rsidRPr="00E014DC">
        <w:t xml:space="preserve"> remade in a new legislative instrument, with minor drafting changes to reflect ASIC’s current style and format</w:t>
      </w:r>
      <w:r w:rsidR="00DD4F49">
        <w:t xml:space="preserve"> and approach, </w:t>
      </w:r>
      <w:r w:rsidRPr="00E014DC">
        <w:t>remov</w:t>
      </w:r>
      <w:r w:rsidR="00300B0E">
        <w:t>ing</w:t>
      </w:r>
      <w:r w:rsidRPr="00E014DC">
        <w:t xml:space="preserve"> redundant provisions</w:t>
      </w:r>
      <w:r w:rsidR="001A5FCD">
        <w:t xml:space="preserve"> </w:t>
      </w:r>
      <w:r w:rsidRPr="00D17609">
        <w:t>and updat</w:t>
      </w:r>
      <w:r w:rsidR="00300B0E" w:rsidRPr="00D17609">
        <w:t>ing</w:t>
      </w:r>
      <w:r w:rsidRPr="00D17609">
        <w:t xml:space="preserve"> d</w:t>
      </w:r>
      <w:r w:rsidRPr="00E014DC">
        <w:t xml:space="preserve">efinitions, while preserving the current effect of the </w:t>
      </w:r>
      <w:r w:rsidR="000B538A">
        <w:t>I</w:t>
      </w:r>
      <w:r w:rsidRPr="00E014DC">
        <w:t xml:space="preserve">nstrument. </w:t>
      </w:r>
      <w:r w:rsidR="00D17609">
        <w:t xml:space="preserve">We have made minor changes also in response to submissions as outlined further below in paragraph </w:t>
      </w:r>
      <w:r w:rsidR="0053589A">
        <w:t>11</w:t>
      </w:r>
      <w:r w:rsidR="00D17609" w:rsidRPr="00940F3D">
        <w:t xml:space="preserve">. </w:t>
      </w:r>
      <w:r w:rsidR="0017779C" w:rsidRPr="00940F3D">
        <w:t>In</w:t>
      </w:r>
      <w:r w:rsidR="0017779C" w:rsidRPr="0093265F">
        <w:t xml:space="preserve"> light of there being no significant changes, this Explanatory Statement should be read in conjunction with the </w:t>
      </w:r>
      <w:hyperlink r:id="rId16" w:history="1">
        <w:r w:rsidR="0017779C" w:rsidRPr="00F9493D">
          <w:rPr>
            <w:rStyle w:val="Hyperlink"/>
          </w:rPr>
          <w:t>Explanatory Statement for [CO 13/763].</w:t>
        </w:r>
      </w:hyperlink>
    </w:p>
    <w:p w14:paraId="3FB44F3D" w14:textId="6EF1D235" w:rsidR="00CB60B5" w:rsidRPr="00644E62" w:rsidRDefault="0053589A" w:rsidP="00CB60B5">
      <w:pPr>
        <w:pStyle w:val="LI-BodyTextParaa"/>
        <w:ind w:left="567"/>
      </w:pPr>
      <w:r>
        <w:t>4</w:t>
      </w:r>
      <w:r w:rsidR="00CB60B5">
        <w:t>.</w:t>
      </w:r>
      <w:r w:rsidR="00CB60B5">
        <w:tab/>
      </w:r>
      <w:r w:rsidR="00CB60B5" w:rsidRPr="00BD24D3">
        <w:t xml:space="preserve">ASIC makes the Instrument under </w:t>
      </w:r>
      <w:r w:rsidR="00CB60B5" w:rsidRPr="00D93C65">
        <w:t xml:space="preserve">subsections 601QA(1), 655A(1), 673(1), 741(1), 926A(2), 951B(1), 992B(1) and 1020F(1) of the </w:t>
      </w:r>
      <w:r w:rsidR="00CB60B5" w:rsidRPr="00E02281">
        <w:rPr>
          <w:i/>
          <w:iCs/>
        </w:rPr>
        <w:t>Corporations Act 2001</w:t>
      </w:r>
      <w:r w:rsidR="00CB60B5">
        <w:t xml:space="preserve"> (the </w:t>
      </w:r>
      <w:r w:rsidR="00CB60B5">
        <w:rPr>
          <w:b/>
          <w:bCs/>
        </w:rPr>
        <w:t>Act</w:t>
      </w:r>
      <w:r w:rsidR="00CB60B5">
        <w:t xml:space="preserve">). </w:t>
      </w:r>
    </w:p>
    <w:p w14:paraId="73775294" w14:textId="46F16539" w:rsidR="005D1FEA" w:rsidRDefault="005D1FEA" w:rsidP="006D6079">
      <w:pPr>
        <w:pStyle w:val="LI-BodyTextNumbered"/>
        <w:keepNext/>
        <w:ind w:left="0" w:firstLine="0"/>
        <w:rPr>
          <w:b/>
        </w:rPr>
      </w:pPr>
      <w:r>
        <w:rPr>
          <w:b/>
        </w:rPr>
        <w:t xml:space="preserve">Purpose of the </w:t>
      </w:r>
      <w:r w:rsidR="00913A3B">
        <w:rPr>
          <w:b/>
        </w:rPr>
        <w:t>I</w:t>
      </w:r>
      <w:r>
        <w:rPr>
          <w:b/>
        </w:rPr>
        <w:t>nstrument</w:t>
      </w:r>
    </w:p>
    <w:p w14:paraId="43A7ED2E" w14:textId="3E9DF789" w:rsidR="004E08BF" w:rsidRDefault="0053589A" w:rsidP="00644E62">
      <w:pPr>
        <w:pStyle w:val="LI-BodyTextParaa"/>
        <w:ind w:left="567"/>
      </w:pPr>
      <w:r>
        <w:t>5</w:t>
      </w:r>
      <w:r w:rsidR="00644E62">
        <w:t xml:space="preserve">. </w:t>
      </w:r>
      <w:r w:rsidR="00644E62">
        <w:tab/>
      </w:r>
      <w:r w:rsidR="004E08BF" w:rsidRPr="004E08BF">
        <w:t xml:space="preserve">The purpose of </w:t>
      </w:r>
      <w:r w:rsidR="00422BF7">
        <w:t xml:space="preserve">the </w:t>
      </w:r>
      <w:r w:rsidR="00982637">
        <w:t>I</w:t>
      </w:r>
      <w:r w:rsidR="00422BF7">
        <w:t>nstrument</w:t>
      </w:r>
      <w:r w:rsidR="004E08BF" w:rsidRPr="004E08BF">
        <w:t xml:space="preserve"> is </w:t>
      </w:r>
      <w:r w:rsidR="008C6D96">
        <w:t xml:space="preserve">to establish the regulatory framework for IDPSs. The instrument recognises that, </w:t>
      </w:r>
      <w:r w:rsidR="00411217" w:rsidRPr="00972F62">
        <w:t>unlike responsible entities of managed investment schemes, IDPS operators do not make investment decisions</w:t>
      </w:r>
      <w:r w:rsidR="00411217">
        <w:t>—</w:t>
      </w:r>
      <w:r w:rsidR="00411217" w:rsidRPr="00972F62">
        <w:t>as the decisions are ‘investor directed’, IDPS</w:t>
      </w:r>
      <w:r w:rsidR="00411217">
        <w:t>s</w:t>
      </w:r>
      <w:r w:rsidR="00411217" w:rsidRPr="00972F62">
        <w:t xml:space="preserve"> have more limited functions. It also </w:t>
      </w:r>
      <w:r w:rsidR="00411217" w:rsidRPr="00972F62">
        <w:lastRenderedPageBreak/>
        <w:t>exempts IDPSs from the requirement to be a registered managed investment scheme.</w:t>
      </w:r>
      <w:r w:rsidR="00A56CD8" w:rsidRPr="00A56CD8">
        <w:t xml:space="preserve"> </w:t>
      </w:r>
    </w:p>
    <w:p w14:paraId="5891C2F7" w14:textId="0D5AC608" w:rsidR="00606E12" w:rsidRDefault="0053589A" w:rsidP="00644E62">
      <w:pPr>
        <w:pStyle w:val="LI-BodyTextParaa"/>
        <w:ind w:left="567"/>
      </w:pPr>
      <w:r>
        <w:t>6</w:t>
      </w:r>
      <w:r w:rsidR="00606E12">
        <w:t xml:space="preserve">. </w:t>
      </w:r>
      <w:r w:rsidR="00606E12">
        <w:tab/>
      </w:r>
      <w:r w:rsidR="00401C31" w:rsidRPr="00401C31">
        <w:t>S</w:t>
      </w:r>
      <w:r w:rsidR="00401C31">
        <w:t>i</w:t>
      </w:r>
      <w:r w:rsidR="00401C31" w:rsidRPr="00401C31">
        <w:t xml:space="preserve">nce 2002 the platforms sector has changed and grown significantly, and continues to develop, </w:t>
      </w:r>
      <w:proofErr w:type="gramStart"/>
      <w:r w:rsidR="00401C31" w:rsidRPr="00401C31">
        <w:t>expand</w:t>
      </w:r>
      <w:proofErr w:type="gramEnd"/>
      <w:r w:rsidR="00401C31" w:rsidRPr="00401C31">
        <w:t xml:space="preserve"> and present new challenges. Given this, in 2012-2013 ASIC recognised a need to review and update the regulation of IDPS and IDPS-like schemes.</w:t>
      </w:r>
    </w:p>
    <w:p w14:paraId="15BCB55D" w14:textId="0973DD7B" w:rsidR="00DB2CA3" w:rsidRDefault="0053589A" w:rsidP="00644E62">
      <w:pPr>
        <w:pStyle w:val="LI-BodyTextParaa"/>
        <w:ind w:left="567"/>
      </w:pPr>
      <w:r>
        <w:t>7</w:t>
      </w:r>
      <w:r w:rsidR="00DB2CA3">
        <w:t xml:space="preserve">. </w:t>
      </w:r>
      <w:r w:rsidR="00DB2CA3">
        <w:tab/>
      </w:r>
      <w:r w:rsidR="00DB2CA3" w:rsidRPr="00DB2CA3">
        <w:t>The review of ASIC’s regulation of platforms followed</w:t>
      </w:r>
      <w:r w:rsidR="002B208C">
        <w:t xml:space="preserve"> a</w:t>
      </w:r>
      <w:r w:rsidR="00DB2CA3" w:rsidRPr="00DB2CA3">
        <w:t xml:space="preserve"> consultation paper published in March 2012, setting out proposals and supporting rationale for reviewing the regulatory approach to platforms: CP176 Review of ASIC policy on platforms: Update to RG 148 (</w:t>
      </w:r>
      <w:hyperlink r:id="rId17" w:history="1">
        <w:r w:rsidR="00DB2CA3" w:rsidRPr="00AE76B2">
          <w:rPr>
            <w:rStyle w:val="Hyperlink"/>
          </w:rPr>
          <w:t>CP 176</w:t>
        </w:r>
      </w:hyperlink>
      <w:r w:rsidR="00DB2CA3" w:rsidRPr="00DB2CA3">
        <w:t>).</w:t>
      </w:r>
    </w:p>
    <w:p w14:paraId="2DB43EF7" w14:textId="3D045D99" w:rsidR="004D61F6" w:rsidRDefault="0053589A" w:rsidP="000602DB">
      <w:pPr>
        <w:pStyle w:val="LI-BodyTextParaa"/>
        <w:ind w:left="567"/>
        <w:rPr>
          <w:bCs/>
        </w:rPr>
      </w:pPr>
      <w:r>
        <w:rPr>
          <w:bCs/>
        </w:rPr>
        <w:t>8</w:t>
      </w:r>
      <w:r w:rsidR="004E08BF">
        <w:rPr>
          <w:bCs/>
        </w:rPr>
        <w:t>.</w:t>
      </w:r>
      <w:r w:rsidR="004E08BF">
        <w:rPr>
          <w:bCs/>
        </w:rPr>
        <w:tab/>
      </w:r>
      <w:r w:rsidR="00226BE3" w:rsidRPr="00226BE3">
        <w:rPr>
          <w:bCs/>
        </w:rPr>
        <w:t xml:space="preserve">On 28 June 2013, ASIC released RG </w:t>
      </w:r>
      <w:r w:rsidR="00226BE3" w:rsidRPr="006A12AE">
        <w:rPr>
          <w:bCs/>
        </w:rPr>
        <w:t xml:space="preserve">148 </w:t>
      </w:r>
      <w:r w:rsidR="00226BE3" w:rsidRPr="00226BE3">
        <w:rPr>
          <w:bCs/>
          <w:i/>
          <w:iCs/>
        </w:rPr>
        <w:t xml:space="preserve">Platforms that are managed investment schemes </w:t>
      </w:r>
      <w:r w:rsidR="00226BE3" w:rsidRPr="006A12AE">
        <w:rPr>
          <w:bCs/>
        </w:rPr>
        <w:t>(</w:t>
      </w:r>
      <w:hyperlink r:id="rId18" w:anchor="!page=1&amp;type=media%20releases&amp;search=platforms" w:history="1">
        <w:r w:rsidR="00226BE3" w:rsidRPr="006A12AE">
          <w:rPr>
            <w:rStyle w:val="Hyperlink"/>
          </w:rPr>
          <w:t>RG 148</w:t>
        </w:r>
      </w:hyperlink>
      <w:r w:rsidR="00226BE3" w:rsidRPr="006A12AE">
        <w:rPr>
          <w:bCs/>
        </w:rPr>
        <w:t>)</w:t>
      </w:r>
      <w:r w:rsidR="00226BE3" w:rsidRPr="00226BE3">
        <w:rPr>
          <w:bCs/>
        </w:rPr>
        <w:t xml:space="preserve"> to explain our objectives when regulating platforms, set out the requirements for operating a platform and the disclosure obligations of operators of IDPS and responsible entities of IDPS-like schemes and </w:t>
      </w:r>
      <w:r w:rsidR="000C4FE8">
        <w:rPr>
          <w:bCs/>
        </w:rPr>
        <w:t xml:space="preserve">to </w:t>
      </w:r>
      <w:r w:rsidR="00226BE3" w:rsidRPr="00226BE3">
        <w:rPr>
          <w:bCs/>
        </w:rPr>
        <w:t>provide guidance to people who provide financial product advice on platforms.</w:t>
      </w:r>
    </w:p>
    <w:p w14:paraId="6F33084A" w14:textId="4BC95BB0" w:rsidR="004D61F6" w:rsidRDefault="0053589A" w:rsidP="004D61F6">
      <w:pPr>
        <w:pStyle w:val="LI-BodyTextParaa"/>
        <w:ind w:left="567"/>
        <w:rPr>
          <w:bCs/>
        </w:rPr>
      </w:pPr>
      <w:r>
        <w:rPr>
          <w:bCs/>
        </w:rPr>
        <w:t>9</w:t>
      </w:r>
      <w:r w:rsidR="004D61F6">
        <w:rPr>
          <w:bCs/>
        </w:rPr>
        <w:t>.</w:t>
      </w:r>
      <w:r w:rsidR="004D61F6">
        <w:rPr>
          <w:bCs/>
        </w:rPr>
        <w:tab/>
      </w:r>
      <w:r w:rsidR="00831226">
        <w:rPr>
          <w:bCs/>
        </w:rPr>
        <w:t>O</w:t>
      </w:r>
      <w:r w:rsidR="00A727F2">
        <w:rPr>
          <w:bCs/>
        </w:rPr>
        <w:t xml:space="preserve">n </w:t>
      </w:r>
      <w:r w:rsidR="00453F43">
        <w:rPr>
          <w:bCs/>
        </w:rPr>
        <w:t>1 July 20</w:t>
      </w:r>
      <w:r w:rsidR="009F2CC5">
        <w:rPr>
          <w:bCs/>
        </w:rPr>
        <w:t>13</w:t>
      </w:r>
      <w:r w:rsidR="00A727F2">
        <w:rPr>
          <w:bCs/>
        </w:rPr>
        <w:t xml:space="preserve"> </w:t>
      </w:r>
      <w:r w:rsidR="00831226">
        <w:rPr>
          <w:bCs/>
        </w:rPr>
        <w:t xml:space="preserve">ASIC made </w:t>
      </w:r>
      <w:r w:rsidR="00A03A6D">
        <w:t>[CO 13/763]</w:t>
      </w:r>
      <w:r w:rsidR="00831226">
        <w:t>, which replace</w:t>
      </w:r>
      <w:r w:rsidR="00913A3B">
        <w:t>d</w:t>
      </w:r>
      <w:r w:rsidR="00831226">
        <w:t xml:space="preserve"> ASIC Class Order 02-294 </w:t>
      </w:r>
      <w:r w:rsidR="00831226">
        <w:rPr>
          <w:i/>
        </w:rPr>
        <w:t xml:space="preserve">Investor directed portfolio services </w:t>
      </w:r>
      <w:r w:rsidR="00831226">
        <w:t>([</w:t>
      </w:r>
      <w:hyperlink r:id="rId19" w:history="1">
        <w:r w:rsidR="00831226" w:rsidRPr="007B58AB">
          <w:rPr>
            <w:rStyle w:val="Hyperlink"/>
          </w:rPr>
          <w:t>CO 02-294</w:t>
        </w:r>
      </w:hyperlink>
      <w:r w:rsidR="00831226">
        <w:t>]).</w:t>
      </w:r>
      <w:r w:rsidR="00BF2515">
        <w:rPr>
          <w:bCs/>
        </w:rPr>
        <w:t xml:space="preserve"> </w:t>
      </w:r>
      <w:r w:rsidR="000231A5">
        <w:rPr>
          <w:bCs/>
        </w:rPr>
        <w:t>The purpose of [</w:t>
      </w:r>
      <w:r w:rsidR="00611372">
        <w:rPr>
          <w:bCs/>
        </w:rPr>
        <w:t xml:space="preserve">CO </w:t>
      </w:r>
      <w:r w:rsidR="000231A5">
        <w:rPr>
          <w:bCs/>
        </w:rPr>
        <w:t>13</w:t>
      </w:r>
      <w:r w:rsidR="00A03A6D">
        <w:rPr>
          <w:bCs/>
        </w:rPr>
        <w:t>/</w:t>
      </w:r>
      <w:r w:rsidR="000231A5">
        <w:rPr>
          <w:bCs/>
        </w:rPr>
        <w:t>763] was to</w:t>
      </w:r>
      <w:r w:rsidR="000231A5" w:rsidRPr="000231A5">
        <w:rPr>
          <w:bCs/>
        </w:rPr>
        <w:t xml:space="preserve"> update our regulation of IDPS</w:t>
      </w:r>
      <w:r w:rsidR="00913A3B">
        <w:rPr>
          <w:bCs/>
        </w:rPr>
        <w:t>s</w:t>
      </w:r>
      <w:r w:rsidR="000231A5" w:rsidRPr="000231A5">
        <w:rPr>
          <w:bCs/>
        </w:rPr>
        <w:t xml:space="preserve"> to address complexities existing in current regulatory settings and emerging issues, treat platform operators similarly where there is no regulatory basis for different treatment, and promote confident and informed investors, including by ensuring that they receive adequate disclosure and advice about IDPS</w:t>
      </w:r>
      <w:r w:rsidR="00913A3B">
        <w:rPr>
          <w:bCs/>
        </w:rPr>
        <w:t>s</w:t>
      </w:r>
      <w:r w:rsidR="000231A5" w:rsidRPr="000231A5">
        <w:rPr>
          <w:bCs/>
        </w:rPr>
        <w:t xml:space="preserve"> and investments available through them.</w:t>
      </w:r>
    </w:p>
    <w:p w14:paraId="3412AA3D" w14:textId="77777777" w:rsidR="009A3F74" w:rsidRDefault="009A3F74" w:rsidP="0053589A">
      <w:pPr>
        <w:pStyle w:val="LI-BodyTextParaa"/>
        <w:ind w:left="567"/>
        <w:rPr>
          <w:b/>
        </w:rPr>
      </w:pPr>
      <w:bookmarkStart w:id="3" w:name="_Hlk534291624"/>
      <w:r>
        <w:rPr>
          <w:b/>
        </w:rPr>
        <w:t>Consultation</w:t>
      </w:r>
    </w:p>
    <w:p w14:paraId="4B19B92E" w14:textId="34B2A88E" w:rsidR="003A6EC0" w:rsidRDefault="0053589A" w:rsidP="003A6EC0">
      <w:pPr>
        <w:pStyle w:val="LI-BodyTextParaa"/>
        <w:ind w:left="567"/>
        <w:rPr>
          <w:iCs/>
        </w:rPr>
      </w:pPr>
      <w:r>
        <w:t>10</w:t>
      </w:r>
      <w:r w:rsidR="009A3F74">
        <w:t>.</w:t>
      </w:r>
      <w:r w:rsidR="009A3F74">
        <w:tab/>
      </w:r>
      <w:r w:rsidR="003A6EC0" w:rsidRPr="00E577C2">
        <w:t>On</w:t>
      </w:r>
      <w:r w:rsidR="003A6EC0">
        <w:t xml:space="preserve"> </w:t>
      </w:r>
      <w:r w:rsidR="000D1F8C">
        <w:t xml:space="preserve">28 March 2023, </w:t>
      </w:r>
      <w:r w:rsidR="003A6EC0" w:rsidRPr="00E577C2">
        <w:t xml:space="preserve">ASIC released </w:t>
      </w:r>
      <w:r w:rsidR="009E3691" w:rsidRPr="00E577C2">
        <w:t xml:space="preserve">Consultation Paper </w:t>
      </w:r>
      <w:r w:rsidR="009E3691">
        <w:t>369</w:t>
      </w:r>
      <w:r w:rsidR="009E3691" w:rsidRPr="00E577C2">
        <w:t xml:space="preserve"> </w:t>
      </w:r>
      <w:r w:rsidR="009E3691" w:rsidRPr="00E577C2">
        <w:rPr>
          <w:i/>
          <w:iCs/>
        </w:rPr>
        <w:t xml:space="preserve">Remaking </w:t>
      </w:r>
      <w:r w:rsidR="009E3691" w:rsidRPr="007D666F">
        <w:rPr>
          <w:i/>
          <w:iCs/>
        </w:rPr>
        <w:t>ASIC class orders on platforms: [CO 13/762] and [CO 13/763]</w:t>
      </w:r>
      <w:r w:rsidR="009E3691" w:rsidRPr="00E577C2">
        <w:t xml:space="preserve"> </w:t>
      </w:r>
      <w:r w:rsidR="009E3691">
        <w:rPr>
          <w:iCs/>
        </w:rPr>
        <w:t>(</w:t>
      </w:r>
      <w:r w:rsidR="009E3691" w:rsidRPr="00E577C2">
        <w:rPr>
          <w:b/>
          <w:bCs/>
          <w:iCs/>
        </w:rPr>
        <w:t xml:space="preserve">CP </w:t>
      </w:r>
      <w:r w:rsidR="009E3691">
        <w:rPr>
          <w:b/>
          <w:bCs/>
          <w:iCs/>
        </w:rPr>
        <w:t>369</w:t>
      </w:r>
      <w:r w:rsidR="009E3691">
        <w:rPr>
          <w:iCs/>
        </w:rPr>
        <w:t xml:space="preserve">) </w:t>
      </w:r>
      <w:r w:rsidR="003A6EC0">
        <w:rPr>
          <w:iCs/>
        </w:rPr>
        <w:t xml:space="preserve">proposing to continue the relief given by </w:t>
      </w:r>
      <w:r w:rsidR="00913A3B">
        <w:t>[CO 13/763]</w:t>
      </w:r>
      <w:r w:rsidR="009E3691">
        <w:t>,</w:t>
      </w:r>
      <w:r w:rsidR="003A6EC0">
        <w:rPr>
          <w:lang w:val="en-US"/>
        </w:rPr>
        <w:t xml:space="preserve"> without any significant changes.</w:t>
      </w:r>
      <w:r w:rsidR="00687A4F">
        <w:rPr>
          <w:lang w:val="en-US"/>
        </w:rPr>
        <w:t xml:space="preserve"> </w:t>
      </w:r>
      <w:r w:rsidR="003A6EC0">
        <w:rPr>
          <w:lang w:val="en-US"/>
        </w:rPr>
        <w:t>ASIC considers</w:t>
      </w:r>
      <w:r w:rsidR="003A6EC0" w:rsidRPr="002533D2">
        <w:rPr>
          <w:i/>
          <w:iCs/>
        </w:rPr>
        <w:t xml:space="preserve"> </w:t>
      </w:r>
      <w:r w:rsidR="00730888" w:rsidRPr="00DE1062">
        <w:t>[</w:t>
      </w:r>
      <w:r w:rsidR="00730888" w:rsidRPr="00730888">
        <w:t>CO 13/763]</w:t>
      </w:r>
      <w:r w:rsidR="003A6EC0">
        <w:rPr>
          <w:lang w:val="en-US"/>
        </w:rPr>
        <w:t xml:space="preserve"> </w:t>
      </w:r>
      <w:r w:rsidR="00730888">
        <w:rPr>
          <w:lang w:val="en-US"/>
        </w:rPr>
        <w:t xml:space="preserve">was </w:t>
      </w:r>
      <w:r w:rsidR="003A6EC0">
        <w:rPr>
          <w:lang w:val="en-US"/>
        </w:rPr>
        <w:t xml:space="preserve">operating </w:t>
      </w:r>
      <w:r w:rsidR="003A6EC0">
        <w:t>effectively and efficiently, and continue</w:t>
      </w:r>
      <w:r w:rsidR="00130D16">
        <w:t>d</w:t>
      </w:r>
      <w:r w:rsidR="003A6EC0">
        <w:t xml:space="preserve"> to form a necessary and useful part of the legislative framework</w:t>
      </w:r>
      <w:r w:rsidR="00080284">
        <w:rPr>
          <w:iCs/>
        </w:rPr>
        <w:t xml:space="preserve">. </w:t>
      </w:r>
    </w:p>
    <w:p w14:paraId="34E1FD71" w14:textId="11044A8A" w:rsidR="003A6EC0" w:rsidRPr="005B3D61" w:rsidRDefault="0053589A" w:rsidP="003A6EC0">
      <w:pPr>
        <w:pStyle w:val="LI-BodyTextParaa"/>
        <w:ind w:left="567"/>
        <w:rPr>
          <w:iCs/>
        </w:rPr>
      </w:pPr>
      <w:r>
        <w:rPr>
          <w:bCs/>
        </w:rPr>
        <w:t>11</w:t>
      </w:r>
      <w:r w:rsidR="003A6EC0">
        <w:rPr>
          <w:bCs/>
        </w:rPr>
        <w:t xml:space="preserve">. </w:t>
      </w:r>
      <w:r w:rsidR="003A6EC0">
        <w:rPr>
          <w:bCs/>
        </w:rPr>
        <w:tab/>
      </w:r>
      <w:r w:rsidR="003A6EC0" w:rsidRPr="00E577C2">
        <w:t>The consultation period closed on</w:t>
      </w:r>
      <w:r w:rsidR="003A6EC0">
        <w:t xml:space="preserve"> </w:t>
      </w:r>
      <w:r w:rsidR="0059212C">
        <w:t xml:space="preserve">28 </w:t>
      </w:r>
      <w:r w:rsidR="0059212C" w:rsidRPr="0059212C">
        <w:t>April 2023.</w:t>
      </w:r>
      <w:r w:rsidR="003A6EC0" w:rsidRPr="0059212C">
        <w:rPr>
          <w:iCs/>
        </w:rPr>
        <w:t xml:space="preserve"> </w:t>
      </w:r>
      <w:r w:rsidR="003A6EC0" w:rsidRPr="0059212C">
        <w:t xml:space="preserve">ASIC received </w:t>
      </w:r>
      <w:r w:rsidR="0059212C" w:rsidRPr="0059212C">
        <w:t xml:space="preserve">two </w:t>
      </w:r>
      <w:r w:rsidR="003A6EC0" w:rsidRPr="0059212C">
        <w:t xml:space="preserve">submissions in response to </w:t>
      </w:r>
      <w:r w:rsidR="003A6EC0" w:rsidRPr="00DE1062">
        <w:t xml:space="preserve">CP </w:t>
      </w:r>
      <w:r w:rsidR="0059212C" w:rsidRPr="0059212C">
        <w:t>369</w:t>
      </w:r>
      <w:r w:rsidR="003A6EC0" w:rsidRPr="00E577C2">
        <w:t xml:space="preserve">. </w:t>
      </w:r>
      <w:r w:rsidR="00913A3B">
        <w:t xml:space="preserve"> ASIC has taken these into account and made minor changes to include an additional option for information to be accessible in a secure, digital format and will provide additional guidance in RG 148. A change has also been made to clarify that </w:t>
      </w:r>
      <w:r w:rsidR="00D17609">
        <w:t xml:space="preserve">the handling of client monies requirements in </w:t>
      </w:r>
      <w:r w:rsidR="00913A3B">
        <w:t>section 1017E of the Act applies.</w:t>
      </w:r>
    </w:p>
    <w:p w14:paraId="5CC4A8D2" w14:textId="326C0209" w:rsidR="003A6EC0" w:rsidRDefault="0053589A" w:rsidP="003A6EC0">
      <w:pPr>
        <w:pStyle w:val="LI-BodyTextParaa"/>
        <w:ind w:left="567"/>
        <w:rPr>
          <w:lang w:val="en-US"/>
        </w:rPr>
      </w:pPr>
      <w:r>
        <w:rPr>
          <w:lang w:val="en-US"/>
        </w:rPr>
        <w:t>12</w:t>
      </w:r>
      <w:r w:rsidR="003A6EC0">
        <w:rPr>
          <w:lang w:val="en-US"/>
        </w:rPr>
        <w:t>.</w:t>
      </w:r>
      <w:r w:rsidR="003A6EC0">
        <w:rPr>
          <w:lang w:val="en-US"/>
        </w:rPr>
        <w:tab/>
      </w:r>
      <w:r w:rsidR="003A6EC0" w:rsidRPr="00E577C2">
        <w:rPr>
          <w:lang w:val="en-US"/>
        </w:rPr>
        <w:t xml:space="preserve">Notwithstanding ASIC’s general consultation on the re-issue and update of </w:t>
      </w:r>
      <w:r w:rsidR="003A6EC0">
        <w:rPr>
          <w:lang w:val="en-US"/>
        </w:rPr>
        <w:t>the legislative instrument</w:t>
      </w:r>
      <w:r w:rsidR="003A6EC0" w:rsidRPr="00E577C2">
        <w:rPr>
          <w:lang w:val="en-US"/>
        </w:rPr>
        <w:t xml:space="preserve">, </w:t>
      </w:r>
      <w:r w:rsidR="00E03F14" w:rsidRPr="00E577C2">
        <w:rPr>
          <w:lang w:val="en-US"/>
        </w:rPr>
        <w:t>ASIC considers that</w:t>
      </w:r>
      <w:r w:rsidR="00E03F14" w:rsidRPr="00C05A7E">
        <w:rPr>
          <w:i/>
          <w:iCs/>
        </w:rPr>
        <w:t xml:space="preserve"> </w:t>
      </w:r>
      <w:r w:rsidR="00E03F14">
        <w:t>the Instrument</w:t>
      </w:r>
      <w:r w:rsidR="00E03F14" w:rsidRPr="00E577C2">
        <w:rPr>
          <w:lang w:val="en-US"/>
        </w:rPr>
        <w:t xml:space="preserve"> is of a minor or machinery nature and </w:t>
      </w:r>
      <w:r w:rsidR="00E03F14" w:rsidRPr="00E577C2">
        <w:t>does not substantially alter existing arrangements.</w:t>
      </w:r>
      <w:r w:rsidR="00E03F14" w:rsidRPr="00E577C2">
        <w:rPr>
          <w:lang w:val="en-US"/>
        </w:rPr>
        <w:t xml:space="preserve"> </w:t>
      </w:r>
    </w:p>
    <w:p w14:paraId="7D57923F" w14:textId="6C0950DE" w:rsidR="00913A3B" w:rsidRDefault="0053589A" w:rsidP="003A6EC0">
      <w:pPr>
        <w:pStyle w:val="LI-BodyTextParaa"/>
        <w:ind w:left="567"/>
        <w:rPr>
          <w:lang w:val="en-US"/>
        </w:rPr>
      </w:pPr>
      <w:r>
        <w:rPr>
          <w:lang w:val="en-US"/>
        </w:rPr>
        <w:t>13</w:t>
      </w:r>
      <w:r w:rsidR="00913A3B">
        <w:rPr>
          <w:lang w:val="en-US"/>
        </w:rPr>
        <w:t>.</w:t>
      </w:r>
      <w:r w:rsidR="00913A3B">
        <w:rPr>
          <w:lang w:val="en-US"/>
        </w:rPr>
        <w:tab/>
      </w:r>
      <w:r w:rsidR="00913A3B">
        <w:rPr>
          <w:bCs/>
        </w:rPr>
        <w:t xml:space="preserve">ASIC has self-certified that it is not required to prepare an Impact Analysis for the Instrument. This is because, following a formal consultation process with </w:t>
      </w:r>
      <w:r w:rsidR="00913A3B">
        <w:rPr>
          <w:bCs/>
        </w:rPr>
        <w:lastRenderedPageBreak/>
        <w:t>affected stakeholders, ASIC has assessed that [CO 13/763] is operating effectively and efficiently.</w:t>
      </w:r>
    </w:p>
    <w:p w14:paraId="7F8D7925" w14:textId="3C50385C" w:rsidR="005D1FEA" w:rsidRDefault="005D1FEA" w:rsidP="006D6079">
      <w:pPr>
        <w:pStyle w:val="LI-BodyTextNumbered"/>
        <w:keepNext/>
        <w:ind w:left="0" w:firstLine="0"/>
        <w:rPr>
          <w:b/>
        </w:rPr>
      </w:pPr>
      <w:r>
        <w:rPr>
          <w:b/>
        </w:rPr>
        <w:t xml:space="preserve">Operation of the </w:t>
      </w:r>
      <w:r w:rsidR="00913A3B">
        <w:rPr>
          <w:b/>
        </w:rPr>
        <w:t>I</w:t>
      </w:r>
      <w:r>
        <w:rPr>
          <w:b/>
        </w:rPr>
        <w:t>nstrument</w:t>
      </w:r>
    </w:p>
    <w:p w14:paraId="074CE0C3" w14:textId="18F7BF98" w:rsidR="002D7EF5" w:rsidRDefault="0053589A" w:rsidP="003D12C7">
      <w:pPr>
        <w:pStyle w:val="LI-BodyTextParaa"/>
        <w:ind w:left="567"/>
      </w:pPr>
      <w:r>
        <w:t>14</w:t>
      </w:r>
      <w:r w:rsidR="003D12C7">
        <w:t xml:space="preserve">. </w:t>
      </w:r>
      <w:r w:rsidR="003D12C7">
        <w:tab/>
      </w:r>
      <w:r w:rsidR="00BB3B27">
        <w:t>Section 5</w:t>
      </w:r>
      <w:r w:rsidR="003758DE">
        <w:t xml:space="preserve"> </w:t>
      </w:r>
      <w:r w:rsidR="003D12C7" w:rsidRPr="003D12C7">
        <w:t xml:space="preserve">of </w:t>
      </w:r>
      <w:r w:rsidR="00E03F14">
        <w:t xml:space="preserve">the Instrument </w:t>
      </w:r>
      <w:r w:rsidR="003D12C7" w:rsidRPr="003D12C7">
        <w:t xml:space="preserve">exempts </w:t>
      </w:r>
      <w:r w:rsidR="003758DE">
        <w:t xml:space="preserve">IDPS operators from </w:t>
      </w:r>
      <w:r w:rsidR="008422D2">
        <w:t>managed investment</w:t>
      </w:r>
      <w:r w:rsidR="003758DE">
        <w:t>, fundraising</w:t>
      </w:r>
      <w:r w:rsidR="0075615C">
        <w:t>, hawking</w:t>
      </w:r>
      <w:r w:rsidR="000D1122">
        <w:t>, cooling off provisions</w:t>
      </w:r>
      <w:r w:rsidR="0075615C">
        <w:t xml:space="preserve"> and most of the financial product disclosure provisions</w:t>
      </w:r>
      <w:r w:rsidR="003758DE">
        <w:t xml:space="preserve"> </w:t>
      </w:r>
      <w:r w:rsidR="002D7EF5">
        <w:t>in the Act.</w:t>
      </w:r>
      <w:r w:rsidR="006007A4">
        <w:t xml:space="preserve"> </w:t>
      </w:r>
      <w:r w:rsidR="00D17609">
        <w:t xml:space="preserve">The relief for IDPS operators does not </w:t>
      </w:r>
      <w:r w:rsidR="00D17609" w:rsidRPr="00D17609">
        <w:t xml:space="preserve">extend </w:t>
      </w:r>
      <w:r w:rsidR="00D17609" w:rsidRPr="00940F3D">
        <w:t xml:space="preserve">to </w:t>
      </w:r>
      <w:r w:rsidR="00CB4EAA" w:rsidRPr="00940F3D">
        <w:t xml:space="preserve">section 1017E of the Act </w:t>
      </w:r>
      <w:r w:rsidR="006878EC" w:rsidRPr="00940F3D">
        <w:t xml:space="preserve">when dealing with money received from an IDPS </w:t>
      </w:r>
      <w:r w:rsidR="00D17609" w:rsidRPr="00940F3D">
        <w:t>a client</w:t>
      </w:r>
      <w:r w:rsidR="006A1258" w:rsidRPr="00940F3D">
        <w:t xml:space="preserve">. </w:t>
      </w:r>
    </w:p>
    <w:p w14:paraId="53DB1193" w14:textId="67875689" w:rsidR="00784552" w:rsidRDefault="0053589A" w:rsidP="00784552">
      <w:pPr>
        <w:pStyle w:val="LI-BodyTextParaa"/>
        <w:ind w:left="567"/>
      </w:pPr>
      <w:r>
        <w:t>15</w:t>
      </w:r>
      <w:r w:rsidR="00784552">
        <w:t xml:space="preserve">. </w:t>
      </w:r>
      <w:r w:rsidR="00784552">
        <w:tab/>
        <w:t xml:space="preserve">Sections 6 and 7 </w:t>
      </w:r>
      <w:r w:rsidR="00784552" w:rsidRPr="003D12C7">
        <w:t xml:space="preserve">of </w:t>
      </w:r>
      <w:r w:rsidR="00E03F14">
        <w:t>the Instrument</w:t>
      </w:r>
      <w:r w:rsidR="00784552">
        <w:rPr>
          <w:lang w:val="en-US"/>
        </w:rPr>
        <w:t xml:space="preserve"> </w:t>
      </w:r>
      <w:r w:rsidR="00784552" w:rsidRPr="003D12C7">
        <w:t xml:space="preserve">exempt </w:t>
      </w:r>
      <w:r w:rsidR="00784552">
        <w:t xml:space="preserve">other persons involved in the operation of an IDPS </w:t>
      </w:r>
      <w:r w:rsidR="00D53A67">
        <w:t>from managed investment, fundraising, hawking</w:t>
      </w:r>
      <w:r w:rsidR="000D1122">
        <w:t>, cooling off provisions</w:t>
      </w:r>
      <w:r w:rsidR="00D53A67">
        <w:t xml:space="preserve"> and most of the financial product disclosure provisions in the Act.</w:t>
      </w:r>
    </w:p>
    <w:p w14:paraId="0D8EA161" w14:textId="1A2BAB85" w:rsidR="00C96C68" w:rsidRDefault="0053589A" w:rsidP="00784552">
      <w:pPr>
        <w:pStyle w:val="LI-BodyTextParaa"/>
        <w:ind w:left="567"/>
      </w:pPr>
      <w:r>
        <w:t>16</w:t>
      </w:r>
      <w:r w:rsidR="00C96C68">
        <w:t xml:space="preserve">. </w:t>
      </w:r>
      <w:r w:rsidR="00C96C68">
        <w:tab/>
        <w:t xml:space="preserve">Section 8 of </w:t>
      </w:r>
      <w:r w:rsidR="00E03F14">
        <w:t>the Instrument</w:t>
      </w:r>
      <w:r w:rsidR="00E03F14">
        <w:rPr>
          <w:lang w:val="en-US"/>
        </w:rPr>
        <w:t xml:space="preserve"> </w:t>
      </w:r>
      <w:r w:rsidR="002D3FE5">
        <w:t xml:space="preserve">declares that </w:t>
      </w:r>
      <w:r w:rsidR="00626E34">
        <w:t>P</w:t>
      </w:r>
      <w:r w:rsidR="002D3FE5">
        <w:t>art 7.6 of the Act (other than Divisions 4 and 8) apply</w:t>
      </w:r>
      <w:r w:rsidR="00626E34">
        <w:t xml:space="preserve"> in relation to an operator of an IDPS by inserting notional </w:t>
      </w:r>
      <w:r w:rsidR="00913A3B">
        <w:t xml:space="preserve">section </w:t>
      </w:r>
      <w:r w:rsidR="00626E34">
        <w:t>912AD into the Act. The</w:t>
      </w:r>
      <w:r w:rsidR="0042096F">
        <w:t xml:space="preserve"> notional provision </w:t>
      </w:r>
      <w:r w:rsidR="00075BCE">
        <w:t xml:space="preserve">applies </w:t>
      </w:r>
      <w:r w:rsidR="009D37D5">
        <w:t>to IDPS operators</w:t>
      </w:r>
      <w:r w:rsidR="00A74293">
        <w:t>. The requirements broadly relate to</w:t>
      </w:r>
      <w:r w:rsidR="0075522B">
        <w:t>:</w:t>
      </w:r>
    </w:p>
    <w:p w14:paraId="0262299D" w14:textId="2606D855" w:rsidR="008E3012" w:rsidRDefault="0075522B" w:rsidP="0075522B">
      <w:pPr>
        <w:pStyle w:val="LI-BodyTextParaa"/>
        <w:ind w:left="1134"/>
      </w:pPr>
      <w:r>
        <w:t xml:space="preserve">(a) </w:t>
      </w:r>
      <w:r w:rsidR="00645D2D">
        <w:t>Disclosure</w:t>
      </w:r>
    </w:p>
    <w:p w14:paraId="3BA2D6FA" w14:textId="6FA5F816" w:rsidR="005E50E2" w:rsidRDefault="001D3D99" w:rsidP="008E3012">
      <w:pPr>
        <w:pStyle w:val="LI-BodyTextParaa"/>
        <w:ind w:left="1134" w:firstLine="0"/>
      </w:pPr>
      <w:r w:rsidRPr="001D3D99">
        <w:t>An IDPS operator must provide an IDPS Guide</w:t>
      </w:r>
      <w:r w:rsidR="00421237">
        <w:t xml:space="preserve"> that meets the content requirements in </w:t>
      </w:r>
      <w:r w:rsidR="00041968">
        <w:t xml:space="preserve">the </w:t>
      </w:r>
      <w:r w:rsidR="00913A3B">
        <w:t>I</w:t>
      </w:r>
      <w:r w:rsidR="00041968">
        <w:t>nstrument</w:t>
      </w:r>
      <w:r w:rsidRPr="001D3D99">
        <w:t xml:space="preserve">, comply with quarterly reporting obligations, provide an annual investor </w:t>
      </w:r>
      <w:proofErr w:type="gramStart"/>
      <w:r w:rsidRPr="001D3D99">
        <w:t>statement</w:t>
      </w:r>
      <w:proofErr w:type="gramEnd"/>
      <w:r w:rsidRPr="001D3D99">
        <w:t xml:space="preserve"> and audit report and if requested, a copy of all communications that are required by law to be given to a holder of financial products and securities.</w:t>
      </w:r>
    </w:p>
    <w:p w14:paraId="0EB9B5CA" w14:textId="4D2B6192" w:rsidR="002F19E8" w:rsidRDefault="005F01DD" w:rsidP="008E3012">
      <w:pPr>
        <w:pStyle w:val="LI-BodyTextParaa"/>
        <w:ind w:left="1134" w:firstLine="0"/>
      </w:pPr>
      <w:r w:rsidRPr="005F01DD">
        <w:t xml:space="preserve">Before an operator or a custodian acting on its behalf acquires accessible investments (accessible securities and financial products) for a client, they need to ensure that the client has been given an IDPS Guide and the relevant PDS, except in certain circumstances provided in </w:t>
      </w:r>
      <w:r w:rsidR="00041968">
        <w:t xml:space="preserve">the </w:t>
      </w:r>
      <w:r w:rsidR="00913A3B">
        <w:t>I</w:t>
      </w:r>
      <w:r w:rsidR="00041968">
        <w:t>nstrument.</w:t>
      </w:r>
    </w:p>
    <w:p w14:paraId="0AD7C359" w14:textId="144B085E" w:rsidR="00DA2A4B" w:rsidRDefault="009D06B2" w:rsidP="0075522B">
      <w:pPr>
        <w:pStyle w:val="LI-BodyTextParaa"/>
        <w:ind w:left="1134"/>
      </w:pPr>
      <w:r>
        <w:t xml:space="preserve">(b) </w:t>
      </w:r>
      <w:r w:rsidR="00CB4E18">
        <w:t>Duties</w:t>
      </w:r>
    </w:p>
    <w:p w14:paraId="5B403578" w14:textId="444B7093" w:rsidR="009D06B2" w:rsidRDefault="000128BF" w:rsidP="00DA2A4B">
      <w:pPr>
        <w:pStyle w:val="LI-BodyTextParaa"/>
        <w:ind w:left="1134" w:firstLine="0"/>
      </w:pPr>
      <w:r>
        <w:t xml:space="preserve">An </w:t>
      </w:r>
      <w:r w:rsidR="00DA2A4B">
        <w:t>I</w:t>
      </w:r>
      <w:r w:rsidR="00064C04" w:rsidRPr="00064C04">
        <w:t>DPS operator must continue to perform its obligations honestly, with due care and diligence.</w:t>
      </w:r>
    </w:p>
    <w:p w14:paraId="37FA5461" w14:textId="0DBCE28A" w:rsidR="00DA2A4B" w:rsidRDefault="009E73C8" w:rsidP="00DA2A4B">
      <w:pPr>
        <w:pStyle w:val="LI-BodyTextParaa"/>
        <w:ind w:left="1134" w:firstLine="0"/>
      </w:pPr>
      <w:r>
        <w:t xml:space="preserve">An </w:t>
      </w:r>
      <w:r w:rsidR="00DA2A4B">
        <w:t xml:space="preserve">IDPS operator must </w:t>
      </w:r>
      <w:r w:rsidR="00DA2A4B" w:rsidRPr="00DA2A4B">
        <w:t>meet minimum standards applying to the licensee, such as procedures for giving instructions to custodians or custodial staff</w:t>
      </w:r>
      <w:r w:rsidR="003748AB">
        <w:t xml:space="preserve"> and standards on the</w:t>
      </w:r>
      <w:r w:rsidR="00DA2A4B" w:rsidRPr="00DA2A4B">
        <w:t xml:space="preserve"> holding of IDPS property</w:t>
      </w:r>
      <w:r w:rsidR="00D572BD">
        <w:t>.</w:t>
      </w:r>
    </w:p>
    <w:p w14:paraId="0165829F" w14:textId="1D8CA7F6" w:rsidR="00B35651" w:rsidRDefault="00CB4E18" w:rsidP="0075522B">
      <w:pPr>
        <w:pStyle w:val="LI-BodyTextParaa"/>
        <w:ind w:left="1134"/>
      </w:pPr>
      <w:r>
        <w:t xml:space="preserve">(c) </w:t>
      </w:r>
      <w:r w:rsidR="00DF5C77">
        <w:t>Compensation</w:t>
      </w:r>
    </w:p>
    <w:p w14:paraId="485C4196" w14:textId="4DECAF89" w:rsidR="00CB4E18" w:rsidRDefault="009E73C8" w:rsidP="00B35651">
      <w:pPr>
        <w:pStyle w:val="LI-BodyTextParaa"/>
        <w:ind w:left="1134" w:firstLine="0"/>
      </w:pPr>
      <w:r>
        <w:t xml:space="preserve">An </w:t>
      </w:r>
      <w:r w:rsidR="00A9562F">
        <w:t xml:space="preserve">IDPS </w:t>
      </w:r>
      <w:r w:rsidR="00A9562F" w:rsidRPr="00A9562F">
        <w:t>operator must compensate clients in relation to the functions that the operator has contracted to perform for acts and omissions of any of its agents engaged to perform those functions or functions connected with the performance of those functions as if they were the acts or omissions of the licensee.</w:t>
      </w:r>
    </w:p>
    <w:p w14:paraId="12CD2656" w14:textId="77777777" w:rsidR="00F00376" w:rsidRDefault="00F00376" w:rsidP="00B35651">
      <w:pPr>
        <w:pStyle w:val="LI-BodyTextParaa"/>
        <w:ind w:left="1134" w:firstLine="0"/>
      </w:pPr>
    </w:p>
    <w:p w14:paraId="52A9907C" w14:textId="3814497B" w:rsidR="00B35651" w:rsidRDefault="00312FE9" w:rsidP="0075522B">
      <w:pPr>
        <w:pStyle w:val="LI-BodyTextParaa"/>
        <w:ind w:left="1134"/>
      </w:pPr>
      <w:r>
        <w:lastRenderedPageBreak/>
        <w:t xml:space="preserve">(d) </w:t>
      </w:r>
      <w:r w:rsidR="008952DC">
        <w:t>Investments held on trust</w:t>
      </w:r>
    </w:p>
    <w:p w14:paraId="32BBF85B" w14:textId="4A6269D1" w:rsidR="00312FE9" w:rsidRDefault="009E73C8" w:rsidP="00B35651">
      <w:pPr>
        <w:pStyle w:val="LI-BodyTextParaa"/>
        <w:ind w:left="1134" w:firstLine="0"/>
      </w:pPr>
      <w:r>
        <w:t xml:space="preserve">An </w:t>
      </w:r>
      <w:r w:rsidR="00312FE9" w:rsidRPr="00E37DFF">
        <w:t>IDPS operator</w:t>
      </w:r>
      <w:r w:rsidR="00312FE9">
        <w:t xml:space="preserve"> must</w:t>
      </w:r>
      <w:r w:rsidR="00312FE9" w:rsidRPr="00E37DFF">
        <w:t xml:space="preserve"> hold all investments within the IDPS (not including assets held by a</w:t>
      </w:r>
      <w:r w:rsidR="00312FE9">
        <w:t xml:space="preserve"> client) on trust for client</w:t>
      </w:r>
      <w:r w:rsidR="00312FE9" w:rsidRPr="00E37DFF">
        <w:t>s of the IDPS</w:t>
      </w:r>
      <w:r w:rsidR="00312FE9">
        <w:t>.</w:t>
      </w:r>
    </w:p>
    <w:p w14:paraId="2E153C3E" w14:textId="7D53C79A" w:rsidR="00EF5A1A" w:rsidRPr="009E73C8" w:rsidRDefault="00F76C48" w:rsidP="00F76C48">
      <w:pPr>
        <w:pStyle w:val="LI-BodyTextParaa"/>
        <w:ind w:left="1134"/>
      </w:pPr>
      <w:r w:rsidRPr="009E73C8">
        <w:t>(e)</w:t>
      </w:r>
      <w:r w:rsidR="00EF5A1A" w:rsidRPr="009E73C8">
        <w:t xml:space="preserve"> I</w:t>
      </w:r>
      <w:r w:rsidRPr="009E73C8">
        <w:t>nsurance</w:t>
      </w:r>
    </w:p>
    <w:p w14:paraId="1316D566" w14:textId="48F39352" w:rsidR="00F76C48" w:rsidRPr="00CD5317" w:rsidRDefault="009E73C8" w:rsidP="00EF5A1A">
      <w:pPr>
        <w:pStyle w:val="LI-BodyTextParaa"/>
        <w:ind w:left="1134" w:firstLine="0"/>
      </w:pPr>
      <w:r>
        <w:t>An IDPS operator must m</w:t>
      </w:r>
      <w:r w:rsidR="00F76C48" w:rsidRPr="00CD5317">
        <w:t>aintain professional indemnity insurance and insurance against fraud by officers of the IDPS.</w:t>
      </w:r>
    </w:p>
    <w:p w14:paraId="4C843292" w14:textId="121D4992" w:rsidR="00EF5A1A" w:rsidRDefault="00F76C48" w:rsidP="00F76C48">
      <w:pPr>
        <w:pStyle w:val="LI-BodyTextParaa"/>
        <w:ind w:left="1134"/>
      </w:pPr>
      <w:r w:rsidRPr="00CD5317">
        <w:t>(</w:t>
      </w:r>
      <w:r w:rsidR="007E1BE7">
        <w:t>f</w:t>
      </w:r>
      <w:r w:rsidRPr="00CD5317">
        <w:t>)</w:t>
      </w:r>
      <w:r w:rsidR="00EF5A1A">
        <w:t xml:space="preserve"> E</w:t>
      </w:r>
      <w:r w:rsidR="00A25814" w:rsidRPr="00CD5317">
        <w:t>ngagement of services</w:t>
      </w:r>
    </w:p>
    <w:p w14:paraId="6E056DA3" w14:textId="60E7ABA1" w:rsidR="00F76C48" w:rsidRDefault="00F76C48" w:rsidP="00EF5A1A">
      <w:pPr>
        <w:pStyle w:val="LI-BodyTextParaa"/>
        <w:ind w:left="1134" w:firstLine="0"/>
      </w:pPr>
      <w:r w:rsidRPr="00CD5317">
        <w:t>An IDPS operator that appoints another person to perform the transactional functions of the IDPS</w:t>
      </w:r>
      <w:r w:rsidR="00225B12">
        <w:t xml:space="preserve"> or </w:t>
      </w:r>
      <w:r w:rsidR="000B538A">
        <w:t xml:space="preserve">engages </w:t>
      </w:r>
      <w:r w:rsidR="00225B12">
        <w:t>a custodian</w:t>
      </w:r>
      <w:r w:rsidRPr="00CD5317">
        <w:t xml:space="preserve"> must enter into a written agreement with the person </w:t>
      </w:r>
      <w:r w:rsidR="000B538A">
        <w:t xml:space="preserve">or custodian </w:t>
      </w:r>
      <w:r w:rsidRPr="00CD5317">
        <w:t xml:space="preserve">regarding these outsourced functions, which must include the provisions specified in </w:t>
      </w:r>
      <w:r w:rsidR="00041968">
        <w:t xml:space="preserve">the </w:t>
      </w:r>
      <w:r w:rsidR="00913A3B">
        <w:t>I</w:t>
      </w:r>
      <w:r w:rsidR="00041968">
        <w:t>nstrument.</w:t>
      </w:r>
    </w:p>
    <w:p w14:paraId="0F29B369" w14:textId="6A490F11" w:rsidR="009E73C8" w:rsidRDefault="007E1BE7" w:rsidP="00F76C48">
      <w:pPr>
        <w:pStyle w:val="LI-BodyTextParaa"/>
        <w:ind w:left="1134"/>
      </w:pPr>
      <w:r>
        <w:t>(g) Licensing</w:t>
      </w:r>
    </w:p>
    <w:p w14:paraId="7AE88675" w14:textId="19EC0933" w:rsidR="007E1BE7" w:rsidRDefault="007E1BE7" w:rsidP="009E73C8">
      <w:pPr>
        <w:pStyle w:val="LI-BodyTextParaa"/>
        <w:ind w:left="1134" w:firstLine="0"/>
      </w:pPr>
      <w:r>
        <w:t xml:space="preserve">An IDPS operator must </w:t>
      </w:r>
      <w:r w:rsidRPr="009F35BD">
        <w:t>be a public company that holds an AFS licence specifically auth</w:t>
      </w:r>
      <w:r>
        <w:t>orising it to operate an IDPS</w:t>
      </w:r>
      <w:r w:rsidR="00CC1227">
        <w:t>.</w:t>
      </w:r>
    </w:p>
    <w:p w14:paraId="0E5638D5" w14:textId="0FD3F6D7" w:rsidR="00A739F2" w:rsidRDefault="008A5CF9" w:rsidP="00F76C48">
      <w:pPr>
        <w:pStyle w:val="LI-BodyTextParaa"/>
        <w:ind w:left="1134"/>
      </w:pPr>
      <w:r>
        <w:t xml:space="preserve">(h) </w:t>
      </w:r>
      <w:r w:rsidR="00500E09">
        <w:t>Policies</w:t>
      </w:r>
    </w:p>
    <w:p w14:paraId="491515EC" w14:textId="73D1E911" w:rsidR="00A739F2" w:rsidRDefault="00781158" w:rsidP="00A739F2">
      <w:pPr>
        <w:pStyle w:val="LI-BodyTextParaa"/>
        <w:ind w:left="1134" w:firstLine="0"/>
      </w:pPr>
      <w:r w:rsidRPr="00781158">
        <w:t>An IDPS operator must have in place a voting policy that includes information about the IDPS operator’s voting practices on company and scheme resolutions, available to investors free of charge on request.</w:t>
      </w:r>
      <w:r w:rsidR="00500E09">
        <w:t xml:space="preserve"> </w:t>
      </w:r>
    </w:p>
    <w:p w14:paraId="44F77924" w14:textId="1CCEEADE" w:rsidR="00CC1227" w:rsidRDefault="00500E09" w:rsidP="00A739F2">
      <w:pPr>
        <w:pStyle w:val="LI-BodyTextParaa"/>
        <w:ind w:left="1134" w:firstLine="0"/>
      </w:pPr>
      <w:r w:rsidRPr="00500E09">
        <w:t>An IDPS operator must have in place a policy for investors who do not opt in to receiving financial product advice, available to investors free of charge on request.</w:t>
      </w:r>
    </w:p>
    <w:p w14:paraId="1B3F00FE" w14:textId="51B14CA7" w:rsidR="00EF5A1A" w:rsidRDefault="00781158" w:rsidP="00F76C48">
      <w:pPr>
        <w:pStyle w:val="LI-BodyTextParaa"/>
        <w:ind w:left="1134"/>
      </w:pPr>
      <w:r>
        <w:t>(</w:t>
      </w:r>
      <w:proofErr w:type="spellStart"/>
      <w:r>
        <w:t>i</w:t>
      </w:r>
      <w:proofErr w:type="spellEnd"/>
      <w:r>
        <w:t xml:space="preserve">) </w:t>
      </w:r>
      <w:r w:rsidR="00500E09">
        <w:t xml:space="preserve"> </w:t>
      </w:r>
      <w:r w:rsidR="00EC64AB">
        <w:t>Dispute resolution</w:t>
      </w:r>
    </w:p>
    <w:p w14:paraId="5EBA4B62" w14:textId="14339DF2" w:rsidR="00781158" w:rsidRDefault="00974A15" w:rsidP="00EF5A1A">
      <w:pPr>
        <w:pStyle w:val="LI-BodyTextParaa"/>
        <w:ind w:left="1134" w:firstLine="0"/>
      </w:pPr>
      <w:r w:rsidRPr="00974A15">
        <w:t>An IDPS operator must take reasonable steps to facilitate resolution of disputes between investors and product issuers of accessible financial products, including informing members whether issuers have internal dispute resolution systems that are available to the investors.</w:t>
      </w:r>
    </w:p>
    <w:p w14:paraId="16EC26F3" w14:textId="19D68580" w:rsidR="00EF5A1A" w:rsidRDefault="00C350E7" w:rsidP="000B538A">
      <w:pPr>
        <w:pStyle w:val="LI-BodyTextParaa"/>
        <w:keepNext/>
        <w:ind w:left="1134"/>
      </w:pPr>
      <w:r>
        <w:t xml:space="preserve">(j) </w:t>
      </w:r>
      <w:r w:rsidR="00521EBC">
        <w:t>Breac</w:t>
      </w:r>
      <w:r w:rsidR="00EF5A1A">
        <w:t>h</w:t>
      </w:r>
    </w:p>
    <w:p w14:paraId="571613BA" w14:textId="2B8ED279" w:rsidR="00C350E7" w:rsidRDefault="00521EBC" w:rsidP="000B538A">
      <w:pPr>
        <w:pStyle w:val="LI-BodyTextParaa"/>
        <w:keepNext/>
        <w:ind w:left="1134" w:firstLine="0"/>
      </w:pPr>
      <w:r w:rsidRPr="00521EBC">
        <w:t xml:space="preserve">IDPS operators must comply with the requirements in </w:t>
      </w:r>
      <w:r w:rsidR="00EF5A1A">
        <w:t xml:space="preserve">the </w:t>
      </w:r>
      <w:r w:rsidR="00913A3B">
        <w:t xml:space="preserve">Instrument </w:t>
      </w:r>
      <w:r w:rsidRPr="00521EBC">
        <w:t xml:space="preserve">or will be in breach of AFS licensee obligations to comply with the relevant financial services laws. IDPS operators must report breaches </w:t>
      </w:r>
      <w:r w:rsidR="00913A3B">
        <w:t xml:space="preserve">under </w:t>
      </w:r>
      <w:r w:rsidRPr="00521EBC">
        <w:t>the Act.</w:t>
      </w:r>
    </w:p>
    <w:p w14:paraId="053146C9" w14:textId="212D371D" w:rsidR="0075522B" w:rsidRDefault="00F74B5B" w:rsidP="00F74B5B">
      <w:pPr>
        <w:pStyle w:val="LI-BodyTextParaa"/>
        <w:ind w:left="1134"/>
      </w:pPr>
      <w:r>
        <w:t>(</w:t>
      </w:r>
      <w:r w:rsidR="009E73C8">
        <w:t>k</w:t>
      </w:r>
      <w:r>
        <w:t>) Internal control procedures</w:t>
      </w:r>
    </w:p>
    <w:p w14:paraId="0F21977A" w14:textId="6170A854" w:rsidR="00AD2DE4" w:rsidRDefault="00F74B5B" w:rsidP="00F74B5B">
      <w:pPr>
        <w:pStyle w:val="LI-BodyTextParaa"/>
        <w:ind w:left="1134" w:firstLine="0"/>
      </w:pPr>
      <w:r>
        <w:t>I</w:t>
      </w:r>
      <w:r w:rsidR="007C2BE3">
        <w:t>DPS operators must comply with i</w:t>
      </w:r>
      <w:r w:rsidR="00E93824">
        <w:t>nternal control procedures</w:t>
      </w:r>
      <w:r>
        <w:t xml:space="preserve"> and have these audited. </w:t>
      </w:r>
      <w:r w:rsidR="00AD2DE4">
        <w:t xml:space="preserve"> </w:t>
      </w:r>
    </w:p>
    <w:p w14:paraId="2CF755F9" w14:textId="4B8B78B2" w:rsidR="002412B3" w:rsidRDefault="0053589A" w:rsidP="00D22426">
      <w:pPr>
        <w:pStyle w:val="LI-BodyTextParaa"/>
        <w:ind w:left="567"/>
      </w:pPr>
      <w:r>
        <w:lastRenderedPageBreak/>
        <w:t>17</w:t>
      </w:r>
      <w:r w:rsidR="002412B3">
        <w:t xml:space="preserve">. </w:t>
      </w:r>
      <w:r w:rsidR="002412B3">
        <w:tab/>
        <w:t xml:space="preserve">Section </w:t>
      </w:r>
      <w:r w:rsidR="00715BD2">
        <w:t>9</w:t>
      </w:r>
      <w:r w:rsidR="002412B3">
        <w:t xml:space="preserve"> of </w:t>
      </w:r>
      <w:r w:rsidR="000C1C3D">
        <w:t>the Instrument</w:t>
      </w:r>
      <w:r w:rsidR="002412B3">
        <w:rPr>
          <w:lang w:val="en-US"/>
        </w:rPr>
        <w:t xml:space="preserve"> </w:t>
      </w:r>
      <w:r w:rsidR="002412B3">
        <w:t>declares that Part 7.</w:t>
      </w:r>
      <w:r w:rsidR="0078246B">
        <w:t>7</w:t>
      </w:r>
      <w:r w:rsidR="002412B3">
        <w:t xml:space="preserve"> of the Act </w:t>
      </w:r>
      <w:r w:rsidR="0078246B">
        <w:t>applies</w:t>
      </w:r>
      <w:r w:rsidR="002412B3">
        <w:t xml:space="preserve"> in relation to an operator of an IDPS by inserting notional </w:t>
      </w:r>
      <w:r w:rsidR="00913A3B">
        <w:t xml:space="preserve">sections </w:t>
      </w:r>
      <w:r w:rsidR="0078246B">
        <w:t>952BA</w:t>
      </w:r>
      <w:r w:rsidR="001F7C31">
        <w:t xml:space="preserve"> and 953BA</w:t>
      </w:r>
      <w:r w:rsidR="002412B3">
        <w:t xml:space="preserve"> into the Act. </w:t>
      </w:r>
      <w:r w:rsidR="00B700BF">
        <w:t>The sections relate to the</w:t>
      </w:r>
      <w:r w:rsidR="000B3BF7">
        <w:t xml:space="preserve"> apportionment of liability for </w:t>
      </w:r>
      <w:r w:rsidR="00EC45A8">
        <w:t>a defective</w:t>
      </w:r>
      <w:r w:rsidR="000B3BF7">
        <w:t xml:space="preserve"> Financial Services Guid</w:t>
      </w:r>
      <w:r w:rsidR="00B700BF">
        <w:t>e.</w:t>
      </w:r>
    </w:p>
    <w:p w14:paraId="4EC16AFA" w14:textId="773059F2" w:rsidR="00487A7A" w:rsidRDefault="0053589A" w:rsidP="00D22426">
      <w:pPr>
        <w:pStyle w:val="LI-BodyTextParaa"/>
        <w:ind w:left="567"/>
      </w:pPr>
      <w:r>
        <w:t>18</w:t>
      </w:r>
      <w:r w:rsidR="00001E16">
        <w:t xml:space="preserve">.   </w:t>
      </w:r>
      <w:r w:rsidR="00D22426">
        <w:tab/>
      </w:r>
      <w:r w:rsidR="00681B22">
        <w:t xml:space="preserve">Section 10 of </w:t>
      </w:r>
      <w:r w:rsidR="00481B2D">
        <w:t>the Instrument</w:t>
      </w:r>
      <w:r w:rsidR="00681B22">
        <w:rPr>
          <w:lang w:val="en-US"/>
        </w:rPr>
        <w:t xml:space="preserve"> </w:t>
      </w:r>
      <w:r w:rsidR="00681B22">
        <w:t>declares that Part 7.9 of the Act applies in</w:t>
      </w:r>
      <w:r w:rsidR="00D22426">
        <w:t xml:space="preserve"> </w:t>
      </w:r>
      <w:r w:rsidR="00681B22">
        <w:t xml:space="preserve">relation to an operator of an </w:t>
      </w:r>
      <w:r w:rsidR="00AD420C">
        <w:t>IDPS</w:t>
      </w:r>
      <w:r w:rsidR="00C114B3">
        <w:t xml:space="preserve"> as if the provisions of that Part were modified or varied by inserting</w:t>
      </w:r>
      <w:r w:rsidR="0019625E">
        <w:t xml:space="preserve"> subsection 1012IA(9). </w:t>
      </w:r>
      <w:r w:rsidR="00C0650F">
        <w:t xml:space="preserve">Subsection </w:t>
      </w:r>
      <w:r w:rsidR="00A72D89">
        <w:t>1012IA</w:t>
      </w:r>
      <w:r w:rsidR="00C0650F">
        <w:t>(9)</w:t>
      </w:r>
      <w:r w:rsidR="00A72D89">
        <w:t xml:space="preserve"> </w:t>
      </w:r>
      <w:r w:rsidR="00C0650F">
        <w:t>provides an e</w:t>
      </w:r>
      <w:r w:rsidR="00821F8A">
        <w:t xml:space="preserve">xemption </w:t>
      </w:r>
      <w:r w:rsidR="00913A3B">
        <w:t xml:space="preserve">from </w:t>
      </w:r>
      <w:r w:rsidR="00821F8A">
        <w:t xml:space="preserve">the </w:t>
      </w:r>
      <w:r w:rsidR="00224B86">
        <w:t xml:space="preserve">obligation in section 1012IA </w:t>
      </w:r>
      <w:r w:rsidR="00001E16">
        <w:t>for the IDPS operator (or its custodian) to</w:t>
      </w:r>
      <w:r w:rsidR="00821F8A">
        <w:t xml:space="preserve"> provide a Product Disclosure Statement</w:t>
      </w:r>
      <w:r w:rsidR="00DB343D">
        <w:t xml:space="preserve"> if</w:t>
      </w:r>
      <w:r w:rsidR="00440B70">
        <w:t xml:space="preserve"> the</w:t>
      </w:r>
      <w:r w:rsidR="00487A7A" w:rsidRPr="005E50E2">
        <w:t xml:space="preserve"> </w:t>
      </w:r>
      <w:r w:rsidR="00001E16">
        <w:t xml:space="preserve">conditions in the </w:t>
      </w:r>
      <w:r w:rsidR="00913A3B">
        <w:t>I</w:t>
      </w:r>
      <w:r w:rsidR="00001E16">
        <w:t>nstrument are met.</w:t>
      </w:r>
    </w:p>
    <w:p w14:paraId="0FE8E126" w14:textId="6491DE9D" w:rsidR="00681B22" w:rsidRPr="0002658E" w:rsidRDefault="0053589A" w:rsidP="002412B3">
      <w:pPr>
        <w:pStyle w:val="LI-BodyTextParaa"/>
        <w:ind w:left="567"/>
      </w:pPr>
      <w:r>
        <w:t>19</w:t>
      </w:r>
      <w:r w:rsidR="00190C91">
        <w:t xml:space="preserve">. </w:t>
      </w:r>
      <w:r w:rsidR="004654A6">
        <w:tab/>
      </w:r>
      <w:r w:rsidR="00691FA5">
        <w:t xml:space="preserve">Section 11 of </w:t>
      </w:r>
      <w:r w:rsidR="00481B2D">
        <w:t>the Instrument</w:t>
      </w:r>
      <w:r w:rsidR="00642ADE">
        <w:rPr>
          <w:i/>
          <w:iCs/>
        </w:rPr>
        <w:t xml:space="preserve"> </w:t>
      </w:r>
      <w:r w:rsidR="00642ADE">
        <w:t xml:space="preserve">declares that Chapter 6D of the Act applies to all persons as if Part 6D.2 were </w:t>
      </w:r>
      <w:r w:rsidR="00EF7B69">
        <w:t xml:space="preserve">modified or varied by inserting section 704A. </w:t>
      </w:r>
      <w:r w:rsidR="00693499">
        <w:t>The section</w:t>
      </w:r>
      <w:r w:rsidR="006B569E">
        <w:t xml:space="preserve"> adds a requirement </w:t>
      </w:r>
      <w:r w:rsidR="0002658E">
        <w:t xml:space="preserve">in </w:t>
      </w:r>
      <w:r w:rsidR="005B36F6">
        <w:t>subsection</w:t>
      </w:r>
      <w:r w:rsidR="0002658E">
        <w:t xml:space="preserve"> (1) </w:t>
      </w:r>
      <w:r w:rsidR="00693499">
        <w:t xml:space="preserve">for </w:t>
      </w:r>
      <w:r w:rsidR="006B569E">
        <w:t xml:space="preserve">persons offering accessible securities through an IDPS requiring </w:t>
      </w:r>
      <w:r w:rsidR="004C53EA">
        <w:t>disclosure to</w:t>
      </w:r>
      <w:r w:rsidR="006B569E">
        <w:t xml:space="preserve"> notify the IDPS operator or custodian</w:t>
      </w:r>
      <w:r w:rsidR="00F85671">
        <w:t xml:space="preserve"> of specific items set out in paragraphs (a) to (c</w:t>
      </w:r>
      <w:proofErr w:type="gramStart"/>
      <w:r w:rsidR="00F85671">
        <w:t>)</w:t>
      </w:r>
      <w:r w:rsidR="0002658E">
        <w:rPr>
          <w:i/>
          <w:iCs/>
        </w:rPr>
        <w:t xml:space="preserve">, </w:t>
      </w:r>
      <w:r w:rsidR="0002658E">
        <w:t>unless</w:t>
      </w:r>
      <w:proofErr w:type="gramEnd"/>
      <w:r w:rsidR="0002658E">
        <w:t xml:space="preserve"> an exception applies.</w:t>
      </w:r>
    </w:p>
    <w:p w14:paraId="3A9D0A81" w14:textId="291DB983" w:rsidR="00474B52" w:rsidRDefault="0053589A" w:rsidP="005D1FEA">
      <w:pPr>
        <w:pStyle w:val="LI-BodyTextParaa"/>
        <w:ind w:left="567"/>
      </w:pPr>
      <w:r>
        <w:t>20</w:t>
      </w:r>
      <w:r w:rsidR="00474B52">
        <w:t>.</w:t>
      </w:r>
      <w:r w:rsidR="00474B52">
        <w:tab/>
      </w:r>
      <w:r w:rsidR="00481B2D">
        <w:t>The Instrument</w:t>
      </w:r>
      <w:r w:rsidR="001E6442">
        <w:rPr>
          <w:lang w:val="en-US"/>
        </w:rPr>
        <w:t xml:space="preserve"> </w:t>
      </w:r>
      <w:r w:rsidR="000235FD">
        <w:t xml:space="preserve">will commence </w:t>
      </w:r>
      <w:r w:rsidR="001E6442">
        <w:t xml:space="preserve">on </w:t>
      </w:r>
      <w:r w:rsidR="004A45C8">
        <w:t>1 October 2023.</w:t>
      </w:r>
    </w:p>
    <w:p w14:paraId="35A8B8BA" w14:textId="77777777" w:rsidR="00BB19B9" w:rsidRPr="00BB19B9" w:rsidRDefault="00BB19B9" w:rsidP="0053589A">
      <w:pPr>
        <w:pStyle w:val="LI-BodyTextParaa"/>
        <w:ind w:left="0" w:firstLine="0"/>
        <w:rPr>
          <w:b/>
          <w:bCs/>
        </w:rPr>
      </w:pPr>
      <w:r w:rsidRPr="00BB19B9">
        <w:rPr>
          <w:b/>
          <w:bCs/>
        </w:rPr>
        <w:t xml:space="preserve">Incorporation by reference </w:t>
      </w:r>
    </w:p>
    <w:p w14:paraId="24C38473" w14:textId="5086AA9D" w:rsidR="00BB19B9" w:rsidRPr="00BB19B9" w:rsidRDefault="0053589A" w:rsidP="00BB19B9">
      <w:pPr>
        <w:pStyle w:val="LI-BodyTextParaa"/>
        <w:ind w:left="567"/>
      </w:pPr>
      <w:r>
        <w:t>21</w:t>
      </w:r>
      <w:r w:rsidR="00BB19B9" w:rsidRPr="00BB19B9">
        <w:t xml:space="preserve">. </w:t>
      </w:r>
      <w:r w:rsidR="00BB19B9">
        <w:tab/>
      </w:r>
      <w:r w:rsidR="00BB19B9" w:rsidRPr="00BB19B9">
        <w:t>The class order incorporates by reference the following documents:</w:t>
      </w:r>
    </w:p>
    <w:p w14:paraId="3AC9AAC7" w14:textId="604D35A3" w:rsidR="00B879D9" w:rsidRDefault="00B879D9" w:rsidP="00EC266F">
      <w:pPr>
        <w:pStyle w:val="LI-BodyTextParaa"/>
        <w:ind w:left="1437" w:hanging="870"/>
      </w:pPr>
      <w:r>
        <w:t>(a)</w:t>
      </w:r>
      <w:r>
        <w:tab/>
      </w:r>
      <w:r w:rsidR="00913A3B" w:rsidRPr="00675CB0">
        <w:rPr>
          <w:i/>
          <w:iCs/>
        </w:rPr>
        <w:t xml:space="preserve">ASIC Corporations (Investor Directed Portfolio Services Provided Through a Registered Managed Investment Scheme) Instrument </w:t>
      </w:r>
      <w:r w:rsidR="00913A3B" w:rsidRPr="00650D60">
        <w:rPr>
          <w:i/>
          <w:iCs/>
        </w:rPr>
        <w:t>2023/668</w:t>
      </w:r>
      <w:r w:rsidR="00EE2059" w:rsidRPr="00650D60">
        <w:t xml:space="preserve"> –</w:t>
      </w:r>
      <w:r w:rsidR="00EE2059" w:rsidRPr="00EE2059">
        <w:t xml:space="preserve"> which modifies the Act as it applies to a responsible entity of an investor directed portfolio service provided through a registered managed investment scheme and to a person who is offering or issuing accessible securities through an IDPS</w:t>
      </w:r>
      <w:r w:rsidR="00913A3B">
        <w:t>-</w:t>
      </w:r>
      <w:r w:rsidR="00EE2059" w:rsidRPr="00EE2059">
        <w:t>like scheme. This document is registered on the Federal Register of Legislative instruments</w:t>
      </w:r>
      <w:r>
        <w:t>.</w:t>
      </w:r>
    </w:p>
    <w:p w14:paraId="3408074D" w14:textId="2C197B1F" w:rsidR="00913A3B" w:rsidRDefault="00913A3B" w:rsidP="00913A3B">
      <w:pPr>
        <w:pStyle w:val="BodyText"/>
        <w:tabs>
          <w:tab w:val="left" w:pos="567"/>
          <w:tab w:val="left" w:pos="680"/>
        </w:tabs>
        <w:spacing w:before="200" w:after="0"/>
        <w:ind w:left="1134" w:hanging="570"/>
        <w:textAlignment w:val="baseline"/>
        <w:rPr>
          <w:lang w:val="en-US"/>
        </w:rPr>
      </w:pPr>
      <w:r>
        <w:t>(b)</w:t>
      </w:r>
      <w:r>
        <w:tab/>
      </w:r>
      <w:r w:rsidRPr="00FF0EFC">
        <w:rPr>
          <w:i/>
          <w:lang w:val="en-US"/>
        </w:rPr>
        <w:t>ASIC Corporations (Nominee and Custody Services)</w:t>
      </w:r>
      <w:r w:rsidR="008B7D61">
        <w:rPr>
          <w:i/>
          <w:lang w:val="en-US"/>
        </w:rPr>
        <w:t xml:space="preserve"> 2016/1156</w:t>
      </w:r>
      <w:r w:rsidRPr="00FF0EFC">
        <w:rPr>
          <w:i/>
          <w:lang w:val="en-US"/>
        </w:rPr>
        <w:t xml:space="preserve"> </w:t>
      </w:r>
      <w:r>
        <w:rPr>
          <w:i/>
          <w:lang w:val="en-US"/>
        </w:rPr>
        <w:softHyphen/>
      </w:r>
      <w:r>
        <w:rPr>
          <w:lang w:val="en-US"/>
        </w:rPr>
        <w:t xml:space="preserve"> regarding the definition of nominee and custody services.</w:t>
      </w:r>
    </w:p>
    <w:p w14:paraId="3DE628BE" w14:textId="77777777" w:rsidR="00EF392F" w:rsidRPr="00B34712" w:rsidRDefault="00EF392F" w:rsidP="00EF392F">
      <w:pPr>
        <w:pStyle w:val="LI-BodyTextParaa"/>
        <w:ind w:left="0" w:firstLine="0"/>
        <w:rPr>
          <w:b/>
          <w:bCs/>
        </w:rPr>
      </w:pPr>
      <w:r w:rsidRPr="00B34712">
        <w:rPr>
          <w:b/>
          <w:bCs/>
        </w:rPr>
        <w:t>Retrospective application</w:t>
      </w:r>
    </w:p>
    <w:p w14:paraId="41B5E1C2" w14:textId="6FFB08EF" w:rsidR="00EF392F" w:rsidRPr="00BB19B9" w:rsidRDefault="0053589A" w:rsidP="00EF392F">
      <w:pPr>
        <w:pStyle w:val="LI-BodyTextParaa"/>
        <w:ind w:left="567"/>
      </w:pPr>
      <w:r>
        <w:t>22</w:t>
      </w:r>
      <w:r w:rsidR="00EF392F" w:rsidRPr="00BB19B9">
        <w:t xml:space="preserve">. </w:t>
      </w:r>
      <w:r w:rsidR="00EF392F">
        <w:tab/>
      </w:r>
      <w:r w:rsidR="00EF392F" w:rsidRPr="00BB19B9">
        <w:t xml:space="preserve">The </w:t>
      </w:r>
      <w:r w:rsidR="00EF392F" w:rsidRPr="00B34712">
        <w:t>Instrument do</w:t>
      </w:r>
      <w:r>
        <w:t>es</w:t>
      </w:r>
      <w:r w:rsidR="00EF392F" w:rsidRPr="00B34712">
        <w:t xml:space="preserve"> not have retrospective application</w:t>
      </w:r>
      <w:r w:rsidR="00EF392F">
        <w:t>.</w:t>
      </w:r>
    </w:p>
    <w:p w14:paraId="126DB996" w14:textId="77777777" w:rsidR="00C52E7C" w:rsidRPr="006D6079" w:rsidRDefault="00C52E7C" w:rsidP="006D6079">
      <w:pPr>
        <w:pStyle w:val="LI-BodyTextParaa"/>
        <w:keepNext/>
        <w:ind w:left="567"/>
        <w:rPr>
          <w:b/>
          <w:bCs/>
        </w:rPr>
      </w:pPr>
      <w:r w:rsidRPr="006D6079">
        <w:rPr>
          <w:b/>
          <w:bCs/>
        </w:rPr>
        <w:t xml:space="preserve">Legislative instrument </w:t>
      </w:r>
      <w:r w:rsidR="00610709" w:rsidRPr="006D6079">
        <w:rPr>
          <w:b/>
          <w:bCs/>
        </w:rPr>
        <w:t xml:space="preserve">and </w:t>
      </w:r>
      <w:r w:rsidRPr="006D6079">
        <w:rPr>
          <w:b/>
          <w:bCs/>
        </w:rPr>
        <w:t xml:space="preserve">primary legislation  </w:t>
      </w:r>
    </w:p>
    <w:p w14:paraId="05C147DA" w14:textId="70F41431" w:rsidR="00C4292D" w:rsidRDefault="0053589A" w:rsidP="004E45DC">
      <w:pPr>
        <w:pStyle w:val="LI-BodyTextParaa"/>
        <w:ind w:left="567"/>
        <w:rPr>
          <w:color w:val="000000"/>
          <w:shd w:val="clear" w:color="auto" w:fill="FFFFFF"/>
        </w:rPr>
      </w:pPr>
      <w:r>
        <w:t>23</w:t>
      </w:r>
      <w:r w:rsidR="004E45DC">
        <w:t>.</w:t>
      </w:r>
      <w:r w:rsidR="004E45DC">
        <w:tab/>
      </w:r>
      <w:r w:rsidR="00C4292D" w:rsidRPr="00C4292D">
        <w:rPr>
          <w:color w:val="000000"/>
          <w:shd w:val="clear" w:color="auto" w:fill="FFFFFF"/>
        </w:rPr>
        <w:t>The subject matter and policy implemented by th</w:t>
      </w:r>
      <w:r w:rsidR="000B538A">
        <w:rPr>
          <w:color w:val="000000"/>
          <w:shd w:val="clear" w:color="auto" w:fill="FFFFFF"/>
        </w:rPr>
        <w:t>e</w:t>
      </w:r>
      <w:r w:rsidR="00C4292D" w:rsidRPr="00C4292D">
        <w:rPr>
          <w:color w:val="000000"/>
          <w:shd w:val="clear" w:color="auto" w:fill="FFFFFF"/>
        </w:rPr>
        <w:t xml:space="preserve"> </w:t>
      </w:r>
      <w:r w:rsidR="000B538A">
        <w:rPr>
          <w:color w:val="000000"/>
          <w:shd w:val="clear" w:color="auto" w:fill="FFFFFF"/>
        </w:rPr>
        <w:t>I</w:t>
      </w:r>
      <w:r w:rsidR="00C4292D" w:rsidRPr="00C4292D">
        <w:rPr>
          <w:color w:val="000000"/>
          <w:shd w:val="clear" w:color="auto" w:fill="FFFFFF"/>
        </w:rPr>
        <w:t>nstrument is more appropriate for a legislative instrument rather than primary legislation because:</w:t>
      </w:r>
    </w:p>
    <w:p w14:paraId="3EDB0EF2" w14:textId="5D36DE4F" w:rsidR="004E45DC" w:rsidRDefault="00EC266F" w:rsidP="00EC266F">
      <w:pPr>
        <w:pStyle w:val="LI-BodyTextParaa"/>
        <w:ind w:left="1437" w:hanging="870"/>
        <w:rPr>
          <w:color w:val="000000"/>
          <w:shd w:val="clear" w:color="auto" w:fill="FFFFFF"/>
        </w:rPr>
      </w:pPr>
      <w:r>
        <w:t>(a)</w:t>
      </w:r>
      <w:r w:rsidR="00F115DD">
        <w:rPr>
          <w:color w:val="000000"/>
          <w:shd w:val="clear" w:color="auto" w:fill="FFFFFF"/>
        </w:rPr>
        <w:tab/>
      </w:r>
      <w:r>
        <w:rPr>
          <w:color w:val="000000"/>
          <w:shd w:val="clear" w:color="auto" w:fill="FFFFFF"/>
        </w:rPr>
        <w:tab/>
      </w:r>
      <w:r w:rsidR="00C67FAE" w:rsidRPr="00C67FAE">
        <w:rPr>
          <w:color w:val="000000"/>
          <w:shd w:val="clear" w:color="auto" w:fill="FFFFFF"/>
        </w:rPr>
        <w:t xml:space="preserve">the modifications made by the Instrument are highly specific amendments designed to ensure the application of primary legislation is consistent with the intended policy and the enabling provisions in the primary </w:t>
      </w:r>
      <w:proofErr w:type="gramStart"/>
      <w:r w:rsidR="00C67FAE" w:rsidRPr="00C67FAE">
        <w:rPr>
          <w:color w:val="000000"/>
          <w:shd w:val="clear" w:color="auto" w:fill="FFFFFF"/>
        </w:rPr>
        <w:t>legislation;</w:t>
      </w:r>
      <w:proofErr w:type="gramEnd"/>
    </w:p>
    <w:p w14:paraId="066E6C3B" w14:textId="56E68A88" w:rsidR="00C4292D" w:rsidRDefault="00EC266F" w:rsidP="00B879D9">
      <w:pPr>
        <w:pStyle w:val="LI-BodyTextParaa"/>
        <w:ind w:left="1440" w:hanging="870"/>
        <w:rPr>
          <w:color w:val="000000"/>
          <w:shd w:val="clear" w:color="auto" w:fill="FFFFFF"/>
        </w:rPr>
      </w:pPr>
      <w:r>
        <w:rPr>
          <w:color w:val="000000"/>
          <w:shd w:val="clear" w:color="auto" w:fill="FFFFFF"/>
        </w:rPr>
        <w:lastRenderedPageBreak/>
        <w:t xml:space="preserve">(b) </w:t>
      </w:r>
      <w:r>
        <w:rPr>
          <w:color w:val="000000"/>
          <w:shd w:val="clear" w:color="auto" w:fill="FFFFFF"/>
        </w:rPr>
        <w:tab/>
      </w:r>
      <w:r w:rsidR="00913A3B">
        <w:rPr>
          <w:color w:val="000000"/>
          <w:shd w:val="clear" w:color="auto" w:fill="FFFFFF"/>
        </w:rPr>
        <w:t xml:space="preserve">the </w:t>
      </w:r>
      <w:r w:rsidR="00F115DD" w:rsidRPr="00F115DD">
        <w:rPr>
          <w:color w:val="000000"/>
          <w:shd w:val="clear" w:color="auto" w:fill="FFFFFF"/>
        </w:rPr>
        <w:t xml:space="preserve">Instrument preserves the effect of </w:t>
      </w:r>
      <w:r w:rsidR="002A6867">
        <w:rPr>
          <w:color w:val="000000"/>
          <w:shd w:val="clear" w:color="auto" w:fill="FFFFFF"/>
        </w:rPr>
        <w:t>[</w:t>
      </w:r>
      <w:r w:rsidR="00F115DD" w:rsidRPr="00F115DD">
        <w:rPr>
          <w:color w:val="000000"/>
          <w:shd w:val="clear" w:color="auto" w:fill="FFFFFF"/>
        </w:rPr>
        <w:t>CO 13/76</w:t>
      </w:r>
      <w:r w:rsidR="00A17633">
        <w:rPr>
          <w:color w:val="000000"/>
          <w:shd w:val="clear" w:color="auto" w:fill="FFFFFF"/>
        </w:rPr>
        <w:t>3</w:t>
      </w:r>
      <w:r w:rsidR="002A6867">
        <w:rPr>
          <w:color w:val="000000"/>
          <w:shd w:val="clear" w:color="auto" w:fill="FFFFFF"/>
        </w:rPr>
        <w:t>]</w:t>
      </w:r>
      <w:r w:rsidR="00F115DD" w:rsidRPr="00F115DD">
        <w:rPr>
          <w:color w:val="000000"/>
          <w:shd w:val="clear" w:color="auto" w:fill="FFFFFF"/>
        </w:rPr>
        <w:t xml:space="preserve"> </w:t>
      </w:r>
      <w:r w:rsidR="00A17633">
        <w:rPr>
          <w:color w:val="000000"/>
          <w:shd w:val="clear" w:color="auto" w:fill="FFFFFF"/>
        </w:rPr>
        <w:t>that</w:t>
      </w:r>
      <w:r w:rsidR="00F115DD" w:rsidRPr="00F115DD">
        <w:rPr>
          <w:color w:val="000000"/>
          <w:shd w:val="clear" w:color="auto" w:fill="FFFFFF"/>
        </w:rPr>
        <w:t xml:space="preserve"> w</w:t>
      </w:r>
      <w:r w:rsidR="00A17633">
        <w:rPr>
          <w:color w:val="000000"/>
          <w:shd w:val="clear" w:color="auto" w:fill="FFFFFF"/>
        </w:rPr>
        <w:t>as</w:t>
      </w:r>
      <w:r w:rsidR="00F115DD" w:rsidRPr="00F115DD">
        <w:rPr>
          <w:color w:val="000000"/>
          <w:shd w:val="clear" w:color="auto" w:fill="FFFFFF"/>
        </w:rPr>
        <w:t xml:space="preserve"> otherwise due to sunset on 1 October 2023;</w:t>
      </w:r>
      <w:r w:rsidR="00401E06">
        <w:rPr>
          <w:color w:val="000000"/>
          <w:shd w:val="clear" w:color="auto" w:fill="FFFFFF"/>
        </w:rPr>
        <w:t xml:space="preserve"> and</w:t>
      </w:r>
    </w:p>
    <w:p w14:paraId="6D7B2004" w14:textId="1C4E3F9E" w:rsidR="00C4292D" w:rsidRPr="00F97FB5" w:rsidRDefault="00C4292D" w:rsidP="00B879D9">
      <w:pPr>
        <w:pStyle w:val="LI-BodyTextParaa"/>
        <w:ind w:left="1440" w:hanging="870"/>
        <w:rPr>
          <w:color w:val="000000"/>
          <w:shd w:val="clear" w:color="auto" w:fill="FFFFFF"/>
        </w:rPr>
      </w:pPr>
      <w:r>
        <w:rPr>
          <w:color w:val="000000"/>
          <w:shd w:val="clear" w:color="auto" w:fill="FFFFFF"/>
        </w:rPr>
        <w:t>(c)</w:t>
      </w:r>
      <w:r>
        <w:rPr>
          <w:color w:val="000000"/>
          <w:shd w:val="clear" w:color="auto" w:fill="FFFFFF"/>
        </w:rPr>
        <w:tab/>
      </w:r>
      <w:r w:rsidR="00401E06" w:rsidRPr="00401E06">
        <w:rPr>
          <w:color w:val="000000"/>
          <w:shd w:val="clear" w:color="auto" w:fill="FFFFFF"/>
        </w:rPr>
        <w:t xml:space="preserve">following consultation, ASIC considered that </w:t>
      </w:r>
      <w:r w:rsidR="002A6867">
        <w:rPr>
          <w:color w:val="000000"/>
          <w:shd w:val="clear" w:color="auto" w:fill="FFFFFF"/>
        </w:rPr>
        <w:t>[</w:t>
      </w:r>
      <w:r w:rsidR="00401E06">
        <w:rPr>
          <w:color w:val="000000"/>
          <w:shd w:val="clear" w:color="auto" w:fill="FFFFFF"/>
        </w:rPr>
        <w:t>CO 13/7</w:t>
      </w:r>
      <w:r w:rsidR="007D7D4D">
        <w:rPr>
          <w:color w:val="000000"/>
          <w:shd w:val="clear" w:color="auto" w:fill="FFFFFF"/>
        </w:rPr>
        <w:t>63</w:t>
      </w:r>
      <w:r w:rsidR="002A6867">
        <w:rPr>
          <w:color w:val="000000"/>
          <w:shd w:val="clear" w:color="auto" w:fill="FFFFFF"/>
        </w:rPr>
        <w:t>]</w:t>
      </w:r>
      <w:r w:rsidR="007D7D4D">
        <w:rPr>
          <w:color w:val="000000"/>
          <w:shd w:val="clear" w:color="auto" w:fill="FFFFFF"/>
        </w:rPr>
        <w:t xml:space="preserve"> was</w:t>
      </w:r>
      <w:r w:rsidR="00401E06" w:rsidRPr="00401E06">
        <w:rPr>
          <w:color w:val="000000"/>
          <w:shd w:val="clear" w:color="auto" w:fill="FFFFFF"/>
        </w:rPr>
        <w:t xml:space="preserve"> operating effectively and efficiently to achieve </w:t>
      </w:r>
      <w:r w:rsidR="007D7D4D">
        <w:rPr>
          <w:color w:val="000000"/>
          <w:shd w:val="clear" w:color="auto" w:fill="FFFFFF"/>
        </w:rPr>
        <w:t>its</w:t>
      </w:r>
      <w:r w:rsidR="00401E06" w:rsidRPr="00401E06">
        <w:rPr>
          <w:color w:val="000000"/>
          <w:shd w:val="clear" w:color="auto" w:fill="FFFFFF"/>
        </w:rPr>
        <w:t xml:space="preserve"> objectives and continued to form </w:t>
      </w:r>
      <w:r w:rsidR="007D7D4D">
        <w:rPr>
          <w:color w:val="000000"/>
          <w:shd w:val="clear" w:color="auto" w:fill="FFFFFF"/>
        </w:rPr>
        <w:t xml:space="preserve">a </w:t>
      </w:r>
      <w:r w:rsidR="00401E06" w:rsidRPr="00401E06">
        <w:rPr>
          <w:color w:val="000000"/>
          <w:shd w:val="clear" w:color="auto" w:fill="FFFFFF"/>
        </w:rPr>
        <w:t>necessary and useful part of the legislative framework</w:t>
      </w:r>
      <w:r w:rsidR="000A57CE">
        <w:rPr>
          <w:color w:val="000000"/>
          <w:shd w:val="clear" w:color="auto" w:fill="FFFFFF"/>
        </w:rPr>
        <w:t>.</w:t>
      </w:r>
    </w:p>
    <w:p w14:paraId="03C2A654" w14:textId="77777777" w:rsidR="00F61A66" w:rsidRDefault="00F61A66" w:rsidP="00E476B8">
      <w:pPr>
        <w:pStyle w:val="LI-BodyTextParaa"/>
        <w:keepNext/>
        <w:ind w:left="567"/>
        <w:rPr>
          <w:u w:val="single"/>
        </w:rPr>
      </w:pPr>
      <w:r w:rsidRPr="006D6079">
        <w:rPr>
          <w:b/>
          <w:bCs/>
        </w:rPr>
        <w:t>Duration</w:t>
      </w:r>
      <w:r w:rsidR="009A2319" w:rsidRPr="006D6079">
        <w:rPr>
          <w:b/>
          <w:bCs/>
        </w:rPr>
        <w:t xml:space="preserve"> of the instrument</w:t>
      </w:r>
      <w:r>
        <w:rPr>
          <w:u w:val="single"/>
        </w:rPr>
        <w:t xml:space="preserve"> </w:t>
      </w:r>
    </w:p>
    <w:p w14:paraId="33AC7EB3" w14:textId="41596D2E" w:rsidR="00E476B8" w:rsidRPr="00A8385F" w:rsidRDefault="0053589A" w:rsidP="00863F16">
      <w:pPr>
        <w:pStyle w:val="LI-BodyTextParaa"/>
        <w:ind w:left="567"/>
      </w:pPr>
      <w:r>
        <w:t>24</w:t>
      </w:r>
      <w:r w:rsidR="00F61A66" w:rsidRPr="006D6079">
        <w:t>.</w:t>
      </w:r>
      <w:r w:rsidR="00F61A66" w:rsidRPr="006D6079">
        <w:tab/>
      </w:r>
      <w:r w:rsidR="00863F16" w:rsidRPr="00863F16">
        <w:t>ASIC considers that five years is the appropriate duration for the Instrument</w:t>
      </w:r>
      <w:r w:rsidR="00E476B8" w:rsidRPr="00FA7949">
        <w:rPr>
          <w:rStyle w:val="normaltextrun"/>
          <w:shd w:val="clear" w:color="auto" w:fill="FFFFFF"/>
        </w:rPr>
        <w:t>.</w:t>
      </w:r>
      <w:r w:rsidR="00E476B8" w:rsidRPr="00FA7949">
        <w:rPr>
          <w:rStyle w:val="eop"/>
          <w:shd w:val="clear" w:color="auto" w:fill="FFFFFF"/>
        </w:rPr>
        <w:t> </w:t>
      </w:r>
    </w:p>
    <w:bookmarkEnd w:id="3"/>
    <w:p w14:paraId="7B8573D6" w14:textId="77777777" w:rsidR="00F03BB5" w:rsidRPr="00AF6762" w:rsidRDefault="00474B52" w:rsidP="00E547AC">
      <w:pPr>
        <w:pStyle w:val="LI-BodyTextNumbered"/>
        <w:keepNext/>
        <w:ind w:left="0" w:firstLine="0"/>
        <w:rPr>
          <w:b/>
        </w:rPr>
      </w:pPr>
      <w:r w:rsidRPr="00AF6762">
        <w:rPr>
          <w:b/>
        </w:rPr>
        <w:t>Legislative authority</w:t>
      </w:r>
    </w:p>
    <w:p w14:paraId="50B6169B" w14:textId="5136A267" w:rsidR="002D56FE" w:rsidRPr="00B879D9" w:rsidRDefault="0053589A" w:rsidP="00E547AC">
      <w:pPr>
        <w:spacing w:before="240" w:line="240" w:lineRule="auto"/>
        <w:ind w:left="567" w:hanging="567"/>
        <w:rPr>
          <w:sz w:val="24"/>
          <w:szCs w:val="24"/>
        </w:rPr>
      </w:pPr>
      <w:r>
        <w:rPr>
          <w:bCs/>
          <w:sz w:val="24"/>
          <w:szCs w:val="24"/>
        </w:rPr>
        <w:t>25</w:t>
      </w:r>
      <w:r w:rsidR="0051289C" w:rsidRPr="00AF6762">
        <w:rPr>
          <w:bCs/>
          <w:sz w:val="24"/>
          <w:szCs w:val="24"/>
        </w:rPr>
        <w:t xml:space="preserve">. </w:t>
      </w:r>
      <w:r w:rsidR="00E547AC">
        <w:rPr>
          <w:bCs/>
          <w:sz w:val="24"/>
          <w:szCs w:val="24"/>
        </w:rPr>
        <w:tab/>
      </w:r>
      <w:r w:rsidR="002D56FE" w:rsidRPr="00AF6762">
        <w:rPr>
          <w:sz w:val="24"/>
          <w:szCs w:val="24"/>
        </w:rPr>
        <w:t>The sources of power to make the Instrument are subsections 601QA(1), 655A(1), 673(1), 741(1), 926A(2), 951B(1), 992B(1) and 1020F(1) of the</w:t>
      </w:r>
      <w:r w:rsidR="00435EF2">
        <w:rPr>
          <w:sz w:val="24"/>
          <w:szCs w:val="24"/>
        </w:rPr>
        <w:t xml:space="preserve"> Act</w:t>
      </w:r>
      <w:r w:rsidR="002D56FE" w:rsidRPr="00AF6762">
        <w:rPr>
          <w:i/>
          <w:iCs/>
          <w:sz w:val="24"/>
          <w:szCs w:val="24"/>
        </w:rPr>
        <w:t>.</w:t>
      </w:r>
      <w:r w:rsidR="00435EF2">
        <w:rPr>
          <w:i/>
          <w:iCs/>
          <w:sz w:val="24"/>
          <w:szCs w:val="24"/>
        </w:rPr>
        <w:t xml:space="preserve"> </w:t>
      </w:r>
    </w:p>
    <w:p w14:paraId="5F296022" w14:textId="1D57595F" w:rsidR="0051289C" w:rsidRPr="002D56FE" w:rsidRDefault="0053589A" w:rsidP="00E547AC">
      <w:pPr>
        <w:pStyle w:val="LI-BodyTextParaa"/>
        <w:ind w:left="567"/>
      </w:pPr>
      <w:r>
        <w:t>26</w:t>
      </w:r>
      <w:r w:rsidR="0051289C" w:rsidRPr="00AF6762">
        <w:t>.</w:t>
      </w:r>
      <w:r w:rsidR="0051289C" w:rsidRPr="00AF6762">
        <w:tab/>
        <w:t>The Instrument</w:t>
      </w:r>
      <w:r w:rsidR="00435EF2">
        <w:t xml:space="preserve"> </w:t>
      </w:r>
      <w:r>
        <w:t xml:space="preserve">is a </w:t>
      </w:r>
      <w:r w:rsidR="0051289C" w:rsidRPr="00AF6762">
        <w:t>disallowable legislative instrument</w:t>
      </w:r>
      <w:r w:rsidR="004E3D88" w:rsidRPr="00AF6762">
        <w:t>.</w:t>
      </w:r>
    </w:p>
    <w:p w14:paraId="1AE94FE9" w14:textId="284FE404" w:rsidR="002A6867" w:rsidRDefault="00454727" w:rsidP="00E547AC">
      <w:pPr>
        <w:pStyle w:val="BodyText"/>
        <w:spacing w:before="240"/>
        <w:rPr>
          <w:szCs w:val="24"/>
        </w:rPr>
      </w:pPr>
      <w:r w:rsidRPr="002D56FE">
        <w:rPr>
          <w:szCs w:val="24"/>
        </w:rPr>
        <w:t xml:space="preserve"> </w:t>
      </w:r>
    </w:p>
    <w:p w14:paraId="1BEB46C5" w14:textId="77777777" w:rsidR="002A6867" w:rsidRDefault="002A6867">
      <w:pPr>
        <w:spacing w:line="240" w:lineRule="auto"/>
        <w:rPr>
          <w:rFonts w:eastAsia="Times New Roman"/>
          <w:color w:val="000000"/>
          <w:sz w:val="24"/>
          <w:szCs w:val="24"/>
        </w:rPr>
      </w:pPr>
      <w:r>
        <w:rPr>
          <w:szCs w:val="24"/>
        </w:rPr>
        <w:br w:type="page"/>
      </w:r>
    </w:p>
    <w:p w14:paraId="4162DC71" w14:textId="77777777" w:rsidR="00EA17A6" w:rsidRPr="00EA17A6" w:rsidRDefault="00EA17A6" w:rsidP="00E476B8">
      <w:pPr>
        <w:pStyle w:val="LI-BodyTextNumbered"/>
        <w:keepNext/>
        <w:spacing w:after="240"/>
        <w:ind w:left="0" w:firstLine="0"/>
        <w:rPr>
          <w:b/>
        </w:rPr>
      </w:pPr>
      <w:r w:rsidRPr="00EA17A6">
        <w:rPr>
          <w:b/>
        </w:rPr>
        <w:lastRenderedPageBreak/>
        <w:t xml:space="preserve">Statement of Compatibility with Human Rights  </w:t>
      </w:r>
    </w:p>
    <w:p w14:paraId="08AFC1C8" w14:textId="77777777" w:rsidR="00E476B8" w:rsidRPr="008D4774" w:rsidRDefault="00E476B8" w:rsidP="00E476B8">
      <w:pPr>
        <w:pStyle w:val="LI-BodyTextParaa"/>
        <w:spacing w:before="0"/>
        <w:ind w:left="567"/>
      </w:pPr>
      <w:r w:rsidRPr="008D4774">
        <w:t xml:space="preserve">This Statement of Compatibility with Human Rights is prepared in accordance with </w:t>
      </w:r>
    </w:p>
    <w:p w14:paraId="59A9CA41" w14:textId="77777777" w:rsidR="00E476B8" w:rsidRDefault="00E476B8" w:rsidP="00E476B8">
      <w:pPr>
        <w:pStyle w:val="LI-BodyTextParaa"/>
        <w:spacing w:before="0"/>
        <w:ind w:left="567"/>
      </w:pPr>
      <w:r w:rsidRPr="008D4774">
        <w:t xml:space="preserve">Part 3 of the </w:t>
      </w:r>
      <w:r w:rsidRPr="008D4774">
        <w:rPr>
          <w:i/>
          <w:iCs/>
        </w:rPr>
        <w:t>Human Rights (Parliamentary Scrutiny) Act 2011</w:t>
      </w:r>
      <w:r w:rsidRPr="008D4774">
        <w:t xml:space="preserve">. </w:t>
      </w:r>
    </w:p>
    <w:p w14:paraId="7B2A01F4" w14:textId="1708CC06" w:rsidR="00AF6762" w:rsidRPr="00650D60" w:rsidRDefault="00AF6762" w:rsidP="00DE1062">
      <w:pPr>
        <w:pStyle w:val="LI-BodyTextParaa"/>
        <w:ind w:left="0" w:firstLine="0"/>
        <w:rPr>
          <w:b/>
          <w:bCs/>
        </w:rPr>
      </w:pPr>
      <w:r w:rsidRPr="00AF6762">
        <w:rPr>
          <w:b/>
          <w:bCs/>
          <w:i/>
          <w:iCs/>
        </w:rPr>
        <w:t xml:space="preserve">ASIC Corporations (Investor Directed Portfolio Services) Instrument </w:t>
      </w:r>
      <w:r w:rsidRPr="00650D60">
        <w:rPr>
          <w:b/>
          <w:bCs/>
          <w:i/>
          <w:iCs/>
        </w:rPr>
        <w:t>2023/</w:t>
      </w:r>
      <w:r w:rsidR="007444B6" w:rsidRPr="00650D60">
        <w:rPr>
          <w:b/>
          <w:bCs/>
          <w:i/>
          <w:iCs/>
        </w:rPr>
        <w:t>669</w:t>
      </w:r>
      <w:r w:rsidR="00FD53D3" w:rsidRPr="00650D60">
        <w:rPr>
          <w:b/>
          <w:bCs/>
          <w:i/>
          <w:iCs/>
        </w:rPr>
        <w:t xml:space="preserve"> (the Instrument)</w:t>
      </w:r>
    </w:p>
    <w:p w14:paraId="461FC6EE" w14:textId="77777777" w:rsidR="00E476B8" w:rsidRPr="008D4774" w:rsidRDefault="00E476B8" w:rsidP="00E547AC">
      <w:pPr>
        <w:pStyle w:val="LI-BodyTextParaa"/>
        <w:spacing w:after="240"/>
        <w:ind w:left="567"/>
        <w:rPr>
          <w:u w:val="single"/>
        </w:rPr>
      </w:pPr>
      <w:r w:rsidRPr="00650D60">
        <w:rPr>
          <w:u w:val="single"/>
        </w:rPr>
        <w:t>Overview</w:t>
      </w:r>
    </w:p>
    <w:p w14:paraId="7CB83021" w14:textId="5420C3C6" w:rsidR="00DD0DD8" w:rsidRPr="00742A98" w:rsidRDefault="00E476B8" w:rsidP="007500AB">
      <w:pPr>
        <w:spacing w:before="240" w:after="240" w:line="240" w:lineRule="auto"/>
        <w:ind w:left="567" w:hanging="567"/>
        <w:rPr>
          <w:bCs/>
          <w:sz w:val="24"/>
          <w:szCs w:val="24"/>
        </w:rPr>
      </w:pPr>
      <w:r w:rsidRPr="008D4774">
        <w:rPr>
          <w:sz w:val="24"/>
          <w:szCs w:val="24"/>
        </w:rPr>
        <w:t>1.</w:t>
      </w:r>
      <w:r>
        <w:rPr>
          <w:i/>
          <w:iCs/>
          <w:sz w:val="24"/>
          <w:szCs w:val="24"/>
        </w:rPr>
        <w:t xml:space="preserve"> </w:t>
      </w:r>
      <w:r w:rsidR="00E547AC">
        <w:rPr>
          <w:i/>
          <w:iCs/>
          <w:sz w:val="24"/>
          <w:szCs w:val="24"/>
        </w:rPr>
        <w:tab/>
      </w:r>
      <w:r w:rsidR="00D629AA" w:rsidRPr="00807F1C">
        <w:rPr>
          <w:bCs/>
          <w:i/>
          <w:iCs/>
          <w:sz w:val="24"/>
          <w:szCs w:val="24"/>
        </w:rPr>
        <w:t>ASIC Corporations (Investor Directed Portfolio Services) Instrument 2023/</w:t>
      </w:r>
      <w:r w:rsidR="007444B6">
        <w:rPr>
          <w:bCs/>
          <w:i/>
          <w:iCs/>
          <w:sz w:val="24"/>
          <w:szCs w:val="24"/>
        </w:rPr>
        <w:t>669</w:t>
      </w:r>
      <w:r w:rsidR="00B54E1B" w:rsidRPr="00B54E1B">
        <w:rPr>
          <w:bCs/>
          <w:sz w:val="24"/>
          <w:szCs w:val="24"/>
        </w:rPr>
        <w:t xml:space="preserve"> maintains the relief previously given under </w:t>
      </w:r>
      <w:r w:rsidR="00B54E1B" w:rsidRPr="000B538A">
        <w:rPr>
          <w:bCs/>
          <w:sz w:val="24"/>
          <w:szCs w:val="24"/>
        </w:rPr>
        <w:t>ASIC Class Order [CO 13/763] -</w:t>
      </w:r>
      <w:r w:rsidR="00B54E1B" w:rsidRPr="00807F1C">
        <w:rPr>
          <w:bCs/>
          <w:i/>
          <w:iCs/>
          <w:sz w:val="24"/>
          <w:szCs w:val="24"/>
        </w:rPr>
        <w:t xml:space="preserve"> Investor directed portfolio services </w:t>
      </w:r>
      <w:r w:rsidR="00B54E1B" w:rsidRPr="00DE1062">
        <w:rPr>
          <w:bCs/>
          <w:sz w:val="24"/>
          <w:szCs w:val="24"/>
        </w:rPr>
        <w:t>([</w:t>
      </w:r>
      <w:hyperlink r:id="rId20" w:history="1">
        <w:r w:rsidR="00B54E1B" w:rsidRPr="00DE1062">
          <w:rPr>
            <w:rStyle w:val="Hyperlink"/>
            <w:bCs/>
            <w:sz w:val="24"/>
            <w:szCs w:val="24"/>
          </w:rPr>
          <w:t>CO 13/763</w:t>
        </w:r>
      </w:hyperlink>
      <w:r w:rsidR="00B54E1B" w:rsidRPr="00DE1062">
        <w:rPr>
          <w:bCs/>
          <w:sz w:val="24"/>
          <w:szCs w:val="24"/>
        </w:rPr>
        <w:t>])</w:t>
      </w:r>
      <w:r w:rsidR="00B54E1B" w:rsidRPr="00B54E1B">
        <w:rPr>
          <w:bCs/>
          <w:sz w:val="24"/>
          <w:szCs w:val="24"/>
        </w:rPr>
        <w:t xml:space="preserve"> and establishes the regulatory framework for </w:t>
      </w:r>
      <w:r w:rsidR="00913A3B">
        <w:rPr>
          <w:bCs/>
          <w:sz w:val="24"/>
          <w:szCs w:val="24"/>
        </w:rPr>
        <w:t>i</w:t>
      </w:r>
      <w:r w:rsidR="00B54E1B" w:rsidRPr="00B54E1B">
        <w:rPr>
          <w:bCs/>
          <w:sz w:val="24"/>
          <w:szCs w:val="24"/>
        </w:rPr>
        <w:t xml:space="preserve">nvestor </w:t>
      </w:r>
      <w:r w:rsidR="00913A3B">
        <w:rPr>
          <w:bCs/>
          <w:sz w:val="24"/>
          <w:szCs w:val="24"/>
        </w:rPr>
        <w:t>d</w:t>
      </w:r>
      <w:r w:rsidR="00B54E1B" w:rsidRPr="00B54E1B">
        <w:rPr>
          <w:bCs/>
          <w:sz w:val="24"/>
          <w:szCs w:val="24"/>
        </w:rPr>
        <w:t xml:space="preserve">irected </w:t>
      </w:r>
      <w:r w:rsidR="00913A3B">
        <w:rPr>
          <w:bCs/>
          <w:sz w:val="24"/>
          <w:szCs w:val="24"/>
        </w:rPr>
        <w:t>p</w:t>
      </w:r>
      <w:r w:rsidR="00B54E1B" w:rsidRPr="00B54E1B">
        <w:rPr>
          <w:bCs/>
          <w:sz w:val="24"/>
          <w:szCs w:val="24"/>
        </w:rPr>
        <w:t xml:space="preserve">ortfolio </w:t>
      </w:r>
      <w:r w:rsidR="00913A3B">
        <w:rPr>
          <w:bCs/>
          <w:sz w:val="24"/>
          <w:szCs w:val="24"/>
        </w:rPr>
        <w:t>s</w:t>
      </w:r>
      <w:r w:rsidR="00B54E1B" w:rsidRPr="00B54E1B">
        <w:rPr>
          <w:bCs/>
          <w:sz w:val="24"/>
          <w:szCs w:val="24"/>
        </w:rPr>
        <w:t>ervices</w:t>
      </w:r>
      <w:r w:rsidR="00B54E1B" w:rsidRPr="00B54E1B">
        <w:rPr>
          <w:bCs/>
          <w:i/>
          <w:iCs/>
          <w:sz w:val="24"/>
          <w:szCs w:val="24"/>
        </w:rPr>
        <w:t>.</w:t>
      </w:r>
    </w:p>
    <w:p w14:paraId="6C8ACFFD" w14:textId="77777777" w:rsidR="00E476B8" w:rsidRPr="008D4774" w:rsidRDefault="00E476B8" w:rsidP="00E547AC">
      <w:pPr>
        <w:pStyle w:val="LI-BodyTextParaa"/>
        <w:ind w:left="567"/>
        <w:rPr>
          <w:u w:val="single"/>
        </w:rPr>
      </w:pPr>
      <w:r w:rsidRPr="008D4774">
        <w:rPr>
          <w:u w:val="single"/>
        </w:rPr>
        <w:t>Assessment of human rights implications</w:t>
      </w:r>
    </w:p>
    <w:p w14:paraId="245A0D14" w14:textId="775B846A" w:rsidR="00E476B8" w:rsidRPr="008D4774" w:rsidRDefault="0053589A" w:rsidP="00E547AC">
      <w:pPr>
        <w:pStyle w:val="LI-BodyTextParaa"/>
        <w:ind w:left="567"/>
      </w:pPr>
      <w:r>
        <w:t>2</w:t>
      </w:r>
      <w:r w:rsidR="00E476B8" w:rsidRPr="008D4774">
        <w:t xml:space="preserve">. </w:t>
      </w:r>
      <w:r w:rsidR="00E476B8">
        <w:tab/>
      </w:r>
      <w:r w:rsidR="008F7DDB">
        <w:t xml:space="preserve">The Instrument </w:t>
      </w:r>
      <w:r w:rsidR="008F7DDB" w:rsidRPr="008D4774">
        <w:t>do</w:t>
      </w:r>
      <w:r>
        <w:t>es</w:t>
      </w:r>
      <w:r w:rsidR="008F7DDB">
        <w:t xml:space="preserve"> </w:t>
      </w:r>
      <w:r w:rsidR="008F7DDB" w:rsidRPr="008D4774">
        <w:t>not engage any of the applicable rights or freedoms</w:t>
      </w:r>
      <w:r w:rsidR="008F7DDB">
        <w:t>.</w:t>
      </w:r>
    </w:p>
    <w:p w14:paraId="2DB48EF6" w14:textId="77777777" w:rsidR="00E476B8" w:rsidRPr="008D4774" w:rsidRDefault="00E476B8" w:rsidP="00E547AC">
      <w:pPr>
        <w:pStyle w:val="LI-BodyTextParaa"/>
        <w:ind w:left="567"/>
        <w:rPr>
          <w:u w:val="single"/>
        </w:rPr>
      </w:pPr>
      <w:r w:rsidRPr="008D4774">
        <w:rPr>
          <w:u w:val="single"/>
        </w:rPr>
        <w:t>Conclusion</w:t>
      </w:r>
    </w:p>
    <w:p w14:paraId="02DD2CEB" w14:textId="692D7282" w:rsidR="00CB2D96" w:rsidRPr="00EA17A6" w:rsidRDefault="0053589A" w:rsidP="00E547AC">
      <w:pPr>
        <w:pStyle w:val="LI-BodyTextParaa"/>
        <w:ind w:left="567"/>
      </w:pPr>
      <w:r>
        <w:t>3</w:t>
      </w:r>
      <w:r w:rsidR="00E476B8" w:rsidRPr="008D4774">
        <w:t xml:space="preserve">. </w:t>
      </w:r>
      <w:r w:rsidR="00E476B8">
        <w:tab/>
      </w:r>
      <w:r w:rsidR="00C72DCA">
        <w:t xml:space="preserve">The Instrument </w:t>
      </w:r>
      <w:r>
        <w:t xml:space="preserve">is </w:t>
      </w:r>
      <w:r w:rsidR="00C72DCA" w:rsidRPr="008D4774">
        <w:t xml:space="preserve">compatible with the human rights and freedoms recognised or declared in the international instruments listed in section 3 of the </w:t>
      </w:r>
      <w:r w:rsidR="00C72DCA" w:rsidRPr="008D4774">
        <w:rPr>
          <w:i/>
          <w:iCs/>
        </w:rPr>
        <w:t>Human Rights (Parliamentary Scrutiny) Act 2011</w:t>
      </w:r>
      <w:r w:rsidR="00C72DCA">
        <w:t>.</w:t>
      </w:r>
    </w:p>
    <w:p w14:paraId="7A10D3A9" w14:textId="77777777" w:rsidR="00CB2D96" w:rsidRPr="00EA17A6" w:rsidRDefault="00CB2D96" w:rsidP="00D306F8">
      <w:pPr>
        <w:pStyle w:val="LI-BodyTextNumbered"/>
        <w:ind w:left="567"/>
      </w:pPr>
    </w:p>
    <w:sectPr w:rsidR="00CB2D96" w:rsidRPr="00EA17A6" w:rsidSect="00863657">
      <w:headerReference w:type="even" r:id="rId21"/>
      <w:headerReference w:type="default" r:id="rId22"/>
      <w:footerReference w:type="default" r:id="rId23"/>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2792" w14:textId="77777777" w:rsidR="00725066" w:rsidRDefault="00725066" w:rsidP="00715914">
      <w:pPr>
        <w:spacing w:line="240" w:lineRule="auto"/>
      </w:pPr>
      <w:r>
        <w:separator/>
      </w:r>
    </w:p>
  </w:endnote>
  <w:endnote w:type="continuationSeparator" w:id="0">
    <w:p w14:paraId="70219032" w14:textId="77777777" w:rsidR="00725066" w:rsidRDefault="00725066" w:rsidP="00715914">
      <w:pPr>
        <w:spacing w:line="240" w:lineRule="auto"/>
      </w:pPr>
      <w:r>
        <w:continuationSeparator/>
      </w:r>
    </w:p>
  </w:endnote>
  <w:endnote w:type="continuationNotice" w:id="1">
    <w:p w14:paraId="3B867984" w14:textId="77777777" w:rsidR="00725066" w:rsidRDefault="007250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B629"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3FCE0236"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41AA2" w14:textId="77777777" w:rsidR="00725066" w:rsidRDefault="00725066" w:rsidP="00715914">
      <w:pPr>
        <w:spacing w:line="240" w:lineRule="auto"/>
      </w:pPr>
      <w:r>
        <w:separator/>
      </w:r>
    </w:p>
  </w:footnote>
  <w:footnote w:type="continuationSeparator" w:id="0">
    <w:p w14:paraId="6845DD51" w14:textId="77777777" w:rsidR="00725066" w:rsidRDefault="00725066" w:rsidP="00715914">
      <w:pPr>
        <w:spacing w:line="240" w:lineRule="auto"/>
      </w:pPr>
      <w:r>
        <w:continuationSeparator/>
      </w:r>
    </w:p>
  </w:footnote>
  <w:footnote w:type="continuationNotice" w:id="1">
    <w:p w14:paraId="7F6EA85A" w14:textId="77777777" w:rsidR="00725066" w:rsidRDefault="0072506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36E0"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734F5CC5" w14:textId="77777777" w:rsidTr="001E77ED">
      <w:tc>
        <w:tcPr>
          <w:tcW w:w="4253" w:type="dxa"/>
          <w:shd w:val="clear" w:color="auto" w:fill="auto"/>
        </w:tcPr>
        <w:p w14:paraId="1EE62C31" w14:textId="77777777" w:rsidR="00F4215A" w:rsidRDefault="00F4215A" w:rsidP="00E40FF8">
          <w:pPr>
            <w:pStyle w:val="LI-Header"/>
            <w:pBdr>
              <w:bottom w:val="none" w:sz="0" w:space="0" w:color="auto"/>
            </w:pBdr>
            <w:jc w:val="left"/>
          </w:pPr>
        </w:p>
      </w:tc>
      <w:tc>
        <w:tcPr>
          <w:tcW w:w="4060" w:type="dxa"/>
          <w:shd w:val="clear" w:color="auto" w:fill="auto"/>
        </w:tcPr>
        <w:p w14:paraId="7F3A1BF4" w14:textId="77777777" w:rsidR="00F4215A" w:rsidRDefault="00F4215A" w:rsidP="00F03BB5">
          <w:pPr>
            <w:pStyle w:val="LI-BodyTextNumbered"/>
          </w:pPr>
        </w:p>
      </w:tc>
    </w:tr>
  </w:tbl>
  <w:p w14:paraId="46A6D898"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B94ABB"/>
    <w:multiLevelType w:val="hybridMultilevel"/>
    <w:tmpl w:val="68CAAD16"/>
    <w:lvl w:ilvl="0" w:tplc="E56856FC">
      <w:start w:val="1"/>
      <w:numFmt w:val="lowerLetter"/>
      <w:lvlText w:val="(%1)"/>
      <w:lvlJc w:val="left"/>
      <w:pPr>
        <w:ind w:left="927" w:hanging="360"/>
      </w:pPr>
      <w:rPr>
        <w:rFonts w:hint="default"/>
      </w:rPr>
    </w:lvl>
    <w:lvl w:ilvl="1" w:tplc="695C5B76" w:tentative="1">
      <w:start w:val="1"/>
      <w:numFmt w:val="lowerLetter"/>
      <w:lvlText w:val="%2."/>
      <w:lvlJc w:val="left"/>
      <w:pPr>
        <w:ind w:left="1647" w:hanging="360"/>
      </w:pPr>
    </w:lvl>
    <w:lvl w:ilvl="2" w:tplc="369EAAE2" w:tentative="1">
      <w:start w:val="1"/>
      <w:numFmt w:val="lowerRoman"/>
      <w:lvlText w:val="%3."/>
      <w:lvlJc w:val="right"/>
      <w:pPr>
        <w:ind w:left="2367" w:hanging="180"/>
      </w:pPr>
    </w:lvl>
    <w:lvl w:ilvl="3" w:tplc="204C713E" w:tentative="1">
      <w:start w:val="1"/>
      <w:numFmt w:val="decimal"/>
      <w:lvlText w:val="%4."/>
      <w:lvlJc w:val="left"/>
      <w:pPr>
        <w:ind w:left="3087" w:hanging="360"/>
      </w:pPr>
    </w:lvl>
    <w:lvl w:ilvl="4" w:tplc="B5D2DF4E" w:tentative="1">
      <w:start w:val="1"/>
      <w:numFmt w:val="lowerLetter"/>
      <w:lvlText w:val="%5."/>
      <w:lvlJc w:val="left"/>
      <w:pPr>
        <w:ind w:left="3807" w:hanging="360"/>
      </w:pPr>
    </w:lvl>
    <w:lvl w:ilvl="5" w:tplc="3DC64154" w:tentative="1">
      <w:start w:val="1"/>
      <w:numFmt w:val="lowerRoman"/>
      <w:lvlText w:val="%6."/>
      <w:lvlJc w:val="right"/>
      <w:pPr>
        <w:ind w:left="4527" w:hanging="180"/>
      </w:pPr>
    </w:lvl>
    <w:lvl w:ilvl="6" w:tplc="7E807572" w:tentative="1">
      <w:start w:val="1"/>
      <w:numFmt w:val="decimal"/>
      <w:lvlText w:val="%7."/>
      <w:lvlJc w:val="left"/>
      <w:pPr>
        <w:ind w:left="5247" w:hanging="360"/>
      </w:pPr>
    </w:lvl>
    <w:lvl w:ilvl="7" w:tplc="F078AFDC" w:tentative="1">
      <w:start w:val="1"/>
      <w:numFmt w:val="lowerLetter"/>
      <w:lvlText w:val="%8."/>
      <w:lvlJc w:val="left"/>
      <w:pPr>
        <w:ind w:left="5967" w:hanging="360"/>
      </w:pPr>
    </w:lvl>
    <w:lvl w:ilvl="8" w:tplc="F6A4B396" w:tentative="1">
      <w:start w:val="1"/>
      <w:numFmt w:val="lowerRoman"/>
      <w:lvlText w:val="%9."/>
      <w:lvlJc w:val="right"/>
      <w:pPr>
        <w:ind w:left="6687" w:hanging="180"/>
      </w:pPr>
    </w:lvl>
  </w:abstractNum>
  <w:num w:numId="1" w16cid:durableId="1387532876">
    <w:abstractNumId w:val="9"/>
  </w:num>
  <w:num w:numId="2" w16cid:durableId="629945833">
    <w:abstractNumId w:val="7"/>
  </w:num>
  <w:num w:numId="3" w16cid:durableId="1757435162">
    <w:abstractNumId w:val="6"/>
  </w:num>
  <w:num w:numId="4" w16cid:durableId="303898775">
    <w:abstractNumId w:val="5"/>
  </w:num>
  <w:num w:numId="5" w16cid:durableId="2137328585">
    <w:abstractNumId w:val="4"/>
  </w:num>
  <w:num w:numId="6" w16cid:durableId="1204514039">
    <w:abstractNumId w:val="8"/>
  </w:num>
  <w:num w:numId="7" w16cid:durableId="92560138">
    <w:abstractNumId w:val="3"/>
  </w:num>
  <w:num w:numId="8" w16cid:durableId="1483229939">
    <w:abstractNumId w:val="2"/>
  </w:num>
  <w:num w:numId="9" w16cid:durableId="437408323">
    <w:abstractNumId w:val="1"/>
  </w:num>
  <w:num w:numId="10" w16cid:durableId="183791328">
    <w:abstractNumId w:val="0"/>
  </w:num>
  <w:num w:numId="11" w16cid:durableId="1138649016">
    <w:abstractNumId w:val="12"/>
  </w:num>
  <w:num w:numId="12" w16cid:durableId="1245915395">
    <w:abstractNumId w:val="10"/>
  </w:num>
  <w:num w:numId="13" w16cid:durableId="168063243">
    <w:abstractNumId w:val="11"/>
  </w:num>
  <w:num w:numId="14" w16cid:durableId="40518854">
    <w:abstractNumId w:val="13"/>
  </w:num>
  <w:num w:numId="15" w16cid:durableId="8492978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1E16"/>
    <w:rsid w:val="00004470"/>
    <w:rsid w:val="00005446"/>
    <w:rsid w:val="000128BF"/>
    <w:rsid w:val="000136AF"/>
    <w:rsid w:val="00013B8D"/>
    <w:rsid w:val="00015719"/>
    <w:rsid w:val="000231A5"/>
    <w:rsid w:val="000235FD"/>
    <w:rsid w:val="00023D53"/>
    <w:rsid w:val="0002658E"/>
    <w:rsid w:val="00041968"/>
    <w:rsid w:val="000437C1"/>
    <w:rsid w:val="0005365D"/>
    <w:rsid w:val="000602DB"/>
    <w:rsid w:val="000614BF"/>
    <w:rsid w:val="00061B8D"/>
    <w:rsid w:val="0006250C"/>
    <w:rsid w:val="00064C04"/>
    <w:rsid w:val="00065BCA"/>
    <w:rsid w:val="000720B2"/>
    <w:rsid w:val="000743B3"/>
    <w:rsid w:val="00075BCE"/>
    <w:rsid w:val="00080284"/>
    <w:rsid w:val="00081794"/>
    <w:rsid w:val="00083D8B"/>
    <w:rsid w:val="00084FF4"/>
    <w:rsid w:val="00091A04"/>
    <w:rsid w:val="000962BF"/>
    <w:rsid w:val="000A142F"/>
    <w:rsid w:val="000A57CE"/>
    <w:rsid w:val="000A6C39"/>
    <w:rsid w:val="000B3BF7"/>
    <w:rsid w:val="000B538A"/>
    <w:rsid w:val="000B58FA"/>
    <w:rsid w:val="000B59C6"/>
    <w:rsid w:val="000C1C3D"/>
    <w:rsid w:val="000C4FE8"/>
    <w:rsid w:val="000C55A0"/>
    <w:rsid w:val="000D041F"/>
    <w:rsid w:val="000D05EF"/>
    <w:rsid w:val="000D1122"/>
    <w:rsid w:val="000D1F8C"/>
    <w:rsid w:val="000E2261"/>
    <w:rsid w:val="000E3B2E"/>
    <w:rsid w:val="000E3C2E"/>
    <w:rsid w:val="000F041D"/>
    <w:rsid w:val="000F11CB"/>
    <w:rsid w:val="000F21C1"/>
    <w:rsid w:val="00102CA6"/>
    <w:rsid w:val="0010745C"/>
    <w:rsid w:val="001206A4"/>
    <w:rsid w:val="00125141"/>
    <w:rsid w:val="00130D16"/>
    <w:rsid w:val="00132CEB"/>
    <w:rsid w:val="00133F8A"/>
    <w:rsid w:val="00142B62"/>
    <w:rsid w:val="001435E2"/>
    <w:rsid w:val="00151750"/>
    <w:rsid w:val="00153B32"/>
    <w:rsid w:val="0015633E"/>
    <w:rsid w:val="00157B8B"/>
    <w:rsid w:val="001624E1"/>
    <w:rsid w:val="00166084"/>
    <w:rsid w:val="00166B0C"/>
    <w:rsid w:val="00166C2F"/>
    <w:rsid w:val="00171A6E"/>
    <w:rsid w:val="0017779C"/>
    <w:rsid w:val="001809D7"/>
    <w:rsid w:val="001863C3"/>
    <w:rsid w:val="0018659E"/>
    <w:rsid w:val="001870A1"/>
    <w:rsid w:val="001872DC"/>
    <w:rsid w:val="00190C91"/>
    <w:rsid w:val="001939E1"/>
    <w:rsid w:val="00194C3E"/>
    <w:rsid w:val="00195382"/>
    <w:rsid w:val="00195BD4"/>
    <w:rsid w:val="0019625E"/>
    <w:rsid w:val="001A5FCD"/>
    <w:rsid w:val="001C61C5"/>
    <w:rsid w:val="001C68B2"/>
    <w:rsid w:val="001C69C4"/>
    <w:rsid w:val="001D37EF"/>
    <w:rsid w:val="001D3D99"/>
    <w:rsid w:val="001E3590"/>
    <w:rsid w:val="001E6442"/>
    <w:rsid w:val="001E7407"/>
    <w:rsid w:val="001E77ED"/>
    <w:rsid w:val="001E7E2B"/>
    <w:rsid w:val="001F02B1"/>
    <w:rsid w:val="001F5D5E"/>
    <w:rsid w:val="001F6219"/>
    <w:rsid w:val="001F6CD4"/>
    <w:rsid w:val="001F7C31"/>
    <w:rsid w:val="00206C4D"/>
    <w:rsid w:val="0021053C"/>
    <w:rsid w:val="00215AF1"/>
    <w:rsid w:val="0022087F"/>
    <w:rsid w:val="00220A36"/>
    <w:rsid w:val="00223DCF"/>
    <w:rsid w:val="00224B86"/>
    <w:rsid w:val="00225B12"/>
    <w:rsid w:val="00226BE3"/>
    <w:rsid w:val="002321E8"/>
    <w:rsid w:val="00236EEC"/>
    <w:rsid w:val="0024010F"/>
    <w:rsid w:val="00240749"/>
    <w:rsid w:val="002412B3"/>
    <w:rsid w:val="00243018"/>
    <w:rsid w:val="00243EC0"/>
    <w:rsid w:val="00244742"/>
    <w:rsid w:val="002564A4"/>
    <w:rsid w:val="0026736C"/>
    <w:rsid w:val="002728C0"/>
    <w:rsid w:val="00281308"/>
    <w:rsid w:val="00281813"/>
    <w:rsid w:val="00284719"/>
    <w:rsid w:val="00297ECB"/>
    <w:rsid w:val="002A2005"/>
    <w:rsid w:val="002A20DE"/>
    <w:rsid w:val="002A6867"/>
    <w:rsid w:val="002A7328"/>
    <w:rsid w:val="002A7BCF"/>
    <w:rsid w:val="002B19F3"/>
    <w:rsid w:val="002B1A91"/>
    <w:rsid w:val="002B208C"/>
    <w:rsid w:val="002B4A0D"/>
    <w:rsid w:val="002C702C"/>
    <w:rsid w:val="002C7B6F"/>
    <w:rsid w:val="002D043A"/>
    <w:rsid w:val="002D0A8D"/>
    <w:rsid w:val="002D3FE5"/>
    <w:rsid w:val="002D56FE"/>
    <w:rsid w:val="002D6224"/>
    <w:rsid w:val="002D70EF"/>
    <w:rsid w:val="002D791C"/>
    <w:rsid w:val="002D7EF5"/>
    <w:rsid w:val="002E1138"/>
    <w:rsid w:val="002E3F4B"/>
    <w:rsid w:val="002F19E8"/>
    <w:rsid w:val="00300B0E"/>
    <w:rsid w:val="00304F8B"/>
    <w:rsid w:val="00312FE9"/>
    <w:rsid w:val="00317573"/>
    <w:rsid w:val="00320E29"/>
    <w:rsid w:val="00327DDF"/>
    <w:rsid w:val="0033227C"/>
    <w:rsid w:val="0033278C"/>
    <w:rsid w:val="003354D2"/>
    <w:rsid w:val="00335BC6"/>
    <w:rsid w:val="003415D3"/>
    <w:rsid w:val="003428BF"/>
    <w:rsid w:val="00344701"/>
    <w:rsid w:val="003528DA"/>
    <w:rsid w:val="00352B0F"/>
    <w:rsid w:val="00356690"/>
    <w:rsid w:val="00357DD0"/>
    <w:rsid w:val="00360459"/>
    <w:rsid w:val="00365497"/>
    <w:rsid w:val="003748AB"/>
    <w:rsid w:val="00375403"/>
    <w:rsid w:val="003758DE"/>
    <w:rsid w:val="00376C6B"/>
    <w:rsid w:val="00383870"/>
    <w:rsid w:val="00387A96"/>
    <w:rsid w:val="003A2178"/>
    <w:rsid w:val="003A2A48"/>
    <w:rsid w:val="003A6EC0"/>
    <w:rsid w:val="003A73A6"/>
    <w:rsid w:val="003B28C3"/>
    <w:rsid w:val="003B3871"/>
    <w:rsid w:val="003B3F6E"/>
    <w:rsid w:val="003B732F"/>
    <w:rsid w:val="003C6231"/>
    <w:rsid w:val="003D0BFE"/>
    <w:rsid w:val="003D12C7"/>
    <w:rsid w:val="003D5700"/>
    <w:rsid w:val="003D7B29"/>
    <w:rsid w:val="003E0F99"/>
    <w:rsid w:val="003E341B"/>
    <w:rsid w:val="003E34E2"/>
    <w:rsid w:val="003F3EF6"/>
    <w:rsid w:val="003F3EFD"/>
    <w:rsid w:val="0040053F"/>
    <w:rsid w:val="00401C31"/>
    <w:rsid w:val="00401E06"/>
    <w:rsid w:val="00407290"/>
    <w:rsid w:val="00411217"/>
    <w:rsid w:val="004116CD"/>
    <w:rsid w:val="004144EC"/>
    <w:rsid w:val="00416B35"/>
    <w:rsid w:val="00417EB9"/>
    <w:rsid w:val="0042096F"/>
    <w:rsid w:val="00421237"/>
    <w:rsid w:val="00422BF7"/>
    <w:rsid w:val="00424CA9"/>
    <w:rsid w:val="004302DA"/>
    <w:rsid w:val="00431E9B"/>
    <w:rsid w:val="004346A4"/>
    <w:rsid w:val="00435EEF"/>
    <w:rsid w:val="00435EF2"/>
    <w:rsid w:val="004379E3"/>
    <w:rsid w:val="0044015E"/>
    <w:rsid w:val="00440B70"/>
    <w:rsid w:val="004411B3"/>
    <w:rsid w:val="0044291A"/>
    <w:rsid w:val="00444740"/>
    <w:rsid w:val="00444ABD"/>
    <w:rsid w:val="00445277"/>
    <w:rsid w:val="00447DB4"/>
    <w:rsid w:val="0045007F"/>
    <w:rsid w:val="00453F43"/>
    <w:rsid w:val="00454727"/>
    <w:rsid w:val="004565A8"/>
    <w:rsid w:val="00460F1D"/>
    <w:rsid w:val="004654A6"/>
    <w:rsid w:val="00465DC1"/>
    <w:rsid w:val="00467661"/>
    <w:rsid w:val="004705B7"/>
    <w:rsid w:val="0047279B"/>
    <w:rsid w:val="00472DBE"/>
    <w:rsid w:val="00474A19"/>
    <w:rsid w:val="00474B52"/>
    <w:rsid w:val="004806FF"/>
    <w:rsid w:val="00481B2D"/>
    <w:rsid w:val="00481C24"/>
    <w:rsid w:val="004823C0"/>
    <w:rsid w:val="0048276B"/>
    <w:rsid w:val="004832C1"/>
    <w:rsid w:val="00487A7A"/>
    <w:rsid w:val="00495D4D"/>
    <w:rsid w:val="00496B5F"/>
    <w:rsid w:val="00496F97"/>
    <w:rsid w:val="004A44FC"/>
    <w:rsid w:val="004A45C8"/>
    <w:rsid w:val="004B03A8"/>
    <w:rsid w:val="004B5B44"/>
    <w:rsid w:val="004B6C2D"/>
    <w:rsid w:val="004B7217"/>
    <w:rsid w:val="004C1CB1"/>
    <w:rsid w:val="004C53EA"/>
    <w:rsid w:val="004D61F6"/>
    <w:rsid w:val="004D7E7F"/>
    <w:rsid w:val="004E063A"/>
    <w:rsid w:val="004E08BF"/>
    <w:rsid w:val="004E300D"/>
    <w:rsid w:val="004E3D88"/>
    <w:rsid w:val="004E45DC"/>
    <w:rsid w:val="004E7BEC"/>
    <w:rsid w:val="0050044F"/>
    <w:rsid w:val="00500E09"/>
    <w:rsid w:val="00502A87"/>
    <w:rsid w:val="00505D3D"/>
    <w:rsid w:val="00506AF6"/>
    <w:rsid w:val="00507335"/>
    <w:rsid w:val="0051289C"/>
    <w:rsid w:val="00516B8D"/>
    <w:rsid w:val="00517E56"/>
    <w:rsid w:val="00521EBC"/>
    <w:rsid w:val="00532049"/>
    <w:rsid w:val="00532B4B"/>
    <w:rsid w:val="00533033"/>
    <w:rsid w:val="005356A7"/>
    <w:rsid w:val="0053589A"/>
    <w:rsid w:val="00536184"/>
    <w:rsid w:val="00537FBC"/>
    <w:rsid w:val="005574D1"/>
    <w:rsid w:val="00561ABB"/>
    <w:rsid w:val="005657FE"/>
    <w:rsid w:val="00572BB1"/>
    <w:rsid w:val="00572D45"/>
    <w:rsid w:val="0057670F"/>
    <w:rsid w:val="00584811"/>
    <w:rsid w:val="00585784"/>
    <w:rsid w:val="0058581B"/>
    <w:rsid w:val="0059212C"/>
    <w:rsid w:val="00593AA6"/>
    <w:rsid w:val="00594161"/>
    <w:rsid w:val="00594749"/>
    <w:rsid w:val="00594CBC"/>
    <w:rsid w:val="005955E6"/>
    <w:rsid w:val="00597248"/>
    <w:rsid w:val="005A275C"/>
    <w:rsid w:val="005B14B3"/>
    <w:rsid w:val="005B36F6"/>
    <w:rsid w:val="005B4067"/>
    <w:rsid w:val="005B5EC2"/>
    <w:rsid w:val="005B780C"/>
    <w:rsid w:val="005C10A9"/>
    <w:rsid w:val="005C3F41"/>
    <w:rsid w:val="005D0489"/>
    <w:rsid w:val="005D1770"/>
    <w:rsid w:val="005D1FEA"/>
    <w:rsid w:val="005D2D09"/>
    <w:rsid w:val="005D3D41"/>
    <w:rsid w:val="005E4810"/>
    <w:rsid w:val="005E50E2"/>
    <w:rsid w:val="005E6387"/>
    <w:rsid w:val="005F01DD"/>
    <w:rsid w:val="005F1DB6"/>
    <w:rsid w:val="005F4140"/>
    <w:rsid w:val="005F65CD"/>
    <w:rsid w:val="00600219"/>
    <w:rsid w:val="006007A4"/>
    <w:rsid w:val="00601955"/>
    <w:rsid w:val="00603DC4"/>
    <w:rsid w:val="006045C0"/>
    <w:rsid w:val="00606E12"/>
    <w:rsid w:val="00607A71"/>
    <w:rsid w:val="00610709"/>
    <w:rsid w:val="00611372"/>
    <w:rsid w:val="006117CB"/>
    <w:rsid w:val="00615487"/>
    <w:rsid w:val="00620076"/>
    <w:rsid w:val="00626E34"/>
    <w:rsid w:val="00627605"/>
    <w:rsid w:val="00634044"/>
    <w:rsid w:val="00640161"/>
    <w:rsid w:val="00642547"/>
    <w:rsid w:val="00642ADE"/>
    <w:rsid w:val="00644E62"/>
    <w:rsid w:val="00645D2D"/>
    <w:rsid w:val="00650D60"/>
    <w:rsid w:val="00652769"/>
    <w:rsid w:val="0065542F"/>
    <w:rsid w:val="006554FF"/>
    <w:rsid w:val="00663808"/>
    <w:rsid w:val="00670752"/>
    <w:rsid w:val="00670EA1"/>
    <w:rsid w:val="00671033"/>
    <w:rsid w:val="00677CC2"/>
    <w:rsid w:val="00681B22"/>
    <w:rsid w:val="006878EC"/>
    <w:rsid w:val="00687A4F"/>
    <w:rsid w:val="006905DE"/>
    <w:rsid w:val="00691FA5"/>
    <w:rsid w:val="0069207B"/>
    <w:rsid w:val="00693499"/>
    <w:rsid w:val="00693F29"/>
    <w:rsid w:val="006A1258"/>
    <w:rsid w:val="006A12AE"/>
    <w:rsid w:val="006A7FFA"/>
    <w:rsid w:val="006B20C9"/>
    <w:rsid w:val="006B4F85"/>
    <w:rsid w:val="006B569E"/>
    <w:rsid w:val="006B5789"/>
    <w:rsid w:val="006C30C5"/>
    <w:rsid w:val="006C48FA"/>
    <w:rsid w:val="006C495D"/>
    <w:rsid w:val="006C7F8C"/>
    <w:rsid w:val="006D6079"/>
    <w:rsid w:val="006E3B56"/>
    <w:rsid w:val="006E5320"/>
    <w:rsid w:val="006E6246"/>
    <w:rsid w:val="006F318F"/>
    <w:rsid w:val="006F4226"/>
    <w:rsid w:val="0070017E"/>
    <w:rsid w:val="00700B2C"/>
    <w:rsid w:val="00702EFD"/>
    <w:rsid w:val="007050A2"/>
    <w:rsid w:val="007056F8"/>
    <w:rsid w:val="00707FE5"/>
    <w:rsid w:val="00713084"/>
    <w:rsid w:val="0071399B"/>
    <w:rsid w:val="00714F20"/>
    <w:rsid w:val="0071590F"/>
    <w:rsid w:val="00715914"/>
    <w:rsid w:val="00715BD2"/>
    <w:rsid w:val="00716924"/>
    <w:rsid w:val="00725066"/>
    <w:rsid w:val="00730888"/>
    <w:rsid w:val="00731E00"/>
    <w:rsid w:val="00733DF7"/>
    <w:rsid w:val="00741EE8"/>
    <w:rsid w:val="00742A98"/>
    <w:rsid w:val="007440B7"/>
    <w:rsid w:val="007444B6"/>
    <w:rsid w:val="00746958"/>
    <w:rsid w:val="007500AB"/>
    <w:rsid w:val="007500C8"/>
    <w:rsid w:val="00752771"/>
    <w:rsid w:val="0075522B"/>
    <w:rsid w:val="0075615C"/>
    <w:rsid w:val="00756272"/>
    <w:rsid w:val="00764C24"/>
    <w:rsid w:val="00765001"/>
    <w:rsid w:val="007662B5"/>
    <w:rsid w:val="0076681A"/>
    <w:rsid w:val="007715C9"/>
    <w:rsid w:val="00771613"/>
    <w:rsid w:val="00774EDD"/>
    <w:rsid w:val="0077506D"/>
    <w:rsid w:val="007757EC"/>
    <w:rsid w:val="0077767E"/>
    <w:rsid w:val="00781158"/>
    <w:rsid w:val="0078246B"/>
    <w:rsid w:val="00783E89"/>
    <w:rsid w:val="007842CE"/>
    <w:rsid w:val="007844C6"/>
    <w:rsid w:val="00784552"/>
    <w:rsid w:val="00785A9E"/>
    <w:rsid w:val="00793915"/>
    <w:rsid w:val="007B4C4F"/>
    <w:rsid w:val="007B58AB"/>
    <w:rsid w:val="007C06E9"/>
    <w:rsid w:val="007C2253"/>
    <w:rsid w:val="007C2BE3"/>
    <w:rsid w:val="007D230B"/>
    <w:rsid w:val="007D2FD3"/>
    <w:rsid w:val="007D666F"/>
    <w:rsid w:val="007D7633"/>
    <w:rsid w:val="007D7D4D"/>
    <w:rsid w:val="007E163D"/>
    <w:rsid w:val="007E1BE7"/>
    <w:rsid w:val="007E3EBB"/>
    <w:rsid w:val="007E667A"/>
    <w:rsid w:val="007F28C9"/>
    <w:rsid w:val="007F422E"/>
    <w:rsid w:val="0080312D"/>
    <w:rsid w:val="00803587"/>
    <w:rsid w:val="0080466E"/>
    <w:rsid w:val="00807611"/>
    <w:rsid w:val="00807F1C"/>
    <w:rsid w:val="008117E9"/>
    <w:rsid w:val="00817EB8"/>
    <w:rsid w:val="00821F8A"/>
    <w:rsid w:val="00824498"/>
    <w:rsid w:val="00831226"/>
    <w:rsid w:val="008346A0"/>
    <w:rsid w:val="00835179"/>
    <w:rsid w:val="008356AC"/>
    <w:rsid w:val="00840442"/>
    <w:rsid w:val="008422D2"/>
    <w:rsid w:val="008527C0"/>
    <w:rsid w:val="00856A31"/>
    <w:rsid w:val="00856CA8"/>
    <w:rsid w:val="00860B58"/>
    <w:rsid w:val="00863657"/>
    <w:rsid w:val="00863F16"/>
    <w:rsid w:val="00867564"/>
    <w:rsid w:val="00867B37"/>
    <w:rsid w:val="008718DD"/>
    <w:rsid w:val="008754D0"/>
    <w:rsid w:val="0088052F"/>
    <w:rsid w:val="008855C9"/>
    <w:rsid w:val="00886456"/>
    <w:rsid w:val="008945E0"/>
    <w:rsid w:val="0089527F"/>
    <w:rsid w:val="008952DC"/>
    <w:rsid w:val="008A34BA"/>
    <w:rsid w:val="008A362B"/>
    <w:rsid w:val="008A46E1"/>
    <w:rsid w:val="008A4F43"/>
    <w:rsid w:val="008A5CF9"/>
    <w:rsid w:val="008B2706"/>
    <w:rsid w:val="008B2E2D"/>
    <w:rsid w:val="008B7D61"/>
    <w:rsid w:val="008C0F29"/>
    <w:rsid w:val="008C3904"/>
    <w:rsid w:val="008C6D96"/>
    <w:rsid w:val="008D0EE0"/>
    <w:rsid w:val="008D1BED"/>
    <w:rsid w:val="008D3422"/>
    <w:rsid w:val="008E3012"/>
    <w:rsid w:val="008E5683"/>
    <w:rsid w:val="008E6067"/>
    <w:rsid w:val="008F54E7"/>
    <w:rsid w:val="008F7DDB"/>
    <w:rsid w:val="009016BE"/>
    <w:rsid w:val="00903422"/>
    <w:rsid w:val="00912A58"/>
    <w:rsid w:val="009131F9"/>
    <w:rsid w:val="00913A3B"/>
    <w:rsid w:val="0091523E"/>
    <w:rsid w:val="009157B9"/>
    <w:rsid w:val="00915DF9"/>
    <w:rsid w:val="009254C3"/>
    <w:rsid w:val="00926940"/>
    <w:rsid w:val="00930A0A"/>
    <w:rsid w:val="00932377"/>
    <w:rsid w:val="00940F3D"/>
    <w:rsid w:val="0094380C"/>
    <w:rsid w:val="009460DC"/>
    <w:rsid w:val="00946759"/>
    <w:rsid w:val="00946D9C"/>
    <w:rsid w:val="00947D5A"/>
    <w:rsid w:val="0095278E"/>
    <w:rsid w:val="009532A5"/>
    <w:rsid w:val="00955175"/>
    <w:rsid w:val="0095528E"/>
    <w:rsid w:val="0095650F"/>
    <w:rsid w:val="0096200B"/>
    <w:rsid w:val="0096753E"/>
    <w:rsid w:val="0097417A"/>
    <w:rsid w:val="009748B7"/>
    <w:rsid w:val="00974A15"/>
    <w:rsid w:val="00982242"/>
    <w:rsid w:val="00982637"/>
    <w:rsid w:val="00984CEE"/>
    <w:rsid w:val="00985313"/>
    <w:rsid w:val="009868E9"/>
    <w:rsid w:val="009944E6"/>
    <w:rsid w:val="00995B59"/>
    <w:rsid w:val="009A2319"/>
    <w:rsid w:val="009A3A6F"/>
    <w:rsid w:val="009A3F74"/>
    <w:rsid w:val="009A49C9"/>
    <w:rsid w:val="009B6D96"/>
    <w:rsid w:val="009C2791"/>
    <w:rsid w:val="009D02B0"/>
    <w:rsid w:val="009D06B2"/>
    <w:rsid w:val="009D1818"/>
    <w:rsid w:val="009D195A"/>
    <w:rsid w:val="009D1963"/>
    <w:rsid w:val="009D37D5"/>
    <w:rsid w:val="009D7993"/>
    <w:rsid w:val="009E3691"/>
    <w:rsid w:val="009E554A"/>
    <w:rsid w:val="009E5CFC"/>
    <w:rsid w:val="009E73C8"/>
    <w:rsid w:val="009E75A7"/>
    <w:rsid w:val="009F2CC5"/>
    <w:rsid w:val="009F477D"/>
    <w:rsid w:val="009F7CBE"/>
    <w:rsid w:val="00A03A6D"/>
    <w:rsid w:val="00A03AF1"/>
    <w:rsid w:val="00A079CB"/>
    <w:rsid w:val="00A12128"/>
    <w:rsid w:val="00A12F48"/>
    <w:rsid w:val="00A14F6A"/>
    <w:rsid w:val="00A15512"/>
    <w:rsid w:val="00A17633"/>
    <w:rsid w:val="00A22C98"/>
    <w:rsid w:val="00A231E2"/>
    <w:rsid w:val="00A2374A"/>
    <w:rsid w:val="00A25814"/>
    <w:rsid w:val="00A30A63"/>
    <w:rsid w:val="00A33D55"/>
    <w:rsid w:val="00A34412"/>
    <w:rsid w:val="00A40424"/>
    <w:rsid w:val="00A41A06"/>
    <w:rsid w:val="00A44C99"/>
    <w:rsid w:val="00A52B0F"/>
    <w:rsid w:val="00A559B3"/>
    <w:rsid w:val="00A5632E"/>
    <w:rsid w:val="00A56CD8"/>
    <w:rsid w:val="00A64912"/>
    <w:rsid w:val="00A66925"/>
    <w:rsid w:val="00A70A74"/>
    <w:rsid w:val="00A727F2"/>
    <w:rsid w:val="00A72D89"/>
    <w:rsid w:val="00A739F2"/>
    <w:rsid w:val="00A74293"/>
    <w:rsid w:val="00A90ABC"/>
    <w:rsid w:val="00A91966"/>
    <w:rsid w:val="00A934F9"/>
    <w:rsid w:val="00A94F64"/>
    <w:rsid w:val="00A9562F"/>
    <w:rsid w:val="00AA66AC"/>
    <w:rsid w:val="00AB1DE8"/>
    <w:rsid w:val="00AB3AD9"/>
    <w:rsid w:val="00AB69D9"/>
    <w:rsid w:val="00AC0886"/>
    <w:rsid w:val="00AC4785"/>
    <w:rsid w:val="00AD02B8"/>
    <w:rsid w:val="00AD1F73"/>
    <w:rsid w:val="00AD2DE4"/>
    <w:rsid w:val="00AD420C"/>
    <w:rsid w:val="00AD5315"/>
    <w:rsid w:val="00AD5641"/>
    <w:rsid w:val="00AD57D1"/>
    <w:rsid w:val="00AD7889"/>
    <w:rsid w:val="00AE76B2"/>
    <w:rsid w:val="00AE787B"/>
    <w:rsid w:val="00AF021B"/>
    <w:rsid w:val="00AF06CF"/>
    <w:rsid w:val="00AF2DAB"/>
    <w:rsid w:val="00AF6762"/>
    <w:rsid w:val="00B04305"/>
    <w:rsid w:val="00B050E4"/>
    <w:rsid w:val="00B07CDB"/>
    <w:rsid w:val="00B16A31"/>
    <w:rsid w:val="00B17DFD"/>
    <w:rsid w:val="00B267EA"/>
    <w:rsid w:val="00B273F8"/>
    <w:rsid w:val="00B2799D"/>
    <w:rsid w:val="00B308FE"/>
    <w:rsid w:val="00B33709"/>
    <w:rsid w:val="00B33B3C"/>
    <w:rsid w:val="00B33BD1"/>
    <w:rsid w:val="00B35651"/>
    <w:rsid w:val="00B42731"/>
    <w:rsid w:val="00B436FB"/>
    <w:rsid w:val="00B438EF"/>
    <w:rsid w:val="00B50ADC"/>
    <w:rsid w:val="00B54E1B"/>
    <w:rsid w:val="00B566B1"/>
    <w:rsid w:val="00B577C8"/>
    <w:rsid w:val="00B63834"/>
    <w:rsid w:val="00B64E1D"/>
    <w:rsid w:val="00B700BF"/>
    <w:rsid w:val="00B712F2"/>
    <w:rsid w:val="00B72734"/>
    <w:rsid w:val="00B80199"/>
    <w:rsid w:val="00B82D81"/>
    <w:rsid w:val="00B83204"/>
    <w:rsid w:val="00B83E58"/>
    <w:rsid w:val="00B8616D"/>
    <w:rsid w:val="00B879D9"/>
    <w:rsid w:val="00B9126E"/>
    <w:rsid w:val="00B94BF6"/>
    <w:rsid w:val="00BA220B"/>
    <w:rsid w:val="00BA3A57"/>
    <w:rsid w:val="00BA50BE"/>
    <w:rsid w:val="00BB19B9"/>
    <w:rsid w:val="00BB2287"/>
    <w:rsid w:val="00BB3B27"/>
    <w:rsid w:val="00BB4DB6"/>
    <w:rsid w:val="00BB4E1A"/>
    <w:rsid w:val="00BB5C17"/>
    <w:rsid w:val="00BC015E"/>
    <w:rsid w:val="00BC3D52"/>
    <w:rsid w:val="00BC7183"/>
    <w:rsid w:val="00BC76AC"/>
    <w:rsid w:val="00BD0ECB"/>
    <w:rsid w:val="00BD24D3"/>
    <w:rsid w:val="00BE0466"/>
    <w:rsid w:val="00BE12BE"/>
    <w:rsid w:val="00BE2155"/>
    <w:rsid w:val="00BE2213"/>
    <w:rsid w:val="00BE6EF9"/>
    <w:rsid w:val="00BE719A"/>
    <w:rsid w:val="00BE720A"/>
    <w:rsid w:val="00BF0D73"/>
    <w:rsid w:val="00BF2465"/>
    <w:rsid w:val="00BF2515"/>
    <w:rsid w:val="00BF6AB5"/>
    <w:rsid w:val="00BF75C9"/>
    <w:rsid w:val="00C01483"/>
    <w:rsid w:val="00C0290D"/>
    <w:rsid w:val="00C0544A"/>
    <w:rsid w:val="00C0650F"/>
    <w:rsid w:val="00C06AC9"/>
    <w:rsid w:val="00C11452"/>
    <w:rsid w:val="00C114B3"/>
    <w:rsid w:val="00C11A97"/>
    <w:rsid w:val="00C12BCE"/>
    <w:rsid w:val="00C17457"/>
    <w:rsid w:val="00C25E7F"/>
    <w:rsid w:val="00C2746F"/>
    <w:rsid w:val="00C324A0"/>
    <w:rsid w:val="00C3300F"/>
    <w:rsid w:val="00C34E77"/>
    <w:rsid w:val="00C350E7"/>
    <w:rsid w:val="00C35875"/>
    <w:rsid w:val="00C35DAF"/>
    <w:rsid w:val="00C37E00"/>
    <w:rsid w:val="00C4170B"/>
    <w:rsid w:val="00C4292D"/>
    <w:rsid w:val="00C42BF8"/>
    <w:rsid w:val="00C45171"/>
    <w:rsid w:val="00C47D01"/>
    <w:rsid w:val="00C50043"/>
    <w:rsid w:val="00C50B97"/>
    <w:rsid w:val="00C52E7C"/>
    <w:rsid w:val="00C62C1D"/>
    <w:rsid w:val="00C6434E"/>
    <w:rsid w:val="00C67FAE"/>
    <w:rsid w:val="00C7004B"/>
    <w:rsid w:val="00C70CA8"/>
    <w:rsid w:val="00C71464"/>
    <w:rsid w:val="00C72DCA"/>
    <w:rsid w:val="00C7573B"/>
    <w:rsid w:val="00C7761F"/>
    <w:rsid w:val="00C86B32"/>
    <w:rsid w:val="00C87599"/>
    <w:rsid w:val="00C90027"/>
    <w:rsid w:val="00C93C03"/>
    <w:rsid w:val="00C969F4"/>
    <w:rsid w:val="00C96C68"/>
    <w:rsid w:val="00CA253D"/>
    <w:rsid w:val="00CA66DC"/>
    <w:rsid w:val="00CB2C8E"/>
    <w:rsid w:val="00CB2D96"/>
    <w:rsid w:val="00CB4E18"/>
    <w:rsid w:val="00CB4EAA"/>
    <w:rsid w:val="00CB602E"/>
    <w:rsid w:val="00CB60B5"/>
    <w:rsid w:val="00CC1227"/>
    <w:rsid w:val="00CC3AEC"/>
    <w:rsid w:val="00CC6B66"/>
    <w:rsid w:val="00CC76C3"/>
    <w:rsid w:val="00CD2E90"/>
    <w:rsid w:val="00CD5317"/>
    <w:rsid w:val="00CE0149"/>
    <w:rsid w:val="00CE051D"/>
    <w:rsid w:val="00CE1335"/>
    <w:rsid w:val="00CE3D2A"/>
    <w:rsid w:val="00CE493D"/>
    <w:rsid w:val="00CE541A"/>
    <w:rsid w:val="00CE6D42"/>
    <w:rsid w:val="00CF07FA"/>
    <w:rsid w:val="00CF0BB2"/>
    <w:rsid w:val="00CF3EE8"/>
    <w:rsid w:val="00CF5313"/>
    <w:rsid w:val="00D050E6"/>
    <w:rsid w:val="00D11FA0"/>
    <w:rsid w:val="00D13441"/>
    <w:rsid w:val="00D150E7"/>
    <w:rsid w:val="00D17609"/>
    <w:rsid w:val="00D20A4B"/>
    <w:rsid w:val="00D22426"/>
    <w:rsid w:val="00D306F8"/>
    <w:rsid w:val="00D32F65"/>
    <w:rsid w:val="00D341C4"/>
    <w:rsid w:val="00D37BA3"/>
    <w:rsid w:val="00D41A47"/>
    <w:rsid w:val="00D442A2"/>
    <w:rsid w:val="00D454AB"/>
    <w:rsid w:val="00D468AA"/>
    <w:rsid w:val="00D52DC2"/>
    <w:rsid w:val="00D535AD"/>
    <w:rsid w:val="00D53A67"/>
    <w:rsid w:val="00D53BCC"/>
    <w:rsid w:val="00D572BD"/>
    <w:rsid w:val="00D629AA"/>
    <w:rsid w:val="00D62F86"/>
    <w:rsid w:val="00D648BB"/>
    <w:rsid w:val="00D702DE"/>
    <w:rsid w:val="00D70DFB"/>
    <w:rsid w:val="00D732EC"/>
    <w:rsid w:val="00D73C22"/>
    <w:rsid w:val="00D766DF"/>
    <w:rsid w:val="00D93C65"/>
    <w:rsid w:val="00DA0A72"/>
    <w:rsid w:val="00DA10A7"/>
    <w:rsid w:val="00DA186E"/>
    <w:rsid w:val="00DA2A4B"/>
    <w:rsid w:val="00DA4116"/>
    <w:rsid w:val="00DA5482"/>
    <w:rsid w:val="00DA5570"/>
    <w:rsid w:val="00DB251C"/>
    <w:rsid w:val="00DB2CA3"/>
    <w:rsid w:val="00DB343D"/>
    <w:rsid w:val="00DB38AD"/>
    <w:rsid w:val="00DB4630"/>
    <w:rsid w:val="00DB51FD"/>
    <w:rsid w:val="00DB6FB2"/>
    <w:rsid w:val="00DC1135"/>
    <w:rsid w:val="00DC4445"/>
    <w:rsid w:val="00DC4F88"/>
    <w:rsid w:val="00DC6AC0"/>
    <w:rsid w:val="00DD0DD8"/>
    <w:rsid w:val="00DD4F49"/>
    <w:rsid w:val="00DE0A78"/>
    <w:rsid w:val="00DE0A85"/>
    <w:rsid w:val="00DE1062"/>
    <w:rsid w:val="00DE79F9"/>
    <w:rsid w:val="00DF1CA2"/>
    <w:rsid w:val="00DF5C77"/>
    <w:rsid w:val="00DF7910"/>
    <w:rsid w:val="00E014DC"/>
    <w:rsid w:val="00E02281"/>
    <w:rsid w:val="00E03F14"/>
    <w:rsid w:val="00E05704"/>
    <w:rsid w:val="00E06CC3"/>
    <w:rsid w:val="00E11E44"/>
    <w:rsid w:val="00E13AFA"/>
    <w:rsid w:val="00E20F24"/>
    <w:rsid w:val="00E2168B"/>
    <w:rsid w:val="00E21F03"/>
    <w:rsid w:val="00E338EF"/>
    <w:rsid w:val="00E35E35"/>
    <w:rsid w:val="00E40FF8"/>
    <w:rsid w:val="00E476B8"/>
    <w:rsid w:val="00E544BB"/>
    <w:rsid w:val="00E547AC"/>
    <w:rsid w:val="00E54D5F"/>
    <w:rsid w:val="00E578EC"/>
    <w:rsid w:val="00E60423"/>
    <w:rsid w:val="00E649D7"/>
    <w:rsid w:val="00E662CB"/>
    <w:rsid w:val="00E74DC7"/>
    <w:rsid w:val="00E8075A"/>
    <w:rsid w:val="00E818A6"/>
    <w:rsid w:val="00E82910"/>
    <w:rsid w:val="00E85A91"/>
    <w:rsid w:val="00E87718"/>
    <w:rsid w:val="00E923F7"/>
    <w:rsid w:val="00E93824"/>
    <w:rsid w:val="00E94D5E"/>
    <w:rsid w:val="00E95009"/>
    <w:rsid w:val="00EA0BF6"/>
    <w:rsid w:val="00EA17A6"/>
    <w:rsid w:val="00EA7100"/>
    <w:rsid w:val="00EA7F9F"/>
    <w:rsid w:val="00EB0E70"/>
    <w:rsid w:val="00EB1274"/>
    <w:rsid w:val="00EC266F"/>
    <w:rsid w:val="00EC45A8"/>
    <w:rsid w:val="00EC4757"/>
    <w:rsid w:val="00EC64AB"/>
    <w:rsid w:val="00EC7EDB"/>
    <w:rsid w:val="00ED14FB"/>
    <w:rsid w:val="00ED26FF"/>
    <w:rsid w:val="00ED2BB6"/>
    <w:rsid w:val="00ED34E1"/>
    <w:rsid w:val="00ED3B8D"/>
    <w:rsid w:val="00ED796D"/>
    <w:rsid w:val="00EE1A29"/>
    <w:rsid w:val="00EE2059"/>
    <w:rsid w:val="00EE60BC"/>
    <w:rsid w:val="00EF15D3"/>
    <w:rsid w:val="00EF2E3A"/>
    <w:rsid w:val="00EF392F"/>
    <w:rsid w:val="00EF5A1A"/>
    <w:rsid w:val="00EF7B69"/>
    <w:rsid w:val="00F00376"/>
    <w:rsid w:val="00F02EF9"/>
    <w:rsid w:val="00F03BB5"/>
    <w:rsid w:val="00F047D8"/>
    <w:rsid w:val="00F072A7"/>
    <w:rsid w:val="00F078DC"/>
    <w:rsid w:val="00F115DD"/>
    <w:rsid w:val="00F14593"/>
    <w:rsid w:val="00F171A1"/>
    <w:rsid w:val="00F3156D"/>
    <w:rsid w:val="00F32BA8"/>
    <w:rsid w:val="00F349F1"/>
    <w:rsid w:val="00F36668"/>
    <w:rsid w:val="00F40D4F"/>
    <w:rsid w:val="00F411AB"/>
    <w:rsid w:val="00F4215A"/>
    <w:rsid w:val="00F42BE2"/>
    <w:rsid w:val="00F4350D"/>
    <w:rsid w:val="00F45C97"/>
    <w:rsid w:val="00F46947"/>
    <w:rsid w:val="00F50532"/>
    <w:rsid w:val="00F52CA6"/>
    <w:rsid w:val="00F567F7"/>
    <w:rsid w:val="00F61A66"/>
    <w:rsid w:val="00F61B09"/>
    <w:rsid w:val="00F62036"/>
    <w:rsid w:val="00F65B52"/>
    <w:rsid w:val="00F67BCA"/>
    <w:rsid w:val="00F73BD6"/>
    <w:rsid w:val="00F74B5B"/>
    <w:rsid w:val="00F76C48"/>
    <w:rsid w:val="00F800C9"/>
    <w:rsid w:val="00F83989"/>
    <w:rsid w:val="00F84DCB"/>
    <w:rsid w:val="00F85099"/>
    <w:rsid w:val="00F85671"/>
    <w:rsid w:val="00F87017"/>
    <w:rsid w:val="00F87E83"/>
    <w:rsid w:val="00F9379C"/>
    <w:rsid w:val="00F9493D"/>
    <w:rsid w:val="00F9632C"/>
    <w:rsid w:val="00FA13A8"/>
    <w:rsid w:val="00FA1E52"/>
    <w:rsid w:val="00FA31DE"/>
    <w:rsid w:val="00FA7579"/>
    <w:rsid w:val="00FA7D17"/>
    <w:rsid w:val="00FC3EB8"/>
    <w:rsid w:val="00FC503C"/>
    <w:rsid w:val="00FC68A9"/>
    <w:rsid w:val="00FC696C"/>
    <w:rsid w:val="00FC7D25"/>
    <w:rsid w:val="00FD13CC"/>
    <w:rsid w:val="00FD2E53"/>
    <w:rsid w:val="00FD53D3"/>
    <w:rsid w:val="00FE2FB8"/>
    <w:rsid w:val="00FE4688"/>
    <w:rsid w:val="00FE4A0D"/>
    <w:rsid w:val="00FE663C"/>
    <w:rsid w:val="00FE72D6"/>
    <w:rsid w:val="00FE79D0"/>
    <w:rsid w:val="00FF3858"/>
    <w:rsid w:val="00FF5CE3"/>
    <w:rsid w:val="00FF666D"/>
    <w:rsid w:val="5FCB8A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F9790"/>
  <w15:chartTrackingRefBased/>
  <w15:docId w15:val="{2B157D26-F9DB-441B-9A65-8354355B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normaltextrun">
    <w:name w:val="normaltextrun"/>
    <w:basedOn w:val="DefaultParagraphFont"/>
    <w:rsid w:val="00E476B8"/>
  </w:style>
  <w:style w:type="character" w:customStyle="1" w:styleId="LI-SectionsubsubparaAChar">
    <w:name w:val="LI - Section subsubpara (A) Char"/>
    <w:link w:val="LI-SectionsubsubparaA"/>
    <w:rsid w:val="006554FF"/>
    <w:rPr>
      <w:rFonts w:eastAsia="Times New Roman"/>
      <w:sz w:val="24"/>
      <w:szCs w:val="24"/>
    </w:rPr>
  </w:style>
  <w:style w:type="character" w:customStyle="1" w:styleId="eop">
    <w:name w:val="eop"/>
    <w:basedOn w:val="DefaultParagraphFont"/>
    <w:rsid w:val="00E476B8"/>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styleId="UnresolvedMention">
    <w:name w:val="Unresolved Mention"/>
    <w:uiPriority w:val="99"/>
    <w:semiHidden/>
    <w:unhideWhenUsed/>
    <w:rsid w:val="00502A87"/>
    <w:rPr>
      <w:color w:val="605E5C"/>
      <w:shd w:val="clear" w:color="auto" w:fill="E1DFDD"/>
    </w:rPr>
  </w:style>
  <w:style w:type="character" w:customStyle="1" w:styleId="LI-SubtitleChar">
    <w:name w:val="LI - Subtitle Char"/>
    <w:link w:val="LI-Subtitle"/>
    <w:rsid w:val="00243EC0"/>
    <w:rPr>
      <w:b/>
      <w:sz w:val="28"/>
      <w:szCs w:val="28"/>
    </w:rPr>
  </w:style>
  <w:style w:type="paragraph" w:styleId="Revision">
    <w:name w:val="Revision"/>
    <w:hidden/>
    <w:uiPriority w:val="99"/>
    <w:semiHidden/>
    <w:rsid w:val="00F42BE2"/>
    <w:rPr>
      <w:sz w:val="22"/>
      <w:lang w:eastAsia="en-US"/>
    </w:rPr>
  </w:style>
  <w:style w:type="paragraph" w:styleId="ListParagraph">
    <w:name w:val="List Paragraph"/>
    <w:basedOn w:val="Normal"/>
    <w:uiPriority w:val="34"/>
    <w:qFormat/>
    <w:rsid w:val="00DD0DD8"/>
    <w:pPr>
      <w:ind w:left="720"/>
      <w:contextualSpacing/>
    </w:pPr>
  </w:style>
  <w:style w:type="character" w:styleId="FollowedHyperlink">
    <w:name w:val="FollowedHyperlink"/>
    <w:basedOn w:val="DefaultParagraphFont"/>
    <w:uiPriority w:val="99"/>
    <w:semiHidden/>
    <w:unhideWhenUsed/>
    <w:rsid w:val="000B53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584654153">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728502794">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08104315">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555583006">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asic.gov.au/about-asic/news-centre/find-a-media-release/2013-releases/13-153mr-new-asic-guidance-for-platforms-a-boost-for-investor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sic.gov.au/regulatory-resources/find-a-document/consultation-papers/cp-176-review-of-asic-policy-on-platforms-update-to-rg-14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au/Details/F2013L01273/Explanatory%20Statement/Text" TargetMode="External"/><Relationship Id="rId20" Type="http://schemas.openxmlformats.org/officeDocument/2006/relationships/hyperlink" Target="https://www.legislation.gov.au/Details/F2021C01035"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egislation.gov.au/Details/F2021C01035"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legislation.gov.au/Details/F2012C00292"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p1abb5e704a84578aa4b8ef0390c3b25>
    <TaxCatchAll xmlns="db2b92ca-6ed0-4085-802d-4c686a2e8c3f">
      <Value>3</Value>
    </TaxCatchAll>
    <DocumentNotes xmlns="db2b92ca-6ed0-4085-802d-4c686a2e8c3f" xsi:nil="true"/>
    <NAPReason xmlns="db2b92ca-6ed0-4085-802d-4c686a2e8c3f" xsi:nil="true"/>
    <_dlc_DocId xmlns="5143b441-730d-468e-9e7b-525a5337cbbc">000822-777346250-30728</_dlc_DocId>
    <_dlc_DocIdUrl xmlns="5143b441-730d-468e-9e7b-525a5337cbbc">
      <Url>https://asiclink.sharepoint.com/teams/000822/_layouts/15/DocIdRedir.aspx?ID=000822-777346250-30728</Url>
      <Description>000822-777346250-30728</Description>
    </_dlc_DocIdUrl>
  </documentManagement>
</p:properties>
</file>

<file path=customXml/item5.xml><?xml version="1.0" encoding="utf-8"?>
<?mso-contentType ?>
<SharedContentType xmlns="Microsoft.SharePoint.Taxonomy.ContentTypeSync" SourceId="af302855-5de3-48f9-83c2-fc1acc0f760b" ContentTypeId="0x010100B5F685A1365F544391EF8C813B164F3A" PreviousValue="false"/>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531E83CEAF47843A6710BEADB089E22" ma:contentTypeVersion="19" ma:contentTypeDescription="" ma:contentTypeScope="" ma:versionID="e93bf1010eca81dba060e0a068be41b2">
  <xsd:schema xmlns:xsd="http://www.w3.org/2001/XMLSchema" xmlns:xs="http://www.w3.org/2001/XMLSchema" xmlns:p="http://schemas.microsoft.com/office/2006/metadata/properties" xmlns:ns2="db2b92ca-6ed0-4085-802d-4c686a2e8c3f" xmlns:ns3="5143b441-730d-468e-9e7b-525a5337cbbc" targetNamespace="http://schemas.microsoft.com/office/2006/metadata/properties" ma:root="true" ma:fieldsID="fed2754278ce1c8d9acbb0e20423fec9" ns2:_="" ns3:_="">
    <xsd:import namespace="db2b92ca-6ed0-4085-802d-4c686a2e8c3f"/>
    <xsd:import namespace="5143b441-730d-468e-9e7b-525a5337cbbc"/>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b334f69-45e1-4103-b675-c51b5924abd7}" ma:internalName="TaxCatchAll" ma:showField="CatchAllData" ma:web="5143b441-730d-468e-9e7b-525a5337cb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b334f69-45e1-4103-b675-c51b5924abd7}" ma:internalName="TaxCatchAllLabel" ma:readOnly="true" ma:showField="CatchAllDataLabel" ma:web="5143b441-730d-468e-9e7b-525a5337cbbc">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43b441-730d-468e-9e7b-525a5337cbb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36D658-AC7E-457A-B6A9-FE920F0DC680}">
  <ds:schemaRefs>
    <ds:schemaRef ds:uri="http://schemas.openxmlformats.org/officeDocument/2006/bibliography"/>
  </ds:schemaRefs>
</ds:datastoreItem>
</file>

<file path=customXml/itemProps2.xml><?xml version="1.0" encoding="utf-8"?>
<ds:datastoreItem xmlns:ds="http://schemas.openxmlformats.org/officeDocument/2006/customXml" ds:itemID="{E6E01415-622F-4D08-A3CC-EFC5203ECCAC}">
  <ds:schemaRefs>
    <ds:schemaRef ds:uri="http://schemas.microsoft.com/sharepoint/v3/contenttype/forms"/>
  </ds:schemaRefs>
</ds:datastoreItem>
</file>

<file path=customXml/itemProps3.xml><?xml version="1.0" encoding="utf-8"?>
<ds:datastoreItem xmlns:ds="http://schemas.openxmlformats.org/officeDocument/2006/customXml" ds:itemID="{537FD0D3-641A-4617-A8A2-BDE473807967}">
  <ds:schemaRefs>
    <ds:schemaRef ds:uri="http://schemas.microsoft.com/sharepoint/events"/>
  </ds:schemaRefs>
</ds:datastoreItem>
</file>

<file path=customXml/itemProps4.xml><?xml version="1.0" encoding="utf-8"?>
<ds:datastoreItem xmlns:ds="http://schemas.openxmlformats.org/officeDocument/2006/customXml" ds:itemID="{36706D40-1C4A-4FC0-A899-C2502117AAF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5143b441-730d-468e-9e7b-525a5337cbbc"/>
    <ds:schemaRef ds:uri="db2b92ca-6ed0-4085-802d-4c686a2e8c3f"/>
    <ds:schemaRef ds:uri="http://www.w3.org/XML/1998/namespace"/>
    <ds:schemaRef ds:uri="http://purl.org/dc/elements/1.1/"/>
  </ds:schemaRefs>
</ds:datastoreItem>
</file>

<file path=customXml/itemProps5.xml><?xml version="1.0" encoding="utf-8"?>
<ds:datastoreItem xmlns:ds="http://schemas.openxmlformats.org/officeDocument/2006/customXml" ds:itemID="{8A9AFBAB-819C-4D3E-BCEF-D34FEEC6B1E7}">
  <ds:schemaRefs>
    <ds:schemaRef ds:uri="Microsoft.SharePoint.Taxonomy.ContentTypeSync"/>
  </ds:schemaRefs>
</ds:datastoreItem>
</file>

<file path=customXml/itemProps6.xml><?xml version="1.0" encoding="utf-8"?>
<ds:datastoreItem xmlns:ds="http://schemas.openxmlformats.org/officeDocument/2006/customXml" ds:itemID="{46D5C54D-897B-47B7-B4AB-E6F6C60DCFB7}">
  <ds:schemaRefs>
    <ds:schemaRef ds:uri="http://schemas.microsoft.com/office/2006/metadata/longProperties"/>
  </ds:schemaRefs>
</ds:datastoreItem>
</file>

<file path=customXml/itemProps7.xml><?xml version="1.0" encoding="utf-8"?>
<ds:datastoreItem xmlns:ds="http://schemas.openxmlformats.org/officeDocument/2006/customXml" ds:itemID="{4A22A9FC-7799-4EF8-ACBA-5B2F8CFDD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5143b441-730d-468e-9e7b-525a5337c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7</Pages>
  <Words>2009</Words>
  <Characters>11456</Characters>
  <Application>Microsoft Office Word</Application>
  <DocSecurity>0</DocSecurity>
  <PresentationFormat/>
  <Lines>95</Lines>
  <Paragraphs>26</Paragraphs>
  <ScaleCrop>false</ScaleCrop>
  <HeadingPairs>
    <vt:vector size="2" baseType="variant">
      <vt:variant>
        <vt:lpstr>Title</vt:lpstr>
      </vt:variant>
      <vt:variant>
        <vt:i4>1</vt:i4>
      </vt:variant>
    </vt:vector>
  </HeadingPairs>
  <TitlesOfParts>
    <vt:vector size="1" baseType="lpstr">
      <vt:lpstr>ASIC Template (Explanatory Statement - Jan 2019).docx</vt:lpstr>
    </vt:vector>
  </TitlesOfParts>
  <Company>ASIC</Company>
  <LinksUpToDate>false</LinksUpToDate>
  <CharactersWithSpaces>13439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Elinor Egan</dc:creator>
  <cp:keywords/>
  <cp:lastModifiedBy>Narelle Kane</cp:lastModifiedBy>
  <cp:revision>2</cp:revision>
  <cp:lastPrinted>2019-01-03T21:56:00Z</cp:lastPrinted>
  <dcterms:created xsi:type="dcterms:W3CDTF">2023-08-31T00:58:00Z</dcterms:created>
  <dcterms:modified xsi:type="dcterms:W3CDTF">2023-08-31T00:58:00Z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RecordPoint_WorkflowType">
    <vt:lpwstr>ActiveSubmitStub</vt:lpwstr>
  </property>
  <property fmtid="{D5CDD505-2E9C-101B-9397-08002B2CF9AE}" pid="40" name="RecordPoint_ActiveItemSiteId">
    <vt:lpwstr>{fa96e6fb-4129-44b7-b105-10ec3844cb78}</vt:lpwstr>
  </property>
  <property fmtid="{D5CDD505-2E9C-101B-9397-08002B2CF9AE}" pid="41" name="RecordPoint_ActiveItemListId">
    <vt:lpwstr>{e8634c1b-1868-4a02-8de8-ef4b1316a551}</vt:lpwstr>
  </property>
  <property fmtid="{D5CDD505-2E9C-101B-9397-08002B2CF9AE}" pid="42" name="RecordPoint_ActiveItemUniqueId">
    <vt:lpwstr>{0f4c5c6f-0dad-4deb-a834-375fa2501599}</vt:lpwstr>
  </property>
  <property fmtid="{D5CDD505-2E9C-101B-9397-08002B2CF9AE}" pid="43" name="RecordPoint_ActiveItemWebId">
    <vt:lpwstr>{6fdf923d-1605-456d-9034-49e4c2a6593d}</vt:lpwstr>
  </property>
  <property fmtid="{D5CDD505-2E9C-101B-9397-08002B2CF9AE}" pid="44" name="IconOverlay">
    <vt:lpwstr/>
  </property>
  <property fmtid="{D5CDD505-2E9C-101B-9397-08002B2CF9AE}" pid="45" name="RecordNumber">
    <vt:lpwstr>R20210000583158</vt:lpwstr>
  </property>
  <property fmtid="{D5CDD505-2E9C-101B-9397-08002B2CF9AE}" pid="46" name="RecordPoint_SubmissionCompleted">
    <vt:lpwstr>2021-09-14T18:42:49.7315500+10:00</vt:lpwstr>
  </property>
  <property fmtid="{D5CDD505-2E9C-101B-9397-08002B2CF9AE}" pid="47" name="RecordPoint_RecordNumberSubmitted">
    <vt:lpwstr>R20210000583158</vt:lpwstr>
  </property>
  <property fmtid="{D5CDD505-2E9C-101B-9397-08002B2CF9AE}" pid="48" name="Reviewers">
    <vt:lpwstr/>
  </property>
  <property fmtid="{D5CDD505-2E9C-101B-9397-08002B2CF9AE}" pid="49" name="NotesLinks">
    <vt:lpwstr/>
  </property>
  <property fmtid="{D5CDD505-2E9C-101B-9397-08002B2CF9AE}" pid="50" name="Approvers">
    <vt:lpwstr/>
  </property>
  <property fmtid="{D5CDD505-2E9C-101B-9397-08002B2CF9AE}" pid="51" name="SecurityClassification">
    <vt:lpwstr>3;#OFFICIAL|cffd3088-7a74-4edb-8c9e-fbf79371a422</vt:lpwstr>
  </property>
  <property fmtid="{D5CDD505-2E9C-101B-9397-08002B2CF9AE}" pid="52" name="ObjectiveID">
    <vt:lpwstr/>
  </property>
  <property fmtid="{D5CDD505-2E9C-101B-9397-08002B2CF9AE}" pid="53" name="SignificantFlag">
    <vt:lpwstr>0</vt:lpwstr>
  </property>
  <property fmtid="{D5CDD505-2E9C-101B-9397-08002B2CF9AE}" pid="54" name="SenateOrder12">
    <vt:lpwstr>0</vt:lpwstr>
  </property>
  <property fmtid="{D5CDD505-2E9C-101B-9397-08002B2CF9AE}" pid="55" name="ded95d7ab059406991d558011d18c177">
    <vt:lpwstr/>
  </property>
  <property fmtid="{D5CDD505-2E9C-101B-9397-08002B2CF9AE}" pid="56" name="SignificantReason">
    <vt:lpwstr/>
  </property>
  <property fmtid="{D5CDD505-2E9C-101B-9397-08002B2CF9AE}" pid="57" name="Order">
    <vt:lpwstr>71900.0000000000</vt:lpwstr>
  </property>
  <property fmtid="{D5CDD505-2E9C-101B-9397-08002B2CF9AE}" pid="58" name="RecordPoint_SubmissionDate">
    <vt:lpwstr/>
  </property>
  <property fmtid="{D5CDD505-2E9C-101B-9397-08002B2CF9AE}" pid="59" name="RecordPoint_RecordFormat">
    <vt:lpwstr/>
  </property>
  <property fmtid="{D5CDD505-2E9C-101B-9397-08002B2CF9AE}" pid="60" name="_dlc_DocId">
    <vt:lpwstr>000822-777346250-29925</vt:lpwstr>
  </property>
  <property fmtid="{D5CDD505-2E9C-101B-9397-08002B2CF9AE}" pid="61" name="_dlc_DocIdItemGuid">
    <vt:lpwstr>5d7acb30-4d35-4f48-83fd-431037176e48</vt:lpwstr>
  </property>
  <property fmtid="{D5CDD505-2E9C-101B-9397-08002B2CF9AE}" pid="62" name="_dlc_DocIdUrl">
    <vt:lpwstr>https://asiclink.sharepoint.com/teams/000822/_layouts/15/DocIdRedir.aspx?ID=000822-777346250-29925, 000822-777346250-29925</vt:lpwstr>
  </property>
  <property fmtid="{D5CDD505-2E9C-101B-9397-08002B2CF9AE}" pid="63" name="ContentTypeId">
    <vt:lpwstr>0x010100B5F685A1365F544391EF8C813B164F3A009531E83CEAF47843A6710BEADB089E22</vt:lpwstr>
  </property>
  <property fmtid="{D5CDD505-2E9C-101B-9397-08002B2CF9AE}" pid="64" name="j9a53d7fe1554b91b170ef98e3957baf">
    <vt:lpwstr/>
  </property>
  <property fmtid="{D5CDD505-2E9C-101B-9397-08002B2CF9AE}" pid="65" name="e3d6af94617946d9813caf87b95826d7">
    <vt:lpwstr/>
  </property>
  <property fmtid="{D5CDD505-2E9C-101B-9397-08002B2CF9AE}" pid="66" name="k9c390b121b84919acb0b9151690da40">
    <vt:lpwstr/>
  </property>
  <property fmtid="{D5CDD505-2E9C-101B-9397-08002B2CF9AE}" pid="67" name="IMSFilesetProductType">
    <vt:lpwstr/>
  </property>
  <property fmtid="{D5CDD505-2E9C-101B-9397-08002B2CF9AE}" pid="68" name="IMSFilesetEntity">
    <vt:lpwstr/>
  </property>
  <property fmtid="{D5CDD505-2E9C-101B-9397-08002B2CF9AE}" pid="69" name="Fileset search keywords">
    <vt:lpwstr/>
  </property>
  <property fmtid="{D5CDD505-2E9C-101B-9397-08002B2CF9AE}" pid="70" name="ga26016f869e4783a544bf28ac019362">
    <vt:lpwstr/>
  </property>
  <property fmtid="{D5CDD505-2E9C-101B-9397-08002B2CF9AE}" pid="71" name="IMSEntity">
    <vt:lpwstr/>
  </property>
  <property fmtid="{D5CDD505-2E9C-101B-9397-08002B2CF9AE}" pid="72" name="f4c29409d90b4a578b768720fd07bb93">
    <vt:lpwstr/>
  </property>
  <property fmtid="{D5CDD505-2E9C-101B-9397-08002B2CF9AE}" pid="73" name="IMSDocumentType">
    <vt:lpwstr/>
  </property>
  <property fmtid="{D5CDD505-2E9C-101B-9397-08002B2CF9AE}" pid="74" name="PrimaryJurisction">
    <vt:lpwstr/>
  </property>
  <property fmtid="{D5CDD505-2E9C-101B-9397-08002B2CF9AE}" pid="75" name="SecondaryJurisdiction">
    <vt:lpwstr/>
  </property>
  <property fmtid="{D5CDD505-2E9C-101B-9397-08002B2CF9AE}" pid="76" name="IMSProductType">
    <vt:lpwstr/>
  </property>
  <property fmtid="{D5CDD505-2E9C-101B-9397-08002B2CF9AE}" pid="77" name="f51ae816e01b4965a21cde6183109b29">
    <vt:lpwstr/>
  </property>
  <property fmtid="{D5CDD505-2E9C-101B-9397-08002B2CF9AE}" pid="78" name="af3f57e54dba403ca4ebb14e4094a9d8">
    <vt:lpwstr/>
  </property>
  <property fmtid="{D5CDD505-2E9C-101B-9397-08002B2CF9AE}" pid="79" name="n984d001a78f4b1f81661dbc6638eecd">
    <vt:lpwstr/>
  </property>
  <property fmtid="{D5CDD505-2E9C-101B-9397-08002B2CF9AE}" pid="80" name="hb3476fe0c25428da9d0464ead195eef">
    <vt:lpwstr/>
  </property>
  <property fmtid="{D5CDD505-2E9C-101B-9397-08002B2CF9AE}" pid="81" name="File_x0020_search_x0020_keywords">
    <vt:lpwstr/>
  </property>
  <property fmtid="{D5CDD505-2E9C-101B-9397-08002B2CF9AE}" pid="82" name="IMS_x0020_Precedent">
    <vt:lpwstr/>
  </property>
  <property fmtid="{D5CDD505-2E9C-101B-9397-08002B2CF9AE}" pid="83" name="o370174a30b54570b9bc2a9201a399da">
    <vt:lpwstr/>
  </property>
  <property fmtid="{D5CDD505-2E9C-101B-9397-08002B2CF9AE}" pid="84" name="File search keywords">
    <vt:lpwstr/>
  </property>
  <property fmtid="{D5CDD505-2E9C-101B-9397-08002B2CF9AE}" pid="85" name="IMS Precedent">
    <vt:lpwstr/>
  </property>
  <property fmtid="{D5CDD505-2E9C-101B-9397-08002B2CF9AE}" pid="86" name="MSIP_Label_3fc05eff-3b8c-46ad-aa9b-c46174c68b39_Enabled">
    <vt:lpwstr>True</vt:lpwstr>
  </property>
  <property fmtid="{D5CDD505-2E9C-101B-9397-08002B2CF9AE}" pid="87" name="MSIP_Label_3fc05eff-3b8c-46ad-aa9b-c46174c68b39_SiteId">
    <vt:lpwstr>5f1de7c6-55cd-4bb2-902d-514c78cf10f4</vt:lpwstr>
  </property>
  <property fmtid="{D5CDD505-2E9C-101B-9397-08002B2CF9AE}" pid="88" name="MSIP_Label_3fc05eff-3b8c-46ad-aa9b-c46174c68b39_SetDate">
    <vt:lpwstr>2023-02-16T06:45:10Z</vt:lpwstr>
  </property>
  <property fmtid="{D5CDD505-2E9C-101B-9397-08002B2CF9AE}" pid="89" name="MSIP_Label_3fc05eff-3b8c-46ad-aa9b-c46174c68b39_Name">
    <vt:lpwstr>OFFICIAL Sensitive</vt:lpwstr>
  </property>
  <property fmtid="{D5CDD505-2E9C-101B-9397-08002B2CF9AE}" pid="90" name="MSIP_Label_3fc05eff-3b8c-46ad-aa9b-c46174c68b39_ActionId">
    <vt:lpwstr>657905b7-cde2-49a7-866b-6954a301ddf9</vt:lpwstr>
  </property>
  <property fmtid="{D5CDD505-2E9C-101B-9397-08002B2CF9AE}" pid="91" name="MSIP_Label_3fc05eff-3b8c-46ad-aa9b-c46174c68b39_Removed">
    <vt:lpwstr>False</vt:lpwstr>
  </property>
  <property fmtid="{D5CDD505-2E9C-101B-9397-08002B2CF9AE}" pid="92" name="MSIP_Label_3fc05eff-3b8c-46ad-aa9b-c46174c68b39_Extended_MSFT_Method">
    <vt:lpwstr>Standard</vt:lpwstr>
  </property>
  <property fmtid="{D5CDD505-2E9C-101B-9397-08002B2CF9AE}" pid="93" name="Sensitivity">
    <vt:lpwstr>OFFICIAL Sensitive</vt:lpwstr>
  </property>
  <property fmtid="{D5CDD505-2E9C-101B-9397-08002B2CF9AE}" pid="94" name="_docset_NoMedatataSyncRequired">
    <vt:lpwstr>False</vt:lpwstr>
  </property>
  <property fmtid="{D5CDD505-2E9C-101B-9397-08002B2CF9AE}" pid="95" name="IMSFilesetOrganisationID">
    <vt:lpwstr/>
  </property>
</Properties>
</file>