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A3E97" w14:textId="77777777" w:rsidR="00FB640B" w:rsidRPr="008B24C8" w:rsidRDefault="0057002B" w:rsidP="00BB0CF2">
      <w:pPr>
        <w:pStyle w:val="ESTitleHeader"/>
      </w:pPr>
      <w:bookmarkStart w:id="0" w:name="_GoBack"/>
      <w:bookmarkEnd w:id="0"/>
      <w:permStart w:id="222836939" w:edGrp="everyone"/>
      <w:permEnd w:id="222836939"/>
      <w:r w:rsidRPr="008B24C8">
        <w:t>EXPLANATORY STATEMENT</w:t>
      </w:r>
    </w:p>
    <w:p w14:paraId="5D700AA9" w14:textId="736BD9B8" w:rsidR="0057002B" w:rsidRDefault="0057002B" w:rsidP="00BB0CF2">
      <w:pPr>
        <w:pStyle w:val="ESTitleDecisionMaker"/>
      </w:pPr>
      <w:r w:rsidRPr="008B24C8">
        <w:t>Issued by authority</w:t>
      </w:r>
      <w:r w:rsidR="00625ACB">
        <w:t xml:space="preserve"> of the Minister</w:t>
      </w:r>
      <w:r w:rsidR="00EF5896">
        <w:t xml:space="preserve"> of Immigration, Citizenship and Multi-Cultural Affairs.</w:t>
      </w:r>
    </w:p>
    <w:p w14:paraId="7F463E31" w14:textId="266AAC36" w:rsidR="00EF5896" w:rsidRPr="00B01E1E" w:rsidRDefault="00EF5896" w:rsidP="00BB0CF2">
      <w:pPr>
        <w:pStyle w:val="ESTitleDecisionMaker"/>
        <w:rPr>
          <w:i/>
        </w:rPr>
      </w:pPr>
      <w:r w:rsidRPr="00B01E1E">
        <w:rPr>
          <w:i/>
        </w:rPr>
        <w:t>Migration Regulations 1994</w:t>
      </w:r>
    </w:p>
    <w:p w14:paraId="2E55CD23" w14:textId="7EDEEF13" w:rsidR="0057002B" w:rsidRPr="00625ACB" w:rsidRDefault="00625ACB" w:rsidP="00BB0CF2">
      <w:pPr>
        <w:pStyle w:val="ESTitleInstrumentName"/>
      </w:pPr>
      <w:r w:rsidRPr="00625ACB">
        <w:t xml:space="preserve">Migration (COVID-19 Pandemic event for Temporary Activity (Subclass 408) </w:t>
      </w:r>
      <w:r w:rsidR="0065592F">
        <w:t>visa) Amendment Instrument (LIN </w:t>
      </w:r>
      <w:r w:rsidRPr="00625ACB">
        <w:t>23/061) 2023</w:t>
      </w:r>
    </w:p>
    <w:p w14:paraId="2CAB8617" w14:textId="5EDACF17" w:rsidR="001006E4" w:rsidRDefault="0057002B" w:rsidP="00146CC7">
      <w:pPr>
        <w:pStyle w:val="ESPara"/>
        <w:numPr>
          <w:ilvl w:val="0"/>
          <w:numId w:val="15"/>
        </w:numPr>
        <w:ind w:left="567" w:hanging="567"/>
      </w:pPr>
      <w:r w:rsidRPr="008B24C8">
        <w:t>The instrume</w:t>
      </w:r>
      <w:r w:rsidR="0065592F">
        <w:t>nt, Departmental reference LIN </w:t>
      </w:r>
      <w:r w:rsidR="00625ACB">
        <w:t>23/061</w:t>
      </w:r>
      <w:r w:rsidRPr="008B24C8">
        <w:t>, is made under</w:t>
      </w:r>
      <w:r w:rsidR="001006E4">
        <w:t xml:space="preserve"> the following provisions of the </w:t>
      </w:r>
      <w:r w:rsidR="001006E4" w:rsidRPr="001006E4">
        <w:rPr>
          <w:i/>
        </w:rPr>
        <w:t>Migration Regulations 1994</w:t>
      </w:r>
      <w:r w:rsidR="001006E4">
        <w:t xml:space="preserve"> (the Migration Regulations):</w:t>
      </w:r>
    </w:p>
    <w:p w14:paraId="4B43FA0B" w14:textId="77777777" w:rsidR="001006E4" w:rsidRDefault="001006E4" w:rsidP="00146CC7">
      <w:pPr>
        <w:pStyle w:val="ESPara"/>
        <w:numPr>
          <w:ilvl w:val="0"/>
          <w:numId w:val="9"/>
        </w:numPr>
        <w:ind w:left="924" w:hanging="357"/>
      </w:pPr>
      <w:r>
        <w:t xml:space="preserve">subregulation 2.07(5); </w:t>
      </w:r>
    </w:p>
    <w:p w14:paraId="09DC6219" w14:textId="25AF7107" w:rsidR="001006E4" w:rsidRDefault="002703BD" w:rsidP="00146CC7">
      <w:pPr>
        <w:pStyle w:val="ESPara"/>
        <w:numPr>
          <w:ilvl w:val="0"/>
          <w:numId w:val="9"/>
        </w:numPr>
        <w:ind w:left="924" w:hanging="357"/>
      </w:pPr>
      <w:r>
        <w:t>subparagraph 1237(2)(a)(i)</w:t>
      </w:r>
      <w:r w:rsidR="001006E4">
        <w:t xml:space="preserve"> of Schedule 1; </w:t>
      </w:r>
      <w:r w:rsidR="00673BE6">
        <w:t>an</w:t>
      </w:r>
      <w:r w:rsidR="004F41EE">
        <w:t>d</w:t>
      </w:r>
    </w:p>
    <w:p w14:paraId="72958E2B" w14:textId="7C5FE870" w:rsidR="0057002B" w:rsidRPr="008B24C8" w:rsidRDefault="00673BE6" w:rsidP="00146CC7">
      <w:pPr>
        <w:pStyle w:val="ESPara"/>
        <w:numPr>
          <w:ilvl w:val="0"/>
          <w:numId w:val="9"/>
        </w:numPr>
        <w:ind w:left="924" w:hanging="357"/>
      </w:pPr>
      <w:r>
        <w:t>paragraph 408.229</w:t>
      </w:r>
      <w:r w:rsidR="00625ACB">
        <w:t xml:space="preserve">(c) </w:t>
      </w:r>
      <w:r>
        <w:t>of Schedule 2</w:t>
      </w:r>
      <w:r w:rsidR="0057002B" w:rsidRPr="008B24C8">
        <w:t>.</w:t>
      </w:r>
    </w:p>
    <w:p w14:paraId="6156A207" w14:textId="57F431D4" w:rsidR="002004BC" w:rsidRDefault="00EA12C9" w:rsidP="00146CC7">
      <w:pPr>
        <w:pStyle w:val="ESPara"/>
        <w:numPr>
          <w:ilvl w:val="0"/>
          <w:numId w:val="15"/>
        </w:numPr>
        <w:ind w:left="567" w:hanging="567"/>
      </w:pPr>
      <w:r w:rsidRPr="008B24C8">
        <w:t xml:space="preserve">The instrument </w:t>
      </w:r>
      <w:r w:rsidR="00625ACB">
        <w:t xml:space="preserve">amends </w:t>
      </w:r>
      <w:r w:rsidR="00625ACB" w:rsidRPr="00BD21E5">
        <w:rPr>
          <w:i/>
        </w:rPr>
        <w:t>Migration (COVID-19 Pandemic event for Temporary Activity (Subc</w:t>
      </w:r>
      <w:r w:rsidR="0065592F">
        <w:rPr>
          <w:i/>
        </w:rPr>
        <w:t>lass 408) visa) Instrument (LIN </w:t>
      </w:r>
      <w:r w:rsidR="00625ACB" w:rsidRPr="00BD21E5">
        <w:rPr>
          <w:i/>
        </w:rPr>
        <w:t>22/046) 2022</w:t>
      </w:r>
      <w:r w:rsidR="00625ACB">
        <w:rPr>
          <w:i/>
        </w:rPr>
        <w:t xml:space="preserve"> </w:t>
      </w:r>
      <w:r w:rsidR="0065592F">
        <w:t>(LIN </w:t>
      </w:r>
      <w:r w:rsidR="00625ACB" w:rsidRPr="00625ACB">
        <w:t>22/046)</w:t>
      </w:r>
      <w:r w:rsidR="00B75478">
        <w:t xml:space="preserve"> </w:t>
      </w:r>
      <w:r w:rsidR="00625ACB">
        <w:t xml:space="preserve">(F2022L00316)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Pr="008B24C8">
        <w:t>.</w:t>
      </w:r>
      <w:r w:rsidR="002004BC">
        <w:t xml:space="preserve"> </w:t>
      </w:r>
      <w:r w:rsidRPr="008B24C8">
        <w:t xml:space="preserve">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w:t>
      </w:r>
    </w:p>
    <w:p w14:paraId="2636C78F" w14:textId="13F840FD" w:rsidR="0002305E" w:rsidRDefault="00AA4557" w:rsidP="00146CC7">
      <w:pPr>
        <w:pStyle w:val="ESPara"/>
        <w:numPr>
          <w:ilvl w:val="0"/>
          <w:numId w:val="15"/>
        </w:numPr>
        <w:ind w:left="567" w:hanging="567"/>
      </w:pPr>
      <w:r>
        <w:t xml:space="preserve">The instrument commences </w:t>
      </w:r>
      <w:r w:rsidR="001B03C5">
        <w:t xml:space="preserve">on </w:t>
      </w:r>
      <w:r w:rsidR="008E388F">
        <w:t>2 September 2023</w:t>
      </w:r>
      <w:r>
        <w:t xml:space="preserve"> and i</w:t>
      </w:r>
      <w:r w:rsidR="00BD598E" w:rsidRPr="008B24C8">
        <w:t xml:space="preserve">s a </w:t>
      </w:r>
      <w:r>
        <w:t>legislative</w:t>
      </w:r>
      <w:r w:rsidR="00BD598E" w:rsidRPr="008B24C8">
        <w:t xml:space="preserve"> instrument for </w:t>
      </w:r>
      <w:r w:rsidR="0065592F">
        <w:t xml:space="preserve">the </w:t>
      </w:r>
      <w:r w:rsidR="0065592F">
        <w:rPr>
          <w:i/>
        </w:rPr>
        <w:t>Legislation Act </w:t>
      </w:r>
      <w:r w:rsidR="00100DFC" w:rsidRPr="00B01E1E">
        <w:rPr>
          <w:i/>
        </w:rPr>
        <w:t>2003</w:t>
      </w:r>
      <w:r w:rsidR="00100DFC">
        <w:t xml:space="preserve"> (the Legislation Act)</w:t>
      </w:r>
      <w:r w:rsidR="00BD598E" w:rsidRPr="008B24C8">
        <w:t>.</w:t>
      </w:r>
    </w:p>
    <w:p w14:paraId="73E3116B" w14:textId="4024B0A9" w:rsidR="00EA12C9" w:rsidRDefault="00BD598E" w:rsidP="00100DFC">
      <w:pPr>
        <w:pStyle w:val="ESHeading"/>
      </w:pPr>
      <w:r w:rsidRPr="0065592F">
        <w:t>Purpose</w:t>
      </w:r>
    </w:p>
    <w:p w14:paraId="5A9A2493" w14:textId="4183F236" w:rsidR="003D320A" w:rsidRPr="003D320A" w:rsidRDefault="003D320A" w:rsidP="00100DFC">
      <w:pPr>
        <w:pStyle w:val="ESHeading"/>
        <w:rPr>
          <w:i w:val="0"/>
        </w:rPr>
      </w:pPr>
      <w:r w:rsidRPr="003D320A">
        <w:rPr>
          <w:i w:val="0"/>
        </w:rPr>
        <w:t>Background – LIN 22/046</w:t>
      </w:r>
    </w:p>
    <w:p w14:paraId="69203C5D" w14:textId="77777777" w:rsidR="00516D95" w:rsidRDefault="00516D95" w:rsidP="00146CC7">
      <w:pPr>
        <w:pStyle w:val="ESSubparaHeader"/>
        <w:numPr>
          <w:ilvl w:val="0"/>
          <w:numId w:val="15"/>
        </w:numPr>
        <w:ind w:left="567" w:hanging="567"/>
      </w:pPr>
      <w:r>
        <w:t>Subregulation 2.07(5) of the Migration Regulations provides that if an item of Schedule 1 to the Migration Regulations prescribes criteria or requirements by reference to a legislative instrument made under subregulation 2.07(5), the Minister may specify:</w:t>
      </w:r>
    </w:p>
    <w:p w14:paraId="14B8BDCA" w14:textId="77777777" w:rsidR="00516D95" w:rsidRDefault="00516D95" w:rsidP="00146CC7">
      <w:pPr>
        <w:pStyle w:val="ESSubparaHeader"/>
        <w:numPr>
          <w:ilvl w:val="0"/>
          <w:numId w:val="18"/>
        </w:numPr>
        <w:ind w:left="924" w:hanging="357"/>
      </w:pPr>
      <w:r>
        <w:t>An approved form for making an application for a visa of a specified class;</w:t>
      </w:r>
    </w:p>
    <w:p w14:paraId="0E55A77B" w14:textId="77777777" w:rsidR="00516D95" w:rsidRDefault="00516D95" w:rsidP="00146CC7">
      <w:pPr>
        <w:pStyle w:val="ESSubparaHeader"/>
        <w:numPr>
          <w:ilvl w:val="0"/>
          <w:numId w:val="18"/>
        </w:numPr>
        <w:ind w:left="924" w:hanging="357"/>
      </w:pPr>
      <w:r>
        <w:t>The way in which an application for a visa of a specified class must be made;</w:t>
      </w:r>
    </w:p>
    <w:p w14:paraId="0706DCE6" w14:textId="77777777" w:rsidR="00516D95" w:rsidRDefault="00516D95" w:rsidP="00146CC7">
      <w:pPr>
        <w:pStyle w:val="ESSubparaHeader"/>
        <w:numPr>
          <w:ilvl w:val="0"/>
          <w:numId w:val="18"/>
        </w:numPr>
        <w:ind w:left="924" w:hanging="357"/>
      </w:pPr>
      <w:r>
        <w:t>The place at which an application for a visa of a specified class must be made;</w:t>
      </w:r>
    </w:p>
    <w:p w14:paraId="2D551469" w14:textId="77777777" w:rsidR="00516D95" w:rsidRDefault="00516D95" w:rsidP="00146CC7">
      <w:pPr>
        <w:pStyle w:val="ESSubparaHeader"/>
        <w:numPr>
          <w:ilvl w:val="0"/>
          <w:numId w:val="18"/>
        </w:numPr>
        <w:ind w:left="924" w:hanging="357"/>
      </w:pPr>
      <w:r>
        <w:t>Any other matter.</w:t>
      </w:r>
    </w:p>
    <w:p w14:paraId="4E3F68DB" w14:textId="42665A36" w:rsidR="002004BC" w:rsidRPr="00B01E1E" w:rsidRDefault="0065592F" w:rsidP="00146CC7">
      <w:pPr>
        <w:pStyle w:val="ESSubparaHeader"/>
        <w:keepNext w:val="0"/>
        <w:numPr>
          <w:ilvl w:val="0"/>
          <w:numId w:val="15"/>
        </w:numPr>
        <w:ind w:left="567" w:hanging="567"/>
      </w:pPr>
      <w:r>
        <w:t>LIN </w:t>
      </w:r>
      <w:r w:rsidR="002004BC" w:rsidRPr="00B01E1E">
        <w:t>22/046 specifies, for paragraphs 408.229(b) and (c) of Schedule 2 and subclause 9204(2) of Schedule 13 to the Migration Regulations, the event known as the COVID-19 pandemic as an ‘Australian Government endorsed event’ (AGEE) and classes of persons in relation to the event who may be eligible for a Subclass 408 (Temporary Activity) visa (Subclass 408 visa).</w:t>
      </w:r>
    </w:p>
    <w:p w14:paraId="71A67ADA" w14:textId="3F9C5BD8" w:rsidR="002004BC" w:rsidRPr="00B01E1E" w:rsidRDefault="002004BC" w:rsidP="00146CC7">
      <w:pPr>
        <w:pStyle w:val="ESSubparaHeader"/>
        <w:keepNext w:val="0"/>
        <w:numPr>
          <w:ilvl w:val="0"/>
          <w:numId w:val="15"/>
        </w:numPr>
        <w:ind w:left="567" w:hanging="567"/>
      </w:pPr>
      <w:r w:rsidRPr="00B01E1E">
        <w:t>An applicant seeking to satisfy the primary criteria for the grant of a Subclass 408 visa must be a person to whom a clause in subdivision 408.2 of Schedule 2 to the</w:t>
      </w:r>
      <w:r w:rsidR="005F3681" w:rsidRPr="00B01E1E">
        <w:t xml:space="preserve"> Migration Regulations applies.</w:t>
      </w:r>
      <w:r w:rsidR="00673BE6">
        <w:t xml:space="preserve"> </w:t>
      </w:r>
      <w:r w:rsidRPr="00B01E1E">
        <w:t xml:space="preserve">Clause </w:t>
      </w:r>
      <w:r w:rsidRPr="00B01E1E">
        <w:lastRenderedPageBreak/>
        <w:t>408.229 will apply to an applicant if that applicant seeks to enter or remain in Australia to undertake work directly associated with the AGEE. To meet this criterion, the AGEE must be specified in a legislative instrument made by the Minister and the applicant is in a class of persons specified in the instrument in relation to the event for the purposes of paragraphs 408.229(b) and (c) of Schedule 2 to the Migration Regulations.</w:t>
      </w:r>
    </w:p>
    <w:p w14:paraId="25B02CA0" w14:textId="3149DE3B" w:rsidR="00673BE6" w:rsidRDefault="002004BC" w:rsidP="00146CC7">
      <w:pPr>
        <w:pStyle w:val="ESSubparaHeader"/>
        <w:keepNext w:val="0"/>
        <w:numPr>
          <w:ilvl w:val="0"/>
          <w:numId w:val="15"/>
        </w:numPr>
        <w:ind w:left="567" w:hanging="567"/>
      </w:pPr>
      <w:r w:rsidRPr="00B01E1E">
        <w:t>Subclause 9204(2) of Schedule 13 to the Migration Regulations provides the Minister may, by legislative instrument, specify an event for the purposes of par</w:t>
      </w:r>
      <w:r w:rsidR="00673BE6">
        <w:t xml:space="preserve">agraph (b) of the definition of </w:t>
      </w:r>
      <w:r w:rsidR="003D320A">
        <w:t>‘</w:t>
      </w:r>
      <w:r w:rsidR="004F41EE">
        <w:t>COVID- </w:t>
      </w:r>
      <w:r w:rsidR="00673BE6">
        <w:t xml:space="preserve">19 pandemic event 408 </w:t>
      </w:r>
      <w:r w:rsidRPr="0065592F">
        <w:t>visa</w:t>
      </w:r>
      <w:r w:rsidR="0065592F">
        <w:t>’</w:t>
      </w:r>
      <w:r w:rsidRPr="00B01E1E">
        <w:t xml:space="preserve"> in subclause 9204(1) to the Migration Regulation</w:t>
      </w:r>
      <w:r w:rsidR="00673BE6">
        <w:t>s</w:t>
      </w:r>
      <w:r w:rsidR="00BA4769">
        <w:t xml:space="preserve"> (which means</w:t>
      </w:r>
      <w:r w:rsidRPr="00B01E1E">
        <w:t>, if the event is specified for the purposes of paragraph 408.229(b) of Schedule 2 to the Migration</w:t>
      </w:r>
      <w:r w:rsidR="00673BE6">
        <w:t xml:space="preserve"> Regulations</w:t>
      </w:r>
      <w:r w:rsidR="003D320A">
        <w:t>)</w:t>
      </w:r>
      <w:r w:rsidR="00673BE6">
        <w:t>.</w:t>
      </w:r>
    </w:p>
    <w:p w14:paraId="7639DEF8" w14:textId="411D1634" w:rsidR="00673BE6" w:rsidRDefault="007A5B8B" w:rsidP="00146CC7">
      <w:pPr>
        <w:pStyle w:val="ESSubparaList"/>
        <w:numPr>
          <w:ilvl w:val="0"/>
          <w:numId w:val="15"/>
        </w:numPr>
        <w:ind w:left="567" w:hanging="567"/>
      </w:pPr>
      <w:r w:rsidRPr="003E6B2C">
        <w:t>Subclause 9204(1) of</w:t>
      </w:r>
      <w:r w:rsidR="00673BE6" w:rsidRPr="003E6B2C">
        <w:t xml:space="preserve"> Schedule 13 to the Migration Regulations defines</w:t>
      </w:r>
      <w:r w:rsidR="003E6B2C" w:rsidRPr="003E6B2C">
        <w:t xml:space="preserve"> the</w:t>
      </w:r>
      <w:r w:rsidR="00673BE6" w:rsidRPr="003E6B2C">
        <w:t xml:space="preserve"> ‘COVID-19 pandemic event 408 visa</w:t>
      </w:r>
      <w:r w:rsidRPr="003E6B2C">
        <w:t>’</w:t>
      </w:r>
      <w:r w:rsidR="00673BE6" w:rsidRPr="003E6B2C">
        <w:t xml:space="preserve"> to mean a Subclass 408 (Temporary Activity) visa</w:t>
      </w:r>
      <w:r w:rsidR="001B03C5">
        <w:t xml:space="preserve"> granted on the basis that the applicant satisfied the criterion in clause 408.219A of Schedule 2 to the </w:t>
      </w:r>
      <w:r w:rsidR="003F350A">
        <w:t xml:space="preserve">Migration </w:t>
      </w:r>
      <w:r w:rsidR="001B03C5">
        <w:t>Regulations on the basis of clause 408.229 in relation to the COVID-19 pandemic (</w:t>
      </w:r>
      <w:r w:rsidR="000E70B4">
        <w:t>a</w:t>
      </w:r>
      <w:r w:rsidR="003F350A">
        <w:t>s specified in section 5 of LIN </w:t>
      </w:r>
      <w:r w:rsidR="000E70B4">
        <w:t>22/046</w:t>
      </w:r>
      <w:r w:rsidR="001B03C5">
        <w:rPr>
          <w:color w:val="000000"/>
          <w:shd w:val="clear" w:color="auto" w:fill="FFFFFF"/>
        </w:rPr>
        <w:t>)</w:t>
      </w:r>
      <w:r w:rsidR="003E6B2C" w:rsidRPr="003E6B2C">
        <w:t>.</w:t>
      </w:r>
    </w:p>
    <w:p w14:paraId="6D6B74FE" w14:textId="745513A8" w:rsidR="003D320A" w:rsidRPr="00032091" w:rsidRDefault="00032091" w:rsidP="00032091">
      <w:pPr>
        <w:pStyle w:val="ESSubparaList"/>
        <w:numPr>
          <w:ilvl w:val="0"/>
          <w:numId w:val="0"/>
        </w:numPr>
        <w:rPr>
          <w:b/>
        </w:rPr>
      </w:pPr>
      <w:r w:rsidRPr="00032091">
        <w:rPr>
          <w:b/>
        </w:rPr>
        <w:t>LIN 23/061</w:t>
      </w:r>
      <w:r w:rsidR="003D320A" w:rsidRPr="00032091">
        <w:rPr>
          <w:b/>
        </w:rPr>
        <w:t> </w:t>
      </w:r>
    </w:p>
    <w:p w14:paraId="2C260894" w14:textId="0E1B175C" w:rsidR="000C04AB" w:rsidRDefault="00032091" w:rsidP="00146CC7">
      <w:pPr>
        <w:pStyle w:val="ESSubparaHeader"/>
        <w:keepNext w:val="0"/>
        <w:numPr>
          <w:ilvl w:val="0"/>
          <w:numId w:val="15"/>
        </w:numPr>
        <w:ind w:left="567" w:hanging="567"/>
      </w:pPr>
      <w:r>
        <w:t xml:space="preserve">The purpose of the instrument is to amend LIN 22/046 to gradually close the </w:t>
      </w:r>
      <w:r w:rsidR="00050252">
        <w:t>COVID-19 pandemic event 408</w:t>
      </w:r>
      <w:r>
        <w:t xml:space="preserve"> visa to new applications from 2 September 2023.</w:t>
      </w:r>
      <w:r w:rsidR="00146CC7">
        <w:t xml:space="preserve"> </w:t>
      </w:r>
      <w:r w:rsidR="002004BC" w:rsidRPr="00B01E1E">
        <w:t>This is designed to encourage individuals to apply for a more appropriate visa to meet their individual circumstances.</w:t>
      </w:r>
    </w:p>
    <w:p w14:paraId="435C7EB1" w14:textId="05D26913" w:rsidR="00314A3B" w:rsidRDefault="00314A3B" w:rsidP="00075F3D">
      <w:pPr>
        <w:pStyle w:val="ListParagraph"/>
        <w:numPr>
          <w:ilvl w:val="0"/>
          <w:numId w:val="15"/>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COVID-19 pandemic event 408 visa</w:t>
      </w:r>
      <w:r w:rsidR="000765BA">
        <w:rPr>
          <w:rFonts w:ascii="Times New Roman" w:hAnsi="Times New Roman" w:cs="Times New Roman"/>
        </w:rPr>
        <w:t xml:space="preserve"> </w:t>
      </w:r>
      <w:r>
        <w:rPr>
          <w:rFonts w:ascii="Times New Roman" w:hAnsi="Times New Roman" w:cs="Times New Roman"/>
        </w:rPr>
        <w:t xml:space="preserve">(Pandemic event visa) was introduced in April 2020 to enable temporary migrants to lawfully remain in Australia while the border was closed. It also addressed labour shortages in critical sectors in the local economy. Now </w:t>
      </w:r>
      <w:r w:rsidR="00571443">
        <w:rPr>
          <w:rFonts w:ascii="Times New Roman" w:hAnsi="Times New Roman" w:cs="Times New Roman"/>
        </w:rPr>
        <w:t xml:space="preserve">that </w:t>
      </w:r>
      <w:r>
        <w:rPr>
          <w:rFonts w:ascii="Times New Roman" w:hAnsi="Times New Roman" w:cs="Times New Roman"/>
        </w:rPr>
        <w:t>Australia’s borders are open and temporary visa holder numbers in Australia have returned to pre-COVID-19 levels</w:t>
      </w:r>
      <w:r w:rsidR="00571443">
        <w:rPr>
          <w:rFonts w:ascii="Times New Roman" w:hAnsi="Times New Roman" w:cs="Times New Roman"/>
        </w:rPr>
        <w:t>,</w:t>
      </w:r>
      <w:r>
        <w:rPr>
          <w:rFonts w:ascii="Times New Roman" w:hAnsi="Times New Roman" w:cs="Times New Roman"/>
        </w:rPr>
        <w:t xml:space="preserve"> the Pandemic event visa is no longer required.</w:t>
      </w:r>
    </w:p>
    <w:p w14:paraId="7BE172CA" w14:textId="1868971E" w:rsidR="00314A3B" w:rsidRDefault="00314A3B" w:rsidP="007959B1">
      <w:pPr>
        <w:pStyle w:val="ListParagraph"/>
        <w:numPr>
          <w:ilvl w:val="0"/>
          <w:numId w:val="15"/>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Closure of the </w:t>
      </w:r>
      <w:r w:rsidR="000765BA">
        <w:rPr>
          <w:rFonts w:ascii="Times New Roman" w:hAnsi="Times New Roman" w:cs="Times New Roman"/>
        </w:rPr>
        <w:t>Pandemic</w:t>
      </w:r>
      <w:r>
        <w:rPr>
          <w:rFonts w:ascii="Times New Roman" w:hAnsi="Times New Roman" w:cs="Times New Roman"/>
        </w:rPr>
        <w:t xml:space="preserve"> event visa will contribute to a well-managed migration system that better regulates visa pathways and normalises the </w:t>
      </w:r>
      <w:r w:rsidR="000765BA">
        <w:rPr>
          <w:rFonts w:ascii="Times New Roman" w:hAnsi="Times New Roman" w:cs="Times New Roman"/>
        </w:rPr>
        <w:t>flow</w:t>
      </w:r>
      <w:r>
        <w:rPr>
          <w:rFonts w:ascii="Times New Roman" w:hAnsi="Times New Roman" w:cs="Times New Roman"/>
        </w:rPr>
        <w:t xml:space="preserve"> of temporary migrants in and out of Australia. It will help to ensure that people are applying for the right visa that matches the reason for their travel and stay in Australia.</w:t>
      </w:r>
    </w:p>
    <w:p w14:paraId="2733D0E6" w14:textId="5E698488" w:rsidR="001733A1" w:rsidRPr="00B01E1E" w:rsidRDefault="00314A3B" w:rsidP="00146CC7">
      <w:pPr>
        <w:pStyle w:val="ListParagraph"/>
        <w:numPr>
          <w:ilvl w:val="0"/>
          <w:numId w:val="15"/>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Closure </w:t>
      </w:r>
      <w:r w:rsidR="000765BA">
        <w:rPr>
          <w:rFonts w:ascii="Times New Roman" w:hAnsi="Times New Roman" w:cs="Times New Roman"/>
        </w:rPr>
        <w:t xml:space="preserve">of the Pandemic event visa </w:t>
      </w:r>
      <w:r>
        <w:rPr>
          <w:rFonts w:ascii="Times New Roman" w:hAnsi="Times New Roman" w:cs="Times New Roman"/>
        </w:rPr>
        <w:t>also bolster</w:t>
      </w:r>
      <w:r w:rsidR="000765BA">
        <w:rPr>
          <w:rFonts w:ascii="Times New Roman" w:hAnsi="Times New Roman" w:cs="Times New Roman"/>
        </w:rPr>
        <w:t>s</w:t>
      </w:r>
      <w:r w:rsidR="00865AC6">
        <w:rPr>
          <w:rFonts w:ascii="Times New Roman" w:hAnsi="Times New Roman" w:cs="Times New Roman"/>
        </w:rPr>
        <w:t xml:space="preserve"> the</w:t>
      </w:r>
      <w:r>
        <w:rPr>
          <w:rFonts w:ascii="Times New Roman" w:hAnsi="Times New Roman" w:cs="Times New Roman"/>
        </w:rPr>
        <w:t xml:space="preserve"> integrity of Australia’s visa system. Along with employers who seek to utilise the visa t</w:t>
      </w:r>
      <w:r w:rsidR="000765BA">
        <w:rPr>
          <w:rFonts w:ascii="Times New Roman" w:hAnsi="Times New Roman" w:cs="Times New Roman"/>
        </w:rPr>
        <w:t>o</w:t>
      </w:r>
      <w:r>
        <w:rPr>
          <w:rFonts w:ascii="Times New Roman" w:hAnsi="Times New Roman" w:cs="Times New Roman"/>
        </w:rPr>
        <w:t xml:space="preserve"> av</w:t>
      </w:r>
      <w:r w:rsidR="000765BA">
        <w:rPr>
          <w:rFonts w:ascii="Times New Roman" w:hAnsi="Times New Roman" w:cs="Times New Roman"/>
        </w:rPr>
        <w:t>oid sponsorship obligations, an</w:t>
      </w:r>
      <w:r>
        <w:rPr>
          <w:rFonts w:ascii="Times New Roman" w:hAnsi="Times New Roman" w:cs="Times New Roman"/>
        </w:rPr>
        <w:t xml:space="preserve"> increasing number of potential </w:t>
      </w:r>
      <w:r w:rsidR="000765BA">
        <w:rPr>
          <w:rFonts w:ascii="Times New Roman" w:hAnsi="Times New Roman" w:cs="Times New Roman"/>
        </w:rPr>
        <w:t>migrants</w:t>
      </w:r>
      <w:r>
        <w:rPr>
          <w:rFonts w:ascii="Times New Roman" w:hAnsi="Times New Roman" w:cs="Times New Roman"/>
        </w:rPr>
        <w:t xml:space="preserve"> have been coming to Australia with the </w:t>
      </w:r>
      <w:r w:rsidR="000765BA">
        <w:rPr>
          <w:rFonts w:ascii="Times New Roman" w:hAnsi="Times New Roman" w:cs="Times New Roman"/>
        </w:rPr>
        <w:t>intent of applying for the Pandemic event visa</w:t>
      </w:r>
      <w:r>
        <w:rPr>
          <w:rFonts w:ascii="Times New Roman" w:hAnsi="Times New Roman" w:cs="Times New Roman"/>
        </w:rPr>
        <w:t xml:space="preserve"> as soon as possible. </w:t>
      </w:r>
      <w:r w:rsidR="000765BA">
        <w:rPr>
          <w:rFonts w:ascii="Times New Roman" w:hAnsi="Times New Roman" w:cs="Times New Roman"/>
        </w:rPr>
        <w:t>This is most prevalent in the English l</w:t>
      </w:r>
      <w:r w:rsidR="003A482D">
        <w:rPr>
          <w:rFonts w:ascii="Times New Roman" w:hAnsi="Times New Roman" w:cs="Times New Roman"/>
        </w:rPr>
        <w:t xml:space="preserve">anguage education sector, where </w:t>
      </w:r>
      <w:r w:rsidR="000765BA">
        <w:rPr>
          <w:rFonts w:ascii="Times New Roman" w:hAnsi="Times New Roman" w:cs="Times New Roman"/>
        </w:rPr>
        <w:t>international students were withdrawing from courses upon arrival.</w:t>
      </w:r>
    </w:p>
    <w:p w14:paraId="09E1C766" w14:textId="77777777" w:rsidR="008B24C8" w:rsidRDefault="008B24C8" w:rsidP="00100DFC">
      <w:pPr>
        <w:pStyle w:val="ESHeading"/>
      </w:pPr>
      <w:r w:rsidRPr="008B24C8">
        <w:t>Consultation</w:t>
      </w:r>
    </w:p>
    <w:p w14:paraId="35AB3E3E" w14:textId="5CF45245" w:rsidR="008B24C8" w:rsidRPr="00B01E1E" w:rsidRDefault="005002CC" w:rsidP="00146CC7">
      <w:pPr>
        <w:pStyle w:val="ESPara"/>
        <w:numPr>
          <w:ilvl w:val="0"/>
          <w:numId w:val="15"/>
        </w:numPr>
        <w:ind w:left="567" w:hanging="567"/>
      </w:pPr>
      <w:r w:rsidRPr="00B01E1E">
        <w:t xml:space="preserve">The Department </w:t>
      </w:r>
      <w:r w:rsidR="00EF69BB" w:rsidRPr="00B01E1E">
        <w:t xml:space="preserve">of Home Affairs (the Department) </w:t>
      </w:r>
      <w:r w:rsidRPr="00B01E1E">
        <w:t>has undertaken consultation with</w:t>
      </w:r>
      <w:r w:rsidR="00EF69BB" w:rsidRPr="00B01E1E">
        <w:t xml:space="preserve"> internal </w:t>
      </w:r>
      <w:r w:rsidR="001B03C5">
        <w:t>stakeholders</w:t>
      </w:r>
      <w:r w:rsidR="00EF69BB" w:rsidRPr="00B01E1E">
        <w:t xml:space="preserve">, </w:t>
      </w:r>
      <w:r w:rsidR="00650357">
        <w:t>through a whole of government cabinet process</w:t>
      </w:r>
      <w:r w:rsidR="00314A3B">
        <w:t>.</w:t>
      </w:r>
    </w:p>
    <w:p w14:paraId="7BE8C22A" w14:textId="67CF8109" w:rsidR="00DE5B4B" w:rsidRPr="00B01E1E" w:rsidRDefault="008B24C8" w:rsidP="00146CC7">
      <w:pPr>
        <w:pStyle w:val="ESPara"/>
        <w:numPr>
          <w:ilvl w:val="0"/>
          <w:numId w:val="15"/>
        </w:numPr>
        <w:ind w:left="567" w:hanging="567"/>
      </w:pPr>
      <w:r w:rsidRPr="00B01E1E">
        <w:t xml:space="preserve">The </w:t>
      </w:r>
      <w:r w:rsidR="005002CC" w:rsidRPr="00B01E1E">
        <w:t>Office of Impact Analysis (OIA) was</w:t>
      </w:r>
      <w:r w:rsidRPr="00B01E1E">
        <w:t xml:space="preserve"> consulted and considered that the </w:t>
      </w:r>
      <w:r w:rsidR="00DE5B4B" w:rsidRPr="00B01E1E">
        <w:t>measures in this instrument are unlikely to have more than a minor or machinery regulatory impact and therefore an Impact Analysis is not required.</w:t>
      </w:r>
    </w:p>
    <w:p w14:paraId="097BD437" w14:textId="56DA5416" w:rsidR="008B24C8" w:rsidRPr="008B24C8" w:rsidRDefault="00DE5B4B" w:rsidP="00146CC7">
      <w:pPr>
        <w:pStyle w:val="ESPara"/>
        <w:numPr>
          <w:ilvl w:val="0"/>
          <w:numId w:val="12"/>
        </w:numPr>
        <w:ind w:left="924" w:hanging="357"/>
      </w:pPr>
      <w:r>
        <w:lastRenderedPageBreak/>
        <w:t>The OIA</w:t>
      </w:r>
      <w:r w:rsidR="008B24C8">
        <w:t xml:space="preserve"> reference number is </w:t>
      </w:r>
      <w:r w:rsidR="005002CC" w:rsidRPr="005002CC">
        <w:t>OIA23-05026</w:t>
      </w:r>
      <w:r>
        <w:t>.</w:t>
      </w:r>
    </w:p>
    <w:p w14:paraId="6A5CA596" w14:textId="77777777" w:rsidR="00AA4557" w:rsidRDefault="00464080" w:rsidP="00100DFC">
      <w:pPr>
        <w:pStyle w:val="ESHeading"/>
      </w:pPr>
      <w:r>
        <w:t>Details</w:t>
      </w:r>
      <w:r w:rsidR="00AA4557">
        <w:t xml:space="preserve"> of the instrument</w:t>
      </w:r>
    </w:p>
    <w:p w14:paraId="3FB2824E" w14:textId="77777777" w:rsidR="00AA4557" w:rsidRDefault="00AA4557" w:rsidP="00146CC7">
      <w:pPr>
        <w:pStyle w:val="ESPara"/>
        <w:numPr>
          <w:ilvl w:val="0"/>
          <w:numId w:val="15"/>
        </w:numPr>
        <w:ind w:left="567" w:hanging="567"/>
      </w:pPr>
      <w:r>
        <w:t>Section 1 sets out</w:t>
      </w:r>
      <w:r w:rsidR="00E03DCC">
        <w:t xml:space="preserve"> the name of the instrument. </w:t>
      </w:r>
    </w:p>
    <w:p w14:paraId="3E3DAE5F" w14:textId="174A69B9" w:rsidR="00AA4557" w:rsidRDefault="00AA4557" w:rsidP="00146CC7">
      <w:pPr>
        <w:pStyle w:val="ESPara"/>
        <w:numPr>
          <w:ilvl w:val="0"/>
          <w:numId w:val="15"/>
        </w:numPr>
        <w:ind w:left="567" w:hanging="567"/>
      </w:pPr>
      <w:r>
        <w:t>Section 2 provides for the commencement of the instru</w:t>
      </w:r>
      <w:r w:rsidR="007A2479">
        <w:t>m</w:t>
      </w:r>
      <w:r w:rsidR="00032091">
        <w:t>ent on 2 September 2023</w:t>
      </w:r>
      <w:r w:rsidR="00DE42B2">
        <w:t>.</w:t>
      </w:r>
    </w:p>
    <w:p w14:paraId="5F5749A7" w14:textId="750657D5" w:rsidR="00AA4F77" w:rsidRDefault="00AA4F77" w:rsidP="00146CC7">
      <w:pPr>
        <w:pStyle w:val="ESPara"/>
        <w:numPr>
          <w:ilvl w:val="0"/>
          <w:numId w:val="15"/>
        </w:numPr>
        <w:ind w:left="567" w:hanging="567"/>
      </w:pPr>
      <w:r>
        <w:t xml:space="preserve">Section 3 </w:t>
      </w:r>
      <w:r w:rsidR="007A2479">
        <w:t>provides that Schedule</w:t>
      </w:r>
      <w:r w:rsidR="0065592F">
        <w:t xml:space="preserve"> 1 to the instrument amends LIN </w:t>
      </w:r>
      <w:r w:rsidR="007A2479">
        <w:t>22/046.</w:t>
      </w:r>
      <w:r>
        <w:t xml:space="preserve"> </w:t>
      </w:r>
    </w:p>
    <w:p w14:paraId="2A97858D" w14:textId="4B666E6F" w:rsidR="00320CD9" w:rsidRPr="00320CD9" w:rsidRDefault="00C83587" w:rsidP="00146CC7">
      <w:pPr>
        <w:pStyle w:val="ESPara"/>
        <w:numPr>
          <w:ilvl w:val="0"/>
          <w:numId w:val="15"/>
        </w:numPr>
        <w:ind w:left="567" w:hanging="567"/>
      </w:pPr>
      <w:r>
        <w:t xml:space="preserve">Item 1 of Schedule 1 </w:t>
      </w:r>
      <w:r w:rsidR="00AA148A">
        <w:t xml:space="preserve">to </w:t>
      </w:r>
      <w:r>
        <w:t xml:space="preserve">the instrument </w:t>
      </w:r>
      <w:r w:rsidR="00590CEB">
        <w:t xml:space="preserve">inserts new section 3A, which provides that the amendments made by this instrument will apply to an application </w:t>
      </w:r>
      <w:r w:rsidR="00320CD9">
        <w:t>for a Subclass 408</w:t>
      </w:r>
      <w:r w:rsidR="00590CEB">
        <w:t xml:space="preserve"> (Temporary Activity)</w:t>
      </w:r>
      <w:r w:rsidR="00320CD9">
        <w:t xml:space="preserve"> visa</w:t>
      </w:r>
      <w:r w:rsidR="00590CEB">
        <w:t xml:space="preserve"> made on or after commencement. This means that</w:t>
      </w:r>
      <w:r w:rsidR="00320CD9">
        <w:t xml:space="preserve"> </w:t>
      </w:r>
      <w:r w:rsidR="00320CD9" w:rsidRPr="00320CD9">
        <w:t>applications made up to and including 1 September 2023, which have not been determined, will continue to be assessed agai</w:t>
      </w:r>
      <w:r w:rsidR="0065592F">
        <w:t>nst the criteria set out in LIN </w:t>
      </w:r>
      <w:r w:rsidR="00320CD9" w:rsidRPr="00320CD9">
        <w:t>22/046</w:t>
      </w:r>
      <w:r w:rsidR="00590CEB">
        <w:t xml:space="preserve"> as in force before this instrument’s commencement</w:t>
      </w:r>
      <w:r w:rsidR="00315D77">
        <w:t>.</w:t>
      </w:r>
    </w:p>
    <w:p w14:paraId="07AD6550" w14:textId="76D02781" w:rsidR="00DE42B2" w:rsidRDefault="00320CD9" w:rsidP="00146CC7">
      <w:pPr>
        <w:pStyle w:val="ESPara"/>
        <w:numPr>
          <w:ilvl w:val="0"/>
          <w:numId w:val="15"/>
        </w:numPr>
        <w:ind w:left="567" w:hanging="567"/>
      </w:pPr>
      <w:r>
        <w:t xml:space="preserve">Item 2 of Schedule 1 </w:t>
      </w:r>
      <w:r w:rsidR="00AA148A">
        <w:t xml:space="preserve">to </w:t>
      </w:r>
      <w:r>
        <w:t>the in</w:t>
      </w:r>
      <w:r w:rsidR="00315D77">
        <w:t xml:space="preserve">strument </w:t>
      </w:r>
      <w:r w:rsidR="00DE42B2">
        <w:t xml:space="preserve">repeals the definitions </w:t>
      </w:r>
      <w:r w:rsidR="00600212">
        <w:t xml:space="preserve">of </w:t>
      </w:r>
      <w:r w:rsidR="00DE42B2">
        <w:t>‘relevant temporary visa’, ‘Subclas</w:t>
      </w:r>
      <w:r w:rsidR="003F350A">
        <w:t xml:space="preserve">s 403 Seasonal Worker visa’. </w:t>
      </w:r>
      <w:r w:rsidR="00DE42B2">
        <w:t xml:space="preserve">‘substantive temporary visa’ </w:t>
      </w:r>
      <w:r w:rsidR="003F350A">
        <w:t xml:space="preserve">and ‘work rights’ </w:t>
      </w:r>
      <w:r w:rsidR="00B23506">
        <w:t xml:space="preserve">in </w:t>
      </w:r>
      <w:r w:rsidR="000F4656">
        <w:t>section 4 of</w:t>
      </w:r>
      <w:r w:rsidR="00DE42B2">
        <w:t xml:space="preserve"> LIN 22/046.</w:t>
      </w:r>
      <w:r w:rsidR="00600212">
        <w:t xml:space="preserve"> These repeals are consequential to the amendments made by items 6 and 7 of Schedule 1 to the instrument. </w:t>
      </w:r>
    </w:p>
    <w:p w14:paraId="4F44C612" w14:textId="6B69E3CD" w:rsidR="000765BA" w:rsidRDefault="000765BA" w:rsidP="00146CC7">
      <w:pPr>
        <w:pStyle w:val="ESPara"/>
        <w:numPr>
          <w:ilvl w:val="0"/>
          <w:numId w:val="15"/>
        </w:numPr>
        <w:ind w:left="567" w:hanging="567"/>
      </w:pPr>
      <w:r>
        <w:t xml:space="preserve">Item 3 of Schedule 1 </w:t>
      </w:r>
      <w:r w:rsidR="00AA148A">
        <w:t xml:space="preserve">to </w:t>
      </w:r>
      <w:r>
        <w:t xml:space="preserve">the instrument substitutes the definition of </w:t>
      </w:r>
      <w:r w:rsidR="00075F3D">
        <w:t>‘Subclass 408</w:t>
      </w:r>
      <w:r>
        <w:t xml:space="preserve"> visa’ </w:t>
      </w:r>
      <w:r w:rsidR="00B23506">
        <w:t xml:space="preserve">in section 4 of LIN 22/046 </w:t>
      </w:r>
      <w:r w:rsidR="000E70B4">
        <w:t>with a new definition of ‘</w:t>
      </w:r>
      <w:r>
        <w:t>COVID-19 pandemic event 408 visa</w:t>
      </w:r>
      <w:r w:rsidR="000E70B4">
        <w:t>’</w:t>
      </w:r>
      <w:r>
        <w:t>.</w:t>
      </w:r>
      <w:r w:rsidR="000E70B4">
        <w:t xml:space="preserve"> This definition provides that this term has the same meaning as in Division 3 of Part 92 of Schedule 13 to the </w:t>
      </w:r>
      <w:r w:rsidR="00EB6FA2">
        <w:t xml:space="preserve">Migration </w:t>
      </w:r>
      <w:r w:rsidR="000E70B4">
        <w:t xml:space="preserve">Regulations. Subclause 9204(1) of Schedule 13 to the </w:t>
      </w:r>
      <w:r w:rsidR="003A482D">
        <w:t xml:space="preserve">Migration </w:t>
      </w:r>
      <w:r w:rsidR="000E70B4">
        <w:t xml:space="preserve">Regulations provides that COVID-19 pandemic event 408 visa means a Subclass 408 (Temporary Activity) visa </w:t>
      </w:r>
      <w:r w:rsidR="000E70B4">
        <w:rPr>
          <w:color w:val="000000"/>
          <w:shd w:val="clear" w:color="auto" w:fill="FFFFFF"/>
        </w:rPr>
        <w:t xml:space="preserve">granted on the basis that the applicant satisfied the criterion in clause 408.219A of Schedule 2 to the </w:t>
      </w:r>
      <w:r w:rsidR="00EB6FA2">
        <w:rPr>
          <w:color w:val="000000"/>
          <w:shd w:val="clear" w:color="auto" w:fill="FFFFFF"/>
        </w:rPr>
        <w:t xml:space="preserve">Migration </w:t>
      </w:r>
      <w:r w:rsidR="000E70B4">
        <w:rPr>
          <w:color w:val="000000"/>
          <w:shd w:val="clear" w:color="auto" w:fill="FFFFFF"/>
        </w:rPr>
        <w:t>Regulations on the basis of clause 408.229 (Australian Government endorsed events) in relation to the COVID-19 pandemic (as specified in section 5 of LIN 22/046).</w:t>
      </w:r>
    </w:p>
    <w:p w14:paraId="526002DE" w14:textId="2A7C9CF2" w:rsidR="00DE42B2" w:rsidRDefault="00DE42B2" w:rsidP="00146CC7">
      <w:pPr>
        <w:pStyle w:val="ESPara"/>
        <w:numPr>
          <w:ilvl w:val="0"/>
          <w:numId w:val="15"/>
        </w:numPr>
        <w:ind w:left="567" w:hanging="567"/>
      </w:pPr>
      <w:r>
        <w:t xml:space="preserve">Item </w:t>
      </w:r>
      <w:r w:rsidR="000765BA">
        <w:t xml:space="preserve">4 </w:t>
      </w:r>
      <w:r>
        <w:t xml:space="preserve">of Schedule 1 </w:t>
      </w:r>
      <w:r w:rsidR="00AA148A">
        <w:t xml:space="preserve">to </w:t>
      </w:r>
      <w:r>
        <w:t>the instrument rep</w:t>
      </w:r>
      <w:r w:rsidR="000F4656">
        <w:t xml:space="preserve">eals the note under section 4 </w:t>
      </w:r>
      <w:r w:rsidR="00B23506">
        <w:t xml:space="preserve">of </w:t>
      </w:r>
      <w:r>
        <w:t>LIN 22/046.</w:t>
      </w:r>
      <w:r w:rsidR="006A17B2">
        <w:t xml:space="preserve"> This repeal is consequential to the amendments made by items 6 and 7 of Schedule 1 to the instrument. </w:t>
      </w:r>
    </w:p>
    <w:p w14:paraId="3E748468" w14:textId="0243E5F7" w:rsidR="00DE42B2" w:rsidRDefault="00DE42B2" w:rsidP="00146CC7">
      <w:pPr>
        <w:pStyle w:val="ESPara"/>
        <w:numPr>
          <w:ilvl w:val="0"/>
          <w:numId w:val="15"/>
        </w:numPr>
        <w:ind w:left="567" w:hanging="567"/>
      </w:pPr>
      <w:r>
        <w:t xml:space="preserve">Item </w:t>
      </w:r>
      <w:r w:rsidR="000765BA">
        <w:t xml:space="preserve">5 </w:t>
      </w:r>
      <w:r>
        <w:t xml:space="preserve">of Schedule 1 </w:t>
      </w:r>
      <w:r w:rsidR="00AA148A">
        <w:t xml:space="preserve">to </w:t>
      </w:r>
      <w:r>
        <w:t xml:space="preserve">the instrument omits </w:t>
      </w:r>
      <w:r w:rsidR="00B23506">
        <w:t xml:space="preserve">references to </w:t>
      </w:r>
      <w:r>
        <w:t xml:space="preserve">subsections 6(3), 6(4) or 6(5) </w:t>
      </w:r>
      <w:r w:rsidR="00B23506">
        <w:t xml:space="preserve">in </w:t>
      </w:r>
      <w:r>
        <w:t>subsection 6(1) of LIN 22/046.</w:t>
      </w:r>
      <w:r w:rsidR="00690EB6">
        <w:t xml:space="preserve"> </w:t>
      </w:r>
      <w:r w:rsidR="000A61CB">
        <w:t>These repeals are consequential to the amendments made by item 7 of Schedule 1 to the instrument.</w:t>
      </w:r>
    </w:p>
    <w:p w14:paraId="426BF441" w14:textId="6F2AAA12" w:rsidR="00DE42B2" w:rsidRDefault="00DE42B2" w:rsidP="00146CC7">
      <w:pPr>
        <w:pStyle w:val="ESPara"/>
        <w:numPr>
          <w:ilvl w:val="0"/>
          <w:numId w:val="15"/>
        </w:numPr>
        <w:ind w:left="567" w:hanging="567"/>
      </w:pPr>
      <w:r>
        <w:t xml:space="preserve">Item </w:t>
      </w:r>
      <w:r w:rsidR="000765BA">
        <w:t xml:space="preserve">6 </w:t>
      </w:r>
      <w:r>
        <w:t xml:space="preserve">of Schedule 1 </w:t>
      </w:r>
      <w:r w:rsidR="00AA148A">
        <w:t xml:space="preserve">to </w:t>
      </w:r>
      <w:r>
        <w:t>the in</w:t>
      </w:r>
      <w:r w:rsidR="0067449A">
        <w:t>strument amends</w:t>
      </w:r>
      <w:r>
        <w:t xml:space="preserve"> paragraph 6(2)(c) o</w:t>
      </w:r>
      <w:r w:rsidR="0067449A">
        <w:t>f LIN 22/046.</w:t>
      </w:r>
      <w:r w:rsidR="000A61CB">
        <w:t xml:space="preserve"> The effect of this amendment is that an applicant for a Subclass 408 (Temporary Activity) visa will be in a class of persons specified for paragraph 408.229(c) of Schedule 2 to the </w:t>
      </w:r>
      <w:r w:rsidR="003A482D">
        <w:t xml:space="preserve">Migration </w:t>
      </w:r>
      <w:r w:rsidR="000A61CB">
        <w:t xml:space="preserve">Regulations if the applicant is in Australia; is working or is in receipt of an offer to work in Australia; and holds a </w:t>
      </w:r>
      <w:r w:rsidR="008C7324">
        <w:t>P</w:t>
      </w:r>
      <w:r w:rsidR="000A61CB">
        <w:t>andemic event visa</w:t>
      </w:r>
      <w:r w:rsidR="00D71731">
        <w:t xml:space="preserve"> that is 28 days or less from ceasing to be in effect or has held a </w:t>
      </w:r>
      <w:r w:rsidR="008C7324">
        <w:t>P</w:t>
      </w:r>
      <w:r w:rsidR="00D71731">
        <w:t>andemic event visa that ceased not more than 28 days before the application date</w:t>
      </w:r>
      <w:r w:rsidR="000A61CB">
        <w:t xml:space="preserve">. </w:t>
      </w:r>
    </w:p>
    <w:p w14:paraId="768222C3" w14:textId="5D92AC6B" w:rsidR="003A3CA4" w:rsidRDefault="00DE42B2" w:rsidP="00146CC7">
      <w:pPr>
        <w:pStyle w:val="ESPara"/>
        <w:numPr>
          <w:ilvl w:val="0"/>
          <w:numId w:val="15"/>
        </w:numPr>
        <w:ind w:left="567" w:hanging="567"/>
      </w:pPr>
      <w:r>
        <w:t xml:space="preserve">Item </w:t>
      </w:r>
      <w:r w:rsidR="000765BA">
        <w:t xml:space="preserve">7 </w:t>
      </w:r>
      <w:r>
        <w:t xml:space="preserve">of Schedule 1 </w:t>
      </w:r>
      <w:r w:rsidR="00AA148A">
        <w:t xml:space="preserve">to </w:t>
      </w:r>
      <w:r>
        <w:t>the instrument repeals</w:t>
      </w:r>
      <w:r w:rsidR="000F4656">
        <w:t xml:space="preserve"> paragraphs 6(3), (4) and (5) </w:t>
      </w:r>
      <w:r w:rsidR="00B23506">
        <w:t xml:space="preserve">of </w:t>
      </w:r>
      <w:r>
        <w:t>LIN 22/046.</w:t>
      </w:r>
      <w:r w:rsidR="00690EB6">
        <w:t xml:space="preserve"> </w:t>
      </w:r>
    </w:p>
    <w:p w14:paraId="395A50D7" w14:textId="77E940A3" w:rsidR="00315D77" w:rsidRDefault="00B55286" w:rsidP="00146CC7">
      <w:pPr>
        <w:pStyle w:val="ESPara"/>
        <w:numPr>
          <w:ilvl w:val="0"/>
          <w:numId w:val="15"/>
        </w:numPr>
        <w:ind w:left="567" w:hanging="567"/>
      </w:pPr>
      <w:r>
        <w:t xml:space="preserve">Item </w:t>
      </w:r>
      <w:r w:rsidR="000765BA">
        <w:t xml:space="preserve">8 </w:t>
      </w:r>
      <w:r w:rsidR="00F66DD2">
        <w:t xml:space="preserve">of Schedule 1 </w:t>
      </w:r>
      <w:r w:rsidR="00AA148A">
        <w:t xml:space="preserve">to </w:t>
      </w:r>
      <w:r w:rsidR="00F66DD2">
        <w:t xml:space="preserve">this instrument </w:t>
      </w:r>
      <w:r w:rsidR="000F4656">
        <w:t xml:space="preserve">repeals section 7 </w:t>
      </w:r>
      <w:r w:rsidR="00B23506">
        <w:t xml:space="preserve">of </w:t>
      </w:r>
      <w:r>
        <w:t xml:space="preserve">LIN 22/046. </w:t>
      </w:r>
      <w:r w:rsidR="00B23506">
        <w:t>This means that applicants for the Pandemic event visa are no longer specified as a class of persons for whom the visa application charge is nil (for subparagraph 1237(2)(a)(i) of Schedule 1 to the</w:t>
      </w:r>
      <w:r w:rsidR="00EB6FA2">
        <w:t xml:space="preserve"> Migration</w:t>
      </w:r>
      <w:r w:rsidR="00B23506">
        <w:t xml:space="preserve"> Regulations). For applicants not covered by subparagraphs 1237(2)(a)(i), (ii), or (iii)</w:t>
      </w:r>
      <w:r w:rsidR="00EB6FA2">
        <w:t xml:space="preserve"> of Schedule 1</w:t>
      </w:r>
      <w:r w:rsidR="00B23506">
        <w:t xml:space="preserve">, the base application </w:t>
      </w:r>
      <w:r w:rsidR="00B23506">
        <w:lastRenderedPageBreak/>
        <w:t xml:space="preserve">charge mentioned in subparagraph 1237(2)(a)(iv) </w:t>
      </w:r>
      <w:r w:rsidR="00EB6FA2">
        <w:t xml:space="preserve">of Schedule 1 to the Migration Regulations </w:t>
      </w:r>
      <w:r w:rsidR="00B23506">
        <w:t>applies</w:t>
      </w:r>
      <w:r w:rsidR="00EB6FA2">
        <w:t>, being $405.00</w:t>
      </w:r>
      <w:r w:rsidR="00B23506">
        <w:t xml:space="preserve">. </w:t>
      </w:r>
    </w:p>
    <w:p w14:paraId="2845B666" w14:textId="2484A331" w:rsidR="000765BA" w:rsidRDefault="000765BA" w:rsidP="00146CC7">
      <w:pPr>
        <w:pStyle w:val="ESPara"/>
        <w:numPr>
          <w:ilvl w:val="0"/>
          <w:numId w:val="15"/>
        </w:numPr>
        <w:ind w:left="567" w:hanging="567"/>
      </w:pPr>
      <w:r>
        <w:t xml:space="preserve">Item 9 of Schedule 1 </w:t>
      </w:r>
      <w:r w:rsidR="00AA148A">
        <w:t xml:space="preserve">to </w:t>
      </w:r>
      <w:r>
        <w:t xml:space="preserve">this instrument repeals the note under section 7 </w:t>
      </w:r>
      <w:r w:rsidR="00B23506">
        <w:t xml:space="preserve">of </w:t>
      </w:r>
      <w:r>
        <w:t>LIN 22/046.</w:t>
      </w:r>
    </w:p>
    <w:p w14:paraId="7D399779" w14:textId="5FBCE0DE" w:rsidR="00AA4557" w:rsidRPr="00AA4557" w:rsidRDefault="00AA4557" w:rsidP="00100DFC">
      <w:pPr>
        <w:pStyle w:val="ESHeading"/>
      </w:pPr>
      <w:r>
        <w:t xml:space="preserve">Parliamentary scrutiny etc.  </w:t>
      </w:r>
    </w:p>
    <w:p w14:paraId="2FDA6043" w14:textId="4D4E1E6A" w:rsidR="00B02CE3" w:rsidRDefault="00E03DCC" w:rsidP="00146CC7">
      <w:pPr>
        <w:pStyle w:val="ESPara"/>
        <w:numPr>
          <w:ilvl w:val="0"/>
          <w:numId w:val="15"/>
        </w:numPr>
        <w:ind w:left="567" w:hanging="567"/>
      </w:pPr>
      <w:r>
        <w:t>The instrument is exempt from disallowance under section 42 of the Leg</w:t>
      </w:r>
      <w:r w:rsidR="00F44717">
        <w:t xml:space="preserve">islation Act. </w:t>
      </w:r>
      <w:r w:rsidR="00B02CE3">
        <w:t xml:space="preserve">This is because it is an instrument made under subregulation 2.07(5) of the Migration Regulations, for the purposes of </w:t>
      </w:r>
      <w:r w:rsidR="00C15247">
        <w:t>subparagraph 1237(2)(a)(i</w:t>
      </w:r>
      <w:r w:rsidR="00B02CE3">
        <w:t>) of Schedule 1</w:t>
      </w:r>
      <w:r w:rsidR="00F44717">
        <w:t xml:space="preserve"> to</w:t>
      </w:r>
      <w:r w:rsidR="00C15247">
        <w:t>, and paragraph 408.229</w:t>
      </w:r>
      <w:r w:rsidR="00B02CE3">
        <w:t>(c) of Schedule 2</w:t>
      </w:r>
      <w:r w:rsidR="00F44717">
        <w:t xml:space="preserve"> to the Migration Regulations</w:t>
      </w:r>
      <w:r w:rsidR="00B02CE3">
        <w:t xml:space="preserve">, which is exempt from disallowance under subitem 20(b) of the table in section 10 of the </w:t>
      </w:r>
      <w:r w:rsidR="00B02CE3" w:rsidRPr="00F44717">
        <w:rPr>
          <w:i/>
        </w:rPr>
        <w:t>Legislation (Exemptions and Other Matters) Regulation 2015</w:t>
      </w:r>
      <w:r w:rsidR="00B02CE3">
        <w:t>.</w:t>
      </w:r>
    </w:p>
    <w:p w14:paraId="0B8A7985" w14:textId="0425AD8B" w:rsidR="00B02CE3" w:rsidRDefault="00B02CE3" w:rsidP="00146CC7">
      <w:pPr>
        <w:pStyle w:val="ESPara"/>
        <w:numPr>
          <w:ilvl w:val="0"/>
          <w:numId w:val="15"/>
        </w:numPr>
        <w:ind w:left="567" w:hanging="567"/>
      </w:pPr>
      <w:r>
        <w:t>As the instrument is exempt from disallowance, a Statement of Compatibility with Human Rights is not required.</w:t>
      </w:r>
    </w:p>
    <w:p w14:paraId="7D228587" w14:textId="727340EC" w:rsidR="00B02CE3" w:rsidRDefault="00B02CE3" w:rsidP="00146CC7">
      <w:pPr>
        <w:pStyle w:val="ESPara"/>
        <w:numPr>
          <w:ilvl w:val="0"/>
          <w:numId w:val="15"/>
        </w:numPr>
        <w:ind w:left="567" w:hanging="567"/>
      </w:pPr>
      <w:r>
        <w:t xml:space="preserve">The instrument is made by a delegate of the Minister, in accordance with the following provisions of the </w:t>
      </w:r>
      <w:r w:rsidR="00F44717">
        <w:t>Migration Regulations</w:t>
      </w:r>
      <w:r>
        <w:t>:</w:t>
      </w:r>
    </w:p>
    <w:p w14:paraId="49637959" w14:textId="2C9B007B" w:rsidR="00B02CE3" w:rsidRDefault="00B02CE3" w:rsidP="00B01E1E">
      <w:pPr>
        <w:pStyle w:val="ESPara"/>
        <w:numPr>
          <w:ilvl w:val="0"/>
          <w:numId w:val="13"/>
        </w:numPr>
        <w:ind w:left="924" w:hanging="357"/>
      </w:pPr>
      <w:r>
        <w:t xml:space="preserve">subregulation 2.07(5); </w:t>
      </w:r>
    </w:p>
    <w:p w14:paraId="08332C85" w14:textId="2239FDE0" w:rsidR="00B02CE3" w:rsidRDefault="00146CC7" w:rsidP="00B01E1E">
      <w:pPr>
        <w:pStyle w:val="ESPara"/>
        <w:numPr>
          <w:ilvl w:val="0"/>
          <w:numId w:val="13"/>
        </w:numPr>
        <w:ind w:left="924" w:hanging="357"/>
      </w:pPr>
      <w:r>
        <w:t>subparagraph 1237(2)(a)(i</w:t>
      </w:r>
      <w:r w:rsidR="00B02CE3">
        <w:t xml:space="preserve">) of Schedule 1; </w:t>
      </w:r>
      <w:r>
        <w:t>and</w:t>
      </w:r>
    </w:p>
    <w:p w14:paraId="4D335AB2" w14:textId="03693CB8" w:rsidR="00B02CE3" w:rsidRDefault="0067449A" w:rsidP="00146CC7">
      <w:pPr>
        <w:pStyle w:val="ESPara"/>
        <w:numPr>
          <w:ilvl w:val="0"/>
          <w:numId w:val="13"/>
        </w:numPr>
        <w:ind w:left="924" w:hanging="357"/>
      </w:pPr>
      <w:r>
        <w:t>paragraph</w:t>
      </w:r>
      <w:r w:rsidR="00146CC7">
        <w:t xml:space="preserve"> 408.229(c) of Schedule 2.</w:t>
      </w:r>
    </w:p>
    <w:p w14:paraId="2E5DFC3F" w14:textId="77777777" w:rsidR="007E4691" w:rsidRDefault="007E4691" w:rsidP="00915032">
      <w:pPr>
        <w:rPr>
          <w:rFonts w:ascii="Times New Roman" w:hAnsi="Times New Roman" w:cs="Times New Roman"/>
        </w:rPr>
      </w:pPr>
    </w:p>
    <w:sectPr w:rsidR="007E4691" w:rsidSect="004F5CE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03527" w14:textId="77777777" w:rsidR="00013286" w:rsidRDefault="00013286" w:rsidP="00FA60E5">
      <w:pPr>
        <w:spacing w:after="0" w:line="240" w:lineRule="auto"/>
      </w:pPr>
      <w:r>
        <w:separator/>
      </w:r>
    </w:p>
  </w:endnote>
  <w:endnote w:type="continuationSeparator" w:id="0">
    <w:p w14:paraId="5A228EE5" w14:textId="77777777" w:rsidR="00013286" w:rsidRDefault="00013286" w:rsidP="00FA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A862" w14:textId="77777777" w:rsidR="00C1620E" w:rsidRDefault="00C16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5939" w14:textId="77777777" w:rsidR="00C1620E" w:rsidRDefault="00C16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5AF3" w14:textId="77777777" w:rsidR="00C1620E" w:rsidRDefault="00C1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6253C" w14:textId="77777777" w:rsidR="00013286" w:rsidRDefault="00013286" w:rsidP="00FA60E5">
      <w:pPr>
        <w:spacing w:after="0" w:line="240" w:lineRule="auto"/>
      </w:pPr>
      <w:r>
        <w:separator/>
      </w:r>
    </w:p>
  </w:footnote>
  <w:footnote w:type="continuationSeparator" w:id="0">
    <w:p w14:paraId="1A8ACA83" w14:textId="77777777" w:rsidR="00013286" w:rsidRDefault="00013286" w:rsidP="00FA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790A" w14:textId="77777777" w:rsidR="00C1620E" w:rsidRDefault="00C16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E317" w14:textId="77777777" w:rsidR="00C1620E" w:rsidRDefault="00C16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A94E" w14:textId="77777777" w:rsidR="00C1620E" w:rsidRDefault="00C16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C94"/>
    <w:multiLevelType w:val="hybridMultilevel"/>
    <w:tmpl w:val="45C4E2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CD3A5D"/>
    <w:multiLevelType w:val="hybridMultilevel"/>
    <w:tmpl w:val="A5CE41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8DF79AF"/>
    <w:multiLevelType w:val="hybridMultilevel"/>
    <w:tmpl w:val="1D0E0C1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9F6412D"/>
    <w:multiLevelType w:val="hybridMultilevel"/>
    <w:tmpl w:val="8C58A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425AA7"/>
    <w:multiLevelType w:val="hybridMultilevel"/>
    <w:tmpl w:val="1714B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C5AB5"/>
    <w:multiLevelType w:val="hybridMultilevel"/>
    <w:tmpl w:val="2D28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2E0637"/>
    <w:multiLevelType w:val="hybridMultilevel"/>
    <w:tmpl w:val="2200B4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8C18B8"/>
    <w:multiLevelType w:val="hybridMultilevel"/>
    <w:tmpl w:val="19A4FC7A"/>
    <w:lvl w:ilvl="0" w:tplc="963636A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33B58E3"/>
    <w:multiLevelType w:val="hybridMultilevel"/>
    <w:tmpl w:val="70B8D710"/>
    <w:lvl w:ilvl="0" w:tplc="F3746A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2534755E"/>
    <w:multiLevelType w:val="hybridMultilevel"/>
    <w:tmpl w:val="BC4C4DE2"/>
    <w:lvl w:ilvl="0" w:tplc="F3746A64">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0" w15:restartNumberingAfterBreak="0">
    <w:nsid w:val="2CE62FC0"/>
    <w:multiLevelType w:val="hybridMultilevel"/>
    <w:tmpl w:val="23DE49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1CF1124"/>
    <w:multiLevelType w:val="hybridMultilevel"/>
    <w:tmpl w:val="71BCAA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41144B"/>
    <w:multiLevelType w:val="hybridMultilevel"/>
    <w:tmpl w:val="53F2D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0D7DD9"/>
    <w:multiLevelType w:val="hybridMultilevel"/>
    <w:tmpl w:val="61464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E532A9"/>
    <w:multiLevelType w:val="hybridMultilevel"/>
    <w:tmpl w:val="B6186BA8"/>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10753C"/>
    <w:multiLevelType w:val="hybridMultilevel"/>
    <w:tmpl w:val="7E089CD8"/>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6" w15:restartNumberingAfterBreak="0">
    <w:nsid w:val="4B170913"/>
    <w:multiLevelType w:val="hybridMultilevel"/>
    <w:tmpl w:val="AD449D56"/>
    <w:lvl w:ilvl="0" w:tplc="0C090003">
      <w:start w:val="1"/>
      <w:numFmt w:val="bullet"/>
      <w:lvlText w:val="o"/>
      <w:lvlJc w:val="left"/>
      <w:pPr>
        <w:ind w:left="1647" w:hanging="360"/>
      </w:pPr>
      <w:rPr>
        <w:rFonts w:ascii="Courier New" w:hAnsi="Courier New" w:cs="Courier New"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7"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33B6D"/>
    <w:multiLevelType w:val="hybridMultilevel"/>
    <w:tmpl w:val="FA9E1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A05E2D"/>
    <w:multiLevelType w:val="hybridMultilevel"/>
    <w:tmpl w:val="6E66E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FD2599"/>
    <w:multiLevelType w:val="hybridMultilevel"/>
    <w:tmpl w:val="0C963C72"/>
    <w:lvl w:ilvl="0" w:tplc="E86659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33D14"/>
    <w:multiLevelType w:val="hybridMultilevel"/>
    <w:tmpl w:val="265A9A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566EBC"/>
    <w:multiLevelType w:val="hybridMultilevel"/>
    <w:tmpl w:val="05ACCFB6"/>
    <w:lvl w:ilvl="0" w:tplc="6BE23B1A">
      <w:start w:val="3"/>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73AB2E51"/>
    <w:multiLevelType w:val="hybridMultilevel"/>
    <w:tmpl w:val="25A8D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5034EF"/>
    <w:multiLevelType w:val="hybridMultilevel"/>
    <w:tmpl w:val="07B2A2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0C14F2"/>
    <w:multiLevelType w:val="hybridMultilevel"/>
    <w:tmpl w:val="5984AFE0"/>
    <w:lvl w:ilvl="0" w:tplc="F3746A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7E22334B"/>
    <w:multiLevelType w:val="hybridMultilevel"/>
    <w:tmpl w:val="10BA0D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F273E78"/>
    <w:multiLevelType w:val="hybridMultilevel"/>
    <w:tmpl w:val="618A7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7"/>
  </w:num>
  <w:num w:numId="3">
    <w:abstractNumId w:val="17"/>
  </w:num>
  <w:num w:numId="4">
    <w:abstractNumId w:val="17"/>
  </w:num>
  <w:num w:numId="5">
    <w:abstractNumId w:val="9"/>
  </w:num>
  <w:num w:numId="6">
    <w:abstractNumId w:val="19"/>
  </w:num>
  <w:num w:numId="7">
    <w:abstractNumId w:val="27"/>
  </w:num>
  <w:num w:numId="8">
    <w:abstractNumId w:val="1"/>
  </w:num>
  <w:num w:numId="9">
    <w:abstractNumId w:val="25"/>
  </w:num>
  <w:num w:numId="10">
    <w:abstractNumId w:val="26"/>
  </w:num>
  <w:num w:numId="11">
    <w:abstractNumId w:val="10"/>
  </w:num>
  <w:num w:numId="12">
    <w:abstractNumId w:val="2"/>
  </w:num>
  <w:num w:numId="13">
    <w:abstractNumId w:val="8"/>
  </w:num>
  <w:num w:numId="14">
    <w:abstractNumId w:val="4"/>
  </w:num>
  <w:num w:numId="15">
    <w:abstractNumId w:val="21"/>
  </w:num>
  <w:num w:numId="16">
    <w:abstractNumId w:val="12"/>
  </w:num>
  <w:num w:numId="17">
    <w:abstractNumId w:val="24"/>
  </w:num>
  <w:num w:numId="18">
    <w:abstractNumId w:val="5"/>
  </w:num>
  <w:num w:numId="19">
    <w:abstractNumId w:val="13"/>
  </w:num>
  <w:num w:numId="20">
    <w:abstractNumId w:val="18"/>
  </w:num>
  <w:num w:numId="21">
    <w:abstractNumId w:val="6"/>
  </w:num>
  <w:num w:numId="22">
    <w:abstractNumId w:val="23"/>
  </w:num>
  <w:num w:numId="23">
    <w:abstractNumId w:val="3"/>
  </w:num>
  <w:num w:numId="24">
    <w:abstractNumId w:val="11"/>
  </w:num>
  <w:num w:numId="25">
    <w:abstractNumId w:val="20"/>
  </w:num>
  <w:num w:numId="26">
    <w:abstractNumId w:val="22"/>
  </w:num>
  <w:num w:numId="27">
    <w:abstractNumId w:val="7"/>
  </w:num>
  <w:num w:numId="28">
    <w:abstractNumId w:val="0"/>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ocumentProtection w:edit="readOnly" w:enforcement="1" w:spinCount="100000" w:hashValue="Tq1zibkUOtQe6OBQrjirj7tFYGjMQLPYQEvw+W24DQY=" w:saltValue="/duWwnqqugR4+7SZ7RhYgg==" w:algorithmName="SHA-25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5E"/>
    <w:rsid w:val="00012413"/>
    <w:rsid w:val="00013286"/>
    <w:rsid w:val="0002305E"/>
    <w:rsid w:val="00030E7A"/>
    <w:rsid w:val="00032091"/>
    <w:rsid w:val="00050252"/>
    <w:rsid w:val="00050E60"/>
    <w:rsid w:val="00075F3D"/>
    <w:rsid w:val="000765BA"/>
    <w:rsid w:val="0009484A"/>
    <w:rsid w:val="000A1455"/>
    <w:rsid w:val="000A61CB"/>
    <w:rsid w:val="000B0C3D"/>
    <w:rsid w:val="000C04AB"/>
    <w:rsid w:val="000C16F9"/>
    <w:rsid w:val="000D014F"/>
    <w:rsid w:val="000E70B4"/>
    <w:rsid w:val="000F4656"/>
    <w:rsid w:val="001006E4"/>
    <w:rsid w:val="00100DFC"/>
    <w:rsid w:val="0013538B"/>
    <w:rsid w:val="00146CC7"/>
    <w:rsid w:val="001733A1"/>
    <w:rsid w:val="00186486"/>
    <w:rsid w:val="0019164E"/>
    <w:rsid w:val="001B03C5"/>
    <w:rsid w:val="002004BC"/>
    <w:rsid w:val="002402E0"/>
    <w:rsid w:val="0024266C"/>
    <w:rsid w:val="002651AE"/>
    <w:rsid w:val="002703BD"/>
    <w:rsid w:val="0029387B"/>
    <w:rsid w:val="002A3C0E"/>
    <w:rsid w:val="002A67E1"/>
    <w:rsid w:val="002D167E"/>
    <w:rsid w:val="00314A3B"/>
    <w:rsid w:val="00315D77"/>
    <w:rsid w:val="00320CD9"/>
    <w:rsid w:val="003A3CA4"/>
    <w:rsid w:val="003A482D"/>
    <w:rsid w:val="003B4B3E"/>
    <w:rsid w:val="003B54E3"/>
    <w:rsid w:val="003D320A"/>
    <w:rsid w:val="003D3D96"/>
    <w:rsid w:val="003E6B2C"/>
    <w:rsid w:val="003F350A"/>
    <w:rsid w:val="0042204C"/>
    <w:rsid w:val="004348E1"/>
    <w:rsid w:val="00434C7D"/>
    <w:rsid w:val="00450B10"/>
    <w:rsid w:val="00457D4A"/>
    <w:rsid w:val="00464080"/>
    <w:rsid w:val="00482F6C"/>
    <w:rsid w:val="0049292C"/>
    <w:rsid w:val="004B5795"/>
    <w:rsid w:val="004F41EE"/>
    <w:rsid w:val="004F5CE4"/>
    <w:rsid w:val="005002CC"/>
    <w:rsid w:val="00516D95"/>
    <w:rsid w:val="00521D51"/>
    <w:rsid w:val="00560B24"/>
    <w:rsid w:val="0057002B"/>
    <w:rsid w:val="00571443"/>
    <w:rsid w:val="005728AB"/>
    <w:rsid w:val="00590CEB"/>
    <w:rsid w:val="005A3733"/>
    <w:rsid w:val="005F3681"/>
    <w:rsid w:val="00600212"/>
    <w:rsid w:val="00604E06"/>
    <w:rsid w:val="00610F50"/>
    <w:rsid w:val="00617F6D"/>
    <w:rsid w:val="00625ACB"/>
    <w:rsid w:val="00643607"/>
    <w:rsid w:val="00650357"/>
    <w:rsid w:val="006552FA"/>
    <w:rsid w:val="0065592F"/>
    <w:rsid w:val="00661EA6"/>
    <w:rsid w:val="00673BE6"/>
    <w:rsid w:val="0067449A"/>
    <w:rsid w:val="00690EB6"/>
    <w:rsid w:val="006A17B2"/>
    <w:rsid w:val="006C2BA9"/>
    <w:rsid w:val="006F04FB"/>
    <w:rsid w:val="00734356"/>
    <w:rsid w:val="0073601F"/>
    <w:rsid w:val="0074088A"/>
    <w:rsid w:val="007959B1"/>
    <w:rsid w:val="007A2479"/>
    <w:rsid w:val="007A5B8B"/>
    <w:rsid w:val="007C600D"/>
    <w:rsid w:val="007D2528"/>
    <w:rsid w:val="007E4691"/>
    <w:rsid w:val="00821DFD"/>
    <w:rsid w:val="0084108A"/>
    <w:rsid w:val="00865AC6"/>
    <w:rsid w:val="00867C44"/>
    <w:rsid w:val="0088407D"/>
    <w:rsid w:val="008B24C8"/>
    <w:rsid w:val="008C7324"/>
    <w:rsid w:val="008D69E9"/>
    <w:rsid w:val="008E388F"/>
    <w:rsid w:val="00915032"/>
    <w:rsid w:val="00965636"/>
    <w:rsid w:val="00993F45"/>
    <w:rsid w:val="009F39A5"/>
    <w:rsid w:val="00AA0F40"/>
    <w:rsid w:val="00AA148A"/>
    <w:rsid w:val="00AA4557"/>
    <w:rsid w:val="00AA4F77"/>
    <w:rsid w:val="00B01E1E"/>
    <w:rsid w:val="00B02CE3"/>
    <w:rsid w:val="00B23506"/>
    <w:rsid w:val="00B445D9"/>
    <w:rsid w:val="00B55286"/>
    <w:rsid w:val="00B65A06"/>
    <w:rsid w:val="00B75478"/>
    <w:rsid w:val="00BA4769"/>
    <w:rsid w:val="00BB0CF2"/>
    <w:rsid w:val="00BC77E3"/>
    <w:rsid w:val="00BD598E"/>
    <w:rsid w:val="00BE3E7F"/>
    <w:rsid w:val="00BF40D7"/>
    <w:rsid w:val="00C15247"/>
    <w:rsid w:val="00C1620E"/>
    <w:rsid w:val="00C47464"/>
    <w:rsid w:val="00C81A5E"/>
    <w:rsid w:val="00C83587"/>
    <w:rsid w:val="00C91696"/>
    <w:rsid w:val="00C930F2"/>
    <w:rsid w:val="00CA3ACE"/>
    <w:rsid w:val="00CA4C6B"/>
    <w:rsid w:val="00CC37FA"/>
    <w:rsid w:val="00CE3067"/>
    <w:rsid w:val="00D11A22"/>
    <w:rsid w:val="00D40E1E"/>
    <w:rsid w:val="00D71731"/>
    <w:rsid w:val="00D75E7B"/>
    <w:rsid w:val="00D81AF8"/>
    <w:rsid w:val="00D90E3C"/>
    <w:rsid w:val="00DB4FEE"/>
    <w:rsid w:val="00DC4D08"/>
    <w:rsid w:val="00DC6A66"/>
    <w:rsid w:val="00DE42B2"/>
    <w:rsid w:val="00DE5B4B"/>
    <w:rsid w:val="00DF0D15"/>
    <w:rsid w:val="00E03DCC"/>
    <w:rsid w:val="00E0447A"/>
    <w:rsid w:val="00E11B29"/>
    <w:rsid w:val="00E34AD6"/>
    <w:rsid w:val="00E45FE2"/>
    <w:rsid w:val="00E54CFC"/>
    <w:rsid w:val="00E73B88"/>
    <w:rsid w:val="00EA12C9"/>
    <w:rsid w:val="00EB6FA2"/>
    <w:rsid w:val="00EB7AFE"/>
    <w:rsid w:val="00EC0075"/>
    <w:rsid w:val="00EE51D8"/>
    <w:rsid w:val="00EF5896"/>
    <w:rsid w:val="00EF69BB"/>
    <w:rsid w:val="00F102C7"/>
    <w:rsid w:val="00F44717"/>
    <w:rsid w:val="00F66DD2"/>
    <w:rsid w:val="00F92B9B"/>
    <w:rsid w:val="00FA60E5"/>
    <w:rsid w:val="00FB56B9"/>
    <w:rsid w:val="00FE0FEE"/>
    <w:rsid w:val="00FF2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2CAA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numPr>
        <w:numId w:val="0"/>
      </w:numPr>
    </w:pPr>
  </w:style>
  <w:style w:type="character" w:customStyle="1" w:styleId="ESParaChar">
    <w:name w:val="ES_Para Char"/>
    <w:basedOn w:val="ESSubparaHeaderChar"/>
    <w:link w:val="ESPara"/>
    <w:rsid w:val="002D167E"/>
    <w:rPr>
      <w:rFonts w:ascii="Times New Roman" w:hAnsi="Times New Roman" w:cs="Times New Roman"/>
    </w:rPr>
  </w:style>
  <w:style w:type="table" w:styleId="TableGrid">
    <w:name w:val="Table Grid"/>
    <w:basedOn w:val="TableNormal"/>
    <w:uiPriority w:val="39"/>
    <w:rsid w:val="0074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6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0E5"/>
    <w:rPr>
      <w:sz w:val="20"/>
      <w:szCs w:val="20"/>
    </w:rPr>
  </w:style>
  <w:style w:type="character" w:styleId="FootnoteReference">
    <w:name w:val="footnote reference"/>
    <w:basedOn w:val="DefaultParagraphFont"/>
    <w:uiPriority w:val="99"/>
    <w:semiHidden/>
    <w:unhideWhenUsed/>
    <w:rsid w:val="00FA60E5"/>
    <w:rPr>
      <w:vertAlign w:val="superscript"/>
    </w:rPr>
  </w:style>
  <w:style w:type="character" w:styleId="Hyperlink">
    <w:name w:val="Hyperlink"/>
    <w:basedOn w:val="DefaultParagraphFont"/>
    <w:uiPriority w:val="99"/>
    <w:semiHidden/>
    <w:unhideWhenUsed/>
    <w:rsid w:val="007D2528"/>
    <w:rPr>
      <w:color w:val="0000FF"/>
      <w:u w:val="single"/>
    </w:rPr>
  </w:style>
  <w:style w:type="character" w:styleId="CommentReference">
    <w:name w:val="annotation reference"/>
    <w:basedOn w:val="DefaultParagraphFont"/>
    <w:uiPriority w:val="99"/>
    <w:semiHidden/>
    <w:unhideWhenUsed/>
    <w:rsid w:val="007D2528"/>
    <w:rPr>
      <w:sz w:val="16"/>
      <w:szCs w:val="16"/>
    </w:rPr>
  </w:style>
  <w:style w:type="paragraph" w:styleId="CommentText">
    <w:name w:val="annotation text"/>
    <w:basedOn w:val="Normal"/>
    <w:link w:val="CommentTextChar"/>
    <w:uiPriority w:val="99"/>
    <w:semiHidden/>
    <w:unhideWhenUsed/>
    <w:rsid w:val="007D2528"/>
    <w:pPr>
      <w:spacing w:line="240" w:lineRule="auto"/>
    </w:pPr>
    <w:rPr>
      <w:sz w:val="20"/>
      <w:szCs w:val="20"/>
    </w:rPr>
  </w:style>
  <w:style w:type="character" w:customStyle="1" w:styleId="CommentTextChar">
    <w:name w:val="Comment Text Char"/>
    <w:basedOn w:val="DefaultParagraphFont"/>
    <w:link w:val="CommentText"/>
    <w:uiPriority w:val="99"/>
    <w:semiHidden/>
    <w:rsid w:val="007D2528"/>
    <w:rPr>
      <w:sz w:val="20"/>
      <w:szCs w:val="20"/>
    </w:rPr>
  </w:style>
  <w:style w:type="paragraph" w:styleId="CommentSubject">
    <w:name w:val="annotation subject"/>
    <w:basedOn w:val="CommentText"/>
    <w:next w:val="CommentText"/>
    <w:link w:val="CommentSubjectChar"/>
    <w:uiPriority w:val="99"/>
    <w:semiHidden/>
    <w:unhideWhenUsed/>
    <w:rsid w:val="007D2528"/>
    <w:rPr>
      <w:b/>
      <w:bCs/>
    </w:rPr>
  </w:style>
  <w:style w:type="character" w:customStyle="1" w:styleId="CommentSubjectChar">
    <w:name w:val="Comment Subject Char"/>
    <w:basedOn w:val="CommentTextChar"/>
    <w:link w:val="CommentSubject"/>
    <w:uiPriority w:val="99"/>
    <w:semiHidden/>
    <w:rsid w:val="007D2528"/>
    <w:rPr>
      <w:b/>
      <w:bCs/>
      <w:sz w:val="20"/>
      <w:szCs w:val="20"/>
    </w:rPr>
  </w:style>
  <w:style w:type="paragraph" w:styleId="BalloonText">
    <w:name w:val="Balloon Text"/>
    <w:basedOn w:val="Normal"/>
    <w:link w:val="BalloonTextChar"/>
    <w:uiPriority w:val="99"/>
    <w:semiHidden/>
    <w:unhideWhenUsed/>
    <w:rsid w:val="007D2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528"/>
    <w:rPr>
      <w:rFonts w:ascii="Segoe UI" w:hAnsi="Segoe UI" w:cs="Segoe UI"/>
      <w:sz w:val="18"/>
      <w:szCs w:val="18"/>
    </w:rPr>
  </w:style>
  <w:style w:type="paragraph" w:styleId="Header">
    <w:name w:val="header"/>
    <w:basedOn w:val="Normal"/>
    <w:link w:val="HeaderChar"/>
    <w:uiPriority w:val="99"/>
    <w:unhideWhenUsed/>
    <w:rsid w:val="00C16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0E"/>
  </w:style>
  <w:style w:type="paragraph" w:styleId="Footer">
    <w:name w:val="footer"/>
    <w:basedOn w:val="Normal"/>
    <w:link w:val="FooterChar"/>
    <w:uiPriority w:val="99"/>
    <w:unhideWhenUsed/>
    <w:rsid w:val="00C16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96B91-52BF-460C-B199-FC1F8D55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8148</Characters>
  <Application>Microsoft Office Word</Application>
  <DocSecurity>8</DocSecurity>
  <Lines>280</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2023-08-31T01:06:00Z</dcterms:created>
  <dcterms:modified xsi:type="dcterms:W3CDTF">2023-08-31T01:06:00Z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