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4BEE5" w14:textId="77777777" w:rsidR="007730EF" w:rsidRPr="00AE2B4F" w:rsidRDefault="007730EF" w:rsidP="007730EF">
      <w:pPr>
        <w:spacing w:after="120"/>
        <w:jc w:val="center"/>
        <w:rPr>
          <w:rFonts w:asciiTheme="minorHAnsi" w:hAnsiTheme="minorHAnsi" w:cstheme="minorHAnsi"/>
          <w:b/>
          <w:lang w:val="en-GB"/>
        </w:rPr>
      </w:pPr>
      <w:r w:rsidRPr="00AE2B4F">
        <w:rPr>
          <w:rFonts w:asciiTheme="minorHAnsi" w:hAnsiTheme="minorHAnsi" w:cstheme="minorHAnsi"/>
          <w:b/>
          <w:lang w:val="en-GB"/>
        </w:rPr>
        <w:t>EXPLANATORY STATEMENT</w:t>
      </w:r>
    </w:p>
    <w:p w14:paraId="5A1122B7" w14:textId="77777777" w:rsidR="007730EF" w:rsidRPr="00687FE3" w:rsidRDefault="007730EF" w:rsidP="007730EF">
      <w:pPr>
        <w:spacing w:after="120"/>
        <w:jc w:val="center"/>
        <w:rPr>
          <w:i/>
        </w:rPr>
      </w:pPr>
      <w:r w:rsidRPr="00687FE3">
        <w:rPr>
          <w:i/>
        </w:rPr>
        <w:t>Consumer Goods (</w:t>
      </w:r>
      <w:r>
        <w:rPr>
          <w:i/>
        </w:rPr>
        <w:t>Toys for Children up to and including 36 Months of Age) Safety Standard 2023</w:t>
      </w:r>
    </w:p>
    <w:p w14:paraId="5E6DA4AA" w14:textId="77777777" w:rsidR="007730EF" w:rsidRPr="00355F47" w:rsidRDefault="007730EF" w:rsidP="007730EF">
      <w:pPr>
        <w:pStyle w:val="ListParagraph"/>
        <w:numPr>
          <w:ilvl w:val="0"/>
          <w:numId w:val="41"/>
        </w:numPr>
        <w:spacing w:after="120"/>
        <w:rPr>
          <w:b/>
          <w:sz w:val="24"/>
          <w:szCs w:val="24"/>
        </w:rPr>
      </w:pPr>
      <w:r w:rsidRPr="00355F47">
        <w:rPr>
          <w:b/>
          <w:sz w:val="24"/>
          <w:szCs w:val="24"/>
        </w:rPr>
        <w:t>Purpose and Background</w:t>
      </w:r>
    </w:p>
    <w:p w14:paraId="2F52F3F6" w14:textId="44F8D57C" w:rsidR="007730EF" w:rsidRDefault="007730EF" w:rsidP="007730EF">
      <w:pPr>
        <w:spacing w:after="120"/>
        <w:rPr>
          <w:rFonts w:cs="Arial"/>
          <w:lang w:val="en-GB"/>
        </w:rPr>
      </w:pPr>
      <w:r w:rsidRPr="002F6A17">
        <w:rPr>
          <w:rFonts w:cs="Arial"/>
          <w:lang w:val="en-GB"/>
        </w:rPr>
        <w:t xml:space="preserve">The </w:t>
      </w:r>
      <w:r>
        <w:rPr>
          <w:rFonts w:cs="Arial"/>
          <w:lang w:val="en-GB"/>
        </w:rPr>
        <w:t xml:space="preserve">Commonwealth Assistant Treasurer </w:t>
      </w:r>
      <w:r w:rsidRPr="002F6A17">
        <w:rPr>
          <w:rFonts w:cs="Arial"/>
          <w:lang w:val="en-GB"/>
        </w:rPr>
        <w:t xml:space="preserve">(the </w:t>
      </w:r>
      <w:r w:rsidRPr="00C0654D">
        <w:rPr>
          <w:rFonts w:cs="Arial"/>
          <w:b/>
          <w:lang w:val="en-GB"/>
        </w:rPr>
        <w:t>Minister</w:t>
      </w:r>
      <w:r w:rsidRPr="002F6A17">
        <w:rPr>
          <w:rFonts w:cs="Arial"/>
          <w:lang w:val="en-GB"/>
        </w:rPr>
        <w:t xml:space="preserve">) has </w:t>
      </w:r>
      <w:r>
        <w:rPr>
          <w:rFonts w:cs="Arial"/>
          <w:lang w:val="en-GB"/>
        </w:rPr>
        <w:t>made the</w:t>
      </w:r>
      <w:r w:rsidRPr="00F707E1">
        <w:rPr>
          <w:rFonts w:cs="Arial"/>
          <w:i/>
        </w:rPr>
        <w:t xml:space="preserve"> </w:t>
      </w:r>
      <w:r w:rsidRPr="00687FE3">
        <w:rPr>
          <w:rFonts w:cs="Arial"/>
          <w:i/>
        </w:rPr>
        <w:t>Consumer Goods (</w:t>
      </w:r>
      <w:r>
        <w:rPr>
          <w:rFonts w:cs="Arial"/>
          <w:i/>
        </w:rPr>
        <w:t xml:space="preserve">Toys </w:t>
      </w:r>
      <w:r>
        <w:rPr>
          <w:i/>
        </w:rPr>
        <w:t>for Children up to and including 36 Months of Age</w:t>
      </w:r>
      <w:r>
        <w:rPr>
          <w:rFonts w:cs="Arial"/>
          <w:i/>
        </w:rPr>
        <w:t xml:space="preserve">) Safety Standard 2023 </w:t>
      </w:r>
      <w:r w:rsidRPr="00C0654D">
        <w:rPr>
          <w:rFonts w:cs="Arial"/>
        </w:rPr>
        <w:t xml:space="preserve">(the </w:t>
      </w:r>
      <w:r>
        <w:rPr>
          <w:rFonts w:cs="Arial"/>
          <w:b/>
        </w:rPr>
        <w:t>S</w:t>
      </w:r>
      <w:r w:rsidRPr="00C0654D">
        <w:rPr>
          <w:rFonts w:cs="Arial"/>
          <w:b/>
        </w:rPr>
        <w:t xml:space="preserve">afety </w:t>
      </w:r>
      <w:r>
        <w:rPr>
          <w:rFonts w:cs="Arial"/>
          <w:b/>
        </w:rPr>
        <w:t>S</w:t>
      </w:r>
      <w:r w:rsidRPr="00C0654D">
        <w:rPr>
          <w:rFonts w:cs="Arial"/>
          <w:b/>
        </w:rPr>
        <w:t>tandard</w:t>
      </w:r>
      <w:r w:rsidRPr="00C0654D">
        <w:rPr>
          <w:rFonts w:cs="Arial"/>
        </w:rPr>
        <w:t>)</w:t>
      </w:r>
      <w:r>
        <w:rPr>
          <w:rFonts w:cs="Arial"/>
        </w:rPr>
        <w:t xml:space="preserve">, </w:t>
      </w:r>
      <w:r w:rsidRPr="002F6A17">
        <w:rPr>
          <w:rFonts w:cs="Arial"/>
          <w:lang w:val="en-GB"/>
        </w:rPr>
        <w:t>pursuant to section 104</w:t>
      </w:r>
      <w:r>
        <w:rPr>
          <w:rFonts w:cs="Arial"/>
          <w:lang w:val="en-GB"/>
        </w:rPr>
        <w:t xml:space="preserve"> </w:t>
      </w:r>
      <w:r w:rsidRPr="002F6A17">
        <w:rPr>
          <w:rFonts w:cs="Arial"/>
          <w:lang w:val="en-GB"/>
        </w:rPr>
        <w:t>of the Australian Consumer Law</w:t>
      </w:r>
      <w:r>
        <w:rPr>
          <w:rFonts w:cs="Arial"/>
          <w:lang w:val="en-GB"/>
        </w:rPr>
        <w:t xml:space="preserve"> (</w:t>
      </w:r>
      <w:r>
        <w:rPr>
          <w:rFonts w:cs="Arial"/>
          <w:b/>
          <w:bCs/>
          <w:lang w:val="en-GB"/>
        </w:rPr>
        <w:t>ACL</w:t>
      </w:r>
      <w:r>
        <w:rPr>
          <w:rFonts w:cs="Arial"/>
          <w:lang w:val="en-GB"/>
        </w:rPr>
        <w:t>)</w:t>
      </w:r>
      <w:r w:rsidRPr="002F6A17">
        <w:rPr>
          <w:rFonts w:cs="Arial"/>
          <w:lang w:val="en-GB"/>
        </w:rPr>
        <w:t xml:space="preserve">, which is Schedule 2 of the </w:t>
      </w:r>
      <w:r w:rsidRPr="002F6A17">
        <w:rPr>
          <w:rFonts w:cs="Arial"/>
          <w:i/>
          <w:lang w:val="en-GB"/>
        </w:rPr>
        <w:t xml:space="preserve">Competition and Consumer Act 2010 </w:t>
      </w:r>
      <w:r w:rsidRPr="00C0654D">
        <w:rPr>
          <w:rFonts w:cs="Arial"/>
          <w:lang w:val="en-GB"/>
        </w:rPr>
        <w:t>(Cth)</w:t>
      </w:r>
      <w:r>
        <w:rPr>
          <w:rFonts w:cs="Arial"/>
          <w:lang w:val="en-GB"/>
        </w:rPr>
        <w:t xml:space="preserve"> (</w:t>
      </w:r>
      <w:r>
        <w:rPr>
          <w:rFonts w:cs="Arial"/>
          <w:b/>
          <w:bCs/>
          <w:lang w:val="en-GB"/>
        </w:rPr>
        <w:t>CCA</w:t>
      </w:r>
      <w:r>
        <w:rPr>
          <w:rFonts w:cs="Arial"/>
          <w:lang w:val="en-GB"/>
        </w:rPr>
        <w:t>)</w:t>
      </w:r>
      <w:r w:rsidRPr="00C94E4B">
        <w:rPr>
          <w:rFonts w:cs="Arial"/>
          <w:lang w:val="en-GB"/>
        </w:rPr>
        <w:t>.</w:t>
      </w:r>
    </w:p>
    <w:p w14:paraId="1C65F4EB" w14:textId="697BD95B" w:rsidR="007730EF" w:rsidRDefault="007730EF" w:rsidP="007730EF">
      <w:r>
        <w:t xml:space="preserve">The Australian Government introduced the </w:t>
      </w:r>
      <w:r w:rsidRPr="00D70E75">
        <w:rPr>
          <w:rFonts w:cs="Arial"/>
          <w:i/>
          <w:iCs/>
          <w:lang w:val="en-GB"/>
        </w:rPr>
        <w:t>Consumer Product Safety Standard: Toys for children up to and including 36 months of age</w:t>
      </w:r>
      <w:r>
        <w:rPr>
          <w:rFonts w:cs="Arial"/>
          <w:i/>
          <w:iCs/>
          <w:lang w:val="en-GB"/>
        </w:rPr>
        <w:t xml:space="preserve"> (Consumer Protection Notice No. 14 of 2003)</w:t>
      </w:r>
      <w:r w:rsidRPr="00D70E75">
        <w:rPr>
          <w:rFonts w:cs="Arial"/>
          <w:lang w:val="en-GB"/>
        </w:rPr>
        <w:t xml:space="preserve"> </w:t>
      </w:r>
      <w:r>
        <w:t xml:space="preserve">in December 2003 (the </w:t>
      </w:r>
      <w:r w:rsidRPr="00AE2B4F">
        <w:rPr>
          <w:b/>
          <w:bCs/>
        </w:rPr>
        <w:t>Repealed Safety Standard</w:t>
      </w:r>
      <w:r>
        <w:t>) to minimise the risk of injury or death to children up to and including 36 months from hazards associated with small parts in toys.</w:t>
      </w:r>
    </w:p>
    <w:p w14:paraId="0E7198F7" w14:textId="53F6F951" w:rsidR="007730EF" w:rsidRDefault="007730EF" w:rsidP="007730EF">
      <w:r w:rsidRPr="00061758">
        <w:t xml:space="preserve">Children </w:t>
      </w:r>
      <w:r>
        <w:t>up to and including</w:t>
      </w:r>
      <w:r w:rsidRPr="00061758">
        <w:t xml:space="preserve"> </w:t>
      </w:r>
      <w:r>
        <w:t>36 months of age</w:t>
      </w:r>
      <w:r w:rsidRPr="00061758">
        <w:t xml:space="preserve"> have not yet fully developed their reflexes to be capable of coughing out small items which they may place in their mouth. Therefore, they are especially vulnerable to inhal</w:t>
      </w:r>
      <w:r w:rsidR="00BD33E0">
        <w:t>ing</w:t>
      </w:r>
      <w:r w:rsidRPr="00061758">
        <w:t xml:space="preserve"> </w:t>
      </w:r>
      <w:r w:rsidR="00BD33E0">
        <w:t>or</w:t>
      </w:r>
      <w:r w:rsidRPr="00061758">
        <w:t xml:space="preserve"> ingesti</w:t>
      </w:r>
      <w:r w:rsidR="00BD33E0">
        <w:t>ng</w:t>
      </w:r>
      <w:r w:rsidRPr="00061758">
        <w:t xml:space="preserve"> hazards because they are incapable of recognising, and hence avoiding, these hazards.</w:t>
      </w:r>
      <w:r>
        <w:t xml:space="preserve"> In addition, button batteries pose a risk to young children if they fall out of the battery compartments in toys.</w:t>
      </w:r>
    </w:p>
    <w:p w14:paraId="3705FB0C" w14:textId="1922CB05" w:rsidR="007730EF" w:rsidRDefault="007730EF" w:rsidP="007730EF">
      <w:r>
        <w:t>Th</w:t>
      </w:r>
      <w:r w:rsidR="00D22434">
        <w:t>is</w:t>
      </w:r>
      <w:r>
        <w:t xml:space="preserve"> Safety Standard </w:t>
      </w:r>
      <w:r>
        <w:rPr>
          <w:rFonts w:cs="Arial"/>
          <w:lang w:val="en-GB"/>
        </w:rPr>
        <w:t xml:space="preserve">prescribes </w:t>
      </w:r>
      <w:r w:rsidRPr="000021C8">
        <w:rPr>
          <w:color w:val="000000"/>
          <w:shd w:val="clear" w:color="auto" w:fill="FFFFFF"/>
        </w:rPr>
        <w:t xml:space="preserve">requirements </w:t>
      </w:r>
      <w:r>
        <w:rPr>
          <w:color w:val="000000"/>
          <w:shd w:val="clear" w:color="auto" w:fill="FFFFFF"/>
        </w:rPr>
        <w:t xml:space="preserve">from the voluntary Australian and overseas standards </w:t>
      </w:r>
      <w:r w:rsidRPr="000021C8">
        <w:rPr>
          <w:color w:val="000000"/>
          <w:shd w:val="clear" w:color="auto" w:fill="FFFFFF"/>
        </w:rPr>
        <w:t xml:space="preserve">which </w:t>
      </w:r>
      <w:r w:rsidRPr="000021C8">
        <w:t>seek to minimise the risk of young children choking or suffocating on small parts in toys and therefore preventing serious injury or death.</w:t>
      </w:r>
    </w:p>
    <w:p w14:paraId="7B7CC17D" w14:textId="65776006" w:rsidR="007730EF" w:rsidRPr="00772909" w:rsidRDefault="007730EF" w:rsidP="007730EF">
      <w:pPr>
        <w:rPr>
          <w:rFonts w:cs="Arial"/>
          <w:lang w:val="en-GB"/>
        </w:rPr>
      </w:pPr>
      <w:r w:rsidRPr="00EE7482">
        <w:t>In addition, th</w:t>
      </w:r>
      <w:r w:rsidR="00203F1A">
        <w:t>is</w:t>
      </w:r>
      <w:r w:rsidRPr="00EE7482">
        <w:t xml:space="preserve"> Safety Standard prescribes</w:t>
      </w:r>
      <w:r>
        <w:t xml:space="preserve"> a</w:t>
      </w:r>
      <w:r w:rsidRPr="00EE7482">
        <w:t xml:space="preserve"> requirement that </w:t>
      </w:r>
      <w:r w:rsidR="00203F1A">
        <w:t xml:space="preserve">accessible battery compartments of toys must only </w:t>
      </w:r>
      <w:r w:rsidRPr="00EE7482">
        <w:t>be open</w:t>
      </w:r>
      <w:r w:rsidR="00203F1A">
        <w:t>able</w:t>
      </w:r>
      <w:r w:rsidRPr="00EE7482">
        <w:t xml:space="preserve"> with a tool.</w:t>
      </w:r>
      <w:r>
        <w:t xml:space="preserve"> The relationship between this Safety Standard and safety standards </w:t>
      </w:r>
      <w:r w:rsidR="00203F1A">
        <w:t>for</w:t>
      </w:r>
      <w:r>
        <w:t xml:space="preserve"> button batteries is explained later in this document.</w:t>
      </w:r>
    </w:p>
    <w:p w14:paraId="7C17D935" w14:textId="1687EF57" w:rsidR="007730EF" w:rsidRDefault="007730EF" w:rsidP="007730EF">
      <w:pPr>
        <w:rPr>
          <w:rFonts w:cs="Arial"/>
          <w:lang w:val="en-GB"/>
        </w:rPr>
      </w:pPr>
      <w:r w:rsidRPr="005D3025">
        <w:rPr>
          <w:rFonts w:cs="Arial"/>
          <w:lang w:val="en-GB"/>
        </w:rPr>
        <w:t>Th</w:t>
      </w:r>
      <w:r w:rsidR="00D22434">
        <w:rPr>
          <w:rFonts w:cs="Arial"/>
          <w:lang w:val="en-GB"/>
        </w:rPr>
        <w:t>is</w:t>
      </w:r>
      <w:r w:rsidRPr="005D3025">
        <w:rPr>
          <w:rFonts w:cs="Arial"/>
          <w:lang w:val="en-GB"/>
        </w:rPr>
        <w:t xml:space="preserve"> Safety Standard </w:t>
      </w:r>
      <w:r w:rsidRPr="005D3025">
        <w:rPr>
          <w:rFonts w:cs="Arial"/>
        </w:rPr>
        <w:t>references the latest voluntary Australian standard (202</w:t>
      </w:r>
      <w:r>
        <w:rPr>
          <w:rFonts w:cs="Arial"/>
        </w:rPr>
        <w:t>3</w:t>
      </w:r>
      <w:r w:rsidRPr="005D3025">
        <w:rPr>
          <w:rFonts w:cs="Arial"/>
        </w:rPr>
        <w:t>) and comparable overseas standards</w:t>
      </w:r>
      <w:r w:rsidR="00D22434">
        <w:rPr>
          <w:rFonts w:cs="Arial"/>
        </w:rPr>
        <w:t>,</w:t>
      </w:r>
      <w:r w:rsidRPr="005D3025">
        <w:rPr>
          <w:rFonts w:cs="Arial"/>
        </w:rPr>
        <w:t xml:space="preserve"> </w:t>
      </w:r>
      <w:r>
        <w:t xml:space="preserve">while maintaining </w:t>
      </w:r>
      <w:r w:rsidRPr="00636D2F">
        <w:t xml:space="preserve">the existing level of </w:t>
      </w:r>
      <w:r w:rsidR="00D22434">
        <w:t xml:space="preserve">consumer </w:t>
      </w:r>
      <w:r w:rsidRPr="00636D2F">
        <w:t>safety</w:t>
      </w:r>
      <w:r w:rsidR="00D22434">
        <w:t>.</w:t>
      </w:r>
    </w:p>
    <w:p w14:paraId="39F4CFBF" w14:textId="77777777" w:rsidR="007730EF" w:rsidRDefault="007730EF" w:rsidP="007730EF">
      <w:pPr>
        <w:spacing w:after="120"/>
        <w:rPr>
          <w:b/>
        </w:rPr>
      </w:pPr>
      <w:bookmarkStart w:id="0" w:name="_Hlk129693388"/>
      <w:r>
        <w:rPr>
          <w:b/>
        </w:rPr>
        <w:t>Operation of the Safety Standard</w:t>
      </w:r>
    </w:p>
    <w:bookmarkEnd w:id="0"/>
    <w:p w14:paraId="7FD2B836" w14:textId="7386A289" w:rsidR="007730EF" w:rsidRPr="003E5285" w:rsidRDefault="007730EF" w:rsidP="007730EF">
      <w:pPr>
        <w:rPr>
          <w:rFonts w:cs="Arial"/>
          <w:lang w:val="en-GB"/>
        </w:rPr>
      </w:pPr>
      <w:r>
        <w:rPr>
          <w:rFonts w:cs="Arial"/>
          <w:lang w:val="en-GB"/>
        </w:rPr>
        <w:t>Th</w:t>
      </w:r>
      <w:r w:rsidR="00D22434">
        <w:rPr>
          <w:rFonts w:cs="Arial"/>
          <w:lang w:val="en-GB"/>
        </w:rPr>
        <w:t>is</w:t>
      </w:r>
      <w:r>
        <w:rPr>
          <w:rFonts w:cs="Arial"/>
          <w:lang w:val="en-GB"/>
        </w:rPr>
        <w:t xml:space="preserve"> Safety Standard requires children’s toys for children up to and including 36 months to comply with one of the following:</w:t>
      </w:r>
    </w:p>
    <w:p w14:paraId="51F1EA0D" w14:textId="77777777" w:rsidR="007730EF" w:rsidRPr="003E6250" w:rsidRDefault="007730EF" w:rsidP="007730EF">
      <w:pPr>
        <w:pStyle w:val="ListParagraph"/>
        <w:numPr>
          <w:ilvl w:val="0"/>
          <w:numId w:val="33"/>
        </w:numPr>
        <w:ind w:left="700"/>
        <w:rPr>
          <w:rFonts w:eastAsia="Arial" w:cs="Times New Roman"/>
          <w:iCs/>
          <w:color w:val="000000"/>
          <w:shd w:val="clear" w:color="auto" w:fill="FFFFFF"/>
        </w:rPr>
      </w:pPr>
      <w:r w:rsidRPr="003E6250">
        <w:rPr>
          <w:rFonts w:eastAsia="Arial" w:cs="Times New Roman"/>
          <w:b/>
          <w:iCs/>
          <w:color w:val="000000"/>
          <w:shd w:val="clear" w:color="auto" w:fill="FFFFFF"/>
        </w:rPr>
        <w:t>Australian/New Zealand Standard</w:t>
      </w:r>
      <w:r w:rsidRPr="003E6250">
        <w:rPr>
          <w:rFonts w:eastAsia="Arial" w:cs="Times New Roman"/>
          <w:iCs/>
          <w:color w:val="000000"/>
          <w:shd w:val="clear" w:color="auto" w:fill="FFFFFF"/>
        </w:rPr>
        <w:t xml:space="preserve"> </w:t>
      </w:r>
      <w:r>
        <w:rPr>
          <w:rFonts w:eastAsia="Arial" w:cs="Times New Roman"/>
          <w:iCs/>
          <w:color w:val="000000"/>
          <w:shd w:val="clear" w:color="auto" w:fill="FFFFFF"/>
        </w:rPr>
        <w:t>–</w:t>
      </w:r>
      <w:r w:rsidRPr="003E6250">
        <w:rPr>
          <w:rFonts w:eastAsia="Arial" w:cs="Times New Roman"/>
          <w:iCs/>
          <w:color w:val="000000"/>
          <w:shd w:val="clear" w:color="auto" w:fill="FFFFFF"/>
        </w:rPr>
        <w:t xml:space="preserve"> </w:t>
      </w:r>
      <w:r w:rsidRPr="003E6250">
        <w:rPr>
          <w:rFonts w:eastAsia="Arial" w:cs="Times New Roman"/>
          <w:i/>
          <w:iCs/>
          <w:color w:val="000000"/>
          <w:shd w:val="clear" w:color="auto" w:fill="FFFFFF"/>
        </w:rPr>
        <w:t>AS/NZS ISO 8124.1:2023 Safety of toys – Part 1: Safety aspects related to mechanical and physical properties</w:t>
      </w:r>
      <w:r>
        <w:rPr>
          <w:rFonts w:eastAsia="Arial" w:cs="Times New Roman"/>
          <w:color w:val="000000"/>
          <w:shd w:val="clear" w:color="auto" w:fill="FFFFFF"/>
        </w:rPr>
        <w:t xml:space="preserve"> (with variations)</w:t>
      </w:r>
      <w:r w:rsidRPr="003E6250">
        <w:rPr>
          <w:rFonts w:eastAsia="Arial" w:cs="Times New Roman"/>
          <w:i/>
          <w:iCs/>
          <w:color w:val="000000"/>
          <w:shd w:val="clear" w:color="auto" w:fill="FFFFFF"/>
        </w:rPr>
        <w:t xml:space="preserve"> </w:t>
      </w:r>
      <w:r w:rsidRPr="003E6250">
        <w:rPr>
          <w:rFonts w:eastAsia="Arial" w:cs="Times New Roman"/>
          <w:color w:val="000000"/>
          <w:shd w:val="clear" w:color="auto" w:fill="FFFFFF"/>
        </w:rPr>
        <w:t>and</w:t>
      </w:r>
      <w:r>
        <w:rPr>
          <w:rFonts w:eastAsia="Arial" w:cs="Times New Roman"/>
          <w:color w:val="000000"/>
          <w:shd w:val="clear" w:color="auto" w:fill="FFFFFF"/>
        </w:rPr>
        <w:t xml:space="preserve"> the </w:t>
      </w:r>
      <w:r w:rsidRPr="00634DA6">
        <w:rPr>
          <w:rFonts w:eastAsia="Arial" w:cs="Times New Roman"/>
          <w:b/>
          <w:iCs/>
          <w:color w:val="000000"/>
          <w:shd w:val="clear" w:color="auto" w:fill="FFFFFF"/>
        </w:rPr>
        <w:t>Electric Toy Standard</w:t>
      </w:r>
      <w:r w:rsidRPr="003E6250">
        <w:rPr>
          <w:rFonts w:eastAsia="Arial" w:cs="Times New Roman"/>
          <w:bCs/>
          <w:iCs/>
          <w:color w:val="000000"/>
          <w:shd w:val="clear" w:color="auto" w:fill="FFFFFF"/>
        </w:rPr>
        <w:t xml:space="preserve">: </w:t>
      </w:r>
      <w:r w:rsidRPr="003E6250">
        <w:rPr>
          <w:rFonts w:eastAsia="Arial" w:cs="Times New Roman"/>
          <w:bCs/>
          <w:i/>
          <w:color w:val="000000"/>
          <w:shd w:val="clear" w:color="auto" w:fill="FFFFFF"/>
        </w:rPr>
        <w:t>AS/NZS</w:t>
      </w:r>
      <w:r w:rsidRPr="003E6250">
        <w:rPr>
          <w:rFonts w:eastAsia="Arial" w:cs="Times New Roman"/>
          <w:bCs/>
          <w:iCs/>
          <w:color w:val="000000"/>
          <w:shd w:val="clear" w:color="auto" w:fill="FFFFFF"/>
        </w:rPr>
        <w:t xml:space="preserve"> </w:t>
      </w:r>
      <w:r w:rsidRPr="003E6250">
        <w:rPr>
          <w:rFonts w:eastAsia="Arial" w:cs="Times New Roman"/>
          <w:bCs/>
          <w:i/>
          <w:color w:val="000000"/>
          <w:shd w:val="clear" w:color="auto" w:fill="FFFFFF"/>
        </w:rPr>
        <w:t xml:space="preserve">62115:2018 Electric toys </w:t>
      </w:r>
      <w:r>
        <w:rPr>
          <w:rFonts w:eastAsia="Arial" w:cs="Times New Roman"/>
          <w:bCs/>
          <w:i/>
          <w:color w:val="000000"/>
          <w:shd w:val="clear" w:color="auto" w:fill="FFFFFF"/>
        </w:rPr>
        <w:t>–</w:t>
      </w:r>
      <w:r w:rsidRPr="003E6250">
        <w:rPr>
          <w:rFonts w:eastAsia="Arial" w:cs="Times New Roman"/>
          <w:bCs/>
          <w:i/>
          <w:color w:val="000000"/>
          <w:shd w:val="clear" w:color="auto" w:fill="FFFFFF"/>
        </w:rPr>
        <w:t xml:space="preserve"> Safety</w:t>
      </w:r>
      <w:r>
        <w:rPr>
          <w:rFonts w:eastAsia="Arial" w:cs="Times New Roman"/>
          <w:bCs/>
          <w:iCs/>
          <w:color w:val="000000"/>
          <w:shd w:val="clear" w:color="auto" w:fill="FFFFFF"/>
        </w:rPr>
        <w:t xml:space="preserve"> (with variations)</w:t>
      </w:r>
      <w:r>
        <w:rPr>
          <w:rFonts w:eastAsia="Arial" w:cs="Times New Roman"/>
          <w:bCs/>
          <w:i/>
          <w:color w:val="000000"/>
          <w:shd w:val="clear" w:color="auto" w:fill="FFFFFF"/>
        </w:rPr>
        <w:t xml:space="preserve">; </w:t>
      </w:r>
      <w:r>
        <w:rPr>
          <w:rFonts w:eastAsia="Arial" w:cs="Times New Roman"/>
          <w:bCs/>
          <w:iCs/>
          <w:color w:val="000000"/>
          <w:shd w:val="clear" w:color="auto" w:fill="FFFFFF"/>
        </w:rPr>
        <w:t>or</w:t>
      </w:r>
    </w:p>
    <w:p w14:paraId="48ACC712" w14:textId="77777777" w:rsidR="007730EF" w:rsidRPr="009F19F2" w:rsidRDefault="007730EF" w:rsidP="007730EF">
      <w:pPr>
        <w:pStyle w:val="ListParagraph"/>
        <w:numPr>
          <w:ilvl w:val="0"/>
          <w:numId w:val="33"/>
        </w:numPr>
        <w:ind w:left="700"/>
        <w:rPr>
          <w:rFonts w:eastAsia="Arial" w:cs="Times New Roman"/>
          <w:b/>
          <w:iCs/>
          <w:color w:val="000000"/>
          <w:shd w:val="clear" w:color="auto" w:fill="FFFFFF"/>
        </w:rPr>
      </w:pPr>
      <w:r w:rsidRPr="009F19F2">
        <w:rPr>
          <w:rFonts w:eastAsia="Arial" w:cs="Times New Roman"/>
          <w:b/>
          <w:iCs/>
          <w:color w:val="000000"/>
          <w:shd w:val="clear" w:color="auto" w:fill="FFFFFF"/>
        </w:rPr>
        <w:t xml:space="preserve">European </w:t>
      </w:r>
      <w:r>
        <w:rPr>
          <w:rFonts w:eastAsia="Arial" w:cs="Times New Roman"/>
          <w:b/>
          <w:iCs/>
          <w:color w:val="000000"/>
          <w:shd w:val="clear" w:color="auto" w:fill="FFFFFF"/>
        </w:rPr>
        <w:t>S</w:t>
      </w:r>
      <w:r w:rsidRPr="009F19F2">
        <w:rPr>
          <w:rFonts w:eastAsia="Arial" w:cs="Times New Roman"/>
          <w:b/>
          <w:iCs/>
          <w:color w:val="000000"/>
          <w:shd w:val="clear" w:color="auto" w:fill="FFFFFF"/>
        </w:rPr>
        <w:t>tandard</w:t>
      </w:r>
      <w:r w:rsidRPr="009F19F2">
        <w:rPr>
          <w:rFonts w:eastAsia="Arial" w:cs="Times New Roman"/>
          <w:iCs/>
          <w:color w:val="000000"/>
          <w:shd w:val="clear" w:color="auto" w:fill="FFFFFF"/>
        </w:rPr>
        <w:t xml:space="preserve"> </w:t>
      </w:r>
      <w:r>
        <w:rPr>
          <w:rFonts w:eastAsia="Arial" w:cs="Times New Roman"/>
          <w:i/>
          <w:iCs/>
          <w:color w:val="000000"/>
          <w:shd w:val="clear" w:color="auto" w:fill="FFFFFF"/>
        </w:rPr>
        <w:t>–</w:t>
      </w:r>
      <w:r w:rsidRPr="009F19F2">
        <w:rPr>
          <w:rFonts w:eastAsia="Arial" w:cs="Times New Roman"/>
          <w:i/>
          <w:iCs/>
          <w:color w:val="000000"/>
          <w:shd w:val="clear" w:color="auto" w:fill="FFFFFF"/>
        </w:rPr>
        <w:t xml:space="preserve"> EN 71</w:t>
      </w:r>
      <w:r w:rsidRPr="009F19F2">
        <w:rPr>
          <w:rFonts w:ascii="Cambria Math" w:eastAsia="Arial" w:hAnsi="Cambria Math" w:cs="Times New Roman"/>
          <w:i/>
          <w:iCs/>
          <w:color w:val="000000"/>
          <w:shd w:val="clear" w:color="auto" w:fill="FFFFFF"/>
        </w:rPr>
        <w:t>‑</w:t>
      </w:r>
      <w:r w:rsidRPr="009F19F2">
        <w:rPr>
          <w:rFonts w:eastAsia="Arial" w:cs="Times New Roman"/>
          <w:i/>
          <w:iCs/>
          <w:color w:val="000000"/>
          <w:shd w:val="clear" w:color="auto" w:fill="FFFFFF"/>
        </w:rPr>
        <w:t>1:2014 + A1:2018: Safety of toys – Part 1: Mechanical and physical properties</w:t>
      </w:r>
      <w:r>
        <w:rPr>
          <w:rFonts w:eastAsia="Arial" w:cs="Times New Roman"/>
          <w:color w:val="000000"/>
          <w:shd w:val="clear" w:color="auto" w:fill="FFFFFF"/>
        </w:rPr>
        <w:t xml:space="preserve"> </w:t>
      </w:r>
      <w:r w:rsidRPr="004D7F8D">
        <w:rPr>
          <w:rFonts w:eastAsia="Arial" w:cs="Times New Roman"/>
          <w:color w:val="000000"/>
          <w:shd w:val="clear" w:color="auto" w:fill="FFFFFF"/>
        </w:rPr>
        <w:t>(</w:t>
      </w:r>
      <w:r w:rsidRPr="00634DA6">
        <w:rPr>
          <w:rFonts w:eastAsia="Arial" w:cs="Times New Roman"/>
          <w:iCs/>
          <w:color w:val="000000"/>
          <w:shd w:val="clear" w:color="auto" w:fill="FFFFFF"/>
        </w:rPr>
        <w:t>with variations)</w:t>
      </w:r>
      <w:r>
        <w:rPr>
          <w:rFonts w:eastAsia="Arial" w:cs="Times New Roman"/>
          <w:iCs/>
          <w:color w:val="000000"/>
          <w:shd w:val="clear" w:color="auto" w:fill="FFFFFF"/>
        </w:rPr>
        <w:t xml:space="preserve"> and the </w:t>
      </w:r>
      <w:r>
        <w:rPr>
          <w:rFonts w:eastAsia="Arial" w:cs="Times New Roman"/>
          <w:b/>
          <w:bCs/>
          <w:iCs/>
          <w:color w:val="000000"/>
          <w:shd w:val="clear" w:color="auto" w:fill="FFFFFF"/>
        </w:rPr>
        <w:t>Electric Toy Standard</w:t>
      </w:r>
      <w:r>
        <w:rPr>
          <w:rFonts w:eastAsia="Arial" w:cs="Times New Roman"/>
          <w:iCs/>
          <w:color w:val="000000"/>
          <w:shd w:val="clear" w:color="auto" w:fill="FFFFFF"/>
        </w:rPr>
        <w:t xml:space="preserve"> </w:t>
      </w:r>
      <w:r>
        <w:rPr>
          <w:rFonts w:eastAsia="Arial" w:cs="Times New Roman"/>
          <w:bCs/>
          <w:iCs/>
          <w:color w:val="000000"/>
          <w:shd w:val="clear" w:color="auto" w:fill="FFFFFF"/>
        </w:rPr>
        <w:t>(with variations)</w:t>
      </w:r>
      <w:r>
        <w:rPr>
          <w:rFonts w:eastAsia="Arial" w:cs="Times New Roman"/>
          <w:iCs/>
          <w:color w:val="000000"/>
          <w:shd w:val="clear" w:color="auto" w:fill="FFFFFF"/>
        </w:rPr>
        <w:t>; or</w:t>
      </w:r>
    </w:p>
    <w:p w14:paraId="275DC8EB" w14:textId="77777777" w:rsidR="007730EF" w:rsidRPr="00733F93" w:rsidRDefault="007730EF" w:rsidP="007730EF">
      <w:pPr>
        <w:numPr>
          <w:ilvl w:val="0"/>
          <w:numId w:val="33"/>
        </w:numPr>
        <w:tabs>
          <w:tab w:val="left" w:pos="340"/>
        </w:tabs>
        <w:spacing w:before="120"/>
        <w:ind w:left="700"/>
        <w:rPr>
          <w:rFonts w:eastAsia="Arial" w:cs="Times New Roman"/>
        </w:rPr>
      </w:pPr>
      <w:r w:rsidRPr="00B33376">
        <w:rPr>
          <w:rFonts w:eastAsia="Arial" w:cs="Times New Roman"/>
          <w:b/>
          <w:iCs/>
          <w:color w:val="000000"/>
          <w:shd w:val="clear" w:color="auto" w:fill="FFFFFF"/>
        </w:rPr>
        <w:t xml:space="preserve">International </w:t>
      </w:r>
      <w:r>
        <w:rPr>
          <w:rFonts w:eastAsia="Arial" w:cs="Times New Roman"/>
          <w:b/>
          <w:iCs/>
          <w:color w:val="000000"/>
          <w:shd w:val="clear" w:color="auto" w:fill="FFFFFF"/>
        </w:rPr>
        <w:t>S</w:t>
      </w:r>
      <w:r w:rsidRPr="00B33376">
        <w:rPr>
          <w:rFonts w:eastAsia="Arial" w:cs="Times New Roman"/>
          <w:b/>
          <w:iCs/>
          <w:color w:val="000000"/>
          <w:shd w:val="clear" w:color="auto" w:fill="FFFFFF"/>
        </w:rPr>
        <w:t>tandard</w:t>
      </w:r>
      <w:r>
        <w:rPr>
          <w:rFonts w:eastAsia="Arial" w:cs="Times New Roman"/>
          <w:iCs/>
          <w:color w:val="000000"/>
          <w:shd w:val="clear" w:color="auto" w:fill="FFFFFF"/>
        </w:rPr>
        <w:t xml:space="preserve"> - </w:t>
      </w:r>
      <w:r w:rsidRPr="00554AAA">
        <w:rPr>
          <w:rFonts w:eastAsia="Arial" w:cs="Times New Roman"/>
          <w:i/>
          <w:iCs/>
          <w:color w:val="000000"/>
          <w:shd w:val="clear" w:color="auto" w:fill="FFFFFF"/>
        </w:rPr>
        <w:t>ISO 8124</w:t>
      </w:r>
      <w:r w:rsidRPr="00554AAA">
        <w:rPr>
          <w:rFonts w:eastAsia="Arial" w:cs="Times New Roman"/>
          <w:i/>
          <w:iCs/>
          <w:color w:val="000000"/>
          <w:shd w:val="clear" w:color="auto" w:fill="FFFFFF"/>
        </w:rPr>
        <w:noBreakHyphen/>
        <w:t>1:20</w:t>
      </w:r>
      <w:r>
        <w:rPr>
          <w:rFonts w:eastAsia="Arial" w:cs="Times New Roman"/>
          <w:i/>
          <w:iCs/>
          <w:color w:val="000000"/>
          <w:shd w:val="clear" w:color="auto" w:fill="FFFFFF"/>
        </w:rPr>
        <w:t>22</w:t>
      </w:r>
      <w:r w:rsidRPr="00554AAA">
        <w:rPr>
          <w:rFonts w:eastAsia="Arial" w:cs="Times New Roman"/>
          <w:i/>
          <w:iCs/>
          <w:color w:val="000000"/>
          <w:shd w:val="clear" w:color="auto" w:fill="FFFFFF"/>
        </w:rPr>
        <w:t xml:space="preserve"> Safety of toys – Part 1: Safety aspects related to mechanical and physical properties</w:t>
      </w:r>
      <w:r>
        <w:rPr>
          <w:rFonts w:eastAsia="Arial" w:cs="Times New Roman"/>
          <w:color w:val="000000"/>
          <w:shd w:val="clear" w:color="auto" w:fill="FFFFFF"/>
        </w:rPr>
        <w:t xml:space="preserve"> (with variations) and the </w:t>
      </w:r>
      <w:r>
        <w:rPr>
          <w:rFonts w:eastAsia="Arial" w:cs="Times New Roman"/>
          <w:b/>
          <w:bCs/>
          <w:color w:val="000000"/>
          <w:shd w:val="clear" w:color="auto" w:fill="FFFFFF"/>
        </w:rPr>
        <w:t>Electric Toy Standard</w:t>
      </w:r>
      <w:r>
        <w:rPr>
          <w:rFonts w:eastAsia="Arial" w:cs="Times New Roman"/>
          <w:color w:val="000000"/>
          <w:shd w:val="clear" w:color="auto" w:fill="FFFFFF"/>
        </w:rPr>
        <w:t xml:space="preserve"> (with variations); or</w:t>
      </w:r>
    </w:p>
    <w:p w14:paraId="53F1AEDE" w14:textId="77777777" w:rsidR="007730EF" w:rsidRPr="00597D2F" w:rsidRDefault="007730EF" w:rsidP="007730EF">
      <w:pPr>
        <w:numPr>
          <w:ilvl w:val="0"/>
          <w:numId w:val="33"/>
        </w:numPr>
        <w:tabs>
          <w:tab w:val="left" w:pos="340"/>
        </w:tabs>
        <w:spacing w:before="120"/>
        <w:ind w:left="700"/>
        <w:rPr>
          <w:rFonts w:eastAsia="Arial" w:cs="Times New Roman"/>
        </w:rPr>
      </w:pPr>
      <w:r>
        <w:rPr>
          <w:rFonts w:eastAsia="Arial" w:cs="Times New Roman"/>
          <w:b/>
          <w:color w:val="000000"/>
          <w:shd w:val="clear" w:color="auto" w:fill="FFFFFF"/>
        </w:rPr>
        <w:t>US S</w:t>
      </w:r>
      <w:r w:rsidRPr="00B33376">
        <w:rPr>
          <w:rFonts w:eastAsia="Arial" w:cs="Times New Roman"/>
          <w:b/>
          <w:color w:val="000000"/>
          <w:shd w:val="clear" w:color="auto" w:fill="FFFFFF"/>
        </w:rPr>
        <w:t>tandard</w:t>
      </w:r>
      <w:r>
        <w:rPr>
          <w:rFonts w:eastAsia="Arial" w:cs="Times New Roman"/>
          <w:color w:val="000000"/>
          <w:shd w:val="clear" w:color="auto" w:fill="FFFFFF"/>
        </w:rPr>
        <w:t xml:space="preserve"> -</w:t>
      </w:r>
      <w:r w:rsidRPr="009F19F2">
        <w:rPr>
          <w:rFonts w:eastAsia="Arial" w:cs="Times New Roman"/>
          <w:i/>
          <w:color w:val="000000"/>
          <w:shd w:val="clear" w:color="auto" w:fill="FFFFFF"/>
        </w:rPr>
        <w:t xml:space="preserve"> ASTM F963</w:t>
      </w:r>
      <w:r w:rsidRPr="009F19F2">
        <w:rPr>
          <w:rFonts w:eastAsia="Arial" w:cs="Times New Roman"/>
          <w:i/>
          <w:color w:val="000000"/>
          <w:shd w:val="clear" w:color="auto" w:fill="FFFFFF"/>
        </w:rPr>
        <w:noBreakHyphen/>
        <w:t>17</w:t>
      </w:r>
      <w:r w:rsidRPr="009F19F2">
        <w:rPr>
          <w:rFonts w:eastAsia="Arial" w:cs="Times New Roman"/>
          <w:i/>
        </w:rPr>
        <w:t xml:space="preserve"> Standard Consumer Safety Specification for Toy Safety</w:t>
      </w:r>
      <w:r>
        <w:rPr>
          <w:rFonts w:eastAsia="Arial" w:cs="Times New Roman"/>
          <w:i/>
        </w:rPr>
        <w:t xml:space="preserve"> </w:t>
      </w:r>
      <w:r>
        <w:rPr>
          <w:rFonts w:eastAsia="Arial" w:cs="Times New Roman"/>
          <w:iCs/>
        </w:rPr>
        <w:t xml:space="preserve">(with variations) and the </w:t>
      </w:r>
      <w:r>
        <w:rPr>
          <w:rFonts w:eastAsia="Arial" w:cs="Times New Roman"/>
          <w:b/>
          <w:bCs/>
          <w:iCs/>
        </w:rPr>
        <w:t>Electric Toy Standard</w:t>
      </w:r>
      <w:r>
        <w:rPr>
          <w:rFonts w:eastAsia="Arial" w:cs="Times New Roman"/>
          <w:iCs/>
        </w:rPr>
        <w:t xml:space="preserve"> (with variations).</w:t>
      </w:r>
    </w:p>
    <w:p w14:paraId="79CE7022" w14:textId="5B68FC5A" w:rsidR="007730EF" w:rsidRPr="00CC5AE6" w:rsidRDefault="00B71E98" w:rsidP="007730EF">
      <w:r w:rsidRPr="002F047C">
        <w:t xml:space="preserve">A description of the </w:t>
      </w:r>
      <w:r>
        <w:t xml:space="preserve">provisions </w:t>
      </w:r>
      <w:r w:rsidRPr="002F047C">
        <w:t xml:space="preserve">is set out </w:t>
      </w:r>
      <w:r w:rsidRPr="00384935">
        <w:rPr>
          <w:bCs/>
        </w:rPr>
        <w:t>later in this document</w:t>
      </w:r>
      <w:r w:rsidRPr="002F047C">
        <w:t>.</w:t>
      </w:r>
    </w:p>
    <w:p w14:paraId="25852632" w14:textId="77777777" w:rsidR="00376D1D" w:rsidRDefault="00376D1D" w:rsidP="007730EF">
      <w:pPr>
        <w:rPr>
          <w:rFonts w:cs="Arial"/>
          <w:b/>
          <w:lang w:val="en-GB"/>
        </w:rPr>
      </w:pPr>
    </w:p>
    <w:p w14:paraId="7FB0C15B" w14:textId="77F5A342" w:rsidR="007730EF" w:rsidRDefault="007730EF" w:rsidP="007730EF">
      <w:pPr>
        <w:rPr>
          <w:rFonts w:cs="Arial"/>
          <w:b/>
          <w:lang w:val="en-GB"/>
        </w:rPr>
      </w:pPr>
      <w:r>
        <w:rPr>
          <w:rFonts w:cs="Arial"/>
          <w:b/>
          <w:lang w:val="en-GB"/>
        </w:rPr>
        <w:lastRenderedPageBreak/>
        <w:t>Repealed Safety S</w:t>
      </w:r>
      <w:r w:rsidRPr="00197372">
        <w:rPr>
          <w:rFonts w:cs="Arial"/>
          <w:b/>
          <w:lang w:val="en-GB"/>
        </w:rPr>
        <w:t>tandard</w:t>
      </w:r>
    </w:p>
    <w:p w14:paraId="3AF6CDC0" w14:textId="0F164C19" w:rsidR="007730EF" w:rsidRDefault="007730EF" w:rsidP="007730EF">
      <w:pPr>
        <w:shd w:val="clear" w:color="auto" w:fill="FFFFFF"/>
      </w:pPr>
      <w:r>
        <w:t>Th</w:t>
      </w:r>
      <w:r w:rsidR="00D22434">
        <w:t>is</w:t>
      </w:r>
      <w:r>
        <w:t xml:space="preserve"> Safety Standard repeals the</w:t>
      </w:r>
      <w:r w:rsidRPr="001649FA">
        <w:rPr>
          <w:rFonts w:cs="Arial"/>
          <w:i/>
          <w:lang w:val="en-GB"/>
        </w:rPr>
        <w:t xml:space="preserve"> </w:t>
      </w:r>
      <w:bookmarkStart w:id="1" w:name="_Hlk126924643"/>
      <w:r>
        <w:rPr>
          <w:rFonts w:cs="Arial"/>
          <w:i/>
          <w:lang w:val="en-GB"/>
        </w:rPr>
        <w:t xml:space="preserve">Consumer Product Safety Standard: Toys for children up to and including 36 months of age </w:t>
      </w:r>
      <w:r w:rsidRPr="00934FA7">
        <w:rPr>
          <w:rFonts w:cs="Arial"/>
          <w:iCs/>
          <w:lang w:val="en-GB"/>
        </w:rPr>
        <w:t xml:space="preserve">(Consumer Protection Notice No.14 of 2003) </w:t>
      </w:r>
      <w:bookmarkEnd w:id="1"/>
      <w:r w:rsidRPr="00934FA7">
        <w:rPr>
          <w:iCs/>
        </w:rPr>
        <w:t xml:space="preserve">(Federal Register of Legislation No. </w:t>
      </w:r>
      <w:r w:rsidRPr="00934FA7">
        <w:rPr>
          <w:rFonts w:asciiTheme="minorHAnsi" w:hAnsiTheme="minorHAnsi" w:cstheme="minorHAnsi"/>
          <w:iCs/>
          <w:shd w:val="clear" w:color="auto" w:fill="FFFFFF"/>
        </w:rPr>
        <w:t>F2008C00607).</w:t>
      </w:r>
    </w:p>
    <w:p w14:paraId="294004CF" w14:textId="77777777" w:rsidR="007730EF" w:rsidRPr="00232D8C" w:rsidRDefault="007730EF" w:rsidP="007730EF">
      <w:pPr>
        <w:rPr>
          <w:rFonts w:cs="Arial"/>
          <w:lang w:val="en-GB"/>
        </w:rPr>
      </w:pPr>
      <w:r w:rsidRPr="00EE6BA8">
        <w:rPr>
          <w:rFonts w:cs="Arial"/>
          <w:lang w:val="en-GB"/>
        </w:rPr>
        <w:t xml:space="preserve">Under subsection 33(3) of the </w:t>
      </w:r>
      <w:r w:rsidRPr="00EE6BA8">
        <w:rPr>
          <w:rFonts w:cs="Arial"/>
          <w:i/>
          <w:lang w:val="en-GB"/>
        </w:rPr>
        <w:t>Acts Interpretation Act 1901</w:t>
      </w:r>
      <w:r>
        <w:rPr>
          <w:rFonts w:cs="Arial"/>
          <w:i/>
          <w:lang w:val="en-GB"/>
        </w:rPr>
        <w:t xml:space="preserve"> </w:t>
      </w:r>
      <w:r w:rsidRPr="009E350E">
        <w:rPr>
          <w:rFonts w:cs="Arial"/>
          <w:lang w:val="en-GB"/>
        </w:rPr>
        <w:t>(Cth)</w:t>
      </w:r>
      <w:r>
        <w:rPr>
          <w:rFonts w:cs="Arial"/>
          <w:lang w:val="en-GB"/>
        </w:rPr>
        <w:t xml:space="preserve">, where an Act </w:t>
      </w:r>
      <w:r w:rsidRPr="00EE6BA8">
        <w:rPr>
          <w:rFonts w:cs="Arial"/>
          <w:lang w:val="en-GB"/>
        </w:rPr>
        <w:t>confers a power to make, grant or issue any instrument of a legislative or</w:t>
      </w:r>
      <w:r>
        <w:rPr>
          <w:rFonts w:cs="Arial"/>
          <w:lang w:val="en-GB"/>
        </w:rPr>
        <w:t xml:space="preserve"> </w:t>
      </w:r>
      <w:r w:rsidRPr="00EE6BA8">
        <w:rPr>
          <w:rFonts w:cs="Arial"/>
          <w:lang w:val="en-GB"/>
        </w:rPr>
        <w:t>administrative character (including rules, regulations or by-laws),</w:t>
      </w:r>
      <w:r>
        <w:rPr>
          <w:rFonts w:cs="Arial"/>
          <w:lang w:val="en-GB"/>
        </w:rPr>
        <w:t xml:space="preserve"> </w:t>
      </w:r>
      <w:r w:rsidRPr="00EE6BA8">
        <w:rPr>
          <w:rFonts w:cs="Arial"/>
          <w:lang w:val="en-GB"/>
        </w:rPr>
        <w:t>the power shall be construed as including a power exercisable in the like</w:t>
      </w:r>
      <w:r>
        <w:rPr>
          <w:rFonts w:cs="Arial"/>
          <w:lang w:val="en-GB"/>
        </w:rPr>
        <w:t xml:space="preserve"> </w:t>
      </w:r>
      <w:r w:rsidRPr="00EE6BA8">
        <w:rPr>
          <w:rFonts w:cs="Arial"/>
          <w:lang w:val="en-GB"/>
        </w:rPr>
        <w:t>manner and subject to the like conditions (if any) to repeal, rescind,</w:t>
      </w:r>
      <w:r>
        <w:rPr>
          <w:rFonts w:cs="Arial"/>
          <w:lang w:val="en-GB"/>
        </w:rPr>
        <w:t xml:space="preserve"> </w:t>
      </w:r>
      <w:r w:rsidRPr="00EE6BA8">
        <w:rPr>
          <w:rFonts w:cs="Arial"/>
          <w:lang w:val="en-GB"/>
        </w:rPr>
        <w:t>revoke, amend, or vary any such instrument.</w:t>
      </w:r>
    </w:p>
    <w:p w14:paraId="18054CAC" w14:textId="77777777" w:rsidR="007730EF" w:rsidRPr="005A1C93" w:rsidRDefault="007730EF" w:rsidP="007730EF">
      <w:pPr>
        <w:pStyle w:val="ListParagraph"/>
        <w:numPr>
          <w:ilvl w:val="0"/>
          <w:numId w:val="41"/>
        </w:numPr>
        <w:rPr>
          <w:rFonts w:cs="Arial"/>
          <w:b/>
          <w:sz w:val="24"/>
          <w:szCs w:val="24"/>
          <w:lang w:val="en-GB"/>
        </w:rPr>
      </w:pPr>
      <w:bookmarkStart w:id="2" w:name="_Hlk129693556"/>
      <w:r w:rsidRPr="005A1C93">
        <w:rPr>
          <w:rFonts w:cs="Arial"/>
          <w:b/>
          <w:sz w:val="24"/>
          <w:szCs w:val="24"/>
          <w:lang w:val="en-GB"/>
        </w:rPr>
        <w:t xml:space="preserve">Incorporated Australian and International </w:t>
      </w:r>
      <w:r>
        <w:rPr>
          <w:rFonts w:cs="Arial"/>
          <w:b/>
          <w:sz w:val="24"/>
          <w:szCs w:val="24"/>
          <w:lang w:val="en-GB"/>
        </w:rPr>
        <w:t>S</w:t>
      </w:r>
      <w:r w:rsidRPr="005A1C93">
        <w:rPr>
          <w:rFonts w:cs="Arial"/>
          <w:b/>
          <w:sz w:val="24"/>
          <w:szCs w:val="24"/>
          <w:lang w:val="en-GB"/>
        </w:rPr>
        <w:t>tandards</w:t>
      </w:r>
    </w:p>
    <w:bookmarkEnd w:id="2"/>
    <w:p w14:paraId="1E5B234D" w14:textId="2E6C63C4" w:rsidR="007730EF" w:rsidRDefault="007730EF" w:rsidP="007730EF">
      <w:pPr>
        <w:spacing w:after="120"/>
        <w:rPr>
          <w:iCs/>
        </w:rPr>
      </w:pPr>
      <w:r w:rsidRPr="00BF6D5E">
        <w:rPr>
          <w:iCs/>
        </w:rPr>
        <w:t xml:space="preserve">Where practicable, product safety legislative instruments only reference extrinsic material that is readily accessible for free by the public. However, as in the current case, many </w:t>
      </w:r>
      <w:proofErr w:type="gramStart"/>
      <w:r w:rsidRPr="00BF6D5E">
        <w:rPr>
          <w:iCs/>
        </w:rPr>
        <w:t>product</w:t>
      </w:r>
      <w:proofErr w:type="gramEnd"/>
      <w:r w:rsidRPr="00BF6D5E">
        <w:rPr>
          <w:iCs/>
        </w:rPr>
        <w:t xml:space="preserve"> safety legislative instruments need to incorporate extrinsic technical standards over</w:t>
      </w:r>
      <w:r>
        <w:rPr>
          <w:iCs/>
        </w:rPr>
        <w:t xml:space="preserve"> which certain bodies</w:t>
      </w:r>
      <w:r w:rsidRPr="00BF6D5E">
        <w:rPr>
          <w:iCs/>
        </w:rPr>
        <w:t xml:space="preserve"> have copyright</w:t>
      </w:r>
      <w:r>
        <w:rPr>
          <w:iCs/>
        </w:rPr>
        <w:t xml:space="preserve"> </w:t>
      </w:r>
      <w:bookmarkStart w:id="3" w:name="_Hlk130390038"/>
      <w:r>
        <w:rPr>
          <w:iCs/>
        </w:rPr>
        <w:t>which means the standards must be purchased</w:t>
      </w:r>
      <w:bookmarkEnd w:id="3"/>
      <w:r w:rsidRPr="00BF6D5E">
        <w:rPr>
          <w:iCs/>
        </w:rPr>
        <w:t>.</w:t>
      </w:r>
    </w:p>
    <w:p w14:paraId="2965F905" w14:textId="2FC4D97D" w:rsidR="007730EF" w:rsidRDefault="007730EF" w:rsidP="007730EF">
      <w:pPr>
        <w:rPr>
          <w:iCs/>
        </w:rPr>
      </w:pPr>
      <w:r w:rsidRPr="00961F6E">
        <w:rPr>
          <w:iCs/>
        </w:rPr>
        <w:t>The Australian/New Zealand Standard</w:t>
      </w:r>
      <w:r>
        <w:rPr>
          <w:iCs/>
        </w:rPr>
        <w:t xml:space="preserve">, the Electric Toy Standard, </w:t>
      </w:r>
      <w:r w:rsidR="003C78A0">
        <w:rPr>
          <w:iCs/>
        </w:rPr>
        <w:t xml:space="preserve">the </w:t>
      </w:r>
      <w:r w:rsidRPr="00961F6E">
        <w:rPr>
          <w:iCs/>
        </w:rPr>
        <w:t xml:space="preserve">European </w:t>
      </w:r>
      <w:proofErr w:type="gramStart"/>
      <w:r w:rsidRPr="00961F6E">
        <w:rPr>
          <w:iCs/>
        </w:rPr>
        <w:t>Standard</w:t>
      </w:r>
      <w:proofErr w:type="gramEnd"/>
      <w:r w:rsidRPr="00961F6E">
        <w:rPr>
          <w:iCs/>
        </w:rPr>
        <w:t xml:space="preserve"> and</w:t>
      </w:r>
      <w:r>
        <w:rPr>
          <w:iCs/>
        </w:rPr>
        <w:t xml:space="preserve"> the US</w:t>
      </w:r>
      <w:r w:rsidRPr="00961F6E">
        <w:rPr>
          <w:iCs/>
        </w:rPr>
        <w:t xml:space="preserve"> Standard</w:t>
      </w:r>
      <w:r>
        <w:rPr>
          <w:iCs/>
        </w:rPr>
        <w:t xml:space="preserve"> referenced in this instrument are</w:t>
      </w:r>
      <w:r w:rsidRPr="006635CB">
        <w:rPr>
          <w:iCs/>
        </w:rPr>
        <w:t xml:space="preserve"> available for purchase </w:t>
      </w:r>
      <w:r>
        <w:rPr>
          <w:iCs/>
        </w:rPr>
        <w:t xml:space="preserve">at </w:t>
      </w:r>
      <w:r w:rsidRPr="006635CB">
        <w:rPr>
          <w:iCs/>
        </w:rPr>
        <w:t xml:space="preserve">SAI </w:t>
      </w:r>
      <w:proofErr w:type="spellStart"/>
      <w:r w:rsidRPr="006635CB">
        <w:rPr>
          <w:iCs/>
        </w:rPr>
        <w:t>Global’s</w:t>
      </w:r>
      <w:proofErr w:type="spellEnd"/>
      <w:r w:rsidRPr="006635CB">
        <w:rPr>
          <w:iCs/>
        </w:rPr>
        <w:t xml:space="preserve"> website</w:t>
      </w:r>
      <w:r>
        <w:rPr>
          <w:iCs/>
        </w:rPr>
        <w:t xml:space="preserve"> </w:t>
      </w:r>
      <w:r w:rsidRPr="006635CB">
        <w:rPr>
          <w:iCs/>
        </w:rPr>
        <w:t>(</w:t>
      </w:r>
      <w:hyperlink r:id="rId9" w:history="1">
        <w:r w:rsidRPr="00035DC6">
          <w:rPr>
            <w:rStyle w:val="Hyperlink"/>
            <w:iCs/>
          </w:rPr>
          <w:t>https://www.saiglobal.com</w:t>
        </w:r>
      </w:hyperlink>
      <w:r>
        <w:rPr>
          <w:iCs/>
        </w:rPr>
        <w:t>)</w:t>
      </w:r>
      <w:r w:rsidRPr="006635CB">
        <w:rPr>
          <w:iCs/>
        </w:rPr>
        <w:t xml:space="preserve">. </w:t>
      </w:r>
      <w:r>
        <w:rPr>
          <w:iCs/>
        </w:rPr>
        <w:t>The International Standard</w:t>
      </w:r>
      <w:r w:rsidRPr="00C91E9D">
        <w:rPr>
          <w:iCs/>
        </w:rPr>
        <w:t xml:space="preserve"> </w:t>
      </w:r>
      <w:r>
        <w:rPr>
          <w:iCs/>
        </w:rPr>
        <w:t>referenced in this instrument is available for purchase at the ISO’s website (</w:t>
      </w:r>
      <w:hyperlink r:id="rId10" w:history="1">
        <w:r w:rsidRPr="00186B2E">
          <w:rPr>
            <w:rStyle w:val="Hyperlink"/>
            <w:iCs/>
          </w:rPr>
          <w:t>https://www.iso.org</w:t>
        </w:r>
      </w:hyperlink>
      <w:r>
        <w:rPr>
          <w:iCs/>
        </w:rPr>
        <w:t>).</w:t>
      </w:r>
    </w:p>
    <w:p w14:paraId="480F098F" w14:textId="77777777" w:rsidR="007730EF" w:rsidRPr="002E1729" w:rsidRDefault="007730EF" w:rsidP="007730EF">
      <w:pPr>
        <w:spacing w:after="120"/>
        <w:rPr>
          <w:rFonts w:cs="Arial"/>
          <w:lang w:val="en-GB"/>
        </w:rPr>
      </w:pPr>
      <w:r w:rsidRPr="006635CB">
        <w:rPr>
          <w:iCs/>
        </w:rPr>
        <w:t>The Australian Comp</w:t>
      </w:r>
      <w:r>
        <w:rPr>
          <w:iCs/>
        </w:rPr>
        <w:t>etition and Consumer Commission (</w:t>
      </w:r>
      <w:r w:rsidRPr="00623CC3">
        <w:rPr>
          <w:b/>
          <w:iCs/>
        </w:rPr>
        <w:t>ACCC</w:t>
      </w:r>
      <w:r>
        <w:rPr>
          <w:iCs/>
        </w:rPr>
        <w:t xml:space="preserve">) </w:t>
      </w:r>
      <w:r w:rsidRPr="006635CB">
        <w:rPr>
          <w:iCs/>
        </w:rPr>
        <w:t>can make a copy of the</w:t>
      </w:r>
      <w:r>
        <w:rPr>
          <w:iCs/>
        </w:rPr>
        <w:t xml:space="preserve"> above</w:t>
      </w:r>
      <w:r w:rsidRPr="006635CB">
        <w:rPr>
          <w:iCs/>
        </w:rPr>
        <w:t xml:space="preserve"> standard</w:t>
      </w:r>
      <w:r>
        <w:rPr>
          <w:iCs/>
        </w:rPr>
        <w:t>s</w:t>
      </w:r>
      <w:r w:rsidRPr="006635CB">
        <w:rPr>
          <w:iCs/>
        </w:rPr>
        <w:t xml:space="preserve"> available for viewing at one of its offices, </w:t>
      </w:r>
      <w:r>
        <w:rPr>
          <w:iCs/>
        </w:rPr>
        <w:t xml:space="preserve">by prior arrangement and </w:t>
      </w:r>
      <w:r w:rsidRPr="006635CB">
        <w:rPr>
          <w:iCs/>
        </w:rPr>
        <w:t>subject to licensing conditions.</w:t>
      </w:r>
    </w:p>
    <w:p w14:paraId="03EE9D80" w14:textId="0F3C17C5" w:rsidR="007730EF" w:rsidRPr="00355F47" w:rsidRDefault="007730EF" w:rsidP="007730EF">
      <w:pPr>
        <w:pStyle w:val="ListParagraph"/>
        <w:numPr>
          <w:ilvl w:val="0"/>
          <w:numId w:val="41"/>
        </w:numPr>
        <w:rPr>
          <w:rFonts w:cs="Arial"/>
          <w:sz w:val="24"/>
          <w:szCs w:val="24"/>
          <w:lang w:val="en-GB"/>
        </w:rPr>
      </w:pPr>
      <w:r w:rsidRPr="00355F47">
        <w:rPr>
          <w:b/>
          <w:sz w:val="24"/>
          <w:szCs w:val="24"/>
          <w:lang w:val="en-GB"/>
        </w:rPr>
        <w:t>Consultation</w:t>
      </w:r>
    </w:p>
    <w:p w14:paraId="741CF636" w14:textId="657204F7" w:rsidR="007730EF" w:rsidRPr="00AE1EF4" w:rsidRDefault="007730EF" w:rsidP="007730EF">
      <w:pPr>
        <w:rPr>
          <w:i/>
          <w:iCs/>
        </w:rPr>
      </w:pPr>
      <w:r w:rsidRPr="00A1647A">
        <w:t>Before th</w:t>
      </w:r>
      <w:r w:rsidR="003C78A0">
        <w:t>is</w:t>
      </w:r>
      <w:r w:rsidRPr="00A1647A">
        <w:t xml:space="preserve"> </w:t>
      </w:r>
      <w:r>
        <w:t>S</w:t>
      </w:r>
      <w:r w:rsidRPr="00A1647A">
        <w:t xml:space="preserve">afety </w:t>
      </w:r>
      <w:r>
        <w:t>S</w:t>
      </w:r>
      <w:r w:rsidRPr="00A1647A">
        <w:t xml:space="preserve">tandard was made, the Minister was satisfied that consultation was undertaken to the extent appropriate and reasonably practicable, in accordance with section 17 of the </w:t>
      </w:r>
      <w:r w:rsidRPr="00AE1EF4">
        <w:rPr>
          <w:i/>
          <w:iCs/>
        </w:rPr>
        <w:t>Legislation Act 2003.</w:t>
      </w:r>
    </w:p>
    <w:p w14:paraId="161E7719" w14:textId="77EF5F85" w:rsidR="007730EF" w:rsidRDefault="007730EF" w:rsidP="007730EF">
      <w:r>
        <w:t>The ACCC published a combined consultation paper for the five toy standards regulated by existing standards from 1 February to 9 April 2017. The mandatory safety standard for toys</w:t>
      </w:r>
      <w:r w:rsidRPr="00587D2A">
        <w:rPr>
          <w:rFonts w:asciiTheme="minorHAnsi" w:hAnsiTheme="minorHAnsi" w:cstheme="minorHAnsi"/>
          <w:lang w:val="en-GB"/>
        </w:rPr>
        <w:t xml:space="preserve"> </w:t>
      </w:r>
      <w:r>
        <w:rPr>
          <w:rFonts w:asciiTheme="minorHAnsi" w:hAnsiTheme="minorHAnsi" w:cstheme="minorHAnsi"/>
          <w:lang w:val="en-GB"/>
        </w:rPr>
        <w:t>for children up to and including 36 months</w:t>
      </w:r>
      <w:r>
        <w:t xml:space="preserve"> was one of the five standards. The paper detailed five </w:t>
      </w:r>
      <w:r w:rsidR="0049567E">
        <w:t xml:space="preserve">(5) </w:t>
      </w:r>
      <w:r>
        <w:t>policy options for dealing with the mandatory safety standards for toys:</w:t>
      </w:r>
    </w:p>
    <w:p w14:paraId="29CBA8C4" w14:textId="77777777" w:rsidR="007730EF" w:rsidRDefault="007730EF" w:rsidP="007730EF">
      <w:pPr>
        <w:pStyle w:val="ListParagraph"/>
        <w:numPr>
          <w:ilvl w:val="0"/>
          <w:numId w:val="36"/>
        </w:numPr>
      </w:pPr>
      <w:r>
        <w:t>Option 1 – Retain the current mandatory safety standards (status quo)</w:t>
      </w:r>
    </w:p>
    <w:p w14:paraId="051620E7" w14:textId="77777777" w:rsidR="007730EF" w:rsidRDefault="007730EF" w:rsidP="007730EF">
      <w:pPr>
        <w:pStyle w:val="ListParagraph"/>
        <w:numPr>
          <w:ilvl w:val="0"/>
          <w:numId w:val="36"/>
        </w:numPr>
      </w:pPr>
      <w:r>
        <w:t xml:space="preserve">Option 2 – Adopt the updated voluntary Australian </w:t>
      </w:r>
      <w:proofErr w:type="gramStart"/>
      <w:r>
        <w:t>standard</w:t>
      </w:r>
      <w:proofErr w:type="gramEnd"/>
    </w:p>
    <w:p w14:paraId="3CF8EC26" w14:textId="77777777" w:rsidR="007730EF" w:rsidRDefault="007730EF" w:rsidP="007730EF">
      <w:pPr>
        <w:pStyle w:val="ListParagraph"/>
        <w:numPr>
          <w:ilvl w:val="0"/>
          <w:numId w:val="36"/>
        </w:numPr>
      </w:pPr>
      <w:r>
        <w:t xml:space="preserve">Option 3 – Allow compliance with the updated voluntary Australian standard or trusted overseas </w:t>
      </w:r>
      <w:proofErr w:type="gramStart"/>
      <w:r>
        <w:t>standards</w:t>
      </w:r>
      <w:proofErr w:type="gramEnd"/>
    </w:p>
    <w:p w14:paraId="34884A6B" w14:textId="77777777" w:rsidR="007730EF" w:rsidRDefault="007730EF" w:rsidP="007730EF">
      <w:pPr>
        <w:pStyle w:val="ListParagraph"/>
        <w:numPr>
          <w:ilvl w:val="0"/>
          <w:numId w:val="36"/>
        </w:numPr>
      </w:pPr>
      <w:r>
        <w:t xml:space="preserve">Option 3a – Allow principles-based compliance with the current voluntary Australian standard and overseas </w:t>
      </w:r>
      <w:proofErr w:type="gramStart"/>
      <w:r>
        <w:t>standards</w:t>
      </w:r>
      <w:proofErr w:type="gramEnd"/>
    </w:p>
    <w:p w14:paraId="6B9BB1D3" w14:textId="77777777" w:rsidR="007730EF" w:rsidRDefault="007730EF" w:rsidP="007730EF">
      <w:pPr>
        <w:pStyle w:val="ListParagraph"/>
        <w:numPr>
          <w:ilvl w:val="0"/>
          <w:numId w:val="36"/>
        </w:numPr>
      </w:pPr>
      <w:r>
        <w:t>Option 4 – Revoke the mandatory safety standard.</w:t>
      </w:r>
    </w:p>
    <w:p w14:paraId="4F01EC61" w14:textId="77777777" w:rsidR="007730EF" w:rsidRDefault="007730EF" w:rsidP="007730EF">
      <w:r>
        <w:t xml:space="preserve">The ACCC’s preliminary position outlined in the paper supported Option 3, as this option would provide the greatest net benefit to consumers, </w:t>
      </w:r>
      <w:proofErr w:type="gramStart"/>
      <w:r>
        <w:t>suppliers</w:t>
      </w:r>
      <w:proofErr w:type="gramEnd"/>
      <w:r>
        <w:t xml:space="preserve"> and regulators.</w:t>
      </w:r>
    </w:p>
    <w:p w14:paraId="17D6217A" w14:textId="39A55FF0" w:rsidR="007730EF" w:rsidRPr="006C1BC3" w:rsidRDefault="007730EF" w:rsidP="007730EF">
      <w:r>
        <w:rPr>
          <w:bCs/>
          <w:lang w:val="en-GB"/>
        </w:rPr>
        <w:t>The ACCC received 16 submissions from a range of respondents including retail groups, community organisations, industry bodies, child safety advocates and other stakeholders including the Australian Toy Association, and state regulators responsible for product safety. Most stakeholders (13) supported the proposal to update the</w:t>
      </w:r>
      <w:r w:rsidRPr="00091EE4">
        <w:t xml:space="preserve"> </w:t>
      </w:r>
      <w:r>
        <w:t>mandatory</w:t>
      </w:r>
      <w:r>
        <w:rPr>
          <w:bCs/>
          <w:lang w:val="en-GB"/>
        </w:rPr>
        <w:t xml:space="preserve"> safety standard to reference the latest voluntary Australian standard and to also include compliance with the voluntary European, International and American standards.</w:t>
      </w:r>
    </w:p>
    <w:p w14:paraId="0CCF0FCD" w14:textId="07420B37" w:rsidR="007730EF" w:rsidRPr="001C21E0" w:rsidRDefault="007730EF" w:rsidP="007730EF">
      <w:pPr>
        <w:keepNext/>
        <w:spacing w:after="120"/>
        <w:rPr>
          <w:bCs/>
          <w:lang w:val="en-GB"/>
        </w:rPr>
      </w:pPr>
      <w:r>
        <w:rPr>
          <w:bCs/>
          <w:lang w:val="en-GB"/>
        </w:rPr>
        <w:lastRenderedPageBreak/>
        <w:t>In November 2019 the ACCC further consulted on how to effectively address the issue of toys containing button batteries. This consultation assessed whether to maintain and/or expand the requirement</w:t>
      </w:r>
      <w:r w:rsidR="001228B8">
        <w:rPr>
          <w:bCs/>
          <w:lang w:val="en-GB"/>
        </w:rPr>
        <w:t>s</w:t>
      </w:r>
      <w:r>
        <w:rPr>
          <w:bCs/>
          <w:lang w:val="en-GB"/>
        </w:rPr>
        <w:t xml:space="preserve"> with respect to the security of battery compartments of toys with button/coin batteries to include warnings as further safety measures.</w:t>
      </w:r>
    </w:p>
    <w:p w14:paraId="7E9DF413" w14:textId="77777777" w:rsidR="007730EF" w:rsidRPr="00355F47" w:rsidRDefault="007730EF" w:rsidP="007730EF">
      <w:pPr>
        <w:pStyle w:val="ListParagraph"/>
        <w:keepNext/>
        <w:numPr>
          <w:ilvl w:val="0"/>
          <w:numId w:val="41"/>
        </w:numPr>
        <w:spacing w:after="120"/>
        <w:rPr>
          <w:b/>
          <w:sz w:val="24"/>
          <w:szCs w:val="24"/>
        </w:rPr>
      </w:pPr>
      <w:r w:rsidRPr="00355F47">
        <w:rPr>
          <w:b/>
          <w:sz w:val="24"/>
          <w:szCs w:val="24"/>
        </w:rPr>
        <w:t xml:space="preserve">Disallowance and </w:t>
      </w:r>
      <w:r>
        <w:rPr>
          <w:b/>
          <w:sz w:val="24"/>
          <w:szCs w:val="24"/>
        </w:rPr>
        <w:t>S</w:t>
      </w:r>
      <w:r w:rsidRPr="00355F47">
        <w:rPr>
          <w:b/>
          <w:sz w:val="24"/>
          <w:szCs w:val="24"/>
        </w:rPr>
        <w:t>unsetting</w:t>
      </w:r>
    </w:p>
    <w:p w14:paraId="0CA97D7C" w14:textId="3058F61F" w:rsidR="007730EF" w:rsidRDefault="007730EF" w:rsidP="007730EF">
      <w:pPr>
        <w:spacing w:before="0"/>
      </w:pPr>
      <w:bookmarkStart w:id="4" w:name="_Hlk129693641"/>
      <w:r w:rsidRPr="00DE41AE">
        <w:t xml:space="preserve">By operation of subsections 44(1) and </w:t>
      </w:r>
      <w:r w:rsidRPr="00DE41AE">
        <w:rPr>
          <w:rFonts w:eastAsia="Calibri" w:cs="Times New Roman"/>
        </w:rPr>
        <w:t xml:space="preserve">54(1) </w:t>
      </w:r>
      <w:r w:rsidRPr="00DE41AE">
        <w:t xml:space="preserve">of the </w:t>
      </w:r>
      <w:r w:rsidRPr="00DE41AE">
        <w:rPr>
          <w:i/>
          <w:iCs/>
        </w:rPr>
        <w:t>Legislation Act 2003</w:t>
      </w:r>
      <w:r w:rsidRPr="00DE41AE">
        <w:t xml:space="preserve">, the instrument is not subject to disallowance or sunsetting because its enabling legislation, the ACL (at Schedule 2 of the CCA), facilitates the operation of an intergovernmental scheme involving the Commonwealth and all the States and Territories (the </w:t>
      </w:r>
      <w:r w:rsidRPr="00DE41AE">
        <w:rPr>
          <w:i/>
          <w:iCs/>
        </w:rPr>
        <w:t>Intergovernmental Agreement for the Australian Consumer Law</w:t>
      </w:r>
      <w:r w:rsidRPr="00DE41AE">
        <w:t>), and the ACL authorises the making of the instrument for the purposes of that scheme.</w:t>
      </w:r>
      <w:r w:rsidRPr="0034542A">
        <w:rPr>
          <w:rFonts w:eastAsia="Times New Roman" w:cs="Arial"/>
          <w:color w:val="000000"/>
          <w:lang w:eastAsia="en-AU"/>
        </w:rPr>
        <w:t xml:space="preserve"> </w:t>
      </w:r>
      <w:r w:rsidRPr="003960F2">
        <w:rPr>
          <w:rFonts w:eastAsia="Times New Roman" w:cs="Arial"/>
          <w:color w:val="000000"/>
          <w:lang w:eastAsia="en-AU"/>
        </w:rPr>
        <w:t>To make it so would frustrate the importance of uniform product safety standards in reducing the supply of unsafe goods and related services for Australian consumers, which is a key part of the A</w:t>
      </w:r>
      <w:r>
        <w:rPr>
          <w:rFonts w:eastAsia="Times New Roman" w:cs="Arial"/>
          <w:color w:val="000000"/>
          <w:lang w:eastAsia="en-AU"/>
        </w:rPr>
        <w:t>CL</w:t>
      </w:r>
      <w:r w:rsidRPr="003960F2">
        <w:rPr>
          <w:rFonts w:eastAsia="Times New Roman" w:cs="Arial"/>
          <w:color w:val="000000"/>
          <w:lang w:eastAsia="en-AU"/>
        </w:rPr>
        <w:t xml:space="preserve"> as an intergovernmental scheme involving the Commonwealth and the States and Territories.</w:t>
      </w:r>
    </w:p>
    <w:p w14:paraId="6DC9C786" w14:textId="77777777" w:rsidR="007730EF" w:rsidRPr="00A600A1" w:rsidRDefault="007730EF" w:rsidP="00106A13">
      <w:pPr>
        <w:rPr>
          <w:rFonts w:asciiTheme="minorHAnsi" w:eastAsia="Times New Roman" w:hAnsiTheme="minorHAnsi" w:cstheme="minorHAnsi"/>
          <w:color w:val="000000"/>
          <w:lang w:eastAsia="en-AU"/>
        </w:rPr>
      </w:pPr>
      <w:r w:rsidRPr="00DE41AE">
        <w:rPr>
          <w:rFonts w:asciiTheme="minorHAnsi" w:eastAsia="Times New Roman" w:hAnsiTheme="minorHAnsi" w:cstheme="minorHAnsi"/>
          <w:color w:val="000000"/>
          <w:lang w:eastAsia="en-AU"/>
        </w:rPr>
        <w:t xml:space="preserve">Item 16 in the table at section 12 of the </w:t>
      </w:r>
      <w:r w:rsidRPr="00DE41AE">
        <w:rPr>
          <w:rFonts w:asciiTheme="minorHAnsi" w:eastAsia="Times New Roman" w:hAnsiTheme="minorHAnsi" w:cstheme="minorHAnsi"/>
          <w:i/>
          <w:iCs/>
          <w:color w:val="000000"/>
          <w:lang w:eastAsia="en-AU"/>
        </w:rPr>
        <w:t>Legislation (Exemptions and Other Matters) Regulation 2015</w:t>
      </w:r>
      <w:r w:rsidRPr="00DE41AE">
        <w:rPr>
          <w:rFonts w:asciiTheme="minorHAnsi" w:eastAsia="Times New Roman" w:hAnsiTheme="minorHAnsi" w:cstheme="minorHAnsi"/>
          <w:color w:val="000000"/>
          <w:lang w:eastAsia="en-AU"/>
        </w:rPr>
        <w:t xml:space="preserve"> also provides that the instrument is not subject to the sunsetting provisions of the </w:t>
      </w:r>
      <w:r w:rsidRPr="00DE41AE">
        <w:rPr>
          <w:rFonts w:asciiTheme="minorHAnsi" w:eastAsia="Times New Roman" w:hAnsiTheme="minorHAnsi" w:cstheme="minorHAnsi"/>
          <w:i/>
          <w:iCs/>
          <w:color w:val="000000"/>
          <w:lang w:eastAsia="en-AU"/>
        </w:rPr>
        <w:t>Legislation Act 2003</w:t>
      </w:r>
      <w:r w:rsidRPr="00DE41AE">
        <w:rPr>
          <w:rFonts w:asciiTheme="minorHAnsi" w:eastAsia="Times New Roman" w:hAnsiTheme="minorHAnsi" w:cstheme="minorHAnsi"/>
          <w:color w:val="000000"/>
          <w:lang w:eastAsia="en-AU"/>
        </w:rPr>
        <w:t>.</w:t>
      </w:r>
    </w:p>
    <w:bookmarkEnd w:id="4"/>
    <w:p w14:paraId="70F85623" w14:textId="77777777" w:rsidR="007730EF" w:rsidRPr="00355F47" w:rsidRDefault="007730EF" w:rsidP="007730EF">
      <w:pPr>
        <w:pStyle w:val="ListParagraph"/>
        <w:keepNext/>
        <w:numPr>
          <w:ilvl w:val="0"/>
          <w:numId w:val="41"/>
        </w:numPr>
        <w:spacing w:after="120"/>
        <w:rPr>
          <w:b/>
          <w:sz w:val="24"/>
          <w:szCs w:val="24"/>
        </w:rPr>
      </w:pPr>
      <w:r w:rsidRPr="00355F47">
        <w:rPr>
          <w:b/>
          <w:sz w:val="24"/>
          <w:szCs w:val="24"/>
        </w:rPr>
        <w:t>Commencement</w:t>
      </w:r>
    </w:p>
    <w:p w14:paraId="020D83AA" w14:textId="77777777" w:rsidR="007730EF" w:rsidRDefault="007730EF" w:rsidP="007730EF">
      <w:pPr>
        <w:spacing w:after="120"/>
        <w:rPr>
          <w:lang w:val="en"/>
        </w:rPr>
      </w:pPr>
      <w:r w:rsidRPr="0003601C">
        <w:rPr>
          <w:lang w:val="en"/>
        </w:rPr>
        <w:t xml:space="preserve">This </w:t>
      </w:r>
      <w:r>
        <w:rPr>
          <w:lang w:val="en"/>
        </w:rPr>
        <w:t>l</w:t>
      </w:r>
      <w:r w:rsidRPr="0003601C">
        <w:rPr>
          <w:lang w:val="en"/>
        </w:rPr>
        <w:t xml:space="preserve">egislative </w:t>
      </w:r>
      <w:r>
        <w:rPr>
          <w:lang w:val="en"/>
        </w:rPr>
        <w:t>i</w:t>
      </w:r>
      <w:r w:rsidRPr="0003601C">
        <w:rPr>
          <w:lang w:val="en"/>
        </w:rPr>
        <w:t>nstrument commence</w:t>
      </w:r>
      <w:r>
        <w:rPr>
          <w:lang w:val="en"/>
        </w:rPr>
        <w:t>s</w:t>
      </w:r>
      <w:r w:rsidRPr="0003601C">
        <w:rPr>
          <w:lang w:val="en"/>
        </w:rPr>
        <w:t xml:space="preserve"> on the day after it is registered on the </w:t>
      </w:r>
      <w:r>
        <w:rPr>
          <w:lang w:val="en"/>
        </w:rPr>
        <w:t>Federal Register of Legislation.</w:t>
      </w:r>
    </w:p>
    <w:p w14:paraId="5B80C97A" w14:textId="77777777" w:rsidR="007730EF" w:rsidRPr="00355F47" w:rsidRDefault="007730EF" w:rsidP="007730EF">
      <w:pPr>
        <w:pStyle w:val="ListParagraph"/>
        <w:numPr>
          <w:ilvl w:val="0"/>
          <w:numId w:val="41"/>
        </w:numPr>
        <w:spacing w:after="120"/>
        <w:rPr>
          <w:b/>
          <w:bCs/>
          <w:sz w:val="24"/>
          <w:szCs w:val="24"/>
          <w:lang w:val="en"/>
        </w:rPr>
      </w:pPr>
      <w:r w:rsidRPr="00355F47">
        <w:rPr>
          <w:b/>
          <w:bCs/>
          <w:sz w:val="24"/>
          <w:szCs w:val="24"/>
          <w:lang w:val="en"/>
        </w:rPr>
        <w:t xml:space="preserve">Transitional </w:t>
      </w:r>
      <w:r>
        <w:rPr>
          <w:b/>
          <w:bCs/>
          <w:sz w:val="24"/>
          <w:szCs w:val="24"/>
          <w:lang w:val="en"/>
        </w:rPr>
        <w:t>A</w:t>
      </w:r>
      <w:r w:rsidRPr="00355F47">
        <w:rPr>
          <w:b/>
          <w:bCs/>
          <w:sz w:val="24"/>
          <w:szCs w:val="24"/>
          <w:lang w:val="en"/>
        </w:rPr>
        <w:t>rrangements</w:t>
      </w:r>
    </w:p>
    <w:p w14:paraId="76BE3A6A" w14:textId="77777777" w:rsidR="007730EF" w:rsidRPr="00AC608E" w:rsidRDefault="007730EF" w:rsidP="007730EF">
      <w:pPr>
        <w:spacing w:after="120"/>
        <w:rPr>
          <w:lang w:val="en"/>
        </w:rPr>
      </w:pPr>
      <w:r w:rsidRPr="00AC608E">
        <w:rPr>
          <w:lang w:val="en"/>
        </w:rPr>
        <w:t xml:space="preserve">The instrument provides a transitional period of 18 months beginning on the day this instrument commences. During the transitional period, </w:t>
      </w:r>
      <w:r>
        <w:rPr>
          <w:lang w:val="en"/>
        </w:rPr>
        <w:t>relevant children’s toys</w:t>
      </w:r>
      <w:r w:rsidRPr="00AC608E">
        <w:rPr>
          <w:lang w:val="en"/>
        </w:rPr>
        <w:t xml:space="preserve"> must </w:t>
      </w:r>
      <w:r>
        <w:rPr>
          <w:lang w:val="en"/>
        </w:rPr>
        <w:t>comply with either</w:t>
      </w:r>
      <w:r w:rsidRPr="00AC608E">
        <w:rPr>
          <w:lang w:val="en"/>
        </w:rPr>
        <w:t>:</w:t>
      </w:r>
    </w:p>
    <w:p w14:paraId="7AD3F754" w14:textId="0AFF94FC" w:rsidR="007730EF" w:rsidRPr="00D63E4C" w:rsidRDefault="007730EF" w:rsidP="007730EF">
      <w:pPr>
        <w:pStyle w:val="ListParagraph"/>
        <w:numPr>
          <w:ilvl w:val="0"/>
          <w:numId w:val="43"/>
        </w:numPr>
        <w:spacing w:after="120"/>
        <w:rPr>
          <w:i/>
          <w:iCs/>
          <w:lang w:val="en"/>
        </w:rPr>
      </w:pPr>
      <w:r w:rsidRPr="001C51B3">
        <w:rPr>
          <w:lang w:val="en"/>
        </w:rPr>
        <w:t>The</w:t>
      </w:r>
      <w:r>
        <w:rPr>
          <w:i/>
          <w:iCs/>
          <w:lang w:val="en"/>
        </w:rPr>
        <w:t xml:space="preserve"> </w:t>
      </w:r>
      <w:r w:rsidRPr="00D63E4C">
        <w:rPr>
          <w:i/>
          <w:iCs/>
          <w:lang w:val="en"/>
        </w:rPr>
        <w:t>Consumer Product Safety Standard: Toys for children up to and including 36 months of age (Consumer Protection Notice No.14 of 2003)</w:t>
      </w:r>
      <w:r w:rsidR="0049567E">
        <w:rPr>
          <w:i/>
          <w:iCs/>
          <w:lang w:val="en"/>
        </w:rPr>
        <w:t>,</w:t>
      </w:r>
      <w:r w:rsidRPr="00D63E4C">
        <w:rPr>
          <w:i/>
          <w:iCs/>
          <w:lang w:val="en"/>
        </w:rPr>
        <w:t xml:space="preserve"> </w:t>
      </w:r>
      <w:r w:rsidRPr="00D63E4C">
        <w:rPr>
          <w:lang w:val="en"/>
        </w:rPr>
        <w:t>or</w:t>
      </w:r>
    </w:p>
    <w:p w14:paraId="30C4576A" w14:textId="7C69D580" w:rsidR="007730EF" w:rsidRPr="00D63E4C" w:rsidRDefault="007730EF" w:rsidP="007730EF">
      <w:pPr>
        <w:pStyle w:val="ListParagraph"/>
        <w:numPr>
          <w:ilvl w:val="0"/>
          <w:numId w:val="43"/>
        </w:numPr>
        <w:spacing w:after="120"/>
        <w:rPr>
          <w:i/>
        </w:rPr>
      </w:pPr>
      <w:r w:rsidRPr="001C51B3">
        <w:rPr>
          <w:iCs/>
        </w:rPr>
        <w:t>The</w:t>
      </w:r>
      <w:r>
        <w:rPr>
          <w:i/>
        </w:rPr>
        <w:t xml:space="preserve"> </w:t>
      </w:r>
      <w:r w:rsidRPr="00D63E4C">
        <w:rPr>
          <w:i/>
        </w:rPr>
        <w:t>Consumer Goods (Toys for Children up to and including 36 Months of Age) Safety Standard 2023</w:t>
      </w:r>
      <w:r w:rsidR="0049567E">
        <w:rPr>
          <w:i/>
        </w:rPr>
        <w:t>.</w:t>
      </w:r>
    </w:p>
    <w:p w14:paraId="775A47C2" w14:textId="0330776E" w:rsidR="007730EF" w:rsidRPr="0003601C" w:rsidRDefault="007730EF" w:rsidP="007730EF">
      <w:pPr>
        <w:spacing w:after="120"/>
        <w:rPr>
          <w:lang w:val="en"/>
        </w:rPr>
      </w:pPr>
      <w:r w:rsidRPr="00AC608E">
        <w:rPr>
          <w:lang w:val="en"/>
        </w:rPr>
        <w:t xml:space="preserve">After the transitional period, suppliers must meet the requirements of </w:t>
      </w:r>
      <w:r>
        <w:rPr>
          <w:lang w:val="en"/>
        </w:rPr>
        <w:t xml:space="preserve">the </w:t>
      </w:r>
      <w:r w:rsidRPr="00D63E4C">
        <w:rPr>
          <w:i/>
        </w:rPr>
        <w:t>Consumer Goods (Toys for Children up to and including 36 Months of Age) Safety Standard 2023</w:t>
      </w:r>
      <w:r w:rsidR="0049567E">
        <w:rPr>
          <w:i/>
        </w:rPr>
        <w:t>.</w:t>
      </w:r>
    </w:p>
    <w:p w14:paraId="5D7FDDE7" w14:textId="77777777" w:rsidR="007730EF" w:rsidRPr="00355F47" w:rsidRDefault="007730EF" w:rsidP="007730EF">
      <w:pPr>
        <w:pStyle w:val="ListParagraph"/>
        <w:keepNext/>
        <w:numPr>
          <w:ilvl w:val="0"/>
          <w:numId w:val="41"/>
        </w:numPr>
        <w:spacing w:after="120"/>
        <w:rPr>
          <w:rFonts w:cs="Arial"/>
          <w:b/>
          <w:sz w:val="24"/>
          <w:szCs w:val="24"/>
        </w:rPr>
      </w:pPr>
      <w:r w:rsidRPr="00355F47">
        <w:rPr>
          <w:rFonts w:cs="Arial"/>
          <w:b/>
          <w:sz w:val="24"/>
          <w:szCs w:val="24"/>
        </w:rPr>
        <w:t xml:space="preserve">Regulation Impact </w:t>
      </w:r>
      <w:r>
        <w:rPr>
          <w:rFonts w:cs="Arial"/>
          <w:b/>
          <w:sz w:val="24"/>
          <w:szCs w:val="24"/>
        </w:rPr>
        <w:t>Assessment</w:t>
      </w:r>
    </w:p>
    <w:p w14:paraId="0D70CDA6" w14:textId="36B62F99" w:rsidR="007730EF" w:rsidRDefault="007730EF" w:rsidP="007730EF">
      <w:pPr>
        <w:spacing w:after="120"/>
        <w:rPr>
          <w:iCs/>
        </w:rPr>
      </w:pPr>
      <w:r>
        <w:rPr>
          <w:rFonts w:cs="Arial"/>
        </w:rPr>
        <w:t xml:space="preserve">The </w:t>
      </w:r>
      <w:r w:rsidRPr="007E1F40">
        <w:rPr>
          <w:rFonts w:cs="Arial"/>
        </w:rPr>
        <w:t>O</w:t>
      </w:r>
      <w:r>
        <w:rPr>
          <w:rFonts w:cs="Arial"/>
        </w:rPr>
        <w:t xml:space="preserve">ffice of </w:t>
      </w:r>
      <w:r w:rsidR="0049567E">
        <w:rPr>
          <w:rFonts w:cs="Arial"/>
        </w:rPr>
        <w:t>Impact Analysis</w:t>
      </w:r>
      <w:r>
        <w:rPr>
          <w:rFonts w:cs="Arial"/>
        </w:rPr>
        <w:t xml:space="preserve"> (</w:t>
      </w:r>
      <w:r w:rsidR="0049567E">
        <w:rPr>
          <w:rFonts w:cs="Arial"/>
        </w:rPr>
        <w:t>OIA</w:t>
      </w:r>
      <w:r>
        <w:rPr>
          <w:rFonts w:cs="Arial"/>
        </w:rPr>
        <w:t>)</w:t>
      </w:r>
      <w:r w:rsidRPr="007E1F40">
        <w:rPr>
          <w:rFonts w:cs="Arial"/>
        </w:rPr>
        <w:t xml:space="preserve"> advised a Regulat</w:t>
      </w:r>
      <w:r>
        <w:rPr>
          <w:rFonts w:cs="Arial"/>
        </w:rPr>
        <w:t xml:space="preserve">ion Impact Statement was not </w:t>
      </w:r>
      <w:r w:rsidRPr="005E13D4">
        <w:rPr>
          <w:rFonts w:cs="Arial"/>
        </w:rPr>
        <w:t>required</w:t>
      </w:r>
      <w:r w:rsidRPr="005E13D4">
        <w:rPr>
          <w:iCs/>
        </w:rPr>
        <w:t xml:space="preserve"> (</w:t>
      </w:r>
      <w:r w:rsidR="0049567E" w:rsidRPr="005E13D4">
        <w:rPr>
          <w:iCs/>
        </w:rPr>
        <w:t>O</w:t>
      </w:r>
      <w:r w:rsidR="0049567E">
        <w:rPr>
          <w:iCs/>
        </w:rPr>
        <w:t>IA</w:t>
      </w:r>
      <w:r w:rsidR="0049567E" w:rsidRPr="005E13D4">
        <w:rPr>
          <w:iCs/>
        </w:rPr>
        <w:t xml:space="preserve"> </w:t>
      </w:r>
      <w:r w:rsidRPr="005E13D4">
        <w:rPr>
          <w:iCs/>
        </w:rPr>
        <w:t>reference ID44355).</w:t>
      </w:r>
    </w:p>
    <w:p w14:paraId="3B8E0DE8" w14:textId="77777777" w:rsidR="007730EF" w:rsidRDefault="007730EF" w:rsidP="007730EF">
      <w:pPr>
        <w:rPr>
          <w:iCs/>
        </w:rPr>
      </w:pPr>
      <w:r>
        <w:rPr>
          <w:iCs/>
        </w:rPr>
        <w:br w:type="page"/>
      </w:r>
    </w:p>
    <w:p w14:paraId="53B84463" w14:textId="77777777" w:rsidR="007730EF" w:rsidRPr="00AE2B4F" w:rsidRDefault="007730EF" w:rsidP="007730EF">
      <w:pPr>
        <w:spacing w:after="120"/>
        <w:rPr>
          <w:rFonts w:cs="Arial"/>
          <w:b/>
          <w:bCs/>
        </w:rPr>
      </w:pPr>
      <w:r w:rsidRPr="00AE2B4F">
        <w:rPr>
          <w:rFonts w:cs="Arial"/>
          <w:b/>
          <w:bCs/>
        </w:rPr>
        <w:lastRenderedPageBreak/>
        <w:t xml:space="preserve">Details of the </w:t>
      </w:r>
      <w:r w:rsidRPr="00AE2B4F">
        <w:rPr>
          <w:rFonts w:cs="Arial"/>
          <w:b/>
          <w:bCs/>
          <w:i/>
          <w:iCs/>
        </w:rPr>
        <w:t>Consumer Goods (Toys for Children up to and including 36 Months of Age) Safety Standard 2023</w:t>
      </w:r>
    </w:p>
    <w:p w14:paraId="5F247243" w14:textId="77777777" w:rsidR="007730EF" w:rsidRPr="00AE2B4F" w:rsidRDefault="007730EF" w:rsidP="007730EF">
      <w:pPr>
        <w:spacing w:after="120"/>
        <w:rPr>
          <w:rFonts w:cs="Arial"/>
          <w:b/>
          <w:bCs/>
        </w:rPr>
      </w:pPr>
      <w:r w:rsidRPr="00AE2B4F">
        <w:rPr>
          <w:rFonts w:cs="Arial"/>
          <w:b/>
          <w:bCs/>
        </w:rPr>
        <w:t>PART 1 – PRELIMINARY</w:t>
      </w:r>
    </w:p>
    <w:p w14:paraId="14406E8D" w14:textId="77777777" w:rsidR="007730EF" w:rsidRPr="00AE2B4F" w:rsidRDefault="007730EF" w:rsidP="007730EF">
      <w:pPr>
        <w:spacing w:after="120"/>
        <w:rPr>
          <w:rFonts w:cs="Arial"/>
          <w:u w:val="single"/>
        </w:rPr>
      </w:pPr>
      <w:r w:rsidRPr="00AE2B4F">
        <w:rPr>
          <w:rFonts w:cs="Arial"/>
          <w:u w:val="single"/>
        </w:rPr>
        <w:t>Section 1 – Name</w:t>
      </w:r>
    </w:p>
    <w:p w14:paraId="06DDD485" w14:textId="77777777" w:rsidR="007730EF" w:rsidRPr="0031151B" w:rsidRDefault="007730EF" w:rsidP="007730EF">
      <w:pPr>
        <w:spacing w:after="120"/>
        <w:rPr>
          <w:rFonts w:cs="Arial"/>
        </w:rPr>
      </w:pPr>
      <w:r>
        <w:rPr>
          <w:rFonts w:cs="Arial"/>
        </w:rPr>
        <w:t xml:space="preserve">This section sets out that the title of the Standard is the </w:t>
      </w:r>
      <w:r>
        <w:rPr>
          <w:rFonts w:cs="Arial"/>
          <w:i/>
          <w:iCs/>
        </w:rPr>
        <w:t>Consumer Goods (Toys for Children up to and including 36 Months of Age) Safety Standard 2023</w:t>
      </w:r>
      <w:r>
        <w:rPr>
          <w:rFonts w:cs="Arial"/>
        </w:rPr>
        <w:t>.</w:t>
      </w:r>
    </w:p>
    <w:p w14:paraId="072E95C3" w14:textId="77777777" w:rsidR="007730EF" w:rsidRPr="00AE2B4F" w:rsidRDefault="007730EF" w:rsidP="007730EF">
      <w:pPr>
        <w:spacing w:after="120"/>
        <w:rPr>
          <w:rFonts w:cs="Arial"/>
          <w:u w:val="single"/>
        </w:rPr>
      </w:pPr>
      <w:r w:rsidRPr="00AE2B4F">
        <w:rPr>
          <w:rFonts w:cs="Arial"/>
          <w:u w:val="single"/>
        </w:rPr>
        <w:t>Section 2 – Commencement</w:t>
      </w:r>
    </w:p>
    <w:p w14:paraId="21340A19" w14:textId="4D83FBB8" w:rsidR="007730EF" w:rsidRDefault="007730EF" w:rsidP="007730EF">
      <w:pPr>
        <w:spacing w:after="120"/>
        <w:rPr>
          <w:rFonts w:cs="Arial"/>
        </w:rPr>
      </w:pPr>
      <w:r>
        <w:rPr>
          <w:rFonts w:cs="Arial"/>
          <w:color w:val="000000"/>
          <w:shd w:val="clear" w:color="auto" w:fill="FFFFFF"/>
        </w:rPr>
        <w:t>This section provides that the instrument commences on the day after it is registered on the Federal Register of Legislation</w:t>
      </w:r>
      <w:r w:rsidR="0049567E">
        <w:rPr>
          <w:rFonts w:cs="Arial"/>
          <w:color w:val="000000"/>
          <w:shd w:val="clear" w:color="auto" w:fill="FFFFFF"/>
        </w:rPr>
        <w:t>.</w:t>
      </w:r>
    </w:p>
    <w:p w14:paraId="647413A8" w14:textId="77777777" w:rsidR="007730EF" w:rsidRDefault="007730EF" w:rsidP="007730EF">
      <w:pPr>
        <w:spacing w:after="120"/>
        <w:rPr>
          <w:rFonts w:cs="Arial"/>
        </w:rPr>
      </w:pPr>
      <w:r w:rsidRPr="00AE2B4F">
        <w:rPr>
          <w:rFonts w:cs="Arial"/>
          <w:u w:val="single"/>
        </w:rPr>
        <w:t>Section 3 – Authority</w:t>
      </w:r>
    </w:p>
    <w:p w14:paraId="5423052C" w14:textId="75626809" w:rsidR="007730EF" w:rsidRDefault="007730EF" w:rsidP="007730EF">
      <w:pPr>
        <w:spacing w:after="120"/>
        <w:rPr>
          <w:rFonts w:cs="Arial"/>
        </w:rPr>
      </w:pPr>
      <w:r>
        <w:rPr>
          <w:rFonts w:cs="Arial"/>
          <w:color w:val="000000"/>
          <w:shd w:val="clear" w:color="auto" w:fill="FFFFFF"/>
        </w:rPr>
        <w:t xml:space="preserve">This section provides that the instrument is made under section 104(1) of the ACL. Section 104 of the ACL allows the Minister to make </w:t>
      </w:r>
      <w:r w:rsidRPr="00BF4E6D">
        <w:rPr>
          <w:rFonts w:cs="Arial"/>
          <w:color w:val="000000"/>
          <w:shd w:val="clear" w:color="auto" w:fill="FFFFFF"/>
        </w:rPr>
        <w:t>safety standards for consumer goods and product</w:t>
      </w:r>
      <w:r>
        <w:rPr>
          <w:rFonts w:cs="Arial"/>
          <w:color w:val="000000"/>
          <w:shd w:val="clear" w:color="auto" w:fill="FFFFFF"/>
        </w:rPr>
        <w:t>-</w:t>
      </w:r>
      <w:r w:rsidRPr="00BF4E6D">
        <w:rPr>
          <w:rFonts w:cs="Arial"/>
          <w:color w:val="000000"/>
          <w:shd w:val="clear" w:color="auto" w:fill="FFFFFF"/>
        </w:rPr>
        <w:t>related services</w:t>
      </w:r>
      <w:r>
        <w:rPr>
          <w:rFonts w:cs="Arial"/>
          <w:color w:val="000000"/>
          <w:shd w:val="clear" w:color="auto" w:fill="FFFFFF"/>
        </w:rPr>
        <w:t>.</w:t>
      </w:r>
    </w:p>
    <w:p w14:paraId="5E8A4D76" w14:textId="77777777" w:rsidR="007730EF" w:rsidRPr="00AE2B4F" w:rsidRDefault="007730EF" w:rsidP="007730EF">
      <w:pPr>
        <w:spacing w:after="120"/>
        <w:rPr>
          <w:rFonts w:cs="Arial"/>
          <w:u w:val="single"/>
        </w:rPr>
      </w:pPr>
      <w:r w:rsidRPr="00AE2B4F">
        <w:rPr>
          <w:rFonts w:cs="Arial"/>
          <w:u w:val="single"/>
        </w:rPr>
        <w:t>Section 4 – Schedules</w:t>
      </w:r>
    </w:p>
    <w:p w14:paraId="7ACA97F5" w14:textId="7971A963" w:rsidR="007730EF" w:rsidRDefault="007730EF" w:rsidP="007730EF">
      <w:pPr>
        <w:spacing w:after="120"/>
        <w:rPr>
          <w:rFonts w:cs="Arial"/>
        </w:rPr>
      </w:pPr>
      <w:r>
        <w:rPr>
          <w:rFonts w:cs="Arial"/>
        </w:rPr>
        <w:t>This section provides that each instrument specified in a Schedule is repealed as set out in that Schedule, and any other item in a Schedule has effect according to its terms.</w:t>
      </w:r>
    </w:p>
    <w:p w14:paraId="49348804" w14:textId="77777777" w:rsidR="007730EF" w:rsidRPr="00AE2B4F" w:rsidRDefault="007730EF" w:rsidP="007730EF">
      <w:pPr>
        <w:spacing w:after="120"/>
        <w:rPr>
          <w:rFonts w:cs="Arial"/>
          <w:u w:val="single"/>
        </w:rPr>
      </w:pPr>
      <w:r w:rsidRPr="00AE2B4F">
        <w:rPr>
          <w:rFonts w:cs="Arial"/>
          <w:u w:val="single"/>
        </w:rPr>
        <w:t>Section 5 – Definitions</w:t>
      </w:r>
    </w:p>
    <w:p w14:paraId="7F52DE96" w14:textId="77777777" w:rsidR="007730EF" w:rsidRDefault="007730EF" w:rsidP="007730EF">
      <w:pPr>
        <w:spacing w:after="120"/>
        <w:rPr>
          <w:rFonts w:cs="Arial"/>
          <w:color w:val="000000"/>
          <w:shd w:val="clear" w:color="auto" w:fill="FFFFFF"/>
        </w:rPr>
      </w:pPr>
      <w:r w:rsidRPr="006E0FB3">
        <w:rPr>
          <w:rFonts w:cs="Arial"/>
          <w:color w:val="000000"/>
          <w:shd w:val="clear" w:color="auto" w:fill="FFFFFF"/>
        </w:rPr>
        <w:t>This section provides the definitions of terms used in the instrument.</w:t>
      </w:r>
    </w:p>
    <w:p w14:paraId="2932183B" w14:textId="77777777" w:rsidR="007730EF" w:rsidRDefault="007730EF" w:rsidP="007730EF">
      <w:pPr>
        <w:rPr>
          <w:rFonts w:cs="Arial"/>
          <w:i/>
          <w:lang w:val="en-GB"/>
        </w:rPr>
      </w:pPr>
      <w:r w:rsidRPr="00AE2B4F">
        <w:rPr>
          <w:rFonts w:cs="Arial"/>
          <w:b/>
          <w:i/>
          <w:lang w:val="en-GB"/>
        </w:rPr>
        <w:t>Australian/New Zealand Standard</w:t>
      </w:r>
      <w:r w:rsidRPr="00AE2B4F">
        <w:rPr>
          <w:rFonts w:cs="Arial"/>
          <w:lang w:val="en-GB"/>
        </w:rPr>
        <w:t xml:space="preserve"> means the Australian/New Zealand Standard </w:t>
      </w:r>
      <w:r w:rsidRPr="00AE2B4F">
        <w:rPr>
          <w:rFonts w:cs="Arial"/>
          <w:i/>
          <w:lang w:val="en-GB"/>
        </w:rPr>
        <w:t>AS/NZS ISO 8124.1:20</w:t>
      </w:r>
      <w:r>
        <w:rPr>
          <w:rFonts w:cs="Arial"/>
          <w:i/>
          <w:lang w:val="en-GB"/>
        </w:rPr>
        <w:t>23</w:t>
      </w:r>
      <w:r w:rsidRPr="00AE2B4F">
        <w:rPr>
          <w:rFonts w:cs="Arial"/>
          <w:i/>
          <w:lang w:val="en-GB"/>
        </w:rPr>
        <w:t xml:space="preserve"> Safety of toys Part 1: Safety aspects related to mechanical and physical properties</w:t>
      </w:r>
      <w:r>
        <w:rPr>
          <w:rFonts w:cs="Arial"/>
          <w:i/>
          <w:lang w:val="en-GB"/>
        </w:rPr>
        <w:t>.</w:t>
      </w:r>
    </w:p>
    <w:p w14:paraId="01D84D1B" w14:textId="77777777" w:rsidR="007730EF" w:rsidRDefault="007730EF" w:rsidP="007730EF">
      <w:pPr>
        <w:rPr>
          <w:rFonts w:eastAsia="Arial" w:cs="Times New Roman"/>
          <w:i/>
        </w:rPr>
      </w:pPr>
      <w:r w:rsidRPr="00AE2B4F">
        <w:rPr>
          <w:rFonts w:eastAsia="Arial" w:cs="Times New Roman"/>
          <w:b/>
          <w:i/>
          <w:iCs/>
        </w:rPr>
        <w:t>Electric Toys Standard</w:t>
      </w:r>
      <w:r w:rsidRPr="00AE2B4F">
        <w:rPr>
          <w:rFonts w:eastAsia="Arial" w:cs="Times New Roman"/>
          <w:b/>
        </w:rPr>
        <w:t xml:space="preserve"> </w:t>
      </w:r>
      <w:r w:rsidRPr="00AE2B4F">
        <w:rPr>
          <w:rFonts w:cs="Arial"/>
          <w:lang w:val="en-GB"/>
        </w:rPr>
        <w:t xml:space="preserve">means the Australian/New Zealand Standard </w:t>
      </w:r>
      <w:r w:rsidRPr="00AE2B4F">
        <w:rPr>
          <w:rFonts w:eastAsia="Arial" w:cs="Times New Roman"/>
          <w:i/>
        </w:rPr>
        <w:t>AS/NZS 62115:2018 Electric toys – Safety.</w:t>
      </w:r>
    </w:p>
    <w:p w14:paraId="6212A4BA" w14:textId="77777777" w:rsidR="007730EF" w:rsidRDefault="007730EF" w:rsidP="007730EF">
      <w:pPr>
        <w:rPr>
          <w:rFonts w:cs="Arial"/>
          <w:i/>
          <w:iCs/>
        </w:rPr>
      </w:pPr>
      <w:r w:rsidRPr="00AE2B4F">
        <w:rPr>
          <w:rFonts w:cs="Arial"/>
          <w:b/>
          <w:i/>
        </w:rPr>
        <w:t>European Standard</w:t>
      </w:r>
      <w:r w:rsidRPr="00AE2B4F">
        <w:rPr>
          <w:rFonts w:cs="Arial"/>
          <w:b/>
        </w:rPr>
        <w:t xml:space="preserve"> </w:t>
      </w:r>
      <w:r w:rsidRPr="00AE2B4F">
        <w:rPr>
          <w:rFonts w:cs="Arial"/>
        </w:rPr>
        <w:t xml:space="preserve">means the European Standard </w:t>
      </w:r>
      <w:r w:rsidRPr="00C30949">
        <w:rPr>
          <w:rFonts w:cs="Arial"/>
          <w:i/>
          <w:iCs/>
        </w:rPr>
        <w:t>EN 71-1:2014+A1:2018 Safety of toys – Part 1: Mechanical and physical properties</w:t>
      </w:r>
      <w:r>
        <w:rPr>
          <w:rFonts w:cs="Arial"/>
          <w:i/>
          <w:iCs/>
        </w:rPr>
        <w:t>.</w:t>
      </w:r>
    </w:p>
    <w:p w14:paraId="00465BF4" w14:textId="187C2178" w:rsidR="007730EF" w:rsidRPr="00B413C5" w:rsidRDefault="007730EF" w:rsidP="007730EF">
      <w:pPr>
        <w:rPr>
          <w:rFonts w:cs="Arial"/>
          <w:i/>
          <w:iCs/>
        </w:rPr>
      </w:pPr>
      <w:r w:rsidRPr="00AE2B4F">
        <w:rPr>
          <w:rFonts w:cs="Arial"/>
          <w:b/>
          <w:i/>
        </w:rPr>
        <w:t xml:space="preserve">International Standard </w:t>
      </w:r>
      <w:r w:rsidRPr="00AE2B4F">
        <w:rPr>
          <w:rFonts w:cs="Arial"/>
        </w:rPr>
        <w:t xml:space="preserve">means the International Standard </w:t>
      </w:r>
      <w:r w:rsidRPr="00AE2B4F">
        <w:rPr>
          <w:rFonts w:cs="Arial"/>
          <w:i/>
        </w:rPr>
        <w:t>ISO 8124-1:20</w:t>
      </w:r>
      <w:r>
        <w:rPr>
          <w:rFonts w:cs="Arial"/>
          <w:i/>
        </w:rPr>
        <w:t>22</w:t>
      </w:r>
      <w:r w:rsidRPr="00AE2B4F">
        <w:rPr>
          <w:rFonts w:cs="Arial"/>
          <w:i/>
        </w:rPr>
        <w:t xml:space="preserve"> Safety of toys – Part 1: Safety aspects related to mechanical and physical properties</w:t>
      </w:r>
      <w:r>
        <w:rPr>
          <w:rFonts w:cs="Arial"/>
          <w:i/>
        </w:rPr>
        <w:t>.</w:t>
      </w:r>
    </w:p>
    <w:p w14:paraId="264244BB" w14:textId="77777777" w:rsidR="007730EF" w:rsidRDefault="007730EF" w:rsidP="007730EF">
      <w:pPr>
        <w:rPr>
          <w:rFonts w:cs="Arial"/>
          <w:i/>
          <w:iCs/>
        </w:rPr>
      </w:pPr>
      <w:r w:rsidRPr="00AE2B4F">
        <w:rPr>
          <w:rFonts w:cs="Arial"/>
          <w:b/>
          <w:i/>
        </w:rPr>
        <w:t>US Standard</w:t>
      </w:r>
      <w:r w:rsidRPr="00AE2B4F">
        <w:rPr>
          <w:rFonts w:cs="Arial"/>
          <w:b/>
        </w:rPr>
        <w:t xml:space="preserve"> </w:t>
      </w:r>
      <w:r w:rsidRPr="00AE2B4F">
        <w:rPr>
          <w:rFonts w:cs="Arial"/>
        </w:rPr>
        <w:t>means the American Society for Testing and Materials Standard</w:t>
      </w:r>
      <w:r w:rsidRPr="00AE2B4F">
        <w:rPr>
          <w:rFonts w:cs="Arial"/>
          <w:i/>
          <w:iCs/>
        </w:rPr>
        <w:t xml:space="preserve"> </w:t>
      </w:r>
      <w:r w:rsidRPr="00634DA6">
        <w:rPr>
          <w:rFonts w:cs="Arial"/>
        </w:rPr>
        <w:t>ASTM F963</w:t>
      </w:r>
      <w:r>
        <w:rPr>
          <w:rFonts w:cs="Arial"/>
        </w:rPr>
        <w:t xml:space="preserve"> </w:t>
      </w:r>
      <w:r w:rsidRPr="00634DA6">
        <w:rPr>
          <w:rFonts w:cs="Arial"/>
        </w:rPr>
        <w:t xml:space="preserve">-17 Standard </w:t>
      </w:r>
      <w:r>
        <w:rPr>
          <w:rFonts w:cs="Arial"/>
        </w:rPr>
        <w:t>C</w:t>
      </w:r>
      <w:r w:rsidRPr="00634DA6">
        <w:rPr>
          <w:rFonts w:cs="Arial"/>
        </w:rPr>
        <w:t xml:space="preserve">onsumer </w:t>
      </w:r>
      <w:r>
        <w:rPr>
          <w:rFonts w:cs="Arial"/>
        </w:rPr>
        <w:t>S</w:t>
      </w:r>
      <w:r w:rsidRPr="00634DA6">
        <w:rPr>
          <w:rFonts w:cs="Arial"/>
        </w:rPr>
        <w:t xml:space="preserve">afety </w:t>
      </w:r>
      <w:r>
        <w:rPr>
          <w:rFonts w:cs="Arial"/>
        </w:rPr>
        <w:t>S</w:t>
      </w:r>
      <w:r w:rsidRPr="00634DA6">
        <w:rPr>
          <w:rFonts w:cs="Arial"/>
        </w:rPr>
        <w:t xml:space="preserve">pecification for </w:t>
      </w:r>
      <w:r>
        <w:rPr>
          <w:rFonts w:cs="Arial"/>
        </w:rPr>
        <w:t>T</w:t>
      </w:r>
      <w:r w:rsidRPr="00634DA6">
        <w:rPr>
          <w:rFonts w:cs="Arial"/>
        </w:rPr>
        <w:t xml:space="preserve">oy </w:t>
      </w:r>
      <w:r>
        <w:rPr>
          <w:rFonts w:cs="Arial"/>
        </w:rPr>
        <w:t>S</w:t>
      </w:r>
      <w:r w:rsidRPr="00634DA6">
        <w:rPr>
          <w:rFonts w:cs="Arial"/>
        </w:rPr>
        <w:t>afety</w:t>
      </w:r>
      <w:r>
        <w:rPr>
          <w:rFonts w:cs="Arial"/>
          <w:i/>
          <w:iCs/>
        </w:rPr>
        <w:t>.</w:t>
      </w:r>
    </w:p>
    <w:p w14:paraId="57539067" w14:textId="77777777" w:rsidR="007730EF" w:rsidRPr="00AE2B4F" w:rsidRDefault="007730EF" w:rsidP="007730EF">
      <w:pPr>
        <w:rPr>
          <w:rFonts w:cs="Arial"/>
          <w:i/>
          <w:iCs/>
        </w:rPr>
      </w:pPr>
      <w:r>
        <w:rPr>
          <w:rFonts w:asciiTheme="minorHAnsi" w:hAnsiTheme="minorHAnsi" w:cstheme="minorHAnsi"/>
          <w:b/>
          <w:i/>
          <w:lang w:val="en-GB"/>
        </w:rPr>
        <w:t>T</w:t>
      </w:r>
      <w:r w:rsidRPr="00AE2B4F">
        <w:rPr>
          <w:rFonts w:asciiTheme="minorHAnsi" w:hAnsiTheme="minorHAnsi" w:cstheme="minorHAnsi"/>
          <w:b/>
          <w:i/>
          <w:lang w:val="en-GB"/>
        </w:rPr>
        <w:t>ransitional period</w:t>
      </w:r>
      <w:r w:rsidRPr="00AE2B4F">
        <w:rPr>
          <w:rFonts w:asciiTheme="minorHAnsi" w:hAnsiTheme="minorHAnsi" w:cstheme="minorHAnsi"/>
          <w:lang w:val="en-GB"/>
        </w:rPr>
        <w:t xml:space="preserve"> means the period of 18 months beginning on the day this instrument commences.</w:t>
      </w:r>
    </w:p>
    <w:p w14:paraId="3BD798CF" w14:textId="77777777" w:rsidR="007730EF" w:rsidRDefault="007730EF" w:rsidP="007730EF">
      <w:pPr>
        <w:spacing w:after="120"/>
        <w:rPr>
          <w:rFonts w:cs="Arial"/>
        </w:rPr>
      </w:pPr>
      <w:r w:rsidRPr="006E0FB3">
        <w:rPr>
          <w:rFonts w:cs="Arial"/>
        </w:rPr>
        <w:t xml:space="preserve">This section includes definitions of industry standards that are incorporated by reference into the instrument. In each definition, the phrase “as in force or existing at the time when this instrument commences” is intended to capture the latest version of that industry standard as at the time the instrument commences. For example, if an industry standard has two amendments as at the time the instrument commences, then the definition in this section is intended to capture the version of that instrument that incorporates those two amendments. This is consistent with section 14 of the </w:t>
      </w:r>
      <w:r w:rsidRPr="006E0FB3">
        <w:rPr>
          <w:rFonts w:cs="Arial"/>
          <w:i/>
          <w:iCs/>
        </w:rPr>
        <w:t>Legislation Act 2003</w:t>
      </w:r>
      <w:r w:rsidRPr="006E0FB3">
        <w:rPr>
          <w:rFonts w:cs="Arial"/>
        </w:rPr>
        <w:t xml:space="preserve"> (Cth).</w:t>
      </w:r>
    </w:p>
    <w:p w14:paraId="0AD9205B" w14:textId="77777777" w:rsidR="007730EF" w:rsidRPr="00AE2B4F" w:rsidRDefault="007730EF" w:rsidP="00834F7F">
      <w:pPr>
        <w:keepNext/>
        <w:spacing w:after="120"/>
        <w:rPr>
          <w:rFonts w:cs="Arial"/>
          <w:u w:val="single"/>
        </w:rPr>
      </w:pPr>
      <w:r w:rsidRPr="00AE2B4F">
        <w:rPr>
          <w:rFonts w:cs="Arial"/>
          <w:u w:val="single"/>
        </w:rPr>
        <w:lastRenderedPageBreak/>
        <w:t xml:space="preserve">Section 6 </w:t>
      </w:r>
      <w:r>
        <w:rPr>
          <w:rFonts w:cs="Arial"/>
          <w:u w:val="single"/>
        </w:rPr>
        <w:t>–</w:t>
      </w:r>
      <w:r w:rsidRPr="00AE2B4F">
        <w:rPr>
          <w:rFonts w:cs="Arial"/>
          <w:u w:val="single"/>
        </w:rPr>
        <w:t xml:space="preserve"> Application</w:t>
      </w:r>
      <w:r>
        <w:rPr>
          <w:rFonts w:cs="Arial"/>
          <w:u w:val="single"/>
        </w:rPr>
        <w:t xml:space="preserve"> of this instrument</w:t>
      </w:r>
    </w:p>
    <w:p w14:paraId="46BAE8AC" w14:textId="6B6E4D77" w:rsidR="007730EF" w:rsidRPr="001F5D1C" w:rsidRDefault="007730EF" w:rsidP="007730EF">
      <w:pPr>
        <w:spacing w:after="120"/>
        <w:rPr>
          <w:rFonts w:cs="Arial"/>
        </w:rPr>
      </w:pPr>
      <w:r w:rsidRPr="00AE2B4F">
        <w:rPr>
          <w:rFonts w:cs="Arial"/>
        </w:rPr>
        <w:t xml:space="preserve">This section sets out the consumer goods to which </w:t>
      </w:r>
      <w:r>
        <w:rPr>
          <w:rFonts w:cs="Arial"/>
        </w:rPr>
        <w:t>the instrument</w:t>
      </w:r>
      <w:r w:rsidRPr="00AE2B4F">
        <w:rPr>
          <w:rFonts w:cs="Arial"/>
        </w:rPr>
        <w:t xml:space="preserve"> applies. It applies to children’s toys as defined in subsection (2) of the instrument</w:t>
      </w:r>
      <w:r>
        <w:rPr>
          <w:rFonts w:cs="Arial"/>
        </w:rPr>
        <w:t>. S</w:t>
      </w:r>
      <w:r w:rsidRPr="00AE2B4F">
        <w:rPr>
          <w:rFonts w:cs="Arial"/>
        </w:rPr>
        <w:t>ubsection</w:t>
      </w:r>
      <w:r>
        <w:rPr>
          <w:rFonts w:cs="Arial"/>
        </w:rPr>
        <w:t xml:space="preserve"> </w:t>
      </w:r>
      <w:r w:rsidRPr="00AE2B4F">
        <w:rPr>
          <w:rFonts w:cs="Arial"/>
        </w:rPr>
        <w:t>(3) provides</w:t>
      </w:r>
      <w:r>
        <w:rPr>
          <w:rFonts w:cs="Arial"/>
        </w:rPr>
        <w:t xml:space="preserve"> </w:t>
      </w:r>
      <w:r w:rsidRPr="00AE2B4F">
        <w:rPr>
          <w:rFonts w:cs="Arial"/>
        </w:rPr>
        <w:t>that the instrument does not apply to certain products</w:t>
      </w:r>
      <w:r>
        <w:rPr>
          <w:rFonts w:cs="Arial"/>
        </w:rPr>
        <w:t>.</w:t>
      </w:r>
    </w:p>
    <w:p w14:paraId="0B7CEF5F" w14:textId="0510CAE5" w:rsidR="007730EF" w:rsidRPr="001F66AD" w:rsidRDefault="007730EF" w:rsidP="007730EF">
      <w:pPr>
        <w:spacing w:after="120"/>
        <w:rPr>
          <w:rFonts w:cs="Arial"/>
        </w:rPr>
      </w:pPr>
      <w:r w:rsidRPr="00AE2B4F">
        <w:rPr>
          <w:rFonts w:cs="Arial"/>
          <w:u w:val="single"/>
        </w:rPr>
        <w:t xml:space="preserve">Section 7 – Relationship with </w:t>
      </w:r>
      <w:r w:rsidR="005B1A37">
        <w:rPr>
          <w:rFonts w:cs="Arial"/>
          <w:u w:val="single"/>
        </w:rPr>
        <w:t xml:space="preserve">the </w:t>
      </w:r>
      <w:r w:rsidR="00407B36">
        <w:rPr>
          <w:rFonts w:cs="Arial"/>
          <w:u w:val="single"/>
        </w:rPr>
        <w:t>Button B</w:t>
      </w:r>
      <w:r>
        <w:rPr>
          <w:rFonts w:cs="Arial"/>
          <w:u w:val="single"/>
        </w:rPr>
        <w:t xml:space="preserve">atteries </w:t>
      </w:r>
      <w:r w:rsidR="005B1A37">
        <w:rPr>
          <w:rFonts w:cs="Arial"/>
          <w:u w:val="single"/>
        </w:rPr>
        <w:t xml:space="preserve">safety </w:t>
      </w:r>
      <w:r>
        <w:rPr>
          <w:rFonts w:cs="Arial"/>
          <w:u w:val="single"/>
        </w:rPr>
        <w:t>standard</w:t>
      </w:r>
    </w:p>
    <w:p w14:paraId="52F7BDAB" w14:textId="0BB4FF72" w:rsidR="007730EF" w:rsidRDefault="007730EF" w:rsidP="007730EF">
      <w:pPr>
        <w:spacing w:after="120"/>
        <w:rPr>
          <w:bCs/>
        </w:rPr>
      </w:pPr>
      <w:r>
        <w:rPr>
          <w:rFonts w:cs="Arial"/>
        </w:rPr>
        <w:t xml:space="preserve">This section sets out the interaction </w:t>
      </w:r>
      <w:r w:rsidRPr="00D01EA1">
        <w:rPr>
          <w:rFonts w:cs="Arial"/>
        </w:rPr>
        <w:t xml:space="preserve">of the Safety Standard with the </w:t>
      </w:r>
      <w:r w:rsidRPr="00D01EA1">
        <w:rPr>
          <w:rFonts w:cs="Arial"/>
          <w:i/>
          <w:iCs/>
        </w:rPr>
        <w:t>Consumer</w:t>
      </w:r>
      <w:r>
        <w:rPr>
          <w:rFonts w:cs="Arial"/>
          <w:i/>
          <w:iCs/>
        </w:rPr>
        <w:t xml:space="preserve"> Goods (</w:t>
      </w:r>
      <w:r w:rsidR="00B00EAC">
        <w:rPr>
          <w:rFonts w:cs="Arial"/>
          <w:i/>
          <w:iCs/>
        </w:rPr>
        <w:t>P</w:t>
      </w:r>
      <w:r>
        <w:rPr>
          <w:rFonts w:cs="Arial"/>
          <w:i/>
          <w:iCs/>
        </w:rPr>
        <w:t xml:space="preserve">roducts Containing Button/Coin Batteries) Safety Standard </w:t>
      </w:r>
      <w:r w:rsidRPr="00634DA6">
        <w:rPr>
          <w:rFonts w:cs="Arial"/>
        </w:rPr>
        <w:t>2020</w:t>
      </w:r>
      <w:r>
        <w:rPr>
          <w:rFonts w:cs="Arial"/>
        </w:rPr>
        <w:t xml:space="preserve"> </w:t>
      </w:r>
      <w:r>
        <w:rPr>
          <w:bCs/>
        </w:rPr>
        <w:t xml:space="preserve">(the </w:t>
      </w:r>
      <w:r w:rsidRPr="00207D37">
        <w:rPr>
          <w:b/>
        </w:rPr>
        <w:t>Button Batteries Safety Standard</w:t>
      </w:r>
      <w:r>
        <w:rPr>
          <w:bCs/>
        </w:rPr>
        <w:t>), especially relating to access to the battery compartment in toys for children up to and including 36 months of age.</w:t>
      </w:r>
    </w:p>
    <w:p w14:paraId="05341EC5" w14:textId="77777777" w:rsidR="007730EF" w:rsidRPr="002D3EE8" w:rsidRDefault="007730EF" w:rsidP="007730EF">
      <w:pPr>
        <w:autoSpaceDE w:val="0"/>
        <w:autoSpaceDN w:val="0"/>
        <w:spacing w:before="0"/>
        <w:rPr>
          <w:rFonts w:ascii="ArialMT" w:hAnsi="ArialMT"/>
        </w:rPr>
      </w:pPr>
      <w:r w:rsidRPr="002D3EE8">
        <w:rPr>
          <w:rFonts w:ascii="ArialMT" w:hAnsi="ArialMT"/>
        </w:rPr>
        <w:t>The Button Batteries Safety Standard, which</w:t>
      </w:r>
      <w:r>
        <w:rPr>
          <w:rFonts w:ascii="ArialMT" w:hAnsi="ArialMT"/>
        </w:rPr>
        <w:t xml:space="preserve"> </w:t>
      </w:r>
      <w:r w:rsidRPr="002D3EE8">
        <w:rPr>
          <w:rFonts w:ascii="ArialMT" w:hAnsi="ArialMT"/>
        </w:rPr>
        <w:t xml:space="preserve">applies to all products containing button or coin batteries (including toys for children up to and including 36 months of age), provides for 2 options to access the battery compartment, i.e., through the use of a tool or through two </w:t>
      </w:r>
      <w:proofErr w:type="gramStart"/>
      <w:r w:rsidRPr="002D3EE8">
        <w:rPr>
          <w:rFonts w:ascii="ArialMT" w:hAnsi="ArialMT"/>
        </w:rPr>
        <w:t>independent</w:t>
      </w:r>
      <w:proofErr w:type="gramEnd"/>
      <w:r w:rsidRPr="002D3EE8">
        <w:rPr>
          <w:rFonts w:ascii="ArialMT" w:hAnsi="ArialMT"/>
        </w:rPr>
        <w:t xml:space="preserve"> but simultaneously applied movements.</w:t>
      </w:r>
    </w:p>
    <w:p w14:paraId="2DB67426" w14:textId="39B87050" w:rsidR="007730EF" w:rsidRDefault="007730EF" w:rsidP="00CF3234">
      <w:pPr>
        <w:autoSpaceDE w:val="0"/>
        <w:autoSpaceDN w:val="0"/>
        <w:rPr>
          <w:rFonts w:ascii="ArialMT" w:hAnsi="ArialMT"/>
        </w:rPr>
      </w:pPr>
      <w:r w:rsidRPr="002D3EE8">
        <w:rPr>
          <w:rFonts w:ascii="ArialMT" w:hAnsi="ArialMT"/>
        </w:rPr>
        <w:t xml:space="preserve">However, to ensure stronger protection for young children who are more susceptible to injuries and harm, the Safety Standard in referencing the Electric </w:t>
      </w:r>
      <w:r>
        <w:rPr>
          <w:rFonts w:ascii="ArialMT" w:hAnsi="ArialMT"/>
        </w:rPr>
        <w:t>T</w:t>
      </w:r>
      <w:r w:rsidRPr="002D3EE8">
        <w:rPr>
          <w:rFonts w:ascii="ArialMT" w:hAnsi="ArialMT"/>
        </w:rPr>
        <w:t xml:space="preserve">oys Standard </w:t>
      </w:r>
      <w:r>
        <w:rPr>
          <w:rFonts w:ascii="ArialMT" w:hAnsi="ArialMT"/>
        </w:rPr>
        <w:t xml:space="preserve">in sections 19 and 20 of this instrument </w:t>
      </w:r>
      <w:r w:rsidRPr="002D3EE8">
        <w:rPr>
          <w:rFonts w:ascii="ArialMT" w:hAnsi="ArialMT"/>
        </w:rPr>
        <w:t>provides that a battery compartment for a toy that contains any type of batteries (coin/button or non</w:t>
      </w:r>
      <w:r w:rsidR="002D6B56">
        <w:rPr>
          <w:rFonts w:ascii="ArialMT" w:hAnsi="ArialMT"/>
        </w:rPr>
        <w:t>-</w:t>
      </w:r>
      <w:r w:rsidRPr="002D3EE8">
        <w:rPr>
          <w:rFonts w:ascii="ArialMT" w:hAnsi="ArialMT"/>
        </w:rPr>
        <w:t>coin/button batteries</w:t>
      </w:r>
      <w:r>
        <w:t>, whether or not they are intended to be replaceable</w:t>
      </w:r>
      <w:r w:rsidRPr="002D3EE8">
        <w:rPr>
          <w:rFonts w:ascii="ArialMT" w:hAnsi="ArialMT"/>
        </w:rPr>
        <w:t>) will only be able to be opened by the use of a tool.</w:t>
      </w:r>
    </w:p>
    <w:p w14:paraId="3F9A65DD" w14:textId="549EEB7F" w:rsidR="002877BE" w:rsidRPr="00B025AD" w:rsidRDefault="007730EF" w:rsidP="00B025AD">
      <w:r w:rsidRPr="002D3EE8">
        <w:rPr>
          <w:rFonts w:ascii="ArialMT" w:hAnsi="ArialMT"/>
        </w:rPr>
        <w:t>In other words, th</w:t>
      </w:r>
      <w:r w:rsidR="002D6B56">
        <w:rPr>
          <w:rFonts w:ascii="ArialMT" w:hAnsi="ArialMT"/>
        </w:rPr>
        <w:t>is</w:t>
      </w:r>
      <w:r w:rsidRPr="002D3EE8">
        <w:rPr>
          <w:rFonts w:ascii="ArialMT" w:hAnsi="ArialMT"/>
        </w:rPr>
        <w:t xml:space="preserve"> Safety Standard override</w:t>
      </w:r>
      <w:r w:rsidR="002D6B56">
        <w:rPr>
          <w:rFonts w:ascii="ArialMT" w:hAnsi="ArialMT"/>
        </w:rPr>
        <w:t>s</w:t>
      </w:r>
      <w:r w:rsidRPr="002D3EE8">
        <w:rPr>
          <w:rFonts w:ascii="ArialMT" w:hAnsi="ArialMT"/>
        </w:rPr>
        <w:t xml:space="preserve"> the Button Batteries Safety Standard with respect to toys for children up to and including 36 months of age</w:t>
      </w:r>
      <w:r>
        <w:rPr>
          <w:rFonts w:ascii="ArialMT" w:hAnsi="ArialMT"/>
        </w:rPr>
        <w:t xml:space="preserve"> in relation to accessibility to batteries held in a compartment</w:t>
      </w:r>
      <w:r w:rsidRPr="002D3EE8">
        <w:rPr>
          <w:rFonts w:ascii="ArialMT" w:hAnsi="ArialMT"/>
        </w:rPr>
        <w:t>.</w:t>
      </w:r>
      <w:r>
        <w:rPr>
          <w:rFonts w:ascii="ArialMT" w:hAnsi="ArialMT"/>
        </w:rPr>
        <w:t xml:space="preserve"> </w:t>
      </w:r>
      <w:r>
        <w:rPr>
          <w:bCs/>
        </w:rPr>
        <w:t xml:space="preserve">The intention is that if </w:t>
      </w:r>
      <w:r w:rsidR="002D6B56">
        <w:rPr>
          <w:bCs/>
        </w:rPr>
        <w:t xml:space="preserve">a </w:t>
      </w:r>
      <w:r>
        <w:rPr>
          <w:bCs/>
        </w:rPr>
        <w:t xml:space="preserve">children’s toy contains any battery which may be accessed, then it can only be accessible with a tool. This requirement is intended to provide </w:t>
      </w:r>
      <w:r w:rsidRPr="007E37DC">
        <w:rPr>
          <w:shd w:val="clear" w:color="auto" w:fill="FFFFFF"/>
        </w:rPr>
        <w:t>stronger protection for children up to and including 36 months of age</w:t>
      </w:r>
      <w:r>
        <w:rPr>
          <w:shd w:val="clear" w:color="auto" w:fill="FFFFFF"/>
        </w:rPr>
        <w:t xml:space="preserve"> against hazards associated with choking or consuming batteries. </w:t>
      </w:r>
      <w:r w:rsidR="002877BE" w:rsidRPr="00B025AD">
        <w:rPr>
          <w:color w:val="000000"/>
          <w:shd w:val="clear" w:color="auto" w:fill="FFFFFF"/>
        </w:rPr>
        <w:t xml:space="preserve">All </w:t>
      </w:r>
      <w:r w:rsidR="00B025AD">
        <w:rPr>
          <w:color w:val="000000"/>
          <w:shd w:val="clear" w:color="auto" w:fill="FFFFFF"/>
        </w:rPr>
        <w:t xml:space="preserve">the </w:t>
      </w:r>
      <w:r w:rsidR="002877BE" w:rsidRPr="00B025AD">
        <w:rPr>
          <w:color w:val="000000"/>
          <w:shd w:val="clear" w:color="auto" w:fill="FFFFFF"/>
        </w:rPr>
        <w:t>other requirements of the Button Batter</w:t>
      </w:r>
      <w:r w:rsidR="007B536A">
        <w:rPr>
          <w:color w:val="000000"/>
          <w:shd w:val="clear" w:color="auto" w:fill="FFFFFF"/>
        </w:rPr>
        <w:t>ies</w:t>
      </w:r>
      <w:r w:rsidR="002877BE" w:rsidRPr="00B025AD">
        <w:rPr>
          <w:color w:val="000000"/>
          <w:shd w:val="clear" w:color="auto" w:fill="FFFFFF"/>
        </w:rPr>
        <w:t xml:space="preserve"> Safety Standard, including the requirement relating to compartment fasteners</w:t>
      </w:r>
      <w:bookmarkStart w:id="5" w:name="_Hlk142487883"/>
      <w:r w:rsidR="002877BE" w:rsidRPr="00B025AD">
        <w:rPr>
          <w:color w:val="000000"/>
          <w:shd w:val="clear" w:color="auto" w:fill="FFFFFF"/>
        </w:rPr>
        <w:t xml:space="preserve">, still apply to </w:t>
      </w:r>
      <w:r w:rsidR="002D6B56">
        <w:rPr>
          <w:color w:val="000000"/>
          <w:shd w:val="clear" w:color="auto" w:fill="FFFFFF"/>
        </w:rPr>
        <w:t xml:space="preserve">all </w:t>
      </w:r>
      <w:r w:rsidR="003E3AD6">
        <w:rPr>
          <w:color w:val="000000"/>
          <w:shd w:val="clear" w:color="auto" w:fill="FFFFFF"/>
        </w:rPr>
        <w:t xml:space="preserve">toys for </w:t>
      </w:r>
      <w:r w:rsidR="002877BE" w:rsidRPr="00B025AD">
        <w:rPr>
          <w:color w:val="000000"/>
          <w:shd w:val="clear" w:color="auto" w:fill="FFFFFF"/>
        </w:rPr>
        <w:t>children</w:t>
      </w:r>
      <w:r w:rsidR="0045749E">
        <w:rPr>
          <w:color w:val="000000"/>
          <w:shd w:val="clear" w:color="auto" w:fill="FFFFFF"/>
        </w:rPr>
        <w:t xml:space="preserve"> up to and including 36 months</w:t>
      </w:r>
      <w:bookmarkEnd w:id="5"/>
      <w:r w:rsidR="00532D96">
        <w:rPr>
          <w:color w:val="000000"/>
          <w:shd w:val="clear" w:color="auto" w:fill="FFFFFF"/>
        </w:rPr>
        <w:t xml:space="preserve"> that contain batteries</w:t>
      </w:r>
      <w:r w:rsidR="0045749E">
        <w:rPr>
          <w:color w:val="000000"/>
          <w:shd w:val="clear" w:color="auto" w:fill="FFFFFF"/>
        </w:rPr>
        <w:t xml:space="preserve">. </w:t>
      </w:r>
      <w:r w:rsidR="002877BE" w:rsidRPr="00B025AD">
        <w:rPr>
          <w:color w:val="000000"/>
          <w:shd w:val="clear" w:color="auto" w:fill="FFFFFF"/>
        </w:rPr>
        <w:t xml:space="preserve"> </w:t>
      </w:r>
    </w:p>
    <w:p w14:paraId="5B2257FC" w14:textId="77777777" w:rsidR="007730EF" w:rsidRPr="00AE2B4F" w:rsidRDefault="007730EF" w:rsidP="007730EF">
      <w:pPr>
        <w:spacing w:after="120"/>
        <w:rPr>
          <w:rFonts w:cs="Arial"/>
          <w:b/>
          <w:bCs/>
        </w:rPr>
      </w:pPr>
      <w:r w:rsidRPr="00AE2B4F">
        <w:rPr>
          <w:rFonts w:cs="Arial"/>
          <w:b/>
          <w:bCs/>
        </w:rPr>
        <w:t>PART 2 – BASIC REQUIREMENTS</w:t>
      </w:r>
    </w:p>
    <w:p w14:paraId="4F96499E" w14:textId="77777777" w:rsidR="007730EF" w:rsidRDefault="007730EF" w:rsidP="007730EF">
      <w:pPr>
        <w:spacing w:after="120"/>
        <w:rPr>
          <w:rFonts w:cs="Arial"/>
        </w:rPr>
      </w:pPr>
      <w:r w:rsidRPr="00AE2B4F">
        <w:rPr>
          <w:rFonts w:cs="Arial"/>
          <w:u w:val="single"/>
        </w:rPr>
        <w:t>Section 8 – Requirements during transitional period</w:t>
      </w:r>
    </w:p>
    <w:p w14:paraId="539321E4" w14:textId="77777777" w:rsidR="007730EF" w:rsidRDefault="007730EF" w:rsidP="007730EF">
      <w:pPr>
        <w:rPr>
          <w:rFonts w:cs="Arial"/>
          <w:lang w:val="en-GB"/>
        </w:rPr>
      </w:pPr>
      <w:r>
        <w:rPr>
          <w:rFonts w:cs="Arial"/>
          <w:lang w:val="en-GB"/>
        </w:rPr>
        <w:t>This section provides that d</w:t>
      </w:r>
      <w:r w:rsidRPr="00CE7BAD">
        <w:rPr>
          <w:rFonts w:cs="Arial"/>
          <w:lang w:val="en-GB"/>
        </w:rPr>
        <w:t>uring the transition period</w:t>
      </w:r>
      <w:r>
        <w:rPr>
          <w:rFonts w:cs="Arial"/>
          <w:lang w:val="en-GB"/>
        </w:rPr>
        <w:t xml:space="preserve"> (18 months), suppliers must comply with either:</w:t>
      </w:r>
    </w:p>
    <w:p w14:paraId="4E880C75" w14:textId="14B5E300" w:rsidR="007730EF" w:rsidRPr="0048551A" w:rsidRDefault="007730EF" w:rsidP="007730EF">
      <w:pPr>
        <w:pStyle w:val="ListParagraph"/>
        <w:numPr>
          <w:ilvl w:val="0"/>
          <w:numId w:val="44"/>
        </w:numPr>
        <w:rPr>
          <w:rFonts w:cs="Arial"/>
          <w:lang w:val="en-GB"/>
        </w:rPr>
      </w:pPr>
      <w:r w:rsidRPr="0048551A">
        <w:rPr>
          <w:rFonts w:cs="Arial"/>
          <w:lang w:val="en-GB"/>
        </w:rPr>
        <w:t xml:space="preserve">the </w:t>
      </w:r>
      <w:r w:rsidRPr="0048551A">
        <w:rPr>
          <w:lang w:val="en"/>
        </w:rPr>
        <w:t>Repealed Safety Standard, or</w:t>
      </w:r>
    </w:p>
    <w:p w14:paraId="5452BC2B" w14:textId="4146B84C" w:rsidR="007730EF" w:rsidRPr="0048551A" w:rsidRDefault="007730EF" w:rsidP="007730EF">
      <w:pPr>
        <w:pStyle w:val="ListParagraph"/>
        <w:numPr>
          <w:ilvl w:val="0"/>
          <w:numId w:val="44"/>
        </w:numPr>
        <w:rPr>
          <w:rFonts w:cs="Arial"/>
          <w:lang w:val="en-GB"/>
        </w:rPr>
      </w:pPr>
      <w:r w:rsidRPr="0048551A">
        <w:rPr>
          <w:rFonts w:cs="Arial"/>
          <w:lang w:val="en-GB"/>
        </w:rPr>
        <w:t>the Australian/New Zealand Standard (with variations) and the Electric Toy Standard (with variations), or</w:t>
      </w:r>
    </w:p>
    <w:p w14:paraId="0509AB65" w14:textId="3388D0FF" w:rsidR="007730EF" w:rsidRPr="0048551A" w:rsidRDefault="007730EF" w:rsidP="007730EF">
      <w:pPr>
        <w:pStyle w:val="ListParagraph"/>
        <w:numPr>
          <w:ilvl w:val="0"/>
          <w:numId w:val="44"/>
        </w:numPr>
        <w:rPr>
          <w:rFonts w:cs="Arial"/>
          <w:lang w:val="en-GB"/>
        </w:rPr>
      </w:pPr>
      <w:r w:rsidRPr="0048551A">
        <w:rPr>
          <w:rFonts w:cs="Arial"/>
          <w:lang w:val="en-GB"/>
        </w:rPr>
        <w:t>the European Standard (with variations) and the Electric Toy Standard (with variations), or</w:t>
      </w:r>
    </w:p>
    <w:p w14:paraId="5F00F923" w14:textId="3E841EBF" w:rsidR="007730EF" w:rsidRPr="0048551A" w:rsidRDefault="007730EF" w:rsidP="007730EF">
      <w:pPr>
        <w:pStyle w:val="ListParagraph"/>
        <w:numPr>
          <w:ilvl w:val="0"/>
          <w:numId w:val="44"/>
        </w:numPr>
        <w:rPr>
          <w:rFonts w:cs="Arial"/>
          <w:lang w:val="en-GB"/>
        </w:rPr>
      </w:pPr>
      <w:r w:rsidRPr="0048551A">
        <w:rPr>
          <w:rFonts w:cs="Arial"/>
          <w:lang w:val="en-GB"/>
        </w:rPr>
        <w:t>the International Standard (with variations) and the Electric Toy Standard (with variations), or</w:t>
      </w:r>
    </w:p>
    <w:p w14:paraId="43629D70" w14:textId="2631DEE7" w:rsidR="007730EF" w:rsidRPr="0048551A" w:rsidRDefault="007730EF" w:rsidP="007730EF">
      <w:pPr>
        <w:pStyle w:val="ListParagraph"/>
        <w:numPr>
          <w:ilvl w:val="0"/>
          <w:numId w:val="44"/>
        </w:numPr>
        <w:rPr>
          <w:rFonts w:cs="Arial"/>
          <w:lang w:val="en-GB"/>
        </w:rPr>
      </w:pPr>
      <w:r w:rsidRPr="0048551A">
        <w:rPr>
          <w:rFonts w:cs="Arial"/>
          <w:lang w:val="en-GB"/>
        </w:rPr>
        <w:t>the US Standard and the Electric Toy Standard (with variations).</w:t>
      </w:r>
    </w:p>
    <w:p w14:paraId="393EB6D7" w14:textId="1052B813" w:rsidR="007730EF" w:rsidRDefault="007730EF" w:rsidP="007730EF">
      <w:pPr>
        <w:rPr>
          <w:rFonts w:cs="Arial"/>
        </w:rPr>
      </w:pPr>
      <w:r w:rsidRPr="007D3A86">
        <w:rPr>
          <w:rFonts w:cs="Arial"/>
          <w:lang w:val="en-GB"/>
        </w:rPr>
        <w:t>The intention of the transition period is to</w:t>
      </w:r>
      <w:r w:rsidRPr="007D3A86">
        <w:rPr>
          <w:rFonts w:cs="Arial"/>
        </w:rPr>
        <w:t xml:space="preserve"> assist suppliers to understand and adjust to the change in legislation.</w:t>
      </w:r>
    </w:p>
    <w:p w14:paraId="35F93830" w14:textId="359D17B2" w:rsidR="007730EF" w:rsidRDefault="007730EF" w:rsidP="007730EF">
      <w:pPr>
        <w:rPr>
          <w:rFonts w:cs="Arial"/>
        </w:rPr>
      </w:pPr>
      <w:r>
        <w:rPr>
          <w:rFonts w:cs="Arial"/>
        </w:rPr>
        <w:lastRenderedPageBreak/>
        <w:t>The intention of Note 1 in section 8 of this instrument is to advise that under section 108 of the ACL, the regulator may request a supplier to nominate which set of requirements they intend to comply with as their method of complying with this Safety Standard.</w:t>
      </w:r>
    </w:p>
    <w:p w14:paraId="34ED5A5C" w14:textId="77777777" w:rsidR="007730EF" w:rsidRPr="00AE2B4F" w:rsidRDefault="007730EF" w:rsidP="007730EF">
      <w:pPr>
        <w:spacing w:after="120"/>
        <w:rPr>
          <w:rFonts w:cs="Arial"/>
          <w:u w:val="single"/>
        </w:rPr>
      </w:pPr>
      <w:r w:rsidRPr="00AE2B4F">
        <w:rPr>
          <w:rFonts w:cs="Arial"/>
          <w:u w:val="single"/>
        </w:rPr>
        <w:t>Section 9 – Requirements after the transitional period</w:t>
      </w:r>
    </w:p>
    <w:p w14:paraId="10B05BDC" w14:textId="37593099" w:rsidR="007730EF" w:rsidRDefault="007730EF" w:rsidP="007730EF">
      <w:pPr>
        <w:spacing w:after="120"/>
        <w:rPr>
          <w:rFonts w:cs="Arial"/>
        </w:rPr>
      </w:pPr>
      <w:r>
        <w:rPr>
          <w:rFonts w:cs="Arial"/>
        </w:rPr>
        <w:t>This section provides that after the transitional period (18 months) has ended, suppliers must comply with the requirements of the Safety Standard. They can no longer comply with the Repealed Safety Standard.</w:t>
      </w:r>
    </w:p>
    <w:p w14:paraId="58C0B1A1" w14:textId="2DAC6C4B" w:rsidR="007730EF" w:rsidRDefault="007730EF" w:rsidP="007730EF">
      <w:pPr>
        <w:rPr>
          <w:rFonts w:cs="Arial"/>
        </w:rPr>
      </w:pPr>
      <w:r>
        <w:rPr>
          <w:rFonts w:cs="Arial"/>
        </w:rPr>
        <w:t>The intention of the Note in section 9 of this instrument is to advise that under section 108 of the ACL, the regulator may request a supplier to nominate which set of requirements they intend to comply with as their method of complying with this Safety Standard.</w:t>
      </w:r>
    </w:p>
    <w:p w14:paraId="736B5BDB" w14:textId="77777777" w:rsidR="007730EF" w:rsidRDefault="007730EF" w:rsidP="007730EF">
      <w:pPr>
        <w:spacing w:after="120"/>
        <w:rPr>
          <w:rFonts w:cs="Arial"/>
        </w:rPr>
      </w:pPr>
      <w:r w:rsidRPr="00AE2B4F">
        <w:rPr>
          <w:rFonts w:cs="Arial"/>
          <w:b/>
          <w:bCs/>
        </w:rPr>
        <w:t xml:space="preserve">PART 3 </w:t>
      </w:r>
      <w:r>
        <w:rPr>
          <w:rFonts w:cs="Arial"/>
          <w:b/>
          <w:bCs/>
        </w:rPr>
        <w:t xml:space="preserve">– </w:t>
      </w:r>
      <w:r w:rsidRPr="00AE2B4F">
        <w:rPr>
          <w:rFonts w:cs="Arial"/>
          <w:b/>
          <w:bCs/>
        </w:rPr>
        <w:t>DETAILS OF REQUIREMENTS</w:t>
      </w:r>
    </w:p>
    <w:p w14:paraId="78AFCFC0" w14:textId="77777777" w:rsidR="007730EF" w:rsidRPr="00AE2B4F" w:rsidRDefault="007730EF" w:rsidP="007730EF">
      <w:pPr>
        <w:spacing w:after="120"/>
        <w:rPr>
          <w:rFonts w:cs="Arial"/>
          <w:u w:val="single"/>
        </w:rPr>
      </w:pPr>
      <w:r w:rsidRPr="00AE2B4F">
        <w:rPr>
          <w:rFonts w:cs="Arial"/>
          <w:u w:val="single"/>
        </w:rPr>
        <w:t>Section 10 – Australian/New Zealand Standard</w:t>
      </w:r>
    </w:p>
    <w:p w14:paraId="0BC1E7DF" w14:textId="38C4B932" w:rsidR="007730EF" w:rsidRDefault="007730EF" w:rsidP="007730EF">
      <w:pPr>
        <w:spacing w:after="120"/>
        <w:rPr>
          <w:rFonts w:cs="Arial"/>
        </w:rPr>
      </w:pPr>
      <w:r>
        <w:rPr>
          <w:rFonts w:cs="Arial"/>
        </w:rPr>
        <w:t>This section sets out the parts of the Australian/New Zealand Standard which are incorporated into this instrument. It provides that the requirements listed in subsections 10(a) to (</w:t>
      </w:r>
      <w:proofErr w:type="spellStart"/>
      <w:r>
        <w:rPr>
          <w:rFonts w:cs="Arial"/>
        </w:rPr>
        <w:t>i</w:t>
      </w:r>
      <w:proofErr w:type="spellEnd"/>
      <w:r>
        <w:rPr>
          <w:rFonts w:cs="Arial"/>
        </w:rPr>
        <w:t>) of the Australian/New Zealand Standard apply to the relevant children’s toys.</w:t>
      </w:r>
    </w:p>
    <w:p w14:paraId="28E917E0" w14:textId="1D605CFC" w:rsidR="007730EF" w:rsidRDefault="007730EF" w:rsidP="007730EF">
      <w:pPr>
        <w:spacing w:after="120"/>
        <w:rPr>
          <w:rFonts w:cs="Arial"/>
        </w:rPr>
      </w:pPr>
      <w:r>
        <w:rPr>
          <w:rFonts w:cs="Arial"/>
        </w:rPr>
        <w:t>This section is based on the existing requirements of the</w:t>
      </w:r>
      <w:r w:rsidRPr="00FF2331">
        <w:rPr>
          <w:rFonts w:cs="Arial"/>
        </w:rPr>
        <w:t xml:space="preserve"> </w:t>
      </w:r>
      <w:r>
        <w:rPr>
          <w:rFonts w:cs="Arial"/>
        </w:rPr>
        <w:t>Repealed Safety Standard.</w:t>
      </w:r>
    </w:p>
    <w:p w14:paraId="1145B941" w14:textId="4ECDFF25" w:rsidR="007730EF" w:rsidRDefault="007730EF" w:rsidP="007730EF">
      <w:pPr>
        <w:spacing w:after="120"/>
        <w:rPr>
          <w:rFonts w:cs="Arial"/>
        </w:rPr>
      </w:pPr>
      <w:r>
        <w:rPr>
          <w:rFonts w:cs="Arial"/>
        </w:rPr>
        <w:t>The requirements listed in subsections 10(a) to (</w:t>
      </w:r>
      <w:proofErr w:type="spellStart"/>
      <w:r>
        <w:rPr>
          <w:rFonts w:cs="Arial"/>
        </w:rPr>
        <w:t>i</w:t>
      </w:r>
      <w:proofErr w:type="spellEnd"/>
      <w:r>
        <w:rPr>
          <w:rFonts w:cs="Arial"/>
        </w:rPr>
        <w:t xml:space="preserve">) are then modified as set out in sections 11 and 12 of this </w:t>
      </w:r>
      <w:proofErr w:type="gramStart"/>
      <w:r>
        <w:rPr>
          <w:rFonts w:cs="Arial"/>
        </w:rPr>
        <w:t>instrument</w:t>
      </w:r>
      <w:proofErr w:type="gramEnd"/>
      <w:r>
        <w:rPr>
          <w:rFonts w:cs="Arial"/>
        </w:rPr>
        <w:t>.</w:t>
      </w:r>
    </w:p>
    <w:p w14:paraId="3AE0B407" w14:textId="77777777" w:rsidR="007730EF" w:rsidRDefault="007730EF" w:rsidP="007730EF">
      <w:pPr>
        <w:spacing w:after="120"/>
        <w:rPr>
          <w:rFonts w:cs="Arial"/>
        </w:rPr>
      </w:pPr>
      <w:r>
        <w:rPr>
          <w:rFonts w:cs="Arial"/>
        </w:rPr>
        <w:t>Testing requirements are specified in the referenced provisions of the Australian/New Zealand Standard set out in this section.</w:t>
      </w:r>
    </w:p>
    <w:p w14:paraId="596739F9" w14:textId="77777777" w:rsidR="007730EF" w:rsidRPr="00AE2B4F" w:rsidRDefault="007730EF" w:rsidP="007730EF">
      <w:pPr>
        <w:spacing w:after="120"/>
        <w:rPr>
          <w:rFonts w:cs="Arial"/>
          <w:u w:val="single"/>
        </w:rPr>
      </w:pPr>
      <w:r w:rsidRPr="00AE2B4F">
        <w:rPr>
          <w:rFonts w:cs="Arial"/>
          <w:u w:val="single"/>
        </w:rPr>
        <w:t xml:space="preserve">Section 11 – Australian/New Zealand Standard </w:t>
      </w:r>
      <w:r>
        <w:rPr>
          <w:rFonts w:cs="Arial"/>
          <w:u w:val="single"/>
        </w:rPr>
        <w:t xml:space="preserve">– </w:t>
      </w:r>
      <w:r w:rsidRPr="00AE2B4F">
        <w:rPr>
          <w:rFonts w:cs="Arial"/>
          <w:u w:val="single"/>
        </w:rPr>
        <w:t>general modifications</w:t>
      </w:r>
    </w:p>
    <w:p w14:paraId="6827DF98" w14:textId="3F3EAA7B" w:rsidR="007730EF" w:rsidRDefault="007730EF" w:rsidP="007730EF">
      <w:pPr>
        <w:spacing w:after="120"/>
        <w:rPr>
          <w:rFonts w:cs="Arial"/>
        </w:rPr>
      </w:pPr>
      <w:r>
        <w:rPr>
          <w:rFonts w:cs="Arial"/>
        </w:rPr>
        <w:t>This section modifies the requirements in the Australian/New Zealand Standard listed in section 10 of this instrument. These modifications replicate the modifications made previously to the Repealed Safety Standard.</w:t>
      </w:r>
    </w:p>
    <w:p w14:paraId="5CB9B7C3" w14:textId="77777777" w:rsidR="007730EF" w:rsidRPr="00AE2B4F" w:rsidRDefault="007730EF" w:rsidP="007730EF">
      <w:pPr>
        <w:spacing w:after="120"/>
        <w:rPr>
          <w:rFonts w:cs="Arial"/>
          <w:u w:val="single"/>
        </w:rPr>
      </w:pPr>
      <w:r w:rsidRPr="00AE2B4F">
        <w:rPr>
          <w:rFonts w:cs="Arial"/>
          <w:u w:val="single"/>
        </w:rPr>
        <w:t xml:space="preserve">Section 12 </w:t>
      </w:r>
      <w:r>
        <w:rPr>
          <w:rFonts w:cs="Arial"/>
          <w:u w:val="single"/>
        </w:rPr>
        <w:t>–</w:t>
      </w:r>
      <w:r w:rsidRPr="00AE2B4F">
        <w:rPr>
          <w:rFonts w:cs="Arial"/>
          <w:u w:val="single"/>
        </w:rPr>
        <w:t xml:space="preserve"> Australian/New Zealand Standard modifications to testing </w:t>
      </w:r>
      <w:proofErr w:type="gramStart"/>
      <w:r w:rsidRPr="00AE2B4F">
        <w:rPr>
          <w:rFonts w:cs="Arial"/>
          <w:u w:val="single"/>
        </w:rPr>
        <w:t>standards</w:t>
      </w:r>
      <w:proofErr w:type="gramEnd"/>
    </w:p>
    <w:p w14:paraId="5BCBA31B" w14:textId="77777777" w:rsidR="007730EF" w:rsidRDefault="007730EF" w:rsidP="007730EF">
      <w:pPr>
        <w:spacing w:after="120"/>
        <w:rPr>
          <w:rFonts w:cs="Arial"/>
        </w:rPr>
      </w:pPr>
      <w:r>
        <w:rPr>
          <w:rFonts w:cs="Arial"/>
        </w:rPr>
        <w:t>This section modifies the testing requirements in the Australian/New Zealand Standard listed in section 10 of this instrument. These modifications replicate the modifications made previously to the Repealed Safety Standard.</w:t>
      </w:r>
    </w:p>
    <w:p w14:paraId="2E3D38E6" w14:textId="77777777" w:rsidR="007730EF" w:rsidRPr="00AE2B4F" w:rsidRDefault="007730EF" w:rsidP="007730EF">
      <w:pPr>
        <w:spacing w:after="120"/>
        <w:rPr>
          <w:rFonts w:cs="Arial"/>
          <w:u w:val="single"/>
        </w:rPr>
      </w:pPr>
      <w:r w:rsidRPr="00AE2B4F">
        <w:rPr>
          <w:rFonts w:cs="Arial"/>
          <w:u w:val="single"/>
        </w:rPr>
        <w:t>Section 13 – European Standard</w:t>
      </w:r>
    </w:p>
    <w:p w14:paraId="7DBC8D38" w14:textId="5E6D02BA" w:rsidR="007730EF" w:rsidRDefault="007730EF" w:rsidP="007730EF">
      <w:pPr>
        <w:spacing w:after="120"/>
        <w:rPr>
          <w:rFonts w:cs="Arial"/>
        </w:rPr>
      </w:pPr>
      <w:r>
        <w:rPr>
          <w:rFonts w:cs="Arial"/>
        </w:rPr>
        <w:t>This section sets out the parts of the European Standard which are incorporated into this instrument. It provides that the requirements listed in subsections 13(a) to (d) of the European Standard apply to relevant children’s toys.</w:t>
      </w:r>
    </w:p>
    <w:p w14:paraId="458289FD" w14:textId="3AD2D315" w:rsidR="007730EF" w:rsidRDefault="007730EF" w:rsidP="007730EF">
      <w:pPr>
        <w:spacing w:after="120"/>
        <w:rPr>
          <w:rFonts w:cs="Arial"/>
        </w:rPr>
      </w:pPr>
      <w:r>
        <w:rPr>
          <w:rFonts w:cs="Arial"/>
        </w:rPr>
        <w:t>This section is based on the existing requirements of the</w:t>
      </w:r>
      <w:r w:rsidRPr="00FF2331">
        <w:rPr>
          <w:rFonts w:cs="Arial"/>
        </w:rPr>
        <w:t xml:space="preserve"> </w:t>
      </w:r>
      <w:r>
        <w:rPr>
          <w:rFonts w:cs="Arial"/>
        </w:rPr>
        <w:t>Repealed Safety Standard.</w:t>
      </w:r>
    </w:p>
    <w:p w14:paraId="3BF49770" w14:textId="77777777" w:rsidR="007730EF" w:rsidRPr="00326763" w:rsidRDefault="007730EF" w:rsidP="007730EF">
      <w:pPr>
        <w:spacing w:after="120"/>
        <w:rPr>
          <w:rFonts w:cs="Arial"/>
        </w:rPr>
      </w:pPr>
      <w:r>
        <w:rPr>
          <w:rFonts w:cs="Arial"/>
        </w:rPr>
        <w:t>Testing requirements are specified in the referenced provisions of the European Standard set out in this section.</w:t>
      </w:r>
    </w:p>
    <w:p w14:paraId="31626613" w14:textId="77777777" w:rsidR="007730EF" w:rsidRPr="00AE2B4F" w:rsidRDefault="007730EF" w:rsidP="007730EF">
      <w:pPr>
        <w:spacing w:after="120"/>
        <w:rPr>
          <w:rFonts w:cs="Arial"/>
          <w:u w:val="single"/>
        </w:rPr>
      </w:pPr>
      <w:r w:rsidRPr="00AE2B4F">
        <w:rPr>
          <w:rFonts w:cs="Arial"/>
          <w:u w:val="single"/>
        </w:rPr>
        <w:t>Section 14 – International Standard</w:t>
      </w:r>
    </w:p>
    <w:p w14:paraId="26F2BE32" w14:textId="7C54E96D" w:rsidR="007730EF" w:rsidRDefault="007730EF" w:rsidP="007730EF">
      <w:pPr>
        <w:spacing w:after="120"/>
        <w:rPr>
          <w:rFonts w:cs="Arial"/>
        </w:rPr>
      </w:pPr>
      <w:r>
        <w:rPr>
          <w:rFonts w:cs="Arial"/>
        </w:rPr>
        <w:t>This section sets out the parts of the International Standard which are incorporated into this instrument. It provides that the requirements listed in subsections 14(a) to (</w:t>
      </w:r>
      <w:proofErr w:type="spellStart"/>
      <w:r>
        <w:rPr>
          <w:rFonts w:cs="Arial"/>
        </w:rPr>
        <w:t>i</w:t>
      </w:r>
      <w:proofErr w:type="spellEnd"/>
      <w:r>
        <w:rPr>
          <w:rFonts w:cs="Arial"/>
        </w:rPr>
        <w:t>) of the International Standard apply to relevant children’s toys.</w:t>
      </w:r>
    </w:p>
    <w:p w14:paraId="49774F18" w14:textId="5517553E" w:rsidR="007730EF" w:rsidRDefault="007730EF" w:rsidP="007730EF">
      <w:pPr>
        <w:spacing w:after="120"/>
        <w:rPr>
          <w:rFonts w:cs="Arial"/>
        </w:rPr>
      </w:pPr>
      <w:r>
        <w:rPr>
          <w:rFonts w:cs="Arial"/>
        </w:rPr>
        <w:lastRenderedPageBreak/>
        <w:t>This section is based on the existing requirements</w:t>
      </w:r>
      <w:r w:rsidRPr="00C9019A">
        <w:rPr>
          <w:rFonts w:cs="Arial"/>
        </w:rPr>
        <w:t xml:space="preserve"> </w:t>
      </w:r>
      <w:r>
        <w:rPr>
          <w:rFonts w:cs="Arial"/>
        </w:rPr>
        <w:t>of the</w:t>
      </w:r>
      <w:r w:rsidRPr="00FF2331">
        <w:rPr>
          <w:rFonts w:cs="Arial"/>
        </w:rPr>
        <w:t xml:space="preserve"> </w:t>
      </w:r>
      <w:r>
        <w:rPr>
          <w:rFonts w:cs="Arial"/>
        </w:rPr>
        <w:t>Repealed Safety Standard.</w:t>
      </w:r>
    </w:p>
    <w:p w14:paraId="012217C6" w14:textId="77777777" w:rsidR="007730EF" w:rsidRDefault="007730EF" w:rsidP="007730EF">
      <w:pPr>
        <w:spacing w:after="120"/>
        <w:rPr>
          <w:rFonts w:cs="Arial"/>
        </w:rPr>
      </w:pPr>
      <w:r>
        <w:rPr>
          <w:rFonts w:cs="Arial"/>
        </w:rPr>
        <w:t>Testing requirements are specified in the referenced provisions of the International Standard set out in this section.</w:t>
      </w:r>
    </w:p>
    <w:p w14:paraId="13F6C86C" w14:textId="77777777" w:rsidR="007730EF" w:rsidRPr="00AE2B4F" w:rsidRDefault="007730EF" w:rsidP="007730EF">
      <w:pPr>
        <w:spacing w:after="120"/>
        <w:rPr>
          <w:rFonts w:cs="Arial"/>
          <w:u w:val="single"/>
        </w:rPr>
      </w:pPr>
      <w:r w:rsidRPr="00AE2B4F">
        <w:rPr>
          <w:rFonts w:cs="Arial"/>
          <w:u w:val="single"/>
        </w:rPr>
        <w:t>Section 15 – International Standard</w:t>
      </w:r>
      <w:r>
        <w:rPr>
          <w:rFonts w:cs="Arial"/>
          <w:u w:val="single"/>
        </w:rPr>
        <w:t xml:space="preserve"> –</w:t>
      </w:r>
      <w:r w:rsidRPr="00AE2B4F">
        <w:rPr>
          <w:rFonts w:cs="Arial"/>
          <w:u w:val="single"/>
        </w:rPr>
        <w:t xml:space="preserve"> general modifications</w:t>
      </w:r>
    </w:p>
    <w:p w14:paraId="7D738144" w14:textId="38E8422B" w:rsidR="007730EF" w:rsidRDefault="007730EF" w:rsidP="007730EF">
      <w:pPr>
        <w:spacing w:after="120"/>
        <w:rPr>
          <w:rFonts w:cs="Arial"/>
        </w:rPr>
      </w:pPr>
      <w:r>
        <w:rPr>
          <w:rFonts w:cs="Arial"/>
        </w:rPr>
        <w:t>This section modifies the requirements in the International Standard listed in section 14 of this instrument. These modifications replicate the modifications made previously</w:t>
      </w:r>
      <w:r w:rsidRPr="00C9019A">
        <w:rPr>
          <w:rFonts w:cs="Arial"/>
        </w:rPr>
        <w:t xml:space="preserve"> </w:t>
      </w:r>
      <w:r>
        <w:rPr>
          <w:rFonts w:cs="Arial"/>
        </w:rPr>
        <w:t>in the</w:t>
      </w:r>
      <w:r w:rsidRPr="00FF2331">
        <w:rPr>
          <w:rFonts w:cs="Arial"/>
        </w:rPr>
        <w:t xml:space="preserve"> </w:t>
      </w:r>
      <w:r>
        <w:rPr>
          <w:rFonts w:cs="Arial"/>
        </w:rPr>
        <w:t>Repealed Safety Standard.</w:t>
      </w:r>
    </w:p>
    <w:p w14:paraId="53331596" w14:textId="77777777" w:rsidR="007730EF" w:rsidRPr="00AE2B4F" w:rsidRDefault="007730EF" w:rsidP="007730EF">
      <w:pPr>
        <w:spacing w:after="120"/>
        <w:rPr>
          <w:rFonts w:cs="Arial"/>
          <w:u w:val="single"/>
        </w:rPr>
      </w:pPr>
      <w:r w:rsidRPr="00AE2B4F">
        <w:rPr>
          <w:rFonts w:cs="Arial"/>
          <w:u w:val="single"/>
        </w:rPr>
        <w:t xml:space="preserve">Section 16 </w:t>
      </w:r>
      <w:r>
        <w:rPr>
          <w:rFonts w:cs="Arial"/>
          <w:u w:val="single"/>
        </w:rPr>
        <w:t>–</w:t>
      </w:r>
      <w:r w:rsidRPr="00AE2B4F">
        <w:rPr>
          <w:rFonts w:cs="Arial"/>
          <w:u w:val="single"/>
        </w:rPr>
        <w:t xml:space="preserve"> International Standard modifications to testing </w:t>
      </w:r>
      <w:proofErr w:type="gramStart"/>
      <w:r w:rsidRPr="00AE2B4F">
        <w:rPr>
          <w:rFonts w:cs="Arial"/>
          <w:u w:val="single"/>
        </w:rPr>
        <w:t>standards</w:t>
      </w:r>
      <w:proofErr w:type="gramEnd"/>
    </w:p>
    <w:p w14:paraId="69CFF1BC" w14:textId="77777777" w:rsidR="007730EF" w:rsidRDefault="007730EF" w:rsidP="007730EF">
      <w:pPr>
        <w:spacing w:after="120"/>
        <w:rPr>
          <w:rFonts w:cs="Arial"/>
        </w:rPr>
      </w:pPr>
      <w:r>
        <w:rPr>
          <w:rFonts w:cs="Arial"/>
        </w:rPr>
        <w:t>This section modifies the testing requirements in the International Standard listed in section 14 of this instrument. These modifications replicate the modifications made previously</w:t>
      </w:r>
      <w:r w:rsidRPr="00C9019A">
        <w:rPr>
          <w:rFonts w:cs="Arial"/>
        </w:rPr>
        <w:t xml:space="preserve"> </w:t>
      </w:r>
      <w:r>
        <w:rPr>
          <w:rFonts w:cs="Arial"/>
        </w:rPr>
        <w:t>in the</w:t>
      </w:r>
      <w:r w:rsidRPr="00FF2331">
        <w:rPr>
          <w:rFonts w:cs="Arial"/>
        </w:rPr>
        <w:t xml:space="preserve"> </w:t>
      </w:r>
      <w:r>
        <w:rPr>
          <w:rFonts w:cs="Arial"/>
        </w:rPr>
        <w:t>Repealed Safety Standard.</w:t>
      </w:r>
    </w:p>
    <w:p w14:paraId="697995C2" w14:textId="77777777" w:rsidR="007730EF" w:rsidRPr="00AE2B4F" w:rsidRDefault="007730EF" w:rsidP="007730EF">
      <w:pPr>
        <w:spacing w:after="120"/>
        <w:rPr>
          <w:rFonts w:cs="Arial"/>
          <w:u w:val="single"/>
        </w:rPr>
      </w:pPr>
      <w:r w:rsidRPr="00AE2B4F">
        <w:rPr>
          <w:rFonts w:cs="Arial"/>
          <w:u w:val="single"/>
        </w:rPr>
        <w:t>Section 17 – US Standard</w:t>
      </w:r>
    </w:p>
    <w:p w14:paraId="787312DB" w14:textId="255735C0" w:rsidR="007730EF" w:rsidRDefault="007730EF" w:rsidP="007730EF">
      <w:pPr>
        <w:spacing w:after="120"/>
        <w:rPr>
          <w:rFonts w:cs="Arial"/>
        </w:rPr>
      </w:pPr>
      <w:r>
        <w:rPr>
          <w:rFonts w:cs="Arial"/>
        </w:rPr>
        <w:t>This section sets out the parts of the US Standard which are incorporated into this instrument. It provides that the requirements listed in subsections 17(a) to (j) of the US Standard apply to relevant children’s toys.</w:t>
      </w:r>
    </w:p>
    <w:p w14:paraId="71A76486" w14:textId="7CAED78A" w:rsidR="007730EF" w:rsidRDefault="007730EF" w:rsidP="007730EF">
      <w:pPr>
        <w:spacing w:after="120"/>
        <w:rPr>
          <w:rFonts w:cs="Arial"/>
        </w:rPr>
      </w:pPr>
      <w:r>
        <w:rPr>
          <w:rFonts w:cs="Arial"/>
        </w:rPr>
        <w:t>This section is based on the existing requirements in the</w:t>
      </w:r>
      <w:r w:rsidRPr="00C9019A">
        <w:rPr>
          <w:rFonts w:cs="Arial"/>
        </w:rPr>
        <w:t xml:space="preserve"> </w:t>
      </w:r>
      <w:r>
        <w:rPr>
          <w:rFonts w:cs="Arial"/>
        </w:rPr>
        <w:t>Repealed Safety Standard.</w:t>
      </w:r>
    </w:p>
    <w:p w14:paraId="3DC86A62" w14:textId="77777777" w:rsidR="007730EF" w:rsidRDefault="007730EF" w:rsidP="007730EF">
      <w:pPr>
        <w:spacing w:after="120"/>
        <w:rPr>
          <w:rFonts w:cs="Arial"/>
        </w:rPr>
      </w:pPr>
      <w:r>
        <w:rPr>
          <w:rFonts w:cs="Arial"/>
        </w:rPr>
        <w:t>Testing requirements are specified in the referenced provisions of the Australian/New Zealand Standard set out in this section.</w:t>
      </w:r>
    </w:p>
    <w:p w14:paraId="4CA5F543" w14:textId="77777777" w:rsidR="007730EF" w:rsidRPr="00AE2B4F" w:rsidRDefault="007730EF" w:rsidP="007730EF">
      <w:pPr>
        <w:spacing w:after="120"/>
        <w:rPr>
          <w:rFonts w:cs="Arial"/>
          <w:u w:val="single"/>
        </w:rPr>
      </w:pPr>
      <w:r w:rsidRPr="00AE2B4F">
        <w:rPr>
          <w:rFonts w:cs="Arial"/>
          <w:u w:val="single"/>
        </w:rPr>
        <w:t xml:space="preserve">Section 18 </w:t>
      </w:r>
      <w:r>
        <w:rPr>
          <w:rFonts w:cs="Arial"/>
          <w:u w:val="single"/>
        </w:rPr>
        <w:t>–</w:t>
      </w:r>
      <w:r w:rsidRPr="00AE2B4F">
        <w:rPr>
          <w:rFonts w:cs="Arial"/>
          <w:u w:val="single"/>
        </w:rPr>
        <w:t xml:space="preserve"> US Standard</w:t>
      </w:r>
      <w:r>
        <w:rPr>
          <w:rFonts w:cs="Arial"/>
          <w:u w:val="single"/>
        </w:rPr>
        <w:t xml:space="preserve"> –</w:t>
      </w:r>
      <w:r w:rsidRPr="00AE2B4F">
        <w:rPr>
          <w:rFonts w:cs="Arial"/>
          <w:u w:val="single"/>
        </w:rPr>
        <w:t xml:space="preserve"> general modifications</w:t>
      </w:r>
    </w:p>
    <w:p w14:paraId="15BEE602" w14:textId="171B7FFB" w:rsidR="007730EF" w:rsidRDefault="007730EF" w:rsidP="007730EF">
      <w:pPr>
        <w:spacing w:after="120"/>
        <w:rPr>
          <w:rFonts w:cs="Arial"/>
        </w:rPr>
      </w:pPr>
      <w:r>
        <w:rPr>
          <w:rFonts w:cs="Arial"/>
        </w:rPr>
        <w:t>This section modifies the requirements in the US Standard listed in section 17 of this instrument.</w:t>
      </w:r>
    </w:p>
    <w:p w14:paraId="578A85F6" w14:textId="27F9E768" w:rsidR="007730EF" w:rsidRDefault="007730EF" w:rsidP="007730EF">
      <w:pPr>
        <w:spacing w:after="120"/>
        <w:rPr>
          <w:rFonts w:cs="Arial"/>
        </w:rPr>
      </w:pPr>
      <w:r>
        <w:rPr>
          <w:rFonts w:cs="Arial"/>
        </w:rPr>
        <w:t>These modifications replicate the modifications made previously to the</w:t>
      </w:r>
      <w:r w:rsidRPr="00FF2331">
        <w:rPr>
          <w:rFonts w:cs="Arial"/>
        </w:rPr>
        <w:t xml:space="preserve"> </w:t>
      </w:r>
      <w:r>
        <w:rPr>
          <w:rFonts w:cs="Arial"/>
        </w:rPr>
        <w:t>Repealed Safety Standard.</w:t>
      </w:r>
    </w:p>
    <w:p w14:paraId="784200C9" w14:textId="77777777" w:rsidR="007730EF" w:rsidRPr="00AE2B4F" w:rsidRDefault="007730EF" w:rsidP="007730EF">
      <w:pPr>
        <w:spacing w:after="120"/>
        <w:rPr>
          <w:rFonts w:cs="Arial"/>
          <w:u w:val="single"/>
        </w:rPr>
      </w:pPr>
      <w:r w:rsidRPr="00AE2B4F">
        <w:rPr>
          <w:rFonts w:cs="Arial"/>
          <w:u w:val="single"/>
        </w:rPr>
        <w:t xml:space="preserve">Section 19 </w:t>
      </w:r>
      <w:r>
        <w:rPr>
          <w:rFonts w:cs="Arial"/>
          <w:u w:val="single"/>
        </w:rPr>
        <w:t>–</w:t>
      </w:r>
      <w:r w:rsidRPr="00AE2B4F">
        <w:rPr>
          <w:rFonts w:cs="Arial"/>
          <w:u w:val="single"/>
        </w:rPr>
        <w:t xml:space="preserve"> Electric Toy standard</w:t>
      </w:r>
    </w:p>
    <w:p w14:paraId="172517BB" w14:textId="77777777" w:rsidR="007730EF" w:rsidRDefault="007730EF" w:rsidP="007730EF">
      <w:pPr>
        <w:spacing w:after="120"/>
        <w:rPr>
          <w:rFonts w:cs="Arial"/>
        </w:rPr>
      </w:pPr>
      <w:r>
        <w:rPr>
          <w:rFonts w:cs="Arial"/>
        </w:rPr>
        <w:t>This section sets out the parts of the Electric Toy Standard which are incorporated into this instrument. It provides that clause 13.4.1 of the Electric Toy Standard (as modified by section 20 of this instrument) applies to the relevant children’s toys. The policy intent of incorporating clause 13.4.1 (as modified by section 20 of this instrument) is to require that the battery compartment (if any) in relevant children’s toys cannot be opened and batteries removed without the use of a tool.</w:t>
      </w:r>
    </w:p>
    <w:p w14:paraId="050C2C64" w14:textId="77777777" w:rsidR="007730EF" w:rsidRPr="00AE2B4F" w:rsidRDefault="007730EF" w:rsidP="007730EF">
      <w:pPr>
        <w:spacing w:after="120"/>
        <w:rPr>
          <w:rFonts w:cs="Arial"/>
          <w:u w:val="single"/>
        </w:rPr>
      </w:pPr>
      <w:r w:rsidRPr="00AE2B4F">
        <w:rPr>
          <w:rFonts w:cs="Arial"/>
          <w:u w:val="single"/>
        </w:rPr>
        <w:t>Section 20 – Electric Toy Standard</w:t>
      </w:r>
      <w:r>
        <w:rPr>
          <w:rFonts w:cs="Arial"/>
          <w:u w:val="single"/>
        </w:rPr>
        <w:t xml:space="preserve"> –</w:t>
      </w:r>
      <w:r w:rsidRPr="00AE2B4F">
        <w:rPr>
          <w:rFonts w:cs="Arial"/>
          <w:u w:val="single"/>
        </w:rPr>
        <w:t xml:space="preserve"> general modifications</w:t>
      </w:r>
    </w:p>
    <w:p w14:paraId="3F0FA86F" w14:textId="77777777" w:rsidR="007730EF" w:rsidRDefault="007730EF" w:rsidP="007730EF">
      <w:pPr>
        <w:spacing w:after="120"/>
        <w:rPr>
          <w:rFonts w:cs="Arial"/>
        </w:rPr>
      </w:pPr>
      <w:r>
        <w:rPr>
          <w:rFonts w:cs="Arial"/>
        </w:rPr>
        <w:t xml:space="preserve">This section modifies the requirements in the Electric Toy Standard set out in section 19 of this instrument. The policy intent is to require that the battery compartment (if any) in a relevant children’s toys cannot be </w:t>
      </w:r>
      <w:proofErr w:type="gramStart"/>
      <w:r>
        <w:rPr>
          <w:rFonts w:cs="Arial"/>
        </w:rPr>
        <w:t>opened</w:t>
      </w:r>
      <w:proofErr w:type="gramEnd"/>
      <w:r>
        <w:rPr>
          <w:rFonts w:cs="Arial"/>
        </w:rPr>
        <w:t xml:space="preserve"> and the batteries removed without the use of a tool. This provides a critical level of safety for children up to and including 36 months of age.</w:t>
      </w:r>
    </w:p>
    <w:p w14:paraId="56BD7554" w14:textId="59F69EE1" w:rsidR="007730EF" w:rsidRPr="00253610" w:rsidRDefault="007730EF" w:rsidP="007730EF">
      <w:pPr>
        <w:spacing w:after="120"/>
        <w:rPr>
          <w:rFonts w:cs="Arial"/>
        </w:rPr>
      </w:pPr>
      <w:r w:rsidRPr="00AE2B4F">
        <w:rPr>
          <w:rFonts w:cs="Arial"/>
          <w:b/>
          <w:bCs/>
        </w:rPr>
        <w:t>SCHEDULE 1 – REPEALS</w:t>
      </w:r>
    </w:p>
    <w:p w14:paraId="3D4AEA89" w14:textId="77777777" w:rsidR="007730EF" w:rsidRPr="00634DA6" w:rsidRDefault="007730EF" w:rsidP="007730EF">
      <w:pPr>
        <w:spacing w:after="120"/>
        <w:rPr>
          <w:rFonts w:cs="Arial"/>
          <w:u w:val="single"/>
        </w:rPr>
      </w:pPr>
      <w:r w:rsidRPr="00634DA6">
        <w:rPr>
          <w:rFonts w:cs="Arial"/>
          <w:u w:val="single"/>
        </w:rPr>
        <w:t>Section 1 – The whole of the instrument</w:t>
      </w:r>
    </w:p>
    <w:p w14:paraId="1B138814" w14:textId="43FE9506" w:rsidR="007730EF" w:rsidRPr="0031151B" w:rsidRDefault="007730EF" w:rsidP="007730EF">
      <w:pPr>
        <w:spacing w:after="120"/>
        <w:rPr>
          <w:rFonts w:cs="Arial"/>
        </w:rPr>
      </w:pPr>
      <w:r>
        <w:rPr>
          <w:rFonts w:cs="Arial"/>
        </w:rPr>
        <w:t xml:space="preserve">This section provides that the whole of the </w:t>
      </w:r>
      <w:r w:rsidRPr="00326763">
        <w:rPr>
          <w:rFonts w:cs="Arial"/>
          <w:i/>
          <w:iCs/>
        </w:rPr>
        <w:t>Consumer Product Safety Standard: Toys for children up to and including 36 months of age (Consumer Protection Notice No. 14 of 2003) (Federal Register of Legislation No</w:t>
      </w:r>
      <w:r>
        <w:rPr>
          <w:rFonts w:cs="Arial"/>
          <w:i/>
          <w:iCs/>
        </w:rPr>
        <w:t xml:space="preserve">. </w:t>
      </w:r>
      <w:r w:rsidRPr="00326763">
        <w:rPr>
          <w:rFonts w:cs="Arial"/>
          <w:i/>
          <w:iCs/>
        </w:rPr>
        <w:t>F2008C00607</w:t>
      </w:r>
      <w:r>
        <w:rPr>
          <w:rFonts w:cs="Arial"/>
        </w:rPr>
        <w:t>) is repealed.</w:t>
      </w:r>
    </w:p>
    <w:sectPr w:rsidR="007730EF" w:rsidRPr="0031151B" w:rsidSect="00B62438">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CF0D7" w14:textId="77777777" w:rsidR="00E845D3" w:rsidRDefault="00E845D3" w:rsidP="004B4412">
      <w:pPr>
        <w:spacing w:before="0"/>
      </w:pPr>
      <w:r>
        <w:separator/>
      </w:r>
    </w:p>
  </w:endnote>
  <w:endnote w:type="continuationSeparator" w:id="0">
    <w:p w14:paraId="198FA0F2" w14:textId="77777777" w:rsidR="00E845D3" w:rsidRDefault="00E845D3"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BF16" w14:textId="77777777" w:rsidR="00CC5AE6" w:rsidRDefault="00CC5A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167610"/>
      <w:docPartObj>
        <w:docPartGallery w:val="Page Numbers (Bottom of Page)"/>
        <w:docPartUnique/>
      </w:docPartObj>
    </w:sdtPr>
    <w:sdtEndPr>
      <w:rPr>
        <w:noProof/>
      </w:rPr>
    </w:sdtEndPr>
    <w:sdtContent>
      <w:p w14:paraId="2B816503" w14:textId="6E6E9F11" w:rsidR="009A63A8" w:rsidRDefault="009A63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B314F5" w14:textId="77777777" w:rsidR="009A63A8" w:rsidRDefault="009A63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03398" w14:textId="77777777" w:rsidR="00691616" w:rsidRDefault="00691616">
    <w:pPr>
      <w:pStyle w:val="Footer"/>
    </w:pPr>
  </w:p>
  <w:p w14:paraId="4BD8157A" w14:textId="77777777" w:rsidR="00691616" w:rsidRDefault="0069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205C1" w14:textId="77777777" w:rsidR="00E845D3" w:rsidRDefault="00E845D3" w:rsidP="004B4412">
      <w:pPr>
        <w:spacing w:before="0"/>
      </w:pPr>
      <w:r>
        <w:separator/>
      </w:r>
    </w:p>
  </w:footnote>
  <w:footnote w:type="continuationSeparator" w:id="0">
    <w:p w14:paraId="04614412" w14:textId="77777777" w:rsidR="00E845D3" w:rsidRDefault="00E845D3" w:rsidP="004B441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B3726" w14:textId="77777777" w:rsidR="00CC5AE6" w:rsidRDefault="00CC5A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37BE3" w14:textId="77777777" w:rsidR="00CC5AE6" w:rsidRDefault="00CC5A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656C" w14:textId="77777777" w:rsidR="00CC5AE6" w:rsidRDefault="00CC5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3186CEF"/>
    <w:multiLevelType w:val="hybridMultilevel"/>
    <w:tmpl w:val="9DF086C0"/>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10" w15:restartNumberingAfterBreak="0">
    <w:nsid w:val="034349F0"/>
    <w:multiLevelType w:val="hybridMultilevel"/>
    <w:tmpl w:val="98300C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6226DCA"/>
    <w:multiLevelType w:val="hybridMultilevel"/>
    <w:tmpl w:val="6B7A9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5277F3"/>
    <w:multiLevelType w:val="hybridMultilevel"/>
    <w:tmpl w:val="CB3C4AA6"/>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13" w15:restartNumberingAfterBreak="0">
    <w:nsid w:val="0CF54603"/>
    <w:multiLevelType w:val="hybridMultilevel"/>
    <w:tmpl w:val="7D5E1F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7"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8" w15:restartNumberingAfterBreak="0">
    <w:nsid w:val="23BD4D42"/>
    <w:multiLevelType w:val="hybridMultilevel"/>
    <w:tmpl w:val="626C4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4E524B"/>
    <w:multiLevelType w:val="hybridMultilevel"/>
    <w:tmpl w:val="ACF83E42"/>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0" w15:restartNumberingAfterBreak="0">
    <w:nsid w:val="334061FA"/>
    <w:multiLevelType w:val="hybridMultilevel"/>
    <w:tmpl w:val="153629BA"/>
    <w:lvl w:ilvl="0" w:tplc="35208DEC">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37A7C5A"/>
    <w:multiLevelType w:val="hybridMultilevel"/>
    <w:tmpl w:val="96280602"/>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22"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3" w15:restartNumberingAfterBreak="0">
    <w:nsid w:val="3618034F"/>
    <w:multiLevelType w:val="hybridMultilevel"/>
    <w:tmpl w:val="3B186E2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64404BD"/>
    <w:multiLevelType w:val="hybridMultilevel"/>
    <w:tmpl w:val="00C84FE4"/>
    <w:lvl w:ilvl="0" w:tplc="8C5C48C6">
      <w:start w:val="1"/>
      <w:numFmt w:val="bullet"/>
      <w:lvlText w:val=""/>
      <w:lvlJc w:val="left"/>
      <w:pPr>
        <w:ind w:left="70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5"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6" w15:restartNumberingAfterBreak="0">
    <w:nsid w:val="36BC7E4E"/>
    <w:multiLevelType w:val="hybridMultilevel"/>
    <w:tmpl w:val="728289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9" w15:restartNumberingAfterBreak="0">
    <w:nsid w:val="468A5C55"/>
    <w:multiLevelType w:val="hybridMultilevel"/>
    <w:tmpl w:val="FBF69B80"/>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30"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2" w15:restartNumberingAfterBreak="0">
    <w:nsid w:val="5B4532EB"/>
    <w:multiLevelType w:val="hybridMultilevel"/>
    <w:tmpl w:val="B79EC8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03A57FC"/>
    <w:multiLevelType w:val="hybridMultilevel"/>
    <w:tmpl w:val="71AC6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7" w15:restartNumberingAfterBreak="0">
    <w:nsid w:val="69F812D1"/>
    <w:multiLevelType w:val="hybridMultilevel"/>
    <w:tmpl w:val="0B8081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B7F38EA"/>
    <w:multiLevelType w:val="hybridMultilevel"/>
    <w:tmpl w:val="52B66BDC"/>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39" w15:restartNumberingAfterBreak="0">
    <w:nsid w:val="6C6360A7"/>
    <w:multiLevelType w:val="hybridMultilevel"/>
    <w:tmpl w:val="89B2DA74"/>
    <w:lvl w:ilvl="0" w:tplc="9D10FD5C">
      <w:start w:val="1"/>
      <w:numFmt w:val="decimal"/>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0B63D2E"/>
    <w:multiLevelType w:val="hybridMultilevel"/>
    <w:tmpl w:val="F0DA5B58"/>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1"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42"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43"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44"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45"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12823917">
    <w:abstractNumId w:val="15"/>
  </w:num>
  <w:num w:numId="2" w16cid:durableId="180164017">
    <w:abstractNumId w:val="45"/>
  </w:num>
  <w:num w:numId="3" w16cid:durableId="1135877818">
    <w:abstractNumId w:val="7"/>
  </w:num>
  <w:num w:numId="4" w16cid:durableId="1660844815">
    <w:abstractNumId w:val="6"/>
  </w:num>
  <w:num w:numId="5" w16cid:durableId="229972886">
    <w:abstractNumId w:val="5"/>
  </w:num>
  <w:num w:numId="6" w16cid:durableId="1290235392">
    <w:abstractNumId w:val="4"/>
  </w:num>
  <w:num w:numId="7" w16cid:durableId="544177606">
    <w:abstractNumId w:val="1"/>
  </w:num>
  <w:num w:numId="8" w16cid:durableId="174922090">
    <w:abstractNumId w:val="0"/>
  </w:num>
  <w:num w:numId="9" w16cid:durableId="1484160487">
    <w:abstractNumId w:val="36"/>
  </w:num>
  <w:num w:numId="10" w16cid:durableId="1975795023">
    <w:abstractNumId w:val="27"/>
  </w:num>
  <w:num w:numId="11" w16cid:durableId="20473388">
    <w:abstractNumId w:val="14"/>
  </w:num>
  <w:num w:numId="12" w16cid:durableId="227033641">
    <w:abstractNumId w:val="17"/>
  </w:num>
  <w:num w:numId="13" w16cid:durableId="1996640791">
    <w:abstractNumId w:val="25"/>
  </w:num>
  <w:num w:numId="14" w16cid:durableId="32122643">
    <w:abstractNumId w:val="2"/>
  </w:num>
  <w:num w:numId="15" w16cid:durableId="762603448">
    <w:abstractNumId w:val="41"/>
  </w:num>
  <w:num w:numId="16" w16cid:durableId="1248230150">
    <w:abstractNumId w:val="44"/>
  </w:num>
  <w:num w:numId="17" w16cid:durableId="485708374">
    <w:abstractNumId w:val="43"/>
  </w:num>
  <w:num w:numId="18" w16cid:durableId="107430088">
    <w:abstractNumId w:val="31"/>
  </w:num>
  <w:num w:numId="19" w16cid:durableId="1635521074">
    <w:abstractNumId w:val="22"/>
  </w:num>
  <w:num w:numId="20" w16cid:durableId="686563066">
    <w:abstractNumId w:val="28"/>
  </w:num>
  <w:num w:numId="21" w16cid:durableId="159976717">
    <w:abstractNumId w:val="42"/>
  </w:num>
  <w:num w:numId="22" w16cid:durableId="156387269">
    <w:abstractNumId w:val="34"/>
  </w:num>
  <w:num w:numId="23" w16cid:durableId="1534730718">
    <w:abstractNumId w:val="8"/>
  </w:num>
  <w:num w:numId="24" w16cid:durableId="1771461275">
    <w:abstractNumId w:val="3"/>
  </w:num>
  <w:num w:numId="25" w16cid:durableId="1053116035">
    <w:abstractNumId w:val="30"/>
  </w:num>
  <w:num w:numId="26" w16cid:durableId="2121341469">
    <w:abstractNumId w:val="16"/>
  </w:num>
  <w:num w:numId="27" w16cid:durableId="831412321">
    <w:abstractNumId w:val="35"/>
  </w:num>
  <w:num w:numId="28" w16cid:durableId="2069104049">
    <w:abstractNumId w:val="37"/>
  </w:num>
  <w:num w:numId="29" w16cid:durableId="1635942302">
    <w:abstractNumId w:val="12"/>
  </w:num>
  <w:num w:numId="30" w16cid:durableId="2077051414">
    <w:abstractNumId w:val="29"/>
  </w:num>
  <w:num w:numId="31" w16cid:durableId="1552224669">
    <w:abstractNumId w:val="21"/>
  </w:num>
  <w:num w:numId="32" w16cid:durableId="776870348">
    <w:abstractNumId w:val="38"/>
  </w:num>
  <w:num w:numId="33" w16cid:durableId="1634864419">
    <w:abstractNumId w:val="19"/>
  </w:num>
  <w:num w:numId="34" w16cid:durableId="104522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67393553">
    <w:abstractNumId w:val="24"/>
  </w:num>
  <w:num w:numId="36" w16cid:durableId="1448692673">
    <w:abstractNumId w:val="18"/>
  </w:num>
  <w:num w:numId="37" w16cid:durableId="175952434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793369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58321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04017249">
    <w:abstractNumId w:val="10"/>
  </w:num>
  <w:num w:numId="41" w16cid:durableId="1036084591">
    <w:abstractNumId w:val="20"/>
  </w:num>
  <w:num w:numId="42" w16cid:durableId="1919171480">
    <w:abstractNumId w:val="40"/>
  </w:num>
  <w:num w:numId="43" w16cid:durableId="1845045749">
    <w:abstractNumId w:val="33"/>
  </w:num>
  <w:num w:numId="44" w16cid:durableId="1586263097">
    <w:abstractNumId w:val="11"/>
  </w:num>
  <w:num w:numId="45" w16cid:durableId="1032458697">
    <w:abstractNumId w:val="39"/>
  </w:num>
  <w:num w:numId="46" w16cid:durableId="177547196">
    <w:abstractNumId w:val="32"/>
  </w:num>
  <w:num w:numId="47" w16cid:durableId="288249765">
    <w:abstractNumId w:val="26"/>
  </w:num>
  <w:num w:numId="48" w16cid:durableId="386221710">
    <w:abstractNumId w:val="9"/>
  </w:num>
  <w:num w:numId="49" w16cid:durableId="1847552167">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efaultTabStop w:val="3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rrentname" w:val="\\homesharecl\HomeDrives\dsmit\Desktop\Normal.dotm"/>
  </w:docVars>
  <w:rsids>
    <w:rsidRoot w:val="00DA148C"/>
    <w:rsid w:val="00001989"/>
    <w:rsid w:val="000021C8"/>
    <w:rsid w:val="00007A41"/>
    <w:rsid w:val="0002115F"/>
    <w:rsid w:val="00021202"/>
    <w:rsid w:val="000221BF"/>
    <w:rsid w:val="000225C4"/>
    <w:rsid w:val="0002508C"/>
    <w:rsid w:val="00033D6D"/>
    <w:rsid w:val="0003578C"/>
    <w:rsid w:val="000377B9"/>
    <w:rsid w:val="00042717"/>
    <w:rsid w:val="000506EF"/>
    <w:rsid w:val="00051B77"/>
    <w:rsid w:val="00061758"/>
    <w:rsid w:val="00063247"/>
    <w:rsid w:val="00070F9F"/>
    <w:rsid w:val="0007137B"/>
    <w:rsid w:val="0007203D"/>
    <w:rsid w:val="00074EFC"/>
    <w:rsid w:val="00077890"/>
    <w:rsid w:val="00083835"/>
    <w:rsid w:val="00085663"/>
    <w:rsid w:val="00085EBF"/>
    <w:rsid w:val="00091EE4"/>
    <w:rsid w:val="00094D74"/>
    <w:rsid w:val="000A796B"/>
    <w:rsid w:val="000B346B"/>
    <w:rsid w:val="000B4D75"/>
    <w:rsid w:val="000C08EB"/>
    <w:rsid w:val="000D11E3"/>
    <w:rsid w:val="000D122C"/>
    <w:rsid w:val="000D4078"/>
    <w:rsid w:val="000E0C42"/>
    <w:rsid w:val="000E1819"/>
    <w:rsid w:val="000E4720"/>
    <w:rsid w:val="000E6C72"/>
    <w:rsid w:val="000F2368"/>
    <w:rsid w:val="000F35FC"/>
    <w:rsid w:val="000F4EDF"/>
    <w:rsid w:val="00103071"/>
    <w:rsid w:val="00106136"/>
    <w:rsid w:val="00106A13"/>
    <w:rsid w:val="00110689"/>
    <w:rsid w:val="00114583"/>
    <w:rsid w:val="00115372"/>
    <w:rsid w:val="00116750"/>
    <w:rsid w:val="00116EB2"/>
    <w:rsid w:val="001228B8"/>
    <w:rsid w:val="00124609"/>
    <w:rsid w:val="001257EE"/>
    <w:rsid w:val="00133A5F"/>
    <w:rsid w:val="00137226"/>
    <w:rsid w:val="00140DA7"/>
    <w:rsid w:val="00141744"/>
    <w:rsid w:val="00142881"/>
    <w:rsid w:val="0014311D"/>
    <w:rsid w:val="00155F85"/>
    <w:rsid w:val="001566F9"/>
    <w:rsid w:val="001573E4"/>
    <w:rsid w:val="00160003"/>
    <w:rsid w:val="00160756"/>
    <w:rsid w:val="00160BB6"/>
    <w:rsid w:val="001642B2"/>
    <w:rsid w:val="001647ED"/>
    <w:rsid w:val="001649FA"/>
    <w:rsid w:val="0017232E"/>
    <w:rsid w:val="00174102"/>
    <w:rsid w:val="00180157"/>
    <w:rsid w:val="00181223"/>
    <w:rsid w:val="0018143E"/>
    <w:rsid w:val="00186F77"/>
    <w:rsid w:val="001926A4"/>
    <w:rsid w:val="00194D66"/>
    <w:rsid w:val="00195E0C"/>
    <w:rsid w:val="00196A1E"/>
    <w:rsid w:val="001A1F54"/>
    <w:rsid w:val="001A2164"/>
    <w:rsid w:val="001A3A19"/>
    <w:rsid w:val="001B06BA"/>
    <w:rsid w:val="001B246B"/>
    <w:rsid w:val="001B45A0"/>
    <w:rsid w:val="001B756D"/>
    <w:rsid w:val="001B7DC7"/>
    <w:rsid w:val="001B7FEA"/>
    <w:rsid w:val="001C18EE"/>
    <w:rsid w:val="001C1F34"/>
    <w:rsid w:val="001C1F72"/>
    <w:rsid w:val="001C21E0"/>
    <w:rsid w:val="001C35A7"/>
    <w:rsid w:val="001C51B3"/>
    <w:rsid w:val="001D055E"/>
    <w:rsid w:val="001D1A23"/>
    <w:rsid w:val="001F492E"/>
    <w:rsid w:val="001F5735"/>
    <w:rsid w:val="001F5D1C"/>
    <w:rsid w:val="001F5D33"/>
    <w:rsid w:val="001F61C9"/>
    <w:rsid w:val="001F66AD"/>
    <w:rsid w:val="001F6DA3"/>
    <w:rsid w:val="00202A83"/>
    <w:rsid w:val="00203709"/>
    <w:rsid w:val="00203F1A"/>
    <w:rsid w:val="00207D37"/>
    <w:rsid w:val="00210C51"/>
    <w:rsid w:val="00212737"/>
    <w:rsid w:val="00213C91"/>
    <w:rsid w:val="00213FF3"/>
    <w:rsid w:val="002161E5"/>
    <w:rsid w:val="00216837"/>
    <w:rsid w:val="00220D70"/>
    <w:rsid w:val="00221B46"/>
    <w:rsid w:val="002235CF"/>
    <w:rsid w:val="002239D7"/>
    <w:rsid w:val="00223A13"/>
    <w:rsid w:val="00224DB9"/>
    <w:rsid w:val="00232CB6"/>
    <w:rsid w:val="00232D8C"/>
    <w:rsid w:val="00233BC3"/>
    <w:rsid w:val="002342D2"/>
    <w:rsid w:val="0023480C"/>
    <w:rsid w:val="00247D4B"/>
    <w:rsid w:val="00247ECF"/>
    <w:rsid w:val="0025163C"/>
    <w:rsid w:val="00251745"/>
    <w:rsid w:val="00253610"/>
    <w:rsid w:val="00256600"/>
    <w:rsid w:val="00260EDE"/>
    <w:rsid w:val="0026168F"/>
    <w:rsid w:val="00263AC0"/>
    <w:rsid w:val="0026772D"/>
    <w:rsid w:val="00272202"/>
    <w:rsid w:val="0028575F"/>
    <w:rsid w:val="00286874"/>
    <w:rsid w:val="002877BE"/>
    <w:rsid w:val="00296B65"/>
    <w:rsid w:val="00297DC9"/>
    <w:rsid w:val="002A7DEF"/>
    <w:rsid w:val="002B1BE0"/>
    <w:rsid w:val="002B2546"/>
    <w:rsid w:val="002B32B8"/>
    <w:rsid w:val="002B584C"/>
    <w:rsid w:val="002C1626"/>
    <w:rsid w:val="002C23F4"/>
    <w:rsid w:val="002C3147"/>
    <w:rsid w:val="002D3EE8"/>
    <w:rsid w:val="002D6B56"/>
    <w:rsid w:val="002E1729"/>
    <w:rsid w:val="002E2F99"/>
    <w:rsid w:val="002E4614"/>
    <w:rsid w:val="002F616D"/>
    <w:rsid w:val="002F789B"/>
    <w:rsid w:val="002F7986"/>
    <w:rsid w:val="00303C4A"/>
    <w:rsid w:val="00307F6D"/>
    <w:rsid w:val="0031151B"/>
    <w:rsid w:val="00315D4A"/>
    <w:rsid w:val="00316C41"/>
    <w:rsid w:val="003177A2"/>
    <w:rsid w:val="00320B09"/>
    <w:rsid w:val="00324AC2"/>
    <w:rsid w:val="00326763"/>
    <w:rsid w:val="003271B5"/>
    <w:rsid w:val="003301BA"/>
    <w:rsid w:val="00330CA0"/>
    <w:rsid w:val="00331264"/>
    <w:rsid w:val="00334C8D"/>
    <w:rsid w:val="003353BD"/>
    <w:rsid w:val="00340655"/>
    <w:rsid w:val="00344E7C"/>
    <w:rsid w:val="0034542A"/>
    <w:rsid w:val="003459E6"/>
    <w:rsid w:val="003518B3"/>
    <w:rsid w:val="003545D4"/>
    <w:rsid w:val="00355B7F"/>
    <w:rsid w:val="00355F47"/>
    <w:rsid w:val="003617F8"/>
    <w:rsid w:val="00361D47"/>
    <w:rsid w:val="00371641"/>
    <w:rsid w:val="00371C8E"/>
    <w:rsid w:val="00372ADC"/>
    <w:rsid w:val="00374B8D"/>
    <w:rsid w:val="00375662"/>
    <w:rsid w:val="00376D1D"/>
    <w:rsid w:val="003803FF"/>
    <w:rsid w:val="003846F1"/>
    <w:rsid w:val="00384F96"/>
    <w:rsid w:val="00386D03"/>
    <w:rsid w:val="00391C4A"/>
    <w:rsid w:val="00394ACD"/>
    <w:rsid w:val="003966C6"/>
    <w:rsid w:val="003967F3"/>
    <w:rsid w:val="003A09B1"/>
    <w:rsid w:val="003A0C80"/>
    <w:rsid w:val="003A5DAE"/>
    <w:rsid w:val="003A673F"/>
    <w:rsid w:val="003B5A70"/>
    <w:rsid w:val="003C1383"/>
    <w:rsid w:val="003C4D60"/>
    <w:rsid w:val="003C5A42"/>
    <w:rsid w:val="003C74D7"/>
    <w:rsid w:val="003C78A0"/>
    <w:rsid w:val="003D11D8"/>
    <w:rsid w:val="003D1388"/>
    <w:rsid w:val="003E3AD6"/>
    <w:rsid w:val="003E5285"/>
    <w:rsid w:val="003E6250"/>
    <w:rsid w:val="003F4DEC"/>
    <w:rsid w:val="00407B36"/>
    <w:rsid w:val="00411413"/>
    <w:rsid w:val="00414C04"/>
    <w:rsid w:val="0041638D"/>
    <w:rsid w:val="00420AC0"/>
    <w:rsid w:val="00425D9C"/>
    <w:rsid w:val="00427EF0"/>
    <w:rsid w:val="004352EC"/>
    <w:rsid w:val="004410A9"/>
    <w:rsid w:val="00443DC6"/>
    <w:rsid w:val="004525BF"/>
    <w:rsid w:val="00452D4F"/>
    <w:rsid w:val="00453128"/>
    <w:rsid w:val="00454B6A"/>
    <w:rsid w:val="00454DFE"/>
    <w:rsid w:val="0045749E"/>
    <w:rsid w:val="00460B57"/>
    <w:rsid w:val="0046152A"/>
    <w:rsid w:val="00462234"/>
    <w:rsid w:val="00462462"/>
    <w:rsid w:val="00465345"/>
    <w:rsid w:val="00465AA8"/>
    <w:rsid w:val="0047414C"/>
    <w:rsid w:val="00475DDE"/>
    <w:rsid w:val="004778C5"/>
    <w:rsid w:val="00477B16"/>
    <w:rsid w:val="00480B4B"/>
    <w:rsid w:val="00482440"/>
    <w:rsid w:val="0048551A"/>
    <w:rsid w:val="00485AF8"/>
    <w:rsid w:val="00485DC4"/>
    <w:rsid w:val="00494E26"/>
    <w:rsid w:val="0049567E"/>
    <w:rsid w:val="004A4DC3"/>
    <w:rsid w:val="004A78AA"/>
    <w:rsid w:val="004B1C62"/>
    <w:rsid w:val="004B4412"/>
    <w:rsid w:val="004C348C"/>
    <w:rsid w:val="004C4734"/>
    <w:rsid w:val="004D1733"/>
    <w:rsid w:val="004D188C"/>
    <w:rsid w:val="004D55BA"/>
    <w:rsid w:val="004D7F8D"/>
    <w:rsid w:val="004E28B9"/>
    <w:rsid w:val="004E3BF4"/>
    <w:rsid w:val="004E7758"/>
    <w:rsid w:val="004F0B6F"/>
    <w:rsid w:val="004F3640"/>
    <w:rsid w:val="004F5B9A"/>
    <w:rsid w:val="005038DB"/>
    <w:rsid w:val="0050673F"/>
    <w:rsid w:val="00514EE0"/>
    <w:rsid w:val="0051660B"/>
    <w:rsid w:val="00522278"/>
    <w:rsid w:val="0052379B"/>
    <w:rsid w:val="00524F3C"/>
    <w:rsid w:val="005253E5"/>
    <w:rsid w:val="00525E66"/>
    <w:rsid w:val="00530128"/>
    <w:rsid w:val="005315C1"/>
    <w:rsid w:val="00531FEE"/>
    <w:rsid w:val="00532467"/>
    <w:rsid w:val="00532D96"/>
    <w:rsid w:val="00536301"/>
    <w:rsid w:val="00540BA1"/>
    <w:rsid w:val="0054488A"/>
    <w:rsid w:val="00547BA2"/>
    <w:rsid w:val="00547CCF"/>
    <w:rsid w:val="0055023B"/>
    <w:rsid w:val="00550AD5"/>
    <w:rsid w:val="00564A4D"/>
    <w:rsid w:val="00571B35"/>
    <w:rsid w:val="00571C9F"/>
    <w:rsid w:val="00577A09"/>
    <w:rsid w:val="00580B78"/>
    <w:rsid w:val="00582987"/>
    <w:rsid w:val="00582BFB"/>
    <w:rsid w:val="00584D8F"/>
    <w:rsid w:val="0058507A"/>
    <w:rsid w:val="00587B33"/>
    <w:rsid w:val="00587D2A"/>
    <w:rsid w:val="00596D42"/>
    <w:rsid w:val="005A1C93"/>
    <w:rsid w:val="005A26FF"/>
    <w:rsid w:val="005A404D"/>
    <w:rsid w:val="005A7012"/>
    <w:rsid w:val="005B1A37"/>
    <w:rsid w:val="005B1E3C"/>
    <w:rsid w:val="005B3330"/>
    <w:rsid w:val="005B5858"/>
    <w:rsid w:val="005C18BE"/>
    <w:rsid w:val="005C24AC"/>
    <w:rsid w:val="005C26CC"/>
    <w:rsid w:val="005C4F9B"/>
    <w:rsid w:val="005C6067"/>
    <w:rsid w:val="005D51D2"/>
    <w:rsid w:val="005D752B"/>
    <w:rsid w:val="005E13D4"/>
    <w:rsid w:val="005E3FCE"/>
    <w:rsid w:val="005E626D"/>
    <w:rsid w:val="005E6C0E"/>
    <w:rsid w:val="005E7A7B"/>
    <w:rsid w:val="005F138D"/>
    <w:rsid w:val="006047E9"/>
    <w:rsid w:val="00615C6B"/>
    <w:rsid w:val="00623F22"/>
    <w:rsid w:val="00624313"/>
    <w:rsid w:val="006267C6"/>
    <w:rsid w:val="0063102A"/>
    <w:rsid w:val="00632D6D"/>
    <w:rsid w:val="00642C3E"/>
    <w:rsid w:val="00643076"/>
    <w:rsid w:val="00644ABA"/>
    <w:rsid w:val="00646025"/>
    <w:rsid w:val="0064761B"/>
    <w:rsid w:val="00663DAD"/>
    <w:rsid w:val="006734AE"/>
    <w:rsid w:val="00676679"/>
    <w:rsid w:val="006806D3"/>
    <w:rsid w:val="0068122B"/>
    <w:rsid w:val="00686841"/>
    <w:rsid w:val="00691616"/>
    <w:rsid w:val="006940DD"/>
    <w:rsid w:val="0069423A"/>
    <w:rsid w:val="00695125"/>
    <w:rsid w:val="00695C73"/>
    <w:rsid w:val="00696274"/>
    <w:rsid w:val="006A5806"/>
    <w:rsid w:val="006A6C24"/>
    <w:rsid w:val="006B1DB6"/>
    <w:rsid w:val="006B44E8"/>
    <w:rsid w:val="006B4CF9"/>
    <w:rsid w:val="006B7AC8"/>
    <w:rsid w:val="006C1BC3"/>
    <w:rsid w:val="006C5F6C"/>
    <w:rsid w:val="006D31C1"/>
    <w:rsid w:val="006D5403"/>
    <w:rsid w:val="006D550F"/>
    <w:rsid w:val="006D77F3"/>
    <w:rsid w:val="006E167F"/>
    <w:rsid w:val="006E2166"/>
    <w:rsid w:val="006E33EF"/>
    <w:rsid w:val="006E3C3B"/>
    <w:rsid w:val="006E6785"/>
    <w:rsid w:val="006F2B83"/>
    <w:rsid w:val="006F692A"/>
    <w:rsid w:val="00701CAB"/>
    <w:rsid w:val="00703210"/>
    <w:rsid w:val="00707563"/>
    <w:rsid w:val="00712679"/>
    <w:rsid w:val="00715D93"/>
    <w:rsid w:val="0071745C"/>
    <w:rsid w:val="00720834"/>
    <w:rsid w:val="0072348C"/>
    <w:rsid w:val="00724A37"/>
    <w:rsid w:val="00727400"/>
    <w:rsid w:val="007303C3"/>
    <w:rsid w:val="0074135D"/>
    <w:rsid w:val="00743223"/>
    <w:rsid w:val="00746E01"/>
    <w:rsid w:val="00751250"/>
    <w:rsid w:val="007516D6"/>
    <w:rsid w:val="007552D2"/>
    <w:rsid w:val="00763E5D"/>
    <w:rsid w:val="00767740"/>
    <w:rsid w:val="00772909"/>
    <w:rsid w:val="007730EF"/>
    <w:rsid w:val="00775671"/>
    <w:rsid w:val="00777EE6"/>
    <w:rsid w:val="00781882"/>
    <w:rsid w:val="00782EEA"/>
    <w:rsid w:val="007A6E87"/>
    <w:rsid w:val="007B2C72"/>
    <w:rsid w:val="007B536A"/>
    <w:rsid w:val="007C1C53"/>
    <w:rsid w:val="007C3F95"/>
    <w:rsid w:val="007D1AC0"/>
    <w:rsid w:val="007D1D9C"/>
    <w:rsid w:val="007D3A86"/>
    <w:rsid w:val="007D71A3"/>
    <w:rsid w:val="007E26A9"/>
    <w:rsid w:val="007E3708"/>
    <w:rsid w:val="007E37DC"/>
    <w:rsid w:val="007E40D3"/>
    <w:rsid w:val="007E4904"/>
    <w:rsid w:val="007E4CB5"/>
    <w:rsid w:val="007E4DBC"/>
    <w:rsid w:val="007F066B"/>
    <w:rsid w:val="007F2258"/>
    <w:rsid w:val="007F22F5"/>
    <w:rsid w:val="008033C4"/>
    <w:rsid w:val="00806C88"/>
    <w:rsid w:val="0081034E"/>
    <w:rsid w:val="00813F58"/>
    <w:rsid w:val="00821872"/>
    <w:rsid w:val="008344F6"/>
    <w:rsid w:val="00834F7F"/>
    <w:rsid w:val="0083510F"/>
    <w:rsid w:val="00843F92"/>
    <w:rsid w:val="008456A7"/>
    <w:rsid w:val="00850702"/>
    <w:rsid w:val="00851209"/>
    <w:rsid w:val="00854EB2"/>
    <w:rsid w:val="00865326"/>
    <w:rsid w:val="0088007E"/>
    <w:rsid w:val="00882D76"/>
    <w:rsid w:val="008837AC"/>
    <w:rsid w:val="0088738B"/>
    <w:rsid w:val="008945B4"/>
    <w:rsid w:val="008A587D"/>
    <w:rsid w:val="008B3764"/>
    <w:rsid w:val="008B3C23"/>
    <w:rsid w:val="008C0C88"/>
    <w:rsid w:val="008C0F14"/>
    <w:rsid w:val="008C1882"/>
    <w:rsid w:val="008C5486"/>
    <w:rsid w:val="008C7643"/>
    <w:rsid w:val="008D32C8"/>
    <w:rsid w:val="008E31C1"/>
    <w:rsid w:val="008E6D88"/>
    <w:rsid w:val="008E7031"/>
    <w:rsid w:val="008F0F1A"/>
    <w:rsid w:val="008F2343"/>
    <w:rsid w:val="009021BC"/>
    <w:rsid w:val="009023A4"/>
    <w:rsid w:val="00906CA5"/>
    <w:rsid w:val="0091600C"/>
    <w:rsid w:val="00916A38"/>
    <w:rsid w:val="00921AF1"/>
    <w:rsid w:val="00922C95"/>
    <w:rsid w:val="009233EE"/>
    <w:rsid w:val="00927980"/>
    <w:rsid w:val="00934FA7"/>
    <w:rsid w:val="0093685A"/>
    <w:rsid w:val="00937EDC"/>
    <w:rsid w:val="009535C3"/>
    <w:rsid w:val="00961F6E"/>
    <w:rsid w:val="009661DE"/>
    <w:rsid w:val="009856B7"/>
    <w:rsid w:val="0098602B"/>
    <w:rsid w:val="0099098D"/>
    <w:rsid w:val="00991B05"/>
    <w:rsid w:val="00991B3B"/>
    <w:rsid w:val="00994363"/>
    <w:rsid w:val="009962BA"/>
    <w:rsid w:val="009A1F7F"/>
    <w:rsid w:val="009A2964"/>
    <w:rsid w:val="009A63A8"/>
    <w:rsid w:val="009A6A77"/>
    <w:rsid w:val="009B74B0"/>
    <w:rsid w:val="009D4414"/>
    <w:rsid w:val="009D6B46"/>
    <w:rsid w:val="009D781E"/>
    <w:rsid w:val="009E0B36"/>
    <w:rsid w:val="009F4940"/>
    <w:rsid w:val="009F7004"/>
    <w:rsid w:val="00A0075A"/>
    <w:rsid w:val="00A01487"/>
    <w:rsid w:val="00A0248C"/>
    <w:rsid w:val="00A039CF"/>
    <w:rsid w:val="00A05561"/>
    <w:rsid w:val="00A05FD5"/>
    <w:rsid w:val="00A06E6D"/>
    <w:rsid w:val="00A072C5"/>
    <w:rsid w:val="00A1665B"/>
    <w:rsid w:val="00A20136"/>
    <w:rsid w:val="00A26937"/>
    <w:rsid w:val="00A2735E"/>
    <w:rsid w:val="00A323D9"/>
    <w:rsid w:val="00A4478A"/>
    <w:rsid w:val="00A44852"/>
    <w:rsid w:val="00A57D04"/>
    <w:rsid w:val="00A600A1"/>
    <w:rsid w:val="00A60A26"/>
    <w:rsid w:val="00A61598"/>
    <w:rsid w:val="00A70E26"/>
    <w:rsid w:val="00A74B3E"/>
    <w:rsid w:val="00A7558A"/>
    <w:rsid w:val="00A82143"/>
    <w:rsid w:val="00A84F46"/>
    <w:rsid w:val="00A8641D"/>
    <w:rsid w:val="00A871F4"/>
    <w:rsid w:val="00A90EA3"/>
    <w:rsid w:val="00A914DC"/>
    <w:rsid w:val="00A919C0"/>
    <w:rsid w:val="00A92555"/>
    <w:rsid w:val="00AB1B4C"/>
    <w:rsid w:val="00AB3C90"/>
    <w:rsid w:val="00AC1B2C"/>
    <w:rsid w:val="00AC265D"/>
    <w:rsid w:val="00AC26F0"/>
    <w:rsid w:val="00AC3264"/>
    <w:rsid w:val="00AC3E35"/>
    <w:rsid w:val="00AC608E"/>
    <w:rsid w:val="00AC6F01"/>
    <w:rsid w:val="00AC79F7"/>
    <w:rsid w:val="00AD008C"/>
    <w:rsid w:val="00AD29A0"/>
    <w:rsid w:val="00AD7460"/>
    <w:rsid w:val="00AE0FE2"/>
    <w:rsid w:val="00AE1BF1"/>
    <w:rsid w:val="00AE1EF4"/>
    <w:rsid w:val="00AE2B4F"/>
    <w:rsid w:val="00AE6356"/>
    <w:rsid w:val="00AF046F"/>
    <w:rsid w:val="00AF0DD2"/>
    <w:rsid w:val="00AF3E4A"/>
    <w:rsid w:val="00AF3F58"/>
    <w:rsid w:val="00AF7322"/>
    <w:rsid w:val="00B00B54"/>
    <w:rsid w:val="00B00EAC"/>
    <w:rsid w:val="00B025AD"/>
    <w:rsid w:val="00B052D7"/>
    <w:rsid w:val="00B10314"/>
    <w:rsid w:val="00B12D90"/>
    <w:rsid w:val="00B13048"/>
    <w:rsid w:val="00B15998"/>
    <w:rsid w:val="00B1716D"/>
    <w:rsid w:val="00B17A1D"/>
    <w:rsid w:val="00B200F9"/>
    <w:rsid w:val="00B207A0"/>
    <w:rsid w:val="00B25608"/>
    <w:rsid w:val="00B327D4"/>
    <w:rsid w:val="00B334F2"/>
    <w:rsid w:val="00B34F59"/>
    <w:rsid w:val="00B37D0E"/>
    <w:rsid w:val="00B413C5"/>
    <w:rsid w:val="00B42720"/>
    <w:rsid w:val="00B475AC"/>
    <w:rsid w:val="00B47E97"/>
    <w:rsid w:val="00B51492"/>
    <w:rsid w:val="00B53E8E"/>
    <w:rsid w:val="00B56B1C"/>
    <w:rsid w:val="00B56E03"/>
    <w:rsid w:val="00B60F5D"/>
    <w:rsid w:val="00B62438"/>
    <w:rsid w:val="00B64FB0"/>
    <w:rsid w:val="00B65536"/>
    <w:rsid w:val="00B66D9D"/>
    <w:rsid w:val="00B6716D"/>
    <w:rsid w:val="00B67E91"/>
    <w:rsid w:val="00B71E98"/>
    <w:rsid w:val="00B74531"/>
    <w:rsid w:val="00B74A04"/>
    <w:rsid w:val="00B8080B"/>
    <w:rsid w:val="00B809B4"/>
    <w:rsid w:val="00B87C39"/>
    <w:rsid w:val="00B90C07"/>
    <w:rsid w:val="00B92476"/>
    <w:rsid w:val="00B94CBF"/>
    <w:rsid w:val="00BA4665"/>
    <w:rsid w:val="00BA71D7"/>
    <w:rsid w:val="00BB2FB2"/>
    <w:rsid w:val="00BB3304"/>
    <w:rsid w:val="00BB48F4"/>
    <w:rsid w:val="00BD108D"/>
    <w:rsid w:val="00BD33E0"/>
    <w:rsid w:val="00BD3446"/>
    <w:rsid w:val="00BE0328"/>
    <w:rsid w:val="00BE1F1B"/>
    <w:rsid w:val="00BE47B5"/>
    <w:rsid w:val="00BE4C99"/>
    <w:rsid w:val="00BF15D2"/>
    <w:rsid w:val="00BF4757"/>
    <w:rsid w:val="00BF64B7"/>
    <w:rsid w:val="00C02393"/>
    <w:rsid w:val="00C058AB"/>
    <w:rsid w:val="00C0619A"/>
    <w:rsid w:val="00C0654D"/>
    <w:rsid w:val="00C06739"/>
    <w:rsid w:val="00C07A63"/>
    <w:rsid w:val="00C110FD"/>
    <w:rsid w:val="00C11BE0"/>
    <w:rsid w:val="00C14ADE"/>
    <w:rsid w:val="00C200D6"/>
    <w:rsid w:val="00C2313F"/>
    <w:rsid w:val="00C23C7E"/>
    <w:rsid w:val="00C266A0"/>
    <w:rsid w:val="00C30949"/>
    <w:rsid w:val="00C32389"/>
    <w:rsid w:val="00C325EB"/>
    <w:rsid w:val="00C32A8B"/>
    <w:rsid w:val="00C36472"/>
    <w:rsid w:val="00C45BAF"/>
    <w:rsid w:val="00C4603F"/>
    <w:rsid w:val="00C471F1"/>
    <w:rsid w:val="00C538A9"/>
    <w:rsid w:val="00C53B5A"/>
    <w:rsid w:val="00C54F5A"/>
    <w:rsid w:val="00C54F6F"/>
    <w:rsid w:val="00C57F15"/>
    <w:rsid w:val="00C61F5A"/>
    <w:rsid w:val="00C641F8"/>
    <w:rsid w:val="00C71B13"/>
    <w:rsid w:val="00C755AD"/>
    <w:rsid w:val="00C83338"/>
    <w:rsid w:val="00C84B84"/>
    <w:rsid w:val="00C86264"/>
    <w:rsid w:val="00C86679"/>
    <w:rsid w:val="00C9019A"/>
    <w:rsid w:val="00C91E9D"/>
    <w:rsid w:val="00C92EED"/>
    <w:rsid w:val="00C94E4B"/>
    <w:rsid w:val="00C96484"/>
    <w:rsid w:val="00CB302C"/>
    <w:rsid w:val="00CB666B"/>
    <w:rsid w:val="00CB762F"/>
    <w:rsid w:val="00CC5AE6"/>
    <w:rsid w:val="00CD35EB"/>
    <w:rsid w:val="00CD4063"/>
    <w:rsid w:val="00CE0125"/>
    <w:rsid w:val="00CE6CFB"/>
    <w:rsid w:val="00CF0312"/>
    <w:rsid w:val="00CF25CD"/>
    <w:rsid w:val="00CF3234"/>
    <w:rsid w:val="00CF3FEE"/>
    <w:rsid w:val="00CF799E"/>
    <w:rsid w:val="00D0083B"/>
    <w:rsid w:val="00D01CF0"/>
    <w:rsid w:val="00D02FCD"/>
    <w:rsid w:val="00D0442A"/>
    <w:rsid w:val="00D10727"/>
    <w:rsid w:val="00D17E15"/>
    <w:rsid w:val="00D203E1"/>
    <w:rsid w:val="00D22434"/>
    <w:rsid w:val="00D23723"/>
    <w:rsid w:val="00D2605C"/>
    <w:rsid w:val="00D273C7"/>
    <w:rsid w:val="00D27AB8"/>
    <w:rsid w:val="00D35E39"/>
    <w:rsid w:val="00D370ED"/>
    <w:rsid w:val="00D46E28"/>
    <w:rsid w:val="00D521D5"/>
    <w:rsid w:val="00D544B8"/>
    <w:rsid w:val="00D545D0"/>
    <w:rsid w:val="00D57406"/>
    <w:rsid w:val="00D601B3"/>
    <w:rsid w:val="00D61388"/>
    <w:rsid w:val="00D61A54"/>
    <w:rsid w:val="00D629B1"/>
    <w:rsid w:val="00D63E4C"/>
    <w:rsid w:val="00D6480F"/>
    <w:rsid w:val="00D64DEA"/>
    <w:rsid w:val="00D67A7C"/>
    <w:rsid w:val="00D70433"/>
    <w:rsid w:val="00D70E75"/>
    <w:rsid w:val="00D71858"/>
    <w:rsid w:val="00D73508"/>
    <w:rsid w:val="00D735CD"/>
    <w:rsid w:val="00D746E8"/>
    <w:rsid w:val="00D80893"/>
    <w:rsid w:val="00D82464"/>
    <w:rsid w:val="00D85ABD"/>
    <w:rsid w:val="00D918BB"/>
    <w:rsid w:val="00D9255C"/>
    <w:rsid w:val="00D92CF1"/>
    <w:rsid w:val="00D92D38"/>
    <w:rsid w:val="00D950F5"/>
    <w:rsid w:val="00DA148C"/>
    <w:rsid w:val="00DA40C6"/>
    <w:rsid w:val="00DB0F93"/>
    <w:rsid w:val="00DB44B1"/>
    <w:rsid w:val="00DC3242"/>
    <w:rsid w:val="00DC4F46"/>
    <w:rsid w:val="00DC50E1"/>
    <w:rsid w:val="00DC542F"/>
    <w:rsid w:val="00DC7981"/>
    <w:rsid w:val="00DD0459"/>
    <w:rsid w:val="00DD3717"/>
    <w:rsid w:val="00DD60FC"/>
    <w:rsid w:val="00DE1FCC"/>
    <w:rsid w:val="00DE41AE"/>
    <w:rsid w:val="00DE4CE7"/>
    <w:rsid w:val="00DE4EFA"/>
    <w:rsid w:val="00DE5520"/>
    <w:rsid w:val="00DF29B4"/>
    <w:rsid w:val="00DF59E2"/>
    <w:rsid w:val="00E01B15"/>
    <w:rsid w:val="00E0254E"/>
    <w:rsid w:val="00E04818"/>
    <w:rsid w:val="00E06442"/>
    <w:rsid w:val="00E15E71"/>
    <w:rsid w:val="00E2030C"/>
    <w:rsid w:val="00E23993"/>
    <w:rsid w:val="00E25B8C"/>
    <w:rsid w:val="00E27642"/>
    <w:rsid w:val="00E4467E"/>
    <w:rsid w:val="00E4674F"/>
    <w:rsid w:val="00E4771C"/>
    <w:rsid w:val="00E6515E"/>
    <w:rsid w:val="00E65C85"/>
    <w:rsid w:val="00E66199"/>
    <w:rsid w:val="00E755EC"/>
    <w:rsid w:val="00E7624D"/>
    <w:rsid w:val="00E76847"/>
    <w:rsid w:val="00E83686"/>
    <w:rsid w:val="00E845D3"/>
    <w:rsid w:val="00E869A3"/>
    <w:rsid w:val="00E96001"/>
    <w:rsid w:val="00EA209E"/>
    <w:rsid w:val="00EA3126"/>
    <w:rsid w:val="00EA3697"/>
    <w:rsid w:val="00EA3D42"/>
    <w:rsid w:val="00EA6257"/>
    <w:rsid w:val="00EA6B1B"/>
    <w:rsid w:val="00EB0DAF"/>
    <w:rsid w:val="00EB4209"/>
    <w:rsid w:val="00EB7600"/>
    <w:rsid w:val="00EC1627"/>
    <w:rsid w:val="00EE28F3"/>
    <w:rsid w:val="00EE47A9"/>
    <w:rsid w:val="00EF5110"/>
    <w:rsid w:val="00F007EC"/>
    <w:rsid w:val="00F02A7A"/>
    <w:rsid w:val="00F041DE"/>
    <w:rsid w:val="00F06163"/>
    <w:rsid w:val="00F07137"/>
    <w:rsid w:val="00F119E5"/>
    <w:rsid w:val="00F1375E"/>
    <w:rsid w:val="00F15882"/>
    <w:rsid w:val="00F15BB4"/>
    <w:rsid w:val="00F16C5C"/>
    <w:rsid w:val="00F20BD3"/>
    <w:rsid w:val="00F227E5"/>
    <w:rsid w:val="00F30DE1"/>
    <w:rsid w:val="00F3210C"/>
    <w:rsid w:val="00F3329A"/>
    <w:rsid w:val="00F371B5"/>
    <w:rsid w:val="00F373A5"/>
    <w:rsid w:val="00F40070"/>
    <w:rsid w:val="00F46B34"/>
    <w:rsid w:val="00F47559"/>
    <w:rsid w:val="00F509A6"/>
    <w:rsid w:val="00F528CC"/>
    <w:rsid w:val="00F5292E"/>
    <w:rsid w:val="00F60BE4"/>
    <w:rsid w:val="00F61B84"/>
    <w:rsid w:val="00F64650"/>
    <w:rsid w:val="00F64C7B"/>
    <w:rsid w:val="00F66BA5"/>
    <w:rsid w:val="00F676DD"/>
    <w:rsid w:val="00F707E1"/>
    <w:rsid w:val="00F72916"/>
    <w:rsid w:val="00F73238"/>
    <w:rsid w:val="00F75948"/>
    <w:rsid w:val="00F75A26"/>
    <w:rsid w:val="00F83FAD"/>
    <w:rsid w:val="00F91DC6"/>
    <w:rsid w:val="00F93017"/>
    <w:rsid w:val="00F952A0"/>
    <w:rsid w:val="00FA1DC0"/>
    <w:rsid w:val="00FA3C7F"/>
    <w:rsid w:val="00FA4E09"/>
    <w:rsid w:val="00FA6684"/>
    <w:rsid w:val="00FB1E4B"/>
    <w:rsid w:val="00FB52D7"/>
    <w:rsid w:val="00FB74E2"/>
    <w:rsid w:val="00FC2F15"/>
    <w:rsid w:val="00FC4192"/>
    <w:rsid w:val="00FC5E20"/>
    <w:rsid w:val="00FC78B8"/>
    <w:rsid w:val="00FD00E1"/>
    <w:rsid w:val="00FD5437"/>
    <w:rsid w:val="00FD5614"/>
    <w:rsid w:val="00FE0BE1"/>
    <w:rsid w:val="00FE0C19"/>
    <w:rsid w:val="00FE1DE9"/>
    <w:rsid w:val="00FE39C2"/>
    <w:rsid w:val="00FE64AE"/>
    <w:rsid w:val="00FE67DC"/>
    <w:rsid w:val="00FF23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A6870"/>
  <w15:chartTrackingRefBased/>
  <w15:docId w15:val="{DFB507AF-AE70-42BE-842F-9379AD67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semiHidden="1" w:uiPriority="2"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48C"/>
    <w:rPr>
      <w:rFonts w:ascii="Arial" w:hAnsi="Arial"/>
    </w:rPr>
  </w:style>
  <w:style w:type="paragraph" w:styleId="Heading1">
    <w:name w:val="heading 1"/>
    <w:basedOn w:val="Normal"/>
    <w:next w:val="Normal"/>
    <w:link w:val="Heading1Char"/>
    <w:qFormat/>
    <w:rsid w:val="00E27642"/>
    <w:pPr>
      <w:spacing w:before="240"/>
      <w:outlineLvl w:val="0"/>
    </w:pPr>
    <w:rPr>
      <w:rFonts w:ascii="Palatino Linotype" w:eastAsiaTheme="majorEastAsia" w:hAnsi="Palatino Linotype" w:cstheme="majorBidi"/>
      <w:bCs/>
      <w:color w:val="410099" w:themeColor="accent1"/>
      <w:sz w:val="36"/>
      <w:szCs w:val="28"/>
    </w:rPr>
  </w:style>
  <w:style w:type="paragraph" w:styleId="Heading2">
    <w:name w:val="heading 2"/>
    <w:next w:val="Normal"/>
    <w:link w:val="Heading2Char"/>
    <w:uiPriority w:val="9"/>
    <w:qFormat/>
    <w:rsid w:val="00E27642"/>
    <w:pPr>
      <w:spacing w:line="240" w:lineRule="atLeast"/>
      <w:outlineLvl w:val="1"/>
    </w:pPr>
    <w:rPr>
      <w:rFonts w:ascii="Arial" w:eastAsiaTheme="majorEastAsia" w:hAnsi="Arial" w:cstheme="majorBidi"/>
      <w:bCs/>
      <w:color w:val="410099" w:themeColor="accent1"/>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E27642"/>
    <w:pPr>
      <w:spacing w:before="240"/>
      <w:outlineLvl w:val="3"/>
    </w:pPr>
    <w:rPr>
      <w:rFonts w:eastAsiaTheme="majorEastAsia" w:cstheme="majorBidi"/>
      <w:b/>
      <w:bCs/>
      <w:i/>
      <w:iCs/>
      <w:color w:val="410099" w:themeColor="accent1"/>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0004C"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410099"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642"/>
    <w:rPr>
      <w:rFonts w:ascii="Palatino Linotype" w:eastAsiaTheme="majorEastAsia" w:hAnsi="Palatino Linotype" w:cstheme="majorBidi"/>
      <w:bCs/>
      <w:color w:val="410099" w:themeColor="accent1"/>
      <w:sz w:val="36"/>
      <w:szCs w:val="28"/>
    </w:rPr>
  </w:style>
  <w:style w:type="character" w:customStyle="1" w:styleId="Heading2Char">
    <w:name w:val="Heading 2 Char"/>
    <w:basedOn w:val="DefaultParagraphFont"/>
    <w:link w:val="Heading2"/>
    <w:uiPriority w:val="9"/>
    <w:rsid w:val="00E27642"/>
    <w:rPr>
      <w:rFonts w:ascii="Arial" w:eastAsiaTheme="majorEastAsia" w:hAnsi="Arial" w:cstheme="majorBidi"/>
      <w:bCs/>
      <w:color w:val="410099" w:themeColor="accent1"/>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E27642"/>
    <w:rPr>
      <w:rFonts w:ascii="Arial" w:eastAsiaTheme="majorEastAsia" w:hAnsi="Arial" w:cstheme="majorBidi"/>
      <w:b/>
      <w:bCs/>
      <w:i/>
      <w:iCs/>
      <w:color w:val="410099" w:themeColor="accent1"/>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0004C"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E27642"/>
    <w:pPr>
      <w:spacing w:before="520" w:after="120"/>
    </w:pPr>
    <w:rPr>
      <w:rFonts w:ascii="Palatino Linotype" w:hAnsi="Palatino Linotype"/>
      <w:color w:val="410099" w:themeColor="accent1"/>
      <w:sz w:val="52"/>
      <w:szCs w:val="52"/>
    </w:rPr>
  </w:style>
  <w:style w:type="character" w:customStyle="1" w:styleId="ChaptertitleChar">
    <w:name w:val="Chapter title Char"/>
    <w:basedOn w:val="DefaultParagraphFont"/>
    <w:link w:val="Chaptertitle"/>
    <w:rsid w:val="00E27642"/>
    <w:rPr>
      <w:rFonts w:ascii="Palatino Linotype" w:hAnsi="Palatino Linotype"/>
      <w:color w:val="410099"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27642"/>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27642"/>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A323D9"/>
    <w:pPr>
      <w:numPr>
        <w:ilvl w:val="1"/>
        <w:numId w:val="12"/>
      </w:numPr>
      <w:tabs>
        <w:tab w:val="left" w:pos="1021"/>
      </w:tabs>
      <w:ind w:left="1021" w:hanging="1021"/>
    </w:pPr>
    <w:rPr>
      <w:rFonts w:cs="Arial"/>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E27642"/>
    <w:pPr>
      <w:tabs>
        <w:tab w:val="center" w:pos="4513"/>
        <w:tab w:val="right" w:pos="9026"/>
      </w:tabs>
      <w:spacing w:after="120"/>
    </w:pPr>
    <w:rPr>
      <w:sz w:val="18"/>
    </w:rPr>
  </w:style>
  <w:style w:type="character" w:customStyle="1" w:styleId="HeaderChar">
    <w:name w:val="Header Char"/>
    <w:basedOn w:val="DefaultParagraphFont"/>
    <w:link w:val="Header"/>
    <w:uiPriority w:val="99"/>
    <w:rsid w:val="00E27642"/>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27642"/>
    <w:pPr>
      <w:spacing w:after="120"/>
      <w:contextualSpacing/>
    </w:pPr>
    <w:rPr>
      <w:rFonts w:ascii="Palatino Linotype" w:hAnsi="Palatino Linotype"/>
      <w:b/>
      <w:color w:val="362F52" w:themeColor="accent3"/>
      <w:sz w:val="24"/>
      <w:szCs w:val="24"/>
    </w:rPr>
  </w:style>
  <w:style w:type="character" w:customStyle="1" w:styleId="PullquoteheadingChar">
    <w:name w:val="Pull quote heading Char"/>
    <w:basedOn w:val="DefaultParagraphFont"/>
    <w:link w:val="Pullquoteheading"/>
    <w:uiPriority w:val="1"/>
    <w:rsid w:val="00E27642"/>
    <w:rPr>
      <w:rFonts w:ascii="Palatino Linotype" w:hAnsi="Palatino Linotype"/>
      <w:b/>
      <w:color w:val="362F52" w:themeColor="accent3"/>
      <w:sz w:val="24"/>
      <w:szCs w:val="24"/>
    </w:rPr>
  </w:style>
  <w:style w:type="paragraph" w:customStyle="1" w:styleId="Pullquotetext">
    <w:name w:val="Pull quote text"/>
    <w:link w:val="PullquotetextChar"/>
    <w:uiPriority w:val="1"/>
    <w:rsid w:val="00E27642"/>
    <w:pPr>
      <w:spacing w:before="120"/>
    </w:pPr>
    <w:rPr>
      <w:rFonts w:ascii="Palatino Linotype" w:hAnsi="Palatino Linotype"/>
      <w:color w:val="362F52" w:themeColor="accent3"/>
      <w:szCs w:val="24"/>
    </w:rPr>
  </w:style>
  <w:style w:type="character" w:customStyle="1" w:styleId="PullquotetextChar">
    <w:name w:val="Pull quote text Char"/>
    <w:basedOn w:val="PullquoteheadingChar"/>
    <w:link w:val="Pullquotetext"/>
    <w:uiPriority w:val="1"/>
    <w:rsid w:val="00E27642"/>
    <w:rPr>
      <w:rFonts w:ascii="Palatino Linotype" w:hAnsi="Palatino Linotype"/>
      <w:b w:val="0"/>
      <w:color w:val="362F52" w:themeColor="accent3"/>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93685A"/>
    <w:pPr>
      <w:spacing w:before="480" w:after="120" w:line="276" w:lineRule="auto"/>
    </w:pPr>
    <w:rPr>
      <w:rFonts w:ascii="Palatino Linotype" w:eastAsiaTheme="majorEastAsia" w:hAnsi="Palatino Linotype" w:cstheme="majorBidi"/>
      <w:bCs/>
      <w:color w:val="410099" w:themeColor="accent1"/>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E27642"/>
    <w:pPr>
      <w:tabs>
        <w:tab w:val="center" w:pos="4513"/>
        <w:tab w:val="right" w:pos="9026"/>
      </w:tabs>
      <w:spacing w:after="120"/>
    </w:pPr>
    <w:rPr>
      <w:sz w:val="18"/>
    </w:rPr>
  </w:style>
  <w:style w:type="character" w:customStyle="1" w:styleId="FooterChar">
    <w:name w:val="Footer Char"/>
    <w:basedOn w:val="DefaultParagraphFont"/>
    <w:link w:val="Footer"/>
    <w:uiPriority w:val="99"/>
    <w:rsid w:val="00E27642"/>
    <w:rPr>
      <w:rFonts w:ascii="Arial" w:hAnsi="Arial"/>
      <w:sz w:val="18"/>
    </w:rPr>
  </w:style>
  <w:style w:type="paragraph" w:styleId="ListParagraph">
    <w:name w:val="List Paragraph"/>
    <w:aliases w:val="List Bullet Cab,CAB - List Bullet,Bullet Point,L,List Paragraph - bullets,List Paragraph1,List Paragraph11,NFP GP Bulleted List,Recommendation,Use Case List Paragraph,Content descriptions,CV text,F5 List Paragraph,Dot point list"/>
    <w:basedOn w:val="Normal"/>
    <w:link w:val="ListParagraphChar"/>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410099"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00072" w:themeColor="accent1" w:themeShade="BF"/>
    </w:rPr>
    <w:tblPr>
      <w:tblStyleRowBandSize w:val="1"/>
      <w:tblStyleColBandSize w:val="1"/>
      <w:tblBorders>
        <w:top w:val="single" w:sz="8" w:space="0" w:color="410099" w:themeColor="accent1"/>
        <w:bottom w:val="single" w:sz="8" w:space="0" w:color="410099" w:themeColor="accent1"/>
      </w:tblBorders>
    </w:tblPr>
    <w:tblStylePr w:type="fir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la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A6FF" w:themeFill="accent1" w:themeFillTint="3F"/>
      </w:tcPr>
    </w:tblStylePr>
    <w:tblStylePr w:type="band1Horz">
      <w:tblPr/>
      <w:tcPr>
        <w:tcBorders>
          <w:left w:val="nil"/>
          <w:right w:val="nil"/>
          <w:insideH w:val="nil"/>
          <w:insideV w:val="nil"/>
        </w:tcBorders>
        <w:shd w:val="clear" w:color="auto" w:fill="CCA6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28233D" w:themeColor="accent3" w:themeShade="BF"/>
    </w:rPr>
    <w:tblPr>
      <w:tblStyleRowBandSize w:val="1"/>
      <w:tblStyleColBandSize w:val="1"/>
      <w:tblBorders>
        <w:top w:val="single" w:sz="8" w:space="0" w:color="362F52" w:themeColor="accent3"/>
        <w:bottom w:val="single" w:sz="8" w:space="0" w:color="362F52" w:themeColor="accent3"/>
      </w:tblBorders>
    </w:tblPr>
    <w:tblStylePr w:type="fir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la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3DC" w:themeFill="accent3" w:themeFillTint="3F"/>
      </w:tcPr>
    </w:tblStylePr>
    <w:tblStylePr w:type="band1Horz">
      <w:tblPr/>
      <w:tcPr>
        <w:tcBorders>
          <w:left w:val="nil"/>
          <w:right w:val="nil"/>
          <w:insideH w:val="nil"/>
          <w:insideV w:val="nil"/>
        </w:tcBorders>
        <w:shd w:val="clear" w:color="auto" w:fill="C8C3DC"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single" w:sz="8" w:space="0" w:color="6600F2" w:themeColor="accent1" w:themeTint="BF"/>
      </w:tblBorders>
    </w:tblPr>
    <w:tblStylePr w:type="firstRow">
      <w:pPr>
        <w:spacing w:before="0" w:after="0" w:line="240" w:lineRule="auto"/>
      </w:pPr>
      <w:rPr>
        <w:b/>
        <w:bCs/>
        <w:color w:val="FFFFFF" w:themeColor="background1"/>
      </w:rPr>
      <w:tblPr/>
      <w:tcPr>
        <w:tc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shd w:val="clear" w:color="auto" w:fill="410099" w:themeFill="accent1"/>
      </w:tcPr>
    </w:tblStylePr>
    <w:tblStylePr w:type="lastRow">
      <w:pPr>
        <w:spacing w:before="0" w:after="0" w:line="240" w:lineRule="auto"/>
      </w:pPr>
      <w:rPr>
        <w:b/>
        <w:bCs/>
      </w:rPr>
      <w:tblPr/>
      <w:tcPr>
        <w:tcBorders>
          <w:top w:val="double" w:sz="6"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A6FF" w:themeFill="accent1" w:themeFillTint="3F"/>
      </w:tcPr>
    </w:tblStylePr>
    <w:tblStylePr w:type="band1Horz">
      <w:tblPr/>
      <w:tcPr>
        <w:tcBorders>
          <w:insideH w:val="nil"/>
          <w:insideV w:val="nil"/>
        </w:tcBorders>
        <w:shd w:val="clear" w:color="auto" w:fill="CCA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single" w:sz="8" w:space="0" w:color="5D518E" w:themeColor="accent3" w:themeTint="BF"/>
      </w:tblBorders>
    </w:tblPr>
    <w:tblStylePr w:type="firstRow">
      <w:pPr>
        <w:spacing w:before="0" w:after="0" w:line="240" w:lineRule="auto"/>
      </w:pPr>
      <w:rPr>
        <w:b/>
        <w:bCs/>
        <w:color w:val="FFFFFF" w:themeColor="background1"/>
      </w:rPr>
      <w:tblPr/>
      <w:tcPr>
        <w:tc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shd w:val="clear" w:color="auto" w:fill="362F52" w:themeFill="accent3"/>
      </w:tcPr>
    </w:tblStylePr>
    <w:tblStylePr w:type="lastRow">
      <w:pPr>
        <w:spacing w:before="0" w:after="0" w:line="240" w:lineRule="auto"/>
      </w:pPr>
      <w:rPr>
        <w:b/>
        <w:bCs/>
      </w:rPr>
      <w:tblPr/>
      <w:tcPr>
        <w:tcBorders>
          <w:top w:val="double" w:sz="6"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C3DC" w:themeFill="accent3" w:themeFillTint="3F"/>
      </w:tcPr>
    </w:tblStylePr>
    <w:tblStylePr w:type="band1Horz">
      <w:tblPr/>
      <w:tcPr>
        <w:tcBorders>
          <w:insideH w:val="nil"/>
          <w:insideV w:val="nil"/>
        </w:tcBorders>
        <w:shd w:val="clear" w:color="auto" w:fill="C8C3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single" w:sz="8" w:space="0" w:color="A8B5FF" w:themeColor="accent4" w:themeTint="BF"/>
      </w:tblBorders>
    </w:tblPr>
    <w:tblStylePr w:type="firstRow">
      <w:pPr>
        <w:spacing w:before="0" w:after="0" w:line="240" w:lineRule="auto"/>
      </w:pPr>
      <w:rPr>
        <w:b/>
        <w:bCs/>
        <w:color w:val="FFFFFF" w:themeColor="background1"/>
      </w:rPr>
      <w:tblPr/>
      <w:tcPr>
        <w:tc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shd w:val="clear" w:color="auto" w:fill="8B9EFF" w:themeFill="accent4"/>
      </w:tcPr>
    </w:tblStylePr>
    <w:tblStylePr w:type="lastRow">
      <w:pPr>
        <w:spacing w:before="0" w:after="0" w:line="240" w:lineRule="auto"/>
      </w:pPr>
      <w:rPr>
        <w:b/>
        <w:bCs/>
      </w:rPr>
      <w:tblPr/>
      <w:tcPr>
        <w:tcBorders>
          <w:top w:val="double" w:sz="6"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6FF" w:themeFill="accent4" w:themeFillTint="3F"/>
      </w:tcPr>
    </w:tblStylePr>
    <w:tblStylePr w:type="band1Horz">
      <w:tblPr/>
      <w:tcPr>
        <w:tcBorders>
          <w:insideH w:val="nil"/>
          <w:insideV w:val="nil"/>
        </w:tcBorders>
        <w:shd w:val="clear" w:color="auto" w:fill="E2E6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insideH w:val="single" w:sz="8" w:space="0" w:color="362F52" w:themeColor="accent3"/>
        <w:insideV w:val="single" w:sz="8" w:space="0" w:color="362F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18" w:space="0" w:color="362F52" w:themeColor="accent3"/>
          <w:right w:val="single" w:sz="8" w:space="0" w:color="362F52" w:themeColor="accent3"/>
          <w:insideH w:val="nil"/>
          <w:insideV w:val="single" w:sz="8" w:space="0" w:color="362F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insideH w:val="nil"/>
          <w:insideV w:val="single" w:sz="8" w:space="0" w:color="362F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shd w:val="clear" w:color="auto" w:fill="C8C3DC" w:themeFill="accent3" w:themeFillTint="3F"/>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shd w:val="clear" w:color="auto" w:fill="C8C3DC" w:themeFill="accent3" w:themeFillTint="3F"/>
      </w:tcPr>
    </w:tblStylePr>
    <w:tblStylePr w:type="band2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A323D9"/>
    <w:pPr>
      <w:spacing w:before="720" w:after="120"/>
      <w:contextualSpacing/>
    </w:pPr>
    <w:rPr>
      <w:rFonts w:ascii="Palatino Linotype" w:eastAsiaTheme="majorEastAsia" w:hAnsi="Palatino Linotype" w:cstheme="majorBidi"/>
      <w:color w:val="410099" w:themeColor="accent1"/>
      <w:spacing w:val="5"/>
      <w:kern w:val="28"/>
      <w:sz w:val="72"/>
      <w:szCs w:val="52"/>
    </w:rPr>
  </w:style>
  <w:style w:type="character" w:customStyle="1" w:styleId="TitleChar">
    <w:name w:val="Title Char"/>
    <w:basedOn w:val="DefaultParagraphFont"/>
    <w:link w:val="Title"/>
    <w:uiPriority w:val="10"/>
    <w:rsid w:val="00A323D9"/>
    <w:rPr>
      <w:rFonts w:ascii="Palatino Linotype" w:eastAsiaTheme="majorEastAsia" w:hAnsi="Palatino Linotype" w:cstheme="majorBidi"/>
      <w:color w:val="410099" w:themeColor="accent1"/>
      <w:spacing w:val="5"/>
      <w:kern w:val="28"/>
      <w:sz w:val="72"/>
      <w:szCs w:val="52"/>
    </w:rPr>
  </w:style>
  <w:style w:type="paragraph" w:customStyle="1" w:styleId="CoverDate">
    <w:name w:val="Cover Date"/>
    <w:rsid w:val="00E27642"/>
    <w:rPr>
      <w:rFonts w:ascii="Palatino Linotype" w:hAnsi="Palatino Linotype"/>
      <w:color w:val="362F52" w:themeColor="accent3"/>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tblBorders>
    </w:tblPr>
    <w:tblStylePr w:type="firstRow">
      <w:pPr>
        <w:spacing w:before="0" w:after="0" w:line="240" w:lineRule="auto"/>
      </w:pPr>
      <w:rPr>
        <w:b/>
        <w:bCs/>
        <w:color w:val="FFFFFF" w:themeColor="background1"/>
      </w:rPr>
      <w:tblPr/>
      <w:tcPr>
        <w:shd w:val="clear" w:color="auto" w:fill="410099" w:themeFill="accent1"/>
      </w:tcPr>
    </w:tblStylePr>
    <w:tblStylePr w:type="lastRow">
      <w:pPr>
        <w:spacing w:before="0" w:after="0" w:line="240" w:lineRule="auto"/>
      </w:pPr>
      <w:rPr>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tcBorders>
      </w:tcPr>
    </w:tblStylePr>
    <w:tblStylePr w:type="firstCol">
      <w:rPr>
        <w:b/>
        <w:bCs/>
      </w:rPr>
    </w:tblStylePr>
    <w:tblStylePr w:type="lastCol">
      <w:rPr>
        <w:b/>
        <w:bCs/>
      </w:r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tblBorders>
    </w:tblPr>
    <w:tblStylePr w:type="firstRow">
      <w:pPr>
        <w:spacing w:before="0" w:after="0" w:line="240" w:lineRule="auto"/>
      </w:pPr>
      <w:rPr>
        <w:b/>
        <w:bCs/>
        <w:color w:val="FFFFFF" w:themeColor="background1"/>
      </w:rPr>
      <w:tblPr/>
      <w:tcPr>
        <w:shd w:val="clear" w:color="auto" w:fill="362F52" w:themeFill="accent3"/>
      </w:tcPr>
    </w:tblStylePr>
    <w:tblStylePr w:type="lastRow">
      <w:pPr>
        <w:spacing w:before="0" w:after="0" w:line="240" w:lineRule="auto"/>
      </w:pPr>
      <w:rPr>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tcBorders>
      </w:tcPr>
    </w:tblStylePr>
    <w:tblStylePr w:type="firstCol">
      <w:rPr>
        <w:b/>
        <w:bCs/>
      </w:rPr>
    </w:tblStylePr>
    <w:tblStylePr w:type="lastCol">
      <w:rPr>
        <w:b/>
        <w:bCs/>
      </w:r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E27642"/>
    <w:pPr>
      <w:spacing w:before="360" w:after="120"/>
    </w:pPr>
    <w:rPr>
      <w:rFonts w:ascii="Palatino Linotype" w:hAnsi="Palatino Linotype"/>
      <w:color w:val="410099" w:themeColor="accent1"/>
      <w:sz w:val="52"/>
      <w:szCs w:val="52"/>
    </w:rPr>
  </w:style>
  <w:style w:type="character" w:customStyle="1" w:styleId="SubtitleChar">
    <w:name w:val="Subtitle Char"/>
    <w:basedOn w:val="DefaultParagraphFont"/>
    <w:link w:val="Subtitle"/>
    <w:uiPriority w:val="11"/>
    <w:rsid w:val="00E27642"/>
    <w:rPr>
      <w:rFonts w:ascii="Palatino Linotype" w:hAnsi="Palatino Linotype"/>
      <w:color w:val="410099" w:themeColor="accent1"/>
      <w:sz w:val="52"/>
      <w:szCs w:val="52"/>
    </w:rPr>
  </w:style>
  <w:style w:type="table" w:styleId="LightShading-Accent4">
    <w:name w:val="Light Shading Accent 4"/>
    <w:basedOn w:val="TableNormal"/>
    <w:uiPriority w:val="60"/>
    <w:rsid w:val="00746E01"/>
    <w:pPr>
      <w:spacing w:before="0"/>
    </w:pPr>
    <w:rPr>
      <w:color w:val="284AFF" w:themeColor="accent4" w:themeShade="BF"/>
    </w:rPr>
    <w:tblPr>
      <w:tblStyleRowBandSize w:val="1"/>
      <w:tblStyleColBandSize w:val="1"/>
      <w:tblBorders>
        <w:top w:val="single" w:sz="8" w:space="0" w:color="8B9EFF" w:themeColor="accent4"/>
        <w:bottom w:val="single" w:sz="8" w:space="0" w:color="8B9EFF" w:themeColor="accent4"/>
      </w:tblBorders>
    </w:tblPr>
    <w:tblStylePr w:type="fir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la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6FF" w:themeFill="accent4" w:themeFillTint="3F"/>
      </w:tcPr>
    </w:tblStylePr>
    <w:tblStylePr w:type="band1Horz">
      <w:tblPr/>
      <w:tcPr>
        <w:tcBorders>
          <w:left w:val="nil"/>
          <w:right w:val="nil"/>
          <w:insideH w:val="nil"/>
          <w:insideV w:val="nil"/>
        </w:tcBorders>
        <w:shd w:val="clear" w:color="auto" w:fill="E2E6F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tblBorders>
    </w:tblPr>
    <w:tblStylePr w:type="firstRow">
      <w:pPr>
        <w:spacing w:before="0" w:after="0" w:line="240" w:lineRule="auto"/>
      </w:pPr>
      <w:rPr>
        <w:b/>
        <w:bCs/>
        <w:color w:val="FFFFFF" w:themeColor="background1"/>
      </w:rPr>
      <w:tblPr/>
      <w:tcPr>
        <w:shd w:val="clear" w:color="auto" w:fill="8B9EFF" w:themeFill="accent4"/>
      </w:tcPr>
    </w:tblStylePr>
    <w:tblStylePr w:type="lastRow">
      <w:pPr>
        <w:spacing w:before="0" w:after="0" w:line="240" w:lineRule="auto"/>
      </w:pPr>
      <w:rPr>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tcBorders>
      </w:tcPr>
    </w:tblStylePr>
    <w:tblStylePr w:type="firstCol">
      <w:rPr>
        <w:b/>
        <w:bCs/>
      </w:rPr>
    </w:tblStylePr>
    <w:tblStylePr w:type="lastCol">
      <w:rPr>
        <w:b/>
        <w:bCs/>
      </w:r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insideH w:val="single" w:sz="8" w:space="0" w:color="410099" w:themeColor="accent1"/>
        <w:insideV w:val="single" w:sz="8" w:space="0" w:color="4100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18" w:space="0" w:color="410099" w:themeColor="accent1"/>
          <w:right w:val="single" w:sz="8" w:space="0" w:color="410099" w:themeColor="accent1"/>
          <w:insideH w:val="nil"/>
          <w:insideV w:val="single" w:sz="8" w:space="0" w:color="4100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insideH w:val="nil"/>
          <w:insideV w:val="single" w:sz="8" w:space="0" w:color="4100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shd w:val="clear" w:color="auto" w:fill="CCA6FF" w:themeFill="accent1" w:themeFillTint="3F"/>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shd w:val="clear" w:color="auto" w:fill="CCA6FF" w:themeFill="accent1" w:themeFillTint="3F"/>
      </w:tcPr>
    </w:tblStylePr>
    <w:tblStylePr w:type="band2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insideH w:val="single" w:sz="8" w:space="0" w:color="8B9EFF" w:themeColor="accent4"/>
        <w:insideV w:val="single" w:sz="8" w:space="0" w:color="8B9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18" w:space="0" w:color="8B9EFF" w:themeColor="accent4"/>
          <w:right w:val="single" w:sz="8" w:space="0" w:color="8B9EFF" w:themeColor="accent4"/>
          <w:insideH w:val="nil"/>
          <w:insideV w:val="single" w:sz="8" w:space="0" w:color="8B9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insideH w:val="nil"/>
          <w:insideV w:val="single" w:sz="8" w:space="0" w:color="8B9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shd w:val="clear" w:color="auto" w:fill="E2E6FF" w:themeFill="accent4" w:themeFillTint="3F"/>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shd w:val="clear" w:color="auto" w:fill="E2E6FF" w:themeFill="accent4" w:themeFillTint="3F"/>
      </w:tcPr>
    </w:tblStylePr>
    <w:tblStylePr w:type="band2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27642"/>
    <w:rPr>
      <w:smallCaps/>
      <w:color w:val="410099" w:themeColor="accent1"/>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Default">
    <w:name w:val="Default"/>
    <w:rsid w:val="00644ABA"/>
    <w:pPr>
      <w:autoSpaceDE w:val="0"/>
      <w:autoSpaceDN w:val="0"/>
      <w:adjustRightInd w:val="0"/>
      <w:spacing w:before="0"/>
    </w:pPr>
    <w:rPr>
      <w:rFonts w:ascii="Lucida Fax" w:hAnsi="Lucida Fax" w:cs="Lucida Fax"/>
      <w:color w:val="000000"/>
      <w:sz w:val="24"/>
      <w:szCs w:val="24"/>
    </w:rPr>
  </w:style>
  <w:style w:type="character" w:styleId="FollowedHyperlink">
    <w:name w:val="FollowedHyperlink"/>
    <w:basedOn w:val="DefaultParagraphFont"/>
    <w:uiPriority w:val="99"/>
    <w:semiHidden/>
    <w:unhideWhenUsed/>
    <w:rsid w:val="002161E5"/>
    <w:rPr>
      <w:color w:val="800080" w:themeColor="followedHyperlink"/>
      <w:u w:val="single"/>
    </w:rPr>
  </w:style>
  <w:style w:type="character" w:styleId="CommentReference">
    <w:name w:val="annotation reference"/>
    <w:basedOn w:val="DefaultParagraphFont"/>
    <w:uiPriority w:val="99"/>
    <w:semiHidden/>
    <w:unhideWhenUsed/>
    <w:rsid w:val="00465AA8"/>
    <w:rPr>
      <w:sz w:val="16"/>
      <w:szCs w:val="16"/>
    </w:rPr>
  </w:style>
  <w:style w:type="paragraph" w:styleId="CommentText">
    <w:name w:val="annotation text"/>
    <w:basedOn w:val="Normal"/>
    <w:link w:val="CommentTextChar"/>
    <w:uiPriority w:val="99"/>
    <w:unhideWhenUsed/>
    <w:rsid w:val="00465AA8"/>
    <w:rPr>
      <w:sz w:val="20"/>
      <w:szCs w:val="20"/>
    </w:rPr>
  </w:style>
  <w:style w:type="character" w:customStyle="1" w:styleId="CommentTextChar">
    <w:name w:val="Comment Text Char"/>
    <w:basedOn w:val="DefaultParagraphFont"/>
    <w:link w:val="CommentText"/>
    <w:uiPriority w:val="99"/>
    <w:rsid w:val="00465AA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65AA8"/>
    <w:rPr>
      <w:b/>
      <w:bCs/>
    </w:rPr>
  </w:style>
  <w:style w:type="character" w:customStyle="1" w:styleId="CommentSubjectChar">
    <w:name w:val="Comment Subject Char"/>
    <w:basedOn w:val="CommentTextChar"/>
    <w:link w:val="CommentSubject"/>
    <w:uiPriority w:val="99"/>
    <w:semiHidden/>
    <w:rsid w:val="00465AA8"/>
    <w:rPr>
      <w:rFonts w:ascii="Arial" w:hAnsi="Arial"/>
      <w:b/>
      <w:bCs/>
      <w:sz w:val="20"/>
      <w:szCs w:val="20"/>
    </w:rPr>
  </w:style>
  <w:style w:type="character" w:styleId="UnresolvedMention">
    <w:name w:val="Unresolved Mention"/>
    <w:basedOn w:val="DefaultParagraphFont"/>
    <w:uiPriority w:val="99"/>
    <w:semiHidden/>
    <w:unhideWhenUsed/>
    <w:rsid w:val="00210C51"/>
    <w:rPr>
      <w:color w:val="605E5C"/>
      <w:shd w:val="clear" w:color="auto" w:fill="E1DFDD"/>
    </w:rPr>
  </w:style>
  <w:style w:type="paragraph" w:styleId="Revision">
    <w:name w:val="Revision"/>
    <w:hidden/>
    <w:uiPriority w:val="99"/>
    <w:semiHidden/>
    <w:rsid w:val="006806D3"/>
    <w:pPr>
      <w:spacing w:before="0"/>
    </w:pPr>
    <w:rPr>
      <w:rFonts w:ascii="Arial" w:hAnsi="Arial"/>
    </w:rPr>
  </w:style>
  <w:style w:type="paragraph" w:customStyle="1" w:styleId="notetext">
    <w:name w:val="note(text)"/>
    <w:aliases w:val="n"/>
    <w:basedOn w:val="Normal"/>
    <w:link w:val="notetextChar"/>
    <w:rsid w:val="004F5B9A"/>
    <w:pPr>
      <w:spacing w:before="122"/>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4F5B9A"/>
    <w:rPr>
      <w:rFonts w:ascii="Times New Roman" w:eastAsia="Times New Roman" w:hAnsi="Times New Roman" w:cs="Times New Roman"/>
      <w:sz w:val="18"/>
      <w:szCs w:val="20"/>
      <w:lang w:eastAsia="en-AU"/>
    </w:rPr>
  </w:style>
  <w:style w:type="character" w:customStyle="1" w:styleId="ListParagraphChar">
    <w:name w:val="List Paragraph Char"/>
    <w:aliases w:val="List Bullet Cab Char,CAB - List Bullet Char,Bullet Point Char,L Char,List Paragraph - bullets Char,List Paragraph1 Char,List Paragraph11 Char,NFP GP Bulleted List Char,Recommendation Char,Use Case List Paragraph Char,CV text Char"/>
    <w:basedOn w:val="DefaultParagraphFont"/>
    <w:link w:val="ListParagraph"/>
    <w:uiPriority w:val="34"/>
    <w:qFormat/>
    <w:locked/>
    <w:rsid w:val="00B6553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2196">
      <w:bodyDiv w:val="1"/>
      <w:marLeft w:val="0"/>
      <w:marRight w:val="0"/>
      <w:marTop w:val="0"/>
      <w:marBottom w:val="0"/>
      <w:divBdr>
        <w:top w:val="none" w:sz="0" w:space="0" w:color="auto"/>
        <w:left w:val="none" w:sz="0" w:space="0" w:color="auto"/>
        <w:bottom w:val="none" w:sz="0" w:space="0" w:color="auto"/>
        <w:right w:val="none" w:sz="0" w:space="0" w:color="auto"/>
      </w:divBdr>
    </w:div>
    <w:div w:id="696544192">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76266978">
      <w:bodyDiv w:val="1"/>
      <w:marLeft w:val="0"/>
      <w:marRight w:val="0"/>
      <w:marTop w:val="0"/>
      <w:marBottom w:val="0"/>
      <w:divBdr>
        <w:top w:val="none" w:sz="0" w:space="0" w:color="auto"/>
        <w:left w:val="none" w:sz="0" w:space="0" w:color="auto"/>
        <w:bottom w:val="none" w:sz="0" w:space="0" w:color="auto"/>
        <w:right w:val="none" w:sz="0" w:space="0" w:color="auto"/>
      </w:divBdr>
    </w:div>
    <w:div w:id="1257254356">
      <w:bodyDiv w:val="1"/>
      <w:marLeft w:val="0"/>
      <w:marRight w:val="0"/>
      <w:marTop w:val="0"/>
      <w:marBottom w:val="0"/>
      <w:divBdr>
        <w:top w:val="none" w:sz="0" w:space="0" w:color="auto"/>
        <w:left w:val="none" w:sz="0" w:space="0" w:color="auto"/>
        <w:bottom w:val="none" w:sz="0" w:space="0" w:color="auto"/>
        <w:right w:val="none" w:sz="0" w:space="0" w:color="auto"/>
      </w:divBdr>
    </w:div>
    <w:div w:id="1343895175">
      <w:bodyDiv w:val="1"/>
      <w:marLeft w:val="0"/>
      <w:marRight w:val="0"/>
      <w:marTop w:val="0"/>
      <w:marBottom w:val="0"/>
      <w:divBdr>
        <w:top w:val="none" w:sz="0" w:space="0" w:color="auto"/>
        <w:left w:val="none" w:sz="0" w:space="0" w:color="auto"/>
        <w:bottom w:val="none" w:sz="0" w:space="0" w:color="auto"/>
        <w:right w:val="none" w:sz="0" w:space="0" w:color="auto"/>
      </w:divBdr>
    </w:div>
    <w:div w:id="1381636221">
      <w:bodyDiv w:val="1"/>
      <w:marLeft w:val="0"/>
      <w:marRight w:val="0"/>
      <w:marTop w:val="0"/>
      <w:marBottom w:val="0"/>
      <w:divBdr>
        <w:top w:val="none" w:sz="0" w:space="0" w:color="auto"/>
        <w:left w:val="none" w:sz="0" w:space="0" w:color="auto"/>
        <w:bottom w:val="none" w:sz="0" w:space="0" w:color="auto"/>
        <w:right w:val="none" w:sz="0" w:space="0" w:color="auto"/>
      </w:divBdr>
    </w:div>
    <w:div w:id="1567371460">
      <w:bodyDiv w:val="1"/>
      <w:marLeft w:val="0"/>
      <w:marRight w:val="0"/>
      <w:marTop w:val="0"/>
      <w:marBottom w:val="0"/>
      <w:divBdr>
        <w:top w:val="none" w:sz="0" w:space="0" w:color="auto"/>
        <w:left w:val="none" w:sz="0" w:space="0" w:color="auto"/>
        <w:bottom w:val="none" w:sz="0" w:space="0" w:color="auto"/>
        <w:right w:val="none" w:sz="0" w:space="0" w:color="auto"/>
      </w:divBdr>
    </w:div>
    <w:div w:id="1727220653">
      <w:bodyDiv w:val="1"/>
      <w:marLeft w:val="0"/>
      <w:marRight w:val="0"/>
      <w:marTop w:val="0"/>
      <w:marBottom w:val="0"/>
      <w:divBdr>
        <w:top w:val="none" w:sz="0" w:space="0" w:color="auto"/>
        <w:left w:val="none" w:sz="0" w:space="0" w:color="auto"/>
        <w:bottom w:val="none" w:sz="0" w:space="0" w:color="auto"/>
        <w:right w:val="none" w:sz="0" w:space="0" w:color="auto"/>
      </w:divBdr>
    </w:div>
    <w:div w:id="1854997997">
      <w:bodyDiv w:val="1"/>
      <w:marLeft w:val="0"/>
      <w:marRight w:val="0"/>
      <w:marTop w:val="0"/>
      <w:marBottom w:val="0"/>
      <w:divBdr>
        <w:top w:val="none" w:sz="0" w:space="0" w:color="auto"/>
        <w:left w:val="none" w:sz="0" w:space="0" w:color="auto"/>
        <w:bottom w:val="none" w:sz="0" w:space="0" w:color="auto"/>
        <w:right w:val="none" w:sz="0" w:space="0" w:color="auto"/>
      </w:divBdr>
    </w:div>
    <w:div w:id="198018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iso.org" TargetMode="External"/><Relationship Id="rId4" Type="http://schemas.openxmlformats.org/officeDocument/2006/relationships/styles" Target="styles.xml"/><Relationship Id="rId9" Type="http://schemas.openxmlformats.org/officeDocument/2006/relationships/hyperlink" Target="https://www.saiglobal.com" TargetMode="External"/><Relationship Id="rId14" Type="http://schemas.openxmlformats.org/officeDocument/2006/relationships/footer" Target="footer2.xml"/></Relationships>
</file>

<file path=word/theme/theme1.xml><?xml version="1.0" encoding="utf-8"?>
<a:theme xmlns:a="http://schemas.openxmlformats.org/drawingml/2006/main" name="Theme1">
  <a:themeElements>
    <a:clrScheme name="ACCC">
      <a:dk1>
        <a:sysClr val="windowText" lastClr="000000"/>
      </a:dk1>
      <a:lt1>
        <a:sysClr val="window" lastClr="FFFFFF"/>
      </a:lt1>
      <a:dk2>
        <a:srgbClr val="003591"/>
      </a:dk2>
      <a:lt2>
        <a:srgbClr val="D5D6D2"/>
      </a:lt2>
      <a:accent1>
        <a:srgbClr val="410099"/>
      </a:accent1>
      <a:accent2>
        <a:srgbClr val="1CCFC9"/>
      </a:accent2>
      <a:accent3>
        <a:srgbClr val="362F52"/>
      </a:accent3>
      <a:accent4>
        <a:srgbClr val="8B9EFF"/>
      </a:accent4>
      <a:accent5>
        <a:srgbClr val="FFC502"/>
      </a:accent5>
      <a:accent6>
        <a:srgbClr val="FF7600"/>
      </a:accent6>
      <a:hlink>
        <a:srgbClr val="0000FF"/>
      </a:hlink>
      <a:folHlink>
        <a:srgbClr val="800080"/>
      </a:folHlink>
    </a:clrScheme>
    <a:fontScheme name="ACCC">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311A73-B750-40D9-9A87-1CCF22EF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2873</Words>
  <Characters>16378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19213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Ip Hee Wai, Maureen</dc:creator>
  <cp:keywords/>
  <dc:description/>
  <cp:lastModifiedBy>Maureen Ip Hee Wai</cp:lastModifiedBy>
  <cp:revision>2</cp:revision>
  <cp:lastPrinted>2023-02-28T21:52:00Z</cp:lastPrinted>
  <dcterms:created xsi:type="dcterms:W3CDTF">2023-09-01T03:51:00Z</dcterms:created>
  <dcterms:modified xsi:type="dcterms:W3CDTF">2023-09-01T03:51:00Z</dcterms:modified>
</cp:coreProperties>
</file>