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5972" w14:textId="77777777" w:rsidR="00E82F88" w:rsidRDefault="00E82F88" w:rsidP="00E82F88">
      <w:pPr>
        <w:jc w:val="center"/>
        <w:rPr>
          <w:b/>
          <w:bCs/>
          <w:u w:val="single"/>
        </w:rPr>
      </w:pPr>
      <w:bookmarkStart w:id="0" w:name="_Hlk141108282"/>
      <w:r w:rsidRPr="00880A07">
        <w:rPr>
          <w:b/>
          <w:bCs/>
          <w:u w:val="single"/>
        </w:rPr>
        <w:t>EXPLANATORY STATEMENT</w:t>
      </w:r>
    </w:p>
    <w:p w14:paraId="252E6C1E" w14:textId="77777777" w:rsidR="00E82F88" w:rsidRDefault="00E82F88" w:rsidP="00E82F88">
      <w:pPr>
        <w:jc w:val="center"/>
        <w:rPr>
          <w:b/>
          <w:bCs/>
          <w:u w:val="single"/>
        </w:rPr>
      </w:pPr>
    </w:p>
    <w:p w14:paraId="00F67E90" w14:textId="77777777" w:rsidR="00E82F88" w:rsidRPr="00470576" w:rsidRDefault="00E82F88" w:rsidP="00E82F88">
      <w:pPr>
        <w:jc w:val="center"/>
        <w:rPr>
          <w:bCs/>
          <w:i/>
          <w:iCs/>
          <w:sz w:val="22"/>
          <w:szCs w:val="22"/>
        </w:rPr>
      </w:pPr>
      <w:r w:rsidRPr="00470576">
        <w:rPr>
          <w:bCs/>
          <w:i/>
          <w:iCs/>
          <w:sz w:val="22"/>
          <w:szCs w:val="22"/>
        </w:rPr>
        <w:t>Therapeutic Goods Act 1989</w:t>
      </w:r>
    </w:p>
    <w:p w14:paraId="0B620E9E" w14:textId="77777777" w:rsidR="00E82F88" w:rsidRPr="00470576" w:rsidRDefault="00E82F88" w:rsidP="00E82F88">
      <w:pPr>
        <w:jc w:val="center"/>
        <w:rPr>
          <w:bCs/>
          <w:sz w:val="22"/>
          <w:szCs w:val="22"/>
          <w:u w:val="single"/>
        </w:rPr>
      </w:pPr>
    </w:p>
    <w:p w14:paraId="4BD76EA2" w14:textId="21B90A12" w:rsidR="00E82F88" w:rsidRPr="00470576" w:rsidRDefault="00E82F88" w:rsidP="00E82F88">
      <w:pPr>
        <w:jc w:val="center"/>
        <w:rPr>
          <w:rFonts w:ascii="Times New (W1)" w:hAnsi="Times New (W1)" w:cs="Times New (W1)"/>
          <w:bCs/>
          <w:sz w:val="22"/>
          <w:szCs w:val="22"/>
        </w:rPr>
      </w:pPr>
      <w:r w:rsidRPr="00470576">
        <w:rPr>
          <w:i/>
          <w:sz w:val="22"/>
          <w:szCs w:val="22"/>
        </w:rPr>
        <w:t>Therapeutic Goods (</w:t>
      </w:r>
      <w:r w:rsidR="00470576" w:rsidRPr="00470576">
        <w:rPr>
          <w:bCs/>
          <w:i/>
          <w:sz w:val="22"/>
          <w:szCs w:val="22"/>
        </w:rPr>
        <w:t xml:space="preserve">Standard for Menstrual Cups) </w:t>
      </w:r>
      <w:r w:rsidR="00A73E50">
        <w:rPr>
          <w:bCs/>
          <w:i/>
          <w:sz w:val="22"/>
          <w:szCs w:val="22"/>
        </w:rPr>
        <w:t xml:space="preserve">Amendment </w:t>
      </w:r>
      <w:r w:rsidR="00470576" w:rsidRPr="00470576">
        <w:rPr>
          <w:bCs/>
          <w:i/>
          <w:sz w:val="22"/>
          <w:szCs w:val="22"/>
        </w:rPr>
        <w:t>Order 2023</w:t>
      </w:r>
    </w:p>
    <w:p w14:paraId="22BC1AC7" w14:textId="57F19045" w:rsidR="00E82F88" w:rsidRPr="00470576" w:rsidRDefault="00E82F88" w:rsidP="00D415FB">
      <w:pPr>
        <w:shd w:val="clear" w:color="auto" w:fill="FFFFFF"/>
        <w:spacing w:before="100" w:beforeAutospacing="1" w:after="240"/>
        <w:rPr>
          <w:sz w:val="22"/>
          <w:szCs w:val="22"/>
          <w:lang w:val="en-US"/>
        </w:rPr>
      </w:pPr>
      <w:r w:rsidRPr="00470576">
        <w:rPr>
          <w:sz w:val="22"/>
          <w:szCs w:val="22"/>
        </w:rPr>
        <w:t xml:space="preserve">The </w:t>
      </w:r>
      <w:r w:rsidRPr="00470576">
        <w:rPr>
          <w:i/>
          <w:sz w:val="22"/>
          <w:szCs w:val="22"/>
        </w:rPr>
        <w:t>Therapeutic Goods Act 1989</w:t>
      </w:r>
      <w:r w:rsidRPr="00470576">
        <w:rPr>
          <w:sz w:val="22"/>
          <w:szCs w:val="22"/>
        </w:rPr>
        <w:t xml:space="preserve"> (</w:t>
      </w:r>
      <w:r w:rsidR="00F12F9D" w:rsidRPr="00470576">
        <w:rPr>
          <w:sz w:val="22"/>
          <w:szCs w:val="22"/>
        </w:rPr>
        <w:t>“</w:t>
      </w:r>
      <w:r w:rsidRPr="00470576">
        <w:rPr>
          <w:sz w:val="22"/>
          <w:szCs w:val="22"/>
        </w:rPr>
        <w:t>the Act</w:t>
      </w:r>
      <w:r w:rsidR="00F12F9D" w:rsidRPr="00470576">
        <w:rPr>
          <w:sz w:val="22"/>
          <w:szCs w:val="22"/>
        </w:rPr>
        <w:t>”</w:t>
      </w:r>
      <w:r w:rsidRPr="00470576">
        <w:rPr>
          <w:sz w:val="22"/>
          <w:szCs w:val="22"/>
        </w:rPr>
        <w:t xml:space="preserve">) provides for the establishment and maintenance of a national system of controls for the quality, safety, </w:t>
      </w:r>
      <w:proofErr w:type="gramStart"/>
      <w:r w:rsidRPr="00470576">
        <w:rPr>
          <w:sz w:val="22"/>
          <w:szCs w:val="22"/>
        </w:rPr>
        <w:t>efficacy</w:t>
      </w:r>
      <w:proofErr w:type="gramEnd"/>
      <w:r w:rsidRPr="00470576">
        <w:rPr>
          <w:sz w:val="22"/>
          <w:szCs w:val="22"/>
        </w:rPr>
        <w:t xml:space="preserve"> and timely availability of therapeutic goods that are used</w:t>
      </w:r>
      <w:r w:rsidR="00F12F9D" w:rsidRPr="00470576">
        <w:rPr>
          <w:sz w:val="22"/>
          <w:szCs w:val="22"/>
        </w:rPr>
        <w:t xml:space="preserve"> in</w:t>
      </w:r>
      <w:r w:rsidRPr="00470576">
        <w:rPr>
          <w:sz w:val="22"/>
          <w:szCs w:val="22"/>
        </w:rPr>
        <w:t>, or exported from, Australia.</w:t>
      </w:r>
      <w:r w:rsidR="00D415FB" w:rsidRPr="00470576">
        <w:rPr>
          <w:sz w:val="22"/>
          <w:szCs w:val="22"/>
        </w:rPr>
        <w:t xml:space="preserve"> The </w:t>
      </w:r>
      <w:r w:rsidR="002423EC" w:rsidRPr="00470576">
        <w:rPr>
          <w:sz w:val="22"/>
          <w:szCs w:val="22"/>
        </w:rPr>
        <w:t xml:space="preserve">Act is administered by the </w:t>
      </w:r>
      <w:r w:rsidR="00D415FB" w:rsidRPr="00470576">
        <w:rPr>
          <w:sz w:val="22"/>
          <w:szCs w:val="22"/>
        </w:rPr>
        <w:t>Therapeutic Goods Administration (</w:t>
      </w:r>
      <w:r w:rsidR="00F12F9D" w:rsidRPr="00470576">
        <w:rPr>
          <w:sz w:val="22"/>
          <w:szCs w:val="22"/>
        </w:rPr>
        <w:t xml:space="preserve">“the </w:t>
      </w:r>
      <w:r w:rsidR="00D415FB" w:rsidRPr="00470576">
        <w:rPr>
          <w:sz w:val="22"/>
          <w:szCs w:val="22"/>
        </w:rPr>
        <w:t>TGA</w:t>
      </w:r>
      <w:r w:rsidR="00F12F9D" w:rsidRPr="00470576">
        <w:rPr>
          <w:sz w:val="22"/>
          <w:szCs w:val="22"/>
        </w:rPr>
        <w:t>”</w:t>
      </w:r>
      <w:r w:rsidR="00D415FB" w:rsidRPr="00470576">
        <w:rPr>
          <w:sz w:val="22"/>
          <w:szCs w:val="22"/>
        </w:rPr>
        <w:t>)</w:t>
      </w:r>
      <w:r w:rsidR="002423EC" w:rsidRPr="00470576">
        <w:rPr>
          <w:sz w:val="22"/>
          <w:szCs w:val="22"/>
        </w:rPr>
        <w:t xml:space="preserve"> within </w:t>
      </w:r>
      <w:r w:rsidR="00D415FB" w:rsidRPr="00470576">
        <w:rPr>
          <w:sz w:val="22"/>
          <w:szCs w:val="22"/>
        </w:rPr>
        <w:t>the Department of Health</w:t>
      </w:r>
      <w:r w:rsidR="005D56E6">
        <w:rPr>
          <w:sz w:val="22"/>
          <w:szCs w:val="22"/>
        </w:rPr>
        <w:t xml:space="preserve"> and Aged Care</w:t>
      </w:r>
      <w:r w:rsidR="00D415FB" w:rsidRPr="00470576">
        <w:rPr>
          <w:sz w:val="22"/>
          <w:szCs w:val="22"/>
        </w:rPr>
        <w:t>.</w:t>
      </w:r>
    </w:p>
    <w:p w14:paraId="664FE165" w14:textId="4EFFB1D4" w:rsidR="006C29A5" w:rsidRDefault="0057772C" w:rsidP="00F16F2B">
      <w:pPr>
        <w:shd w:val="clear" w:color="auto" w:fill="FFFFFF"/>
        <w:spacing w:before="100" w:beforeAutospacing="1" w:after="240"/>
        <w:rPr>
          <w:sz w:val="22"/>
          <w:szCs w:val="22"/>
        </w:rPr>
      </w:pPr>
      <w:r w:rsidRPr="00470576">
        <w:rPr>
          <w:sz w:val="22"/>
          <w:szCs w:val="22"/>
        </w:rPr>
        <w:t xml:space="preserve">Subsection 10(1) of the Act relevantly provides that the Minister may, by legislative instrument, make an order determining that matters specified in the order constitute a standard for therapeutic goods or a class of therapeutic goods identified in the order. </w:t>
      </w:r>
      <w:r w:rsidR="006C29A5">
        <w:rPr>
          <w:sz w:val="22"/>
          <w:szCs w:val="22"/>
        </w:rPr>
        <w:t>Subsection 10(2) provides that an order establishing a standard for therapeutic goods may be specified by reference to the quality of the goods, or the procedures to be carried out in the manufacture of the goods, among other matters.</w:t>
      </w:r>
      <w:r w:rsidR="006C29A5" w:rsidRPr="006C29A5">
        <w:rPr>
          <w:sz w:val="22"/>
          <w:szCs w:val="22"/>
        </w:rPr>
        <w:t xml:space="preserve"> </w:t>
      </w:r>
      <w:r w:rsidR="006C29A5" w:rsidRPr="00C372B8">
        <w:rPr>
          <w:sz w:val="22"/>
          <w:szCs w:val="22"/>
        </w:rPr>
        <w:t>Subsection 10(3A) of the Act provides that the Minister may, by legislative instrument, vary or revoke an order made under subsection 10(1) of the Act.</w:t>
      </w:r>
    </w:p>
    <w:p w14:paraId="255BFEE4" w14:textId="332C793E" w:rsidR="00FE76E5" w:rsidRPr="00470576" w:rsidRDefault="006C29A5" w:rsidP="00F16F2B">
      <w:pPr>
        <w:shd w:val="clear" w:color="auto" w:fill="FFFFFF"/>
        <w:spacing w:before="100" w:beforeAutospacing="1" w:after="240"/>
        <w:rPr>
          <w:sz w:val="22"/>
          <w:szCs w:val="22"/>
        </w:rPr>
      </w:pPr>
      <w:r>
        <w:rPr>
          <w:sz w:val="22"/>
          <w:szCs w:val="22"/>
        </w:rPr>
        <w:t xml:space="preserve">Importantly, a person who imports, </w:t>
      </w:r>
      <w:proofErr w:type="gramStart"/>
      <w:r>
        <w:rPr>
          <w:sz w:val="22"/>
          <w:szCs w:val="22"/>
        </w:rPr>
        <w:t>exports</w:t>
      </w:r>
      <w:proofErr w:type="gramEnd"/>
      <w:r>
        <w:rPr>
          <w:sz w:val="22"/>
          <w:szCs w:val="22"/>
        </w:rPr>
        <w:t xml:space="preserve"> or supplies therapeutic goods that do not conform to applicable standards may be subject to o</w:t>
      </w:r>
      <w:r w:rsidR="00F16F2B" w:rsidRPr="00470576">
        <w:rPr>
          <w:sz w:val="22"/>
          <w:szCs w:val="22"/>
        </w:rPr>
        <w:t>ffence and civil penalt</w:t>
      </w:r>
      <w:r>
        <w:rPr>
          <w:sz w:val="22"/>
          <w:szCs w:val="22"/>
        </w:rPr>
        <w:t>y provisions in sections 14 and 14A of the Act.</w:t>
      </w:r>
      <w:r w:rsidR="00F16F2B" w:rsidRPr="00470576">
        <w:rPr>
          <w:sz w:val="22"/>
          <w:szCs w:val="22"/>
        </w:rPr>
        <w:t xml:space="preserve"> The Secretary may, however,</w:t>
      </w:r>
      <w:r>
        <w:rPr>
          <w:sz w:val="22"/>
          <w:szCs w:val="22"/>
        </w:rPr>
        <w:t xml:space="preserve"> give</w:t>
      </w:r>
      <w:r w:rsidR="00F16F2B" w:rsidRPr="00470576">
        <w:rPr>
          <w:sz w:val="22"/>
          <w:szCs w:val="22"/>
        </w:rPr>
        <w:t xml:space="preserve"> consent in writing </w:t>
      </w:r>
      <w:r>
        <w:rPr>
          <w:sz w:val="22"/>
          <w:szCs w:val="22"/>
        </w:rPr>
        <w:t xml:space="preserve">in relation </w:t>
      </w:r>
      <w:r w:rsidR="00F16F2B" w:rsidRPr="00470576">
        <w:rPr>
          <w:sz w:val="22"/>
          <w:szCs w:val="22"/>
        </w:rPr>
        <w:t>to the import</w:t>
      </w:r>
      <w:r>
        <w:rPr>
          <w:sz w:val="22"/>
          <w:szCs w:val="22"/>
        </w:rPr>
        <w:t>ation</w:t>
      </w:r>
      <w:r w:rsidR="00F16F2B" w:rsidRPr="00470576">
        <w:rPr>
          <w:sz w:val="22"/>
          <w:szCs w:val="22"/>
        </w:rPr>
        <w:t>, export</w:t>
      </w:r>
      <w:r>
        <w:rPr>
          <w:sz w:val="22"/>
          <w:szCs w:val="22"/>
        </w:rPr>
        <w:t>ation</w:t>
      </w:r>
      <w:r w:rsidR="00F16F2B" w:rsidRPr="00470576">
        <w:rPr>
          <w:sz w:val="22"/>
          <w:szCs w:val="22"/>
        </w:rPr>
        <w:t xml:space="preserve"> </w:t>
      </w:r>
      <w:r w:rsidR="002423EC" w:rsidRPr="00470576">
        <w:rPr>
          <w:sz w:val="22"/>
          <w:szCs w:val="22"/>
        </w:rPr>
        <w:t xml:space="preserve">or supply </w:t>
      </w:r>
      <w:r w:rsidR="00F16F2B" w:rsidRPr="00470576">
        <w:rPr>
          <w:sz w:val="22"/>
          <w:szCs w:val="22"/>
        </w:rPr>
        <w:t>of</w:t>
      </w:r>
      <w:r>
        <w:rPr>
          <w:sz w:val="22"/>
          <w:szCs w:val="22"/>
        </w:rPr>
        <w:t xml:space="preserve"> therapeutic</w:t>
      </w:r>
      <w:r w:rsidR="00F16F2B" w:rsidRPr="00470576">
        <w:rPr>
          <w:sz w:val="22"/>
          <w:szCs w:val="22"/>
        </w:rPr>
        <w:t xml:space="preserve"> goods </w:t>
      </w:r>
      <w:r>
        <w:rPr>
          <w:sz w:val="22"/>
          <w:szCs w:val="22"/>
        </w:rPr>
        <w:t>that do not conform to an applicable standard, in accordance with those sections</w:t>
      </w:r>
      <w:r w:rsidR="00F16F2B" w:rsidRPr="00470576">
        <w:rPr>
          <w:sz w:val="22"/>
          <w:szCs w:val="22"/>
        </w:rPr>
        <w:t>.</w:t>
      </w:r>
    </w:p>
    <w:p w14:paraId="3212D32A" w14:textId="41B6074F" w:rsidR="00DF7CC2" w:rsidRPr="00784137" w:rsidRDefault="00DF7CC2" w:rsidP="0057772C">
      <w:pPr>
        <w:spacing w:after="240"/>
      </w:pPr>
      <w:r w:rsidRPr="00470576">
        <w:rPr>
          <w:sz w:val="22"/>
          <w:szCs w:val="22"/>
        </w:rPr>
        <w:t xml:space="preserve">The </w:t>
      </w:r>
      <w:r w:rsidRPr="00470576">
        <w:rPr>
          <w:i/>
          <w:sz w:val="22"/>
          <w:szCs w:val="22"/>
        </w:rPr>
        <w:t xml:space="preserve">Therapeutic Goods (Standard for </w:t>
      </w:r>
      <w:r w:rsidR="00470576" w:rsidRPr="00470576">
        <w:rPr>
          <w:bCs/>
          <w:i/>
          <w:sz w:val="22"/>
          <w:szCs w:val="22"/>
        </w:rPr>
        <w:t>Menstrual Cups</w:t>
      </w:r>
      <w:r w:rsidRPr="00470576">
        <w:rPr>
          <w:i/>
          <w:sz w:val="22"/>
          <w:szCs w:val="22"/>
        </w:rPr>
        <w:t>)</w:t>
      </w:r>
      <w:r w:rsidR="00470576">
        <w:rPr>
          <w:i/>
          <w:sz w:val="22"/>
          <w:szCs w:val="22"/>
        </w:rPr>
        <w:t xml:space="preserve"> Order 2018</w:t>
      </w:r>
      <w:r w:rsidRPr="00470576">
        <w:rPr>
          <w:sz w:val="22"/>
          <w:szCs w:val="22"/>
        </w:rPr>
        <w:t xml:space="preserve"> (“the </w:t>
      </w:r>
      <w:r w:rsidR="007D436A" w:rsidRPr="00470576">
        <w:rPr>
          <w:sz w:val="22"/>
          <w:szCs w:val="22"/>
        </w:rPr>
        <w:t xml:space="preserve">Principal </w:t>
      </w:r>
      <w:r w:rsidRPr="00470576">
        <w:rPr>
          <w:sz w:val="22"/>
          <w:szCs w:val="22"/>
        </w:rPr>
        <w:t xml:space="preserve">Order”) is an order </w:t>
      </w:r>
      <w:r w:rsidRPr="00C372B8">
        <w:rPr>
          <w:sz w:val="22"/>
          <w:szCs w:val="22"/>
        </w:rPr>
        <w:t xml:space="preserve">made under section 10 of the Act for the purpose of establishing a ministerial standard for </w:t>
      </w:r>
      <w:r w:rsidR="00470576" w:rsidRPr="00C372B8">
        <w:rPr>
          <w:sz w:val="22"/>
          <w:szCs w:val="22"/>
        </w:rPr>
        <w:t>menstrual cup</w:t>
      </w:r>
      <w:r w:rsidR="006C29A5">
        <w:rPr>
          <w:sz w:val="22"/>
          <w:szCs w:val="22"/>
        </w:rPr>
        <w:t>s</w:t>
      </w:r>
      <w:r w:rsidRPr="00C372B8">
        <w:rPr>
          <w:sz w:val="22"/>
          <w:szCs w:val="22"/>
        </w:rPr>
        <w:t>.</w:t>
      </w:r>
      <w:r w:rsidR="006C29A5">
        <w:rPr>
          <w:sz w:val="22"/>
          <w:szCs w:val="22"/>
        </w:rPr>
        <w:t xml:space="preserve"> The Principal Order specifies the minimum requirements for the quality and safety</w:t>
      </w:r>
      <w:r w:rsidR="008D60E8">
        <w:rPr>
          <w:sz w:val="22"/>
          <w:szCs w:val="22"/>
        </w:rPr>
        <w:t xml:space="preserve"> of</w:t>
      </w:r>
      <w:r w:rsidR="006C29A5">
        <w:rPr>
          <w:sz w:val="22"/>
          <w:szCs w:val="22"/>
        </w:rPr>
        <w:t xml:space="preserve"> </w:t>
      </w:r>
      <w:r w:rsidR="00A73E50">
        <w:rPr>
          <w:sz w:val="22"/>
          <w:szCs w:val="22"/>
        </w:rPr>
        <w:t>menstrual cups</w:t>
      </w:r>
      <w:r w:rsidR="006C29A5">
        <w:rPr>
          <w:sz w:val="22"/>
          <w:szCs w:val="22"/>
        </w:rPr>
        <w:t>, including the requirements in relation to information that must be supplied with the menstrual cup.</w:t>
      </w:r>
    </w:p>
    <w:p w14:paraId="69E9C595" w14:textId="166AF741" w:rsidR="002C1182" w:rsidRPr="00470576" w:rsidRDefault="00FE76E5" w:rsidP="0057772C">
      <w:pPr>
        <w:spacing w:after="240"/>
        <w:rPr>
          <w:sz w:val="22"/>
          <w:szCs w:val="22"/>
        </w:rPr>
      </w:pPr>
      <w:r w:rsidRPr="00470576">
        <w:rPr>
          <w:sz w:val="22"/>
          <w:szCs w:val="22"/>
        </w:rPr>
        <w:t>The</w:t>
      </w:r>
      <w:r w:rsidR="002C1182" w:rsidRPr="00470576">
        <w:rPr>
          <w:sz w:val="22"/>
          <w:szCs w:val="22"/>
        </w:rPr>
        <w:t xml:space="preserve"> purpo</w:t>
      </w:r>
      <w:r w:rsidRPr="00470576">
        <w:rPr>
          <w:sz w:val="22"/>
          <w:szCs w:val="22"/>
        </w:rPr>
        <w:t xml:space="preserve">se of the </w:t>
      </w:r>
      <w:r w:rsidR="0072428C" w:rsidRPr="00C372B8">
        <w:rPr>
          <w:i/>
          <w:sz w:val="22"/>
          <w:szCs w:val="22"/>
        </w:rPr>
        <w:t xml:space="preserve">Therapeutic Goods (Standard for </w:t>
      </w:r>
      <w:r w:rsidR="0072428C" w:rsidRPr="00470576">
        <w:rPr>
          <w:bCs/>
          <w:i/>
          <w:sz w:val="22"/>
          <w:szCs w:val="22"/>
        </w:rPr>
        <w:t>Menstrual Cups</w:t>
      </w:r>
      <w:r w:rsidR="0072428C" w:rsidRPr="00C372B8">
        <w:rPr>
          <w:i/>
          <w:sz w:val="22"/>
          <w:szCs w:val="22"/>
        </w:rPr>
        <w:t xml:space="preserve">) </w:t>
      </w:r>
      <w:r w:rsidR="00A73E50">
        <w:rPr>
          <w:i/>
          <w:sz w:val="22"/>
          <w:szCs w:val="22"/>
        </w:rPr>
        <w:t xml:space="preserve">Amendment </w:t>
      </w:r>
      <w:r w:rsidR="0072428C" w:rsidRPr="00C372B8">
        <w:rPr>
          <w:i/>
          <w:sz w:val="22"/>
          <w:szCs w:val="22"/>
        </w:rPr>
        <w:t>Order</w:t>
      </w:r>
      <w:r w:rsidR="00A73E50">
        <w:rPr>
          <w:i/>
          <w:sz w:val="22"/>
          <w:szCs w:val="22"/>
        </w:rPr>
        <w:t> </w:t>
      </w:r>
      <w:r w:rsidR="0072428C" w:rsidRPr="00C372B8">
        <w:rPr>
          <w:i/>
          <w:sz w:val="22"/>
          <w:szCs w:val="22"/>
        </w:rPr>
        <w:t>20</w:t>
      </w:r>
      <w:r w:rsidR="0072428C">
        <w:rPr>
          <w:i/>
          <w:sz w:val="22"/>
          <w:szCs w:val="22"/>
        </w:rPr>
        <w:t>23</w:t>
      </w:r>
      <w:r w:rsidR="0072428C" w:rsidRPr="00470576">
        <w:rPr>
          <w:sz w:val="22"/>
          <w:szCs w:val="22"/>
        </w:rPr>
        <w:t xml:space="preserve"> (“the Amendment Order”) </w:t>
      </w:r>
      <w:r w:rsidRPr="00470576">
        <w:rPr>
          <w:sz w:val="22"/>
          <w:szCs w:val="22"/>
        </w:rPr>
        <w:t xml:space="preserve">is to amend the </w:t>
      </w:r>
      <w:r w:rsidR="007D436A" w:rsidRPr="00470576">
        <w:rPr>
          <w:sz w:val="22"/>
          <w:szCs w:val="22"/>
        </w:rPr>
        <w:t xml:space="preserve">Principal </w:t>
      </w:r>
      <w:r w:rsidRPr="00470576">
        <w:rPr>
          <w:sz w:val="22"/>
          <w:szCs w:val="22"/>
        </w:rPr>
        <w:t xml:space="preserve">Order to make </w:t>
      </w:r>
      <w:r w:rsidR="00C372B8">
        <w:rPr>
          <w:sz w:val="22"/>
          <w:szCs w:val="22"/>
        </w:rPr>
        <w:t>minor updates</w:t>
      </w:r>
      <w:r w:rsidR="00D96ADB" w:rsidRPr="00470576">
        <w:rPr>
          <w:sz w:val="22"/>
          <w:szCs w:val="22"/>
        </w:rPr>
        <w:t>, principally</w:t>
      </w:r>
      <w:r w:rsidRPr="00470576">
        <w:rPr>
          <w:sz w:val="22"/>
          <w:szCs w:val="22"/>
        </w:rPr>
        <w:t xml:space="preserve"> </w:t>
      </w:r>
      <w:r w:rsidR="00D96ADB" w:rsidRPr="00470576">
        <w:rPr>
          <w:sz w:val="22"/>
          <w:szCs w:val="22"/>
        </w:rPr>
        <w:t xml:space="preserve">to </w:t>
      </w:r>
      <w:r w:rsidR="00095DF2">
        <w:rPr>
          <w:sz w:val="22"/>
          <w:szCs w:val="22"/>
        </w:rPr>
        <w:t>increase</w:t>
      </w:r>
      <w:r w:rsidR="00784137">
        <w:rPr>
          <w:sz w:val="22"/>
          <w:szCs w:val="22"/>
        </w:rPr>
        <w:t xml:space="preserve"> the limit for the duration of use of </w:t>
      </w:r>
      <w:r w:rsidR="00784137" w:rsidRPr="009A32C9">
        <w:rPr>
          <w:sz w:val="22"/>
          <w:szCs w:val="22"/>
        </w:rPr>
        <w:t>menstrual cup</w:t>
      </w:r>
      <w:r w:rsidR="000C3488">
        <w:rPr>
          <w:sz w:val="22"/>
          <w:szCs w:val="22"/>
        </w:rPr>
        <w:t>s</w:t>
      </w:r>
      <w:r w:rsidR="00A73E50">
        <w:rPr>
          <w:sz w:val="22"/>
          <w:szCs w:val="22"/>
        </w:rPr>
        <w:t xml:space="preserve">, which </w:t>
      </w:r>
      <w:r w:rsidR="001412F1">
        <w:rPr>
          <w:sz w:val="22"/>
          <w:szCs w:val="22"/>
        </w:rPr>
        <w:t>must be</w:t>
      </w:r>
      <w:r w:rsidR="00A73E50">
        <w:rPr>
          <w:sz w:val="22"/>
          <w:szCs w:val="22"/>
        </w:rPr>
        <w:t xml:space="preserve"> stated on information supplied with a menstrual cup,</w:t>
      </w:r>
      <w:r w:rsidR="00784137" w:rsidRPr="009A32C9">
        <w:rPr>
          <w:sz w:val="22"/>
          <w:szCs w:val="22"/>
        </w:rPr>
        <w:t xml:space="preserve"> from 8 hours to 12 hours</w:t>
      </w:r>
      <w:r w:rsidRPr="009A32C9">
        <w:rPr>
          <w:sz w:val="22"/>
          <w:szCs w:val="22"/>
        </w:rPr>
        <w:t>.</w:t>
      </w:r>
    </w:p>
    <w:p w14:paraId="484DD67F" w14:textId="77777777" w:rsidR="00E82F88" w:rsidRPr="00470576" w:rsidRDefault="00E82F88" w:rsidP="00E82F88">
      <w:pPr>
        <w:spacing w:after="240"/>
        <w:rPr>
          <w:b/>
          <w:sz w:val="22"/>
          <w:szCs w:val="22"/>
        </w:rPr>
      </w:pPr>
      <w:r w:rsidRPr="00470576">
        <w:rPr>
          <w:b/>
          <w:sz w:val="22"/>
          <w:szCs w:val="22"/>
        </w:rPr>
        <w:t>B</w:t>
      </w:r>
      <w:r w:rsidR="007B3DC2" w:rsidRPr="00470576">
        <w:rPr>
          <w:b/>
          <w:sz w:val="22"/>
          <w:szCs w:val="22"/>
        </w:rPr>
        <w:t>ackground</w:t>
      </w:r>
    </w:p>
    <w:p w14:paraId="6D2A9928" w14:textId="428ACCA8" w:rsidR="0057772C" w:rsidRPr="00470576" w:rsidRDefault="0057772C" w:rsidP="00BD1FE5">
      <w:pPr>
        <w:spacing w:after="240"/>
        <w:rPr>
          <w:sz w:val="22"/>
          <w:szCs w:val="22"/>
        </w:rPr>
      </w:pPr>
      <w:r w:rsidRPr="00470576">
        <w:rPr>
          <w:sz w:val="22"/>
          <w:szCs w:val="22"/>
        </w:rPr>
        <w:t>The Australian Government is responsible for regulating the quality</w:t>
      </w:r>
      <w:r w:rsidR="00BD1FE5" w:rsidRPr="00470576">
        <w:rPr>
          <w:sz w:val="22"/>
          <w:szCs w:val="22"/>
        </w:rPr>
        <w:t>,</w:t>
      </w:r>
      <w:r w:rsidRPr="00470576">
        <w:rPr>
          <w:sz w:val="22"/>
          <w:szCs w:val="22"/>
        </w:rPr>
        <w:t xml:space="preserve"> </w:t>
      </w:r>
      <w:proofErr w:type="gramStart"/>
      <w:r w:rsidR="00BD1FE5" w:rsidRPr="00470576">
        <w:rPr>
          <w:sz w:val="22"/>
          <w:szCs w:val="22"/>
        </w:rPr>
        <w:t>safety</w:t>
      </w:r>
      <w:proofErr w:type="gramEnd"/>
      <w:r w:rsidR="00BD1FE5" w:rsidRPr="00470576">
        <w:rPr>
          <w:sz w:val="22"/>
          <w:szCs w:val="22"/>
        </w:rPr>
        <w:t xml:space="preserve"> and efficacy </w:t>
      </w:r>
      <w:r w:rsidRPr="00470576">
        <w:rPr>
          <w:sz w:val="22"/>
          <w:szCs w:val="22"/>
        </w:rPr>
        <w:t xml:space="preserve">of therapeutic goods. This is </w:t>
      </w:r>
      <w:r w:rsidR="0072428C">
        <w:rPr>
          <w:sz w:val="22"/>
          <w:szCs w:val="22"/>
        </w:rPr>
        <w:t>achieved in part</w:t>
      </w:r>
      <w:r w:rsidRPr="00470576">
        <w:rPr>
          <w:sz w:val="22"/>
          <w:szCs w:val="22"/>
        </w:rPr>
        <w:t xml:space="preserve"> by </w:t>
      </w:r>
      <w:r w:rsidR="0072428C">
        <w:rPr>
          <w:sz w:val="22"/>
          <w:szCs w:val="22"/>
        </w:rPr>
        <w:t xml:space="preserve">requiring compliance with the default standards under the Act and </w:t>
      </w:r>
      <w:r w:rsidRPr="00470576">
        <w:rPr>
          <w:sz w:val="22"/>
          <w:szCs w:val="22"/>
        </w:rPr>
        <w:t>specifying ministerial standards</w:t>
      </w:r>
      <w:r w:rsidR="0072428C">
        <w:rPr>
          <w:sz w:val="22"/>
          <w:szCs w:val="22"/>
        </w:rPr>
        <w:t xml:space="preserve"> under section 10 of the Act by reference to a range of matters including</w:t>
      </w:r>
      <w:r w:rsidRPr="00470576">
        <w:rPr>
          <w:sz w:val="22"/>
          <w:szCs w:val="22"/>
        </w:rPr>
        <w:t xml:space="preserve"> the manufacture</w:t>
      </w:r>
      <w:r w:rsidR="0072428C">
        <w:rPr>
          <w:sz w:val="22"/>
          <w:szCs w:val="22"/>
        </w:rPr>
        <w:t xml:space="preserve"> of therapeutic goods</w:t>
      </w:r>
      <w:r w:rsidR="00987E7D">
        <w:rPr>
          <w:sz w:val="22"/>
          <w:szCs w:val="22"/>
        </w:rPr>
        <w:t xml:space="preserve">. </w:t>
      </w:r>
    </w:p>
    <w:p w14:paraId="706E8B7B" w14:textId="0D7DBAAE" w:rsidR="00095DF2" w:rsidRPr="00095DF2" w:rsidRDefault="00DF7CC2" w:rsidP="00095DF2">
      <w:pPr>
        <w:spacing w:after="240"/>
        <w:rPr>
          <w:sz w:val="22"/>
          <w:szCs w:val="22"/>
        </w:rPr>
      </w:pPr>
      <w:r w:rsidRPr="00470576">
        <w:rPr>
          <w:sz w:val="22"/>
          <w:szCs w:val="22"/>
        </w:rPr>
        <w:t xml:space="preserve">The </w:t>
      </w:r>
      <w:r w:rsidR="007D436A" w:rsidRPr="00470576">
        <w:rPr>
          <w:sz w:val="22"/>
          <w:szCs w:val="22"/>
        </w:rPr>
        <w:t xml:space="preserve">Principal </w:t>
      </w:r>
      <w:r w:rsidRPr="00470576">
        <w:rPr>
          <w:sz w:val="22"/>
          <w:szCs w:val="22"/>
        </w:rPr>
        <w:t>Order applies to</w:t>
      </w:r>
      <w:r w:rsidR="00095DF2" w:rsidRPr="00095DF2">
        <w:rPr>
          <w:sz w:val="22"/>
          <w:szCs w:val="22"/>
        </w:rPr>
        <w:t xml:space="preserve"> therapeutic goods that are menstrual cups and specifies requirements for all menstrual cups relating to the</w:t>
      </w:r>
      <w:r w:rsidR="00095DF2">
        <w:rPr>
          <w:sz w:val="22"/>
          <w:szCs w:val="22"/>
        </w:rPr>
        <w:t xml:space="preserve"> manufacture, design,</w:t>
      </w:r>
      <w:r w:rsidR="00095DF2" w:rsidRPr="00095DF2">
        <w:rPr>
          <w:sz w:val="22"/>
          <w:szCs w:val="22"/>
        </w:rPr>
        <w:t xml:space="preserve"> packaging and labelling of these products.</w:t>
      </w:r>
      <w:r w:rsidR="00095DF2">
        <w:rPr>
          <w:sz w:val="22"/>
          <w:szCs w:val="22"/>
        </w:rPr>
        <w:t xml:space="preserve"> In addition, the Principal Order specifies certain information that must be supplied with menstrual cups, including instructions for use, </w:t>
      </w:r>
      <w:proofErr w:type="gramStart"/>
      <w:r w:rsidR="00095DF2">
        <w:rPr>
          <w:sz w:val="22"/>
          <w:szCs w:val="22"/>
        </w:rPr>
        <w:t>warnings</w:t>
      </w:r>
      <w:proofErr w:type="gramEnd"/>
      <w:r w:rsidR="00095DF2">
        <w:rPr>
          <w:sz w:val="22"/>
          <w:szCs w:val="22"/>
        </w:rPr>
        <w:t xml:space="preserve"> and limits to the duration of use.</w:t>
      </w:r>
    </w:p>
    <w:p w14:paraId="11549993" w14:textId="593B3C6B" w:rsidR="00C95389" w:rsidRPr="00E0153D" w:rsidRDefault="00C06059" w:rsidP="008C6AB1">
      <w:pPr>
        <w:spacing w:after="240"/>
        <w:rPr>
          <w:sz w:val="22"/>
          <w:szCs w:val="22"/>
        </w:rPr>
      </w:pPr>
      <w:r w:rsidRPr="00E0153D">
        <w:rPr>
          <w:sz w:val="22"/>
          <w:szCs w:val="22"/>
        </w:rPr>
        <w:t>In early 2023,</w:t>
      </w:r>
      <w:r w:rsidR="009A32C9" w:rsidRPr="00E0153D">
        <w:rPr>
          <w:sz w:val="22"/>
          <w:szCs w:val="22"/>
        </w:rPr>
        <w:t xml:space="preserve"> industry identified a need to review the Australian recommended use time of menstrual cups</w:t>
      </w:r>
      <w:r w:rsidR="00DD162C">
        <w:rPr>
          <w:sz w:val="22"/>
          <w:szCs w:val="22"/>
        </w:rPr>
        <w:t xml:space="preserve">, </w:t>
      </w:r>
      <w:r w:rsidR="00DD162C" w:rsidRPr="00DD162C">
        <w:rPr>
          <w:sz w:val="22"/>
          <w:szCs w:val="22"/>
        </w:rPr>
        <w:t>in order to be consistent with international best practice</w:t>
      </w:r>
      <w:r w:rsidR="008C6AB1" w:rsidRPr="00E0153D">
        <w:rPr>
          <w:sz w:val="22"/>
          <w:szCs w:val="22"/>
        </w:rPr>
        <w:t>.</w:t>
      </w:r>
      <w:r w:rsidR="009A32C9" w:rsidRPr="00E0153D">
        <w:rPr>
          <w:sz w:val="22"/>
          <w:szCs w:val="22"/>
        </w:rPr>
        <w:t xml:space="preserve"> </w:t>
      </w:r>
      <w:r w:rsidR="0072428C" w:rsidRPr="00E0153D">
        <w:rPr>
          <w:sz w:val="22"/>
          <w:szCs w:val="22"/>
        </w:rPr>
        <w:t>Initially, t</w:t>
      </w:r>
      <w:r w:rsidR="009A32C9" w:rsidRPr="00E0153D">
        <w:rPr>
          <w:sz w:val="22"/>
          <w:szCs w:val="22"/>
        </w:rPr>
        <w:t xml:space="preserve">he decision to </w:t>
      </w:r>
      <w:r w:rsidR="00C95389" w:rsidRPr="00E0153D">
        <w:rPr>
          <w:sz w:val="22"/>
          <w:szCs w:val="22"/>
        </w:rPr>
        <w:t>limit the use of menstrual cups to</w:t>
      </w:r>
      <w:r w:rsidR="009A32C9" w:rsidRPr="00E0153D">
        <w:rPr>
          <w:sz w:val="22"/>
          <w:szCs w:val="22"/>
        </w:rPr>
        <w:t xml:space="preserve"> 8 hours was primarily based on data pertaining to tampon use. However, as menstrual cups have</w:t>
      </w:r>
      <w:r w:rsidR="0072428C" w:rsidRPr="00E0153D">
        <w:rPr>
          <w:sz w:val="22"/>
          <w:szCs w:val="22"/>
        </w:rPr>
        <w:t xml:space="preserve"> now</w:t>
      </w:r>
      <w:r w:rsidR="009A32C9" w:rsidRPr="00E0153D">
        <w:rPr>
          <w:sz w:val="22"/>
          <w:szCs w:val="22"/>
        </w:rPr>
        <w:t xml:space="preserve"> been in the market for </w:t>
      </w:r>
      <w:r w:rsidR="0072428C" w:rsidRPr="00E0153D">
        <w:rPr>
          <w:sz w:val="22"/>
          <w:szCs w:val="22"/>
        </w:rPr>
        <w:t xml:space="preserve">an additional </w:t>
      </w:r>
      <w:r w:rsidR="009A32C9" w:rsidRPr="00E0153D">
        <w:rPr>
          <w:sz w:val="22"/>
          <w:szCs w:val="22"/>
        </w:rPr>
        <w:t xml:space="preserve">5 years, richer data has been generated </w:t>
      </w:r>
      <w:r w:rsidR="0072428C" w:rsidRPr="00E0153D">
        <w:rPr>
          <w:sz w:val="22"/>
          <w:szCs w:val="22"/>
        </w:rPr>
        <w:t xml:space="preserve">that reflects a use time of up to 12 hours. In particular, </w:t>
      </w:r>
      <w:r w:rsidR="004B4201" w:rsidRPr="00E0153D">
        <w:rPr>
          <w:sz w:val="22"/>
          <w:szCs w:val="22"/>
        </w:rPr>
        <w:t>the</w:t>
      </w:r>
      <w:r w:rsidR="00C95389" w:rsidRPr="00E0153D">
        <w:rPr>
          <w:sz w:val="22"/>
          <w:szCs w:val="22"/>
        </w:rPr>
        <w:t xml:space="preserve"> r</w:t>
      </w:r>
      <w:r w:rsidR="009A32C9" w:rsidRPr="00E0153D">
        <w:rPr>
          <w:sz w:val="22"/>
          <w:szCs w:val="22"/>
        </w:rPr>
        <w:t>esearch does not highlight an increased risk to users of menstrual cups when used for up to 12 hours</w:t>
      </w:r>
      <w:r w:rsidR="0072428C" w:rsidRPr="00E0153D">
        <w:rPr>
          <w:sz w:val="22"/>
          <w:szCs w:val="22"/>
        </w:rPr>
        <w:t xml:space="preserve">. Importantly, advice from the Advisory </w:t>
      </w:r>
      <w:r w:rsidR="0072428C" w:rsidRPr="00E0153D">
        <w:rPr>
          <w:sz w:val="22"/>
          <w:szCs w:val="22"/>
        </w:rPr>
        <w:lastRenderedPageBreak/>
        <w:t>Committee on Medical Devices</w:t>
      </w:r>
      <w:r w:rsidR="00C95389" w:rsidRPr="00E0153D">
        <w:rPr>
          <w:sz w:val="22"/>
          <w:szCs w:val="22"/>
        </w:rPr>
        <w:t xml:space="preserve"> </w:t>
      </w:r>
      <w:r w:rsidR="00987E7D" w:rsidRPr="00E0153D">
        <w:rPr>
          <w:sz w:val="22"/>
          <w:szCs w:val="22"/>
        </w:rPr>
        <w:t>(an advisory committee</w:t>
      </w:r>
      <w:r w:rsidR="00987E7D">
        <w:rPr>
          <w:sz w:val="22"/>
          <w:szCs w:val="22"/>
        </w:rPr>
        <w:t xml:space="preserve"> </w:t>
      </w:r>
      <w:r w:rsidR="00987E7D" w:rsidRPr="00E0153D">
        <w:rPr>
          <w:sz w:val="22"/>
          <w:szCs w:val="22"/>
        </w:rPr>
        <w:t xml:space="preserve">established under the </w:t>
      </w:r>
      <w:r w:rsidR="00987E7D" w:rsidRPr="00E0153D">
        <w:rPr>
          <w:i/>
          <w:iCs/>
          <w:sz w:val="22"/>
          <w:szCs w:val="22"/>
        </w:rPr>
        <w:t>Therapeutic Goods Regulations 1990</w:t>
      </w:r>
      <w:r w:rsidR="00987E7D" w:rsidRPr="00E0153D">
        <w:rPr>
          <w:sz w:val="22"/>
          <w:szCs w:val="22"/>
        </w:rPr>
        <w:t xml:space="preserve">) </w:t>
      </w:r>
      <w:r w:rsidR="00C95389" w:rsidRPr="00E0153D">
        <w:rPr>
          <w:sz w:val="22"/>
          <w:szCs w:val="22"/>
        </w:rPr>
        <w:t xml:space="preserve">indicated that any risk to consumer safety incurred by a change in intended use from a period of up to 8 hours to a period of up to 12 hours was so slight that it was </w:t>
      </w:r>
      <w:r w:rsidR="00DD162C">
        <w:rPr>
          <w:sz w:val="22"/>
          <w:szCs w:val="22"/>
        </w:rPr>
        <w:t>unquantifiable</w:t>
      </w:r>
      <w:r w:rsidR="00C95389" w:rsidRPr="00E0153D">
        <w:rPr>
          <w:sz w:val="22"/>
          <w:szCs w:val="22"/>
        </w:rPr>
        <w:t>.</w:t>
      </w:r>
    </w:p>
    <w:p w14:paraId="6140EE98" w14:textId="6BB51F91" w:rsidR="008C6AB1" w:rsidRPr="008C6AB1" w:rsidRDefault="009A32C9" w:rsidP="008C6AB1">
      <w:pPr>
        <w:spacing w:after="240"/>
        <w:rPr>
          <w:sz w:val="22"/>
          <w:szCs w:val="22"/>
        </w:rPr>
      </w:pPr>
      <w:r>
        <w:rPr>
          <w:sz w:val="22"/>
          <w:szCs w:val="22"/>
        </w:rPr>
        <w:t>Furthermore,</w:t>
      </w:r>
      <w:r w:rsidR="0072428C">
        <w:rPr>
          <w:sz w:val="22"/>
          <w:szCs w:val="22"/>
        </w:rPr>
        <w:t xml:space="preserve"> the regulation of these goods </w:t>
      </w:r>
      <w:r w:rsidR="00CE2BF6">
        <w:rPr>
          <w:sz w:val="22"/>
          <w:szCs w:val="22"/>
        </w:rPr>
        <w:t>overseas supports</w:t>
      </w:r>
      <w:r w:rsidR="0072428C">
        <w:rPr>
          <w:sz w:val="22"/>
          <w:szCs w:val="22"/>
        </w:rPr>
        <w:t xml:space="preserve"> </w:t>
      </w:r>
      <w:r w:rsidRPr="009A32C9">
        <w:rPr>
          <w:sz w:val="22"/>
          <w:szCs w:val="22"/>
        </w:rPr>
        <w:t>a use time of up to 12 h</w:t>
      </w:r>
      <w:r>
        <w:rPr>
          <w:sz w:val="22"/>
          <w:szCs w:val="22"/>
        </w:rPr>
        <w:t>our</w:t>
      </w:r>
      <w:r w:rsidRPr="009A32C9">
        <w:rPr>
          <w:sz w:val="22"/>
          <w:szCs w:val="22"/>
        </w:rPr>
        <w:t>s</w:t>
      </w:r>
      <w:r>
        <w:rPr>
          <w:sz w:val="22"/>
          <w:szCs w:val="22"/>
        </w:rPr>
        <w:t xml:space="preserve">. </w:t>
      </w:r>
      <w:r w:rsidR="00C95389">
        <w:rPr>
          <w:sz w:val="22"/>
          <w:szCs w:val="22"/>
        </w:rPr>
        <w:t xml:space="preserve">As the Australian </w:t>
      </w:r>
      <w:r w:rsidR="00CE7AF2">
        <w:rPr>
          <w:sz w:val="22"/>
          <w:szCs w:val="22"/>
        </w:rPr>
        <w:t>products are</w:t>
      </w:r>
      <w:r w:rsidR="00C95389">
        <w:rPr>
          <w:sz w:val="22"/>
          <w:szCs w:val="22"/>
        </w:rPr>
        <w:t xml:space="preserve"> not markedly different to the international </w:t>
      </w:r>
      <w:r w:rsidR="00CE7AF2">
        <w:rPr>
          <w:sz w:val="22"/>
          <w:szCs w:val="22"/>
        </w:rPr>
        <w:t>market</w:t>
      </w:r>
      <w:r w:rsidR="00C95389" w:rsidRPr="00C95389">
        <w:rPr>
          <w:sz w:val="22"/>
          <w:szCs w:val="22"/>
        </w:rPr>
        <w:t>, t</w:t>
      </w:r>
      <w:r w:rsidRPr="00C95389">
        <w:rPr>
          <w:sz w:val="22"/>
          <w:szCs w:val="22"/>
        </w:rPr>
        <w:t xml:space="preserve">here </w:t>
      </w:r>
      <w:r w:rsidR="00CE7AF2">
        <w:rPr>
          <w:sz w:val="22"/>
          <w:szCs w:val="22"/>
        </w:rPr>
        <w:t>are in</w:t>
      </w:r>
      <w:r w:rsidRPr="00C95389">
        <w:rPr>
          <w:sz w:val="22"/>
          <w:szCs w:val="22"/>
        </w:rPr>
        <w:t xml:space="preserve">sufficient </w:t>
      </w:r>
      <w:r w:rsidR="00C95389" w:rsidRPr="00C95389">
        <w:rPr>
          <w:sz w:val="22"/>
          <w:szCs w:val="22"/>
        </w:rPr>
        <w:t>grounds</w:t>
      </w:r>
      <w:r w:rsidRPr="00C95389">
        <w:rPr>
          <w:sz w:val="22"/>
          <w:szCs w:val="22"/>
        </w:rPr>
        <w:t xml:space="preserve"> to retain the </w:t>
      </w:r>
      <w:r w:rsidR="00C95389" w:rsidRPr="00C95389">
        <w:rPr>
          <w:sz w:val="22"/>
          <w:szCs w:val="22"/>
        </w:rPr>
        <w:t xml:space="preserve">8-hour limit </w:t>
      </w:r>
      <w:r w:rsidRPr="00C95389">
        <w:rPr>
          <w:sz w:val="22"/>
          <w:szCs w:val="22"/>
        </w:rPr>
        <w:t>in Australia</w:t>
      </w:r>
      <w:r w:rsidR="00AF2ED6">
        <w:rPr>
          <w:sz w:val="22"/>
          <w:szCs w:val="22"/>
        </w:rPr>
        <w:t xml:space="preserve">. In addition, aligning with regulation overseas will potentially increase supply (and </w:t>
      </w:r>
      <w:r w:rsidR="001412F1">
        <w:rPr>
          <w:sz w:val="22"/>
          <w:szCs w:val="22"/>
        </w:rPr>
        <w:t>the variety of menstrual cups available</w:t>
      </w:r>
      <w:r w:rsidR="00AF2ED6">
        <w:rPr>
          <w:sz w:val="22"/>
          <w:szCs w:val="22"/>
        </w:rPr>
        <w:t>) in Australia</w:t>
      </w:r>
      <w:r w:rsidRPr="00C95389">
        <w:rPr>
          <w:sz w:val="22"/>
          <w:szCs w:val="22"/>
        </w:rPr>
        <w:t>.</w:t>
      </w:r>
    </w:p>
    <w:p w14:paraId="771AEAF7" w14:textId="3148EF8F" w:rsidR="00C95389" w:rsidRPr="008C6AB1" w:rsidRDefault="00A82E6E" w:rsidP="00C95389">
      <w:pPr>
        <w:spacing w:after="240"/>
        <w:rPr>
          <w:sz w:val="22"/>
          <w:szCs w:val="22"/>
        </w:rPr>
      </w:pPr>
      <w:r w:rsidRPr="00470576">
        <w:rPr>
          <w:sz w:val="22"/>
          <w:szCs w:val="22"/>
        </w:rPr>
        <w:t xml:space="preserve">The </w:t>
      </w:r>
      <w:r w:rsidR="00CE3554" w:rsidRPr="00470576">
        <w:rPr>
          <w:sz w:val="22"/>
          <w:szCs w:val="22"/>
        </w:rPr>
        <w:t xml:space="preserve">Amendment </w:t>
      </w:r>
      <w:r w:rsidRPr="00470576">
        <w:rPr>
          <w:sz w:val="22"/>
          <w:szCs w:val="22"/>
        </w:rPr>
        <w:t xml:space="preserve">Order therefore </w:t>
      </w:r>
      <w:r w:rsidR="0072428C">
        <w:rPr>
          <w:sz w:val="22"/>
          <w:szCs w:val="22"/>
        </w:rPr>
        <w:t>amends</w:t>
      </w:r>
      <w:r w:rsidRPr="00470576">
        <w:rPr>
          <w:sz w:val="22"/>
          <w:szCs w:val="22"/>
        </w:rPr>
        <w:t xml:space="preserve"> the </w:t>
      </w:r>
      <w:r w:rsidR="007D436A" w:rsidRPr="00470576">
        <w:rPr>
          <w:sz w:val="22"/>
          <w:szCs w:val="22"/>
        </w:rPr>
        <w:t xml:space="preserve">Principal </w:t>
      </w:r>
      <w:r w:rsidRPr="00470576">
        <w:rPr>
          <w:sz w:val="22"/>
          <w:szCs w:val="22"/>
        </w:rPr>
        <w:t xml:space="preserve">Order to </w:t>
      </w:r>
      <w:r w:rsidR="00AF2ED6">
        <w:rPr>
          <w:sz w:val="22"/>
          <w:szCs w:val="22"/>
        </w:rPr>
        <w:t>provide that the information leaflet that must be supplied with a menstrual cup must include a limit to the duration of use, not exceeding 12 hours.</w:t>
      </w:r>
    </w:p>
    <w:p w14:paraId="7485789D" w14:textId="08C777F1" w:rsidR="007D4181" w:rsidRPr="00095DF2" w:rsidRDefault="00CE3554" w:rsidP="00095DF2">
      <w:pPr>
        <w:spacing w:after="240"/>
        <w:rPr>
          <w:sz w:val="22"/>
          <w:szCs w:val="22"/>
        </w:rPr>
      </w:pPr>
      <w:r w:rsidRPr="00470576">
        <w:rPr>
          <w:sz w:val="22"/>
          <w:szCs w:val="22"/>
        </w:rPr>
        <w:t xml:space="preserve">The Amendment Order also </w:t>
      </w:r>
      <w:r w:rsidR="009921F6" w:rsidRPr="00470576">
        <w:rPr>
          <w:sz w:val="22"/>
          <w:szCs w:val="22"/>
        </w:rPr>
        <w:t>makes an</w:t>
      </w:r>
      <w:r w:rsidR="00C06059">
        <w:rPr>
          <w:sz w:val="22"/>
          <w:szCs w:val="22"/>
        </w:rPr>
        <w:t xml:space="preserve">other </w:t>
      </w:r>
      <w:r w:rsidR="009921F6" w:rsidRPr="00470576">
        <w:rPr>
          <w:sz w:val="22"/>
          <w:szCs w:val="22"/>
        </w:rPr>
        <w:t>minor amendment to</w:t>
      </w:r>
      <w:r w:rsidR="00F93C25">
        <w:rPr>
          <w:sz w:val="22"/>
          <w:szCs w:val="22"/>
        </w:rPr>
        <w:t xml:space="preserve"> </w:t>
      </w:r>
      <w:r w:rsidR="0072428C">
        <w:rPr>
          <w:sz w:val="22"/>
          <w:szCs w:val="22"/>
        </w:rPr>
        <w:t xml:space="preserve">include a refence to </w:t>
      </w:r>
      <w:r w:rsidR="00AF2ED6">
        <w:rPr>
          <w:sz w:val="22"/>
          <w:szCs w:val="22"/>
        </w:rPr>
        <w:t>“</w:t>
      </w:r>
      <w:r w:rsidR="0072428C">
        <w:rPr>
          <w:sz w:val="22"/>
          <w:szCs w:val="22"/>
        </w:rPr>
        <w:t>TGO 99</w:t>
      </w:r>
      <w:r w:rsidR="00AF2ED6">
        <w:rPr>
          <w:sz w:val="22"/>
          <w:szCs w:val="22"/>
        </w:rPr>
        <w:t>”</w:t>
      </w:r>
      <w:r w:rsidR="0072428C">
        <w:rPr>
          <w:sz w:val="22"/>
          <w:szCs w:val="22"/>
        </w:rPr>
        <w:t xml:space="preserve"> within the name of the instrument.</w:t>
      </w:r>
      <w:r w:rsidR="001B6E81" w:rsidRPr="00470576">
        <w:rPr>
          <w:sz w:val="22"/>
          <w:szCs w:val="22"/>
        </w:rPr>
        <w:t xml:space="preserve"> </w:t>
      </w:r>
      <w:r w:rsidR="00AF2ED6">
        <w:rPr>
          <w:sz w:val="22"/>
          <w:szCs w:val="22"/>
        </w:rPr>
        <w:t xml:space="preserve">As this instrument is commonly referred to as “TGO 99”, this will improve access to the instrument when searching for TGO 99. </w:t>
      </w:r>
    </w:p>
    <w:p w14:paraId="3F710516" w14:textId="77777777" w:rsidR="004B53A9" w:rsidRPr="00E0153D" w:rsidRDefault="004B53A9" w:rsidP="00A027B8">
      <w:pPr>
        <w:spacing w:after="240"/>
        <w:rPr>
          <w:sz w:val="22"/>
          <w:szCs w:val="22"/>
        </w:rPr>
      </w:pPr>
      <w:r w:rsidRPr="00E0153D">
        <w:rPr>
          <w:b/>
          <w:sz w:val="22"/>
          <w:szCs w:val="22"/>
        </w:rPr>
        <w:t>Consultation</w:t>
      </w:r>
    </w:p>
    <w:p w14:paraId="22EA99FA" w14:textId="3FB1ECDE" w:rsidR="000A6231" w:rsidRPr="00E0153D" w:rsidRDefault="00AF2ED6" w:rsidP="009E73AE">
      <w:pPr>
        <w:spacing w:after="240"/>
        <w:rPr>
          <w:sz w:val="22"/>
          <w:szCs w:val="22"/>
        </w:rPr>
      </w:pPr>
      <w:r w:rsidRPr="00E0153D">
        <w:rPr>
          <w:sz w:val="22"/>
          <w:szCs w:val="22"/>
        </w:rPr>
        <w:t>In Ju</w:t>
      </w:r>
      <w:r w:rsidR="00DD162C">
        <w:rPr>
          <w:sz w:val="22"/>
          <w:szCs w:val="22"/>
        </w:rPr>
        <w:t>ly</w:t>
      </w:r>
      <w:r w:rsidRPr="00E0153D">
        <w:rPr>
          <w:sz w:val="22"/>
          <w:szCs w:val="22"/>
        </w:rPr>
        <w:t xml:space="preserve"> 2023, </w:t>
      </w:r>
      <w:r w:rsidR="000A6231" w:rsidRPr="00E0153D">
        <w:rPr>
          <w:sz w:val="22"/>
          <w:szCs w:val="22"/>
        </w:rPr>
        <w:t>RegTech was informed of the proposed amendments and given the opportunity to provide feedback</w:t>
      </w:r>
      <w:r w:rsidR="009A3F6E" w:rsidRPr="00E0153D">
        <w:rPr>
          <w:sz w:val="22"/>
          <w:szCs w:val="22"/>
        </w:rPr>
        <w:t xml:space="preserve">. </w:t>
      </w:r>
      <w:r w:rsidR="001412F1" w:rsidRPr="00E0153D">
        <w:rPr>
          <w:sz w:val="22"/>
          <w:szCs w:val="22"/>
        </w:rPr>
        <w:t>RegTech is a forum of key industry bodies and associations that facilitates consultation between the TGA and the medical device industry. N</w:t>
      </w:r>
      <w:r w:rsidR="000A6231" w:rsidRPr="00E0153D">
        <w:rPr>
          <w:sz w:val="22"/>
          <w:szCs w:val="22"/>
        </w:rPr>
        <w:t>o specific feedback</w:t>
      </w:r>
      <w:r w:rsidR="009A3F6E" w:rsidRPr="00E0153D">
        <w:rPr>
          <w:sz w:val="22"/>
          <w:szCs w:val="22"/>
        </w:rPr>
        <w:t xml:space="preserve"> was received from RegTech.</w:t>
      </w:r>
      <w:r w:rsidR="000A6231" w:rsidRPr="00E0153D">
        <w:rPr>
          <w:sz w:val="22"/>
          <w:szCs w:val="22"/>
        </w:rPr>
        <w:t xml:space="preserve"> </w:t>
      </w:r>
    </w:p>
    <w:p w14:paraId="0B225199" w14:textId="30192A17" w:rsidR="00FA4A1B" w:rsidRPr="00E0153D" w:rsidRDefault="001412F1" w:rsidP="009E73AE">
      <w:pPr>
        <w:spacing w:after="240"/>
        <w:rPr>
          <w:sz w:val="22"/>
          <w:szCs w:val="22"/>
        </w:rPr>
      </w:pPr>
      <w:r w:rsidRPr="00E0153D">
        <w:rPr>
          <w:sz w:val="22"/>
          <w:szCs w:val="22"/>
        </w:rPr>
        <w:t>T</w:t>
      </w:r>
      <w:r w:rsidR="00692A7D" w:rsidRPr="00E0153D">
        <w:rPr>
          <w:sz w:val="22"/>
          <w:szCs w:val="22"/>
        </w:rPr>
        <w:t>he Office of Impact Analysis</w:t>
      </w:r>
      <w:r w:rsidR="00760A59" w:rsidRPr="00E0153D">
        <w:rPr>
          <w:sz w:val="22"/>
          <w:szCs w:val="22"/>
        </w:rPr>
        <w:t xml:space="preserve"> advised that the making of the Amendment Order is unlikely to have </w:t>
      </w:r>
      <w:r w:rsidR="00FA4A1B" w:rsidRPr="00E0153D">
        <w:rPr>
          <w:sz w:val="22"/>
          <w:szCs w:val="22"/>
        </w:rPr>
        <w:t xml:space="preserve">a </w:t>
      </w:r>
      <w:r w:rsidR="00760A59" w:rsidRPr="00E0153D">
        <w:rPr>
          <w:sz w:val="22"/>
          <w:szCs w:val="22"/>
        </w:rPr>
        <w:t>more than minor regulatory impact</w:t>
      </w:r>
      <w:r w:rsidR="00FA4A1B" w:rsidRPr="00E0153D">
        <w:rPr>
          <w:sz w:val="22"/>
          <w:szCs w:val="22"/>
        </w:rPr>
        <w:t xml:space="preserve"> </w:t>
      </w:r>
      <w:r w:rsidRPr="00E0153D">
        <w:rPr>
          <w:sz w:val="22"/>
          <w:szCs w:val="22"/>
        </w:rPr>
        <w:t>so</w:t>
      </w:r>
      <w:r w:rsidR="00FA4A1B" w:rsidRPr="00E0153D">
        <w:rPr>
          <w:sz w:val="22"/>
          <w:szCs w:val="22"/>
        </w:rPr>
        <w:t xml:space="preserve"> the preparation of an Impact Analysis is not required</w:t>
      </w:r>
      <w:r w:rsidR="000A6231" w:rsidRPr="00E0153D">
        <w:rPr>
          <w:sz w:val="22"/>
          <w:szCs w:val="22"/>
        </w:rPr>
        <w:t xml:space="preserve"> (OIA23-05256)</w:t>
      </w:r>
      <w:r w:rsidR="00FA4A1B" w:rsidRPr="00E0153D">
        <w:rPr>
          <w:sz w:val="22"/>
          <w:szCs w:val="22"/>
        </w:rPr>
        <w:t>.</w:t>
      </w:r>
    </w:p>
    <w:p w14:paraId="6C94FCF4" w14:textId="77777777" w:rsidR="00E82F88" w:rsidRPr="00E0153D" w:rsidRDefault="00E82F88" w:rsidP="00E82F88">
      <w:pPr>
        <w:spacing w:after="240"/>
        <w:rPr>
          <w:sz w:val="22"/>
          <w:szCs w:val="22"/>
        </w:rPr>
      </w:pPr>
      <w:r w:rsidRPr="00E0153D">
        <w:rPr>
          <w:sz w:val="22"/>
          <w:szCs w:val="22"/>
        </w:rPr>
        <w:t xml:space="preserve">Details of </w:t>
      </w:r>
      <w:r w:rsidR="009B1A45" w:rsidRPr="00E0153D">
        <w:rPr>
          <w:sz w:val="22"/>
          <w:szCs w:val="22"/>
        </w:rPr>
        <w:t xml:space="preserve">the </w:t>
      </w:r>
      <w:r w:rsidR="009921F6" w:rsidRPr="00E0153D">
        <w:rPr>
          <w:sz w:val="22"/>
          <w:szCs w:val="22"/>
        </w:rPr>
        <w:t xml:space="preserve">Amendment </w:t>
      </w:r>
      <w:r w:rsidR="009B1A45" w:rsidRPr="00E0153D">
        <w:rPr>
          <w:sz w:val="22"/>
          <w:szCs w:val="22"/>
        </w:rPr>
        <w:t>Order</w:t>
      </w:r>
      <w:r w:rsidR="009D289C" w:rsidRPr="00E0153D">
        <w:rPr>
          <w:sz w:val="22"/>
          <w:szCs w:val="22"/>
        </w:rPr>
        <w:t xml:space="preserve"> </w:t>
      </w:r>
      <w:r w:rsidRPr="00E0153D">
        <w:rPr>
          <w:sz w:val="22"/>
          <w:szCs w:val="22"/>
        </w:rPr>
        <w:t xml:space="preserve">are set out in </w:t>
      </w:r>
      <w:r w:rsidRPr="00E0153D">
        <w:rPr>
          <w:b/>
          <w:sz w:val="22"/>
          <w:szCs w:val="22"/>
        </w:rPr>
        <w:t>Attachment A</w:t>
      </w:r>
      <w:r w:rsidRPr="00E0153D">
        <w:rPr>
          <w:sz w:val="22"/>
          <w:szCs w:val="22"/>
        </w:rPr>
        <w:t>.</w:t>
      </w:r>
    </w:p>
    <w:p w14:paraId="2AB91EDE" w14:textId="77777777" w:rsidR="00E82F88" w:rsidRPr="00E0153D" w:rsidRDefault="009B1A45" w:rsidP="00E82F88">
      <w:pPr>
        <w:spacing w:after="240"/>
        <w:rPr>
          <w:sz w:val="22"/>
          <w:szCs w:val="22"/>
        </w:rPr>
      </w:pPr>
      <w:r w:rsidRPr="00E0153D">
        <w:rPr>
          <w:sz w:val="22"/>
          <w:szCs w:val="22"/>
        </w:rPr>
        <w:t>The</w:t>
      </w:r>
      <w:r w:rsidR="009921F6" w:rsidRPr="00E0153D">
        <w:rPr>
          <w:sz w:val="22"/>
          <w:szCs w:val="22"/>
        </w:rPr>
        <w:t xml:space="preserve"> Amendment</w:t>
      </w:r>
      <w:r w:rsidRPr="00E0153D">
        <w:rPr>
          <w:sz w:val="22"/>
          <w:szCs w:val="22"/>
        </w:rPr>
        <w:t xml:space="preserve"> Order</w:t>
      </w:r>
      <w:r w:rsidR="009D289C" w:rsidRPr="00E0153D">
        <w:rPr>
          <w:sz w:val="22"/>
          <w:szCs w:val="22"/>
        </w:rPr>
        <w:t xml:space="preserve"> </w:t>
      </w:r>
      <w:r w:rsidR="00E82F88" w:rsidRPr="00E0153D">
        <w:rPr>
          <w:sz w:val="22"/>
          <w:szCs w:val="22"/>
        </w:rPr>
        <w:t xml:space="preserve">is compatible with the human rights and freedoms recognised or declared under section 3 of the </w:t>
      </w:r>
      <w:r w:rsidR="00E82F88" w:rsidRPr="00E0153D">
        <w:rPr>
          <w:i/>
          <w:sz w:val="22"/>
          <w:szCs w:val="22"/>
        </w:rPr>
        <w:t>Human Rights (Parliamentary Scrutiny) Act 2011</w:t>
      </w:r>
      <w:r w:rsidR="00E82F88" w:rsidRPr="00E0153D">
        <w:rPr>
          <w:sz w:val="22"/>
          <w:szCs w:val="22"/>
        </w:rPr>
        <w:t xml:space="preserve">. A full statement of compatibility is set out in </w:t>
      </w:r>
      <w:r w:rsidR="00E82F88" w:rsidRPr="00E0153D">
        <w:rPr>
          <w:b/>
          <w:sz w:val="22"/>
          <w:szCs w:val="22"/>
        </w:rPr>
        <w:t>Attachment B.</w:t>
      </w:r>
    </w:p>
    <w:p w14:paraId="1AE1F8CD" w14:textId="093A9D73" w:rsidR="00E82F88" w:rsidRPr="00E0153D" w:rsidRDefault="009B1A45" w:rsidP="00E82F88">
      <w:pPr>
        <w:spacing w:after="240"/>
        <w:rPr>
          <w:sz w:val="22"/>
          <w:szCs w:val="22"/>
        </w:rPr>
      </w:pPr>
      <w:r w:rsidRPr="00E0153D">
        <w:rPr>
          <w:sz w:val="22"/>
          <w:szCs w:val="22"/>
        </w:rPr>
        <w:t xml:space="preserve">The </w:t>
      </w:r>
      <w:r w:rsidR="009921F6" w:rsidRPr="00E0153D">
        <w:rPr>
          <w:sz w:val="22"/>
          <w:szCs w:val="22"/>
        </w:rPr>
        <w:t xml:space="preserve">Amendment </w:t>
      </w:r>
      <w:r w:rsidRPr="00E0153D">
        <w:rPr>
          <w:sz w:val="22"/>
          <w:szCs w:val="22"/>
        </w:rPr>
        <w:t>Order</w:t>
      </w:r>
      <w:r w:rsidR="00E82F88" w:rsidRPr="00E0153D">
        <w:rPr>
          <w:sz w:val="22"/>
          <w:szCs w:val="22"/>
        </w:rPr>
        <w:t xml:space="preserve"> is a disallowable legislative </w:t>
      </w:r>
      <w:proofErr w:type="gramStart"/>
      <w:r w:rsidR="00E82F88" w:rsidRPr="00E0153D">
        <w:rPr>
          <w:sz w:val="22"/>
          <w:szCs w:val="22"/>
        </w:rPr>
        <w:t>instrument, and</w:t>
      </w:r>
      <w:proofErr w:type="gramEnd"/>
      <w:r w:rsidR="00E82F88" w:rsidRPr="00E0153D">
        <w:rPr>
          <w:sz w:val="22"/>
          <w:szCs w:val="22"/>
        </w:rPr>
        <w:t xml:space="preserve"> </w:t>
      </w:r>
      <w:r w:rsidR="00FD5520" w:rsidRPr="00E0153D">
        <w:rPr>
          <w:sz w:val="22"/>
          <w:szCs w:val="22"/>
        </w:rPr>
        <w:t>commences the day after registration on the Federal Register of Legislation</w:t>
      </w:r>
      <w:r w:rsidR="00E82F88" w:rsidRPr="00E0153D">
        <w:rPr>
          <w:sz w:val="22"/>
          <w:szCs w:val="22"/>
        </w:rPr>
        <w:t>.</w:t>
      </w:r>
    </w:p>
    <w:p w14:paraId="6A129541" w14:textId="790B3348" w:rsidR="00E82F88" w:rsidRDefault="00E82F88" w:rsidP="00F251E1">
      <w:pPr>
        <w:shd w:val="clear" w:color="auto" w:fill="FFFFFF"/>
        <w:spacing w:before="100" w:beforeAutospacing="1" w:after="120"/>
        <w:jc w:val="right"/>
        <w:rPr>
          <w:b/>
          <w:bCs/>
          <w:sz w:val="22"/>
          <w:szCs w:val="22"/>
        </w:rPr>
      </w:pPr>
      <w:r w:rsidRPr="00470576">
        <w:rPr>
          <w:rFonts w:ascii="TimesNewRomanPSMT" w:hAnsi="TimesNewRomanPSMT" w:cs="TimesNewRomanPSMT"/>
          <w:sz w:val="22"/>
          <w:szCs w:val="22"/>
        </w:rPr>
        <w:br w:type="page"/>
      </w:r>
      <w:r w:rsidR="00560710" w:rsidRPr="00692A7D">
        <w:rPr>
          <w:b/>
          <w:bCs/>
          <w:sz w:val="22"/>
          <w:szCs w:val="22"/>
        </w:rPr>
        <w:lastRenderedPageBreak/>
        <w:t xml:space="preserve">Attachment </w:t>
      </w:r>
      <w:r w:rsidRPr="00692A7D">
        <w:rPr>
          <w:b/>
          <w:bCs/>
          <w:sz w:val="22"/>
          <w:szCs w:val="22"/>
        </w:rPr>
        <w:t>A</w:t>
      </w:r>
    </w:p>
    <w:p w14:paraId="3DBB5661" w14:textId="77777777" w:rsidR="00F251E1" w:rsidRPr="00470576" w:rsidRDefault="00F251E1" w:rsidP="00692A7D">
      <w:pPr>
        <w:shd w:val="clear" w:color="auto" w:fill="FFFFFF"/>
        <w:rPr>
          <w:sz w:val="22"/>
          <w:szCs w:val="22"/>
        </w:rPr>
      </w:pPr>
    </w:p>
    <w:p w14:paraId="65F4D513" w14:textId="6C101B11" w:rsidR="009921F6" w:rsidRPr="009A1B18" w:rsidRDefault="00E82F88" w:rsidP="000F68E9">
      <w:pPr>
        <w:rPr>
          <w:rFonts w:ascii="Times New (W1)" w:hAnsi="Times New (W1)" w:cs="Times New (W1)"/>
          <w:b/>
          <w:bCs/>
          <w:sz w:val="22"/>
          <w:szCs w:val="22"/>
        </w:rPr>
      </w:pPr>
      <w:bookmarkStart w:id="1" w:name="_Toc199566624"/>
      <w:r w:rsidRPr="00470576">
        <w:rPr>
          <w:b/>
          <w:sz w:val="22"/>
          <w:szCs w:val="22"/>
        </w:rPr>
        <w:t xml:space="preserve">Details of </w:t>
      </w:r>
      <w:r w:rsidR="00560710" w:rsidRPr="00470576">
        <w:rPr>
          <w:b/>
          <w:sz w:val="22"/>
          <w:szCs w:val="22"/>
        </w:rPr>
        <w:t xml:space="preserve">the </w:t>
      </w:r>
      <w:r w:rsidR="009A1B18" w:rsidRPr="009A1B18">
        <w:rPr>
          <w:b/>
          <w:bCs/>
          <w:i/>
          <w:sz w:val="22"/>
          <w:szCs w:val="22"/>
        </w:rPr>
        <w:t xml:space="preserve">Therapeutic Goods (Standard for Menstrual Cups) </w:t>
      </w:r>
      <w:r w:rsidR="001412F1">
        <w:rPr>
          <w:b/>
          <w:bCs/>
          <w:i/>
          <w:sz w:val="22"/>
          <w:szCs w:val="22"/>
        </w:rPr>
        <w:t xml:space="preserve">Amendment </w:t>
      </w:r>
      <w:r w:rsidR="009A1B18" w:rsidRPr="009A1B18">
        <w:rPr>
          <w:b/>
          <w:bCs/>
          <w:i/>
          <w:sz w:val="22"/>
          <w:szCs w:val="22"/>
        </w:rPr>
        <w:t>Order</w:t>
      </w:r>
      <w:r w:rsidR="001412F1">
        <w:rPr>
          <w:b/>
          <w:bCs/>
          <w:i/>
          <w:sz w:val="22"/>
          <w:szCs w:val="22"/>
        </w:rPr>
        <w:t> </w:t>
      </w:r>
      <w:r w:rsidR="009A1B18" w:rsidRPr="009A1B18">
        <w:rPr>
          <w:b/>
          <w:bCs/>
          <w:i/>
          <w:sz w:val="22"/>
          <w:szCs w:val="22"/>
        </w:rPr>
        <w:t>2023</w:t>
      </w:r>
    </w:p>
    <w:p w14:paraId="7C9F1A68" w14:textId="77777777" w:rsidR="00E82F88" w:rsidRPr="00692A7D" w:rsidRDefault="00E82F88" w:rsidP="00E82F88">
      <w:pPr>
        <w:rPr>
          <w:rFonts w:ascii="Times New (W1)" w:hAnsi="Times New (W1)" w:cs="Times New (W1)"/>
          <w:sz w:val="22"/>
          <w:szCs w:val="22"/>
        </w:rPr>
      </w:pPr>
    </w:p>
    <w:p w14:paraId="7EC5062F" w14:textId="6E796295" w:rsidR="00E82F88" w:rsidRDefault="00E82F88" w:rsidP="00F251E1">
      <w:pPr>
        <w:shd w:val="clear" w:color="auto" w:fill="FFFFFF"/>
        <w:rPr>
          <w:b/>
          <w:bCs/>
          <w:sz w:val="22"/>
          <w:szCs w:val="22"/>
        </w:rPr>
      </w:pPr>
      <w:r w:rsidRPr="00470576">
        <w:rPr>
          <w:b/>
          <w:sz w:val="22"/>
          <w:szCs w:val="22"/>
        </w:rPr>
        <w:t>Section 1</w:t>
      </w:r>
      <w:r w:rsidRPr="004B4201">
        <w:rPr>
          <w:b/>
          <w:bCs/>
          <w:sz w:val="22"/>
          <w:szCs w:val="22"/>
        </w:rPr>
        <w:t xml:space="preserve"> </w:t>
      </w:r>
      <w:r w:rsidR="001412F1" w:rsidRPr="004B4201">
        <w:rPr>
          <w:b/>
          <w:bCs/>
          <w:sz w:val="22"/>
          <w:szCs w:val="22"/>
        </w:rPr>
        <w:t xml:space="preserve">– </w:t>
      </w:r>
      <w:r w:rsidRPr="00F251E1">
        <w:rPr>
          <w:b/>
          <w:bCs/>
          <w:sz w:val="22"/>
          <w:szCs w:val="22"/>
        </w:rPr>
        <w:t>Name</w:t>
      </w:r>
      <w:r w:rsidR="001412F1">
        <w:rPr>
          <w:b/>
          <w:bCs/>
          <w:sz w:val="22"/>
          <w:szCs w:val="22"/>
        </w:rPr>
        <w:t xml:space="preserve"> </w:t>
      </w:r>
    </w:p>
    <w:p w14:paraId="404688C2" w14:textId="77777777" w:rsidR="00F251E1" w:rsidRPr="00F251E1" w:rsidRDefault="00F251E1" w:rsidP="00692A7D">
      <w:pPr>
        <w:shd w:val="clear" w:color="auto" w:fill="FFFFFF"/>
        <w:rPr>
          <w:sz w:val="22"/>
          <w:szCs w:val="22"/>
        </w:rPr>
      </w:pPr>
    </w:p>
    <w:p w14:paraId="678B2365" w14:textId="02BD11C0" w:rsidR="004A6730" w:rsidRPr="00692A7D" w:rsidRDefault="00E82F88" w:rsidP="000F68E9">
      <w:pPr>
        <w:spacing w:after="240"/>
        <w:rPr>
          <w:sz w:val="22"/>
          <w:szCs w:val="22"/>
        </w:rPr>
      </w:pPr>
      <w:r w:rsidRPr="00470576">
        <w:rPr>
          <w:sz w:val="22"/>
          <w:szCs w:val="22"/>
        </w:rPr>
        <w:t>This section provides that the name of th</w:t>
      </w:r>
      <w:r w:rsidR="00F155C3" w:rsidRPr="00470576">
        <w:rPr>
          <w:sz w:val="22"/>
          <w:szCs w:val="22"/>
        </w:rPr>
        <w:t>e</w:t>
      </w:r>
      <w:r w:rsidRPr="00470576">
        <w:rPr>
          <w:sz w:val="22"/>
          <w:szCs w:val="22"/>
        </w:rPr>
        <w:t xml:space="preserve"> </w:t>
      </w:r>
      <w:r w:rsidR="00B47456">
        <w:rPr>
          <w:sz w:val="22"/>
          <w:szCs w:val="22"/>
        </w:rPr>
        <w:t>instrument</w:t>
      </w:r>
      <w:r w:rsidRPr="00470576">
        <w:rPr>
          <w:sz w:val="22"/>
          <w:szCs w:val="22"/>
        </w:rPr>
        <w:t xml:space="preserve"> is</w:t>
      </w:r>
      <w:r w:rsidR="00560710" w:rsidRPr="00470576">
        <w:rPr>
          <w:sz w:val="22"/>
          <w:szCs w:val="22"/>
        </w:rPr>
        <w:t xml:space="preserve"> the</w:t>
      </w:r>
      <w:r w:rsidRPr="00470576">
        <w:rPr>
          <w:sz w:val="22"/>
          <w:szCs w:val="22"/>
        </w:rPr>
        <w:t xml:space="preserve"> </w:t>
      </w:r>
      <w:bookmarkEnd w:id="1"/>
      <w:r w:rsidR="009A1B18" w:rsidRPr="00F251E1">
        <w:rPr>
          <w:i/>
          <w:iCs/>
          <w:sz w:val="22"/>
          <w:szCs w:val="22"/>
        </w:rPr>
        <w:t xml:space="preserve">Therapeutic Goods (Standard for Menstrual Cups) </w:t>
      </w:r>
      <w:r w:rsidR="001412F1">
        <w:rPr>
          <w:i/>
          <w:iCs/>
          <w:sz w:val="22"/>
          <w:szCs w:val="22"/>
        </w:rPr>
        <w:t xml:space="preserve">Amendment </w:t>
      </w:r>
      <w:r w:rsidR="009A1B18" w:rsidRPr="00F251E1">
        <w:rPr>
          <w:i/>
          <w:iCs/>
          <w:sz w:val="22"/>
          <w:szCs w:val="22"/>
        </w:rPr>
        <w:t>Order 2023</w:t>
      </w:r>
      <w:r w:rsidR="00B47456" w:rsidRPr="00692A7D">
        <w:rPr>
          <w:sz w:val="22"/>
          <w:szCs w:val="22"/>
        </w:rPr>
        <w:t xml:space="preserve"> </w:t>
      </w:r>
      <w:r w:rsidR="00B47456" w:rsidRPr="00F251E1">
        <w:rPr>
          <w:sz w:val="22"/>
          <w:szCs w:val="22"/>
        </w:rPr>
        <w:t>(“the Amendment Order”)</w:t>
      </w:r>
      <w:r w:rsidRPr="00692A7D">
        <w:rPr>
          <w:sz w:val="22"/>
          <w:szCs w:val="22"/>
        </w:rPr>
        <w:t>.</w:t>
      </w:r>
      <w:bookmarkStart w:id="2" w:name="_Toc199566625"/>
    </w:p>
    <w:p w14:paraId="5FD9D04D" w14:textId="6C3ED838" w:rsidR="00E82F88" w:rsidRPr="00692A7D" w:rsidRDefault="00E82F88" w:rsidP="00692A7D">
      <w:pPr>
        <w:shd w:val="clear" w:color="auto" w:fill="FFFFFF"/>
        <w:rPr>
          <w:b/>
          <w:sz w:val="22"/>
          <w:szCs w:val="22"/>
        </w:rPr>
      </w:pPr>
      <w:r w:rsidRPr="00470576">
        <w:rPr>
          <w:b/>
          <w:sz w:val="22"/>
          <w:szCs w:val="22"/>
        </w:rPr>
        <w:t>Section 2</w:t>
      </w:r>
      <w:r w:rsidRPr="001412F1">
        <w:rPr>
          <w:b/>
          <w:bCs/>
          <w:sz w:val="22"/>
          <w:szCs w:val="22"/>
        </w:rPr>
        <w:t xml:space="preserve"> </w:t>
      </w:r>
      <w:r w:rsidR="001412F1" w:rsidRPr="004B4201">
        <w:rPr>
          <w:b/>
          <w:bCs/>
          <w:sz w:val="22"/>
          <w:szCs w:val="22"/>
        </w:rPr>
        <w:t xml:space="preserve">– </w:t>
      </w:r>
      <w:r w:rsidRPr="00470576">
        <w:rPr>
          <w:b/>
          <w:sz w:val="22"/>
          <w:szCs w:val="22"/>
        </w:rPr>
        <w:t>Commencement</w:t>
      </w:r>
    </w:p>
    <w:p w14:paraId="0E350136" w14:textId="77777777" w:rsidR="00F251E1" w:rsidRDefault="00F251E1" w:rsidP="00692A7D">
      <w:pPr>
        <w:rPr>
          <w:sz w:val="22"/>
          <w:szCs w:val="22"/>
        </w:rPr>
      </w:pPr>
    </w:p>
    <w:p w14:paraId="4219086B" w14:textId="11DAB3EB" w:rsidR="00E82F88" w:rsidRPr="00470576" w:rsidRDefault="00E82F88" w:rsidP="00692A7D">
      <w:pPr>
        <w:spacing w:after="240"/>
        <w:rPr>
          <w:sz w:val="22"/>
          <w:szCs w:val="22"/>
        </w:rPr>
      </w:pPr>
      <w:r w:rsidRPr="00470576">
        <w:rPr>
          <w:sz w:val="22"/>
          <w:szCs w:val="22"/>
        </w:rPr>
        <w:t>This section provides that</w:t>
      </w:r>
      <w:bookmarkEnd w:id="2"/>
      <w:r w:rsidRPr="00470576">
        <w:rPr>
          <w:sz w:val="22"/>
          <w:szCs w:val="22"/>
        </w:rPr>
        <w:t xml:space="preserve"> th</w:t>
      </w:r>
      <w:r w:rsidR="00E71D82" w:rsidRPr="00470576">
        <w:rPr>
          <w:sz w:val="22"/>
          <w:szCs w:val="22"/>
        </w:rPr>
        <w:t>e</w:t>
      </w:r>
      <w:r w:rsidRPr="00470576">
        <w:rPr>
          <w:sz w:val="22"/>
          <w:szCs w:val="22"/>
        </w:rPr>
        <w:t xml:space="preserve"> </w:t>
      </w:r>
      <w:r w:rsidR="009921F6" w:rsidRPr="00470576">
        <w:rPr>
          <w:sz w:val="22"/>
          <w:szCs w:val="22"/>
        </w:rPr>
        <w:t xml:space="preserve">Amendment </w:t>
      </w:r>
      <w:r w:rsidRPr="00470576">
        <w:rPr>
          <w:sz w:val="22"/>
          <w:szCs w:val="22"/>
        </w:rPr>
        <w:t xml:space="preserve">Order commences </w:t>
      </w:r>
      <w:r w:rsidR="009A1B18" w:rsidRPr="009A1B18">
        <w:rPr>
          <w:sz w:val="22"/>
          <w:szCs w:val="22"/>
        </w:rPr>
        <w:t>on the day after registration on the Federal Register of Legislation</w:t>
      </w:r>
      <w:r w:rsidRPr="00470576">
        <w:rPr>
          <w:sz w:val="22"/>
          <w:szCs w:val="22"/>
        </w:rPr>
        <w:t>.</w:t>
      </w:r>
    </w:p>
    <w:p w14:paraId="5564C0AB" w14:textId="21178976" w:rsidR="00E82F88" w:rsidRPr="00470576" w:rsidRDefault="00E82F88" w:rsidP="00692A7D">
      <w:pPr>
        <w:shd w:val="clear" w:color="auto" w:fill="FFFFFF"/>
        <w:rPr>
          <w:b/>
          <w:sz w:val="22"/>
          <w:szCs w:val="22"/>
        </w:rPr>
      </w:pPr>
      <w:bookmarkStart w:id="3" w:name="_Toc199566627"/>
      <w:r w:rsidRPr="00470576">
        <w:rPr>
          <w:b/>
          <w:sz w:val="22"/>
          <w:szCs w:val="22"/>
        </w:rPr>
        <w:t>Section 3</w:t>
      </w:r>
      <w:bookmarkEnd w:id="3"/>
      <w:r w:rsidRPr="001412F1">
        <w:rPr>
          <w:b/>
          <w:bCs/>
          <w:sz w:val="22"/>
          <w:szCs w:val="22"/>
        </w:rPr>
        <w:t xml:space="preserve"> </w:t>
      </w:r>
      <w:r w:rsidR="001412F1" w:rsidRPr="004B4201">
        <w:rPr>
          <w:b/>
          <w:bCs/>
          <w:sz w:val="22"/>
          <w:szCs w:val="22"/>
        </w:rPr>
        <w:t xml:space="preserve">– </w:t>
      </w:r>
      <w:r w:rsidRPr="00470576">
        <w:rPr>
          <w:b/>
          <w:sz w:val="22"/>
          <w:szCs w:val="22"/>
        </w:rPr>
        <w:t>Authority</w:t>
      </w:r>
    </w:p>
    <w:p w14:paraId="15404B1F" w14:textId="1D7586BA" w:rsidR="00E82F88" w:rsidRPr="00470576" w:rsidRDefault="00E82F88" w:rsidP="00692A7D">
      <w:pPr>
        <w:spacing w:after="240"/>
        <w:rPr>
          <w:sz w:val="22"/>
          <w:szCs w:val="22"/>
        </w:rPr>
      </w:pPr>
      <w:r w:rsidRPr="00470576">
        <w:rPr>
          <w:sz w:val="22"/>
          <w:szCs w:val="22"/>
        </w:rPr>
        <w:t xml:space="preserve">This section provides that the legislative authority for making the </w:t>
      </w:r>
      <w:r w:rsidR="00B47456" w:rsidRPr="00470576">
        <w:rPr>
          <w:sz w:val="22"/>
          <w:szCs w:val="22"/>
        </w:rPr>
        <w:t xml:space="preserve">Amendment </w:t>
      </w:r>
      <w:r w:rsidRPr="00470576">
        <w:rPr>
          <w:sz w:val="22"/>
          <w:szCs w:val="22"/>
        </w:rPr>
        <w:t xml:space="preserve">Order is section 10 of the </w:t>
      </w:r>
      <w:r w:rsidRPr="00F251E1">
        <w:rPr>
          <w:i/>
          <w:iCs/>
          <w:sz w:val="22"/>
          <w:szCs w:val="22"/>
        </w:rPr>
        <w:t>Therapeutic Goods Act 1989</w:t>
      </w:r>
      <w:r w:rsidRPr="00470576">
        <w:rPr>
          <w:sz w:val="22"/>
          <w:szCs w:val="22"/>
        </w:rPr>
        <w:t>.</w:t>
      </w:r>
    </w:p>
    <w:p w14:paraId="5E8EA66C" w14:textId="1E6EF4EF" w:rsidR="00E82F88" w:rsidRPr="00692A7D" w:rsidRDefault="00E82F88" w:rsidP="00692A7D">
      <w:pPr>
        <w:shd w:val="clear" w:color="auto" w:fill="FFFFFF"/>
        <w:rPr>
          <w:b/>
          <w:sz w:val="22"/>
          <w:szCs w:val="22"/>
        </w:rPr>
      </w:pPr>
      <w:bookmarkStart w:id="4" w:name="_Toc199566628"/>
      <w:r w:rsidRPr="00470576">
        <w:rPr>
          <w:b/>
          <w:sz w:val="22"/>
          <w:szCs w:val="22"/>
        </w:rPr>
        <w:t>Section 4</w:t>
      </w:r>
      <w:r w:rsidRPr="001412F1">
        <w:rPr>
          <w:b/>
          <w:bCs/>
          <w:sz w:val="22"/>
          <w:szCs w:val="22"/>
        </w:rPr>
        <w:t xml:space="preserve"> </w:t>
      </w:r>
      <w:r w:rsidR="001412F1" w:rsidRPr="004B4201">
        <w:rPr>
          <w:b/>
          <w:bCs/>
          <w:sz w:val="22"/>
          <w:szCs w:val="22"/>
        </w:rPr>
        <w:t xml:space="preserve">– </w:t>
      </w:r>
      <w:r w:rsidR="00B47456">
        <w:rPr>
          <w:b/>
          <w:sz w:val="22"/>
          <w:szCs w:val="22"/>
        </w:rPr>
        <w:t>Schedules</w:t>
      </w:r>
    </w:p>
    <w:p w14:paraId="219365FC" w14:textId="77777777" w:rsidR="00A205EA" w:rsidRPr="00470576" w:rsidRDefault="00E82F88" w:rsidP="00692A7D">
      <w:pPr>
        <w:spacing w:after="240"/>
        <w:rPr>
          <w:sz w:val="22"/>
          <w:szCs w:val="22"/>
        </w:rPr>
      </w:pPr>
      <w:r w:rsidRPr="00470576">
        <w:rPr>
          <w:sz w:val="22"/>
          <w:szCs w:val="22"/>
        </w:rPr>
        <w:t xml:space="preserve">This section </w:t>
      </w:r>
      <w:bookmarkStart w:id="5" w:name="_Toc518788307"/>
      <w:bookmarkStart w:id="6" w:name="_Toc98919887"/>
      <w:bookmarkStart w:id="7" w:name="_Toc121709903"/>
      <w:bookmarkEnd w:id="4"/>
      <w:r w:rsidR="0022227F" w:rsidRPr="00470576">
        <w:rPr>
          <w:sz w:val="22"/>
          <w:szCs w:val="22"/>
        </w:rPr>
        <w:t>provides that each instrument that is specified in Schedule 1 to the Amendment Order is amended as set out in the applica</w:t>
      </w:r>
      <w:r w:rsidR="00D92891" w:rsidRPr="00470576">
        <w:rPr>
          <w:sz w:val="22"/>
          <w:szCs w:val="22"/>
        </w:rPr>
        <w:t>ble</w:t>
      </w:r>
      <w:r w:rsidR="0022227F" w:rsidRPr="00470576">
        <w:rPr>
          <w:sz w:val="22"/>
          <w:szCs w:val="22"/>
        </w:rPr>
        <w:t xml:space="preserve"> items in that Schedule.</w:t>
      </w:r>
    </w:p>
    <w:p w14:paraId="2EBC4BD7" w14:textId="0B5690B6" w:rsidR="00A205EA" w:rsidRPr="00692A7D" w:rsidRDefault="00A205EA" w:rsidP="00692A7D">
      <w:pPr>
        <w:shd w:val="clear" w:color="auto" w:fill="FFFFFF"/>
        <w:rPr>
          <w:b/>
          <w:sz w:val="22"/>
          <w:szCs w:val="22"/>
        </w:rPr>
      </w:pPr>
      <w:r w:rsidRPr="00470576">
        <w:rPr>
          <w:b/>
          <w:sz w:val="22"/>
          <w:szCs w:val="22"/>
        </w:rPr>
        <w:t>Schedule 1</w:t>
      </w:r>
      <w:r w:rsidR="001412F1" w:rsidRPr="001412F1">
        <w:rPr>
          <w:b/>
          <w:sz w:val="22"/>
          <w:szCs w:val="22"/>
        </w:rPr>
        <w:t>—</w:t>
      </w:r>
      <w:r w:rsidR="0022227F" w:rsidRPr="00470576">
        <w:rPr>
          <w:b/>
          <w:sz w:val="22"/>
          <w:szCs w:val="22"/>
        </w:rPr>
        <w:t>Amendments</w:t>
      </w:r>
    </w:p>
    <w:p w14:paraId="186D76BE" w14:textId="50CF0DC6" w:rsidR="00F251E1" w:rsidRDefault="00A205EA" w:rsidP="00692A7D">
      <w:pPr>
        <w:spacing w:after="240"/>
        <w:rPr>
          <w:sz w:val="22"/>
          <w:szCs w:val="22"/>
        </w:rPr>
      </w:pPr>
      <w:r w:rsidRPr="00470576">
        <w:rPr>
          <w:sz w:val="22"/>
          <w:szCs w:val="22"/>
        </w:rPr>
        <w:t xml:space="preserve">This Schedule </w:t>
      </w:r>
      <w:r w:rsidR="0022227F" w:rsidRPr="00470576">
        <w:rPr>
          <w:sz w:val="22"/>
          <w:szCs w:val="22"/>
        </w:rPr>
        <w:t xml:space="preserve">amends the </w:t>
      </w:r>
      <w:r w:rsidR="009A1B18" w:rsidRPr="00F251E1">
        <w:rPr>
          <w:i/>
          <w:iCs/>
          <w:sz w:val="22"/>
          <w:szCs w:val="22"/>
        </w:rPr>
        <w:t>Therapeutic Goods (Standard for Menstrual Cups) Order 2018</w:t>
      </w:r>
      <w:r w:rsidR="009A1B18" w:rsidRPr="00470576">
        <w:rPr>
          <w:sz w:val="22"/>
          <w:szCs w:val="22"/>
        </w:rPr>
        <w:t xml:space="preserve"> </w:t>
      </w:r>
      <w:r w:rsidR="001014D5" w:rsidRPr="00470576">
        <w:rPr>
          <w:sz w:val="22"/>
          <w:szCs w:val="22"/>
        </w:rPr>
        <w:t xml:space="preserve">to </w:t>
      </w:r>
      <w:r w:rsidR="0072428C">
        <w:rPr>
          <w:sz w:val="22"/>
          <w:szCs w:val="22"/>
        </w:rPr>
        <w:t>update the</w:t>
      </w:r>
      <w:r w:rsidR="001014D5" w:rsidRPr="00470576">
        <w:rPr>
          <w:sz w:val="22"/>
          <w:szCs w:val="22"/>
        </w:rPr>
        <w:t xml:space="preserve"> </w:t>
      </w:r>
      <w:r w:rsidR="00544658" w:rsidRPr="00470576">
        <w:rPr>
          <w:sz w:val="22"/>
          <w:szCs w:val="22"/>
        </w:rPr>
        <w:t xml:space="preserve">name </w:t>
      </w:r>
      <w:r w:rsidR="0072428C">
        <w:rPr>
          <w:sz w:val="22"/>
          <w:szCs w:val="22"/>
        </w:rPr>
        <w:t xml:space="preserve">of the </w:t>
      </w:r>
      <w:r w:rsidR="001014D5" w:rsidRPr="00470576">
        <w:rPr>
          <w:sz w:val="22"/>
          <w:szCs w:val="22"/>
        </w:rPr>
        <w:t>instrument</w:t>
      </w:r>
      <w:r w:rsidR="0072428C">
        <w:rPr>
          <w:sz w:val="22"/>
          <w:szCs w:val="22"/>
        </w:rPr>
        <w:t xml:space="preserve">, to include a reference to </w:t>
      </w:r>
      <w:r w:rsidR="00F251E1">
        <w:rPr>
          <w:sz w:val="22"/>
          <w:szCs w:val="22"/>
        </w:rPr>
        <w:t>the order number (</w:t>
      </w:r>
      <w:r w:rsidR="0072428C">
        <w:rPr>
          <w:sz w:val="22"/>
          <w:szCs w:val="22"/>
        </w:rPr>
        <w:t>TGO 99</w:t>
      </w:r>
      <w:r w:rsidR="00F251E1">
        <w:rPr>
          <w:sz w:val="22"/>
          <w:szCs w:val="22"/>
        </w:rPr>
        <w:t>)</w:t>
      </w:r>
      <w:r w:rsidR="0072428C">
        <w:rPr>
          <w:sz w:val="22"/>
          <w:szCs w:val="22"/>
        </w:rPr>
        <w:t>,</w:t>
      </w:r>
      <w:r w:rsidR="001014D5" w:rsidRPr="00470576">
        <w:rPr>
          <w:sz w:val="22"/>
          <w:szCs w:val="22"/>
        </w:rPr>
        <w:t xml:space="preserve"> and to </w:t>
      </w:r>
      <w:r w:rsidR="00FB0722">
        <w:rPr>
          <w:sz w:val="22"/>
          <w:szCs w:val="22"/>
        </w:rPr>
        <w:t>increase</w:t>
      </w:r>
      <w:r w:rsidR="009A1B18">
        <w:rPr>
          <w:sz w:val="22"/>
          <w:szCs w:val="22"/>
        </w:rPr>
        <w:t xml:space="preserve"> the limit for the duration of use of menstrual cups</w:t>
      </w:r>
      <w:r w:rsidR="001412F1">
        <w:rPr>
          <w:sz w:val="22"/>
          <w:szCs w:val="22"/>
        </w:rPr>
        <w:t>, which must be stated on information supplied with a menstrual cup,</w:t>
      </w:r>
      <w:r w:rsidR="009A1B18">
        <w:rPr>
          <w:sz w:val="22"/>
          <w:szCs w:val="22"/>
        </w:rPr>
        <w:t xml:space="preserve"> from 8 hours to 12 hours.</w:t>
      </w:r>
    </w:p>
    <w:p w14:paraId="701D87F9" w14:textId="385B0F79" w:rsidR="00E82F88" w:rsidRPr="009A1B18" w:rsidRDefault="00E82F88" w:rsidP="00692A7D">
      <w:pPr>
        <w:shd w:val="clear" w:color="auto" w:fill="FFFFFF"/>
        <w:spacing w:before="100" w:beforeAutospacing="1" w:after="120"/>
        <w:jc w:val="right"/>
      </w:pPr>
      <w:r w:rsidRPr="00470576">
        <w:br w:type="page"/>
      </w:r>
      <w:r w:rsidR="00560710" w:rsidRPr="00692A7D">
        <w:rPr>
          <w:b/>
          <w:bCs/>
          <w:sz w:val="22"/>
          <w:szCs w:val="22"/>
        </w:rPr>
        <w:lastRenderedPageBreak/>
        <w:t xml:space="preserve">Attachment </w:t>
      </w:r>
      <w:r w:rsidRPr="00692A7D">
        <w:rPr>
          <w:b/>
          <w:bCs/>
          <w:sz w:val="22"/>
          <w:szCs w:val="22"/>
        </w:rPr>
        <w:t>B</w:t>
      </w:r>
    </w:p>
    <w:bookmarkEnd w:id="5"/>
    <w:bookmarkEnd w:id="6"/>
    <w:bookmarkEnd w:id="7"/>
    <w:p w14:paraId="37F657D7" w14:textId="743A0B95" w:rsidR="00E82F88" w:rsidRDefault="00E82F88" w:rsidP="00F251E1">
      <w:pPr>
        <w:shd w:val="clear" w:color="auto" w:fill="FFFFFF"/>
        <w:jc w:val="center"/>
        <w:rPr>
          <w:b/>
          <w:bCs/>
          <w:sz w:val="22"/>
          <w:szCs w:val="22"/>
        </w:rPr>
      </w:pPr>
      <w:r w:rsidRPr="00470576">
        <w:rPr>
          <w:b/>
          <w:bCs/>
          <w:sz w:val="22"/>
          <w:szCs w:val="22"/>
        </w:rPr>
        <w:t>Statement of Compatibility with Human Rights</w:t>
      </w:r>
    </w:p>
    <w:p w14:paraId="71DB56B3" w14:textId="77777777" w:rsidR="00F251E1" w:rsidRPr="00F251E1" w:rsidRDefault="00F251E1" w:rsidP="00692A7D">
      <w:pPr>
        <w:shd w:val="clear" w:color="auto" w:fill="FFFFFF"/>
        <w:jc w:val="center"/>
        <w:rPr>
          <w:sz w:val="22"/>
          <w:szCs w:val="22"/>
          <w:lang w:val="en-US"/>
        </w:rPr>
      </w:pPr>
    </w:p>
    <w:p w14:paraId="00949AAB" w14:textId="33BFF09F" w:rsidR="00E82F88" w:rsidRDefault="00E82F88" w:rsidP="00F251E1">
      <w:pPr>
        <w:shd w:val="clear" w:color="auto" w:fill="FFFFFF"/>
        <w:jc w:val="center"/>
        <w:rPr>
          <w:i/>
          <w:iCs/>
          <w:sz w:val="22"/>
          <w:szCs w:val="22"/>
        </w:rPr>
      </w:pPr>
      <w:r w:rsidRPr="00692A7D">
        <w:rPr>
          <w:iCs/>
          <w:sz w:val="22"/>
          <w:szCs w:val="22"/>
        </w:rPr>
        <w:t>Prepared in accordance with Part 3 of the</w:t>
      </w:r>
      <w:r w:rsidRPr="00470576">
        <w:rPr>
          <w:i/>
          <w:iCs/>
          <w:sz w:val="22"/>
          <w:szCs w:val="22"/>
        </w:rPr>
        <w:t xml:space="preserve"> Human Rights (Parliamentary Scrutiny) Act 2011</w:t>
      </w:r>
    </w:p>
    <w:p w14:paraId="657EDC66" w14:textId="77777777" w:rsidR="00F251E1" w:rsidRPr="00692A7D" w:rsidRDefault="00F251E1" w:rsidP="00692A7D">
      <w:pPr>
        <w:shd w:val="clear" w:color="auto" w:fill="FFFFFF"/>
        <w:jc w:val="center"/>
        <w:rPr>
          <w:sz w:val="22"/>
          <w:szCs w:val="22"/>
          <w:lang w:val="en-US"/>
        </w:rPr>
      </w:pPr>
    </w:p>
    <w:p w14:paraId="5FFE3124" w14:textId="2E7BA6EF" w:rsidR="0022227F" w:rsidRDefault="00BD0499" w:rsidP="00692A7D">
      <w:pPr>
        <w:shd w:val="clear" w:color="auto" w:fill="FFFFFF"/>
        <w:jc w:val="center"/>
        <w:rPr>
          <w:b/>
          <w:bCs/>
          <w:i/>
          <w:sz w:val="22"/>
          <w:szCs w:val="22"/>
        </w:rPr>
      </w:pPr>
      <w:r w:rsidRPr="009A1B18">
        <w:rPr>
          <w:b/>
          <w:bCs/>
          <w:i/>
          <w:sz w:val="22"/>
          <w:szCs w:val="22"/>
        </w:rPr>
        <w:t xml:space="preserve">Therapeutic Goods (Standard for Menstrual Cups) </w:t>
      </w:r>
      <w:r w:rsidR="004B4201" w:rsidRPr="009A1B18">
        <w:rPr>
          <w:b/>
          <w:bCs/>
          <w:i/>
          <w:sz w:val="22"/>
          <w:szCs w:val="22"/>
        </w:rPr>
        <w:t xml:space="preserve">Amendment </w:t>
      </w:r>
      <w:r w:rsidRPr="009A1B18">
        <w:rPr>
          <w:b/>
          <w:bCs/>
          <w:i/>
          <w:sz w:val="22"/>
          <w:szCs w:val="22"/>
        </w:rPr>
        <w:t>Order</w:t>
      </w:r>
      <w:r w:rsidR="004B4201">
        <w:rPr>
          <w:b/>
          <w:bCs/>
          <w:i/>
          <w:sz w:val="22"/>
          <w:szCs w:val="22"/>
        </w:rPr>
        <w:t xml:space="preserve"> </w:t>
      </w:r>
      <w:r w:rsidRPr="009A1B18">
        <w:rPr>
          <w:b/>
          <w:bCs/>
          <w:i/>
          <w:sz w:val="22"/>
          <w:szCs w:val="22"/>
        </w:rPr>
        <w:t>2023</w:t>
      </w:r>
    </w:p>
    <w:p w14:paraId="3EB1E0DE" w14:textId="77777777" w:rsidR="00692A7D" w:rsidRPr="00470576" w:rsidRDefault="00692A7D" w:rsidP="00692A7D">
      <w:pPr>
        <w:shd w:val="clear" w:color="auto" w:fill="FFFFFF"/>
        <w:jc w:val="center"/>
        <w:rPr>
          <w:b/>
          <w:i/>
          <w:sz w:val="22"/>
          <w:szCs w:val="22"/>
        </w:rPr>
      </w:pPr>
    </w:p>
    <w:p w14:paraId="35B01390" w14:textId="43588BE9" w:rsidR="00E82F88" w:rsidRDefault="00E82F88" w:rsidP="00F251E1">
      <w:pPr>
        <w:shd w:val="clear" w:color="auto" w:fill="FFFFFF"/>
        <w:rPr>
          <w:sz w:val="22"/>
          <w:szCs w:val="22"/>
        </w:rPr>
      </w:pPr>
      <w:r w:rsidRPr="00470576">
        <w:rPr>
          <w:sz w:val="22"/>
          <w:szCs w:val="22"/>
        </w:rPr>
        <w:t xml:space="preserve">This </w:t>
      </w:r>
      <w:r w:rsidR="00A21473" w:rsidRPr="00470576">
        <w:rPr>
          <w:sz w:val="22"/>
          <w:szCs w:val="22"/>
        </w:rPr>
        <w:t xml:space="preserve">disallowable </w:t>
      </w:r>
      <w:r w:rsidRPr="00470576">
        <w:rPr>
          <w:sz w:val="22"/>
          <w:szCs w:val="22"/>
        </w:rPr>
        <w:t xml:space="preserve">legislative instrument is compatible with the human rights and freedoms recognised or declared in the international instruments listed in section 3 of the </w:t>
      </w:r>
      <w:r w:rsidRPr="00470576">
        <w:rPr>
          <w:i/>
          <w:iCs/>
          <w:sz w:val="22"/>
          <w:szCs w:val="22"/>
        </w:rPr>
        <w:t>Human Rights (Parliamentary Scrutiny) Act 2011</w:t>
      </w:r>
      <w:r w:rsidRPr="00470576">
        <w:rPr>
          <w:sz w:val="22"/>
          <w:szCs w:val="22"/>
        </w:rPr>
        <w:t>.</w:t>
      </w:r>
    </w:p>
    <w:p w14:paraId="36FC4D3A" w14:textId="77777777" w:rsidR="00F251E1" w:rsidRPr="00470576" w:rsidRDefault="00F251E1" w:rsidP="00692A7D">
      <w:pPr>
        <w:shd w:val="clear" w:color="auto" w:fill="FFFFFF"/>
        <w:rPr>
          <w:sz w:val="22"/>
          <w:szCs w:val="22"/>
          <w:lang w:val="en-US"/>
        </w:rPr>
      </w:pPr>
    </w:p>
    <w:p w14:paraId="3EEB4651" w14:textId="3ADACE36" w:rsidR="00E82F88" w:rsidRDefault="00E82F88" w:rsidP="00F251E1">
      <w:pPr>
        <w:shd w:val="clear" w:color="auto" w:fill="FFFFFF"/>
        <w:rPr>
          <w:b/>
          <w:bCs/>
          <w:sz w:val="22"/>
          <w:szCs w:val="22"/>
        </w:rPr>
      </w:pPr>
      <w:r w:rsidRPr="00470576">
        <w:rPr>
          <w:b/>
          <w:bCs/>
          <w:sz w:val="22"/>
          <w:szCs w:val="22"/>
        </w:rPr>
        <w:t xml:space="preserve">Overview of the </w:t>
      </w:r>
      <w:r w:rsidR="00BB5A63" w:rsidRPr="00470576">
        <w:rPr>
          <w:b/>
          <w:bCs/>
          <w:sz w:val="22"/>
          <w:szCs w:val="22"/>
        </w:rPr>
        <w:t>l</w:t>
      </w:r>
      <w:r w:rsidRPr="00470576">
        <w:rPr>
          <w:b/>
          <w:bCs/>
          <w:sz w:val="22"/>
          <w:szCs w:val="22"/>
        </w:rPr>
        <w:t xml:space="preserve">egislative </w:t>
      </w:r>
      <w:r w:rsidR="00BB5A63" w:rsidRPr="00470576">
        <w:rPr>
          <w:b/>
          <w:bCs/>
          <w:sz w:val="22"/>
          <w:szCs w:val="22"/>
        </w:rPr>
        <w:t>i</w:t>
      </w:r>
      <w:r w:rsidRPr="00470576">
        <w:rPr>
          <w:b/>
          <w:bCs/>
          <w:sz w:val="22"/>
          <w:szCs w:val="22"/>
        </w:rPr>
        <w:t>nstrument</w:t>
      </w:r>
    </w:p>
    <w:p w14:paraId="7725B219" w14:textId="77777777" w:rsidR="00F251E1" w:rsidRPr="00692A7D" w:rsidRDefault="00F251E1" w:rsidP="00692A7D">
      <w:pPr>
        <w:shd w:val="clear" w:color="auto" w:fill="FFFFFF"/>
        <w:rPr>
          <w:sz w:val="22"/>
          <w:szCs w:val="22"/>
        </w:rPr>
      </w:pPr>
    </w:p>
    <w:p w14:paraId="62F56472" w14:textId="307BE386" w:rsidR="004D0526" w:rsidRDefault="004D0526" w:rsidP="00F251E1">
      <w:pPr>
        <w:rPr>
          <w:sz w:val="22"/>
          <w:szCs w:val="22"/>
        </w:rPr>
      </w:pPr>
      <w:r w:rsidRPr="00470576">
        <w:rPr>
          <w:sz w:val="22"/>
          <w:szCs w:val="22"/>
        </w:rPr>
        <w:t xml:space="preserve">The </w:t>
      </w:r>
      <w:r w:rsidR="00BD0499" w:rsidRPr="00BD0499">
        <w:rPr>
          <w:i/>
          <w:sz w:val="22"/>
          <w:szCs w:val="22"/>
        </w:rPr>
        <w:t xml:space="preserve">Therapeutic Goods (Standard for Menstrual Cups) </w:t>
      </w:r>
      <w:r w:rsidR="004B4201" w:rsidRPr="00BD0499">
        <w:rPr>
          <w:i/>
          <w:sz w:val="22"/>
          <w:szCs w:val="22"/>
        </w:rPr>
        <w:t xml:space="preserve">Amendment </w:t>
      </w:r>
      <w:r w:rsidR="00BD0499" w:rsidRPr="00BD0499">
        <w:rPr>
          <w:i/>
          <w:sz w:val="22"/>
          <w:szCs w:val="22"/>
        </w:rPr>
        <w:t>Order 2023</w:t>
      </w:r>
      <w:r w:rsidR="00FB0722">
        <w:rPr>
          <w:i/>
          <w:sz w:val="22"/>
          <w:szCs w:val="22"/>
        </w:rPr>
        <w:t xml:space="preserve"> </w:t>
      </w:r>
      <w:r w:rsidR="00FB0722">
        <w:rPr>
          <w:iCs/>
          <w:sz w:val="22"/>
          <w:szCs w:val="22"/>
        </w:rPr>
        <w:t xml:space="preserve">(“the </w:t>
      </w:r>
      <w:r w:rsidR="004B4201">
        <w:rPr>
          <w:iCs/>
          <w:sz w:val="22"/>
          <w:szCs w:val="22"/>
        </w:rPr>
        <w:t>Amendment Order</w:t>
      </w:r>
      <w:r w:rsidR="00FB0722">
        <w:rPr>
          <w:iCs/>
          <w:sz w:val="22"/>
          <w:szCs w:val="22"/>
        </w:rPr>
        <w:t>”)</w:t>
      </w:r>
      <w:r w:rsidR="00BD0499">
        <w:rPr>
          <w:i/>
          <w:sz w:val="22"/>
          <w:szCs w:val="22"/>
        </w:rPr>
        <w:t xml:space="preserve"> </w:t>
      </w:r>
      <w:r w:rsidRPr="00BD0499">
        <w:rPr>
          <w:sz w:val="22"/>
          <w:szCs w:val="22"/>
        </w:rPr>
        <w:t>is made</w:t>
      </w:r>
      <w:r w:rsidRPr="00470576">
        <w:rPr>
          <w:sz w:val="22"/>
          <w:szCs w:val="22"/>
        </w:rPr>
        <w:t xml:space="preserve"> by a delegate of the Minister under </w:t>
      </w:r>
      <w:r w:rsidR="00E6339E">
        <w:rPr>
          <w:sz w:val="22"/>
          <w:szCs w:val="22"/>
        </w:rPr>
        <w:t>sub</w:t>
      </w:r>
      <w:r w:rsidRPr="00470576">
        <w:rPr>
          <w:sz w:val="22"/>
          <w:szCs w:val="22"/>
        </w:rPr>
        <w:t>section 10</w:t>
      </w:r>
      <w:r w:rsidR="00E6339E">
        <w:rPr>
          <w:sz w:val="22"/>
          <w:szCs w:val="22"/>
        </w:rPr>
        <w:t>(3A)</w:t>
      </w:r>
      <w:r w:rsidRPr="00470576">
        <w:rPr>
          <w:sz w:val="22"/>
          <w:szCs w:val="22"/>
        </w:rPr>
        <w:t xml:space="preserve"> of the </w:t>
      </w:r>
      <w:r w:rsidRPr="00470576">
        <w:rPr>
          <w:i/>
          <w:sz w:val="22"/>
          <w:szCs w:val="22"/>
        </w:rPr>
        <w:t>Therapeutic Goods Act 1989</w:t>
      </w:r>
      <w:r w:rsidRPr="00470576">
        <w:rPr>
          <w:sz w:val="22"/>
          <w:szCs w:val="22"/>
        </w:rPr>
        <w:t xml:space="preserve"> (“the Act”).</w:t>
      </w:r>
    </w:p>
    <w:p w14:paraId="6E21A159" w14:textId="77777777" w:rsidR="00F251E1" w:rsidRPr="00470576" w:rsidRDefault="00F251E1" w:rsidP="00692A7D">
      <w:pPr>
        <w:rPr>
          <w:sz w:val="22"/>
          <w:szCs w:val="22"/>
        </w:rPr>
      </w:pPr>
    </w:p>
    <w:p w14:paraId="7B1B4D24" w14:textId="74ADDAD3" w:rsidR="004D0526" w:rsidRDefault="004D0526" w:rsidP="00692A7D">
      <w:pPr>
        <w:rPr>
          <w:sz w:val="22"/>
          <w:szCs w:val="22"/>
        </w:rPr>
      </w:pPr>
      <w:r w:rsidRPr="00470576">
        <w:rPr>
          <w:sz w:val="22"/>
          <w:szCs w:val="22"/>
        </w:rPr>
        <w:t xml:space="preserve">The purpose of the </w:t>
      </w:r>
      <w:r w:rsidR="004B4201">
        <w:rPr>
          <w:sz w:val="22"/>
          <w:szCs w:val="22"/>
        </w:rPr>
        <w:t>Amendment Order</w:t>
      </w:r>
      <w:r w:rsidR="004B4201" w:rsidRPr="00D12BF5">
        <w:rPr>
          <w:sz w:val="22"/>
          <w:szCs w:val="22"/>
        </w:rPr>
        <w:t xml:space="preserve"> </w:t>
      </w:r>
      <w:r w:rsidRPr="00470576">
        <w:rPr>
          <w:sz w:val="22"/>
          <w:szCs w:val="22"/>
        </w:rPr>
        <w:t>is to amend the</w:t>
      </w:r>
      <w:r w:rsidR="00BD0499" w:rsidRPr="00BD0499">
        <w:rPr>
          <w:i/>
          <w:sz w:val="22"/>
          <w:szCs w:val="22"/>
        </w:rPr>
        <w:t xml:space="preserve"> </w:t>
      </w:r>
      <w:r w:rsidR="00BD0499" w:rsidRPr="00470576">
        <w:rPr>
          <w:i/>
          <w:sz w:val="22"/>
          <w:szCs w:val="22"/>
        </w:rPr>
        <w:t xml:space="preserve">Therapeutic Goods (Standard for </w:t>
      </w:r>
      <w:r w:rsidR="00BD0499" w:rsidRPr="00470576">
        <w:rPr>
          <w:bCs/>
          <w:i/>
          <w:sz w:val="22"/>
          <w:szCs w:val="22"/>
        </w:rPr>
        <w:t>Menstrual Cups</w:t>
      </w:r>
      <w:r w:rsidR="00BD0499" w:rsidRPr="00470576">
        <w:rPr>
          <w:i/>
          <w:sz w:val="22"/>
          <w:szCs w:val="22"/>
        </w:rPr>
        <w:t>)</w:t>
      </w:r>
      <w:r w:rsidR="00BD0499">
        <w:rPr>
          <w:i/>
          <w:sz w:val="22"/>
          <w:szCs w:val="22"/>
        </w:rPr>
        <w:t xml:space="preserve"> Order 2018</w:t>
      </w:r>
      <w:r w:rsidR="00BD0499" w:rsidRPr="00470576">
        <w:rPr>
          <w:sz w:val="22"/>
          <w:szCs w:val="22"/>
        </w:rPr>
        <w:t xml:space="preserve"> </w:t>
      </w:r>
      <w:r w:rsidRPr="00470576">
        <w:rPr>
          <w:sz w:val="22"/>
          <w:szCs w:val="22"/>
        </w:rPr>
        <w:t xml:space="preserve">(“the </w:t>
      </w:r>
      <w:r w:rsidR="004B4201">
        <w:rPr>
          <w:sz w:val="22"/>
          <w:szCs w:val="22"/>
        </w:rPr>
        <w:t>P</w:t>
      </w:r>
      <w:r w:rsidR="00544658" w:rsidRPr="00470576">
        <w:rPr>
          <w:sz w:val="22"/>
          <w:szCs w:val="22"/>
        </w:rPr>
        <w:t xml:space="preserve">rincipal </w:t>
      </w:r>
      <w:r w:rsidR="004B4201">
        <w:rPr>
          <w:sz w:val="22"/>
          <w:szCs w:val="22"/>
        </w:rPr>
        <w:t>Order</w:t>
      </w:r>
      <w:r w:rsidRPr="00470576">
        <w:rPr>
          <w:sz w:val="22"/>
          <w:szCs w:val="22"/>
        </w:rPr>
        <w:t>”) to</w:t>
      </w:r>
      <w:r w:rsidR="00FB0722" w:rsidRPr="00FB0722">
        <w:rPr>
          <w:sz w:val="22"/>
          <w:szCs w:val="22"/>
        </w:rPr>
        <w:t xml:space="preserve"> </w:t>
      </w:r>
      <w:r w:rsidR="00FB0722" w:rsidRPr="00470576">
        <w:rPr>
          <w:sz w:val="22"/>
          <w:szCs w:val="22"/>
        </w:rPr>
        <w:t xml:space="preserve">make </w:t>
      </w:r>
      <w:r w:rsidR="00FB0722">
        <w:rPr>
          <w:sz w:val="22"/>
          <w:szCs w:val="22"/>
        </w:rPr>
        <w:t>minor updates</w:t>
      </w:r>
      <w:r w:rsidR="00FB0722" w:rsidRPr="00470576">
        <w:rPr>
          <w:sz w:val="22"/>
          <w:szCs w:val="22"/>
        </w:rPr>
        <w:t xml:space="preserve">, </w:t>
      </w:r>
      <w:r w:rsidR="004B4201" w:rsidRPr="00470576">
        <w:rPr>
          <w:sz w:val="22"/>
          <w:szCs w:val="22"/>
        </w:rPr>
        <w:t xml:space="preserve">principally to </w:t>
      </w:r>
      <w:r w:rsidR="004B4201">
        <w:rPr>
          <w:sz w:val="22"/>
          <w:szCs w:val="22"/>
        </w:rPr>
        <w:t xml:space="preserve">increase the limit for the duration of use of </w:t>
      </w:r>
      <w:r w:rsidR="004B4201" w:rsidRPr="009A32C9">
        <w:rPr>
          <w:sz w:val="22"/>
          <w:szCs w:val="22"/>
        </w:rPr>
        <w:t>menstrual cup</w:t>
      </w:r>
      <w:r w:rsidR="004B4201">
        <w:rPr>
          <w:sz w:val="22"/>
          <w:szCs w:val="22"/>
        </w:rPr>
        <w:t>s, which must be stated on information supplied with a menstrual cup,</w:t>
      </w:r>
      <w:r w:rsidR="004B4201" w:rsidRPr="009A32C9">
        <w:rPr>
          <w:sz w:val="22"/>
          <w:szCs w:val="22"/>
        </w:rPr>
        <w:t xml:space="preserve"> from 8 hours to 12 hours.</w:t>
      </w:r>
    </w:p>
    <w:p w14:paraId="661BE156" w14:textId="77777777" w:rsidR="004B4201" w:rsidRPr="00470576" w:rsidRDefault="004B4201" w:rsidP="00692A7D">
      <w:pPr>
        <w:rPr>
          <w:sz w:val="22"/>
          <w:szCs w:val="22"/>
        </w:rPr>
      </w:pPr>
    </w:p>
    <w:p w14:paraId="616B5536" w14:textId="3FB250A1" w:rsidR="004D0526" w:rsidRDefault="007F2E26" w:rsidP="00F251E1">
      <w:pPr>
        <w:rPr>
          <w:sz w:val="22"/>
          <w:szCs w:val="22"/>
        </w:rPr>
      </w:pPr>
      <w:r w:rsidRPr="00470576">
        <w:rPr>
          <w:sz w:val="22"/>
          <w:szCs w:val="22"/>
        </w:rPr>
        <w:t xml:space="preserve">The </w:t>
      </w:r>
      <w:r w:rsidR="004B4201" w:rsidRPr="00470576">
        <w:rPr>
          <w:sz w:val="22"/>
          <w:szCs w:val="22"/>
        </w:rPr>
        <w:t xml:space="preserve">Principal Order </w:t>
      </w:r>
      <w:r w:rsidR="00FB0722" w:rsidRPr="00470576">
        <w:rPr>
          <w:sz w:val="22"/>
          <w:szCs w:val="22"/>
        </w:rPr>
        <w:t>applies to</w:t>
      </w:r>
      <w:r w:rsidR="00FB0722" w:rsidRPr="00095DF2">
        <w:rPr>
          <w:sz w:val="22"/>
          <w:szCs w:val="22"/>
        </w:rPr>
        <w:t xml:space="preserve"> therapeutic goods that are menstrual cups and specifies requirements for all menstrual cups relating to the</w:t>
      </w:r>
      <w:r w:rsidR="00FB0722">
        <w:rPr>
          <w:sz w:val="22"/>
          <w:szCs w:val="22"/>
        </w:rPr>
        <w:t xml:space="preserve"> manufacture, design,</w:t>
      </w:r>
      <w:r w:rsidR="00FB0722" w:rsidRPr="00095DF2">
        <w:rPr>
          <w:sz w:val="22"/>
          <w:szCs w:val="22"/>
        </w:rPr>
        <w:t xml:space="preserve"> packaging and labelling of these products.</w:t>
      </w:r>
      <w:r w:rsidR="00FB0722">
        <w:rPr>
          <w:sz w:val="22"/>
          <w:szCs w:val="22"/>
        </w:rPr>
        <w:t xml:space="preserve"> In addition, the </w:t>
      </w:r>
      <w:r w:rsidR="00FB0722" w:rsidRPr="00470576">
        <w:rPr>
          <w:sz w:val="22"/>
          <w:szCs w:val="22"/>
        </w:rPr>
        <w:t>principal instrument</w:t>
      </w:r>
      <w:r w:rsidR="00FB0722">
        <w:rPr>
          <w:sz w:val="22"/>
          <w:szCs w:val="22"/>
        </w:rPr>
        <w:t xml:space="preserve"> specifies certain information that must be supplied with menstrual cups, including instructions for use, </w:t>
      </w:r>
      <w:proofErr w:type="gramStart"/>
      <w:r w:rsidR="00FB0722">
        <w:rPr>
          <w:sz w:val="22"/>
          <w:szCs w:val="22"/>
        </w:rPr>
        <w:t>warnings</w:t>
      </w:r>
      <w:proofErr w:type="gramEnd"/>
      <w:r w:rsidR="00FB0722">
        <w:rPr>
          <w:sz w:val="22"/>
          <w:szCs w:val="22"/>
        </w:rPr>
        <w:t xml:space="preserve"> and limits to the duration of use</w:t>
      </w:r>
      <w:r w:rsidR="004D0526" w:rsidRPr="00470576">
        <w:rPr>
          <w:sz w:val="22"/>
          <w:szCs w:val="22"/>
        </w:rPr>
        <w:t>.</w:t>
      </w:r>
    </w:p>
    <w:p w14:paraId="43679A18" w14:textId="77777777" w:rsidR="00F251E1" w:rsidRDefault="00F251E1" w:rsidP="00692A7D">
      <w:pPr>
        <w:rPr>
          <w:sz w:val="22"/>
          <w:szCs w:val="22"/>
        </w:rPr>
      </w:pPr>
    </w:p>
    <w:p w14:paraId="396B9CA0" w14:textId="28EDCD97" w:rsidR="00F251E1" w:rsidRDefault="004B4201" w:rsidP="00F251E1">
      <w:pPr>
        <w:rPr>
          <w:sz w:val="22"/>
          <w:szCs w:val="22"/>
        </w:rPr>
      </w:pPr>
      <w:r>
        <w:rPr>
          <w:sz w:val="22"/>
          <w:szCs w:val="22"/>
        </w:rPr>
        <w:t>I</w:t>
      </w:r>
      <w:r w:rsidRPr="008C6AB1">
        <w:rPr>
          <w:sz w:val="22"/>
          <w:szCs w:val="22"/>
        </w:rPr>
        <w:t xml:space="preserve">n early </w:t>
      </w:r>
      <w:r w:rsidRPr="00C95389">
        <w:rPr>
          <w:sz w:val="22"/>
          <w:szCs w:val="22"/>
        </w:rPr>
        <w:t>2023, industry identified a need to review the Australian recommended use time of menstrual cups</w:t>
      </w:r>
      <w:r w:rsidR="005721A4">
        <w:rPr>
          <w:sz w:val="22"/>
          <w:szCs w:val="22"/>
        </w:rPr>
        <w:t xml:space="preserve">, </w:t>
      </w:r>
      <w:r w:rsidR="005721A4" w:rsidRPr="00DD162C">
        <w:rPr>
          <w:sz w:val="22"/>
          <w:szCs w:val="22"/>
        </w:rPr>
        <w:t>in order to be consistent with international best practice</w:t>
      </w:r>
      <w:r w:rsidRPr="00C95389">
        <w:rPr>
          <w:sz w:val="22"/>
          <w:szCs w:val="22"/>
        </w:rPr>
        <w:t xml:space="preserve">. </w:t>
      </w:r>
      <w:r>
        <w:rPr>
          <w:sz w:val="22"/>
          <w:szCs w:val="22"/>
        </w:rPr>
        <w:t>Initially, t</w:t>
      </w:r>
      <w:r w:rsidRPr="00C95389">
        <w:rPr>
          <w:sz w:val="22"/>
          <w:szCs w:val="22"/>
        </w:rPr>
        <w:t xml:space="preserve">he decision to </w:t>
      </w:r>
      <w:r>
        <w:rPr>
          <w:sz w:val="22"/>
          <w:szCs w:val="22"/>
        </w:rPr>
        <w:t>limit the use of menstrual cups to</w:t>
      </w:r>
      <w:r w:rsidRPr="00C95389">
        <w:rPr>
          <w:sz w:val="22"/>
          <w:szCs w:val="22"/>
        </w:rPr>
        <w:t xml:space="preserve"> 8 hours was primarily based on data pertaining to tampon use. However, as menstrual cup</w:t>
      </w:r>
      <w:r w:rsidRPr="009A32C9">
        <w:rPr>
          <w:sz w:val="22"/>
          <w:szCs w:val="22"/>
        </w:rPr>
        <w:t>s have</w:t>
      </w:r>
      <w:r>
        <w:rPr>
          <w:sz w:val="22"/>
          <w:szCs w:val="22"/>
        </w:rPr>
        <w:t xml:space="preserve"> now</w:t>
      </w:r>
      <w:r w:rsidRPr="009A32C9">
        <w:rPr>
          <w:sz w:val="22"/>
          <w:szCs w:val="22"/>
        </w:rPr>
        <w:t xml:space="preserve"> been in the market for </w:t>
      </w:r>
      <w:r>
        <w:rPr>
          <w:sz w:val="22"/>
          <w:szCs w:val="22"/>
        </w:rPr>
        <w:t xml:space="preserve">an additional </w:t>
      </w:r>
      <w:r w:rsidRPr="009A32C9">
        <w:rPr>
          <w:sz w:val="22"/>
          <w:szCs w:val="22"/>
        </w:rPr>
        <w:t>5 years</w:t>
      </w:r>
      <w:r>
        <w:rPr>
          <w:sz w:val="22"/>
          <w:szCs w:val="22"/>
        </w:rPr>
        <w:t xml:space="preserve">, </w:t>
      </w:r>
      <w:r w:rsidRPr="009A32C9">
        <w:rPr>
          <w:sz w:val="22"/>
          <w:szCs w:val="22"/>
        </w:rPr>
        <w:t xml:space="preserve">richer data has been generated </w:t>
      </w:r>
      <w:r>
        <w:rPr>
          <w:sz w:val="22"/>
          <w:szCs w:val="22"/>
        </w:rPr>
        <w:t>that reflects a use time of up to 12 hours. In particular, the r</w:t>
      </w:r>
      <w:r w:rsidRPr="008C6AB1">
        <w:rPr>
          <w:sz w:val="22"/>
          <w:szCs w:val="22"/>
        </w:rPr>
        <w:t xml:space="preserve">esearch </w:t>
      </w:r>
      <w:r>
        <w:rPr>
          <w:sz w:val="22"/>
          <w:szCs w:val="22"/>
        </w:rPr>
        <w:t>does</w:t>
      </w:r>
      <w:r w:rsidRPr="008C6AB1">
        <w:rPr>
          <w:sz w:val="22"/>
          <w:szCs w:val="22"/>
        </w:rPr>
        <w:t xml:space="preserve"> not highlight </w:t>
      </w:r>
      <w:r>
        <w:rPr>
          <w:sz w:val="22"/>
          <w:szCs w:val="22"/>
        </w:rPr>
        <w:t xml:space="preserve">an </w:t>
      </w:r>
      <w:r w:rsidRPr="008C6AB1">
        <w:rPr>
          <w:sz w:val="22"/>
          <w:szCs w:val="22"/>
        </w:rPr>
        <w:t xml:space="preserve">increased risk </w:t>
      </w:r>
      <w:r>
        <w:rPr>
          <w:sz w:val="22"/>
          <w:szCs w:val="22"/>
        </w:rPr>
        <w:t>to users of menstrual cups when</w:t>
      </w:r>
      <w:r w:rsidRPr="008C6AB1">
        <w:rPr>
          <w:sz w:val="22"/>
          <w:szCs w:val="22"/>
        </w:rPr>
        <w:t xml:space="preserve"> used for up to 12 hours</w:t>
      </w:r>
      <w:r>
        <w:rPr>
          <w:sz w:val="22"/>
          <w:szCs w:val="22"/>
        </w:rPr>
        <w:t>. Importantly, advice from the Advisory Committee on Medical Devices</w:t>
      </w:r>
      <w:r w:rsidRPr="008C6AB1">
        <w:rPr>
          <w:sz w:val="22"/>
          <w:szCs w:val="22"/>
        </w:rPr>
        <w:t xml:space="preserve"> </w:t>
      </w:r>
      <w:r>
        <w:rPr>
          <w:sz w:val="22"/>
          <w:szCs w:val="22"/>
        </w:rPr>
        <w:t xml:space="preserve">(an advisory committee established under the </w:t>
      </w:r>
      <w:r w:rsidRPr="004B4201">
        <w:rPr>
          <w:i/>
          <w:iCs/>
          <w:sz w:val="22"/>
          <w:szCs w:val="22"/>
        </w:rPr>
        <w:t>Therapeutic Goods Regulations 1990</w:t>
      </w:r>
      <w:r>
        <w:rPr>
          <w:sz w:val="22"/>
          <w:szCs w:val="22"/>
        </w:rPr>
        <w:t xml:space="preserve">) </w:t>
      </w:r>
      <w:r w:rsidRPr="008C6AB1">
        <w:rPr>
          <w:sz w:val="22"/>
          <w:szCs w:val="22"/>
        </w:rPr>
        <w:t xml:space="preserve">indicated that any risk to consumer safety incurred by a change in intended use </w:t>
      </w:r>
      <w:r>
        <w:rPr>
          <w:sz w:val="22"/>
          <w:szCs w:val="22"/>
        </w:rPr>
        <w:t>from</w:t>
      </w:r>
      <w:r w:rsidRPr="008C6AB1">
        <w:rPr>
          <w:sz w:val="22"/>
          <w:szCs w:val="22"/>
        </w:rPr>
        <w:t xml:space="preserve"> a period </w:t>
      </w:r>
      <w:r>
        <w:rPr>
          <w:sz w:val="22"/>
          <w:szCs w:val="22"/>
        </w:rPr>
        <w:t>of u</w:t>
      </w:r>
      <w:r w:rsidRPr="008C6AB1">
        <w:rPr>
          <w:sz w:val="22"/>
          <w:szCs w:val="22"/>
        </w:rPr>
        <w:t xml:space="preserve">p to 8 hours </w:t>
      </w:r>
      <w:r>
        <w:rPr>
          <w:sz w:val="22"/>
          <w:szCs w:val="22"/>
        </w:rPr>
        <w:t>to a period of</w:t>
      </w:r>
      <w:r w:rsidRPr="008C6AB1">
        <w:rPr>
          <w:sz w:val="22"/>
          <w:szCs w:val="22"/>
        </w:rPr>
        <w:t xml:space="preserve"> up to 12 hours was so slight </w:t>
      </w:r>
      <w:r>
        <w:rPr>
          <w:sz w:val="22"/>
          <w:szCs w:val="22"/>
        </w:rPr>
        <w:t xml:space="preserve">that </w:t>
      </w:r>
      <w:r w:rsidRPr="008C6AB1">
        <w:rPr>
          <w:sz w:val="22"/>
          <w:szCs w:val="22"/>
        </w:rPr>
        <w:t xml:space="preserve">it was </w:t>
      </w:r>
      <w:r w:rsidR="00DD162C">
        <w:rPr>
          <w:sz w:val="22"/>
          <w:szCs w:val="22"/>
        </w:rPr>
        <w:t>unquantifiable</w:t>
      </w:r>
      <w:r w:rsidRPr="008C6AB1">
        <w:rPr>
          <w:sz w:val="22"/>
          <w:szCs w:val="22"/>
        </w:rPr>
        <w:t>.</w:t>
      </w:r>
    </w:p>
    <w:p w14:paraId="16D4F87D" w14:textId="537B9645" w:rsidR="00FB0722" w:rsidRDefault="00FB0722" w:rsidP="00692A7D">
      <w:pPr>
        <w:rPr>
          <w:sz w:val="22"/>
          <w:szCs w:val="22"/>
        </w:rPr>
      </w:pPr>
    </w:p>
    <w:p w14:paraId="58B57D5B" w14:textId="4E0E355F" w:rsidR="00E0153D" w:rsidRDefault="00E0153D" w:rsidP="00E0153D">
      <w:pPr>
        <w:rPr>
          <w:sz w:val="22"/>
          <w:szCs w:val="22"/>
        </w:rPr>
      </w:pPr>
      <w:r>
        <w:rPr>
          <w:sz w:val="22"/>
          <w:szCs w:val="22"/>
        </w:rPr>
        <w:t xml:space="preserve">Furthermore, the regulation of these goods overseas supports </w:t>
      </w:r>
      <w:r w:rsidRPr="009A32C9">
        <w:rPr>
          <w:sz w:val="22"/>
          <w:szCs w:val="22"/>
        </w:rPr>
        <w:t>a use time of up to 12 h</w:t>
      </w:r>
      <w:r>
        <w:rPr>
          <w:sz w:val="22"/>
          <w:szCs w:val="22"/>
        </w:rPr>
        <w:t>our</w:t>
      </w:r>
      <w:r w:rsidRPr="009A32C9">
        <w:rPr>
          <w:sz w:val="22"/>
          <w:szCs w:val="22"/>
        </w:rPr>
        <w:t>s</w:t>
      </w:r>
      <w:r>
        <w:rPr>
          <w:sz w:val="22"/>
          <w:szCs w:val="22"/>
        </w:rPr>
        <w:t>. As the Australian products are not markedly different to the international market</w:t>
      </w:r>
      <w:r w:rsidRPr="00C95389">
        <w:rPr>
          <w:sz w:val="22"/>
          <w:szCs w:val="22"/>
        </w:rPr>
        <w:t xml:space="preserve">, there </w:t>
      </w:r>
      <w:r>
        <w:rPr>
          <w:sz w:val="22"/>
          <w:szCs w:val="22"/>
        </w:rPr>
        <w:t>are in</w:t>
      </w:r>
      <w:r w:rsidRPr="00C95389">
        <w:rPr>
          <w:sz w:val="22"/>
          <w:szCs w:val="22"/>
        </w:rPr>
        <w:t>sufficient grounds to retain the 8-hour limit in Australia</w:t>
      </w:r>
      <w:r>
        <w:rPr>
          <w:sz w:val="22"/>
          <w:szCs w:val="22"/>
        </w:rPr>
        <w:t>. In addition, aligning with regulation overseas will potentially increase supply (and the variety of menstrual cups available) in Australia</w:t>
      </w:r>
      <w:r w:rsidRPr="00C95389">
        <w:rPr>
          <w:sz w:val="22"/>
          <w:szCs w:val="22"/>
        </w:rPr>
        <w:t>.</w:t>
      </w:r>
    </w:p>
    <w:p w14:paraId="1222540F" w14:textId="77777777" w:rsidR="00E0153D" w:rsidRPr="008C6AB1" w:rsidRDefault="00E0153D" w:rsidP="00E0153D">
      <w:pPr>
        <w:rPr>
          <w:sz w:val="22"/>
          <w:szCs w:val="22"/>
        </w:rPr>
      </w:pPr>
    </w:p>
    <w:p w14:paraId="4596EC31" w14:textId="4CA5D38F" w:rsidR="00E0153D" w:rsidRDefault="00E0153D" w:rsidP="00E0153D">
      <w:pPr>
        <w:rPr>
          <w:sz w:val="22"/>
          <w:szCs w:val="22"/>
        </w:rPr>
      </w:pPr>
      <w:r w:rsidRPr="00470576">
        <w:rPr>
          <w:sz w:val="22"/>
          <w:szCs w:val="22"/>
        </w:rPr>
        <w:t xml:space="preserve">The Amendment Order therefore </w:t>
      </w:r>
      <w:r>
        <w:rPr>
          <w:sz w:val="22"/>
          <w:szCs w:val="22"/>
        </w:rPr>
        <w:t>amends</w:t>
      </w:r>
      <w:r w:rsidRPr="00470576">
        <w:rPr>
          <w:sz w:val="22"/>
          <w:szCs w:val="22"/>
        </w:rPr>
        <w:t xml:space="preserve"> the Principal Order to </w:t>
      </w:r>
      <w:r>
        <w:rPr>
          <w:sz w:val="22"/>
          <w:szCs w:val="22"/>
        </w:rPr>
        <w:t>provide that the information leaflet that must be supplied with a menstrual cup must include a limit to the duration of use, not exceeding 12 hours.</w:t>
      </w:r>
    </w:p>
    <w:p w14:paraId="67546159" w14:textId="77777777" w:rsidR="00E0153D" w:rsidRPr="008C6AB1" w:rsidRDefault="00E0153D" w:rsidP="00E0153D">
      <w:pPr>
        <w:rPr>
          <w:sz w:val="22"/>
          <w:szCs w:val="22"/>
        </w:rPr>
      </w:pPr>
    </w:p>
    <w:p w14:paraId="2A9CEE22" w14:textId="49EFEF5D" w:rsidR="0022227F" w:rsidRDefault="00E0153D" w:rsidP="00E0153D">
      <w:pPr>
        <w:rPr>
          <w:sz w:val="22"/>
          <w:szCs w:val="22"/>
        </w:rPr>
      </w:pPr>
      <w:r w:rsidRPr="00470576">
        <w:rPr>
          <w:sz w:val="22"/>
          <w:szCs w:val="22"/>
        </w:rPr>
        <w:t>The Amendment Order also makes an</w:t>
      </w:r>
      <w:r>
        <w:rPr>
          <w:sz w:val="22"/>
          <w:szCs w:val="22"/>
        </w:rPr>
        <w:t xml:space="preserve">other </w:t>
      </w:r>
      <w:r w:rsidRPr="00470576">
        <w:rPr>
          <w:sz w:val="22"/>
          <w:szCs w:val="22"/>
        </w:rPr>
        <w:t>minor amendment to</w:t>
      </w:r>
      <w:r>
        <w:rPr>
          <w:sz w:val="22"/>
          <w:szCs w:val="22"/>
        </w:rPr>
        <w:t xml:space="preserve"> include a refence to “TGO 99” within the name of the instrument.</w:t>
      </w:r>
      <w:r w:rsidRPr="00470576">
        <w:rPr>
          <w:sz w:val="22"/>
          <w:szCs w:val="22"/>
        </w:rPr>
        <w:t xml:space="preserve"> </w:t>
      </w:r>
      <w:r>
        <w:rPr>
          <w:sz w:val="22"/>
          <w:szCs w:val="22"/>
        </w:rPr>
        <w:t>As this instrument is commonly referred to as “TGO 99”, this will improve access to the instrument when searching for TGO 99.</w:t>
      </w:r>
    </w:p>
    <w:p w14:paraId="7881A475" w14:textId="77777777" w:rsidR="00F251E1" w:rsidRPr="00470576" w:rsidRDefault="00F251E1" w:rsidP="00692A7D">
      <w:pPr>
        <w:rPr>
          <w:sz w:val="22"/>
          <w:szCs w:val="22"/>
        </w:rPr>
      </w:pPr>
    </w:p>
    <w:p w14:paraId="61685C5A" w14:textId="389CC8AE" w:rsidR="00E82F88" w:rsidRDefault="00E82F88" w:rsidP="00F251E1">
      <w:pPr>
        <w:pStyle w:val="ListBullet"/>
        <w:numPr>
          <w:ilvl w:val="0"/>
          <w:numId w:val="0"/>
        </w:numPr>
        <w:tabs>
          <w:tab w:val="clear" w:pos="397"/>
          <w:tab w:val="left" w:pos="284"/>
        </w:tabs>
        <w:spacing w:after="0"/>
        <w:ind w:left="360" w:hanging="360"/>
        <w:rPr>
          <w:b/>
          <w:bCs/>
          <w:sz w:val="22"/>
          <w:szCs w:val="22"/>
        </w:rPr>
      </w:pPr>
      <w:r w:rsidRPr="00D12BF5">
        <w:rPr>
          <w:b/>
          <w:bCs/>
          <w:sz w:val="22"/>
          <w:szCs w:val="22"/>
        </w:rPr>
        <w:t>Human rights implications</w:t>
      </w:r>
    </w:p>
    <w:p w14:paraId="71CB9B31" w14:textId="77777777" w:rsidR="00F251E1" w:rsidRPr="00D12BF5" w:rsidRDefault="00F251E1" w:rsidP="00692A7D">
      <w:pPr>
        <w:pStyle w:val="ListBullet"/>
        <w:numPr>
          <w:ilvl w:val="0"/>
          <w:numId w:val="0"/>
        </w:numPr>
        <w:tabs>
          <w:tab w:val="clear" w:pos="397"/>
          <w:tab w:val="left" w:pos="284"/>
        </w:tabs>
        <w:spacing w:after="0"/>
        <w:ind w:left="360" w:hanging="360"/>
        <w:rPr>
          <w:b/>
          <w:bCs/>
          <w:sz w:val="22"/>
          <w:szCs w:val="22"/>
        </w:rPr>
      </w:pPr>
    </w:p>
    <w:p w14:paraId="212E536B" w14:textId="703225AB" w:rsidR="00D12BF5" w:rsidRPr="00D12BF5" w:rsidRDefault="00D12BF5" w:rsidP="00692A7D">
      <w:pPr>
        <w:rPr>
          <w:sz w:val="22"/>
          <w:szCs w:val="22"/>
        </w:rPr>
      </w:pPr>
      <w:r w:rsidRPr="00D12BF5">
        <w:rPr>
          <w:sz w:val="22"/>
          <w:szCs w:val="22"/>
        </w:rPr>
        <w:t>T</w:t>
      </w:r>
      <w:r w:rsidR="004D0526" w:rsidRPr="00D12BF5">
        <w:rPr>
          <w:sz w:val="22"/>
          <w:szCs w:val="22"/>
        </w:rPr>
        <w:t>he</w:t>
      </w:r>
      <w:r w:rsidR="0072428C">
        <w:rPr>
          <w:sz w:val="22"/>
          <w:szCs w:val="22"/>
        </w:rPr>
        <w:t xml:space="preserve"> Amendment</w:t>
      </w:r>
      <w:r w:rsidR="00F251E1">
        <w:rPr>
          <w:sz w:val="22"/>
          <w:szCs w:val="22"/>
        </w:rPr>
        <w:t xml:space="preserve"> Order</w:t>
      </w:r>
      <w:r w:rsidR="004D0526" w:rsidRPr="00D12BF5">
        <w:rPr>
          <w:sz w:val="22"/>
          <w:szCs w:val="22"/>
        </w:rPr>
        <w:t xml:space="preserve"> </w:t>
      </w:r>
      <w:r w:rsidRPr="00D12BF5">
        <w:rPr>
          <w:sz w:val="22"/>
          <w:szCs w:val="22"/>
        </w:rPr>
        <w:t>engages the right to health in article 12 of the International Covenant on Economic, Social and Cultural Rights (</w:t>
      </w:r>
      <w:r>
        <w:rPr>
          <w:sz w:val="22"/>
          <w:szCs w:val="22"/>
        </w:rPr>
        <w:t>“</w:t>
      </w:r>
      <w:r w:rsidRPr="00D12BF5">
        <w:rPr>
          <w:sz w:val="22"/>
          <w:szCs w:val="22"/>
        </w:rPr>
        <w:t>the ICESCR</w:t>
      </w:r>
      <w:r>
        <w:rPr>
          <w:sz w:val="22"/>
          <w:szCs w:val="22"/>
        </w:rPr>
        <w:t>”</w:t>
      </w:r>
      <w:r w:rsidRPr="00D12BF5">
        <w:rPr>
          <w:sz w:val="22"/>
          <w:szCs w:val="22"/>
        </w:rPr>
        <w:t xml:space="preserve">). Article 12 of the ICESCR promotes the right </w:t>
      </w:r>
      <w:r w:rsidRPr="00D12BF5">
        <w:rPr>
          <w:sz w:val="22"/>
          <w:szCs w:val="22"/>
        </w:rPr>
        <w:lastRenderedPageBreak/>
        <w:t xml:space="preserve">of all individuals to enjoy the highest attainable standards of physical and mental </w:t>
      </w:r>
      <w:proofErr w:type="gramStart"/>
      <w:r w:rsidRPr="00D12BF5">
        <w:rPr>
          <w:sz w:val="22"/>
          <w:szCs w:val="22"/>
        </w:rPr>
        <w:t>health</w:t>
      </w:r>
      <w:r w:rsidR="00F251E1">
        <w:rPr>
          <w:sz w:val="22"/>
          <w:szCs w:val="22"/>
        </w:rPr>
        <w:t>, and</w:t>
      </w:r>
      <w:proofErr w:type="gramEnd"/>
      <w:r w:rsidR="00F251E1">
        <w:rPr>
          <w:sz w:val="22"/>
          <w:szCs w:val="22"/>
        </w:rPr>
        <w:t xml:space="preserve"> includes an obligation to take reasonable measures within available resources to progressively secure broader enjoyment of the right</w:t>
      </w:r>
      <w:r w:rsidRPr="00D12BF5">
        <w:rPr>
          <w:sz w:val="22"/>
          <w:szCs w:val="22"/>
        </w:rPr>
        <w:t>.</w:t>
      </w:r>
    </w:p>
    <w:p w14:paraId="10DA04A2" w14:textId="78A3C23B" w:rsidR="00D12BF5" w:rsidRDefault="00D12BF5" w:rsidP="00692A7D">
      <w:pPr>
        <w:rPr>
          <w:sz w:val="22"/>
          <w:szCs w:val="22"/>
        </w:rPr>
      </w:pPr>
    </w:p>
    <w:p w14:paraId="3D5F3F0E" w14:textId="376CD95F" w:rsidR="00D12BF5" w:rsidRDefault="00D12BF5" w:rsidP="00692A7D">
      <w:pPr>
        <w:rPr>
          <w:sz w:val="22"/>
          <w:szCs w:val="22"/>
        </w:rPr>
      </w:pPr>
      <w:r w:rsidRPr="00D12BF5">
        <w:rPr>
          <w:sz w:val="22"/>
          <w:szCs w:val="22"/>
        </w:rPr>
        <w:t>In </w:t>
      </w:r>
      <w:r w:rsidRPr="00D12BF5">
        <w:rPr>
          <w:i/>
          <w:iCs/>
          <w:sz w:val="22"/>
          <w:szCs w:val="22"/>
        </w:rPr>
        <w:t>General Comment No. 14: The Right to the Highest Attainable Standard of Health</w:t>
      </w:r>
      <w:r w:rsidRPr="00D12BF5">
        <w:rPr>
          <w:sz w:val="22"/>
          <w:szCs w:val="22"/>
        </w:rPr>
        <w:t>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r>
        <w:rPr>
          <w:sz w:val="22"/>
          <w:szCs w:val="22"/>
        </w:rPr>
        <w:t>.</w:t>
      </w:r>
    </w:p>
    <w:p w14:paraId="55711622" w14:textId="620C2BBF" w:rsidR="00D12BF5" w:rsidRDefault="00D12BF5" w:rsidP="00F251E1">
      <w:pPr>
        <w:rPr>
          <w:sz w:val="22"/>
          <w:szCs w:val="22"/>
        </w:rPr>
      </w:pPr>
    </w:p>
    <w:p w14:paraId="2D714949" w14:textId="10B1EFFE" w:rsidR="00D12BF5" w:rsidRDefault="00F251E1" w:rsidP="00F251E1">
      <w:pPr>
        <w:rPr>
          <w:sz w:val="22"/>
          <w:szCs w:val="22"/>
        </w:rPr>
      </w:pPr>
      <w:r>
        <w:rPr>
          <w:sz w:val="22"/>
          <w:szCs w:val="22"/>
        </w:rPr>
        <w:t xml:space="preserve">The Amendment Order </w:t>
      </w:r>
      <w:r w:rsidR="000C3444">
        <w:rPr>
          <w:sz w:val="22"/>
          <w:szCs w:val="22"/>
        </w:rPr>
        <w:t>maintains</w:t>
      </w:r>
      <w:r>
        <w:rPr>
          <w:sz w:val="22"/>
          <w:szCs w:val="22"/>
        </w:rPr>
        <w:t xml:space="preserve"> the right to health by helping to ensure the continued safety and quality of therapeutic goods that are menstrual cups. The Amendment Order amends the Principal Order to update the limit to the duration of use for menstrual cups</w:t>
      </w:r>
      <w:r w:rsidR="001412F1">
        <w:rPr>
          <w:sz w:val="22"/>
          <w:szCs w:val="22"/>
        </w:rPr>
        <w:t xml:space="preserve">. This </w:t>
      </w:r>
      <w:r>
        <w:rPr>
          <w:sz w:val="22"/>
          <w:szCs w:val="22"/>
        </w:rPr>
        <w:t>ensur</w:t>
      </w:r>
      <w:r w:rsidR="001412F1">
        <w:rPr>
          <w:sz w:val="22"/>
          <w:szCs w:val="22"/>
        </w:rPr>
        <w:t>es</w:t>
      </w:r>
      <w:r>
        <w:rPr>
          <w:sz w:val="22"/>
          <w:szCs w:val="22"/>
        </w:rPr>
        <w:t xml:space="preserve"> that the Principal Order continues to effectively provide for appropriate minimum standards that align with international </w:t>
      </w:r>
      <w:r w:rsidR="001412F1">
        <w:rPr>
          <w:sz w:val="22"/>
          <w:szCs w:val="22"/>
        </w:rPr>
        <w:t>standards</w:t>
      </w:r>
      <w:r>
        <w:rPr>
          <w:sz w:val="22"/>
          <w:szCs w:val="22"/>
        </w:rPr>
        <w:t>,</w:t>
      </w:r>
      <w:r w:rsidR="00D12BF5" w:rsidRPr="00D12BF5">
        <w:rPr>
          <w:sz w:val="22"/>
          <w:szCs w:val="22"/>
        </w:rPr>
        <w:t xml:space="preserve"> support</w:t>
      </w:r>
      <w:r>
        <w:rPr>
          <w:sz w:val="22"/>
          <w:szCs w:val="22"/>
        </w:rPr>
        <w:t>ing</w:t>
      </w:r>
      <w:r w:rsidR="00D12BF5" w:rsidRPr="00D12BF5">
        <w:rPr>
          <w:sz w:val="22"/>
          <w:szCs w:val="22"/>
        </w:rPr>
        <w:t xml:space="preserve"> the safe use of these products for women.</w:t>
      </w:r>
      <w:r w:rsidR="001412F1">
        <w:rPr>
          <w:sz w:val="22"/>
          <w:szCs w:val="22"/>
        </w:rPr>
        <w:t xml:space="preserve"> The alignment with international regulatory standards will also potentially increase supply in Australia or increase the range of menstrual cups that may be available in Australia.</w:t>
      </w:r>
    </w:p>
    <w:p w14:paraId="025C1E6E" w14:textId="77777777" w:rsidR="00F251E1" w:rsidRPr="00D12BF5" w:rsidRDefault="00F251E1" w:rsidP="00692A7D">
      <w:pPr>
        <w:rPr>
          <w:sz w:val="22"/>
          <w:szCs w:val="22"/>
        </w:rPr>
      </w:pPr>
    </w:p>
    <w:p w14:paraId="07D42DA0" w14:textId="5F6BD9E8" w:rsidR="00E82F88" w:rsidRDefault="00E82F88" w:rsidP="00F251E1">
      <w:pPr>
        <w:shd w:val="clear" w:color="auto" w:fill="FFFFFF"/>
        <w:rPr>
          <w:b/>
          <w:bCs/>
          <w:sz w:val="22"/>
          <w:szCs w:val="22"/>
        </w:rPr>
      </w:pPr>
      <w:r w:rsidRPr="00D12BF5">
        <w:rPr>
          <w:b/>
          <w:bCs/>
          <w:sz w:val="22"/>
          <w:szCs w:val="22"/>
        </w:rPr>
        <w:t>Conclusion</w:t>
      </w:r>
    </w:p>
    <w:p w14:paraId="47938028" w14:textId="77777777" w:rsidR="00F251E1" w:rsidRPr="00F251E1" w:rsidRDefault="00F251E1" w:rsidP="00692A7D">
      <w:pPr>
        <w:shd w:val="clear" w:color="auto" w:fill="FFFFFF"/>
        <w:rPr>
          <w:sz w:val="22"/>
          <w:szCs w:val="22"/>
          <w:lang w:val="en-US"/>
        </w:rPr>
      </w:pPr>
    </w:p>
    <w:bookmarkEnd w:id="0"/>
    <w:p w14:paraId="48D02178" w14:textId="0B67EF14" w:rsidR="00D12BF5" w:rsidRPr="00D5338D" w:rsidRDefault="00D12BF5" w:rsidP="00692A7D">
      <w:pPr>
        <w:rPr>
          <w:sz w:val="22"/>
          <w:szCs w:val="22"/>
          <w:lang w:val="en-US"/>
        </w:rPr>
      </w:pPr>
      <w:r>
        <w:rPr>
          <w:sz w:val="22"/>
          <w:szCs w:val="22"/>
        </w:rPr>
        <w:t>The</w:t>
      </w:r>
      <w:r w:rsidR="00F251E1">
        <w:rPr>
          <w:sz w:val="22"/>
          <w:szCs w:val="22"/>
        </w:rPr>
        <w:t xml:space="preserve"> Amendment Order</w:t>
      </w:r>
      <w:r w:rsidRPr="00D12BF5">
        <w:rPr>
          <w:sz w:val="22"/>
          <w:szCs w:val="22"/>
        </w:rPr>
        <w:t xml:space="preserve"> is compatible with human rights because it </w:t>
      </w:r>
      <w:r w:rsidR="001412F1">
        <w:rPr>
          <w:sz w:val="22"/>
          <w:szCs w:val="22"/>
        </w:rPr>
        <w:t>maintains</w:t>
      </w:r>
      <w:r w:rsidR="001412F1" w:rsidRPr="00D12BF5">
        <w:rPr>
          <w:sz w:val="22"/>
          <w:szCs w:val="22"/>
        </w:rPr>
        <w:t xml:space="preserve"> </w:t>
      </w:r>
      <w:r w:rsidRPr="00D12BF5">
        <w:rPr>
          <w:sz w:val="22"/>
          <w:szCs w:val="22"/>
        </w:rPr>
        <w:t>the right to health in article 12 of the ICESCR as outlined above, and otherwise does not raise any human rights issues.</w:t>
      </w:r>
    </w:p>
    <w:sectPr w:rsidR="00D12BF5" w:rsidRPr="00D5338D" w:rsidSect="007C1334">
      <w:footerReference w:type="default" r:id="rId8"/>
      <w:headerReference w:type="first" r:id="rId9"/>
      <w:footerReference w:type="first" r:id="rId10"/>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AFE6" w14:textId="77777777" w:rsidR="00A252FB" w:rsidRDefault="00A252FB">
      <w:r>
        <w:separator/>
      </w:r>
    </w:p>
  </w:endnote>
  <w:endnote w:type="continuationSeparator" w:id="0">
    <w:p w14:paraId="4A2F48E1" w14:textId="77777777" w:rsidR="00A252FB" w:rsidRDefault="00A2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854748"/>
      <w:docPartObj>
        <w:docPartGallery w:val="Page Numbers (Bottom of Page)"/>
        <w:docPartUnique/>
      </w:docPartObj>
    </w:sdtPr>
    <w:sdtEndPr>
      <w:rPr>
        <w:noProof/>
      </w:rPr>
    </w:sdtEndPr>
    <w:sdtContent>
      <w:p w14:paraId="594218D5" w14:textId="77777777" w:rsidR="008A79F3" w:rsidRDefault="008A79F3">
        <w:pPr>
          <w:pStyle w:val="Footer"/>
          <w:jc w:val="right"/>
        </w:pPr>
        <w:r>
          <w:fldChar w:fldCharType="begin"/>
        </w:r>
        <w:r>
          <w:instrText xml:space="preserve"> PAGE   \* MERGEFORMAT </w:instrText>
        </w:r>
        <w:r>
          <w:fldChar w:fldCharType="separate"/>
        </w:r>
        <w:r w:rsidR="001E72A5">
          <w:rPr>
            <w:noProof/>
          </w:rPr>
          <w:t>6</w:t>
        </w:r>
        <w:r>
          <w:rPr>
            <w:noProof/>
          </w:rPr>
          <w:fldChar w:fldCharType="end"/>
        </w:r>
      </w:p>
    </w:sdtContent>
  </w:sdt>
  <w:p w14:paraId="57BF94BF" w14:textId="77777777" w:rsidR="004618D4" w:rsidRPr="00D616D0" w:rsidRDefault="004618D4">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1B26" w14:textId="77777777" w:rsidR="004618D4" w:rsidRPr="00D616D0" w:rsidRDefault="004618D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69F7" w14:textId="77777777" w:rsidR="00A252FB" w:rsidRDefault="00A252FB">
      <w:r>
        <w:separator/>
      </w:r>
    </w:p>
  </w:footnote>
  <w:footnote w:type="continuationSeparator" w:id="0">
    <w:p w14:paraId="04E68694" w14:textId="77777777" w:rsidR="00A252FB" w:rsidRDefault="00A2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1782" w14:textId="77777777" w:rsidR="004618D4" w:rsidRDefault="004618D4">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980012"/>
    <w:multiLevelType w:val="hybridMultilevel"/>
    <w:tmpl w:val="D8D2A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72243"/>
    <w:multiLevelType w:val="hybridMultilevel"/>
    <w:tmpl w:val="50BA8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 w15:restartNumberingAfterBreak="0">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70253D"/>
    <w:multiLevelType w:val="hybridMultilevel"/>
    <w:tmpl w:val="D2AA7456"/>
    <w:lvl w:ilvl="0" w:tplc="B9CC42AA">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7" w15:restartNumberingAfterBreak="0">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D46CE"/>
    <w:multiLevelType w:val="hybridMultilevel"/>
    <w:tmpl w:val="41D87486"/>
    <w:lvl w:ilvl="0" w:tplc="842ACCEE">
      <w:start w:val="1"/>
      <w:numFmt w:val="lowerLetter"/>
      <w:lvlText w:val="(%1)"/>
      <w:lvlJc w:val="left"/>
      <w:pPr>
        <w:ind w:left="1665" w:hanging="360"/>
      </w:pPr>
      <w:rPr>
        <w:rFonts w:hint="default"/>
      </w:rPr>
    </w:lvl>
    <w:lvl w:ilvl="1" w:tplc="0C090019">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9" w15:restartNumberingAfterBreak="0">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8DE28C2"/>
    <w:multiLevelType w:val="hybridMultilevel"/>
    <w:tmpl w:val="8AD80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1B7DEF"/>
    <w:multiLevelType w:val="hybridMultilevel"/>
    <w:tmpl w:val="F9DE7F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7" w15:restartNumberingAfterBreak="0">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9546396">
    <w:abstractNumId w:val="11"/>
  </w:num>
  <w:num w:numId="2" w16cid:durableId="1824813797">
    <w:abstractNumId w:val="4"/>
  </w:num>
  <w:num w:numId="3" w16cid:durableId="2129857564">
    <w:abstractNumId w:val="7"/>
  </w:num>
  <w:num w:numId="4" w16cid:durableId="1869099119">
    <w:abstractNumId w:val="1"/>
  </w:num>
  <w:num w:numId="5" w16cid:durableId="277612318">
    <w:abstractNumId w:val="9"/>
  </w:num>
  <w:num w:numId="6" w16cid:durableId="547374010">
    <w:abstractNumId w:val="18"/>
  </w:num>
  <w:num w:numId="7" w16cid:durableId="217669328">
    <w:abstractNumId w:val="13"/>
  </w:num>
  <w:num w:numId="8" w16cid:durableId="351537836">
    <w:abstractNumId w:val="14"/>
  </w:num>
  <w:num w:numId="9" w16cid:durableId="1071123792">
    <w:abstractNumId w:val="0"/>
  </w:num>
  <w:num w:numId="10" w16cid:durableId="1269653854">
    <w:abstractNumId w:val="17"/>
  </w:num>
  <w:num w:numId="11" w16cid:durableId="1951549757">
    <w:abstractNumId w:val="12"/>
  </w:num>
  <w:num w:numId="12" w16cid:durableId="14937202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5139579">
    <w:abstractNumId w:val="5"/>
  </w:num>
  <w:num w:numId="14" w16cid:durableId="304161878">
    <w:abstractNumId w:val="8"/>
  </w:num>
  <w:num w:numId="15" w16cid:durableId="939026546">
    <w:abstractNumId w:val="6"/>
  </w:num>
  <w:num w:numId="16" w16cid:durableId="797527744">
    <w:abstractNumId w:val="0"/>
  </w:num>
  <w:num w:numId="17" w16cid:durableId="1333333193">
    <w:abstractNumId w:val="15"/>
  </w:num>
  <w:num w:numId="18" w16cid:durableId="879632241">
    <w:abstractNumId w:val="10"/>
  </w:num>
  <w:num w:numId="19" w16cid:durableId="209415439">
    <w:abstractNumId w:val="3"/>
  </w:num>
  <w:num w:numId="20" w16cid:durableId="1788543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D4"/>
    <w:rsid w:val="000053E8"/>
    <w:rsid w:val="00011C02"/>
    <w:rsid w:val="00012131"/>
    <w:rsid w:val="00012B27"/>
    <w:rsid w:val="00023B24"/>
    <w:rsid w:val="00023B90"/>
    <w:rsid w:val="0003724B"/>
    <w:rsid w:val="0004328A"/>
    <w:rsid w:val="00050166"/>
    <w:rsid w:val="00052E74"/>
    <w:rsid w:val="00055568"/>
    <w:rsid w:val="000800D1"/>
    <w:rsid w:val="00095DF2"/>
    <w:rsid w:val="00097051"/>
    <w:rsid w:val="000A210B"/>
    <w:rsid w:val="000A3515"/>
    <w:rsid w:val="000A6231"/>
    <w:rsid w:val="000B7456"/>
    <w:rsid w:val="000B796B"/>
    <w:rsid w:val="000C3444"/>
    <w:rsid w:val="000C3488"/>
    <w:rsid w:val="000D16F9"/>
    <w:rsid w:val="000F68E9"/>
    <w:rsid w:val="001014D5"/>
    <w:rsid w:val="00102D3D"/>
    <w:rsid w:val="00120903"/>
    <w:rsid w:val="001318F6"/>
    <w:rsid w:val="00134257"/>
    <w:rsid w:val="00135CBD"/>
    <w:rsid w:val="001412F1"/>
    <w:rsid w:val="00143F97"/>
    <w:rsid w:val="001519B8"/>
    <w:rsid w:val="0016043B"/>
    <w:rsid w:val="00162272"/>
    <w:rsid w:val="001730F1"/>
    <w:rsid w:val="001808E0"/>
    <w:rsid w:val="00182912"/>
    <w:rsid w:val="00192AD3"/>
    <w:rsid w:val="00197232"/>
    <w:rsid w:val="001B6E81"/>
    <w:rsid w:val="001C1BE9"/>
    <w:rsid w:val="001C444E"/>
    <w:rsid w:val="001C4FE5"/>
    <w:rsid w:val="001D1FDB"/>
    <w:rsid w:val="001D51C0"/>
    <w:rsid w:val="001E5508"/>
    <w:rsid w:val="001E72A5"/>
    <w:rsid w:val="001F2627"/>
    <w:rsid w:val="001F506B"/>
    <w:rsid w:val="001F67E7"/>
    <w:rsid w:val="001F7EDC"/>
    <w:rsid w:val="0021230B"/>
    <w:rsid w:val="00213F4C"/>
    <w:rsid w:val="0022227F"/>
    <w:rsid w:val="00230B4F"/>
    <w:rsid w:val="00231CA9"/>
    <w:rsid w:val="00241EA7"/>
    <w:rsid w:val="002422D8"/>
    <w:rsid w:val="0024236E"/>
    <w:rsid w:val="002423EC"/>
    <w:rsid w:val="00242DF6"/>
    <w:rsid w:val="002507D8"/>
    <w:rsid w:val="00251D8F"/>
    <w:rsid w:val="0025560D"/>
    <w:rsid w:val="00266C5E"/>
    <w:rsid w:val="00267C0F"/>
    <w:rsid w:val="00270489"/>
    <w:rsid w:val="00270BF5"/>
    <w:rsid w:val="002933D6"/>
    <w:rsid w:val="002A0510"/>
    <w:rsid w:val="002B664C"/>
    <w:rsid w:val="002C1182"/>
    <w:rsid w:val="002C54CC"/>
    <w:rsid w:val="002C5BFF"/>
    <w:rsid w:val="002D1B0D"/>
    <w:rsid w:val="00330BC9"/>
    <w:rsid w:val="00353B71"/>
    <w:rsid w:val="003757FD"/>
    <w:rsid w:val="00376A40"/>
    <w:rsid w:val="003A0D20"/>
    <w:rsid w:val="003B3646"/>
    <w:rsid w:val="003C6287"/>
    <w:rsid w:val="00422EB2"/>
    <w:rsid w:val="00440557"/>
    <w:rsid w:val="00451C90"/>
    <w:rsid w:val="0046110A"/>
    <w:rsid w:val="004618D4"/>
    <w:rsid w:val="00470576"/>
    <w:rsid w:val="00482D40"/>
    <w:rsid w:val="004A6730"/>
    <w:rsid w:val="004B4201"/>
    <w:rsid w:val="004B53A9"/>
    <w:rsid w:val="004C156C"/>
    <w:rsid w:val="004D0526"/>
    <w:rsid w:val="004D3B08"/>
    <w:rsid w:val="004D719E"/>
    <w:rsid w:val="004F5438"/>
    <w:rsid w:val="005073DA"/>
    <w:rsid w:val="00523207"/>
    <w:rsid w:val="00535C64"/>
    <w:rsid w:val="00535EAB"/>
    <w:rsid w:val="00536CF6"/>
    <w:rsid w:val="005412FF"/>
    <w:rsid w:val="00542BE2"/>
    <w:rsid w:val="00544658"/>
    <w:rsid w:val="00560710"/>
    <w:rsid w:val="00564105"/>
    <w:rsid w:val="00570579"/>
    <w:rsid w:val="005721A4"/>
    <w:rsid w:val="0057772C"/>
    <w:rsid w:val="005844D5"/>
    <w:rsid w:val="00586E8A"/>
    <w:rsid w:val="0059552C"/>
    <w:rsid w:val="005A5E7A"/>
    <w:rsid w:val="005A7E96"/>
    <w:rsid w:val="005B47CB"/>
    <w:rsid w:val="005C0864"/>
    <w:rsid w:val="005D4C55"/>
    <w:rsid w:val="005D56E6"/>
    <w:rsid w:val="005D78E8"/>
    <w:rsid w:val="005F3A84"/>
    <w:rsid w:val="0061082B"/>
    <w:rsid w:val="0062047B"/>
    <w:rsid w:val="00626DD9"/>
    <w:rsid w:val="006347A5"/>
    <w:rsid w:val="006348D2"/>
    <w:rsid w:val="00642353"/>
    <w:rsid w:val="00643180"/>
    <w:rsid w:val="00654000"/>
    <w:rsid w:val="00656E30"/>
    <w:rsid w:val="00662FAE"/>
    <w:rsid w:val="006802FD"/>
    <w:rsid w:val="00692A7D"/>
    <w:rsid w:val="00697592"/>
    <w:rsid w:val="006A6DE5"/>
    <w:rsid w:val="006B0DBF"/>
    <w:rsid w:val="006B7678"/>
    <w:rsid w:val="006C29A5"/>
    <w:rsid w:val="006E0E72"/>
    <w:rsid w:val="007218E0"/>
    <w:rsid w:val="00723868"/>
    <w:rsid w:val="0072428C"/>
    <w:rsid w:val="0072644A"/>
    <w:rsid w:val="007323D5"/>
    <w:rsid w:val="00737214"/>
    <w:rsid w:val="007455B6"/>
    <w:rsid w:val="00747990"/>
    <w:rsid w:val="00751E59"/>
    <w:rsid w:val="0075681F"/>
    <w:rsid w:val="007605EA"/>
    <w:rsid w:val="00760A59"/>
    <w:rsid w:val="00767899"/>
    <w:rsid w:val="00783D87"/>
    <w:rsid w:val="00784137"/>
    <w:rsid w:val="00795673"/>
    <w:rsid w:val="007A1C91"/>
    <w:rsid w:val="007A2D81"/>
    <w:rsid w:val="007B3C8D"/>
    <w:rsid w:val="007B3DC2"/>
    <w:rsid w:val="007B502C"/>
    <w:rsid w:val="007C1334"/>
    <w:rsid w:val="007C191D"/>
    <w:rsid w:val="007C7559"/>
    <w:rsid w:val="007D0F4B"/>
    <w:rsid w:val="007D4181"/>
    <w:rsid w:val="007D436A"/>
    <w:rsid w:val="007E184C"/>
    <w:rsid w:val="007E4B34"/>
    <w:rsid w:val="007F2E26"/>
    <w:rsid w:val="00805984"/>
    <w:rsid w:val="00812AFC"/>
    <w:rsid w:val="00815229"/>
    <w:rsid w:val="0081666F"/>
    <w:rsid w:val="008207BA"/>
    <w:rsid w:val="00824299"/>
    <w:rsid w:val="0085091A"/>
    <w:rsid w:val="008571AA"/>
    <w:rsid w:val="00862D7C"/>
    <w:rsid w:val="00867870"/>
    <w:rsid w:val="008732B8"/>
    <w:rsid w:val="00876E68"/>
    <w:rsid w:val="0088424C"/>
    <w:rsid w:val="00892B26"/>
    <w:rsid w:val="008A79F3"/>
    <w:rsid w:val="008C3594"/>
    <w:rsid w:val="008C6AB1"/>
    <w:rsid w:val="008D56B8"/>
    <w:rsid w:val="008D60E8"/>
    <w:rsid w:val="008E7291"/>
    <w:rsid w:val="008F15C8"/>
    <w:rsid w:val="00902F4F"/>
    <w:rsid w:val="00907ABE"/>
    <w:rsid w:val="00916567"/>
    <w:rsid w:val="009231A6"/>
    <w:rsid w:val="009446AA"/>
    <w:rsid w:val="009452FC"/>
    <w:rsid w:val="00946189"/>
    <w:rsid w:val="00952D47"/>
    <w:rsid w:val="00955561"/>
    <w:rsid w:val="0095647F"/>
    <w:rsid w:val="009625BD"/>
    <w:rsid w:val="00973652"/>
    <w:rsid w:val="009754F9"/>
    <w:rsid w:val="009856FF"/>
    <w:rsid w:val="00987A69"/>
    <w:rsid w:val="00987E7D"/>
    <w:rsid w:val="009921F6"/>
    <w:rsid w:val="00996809"/>
    <w:rsid w:val="00996FD4"/>
    <w:rsid w:val="00997EAF"/>
    <w:rsid w:val="009A1B18"/>
    <w:rsid w:val="009A32C9"/>
    <w:rsid w:val="009A3F6E"/>
    <w:rsid w:val="009A5ED0"/>
    <w:rsid w:val="009A7530"/>
    <w:rsid w:val="009B1A45"/>
    <w:rsid w:val="009B1D81"/>
    <w:rsid w:val="009B2F5F"/>
    <w:rsid w:val="009D289C"/>
    <w:rsid w:val="009E0F47"/>
    <w:rsid w:val="009E3B8C"/>
    <w:rsid w:val="009E73AE"/>
    <w:rsid w:val="00A027B8"/>
    <w:rsid w:val="00A06CFF"/>
    <w:rsid w:val="00A205EA"/>
    <w:rsid w:val="00A21473"/>
    <w:rsid w:val="00A252FB"/>
    <w:rsid w:val="00A63D21"/>
    <w:rsid w:val="00A7103D"/>
    <w:rsid w:val="00A73E50"/>
    <w:rsid w:val="00A82E6E"/>
    <w:rsid w:val="00A91B69"/>
    <w:rsid w:val="00AA6DC0"/>
    <w:rsid w:val="00AB7043"/>
    <w:rsid w:val="00AC0B56"/>
    <w:rsid w:val="00AC31F0"/>
    <w:rsid w:val="00AC3CC9"/>
    <w:rsid w:val="00AE0EDC"/>
    <w:rsid w:val="00AF2ED6"/>
    <w:rsid w:val="00B072E4"/>
    <w:rsid w:val="00B13DF1"/>
    <w:rsid w:val="00B216AF"/>
    <w:rsid w:val="00B303AB"/>
    <w:rsid w:val="00B35799"/>
    <w:rsid w:val="00B47456"/>
    <w:rsid w:val="00B51627"/>
    <w:rsid w:val="00B611AD"/>
    <w:rsid w:val="00B740C8"/>
    <w:rsid w:val="00B918B9"/>
    <w:rsid w:val="00BA3545"/>
    <w:rsid w:val="00BB5A63"/>
    <w:rsid w:val="00BB7889"/>
    <w:rsid w:val="00BC09A7"/>
    <w:rsid w:val="00BC565A"/>
    <w:rsid w:val="00BD0499"/>
    <w:rsid w:val="00BD1FE5"/>
    <w:rsid w:val="00BE506B"/>
    <w:rsid w:val="00BF2BF5"/>
    <w:rsid w:val="00BF566A"/>
    <w:rsid w:val="00C06059"/>
    <w:rsid w:val="00C372B8"/>
    <w:rsid w:val="00C44382"/>
    <w:rsid w:val="00C652C4"/>
    <w:rsid w:val="00C65D8B"/>
    <w:rsid w:val="00C860B5"/>
    <w:rsid w:val="00C92F77"/>
    <w:rsid w:val="00C946E1"/>
    <w:rsid w:val="00C95389"/>
    <w:rsid w:val="00CA52D4"/>
    <w:rsid w:val="00CB3603"/>
    <w:rsid w:val="00CB502C"/>
    <w:rsid w:val="00CB58D5"/>
    <w:rsid w:val="00CC3201"/>
    <w:rsid w:val="00CD731C"/>
    <w:rsid w:val="00CE2BF6"/>
    <w:rsid w:val="00CE3554"/>
    <w:rsid w:val="00CE6944"/>
    <w:rsid w:val="00CE7AF2"/>
    <w:rsid w:val="00CF1D77"/>
    <w:rsid w:val="00CF3280"/>
    <w:rsid w:val="00D02814"/>
    <w:rsid w:val="00D03CBE"/>
    <w:rsid w:val="00D04E88"/>
    <w:rsid w:val="00D12BF5"/>
    <w:rsid w:val="00D252E4"/>
    <w:rsid w:val="00D27FD1"/>
    <w:rsid w:val="00D313DF"/>
    <w:rsid w:val="00D415FB"/>
    <w:rsid w:val="00D47B9B"/>
    <w:rsid w:val="00D5338D"/>
    <w:rsid w:val="00D61D0B"/>
    <w:rsid w:val="00D6651D"/>
    <w:rsid w:val="00D71897"/>
    <w:rsid w:val="00D718DD"/>
    <w:rsid w:val="00D765F8"/>
    <w:rsid w:val="00D8495C"/>
    <w:rsid w:val="00D916E9"/>
    <w:rsid w:val="00D92891"/>
    <w:rsid w:val="00D96ADB"/>
    <w:rsid w:val="00DA291A"/>
    <w:rsid w:val="00DB0E8D"/>
    <w:rsid w:val="00DB5B09"/>
    <w:rsid w:val="00DD162C"/>
    <w:rsid w:val="00DE1791"/>
    <w:rsid w:val="00DF7CC2"/>
    <w:rsid w:val="00E000DA"/>
    <w:rsid w:val="00E013A6"/>
    <w:rsid w:val="00E0153D"/>
    <w:rsid w:val="00E063D0"/>
    <w:rsid w:val="00E10ACF"/>
    <w:rsid w:val="00E51F71"/>
    <w:rsid w:val="00E52E69"/>
    <w:rsid w:val="00E53752"/>
    <w:rsid w:val="00E6339E"/>
    <w:rsid w:val="00E71D82"/>
    <w:rsid w:val="00E82F88"/>
    <w:rsid w:val="00E94AAA"/>
    <w:rsid w:val="00E95473"/>
    <w:rsid w:val="00EA05A0"/>
    <w:rsid w:val="00EA351E"/>
    <w:rsid w:val="00EA3F7E"/>
    <w:rsid w:val="00EA5ABE"/>
    <w:rsid w:val="00EB4313"/>
    <w:rsid w:val="00EB5FFB"/>
    <w:rsid w:val="00EB68D6"/>
    <w:rsid w:val="00EB730B"/>
    <w:rsid w:val="00EC350A"/>
    <w:rsid w:val="00EE3469"/>
    <w:rsid w:val="00EF0873"/>
    <w:rsid w:val="00F12BAB"/>
    <w:rsid w:val="00F12F9D"/>
    <w:rsid w:val="00F155C3"/>
    <w:rsid w:val="00F16D83"/>
    <w:rsid w:val="00F16F2B"/>
    <w:rsid w:val="00F20B27"/>
    <w:rsid w:val="00F241A7"/>
    <w:rsid w:val="00F251E1"/>
    <w:rsid w:val="00F34527"/>
    <w:rsid w:val="00F45355"/>
    <w:rsid w:val="00F56961"/>
    <w:rsid w:val="00F63F07"/>
    <w:rsid w:val="00F700B7"/>
    <w:rsid w:val="00F87CA8"/>
    <w:rsid w:val="00F87E57"/>
    <w:rsid w:val="00F90BC1"/>
    <w:rsid w:val="00F93C25"/>
    <w:rsid w:val="00FA0404"/>
    <w:rsid w:val="00FA4A1B"/>
    <w:rsid w:val="00FA6A4A"/>
    <w:rsid w:val="00FB0722"/>
    <w:rsid w:val="00FB101B"/>
    <w:rsid w:val="00FB76E8"/>
    <w:rsid w:val="00FD39F4"/>
    <w:rsid w:val="00FD5520"/>
    <w:rsid w:val="00FE2664"/>
    <w:rsid w:val="00FE76E5"/>
    <w:rsid w:val="00FF3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364DF6"/>
  <w15:docId w15:val="{69D47268-7FA9-4FB8-B377-0B0532F9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B611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4B53A9"/>
    <w:rPr>
      <w:color w:val="800080" w:themeColor="followedHyperlink"/>
      <w:u w:val="single"/>
    </w:rPr>
  </w:style>
  <w:style w:type="paragraph" w:styleId="ListParagraph">
    <w:name w:val="List Paragraph"/>
    <w:basedOn w:val="Normal"/>
    <w:uiPriority w:val="34"/>
    <w:qFormat/>
    <w:rsid w:val="0025560D"/>
    <w:pPr>
      <w:ind w:left="720"/>
      <w:contextualSpacing/>
    </w:pPr>
  </w:style>
  <w:style w:type="character" w:customStyle="1" w:styleId="Heading2Char">
    <w:name w:val="Heading 2 Char"/>
    <w:basedOn w:val="DefaultParagraphFont"/>
    <w:link w:val="Heading2"/>
    <w:uiPriority w:val="9"/>
    <w:semiHidden/>
    <w:rsid w:val="00B611AD"/>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C2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273904318">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510073133">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876087836">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465153580">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A06C-9FBD-4A43-8984-8F8D021B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1873</Words>
  <Characters>9945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Company>Therapeutic Goods Administration</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LEVIN, Liana</dc:creator>
  <cp:lastModifiedBy>SINNATHAMBY, Priya</cp:lastModifiedBy>
  <cp:revision>2</cp:revision>
  <cp:lastPrinted>2019-03-27T05:17:00Z</cp:lastPrinted>
  <dcterms:created xsi:type="dcterms:W3CDTF">2023-08-18T01:34:00Z</dcterms:created>
  <dcterms:modified xsi:type="dcterms:W3CDTF">2023-08-18T01:34:00Z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