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C6FA4" w14:textId="77777777" w:rsidR="00F109D4" w:rsidRPr="00474C02" w:rsidRDefault="00F109D4" w:rsidP="004A27A8">
      <w:pPr>
        <w:pStyle w:val="Heading1"/>
        <w:spacing w:after="360"/>
        <w:rPr>
          <w:rFonts w:ascii="Times New Roman" w:hAnsi="Times New Roman"/>
          <w:sz w:val="24"/>
          <w:szCs w:val="24"/>
        </w:rPr>
      </w:pPr>
      <w:r w:rsidRPr="00474C02">
        <w:rPr>
          <w:rFonts w:ascii="Times New Roman" w:hAnsi="Times New Roman"/>
          <w:sz w:val="24"/>
          <w:szCs w:val="24"/>
        </w:rPr>
        <w:t>EXPLANATORY STATEMENT</w:t>
      </w:r>
    </w:p>
    <w:p w14:paraId="1223DF5E" w14:textId="61AA5D15" w:rsidR="007662C7" w:rsidRPr="00474C02" w:rsidRDefault="00F109D4" w:rsidP="004A27A8">
      <w:pPr>
        <w:pStyle w:val="Heading2"/>
        <w:jc w:val="center"/>
        <w:rPr>
          <w:sz w:val="24"/>
          <w:szCs w:val="24"/>
        </w:rPr>
      </w:pPr>
      <w:r w:rsidRPr="00474C02">
        <w:rPr>
          <w:sz w:val="24"/>
          <w:szCs w:val="24"/>
        </w:rPr>
        <w:t>Issued by authority of</w:t>
      </w:r>
      <w:r w:rsidR="00DF7DB3" w:rsidRPr="00474C02">
        <w:rPr>
          <w:sz w:val="24"/>
          <w:szCs w:val="24"/>
        </w:rPr>
        <w:t xml:space="preserve"> </w:t>
      </w:r>
      <w:r w:rsidR="003878DA" w:rsidRPr="00474C02">
        <w:rPr>
          <w:sz w:val="24"/>
          <w:szCs w:val="24"/>
        </w:rPr>
        <w:t xml:space="preserve">the </w:t>
      </w:r>
      <w:r w:rsidR="00DF7DB3" w:rsidRPr="00474C02">
        <w:rPr>
          <w:sz w:val="24"/>
          <w:szCs w:val="24"/>
        </w:rPr>
        <w:t xml:space="preserve">Commissioner of </w:t>
      </w:r>
      <w:r w:rsidR="00D93BAF" w:rsidRPr="00474C02">
        <w:rPr>
          <w:sz w:val="24"/>
          <w:szCs w:val="24"/>
        </w:rPr>
        <w:t xml:space="preserve">the Australian Federal </w:t>
      </w:r>
      <w:r w:rsidR="00DF7DB3" w:rsidRPr="00474C02">
        <w:rPr>
          <w:sz w:val="24"/>
          <w:szCs w:val="24"/>
        </w:rPr>
        <w:t>Police and the Commonwealth Ombudsman</w:t>
      </w:r>
    </w:p>
    <w:p w14:paraId="053CC523" w14:textId="068BBFA9" w:rsidR="00F109D4" w:rsidRPr="00474C02" w:rsidRDefault="00DF7DB3" w:rsidP="004A27A8">
      <w:pPr>
        <w:spacing w:before="240" w:after="240"/>
        <w:jc w:val="center"/>
        <w:rPr>
          <w:i/>
        </w:rPr>
      </w:pPr>
      <w:r w:rsidRPr="00474C02">
        <w:rPr>
          <w:i/>
        </w:rPr>
        <w:t>Australian Federal Police Act 1979</w:t>
      </w:r>
    </w:p>
    <w:p w14:paraId="076374BC" w14:textId="77777777" w:rsidR="00F109D4" w:rsidRPr="00474C02" w:rsidRDefault="00DF7DB3" w:rsidP="004A27A8">
      <w:pPr>
        <w:tabs>
          <w:tab w:val="left" w:pos="1418"/>
        </w:tabs>
        <w:spacing w:before="0" w:after="240"/>
        <w:jc w:val="center"/>
        <w:rPr>
          <w:i/>
        </w:rPr>
      </w:pPr>
      <w:r w:rsidRPr="00474C02">
        <w:rPr>
          <w:i/>
        </w:rPr>
        <w:t>Australian Federal Police (Categories of Conduct) Determination 2023</w:t>
      </w:r>
    </w:p>
    <w:p w14:paraId="7F0B13BB" w14:textId="614EC951" w:rsidR="005A6C81" w:rsidRPr="00474C02" w:rsidRDefault="005A6C81" w:rsidP="000A7C53">
      <w:pPr>
        <w:spacing w:before="240"/>
      </w:pPr>
      <w:r w:rsidRPr="00474C02">
        <w:t xml:space="preserve">Subsection 40RM(1) of the </w:t>
      </w:r>
      <w:r w:rsidRPr="00474C02">
        <w:rPr>
          <w:i/>
          <w:iCs/>
        </w:rPr>
        <w:t>Australian Federal Police Act 1979</w:t>
      </w:r>
      <w:r w:rsidRPr="00474C02">
        <w:t xml:space="preserve"> (the AFP Act) provides that the Commissioner </w:t>
      </w:r>
      <w:r w:rsidR="005C325B" w:rsidRPr="00474C02">
        <w:t xml:space="preserve">of </w:t>
      </w:r>
      <w:r w:rsidR="00D93BAF" w:rsidRPr="00474C02">
        <w:t xml:space="preserve">the Australian Federal </w:t>
      </w:r>
      <w:r w:rsidR="005C325B" w:rsidRPr="00474C02">
        <w:t xml:space="preserve">Police (Commissioner) </w:t>
      </w:r>
      <w:r w:rsidRPr="00474C02">
        <w:t xml:space="preserve">and the Commonwealth Ombudsman may jointly determine, by legislative instrument, </w:t>
      </w:r>
      <w:r w:rsidRPr="00474C02">
        <w:rPr>
          <w:color w:val="000000"/>
          <w:shd w:val="clear" w:color="auto" w:fill="FFFFFF"/>
        </w:rPr>
        <w:t>the kind of conduct that is to be category 1, 2 or 3 conduct for the purposes of the AFP Act.</w:t>
      </w:r>
      <w:r w:rsidRPr="00474C02">
        <w:t xml:space="preserve"> </w:t>
      </w:r>
    </w:p>
    <w:p w14:paraId="0D81F970" w14:textId="032AC65E" w:rsidR="005C3D2E" w:rsidRPr="00474C02" w:rsidRDefault="005C3D2E" w:rsidP="000A7C53">
      <w:pPr>
        <w:spacing w:before="240"/>
      </w:pPr>
      <w:r w:rsidRPr="00474C02">
        <w:t xml:space="preserve">Complaints about the conduct of AFP </w:t>
      </w:r>
      <w:r w:rsidR="005B4ABF" w:rsidRPr="00474C02">
        <w:t>a</w:t>
      </w:r>
      <w:r w:rsidRPr="00474C02">
        <w:t xml:space="preserve">ppointees are dealt with in Part V of the </w:t>
      </w:r>
      <w:r w:rsidR="00A63AEB" w:rsidRPr="00474C02">
        <w:t xml:space="preserve">AFP </w:t>
      </w:r>
      <w:r w:rsidRPr="00474C02">
        <w:t xml:space="preserve">Act. Section 40RH of the </w:t>
      </w:r>
      <w:r w:rsidR="00A63AEB" w:rsidRPr="00474C02">
        <w:t xml:space="preserve">AFP </w:t>
      </w:r>
      <w:r w:rsidRPr="00474C02">
        <w:t>Act stipulates that an AFP conduct issue is an issue of whether an AFP appointee has engaged in conduct that contravenes the professional standards of the AFP or corrupt conduct. Professional standards</w:t>
      </w:r>
      <w:r w:rsidR="000C391A" w:rsidRPr="00474C02">
        <w:t>,</w:t>
      </w:r>
      <w:r w:rsidRPr="00474C02">
        <w:t xml:space="preserve"> to which all AFP appointees must comply</w:t>
      </w:r>
      <w:r w:rsidR="000C391A" w:rsidRPr="00474C02">
        <w:t>,</w:t>
      </w:r>
      <w:r w:rsidRPr="00474C02">
        <w:t xml:space="preserve"> are established by the Commissioner pursuant t</w:t>
      </w:r>
      <w:r w:rsidR="00DB7078" w:rsidRPr="00474C02">
        <w:t xml:space="preserve">o section 40RC of the </w:t>
      </w:r>
      <w:r w:rsidR="00A63AEB" w:rsidRPr="00474C02">
        <w:t>AFP</w:t>
      </w:r>
      <w:r w:rsidR="005A6C81" w:rsidRPr="00474C02">
        <w:t> </w:t>
      </w:r>
      <w:r w:rsidR="00DB7078" w:rsidRPr="00474C02">
        <w:t>Act. The p</w:t>
      </w:r>
      <w:r w:rsidRPr="00474C02">
        <w:t xml:space="preserve">rofessional standards are issued as Commissioner’s orders under section 38 of the </w:t>
      </w:r>
      <w:r w:rsidR="00A63AEB" w:rsidRPr="00474C02">
        <w:t xml:space="preserve">AFP </w:t>
      </w:r>
      <w:r w:rsidRPr="00474C02">
        <w:t xml:space="preserve">Act. </w:t>
      </w:r>
    </w:p>
    <w:p w14:paraId="4E4AE673" w14:textId="02D2C81C" w:rsidR="00DE088A" w:rsidRPr="00474C02" w:rsidRDefault="005C3D2E" w:rsidP="000A7C53">
      <w:pPr>
        <w:spacing w:before="240"/>
        <w:rPr>
          <w:color w:val="000000"/>
          <w:shd w:val="clear" w:color="auto" w:fill="FFFFFF"/>
        </w:rPr>
      </w:pPr>
      <w:r w:rsidRPr="00474C02">
        <w:rPr>
          <w:color w:val="000000"/>
          <w:shd w:val="clear" w:color="auto" w:fill="FFFFFF"/>
        </w:rPr>
        <w:t xml:space="preserve">Section 40RK </w:t>
      </w:r>
      <w:r w:rsidR="005A6C81" w:rsidRPr="00474C02">
        <w:rPr>
          <w:color w:val="000000"/>
          <w:shd w:val="clear" w:color="auto" w:fill="FFFFFF"/>
        </w:rPr>
        <w:t xml:space="preserve">of the AFP Act </w:t>
      </w:r>
      <w:r w:rsidRPr="00474C02">
        <w:rPr>
          <w:color w:val="000000"/>
          <w:shd w:val="clear" w:color="auto" w:fill="FFFFFF"/>
        </w:rPr>
        <w:t xml:space="preserve">provides that there are </w:t>
      </w:r>
      <w:r w:rsidR="005A6C81" w:rsidRPr="00474C02">
        <w:rPr>
          <w:color w:val="000000"/>
          <w:shd w:val="clear" w:color="auto" w:fill="FFFFFF"/>
        </w:rPr>
        <w:t xml:space="preserve">4 </w:t>
      </w:r>
      <w:r w:rsidRPr="00474C02">
        <w:rPr>
          <w:color w:val="000000"/>
          <w:shd w:val="clear" w:color="auto" w:fill="FFFFFF"/>
        </w:rPr>
        <w:t>categories of conduct is</w:t>
      </w:r>
      <w:r w:rsidR="00DE088A" w:rsidRPr="00474C02">
        <w:rPr>
          <w:color w:val="000000"/>
          <w:shd w:val="clear" w:color="auto" w:fill="FFFFFF"/>
        </w:rPr>
        <w:t>sues:</w:t>
      </w:r>
    </w:p>
    <w:p w14:paraId="2A779C6D" w14:textId="77777777" w:rsidR="005C3D2E" w:rsidRPr="00474C02" w:rsidRDefault="00DE088A" w:rsidP="00A44281">
      <w:pPr>
        <w:pStyle w:val="ListParagraph"/>
        <w:numPr>
          <w:ilvl w:val="0"/>
          <w:numId w:val="18"/>
        </w:numPr>
        <w:spacing w:before="240"/>
        <w:contextualSpacing w:val="0"/>
        <w:rPr>
          <w:color w:val="000000"/>
          <w:shd w:val="clear" w:color="auto" w:fill="FFFFFF"/>
        </w:rPr>
      </w:pPr>
      <w:r w:rsidRPr="00474C02">
        <w:rPr>
          <w:color w:val="000000"/>
          <w:shd w:val="clear" w:color="auto" w:fill="FFFFFF"/>
        </w:rPr>
        <w:t>category 1 conduct which is the least serious class of conduct;</w:t>
      </w:r>
    </w:p>
    <w:p w14:paraId="49B8C27C" w14:textId="77777777" w:rsidR="00DE088A" w:rsidRPr="00474C02" w:rsidRDefault="00DE088A" w:rsidP="00A44281">
      <w:pPr>
        <w:pStyle w:val="ListParagraph"/>
        <w:numPr>
          <w:ilvl w:val="0"/>
          <w:numId w:val="18"/>
        </w:numPr>
        <w:spacing w:before="240"/>
        <w:contextualSpacing w:val="0"/>
        <w:rPr>
          <w:color w:val="000000"/>
          <w:shd w:val="clear" w:color="auto" w:fill="FFFFFF"/>
        </w:rPr>
      </w:pPr>
      <w:r w:rsidRPr="00474C02">
        <w:rPr>
          <w:color w:val="000000"/>
          <w:shd w:val="clear" w:color="auto" w:fill="FFFFFF"/>
        </w:rPr>
        <w:t>category 2 which is the next most serious category;</w:t>
      </w:r>
    </w:p>
    <w:p w14:paraId="5009F46D" w14:textId="77777777" w:rsidR="00DE088A" w:rsidRPr="00474C02" w:rsidRDefault="00DE088A" w:rsidP="00A44281">
      <w:pPr>
        <w:pStyle w:val="ListParagraph"/>
        <w:numPr>
          <w:ilvl w:val="0"/>
          <w:numId w:val="18"/>
        </w:numPr>
        <w:spacing w:before="240"/>
        <w:contextualSpacing w:val="0"/>
        <w:rPr>
          <w:color w:val="000000"/>
          <w:shd w:val="clear" w:color="auto" w:fill="FFFFFF"/>
        </w:rPr>
      </w:pPr>
      <w:r w:rsidRPr="00474C02">
        <w:rPr>
          <w:color w:val="000000"/>
          <w:shd w:val="clear" w:color="auto" w:fill="FFFFFF"/>
        </w:rPr>
        <w:t>category 3 which is the next most serious category again; and</w:t>
      </w:r>
    </w:p>
    <w:p w14:paraId="28F2CA39" w14:textId="77777777" w:rsidR="00DE088A" w:rsidRPr="00474C02" w:rsidRDefault="00DE088A" w:rsidP="00A44281">
      <w:pPr>
        <w:pStyle w:val="ListParagraph"/>
        <w:numPr>
          <w:ilvl w:val="0"/>
          <w:numId w:val="18"/>
        </w:numPr>
        <w:spacing w:before="240"/>
        <w:contextualSpacing w:val="0"/>
        <w:rPr>
          <w:color w:val="000000"/>
          <w:shd w:val="clear" w:color="auto" w:fill="FFFFFF"/>
        </w:rPr>
      </w:pPr>
      <w:r w:rsidRPr="00474C02">
        <w:rPr>
          <w:color w:val="000000"/>
          <w:shd w:val="clear" w:color="auto" w:fill="FFFFFF"/>
        </w:rPr>
        <w:t>conduct giving rise to a corruption issue which is the highest and most serious category.</w:t>
      </w:r>
    </w:p>
    <w:p w14:paraId="0544B145" w14:textId="21542562" w:rsidR="00A82DC8" w:rsidRPr="00474C02" w:rsidRDefault="00CF416E" w:rsidP="00A44281">
      <w:pPr>
        <w:shd w:val="clear" w:color="auto" w:fill="FFFFFF"/>
        <w:spacing w:before="240"/>
        <w:rPr>
          <w:color w:val="000000"/>
          <w:szCs w:val="24"/>
        </w:rPr>
      </w:pPr>
      <w:r w:rsidRPr="00474C02">
        <w:rPr>
          <w:color w:val="000000"/>
          <w:szCs w:val="24"/>
        </w:rPr>
        <w:t xml:space="preserve">Sections 40RN, 40RO and 40RP of the </w:t>
      </w:r>
      <w:r w:rsidR="00A63AEB" w:rsidRPr="00474C02">
        <w:rPr>
          <w:color w:val="000000"/>
          <w:szCs w:val="24"/>
        </w:rPr>
        <w:t xml:space="preserve">AFP </w:t>
      </w:r>
      <w:r w:rsidRPr="00474C02">
        <w:rPr>
          <w:color w:val="000000"/>
          <w:szCs w:val="24"/>
        </w:rPr>
        <w:t xml:space="preserve">Act set out </w:t>
      </w:r>
      <w:r w:rsidR="005A6C81" w:rsidRPr="00474C02">
        <w:rPr>
          <w:color w:val="000000"/>
          <w:szCs w:val="24"/>
        </w:rPr>
        <w:t>the kinds of conduct which the Commissioner and the Commonwealth Ombudsman may determine to be category 1, 2 or 3 conduct</w:t>
      </w:r>
      <w:r w:rsidRPr="00474C02">
        <w:rPr>
          <w:color w:val="000000"/>
          <w:szCs w:val="24"/>
        </w:rPr>
        <w:t>.</w:t>
      </w:r>
    </w:p>
    <w:p w14:paraId="385D82C0" w14:textId="4844702D" w:rsidR="00DF7DB3" w:rsidRPr="00474C02" w:rsidRDefault="004F03F4" w:rsidP="000A7C53">
      <w:pPr>
        <w:spacing w:before="240"/>
      </w:pPr>
      <w:r w:rsidRPr="00474C02">
        <w:t xml:space="preserve">The </w:t>
      </w:r>
      <w:r w:rsidR="00DF7DB3" w:rsidRPr="00474C02">
        <w:rPr>
          <w:i/>
        </w:rPr>
        <w:t xml:space="preserve">Australian Federal Police (Categories of Conduct) Determination 2023 </w:t>
      </w:r>
      <w:r w:rsidR="00474C02" w:rsidRPr="00474C02">
        <w:rPr>
          <w:iCs/>
        </w:rPr>
        <w:t xml:space="preserve">(the Determination) </w:t>
      </w:r>
      <w:r w:rsidR="00DF7DB3" w:rsidRPr="00474C02">
        <w:t>determine</w:t>
      </w:r>
      <w:r w:rsidR="003E2403" w:rsidRPr="00474C02">
        <w:t>s</w:t>
      </w:r>
      <w:r w:rsidR="00DF7DB3" w:rsidRPr="00474C02">
        <w:t>:</w:t>
      </w:r>
    </w:p>
    <w:p w14:paraId="766DCE32" w14:textId="77777777" w:rsidR="00DF7DB3" w:rsidRPr="00474C02" w:rsidRDefault="005C3D2E" w:rsidP="00A44281">
      <w:pPr>
        <w:pStyle w:val="ListParagraph"/>
        <w:numPr>
          <w:ilvl w:val="0"/>
          <w:numId w:val="17"/>
        </w:numPr>
        <w:spacing w:before="240"/>
        <w:contextualSpacing w:val="0"/>
      </w:pPr>
      <w:r w:rsidRPr="00474C02">
        <w:t>the kind of conduct that is to be category 1 conduct, as described in section 40RN of the Act</w:t>
      </w:r>
      <w:r w:rsidR="00494F21" w:rsidRPr="00474C02">
        <w:t>, for the purposes of the Act</w:t>
      </w:r>
      <w:r w:rsidRPr="00474C02">
        <w:t>;</w:t>
      </w:r>
    </w:p>
    <w:p w14:paraId="6D8C5B2F" w14:textId="77777777" w:rsidR="00DF28F3" w:rsidRPr="00474C02" w:rsidRDefault="005C3D2E" w:rsidP="00A44281">
      <w:pPr>
        <w:pStyle w:val="ListParagraph"/>
        <w:numPr>
          <w:ilvl w:val="0"/>
          <w:numId w:val="17"/>
        </w:numPr>
        <w:spacing w:before="240"/>
        <w:contextualSpacing w:val="0"/>
      </w:pPr>
      <w:r w:rsidRPr="00474C02">
        <w:t>the kind of conduct that is to be category 2 conduct, as described in section 40RO of the Act</w:t>
      </w:r>
      <w:r w:rsidR="00494F21" w:rsidRPr="00474C02">
        <w:t>, for the purposes of the Act</w:t>
      </w:r>
      <w:r w:rsidR="00A63AEB" w:rsidRPr="00474C02">
        <w:t>; and</w:t>
      </w:r>
    </w:p>
    <w:p w14:paraId="3C930034" w14:textId="77777777" w:rsidR="006E3AB4" w:rsidRPr="00474C02" w:rsidRDefault="005C3D2E" w:rsidP="00A44281">
      <w:pPr>
        <w:pStyle w:val="ListParagraph"/>
        <w:numPr>
          <w:ilvl w:val="0"/>
          <w:numId w:val="17"/>
        </w:numPr>
        <w:spacing w:before="240"/>
        <w:contextualSpacing w:val="0"/>
      </w:pPr>
      <w:r w:rsidRPr="00474C02">
        <w:t>the kind of conduct that is to be category 3 conduct, as described in section 40RP of the Act</w:t>
      </w:r>
      <w:r w:rsidR="00494F21" w:rsidRPr="00474C02">
        <w:t>, for the purposes of the Act.</w:t>
      </w:r>
    </w:p>
    <w:p w14:paraId="6E7B948B" w14:textId="10AEF052" w:rsidR="00CA6E82" w:rsidRPr="00474C02" w:rsidRDefault="00CA6E82" w:rsidP="000A7C53">
      <w:pPr>
        <w:spacing w:before="240"/>
      </w:pPr>
      <w:r w:rsidRPr="00474C02">
        <w:t xml:space="preserve">The category into which conduct falls determines how it will be dealt with by the AFP and the </w:t>
      </w:r>
      <w:r w:rsidR="00BD3B81" w:rsidRPr="00474C02">
        <w:t xml:space="preserve">Office of the Commonwealth </w:t>
      </w:r>
      <w:r w:rsidRPr="00474C02">
        <w:t xml:space="preserve">Ombudsman. Categorisation is for the purpose of </w:t>
      </w:r>
      <w:r w:rsidRPr="00474C02">
        <w:lastRenderedPageBreak/>
        <w:t>investigation and oversight. When a complaint is first considered</w:t>
      </w:r>
      <w:r w:rsidR="000C391A" w:rsidRPr="00474C02">
        <w:t>,</w:t>
      </w:r>
      <w:r w:rsidRPr="00474C02">
        <w:t xml:space="preserve"> it is categorised based </w:t>
      </w:r>
      <w:r w:rsidR="00494F21" w:rsidRPr="00474C02">
        <w:t>on its characterisation</w:t>
      </w:r>
      <w:r w:rsidRPr="00474C02">
        <w:t xml:space="preserve"> when it comes to the attention of the AFP. If, during the course of</w:t>
      </w:r>
      <w:r w:rsidR="00CA0198" w:rsidRPr="00474C02">
        <w:t xml:space="preserve"> or following</w:t>
      </w:r>
      <w:r w:rsidRPr="00474C02">
        <w:t xml:space="preserve"> an investigation, it becomes apparent that the conduct is of a more </w:t>
      </w:r>
      <w:r w:rsidR="00A63AEB" w:rsidRPr="00474C02">
        <w:t xml:space="preserve">(or less) </w:t>
      </w:r>
      <w:r w:rsidRPr="00474C02">
        <w:t xml:space="preserve">serious nature it can be escalated </w:t>
      </w:r>
      <w:r w:rsidR="00A63AEB" w:rsidRPr="00474C02">
        <w:t xml:space="preserve">(or lowered) </w:t>
      </w:r>
      <w:r w:rsidRPr="00474C02">
        <w:t>to the appropriate category as necessary.</w:t>
      </w:r>
    </w:p>
    <w:p w14:paraId="15FE878B" w14:textId="77777777" w:rsidR="008962BB" w:rsidRPr="00474C02" w:rsidRDefault="00F343AA" w:rsidP="000A7C53">
      <w:pPr>
        <w:pStyle w:val="Bullet"/>
        <w:numPr>
          <w:ilvl w:val="0"/>
          <w:numId w:val="0"/>
        </w:numPr>
      </w:pPr>
      <w:r w:rsidRPr="00474C02">
        <w:t xml:space="preserve">The </w:t>
      </w:r>
      <w:r w:rsidR="00A63AEB" w:rsidRPr="00474C02">
        <w:t xml:space="preserve">AFP </w:t>
      </w:r>
      <w:r w:rsidRPr="00474C02">
        <w:t xml:space="preserve">Act </w:t>
      </w:r>
      <w:r w:rsidR="008962BB" w:rsidRPr="00474C02">
        <w:t xml:space="preserve">specifies the following </w:t>
      </w:r>
      <w:r w:rsidRPr="00474C02">
        <w:t xml:space="preserve">conditions that need to be satisfied before the power to make the </w:t>
      </w:r>
      <w:r w:rsidR="008962BB" w:rsidRPr="00474C02">
        <w:t>Determination</w:t>
      </w:r>
      <w:r w:rsidRPr="00474C02">
        <w:t xml:space="preserve"> may be exercised</w:t>
      </w:r>
      <w:r w:rsidR="008962BB" w:rsidRPr="00474C02">
        <w:t>:</w:t>
      </w:r>
    </w:p>
    <w:p w14:paraId="60A29A77" w14:textId="1BCEDC02" w:rsidR="00F343AA" w:rsidRPr="00474C02" w:rsidRDefault="008962BB" w:rsidP="000A7C53">
      <w:pPr>
        <w:pStyle w:val="Bullet"/>
        <w:numPr>
          <w:ilvl w:val="0"/>
          <w:numId w:val="17"/>
        </w:numPr>
      </w:pPr>
      <w:r w:rsidRPr="00474C02">
        <w:t xml:space="preserve">The Commissioner and the </w:t>
      </w:r>
      <w:r w:rsidR="00BD3B81" w:rsidRPr="00474C02">
        <w:t xml:space="preserve">Commonwealth </w:t>
      </w:r>
      <w:r w:rsidRPr="00474C02">
        <w:t xml:space="preserve">Ombudsman may determine conduct of a particular kind is to be category 1 conduct if they are satisfied that conduct of that kind is inappropriate conduct that relates to minor management matters or customer service matters; or </w:t>
      </w:r>
      <w:r w:rsidR="00DF28F3" w:rsidRPr="00474C02">
        <w:t>reveals</w:t>
      </w:r>
      <w:r w:rsidRPr="00474C02">
        <w:t xml:space="preserve"> a need for improvement in the performance of the AFP appointee concerned and the conduct does not warrant being treated as category 2 or category 3</w:t>
      </w:r>
      <w:r w:rsidR="00F452FD">
        <w:t>,</w:t>
      </w:r>
      <w:r w:rsidR="00F452FD" w:rsidRPr="00F452FD">
        <w:t xml:space="preserve"> </w:t>
      </w:r>
      <w:r w:rsidR="00F452FD" w:rsidRPr="00474C02">
        <w:t>and does not raise a corruption issue</w:t>
      </w:r>
      <w:r w:rsidRPr="00474C02">
        <w:t xml:space="preserve">. </w:t>
      </w:r>
    </w:p>
    <w:p w14:paraId="590C9F32" w14:textId="289EC1CE" w:rsidR="008962BB" w:rsidRPr="00474C02" w:rsidRDefault="008962BB" w:rsidP="000A7C53">
      <w:pPr>
        <w:pStyle w:val="Bullet"/>
        <w:numPr>
          <w:ilvl w:val="0"/>
          <w:numId w:val="17"/>
        </w:numPr>
      </w:pPr>
      <w:r w:rsidRPr="00474C02">
        <w:t xml:space="preserve">The Commissioner and the </w:t>
      </w:r>
      <w:r w:rsidR="00BD3B81" w:rsidRPr="00474C02">
        <w:t xml:space="preserve">Commonwealth </w:t>
      </w:r>
      <w:r w:rsidRPr="00474C02">
        <w:t xml:space="preserve">Ombudsman may determine conduct to be </w:t>
      </w:r>
      <w:r w:rsidR="00812EB9" w:rsidRPr="00474C02">
        <w:t>c</w:t>
      </w:r>
      <w:r w:rsidRPr="00474C02">
        <w:t>ategory 2 conduct if they are satisfied the conduct is of the kind that is minor misconduct by an AFP appointee or inappropriate conduct that reveals unsatisfactory behaviour by an AFP appointee</w:t>
      </w:r>
      <w:r w:rsidR="003C486E" w:rsidRPr="00474C02">
        <w:t>,</w:t>
      </w:r>
      <w:r w:rsidRPr="00474C02">
        <w:t xml:space="preserve"> or </w:t>
      </w:r>
      <w:r w:rsidR="00494F21" w:rsidRPr="00474C02">
        <w:t>repeated</w:t>
      </w:r>
      <w:r w:rsidRPr="00474C02">
        <w:t xml:space="preserve"> category 1 conduct </w:t>
      </w:r>
      <w:r w:rsidR="00494F21" w:rsidRPr="00474C02">
        <w:t>that</w:t>
      </w:r>
      <w:r w:rsidRPr="00474C02">
        <w:t xml:space="preserve"> warrants</w:t>
      </w:r>
      <w:r w:rsidR="003C486E" w:rsidRPr="00474C02">
        <w:t>,</w:t>
      </w:r>
      <w:r w:rsidRPr="00474C02">
        <w:t xml:space="preserve"> because of </w:t>
      </w:r>
      <w:r w:rsidR="00494F21" w:rsidRPr="00474C02">
        <w:t>its</w:t>
      </w:r>
      <w:r w:rsidRPr="00474C02">
        <w:t xml:space="preserve"> repeated nature, being </w:t>
      </w:r>
      <w:r w:rsidR="00DF28F3" w:rsidRPr="00474C02">
        <w:t>treated</w:t>
      </w:r>
      <w:r w:rsidR="00494F21" w:rsidRPr="00474C02">
        <w:t xml:space="preserve"> as </w:t>
      </w:r>
      <w:r w:rsidRPr="00474C02">
        <w:t>category 2 conduct</w:t>
      </w:r>
      <w:r w:rsidR="00474C02" w:rsidRPr="00474C02">
        <w:t xml:space="preserve"> a</w:t>
      </w:r>
      <w:r w:rsidRPr="00474C02">
        <w:t xml:space="preserve">nd the conduct does not warrant being </w:t>
      </w:r>
      <w:r w:rsidR="00DF28F3" w:rsidRPr="00474C02">
        <w:t>treated</w:t>
      </w:r>
      <w:r w:rsidRPr="00474C02">
        <w:t xml:space="preserve"> as </w:t>
      </w:r>
      <w:r w:rsidR="00DF28F3" w:rsidRPr="00474C02">
        <w:t>category</w:t>
      </w:r>
      <w:r w:rsidRPr="00474C02">
        <w:t xml:space="preserve"> 3 conduct</w:t>
      </w:r>
      <w:r w:rsidR="00F452FD">
        <w:t>,</w:t>
      </w:r>
      <w:r w:rsidR="00F452FD" w:rsidRPr="00F452FD">
        <w:t xml:space="preserve"> </w:t>
      </w:r>
      <w:r w:rsidR="00F452FD" w:rsidRPr="00474C02">
        <w:t>and does not raise a corruption issue</w:t>
      </w:r>
      <w:r w:rsidR="00494F21" w:rsidRPr="00474C02">
        <w:t>.</w:t>
      </w:r>
    </w:p>
    <w:p w14:paraId="54442471" w14:textId="70D475E0" w:rsidR="008962BB" w:rsidRPr="00474C02" w:rsidRDefault="00DF28F3" w:rsidP="000A7C53">
      <w:pPr>
        <w:pStyle w:val="Bullet"/>
        <w:numPr>
          <w:ilvl w:val="0"/>
          <w:numId w:val="17"/>
        </w:numPr>
      </w:pPr>
      <w:r w:rsidRPr="00474C02">
        <w:t xml:space="preserve">The Commissioner and the </w:t>
      </w:r>
      <w:r w:rsidR="00BD3B81" w:rsidRPr="00474C02">
        <w:t xml:space="preserve">Commonwealth </w:t>
      </w:r>
      <w:r w:rsidRPr="00474C02">
        <w:t xml:space="preserve">Ombudsman </w:t>
      </w:r>
      <w:r w:rsidR="008962BB" w:rsidRPr="00474C02">
        <w:t xml:space="preserve">may determine conduct to be </w:t>
      </w:r>
      <w:r w:rsidR="00812EB9" w:rsidRPr="00474C02">
        <w:t>c</w:t>
      </w:r>
      <w:r w:rsidR="008962BB" w:rsidRPr="00474C02">
        <w:t>ategor</w:t>
      </w:r>
      <w:r w:rsidR="00494F21" w:rsidRPr="00474C02">
        <w:t xml:space="preserve">y 3 conduct if the conduct is </w:t>
      </w:r>
      <w:r w:rsidR="008962BB" w:rsidRPr="00474C02">
        <w:t xml:space="preserve">serious misconduct by an AFP appointee or raises the question </w:t>
      </w:r>
      <w:r w:rsidR="00494F21" w:rsidRPr="00474C02">
        <w:t xml:space="preserve">of </w:t>
      </w:r>
      <w:r w:rsidR="008962BB" w:rsidRPr="00474C02">
        <w:t xml:space="preserve">whether termination action should be taken in relation to an </w:t>
      </w:r>
      <w:r w:rsidRPr="00474C02">
        <w:t>AFP</w:t>
      </w:r>
      <w:r w:rsidR="008962BB" w:rsidRPr="00474C02">
        <w:t xml:space="preserve"> </w:t>
      </w:r>
      <w:r w:rsidR="00A63AEB" w:rsidRPr="00474C02">
        <w:t>a</w:t>
      </w:r>
      <w:r w:rsidRPr="00474C02">
        <w:t>ppointee</w:t>
      </w:r>
      <w:r w:rsidR="00494F21" w:rsidRPr="00474C02">
        <w:t xml:space="preserve">, </w:t>
      </w:r>
      <w:r w:rsidR="00F452FD">
        <w:t xml:space="preserve">or </w:t>
      </w:r>
      <w:r w:rsidR="008962BB" w:rsidRPr="00474C02">
        <w:t xml:space="preserve">involves a breach of the criminal law or serious neglect of duty by an AFP </w:t>
      </w:r>
      <w:r w:rsidR="00A63AEB" w:rsidRPr="00474C02">
        <w:t>a</w:t>
      </w:r>
      <w:r w:rsidRPr="00474C02">
        <w:t>ppointee</w:t>
      </w:r>
      <w:r w:rsidR="00F452FD">
        <w:t>,</w:t>
      </w:r>
      <w:r w:rsidR="008962BB" w:rsidRPr="00474C02">
        <w:t xml:space="preserve"> and does not raise a corruption issue. </w:t>
      </w:r>
    </w:p>
    <w:p w14:paraId="5536F6BD" w14:textId="1EE83324" w:rsidR="00494F21" w:rsidRPr="00474C02" w:rsidRDefault="008962BB" w:rsidP="000A7C53">
      <w:pPr>
        <w:pStyle w:val="Bullet"/>
        <w:numPr>
          <w:ilvl w:val="0"/>
          <w:numId w:val="0"/>
        </w:numPr>
      </w:pPr>
      <w:r w:rsidRPr="00474C02">
        <w:t>The instrument was developed through extensive consu</w:t>
      </w:r>
      <w:r w:rsidR="00DB7078" w:rsidRPr="00474C02">
        <w:t xml:space="preserve">ltation between the AFP and the </w:t>
      </w:r>
      <w:r w:rsidRPr="00474C02">
        <w:t xml:space="preserve">Office of the Commonwealth Ombudsman. </w:t>
      </w:r>
      <w:r w:rsidR="00D54FB8" w:rsidRPr="00474C02">
        <w:t xml:space="preserve">The Australian Federal Police </w:t>
      </w:r>
      <w:r w:rsidR="00494F21" w:rsidRPr="00474C02">
        <w:t>Association was consulted during the formulation of this Determination as it relates to the handling of breaches of the professional standards of the AFP.</w:t>
      </w:r>
      <w:r w:rsidR="00DA2699" w:rsidRPr="00474C02">
        <w:t xml:space="preserve"> </w:t>
      </w:r>
      <w:r w:rsidR="005A6C81" w:rsidRPr="00474C02">
        <w:t>Public consultation was not necessary, as the instrument concerns obligations on AFP appointees.</w:t>
      </w:r>
    </w:p>
    <w:p w14:paraId="38A49BE2" w14:textId="4F0D2DA8" w:rsidR="00494F21" w:rsidRPr="00474C02" w:rsidRDefault="00494F21" w:rsidP="000A7C53">
      <w:pPr>
        <w:pStyle w:val="Bullet"/>
        <w:numPr>
          <w:ilvl w:val="0"/>
          <w:numId w:val="0"/>
        </w:numPr>
      </w:pPr>
      <w:r w:rsidRPr="00474C02">
        <w:t xml:space="preserve">The Commissioner and Commonwealth Ombudsman have sole responsibility for jointly agreeing to the categorisation of conduct </w:t>
      </w:r>
      <w:r w:rsidR="005A6C81" w:rsidRPr="00474C02">
        <w:t>breaching</w:t>
      </w:r>
      <w:r w:rsidRPr="00474C02">
        <w:t xml:space="preserve"> the professional standards of the AFP.</w:t>
      </w:r>
    </w:p>
    <w:p w14:paraId="58A7F4C9" w14:textId="51B5D68E" w:rsidR="00FF6147" w:rsidRPr="00474C02" w:rsidRDefault="00FF6147">
      <w:pPr>
        <w:pStyle w:val="Bullet"/>
        <w:numPr>
          <w:ilvl w:val="0"/>
          <w:numId w:val="0"/>
        </w:numPr>
      </w:pPr>
      <w:r w:rsidRPr="00474C02">
        <w:t xml:space="preserve">The Determination is a legislative instrument for the purposes of the </w:t>
      </w:r>
      <w:r w:rsidRPr="00474C02">
        <w:rPr>
          <w:i/>
          <w:iCs/>
        </w:rPr>
        <w:t xml:space="preserve">Legislation Act 2003 </w:t>
      </w:r>
      <w:r w:rsidRPr="00474C02">
        <w:rPr>
          <w:iCs/>
        </w:rPr>
        <w:t>(Cth)</w:t>
      </w:r>
      <w:r w:rsidRPr="00474C02">
        <w:t>. The Determination is subject to disallowance</w:t>
      </w:r>
      <w:r w:rsidR="005A6C81" w:rsidRPr="00474C02">
        <w:t xml:space="preserve">, and </w:t>
      </w:r>
      <w:r w:rsidRPr="00474C02">
        <w:t xml:space="preserve">subject to sunsetting. </w:t>
      </w:r>
    </w:p>
    <w:p w14:paraId="22409F25" w14:textId="77777777" w:rsidR="00825AF9" w:rsidRPr="00474C02" w:rsidRDefault="00825AF9" w:rsidP="000A7C53">
      <w:pPr>
        <w:spacing w:before="240"/>
      </w:pPr>
      <w:r w:rsidRPr="00474C02">
        <w:t xml:space="preserve">The Determination references the AFP Code of Conduct (the Code) and AFP Core Values (the Values), </w:t>
      </w:r>
      <w:r w:rsidR="00A63AEB" w:rsidRPr="00474C02">
        <w:t xml:space="preserve">both of </w:t>
      </w:r>
      <w:r w:rsidRPr="00474C02">
        <w:t>which are</w:t>
      </w:r>
      <w:r w:rsidR="00A63AEB" w:rsidRPr="00474C02">
        <w:t xml:space="preserve"> publicly</w:t>
      </w:r>
      <w:r w:rsidRPr="00474C02">
        <w:t xml:space="preserve"> accessible through the AFP website. The Determination references these document</w:t>
      </w:r>
      <w:r w:rsidR="00A63AEB" w:rsidRPr="00474C02">
        <w:t>s</w:t>
      </w:r>
      <w:r w:rsidRPr="00474C02">
        <w:t xml:space="preserve">, </w:t>
      </w:r>
      <w:r w:rsidR="00A63AEB" w:rsidRPr="00474C02">
        <w:t>rather than</w:t>
      </w:r>
      <w:r w:rsidRPr="00474C02">
        <w:t xml:space="preserve"> including relevant provisions, as both the Code and the Values are key documents within the AFP’s governance framework. </w:t>
      </w:r>
    </w:p>
    <w:p w14:paraId="63BAB294" w14:textId="3D95D9B6" w:rsidR="00494F21" w:rsidRPr="00474C02" w:rsidRDefault="0011527C" w:rsidP="000A7C53">
      <w:pPr>
        <w:spacing w:before="240"/>
      </w:pPr>
      <w:r w:rsidRPr="00474C02">
        <w:t xml:space="preserve">Details of the </w:t>
      </w:r>
      <w:r w:rsidR="008962BB" w:rsidRPr="00474C02">
        <w:t>Determination</w:t>
      </w:r>
      <w:r w:rsidRPr="00474C02">
        <w:t xml:space="preserve"> are set out in </w:t>
      </w:r>
      <w:r w:rsidRPr="00474C02">
        <w:rPr>
          <w:u w:val="single"/>
        </w:rPr>
        <w:t xml:space="preserve">Attachment </w:t>
      </w:r>
      <w:r w:rsidR="008962BB" w:rsidRPr="00474C02">
        <w:rPr>
          <w:u w:val="single"/>
        </w:rPr>
        <w:t>A</w:t>
      </w:r>
      <w:r w:rsidRPr="00474C02">
        <w:t xml:space="preserve">. </w:t>
      </w:r>
      <w:r w:rsidR="00EB2AEF" w:rsidRPr="00474C02">
        <w:t xml:space="preserve">A </w:t>
      </w:r>
      <w:r w:rsidR="003C486E" w:rsidRPr="00474C02">
        <w:t>S</w:t>
      </w:r>
      <w:r w:rsidR="00EB2AEF" w:rsidRPr="00474C02">
        <w:t xml:space="preserve">tatement of Compatibility with Human Rights is at </w:t>
      </w:r>
      <w:r w:rsidR="00EB2AEF" w:rsidRPr="00474C02">
        <w:rPr>
          <w:u w:val="single"/>
        </w:rPr>
        <w:t xml:space="preserve">Attachment </w:t>
      </w:r>
      <w:r w:rsidR="008962BB" w:rsidRPr="00474C02">
        <w:rPr>
          <w:u w:val="single"/>
        </w:rPr>
        <w:t>B</w:t>
      </w:r>
      <w:r w:rsidR="00CE4EFB" w:rsidRPr="00474C02">
        <w:t>.</w:t>
      </w:r>
    </w:p>
    <w:p w14:paraId="0C61C012" w14:textId="03C5F8DD" w:rsidR="00EB2AEF" w:rsidRPr="00474C02" w:rsidRDefault="0011527C" w:rsidP="000A7C53">
      <w:pPr>
        <w:spacing w:before="240"/>
      </w:pPr>
      <w:r w:rsidRPr="00474C02">
        <w:t>The Office of Impact Analysis has been consulted (</w:t>
      </w:r>
      <w:r w:rsidR="00AE460D" w:rsidRPr="00474C02">
        <w:t>ref:</w:t>
      </w:r>
      <w:r w:rsidR="007A23D6" w:rsidRPr="00474C02">
        <w:t xml:space="preserve"> OIA23-05289) </w:t>
      </w:r>
      <w:r w:rsidRPr="00474C02">
        <w:t xml:space="preserve">and agreed </w:t>
      </w:r>
      <w:r w:rsidR="005A6C81" w:rsidRPr="00474C02">
        <w:t xml:space="preserve">the instrument is </w:t>
      </w:r>
      <w:r w:rsidR="005A6C81" w:rsidRPr="00474C02">
        <w:rPr>
          <w:color w:val="000000"/>
          <w:shd w:val="clear" w:color="auto" w:fill="FFFFFF"/>
        </w:rPr>
        <w:t>unlikely to have a more than minor impact and so an Impact Analysis is not required.</w:t>
      </w:r>
      <w:r w:rsidRPr="00474C02">
        <w:t xml:space="preserve"> </w:t>
      </w:r>
    </w:p>
    <w:p w14:paraId="1D122006" w14:textId="77777777" w:rsidR="00EA4DD8" w:rsidRPr="00474C02" w:rsidRDefault="00EA4DD8" w:rsidP="004A27A8">
      <w:pPr>
        <w:pageBreakBefore/>
        <w:spacing w:before="240"/>
        <w:jc w:val="right"/>
        <w:rPr>
          <w:b/>
          <w:u w:val="single"/>
        </w:rPr>
      </w:pPr>
      <w:r w:rsidRPr="00474C02">
        <w:rPr>
          <w:b/>
          <w:u w:val="single"/>
        </w:rPr>
        <w:lastRenderedPageBreak/>
        <w:t xml:space="preserve">ATTACHMENT </w:t>
      </w:r>
      <w:r w:rsidR="008962BB" w:rsidRPr="00474C02">
        <w:rPr>
          <w:b/>
          <w:u w:val="single"/>
        </w:rPr>
        <w:t>A</w:t>
      </w:r>
    </w:p>
    <w:p w14:paraId="5B634378" w14:textId="77777777" w:rsidR="00EA4DD8" w:rsidRPr="00474C02" w:rsidRDefault="00EA4DD8" w:rsidP="004A27A8">
      <w:pPr>
        <w:spacing w:before="240"/>
        <w:rPr>
          <w:b/>
          <w:bCs/>
          <w:szCs w:val="24"/>
          <w:u w:val="single"/>
        </w:rPr>
      </w:pPr>
      <w:r w:rsidRPr="00474C02">
        <w:rPr>
          <w:b/>
          <w:bCs/>
          <w:u w:val="single"/>
        </w:rPr>
        <w:t xml:space="preserve">Details of the </w:t>
      </w:r>
      <w:r w:rsidR="00825AF9" w:rsidRPr="00474C02">
        <w:rPr>
          <w:b/>
          <w:i/>
          <w:u w:val="single"/>
        </w:rPr>
        <w:t>Australian Federal Police (Categories of Conduct) Determination 2023</w:t>
      </w:r>
      <w:r w:rsidRPr="00474C02">
        <w:rPr>
          <w:b/>
          <w:bCs/>
          <w:u w:val="single"/>
        </w:rPr>
        <w:t xml:space="preserve"> </w:t>
      </w:r>
    </w:p>
    <w:p w14:paraId="0A2042C4" w14:textId="5E8CE3AA" w:rsidR="00C267A8" w:rsidRPr="00474C02" w:rsidRDefault="00C267A8" w:rsidP="004A27A8">
      <w:pPr>
        <w:spacing w:before="240"/>
        <w:rPr>
          <w:u w:val="single"/>
        </w:rPr>
      </w:pPr>
      <w:r w:rsidRPr="00474C02">
        <w:rPr>
          <w:u w:val="single"/>
        </w:rPr>
        <w:t xml:space="preserve">Part 1 </w:t>
      </w:r>
      <w:r w:rsidR="003C486E" w:rsidRPr="00474C02">
        <w:rPr>
          <w:u w:val="single"/>
        </w:rPr>
        <w:t>–</w:t>
      </w:r>
      <w:r w:rsidRPr="00474C02">
        <w:rPr>
          <w:u w:val="single"/>
        </w:rPr>
        <w:t xml:space="preserve"> Preliminary</w:t>
      </w:r>
    </w:p>
    <w:p w14:paraId="12AE0976" w14:textId="4359B5AD" w:rsidR="00EA4DD8" w:rsidRPr="00474C02" w:rsidRDefault="008C6F3F" w:rsidP="004A27A8">
      <w:pPr>
        <w:spacing w:before="240"/>
        <w:rPr>
          <w:rFonts w:ascii="Calibri" w:hAnsi="Calibri"/>
          <w:sz w:val="22"/>
          <w:szCs w:val="22"/>
          <w:u w:val="single"/>
          <w:lang w:eastAsia="en-US"/>
        </w:rPr>
      </w:pPr>
      <w:r w:rsidRPr="00474C02">
        <w:rPr>
          <w:u w:val="single"/>
        </w:rPr>
        <w:t xml:space="preserve">Section </w:t>
      </w:r>
      <w:r w:rsidR="00EA4DD8" w:rsidRPr="00474C02">
        <w:rPr>
          <w:u w:val="single"/>
        </w:rPr>
        <w:t xml:space="preserve">1 – Name </w:t>
      </w:r>
    </w:p>
    <w:p w14:paraId="39ADA672" w14:textId="7D6EFB9D" w:rsidR="00EA4DD8" w:rsidRPr="00474C02" w:rsidRDefault="00EA4DD8" w:rsidP="004A27A8">
      <w:pPr>
        <w:spacing w:before="240"/>
      </w:pPr>
      <w:r w:rsidRPr="00474C02">
        <w:t xml:space="preserve">This section provides that the name of the </w:t>
      </w:r>
      <w:r w:rsidR="00CF416E" w:rsidRPr="00474C02">
        <w:t>instrument</w:t>
      </w:r>
      <w:r w:rsidRPr="00474C02">
        <w:t xml:space="preserve"> is the</w:t>
      </w:r>
      <w:r w:rsidR="00F21004">
        <w:t xml:space="preserve"> </w:t>
      </w:r>
      <w:r w:rsidR="00F21004">
        <w:rPr>
          <w:i/>
        </w:rPr>
        <w:t>Australian Federal Police (Categories of Conduct) Determination 2013</w:t>
      </w:r>
      <w:r w:rsidRPr="00474C02">
        <w:t xml:space="preserve"> (the </w:t>
      </w:r>
      <w:r w:rsidR="00CF416E" w:rsidRPr="00474C02">
        <w:t>Determination</w:t>
      </w:r>
      <w:r w:rsidRPr="00474C02">
        <w:t>).</w:t>
      </w:r>
    </w:p>
    <w:p w14:paraId="55D72E31" w14:textId="31975065" w:rsidR="00EA4DD8" w:rsidRPr="00474C02" w:rsidRDefault="008C6F3F" w:rsidP="004A27A8">
      <w:pPr>
        <w:spacing w:before="240"/>
        <w:rPr>
          <w:u w:val="single"/>
        </w:rPr>
      </w:pPr>
      <w:r w:rsidRPr="00474C02">
        <w:rPr>
          <w:u w:val="single"/>
        </w:rPr>
        <w:t xml:space="preserve">Section </w:t>
      </w:r>
      <w:r w:rsidR="00EA4DD8" w:rsidRPr="00474C02">
        <w:rPr>
          <w:u w:val="single"/>
        </w:rPr>
        <w:t>2 – Commencement</w:t>
      </w:r>
    </w:p>
    <w:p w14:paraId="3B13F248" w14:textId="77777777" w:rsidR="00EA4DD8" w:rsidRPr="00474C02" w:rsidRDefault="00CF416E" w:rsidP="004A27A8">
      <w:pPr>
        <w:spacing w:before="240"/>
      </w:pPr>
      <w:r w:rsidRPr="00474C02">
        <w:t>The instrument</w:t>
      </w:r>
      <w:r w:rsidR="0011627D" w:rsidRPr="00474C02">
        <w:t xml:space="preserve"> commenced</w:t>
      </w:r>
      <w:r w:rsidR="00EA4DD8" w:rsidRPr="00474C02">
        <w:t xml:space="preserve"> on </w:t>
      </w:r>
      <w:r w:rsidRPr="00474C02">
        <w:t xml:space="preserve">the </w:t>
      </w:r>
      <w:r w:rsidR="00EA4DD8" w:rsidRPr="00474C02">
        <w:t xml:space="preserve">day after the instrument </w:t>
      </w:r>
      <w:r w:rsidR="0011627D" w:rsidRPr="00474C02">
        <w:t>was</w:t>
      </w:r>
      <w:r w:rsidR="00EA4DD8" w:rsidRPr="00474C02">
        <w:t xml:space="preserve"> registered on the Federal Register of Legislation.</w:t>
      </w:r>
      <w:r w:rsidR="005858FB" w:rsidRPr="00474C02">
        <w:t xml:space="preserve"> </w:t>
      </w:r>
    </w:p>
    <w:p w14:paraId="07427DE4" w14:textId="5D6117C0" w:rsidR="00EA4DD8" w:rsidRPr="00474C02" w:rsidRDefault="008C6F3F" w:rsidP="004A27A8">
      <w:pPr>
        <w:spacing w:before="240"/>
        <w:rPr>
          <w:u w:val="single"/>
        </w:rPr>
      </w:pPr>
      <w:r w:rsidRPr="00474C02">
        <w:rPr>
          <w:u w:val="single"/>
        </w:rPr>
        <w:t xml:space="preserve">Section </w:t>
      </w:r>
      <w:r w:rsidR="00EA4DD8" w:rsidRPr="00474C02">
        <w:rPr>
          <w:u w:val="single"/>
        </w:rPr>
        <w:t>3 – Authority</w:t>
      </w:r>
    </w:p>
    <w:p w14:paraId="1CE43D1E" w14:textId="77777777" w:rsidR="00EA4DD8" w:rsidRPr="00474C02" w:rsidRDefault="00EA4DD8" w:rsidP="004A27A8">
      <w:pPr>
        <w:spacing w:before="240"/>
      </w:pPr>
      <w:r w:rsidRPr="00474C02">
        <w:t xml:space="preserve">The </w:t>
      </w:r>
      <w:r w:rsidR="00CF416E" w:rsidRPr="00474C02">
        <w:t>instrument</w:t>
      </w:r>
      <w:r w:rsidRPr="00474C02">
        <w:t xml:space="preserve"> </w:t>
      </w:r>
      <w:r w:rsidR="00CF416E" w:rsidRPr="00474C02">
        <w:t>is made under subsection</w:t>
      </w:r>
      <w:r w:rsidRPr="00474C02">
        <w:t xml:space="preserve"> </w:t>
      </w:r>
      <w:r w:rsidR="00CF416E" w:rsidRPr="00474C02">
        <w:t xml:space="preserve">40RM(1) of the </w:t>
      </w:r>
      <w:r w:rsidR="00CF416E" w:rsidRPr="00474C02">
        <w:rPr>
          <w:i/>
        </w:rPr>
        <w:t>Australian Federal Police Act 1979</w:t>
      </w:r>
      <w:r w:rsidRPr="00474C02">
        <w:t xml:space="preserve"> (the Act).</w:t>
      </w:r>
    </w:p>
    <w:p w14:paraId="7B095E98" w14:textId="45AAE98A" w:rsidR="00EA4DD8" w:rsidRPr="00474C02" w:rsidRDefault="008C6F3F" w:rsidP="004A27A8">
      <w:pPr>
        <w:spacing w:before="240"/>
        <w:rPr>
          <w:u w:val="single"/>
        </w:rPr>
      </w:pPr>
      <w:r w:rsidRPr="00474C02">
        <w:rPr>
          <w:u w:val="single"/>
        </w:rPr>
        <w:t xml:space="preserve">Section </w:t>
      </w:r>
      <w:r w:rsidR="00EA4DD8" w:rsidRPr="00474C02">
        <w:rPr>
          <w:u w:val="single"/>
        </w:rPr>
        <w:t>4 – Schedule</w:t>
      </w:r>
      <w:r w:rsidR="0011627D" w:rsidRPr="00474C02">
        <w:rPr>
          <w:u w:val="single"/>
        </w:rPr>
        <w:t>s</w:t>
      </w:r>
    </w:p>
    <w:p w14:paraId="317EDDFD" w14:textId="77777777" w:rsidR="00302B21" w:rsidRPr="00474C02" w:rsidRDefault="00EA4DD8" w:rsidP="00466DD5">
      <w:pPr>
        <w:spacing w:before="240" w:after="200"/>
      </w:pPr>
      <w:r w:rsidRPr="00474C02">
        <w:t xml:space="preserve">This section provides that each instrument that is specified in the Schedules to this instrument </w:t>
      </w:r>
      <w:r w:rsidR="005D7E35" w:rsidRPr="00474C02">
        <w:t xml:space="preserve">are </w:t>
      </w:r>
      <w:r w:rsidRPr="00474C02">
        <w:t>amended or repealed as set out in the applicable items in the Schedules, and any other item in the Schedules to this instrument has effect according to its terms.</w:t>
      </w:r>
    </w:p>
    <w:p w14:paraId="6B16F49F" w14:textId="7ED8A5DF" w:rsidR="009E7812" w:rsidRPr="00474C02" w:rsidRDefault="008C6F3F" w:rsidP="0011627D">
      <w:pPr>
        <w:spacing w:before="240" w:after="200"/>
        <w:rPr>
          <w:u w:val="single"/>
        </w:rPr>
      </w:pPr>
      <w:r w:rsidRPr="00474C02">
        <w:rPr>
          <w:u w:val="single"/>
        </w:rPr>
        <w:t xml:space="preserve">Section </w:t>
      </w:r>
      <w:r w:rsidR="00302B21" w:rsidRPr="00474C02">
        <w:rPr>
          <w:u w:val="single"/>
        </w:rPr>
        <w:t xml:space="preserve">5 – Definitions </w:t>
      </w:r>
    </w:p>
    <w:p w14:paraId="5CCB1BF7" w14:textId="25F7086F" w:rsidR="007875B5" w:rsidRPr="00474C02" w:rsidRDefault="00F81EDF" w:rsidP="00111BDE">
      <w:pPr>
        <w:spacing w:before="240" w:after="200"/>
        <w:rPr>
          <w:szCs w:val="24"/>
          <w:u w:val="single"/>
        </w:rPr>
      </w:pPr>
      <w:r w:rsidRPr="00474C02">
        <w:t>This section</w:t>
      </w:r>
      <w:r w:rsidR="002E6967" w:rsidRPr="00474C02">
        <w:t xml:space="preserve"> sets out the definitions of terms used within the Determination. Some of these terms are already defined in the Act, but have been included to ensure clarity and for the avoidance of doubt. </w:t>
      </w:r>
    </w:p>
    <w:p w14:paraId="7E061ED4" w14:textId="3FCAA93B" w:rsidR="00293B65" w:rsidRPr="00474C02" w:rsidRDefault="0041293B" w:rsidP="006E6343">
      <w:pPr>
        <w:pStyle w:val="Definition"/>
        <w:ind w:left="0"/>
        <w:rPr>
          <w:sz w:val="24"/>
          <w:szCs w:val="24"/>
          <w:u w:val="single"/>
        </w:rPr>
      </w:pPr>
      <w:r w:rsidRPr="00474C02">
        <w:rPr>
          <w:sz w:val="24"/>
          <w:szCs w:val="24"/>
          <w:u w:val="single"/>
        </w:rPr>
        <w:t>Part 2</w:t>
      </w:r>
      <w:r w:rsidR="00293B65" w:rsidRPr="00474C02">
        <w:rPr>
          <w:sz w:val="24"/>
          <w:szCs w:val="24"/>
          <w:u w:val="single"/>
        </w:rPr>
        <w:t xml:space="preserve"> – Categories of conduct </w:t>
      </w:r>
    </w:p>
    <w:p w14:paraId="42F395A8" w14:textId="77F06594" w:rsidR="00F81EDF" w:rsidRPr="00474C02" w:rsidRDefault="008C6F3F" w:rsidP="006E6343">
      <w:pPr>
        <w:pStyle w:val="Definition"/>
        <w:ind w:left="0"/>
        <w:rPr>
          <w:sz w:val="24"/>
          <w:szCs w:val="24"/>
          <w:u w:val="single"/>
        </w:rPr>
      </w:pPr>
      <w:r w:rsidRPr="00474C02">
        <w:rPr>
          <w:sz w:val="24"/>
          <w:szCs w:val="24"/>
          <w:u w:val="single"/>
        </w:rPr>
        <w:t xml:space="preserve">Section </w:t>
      </w:r>
      <w:r w:rsidR="00DB7078" w:rsidRPr="00474C02">
        <w:rPr>
          <w:sz w:val="24"/>
          <w:szCs w:val="24"/>
          <w:u w:val="single"/>
        </w:rPr>
        <w:t xml:space="preserve">6 – </w:t>
      </w:r>
      <w:r w:rsidR="00F81EDF" w:rsidRPr="00474C02">
        <w:rPr>
          <w:sz w:val="24"/>
          <w:szCs w:val="24"/>
          <w:u w:val="single"/>
        </w:rPr>
        <w:t>Conduct of a kind that raises a corruption issue</w:t>
      </w:r>
    </w:p>
    <w:p w14:paraId="1887555D" w14:textId="051EF34F" w:rsidR="00F81EDF" w:rsidRPr="00474C02" w:rsidRDefault="00F81EDF" w:rsidP="006E6343">
      <w:pPr>
        <w:pStyle w:val="Definition"/>
        <w:ind w:left="0"/>
        <w:rPr>
          <w:sz w:val="24"/>
          <w:szCs w:val="24"/>
        </w:rPr>
      </w:pPr>
      <w:r w:rsidRPr="00474C02">
        <w:rPr>
          <w:sz w:val="24"/>
          <w:szCs w:val="24"/>
        </w:rPr>
        <w:t>This section provides that, despite any</w:t>
      </w:r>
      <w:r w:rsidR="007C3E1A" w:rsidRPr="00474C02">
        <w:rPr>
          <w:sz w:val="24"/>
          <w:szCs w:val="24"/>
        </w:rPr>
        <w:t>thing</w:t>
      </w:r>
      <w:r w:rsidRPr="00474C02">
        <w:rPr>
          <w:sz w:val="24"/>
          <w:szCs w:val="24"/>
        </w:rPr>
        <w:t xml:space="preserve"> in section</w:t>
      </w:r>
      <w:r w:rsidR="0095637F" w:rsidRPr="00474C02">
        <w:rPr>
          <w:sz w:val="24"/>
          <w:szCs w:val="24"/>
        </w:rPr>
        <w:t>s</w:t>
      </w:r>
      <w:r w:rsidRPr="00474C02">
        <w:rPr>
          <w:sz w:val="24"/>
          <w:szCs w:val="24"/>
        </w:rPr>
        <w:t xml:space="preserve"> 7, 8 or 9, conduct of a kind that raises a corruption issue is not category 1 conduct, category 2 conduct, or category 3 conduct. Conduct giving rise to a corruption issue is the highest, and most serious, category of conduct (see subsection</w:t>
      </w:r>
      <w:r w:rsidR="00DF23F5" w:rsidRPr="00474C02">
        <w:rPr>
          <w:sz w:val="24"/>
          <w:szCs w:val="24"/>
        </w:rPr>
        <w:t>s</w:t>
      </w:r>
      <w:r w:rsidRPr="00474C02">
        <w:rPr>
          <w:sz w:val="24"/>
          <w:szCs w:val="24"/>
        </w:rPr>
        <w:t xml:space="preserve"> 40RK(5) </w:t>
      </w:r>
      <w:r w:rsidR="00017D40" w:rsidRPr="00474C02">
        <w:rPr>
          <w:sz w:val="24"/>
          <w:szCs w:val="24"/>
        </w:rPr>
        <w:t xml:space="preserve">and 40RP(1)(b) </w:t>
      </w:r>
      <w:r w:rsidRPr="00474C02">
        <w:rPr>
          <w:sz w:val="24"/>
          <w:szCs w:val="24"/>
        </w:rPr>
        <w:t>of the Act).</w:t>
      </w:r>
    </w:p>
    <w:p w14:paraId="4BD99A0F" w14:textId="6B99A472" w:rsidR="00DB7078" w:rsidRPr="00474C02" w:rsidRDefault="008C6F3F" w:rsidP="006E6343">
      <w:pPr>
        <w:pStyle w:val="Definition"/>
        <w:ind w:left="0"/>
        <w:rPr>
          <w:sz w:val="24"/>
          <w:szCs w:val="24"/>
          <w:u w:val="single"/>
        </w:rPr>
      </w:pPr>
      <w:r w:rsidRPr="00474C02">
        <w:rPr>
          <w:sz w:val="24"/>
          <w:szCs w:val="24"/>
          <w:u w:val="single"/>
        </w:rPr>
        <w:t>Section</w:t>
      </w:r>
      <w:r w:rsidR="00F81EDF" w:rsidRPr="00474C02">
        <w:rPr>
          <w:sz w:val="24"/>
          <w:szCs w:val="24"/>
          <w:u w:val="single"/>
        </w:rPr>
        <w:t xml:space="preserve"> 7 – </w:t>
      </w:r>
      <w:r w:rsidR="00DB7078" w:rsidRPr="00474C02">
        <w:rPr>
          <w:sz w:val="24"/>
          <w:szCs w:val="24"/>
          <w:u w:val="single"/>
        </w:rPr>
        <w:t>Category 1 conduct</w:t>
      </w:r>
    </w:p>
    <w:p w14:paraId="75F812C7" w14:textId="6002B30B" w:rsidR="00DB7078" w:rsidRPr="00474C02" w:rsidRDefault="00DB7078" w:rsidP="006E6343">
      <w:pPr>
        <w:pStyle w:val="Definition"/>
        <w:ind w:left="0"/>
        <w:rPr>
          <w:sz w:val="24"/>
          <w:szCs w:val="24"/>
        </w:rPr>
      </w:pPr>
      <w:r w:rsidRPr="00474C02">
        <w:rPr>
          <w:sz w:val="24"/>
          <w:szCs w:val="24"/>
        </w:rPr>
        <w:t xml:space="preserve">The table in </w:t>
      </w:r>
      <w:r w:rsidR="008C6F3F" w:rsidRPr="00474C02">
        <w:rPr>
          <w:sz w:val="24"/>
          <w:szCs w:val="24"/>
        </w:rPr>
        <w:t xml:space="preserve">section </w:t>
      </w:r>
      <w:r w:rsidR="00F81EDF" w:rsidRPr="00474C02">
        <w:rPr>
          <w:sz w:val="24"/>
          <w:szCs w:val="24"/>
        </w:rPr>
        <w:t>7</w:t>
      </w:r>
      <w:r w:rsidRPr="00474C02">
        <w:rPr>
          <w:sz w:val="24"/>
          <w:szCs w:val="24"/>
        </w:rPr>
        <w:t xml:space="preserve"> sets out the kind of conduct jointly determined by the Commissioner </w:t>
      </w:r>
      <w:r w:rsidR="005B4ABF" w:rsidRPr="00474C02">
        <w:rPr>
          <w:sz w:val="24"/>
          <w:szCs w:val="24"/>
        </w:rPr>
        <w:t xml:space="preserve">and </w:t>
      </w:r>
      <w:r w:rsidRPr="00474C02">
        <w:rPr>
          <w:sz w:val="24"/>
          <w:szCs w:val="24"/>
        </w:rPr>
        <w:t xml:space="preserve">the Commonwealth Ombudsman to be </w:t>
      </w:r>
      <w:r w:rsidR="00812EB9" w:rsidRPr="00474C02">
        <w:rPr>
          <w:sz w:val="24"/>
          <w:szCs w:val="24"/>
        </w:rPr>
        <w:t>c</w:t>
      </w:r>
      <w:r w:rsidRPr="00474C02">
        <w:rPr>
          <w:sz w:val="24"/>
          <w:szCs w:val="24"/>
        </w:rPr>
        <w:t xml:space="preserve">ategory 1 conduct. Column 1 sets out the kind of conduct that is </w:t>
      </w:r>
      <w:r w:rsidR="00812EB9" w:rsidRPr="00474C02">
        <w:rPr>
          <w:sz w:val="24"/>
          <w:szCs w:val="24"/>
        </w:rPr>
        <w:t>c</w:t>
      </w:r>
      <w:r w:rsidRPr="00474C02">
        <w:rPr>
          <w:sz w:val="24"/>
          <w:szCs w:val="24"/>
        </w:rPr>
        <w:t>ategory 1</w:t>
      </w:r>
      <w:r w:rsidR="00F10CC3" w:rsidRPr="00474C02">
        <w:rPr>
          <w:sz w:val="24"/>
          <w:szCs w:val="24"/>
        </w:rPr>
        <w:t xml:space="preserve"> conduct and column 2 contains</w:t>
      </w:r>
      <w:r w:rsidRPr="00474C02">
        <w:rPr>
          <w:sz w:val="24"/>
          <w:szCs w:val="24"/>
        </w:rPr>
        <w:t xml:space="preserve"> non-exhaustive </w:t>
      </w:r>
      <w:r w:rsidR="00F10CC3" w:rsidRPr="00474C02">
        <w:rPr>
          <w:sz w:val="24"/>
          <w:szCs w:val="24"/>
        </w:rPr>
        <w:t>examples of that conduct.</w:t>
      </w:r>
    </w:p>
    <w:p w14:paraId="02D600D1" w14:textId="4ED2DF1C" w:rsidR="00B53174" w:rsidRPr="00474C02" w:rsidRDefault="00D62B54" w:rsidP="006E6343">
      <w:pPr>
        <w:pStyle w:val="Definition"/>
        <w:ind w:left="0"/>
        <w:rPr>
          <w:sz w:val="24"/>
          <w:szCs w:val="24"/>
        </w:rPr>
      </w:pPr>
      <w:r w:rsidRPr="00474C02">
        <w:rPr>
          <w:szCs w:val="24"/>
        </w:rPr>
        <w:t>Item 1</w:t>
      </w:r>
      <w:r w:rsidRPr="00474C02">
        <w:rPr>
          <w:sz w:val="24"/>
          <w:szCs w:val="24"/>
        </w:rPr>
        <w:t xml:space="preserve"> of the table provides that customer service issues are category 1 type conduct. This include</w:t>
      </w:r>
      <w:r w:rsidR="00B53174" w:rsidRPr="00474C02">
        <w:rPr>
          <w:sz w:val="24"/>
          <w:szCs w:val="24"/>
        </w:rPr>
        <w:t xml:space="preserve">s but is not limited to, failure to provide a service or facility in an adequate, professional or appropriate manner; failure to provide appropriate or correct advice; unreasonable delay in dealing with an issue or providing a service; failure to take appropriate </w:t>
      </w:r>
      <w:r w:rsidR="00B53174" w:rsidRPr="00474C02">
        <w:rPr>
          <w:sz w:val="24"/>
          <w:szCs w:val="24"/>
        </w:rPr>
        <w:lastRenderedPageBreak/>
        <w:t>action in relation to an issue where action by the AFP appointee was warranted, and discourteous behaviour including (but not limited to) rudeness</w:t>
      </w:r>
      <w:r w:rsidR="0095637F" w:rsidRPr="00474C02">
        <w:rPr>
          <w:sz w:val="24"/>
          <w:szCs w:val="24"/>
        </w:rPr>
        <w:t xml:space="preserve"> and</w:t>
      </w:r>
      <w:r w:rsidR="00B53174" w:rsidRPr="00474C02">
        <w:rPr>
          <w:sz w:val="24"/>
          <w:szCs w:val="24"/>
        </w:rPr>
        <w:t xml:space="preserve"> abruptness</w:t>
      </w:r>
      <w:r w:rsidR="0095637F" w:rsidRPr="00474C02">
        <w:rPr>
          <w:sz w:val="24"/>
          <w:szCs w:val="24"/>
        </w:rPr>
        <w:t xml:space="preserve">. </w:t>
      </w:r>
    </w:p>
    <w:p w14:paraId="2C7CB127" w14:textId="2A2E7C6B" w:rsidR="0017064C" w:rsidRPr="00474C02" w:rsidRDefault="00D62B54" w:rsidP="006E6343">
      <w:pPr>
        <w:pStyle w:val="Definition"/>
        <w:ind w:left="0"/>
        <w:rPr>
          <w:sz w:val="24"/>
          <w:szCs w:val="24"/>
        </w:rPr>
      </w:pPr>
      <w:r w:rsidRPr="00474C02">
        <w:rPr>
          <w:sz w:val="24"/>
          <w:szCs w:val="24"/>
        </w:rPr>
        <w:t>Item 2 of the table provides that minor breaches of AFP governance is category 1 type conduct. AFP governance includes</w:t>
      </w:r>
      <w:r w:rsidR="0017064C" w:rsidRPr="00474C02">
        <w:rPr>
          <w:sz w:val="24"/>
          <w:szCs w:val="24"/>
        </w:rPr>
        <w:t xml:space="preserve"> National Guidelines and Better Practice Guides. </w:t>
      </w:r>
      <w:r w:rsidR="004A46A4" w:rsidRPr="00474C02">
        <w:rPr>
          <w:sz w:val="24"/>
          <w:szCs w:val="24"/>
        </w:rPr>
        <w:t>An example of this is an AFP appointee’s failure to respond to a query within a timeframe specified in AFP governance.</w:t>
      </w:r>
    </w:p>
    <w:p w14:paraId="07A26932" w14:textId="22F99F85" w:rsidR="00F10CC3" w:rsidRPr="00474C02" w:rsidRDefault="008C6F3F" w:rsidP="00A44281">
      <w:pPr>
        <w:pStyle w:val="Definition"/>
        <w:keepNext/>
        <w:ind w:left="0"/>
        <w:rPr>
          <w:sz w:val="24"/>
          <w:szCs w:val="24"/>
          <w:u w:val="single"/>
        </w:rPr>
      </w:pPr>
      <w:r w:rsidRPr="00474C02">
        <w:rPr>
          <w:sz w:val="24"/>
          <w:szCs w:val="24"/>
          <w:u w:val="single"/>
        </w:rPr>
        <w:t xml:space="preserve">Section </w:t>
      </w:r>
      <w:r w:rsidR="00F81EDF" w:rsidRPr="00474C02">
        <w:rPr>
          <w:sz w:val="24"/>
          <w:szCs w:val="24"/>
          <w:u w:val="single"/>
        </w:rPr>
        <w:t>8</w:t>
      </w:r>
      <w:r w:rsidR="00865557" w:rsidRPr="00474C02">
        <w:rPr>
          <w:sz w:val="24"/>
          <w:szCs w:val="24"/>
          <w:u w:val="single"/>
        </w:rPr>
        <w:t xml:space="preserve"> – Category 2 conduct</w:t>
      </w:r>
    </w:p>
    <w:p w14:paraId="1CBAF6D6" w14:textId="4EFDEA87" w:rsidR="00A721F1" w:rsidRPr="00474C02" w:rsidRDefault="00A721F1" w:rsidP="00A721F1">
      <w:pPr>
        <w:pStyle w:val="Definition"/>
        <w:ind w:left="0"/>
        <w:rPr>
          <w:sz w:val="24"/>
          <w:szCs w:val="24"/>
        </w:rPr>
      </w:pPr>
      <w:r w:rsidRPr="00474C02">
        <w:rPr>
          <w:sz w:val="24"/>
          <w:szCs w:val="24"/>
        </w:rPr>
        <w:t xml:space="preserve">AFP appointees </w:t>
      </w:r>
      <w:r w:rsidR="00474C02" w:rsidRPr="00474C02">
        <w:rPr>
          <w:sz w:val="24"/>
          <w:szCs w:val="24"/>
        </w:rPr>
        <w:t>must</w:t>
      </w:r>
      <w:r w:rsidRPr="00474C02">
        <w:rPr>
          <w:sz w:val="24"/>
          <w:szCs w:val="24"/>
        </w:rPr>
        <w:t xml:space="preserve"> comply with AFP governance requirements</w:t>
      </w:r>
      <w:r w:rsidR="00474C02" w:rsidRPr="00474C02">
        <w:rPr>
          <w:sz w:val="24"/>
          <w:szCs w:val="24"/>
        </w:rPr>
        <w:t>.</w:t>
      </w:r>
    </w:p>
    <w:p w14:paraId="4B9C1E6C" w14:textId="199F7C29" w:rsidR="00A721F1" w:rsidRPr="00474C02" w:rsidRDefault="00A721F1" w:rsidP="00A721F1">
      <w:pPr>
        <w:pStyle w:val="Definition"/>
        <w:ind w:left="0"/>
        <w:rPr>
          <w:sz w:val="24"/>
          <w:szCs w:val="24"/>
        </w:rPr>
      </w:pPr>
      <w:r w:rsidRPr="00474C02">
        <w:rPr>
          <w:sz w:val="24"/>
          <w:szCs w:val="24"/>
        </w:rPr>
        <w:t xml:space="preserve">Under the Commissioner’s Order on Professional Standards, an AFP appointee may only depart from </w:t>
      </w:r>
      <w:r w:rsidR="00474C02" w:rsidRPr="00474C02">
        <w:rPr>
          <w:sz w:val="24"/>
          <w:szCs w:val="24"/>
        </w:rPr>
        <w:t>this</w:t>
      </w:r>
      <w:r w:rsidRPr="00474C02">
        <w:rPr>
          <w:sz w:val="24"/>
          <w:szCs w:val="24"/>
        </w:rPr>
        <w:t xml:space="preserve"> mandatory compliance obligation in circumstances where:</w:t>
      </w:r>
    </w:p>
    <w:p w14:paraId="3F47F54B" w14:textId="77777777" w:rsidR="00A721F1" w:rsidRPr="00474C02" w:rsidRDefault="00A721F1" w:rsidP="00D62B54">
      <w:pPr>
        <w:pStyle w:val="Definition"/>
        <w:numPr>
          <w:ilvl w:val="0"/>
          <w:numId w:val="35"/>
        </w:numPr>
        <w:rPr>
          <w:sz w:val="24"/>
          <w:szCs w:val="24"/>
        </w:rPr>
      </w:pPr>
      <w:r w:rsidRPr="00474C02">
        <w:rPr>
          <w:sz w:val="24"/>
          <w:szCs w:val="24"/>
        </w:rPr>
        <w:t>they have considered the risks of departure from the rule, including legal and work health and safety risks, and security and professional standards requirements;</w:t>
      </w:r>
    </w:p>
    <w:p w14:paraId="469A12D7" w14:textId="77777777" w:rsidR="00A721F1" w:rsidRPr="00474C02" w:rsidRDefault="00A721F1" w:rsidP="00D62B54">
      <w:pPr>
        <w:pStyle w:val="Definition"/>
        <w:numPr>
          <w:ilvl w:val="0"/>
          <w:numId w:val="35"/>
        </w:numPr>
        <w:rPr>
          <w:sz w:val="24"/>
          <w:szCs w:val="24"/>
        </w:rPr>
      </w:pPr>
      <w:r w:rsidRPr="00474C02">
        <w:rPr>
          <w:sz w:val="24"/>
          <w:szCs w:val="24"/>
        </w:rPr>
        <w:t>the AFP appointee has obtained advice from relevant AFP advisory areas (unless the circumstances are urgent);</w:t>
      </w:r>
    </w:p>
    <w:p w14:paraId="1FD19EB8" w14:textId="77777777" w:rsidR="00A721F1" w:rsidRPr="00474C02" w:rsidRDefault="00A721F1" w:rsidP="00D62B54">
      <w:pPr>
        <w:pStyle w:val="Definition"/>
        <w:numPr>
          <w:ilvl w:val="0"/>
          <w:numId w:val="35"/>
        </w:numPr>
        <w:rPr>
          <w:sz w:val="24"/>
          <w:szCs w:val="24"/>
        </w:rPr>
      </w:pPr>
      <w:r w:rsidRPr="00474C02">
        <w:rPr>
          <w:sz w:val="24"/>
          <w:szCs w:val="24"/>
        </w:rPr>
        <w:t>they have consulted with a supervisor prior to the departure where possible; and</w:t>
      </w:r>
    </w:p>
    <w:p w14:paraId="657D3918" w14:textId="101070BF" w:rsidR="00A721F1" w:rsidRPr="00474C02" w:rsidRDefault="00A721F1" w:rsidP="00D62B54">
      <w:pPr>
        <w:pStyle w:val="Definition"/>
        <w:numPr>
          <w:ilvl w:val="0"/>
          <w:numId w:val="35"/>
        </w:numPr>
        <w:rPr>
          <w:sz w:val="24"/>
          <w:szCs w:val="24"/>
        </w:rPr>
      </w:pPr>
      <w:r w:rsidRPr="00474C02">
        <w:rPr>
          <w:sz w:val="24"/>
          <w:szCs w:val="24"/>
        </w:rPr>
        <w:t>the departure is reasonable and justified in the circumstances.</w:t>
      </w:r>
    </w:p>
    <w:p w14:paraId="4CE4F6F6" w14:textId="1624A530" w:rsidR="00410370" w:rsidRPr="00474C02" w:rsidRDefault="00BA5AA9" w:rsidP="006E6343">
      <w:pPr>
        <w:pStyle w:val="Definition"/>
        <w:ind w:left="0"/>
        <w:rPr>
          <w:sz w:val="24"/>
          <w:szCs w:val="24"/>
        </w:rPr>
      </w:pPr>
      <w:r w:rsidRPr="00474C02">
        <w:rPr>
          <w:sz w:val="24"/>
          <w:szCs w:val="24"/>
        </w:rPr>
        <w:t xml:space="preserve">The table in section 8 sets out the kind of conduct jointly determined by the Commissioner and the Commonwealth Ombudsman to be category 2 conduct. Column 1 sets out the kind of conduct that is category 2 conduct and column 2 contains non-exhaustive examples of that conduct. </w:t>
      </w:r>
      <w:r w:rsidR="00410370" w:rsidRPr="00474C02">
        <w:rPr>
          <w:sz w:val="24"/>
          <w:szCs w:val="24"/>
        </w:rPr>
        <w:t xml:space="preserve">Category 2 conduct covers a broad range of minor misconduct and inappropriate conduct that reveals unsatisfactory behaviour by an AFP appointee. </w:t>
      </w:r>
    </w:p>
    <w:p w14:paraId="06252C8D" w14:textId="6220B00F" w:rsidR="00410370" w:rsidRPr="00474C02" w:rsidRDefault="00410370" w:rsidP="00410370">
      <w:pPr>
        <w:pStyle w:val="Definition"/>
        <w:ind w:left="0"/>
        <w:rPr>
          <w:sz w:val="24"/>
          <w:szCs w:val="24"/>
        </w:rPr>
      </w:pPr>
      <w:r w:rsidRPr="00474C02">
        <w:rPr>
          <w:szCs w:val="24"/>
        </w:rPr>
        <w:t>Item 1</w:t>
      </w:r>
      <w:r w:rsidRPr="00474C02">
        <w:rPr>
          <w:sz w:val="24"/>
          <w:szCs w:val="24"/>
        </w:rPr>
        <w:t xml:space="preserve"> of the table provides that </w:t>
      </w:r>
      <w:r w:rsidR="00321AE6" w:rsidRPr="00474C02">
        <w:rPr>
          <w:sz w:val="24"/>
          <w:szCs w:val="24"/>
        </w:rPr>
        <w:t>breaches of Commissioner’s Orders</w:t>
      </w:r>
      <w:r w:rsidR="004965C7" w:rsidRPr="00474C02">
        <w:rPr>
          <w:sz w:val="24"/>
          <w:szCs w:val="24"/>
        </w:rPr>
        <w:t xml:space="preserve"> </w:t>
      </w:r>
      <w:r w:rsidR="00060FEE" w:rsidRPr="00474C02">
        <w:rPr>
          <w:sz w:val="24"/>
          <w:szCs w:val="24"/>
        </w:rPr>
        <w:t xml:space="preserve">that do not or could not result in </w:t>
      </w:r>
      <w:r w:rsidR="004965C7" w:rsidRPr="00474C02">
        <w:rPr>
          <w:sz w:val="24"/>
          <w:szCs w:val="24"/>
        </w:rPr>
        <w:t>breach of operational or national security, harm to an individual or AFP reputational damage</w:t>
      </w:r>
      <w:r w:rsidRPr="00474C02">
        <w:rPr>
          <w:sz w:val="24"/>
          <w:szCs w:val="24"/>
        </w:rPr>
        <w:t>, are category 2 type conduct. This includes but is not limited to failure to apply sound security practices within the AFP appointee’s role and duties as required by Commissioner’s Orders dealing with security, or breach of Commissioner’s Orders dealing with operational safety that does not relate to any physical injury being sustained by an individual.</w:t>
      </w:r>
    </w:p>
    <w:p w14:paraId="6691D9A7" w14:textId="380099BC" w:rsidR="00BA5AA9" w:rsidRPr="00474C02" w:rsidRDefault="00BA5AA9" w:rsidP="00BA5AA9">
      <w:pPr>
        <w:pStyle w:val="Definition"/>
        <w:ind w:left="0"/>
        <w:rPr>
          <w:sz w:val="24"/>
          <w:szCs w:val="24"/>
        </w:rPr>
      </w:pPr>
      <w:r w:rsidRPr="00474C02">
        <w:rPr>
          <w:sz w:val="24"/>
          <w:szCs w:val="24"/>
        </w:rPr>
        <w:t>Item</w:t>
      </w:r>
      <w:r w:rsidR="009167C7" w:rsidRPr="00474C02">
        <w:rPr>
          <w:sz w:val="24"/>
          <w:szCs w:val="24"/>
        </w:rPr>
        <w:t xml:space="preserve"> 2</w:t>
      </w:r>
      <w:r w:rsidRPr="00474C02">
        <w:rPr>
          <w:sz w:val="24"/>
          <w:szCs w:val="24"/>
        </w:rPr>
        <w:t xml:space="preserve"> of the table provides that </w:t>
      </w:r>
      <w:r w:rsidR="004965C7" w:rsidRPr="00474C02">
        <w:rPr>
          <w:sz w:val="24"/>
          <w:szCs w:val="24"/>
        </w:rPr>
        <w:t xml:space="preserve">breaches of Commissioner’s Orders </w:t>
      </w:r>
      <w:r w:rsidR="00060FEE" w:rsidRPr="00474C02">
        <w:rPr>
          <w:sz w:val="24"/>
          <w:szCs w:val="24"/>
        </w:rPr>
        <w:t xml:space="preserve">dealing with operational safety where the breach relates to a </w:t>
      </w:r>
      <w:r w:rsidR="004965C7" w:rsidRPr="00474C02">
        <w:rPr>
          <w:sz w:val="24"/>
          <w:szCs w:val="24"/>
        </w:rPr>
        <w:t>weapon</w:t>
      </w:r>
      <w:r w:rsidR="00B24ADF" w:rsidRPr="00474C02">
        <w:rPr>
          <w:sz w:val="24"/>
          <w:szCs w:val="24"/>
        </w:rPr>
        <w:t>,</w:t>
      </w:r>
      <w:r w:rsidRPr="00474C02">
        <w:rPr>
          <w:sz w:val="24"/>
          <w:szCs w:val="24"/>
        </w:rPr>
        <w:t xml:space="preserve"> are category 2 type conduct. This may include where an AFP appointee discharges a conducted energy weapon while in the process of loading the AFP appointee’s utility belt</w:t>
      </w:r>
      <w:r w:rsidR="00B24ADF" w:rsidRPr="00474C02">
        <w:rPr>
          <w:sz w:val="24"/>
          <w:szCs w:val="24"/>
        </w:rPr>
        <w:t>.</w:t>
      </w:r>
    </w:p>
    <w:p w14:paraId="28552D2B" w14:textId="6D608FD2" w:rsidR="00E16B3B" w:rsidRPr="00474C02" w:rsidRDefault="00B24ADF" w:rsidP="00B24ADF">
      <w:pPr>
        <w:pStyle w:val="Definition"/>
        <w:ind w:left="0"/>
        <w:rPr>
          <w:sz w:val="24"/>
          <w:szCs w:val="24"/>
        </w:rPr>
      </w:pPr>
      <w:r w:rsidRPr="00474C02">
        <w:rPr>
          <w:sz w:val="24"/>
          <w:szCs w:val="24"/>
        </w:rPr>
        <w:t>Item</w:t>
      </w:r>
      <w:r w:rsidR="009167C7" w:rsidRPr="00474C02">
        <w:rPr>
          <w:sz w:val="24"/>
          <w:szCs w:val="24"/>
        </w:rPr>
        <w:t xml:space="preserve"> 3</w:t>
      </w:r>
      <w:r w:rsidRPr="00474C02">
        <w:rPr>
          <w:sz w:val="24"/>
          <w:szCs w:val="24"/>
        </w:rPr>
        <w:t xml:space="preserve"> of the table provides that </w:t>
      </w:r>
      <w:r w:rsidR="004965C7" w:rsidRPr="00474C02">
        <w:rPr>
          <w:sz w:val="24"/>
          <w:szCs w:val="24"/>
        </w:rPr>
        <w:t>unauthorised</w:t>
      </w:r>
      <w:r w:rsidR="004965C7" w:rsidRPr="00474C02">
        <w:rPr>
          <w:szCs w:val="24"/>
        </w:rPr>
        <w:t xml:space="preserve"> </w:t>
      </w:r>
      <w:r w:rsidR="004965C7" w:rsidRPr="00474C02">
        <w:rPr>
          <w:sz w:val="24"/>
          <w:szCs w:val="24"/>
        </w:rPr>
        <w:t xml:space="preserve">departure from AFP National Guidelines or Practical Guides </w:t>
      </w:r>
      <w:r w:rsidRPr="00474C02">
        <w:rPr>
          <w:sz w:val="24"/>
          <w:szCs w:val="24"/>
        </w:rPr>
        <w:t xml:space="preserve">that does not, and could not, result in a breach of operational or national security, harm to an individual or reputational damage to the AFP, is category 2 conduct. </w:t>
      </w:r>
      <w:r w:rsidR="008F44B1" w:rsidRPr="00474C02">
        <w:rPr>
          <w:sz w:val="24"/>
          <w:szCs w:val="24"/>
        </w:rPr>
        <w:t>Th</w:t>
      </w:r>
      <w:r w:rsidR="004965C7" w:rsidRPr="00474C02">
        <w:rPr>
          <w:sz w:val="24"/>
          <w:szCs w:val="24"/>
        </w:rPr>
        <w:t>e ‘secondary work’ example for Item 2 in Column 2 concerns employment in addition to the AFP appointee’s employment with AFP.</w:t>
      </w:r>
      <w:r w:rsidR="008F44B1" w:rsidRPr="00474C02">
        <w:rPr>
          <w:sz w:val="24"/>
          <w:szCs w:val="24"/>
        </w:rPr>
        <w:t xml:space="preserve"> The obligations around secondary work are set out in the AFP National Guidelines and AFP Practical Guides. </w:t>
      </w:r>
    </w:p>
    <w:p w14:paraId="711B2275" w14:textId="5053AF80" w:rsidR="0013618A" w:rsidRPr="00474C02" w:rsidRDefault="00B24ADF" w:rsidP="00937B17">
      <w:pPr>
        <w:pStyle w:val="Definition"/>
        <w:ind w:left="0"/>
        <w:rPr>
          <w:sz w:val="24"/>
          <w:szCs w:val="24"/>
        </w:rPr>
      </w:pPr>
      <w:r w:rsidRPr="00474C02">
        <w:rPr>
          <w:sz w:val="24"/>
          <w:szCs w:val="24"/>
        </w:rPr>
        <w:t xml:space="preserve">Item </w:t>
      </w:r>
      <w:r w:rsidR="009167C7" w:rsidRPr="00474C02">
        <w:rPr>
          <w:sz w:val="24"/>
          <w:szCs w:val="24"/>
        </w:rPr>
        <w:t>4</w:t>
      </w:r>
      <w:r w:rsidRPr="00474C02">
        <w:rPr>
          <w:sz w:val="24"/>
          <w:szCs w:val="24"/>
        </w:rPr>
        <w:t xml:space="preserve"> of the table provides that </w:t>
      </w:r>
      <w:r w:rsidR="009167C7" w:rsidRPr="00474C02">
        <w:rPr>
          <w:sz w:val="24"/>
          <w:szCs w:val="24"/>
        </w:rPr>
        <w:t xml:space="preserve">failures to comply with </w:t>
      </w:r>
      <w:r w:rsidR="00422871" w:rsidRPr="00474C02">
        <w:rPr>
          <w:sz w:val="24"/>
          <w:szCs w:val="24"/>
        </w:rPr>
        <w:t xml:space="preserve">the AFP Code of Conduct </w:t>
      </w:r>
      <w:r w:rsidRPr="00474C02">
        <w:rPr>
          <w:sz w:val="24"/>
          <w:szCs w:val="24"/>
        </w:rPr>
        <w:t xml:space="preserve">that do not or could not result in a breach of operational or national security, harm to an individual or </w:t>
      </w:r>
      <w:r w:rsidR="0013618A" w:rsidRPr="00474C02">
        <w:rPr>
          <w:sz w:val="24"/>
          <w:szCs w:val="24"/>
        </w:rPr>
        <w:t xml:space="preserve">AFP </w:t>
      </w:r>
      <w:r w:rsidRPr="00474C02">
        <w:rPr>
          <w:sz w:val="24"/>
          <w:szCs w:val="24"/>
        </w:rPr>
        <w:t>reputational damage</w:t>
      </w:r>
      <w:r w:rsidR="0013618A" w:rsidRPr="00474C02">
        <w:rPr>
          <w:sz w:val="24"/>
          <w:szCs w:val="24"/>
        </w:rPr>
        <w:t xml:space="preserve">, are category 2 type conduct. This may include failure to adequately or appropriately supervise another AFP appointee who is within the AFP </w:t>
      </w:r>
      <w:r w:rsidR="0013618A" w:rsidRPr="00474C02">
        <w:rPr>
          <w:sz w:val="24"/>
          <w:szCs w:val="24"/>
        </w:rPr>
        <w:lastRenderedPageBreak/>
        <w:t>appointee’s line of responsibility as a supervisor; or repeated category 1 conduct that amounts to a failure to comply with the AFP Code of Conduct because of its repeated nature.</w:t>
      </w:r>
    </w:p>
    <w:p w14:paraId="202AEE4A" w14:textId="67858555" w:rsidR="009D4DEE" w:rsidRPr="00474C02" w:rsidRDefault="0013618A" w:rsidP="0013618A">
      <w:pPr>
        <w:pStyle w:val="Definition"/>
        <w:ind w:left="0"/>
        <w:rPr>
          <w:sz w:val="24"/>
          <w:szCs w:val="24"/>
        </w:rPr>
      </w:pPr>
      <w:r w:rsidRPr="00474C02">
        <w:rPr>
          <w:sz w:val="24"/>
          <w:szCs w:val="24"/>
        </w:rPr>
        <w:t xml:space="preserve">Item </w:t>
      </w:r>
      <w:r w:rsidR="009167C7" w:rsidRPr="00474C02">
        <w:rPr>
          <w:sz w:val="24"/>
          <w:szCs w:val="24"/>
        </w:rPr>
        <w:t>5</w:t>
      </w:r>
      <w:r w:rsidRPr="00474C02">
        <w:rPr>
          <w:sz w:val="24"/>
          <w:szCs w:val="24"/>
        </w:rPr>
        <w:t xml:space="preserve"> of the table provides that f</w:t>
      </w:r>
      <w:r w:rsidR="0084176E" w:rsidRPr="00474C02">
        <w:rPr>
          <w:sz w:val="24"/>
          <w:szCs w:val="24"/>
        </w:rPr>
        <w:t xml:space="preserve">ailure of due care or diligence </w:t>
      </w:r>
      <w:r w:rsidRPr="00474C02">
        <w:rPr>
          <w:sz w:val="24"/>
          <w:szCs w:val="24"/>
        </w:rPr>
        <w:t xml:space="preserve">that does not or could not result in a breach of operational or national security, harm to an individual or AFP reputational damage, is category 2 conduct. This may include failure to correctly enter or record information in a policing database. </w:t>
      </w:r>
      <w:r w:rsidR="009D4DEE" w:rsidRPr="00474C02">
        <w:rPr>
          <w:sz w:val="24"/>
          <w:szCs w:val="24"/>
        </w:rPr>
        <w:t>Given the duties, functions, and powers of the AFP an appointee’s failure to take due care or diligence can have serious consequences. To reflect this, the Determination makes clear that a failure of due care or diligence is category 2 conduct.</w:t>
      </w:r>
    </w:p>
    <w:p w14:paraId="49F75B00" w14:textId="119108E6" w:rsidR="009D4DEE" w:rsidRPr="00474C02" w:rsidRDefault="0013618A" w:rsidP="0013618A">
      <w:pPr>
        <w:pStyle w:val="Definition"/>
        <w:ind w:left="0"/>
        <w:rPr>
          <w:sz w:val="24"/>
          <w:szCs w:val="24"/>
        </w:rPr>
      </w:pPr>
      <w:r w:rsidRPr="00474C02">
        <w:rPr>
          <w:sz w:val="24"/>
          <w:szCs w:val="24"/>
        </w:rPr>
        <w:t>Item</w:t>
      </w:r>
      <w:r w:rsidR="009167C7" w:rsidRPr="00474C02">
        <w:rPr>
          <w:sz w:val="24"/>
          <w:szCs w:val="24"/>
        </w:rPr>
        <w:t xml:space="preserve"> 6</w:t>
      </w:r>
      <w:r w:rsidRPr="00474C02">
        <w:rPr>
          <w:sz w:val="24"/>
          <w:szCs w:val="24"/>
        </w:rPr>
        <w:t xml:space="preserve"> of the table provides that a</w:t>
      </w:r>
      <w:r w:rsidR="0084176E" w:rsidRPr="00474C02">
        <w:rPr>
          <w:sz w:val="24"/>
          <w:szCs w:val="24"/>
        </w:rPr>
        <w:t xml:space="preserve">dministrative failures </w:t>
      </w:r>
      <w:r w:rsidR="008F44B1" w:rsidRPr="00474C02">
        <w:rPr>
          <w:sz w:val="24"/>
          <w:szCs w:val="24"/>
        </w:rPr>
        <w:t>relating to</w:t>
      </w:r>
      <w:r w:rsidR="0084176E" w:rsidRPr="00474C02">
        <w:rPr>
          <w:sz w:val="24"/>
          <w:szCs w:val="24"/>
        </w:rPr>
        <w:t xml:space="preserve"> a warrant or an authorisation under the Act </w:t>
      </w:r>
      <w:r w:rsidRPr="00474C02">
        <w:rPr>
          <w:sz w:val="24"/>
          <w:szCs w:val="24"/>
        </w:rPr>
        <w:t xml:space="preserve">are category 2 type conduct. </w:t>
      </w:r>
      <w:r w:rsidR="009D4DEE" w:rsidRPr="00474C02">
        <w:rPr>
          <w:sz w:val="24"/>
          <w:szCs w:val="24"/>
        </w:rPr>
        <w:t>The execution and administration of warrants, and authorisations, is a key component of the AFP’s functions. As such, it is essential that AFP appointees abide by the requirements of warrants, legislation, guidelines and standard operating procedures in relation to the execution and maintaining of warrant and authorisation records. Any failure in this regard constitutes category 2 conduct.</w:t>
      </w:r>
    </w:p>
    <w:p w14:paraId="319CF537" w14:textId="228F9FCB" w:rsidR="009D4DEE" w:rsidRPr="00474C02" w:rsidRDefault="00474C02" w:rsidP="0013618A">
      <w:pPr>
        <w:pStyle w:val="Definition"/>
        <w:ind w:left="0"/>
        <w:rPr>
          <w:sz w:val="24"/>
          <w:szCs w:val="24"/>
        </w:rPr>
      </w:pPr>
      <w:r w:rsidRPr="00474C02">
        <w:rPr>
          <w:sz w:val="24"/>
          <w:szCs w:val="24"/>
        </w:rPr>
        <w:t xml:space="preserve">Discriminatory conduct, sexual harassment and workplace bullying or harassment, where the alleged victim wants the matter dealt with informally and the conduct does not constitute a breach of the law, is category 2 conduct under the Determination. This is reflective of the AFP’s victim-centred approach to this type of conduct and ensures the needs of the alleged victim are addressed. It is important to note that category 2 captures conduct of this kind that is directed towards other AFP appointees and towards members of the public. </w:t>
      </w:r>
      <w:r w:rsidR="0013618A" w:rsidRPr="00474C02">
        <w:rPr>
          <w:sz w:val="24"/>
          <w:szCs w:val="24"/>
        </w:rPr>
        <w:t xml:space="preserve">Item </w:t>
      </w:r>
      <w:r w:rsidR="009167C7" w:rsidRPr="00474C02">
        <w:rPr>
          <w:sz w:val="24"/>
          <w:szCs w:val="24"/>
        </w:rPr>
        <w:t>7</w:t>
      </w:r>
      <w:r w:rsidR="0013618A" w:rsidRPr="00474C02">
        <w:rPr>
          <w:sz w:val="24"/>
          <w:szCs w:val="24"/>
        </w:rPr>
        <w:t xml:space="preserve"> of the table provides that </w:t>
      </w:r>
      <w:r w:rsidR="000F7B95" w:rsidRPr="00474C02">
        <w:rPr>
          <w:sz w:val="24"/>
          <w:szCs w:val="24"/>
        </w:rPr>
        <w:t>sexual harassment against another AFP appointee or member of the public</w:t>
      </w:r>
      <w:r w:rsidRPr="00474C02">
        <w:rPr>
          <w:sz w:val="24"/>
          <w:szCs w:val="24"/>
        </w:rPr>
        <w:t xml:space="preserve"> of this type is category 2 conduct under the Determination. Item 8 of the table provides that</w:t>
      </w:r>
      <w:r w:rsidR="009D4DEE" w:rsidRPr="00474C02">
        <w:rPr>
          <w:sz w:val="24"/>
          <w:szCs w:val="24"/>
        </w:rPr>
        <w:t xml:space="preserve"> </w:t>
      </w:r>
      <w:r w:rsidR="000F7B95" w:rsidRPr="00474C02">
        <w:rPr>
          <w:sz w:val="24"/>
          <w:szCs w:val="24"/>
        </w:rPr>
        <w:t>discriminatory conduct (that is not sexual harassment) against another AFP appointee or member of the public</w:t>
      </w:r>
      <w:r w:rsidRPr="00474C02">
        <w:rPr>
          <w:sz w:val="24"/>
          <w:szCs w:val="24"/>
        </w:rPr>
        <w:t xml:space="preserve"> of this type is category 2 conduct. Item 9 of the table provides that</w:t>
      </w:r>
      <w:r w:rsidR="009D4DEE" w:rsidRPr="00474C02">
        <w:rPr>
          <w:sz w:val="24"/>
          <w:szCs w:val="24"/>
        </w:rPr>
        <w:t xml:space="preserve"> </w:t>
      </w:r>
      <w:r w:rsidR="00DB77B7" w:rsidRPr="00474C02">
        <w:rPr>
          <w:sz w:val="24"/>
          <w:szCs w:val="24"/>
        </w:rPr>
        <w:t xml:space="preserve">workplace bullying or harassment (that is not sexual harassment) </w:t>
      </w:r>
      <w:r w:rsidRPr="00474C02">
        <w:rPr>
          <w:sz w:val="24"/>
          <w:szCs w:val="24"/>
        </w:rPr>
        <w:t>of this type is category 2 conduct</w:t>
      </w:r>
      <w:r w:rsidR="0013618A" w:rsidRPr="00474C02">
        <w:rPr>
          <w:sz w:val="24"/>
          <w:szCs w:val="24"/>
        </w:rPr>
        <w:t>.</w:t>
      </w:r>
    </w:p>
    <w:p w14:paraId="2BB71262" w14:textId="0869F995" w:rsidR="009D4DEE" w:rsidRPr="00474C02" w:rsidRDefault="0013618A" w:rsidP="0013618A">
      <w:pPr>
        <w:pStyle w:val="Definition"/>
        <w:ind w:left="0"/>
        <w:rPr>
          <w:sz w:val="24"/>
          <w:szCs w:val="24"/>
        </w:rPr>
      </w:pPr>
      <w:r w:rsidRPr="00474C02">
        <w:rPr>
          <w:sz w:val="24"/>
          <w:szCs w:val="24"/>
        </w:rPr>
        <w:t>Item 10 of the table provides that t</w:t>
      </w:r>
      <w:r w:rsidR="00DB77B7" w:rsidRPr="00474C02">
        <w:rPr>
          <w:sz w:val="24"/>
          <w:szCs w:val="24"/>
        </w:rPr>
        <w:t xml:space="preserve">raffic misconduct that would not result in criminal charges </w:t>
      </w:r>
      <w:r w:rsidRPr="00474C02">
        <w:rPr>
          <w:sz w:val="24"/>
          <w:szCs w:val="24"/>
        </w:rPr>
        <w:t xml:space="preserve">is category 2 conduct. </w:t>
      </w:r>
      <w:r w:rsidR="009D4DEE" w:rsidRPr="00474C02">
        <w:rPr>
          <w:sz w:val="24"/>
          <w:szCs w:val="24"/>
        </w:rPr>
        <w:t>Under the AFP Code of Conduct, AFP appointees are expected to maintain the highest level of professional standards both in their official and private capacities. As such, any traffic misconduct that results in a requirement to appear in court as a defendan</w:t>
      </w:r>
      <w:r w:rsidR="008D7A9B">
        <w:rPr>
          <w:sz w:val="24"/>
          <w:szCs w:val="24"/>
        </w:rPr>
        <w:t>t is considered to be category 3</w:t>
      </w:r>
      <w:r w:rsidR="009D4DEE" w:rsidRPr="00474C02">
        <w:rPr>
          <w:sz w:val="24"/>
          <w:szCs w:val="24"/>
        </w:rPr>
        <w:t xml:space="preserve"> conduct under the Determination.</w:t>
      </w:r>
    </w:p>
    <w:p w14:paraId="7789A5BA" w14:textId="4501A0A2" w:rsidR="009D4DEE" w:rsidRPr="00474C02" w:rsidRDefault="0013618A" w:rsidP="00917FCB">
      <w:pPr>
        <w:pStyle w:val="Definition"/>
        <w:ind w:left="0"/>
        <w:rPr>
          <w:sz w:val="24"/>
          <w:szCs w:val="24"/>
        </w:rPr>
      </w:pPr>
      <w:r w:rsidRPr="00474C02">
        <w:rPr>
          <w:sz w:val="24"/>
          <w:szCs w:val="24"/>
        </w:rPr>
        <w:t xml:space="preserve">Item 11 </w:t>
      </w:r>
      <w:r w:rsidR="00917FCB" w:rsidRPr="00474C02">
        <w:rPr>
          <w:sz w:val="24"/>
          <w:szCs w:val="24"/>
        </w:rPr>
        <w:t xml:space="preserve">of the table </w:t>
      </w:r>
      <w:r w:rsidRPr="00474C02">
        <w:rPr>
          <w:sz w:val="24"/>
          <w:szCs w:val="24"/>
        </w:rPr>
        <w:t>provides that m</w:t>
      </w:r>
      <w:r w:rsidR="0029304D" w:rsidRPr="00474C02">
        <w:rPr>
          <w:sz w:val="24"/>
          <w:szCs w:val="24"/>
        </w:rPr>
        <w:t>isconduct relating to the handling and management of property or exhibits held by the AFP</w:t>
      </w:r>
      <w:r w:rsidRPr="00474C02">
        <w:rPr>
          <w:sz w:val="24"/>
          <w:szCs w:val="24"/>
        </w:rPr>
        <w:t xml:space="preserve"> is category 2 conduct. </w:t>
      </w:r>
      <w:r w:rsidR="009D4DEE" w:rsidRPr="00474C02">
        <w:rPr>
          <w:sz w:val="24"/>
          <w:szCs w:val="24"/>
        </w:rPr>
        <w:t xml:space="preserve">Property and exhibits held by the AFP are for the most part the property of others or constitute evidence, as such it is </w:t>
      </w:r>
      <w:r w:rsidR="009167C7" w:rsidRPr="00474C02">
        <w:rPr>
          <w:sz w:val="24"/>
          <w:szCs w:val="24"/>
        </w:rPr>
        <w:t>essential,</w:t>
      </w:r>
      <w:r w:rsidR="009D4DEE" w:rsidRPr="00474C02">
        <w:rPr>
          <w:sz w:val="24"/>
          <w:szCs w:val="24"/>
        </w:rPr>
        <w:t xml:space="preserve"> they are appropriately managed and any failures in this regard are appropriately addressed.</w:t>
      </w:r>
    </w:p>
    <w:p w14:paraId="1218D026" w14:textId="11D7FAE9" w:rsidR="00EB509D" w:rsidRPr="00474C02" w:rsidRDefault="00917FCB" w:rsidP="00937B17">
      <w:pPr>
        <w:pStyle w:val="Definition"/>
        <w:ind w:left="0"/>
        <w:rPr>
          <w:sz w:val="24"/>
          <w:szCs w:val="24"/>
        </w:rPr>
      </w:pPr>
      <w:r w:rsidRPr="00474C02">
        <w:rPr>
          <w:sz w:val="24"/>
          <w:szCs w:val="24"/>
        </w:rPr>
        <w:t xml:space="preserve">Item </w:t>
      </w:r>
      <w:r w:rsidR="009167C7" w:rsidRPr="00474C02">
        <w:rPr>
          <w:sz w:val="24"/>
          <w:szCs w:val="24"/>
        </w:rPr>
        <w:t>12</w:t>
      </w:r>
      <w:r w:rsidRPr="00474C02">
        <w:rPr>
          <w:sz w:val="24"/>
          <w:szCs w:val="24"/>
        </w:rPr>
        <w:t xml:space="preserve"> of the table provides that </w:t>
      </w:r>
      <w:r w:rsidR="001F3519" w:rsidRPr="00474C02">
        <w:rPr>
          <w:sz w:val="24"/>
          <w:szCs w:val="24"/>
        </w:rPr>
        <w:t xml:space="preserve">breaches of AFP </w:t>
      </w:r>
      <w:r w:rsidR="00F03BE4" w:rsidRPr="00474C02">
        <w:rPr>
          <w:sz w:val="24"/>
          <w:szCs w:val="24"/>
        </w:rPr>
        <w:t>g</w:t>
      </w:r>
      <w:r w:rsidR="001F3519" w:rsidRPr="00474C02">
        <w:rPr>
          <w:sz w:val="24"/>
          <w:szCs w:val="24"/>
        </w:rPr>
        <w:t>overnance relating to actual</w:t>
      </w:r>
      <w:r w:rsidR="00DF371F" w:rsidRPr="00474C02">
        <w:rPr>
          <w:sz w:val="24"/>
          <w:szCs w:val="24"/>
        </w:rPr>
        <w:t xml:space="preserve">, perceived or potential </w:t>
      </w:r>
      <w:r w:rsidR="001F3519" w:rsidRPr="00474C02">
        <w:rPr>
          <w:sz w:val="24"/>
          <w:szCs w:val="24"/>
        </w:rPr>
        <w:t>conflict of interest</w:t>
      </w:r>
      <w:r w:rsidRPr="00474C02">
        <w:rPr>
          <w:sz w:val="24"/>
          <w:szCs w:val="24"/>
        </w:rPr>
        <w:t>, and</w:t>
      </w:r>
      <w:r w:rsidR="00474C02" w:rsidRPr="00474C02">
        <w:rPr>
          <w:sz w:val="24"/>
          <w:szCs w:val="24"/>
        </w:rPr>
        <w:t xml:space="preserve"> item 13 of the table provides that</w:t>
      </w:r>
      <w:r w:rsidRPr="00474C02">
        <w:rPr>
          <w:sz w:val="24"/>
          <w:szCs w:val="24"/>
        </w:rPr>
        <w:t xml:space="preserve"> f</w:t>
      </w:r>
      <w:r w:rsidR="00EB509D" w:rsidRPr="00474C02">
        <w:rPr>
          <w:sz w:val="24"/>
          <w:szCs w:val="24"/>
        </w:rPr>
        <w:t xml:space="preserve">ailure to report an actual, perceived or potential conflict of interest </w:t>
      </w:r>
      <w:r w:rsidR="00474C02" w:rsidRPr="00474C02">
        <w:rPr>
          <w:sz w:val="24"/>
          <w:szCs w:val="24"/>
        </w:rPr>
        <w:t>are both category 2 type conduct</w:t>
      </w:r>
      <w:r w:rsidRPr="00474C02">
        <w:rPr>
          <w:sz w:val="24"/>
          <w:szCs w:val="24"/>
        </w:rPr>
        <w:t xml:space="preserve">. </w:t>
      </w:r>
    </w:p>
    <w:p w14:paraId="59EA78EB" w14:textId="6B4BCCBB" w:rsidR="00D77179" w:rsidRPr="00474C02" w:rsidRDefault="008C6F3F" w:rsidP="006E6343">
      <w:pPr>
        <w:pStyle w:val="Definition"/>
        <w:ind w:left="0"/>
        <w:rPr>
          <w:sz w:val="24"/>
          <w:szCs w:val="24"/>
          <w:u w:val="single"/>
        </w:rPr>
      </w:pPr>
      <w:r w:rsidRPr="00474C02">
        <w:rPr>
          <w:sz w:val="24"/>
          <w:szCs w:val="24"/>
          <w:u w:val="single"/>
        </w:rPr>
        <w:t xml:space="preserve">Section </w:t>
      </w:r>
      <w:r w:rsidR="00F81EDF" w:rsidRPr="00474C02">
        <w:rPr>
          <w:sz w:val="24"/>
          <w:szCs w:val="24"/>
          <w:u w:val="single"/>
        </w:rPr>
        <w:t>9</w:t>
      </w:r>
      <w:r w:rsidR="0041293B" w:rsidRPr="00474C02">
        <w:rPr>
          <w:sz w:val="24"/>
          <w:szCs w:val="24"/>
          <w:u w:val="single"/>
        </w:rPr>
        <w:t xml:space="preserve"> </w:t>
      </w:r>
      <w:r w:rsidR="002F1ACB" w:rsidRPr="00474C02">
        <w:rPr>
          <w:u w:val="single"/>
        </w:rPr>
        <w:t>–</w:t>
      </w:r>
      <w:r w:rsidR="0041293B" w:rsidRPr="00474C02">
        <w:rPr>
          <w:sz w:val="24"/>
          <w:szCs w:val="24"/>
          <w:u w:val="single"/>
        </w:rPr>
        <w:t xml:space="preserve"> </w:t>
      </w:r>
      <w:r w:rsidR="00D77179" w:rsidRPr="00474C02">
        <w:rPr>
          <w:sz w:val="24"/>
          <w:szCs w:val="24"/>
          <w:u w:val="single"/>
        </w:rPr>
        <w:t>Category 3 conduct</w:t>
      </w:r>
    </w:p>
    <w:p w14:paraId="7BE47EDA" w14:textId="7E8F1BB1" w:rsidR="00D56985" w:rsidRPr="00474C02" w:rsidRDefault="00D56985" w:rsidP="00D56985">
      <w:pPr>
        <w:pStyle w:val="Definition"/>
        <w:ind w:left="0"/>
        <w:rPr>
          <w:sz w:val="24"/>
          <w:szCs w:val="24"/>
        </w:rPr>
      </w:pPr>
      <w:r w:rsidRPr="00474C02">
        <w:rPr>
          <w:sz w:val="24"/>
          <w:szCs w:val="24"/>
        </w:rPr>
        <w:t xml:space="preserve">AFP appointees </w:t>
      </w:r>
      <w:r w:rsidR="00474C02" w:rsidRPr="00474C02">
        <w:rPr>
          <w:sz w:val="24"/>
          <w:szCs w:val="24"/>
        </w:rPr>
        <w:t>must</w:t>
      </w:r>
      <w:r w:rsidRPr="00474C02">
        <w:rPr>
          <w:sz w:val="24"/>
          <w:szCs w:val="24"/>
        </w:rPr>
        <w:t xml:space="preserve"> comply with AFP governance requirements</w:t>
      </w:r>
      <w:r w:rsidR="00474C02" w:rsidRPr="00474C02">
        <w:rPr>
          <w:sz w:val="24"/>
          <w:szCs w:val="24"/>
        </w:rPr>
        <w:t>.</w:t>
      </w:r>
    </w:p>
    <w:p w14:paraId="07E37D3D" w14:textId="77777777" w:rsidR="00D56985" w:rsidRPr="00474C02" w:rsidRDefault="00D56985" w:rsidP="00D56985">
      <w:pPr>
        <w:pStyle w:val="Definition"/>
        <w:ind w:left="0"/>
        <w:rPr>
          <w:sz w:val="24"/>
          <w:szCs w:val="24"/>
        </w:rPr>
      </w:pPr>
      <w:r w:rsidRPr="00474C02">
        <w:rPr>
          <w:sz w:val="24"/>
          <w:szCs w:val="24"/>
        </w:rPr>
        <w:t>An AFP appointee may only depart from a mandatory compliance obligation in circumstances where:</w:t>
      </w:r>
    </w:p>
    <w:p w14:paraId="3D48535E" w14:textId="77777777" w:rsidR="00D56985" w:rsidRPr="00474C02" w:rsidRDefault="00D56985" w:rsidP="00D62B54">
      <w:pPr>
        <w:pStyle w:val="Definition"/>
        <w:numPr>
          <w:ilvl w:val="0"/>
          <w:numId w:val="34"/>
        </w:numPr>
        <w:rPr>
          <w:sz w:val="24"/>
          <w:szCs w:val="24"/>
        </w:rPr>
      </w:pPr>
      <w:r w:rsidRPr="00474C02">
        <w:rPr>
          <w:sz w:val="24"/>
          <w:szCs w:val="24"/>
        </w:rPr>
        <w:lastRenderedPageBreak/>
        <w:t>they have considered the risks of departure from the rule, including legal and work health and safety risks, and security and professional standards requirements;</w:t>
      </w:r>
    </w:p>
    <w:p w14:paraId="1AB31E8F" w14:textId="77777777" w:rsidR="00D56985" w:rsidRPr="00474C02" w:rsidRDefault="00D56985" w:rsidP="00D62B54">
      <w:pPr>
        <w:pStyle w:val="Definition"/>
        <w:numPr>
          <w:ilvl w:val="0"/>
          <w:numId w:val="34"/>
        </w:numPr>
        <w:rPr>
          <w:sz w:val="24"/>
          <w:szCs w:val="24"/>
        </w:rPr>
      </w:pPr>
      <w:r w:rsidRPr="00474C02">
        <w:rPr>
          <w:sz w:val="24"/>
          <w:szCs w:val="24"/>
        </w:rPr>
        <w:t>the AFP appointee has obtained advice from relevant AFP advisory areas (unless the circumstances are urgent);</w:t>
      </w:r>
    </w:p>
    <w:p w14:paraId="64A80C85" w14:textId="77777777" w:rsidR="00D56985" w:rsidRPr="00474C02" w:rsidRDefault="00D56985" w:rsidP="00D62B54">
      <w:pPr>
        <w:pStyle w:val="Definition"/>
        <w:numPr>
          <w:ilvl w:val="0"/>
          <w:numId w:val="34"/>
        </w:numPr>
        <w:rPr>
          <w:sz w:val="24"/>
          <w:szCs w:val="24"/>
        </w:rPr>
      </w:pPr>
      <w:r w:rsidRPr="00474C02">
        <w:rPr>
          <w:sz w:val="24"/>
          <w:szCs w:val="24"/>
        </w:rPr>
        <w:t>they have consulted with a supervisor prior to the departure where possible; and</w:t>
      </w:r>
    </w:p>
    <w:p w14:paraId="1DF5297A" w14:textId="77777777" w:rsidR="00D56985" w:rsidRPr="00474C02" w:rsidRDefault="00D56985" w:rsidP="00D62B54">
      <w:pPr>
        <w:pStyle w:val="Definition"/>
        <w:numPr>
          <w:ilvl w:val="0"/>
          <w:numId w:val="34"/>
        </w:numPr>
        <w:rPr>
          <w:sz w:val="24"/>
          <w:szCs w:val="24"/>
        </w:rPr>
      </w:pPr>
      <w:r w:rsidRPr="00474C02">
        <w:rPr>
          <w:sz w:val="24"/>
          <w:szCs w:val="24"/>
        </w:rPr>
        <w:t>the departure is reasonable and justified in the circumstances.</w:t>
      </w:r>
    </w:p>
    <w:p w14:paraId="1FBCCA1C" w14:textId="75021ECF" w:rsidR="00D56985" w:rsidRPr="00474C02" w:rsidRDefault="00D56985" w:rsidP="00D67E25">
      <w:pPr>
        <w:pStyle w:val="Definition"/>
        <w:ind w:left="0"/>
        <w:rPr>
          <w:sz w:val="24"/>
          <w:szCs w:val="24"/>
        </w:rPr>
      </w:pPr>
      <w:r w:rsidRPr="00474C02">
        <w:rPr>
          <w:sz w:val="24"/>
          <w:szCs w:val="24"/>
        </w:rPr>
        <w:t xml:space="preserve">A breach is considered to be serious where it is reckless or deliberate and/or where the breach may result in a breach of operational or national security, harm to an individual or </w:t>
      </w:r>
      <w:r w:rsidR="00986AA2">
        <w:rPr>
          <w:sz w:val="24"/>
          <w:szCs w:val="24"/>
        </w:rPr>
        <w:t>reputational damage to the AFP.</w:t>
      </w:r>
    </w:p>
    <w:p w14:paraId="028CC63F" w14:textId="5D4E61C1" w:rsidR="00243D00" w:rsidRPr="00474C02" w:rsidRDefault="00262A71" w:rsidP="0000191F">
      <w:pPr>
        <w:pStyle w:val="Definition"/>
        <w:ind w:left="0"/>
        <w:rPr>
          <w:sz w:val="24"/>
          <w:szCs w:val="24"/>
        </w:rPr>
      </w:pPr>
      <w:r w:rsidRPr="00474C02">
        <w:rPr>
          <w:sz w:val="24"/>
          <w:szCs w:val="24"/>
        </w:rPr>
        <w:t xml:space="preserve">The table in section 9 sets out the kind of conduct jointly determined by the Commissioner and the Commonwealth Ombudsman to be category 3 conduct. Column 1 sets out the kind of conduct that is category 3 conduct and column 2 contains non-exhaustive examples of that conduct. </w:t>
      </w:r>
      <w:r w:rsidR="0000191F" w:rsidRPr="00474C02">
        <w:rPr>
          <w:sz w:val="24"/>
          <w:szCs w:val="24"/>
        </w:rPr>
        <w:t xml:space="preserve">Category </w:t>
      </w:r>
      <w:r w:rsidR="000C6A5A" w:rsidRPr="00474C02">
        <w:rPr>
          <w:sz w:val="24"/>
          <w:szCs w:val="24"/>
        </w:rPr>
        <w:t>3</w:t>
      </w:r>
      <w:r w:rsidR="0000191F" w:rsidRPr="00474C02">
        <w:rPr>
          <w:sz w:val="24"/>
          <w:szCs w:val="24"/>
        </w:rPr>
        <w:t xml:space="preserve"> conduct covers a broad range of serious misconduct</w:t>
      </w:r>
      <w:r w:rsidRPr="00474C02">
        <w:rPr>
          <w:sz w:val="24"/>
          <w:szCs w:val="24"/>
        </w:rPr>
        <w:t xml:space="preserve">. </w:t>
      </w:r>
    </w:p>
    <w:p w14:paraId="457EC816" w14:textId="051C7E1B" w:rsidR="00262A71" w:rsidRPr="00474C02" w:rsidRDefault="00262A71" w:rsidP="00262A71">
      <w:pPr>
        <w:pStyle w:val="Definition"/>
        <w:ind w:left="0"/>
        <w:rPr>
          <w:sz w:val="24"/>
          <w:szCs w:val="24"/>
        </w:rPr>
      </w:pPr>
      <w:r w:rsidRPr="00474C02">
        <w:rPr>
          <w:sz w:val="24"/>
          <w:szCs w:val="24"/>
        </w:rPr>
        <w:t xml:space="preserve">Item 1 of the table provides that a </w:t>
      </w:r>
      <w:r w:rsidR="00243D00" w:rsidRPr="00474C02">
        <w:rPr>
          <w:sz w:val="24"/>
          <w:szCs w:val="24"/>
        </w:rPr>
        <w:t xml:space="preserve">serious breach of the law </w:t>
      </w:r>
      <w:r w:rsidRPr="00474C02">
        <w:rPr>
          <w:sz w:val="24"/>
          <w:szCs w:val="24"/>
        </w:rPr>
        <w:t>is category 3 conduct. This may include driving over the prescribed concentration of alcohol, being arrested, summonsed or charged in relation to an alleged criminal offence, victimisation contrary to section 40YA of the Act, giving false information in relation to an AFP conduct or practices issue contrary to section 40YB of the Act or any other breach of the Act.</w:t>
      </w:r>
    </w:p>
    <w:p w14:paraId="630E28C6" w14:textId="6AA4B628" w:rsidR="00262A71" w:rsidRPr="00474C02" w:rsidRDefault="00262A71" w:rsidP="00937B17">
      <w:pPr>
        <w:pStyle w:val="Definition"/>
        <w:ind w:left="0"/>
        <w:rPr>
          <w:sz w:val="24"/>
          <w:szCs w:val="24"/>
        </w:rPr>
      </w:pPr>
      <w:r w:rsidRPr="00474C02">
        <w:rPr>
          <w:sz w:val="24"/>
          <w:szCs w:val="24"/>
        </w:rPr>
        <w:t>Item</w:t>
      </w:r>
      <w:r w:rsidR="009167C7" w:rsidRPr="00474C02">
        <w:rPr>
          <w:sz w:val="24"/>
          <w:szCs w:val="24"/>
        </w:rPr>
        <w:t xml:space="preserve"> 2</w:t>
      </w:r>
      <w:r w:rsidRPr="00474C02">
        <w:rPr>
          <w:sz w:val="24"/>
          <w:szCs w:val="24"/>
        </w:rPr>
        <w:t xml:space="preserve"> of the table provides that s</w:t>
      </w:r>
      <w:r w:rsidR="00243D00" w:rsidRPr="00474C02">
        <w:rPr>
          <w:sz w:val="24"/>
          <w:szCs w:val="24"/>
        </w:rPr>
        <w:t>erious breaches of Commissioner’s Orders and instructions that results or could result in a breach of operational or national security, harm to an individual or AFP reputational damage</w:t>
      </w:r>
      <w:r w:rsidRPr="00474C02">
        <w:rPr>
          <w:sz w:val="24"/>
          <w:szCs w:val="24"/>
        </w:rPr>
        <w:t xml:space="preserve">, are category 3 type conduct. This may include failure to report misconduct that relates to the AFP appointee or another AFP appointee, serious breach of the Commissioner’s Financial Instructions (CFI) or the </w:t>
      </w:r>
      <w:r w:rsidRPr="00474C02">
        <w:rPr>
          <w:i/>
          <w:sz w:val="24"/>
          <w:szCs w:val="24"/>
        </w:rPr>
        <w:t>Public Governance, Performance and Accountability Act 2013</w:t>
      </w:r>
      <w:r w:rsidRPr="00474C02">
        <w:rPr>
          <w:sz w:val="24"/>
          <w:szCs w:val="24"/>
        </w:rPr>
        <w:t xml:space="preserve"> or unwarranted attention, in the course of, or in connection with, the AFP appointee’s duties, towards a person who is not an AFP appointee. </w:t>
      </w:r>
      <w:r w:rsidR="007D415C">
        <w:rPr>
          <w:sz w:val="24"/>
          <w:szCs w:val="24"/>
        </w:rPr>
        <w:t xml:space="preserve">An example of </w:t>
      </w:r>
      <w:r w:rsidR="007D415C" w:rsidRPr="00474C02">
        <w:rPr>
          <w:sz w:val="24"/>
          <w:szCs w:val="24"/>
        </w:rPr>
        <w:t>unwarranted attention</w:t>
      </w:r>
      <w:r w:rsidR="007D415C">
        <w:rPr>
          <w:sz w:val="24"/>
          <w:szCs w:val="24"/>
        </w:rPr>
        <w:t xml:space="preserve"> may include parking a marked </w:t>
      </w:r>
      <w:r w:rsidR="009D362E">
        <w:rPr>
          <w:sz w:val="24"/>
          <w:szCs w:val="24"/>
        </w:rPr>
        <w:t>p</w:t>
      </w:r>
      <w:r w:rsidR="007D415C">
        <w:rPr>
          <w:sz w:val="24"/>
          <w:szCs w:val="24"/>
        </w:rPr>
        <w:t xml:space="preserve">olice car outside an individual’s residence or place of business where there is no legitimate policing purpose to do so. </w:t>
      </w:r>
    </w:p>
    <w:p w14:paraId="27BB31D5" w14:textId="5CF325FF" w:rsidR="000F69B2" w:rsidRPr="00474C02" w:rsidRDefault="00262A71" w:rsidP="000F69B2">
      <w:pPr>
        <w:pStyle w:val="Definition"/>
        <w:ind w:left="0"/>
        <w:rPr>
          <w:sz w:val="24"/>
          <w:szCs w:val="24"/>
        </w:rPr>
      </w:pPr>
      <w:r w:rsidRPr="00474C02">
        <w:rPr>
          <w:sz w:val="24"/>
          <w:szCs w:val="24"/>
        </w:rPr>
        <w:t>Item 3 of the table provides that s</w:t>
      </w:r>
      <w:r w:rsidR="00352069" w:rsidRPr="00474C02">
        <w:rPr>
          <w:sz w:val="24"/>
          <w:szCs w:val="24"/>
        </w:rPr>
        <w:t xml:space="preserve">erious breaches of Commissioner’s Orders concerning use of a weapon </w:t>
      </w:r>
      <w:r w:rsidRPr="00474C02">
        <w:rPr>
          <w:sz w:val="24"/>
          <w:szCs w:val="24"/>
        </w:rPr>
        <w:t xml:space="preserve">are category 3 type conduct. </w:t>
      </w:r>
      <w:r w:rsidR="000F69B2" w:rsidRPr="00474C02">
        <w:rPr>
          <w:sz w:val="24"/>
          <w:szCs w:val="24"/>
        </w:rPr>
        <w:t>This may include unauthorised discharge of a firearm, use of force where non</w:t>
      </w:r>
      <w:r w:rsidR="000F69B2" w:rsidRPr="00474C02">
        <w:rPr>
          <w:sz w:val="24"/>
          <w:szCs w:val="24"/>
        </w:rPr>
        <w:noBreakHyphen/>
        <w:t>approved methods or accoutrements are used to affect the force applied, excessive use of force against a person or animal, threatening to use excessive force against a person, failure to secure ammunition or accoutrements, where the failure poses potential danger to the public or may damage the reputation of the AFP or  deliberately preventing the provision of adequate medical attention, or decontamination treatment, following use of chemical munitions.</w:t>
      </w:r>
    </w:p>
    <w:p w14:paraId="3C8C4D15" w14:textId="6D7BAA8D" w:rsidR="00B07AD6" w:rsidRPr="00474C02" w:rsidRDefault="000F69B2" w:rsidP="00B07AD6">
      <w:pPr>
        <w:pStyle w:val="Definition"/>
        <w:ind w:left="0"/>
        <w:rPr>
          <w:sz w:val="24"/>
          <w:szCs w:val="24"/>
        </w:rPr>
      </w:pPr>
      <w:r w:rsidRPr="00474C02">
        <w:rPr>
          <w:sz w:val="24"/>
          <w:szCs w:val="24"/>
        </w:rPr>
        <w:t>Item 4 of the table provides that s</w:t>
      </w:r>
      <w:r w:rsidR="00A3017C" w:rsidRPr="00474C02">
        <w:rPr>
          <w:sz w:val="24"/>
          <w:szCs w:val="24"/>
        </w:rPr>
        <w:t>erious breaches of the AFP Code of Conduct or AFP Core Values</w:t>
      </w:r>
      <w:r w:rsidRPr="00474C02">
        <w:rPr>
          <w:sz w:val="24"/>
          <w:szCs w:val="24"/>
        </w:rPr>
        <w:t xml:space="preserve"> are category 3 type conduct. </w:t>
      </w:r>
      <w:r w:rsidR="00B07AD6" w:rsidRPr="00474C02">
        <w:rPr>
          <w:sz w:val="24"/>
          <w:szCs w:val="24"/>
        </w:rPr>
        <w:t>This may include multiple failures to comply with the AFP Code of Conduct or failure to comply with the AFP Code of Conduct or the AFP Core Values while deployed overseas that may damage the reputation of Australia or the AFP.</w:t>
      </w:r>
    </w:p>
    <w:p w14:paraId="3966F83D" w14:textId="7784F206" w:rsidR="00B07AD6" w:rsidRPr="00474C02" w:rsidRDefault="00B07AD6" w:rsidP="00B07AD6">
      <w:pPr>
        <w:pStyle w:val="Definition"/>
        <w:ind w:left="0"/>
        <w:rPr>
          <w:sz w:val="24"/>
          <w:szCs w:val="24"/>
        </w:rPr>
      </w:pPr>
      <w:r w:rsidRPr="00474C02">
        <w:rPr>
          <w:sz w:val="24"/>
          <w:szCs w:val="24"/>
        </w:rPr>
        <w:t>Item 5 of the table provides that se</w:t>
      </w:r>
      <w:r w:rsidR="00A3017C" w:rsidRPr="00474C02">
        <w:rPr>
          <w:sz w:val="24"/>
          <w:szCs w:val="24"/>
        </w:rPr>
        <w:t>rious unauthorised</w:t>
      </w:r>
      <w:r w:rsidR="00910013" w:rsidRPr="00474C02">
        <w:rPr>
          <w:sz w:val="24"/>
          <w:szCs w:val="24"/>
        </w:rPr>
        <w:t xml:space="preserve"> </w:t>
      </w:r>
      <w:r w:rsidR="00A3017C" w:rsidRPr="00474C02">
        <w:rPr>
          <w:sz w:val="24"/>
          <w:szCs w:val="24"/>
        </w:rPr>
        <w:t xml:space="preserve">departure from AFP National Guidelines or Practical Guides </w:t>
      </w:r>
      <w:r w:rsidRPr="00474C02">
        <w:rPr>
          <w:sz w:val="24"/>
          <w:szCs w:val="24"/>
        </w:rPr>
        <w:t xml:space="preserve">is category 3 conduct. This may include failure to display red and blue flashing lights or to sound an alarm when priority driving or failure to take </w:t>
      </w:r>
      <w:r w:rsidRPr="00474C02">
        <w:rPr>
          <w:sz w:val="24"/>
          <w:szCs w:val="24"/>
        </w:rPr>
        <w:lastRenderedPageBreak/>
        <w:t>reasonable care, having regard to hazards, as set out in the National Guideline on Priority Driving.</w:t>
      </w:r>
    </w:p>
    <w:p w14:paraId="3A578381" w14:textId="3C5FCCE0" w:rsidR="00983B16" w:rsidRPr="00474C02" w:rsidRDefault="00B07AD6" w:rsidP="00983B16">
      <w:pPr>
        <w:pStyle w:val="Definition"/>
        <w:ind w:left="0"/>
        <w:rPr>
          <w:sz w:val="24"/>
          <w:szCs w:val="24"/>
        </w:rPr>
      </w:pPr>
      <w:r w:rsidRPr="00474C02">
        <w:rPr>
          <w:sz w:val="24"/>
          <w:szCs w:val="24"/>
        </w:rPr>
        <w:t xml:space="preserve">Item </w:t>
      </w:r>
      <w:r w:rsidR="009167C7" w:rsidRPr="00474C02">
        <w:rPr>
          <w:sz w:val="24"/>
          <w:szCs w:val="24"/>
        </w:rPr>
        <w:t>6</w:t>
      </w:r>
      <w:r w:rsidRPr="00474C02">
        <w:rPr>
          <w:sz w:val="24"/>
          <w:szCs w:val="24"/>
        </w:rPr>
        <w:t xml:space="preserve"> of the table provides that s</w:t>
      </w:r>
      <w:r w:rsidR="000F4A13" w:rsidRPr="00474C02">
        <w:rPr>
          <w:sz w:val="24"/>
          <w:szCs w:val="24"/>
        </w:rPr>
        <w:t xml:space="preserve">erious breaches of AFP </w:t>
      </w:r>
      <w:r w:rsidR="00F03BE4" w:rsidRPr="00474C02">
        <w:rPr>
          <w:sz w:val="24"/>
          <w:szCs w:val="24"/>
        </w:rPr>
        <w:t>g</w:t>
      </w:r>
      <w:r w:rsidR="000F4A13" w:rsidRPr="00474C02">
        <w:rPr>
          <w:sz w:val="24"/>
          <w:szCs w:val="24"/>
        </w:rPr>
        <w:t xml:space="preserve">overnance </w:t>
      </w:r>
      <w:r w:rsidR="00CE41AC" w:rsidRPr="00474C02">
        <w:rPr>
          <w:sz w:val="24"/>
          <w:szCs w:val="24"/>
        </w:rPr>
        <w:t>relating to actual, perceived or potential conflict of interest</w:t>
      </w:r>
      <w:r w:rsidRPr="00474C02">
        <w:rPr>
          <w:sz w:val="24"/>
          <w:szCs w:val="24"/>
        </w:rPr>
        <w:t xml:space="preserve">, are category 3 type conduct. </w:t>
      </w:r>
      <w:r w:rsidR="00C853B7" w:rsidRPr="00474C02">
        <w:rPr>
          <w:sz w:val="24"/>
          <w:szCs w:val="24"/>
        </w:rPr>
        <w:t>Any conflict of interest, which is not appropriately or adequately managed in line with AFP governance, constitutes serious misconduct and is category 3 conduct.</w:t>
      </w:r>
      <w:r w:rsidR="00983B16" w:rsidRPr="00474C02">
        <w:rPr>
          <w:sz w:val="24"/>
          <w:szCs w:val="24"/>
        </w:rPr>
        <w:t xml:space="preserve"> This may include continuing involvement in an investigation regarding a family member or inappropriate relationships with victims of crime or suspects which may involve a power imbalance between the individuals involved or otherwise give rise to an actual or perceived conflict of interest.</w:t>
      </w:r>
    </w:p>
    <w:p w14:paraId="490030AE" w14:textId="24C6A0F5" w:rsidR="00983B16" w:rsidRPr="00474C02" w:rsidRDefault="00983B16" w:rsidP="00983B16">
      <w:pPr>
        <w:pStyle w:val="Definition"/>
        <w:ind w:left="0"/>
        <w:rPr>
          <w:sz w:val="24"/>
          <w:szCs w:val="24"/>
        </w:rPr>
      </w:pPr>
      <w:r w:rsidRPr="00474C02">
        <w:rPr>
          <w:sz w:val="24"/>
          <w:szCs w:val="24"/>
        </w:rPr>
        <w:t>Item 7 of the table provides that f</w:t>
      </w:r>
      <w:r w:rsidR="005D109E" w:rsidRPr="00474C02">
        <w:rPr>
          <w:sz w:val="24"/>
          <w:szCs w:val="24"/>
        </w:rPr>
        <w:t>ailure to report a</w:t>
      </w:r>
      <w:r w:rsidR="00F95ACD" w:rsidRPr="00474C02">
        <w:rPr>
          <w:sz w:val="24"/>
          <w:szCs w:val="24"/>
        </w:rPr>
        <w:t>n</w:t>
      </w:r>
      <w:r w:rsidR="005D109E" w:rsidRPr="00474C02">
        <w:rPr>
          <w:sz w:val="24"/>
          <w:szCs w:val="24"/>
        </w:rPr>
        <w:t xml:space="preserve"> actual, perceived or potential conflict of interest </w:t>
      </w:r>
      <w:r w:rsidRPr="00474C02">
        <w:rPr>
          <w:sz w:val="24"/>
          <w:szCs w:val="24"/>
        </w:rPr>
        <w:t>is category 3 type conduct. This may include failure to report a personal interest in a procurement process.</w:t>
      </w:r>
    </w:p>
    <w:p w14:paraId="397B40CE" w14:textId="1CA1E172" w:rsidR="00E2752B" w:rsidRPr="00474C02" w:rsidRDefault="00474C02" w:rsidP="00983B16">
      <w:pPr>
        <w:pStyle w:val="Definition"/>
        <w:ind w:left="0"/>
        <w:rPr>
          <w:sz w:val="24"/>
          <w:szCs w:val="24"/>
        </w:rPr>
      </w:pPr>
      <w:r w:rsidRPr="00474C02">
        <w:rPr>
          <w:sz w:val="24"/>
          <w:szCs w:val="24"/>
        </w:rPr>
        <w:t xml:space="preserve">Discriminatory conduct, sexual harassment and workplace bullying or harassment, where the alleged victim wants the matter dealt with formally and the conduct is of such a serious nature as to require formal intervention, is category 3 conduct under the Determination. This is reflective of the AFP’s victim-centred approach to this type of conduct and ensures the needs of the alleged victim are addressed, while also indicating the seriousness of this type of conduct. It is important to note that category 3 captures conduct of this kind that is not criminal and that is directed towards other AFP appointees and/or members of the public. </w:t>
      </w:r>
      <w:r w:rsidR="00983B16" w:rsidRPr="00474C02">
        <w:rPr>
          <w:sz w:val="24"/>
          <w:szCs w:val="24"/>
        </w:rPr>
        <w:t xml:space="preserve">Item </w:t>
      </w:r>
      <w:r w:rsidR="009167C7" w:rsidRPr="00474C02">
        <w:rPr>
          <w:sz w:val="24"/>
          <w:szCs w:val="24"/>
        </w:rPr>
        <w:t>8</w:t>
      </w:r>
      <w:r w:rsidR="00983B16" w:rsidRPr="00474C02">
        <w:rPr>
          <w:sz w:val="24"/>
          <w:szCs w:val="24"/>
        </w:rPr>
        <w:t xml:space="preserve"> of the table provides that </w:t>
      </w:r>
      <w:r w:rsidR="009B615B" w:rsidRPr="00474C02">
        <w:rPr>
          <w:sz w:val="24"/>
          <w:szCs w:val="24"/>
        </w:rPr>
        <w:t>serious sexual harassment</w:t>
      </w:r>
      <w:r w:rsidRPr="00474C02">
        <w:rPr>
          <w:sz w:val="24"/>
          <w:szCs w:val="24"/>
        </w:rPr>
        <w:t xml:space="preserve"> of this type is a category 3 conduct under the Determination. Item 9 of the table provides that</w:t>
      </w:r>
      <w:r w:rsidR="009B615B" w:rsidRPr="00474C02">
        <w:rPr>
          <w:sz w:val="24"/>
          <w:szCs w:val="24"/>
        </w:rPr>
        <w:t xml:space="preserve"> </w:t>
      </w:r>
      <w:r w:rsidR="00634361" w:rsidRPr="00474C02">
        <w:rPr>
          <w:sz w:val="24"/>
          <w:szCs w:val="24"/>
        </w:rPr>
        <w:t>s</w:t>
      </w:r>
      <w:r w:rsidR="009B615B" w:rsidRPr="00474C02">
        <w:rPr>
          <w:sz w:val="24"/>
          <w:szCs w:val="24"/>
        </w:rPr>
        <w:t>erious discriminatory conduct (that is not sexual harassment) against another AFP appointee or member of the public</w:t>
      </w:r>
      <w:r w:rsidRPr="00474C02">
        <w:rPr>
          <w:sz w:val="24"/>
          <w:szCs w:val="24"/>
        </w:rPr>
        <w:t xml:space="preserve"> of this type is category 3 conduct.  Item 10 of the table provides that</w:t>
      </w:r>
      <w:r w:rsidR="00E2752B" w:rsidRPr="00474C02">
        <w:rPr>
          <w:sz w:val="24"/>
          <w:szCs w:val="24"/>
        </w:rPr>
        <w:t xml:space="preserve"> </w:t>
      </w:r>
      <w:r w:rsidR="009B615B" w:rsidRPr="00474C02">
        <w:rPr>
          <w:sz w:val="24"/>
          <w:szCs w:val="24"/>
        </w:rPr>
        <w:t>serious workplace bullying or harassment (that is not sexual harassment)</w:t>
      </w:r>
      <w:r w:rsidR="0080461A" w:rsidRPr="00474C02">
        <w:rPr>
          <w:sz w:val="24"/>
          <w:szCs w:val="24"/>
        </w:rPr>
        <w:t xml:space="preserve"> </w:t>
      </w:r>
      <w:r w:rsidRPr="00474C02">
        <w:rPr>
          <w:sz w:val="24"/>
          <w:szCs w:val="24"/>
        </w:rPr>
        <w:t xml:space="preserve">of this type is </w:t>
      </w:r>
      <w:r w:rsidR="00983B16" w:rsidRPr="00474C02">
        <w:rPr>
          <w:sz w:val="24"/>
          <w:szCs w:val="24"/>
        </w:rPr>
        <w:t xml:space="preserve">category 3 conduct. </w:t>
      </w:r>
    </w:p>
    <w:p w14:paraId="5DE82391" w14:textId="5E50B398" w:rsidR="00C853B7" w:rsidRPr="00474C02" w:rsidRDefault="009A25E2" w:rsidP="009A25E2">
      <w:pPr>
        <w:pStyle w:val="Definition"/>
        <w:ind w:left="0"/>
        <w:rPr>
          <w:sz w:val="24"/>
          <w:szCs w:val="24"/>
        </w:rPr>
      </w:pPr>
      <w:r w:rsidRPr="00474C02">
        <w:rPr>
          <w:sz w:val="24"/>
          <w:szCs w:val="24"/>
        </w:rPr>
        <w:t>Item 1</w:t>
      </w:r>
      <w:r w:rsidR="009167C7" w:rsidRPr="00474C02">
        <w:rPr>
          <w:sz w:val="24"/>
          <w:szCs w:val="24"/>
        </w:rPr>
        <w:t>1</w:t>
      </w:r>
      <w:r w:rsidRPr="00474C02">
        <w:rPr>
          <w:sz w:val="24"/>
          <w:szCs w:val="24"/>
        </w:rPr>
        <w:t xml:space="preserve"> of the table provides that d</w:t>
      </w:r>
      <w:r w:rsidR="00E2752B" w:rsidRPr="00474C02">
        <w:rPr>
          <w:sz w:val="24"/>
          <w:szCs w:val="24"/>
        </w:rPr>
        <w:t xml:space="preserve">omestic and family violence </w:t>
      </w:r>
      <w:r w:rsidRPr="00474C02">
        <w:rPr>
          <w:sz w:val="24"/>
          <w:szCs w:val="24"/>
        </w:rPr>
        <w:t>are category 3 type conduct. U</w:t>
      </w:r>
      <w:r w:rsidR="00C853B7" w:rsidRPr="00474C02">
        <w:rPr>
          <w:sz w:val="24"/>
          <w:szCs w:val="24"/>
        </w:rPr>
        <w:t>nder the AFP Code of Conduct, AFP appointees are expected to maintain the highest level of professional standards both in their official and private capacities. To reflect this, the Determination makes clear that any allegation of domestic and family violence is a category 3 matter, whether or not there has been a criminal conviction.</w:t>
      </w:r>
    </w:p>
    <w:p w14:paraId="66F2E5E3" w14:textId="726F5654" w:rsidR="009A25E2" w:rsidRPr="00474C02" w:rsidRDefault="009A25E2" w:rsidP="009A25E2">
      <w:pPr>
        <w:pStyle w:val="Definition"/>
        <w:ind w:left="0"/>
        <w:rPr>
          <w:sz w:val="24"/>
          <w:szCs w:val="24"/>
        </w:rPr>
      </w:pPr>
      <w:r w:rsidRPr="00474C02">
        <w:rPr>
          <w:sz w:val="24"/>
          <w:szCs w:val="24"/>
        </w:rPr>
        <w:t>Item 1</w:t>
      </w:r>
      <w:r w:rsidR="009167C7" w:rsidRPr="00474C02">
        <w:rPr>
          <w:sz w:val="24"/>
          <w:szCs w:val="24"/>
        </w:rPr>
        <w:t>2</w:t>
      </w:r>
      <w:r w:rsidRPr="00474C02">
        <w:rPr>
          <w:sz w:val="24"/>
          <w:szCs w:val="24"/>
        </w:rPr>
        <w:t xml:space="preserve"> of the table provides that </w:t>
      </w:r>
      <w:r w:rsidR="00E2752B" w:rsidRPr="00474C02">
        <w:rPr>
          <w:sz w:val="24"/>
          <w:szCs w:val="24"/>
        </w:rPr>
        <w:t xml:space="preserve">accessing pornographic images </w:t>
      </w:r>
      <w:r w:rsidRPr="00474C02">
        <w:rPr>
          <w:sz w:val="24"/>
          <w:szCs w:val="24"/>
        </w:rPr>
        <w:t xml:space="preserve">is category 3 type conduct. This may include viewing or disseminating pornographic images at work or while undertaking official duties or storing or accessing pornographic images, on an AFP device, that are not related to official duties. </w:t>
      </w:r>
    </w:p>
    <w:p w14:paraId="48CE8C20" w14:textId="62618B27" w:rsidR="00C853B7" w:rsidRPr="00474C02" w:rsidRDefault="004C3473" w:rsidP="004C3473">
      <w:pPr>
        <w:pStyle w:val="Definition"/>
        <w:ind w:left="0"/>
        <w:rPr>
          <w:sz w:val="24"/>
          <w:szCs w:val="24"/>
        </w:rPr>
      </w:pPr>
      <w:r w:rsidRPr="00474C02">
        <w:rPr>
          <w:sz w:val="24"/>
          <w:szCs w:val="24"/>
        </w:rPr>
        <w:t>Item 1</w:t>
      </w:r>
      <w:r w:rsidR="009167C7" w:rsidRPr="00474C02">
        <w:rPr>
          <w:sz w:val="24"/>
          <w:szCs w:val="24"/>
        </w:rPr>
        <w:t>3</w:t>
      </w:r>
      <w:r w:rsidRPr="00474C02">
        <w:rPr>
          <w:sz w:val="24"/>
          <w:szCs w:val="24"/>
        </w:rPr>
        <w:t xml:space="preserve"> of the table provides that m</w:t>
      </w:r>
      <w:r w:rsidR="00E2752B" w:rsidRPr="00474C02">
        <w:rPr>
          <w:sz w:val="24"/>
          <w:szCs w:val="24"/>
        </w:rPr>
        <w:t xml:space="preserve">isusing or mishandling prescribed information </w:t>
      </w:r>
      <w:r w:rsidRPr="00474C02">
        <w:rPr>
          <w:sz w:val="24"/>
          <w:szCs w:val="24"/>
        </w:rPr>
        <w:t xml:space="preserve">is category 3 type conduct. </w:t>
      </w:r>
      <w:r w:rsidR="00C853B7" w:rsidRPr="00474C02">
        <w:rPr>
          <w:sz w:val="24"/>
          <w:szCs w:val="24"/>
        </w:rPr>
        <w:t>Any access, use or disclosure of prescribed information, where it is not accidental or unintentional, is category 3</w:t>
      </w:r>
      <w:r w:rsidR="00474C02" w:rsidRPr="00474C02">
        <w:rPr>
          <w:sz w:val="24"/>
          <w:szCs w:val="24"/>
        </w:rPr>
        <w:t xml:space="preserve"> </w:t>
      </w:r>
      <w:r w:rsidR="00C853B7" w:rsidRPr="00474C02">
        <w:rPr>
          <w:sz w:val="24"/>
          <w:szCs w:val="24"/>
        </w:rPr>
        <w:t>conduct. This item also encompasses failures to protect prescribed information, denoting the sensitivity of the information held by the AFP.</w:t>
      </w:r>
    </w:p>
    <w:p w14:paraId="60D1FF70" w14:textId="75ACFB61" w:rsidR="00C853B7" w:rsidRPr="00474C02" w:rsidRDefault="004C3473" w:rsidP="004C3473">
      <w:pPr>
        <w:pStyle w:val="Definition"/>
        <w:ind w:left="0"/>
        <w:rPr>
          <w:sz w:val="24"/>
          <w:szCs w:val="24"/>
        </w:rPr>
      </w:pPr>
      <w:r w:rsidRPr="00474C02">
        <w:rPr>
          <w:sz w:val="24"/>
          <w:szCs w:val="24"/>
        </w:rPr>
        <w:t>Item</w:t>
      </w:r>
      <w:r w:rsidR="00474C02" w:rsidRPr="00474C02">
        <w:rPr>
          <w:sz w:val="24"/>
          <w:szCs w:val="24"/>
        </w:rPr>
        <w:t>s</w:t>
      </w:r>
      <w:r w:rsidRPr="00474C02">
        <w:rPr>
          <w:sz w:val="24"/>
          <w:szCs w:val="24"/>
        </w:rPr>
        <w:t xml:space="preserve"> 1</w:t>
      </w:r>
      <w:r w:rsidR="009167C7" w:rsidRPr="00474C02">
        <w:rPr>
          <w:sz w:val="24"/>
          <w:szCs w:val="24"/>
        </w:rPr>
        <w:t>4</w:t>
      </w:r>
      <w:r w:rsidR="00474C02" w:rsidRPr="00474C02">
        <w:rPr>
          <w:sz w:val="24"/>
          <w:szCs w:val="24"/>
        </w:rPr>
        <w:t xml:space="preserve"> and 15</w:t>
      </w:r>
      <w:r w:rsidRPr="00474C02">
        <w:rPr>
          <w:sz w:val="24"/>
          <w:szCs w:val="24"/>
        </w:rPr>
        <w:t xml:space="preserve"> of the table provides that m</w:t>
      </w:r>
      <w:r w:rsidR="00E2752B" w:rsidRPr="00474C02">
        <w:rPr>
          <w:sz w:val="24"/>
          <w:szCs w:val="24"/>
        </w:rPr>
        <w:t xml:space="preserve">isconduct relating to intoxication </w:t>
      </w:r>
      <w:r w:rsidR="00C853B7" w:rsidRPr="00474C02">
        <w:rPr>
          <w:sz w:val="24"/>
          <w:szCs w:val="24"/>
        </w:rPr>
        <w:t xml:space="preserve">and </w:t>
      </w:r>
      <w:r w:rsidR="00E2752B" w:rsidRPr="00474C02">
        <w:rPr>
          <w:sz w:val="24"/>
          <w:szCs w:val="24"/>
        </w:rPr>
        <w:t xml:space="preserve">drug misconduct </w:t>
      </w:r>
      <w:r w:rsidRPr="00474C02">
        <w:rPr>
          <w:sz w:val="24"/>
          <w:szCs w:val="24"/>
        </w:rPr>
        <w:t xml:space="preserve">are both category 3 type conduct. </w:t>
      </w:r>
      <w:r w:rsidR="00C853B7" w:rsidRPr="00474C02">
        <w:rPr>
          <w:sz w:val="24"/>
          <w:szCs w:val="24"/>
        </w:rPr>
        <w:t>Misconduct relating to intoxication, and drug misconduct, are category 3 matters and encompass misconduct on and off duty. It is important to note that drug misconduct includes where an AFP appointee is</w:t>
      </w:r>
      <w:r w:rsidR="00C769E1" w:rsidRPr="00474C02">
        <w:rPr>
          <w:sz w:val="24"/>
          <w:szCs w:val="24"/>
        </w:rPr>
        <w:t xml:space="preserve"> assigned duties</w:t>
      </w:r>
      <w:r w:rsidR="00C853B7" w:rsidRPr="00474C02">
        <w:rPr>
          <w:sz w:val="24"/>
          <w:szCs w:val="24"/>
        </w:rPr>
        <w:t xml:space="preserve"> overseas and engages in drug activities that may be legal overseas, but would constitute a breach of law in Australia. This is in line with the AFP Code of Conduct, which makes clear that an AFP appointee is required to comply with all Australian laws.</w:t>
      </w:r>
      <w:r w:rsidR="009B3F1D" w:rsidRPr="00474C02">
        <w:rPr>
          <w:sz w:val="24"/>
          <w:szCs w:val="24"/>
        </w:rPr>
        <w:t xml:space="preserve"> The National Guideline on prohibited drugs, pharmaceutical products and alcohol sets out what substances are </w:t>
      </w:r>
      <w:r w:rsidR="009B3F1D" w:rsidRPr="00474C02">
        <w:rPr>
          <w:sz w:val="24"/>
          <w:szCs w:val="24"/>
        </w:rPr>
        <w:lastRenderedPageBreak/>
        <w:t xml:space="preserve">‘prohibited’ and also makes clear that an AFP appointee is required to comply with all Australian laws while in Australia and when assigned duties overseas. </w:t>
      </w:r>
    </w:p>
    <w:p w14:paraId="051FD379" w14:textId="7A5BCAC7" w:rsidR="00C853B7" w:rsidRPr="00474C02" w:rsidRDefault="004C3473" w:rsidP="00937B17">
      <w:pPr>
        <w:pStyle w:val="Definition"/>
        <w:ind w:left="0"/>
        <w:rPr>
          <w:sz w:val="24"/>
          <w:szCs w:val="24"/>
        </w:rPr>
      </w:pPr>
      <w:r w:rsidRPr="00474C02">
        <w:rPr>
          <w:sz w:val="24"/>
          <w:szCs w:val="24"/>
        </w:rPr>
        <w:t>Item 1</w:t>
      </w:r>
      <w:r w:rsidR="009167C7" w:rsidRPr="00474C02">
        <w:rPr>
          <w:sz w:val="24"/>
          <w:szCs w:val="24"/>
        </w:rPr>
        <w:t>6</w:t>
      </w:r>
      <w:r w:rsidRPr="00474C02">
        <w:rPr>
          <w:sz w:val="24"/>
          <w:szCs w:val="24"/>
        </w:rPr>
        <w:t xml:space="preserve"> of the table provides that </w:t>
      </w:r>
      <w:r w:rsidR="00E2752B" w:rsidRPr="00474C02">
        <w:rPr>
          <w:sz w:val="24"/>
          <w:szCs w:val="24"/>
        </w:rPr>
        <w:t xml:space="preserve">serious traffic misconduct </w:t>
      </w:r>
      <w:r w:rsidRPr="00474C02">
        <w:rPr>
          <w:sz w:val="24"/>
          <w:szCs w:val="24"/>
        </w:rPr>
        <w:t>is category 3 conduct. U</w:t>
      </w:r>
      <w:r w:rsidR="00C853B7" w:rsidRPr="00474C02">
        <w:rPr>
          <w:sz w:val="24"/>
          <w:szCs w:val="24"/>
        </w:rPr>
        <w:t>nder the AFP Code of Conduct, AFP appointees are expected to maintain the highest level of professional standards both in their official and private capacities. As such, any serious traffic misconduct that may result in criminal charges, constitutes a serious breach of traffic legislation, or damage to the reputation of the AFP is considered to be category 3 conduct under the Determination.</w:t>
      </w:r>
    </w:p>
    <w:p w14:paraId="0A0F7112" w14:textId="44614945" w:rsidR="008C6F3F" w:rsidRPr="00474C02" w:rsidRDefault="00F81EDF" w:rsidP="00F81EDF">
      <w:pPr>
        <w:spacing w:before="240"/>
        <w:rPr>
          <w:u w:val="single"/>
        </w:rPr>
      </w:pPr>
      <w:r w:rsidRPr="00474C02">
        <w:rPr>
          <w:u w:val="single"/>
        </w:rPr>
        <w:t>Part 3 – Application and transitional provision</w:t>
      </w:r>
      <w:r w:rsidR="008C6F3F" w:rsidRPr="00474C02">
        <w:rPr>
          <w:u w:val="single"/>
        </w:rPr>
        <w:t>s</w:t>
      </w:r>
    </w:p>
    <w:p w14:paraId="3CBE89A1" w14:textId="65C70303" w:rsidR="00F9160B" w:rsidRPr="00474C02" w:rsidRDefault="008C6F3F" w:rsidP="00F81EDF">
      <w:pPr>
        <w:pStyle w:val="Definition"/>
        <w:ind w:left="0"/>
        <w:rPr>
          <w:sz w:val="24"/>
          <w:szCs w:val="24"/>
          <w:u w:val="single"/>
        </w:rPr>
      </w:pPr>
      <w:r w:rsidRPr="00474C02">
        <w:rPr>
          <w:sz w:val="24"/>
          <w:szCs w:val="24"/>
          <w:u w:val="single"/>
        </w:rPr>
        <w:t xml:space="preserve">Section </w:t>
      </w:r>
      <w:r w:rsidR="00F81EDF" w:rsidRPr="00474C02">
        <w:rPr>
          <w:sz w:val="24"/>
          <w:szCs w:val="24"/>
          <w:u w:val="single"/>
        </w:rPr>
        <w:t xml:space="preserve">10 – Transitional provision—repeal of the </w:t>
      </w:r>
      <w:r w:rsidR="00F81EDF" w:rsidRPr="00474C02">
        <w:rPr>
          <w:i/>
          <w:iCs/>
          <w:sz w:val="24"/>
          <w:szCs w:val="24"/>
          <w:u w:val="single"/>
        </w:rPr>
        <w:t>Australian Federal Police Categories of Conduct Determination 2013</w:t>
      </w:r>
    </w:p>
    <w:p w14:paraId="74B2B0F0" w14:textId="5A96FFD8" w:rsidR="001B09CB" w:rsidRPr="00474C02" w:rsidRDefault="00F81EDF" w:rsidP="006E6343">
      <w:pPr>
        <w:pStyle w:val="Definition"/>
        <w:ind w:left="0"/>
        <w:rPr>
          <w:sz w:val="24"/>
          <w:szCs w:val="24"/>
        </w:rPr>
      </w:pPr>
      <w:r w:rsidRPr="00474C02">
        <w:rPr>
          <w:sz w:val="24"/>
          <w:szCs w:val="24"/>
        </w:rPr>
        <w:t xml:space="preserve">Section 10 provides that, despite the repeal of the </w:t>
      </w:r>
      <w:r w:rsidRPr="00474C02">
        <w:rPr>
          <w:i/>
          <w:iCs/>
          <w:sz w:val="24"/>
          <w:szCs w:val="24"/>
        </w:rPr>
        <w:t>Australian Federal Police Categories of Conduct Determination 2013</w:t>
      </w:r>
      <w:r w:rsidRPr="00474C02">
        <w:rPr>
          <w:sz w:val="24"/>
          <w:szCs w:val="24"/>
        </w:rPr>
        <w:t xml:space="preserve"> (the old determination) by Schedule 1, the old determination as in force before the commencement of this instrument (the commencement time) continues to apply, on and after the commencement time, in relation to conduct engaged in before the commencement time.</w:t>
      </w:r>
    </w:p>
    <w:p w14:paraId="1C4A5EF9" w14:textId="1ACE2A20" w:rsidR="00D77179" w:rsidRPr="00474C02" w:rsidRDefault="008C6F3F" w:rsidP="00A44281">
      <w:pPr>
        <w:spacing w:before="240"/>
        <w:rPr>
          <w:u w:val="single"/>
        </w:rPr>
      </w:pPr>
      <w:r w:rsidRPr="00474C02">
        <w:rPr>
          <w:u w:val="single"/>
        </w:rPr>
        <w:t>Schedule 1</w:t>
      </w:r>
      <w:r w:rsidR="002F1ACB" w:rsidRPr="00474C02">
        <w:rPr>
          <w:u w:val="single"/>
        </w:rPr>
        <w:t xml:space="preserve"> –</w:t>
      </w:r>
      <w:r w:rsidRPr="00474C02">
        <w:rPr>
          <w:u w:val="single"/>
        </w:rPr>
        <w:t xml:space="preserve"> </w:t>
      </w:r>
      <w:r w:rsidR="006D6EB2" w:rsidRPr="00474C02">
        <w:rPr>
          <w:u w:val="single"/>
        </w:rPr>
        <w:t>Repeals</w:t>
      </w:r>
    </w:p>
    <w:p w14:paraId="622EA807" w14:textId="526DCA3B" w:rsidR="002F1ACB" w:rsidRPr="00474C02" w:rsidRDefault="008C6F3F" w:rsidP="00A44281">
      <w:pPr>
        <w:spacing w:before="240"/>
        <w:rPr>
          <w:u w:val="single"/>
        </w:rPr>
      </w:pPr>
      <w:r w:rsidRPr="00474C02">
        <w:rPr>
          <w:u w:val="single"/>
        </w:rPr>
        <w:t>Item 1</w:t>
      </w:r>
    </w:p>
    <w:p w14:paraId="6C2A310C" w14:textId="26306E8F" w:rsidR="00AC0D18" w:rsidRPr="00474C02" w:rsidRDefault="008C6F3F" w:rsidP="00466DD5">
      <w:pPr>
        <w:spacing w:before="240" w:after="200"/>
        <w:rPr>
          <w:color w:val="FF0000"/>
        </w:rPr>
      </w:pPr>
      <w:r w:rsidRPr="00474C02">
        <w:rPr>
          <w:szCs w:val="24"/>
        </w:rPr>
        <w:t>This item repeals the</w:t>
      </w:r>
      <w:r w:rsidR="00F21004">
        <w:rPr>
          <w:szCs w:val="24"/>
        </w:rPr>
        <w:t xml:space="preserve"> </w:t>
      </w:r>
      <w:r w:rsidR="00F21004">
        <w:rPr>
          <w:i/>
          <w:szCs w:val="24"/>
        </w:rPr>
        <w:t xml:space="preserve">Australian Federal Police Categories of Conduct Determination 2013. </w:t>
      </w:r>
      <w:bookmarkStart w:id="0" w:name="_GoBack"/>
      <w:bookmarkEnd w:id="0"/>
    </w:p>
    <w:p w14:paraId="29A89B36" w14:textId="77777777" w:rsidR="00AC0D18" w:rsidRPr="00474C02" w:rsidRDefault="00AC0D18" w:rsidP="00466DD5">
      <w:pPr>
        <w:spacing w:before="240" w:after="200"/>
        <w:rPr>
          <w:color w:val="FF0000"/>
        </w:rPr>
      </w:pPr>
    </w:p>
    <w:p w14:paraId="61146866" w14:textId="744709DD" w:rsidR="0097348B" w:rsidRPr="00474C02" w:rsidRDefault="00111BDE" w:rsidP="0097348B">
      <w:pPr>
        <w:pageBreakBefore/>
        <w:spacing w:before="240"/>
        <w:jc w:val="right"/>
        <w:rPr>
          <w:b/>
          <w:u w:val="single"/>
        </w:rPr>
      </w:pPr>
      <w:r>
        <w:rPr>
          <w:b/>
          <w:u w:val="single"/>
        </w:rPr>
        <w:lastRenderedPageBreak/>
        <w:t>A</w:t>
      </w:r>
      <w:r w:rsidR="0097348B" w:rsidRPr="00474C02">
        <w:rPr>
          <w:b/>
          <w:u w:val="single"/>
        </w:rPr>
        <w:t xml:space="preserve">TTACHMENT </w:t>
      </w:r>
      <w:r>
        <w:rPr>
          <w:b/>
          <w:u w:val="single"/>
        </w:rPr>
        <w:t>B</w:t>
      </w:r>
    </w:p>
    <w:p w14:paraId="66F609C3" w14:textId="77777777" w:rsidR="0097348B" w:rsidRPr="00474C02" w:rsidRDefault="0097348B" w:rsidP="0097348B">
      <w:pPr>
        <w:pStyle w:val="Heading3"/>
        <w:jc w:val="center"/>
      </w:pPr>
      <w:r w:rsidRPr="00474C02">
        <w:t>Statement of Compatibility with Human Rights</w:t>
      </w:r>
    </w:p>
    <w:p w14:paraId="07E16F96" w14:textId="77777777" w:rsidR="0097348B" w:rsidRPr="00474C02" w:rsidRDefault="0097348B" w:rsidP="0097348B">
      <w:pPr>
        <w:spacing w:before="240"/>
        <w:jc w:val="center"/>
        <w:rPr>
          <w:i/>
        </w:rPr>
      </w:pPr>
      <w:r w:rsidRPr="00474C02">
        <w:rPr>
          <w:i/>
        </w:rPr>
        <w:t>Prepared in accordance with Part 3 of the Human Rights (Parliamentary Scrutiny) Act 2011</w:t>
      </w:r>
    </w:p>
    <w:p w14:paraId="6E8276A0" w14:textId="77777777" w:rsidR="0097348B" w:rsidRPr="00474C02" w:rsidRDefault="0097348B" w:rsidP="0097348B">
      <w:pPr>
        <w:pStyle w:val="Heading3"/>
        <w:jc w:val="center"/>
      </w:pPr>
      <w:r w:rsidRPr="00474C02">
        <w:t>Australian Federal Police (Categories of Conduct) Determination 2023</w:t>
      </w:r>
    </w:p>
    <w:p w14:paraId="4F837102" w14:textId="5458660D" w:rsidR="000E5964" w:rsidRPr="00474C02" w:rsidRDefault="000E5964" w:rsidP="004A545E">
      <w:pPr>
        <w:spacing w:before="240"/>
        <w:rPr>
          <w:szCs w:val="24"/>
        </w:rPr>
      </w:pPr>
      <w:r w:rsidRPr="00474C02">
        <w:rPr>
          <w:szCs w:val="24"/>
        </w:rPr>
        <w:t xml:space="preserve">This </w:t>
      </w:r>
      <w:r w:rsidR="00710D45" w:rsidRPr="00474C02">
        <w:rPr>
          <w:szCs w:val="24"/>
        </w:rPr>
        <w:t xml:space="preserve">Determination </w:t>
      </w:r>
      <w:r w:rsidRPr="00474C02">
        <w:rPr>
          <w:szCs w:val="24"/>
        </w:rPr>
        <w:t xml:space="preserve">is compatible with the human rights and freedoms recognised or declared in the international instruments listed in section 3 of the </w:t>
      </w:r>
      <w:r w:rsidRPr="00474C02">
        <w:rPr>
          <w:i/>
          <w:szCs w:val="24"/>
        </w:rPr>
        <w:t>Human Rights (Parliamentary Scrutiny) Act 2011</w:t>
      </w:r>
      <w:r w:rsidRPr="00474C02">
        <w:rPr>
          <w:szCs w:val="24"/>
        </w:rPr>
        <w:t>.</w:t>
      </w:r>
    </w:p>
    <w:p w14:paraId="009348ED" w14:textId="77777777" w:rsidR="000E5964" w:rsidRPr="00474C02" w:rsidRDefault="000E5964" w:rsidP="004A545E">
      <w:pPr>
        <w:pStyle w:val="Heading3"/>
        <w:rPr>
          <w:szCs w:val="24"/>
        </w:rPr>
      </w:pPr>
      <w:r w:rsidRPr="00474C02">
        <w:rPr>
          <w:szCs w:val="24"/>
        </w:rPr>
        <w:t xml:space="preserve">Overview of the </w:t>
      </w:r>
      <w:r w:rsidRPr="00474C02">
        <w:t xml:space="preserve">Disallowable </w:t>
      </w:r>
      <w:r w:rsidRPr="00474C02">
        <w:rPr>
          <w:szCs w:val="24"/>
        </w:rPr>
        <w:t>Legislative Instrument</w:t>
      </w:r>
    </w:p>
    <w:p w14:paraId="2D614E7E" w14:textId="77777777" w:rsidR="000E5964" w:rsidRPr="00474C02" w:rsidRDefault="000E5964" w:rsidP="00A44281">
      <w:pPr>
        <w:shd w:val="clear" w:color="auto" w:fill="FFFFFF"/>
        <w:spacing w:before="240"/>
        <w:rPr>
          <w:szCs w:val="24"/>
        </w:rPr>
      </w:pPr>
      <w:r w:rsidRPr="00474C02">
        <w:rPr>
          <w:szCs w:val="24"/>
        </w:rPr>
        <w:t xml:space="preserve">The </w:t>
      </w:r>
      <w:r w:rsidRPr="00474C02">
        <w:rPr>
          <w:i/>
          <w:szCs w:val="24"/>
        </w:rPr>
        <w:t>Australian Federal Police (Categories of Conduct) Determination 2023</w:t>
      </w:r>
      <w:r w:rsidRPr="00474C02">
        <w:rPr>
          <w:szCs w:val="24"/>
        </w:rPr>
        <w:t xml:space="preserve"> replaces the </w:t>
      </w:r>
      <w:r w:rsidRPr="00474C02">
        <w:rPr>
          <w:i/>
          <w:szCs w:val="24"/>
        </w:rPr>
        <w:t>Australian Federal Police (Categories of Conduct) Determination 2013</w:t>
      </w:r>
      <w:r w:rsidRPr="00474C02">
        <w:rPr>
          <w:szCs w:val="24"/>
        </w:rPr>
        <w:t>.</w:t>
      </w:r>
    </w:p>
    <w:p w14:paraId="51CEDAB9" w14:textId="1C8AB779" w:rsidR="000E5964" w:rsidRPr="00474C02" w:rsidRDefault="000E5964" w:rsidP="00A44281">
      <w:pPr>
        <w:shd w:val="clear" w:color="auto" w:fill="FFFFFF"/>
        <w:spacing w:before="240"/>
        <w:rPr>
          <w:color w:val="000000"/>
          <w:szCs w:val="24"/>
        </w:rPr>
      </w:pPr>
      <w:r w:rsidRPr="00474C02">
        <w:rPr>
          <w:szCs w:val="24"/>
        </w:rPr>
        <w:t xml:space="preserve">Subsection 40RM(1) of the </w:t>
      </w:r>
      <w:r w:rsidRPr="00474C02">
        <w:rPr>
          <w:i/>
          <w:iCs/>
          <w:szCs w:val="24"/>
        </w:rPr>
        <w:t>Australian Federal Police Act 1979</w:t>
      </w:r>
      <w:r w:rsidRPr="00474C02">
        <w:rPr>
          <w:szCs w:val="24"/>
        </w:rPr>
        <w:t xml:space="preserve"> (the Act) provides that the Australian Federal Police (AFP) Commissioner and the Commonwealth Ombudsman may jointly determine, by legislative instrument, </w:t>
      </w:r>
      <w:r w:rsidRPr="00474C02">
        <w:rPr>
          <w:color w:val="000000"/>
          <w:szCs w:val="24"/>
          <w:shd w:val="clear" w:color="auto" w:fill="FFFFFF"/>
        </w:rPr>
        <w:t>the kind of conduct considered to constitute category 1, 2 or 3 conduct for the purposes of the Act.</w:t>
      </w:r>
    </w:p>
    <w:p w14:paraId="27E366B4" w14:textId="77777777" w:rsidR="00B03B42" w:rsidRPr="00474C02" w:rsidRDefault="00B03B42" w:rsidP="004A545E">
      <w:pPr>
        <w:spacing w:before="240"/>
      </w:pPr>
      <w:r w:rsidRPr="00474C02">
        <w:t>The category into which conduct falls determines how it will be dealt with by the AFP and the Office of the Commonwealth Ombudsman. Categorisation is for the purpose of investigation and oversight. When a complaint is first considered it is categorised based on its characterisation when it comes to the attention of the AFP. If, during the course of or following an investigation, it becomes apparent that the conduct is of a more (or less) serious nature it can be escalated (or lowered) to the appropriate category as necessary.</w:t>
      </w:r>
    </w:p>
    <w:p w14:paraId="162028C3" w14:textId="77777777" w:rsidR="000E5964" w:rsidRPr="00474C02" w:rsidRDefault="000E5964" w:rsidP="004A545E">
      <w:pPr>
        <w:pStyle w:val="Heading3"/>
        <w:rPr>
          <w:szCs w:val="24"/>
        </w:rPr>
      </w:pPr>
      <w:r w:rsidRPr="00474C02">
        <w:rPr>
          <w:szCs w:val="24"/>
        </w:rPr>
        <w:t xml:space="preserve">Human rights implications </w:t>
      </w:r>
    </w:p>
    <w:p w14:paraId="6AC8749D" w14:textId="3BB0F342" w:rsidR="000E5964" w:rsidRPr="00474C02" w:rsidRDefault="000E5964" w:rsidP="004A545E">
      <w:pPr>
        <w:spacing w:before="240"/>
        <w:rPr>
          <w:szCs w:val="24"/>
        </w:rPr>
      </w:pPr>
      <w:r w:rsidRPr="00474C02">
        <w:rPr>
          <w:szCs w:val="24"/>
        </w:rPr>
        <w:t xml:space="preserve">This </w:t>
      </w:r>
      <w:r w:rsidR="00710D45" w:rsidRPr="00474C02">
        <w:rPr>
          <w:szCs w:val="24"/>
        </w:rPr>
        <w:t xml:space="preserve">Determination </w:t>
      </w:r>
      <w:r w:rsidRPr="00474C02">
        <w:rPr>
          <w:szCs w:val="24"/>
        </w:rPr>
        <w:t xml:space="preserve">engages the following rights related to </w:t>
      </w:r>
      <w:r w:rsidRPr="00474C02">
        <w:rPr>
          <w:color w:val="000000"/>
          <w:szCs w:val="24"/>
        </w:rPr>
        <w:t>safe and healthy, and just and favourable, working conditions</w:t>
      </w:r>
      <w:r w:rsidRPr="00474C02">
        <w:rPr>
          <w:szCs w:val="24"/>
        </w:rPr>
        <w:t>:</w:t>
      </w:r>
    </w:p>
    <w:p w14:paraId="272E9895" w14:textId="2C5CDCCB" w:rsidR="000E5964" w:rsidRPr="00474C02" w:rsidRDefault="000E5964" w:rsidP="00A44281">
      <w:pPr>
        <w:pStyle w:val="ListParagraph"/>
        <w:numPr>
          <w:ilvl w:val="0"/>
          <w:numId w:val="22"/>
        </w:numPr>
        <w:spacing w:before="240"/>
        <w:contextualSpacing w:val="0"/>
        <w:rPr>
          <w:szCs w:val="24"/>
        </w:rPr>
      </w:pPr>
      <w:r w:rsidRPr="00474C02">
        <w:rPr>
          <w:szCs w:val="24"/>
        </w:rPr>
        <w:t xml:space="preserve">The right to safe and healthy working conditions in Article 7 of the </w:t>
      </w:r>
      <w:r w:rsidRPr="00474C02">
        <w:rPr>
          <w:i/>
          <w:iCs/>
          <w:szCs w:val="24"/>
        </w:rPr>
        <w:t>International Covenant on Economic, Social and Cultural Rights</w:t>
      </w:r>
      <w:r w:rsidRPr="00474C02">
        <w:rPr>
          <w:szCs w:val="24"/>
        </w:rPr>
        <w:t>.</w:t>
      </w:r>
    </w:p>
    <w:p w14:paraId="41A0552F" w14:textId="3F576637" w:rsidR="000E5964" w:rsidRPr="00474C02" w:rsidRDefault="000E5964" w:rsidP="00A44281">
      <w:pPr>
        <w:pStyle w:val="ListParagraph"/>
        <w:numPr>
          <w:ilvl w:val="0"/>
          <w:numId w:val="22"/>
        </w:numPr>
        <w:spacing w:before="240"/>
        <w:contextualSpacing w:val="0"/>
        <w:rPr>
          <w:szCs w:val="24"/>
        </w:rPr>
      </w:pPr>
      <w:r w:rsidRPr="00474C02">
        <w:rPr>
          <w:szCs w:val="24"/>
        </w:rPr>
        <w:t>The right to protection of health and to safety in working conditions in Article</w:t>
      </w:r>
      <w:r w:rsidR="00220305" w:rsidRPr="00474C02">
        <w:rPr>
          <w:szCs w:val="24"/>
        </w:rPr>
        <w:t> </w:t>
      </w:r>
      <w:r w:rsidRPr="00474C02">
        <w:rPr>
          <w:szCs w:val="24"/>
        </w:rPr>
        <w:t xml:space="preserve">11(1)(f) of the </w:t>
      </w:r>
      <w:r w:rsidRPr="00474C02">
        <w:rPr>
          <w:i/>
          <w:iCs/>
          <w:szCs w:val="24"/>
        </w:rPr>
        <w:t>Convention on the Elimination of All Forms of Discrimination Against Women</w:t>
      </w:r>
      <w:r w:rsidRPr="00474C02">
        <w:rPr>
          <w:szCs w:val="24"/>
        </w:rPr>
        <w:t>.</w:t>
      </w:r>
    </w:p>
    <w:p w14:paraId="3EF0C9BC" w14:textId="0DC49BE6" w:rsidR="000E5964" w:rsidRPr="00474C02" w:rsidRDefault="000E5964" w:rsidP="00A44281">
      <w:pPr>
        <w:pStyle w:val="ListParagraph"/>
        <w:numPr>
          <w:ilvl w:val="0"/>
          <w:numId w:val="22"/>
        </w:numPr>
        <w:spacing w:before="240"/>
        <w:contextualSpacing w:val="0"/>
        <w:rPr>
          <w:szCs w:val="24"/>
        </w:rPr>
      </w:pPr>
      <w:r w:rsidRPr="00474C02">
        <w:rPr>
          <w:szCs w:val="24"/>
        </w:rPr>
        <w:t xml:space="preserve">The right to just and favourable conditions of work in Article 5(d)(i) of the </w:t>
      </w:r>
      <w:r w:rsidRPr="00474C02">
        <w:rPr>
          <w:i/>
          <w:iCs/>
          <w:color w:val="000000"/>
          <w:szCs w:val="24"/>
        </w:rPr>
        <w:t>International Convention on the Elimination of all Forms of Racial Discrimination</w:t>
      </w:r>
      <w:r w:rsidRPr="00474C02">
        <w:rPr>
          <w:color w:val="000000"/>
          <w:szCs w:val="24"/>
        </w:rPr>
        <w:t>.</w:t>
      </w:r>
    </w:p>
    <w:p w14:paraId="2FE914AF" w14:textId="0E70F0E3" w:rsidR="000E5964" w:rsidRPr="00474C02" w:rsidRDefault="000E5964" w:rsidP="00A44281">
      <w:pPr>
        <w:shd w:val="clear" w:color="auto" w:fill="FFFFFF"/>
        <w:spacing w:before="240"/>
        <w:rPr>
          <w:color w:val="000000"/>
          <w:szCs w:val="24"/>
        </w:rPr>
      </w:pPr>
      <w:bookmarkStart w:id="1" w:name="_Hlk141265657"/>
      <w:r w:rsidRPr="00474C02">
        <w:rPr>
          <w:color w:val="000000"/>
          <w:szCs w:val="24"/>
        </w:rPr>
        <w:t xml:space="preserve">This </w:t>
      </w:r>
      <w:r w:rsidR="00710D45" w:rsidRPr="00474C02">
        <w:rPr>
          <w:color w:val="000000"/>
          <w:szCs w:val="24"/>
        </w:rPr>
        <w:t xml:space="preserve">Determination </w:t>
      </w:r>
      <w:r w:rsidRPr="00474C02">
        <w:rPr>
          <w:color w:val="000000"/>
          <w:szCs w:val="24"/>
        </w:rPr>
        <w:t>promotes these specific human rights by making it clear that sexual harassment, discriminatory conduct, or workplace bullying and harassment of an AFP appointee by another AFP appointee constitutes conduct required to be appropriately addressed under the AFP’s professional standards framework.</w:t>
      </w:r>
    </w:p>
    <w:bookmarkEnd w:id="1"/>
    <w:p w14:paraId="6238D6F0" w14:textId="411D45BF" w:rsidR="000E5964" w:rsidRPr="00474C02" w:rsidRDefault="000E5964" w:rsidP="00A44281">
      <w:pPr>
        <w:shd w:val="clear" w:color="auto" w:fill="FFFFFF"/>
        <w:spacing w:before="240"/>
        <w:rPr>
          <w:color w:val="000000"/>
          <w:szCs w:val="24"/>
        </w:rPr>
      </w:pPr>
      <w:r w:rsidRPr="00474C02">
        <w:rPr>
          <w:color w:val="000000"/>
          <w:szCs w:val="24"/>
        </w:rPr>
        <w:t xml:space="preserve">This </w:t>
      </w:r>
      <w:r w:rsidR="00710D45" w:rsidRPr="00474C02">
        <w:rPr>
          <w:color w:val="000000"/>
          <w:szCs w:val="24"/>
        </w:rPr>
        <w:t xml:space="preserve">Determination </w:t>
      </w:r>
      <w:r w:rsidRPr="00474C02">
        <w:rPr>
          <w:color w:val="000000"/>
          <w:szCs w:val="24"/>
        </w:rPr>
        <w:t>also engages the following human rights related to racial and gender discrimination:</w:t>
      </w:r>
    </w:p>
    <w:p w14:paraId="399A9FA9" w14:textId="77777777" w:rsidR="000E5964" w:rsidRPr="00474C02" w:rsidRDefault="000E5964" w:rsidP="00A44281">
      <w:pPr>
        <w:pStyle w:val="ListParagraph"/>
        <w:numPr>
          <w:ilvl w:val="0"/>
          <w:numId w:val="23"/>
        </w:numPr>
        <w:shd w:val="clear" w:color="auto" w:fill="FFFFFF"/>
        <w:spacing w:before="240" w:line="276" w:lineRule="auto"/>
        <w:contextualSpacing w:val="0"/>
        <w:rPr>
          <w:color w:val="000000"/>
          <w:szCs w:val="24"/>
        </w:rPr>
      </w:pPr>
      <w:r w:rsidRPr="00474C02">
        <w:rPr>
          <w:color w:val="000000"/>
          <w:szCs w:val="24"/>
        </w:rPr>
        <w:lastRenderedPageBreak/>
        <w:t xml:space="preserve">That States Parties shall not permit public authorities to incite or promote racial discrimination in article 4(c) of the </w:t>
      </w:r>
      <w:r w:rsidRPr="00474C02">
        <w:rPr>
          <w:i/>
          <w:iCs/>
          <w:color w:val="000000"/>
          <w:szCs w:val="24"/>
        </w:rPr>
        <w:t>International Convention on the Elimination of All forms of Racial Discrimination</w:t>
      </w:r>
      <w:r w:rsidRPr="00474C02">
        <w:rPr>
          <w:color w:val="000000"/>
          <w:szCs w:val="24"/>
        </w:rPr>
        <w:t>.</w:t>
      </w:r>
    </w:p>
    <w:p w14:paraId="7BEBF480" w14:textId="77777777" w:rsidR="000E5964" w:rsidRPr="00474C02" w:rsidRDefault="000E5964" w:rsidP="00A44281">
      <w:pPr>
        <w:pStyle w:val="ListParagraph"/>
        <w:numPr>
          <w:ilvl w:val="0"/>
          <w:numId w:val="23"/>
        </w:numPr>
        <w:shd w:val="clear" w:color="auto" w:fill="FFFFFF"/>
        <w:spacing w:before="240" w:line="276" w:lineRule="auto"/>
        <w:contextualSpacing w:val="0"/>
        <w:rPr>
          <w:color w:val="000000"/>
          <w:szCs w:val="24"/>
        </w:rPr>
      </w:pPr>
      <w:r w:rsidRPr="00474C02">
        <w:rPr>
          <w:color w:val="000000"/>
          <w:szCs w:val="24"/>
        </w:rPr>
        <w:t xml:space="preserve">That States Parties shall ensure public authorities refrain from engaging in any act of the practice of discrimination against women in article 2(d) of the </w:t>
      </w:r>
      <w:r w:rsidRPr="00474C02">
        <w:rPr>
          <w:i/>
          <w:iCs/>
          <w:color w:val="000000"/>
          <w:szCs w:val="24"/>
        </w:rPr>
        <w:t>Convention on the Elimination of All Forms of Discrimination Against Women</w:t>
      </w:r>
      <w:r w:rsidRPr="00474C02">
        <w:rPr>
          <w:color w:val="000000"/>
          <w:szCs w:val="24"/>
        </w:rPr>
        <w:t>.</w:t>
      </w:r>
    </w:p>
    <w:p w14:paraId="48E20BD3" w14:textId="6DD98B6B" w:rsidR="000E5964" w:rsidRPr="00474C02" w:rsidRDefault="000E5964" w:rsidP="00A44281">
      <w:pPr>
        <w:shd w:val="clear" w:color="auto" w:fill="FFFFFF"/>
        <w:spacing w:before="240"/>
        <w:rPr>
          <w:color w:val="000000"/>
          <w:szCs w:val="24"/>
        </w:rPr>
      </w:pPr>
      <w:r w:rsidRPr="00474C02">
        <w:rPr>
          <w:color w:val="000000"/>
          <w:szCs w:val="24"/>
        </w:rPr>
        <w:t xml:space="preserve">This Disallowable Legislative Instrument promotes these specific human rights by making it clear that discriminatory conduct </w:t>
      </w:r>
      <w:r w:rsidR="00B03B42" w:rsidRPr="00474C02">
        <w:rPr>
          <w:color w:val="000000"/>
          <w:szCs w:val="24"/>
        </w:rPr>
        <w:t xml:space="preserve">by an AFP appointee </w:t>
      </w:r>
      <w:r w:rsidR="00AD7A20" w:rsidRPr="00474C02">
        <w:rPr>
          <w:color w:val="000000"/>
          <w:szCs w:val="24"/>
        </w:rPr>
        <w:t>to</w:t>
      </w:r>
      <w:r w:rsidRPr="00474C02">
        <w:rPr>
          <w:color w:val="000000"/>
          <w:szCs w:val="24"/>
        </w:rPr>
        <w:t xml:space="preserve"> a member of the public constitutes conduct required to be appropriately addressed under the AFP’s professional standards framework. </w:t>
      </w:r>
    </w:p>
    <w:p w14:paraId="6731F19B" w14:textId="77777777" w:rsidR="000E5964" w:rsidRPr="00474C02" w:rsidRDefault="000E5964" w:rsidP="00A44281">
      <w:pPr>
        <w:shd w:val="clear" w:color="auto" w:fill="FFFFFF"/>
        <w:spacing w:before="240"/>
        <w:rPr>
          <w:color w:val="000000"/>
          <w:szCs w:val="24"/>
        </w:rPr>
      </w:pPr>
      <w:r w:rsidRPr="00474C02">
        <w:rPr>
          <w:color w:val="000000"/>
          <w:szCs w:val="24"/>
        </w:rPr>
        <w:t>Clarifying that sexual harassment, discriminatory conduct, or workplace bullying and harassment by AFP appointees are relevant conduct under the Act promotes awareness that this behaviour can be reported and addressed through appropriate remedies including training and development, remedial action, formal investigation or termination.</w:t>
      </w:r>
    </w:p>
    <w:p w14:paraId="0C5129DB" w14:textId="77777777" w:rsidR="000E5964" w:rsidRPr="00474C02" w:rsidRDefault="000E5964" w:rsidP="004A545E">
      <w:pPr>
        <w:pStyle w:val="Heading3"/>
        <w:rPr>
          <w:szCs w:val="24"/>
        </w:rPr>
      </w:pPr>
      <w:r w:rsidRPr="00474C02">
        <w:rPr>
          <w:szCs w:val="24"/>
        </w:rPr>
        <w:t xml:space="preserve">Conclusion </w:t>
      </w:r>
    </w:p>
    <w:p w14:paraId="02DAE1DD" w14:textId="11CBA793" w:rsidR="000E5964" w:rsidRDefault="000E5964" w:rsidP="00A44281">
      <w:pPr>
        <w:spacing w:before="240"/>
        <w:rPr>
          <w:rFonts w:eastAsia="Calibri"/>
          <w:color w:val="0070C0"/>
          <w:szCs w:val="24"/>
        </w:rPr>
      </w:pPr>
      <w:r w:rsidRPr="00474C02">
        <w:rPr>
          <w:szCs w:val="24"/>
        </w:rPr>
        <w:t xml:space="preserve">The </w:t>
      </w:r>
      <w:r w:rsidR="00710D45" w:rsidRPr="00474C02">
        <w:rPr>
          <w:szCs w:val="24"/>
        </w:rPr>
        <w:t xml:space="preserve">Determination </w:t>
      </w:r>
      <w:r w:rsidRPr="00474C02">
        <w:rPr>
          <w:szCs w:val="24"/>
        </w:rPr>
        <w:t>is compatible with human rights because it promotes the protection of human rights.</w:t>
      </w:r>
    </w:p>
    <w:p w14:paraId="1FD17123" w14:textId="570AAC5E" w:rsidR="00E37FF7" w:rsidRPr="00C84FA0" w:rsidRDefault="00E37FF7" w:rsidP="000E5964">
      <w:pPr>
        <w:spacing w:before="240"/>
      </w:pPr>
    </w:p>
    <w:sectPr w:rsidR="00E37FF7" w:rsidRPr="00C84FA0" w:rsidSect="00111BD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5E40" w16cex:dateUtc="2023-09-04T21:58:00Z"/>
  <w16cex:commentExtensible w16cex:durableId="28A15EE5" w16cex:dateUtc="2023-09-04T2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FC6277" w16cid:durableId="28A15E40"/>
  <w16cid:commentId w16cid:paraId="6FAE7997" w16cid:durableId="28A15E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453EB" w14:textId="77777777" w:rsidR="00583ABB" w:rsidRDefault="00583ABB" w:rsidP="00954679">
      <w:pPr>
        <w:spacing w:before="0" w:after="0"/>
      </w:pPr>
      <w:r>
        <w:separator/>
      </w:r>
    </w:p>
  </w:endnote>
  <w:endnote w:type="continuationSeparator" w:id="0">
    <w:p w14:paraId="2FD2CB1E" w14:textId="77777777" w:rsidR="00583ABB" w:rsidRDefault="00583ABB"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7DE51" w14:textId="77777777" w:rsidR="002717D6" w:rsidRDefault="00271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F85515D" w14:textId="47855DFC"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F21004">
              <w:rPr>
                <w:bCs/>
                <w:noProof/>
              </w:rPr>
              <w:t>8</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F21004">
              <w:rPr>
                <w:bCs/>
                <w:noProof/>
              </w:rPr>
              <w:t>10</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7215" w14:textId="77777777" w:rsidR="002717D6" w:rsidRDefault="00271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25BB9" w14:textId="77777777" w:rsidR="00583ABB" w:rsidRDefault="00583ABB" w:rsidP="00954679">
      <w:pPr>
        <w:spacing w:before="0" w:after="0"/>
      </w:pPr>
      <w:r>
        <w:separator/>
      </w:r>
    </w:p>
  </w:footnote>
  <w:footnote w:type="continuationSeparator" w:id="0">
    <w:p w14:paraId="2412C4C4" w14:textId="77777777" w:rsidR="00583ABB" w:rsidRDefault="00583ABB" w:rsidP="00954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9F6D9" w14:textId="77777777" w:rsidR="002717D6" w:rsidRDefault="00271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550A" w14:textId="77777777" w:rsidR="002717D6" w:rsidRDefault="002717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259B" w14:textId="77777777" w:rsidR="002717D6" w:rsidRDefault="00271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A4B57"/>
    <w:multiLevelType w:val="hybridMultilevel"/>
    <w:tmpl w:val="E6D2A684"/>
    <w:lvl w:ilvl="0" w:tplc="EFAC4928">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192260"/>
    <w:multiLevelType w:val="hybridMultilevel"/>
    <w:tmpl w:val="02E439E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CA05EBF"/>
    <w:multiLevelType w:val="hybridMultilevel"/>
    <w:tmpl w:val="2400588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CA64FA"/>
    <w:multiLevelType w:val="multilevel"/>
    <w:tmpl w:val="E7A0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8" w15:restartNumberingAfterBreak="0">
    <w:nsid w:val="3AE65948"/>
    <w:multiLevelType w:val="multilevel"/>
    <w:tmpl w:val="7242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2F7C39"/>
    <w:multiLevelType w:val="hybridMultilevel"/>
    <w:tmpl w:val="BAA61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7A6028"/>
    <w:multiLevelType w:val="multilevel"/>
    <w:tmpl w:val="5EFC6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251949"/>
    <w:multiLevelType w:val="hybridMultilevel"/>
    <w:tmpl w:val="5568E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59259D"/>
    <w:multiLevelType w:val="hybridMultilevel"/>
    <w:tmpl w:val="9E06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4" w15:restartNumberingAfterBreak="0">
    <w:nsid w:val="64A00AB0"/>
    <w:multiLevelType w:val="hybridMultilevel"/>
    <w:tmpl w:val="627ECF9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5"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E22690C"/>
    <w:multiLevelType w:val="multilevel"/>
    <w:tmpl w:val="636C8F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CDC647A"/>
    <w:multiLevelType w:val="hybridMultilevel"/>
    <w:tmpl w:val="EE98E4A0"/>
    <w:lvl w:ilvl="0" w:tplc="0C090003">
      <w:start w:val="1"/>
      <w:numFmt w:val="bullet"/>
      <w:lvlText w:val="o"/>
      <w:lvlJc w:val="left"/>
      <w:pPr>
        <w:ind w:left="1507" w:hanging="360"/>
      </w:pPr>
      <w:rPr>
        <w:rFonts w:ascii="Courier New" w:hAnsi="Courier New" w:cs="Courier New" w:hint="default"/>
      </w:rPr>
    </w:lvl>
    <w:lvl w:ilvl="1" w:tplc="0C090003" w:tentative="1">
      <w:start w:val="1"/>
      <w:numFmt w:val="bullet"/>
      <w:lvlText w:val="o"/>
      <w:lvlJc w:val="left"/>
      <w:pPr>
        <w:ind w:left="2227" w:hanging="360"/>
      </w:pPr>
      <w:rPr>
        <w:rFonts w:ascii="Courier New" w:hAnsi="Courier New" w:cs="Courier New" w:hint="default"/>
      </w:rPr>
    </w:lvl>
    <w:lvl w:ilvl="2" w:tplc="0C090005" w:tentative="1">
      <w:start w:val="1"/>
      <w:numFmt w:val="bullet"/>
      <w:lvlText w:val=""/>
      <w:lvlJc w:val="left"/>
      <w:pPr>
        <w:ind w:left="2947" w:hanging="360"/>
      </w:pPr>
      <w:rPr>
        <w:rFonts w:ascii="Wingdings" w:hAnsi="Wingdings" w:hint="default"/>
      </w:rPr>
    </w:lvl>
    <w:lvl w:ilvl="3" w:tplc="0C090001" w:tentative="1">
      <w:start w:val="1"/>
      <w:numFmt w:val="bullet"/>
      <w:lvlText w:val=""/>
      <w:lvlJc w:val="left"/>
      <w:pPr>
        <w:ind w:left="3667" w:hanging="360"/>
      </w:pPr>
      <w:rPr>
        <w:rFonts w:ascii="Symbol" w:hAnsi="Symbol" w:hint="default"/>
      </w:rPr>
    </w:lvl>
    <w:lvl w:ilvl="4" w:tplc="0C090003" w:tentative="1">
      <w:start w:val="1"/>
      <w:numFmt w:val="bullet"/>
      <w:lvlText w:val="o"/>
      <w:lvlJc w:val="left"/>
      <w:pPr>
        <w:ind w:left="4387" w:hanging="360"/>
      </w:pPr>
      <w:rPr>
        <w:rFonts w:ascii="Courier New" w:hAnsi="Courier New" w:cs="Courier New" w:hint="default"/>
      </w:rPr>
    </w:lvl>
    <w:lvl w:ilvl="5" w:tplc="0C090005" w:tentative="1">
      <w:start w:val="1"/>
      <w:numFmt w:val="bullet"/>
      <w:lvlText w:val=""/>
      <w:lvlJc w:val="left"/>
      <w:pPr>
        <w:ind w:left="5107" w:hanging="360"/>
      </w:pPr>
      <w:rPr>
        <w:rFonts w:ascii="Wingdings" w:hAnsi="Wingdings" w:hint="default"/>
      </w:rPr>
    </w:lvl>
    <w:lvl w:ilvl="6" w:tplc="0C090001" w:tentative="1">
      <w:start w:val="1"/>
      <w:numFmt w:val="bullet"/>
      <w:lvlText w:val=""/>
      <w:lvlJc w:val="left"/>
      <w:pPr>
        <w:ind w:left="5827" w:hanging="360"/>
      </w:pPr>
      <w:rPr>
        <w:rFonts w:ascii="Symbol" w:hAnsi="Symbol" w:hint="default"/>
      </w:rPr>
    </w:lvl>
    <w:lvl w:ilvl="7" w:tplc="0C090003" w:tentative="1">
      <w:start w:val="1"/>
      <w:numFmt w:val="bullet"/>
      <w:lvlText w:val="o"/>
      <w:lvlJc w:val="left"/>
      <w:pPr>
        <w:ind w:left="6547" w:hanging="360"/>
      </w:pPr>
      <w:rPr>
        <w:rFonts w:ascii="Courier New" w:hAnsi="Courier New" w:cs="Courier New" w:hint="default"/>
      </w:rPr>
    </w:lvl>
    <w:lvl w:ilvl="8" w:tplc="0C090005" w:tentative="1">
      <w:start w:val="1"/>
      <w:numFmt w:val="bullet"/>
      <w:lvlText w:val=""/>
      <w:lvlJc w:val="left"/>
      <w:pPr>
        <w:ind w:left="7267" w:hanging="360"/>
      </w:pPr>
      <w:rPr>
        <w:rFonts w:ascii="Wingdings" w:hAnsi="Wingdings" w:hint="default"/>
      </w:rPr>
    </w:lvl>
  </w:abstractNum>
  <w:num w:numId="1">
    <w:abstractNumId w:val="7"/>
  </w:num>
  <w:num w:numId="2">
    <w:abstractNumId w:val="15"/>
  </w:num>
  <w:num w:numId="3">
    <w:abstractNumId w:val="5"/>
  </w:num>
  <w:num w:numId="4">
    <w:abstractNumId w:val="0"/>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
  </w:num>
  <w:num w:numId="18">
    <w:abstractNumId w:val="4"/>
  </w:num>
  <w:num w:numId="19">
    <w:abstractNumId w:val="10"/>
  </w:num>
  <w:num w:numId="20">
    <w:abstractNumId w:val="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1"/>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3"/>
  </w:num>
  <w:num w:numId="30">
    <w:abstractNumId w:val="14"/>
  </w:num>
  <w:num w:numId="31">
    <w:abstractNumId w:val="2"/>
  </w:num>
  <w:num w:numId="32">
    <w:abstractNumId w:val="17"/>
  </w:num>
  <w:num w:numId="33">
    <w:abstractNumId w:val="12"/>
  </w:num>
  <w:num w:numId="34">
    <w:abstractNumId w:val="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3B"/>
    <w:rsid w:val="0000191F"/>
    <w:rsid w:val="00001C36"/>
    <w:rsid w:val="000026BE"/>
    <w:rsid w:val="00003189"/>
    <w:rsid w:val="00005B51"/>
    <w:rsid w:val="0000628C"/>
    <w:rsid w:val="00013390"/>
    <w:rsid w:val="00016EA2"/>
    <w:rsid w:val="00017D40"/>
    <w:rsid w:val="0002546A"/>
    <w:rsid w:val="00031AE1"/>
    <w:rsid w:val="00041C87"/>
    <w:rsid w:val="00042098"/>
    <w:rsid w:val="000455BA"/>
    <w:rsid w:val="00051648"/>
    <w:rsid w:val="000524A9"/>
    <w:rsid w:val="0005316A"/>
    <w:rsid w:val="000547DB"/>
    <w:rsid w:val="000556B4"/>
    <w:rsid w:val="0005799D"/>
    <w:rsid w:val="00060FEE"/>
    <w:rsid w:val="00067090"/>
    <w:rsid w:val="00075A77"/>
    <w:rsid w:val="00076178"/>
    <w:rsid w:val="00076E15"/>
    <w:rsid w:val="00076FF9"/>
    <w:rsid w:val="00080673"/>
    <w:rsid w:val="000854E0"/>
    <w:rsid w:val="0008741E"/>
    <w:rsid w:val="00092623"/>
    <w:rsid w:val="00092B53"/>
    <w:rsid w:val="00095211"/>
    <w:rsid w:val="000A69C5"/>
    <w:rsid w:val="000A7C53"/>
    <w:rsid w:val="000B39A1"/>
    <w:rsid w:val="000C10DF"/>
    <w:rsid w:val="000C2E12"/>
    <w:rsid w:val="000C391A"/>
    <w:rsid w:val="000C3ECC"/>
    <w:rsid w:val="000C4B61"/>
    <w:rsid w:val="000C5C40"/>
    <w:rsid w:val="000C6935"/>
    <w:rsid w:val="000C6A5A"/>
    <w:rsid w:val="000D11E5"/>
    <w:rsid w:val="000D16B4"/>
    <w:rsid w:val="000D2234"/>
    <w:rsid w:val="000D5827"/>
    <w:rsid w:val="000D59B4"/>
    <w:rsid w:val="000E32E3"/>
    <w:rsid w:val="000E5964"/>
    <w:rsid w:val="000F1F12"/>
    <w:rsid w:val="000F3A05"/>
    <w:rsid w:val="000F4A13"/>
    <w:rsid w:val="000F53D9"/>
    <w:rsid w:val="000F69B2"/>
    <w:rsid w:val="000F7B95"/>
    <w:rsid w:val="001004B8"/>
    <w:rsid w:val="001012C2"/>
    <w:rsid w:val="00111BDE"/>
    <w:rsid w:val="00113B45"/>
    <w:rsid w:val="00114003"/>
    <w:rsid w:val="0011527C"/>
    <w:rsid w:val="0011627D"/>
    <w:rsid w:val="00117C02"/>
    <w:rsid w:val="001276B4"/>
    <w:rsid w:val="001319C8"/>
    <w:rsid w:val="001331B7"/>
    <w:rsid w:val="00133D7A"/>
    <w:rsid w:val="0013618A"/>
    <w:rsid w:val="00142BCF"/>
    <w:rsid w:val="001459AD"/>
    <w:rsid w:val="0014608E"/>
    <w:rsid w:val="0016523C"/>
    <w:rsid w:val="0017064C"/>
    <w:rsid w:val="00172B5A"/>
    <w:rsid w:val="00187857"/>
    <w:rsid w:val="00193747"/>
    <w:rsid w:val="00195A29"/>
    <w:rsid w:val="00197F39"/>
    <w:rsid w:val="001B0974"/>
    <w:rsid w:val="001B09CB"/>
    <w:rsid w:val="001B4919"/>
    <w:rsid w:val="001B7535"/>
    <w:rsid w:val="001B7EC2"/>
    <w:rsid w:val="001C0477"/>
    <w:rsid w:val="001D65C4"/>
    <w:rsid w:val="001E6A74"/>
    <w:rsid w:val="001F3519"/>
    <w:rsid w:val="001F41D0"/>
    <w:rsid w:val="001F462C"/>
    <w:rsid w:val="001F5B3C"/>
    <w:rsid w:val="00220305"/>
    <w:rsid w:val="00220F16"/>
    <w:rsid w:val="00221082"/>
    <w:rsid w:val="00230D59"/>
    <w:rsid w:val="00231837"/>
    <w:rsid w:val="002349A0"/>
    <w:rsid w:val="00240D31"/>
    <w:rsid w:val="0024245F"/>
    <w:rsid w:val="00243D00"/>
    <w:rsid w:val="00254C5B"/>
    <w:rsid w:val="00262A71"/>
    <w:rsid w:val="0027118E"/>
    <w:rsid w:val="002717D6"/>
    <w:rsid w:val="002725F4"/>
    <w:rsid w:val="002771E5"/>
    <w:rsid w:val="00277840"/>
    <w:rsid w:val="00287C5A"/>
    <w:rsid w:val="002900F2"/>
    <w:rsid w:val="0029304D"/>
    <w:rsid w:val="00293839"/>
    <w:rsid w:val="00293B65"/>
    <w:rsid w:val="002A1236"/>
    <w:rsid w:val="002A3C80"/>
    <w:rsid w:val="002A6DA4"/>
    <w:rsid w:val="002A7B74"/>
    <w:rsid w:val="002A7E1F"/>
    <w:rsid w:val="002C0792"/>
    <w:rsid w:val="002C0853"/>
    <w:rsid w:val="002C0A5A"/>
    <w:rsid w:val="002C226C"/>
    <w:rsid w:val="002C3EE2"/>
    <w:rsid w:val="002C7A8B"/>
    <w:rsid w:val="002D4B55"/>
    <w:rsid w:val="002D4EA1"/>
    <w:rsid w:val="002D52E7"/>
    <w:rsid w:val="002E011F"/>
    <w:rsid w:val="002E6967"/>
    <w:rsid w:val="002E73BB"/>
    <w:rsid w:val="002F022D"/>
    <w:rsid w:val="002F1ACB"/>
    <w:rsid w:val="002F6BB1"/>
    <w:rsid w:val="00302B21"/>
    <w:rsid w:val="003037F8"/>
    <w:rsid w:val="003041FA"/>
    <w:rsid w:val="00312A68"/>
    <w:rsid w:val="003164B7"/>
    <w:rsid w:val="00321AE6"/>
    <w:rsid w:val="003342CD"/>
    <w:rsid w:val="0033477F"/>
    <w:rsid w:val="00335042"/>
    <w:rsid w:val="00341642"/>
    <w:rsid w:val="00350FC1"/>
    <w:rsid w:val="0035161F"/>
    <w:rsid w:val="00352069"/>
    <w:rsid w:val="00355872"/>
    <w:rsid w:val="00357733"/>
    <w:rsid w:val="00360C0A"/>
    <w:rsid w:val="00362B70"/>
    <w:rsid w:val="0036473B"/>
    <w:rsid w:val="00364DEE"/>
    <w:rsid w:val="00367C9A"/>
    <w:rsid w:val="00370395"/>
    <w:rsid w:val="0037180D"/>
    <w:rsid w:val="00371ABB"/>
    <w:rsid w:val="00373853"/>
    <w:rsid w:val="003878DA"/>
    <w:rsid w:val="00392BBA"/>
    <w:rsid w:val="00392C0C"/>
    <w:rsid w:val="00392C3B"/>
    <w:rsid w:val="0039327B"/>
    <w:rsid w:val="003933CE"/>
    <w:rsid w:val="003954FD"/>
    <w:rsid w:val="003B19DD"/>
    <w:rsid w:val="003B31F4"/>
    <w:rsid w:val="003B4356"/>
    <w:rsid w:val="003C325D"/>
    <w:rsid w:val="003C445C"/>
    <w:rsid w:val="003C486E"/>
    <w:rsid w:val="003C5719"/>
    <w:rsid w:val="003C7907"/>
    <w:rsid w:val="003C7B82"/>
    <w:rsid w:val="003D0B99"/>
    <w:rsid w:val="003D392B"/>
    <w:rsid w:val="003D60D7"/>
    <w:rsid w:val="003E0411"/>
    <w:rsid w:val="003E1C8F"/>
    <w:rsid w:val="003E1CE3"/>
    <w:rsid w:val="003E2403"/>
    <w:rsid w:val="003E77BC"/>
    <w:rsid w:val="003F17A4"/>
    <w:rsid w:val="003F3B86"/>
    <w:rsid w:val="004000AE"/>
    <w:rsid w:val="0040034E"/>
    <w:rsid w:val="004049A9"/>
    <w:rsid w:val="00410370"/>
    <w:rsid w:val="0041293B"/>
    <w:rsid w:val="00412BB6"/>
    <w:rsid w:val="00422871"/>
    <w:rsid w:val="00436952"/>
    <w:rsid w:val="00451BCE"/>
    <w:rsid w:val="00454E2D"/>
    <w:rsid w:val="004577E7"/>
    <w:rsid w:val="00462095"/>
    <w:rsid w:val="00464356"/>
    <w:rsid w:val="00466731"/>
    <w:rsid w:val="00466DD5"/>
    <w:rsid w:val="00467E83"/>
    <w:rsid w:val="004723D6"/>
    <w:rsid w:val="0047265F"/>
    <w:rsid w:val="00473B71"/>
    <w:rsid w:val="00474C02"/>
    <w:rsid w:val="004755FE"/>
    <w:rsid w:val="00482B81"/>
    <w:rsid w:val="00482D4C"/>
    <w:rsid w:val="00483475"/>
    <w:rsid w:val="004838E4"/>
    <w:rsid w:val="0048463A"/>
    <w:rsid w:val="00485EFB"/>
    <w:rsid w:val="00487D0F"/>
    <w:rsid w:val="00490709"/>
    <w:rsid w:val="00492BF6"/>
    <w:rsid w:val="00494F21"/>
    <w:rsid w:val="004965C7"/>
    <w:rsid w:val="004A10CE"/>
    <w:rsid w:val="004A1638"/>
    <w:rsid w:val="004A27A8"/>
    <w:rsid w:val="004A3018"/>
    <w:rsid w:val="004A4499"/>
    <w:rsid w:val="004A46A4"/>
    <w:rsid w:val="004A545E"/>
    <w:rsid w:val="004A718B"/>
    <w:rsid w:val="004B3C0F"/>
    <w:rsid w:val="004B4A3C"/>
    <w:rsid w:val="004C05E4"/>
    <w:rsid w:val="004C28DF"/>
    <w:rsid w:val="004C3473"/>
    <w:rsid w:val="004C731C"/>
    <w:rsid w:val="004D4AE5"/>
    <w:rsid w:val="004E2EE7"/>
    <w:rsid w:val="004E3590"/>
    <w:rsid w:val="004E39E1"/>
    <w:rsid w:val="004E4CC0"/>
    <w:rsid w:val="004F00BA"/>
    <w:rsid w:val="004F011F"/>
    <w:rsid w:val="004F03F4"/>
    <w:rsid w:val="004F4C00"/>
    <w:rsid w:val="004F56D0"/>
    <w:rsid w:val="0050235E"/>
    <w:rsid w:val="00503A99"/>
    <w:rsid w:val="00503E44"/>
    <w:rsid w:val="0050777E"/>
    <w:rsid w:val="00513FE8"/>
    <w:rsid w:val="0051429B"/>
    <w:rsid w:val="00515283"/>
    <w:rsid w:val="005227CE"/>
    <w:rsid w:val="00523111"/>
    <w:rsid w:val="005231C5"/>
    <w:rsid w:val="00533926"/>
    <w:rsid w:val="00537FB7"/>
    <w:rsid w:val="005411D1"/>
    <w:rsid w:val="00542873"/>
    <w:rsid w:val="0055675D"/>
    <w:rsid w:val="005573C4"/>
    <w:rsid w:val="00566E8F"/>
    <w:rsid w:val="005709DE"/>
    <w:rsid w:val="005726BA"/>
    <w:rsid w:val="00573FFC"/>
    <w:rsid w:val="0057422E"/>
    <w:rsid w:val="005833BE"/>
    <w:rsid w:val="00583ABB"/>
    <w:rsid w:val="005858FB"/>
    <w:rsid w:val="0059302A"/>
    <w:rsid w:val="005A2572"/>
    <w:rsid w:val="005A6C81"/>
    <w:rsid w:val="005B3AF1"/>
    <w:rsid w:val="005B4ABF"/>
    <w:rsid w:val="005C032C"/>
    <w:rsid w:val="005C2D8D"/>
    <w:rsid w:val="005C325B"/>
    <w:rsid w:val="005C3D2E"/>
    <w:rsid w:val="005C73D6"/>
    <w:rsid w:val="005D109E"/>
    <w:rsid w:val="005D2168"/>
    <w:rsid w:val="005D7D5A"/>
    <w:rsid w:val="005D7E35"/>
    <w:rsid w:val="005E4792"/>
    <w:rsid w:val="005E4BAC"/>
    <w:rsid w:val="005E580A"/>
    <w:rsid w:val="005F0ABE"/>
    <w:rsid w:val="005F1BC2"/>
    <w:rsid w:val="0060130D"/>
    <w:rsid w:val="00601C7B"/>
    <w:rsid w:val="00606671"/>
    <w:rsid w:val="006100E5"/>
    <w:rsid w:val="00612329"/>
    <w:rsid w:val="006137A6"/>
    <w:rsid w:val="00613B16"/>
    <w:rsid w:val="00615574"/>
    <w:rsid w:val="0061663E"/>
    <w:rsid w:val="00623F9C"/>
    <w:rsid w:val="006243C6"/>
    <w:rsid w:val="00630893"/>
    <w:rsid w:val="00634361"/>
    <w:rsid w:val="0064129F"/>
    <w:rsid w:val="0064309D"/>
    <w:rsid w:val="00647BB7"/>
    <w:rsid w:val="00660F56"/>
    <w:rsid w:val="006711DF"/>
    <w:rsid w:val="00680297"/>
    <w:rsid w:val="0068046D"/>
    <w:rsid w:val="00680871"/>
    <w:rsid w:val="0068110D"/>
    <w:rsid w:val="00681ACB"/>
    <w:rsid w:val="00683956"/>
    <w:rsid w:val="006873CE"/>
    <w:rsid w:val="0069205F"/>
    <w:rsid w:val="006A0786"/>
    <w:rsid w:val="006A11D6"/>
    <w:rsid w:val="006A25D6"/>
    <w:rsid w:val="006A7841"/>
    <w:rsid w:val="006B520A"/>
    <w:rsid w:val="006B523A"/>
    <w:rsid w:val="006C170A"/>
    <w:rsid w:val="006C3463"/>
    <w:rsid w:val="006C6910"/>
    <w:rsid w:val="006C770E"/>
    <w:rsid w:val="006D10EC"/>
    <w:rsid w:val="006D3C72"/>
    <w:rsid w:val="006D478B"/>
    <w:rsid w:val="006D4DAA"/>
    <w:rsid w:val="006D60D0"/>
    <w:rsid w:val="006D672B"/>
    <w:rsid w:val="006D6EB2"/>
    <w:rsid w:val="006E04DB"/>
    <w:rsid w:val="006E0852"/>
    <w:rsid w:val="006E0CBA"/>
    <w:rsid w:val="006E3AB4"/>
    <w:rsid w:val="006E6321"/>
    <w:rsid w:val="006E6343"/>
    <w:rsid w:val="006F06C1"/>
    <w:rsid w:val="006F683C"/>
    <w:rsid w:val="006F6C2A"/>
    <w:rsid w:val="006F74AB"/>
    <w:rsid w:val="0070169C"/>
    <w:rsid w:val="00701F57"/>
    <w:rsid w:val="00704CCA"/>
    <w:rsid w:val="00705171"/>
    <w:rsid w:val="007053B0"/>
    <w:rsid w:val="00710D45"/>
    <w:rsid w:val="00710E94"/>
    <w:rsid w:val="00724C37"/>
    <w:rsid w:val="00727D8A"/>
    <w:rsid w:val="00730DA8"/>
    <w:rsid w:val="00731FEA"/>
    <w:rsid w:val="007323F4"/>
    <w:rsid w:val="007332D8"/>
    <w:rsid w:val="00735921"/>
    <w:rsid w:val="0073599B"/>
    <w:rsid w:val="00736F61"/>
    <w:rsid w:val="0074185E"/>
    <w:rsid w:val="00742253"/>
    <w:rsid w:val="007436F0"/>
    <w:rsid w:val="0074422A"/>
    <w:rsid w:val="007442DA"/>
    <w:rsid w:val="0074728E"/>
    <w:rsid w:val="007516DB"/>
    <w:rsid w:val="00757B95"/>
    <w:rsid w:val="00761CDA"/>
    <w:rsid w:val="007662C7"/>
    <w:rsid w:val="00772FAF"/>
    <w:rsid w:val="00776306"/>
    <w:rsid w:val="007816E2"/>
    <w:rsid w:val="007875B5"/>
    <w:rsid w:val="007A1887"/>
    <w:rsid w:val="007A23D6"/>
    <w:rsid w:val="007A33F8"/>
    <w:rsid w:val="007A55A7"/>
    <w:rsid w:val="007A57BC"/>
    <w:rsid w:val="007B1F10"/>
    <w:rsid w:val="007B2143"/>
    <w:rsid w:val="007B335E"/>
    <w:rsid w:val="007B4A9D"/>
    <w:rsid w:val="007C137D"/>
    <w:rsid w:val="007C3E1A"/>
    <w:rsid w:val="007C6275"/>
    <w:rsid w:val="007C7B23"/>
    <w:rsid w:val="007C7D64"/>
    <w:rsid w:val="007D415C"/>
    <w:rsid w:val="007D6771"/>
    <w:rsid w:val="007E005A"/>
    <w:rsid w:val="007E018D"/>
    <w:rsid w:val="007E6A45"/>
    <w:rsid w:val="007F1B71"/>
    <w:rsid w:val="0080320B"/>
    <w:rsid w:val="0080461A"/>
    <w:rsid w:val="00806051"/>
    <w:rsid w:val="00807E7D"/>
    <w:rsid w:val="00812EB9"/>
    <w:rsid w:val="008145BA"/>
    <w:rsid w:val="008249BE"/>
    <w:rsid w:val="00825AF9"/>
    <w:rsid w:val="00831675"/>
    <w:rsid w:val="00833654"/>
    <w:rsid w:val="00835960"/>
    <w:rsid w:val="008404AD"/>
    <w:rsid w:val="0084176E"/>
    <w:rsid w:val="00843144"/>
    <w:rsid w:val="00844849"/>
    <w:rsid w:val="00845A80"/>
    <w:rsid w:val="008552D6"/>
    <w:rsid w:val="00855DA3"/>
    <w:rsid w:val="00860BB5"/>
    <w:rsid w:val="00862443"/>
    <w:rsid w:val="00865557"/>
    <w:rsid w:val="00877071"/>
    <w:rsid w:val="008779B4"/>
    <w:rsid w:val="00877A2F"/>
    <w:rsid w:val="0088138D"/>
    <w:rsid w:val="00883863"/>
    <w:rsid w:val="0088467C"/>
    <w:rsid w:val="008853B9"/>
    <w:rsid w:val="00885AA3"/>
    <w:rsid w:val="00891F21"/>
    <w:rsid w:val="00892D3B"/>
    <w:rsid w:val="00894579"/>
    <w:rsid w:val="008962BB"/>
    <w:rsid w:val="008A2BDB"/>
    <w:rsid w:val="008A5B67"/>
    <w:rsid w:val="008A5CCD"/>
    <w:rsid w:val="008A6A6D"/>
    <w:rsid w:val="008B29E7"/>
    <w:rsid w:val="008B2C4E"/>
    <w:rsid w:val="008B33DF"/>
    <w:rsid w:val="008B5C0B"/>
    <w:rsid w:val="008C2216"/>
    <w:rsid w:val="008C6F3F"/>
    <w:rsid w:val="008D07E2"/>
    <w:rsid w:val="008D16F7"/>
    <w:rsid w:val="008D40FA"/>
    <w:rsid w:val="008D4835"/>
    <w:rsid w:val="008D7A9B"/>
    <w:rsid w:val="008E0540"/>
    <w:rsid w:val="008E1427"/>
    <w:rsid w:val="008E52C7"/>
    <w:rsid w:val="008E5A1D"/>
    <w:rsid w:val="008F0C50"/>
    <w:rsid w:val="008F2529"/>
    <w:rsid w:val="008F44B1"/>
    <w:rsid w:val="008F778A"/>
    <w:rsid w:val="00902ED6"/>
    <w:rsid w:val="0090320B"/>
    <w:rsid w:val="00906037"/>
    <w:rsid w:val="00910013"/>
    <w:rsid w:val="0091280A"/>
    <w:rsid w:val="009143A0"/>
    <w:rsid w:val="009167C7"/>
    <w:rsid w:val="00917FCB"/>
    <w:rsid w:val="00921B5A"/>
    <w:rsid w:val="00925124"/>
    <w:rsid w:val="00925635"/>
    <w:rsid w:val="00927C59"/>
    <w:rsid w:val="00931881"/>
    <w:rsid w:val="0093421F"/>
    <w:rsid w:val="0093548A"/>
    <w:rsid w:val="00936902"/>
    <w:rsid w:val="00937B17"/>
    <w:rsid w:val="00942170"/>
    <w:rsid w:val="0094486D"/>
    <w:rsid w:val="00945526"/>
    <w:rsid w:val="00950E58"/>
    <w:rsid w:val="00952DF0"/>
    <w:rsid w:val="00954679"/>
    <w:rsid w:val="009552FE"/>
    <w:rsid w:val="00955673"/>
    <w:rsid w:val="009562E9"/>
    <w:rsid w:val="0095637F"/>
    <w:rsid w:val="00964139"/>
    <w:rsid w:val="009655DA"/>
    <w:rsid w:val="00965BBC"/>
    <w:rsid w:val="00966FFB"/>
    <w:rsid w:val="009673D0"/>
    <w:rsid w:val="00970F0E"/>
    <w:rsid w:val="00972823"/>
    <w:rsid w:val="0097348B"/>
    <w:rsid w:val="00974996"/>
    <w:rsid w:val="00983B16"/>
    <w:rsid w:val="00986AA2"/>
    <w:rsid w:val="0098737D"/>
    <w:rsid w:val="00990BE6"/>
    <w:rsid w:val="009A2167"/>
    <w:rsid w:val="009A25E2"/>
    <w:rsid w:val="009A49F0"/>
    <w:rsid w:val="009A5307"/>
    <w:rsid w:val="009B1F1C"/>
    <w:rsid w:val="009B28BC"/>
    <w:rsid w:val="009B3F1D"/>
    <w:rsid w:val="009B615B"/>
    <w:rsid w:val="009B7A38"/>
    <w:rsid w:val="009C0051"/>
    <w:rsid w:val="009C6A1E"/>
    <w:rsid w:val="009D2F0C"/>
    <w:rsid w:val="009D362E"/>
    <w:rsid w:val="009D477C"/>
    <w:rsid w:val="009D4DEE"/>
    <w:rsid w:val="009E27A5"/>
    <w:rsid w:val="009E2F86"/>
    <w:rsid w:val="009E7812"/>
    <w:rsid w:val="00A03855"/>
    <w:rsid w:val="00A11654"/>
    <w:rsid w:val="00A12209"/>
    <w:rsid w:val="00A3017C"/>
    <w:rsid w:val="00A31484"/>
    <w:rsid w:val="00A31681"/>
    <w:rsid w:val="00A34CA4"/>
    <w:rsid w:val="00A36DF3"/>
    <w:rsid w:val="00A44281"/>
    <w:rsid w:val="00A4441D"/>
    <w:rsid w:val="00A532DD"/>
    <w:rsid w:val="00A5522E"/>
    <w:rsid w:val="00A5643C"/>
    <w:rsid w:val="00A63AEB"/>
    <w:rsid w:val="00A649B6"/>
    <w:rsid w:val="00A71B9A"/>
    <w:rsid w:val="00A721F1"/>
    <w:rsid w:val="00A74B90"/>
    <w:rsid w:val="00A760F0"/>
    <w:rsid w:val="00A80BCF"/>
    <w:rsid w:val="00A825D1"/>
    <w:rsid w:val="00A82DC8"/>
    <w:rsid w:val="00A8369C"/>
    <w:rsid w:val="00A86579"/>
    <w:rsid w:val="00A90212"/>
    <w:rsid w:val="00A90CC4"/>
    <w:rsid w:val="00A90FEA"/>
    <w:rsid w:val="00A9401D"/>
    <w:rsid w:val="00AA1689"/>
    <w:rsid w:val="00AA496F"/>
    <w:rsid w:val="00AA5770"/>
    <w:rsid w:val="00AA70DB"/>
    <w:rsid w:val="00AB2E70"/>
    <w:rsid w:val="00AB33C1"/>
    <w:rsid w:val="00AB3E03"/>
    <w:rsid w:val="00AC0D18"/>
    <w:rsid w:val="00AC1D15"/>
    <w:rsid w:val="00AC7270"/>
    <w:rsid w:val="00AD2D14"/>
    <w:rsid w:val="00AD44C6"/>
    <w:rsid w:val="00AD7A20"/>
    <w:rsid w:val="00AE460D"/>
    <w:rsid w:val="00AE4B71"/>
    <w:rsid w:val="00AE7F82"/>
    <w:rsid w:val="00AF7AEF"/>
    <w:rsid w:val="00B03B42"/>
    <w:rsid w:val="00B07AD6"/>
    <w:rsid w:val="00B07B0C"/>
    <w:rsid w:val="00B120F9"/>
    <w:rsid w:val="00B23CDB"/>
    <w:rsid w:val="00B24ADF"/>
    <w:rsid w:val="00B25563"/>
    <w:rsid w:val="00B26D48"/>
    <w:rsid w:val="00B2789F"/>
    <w:rsid w:val="00B27B3B"/>
    <w:rsid w:val="00B40949"/>
    <w:rsid w:val="00B40A3F"/>
    <w:rsid w:val="00B40D80"/>
    <w:rsid w:val="00B41F7B"/>
    <w:rsid w:val="00B42EE1"/>
    <w:rsid w:val="00B47A59"/>
    <w:rsid w:val="00B51F78"/>
    <w:rsid w:val="00B53174"/>
    <w:rsid w:val="00B5349B"/>
    <w:rsid w:val="00B53F79"/>
    <w:rsid w:val="00B5649C"/>
    <w:rsid w:val="00B63CA7"/>
    <w:rsid w:val="00B65998"/>
    <w:rsid w:val="00B7138A"/>
    <w:rsid w:val="00B8293D"/>
    <w:rsid w:val="00B87A49"/>
    <w:rsid w:val="00B91ECE"/>
    <w:rsid w:val="00B92478"/>
    <w:rsid w:val="00B943FB"/>
    <w:rsid w:val="00B97463"/>
    <w:rsid w:val="00BA13A1"/>
    <w:rsid w:val="00BA25B4"/>
    <w:rsid w:val="00BA5AA9"/>
    <w:rsid w:val="00BA6188"/>
    <w:rsid w:val="00BB608E"/>
    <w:rsid w:val="00BB7567"/>
    <w:rsid w:val="00BC361A"/>
    <w:rsid w:val="00BC68C2"/>
    <w:rsid w:val="00BD2045"/>
    <w:rsid w:val="00BD3450"/>
    <w:rsid w:val="00BD3B81"/>
    <w:rsid w:val="00BD3D7D"/>
    <w:rsid w:val="00BD49F7"/>
    <w:rsid w:val="00BD61A2"/>
    <w:rsid w:val="00BD65FA"/>
    <w:rsid w:val="00BE484D"/>
    <w:rsid w:val="00BE51FF"/>
    <w:rsid w:val="00BF2596"/>
    <w:rsid w:val="00BF28D6"/>
    <w:rsid w:val="00C00B11"/>
    <w:rsid w:val="00C10042"/>
    <w:rsid w:val="00C24EDE"/>
    <w:rsid w:val="00C267A8"/>
    <w:rsid w:val="00C37E05"/>
    <w:rsid w:val="00C4060B"/>
    <w:rsid w:val="00C4270A"/>
    <w:rsid w:val="00C47789"/>
    <w:rsid w:val="00C52172"/>
    <w:rsid w:val="00C55D29"/>
    <w:rsid w:val="00C56F2E"/>
    <w:rsid w:val="00C62B3A"/>
    <w:rsid w:val="00C769E1"/>
    <w:rsid w:val="00C83DB6"/>
    <w:rsid w:val="00C84FA0"/>
    <w:rsid w:val="00C853B7"/>
    <w:rsid w:val="00C86F6D"/>
    <w:rsid w:val="00C92EFE"/>
    <w:rsid w:val="00C948D8"/>
    <w:rsid w:val="00CA0198"/>
    <w:rsid w:val="00CA0BE9"/>
    <w:rsid w:val="00CA138D"/>
    <w:rsid w:val="00CA57D9"/>
    <w:rsid w:val="00CA5D67"/>
    <w:rsid w:val="00CA6A1B"/>
    <w:rsid w:val="00CA6E82"/>
    <w:rsid w:val="00CB684F"/>
    <w:rsid w:val="00CC220F"/>
    <w:rsid w:val="00CC2AFE"/>
    <w:rsid w:val="00CC3058"/>
    <w:rsid w:val="00CC7641"/>
    <w:rsid w:val="00CD0565"/>
    <w:rsid w:val="00CE0B46"/>
    <w:rsid w:val="00CE41AC"/>
    <w:rsid w:val="00CE4EFB"/>
    <w:rsid w:val="00CE7D19"/>
    <w:rsid w:val="00CF0681"/>
    <w:rsid w:val="00CF2515"/>
    <w:rsid w:val="00CF3E79"/>
    <w:rsid w:val="00CF416E"/>
    <w:rsid w:val="00D074A2"/>
    <w:rsid w:val="00D13794"/>
    <w:rsid w:val="00D218E7"/>
    <w:rsid w:val="00D24052"/>
    <w:rsid w:val="00D24386"/>
    <w:rsid w:val="00D31575"/>
    <w:rsid w:val="00D31A89"/>
    <w:rsid w:val="00D34626"/>
    <w:rsid w:val="00D34FB4"/>
    <w:rsid w:val="00D359BA"/>
    <w:rsid w:val="00D4257A"/>
    <w:rsid w:val="00D456A9"/>
    <w:rsid w:val="00D52798"/>
    <w:rsid w:val="00D5468A"/>
    <w:rsid w:val="00D54FB8"/>
    <w:rsid w:val="00D56985"/>
    <w:rsid w:val="00D61745"/>
    <w:rsid w:val="00D62665"/>
    <w:rsid w:val="00D62B54"/>
    <w:rsid w:val="00D645AC"/>
    <w:rsid w:val="00D66C71"/>
    <w:rsid w:val="00D66D7C"/>
    <w:rsid w:val="00D67E25"/>
    <w:rsid w:val="00D70205"/>
    <w:rsid w:val="00D735EF"/>
    <w:rsid w:val="00D7609F"/>
    <w:rsid w:val="00D77179"/>
    <w:rsid w:val="00D77C5C"/>
    <w:rsid w:val="00D81AA7"/>
    <w:rsid w:val="00D82E47"/>
    <w:rsid w:val="00D84A01"/>
    <w:rsid w:val="00D93BAF"/>
    <w:rsid w:val="00D977EA"/>
    <w:rsid w:val="00DA2699"/>
    <w:rsid w:val="00DA665B"/>
    <w:rsid w:val="00DB148C"/>
    <w:rsid w:val="00DB1A31"/>
    <w:rsid w:val="00DB202E"/>
    <w:rsid w:val="00DB3772"/>
    <w:rsid w:val="00DB4F78"/>
    <w:rsid w:val="00DB7078"/>
    <w:rsid w:val="00DB77B7"/>
    <w:rsid w:val="00DC027B"/>
    <w:rsid w:val="00DC0CDE"/>
    <w:rsid w:val="00DC1A85"/>
    <w:rsid w:val="00DC498E"/>
    <w:rsid w:val="00DC4D72"/>
    <w:rsid w:val="00DC6525"/>
    <w:rsid w:val="00DC7018"/>
    <w:rsid w:val="00DD12B0"/>
    <w:rsid w:val="00DD5610"/>
    <w:rsid w:val="00DE088A"/>
    <w:rsid w:val="00DF0CB3"/>
    <w:rsid w:val="00DF23F5"/>
    <w:rsid w:val="00DF28F3"/>
    <w:rsid w:val="00DF371F"/>
    <w:rsid w:val="00DF494C"/>
    <w:rsid w:val="00DF6D0B"/>
    <w:rsid w:val="00DF7DB3"/>
    <w:rsid w:val="00DF7E0D"/>
    <w:rsid w:val="00E053D8"/>
    <w:rsid w:val="00E0624D"/>
    <w:rsid w:val="00E16B3B"/>
    <w:rsid w:val="00E179D4"/>
    <w:rsid w:val="00E20023"/>
    <w:rsid w:val="00E26ADB"/>
    <w:rsid w:val="00E2752B"/>
    <w:rsid w:val="00E353A3"/>
    <w:rsid w:val="00E35C9D"/>
    <w:rsid w:val="00E37FF7"/>
    <w:rsid w:val="00E4438C"/>
    <w:rsid w:val="00E457F3"/>
    <w:rsid w:val="00E50663"/>
    <w:rsid w:val="00E55F9B"/>
    <w:rsid w:val="00E576F5"/>
    <w:rsid w:val="00E57A6A"/>
    <w:rsid w:val="00E73CC1"/>
    <w:rsid w:val="00E760ED"/>
    <w:rsid w:val="00E86357"/>
    <w:rsid w:val="00E87284"/>
    <w:rsid w:val="00E97664"/>
    <w:rsid w:val="00EA4DD8"/>
    <w:rsid w:val="00EA7959"/>
    <w:rsid w:val="00EB2AEF"/>
    <w:rsid w:val="00EB2BED"/>
    <w:rsid w:val="00EB4647"/>
    <w:rsid w:val="00EB509D"/>
    <w:rsid w:val="00EB7E71"/>
    <w:rsid w:val="00EC71C8"/>
    <w:rsid w:val="00ED0B13"/>
    <w:rsid w:val="00ED123E"/>
    <w:rsid w:val="00ED1F15"/>
    <w:rsid w:val="00ED216B"/>
    <w:rsid w:val="00ED5DCD"/>
    <w:rsid w:val="00EF2788"/>
    <w:rsid w:val="00EF3103"/>
    <w:rsid w:val="00EF6E9B"/>
    <w:rsid w:val="00EF7714"/>
    <w:rsid w:val="00F023DB"/>
    <w:rsid w:val="00F03BE4"/>
    <w:rsid w:val="00F109D4"/>
    <w:rsid w:val="00F10A6F"/>
    <w:rsid w:val="00F10CC3"/>
    <w:rsid w:val="00F15EE9"/>
    <w:rsid w:val="00F21004"/>
    <w:rsid w:val="00F21911"/>
    <w:rsid w:val="00F24736"/>
    <w:rsid w:val="00F25BD3"/>
    <w:rsid w:val="00F27344"/>
    <w:rsid w:val="00F343AA"/>
    <w:rsid w:val="00F4161F"/>
    <w:rsid w:val="00F4241B"/>
    <w:rsid w:val="00F45056"/>
    <w:rsid w:val="00F452FD"/>
    <w:rsid w:val="00F464DC"/>
    <w:rsid w:val="00F46704"/>
    <w:rsid w:val="00F46C17"/>
    <w:rsid w:val="00F47585"/>
    <w:rsid w:val="00F545EA"/>
    <w:rsid w:val="00F61731"/>
    <w:rsid w:val="00F6249C"/>
    <w:rsid w:val="00F678B8"/>
    <w:rsid w:val="00F7078E"/>
    <w:rsid w:val="00F70BF7"/>
    <w:rsid w:val="00F75BDB"/>
    <w:rsid w:val="00F7794C"/>
    <w:rsid w:val="00F809CC"/>
    <w:rsid w:val="00F81232"/>
    <w:rsid w:val="00F81EDF"/>
    <w:rsid w:val="00F8291C"/>
    <w:rsid w:val="00F85CE9"/>
    <w:rsid w:val="00F85E6F"/>
    <w:rsid w:val="00F9160B"/>
    <w:rsid w:val="00F95449"/>
    <w:rsid w:val="00F95ACD"/>
    <w:rsid w:val="00FA1942"/>
    <w:rsid w:val="00FA380A"/>
    <w:rsid w:val="00FA6FC8"/>
    <w:rsid w:val="00FC2CB5"/>
    <w:rsid w:val="00FC38D9"/>
    <w:rsid w:val="00FC3A8F"/>
    <w:rsid w:val="00FC595E"/>
    <w:rsid w:val="00FD19F7"/>
    <w:rsid w:val="00FD7402"/>
    <w:rsid w:val="00FE04E4"/>
    <w:rsid w:val="00FE2DD7"/>
    <w:rsid w:val="00FE73F9"/>
    <w:rsid w:val="00FF1057"/>
    <w:rsid w:val="00FF3E25"/>
    <w:rsid w:val="00FF5FD8"/>
    <w:rsid w:val="00FF61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01FBE"/>
  <w15:docId w15:val="{40876F46-A4A2-4CA1-A621-9476E4D7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customStyle="1" w:styleId="UnresolvedMention1">
    <w:name w:val="Unresolved Mention1"/>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Definition">
    <w:name w:val="Definition"/>
    <w:aliases w:val="dd"/>
    <w:basedOn w:val="Normal"/>
    <w:rsid w:val="00DB3772"/>
    <w:pPr>
      <w:spacing w:before="180" w:after="0"/>
      <w:ind w:left="1134"/>
    </w:pPr>
    <w:rPr>
      <w:sz w:val="22"/>
    </w:rPr>
  </w:style>
  <w:style w:type="paragraph" w:customStyle="1" w:styleId="notedraft">
    <w:name w:val="note(draft)"/>
    <w:aliases w:val="nd"/>
    <w:basedOn w:val="Normal"/>
    <w:rsid w:val="00C10042"/>
    <w:pPr>
      <w:spacing w:before="240" w:after="0"/>
      <w:ind w:left="284" w:hanging="284"/>
    </w:pPr>
    <w:rPr>
      <w:i/>
    </w:rPr>
  </w:style>
  <w:style w:type="paragraph" w:customStyle="1" w:styleId="notetext">
    <w:name w:val="note(text)"/>
    <w:aliases w:val="n"/>
    <w:basedOn w:val="Normal"/>
    <w:link w:val="notetextChar"/>
    <w:rsid w:val="00C10042"/>
    <w:pPr>
      <w:spacing w:before="122" w:after="0"/>
      <w:ind w:left="1985" w:hanging="851"/>
    </w:pPr>
    <w:rPr>
      <w:sz w:val="18"/>
    </w:rPr>
  </w:style>
  <w:style w:type="character" w:customStyle="1" w:styleId="notetextChar">
    <w:name w:val="note(text) Char"/>
    <w:aliases w:val="n Char"/>
    <w:basedOn w:val="DefaultParagraphFont"/>
    <w:link w:val="notetext"/>
    <w:rsid w:val="00C10042"/>
    <w:rPr>
      <w:sz w:val="18"/>
    </w:rPr>
  </w:style>
  <w:style w:type="character" w:customStyle="1" w:styleId="cf01">
    <w:name w:val="cf01"/>
    <w:basedOn w:val="DefaultParagraphFont"/>
    <w:rsid w:val="00AC0D18"/>
    <w:rPr>
      <w:rFonts w:ascii="Segoe UI" w:hAnsi="Segoe UI" w:cs="Segoe UI" w:hint="default"/>
      <w:sz w:val="18"/>
      <w:szCs w:val="18"/>
    </w:rPr>
  </w:style>
  <w:style w:type="character" w:styleId="Strong">
    <w:name w:val="Strong"/>
    <w:basedOn w:val="DefaultParagraphFont"/>
    <w:uiPriority w:val="22"/>
    <w:qFormat/>
    <w:rsid w:val="007A23D6"/>
    <w:rPr>
      <w:b/>
      <w:bCs/>
    </w:rPr>
  </w:style>
  <w:style w:type="character" w:customStyle="1" w:styleId="CharSubdText">
    <w:name w:val="CharSubdText"/>
    <w:basedOn w:val="DefaultParagraphFont"/>
    <w:uiPriority w:val="1"/>
    <w:qFormat/>
    <w:rsid w:val="00E16B3B"/>
  </w:style>
  <w:style w:type="paragraph" w:customStyle="1" w:styleId="Tablea">
    <w:name w:val="Table(a)"/>
    <w:aliases w:val="ta"/>
    <w:basedOn w:val="Normal"/>
    <w:rsid w:val="00E16B3B"/>
    <w:pPr>
      <w:spacing w:before="60" w:after="0"/>
      <w:ind w:left="284" w:hanging="284"/>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79505">
      <w:bodyDiv w:val="1"/>
      <w:marLeft w:val="0"/>
      <w:marRight w:val="0"/>
      <w:marTop w:val="0"/>
      <w:marBottom w:val="0"/>
      <w:divBdr>
        <w:top w:val="none" w:sz="0" w:space="0" w:color="auto"/>
        <w:left w:val="none" w:sz="0" w:space="0" w:color="auto"/>
        <w:bottom w:val="none" w:sz="0" w:space="0" w:color="auto"/>
        <w:right w:val="none" w:sz="0" w:space="0" w:color="auto"/>
      </w:divBdr>
    </w:div>
    <w:div w:id="309679531">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390917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DA2D6AEAB1447B72859C854098035" ma:contentTypeVersion="12" ma:contentTypeDescription="Create a new document." ma:contentTypeScope="" ma:versionID="7c93518b95d8b7900d5ef761a824d0a1">
  <xsd:schema xmlns:xsd="http://www.w3.org/2001/XMLSchema" xmlns:xs="http://www.w3.org/2001/XMLSchema" xmlns:p="http://schemas.microsoft.com/office/2006/metadata/properties" xmlns:ns2="fe39d773-a83d-4623-ae74-f25711a76616" xmlns:ns3="4cee719a-2b4b-494c-8103-367486517b11" targetNamespace="http://schemas.microsoft.com/office/2006/metadata/properties" ma:root="true" ma:fieldsID="ce508428dd3dba95d1d27a361af6154e" ns2:_="" ns3:_="">
    <xsd:import namespace="fe39d773-a83d-4623-ae74-f25711a76616"/>
    <xsd:import namespace="4cee719a-2b4b-494c-8103-367486517b11"/>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2:TaxCatchAll" minOccurs="0"/>
                <xsd:element ref="ns2:TaxCatchAllLabel" minOccurs="0"/>
                <xsd:element ref="ns2:e4fe7dcdd1c0411bbf19a4de3665191f" minOccurs="0"/>
                <xsd:element ref="ns2:gfba5f33532c49208d2320ce38cc3c2b" minOccurs="0"/>
                <xsd:element ref="ns2:kfc39f3e4e2747ae990d3c8bb74a5a64" minOccurs="0"/>
                <xsd:element ref="ns2:cfa7561efdaa4ae8bfb5b4b60b0e0bab" minOccurs="0"/>
                <xsd:element ref="ns2:ge25bdd0d6464e36b066695d9e81d63d" minOccurs="0"/>
                <xsd:element ref="ns3:MediaServiceMetadata" minOccurs="0"/>
                <xsd:element ref="ns3:MediaServiceFastMetadata" minOccurs="0"/>
                <xsd:element ref="ns3:lcf76f155ced4ddcb4097134ff3c332f"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nillable="true"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fed327eb-47d6-4cf1-ac67-dd041f371511}" ma:internalName="TaxCatchAll" ma:showField="CatchAllData" ma:web="fe39d773-a83d-4623-ae74-f25711a7661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ed327eb-47d6-4cf1-ac67-dd041f371511}" ma:internalName="TaxCatchAllLabel" ma:readOnly="true" ma:showField="CatchAllDataLabel" ma:web="fe39d773-a83d-4623-ae74-f25711a76616">
      <xsd:complexType>
        <xsd:complexContent>
          <xsd:extension base="dms:MultiChoiceLookup">
            <xsd:sequence>
              <xsd:element name="Value" type="dms:Lookup" maxOccurs="unbounded" minOccurs="0" nillable="true"/>
            </xsd:sequence>
          </xsd:extension>
        </xsd:complexContent>
      </xsd:complexType>
    </xsd:element>
    <xsd:element name="e4fe7dcdd1c0411bbf19a4de3665191f" ma:index="15" nillable="true" ma:taxonomy="true" ma:internalName="e4fe7dcdd1c0411bbf19a4de3665191f" ma:taxonomyFieldName="eActivity" ma:displayName="Activity" ma:readOnly="false" ma:default="" ma:fieldId="{e4fe7dcd-d1c0-411b-bf19-a4de3665191f}" ma:sspId="218240cd-c75f-40bd-87f4-262ac964b25b" ma:termSetId="c4891fba-e1cf-4730-825c-5d44ad132978" ma:anchorId="00000000-0000-0000-0000-000000000000" ma:open="false" ma:isKeyword="false">
      <xsd:complexType>
        <xsd:sequence>
          <xsd:element ref="pc:Terms" minOccurs="0" maxOccurs="1"/>
        </xsd:sequence>
      </xsd:complexType>
    </xsd:element>
    <xsd:element name="gfba5f33532c49208d2320ce38cc3c2b" ma:index="17" nillable="true" ma:taxonomy="true" ma:internalName="gfba5f33532c49208d2320ce38cc3c2b" ma:taxonomyFieldName="eTopic" ma:displayName="Topic" ma:readOnly="false" ma:default="" ma:fieldId="{0fba5f33-532c-4920-8d23-20ce38cc3c2b}" ma:taxonomyMulti="true" ma:sspId="218240cd-c75f-40bd-87f4-262ac964b25b" ma:termSetId="3025c68d-8931-490b-bd35-b5a9db765909" ma:anchorId="00000000-0000-0000-0000-000000000000" ma:open="false" ma:isKeyword="false">
      <xsd:complexType>
        <xsd:sequence>
          <xsd:element ref="pc:Terms" minOccurs="0" maxOccurs="1"/>
        </xsd:sequence>
      </xsd:complexType>
    </xsd:element>
    <xsd:element name="kfc39f3e4e2747ae990d3c8bb74a5a64" ma:index="19" nillable="true" ma:taxonomy="true" ma:internalName="kfc39f3e4e2747ae990d3c8bb74a5a64" ma:taxonomyFieldName="eDocumentType" ma:displayName="Document Type" ma:readOnly="false" ma:default="" ma:fieldId="{4fc39f3e-4e27-47ae-990d-3c8bb74a5a64}" ma:sspId="218240cd-c75f-40bd-87f4-262ac964b25b" ma:termSetId="5e8e02c7-4c1e-4549-b6ad-fa4a73159215" ma:anchorId="00000000-0000-0000-0000-000000000000" ma:open="false" ma:isKeyword="false">
      <xsd:complexType>
        <xsd:sequence>
          <xsd:element ref="pc:Terms" minOccurs="0" maxOccurs="1"/>
        </xsd:sequence>
      </xsd:complexType>
    </xsd:element>
    <xsd:element name="cfa7561efdaa4ae8bfb5b4b60b0e0bab" ma:index="21" nillable="true" ma:taxonomy="true" ma:internalName="cfa7561efdaa4ae8bfb5b4b60b0e0bab" ma:taxonomyFieldName="TSYOffice" ma:displayName="TSY Office" ma:readOnly="false" ma:fieldId="{cfa7561e-fdaa-4ae8-bfb5-b4b60b0e0bab}" ma:sspId="218240cd-c75f-40bd-87f4-262ac964b25b" ma:termSetId="2a4a9924-6759-43ba-93ed-aadb56a6469b" ma:anchorId="00000000-0000-0000-0000-000000000000" ma:open="false" ma:isKeyword="false">
      <xsd:complexType>
        <xsd:sequence>
          <xsd:element ref="pc:Terms" minOccurs="0" maxOccurs="1"/>
        </xsd:sequence>
      </xsd:complexType>
    </xsd:element>
    <xsd:element name="ge25bdd0d6464e36b066695d9e81d63d" ma:index="23"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ee719a-2b4b-494c-8103-367486517b1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39d773-a83d-4623-ae74-f25711a76616">
      <Value>44</Value>
      <Value>1</Value>
    </TaxCatchAll>
    <_dlc_DocId xmlns="fe39d773-a83d-4623-ae74-f25711a76616">FE35QJMZX7MS-534376891-48</_dlc_DocId>
    <_dlc_DocIdUrl xmlns="fe39d773-a83d-4623-ae74-f25711a76616">
      <Url>https://austreasury.sharepoint.com/sites/legisM-function/_layouts/15/DocIdRedir.aspx?ID=FE35QJMZX7MS-534376891-48</Url>
      <Description>FE35QJMZX7MS-534376891-48</Description>
    </_dlc_DocIdUrl>
    <e4fe7dcdd1c0411bbf19a4de3665191f xmlns="fe39d773-a83d-4623-ae74-f25711a76616">
      <Terms xmlns="http://schemas.microsoft.com/office/infopath/2007/PartnerControls"/>
    </e4fe7dcdd1c0411bbf19a4de3665191f>
    <kfc39f3e4e2747ae990d3c8bb74a5a64 xmlns="fe39d773-a83d-4623-ae74-f25711a76616">
      <Terms xmlns="http://schemas.microsoft.com/office/infopath/2007/PartnerControls"/>
    </kfc39f3e4e2747ae990d3c8bb74a5a64>
    <ge25bdd0d6464e36b066695d9e81d63d xmlns="fe39d773-a83d-4623-ae74-f25711a76616">
      <Terms xmlns="http://schemas.microsoft.com/office/infopath/2007/PartnerControls"/>
    </ge25bdd0d6464e36b066695d9e81d63d>
    <lcf76f155ced4ddcb4097134ff3c332f xmlns="4cee719a-2b4b-494c-8103-367486517b11">
      <Terms xmlns="http://schemas.microsoft.com/office/infopath/2007/PartnerControls"/>
    </lcf76f155ced4ddcb4097134ff3c332f>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cfa7561efdaa4ae8bfb5b4b60b0e0bab xmlns="fe39d773-a83d-4623-ae74-f25711a76616">
      <Terms xmlns="http://schemas.microsoft.com/office/infopath/2007/PartnerControls"/>
    </cfa7561efdaa4ae8bfb5b4b60b0e0bab>
    <gfba5f33532c49208d2320ce38cc3c2b xmlns="fe39d773-a83d-4623-ae74-f25711a76616">
      <Terms xmlns="http://schemas.microsoft.com/office/infopath/2007/PartnerControls"/>
    </gfba5f33532c49208d2320ce38cc3c2b>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etadata xmlns="http://www.objective.com/ecm/document/metadata/UNKNOWN" version="1.0.0">
  <systemFields>
    <field name="Objective-Id">
      <value order="0">A2366839</value>
    </field>
    <field name="Objective-Title">
      <value order="0">Explanatory Statement - AFP Categories of Conduct Determination 2023 - 31 August 2023 - AFP Edits</value>
    </field>
  </systemFields>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1FD76-0EBC-4861-9C4D-D5675D981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9d773-a83d-4623-ae74-f25711a76616"/>
    <ds:schemaRef ds:uri="4cee719a-2b4b-494c-8103-367486517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78533-3486-40E5-9013-DD26FD164D39}">
  <ds:schemaRefs>
    <ds:schemaRef ds:uri="http://schemas.microsoft.com/office/2006/metadata/properties"/>
    <ds:schemaRef ds:uri="4cee719a-2b4b-494c-8103-367486517b11"/>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http://schemas.openxmlformats.org/package/2006/metadata/core-properties"/>
    <ds:schemaRef ds:uri="fe39d773-a83d-4623-ae74-f25711a76616"/>
    <ds:schemaRef ds:uri="http://www.w3.org/XML/1998/namespace"/>
  </ds:schemaRefs>
</ds:datastoreItem>
</file>

<file path=customXml/itemProps3.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UNKNOWN"/>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4FC3D07F-7572-42D5-8DAB-689A8193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Template>
  <TotalTime>1</TotalTime>
  <Pages>10</Pages>
  <Words>4251</Words>
  <Characters>22549</Characters>
  <Application>Microsoft Office Word</Application>
  <DocSecurity>0</DocSecurity>
  <Lines>355</Lines>
  <Paragraphs>115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26749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Schneider Rumble, Anna</dc:creator>
  <cp:lastModifiedBy>Walker, Chloe</cp:lastModifiedBy>
  <cp:revision>3</cp:revision>
  <cp:lastPrinted>2023-09-08T05:27:00Z</cp:lastPrinted>
  <dcterms:created xsi:type="dcterms:W3CDTF">2023-09-08T05:34:00Z</dcterms:created>
  <dcterms:modified xsi:type="dcterms:W3CDTF">2023-09-10T03:56:00Z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0x0101003C0DA2D6AEAB1447B72859C854098035</vt:lpwstr>
  </property>
  <property fmtid="{D5CDD505-2E9C-101B-9397-08002B2CF9AE}" pid="4" name="TSYRecordClass">
    <vt:lpwstr>1;#AE-20260-Destroy 7 years after action completed|623f5ec9-ec5d-4824-8e13-9c9bfc51fe7e</vt:lpwstr>
  </property>
  <property fmtid="{D5CDD505-2E9C-101B-9397-08002B2CF9AE}" pid="5" name="_dlc_DocIdItemGuid">
    <vt:lpwstr>09b78e7c-3061-4e63-81d7-ae8477a810b6</vt:lpwstr>
  </property>
  <property fmtid="{D5CDD505-2E9C-101B-9397-08002B2CF9AE}" pid="6" name="TSYTopic">
    <vt:lpwstr/>
  </property>
  <property fmtid="{D5CDD505-2E9C-101B-9397-08002B2CF9AE}" pid="7" name="eTheme">
    <vt:lpwstr>1</vt:lpwstr>
  </property>
  <property fmtid="{D5CDD505-2E9C-101B-9397-08002B2CF9AE}" pid="8" name="TSYStatus">
    <vt:lpwstr/>
  </property>
  <property fmtid="{D5CDD505-2E9C-101B-9397-08002B2CF9AE}" pid="9" name="MediaServiceImageTags">
    <vt:lpwstr/>
  </property>
  <property fmtid="{D5CDD505-2E9C-101B-9397-08002B2CF9AE}" pid="10" name="eDocumentType">
    <vt:lpwstr/>
  </property>
  <property fmtid="{D5CDD505-2E9C-101B-9397-08002B2CF9AE}" pid="11" name="TSYOffice">
    <vt:lpwstr/>
  </property>
  <property fmtid="{D5CDD505-2E9C-101B-9397-08002B2CF9AE}" pid="12" name="eTopic">
    <vt:lpwstr/>
  </property>
  <property fmtid="{D5CDD505-2E9C-101B-9397-08002B2CF9AE}" pid="13" name="Objective-Id">
    <vt:lpwstr>A2366839</vt:lpwstr>
  </property>
  <property fmtid="{D5CDD505-2E9C-101B-9397-08002B2CF9AE}" pid="14" name="Objective-Title">
    <vt:lpwstr>Explanatory Statement - AFP Categories of Conduct Determination 2023 - 1 September - OCO Edits</vt:lpwstr>
  </property>
  <property fmtid="{D5CDD505-2E9C-101B-9397-08002B2CF9AE}" pid="15" name="Objective-Author - Internal">
    <vt:lpwstr>Angela Teh</vt:lpwstr>
  </property>
  <property fmtid="{D5CDD505-2E9C-101B-9397-08002B2CF9AE}" pid="16" name="Objective-Agency">
    <vt:lpwstr/>
  </property>
  <property fmtid="{D5CDD505-2E9C-101B-9397-08002B2CF9AE}" pid="17" name="Objective-Date on Physical Item">
    <vt:lpwstr/>
  </property>
  <property fmtid="{D5CDD505-2E9C-101B-9397-08002B2CF9AE}" pid="18" name="Objective-Date Physical Item Digitised">
    <vt:lpwstr/>
  </property>
  <property fmtid="{D5CDD505-2E9C-101B-9397-08002B2CF9AE}" pid="19" name="Objective-Date Physical Item Destroyed">
    <vt:lpwstr/>
  </property>
  <property fmtid="{D5CDD505-2E9C-101B-9397-08002B2CF9AE}" pid="20" name="Objective-Physical Item Exists?">
    <vt:lpwstr>No</vt:lpwstr>
  </property>
  <property fmtid="{D5CDD505-2E9C-101B-9397-08002B2CF9AE}" pid="21" name="Objective-Addressee">
    <vt:lpwstr/>
  </property>
  <property fmtid="{D5CDD505-2E9C-101B-9397-08002B2CF9AE}" pid="22" name="Objective-Date Sent">
    <vt:lpwstr/>
  </property>
  <property fmtid="{D5CDD505-2E9C-101B-9397-08002B2CF9AE}" pid="23" name="Objective-Signatory">
    <vt:lpwstr/>
  </property>
  <property fmtid="{D5CDD505-2E9C-101B-9397-08002B2CF9AE}" pid="24" name="Objective-Detailed Description">
    <vt:lpwstr/>
  </property>
  <property fmtid="{D5CDD505-2E9C-101B-9397-08002B2CF9AE}" pid="25" name="Objective-Channel">
    <vt:lpwstr>Outgoing</vt:lpwstr>
  </property>
</Properties>
</file>