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325D" w14:textId="19D23D73" w:rsidR="00512163" w:rsidRPr="00951E55" w:rsidRDefault="00512163" w:rsidP="00512163">
      <w:pPr>
        <w:jc w:val="center"/>
        <w:rPr>
          <w:rFonts w:ascii="Times New Roman" w:hAnsi="Times New Roman" w:cs="Times New Roman"/>
          <w:b/>
          <w:u w:val="single"/>
        </w:rPr>
      </w:pPr>
      <w:r w:rsidRPr="00951E55">
        <w:rPr>
          <w:rFonts w:ascii="Times New Roman" w:hAnsi="Times New Roman" w:cs="Times New Roman"/>
          <w:b/>
          <w:u w:val="single"/>
        </w:rPr>
        <w:t>Explanatory Statement</w:t>
      </w:r>
    </w:p>
    <w:p w14:paraId="5B5EF353" w14:textId="77777777" w:rsidR="00512163" w:rsidRPr="00951E55" w:rsidRDefault="00512163" w:rsidP="00512163">
      <w:pPr>
        <w:jc w:val="center"/>
        <w:rPr>
          <w:rFonts w:ascii="Times New Roman" w:hAnsi="Times New Roman" w:cs="Times New Roman"/>
          <w:i/>
        </w:rPr>
      </w:pPr>
      <w:r w:rsidRPr="00951E55">
        <w:rPr>
          <w:rFonts w:ascii="Times New Roman" w:hAnsi="Times New Roman" w:cs="Times New Roman"/>
          <w:i/>
        </w:rPr>
        <w:t>Broadcasting Services Act 1992</w:t>
      </w:r>
    </w:p>
    <w:p w14:paraId="64A99350" w14:textId="28371E2F" w:rsidR="00512163" w:rsidRPr="00951E55" w:rsidRDefault="00512163" w:rsidP="00512163">
      <w:pPr>
        <w:jc w:val="center"/>
        <w:rPr>
          <w:rFonts w:ascii="Times New Roman" w:hAnsi="Times New Roman" w:cs="Times New Roman"/>
          <w:i/>
        </w:rPr>
      </w:pPr>
      <w:r w:rsidRPr="00951E55">
        <w:rPr>
          <w:rFonts w:ascii="Times New Roman" w:hAnsi="Times New Roman" w:cs="Times New Roman"/>
          <w:i/>
        </w:rPr>
        <w:t xml:space="preserve">Broadcasting Services (Events) </w:t>
      </w:r>
      <w:r w:rsidR="00544611" w:rsidRPr="00951E55">
        <w:rPr>
          <w:rFonts w:ascii="Times New Roman" w:hAnsi="Times New Roman" w:cs="Times New Roman"/>
          <w:i/>
        </w:rPr>
        <w:t xml:space="preserve">Amendment </w:t>
      </w:r>
      <w:r w:rsidRPr="00951E55">
        <w:rPr>
          <w:rFonts w:ascii="Times New Roman" w:hAnsi="Times New Roman" w:cs="Times New Roman"/>
          <w:i/>
        </w:rPr>
        <w:t>Notice 2023</w:t>
      </w:r>
    </w:p>
    <w:p w14:paraId="58854DEF" w14:textId="77777777" w:rsidR="00512163" w:rsidRPr="00951E55" w:rsidRDefault="00512163" w:rsidP="00512163">
      <w:pPr>
        <w:jc w:val="center"/>
        <w:rPr>
          <w:rFonts w:ascii="Times New Roman" w:hAnsi="Times New Roman" w:cs="Times New Roman"/>
        </w:rPr>
      </w:pPr>
      <w:r w:rsidRPr="00951E55">
        <w:rPr>
          <w:rFonts w:ascii="Times New Roman" w:hAnsi="Times New Roman" w:cs="Times New Roman"/>
        </w:rPr>
        <w:t>Issued by the Authority of the Minister for Communications</w:t>
      </w:r>
    </w:p>
    <w:p w14:paraId="0D0BBCEB" w14:textId="77777777" w:rsidR="00512163" w:rsidRPr="00951E55" w:rsidRDefault="00512163" w:rsidP="00512163">
      <w:pPr>
        <w:rPr>
          <w:rFonts w:ascii="Times New Roman" w:hAnsi="Times New Roman" w:cs="Times New Roman"/>
          <w:u w:val="single"/>
        </w:rPr>
      </w:pPr>
      <w:r w:rsidRPr="00951E55">
        <w:rPr>
          <w:rFonts w:ascii="Times New Roman" w:hAnsi="Times New Roman" w:cs="Times New Roman"/>
          <w:u w:val="single"/>
        </w:rPr>
        <w:t>Authority</w:t>
      </w:r>
    </w:p>
    <w:p w14:paraId="03EDDE82" w14:textId="413BC2DF" w:rsidR="008A4A85" w:rsidRPr="00951E55" w:rsidRDefault="00512163" w:rsidP="00512163">
      <w:pPr>
        <w:rPr>
          <w:rFonts w:ascii="Times New Roman" w:hAnsi="Times New Roman" w:cs="Times New Roman"/>
        </w:rPr>
      </w:pPr>
      <w:r w:rsidRPr="00951E55">
        <w:rPr>
          <w:rFonts w:ascii="Times New Roman" w:hAnsi="Times New Roman" w:cs="Times New Roman"/>
        </w:rPr>
        <w:t xml:space="preserve">The </w:t>
      </w:r>
      <w:r w:rsidR="00576064" w:rsidRPr="00951E55">
        <w:rPr>
          <w:rFonts w:ascii="Times New Roman" w:hAnsi="Times New Roman" w:cs="Times New Roman"/>
          <w:i/>
        </w:rPr>
        <w:t>Broadcasting Services (Events) Amendment Notice 2023</w:t>
      </w:r>
      <w:r w:rsidR="00576064" w:rsidRPr="00951E55" w:rsidDel="00576064">
        <w:rPr>
          <w:rFonts w:ascii="Times New Roman" w:hAnsi="Times New Roman" w:cs="Times New Roman"/>
        </w:rPr>
        <w:t xml:space="preserve"> </w:t>
      </w:r>
      <w:r w:rsidR="00F60547" w:rsidRPr="00951E55">
        <w:rPr>
          <w:rFonts w:ascii="Times New Roman" w:hAnsi="Times New Roman" w:cs="Times New Roman"/>
        </w:rPr>
        <w:t>(the Notice)</w:t>
      </w:r>
      <w:r w:rsidR="008A4A85" w:rsidRPr="00951E55">
        <w:rPr>
          <w:rFonts w:ascii="Times New Roman" w:hAnsi="Times New Roman" w:cs="Times New Roman"/>
        </w:rPr>
        <w:t xml:space="preserve"> </w:t>
      </w:r>
      <w:r w:rsidRPr="00951E55">
        <w:rPr>
          <w:rFonts w:ascii="Times New Roman" w:hAnsi="Times New Roman" w:cs="Times New Roman"/>
        </w:rPr>
        <w:t xml:space="preserve">is made by the Minister for Communications (the Minister) under subsection 115(1A) of the </w:t>
      </w:r>
      <w:r w:rsidRPr="00951E55">
        <w:rPr>
          <w:rFonts w:ascii="Times New Roman" w:hAnsi="Times New Roman" w:cs="Times New Roman"/>
          <w:i/>
        </w:rPr>
        <w:t>Broadcasting Services Act 1992</w:t>
      </w:r>
      <w:r w:rsidRPr="00951E55">
        <w:rPr>
          <w:rFonts w:ascii="Times New Roman" w:hAnsi="Times New Roman" w:cs="Times New Roman"/>
        </w:rPr>
        <w:t xml:space="preserve"> (the Act).</w:t>
      </w:r>
    </w:p>
    <w:p w14:paraId="4453F481" w14:textId="3F441B58" w:rsidR="00512163" w:rsidRPr="00951E55" w:rsidRDefault="00512163" w:rsidP="00512163">
      <w:pPr>
        <w:rPr>
          <w:rFonts w:ascii="Times New Roman" w:hAnsi="Times New Roman" w:cs="Times New Roman"/>
          <w:u w:val="single"/>
        </w:rPr>
      </w:pPr>
      <w:r w:rsidRPr="00951E55">
        <w:rPr>
          <w:rFonts w:ascii="Times New Roman" w:hAnsi="Times New Roman" w:cs="Times New Roman"/>
          <w:u w:val="single"/>
        </w:rPr>
        <w:t xml:space="preserve">Purpose </w:t>
      </w:r>
      <w:bookmarkStart w:id="0" w:name="_GoBack"/>
      <w:bookmarkEnd w:id="0"/>
    </w:p>
    <w:p w14:paraId="32D9DEBA" w14:textId="5A27A1B2" w:rsidR="008A4A85" w:rsidRPr="00951E55" w:rsidRDefault="008A4A85" w:rsidP="00512163">
      <w:pPr>
        <w:rPr>
          <w:rFonts w:ascii="Times New Roman" w:hAnsi="Times New Roman" w:cs="Times New Roman"/>
        </w:rPr>
      </w:pPr>
      <w:r w:rsidRPr="00951E55">
        <w:rPr>
          <w:rFonts w:ascii="Times New Roman" w:hAnsi="Times New Roman" w:cs="Times New Roman"/>
        </w:rPr>
        <w:t xml:space="preserve">The purpose of this Notice is to amend the </w:t>
      </w:r>
      <w:r w:rsidRPr="00951E55">
        <w:rPr>
          <w:rFonts w:ascii="Times New Roman" w:hAnsi="Times New Roman" w:cs="Times New Roman"/>
          <w:i/>
        </w:rPr>
        <w:t>Broadcasting Services (Events) Notice 2023</w:t>
      </w:r>
      <w:r w:rsidRPr="00951E55">
        <w:rPr>
          <w:rFonts w:ascii="Times New Roman" w:hAnsi="Times New Roman" w:cs="Times New Roman"/>
        </w:rPr>
        <w:t xml:space="preserve"> (the Principal Notice) </w:t>
      </w:r>
      <w:r w:rsidR="00375F52">
        <w:rPr>
          <w:rFonts w:ascii="Times New Roman" w:hAnsi="Times New Roman" w:cs="Times New Roman"/>
        </w:rPr>
        <w:t>to</w:t>
      </w:r>
      <w:r w:rsidRPr="00951E55">
        <w:rPr>
          <w:rFonts w:ascii="Times New Roman" w:hAnsi="Times New Roman" w:cs="Times New Roman"/>
        </w:rPr>
        <w:t xml:space="preserve"> include </w:t>
      </w:r>
      <w:r w:rsidR="00375F52">
        <w:rPr>
          <w:rFonts w:ascii="Times New Roman" w:hAnsi="Times New Roman" w:cs="Times New Roman"/>
        </w:rPr>
        <w:t>certain</w:t>
      </w:r>
      <w:r w:rsidRPr="00951E55">
        <w:rPr>
          <w:rFonts w:ascii="Times New Roman" w:hAnsi="Times New Roman" w:cs="Times New Roman"/>
        </w:rPr>
        <w:t xml:space="preserve"> events </w:t>
      </w:r>
      <w:r w:rsidR="00F60547" w:rsidRPr="00951E55">
        <w:rPr>
          <w:rFonts w:ascii="Times New Roman" w:hAnsi="Times New Roman" w:cs="Times New Roman"/>
        </w:rPr>
        <w:t>from</w:t>
      </w:r>
      <w:r w:rsidRPr="00951E55">
        <w:rPr>
          <w:rFonts w:ascii="Times New Roman" w:hAnsi="Times New Roman" w:cs="Times New Roman"/>
        </w:rPr>
        <w:t xml:space="preserve"> the </w:t>
      </w:r>
      <w:bookmarkStart w:id="1" w:name="_Hlk144909181"/>
      <w:r w:rsidRPr="00951E55">
        <w:rPr>
          <w:rFonts w:ascii="Times New Roman" w:hAnsi="Times New Roman" w:cs="Times New Roman"/>
          <w:lang w:val="en-US"/>
        </w:rPr>
        <w:t xml:space="preserve">Fédération </w:t>
      </w:r>
      <w:proofErr w:type="spellStart"/>
      <w:r w:rsidRPr="00951E55">
        <w:rPr>
          <w:rFonts w:ascii="Times New Roman" w:hAnsi="Times New Roman" w:cs="Times New Roman"/>
          <w:lang w:val="en-US"/>
        </w:rPr>
        <w:t>Internationale</w:t>
      </w:r>
      <w:proofErr w:type="spellEnd"/>
      <w:r w:rsidRPr="00951E55">
        <w:rPr>
          <w:rFonts w:ascii="Times New Roman" w:hAnsi="Times New Roman" w:cs="Times New Roman"/>
          <w:lang w:val="en-US"/>
        </w:rPr>
        <w:t xml:space="preserve"> de Football Association </w:t>
      </w:r>
      <w:bookmarkEnd w:id="1"/>
      <w:r w:rsidRPr="00951E55">
        <w:rPr>
          <w:rFonts w:ascii="Times New Roman" w:hAnsi="Times New Roman" w:cs="Times New Roman"/>
          <w:lang w:val="en-US"/>
        </w:rPr>
        <w:t xml:space="preserve">(FIFA) Women’s </w:t>
      </w:r>
      <w:r w:rsidRPr="00951E55">
        <w:rPr>
          <w:rFonts w:ascii="Times New Roman" w:hAnsi="Times New Roman" w:cs="Times New Roman"/>
        </w:rPr>
        <w:t>World Cup</w:t>
      </w:r>
      <w:r w:rsidR="00F60547" w:rsidRPr="00951E55">
        <w:rPr>
          <w:rFonts w:ascii="Times New Roman" w:hAnsi="Times New Roman" w:cs="Times New Roman"/>
        </w:rPr>
        <w:t xml:space="preserve">. The listing of certain events from the FIFA Women’s World Cup mirrors the listing of certain events from the FIFA World Cup </w:t>
      </w:r>
      <w:r w:rsidR="00AF6827">
        <w:rPr>
          <w:rFonts w:ascii="Times New Roman" w:hAnsi="Times New Roman" w:cs="Times New Roman"/>
        </w:rPr>
        <w:t xml:space="preserve">(the equivalent men’s tournament) </w:t>
      </w:r>
      <w:r w:rsidR="00F60547" w:rsidRPr="00951E55">
        <w:rPr>
          <w:rFonts w:ascii="Times New Roman" w:hAnsi="Times New Roman" w:cs="Times New Roman"/>
        </w:rPr>
        <w:t>in the Principal Notice.</w:t>
      </w:r>
    </w:p>
    <w:p w14:paraId="63D7D240"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Subsection 115(1) of the Act provides that the Minister may give notice, by legislative instrument, specifying an event, or events of a kind, the televising of which should, in the opinion of the Minister, be available free to the general public. </w:t>
      </w:r>
    </w:p>
    <w:p w14:paraId="69A9D5D6"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A notice made under subsection 115(1) of the Act is commonly known as the ‘anti-siphoning list’ (the list). The anti-siphoning list forms an integral part of the anti-siphoning scheme (as set out in section 115 of the Act and paragraph 10(1)(e) of Schedule 2 to the Act).</w:t>
      </w:r>
    </w:p>
    <w:p w14:paraId="337D64DC"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Subsection 115(1A) of the Act provides that the Minister may give notice, by legislative instrument, amending a notice under subsection 115(1) to specify an additional event, or events of a kind, the televising of which should, in the opinion of the Minister, be available free to the public. </w:t>
      </w:r>
    </w:p>
    <w:p w14:paraId="6208B36F" w14:textId="11B4D04A" w:rsidR="00512163" w:rsidRPr="00951E55" w:rsidRDefault="00F60547" w:rsidP="00512163">
      <w:pPr>
        <w:rPr>
          <w:rFonts w:ascii="Times New Roman" w:hAnsi="Times New Roman" w:cs="Times New Roman"/>
        </w:rPr>
      </w:pPr>
      <w:r w:rsidRPr="00951E55">
        <w:rPr>
          <w:rFonts w:ascii="Times New Roman" w:hAnsi="Times New Roman" w:cs="Times New Roman"/>
        </w:rPr>
        <w:t>This</w:t>
      </w:r>
      <w:r w:rsidR="00512163" w:rsidRPr="00951E55">
        <w:rPr>
          <w:rFonts w:ascii="Times New Roman" w:hAnsi="Times New Roman" w:cs="Times New Roman"/>
        </w:rPr>
        <w:t xml:space="preserve"> </w:t>
      </w:r>
      <w:r w:rsidRPr="00951E55">
        <w:rPr>
          <w:rFonts w:ascii="Times New Roman" w:hAnsi="Times New Roman" w:cs="Times New Roman"/>
        </w:rPr>
        <w:t xml:space="preserve">Notice amends the Principal Notice to add </w:t>
      </w:r>
      <w:r w:rsidR="00AF6827">
        <w:rPr>
          <w:rFonts w:ascii="Times New Roman" w:hAnsi="Times New Roman" w:cs="Times New Roman"/>
        </w:rPr>
        <w:t xml:space="preserve">certain </w:t>
      </w:r>
      <w:r w:rsidRPr="00951E55">
        <w:rPr>
          <w:rFonts w:ascii="Times New Roman" w:hAnsi="Times New Roman" w:cs="Times New Roman"/>
        </w:rPr>
        <w:t xml:space="preserve">events from </w:t>
      </w:r>
      <w:r w:rsidR="00512163" w:rsidRPr="00951E55">
        <w:rPr>
          <w:rFonts w:ascii="Times New Roman" w:hAnsi="Times New Roman" w:cs="Times New Roman"/>
        </w:rPr>
        <w:t>the FIFA Women’s World Cup to the list</w:t>
      </w:r>
      <w:r w:rsidR="00BD30BD">
        <w:rPr>
          <w:rFonts w:ascii="Times New Roman" w:hAnsi="Times New Roman" w:cs="Times New Roman"/>
        </w:rPr>
        <w:t>.</w:t>
      </w:r>
      <w:r w:rsidR="00495989">
        <w:rPr>
          <w:rFonts w:ascii="Times New Roman" w:hAnsi="Times New Roman" w:cs="Times New Roman"/>
        </w:rPr>
        <w:t xml:space="preserve"> This will ensure that these events are subject to the anti-siphoning scheme while a broader review of the scheme and list is conducted. </w:t>
      </w:r>
      <w:r w:rsidR="00512163" w:rsidRPr="00951E55">
        <w:rPr>
          <w:rFonts w:ascii="Times New Roman" w:hAnsi="Times New Roman" w:cs="Times New Roman"/>
        </w:rPr>
        <w:t xml:space="preserve"> </w:t>
      </w:r>
    </w:p>
    <w:p w14:paraId="4C233AC4"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This instrument is a legislative instrument for the purposes of section 8 of the </w:t>
      </w:r>
      <w:r w:rsidRPr="00951E55">
        <w:rPr>
          <w:rFonts w:ascii="Times New Roman" w:hAnsi="Times New Roman" w:cs="Times New Roman"/>
          <w:i/>
        </w:rPr>
        <w:t>Legislation Act 2003</w:t>
      </w:r>
      <w:r w:rsidRPr="00951E55">
        <w:rPr>
          <w:rFonts w:ascii="Times New Roman" w:hAnsi="Times New Roman" w:cs="Times New Roman"/>
        </w:rPr>
        <w:t xml:space="preserve">. </w:t>
      </w:r>
    </w:p>
    <w:p w14:paraId="7E925E86" w14:textId="5A0AF2DC" w:rsidR="00512163" w:rsidRPr="00951E55" w:rsidRDefault="00512163" w:rsidP="00512163">
      <w:pPr>
        <w:rPr>
          <w:rFonts w:ascii="Times New Roman" w:hAnsi="Times New Roman" w:cs="Times New Roman"/>
          <w:u w:val="single"/>
        </w:rPr>
      </w:pPr>
      <w:r w:rsidRPr="00951E55">
        <w:rPr>
          <w:rFonts w:ascii="Times New Roman" w:hAnsi="Times New Roman" w:cs="Times New Roman"/>
          <w:u w:val="single"/>
        </w:rPr>
        <w:t xml:space="preserve">Background </w:t>
      </w:r>
    </w:p>
    <w:p w14:paraId="50412C0C"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The anti-siphoning scheme operates through the inclusion of an event on the anti-siphoning list (in accordance with subsection 115(1) of the Act). This triggers a licence condition for subscription television broadcasting licensees which prohibits them from acquiring a right to televise the event ahead of a commercial television broadcasting licensee or a national broadcaster (see section 99 of the Act and paragraph 10(1)(e) of Schedule 2 to the Act). </w:t>
      </w:r>
    </w:p>
    <w:p w14:paraId="6F439B74"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Events are taken to be removed from the anti-siphoning list 4,368 hours (approximately 6 months) before their start unless the Minister intervenes to retain an event on the list (see subsection 115(1AA)) of the Act). The anti-siphoning list has been amended a number of times since it was first made on 6 July 1994, with events added and removed. To date, all events included on the list have been sporting events. </w:t>
      </w:r>
    </w:p>
    <w:p w14:paraId="0FAF9BD7"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The inclusion of an event on the anti-siphoning list does not guarantee that it will be broadcast on free-to-air television. Rather, the list (and the anti-siphoning scheme) aim to encourage free-to-air coverage of events on the list by giving free-to-air broadcasters an opportunity to acquire the right to televise those events ahead of subscription television broadcasting licensees. </w:t>
      </w:r>
    </w:p>
    <w:p w14:paraId="2954EAD5" w14:textId="3EB64B72" w:rsidR="00291E71" w:rsidRPr="00951E55" w:rsidRDefault="00512163" w:rsidP="00951E55">
      <w:pPr>
        <w:keepNext/>
        <w:keepLines/>
        <w:rPr>
          <w:rFonts w:ascii="Times New Roman" w:hAnsi="Times New Roman" w:cs="Times New Roman"/>
          <w:u w:val="single"/>
        </w:rPr>
      </w:pPr>
      <w:r w:rsidRPr="00951E55">
        <w:rPr>
          <w:rFonts w:ascii="Times New Roman" w:hAnsi="Times New Roman" w:cs="Times New Roman"/>
          <w:u w:val="single"/>
        </w:rPr>
        <w:lastRenderedPageBreak/>
        <w:t>Consultation</w:t>
      </w:r>
    </w:p>
    <w:p w14:paraId="6F809EBB" w14:textId="3BB5DFA9" w:rsidR="00291E71" w:rsidRPr="00951E55" w:rsidRDefault="00291E71" w:rsidP="00951E55">
      <w:pPr>
        <w:keepNext/>
        <w:keepLines/>
        <w:rPr>
          <w:rFonts w:ascii="Times New Roman" w:hAnsi="Times New Roman" w:cs="Times New Roman"/>
        </w:rPr>
      </w:pPr>
      <w:r w:rsidRPr="00951E55">
        <w:rPr>
          <w:rFonts w:ascii="Times New Roman" w:hAnsi="Times New Roman" w:cs="Times New Roman"/>
        </w:rPr>
        <w:t xml:space="preserve">The Department of Infrastructure, Transport, Regional Development, Communications and the Arts (the Department) undertook a consultation process as part of </w:t>
      </w:r>
      <w:r w:rsidR="00AF6827">
        <w:rPr>
          <w:rFonts w:ascii="Times New Roman" w:hAnsi="Times New Roman" w:cs="Times New Roman"/>
        </w:rPr>
        <w:t>a</w:t>
      </w:r>
      <w:r w:rsidR="00AF6827" w:rsidRPr="00951E55">
        <w:rPr>
          <w:rFonts w:ascii="Times New Roman" w:hAnsi="Times New Roman" w:cs="Times New Roman"/>
        </w:rPr>
        <w:t xml:space="preserve"> </w:t>
      </w:r>
      <w:r w:rsidRPr="00951E55">
        <w:rPr>
          <w:rFonts w:ascii="Times New Roman" w:hAnsi="Times New Roman" w:cs="Times New Roman"/>
        </w:rPr>
        <w:t>broader review of the anti-siphoning scheme</w:t>
      </w:r>
      <w:r w:rsidR="00AF6827">
        <w:rPr>
          <w:rFonts w:ascii="Times New Roman" w:hAnsi="Times New Roman" w:cs="Times New Roman"/>
        </w:rPr>
        <w:t xml:space="preserve"> and list</w:t>
      </w:r>
      <w:r w:rsidRPr="00951E55">
        <w:rPr>
          <w:rFonts w:ascii="Times New Roman" w:hAnsi="Times New Roman" w:cs="Times New Roman"/>
        </w:rPr>
        <w:t xml:space="preserve">. </w:t>
      </w:r>
      <w:r w:rsidR="00B62D56">
        <w:rPr>
          <w:rFonts w:ascii="Times New Roman" w:hAnsi="Times New Roman" w:cs="Times New Roman"/>
        </w:rPr>
        <w:t>On 11 October 2022, t</w:t>
      </w:r>
      <w:r w:rsidR="00AF6827">
        <w:rPr>
          <w:rFonts w:ascii="Times New Roman" w:hAnsi="Times New Roman" w:cs="Times New Roman"/>
        </w:rPr>
        <w:t xml:space="preserve">he </w:t>
      </w:r>
      <w:r w:rsidR="00AF6827" w:rsidRPr="009A1225">
        <w:rPr>
          <w:rFonts w:ascii="Times New Roman" w:hAnsi="Times New Roman" w:cs="Times New Roman"/>
          <w:i/>
        </w:rPr>
        <w:t>Review of the anti-siphoning scheme: consultation paper</w:t>
      </w:r>
      <w:r w:rsidR="00AF6827">
        <w:rPr>
          <w:rFonts w:ascii="Times New Roman" w:hAnsi="Times New Roman" w:cs="Times New Roman"/>
        </w:rPr>
        <w:t xml:space="preserve"> (the consultation paper) was released to </w:t>
      </w:r>
      <w:r w:rsidR="00495989">
        <w:rPr>
          <w:rFonts w:ascii="Times New Roman" w:hAnsi="Times New Roman" w:cs="Times New Roman"/>
        </w:rPr>
        <w:t>initiate the review</w:t>
      </w:r>
      <w:r w:rsidR="00B62D56">
        <w:rPr>
          <w:rFonts w:ascii="Times New Roman" w:hAnsi="Times New Roman" w:cs="Times New Roman"/>
        </w:rPr>
        <w:t xml:space="preserve"> and the </w:t>
      </w:r>
      <w:r w:rsidRPr="00951E55">
        <w:rPr>
          <w:rFonts w:ascii="Times New Roman" w:hAnsi="Times New Roman" w:cs="Times New Roman"/>
        </w:rPr>
        <w:t>submission</w:t>
      </w:r>
      <w:r w:rsidR="00B62D56">
        <w:rPr>
          <w:rFonts w:ascii="Times New Roman" w:hAnsi="Times New Roman" w:cs="Times New Roman"/>
        </w:rPr>
        <w:t>s period for the consultation paper closed</w:t>
      </w:r>
      <w:r w:rsidRPr="00951E55">
        <w:rPr>
          <w:rFonts w:ascii="Times New Roman" w:hAnsi="Times New Roman" w:cs="Times New Roman"/>
        </w:rPr>
        <w:t xml:space="preserve"> on 6</w:t>
      </w:r>
      <w:r w:rsidR="00B62D56">
        <w:rPr>
          <w:rFonts w:ascii="Times New Roman" w:hAnsi="Times New Roman" w:cs="Times New Roman"/>
        </w:rPr>
        <w:t> </w:t>
      </w:r>
      <w:r w:rsidRPr="00951E55">
        <w:rPr>
          <w:rFonts w:ascii="Times New Roman" w:hAnsi="Times New Roman" w:cs="Times New Roman"/>
        </w:rPr>
        <w:t>December</w:t>
      </w:r>
      <w:r w:rsidR="00B62D56">
        <w:rPr>
          <w:rFonts w:ascii="Times New Roman" w:hAnsi="Times New Roman" w:cs="Times New Roman"/>
        </w:rPr>
        <w:t> </w:t>
      </w:r>
      <w:r w:rsidRPr="00951E55">
        <w:rPr>
          <w:rFonts w:ascii="Times New Roman" w:hAnsi="Times New Roman" w:cs="Times New Roman"/>
        </w:rPr>
        <w:t xml:space="preserve">2022. </w:t>
      </w:r>
    </w:p>
    <w:p w14:paraId="0F19A821" w14:textId="4B5220A6" w:rsidR="00CB2CD3" w:rsidRPr="00951E55" w:rsidRDefault="00291E71" w:rsidP="00512163">
      <w:pPr>
        <w:rPr>
          <w:rFonts w:ascii="Times New Roman" w:hAnsi="Times New Roman" w:cs="Times New Roman"/>
          <w:highlight w:val="yellow"/>
        </w:rPr>
      </w:pPr>
      <w:r w:rsidRPr="00951E55">
        <w:rPr>
          <w:rFonts w:ascii="Times New Roman" w:hAnsi="Times New Roman" w:cs="Times New Roman"/>
        </w:rPr>
        <w:t xml:space="preserve">A total of 25 submissions were received in response to the consultation paper. All 13 public submissions were published on the Department’s website. The remaining 12 submissions were confidential. </w:t>
      </w:r>
      <w:r w:rsidR="00CB2CD3" w:rsidRPr="00951E55">
        <w:rPr>
          <w:rFonts w:ascii="Times New Roman" w:hAnsi="Times New Roman" w:cs="Times New Roman"/>
        </w:rPr>
        <w:t xml:space="preserve">Three stakeholder round tables were also held with free-to-air broadcasters, </w:t>
      </w:r>
      <w:r w:rsidR="00AF6827">
        <w:rPr>
          <w:rFonts w:ascii="Times New Roman" w:hAnsi="Times New Roman" w:cs="Times New Roman"/>
        </w:rPr>
        <w:t>s</w:t>
      </w:r>
      <w:r w:rsidR="00CB2CD3" w:rsidRPr="00951E55">
        <w:rPr>
          <w:rFonts w:ascii="Times New Roman" w:hAnsi="Times New Roman" w:cs="Times New Roman"/>
        </w:rPr>
        <w:t>ubscription television and streaming services, and sporting bodies in November 2022.</w:t>
      </w:r>
    </w:p>
    <w:p w14:paraId="446C0C59" w14:textId="25905004" w:rsidR="00512163" w:rsidRPr="00951E55" w:rsidRDefault="00512163" w:rsidP="00512163">
      <w:pPr>
        <w:rPr>
          <w:rFonts w:ascii="Times New Roman" w:hAnsi="Times New Roman" w:cs="Times New Roman"/>
        </w:rPr>
      </w:pPr>
      <w:r w:rsidRPr="00951E55">
        <w:rPr>
          <w:rFonts w:ascii="Times New Roman" w:hAnsi="Times New Roman" w:cs="Times New Roman"/>
        </w:rPr>
        <w:t>On 19 August 2023,</w:t>
      </w:r>
      <w:r w:rsidR="00490202" w:rsidRPr="00951E55">
        <w:rPr>
          <w:rFonts w:ascii="Times New Roman" w:hAnsi="Times New Roman" w:cs="Times New Roman"/>
        </w:rPr>
        <w:t xml:space="preserve"> </w:t>
      </w:r>
      <w:r w:rsidRPr="00951E55">
        <w:rPr>
          <w:rFonts w:ascii="Times New Roman" w:hAnsi="Times New Roman" w:cs="Times New Roman"/>
        </w:rPr>
        <w:t xml:space="preserve">the </w:t>
      </w:r>
      <w:r w:rsidR="00AF6827" w:rsidRPr="009A1225">
        <w:rPr>
          <w:rFonts w:ascii="Times New Roman" w:hAnsi="Times New Roman" w:cs="Times New Roman"/>
          <w:i/>
        </w:rPr>
        <w:t>Anti-siphoning review: proposals paper</w:t>
      </w:r>
      <w:r w:rsidR="00AF6827">
        <w:rPr>
          <w:rFonts w:ascii="Times New Roman" w:hAnsi="Times New Roman" w:cs="Times New Roman"/>
        </w:rPr>
        <w:t xml:space="preserve"> (the proposals paper) </w:t>
      </w:r>
      <w:r w:rsidR="00495989">
        <w:rPr>
          <w:rFonts w:ascii="Times New Roman" w:hAnsi="Times New Roman" w:cs="Times New Roman"/>
        </w:rPr>
        <w:t xml:space="preserve">was released for consultation. The proposals paper </w:t>
      </w:r>
      <w:r w:rsidRPr="00951E55">
        <w:rPr>
          <w:rFonts w:ascii="Times New Roman" w:hAnsi="Times New Roman" w:cs="Times New Roman"/>
        </w:rPr>
        <w:t>canvassed potential models for reform</w:t>
      </w:r>
      <w:r w:rsidR="00AF6827">
        <w:rPr>
          <w:rFonts w:ascii="Times New Roman" w:hAnsi="Times New Roman" w:cs="Times New Roman"/>
        </w:rPr>
        <w:t xml:space="preserve"> of the scheme and potential options for a new list to be made once those reforms were enacted</w:t>
      </w:r>
      <w:r w:rsidRPr="00951E55">
        <w:rPr>
          <w:rFonts w:ascii="Times New Roman" w:hAnsi="Times New Roman" w:cs="Times New Roman"/>
        </w:rPr>
        <w:t>.</w:t>
      </w:r>
      <w:r w:rsidR="00CB2CD3" w:rsidRPr="00951E55">
        <w:rPr>
          <w:rFonts w:ascii="Times New Roman" w:hAnsi="Times New Roman" w:cs="Times New Roman"/>
        </w:rPr>
        <w:t xml:space="preserve"> The consultation period for th</w:t>
      </w:r>
      <w:r w:rsidR="00AF6827">
        <w:rPr>
          <w:rFonts w:ascii="Times New Roman" w:hAnsi="Times New Roman" w:cs="Times New Roman"/>
        </w:rPr>
        <w:t xml:space="preserve">e proposals </w:t>
      </w:r>
      <w:r w:rsidR="00CB2CD3" w:rsidRPr="00951E55">
        <w:rPr>
          <w:rFonts w:ascii="Times New Roman" w:hAnsi="Times New Roman" w:cs="Times New Roman"/>
        </w:rPr>
        <w:t>paper closes on 17 September 2023.</w:t>
      </w:r>
    </w:p>
    <w:p w14:paraId="5FC53332" w14:textId="256CA93D" w:rsidR="00B93450" w:rsidRPr="00951E55" w:rsidRDefault="00153A52" w:rsidP="00512163">
      <w:pPr>
        <w:rPr>
          <w:rFonts w:ascii="Times New Roman" w:hAnsi="Times New Roman" w:cs="Times New Roman"/>
        </w:rPr>
      </w:pPr>
      <w:r>
        <w:rPr>
          <w:rFonts w:ascii="Times New Roman" w:hAnsi="Times New Roman" w:cs="Times New Roman"/>
        </w:rPr>
        <w:t>A</w:t>
      </w:r>
      <w:r w:rsidR="00081203" w:rsidRPr="00951E55">
        <w:rPr>
          <w:rFonts w:ascii="Times New Roman" w:hAnsi="Times New Roman" w:cs="Times New Roman"/>
        </w:rPr>
        <w:t xml:space="preserve"> variety of views </w:t>
      </w:r>
      <w:r>
        <w:rPr>
          <w:rFonts w:ascii="Times New Roman" w:hAnsi="Times New Roman" w:cs="Times New Roman"/>
        </w:rPr>
        <w:t xml:space="preserve">were </w:t>
      </w:r>
      <w:r w:rsidR="00081203" w:rsidRPr="00951E55">
        <w:rPr>
          <w:rFonts w:ascii="Times New Roman" w:hAnsi="Times New Roman" w:cs="Times New Roman"/>
        </w:rPr>
        <w:t xml:space="preserve">put forward in relation to the </w:t>
      </w:r>
      <w:r w:rsidR="00791AE8" w:rsidRPr="009A1225">
        <w:rPr>
          <w:rFonts w:ascii="Times New Roman" w:hAnsi="Times New Roman" w:cs="Times New Roman"/>
        </w:rPr>
        <w:t xml:space="preserve">composition of </w:t>
      </w:r>
      <w:r w:rsidR="00791AE8" w:rsidRPr="00951E55">
        <w:rPr>
          <w:rFonts w:ascii="Times New Roman" w:hAnsi="Times New Roman" w:cs="Times New Roman"/>
        </w:rPr>
        <w:t>the</w:t>
      </w:r>
      <w:r w:rsidR="00081203" w:rsidRPr="00951E55">
        <w:rPr>
          <w:rFonts w:ascii="Times New Roman" w:hAnsi="Times New Roman" w:cs="Times New Roman"/>
        </w:rPr>
        <w:t xml:space="preserve"> anti-siphoning list</w:t>
      </w:r>
      <w:r>
        <w:rPr>
          <w:rFonts w:ascii="Times New Roman" w:hAnsi="Times New Roman" w:cs="Times New Roman"/>
        </w:rPr>
        <w:t xml:space="preserve"> through the initial consultation process, with a </w:t>
      </w:r>
      <w:r w:rsidR="00791AE8" w:rsidRPr="00951E55">
        <w:rPr>
          <w:rFonts w:ascii="Times New Roman" w:hAnsi="Times New Roman" w:cs="Times New Roman"/>
        </w:rPr>
        <w:t>number of</w:t>
      </w:r>
      <w:r w:rsidR="00566BB6" w:rsidRPr="00951E55">
        <w:rPr>
          <w:rFonts w:ascii="Times New Roman" w:hAnsi="Times New Roman" w:cs="Times New Roman"/>
        </w:rPr>
        <w:t xml:space="preserve"> stakeholders </w:t>
      </w:r>
      <w:r w:rsidR="00791AE8" w:rsidRPr="00951E55">
        <w:rPr>
          <w:rFonts w:ascii="Times New Roman" w:hAnsi="Times New Roman" w:cs="Times New Roman"/>
        </w:rPr>
        <w:t>arg</w:t>
      </w:r>
      <w:r>
        <w:rPr>
          <w:rFonts w:ascii="Times New Roman" w:hAnsi="Times New Roman" w:cs="Times New Roman"/>
        </w:rPr>
        <w:t>uing</w:t>
      </w:r>
      <w:r w:rsidR="00566BB6" w:rsidRPr="00951E55">
        <w:rPr>
          <w:rFonts w:ascii="Times New Roman" w:hAnsi="Times New Roman" w:cs="Times New Roman"/>
        </w:rPr>
        <w:t xml:space="preserve"> that </w:t>
      </w:r>
      <w:r w:rsidR="00495989">
        <w:rPr>
          <w:rFonts w:ascii="Times New Roman" w:hAnsi="Times New Roman" w:cs="Times New Roman"/>
        </w:rPr>
        <w:t xml:space="preserve">it </w:t>
      </w:r>
      <w:r w:rsidR="00566BB6" w:rsidRPr="00951E55">
        <w:rPr>
          <w:rFonts w:ascii="Times New Roman" w:hAnsi="Times New Roman" w:cs="Times New Roman"/>
        </w:rPr>
        <w:t>should be expanded to include more women’s sports.</w:t>
      </w:r>
      <w:r w:rsidR="005E6CAB">
        <w:rPr>
          <w:rFonts w:ascii="Times New Roman" w:hAnsi="Times New Roman" w:cs="Times New Roman"/>
        </w:rPr>
        <w:t xml:space="preserve"> </w:t>
      </w:r>
      <w:r w:rsidR="005E6CAB" w:rsidRPr="00AA3C10">
        <w:rPr>
          <w:rFonts w:ascii="Times New Roman" w:hAnsi="Times New Roman" w:cs="Times New Roman"/>
        </w:rPr>
        <w:t xml:space="preserve">Stakeholders that supported increasing the representation of women’s sports on the list included </w:t>
      </w:r>
      <w:r w:rsidR="007A12FD">
        <w:rPr>
          <w:rFonts w:ascii="Times New Roman" w:hAnsi="Times New Roman" w:cs="Times New Roman"/>
        </w:rPr>
        <w:t xml:space="preserve">some </w:t>
      </w:r>
      <w:r w:rsidR="005E6CAB" w:rsidRPr="00AA3C10">
        <w:rPr>
          <w:rFonts w:ascii="Times New Roman" w:hAnsi="Times New Roman" w:cs="Times New Roman"/>
        </w:rPr>
        <w:t xml:space="preserve">sporting bodies, free-to-air broadcasters and </w:t>
      </w:r>
      <w:r w:rsidR="00AE3BE7" w:rsidRPr="00AA3C10">
        <w:rPr>
          <w:rFonts w:ascii="Times New Roman" w:hAnsi="Times New Roman" w:cs="Times New Roman"/>
        </w:rPr>
        <w:t>community groups.</w:t>
      </w:r>
    </w:p>
    <w:p w14:paraId="47CD0CA4" w14:textId="77777777" w:rsidR="00512163" w:rsidRPr="00951E55" w:rsidRDefault="00512163" w:rsidP="00512163">
      <w:pPr>
        <w:rPr>
          <w:rFonts w:ascii="Times New Roman" w:hAnsi="Times New Roman" w:cs="Times New Roman"/>
          <w:u w:val="single"/>
        </w:rPr>
      </w:pPr>
      <w:r w:rsidRPr="00951E55">
        <w:rPr>
          <w:rFonts w:ascii="Times New Roman" w:hAnsi="Times New Roman" w:cs="Times New Roman"/>
          <w:u w:val="single"/>
        </w:rPr>
        <w:t xml:space="preserve">Regulatory impact analysis </w:t>
      </w:r>
    </w:p>
    <w:p w14:paraId="206AC154"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The Office of Impact Analysis (OIA) has advised that self-assessment by the Department can be conducted in lieu of an Impact Analysis.</w:t>
      </w:r>
    </w:p>
    <w:p w14:paraId="3A877BE6" w14:textId="09EC38E2"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The Department has certified that the addition of </w:t>
      </w:r>
      <w:r w:rsidR="00C2440C" w:rsidRPr="00951E55">
        <w:rPr>
          <w:rFonts w:ascii="Times New Roman" w:hAnsi="Times New Roman" w:cs="Times New Roman"/>
        </w:rPr>
        <w:t>events from the</w:t>
      </w:r>
      <w:r w:rsidRPr="00951E55">
        <w:rPr>
          <w:rFonts w:ascii="Times New Roman" w:hAnsi="Times New Roman" w:cs="Times New Roman"/>
        </w:rPr>
        <w:t xml:space="preserve"> FIFA Women’s World Cup in a manner that mirrors existing</w:t>
      </w:r>
      <w:r w:rsidR="00495989">
        <w:rPr>
          <w:rFonts w:ascii="Times New Roman" w:hAnsi="Times New Roman" w:cs="Times New Roman"/>
        </w:rPr>
        <w:t xml:space="preserve"> inclusion of events from the </w:t>
      </w:r>
      <w:r w:rsidRPr="00951E55">
        <w:rPr>
          <w:rFonts w:ascii="Times New Roman" w:hAnsi="Times New Roman" w:cs="Times New Roman"/>
        </w:rPr>
        <w:t xml:space="preserve">FIFA World Cup </w:t>
      </w:r>
      <w:r w:rsidR="00495989">
        <w:rPr>
          <w:rFonts w:ascii="Times New Roman" w:hAnsi="Times New Roman" w:cs="Times New Roman"/>
        </w:rPr>
        <w:t>(the equivalent men’s tournament)</w:t>
      </w:r>
      <w:r w:rsidR="00495989" w:rsidRPr="00951E55">
        <w:rPr>
          <w:rFonts w:ascii="Times New Roman" w:hAnsi="Times New Roman" w:cs="Times New Roman"/>
        </w:rPr>
        <w:t xml:space="preserve"> </w:t>
      </w:r>
      <w:r w:rsidRPr="00951E55">
        <w:rPr>
          <w:rFonts w:ascii="Times New Roman" w:hAnsi="Times New Roman" w:cs="Times New Roman"/>
        </w:rPr>
        <w:t>is a minor addition</w:t>
      </w:r>
      <w:r w:rsidR="00495989">
        <w:rPr>
          <w:rFonts w:ascii="Times New Roman" w:hAnsi="Times New Roman" w:cs="Times New Roman"/>
        </w:rPr>
        <w:t xml:space="preserve"> </w:t>
      </w:r>
      <w:r w:rsidRPr="00951E55">
        <w:rPr>
          <w:rFonts w:ascii="Times New Roman" w:hAnsi="Times New Roman" w:cs="Times New Roman"/>
        </w:rPr>
        <w:t>and</w:t>
      </w:r>
      <w:r w:rsidR="00490202" w:rsidRPr="00951E55">
        <w:rPr>
          <w:rFonts w:ascii="Times New Roman" w:hAnsi="Times New Roman" w:cs="Times New Roman"/>
        </w:rPr>
        <w:t>,</w:t>
      </w:r>
      <w:r w:rsidRPr="00951E55">
        <w:rPr>
          <w:rFonts w:ascii="Times New Roman" w:hAnsi="Times New Roman" w:cs="Times New Roman"/>
        </w:rPr>
        <w:t xml:space="preserve"> as such</w:t>
      </w:r>
      <w:r w:rsidR="00490202" w:rsidRPr="00951E55">
        <w:rPr>
          <w:rFonts w:ascii="Times New Roman" w:hAnsi="Times New Roman" w:cs="Times New Roman"/>
        </w:rPr>
        <w:t>,</w:t>
      </w:r>
      <w:r w:rsidRPr="00951E55">
        <w:rPr>
          <w:rFonts w:ascii="Times New Roman" w:hAnsi="Times New Roman" w:cs="Times New Roman"/>
        </w:rPr>
        <w:t xml:space="preserve"> that an Impact Analysis is not required for this amendment. </w:t>
      </w:r>
    </w:p>
    <w:p w14:paraId="4EFBD383" w14:textId="0B225E8D" w:rsidR="00576064" w:rsidRPr="00A03D7B" w:rsidRDefault="00512163" w:rsidP="00492668">
      <w:pPr>
        <w:rPr>
          <w:rFonts w:ascii="Times New Roman" w:hAnsi="Times New Roman" w:cs="Times New Roman"/>
        </w:rPr>
      </w:pPr>
      <w:r w:rsidRPr="00951E55">
        <w:rPr>
          <w:rFonts w:ascii="Times New Roman" w:hAnsi="Times New Roman" w:cs="Times New Roman"/>
        </w:rPr>
        <w:t xml:space="preserve">A certification letter advising of this will be published on the OIA website. The OIA reference number is </w:t>
      </w:r>
      <w:r w:rsidR="00A03D7B" w:rsidRPr="00B8047A">
        <w:rPr>
          <w:rFonts w:ascii="Times New Roman" w:hAnsi="Times New Roman" w:cs="Times New Roman"/>
        </w:rPr>
        <w:t>OIA23-05544</w:t>
      </w:r>
      <w:r w:rsidRPr="00B8047A">
        <w:rPr>
          <w:rFonts w:ascii="Times New Roman" w:hAnsi="Times New Roman" w:cs="Times New Roman"/>
        </w:rPr>
        <w:t>.</w:t>
      </w:r>
    </w:p>
    <w:p w14:paraId="0D917F78" w14:textId="00E4C10E" w:rsidR="00576064" w:rsidRPr="00951E55" w:rsidRDefault="00576064" w:rsidP="00492668">
      <w:pPr>
        <w:rPr>
          <w:rFonts w:ascii="Times New Roman" w:hAnsi="Times New Roman" w:cs="Times New Roman"/>
          <w:b/>
        </w:rPr>
      </w:pPr>
      <w:r w:rsidRPr="00951E55">
        <w:rPr>
          <w:rFonts w:ascii="Times New Roman" w:hAnsi="Times New Roman" w:cs="Times New Roman"/>
        </w:rPr>
        <w:t xml:space="preserve">Further </w:t>
      </w:r>
      <w:r w:rsidR="00E4355B">
        <w:rPr>
          <w:rFonts w:ascii="Times New Roman" w:hAnsi="Times New Roman" w:cs="Times New Roman"/>
        </w:rPr>
        <w:t>i</w:t>
      </w:r>
      <w:r w:rsidRPr="00951E55">
        <w:rPr>
          <w:rFonts w:ascii="Times New Roman" w:hAnsi="Times New Roman" w:cs="Times New Roman"/>
        </w:rPr>
        <w:t xml:space="preserve">nformation about the Notice is at </w:t>
      </w:r>
      <w:r w:rsidRPr="00951E55">
        <w:rPr>
          <w:rFonts w:ascii="Times New Roman" w:hAnsi="Times New Roman" w:cs="Times New Roman"/>
          <w:b/>
          <w:u w:val="single"/>
        </w:rPr>
        <w:t>Attachment A.</w:t>
      </w:r>
    </w:p>
    <w:p w14:paraId="394A3ECC" w14:textId="77777777" w:rsidR="00AC4995" w:rsidRPr="00951E55" w:rsidRDefault="00AC4995">
      <w:pPr>
        <w:suppressAutoHyphens w:val="0"/>
        <w:rPr>
          <w:rFonts w:ascii="Times New Roman" w:hAnsi="Times New Roman" w:cs="Times New Roman"/>
          <w:b/>
        </w:rPr>
      </w:pPr>
      <w:r w:rsidRPr="00951E55">
        <w:rPr>
          <w:rFonts w:ascii="Times New Roman" w:hAnsi="Times New Roman" w:cs="Times New Roman"/>
          <w:b/>
        </w:rPr>
        <w:br w:type="page"/>
      </w:r>
    </w:p>
    <w:p w14:paraId="34FBD035" w14:textId="3FF1C61E" w:rsidR="00F60547" w:rsidRPr="00951E55" w:rsidRDefault="00576064" w:rsidP="00951E55">
      <w:pPr>
        <w:jc w:val="right"/>
        <w:rPr>
          <w:rFonts w:ascii="Times New Roman" w:hAnsi="Times New Roman" w:cs="Times New Roman"/>
          <w:b/>
        </w:rPr>
      </w:pPr>
      <w:r w:rsidRPr="00951E55">
        <w:rPr>
          <w:rFonts w:ascii="Times New Roman" w:hAnsi="Times New Roman" w:cs="Times New Roman"/>
          <w:b/>
        </w:rPr>
        <w:lastRenderedPageBreak/>
        <w:t>Attachment A</w:t>
      </w:r>
      <w:r w:rsidR="00512163" w:rsidRPr="00951E55">
        <w:rPr>
          <w:rFonts w:ascii="Times New Roman" w:hAnsi="Times New Roman" w:cs="Times New Roman"/>
          <w:b/>
        </w:rPr>
        <w:t xml:space="preserve"> </w:t>
      </w:r>
    </w:p>
    <w:p w14:paraId="4DB368F9" w14:textId="3CAAF63D" w:rsidR="00F60547" w:rsidRPr="00951E55" w:rsidRDefault="00576064">
      <w:pPr>
        <w:suppressAutoHyphens w:val="0"/>
        <w:rPr>
          <w:rFonts w:ascii="Times New Roman" w:hAnsi="Times New Roman" w:cs="Times New Roman"/>
          <w:b/>
        </w:rPr>
      </w:pPr>
      <w:r w:rsidRPr="00951E55">
        <w:rPr>
          <w:rFonts w:ascii="Times New Roman" w:hAnsi="Times New Roman" w:cs="Times New Roman"/>
          <w:b/>
        </w:rPr>
        <w:t xml:space="preserve">Notes </w:t>
      </w:r>
      <w:proofErr w:type="gramStart"/>
      <w:r w:rsidRPr="00951E55">
        <w:rPr>
          <w:rFonts w:ascii="Times New Roman" w:hAnsi="Times New Roman" w:cs="Times New Roman"/>
          <w:b/>
        </w:rPr>
        <w:t>On</w:t>
      </w:r>
      <w:proofErr w:type="gramEnd"/>
      <w:r w:rsidRPr="00951E55">
        <w:rPr>
          <w:rFonts w:ascii="Times New Roman" w:hAnsi="Times New Roman" w:cs="Times New Roman"/>
          <w:b/>
        </w:rPr>
        <w:t xml:space="preserve"> Clauses</w:t>
      </w:r>
    </w:p>
    <w:p w14:paraId="3991EED2" w14:textId="70BA4E6B" w:rsidR="00576064" w:rsidRPr="00951E55" w:rsidRDefault="00576064">
      <w:pPr>
        <w:suppressAutoHyphens w:val="0"/>
        <w:rPr>
          <w:rFonts w:ascii="Times New Roman" w:hAnsi="Times New Roman" w:cs="Times New Roman"/>
        </w:rPr>
      </w:pPr>
      <w:r w:rsidRPr="00951E55">
        <w:rPr>
          <w:rFonts w:ascii="Times New Roman" w:hAnsi="Times New Roman" w:cs="Times New Roman"/>
          <w:u w:val="single"/>
        </w:rPr>
        <w:t>Section 1</w:t>
      </w:r>
      <w:r w:rsidRPr="00951E55">
        <w:rPr>
          <w:rFonts w:ascii="Times New Roman" w:hAnsi="Times New Roman" w:cs="Times New Roman"/>
        </w:rPr>
        <w:t xml:space="preserve"> provides that the name of the Notice is the </w:t>
      </w:r>
      <w:r w:rsidRPr="00951E55">
        <w:rPr>
          <w:rFonts w:ascii="Times New Roman" w:hAnsi="Times New Roman" w:cs="Times New Roman"/>
          <w:i/>
        </w:rPr>
        <w:t>Broadcasting Services (Events) Amendment Notice 2023</w:t>
      </w:r>
      <w:r w:rsidRPr="00951E55">
        <w:rPr>
          <w:rFonts w:ascii="Times New Roman" w:hAnsi="Times New Roman" w:cs="Times New Roman"/>
        </w:rPr>
        <w:t>.</w:t>
      </w:r>
    </w:p>
    <w:p w14:paraId="750F4A91" w14:textId="4173E58E" w:rsidR="00576064" w:rsidRPr="00951E55" w:rsidRDefault="00576064">
      <w:pPr>
        <w:suppressAutoHyphens w:val="0"/>
        <w:rPr>
          <w:rFonts w:ascii="Times New Roman" w:hAnsi="Times New Roman" w:cs="Times New Roman"/>
        </w:rPr>
      </w:pPr>
      <w:r w:rsidRPr="00951E55">
        <w:rPr>
          <w:rFonts w:ascii="Times New Roman" w:hAnsi="Times New Roman" w:cs="Times New Roman"/>
          <w:u w:val="single"/>
        </w:rPr>
        <w:t>Section 2</w:t>
      </w:r>
      <w:r w:rsidRPr="00951E55">
        <w:rPr>
          <w:rFonts w:ascii="Times New Roman" w:hAnsi="Times New Roman" w:cs="Times New Roman"/>
        </w:rPr>
        <w:t xml:space="preserve"> provides </w:t>
      </w:r>
      <w:r w:rsidRPr="00951E55">
        <w:rPr>
          <w:rFonts w:ascii="Times New Roman" w:hAnsi="Times New Roman" w:cs="Times New Roman"/>
          <w:color w:val="000000"/>
          <w:shd w:val="clear" w:color="auto" w:fill="FFFFFF"/>
        </w:rPr>
        <w:t xml:space="preserve">that the Notice will commence the day after </w:t>
      </w:r>
      <w:r w:rsidR="00AC4995" w:rsidRPr="00951E55">
        <w:rPr>
          <w:rFonts w:ascii="Times New Roman" w:hAnsi="Times New Roman" w:cs="Times New Roman"/>
          <w:color w:val="000000"/>
          <w:shd w:val="clear" w:color="auto" w:fill="FFFFFF"/>
        </w:rPr>
        <w:t>the instrument</w:t>
      </w:r>
      <w:r w:rsidRPr="00951E55">
        <w:rPr>
          <w:rFonts w:ascii="Times New Roman" w:hAnsi="Times New Roman" w:cs="Times New Roman"/>
          <w:color w:val="000000"/>
          <w:shd w:val="clear" w:color="auto" w:fill="FFFFFF"/>
        </w:rPr>
        <w:t xml:space="preserve"> is registered</w:t>
      </w:r>
      <w:r w:rsidR="00AC4995" w:rsidRPr="00951E55">
        <w:rPr>
          <w:rFonts w:ascii="Times New Roman" w:hAnsi="Times New Roman" w:cs="Times New Roman"/>
          <w:color w:val="000000"/>
          <w:shd w:val="clear" w:color="auto" w:fill="FFFFFF"/>
        </w:rPr>
        <w:t>.</w:t>
      </w:r>
    </w:p>
    <w:p w14:paraId="08D78B9D" w14:textId="3F15757E" w:rsidR="00576064" w:rsidRPr="00951E55" w:rsidRDefault="00576064">
      <w:pPr>
        <w:suppressAutoHyphens w:val="0"/>
        <w:rPr>
          <w:rFonts w:ascii="Times New Roman" w:hAnsi="Times New Roman" w:cs="Times New Roman"/>
        </w:rPr>
      </w:pPr>
      <w:r w:rsidRPr="00951E55">
        <w:rPr>
          <w:rFonts w:ascii="Times New Roman" w:hAnsi="Times New Roman" w:cs="Times New Roman"/>
          <w:u w:val="single"/>
        </w:rPr>
        <w:t>Section 3</w:t>
      </w:r>
      <w:r w:rsidRPr="00951E55">
        <w:rPr>
          <w:rFonts w:ascii="Times New Roman" w:hAnsi="Times New Roman" w:cs="Times New Roman"/>
        </w:rPr>
        <w:t xml:space="preserve"> provides that the Notice is made under subsection 115(1A) of the Act.</w:t>
      </w:r>
    </w:p>
    <w:p w14:paraId="2D047010" w14:textId="3B583E72" w:rsidR="00576064" w:rsidRPr="00951E55" w:rsidRDefault="00576064">
      <w:pPr>
        <w:suppressAutoHyphens w:val="0"/>
        <w:rPr>
          <w:rFonts w:ascii="Times New Roman" w:hAnsi="Times New Roman" w:cs="Times New Roman"/>
        </w:rPr>
      </w:pPr>
      <w:r w:rsidRPr="00951E55">
        <w:rPr>
          <w:rFonts w:ascii="Times New Roman" w:hAnsi="Times New Roman" w:cs="Times New Roman"/>
          <w:u w:val="single"/>
        </w:rPr>
        <w:t>Section 4</w:t>
      </w:r>
      <w:r w:rsidRPr="00951E55">
        <w:rPr>
          <w:rFonts w:ascii="Times New Roman" w:hAnsi="Times New Roman" w:cs="Times New Roman"/>
        </w:rPr>
        <w:t xml:space="preserve"> provides that the Principal Notice is amended in accordance with the item</w:t>
      </w:r>
      <w:r w:rsidR="007E5DF1">
        <w:rPr>
          <w:rFonts w:ascii="Times New Roman" w:hAnsi="Times New Roman" w:cs="Times New Roman"/>
        </w:rPr>
        <w:t>s</w:t>
      </w:r>
      <w:r w:rsidRPr="00951E55">
        <w:rPr>
          <w:rFonts w:ascii="Times New Roman" w:hAnsi="Times New Roman" w:cs="Times New Roman"/>
        </w:rPr>
        <w:t xml:space="preserve"> contained in Schedule 1 to the Notice.</w:t>
      </w:r>
    </w:p>
    <w:p w14:paraId="48734DD5" w14:textId="12B855E2" w:rsidR="00667BD9" w:rsidRPr="00951E55" w:rsidRDefault="00576064">
      <w:pPr>
        <w:suppressAutoHyphens w:val="0"/>
        <w:rPr>
          <w:rFonts w:ascii="Times New Roman" w:hAnsi="Times New Roman" w:cs="Times New Roman"/>
          <w:u w:val="single"/>
        </w:rPr>
      </w:pPr>
      <w:r w:rsidRPr="00951E55">
        <w:rPr>
          <w:rFonts w:ascii="Times New Roman" w:hAnsi="Times New Roman" w:cs="Times New Roman"/>
          <w:u w:val="single"/>
        </w:rPr>
        <w:t xml:space="preserve">Schedule 1 </w:t>
      </w:r>
      <w:r w:rsidR="00667BD9" w:rsidRPr="00951E55">
        <w:rPr>
          <w:rFonts w:ascii="Times New Roman" w:hAnsi="Times New Roman" w:cs="Times New Roman"/>
          <w:u w:val="single"/>
        </w:rPr>
        <w:t>–</w:t>
      </w:r>
      <w:r w:rsidRPr="00951E55">
        <w:rPr>
          <w:rFonts w:ascii="Times New Roman" w:hAnsi="Times New Roman" w:cs="Times New Roman"/>
          <w:u w:val="single"/>
        </w:rPr>
        <w:t xml:space="preserve"> Amendments</w:t>
      </w:r>
    </w:p>
    <w:p w14:paraId="2EC56C45" w14:textId="29010159" w:rsidR="00F60547" w:rsidRPr="00951E55" w:rsidRDefault="00F60547">
      <w:pPr>
        <w:suppressAutoHyphens w:val="0"/>
        <w:rPr>
          <w:rFonts w:ascii="Times New Roman" w:hAnsi="Times New Roman" w:cs="Times New Roman"/>
          <w:u w:val="single"/>
        </w:rPr>
      </w:pPr>
      <w:r w:rsidRPr="00951E55">
        <w:rPr>
          <w:rFonts w:ascii="Times New Roman" w:hAnsi="Times New Roman" w:cs="Times New Roman"/>
        </w:rPr>
        <w:t>This Notice amends the Principal Notice in the following manner:</w:t>
      </w:r>
    </w:p>
    <w:p w14:paraId="2DE73E03" w14:textId="7449E27B" w:rsidR="00492668" w:rsidRPr="00951E55" w:rsidRDefault="00AC4995">
      <w:pPr>
        <w:suppressAutoHyphens w:val="0"/>
        <w:rPr>
          <w:rFonts w:ascii="Times New Roman" w:hAnsi="Times New Roman" w:cs="Times New Roman"/>
        </w:rPr>
      </w:pPr>
      <w:r w:rsidRPr="00951E55">
        <w:rPr>
          <w:rFonts w:ascii="Times New Roman" w:hAnsi="Times New Roman" w:cs="Times New Roman"/>
        </w:rPr>
        <w:t xml:space="preserve">After subclause 8(3) of </w:t>
      </w:r>
      <w:r w:rsidR="00F60547" w:rsidRPr="00951E55">
        <w:rPr>
          <w:rFonts w:ascii="Times New Roman" w:hAnsi="Times New Roman" w:cs="Times New Roman"/>
        </w:rPr>
        <w:t>Schedule 1</w:t>
      </w:r>
      <w:r w:rsidRPr="00951E55">
        <w:rPr>
          <w:rFonts w:ascii="Times New Roman" w:hAnsi="Times New Roman" w:cs="Times New Roman"/>
        </w:rPr>
        <w:t xml:space="preserve"> (soccer)</w:t>
      </w:r>
      <w:r w:rsidR="00F60547" w:rsidRPr="00951E55">
        <w:rPr>
          <w:rFonts w:ascii="Times New Roman" w:hAnsi="Times New Roman" w:cs="Times New Roman"/>
        </w:rPr>
        <w:t xml:space="preserve"> insert:</w:t>
      </w:r>
    </w:p>
    <w:p w14:paraId="64AA9591" w14:textId="4C651666" w:rsidR="00AC4995" w:rsidRPr="00951E55" w:rsidRDefault="00AC4995" w:rsidP="00492668">
      <w:pPr>
        <w:pStyle w:val="ListParagraph"/>
        <w:ind w:left="770" w:firstLine="670"/>
        <w:rPr>
          <w:rFonts w:ascii="Times New Roman" w:hAnsi="Times New Roman" w:cs="Times New Roman"/>
          <w:b/>
          <w:u w:val="single"/>
        </w:rPr>
      </w:pPr>
    </w:p>
    <w:p w14:paraId="2B6E9184" w14:textId="77777777" w:rsidR="00AC4995" w:rsidRPr="00B45CBE" w:rsidRDefault="00AC4995" w:rsidP="00AC4995">
      <w:pPr>
        <w:pStyle w:val="subsection"/>
        <w:numPr>
          <w:ilvl w:val="0"/>
          <w:numId w:val="30"/>
        </w:numPr>
      </w:pPr>
      <w:r w:rsidRPr="00B45CBE">
        <w:t xml:space="preserve">Each match of the Fédération Internationale de Football Association Women’s World Cup tournament that involves the senior Australian representative team selected by Football Australia. </w:t>
      </w:r>
    </w:p>
    <w:p w14:paraId="4BD12D4C" w14:textId="77777777" w:rsidR="00AC4995" w:rsidRPr="00B45CBE" w:rsidRDefault="00AC4995" w:rsidP="00AC4995">
      <w:pPr>
        <w:pStyle w:val="subsection"/>
        <w:numPr>
          <w:ilvl w:val="0"/>
          <w:numId w:val="30"/>
        </w:numPr>
      </w:pPr>
      <w:r w:rsidRPr="00B45CBE">
        <w:t xml:space="preserve">The final of the Fédération Internationale de Football Association Women’s World Cup tournament. </w:t>
      </w:r>
    </w:p>
    <w:p w14:paraId="32C3AD3A" w14:textId="77777777" w:rsidR="00AC4995" w:rsidRPr="00B45CBE" w:rsidRDefault="00AC4995" w:rsidP="00AC4995">
      <w:pPr>
        <w:pStyle w:val="subsection"/>
        <w:numPr>
          <w:ilvl w:val="0"/>
          <w:numId w:val="30"/>
        </w:numPr>
      </w:pPr>
      <w:r w:rsidRPr="00B45CBE">
        <w:t xml:space="preserve">Each match in the Fédération Internationale de Football Association Women’s World Cup Qualification tournament that:  </w:t>
      </w:r>
    </w:p>
    <w:p w14:paraId="17D96423" w14:textId="77777777" w:rsidR="00AC4995" w:rsidRPr="00B45CBE" w:rsidRDefault="00AC4995" w:rsidP="00AC4995">
      <w:pPr>
        <w:pStyle w:val="paragraph"/>
      </w:pPr>
      <w:r w:rsidRPr="00B45CBE">
        <w:t xml:space="preserve">   </w:t>
      </w:r>
      <w:r w:rsidRPr="00B45CBE">
        <w:tab/>
        <w:t>(a)</w:t>
      </w:r>
      <w:r w:rsidRPr="00B45CBE">
        <w:tab/>
        <w:t>involves the senior Australian representative team selected by Football Australia; and</w:t>
      </w:r>
    </w:p>
    <w:p w14:paraId="49409794" w14:textId="5D193606" w:rsidR="00B45CBE" w:rsidRDefault="00AC4995" w:rsidP="00B45CBE">
      <w:pPr>
        <w:pStyle w:val="paragraph"/>
      </w:pPr>
      <w:r w:rsidRPr="00B45CBE">
        <w:tab/>
        <w:t>(b)</w:t>
      </w:r>
      <w:r w:rsidRPr="00B45CBE">
        <w:tab/>
        <w:t xml:space="preserve">is played in Australia. </w:t>
      </w:r>
    </w:p>
    <w:p w14:paraId="5B57E007" w14:textId="52B3FC60" w:rsidR="00B45CBE" w:rsidRDefault="00B45CBE">
      <w:pPr>
        <w:suppressAutoHyphens w:val="0"/>
        <w:rPr>
          <w:rFonts w:ascii="Times New Roman" w:hAnsi="Times New Roman" w:cs="Times New Roman"/>
          <w:b/>
          <w:u w:val="single"/>
        </w:rPr>
      </w:pPr>
      <w:r>
        <w:rPr>
          <w:rFonts w:ascii="Times New Roman" w:hAnsi="Times New Roman" w:cs="Times New Roman"/>
          <w:b/>
          <w:u w:val="single"/>
        </w:rPr>
        <w:br w:type="page"/>
      </w:r>
    </w:p>
    <w:p w14:paraId="26CE1723" w14:textId="77777777" w:rsidR="00512163" w:rsidRPr="00951E55" w:rsidRDefault="00512163" w:rsidP="00512163">
      <w:pPr>
        <w:rPr>
          <w:rFonts w:ascii="Times New Roman" w:hAnsi="Times New Roman" w:cs="Times New Roman"/>
          <w:b/>
          <w:u w:val="single"/>
        </w:rPr>
      </w:pPr>
      <w:r w:rsidRPr="00951E55">
        <w:rPr>
          <w:rFonts w:ascii="Times New Roman" w:hAnsi="Times New Roman" w:cs="Times New Roman"/>
          <w:b/>
          <w:u w:val="single"/>
        </w:rPr>
        <w:lastRenderedPageBreak/>
        <w:t>Statement of compatibility with human rights</w:t>
      </w:r>
    </w:p>
    <w:p w14:paraId="4B5A4E04" w14:textId="305A02B8"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A statement of compatibility with human rights for the purposes of Part 3 of the </w:t>
      </w:r>
      <w:r w:rsidRPr="00951E55">
        <w:rPr>
          <w:rFonts w:ascii="Times New Roman" w:hAnsi="Times New Roman" w:cs="Times New Roman"/>
          <w:i/>
        </w:rPr>
        <w:t>Human Rights (Parliamentary Scrutiny) Act 2011</w:t>
      </w:r>
      <w:r w:rsidRPr="00951E55">
        <w:rPr>
          <w:rFonts w:ascii="Times New Roman" w:hAnsi="Times New Roman" w:cs="Times New Roman"/>
        </w:rPr>
        <w:t xml:space="preserve"> is set out in </w:t>
      </w:r>
      <w:r w:rsidRPr="00951E55">
        <w:rPr>
          <w:rFonts w:ascii="Times New Roman" w:hAnsi="Times New Roman" w:cs="Times New Roman"/>
          <w:b/>
          <w:u w:val="single"/>
        </w:rPr>
        <w:t>Attachment B</w:t>
      </w:r>
      <w:r w:rsidRPr="00951E55">
        <w:rPr>
          <w:rFonts w:ascii="Times New Roman" w:hAnsi="Times New Roman" w:cs="Times New Roman"/>
        </w:rPr>
        <w:t>.</w:t>
      </w:r>
    </w:p>
    <w:p w14:paraId="0827159A" w14:textId="77777777" w:rsidR="00F60547" w:rsidRPr="00951E55" w:rsidRDefault="00F60547" w:rsidP="00512163">
      <w:pPr>
        <w:rPr>
          <w:rFonts w:ascii="Times New Roman" w:hAnsi="Times New Roman" w:cs="Times New Roman"/>
        </w:rPr>
      </w:pPr>
    </w:p>
    <w:p w14:paraId="763AC7DB" w14:textId="77777777" w:rsidR="00AC4995" w:rsidRPr="00951E55" w:rsidRDefault="00AC4995">
      <w:pPr>
        <w:suppressAutoHyphens w:val="0"/>
        <w:rPr>
          <w:rFonts w:ascii="Times New Roman" w:hAnsi="Times New Roman" w:cs="Times New Roman"/>
          <w:b/>
        </w:rPr>
      </w:pPr>
      <w:r w:rsidRPr="00951E55">
        <w:rPr>
          <w:rFonts w:ascii="Times New Roman" w:hAnsi="Times New Roman" w:cs="Times New Roman"/>
          <w:b/>
        </w:rPr>
        <w:br w:type="page"/>
      </w:r>
    </w:p>
    <w:p w14:paraId="2C9D5021" w14:textId="77777777" w:rsidR="00512163" w:rsidRPr="00951E55" w:rsidRDefault="00512163" w:rsidP="00951E55">
      <w:pPr>
        <w:jc w:val="right"/>
        <w:rPr>
          <w:rFonts w:ascii="Times New Roman" w:hAnsi="Times New Roman" w:cs="Times New Roman"/>
          <w:b/>
        </w:rPr>
      </w:pPr>
      <w:r w:rsidRPr="00951E55">
        <w:rPr>
          <w:rFonts w:ascii="Times New Roman" w:hAnsi="Times New Roman" w:cs="Times New Roman"/>
          <w:b/>
        </w:rPr>
        <w:lastRenderedPageBreak/>
        <w:t xml:space="preserve">Attachment B </w:t>
      </w:r>
    </w:p>
    <w:p w14:paraId="2A17DDA1" w14:textId="77777777" w:rsidR="00512163" w:rsidRPr="00951E55" w:rsidRDefault="00512163" w:rsidP="00512163">
      <w:pPr>
        <w:jc w:val="center"/>
        <w:rPr>
          <w:rFonts w:ascii="Times New Roman" w:hAnsi="Times New Roman" w:cs="Times New Roman"/>
          <w:b/>
        </w:rPr>
      </w:pPr>
      <w:r w:rsidRPr="00951E55">
        <w:rPr>
          <w:rFonts w:ascii="Times New Roman" w:hAnsi="Times New Roman" w:cs="Times New Roman"/>
          <w:b/>
        </w:rPr>
        <w:t>Statement of Compatibility with Human Rights</w:t>
      </w:r>
    </w:p>
    <w:p w14:paraId="709E2295" w14:textId="4FFCF25A" w:rsidR="00512163" w:rsidRPr="00951E55" w:rsidRDefault="00667BD9" w:rsidP="00512163">
      <w:pPr>
        <w:rPr>
          <w:rFonts w:ascii="Times New Roman" w:hAnsi="Times New Roman" w:cs="Times New Roman"/>
        </w:rPr>
      </w:pPr>
      <w:r w:rsidRPr="00951E55">
        <w:rPr>
          <w:rFonts w:ascii="Times New Roman" w:hAnsi="Times New Roman" w:cs="Times New Roman"/>
        </w:rPr>
        <w:t>(</w:t>
      </w:r>
      <w:r w:rsidR="00512163" w:rsidRPr="00951E55">
        <w:rPr>
          <w:rFonts w:ascii="Times New Roman" w:hAnsi="Times New Roman" w:cs="Times New Roman"/>
        </w:rPr>
        <w:t xml:space="preserve">Prepared in accordance with Part 3 of the </w:t>
      </w:r>
      <w:r w:rsidR="00512163" w:rsidRPr="00951E55">
        <w:rPr>
          <w:rFonts w:ascii="Times New Roman" w:hAnsi="Times New Roman" w:cs="Times New Roman"/>
          <w:i/>
        </w:rPr>
        <w:t>Human Rights (Parliamentary Scrutiny) Act 2011</w:t>
      </w:r>
      <w:r w:rsidRPr="00951E55">
        <w:rPr>
          <w:rFonts w:ascii="Times New Roman" w:hAnsi="Times New Roman" w:cs="Times New Roman"/>
        </w:rPr>
        <w:t>)</w:t>
      </w:r>
    </w:p>
    <w:p w14:paraId="3FF9494D" w14:textId="45DCB3CE" w:rsidR="00667BD9" w:rsidRPr="00951E55" w:rsidRDefault="00512163" w:rsidP="00512163">
      <w:pPr>
        <w:rPr>
          <w:rFonts w:ascii="Times New Roman" w:hAnsi="Times New Roman" w:cs="Times New Roman"/>
        </w:rPr>
      </w:pPr>
      <w:r w:rsidRPr="00951E55">
        <w:rPr>
          <w:rFonts w:ascii="Times New Roman" w:hAnsi="Times New Roman" w:cs="Times New Roman"/>
        </w:rPr>
        <w:t>Th</w:t>
      </w:r>
      <w:r w:rsidR="00F60547" w:rsidRPr="00951E55">
        <w:rPr>
          <w:rFonts w:ascii="Times New Roman" w:hAnsi="Times New Roman" w:cs="Times New Roman"/>
        </w:rPr>
        <w:t xml:space="preserve">is </w:t>
      </w:r>
      <w:r w:rsidR="00667BD9" w:rsidRPr="00951E55">
        <w:rPr>
          <w:rFonts w:ascii="Times New Roman" w:hAnsi="Times New Roman" w:cs="Times New Roman"/>
          <w:i/>
        </w:rPr>
        <w:t>Broadcasting Services (Events) Amendment Notice 2023</w:t>
      </w:r>
      <w:r w:rsidR="00667BD9" w:rsidRPr="00951E55">
        <w:rPr>
          <w:rFonts w:ascii="Times New Roman" w:hAnsi="Times New Roman" w:cs="Times New Roman"/>
        </w:rPr>
        <w:t xml:space="preserve"> (the Notice) amends the </w:t>
      </w:r>
      <w:r w:rsidR="00667BD9" w:rsidRPr="00951E55">
        <w:rPr>
          <w:rFonts w:ascii="Times New Roman" w:hAnsi="Times New Roman" w:cs="Times New Roman"/>
          <w:i/>
        </w:rPr>
        <w:t>Broadcasting Services (Events) Notice 2023</w:t>
      </w:r>
      <w:r w:rsidR="00667BD9" w:rsidRPr="00951E55">
        <w:rPr>
          <w:rFonts w:ascii="Times New Roman" w:hAnsi="Times New Roman" w:cs="Times New Roman"/>
        </w:rPr>
        <w:t xml:space="preserve"> (the Principle Notice) to include additional events on the Principle Notice from the </w:t>
      </w:r>
      <w:r w:rsidR="00667BD9" w:rsidRPr="00951E55">
        <w:rPr>
          <w:rFonts w:ascii="Times New Roman" w:hAnsi="Times New Roman" w:cs="Times New Roman"/>
          <w:lang w:val="en-US"/>
        </w:rPr>
        <w:t xml:space="preserve">Fédération </w:t>
      </w:r>
      <w:proofErr w:type="spellStart"/>
      <w:r w:rsidR="00667BD9" w:rsidRPr="00951E55">
        <w:rPr>
          <w:rFonts w:ascii="Times New Roman" w:hAnsi="Times New Roman" w:cs="Times New Roman"/>
          <w:lang w:val="en-US"/>
        </w:rPr>
        <w:t>Internationale</w:t>
      </w:r>
      <w:proofErr w:type="spellEnd"/>
      <w:r w:rsidR="00667BD9" w:rsidRPr="00951E55">
        <w:rPr>
          <w:rFonts w:ascii="Times New Roman" w:hAnsi="Times New Roman" w:cs="Times New Roman"/>
          <w:lang w:val="en-US"/>
        </w:rPr>
        <w:t xml:space="preserve"> de Football Association (FIFA) </w:t>
      </w:r>
      <w:r w:rsidR="00667BD9" w:rsidRPr="00951E55">
        <w:rPr>
          <w:rFonts w:ascii="Times New Roman" w:hAnsi="Times New Roman" w:cs="Times New Roman"/>
        </w:rPr>
        <w:t>Women’s World Cup.</w:t>
      </w:r>
    </w:p>
    <w:p w14:paraId="50D9B7C9" w14:textId="375B6633"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The </w:t>
      </w:r>
      <w:r w:rsidR="00667BD9" w:rsidRPr="00951E55">
        <w:rPr>
          <w:rFonts w:ascii="Times New Roman" w:hAnsi="Times New Roman" w:cs="Times New Roman"/>
        </w:rPr>
        <w:t>Notice</w:t>
      </w:r>
      <w:r w:rsidRPr="00951E55">
        <w:rPr>
          <w:rFonts w:ascii="Times New Roman" w:hAnsi="Times New Roman" w:cs="Times New Roman"/>
        </w:rPr>
        <w:t xml:space="preserve"> is a legislative instrument made by the Minister under subsection 115(1A) of the </w:t>
      </w:r>
      <w:r w:rsidRPr="00951E55">
        <w:rPr>
          <w:rFonts w:ascii="Times New Roman" w:hAnsi="Times New Roman" w:cs="Times New Roman"/>
          <w:i/>
        </w:rPr>
        <w:t>Broadcasting Services Act 1992</w:t>
      </w:r>
      <w:r w:rsidRPr="00951E55">
        <w:rPr>
          <w:rFonts w:ascii="Times New Roman" w:hAnsi="Times New Roman" w:cs="Times New Roman"/>
        </w:rPr>
        <w:t xml:space="preserve"> (the Act), specifying additional events which should, in the opinion of the Minister, be available free to the general public. </w:t>
      </w:r>
    </w:p>
    <w:p w14:paraId="4B6C7DC0" w14:textId="68F746F4"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The </w:t>
      </w:r>
      <w:r w:rsidR="00F60547" w:rsidRPr="00951E55">
        <w:rPr>
          <w:rFonts w:ascii="Times New Roman" w:hAnsi="Times New Roman" w:cs="Times New Roman"/>
        </w:rPr>
        <w:t>Notice</w:t>
      </w:r>
      <w:r w:rsidRPr="00951E55">
        <w:rPr>
          <w:rFonts w:ascii="Times New Roman" w:hAnsi="Times New Roman" w:cs="Times New Roman"/>
        </w:rPr>
        <w:t xml:space="preserve"> adds additional events to the </w:t>
      </w:r>
      <w:r w:rsidR="005E67E6" w:rsidRPr="00951E55">
        <w:rPr>
          <w:rFonts w:ascii="Times New Roman" w:hAnsi="Times New Roman" w:cs="Times New Roman"/>
        </w:rPr>
        <w:t>Principle Notice</w:t>
      </w:r>
      <w:r w:rsidRPr="00951E55">
        <w:rPr>
          <w:rFonts w:ascii="Times New Roman" w:hAnsi="Times New Roman" w:cs="Times New Roman"/>
        </w:rPr>
        <w:t xml:space="preserve">, which is a legislative instrument made by the Minister under subsection 115(1) of the Act. A notice made under subsection 115(1) of the Act is commonly known as the ‘anti-siphoning list’. The anti-siphoning list forms an integral part of the anti-siphoning scheme (as set out in section 115 of the Act and paragraph 10(1)(e) of Schedule 2 to the Act). </w:t>
      </w:r>
    </w:p>
    <w:p w14:paraId="1E08F4E0" w14:textId="3B5D3895" w:rsidR="00235678" w:rsidRPr="00951E55" w:rsidRDefault="00512163" w:rsidP="00235678">
      <w:pPr>
        <w:rPr>
          <w:rFonts w:ascii="Times New Roman" w:hAnsi="Times New Roman" w:cs="Times New Roman"/>
        </w:rPr>
      </w:pPr>
      <w:r w:rsidRPr="00951E55">
        <w:rPr>
          <w:rFonts w:ascii="Times New Roman" w:hAnsi="Times New Roman" w:cs="Times New Roman"/>
        </w:rPr>
        <w:t xml:space="preserve">The </w:t>
      </w:r>
      <w:r w:rsidR="00F60547" w:rsidRPr="00951E55">
        <w:rPr>
          <w:rFonts w:ascii="Times New Roman" w:hAnsi="Times New Roman" w:cs="Times New Roman"/>
        </w:rPr>
        <w:t>Notice</w:t>
      </w:r>
      <w:r w:rsidRPr="00951E55">
        <w:rPr>
          <w:rFonts w:ascii="Times New Roman" w:hAnsi="Times New Roman" w:cs="Times New Roman"/>
        </w:rPr>
        <w:t xml:space="preserve"> adds </w:t>
      </w:r>
      <w:r w:rsidR="00C62204">
        <w:rPr>
          <w:rFonts w:ascii="Times New Roman" w:hAnsi="Times New Roman" w:cs="Times New Roman"/>
        </w:rPr>
        <w:t>certain</w:t>
      </w:r>
      <w:r w:rsidRPr="00951E55">
        <w:rPr>
          <w:rFonts w:ascii="Times New Roman" w:hAnsi="Times New Roman" w:cs="Times New Roman"/>
        </w:rPr>
        <w:t xml:space="preserve"> events from the </w:t>
      </w:r>
      <w:r w:rsidR="004D67F0">
        <w:rPr>
          <w:rFonts w:ascii="Times New Roman" w:hAnsi="Times New Roman" w:cs="Times New Roman"/>
          <w:lang w:val="en-US"/>
        </w:rPr>
        <w:t>FIFA</w:t>
      </w:r>
      <w:r w:rsidR="004D67F0" w:rsidRPr="007826B3">
        <w:rPr>
          <w:rFonts w:ascii="Times New Roman" w:hAnsi="Times New Roman" w:cs="Times New Roman"/>
          <w:lang w:val="en-US"/>
        </w:rPr>
        <w:t xml:space="preserve"> </w:t>
      </w:r>
      <w:r w:rsidRPr="00951E55">
        <w:rPr>
          <w:rFonts w:ascii="Times New Roman" w:hAnsi="Times New Roman" w:cs="Times New Roman"/>
        </w:rPr>
        <w:t xml:space="preserve">Women’s World Cup </w:t>
      </w:r>
      <w:r w:rsidR="00235678">
        <w:rPr>
          <w:rFonts w:ascii="Times New Roman" w:hAnsi="Times New Roman" w:cs="Times New Roman"/>
        </w:rPr>
        <w:t xml:space="preserve">to the Principle Notice </w:t>
      </w:r>
      <w:r w:rsidRPr="00951E55">
        <w:rPr>
          <w:rFonts w:ascii="Times New Roman" w:hAnsi="Times New Roman" w:cs="Times New Roman"/>
        </w:rPr>
        <w:t xml:space="preserve">in a manner which mirrors the </w:t>
      </w:r>
      <w:r w:rsidR="00235678">
        <w:rPr>
          <w:rFonts w:ascii="Times New Roman" w:hAnsi="Times New Roman" w:cs="Times New Roman"/>
        </w:rPr>
        <w:t xml:space="preserve">listing of events in the Principle Notice from </w:t>
      </w:r>
      <w:r w:rsidR="00116987">
        <w:rPr>
          <w:rFonts w:ascii="Times New Roman" w:hAnsi="Times New Roman" w:cs="Times New Roman"/>
        </w:rPr>
        <w:t xml:space="preserve">the </w:t>
      </w:r>
      <w:r w:rsidR="004D67F0">
        <w:rPr>
          <w:rFonts w:ascii="Times New Roman" w:hAnsi="Times New Roman" w:cs="Times New Roman"/>
          <w:lang w:val="en-US"/>
        </w:rPr>
        <w:t xml:space="preserve">FIFA </w:t>
      </w:r>
      <w:r w:rsidRPr="00951E55">
        <w:rPr>
          <w:rFonts w:ascii="Times New Roman" w:hAnsi="Times New Roman" w:cs="Times New Roman"/>
        </w:rPr>
        <w:t xml:space="preserve">World Cup </w:t>
      </w:r>
      <w:r w:rsidR="00235678">
        <w:rPr>
          <w:rFonts w:ascii="Times New Roman" w:hAnsi="Times New Roman" w:cs="Times New Roman"/>
        </w:rPr>
        <w:t xml:space="preserve">(the equivalent men’s tournament). This will ensure that these events are subject to the anti-siphoning scheme while a broader review of the scheme and list is conducted. </w:t>
      </w:r>
      <w:r w:rsidR="00235678" w:rsidRPr="00951E55">
        <w:rPr>
          <w:rFonts w:ascii="Times New Roman" w:hAnsi="Times New Roman" w:cs="Times New Roman"/>
        </w:rPr>
        <w:t xml:space="preserve"> </w:t>
      </w:r>
    </w:p>
    <w:p w14:paraId="0B7CB9AA"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The anti-siphoning scheme operates through the inclusion of an event on the anti-siphoning list (in accordance with subsection 115(1) of the Act). This triggers a licence condition for subscription television broadcasting licensees which prohibits them from acquiring a right to televise the event ahead of a commercial television broadcasting licensee or a national broadcaster (see section 99 of the Act and paragraph 10(1)(e) of Schedule 2 to the Act). </w:t>
      </w:r>
    </w:p>
    <w:p w14:paraId="4AEB7604"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Events are taken to be removed from the anti-siphoning list 4,368 hours (approximately 6 months) before their start unless the Minister intervenes to retain an event on the list (see subsection 115(1AA)) of the Act). </w:t>
      </w:r>
    </w:p>
    <w:p w14:paraId="461B4754"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 xml:space="preserve">The anti-siphoning list has been amended a number of times since it was first made on 6 July 1994, with events added and removed. To date, all events included on the anti-siphoning list have been sporting events. </w:t>
      </w:r>
    </w:p>
    <w:p w14:paraId="1F8C2D1F" w14:textId="77777777" w:rsidR="00512163" w:rsidRPr="00951E55" w:rsidRDefault="00512163" w:rsidP="00512163">
      <w:pPr>
        <w:rPr>
          <w:rFonts w:ascii="Times New Roman" w:hAnsi="Times New Roman" w:cs="Times New Roman"/>
        </w:rPr>
      </w:pPr>
      <w:r w:rsidRPr="00951E55">
        <w:rPr>
          <w:rFonts w:ascii="Times New Roman" w:hAnsi="Times New Roman" w:cs="Times New Roman"/>
        </w:rPr>
        <w:t>The inclusion of an event on the anti-siphoning list does not guarantee that it will be broadcast on free-to-air television. Rather, the list (and anti-siphoning scheme) aim to encourage free-to-air coverage of events on the list by giving free-to-air broadcasters an opportunity to acquire the right to televise those events ahead of subscription television broadcasting licensees.</w:t>
      </w:r>
    </w:p>
    <w:p w14:paraId="5FABBC4D" w14:textId="77777777" w:rsidR="00512163" w:rsidRPr="00951E55" w:rsidRDefault="00512163" w:rsidP="00512163">
      <w:pPr>
        <w:rPr>
          <w:rFonts w:ascii="Times New Roman" w:hAnsi="Times New Roman" w:cs="Times New Roman"/>
          <w:b/>
        </w:rPr>
      </w:pPr>
      <w:r w:rsidRPr="00951E55">
        <w:rPr>
          <w:rFonts w:ascii="Times New Roman" w:hAnsi="Times New Roman" w:cs="Times New Roman"/>
          <w:b/>
        </w:rPr>
        <w:t xml:space="preserve">Statement of compatibility with human rights </w:t>
      </w:r>
    </w:p>
    <w:p w14:paraId="5A63BF19" w14:textId="77777777" w:rsidR="00512163" w:rsidRPr="00951E55" w:rsidRDefault="00512163" w:rsidP="006E53E9">
      <w:pPr>
        <w:rPr>
          <w:rFonts w:ascii="Times New Roman" w:hAnsi="Times New Roman" w:cs="Times New Roman"/>
        </w:rPr>
      </w:pPr>
      <w:r w:rsidRPr="00951E55">
        <w:rPr>
          <w:rFonts w:ascii="Times New Roman" w:hAnsi="Times New Roman" w:cs="Times New Roman"/>
        </w:rPr>
        <w:t xml:space="preserve">Subsection 9(1) of the </w:t>
      </w:r>
      <w:r w:rsidRPr="00951E55">
        <w:rPr>
          <w:rFonts w:ascii="Times New Roman" w:hAnsi="Times New Roman" w:cs="Times New Roman"/>
          <w:i/>
        </w:rPr>
        <w:t>Human Rights (Parliamentary Scrutiny) Act</w:t>
      </w:r>
      <w:r w:rsidRPr="00951E55">
        <w:rPr>
          <w:rFonts w:ascii="Times New Roman" w:hAnsi="Times New Roman" w:cs="Times New Roman"/>
        </w:rPr>
        <w:t xml:space="preserve"> </w:t>
      </w:r>
      <w:r w:rsidRPr="00ED096D">
        <w:rPr>
          <w:rFonts w:ascii="Times New Roman" w:hAnsi="Times New Roman" w:cs="Times New Roman"/>
          <w:i/>
        </w:rPr>
        <w:t>2011</w:t>
      </w:r>
      <w:r w:rsidRPr="00951E55">
        <w:rPr>
          <w:rFonts w:ascii="Times New Roman" w:hAnsi="Times New Roman" w:cs="Times New Roman"/>
        </w:rPr>
        <w:t xml:space="preserve"> requires the rule-maker in relation to a legislative instrument to which section 42 (disallowance) of the </w:t>
      </w:r>
      <w:r w:rsidRPr="00951E55">
        <w:rPr>
          <w:rFonts w:ascii="Times New Roman" w:hAnsi="Times New Roman" w:cs="Times New Roman"/>
          <w:i/>
        </w:rPr>
        <w:t>Legislation Act 2003</w:t>
      </w:r>
      <w:r w:rsidRPr="00951E55">
        <w:rPr>
          <w:rFonts w:ascii="Times New Roman" w:hAnsi="Times New Roman" w:cs="Times New Roman"/>
        </w:rPr>
        <w:t xml:space="preserve"> applies to cause a statement of compatibility with human rights to be prepared in respect of that legislative instrument. </w:t>
      </w:r>
    </w:p>
    <w:p w14:paraId="3FA6F5DA" w14:textId="77777777" w:rsidR="00512163" w:rsidRPr="00951E55" w:rsidRDefault="00512163" w:rsidP="006E53E9">
      <w:pPr>
        <w:rPr>
          <w:rFonts w:ascii="Times New Roman" w:hAnsi="Times New Roman" w:cs="Times New Roman"/>
        </w:rPr>
      </w:pPr>
      <w:r w:rsidRPr="00951E55">
        <w:rPr>
          <w:rFonts w:ascii="Times New Roman" w:hAnsi="Times New Roman" w:cs="Times New Roman"/>
        </w:rPr>
        <w:t xml:space="preserve">The statement of compatibility set out below has been prepared to meet that requirement. </w:t>
      </w:r>
    </w:p>
    <w:p w14:paraId="033288E3" w14:textId="77777777" w:rsidR="00512163" w:rsidRPr="00951E55" w:rsidRDefault="00512163" w:rsidP="006E53E9">
      <w:pPr>
        <w:rPr>
          <w:rFonts w:ascii="Times New Roman" w:hAnsi="Times New Roman" w:cs="Times New Roman"/>
        </w:rPr>
      </w:pPr>
      <w:r w:rsidRPr="00951E55">
        <w:rPr>
          <w:rFonts w:ascii="Times New Roman" w:hAnsi="Times New Roman" w:cs="Times New Roman"/>
        </w:rPr>
        <w:t xml:space="preserve">Australia is a signatory to the International Covenant on Civil and Political Rights (the ICCPR) and the International Covenant on Economic, Social and Cultural Rights (ICESCR) (two of the international instruments listed in section 3 of the Human Rights (Parliamentary Scrutiny) Act 2011). </w:t>
      </w:r>
    </w:p>
    <w:p w14:paraId="44BA1407" w14:textId="77777777" w:rsidR="00512163" w:rsidRPr="00951E55" w:rsidRDefault="00512163" w:rsidP="006E53E9">
      <w:pPr>
        <w:rPr>
          <w:rFonts w:ascii="Times New Roman" w:hAnsi="Times New Roman" w:cs="Times New Roman"/>
        </w:rPr>
      </w:pPr>
      <w:r w:rsidRPr="00951E55">
        <w:rPr>
          <w:rFonts w:ascii="Times New Roman" w:hAnsi="Times New Roman" w:cs="Times New Roman"/>
        </w:rPr>
        <w:t xml:space="preserve">Article 15(1) of the ICESCR recognises the right of everyone to take part in cultural life. Cultural life includes sports. Articles 19(2) and 27 of the ICCPR also respectively: </w:t>
      </w:r>
    </w:p>
    <w:p w14:paraId="319F26CA" w14:textId="77777777" w:rsidR="00512163" w:rsidRPr="00951E55" w:rsidRDefault="00512163" w:rsidP="006E53E9">
      <w:pPr>
        <w:pStyle w:val="ListParagraph"/>
        <w:numPr>
          <w:ilvl w:val="0"/>
          <w:numId w:val="28"/>
        </w:numPr>
        <w:spacing w:line="240" w:lineRule="auto"/>
        <w:rPr>
          <w:rFonts w:ascii="Times New Roman" w:hAnsi="Times New Roman" w:cs="Times New Roman"/>
        </w:rPr>
      </w:pPr>
      <w:r w:rsidRPr="00951E55">
        <w:rPr>
          <w:rFonts w:ascii="Times New Roman" w:hAnsi="Times New Roman" w:cs="Times New Roman"/>
        </w:rPr>
        <w:t xml:space="preserve">recognise the right to freedom of expression, including the right to receive and impart information and ideas of all kinds, regardless of frontiers, either orally, in writing or in print, in the form of art, or through any other media of a person’s choice; and </w:t>
      </w:r>
    </w:p>
    <w:p w14:paraId="419FE07C" w14:textId="77777777" w:rsidR="00512163" w:rsidRPr="00951E55" w:rsidRDefault="00512163" w:rsidP="006E53E9">
      <w:pPr>
        <w:pStyle w:val="ListParagraph"/>
        <w:numPr>
          <w:ilvl w:val="0"/>
          <w:numId w:val="28"/>
        </w:numPr>
        <w:spacing w:line="240" w:lineRule="auto"/>
        <w:rPr>
          <w:rFonts w:ascii="Times New Roman" w:hAnsi="Times New Roman" w:cs="Times New Roman"/>
        </w:rPr>
      </w:pPr>
      <w:r w:rsidRPr="00951E55">
        <w:rPr>
          <w:rFonts w:ascii="Times New Roman" w:hAnsi="Times New Roman" w:cs="Times New Roman"/>
        </w:rPr>
        <w:lastRenderedPageBreak/>
        <w:t xml:space="preserve">provide that ethnic, religious or linguistic minorities shall not be denied the right to enjoy their own culture. </w:t>
      </w:r>
    </w:p>
    <w:p w14:paraId="2D73CB5E" w14:textId="6E2A6F54" w:rsidR="00D92679" w:rsidRPr="00951E55" w:rsidRDefault="00512163" w:rsidP="006E53E9">
      <w:pPr>
        <w:rPr>
          <w:rFonts w:ascii="Times New Roman" w:hAnsi="Times New Roman" w:cs="Times New Roman"/>
        </w:rPr>
      </w:pPr>
      <w:r w:rsidRPr="00951E55">
        <w:rPr>
          <w:rFonts w:ascii="Times New Roman" w:hAnsi="Times New Roman" w:cs="Times New Roman"/>
        </w:rPr>
        <w:t xml:space="preserve">The UN Committee on Economic, Social and Cultural Rights has given a very broad interpretation to the term ‘culture’. This could potentially include the ability to access or participate in sporting events through viewing these events live or on television. </w:t>
      </w:r>
      <w:r w:rsidR="00490202" w:rsidRPr="00951E55">
        <w:rPr>
          <w:rFonts w:ascii="Times New Roman" w:hAnsi="Times New Roman" w:cs="Times New Roman"/>
        </w:rPr>
        <w:t>The</w:t>
      </w:r>
      <w:r w:rsidRPr="00951E55">
        <w:rPr>
          <w:rFonts w:ascii="Times New Roman" w:hAnsi="Times New Roman" w:cs="Times New Roman"/>
        </w:rPr>
        <w:t xml:space="preserve"> anti-siphoning </w:t>
      </w:r>
      <w:r w:rsidR="00490202" w:rsidRPr="00951E55">
        <w:rPr>
          <w:rFonts w:ascii="Times New Roman" w:hAnsi="Times New Roman" w:cs="Times New Roman"/>
        </w:rPr>
        <w:t>list</w:t>
      </w:r>
      <w:r w:rsidRPr="00951E55">
        <w:rPr>
          <w:rFonts w:ascii="Times New Roman" w:hAnsi="Times New Roman" w:cs="Times New Roman"/>
        </w:rPr>
        <w:t xml:space="preserve"> consists entirely of sporting events. There are no limitations on events which could be added to the anti-siphoning list, other than that the Minister must be of the opinion that those events should be available free to the public. Arguably, the inclusion of events on the anti-siphoning list promotes both the right to receive information and to take part in culture.</w:t>
      </w:r>
    </w:p>
    <w:p w14:paraId="10EF233F" w14:textId="77777777" w:rsidR="00512163" w:rsidRPr="00951E55" w:rsidRDefault="00512163" w:rsidP="006E53E9">
      <w:pPr>
        <w:rPr>
          <w:rFonts w:ascii="Times New Roman" w:hAnsi="Times New Roman" w:cs="Times New Roman"/>
        </w:rPr>
      </w:pPr>
      <w:r w:rsidRPr="00951E55">
        <w:rPr>
          <w:rFonts w:ascii="Times New Roman" w:hAnsi="Times New Roman" w:cs="Times New Roman"/>
          <w:b/>
        </w:rPr>
        <w:t>Human rights implications</w:t>
      </w:r>
      <w:r w:rsidRPr="00951E55">
        <w:rPr>
          <w:rFonts w:ascii="Times New Roman" w:hAnsi="Times New Roman" w:cs="Times New Roman"/>
        </w:rPr>
        <w:t xml:space="preserve"> </w:t>
      </w:r>
    </w:p>
    <w:p w14:paraId="4127E481" w14:textId="7D06163D" w:rsidR="00512163" w:rsidRPr="00951E55" w:rsidRDefault="00512163" w:rsidP="006E53E9">
      <w:pPr>
        <w:rPr>
          <w:rFonts w:ascii="Times New Roman" w:hAnsi="Times New Roman" w:cs="Times New Roman"/>
        </w:rPr>
      </w:pPr>
      <w:r w:rsidRPr="00951E55">
        <w:rPr>
          <w:rFonts w:ascii="Times New Roman" w:hAnsi="Times New Roman" w:cs="Times New Roman"/>
        </w:rPr>
        <w:t xml:space="preserve">The </w:t>
      </w:r>
      <w:r w:rsidR="00F60547" w:rsidRPr="00951E55">
        <w:rPr>
          <w:rFonts w:ascii="Times New Roman" w:hAnsi="Times New Roman" w:cs="Times New Roman"/>
        </w:rPr>
        <w:t>Notice</w:t>
      </w:r>
      <w:r w:rsidRPr="00951E55">
        <w:rPr>
          <w:rFonts w:ascii="Times New Roman" w:hAnsi="Times New Roman" w:cs="Times New Roman"/>
        </w:rPr>
        <w:t xml:space="preserve"> is compatible with the human rights and freedoms recognised or declared in the international instruments listed in section 3 of the </w:t>
      </w:r>
      <w:r w:rsidRPr="00951E55">
        <w:rPr>
          <w:rFonts w:ascii="Times New Roman" w:hAnsi="Times New Roman" w:cs="Times New Roman"/>
          <w:i/>
        </w:rPr>
        <w:t xml:space="preserve">Human Rights (Parliamentary Scrutiny) Act </w:t>
      </w:r>
      <w:r w:rsidRPr="00ED096D">
        <w:rPr>
          <w:rFonts w:ascii="Times New Roman" w:hAnsi="Times New Roman" w:cs="Times New Roman"/>
          <w:i/>
        </w:rPr>
        <w:t>2011</w:t>
      </w:r>
      <w:r w:rsidRPr="00951E55">
        <w:rPr>
          <w:rFonts w:ascii="Times New Roman" w:hAnsi="Times New Roman" w:cs="Times New Roman"/>
        </w:rPr>
        <w:t xml:space="preserve">. This is because the Notice promotes freedom of expression and cultural rights by </w:t>
      </w:r>
      <w:r w:rsidR="00235678">
        <w:rPr>
          <w:rFonts w:ascii="Times New Roman" w:hAnsi="Times New Roman" w:cs="Times New Roman"/>
        </w:rPr>
        <w:t>supporting</w:t>
      </w:r>
      <w:r w:rsidR="00235678" w:rsidRPr="00951E55">
        <w:rPr>
          <w:rFonts w:ascii="Times New Roman" w:hAnsi="Times New Roman" w:cs="Times New Roman"/>
        </w:rPr>
        <w:t xml:space="preserve"> </w:t>
      </w:r>
      <w:r w:rsidRPr="00951E55">
        <w:rPr>
          <w:rFonts w:ascii="Times New Roman" w:hAnsi="Times New Roman" w:cs="Times New Roman"/>
        </w:rPr>
        <w:t xml:space="preserve">greater access </w:t>
      </w:r>
      <w:r w:rsidR="00490202" w:rsidRPr="00951E55">
        <w:rPr>
          <w:rFonts w:ascii="Times New Roman" w:hAnsi="Times New Roman" w:cs="Times New Roman"/>
        </w:rPr>
        <w:t>for</w:t>
      </w:r>
      <w:r w:rsidRPr="00951E55">
        <w:rPr>
          <w:rFonts w:ascii="Times New Roman" w:hAnsi="Times New Roman" w:cs="Times New Roman"/>
        </w:rPr>
        <w:t xml:space="preserve"> Australians to free coverage of sporting events. </w:t>
      </w:r>
    </w:p>
    <w:p w14:paraId="327600AE" w14:textId="77777777" w:rsidR="00512163" w:rsidRPr="00951E55" w:rsidRDefault="00512163" w:rsidP="006E53E9">
      <w:pPr>
        <w:rPr>
          <w:rFonts w:ascii="Times New Roman" w:hAnsi="Times New Roman" w:cs="Times New Roman"/>
          <w:b/>
        </w:rPr>
      </w:pPr>
      <w:r w:rsidRPr="00951E55">
        <w:rPr>
          <w:rFonts w:ascii="Times New Roman" w:hAnsi="Times New Roman" w:cs="Times New Roman"/>
          <w:b/>
        </w:rPr>
        <w:t xml:space="preserve">Conclusion </w:t>
      </w:r>
    </w:p>
    <w:p w14:paraId="7404E88D" w14:textId="792BAE29" w:rsidR="00512163" w:rsidRPr="00951E55" w:rsidRDefault="00512163" w:rsidP="006E53E9">
      <w:pPr>
        <w:rPr>
          <w:rFonts w:ascii="Times New Roman" w:hAnsi="Times New Roman" w:cs="Times New Roman"/>
        </w:rPr>
      </w:pPr>
      <w:r w:rsidRPr="00951E55">
        <w:rPr>
          <w:rFonts w:ascii="Times New Roman" w:hAnsi="Times New Roman" w:cs="Times New Roman"/>
        </w:rPr>
        <w:t xml:space="preserve">This </w:t>
      </w:r>
      <w:r w:rsidR="00F60547" w:rsidRPr="00951E55">
        <w:rPr>
          <w:rFonts w:ascii="Times New Roman" w:hAnsi="Times New Roman" w:cs="Times New Roman"/>
        </w:rPr>
        <w:t>Notice</w:t>
      </w:r>
      <w:r w:rsidRPr="00951E55">
        <w:rPr>
          <w:rFonts w:ascii="Times New Roman" w:hAnsi="Times New Roman" w:cs="Times New Roman"/>
        </w:rPr>
        <w:t xml:space="preserve"> is compatible with human rights as it does not raise any human rights issues.</w:t>
      </w:r>
    </w:p>
    <w:p w14:paraId="7B5A6527" w14:textId="77777777" w:rsidR="00512163" w:rsidRPr="00951E55" w:rsidRDefault="00512163" w:rsidP="00512163">
      <w:pPr>
        <w:pStyle w:val="CoverDate"/>
        <w:rPr>
          <w:rFonts w:ascii="Times New Roman" w:hAnsi="Times New Roman" w:cs="Times New Roman"/>
        </w:rPr>
      </w:pPr>
    </w:p>
    <w:sectPr w:rsidR="00512163" w:rsidRPr="00951E55" w:rsidSect="00865755">
      <w:headerReference w:type="even" r:id="rId12"/>
      <w:headerReference w:type="default" r:id="rId13"/>
      <w:footerReference w:type="even" r:id="rId14"/>
      <w:footerReference w:type="default" r:id="rId15"/>
      <w:footerReference w:type="first" r:id="rId16"/>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F5BC1" w14:textId="77777777" w:rsidR="004D67F0" w:rsidRDefault="004D67F0" w:rsidP="008456D5">
      <w:pPr>
        <w:spacing w:before="0" w:after="0"/>
      </w:pPr>
      <w:r>
        <w:separator/>
      </w:r>
    </w:p>
  </w:endnote>
  <w:endnote w:type="continuationSeparator" w:id="0">
    <w:p w14:paraId="67595A15" w14:textId="77777777" w:rsidR="004D67F0" w:rsidRDefault="004D67F0" w:rsidP="008456D5">
      <w:pPr>
        <w:spacing w:before="0" w:after="0"/>
      </w:pPr>
      <w:r>
        <w:continuationSeparator/>
      </w:r>
    </w:p>
  </w:endnote>
  <w:endnote w:type="continuationNotice" w:id="1">
    <w:p w14:paraId="4AA9400C" w14:textId="77777777" w:rsidR="004D67F0" w:rsidRDefault="004D67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789" w14:textId="77777777" w:rsidR="004D67F0" w:rsidRDefault="004D67F0" w:rsidP="00180B5B">
    <w:pPr>
      <w:pStyle w:val="Footer"/>
      <w:spacing w:before="720"/>
      <w:jc w:val="right"/>
    </w:pPr>
    <w:r>
      <w:rPr>
        <w:noProof/>
        <w:lang w:eastAsia="en-AU"/>
      </w:rPr>
      <mc:AlternateContent>
        <mc:Choice Requires="wps">
          <w:drawing>
            <wp:anchor distT="0" distB="0" distL="114300" distR="114300" simplePos="0" relativeHeight="251654656" behindDoc="1" locked="1" layoutInCell="1" allowOverlap="1" wp14:anchorId="06BCB2DC" wp14:editId="10264584">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81E16A9" w14:textId="77777777" w:rsidR="004D67F0" w:rsidRPr="007A05BE" w:rsidRDefault="004D67F0"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CB2DC"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618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81E16A9" w14:textId="77777777" w:rsidR="004D67F0" w:rsidRPr="007A05BE" w:rsidRDefault="004D67F0"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3632" behindDoc="1" locked="1" layoutInCell="1" allowOverlap="1" wp14:anchorId="27459725" wp14:editId="33C43724">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8B7E6E6" w14:textId="77777777" w:rsidR="004D67F0" w:rsidRDefault="004D67F0" w:rsidP="00180B5B">
                              <w:pPr>
                                <w:pStyle w:val="Footer"/>
                              </w:pPr>
                              <w:r>
                                <w:t>Anti-Siphoning List Amendment: Explanatory Statement Text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59725" id="Text Box 18" o:spid="_x0000_s1027" type="#_x0000_t202" style="position:absolute;left:0;text-align:left;margin-left:0;margin-top:0;width:340.15pt;height:42.45pt;z-index:-2516628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8B7E6E6" w14:textId="77777777" w:rsidR="004D67F0" w:rsidRDefault="004D67F0" w:rsidP="00180B5B">
                        <w:pPr>
                          <w:pStyle w:val="Footer"/>
                        </w:pPr>
                        <w:r>
                          <w:t>Anti-Siphoning List Amendment: Explanatory Statement Text</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1429" w14:textId="77777777" w:rsidR="004D67F0" w:rsidRPr="00B17AC0" w:rsidRDefault="004D67F0" w:rsidP="002229F7">
    <w:pPr>
      <w:pStyle w:val="Footer"/>
      <w:spacing w:before="360"/>
      <w:rPr>
        <w:color w:val="auto"/>
      </w:rPr>
    </w:pPr>
  </w:p>
  <w:p w14:paraId="24056248" w14:textId="17A59860" w:rsidR="004D67F0" w:rsidRPr="00B17AC0" w:rsidRDefault="004D67F0" w:rsidP="002229F7">
    <w:pPr>
      <w:pStyle w:val="SecurityMarker"/>
      <w:rPr>
        <w:color w:val="auto"/>
      </w:rPr>
    </w:pPr>
    <w:r w:rsidRPr="00B17AC0">
      <w:rPr>
        <w:noProof/>
        <w:color w:val="auto"/>
        <w:lang w:eastAsia="en-AU"/>
      </w:rPr>
      <mc:AlternateContent>
        <mc:Choice Requires="wps">
          <w:drawing>
            <wp:anchor distT="0" distB="0" distL="114300" distR="114300" simplePos="0" relativeHeight="251660800" behindDoc="1" locked="1" layoutInCell="1" allowOverlap="1" wp14:anchorId="09842B9C" wp14:editId="2E89B6BF">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68CEDFF" w14:textId="77777777" w:rsidR="004D67F0" w:rsidRPr="00E571A0" w:rsidRDefault="004D67F0" w:rsidP="002229F7">
                          <w:pPr>
                            <w:pStyle w:val="Footer"/>
                            <w:jc w:val="right"/>
                            <w:rPr>
                              <w:rStyle w:val="PageNumber"/>
                              <w:b w:val="0"/>
                            </w:rPr>
                          </w:pPr>
                          <w:r w:rsidRPr="00E571A0">
                            <w:rPr>
                              <w:rStyle w:val="PageNumber"/>
                              <w:b w:val="0"/>
                            </w:rPr>
                            <w:fldChar w:fldCharType="begin"/>
                          </w:r>
                          <w:r w:rsidRPr="00E571A0">
                            <w:rPr>
                              <w:rStyle w:val="PageNumber"/>
                              <w:b w:val="0"/>
                            </w:rPr>
                            <w:instrText xml:space="preserve"> PAGE   \* MERGEFORMAT </w:instrText>
                          </w:r>
                          <w:r w:rsidRPr="00E571A0">
                            <w:rPr>
                              <w:rStyle w:val="PageNumber"/>
                              <w:b w:val="0"/>
                            </w:rPr>
                            <w:fldChar w:fldCharType="separate"/>
                          </w:r>
                          <w:r w:rsidRPr="00E571A0">
                            <w:rPr>
                              <w:rStyle w:val="PageNumber"/>
                              <w:b w:val="0"/>
                              <w:noProof/>
                            </w:rPr>
                            <w:t>2</w:t>
                          </w:r>
                          <w:r w:rsidRPr="00E571A0">
                            <w:rPr>
                              <w:rStyle w:val="PageNumber"/>
                              <w:b w:val="0"/>
                            </w:rPr>
                            <w:fldChar w:fldCharType="end"/>
                          </w:r>
                        </w:p>
                        <w:p w14:paraId="2793214F" w14:textId="77777777" w:rsidR="004D67F0" w:rsidRPr="00077FE0" w:rsidRDefault="004D67F0"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42B9C"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556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468CEDFF" w14:textId="77777777" w:rsidR="004D67F0" w:rsidRPr="00E571A0" w:rsidRDefault="004D67F0" w:rsidP="002229F7">
                    <w:pPr>
                      <w:pStyle w:val="Footer"/>
                      <w:jc w:val="right"/>
                      <w:rPr>
                        <w:rStyle w:val="PageNumber"/>
                        <w:b w:val="0"/>
                      </w:rPr>
                    </w:pPr>
                    <w:r w:rsidRPr="00E571A0">
                      <w:rPr>
                        <w:rStyle w:val="PageNumber"/>
                        <w:b w:val="0"/>
                      </w:rPr>
                      <w:fldChar w:fldCharType="begin"/>
                    </w:r>
                    <w:r w:rsidRPr="00E571A0">
                      <w:rPr>
                        <w:rStyle w:val="PageNumber"/>
                        <w:b w:val="0"/>
                      </w:rPr>
                      <w:instrText xml:space="preserve"> PAGE   \* MERGEFORMAT </w:instrText>
                    </w:r>
                    <w:r w:rsidRPr="00E571A0">
                      <w:rPr>
                        <w:rStyle w:val="PageNumber"/>
                        <w:b w:val="0"/>
                      </w:rPr>
                      <w:fldChar w:fldCharType="separate"/>
                    </w:r>
                    <w:r w:rsidRPr="00E571A0">
                      <w:rPr>
                        <w:rStyle w:val="PageNumber"/>
                        <w:b w:val="0"/>
                        <w:noProof/>
                      </w:rPr>
                      <w:t>2</w:t>
                    </w:r>
                    <w:r w:rsidRPr="00E571A0">
                      <w:rPr>
                        <w:rStyle w:val="PageNumber"/>
                        <w:b w:val="0"/>
                      </w:rPr>
                      <w:fldChar w:fldCharType="end"/>
                    </w:r>
                  </w:p>
                  <w:p w14:paraId="2793214F" w14:textId="77777777" w:rsidR="004D67F0" w:rsidRPr="00077FE0" w:rsidRDefault="004D67F0" w:rsidP="002229F7">
                    <w:pPr>
                      <w:pStyle w:val="SecurityMarker"/>
                      <w:jc w:val="right"/>
                      <w:rPr>
                        <w:color w:val="FFFFFF" w:themeColor="background1"/>
                      </w:rPr>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5C45" w14:textId="77777777" w:rsidR="004D67F0" w:rsidRPr="00B17AC0" w:rsidRDefault="004D67F0" w:rsidP="002229F7">
    <w:pPr>
      <w:pStyle w:val="Footer"/>
      <w:spacing w:before="360"/>
      <w:rPr>
        <w:color w:val="auto"/>
      </w:rPr>
    </w:pPr>
  </w:p>
  <w:p w14:paraId="17BDA872" w14:textId="0D8980CB" w:rsidR="004D67F0" w:rsidRPr="00B17AC0" w:rsidRDefault="00B17AC0" w:rsidP="002229F7">
    <w:pPr>
      <w:pStyle w:val="SecurityMarker"/>
      <w:rPr>
        <w:color w:val="auto"/>
      </w:rPr>
    </w:pPr>
    <w:sdt>
      <w:sdtPr>
        <w:rPr>
          <w:color w:val="auto"/>
        </w:rPr>
        <w:alias w:val="Status"/>
        <w:tag w:val=""/>
        <w:id w:val="827300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A1225" w:rsidRPr="00B17AC0">
          <w:rPr>
            <w:color w:val="auto"/>
          </w:rPr>
          <w:t xml:space="preserve">     </w:t>
        </w:r>
      </w:sdtContent>
    </w:sdt>
    <w:r w:rsidR="004D67F0" w:rsidRPr="00B17AC0">
      <w:rPr>
        <w:noProof/>
        <w:color w:val="auto"/>
        <w:lang w:eastAsia="en-AU"/>
      </w:rPr>
      <mc:AlternateContent>
        <mc:Choice Requires="wps">
          <w:drawing>
            <wp:anchor distT="0" distB="0" distL="114300" distR="114300" simplePos="0" relativeHeight="251657728" behindDoc="1" locked="1" layoutInCell="1" allowOverlap="1" wp14:anchorId="7DADAC95" wp14:editId="0AC2BE94">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A735604" w14:textId="77777777" w:rsidR="004D67F0" w:rsidRPr="00E4355B" w:rsidRDefault="004D67F0" w:rsidP="002229F7">
                          <w:pPr>
                            <w:pStyle w:val="Footer"/>
                            <w:jc w:val="right"/>
                            <w:rPr>
                              <w:rStyle w:val="PageNumber"/>
                              <w:b w:val="0"/>
                            </w:rPr>
                          </w:pPr>
                          <w:r w:rsidRPr="00E4355B">
                            <w:rPr>
                              <w:rStyle w:val="PageNumber"/>
                              <w:b w:val="0"/>
                            </w:rPr>
                            <w:fldChar w:fldCharType="begin"/>
                          </w:r>
                          <w:r w:rsidRPr="00E4355B">
                            <w:rPr>
                              <w:rStyle w:val="PageNumber"/>
                              <w:b w:val="0"/>
                            </w:rPr>
                            <w:instrText xml:space="preserve"> PAGE   \* MERGEFORMAT </w:instrText>
                          </w:r>
                          <w:r w:rsidRPr="00E4355B">
                            <w:rPr>
                              <w:rStyle w:val="PageNumber"/>
                              <w:b w:val="0"/>
                            </w:rPr>
                            <w:fldChar w:fldCharType="separate"/>
                          </w:r>
                          <w:r w:rsidRPr="00E4355B">
                            <w:rPr>
                              <w:rStyle w:val="PageNumber"/>
                              <w:b w:val="0"/>
                              <w:noProof/>
                            </w:rPr>
                            <w:t>2</w:t>
                          </w:r>
                          <w:r w:rsidRPr="00E4355B">
                            <w:rPr>
                              <w:rStyle w:val="PageNumber"/>
                              <w:b w:val="0"/>
                            </w:rPr>
                            <w:fldChar w:fldCharType="end"/>
                          </w:r>
                        </w:p>
                        <w:p w14:paraId="65B7CE36" w14:textId="77777777" w:rsidR="004D67F0" w:rsidRPr="00077FE0" w:rsidRDefault="004D67F0"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DAC95" id="_x0000_t202" coordsize="21600,21600" o:spt="202" path="m,l,21600r21600,l21600,xe">
              <v:stroke joinstyle="miter"/>
              <v:path gradientshapeok="t" o:connecttype="rect"/>
            </v:shapetype>
            <v:shape id="Text Box 9" o:spid="_x0000_s1029" type="#_x0000_t202" style="position:absolute;left:0;text-align:left;margin-left:28.15pt;margin-top:0;width:79.35pt;height:56.7pt;z-index:-2516587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ltrjeYkCAAARBQAADgAAAAAAAAAAAAAAAAAuAgAAZHJzL2Uyb0RvYy54bWxQSwECLQAUAAYA&#10;CAAAACEAKCSg5t4AAAAFAQAADwAAAAAAAAAAAAAAAADjBAAAZHJzL2Rvd25yZXYueG1sUEsFBgAA&#10;AAAEAAQA8wAAAO4FAAAAAA==&#10;" filled="f" stroked="f" strokeweight=".5pt">
              <v:textbox inset="0,0,18mm,7mm">
                <w:txbxContent>
                  <w:p w14:paraId="6A735604" w14:textId="77777777" w:rsidR="004D67F0" w:rsidRPr="00E4355B" w:rsidRDefault="004D67F0" w:rsidP="002229F7">
                    <w:pPr>
                      <w:pStyle w:val="Footer"/>
                      <w:jc w:val="right"/>
                      <w:rPr>
                        <w:rStyle w:val="PageNumber"/>
                        <w:b w:val="0"/>
                      </w:rPr>
                    </w:pPr>
                    <w:r w:rsidRPr="00E4355B">
                      <w:rPr>
                        <w:rStyle w:val="PageNumber"/>
                        <w:b w:val="0"/>
                      </w:rPr>
                      <w:fldChar w:fldCharType="begin"/>
                    </w:r>
                    <w:r w:rsidRPr="00E4355B">
                      <w:rPr>
                        <w:rStyle w:val="PageNumber"/>
                        <w:b w:val="0"/>
                      </w:rPr>
                      <w:instrText xml:space="preserve"> PAGE   \* MERGEFORMAT </w:instrText>
                    </w:r>
                    <w:r w:rsidRPr="00E4355B">
                      <w:rPr>
                        <w:rStyle w:val="PageNumber"/>
                        <w:b w:val="0"/>
                      </w:rPr>
                      <w:fldChar w:fldCharType="separate"/>
                    </w:r>
                    <w:r w:rsidRPr="00E4355B">
                      <w:rPr>
                        <w:rStyle w:val="PageNumber"/>
                        <w:b w:val="0"/>
                        <w:noProof/>
                      </w:rPr>
                      <w:t>2</w:t>
                    </w:r>
                    <w:r w:rsidRPr="00E4355B">
                      <w:rPr>
                        <w:rStyle w:val="PageNumber"/>
                        <w:b w:val="0"/>
                      </w:rPr>
                      <w:fldChar w:fldCharType="end"/>
                    </w:r>
                  </w:p>
                  <w:p w14:paraId="65B7CE36" w14:textId="77777777" w:rsidR="004D67F0" w:rsidRPr="00077FE0" w:rsidRDefault="004D67F0" w:rsidP="002229F7">
                    <w:pPr>
                      <w:pStyle w:val="SecurityMarker"/>
                      <w:jc w:val="right"/>
                      <w:rPr>
                        <w:color w:val="FFFFFF" w:themeColor="background1"/>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17314" w14:textId="77777777" w:rsidR="004D67F0" w:rsidRPr="005912BE" w:rsidRDefault="004D67F0" w:rsidP="005912BE">
      <w:pPr>
        <w:spacing w:before="300"/>
        <w:rPr>
          <w:color w:val="008089" w:themeColor="accent2"/>
        </w:rPr>
      </w:pPr>
      <w:r w:rsidRPr="001606C9">
        <w:rPr>
          <w:color w:val="004044" w:themeColor="accent2" w:themeShade="80"/>
        </w:rPr>
        <w:t>----------</w:t>
      </w:r>
    </w:p>
  </w:footnote>
  <w:footnote w:type="continuationSeparator" w:id="0">
    <w:p w14:paraId="46F3E16F" w14:textId="77777777" w:rsidR="004D67F0" w:rsidRDefault="004D67F0" w:rsidP="008456D5">
      <w:pPr>
        <w:spacing w:before="0" w:after="0"/>
      </w:pPr>
      <w:r>
        <w:continuationSeparator/>
      </w:r>
    </w:p>
  </w:footnote>
  <w:footnote w:type="continuationNotice" w:id="1">
    <w:p w14:paraId="6F025881" w14:textId="77777777" w:rsidR="004D67F0" w:rsidRDefault="004D67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37273" w14:textId="77777777" w:rsidR="004D67F0" w:rsidRDefault="004D67F0"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28DB" w14:textId="7ACFA0C3" w:rsidR="004D67F0" w:rsidRPr="00B17AC0" w:rsidRDefault="00B17AC0" w:rsidP="002229F7">
    <w:pPr>
      <w:pStyle w:val="SecurityMarker"/>
      <w:rPr>
        <w:color w:val="auto"/>
      </w:rPr>
    </w:pPr>
    <w:sdt>
      <w:sdtPr>
        <w:alias w:val="Status"/>
        <w:tag w:val=""/>
        <w:id w:val="-1813397779"/>
        <w:showingPlcHdr/>
        <w15:dataBinding w:prefixMappings="xmlns:ns0='http://purl.org/dc/elements/1.1/' xmlns:ns1='http://schemas.openxmlformats.org/package/2006/metadata/core-properties' " w:xpath="/ns1:coreProperties[1]/ns1:contentStatus[1]" w:storeItemID="{6C3C8BC8-F283-45AE-878A-BAB7291924A1}"/>
      </w:sdtPr>
      <w:sdtEndPr>
        <w:rPr>
          <w:color w:val="auto"/>
        </w:rPr>
      </w:sdtEndPr>
      <w:sdtContent>
        <w:r w:rsidR="009A1225" w:rsidRPr="00B17AC0">
          <w:rPr>
            <w:color w:val="auto"/>
          </w:rPr>
          <w:t xml:space="preserve">     </w:t>
        </w:r>
      </w:sdtContent>
    </w:sdt>
  </w:p>
  <w:p w14:paraId="1A4F0EAF" w14:textId="77777777" w:rsidR="004D67F0" w:rsidRDefault="004D67F0" w:rsidP="002229F7">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434A69"/>
    <w:multiLevelType w:val="hybridMultilevel"/>
    <w:tmpl w:val="E8B63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E644791"/>
    <w:multiLevelType w:val="hybridMultilevel"/>
    <w:tmpl w:val="ACEC61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76200C"/>
    <w:multiLevelType w:val="hybridMultilevel"/>
    <w:tmpl w:val="25361206"/>
    <w:lvl w:ilvl="0" w:tplc="8674A9B6">
      <w:start w:val="4"/>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3"/>
  </w:num>
  <w:num w:numId="29">
    <w:abstractNumId w:val="15"/>
  </w:num>
  <w:num w:numId="3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63"/>
    <w:rsid w:val="0001430B"/>
    <w:rsid w:val="000341E0"/>
    <w:rsid w:val="00070FE8"/>
    <w:rsid w:val="00081203"/>
    <w:rsid w:val="00093AB2"/>
    <w:rsid w:val="000E24BA"/>
    <w:rsid w:val="000E5674"/>
    <w:rsid w:val="000E7E9F"/>
    <w:rsid w:val="00116987"/>
    <w:rsid w:val="001346CE"/>
    <w:rsid w:val="001349C6"/>
    <w:rsid w:val="00153A52"/>
    <w:rsid w:val="001606C9"/>
    <w:rsid w:val="00164BD1"/>
    <w:rsid w:val="00173B0C"/>
    <w:rsid w:val="00180B5B"/>
    <w:rsid w:val="001B5DCA"/>
    <w:rsid w:val="00203702"/>
    <w:rsid w:val="002229F7"/>
    <w:rsid w:val="002254D5"/>
    <w:rsid w:val="0022611D"/>
    <w:rsid w:val="00235678"/>
    <w:rsid w:val="00237A47"/>
    <w:rsid w:val="0026422D"/>
    <w:rsid w:val="00266955"/>
    <w:rsid w:val="00284164"/>
    <w:rsid w:val="00291E71"/>
    <w:rsid w:val="002959FB"/>
    <w:rsid w:val="002B1A83"/>
    <w:rsid w:val="002B3569"/>
    <w:rsid w:val="002B7197"/>
    <w:rsid w:val="002E1ADA"/>
    <w:rsid w:val="003720E9"/>
    <w:rsid w:val="00375E7F"/>
    <w:rsid w:val="00375F52"/>
    <w:rsid w:val="0038444F"/>
    <w:rsid w:val="003C625A"/>
    <w:rsid w:val="003F1371"/>
    <w:rsid w:val="003F775D"/>
    <w:rsid w:val="00416C73"/>
    <w:rsid w:val="00420F04"/>
    <w:rsid w:val="00430511"/>
    <w:rsid w:val="00436A38"/>
    <w:rsid w:val="00450D0E"/>
    <w:rsid w:val="00477E77"/>
    <w:rsid w:val="00483596"/>
    <w:rsid w:val="00490202"/>
    <w:rsid w:val="00492668"/>
    <w:rsid w:val="00495989"/>
    <w:rsid w:val="004D67F0"/>
    <w:rsid w:val="004F77AA"/>
    <w:rsid w:val="00512163"/>
    <w:rsid w:val="0052199B"/>
    <w:rsid w:val="00541213"/>
    <w:rsid w:val="00544611"/>
    <w:rsid w:val="00546218"/>
    <w:rsid w:val="005653A9"/>
    <w:rsid w:val="00566BB6"/>
    <w:rsid w:val="00576064"/>
    <w:rsid w:val="00583641"/>
    <w:rsid w:val="005912BE"/>
    <w:rsid w:val="005E67E6"/>
    <w:rsid w:val="005E6CAB"/>
    <w:rsid w:val="005F794B"/>
    <w:rsid w:val="00611CC1"/>
    <w:rsid w:val="006417C5"/>
    <w:rsid w:val="00667BD9"/>
    <w:rsid w:val="00686A7B"/>
    <w:rsid w:val="006A0F8A"/>
    <w:rsid w:val="006A266A"/>
    <w:rsid w:val="006E1ECA"/>
    <w:rsid w:val="006E53E9"/>
    <w:rsid w:val="00704CBA"/>
    <w:rsid w:val="00786174"/>
    <w:rsid w:val="00791AE8"/>
    <w:rsid w:val="007A05BE"/>
    <w:rsid w:val="007A12FD"/>
    <w:rsid w:val="007A557D"/>
    <w:rsid w:val="007C4A90"/>
    <w:rsid w:val="007E5DF1"/>
    <w:rsid w:val="008067A1"/>
    <w:rsid w:val="008456D5"/>
    <w:rsid w:val="0084634B"/>
    <w:rsid w:val="00865755"/>
    <w:rsid w:val="008A1887"/>
    <w:rsid w:val="008A3E38"/>
    <w:rsid w:val="008A4A85"/>
    <w:rsid w:val="008B3033"/>
    <w:rsid w:val="008B6A81"/>
    <w:rsid w:val="008B73D0"/>
    <w:rsid w:val="008E2A0D"/>
    <w:rsid w:val="00951E55"/>
    <w:rsid w:val="0097254C"/>
    <w:rsid w:val="009909EC"/>
    <w:rsid w:val="00996B8C"/>
    <w:rsid w:val="009A1225"/>
    <w:rsid w:val="009B00F2"/>
    <w:rsid w:val="00A03D7B"/>
    <w:rsid w:val="00A070A2"/>
    <w:rsid w:val="00A146EE"/>
    <w:rsid w:val="00A55479"/>
    <w:rsid w:val="00A95970"/>
    <w:rsid w:val="00AA3C10"/>
    <w:rsid w:val="00AC4537"/>
    <w:rsid w:val="00AC4995"/>
    <w:rsid w:val="00AD7703"/>
    <w:rsid w:val="00AE1A3E"/>
    <w:rsid w:val="00AE3BE7"/>
    <w:rsid w:val="00AF6827"/>
    <w:rsid w:val="00B019D1"/>
    <w:rsid w:val="00B0484D"/>
    <w:rsid w:val="00B17AC0"/>
    <w:rsid w:val="00B42AC2"/>
    <w:rsid w:val="00B45CBE"/>
    <w:rsid w:val="00B62D56"/>
    <w:rsid w:val="00B800E2"/>
    <w:rsid w:val="00B8047A"/>
    <w:rsid w:val="00B93450"/>
    <w:rsid w:val="00B9430D"/>
    <w:rsid w:val="00BB3AAC"/>
    <w:rsid w:val="00BC61BC"/>
    <w:rsid w:val="00BD30BD"/>
    <w:rsid w:val="00BE3AD8"/>
    <w:rsid w:val="00C2440C"/>
    <w:rsid w:val="00C37AD0"/>
    <w:rsid w:val="00C62204"/>
    <w:rsid w:val="00CB2CD3"/>
    <w:rsid w:val="00CD233E"/>
    <w:rsid w:val="00CE6E19"/>
    <w:rsid w:val="00CF01DA"/>
    <w:rsid w:val="00CF6CFD"/>
    <w:rsid w:val="00CF763F"/>
    <w:rsid w:val="00CF78A5"/>
    <w:rsid w:val="00D02062"/>
    <w:rsid w:val="00D5655E"/>
    <w:rsid w:val="00D62C1B"/>
    <w:rsid w:val="00D92679"/>
    <w:rsid w:val="00D93AEC"/>
    <w:rsid w:val="00D96BC0"/>
    <w:rsid w:val="00DA6576"/>
    <w:rsid w:val="00DD09C2"/>
    <w:rsid w:val="00DE4362"/>
    <w:rsid w:val="00DE4FE2"/>
    <w:rsid w:val="00DF0680"/>
    <w:rsid w:val="00E04908"/>
    <w:rsid w:val="00E2218A"/>
    <w:rsid w:val="00E30EB4"/>
    <w:rsid w:val="00E419E4"/>
    <w:rsid w:val="00E4355B"/>
    <w:rsid w:val="00E571A0"/>
    <w:rsid w:val="00E675F3"/>
    <w:rsid w:val="00E73132"/>
    <w:rsid w:val="00E94FDD"/>
    <w:rsid w:val="00E95BA5"/>
    <w:rsid w:val="00ED096D"/>
    <w:rsid w:val="00F11869"/>
    <w:rsid w:val="00F1428D"/>
    <w:rsid w:val="00F17FB4"/>
    <w:rsid w:val="00F60547"/>
    <w:rsid w:val="00F67CDB"/>
    <w:rsid w:val="00F7154B"/>
    <w:rsid w:val="00FA70DE"/>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5A3A7"/>
  <w15:chartTrackingRefBased/>
  <w15:docId w15:val="{C590611D-E7D3-4547-806C-447EEBA9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ListParagraph">
    <w:name w:val="List Paragraph"/>
    <w:basedOn w:val="Normal"/>
    <w:uiPriority w:val="34"/>
    <w:qFormat/>
    <w:rsid w:val="00512163"/>
    <w:pPr>
      <w:suppressAutoHyphens w:val="0"/>
      <w:spacing w:before="0" w:after="160" w:line="259" w:lineRule="auto"/>
      <w:ind w:left="720"/>
      <w:contextualSpacing/>
    </w:pPr>
    <w:rPr>
      <w:color w:val="auto"/>
    </w:rPr>
  </w:style>
  <w:style w:type="character" w:styleId="CommentReference">
    <w:name w:val="annotation reference"/>
    <w:basedOn w:val="DefaultParagraphFont"/>
    <w:uiPriority w:val="99"/>
    <w:semiHidden/>
    <w:unhideWhenUsed/>
    <w:rsid w:val="00512163"/>
    <w:rPr>
      <w:sz w:val="16"/>
      <w:szCs w:val="16"/>
    </w:rPr>
  </w:style>
  <w:style w:type="paragraph" w:styleId="CommentText">
    <w:name w:val="annotation text"/>
    <w:basedOn w:val="Normal"/>
    <w:link w:val="CommentTextChar"/>
    <w:uiPriority w:val="99"/>
    <w:semiHidden/>
    <w:unhideWhenUsed/>
    <w:rsid w:val="00512163"/>
    <w:pPr>
      <w:suppressAutoHyphens w:val="0"/>
      <w:spacing w:before="0" w:after="160"/>
    </w:pPr>
    <w:rPr>
      <w:color w:val="auto"/>
      <w:sz w:val="20"/>
      <w:szCs w:val="20"/>
    </w:rPr>
  </w:style>
  <w:style w:type="character" w:customStyle="1" w:styleId="CommentTextChar">
    <w:name w:val="Comment Text Char"/>
    <w:basedOn w:val="DefaultParagraphFont"/>
    <w:link w:val="CommentText"/>
    <w:uiPriority w:val="99"/>
    <w:semiHidden/>
    <w:rsid w:val="00512163"/>
    <w:rPr>
      <w:color w:val="auto"/>
      <w:sz w:val="20"/>
      <w:szCs w:val="20"/>
    </w:rPr>
  </w:style>
  <w:style w:type="paragraph" w:styleId="BalloonText">
    <w:name w:val="Balloon Text"/>
    <w:basedOn w:val="Normal"/>
    <w:link w:val="BalloonTextChar"/>
    <w:uiPriority w:val="99"/>
    <w:semiHidden/>
    <w:unhideWhenUsed/>
    <w:rsid w:val="0051216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1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12163"/>
    <w:pPr>
      <w:suppressAutoHyphens/>
      <w:spacing w:before="160" w:after="80"/>
    </w:pPr>
    <w:rPr>
      <w:b/>
      <w:bCs/>
      <w:color w:val="000000" w:themeColor="text1"/>
    </w:rPr>
  </w:style>
  <w:style w:type="character" w:customStyle="1" w:styleId="CommentSubjectChar">
    <w:name w:val="Comment Subject Char"/>
    <w:basedOn w:val="CommentTextChar"/>
    <w:link w:val="CommentSubject"/>
    <w:uiPriority w:val="99"/>
    <w:semiHidden/>
    <w:rsid w:val="00512163"/>
    <w:rPr>
      <w:b/>
      <w:bCs/>
      <w:color w:val="auto"/>
      <w:sz w:val="20"/>
      <w:szCs w:val="20"/>
    </w:rPr>
  </w:style>
  <w:style w:type="paragraph" w:styleId="NormalWeb">
    <w:name w:val="Normal (Web)"/>
    <w:basedOn w:val="Normal"/>
    <w:uiPriority w:val="99"/>
    <w:semiHidden/>
    <w:unhideWhenUsed/>
    <w:rsid w:val="008A4A85"/>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subsectionChar">
    <w:name w:val="subsection Char"/>
    <w:aliases w:val="ss Char"/>
    <w:basedOn w:val="DefaultParagraphFont"/>
    <w:link w:val="subsection"/>
    <w:locked/>
    <w:rsid w:val="00AC4995"/>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AC4995"/>
    <w:pPr>
      <w:tabs>
        <w:tab w:val="right" w:pos="1021"/>
      </w:tabs>
      <w:suppressAutoHyphens w:val="0"/>
      <w:spacing w:before="180" w:after="0"/>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C4995"/>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C4995"/>
    <w:pPr>
      <w:tabs>
        <w:tab w:val="right" w:pos="1531"/>
      </w:tabs>
      <w:suppressAutoHyphens w:val="0"/>
      <w:spacing w:before="40" w:after="0"/>
      <w:ind w:left="1644" w:hanging="1644"/>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58368">
      <w:bodyDiv w:val="1"/>
      <w:marLeft w:val="0"/>
      <w:marRight w:val="0"/>
      <w:marTop w:val="0"/>
      <w:marBottom w:val="0"/>
      <w:divBdr>
        <w:top w:val="none" w:sz="0" w:space="0" w:color="auto"/>
        <w:left w:val="none" w:sz="0" w:space="0" w:color="auto"/>
        <w:bottom w:val="none" w:sz="0" w:space="0" w:color="auto"/>
        <w:right w:val="none" w:sz="0" w:space="0" w:color="auto"/>
      </w:divBdr>
    </w:div>
    <w:div w:id="1070157411">
      <w:bodyDiv w:val="1"/>
      <w:marLeft w:val="0"/>
      <w:marRight w:val="0"/>
      <w:marTop w:val="0"/>
      <w:marBottom w:val="0"/>
      <w:divBdr>
        <w:top w:val="none" w:sz="0" w:space="0" w:color="auto"/>
        <w:left w:val="none" w:sz="0" w:space="0" w:color="auto"/>
        <w:bottom w:val="none" w:sz="0" w:space="0" w:color="auto"/>
        <w:right w:val="none" w:sz="0" w:space="0" w:color="auto"/>
      </w:divBdr>
    </w:div>
    <w:div w:id="1369792248">
      <w:bodyDiv w:val="1"/>
      <w:marLeft w:val="0"/>
      <w:marRight w:val="0"/>
      <w:marTop w:val="0"/>
      <w:marBottom w:val="0"/>
      <w:divBdr>
        <w:top w:val="none" w:sz="0" w:space="0" w:color="auto"/>
        <w:left w:val="none" w:sz="0" w:space="0" w:color="auto"/>
        <w:bottom w:val="none" w:sz="0" w:space="0" w:color="auto"/>
        <w:right w:val="none" w:sz="0" w:space="0" w:color="auto"/>
      </w:divBdr>
    </w:div>
    <w:div w:id="21240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02082023.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2D24C8-95A8-4EDD-AA2E-ADE951A6BC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3CDF05-DE6E-47E2-9C5A-722EB0EADA25"/>
    <ds:schemaRef ds:uri="http://www.w3.org/XML/1998/namespace"/>
    <ds:schemaRef ds:uri="http://purl.org/dc/dcmitype/"/>
  </ds:schemaRefs>
</ds:datastoreItem>
</file>

<file path=customXml/itemProps3.xml><?xml version="1.0" encoding="utf-8"?>
<ds:datastoreItem xmlns:ds="http://schemas.openxmlformats.org/officeDocument/2006/customXml" ds:itemID="{3AF06FA0-CD5A-4FF0-99F6-E360169E2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E7CBE-FEA6-470D-B47F-51D6A2E4CF3C}">
  <ds:schemaRefs>
    <ds:schemaRef ds:uri="http://schemas.microsoft.com/sharepoint/v3/contenttype/forms"/>
  </ds:schemaRefs>
</ds:datastoreItem>
</file>

<file path=customXml/itemProps5.xml><?xml version="1.0" encoding="utf-8"?>
<ds:datastoreItem xmlns:ds="http://schemas.openxmlformats.org/officeDocument/2006/customXml" ds:itemID="{44B73EC1-F5DF-44A6-9DF8-EC2E7757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template_02082023.dotx</Template>
  <TotalTime>0</TotalTime>
  <Pages>6</Pages>
  <Words>1774</Words>
  <Characters>10114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Anti-Siphoning List Amendment: Explanatory Statement Text</vt:lpstr>
    </vt:vector>
  </TitlesOfParts>
  <Company>Department of Infrastructure &amp; Regional Development</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Anti-Siphoning List Amendment: Explanatory Statement Text</dc:title>
  <dc:subject/>
  <dc:creator>Eklund, Oliver</dc:creator>
  <cp:keywords/>
  <dc:description/>
  <cp:lastModifiedBy>MCGURGAN Danielle</cp:lastModifiedBy>
  <cp:revision>2</cp:revision>
  <dcterms:created xsi:type="dcterms:W3CDTF">2023-09-13T00:59:00Z</dcterms:created>
  <dcterms:modified xsi:type="dcterms:W3CDTF">2023-09-13T00:59:00Z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0x010100266966F133664895A6EE3632470D45F5006B3C3137F4307E4FA73D6D01104038F9</vt:lpwstr>
  </property>
</Properties>
</file>