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9AC9" w14:textId="77777777" w:rsidR="00FB640B" w:rsidRPr="008B24C8" w:rsidRDefault="0057002B" w:rsidP="00BB0CF2">
      <w:pPr>
        <w:pStyle w:val="ESTitleHeader"/>
      </w:pPr>
      <w:bookmarkStart w:id="0" w:name="_GoBack"/>
      <w:bookmarkEnd w:id="0"/>
      <w:r w:rsidRPr="008B24C8">
        <w:t>EXPLANATORY STATEMENT</w:t>
      </w:r>
    </w:p>
    <w:p w14:paraId="4347DEF2" w14:textId="77777777" w:rsidR="0057002B" w:rsidRPr="008B24C8" w:rsidRDefault="0057002B" w:rsidP="00BB0CF2">
      <w:pPr>
        <w:pStyle w:val="ESTitleDecisionMaker"/>
      </w:pPr>
      <w:r w:rsidRPr="008B24C8">
        <w:t xml:space="preserve">Issued by authority of the </w:t>
      </w:r>
      <w:r w:rsidR="006A2EF4">
        <w:t>Minister for Immigration, Citizenship and Multicultural Affairs</w:t>
      </w:r>
    </w:p>
    <w:p w14:paraId="3740C028" w14:textId="77777777" w:rsidR="0057002B" w:rsidRPr="008B24C8" w:rsidRDefault="006A2EF4" w:rsidP="00BB0CF2">
      <w:pPr>
        <w:pStyle w:val="ESTitleEnablingLegislation"/>
      </w:pPr>
      <w:r>
        <w:t>Migration Regulations 1994</w:t>
      </w:r>
    </w:p>
    <w:p w14:paraId="4A189AFE" w14:textId="2DD6F246" w:rsidR="0057002B" w:rsidRPr="008B24C8" w:rsidRDefault="006A2EF4" w:rsidP="00BB0CF2">
      <w:pPr>
        <w:pStyle w:val="ESTitleInstrumentName"/>
      </w:pPr>
      <w:r>
        <w:t>Migration (</w:t>
      </w:r>
      <w:r w:rsidR="00E67AB0">
        <w:t>Removal of health workforce certificate</w:t>
      </w:r>
      <w:r w:rsidR="008912DA">
        <w:t xml:space="preserve"> requirements</w:t>
      </w:r>
      <w:r>
        <w:t>) Amendment In</w:t>
      </w:r>
      <w:r w:rsidR="008912DA">
        <w:t>strument (LIN 23/06</w:t>
      </w:r>
      <w:r w:rsidR="00572320">
        <w:t>7</w:t>
      </w:r>
      <w:r w:rsidR="008912DA">
        <w:t>) 2023</w:t>
      </w:r>
      <w:r w:rsidR="00425529">
        <w:t xml:space="preserve"> (No. 2)</w:t>
      </w:r>
    </w:p>
    <w:p w14:paraId="2CFEE1A9" w14:textId="716CFC7A" w:rsidR="006A2EF4" w:rsidRDefault="006A2EF4" w:rsidP="002D167E">
      <w:pPr>
        <w:pStyle w:val="ESPara"/>
      </w:pPr>
      <w:r>
        <w:t xml:space="preserve">The instrument, </w:t>
      </w:r>
      <w:r w:rsidR="00AA28D5">
        <w:t>departmental reference LIN 23/067</w:t>
      </w:r>
      <w:r w:rsidR="0057002B" w:rsidRPr="008B24C8">
        <w:t xml:space="preserve">, is made under </w:t>
      </w:r>
      <w:r>
        <w:t>the following provisions:</w:t>
      </w:r>
    </w:p>
    <w:p w14:paraId="7D6E648D" w14:textId="03C9F4AB" w:rsidR="00AE1FFD" w:rsidRDefault="00AE1FFD" w:rsidP="006A2EF4">
      <w:pPr>
        <w:pStyle w:val="ESSubparaList"/>
      </w:pPr>
      <w:r>
        <w:t>subregulation 2.72(9) of the</w:t>
      </w:r>
      <w:r w:rsidR="006B2394">
        <w:t xml:space="preserve"> </w:t>
      </w:r>
      <w:r w:rsidR="006B2394" w:rsidRPr="00CD18F9">
        <w:rPr>
          <w:i/>
        </w:rPr>
        <w:t>Migration Regulations 1994</w:t>
      </w:r>
      <w:r w:rsidR="006B2394">
        <w:t xml:space="preserve"> (the</w:t>
      </w:r>
      <w:r>
        <w:t xml:space="preserve"> Regulations</w:t>
      </w:r>
      <w:r w:rsidR="006B2394">
        <w:t>)</w:t>
      </w:r>
      <w:r>
        <w:t xml:space="preserve">; </w:t>
      </w:r>
      <w:r w:rsidR="001C3ADE">
        <w:t>and</w:t>
      </w:r>
    </w:p>
    <w:p w14:paraId="0F145F2D" w14:textId="55C45616" w:rsidR="00AE1FFD" w:rsidRDefault="00E67AB0" w:rsidP="006A2EF4">
      <w:pPr>
        <w:pStyle w:val="ESSubparaList"/>
      </w:pPr>
      <w:r>
        <w:t>subregulation 2.72C(1</w:t>
      </w:r>
      <w:r w:rsidR="001C3ADE">
        <w:t>1) of the Regulation</w:t>
      </w:r>
      <w:r w:rsidR="00EB5902">
        <w:t xml:space="preserve">s. </w:t>
      </w:r>
    </w:p>
    <w:p w14:paraId="153E1EAC" w14:textId="77777777" w:rsidR="006E5C2D" w:rsidRDefault="00EA12C9" w:rsidP="006E5C2D">
      <w:pPr>
        <w:pStyle w:val="ESPara"/>
      </w:pPr>
      <w:r w:rsidRPr="008B24C8">
        <w:t xml:space="preserve">The instrument </w:t>
      </w:r>
      <w:r w:rsidR="006E5C2D">
        <w:t>amends the following:</w:t>
      </w:r>
    </w:p>
    <w:p w14:paraId="1D65CB81" w14:textId="244B5429" w:rsidR="006E5C2D" w:rsidRDefault="001C3ADE" w:rsidP="006B2394">
      <w:pPr>
        <w:pStyle w:val="ESPara"/>
        <w:numPr>
          <w:ilvl w:val="0"/>
          <w:numId w:val="0"/>
        </w:numPr>
        <w:ind w:left="1437" w:hanging="870"/>
      </w:pPr>
      <w:r>
        <w:t>(a</w:t>
      </w:r>
      <w:r w:rsidR="006E5C2D">
        <w:t>)</w:t>
      </w:r>
      <w:r w:rsidR="006E5C2D">
        <w:tab/>
      </w:r>
      <w:r w:rsidR="006E5C2D" w:rsidRPr="006B2394">
        <w:rPr>
          <w:i/>
        </w:rPr>
        <w:t>Migration (LIN 19/048: Specification of Occupations – Su</w:t>
      </w:r>
      <w:r w:rsidR="006B2394" w:rsidRPr="006B2394">
        <w:rPr>
          <w:i/>
        </w:rPr>
        <w:t>bclass 482 Visa) Instrument 2019</w:t>
      </w:r>
      <w:r w:rsidR="006B2394">
        <w:t xml:space="preserve"> (LIN 19/048)</w:t>
      </w:r>
      <w:r w:rsidR="006E5C2D">
        <w:t>;</w:t>
      </w:r>
      <w:r w:rsidR="006B2394">
        <w:t xml:space="preserve"> and</w:t>
      </w:r>
    </w:p>
    <w:p w14:paraId="6795A7D4" w14:textId="3DEA3D55" w:rsidR="006E5C2D" w:rsidRDefault="001C3ADE" w:rsidP="006E5C2D">
      <w:pPr>
        <w:pStyle w:val="ESPara"/>
        <w:numPr>
          <w:ilvl w:val="0"/>
          <w:numId w:val="0"/>
        </w:numPr>
        <w:ind w:firstLine="567"/>
      </w:pPr>
      <w:r>
        <w:t>(b</w:t>
      </w:r>
      <w:r w:rsidR="006E5C2D">
        <w:t>)</w:t>
      </w:r>
      <w:r w:rsidR="006E5C2D">
        <w:tab/>
      </w:r>
      <w:r w:rsidR="006E5C2D" w:rsidRPr="006B2394">
        <w:rPr>
          <w:i/>
        </w:rPr>
        <w:t>Migration (LIN 19/219: Occupations for Subclass 494 Visas) Instrument 2019</w:t>
      </w:r>
      <w:r w:rsidR="006B2394">
        <w:t xml:space="preserve"> (LIN 19/219)</w:t>
      </w:r>
      <w:r w:rsidR="006E5C2D">
        <w:t>.</w:t>
      </w:r>
    </w:p>
    <w:p w14:paraId="7354547E" w14:textId="7FF0BE2D" w:rsidR="00EA12C9" w:rsidRPr="008B24C8" w:rsidRDefault="006E5C2D" w:rsidP="00431672">
      <w:pPr>
        <w:pStyle w:val="ESPara"/>
      </w:pPr>
      <w:r>
        <w:t>The above instruments are amended</w:t>
      </w:r>
      <w:r w:rsidR="00B75478">
        <w:t xml:space="preserve"> </w:t>
      </w:r>
      <w:r w:rsidR="00EA12C9" w:rsidRPr="008B24C8">
        <w:t xml:space="preserve">in accordance with subsection 33(3) of the </w:t>
      </w:r>
      <w:r w:rsidR="00EA12C9" w:rsidRPr="008B24C8">
        <w:rPr>
          <w:i/>
        </w:rPr>
        <w:t>Acts Interpretation Act 1901</w:t>
      </w:r>
      <w:r w:rsidR="00BD598E" w:rsidRPr="008B24C8">
        <w:rPr>
          <w:i/>
        </w:rPr>
        <w:t xml:space="preserve"> </w:t>
      </w:r>
      <w:r w:rsidR="00BD598E" w:rsidRPr="008B24C8">
        <w:t>(the Acts Interpretation Act)</w:t>
      </w:r>
      <w:r w:rsidR="00EA12C9"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053A55DF" w14:textId="0F77F4ED" w:rsidR="00BD598E" w:rsidRPr="008B24C8" w:rsidRDefault="006E5C2D" w:rsidP="002D167E">
      <w:pPr>
        <w:pStyle w:val="ESPara"/>
      </w:pPr>
      <w:r>
        <w:t xml:space="preserve">The instrument commences </w:t>
      </w:r>
      <w:r w:rsidR="000152A5">
        <w:t xml:space="preserve">on </w:t>
      </w:r>
      <w:r>
        <w:t>16 September 2023</w:t>
      </w:r>
      <w:r w:rsidR="00AA4557">
        <w:t>,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29FCF54D" w14:textId="77777777" w:rsidR="006E5C2D" w:rsidRDefault="00BD598E" w:rsidP="006E5C2D">
      <w:pPr>
        <w:pStyle w:val="ESHeading"/>
      </w:pPr>
      <w:r w:rsidRPr="008B24C8">
        <w:t>Purpose</w:t>
      </w:r>
      <w:r w:rsidR="00BB0CF2">
        <w:t xml:space="preserve"> </w:t>
      </w:r>
    </w:p>
    <w:p w14:paraId="58E38054" w14:textId="4D3BD134" w:rsidR="00E34516" w:rsidRDefault="00AF37D3" w:rsidP="0056183C">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R</w:t>
      </w:r>
      <w:r w:rsidR="0025213E">
        <w:rPr>
          <w:rFonts w:ascii="Times New Roman" w:hAnsi="Times New Roman" w:cs="Times New Roman"/>
        </w:rPr>
        <w:t>egulation 2.72</w:t>
      </w:r>
      <w:r w:rsidR="00F51685">
        <w:rPr>
          <w:rFonts w:ascii="Times New Roman" w:hAnsi="Times New Roman" w:cs="Times New Roman"/>
        </w:rPr>
        <w:t xml:space="preserve"> of the Regulations </w:t>
      </w:r>
      <w:r w:rsidR="00E34516">
        <w:rPr>
          <w:rFonts w:ascii="Times New Roman" w:hAnsi="Times New Roman" w:cs="Times New Roman"/>
        </w:rPr>
        <w:t xml:space="preserve">sets out the requirements that must be met for </w:t>
      </w:r>
      <w:r w:rsidR="000152A5">
        <w:rPr>
          <w:rFonts w:ascii="Times New Roman" w:hAnsi="Times New Roman" w:cs="Times New Roman"/>
        </w:rPr>
        <w:t xml:space="preserve">the approval of a </w:t>
      </w:r>
      <w:r w:rsidR="00E34516">
        <w:rPr>
          <w:rFonts w:ascii="Times New Roman" w:hAnsi="Times New Roman" w:cs="Times New Roman"/>
        </w:rPr>
        <w:t>nomination</w:t>
      </w:r>
      <w:r w:rsidR="000152A5">
        <w:rPr>
          <w:rFonts w:ascii="Times New Roman" w:hAnsi="Times New Roman" w:cs="Times New Roman"/>
        </w:rPr>
        <w:t xml:space="preserve"> of a </w:t>
      </w:r>
      <w:r w:rsidR="00940F11">
        <w:rPr>
          <w:rFonts w:ascii="Times New Roman" w:hAnsi="Times New Roman" w:cs="Times New Roman"/>
        </w:rPr>
        <w:t>proposed occupation</w:t>
      </w:r>
      <w:r w:rsidR="000152A5">
        <w:rPr>
          <w:rFonts w:ascii="Times New Roman" w:hAnsi="Times New Roman" w:cs="Times New Roman"/>
        </w:rPr>
        <w:t xml:space="preserve"> in </w:t>
      </w:r>
      <w:r w:rsidR="00E43315">
        <w:rPr>
          <w:rFonts w:ascii="Times New Roman" w:hAnsi="Times New Roman" w:cs="Times New Roman"/>
        </w:rPr>
        <w:t>relation to</w:t>
      </w:r>
      <w:r w:rsidR="000152A5">
        <w:rPr>
          <w:rFonts w:ascii="Times New Roman" w:hAnsi="Times New Roman" w:cs="Times New Roman"/>
        </w:rPr>
        <w:t xml:space="preserve"> an</w:t>
      </w:r>
      <w:r w:rsidR="00E34516">
        <w:rPr>
          <w:rFonts w:ascii="Times New Roman" w:hAnsi="Times New Roman" w:cs="Times New Roman"/>
        </w:rPr>
        <w:t xml:space="preserve"> </w:t>
      </w:r>
      <w:r w:rsidR="00E43315">
        <w:rPr>
          <w:rFonts w:ascii="Times New Roman" w:hAnsi="Times New Roman" w:cs="Times New Roman"/>
        </w:rPr>
        <w:t>applicant</w:t>
      </w:r>
      <w:r w:rsidR="00E34516">
        <w:rPr>
          <w:rFonts w:ascii="Times New Roman" w:hAnsi="Times New Roman" w:cs="Times New Roman"/>
        </w:rPr>
        <w:t xml:space="preserve"> for </w:t>
      </w:r>
      <w:r w:rsidR="00E43315">
        <w:rPr>
          <w:rFonts w:ascii="Times New Roman" w:hAnsi="Times New Roman" w:cs="Times New Roman"/>
        </w:rPr>
        <w:t xml:space="preserve">or holder of </w:t>
      </w:r>
      <w:r w:rsidR="00E34516">
        <w:rPr>
          <w:rFonts w:ascii="Times New Roman" w:hAnsi="Times New Roman" w:cs="Times New Roman"/>
        </w:rPr>
        <w:t>a Subclass 482 (Te</w:t>
      </w:r>
      <w:r w:rsidR="00C22D90">
        <w:rPr>
          <w:rFonts w:ascii="Times New Roman" w:hAnsi="Times New Roman" w:cs="Times New Roman"/>
        </w:rPr>
        <w:t>mporary Skill Shortage) visa</w:t>
      </w:r>
      <w:r w:rsidR="001E64D6">
        <w:rPr>
          <w:rFonts w:ascii="Times New Roman" w:hAnsi="Times New Roman" w:cs="Times New Roman"/>
        </w:rPr>
        <w:t xml:space="preserve"> (</w:t>
      </w:r>
      <w:r w:rsidR="00CD18F9">
        <w:rPr>
          <w:rFonts w:ascii="Times New Roman" w:hAnsi="Times New Roman" w:cs="Times New Roman"/>
        </w:rPr>
        <w:t>Su</w:t>
      </w:r>
      <w:r w:rsidR="001E64D6">
        <w:rPr>
          <w:rFonts w:ascii="Times New Roman" w:hAnsi="Times New Roman" w:cs="Times New Roman"/>
        </w:rPr>
        <w:t>bclass 482 visa)</w:t>
      </w:r>
      <w:r w:rsidR="00C22D90">
        <w:rPr>
          <w:rFonts w:ascii="Times New Roman" w:hAnsi="Times New Roman" w:cs="Times New Roman"/>
        </w:rPr>
        <w:t xml:space="preserve">, </w:t>
      </w:r>
      <w:r w:rsidR="00E6179F">
        <w:rPr>
          <w:rFonts w:ascii="Times New Roman" w:hAnsi="Times New Roman" w:cs="Times New Roman"/>
        </w:rPr>
        <w:t>and</w:t>
      </w:r>
      <w:r w:rsidR="00C22D90">
        <w:rPr>
          <w:rFonts w:ascii="Times New Roman" w:hAnsi="Times New Roman" w:cs="Times New Roman"/>
        </w:rPr>
        <w:t xml:space="preserve"> regulation 2.72C of the Regulations </w:t>
      </w:r>
      <w:r w:rsidR="00E6179F">
        <w:rPr>
          <w:rFonts w:ascii="Times New Roman" w:hAnsi="Times New Roman" w:cs="Times New Roman"/>
        </w:rPr>
        <w:t>sets</w:t>
      </w:r>
      <w:r w:rsidR="00C22D90">
        <w:rPr>
          <w:rFonts w:ascii="Times New Roman" w:hAnsi="Times New Roman" w:cs="Times New Roman"/>
        </w:rPr>
        <w:t xml:space="preserve"> out requirements for a </w:t>
      </w:r>
      <w:r w:rsidR="000152A5">
        <w:rPr>
          <w:rFonts w:ascii="Times New Roman" w:hAnsi="Times New Roman" w:cs="Times New Roman"/>
        </w:rPr>
        <w:t xml:space="preserve">nomination in </w:t>
      </w:r>
      <w:r w:rsidR="00E43315">
        <w:rPr>
          <w:rFonts w:ascii="Times New Roman" w:hAnsi="Times New Roman" w:cs="Times New Roman"/>
        </w:rPr>
        <w:t>relation to</w:t>
      </w:r>
      <w:r w:rsidR="000152A5">
        <w:rPr>
          <w:rFonts w:ascii="Times New Roman" w:hAnsi="Times New Roman" w:cs="Times New Roman"/>
        </w:rPr>
        <w:t xml:space="preserve"> an </w:t>
      </w:r>
      <w:r w:rsidR="00E43315">
        <w:rPr>
          <w:rFonts w:ascii="Times New Roman" w:hAnsi="Times New Roman" w:cs="Times New Roman"/>
        </w:rPr>
        <w:t>applicant</w:t>
      </w:r>
      <w:r w:rsidR="000152A5">
        <w:rPr>
          <w:rFonts w:ascii="Times New Roman" w:hAnsi="Times New Roman" w:cs="Times New Roman"/>
        </w:rPr>
        <w:t xml:space="preserve"> for</w:t>
      </w:r>
      <w:r w:rsidR="00E43315">
        <w:rPr>
          <w:rFonts w:ascii="Times New Roman" w:hAnsi="Times New Roman" w:cs="Times New Roman"/>
        </w:rPr>
        <w:t xml:space="preserve"> or holder of</w:t>
      </w:r>
      <w:r w:rsidR="000152A5">
        <w:rPr>
          <w:rFonts w:ascii="Times New Roman" w:hAnsi="Times New Roman" w:cs="Times New Roman"/>
        </w:rPr>
        <w:t xml:space="preserve"> a </w:t>
      </w:r>
      <w:r w:rsidR="00C22D90">
        <w:rPr>
          <w:rFonts w:ascii="Times New Roman" w:hAnsi="Times New Roman" w:cs="Times New Roman"/>
        </w:rPr>
        <w:t>Subclass 494 (Skilled Employer Sponsored Regional (Provisional)) visa</w:t>
      </w:r>
      <w:r w:rsidR="001E64D6">
        <w:rPr>
          <w:rFonts w:ascii="Times New Roman" w:hAnsi="Times New Roman" w:cs="Times New Roman"/>
        </w:rPr>
        <w:t xml:space="preserve"> (</w:t>
      </w:r>
      <w:r w:rsidR="00CD18F9">
        <w:rPr>
          <w:rFonts w:ascii="Times New Roman" w:hAnsi="Times New Roman" w:cs="Times New Roman"/>
        </w:rPr>
        <w:t>S</w:t>
      </w:r>
      <w:r w:rsidR="001E64D6">
        <w:rPr>
          <w:rFonts w:ascii="Times New Roman" w:hAnsi="Times New Roman" w:cs="Times New Roman"/>
        </w:rPr>
        <w:t>ubclass 494 visa)</w:t>
      </w:r>
      <w:r w:rsidR="00C22D90">
        <w:rPr>
          <w:rFonts w:ascii="Times New Roman" w:hAnsi="Times New Roman" w:cs="Times New Roman"/>
        </w:rPr>
        <w:t xml:space="preserve">. </w:t>
      </w:r>
    </w:p>
    <w:p w14:paraId="50B9D85B" w14:textId="44A5DD04" w:rsidR="000241F5" w:rsidRPr="000241F5" w:rsidRDefault="00E34516" w:rsidP="000241F5">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One of the requirements is that the applicant must be nominated </w:t>
      </w:r>
      <w:r w:rsidR="00AF37D3">
        <w:rPr>
          <w:rFonts w:ascii="Times New Roman" w:hAnsi="Times New Roman" w:cs="Times New Roman"/>
        </w:rPr>
        <w:t>for a proposed occupation</w:t>
      </w:r>
      <w:r w:rsidR="00940F11">
        <w:rPr>
          <w:rFonts w:ascii="Times New Roman" w:hAnsi="Times New Roman" w:cs="Times New Roman"/>
        </w:rPr>
        <w:t xml:space="preserve"> specified in a legislative instrument (for an application for a Subclass 482 visa in the Short-term or Medium-term streams or a Subclass 494 visa in the Employer Sponsored stream) or a work agreement (for an application for a Subclass 482 or Subclass 494 visa in the Labour Agreement stream)</w:t>
      </w:r>
      <w:r w:rsidR="00AF37D3">
        <w:rPr>
          <w:rFonts w:ascii="Times New Roman" w:hAnsi="Times New Roman" w:cs="Times New Roman"/>
        </w:rPr>
        <w:t xml:space="preserve">. </w:t>
      </w:r>
      <w:r w:rsidR="001E64D6">
        <w:rPr>
          <w:rFonts w:ascii="Times New Roman" w:hAnsi="Times New Roman" w:cs="Times New Roman"/>
        </w:rPr>
        <w:t xml:space="preserve"> </w:t>
      </w:r>
      <w:r w:rsidR="00AF37D3">
        <w:rPr>
          <w:rFonts w:ascii="Times New Roman" w:hAnsi="Times New Roman" w:cs="Times New Roman"/>
        </w:rPr>
        <w:t>The Minister may further specify any matters for the purposes of determining whether the occupation applie</w:t>
      </w:r>
      <w:r w:rsidR="000241F5">
        <w:rPr>
          <w:rFonts w:ascii="Times New Roman" w:hAnsi="Times New Roman" w:cs="Times New Roman"/>
        </w:rPr>
        <w:t xml:space="preserve">s to an identified person </w:t>
      </w:r>
      <w:r w:rsidR="000241F5" w:rsidRPr="000241F5">
        <w:rPr>
          <w:rFonts w:ascii="Times New Roman" w:hAnsi="Times New Roman" w:cs="Times New Roman"/>
        </w:rPr>
        <w:t xml:space="preserve">under </w:t>
      </w:r>
      <w:r w:rsidR="0018105E" w:rsidRPr="000241F5">
        <w:rPr>
          <w:rFonts w:ascii="Times New Roman" w:hAnsi="Times New Roman" w:cs="Times New Roman"/>
        </w:rPr>
        <w:t xml:space="preserve">subregulation 2.72(9) </w:t>
      </w:r>
      <w:r w:rsidR="00E72FC2">
        <w:rPr>
          <w:rFonts w:ascii="Times New Roman" w:hAnsi="Times New Roman" w:cs="Times New Roman"/>
        </w:rPr>
        <w:t xml:space="preserve">of the Regulations for a Subclass 482 </w:t>
      </w:r>
      <w:r w:rsidR="00EE27A0">
        <w:rPr>
          <w:rFonts w:ascii="Times New Roman" w:hAnsi="Times New Roman" w:cs="Times New Roman"/>
        </w:rPr>
        <w:t xml:space="preserve">visa </w:t>
      </w:r>
      <w:r w:rsidR="00E72FC2">
        <w:rPr>
          <w:rFonts w:ascii="Times New Roman" w:hAnsi="Times New Roman" w:cs="Times New Roman"/>
        </w:rPr>
        <w:t xml:space="preserve">and subregulation 2.72C(11) </w:t>
      </w:r>
      <w:r w:rsidR="0018105E" w:rsidRPr="000241F5">
        <w:rPr>
          <w:rFonts w:ascii="Times New Roman" w:hAnsi="Times New Roman" w:cs="Times New Roman"/>
        </w:rPr>
        <w:t>of t</w:t>
      </w:r>
      <w:r w:rsidR="00E72FC2">
        <w:rPr>
          <w:rFonts w:ascii="Times New Roman" w:hAnsi="Times New Roman" w:cs="Times New Roman"/>
        </w:rPr>
        <w:t>he Regulations for a Subclass 494</w:t>
      </w:r>
      <w:r w:rsidR="00EE27A0">
        <w:rPr>
          <w:rFonts w:ascii="Times New Roman" w:hAnsi="Times New Roman" w:cs="Times New Roman"/>
        </w:rPr>
        <w:t xml:space="preserve"> visa</w:t>
      </w:r>
      <w:r w:rsidR="000241F5">
        <w:t>.</w:t>
      </w:r>
    </w:p>
    <w:p w14:paraId="367E25B0" w14:textId="001ACE51" w:rsidR="000241F5" w:rsidRPr="000241F5" w:rsidRDefault="000241F5" w:rsidP="000241F5">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Such matters include </w:t>
      </w:r>
      <w:r w:rsidR="00C775CE">
        <w:rPr>
          <w:rFonts w:ascii="Times New Roman" w:hAnsi="Times New Roman" w:cs="Times New Roman"/>
        </w:rPr>
        <w:t xml:space="preserve">the </w:t>
      </w:r>
      <w:r>
        <w:rPr>
          <w:rFonts w:ascii="Times New Roman" w:hAnsi="Times New Roman" w:cs="Times New Roman"/>
        </w:rPr>
        <w:t>circumstance</w:t>
      </w:r>
      <w:r w:rsidR="00C775CE">
        <w:rPr>
          <w:rFonts w:ascii="Times New Roman" w:hAnsi="Times New Roman" w:cs="Times New Roman"/>
        </w:rPr>
        <w:t>s</w:t>
      </w:r>
      <w:r>
        <w:rPr>
          <w:rFonts w:ascii="Times New Roman" w:hAnsi="Times New Roman" w:cs="Times New Roman"/>
        </w:rPr>
        <w:t xml:space="preserve"> in which the</w:t>
      </w:r>
      <w:r w:rsidR="002C7406">
        <w:rPr>
          <w:rFonts w:ascii="Times New Roman" w:hAnsi="Times New Roman" w:cs="Times New Roman"/>
        </w:rPr>
        <w:t xml:space="preserve"> occupation is undertaken and </w:t>
      </w:r>
      <w:r w:rsidR="00C775CE">
        <w:rPr>
          <w:rFonts w:ascii="Times New Roman" w:hAnsi="Times New Roman" w:cs="Times New Roman"/>
        </w:rPr>
        <w:t xml:space="preserve">the </w:t>
      </w:r>
      <w:r w:rsidR="002C7406">
        <w:rPr>
          <w:rFonts w:ascii="Times New Roman" w:hAnsi="Times New Roman" w:cs="Times New Roman"/>
        </w:rPr>
        <w:t xml:space="preserve">circumstances in which the person is to be employed in the position (see </w:t>
      </w:r>
      <w:r w:rsidR="00B90AFF">
        <w:rPr>
          <w:rFonts w:ascii="Times New Roman" w:hAnsi="Times New Roman" w:cs="Times New Roman"/>
        </w:rPr>
        <w:t>subparagraphs 2.</w:t>
      </w:r>
      <w:r w:rsidR="00245088">
        <w:rPr>
          <w:rFonts w:ascii="Times New Roman" w:hAnsi="Times New Roman" w:cs="Times New Roman"/>
        </w:rPr>
        <w:t>72</w:t>
      </w:r>
      <w:r w:rsidR="00B90AFF">
        <w:rPr>
          <w:rFonts w:ascii="Times New Roman" w:hAnsi="Times New Roman" w:cs="Times New Roman"/>
        </w:rPr>
        <w:t>(9)(d)(v) and (vi)</w:t>
      </w:r>
      <w:r w:rsidR="00245088">
        <w:rPr>
          <w:rFonts w:ascii="Times New Roman" w:hAnsi="Times New Roman" w:cs="Times New Roman"/>
        </w:rPr>
        <w:t>,</w:t>
      </w:r>
      <w:r w:rsidR="00E72FC2">
        <w:rPr>
          <w:rFonts w:ascii="Times New Roman" w:hAnsi="Times New Roman" w:cs="Times New Roman"/>
        </w:rPr>
        <w:t xml:space="preserve"> and subparagraphs 2.72C(11)(c)(v) and (vi)</w:t>
      </w:r>
      <w:r w:rsidR="00EE27A0">
        <w:rPr>
          <w:rFonts w:ascii="Times New Roman" w:hAnsi="Times New Roman" w:cs="Times New Roman"/>
        </w:rPr>
        <w:t>)</w:t>
      </w:r>
      <w:r w:rsidR="00E72FC2">
        <w:rPr>
          <w:rFonts w:ascii="Times New Roman" w:hAnsi="Times New Roman" w:cs="Times New Roman"/>
        </w:rPr>
        <w:t>.</w:t>
      </w:r>
      <w:r w:rsidR="00B90AFF">
        <w:rPr>
          <w:rFonts w:ascii="Times New Roman" w:hAnsi="Times New Roman" w:cs="Times New Roman"/>
        </w:rPr>
        <w:t xml:space="preserve"> </w:t>
      </w:r>
    </w:p>
    <w:p w14:paraId="44AA7001" w14:textId="176304CC" w:rsidR="001F2EDF" w:rsidRDefault="00EE27A0" w:rsidP="001E64D6">
      <w:pPr>
        <w:pStyle w:val="ESSubparaHeader"/>
      </w:pPr>
      <w:r w:rsidRPr="00506E09">
        <w:lastRenderedPageBreak/>
        <w:t xml:space="preserve">Under the powers mentioned above, the Minister specified in LIN 19/048 and LIN 19/219 a requirement, amongst others, that a health </w:t>
      </w:r>
      <w:r w:rsidR="009A23DB" w:rsidRPr="00506E09">
        <w:t>workforce certificate (HWC)</w:t>
      </w:r>
      <w:r w:rsidR="00506E09">
        <w:t xml:space="preserve"> or a health workforce exemption certificate (HWEC)</w:t>
      </w:r>
      <w:r w:rsidR="009A23DB" w:rsidRPr="00506E09">
        <w:t xml:space="preserve"> from a health workforce certifier be provided</w:t>
      </w:r>
      <w:r w:rsidR="00506E09" w:rsidRPr="00506E09">
        <w:t xml:space="preserve"> </w:t>
      </w:r>
      <w:r w:rsidR="009A23DB" w:rsidRPr="00506E09">
        <w:t>when an employer nominates a person for a position in one of the following occupations: general practitioner</w:t>
      </w:r>
      <w:r w:rsidR="001E64D6">
        <w:t xml:space="preserve"> </w:t>
      </w:r>
      <w:r w:rsidR="001E64D6" w:rsidRPr="001E64D6">
        <w:t>(ANZSCO code: 253111)</w:t>
      </w:r>
      <w:r w:rsidR="009A23DB" w:rsidRPr="00506E09">
        <w:t>, resident medical officer</w:t>
      </w:r>
      <w:r w:rsidR="001E64D6">
        <w:t xml:space="preserve"> (ANZSCO code: 253112)</w:t>
      </w:r>
      <w:r w:rsidR="009A23DB" w:rsidRPr="00506E09">
        <w:t xml:space="preserve">, and medical practitioner </w:t>
      </w:r>
      <w:r w:rsidR="001E64D6">
        <w:t xml:space="preserve">(nec) </w:t>
      </w:r>
      <w:r w:rsidR="001E64D6" w:rsidRPr="002408C1">
        <w:t>(ANZSCO code: 253999)</w:t>
      </w:r>
      <w:r w:rsidR="009A23DB" w:rsidRPr="00506E09">
        <w:t xml:space="preserve"> (medical occupations)</w:t>
      </w:r>
      <w:r w:rsidR="00F701CA" w:rsidRPr="00506E09">
        <w:t>.</w:t>
      </w:r>
    </w:p>
    <w:p w14:paraId="26C9FB2A" w14:textId="45080BDD" w:rsidR="00506E09" w:rsidRDefault="00506E09" w:rsidP="001F2EDF">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HWC and HWEC requirement formed a measure introduced as part of a joint program between the Department of Health and the Department of Home Affairs.  The purpose of the program was to manage the growth of overseas trained doctors entering primary care in well-serviced major capital cities and metropolitan areas.  Given widespread shortages of doctors in Australia, the measure is no longer fit for purpose.  </w:t>
      </w:r>
      <w:r w:rsidR="00EB5902">
        <w:rPr>
          <w:rFonts w:ascii="Times New Roman" w:hAnsi="Times New Roman" w:cs="Times New Roman"/>
        </w:rPr>
        <w:t>T</w:t>
      </w:r>
      <w:r>
        <w:rPr>
          <w:rFonts w:ascii="Times New Roman" w:hAnsi="Times New Roman" w:cs="Times New Roman"/>
        </w:rPr>
        <w:t>he Minister for Health and Aged Care and Minister for Immigration, Citizenship and Multicultural Affairs have agreed to end the program, and as such the HWC and HWEC requirement is no longer required.</w:t>
      </w:r>
    </w:p>
    <w:p w14:paraId="5997B43F" w14:textId="11E8C770" w:rsidR="001F2EDF" w:rsidRDefault="00F701CA" w:rsidP="001F2EDF">
      <w:pPr>
        <w:pStyle w:val="ListParagraph"/>
        <w:numPr>
          <w:ilvl w:val="0"/>
          <w:numId w:val="1"/>
        </w:numPr>
        <w:spacing w:before="240" w:after="240" w:line="276" w:lineRule="auto"/>
        <w:ind w:left="567" w:hanging="567"/>
        <w:contextualSpacing w:val="0"/>
        <w:rPr>
          <w:rFonts w:ascii="Times New Roman" w:hAnsi="Times New Roman" w:cs="Times New Roman"/>
        </w:rPr>
      </w:pPr>
      <w:r w:rsidRPr="005859CD">
        <w:rPr>
          <w:rFonts w:ascii="Times New Roman" w:hAnsi="Times New Roman" w:cs="Times New Roman"/>
        </w:rPr>
        <w:t xml:space="preserve">The purpose of this instrument is to amend LIN 19/048 and LIN 19/219 to remove the requirement for employers to provide a </w:t>
      </w:r>
      <w:r w:rsidR="005859CD" w:rsidRPr="005859CD">
        <w:rPr>
          <w:rFonts w:ascii="Times New Roman" w:hAnsi="Times New Roman" w:cs="Times New Roman"/>
        </w:rPr>
        <w:t xml:space="preserve">HWC or a HWEC </w:t>
      </w:r>
      <w:r w:rsidRPr="005859CD">
        <w:rPr>
          <w:rFonts w:ascii="Times New Roman" w:hAnsi="Times New Roman" w:cs="Times New Roman"/>
        </w:rPr>
        <w:t xml:space="preserve">for </w:t>
      </w:r>
      <w:r w:rsidR="001E64D6">
        <w:rPr>
          <w:rFonts w:ascii="Times New Roman" w:hAnsi="Times New Roman" w:cs="Times New Roman"/>
        </w:rPr>
        <w:t>the abovementioned medical occupations</w:t>
      </w:r>
      <w:r w:rsidRPr="005859CD">
        <w:rPr>
          <w:rFonts w:ascii="Times New Roman" w:hAnsi="Times New Roman" w:cs="Times New Roman"/>
        </w:rPr>
        <w:t>.</w:t>
      </w:r>
      <w:r w:rsidR="001E64D6">
        <w:rPr>
          <w:rFonts w:ascii="Times New Roman" w:hAnsi="Times New Roman" w:cs="Times New Roman"/>
        </w:rPr>
        <w:t xml:space="preserve"> </w:t>
      </w:r>
      <w:r w:rsidRPr="005859CD">
        <w:rPr>
          <w:rFonts w:ascii="Times New Roman" w:hAnsi="Times New Roman" w:cs="Times New Roman"/>
        </w:rPr>
        <w:t xml:space="preserve"> The </w:t>
      </w:r>
      <w:r w:rsidR="005859CD" w:rsidRPr="005859CD">
        <w:rPr>
          <w:rFonts w:ascii="Times New Roman" w:hAnsi="Times New Roman" w:cs="Times New Roman"/>
        </w:rPr>
        <w:t>amendments remove all definitions and references to HWCs</w:t>
      </w:r>
      <w:r w:rsidR="001E64D6">
        <w:rPr>
          <w:rFonts w:ascii="Times New Roman" w:hAnsi="Times New Roman" w:cs="Times New Roman"/>
        </w:rPr>
        <w:t>,</w:t>
      </w:r>
      <w:r w:rsidR="005859CD" w:rsidRPr="005859CD">
        <w:rPr>
          <w:rFonts w:ascii="Times New Roman" w:hAnsi="Times New Roman" w:cs="Times New Roman"/>
        </w:rPr>
        <w:t xml:space="preserve"> HWECs</w:t>
      </w:r>
      <w:r w:rsidR="001E64D6">
        <w:rPr>
          <w:rFonts w:ascii="Times New Roman" w:hAnsi="Times New Roman" w:cs="Times New Roman"/>
        </w:rPr>
        <w:t xml:space="preserve"> and </w:t>
      </w:r>
      <w:r w:rsidR="005859CD" w:rsidRPr="005859CD">
        <w:rPr>
          <w:rFonts w:ascii="Times New Roman" w:hAnsi="Times New Roman" w:cs="Times New Roman"/>
        </w:rPr>
        <w:t>health workforce certifiers.</w:t>
      </w:r>
    </w:p>
    <w:p w14:paraId="1189A2B3" w14:textId="7AA54A1B" w:rsidR="001E64D6" w:rsidRDefault="001E64D6" w:rsidP="001F2EDF">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w:t>
      </w:r>
      <w:r w:rsidR="00A17475">
        <w:rPr>
          <w:rFonts w:ascii="Times New Roman" w:hAnsi="Times New Roman" w:cs="Times New Roman"/>
        </w:rPr>
        <w:t>he amendments made by t</w:t>
      </w:r>
      <w:r>
        <w:rPr>
          <w:rFonts w:ascii="Times New Roman" w:hAnsi="Times New Roman" w:cs="Times New Roman"/>
        </w:rPr>
        <w:t>his instrument enable</w:t>
      </w:r>
      <w:r w:rsidR="00A17475">
        <w:rPr>
          <w:rFonts w:ascii="Times New Roman" w:hAnsi="Times New Roman" w:cs="Times New Roman"/>
        </w:rPr>
        <w:t xml:space="preserve"> employers to nominate a proposed occupation in relation to</w:t>
      </w:r>
      <w:r>
        <w:rPr>
          <w:rFonts w:ascii="Times New Roman" w:hAnsi="Times New Roman" w:cs="Times New Roman"/>
        </w:rPr>
        <w:t xml:space="preserve"> a person with one of the abovementioned medical occupations</w:t>
      </w:r>
      <w:r w:rsidR="00A17475">
        <w:rPr>
          <w:rFonts w:ascii="Times New Roman" w:hAnsi="Times New Roman" w:cs="Times New Roman"/>
        </w:rPr>
        <w:t xml:space="preserve"> who is the holder of or who has applied for a</w:t>
      </w:r>
      <w:r>
        <w:rPr>
          <w:rFonts w:ascii="Times New Roman" w:hAnsi="Times New Roman" w:cs="Times New Roman"/>
        </w:rPr>
        <w:t xml:space="preserve"> </w:t>
      </w:r>
      <w:r w:rsidR="00A17475">
        <w:rPr>
          <w:rFonts w:ascii="Times New Roman" w:hAnsi="Times New Roman" w:cs="Times New Roman"/>
        </w:rPr>
        <w:t>S</w:t>
      </w:r>
      <w:r>
        <w:rPr>
          <w:rFonts w:ascii="Times New Roman" w:hAnsi="Times New Roman" w:cs="Times New Roman"/>
        </w:rPr>
        <w:t xml:space="preserve">ubclass 482 visa </w:t>
      </w:r>
      <w:r w:rsidR="00A17475">
        <w:rPr>
          <w:rFonts w:ascii="Times New Roman" w:hAnsi="Times New Roman" w:cs="Times New Roman"/>
        </w:rPr>
        <w:t>or S</w:t>
      </w:r>
      <w:r>
        <w:rPr>
          <w:rFonts w:ascii="Times New Roman" w:hAnsi="Times New Roman" w:cs="Times New Roman"/>
        </w:rPr>
        <w:t xml:space="preserve">ubclass 494 visa without being required to provide a HWC or HWEC. </w:t>
      </w:r>
    </w:p>
    <w:p w14:paraId="0A0275D6" w14:textId="1949CF05" w:rsidR="005859CD" w:rsidRPr="005859CD" w:rsidRDefault="008F0B9C" w:rsidP="001F2EDF">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These changes remove the administrative burden for health workforce certifiers to issue certificates, and benefit employers and intending migrants by streamlining the visa assessment process.  As a result, it is expected to attract more overseas doctors to work in Australia and increase community access to doctors.</w:t>
      </w:r>
    </w:p>
    <w:p w14:paraId="68AA9FCC" w14:textId="77777777" w:rsidR="008B24C8" w:rsidRDefault="008B24C8" w:rsidP="00100DFC">
      <w:pPr>
        <w:pStyle w:val="ESHeading"/>
      </w:pPr>
      <w:r w:rsidRPr="008B24C8">
        <w:t>Consultation</w:t>
      </w:r>
    </w:p>
    <w:p w14:paraId="5582A48C" w14:textId="56651F62" w:rsidR="000A0D90" w:rsidRDefault="000A0D90" w:rsidP="000A0D90">
      <w:pPr>
        <w:pStyle w:val="ESPara"/>
      </w:pPr>
      <w:r>
        <w:t>Consultation was undertaken</w:t>
      </w:r>
      <w:r w:rsidR="00157494">
        <w:t xml:space="preserve"> with the Department of Health and Aged Care</w:t>
      </w:r>
      <w:r w:rsidR="00193A50">
        <w:t xml:space="preserve"> and</w:t>
      </w:r>
      <w:r w:rsidR="00157494">
        <w:t xml:space="preserve"> the Department of the Prime Minister and Cabinet, </w:t>
      </w:r>
      <w:r w:rsidR="00193A50">
        <w:t>each of which agreed to support</w:t>
      </w:r>
      <w:r w:rsidR="00157494">
        <w:t xml:space="preserve"> the removal of requirements for the HWC and </w:t>
      </w:r>
      <w:r w:rsidR="008F0B9C">
        <w:t>HWEC</w:t>
      </w:r>
      <w:r w:rsidR="00157494">
        <w:t>.</w:t>
      </w:r>
      <w:r>
        <w:t xml:space="preserve"> </w:t>
      </w:r>
    </w:p>
    <w:p w14:paraId="0FEF7464" w14:textId="77777777" w:rsidR="000A0D90" w:rsidRDefault="000A0D90" w:rsidP="000A0D90">
      <w:pPr>
        <w:pStyle w:val="ESPara"/>
      </w:pPr>
      <w:r w:rsidRPr="008B24C8">
        <w:t xml:space="preserve">The Office of </w:t>
      </w:r>
      <w:r>
        <w:t xml:space="preserve">Impact Analysis (OIA) was also consulted and considered that the measures in the instrument are unlikely to have more than a minor or machinery regulatory impact and therefore an Impact Analysis is not required. </w:t>
      </w:r>
    </w:p>
    <w:p w14:paraId="7050D886" w14:textId="77777777" w:rsidR="000A0D90" w:rsidRPr="008B24C8" w:rsidRDefault="000A0D90" w:rsidP="000A0D90">
      <w:pPr>
        <w:pStyle w:val="ESSubparaList"/>
      </w:pPr>
      <w:r>
        <w:t>The OIA reference number is OIA23-05086</w:t>
      </w:r>
      <w:r w:rsidRPr="008B24C8">
        <w:t>.</w:t>
      </w:r>
    </w:p>
    <w:p w14:paraId="78153E69" w14:textId="77777777" w:rsidR="00AA4557" w:rsidRDefault="00464080" w:rsidP="00100DFC">
      <w:pPr>
        <w:pStyle w:val="ESHeading"/>
      </w:pPr>
      <w:r>
        <w:t>Details</w:t>
      </w:r>
      <w:r w:rsidR="00AA4557">
        <w:t xml:space="preserve"> of the instrument</w:t>
      </w:r>
    </w:p>
    <w:p w14:paraId="4BE1FAE8" w14:textId="77777777" w:rsidR="00EB5B61" w:rsidRDefault="00EB5B61" w:rsidP="00EB5B61">
      <w:pPr>
        <w:pStyle w:val="ESPara"/>
      </w:pPr>
      <w:r>
        <w:t xml:space="preserve">Section 1 sets out the name of the instrument. </w:t>
      </w:r>
    </w:p>
    <w:p w14:paraId="37636AF3" w14:textId="77777777" w:rsidR="00EB5B61" w:rsidRDefault="00EB5B61" w:rsidP="00EB5B61">
      <w:pPr>
        <w:pStyle w:val="ESPara"/>
      </w:pPr>
      <w:r>
        <w:t>Section 2 provides that the instrument commences on 16 September 2023.</w:t>
      </w:r>
    </w:p>
    <w:p w14:paraId="7C0ACFDB" w14:textId="17B9A89F" w:rsidR="00EB5B61" w:rsidRDefault="00EB5B61" w:rsidP="00EB5B61">
      <w:pPr>
        <w:pStyle w:val="ESPara"/>
      </w:pPr>
      <w:r>
        <w:t xml:space="preserve">Section 3 provides that Schedule 1 to the instrument amends LIN 19/048 and LIN 19/219. </w:t>
      </w:r>
    </w:p>
    <w:p w14:paraId="140369C1" w14:textId="77777777" w:rsidR="00F648FE" w:rsidRDefault="00EB5B61" w:rsidP="0025175C">
      <w:pPr>
        <w:pStyle w:val="ESPara"/>
      </w:pPr>
      <w:r>
        <w:lastRenderedPageBreak/>
        <w:t xml:space="preserve">Item 1 of Schedule 1 to the instrument </w:t>
      </w:r>
      <w:r w:rsidR="00F648FE">
        <w:t>omits the definition of</w:t>
      </w:r>
      <w:r>
        <w:t xml:space="preserve"> </w:t>
      </w:r>
      <w:r w:rsidRPr="00F648FE">
        <w:rPr>
          <w:i/>
        </w:rPr>
        <w:t>health workforce certificate</w:t>
      </w:r>
      <w:r w:rsidR="00F648FE">
        <w:t xml:space="preserve"> from section 4 of LIN 19/048.</w:t>
      </w:r>
    </w:p>
    <w:p w14:paraId="14B20638" w14:textId="07103665" w:rsidR="00EB5B61" w:rsidRDefault="00EB5B61" w:rsidP="0025175C">
      <w:pPr>
        <w:pStyle w:val="ESPara"/>
      </w:pPr>
      <w:r>
        <w:t xml:space="preserve">Item 2 of Schedule 1 to the instrument </w:t>
      </w:r>
      <w:r w:rsidR="00F648FE">
        <w:t xml:space="preserve">omits the definition of </w:t>
      </w:r>
      <w:r w:rsidRPr="00F648FE">
        <w:rPr>
          <w:i/>
        </w:rPr>
        <w:t>health workforce certifier</w:t>
      </w:r>
      <w:r w:rsidR="00F648FE">
        <w:t xml:space="preserve"> from section 4 of LIN 19/048.</w:t>
      </w:r>
    </w:p>
    <w:p w14:paraId="3F3728B6" w14:textId="4E745A9A" w:rsidR="00EB5B61" w:rsidRDefault="00EB5B61" w:rsidP="00EB5B61">
      <w:pPr>
        <w:pStyle w:val="ESPara"/>
      </w:pPr>
      <w:r>
        <w:t xml:space="preserve">Item 3 of Schedule 1 to the instrument </w:t>
      </w:r>
      <w:r w:rsidR="00F648FE">
        <w:t>omits the definition of</w:t>
      </w:r>
      <w:r>
        <w:t xml:space="preserve"> </w:t>
      </w:r>
      <w:r>
        <w:rPr>
          <w:i/>
        </w:rPr>
        <w:t>health workforce exemption certificate</w:t>
      </w:r>
      <w:r w:rsidR="00F648FE">
        <w:t xml:space="preserve"> from section 4 of LIN 19/048.</w:t>
      </w:r>
    </w:p>
    <w:p w14:paraId="0CA5448D" w14:textId="38AF8A21" w:rsidR="00EB5B61" w:rsidRDefault="00EB5B61" w:rsidP="00EB5B61">
      <w:pPr>
        <w:pStyle w:val="ESPara"/>
      </w:pPr>
      <w:r>
        <w:t>Item 4 of Schedule 1 to the ins</w:t>
      </w:r>
      <w:r w:rsidR="009D19B3">
        <w:t xml:space="preserve">trument </w:t>
      </w:r>
      <w:r w:rsidR="00F648FE">
        <w:t>omits</w:t>
      </w:r>
      <w:r w:rsidR="002F29FB">
        <w:t xml:space="preserve"> ‘24’ in column 3 of item 105 of </w:t>
      </w:r>
      <w:r w:rsidR="009D19B3">
        <w:t>subsection</w:t>
      </w:r>
      <w:r w:rsidR="002F29FB">
        <w:t xml:space="preserve"> 6(3) </w:t>
      </w:r>
      <w:r w:rsidR="009D19B3">
        <w:t>of</w:t>
      </w:r>
      <w:r>
        <w:t xml:space="preserve"> LIN 19/048</w:t>
      </w:r>
      <w:r w:rsidR="002F29FB">
        <w:t xml:space="preserve">.  This removes the applicable circumstances where the occupation of a resident medical officer must have a HWC or HWEC issued for the position by an assessing authority. </w:t>
      </w:r>
    </w:p>
    <w:p w14:paraId="3B437D29" w14:textId="2524E09E" w:rsidR="00EB5B61" w:rsidRDefault="009D19B3" w:rsidP="00EB5B61">
      <w:pPr>
        <w:pStyle w:val="ESPara"/>
      </w:pPr>
      <w:r>
        <w:t>Item 5</w:t>
      </w:r>
      <w:r w:rsidR="00EB5B61">
        <w:t xml:space="preserve"> of Schedule 1 to the instrument </w:t>
      </w:r>
      <w:r w:rsidR="002F29FB">
        <w:t xml:space="preserve">omits ‘24’ in column 3 of items 99 and 130 of subsection 7(3) </w:t>
      </w:r>
      <w:r>
        <w:t>of LIN 19/048</w:t>
      </w:r>
      <w:r w:rsidR="002F29FB">
        <w:t>.  This removes the applicable circumstances where the occupation of a general practitioner and medical practitioners (nec) must have a workforce certificate issued for the position by an assessing authority</w:t>
      </w:r>
      <w:r>
        <w:t>.</w:t>
      </w:r>
    </w:p>
    <w:p w14:paraId="2725609E" w14:textId="6F567CFA" w:rsidR="00EB5B61" w:rsidRDefault="009D19B3" w:rsidP="00EB5B61">
      <w:pPr>
        <w:pStyle w:val="ESPara"/>
      </w:pPr>
      <w:r>
        <w:t>Item 6</w:t>
      </w:r>
      <w:r w:rsidR="00EB5B61">
        <w:t xml:space="preserve"> of Schedule 1 to the instrument</w:t>
      </w:r>
      <w:r w:rsidR="002A4406">
        <w:t xml:space="preserve"> omits item 24 of</w:t>
      </w:r>
      <w:r w:rsidR="00EB5B61">
        <w:t xml:space="preserve"> s</w:t>
      </w:r>
      <w:r>
        <w:t>ubs</w:t>
      </w:r>
      <w:r w:rsidR="00EB5B61">
        <w:t xml:space="preserve">ection </w:t>
      </w:r>
      <w:r w:rsidR="002A4406">
        <w:t xml:space="preserve">9(1) </w:t>
      </w:r>
      <w:r>
        <w:t>of LIN 19/048</w:t>
      </w:r>
      <w:r w:rsidR="002A4406">
        <w:t xml:space="preserve">.  This removes the applicable circumstance for the occupations of </w:t>
      </w:r>
      <w:r w:rsidR="002A4406" w:rsidRPr="005052C8">
        <w:t>resident medical officer</w:t>
      </w:r>
      <w:r w:rsidR="002A4406" w:rsidRPr="00245088">
        <w:t xml:space="preserve">, </w:t>
      </w:r>
      <w:r w:rsidR="002A4406" w:rsidRPr="005052C8">
        <w:t>general practitioner</w:t>
      </w:r>
      <w:r w:rsidR="002A4406" w:rsidRPr="00245088">
        <w:t xml:space="preserve"> and </w:t>
      </w:r>
      <w:r w:rsidR="002A4406" w:rsidRPr="005052C8">
        <w:t>medical practitioners (nec)</w:t>
      </w:r>
      <w:r w:rsidR="002A4406">
        <w:t xml:space="preserve"> to provide a HWC.</w:t>
      </w:r>
    </w:p>
    <w:p w14:paraId="5FF85541" w14:textId="51325499" w:rsidR="00EB5B61" w:rsidRDefault="00EB5B61" w:rsidP="00EB5B61">
      <w:pPr>
        <w:pStyle w:val="ESPara"/>
      </w:pPr>
      <w:r>
        <w:t>It</w:t>
      </w:r>
      <w:r w:rsidR="009D19B3">
        <w:t>em 7</w:t>
      </w:r>
      <w:r>
        <w:t xml:space="preserve"> of Schedule 1 to the instrument </w:t>
      </w:r>
      <w:r w:rsidR="002A4406">
        <w:t xml:space="preserve">omits </w:t>
      </w:r>
      <w:r w:rsidR="009D19B3">
        <w:t>sub</w:t>
      </w:r>
      <w:r>
        <w:t>section</w:t>
      </w:r>
      <w:r w:rsidR="009D19B3">
        <w:t>s 9(2) and (3) of LIN 19/048</w:t>
      </w:r>
      <w:r w:rsidR="002A4406">
        <w:t>.  This removes the specified requirements for a HWEC and a HWC.</w:t>
      </w:r>
    </w:p>
    <w:p w14:paraId="21E9B523" w14:textId="1AFC23C5" w:rsidR="009D19B3" w:rsidRPr="00EF05E5" w:rsidRDefault="009D19B3" w:rsidP="009D19B3">
      <w:pPr>
        <w:pStyle w:val="ESPara"/>
      </w:pPr>
      <w:r w:rsidRPr="00EF05E5">
        <w:t>Item 8 of Schedul</w:t>
      </w:r>
      <w:r w:rsidR="002A4406" w:rsidRPr="00EF05E5">
        <w:t xml:space="preserve">e 1 to the instrument inserts new </w:t>
      </w:r>
      <w:r w:rsidRPr="00EF05E5">
        <w:t>section</w:t>
      </w:r>
      <w:r w:rsidR="002A4406" w:rsidRPr="00EF05E5">
        <w:t> 13</w:t>
      </w:r>
      <w:r w:rsidRPr="00EF05E5">
        <w:t xml:space="preserve"> after section 12 of LIN 19/048</w:t>
      </w:r>
      <w:r w:rsidR="002A4406" w:rsidRPr="00EF05E5">
        <w:t>, which provides for the nomination to which the Schedule applies.  Section 12 of LIN 19/048 provides for how the amendment instrument introducing the HWC measures was to apply to nomination applications.  The effect of section 13 is that when the instrument commences, despite section 12, any nomination applications that have been made, but are not yet finally determined, will not be required to provide a HWC or a HWEC.</w:t>
      </w:r>
    </w:p>
    <w:p w14:paraId="69955F02" w14:textId="46B4672B" w:rsidR="00EB5B61" w:rsidRDefault="009D19B3" w:rsidP="009D19B3">
      <w:pPr>
        <w:pStyle w:val="ESPara"/>
      </w:pPr>
      <w:r>
        <w:t>Item 9</w:t>
      </w:r>
      <w:r w:rsidR="00EB5B61">
        <w:t xml:space="preserve"> </w:t>
      </w:r>
      <w:r>
        <w:t xml:space="preserve">of Schedule 1 to the instrument </w:t>
      </w:r>
      <w:r w:rsidR="002A4406">
        <w:t xml:space="preserve">omits the definition of </w:t>
      </w:r>
      <w:r w:rsidRPr="0025061D">
        <w:rPr>
          <w:i/>
        </w:rPr>
        <w:t>health workforce certificate</w:t>
      </w:r>
      <w:r w:rsidR="002A4406">
        <w:t xml:space="preserve"> from section 4 of LIN 19/219.</w:t>
      </w:r>
    </w:p>
    <w:p w14:paraId="2680C17B" w14:textId="3708F2B5" w:rsidR="009D19B3" w:rsidRDefault="009D19B3" w:rsidP="009D19B3">
      <w:pPr>
        <w:pStyle w:val="ESPara"/>
      </w:pPr>
      <w:r>
        <w:t xml:space="preserve">Item 10 of Schedule 1 to the instrument </w:t>
      </w:r>
      <w:r w:rsidR="002A4406">
        <w:t xml:space="preserve">omits the definition of </w:t>
      </w:r>
      <w:r w:rsidRPr="0025061D">
        <w:rPr>
          <w:i/>
        </w:rPr>
        <w:t>health workforce certifier</w:t>
      </w:r>
      <w:r w:rsidR="002A4406">
        <w:t xml:space="preserve"> from section 4 of LIN 19/219.</w:t>
      </w:r>
    </w:p>
    <w:p w14:paraId="348B4C6C" w14:textId="1C5EA454" w:rsidR="009D19B3" w:rsidRDefault="009D19B3" w:rsidP="009D19B3">
      <w:pPr>
        <w:pStyle w:val="ESPara"/>
      </w:pPr>
      <w:r>
        <w:t xml:space="preserve">Item 11 of Schedule 1 to the instrument </w:t>
      </w:r>
      <w:r w:rsidR="00B76C9C">
        <w:t xml:space="preserve">omits the definition of </w:t>
      </w:r>
      <w:r>
        <w:rPr>
          <w:i/>
        </w:rPr>
        <w:t xml:space="preserve">health </w:t>
      </w:r>
      <w:r w:rsidR="00B76C9C">
        <w:rPr>
          <w:i/>
        </w:rPr>
        <w:t>workforce exemption certificate</w:t>
      </w:r>
      <w:r w:rsidR="00B76C9C">
        <w:t xml:space="preserve"> from section 4 of LIN 19/219.</w:t>
      </w:r>
    </w:p>
    <w:p w14:paraId="67D19020" w14:textId="55EED9AB" w:rsidR="009D19B3" w:rsidRDefault="009D19B3" w:rsidP="009D19B3">
      <w:pPr>
        <w:pStyle w:val="ESPara"/>
      </w:pPr>
      <w:r>
        <w:t>Item 12 of Schedule 1 to the instrumen</w:t>
      </w:r>
      <w:r w:rsidR="00160471">
        <w:t xml:space="preserve">t </w:t>
      </w:r>
      <w:r w:rsidR="00B76C9C">
        <w:t xml:space="preserve">omits the </w:t>
      </w:r>
      <w:r>
        <w:t xml:space="preserve">subheading </w:t>
      </w:r>
      <w:r>
        <w:rPr>
          <w:i/>
        </w:rPr>
        <w:t>Exception –requirement for health workforce certificate etc.</w:t>
      </w:r>
      <w:r w:rsidR="00B76C9C" w:rsidRPr="00B76C9C">
        <w:t xml:space="preserve"> </w:t>
      </w:r>
      <w:r w:rsidR="00B76C9C">
        <w:t>from subsection 5(2) of LIN 19/219.</w:t>
      </w:r>
    </w:p>
    <w:p w14:paraId="25226ABF" w14:textId="029180B8" w:rsidR="00160471" w:rsidRDefault="00160471" w:rsidP="00160471">
      <w:pPr>
        <w:pStyle w:val="ESPara"/>
      </w:pPr>
      <w:r>
        <w:t xml:space="preserve">Item 13 of Schedule 1 to the instrument </w:t>
      </w:r>
      <w:r w:rsidR="00EF05E5">
        <w:t xml:space="preserve">omits </w:t>
      </w:r>
      <w:r>
        <w:t xml:space="preserve">subsections </w:t>
      </w:r>
      <w:r w:rsidR="00EF05E5">
        <w:t>5(2), (3) and (4) of LIN 19/219.  This removes the applicable circumstance for the occupations of general practitioner, resident medical officer, and medical practitioners (nec), and remov</w:t>
      </w:r>
      <w:r w:rsidR="00F94A1B">
        <w:t>es</w:t>
      </w:r>
      <w:r w:rsidR="00EF05E5">
        <w:t xml:space="preserve"> the specified requirements for a HWEC and a HWC. </w:t>
      </w:r>
    </w:p>
    <w:p w14:paraId="3D0290FB" w14:textId="2B33A25B" w:rsidR="009D19B3" w:rsidRDefault="00160471" w:rsidP="00160471">
      <w:pPr>
        <w:pStyle w:val="ESPara"/>
      </w:pPr>
      <w:r>
        <w:lastRenderedPageBreak/>
        <w:t>Item 14 of Schedu</w:t>
      </w:r>
      <w:r w:rsidR="00EF05E5">
        <w:t>le 1 to the instrument inserts new section 9 after section 8 of LIN 19/219, which provides for the nomination to which the Schedule applies.  Section 8 of LIN 19/219 provides for how the amendment instrument introducing the HWC measures was to apply to nomination applications.  The effect of section 9 is that when the instrument commences, despite section 8, any nomination applications that have been made, but are not yet finally determined, will not be required to provide a HWC or a HWEC</w:t>
      </w:r>
      <w:r>
        <w:t>.</w:t>
      </w:r>
    </w:p>
    <w:p w14:paraId="25FE41C4" w14:textId="77777777" w:rsidR="00AA4557" w:rsidRPr="00AA4557" w:rsidRDefault="00AA4557" w:rsidP="00100DFC">
      <w:pPr>
        <w:pStyle w:val="ESHeading"/>
      </w:pPr>
      <w:r>
        <w:t xml:space="preserve">Parliamentary scrutiny etc.  </w:t>
      </w:r>
    </w:p>
    <w:p w14:paraId="262DBF57" w14:textId="417FCDBA" w:rsidR="00E03DCC" w:rsidRDefault="00AA4557" w:rsidP="00F65B33">
      <w:pPr>
        <w:pStyle w:val="ESPara"/>
      </w:pPr>
      <w:r w:rsidRPr="00EF05E5">
        <w:t xml:space="preserve">The instrument </w:t>
      </w:r>
      <w:r w:rsidR="00E03DCC" w:rsidRPr="00EF05E5">
        <w:t>is subject to disallowance under section 42 of the Legislation Act.  A</w:t>
      </w:r>
      <w:r w:rsidR="00B75478" w:rsidRPr="00EF05E5">
        <w:t xml:space="preserve"> </w:t>
      </w:r>
      <w:r w:rsidR="00E03DCC" w:rsidRPr="00EF05E5">
        <w:t>Statement of Compatibility with Human Rights has been prepared in relation to th</w:t>
      </w:r>
      <w:r w:rsidR="006F5953">
        <w:t xml:space="preserve">e instrument, and provides that </w:t>
      </w:r>
      <w:r w:rsidR="009474A6">
        <w:t xml:space="preserve">the </w:t>
      </w:r>
      <w:r w:rsidR="00F65B33">
        <w:t>instrument does not engage any of the applicable human rights or freedoms.</w:t>
      </w:r>
      <w:r w:rsidR="00036E4E">
        <w:t xml:space="preserve">  </w:t>
      </w:r>
      <w:r w:rsidR="00E03DCC" w:rsidRPr="00EF05E5">
        <w:t xml:space="preserve">The Statement is included at </w:t>
      </w:r>
      <w:r w:rsidR="00B75478" w:rsidRPr="00EF05E5">
        <w:rPr>
          <w:b/>
          <w:u w:val="single"/>
        </w:rPr>
        <w:t xml:space="preserve">Attachment </w:t>
      </w:r>
      <w:r w:rsidR="00036E4E">
        <w:rPr>
          <w:b/>
          <w:u w:val="single"/>
        </w:rPr>
        <w:t>A</w:t>
      </w:r>
      <w:r w:rsidR="00E03DCC" w:rsidRPr="00EF05E5">
        <w:t xml:space="preserve"> to this explanatory statement.  </w:t>
      </w:r>
    </w:p>
    <w:p w14:paraId="6C2951EA" w14:textId="07CBB41F" w:rsidR="00F65B33" w:rsidRDefault="00FB2CD9" w:rsidP="00160471">
      <w:pPr>
        <w:pStyle w:val="ESPara"/>
      </w:pPr>
      <w:r w:rsidRPr="00B75478">
        <w:t xml:space="preserve">The </w:t>
      </w:r>
      <w:r>
        <w:t>instrument was made by the Minister, in accordance with subregulations 2.72(9) and 2.72C(11) of the Regulations.</w:t>
      </w:r>
    </w:p>
    <w:p w14:paraId="2CC9ABE1" w14:textId="77777777" w:rsidR="00F65B33" w:rsidRDefault="00F65B33">
      <w:pPr>
        <w:rPr>
          <w:rFonts w:ascii="Times New Roman" w:hAnsi="Times New Roman" w:cs="Times New Roman"/>
        </w:rPr>
      </w:pPr>
      <w:r>
        <w:br w:type="page"/>
      </w:r>
    </w:p>
    <w:p w14:paraId="51C6A176" w14:textId="760A9E4B" w:rsidR="00F65B33" w:rsidRPr="005052C8" w:rsidRDefault="00F65B33" w:rsidP="005052C8">
      <w:pPr>
        <w:pStyle w:val="ESPara"/>
        <w:numPr>
          <w:ilvl w:val="0"/>
          <w:numId w:val="0"/>
        </w:numPr>
        <w:ind w:left="567" w:hanging="567"/>
        <w:jc w:val="right"/>
        <w:rPr>
          <w:b/>
          <w:u w:val="single"/>
        </w:rPr>
      </w:pPr>
      <w:r w:rsidRPr="005052C8">
        <w:rPr>
          <w:b/>
          <w:u w:val="single"/>
        </w:rPr>
        <w:lastRenderedPageBreak/>
        <w:t>Attachment A</w:t>
      </w:r>
    </w:p>
    <w:p w14:paraId="1BDE5174" w14:textId="77777777" w:rsidR="009A24CF" w:rsidRDefault="009A24CF" w:rsidP="009A24CF">
      <w:pPr>
        <w:pStyle w:val="Heading2"/>
      </w:pPr>
      <w:r>
        <w:t>Statement of Compatibility with Human Rights</w:t>
      </w:r>
    </w:p>
    <w:p w14:paraId="3AE7A276" w14:textId="77777777" w:rsidR="009A24CF" w:rsidRDefault="009A24CF" w:rsidP="009A24CF">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350621B" w14:textId="77777777" w:rsidR="009A24CF" w:rsidRDefault="009A24CF" w:rsidP="009A24CF">
      <w:pPr>
        <w:spacing w:before="120" w:after="120" w:line="240" w:lineRule="auto"/>
        <w:jc w:val="center"/>
        <w:rPr>
          <w:rFonts w:ascii="Times New Roman" w:hAnsi="Times New Roman"/>
          <w:sz w:val="24"/>
          <w:szCs w:val="24"/>
        </w:rPr>
      </w:pPr>
    </w:p>
    <w:p w14:paraId="1DD08C76" w14:textId="77777777" w:rsidR="009A24CF" w:rsidRPr="00C90B09" w:rsidRDefault="009A24CF" w:rsidP="009A24CF">
      <w:pPr>
        <w:spacing w:before="120" w:after="120" w:line="240" w:lineRule="auto"/>
        <w:jc w:val="center"/>
        <w:rPr>
          <w:rFonts w:ascii="Times New Roman" w:hAnsi="Times New Roman" w:cs="Times New Roman"/>
          <w:b/>
          <w:sz w:val="24"/>
          <w:szCs w:val="24"/>
        </w:rPr>
      </w:pPr>
      <w:r w:rsidRPr="00C90B09">
        <w:rPr>
          <w:rFonts w:ascii="Times New Roman" w:hAnsi="Times New Roman" w:cs="Times New Roman"/>
          <w:b/>
          <w:i/>
          <w:sz w:val="24"/>
          <w:szCs w:val="24"/>
        </w:rPr>
        <w:t>Migration (Removal of health workforce certificate requirements) Amendment Instrument (LIN 23/06</w:t>
      </w:r>
      <w:r>
        <w:rPr>
          <w:rFonts w:ascii="Times New Roman" w:hAnsi="Times New Roman" w:cs="Times New Roman"/>
          <w:b/>
          <w:i/>
          <w:sz w:val="24"/>
          <w:szCs w:val="24"/>
        </w:rPr>
        <w:t>7</w:t>
      </w:r>
      <w:r w:rsidRPr="00C90B09">
        <w:rPr>
          <w:rFonts w:ascii="Times New Roman" w:hAnsi="Times New Roman" w:cs="Times New Roman"/>
          <w:b/>
          <w:i/>
          <w:sz w:val="24"/>
          <w:szCs w:val="24"/>
        </w:rPr>
        <w:t>) 2023</w:t>
      </w:r>
      <w:r>
        <w:rPr>
          <w:rFonts w:ascii="Times New Roman" w:hAnsi="Times New Roman" w:cs="Times New Roman"/>
          <w:b/>
          <w:i/>
          <w:sz w:val="24"/>
          <w:szCs w:val="24"/>
        </w:rPr>
        <w:t xml:space="preserve"> (No. 2)</w:t>
      </w:r>
    </w:p>
    <w:p w14:paraId="64A95EDC" w14:textId="77777777" w:rsidR="009A24CF" w:rsidRDefault="009A24CF" w:rsidP="009A24CF">
      <w:pPr>
        <w:spacing w:before="120" w:after="120" w:line="240" w:lineRule="auto"/>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0A90F83" w14:textId="77777777" w:rsidR="009A24CF" w:rsidRDefault="009A24CF" w:rsidP="009A24CF">
      <w:pPr>
        <w:spacing w:before="120" w:after="120" w:line="240" w:lineRule="auto"/>
        <w:rPr>
          <w:rFonts w:ascii="Times New Roman" w:hAnsi="Times New Roman"/>
          <w:sz w:val="24"/>
          <w:szCs w:val="24"/>
        </w:rPr>
      </w:pPr>
    </w:p>
    <w:p w14:paraId="00C4FC85" w14:textId="77777777" w:rsidR="009A24CF" w:rsidRDefault="009A24CF" w:rsidP="009A24CF">
      <w:pPr>
        <w:pStyle w:val="Heading3"/>
      </w:pPr>
      <w:r>
        <w:t xml:space="preserve">Overview of the Disallowable Legislative </w:t>
      </w:r>
      <w:r w:rsidRPr="00017A63">
        <w:t>Instrument</w:t>
      </w:r>
    </w:p>
    <w:p w14:paraId="20182B52" w14:textId="77777777" w:rsidR="009A24CF" w:rsidRPr="00971743" w:rsidRDefault="009A24CF" w:rsidP="009A24CF">
      <w:pPr>
        <w:shd w:val="clear" w:color="auto" w:fill="FFFFFF"/>
        <w:spacing w:after="0" w:line="230" w:lineRule="atLeast"/>
        <w:ind w:left="-23"/>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4"/>
          <w:szCs w:val="24"/>
          <w:lang w:eastAsia="en-AU"/>
        </w:rPr>
        <w:t>T</w:t>
      </w:r>
      <w:r w:rsidRPr="00971743">
        <w:rPr>
          <w:rFonts w:ascii="Times New Roman" w:eastAsia="Times New Roman" w:hAnsi="Times New Roman" w:cs="Times New Roman"/>
          <w:color w:val="000000"/>
          <w:sz w:val="24"/>
          <w:szCs w:val="24"/>
          <w:lang w:eastAsia="en-AU"/>
        </w:rPr>
        <w:t>he </w:t>
      </w:r>
      <w:r w:rsidRPr="00971743">
        <w:rPr>
          <w:rFonts w:ascii="Times New Roman" w:eastAsia="Times New Roman" w:hAnsi="Times New Roman" w:cs="Times New Roman"/>
          <w:i/>
          <w:iCs/>
          <w:color w:val="000000"/>
          <w:sz w:val="24"/>
          <w:szCs w:val="24"/>
          <w:lang w:eastAsia="en-AU"/>
        </w:rPr>
        <w:t>Migration Regulations 1994</w:t>
      </w:r>
      <w:r w:rsidRPr="00971743">
        <w:rPr>
          <w:rFonts w:ascii="Times New Roman" w:eastAsia="Times New Roman" w:hAnsi="Times New Roman" w:cs="Times New Roman"/>
          <w:color w:val="000000"/>
          <w:sz w:val="24"/>
          <w:szCs w:val="24"/>
          <w:lang w:eastAsia="en-AU"/>
        </w:rPr>
        <w:t xml:space="preserve"> set out requirements for the grant </w:t>
      </w:r>
      <w:r>
        <w:rPr>
          <w:rFonts w:ascii="Times New Roman" w:eastAsia="Times New Roman" w:hAnsi="Times New Roman" w:cs="Times New Roman"/>
          <w:color w:val="000000"/>
          <w:sz w:val="24"/>
          <w:szCs w:val="24"/>
          <w:lang w:eastAsia="en-AU"/>
        </w:rPr>
        <w:t>of a Subclass 482 (Temporary Skill Shortage</w:t>
      </w:r>
      <w:r w:rsidRPr="00971743">
        <w:rPr>
          <w:rFonts w:ascii="Times New Roman" w:eastAsia="Times New Roman" w:hAnsi="Times New Roman" w:cs="Times New Roman"/>
          <w:color w:val="000000"/>
          <w:sz w:val="24"/>
          <w:szCs w:val="24"/>
          <w:lang w:eastAsia="en-AU"/>
        </w:rPr>
        <w:t xml:space="preserve">) visa and the </w:t>
      </w:r>
      <w:r>
        <w:rPr>
          <w:rFonts w:ascii="Times New Roman" w:eastAsia="Times New Roman" w:hAnsi="Times New Roman" w:cs="Times New Roman"/>
          <w:color w:val="000000"/>
          <w:sz w:val="24"/>
          <w:szCs w:val="24"/>
          <w:lang w:eastAsia="en-AU"/>
        </w:rPr>
        <w:t>Subclass 494 (</w:t>
      </w:r>
      <w:r w:rsidRPr="00971743">
        <w:rPr>
          <w:rFonts w:ascii="Times New Roman" w:eastAsia="Times New Roman" w:hAnsi="Times New Roman" w:cs="Times New Roman"/>
          <w:color w:val="000000"/>
          <w:sz w:val="24"/>
          <w:szCs w:val="24"/>
          <w:lang w:eastAsia="en-AU"/>
        </w:rPr>
        <w:t>Skilled Employer Sponsored Regional (</w:t>
      </w:r>
      <w:r>
        <w:rPr>
          <w:rFonts w:ascii="Times New Roman" w:eastAsia="Times New Roman" w:hAnsi="Times New Roman" w:cs="Times New Roman"/>
          <w:color w:val="000000"/>
          <w:sz w:val="24"/>
          <w:szCs w:val="24"/>
          <w:lang w:eastAsia="en-AU"/>
        </w:rPr>
        <w:t>Provisional)</w:t>
      </w:r>
      <w:r w:rsidRPr="00971743">
        <w:rPr>
          <w:rFonts w:ascii="Times New Roman" w:eastAsia="Times New Roman" w:hAnsi="Times New Roman" w:cs="Times New Roman"/>
          <w:color w:val="000000"/>
          <w:sz w:val="24"/>
          <w:szCs w:val="24"/>
          <w:lang w:eastAsia="en-AU"/>
        </w:rPr>
        <w:t xml:space="preserve">) visa. </w:t>
      </w:r>
      <w:r>
        <w:rPr>
          <w:rFonts w:ascii="Times New Roman" w:eastAsia="Times New Roman" w:hAnsi="Times New Roman" w:cs="Times New Roman"/>
          <w:color w:val="000000"/>
          <w:sz w:val="24"/>
          <w:szCs w:val="24"/>
          <w:lang w:eastAsia="en-AU"/>
        </w:rPr>
        <w:t>For the Short-term or Medium-term streams of the Subclass 482 visa, and for the Employer Sponsored stream of the Subclass 494 visa,</w:t>
      </w:r>
      <w:r w:rsidRPr="00971743">
        <w:rPr>
          <w:rFonts w:ascii="Times New Roman" w:eastAsia="Times New Roman" w:hAnsi="Times New Roman" w:cs="Times New Roman"/>
          <w:color w:val="000000"/>
          <w:sz w:val="24"/>
          <w:szCs w:val="24"/>
          <w:lang w:eastAsia="en-AU"/>
        </w:rPr>
        <w:t xml:space="preserve"> the applicant </w:t>
      </w:r>
      <w:r>
        <w:rPr>
          <w:rFonts w:ascii="Times New Roman" w:eastAsia="Times New Roman" w:hAnsi="Times New Roman" w:cs="Times New Roman"/>
          <w:color w:val="000000"/>
          <w:sz w:val="24"/>
          <w:szCs w:val="24"/>
          <w:lang w:eastAsia="en-AU"/>
        </w:rPr>
        <w:t>must be employed to work in the occupation</w:t>
      </w:r>
      <w:r w:rsidRPr="00971743">
        <w:rPr>
          <w:rFonts w:ascii="Times New Roman" w:eastAsia="Times New Roman" w:hAnsi="Times New Roman" w:cs="Times New Roman"/>
          <w:color w:val="000000"/>
          <w:sz w:val="24"/>
          <w:szCs w:val="24"/>
          <w:lang w:eastAsia="en-AU"/>
        </w:rPr>
        <w:t xml:space="preserve"> nominate</w:t>
      </w:r>
      <w:r>
        <w:rPr>
          <w:rFonts w:ascii="Times New Roman" w:eastAsia="Times New Roman" w:hAnsi="Times New Roman" w:cs="Times New Roman"/>
          <w:color w:val="000000"/>
          <w:sz w:val="24"/>
          <w:szCs w:val="24"/>
          <w:lang w:eastAsia="en-AU"/>
        </w:rPr>
        <w:t xml:space="preserve">d by the nomination identified in the application. In deciding whether to approve the nomination, the Minister must be satisfied that the occupation is specified in a legislative instrument. </w:t>
      </w:r>
      <w:r w:rsidRPr="00971743">
        <w:rPr>
          <w:rFonts w:ascii="Times New Roman" w:eastAsia="Times New Roman" w:hAnsi="Times New Roman" w:cs="Times New Roman"/>
          <w:color w:val="000000"/>
          <w:sz w:val="24"/>
          <w:szCs w:val="24"/>
          <w:lang w:eastAsia="en-AU"/>
        </w:rPr>
        <w:t xml:space="preserve">The occupation lists are specified </w:t>
      </w:r>
      <w:r>
        <w:rPr>
          <w:rFonts w:ascii="Times New Roman" w:eastAsia="Times New Roman" w:hAnsi="Times New Roman" w:cs="Times New Roman"/>
          <w:color w:val="000000"/>
          <w:sz w:val="24"/>
          <w:szCs w:val="24"/>
          <w:lang w:eastAsia="en-AU"/>
        </w:rPr>
        <w:t>in the</w:t>
      </w:r>
      <w:r w:rsidRPr="00971743">
        <w:rPr>
          <w:rFonts w:ascii="Times New Roman" w:eastAsia="Times New Roman" w:hAnsi="Times New Roman" w:cs="Times New Roman"/>
          <w:color w:val="000000"/>
          <w:sz w:val="24"/>
          <w:szCs w:val="24"/>
          <w:lang w:eastAsia="en-AU"/>
        </w:rPr>
        <w:t xml:space="preserve"> instrument</w:t>
      </w:r>
      <w:r>
        <w:rPr>
          <w:rFonts w:ascii="Times New Roman" w:eastAsia="Times New Roman" w:hAnsi="Times New Roman" w:cs="Times New Roman"/>
          <w:color w:val="000000"/>
          <w:sz w:val="24"/>
          <w:szCs w:val="24"/>
          <w:lang w:eastAsia="en-AU"/>
        </w:rPr>
        <w:t>s</w:t>
      </w:r>
      <w:r w:rsidRPr="00971743">
        <w:rPr>
          <w:rFonts w:ascii="Times New Roman" w:eastAsia="Times New Roman" w:hAnsi="Times New Roman" w:cs="Times New Roman"/>
          <w:color w:val="000000"/>
          <w:sz w:val="24"/>
          <w:szCs w:val="24"/>
          <w:lang w:eastAsia="en-AU"/>
        </w:rPr>
        <w:t xml:space="preserve"> </w:t>
      </w:r>
      <w:r w:rsidRPr="00B05960">
        <w:rPr>
          <w:rFonts w:ascii="Times New Roman" w:hAnsi="Times New Roman" w:cs="Times New Roman"/>
          <w:bCs/>
          <w:i/>
          <w:color w:val="000000"/>
          <w:sz w:val="24"/>
          <w:szCs w:val="24"/>
          <w:shd w:val="clear" w:color="auto" w:fill="FFFFFF"/>
        </w:rPr>
        <w:t>Migration (LIN 19/048: Specification of Occupations—Subclass 482 Visa) Instrument 2019</w:t>
      </w:r>
      <w:r w:rsidRPr="00971743">
        <w:rPr>
          <w:rFonts w:ascii="Times New Roman" w:eastAsia="Times New Roman" w:hAnsi="Times New Roman" w:cs="Times New Roman"/>
          <w:color w:val="000000"/>
          <w:sz w:val="24"/>
          <w:szCs w:val="24"/>
          <w:lang w:eastAsia="en-AU"/>
        </w:rPr>
        <w:t xml:space="preserve">and </w:t>
      </w:r>
      <w:r w:rsidRPr="00B05960">
        <w:rPr>
          <w:rFonts w:ascii="Times New Roman" w:hAnsi="Times New Roman" w:cs="Times New Roman"/>
          <w:bCs/>
          <w:i/>
          <w:color w:val="000000"/>
          <w:sz w:val="24"/>
          <w:szCs w:val="24"/>
          <w:shd w:val="clear" w:color="auto" w:fill="FFFFFF"/>
        </w:rPr>
        <w:t>Migration (LIN 19/219: Occupations for Subclass 494 Visas) Instrument 2019</w:t>
      </w:r>
      <w:r w:rsidRPr="00971743">
        <w:rPr>
          <w:rFonts w:ascii="Times New Roman" w:eastAsia="Times New Roman" w:hAnsi="Times New Roman" w:cs="Times New Roman"/>
          <w:color w:val="000000"/>
          <w:sz w:val="24"/>
          <w:szCs w:val="24"/>
          <w:lang w:eastAsia="en-AU"/>
        </w:rPr>
        <w:t>.</w:t>
      </w:r>
    </w:p>
    <w:p w14:paraId="5A42BAB0" w14:textId="77777777" w:rsidR="009A24CF" w:rsidRPr="00971743" w:rsidRDefault="009A24CF" w:rsidP="009A24CF">
      <w:pPr>
        <w:shd w:val="clear" w:color="auto" w:fill="FFFFFF"/>
        <w:spacing w:after="0" w:line="230" w:lineRule="atLeast"/>
        <w:ind w:left="-23"/>
        <w:rPr>
          <w:rFonts w:ascii="Times New Roman" w:eastAsia="Times New Roman" w:hAnsi="Times New Roman" w:cs="Times New Roman"/>
          <w:color w:val="000000"/>
          <w:sz w:val="20"/>
          <w:szCs w:val="20"/>
          <w:lang w:eastAsia="en-AU"/>
        </w:rPr>
      </w:pPr>
      <w:r w:rsidRPr="00971743">
        <w:rPr>
          <w:rFonts w:ascii="Times New Roman" w:eastAsia="Times New Roman" w:hAnsi="Times New Roman" w:cs="Times New Roman"/>
          <w:color w:val="000000"/>
          <w:sz w:val="24"/>
          <w:szCs w:val="24"/>
          <w:lang w:eastAsia="en-AU"/>
        </w:rPr>
        <w:t> </w:t>
      </w:r>
    </w:p>
    <w:p w14:paraId="4D00C55F" w14:textId="77777777" w:rsidR="009A24CF" w:rsidRPr="00971743"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sidRPr="00971743">
        <w:rPr>
          <w:rFonts w:ascii="Times New Roman" w:eastAsia="Times New Roman" w:hAnsi="Times New Roman" w:cs="Times New Roman"/>
          <w:color w:val="000000"/>
          <w:sz w:val="24"/>
          <w:szCs w:val="24"/>
          <w:lang w:eastAsia="en-AU"/>
        </w:rPr>
        <w:t>These instruments also include inapplicability conditions (‘caveats’) for certain occupations for the purpose of nominations</w:t>
      </w:r>
      <w:r>
        <w:rPr>
          <w:rFonts w:ascii="Times New Roman" w:eastAsia="Times New Roman" w:hAnsi="Times New Roman" w:cs="Times New Roman"/>
          <w:color w:val="000000"/>
          <w:sz w:val="24"/>
          <w:szCs w:val="24"/>
          <w:lang w:eastAsia="en-AU"/>
        </w:rPr>
        <w:t>. These caveats</w:t>
      </w:r>
      <w:r w:rsidRPr="00971743">
        <w:rPr>
          <w:rFonts w:ascii="Times New Roman" w:eastAsia="Times New Roman" w:hAnsi="Times New Roman" w:cs="Times New Roman"/>
          <w:color w:val="000000"/>
          <w:sz w:val="24"/>
          <w:szCs w:val="24"/>
          <w:lang w:eastAsia="en-AU"/>
        </w:rPr>
        <w:t xml:space="preserve"> provide clarification </w:t>
      </w:r>
      <w:r>
        <w:rPr>
          <w:rFonts w:ascii="Times New Roman" w:eastAsia="Times New Roman" w:hAnsi="Times New Roman" w:cs="Times New Roman"/>
          <w:color w:val="000000"/>
          <w:sz w:val="24"/>
          <w:szCs w:val="24"/>
          <w:lang w:eastAsia="en-AU"/>
        </w:rPr>
        <w:t>of</w:t>
      </w:r>
      <w:r w:rsidRPr="0097174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the requirements to be met for </w:t>
      </w:r>
      <w:r w:rsidRPr="00971743">
        <w:rPr>
          <w:rFonts w:ascii="Times New Roman" w:eastAsia="Times New Roman" w:hAnsi="Times New Roman" w:cs="Times New Roman"/>
          <w:color w:val="000000"/>
          <w:sz w:val="24"/>
          <w:szCs w:val="24"/>
          <w:lang w:eastAsia="en-AU"/>
        </w:rPr>
        <w:t>applications</w:t>
      </w:r>
      <w:r>
        <w:rPr>
          <w:rFonts w:ascii="Times New Roman" w:eastAsia="Times New Roman" w:hAnsi="Times New Roman" w:cs="Times New Roman"/>
          <w:color w:val="000000"/>
          <w:sz w:val="24"/>
          <w:szCs w:val="24"/>
          <w:lang w:eastAsia="en-AU"/>
        </w:rPr>
        <w:t>,</w:t>
      </w:r>
      <w:r w:rsidRPr="00971743">
        <w:rPr>
          <w:rFonts w:ascii="Times New Roman" w:eastAsia="Times New Roman" w:hAnsi="Times New Roman" w:cs="Times New Roman"/>
          <w:color w:val="000000"/>
          <w:sz w:val="24"/>
          <w:szCs w:val="24"/>
          <w:lang w:eastAsia="en-AU"/>
        </w:rPr>
        <w:t xml:space="preserve"> and ensure the integrity of this visa program. Relevantly, the</w:t>
      </w:r>
      <w:r>
        <w:rPr>
          <w:rFonts w:ascii="Times New Roman" w:eastAsia="Times New Roman" w:hAnsi="Times New Roman" w:cs="Times New Roman"/>
          <w:color w:val="000000"/>
          <w:sz w:val="24"/>
          <w:szCs w:val="24"/>
          <w:lang w:eastAsia="en-AU"/>
        </w:rPr>
        <w:t>se</w:t>
      </w:r>
      <w:r w:rsidRPr="00971743">
        <w:rPr>
          <w:rFonts w:ascii="Times New Roman" w:eastAsia="Times New Roman" w:hAnsi="Times New Roman" w:cs="Times New Roman"/>
          <w:color w:val="000000"/>
          <w:sz w:val="24"/>
          <w:szCs w:val="24"/>
          <w:lang w:eastAsia="en-AU"/>
        </w:rPr>
        <w:t xml:space="preserve"> instruments specif</w:t>
      </w:r>
      <w:r>
        <w:rPr>
          <w:rFonts w:ascii="Times New Roman" w:eastAsia="Times New Roman" w:hAnsi="Times New Roman" w:cs="Times New Roman"/>
          <w:color w:val="000000"/>
          <w:sz w:val="24"/>
          <w:szCs w:val="24"/>
          <w:lang w:eastAsia="en-AU"/>
        </w:rPr>
        <w:t>ied</w:t>
      </w:r>
      <w:r w:rsidRPr="00971743">
        <w:rPr>
          <w:rFonts w:ascii="Times New Roman" w:eastAsia="Times New Roman" w:hAnsi="Times New Roman" w:cs="Times New Roman"/>
          <w:color w:val="000000"/>
          <w:sz w:val="24"/>
          <w:szCs w:val="24"/>
          <w:lang w:eastAsia="en-AU"/>
        </w:rPr>
        <w:t xml:space="preserve"> a caveat requiring that a health workforce certificate (HWC) from a </w:t>
      </w:r>
      <w:r>
        <w:rPr>
          <w:rFonts w:ascii="Times New Roman" w:eastAsia="Times New Roman" w:hAnsi="Times New Roman" w:cs="Times New Roman"/>
          <w:color w:val="000000"/>
          <w:sz w:val="24"/>
          <w:szCs w:val="24"/>
          <w:lang w:eastAsia="en-AU"/>
        </w:rPr>
        <w:t xml:space="preserve">health workforce certifier </w:t>
      </w:r>
      <w:r w:rsidRPr="00971743">
        <w:rPr>
          <w:rFonts w:ascii="Times New Roman" w:eastAsia="Times New Roman" w:hAnsi="Times New Roman" w:cs="Times New Roman"/>
          <w:color w:val="000000"/>
          <w:sz w:val="24"/>
          <w:szCs w:val="24"/>
          <w:lang w:eastAsia="en-AU"/>
        </w:rPr>
        <w:t xml:space="preserve">be provided when an employer nominates a person for a position in one of the following medical occupations: </w:t>
      </w:r>
      <w:r>
        <w:rPr>
          <w:rFonts w:ascii="Times New Roman" w:eastAsia="Times New Roman" w:hAnsi="Times New Roman" w:cs="Times New Roman"/>
          <w:color w:val="000000"/>
          <w:sz w:val="24"/>
          <w:szCs w:val="24"/>
          <w:lang w:eastAsia="en-AU"/>
        </w:rPr>
        <w:t>g</w:t>
      </w:r>
      <w:r w:rsidRPr="00971743">
        <w:rPr>
          <w:rFonts w:ascii="Times New Roman" w:eastAsia="Times New Roman" w:hAnsi="Times New Roman" w:cs="Times New Roman"/>
          <w:color w:val="000000"/>
          <w:sz w:val="24"/>
          <w:szCs w:val="24"/>
          <w:lang w:eastAsia="en-AU"/>
        </w:rPr>
        <w:t xml:space="preserve">eneral </w:t>
      </w:r>
      <w:r>
        <w:rPr>
          <w:rFonts w:ascii="Times New Roman" w:eastAsia="Times New Roman" w:hAnsi="Times New Roman" w:cs="Times New Roman"/>
          <w:color w:val="000000"/>
          <w:sz w:val="24"/>
          <w:szCs w:val="24"/>
          <w:lang w:eastAsia="en-AU"/>
        </w:rPr>
        <w:t>p</w:t>
      </w:r>
      <w:r w:rsidRPr="00971743">
        <w:rPr>
          <w:rFonts w:ascii="Times New Roman" w:eastAsia="Times New Roman" w:hAnsi="Times New Roman" w:cs="Times New Roman"/>
          <w:color w:val="000000"/>
          <w:sz w:val="24"/>
          <w:szCs w:val="24"/>
          <w:lang w:eastAsia="en-AU"/>
        </w:rPr>
        <w:t xml:space="preserve">ractitioner, </w:t>
      </w:r>
      <w:r>
        <w:rPr>
          <w:rFonts w:ascii="Times New Roman" w:eastAsia="Times New Roman" w:hAnsi="Times New Roman" w:cs="Times New Roman"/>
          <w:color w:val="000000"/>
          <w:sz w:val="24"/>
          <w:szCs w:val="24"/>
          <w:lang w:eastAsia="en-AU"/>
        </w:rPr>
        <w:t>r</w:t>
      </w:r>
      <w:r w:rsidRPr="00971743">
        <w:rPr>
          <w:rFonts w:ascii="Times New Roman" w:eastAsia="Times New Roman" w:hAnsi="Times New Roman" w:cs="Times New Roman"/>
          <w:color w:val="000000"/>
          <w:sz w:val="24"/>
          <w:szCs w:val="24"/>
          <w:lang w:eastAsia="en-AU"/>
        </w:rPr>
        <w:t xml:space="preserve">esident </w:t>
      </w:r>
      <w:r>
        <w:rPr>
          <w:rFonts w:ascii="Times New Roman" w:eastAsia="Times New Roman" w:hAnsi="Times New Roman" w:cs="Times New Roman"/>
          <w:color w:val="000000"/>
          <w:sz w:val="24"/>
          <w:szCs w:val="24"/>
          <w:lang w:eastAsia="en-AU"/>
        </w:rPr>
        <w:t>m</w:t>
      </w:r>
      <w:r w:rsidRPr="00971743">
        <w:rPr>
          <w:rFonts w:ascii="Times New Roman" w:eastAsia="Times New Roman" w:hAnsi="Times New Roman" w:cs="Times New Roman"/>
          <w:color w:val="000000"/>
          <w:sz w:val="24"/>
          <w:szCs w:val="24"/>
          <w:lang w:eastAsia="en-AU"/>
        </w:rPr>
        <w:t xml:space="preserve">edical </w:t>
      </w:r>
      <w:r>
        <w:rPr>
          <w:rFonts w:ascii="Times New Roman" w:eastAsia="Times New Roman" w:hAnsi="Times New Roman" w:cs="Times New Roman"/>
          <w:color w:val="000000"/>
          <w:sz w:val="24"/>
          <w:szCs w:val="24"/>
          <w:lang w:eastAsia="en-AU"/>
        </w:rPr>
        <w:t>o</w:t>
      </w:r>
      <w:r w:rsidRPr="00971743">
        <w:rPr>
          <w:rFonts w:ascii="Times New Roman" w:eastAsia="Times New Roman" w:hAnsi="Times New Roman" w:cs="Times New Roman"/>
          <w:color w:val="000000"/>
          <w:sz w:val="24"/>
          <w:szCs w:val="24"/>
          <w:lang w:eastAsia="en-AU"/>
        </w:rPr>
        <w:t xml:space="preserve">fficer, and </w:t>
      </w:r>
      <w:r>
        <w:rPr>
          <w:rFonts w:ascii="Times New Roman" w:eastAsia="Times New Roman" w:hAnsi="Times New Roman" w:cs="Times New Roman"/>
          <w:color w:val="000000"/>
          <w:sz w:val="24"/>
          <w:szCs w:val="24"/>
          <w:lang w:eastAsia="en-AU"/>
        </w:rPr>
        <w:t>m</w:t>
      </w:r>
      <w:r w:rsidRPr="00971743">
        <w:rPr>
          <w:rFonts w:ascii="Times New Roman" w:eastAsia="Times New Roman" w:hAnsi="Times New Roman" w:cs="Times New Roman"/>
          <w:color w:val="000000"/>
          <w:sz w:val="24"/>
          <w:szCs w:val="24"/>
          <w:lang w:eastAsia="en-AU"/>
        </w:rPr>
        <w:t xml:space="preserve">edical </w:t>
      </w:r>
      <w:r>
        <w:rPr>
          <w:rFonts w:ascii="Times New Roman" w:eastAsia="Times New Roman" w:hAnsi="Times New Roman" w:cs="Times New Roman"/>
          <w:color w:val="000000"/>
          <w:sz w:val="24"/>
          <w:szCs w:val="24"/>
          <w:lang w:eastAsia="en-AU"/>
        </w:rPr>
        <w:t>p</w:t>
      </w:r>
      <w:r w:rsidRPr="00971743">
        <w:rPr>
          <w:rFonts w:ascii="Times New Roman" w:eastAsia="Times New Roman" w:hAnsi="Times New Roman" w:cs="Times New Roman"/>
          <w:color w:val="000000"/>
          <w:sz w:val="24"/>
          <w:szCs w:val="24"/>
          <w:lang w:eastAsia="en-AU"/>
        </w:rPr>
        <w:t>ractitioner not elsewhere classified.</w:t>
      </w:r>
    </w:p>
    <w:p w14:paraId="31A09DFC"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79D9A988"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sidRPr="00EB302E">
        <w:rPr>
          <w:rFonts w:ascii="Times New Roman" w:eastAsia="Times New Roman" w:hAnsi="Times New Roman" w:cs="Times New Roman"/>
          <w:color w:val="000000"/>
          <w:sz w:val="24"/>
          <w:szCs w:val="24"/>
          <w:lang w:eastAsia="en-AU"/>
        </w:rPr>
        <w:t xml:space="preserve">This instrument, </w:t>
      </w:r>
      <w:r>
        <w:rPr>
          <w:rFonts w:ascii="Times New Roman" w:eastAsia="Times New Roman" w:hAnsi="Times New Roman" w:cs="Times New Roman"/>
          <w:color w:val="000000"/>
          <w:sz w:val="24"/>
          <w:szCs w:val="24"/>
          <w:lang w:eastAsia="en-AU"/>
        </w:rPr>
        <w:t xml:space="preserve">the </w:t>
      </w:r>
      <w:r w:rsidRPr="00B05960">
        <w:rPr>
          <w:rFonts w:ascii="Times New Roman" w:eastAsia="Times New Roman" w:hAnsi="Times New Roman" w:cs="Times New Roman"/>
          <w:i/>
          <w:color w:val="000000"/>
          <w:sz w:val="24"/>
          <w:szCs w:val="24"/>
          <w:lang w:eastAsia="en-AU"/>
        </w:rPr>
        <w:t>Migration (Removal of health workforce certificate requirements) Amendment Instrument (LIN 23/06</w:t>
      </w:r>
      <w:r>
        <w:rPr>
          <w:rFonts w:ascii="Times New Roman" w:eastAsia="Times New Roman" w:hAnsi="Times New Roman" w:cs="Times New Roman"/>
          <w:i/>
          <w:color w:val="000000"/>
          <w:sz w:val="24"/>
          <w:szCs w:val="24"/>
          <w:lang w:eastAsia="en-AU"/>
        </w:rPr>
        <w:t>7</w:t>
      </w:r>
      <w:r w:rsidRPr="00B05960">
        <w:rPr>
          <w:rFonts w:ascii="Times New Roman" w:eastAsia="Times New Roman" w:hAnsi="Times New Roman" w:cs="Times New Roman"/>
          <w:i/>
          <w:color w:val="000000"/>
          <w:sz w:val="24"/>
          <w:szCs w:val="24"/>
          <w:lang w:eastAsia="en-AU"/>
        </w:rPr>
        <w:t>) 2023</w:t>
      </w:r>
      <w:r>
        <w:rPr>
          <w:rFonts w:ascii="Times New Roman" w:eastAsia="Times New Roman" w:hAnsi="Times New Roman" w:cs="Times New Roman"/>
          <w:i/>
          <w:color w:val="000000"/>
          <w:sz w:val="24"/>
          <w:szCs w:val="24"/>
          <w:lang w:eastAsia="en-AU"/>
        </w:rPr>
        <w:t xml:space="preserve"> (No. 2)</w:t>
      </w:r>
      <w:r w:rsidRPr="00EB302E">
        <w:rPr>
          <w:rFonts w:ascii="Times New Roman" w:eastAsia="Times New Roman" w:hAnsi="Times New Roman" w:cs="Times New Roman"/>
          <w:color w:val="000000"/>
          <w:sz w:val="24"/>
          <w:szCs w:val="24"/>
          <w:lang w:eastAsia="en-AU"/>
        </w:rPr>
        <w:t xml:space="preserve">, amends </w:t>
      </w:r>
      <w:r w:rsidRPr="00971743">
        <w:rPr>
          <w:rFonts w:ascii="Times New Roman" w:eastAsia="Times New Roman" w:hAnsi="Times New Roman" w:cs="Times New Roman"/>
          <w:color w:val="000000"/>
          <w:sz w:val="24"/>
          <w:szCs w:val="24"/>
          <w:lang w:eastAsia="en-AU"/>
        </w:rPr>
        <w:t xml:space="preserve">LIN 19/048 </w:t>
      </w:r>
      <w:r w:rsidRPr="00B77824">
        <w:rPr>
          <w:rFonts w:ascii="Times New Roman" w:eastAsia="Times New Roman" w:hAnsi="Times New Roman" w:cs="Times New Roman"/>
          <w:color w:val="000000"/>
          <w:sz w:val="24"/>
          <w:szCs w:val="24"/>
          <w:lang w:eastAsia="en-AU"/>
        </w:rPr>
        <w:t>and LIN</w:t>
      </w:r>
      <w:r>
        <w:rPr>
          <w:rFonts w:ascii="Times New Roman" w:eastAsia="Times New Roman" w:hAnsi="Times New Roman" w:cs="Times New Roman"/>
          <w:color w:val="000000"/>
          <w:sz w:val="24"/>
          <w:szCs w:val="24"/>
          <w:lang w:eastAsia="en-AU"/>
        </w:rPr>
        <w:t> </w:t>
      </w:r>
      <w:r w:rsidRPr="00971743">
        <w:rPr>
          <w:rFonts w:ascii="Times New Roman" w:eastAsia="Times New Roman" w:hAnsi="Times New Roman" w:cs="Times New Roman"/>
          <w:color w:val="000000"/>
          <w:sz w:val="24"/>
          <w:szCs w:val="24"/>
          <w:lang w:eastAsia="en-AU"/>
        </w:rPr>
        <w:t>19/219</w:t>
      </w:r>
      <w:r w:rsidRPr="00B77824">
        <w:rPr>
          <w:rFonts w:ascii="Times New Roman" w:eastAsia="Times New Roman" w:hAnsi="Times New Roman" w:cs="Times New Roman"/>
          <w:color w:val="000000"/>
          <w:sz w:val="24"/>
          <w:szCs w:val="24"/>
          <w:lang w:eastAsia="en-AU"/>
        </w:rPr>
        <w:t xml:space="preserve"> by removing the requirement for a HWC. This includes removing all references to </w:t>
      </w:r>
      <w:r>
        <w:rPr>
          <w:rFonts w:ascii="Times New Roman" w:eastAsia="Times New Roman" w:hAnsi="Times New Roman" w:cs="Times New Roman"/>
          <w:color w:val="000000"/>
          <w:sz w:val="24"/>
          <w:szCs w:val="24"/>
          <w:lang w:eastAsia="en-AU"/>
        </w:rPr>
        <w:t>the HWC requirement</w:t>
      </w:r>
      <w:r w:rsidRPr="00B77824">
        <w:rPr>
          <w:rFonts w:ascii="Times New Roman" w:eastAsia="Times New Roman" w:hAnsi="Times New Roman" w:cs="Times New Roman"/>
          <w:color w:val="000000"/>
          <w:sz w:val="24"/>
          <w:szCs w:val="24"/>
          <w:lang w:eastAsia="en-AU"/>
        </w:rPr>
        <w:t>.</w:t>
      </w:r>
    </w:p>
    <w:p w14:paraId="2E49B035"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1388FC0E" w14:textId="7442ECEE"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sidRPr="00D87F55">
        <w:rPr>
          <w:rFonts w:ascii="Times New Roman" w:eastAsia="Times New Roman" w:hAnsi="Times New Roman" w:cs="Times New Roman"/>
          <w:color w:val="000000"/>
          <w:sz w:val="24"/>
          <w:szCs w:val="24"/>
          <w:lang w:eastAsia="en-AU"/>
        </w:rPr>
        <w:t xml:space="preserve">The HWC </w:t>
      </w:r>
      <w:r>
        <w:rPr>
          <w:rFonts w:ascii="Times New Roman" w:eastAsia="Times New Roman" w:hAnsi="Times New Roman" w:cs="Times New Roman"/>
          <w:color w:val="000000"/>
          <w:sz w:val="24"/>
          <w:szCs w:val="24"/>
          <w:lang w:eastAsia="en-AU"/>
        </w:rPr>
        <w:t>requirement</w:t>
      </w:r>
      <w:r w:rsidRPr="00D87F55">
        <w:rPr>
          <w:rFonts w:ascii="Times New Roman" w:eastAsia="Times New Roman" w:hAnsi="Times New Roman" w:cs="Times New Roman"/>
          <w:color w:val="000000"/>
          <w:sz w:val="24"/>
          <w:szCs w:val="24"/>
          <w:lang w:eastAsia="en-AU"/>
        </w:rPr>
        <w:t xml:space="preserve"> was introduced as part of a joint program between the Department of Health and </w:t>
      </w:r>
      <w:r>
        <w:rPr>
          <w:rFonts w:ascii="Times New Roman" w:eastAsia="Times New Roman" w:hAnsi="Times New Roman" w:cs="Times New Roman"/>
          <w:color w:val="000000"/>
          <w:sz w:val="24"/>
          <w:szCs w:val="24"/>
          <w:lang w:eastAsia="en-AU"/>
        </w:rPr>
        <w:t xml:space="preserve">the Department of </w:t>
      </w:r>
      <w:r w:rsidRPr="00D87F55">
        <w:rPr>
          <w:rFonts w:ascii="Times New Roman" w:eastAsia="Times New Roman" w:hAnsi="Times New Roman" w:cs="Times New Roman"/>
          <w:color w:val="000000"/>
          <w:sz w:val="24"/>
          <w:szCs w:val="24"/>
          <w:lang w:eastAsia="en-AU"/>
        </w:rPr>
        <w:t xml:space="preserve">Home Affairs. The purpose of the </w:t>
      </w:r>
      <w:r>
        <w:rPr>
          <w:rFonts w:ascii="Times New Roman" w:eastAsia="Times New Roman" w:hAnsi="Times New Roman" w:cs="Times New Roman"/>
          <w:color w:val="000000"/>
          <w:sz w:val="24"/>
          <w:szCs w:val="24"/>
          <w:lang w:eastAsia="en-AU"/>
        </w:rPr>
        <w:t xml:space="preserve">joint </w:t>
      </w:r>
      <w:r w:rsidRPr="00D87F55">
        <w:rPr>
          <w:rFonts w:ascii="Times New Roman" w:eastAsia="Times New Roman" w:hAnsi="Times New Roman" w:cs="Times New Roman"/>
          <w:color w:val="000000"/>
          <w:sz w:val="24"/>
          <w:szCs w:val="24"/>
          <w:lang w:eastAsia="en-AU"/>
        </w:rPr>
        <w:t>program was to manage the growth of overseas</w:t>
      </w:r>
      <w:r>
        <w:rPr>
          <w:rFonts w:ascii="Times New Roman" w:eastAsia="Times New Roman" w:hAnsi="Times New Roman" w:cs="Times New Roman"/>
          <w:color w:val="000000"/>
          <w:sz w:val="24"/>
          <w:szCs w:val="24"/>
          <w:lang w:eastAsia="en-AU"/>
        </w:rPr>
        <w:t>-</w:t>
      </w:r>
      <w:r w:rsidRPr="00D87F55">
        <w:rPr>
          <w:rFonts w:ascii="Times New Roman" w:eastAsia="Times New Roman" w:hAnsi="Times New Roman" w:cs="Times New Roman"/>
          <w:color w:val="000000"/>
          <w:sz w:val="24"/>
          <w:szCs w:val="24"/>
          <w:lang w:eastAsia="en-AU"/>
        </w:rPr>
        <w:t>trained doctors entering primary care in well-serviced major capital cities and metropolitan areas</w:t>
      </w:r>
      <w:r>
        <w:rPr>
          <w:rFonts w:ascii="Times New Roman" w:eastAsia="Times New Roman" w:hAnsi="Times New Roman" w:cs="Times New Roman"/>
          <w:color w:val="000000"/>
          <w:sz w:val="24"/>
          <w:szCs w:val="24"/>
          <w:lang w:eastAsia="en-AU"/>
        </w:rPr>
        <w:t xml:space="preserve"> and instead was aimed at </w:t>
      </w:r>
      <w:r w:rsidRPr="00971743">
        <w:rPr>
          <w:rFonts w:ascii="Times New Roman" w:eastAsia="Times New Roman" w:hAnsi="Times New Roman" w:cs="Times New Roman"/>
          <w:color w:val="000000"/>
          <w:sz w:val="24"/>
          <w:szCs w:val="24"/>
          <w:lang w:eastAsia="en-AU"/>
        </w:rPr>
        <w:t>directing overseas-trained doctors</w:t>
      </w:r>
      <w:r w:rsidRPr="007A4CC7">
        <w:rPr>
          <w:rFonts w:ascii="Times New Roman" w:eastAsia="Times New Roman" w:hAnsi="Times New Roman" w:cs="Times New Roman"/>
          <w:color w:val="000000"/>
          <w:sz w:val="24"/>
          <w:szCs w:val="24"/>
          <w:lang w:eastAsia="en-AU"/>
        </w:rPr>
        <w:t xml:space="preserve"> </w:t>
      </w:r>
      <w:r w:rsidRPr="00971743">
        <w:rPr>
          <w:rFonts w:ascii="Times New Roman" w:eastAsia="Times New Roman" w:hAnsi="Times New Roman" w:cs="Times New Roman"/>
          <w:color w:val="000000"/>
          <w:sz w:val="24"/>
          <w:szCs w:val="24"/>
          <w:lang w:eastAsia="en-AU"/>
        </w:rPr>
        <w:t>to areas of workforce shortage, especially rural and remote areas</w:t>
      </w:r>
      <w:r w:rsidRPr="00D87F55">
        <w:rPr>
          <w:rFonts w:ascii="Times New Roman" w:eastAsia="Times New Roman" w:hAnsi="Times New Roman" w:cs="Times New Roman"/>
          <w:color w:val="000000"/>
          <w:sz w:val="24"/>
          <w:szCs w:val="24"/>
          <w:lang w:eastAsia="en-AU"/>
        </w:rPr>
        <w:t>. Given widespread shortages of doctors in Australia, the measure is no longer fit for purpose</w:t>
      </w:r>
      <w:r>
        <w:rPr>
          <w:rFonts w:ascii="Times New Roman" w:eastAsia="Times New Roman" w:hAnsi="Times New Roman" w:cs="Times New Roman"/>
          <w:color w:val="000000"/>
          <w:sz w:val="24"/>
          <w:szCs w:val="24"/>
          <w:lang w:eastAsia="en-AU"/>
        </w:rPr>
        <w:t xml:space="preserve"> and, therefore, </w:t>
      </w:r>
      <w:r w:rsidRPr="00D87F55">
        <w:rPr>
          <w:rFonts w:ascii="Times New Roman" w:eastAsia="Times New Roman" w:hAnsi="Times New Roman" w:cs="Times New Roman"/>
          <w:color w:val="000000"/>
          <w:sz w:val="24"/>
          <w:szCs w:val="24"/>
          <w:lang w:eastAsia="en-AU"/>
        </w:rPr>
        <w:t>the Minister for Health</w:t>
      </w:r>
      <w:r>
        <w:rPr>
          <w:rFonts w:ascii="Times New Roman" w:eastAsia="Times New Roman" w:hAnsi="Times New Roman" w:cs="Times New Roman"/>
          <w:color w:val="000000"/>
          <w:sz w:val="24"/>
          <w:szCs w:val="24"/>
          <w:lang w:eastAsia="en-AU"/>
        </w:rPr>
        <w:t xml:space="preserve"> and Aged Care</w:t>
      </w:r>
      <w:r w:rsidRPr="00D87F55">
        <w:rPr>
          <w:rFonts w:ascii="Times New Roman" w:eastAsia="Times New Roman" w:hAnsi="Times New Roman" w:cs="Times New Roman"/>
          <w:color w:val="000000"/>
          <w:sz w:val="24"/>
          <w:szCs w:val="24"/>
          <w:lang w:eastAsia="en-AU"/>
        </w:rPr>
        <w:t xml:space="preserve"> and </w:t>
      </w:r>
      <w:r>
        <w:rPr>
          <w:rFonts w:ascii="Times New Roman" w:eastAsia="Times New Roman" w:hAnsi="Times New Roman" w:cs="Times New Roman"/>
          <w:color w:val="000000"/>
          <w:sz w:val="24"/>
          <w:szCs w:val="24"/>
          <w:lang w:eastAsia="en-AU"/>
        </w:rPr>
        <w:t xml:space="preserve">the </w:t>
      </w:r>
      <w:r w:rsidRPr="00D87F55">
        <w:rPr>
          <w:rFonts w:ascii="Times New Roman" w:eastAsia="Times New Roman" w:hAnsi="Times New Roman" w:cs="Times New Roman"/>
          <w:color w:val="000000"/>
          <w:sz w:val="24"/>
          <w:szCs w:val="24"/>
          <w:lang w:eastAsia="en-AU"/>
        </w:rPr>
        <w:t xml:space="preserve">Minister for </w:t>
      </w:r>
      <w:r>
        <w:rPr>
          <w:rFonts w:ascii="Times New Roman" w:eastAsia="Times New Roman" w:hAnsi="Times New Roman" w:cs="Times New Roman"/>
          <w:color w:val="000000"/>
          <w:sz w:val="24"/>
          <w:szCs w:val="24"/>
          <w:lang w:eastAsia="en-AU"/>
        </w:rPr>
        <w:t xml:space="preserve">Immigration, Citizenship and Multicultural </w:t>
      </w:r>
      <w:r w:rsidRPr="00D87F55">
        <w:rPr>
          <w:rFonts w:ascii="Times New Roman" w:eastAsia="Times New Roman" w:hAnsi="Times New Roman" w:cs="Times New Roman"/>
          <w:color w:val="000000"/>
          <w:sz w:val="24"/>
          <w:szCs w:val="24"/>
          <w:lang w:eastAsia="en-AU"/>
        </w:rPr>
        <w:t xml:space="preserve">Affairs have agreed to end the </w:t>
      </w:r>
      <w:r>
        <w:rPr>
          <w:rFonts w:ascii="Times New Roman" w:eastAsia="Times New Roman" w:hAnsi="Times New Roman" w:cs="Times New Roman"/>
          <w:color w:val="000000"/>
          <w:sz w:val="24"/>
          <w:szCs w:val="24"/>
          <w:lang w:eastAsia="en-AU"/>
        </w:rPr>
        <w:t xml:space="preserve">joint </w:t>
      </w:r>
      <w:r w:rsidRPr="00D87F55">
        <w:rPr>
          <w:rFonts w:ascii="Times New Roman" w:eastAsia="Times New Roman" w:hAnsi="Times New Roman" w:cs="Times New Roman"/>
          <w:color w:val="000000"/>
          <w:sz w:val="24"/>
          <w:szCs w:val="24"/>
          <w:lang w:eastAsia="en-AU"/>
        </w:rPr>
        <w:t>program</w:t>
      </w:r>
      <w:r>
        <w:rPr>
          <w:rFonts w:ascii="Times New Roman" w:eastAsia="Times New Roman" w:hAnsi="Times New Roman" w:cs="Times New Roman"/>
          <w:color w:val="000000"/>
          <w:sz w:val="24"/>
          <w:szCs w:val="24"/>
          <w:lang w:eastAsia="en-AU"/>
        </w:rPr>
        <w:t>. A</w:t>
      </w:r>
      <w:r w:rsidRPr="00D87F55">
        <w:rPr>
          <w:rFonts w:ascii="Times New Roman" w:eastAsia="Times New Roman" w:hAnsi="Times New Roman" w:cs="Times New Roman"/>
          <w:color w:val="000000"/>
          <w:sz w:val="24"/>
          <w:szCs w:val="24"/>
          <w:lang w:eastAsia="en-AU"/>
        </w:rPr>
        <w:t>s such</w:t>
      </w:r>
      <w:r>
        <w:rPr>
          <w:rFonts w:ascii="Times New Roman" w:eastAsia="Times New Roman" w:hAnsi="Times New Roman" w:cs="Times New Roman"/>
          <w:color w:val="000000"/>
          <w:sz w:val="24"/>
          <w:szCs w:val="24"/>
          <w:lang w:eastAsia="en-AU"/>
        </w:rPr>
        <w:t>,</w:t>
      </w:r>
      <w:r w:rsidRPr="00D87F55">
        <w:rPr>
          <w:rFonts w:ascii="Times New Roman" w:eastAsia="Times New Roman" w:hAnsi="Times New Roman" w:cs="Times New Roman"/>
          <w:color w:val="000000"/>
          <w:sz w:val="24"/>
          <w:szCs w:val="24"/>
          <w:lang w:eastAsia="en-AU"/>
        </w:rPr>
        <w:t xml:space="preserve"> the </w:t>
      </w:r>
      <w:r>
        <w:rPr>
          <w:rFonts w:ascii="Times New Roman" w:eastAsia="Times New Roman" w:hAnsi="Times New Roman" w:cs="Times New Roman"/>
          <w:color w:val="000000"/>
          <w:sz w:val="24"/>
          <w:szCs w:val="24"/>
          <w:lang w:eastAsia="en-AU"/>
        </w:rPr>
        <w:t>HWC requirement is</w:t>
      </w:r>
      <w:r w:rsidRPr="00D87F55">
        <w:rPr>
          <w:rFonts w:ascii="Times New Roman" w:eastAsia="Times New Roman" w:hAnsi="Times New Roman" w:cs="Times New Roman"/>
          <w:color w:val="000000"/>
          <w:sz w:val="24"/>
          <w:szCs w:val="24"/>
          <w:lang w:eastAsia="en-AU"/>
        </w:rPr>
        <w:t xml:space="preserve"> no longer </w:t>
      </w:r>
      <w:r>
        <w:rPr>
          <w:rFonts w:ascii="Times New Roman" w:eastAsia="Times New Roman" w:hAnsi="Times New Roman" w:cs="Times New Roman"/>
          <w:color w:val="000000"/>
          <w:sz w:val="24"/>
          <w:szCs w:val="24"/>
          <w:lang w:eastAsia="en-AU"/>
        </w:rPr>
        <w:t>needed</w:t>
      </w:r>
      <w:r w:rsidRPr="00D87F55">
        <w:rPr>
          <w:rFonts w:ascii="Times New Roman" w:eastAsia="Times New Roman" w:hAnsi="Times New Roman" w:cs="Times New Roman"/>
          <w:color w:val="000000"/>
          <w:sz w:val="24"/>
          <w:szCs w:val="24"/>
          <w:lang w:eastAsia="en-AU"/>
        </w:rPr>
        <w:t>.</w:t>
      </w:r>
    </w:p>
    <w:p w14:paraId="093A5006" w14:textId="77777777" w:rsidR="009A24CF" w:rsidRPr="00D87F55"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1D1CACBB"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sidRPr="00EB302E">
        <w:rPr>
          <w:rFonts w:ascii="Times New Roman" w:eastAsia="Times New Roman" w:hAnsi="Times New Roman" w:cs="Times New Roman"/>
          <w:color w:val="000000"/>
          <w:sz w:val="24"/>
          <w:szCs w:val="24"/>
          <w:lang w:eastAsia="en-AU"/>
        </w:rPr>
        <w:t xml:space="preserve">As well as removing the administrative burden for </w:t>
      </w:r>
      <w:r>
        <w:rPr>
          <w:rFonts w:ascii="Times New Roman" w:eastAsia="Times New Roman" w:hAnsi="Times New Roman" w:cs="Times New Roman"/>
          <w:color w:val="000000"/>
          <w:sz w:val="24"/>
          <w:szCs w:val="24"/>
          <w:lang w:eastAsia="en-AU"/>
        </w:rPr>
        <w:t xml:space="preserve">health workforce certifiers </w:t>
      </w:r>
      <w:r w:rsidRPr="00EB302E">
        <w:rPr>
          <w:rFonts w:ascii="Times New Roman" w:eastAsia="Times New Roman" w:hAnsi="Times New Roman" w:cs="Times New Roman"/>
          <w:color w:val="000000"/>
          <w:sz w:val="24"/>
          <w:szCs w:val="24"/>
          <w:lang w:eastAsia="en-AU"/>
        </w:rPr>
        <w:t xml:space="preserve">to issue certificates going forward, the proposed amendments will also benefit employers and </w:t>
      </w:r>
      <w:r>
        <w:rPr>
          <w:rFonts w:ascii="Times New Roman" w:eastAsia="Times New Roman" w:hAnsi="Times New Roman" w:cs="Times New Roman"/>
          <w:color w:val="000000"/>
          <w:sz w:val="24"/>
          <w:szCs w:val="24"/>
          <w:lang w:eastAsia="en-AU"/>
        </w:rPr>
        <w:t xml:space="preserve">foreign medical professionals intending to work in Australia </w:t>
      </w:r>
      <w:r w:rsidRPr="00EB302E">
        <w:rPr>
          <w:rFonts w:ascii="Times New Roman" w:eastAsia="Times New Roman" w:hAnsi="Times New Roman" w:cs="Times New Roman"/>
          <w:color w:val="000000"/>
          <w:sz w:val="24"/>
          <w:szCs w:val="24"/>
          <w:lang w:eastAsia="en-AU"/>
        </w:rPr>
        <w:t>by streamlining the visa assessment process</w:t>
      </w:r>
      <w:r>
        <w:rPr>
          <w:rFonts w:ascii="Times New Roman" w:eastAsia="Times New Roman" w:hAnsi="Times New Roman" w:cs="Times New Roman"/>
          <w:color w:val="000000"/>
          <w:sz w:val="24"/>
          <w:szCs w:val="24"/>
          <w:lang w:eastAsia="en-AU"/>
        </w:rPr>
        <w:t xml:space="preserve">. As a result </w:t>
      </w:r>
      <w:r>
        <w:rPr>
          <w:rFonts w:ascii="Times New Roman" w:eastAsia="Times New Roman" w:hAnsi="Times New Roman" w:cs="Times New Roman"/>
          <w:color w:val="000000"/>
          <w:sz w:val="24"/>
          <w:szCs w:val="24"/>
          <w:lang w:eastAsia="en-AU"/>
        </w:rPr>
        <w:lastRenderedPageBreak/>
        <w:t>it is expected to attract more overseas doctors to work in Australia and increase community access to doctors.</w:t>
      </w:r>
    </w:p>
    <w:p w14:paraId="701B3E66" w14:textId="77777777" w:rsidR="009A24CF" w:rsidRPr="005065DD"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6035BF4C" w14:textId="77777777" w:rsidR="009A24CF" w:rsidRDefault="009A24CF" w:rsidP="009A24CF">
      <w:pPr>
        <w:pStyle w:val="Heading3"/>
      </w:pPr>
      <w:r>
        <w:t>Human rights implications</w:t>
      </w:r>
    </w:p>
    <w:p w14:paraId="08F8A459"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In removing the requirement for foreign medical professionals who wish to work in Australia on a Subclass 482 or Subclass 494 visa to provide a HWC</w:t>
      </w:r>
      <w:r w:rsidRPr="00404D58">
        <w:rPr>
          <w:rFonts w:ascii="Times New Roman" w:eastAsia="Times New Roman" w:hAnsi="Times New Roman" w:cs="Times New Roman"/>
          <w:color w:val="000000"/>
          <w:sz w:val="24"/>
          <w:szCs w:val="24"/>
          <w:lang w:eastAsia="en-AU"/>
        </w:rPr>
        <w:t>, this measure may broadly promote the right to work in Article 6 of the</w:t>
      </w:r>
      <w:r>
        <w:rPr>
          <w:rFonts w:ascii="Times New Roman" w:eastAsia="Times New Roman" w:hAnsi="Times New Roman" w:cs="Times New Roman"/>
          <w:color w:val="000000"/>
          <w:sz w:val="24"/>
          <w:szCs w:val="24"/>
          <w:lang w:eastAsia="en-AU"/>
        </w:rPr>
        <w:t xml:space="preserve"> </w:t>
      </w:r>
      <w:r w:rsidRPr="00717D50">
        <w:rPr>
          <w:rFonts w:ascii="Times New Roman" w:eastAsia="Times New Roman" w:hAnsi="Times New Roman" w:cs="Times New Roman"/>
          <w:i/>
          <w:color w:val="000000"/>
          <w:sz w:val="24"/>
          <w:szCs w:val="24"/>
          <w:lang w:eastAsia="en-AU"/>
        </w:rPr>
        <w:t>International Covenant on Economic, Social and Cultural Rights</w:t>
      </w:r>
      <w:r>
        <w:rPr>
          <w:rFonts w:ascii="Times New Roman" w:eastAsia="Times New Roman" w:hAnsi="Times New Roman" w:cs="Times New Roman"/>
          <w:color w:val="000000"/>
          <w:sz w:val="24"/>
          <w:szCs w:val="24"/>
          <w:lang w:eastAsia="en-AU"/>
        </w:rPr>
        <w:t xml:space="preserve"> </w:t>
      </w:r>
      <w:r w:rsidRPr="00404D58">
        <w:rPr>
          <w:rFonts w:ascii="Times New Roman" w:eastAsia="Times New Roman" w:hAnsi="Times New Roman" w:cs="Times New Roman"/>
          <w:color w:val="000000"/>
          <w:sz w:val="24"/>
          <w:szCs w:val="24"/>
          <w:lang w:eastAsia="en-AU"/>
        </w:rPr>
        <w:t xml:space="preserve">(ICESCR) of those medical professionals, and the right to health in Article 12 of the ICESCR of the Australian community, by having such </w:t>
      </w:r>
      <w:r>
        <w:rPr>
          <w:rFonts w:ascii="Times New Roman" w:eastAsia="Times New Roman" w:hAnsi="Times New Roman" w:cs="Times New Roman"/>
          <w:color w:val="000000"/>
          <w:sz w:val="24"/>
          <w:szCs w:val="24"/>
          <w:lang w:eastAsia="en-AU"/>
        </w:rPr>
        <w:t>professionals</w:t>
      </w:r>
      <w:r w:rsidRPr="00404D58">
        <w:rPr>
          <w:rFonts w:ascii="Times New Roman" w:eastAsia="Times New Roman" w:hAnsi="Times New Roman" w:cs="Times New Roman"/>
          <w:color w:val="000000"/>
          <w:sz w:val="24"/>
          <w:szCs w:val="24"/>
          <w:lang w:eastAsia="en-AU"/>
        </w:rPr>
        <w:t xml:space="preserve"> commence </w:t>
      </w:r>
      <w:r>
        <w:rPr>
          <w:rFonts w:ascii="Times New Roman" w:eastAsia="Times New Roman" w:hAnsi="Times New Roman" w:cs="Times New Roman"/>
          <w:color w:val="000000"/>
          <w:sz w:val="24"/>
          <w:szCs w:val="24"/>
          <w:lang w:eastAsia="en-AU"/>
        </w:rPr>
        <w:t xml:space="preserve">work in Australia </w:t>
      </w:r>
      <w:r w:rsidRPr="00404D58">
        <w:rPr>
          <w:rFonts w:ascii="Times New Roman" w:eastAsia="Times New Roman" w:hAnsi="Times New Roman" w:cs="Times New Roman"/>
          <w:color w:val="000000"/>
          <w:sz w:val="24"/>
          <w:szCs w:val="24"/>
          <w:lang w:eastAsia="en-AU"/>
        </w:rPr>
        <w:t>as quickly as possible.</w:t>
      </w:r>
    </w:p>
    <w:p w14:paraId="45C5A6B9" w14:textId="77777777" w:rsidR="009A24CF"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4A99F07B" w14:textId="77777777" w:rsidR="009A24CF" w:rsidRPr="00216522"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measure may also positively</w:t>
      </w:r>
      <w:r w:rsidRPr="00216522">
        <w:rPr>
          <w:rFonts w:ascii="Times New Roman" w:eastAsia="Times New Roman" w:hAnsi="Times New Roman" w:cs="Times New Roman"/>
          <w:color w:val="000000"/>
          <w:sz w:val="24"/>
          <w:szCs w:val="24"/>
          <w:lang w:eastAsia="en-AU"/>
        </w:rPr>
        <w:t xml:space="preserve"> engage Article 12(1) of the </w:t>
      </w:r>
      <w:r w:rsidRPr="00717D50">
        <w:rPr>
          <w:rFonts w:ascii="Times New Roman" w:eastAsia="Times New Roman" w:hAnsi="Times New Roman" w:cs="Times New Roman"/>
          <w:i/>
          <w:color w:val="000000"/>
          <w:sz w:val="24"/>
          <w:szCs w:val="24"/>
          <w:lang w:eastAsia="en-AU"/>
        </w:rPr>
        <w:t>International Covenant on Civil and Political Rights</w:t>
      </w:r>
      <w:r>
        <w:rPr>
          <w:rFonts w:ascii="Times New Roman" w:eastAsia="Times New Roman" w:hAnsi="Times New Roman" w:cs="Times New Roman"/>
          <w:color w:val="000000"/>
          <w:sz w:val="24"/>
          <w:szCs w:val="24"/>
          <w:lang w:eastAsia="en-AU"/>
        </w:rPr>
        <w:t>, as it will allow medical professionals wishing to work in Australia on the relevant visas greater freedom to choose where they work and reside because their positions will no longer need to be in places of the greatest workforce shortages.</w:t>
      </w:r>
    </w:p>
    <w:p w14:paraId="0EAB8065" w14:textId="77777777" w:rsidR="009A24CF" w:rsidRPr="00216522"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p>
    <w:p w14:paraId="646950C5" w14:textId="77777777" w:rsidR="009A24CF" w:rsidRPr="00216522" w:rsidRDefault="009A24CF" w:rsidP="009A24CF">
      <w:pPr>
        <w:shd w:val="clear" w:color="auto" w:fill="FFFFFF"/>
        <w:spacing w:after="0" w:line="230" w:lineRule="atLeast"/>
        <w:ind w:left="-23"/>
        <w:rPr>
          <w:rFonts w:ascii="Times New Roman" w:eastAsia="Times New Roman" w:hAnsi="Times New Roman" w:cs="Times New Roman"/>
          <w:b/>
          <w:color w:val="000000"/>
          <w:sz w:val="24"/>
          <w:szCs w:val="24"/>
          <w:lang w:eastAsia="en-AU"/>
        </w:rPr>
      </w:pPr>
      <w:r w:rsidRPr="00216522">
        <w:rPr>
          <w:rFonts w:ascii="Times New Roman" w:eastAsia="Times New Roman" w:hAnsi="Times New Roman" w:cs="Times New Roman"/>
          <w:b/>
          <w:color w:val="000000"/>
          <w:sz w:val="24"/>
          <w:szCs w:val="24"/>
          <w:lang w:eastAsia="en-AU"/>
        </w:rPr>
        <w:t>Conclusion</w:t>
      </w:r>
    </w:p>
    <w:p w14:paraId="374C8A9B" w14:textId="77777777" w:rsidR="009A24CF" w:rsidRPr="00216522" w:rsidRDefault="009A24CF" w:rsidP="009A24CF">
      <w:pPr>
        <w:shd w:val="clear" w:color="auto" w:fill="FFFFFF"/>
        <w:spacing w:after="0" w:line="230" w:lineRule="atLeast"/>
        <w:ind w:left="-23"/>
        <w:rPr>
          <w:rFonts w:ascii="Times New Roman" w:eastAsia="Times New Roman" w:hAnsi="Times New Roman" w:cs="Times New Roman"/>
          <w:color w:val="000000"/>
          <w:sz w:val="24"/>
          <w:szCs w:val="24"/>
          <w:lang w:eastAsia="en-AU"/>
        </w:rPr>
      </w:pPr>
      <w:r w:rsidRPr="00216522">
        <w:rPr>
          <w:rFonts w:ascii="Times New Roman" w:eastAsia="Times New Roman" w:hAnsi="Times New Roman" w:cs="Times New Roman"/>
          <w:color w:val="000000"/>
          <w:sz w:val="24"/>
          <w:szCs w:val="24"/>
          <w:lang w:eastAsia="en-AU"/>
        </w:rPr>
        <w:t>This Disallowable Legislative Instrument is compatible with human rights.</w:t>
      </w:r>
    </w:p>
    <w:p w14:paraId="0E6E2B83" w14:textId="77777777" w:rsidR="009A24CF" w:rsidRDefault="009A24CF" w:rsidP="009A24CF">
      <w:pPr>
        <w:pStyle w:val="Header"/>
        <w:spacing w:line="240" w:lineRule="auto"/>
        <w:jc w:val="both"/>
        <w:rPr>
          <w:rFonts w:ascii="Times New Roman" w:hAnsi="Times New Roman"/>
          <w:color w:val="0070C0"/>
          <w:sz w:val="24"/>
          <w:szCs w:val="24"/>
        </w:rPr>
      </w:pPr>
    </w:p>
    <w:p w14:paraId="3387F3D8" w14:textId="77777777" w:rsidR="009A24CF" w:rsidRPr="00706D77" w:rsidRDefault="009A24CF" w:rsidP="009A24CF">
      <w:pPr>
        <w:pStyle w:val="Header"/>
        <w:spacing w:line="240" w:lineRule="auto"/>
        <w:jc w:val="center"/>
        <w:rPr>
          <w:rFonts w:ascii="Times New Roman" w:hAnsi="Times New Roman"/>
          <w:b/>
          <w:color w:val="0070C0"/>
          <w:sz w:val="24"/>
          <w:szCs w:val="24"/>
        </w:rPr>
      </w:pPr>
      <w:r>
        <w:rPr>
          <w:rFonts w:ascii="Times New Roman" w:hAnsi="Times New Roman"/>
          <w:b/>
          <w:color w:val="0070C0"/>
          <w:sz w:val="24"/>
          <w:szCs w:val="24"/>
        </w:rPr>
        <w:t xml:space="preserve">The Hon </w:t>
      </w:r>
      <w:r w:rsidRPr="00706D77">
        <w:rPr>
          <w:rFonts w:ascii="Times New Roman" w:hAnsi="Times New Roman"/>
          <w:b/>
          <w:color w:val="0070C0"/>
          <w:sz w:val="24"/>
          <w:szCs w:val="24"/>
        </w:rPr>
        <w:t>Andrew Giles</w:t>
      </w:r>
      <w:r>
        <w:rPr>
          <w:rFonts w:ascii="Times New Roman" w:hAnsi="Times New Roman"/>
          <w:b/>
          <w:color w:val="0070C0"/>
          <w:sz w:val="24"/>
          <w:szCs w:val="24"/>
        </w:rPr>
        <w:t xml:space="preserve"> MP</w:t>
      </w:r>
    </w:p>
    <w:p w14:paraId="01A2623D" w14:textId="77777777" w:rsidR="009A24CF" w:rsidRPr="00D9648B" w:rsidRDefault="009A24CF" w:rsidP="009A24CF">
      <w:pPr>
        <w:pStyle w:val="Header"/>
        <w:spacing w:line="240" w:lineRule="auto"/>
        <w:jc w:val="center"/>
        <w:rPr>
          <w:rFonts w:ascii="Times New Roman" w:hAnsi="Times New Roman"/>
          <w:b/>
          <w:sz w:val="24"/>
          <w:szCs w:val="24"/>
        </w:rPr>
      </w:pPr>
      <w:r w:rsidRPr="00706D77">
        <w:rPr>
          <w:rFonts w:ascii="Times New Roman" w:eastAsia="Times New Roman" w:hAnsi="Times New Roman"/>
          <w:b/>
          <w:color w:val="000000"/>
          <w:sz w:val="24"/>
          <w:szCs w:val="24"/>
          <w:lang w:eastAsia="en-AU"/>
        </w:rPr>
        <w:t>Minister for Immigration, Citizenship and Multicultural Affairs</w:t>
      </w:r>
    </w:p>
    <w:p w14:paraId="4D9F7D8D" w14:textId="77777777" w:rsidR="009A24CF" w:rsidRPr="00D9648B" w:rsidRDefault="009A24CF" w:rsidP="009A24CF">
      <w:pPr>
        <w:pStyle w:val="Header"/>
        <w:spacing w:line="240" w:lineRule="auto"/>
        <w:jc w:val="both"/>
        <w:rPr>
          <w:rFonts w:ascii="Times New Roman" w:hAnsi="Times New Roman"/>
          <w:sz w:val="24"/>
          <w:szCs w:val="24"/>
        </w:rPr>
      </w:pPr>
    </w:p>
    <w:p w14:paraId="437C04AA" w14:textId="2A51B6CB" w:rsidR="00915032" w:rsidRPr="00FB2CD9" w:rsidRDefault="00915032" w:rsidP="009A24CF">
      <w:pPr>
        <w:pStyle w:val="ESPara"/>
        <w:numPr>
          <w:ilvl w:val="0"/>
          <w:numId w:val="0"/>
        </w:numPr>
        <w:ind w:left="567" w:hanging="567"/>
      </w:pPr>
    </w:p>
    <w:sectPr w:rsidR="00915032" w:rsidRPr="00FB2CD9"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3AE9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F4"/>
    <w:rsid w:val="000016F1"/>
    <w:rsid w:val="00003C56"/>
    <w:rsid w:val="000152A5"/>
    <w:rsid w:val="000241F5"/>
    <w:rsid w:val="00036E4E"/>
    <w:rsid w:val="000A0D90"/>
    <w:rsid w:val="000A4B81"/>
    <w:rsid w:val="000B3B0A"/>
    <w:rsid w:val="000C6AD2"/>
    <w:rsid w:val="000D014F"/>
    <w:rsid w:val="000E4D51"/>
    <w:rsid w:val="00100DFC"/>
    <w:rsid w:val="00145DFF"/>
    <w:rsid w:val="001561B3"/>
    <w:rsid w:val="00157494"/>
    <w:rsid w:val="00160471"/>
    <w:rsid w:val="0018105E"/>
    <w:rsid w:val="0019164E"/>
    <w:rsid w:val="00193A50"/>
    <w:rsid w:val="001C3ADE"/>
    <w:rsid w:val="001E64D6"/>
    <w:rsid w:val="001F2EDF"/>
    <w:rsid w:val="002402E0"/>
    <w:rsid w:val="00245088"/>
    <w:rsid w:val="0025213E"/>
    <w:rsid w:val="00254DD8"/>
    <w:rsid w:val="002671A5"/>
    <w:rsid w:val="002A4406"/>
    <w:rsid w:val="002C7406"/>
    <w:rsid w:val="002D167E"/>
    <w:rsid w:val="002F29FB"/>
    <w:rsid w:val="00322F29"/>
    <w:rsid w:val="00340A30"/>
    <w:rsid w:val="003C3431"/>
    <w:rsid w:val="00425529"/>
    <w:rsid w:val="00431672"/>
    <w:rsid w:val="00433E8A"/>
    <w:rsid w:val="00434EC0"/>
    <w:rsid w:val="00457D4A"/>
    <w:rsid w:val="00464080"/>
    <w:rsid w:val="0048193B"/>
    <w:rsid w:val="004C3E75"/>
    <w:rsid w:val="004C6389"/>
    <w:rsid w:val="004F5CE4"/>
    <w:rsid w:val="005052C8"/>
    <w:rsid w:val="00506E09"/>
    <w:rsid w:val="00560B24"/>
    <w:rsid w:val="0056183C"/>
    <w:rsid w:val="0057002B"/>
    <w:rsid w:val="00572320"/>
    <w:rsid w:val="005859CD"/>
    <w:rsid w:val="005A3733"/>
    <w:rsid w:val="00604E06"/>
    <w:rsid w:val="00631C94"/>
    <w:rsid w:val="006A2EF4"/>
    <w:rsid w:val="006B1FA4"/>
    <w:rsid w:val="006B2394"/>
    <w:rsid w:val="006E5C2D"/>
    <w:rsid w:val="006F5953"/>
    <w:rsid w:val="007E4691"/>
    <w:rsid w:val="0087045D"/>
    <w:rsid w:val="00881A4F"/>
    <w:rsid w:val="0088407D"/>
    <w:rsid w:val="008912DA"/>
    <w:rsid w:val="008B24C8"/>
    <w:rsid w:val="008C540B"/>
    <w:rsid w:val="008D22CC"/>
    <w:rsid w:val="008F0B9C"/>
    <w:rsid w:val="00915032"/>
    <w:rsid w:val="00940F11"/>
    <w:rsid w:val="009474A6"/>
    <w:rsid w:val="00955589"/>
    <w:rsid w:val="009957E5"/>
    <w:rsid w:val="009A23DB"/>
    <w:rsid w:val="009A24CF"/>
    <w:rsid w:val="009B45CC"/>
    <w:rsid w:val="009D19B3"/>
    <w:rsid w:val="009E72FD"/>
    <w:rsid w:val="00A17475"/>
    <w:rsid w:val="00AA28D5"/>
    <w:rsid w:val="00AA4557"/>
    <w:rsid w:val="00AA4F77"/>
    <w:rsid w:val="00AE1FFD"/>
    <w:rsid w:val="00AE4178"/>
    <w:rsid w:val="00AF37D3"/>
    <w:rsid w:val="00B445D9"/>
    <w:rsid w:val="00B65A06"/>
    <w:rsid w:val="00B66EF4"/>
    <w:rsid w:val="00B75478"/>
    <w:rsid w:val="00B76C9C"/>
    <w:rsid w:val="00B90AFF"/>
    <w:rsid w:val="00BB0CF2"/>
    <w:rsid w:val="00BD598E"/>
    <w:rsid w:val="00BE36EE"/>
    <w:rsid w:val="00BE3E7F"/>
    <w:rsid w:val="00BE669F"/>
    <w:rsid w:val="00C22D90"/>
    <w:rsid w:val="00C43654"/>
    <w:rsid w:val="00C775CE"/>
    <w:rsid w:val="00C81A5E"/>
    <w:rsid w:val="00C85B62"/>
    <w:rsid w:val="00C930F2"/>
    <w:rsid w:val="00CC1492"/>
    <w:rsid w:val="00CD18F9"/>
    <w:rsid w:val="00CE536F"/>
    <w:rsid w:val="00D21EB0"/>
    <w:rsid w:val="00D33690"/>
    <w:rsid w:val="00D40E1E"/>
    <w:rsid w:val="00D9648B"/>
    <w:rsid w:val="00E03DCC"/>
    <w:rsid w:val="00E34516"/>
    <w:rsid w:val="00E40923"/>
    <w:rsid w:val="00E43315"/>
    <w:rsid w:val="00E45FE2"/>
    <w:rsid w:val="00E6179F"/>
    <w:rsid w:val="00E67AB0"/>
    <w:rsid w:val="00E72FC2"/>
    <w:rsid w:val="00EA12C9"/>
    <w:rsid w:val="00EB1971"/>
    <w:rsid w:val="00EB5902"/>
    <w:rsid w:val="00EB5B61"/>
    <w:rsid w:val="00EE27A0"/>
    <w:rsid w:val="00EF05E5"/>
    <w:rsid w:val="00F51685"/>
    <w:rsid w:val="00F648FE"/>
    <w:rsid w:val="00F65B33"/>
    <w:rsid w:val="00F701CA"/>
    <w:rsid w:val="00F94A1B"/>
    <w:rsid w:val="00FB2CD9"/>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881E"/>
  <w15:chartTrackingRefBased/>
  <w15:docId w15:val="{3BE5D819-F6A3-453C-8781-6A767BFC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A24C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9A24C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E67AB0"/>
    <w:rPr>
      <w:sz w:val="16"/>
      <w:szCs w:val="16"/>
    </w:rPr>
  </w:style>
  <w:style w:type="paragraph" w:styleId="CommentText">
    <w:name w:val="annotation text"/>
    <w:basedOn w:val="Normal"/>
    <w:link w:val="CommentTextChar"/>
    <w:uiPriority w:val="99"/>
    <w:semiHidden/>
    <w:unhideWhenUsed/>
    <w:rsid w:val="00E67AB0"/>
    <w:pPr>
      <w:spacing w:line="240" w:lineRule="auto"/>
    </w:pPr>
    <w:rPr>
      <w:sz w:val="20"/>
      <w:szCs w:val="20"/>
    </w:rPr>
  </w:style>
  <w:style w:type="character" w:customStyle="1" w:styleId="CommentTextChar">
    <w:name w:val="Comment Text Char"/>
    <w:basedOn w:val="DefaultParagraphFont"/>
    <w:link w:val="CommentText"/>
    <w:uiPriority w:val="99"/>
    <w:semiHidden/>
    <w:rsid w:val="00E67AB0"/>
    <w:rPr>
      <w:sz w:val="20"/>
      <w:szCs w:val="20"/>
    </w:rPr>
  </w:style>
  <w:style w:type="paragraph" w:styleId="CommentSubject">
    <w:name w:val="annotation subject"/>
    <w:basedOn w:val="CommentText"/>
    <w:next w:val="CommentText"/>
    <w:link w:val="CommentSubjectChar"/>
    <w:uiPriority w:val="99"/>
    <w:semiHidden/>
    <w:unhideWhenUsed/>
    <w:rsid w:val="00E67AB0"/>
    <w:rPr>
      <w:b/>
      <w:bCs/>
    </w:rPr>
  </w:style>
  <w:style w:type="character" w:customStyle="1" w:styleId="CommentSubjectChar">
    <w:name w:val="Comment Subject Char"/>
    <w:basedOn w:val="CommentTextChar"/>
    <w:link w:val="CommentSubject"/>
    <w:uiPriority w:val="99"/>
    <w:semiHidden/>
    <w:rsid w:val="00E67AB0"/>
    <w:rPr>
      <w:b/>
      <w:bCs/>
      <w:sz w:val="20"/>
      <w:szCs w:val="20"/>
    </w:rPr>
  </w:style>
  <w:style w:type="paragraph" w:styleId="BalloonText">
    <w:name w:val="Balloon Text"/>
    <w:basedOn w:val="Normal"/>
    <w:link w:val="BalloonTextChar"/>
    <w:uiPriority w:val="99"/>
    <w:semiHidden/>
    <w:unhideWhenUsed/>
    <w:rsid w:val="00E67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AB0"/>
    <w:rPr>
      <w:rFonts w:ascii="Segoe UI" w:hAnsi="Segoe UI" w:cs="Segoe UI"/>
      <w:sz w:val="18"/>
      <w:szCs w:val="18"/>
    </w:rPr>
  </w:style>
  <w:style w:type="character" w:customStyle="1" w:styleId="LDP1aChar">
    <w:name w:val="LDP1(a) Char"/>
    <w:link w:val="LDP1a"/>
    <w:locked/>
    <w:rsid w:val="006E5C2D"/>
    <w:rPr>
      <w:rFonts w:ascii="Times New Roman" w:eastAsia="Times New Roman" w:hAnsi="Times New Roman" w:cs="Times New Roman"/>
      <w:sz w:val="24"/>
      <w:szCs w:val="24"/>
    </w:rPr>
  </w:style>
  <w:style w:type="paragraph" w:customStyle="1" w:styleId="LDP1a">
    <w:name w:val="LDP1(a)"/>
    <w:link w:val="LDP1aChar"/>
    <w:rsid w:val="006E5C2D"/>
    <w:pPr>
      <w:tabs>
        <w:tab w:val="left" w:pos="1191"/>
      </w:tabs>
      <w:spacing w:before="60" w:after="60" w:line="240" w:lineRule="auto"/>
      <w:ind w:left="1191" w:hanging="454"/>
    </w:pPr>
    <w:rPr>
      <w:rFonts w:ascii="Times New Roman" w:eastAsia="Times New Roman" w:hAnsi="Times New Roman" w:cs="Times New Roman"/>
      <w:sz w:val="24"/>
      <w:szCs w:val="24"/>
    </w:rPr>
  </w:style>
  <w:style w:type="paragraph" w:styleId="ListBullet">
    <w:name w:val="List Bullet"/>
    <w:basedOn w:val="Normal"/>
    <w:uiPriority w:val="99"/>
    <w:unhideWhenUsed/>
    <w:rsid w:val="002A4406"/>
    <w:pPr>
      <w:numPr>
        <w:numId w:val="5"/>
      </w:numPr>
      <w:contextualSpacing/>
    </w:pPr>
  </w:style>
  <w:style w:type="character" w:customStyle="1" w:styleId="Heading2Char">
    <w:name w:val="Heading 2 Char"/>
    <w:basedOn w:val="DefaultParagraphFont"/>
    <w:link w:val="Heading2"/>
    <w:uiPriority w:val="9"/>
    <w:rsid w:val="009A24CF"/>
    <w:rPr>
      <w:rFonts w:ascii="Times New Roman" w:hAnsi="Times New Roman"/>
      <w:b/>
      <w:sz w:val="28"/>
      <w:szCs w:val="28"/>
    </w:rPr>
  </w:style>
  <w:style w:type="character" w:customStyle="1" w:styleId="Heading3Char">
    <w:name w:val="Heading 3 Char"/>
    <w:basedOn w:val="DefaultParagraphFont"/>
    <w:link w:val="Heading3"/>
    <w:uiPriority w:val="9"/>
    <w:rsid w:val="009A24CF"/>
    <w:rPr>
      <w:rFonts w:ascii="Times New Roman" w:hAnsi="Times New Roman"/>
      <w:b/>
      <w:sz w:val="24"/>
      <w:szCs w:val="24"/>
    </w:rPr>
  </w:style>
  <w:style w:type="paragraph" w:styleId="Header">
    <w:name w:val="header"/>
    <w:basedOn w:val="Normal"/>
    <w:link w:val="HeaderChar"/>
    <w:uiPriority w:val="99"/>
    <w:unhideWhenUsed/>
    <w:rsid w:val="009A24CF"/>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A24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007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2028-FF9A-467C-ACD7-ACD05A50A4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3B410AA6-4A8A-48BA-A14E-B744594CDA71"/>
    <ds:schemaRef ds:uri="http://www.w3.org/XML/1998/namespace"/>
  </ds:schemaRefs>
</ds:datastoreItem>
</file>

<file path=customXml/itemProps2.xml><?xml version="1.0" encoding="utf-8"?>
<ds:datastoreItem xmlns:ds="http://schemas.openxmlformats.org/officeDocument/2006/customXml" ds:itemID="{3138FEA9-3978-4375-889C-CD9AF62501A1}">
  <ds:schemaRefs>
    <ds:schemaRef ds:uri="http://schemas.microsoft.com/sharepoint/v3/contenttype/forms"/>
  </ds:schemaRefs>
</ds:datastoreItem>
</file>

<file path=customXml/itemProps3.xml><?xml version="1.0" encoding="utf-8"?>
<ds:datastoreItem xmlns:ds="http://schemas.openxmlformats.org/officeDocument/2006/customXml" ds:itemID="{AE54C19C-A6F9-4825-88F0-110720479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1B71D-827E-4661-9A51-AF937EDE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SUA</dc:creator>
  <cp:keywords/>
  <dc:description/>
  <cp:lastModifiedBy>Mariana LEE</cp:lastModifiedBy>
  <cp:revision>2</cp:revision>
  <dcterms:created xsi:type="dcterms:W3CDTF">2023-09-13T06:38:00Z</dcterms:created>
  <dcterms:modified xsi:type="dcterms:W3CDTF">2023-09-13T06:38:00Z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