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FCDD" w14:textId="762747FF" w:rsidR="00BB53B5" w:rsidRDefault="00DB3EC9" w:rsidP="00C11C8E">
      <w:pPr>
        <w:spacing w:before="280" w:after="240"/>
        <w:rPr>
          <w:b/>
          <w:sz w:val="32"/>
          <w:szCs w:val="32"/>
        </w:rPr>
      </w:pPr>
      <w:r>
        <w:rPr>
          <w:b/>
          <w:sz w:val="32"/>
          <w:szCs w:val="32"/>
        </w:rPr>
        <w:t xml:space="preserve"> </w:t>
      </w:r>
    </w:p>
    <w:p w14:paraId="2703F47B" w14:textId="113D2351" w:rsidR="00C11C8E" w:rsidRPr="001A231A" w:rsidRDefault="00C11C8E" w:rsidP="00C11C8E">
      <w:pPr>
        <w:spacing w:before="280" w:after="240"/>
        <w:rPr>
          <w:b/>
          <w:sz w:val="32"/>
          <w:szCs w:val="32"/>
        </w:rPr>
      </w:pPr>
      <w:r w:rsidRPr="001A231A">
        <w:rPr>
          <w:noProof/>
        </w:rPr>
        <w:drawing>
          <wp:anchor distT="0" distB="0" distL="114300" distR="114300" simplePos="0" relativeHeight="251658240" behindDoc="0" locked="0" layoutInCell="1" allowOverlap="1" wp14:anchorId="231A2B3D" wp14:editId="2E469234">
            <wp:simplePos x="0" y="0"/>
            <wp:positionH relativeFrom="margin">
              <wp:align>center</wp:align>
            </wp:positionH>
            <wp:positionV relativeFrom="margin">
              <wp:align>top</wp:align>
            </wp:positionV>
            <wp:extent cx="3542030" cy="746760"/>
            <wp:effectExtent l="0" t="0" r="1270" b="0"/>
            <wp:wrapSquare wrapText="bothSides"/>
            <wp:docPr id="1" name="Picture 1"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Securities and Investments Commission logo and 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DC6ECBF" w14:textId="77777777" w:rsidR="00C11C8E" w:rsidRPr="001A231A" w:rsidRDefault="00C11C8E" w:rsidP="00C11C8E">
      <w:pPr>
        <w:pStyle w:val="LI-Title"/>
        <w:pBdr>
          <w:top w:val="none" w:sz="0" w:space="0" w:color="auto"/>
        </w:pBdr>
        <w:jc w:val="center"/>
      </w:pPr>
    </w:p>
    <w:p w14:paraId="337541F7" w14:textId="77777777" w:rsidR="00C11C8E" w:rsidRPr="001A231A" w:rsidRDefault="00C11C8E" w:rsidP="00C11C8E">
      <w:pPr>
        <w:pStyle w:val="LI-Title"/>
        <w:pBdr>
          <w:top w:val="none" w:sz="0" w:space="0" w:color="auto"/>
        </w:pBdr>
        <w:jc w:val="center"/>
      </w:pPr>
      <w:r w:rsidRPr="001A231A">
        <w:t>Explanatory Statement</w:t>
      </w:r>
    </w:p>
    <w:p w14:paraId="34706DC2" w14:textId="77777777" w:rsidR="00C11C8E" w:rsidRPr="001A231A" w:rsidRDefault="00C11C8E" w:rsidP="00C11C8E">
      <w:pPr>
        <w:rPr>
          <w:lang w:eastAsia="en-AU"/>
        </w:rPr>
      </w:pPr>
    </w:p>
    <w:p w14:paraId="582F7AD3" w14:textId="01928CBB" w:rsidR="00C11C8E" w:rsidRPr="001A231A" w:rsidRDefault="00306FE9" w:rsidP="00C11C8E">
      <w:pPr>
        <w:jc w:val="center"/>
        <w:rPr>
          <w:b/>
          <w:i/>
          <w:sz w:val="28"/>
          <w:szCs w:val="28"/>
          <w:lang w:eastAsia="en-AU"/>
        </w:rPr>
      </w:pPr>
      <w:r w:rsidRPr="001A231A">
        <w:rPr>
          <w:b/>
          <w:i/>
          <w:iCs/>
          <w:sz w:val="28"/>
          <w:szCs w:val="28"/>
          <w:lang w:eastAsia="en-AU"/>
        </w:rPr>
        <w:t>ASIC Derivative Transaction Rules (Clearing) Amendment Instrument 202</w:t>
      </w:r>
      <w:r w:rsidR="00D73E19" w:rsidRPr="001A231A">
        <w:rPr>
          <w:b/>
          <w:i/>
          <w:iCs/>
          <w:sz w:val="28"/>
          <w:szCs w:val="28"/>
          <w:lang w:eastAsia="en-AU"/>
        </w:rPr>
        <w:t>3</w:t>
      </w:r>
      <w:r w:rsidRPr="001A231A">
        <w:rPr>
          <w:b/>
          <w:i/>
          <w:iCs/>
          <w:sz w:val="28"/>
          <w:szCs w:val="28"/>
          <w:lang w:eastAsia="en-AU"/>
        </w:rPr>
        <w:t>/</w:t>
      </w:r>
      <w:r w:rsidR="00AF2931" w:rsidRPr="001A231A">
        <w:rPr>
          <w:b/>
          <w:i/>
          <w:iCs/>
          <w:sz w:val="28"/>
          <w:szCs w:val="28"/>
          <w:lang w:eastAsia="en-AU"/>
        </w:rPr>
        <w:t>726</w:t>
      </w:r>
    </w:p>
    <w:p w14:paraId="3087D834" w14:textId="66C3C390" w:rsidR="00C11C8E" w:rsidRPr="001A231A" w:rsidRDefault="00C11C8E" w:rsidP="00C11C8E">
      <w:pPr>
        <w:pStyle w:val="LI-BodyTextParaa"/>
        <w:ind w:left="0" w:firstLine="0"/>
      </w:pPr>
      <w:bookmarkStart w:id="0" w:name="BK_S3P1L1C1"/>
      <w:bookmarkEnd w:id="0"/>
      <w:r w:rsidRPr="001A231A">
        <w:t>This is the Explanatory Statement for</w:t>
      </w:r>
      <w:r w:rsidR="00306FE9" w:rsidRPr="001A231A">
        <w:t xml:space="preserve"> </w:t>
      </w:r>
      <w:r w:rsidR="00306FE9" w:rsidRPr="001A231A">
        <w:rPr>
          <w:i/>
          <w:iCs/>
        </w:rPr>
        <w:t>ASIC Derivative Transaction Rules (Clearing) Amendment Instrument 202</w:t>
      </w:r>
      <w:r w:rsidR="00681611" w:rsidRPr="001A231A">
        <w:rPr>
          <w:i/>
          <w:iCs/>
        </w:rPr>
        <w:t>3</w:t>
      </w:r>
      <w:r w:rsidR="00306FE9" w:rsidRPr="001A231A">
        <w:rPr>
          <w:i/>
          <w:iCs/>
        </w:rPr>
        <w:t>/</w:t>
      </w:r>
      <w:r w:rsidR="00AF2931" w:rsidRPr="001A231A">
        <w:rPr>
          <w:i/>
          <w:iCs/>
        </w:rPr>
        <w:t>726</w:t>
      </w:r>
      <w:r w:rsidR="00031979" w:rsidRPr="001A231A">
        <w:rPr>
          <w:i/>
          <w:iCs/>
        </w:rPr>
        <w:t xml:space="preserve"> </w:t>
      </w:r>
      <w:r w:rsidR="00B72546" w:rsidRPr="001A231A">
        <w:t xml:space="preserve">(the </w:t>
      </w:r>
      <w:r w:rsidR="00B72546" w:rsidRPr="001A231A">
        <w:rPr>
          <w:b/>
          <w:bCs/>
        </w:rPr>
        <w:t>Instrument</w:t>
      </w:r>
      <w:r w:rsidR="00B72546" w:rsidRPr="001A231A">
        <w:t>)</w:t>
      </w:r>
      <w:r w:rsidRPr="001A231A">
        <w:t>.</w:t>
      </w:r>
    </w:p>
    <w:p w14:paraId="667E1DC7" w14:textId="719182AE" w:rsidR="00C11C8E" w:rsidRPr="001A231A" w:rsidRDefault="00C11C8E" w:rsidP="00C11C8E">
      <w:pPr>
        <w:pStyle w:val="LI-BodyTextParaa"/>
        <w:ind w:left="0" w:firstLine="0"/>
      </w:pPr>
      <w:r w:rsidRPr="001A231A">
        <w:t>The Explanatory Statement is approved by the Australian Securities and Investments Commission (</w:t>
      </w:r>
      <w:r w:rsidRPr="001A231A">
        <w:rPr>
          <w:b/>
          <w:iCs/>
        </w:rPr>
        <w:t>ASIC</w:t>
      </w:r>
      <w:r w:rsidRPr="001A231A">
        <w:t>).</w:t>
      </w:r>
    </w:p>
    <w:p w14:paraId="764F489D" w14:textId="1E5E5E1A" w:rsidR="00536EEE" w:rsidRPr="001A231A" w:rsidRDefault="00536EEE" w:rsidP="00C11C8E">
      <w:pPr>
        <w:pStyle w:val="LI-BodyTextParaa"/>
        <w:ind w:left="0" w:firstLine="0"/>
      </w:pPr>
      <w:r w:rsidRPr="001A231A">
        <w:rPr>
          <w:b/>
          <w:bCs/>
        </w:rPr>
        <w:t>Glossary</w:t>
      </w:r>
      <w:r w:rsidRPr="001A231A">
        <w:t xml:space="preserve"> </w:t>
      </w:r>
    </w:p>
    <w:p w14:paraId="254CD301" w14:textId="4C02FC3F" w:rsidR="00536EEE" w:rsidRPr="001A231A" w:rsidRDefault="00536EEE" w:rsidP="00C11C8E">
      <w:pPr>
        <w:pStyle w:val="LI-BodyTextParaa"/>
        <w:ind w:left="0" w:firstLine="0"/>
      </w:pPr>
      <w:r w:rsidRPr="001A231A">
        <w:t xml:space="preserve">The following definition </w:t>
      </w:r>
      <w:r w:rsidR="00A108BA" w:rsidRPr="001A231A">
        <w:t xml:space="preserve">is </w:t>
      </w:r>
      <w:r w:rsidRPr="001A231A">
        <w:t>used</w:t>
      </w:r>
      <w:r w:rsidR="0082293A" w:rsidRPr="001A231A">
        <w:t xml:space="preserve"> in the Instrument</w:t>
      </w:r>
      <w:r w:rsidRPr="001A231A">
        <w:t>:</w:t>
      </w:r>
    </w:p>
    <w:p w14:paraId="6553B681" w14:textId="547066DE" w:rsidR="00083437" w:rsidRPr="001A231A" w:rsidRDefault="00CC4114" w:rsidP="00536EEE">
      <w:pPr>
        <w:pStyle w:val="LI-BodyTextNumbered"/>
      </w:pPr>
      <w:proofErr w:type="spellStart"/>
      <w:r w:rsidRPr="001A231A">
        <w:rPr>
          <w:b/>
          <w:bCs/>
          <w:i/>
          <w:iCs/>
        </w:rPr>
        <w:t>SOFR</w:t>
      </w:r>
      <w:proofErr w:type="spellEnd"/>
      <w:r w:rsidRPr="001A231A">
        <w:rPr>
          <w:b/>
          <w:bCs/>
          <w:i/>
          <w:iCs/>
        </w:rPr>
        <w:t xml:space="preserve"> </w:t>
      </w:r>
      <w:r w:rsidRPr="001A231A">
        <w:t>means Secured Overnight Financing Rate</w:t>
      </w:r>
    </w:p>
    <w:p w14:paraId="0F4941CC" w14:textId="77777777" w:rsidR="00C11C8E" w:rsidRPr="001A231A" w:rsidRDefault="00C11C8E" w:rsidP="00C11C8E">
      <w:pPr>
        <w:pStyle w:val="LI-BodyTextNumbered"/>
        <w:ind w:left="0" w:firstLine="0"/>
        <w:rPr>
          <w:b/>
        </w:rPr>
      </w:pPr>
      <w:r w:rsidRPr="001A231A">
        <w:rPr>
          <w:b/>
        </w:rPr>
        <w:t>Summary</w:t>
      </w:r>
    </w:p>
    <w:p w14:paraId="582541E3" w14:textId="7C5A42D8" w:rsidR="0082293A" w:rsidRDefault="0082293A" w:rsidP="0082293A">
      <w:pPr>
        <w:pStyle w:val="LI-BodyTextParaa"/>
        <w:numPr>
          <w:ilvl w:val="0"/>
          <w:numId w:val="1"/>
        </w:numPr>
      </w:pPr>
      <w:bookmarkStart w:id="1" w:name="_Hlk94880469"/>
      <w:r w:rsidRPr="001A231A">
        <w:t>Since the global financial crisis, global regulators and industry have undertaken work to strengthen confidence in interest rate benchmarks and identify alternatives based</w:t>
      </w:r>
      <w:r>
        <w:t xml:space="preserve"> on near risk-free rates (</w:t>
      </w:r>
      <w:proofErr w:type="spellStart"/>
      <w:r w:rsidRPr="00BF2395">
        <w:rPr>
          <w:b/>
          <w:bCs/>
        </w:rPr>
        <w:t>RFRs</w:t>
      </w:r>
      <w:proofErr w:type="spellEnd"/>
      <w:r>
        <w:t xml:space="preserve">). This transition </w:t>
      </w:r>
      <w:r w:rsidR="0040072F">
        <w:t xml:space="preserve">has </w:t>
      </w:r>
      <w:r>
        <w:t>necessitate</w:t>
      </w:r>
      <w:r w:rsidR="0040072F">
        <w:t>d</w:t>
      </w:r>
      <w:r>
        <w:t xml:space="preserve"> updates to the </w:t>
      </w:r>
      <w:r>
        <w:rPr>
          <w:i/>
          <w:iCs/>
        </w:rPr>
        <w:t>ASIC Derivative Transaction Rules (Clearing) 2015</w:t>
      </w:r>
      <w:r>
        <w:t xml:space="preserve"> (the </w:t>
      </w:r>
      <w:r w:rsidRPr="00EF6214">
        <w:rPr>
          <w:b/>
          <w:bCs/>
        </w:rPr>
        <w:t>Rules</w:t>
      </w:r>
      <w:r>
        <w:t>) to</w:t>
      </w:r>
      <w:r w:rsidR="00487120">
        <w:t xml:space="preserve"> </w:t>
      </w:r>
      <w:r>
        <w:t xml:space="preserve">reflect these market developments and ensure that Australia continues to meet its international </w:t>
      </w:r>
      <w:r w:rsidR="00A80A89">
        <w:t>commitments</w:t>
      </w:r>
      <w:r>
        <w:t>.</w:t>
      </w:r>
    </w:p>
    <w:bookmarkEnd w:id="1"/>
    <w:p w14:paraId="1262B8D7" w14:textId="1294D79A" w:rsidR="00736234" w:rsidRPr="00DF42D3" w:rsidRDefault="00487120" w:rsidP="00AE37FB">
      <w:pPr>
        <w:pStyle w:val="LI-BodyTextParaa"/>
        <w:numPr>
          <w:ilvl w:val="0"/>
          <w:numId w:val="1"/>
        </w:numPr>
      </w:pPr>
      <w:r w:rsidRPr="000B5DE0">
        <w:t xml:space="preserve">The </w:t>
      </w:r>
      <w:r w:rsidR="00360AEE">
        <w:t>I</w:t>
      </w:r>
      <w:r w:rsidRPr="000B5DE0">
        <w:t xml:space="preserve">nstrument makes consequential amendments to the Rules by removing </w:t>
      </w:r>
      <w:r w:rsidR="0051010F">
        <w:t>products</w:t>
      </w:r>
      <w:r w:rsidR="00FB5570">
        <w:t xml:space="preserve"> referencing </w:t>
      </w:r>
      <w:r w:rsidR="009338AD">
        <w:t xml:space="preserve">the London Interbank Offered Rate </w:t>
      </w:r>
      <w:r w:rsidR="009500FE">
        <w:t>for US dollars</w:t>
      </w:r>
      <w:r w:rsidR="009338AD">
        <w:t xml:space="preserve"> (</w:t>
      </w:r>
      <w:r w:rsidR="009500FE">
        <w:rPr>
          <w:b/>
          <w:bCs/>
        </w:rPr>
        <w:t xml:space="preserve">USD </w:t>
      </w:r>
      <w:r w:rsidR="00783028">
        <w:rPr>
          <w:b/>
          <w:bCs/>
        </w:rPr>
        <w:t>LIBOR</w:t>
      </w:r>
      <w:r w:rsidR="00783028">
        <w:t>)</w:t>
      </w:r>
      <w:r w:rsidR="00F71C2F">
        <w:t xml:space="preserve"> </w:t>
      </w:r>
      <w:r w:rsidRPr="000B5DE0">
        <w:t>from the definition of a Clearing Derivative in Rule 1.2.3 of the Rules</w:t>
      </w:r>
      <w:r w:rsidR="00783028">
        <w:t xml:space="preserve"> and </w:t>
      </w:r>
      <w:r w:rsidR="00812070">
        <w:t>replacing these with</w:t>
      </w:r>
      <w:r w:rsidR="00FD4AFE">
        <w:t xml:space="preserve"> </w:t>
      </w:r>
      <w:r w:rsidR="002A7276">
        <w:t>a new</w:t>
      </w:r>
      <w:r w:rsidR="008B1E75">
        <w:t xml:space="preserve"> </w:t>
      </w:r>
      <w:r w:rsidR="00FD4AFE">
        <w:t>item in</w:t>
      </w:r>
      <w:r w:rsidR="00D02B6B">
        <w:t xml:space="preserve"> </w:t>
      </w:r>
      <w:r w:rsidR="00FD4AFE">
        <w:t>the</w:t>
      </w:r>
      <w:r w:rsidR="007F121F">
        <w:t xml:space="preserve"> </w:t>
      </w:r>
      <w:r w:rsidR="002C2B74">
        <w:t>Overnight Index Swaps</w:t>
      </w:r>
      <w:r w:rsidR="00EF7438" w:rsidRPr="000B5DE0">
        <w:t xml:space="preserve"> </w:t>
      </w:r>
      <w:r w:rsidR="00331CCA">
        <w:t>(</w:t>
      </w:r>
      <w:r w:rsidR="00331CCA">
        <w:rPr>
          <w:b/>
          <w:bCs/>
        </w:rPr>
        <w:t>OIS</w:t>
      </w:r>
      <w:r w:rsidR="00331CCA">
        <w:t xml:space="preserve">) </w:t>
      </w:r>
      <w:r w:rsidR="00FD4AFE">
        <w:t xml:space="preserve">class </w:t>
      </w:r>
      <w:r w:rsidRPr="000B5DE0">
        <w:t xml:space="preserve">referencing </w:t>
      </w:r>
      <w:r w:rsidR="00360AEE">
        <w:t xml:space="preserve">the </w:t>
      </w:r>
      <w:r w:rsidR="005F31B6">
        <w:t>S</w:t>
      </w:r>
      <w:r w:rsidR="002B62CE">
        <w:t xml:space="preserve">ecured </w:t>
      </w:r>
      <w:r w:rsidR="005F31B6">
        <w:t>O</w:t>
      </w:r>
      <w:r w:rsidR="002B62CE">
        <w:t xml:space="preserve">vernight </w:t>
      </w:r>
      <w:r w:rsidR="005F31B6">
        <w:t>F</w:t>
      </w:r>
      <w:r w:rsidR="002B62CE">
        <w:t xml:space="preserve">inancing </w:t>
      </w:r>
      <w:r w:rsidR="005F31B6">
        <w:t>R</w:t>
      </w:r>
      <w:r w:rsidR="002B62CE">
        <w:t>ate (</w:t>
      </w:r>
      <w:proofErr w:type="spellStart"/>
      <w:r w:rsidR="008D3914" w:rsidRPr="00611DA5">
        <w:rPr>
          <w:b/>
        </w:rPr>
        <w:t>SOFR</w:t>
      </w:r>
      <w:proofErr w:type="spellEnd"/>
      <w:r w:rsidR="002B62CE">
        <w:t>)</w:t>
      </w:r>
      <w:r w:rsidRPr="00DF42D3">
        <w:t>.</w:t>
      </w:r>
    </w:p>
    <w:p w14:paraId="2EF2EF90" w14:textId="553ADC8E" w:rsidR="00404B94" w:rsidRPr="00DF42D3" w:rsidRDefault="00F406F3" w:rsidP="004C7479">
      <w:pPr>
        <w:pStyle w:val="LI-BodyTextParaa"/>
        <w:numPr>
          <w:ilvl w:val="0"/>
          <w:numId w:val="1"/>
        </w:numPr>
      </w:pPr>
      <w:r>
        <w:t xml:space="preserve">The Instrument also makes </w:t>
      </w:r>
      <w:r w:rsidR="000743FF">
        <w:t>one</w:t>
      </w:r>
      <w:r w:rsidR="003967F0">
        <w:t xml:space="preserve"> </w:t>
      </w:r>
      <w:r>
        <w:t xml:space="preserve">unrelated </w:t>
      </w:r>
      <w:r w:rsidR="009B245D">
        <w:t xml:space="preserve">amendment </w:t>
      </w:r>
      <w:r w:rsidR="003967F0">
        <w:t>by removing</w:t>
      </w:r>
      <w:r w:rsidR="009479E5">
        <w:t xml:space="preserve"> </w:t>
      </w:r>
      <w:r w:rsidR="0035069A">
        <w:t xml:space="preserve">contracts denominated in </w:t>
      </w:r>
      <w:r w:rsidR="00823541">
        <w:t>Australian dollar</w:t>
      </w:r>
      <w:r w:rsidR="0035069A">
        <w:t>s</w:t>
      </w:r>
      <w:r w:rsidR="00823541">
        <w:t xml:space="preserve"> </w:t>
      </w:r>
      <w:r w:rsidR="00FD022F">
        <w:t>in</w:t>
      </w:r>
      <w:r w:rsidR="0014147F">
        <w:t xml:space="preserve"> the </w:t>
      </w:r>
      <w:r w:rsidR="002B1733">
        <w:t>F</w:t>
      </w:r>
      <w:r w:rsidR="000F3DF9">
        <w:t xml:space="preserve">orward </w:t>
      </w:r>
      <w:r w:rsidR="002B1733">
        <w:t>R</w:t>
      </w:r>
      <w:r w:rsidR="000F3DF9">
        <w:t xml:space="preserve">ate </w:t>
      </w:r>
      <w:r w:rsidR="002B1733">
        <w:t>A</w:t>
      </w:r>
      <w:r w:rsidR="000F3DF9">
        <w:t xml:space="preserve">greements </w:t>
      </w:r>
      <w:r w:rsidR="0035069A">
        <w:t>class</w:t>
      </w:r>
      <w:r w:rsidR="008D0BD7">
        <w:t xml:space="preserve"> (</w:t>
      </w:r>
      <w:r w:rsidR="008D0BD7">
        <w:rPr>
          <w:b/>
          <w:bCs/>
        </w:rPr>
        <w:t xml:space="preserve">AUD </w:t>
      </w:r>
      <w:proofErr w:type="spellStart"/>
      <w:r w:rsidR="008D0BD7">
        <w:rPr>
          <w:b/>
          <w:bCs/>
        </w:rPr>
        <w:t>FRAs</w:t>
      </w:r>
      <w:proofErr w:type="spellEnd"/>
      <w:r w:rsidR="008D0BD7">
        <w:t>)</w:t>
      </w:r>
      <w:r w:rsidR="00FD022F">
        <w:t xml:space="preserve"> </w:t>
      </w:r>
      <w:r w:rsidR="00FD022F" w:rsidRPr="00DF42D3">
        <w:t>from the definition of a Clearing Derivative in Rule 1.2.3 of the Rules</w:t>
      </w:r>
      <w:r w:rsidR="001728DF" w:rsidRPr="00DF42D3">
        <w:t>. Th</w:t>
      </w:r>
      <w:r w:rsidR="005558E4">
        <w:t>e purpose of this amendment is to formalise an existing exemption arrangement</w:t>
      </w:r>
      <w:r w:rsidR="005558E4" w:rsidRPr="00DF42D3" w:rsidDel="005558E4">
        <w:t xml:space="preserve"> </w:t>
      </w:r>
      <w:r w:rsidR="005A5007">
        <w:t>that is in place because</w:t>
      </w:r>
      <w:r w:rsidR="00842C7D">
        <w:t xml:space="preserve"> these products have never become suitable for mandatory central clearing</w:t>
      </w:r>
      <w:r w:rsidR="00234817">
        <w:t xml:space="preserve"> as was expected at the time the Rules were </w:t>
      </w:r>
      <w:r w:rsidR="00E81B9A">
        <w:t xml:space="preserve">originally </w:t>
      </w:r>
      <w:r w:rsidR="00234817">
        <w:t>made</w:t>
      </w:r>
      <w:r w:rsidR="00F65681">
        <w:t xml:space="preserve">, despite </w:t>
      </w:r>
      <w:r w:rsidR="00DB726D">
        <w:t xml:space="preserve">the </w:t>
      </w:r>
      <w:r w:rsidR="00302469">
        <w:t>passage of time</w:t>
      </w:r>
      <w:r w:rsidR="0048617C" w:rsidRPr="00DF42D3">
        <w:t>.</w:t>
      </w:r>
    </w:p>
    <w:p w14:paraId="152B2F29" w14:textId="5E65B0CF" w:rsidR="001B05E0" w:rsidRDefault="00067BF4" w:rsidP="00BF2395">
      <w:pPr>
        <w:pStyle w:val="LI-BodyTextParaa"/>
        <w:numPr>
          <w:ilvl w:val="0"/>
          <w:numId w:val="1"/>
        </w:numPr>
      </w:pPr>
      <w:r w:rsidRPr="00DF42D3">
        <w:t>Unless explained otherwise, capitalised terms in this Explanatory</w:t>
      </w:r>
      <w:r>
        <w:t xml:space="preserve"> Statement have the meaning given by the</w:t>
      </w:r>
      <w:r w:rsidR="0082293A">
        <w:t xml:space="preserve"> Rules</w:t>
      </w:r>
      <w:r w:rsidR="001B05E0">
        <w:t>.</w:t>
      </w:r>
    </w:p>
    <w:p w14:paraId="7D634616" w14:textId="77777777" w:rsidR="00C11C8E" w:rsidRDefault="00C11C8E" w:rsidP="00C11C8E">
      <w:pPr>
        <w:pStyle w:val="LI-BodyTextNumbered"/>
        <w:ind w:hanging="1134"/>
        <w:rPr>
          <w:b/>
        </w:rPr>
      </w:pPr>
      <w:r>
        <w:rPr>
          <w:b/>
        </w:rPr>
        <w:lastRenderedPageBreak/>
        <w:t>Purpose of the instrument</w:t>
      </w:r>
    </w:p>
    <w:p w14:paraId="3D2F2DED" w14:textId="3AE74664" w:rsidR="00231A05" w:rsidRDefault="00231A05" w:rsidP="00BF2395">
      <w:pPr>
        <w:pStyle w:val="LI-BodyTextParaa"/>
        <w:numPr>
          <w:ilvl w:val="0"/>
          <w:numId w:val="1"/>
        </w:numPr>
      </w:pPr>
      <w:r>
        <w:t xml:space="preserve">In 2009, the Leaders of the </w:t>
      </w:r>
      <w:r w:rsidR="00E33848">
        <w:t>Group of Twenty Nations (</w:t>
      </w:r>
      <w:r w:rsidRPr="00611DA5">
        <w:rPr>
          <w:b/>
          <w:bCs/>
        </w:rPr>
        <w:t>G20</w:t>
      </w:r>
      <w:r w:rsidR="00E33848">
        <w:t>)</w:t>
      </w:r>
      <w:r>
        <w:t xml:space="preserve">, including Australia, committed to reforming </w:t>
      </w:r>
      <w:proofErr w:type="gramStart"/>
      <w:r w:rsidR="002954EE">
        <w:t>over-the-counter</w:t>
      </w:r>
      <w:proofErr w:type="gramEnd"/>
      <w:r w:rsidR="002954EE">
        <w:t xml:space="preserve"> (</w:t>
      </w:r>
      <w:r w:rsidR="00F40CC8" w:rsidRPr="00611DA5">
        <w:rPr>
          <w:b/>
          <w:bCs/>
        </w:rPr>
        <w:t>OTC</w:t>
      </w:r>
      <w:r w:rsidR="002954EE">
        <w:t>)</w:t>
      </w:r>
      <w:r>
        <w:t xml:space="preserve"> derivatives markets. One of the key commitments was to require all standardised OTC derivative transactions to be cleared through </w:t>
      </w:r>
      <w:r w:rsidR="009F6525">
        <w:t>central counterparties (</w:t>
      </w:r>
      <w:proofErr w:type="spellStart"/>
      <w:r w:rsidRPr="00611DA5">
        <w:rPr>
          <w:b/>
          <w:bCs/>
        </w:rPr>
        <w:t>CCPs</w:t>
      </w:r>
      <w:proofErr w:type="spellEnd"/>
      <w:r w:rsidR="009F6525">
        <w:t>)</w:t>
      </w:r>
      <w:r>
        <w:t>. The Rules implement this G20 commitment in Australia.</w:t>
      </w:r>
    </w:p>
    <w:p w14:paraId="27450C23" w14:textId="7BF743D5" w:rsidR="00FE0B37" w:rsidRDefault="00FE0B37" w:rsidP="00FE0B37">
      <w:pPr>
        <w:pStyle w:val="LI-BodyTextParaa"/>
        <w:numPr>
          <w:ilvl w:val="0"/>
          <w:numId w:val="1"/>
        </w:numPr>
      </w:pPr>
      <w:r>
        <w:t>In 20</w:t>
      </w:r>
      <w:r w:rsidR="00D37BA3">
        <w:t>1</w:t>
      </w:r>
      <w:r>
        <w:t xml:space="preserve">5, the Minister </w:t>
      </w:r>
      <w:proofErr w:type="gramStart"/>
      <w:r>
        <w:t>made a determination</w:t>
      </w:r>
      <w:proofErr w:type="gramEnd"/>
      <w:r>
        <w:t xml:space="preserve"> under section 901B of the </w:t>
      </w:r>
      <w:r w:rsidRPr="00611DA5">
        <w:rPr>
          <w:i/>
          <w:iCs/>
        </w:rPr>
        <w:t xml:space="preserve">Corporations Act </w:t>
      </w:r>
      <w:r w:rsidR="00EF207E" w:rsidRPr="00611DA5">
        <w:rPr>
          <w:i/>
          <w:iCs/>
        </w:rPr>
        <w:t xml:space="preserve">2001 </w:t>
      </w:r>
      <w:r>
        <w:t>(</w:t>
      </w:r>
      <w:r w:rsidRPr="00391DB0">
        <w:rPr>
          <w:b/>
          <w:bCs/>
        </w:rPr>
        <w:t>Act</w:t>
      </w:r>
      <w:r>
        <w:t xml:space="preserve">) empowering ASIC to make rules imposing </w:t>
      </w:r>
      <w:r w:rsidR="00BC7EA2">
        <w:t>C</w:t>
      </w:r>
      <w:r>
        <w:t xml:space="preserve">learing </w:t>
      </w:r>
      <w:r w:rsidR="00BC7EA2">
        <w:t>R</w:t>
      </w:r>
      <w:r>
        <w:t>equirements for interest rate derivatives denominated in any of the following currencies:</w:t>
      </w:r>
    </w:p>
    <w:p w14:paraId="4BC4F392" w14:textId="3CC27304" w:rsidR="00FE0B37" w:rsidRDefault="00FE0B37" w:rsidP="000858DF">
      <w:pPr>
        <w:pStyle w:val="LI-BodyTextParaa"/>
        <w:numPr>
          <w:ilvl w:val="1"/>
          <w:numId w:val="1"/>
        </w:numPr>
      </w:pPr>
      <w:r>
        <w:t>Australian dollars</w:t>
      </w:r>
      <w:r w:rsidR="00CB3D46">
        <w:t xml:space="preserve"> (</w:t>
      </w:r>
      <w:r w:rsidR="00CB3D46">
        <w:rPr>
          <w:b/>
          <w:bCs/>
        </w:rPr>
        <w:t>AUD</w:t>
      </w:r>
      <w:proofErr w:type="gramStart"/>
      <w:r w:rsidR="00CB3D46">
        <w:t>)</w:t>
      </w:r>
      <w:r>
        <w:t>;</w:t>
      </w:r>
      <w:proofErr w:type="gramEnd"/>
    </w:p>
    <w:p w14:paraId="5DC109AB" w14:textId="66E5CEE0" w:rsidR="00FE0B37" w:rsidRDefault="00FE0B37" w:rsidP="004671B8">
      <w:pPr>
        <w:pStyle w:val="LI-BodyTextParaa"/>
        <w:numPr>
          <w:ilvl w:val="1"/>
          <w:numId w:val="1"/>
        </w:numPr>
      </w:pPr>
      <w:r>
        <w:t>US dollars</w:t>
      </w:r>
      <w:r w:rsidR="00CB3D46">
        <w:t xml:space="preserve"> (</w:t>
      </w:r>
      <w:r w:rsidR="00CB3D46">
        <w:rPr>
          <w:b/>
          <w:bCs/>
        </w:rPr>
        <w:t>USD</w:t>
      </w:r>
      <w:proofErr w:type="gramStart"/>
      <w:r w:rsidR="00CB3D46">
        <w:t>)</w:t>
      </w:r>
      <w:r>
        <w:t>;</w:t>
      </w:r>
      <w:proofErr w:type="gramEnd"/>
    </w:p>
    <w:p w14:paraId="519CD8F6" w14:textId="57F23505" w:rsidR="00FE0B37" w:rsidRDefault="00391DB0" w:rsidP="00E17BBF">
      <w:pPr>
        <w:pStyle w:val="LI-BodyTextParaa"/>
        <w:numPr>
          <w:ilvl w:val="1"/>
          <w:numId w:val="1"/>
        </w:numPr>
      </w:pPr>
      <w:proofErr w:type="gramStart"/>
      <w:r>
        <w:t>e</w:t>
      </w:r>
      <w:r w:rsidR="00FE0B37">
        <w:t>uros;</w:t>
      </w:r>
      <w:proofErr w:type="gramEnd"/>
    </w:p>
    <w:p w14:paraId="093C282B" w14:textId="77777777" w:rsidR="00FE0B37" w:rsidRDefault="00FE0B37" w:rsidP="00BD7487">
      <w:pPr>
        <w:pStyle w:val="LI-BodyTextParaa"/>
        <w:numPr>
          <w:ilvl w:val="1"/>
          <w:numId w:val="1"/>
        </w:numPr>
      </w:pPr>
      <w:r>
        <w:t xml:space="preserve">British </w:t>
      </w:r>
      <w:proofErr w:type="gramStart"/>
      <w:r>
        <w:t>pounds;</w:t>
      </w:r>
      <w:proofErr w:type="gramEnd"/>
    </w:p>
    <w:p w14:paraId="0E5922C3" w14:textId="63DDA215" w:rsidR="00FE0B37" w:rsidRDefault="00FE0B37" w:rsidP="00CD1B49">
      <w:pPr>
        <w:pStyle w:val="LI-BodyTextParaa"/>
        <w:numPr>
          <w:ilvl w:val="1"/>
          <w:numId w:val="1"/>
        </w:numPr>
      </w:pPr>
      <w:r>
        <w:t>Japanese yen.</w:t>
      </w:r>
    </w:p>
    <w:p w14:paraId="520ED44A" w14:textId="19F82336" w:rsidR="00FE0B37" w:rsidRDefault="00FE0B37" w:rsidP="00FE0B37">
      <w:pPr>
        <w:pStyle w:val="LI-BodyTextParaa"/>
        <w:numPr>
          <w:ilvl w:val="0"/>
          <w:numId w:val="1"/>
        </w:numPr>
      </w:pPr>
      <w:r>
        <w:t>The Rules specify which products within these ‘</w:t>
      </w:r>
      <w:r w:rsidR="00447E2F">
        <w:t>D</w:t>
      </w:r>
      <w:r>
        <w:t xml:space="preserve">etermined </w:t>
      </w:r>
      <w:r w:rsidR="00447E2F">
        <w:t>C</w:t>
      </w:r>
      <w:r>
        <w:t xml:space="preserve">learing </w:t>
      </w:r>
      <w:r w:rsidR="00447E2F">
        <w:t>C</w:t>
      </w:r>
      <w:r>
        <w:t xml:space="preserve">lasses’ may be subject to the clearing requirement </w:t>
      </w:r>
      <w:r w:rsidR="00DF12CD">
        <w:t xml:space="preserve">in Rule 2.1.1 </w:t>
      </w:r>
      <w:r>
        <w:t>by reference to certain additional characteristics, such as the Floating Rate Index (</w:t>
      </w:r>
      <w:r w:rsidRPr="00897F0E">
        <w:rPr>
          <w:b/>
          <w:bCs/>
        </w:rPr>
        <w:t>FRI</w:t>
      </w:r>
      <w:r>
        <w:t>) on which each floating rate for the derivative transaction is based.</w:t>
      </w:r>
    </w:p>
    <w:p w14:paraId="4DDED679" w14:textId="04B91D93" w:rsidR="00487120" w:rsidRDefault="00276FC8" w:rsidP="00D06B4C">
      <w:pPr>
        <w:pStyle w:val="LI-BodyTextParaa"/>
        <w:numPr>
          <w:ilvl w:val="0"/>
          <w:numId w:val="1"/>
        </w:numPr>
      </w:pPr>
      <w:r>
        <w:t>In tandem with these developments</w:t>
      </w:r>
      <w:r w:rsidR="00231A05" w:rsidRPr="003A4C77">
        <w:t xml:space="preserve">, global regulators and industry have undertaken work to strengthen confidence in interest rate benchmarks and identify alternatives based on </w:t>
      </w:r>
      <w:proofErr w:type="spellStart"/>
      <w:r w:rsidR="00231A05" w:rsidRPr="00C53EE3">
        <w:t>RFRs</w:t>
      </w:r>
      <w:proofErr w:type="spellEnd"/>
      <w:r w:rsidR="00231A05" w:rsidRPr="003A4C77">
        <w:t xml:space="preserve">. </w:t>
      </w:r>
      <w:r w:rsidR="00231A05">
        <w:t xml:space="preserve">As a result of this transition, certain </w:t>
      </w:r>
      <w:r w:rsidR="00D4183B">
        <w:t xml:space="preserve">products </w:t>
      </w:r>
      <w:r w:rsidR="00231A05" w:rsidRPr="00274020">
        <w:t xml:space="preserve">which are </w:t>
      </w:r>
      <w:r w:rsidR="005F7327" w:rsidRPr="00274020">
        <w:t>required to be centra</w:t>
      </w:r>
      <w:r w:rsidR="00FA70DD" w:rsidRPr="00274020">
        <w:t>lly cleared</w:t>
      </w:r>
      <w:r w:rsidR="00231A05" w:rsidRPr="00274020">
        <w:t xml:space="preserve"> under the Rules </w:t>
      </w:r>
      <w:r w:rsidRPr="00274020">
        <w:t xml:space="preserve">(known as </w:t>
      </w:r>
      <w:r w:rsidRPr="005F385E">
        <w:rPr>
          <w:b/>
          <w:bCs/>
        </w:rPr>
        <w:t>Clearing Derivatives</w:t>
      </w:r>
      <w:r w:rsidRPr="00274020">
        <w:t xml:space="preserve">) </w:t>
      </w:r>
      <w:r w:rsidR="00231A05" w:rsidRPr="00274020">
        <w:t>are no longer able to be traded or cleared</w:t>
      </w:r>
      <w:r w:rsidR="00C52314">
        <w:t>, necessitating updates to the product scope of the Rules</w:t>
      </w:r>
      <w:r w:rsidR="00231A05">
        <w:t>.</w:t>
      </w:r>
      <w:r w:rsidR="009D0B76">
        <w:t xml:space="preserve"> </w:t>
      </w:r>
    </w:p>
    <w:p w14:paraId="183904DE" w14:textId="0E9D6C1C" w:rsidR="00231A05" w:rsidRPr="00DF42D3" w:rsidRDefault="0001316F" w:rsidP="00897F0E">
      <w:pPr>
        <w:pStyle w:val="LI-BodyTextParaa"/>
        <w:numPr>
          <w:ilvl w:val="0"/>
          <w:numId w:val="1"/>
        </w:numPr>
      </w:pPr>
      <w:r w:rsidRPr="00DF42D3">
        <w:t>Th</w:t>
      </w:r>
      <w:r w:rsidR="00C52314" w:rsidRPr="00DF42D3">
        <w:t>e</w:t>
      </w:r>
      <w:r w:rsidRPr="00DF42D3">
        <w:t xml:space="preserve"> </w:t>
      </w:r>
      <w:r w:rsidR="00F03CF8">
        <w:t>I</w:t>
      </w:r>
      <w:r w:rsidRPr="00DF42D3">
        <w:t xml:space="preserve">nstrument makes consequential amendments to the Rules by removing products </w:t>
      </w:r>
      <w:r w:rsidR="0041713D">
        <w:t xml:space="preserve">referencing </w:t>
      </w:r>
      <w:r w:rsidR="00080102">
        <w:t>USD LIBOR</w:t>
      </w:r>
      <w:r w:rsidRPr="00DF42D3">
        <w:t xml:space="preserve"> from the definition of a Clearing Derivative in </w:t>
      </w:r>
      <w:r w:rsidR="00C52314" w:rsidRPr="00DF42D3">
        <w:t>R</w:t>
      </w:r>
      <w:r w:rsidRPr="00DF42D3">
        <w:t>ule 1.2.3</w:t>
      </w:r>
      <w:r w:rsidR="00C52314" w:rsidRPr="00DF42D3">
        <w:t xml:space="preserve"> of the Rules</w:t>
      </w:r>
      <w:r w:rsidR="00080102">
        <w:t xml:space="preserve">, as these </w:t>
      </w:r>
      <w:r w:rsidR="003D39FC">
        <w:t>can no longer be traded or cleared</w:t>
      </w:r>
      <w:r w:rsidR="00655F75">
        <w:t>.</w:t>
      </w:r>
      <w:r w:rsidRPr="00DF42D3">
        <w:t xml:space="preserve"> </w:t>
      </w:r>
      <w:r w:rsidR="00BF7FAD">
        <w:t xml:space="preserve">The </w:t>
      </w:r>
      <w:r w:rsidR="006D794A">
        <w:t>Instrument</w:t>
      </w:r>
      <w:r w:rsidR="00304E42">
        <w:t xml:space="preserve"> </w:t>
      </w:r>
      <w:r w:rsidR="00C06DD0">
        <w:t>introduces</w:t>
      </w:r>
      <w:r w:rsidR="00325723">
        <w:t xml:space="preserve"> a new</w:t>
      </w:r>
      <w:r w:rsidR="00304E42">
        <w:t xml:space="preserve"> </w:t>
      </w:r>
      <w:r w:rsidR="00247A6E">
        <w:t xml:space="preserve">class of Clearing Derivative to </w:t>
      </w:r>
      <w:r w:rsidR="00304E42">
        <w:t>replace</w:t>
      </w:r>
      <w:r w:rsidR="00E1179E">
        <w:t xml:space="preserve"> these products</w:t>
      </w:r>
      <w:r w:rsidR="00247A6E">
        <w:t>, namely</w:t>
      </w:r>
      <w:r w:rsidR="00E1179E">
        <w:t xml:space="preserve"> </w:t>
      </w:r>
      <w:r w:rsidR="008C7B30">
        <w:t xml:space="preserve">USD-denominated </w:t>
      </w:r>
      <w:r w:rsidR="00A17F5D">
        <w:t xml:space="preserve">OIS contracts </w:t>
      </w:r>
      <w:r w:rsidRPr="00DF42D3">
        <w:t>referencing</w:t>
      </w:r>
      <w:r w:rsidR="00C1317C" w:rsidRPr="00DF42D3">
        <w:t xml:space="preserve"> </w:t>
      </w:r>
      <w:proofErr w:type="spellStart"/>
      <w:r w:rsidR="00C1317C" w:rsidRPr="00DF42D3">
        <w:t>SOFR</w:t>
      </w:r>
      <w:proofErr w:type="spellEnd"/>
      <w:r w:rsidR="00C1317C" w:rsidRPr="00DF42D3">
        <w:t>,</w:t>
      </w:r>
      <w:r w:rsidRPr="00DF42D3">
        <w:t xml:space="preserve"> the replacement RFR selected </w:t>
      </w:r>
      <w:r w:rsidR="00C1317C" w:rsidRPr="00DF42D3">
        <w:t xml:space="preserve">for </w:t>
      </w:r>
      <w:r w:rsidR="005D788D">
        <w:t>USD LIBOR</w:t>
      </w:r>
      <w:r w:rsidRPr="00DF42D3">
        <w:t>. Th</w:t>
      </w:r>
      <w:r w:rsidR="00E24518">
        <w:t xml:space="preserve">ese </w:t>
      </w:r>
      <w:r w:rsidRPr="00DF42D3">
        <w:t>amendment</w:t>
      </w:r>
      <w:r w:rsidR="00E24518">
        <w:t>s</w:t>
      </w:r>
      <w:r w:rsidRPr="00DF42D3">
        <w:t xml:space="preserve"> </w:t>
      </w:r>
      <w:r w:rsidR="00E24518">
        <w:t>are</w:t>
      </w:r>
      <w:r w:rsidR="00A359B9" w:rsidRPr="00DF42D3">
        <w:t xml:space="preserve"> </w:t>
      </w:r>
      <w:r w:rsidRPr="00DF42D3">
        <w:t xml:space="preserve">necessary to ensure that the Rules </w:t>
      </w:r>
      <w:r w:rsidR="00C52314" w:rsidRPr="00DF42D3">
        <w:t xml:space="preserve">remain fit for purpose </w:t>
      </w:r>
      <w:r w:rsidRPr="00DF42D3">
        <w:t>and that Australia continues to meet its G20 commitment.</w:t>
      </w:r>
    </w:p>
    <w:p w14:paraId="2B50ECDA" w14:textId="2F4A2506" w:rsidR="001B0EC3" w:rsidRPr="00DF42D3" w:rsidRDefault="001B0EC3" w:rsidP="00897F0E">
      <w:pPr>
        <w:pStyle w:val="LI-BodyTextParaa"/>
        <w:numPr>
          <w:ilvl w:val="0"/>
          <w:numId w:val="1"/>
        </w:numPr>
      </w:pPr>
      <w:r w:rsidRPr="00541041">
        <w:t>Separately, when ASIC established the Clearing Rules</w:t>
      </w:r>
      <w:r w:rsidR="007D75BE" w:rsidRPr="00541041">
        <w:t xml:space="preserve"> </w:t>
      </w:r>
      <w:r w:rsidR="00A00A7D" w:rsidRPr="00541041">
        <w:t>on 3 December 2015</w:t>
      </w:r>
      <w:r w:rsidRPr="00541041">
        <w:t xml:space="preserve">, it delayed the implementation of the </w:t>
      </w:r>
      <w:r w:rsidR="00DC0035">
        <w:t>requirement to centrally clear</w:t>
      </w:r>
      <w:r w:rsidRPr="00541041">
        <w:t xml:space="preserve"> AUD </w:t>
      </w:r>
      <w:proofErr w:type="spellStart"/>
      <w:r w:rsidRPr="00541041">
        <w:t>FRAs</w:t>
      </w:r>
      <w:proofErr w:type="spellEnd"/>
      <w:r w:rsidRPr="00541041">
        <w:t xml:space="preserve"> until 2 April 2018. ASIC </w:t>
      </w:r>
      <w:r w:rsidR="00335157">
        <w:t>subsequently granted</w:t>
      </w:r>
      <w:r w:rsidRPr="00541041">
        <w:t xml:space="preserve"> relief from compliance with </w:t>
      </w:r>
      <w:r w:rsidR="00D609A5">
        <w:t xml:space="preserve">the </w:t>
      </w:r>
      <w:r w:rsidR="00DA1B37">
        <w:t>C</w:t>
      </w:r>
      <w:r w:rsidR="00D609A5">
        <w:t xml:space="preserve">learing </w:t>
      </w:r>
      <w:r w:rsidR="00DA1B37">
        <w:t>R</w:t>
      </w:r>
      <w:r w:rsidR="00D609A5">
        <w:t>equirement in</w:t>
      </w:r>
      <w:r w:rsidR="0040490B">
        <w:t xml:space="preserve"> </w:t>
      </w:r>
      <w:r w:rsidR="00F72D43">
        <w:t xml:space="preserve">Rule 2.1.1 of </w:t>
      </w:r>
      <w:r w:rsidRPr="00541041">
        <w:t xml:space="preserve">the Rules for AUD </w:t>
      </w:r>
      <w:proofErr w:type="spellStart"/>
      <w:r w:rsidRPr="00541041">
        <w:t>FRAs</w:t>
      </w:r>
      <w:proofErr w:type="spellEnd"/>
      <w:r w:rsidRPr="00541041">
        <w:t xml:space="preserve"> through an exemption</w:t>
      </w:r>
      <w:r w:rsidR="00710740">
        <w:t>. The exemption instrument</w:t>
      </w:r>
      <w:r w:rsidR="00AC55F4">
        <w:t xml:space="preserve"> has been </w:t>
      </w:r>
      <w:r w:rsidR="00710740">
        <w:t>amended on a number of occasions t</w:t>
      </w:r>
      <w:r w:rsidR="006E4360">
        <w:t>o extend the dur</w:t>
      </w:r>
      <w:r w:rsidR="00180EA8">
        <w:t>ation of this relief</w:t>
      </w:r>
      <w:r w:rsidRPr="00541041">
        <w:t>. </w:t>
      </w:r>
      <w:r w:rsidR="00022267">
        <w:t>T</w:t>
      </w:r>
      <w:r w:rsidRPr="00541041">
        <w:t xml:space="preserve">he </w:t>
      </w:r>
      <w:r w:rsidR="004E0E12">
        <w:t>c</w:t>
      </w:r>
      <w:r w:rsidRPr="00541041">
        <w:t xml:space="preserve">learing </w:t>
      </w:r>
      <w:r w:rsidR="004E0E12">
        <w:lastRenderedPageBreak/>
        <w:t>r</w:t>
      </w:r>
      <w:r w:rsidRPr="00541041">
        <w:t>equirement ha</w:t>
      </w:r>
      <w:r w:rsidR="00701786" w:rsidRPr="00541041">
        <w:t>s</w:t>
      </w:r>
      <w:r w:rsidRPr="00541041">
        <w:t xml:space="preserve"> </w:t>
      </w:r>
      <w:r w:rsidR="00DE159C">
        <w:t>accordingly</w:t>
      </w:r>
      <w:r w:rsidRPr="00541041">
        <w:t xml:space="preserve"> never commenced in respect of </w:t>
      </w:r>
      <w:r w:rsidR="00737C8B">
        <w:t xml:space="preserve">AUD </w:t>
      </w:r>
      <w:proofErr w:type="spellStart"/>
      <w:r w:rsidR="00737C8B">
        <w:t>FRAs</w:t>
      </w:r>
      <w:proofErr w:type="spellEnd"/>
      <w:r w:rsidR="00DE159C">
        <w:t>.</w:t>
      </w:r>
      <w:r w:rsidR="00701786" w:rsidRPr="00541041">
        <w:t xml:space="preserve"> </w:t>
      </w:r>
      <w:r w:rsidR="00954A62">
        <w:t>Th</w:t>
      </w:r>
      <w:r w:rsidR="00A848A9">
        <w:t xml:space="preserve">e </w:t>
      </w:r>
      <w:r w:rsidR="00E5282D">
        <w:t>rationale for this relief is that these products have never become suitable for mandatory central clearing</w:t>
      </w:r>
      <w:r w:rsidR="0092617C">
        <w:t>,</w:t>
      </w:r>
      <w:r w:rsidR="00E5282D">
        <w:t xml:space="preserve"> </w:t>
      </w:r>
      <w:r w:rsidR="00701786" w:rsidRPr="00541041">
        <w:t xml:space="preserve">because: </w:t>
      </w:r>
      <w:r w:rsidR="00BF627F" w:rsidRPr="00541041">
        <w:t xml:space="preserve"> </w:t>
      </w:r>
    </w:p>
    <w:p w14:paraId="282E7384" w14:textId="4A7B1B84" w:rsidR="00532004" w:rsidRPr="00541041" w:rsidRDefault="00062C6D" w:rsidP="00532004">
      <w:pPr>
        <w:pStyle w:val="LI-BodyTextParaa"/>
        <w:numPr>
          <w:ilvl w:val="1"/>
          <w:numId w:val="1"/>
        </w:numPr>
      </w:pPr>
      <w:r>
        <w:t>o</w:t>
      </w:r>
      <w:r w:rsidR="00532004" w:rsidRPr="00541041">
        <w:t xml:space="preserve">nly one </w:t>
      </w:r>
      <w:proofErr w:type="spellStart"/>
      <w:r w:rsidR="00532004" w:rsidRPr="00541041">
        <w:t>CCP</w:t>
      </w:r>
      <w:proofErr w:type="spellEnd"/>
      <w:r w:rsidR="00532004" w:rsidRPr="00541041">
        <w:t xml:space="preserve"> clears </w:t>
      </w:r>
      <w:r w:rsidR="002B5377">
        <w:t xml:space="preserve">AUD </w:t>
      </w:r>
      <w:proofErr w:type="spellStart"/>
      <w:r w:rsidR="002B5377">
        <w:t>FRAs</w:t>
      </w:r>
      <w:proofErr w:type="spellEnd"/>
      <w:r w:rsidR="00532004" w:rsidRPr="00541041">
        <w:t xml:space="preserve">, so imposing a clearing requirement may constrain participants’ </w:t>
      </w:r>
      <w:proofErr w:type="gramStart"/>
      <w:r w:rsidR="00532004" w:rsidRPr="00541041">
        <w:t>choices;</w:t>
      </w:r>
      <w:proofErr w:type="gramEnd"/>
    </w:p>
    <w:p w14:paraId="6ACE9995" w14:textId="4E89042E" w:rsidR="00532004" w:rsidRPr="00541041" w:rsidRDefault="00062C6D" w:rsidP="00532004">
      <w:pPr>
        <w:pStyle w:val="LI-BodyTextParaa"/>
        <w:numPr>
          <w:ilvl w:val="1"/>
          <w:numId w:val="1"/>
        </w:numPr>
      </w:pPr>
      <w:r>
        <w:t>t</w:t>
      </w:r>
      <w:r w:rsidR="00532004" w:rsidRPr="00541041">
        <w:t xml:space="preserve">he policy rationale for mandatory clearing is tied to systemic risk, which </w:t>
      </w:r>
      <w:r w:rsidR="005A2D1E" w:rsidRPr="00541041">
        <w:t>is not materially affected by transactions</w:t>
      </w:r>
      <w:r w:rsidR="00D603C8">
        <w:t xml:space="preserve"> in </w:t>
      </w:r>
      <w:r w:rsidR="002E46B9">
        <w:t xml:space="preserve">AUD </w:t>
      </w:r>
      <w:proofErr w:type="spellStart"/>
      <w:r w:rsidR="002E46B9">
        <w:t>FRAs</w:t>
      </w:r>
      <w:proofErr w:type="spellEnd"/>
      <w:r w:rsidR="005A2D1E" w:rsidRPr="00541041">
        <w:t xml:space="preserve">; and </w:t>
      </w:r>
    </w:p>
    <w:p w14:paraId="3DEF5712" w14:textId="23DD56D0" w:rsidR="005A2D1E" w:rsidRPr="00541041" w:rsidRDefault="005A2D1E" w:rsidP="00541041">
      <w:pPr>
        <w:pStyle w:val="LI-BodyTextParaa"/>
        <w:numPr>
          <w:ilvl w:val="1"/>
          <w:numId w:val="1"/>
        </w:numPr>
      </w:pPr>
      <w:r w:rsidRPr="00541041">
        <w:t xml:space="preserve">AUD </w:t>
      </w:r>
      <w:proofErr w:type="spellStart"/>
      <w:r w:rsidRPr="00541041">
        <w:t>FRAs</w:t>
      </w:r>
      <w:proofErr w:type="spellEnd"/>
      <w:r w:rsidRPr="00541041">
        <w:t xml:space="preserve"> are not subject to a clearing mandate in any other major jurisdiction</w:t>
      </w:r>
      <w:r w:rsidR="00F74326">
        <w:t>,</w:t>
      </w:r>
      <w:r w:rsidR="00723B95">
        <w:t xml:space="preserve"> so</w:t>
      </w:r>
      <w:r w:rsidRPr="00541041">
        <w:t xml:space="preserve"> international consistency considerations do not arise. </w:t>
      </w:r>
    </w:p>
    <w:p w14:paraId="280DD6A1" w14:textId="139AD16A" w:rsidR="006F1CD7" w:rsidRPr="00541041" w:rsidRDefault="0093794B" w:rsidP="00B0380F">
      <w:pPr>
        <w:pStyle w:val="LI-BodyTextParaa"/>
        <w:numPr>
          <w:ilvl w:val="0"/>
          <w:numId w:val="1"/>
        </w:numPr>
      </w:pPr>
      <w:r w:rsidRPr="00541041">
        <w:t xml:space="preserve">The </w:t>
      </w:r>
      <w:r w:rsidR="00062C6D">
        <w:t>I</w:t>
      </w:r>
      <w:r w:rsidRPr="00541041">
        <w:t xml:space="preserve">nstrument makes consequential amendments to the Rules by removing AUD </w:t>
      </w:r>
      <w:proofErr w:type="spellStart"/>
      <w:r w:rsidRPr="00541041">
        <w:t>FRAs</w:t>
      </w:r>
      <w:proofErr w:type="spellEnd"/>
      <w:r w:rsidRPr="00541041">
        <w:t xml:space="preserve"> from the definition of a Clearing Derivative in Rule 1.2.3 of the Rules. </w:t>
      </w:r>
      <w:r w:rsidR="00AC2B9D" w:rsidRPr="00DF42D3">
        <w:t>This amendment</w:t>
      </w:r>
      <w:r w:rsidR="00850020" w:rsidRPr="00541041">
        <w:t xml:space="preserve"> will provide industry with more certainty on the application of the </w:t>
      </w:r>
      <w:r w:rsidR="00901B56">
        <w:t>c</w:t>
      </w:r>
      <w:r w:rsidR="00850020" w:rsidRPr="00541041">
        <w:t xml:space="preserve">learing </w:t>
      </w:r>
      <w:r w:rsidR="00901B56">
        <w:t>r</w:t>
      </w:r>
      <w:r w:rsidR="00850020" w:rsidRPr="00541041">
        <w:t>equirement</w:t>
      </w:r>
      <w:r w:rsidR="00002328">
        <w:t>s</w:t>
      </w:r>
      <w:r w:rsidR="00850020" w:rsidRPr="00541041">
        <w:t xml:space="preserve"> to AUD-denominated products</w:t>
      </w:r>
      <w:r w:rsidR="008E3166">
        <w:t>. It</w:t>
      </w:r>
      <w:r w:rsidR="00AC2B9D" w:rsidRPr="00DF42D3">
        <w:t xml:space="preserve"> </w:t>
      </w:r>
      <w:r w:rsidR="00CE4FDA" w:rsidRPr="00541041">
        <w:t xml:space="preserve">is </w:t>
      </w:r>
      <w:r w:rsidR="008E3166">
        <w:t xml:space="preserve">also </w:t>
      </w:r>
      <w:r w:rsidR="00CE4FDA" w:rsidRPr="00541041">
        <w:t>necessary to</w:t>
      </w:r>
      <w:r w:rsidR="00BC0297" w:rsidRPr="00541041">
        <w:t xml:space="preserve"> ensure that the clearing mandate will apply only to products that satisfy the preconditions for central clearing and are suitable for mandatory central clearing based on the analytical approach outlined in the regulators’ statement</w:t>
      </w:r>
      <w:r w:rsidR="00850020" w:rsidRPr="00541041">
        <w:t xml:space="preserve">. </w:t>
      </w:r>
    </w:p>
    <w:p w14:paraId="54E78AE4" w14:textId="103FB8C5" w:rsidR="00C11C8E" w:rsidRDefault="00C11C8E" w:rsidP="00C11C8E">
      <w:pPr>
        <w:pStyle w:val="LI-BodyTextNumbered"/>
        <w:ind w:hanging="1134"/>
        <w:rPr>
          <w:bCs/>
        </w:rPr>
      </w:pPr>
      <w:r>
        <w:rPr>
          <w:b/>
        </w:rPr>
        <w:t>Consultation</w:t>
      </w:r>
      <w:r w:rsidR="00B94CE1">
        <w:rPr>
          <w:bCs/>
        </w:rPr>
        <w:t xml:space="preserve"> </w:t>
      </w:r>
    </w:p>
    <w:p w14:paraId="77A016E2" w14:textId="19104C9B" w:rsidR="00B94CE1" w:rsidRPr="00EE1324" w:rsidRDefault="00B94CE1" w:rsidP="00C11C8E">
      <w:pPr>
        <w:pStyle w:val="LI-BodyTextNumbered"/>
        <w:ind w:hanging="1134"/>
        <w:rPr>
          <w:bCs/>
          <w:u w:val="single"/>
        </w:rPr>
      </w:pPr>
      <w:r w:rsidRPr="00EE1324">
        <w:rPr>
          <w:bCs/>
          <w:u w:val="single"/>
        </w:rPr>
        <w:t>CP 3</w:t>
      </w:r>
      <w:r w:rsidR="004D6FE8">
        <w:rPr>
          <w:bCs/>
          <w:u w:val="single"/>
        </w:rPr>
        <w:t>66</w:t>
      </w:r>
    </w:p>
    <w:p w14:paraId="4ED86C2D" w14:textId="59BF9038" w:rsidR="00EE1324" w:rsidRDefault="00B94CE1" w:rsidP="00B57484">
      <w:pPr>
        <w:pStyle w:val="LI-BodyTextParaa"/>
        <w:numPr>
          <w:ilvl w:val="0"/>
          <w:numId w:val="1"/>
        </w:numPr>
      </w:pPr>
      <w:r>
        <w:t xml:space="preserve">On </w:t>
      </w:r>
      <w:r w:rsidR="00D31420">
        <w:t>15</w:t>
      </w:r>
      <w:r>
        <w:t xml:space="preserve"> </w:t>
      </w:r>
      <w:r w:rsidR="00D31420">
        <w:t>February 2023</w:t>
      </w:r>
      <w:r>
        <w:t xml:space="preserve">, ASIC </w:t>
      </w:r>
      <w:r w:rsidR="00E9189C" w:rsidRPr="00541041">
        <w:rPr>
          <w:i/>
          <w:iCs/>
        </w:rPr>
        <w:t xml:space="preserve">released </w:t>
      </w:r>
      <w:hyperlink r:id="rId14" w:history="1">
        <w:r w:rsidR="00E9189C" w:rsidRPr="00541041">
          <w:rPr>
            <w:rStyle w:val="Hyperlink"/>
            <w:i/>
            <w:iCs/>
          </w:rPr>
          <w:t xml:space="preserve">Consultation </w:t>
        </w:r>
        <w:r w:rsidR="006809D5" w:rsidRPr="00541041">
          <w:rPr>
            <w:rStyle w:val="Hyperlink"/>
            <w:i/>
            <w:iCs/>
          </w:rPr>
          <w:t>Paper 366: Proposed amendments to the ASIC Derivative Transaction Rules (Clearing) 2015: Second consultation</w:t>
        </w:r>
      </w:hyperlink>
      <w:r w:rsidR="006809D5">
        <w:t xml:space="preserve"> (</w:t>
      </w:r>
      <w:r w:rsidR="006809D5" w:rsidRPr="00541041">
        <w:rPr>
          <w:b/>
          <w:bCs/>
        </w:rPr>
        <w:t>CP 366</w:t>
      </w:r>
      <w:r w:rsidR="006809D5">
        <w:t>)</w:t>
      </w:r>
      <w:r w:rsidR="001265DB">
        <w:t>.</w:t>
      </w:r>
      <w:r w:rsidR="006809D5">
        <w:t xml:space="preserve"> </w:t>
      </w:r>
      <w:r w:rsidR="001265DB">
        <w:t xml:space="preserve">CP 366 </w:t>
      </w:r>
      <w:r w:rsidRPr="008A2D3E">
        <w:t>propos</w:t>
      </w:r>
      <w:r w:rsidR="001265DB">
        <w:t>ed</w:t>
      </w:r>
      <w:r w:rsidRPr="008A2D3E">
        <w:t xml:space="preserve"> amendments to the Rules to </w:t>
      </w:r>
      <w:r w:rsidR="0035134B" w:rsidRPr="008A2D3E">
        <w:t>update</w:t>
      </w:r>
      <w:r w:rsidRPr="008A2D3E">
        <w:t xml:space="preserve"> the product scope of the clearing requirement </w:t>
      </w:r>
      <w:r w:rsidR="003918BB" w:rsidRPr="008A2D3E">
        <w:t xml:space="preserve">with respect to contracts denominated in US </w:t>
      </w:r>
      <w:r w:rsidR="008212D3">
        <w:t>d</w:t>
      </w:r>
      <w:r w:rsidR="003918BB" w:rsidRPr="008A2D3E">
        <w:t>ollars</w:t>
      </w:r>
      <w:r w:rsidR="001265DB">
        <w:t>. This was</w:t>
      </w:r>
      <w:r w:rsidR="003918BB" w:rsidRPr="008A2D3E">
        <w:t xml:space="preserve"> </w:t>
      </w:r>
      <w:r w:rsidRPr="008A2D3E">
        <w:t>to reflect market developments related to global benchmark reforms</w:t>
      </w:r>
      <w:r w:rsidR="00AA11CD" w:rsidRPr="008A2D3E">
        <w:t xml:space="preserve"> and </w:t>
      </w:r>
      <w:r w:rsidR="005E538A" w:rsidRPr="008A2D3E">
        <w:t>the final rule issued by the US Commodity Futures Trading Commission (</w:t>
      </w:r>
      <w:r w:rsidR="005E538A" w:rsidRPr="00611DA5">
        <w:rPr>
          <w:b/>
          <w:bCs/>
        </w:rPr>
        <w:t>CFTC</w:t>
      </w:r>
      <w:r w:rsidR="005E538A" w:rsidRPr="008A2D3E">
        <w:t>)</w:t>
      </w:r>
      <w:r w:rsidR="00BE14B5" w:rsidRPr="008A2D3E">
        <w:t xml:space="preserve"> </w:t>
      </w:r>
      <w:r w:rsidR="00BE14B5">
        <w:t>on 12 August 2022.</w:t>
      </w:r>
      <w:r w:rsidR="0072414D">
        <w:t xml:space="preserve"> </w:t>
      </w:r>
      <w:r w:rsidR="003A6012">
        <w:t>CP 366</w:t>
      </w:r>
      <w:r w:rsidR="0072414D">
        <w:t xml:space="preserve"> also </w:t>
      </w:r>
      <w:r w:rsidR="003A6012">
        <w:t>sought feedback</w:t>
      </w:r>
      <w:r w:rsidR="00C37A63">
        <w:t xml:space="preserve"> </w:t>
      </w:r>
      <w:r w:rsidR="003A6012">
        <w:t xml:space="preserve">on </w:t>
      </w:r>
      <w:r w:rsidR="00627404">
        <w:t>the</w:t>
      </w:r>
      <w:r w:rsidR="00C37A63">
        <w:t xml:space="preserve"> </w:t>
      </w:r>
      <w:r w:rsidR="00AF686D">
        <w:t>separate</w:t>
      </w:r>
      <w:r w:rsidR="00C37A63">
        <w:t xml:space="preserve"> proposal to remove AUD-denominated products from the FRA class</w:t>
      </w:r>
      <w:r w:rsidR="00716FAB">
        <w:t xml:space="preserve"> –</w:t>
      </w:r>
      <w:r w:rsidR="00C37A63">
        <w:t xml:space="preserve"> </w:t>
      </w:r>
      <w:r w:rsidR="00AF686D">
        <w:t>for which the clearing requirement has never commenced.</w:t>
      </w:r>
    </w:p>
    <w:p w14:paraId="4E3A2993" w14:textId="17BA1179" w:rsidR="00EE1324" w:rsidRPr="00664C81" w:rsidRDefault="00B94CE1" w:rsidP="00B57484">
      <w:pPr>
        <w:pStyle w:val="LI-BodyTextParaa"/>
        <w:numPr>
          <w:ilvl w:val="0"/>
          <w:numId w:val="1"/>
        </w:numPr>
      </w:pPr>
      <w:r>
        <w:t xml:space="preserve">ASIC received </w:t>
      </w:r>
      <w:r w:rsidR="00D0359D">
        <w:t>3</w:t>
      </w:r>
      <w:r>
        <w:t xml:space="preserve"> written submissions </w:t>
      </w:r>
      <w:r w:rsidR="00D37BA3">
        <w:t>to CP 3</w:t>
      </w:r>
      <w:r w:rsidR="00D0359D">
        <w:t>66</w:t>
      </w:r>
      <w:r w:rsidR="00D37BA3">
        <w:t xml:space="preserve"> </w:t>
      </w:r>
      <w:r>
        <w:t xml:space="preserve">(including </w:t>
      </w:r>
      <w:r w:rsidR="004126AE">
        <w:t>two</w:t>
      </w:r>
      <w:r w:rsidR="00D0359D">
        <w:t xml:space="preserve"> </w:t>
      </w:r>
      <w:r>
        <w:t>confidential submission</w:t>
      </w:r>
      <w:r w:rsidR="004126AE">
        <w:t>s</w:t>
      </w:r>
      <w:r w:rsidR="007B0CEE">
        <w:t>,</w:t>
      </w:r>
      <w:r>
        <w:t xml:space="preserve"> and one joint submission on behalf of the Australian Financial Markets Association and the International Swaps and Derivatives Association)</w:t>
      </w:r>
      <w:r w:rsidR="009D0ECA">
        <w:t>. These respondents were broadly representative of the group of stakeholders directly or indirectly impacted by the Rules</w:t>
      </w:r>
      <w:r w:rsidR="00105C6F">
        <w:t xml:space="preserve"> and were broadly </w:t>
      </w:r>
      <w:r w:rsidR="00105C6F" w:rsidRPr="00664C81">
        <w:t>supportive of the amendments</w:t>
      </w:r>
      <w:r w:rsidR="009D0ECA" w:rsidRPr="00664C81">
        <w:t>.</w:t>
      </w:r>
    </w:p>
    <w:p w14:paraId="0037F711" w14:textId="45070FD0" w:rsidR="00535F55" w:rsidRPr="00664C81" w:rsidRDefault="00557B65" w:rsidP="00635F7F">
      <w:pPr>
        <w:pStyle w:val="LI-BodyTextParaa"/>
        <w:numPr>
          <w:ilvl w:val="0"/>
          <w:numId w:val="1"/>
        </w:numPr>
      </w:pPr>
      <w:r>
        <w:t>I</w:t>
      </w:r>
      <w:r w:rsidR="0035134B" w:rsidRPr="00664C81">
        <w:t>n CP 3</w:t>
      </w:r>
      <w:r w:rsidR="00535F55" w:rsidRPr="00664C81">
        <w:t>66</w:t>
      </w:r>
      <w:r w:rsidR="0035134B" w:rsidRPr="00664C81">
        <w:t>, a</w:t>
      </w:r>
      <w:r w:rsidR="00535F55" w:rsidRPr="00664C81">
        <w:t xml:space="preserve">n implementation period of </w:t>
      </w:r>
      <w:r w:rsidR="00491749" w:rsidRPr="00541041">
        <w:t>three</w:t>
      </w:r>
      <w:r w:rsidR="00535F55" w:rsidRPr="00664C81">
        <w:t xml:space="preserve"> months</w:t>
      </w:r>
      <w:r w:rsidR="00491749" w:rsidRPr="00541041">
        <w:t xml:space="preserve"> </w:t>
      </w:r>
      <w:r w:rsidR="0029440E">
        <w:t xml:space="preserve">was proposed </w:t>
      </w:r>
      <w:r w:rsidR="00491749" w:rsidRPr="00541041">
        <w:t xml:space="preserve">for the introduction of the new </w:t>
      </w:r>
      <w:proofErr w:type="spellStart"/>
      <w:r w:rsidR="00635F7F" w:rsidRPr="00541041">
        <w:t>SOFR</w:t>
      </w:r>
      <w:proofErr w:type="spellEnd"/>
      <w:r w:rsidR="00635F7F" w:rsidRPr="00541041">
        <w:t xml:space="preserve"> OIS</w:t>
      </w:r>
      <w:r w:rsidR="00491749" w:rsidRPr="00541041">
        <w:t xml:space="preserve"> class</w:t>
      </w:r>
      <w:r w:rsidR="00F46653" w:rsidRPr="00664C81">
        <w:t>.</w:t>
      </w:r>
      <w:r w:rsidR="00635F7F" w:rsidRPr="00541041">
        <w:t xml:space="preserve"> </w:t>
      </w:r>
      <w:r w:rsidR="005F29AB">
        <w:t>F</w:t>
      </w:r>
      <w:r w:rsidR="00635F7F" w:rsidRPr="00541041">
        <w:t>ollowing feedback from industry, the implementation period</w:t>
      </w:r>
      <w:r w:rsidR="00BC4ECC">
        <w:t xml:space="preserve"> has been extended</w:t>
      </w:r>
      <w:r w:rsidR="00635F7F" w:rsidRPr="00541041">
        <w:t xml:space="preserve"> to 6 months from when the </w:t>
      </w:r>
      <w:r w:rsidR="000448D8">
        <w:t>I</w:t>
      </w:r>
      <w:r w:rsidR="00635F7F" w:rsidRPr="00541041">
        <w:t xml:space="preserve">nstrument is registered on the Federal Register of Legislation to give industry sufficient time to prepare for the technical commencement of the new obligations. </w:t>
      </w:r>
    </w:p>
    <w:p w14:paraId="3F053929" w14:textId="3AB7A760" w:rsidR="00F84A4B" w:rsidRPr="00B57484" w:rsidRDefault="00F84A4B" w:rsidP="0012184D">
      <w:pPr>
        <w:pStyle w:val="LI-BodyTextParaa"/>
        <w:ind w:left="567"/>
        <w:rPr>
          <w:u w:val="single"/>
        </w:rPr>
      </w:pPr>
      <w:r w:rsidRPr="00664C81">
        <w:rPr>
          <w:u w:val="single"/>
        </w:rPr>
        <w:lastRenderedPageBreak/>
        <w:t>Other</w:t>
      </w:r>
      <w:r w:rsidR="00194D09" w:rsidRPr="00541041">
        <w:rPr>
          <w:u w:val="single"/>
        </w:rPr>
        <w:t xml:space="preserve"> </w:t>
      </w:r>
      <w:r w:rsidRPr="00664C81">
        <w:rPr>
          <w:u w:val="single"/>
        </w:rPr>
        <w:t>consultation</w:t>
      </w:r>
      <w:r w:rsidR="00552DED" w:rsidRPr="00194D09">
        <w:rPr>
          <w:u w:val="single"/>
        </w:rPr>
        <w:t xml:space="preserve"> </w:t>
      </w:r>
      <w:r w:rsidR="00194D09">
        <w:rPr>
          <w:u w:val="single"/>
        </w:rPr>
        <w:t xml:space="preserve"> </w:t>
      </w:r>
    </w:p>
    <w:p w14:paraId="1128508A" w14:textId="329CE637" w:rsidR="00B85E64" w:rsidRDefault="0001316F" w:rsidP="005B391F">
      <w:pPr>
        <w:pStyle w:val="LI-BodyTextParaa"/>
        <w:numPr>
          <w:ilvl w:val="0"/>
          <w:numId w:val="1"/>
        </w:numPr>
      </w:pPr>
      <w:r>
        <w:t xml:space="preserve">ASIC </w:t>
      </w:r>
      <w:r w:rsidR="00F84A4B">
        <w:t xml:space="preserve">also consulted with the RBA and </w:t>
      </w:r>
      <w:r w:rsidR="00F84A4B" w:rsidRPr="001163E0">
        <w:t>APRA</w:t>
      </w:r>
      <w:r w:rsidR="00F84A4B">
        <w:t xml:space="preserve"> about the proposed amendments and </w:t>
      </w:r>
      <w:proofErr w:type="gramStart"/>
      <w:r w:rsidR="00F84A4B">
        <w:t>took into account</w:t>
      </w:r>
      <w:proofErr w:type="gramEnd"/>
      <w:r w:rsidR="00F84A4B">
        <w:t xml:space="preserve"> feedback provided by these bodies, together with ASIC’s regulatory objectives, in the final terms of the amendments.</w:t>
      </w:r>
    </w:p>
    <w:p w14:paraId="51860D48" w14:textId="097748B9" w:rsidR="00B85E64" w:rsidRPr="00617ACB" w:rsidRDefault="00194D09" w:rsidP="005B391F">
      <w:pPr>
        <w:pStyle w:val="LI-BodyTextParaa"/>
        <w:ind w:left="0" w:firstLine="0"/>
      </w:pPr>
      <w:r w:rsidRPr="00617ACB">
        <w:rPr>
          <w:u w:val="single"/>
        </w:rPr>
        <w:t xml:space="preserve">Prior </w:t>
      </w:r>
      <w:r w:rsidR="00B85E64" w:rsidRPr="00617ACB">
        <w:rPr>
          <w:u w:val="single"/>
        </w:rPr>
        <w:t>consultation</w:t>
      </w:r>
      <w:r w:rsidR="00552DED" w:rsidRPr="00617ACB">
        <w:rPr>
          <w:u w:val="single"/>
        </w:rPr>
        <w:t xml:space="preserve"> </w:t>
      </w:r>
      <w:r w:rsidRPr="00617ACB">
        <w:rPr>
          <w:u w:val="single"/>
        </w:rPr>
        <w:t xml:space="preserve"> </w:t>
      </w:r>
    </w:p>
    <w:p w14:paraId="365D6F27" w14:textId="3F990864" w:rsidR="00784073" w:rsidRPr="00397642" w:rsidRDefault="00B85E64" w:rsidP="0034527C">
      <w:pPr>
        <w:pStyle w:val="LI-BodyTextParaa"/>
        <w:numPr>
          <w:ilvl w:val="0"/>
          <w:numId w:val="1"/>
        </w:numPr>
      </w:pPr>
      <w:r w:rsidRPr="00397642">
        <w:t xml:space="preserve">In </w:t>
      </w:r>
      <w:hyperlink r:id="rId15" w:history="1">
        <w:r w:rsidRPr="00611DA5">
          <w:rPr>
            <w:rStyle w:val="Hyperlink"/>
            <w:i/>
            <w:iCs/>
          </w:rPr>
          <w:t>C</w:t>
        </w:r>
        <w:r w:rsidR="00EA109F" w:rsidRPr="00611DA5">
          <w:rPr>
            <w:rStyle w:val="Hyperlink"/>
            <w:i/>
            <w:iCs/>
          </w:rPr>
          <w:t xml:space="preserve">onsultation </w:t>
        </w:r>
        <w:r w:rsidRPr="00611DA5">
          <w:rPr>
            <w:rStyle w:val="Hyperlink"/>
            <w:i/>
            <w:iCs/>
          </w:rPr>
          <w:t>P</w:t>
        </w:r>
        <w:r w:rsidR="00EA109F" w:rsidRPr="00611DA5">
          <w:rPr>
            <w:rStyle w:val="Hyperlink"/>
            <w:i/>
            <w:iCs/>
          </w:rPr>
          <w:t>aper</w:t>
        </w:r>
        <w:r w:rsidRPr="00611DA5">
          <w:rPr>
            <w:rStyle w:val="Hyperlink"/>
            <w:i/>
            <w:iCs/>
          </w:rPr>
          <w:t xml:space="preserve"> 353</w:t>
        </w:r>
        <w:r w:rsidR="00A40A81" w:rsidRPr="00611DA5">
          <w:rPr>
            <w:rStyle w:val="Hyperlink"/>
            <w:i/>
            <w:iCs/>
          </w:rPr>
          <w:t>:</w:t>
        </w:r>
        <w:r w:rsidR="00EA109F" w:rsidRPr="00611DA5">
          <w:rPr>
            <w:rStyle w:val="Hyperlink"/>
            <w:i/>
            <w:iCs/>
          </w:rPr>
          <w:t xml:space="preserve"> Proposed amendments to the ASIC Derivative Transaction Rules (Clearing) 2015</w:t>
        </w:r>
      </w:hyperlink>
      <w:r w:rsidR="00EA109F" w:rsidRPr="00611DA5">
        <w:t xml:space="preserve"> (</w:t>
      </w:r>
      <w:r w:rsidR="00EA109F" w:rsidRPr="00611DA5">
        <w:rPr>
          <w:b/>
          <w:bCs/>
        </w:rPr>
        <w:t>CP 353</w:t>
      </w:r>
      <w:r w:rsidR="00EA109F" w:rsidRPr="00611DA5">
        <w:t>)</w:t>
      </w:r>
      <w:r w:rsidRPr="00397642">
        <w:t xml:space="preserve">, we indicated that we would revisit the removal and replacement of contracts referencing USD LIBOR in a later round of consultation, to allow time </w:t>
      </w:r>
      <w:r w:rsidR="00B55EAB" w:rsidRPr="00611DA5">
        <w:t xml:space="preserve">for </w:t>
      </w:r>
      <w:r w:rsidRPr="00397642">
        <w:t xml:space="preserve">the US </w:t>
      </w:r>
      <w:r w:rsidR="001B520F">
        <w:t>Commodity Futures Trading Commission (</w:t>
      </w:r>
      <w:r w:rsidR="001B520F">
        <w:rPr>
          <w:b/>
          <w:bCs/>
        </w:rPr>
        <w:t>CFTC</w:t>
      </w:r>
      <w:r w:rsidR="001B520F">
        <w:t xml:space="preserve">) </w:t>
      </w:r>
      <w:r w:rsidR="00C21C41">
        <w:t>– the relevant home regulator –</w:t>
      </w:r>
      <w:r w:rsidR="006A1911">
        <w:t xml:space="preserve"> </w:t>
      </w:r>
      <w:r w:rsidRPr="00397642">
        <w:t xml:space="preserve">to settle </w:t>
      </w:r>
      <w:r w:rsidR="00E7294A">
        <w:t>its</w:t>
      </w:r>
      <w:r w:rsidR="00E7294A" w:rsidRPr="00397642">
        <w:t xml:space="preserve"> </w:t>
      </w:r>
      <w:r w:rsidRPr="00397642">
        <w:t xml:space="preserve">approach.  </w:t>
      </w:r>
      <w:r w:rsidR="0092642E" w:rsidRPr="00397642">
        <w:t xml:space="preserve"> </w:t>
      </w:r>
    </w:p>
    <w:p w14:paraId="06C81C90" w14:textId="202D700F" w:rsidR="00C11C8E" w:rsidRDefault="00C11C8E" w:rsidP="00541041">
      <w:pPr>
        <w:pStyle w:val="LI-BodyTextNumbered"/>
        <w:ind w:left="0" w:firstLine="0"/>
        <w:rPr>
          <w:b/>
        </w:rPr>
      </w:pPr>
      <w:r>
        <w:rPr>
          <w:b/>
        </w:rPr>
        <w:t xml:space="preserve">Operation of the </w:t>
      </w:r>
      <w:r w:rsidR="009D7070">
        <w:rPr>
          <w:b/>
        </w:rPr>
        <w:t>I</w:t>
      </w:r>
      <w:r>
        <w:rPr>
          <w:b/>
        </w:rPr>
        <w:t>nstrument</w:t>
      </w:r>
    </w:p>
    <w:p w14:paraId="38D6351B" w14:textId="74593113" w:rsidR="00F63B10" w:rsidRPr="00960390" w:rsidRDefault="00F63B10" w:rsidP="005B2617">
      <w:pPr>
        <w:pStyle w:val="LI-BodyTextParaa"/>
        <w:ind w:left="567"/>
        <w:rPr>
          <w:u w:val="single"/>
        </w:rPr>
      </w:pPr>
      <w:r w:rsidRPr="00960390">
        <w:rPr>
          <w:u w:val="single"/>
        </w:rPr>
        <w:t>Part 1 – Preliminary</w:t>
      </w:r>
    </w:p>
    <w:p w14:paraId="69A21507" w14:textId="38FB8EFC" w:rsidR="00F63B10" w:rsidRPr="00A03757" w:rsidRDefault="00F63B10" w:rsidP="00CF11BB">
      <w:pPr>
        <w:pStyle w:val="LI-BodyTextParaa"/>
        <w:numPr>
          <w:ilvl w:val="0"/>
          <w:numId w:val="1"/>
        </w:numPr>
      </w:pPr>
      <w:r>
        <w:t xml:space="preserve">Section 1 provides that the name of the Instrument is the </w:t>
      </w:r>
      <w:r w:rsidRPr="00306FE9">
        <w:rPr>
          <w:i/>
          <w:iCs/>
        </w:rPr>
        <w:t xml:space="preserve">ASIC </w:t>
      </w:r>
      <w:r w:rsidRPr="00A03757">
        <w:rPr>
          <w:i/>
          <w:iCs/>
        </w:rPr>
        <w:t>Derivative Transaction Rules (Clearing) Amendment Instrument 202</w:t>
      </w:r>
      <w:r w:rsidR="009974F8" w:rsidRPr="00A03757">
        <w:rPr>
          <w:i/>
          <w:iCs/>
        </w:rPr>
        <w:t>3</w:t>
      </w:r>
      <w:r w:rsidRPr="00A03757">
        <w:rPr>
          <w:i/>
          <w:iCs/>
        </w:rPr>
        <w:t>/</w:t>
      </w:r>
      <w:r w:rsidR="00A7739F">
        <w:rPr>
          <w:i/>
          <w:iCs/>
        </w:rPr>
        <w:t>726</w:t>
      </w:r>
      <w:r w:rsidR="0019791A">
        <w:rPr>
          <w:i/>
          <w:iCs/>
        </w:rPr>
        <w:t xml:space="preserve">. </w:t>
      </w:r>
    </w:p>
    <w:p w14:paraId="0EECE2A1" w14:textId="37F089E8" w:rsidR="005B2617" w:rsidRDefault="005B2617" w:rsidP="009D03B2">
      <w:pPr>
        <w:pStyle w:val="LI-BodyTextParaa"/>
        <w:numPr>
          <w:ilvl w:val="0"/>
          <w:numId w:val="1"/>
        </w:numPr>
        <w:rPr>
          <w:i/>
        </w:rPr>
      </w:pPr>
      <w:r w:rsidRPr="00606DB3">
        <w:t>Section 2</w:t>
      </w:r>
      <w:r w:rsidR="00677C09" w:rsidRPr="00606DB3">
        <w:t xml:space="preserve"> provides th</w:t>
      </w:r>
      <w:r w:rsidR="00716F5E">
        <w:t xml:space="preserve">e commencement date for </w:t>
      </w:r>
      <w:r w:rsidR="0011704A">
        <w:t xml:space="preserve">the items in the Schedule. It provides that </w:t>
      </w:r>
      <w:r w:rsidR="00677C09" w:rsidRPr="00606DB3">
        <w:t xml:space="preserve">the </w:t>
      </w:r>
      <w:r w:rsidR="00F63B10">
        <w:t>I</w:t>
      </w:r>
      <w:r w:rsidR="00677C09" w:rsidRPr="00606DB3">
        <w:t>nstrument</w:t>
      </w:r>
      <w:r w:rsidR="0011704A">
        <w:t xml:space="preserve"> (other than </w:t>
      </w:r>
      <w:r w:rsidR="004B155E">
        <w:t>item 7 of Schedule 1 to the Instrument)</w:t>
      </w:r>
      <w:r w:rsidRPr="00606DB3">
        <w:t xml:space="preserve"> commences </w:t>
      </w:r>
      <w:r w:rsidR="00606DB3" w:rsidRPr="00606DB3">
        <w:t xml:space="preserve">on the day that </w:t>
      </w:r>
      <w:r w:rsidR="000521A8">
        <w:t xml:space="preserve">it </w:t>
      </w:r>
      <w:r w:rsidR="00606DB3" w:rsidRPr="00606DB3">
        <w:t xml:space="preserve">is </w:t>
      </w:r>
      <w:r w:rsidR="004B155E">
        <w:t xml:space="preserve">registered on the Federal Register of Legislation. </w:t>
      </w:r>
      <w:r w:rsidR="00BE130A">
        <w:t xml:space="preserve">It also provides that item 7 of Schedule 1 </w:t>
      </w:r>
      <w:r w:rsidR="0072067D">
        <w:t>commences 6</w:t>
      </w:r>
      <w:r w:rsidR="0072067D" w:rsidRPr="00606DB3">
        <w:t xml:space="preserve"> </w:t>
      </w:r>
      <w:r w:rsidR="00475E6B" w:rsidRPr="00606DB3">
        <w:t>months after</w:t>
      </w:r>
      <w:r w:rsidRPr="00606DB3">
        <w:t xml:space="preserve"> the day it is registered on the Federal Register of Legislation.</w:t>
      </w:r>
    </w:p>
    <w:p w14:paraId="106F5492" w14:textId="41CCD2DE" w:rsidR="008327AB" w:rsidRDefault="00F63B10" w:rsidP="00C12837">
      <w:pPr>
        <w:pStyle w:val="LI-BodyTextParaa"/>
        <w:numPr>
          <w:ilvl w:val="0"/>
          <w:numId w:val="1"/>
        </w:numPr>
      </w:pPr>
      <w:r>
        <w:t xml:space="preserve">Section 3 provides that the Instrument is made under section 901M of the </w:t>
      </w:r>
      <w:r w:rsidR="005C1D56">
        <w:t xml:space="preserve">Act. </w:t>
      </w:r>
    </w:p>
    <w:p w14:paraId="78EBAB2F" w14:textId="7F44DEB1" w:rsidR="00F36C1B" w:rsidRDefault="00F36C1B" w:rsidP="00C12837">
      <w:pPr>
        <w:pStyle w:val="LI-BodyTextParaa"/>
        <w:numPr>
          <w:ilvl w:val="0"/>
          <w:numId w:val="1"/>
        </w:numPr>
      </w:pPr>
      <w:r>
        <w:t xml:space="preserve">Section </w:t>
      </w:r>
      <w:r w:rsidR="00083D12">
        <w:t xml:space="preserve">4 </w:t>
      </w:r>
      <w:r w:rsidR="005D197F">
        <w:t>sets out that each instrument specified in the Schedule is amended</w:t>
      </w:r>
      <w:r w:rsidR="008B0A61">
        <w:t>, repealed</w:t>
      </w:r>
      <w:r w:rsidR="009E0835">
        <w:t>,</w:t>
      </w:r>
      <w:r w:rsidR="008B0A61">
        <w:t xml:space="preserve"> or has effect according to the applicable items in the Schedule. </w:t>
      </w:r>
    </w:p>
    <w:p w14:paraId="72260E2A" w14:textId="0F43C5D0" w:rsidR="00F63B10" w:rsidRPr="00C12837" w:rsidRDefault="00F63B10" w:rsidP="008327AB">
      <w:pPr>
        <w:pStyle w:val="LI-BodyTextParaa"/>
        <w:ind w:left="567"/>
        <w:rPr>
          <w:i/>
          <w:u w:val="single"/>
        </w:rPr>
      </w:pPr>
      <w:r w:rsidRPr="00A03757">
        <w:rPr>
          <w:u w:val="single"/>
        </w:rPr>
        <w:t>Schedule 1 – Amendments</w:t>
      </w:r>
    </w:p>
    <w:p w14:paraId="2069DC06" w14:textId="2D54B98C" w:rsidR="00296C12" w:rsidRDefault="00F63B10" w:rsidP="00103F50">
      <w:pPr>
        <w:pStyle w:val="LI-BodyTextParaa"/>
        <w:numPr>
          <w:ilvl w:val="0"/>
          <w:numId w:val="1"/>
        </w:numPr>
      </w:pPr>
      <w:r>
        <w:t xml:space="preserve">Items 1 to </w:t>
      </w:r>
      <w:r w:rsidR="00B01A9A">
        <w:t>7</w:t>
      </w:r>
      <w:r>
        <w:t xml:space="preserve"> in </w:t>
      </w:r>
      <w:r w:rsidR="008327AB">
        <w:t>Schedule 1</w:t>
      </w:r>
      <w:r w:rsidR="00B72546">
        <w:t xml:space="preserve"> </w:t>
      </w:r>
      <w:r w:rsidR="008327AB">
        <w:t>make amendments to the</w:t>
      </w:r>
      <w:r w:rsidR="006545F7">
        <w:t xml:space="preserve"> Rules </w:t>
      </w:r>
      <w:r w:rsidR="008327AB">
        <w:t xml:space="preserve">to </w:t>
      </w:r>
      <w:r w:rsidR="00296C12">
        <w:t xml:space="preserve">modify the Derivatives which fall within the definition of a Clearing Derivative in </w:t>
      </w:r>
      <w:r>
        <w:t>R</w:t>
      </w:r>
      <w:r w:rsidR="00296C12">
        <w:t>ule 1.2.3</w:t>
      </w:r>
      <w:r>
        <w:t xml:space="preserve"> of the Rules</w:t>
      </w:r>
      <w:r w:rsidR="00296C12">
        <w:t xml:space="preserve"> as </w:t>
      </w:r>
      <w:r w:rsidR="000E2019">
        <w:t xml:space="preserve">set out in that </w:t>
      </w:r>
      <w:r w:rsidR="00681FEB">
        <w:t>S</w:t>
      </w:r>
      <w:r w:rsidR="000E2019">
        <w:t>chedule</w:t>
      </w:r>
      <w:r>
        <w:t xml:space="preserve"> and below</w:t>
      </w:r>
      <w:r w:rsidR="00E916CF">
        <w:t>. The items also make ame</w:t>
      </w:r>
      <w:r w:rsidR="003C6825">
        <w:t xml:space="preserve">ndments to renumber the </w:t>
      </w:r>
      <w:r w:rsidR="00B5500E">
        <w:t xml:space="preserve">modified </w:t>
      </w:r>
      <w:r w:rsidR="003C6825">
        <w:t>items.</w:t>
      </w:r>
    </w:p>
    <w:p w14:paraId="52AC3628" w14:textId="0D55AE26" w:rsidR="00FF092A" w:rsidRDefault="00FF092A" w:rsidP="00FF092A">
      <w:pPr>
        <w:pStyle w:val="LI-BodyTextParaa"/>
        <w:numPr>
          <w:ilvl w:val="0"/>
          <w:numId w:val="5"/>
        </w:numPr>
      </w:pPr>
      <w:r>
        <w:t xml:space="preserve">removing contracts referencing </w:t>
      </w:r>
      <w:r w:rsidR="00F96F2E">
        <w:t>US dollar (</w:t>
      </w:r>
      <w:r w:rsidR="00C94A5A">
        <w:t>USD</w:t>
      </w:r>
      <w:r w:rsidR="00F96F2E">
        <w:t>)</w:t>
      </w:r>
      <w:r w:rsidR="00C94A5A">
        <w:t xml:space="preserve"> </w:t>
      </w:r>
      <w:r w:rsidR="00F96F2E">
        <w:t>London Interbank Offered Rate (</w:t>
      </w:r>
      <w:r w:rsidR="00C94A5A">
        <w:t>LIBOR</w:t>
      </w:r>
      <w:r w:rsidR="00F96F2E">
        <w:t>)</w:t>
      </w:r>
      <w:r>
        <w:t xml:space="preserve"> from Rule 1.2.3 (</w:t>
      </w:r>
      <w:r w:rsidRPr="00D22CA0">
        <w:rPr>
          <w:i/>
          <w:iCs/>
        </w:rPr>
        <w:t>Meaning of Clearing Derivative</w:t>
      </w:r>
      <w:r>
        <w:t>) by deleting:</w:t>
      </w:r>
    </w:p>
    <w:p w14:paraId="3D42FACB" w14:textId="3A34ABA9" w:rsidR="00FF092A" w:rsidRDefault="00FF092A" w:rsidP="00FF092A">
      <w:pPr>
        <w:pStyle w:val="LI-BodyTextParaa"/>
        <w:numPr>
          <w:ilvl w:val="0"/>
          <w:numId w:val="6"/>
        </w:numPr>
      </w:pPr>
      <w:r>
        <w:t>item</w:t>
      </w:r>
      <w:r w:rsidR="00E3755D">
        <w:t xml:space="preserve"> 1</w:t>
      </w:r>
      <w:r>
        <w:t xml:space="preserve"> </w:t>
      </w:r>
      <w:r w:rsidR="00E3755D">
        <w:t>in</w:t>
      </w:r>
      <w:r>
        <w:t xml:space="preserve"> the table at subrule </w:t>
      </w:r>
      <w:r w:rsidR="009C5843">
        <w:t>1.2.3</w:t>
      </w:r>
      <w:r>
        <w:t>(2) (</w:t>
      </w:r>
      <w:proofErr w:type="spellStart"/>
      <w:r w:rsidRPr="00D22CA0">
        <w:rPr>
          <w:i/>
          <w:iCs/>
        </w:rPr>
        <w:t>IRD</w:t>
      </w:r>
      <w:proofErr w:type="spellEnd"/>
      <w:r w:rsidRPr="00D22CA0">
        <w:rPr>
          <w:i/>
          <w:iCs/>
        </w:rPr>
        <w:t xml:space="preserve"> Class Specifications for Basis Swaps and Fixed-to-Floating Swaps</w:t>
      </w:r>
      <w:r>
        <w:t>); and</w:t>
      </w:r>
    </w:p>
    <w:p w14:paraId="309505EC" w14:textId="4DCE04DF" w:rsidR="00FF092A" w:rsidRDefault="00FF092A" w:rsidP="00FF092A">
      <w:pPr>
        <w:pStyle w:val="LI-BodyTextParaa"/>
        <w:numPr>
          <w:ilvl w:val="0"/>
          <w:numId w:val="6"/>
        </w:numPr>
      </w:pPr>
      <w:r>
        <w:t xml:space="preserve">items </w:t>
      </w:r>
      <w:r w:rsidR="00770C23">
        <w:t>1</w:t>
      </w:r>
      <w:r>
        <w:t xml:space="preserve"> and </w:t>
      </w:r>
      <w:r w:rsidR="00770C23">
        <w:t>3</w:t>
      </w:r>
      <w:r>
        <w:t xml:space="preserve"> in the table at subrule </w:t>
      </w:r>
      <w:r w:rsidR="00A0576E">
        <w:t>1.2.3</w:t>
      </w:r>
      <w:r>
        <w:t>(3) (</w:t>
      </w:r>
      <w:proofErr w:type="spellStart"/>
      <w:r w:rsidRPr="00D22CA0">
        <w:rPr>
          <w:i/>
          <w:iCs/>
        </w:rPr>
        <w:t>IRD</w:t>
      </w:r>
      <w:proofErr w:type="spellEnd"/>
      <w:r w:rsidRPr="00D22CA0">
        <w:rPr>
          <w:i/>
          <w:iCs/>
        </w:rPr>
        <w:t xml:space="preserve"> Class Specifications for Forward Rate Agreements</w:t>
      </w:r>
      <w:r>
        <w:t>); and</w:t>
      </w:r>
    </w:p>
    <w:p w14:paraId="6A9444FE" w14:textId="586D74B8" w:rsidR="00FF092A" w:rsidRDefault="00FF092A" w:rsidP="00FF092A">
      <w:pPr>
        <w:pStyle w:val="LI-BodyTextParaa"/>
        <w:numPr>
          <w:ilvl w:val="0"/>
          <w:numId w:val="5"/>
        </w:numPr>
      </w:pPr>
      <w:r>
        <w:lastRenderedPageBreak/>
        <w:t>replacing these contracts by:</w:t>
      </w:r>
    </w:p>
    <w:p w14:paraId="54CF50EC" w14:textId="16992D6B" w:rsidR="00FF092A" w:rsidRDefault="00FF092A" w:rsidP="00D22CA0">
      <w:pPr>
        <w:pStyle w:val="LI-BodyTextParaa"/>
        <w:numPr>
          <w:ilvl w:val="0"/>
          <w:numId w:val="7"/>
        </w:numPr>
      </w:pPr>
      <w:r>
        <w:t xml:space="preserve">adding an item to the table at subrule </w:t>
      </w:r>
      <w:r w:rsidR="005232ED">
        <w:t>1.2.3</w:t>
      </w:r>
      <w:r>
        <w:t xml:space="preserve">(4) for </w:t>
      </w:r>
      <w:r w:rsidR="0020689C">
        <w:t>USD</w:t>
      </w:r>
      <w:r>
        <w:t xml:space="preserve">-denominated contracts referencing the </w:t>
      </w:r>
      <w:proofErr w:type="spellStart"/>
      <w:r w:rsidR="0020689C" w:rsidRPr="00611DA5">
        <w:t>SOFR</w:t>
      </w:r>
      <w:proofErr w:type="spellEnd"/>
      <w:r w:rsidR="00F63C75">
        <w:t xml:space="preserve"> </w:t>
      </w:r>
      <w:r>
        <w:t xml:space="preserve">with a Termination Date Range of 7 days to </w:t>
      </w:r>
      <w:r w:rsidR="00F63C75">
        <w:t>5</w:t>
      </w:r>
      <w:r>
        <w:t>0 years.</w:t>
      </w:r>
    </w:p>
    <w:p w14:paraId="221BA06F" w14:textId="0FE75A28" w:rsidR="004B7C18" w:rsidRPr="00672E5C" w:rsidRDefault="004B7C18" w:rsidP="00C11C8E">
      <w:pPr>
        <w:pStyle w:val="LI-BodyTextParaa"/>
        <w:ind w:left="0" w:firstLine="0"/>
        <w:rPr>
          <w:bCs/>
          <w:u w:val="single"/>
        </w:rPr>
      </w:pPr>
      <w:r w:rsidRPr="00672E5C">
        <w:rPr>
          <w:bCs/>
          <w:u w:val="single"/>
        </w:rPr>
        <w:t>Legislative instrument and primary legislation</w:t>
      </w:r>
    </w:p>
    <w:p w14:paraId="0A64060A" w14:textId="05C7A2EC" w:rsidR="004B7C18" w:rsidRDefault="004B7C18" w:rsidP="00633ED3">
      <w:pPr>
        <w:pStyle w:val="LI-BodyTextParaa"/>
        <w:numPr>
          <w:ilvl w:val="0"/>
          <w:numId w:val="1"/>
        </w:numPr>
        <w:rPr>
          <w:bCs/>
        </w:rPr>
      </w:pPr>
      <w:r>
        <w:rPr>
          <w:bCs/>
        </w:rPr>
        <w:t>The subject matter and policy implemented by th</w:t>
      </w:r>
      <w:r w:rsidR="00B56445">
        <w:rPr>
          <w:bCs/>
        </w:rPr>
        <w:t>e</w:t>
      </w:r>
      <w:r>
        <w:rPr>
          <w:bCs/>
        </w:rPr>
        <w:t xml:space="preserve"> Instrument is more appropriate for a legislative instrument rather than primary legislation because:</w:t>
      </w:r>
    </w:p>
    <w:p w14:paraId="0BD21658" w14:textId="2F3A76FB" w:rsidR="00670F95" w:rsidRDefault="00670F95" w:rsidP="00633ED3">
      <w:pPr>
        <w:pStyle w:val="LI-BodyTextParaa"/>
        <w:numPr>
          <w:ilvl w:val="0"/>
          <w:numId w:val="19"/>
        </w:numPr>
        <w:rPr>
          <w:bCs/>
        </w:rPr>
      </w:pPr>
      <w:r>
        <w:rPr>
          <w:bCs/>
        </w:rPr>
        <w:t>The Rules are made by ASIC utilising powers given by Parliament to ASIC that allow ASIC to make</w:t>
      </w:r>
      <w:r w:rsidR="006A3058">
        <w:rPr>
          <w:bCs/>
        </w:rPr>
        <w:t>, amend or revoke derivative transaction</w:t>
      </w:r>
      <w:r>
        <w:rPr>
          <w:bCs/>
        </w:rPr>
        <w:t xml:space="preserve"> rules. Th</w:t>
      </w:r>
      <w:r w:rsidR="007D68BD">
        <w:rPr>
          <w:bCs/>
        </w:rPr>
        <w:t>e</w:t>
      </w:r>
      <w:r>
        <w:rPr>
          <w:bCs/>
        </w:rPr>
        <w:t xml:space="preserve"> Instrument amends the Rules</w:t>
      </w:r>
      <w:r w:rsidR="006A3058">
        <w:rPr>
          <w:bCs/>
        </w:rPr>
        <w:t>.</w:t>
      </w:r>
    </w:p>
    <w:p w14:paraId="3CC152AB" w14:textId="6E969380" w:rsidR="004B7C18" w:rsidRPr="008E1FD5" w:rsidRDefault="00670F95" w:rsidP="00771B5E">
      <w:pPr>
        <w:pStyle w:val="LI-BodyTextParaa"/>
        <w:numPr>
          <w:ilvl w:val="0"/>
          <w:numId w:val="1"/>
        </w:numPr>
        <w:rPr>
          <w:bCs/>
        </w:rPr>
      </w:pPr>
      <w:r>
        <w:rPr>
          <w:bCs/>
        </w:rPr>
        <w:t>The duration of the amendments made by th</w:t>
      </w:r>
      <w:r w:rsidR="00F17335">
        <w:rPr>
          <w:bCs/>
        </w:rPr>
        <w:t>e</w:t>
      </w:r>
      <w:r>
        <w:rPr>
          <w:bCs/>
        </w:rPr>
        <w:t xml:space="preserve"> Instrument align with the duration of the Rules, which th</w:t>
      </w:r>
      <w:r w:rsidR="00F17335">
        <w:rPr>
          <w:bCs/>
        </w:rPr>
        <w:t>e</w:t>
      </w:r>
      <w:r>
        <w:rPr>
          <w:bCs/>
        </w:rPr>
        <w:t xml:space="preserve"> Instrument amends.</w:t>
      </w:r>
    </w:p>
    <w:p w14:paraId="4AAD99B5" w14:textId="6B832B28" w:rsidR="00C11C8E" w:rsidRDefault="00C11C8E" w:rsidP="00C11C8E">
      <w:pPr>
        <w:pStyle w:val="LI-BodyTextParaa"/>
        <w:ind w:left="0" w:firstLine="0"/>
        <w:rPr>
          <w:b/>
        </w:rPr>
      </w:pPr>
      <w:r>
        <w:rPr>
          <w:b/>
        </w:rPr>
        <w:t>Legislative authority</w:t>
      </w:r>
    </w:p>
    <w:p w14:paraId="3DFFB5F8" w14:textId="35C7981E" w:rsidR="00011B00" w:rsidRDefault="00011B00" w:rsidP="00240BC8">
      <w:pPr>
        <w:pStyle w:val="LI-BodyTextParaa"/>
        <w:numPr>
          <w:ilvl w:val="0"/>
          <w:numId w:val="1"/>
        </w:numPr>
      </w:pPr>
      <w:r>
        <w:t>Th</w:t>
      </w:r>
      <w:r w:rsidR="00240BC8">
        <w:t>e</w:t>
      </w:r>
      <w:r w:rsidR="006A3058">
        <w:t xml:space="preserve"> </w:t>
      </w:r>
      <w:r>
        <w:t>Instrument is</w:t>
      </w:r>
      <w:r w:rsidR="006A3058">
        <w:t xml:space="preserve"> made under</w:t>
      </w:r>
      <w:r>
        <w:t xml:space="preserve"> </w:t>
      </w:r>
      <w:r w:rsidR="005D0535">
        <w:t>section</w:t>
      </w:r>
      <w:r w:rsidR="006A3058">
        <w:t xml:space="preserve"> 901M</w:t>
      </w:r>
      <w:r>
        <w:t xml:space="preserve"> of the </w:t>
      </w:r>
      <w:r w:rsidR="00766B1C" w:rsidRPr="00611DA5">
        <w:t>Act</w:t>
      </w:r>
      <w:r w:rsidR="00DF19E1">
        <w:t>.</w:t>
      </w:r>
    </w:p>
    <w:p w14:paraId="62AA8107" w14:textId="3CB74074" w:rsidR="001D061D" w:rsidRDefault="001D061D" w:rsidP="00BB1E18">
      <w:pPr>
        <w:pStyle w:val="LI-BodyTextParaa"/>
        <w:numPr>
          <w:ilvl w:val="0"/>
          <w:numId w:val="1"/>
        </w:numPr>
      </w:pPr>
      <w:r>
        <w:t>S</w:t>
      </w:r>
      <w:r w:rsidRPr="00A1255D">
        <w:t>ubsection 901M(1) of the Act</w:t>
      </w:r>
      <w:r>
        <w:t xml:space="preserve"> provides that, ASIC may amend or revoke a derivative transaction rule in like manner and subject to</w:t>
      </w:r>
      <w:r w:rsidRPr="00EF6214">
        <w:t xml:space="preserve"> </w:t>
      </w:r>
      <w:r>
        <w:t xml:space="preserve">like conditions (see subsections 33(3) and (3AA) of the </w:t>
      </w:r>
      <w:r>
        <w:rPr>
          <w:i/>
          <w:iCs/>
        </w:rPr>
        <w:t>Acts Interpretation Act 1901</w:t>
      </w:r>
      <w:r>
        <w:t>).</w:t>
      </w:r>
      <w:r w:rsidR="00055521">
        <w:t xml:space="preserve"> </w:t>
      </w:r>
    </w:p>
    <w:p w14:paraId="6AC2A809" w14:textId="7912C30E" w:rsidR="001E486F" w:rsidRDefault="001E486F" w:rsidP="00E00789">
      <w:pPr>
        <w:pStyle w:val="LI-BodyTextParaa"/>
        <w:numPr>
          <w:ilvl w:val="0"/>
          <w:numId w:val="1"/>
        </w:numPr>
      </w:pPr>
      <w:r>
        <w:t>Subsection 901K(1) of the Act provides that ASIC must not make a derivative transaction rule unless the Minister has consented, in writing, to the making of the rule. The Minister consented to the making of the Instrument by written notice to ASIC dated</w:t>
      </w:r>
      <w:r w:rsidR="00744668">
        <w:t xml:space="preserve"> 7 September 2023</w:t>
      </w:r>
      <w:r>
        <w:t>.</w:t>
      </w:r>
    </w:p>
    <w:p w14:paraId="58A120FD" w14:textId="5D3087D1" w:rsidR="00DB4BD8" w:rsidRDefault="00DB4BD8" w:rsidP="00E00789">
      <w:pPr>
        <w:pStyle w:val="LI-BodyTextParaa"/>
        <w:numPr>
          <w:ilvl w:val="0"/>
          <w:numId w:val="1"/>
        </w:numPr>
      </w:pPr>
      <w:r>
        <w:t>Section 901A of the Act provides that rules made under this section are by</w:t>
      </w:r>
      <w:r w:rsidR="001C2495">
        <w:t xml:space="preserve"> way of legislative instrument. These rules are subject to disallowance in accordance with section 42 of the </w:t>
      </w:r>
      <w:r w:rsidR="001C2495" w:rsidRPr="00244C8E">
        <w:rPr>
          <w:i/>
          <w:iCs/>
        </w:rPr>
        <w:t>Legislation Act 2003</w:t>
      </w:r>
      <w:r w:rsidR="001C2495">
        <w:t xml:space="preserve">. Section 44 of the </w:t>
      </w:r>
      <w:r w:rsidR="001C2495" w:rsidRPr="00244C8E">
        <w:rPr>
          <w:i/>
          <w:iCs/>
        </w:rPr>
        <w:t>Legislation Act 2003</w:t>
      </w:r>
      <w:r w:rsidR="001C2495">
        <w:t xml:space="preserve"> does not apply to the Instrument. The Instrument is subject to disallowance</w:t>
      </w:r>
      <w:r w:rsidR="001C2495" w:rsidRPr="001125EC">
        <w:t>.</w:t>
      </w:r>
    </w:p>
    <w:p w14:paraId="7312ED02" w14:textId="6D10B485" w:rsidR="00BA45DF" w:rsidRDefault="00BA45DF" w:rsidP="00E00789">
      <w:pPr>
        <w:pStyle w:val="LI-BodyTextParaa"/>
        <w:numPr>
          <w:ilvl w:val="0"/>
          <w:numId w:val="1"/>
        </w:numPr>
      </w:pPr>
      <w:r>
        <w:t xml:space="preserve">The Office of </w:t>
      </w:r>
      <w:r w:rsidR="00300A4E">
        <w:t>Impact A</w:t>
      </w:r>
      <w:r w:rsidR="005E7EA6">
        <w:t xml:space="preserve">nalysis </w:t>
      </w:r>
      <w:r>
        <w:t>has advised ASIC that a</w:t>
      </w:r>
      <w:r w:rsidR="004419A2">
        <w:t>n</w:t>
      </w:r>
      <w:r>
        <w:t xml:space="preserve"> </w:t>
      </w:r>
      <w:r w:rsidR="009F01A5">
        <w:t>Impact Analysis</w:t>
      </w:r>
      <w:r>
        <w:t xml:space="preserve"> is not required in relation to the Instrument because the proposed amendments are unlikely to have more than minor and machinery impacts.</w:t>
      </w:r>
    </w:p>
    <w:p w14:paraId="2C59078F" w14:textId="2A9788F0" w:rsidR="00047FC4" w:rsidRPr="00073F10" w:rsidRDefault="00047FC4" w:rsidP="00EF6214">
      <w:pPr>
        <w:pStyle w:val="LI-BodyTextParaa"/>
        <w:ind w:left="567"/>
        <w:rPr>
          <w:u w:val="single"/>
        </w:rPr>
      </w:pPr>
      <w:r w:rsidRPr="00073F10">
        <w:rPr>
          <w:u w:val="single"/>
        </w:rPr>
        <w:t>Limitations on rule-making power</w:t>
      </w:r>
    </w:p>
    <w:p w14:paraId="0B6078C7" w14:textId="544D0DFC" w:rsidR="00047FC4" w:rsidRPr="00C03930" w:rsidRDefault="00047FC4" w:rsidP="00073F10">
      <w:pPr>
        <w:pStyle w:val="LI-BodyTextParaa"/>
        <w:numPr>
          <w:ilvl w:val="0"/>
          <w:numId w:val="1"/>
        </w:numPr>
      </w:pPr>
      <w:r w:rsidRPr="00047FC4">
        <w:t>ASIC’s power to make derivative transaction rules imposing clearing requirements is subject to a number of limitations</w:t>
      </w:r>
      <w:r>
        <w:t>.</w:t>
      </w:r>
    </w:p>
    <w:p w14:paraId="35DA83E8" w14:textId="38D0613C" w:rsidR="00047FC4" w:rsidRPr="00047FC4" w:rsidRDefault="00047FC4" w:rsidP="00047FC4">
      <w:pPr>
        <w:pStyle w:val="LI-BodyTextParaa"/>
        <w:ind w:left="0" w:firstLine="0"/>
        <w:rPr>
          <w:i/>
          <w:iCs/>
        </w:rPr>
      </w:pPr>
      <w:r>
        <w:rPr>
          <w:i/>
          <w:iCs/>
        </w:rPr>
        <w:t>Ministerial determination</w:t>
      </w:r>
    </w:p>
    <w:p w14:paraId="3839EC5B" w14:textId="77F3D2AA" w:rsidR="00B42B20" w:rsidRPr="00C03930" w:rsidRDefault="00B42B20" w:rsidP="00566BE6">
      <w:pPr>
        <w:pStyle w:val="LI-BodyTextParaa"/>
        <w:numPr>
          <w:ilvl w:val="0"/>
          <w:numId w:val="1"/>
        </w:numPr>
      </w:pPr>
      <w:r>
        <w:t xml:space="preserve">Subsection 901B(1) of the Act provides that the derivative transaction rules cannot impose clearing requirements in relation to derivative transactions unless the derivatives to which the transactions relate are covered by a </w:t>
      </w:r>
      <w:r>
        <w:lastRenderedPageBreak/>
        <w:t>determination under section 901B of the Act that relates to requirements of that kind.</w:t>
      </w:r>
    </w:p>
    <w:p w14:paraId="7ADF8725" w14:textId="38A3B984" w:rsidR="00766B1C" w:rsidRDefault="00B42B20" w:rsidP="00566BE6">
      <w:pPr>
        <w:pStyle w:val="LI-BodyTextParaa"/>
        <w:numPr>
          <w:ilvl w:val="0"/>
          <w:numId w:val="1"/>
        </w:numPr>
      </w:pPr>
      <w:r>
        <w:t xml:space="preserve">On 22 August 2015, the Minister made the </w:t>
      </w:r>
      <w:r>
        <w:rPr>
          <w:i/>
          <w:iCs/>
        </w:rPr>
        <w:t>Corporations (Derivatives) Amendment Determination 2015 (No. 1)</w:t>
      </w:r>
      <w:r>
        <w:t xml:space="preserve"> </w:t>
      </w:r>
      <w:r w:rsidR="00AA5BA8">
        <w:t xml:space="preserve">under subsection 901B(2) of the Act (the </w:t>
      </w:r>
      <w:r w:rsidR="00AA5BA8">
        <w:rPr>
          <w:b/>
          <w:bCs/>
        </w:rPr>
        <w:t>Ministerial Determination</w:t>
      </w:r>
      <w:r w:rsidR="00AA5BA8">
        <w:t>), determining the classes of derivatives in relation to which ASIC may impose clearing requirements, namely interest rate derivatives denominated in any of the following currencies:</w:t>
      </w:r>
    </w:p>
    <w:p w14:paraId="0D354390" w14:textId="61CD6C60" w:rsidR="00BE0F6D" w:rsidRDefault="00AA5BA8" w:rsidP="00BE0F6D">
      <w:pPr>
        <w:pStyle w:val="LI-BodyTextParaa"/>
        <w:numPr>
          <w:ilvl w:val="0"/>
          <w:numId w:val="22"/>
        </w:numPr>
      </w:pPr>
      <w:bookmarkStart w:id="2" w:name="_Hlk94874211"/>
      <w:r>
        <w:t xml:space="preserve">Australian </w:t>
      </w:r>
      <w:proofErr w:type="gramStart"/>
      <w:r>
        <w:t>dollars;</w:t>
      </w:r>
      <w:proofErr w:type="gramEnd"/>
    </w:p>
    <w:p w14:paraId="3A8BA6D3" w14:textId="5D59D822" w:rsidR="00BE0F6D" w:rsidRDefault="00AA5BA8" w:rsidP="00566BE6">
      <w:pPr>
        <w:pStyle w:val="LI-BodyTextParaa"/>
        <w:numPr>
          <w:ilvl w:val="0"/>
          <w:numId w:val="22"/>
        </w:numPr>
      </w:pPr>
      <w:r>
        <w:t xml:space="preserve">US </w:t>
      </w:r>
      <w:proofErr w:type="gramStart"/>
      <w:r>
        <w:t>dollars;</w:t>
      </w:r>
      <w:proofErr w:type="gramEnd"/>
    </w:p>
    <w:bookmarkEnd w:id="2"/>
    <w:p w14:paraId="60FC3248" w14:textId="00C94612" w:rsidR="00BE0F6D" w:rsidRDefault="00BE0F6D" w:rsidP="00566BE6">
      <w:pPr>
        <w:pStyle w:val="LI-BodyTextParaa"/>
        <w:numPr>
          <w:ilvl w:val="0"/>
          <w:numId w:val="22"/>
        </w:numPr>
      </w:pPr>
      <w:proofErr w:type="gramStart"/>
      <w:r>
        <w:t>e</w:t>
      </w:r>
      <w:r w:rsidR="00AA5BA8">
        <w:t>uros;</w:t>
      </w:r>
      <w:proofErr w:type="gramEnd"/>
    </w:p>
    <w:p w14:paraId="7FC313D4" w14:textId="48A1D0AF" w:rsidR="00BE0F6D" w:rsidRDefault="00AA5BA8" w:rsidP="00566BE6">
      <w:pPr>
        <w:pStyle w:val="LI-BodyTextParaa"/>
        <w:numPr>
          <w:ilvl w:val="0"/>
          <w:numId w:val="22"/>
        </w:numPr>
      </w:pPr>
      <w:r>
        <w:t xml:space="preserve">British </w:t>
      </w:r>
      <w:proofErr w:type="gramStart"/>
      <w:r>
        <w:t>pounds;</w:t>
      </w:r>
      <w:proofErr w:type="gramEnd"/>
    </w:p>
    <w:p w14:paraId="15D47835" w14:textId="02CFA37E" w:rsidR="00AA5BA8" w:rsidRDefault="00AA5BA8" w:rsidP="00566BE6">
      <w:pPr>
        <w:pStyle w:val="LI-BodyTextParaa"/>
        <w:numPr>
          <w:ilvl w:val="0"/>
          <w:numId w:val="22"/>
        </w:numPr>
      </w:pPr>
      <w:r>
        <w:t>Japanese yen.</w:t>
      </w:r>
    </w:p>
    <w:p w14:paraId="71CC8471" w14:textId="3E6BEB5A" w:rsidR="00AA5BA8" w:rsidRPr="00B42B20" w:rsidRDefault="00885DD6" w:rsidP="00CD1B49">
      <w:pPr>
        <w:pStyle w:val="LI-BodyTextParaa"/>
        <w:numPr>
          <w:ilvl w:val="0"/>
          <w:numId w:val="1"/>
        </w:numPr>
      </w:pPr>
      <w:r>
        <w:t>These are the Determined Clearing Classes (as the Ministerial Determination has not been revoked</w:t>
      </w:r>
      <w:r w:rsidR="00D13CFC">
        <w:t xml:space="preserve">: see </w:t>
      </w:r>
      <w:r w:rsidR="001D061D">
        <w:t>R</w:t>
      </w:r>
      <w:r w:rsidR="00D13CFC">
        <w:t>ule 1.2.1 of the Rules</w:t>
      </w:r>
      <w:r>
        <w:t>).</w:t>
      </w:r>
    </w:p>
    <w:p w14:paraId="5CCEB34C" w14:textId="272796D4" w:rsidR="00677C09" w:rsidRDefault="008E345A" w:rsidP="00CD1B49">
      <w:pPr>
        <w:pStyle w:val="LI-BodyTextParaa"/>
        <w:numPr>
          <w:ilvl w:val="0"/>
          <w:numId w:val="1"/>
        </w:numPr>
      </w:pPr>
      <w:r>
        <w:t xml:space="preserve">The Rules (as amended by the Instrument) apply only to </w:t>
      </w:r>
      <w:r w:rsidR="00150F1A">
        <w:t>derivative transactions in the Determined Clearing Classes</w:t>
      </w:r>
      <w:r w:rsidR="005A387C">
        <w:t>.</w:t>
      </w:r>
    </w:p>
    <w:p w14:paraId="719E4E64" w14:textId="2A19C658" w:rsidR="00536628" w:rsidRPr="00536628" w:rsidRDefault="00536628" w:rsidP="00677C09">
      <w:pPr>
        <w:pStyle w:val="LI-BodyTextParaa"/>
        <w:ind w:left="567"/>
      </w:pPr>
      <w:r>
        <w:rPr>
          <w:i/>
          <w:iCs/>
        </w:rPr>
        <w:t>Regulations</w:t>
      </w:r>
      <w:r>
        <w:t xml:space="preserve"> </w:t>
      </w:r>
    </w:p>
    <w:p w14:paraId="5CE6A136" w14:textId="35518F9A" w:rsidR="00536628" w:rsidRDefault="003669C1" w:rsidP="00CD1B49">
      <w:pPr>
        <w:pStyle w:val="LI-BodyTextParaa"/>
        <w:numPr>
          <w:ilvl w:val="0"/>
          <w:numId w:val="1"/>
        </w:numPr>
      </w:pPr>
      <w:r>
        <w:t>Under section 901C of the Act, the regulations may provide that the derivative transaction rules:</w:t>
      </w:r>
    </w:p>
    <w:p w14:paraId="23B7279F" w14:textId="697E80F0" w:rsidR="00F375E3" w:rsidRDefault="003669C1" w:rsidP="00CD1B49">
      <w:pPr>
        <w:pStyle w:val="LI-BodyTextParaa"/>
        <w:numPr>
          <w:ilvl w:val="0"/>
          <w:numId w:val="25"/>
        </w:numPr>
      </w:pPr>
      <w:r>
        <w:t>cannot impose requirements (or certain kinds of requirements) in relation to certain kinds of derivative transactions; or</w:t>
      </w:r>
    </w:p>
    <w:p w14:paraId="337B4441" w14:textId="35C56405" w:rsidR="003669C1" w:rsidRDefault="003669C1" w:rsidP="00CD1B49">
      <w:pPr>
        <w:pStyle w:val="LI-BodyTextParaa"/>
        <w:numPr>
          <w:ilvl w:val="0"/>
          <w:numId w:val="25"/>
        </w:numPr>
      </w:pPr>
      <w:r>
        <w:t>can only impose requirements (or certain kinds of requirements) in relation to certain kinds of derivative transactions in certain circumstances.</w:t>
      </w:r>
    </w:p>
    <w:p w14:paraId="38153C6A" w14:textId="6E3D75DA" w:rsidR="00A83574" w:rsidRPr="00542175" w:rsidRDefault="001010FB" w:rsidP="00542175">
      <w:pPr>
        <w:pStyle w:val="LI-BodyTextParaa"/>
        <w:numPr>
          <w:ilvl w:val="0"/>
          <w:numId w:val="1"/>
        </w:numPr>
      </w:pPr>
      <w:r>
        <w:t>As at the date of making the Instrument, there are no relevant regulations made under section 901C of the Act.</w:t>
      </w:r>
    </w:p>
    <w:p w14:paraId="7546B693" w14:textId="7DE43D6B" w:rsidR="00B41FAF" w:rsidRPr="00B41FAF" w:rsidRDefault="00B41FAF" w:rsidP="001010FB">
      <w:pPr>
        <w:pStyle w:val="LI-BodyTextParaa"/>
        <w:ind w:left="567"/>
      </w:pPr>
      <w:r>
        <w:rPr>
          <w:i/>
          <w:iCs/>
        </w:rPr>
        <w:t>Consul</w:t>
      </w:r>
      <w:r w:rsidR="00E94255">
        <w:rPr>
          <w:i/>
          <w:iCs/>
        </w:rPr>
        <w:t>t</w:t>
      </w:r>
      <w:r>
        <w:rPr>
          <w:i/>
          <w:iCs/>
        </w:rPr>
        <w:t>ation</w:t>
      </w:r>
      <w:r>
        <w:t xml:space="preserve"> </w:t>
      </w:r>
    </w:p>
    <w:p w14:paraId="4AF6BA48" w14:textId="7F4CB1A6" w:rsidR="003062D6" w:rsidRDefault="003062D6" w:rsidP="006D13F1">
      <w:pPr>
        <w:pStyle w:val="LI-BodyTextParaa"/>
        <w:numPr>
          <w:ilvl w:val="0"/>
          <w:numId w:val="1"/>
        </w:numPr>
      </w:pPr>
      <w:r>
        <w:t>S</w:t>
      </w:r>
      <w:r w:rsidR="00A369EC">
        <w:t>ubs</w:t>
      </w:r>
      <w:r>
        <w:t>ection 901J</w:t>
      </w:r>
      <w:r w:rsidR="00A369EC">
        <w:t>(1)</w:t>
      </w:r>
      <w:r>
        <w:t xml:space="preserve"> of the Act provides that ASIC must not make a derivative transaction rule unless </w:t>
      </w:r>
      <w:r w:rsidR="00A369EC">
        <w:t>ASIC</w:t>
      </w:r>
      <w:r>
        <w:t>:</w:t>
      </w:r>
    </w:p>
    <w:p w14:paraId="14C3AB51" w14:textId="7DA58679" w:rsidR="006D13F1" w:rsidRDefault="00A369EC" w:rsidP="006D13F1">
      <w:pPr>
        <w:pStyle w:val="LI-BodyTextParaa"/>
        <w:numPr>
          <w:ilvl w:val="0"/>
          <w:numId w:val="26"/>
        </w:numPr>
      </w:pPr>
      <w:r>
        <w:t xml:space="preserve">has consulted with </w:t>
      </w:r>
      <w:r w:rsidR="003062D6">
        <w:t>the public</w:t>
      </w:r>
      <w:r>
        <w:t xml:space="preserve"> about the proposed rule; and</w:t>
      </w:r>
    </w:p>
    <w:p w14:paraId="358FA5D7" w14:textId="5224D4E1" w:rsidR="003062D6" w:rsidRDefault="00A369EC" w:rsidP="00A16D16">
      <w:pPr>
        <w:pStyle w:val="LI-BodyTextParaa"/>
        <w:numPr>
          <w:ilvl w:val="0"/>
          <w:numId w:val="26"/>
        </w:numPr>
      </w:pPr>
      <w:r>
        <w:t>has also consulted with the following about the proposed rule</w:t>
      </w:r>
    </w:p>
    <w:p w14:paraId="567202AD" w14:textId="19F05FD3" w:rsidR="0002286B" w:rsidRDefault="00A369EC" w:rsidP="006D13F1">
      <w:pPr>
        <w:pStyle w:val="LI-BodyTextParaa"/>
        <w:numPr>
          <w:ilvl w:val="0"/>
          <w:numId w:val="27"/>
        </w:numPr>
      </w:pPr>
      <w:proofErr w:type="gramStart"/>
      <w:r>
        <w:t>APRA;</w:t>
      </w:r>
      <w:proofErr w:type="gramEnd"/>
    </w:p>
    <w:p w14:paraId="382077F1" w14:textId="11112D52" w:rsidR="0002286B" w:rsidRDefault="00A369EC" w:rsidP="00034CA0">
      <w:pPr>
        <w:pStyle w:val="LI-BodyTextParaa"/>
        <w:numPr>
          <w:ilvl w:val="0"/>
          <w:numId w:val="27"/>
        </w:numPr>
      </w:pPr>
      <w:r>
        <w:t>the RBA; and</w:t>
      </w:r>
    </w:p>
    <w:p w14:paraId="7479AEF4" w14:textId="5B046E3E" w:rsidR="00A369EC" w:rsidRDefault="00A369EC" w:rsidP="00034CA0">
      <w:pPr>
        <w:pStyle w:val="LI-BodyTextParaa"/>
        <w:numPr>
          <w:ilvl w:val="0"/>
          <w:numId w:val="27"/>
        </w:numPr>
      </w:pPr>
      <w:r>
        <w:lastRenderedPageBreak/>
        <w:t xml:space="preserve">any other person or body as required by regulations made for the purpose of </w:t>
      </w:r>
      <w:r w:rsidR="00162497">
        <w:t>subparagraph 901J(1)(b)(iii).</w:t>
      </w:r>
    </w:p>
    <w:p w14:paraId="0F38D844" w14:textId="54892D1E" w:rsidR="006F34B5" w:rsidRDefault="006F34B5" w:rsidP="006E4F1D">
      <w:pPr>
        <w:pStyle w:val="LI-BodyTextParaa"/>
        <w:numPr>
          <w:ilvl w:val="0"/>
          <w:numId w:val="1"/>
        </w:numPr>
      </w:pPr>
      <w:r>
        <w:t>To date no regulations have been made under subparagraph 901J(1)(b)(iii).</w:t>
      </w:r>
    </w:p>
    <w:p w14:paraId="505FF085" w14:textId="0BF224BA" w:rsidR="003062D6" w:rsidRDefault="006F34B5" w:rsidP="006E4F1D">
      <w:pPr>
        <w:pStyle w:val="LI-BodyTextParaa"/>
        <w:numPr>
          <w:ilvl w:val="0"/>
          <w:numId w:val="1"/>
        </w:numPr>
      </w:pPr>
      <w:r>
        <w:t>ASIC has satisfied the above consultation requirements in respect of the proposed amendments, as set out under the heading ‘Consultation’ above</w:t>
      </w:r>
      <w:r w:rsidR="00F66EFA">
        <w:t xml:space="preserve"> (see also subsection 901J(2) of the Act)</w:t>
      </w:r>
      <w:r w:rsidR="003062D6">
        <w:t>.</w:t>
      </w:r>
    </w:p>
    <w:p w14:paraId="047AAFA2" w14:textId="333B9E46" w:rsidR="005963EE" w:rsidRDefault="005963EE" w:rsidP="003062D6">
      <w:pPr>
        <w:pStyle w:val="LI-BodyTextParaa"/>
        <w:ind w:left="567"/>
      </w:pPr>
      <w:r>
        <w:rPr>
          <w:i/>
          <w:iCs/>
        </w:rPr>
        <w:t>Ministerial consent</w:t>
      </w:r>
      <w:r>
        <w:t xml:space="preserve"> </w:t>
      </w:r>
    </w:p>
    <w:p w14:paraId="1133B481" w14:textId="35257717" w:rsidR="005963EE" w:rsidRDefault="001E486F" w:rsidP="00DD5FE5">
      <w:pPr>
        <w:pStyle w:val="LI-BodyTextParaa"/>
        <w:numPr>
          <w:ilvl w:val="0"/>
          <w:numId w:val="1"/>
        </w:numPr>
      </w:pPr>
      <w:r>
        <w:t>As noted above, s</w:t>
      </w:r>
      <w:r w:rsidR="00FD3227">
        <w:t>ubsection 901K(1) of the Act provides that ASIC must not make a derivative transaction rule unless t</w:t>
      </w:r>
      <w:r w:rsidR="005963EE">
        <w:t xml:space="preserve">he Minister has consented, in writing, to the making of the </w:t>
      </w:r>
      <w:r w:rsidR="00FD3227">
        <w:t xml:space="preserve">rule. The Minister consented to the making of the Instrument by written notice to ASIC dated </w:t>
      </w:r>
      <w:r w:rsidR="007578FD">
        <w:t>7 September 2023</w:t>
      </w:r>
      <w:r w:rsidR="005963EE">
        <w:t>.</w:t>
      </w:r>
    </w:p>
    <w:p w14:paraId="6E646D2C" w14:textId="17181CFF" w:rsidR="00363D19" w:rsidRDefault="00363D19" w:rsidP="005963EE">
      <w:pPr>
        <w:pStyle w:val="LI-BodyTextParaa"/>
        <w:ind w:left="567"/>
      </w:pPr>
      <w:r>
        <w:rPr>
          <w:i/>
          <w:iCs/>
        </w:rPr>
        <w:t>Relevant considerations in making derivative transaction rules</w:t>
      </w:r>
      <w:r w:rsidR="003F5A47">
        <w:t xml:space="preserve"> </w:t>
      </w:r>
    </w:p>
    <w:p w14:paraId="131D0E40" w14:textId="1B70F710" w:rsidR="003F5A47" w:rsidRDefault="009F4120" w:rsidP="00145480">
      <w:pPr>
        <w:pStyle w:val="LI-BodyTextParaa"/>
        <w:numPr>
          <w:ilvl w:val="0"/>
          <w:numId w:val="1"/>
        </w:numPr>
      </w:pPr>
      <w:r>
        <w:t>In accordance with section 901H of the Act, ASIC has had regard to the following matters in considering whether to make the Instrument:</w:t>
      </w:r>
    </w:p>
    <w:p w14:paraId="707B136F" w14:textId="508B59B6" w:rsidR="00145480" w:rsidRDefault="009F4120" w:rsidP="00145480">
      <w:pPr>
        <w:pStyle w:val="LI-BodyTextParaa"/>
        <w:numPr>
          <w:ilvl w:val="0"/>
          <w:numId w:val="29"/>
        </w:numPr>
      </w:pPr>
      <w:r>
        <w:t xml:space="preserve">the likely effect of the proposed amendments on the Australian economy, and on the efficiency, integrity, and stability of the Australian financial </w:t>
      </w:r>
      <w:proofErr w:type="gramStart"/>
      <w:r>
        <w:t>system;</w:t>
      </w:r>
      <w:proofErr w:type="gramEnd"/>
      <w:r>
        <w:t xml:space="preserve"> </w:t>
      </w:r>
    </w:p>
    <w:p w14:paraId="19F2E696" w14:textId="29FB1751" w:rsidR="00145480" w:rsidRPr="003F5A47" w:rsidRDefault="009F4120" w:rsidP="00145480">
      <w:pPr>
        <w:pStyle w:val="LI-BodyTextParaa"/>
        <w:numPr>
          <w:ilvl w:val="0"/>
          <w:numId w:val="29"/>
        </w:numPr>
      </w:pPr>
      <w:r>
        <w:t xml:space="preserve">the likely regulatory impact of the proposed </w:t>
      </w:r>
      <w:proofErr w:type="gramStart"/>
      <w:r>
        <w:t>amendments;</w:t>
      </w:r>
      <w:proofErr w:type="gramEnd"/>
      <w:r>
        <w:t xml:space="preserve"> </w:t>
      </w:r>
    </w:p>
    <w:p w14:paraId="0D59D390" w14:textId="0816CDA2" w:rsidR="00145480" w:rsidRPr="003F5A47" w:rsidRDefault="009F4120" w:rsidP="00145480">
      <w:pPr>
        <w:pStyle w:val="LI-BodyTextParaa"/>
        <w:numPr>
          <w:ilvl w:val="0"/>
          <w:numId w:val="29"/>
        </w:numPr>
      </w:pPr>
      <w:r>
        <w:t>relevant international standards and commitments; and</w:t>
      </w:r>
    </w:p>
    <w:p w14:paraId="5FA4284F" w14:textId="07E676D5" w:rsidR="00C11C8E" w:rsidRDefault="009F4120" w:rsidP="00145480">
      <w:pPr>
        <w:pStyle w:val="LI-BodyTextParaa"/>
        <w:numPr>
          <w:ilvl w:val="0"/>
          <w:numId w:val="29"/>
        </w:numPr>
      </w:pPr>
      <w:r>
        <w:t>matters raised in response to CP 3</w:t>
      </w:r>
      <w:r w:rsidR="00A9528A">
        <w:t>66</w:t>
      </w:r>
      <w:r>
        <w:t>.</w:t>
      </w:r>
    </w:p>
    <w:p w14:paraId="37AB3ED5" w14:textId="77777777" w:rsidR="00C11C8E" w:rsidRPr="00EA17A6" w:rsidRDefault="00C11C8E" w:rsidP="00C11C8E">
      <w:pPr>
        <w:pStyle w:val="LI-BodyTextParaa"/>
        <w:ind w:left="567"/>
        <w:rPr>
          <w:b/>
        </w:rPr>
      </w:pPr>
      <w:r w:rsidRPr="00EA17A6">
        <w:rPr>
          <w:b/>
        </w:rPr>
        <w:t xml:space="preserve">Statement of Compatibility with Human Rights  </w:t>
      </w:r>
    </w:p>
    <w:p w14:paraId="3F964CF1" w14:textId="5306EB75" w:rsidR="00C11C8E" w:rsidRPr="00EA17A6" w:rsidRDefault="00C11C8E" w:rsidP="00123FFC">
      <w:pPr>
        <w:pStyle w:val="LI-BodyTextParaa"/>
        <w:numPr>
          <w:ilvl w:val="0"/>
          <w:numId w:val="1"/>
        </w:numPr>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412920C" w14:textId="77777777" w:rsidR="00C11C8E" w:rsidRPr="00EA17A6" w:rsidRDefault="00C11C8E" w:rsidP="00C11C8E">
      <w:pPr>
        <w:pStyle w:val="LI-BodyTextParaa"/>
        <w:ind w:left="567"/>
        <w:jc w:val="right"/>
        <w:rPr>
          <w:u w:val="single"/>
        </w:rPr>
      </w:pPr>
      <w:r>
        <w:rPr>
          <w:color w:val="FF0000"/>
        </w:rPr>
        <w:br w:type="page"/>
      </w:r>
      <w:r w:rsidRPr="00EA17A6">
        <w:rPr>
          <w:u w:val="single"/>
        </w:rPr>
        <w:lastRenderedPageBreak/>
        <w:t xml:space="preserve">Attachment </w:t>
      </w:r>
    </w:p>
    <w:p w14:paraId="57797754" w14:textId="77777777" w:rsidR="00C11C8E" w:rsidRPr="00EA17A6" w:rsidRDefault="00C11C8E" w:rsidP="00C11C8E">
      <w:pPr>
        <w:pStyle w:val="LI-BodyTextParaa"/>
        <w:ind w:left="567"/>
        <w:jc w:val="center"/>
        <w:rPr>
          <w:b/>
          <w:sz w:val="28"/>
          <w:szCs w:val="28"/>
        </w:rPr>
      </w:pPr>
      <w:r w:rsidRPr="00EA17A6">
        <w:rPr>
          <w:b/>
          <w:sz w:val="28"/>
          <w:szCs w:val="28"/>
        </w:rPr>
        <w:t>Statement of Compatibility with Human Rights</w:t>
      </w:r>
    </w:p>
    <w:p w14:paraId="69E3A85B" w14:textId="77777777" w:rsidR="00C11C8E" w:rsidRPr="00EA17A6" w:rsidRDefault="00C11C8E" w:rsidP="00C11C8E">
      <w:pPr>
        <w:pStyle w:val="LI-BodyTextNumbered"/>
        <w:ind w:left="0" w:firstLine="0"/>
        <w:rPr>
          <w:iCs/>
        </w:rPr>
      </w:pPr>
      <w:bookmarkStart w:id="3" w:name="_Hlk534286677"/>
    </w:p>
    <w:p w14:paraId="5DBE98E7" w14:textId="77777777" w:rsidR="00C11C8E" w:rsidRPr="00EA17A6" w:rsidRDefault="00C11C8E" w:rsidP="00C11C8E">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73FCBAB2" w14:textId="6B5E4AD8" w:rsidR="00C11C8E" w:rsidRPr="008D2DE6" w:rsidRDefault="003B1835" w:rsidP="00C11C8E">
      <w:pPr>
        <w:pStyle w:val="LI-BodyTextNumbered"/>
        <w:ind w:left="0" w:firstLine="0"/>
        <w:rPr>
          <w:b/>
          <w:i/>
        </w:rPr>
      </w:pPr>
      <w:r w:rsidRPr="003B1835">
        <w:rPr>
          <w:b/>
          <w:i/>
          <w:iCs/>
        </w:rPr>
        <w:t xml:space="preserve">ASIC Derivative Transaction Rules (Clearing) Amendment Instrument </w:t>
      </w:r>
      <w:r w:rsidRPr="008D2DE6">
        <w:rPr>
          <w:b/>
          <w:i/>
          <w:iCs/>
        </w:rPr>
        <w:t>202</w:t>
      </w:r>
      <w:r w:rsidR="00721896" w:rsidRPr="008D2DE6">
        <w:rPr>
          <w:b/>
          <w:i/>
          <w:iCs/>
        </w:rPr>
        <w:t>3/</w:t>
      </w:r>
      <w:r w:rsidR="006332B2">
        <w:rPr>
          <w:b/>
          <w:i/>
          <w:iCs/>
        </w:rPr>
        <w:t>726</w:t>
      </w:r>
    </w:p>
    <w:p w14:paraId="41932444" w14:textId="64D1F008" w:rsidR="00C11C8E" w:rsidRPr="008D2DE6" w:rsidRDefault="00C11C8E" w:rsidP="00C11C8E">
      <w:pPr>
        <w:pStyle w:val="LI-BodyTextNumbered"/>
        <w:ind w:left="567"/>
        <w:rPr>
          <w:u w:val="single"/>
        </w:rPr>
      </w:pPr>
      <w:r w:rsidRPr="008D2DE6">
        <w:rPr>
          <w:u w:val="single"/>
        </w:rPr>
        <w:t>Overview</w:t>
      </w:r>
    </w:p>
    <w:p w14:paraId="16FB33AA" w14:textId="77EF120A" w:rsidR="00BA45DF" w:rsidRPr="008D2DE6" w:rsidRDefault="00F86E7D" w:rsidP="00E22B34">
      <w:pPr>
        <w:pStyle w:val="ListParagraph"/>
        <w:numPr>
          <w:ilvl w:val="0"/>
          <w:numId w:val="8"/>
        </w:numPr>
        <w:spacing w:before="240" w:line="240" w:lineRule="auto"/>
        <w:rPr>
          <w:rFonts w:eastAsia="Times New Roman"/>
          <w:sz w:val="24"/>
          <w:szCs w:val="24"/>
          <w:lang w:eastAsia="en-AU"/>
        </w:rPr>
      </w:pPr>
      <w:r w:rsidRPr="008D2DE6">
        <w:rPr>
          <w:rFonts w:eastAsia="Times New Roman"/>
          <w:sz w:val="24"/>
          <w:szCs w:val="24"/>
          <w:lang w:eastAsia="en-AU"/>
        </w:rPr>
        <w:t xml:space="preserve">The </w:t>
      </w:r>
      <w:r w:rsidRPr="008D2DE6">
        <w:rPr>
          <w:rFonts w:eastAsia="Times New Roman"/>
          <w:i/>
          <w:iCs/>
          <w:sz w:val="24"/>
          <w:szCs w:val="24"/>
          <w:lang w:eastAsia="en-AU"/>
        </w:rPr>
        <w:t>ASIC Derivative Transaction Rules (Clearing) 2015</w:t>
      </w:r>
      <w:r w:rsidRPr="008D2DE6">
        <w:rPr>
          <w:rFonts w:eastAsia="Times New Roman"/>
          <w:sz w:val="24"/>
          <w:szCs w:val="24"/>
          <w:lang w:eastAsia="en-AU"/>
        </w:rPr>
        <w:t xml:space="preserve"> (the </w:t>
      </w:r>
      <w:r w:rsidRPr="008D2DE6">
        <w:rPr>
          <w:rFonts w:eastAsia="Times New Roman"/>
          <w:b/>
          <w:bCs/>
          <w:sz w:val="24"/>
          <w:szCs w:val="24"/>
          <w:lang w:eastAsia="en-AU"/>
        </w:rPr>
        <w:t>Rules</w:t>
      </w:r>
      <w:r w:rsidRPr="008D2DE6">
        <w:rPr>
          <w:rFonts w:eastAsia="Times New Roman"/>
          <w:sz w:val="24"/>
          <w:szCs w:val="24"/>
          <w:lang w:eastAsia="en-AU"/>
        </w:rPr>
        <w:t xml:space="preserve">) impose central clearing requirements for certain derivative transactions (referred to as ‘Clearing Derivatives’) in certain circumstances. </w:t>
      </w:r>
    </w:p>
    <w:p w14:paraId="581E7E64" w14:textId="77777777" w:rsidR="00AE2163" w:rsidRPr="00611DA5" w:rsidRDefault="00AE2163" w:rsidP="00611DA5">
      <w:pPr>
        <w:pStyle w:val="ListParagraph"/>
        <w:spacing w:before="240" w:line="240" w:lineRule="auto"/>
        <w:ind w:left="360"/>
        <w:rPr>
          <w:rFonts w:eastAsia="Times New Roman"/>
          <w:sz w:val="24"/>
          <w:szCs w:val="24"/>
          <w:lang w:eastAsia="en-AU"/>
        </w:rPr>
      </w:pPr>
    </w:p>
    <w:p w14:paraId="31C181CA" w14:textId="0EFB41F8" w:rsidR="00BA45DF" w:rsidRPr="008D2DE6" w:rsidRDefault="00BA45DF" w:rsidP="00E22B34">
      <w:pPr>
        <w:pStyle w:val="ListParagraph"/>
        <w:numPr>
          <w:ilvl w:val="0"/>
          <w:numId w:val="8"/>
        </w:numPr>
        <w:spacing w:before="240" w:line="240" w:lineRule="auto"/>
        <w:rPr>
          <w:rFonts w:eastAsia="Times New Roman"/>
          <w:sz w:val="24"/>
          <w:szCs w:val="24"/>
          <w:lang w:eastAsia="en-AU"/>
        </w:rPr>
      </w:pPr>
      <w:r w:rsidRPr="008D2DE6">
        <w:rPr>
          <w:sz w:val="24"/>
          <w:szCs w:val="24"/>
        </w:rPr>
        <w:t>Since the global financial crisis, global regulators and industry have undertaken work to strengthen confidence in interest rate benchmarks and identify alternatives based on near risk-free rates (</w:t>
      </w:r>
      <w:proofErr w:type="spellStart"/>
      <w:r w:rsidRPr="008D2DE6">
        <w:rPr>
          <w:b/>
          <w:bCs/>
          <w:sz w:val="24"/>
          <w:szCs w:val="24"/>
        </w:rPr>
        <w:t>RFRs</w:t>
      </w:r>
      <w:proofErr w:type="spellEnd"/>
      <w:r w:rsidRPr="008D2DE6">
        <w:rPr>
          <w:sz w:val="24"/>
          <w:szCs w:val="24"/>
        </w:rPr>
        <w:t xml:space="preserve">). </w:t>
      </w:r>
      <w:r w:rsidR="00E83FEC" w:rsidRPr="008D2DE6">
        <w:rPr>
          <w:sz w:val="24"/>
          <w:szCs w:val="24"/>
        </w:rPr>
        <w:t xml:space="preserve">As a result of this transition, certain Clearing Derivatives which are subject to central clearing requirements under the Rules are no longer able to be traded or cleared, necessitating updates to the product scope of the Rules. </w:t>
      </w:r>
    </w:p>
    <w:p w14:paraId="18B8654B" w14:textId="77777777" w:rsidR="00AE2163" w:rsidRPr="008D2DE6" w:rsidRDefault="00AE2163" w:rsidP="00611DA5">
      <w:pPr>
        <w:pStyle w:val="ListParagraph"/>
        <w:spacing w:before="240" w:line="240" w:lineRule="auto"/>
        <w:ind w:left="360"/>
        <w:rPr>
          <w:rFonts w:eastAsia="Times New Roman"/>
          <w:sz w:val="24"/>
          <w:szCs w:val="24"/>
          <w:lang w:eastAsia="en-AU"/>
        </w:rPr>
      </w:pPr>
    </w:p>
    <w:p w14:paraId="23F134F3" w14:textId="6A572FCA" w:rsidR="00F86E7D" w:rsidRPr="00611DA5" w:rsidRDefault="00F86E7D" w:rsidP="00E22B34">
      <w:pPr>
        <w:pStyle w:val="ListParagraph"/>
        <w:numPr>
          <w:ilvl w:val="0"/>
          <w:numId w:val="8"/>
        </w:numPr>
        <w:spacing w:before="240" w:line="240" w:lineRule="auto"/>
        <w:rPr>
          <w:rFonts w:eastAsia="Times New Roman"/>
          <w:sz w:val="24"/>
          <w:szCs w:val="24"/>
          <w:lang w:eastAsia="en-AU"/>
        </w:rPr>
      </w:pPr>
      <w:r w:rsidRPr="008D2DE6">
        <w:rPr>
          <w:rFonts w:eastAsia="Times New Roman"/>
          <w:sz w:val="24"/>
          <w:szCs w:val="24"/>
          <w:lang w:eastAsia="en-AU"/>
        </w:rPr>
        <w:t xml:space="preserve">The </w:t>
      </w:r>
      <w:r w:rsidRPr="008D2DE6">
        <w:rPr>
          <w:rFonts w:eastAsia="Times New Roman"/>
          <w:bCs/>
          <w:i/>
          <w:iCs/>
          <w:sz w:val="24"/>
          <w:szCs w:val="24"/>
          <w:lang w:eastAsia="en-AU"/>
        </w:rPr>
        <w:t>ASIC Derivative Transaction Rules (Clearing) Amendment Instrument 202</w:t>
      </w:r>
      <w:r w:rsidR="0081531D">
        <w:rPr>
          <w:rFonts w:eastAsia="Times New Roman"/>
          <w:bCs/>
          <w:i/>
          <w:iCs/>
          <w:sz w:val="24"/>
          <w:szCs w:val="24"/>
          <w:lang w:eastAsia="en-AU"/>
        </w:rPr>
        <w:t>3/726</w:t>
      </w:r>
      <w:r w:rsidR="00E22B34" w:rsidRPr="008D2DE6">
        <w:rPr>
          <w:rFonts w:eastAsia="Times New Roman"/>
          <w:bCs/>
          <w:i/>
          <w:iCs/>
          <w:sz w:val="24"/>
          <w:szCs w:val="24"/>
          <w:lang w:eastAsia="en-AU"/>
        </w:rPr>
        <w:t xml:space="preserve"> </w:t>
      </w:r>
      <w:r w:rsidRPr="008D2DE6">
        <w:rPr>
          <w:rFonts w:eastAsia="Times New Roman"/>
          <w:bCs/>
          <w:sz w:val="24"/>
          <w:szCs w:val="24"/>
          <w:lang w:eastAsia="en-AU"/>
        </w:rPr>
        <w:t xml:space="preserve">(the </w:t>
      </w:r>
      <w:r w:rsidRPr="008D2DE6">
        <w:rPr>
          <w:rFonts w:eastAsia="Times New Roman"/>
          <w:b/>
          <w:sz w:val="24"/>
          <w:szCs w:val="24"/>
          <w:lang w:eastAsia="en-AU"/>
        </w:rPr>
        <w:t>Instrument</w:t>
      </w:r>
      <w:r w:rsidRPr="008D2DE6">
        <w:rPr>
          <w:rFonts w:eastAsia="Times New Roman"/>
          <w:bCs/>
          <w:sz w:val="24"/>
          <w:szCs w:val="24"/>
          <w:lang w:eastAsia="en-AU"/>
        </w:rPr>
        <w:t>) modifies the types of derivative transacti</w:t>
      </w:r>
      <w:r w:rsidRPr="000D4965">
        <w:rPr>
          <w:rFonts w:eastAsia="Times New Roman"/>
          <w:bCs/>
          <w:sz w:val="24"/>
          <w:szCs w:val="24"/>
          <w:lang w:eastAsia="en-AU"/>
        </w:rPr>
        <w:t xml:space="preserve">ons which are subject to these requirements by </w:t>
      </w:r>
      <w:r w:rsidR="00E83FEC" w:rsidRPr="00D06B4C">
        <w:rPr>
          <w:rFonts w:eastAsia="Times New Roman"/>
          <w:bCs/>
          <w:sz w:val="24"/>
          <w:szCs w:val="24"/>
          <w:lang w:eastAsia="en-AU"/>
        </w:rPr>
        <w:t xml:space="preserve">making consequential </w:t>
      </w:r>
      <w:r w:rsidRPr="000D4965">
        <w:rPr>
          <w:rFonts w:eastAsia="Times New Roman"/>
          <w:bCs/>
          <w:sz w:val="24"/>
          <w:szCs w:val="24"/>
          <w:lang w:eastAsia="en-AU"/>
        </w:rPr>
        <w:t>amend</w:t>
      </w:r>
      <w:r w:rsidR="00E83FEC" w:rsidRPr="00D06B4C">
        <w:rPr>
          <w:rFonts w:eastAsia="Times New Roman"/>
          <w:bCs/>
          <w:sz w:val="24"/>
          <w:szCs w:val="24"/>
          <w:lang w:eastAsia="en-AU"/>
        </w:rPr>
        <w:t>ments to the Rules</w:t>
      </w:r>
      <w:r w:rsidR="004C0EC8">
        <w:rPr>
          <w:rFonts w:eastAsia="Times New Roman"/>
          <w:bCs/>
          <w:sz w:val="24"/>
          <w:szCs w:val="24"/>
          <w:lang w:eastAsia="en-AU"/>
        </w:rPr>
        <w:t>.</w:t>
      </w:r>
      <w:r w:rsidR="00E83FEC" w:rsidRPr="00D06B4C">
        <w:rPr>
          <w:rFonts w:eastAsia="Times New Roman"/>
          <w:bCs/>
          <w:sz w:val="24"/>
          <w:szCs w:val="24"/>
          <w:lang w:eastAsia="en-AU"/>
        </w:rPr>
        <w:t xml:space="preserve"> </w:t>
      </w:r>
      <w:r w:rsidR="004C0EC8">
        <w:rPr>
          <w:sz w:val="24"/>
          <w:szCs w:val="24"/>
        </w:rPr>
        <w:t>The amendments</w:t>
      </w:r>
      <w:r w:rsidR="00E83FEC" w:rsidRPr="00D06B4C">
        <w:rPr>
          <w:sz w:val="24"/>
          <w:szCs w:val="24"/>
        </w:rPr>
        <w:t xml:space="preserve"> remov</w:t>
      </w:r>
      <w:r w:rsidR="004C0EC8">
        <w:rPr>
          <w:sz w:val="24"/>
          <w:szCs w:val="24"/>
        </w:rPr>
        <w:t>e</w:t>
      </w:r>
      <w:r w:rsidR="00E83FEC" w:rsidRPr="00D06B4C">
        <w:rPr>
          <w:sz w:val="24"/>
          <w:szCs w:val="24"/>
        </w:rPr>
        <w:t xml:space="preserve"> products which can no longer be traded or cleared from the definition of a Clearing Derivative in R</w:t>
      </w:r>
      <w:r w:rsidR="00E83FEC" w:rsidRPr="004C0EC8">
        <w:rPr>
          <w:sz w:val="24"/>
          <w:szCs w:val="24"/>
        </w:rPr>
        <w:t>ule 1.2.3 of the Rules and repla</w:t>
      </w:r>
      <w:r w:rsidR="004C0EC8">
        <w:rPr>
          <w:sz w:val="24"/>
          <w:szCs w:val="24"/>
        </w:rPr>
        <w:t>ce</w:t>
      </w:r>
      <w:r w:rsidR="00863472">
        <w:rPr>
          <w:sz w:val="24"/>
          <w:szCs w:val="24"/>
        </w:rPr>
        <w:t>s</w:t>
      </w:r>
      <w:r w:rsidR="00E83FEC" w:rsidRPr="004C0EC8">
        <w:rPr>
          <w:sz w:val="24"/>
          <w:szCs w:val="24"/>
        </w:rPr>
        <w:t xml:space="preserve"> them with contracts referencing the replacement RFR selected for </w:t>
      </w:r>
      <w:r w:rsidR="00256442">
        <w:rPr>
          <w:sz w:val="24"/>
          <w:szCs w:val="24"/>
        </w:rPr>
        <w:t>the US dollar</w:t>
      </w:r>
      <w:r w:rsidR="00E00533">
        <w:rPr>
          <w:sz w:val="24"/>
          <w:szCs w:val="24"/>
        </w:rPr>
        <w:t xml:space="preserve"> –</w:t>
      </w:r>
      <w:r w:rsidR="000D161A">
        <w:rPr>
          <w:sz w:val="24"/>
          <w:szCs w:val="24"/>
        </w:rPr>
        <w:t>the Secured Overnight Financing Rate (</w:t>
      </w:r>
      <w:proofErr w:type="spellStart"/>
      <w:r w:rsidR="000D161A" w:rsidRPr="00611DA5">
        <w:rPr>
          <w:b/>
          <w:bCs/>
          <w:sz w:val="24"/>
          <w:szCs w:val="24"/>
        </w:rPr>
        <w:t>SOFR</w:t>
      </w:r>
      <w:proofErr w:type="spellEnd"/>
      <w:r w:rsidR="000D161A">
        <w:rPr>
          <w:sz w:val="24"/>
          <w:szCs w:val="24"/>
        </w:rPr>
        <w:t>)</w:t>
      </w:r>
      <w:r w:rsidR="00E00533">
        <w:rPr>
          <w:sz w:val="24"/>
          <w:szCs w:val="24"/>
        </w:rPr>
        <w:t xml:space="preserve"> in this case</w:t>
      </w:r>
      <w:r w:rsidR="00E83FEC" w:rsidRPr="004C0EC8">
        <w:rPr>
          <w:sz w:val="24"/>
          <w:szCs w:val="24"/>
        </w:rPr>
        <w:t>.</w:t>
      </w:r>
      <w:r w:rsidR="006848A3">
        <w:rPr>
          <w:sz w:val="24"/>
          <w:szCs w:val="24"/>
        </w:rPr>
        <w:t xml:space="preserve"> </w:t>
      </w:r>
    </w:p>
    <w:p w14:paraId="5683CCDF" w14:textId="77777777" w:rsidR="00004418" w:rsidRPr="00611DA5" w:rsidRDefault="00004418" w:rsidP="00611DA5">
      <w:pPr>
        <w:pStyle w:val="ListParagraph"/>
        <w:rPr>
          <w:rFonts w:eastAsia="Times New Roman"/>
          <w:sz w:val="24"/>
          <w:szCs w:val="24"/>
          <w:lang w:eastAsia="en-AU"/>
        </w:rPr>
      </w:pPr>
    </w:p>
    <w:p w14:paraId="518AD7C0" w14:textId="1D55C9FC" w:rsidR="00004418" w:rsidRPr="00611DA5" w:rsidRDefault="00004418" w:rsidP="00E22B34">
      <w:pPr>
        <w:pStyle w:val="ListParagraph"/>
        <w:numPr>
          <w:ilvl w:val="0"/>
          <w:numId w:val="8"/>
        </w:numPr>
        <w:spacing w:before="240" w:line="240" w:lineRule="auto"/>
        <w:rPr>
          <w:rFonts w:eastAsia="Times New Roman"/>
          <w:sz w:val="24"/>
          <w:szCs w:val="24"/>
          <w:lang w:eastAsia="en-AU"/>
        </w:rPr>
      </w:pPr>
      <w:r>
        <w:rPr>
          <w:rFonts w:eastAsia="Times New Roman"/>
          <w:sz w:val="24"/>
          <w:szCs w:val="24"/>
          <w:lang w:eastAsia="en-AU"/>
        </w:rPr>
        <w:t xml:space="preserve">Additionally, </w:t>
      </w:r>
      <w:r w:rsidR="00F46697">
        <w:rPr>
          <w:rFonts w:eastAsia="Times New Roman"/>
          <w:sz w:val="24"/>
          <w:szCs w:val="24"/>
          <w:lang w:eastAsia="en-AU"/>
        </w:rPr>
        <w:t>the Instrument removes Australian dollar denominated contracts in the Forward Rate Agreement (</w:t>
      </w:r>
      <w:r w:rsidR="00F46697" w:rsidRPr="00611DA5">
        <w:rPr>
          <w:rFonts w:eastAsia="Times New Roman"/>
          <w:b/>
          <w:bCs/>
          <w:sz w:val="24"/>
          <w:szCs w:val="24"/>
          <w:lang w:eastAsia="en-AU"/>
        </w:rPr>
        <w:t>FRA</w:t>
      </w:r>
      <w:r w:rsidR="00F46697">
        <w:rPr>
          <w:rFonts w:eastAsia="Times New Roman"/>
          <w:sz w:val="24"/>
          <w:szCs w:val="24"/>
          <w:lang w:eastAsia="en-AU"/>
        </w:rPr>
        <w:t>)</w:t>
      </w:r>
      <w:r w:rsidR="00061997">
        <w:rPr>
          <w:rFonts w:eastAsia="Times New Roman"/>
          <w:sz w:val="24"/>
          <w:szCs w:val="24"/>
          <w:lang w:eastAsia="en-AU"/>
        </w:rPr>
        <w:t xml:space="preserve"> clas</w:t>
      </w:r>
      <w:r w:rsidR="007A6EAF">
        <w:rPr>
          <w:rFonts w:eastAsia="Times New Roman"/>
          <w:sz w:val="24"/>
          <w:szCs w:val="24"/>
          <w:lang w:eastAsia="en-AU"/>
        </w:rPr>
        <w:t>s</w:t>
      </w:r>
      <w:r w:rsidR="00F01554">
        <w:rPr>
          <w:rFonts w:eastAsia="Times New Roman"/>
          <w:sz w:val="24"/>
          <w:szCs w:val="24"/>
          <w:lang w:eastAsia="en-AU"/>
        </w:rPr>
        <w:t>. The clearing requirement has never applied to these products</w:t>
      </w:r>
      <w:r w:rsidR="00DA09A3">
        <w:rPr>
          <w:rFonts w:eastAsia="Times New Roman"/>
          <w:sz w:val="24"/>
          <w:szCs w:val="24"/>
          <w:lang w:eastAsia="en-AU"/>
        </w:rPr>
        <w:t xml:space="preserve"> and this</w:t>
      </w:r>
      <w:r w:rsidR="00111778">
        <w:rPr>
          <w:rFonts w:eastAsia="Times New Roman"/>
          <w:sz w:val="24"/>
          <w:szCs w:val="24"/>
          <w:lang w:eastAsia="en-AU"/>
        </w:rPr>
        <w:t xml:space="preserve"> amendment provides </w:t>
      </w:r>
      <w:r w:rsidR="007A6EAF">
        <w:rPr>
          <w:rFonts w:eastAsia="Times New Roman"/>
          <w:sz w:val="24"/>
          <w:szCs w:val="24"/>
          <w:lang w:eastAsia="en-AU"/>
        </w:rPr>
        <w:t>industry with more certainty on the application of the clearing requirement to Australian dollar denominated products.</w:t>
      </w:r>
    </w:p>
    <w:p w14:paraId="5078B9BE" w14:textId="77777777" w:rsidR="00256442" w:rsidRPr="000D4965" w:rsidRDefault="00256442" w:rsidP="00611DA5">
      <w:pPr>
        <w:pStyle w:val="ListParagraph"/>
        <w:spacing w:before="240" w:line="240" w:lineRule="auto"/>
        <w:ind w:left="360"/>
        <w:rPr>
          <w:rFonts w:eastAsia="Times New Roman"/>
          <w:sz w:val="24"/>
          <w:szCs w:val="24"/>
          <w:lang w:eastAsia="en-AU"/>
        </w:rPr>
      </w:pPr>
    </w:p>
    <w:p w14:paraId="02978C4E" w14:textId="50E49F52" w:rsidR="000D4965" w:rsidRPr="000D4965" w:rsidRDefault="00D01BE5" w:rsidP="000D4965">
      <w:pPr>
        <w:pStyle w:val="ListParagraph"/>
        <w:numPr>
          <w:ilvl w:val="0"/>
          <w:numId w:val="8"/>
        </w:numPr>
        <w:spacing w:before="240" w:line="240" w:lineRule="auto"/>
        <w:rPr>
          <w:rFonts w:eastAsia="Times New Roman"/>
          <w:bCs/>
          <w:sz w:val="24"/>
          <w:szCs w:val="24"/>
          <w:lang w:eastAsia="en-AU"/>
        </w:rPr>
      </w:pPr>
      <w:r w:rsidRPr="000D4965">
        <w:rPr>
          <w:rFonts w:eastAsia="Times New Roman"/>
          <w:sz w:val="24"/>
          <w:szCs w:val="24"/>
          <w:lang w:eastAsia="en-AU"/>
        </w:rPr>
        <w:t>The</w:t>
      </w:r>
      <w:r w:rsidR="00ED741F" w:rsidRPr="000D4965">
        <w:rPr>
          <w:rFonts w:eastAsia="Times New Roman"/>
          <w:bCs/>
          <w:sz w:val="24"/>
          <w:szCs w:val="24"/>
          <w:lang w:eastAsia="en-AU"/>
        </w:rPr>
        <w:t xml:space="preserve"> amendments</w:t>
      </w:r>
      <w:r w:rsidR="00A113EB">
        <w:rPr>
          <w:rFonts w:eastAsia="Times New Roman"/>
          <w:bCs/>
          <w:sz w:val="24"/>
          <w:szCs w:val="24"/>
          <w:lang w:eastAsia="en-AU"/>
        </w:rPr>
        <w:t xml:space="preserve"> in</w:t>
      </w:r>
      <w:r w:rsidR="00ED741F" w:rsidRPr="000D4965">
        <w:rPr>
          <w:rFonts w:eastAsia="Times New Roman"/>
          <w:bCs/>
          <w:sz w:val="24"/>
          <w:szCs w:val="24"/>
          <w:lang w:eastAsia="en-AU"/>
        </w:rPr>
        <w:t xml:space="preserve"> the Instrument are </w:t>
      </w:r>
      <w:r w:rsidR="00E83FEC" w:rsidRPr="000D4965">
        <w:rPr>
          <w:sz w:val="24"/>
          <w:szCs w:val="24"/>
        </w:rPr>
        <w:t>necessary to</w:t>
      </w:r>
      <w:r w:rsidR="00A3210F" w:rsidRPr="000D4965">
        <w:rPr>
          <w:sz w:val="24"/>
          <w:szCs w:val="24"/>
        </w:rPr>
        <w:t xml:space="preserve"> ensure that the Rules remain fit for purpose,</w:t>
      </w:r>
      <w:r w:rsidR="00E83FEC" w:rsidRPr="000D4965">
        <w:rPr>
          <w:sz w:val="24"/>
          <w:szCs w:val="24"/>
        </w:rPr>
        <w:t xml:space="preserve"> reflect </w:t>
      </w:r>
      <w:r w:rsidR="00A3210F" w:rsidRPr="000D4965">
        <w:rPr>
          <w:sz w:val="24"/>
          <w:szCs w:val="24"/>
        </w:rPr>
        <w:t xml:space="preserve">developments in the </w:t>
      </w:r>
      <w:r w:rsidR="00E83FEC" w:rsidRPr="000D4965">
        <w:rPr>
          <w:sz w:val="24"/>
          <w:szCs w:val="24"/>
        </w:rPr>
        <w:t xml:space="preserve">market and ensure that Australia continues to meet its </w:t>
      </w:r>
      <w:r w:rsidR="00A3210F" w:rsidRPr="000D4965">
        <w:rPr>
          <w:sz w:val="24"/>
          <w:szCs w:val="24"/>
        </w:rPr>
        <w:t>G20 commitment</w:t>
      </w:r>
      <w:r w:rsidR="00E83FEC" w:rsidRPr="000D4965">
        <w:rPr>
          <w:sz w:val="24"/>
          <w:szCs w:val="24"/>
        </w:rPr>
        <w:t>.</w:t>
      </w:r>
    </w:p>
    <w:p w14:paraId="74B95C83" w14:textId="367E1E1C" w:rsidR="000D4965" w:rsidRPr="00AA7203" w:rsidRDefault="000D4965" w:rsidP="000D4965">
      <w:pPr>
        <w:pStyle w:val="LI-BodyTextNumbered"/>
        <w:ind w:left="567"/>
        <w:rPr>
          <w:u w:val="single"/>
        </w:rPr>
      </w:pPr>
      <w:r w:rsidRPr="00AA7203">
        <w:rPr>
          <w:u w:val="single"/>
        </w:rPr>
        <w:t>Assessment of human rights implications</w:t>
      </w:r>
    </w:p>
    <w:p w14:paraId="24C90C79" w14:textId="492FBEF6" w:rsidR="000D4965" w:rsidRPr="00AA7203" w:rsidRDefault="000D4965" w:rsidP="000D4965">
      <w:pPr>
        <w:pStyle w:val="ListParagraph"/>
        <w:numPr>
          <w:ilvl w:val="0"/>
          <w:numId w:val="8"/>
        </w:numPr>
        <w:spacing w:before="240" w:line="240" w:lineRule="auto"/>
        <w:rPr>
          <w:rFonts w:eastAsia="Times New Roman"/>
          <w:bCs/>
          <w:sz w:val="24"/>
          <w:szCs w:val="24"/>
          <w:lang w:eastAsia="en-AU"/>
        </w:rPr>
      </w:pPr>
      <w:r w:rsidRPr="00611DA5">
        <w:rPr>
          <w:sz w:val="24"/>
          <w:szCs w:val="24"/>
        </w:rPr>
        <w:t>This Instrument does not engage any of the applicable rights or freedoms.</w:t>
      </w:r>
    </w:p>
    <w:p w14:paraId="4F0F0FF1" w14:textId="40B14FD2" w:rsidR="000D4965" w:rsidRPr="00AA7203" w:rsidRDefault="000D4965" w:rsidP="000D4965">
      <w:pPr>
        <w:pStyle w:val="LI-BodyTextNumbered"/>
        <w:ind w:left="567"/>
      </w:pPr>
      <w:r w:rsidRPr="00AA7203">
        <w:rPr>
          <w:u w:val="single"/>
        </w:rPr>
        <w:t>Conclusion</w:t>
      </w:r>
    </w:p>
    <w:p w14:paraId="1AD569FC" w14:textId="0CAA1909" w:rsidR="00F268DE" w:rsidRDefault="000D4965" w:rsidP="00F316E3">
      <w:pPr>
        <w:pStyle w:val="ListParagraph"/>
        <w:numPr>
          <w:ilvl w:val="0"/>
          <w:numId w:val="8"/>
        </w:numPr>
        <w:spacing w:before="240" w:line="240" w:lineRule="auto"/>
      </w:pPr>
      <w:r w:rsidRPr="00611DA5">
        <w:rPr>
          <w:sz w:val="24"/>
          <w:szCs w:val="24"/>
        </w:rPr>
        <w:t xml:space="preserve">This Instrument is compatible with the human rights and freedoms recognised or declared in the international instruments listed in section 3 of </w:t>
      </w:r>
      <w:r w:rsidRPr="00611DA5">
        <w:rPr>
          <w:iCs/>
          <w:sz w:val="24"/>
          <w:szCs w:val="24"/>
        </w:rPr>
        <w:t xml:space="preserve">the </w:t>
      </w:r>
      <w:r w:rsidRPr="00611DA5">
        <w:rPr>
          <w:i/>
          <w:iCs/>
          <w:sz w:val="24"/>
          <w:szCs w:val="24"/>
        </w:rPr>
        <w:t>Human Rights (Parliamentary Scrutiny) Act 2011</w:t>
      </w:r>
      <w:r w:rsidRPr="00611DA5">
        <w:rPr>
          <w:sz w:val="24"/>
          <w:szCs w:val="24"/>
        </w:rPr>
        <w:t>.</w:t>
      </w:r>
      <w:bookmarkEnd w:id="3"/>
    </w:p>
    <w:sectPr w:rsidR="00F268DE" w:rsidSect="00DF42D3">
      <w:headerReference w:type="even" r:id="rId16"/>
      <w:headerReference w:type="default" r:id="rId17"/>
      <w:footerReference w:type="default" r:id="rId18"/>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C179" w14:textId="77777777" w:rsidR="00E343F1" w:rsidRDefault="00E343F1">
      <w:pPr>
        <w:spacing w:line="240" w:lineRule="auto"/>
      </w:pPr>
      <w:r>
        <w:separator/>
      </w:r>
    </w:p>
  </w:endnote>
  <w:endnote w:type="continuationSeparator" w:id="0">
    <w:p w14:paraId="44526FB3" w14:textId="77777777" w:rsidR="00E343F1" w:rsidRDefault="00E343F1">
      <w:pPr>
        <w:spacing w:line="240" w:lineRule="auto"/>
      </w:pPr>
      <w:r>
        <w:continuationSeparator/>
      </w:r>
    </w:p>
  </w:endnote>
  <w:endnote w:type="continuationNotice" w:id="1">
    <w:p w14:paraId="2B19D85C" w14:textId="77777777" w:rsidR="00E343F1" w:rsidRDefault="00E343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2FB" w14:textId="63216D4F" w:rsidR="00DF42D3" w:rsidRDefault="00306FE9">
    <w:pPr>
      <w:pStyle w:val="Footer"/>
      <w:jc w:val="center"/>
    </w:pPr>
    <w:r>
      <w:fldChar w:fldCharType="begin"/>
    </w:r>
    <w:r>
      <w:instrText xml:space="preserve"> PAGE   \* MERGEFORMAT </w:instrText>
    </w:r>
    <w:r>
      <w:fldChar w:fldCharType="separate"/>
    </w:r>
    <w:r>
      <w:rPr>
        <w:noProof/>
      </w:rPr>
      <w:t>2</w:t>
    </w:r>
    <w:r>
      <w:rPr>
        <w:noProof/>
      </w:rPr>
      <w:fldChar w:fldCharType="end"/>
    </w:r>
  </w:p>
  <w:p w14:paraId="55B929FA" w14:textId="77777777" w:rsidR="00DF42D3" w:rsidRDefault="00DF4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081B" w14:textId="77777777" w:rsidR="00E343F1" w:rsidRDefault="00E343F1">
      <w:pPr>
        <w:spacing w:line="240" w:lineRule="auto"/>
      </w:pPr>
      <w:r>
        <w:separator/>
      </w:r>
    </w:p>
  </w:footnote>
  <w:footnote w:type="continuationSeparator" w:id="0">
    <w:p w14:paraId="370E5150" w14:textId="77777777" w:rsidR="00E343F1" w:rsidRDefault="00E343F1">
      <w:pPr>
        <w:spacing w:line="240" w:lineRule="auto"/>
      </w:pPr>
      <w:r>
        <w:continuationSeparator/>
      </w:r>
    </w:p>
  </w:footnote>
  <w:footnote w:type="continuationNotice" w:id="1">
    <w:p w14:paraId="5F7975C7" w14:textId="77777777" w:rsidR="00E343F1" w:rsidRDefault="00E343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0BEB" w14:textId="77777777" w:rsidR="00DF42D3" w:rsidRPr="00243EC0" w:rsidRDefault="00306FE9" w:rsidP="00DF42D3">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DF42D3" w:rsidRPr="00E40FF8" w14:paraId="169AFFCF" w14:textId="77777777" w:rsidTr="00DF42D3">
      <w:tc>
        <w:tcPr>
          <w:tcW w:w="4253" w:type="dxa"/>
          <w:shd w:val="clear" w:color="auto" w:fill="auto"/>
        </w:tcPr>
        <w:p w14:paraId="2E954A4E" w14:textId="07182F33" w:rsidR="00DF42D3" w:rsidRDefault="00DF42D3" w:rsidP="00DF42D3">
          <w:pPr>
            <w:pStyle w:val="LI-Header"/>
            <w:pBdr>
              <w:bottom w:val="none" w:sz="0" w:space="0" w:color="auto"/>
            </w:pBdr>
            <w:jc w:val="left"/>
          </w:pPr>
        </w:p>
      </w:tc>
      <w:tc>
        <w:tcPr>
          <w:tcW w:w="4060" w:type="dxa"/>
          <w:shd w:val="clear" w:color="auto" w:fill="auto"/>
        </w:tcPr>
        <w:p w14:paraId="305060B6" w14:textId="77777777" w:rsidR="00DF42D3" w:rsidRDefault="00DF42D3" w:rsidP="00DF42D3">
          <w:pPr>
            <w:pStyle w:val="LI-BodyTextNumbered"/>
          </w:pPr>
        </w:p>
      </w:tc>
    </w:tr>
  </w:tbl>
  <w:p w14:paraId="53546BEF" w14:textId="77777777" w:rsidR="00DF42D3" w:rsidRPr="00F4215A" w:rsidRDefault="00DF42D3" w:rsidP="00DF4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1C6"/>
    <w:multiLevelType w:val="hybridMultilevel"/>
    <w:tmpl w:val="CFCC7996"/>
    <w:lvl w:ilvl="0" w:tplc="F3D249CE">
      <w:start w:val="1"/>
      <w:numFmt w:val="lowerRoman"/>
      <w:lvlText w:val="(%1)"/>
      <w:lvlJc w:val="left"/>
      <w:pPr>
        <w:ind w:left="2211" w:hanging="8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6F08B8"/>
    <w:multiLevelType w:val="hybridMultilevel"/>
    <w:tmpl w:val="7D30FEF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ED53AF"/>
    <w:multiLevelType w:val="hybridMultilevel"/>
    <w:tmpl w:val="3A6C94FE"/>
    <w:lvl w:ilvl="0" w:tplc="84D428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E548F"/>
    <w:multiLevelType w:val="hybridMultilevel"/>
    <w:tmpl w:val="56AEEDE2"/>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AF1AC6"/>
    <w:multiLevelType w:val="multilevel"/>
    <w:tmpl w:val="98C2D46A"/>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7944E4"/>
    <w:multiLevelType w:val="hybridMultilevel"/>
    <w:tmpl w:val="3D322E96"/>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D13ADF"/>
    <w:multiLevelType w:val="hybridMultilevel"/>
    <w:tmpl w:val="69182582"/>
    <w:lvl w:ilvl="0" w:tplc="84D42860">
      <w:start w:val="1"/>
      <w:numFmt w:val="decimal"/>
      <w:lvlText w:val="%1."/>
      <w:lvlJc w:val="left"/>
      <w:pPr>
        <w:ind w:left="1500" w:hanging="57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7" w15:restartNumberingAfterBreak="0">
    <w:nsid w:val="24256122"/>
    <w:multiLevelType w:val="hybridMultilevel"/>
    <w:tmpl w:val="647697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4CC559E"/>
    <w:multiLevelType w:val="hybridMultilevel"/>
    <w:tmpl w:val="4B68540A"/>
    <w:lvl w:ilvl="0" w:tplc="CA0E1AD8">
      <w:start w:val="1"/>
      <w:numFmt w:val="lowerLetter"/>
      <w:lvlText w:val="(%1)"/>
      <w:lvlJc w:val="left"/>
      <w:pPr>
        <w:ind w:left="1361" w:hanging="431"/>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376639"/>
    <w:multiLevelType w:val="hybridMultilevel"/>
    <w:tmpl w:val="3A540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931D59"/>
    <w:multiLevelType w:val="hybridMultilevel"/>
    <w:tmpl w:val="4B9607D2"/>
    <w:lvl w:ilvl="0" w:tplc="84D428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FE0733"/>
    <w:multiLevelType w:val="hybridMultilevel"/>
    <w:tmpl w:val="EC02A4D6"/>
    <w:lvl w:ilvl="0" w:tplc="FC480270">
      <w:start w:val="1"/>
      <w:numFmt w:val="lowerLetter"/>
      <w:lvlText w:val="(%1)"/>
      <w:lvlJc w:val="left"/>
      <w:pPr>
        <w:ind w:left="1361" w:hanging="43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2F32E7"/>
    <w:multiLevelType w:val="hybridMultilevel"/>
    <w:tmpl w:val="BF14E900"/>
    <w:lvl w:ilvl="0" w:tplc="E4947EE0">
      <w:start w:val="1"/>
      <w:numFmt w:val="lowerLetter"/>
      <w:lvlText w:val="(%1)"/>
      <w:lvlJc w:val="left"/>
      <w:pPr>
        <w:ind w:left="1361" w:hanging="431"/>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371843B7"/>
    <w:multiLevelType w:val="hybridMultilevel"/>
    <w:tmpl w:val="ECA07C8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A9242B0"/>
    <w:multiLevelType w:val="hybridMultilevel"/>
    <w:tmpl w:val="28D4B6AA"/>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540FCF"/>
    <w:multiLevelType w:val="hybridMultilevel"/>
    <w:tmpl w:val="D8909B7A"/>
    <w:lvl w:ilvl="0" w:tplc="C5586CE4">
      <w:start w:val="1"/>
      <w:numFmt w:val="lowerRoman"/>
      <w:lvlText w:val="(%1)"/>
      <w:lvlJc w:val="left"/>
      <w:pPr>
        <w:ind w:left="2211" w:hanging="85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6" w15:restartNumberingAfterBreak="0">
    <w:nsid w:val="405538FB"/>
    <w:multiLevelType w:val="hybridMultilevel"/>
    <w:tmpl w:val="448AEE22"/>
    <w:lvl w:ilvl="0" w:tplc="D662EBB6">
      <w:start w:val="1"/>
      <w:numFmt w:val="lowerLetter"/>
      <w:lvlText w:val="(%1)"/>
      <w:lvlJc w:val="left"/>
      <w:pPr>
        <w:ind w:left="1361" w:hanging="43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B733F2"/>
    <w:multiLevelType w:val="hybridMultilevel"/>
    <w:tmpl w:val="FA10C2F2"/>
    <w:lvl w:ilvl="0" w:tplc="588A289A">
      <w:start w:val="1"/>
      <w:numFmt w:val="lowerRoman"/>
      <w:lvlText w:val="(%1)"/>
      <w:lvlJc w:val="left"/>
      <w:pPr>
        <w:ind w:left="2211" w:hanging="85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8" w15:restartNumberingAfterBreak="0">
    <w:nsid w:val="4C882F9E"/>
    <w:multiLevelType w:val="hybridMultilevel"/>
    <w:tmpl w:val="C5C25F42"/>
    <w:lvl w:ilvl="0" w:tplc="E144A9AC">
      <w:start w:val="1"/>
      <w:numFmt w:val="lowerLetter"/>
      <w:lvlText w:val="(%1)"/>
      <w:lvlJc w:val="left"/>
      <w:pPr>
        <w:ind w:left="1361" w:hanging="43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D776AC"/>
    <w:multiLevelType w:val="hybridMultilevel"/>
    <w:tmpl w:val="0B286AF0"/>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080F86"/>
    <w:multiLevelType w:val="hybridMultilevel"/>
    <w:tmpl w:val="7BCA959E"/>
    <w:lvl w:ilvl="0" w:tplc="84D428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023176"/>
    <w:multiLevelType w:val="hybridMultilevel"/>
    <w:tmpl w:val="4E76586A"/>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6225D2"/>
    <w:multiLevelType w:val="hybridMultilevel"/>
    <w:tmpl w:val="F8CE8C38"/>
    <w:lvl w:ilvl="0" w:tplc="84D42860">
      <w:start w:val="1"/>
      <w:numFmt w:val="decimal"/>
      <w:lvlText w:val="%1."/>
      <w:lvlJc w:val="left"/>
      <w:pPr>
        <w:ind w:left="930" w:hanging="570"/>
      </w:pPr>
      <w:rPr>
        <w:rFonts w:hint="default"/>
      </w:rPr>
    </w:lvl>
    <w:lvl w:ilvl="1" w:tplc="E78C81FC">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A4703"/>
    <w:multiLevelType w:val="hybridMultilevel"/>
    <w:tmpl w:val="1158E1C4"/>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46680E"/>
    <w:multiLevelType w:val="hybridMultilevel"/>
    <w:tmpl w:val="56A8EBA8"/>
    <w:lvl w:ilvl="0" w:tplc="0D327282">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296472"/>
    <w:multiLevelType w:val="hybridMultilevel"/>
    <w:tmpl w:val="F8CE8C38"/>
    <w:lvl w:ilvl="0" w:tplc="84D42860">
      <w:start w:val="1"/>
      <w:numFmt w:val="decimal"/>
      <w:lvlText w:val="%1."/>
      <w:lvlJc w:val="left"/>
      <w:pPr>
        <w:ind w:left="930" w:hanging="570"/>
      </w:pPr>
      <w:rPr>
        <w:rFonts w:hint="default"/>
      </w:rPr>
    </w:lvl>
    <w:lvl w:ilvl="1" w:tplc="E78C81FC">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C322B1"/>
    <w:multiLevelType w:val="hybridMultilevel"/>
    <w:tmpl w:val="0E66D7BE"/>
    <w:lvl w:ilvl="0" w:tplc="75023E64">
      <w:start w:val="1"/>
      <w:numFmt w:val="lowerLetter"/>
      <w:lvlText w:val="(%1)"/>
      <w:lvlJc w:val="left"/>
      <w:pPr>
        <w:ind w:left="1361" w:hanging="43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5F3D67"/>
    <w:multiLevelType w:val="hybridMultilevel"/>
    <w:tmpl w:val="B588D1B8"/>
    <w:lvl w:ilvl="0" w:tplc="4F24A664">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8" w15:restartNumberingAfterBreak="0">
    <w:nsid w:val="776F36EF"/>
    <w:multiLevelType w:val="hybridMultilevel"/>
    <w:tmpl w:val="D18A26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163D7D"/>
    <w:multiLevelType w:val="hybridMultilevel"/>
    <w:tmpl w:val="9B4668AC"/>
    <w:lvl w:ilvl="0" w:tplc="0D327282">
      <w:start w:val="1"/>
      <w:numFmt w:val="decimal"/>
      <w:lvlText w:val="%1."/>
      <w:lvlJc w:val="left"/>
      <w:pPr>
        <w:ind w:left="930" w:hanging="570"/>
      </w:pPr>
      <w:rPr>
        <w:rFonts w:hint="default"/>
        <w:i w:val="0"/>
        <w:iCs/>
      </w:rPr>
    </w:lvl>
    <w:lvl w:ilvl="1" w:tplc="DD361B86">
      <w:start w:val="1"/>
      <w:numFmt w:val="lowerLetter"/>
      <w:lvlText w:val="(%2)"/>
      <w:lvlJc w:val="left"/>
      <w:pPr>
        <w:ind w:left="1361" w:hanging="431"/>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61074478">
    <w:abstractNumId w:val="29"/>
  </w:num>
  <w:num w:numId="2" w16cid:durableId="780420592">
    <w:abstractNumId w:val="28"/>
  </w:num>
  <w:num w:numId="3" w16cid:durableId="1644888884">
    <w:abstractNumId w:val="6"/>
  </w:num>
  <w:num w:numId="4" w16cid:durableId="1453328279">
    <w:abstractNumId w:val="27"/>
  </w:num>
  <w:num w:numId="5" w16cid:durableId="672955099">
    <w:abstractNumId w:val="12"/>
  </w:num>
  <w:num w:numId="6" w16cid:durableId="1660772022">
    <w:abstractNumId w:val="15"/>
  </w:num>
  <w:num w:numId="7" w16cid:durableId="1107774476">
    <w:abstractNumId w:val="17"/>
  </w:num>
  <w:num w:numId="8" w16cid:durableId="1798446087">
    <w:abstractNumId w:val="4"/>
  </w:num>
  <w:num w:numId="9" w16cid:durableId="263734751">
    <w:abstractNumId w:val="25"/>
  </w:num>
  <w:num w:numId="10" w16cid:durableId="1375815373">
    <w:abstractNumId w:val="22"/>
  </w:num>
  <w:num w:numId="11" w16cid:durableId="522865413">
    <w:abstractNumId w:val="7"/>
  </w:num>
  <w:num w:numId="12" w16cid:durableId="1717006649">
    <w:abstractNumId w:val="13"/>
  </w:num>
  <w:num w:numId="13" w16cid:durableId="991525343">
    <w:abstractNumId w:val="1"/>
  </w:num>
  <w:num w:numId="14" w16cid:durableId="1101989262">
    <w:abstractNumId w:val="20"/>
  </w:num>
  <w:num w:numId="15" w16cid:durableId="153839831">
    <w:abstractNumId w:val="2"/>
  </w:num>
  <w:num w:numId="16" w16cid:durableId="196086290">
    <w:abstractNumId w:val="10"/>
  </w:num>
  <w:num w:numId="17" w16cid:durableId="1291663790">
    <w:abstractNumId w:val="14"/>
  </w:num>
  <w:num w:numId="18" w16cid:durableId="1489323375">
    <w:abstractNumId w:val="21"/>
  </w:num>
  <w:num w:numId="19" w16cid:durableId="383649123">
    <w:abstractNumId w:val="26"/>
  </w:num>
  <w:num w:numId="20" w16cid:durableId="798034283">
    <w:abstractNumId w:val="23"/>
  </w:num>
  <w:num w:numId="21" w16cid:durableId="1371762196">
    <w:abstractNumId w:val="5"/>
  </w:num>
  <w:num w:numId="22" w16cid:durableId="266011064">
    <w:abstractNumId w:val="11"/>
  </w:num>
  <w:num w:numId="23" w16cid:durableId="534465956">
    <w:abstractNumId w:val="24"/>
  </w:num>
  <w:num w:numId="24" w16cid:durableId="1341742081">
    <w:abstractNumId w:val="3"/>
  </w:num>
  <w:num w:numId="25" w16cid:durableId="793867552">
    <w:abstractNumId w:val="16"/>
  </w:num>
  <w:num w:numId="26" w16cid:durableId="539247484">
    <w:abstractNumId w:val="18"/>
  </w:num>
  <w:num w:numId="27" w16cid:durableId="351228232">
    <w:abstractNumId w:val="0"/>
  </w:num>
  <w:num w:numId="28" w16cid:durableId="2062248190">
    <w:abstractNumId w:val="19"/>
  </w:num>
  <w:num w:numId="29" w16cid:durableId="1412969877">
    <w:abstractNumId w:val="8"/>
  </w:num>
  <w:num w:numId="30" w16cid:durableId="2306524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8E"/>
    <w:rsid w:val="00002328"/>
    <w:rsid w:val="00003668"/>
    <w:rsid w:val="00003A5C"/>
    <w:rsid w:val="00003F36"/>
    <w:rsid w:val="00004084"/>
    <w:rsid w:val="00004418"/>
    <w:rsid w:val="00006413"/>
    <w:rsid w:val="000066B3"/>
    <w:rsid w:val="00010AE8"/>
    <w:rsid w:val="00011B00"/>
    <w:rsid w:val="0001316F"/>
    <w:rsid w:val="000137D7"/>
    <w:rsid w:val="000139A4"/>
    <w:rsid w:val="0001547D"/>
    <w:rsid w:val="000164D5"/>
    <w:rsid w:val="00016A58"/>
    <w:rsid w:val="0001707F"/>
    <w:rsid w:val="00020847"/>
    <w:rsid w:val="00022267"/>
    <w:rsid w:val="0002286B"/>
    <w:rsid w:val="00022B42"/>
    <w:rsid w:val="00023B35"/>
    <w:rsid w:val="00026932"/>
    <w:rsid w:val="00026A2E"/>
    <w:rsid w:val="00030A18"/>
    <w:rsid w:val="00030DC0"/>
    <w:rsid w:val="00031979"/>
    <w:rsid w:val="00034CA0"/>
    <w:rsid w:val="00034D66"/>
    <w:rsid w:val="00035622"/>
    <w:rsid w:val="0003721E"/>
    <w:rsid w:val="000405D5"/>
    <w:rsid w:val="00041C64"/>
    <w:rsid w:val="00041FE0"/>
    <w:rsid w:val="0004242E"/>
    <w:rsid w:val="00042729"/>
    <w:rsid w:val="00042760"/>
    <w:rsid w:val="00042BA7"/>
    <w:rsid w:val="00042CC6"/>
    <w:rsid w:val="00042FAD"/>
    <w:rsid w:val="000448D8"/>
    <w:rsid w:val="000455FD"/>
    <w:rsid w:val="00046A0D"/>
    <w:rsid w:val="00047297"/>
    <w:rsid w:val="000473B0"/>
    <w:rsid w:val="00047FC4"/>
    <w:rsid w:val="00050DDF"/>
    <w:rsid w:val="00050E63"/>
    <w:rsid w:val="0005144F"/>
    <w:rsid w:val="000521A8"/>
    <w:rsid w:val="000533B3"/>
    <w:rsid w:val="0005540C"/>
    <w:rsid w:val="00055521"/>
    <w:rsid w:val="00060043"/>
    <w:rsid w:val="00061997"/>
    <w:rsid w:val="00062C6D"/>
    <w:rsid w:val="000630D7"/>
    <w:rsid w:val="00063CF6"/>
    <w:rsid w:val="00064B7D"/>
    <w:rsid w:val="00065FD8"/>
    <w:rsid w:val="00066372"/>
    <w:rsid w:val="00067BF4"/>
    <w:rsid w:val="00067CD2"/>
    <w:rsid w:val="00070AA2"/>
    <w:rsid w:val="000711AC"/>
    <w:rsid w:val="0007168B"/>
    <w:rsid w:val="00073919"/>
    <w:rsid w:val="00073F10"/>
    <w:rsid w:val="000743FF"/>
    <w:rsid w:val="00075299"/>
    <w:rsid w:val="00076749"/>
    <w:rsid w:val="0007703D"/>
    <w:rsid w:val="00080102"/>
    <w:rsid w:val="00080162"/>
    <w:rsid w:val="00081AC4"/>
    <w:rsid w:val="00083120"/>
    <w:rsid w:val="00083437"/>
    <w:rsid w:val="00083D12"/>
    <w:rsid w:val="000858DF"/>
    <w:rsid w:val="00085C90"/>
    <w:rsid w:val="00087B82"/>
    <w:rsid w:val="00087EC3"/>
    <w:rsid w:val="00091CA7"/>
    <w:rsid w:val="00093F37"/>
    <w:rsid w:val="00094E55"/>
    <w:rsid w:val="000A314B"/>
    <w:rsid w:val="000A4877"/>
    <w:rsid w:val="000A5070"/>
    <w:rsid w:val="000A53CD"/>
    <w:rsid w:val="000A7D03"/>
    <w:rsid w:val="000A7D9E"/>
    <w:rsid w:val="000A7FC7"/>
    <w:rsid w:val="000B2C4D"/>
    <w:rsid w:val="000B4D23"/>
    <w:rsid w:val="000B5DE0"/>
    <w:rsid w:val="000C0C6B"/>
    <w:rsid w:val="000C15ED"/>
    <w:rsid w:val="000C1F24"/>
    <w:rsid w:val="000C3D17"/>
    <w:rsid w:val="000C49BB"/>
    <w:rsid w:val="000C4E2B"/>
    <w:rsid w:val="000C60C0"/>
    <w:rsid w:val="000C62CE"/>
    <w:rsid w:val="000C65DD"/>
    <w:rsid w:val="000D161A"/>
    <w:rsid w:val="000D1C84"/>
    <w:rsid w:val="000D283B"/>
    <w:rsid w:val="000D291B"/>
    <w:rsid w:val="000D2B19"/>
    <w:rsid w:val="000D2CDE"/>
    <w:rsid w:val="000D44AF"/>
    <w:rsid w:val="000D4965"/>
    <w:rsid w:val="000D4EE5"/>
    <w:rsid w:val="000D5C00"/>
    <w:rsid w:val="000D6491"/>
    <w:rsid w:val="000D7871"/>
    <w:rsid w:val="000D7AB5"/>
    <w:rsid w:val="000E0DFF"/>
    <w:rsid w:val="000E0E8A"/>
    <w:rsid w:val="000E2019"/>
    <w:rsid w:val="000E27D1"/>
    <w:rsid w:val="000E3354"/>
    <w:rsid w:val="000E4C45"/>
    <w:rsid w:val="000E5B4F"/>
    <w:rsid w:val="000E62A5"/>
    <w:rsid w:val="000E71EE"/>
    <w:rsid w:val="000F15B8"/>
    <w:rsid w:val="000F1709"/>
    <w:rsid w:val="000F1793"/>
    <w:rsid w:val="000F22CE"/>
    <w:rsid w:val="000F35AC"/>
    <w:rsid w:val="000F396F"/>
    <w:rsid w:val="000F3DF9"/>
    <w:rsid w:val="000F3F90"/>
    <w:rsid w:val="000F6399"/>
    <w:rsid w:val="000F6883"/>
    <w:rsid w:val="000F70FF"/>
    <w:rsid w:val="000F7251"/>
    <w:rsid w:val="0010040E"/>
    <w:rsid w:val="001010FB"/>
    <w:rsid w:val="00103F50"/>
    <w:rsid w:val="00105C6F"/>
    <w:rsid w:val="00106CF1"/>
    <w:rsid w:val="00107408"/>
    <w:rsid w:val="001079B6"/>
    <w:rsid w:val="00107D90"/>
    <w:rsid w:val="00110206"/>
    <w:rsid w:val="00110A57"/>
    <w:rsid w:val="00111778"/>
    <w:rsid w:val="00111F66"/>
    <w:rsid w:val="001125EC"/>
    <w:rsid w:val="00112A84"/>
    <w:rsid w:val="001130D5"/>
    <w:rsid w:val="0011326A"/>
    <w:rsid w:val="00113BE7"/>
    <w:rsid w:val="00115D52"/>
    <w:rsid w:val="001163E0"/>
    <w:rsid w:val="00116658"/>
    <w:rsid w:val="0011704A"/>
    <w:rsid w:val="00120732"/>
    <w:rsid w:val="0012184D"/>
    <w:rsid w:val="00121A5D"/>
    <w:rsid w:val="00121C24"/>
    <w:rsid w:val="00122417"/>
    <w:rsid w:val="00123DC3"/>
    <w:rsid w:val="00123FFC"/>
    <w:rsid w:val="001265DB"/>
    <w:rsid w:val="00126A36"/>
    <w:rsid w:val="0012777E"/>
    <w:rsid w:val="001322EB"/>
    <w:rsid w:val="00133562"/>
    <w:rsid w:val="0013581C"/>
    <w:rsid w:val="00135DD7"/>
    <w:rsid w:val="00136366"/>
    <w:rsid w:val="00136EA7"/>
    <w:rsid w:val="0014092E"/>
    <w:rsid w:val="0014147F"/>
    <w:rsid w:val="00141AAE"/>
    <w:rsid w:val="00141B1C"/>
    <w:rsid w:val="00141C4D"/>
    <w:rsid w:val="0014372D"/>
    <w:rsid w:val="00144D63"/>
    <w:rsid w:val="00145480"/>
    <w:rsid w:val="001465B4"/>
    <w:rsid w:val="001471CF"/>
    <w:rsid w:val="00150F1A"/>
    <w:rsid w:val="00151FE6"/>
    <w:rsid w:val="00153FA8"/>
    <w:rsid w:val="0015756E"/>
    <w:rsid w:val="00161CC3"/>
    <w:rsid w:val="00161F32"/>
    <w:rsid w:val="00162497"/>
    <w:rsid w:val="001632D9"/>
    <w:rsid w:val="00163BB8"/>
    <w:rsid w:val="00163FC6"/>
    <w:rsid w:val="00165B57"/>
    <w:rsid w:val="00167B6E"/>
    <w:rsid w:val="00170BC0"/>
    <w:rsid w:val="00171A07"/>
    <w:rsid w:val="001728DF"/>
    <w:rsid w:val="001730D1"/>
    <w:rsid w:val="00174120"/>
    <w:rsid w:val="0017473D"/>
    <w:rsid w:val="00174C43"/>
    <w:rsid w:val="0017658D"/>
    <w:rsid w:val="00180EA8"/>
    <w:rsid w:val="00181B2B"/>
    <w:rsid w:val="0018278E"/>
    <w:rsid w:val="001839F1"/>
    <w:rsid w:val="001840F9"/>
    <w:rsid w:val="00185131"/>
    <w:rsid w:val="00185E8A"/>
    <w:rsid w:val="001860F2"/>
    <w:rsid w:val="00190082"/>
    <w:rsid w:val="001927FD"/>
    <w:rsid w:val="00192828"/>
    <w:rsid w:val="00193365"/>
    <w:rsid w:val="00194D09"/>
    <w:rsid w:val="00195177"/>
    <w:rsid w:val="00196804"/>
    <w:rsid w:val="0019791A"/>
    <w:rsid w:val="00197997"/>
    <w:rsid w:val="001A049B"/>
    <w:rsid w:val="001A1AB9"/>
    <w:rsid w:val="001A231A"/>
    <w:rsid w:val="001A3E6D"/>
    <w:rsid w:val="001A4A55"/>
    <w:rsid w:val="001A4A56"/>
    <w:rsid w:val="001A53A0"/>
    <w:rsid w:val="001A7C10"/>
    <w:rsid w:val="001A7C5E"/>
    <w:rsid w:val="001B05E0"/>
    <w:rsid w:val="001B0EC3"/>
    <w:rsid w:val="001B1469"/>
    <w:rsid w:val="001B1C81"/>
    <w:rsid w:val="001B1EF4"/>
    <w:rsid w:val="001B4A10"/>
    <w:rsid w:val="001B520F"/>
    <w:rsid w:val="001B66FF"/>
    <w:rsid w:val="001C2495"/>
    <w:rsid w:val="001C2C3A"/>
    <w:rsid w:val="001C5126"/>
    <w:rsid w:val="001C5683"/>
    <w:rsid w:val="001C69D5"/>
    <w:rsid w:val="001C6E15"/>
    <w:rsid w:val="001D01F8"/>
    <w:rsid w:val="001D03DE"/>
    <w:rsid w:val="001D061D"/>
    <w:rsid w:val="001D0B9B"/>
    <w:rsid w:val="001D28B2"/>
    <w:rsid w:val="001D48B8"/>
    <w:rsid w:val="001D7DAF"/>
    <w:rsid w:val="001E27B9"/>
    <w:rsid w:val="001E3825"/>
    <w:rsid w:val="001E3A2E"/>
    <w:rsid w:val="001E4846"/>
    <w:rsid w:val="001E486F"/>
    <w:rsid w:val="001E6FF1"/>
    <w:rsid w:val="001E741D"/>
    <w:rsid w:val="001E7475"/>
    <w:rsid w:val="001F0403"/>
    <w:rsid w:val="001F1103"/>
    <w:rsid w:val="001F2049"/>
    <w:rsid w:val="001F48C5"/>
    <w:rsid w:val="001F6884"/>
    <w:rsid w:val="001F68B1"/>
    <w:rsid w:val="00200680"/>
    <w:rsid w:val="00204F64"/>
    <w:rsid w:val="00205B0F"/>
    <w:rsid w:val="00206032"/>
    <w:rsid w:val="0020689C"/>
    <w:rsid w:val="002107FD"/>
    <w:rsid w:val="002109ED"/>
    <w:rsid w:val="00210EA4"/>
    <w:rsid w:val="002121AC"/>
    <w:rsid w:val="00212618"/>
    <w:rsid w:val="00214267"/>
    <w:rsid w:val="00215B10"/>
    <w:rsid w:val="00215FD3"/>
    <w:rsid w:val="00216870"/>
    <w:rsid w:val="0021691E"/>
    <w:rsid w:val="00216F64"/>
    <w:rsid w:val="0021732D"/>
    <w:rsid w:val="002174C7"/>
    <w:rsid w:val="00217B7D"/>
    <w:rsid w:val="00221663"/>
    <w:rsid w:val="00223300"/>
    <w:rsid w:val="00224C48"/>
    <w:rsid w:val="00224EF6"/>
    <w:rsid w:val="00225950"/>
    <w:rsid w:val="002263A2"/>
    <w:rsid w:val="002264CC"/>
    <w:rsid w:val="00227092"/>
    <w:rsid w:val="002314C0"/>
    <w:rsid w:val="00231A05"/>
    <w:rsid w:val="00232BE9"/>
    <w:rsid w:val="00232ED3"/>
    <w:rsid w:val="002331B3"/>
    <w:rsid w:val="002338EC"/>
    <w:rsid w:val="00233E81"/>
    <w:rsid w:val="00233FB3"/>
    <w:rsid w:val="00234817"/>
    <w:rsid w:val="00234A74"/>
    <w:rsid w:val="002402A7"/>
    <w:rsid w:val="00240BC8"/>
    <w:rsid w:val="002411E9"/>
    <w:rsid w:val="002413BB"/>
    <w:rsid w:val="0024367E"/>
    <w:rsid w:val="00245708"/>
    <w:rsid w:val="00247A6E"/>
    <w:rsid w:val="0025038E"/>
    <w:rsid w:val="00255E82"/>
    <w:rsid w:val="00256270"/>
    <w:rsid w:val="00256442"/>
    <w:rsid w:val="00256D9D"/>
    <w:rsid w:val="002577F0"/>
    <w:rsid w:val="002607B5"/>
    <w:rsid w:val="00261115"/>
    <w:rsid w:val="00261F5A"/>
    <w:rsid w:val="00262E88"/>
    <w:rsid w:val="00262F16"/>
    <w:rsid w:val="00262FF6"/>
    <w:rsid w:val="00263182"/>
    <w:rsid w:val="002654E6"/>
    <w:rsid w:val="00265F48"/>
    <w:rsid w:val="00267D3F"/>
    <w:rsid w:val="00270D53"/>
    <w:rsid w:val="00271BF4"/>
    <w:rsid w:val="00274020"/>
    <w:rsid w:val="00274FFD"/>
    <w:rsid w:val="00276FC8"/>
    <w:rsid w:val="00277377"/>
    <w:rsid w:val="00280012"/>
    <w:rsid w:val="00281B2C"/>
    <w:rsid w:val="002824FA"/>
    <w:rsid w:val="002828D4"/>
    <w:rsid w:val="0028362E"/>
    <w:rsid w:val="00284B3F"/>
    <w:rsid w:val="00284C88"/>
    <w:rsid w:val="002866D9"/>
    <w:rsid w:val="00287493"/>
    <w:rsid w:val="002879E7"/>
    <w:rsid w:val="0029059E"/>
    <w:rsid w:val="00290A46"/>
    <w:rsid w:val="00292B24"/>
    <w:rsid w:val="0029440E"/>
    <w:rsid w:val="002949D2"/>
    <w:rsid w:val="00294EC2"/>
    <w:rsid w:val="002954EE"/>
    <w:rsid w:val="00295CC7"/>
    <w:rsid w:val="00296814"/>
    <w:rsid w:val="00296C12"/>
    <w:rsid w:val="002A1583"/>
    <w:rsid w:val="002A4120"/>
    <w:rsid w:val="002A52A2"/>
    <w:rsid w:val="002A5783"/>
    <w:rsid w:val="002A59A9"/>
    <w:rsid w:val="002A7276"/>
    <w:rsid w:val="002A7621"/>
    <w:rsid w:val="002A76F6"/>
    <w:rsid w:val="002B1604"/>
    <w:rsid w:val="002B1733"/>
    <w:rsid w:val="002B2940"/>
    <w:rsid w:val="002B32E8"/>
    <w:rsid w:val="002B475B"/>
    <w:rsid w:val="002B48D6"/>
    <w:rsid w:val="002B4D26"/>
    <w:rsid w:val="002B5234"/>
    <w:rsid w:val="002B5377"/>
    <w:rsid w:val="002B5786"/>
    <w:rsid w:val="002B62CE"/>
    <w:rsid w:val="002B66A0"/>
    <w:rsid w:val="002B6C78"/>
    <w:rsid w:val="002B7DE1"/>
    <w:rsid w:val="002C05C3"/>
    <w:rsid w:val="002C1CE8"/>
    <w:rsid w:val="002C2B74"/>
    <w:rsid w:val="002C3A3B"/>
    <w:rsid w:val="002C41DB"/>
    <w:rsid w:val="002C41E8"/>
    <w:rsid w:val="002C4E88"/>
    <w:rsid w:val="002C5009"/>
    <w:rsid w:val="002C747A"/>
    <w:rsid w:val="002C78EE"/>
    <w:rsid w:val="002C7AA0"/>
    <w:rsid w:val="002D1655"/>
    <w:rsid w:val="002D362E"/>
    <w:rsid w:val="002E0764"/>
    <w:rsid w:val="002E1E31"/>
    <w:rsid w:val="002E2201"/>
    <w:rsid w:val="002E2690"/>
    <w:rsid w:val="002E3CEF"/>
    <w:rsid w:val="002E46B9"/>
    <w:rsid w:val="002E4EBB"/>
    <w:rsid w:val="002F0821"/>
    <w:rsid w:val="002F3CAC"/>
    <w:rsid w:val="002F4282"/>
    <w:rsid w:val="002F4643"/>
    <w:rsid w:val="002F548D"/>
    <w:rsid w:val="002F54FC"/>
    <w:rsid w:val="002F5CA3"/>
    <w:rsid w:val="002F5ED0"/>
    <w:rsid w:val="002F6D15"/>
    <w:rsid w:val="00300554"/>
    <w:rsid w:val="00300A4E"/>
    <w:rsid w:val="00302469"/>
    <w:rsid w:val="00302C43"/>
    <w:rsid w:val="00302F04"/>
    <w:rsid w:val="00303B4D"/>
    <w:rsid w:val="003044F9"/>
    <w:rsid w:val="00304C52"/>
    <w:rsid w:val="00304E42"/>
    <w:rsid w:val="003062D6"/>
    <w:rsid w:val="003065D0"/>
    <w:rsid w:val="00306FE9"/>
    <w:rsid w:val="00307D28"/>
    <w:rsid w:val="00310ECE"/>
    <w:rsid w:val="00312CC3"/>
    <w:rsid w:val="00312F52"/>
    <w:rsid w:val="00313B74"/>
    <w:rsid w:val="00314131"/>
    <w:rsid w:val="00314866"/>
    <w:rsid w:val="00314C33"/>
    <w:rsid w:val="00315093"/>
    <w:rsid w:val="0031622F"/>
    <w:rsid w:val="00317391"/>
    <w:rsid w:val="00317CB3"/>
    <w:rsid w:val="00320B6D"/>
    <w:rsid w:val="00322749"/>
    <w:rsid w:val="00323928"/>
    <w:rsid w:val="003245D7"/>
    <w:rsid w:val="00325723"/>
    <w:rsid w:val="00330639"/>
    <w:rsid w:val="00330B83"/>
    <w:rsid w:val="003313BC"/>
    <w:rsid w:val="00331CCA"/>
    <w:rsid w:val="003323CC"/>
    <w:rsid w:val="00333795"/>
    <w:rsid w:val="00335157"/>
    <w:rsid w:val="00336785"/>
    <w:rsid w:val="00336B1F"/>
    <w:rsid w:val="003376E8"/>
    <w:rsid w:val="00337EE8"/>
    <w:rsid w:val="003413B5"/>
    <w:rsid w:val="0034428A"/>
    <w:rsid w:val="00344EA1"/>
    <w:rsid w:val="0034527C"/>
    <w:rsid w:val="003454EC"/>
    <w:rsid w:val="00345698"/>
    <w:rsid w:val="003464C5"/>
    <w:rsid w:val="00346B43"/>
    <w:rsid w:val="003502C8"/>
    <w:rsid w:val="00350493"/>
    <w:rsid w:val="0035069A"/>
    <w:rsid w:val="0035134B"/>
    <w:rsid w:val="00351E4B"/>
    <w:rsid w:val="0035309A"/>
    <w:rsid w:val="0035357D"/>
    <w:rsid w:val="00354716"/>
    <w:rsid w:val="0035539F"/>
    <w:rsid w:val="00356354"/>
    <w:rsid w:val="003565A5"/>
    <w:rsid w:val="003570CC"/>
    <w:rsid w:val="00360AEE"/>
    <w:rsid w:val="00361271"/>
    <w:rsid w:val="003618E1"/>
    <w:rsid w:val="00362DF6"/>
    <w:rsid w:val="003632F6"/>
    <w:rsid w:val="00363D19"/>
    <w:rsid w:val="003640B9"/>
    <w:rsid w:val="00364722"/>
    <w:rsid w:val="00365CC7"/>
    <w:rsid w:val="0036600C"/>
    <w:rsid w:val="00366290"/>
    <w:rsid w:val="003669C1"/>
    <w:rsid w:val="00367CF8"/>
    <w:rsid w:val="00371709"/>
    <w:rsid w:val="0037174F"/>
    <w:rsid w:val="00371D1D"/>
    <w:rsid w:val="00372D14"/>
    <w:rsid w:val="0037359B"/>
    <w:rsid w:val="00373E0B"/>
    <w:rsid w:val="00375611"/>
    <w:rsid w:val="0037635C"/>
    <w:rsid w:val="00376836"/>
    <w:rsid w:val="0037739B"/>
    <w:rsid w:val="00381600"/>
    <w:rsid w:val="00381A54"/>
    <w:rsid w:val="00384CE3"/>
    <w:rsid w:val="00385219"/>
    <w:rsid w:val="0038575C"/>
    <w:rsid w:val="00386AC7"/>
    <w:rsid w:val="00386E06"/>
    <w:rsid w:val="00387EE2"/>
    <w:rsid w:val="003918BB"/>
    <w:rsid w:val="00391DB0"/>
    <w:rsid w:val="00393AEE"/>
    <w:rsid w:val="00394260"/>
    <w:rsid w:val="00394908"/>
    <w:rsid w:val="00395A8D"/>
    <w:rsid w:val="00395BA7"/>
    <w:rsid w:val="00395C56"/>
    <w:rsid w:val="00395D3D"/>
    <w:rsid w:val="003966D7"/>
    <w:rsid w:val="003967F0"/>
    <w:rsid w:val="00397642"/>
    <w:rsid w:val="00397898"/>
    <w:rsid w:val="003A0545"/>
    <w:rsid w:val="003A0793"/>
    <w:rsid w:val="003A1C44"/>
    <w:rsid w:val="003A1E4E"/>
    <w:rsid w:val="003A2C46"/>
    <w:rsid w:val="003A44F6"/>
    <w:rsid w:val="003A4C77"/>
    <w:rsid w:val="003A5237"/>
    <w:rsid w:val="003A6012"/>
    <w:rsid w:val="003B0669"/>
    <w:rsid w:val="003B0A2B"/>
    <w:rsid w:val="003B1835"/>
    <w:rsid w:val="003B2815"/>
    <w:rsid w:val="003B3792"/>
    <w:rsid w:val="003B621E"/>
    <w:rsid w:val="003B6CA0"/>
    <w:rsid w:val="003C2073"/>
    <w:rsid w:val="003C321C"/>
    <w:rsid w:val="003C32B1"/>
    <w:rsid w:val="003C6825"/>
    <w:rsid w:val="003D111D"/>
    <w:rsid w:val="003D1542"/>
    <w:rsid w:val="003D325E"/>
    <w:rsid w:val="003D36F1"/>
    <w:rsid w:val="003D39FC"/>
    <w:rsid w:val="003D6CB6"/>
    <w:rsid w:val="003E06CA"/>
    <w:rsid w:val="003E4626"/>
    <w:rsid w:val="003F0734"/>
    <w:rsid w:val="003F2101"/>
    <w:rsid w:val="003F2763"/>
    <w:rsid w:val="003F3E78"/>
    <w:rsid w:val="003F5A47"/>
    <w:rsid w:val="003F6288"/>
    <w:rsid w:val="0040072F"/>
    <w:rsid w:val="00400996"/>
    <w:rsid w:val="004021D2"/>
    <w:rsid w:val="0040276B"/>
    <w:rsid w:val="00403481"/>
    <w:rsid w:val="00403BED"/>
    <w:rsid w:val="0040431B"/>
    <w:rsid w:val="004045E0"/>
    <w:rsid w:val="0040490B"/>
    <w:rsid w:val="00404B94"/>
    <w:rsid w:val="0040565A"/>
    <w:rsid w:val="00405E16"/>
    <w:rsid w:val="00406420"/>
    <w:rsid w:val="00406E19"/>
    <w:rsid w:val="00407777"/>
    <w:rsid w:val="00411765"/>
    <w:rsid w:val="004117EB"/>
    <w:rsid w:val="004124EA"/>
    <w:rsid w:val="004126AE"/>
    <w:rsid w:val="004165E3"/>
    <w:rsid w:val="0041713D"/>
    <w:rsid w:val="0042282D"/>
    <w:rsid w:val="00423215"/>
    <w:rsid w:val="00424B07"/>
    <w:rsid w:val="004305D5"/>
    <w:rsid w:val="00430776"/>
    <w:rsid w:val="004310D3"/>
    <w:rsid w:val="00431380"/>
    <w:rsid w:val="004329A2"/>
    <w:rsid w:val="00432AC1"/>
    <w:rsid w:val="00432F01"/>
    <w:rsid w:val="00433C36"/>
    <w:rsid w:val="00434AE9"/>
    <w:rsid w:val="0043627B"/>
    <w:rsid w:val="004364A7"/>
    <w:rsid w:val="004419A2"/>
    <w:rsid w:val="0044255D"/>
    <w:rsid w:val="00442E37"/>
    <w:rsid w:val="004435DB"/>
    <w:rsid w:val="004436FA"/>
    <w:rsid w:val="00444E9E"/>
    <w:rsid w:val="0044566C"/>
    <w:rsid w:val="00446F55"/>
    <w:rsid w:val="0044700A"/>
    <w:rsid w:val="00447E2F"/>
    <w:rsid w:val="00451578"/>
    <w:rsid w:val="00453E84"/>
    <w:rsid w:val="004547EC"/>
    <w:rsid w:val="00455BAC"/>
    <w:rsid w:val="00455BC9"/>
    <w:rsid w:val="00457342"/>
    <w:rsid w:val="00460BAD"/>
    <w:rsid w:val="0046104B"/>
    <w:rsid w:val="004638E1"/>
    <w:rsid w:val="0046391A"/>
    <w:rsid w:val="0046457A"/>
    <w:rsid w:val="00465ED1"/>
    <w:rsid w:val="00466F9D"/>
    <w:rsid w:val="004671B8"/>
    <w:rsid w:val="00467EBF"/>
    <w:rsid w:val="00467FA3"/>
    <w:rsid w:val="00471756"/>
    <w:rsid w:val="00473423"/>
    <w:rsid w:val="0047365E"/>
    <w:rsid w:val="0047516F"/>
    <w:rsid w:val="00475BDA"/>
    <w:rsid w:val="00475E6B"/>
    <w:rsid w:val="0047618C"/>
    <w:rsid w:val="00476649"/>
    <w:rsid w:val="004766ED"/>
    <w:rsid w:val="00477B81"/>
    <w:rsid w:val="00481308"/>
    <w:rsid w:val="00482CF4"/>
    <w:rsid w:val="00483F15"/>
    <w:rsid w:val="00484C43"/>
    <w:rsid w:val="00484D65"/>
    <w:rsid w:val="0048617C"/>
    <w:rsid w:val="00487120"/>
    <w:rsid w:val="004871EB"/>
    <w:rsid w:val="004871EF"/>
    <w:rsid w:val="00490C6C"/>
    <w:rsid w:val="00491749"/>
    <w:rsid w:val="00491925"/>
    <w:rsid w:val="004924DB"/>
    <w:rsid w:val="00492592"/>
    <w:rsid w:val="004929E9"/>
    <w:rsid w:val="0049371A"/>
    <w:rsid w:val="00493B6B"/>
    <w:rsid w:val="004942A7"/>
    <w:rsid w:val="0049456F"/>
    <w:rsid w:val="00494B96"/>
    <w:rsid w:val="00496566"/>
    <w:rsid w:val="004970FB"/>
    <w:rsid w:val="004972B5"/>
    <w:rsid w:val="004A0399"/>
    <w:rsid w:val="004A1A84"/>
    <w:rsid w:val="004A1BD4"/>
    <w:rsid w:val="004A3608"/>
    <w:rsid w:val="004A5ED6"/>
    <w:rsid w:val="004A65A7"/>
    <w:rsid w:val="004B0564"/>
    <w:rsid w:val="004B0DC3"/>
    <w:rsid w:val="004B155E"/>
    <w:rsid w:val="004B35B5"/>
    <w:rsid w:val="004B3C41"/>
    <w:rsid w:val="004B4956"/>
    <w:rsid w:val="004B5891"/>
    <w:rsid w:val="004B7C18"/>
    <w:rsid w:val="004C0E2A"/>
    <w:rsid w:val="004C0EC8"/>
    <w:rsid w:val="004C1009"/>
    <w:rsid w:val="004C2F1B"/>
    <w:rsid w:val="004C3C86"/>
    <w:rsid w:val="004C47E5"/>
    <w:rsid w:val="004C6EE8"/>
    <w:rsid w:val="004C7479"/>
    <w:rsid w:val="004D0E74"/>
    <w:rsid w:val="004D18FA"/>
    <w:rsid w:val="004D26BE"/>
    <w:rsid w:val="004D2800"/>
    <w:rsid w:val="004D2B01"/>
    <w:rsid w:val="004D3C64"/>
    <w:rsid w:val="004D53BB"/>
    <w:rsid w:val="004D6D25"/>
    <w:rsid w:val="004D6FE8"/>
    <w:rsid w:val="004D720D"/>
    <w:rsid w:val="004E07A4"/>
    <w:rsid w:val="004E0E12"/>
    <w:rsid w:val="004E7994"/>
    <w:rsid w:val="004F195D"/>
    <w:rsid w:val="004F1A62"/>
    <w:rsid w:val="004F1BF7"/>
    <w:rsid w:val="004F303B"/>
    <w:rsid w:val="004F44C2"/>
    <w:rsid w:val="004F4D17"/>
    <w:rsid w:val="004F530F"/>
    <w:rsid w:val="004F75F2"/>
    <w:rsid w:val="005037DC"/>
    <w:rsid w:val="00503D25"/>
    <w:rsid w:val="00504772"/>
    <w:rsid w:val="00505253"/>
    <w:rsid w:val="005058FE"/>
    <w:rsid w:val="00505C94"/>
    <w:rsid w:val="0051010F"/>
    <w:rsid w:val="005105A2"/>
    <w:rsid w:val="00511120"/>
    <w:rsid w:val="005137C8"/>
    <w:rsid w:val="00513DD6"/>
    <w:rsid w:val="00514D99"/>
    <w:rsid w:val="00517244"/>
    <w:rsid w:val="005205F2"/>
    <w:rsid w:val="005210F1"/>
    <w:rsid w:val="005232ED"/>
    <w:rsid w:val="00523619"/>
    <w:rsid w:val="00525FB9"/>
    <w:rsid w:val="00526F13"/>
    <w:rsid w:val="00527B6A"/>
    <w:rsid w:val="00527F87"/>
    <w:rsid w:val="00532004"/>
    <w:rsid w:val="00533B45"/>
    <w:rsid w:val="00534990"/>
    <w:rsid w:val="005349A8"/>
    <w:rsid w:val="00535F55"/>
    <w:rsid w:val="00536017"/>
    <w:rsid w:val="00536628"/>
    <w:rsid w:val="005367CA"/>
    <w:rsid w:val="00536EEE"/>
    <w:rsid w:val="00541041"/>
    <w:rsid w:val="005418E0"/>
    <w:rsid w:val="00542175"/>
    <w:rsid w:val="00543430"/>
    <w:rsid w:val="005441F9"/>
    <w:rsid w:val="00544C47"/>
    <w:rsid w:val="005463E0"/>
    <w:rsid w:val="00546615"/>
    <w:rsid w:val="0055013A"/>
    <w:rsid w:val="005509B4"/>
    <w:rsid w:val="00550FCE"/>
    <w:rsid w:val="00552DED"/>
    <w:rsid w:val="0055531C"/>
    <w:rsid w:val="00555631"/>
    <w:rsid w:val="005558E4"/>
    <w:rsid w:val="0055604B"/>
    <w:rsid w:val="0055662B"/>
    <w:rsid w:val="00556708"/>
    <w:rsid w:val="00557B65"/>
    <w:rsid w:val="00557C38"/>
    <w:rsid w:val="005611F7"/>
    <w:rsid w:val="005634E2"/>
    <w:rsid w:val="0056358B"/>
    <w:rsid w:val="0056440F"/>
    <w:rsid w:val="0056532A"/>
    <w:rsid w:val="005660FE"/>
    <w:rsid w:val="00566265"/>
    <w:rsid w:val="005663AD"/>
    <w:rsid w:val="00566BE6"/>
    <w:rsid w:val="00567367"/>
    <w:rsid w:val="005712E4"/>
    <w:rsid w:val="00571439"/>
    <w:rsid w:val="00572021"/>
    <w:rsid w:val="00575263"/>
    <w:rsid w:val="0057527A"/>
    <w:rsid w:val="005767C3"/>
    <w:rsid w:val="00580945"/>
    <w:rsid w:val="00581046"/>
    <w:rsid w:val="005822C8"/>
    <w:rsid w:val="0058397D"/>
    <w:rsid w:val="00586526"/>
    <w:rsid w:val="00592EF2"/>
    <w:rsid w:val="00594279"/>
    <w:rsid w:val="00596385"/>
    <w:rsid w:val="005963EE"/>
    <w:rsid w:val="005A0CA9"/>
    <w:rsid w:val="005A18DD"/>
    <w:rsid w:val="005A2D1E"/>
    <w:rsid w:val="005A3597"/>
    <w:rsid w:val="005A387C"/>
    <w:rsid w:val="005A39A6"/>
    <w:rsid w:val="005A3E8E"/>
    <w:rsid w:val="005A45F1"/>
    <w:rsid w:val="005A5007"/>
    <w:rsid w:val="005A5D63"/>
    <w:rsid w:val="005B1241"/>
    <w:rsid w:val="005B2617"/>
    <w:rsid w:val="005B29BA"/>
    <w:rsid w:val="005B391F"/>
    <w:rsid w:val="005B5659"/>
    <w:rsid w:val="005B5ECA"/>
    <w:rsid w:val="005C0518"/>
    <w:rsid w:val="005C1D56"/>
    <w:rsid w:val="005C2535"/>
    <w:rsid w:val="005C2857"/>
    <w:rsid w:val="005C2BB2"/>
    <w:rsid w:val="005C2E73"/>
    <w:rsid w:val="005C478E"/>
    <w:rsid w:val="005D03E2"/>
    <w:rsid w:val="005D0535"/>
    <w:rsid w:val="005D110C"/>
    <w:rsid w:val="005D197F"/>
    <w:rsid w:val="005D1A38"/>
    <w:rsid w:val="005D4066"/>
    <w:rsid w:val="005D5B78"/>
    <w:rsid w:val="005D788D"/>
    <w:rsid w:val="005E0229"/>
    <w:rsid w:val="005E155E"/>
    <w:rsid w:val="005E4A5E"/>
    <w:rsid w:val="005E4B0B"/>
    <w:rsid w:val="005E538A"/>
    <w:rsid w:val="005E7EA6"/>
    <w:rsid w:val="005F12B1"/>
    <w:rsid w:val="005F18F5"/>
    <w:rsid w:val="005F2834"/>
    <w:rsid w:val="005F29AB"/>
    <w:rsid w:val="005F31B6"/>
    <w:rsid w:val="005F385E"/>
    <w:rsid w:val="005F692F"/>
    <w:rsid w:val="005F7327"/>
    <w:rsid w:val="005F7B64"/>
    <w:rsid w:val="00600011"/>
    <w:rsid w:val="00600453"/>
    <w:rsid w:val="006005EB"/>
    <w:rsid w:val="006006E0"/>
    <w:rsid w:val="00601115"/>
    <w:rsid w:val="0060227E"/>
    <w:rsid w:val="006025BC"/>
    <w:rsid w:val="00604996"/>
    <w:rsid w:val="00604EFD"/>
    <w:rsid w:val="00606DB3"/>
    <w:rsid w:val="006072F2"/>
    <w:rsid w:val="00611D58"/>
    <w:rsid w:val="00611DA5"/>
    <w:rsid w:val="006122C4"/>
    <w:rsid w:val="00615573"/>
    <w:rsid w:val="00616135"/>
    <w:rsid w:val="006166F8"/>
    <w:rsid w:val="0061726F"/>
    <w:rsid w:val="00617ACB"/>
    <w:rsid w:val="00617E0C"/>
    <w:rsid w:val="00617EBE"/>
    <w:rsid w:val="006202CF"/>
    <w:rsid w:val="006207CE"/>
    <w:rsid w:val="00621C5F"/>
    <w:rsid w:val="00623A2D"/>
    <w:rsid w:val="00623A9B"/>
    <w:rsid w:val="00623E95"/>
    <w:rsid w:val="006262B3"/>
    <w:rsid w:val="006264BB"/>
    <w:rsid w:val="00626872"/>
    <w:rsid w:val="0062710F"/>
    <w:rsid w:val="00627404"/>
    <w:rsid w:val="006326D3"/>
    <w:rsid w:val="00632AC1"/>
    <w:rsid w:val="006332B2"/>
    <w:rsid w:val="00633CBB"/>
    <w:rsid w:val="00633ED3"/>
    <w:rsid w:val="006345A6"/>
    <w:rsid w:val="00634625"/>
    <w:rsid w:val="00634C69"/>
    <w:rsid w:val="00635F7F"/>
    <w:rsid w:val="00636BBC"/>
    <w:rsid w:val="006405A4"/>
    <w:rsid w:val="00642BCF"/>
    <w:rsid w:val="006465AE"/>
    <w:rsid w:val="00651406"/>
    <w:rsid w:val="00651766"/>
    <w:rsid w:val="0065328A"/>
    <w:rsid w:val="006545F7"/>
    <w:rsid w:val="00655E28"/>
    <w:rsid w:val="00655F75"/>
    <w:rsid w:val="00656241"/>
    <w:rsid w:val="00657918"/>
    <w:rsid w:val="00657C2E"/>
    <w:rsid w:val="00660F60"/>
    <w:rsid w:val="00660FEC"/>
    <w:rsid w:val="006611EC"/>
    <w:rsid w:val="00661901"/>
    <w:rsid w:val="00662D91"/>
    <w:rsid w:val="00663B81"/>
    <w:rsid w:val="00664156"/>
    <w:rsid w:val="00664C81"/>
    <w:rsid w:val="006678DF"/>
    <w:rsid w:val="00670F95"/>
    <w:rsid w:val="00672E5C"/>
    <w:rsid w:val="006746A2"/>
    <w:rsid w:val="006759DE"/>
    <w:rsid w:val="0067611E"/>
    <w:rsid w:val="00676F0C"/>
    <w:rsid w:val="00677C09"/>
    <w:rsid w:val="006809D5"/>
    <w:rsid w:val="00681611"/>
    <w:rsid w:val="006817AF"/>
    <w:rsid w:val="00681FEB"/>
    <w:rsid w:val="006827DA"/>
    <w:rsid w:val="00682B43"/>
    <w:rsid w:val="0068436A"/>
    <w:rsid w:val="006848A3"/>
    <w:rsid w:val="00686189"/>
    <w:rsid w:val="0069225E"/>
    <w:rsid w:val="00693ED4"/>
    <w:rsid w:val="00694AA0"/>
    <w:rsid w:val="00697878"/>
    <w:rsid w:val="006A1258"/>
    <w:rsid w:val="006A1911"/>
    <w:rsid w:val="006A1F30"/>
    <w:rsid w:val="006A3058"/>
    <w:rsid w:val="006A3F12"/>
    <w:rsid w:val="006A406F"/>
    <w:rsid w:val="006B0796"/>
    <w:rsid w:val="006B1C40"/>
    <w:rsid w:val="006B22D4"/>
    <w:rsid w:val="006B4497"/>
    <w:rsid w:val="006B5377"/>
    <w:rsid w:val="006B6446"/>
    <w:rsid w:val="006B654A"/>
    <w:rsid w:val="006B7253"/>
    <w:rsid w:val="006C09B6"/>
    <w:rsid w:val="006C1982"/>
    <w:rsid w:val="006C2120"/>
    <w:rsid w:val="006C3494"/>
    <w:rsid w:val="006C3567"/>
    <w:rsid w:val="006C3675"/>
    <w:rsid w:val="006C37F3"/>
    <w:rsid w:val="006C5556"/>
    <w:rsid w:val="006C6629"/>
    <w:rsid w:val="006C6645"/>
    <w:rsid w:val="006D13F1"/>
    <w:rsid w:val="006D14F6"/>
    <w:rsid w:val="006D373A"/>
    <w:rsid w:val="006D4833"/>
    <w:rsid w:val="006D794A"/>
    <w:rsid w:val="006E0C20"/>
    <w:rsid w:val="006E1496"/>
    <w:rsid w:val="006E3AAC"/>
    <w:rsid w:val="006E4360"/>
    <w:rsid w:val="006E4F1D"/>
    <w:rsid w:val="006E66E0"/>
    <w:rsid w:val="006E6D79"/>
    <w:rsid w:val="006F0567"/>
    <w:rsid w:val="006F075B"/>
    <w:rsid w:val="006F1C0D"/>
    <w:rsid w:val="006F1CD7"/>
    <w:rsid w:val="006F34B5"/>
    <w:rsid w:val="006F38F2"/>
    <w:rsid w:val="006F5969"/>
    <w:rsid w:val="00700FA1"/>
    <w:rsid w:val="00701786"/>
    <w:rsid w:val="00701B53"/>
    <w:rsid w:val="00702B35"/>
    <w:rsid w:val="00702E4D"/>
    <w:rsid w:val="00703B7B"/>
    <w:rsid w:val="00704F85"/>
    <w:rsid w:val="0070709B"/>
    <w:rsid w:val="00710740"/>
    <w:rsid w:val="007109C2"/>
    <w:rsid w:val="00712B0E"/>
    <w:rsid w:val="00712D86"/>
    <w:rsid w:val="00713140"/>
    <w:rsid w:val="00713A80"/>
    <w:rsid w:val="007152F2"/>
    <w:rsid w:val="00716F5E"/>
    <w:rsid w:val="00716FAB"/>
    <w:rsid w:val="0072067D"/>
    <w:rsid w:val="0072121D"/>
    <w:rsid w:val="00721896"/>
    <w:rsid w:val="0072260B"/>
    <w:rsid w:val="00723983"/>
    <w:rsid w:val="00723B95"/>
    <w:rsid w:val="0072414D"/>
    <w:rsid w:val="0072555F"/>
    <w:rsid w:val="0072576A"/>
    <w:rsid w:val="007267AE"/>
    <w:rsid w:val="007268E6"/>
    <w:rsid w:val="00730323"/>
    <w:rsid w:val="00732E63"/>
    <w:rsid w:val="00733D7F"/>
    <w:rsid w:val="0073446D"/>
    <w:rsid w:val="00736234"/>
    <w:rsid w:val="00736418"/>
    <w:rsid w:val="00736737"/>
    <w:rsid w:val="0073719A"/>
    <w:rsid w:val="007372E1"/>
    <w:rsid w:val="00737C8B"/>
    <w:rsid w:val="0074135C"/>
    <w:rsid w:val="00742309"/>
    <w:rsid w:val="00743946"/>
    <w:rsid w:val="007441E9"/>
    <w:rsid w:val="00744668"/>
    <w:rsid w:val="00744E93"/>
    <w:rsid w:val="007456A4"/>
    <w:rsid w:val="007458CF"/>
    <w:rsid w:val="00750B70"/>
    <w:rsid w:val="00751F5A"/>
    <w:rsid w:val="00752AA2"/>
    <w:rsid w:val="00753D43"/>
    <w:rsid w:val="007547A6"/>
    <w:rsid w:val="007578FD"/>
    <w:rsid w:val="007606A6"/>
    <w:rsid w:val="00760BA6"/>
    <w:rsid w:val="00762F8D"/>
    <w:rsid w:val="00764700"/>
    <w:rsid w:val="007653F5"/>
    <w:rsid w:val="00766B1C"/>
    <w:rsid w:val="00766D85"/>
    <w:rsid w:val="0076749C"/>
    <w:rsid w:val="007675FA"/>
    <w:rsid w:val="00770C23"/>
    <w:rsid w:val="007719FC"/>
    <w:rsid w:val="00771B5E"/>
    <w:rsid w:val="00772188"/>
    <w:rsid w:val="00772A9A"/>
    <w:rsid w:val="00772E22"/>
    <w:rsid w:val="0077607E"/>
    <w:rsid w:val="007765A2"/>
    <w:rsid w:val="00783028"/>
    <w:rsid w:val="00783054"/>
    <w:rsid w:val="00784073"/>
    <w:rsid w:val="007846B5"/>
    <w:rsid w:val="00786A63"/>
    <w:rsid w:val="00786DBE"/>
    <w:rsid w:val="0078725A"/>
    <w:rsid w:val="007907D6"/>
    <w:rsid w:val="00791EB3"/>
    <w:rsid w:val="007927C0"/>
    <w:rsid w:val="00792FA6"/>
    <w:rsid w:val="00794C18"/>
    <w:rsid w:val="007952D7"/>
    <w:rsid w:val="0079580F"/>
    <w:rsid w:val="00796210"/>
    <w:rsid w:val="007963C8"/>
    <w:rsid w:val="007965EB"/>
    <w:rsid w:val="007A0556"/>
    <w:rsid w:val="007A0A34"/>
    <w:rsid w:val="007A271D"/>
    <w:rsid w:val="007A3FC7"/>
    <w:rsid w:val="007A567F"/>
    <w:rsid w:val="007A6062"/>
    <w:rsid w:val="007A637A"/>
    <w:rsid w:val="007A6EAF"/>
    <w:rsid w:val="007A7CD7"/>
    <w:rsid w:val="007B0045"/>
    <w:rsid w:val="007B01A1"/>
    <w:rsid w:val="007B01CE"/>
    <w:rsid w:val="007B0CEE"/>
    <w:rsid w:val="007B488D"/>
    <w:rsid w:val="007B5BEE"/>
    <w:rsid w:val="007B608C"/>
    <w:rsid w:val="007B7C30"/>
    <w:rsid w:val="007C0BA1"/>
    <w:rsid w:val="007C2306"/>
    <w:rsid w:val="007C6519"/>
    <w:rsid w:val="007C6FA0"/>
    <w:rsid w:val="007D0B61"/>
    <w:rsid w:val="007D2151"/>
    <w:rsid w:val="007D3135"/>
    <w:rsid w:val="007D68BD"/>
    <w:rsid w:val="007D6CB2"/>
    <w:rsid w:val="007D7274"/>
    <w:rsid w:val="007D75BE"/>
    <w:rsid w:val="007E1557"/>
    <w:rsid w:val="007E51C6"/>
    <w:rsid w:val="007E6ECF"/>
    <w:rsid w:val="007E7D6B"/>
    <w:rsid w:val="007F10E7"/>
    <w:rsid w:val="007F121F"/>
    <w:rsid w:val="007F1978"/>
    <w:rsid w:val="007F244F"/>
    <w:rsid w:val="007F3007"/>
    <w:rsid w:val="007F35C5"/>
    <w:rsid w:val="007F3AD4"/>
    <w:rsid w:val="007F4CCA"/>
    <w:rsid w:val="007F4FAF"/>
    <w:rsid w:val="007F57B4"/>
    <w:rsid w:val="008009F2"/>
    <w:rsid w:val="00801ABA"/>
    <w:rsid w:val="00801D3F"/>
    <w:rsid w:val="0080293D"/>
    <w:rsid w:val="00803F71"/>
    <w:rsid w:val="008068A5"/>
    <w:rsid w:val="00810742"/>
    <w:rsid w:val="00812070"/>
    <w:rsid w:val="00813CC2"/>
    <w:rsid w:val="0081531D"/>
    <w:rsid w:val="008156D2"/>
    <w:rsid w:val="00816152"/>
    <w:rsid w:val="00816680"/>
    <w:rsid w:val="00816933"/>
    <w:rsid w:val="00817775"/>
    <w:rsid w:val="0081779A"/>
    <w:rsid w:val="00817E5B"/>
    <w:rsid w:val="008212D3"/>
    <w:rsid w:val="0082293A"/>
    <w:rsid w:val="00822AF2"/>
    <w:rsid w:val="00823541"/>
    <w:rsid w:val="00827B0E"/>
    <w:rsid w:val="0083032B"/>
    <w:rsid w:val="00832178"/>
    <w:rsid w:val="00832207"/>
    <w:rsid w:val="008327AB"/>
    <w:rsid w:val="00833545"/>
    <w:rsid w:val="008369DA"/>
    <w:rsid w:val="008407A0"/>
    <w:rsid w:val="00840D71"/>
    <w:rsid w:val="0084184C"/>
    <w:rsid w:val="00841B85"/>
    <w:rsid w:val="00842104"/>
    <w:rsid w:val="00842C7D"/>
    <w:rsid w:val="00843B1C"/>
    <w:rsid w:val="008444C7"/>
    <w:rsid w:val="008461CA"/>
    <w:rsid w:val="0084657C"/>
    <w:rsid w:val="008469D8"/>
    <w:rsid w:val="0084782A"/>
    <w:rsid w:val="00850020"/>
    <w:rsid w:val="0085097E"/>
    <w:rsid w:val="008514AC"/>
    <w:rsid w:val="00852C6A"/>
    <w:rsid w:val="008536CD"/>
    <w:rsid w:val="008539BC"/>
    <w:rsid w:val="00853CF9"/>
    <w:rsid w:val="0085539E"/>
    <w:rsid w:val="00856561"/>
    <w:rsid w:val="00856A48"/>
    <w:rsid w:val="008570A3"/>
    <w:rsid w:val="00861030"/>
    <w:rsid w:val="0086263C"/>
    <w:rsid w:val="00863472"/>
    <w:rsid w:val="00863C3D"/>
    <w:rsid w:val="00864DF4"/>
    <w:rsid w:val="008656AE"/>
    <w:rsid w:val="00865DA8"/>
    <w:rsid w:val="00865F8D"/>
    <w:rsid w:val="008673B3"/>
    <w:rsid w:val="00871049"/>
    <w:rsid w:val="00871A80"/>
    <w:rsid w:val="00874889"/>
    <w:rsid w:val="00876524"/>
    <w:rsid w:val="00876DED"/>
    <w:rsid w:val="008827D8"/>
    <w:rsid w:val="00883A56"/>
    <w:rsid w:val="00884AE3"/>
    <w:rsid w:val="00885831"/>
    <w:rsid w:val="00885DD6"/>
    <w:rsid w:val="00886B44"/>
    <w:rsid w:val="00891A8B"/>
    <w:rsid w:val="00891BC7"/>
    <w:rsid w:val="00891E1E"/>
    <w:rsid w:val="00893B23"/>
    <w:rsid w:val="00893B31"/>
    <w:rsid w:val="0089448B"/>
    <w:rsid w:val="0089466D"/>
    <w:rsid w:val="00895DB4"/>
    <w:rsid w:val="0089673D"/>
    <w:rsid w:val="00896ABF"/>
    <w:rsid w:val="00896E70"/>
    <w:rsid w:val="00897B3F"/>
    <w:rsid w:val="00897F0E"/>
    <w:rsid w:val="008A0775"/>
    <w:rsid w:val="008A20A8"/>
    <w:rsid w:val="008A21BC"/>
    <w:rsid w:val="008A21DE"/>
    <w:rsid w:val="008A2D3E"/>
    <w:rsid w:val="008A4CB8"/>
    <w:rsid w:val="008A5EBF"/>
    <w:rsid w:val="008A6137"/>
    <w:rsid w:val="008A6B1C"/>
    <w:rsid w:val="008A6C58"/>
    <w:rsid w:val="008B0A61"/>
    <w:rsid w:val="008B1E75"/>
    <w:rsid w:val="008B214A"/>
    <w:rsid w:val="008B2AFD"/>
    <w:rsid w:val="008B363D"/>
    <w:rsid w:val="008B71FD"/>
    <w:rsid w:val="008B728B"/>
    <w:rsid w:val="008B7F1F"/>
    <w:rsid w:val="008C1BA3"/>
    <w:rsid w:val="008C22F7"/>
    <w:rsid w:val="008C2656"/>
    <w:rsid w:val="008C37BD"/>
    <w:rsid w:val="008C7B30"/>
    <w:rsid w:val="008D0AC8"/>
    <w:rsid w:val="008D0BD7"/>
    <w:rsid w:val="008D155D"/>
    <w:rsid w:val="008D197C"/>
    <w:rsid w:val="008D2DE6"/>
    <w:rsid w:val="008D2E54"/>
    <w:rsid w:val="008D3914"/>
    <w:rsid w:val="008D400D"/>
    <w:rsid w:val="008D62BF"/>
    <w:rsid w:val="008D6560"/>
    <w:rsid w:val="008D783A"/>
    <w:rsid w:val="008E09BD"/>
    <w:rsid w:val="008E09C3"/>
    <w:rsid w:val="008E1FD5"/>
    <w:rsid w:val="008E296D"/>
    <w:rsid w:val="008E3166"/>
    <w:rsid w:val="008E345A"/>
    <w:rsid w:val="008E425B"/>
    <w:rsid w:val="008E5101"/>
    <w:rsid w:val="008E540E"/>
    <w:rsid w:val="008E77BF"/>
    <w:rsid w:val="008F1068"/>
    <w:rsid w:val="008F1CCD"/>
    <w:rsid w:val="008F4346"/>
    <w:rsid w:val="008F55DD"/>
    <w:rsid w:val="008F783C"/>
    <w:rsid w:val="00901265"/>
    <w:rsid w:val="009012EE"/>
    <w:rsid w:val="009017F0"/>
    <w:rsid w:val="00901B56"/>
    <w:rsid w:val="00902849"/>
    <w:rsid w:val="0090315E"/>
    <w:rsid w:val="009031DF"/>
    <w:rsid w:val="0090615E"/>
    <w:rsid w:val="00907A5E"/>
    <w:rsid w:val="00907DDB"/>
    <w:rsid w:val="0091044D"/>
    <w:rsid w:val="0091071D"/>
    <w:rsid w:val="009116A8"/>
    <w:rsid w:val="00912138"/>
    <w:rsid w:val="00920952"/>
    <w:rsid w:val="00921180"/>
    <w:rsid w:val="0092617C"/>
    <w:rsid w:val="0092642E"/>
    <w:rsid w:val="0093142D"/>
    <w:rsid w:val="00931C27"/>
    <w:rsid w:val="009322D6"/>
    <w:rsid w:val="0093232E"/>
    <w:rsid w:val="009326EA"/>
    <w:rsid w:val="00932BA6"/>
    <w:rsid w:val="00932EA6"/>
    <w:rsid w:val="009338AD"/>
    <w:rsid w:val="0093794B"/>
    <w:rsid w:val="009400ED"/>
    <w:rsid w:val="00941C36"/>
    <w:rsid w:val="00943B87"/>
    <w:rsid w:val="00944A25"/>
    <w:rsid w:val="00946F6F"/>
    <w:rsid w:val="009479E5"/>
    <w:rsid w:val="00947DE1"/>
    <w:rsid w:val="009500FE"/>
    <w:rsid w:val="0095185E"/>
    <w:rsid w:val="0095290E"/>
    <w:rsid w:val="00954A62"/>
    <w:rsid w:val="00955BA3"/>
    <w:rsid w:val="00956495"/>
    <w:rsid w:val="009571EC"/>
    <w:rsid w:val="00957686"/>
    <w:rsid w:val="00960390"/>
    <w:rsid w:val="00960FD7"/>
    <w:rsid w:val="00963A4B"/>
    <w:rsid w:val="0096481B"/>
    <w:rsid w:val="009652BE"/>
    <w:rsid w:val="009653E4"/>
    <w:rsid w:val="009665B9"/>
    <w:rsid w:val="00967883"/>
    <w:rsid w:val="00971D5A"/>
    <w:rsid w:val="00972E43"/>
    <w:rsid w:val="00973179"/>
    <w:rsid w:val="0097374E"/>
    <w:rsid w:val="00973A92"/>
    <w:rsid w:val="00973C6F"/>
    <w:rsid w:val="00976530"/>
    <w:rsid w:val="009772A4"/>
    <w:rsid w:val="00980E8B"/>
    <w:rsid w:val="0099042C"/>
    <w:rsid w:val="00990F09"/>
    <w:rsid w:val="00992435"/>
    <w:rsid w:val="00994592"/>
    <w:rsid w:val="00994D3C"/>
    <w:rsid w:val="00995FAB"/>
    <w:rsid w:val="00996F8C"/>
    <w:rsid w:val="009974F8"/>
    <w:rsid w:val="009A01A6"/>
    <w:rsid w:val="009A0613"/>
    <w:rsid w:val="009A17C4"/>
    <w:rsid w:val="009A2647"/>
    <w:rsid w:val="009A2DF6"/>
    <w:rsid w:val="009A4C27"/>
    <w:rsid w:val="009A51EF"/>
    <w:rsid w:val="009A5939"/>
    <w:rsid w:val="009A5E84"/>
    <w:rsid w:val="009A6B46"/>
    <w:rsid w:val="009A6FDD"/>
    <w:rsid w:val="009A7AA5"/>
    <w:rsid w:val="009B0A82"/>
    <w:rsid w:val="009B0B21"/>
    <w:rsid w:val="009B12CC"/>
    <w:rsid w:val="009B23C5"/>
    <w:rsid w:val="009B245D"/>
    <w:rsid w:val="009B2E80"/>
    <w:rsid w:val="009B3FEC"/>
    <w:rsid w:val="009B4A07"/>
    <w:rsid w:val="009B5163"/>
    <w:rsid w:val="009B584C"/>
    <w:rsid w:val="009B61F2"/>
    <w:rsid w:val="009B6503"/>
    <w:rsid w:val="009B747E"/>
    <w:rsid w:val="009C0693"/>
    <w:rsid w:val="009C19A3"/>
    <w:rsid w:val="009C1F8F"/>
    <w:rsid w:val="009C3F7D"/>
    <w:rsid w:val="009C5843"/>
    <w:rsid w:val="009C5B61"/>
    <w:rsid w:val="009C63FF"/>
    <w:rsid w:val="009C6F31"/>
    <w:rsid w:val="009C75C6"/>
    <w:rsid w:val="009D03B2"/>
    <w:rsid w:val="009D0A65"/>
    <w:rsid w:val="009D0B76"/>
    <w:rsid w:val="009D0ECA"/>
    <w:rsid w:val="009D44BD"/>
    <w:rsid w:val="009D4EEE"/>
    <w:rsid w:val="009D5DB7"/>
    <w:rsid w:val="009D7070"/>
    <w:rsid w:val="009E0835"/>
    <w:rsid w:val="009E1760"/>
    <w:rsid w:val="009E1A49"/>
    <w:rsid w:val="009E2136"/>
    <w:rsid w:val="009E2371"/>
    <w:rsid w:val="009E2972"/>
    <w:rsid w:val="009E3685"/>
    <w:rsid w:val="009E36A8"/>
    <w:rsid w:val="009E442F"/>
    <w:rsid w:val="009E5E3F"/>
    <w:rsid w:val="009E6554"/>
    <w:rsid w:val="009E664B"/>
    <w:rsid w:val="009F01A5"/>
    <w:rsid w:val="009F0914"/>
    <w:rsid w:val="009F1C27"/>
    <w:rsid w:val="009F272F"/>
    <w:rsid w:val="009F3B4E"/>
    <w:rsid w:val="009F4120"/>
    <w:rsid w:val="009F4D5F"/>
    <w:rsid w:val="009F53F1"/>
    <w:rsid w:val="009F5833"/>
    <w:rsid w:val="009F6525"/>
    <w:rsid w:val="009F7394"/>
    <w:rsid w:val="00A0057B"/>
    <w:rsid w:val="00A00A7D"/>
    <w:rsid w:val="00A0127B"/>
    <w:rsid w:val="00A01FC3"/>
    <w:rsid w:val="00A0200F"/>
    <w:rsid w:val="00A03757"/>
    <w:rsid w:val="00A05082"/>
    <w:rsid w:val="00A0576E"/>
    <w:rsid w:val="00A07FC2"/>
    <w:rsid w:val="00A1011B"/>
    <w:rsid w:val="00A108BA"/>
    <w:rsid w:val="00A113EB"/>
    <w:rsid w:val="00A121D4"/>
    <w:rsid w:val="00A1255D"/>
    <w:rsid w:val="00A1493B"/>
    <w:rsid w:val="00A15315"/>
    <w:rsid w:val="00A160FF"/>
    <w:rsid w:val="00A16304"/>
    <w:rsid w:val="00A16D16"/>
    <w:rsid w:val="00A17712"/>
    <w:rsid w:val="00A17F5D"/>
    <w:rsid w:val="00A21492"/>
    <w:rsid w:val="00A222D9"/>
    <w:rsid w:val="00A2240A"/>
    <w:rsid w:val="00A23527"/>
    <w:rsid w:val="00A24782"/>
    <w:rsid w:val="00A256DD"/>
    <w:rsid w:val="00A26364"/>
    <w:rsid w:val="00A26916"/>
    <w:rsid w:val="00A26A34"/>
    <w:rsid w:val="00A30994"/>
    <w:rsid w:val="00A30E78"/>
    <w:rsid w:val="00A30FA0"/>
    <w:rsid w:val="00A31506"/>
    <w:rsid w:val="00A3210F"/>
    <w:rsid w:val="00A32461"/>
    <w:rsid w:val="00A3326F"/>
    <w:rsid w:val="00A339EC"/>
    <w:rsid w:val="00A359B9"/>
    <w:rsid w:val="00A35AD9"/>
    <w:rsid w:val="00A36007"/>
    <w:rsid w:val="00A369EC"/>
    <w:rsid w:val="00A37D96"/>
    <w:rsid w:val="00A40A81"/>
    <w:rsid w:val="00A429E0"/>
    <w:rsid w:val="00A42D72"/>
    <w:rsid w:val="00A43772"/>
    <w:rsid w:val="00A43D72"/>
    <w:rsid w:val="00A447EF"/>
    <w:rsid w:val="00A45329"/>
    <w:rsid w:val="00A477A5"/>
    <w:rsid w:val="00A530D1"/>
    <w:rsid w:val="00A532A6"/>
    <w:rsid w:val="00A5426F"/>
    <w:rsid w:val="00A545F2"/>
    <w:rsid w:val="00A557A9"/>
    <w:rsid w:val="00A56415"/>
    <w:rsid w:val="00A565E4"/>
    <w:rsid w:val="00A567FE"/>
    <w:rsid w:val="00A61014"/>
    <w:rsid w:val="00A612CC"/>
    <w:rsid w:val="00A613BC"/>
    <w:rsid w:val="00A616BE"/>
    <w:rsid w:val="00A62F07"/>
    <w:rsid w:val="00A649B1"/>
    <w:rsid w:val="00A64E89"/>
    <w:rsid w:val="00A665AE"/>
    <w:rsid w:val="00A7739F"/>
    <w:rsid w:val="00A779AE"/>
    <w:rsid w:val="00A80618"/>
    <w:rsid w:val="00A8072D"/>
    <w:rsid w:val="00A80A89"/>
    <w:rsid w:val="00A822C7"/>
    <w:rsid w:val="00A83574"/>
    <w:rsid w:val="00A848A9"/>
    <w:rsid w:val="00A85523"/>
    <w:rsid w:val="00A90DDD"/>
    <w:rsid w:val="00A910AC"/>
    <w:rsid w:val="00A9176D"/>
    <w:rsid w:val="00A91B4C"/>
    <w:rsid w:val="00A92061"/>
    <w:rsid w:val="00A923B1"/>
    <w:rsid w:val="00A92DFD"/>
    <w:rsid w:val="00A946D5"/>
    <w:rsid w:val="00A948BC"/>
    <w:rsid w:val="00A94DC8"/>
    <w:rsid w:val="00A9528A"/>
    <w:rsid w:val="00A95E9C"/>
    <w:rsid w:val="00A97D56"/>
    <w:rsid w:val="00AA11CD"/>
    <w:rsid w:val="00AA176E"/>
    <w:rsid w:val="00AA1F70"/>
    <w:rsid w:val="00AA261E"/>
    <w:rsid w:val="00AA3993"/>
    <w:rsid w:val="00AA5BA8"/>
    <w:rsid w:val="00AA7203"/>
    <w:rsid w:val="00AA73E8"/>
    <w:rsid w:val="00AB3B31"/>
    <w:rsid w:val="00AB5061"/>
    <w:rsid w:val="00AB68EF"/>
    <w:rsid w:val="00AB6EC8"/>
    <w:rsid w:val="00AC08A3"/>
    <w:rsid w:val="00AC12FE"/>
    <w:rsid w:val="00AC2B9D"/>
    <w:rsid w:val="00AC55F4"/>
    <w:rsid w:val="00AC58C2"/>
    <w:rsid w:val="00AC607F"/>
    <w:rsid w:val="00AD0A02"/>
    <w:rsid w:val="00AD6A5F"/>
    <w:rsid w:val="00AD749A"/>
    <w:rsid w:val="00AD7ABF"/>
    <w:rsid w:val="00AE01A6"/>
    <w:rsid w:val="00AE13E0"/>
    <w:rsid w:val="00AE1B98"/>
    <w:rsid w:val="00AE2163"/>
    <w:rsid w:val="00AE37FB"/>
    <w:rsid w:val="00AE45D5"/>
    <w:rsid w:val="00AE45DE"/>
    <w:rsid w:val="00AE463E"/>
    <w:rsid w:val="00AE4D8F"/>
    <w:rsid w:val="00AE52E9"/>
    <w:rsid w:val="00AE5545"/>
    <w:rsid w:val="00AE6971"/>
    <w:rsid w:val="00AE6D79"/>
    <w:rsid w:val="00AE7EF7"/>
    <w:rsid w:val="00AE7F88"/>
    <w:rsid w:val="00AF01D2"/>
    <w:rsid w:val="00AF0676"/>
    <w:rsid w:val="00AF1731"/>
    <w:rsid w:val="00AF2931"/>
    <w:rsid w:val="00AF3F77"/>
    <w:rsid w:val="00AF4176"/>
    <w:rsid w:val="00AF4178"/>
    <w:rsid w:val="00AF45BA"/>
    <w:rsid w:val="00AF4935"/>
    <w:rsid w:val="00AF4D5E"/>
    <w:rsid w:val="00AF686D"/>
    <w:rsid w:val="00B00480"/>
    <w:rsid w:val="00B01A9A"/>
    <w:rsid w:val="00B0380F"/>
    <w:rsid w:val="00B0738E"/>
    <w:rsid w:val="00B07681"/>
    <w:rsid w:val="00B07B51"/>
    <w:rsid w:val="00B07D02"/>
    <w:rsid w:val="00B11699"/>
    <w:rsid w:val="00B1417B"/>
    <w:rsid w:val="00B151F8"/>
    <w:rsid w:val="00B16205"/>
    <w:rsid w:val="00B165B4"/>
    <w:rsid w:val="00B178AB"/>
    <w:rsid w:val="00B210BC"/>
    <w:rsid w:val="00B212C1"/>
    <w:rsid w:val="00B21988"/>
    <w:rsid w:val="00B22DD2"/>
    <w:rsid w:val="00B248EC"/>
    <w:rsid w:val="00B2576F"/>
    <w:rsid w:val="00B2639E"/>
    <w:rsid w:val="00B264FB"/>
    <w:rsid w:val="00B2733D"/>
    <w:rsid w:val="00B27AD0"/>
    <w:rsid w:val="00B27D33"/>
    <w:rsid w:val="00B30912"/>
    <w:rsid w:val="00B31EEE"/>
    <w:rsid w:val="00B33B3C"/>
    <w:rsid w:val="00B33B79"/>
    <w:rsid w:val="00B33F49"/>
    <w:rsid w:val="00B3468A"/>
    <w:rsid w:val="00B3646E"/>
    <w:rsid w:val="00B368E2"/>
    <w:rsid w:val="00B370DD"/>
    <w:rsid w:val="00B371EC"/>
    <w:rsid w:val="00B37E6A"/>
    <w:rsid w:val="00B40232"/>
    <w:rsid w:val="00B41FAF"/>
    <w:rsid w:val="00B42A8B"/>
    <w:rsid w:val="00B42B20"/>
    <w:rsid w:val="00B44FCC"/>
    <w:rsid w:val="00B45144"/>
    <w:rsid w:val="00B45284"/>
    <w:rsid w:val="00B452E5"/>
    <w:rsid w:val="00B45DF3"/>
    <w:rsid w:val="00B4645B"/>
    <w:rsid w:val="00B47A8B"/>
    <w:rsid w:val="00B50924"/>
    <w:rsid w:val="00B50E03"/>
    <w:rsid w:val="00B51093"/>
    <w:rsid w:val="00B54669"/>
    <w:rsid w:val="00B54924"/>
    <w:rsid w:val="00B5500E"/>
    <w:rsid w:val="00B55213"/>
    <w:rsid w:val="00B55EAB"/>
    <w:rsid w:val="00B563B5"/>
    <w:rsid w:val="00B56445"/>
    <w:rsid w:val="00B57484"/>
    <w:rsid w:val="00B606B4"/>
    <w:rsid w:val="00B60B5A"/>
    <w:rsid w:val="00B66729"/>
    <w:rsid w:val="00B66F1C"/>
    <w:rsid w:val="00B677FB"/>
    <w:rsid w:val="00B67AC8"/>
    <w:rsid w:val="00B67F42"/>
    <w:rsid w:val="00B72546"/>
    <w:rsid w:val="00B740DC"/>
    <w:rsid w:val="00B75FF2"/>
    <w:rsid w:val="00B770F5"/>
    <w:rsid w:val="00B772B5"/>
    <w:rsid w:val="00B77F20"/>
    <w:rsid w:val="00B80979"/>
    <w:rsid w:val="00B84297"/>
    <w:rsid w:val="00B85937"/>
    <w:rsid w:val="00B85E64"/>
    <w:rsid w:val="00B85F76"/>
    <w:rsid w:val="00B8644E"/>
    <w:rsid w:val="00B8667F"/>
    <w:rsid w:val="00B86ED0"/>
    <w:rsid w:val="00B876AD"/>
    <w:rsid w:val="00B87807"/>
    <w:rsid w:val="00B87CAF"/>
    <w:rsid w:val="00B918AE"/>
    <w:rsid w:val="00B91E8D"/>
    <w:rsid w:val="00B93151"/>
    <w:rsid w:val="00B93FF4"/>
    <w:rsid w:val="00B94207"/>
    <w:rsid w:val="00B94CE1"/>
    <w:rsid w:val="00B973BE"/>
    <w:rsid w:val="00B975E0"/>
    <w:rsid w:val="00BA093D"/>
    <w:rsid w:val="00BA190F"/>
    <w:rsid w:val="00BA3BB4"/>
    <w:rsid w:val="00BA45DF"/>
    <w:rsid w:val="00BA4C98"/>
    <w:rsid w:val="00BA539C"/>
    <w:rsid w:val="00BA56C6"/>
    <w:rsid w:val="00BA6B17"/>
    <w:rsid w:val="00BB0A67"/>
    <w:rsid w:val="00BB0A88"/>
    <w:rsid w:val="00BB1E18"/>
    <w:rsid w:val="00BB4AF1"/>
    <w:rsid w:val="00BB4D93"/>
    <w:rsid w:val="00BB53B5"/>
    <w:rsid w:val="00BB7CF2"/>
    <w:rsid w:val="00BC024F"/>
    <w:rsid w:val="00BC0297"/>
    <w:rsid w:val="00BC13EA"/>
    <w:rsid w:val="00BC17EE"/>
    <w:rsid w:val="00BC1EB1"/>
    <w:rsid w:val="00BC365C"/>
    <w:rsid w:val="00BC371F"/>
    <w:rsid w:val="00BC4ECC"/>
    <w:rsid w:val="00BC7E6B"/>
    <w:rsid w:val="00BC7EA2"/>
    <w:rsid w:val="00BD01CD"/>
    <w:rsid w:val="00BD1985"/>
    <w:rsid w:val="00BD3286"/>
    <w:rsid w:val="00BD3720"/>
    <w:rsid w:val="00BD4598"/>
    <w:rsid w:val="00BD524B"/>
    <w:rsid w:val="00BD5C3F"/>
    <w:rsid w:val="00BD7487"/>
    <w:rsid w:val="00BD749B"/>
    <w:rsid w:val="00BE0F6D"/>
    <w:rsid w:val="00BE130A"/>
    <w:rsid w:val="00BE14B5"/>
    <w:rsid w:val="00BE2C09"/>
    <w:rsid w:val="00BE3CC3"/>
    <w:rsid w:val="00BE54CE"/>
    <w:rsid w:val="00BE742F"/>
    <w:rsid w:val="00BE7787"/>
    <w:rsid w:val="00BE7CC9"/>
    <w:rsid w:val="00BE7D0C"/>
    <w:rsid w:val="00BF0413"/>
    <w:rsid w:val="00BF0F7D"/>
    <w:rsid w:val="00BF1C58"/>
    <w:rsid w:val="00BF1D01"/>
    <w:rsid w:val="00BF2395"/>
    <w:rsid w:val="00BF2D58"/>
    <w:rsid w:val="00BF49C6"/>
    <w:rsid w:val="00BF5C76"/>
    <w:rsid w:val="00BF627F"/>
    <w:rsid w:val="00BF7FAD"/>
    <w:rsid w:val="00C00B63"/>
    <w:rsid w:val="00C01B85"/>
    <w:rsid w:val="00C0229B"/>
    <w:rsid w:val="00C0245B"/>
    <w:rsid w:val="00C02894"/>
    <w:rsid w:val="00C032D4"/>
    <w:rsid w:val="00C03930"/>
    <w:rsid w:val="00C03AC8"/>
    <w:rsid w:val="00C03B19"/>
    <w:rsid w:val="00C0560A"/>
    <w:rsid w:val="00C06DD0"/>
    <w:rsid w:val="00C1046F"/>
    <w:rsid w:val="00C105CB"/>
    <w:rsid w:val="00C11ACB"/>
    <w:rsid w:val="00C11C8E"/>
    <w:rsid w:val="00C1222D"/>
    <w:rsid w:val="00C1274E"/>
    <w:rsid w:val="00C12837"/>
    <w:rsid w:val="00C1317C"/>
    <w:rsid w:val="00C132B8"/>
    <w:rsid w:val="00C13391"/>
    <w:rsid w:val="00C15424"/>
    <w:rsid w:val="00C15D85"/>
    <w:rsid w:val="00C15DCB"/>
    <w:rsid w:val="00C16C04"/>
    <w:rsid w:val="00C16DB3"/>
    <w:rsid w:val="00C21C41"/>
    <w:rsid w:val="00C23EB5"/>
    <w:rsid w:val="00C24D55"/>
    <w:rsid w:val="00C25100"/>
    <w:rsid w:val="00C26031"/>
    <w:rsid w:val="00C26FF2"/>
    <w:rsid w:val="00C273CA"/>
    <w:rsid w:val="00C30049"/>
    <w:rsid w:val="00C30C98"/>
    <w:rsid w:val="00C3104B"/>
    <w:rsid w:val="00C32691"/>
    <w:rsid w:val="00C34053"/>
    <w:rsid w:val="00C34E48"/>
    <w:rsid w:val="00C35175"/>
    <w:rsid w:val="00C379EA"/>
    <w:rsid w:val="00C37A33"/>
    <w:rsid w:val="00C37A63"/>
    <w:rsid w:val="00C40EE7"/>
    <w:rsid w:val="00C4144E"/>
    <w:rsid w:val="00C41845"/>
    <w:rsid w:val="00C4291C"/>
    <w:rsid w:val="00C43B49"/>
    <w:rsid w:val="00C44B4D"/>
    <w:rsid w:val="00C471AA"/>
    <w:rsid w:val="00C4771A"/>
    <w:rsid w:val="00C51144"/>
    <w:rsid w:val="00C52314"/>
    <w:rsid w:val="00C53EE3"/>
    <w:rsid w:val="00C54371"/>
    <w:rsid w:val="00C54C24"/>
    <w:rsid w:val="00C6360C"/>
    <w:rsid w:val="00C63FB4"/>
    <w:rsid w:val="00C645FF"/>
    <w:rsid w:val="00C65001"/>
    <w:rsid w:val="00C660FA"/>
    <w:rsid w:val="00C66F51"/>
    <w:rsid w:val="00C703EF"/>
    <w:rsid w:val="00C70C72"/>
    <w:rsid w:val="00C70FDB"/>
    <w:rsid w:val="00C7170F"/>
    <w:rsid w:val="00C7214D"/>
    <w:rsid w:val="00C72780"/>
    <w:rsid w:val="00C7438F"/>
    <w:rsid w:val="00C74DF0"/>
    <w:rsid w:val="00C761BD"/>
    <w:rsid w:val="00C76A57"/>
    <w:rsid w:val="00C77393"/>
    <w:rsid w:val="00C77892"/>
    <w:rsid w:val="00C80B17"/>
    <w:rsid w:val="00C80D36"/>
    <w:rsid w:val="00C81944"/>
    <w:rsid w:val="00C82750"/>
    <w:rsid w:val="00C83B6E"/>
    <w:rsid w:val="00C8481D"/>
    <w:rsid w:val="00C84A07"/>
    <w:rsid w:val="00C851F4"/>
    <w:rsid w:val="00C90606"/>
    <w:rsid w:val="00C93FCB"/>
    <w:rsid w:val="00C94A5A"/>
    <w:rsid w:val="00C95483"/>
    <w:rsid w:val="00C95717"/>
    <w:rsid w:val="00C96E4B"/>
    <w:rsid w:val="00C97AB6"/>
    <w:rsid w:val="00CA2DB0"/>
    <w:rsid w:val="00CA32B8"/>
    <w:rsid w:val="00CA3A06"/>
    <w:rsid w:val="00CA75FB"/>
    <w:rsid w:val="00CB1CE7"/>
    <w:rsid w:val="00CB2D5B"/>
    <w:rsid w:val="00CB3D46"/>
    <w:rsid w:val="00CB42DF"/>
    <w:rsid w:val="00CB437A"/>
    <w:rsid w:val="00CB4B26"/>
    <w:rsid w:val="00CB7E32"/>
    <w:rsid w:val="00CC0397"/>
    <w:rsid w:val="00CC4114"/>
    <w:rsid w:val="00CC51C3"/>
    <w:rsid w:val="00CC6C36"/>
    <w:rsid w:val="00CC7045"/>
    <w:rsid w:val="00CC7195"/>
    <w:rsid w:val="00CC7571"/>
    <w:rsid w:val="00CD12F6"/>
    <w:rsid w:val="00CD16A7"/>
    <w:rsid w:val="00CD17B3"/>
    <w:rsid w:val="00CD1B49"/>
    <w:rsid w:val="00CD2ED6"/>
    <w:rsid w:val="00CD3528"/>
    <w:rsid w:val="00CD3EBA"/>
    <w:rsid w:val="00CD5E5A"/>
    <w:rsid w:val="00CE1813"/>
    <w:rsid w:val="00CE1900"/>
    <w:rsid w:val="00CE3BFE"/>
    <w:rsid w:val="00CE444F"/>
    <w:rsid w:val="00CE4FDA"/>
    <w:rsid w:val="00CE6330"/>
    <w:rsid w:val="00CE6F75"/>
    <w:rsid w:val="00CE70D3"/>
    <w:rsid w:val="00CE7FFB"/>
    <w:rsid w:val="00CF0473"/>
    <w:rsid w:val="00CF0DF8"/>
    <w:rsid w:val="00CF11BB"/>
    <w:rsid w:val="00CF4D59"/>
    <w:rsid w:val="00CF6B86"/>
    <w:rsid w:val="00CF6EE1"/>
    <w:rsid w:val="00CF78D2"/>
    <w:rsid w:val="00CF79A6"/>
    <w:rsid w:val="00D01BE5"/>
    <w:rsid w:val="00D027BD"/>
    <w:rsid w:val="00D02B6B"/>
    <w:rsid w:val="00D03167"/>
    <w:rsid w:val="00D0359D"/>
    <w:rsid w:val="00D03E61"/>
    <w:rsid w:val="00D04CA0"/>
    <w:rsid w:val="00D050C8"/>
    <w:rsid w:val="00D05EAE"/>
    <w:rsid w:val="00D06B4C"/>
    <w:rsid w:val="00D07AA2"/>
    <w:rsid w:val="00D124DA"/>
    <w:rsid w:val="00D12CDE"/>
    <w:rsid w:val="00D13CFC"/>
    <w:rsid w:val="00D154EE"/>
    <w:rsid w:val="00D160C2"/>
    <w:rsid w:val="00D16A7A"/>
    <w:rsid w:val="00D1735E"/>
    <w:rsid w:val="00D22CA0"/>
    <w:rsid w:val="00D23B52"/>
    <w:rsid w:val="00D27C94"/>
    <w:rsid w:val="00D3015A"/>
    <w:rsid w:val="00D31420"/>
    <w:rsid w:val="00D32C04"/>
    <w:rsid w:val="00D3370E"/>
    <w:rsid w:val="00D33DCE"/>
    <w:rsid w:val="00D34F6A"/>
    <w:rsid w:val="00D355CA"/>
    <w:rsid w:val="00D35716"/>
    <w:rsid w:val="00D3651E"/>
    <w:rsid w:val="00D37923"/>
    <w:rsid w:val="00D37BA3"/>
    <w:rsid w:val="00D4120F"/>
    <w:rsid w:val="00D4183B"/>
    <w:rsid w:val="00D41A97"/>
    <w:rsid w:val="00D44288"/>
    <w:rsid w:val="00D5163B"/>
    <w:rsid w:val="00D52102"/>
    <w:rsid w:val="00D53534"/>
    <w:rsid w:val="00D540ED"/>
    <w:rsid w:val="00D5415C"/>
    <w:rsid w:val="00D543D2"/>
    <w:rsid w:val="00D559F9"/>
    <w:rsid w:val="00D5754A"/>
    <w:rsid w:val="00D603C8"/>
    <w:rsid w:val="00D609A5"/>
    <w:rsid w:val="00D61CE9"/>
    <w:rsid w:val="00D61D50"/>
    <w:rsid w:val="00D6238C"/>
    <w:rsid w:val="00D62725"/>
    <w:rsid w:val="00D6316A"/>
    <w:rsid w:val="00D6332A"/>
    <w:rsid w:val="00D63FAD"/>
    <w:rsid w:val="00D641CB"/>
    <w:rsid w:val="00D64A3F"/>
    <w:rsid w:val="00D65B69"/>
    <w:rsid w:val="00D7005F"/>
    <w:rsid w:val="00D71428"/>
    <w:rsid w:val="00D71B44"/>
    <w:rsid w:val="00D71DA1"/>
    <w:rsid w:val="00D73E19"/>
    <w:rsid w:val="00D7604D"/>
    <w:rsid w:val="00D76E47"/>
    <w:rsid w:val="00D77CCB"/>
    <w:rsid w:val="00D81A49"/>
    <w:rsid w:val="00D82662"/>
    <w:rsid w:val="00D8337B"/>
    <w:rsid w:val="00D875F9"/>
    <w:rsid w:val="00D876C7"/>
    <w:rsid w:val="00D90957"/>
    <w:rsid w:val="00D91701"/>
    <w:rsid w:val="00D9195A"/>
    <w:rsid w:val="00D919AD"/>
    <w:rsid w:val="00D92C53"/>
    <w:rsid w:val="00DA09A3"/>
    <w:rsid w:val="00DA1B37"/>
    <w:rsid w:val="00DA23EA"/>
    <w:rsid w:val="00DA2E20"/>
    <w:rsid w:val="00DA2EFE"/>
    <w:rsid w:val="00DA3C76"/>
    <w:rsid w:val="00DA40EA"/>
    <w:rsid w:val="00DA4CD5"/>
    <w:rsid w:val="00DA5451"/>
    <w:rsid w:val="00DA60FD"/>
    <w:rsid w:val="00DA6420"/>
    <w:rsid w:val="00DA6484"/>
    <w:rsid w:val="00DA72C6"/>
    <w:rsid w:val="00DA7586"/>
    <w:rsid w:val="00DB0268"/>
    <w:rsid w:val="00DB0BBA"/>
    <w:rsid w:val="00DB19DC"/>
    <w:rsid w:val="00DB3242"/>
    <w:rsid w:val="00DB34CB"/>
    <w:rsid w:val="00DB3EC9"/>
    <w:rsid w:val="00DB4900"/>
    <w:rsid w:val="00DB4BD8"/>
    <w:rsid w:val="00DB6067"/>
    <w:rsid w:val="00DB64FC"/>
    <w:rsid w:val="00DB726D"/>
    <w:rsid w:val="00DB760D"/>
    <w:rsid w:val="00DC0035"/>
    <w:rsid w:val="00DC032F"/>
    <w:rsid w:val="00DC0974"/>
    <w:rsid w:val="00DC0A6B"/>
    <w:rsid w:val="00DC152B"/>
    <w:rsid w:val="00DC19A0"/>
    <w:rsid w:val="00DC345C"/>
    <w:rsid w:val="00DC4348"/>
    <w:rsid w:val="00DC440D"/>
    <w:rsid w:val="00DC4F8C"/>
    <w:rsid w:val="00DC51E9"/>
    <w:rsid w:val="00DC5830"/>
    <w:rsid w:val="00DC5B52"/>
    <w:rsid w:val="00DD38BB"/>
    <w:rsid w:val="00DD59DF"/>
    <w:rsid w:val="00DD5FE5"/>
    <w:rsid w:val="00DD6583"/>
    <w:rsid w:val="00DD7E2D"/>
    <w:rsid w:val="00DD7E95"/>
    <w:rsid w:val="00DE10C0"/>
    <w:rsid w:val="00DE159C"/>
    <w:rsid w:val="00DE35EC"/>
    <w:rsid w:val="00DE5A25"/>
    <w:rsid w:val="00DE6756"/>
    <w:rsid w:val="00DF0346"/>
    <w:rsid w:val="00DF08E6"/>
    <w:rsid w:val="00DF12CD"/>
    <w:rsid w:val="00DF19E1"/>
    <w:rsid w:val="00DF42D3"/>
    <w:rsid w:val="00DF4B7A"/>
    <w:rsid w:val="00DF5337"/>
    <w:rsid w:val="00DF639A"/>
    <w:rsid w:val="00E00533"/>
    <w:rsid w:val="00E00540"/>
    <w:rsid w:val="00E00789"/>
    <w:rsid w:val="00E038AF"/>
    <w:rsid w:val="00E04805"/>
    <w:rsid w:val="00E06B26"/>
    <w:rsid w:val="00E10573"/>
    <w:rsid w:val="00E110B6"/>
    <w:rsid w:val="00E1179E"/>
    <w:rsid w:val="00E11A62"/>
    <w:rsid w:val="00E11DF4"/>
    <w:rsid w:val="00E11FDB"/>
    <w:rsid w:val="00E14E26"/>
    <w:rsid w:val="00E16208"/>
    <w:rsid w:val="00E16585"/>
    <w:rsid w:val="00E17BBF"/>
    <w:rsid w:val="00E206A8"/>
    <w:rsid w:val="00E211D6"/>
    <w:rsid w:val="00E225EB"/>
    <w:rsid w:val="00E22B34"/>
    <w:rsid w:val="00E24518"/>
    <w:rsid w:val="00E24A15"/>
    <w:rsid w:val="00E25814"/>
    <w:rsid w:val="00E25A80"/>
    <w:rsid w:val="00E26A74"/>
    <w:rsid w:val="00E26B19"/>
    <w:rsid w:val="00E3039F"/>
    <w:rsid w:val="00E31831"/>
    <w:rsid w:val="00E31FB1"/>
    <w:rsid w:val="00E3274F"/>
    <w:rsid w:val="00E33848"/>
    <w:rsid w:val="00E343F1"/>
    <w:rsid w:val="00E35CA5"/>
    <w:rsid w:val="00E36283"/>
    <w:rsid w:val="00E3695B"/>
    <w:rsid w:val="00E3755D"/>
    <w:rsid w:val="00E37BF1"/>
    <w:rsid w:val="00E41E28"/>
    <w:rsid w:val="00E41F96"/>
    <w:rsid w:val="00E42328"/>
    <w:rsid w:val="00E43FC9"/>
    <w:rsid w:val="00E47DDB"/>
    <w:rsid w:val="00E510EA"/>
    <w:rsid w:val="00E51BF3"/>
    <w:rsid w:val="00E527B6"/>
    <w:rsid w:val="00E5282D"/>
    <w:rsid w:val="00E541C5"/>
    <w:rsid w:val="00E54D73"/>
    <w:rsid w:val="00E55980"/>
    <w:rsid w:val="00E55DCC"/>
    <w:rsid w:val="00E631AD"/>
    <w:rsid w:val="00E63281"/>
    <w:rsid w:val="00E63BA0"/>
    <w:rsid w:val="00E644FE"/>
    <w:rsid w:val="00E65258"/>
    <w:rsid w:val="00E658EA"/>
    <w:rsid w:val="00E662D2"/>
    <w:rsid w:val="00E66B0B"/>
    <w:rsid w:val="00E71856"/>
    <w:rsid w:val="00E727B0"/>
    <w:rsid w:val="00E7294A"/>
    <w:rsid w:val="00E72FEF"/>
    <w:rsid w:val="00E7400E"/>
    <w:rsid w:val="00E74EF4"/>
    <w:rsid w:val="00E763D0"/>
    <w:rsid w:val="00E764D3"/>
    <w:rsid w:val="00E775E7"/>
    <w:rsid w:val="00E7770A"/>
    <w:rsid w:val="00E81B9A"/>
    <w:rsid w:val="00E83FEC"/>
    <w:rsid w:val="00E84B12"/>
    <w:rsid w:val="00E851D6"/>
    <w:rsid w:val="00E877C7"/>
    <w:rsid w:val="00E916CF"/>
    <w:rsid w:val="00E9189C"/>
    <w:rsid w:val="00E91C03"/>
    <w:rsid w:val="00E92893"/>
    <w:rsid w:val="00E93330"/>
    <w:rsid w:val="00E933D5"/>
    <w:rsid w:val="00E9369F"/>
    <w:rsid w:val="00E938D7"/>
    <w:rsid w:val="00E94255"/>
    <w:rsid w:val="00E94F75"/>
    <w:rsid w:val="00E95AAF"/>
    <w:rsid w:val="00E96C64"/>
    <w:rsid w:val="00E976E8"/>
    <w:rsid w:val="00E97AF6"/>
    <w:rsid w:val="00EA0299"/>
    <w:rsid w:val="00EA109F"/>
    <w:rsid w:val="00EA18E5"/>
    <w:rsid w:val="00EA2FAE"/>
    <w:rsid w:val="00EA3DAE"/>
    <w:rsid w:val="00EA5B2B"/>
    <w:rsid w:val="00EA5FC7"/>
    <w:rsid w:val="00EA645C"/>
    <w:rsid w:val="00EB0F98"/>
    <w:rsid w:val="00EB138A"/>
    <w:rsid w:val="00EB21B5"/>
    <w:rsid w:val="00EB2E36"/>
    <w:rsid w:val="00EB405A"/>
    <w:rsid w:val="00EB463F"/>
    <w:rsid w:val="00EB4894"/>
    <w:rsid w:val="00EB59A6"/>
    <w:rsid w:val="00EB6610"/>
    <w:rsid w:val="00EB772F"/>
    <w:rsid w:val="00EB7DD6"/>
    <w:rsid w:val="00EC0D11"/>
    <w:rsid w:val="00EC15A2"/>
    <w:rsid w:val="00EC1ED6"/>
    <w:rsid w:val="00EC24FC"/>
    <w:rsid w:val="00EC358E"/>
    <w:rsid w:val="00ED0D1E"/>
    <w:rsid w:val="00ED2DED"/>
    <w:rsid w:val="00ED54A3"/>
    <w:rsid w:val="00ED62EF"/>
    <w:rsid w:val="00ED741F"/>
    <w:rsid w:val="00ED7AAA"/>
    <w:rsid w:val="00EE0083"/>
    <w:rsid w:val="00EE11D1"/>
    <w:rsid w:val="00EE1324"/>
    <w:rsid w:val="00EE13A0"/>
    <w:rsid w:val="00EE17FD"/>
    <w:rsid w:val="00EE4090"/>
    <w:rsid w:val="00EE419B"/>
    <w:rsid w:val="00EE6824"/>
    <w:rsid w:val="00EF207E"/>
    <w:rsid w:val="00EF31E1"/>
    <w:rsid w:val="00EF6214"/>
    <w:rsid w:val="00EF64CB"/>
    <w:rsid w:val="00EF7438"/>
    <w:rsid w:val="00EF7A62"/>
    <w:rsid w:val="00F00D6E"/>
    <w:rsid w:val="00F01554"/>
    <w:rsid w:val="00F03661"/>
    <w:rsid w:val="00F03CEE"/>
    <w:rsid w:val="00F03CF8"/>
    <w:rsid w:val="00F041F5"/>
    <w:rsid w:val="00F04687"/>
    <w:rsid w:val="00F04953"/>
    <w:rsid w:val="00F05C95"/>
    <w:rsid w:val="00F10FD4"/>
    <w:rsid w:val="00F1148A"/>
    <w:rsid w:val="00F11C4C"/>
    <w:rsid w:val="00F17335"/>
    <w:rsid w:val="00F17CB2"/>
    <w:rsid w:val="00F20A58"/>
    <w:rsid w:val="00F2188A"/>
    <w:rsid w:val="00F2192C"/>
    <w:rsid w:val="00F21D21"/>
    <w:rsid w:val="00F22545"/>
    <w:rsid w:val="00F2262E"/>
    <w:rsid w:val="00F25407"/>
    <w:rsid w:val="00F2623F"/>
    <w:rsid w:val="00F2639D"/>
    <w:rsid w:val="00F268DE"/>
    <w:rsid w:val="00F270D5"/>
    <w:rsid w:val="00F30271"/>
    <w:rsid w:val="00F312F6"/>
    <w:rsid w:val="00F313F3"/>
    <w:rsid w:val="00F31631"/>
    <w:rsid w:val="00F316E3"/>
    <w:rsid w:val="00F31777"/>
    <w:rsid w:val="00F32984"/>
    <w:rsid w:val="00F330FC"/>
    <w:rsid w:val="00F3331B"/>
    <w:rsid w:val="00F33325"/>
    <w:rsid w:val="00F3419B"/>
    <w:rsid w:val="00F35338"/>
    <w:rsid w:val="00F35449"/>
    <w:rsid w:val="00F357CD"/>
    <w:rsid w:val="00F35A99"/>
    <w:rsid w:val="00F36572"/>
    <w:rsid w:val="00F36708"/>
    <w:rsid w:val="00F36C1B"/>
    <w:rsid w:val="00F36D84"/>
    <w:rsid w:val="00F375E3"/>
    <w:rsid w:val="00F40022"/>
    <w:rsid w:val="00F40177"/>
    <w:rsid w:val="00F406F3"/>
    <w:rsid w:val="00F40914"/>
    <w:rsid w:val="00F40CC8"/>
    <w:rsid w:val="00F416DE"/>
    <w:rsid w:val="00F41DCC"/>
    <w:rsid w:val="00F43C3B"/>
    <w:rsid w:val="00F44D68"/>
    <w:rsid w:val="00F450A2"/>
    <w:rsid w:val="00F4526C"/>
    <w:rsid w:val="00F46653"/>
    <w:rsid w:val="00F46697"/>
    <w:rsid w:val="00F505E2"/>
    <w:rsid w:val="00F5285F"/>
    <w:rsid w:val="00F5545A"/>
    <w:rsid w:val="00F617E7"/>
    <w:rsid w:val="00F61A8F"/>
    <w:rsid w:val="00F63B10"/>
    <w:rsid w:val="00F63C75"/>
    <w:rsid w:val="00F6418B"/>
    <w:rsid w:val="00F65681"/>
    <w:rsid w:val="00F65DF6"/>
    <w:rsid w:val="00F66EFA"/>
    <w:rsid w:val="00F675F9"/>
    <w:rsid w:val="00F67A46"/>
    <w:rsid w:val="00F71C2F"/>
    <w:rsid w:val="00F71E23"/>
    <w:rsid w:val="00F72D43"/>
    <w:rsid w:val="00F72E90"/>
    <w:rsid w:val="00F74326"/>
    <w:rsid w:val="00F74E42"/>
    <w:rsid w:val="00F768C4"/>
    <w:rsid w:val="00F76C9E"/>
    <w:rsid w:val="00F801AC"/>
    <w:rsid w:val="00F80AD6"/>
    <w:rsid w:val="00F83685"/>
    <w:rsid w:val="00F836AE"/>
    <w:rsid w:val="00F83ED1"/>
    <w:rsid w:val="00F84A4B"/>
    <w:rsid w:val="00F85333"/>
    <w:rsid w:val="00F86E7D"/>
    <w:rsid w:val="00F903F0"/>
    <w:rsid w:val="00F90BC8"/>
    <w:rsid w:val="00F918DB"/>
    <w:rsid w:val="00F936F1"/>
    <w:rsid w:val="00F948CE"/>
    <w:rsid w:val="00F96F2E"/>
    <w:rsid w:val="00F97E82"/>
    <w:rsid w:val="00FA1A95"/>
    <w:rsid w:val="00FA3AE4"/>
    <w:rsid w:val="00FA47B9"/>
    <w:rsid w:val="00FA5F42"/>
    <w:rsid w:val="00FA70DD"/>
    <w:rsid w:val="00FA7AC1"/>
    <w:rsid w:val="00FB1226"/>
    <w:rsid w:val="00FB24A9"/>
    <w:rsid w:val="00FB449F"/>
    <w:rsid w:val="00FB4956"/>
    <w:rsid w:val="00FB5570"/>
    <w:rsid w:val="00FB6D4E"/>
    <w:rsid w:val="00FB7E76"/>
    <w:rsid w:val="00FC1A6F"/>
    <w:rsid w:val="00FC1CCE"/>
    <w:rsid w:val="00FC1F4F"/>
    <w:rsid w:val="00FC4366"/>
    <w:rsid w:val="00FC5560"/>
    <w:rsid w:val="00FC63EB"/>
    <w:rsid w:val="00FC6C05"/>
    <w:rsid w:val="00FC7B5A"/>
    <w:rsid w:val="00FD022F"/>
    <w:rsid w:val="00FD2163"/>
    <w:rsid w:val="00FD3227"/>
    <w:rsid w:val="00FD4AFE"/>
    <w:rsid w:val="00FE01D7"/>
    <w:rsid w:val="00FE0B37"/>
    <w:rsid w:val="00FE3330"/>
    <w:rsid w:val="00FE49FA"/>
    <w:rsid w:val="00FE4B6D"/>
    <w:rsid w:val="00FE4D40"/>
    <w:rsid w:val="00FE6041"/>
    <w:rsid w:val="00FE66DB"/>
    <w:rsid w:val="00FE6DC6"/>
    <w:rsid w:val="00FE7805"/>
    <w:rsid w:val="00FF01F0"/>
    <w:rsid w:val="00FF092A"/>
    <w:rsid w:val="00FF0AE2"/>
    <w:rsid w:val="00FF0DFD"/>
    <w:rsid w:val="00FF32A9"/>
    <w:rsid w:val="00FF3BDB"/>
    <w:rsid w:val="00FF415D"/>
    <w:rsid w:val="00FF69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4BFF"/>
  <w15:chartTrackingRefBased/>
  <w15:docId w15:val="{A12D805D-1EFD-4419-BE8A-A19E4F0E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1C8E"/>
    <w:pPr>
      <w:spacing w:after="0" w:line="260" w:lineRule="atLeast"/>
    </w:pPr>
    <w:rPr>
      <w:rFonts w:ascii="Times New Roman" w:eastAsia="Calibri"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C11C8E"/>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C11C8E"/>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C11C8E"/>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C11C8E"/>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C11C8E"/>
    <w:pPr>
      <w:tabs>
        <w:tab w:val="center" w:pos="4153"/>
        <w:tab w:val="right" w:pos="8306"/>
      </w:tabs>
      <w:spacing w:after="0" w:line="240" w:lineRule="auto"/>
    </w:pPr>
    <w:rPr>
      <w:rFonts w:ascii="Times New Roman" w:eastAsia="Times New Roman" w:hAnsi="Times New Roman" w:cs="Times New Roman"/>
      <w:sz w:val="22"/>
      <w:szCs w:val="24"/>
      <w:lang w:eastAsia="en-AU"/>
    </w:rPr>
  </w:style>
  <w:style w:type="character" w:customStyle="1" w:styleId="FooterChar">
    <w:name w:val="Footer Char"/>
    <w:basedOn w:val="DefaultParagraphFont"/>
    <w:link w:val="Footer"/>
    <w:uiPriority w:val="99"/>
    <w:rsid w:val="00C11C8E"/>
    <w:rPr>
      <w:rFonts w:ascii="Times New Roman" w:eastAsia="Times New Roman" w:hAnsi="Times New Roman" w:cs="Times New Roman"/>
      <w:sz w:val="22"/>
      <w:szCs w:val="24"/>
      <w:lang w:eastAsia="en-AU"/>
    </w:rPr>
  </w:style>
  <w:style w:type="character" w:customStyle="1" w:styleId="LI-BodyTextParaaChar">
    <w:name w:val="LI - Body Text Para (a) Char"/>
    <w:link w:val="LI-BodyTextParaa"/>
    <w:rsid w:val="00C11C8E"/>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C11C8E"/>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C11C8E"/>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C11C8E"/>
    <w:rPr>
      <w:rFonts w:ascii="Times New Roman" w:eastAsia="Times New Roman" w:hAnsi="Times New Roman" w:cs="Times New Roman"/>
      <w:sz w:val="24"/>
      <w:szCs w:val="24"/>
      <w:lang w:eastAsia="en-AU"/>
    </w:rPr>
  </w:style>
  <w:style w:type="character" w:customStyle="1" w:styleId="LI-FooterChar">
    <w:name w:val="LI - Footer Char"/>
    <w:link w:val="LI-Footer"/>
    <w:rsid w:val="00C11C8E"/>
    <w:rPr>
      <w:rFonts w:ascii="Times New Roman" w:eastAsia="Calibri" w:hAnsi="Times New Roman" w:cs="Times New Roman"/>
      <w:i/>
      <w:sz w:val="18"/>
      <w:szCs w:val="20"/>
    </w:rPr>
  </w:style>
  <w:style w:type="paragraph" w:customStyle="1" w:styleId="LI-Header">
    <w:name w:val="LI - Header"/>
    <w:basedOn w:val="LI-Footer"/>
    <w:link w:val="LI-HeaderChar"/>
    <w:qFormat/>
    <w:rsid w:val="00C11C8E"/>
    <w:pPr>
      <w:pBdr>
        <w:top w:val="none" w:sz="0" w:space="0" w:color="auto"/>
        <w:bottom w:val="single" w:sz="4" w:space="1" w:color="auto"/>
      </w:pBdr>
      <w:jc w:val="right"/>
    </w:pPr>
  </w:style>
  <w:style w:type="character" w:customStyle="1" w:styleId="LI-HeaderChar">
    <w:name w:val="LI - Header Char"/>
    <w:basedOn w:val="LI-FooterChar"/>
    <w:link w:val="LI-Header"/>
    <w:rsid w:val="00C11C8E"/>
    <w:rPr>
      <w:rFonts w:ascii="Times New Roman" w:eastAsia="Calibri" w:hAnsi="Times New Roman" w:cs="Times New Roman"/>
      <w:i/>
      <w:sz w:val="18"/>
      <w:szCs w:val="20"/>
    </w:rPr>
  </w:style>
  <w:style w:type="character" w:styleId="Hyperlink">
    <w:name w:val="Hyperlink"/>
    <w:basedOn w:val="DefaultParagraphFont"/>
    <w:uiPriority w:val="99"/>
    <w:unhideWhenUsed/>
    <w:rsid w:val="00B94CE1"/>
    <w:rPr>
      <w:color w:val="0563C1" w:themeColor="hyperlink"/>
      <w:u w:val="single"/>
    </w:rPr>
  </w:style>
  <w:style w:type="character" w:styleId="UnresolvedMention">
    <w:name w:val="Unresolved Mention"/>
    <w:basedOn w:val="DefaultParagraphFont"/>
    <w:uiPriority w:val="99"/>
    <w:unhideWhenUsed/>
    <w:rsid w:val="00B94CE1"/>
    <w:rPr>
      <w:color w:val="605E5C"/>
      <w:shd w:val="clear" w:color="auto" w:fill="E1DFDD"/>
    </w:rPr>
  </w:style>
  <w:style w:type="character" w:styleId="CommentReference">
    <w:name w:val="annotation reference"/>
    <w:basedOn w:val="DefaultParagraphFont"/>
    <w:uiPriority w:val="99"/>
    <w:semiHidden/>
    <w:unhideWhenUsed/>
    <w:rsid w:val="002A52A2"/>
    <w:rPr>
      <w:sz w:val="16"/>
      <w:szCs w:val="16"/>
    </w:rPr>
  </w:style>
  <w:style w:type="paragraph" w:styleId="CommentText">
    <w:name w:val="annotation text"/>
    <w:basedOn w:val="Normal"/>
    <w:link w:val="CommentTextChar"/>
    <w:uiPriority w:val="99"/>
    <w:semiHidden/>
    <w:unhideWhenUsed/>
    <w:rsid w:val="002A52A2"/>
    <w:pPr>
      <w:spacing w:line="240" w:lineRule="auto"/>
    </w:pPr>
    <w:rPr>
      <w:sz w:val="20"/>
    </w:rPr>
  </w:style>
  <w:style w:type="character" w:customStyle="1" w:styleId="CommentTextChar">
    <w:name w:val="Comment Text Char"/>
    <w:basedOn w:val="DefaultParagraphFont"/>
    <w:link w:val="CommentText"/>
    <w:uiPriority w:val="99"/>
    <w:semiHidden/>
    <w:rsid w:val="002A52A2"/>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unhideWhenUsed/>
    <w:rsid w:val="002A52A2"/>
    <w:rPr>
      <w:b/>
      <w:bCs/>
    </w:rPr>
  </w:style>
  <w:style w:type="character" w:customStyle="1" w:styleId="CommentSubjectChar">
    <w:name w:val="Comment Subject Char"/>
    <w:basedOn w:val="CommentTextChar"/>
    <w:link w:val="CommentSubject"/>
    <w:uiPriority w:val="99"/>
    <w:semiHidden/>
    <w:rsid w:val="002A52A2"/>
    <w:rPr>
      <w:rFonts w:ascii="Times New Roman" w:eastAsia="Calibri" w:hAnsi="Times New Roman" w:cs="Times New Roman"/>
      <w:b/>
      <w:bCs/>
      <w:szCs w:val="20"/>
    </w:rPr>
  </w:style>
  <w:style w:type="paragraph" w:styleId="ListParagraph">
    <w:name w:val="List Paragraph"/>
    <w:basedOn w:val="Normal"/>
    <w:uiPriority w:val="34"/>
    <w:qFormat/>
    <w:rsid w:val="00487120"/>
    <w:pPr>
      <w:ind w:left="720"/>
      <w:contextualSpacing/>
    </w:pPr>
  </w:style>
  <w:style w:type="paragraph" w:styleId="Revision">
    <w:name w:val="Revision"/>
    <w:hidden/>
    <w:uiPriority w:val="99"/>
    <w:semiHidden/>
    <w:rsid w:val="00B27AD0"/>
    <w:pPr>
      <w:spacing w:after="0" w:line="240" w:lineRule="auto"/>
    </w:pPr>
    <w:rPr>
      <w:rFonts w:ascii="Times New Roman" w:eastAsia="Calibri" w:hAnsi="Times New Roman" w:cs="Times New Roman"/>
      <w:sz w:val="22"/>
      <w:szCs w:val="20"/>
    </w:rPr>
  </w:style>
  <w:style w:type="paragraph" w:styleId="BodyText">
    <w:name w:val="Body Text"/>
    <w:basedOn w:val="Normal"/>
    <w:link w:val="BodyTextChar"/>
    <w:rsid w:val="00DC5B52"/>
    <w:pPr>
      <w:spacing w:before="200" w:line="300" w:lineRule="atLeast"/>
    </w:pPr>
    <w:rPr>
      <w:rFonts w:eastAsia="Times New Roman"/>
      <w:szCs w:val="22"/>
      <w:lang w:eastAsia="en-AU"/>
    </w:rPr>
  </w:style>
  <w:style w:type="character" w:customStyle="1" w:styleId="BodyTextChar">
    <w:name w:val="Body Text Char"/>
    <w:basedOn w:val="DefaultParagraphFont"/>
    <w:link w:val="BodyText"/>
    <w:rsid w:val="00DC5B52"/>
    <w:rPr>
      <w:rFonts w:ascii="Times New Roman" w:eastAsia="Times New Roman" w:hAnsi="Times New Roman" w:cs="Times New Roman"/>
      <w:sz w:val="22"/>
      <w:lang w:eastAsia="en-AU"/>
    </w:rPr>
  </w:style>
  <w:style w:type="paragraph" w:customStyle="1" w:styleId="ListPara1">
    <w:name w:val="List Para 1"/>
    <w:basedOn w:val="Normal"/>
    <w:link w:val="ListPara1Char"/>
    <w:uiPriority w:val="4"/>
    <w:qFormat/>
    <w:rsid w:val="00DC5B52"/>
    <w:pPr>
      <w:spacing w:after="200" w:line="276" w:lineRule="auto"/>
      <w:ind w:left="3742" w:hanging="340"/>
    </w:pPr>
    <w:rPr>
      <w:rFonts w:ascii="Century Gothic" w:eastAsia="Times New Roman" w:hAnsi="Century Gothic" w:cs="Arial"/>
      <w:szCs w:val="22"/>
      <w:lang w:val="en-US" w:eastAsia="en-AU"/>
    </w:rPr>
  </w:style>
  <w:style w:type="character" w:customStyle="1" w:styleId="ListPara1Char">
    <w:name w:val="List Para 1 Char"/>
    <w:basedOn w:val="DefaultParagraphFont"/>
    <w:link w:val="ListPara1"/>
    <w:uiPriority w:val="4"/>
    <w:rsid w:val="00DC5B52"/>
    <w:rPr>
      <w:rFonts w:eastAsia="Times New Roman" w:cs="Arial"/>
      <w:sz w:val="22"/>
      <w:lang w:val="en-US" w:eastAsia="en-AU"/>
    </w:rPr>
  </w:style>
  <w:style w:type="character" w:customStyle="1" w:styleId="normaltextrun">
    <w:name w:val="normaltextrun"/>
    <w:basedOn w:val="DefaultParagraphFont"/>
    <w:rsid w:val="007765A2"/>
  </w:style>
  <w:style w:type="character" w:styleId="Mention">
    <w:name w:val="Mention"/>
    <w:basedOn w:val="DefaultParagraphFont"/>
    <w:uiPriority w:val="99"/>
    <w:unhideWhenUsed/>
    <w:rsid w:val="00BD3720"/>
    <w:rPr>
      <w:color w:val="2B579A"/>
      <w:shd w:val="clear" w:color="auto" w:fill="E1DFDD"/>
    </w:rPr>
  </w:style>
  <w:style w:type="character" w:styleId="FollowedHyperlink">
    <w:name w:val="FollowedHyperlink"/>
    <w:basedOn w:val="DefaultParagraphFont"/>
    <w:uiPriority w:val="99"/>
    <w:semiHidden/>
    <w:unhideWhenUsed/>
    <w:rsid w:val="005C05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sic.gov.au/regulatory-resources/find-a-document/consultation-papers/cp-353-proposed-amendments-to-the-asic-derivative-transaction-rules-clearing-2015/"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ic.gov.au/regulatory-resources/find-a-document/consultation-papers/cp-366-proposed-amendments-to-the-asic-derivative-transaction-rules-clearing-2015-second-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DocumentNotes xmlns="db2b92ca-6ed0-4085-802d-4c686a2e8c3f" xsi:nil="true"/>
    <NAPReason xmlns="db2b92ca-6ed0-4085-802d-4c686a2e8c3f" xsi:nil="true"/>
    <_dlc_DocId xmlns="eb44715b-cd74-4c79-92c4-f0e9f1a86440">001029-281057421-974</_dlc_DocId>
    <_dlc_DocIdUrl xmlns="eb44715b-cd74-4c79-92c4-f0e9f1a86440">
      <Url>https://asiclink.sharepoint.com/teams/001029/_layouts/15/DocIdRedir.aspx?ID=001029-281057421-974</Url>
      <Description>001029-281057421-974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SIC Document" ma:contentTypeID="0x010100B5F685A1365F544391EF8C813B164F3A00D03B173A241C224CA2A7AC7A79AF051C" ma:contentTypeVersion="26" ma:contentTypeDescription="" ma:contentTypeScope="" ma:versionID="6383cb5bacaea7ad134d9ca35817526d">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f84d6351d9f9fe4871a7e9bf0f59534e"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7e81710-c2b0-4baf-b4f9-5c22eaea1a1e}"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e81710-c2b0-4baf-b4f9-5c22eaea1a1e}"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BE140-3347-40AF-868C-1B0ADF6AA0B9}">
  <ds:schemaRefs>
    <ds:schemaRef ds:uri="http://schemas.microsoft.com/sharepoint/v3/contenttype/forms"/>
  </ds:schemaRefs>
</ds:datastoreItem>
</file>

<file path=customXml/itemProps2.xml><?xml version="1.0" encoding="utf-8"?>
<ds:datastoreItem xmlns:ds="http://schemas.openxmlformats.org/officeDocument/2006/customXml" ds:itemID="{0AEDAE3E-021A-4E8C-80A4-E4495795D0D3}">
  <ds:schemaRefs>
    <ds:schemaRef ds:uri="Microsoft.SharePoint.Taxonomy.ContentTypeSync"/>
  </ds:schemaRefs>
</ds:datastoreItem>
</file>

<file path=customXml/itemProps3.xml><?xml version="1.0" encoding="utf-8"?>
<ds:datastoreItem xmlns:ds="http://schemas.openxmlformats.org/officeDocument/2006/customXml" ds:itemID="{BCF32F74-7D91-4873-9AB4-A413860A2D1F}">
  <ds:schemaRefs>
    <ds:schemaRef ds:uri="http://schemas.openxmlformats.org/officeDocument/2006/bibliography"/>
  </ds:schemaRefs>
</ds:datastoreItem>
</file>

<file path=customXml/itemProps4.xml><?xml version="1.0" encoding="utf-8"?>
<ds:datastoreItem xmlns:ds="http://schemas.openxmlformats.org/officeDocument/2006/customXml" ds:itemID="{AC6E32BD-F669-4CB5-AD83-3E83C90AFB06}">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5.xml><?xml version="1.0" encoding="utf-8"?>
<ds:datastoreItem xmlns:ds="http://schemas.openxmlformats.org/officeDocument/2006/customXml" ds:itemID="{27D7BDB9-CBAA-40F4-A05B-7F3468706D11}">
  <ds:schemaRefs>
    <ds:schemaRef ds:uri="http://schemas.microsoft.com/sharepoint/events"/>
  </ds:schemaRefs>
</ds:datastoreItem>
</file>

<file path=customXml/itemProps6.xml><?xml version="1.0" encoding="utf-8"?>
<ds:datastoreItem xmlns:ds="http://schemas.openxmlformats.org/officeDocument/2006/customXml" ds:itemID="{C74E3F45-F306-4EF9-A887-4B2B439C6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Links>
    <vt:vector size="12" baseType="variant">
      <vt:variant>
        <vt:i4>7012400</vt:i4>
      </vt:variant>
      <vt:variant>
        <vt:i4>3</vt:i4>
      </vt:variant>
      <vt:variant>
        <vt:i4>0</vt:i4>
      </vt:variant>
      <vt:variant>
        <vt:i4>5</vt:i4>
      </vt:variant>
      <vt:variant>
        <vt:lpwstr>https://asic.gov.au/regulatory-resources/find-a-document/consultation-papers/cp-353-proposed-amendments-to-the-asic-derivative-transaction-rules-clearing-2015/</vt:lpwstr>
      </vt:variant>
      <vt:variant>
        <vt:lpwstr/>
      </vt:variant>
      <vt:variant>
        <vt:i4>2949217</vt:i4>
      </vt:variant>
      <vt:variant>
        <vt:i4>0</vt:i4>
      </vt:variant>
      <vt:variant>
        <vt:i4>0</vt:i4>
      </vt:variant>
      <vt:variant>
        <vt:i4>5</vt:i4>
      </vt:variant>
      <vt:variant>
        <vt:lpwstr>https://asic.gov.au/regulatory-resources/find-a-document/consultation-papers/cp-366-proposed-amendments-to-the-asic-derivative-transaction-rules-clearing-2015-second-consultation/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Collingwood-Smith</dc:creator>
  <cp:keywords/>
  <dc:description/>
  <cp:lastModifiedBy>Narelle Kane</cp:lastModifiedBy>
  <cp:revision>4</cp:revision>
  <cp:lastPrinted>2023-09-16T16:57:00Z</cp:lastPrinted>
  <dcterms:created xsi:type="dcterms:W3CDTF">2023-09-18T05:29:00Z</dcterms:created>
  <dcterms:modified xsi:type="dcterms:W3CDTF">2023-09-18T05:30:00Z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0x010100B5F685A1365F544391EF8C813B164F3A00D03B173A241C224CA2A7AC7A79AF051C</vt:lpwstr>
  </property>
  <property fmtid="{D5CDD505-2E9C-101B-9397-08002B2CF9AE}" pid="3" name="RCRCaseSubType">
    <vt:lpwstr/>
  </property>
  <property fmtid="{D5CDD505-2E9C-101B-9397-08002B2CF9AE}" pid="4" name="RCRRegulatoryRole">
    <vt:lpwstr/>
  </property>
  <property fmtid="{D5CDD505-2E9C-101B-9397-08002B2CF9AE}" pid="5" name="RCRRegulatoryConsiderationSubType">
    <vt:lpwstr/>
  </property>
  <property fmtid="{D5CDD505-2E9C-101B-9397-08002B2CF9AE}" pid="6" name="RCRCfCs">
    <vt:lpwstr/>
  </property>
  <property fmtid="{D5CDD505-2E9C-101B-9397-08002B2CF9AE}" pid="7" name="RCRCaseType">
    <vt:lpwstr>25;#Surveillance - Proactive|ad07f8e0-09d9-e611-811a-005056a8b064</vt:lpwstr>
  </property>
  <property fmtid="{D5CDD505-2E9C-101B-9397-08002B2CF9AE}" pid="8" name="RCRRegulatoryConsiderationType">
    <vt:lpwstr/>
  </property>
  <property fmtid="{D5CDD505-2E9C-101B-9397-08002B2CF9AE}" pid="9" name="SecurityClassification">
    <vt:lpwstr>1;#OFFICIAL - Sensitive|6eccc17f-024b-41b0-b6b1-faf98d2aff85</vt:lpwstr>
  </property>
  <property fmtid="{D5CDD505-2E9C-101B-9397-08002B2CF9AE}" pid="10" name="RCRSourceSystem">
    <vt:lpwstr/>
  </property>
  <property fmtid="{D5CDD505-2E9C-101B-9397-08002B2CF9AE}" pid="11" name="RCRParentRecordType">
    <vt:lpwstr/>
  </property>
  <property fmtid="{D5CDD505-2E9C-101B-9397-08002B2CF9AE}" pid="12" name="RCRRegulatoryTopics">
    <vt:lpwstr/>
  </property>
  <property fmtid="{D5CDD505-2E9C-101B-9397-08002B2CF9AE}" pid="13" name="RCRBusinessProcessPattern">
    <vt:lpwstr/>
  </property>
  <property fmtid="{D5CDD505-2E9C-101B-9397-08002B2CF9AE}" pid="14" name="RCRSourceRecordType">
    <vt:lpwstr/>
  </property>
  <property fmtid="{D5CDD505-2E9C-101B-9397-08002B2CF9AE}" pid="15" name="RCRDocumentType">
    <vt:lpwstr>26;#Regulatory Policy|e7c99747-4396-e611-8114-005056a8b064</vt:lpwstr>
  </property>
  <property fmtid="{D5CDD505-2E9C-101B-9397-08002B2CF9AE}" pid="16" name="DocumentSetDescription">
    <vt:lpwstr/>
  </property>
  <property fmtid="{D5CDD505-2E9C-101B-9397-08002B2CF9AE}" pid="17" name="URL">
    <vt:lpwstr/>
  </property>
  <property fmtid="{D5CDD505-2E9C-101B-9397-08002B2CF9AE}" pid="18" name="MSIP_Label_a6aead41-07f8-4767-ac8e-ef1c9c793766_Enabled">
    <vt:lpwstr>true</vt:lpwstr>
  </property>
  <property fmtid="{D5CDD505-2E9C-101B-9397-08002B2CF9AE}" pid="19" name="MSIP_Label_a6aead41-07f8-4767-ac8e-ef1c9c793766_SetDate">
    <vt:lpwstr>2023-06-12T23:31:39Z</vt:lpwstr>
  </property>
  <property fmtid="{D5CDD505-2E9C-101B-9397-08002B2CF9AE}" pid="20" name="MSIP_Label_a6aead41-07f8-4767-ac8e-ef1c9c793766_Method">
    <vt:lpwstr>Standard</vt:lpwstr>
  </property>
  <property fmtid="{D5CDD505-2E9C-101B-9397-08002B2CF9AE}" pid="21" name="MSIP_Label_a6aead41-07f8-4767-ac8e-ef1c9c793766_Name">
    <vt:lpwstr>OFFICIAL</vt:lpwstr>
  </property>
  <property fmtid="{D5CDD505-2E9C-101B-9397-08002B2CF9AE}" pid="22" name="MSIP_Label_a6aead41-07f8-4767-ac8e-ef1c9c793766_SiteId">
    <vt:lpwstr>5f1de7c6-55cd-4bb2-902d-514c78cf10f4</vt:lpwstr>
  </property>
  <property fmtid="{D5CDD505-2E9C-101B-9397-08002B2CF9AE}" pid="23" name="MSIP_Label_a6aead41-07f8-4767-ac8e-ef1c9c793766_ActionId">
    <vt:lpwstr>7fb4cfe8-882c-4166-921d-5aabfbc6fbfc</vt:lpwstr>
  </property>
  <property fmtid="{D5CDD505-2E9C-101B-9397-08002B2CF9AE}" pid="24" name="MSIP_Label_a6aead41-07f8-4767-ac8e-ef1c9c793766_ContentBits">
    <vt:lpwstr>0</vt:lpwstr>
  </property>
  <property fmtid="{D5CDD505-2E9C-101B-9397-08002B2CF9AE}" pid="25" name="_dlc_DocIdItemGuid">
    <vt:lpwstr>c8042ee2-9119-40b3-94c9-34a0d62bd0bd</vt:lpwstr>
  </property>
</Properties>
</file>