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AF6FD" w14:textId="77777777" w:rsidR="005E317F" w:rsidRPr="00AE409E" w:rsidRDefault="005E317F" w:rsidP="005E317F">
      <w:pPr>
        <w:rPr>
          <w:sz w:val="28"/>
        </w:rPr>
      </w:pPr>
      <w:r w:rsidRPr="00AE409E">
        <w:rPr>
          <w:noProof/>
          <w:lang w:eastAsia="en-AU"/>
        </w:rPr>
        <w:drawing>
          <wp:inline distT="0" distB="0" distL="0" distR="0" wp14:anchorId="4C6D9405" wp14:editId="22D466E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0C20AAC" w14:textId="77777777" w:rsidR="005E317F" w:rsidRPr="00AE409E" w:rsidRDefault="005E317F" w:rsidP="005E317F">
      <w:pPr>
        <w:rPr>
          <w:sz w:val="19"/>
        </w:rPr>
      </w:pPr>
    </w:p>
    <w:p w14:paraId="4F203C41" w14:textId="432C4F6C" w:rsidR="005E317F" w:rsidRPr="00AE409E" w:rsidRDefault="00962786" w:rsidP="005E317F">
      <w:pPr>
        <w:pStyle w:val="ShortT"/>
      </w:pPr>
      <w:bookmarkStart w:id="0" w:name="_Hlk141257908"/>
      <w:r w:rsidRPr="00AE409E">
        <w:t>Health Insurance</w:t>
      </w:r>
      <w:r w:rsidR="005E317F" w:rsidRPr="00AE409E">
        <w:t xml:space="preserve"> (</w:t>
      </w:r>
      <w:r w:rsidR="00F81331" w:rsidRPr="00AE409E">
        <w:t>Section 3C General Medical Services – Other Medical Practitioner</w:t>
      </w:r>
      <w:r w:rsidR="005E317F" w:rsidRPr="00AE409E">
        <w:t xml:space="preserve">) </w:t>
      </w:r>
      <w:r w:rsidR="00A91EFD" w:rsidRPr="00AE409E">
        <w:t xml:space="preserve">Amendment </w:t>
      </w:r>
      <w:r w:rsidR="00F815B4" w:rsidRPr="00AE409E">
        <w:t xml:space="preserve">(No. 2) </w:t>
      </w:r>
      <w:r w:rsidR="00213169" w:rsidRPr="00AE409E">
        <w:t>Determination 2023</w:t>
      </w:r>
      <w:bookmarkEnd w:id="0"/>
    </w:p>
    <w:p w14:paraId="22B4664D" w14:textId="339259D1" w:rsidR="005E317F" w:rsidRPr="00AE409E" w:rsidRDefault="005E317F" w:rsidP="005E317F">
      <w:pPr>
        <w:pStyle w:val="SignCoverPageStart"/>
        <w:spacing w:before="240"/>
        <w:ind w:right="91"/>
        <w:rPr>
          <w:szCs w:val="22"/>
        </w:rPr>
      </w:pPr>
      <w:r w:rsidRPr="00AE409E">
        <w:rPr>
          <w:szCs w:val="22"/>
        </w:rPr>
        <w:t xml:space="preserve">I, </w:t>
      </w:r>
      <w:r w:rsidR="003364FF" w:rsidRPr="00AE409E">
        <w:rPr>
          <w:szCs w:val="22"/>
        </w:rPr>
        <w:t>Louise Riley</w:t>
      </w:r>
      <w:r w:rsidRPr="00AE409E">
        <w:rPr>
          <w:szCs w:val="22"/>
        </w:rPr>
        <w:t xml:space="preserve">, </w:t>
      </w:r>
      <w:r w:rsidR="002B7770" w:rsidRPr="00AE409E">
        <w:rPr>
          <w:szCs w:val="22"/>
        </w:rPr>
        <w:t>delegate of the Minister for Health and Aged Care, make the following determination</w:t>
      </w:r>
      <w:r w:rsidRPr="00AE409E">
        <w:rPr>
          <w:szCs w:val="22"/>
        </w:rPr>
        <w:t>.</w:t>
      </w:r>
    </w:p>
    <w:p w14:paraId="7DC565E5" w14:textId="2DEB5A81" w:rsidR="005E317F" w:rsidRPr="00AE409E" w:rsidRDefault="005E317F" w:rsidP="005E317F">
      <w:pPr>
        <w:keepNext/>
        <w:spacing w:before="300" w:line="240" w:lineRule="atLeast"/>
        <w:ind w:right="397"/>
        <w:jc w:val="both"/>
        <w:rPr>
          <w:szCs w:val="22"/>
        </w:rPr>
      </w:pPr>
      <w:r w:rsidRPr="00AE409E">
        <w:rPr>
          <w:szCs w:val="22"/>
        </w:rPr>
        <w:t>Dated</w:t>
      </w:r>
      <w:r w:rsidRPr="00AE409E">
        <w:rPr>
          <w:szCs w:val="22"/>
        </w:rPr>
        <w:tab/>
      </w:r>
      <w:r w:rsidR="00A35279" w:rsidRPr="00AE409E">
        <w:rPr>
          <w:szCs w:val="22"/>
        </w:rPr>
        <w:t xml:space="preserve">      14</w:t>
      </w:r>
      <w:r w:rsidRPr="00AE409E">
        <w:rPr>
          <w:szCs w:val="22"/>
        </w:rPr>
        <w:tab/>
      </w:r>
      <w:r w:rsidR="00107519" w:rsidRPr="00AE409E">
        <w:rPr>
          <w:szCs w:val="22"/>
        </w:rPr>
        <w:t>September</w:t>
      </w:r>
      <w:r w:rsidR="002B7770" w:rsidRPr="00AE409E">
        <w:rPr>
          <w:szCs w:val="22"/>
        </w:rPr>
        <w:t xml:space="preserve"> 2023</w:t>
      </w:r>
      <w:r w:rsidRPr="00AE409E">
        <w:rPr>
          <w:szCs w:val="22"/>
        </w:rPr>
        <w:tab/>
      </w:r>
      <w:r w:rsidRPr="00AE409E">
        <w:rPr>
          <w:szCs w:val="22"/>
        </w:rPr>
        <w:tab/>
      </w:r>
    </w:p>
    <w:p w14:paraId="0A253D1B" w14:textId="77DC138C" w:rsidR="00934EC1" w:rsidRPr="00AE409E" w:rsidRDefault="00C31350" w:rsidP="00934EC1">
      <w:pPr>
        <w:keepNext/>
        <w:tabs>
          <w:tab w:val="left" w:pos="3402"/>
        </w:tabs>
        <w:spacing w:before="1440" w:line="300" w:lineRule="atLeast"/>
        <w:ind w:right="397"/>
        <w:rPr>
          <w:b/>
          <w:szCs w:val="22"/>
        </w:rPr>
      </w:pPr>
      <w:r w:rsidRPr="00AE409E">
        <w:rPr>
          <w:szCs w:val="22"/>
        </w:rPr>
        <w:t>Louise Riley</w:t>
      </w:r>
      <w:r w:rsidR="00934EC1" w:rsidRPr="00AE409E">
        <w:rPr>
          <w:szCs w:val="22"/>
        </w:rPr>
        <w:t xml:space="preserve"> </w:t>
      </w:r>
    </w:p>
    <w:p w14:paraId="51A5EEE1" w14:textId="28E1B832" w:rsidR="00934EC1" w:rsidRPr="00AE409E" w:rsidRDefault="00934EC1" w:rsidP="00934EC1">
      <w:pPr>
        <w:pStyle w:val="SignCoverPageEnd"/>
        <w:ind w:right="91"/>
        <w:rPr>
          <w:sz w:val="22"/>
        </w:rPr>
      </w:pPr>
      <w:r w:rsidRPr="00AE409E">
        <w:rPr>
          <w:sz w:val="22"/>
        </w:rPr>
        <w:t>Assistant Secretary</w:t>
      </w:r>
    </w:p>
    <w:p w14:paraId="65006687" w14:textId="54FBEAA6" w:rsidR="00C31350" w:rsidRPr="00AE409E" w:rsidRDefault="00C31350" w:rsidP="00934EC1">
      <w:pPr>
        <w:pStyle w:val="SignCoverPageEnd"/>
        <w:ind w:right="91"/>
        <w:rPr>
          <w:sz w:val="22"/>
        </w:rPr>
      </w:pPr>
      <w:bookmarkStart w:id="1" w:name="_Hlk142657633"/>
      <w:r w:rsidRPr="00AE409E">
        <w:rPr>
          <w:sz w:val="22"/>
        </w:rPr>
        <w:t>MBS Policy and Reviews Branch</w:t>
      </w:r>
      <w:bookmarkEnd w:id="1"/>
    </w:p>
    <w:p w14:paraId="65C9FECF" w14:textId="4F64B1A8" w:rsidR="00934EC1" w:rsidRPr="00AE409E" w:rsidRDefault="00934EC1" w:rsidP="00934EC1">
      <w:pPr>
        <w:pStyle w:val="SignCoverPageEnd"/>
        <w:ind w:right="91"/>
        <w:rPr>
          <w:sz w:val="22"/>
        </w:rPr>
      </w:pPr>
      <w:r w:rsidRPr="00AE409E">
        <w:rPr>
          <w:sz w:val="22"/>
        </w:rPr>
        <w:t>Medicare Benefits and Digital Health Division</w:t>
      </w:r>
    </w:p>
    <w:p w14:paraId="11413992" w14:textId="77777777" w:rsidR="00934EC1" w:rsidRPr="00AE409E" w:rsidRDefault="00934EC1" w:rsidP="00934EC1">
      <w:pPr>
        <w:pStyle w:val="SignCoverPageEnd"/>
        <w:ind w:right="91"/>
        <w:rPr>
          <w:sz w:val="22"/>
        </w:rPr>
      </w:pPr>
      <w:r w:rsidRPr="00AE409E">
        <w:rPr>
          <w:sz w:val="22"/>
        </w:rPr>
        <w:t>Health Resourcing Group</w:t>
      </w:r>
    </w:p>
    <w:p w14:paraId="5755B4A5" w14:textId="0E4A5EDF" w:rsidR="005E317F" w:rsidRPr="00AE409E" w:rsidRDefault="00934EC1" w:rsidP="00934EC1">
      <w:pPr>
        <w:pStyle w:val="SignCoverPageEnd"/>
        <w:ind w:right="91"/>
        <w:rPr>
          <w:sz w:val="22"/>
        </w:rPr>
      </w:pPr>
      <w:r w:rsidRPr="00AE409E">
        <w:rPr>
          <w:sz w:val="22"/>
        </w:rPr>
        <w:t>Department of Health and Aged Care</w:t>
      </w:r>
    </w:p>
    <w:p w14:paraId="0E00044C" w14:textId="77777777" w:rsidR="00B20990" w:rsidRPr="00AE409E" w:rsidRDefault="00B20990" w:rsidP="00B20990"/>
    <w:p w14:paraId="31B18FBB" w14:textId="77777777" w:rsidR="00B20990" w:rsidRPr="00AE409E" w:rsidRDefault="00B20990" w:rsidP="00B20990">
      <w:pPr>
        <w:sectPr w:rsidR="00B20990" w:rsidRPr="00AE409E" w:rsidSect="00B20990">
          <w:headerReference w:type="even" r:id="rId9"/>
          <w:headerReference w:type="default" r:id="rId10"/>
          <w:footerReference w:type="even" r:id="rId11"/>
          <w:footerReference w:type="default" r:id="rId12"/>
          <w:headerReference w:type="first" r:id="rId13"/>
          <w:footerReference w:type="first" r:id="rId14"/>
          <w:type w:val="continuous"/>
          <w:pgSz w:w="11907" w:h="16839"/>
          <w:pgMar w:top="1440" w:right="1797" w:bottom="1440" w:left="1797" w:header="720" w:footer="709" w:gutter="0"/>
          <w:cols w:space="708"/>
          <w:titlePg/>
          <w:docGrid w:linePitch="360"/>
        </w:sectPr>
      </w:pPr>
    </w:p>
    <w:p w14:paraId="03E3D4A6" w14:textId="77777777" w:rsidR="00B20990" w:rsidRPr="00AE409E" w:rsidRDefault="00B20990" w:rsidP="00B20990">
      <w:pPr>
        <w:outlineLvl w:val="0"/>
        <w:rPr>
          <w:sz w:val="36"/>
        </w:rPr>
      </w:pPr>
      <w:r w:rsidRPr="00AE409E">
        <w:rPr>
          <w:sz w:val="36"/>
        </w:rPr>
        <w:lastRenderedPageBreak/>
        <w:t>Contents</w:t>
      </w:r>
    </w:p>
    <w:bookmarkStart w:id="2" w:name="BKCheck15B_2"/>
    <w:bookmarkEnd w:id="2"/>
    <w:p w14:paraId="459264D9" w14:textId="53F05B00" w:rsidR="004B434E" w:rsidRPr="00AE409E" w:rsidRDefault="00B20990">
      <w:pPr>
        <w:pStyle w:val="TOC5"/>
        <w:rPr>
          <w:rFonts w:asciiTheme="minorHAnsi" w:eastAsiaTheme="minorEastAsia" w:hAnsiTheme="minorHAnsi" w:cstheme="minorBidi"/>
          <w:noProof/>
          <w:kern w:val="0"/>
          <w:sz w:val="22"/>
          <w:szCs w:val="22"/>
        </w:rPr>
      </w:pPr>
      <w:r w:rsidRPr="00AE409E">
        <w:fldChar w:fldCharType="begin"/>
      </w:r>
      <w:r w:rsidRPr="00AE409E">
        <w:instrText xml:space="preserve"> TOC \o "1-9" </w:instrText>
      </w:r>
      <w:r w:rsidRPr="00AE409E">
        <w:fldChar w:fldCharType="separate"/>
      </w:r>
      <w:r w:rsidR="004B434E" w:rsidRPr="00AE409E">
        <w:rPr>
          <w:noProof/>
        </w:rPr>
        <w:t>1  Name</w:t>
      </w:r>
      <w:r w:rsidR="004B434E" w:rsidRPr="00AE409E">
        <w:rPr>
          <w:noProof/>
        </w:rPr>
        <w:tab/>
      </w:r>
      <w:r w:rsidR="004B434E" w:rsidRPr="00AE409E">
        <w:rPr>
          <w:noProof/>
        </w:rPr>
        <w:fldChar w:fldCharType="begin"/>
      </w:r>
      <w:r w:rsidR="004B434E" w:rsidRPr="00AE409E">
        <w:rPr>
          <w:noProof/>
        </w:rPr>
        <w:instrText xml:space="preserve"> PAGEREF _Toc142654113 \h </w:instrText>
      </w:r>
      <w:r w:rsidR="004B434E" w:rsidRPr="00AE409E">
        <w:rPr>
          <w:noProof/>
        </w:rPr>
      </w:r>
      <w:r w:rsidR="004B434E" w:rsidRPr="00AE409E">
        <w:rPr>
          <w:noProof/>
        </w:rPr>
        <w:fldChar w:fldCharType="separate"/>
      </w:r>
      <w:r w:rsidR="005B23AE" w:rsidRPr="00AE409E">
        <w:rPr>
          <w:noProof/>
        </w:rPr>
        <w:t>1</w:t>
      </w:r>
      <w:r w:rsidR="004B434E" w:rsidRPr="00AE409E">
        <w:rPr>
          <w:noProof/>
        </w:rPr>
        <w:fldChar w:fldCharType="end"/>
      </w:r>
    </w:p>
    <w:p w14:paraId="1C33BCB7" w14:textId="157BC2B9" w:rsidR="004B434E" w:rsidRPr="00AE409E" w:rsidRDefault="004B434E">
      <w:pPr>
        <w:pStyle w:val="TOC5"/>
        <w:rPr>
          <w:rFonts w:asciiTheme="minorHAnsi" w:eastAsiaTheme="minorEastAsia" w:hAnsiTheme="minorHAnsi" w:cstheme="minorBidi"/>
          <w:noProof/>
          <w:kern w:val="0"/>
          <w:sz w:val="22"/>
          <w:szCs w:val="22"/>
        </w:rPr>
      </w:pPr>
      <w:r w:rsidRPr="00AE409E">
        <w:rPr>
          <w:noProof/>
        </w:rPr>
        <w:t>2  Commencement</w:t>
      </w:r>
      <w:r w:rsidRPr="00AE409E">
        <w:rPr>
          <w:noProof/>
        </w:rPr>
        <w:tab/>
      </w:r>
      <w:r w:rsidRPr="00AE409E">
        <w:rPr>
          <w:noProof/>
        </w:rPr>
        <w:fldChar w:fldCharType="begin"/>
      </w:r>
      <w:r w:rsidRPr="00AE409E">
        <w:rPr>
          <w:noProof/>
        </w:rPr>
        <w:instrText xml:space="preserve"> PAGEREF _Toc142654114 \h </w:instrText>
      </w:r>
      <w:r w:rsidRPr="00AE409E">
        <w:rPr>
          <w:noProof/>
        </w:rPr>
      </w:r>
      <w:r w:rsidRPr="00AE409E">
        <w:rPr>
          <w:noProof/>
        </w:rPr>
        <w:fldChar w:fldCharType="separate"/>
      </w:r>
      <w:r w:rsidR="005B23AE" w:rsidRPr="00AE409E">
        <w:rPr>
          <w:noProof/>
        </w:rPr>
        <w:t>1</w:t>
      </w:r>
      <w:r w:rsidRPr="00AE409E">
        <w:rPr>
          <w:noProof/>
        </w:rPr>
        <w:fldChar w:fldCharType="end"/>
      </w:r>
    </w:p>
    <w:p w14:paraId="07DB70D5" w14:textId="739CB53C" w:rsidR="004B434E" w:rsidRPr="00AE409E" w:rsidRDefault="004B434E">
      <w:pPr>
        <w:pStyle w:val="TOC5"/>
        <w:rPr>
          <w:rFonts w:asciiTheme="minorHAnsi" w:eastAsiaTheme="minorEastAsia" w:hAnsiTheme="minorHAnsi" w:cstheme="minorBidi"/>
          <w:noProof/>
          <w:kern w:val="0"/>
          <w:sz w:val="22"/>
          <w:szCs w:val="22"/>
        </w:rPr>
      </w:pPr>
      <w:r w:rsidRPr="00AE409E">
        <w:rPr>
          <w:noProof/>
        </w:rPr>
        <w:t>3  Authority</w:t>
      </w:r>
      <w:r w:rsidRPr="00AE409E">
        <w:rPr>
          <w:noProof/>
        </w:rPr>
        <w:tab/>
      </w:r>
      <w:r w:rsidRPr="00AE409E">
        <w:rPr>
          <w:noProof/>
        </w:rPr>
        <w:fldChar w:fldCharType="begin"/>
      </w:r>
      <w:r w:rsidRPr="00AE409E">
        <w:rPr>
          <w:noProof/>
        </w:rPr>
        <w:instrText xml:space="preserve"> PAGEREF _Toc142654115 \h </w:instrText>
      </w:r>
      <w:r w:rsidRPr="00AE409E">
        <w:rPr>
          <w:noProof/>
        </w:rPr>
      </w:r>
      <w:r w:rsidRPr="00AE409E">
        <w:rPr>
          <w:noProof/>
        </w:rPr>
        <w:fldChar w:fldCharType="separate"/>
      </w:r>
      <w:r w:rsidR="005B23AE" w:rsidRPr="00AE409E">
        <w:rPr>
          <w:noProof/>
        </w:rPr>
        <w:t>1</w:t>
      </w:r>
      <w:r w:rsidRPr="00AE409E">
        <w:rPr>
          <w:noProof/>
        </w:rPr>
        <w:fldChar w:fldCharType="end"/>
      </w:r>
    </w:p>
    <w:p w14:paraId="08843F46" w14:textId="36722B4E" w:rsidR="004B434E" w:rsidRPr="00AE409E" w:rsidRDefault="004B434E">
      <w:pPr>
        <w:pStyle w:val="TOC5"/>
        <w:rPr>
          <w:rFonts w:asciiTheme="minorHAnsi" w:eastAsiaTheme="minorEastAsia" w:hAnsiTheme="minorHAnsi" w:cstheme="minorBidi"/>
          <w:noProof/>
          <w:kern w:val="0"/>
          <w:sz w:val="22"/>
          <w:szCs w:val="22"/>
        </w:rPr>
      </w:pPr>
      <w:r w:rsidRPr="00AE409E">
        <w:rPr>
          <w:noProof/>
        </w:rPr>
        <w:t>4  Schedules</w:t>
      </w:r>
      <w:r w:rsidRPr="00AE409E">
        <w:rPr>
          <w:noProof/>
        </w:rPr>
        <w:tab/>
      </w:r>
      <w:r w:rsidRPr="00AE409E">
        <w:rPr>
          <w:noProof/>
        </w:rPr>
        <w:fldChar w:fldCharType="begin"/>
      </w:r>
      <w:r w:rsidRPr="00AE409E">
        <w:rPr>
          <w:noProof/>
        </w:rPr>
        <w:instrText xml:space="preserve"> PAGEREF _Toc142654116 \h </w:instrText>
      </w:r>
      <w:r w:rsidRPr="00AE409E">
        <w:rPr>
          <w:noProof/>
        </w:rPr>
      </w:r>
      <w:r w:rsidRPr="00AE409E">
        <w:rPr>
          <w:noProof/>
        </w:rPr>
        <w:fldChar w:fldCharType="separate"/>
      </w:r>
      <w:r w:rsidR="005B23AE" w:rsidRPr="00AE409E">
        <w:rPr>
          <w:noProof/>
        </w:rPr>
        <w:t>1</w:t>
      </w:r>
      <w:r w:rsidRPr="00AE409E">
        <w:rPr>
          <w:noProof/>
        </w:rPr>
        <w:fldChar w:fldCharType="end"/>
      </w:r>
    </w:p>
    <w:p w14:paraId="547C1421" w14:textId="34A3231E" w:rsidR="004B434E" w:rsidRPr="00AE409E" w:rsidRDefault="004B434E">
      <w:pPr>
        <w:pStyle w:val="TOC6"/>
        <w:rPr>
          <w:rFonts w:asciiTheme="minorHAnsi" w:eastAsiaTheme="minorEastAsia" w:hAnsiTheme="minorHAnsi" w:cstheme="minorBidi"/>
          <w:b w:val="0"/>
          <w:noProof/>
          <w:kern w:val="0"/>
          <w:sz w:val="22"/>
          <w:szCs w:val="22"/>
        </w:rPr>
      </w:pPr>
      <w:r w:rsidRPr="00AE409E">
        <w:rPr>
          <w:noProof/>
        </w:rPr>
        <w:t>Schedule 1—Amendments</w:t>
      </w:r>
      <w:r w:rsidRPr="00AE409E">
        <w:rPr>
          <w:noProof/>
        </w:rPr>
        <w:tab/>
      </w:r>
      <w:r w:rsidRPr="00AE409E">
        <w:rPr>
          <w:noProof/>
        </w:rPr>
        <w:fldChar w:fldCharType="begin"/>
      </w:r>
      <w:r w:rsidRPr="00AE409E">
        <w:rPr>
          <w:noProof/>
        </w:rPr>
        <w:instrText xml:space="preserve"> PAGEREF _Toc142654117 \h </w:instrText>
      </w:r>
      <w:r w:rsidRPr="00AE409E">
        <w:rPr>
          <w:noProof/>
        </w:rPr>
      </w:r>
      <w:r w:rsidRPr="00AE409E">
        <w:rPr>
          <w:noProof/>
        </w:rPr>
        <w:fldChar w:fldCharType="separate"/>
      </w:r>
      <w:r w:rsidR="005B23AE" w:rsidRPr="00AE409E">
        <w:rPr>
          <w:noProof/>
        </w:rPr>
        <w:t>2</w:t>
      </w:r>
      <w:r w:rsidRPr="00AE409E">
        <w:rPr>
          <w:noProof/>
        </w:rPr>
        <w:fldChar w:fldCharType="end"/>
      </w:r>
    </w:p>
    <w:p w14:paraId="371D1C91" w14:textId="63B60B60" w:rsidR="004B434E" w:rsidRPr="00AE409E" w:rsidRDefault="004B434E">
      <w:pPr>
        <w:pStyle w:val="TOC9"/>
        <w:rPr>
          <w:rFonts w:asciiTheme="minorHAnsi" w:eastAsiaTheme="minorEastAsia" w:hAnsiTheme="minorHAnsi" w:cstheme="minorBidi"/>
          <w:i w:val="0"/>
          <w:noProof/>
          <w:kern w:val="0"/>
          <w:sz w:val="22"/>
          <w:szCs w:val="22"/>
        </w:rPr>
      </w:pPr>
      <w:r w:rsidRPr="00AE409E">
        <w:rPr>
          <w:noProof/>
        </w:rPr>
        <w:t>Health Insurance (Section 3C General Medical Services – Other Medical Practitioner) Determination 2018</w:t>
      </w:r>
      <w:r w:rsidRPr="00AE409E">
        <w:rPr>
          <w:noProof/>
        </w:rPr>
        <w:tab/>
      </w:r>
      <w:r w:rsidRPr="00AE409E">
        <w:rPr>
          <w:noProof/>
        </w:rPr>
        <w:fldChar w:fldCharType="begin"/>
      </w:r>
      <w:r w:rsidRPr="00AE409E">
        <w:rPr>
          <w:noProof/>
        </w:rPr>
        <w:instrText xml:space="preserve"> PAGEREF _Toc142654118 \h </w:instrText>
      </w:r>
      <w:r w:rsidRPr="00AE409E">
        <w:rPr>
          <w:noProof/>
        </w:rPr>
      </w:r>
      <w:r w:rsidRPr="00AE409E">
        <w:rPr>
          <w:noProof/>
        </w:rPr>
        <w:fldChar w:fldCharType="separate"/>
      </w:r>
      <w:r w:rsidR="005B23AE" w:rsidRPr="00AE409E">
        <w:rPr>
          <w:noProof/>
        </w:rPr>
        <w:t>2</w:t>
      </w:r>
      <w:r w:rsidRPr="00AE409E">
        <w:rPr>
          <w:noProof/>
        </w:rPr>
        <w:fldChar w:fldCharType="end"/>
      </w:r>
    </w:p>
    <w:p w14:paraId="34CF215B" w14:textId="72DDB3B3" w:rsidR="00B20990" w:rsidRPr="00AE409E" w:rsidRDefault="00B20990" w:rsidP="005E317F">
      <w:r w:rsidRPr="00AE409E">
        <w:rPr>
          <w:rFonts w:cs="Times New Roman"/>
          <w:sz w:val="20"/>
        </w:rPr>
        <w:fldChar w:fldCharType="end"/>
      </w:r>
    </w:p>
    <w:p w14:paraId="093F79D4" w14:textId="77777777" w:rsidR="00B20990" w:rsidRPr="00AE409E" w:rsidRDefault="00B20990" w:rsidP="00B20990"/>
    <w:p w14:paraId="63315E5B" w14:textId="77777777" w:rsidR="00B20990" w:rsidRPr="00AE409E" w:rsidRDefault="00B20990" w:rsidP="00B20990">
      <w:pPr>
        <w:sectPr w:rsidR="00B20990" w:rsidRPr="00AE409E" w:rsidSect="00C160A1">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77FDA691" w14:textId="77777777" w:rsidR="005E317F" w:rsidRPr="00AE409E" w:rsidRDefault="005E317F" w:rsidP="005E317F">
      <w:pPr>
        <w:pStyle w:val="ActHead5"/>
      </w:pPr>
      <w:bookmarkStart w:id="3" w:name="_Toc142654113"/>
      <w:proofErr w:type="gramStart"/>
      <w:r w:rsidRPr="00AE409E">
        <w:rPr>
          <w:rStyle w:val="CharSectno"/>
        </w:rPr>
        <w:lastRenderedPageBreak/>
        <w:t>1</w:t>
      </w:r>
      <w:r w:rsidRPr="00AE409E">
        <w:t xml:space="preserve">  Name</w:t>
      </w:r>
      <w:bookmarkEnd w:id="3"/>
      <w:proofErr w:type="gramEnd"/>
    </w:p>
    <w:p w14:paraId="58EBFCE3" w14:textId="52BEB82F" w:rsidR="005E317F" w:rsidRPr="00AE409E" w:rsidRDefault="005E317F" w:rsidP="005E317F">
      <w:pPr>
        <w:pStyle w:val="subsection"/>
      </w:pPr>
      <w:r w:rsidRPr="00AE409E">
        <w:tab/>
      </w:r>
      <w:r w:rsidRPr="00AE409E">
        <w:tab/>
        <w:t xml:space="preserve">This instrument is the </w:t>
      </w:r>
      <w:bookmarkStart w:id="4" w:name="BKCheck15B_3"/>
      <w:bookmarkEnd w:id="4"/>
      <w:r w:rsidR="00F81331" w:rsidRPr="00AE409E">
        <w:rPr>
          <w:i/>
        </w:rPr>
        <w:t xml:space="preserve">Health Insurance (Section 3C General Medical Services – Other Medical Practitioner) </w:t>
      </w:r>
      <w:r w:rsidR="002B2512" w:rsidRPr="00AE409E">
        <w:rPr>
          <w:i/>
        </w:rPr>
        <w:t xml:space="preserve">Amendment </w:t>
      </w:r>
      <w:r w:rsidR="00F815B4" w:rsidRPr="00AE409E">
        <w:rPr>
          <w:i/>
        </w:rPr>
        <w:t xml:space="preserve">(No. 2) </w:t>
      </w:r>
      <w:r w:rsidR="00F81331" w:rsidRPr="00AE409E">
        <w:rPr>
          <w:i/>
        </w:rPr>
        <w:t>Determination 2023</w:t>
      </w:r>
      <w:r w:rsidRPr="00AE409E">
        <w:t>.</w:t>
      </w:r>
    </w:p>
    <w:p w14:paraId="7051862D" w14:textId="77777777" w:rsidR="005E317F" w:rsidRPr="00AE409E" w:rsidRDefault="005E317F" w:rsidP="005E317F">
      <w:pPr>
        <w:pStyle w:val="ActHead5"/>
      </w:pPr>
      <w:bookmarkStart w:id="5" w:name="_Toc142654114"/>
      <w:proofErr w:type="gramStart"/>
      <w:r w:rsidRPr="00AE409E">
        <w:rPr>
          <w:rStyle w:val="CharSectno"/>
        </w:rPr>
        <w:t>2</w:t>
      </w:r>
      <w:r w:rsidRPr="00AE409E">
        <w:t xml:space="preserve">  Commencement</w:t>
      </w:r>
      <w:bookmarkEnd w:id="5"/>
      <w:proofErr w:type="gramEnd"/>
    </w:p>
    <w:p w14:paraId="029553E7" w14:textId="77777777" w:rsidR="00002BCC" w:rsidRPr="00AE409E" w:rsidRDefault="00002BCC" w:rsidP="00002BCC">
      <w:pPr>
        <w:pStyle w:val="subsection"/>
      </w:pPr>
      <w:r w:rsidRPr="00AE409E">
        <w:tab/>
        <w:t>(1)</w:t>
      </w:r>
      <w:r w:rsidRPr="00AE409E">
        <w:tab/>
        <w:t>Each provision of this instrument specified in column 1 of the table commences, or is taken to have commenced, in accordance with column 2 of the table. Any other statement in column 2 has effect according to its terms.</w:t>
      </w:r>
    </w:p>
    <w:p w14:paraId="35C07998" w14:textId="77777777" w:rsidR="00002BCC" w:rsidRPr="00AE409E" w:rsidRDefault="00002BCC" w:rsidP="00002BC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02BCC" w:rsidRPr="00AE409E" w14:paraId="53975A6D" w14:textId="77777777" w:rsidTr="00A02135">
        <w:trPr>
          <w:tblHeader/>
        </w:trPr>
        <w:tc>
          <w:tcPr>
            <w:tcW w:w="8364" w:type="dxa"/>
            <w:gridSpan w:val="3"/>
            <w:tcBorders>
              <w:top w:val="single" w:sz="12" w:space="0" w:color="auto"/>
              <w:bottom w:val="single" w:sz="6" w:space="0" w:color="auto"/>
            </w:tcBorders>
            <w:shd w:val="clear" w:color="auto" w:fill="auto"/>
            <w:hideMark/>
          </w:tcPr>
          <w:p w14:paraId="34058A4C" w14:textId="77777777" w:rsidR="00002BCC" w:rsidRPr="00AE409E" w:rsidRDefault="00002BCC" w:rsidP="00A02135">
            <w:pPr>
              <w:pStyle w:val="TableHeading"/>
            </w:pPr>
            <w:r w:rsidRPr="00AE409E">
              <w:t>Commencement information</w:t>
            </w:r>
          </w:p>
        </w:tc>
      </w:tr>
      <w:tr w:rsidR="00002BCC" w:rsidRPr="00AE409E" w14:paraId="7A1DE29A" w14:textId="77777777" w:rsidTr="00A02135">
        <w:trPr>
          <w:tblHeader/>
        </w:trPr>
        <w:tc>
          <w:tcPr>
            <w:tcW w:w="2127" w:type="dxa"/>
            <w:tcBorders>
              <w:top w:val="single" w:sz="6" w:space="0" w:color="auto"/>
              <w:bottom w:val="single" w:sz="6" w:space="0" w:color="auto"/>
            </w:tcBorders>
            <w:shd w:val="clear" w:color="auto" w:fill="auto"/>
            <w:hideMark/>
          </w:tcPr>
          <w:p w14:paraId="7074F91D" w14:textId="77777777" w:rsidR="00002BCC" w:rsidRPr="00AE409E" w:rsidRDefault="00002BCC" w:rsidP="00A02135">
            <w:pPr>
              <w:pStyle w:val="TableHeading"/>
            </w:pPr>
            <w:r w:rsidRPr="00AE409E">
              <w:t>Column 1</w:t>
            </w:r>
          </w:p>
        </w:tc>
        <w:tc>
          <w:tcPr>
            <w:tcW w:w="4394" w:type="dxa"/>
            <w:tcBorders>
              <w:top w:val="single" w:sz="6" w:space="0" w:color="auto"/>
              <w:bottom w:val="single" w:sz="6" w:space="0" w:color="auto"/>
            </w:tcBorders>
            <w:shd w:val="clear" w:color="auto" w:fill="auto"/>
            <w:hideMark/>
          </w:tcPr>
          <w:p w14:paraId="5285AE7E" w14:textId="77777777" w:rsidR="00002BCC" w:rsidRPr="00AE409E" w:rsidRDefault="00002BCC" w:rsidP="00A02135">
            <w:pPr>
              <w:pStyle w:val="TableHeading"/>
            </w:pPr>
            <w:r w:rsidRPr="00AE409E">
              <w:t>Column 2</w:t>
            </w:r>
          </w:p>
        </w:tc>
        <w:tc>
          <w:tcPr>
            <w:tcW w:w="1843" w:type="dxa"/>
            <w:tcBorders>
              <w:top w:val="single" w:sz="6" w:space="0" w:color="auto"/>
              <w:bottom w:val="single" w:sz="6" w:space="0" w:color="auto"/>
            </w:tcBorders>
            <w:shd w:val="clear" w:color="auto" w:fill="auto"/>
            <w:hideMark/>
          </w:tcPr>
          <w:p w14:paraId="6D83F369" w14:textId="77777777" w:rsidR="00002BCC" w:rsidRPr="00AE409E" w:rsidRDefault="00002BCC" w:rsidP="00A02135">
            <w:pPr>
              <w:pStyle w:val="TableHeading"/>
            </w:pPr>
            <w:r w:rsidRPr="00AE409E">
              <w:t>Column 3</w:t>
            </w:r>
          </w:p>
        </w:tc>
      </w:tr>
      <w:tr w:rsidR="00002BCC" w:rsidRPr="00AE409E" w14:paraId="7A1D3F66" w14:textId="77777777" w:rsidTr="00A02135">
        <w:trPr>
          <w:tblHeader/>
        </w:trPr>
        <w:tc>
          <w:tcPr>
            <w:tcW w:w="2127" w:type="dxa"/>
            <w:tcBorders>
              <w:top w:val="single" w:sz="6" w:space="0" w:color="auto"/>
              <w:bottom w:val="single" w:sz="12" w:space="0" w:color="auto"/>
            </w:tcBorders>
            <w:shd w:val="clear" w:color="auto" w:fill="auto"/>
            <w:hideMark/>
          </w:tcPr>
          <w:p w14:paraId="678B17AB" w14:textId="77777777" w:rsidR="00002BCC" w:rsidRPr="00AE409E" w:rsidRDefault="00002BCC" w:rsidP="00A02135">
            <w:pPr>
              <w:pStyle w:val="TableHeading"/>
            </w:pPr>
            <w:r w:rsidRPr="00AE409E">
              <w:t>Provisions</w:t>
            </w:r>
          </w:p>
        </w:tc>
        <w:tc>
          <w:tcPr>
            <w:tcW w:w="4394" w:type="dxa"/>
            <w:tcBorders>
              <w:top w:val="single" w:sz="6" w:space="0" w:color="auto"/>
              <w:bottom w:val="single" w:sz="12" w:space="0" w:color="auto"/>
            </w:tcBorders>
            <w:shd w:val="clear" w:color="auto" w:fill="auto"/>
            <w:hideMark/>
          </w:tcPr>
          <w:p w14:paraId="5E17E059" w14:textId="77777777" w:rsidR="00002BCC" w:rsidRPr="00AE409E" w:rsidRDefault="00002BCC" w:rsidP="00A02135">
            <w:pPr>
              <w:pStyle w:val="TableHeading"/>
            </w:pPr>
            <w:r w:rsidRPr="00AE409E">
              <w:t>Commencement</w:t>
            </w:r>
          </w:p>
        </w:tc>
        <w:tc>
          <w:tcPr>
            <w:tcW w:w="1843" w:type="dxa"/>
            <w:tcBorders>
              <w:top w:val="single" w:sz="6" w:space="0" w:color="auto"/>
              <w:bottom w:val="single" w:sz="12" w:space="0" w:color="auto"/>
            </w:tcBorders>
            <w:shd w:val="clear" w:color="auto" w:fill="auto"/>
            <w:hideMark/>
          </w:tcPr>
          <w:p w14:paraId="55069F61" w14:textId="77777777" w:rsidR="00002BCC" w:rsidRPr="00AE409E" w:rsidRDefault="00002BCC" w:rsidP="00A02135">
            <w:pPr>
              <w:pStyle w:val="TableHeading"/>
            </w:pPr>
            <w:r w:rsidRPr="00AE409E">
              <w:t>Date/Details</w:t>
            </w:r>
          </w:p>
        </w:tc>
      </w:tr>
      <w:tr w:rsidR="00002BCC" w:rsidRPr="00AE409E" w14:paraId="794ECBBE" w14:textId="77777777" w:rsidTr="00A02135">
        <w:tc>
          <w:tcPr>
            <w:tcW w:w="2127" w:type="dxa"/>
            <w:tcBorders>
              <w:top w:val="single" w:sz="12" w:space="0" w:color="auto"/>
              <w:bottom w:val="single" w:sz="12" w:space="0" w:color="auto"/>
            </w:tcBorders>
            <w:shd w:val="clear" w:color="auto" w:fill="auto"/>
            <w:hideMark/>
          </w:tcPr>
          <w:p w14:paraId="4F16333A" w14:textId="5CA3032B" w:rsidR="00002BCC" w:rsidRPr="00AE409E" w:rsidRDefault="00002BCC" w:rsidP="00A02135">
            <w:pPr>
              <w:pStyle w:val="Tabletext"/>
            </w:pPr>
            <w:r w:rsidRPr="00AE409E">
              <w:t xml:space="preserve">1.  </w:t>
            </w:r>
            <w:r w:rsidR="00C94428" w:rsidRPr="00AE409E">
              <w:t>The whole of this instrument</w:t>
            </w:r>
          </w:p>
        </w:tc>
        <w:tc>
          <w:tcPr>
            <w:tcW w:w="4394" w:type="dxa"/>
            <w:tcBorders>
              <w:top w:val="single" w:sz="12" w:space="0" w:color="auto"/>
              <w:bottom w:val="single" w:sz="12" w:space="0" w:color="auto"/>
            </w:tcBorders>
            <w:shd w:val="clear" w:color="auto" w:fill="auto"/>
            <w:hideMark/>
          </w:tcPr>
          <w:p w14:paraId="21B805A0" w14:textId="295A1CC1" w:rsidR="00002BCC" w:rsidRPr="00AE409E" w:rsidRDefault="00674407" w:rsidP="00A02135">
            <w:pPr>
              <w:pStyle w:val="Tabletext"/>
              <w:rPr>
                <w:i/>
              </w:rPr>
            </w:pPr>
            <w:r w:rsidRPr="00AE409E">
              <w:t xml:space="preserve">Immediately after the commencement of </w:t>
            </w:r>
            <w:r w:rsidR="00963416" w:rsidRPr="00AE409E">
              <w:t>Schedule</w:t>
            </w:r>
            <w:r w:rsidR="00107519" w:rsidRPr="00AE409E">
              <w:t xml:space="preserve"> 5</w:t>
            </w:r>
            <w:r w:rsidR="00963416" w:rsidRPr="00AE409E">
              <w:t xml:space="preserve"> of </w:t>
            </w:r>
            <w:r w:rsidRPr="00AE409E">
              <w:t xml:space="preserve">the </w:t>
            </w:r>
            <w:r w:rsidRPr="00AE409E">
              <w:rPr>
                <w:i/>
                <w:iCs/>
              </w:rPr>
              <w:t>Health Insurance Legislation Amendment (2023 Measures No. 3) Regulations 2023</w:t>
            </w:r>
            <w:r w:rsidR="001D4E65" w:rsidRPr="00AE409E">
              <w:rPr>
                <w:i/>
              </w:rPr>
              <w:t>.</w:t>
            </w:r>
          </w:p>
        </w:tc>
        <w:tc>
          <w:tcPr>
            <w:tcW w:w="1843" w:type="dxa"/>
            <w:tcBorders>
              <w:top w:val="single" w:sz="12" w:space="0" w:color="auto"/>
              <w:bottom w:val="single" w:sz="12" w:space="0" w:color="auto"/>
            </w:tcBorders>
            <w:shd w:val="clear" w:color="auto" w:fill="auto"/>
          </w:tcPr>
          <w:p w14:paraId="2BBC7E87" w14:textId="3633F5B3" w:rsidR="00002BCC" w:rsidRPr="00AE409E" w:rsidRDefault="00002BCC" w:rsidP="00A02135">
            <w:pPr>
              <w:pStyle w:val="Tabletext"/>
              <w:rPr>
                <w:i/>
              </w:rPr>
            </w:pPr>
          </w:p>
        </w:tc>
      </w:tr>
    </w:tbl>
    <w:p w14:paraId="5EEB3BE5" w14:textId="77777777" w:rsidR="00002BCC" w:rsidRPr="00AE409E" w:rsidRDefault="00002BCC" w:rsidP="00002BCC">
      <w:pPr>
        <w:pStyle w:val="notetext"/>
      </w:pPr>
      <w:r w:rsidRPr="00AE409E">
        <w:rPr>
          <w:snapToGrid w:val="0"/>
          <w:lang w:eastAsia="en-US"/>
        </w:rPr>
        <w:t>Note:</w:t>
      </w:r>
      <w:r w:rsidRPr="00AE409E">
        <w:rPr>
          <w:snapToGrid w:val="0"/>
          <w:lang w:eastAsia="en-US"/>
        </w:rPr>
        <w:tab/>
        <w:t>This table relates only to the provisions of this instrument</w:t>
      </w:r>
      <w:r w:rsidRPr="00AE409E">
        <w:t xml:space="preserve"> </w:t>
      </w:r>
      <w:r w:rsidRPr="00AE409E">
        <w:rPr>
          <w:snapToGrid w:val="0"/>
          <w:lang w:eastAsia="en-US"/>
        </w:rPr>
        <w:t>as originally made. It will not be amended to deal with any later amendments of this instrument.</w:t>
      </w:r>
    </w:p>
    <w:p w14:paraId="0165B469" w14:textId="77777777" w:rsidR="00002BCC" w:rsidRPr="00AE409E" w:rsidRDefault="00002BCC" w:rsidP="00002BCC">
      <w:pPr>
        <w:pStyle w:val="subsection"/>
      </w:pPr>
      <w:r w:rsidRPr="00AE409E">
        <w:tab/>
        <w:t>(2)</w:t>
      </w:r>
      <w:r w:rsidRPr="00AE409E">
        <w:tab/>
        <w:t>Any information in column 3 of the table is not part of this instrument. Information may be inserted in this column, or information in it may be edited, in any published version of this instrument.</w:t>
      </w:r>
    </w:p>
    <w:p w14:paraId="35C6C90E" w14:textId="77777777" w:rsidR="005E317F" w:rsidRPr="00AE409E" w:rsidRDefault="005E317F" w:rsidP="005E317F">
      <w:pPr>
        <w:pStyle w:val="ActHead5"/>
      </w:pPr>
      <w:bookmarkStart w:id="6" w:name="_Toc142654115"/>
      <w:proofErr w:type="gramStart"/>
      <w:r w:rsidRPr="00AE409E">
        <w:rPr>
          <w:rStyle w:val="CharSectno"/>
        </w:rPr>
        <w:t>3</w:t>
      </w:r>
      <w:r w:rsidRPr="00AE409E">
        <w:t xml:space="preserve">  Authority</w:t>
      </w:r>
      <w:bookmarkEnd w:id="6"/>
      <w:proofErr w:type="gramEnd"/>
    </w:p>
    <w:p w14:paraId="261BFEAC" w14:textId="76B66971" w:rsidR="005E317F" w:rsidRPr="00AE409E" w:rsidRDefault="005E317F" w:rsidP="005E317F">
      <w:pPr>
        <w:pStyle w:val="subsection"/>
      </w:pPr>
      <w:r w:rsidRPr="00AE409E">
        <w:tab/>
      </w:r>
      <w:r w:rsidRPr="00AE409E">
        <w:tab/>
        <w:t xml:space="preserve">This instrument is made under </w:t>
      </w:r>
      <w:r w:rsidR="0060042C" w:rsidRPr="00AE409E">
        <w:t>subsection 3</w:t>
      </w:r>
      <w:proofErr w:type="gramStart"/>
      <w:r w:rsidR="0060042C" w:rsidRPr="00AE409E">
        <w:t>C(</w:t>
      </w:r>
      <w:proofErr w:type="gramEnd"/>
      <w:r w:rsidR="0060042C" w:rsidRPr="00AE409E">
        <w:t xml:space="preserve">1) of the </w:t>
      </w:r>
      <w:r w:rsidR="0060042C" w:rsidRPr="00AE409E">
        <w:rPr>
          <w:i/>
          <w:iCs/>
        </w:rPr>
        <w:t>Health Insurance Act 1973</w:t>
      </w:r>
      <w:r w:rsidRPr="00AE409E">
        <w:t>.</w:t>
      </w:r>
    </w:p>
    <w:p w14:paraId="1B05D099" w14:textId="77777777" w:rsidR="005E317F" w:rsidRPr="00AE409E" w:rsidRDefault="005E317F" w:rsidP="005E317F">
      <w:pPr>
        <w:pStyle w:val="ActHead5"/>
      </w:pPr>
      <w:bookmarkStart w:id="7" w:name="_Toc142654116"/>
      <w:proofErr w:type="gramStart"/>
      <w:r w:rsidRPr="00AE409E">
        <w:t>4  Schedules</w:t>
      </w:r>
      <w:bookmarkEnd w:id="7"/>
      <w:proofErr w:type="gramEnd"/>
    </w:p>
    <w:p w14:paraId="49203554" w14:textId="77777777" w:rsidR="005E317F" w:rsidRPr="00AE409E" w:rsidRDefault="005E317F" w:rsidP="005E317F">
      <w:pPr>
        <w:pStyle w:val="subsection"/>
      </w:pPr>
      <w:r w:rsidRPr="00AE409E">
        <w:tab/>
      </w:r>
      <w:r w:rsidRPr="00AE409E">
        <w:tab/>
        <w:t>Each instrument that is specified in a Schedule to this instrument is amended or repealed as set out in the applicable items in the Schedule concerned, and any other item in a Schedule to this instrument has effect according to its terms.</w:t>
      </w:r>
    </w:p>
    <w:p w14:paraId="73AAB6BF" w14:textId="77777777" w:rsidR="005E317F" w:rsidRPr="00AE409E" w:rsidRDefault="005E317F" w:rsidP="005E317F">
      <w:pPr>
        <w:pStyle w:val="ActHead6"/>
        <w:pageBreakBefore/>
      </w:pPr>
      <w:bookmarkStart w:id="8" w:name="_Toc142654117"/>
      <w:r w:rsidRPr="00AE409E">
        <w:rPr>
          <w:rStyle w:val="CharAmSchNo"/>
        </w:rPr>
        <w:lastRenderedPageBreak/>
        <w:t>Schedule 1</w:t>
      </w:r>
      <w:r w:rsidRPr="00AE409E">
        <w:t>—</w:t>
      </w:r>
      <w:r w:rsidRPr="00AE409E">
        <w:rPr>
          <w:rStyle w:val="CharAmSchText"/>
        </w:rPr>
        <w:t>Amendments</w:t>
      </w:r>
      <w:bookmarkEnd w:id="8"/>
    </w:p>
    <w:p w14:paraId="7731B86A" w14:textId="4B4AFC34" w:rsidR="005E317F" w:rsidRPr="00AE409E" w:rsidRDefault="00D452A3" w:rsidP="005E317F">
      <w:pPr>
        <w:pStyle w:val="ActHead9"/>
      </w:pPr>
      <w:bookmarkStart w:id="9" w:name="_Toc142654118"/>
      <w:r w:rsidRPr="00AE409E">
        <w:t>Health Insurance (Section 3C General Medical Services – Other Medical Practitioner) Determination 2018</w:t>
      </w:r>
      <w:bookmarkEnd w:id="9"/>
    </w:p>
    <w:p w14:paraId="497CC49A" w14:textId="738A8A1D" w:rsidR="005E317F" w:rsidRPr="00AE409E" w:rsidRDefault="005E317F" w:rsidP="005E317F">
      <w:pPr>
        <w:pStyle w:val="ItemHead"/>
      </w:pPr>
      <w:bookmarkStart w:id="10" w:name="_Hlk143863895"/>
      <w:proofErr w:type="gramStart"/>
      <w:r w:rsidRPr="00AE409E">
        <w:t xml:space="preserve">1  </w:t>
      </w:r>
      <w:r w:rsidR="00F8076E" w:rsidRPr="00AE409E">
        <w:t>S</w:t>
      </w:r>
      <w:r w:rsidR="00573AA1" w:rsidRPr="00AE409E">
        <w:t>ubs</w:t>
      </w:r>
      <w:r w:rsidR="00F8076E" w:rsidRPr="00AE409E">
        <w:t>ection</w:t>
      </w:r>
      <w:proofErr w:type="gramEnd"/>
      <w:r w:rsidR="00F8076E" w:rsidRPr="00AE409E">
        <w:t xml:space="preserve"> 4</w:t>
      </w:r>
      <w:r w:rsidR="00573AA1" w:rsidRPr="00AE409E">
        <w:t>(1)</w:t>
      </w:r>
    </w:p>
    <w:bookmarkEnd w:id="10"/>
    <w:p w14:paraId="528F18CB" w14:textId="3B35ABBD" w:rsidR="005E317F" w:rsidRPr="00AE409E" w:rsidRDefault="00F8076E" w:rsidP="005E317F">
      <w:pPr>
        <w:pStyle w:val="Item"/>
      </w:pPr>
      <w:r w:rsidRPr="00AE409E">
        <w:t>Repeal the following definitions:</w:t>
      </w:r>
    </w:p>
    <w:p w14:paraId="150A4CA0" w14:textId="71F58E7C" w:rsidR="00F8076E" w:rsidRPr="00AE409E" w:rsidRDefault="00F8076E" w:rsidP="00081E52">
      <w:pPr>
        <w:pStyle w:val="subsection"/>
        <w:numPr>
          <w:ilvl w:val="0"/>
          <w:numId w:val="14"/>
        </w:numPr>
        <w:spacing w:before="120" w:after="120" w:line="260" w:lineRule="atLeast"/>
        <w:ind w:left="851" w:hanging="573"/>
        <w:rPr>
          <w:color w:val="000000"/>
          <w:szCs w:val="22"/>
        </w:rPr>
      </w:pPr>
      <w:r w:rsidRPr="00AE409E">
        <w:rPr>
          <w:color w:val="000000"/>
          <w:szCs w:val="22"/>
        </w:rPr>
        <w:t xml:space="preserve">definition of </w:t>
      </w:r>
      <w:r w:rsidRPr="00AE409E">
        <w:rPr>
          <w:b/>
          <w:bCs/>
          <w:i/>
          <w:iCs/>
          <w:color w:val="000000"/>
          <w:szCs w:val="22"/>
        </w:rPr>
        <w:t xml:space="preserve">2016 estimated resident </w:t>
      </w:r>
      <w:proofErr w:type="gramStart"/>
      <w:r w:rsidRPr="00AE409E">
        <w:rPr>
          <w:b/>
          <w:bCs/>
          <w:i/>
          <w:iCs/>
          <w:color w:val="000000"/>
          <w:szCs w:val="22"/>
        </w:rPr>
        <w:t>population;</w:t>
      </w:r>
      <w:proofErr w:type="gramEnd"/>
    </w:p>
    <w:p w14:paraId="746810A6" w14:textId="2B9B797D" w:rsidR="00F8076E" w:rsidRPr="00AE409E" w:rsidRDefault="00081E52" w:rsidP="00081E52">
      <w:pPr>
        <w:pStyle w:val="subsection"/>
        <w:numPr>
          <w:ilvl w:val="0"/>
          <w:numId w:val="14"/>
        </w:numPr>
        <w:spacing w:before="120" w:after="120" w:line="260" w:lineRule="atLeast"/>
        <w:ind w:left="851" w:hanging="573"/>
        <w:rPr>
          <w:i/>
          <w:iCs/>
          <w:color w:val="000000"/>
          <w:szCs w:val="22"/>
        </w:rPr>
      </w:pPr>
      <w:r w:rsidRPr="00AE409E">
        <w:rPr>
          <w:color w:val="000000"/>
          <w:szCs w:val="22"/>
        </w:rPr>
        <w:t xml:space="preserve">definition of </w:t>
      </w:r>
      <w:r w:rsidRPr="00AE409E">
        <w:rPr>
          <w:b/>
          <w:bCs/>
          <w:i/>
          <w:iCs/>
          <w:color w:val="000000"/>
          <w:szCs w:val="22"/>
        </w:rPr>
        <w:t xml:space="preserve">affected by </w:t>
      </w:r>
      <w:proofErr w:type="gramStart"/>
      <w:r w:rsidRPr="00AE409E">
        <w:rPr>
          <w:b/>
          <w:bCs/>
          <w:i/>
          <w:iCs/>
          <w:color w:val="000000"/>
          <w:szCs w:val="22"/>
        </w:rPr>
        <w:t>bushfire;</w:t>
      </w:r>
      <w:proofErr w:type="gramEnd"/>
    </w:p>
    <w:p w14:paraId="06908648" w14:textId="1EE3AF0B" w:rsidR="00081E52" w:rsidRPr="00AE409E" w:rsidRDefault="00081E52" w:rsidP="00081E52">
      <w:pPr>
        <w:pStyle w:val="subsection"/>
        <w:numPr>
          <w:ilvl w:val="0"/>
          <w:numId w:val="14"/>
        </w:numPr>
        <w:spacing w:before="120" w:after="120" w:line="260" w:lineRule="atLeast"/>
        <w:ind w:left="851" w:hanging="573"/>
        <w:rPr>
          <w:color w:val="000000"/>
          <w:szCs w:val="22"/>
        </w:rPr>
      </w:pPr>
      <w:r w:rsidRPr="00AE409E">
        <w:rPr>
          <w:color w:val="000000"/>
          <w:szCs w:val="22"/>
        </w:rPr>
        <w:t xml:space="preserve">definition of </w:t>
      </w:r>
      <w:proofErr w:type="gramStart"/>
      <w:r w:rsidRPr="00AE409E">
        <w:rPr>
          <w:b/>
          <w:bCs/>
          <w:i/>
          <w:iCs/>
          <w:color w:val="000000"/>
          <w:szCs w:val="22"/>
        </w:rPr>
        <w:t>ASGS;</w:t>
      </w:r>
      <w:proofErr w:type="gramEnd"/>
    </w:p>
    <w:p w14:paraId="1FBEFC36" w14:textId="334CDC51" w:rsidR="00081E52" w:rsidRPr="00AE409E" w:rsidRDefault="00081E52" w:rsidP="00081E52">
      <w:pPr>
        <w:pStyle w:val="subsection"/>
        <w:numPr>
          <w:ilvl w:val="0"/>
          <w:numId w:val="14"/>
        </w:numPr>
        <w:spacing w:before="120" w:after="120" w:line="260" w:lineRule="atLeast"/>
        <w:ind w:left="851" w:hanging="573"/>
        <w:rPr>
          <w:color w:val="000000"/>
          <w:szCs w:val="22"/>
        </w:rPr>
      </w:pPr>
      <w:r w:rsidRPr="00AE409E">
        <w:rPr>
          <w:color w:val="000000"/>
          <w:szCs w:val="22"/>
        </w:rPr>
        <w:t xml:space="preserve">definition of </w:t>
      </w:r>
      <w:r w:rsidRPr="00AE409E">
        <w:rPr>
          <w:b/>
          <w:bCs/>
          <w:i/>
          <w:iCs/>
          <w:color w:val="000000"/>
          <w:szCs w:val="22"/>
        </w:rPr>
        <w:t xml:space="preserve">COVID-19 </w:t>
      </w:r>
      <w:proofErr w:type="gramStart"/>
      <w:r w:rsidRPr="00AE409E">
        <w:rPr>
          <w:b/>
          <w:bCs/>
          <w:i/>
          <w:iCs/>
          <w:color w:val="000000"/>
          <w:szCs w:val="22"/>
        </w:rPr>
        <w:t>Determination;</w:t>
      </w:r>
      <w:proofErr w:type="gramEnd"/>
    </w:p>
    <w:p w14:paraId="26ACCB5F" w14:textId="18829CFE" w:rsidR="00081E52" w:rsidRPr="00AE409E" w:rsidRDefault="00081E52" w:rsidP="00081E52">
      <w:pPr>
        <w:pStyle w:val="subsection"/>
        <w:numPr>
          <w:ilvl w:val="0"/>
          <w:numId w:val="14"/>
        </w:numPr>
        <w:spacing w:before="120" w:after="120" w:line="260" w:lineRule="atLeast"/>
        <w:ind w:left="851" w:hanging="573"/>
        <w:rPr>
          <w:color w:val="000000"/>
          <w:szCs w:val="22"/>
        </w:rPr>
      </w:pPr>
      <w:r w:rsidRPr="00AE409E">
        <w:rPr>
          <w:color w:val="000000"/>
          <w:szCs w:val="22"/>
        </w:rPr>
        <w:t xml:space="preserve">definition of </w:t>
      </w:r>
      <w:r w:rsidRPr="00AE409E">
        <w:rPr>
          <w:b/>
          <w:bCs/>
          <w:i/>
          <w:iCs/>
          <w:color w:val="000000"/>
          <w:szCs w:val="22"/>
        </w:rPr>
        <w:t xml:space="preserve">eating disorder treatment and management </w:t>
      </w:r>
      <w:proofErr w:type="gramStart"/>
      <w:r w:rsidRPr="00AE409E">
        <w:rPr>
          <w:b/>
          <w:bCs/>
          <w:i/>
          <w:iCs/>
          <w:color w:val="000000"/>
          <w:szCs w:val="22"/>
        </w:rPr>
        <w:t>plan;</w:t>
      </w:r>
      <w:proofErr w:type="gramEnd"/>
    </w:p>
    <w:p w14:paraId="65CD8327" w14:textId="216EAE6F" w:rsidR="00081E52" w:rsidRPr="00AE409E" w:rsidRDefault="00081E52" w:rsidP="00081E52">
      <w:pPr>
        <w:pStyle w:val="subsection"/>
        <w:numPr>
          <w:ilvl w:val="0"/>
          <w:numId w:val="14"/>
        </w:numPr>
        <w:spacing w:before="120" w:after="120" w:line="260" w:lineRule="atLeast"/>
        <w:ind w:left="851" w:hanging="573"/>
        <w:rPr>
          <w:color w:val="000000"/>
          <w:szCs w:val="22"/>
        </w:rPr>
      </w:pPr>
      <w:r w:rsidRPr="00AE409E">
        <w:rPr>
          <w:color w:val="000000"/>
          <w:szCs w:val="22"/>
        </w:rPr>
        <w:t xml:space="preserve">definition of </w:t>
      </w:r>
      <w:r w:rsidRPr="00AE409E">
        <w:rPr>
          <w:b/>
          <w:bCs/>
          <w:i/>
          <w:iCs/>
          <w:color w:val="000000"/>
          <w:szCs w:val="22"/>
        </w:rPr>
        <w:t xml:space="preserve">eligible </w:t>
      </w:r>
      <w:proofErr w:type="gramStart"/>
      <w:r w:rsidRPr="00AE409E">
        <w:rPr>
          <w:b/>
          <w:bCs/>
          <w:i/>
          <w:iCs/>
          <w:color w:val="000000"/>
          <w:szCs w:val="22"/>
        </w:rPr>
        <w:t>area;</w:t>
      </w:r>
      <w:proofErr w:type="gramEnd"/>
    </w:p>
    <w:p w14:paraId="2CC9712A" w14:textId="77777777" w:rsidR="00197286" w:rsidRPr="00AE409E" w:rsidRDefault="00197286" w:rsidP="00197286">
      <w:pPr>
        <w:pStyle w:val="ItemHead"/>
        <w:rPr>
          <w:i/>
          <w:iCs/>
        </w:rPr>
      </w:pPr>
      <w:proofErr w:type="gramStart"/>
      <w:r w:rsidRPr="00AE409E">
        <w:t>2  Subsection</w:t>
      </w:r>
      <w:proofErr w:type="gramEnd"/>
      <w:r w:rsidRPr="00AE409E">
        <w:t xml:space="preserve"> 4(1) (definition of </w:t>
      </w:r>
      <w:r w:rsidRPr="00AE409E">
        <w:rPr>
          <w:i/>
          <w:iCs/>
        </w:rPr>
        <w:t>medical practitioner)</w:t>
      </w:r>
    </w:p>
    <w:p w14:paraId="2E26982A" w14:textId="1B63DCD3" w:rsidR="007679C3" w:rsidRPr="00AE409E" w:rsidRDefault="00197286" w:rsidP="00197286">
      <w:pPr>
        <w:pStyle w:val="Item"/>
      </w:pPr>
      <w:r w:rsidRPr="00AE409E">
        <w:t>Repeal the definition, substitute:</w:t>
      </w:r>
    </w:p>
    <w:p w14:paraId="767169F9" w14:textId="77777777" w:rsidR="00197286" w:rsidRPr="00AE409E" w:rsidRDefault="00197286" w:rsidP="00197286">
      <w:pPr>
        <w:pStyle w:val="subsection"/>
        <w:tabs>
          <w:tab w:val="clear" w:pos="1021"/>
          <w:tab w:val="right" w:pos="0"/>
        </w:tabs>
        <w:spacing w:before="120" w:after="120" w:line="260" w:lineRule="atLeast"/>
        <w:ind w:left="0" w:firstLine="0"/>
        <w:rPr>
          <w:color w:val="000000"/>
          <w:szCs w:val="22"/>
        </w:rPr>
      </w:pPr>
      <w:r w:rsidRPr="00AE409E">
        <w:rPr>
          <w:b/>
          <w:bCs/>
          <w:i/>
          <w:iCs/>
          <w:color w:val="000000"/>
          <w:szCs w:val="22"/>
        </w:rPr>
        <w:t>prescribed medical practitioner</w:t>
      </w:r>
      <w:r w:rsidRPr="00AE409E">
        <w:rPr>
          <w:color w:val="000000"/>
          <w:szCs w:val="22"/>
        </w:rPr>
        <w:t xml:space="preserve"> means a medical practitioner who is not a general practitioner, </w:t>
      </w:r>
      <w:proofErr w:type="gramStart"/>
      <w:r w:rsidRPr="00AE409E">
        <w:rPr>
          <w:color w:val="000000"/>
          <w:szCs w:val="22"/>
        </w:rPr>
        <w:t>specialist</w:t>
      </w:r>
      <w:proofErr w:type="gramEnd"/>
      <w:r w:rsidRPr="00AE409E">
        <w:rPr>
          <w:color w:val="000000"/>
          <w:szCs w:val="22"/>
        </w:rPr>
        <w:t xml:space="preserve"> or consultant physician, and who:</w:t>
      </w:r>
    </w:p>
    <w:p w14:paraId="31DF0A42" w14:textId="78CDD22C" w:rsidR="00197286" w:rsidRPr="00AE409E" w:rsidRDefault="00197286" w:rsidP="00197286">
      <w:pPr>
        <w:pStyle w:val="subsection"/>
        <w:numPr>
          <w:ilvl w:val="0"/>
          <w:numId w:val="17"/>
        </w:numPr>
        <w:tabs>
          <w:tab w:val="clear" w:pos="1021"/>
          <w:tab w:val="right" w:pos="0"/>
        </w:tabs>
        <w:spacing w:before="120" w:after="120" w:line="260" w:lineRule="atLeast"/>
        <w:rPr>
          <w:color w:val="000000"/>
          <w:szCs w:val="22"/>
        </w:rPr>
      </w:pPr>
      <w:r w:rsidRPr="00AE409E">
        <w:rPr>
          <w:color w:val="000000"/>
          <w:szCs w:val="22"/>
        </w:rPr>
        <w:t>is registered under section 3GA of the Act, to the extent that the person is practicing during the period in respect of which, and in the location in respect of which, he or she is registered, and insofar as the circumstances specified for paragraph 19AA(3)(b) of the Act apply; or</w:t>
      </w:r>
    </w:p>
    <w:p w14:paraId="273CE0B3" w14:textId="6CB1EBE7" w:rsidR="00197286" w:rsidRPr="00AE409E" w:rsidRDefault="00197286" w:rsidP="00197286">
      <w:pPr>
        <w:pStyle w:val="subsection"/>
        <w:numPr>
          <w:ilvl w:val="0"/>
          <w:numId w:val="17"/>
        </w:numPr>
        <w:tabs>
          <w:tab w:val="clear" w:pos="1021"/>
          <w:tab w:val="right" w:pos="0"/>
        </w:tabs>
        <w:spacing w:before="120" w:after="120" w:line="260" w:lineRule="atLeast"/>
        <w:rPr>
          <w:color w:val="000000"/>
          <w:szCs w:val="22"/>
        </w:rPr>
      </w:pPr>
      <w:r w:rsidRPr="00AE409E">
        <w:rPr>
          <w:color w:val="000000"/>
          <w:szCs w:val="22"/>
        </w:rPr>
        <w:t>is covered by an exemption under subsection 19</w:t>
      </w:r>
      <w:proofErr w:type="gramStart"/>
      <w:r w:rsidRPr="00AE409E">
        <w:rPr>
          <w:color w:val="000000"/>
          <w:szCs w:val="22"/>
        </w:rPr>
        <w:t>AB(</w:t>
      </w:r>
      <w:proofErr w:type="gramEnd"/>
      <w:r w:rsidRPr="00AE409E">
        <w:rPr>
          <w:color w:val="000000"/>
          <w:szCs w:val="22"/>
        </w:rPr>
        <w:t>3) of the Act; or</w:t>
      </w:r>
    </w:p>
    <w:p w14:paraId="611B5A26" w14:textId="1FFF600C" w:rsidR="00197286" w:rsidRPr="00AE409E" w:rsidRDefault="00197286" w:rsidP="00197286">
      <w:pPr>
        <w:pStyle w:val="subsection"/>
        <w:numPr>
          <w:ilvl w:val="0"/>
          <w:numId w:val="17"/>
        </w:numPr>
        <w:tabs>
          <w:tab w:val="clear" w:pos="1021"/>
          <w:tab w:val="right" w:pos="0"/>
        </w:tabs>
        <w:spacing w:before="120" w:after="120" w:line="260" w:lineRule="atLeast"/>
        <w:rPr>
          <w:color w:val="000000"/>
          <w:szCs w:val="22"/>
        </w:rPr>
      </w:pPr>
      <w:r w:rsidRPr="00AE409E">
        <w:rPr>
          <w:color w:val="000000"/>
          <w:szCs w:val="22"/>
        </w:rPr>
        <w:t>first became a medical practitioner before 1 November 1996.</w:t>
      </w:r>
    </w:p>
    <w:p w14:paraId="6CED271E" w14:textId="47EABC4A" w:rsidR="00197286" w:rsidRPr="00AE409E" w:rsidRDefault="00197286" w:rsidP="007679C3">
      <w:pPr>
        <w:pStyle w:val="subsection"/>
        <w:spacing w:before="120" w:after="120" w:line="260" w:lineRule="atLeast"/>
        <w:rPr>
          <w:rFonts w:ascii="Arial" w:hAnsi="Arial"/>
          <w:b/>
          <w:kern w:val="28"/>
          <w:sz w:val="24"/>
        </w:rPr>
      </w:pPr>
      <w:r w:rsidRPr="00AE409E">
        <w:rPr>
          <w:rFonts w:ascii="Arial" w:hAnsi="Arial"/>
          <w:b/>
          <w:kern w:val="28"/>
          <w:sz w:val="24"/>
        </w:rPr>
        <w:t>3. Subsection 4(1)</w:t>
      </w:r>
    </w:p>
    <w:p w14:paraId="13464557" w14:textId="3E9F52CC" w:rsidR="00197286" w:rsidRPr="00AE409E" w:rsidRDefault="00197286" w:rsidP="00197286">
      <w:pPr>
        <w:pStyle w:val="Item"/>
      </w:pPr>
      <w:r w:rsidRPr="00AE409E">
        <w:t>Repeal the following definitions:</w:t>
      </w:r>
    </w:p>
    <w:p w14:paraId="7F82BDB7" w14:textId="2B61465C" w:rsidR="00081E52" w:rsidRPr="00AE409E" w:rsidRDefault="00081E52" w:rsidP="007679C3">
      <w:pPr>
        <w:pStyle w:val="subsection"/>
        <w:numPr>
          <w:ilvl w:val="0"/>
          <w:numId w:val="16"/>
        </w:numPr>
        <w:spacing w:before="120" w:after="120" w:line="260" w:lineRule="atLeast"/>
        <w:ind w:left="851" w:hanging="573"/>
        <w:rPr>
          <w:color w:val="000000"/>
          <w:szCs w:val="22"/>
        </w:rPr>
      </w:pPr>
      <w:r w:rsidRPr="00AE409E">
        <w:rPr>
          <w:color w:val="000000"/>
          <w:szCs w:val="22"/>
        </w:rPr>
        <w:t xml:space="preserve">definition of </w:t>
      </w:r>
      <w:r w:rsidRPr="00AE409E">
        <w:rPr>
          <w:b/>
          <w:bCs/>
          <w:i/>
          <w:iCs/>
          <w:color w:val="000000"/>
          <w:szCs w:val="22"/>
        </w:rPr>
        <w:t>Modified Monash 1</w:t>
      </w:r>
      <w:r w:rsidRPr="00AE409E">
        <w:rPr>
          <w:color w:val="000000"/>
          <w:szCs w:val="22"/>
        </w:rPr>
        <w:t xml:space="preserve"> </w:t>
      </w:r>
      <w:proofErr w:type="gramStart"/>
      <w:r w:rsidRPr="00AE409E">
        <w:rPr>
          <w:color w:val="000000"/>
          <w:szCs w:val="22"/>
        </w:rPr>
        <w:t>area;</w:t>
      </w:r>
      <w:proofErr w:type="gramEnd"/>
    </w:p>
    <w:p w14:paraId="360FC593" w14:textId="2B22A1CF" w:rsidR="00081E52" w:rsidRPr="00AE409E" w:rsidRDefault="00081E52" w:rsidP="007679C3">
      <w:pPr>
        <w:pStyle w:val="subsection"/>
        <w:numPr>
          <w:ilvl w:val="0"/>
          <w:numId w:val="16"/>
        </w:numPr>
        <w:spacing w:before="120" w:after="120" w:line="260" w:lineRule="atLeast"/>
        <w:ind w:left="851" w:hanging="573"/>
        <w:rPr>
          <w:color w:val="000000"/>
          <w:szCs w:val="22"/>
        </w:rPr>
      </w:pPr>
      <w:r w:rsidRPr="00AE409E">
        <w:rPr>
          <w:color w:val="000000"/>
          <w:szCs w:val="22"/>
        </w:rPr>
        <w:t xml:space="preserve">definition of </w:t>
      </w:r>
      <w:r w:rsidRPr="00AE409E">
        <w:rPr>
          <w:b/>
          <w:bCs/>
          <w:i/>
          <w:iCs/>
          <w:color w:val="000000"/>
          <w:szCs w:val="22"/>
        </w:rPr>
        <w:t xml:space="preserve">Modified Monash 2 </w:t>
      </w:r>
      <w:proofErr w:type="gramStart"/>
      <w:r w:rsidRPr="00AE409E">
        <w:rPr>
          <w:b/>
          <w:bCs/>
          <w:i/>
          <w:iCs/>
          <w:color w:val="000000"/>
          <w:szCs w:val="22"/>
        </w:rPr>
        <w:t>area;</w:t>
      </w:r>
      <w:proofErr w:type="gramEnd"/>
    </w:p>
    <w:p w14:paraId="7B5EBF62" w14:textId="3DF0AD6A" w:rsidR="00081E52" w:rsidRPr="00AE409E" w:rsidRDefault="00081E52" w:rsidP="007679C3">
      <w:pPr>
        <w:pStyle w:val="subsection"/>
        <w:numPr>
          <w:ilvl w:val="0"/>
          <w:numId w:val="16"/>
        </w:numPr>
        <w:spacing w:before="120" w:after="120" w:line="260" w:lineRule="atLeast"/>
        <w:ind w:left="851" w:hanging="573"/>
        <w:rPr>
          <w:color w:val="000000"/>
          <w:szCs w:val="22"/>
        </w:rPr>
      </w:pPr>
      <w:r w:rsidRPr="00AE409E">
        <w:rPr>
          <w:color w:val="000000"/>
          <w:szCs w:val="22"/>
        </w:rPr>
        <w:t xml:space="preserve">definition of </w:t>
      </w:r>
      <w:r w:rsidRPr="00AE409E">
        <w:rPr>
          <w:b/>
          <w:bCs/>
          <w:i/>
          <w:iCs/>
          <w:color w:val="000000"/>
          <w:szCs w:val="22"/>
        </w:rPr>
        <w:t xml:space="preserve">Modified Monash 3 </w:t>
      </w:r>
      <w:proofErr w:type="gramStart"/>
      <w:r w:rsidRPr="00AE409E">
        <w:rPr>
          <w:b/>
          <w:bCs/>
          <w:i/>
          <w:iCs/>
          <w:color w:val="000000"/>
          <w:szCs w:val="22"/>
        </w:rPr>
        <w:t>area;</w:t>
      </w:r>
      <w:proofErr w:type="gramEnd"/>
    </w:p>
    <w:p w14:paraId="480C7119" w14:textId="281106EF" w:rsidR="00081E52" w:rsidRPr="00AE409E" w:rsidRDefault="00081E52" w:rsidP="007679C3">
      <w:pPr>
        <w:pStyle w:val="subsection"/>
        <w:numPr>
          <w:ilvl w:val="0"/>
          <w:numId w:val="16"/>
        </w:numPr>
        <w:spacing w:before="120" w:after="120" w:line="260" w:lineRule="atLeast"/>
        <w:ind w:left="851" w:hanging="573"/>
        <w:rPr>
          <w:color w:val="000000"/>
          <w:szCs w:val="22"/>
        </w:rPr>
      </w:pPr>
      <w:r w:rsidRPr="00AE409E">
        <w:rPr>
          <w:color w:val="000000"/>
          <w:szCs w:val="22"/>
        </w:rPr>
        <w:t xml:space="preserve">definition of </w:t>
      </w:r>
      <w:r w:rsidRPr="00AE409E">
        <w:rPr>
          <w:b/>
          <w:bCs/>
          <w:i/>
          <w:iCs/>
          <w:color w:val="000000"/>
          <w:szCs w:val="22"/>
        </w:rPr>
        <w:t xml:space="preserve">Modified Monash 4 </w:t>
      </w:r>
      <w:proofErr w:type="gramStart"/>
      <w:r w:rsidRPr="00AE409E">
        <w:rPr>
          <w:b/>
          <w:bCs/>
          <w:i/>
          <w:iCs/>
          <w:color w:val="000000"/>
          <w:szCs w:val="22"/>
        </w:rPr>
        <w:t>area;</w:t>
      </w:r>
      <w:proofErr w:type="gramEnd"/>
    </w:p>
    <w:p w14:paraId="3D29120F" w14:textId="7A250BD4" w:rsidR="00081E52" w:rsidRPr="00AE409E" w:rsidRDefault="00081E52" w:rsidP="007679C3">
      <w:pPr>
        <w:pStyle w:val="subsection"/>
        <w:numPr>
          <w:ilvl w:val="0"/>
          <w:numId w:val="16"/>
        </w:numPr>
        <w:spacing w:before="120" w:after="120" w:line="260" w:lineRule="atLeast"/>
        <w:ind w:left="851" w:hanging="573"/>
        <w:rPr>
          <w:color w:val="000000"/>
          <w:szCs w:val="22"/>
        </w:rPr>
      </w:pPr>
      <w:r w:rsidRPr="00AE409E">
        <w:rPr>
          <w:color w:val="000000"/>
          <w:szCs w:val="22"/>
        </w:rPr>
        <w:t xml:space="preserve">definition of </w:t>
      </w:r>
      <w:r w:rsidRPr="00AE409E">
        <w:rPr>
          <w:b/>
          <w:bCs/>
          <w:i/>
          <w:iCs/>
          <w:color w:val="000000"/>
          <w:szCs w:val="22"/>
        </w:rPr>
        <w:t xml:space="preserve">Modified Monash 5 </w:t>
      </w:r>
      <w:proofErr w:type="gramStart"/>
      <w:r w:rsidRPr="00AE409E">
        <w:rPr>
          <w:b/>
          <w:bCs/>
          <w:i/>
          <w:iCs/>
          <w:color w:val="000000"/>
          <w:szCs w:val="22"/>
        </w:rPr>
        <w:t>area;</w:t>
      </w:r>
      <w:proofErr w:type="gramEnd"/>
    </w:p>
    <w:p w14:paraId="44A65ABF" w14:textId="6383E297" w:rsidR="00081E52" w:rsidRPr="00AE409E" w:rsidRDefault="00081E52" w:rsidP="007679C3">
      <w:pPr>
        <w:pStyle w:val="subsection"/>
        <w:numPr>
          <w:ilvl w:val="0"/>
          <w:numId w:val="16"/>
        </w:numPr>
        <w:spacing w:before="120" w:after="120" w:line="260" w:lineRule="atLeast"/>
        <w:ind w:left="851" w:hanging="573"/>
        <w:rPr>
          <w:color w:val="000000"/>
          <w:szCs w:val="22"/>
        </w:rPr>
      </w:pPr>
      <w:r w:rsidRPr="00AE409E">
        <w:rPr>
          <w:color w:val="000000"/>
          <w:szCs w:val="22"/>
        </w:rPr>
        <w:t xml:space="preserve">definition of </w:t>
      </w:r>
      <w:r w:rsidRPr="00AE409E">
        <w:rPr>
          <w:b/>
          <w:bCs/>
          <w:i/>
          <w:iCs/>
          <w:color w:val="000000"/>
          <w:szCs w:val="22"/>
        </w:rPr>
        <w:t xml:space="preserve">Modified Monash 6 </w:t>
      </w:r>
      <w:proofErr w:type="gramStart"/>
      <w:r w:rsidRPr="00AE409E">
        <w:rPr>
          <w:b/>
          <w:bCs/>
          <w:i/>
          <w:iCs/>
          <w:color w:val="000000"/>
          <w:szCs w:val="22"/>
        </w:rPr>
        <w:t>area;</w:t>
      </w:r>
      <w:proofErr w:type="gramEnd"/>
    </w:p>
    <w:p w14:paraId="49A2AC6B" w14:textId="47726AB7" w:rsidR="00081E52" w:rsidRPr="00AE409E" w:rsidRDefault="00081E52" w:rsidP="007679C3">
      <w:pPr>
        <w:pStyle w:val="subsection"/>
        <w:numPr>
          <w:ilvl w:val="0"/>
          <w:numId w:val="16"/>
        </w:numPr>
        <w:spacing w:before="120" w:after="120" w:line="260" w:lineRule="atLeast"/>
        <w:ind w:left="851" w:hanging="573"/>
        <w:rPr>
          <w:color w:val="000000"/>
          <w:szCs w:val="22"/>
        </w:rPr>
      </w:pPr>
      <w:r w:rsidRPr="00AE409E">
        <w:rPr>
          <w:color w:val="000000"/>
          <w:szCs w:val="22"/>
        </w:rPr>
        <w:t xml:space="preserve">definition of </w:t>
      </w:r>
      <w:r w:rsidRPr="00AE409E">
        <w:rPr>
          <w:b/>
          <w:bCs/>
          <w:i/>
          <w:iCs/>
          <w:color w:val="000000"/>
          <w:szCs w:val="22"/>
        </w:rPr>
        <w:t xml:space="preserve">Modified Monash 7 </w:t>
      </w:r>
      <w:proofErr w:type="gramStart"/>
      <w:r w:rsidRPr="00AE409E">
        <w:rPr>
          <w:b/>
          <w:bCs/>
          <w:i/>
          <w:iCs/>
          <w:color w:val="000000"/>
          <w:szCs w:val="22"/>
        </w:rPr>
        <w:t>area;</w:t>
      </w:r>
      <w:proofErr w:type="gramEnd"/>
    </w:p>
    <w:p w14:paraId="4B687E33" w14:textId="469F55DD" w:rsidR="00081E52" w:rsidRPr="00AE409E" w:rsidRDefault="00081E52" w:rsidP="007679C3">
      <w:pPr>
        <w:pStyle w:val="subsection"/>
        <w:numPr>
          <w:ilvl w:val="0"/>
          <w:numId w:val="16"/>
        </w:numPr>
        <w:spacing w:before="120" w:after="120" w:line="260" w:lineRule="atLeast"/>
        <w:ind w:left="851" w:hanging="573"/>
        <w:rPr>
          <w:color w:val="000000"/>
          <w:szCs w:val="22"/>
        </w:rPr>
      </w:pPr>
      <w:r w:rsidRPr="00AE409E">
        <w:rPr>
          <w:color w:val="000000"/>
          <w:szCs w:val="22"/>
        </w:rPr>
        <w:t xml:space="preserve">definition of </w:t>
      </w:r>
      <w:r w:rsidRPr="00AE409E">
        <w:rPr>
          <w:b/>
          <w:bCs/>
          <w:i/>
          <w:iCs/>
          <w:color w:val="000000"/>
          <w:szCs w:val="22"/>
        </w:rPr>
        <w:t>telehealth area</w:t>
      </w:r>
      <w:r w:rsidRPr="00AE409E">
        <w:rPr>
          <w:i/>
          <w:iCs/>
          <w:color w:val="000000"/>
          <w:szCs w:val="22"/>
        </w:rPr>
        <w:t>.</w:t>
      </w:r>
    </w:p>
    <w:p w14:paraId="1D72E208" w14:textId="68956A31" w:rsidR="009056D6" w:rsidRPr="00AE409E" w:rsidRDefault="006D6C9A" w:rsidP="009056D6">
      <w:pPr>
        <w:pStyle w:val="ItemHead"/>
      </w:pPr>
      <w:proofErr w:type="gramStart"/>
      <w:r w:rsidRPr="00AE409E">
        <w:t>4</w:t>
      </w:r>
      <w:r w:rsidR="009056D6" w:rsidRPr="00AE409E">
        <w:t xml:space="preserve">  </w:t>
      </w:r>
      <w:r w:rsidR="00305482" w:rsidRPr="00AE409E">
        <w:t>Section</w:t>
      </w:r>
      <w:proofErr w:type="gramEnd"/>
      <w:r w:rsidR="00305482" w:rsidRPr="00AE409E">
        <w:t xml:space="preserve"> 6</w:t>
      </w:r>
    </w:p>
    <w:p w14:paraId="5B560853" w14:textId="6052B2AE" w:rsidR="009056D6" w:rsidRPr="00AE409E" w:rsidRDefault="00305482" w:rsidP="009056D6">
      <w:pPr>
        <w:pStyle w:val="Item"/>
      </w:pPr>
      <w:r w:rsidRPr="00AE409E">
        <w:t>Repeal the section, substitute:</w:t>
      </w:r>
    </w:p>
    <w:p w14:paraId="0EF4C834" w14:textId="355AC564" w:rsidR="00305482" w:rsidRPr="00AE409E" w:rsidRDefault="00B55A71" w:rsidP="00B55A71">
      <w:pPr>
        <w:pStyle w:val="Item"/>
        <w:ind w:left="720" w:hanging="720"/>
        <w:rPr>
          <w:rFonts w:ascii="Arial" w:hAnsi="Arial" w:cs="Arial"/>
          <w:b/>
          <w:bCs/>
        </w:rPr>
      </w:pPr>
      <w:bookmarkStart w:id="11" w:name="_Toc140669495"/>
      <w:r w:rsidRPr="00AE409E">
        <w:rPr>
          <w:rFonts w:ascii="Arial" w:hAnsi="Arial" w:cs="Arial"/>
          <w:b/>
          <w:bCs/>
          <w:sz w:val="24"/>
          <w:szCs w:val="22"/>
        </w:rPr>
        <w:t>6.</w:t>
      </w:r>
      <w:r w:rsidRPr="00AE409E">
        <w:rPr>
          <w:rFonts w:ascii="Arial" w:hAnsi="Arial" w:cs="Arial"/>
          <w:b/>
          <w:bCs/>
          <w:sz w:val="24"/>
          <w:szCs w:val="22"/>
        </w:rPr>
        <w:tab/>
        <w:t>Application of general provisions of the general medical services table</w:t>
      </w:r>
      <w:bookmarkEnd w:id="11"/>
    </w:p>
    <w:p w14:paraId="282B4C11" w14:textId="74269434" w:rsidR="00305482" w:rsidRPr="00AE409E" w:rsidRDefault="00305482" w:rsidP="00305482">
      <w:pPr>
        <w:pStyle w:val="subsection"/>
        <w:numPr>
          <w:ilvl w:val="0"/>
          <w:numId w:val="15"/>
        </w:numPr>
        <w:spacing w:before="120" w:after="120" w:line="260" w:lineRule="atLeast"/>
        <w:ind w:left="851" w:hanging="573"/>
        <w:rPr>
          <w:color w:val="000000"/>
          <w:szCs w:val="22"/>
        </w:rPr>
      </w:pPr>
      <w:r w:rsidRPr="00AE409E">
        <w:rPr>
          <w:color w:val="000000"/>
          <w:szCs w:val="22"/>
        </w:rPr>
        <w:lastRenderedPageBreak/>
        <w:t>Clause 1.2.1 of the general medical services table shall have effect as if an item in Schedule 1 of this Determination were specified in Schedule 1 of the general medical services table.</w:t>
      </w:r>
    </w:p>
    <w:p w14:paraId="6AD0888F" w14:textId="3F5CF00F" w:rsidR="00305482" w:rsidRPr="00AE409E" w:rsidRDefault="00305482" w:rsidP="00305482">
      <w:pPr>
        <w:pStyle w:val="subsection"/>
        <w:numPr>
          <w:ilvl w:val="0"/>
          <w:numId w:val="15"/>
        </w:numPr>
        <w:spacing w:before="120" w:after="120" w:line="260" w:lineRule="atLeast"/>
        <w:ind w:left="851" w:hanging="573"/>
        <w:rPr>
          <w:color w:val="000000"/>
          <w:szCs w:val="22"/>
        </w:rPr>
      </w:pPr>
      <w:r w:rsidRPr="00AE409E">
        <w:rPr>
          <w:color w:val="000000"/>
          <w:szCs w:val="22"/>
        </w:rPr>
        <w:t>Clause 1.2.5 of the general medical services table shall have effect as if:</w:t>
      </w:r>
    </w:p>
    <w:p w14:paraId="5D13BFF9" w14:textId="5FD7FF68" w:rsidR="00305482" w:rsidRPr="00AE409E" w:rsidRDefault="00305482" w:rsidP="00305482">
      <w:pPr>
        <w:pStyle w:val="subsection"/>
        <w:numPr>
          <w:ilvl w:val="1"/>
          <w:numId w:val="15"/>
        </w:numPr>
        <w:spacing w:before="120" w:after="120" w:line="260" w:lineRule="atLeast"/>
        <w:rPr>
          <w:color w:val="000000"/>
          <w:szCs w:val="22"/>
        </w:rPr>
      </w:pPr>
      <w:r w:rsidRPr="00AE409E">
        <w:rPr>
          <w:color w:val="000000"/>
          <w:szCs w:val="22"/>
        </w:rPr>
        <w:t>an item in Schedule 1 of this Determination were specified in subclause 1.2.5(1) of the general medical services table; and</w:t>
      </w:r>
    </w:p>
    <w:p w14:paraId="59B88E32" w14:textId="0EFA83A3" w:rsidR="00305482" w:rsidRPr="00AE409E" w:rsidRDefault="00305482" w:rsidP="00305482">
      <w:pPr>
        <w:pStyle w:val="subsection"/>
        <w:numPr>
          <w:ilvl w:val="1"/>
          <w:numId w:val="15"/>
        </w:numPr>
        <w:spacing w:before="120" w:after="120" w:line="260" w:lineRule="atLeast"/>
        <w:rPr>
          <w:color w:val="000000"/>
          <w:szCs w:val="22"/>
        </w:rPr>
      </w:pPr>
      <w:r w:rsidRPr="00AE409E">
        <w:rPr>
          <w:color w:val="000000"/>
          <w:szCs w:val="22"/>
        </w:rPr>
        <w:t xml:space="preserve">an item in </w:t>
      </w:r>
      <w:r w:rsidR="00480E67" w:rsidRPr="00AE409E">
        <w:rPr>
          <w:color w:val="000000"/>
          <w:szCs w:val="22"/>
        </w:rPr>
        <w:t>Schedule 1</w:t>
      </w:r>
      <w:r w:rsidRPr="00AE409E">
        <w:rPr>
          <w:color w:val="000000"/>
          <w:szCs w:val="22"/>
        </w:rPr>
        <w:t xml:space="preserve"> of this Determination were specified in subclause 1.2.5(3) of the general medical services table.</w:t>
      </w:r>
    </w:p>
    <w:p w14:paraId="5FE3562C" w14:textId="66E9A67F" w:rsidR="00305482" w:rsidRPr="00AE409E" w:rsidRDefault="00305482" w:rsidP="00305482">
      <w:pPr>
        <w:pStyle w:val="subsection"/>
        <w:numPr>
          <w:ilvl w:val="0"/>
          <w:numId w:val="15"/>
        </w:numPr>
        <w:spacing w:before="120" w:after="120" w:line="260" w:lineRule="atLeast"/>
        <w:ind w:left="851" w:hanging="573"/>
        <w:rPr>
          <w:color w:val="000000"/>
          <w:szCs w:val="22"/>
        </w:rPr>
      </w:pPr>
      <w:r w:rsidRPr="00AE409E">
        <w:rPr>
          <w:color w:val="000000"/>
          <w:szCs w:val="22"/>
        </w:rPr>
        <w:t>Clause 1.2.7 of the general medical services table shall have effect as if an item in Schedule 1 of this Determination were also specified in subclause 1.2.7(1).</w:t>
      </w:r>
    </w:p>
    <w:p w14:paraId="1F1E7665" w14:textId="101F6881" w:rsidR="00305482" w:rsidRPr="00AE409E" w:rsidRDefault="00305482" w:rsidP="00305482">
      <w:pPr>
        <w:pStyle w:val="subsection"/>
        <w:numPr>
          <w:ilvl w:val="0"/>
          <w:numId w:val="15"/>
        </w:numPr>
        <w:spacing w:before="120" w:after="120" w:line="260" w:lineRule="atLeast"/>
        <w:ind w:left="851" w:hanging="573"/>
        <w:rPr>
          <w:color w:val="000000"/>
          <w:szCs w:val="22"/>
        </w:rPr>
      </w:pPr>
      <w:r w:rsidRPr="00AE409E">
        <w:rPr>
          <w:color w:val="000000"/>
          <w:szCs w:val="22"/>
        </w:rPr>
        <w:t>Clause 1.2.8 of the general medical services table shall have effect as if an item in Schedule 1 of this Determination were also specified in clause 1.2.8.</w:t>
      </w:r>
    </w:p>
    <w:p w14:paraId="0D66D700" w14:textId="2E8507D1" w:rsidR="00305482" w:rsidRPr="00AE409E" w:rsidRDefault="00305482" w:rsidP="00305482">
      <w:pPr>
        <w:pStyle w:val="subsection"/>
        <w:numPr>
          <w:ilvl w:val="0"/>
          <w:numId w:val="15"/>
        </w:numPr>
        <w:spacing w:before="120" w:after="120" w:line="260" w:lineRule="atLeast"/>
        <w:ind w:left="851" w:hanging="573"/>
        <w:rPr>
          <w:color w:val="000000"/>
          <w:szCs w:val="22"/>
        </w:rPr>
      </w:pPr>
      <w:r w:rsidRPr="00AE409E">
        <w:rPr>
          <w:color w:val="000000"/>
          <w:szCs w:val="22"/>
        </w:rPr>
        <w:t>Clause 1.2.9 of the general medical services table shall have effect as if an item in Schedule 1 of this Determination were also specified in clause 1.2.9.</w:t>
      </w:r>
    </w:p>
    <w:p w14:paraId="5F9DB9F7" w14:textId="6F98E2D9" w:rsidR="00305482" w:rsidRPr="00AE409E" w:rsidRDefault="00305482" w:rsidP="00305482">
      <w:pPr>
        <w:pStyle w:val="subsection"/>
        <w:numPr>
          <w:ilvl w:val="0"/>
          <w:numId w:val="15"/>
        </w:numPr>
        <w:spacing w:before="120" w:after="120" w:line="260" w:lineRule="atLeast"/>
        <w:ind w:left="851" w:hanging="573"/>
        <w:rPr>
          <w:color w:val="000000"/>
          <w:szCs w:val="22"/>
        </w:rPr>
      </w:pPr>
      <w:r w:rsidRPr="00AE409E">
        <w:rPr>
          <w:color w:val="000000"/>
          <w:szCs w:val="22"/>
        </w:rPr>
        <w:t>Clause 1.2.10 of the general medical services table shall have effect as if an item in Schedule 1 of this Determination were also specified in clause 1.2.10.</w:t>
      </w:r>
    </w:p>
    <w:p w14:paraId="56B6FD36" w14:textId="38A2BD08" w:rsidR="005E317F" w:rsidRPr="00AE409E" w:rsidRDefault="006D6C9A" w:rsidP="005E317F">
      <w:pPr>
        <w:pStyle w:val="ItemHead"/>
      </w:pPr>
      <w:proofErr w:type="gramStart"/>
      <w:r w:rsidRPr="00AE409E">
        <w:t>5</w:t>
      </w:r>
      <w:r w:rsidR="005E317F" w:rsidRPr="00AE409E">
        <w:t xml:space="preserve">  </w:t>
      </w:r>
      <w:r w:rsidR="00480E67" w:rsidRPr="00AE409E">
        <w:t>Clause</w:t>
      </w:r>
      <w:proofErr w:type="gramEnd"/>
      <w:r w:rsidR="00480E67" w:rsidRPr="00AE409E">
        <w:t xml:space="preserve"> 1.1.1 of </w:t>
      </w:r>
      <w:r w:rsidR="00F120BF" w:rsidRPr="00AE409E">
        <w:t xml:space="preserve">Schedule 1 </w:t>
      </w:r>
      <w:r w:rsidR="00657EC0" w:rsidRPr="00AE409E">
        <w:t>(t</w:t>
      </w:r>
      <w:r w:rsidR="00991C52" w:rsidRPr="00AE409E">
        <w:t>able 1.1.1</w:t>
      </w:r>
      <w:r w:rsidR="00657EC0" w:rsidRPr="00AE409E">
        <w:t>)</w:t>
      </w:r>
    </w:p>
    <w:p w14:paraId="4ADC4777" w14:textId="564F2028" w:rsidR="003749AE" w:rsidRPr="00AE409E" w:rsidRDefault="00C40D24" w:rsidP="00480E67">
      <w:pPr>
        <w:pStyle w:val="Item"/>
      </w:pPr>
      <w:r w:rsidRPr="00AE409E">
        <w:t xml:space="preserve">Repeal the </w:t>
      </w:r>
      <w:r w:rsidR="003749AE" w:rsidRPr="00AE409E">
        <w:t>table, substitute</w:t>
      </w:r>
      <w:r w:rsidRPr="00AE409E">
        <w:t>:</w:t>
      </w:r>
      <w:r w:rsidR="00480E67" w:rsidRPr="00AE409E">
        <w:br/>
      </w:r>
    </w:p>
    <w:tbl>
      <w:tblPr>
        <w:tblW w:w="5114" w:type="pct"/>
        <w:shd w:val="clear" w:color="auto" w:fill="FFFFFF"/>
        <w:tblCellMar>
          <w:left w:w="0" w:type="dxa"/>
          <w:right w:w="0" w:type="dxa"/>
        </w:tblCellMar>
        <w:tblLook w:val="04A0" w:firstRow="1" w:lastRow="0" w:firstColumn="1" w:lastColumn="0" w:noHBand="0" w:noVBand="1"/>
      </w:tblPr>
      <w:tblGrid>
        <w:gridCol w:w="696"/>
        <w:gridCol w:w="1657"/>
        <w:gridCol w:w="2094"/>
        <w:gridCol w:w="2181"/>
        <w:gridCol w:w="2095"/>
      </w:tblGrid>
      <w:tr w:rsidR="003749AE" w:rsidRPr="00AE409E" w14:paraId="492A6885" w14:textId="77777777" w:rsidTr="007335E6">
        <w:trPr>
          <w:trHeight w:val="300"/>
          <w:tblHeader/>
        </w:trPr>
        <w:tc>
          <w:tcPr>
            <w:tcW w:w="5000" w:type="pct"/>
            <w:gridSpan w:val="5"/>
            <w:tcBorders>
              <w:top w:val="single" w:sz="12" w:space="0" w:color="auto"/>
              <w:left w:val="nil"/>
              <w:bottom w:val="single" w:sz="8" w:space="0" w:color="auto"/>
              <w:right w:val="nil"/>
            </w:tcBorders>
            <w:shd w:val="clear" w:color="auto" w:fill="FFFFFF"/>
            <w:tcMar>
              <w:top w:w="0" w:type="dxa"/>
              <w:left w:w="108" w:type="dxa"/>
              <w:bottom w:w="0" w:type="dxa"/>
              <w:right w:w="108" w:type="dxa"/>
            </w:tcMar>
            <w:hideMark/>
          </w:tcPr>
          <w:p w14:paraId="26EF660B" w14:textId="77777777" w:rsidR="003749AE" w:rsidRPr="00AE409E" w:rsidRDefault="003749AE" w:rsidP="007335E6">
            <w:pPr>
              <w:spacing w:before="60" w:line="240" w:lineRule="atLeast"/>
              <w:rPr>
                <w:rFonts w:eastAsia="Times New Roman" w:cs="Times New Roman"/>
                <w:b/>
                <w:bCs/>
                <w:sz w:val="20"/>
                <w:lang w:eastAsia="en-AU"/>
              </w:rPr>
            </w:pPr>
            <w:bookmarkStart w:id="12" w:name="_Hlk140559261"/>
            <w:r w:rsidRPr="00AE409E">
              <w:rPr>
                <w:rFonts w:eastAsia="Times New Roman" w:cs="Times New Roman"/>
                <w:b/>
                <w:bCs/>
                <w:sz w:val="20"/>
                <w:lang w:eastAsia="en-AU"/>
              </w:rPr>
              <w:tab/>
              <w:t>Table 1.1.1—Amount under clause 1.1.1</w:t>
            </w:r>
          </w:p>
        </w:tc>
      </w:tr>
      <w:tr w:rsidR="003749AE" w:rsidRPr="00AE409E" w14:paraId="7DF6218C" w14:textId="77777777" w:rsidTr="007335E6">
        <w:trPr>
          <w:trHeight w:val="1315"/>
          <w:tblHeader/>
        </w:trPr>
        <w:tc>
          <w:tcPr>
            <w:tcW w:w="399"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7AF89CD1" w14:textId="77777777" w:rsidR="003749AE" w:rsidRPr="00AE409E" w:rsidRDefault="003749AE" w:rsidP="007335E6">
            <w:pPr>
              <w:spacing w:before="60" w:line="240" w:lineRule="atLeast"/>
              <w:rPr>
                <w:rFonts w:eastAsia="Times New Roman" w:cs="Times New Roman"/>
                <w:b/>
                <w:bCs/>
                <w:sz w:val="20"/>
                <w:lang w:eastAsia="en-AU"/>
              </w:rPr>
            </w:pPr>
            <w:r w:rsidRPr="00AE409E">
              <w:rPr>
                <w:rFonts w:eastAsia="Times New Roman" w:cs="Times New Roman"/>
                <w:b/>
                <w:bCs/>
                <w:sz w:val="20"/>
                <w:lang w:eastAsia="en-AU"/>
              </w:rPr>
              <w:t>Item</w:t>
            </w:r>
          </w:p>
        </w:tc>
        <w:tc>
          <w:tcPr>
            <w:tcW w:w="950"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2EA4EA59" w14:textId="77777777" w:rsidR="003749AE" w:rsidRPr="00AE409E" w:rsidRDefault="003749AE" w:rsidP="007335E6">
            <w:pPr>
              <w:spacing w:before="60" w:line="240" w:lineRule="atLeast"/>
              <w:rPr>
                <w:rFonts w:eastAsia="Times New Roman" w:cs="Times New Roman"/>
                <w:b/>
                <w:bCs/>
                <w:sz w:val="20"/>
                <w:lang w:eastAsia="en-AU"/>
              </w:rPr>
            </w:pPr>
            <w:r w:rsidRPr="00AE409E">
              <w:rPr>
                <w:rFonts w:eastAsia="Times New Roman" w:cs="Times New Roman"/>
                <w:b/>
                <w:bCs/>
                <w:sz w:val="20"/>
                <w:lang w:eastAsia="en-AU"/>
              </w:rPr>
              <w:t>Column 1</w:t>
            </w:r>
          </w:p>
          <w:p w14:paraId="07BF2BE1" w14:textId="77777777" w:rsidR="003749AE" w:rsidRPr="00AE409E" w:rsidRDefault="003749AE" w:rsidP="007335E6">
            <w:pPr>
              <w:spacing w:before="60" w:line="240" w:lineRule="atLeast"/>
              <w:rPr>
                <w:rFonts w:eastAsia="Times New Roman" w:cs="Times New Roman"/>
                <w:b/>
                <w:bCs/>
                <w:sz w:val="20"/>
                <w:lang w:eastAsia="en-AU"/>
              </w:rPr>
            </w:pPr>
            <w:r w:rsidRPr="00AE409E">
              <w:rPr>
                <w:rFonts w:eastAsia="Times New Roman" w:cs="Times New Roman"/>
                <w:b/>
                <w:bCs/>
                <w:sz w:val="20"/>
                <w:lang w:eastAsia="en-AU"/>
              </w:rPr>
              <w:t>Item/s of the table</w:t>
            </w:r>
          </w:p>
        </w:tc>
        <w:tc>
          <w:tcPr>
            <w:tcW w:w="1200"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4C031E85" w14:textId="77777777" w:rsidR="003749AE" w:rsidRPr="00AE409E" w:rsidRDefault="003749AE" w:rsidP="007335E6">
            <w:pPr>
              <w:spacing w:before="60" w:line="240" w:lineRule="atLeast"/>
              <w:rPr>
                <w:rFonts w:eastAsia="Times New Roman" w:cs="Times New Roman"/>
                <w:b/>
                <w:bCs/>
                <w:sz w:val="20"/>
                <w:lang w:eastAsia="en-AU"/>
              </w:rPr>
            </w:pPr>
            <w:r w:rsidRPr="00AE409E">
              <w:rPr>
                <w:rFonts w:eastAsia="Times New Roman" w:cs="Times New Roman"/>
                <w:b/>
                <w:bCs/>
                <w:sz w:val="20"/>
                <w:lang w:eastAsia="en-AU"/>
              </w:rPr>
              <w:t>Column 2</w:t>
            </w:r>
          </w:p>
          <w:p w14:paraId="2EB6AE9B" w14:textId="77777777" w:rsidR="003749AE" w:rsidRPr="00AE409E" w:rsidRDefault="003749AE" w:rsidP="007335E6">
            <w:pPr>
              <w:spacing w:before="60" w:line="240" w:lineRule="atLeast"/>
              <w:rPr>
                <w:rFonts w:eastAsia="Times New Roman" w:cs="Times New Roman"/>
                <w:b/>
                <w:bCs/>
                <w:sz w:val="20"/>
                <w:lang w:eastAsia="en-AU"/>
              </w:rPr>
            </w:pPr>
            <w:r w:rsidRPr="00AE409E">
              <w:rPr>
                <w:rFonts w:eastAsia="Times New Roman" w:cs="Times New Roman"/>
                <w:b/>
                <w:bCs/>
                <w:sz w:val="20"/>
                <w:lang w:eastAsia="en-AU"/>
              </w:rPr>
              <w:t>Fee</w:t>
            </w:r>
          </w:p>
        </w:tc>
        <w:tc>
          <w:tcPr>
            <w:tcW w:w="1250"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3155456E" w14:textId="77777777" w:rsidR="003749AE" w:rsidRPr="00AE409E" w:rsidRDefault="003749AE" w:rsidP="007335E6">
            <w:pPr>
              <w:spacing w:before="60" w:line="240" w:lineRule="atLeast"/>
              <w:jc w:val="right"/>
              <w:rPr>
                <w:rFonts w:eastAsia="Times New Roman" w:cs="Times New Roman"/>
                <w:b/>
                <w:bCs/>
                <w:sz w:val="20"/>
                <w:lang w:eastAsia="en-AU"/>
              </w:rPr>
            </w:pPr>
            <w:r w:rsidRPr="00AE409E">
              <w:rPr>
                <w:rFonts w:eastAsia="Times New Roman" w:cs="Times New Roman"/>
                <w:b/>
                <w:bCs/>
                <w:sz w:val="20"/>
                <w:lang w:eastAsia="en-AU"/>
              </w:rPr>
              <w:t>Column 3</w:t>
            </w:r>
          </w:p>
          <w:p w14:paraId="2F554DA0" w14:textId="77777777" w:rsidR="003749AE" w:rsidRPr="00AE409E" w:rsidRDefault="003749AE" w:rsidP="007335E6">
            <w:pPr>
              <w:spacing w:before="60" w:line="240" w:lineRule="atLeast"/>
              <w:jc w:val="right"/>
              <w:rPr>
                <w:rFonts w:eastAsia="Times New Roman" w:cs="Times New Roman"/>
                <w:b/>
                <w:bCs/>
                <w:sz w:val="20"/>
                <w:lang w:eastAsia="en-AU"/>
              </w:rPr>
            </w:pPr>
            <w:r w:rsidRPr="00AE409E">
              <w:rPr>
                <w:rFonts w:eastAsia="Times New Roman" w:cs="Times New Roman"/>
                <w:b/>
                <w:bCs/>
                <w:sz w:val="20"/>
                <w:lang w:eastAsia="en-AU"/>
              </w:rPr>
              <w:t>Amount if not more than 6 patients (to be divided by the number of patients) ($)</w:t>
            </w:r>
          </w:p>
        </w:tc>
        <w:tc>
          <w:tcPr>
            <w:tcW w:w="1201"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768FC398" w14:textId="77777777" w:rsidR="003749AE" w:rsidRPr="00AE409E" w:rsidRDefault="003749AE" w:rsidP="007335E6">
            <w:pPr>
              <w:spacing w:before="60" w:line="240" w:lineRule="atLeast"/>
              <w:jc w:val="right"/>
              <w:rPr>
                <w:rFonts w:eastAsia="Times New Roman" w:cs="Times New Roman"/>
                <w:b/>
                <w:bCs/>
                <w:sz w:val="20"/>
                <w:lang w:eastAsia="en-AU"/>
              </w:rPr>
            </w:pPr>
            <w:r w:rsidRPr="00AE409E">
              <w:rPr>
                <w:rFonts w:eastAsia="Times New Roman" w:cs="Times New Roman"/>
                <w:b/>
                <w:bCs/>
                <w:sz w:val="20"/>
                <w:lang w:eastAsia="en-AU"/>
              </w:rPr>
              <w:t>Column 4</w:t>
            </w:r>
          </w:p>
          <w:p w14:paraId="044FA192" w14:textId="77777777" w:rsidR="003749AE" w:rsidRPr="00AE409E" w:rsidRDefault="003749AE" w:rsidP="007335E6">
            <w:pPr>
              <w:spacing w:before="60" w:line="240" w:lineRule="atLeast"/>
              <w:jc w:val="right"/>
              <w:rPr>
                <w:rFonts w:eastAsia="Times New Roman" w:cs="Times New Roman"/>
                <w:b/>
                <w:bCs/>
                <w:sz w:val="20"/>
                <w:lang w:eastAsia="en-AU"/>
              </w:rPr>
            </w:pPr>
            <w:r w:rsidRPr="00AE409E">
              <w:rPr>
                <w:rFonts w:eastAsia="Times New Roman" w:cs="Times New Roman"/>
                <w:b/>
                <w:bCs/>
                <w:sz w:val="20"/>
                <w:lang w:eastAsia="en-AU"/>
              </w:rPr>
              <w:t>Amount if more than 6 patients ($)</w:t>
            </w:r>
          </w:p>
        </w:tc>
      </w:tr>
      <w:tr w:rsidR="003749AE" w:rsidRPr="00AE409E" w14:paraId="7A21A85E" w14:textId="77777777" w:rsidTr="007335E6">
        <w:trPr>
          <w:trHeight w:val="300"/>
        </w:trPr>
        <w:tc>
          <w:tcPr>
            <w:tcW w:w="399"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58195AB" w14:textId="1F264C8F" w:rsidR="003749AE" w:rsidRPr="00AE409E" w:rsidRDefault="003749AE" w:rsidP="007335E6">
            <w:pPr>
              <w:spacing w:before="60" w:line="240" w:lineRule="atLeast"/>
              <w:jc w:val="right"/>
              <w:rPr>
                <w:rFonts w:eastAsia="Times New Roman" w:cs="Times New Roman"/>
                <w:sz w:val="20"/>
                <w:lang w:eastAsia="en-AU"/>
              </w:rPr>
            </w:pPr>
            <w:r w:rsidRPr="00AE409E">
              <w:rPr>
                <w:rFonts w:eastAsia="Times New Roman" w:cs="Times New Roman"/>
                <w:sz w:val="20"/>
                <w:lang w:eastAsia="en-AU"/>
              </w:rPr>
              <w:t>1</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757B5EF" w14:textId="77777777" w:rsidR="003749AE" w:rsidRPr="00AE409E" w:rsidRDefault="003749AE" w:rsidP="007335E6">
            <w:pPr>
              <w:spacing w:before="60" w:line="240" w:lineRule="atLeast"/>
              <w:jc w:val="right"/>
              <w:rPr>
                <w:rFonts w:eastAsia="Times New Roman" w:cs="Times New Roman"/>
                <w:sz w:val="20"/>
                <w:lang w:eastAsia="en-AU"/>
              </w:rPr>
            </w:pPr>
            <w:r w:rsidRPr="00AE409E">
              <w:rPr>
                <w:rFonts w:eastAsia="Times New Roman" w:cs="Times New Roman"/>
                <w:sz w:val="20"/>
                <w:lang w:eastAsia="en-AU"/>
              </w:rPr>
              <w:t>761</w:t>
            </w:r>
          </w:p>
        </w:tc>
        <w:tc>
          <w:tcPr>
            <w:tcW w:w="12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2AEB727C" w14:textId="77777777" w:rsidR="003749AE" w:rsidRPr="00AE409E" w:rsidRDefault="003749AE" w:rsidP="007335E6">
            <w:pPr>
              <w:spacing w:before="60" w:line="240" w:lineRule="atLeast"/>
              <w:jc w:val="right"/>
              <w:rPr>
                <w:rFonts w:eastAsia="Times New Roman" w:cs="Times New Roman"/>
                <w:sz w:val="20"/>
                <w:lang w:eastAsia="en-AU"/>
              </w:rPr>
            </w:pPr>
            <w:r w:rsidRPr="00AE409E">
              <w:rPr>
                <w:rFonts w:eastAsia="Times New Roman" w:cs="Times New Roman"/>
                <w:sz w:val="20"/>
                <w:lang w:eastAsia="en-AU"/>
              </w:rPr>
              <w:t>The fee for item 733</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2593BEAA" w14:textId="7BD64AA1" w:rsidR="003749AE" w:rsidRPr="00AE409E" w:rsidRDefault="003749AE" w:rsidP="007335E6">
            <w:pPr>
              <w:spacing w:before="60" w:line="240" w:lineRule="atLeast"/>
              <w:jc w:val="right"/>
              <w:rPr>
                <w:rFonts w:eastAsia="Times New Roman" w:cs="Times New Roman"/>
                <w:sz w:val="20"/>
                <w:lang w:eastAsia="en-AU"/>
              </w:rPr>
            </w:pPr>
            <w:r w:rsidRPr="00AE409E">
              <w:rPr>
                <w:rFonts w:eastAsia="Times New Roman" w:cs="Times New Roman"/>
                <w:sz w:val="20"/>
                <w:lang w:eastAsia="en-AU"/>
              </w:rPr>
              <w:t>$22.</w:t>
            </w:r>
            <w:r w:rsidR="009141DC" w:rsidRPr="00AE409E">
              <w:rPr>
                <w:rFonts w:eastAsia="Times New Roman" w:cs="Times New Roman"/>
                <w:sz w:val="20"/>
                <w:lang w:eastAsia="en-AU"/>
              </w:rPr>
              <w:t>90</w:t>
            </w:r>
          </w:p>
        </w:tc>
        <w:tc>
          <w:tcPr>
            <w:tcW w:w="1201" w:type="pct"/>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30063B67" w14:textId="77777777" w:rsidR="003749AE" w:rsidRPr="00AE409E" w:rsidRDefault="003749AE" w:rsidP="007335E6">
            <w:pPr>
              <w:spacing w:before="60" w:line="240" w:lineRule="atLeast"/>
              <w:jc w:val="right"/>
              <w:rPr>
                <w:rFonts w:eastAsia="Times New Roman" w:cs="Times New Roman"/>
                <w:sz w:val="20"/>
                <w:lang w:eastAsia="en-AU"/>
              </w:rPr>
            </w:pPr>
            <w:r w:rsidRPr="00AE409E">
              <w:rPr>
                <w:rFonts w:eastAsia="Times New Roman" w:cs="Times New Roman"/>
                <w:sz w:val="20"/>
                <w:lang w:eastAsia="en-AU"/>
              </w:rPr>
              <w:t>$1.80</w:t>
            </w:r>
          </w:p>
        </w:tc>
      </w:tr>
      <w:tr w:rsidR="003749AE" w:rsidRPr="00AE409E" w14:paraId="747C84E2" w14:textId="77777777" w:rsidTr="007335E6">
        <w:trPr>
          <w:trHeight w:val="300"/>
        </w:trPr>
        <w:tc>
          <w:tcPr>
            <w:tcW w:w="399" w:type="pct"/>
            <w:tcBorders>
              <w:top w:val="nil"/>
              <w:left w:val="nil"/>
              <w:bottom w:val="single" w:sz="8" w:space="0" w:color="auto"/>
              <w:right w:val="nil"/>
            </w:tcBorders>
            <w:shd w:val="clear" w:color="auto" w:fill="FFFFFF"/>
            <w:tcMar>
              <w:top w:w="0" w:type="dxa"/>
              <w:left w:w="108" w:type="dxa"/>
              <w:bottom w:w="0" w:type="dxa"/>
              <w:right w:w="108" w:type="dxa"/>
            </w:tcMar>
            <w:hideMark/>
          </w:tcPr>
          <w:p w14:paraId="78452910" w14:textId="6E9F852D" w:rsidR="003749AE" w:rsidRPr="00AE409E" w:rsidRDefault="003749AE" w:rsidP="007335E6">
            <w:pPr>
              <w:spacing w:before="60" w:line="240" w:lineRule="atLeast"/>
              <w:jc w:val="right"/>
              <w:rPr>
                <w:rFonts w:eastAsia="Times New Roman" w:cs="Times New Roman"/>
                <w:sz w:val="20"/>
                <w:lang w:eastAsia="en-AU"/>
              </w:rPr>
            </w:pPr>
            <w:r w:rsidRPr="00AE409E">
              <w:rPr>
                <w:rFonts w:eastAsia="Times New Roman" w:cs="Times New Roman"/>
                <w:sz w:val="20"/>
                <w:lang w:eastAsia="en-AU"/>
              </w:rPr>
              <w:t>2</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0454207" w14:textId="77777777" w:rsidR="003749AE" w:rsidRPr="00AE409E" w:rsidRDefault="003749AE" w:rsidP="007335E6">
            <w:pPr>
              <w:spacing w:before="60" w:line="240" w:lineRule="atLeast"/>
              <w:jc w:val="right"/>
              <w:rPr>
                <w:rFonts w:eastAsia="Times New Roman" w:cs="Times New Roman"/>
                <w:sz w:val="20"/>
                <w:lang w:eastAsia="en-AU"/>
              </w:rPr>
            </w:pPr>
            <w:r w:rsidRPr="00AE409E">
              <w:rPr>
                <w:rFonts w:eastAsia="Times New Roman" w:cs="Times New Roman"/>
                <w:sz w:val="20"/>
                <w:lang w:eastAsia="en-AU"/>
              </w:rPr>
              <w:t>763</w:t>
            </w:r>
          </w:p>
        </w:tc>
        <w:tc>
          <w:tcPr>
            <w:tcW w:w="12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C02B9B8" w14:textId="77777777" w:rsidR="003749AE" w:rsidRPr="00AE409E" w:rsidRDefault="003749AE" w:rsidP="007335E6">
            <w:pPr>
              <w:spacing w:before="60" w:line="240" w:lineRule="atLeast"/>
              <w:jc w:val="right"/>
              <w:rPr>
                <w:rFonts w:eastAsia="Times New Roman" w:cs="Times New Roman"/>
                <w:sz w:val="20"/>
                <w:lang w:eastAsia="en-AU"/>
              </w:rPr>
            </w:pPr>
            <w:r w:rsidRPr="00AE409E">
              <w:rPr>
                <w:rFonts w:eastAsia="Times New Roman" w:cs="Times New Roman"/>
                <w:sz w:val="20"/>
                <w:lang w:eastAsia="en-AU"/>
              </w:rPr>
              <w:t>The fee for item 737</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1F9BA402" w14:textId="4220C132" w:rsidR="003749AE" w:rsidRPr="00AE409E" w:rsidRDefault="003749AE" w:rsidP="007335E6">
            <w:pPr>
              <w:spacing w:before="60" w:line="240" w:lineRule="atLeast"/>
              <w:jc w:val="right"/>
              <w:rPr>
                <w:rFonts w:eastAsia="Times New Roman" w:cs="Times New Roman"/>
                <w:sz w:val="20"/>
                <w:lang w:eastAsia="en-AU"/>
              </w:rPr>
            </w:pPr>
            <w:r w:rsidRPr="00AE409E">
              <w:rPr>
                <w:rFonts w:eastAsia="Times New Roman" w:cs="Times New Roman"/>
                <w:sz w:val="20"/>
                <w:lang w:eastAsia="en-AU"/>
              </w:rPr>
              <w:t>$22.</w:t>
            </w:r>
            <w:r w:rsidR="009141DC" w:rsidRPr="00AE409E">
              <w:rPr>
                <w:rFonts w:eastAsia="Times New Roman" w:cs="Times New Roman"/>
                <w:sz w:val="20"/>
                <w:lang w:eastAsia="en-AU"/>
              </w:rPr>
              <w:t>90</w:t>
            </w:r>
          </w:p>
        </w:tc>
        <w:tc>
          <w:tcPr>
            <w:tcW w:w="1201" w:type="pct"/>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30EFA43D" w14:textId="77777777" w:rsidR="003749AE" w:rsidRPr="00AE409E" w:rsidRDefault="003749AE" w:rsidP="007335E6">
            <w:pPr>
              <w:spacing w:before="60" w:line="240" w:lineRule="atLeast"/>
              <w:jc w:val="right"/>
              <w:rPr>
                <w:rFonts w:eastAsia="Times New Roman" w:cs="Times New Roman"/>
                <w:sz w:val="20"/>
                <w:lang w:eastAsia="en-AU"/>
              </w:rPr>
            </w:pPr>
            <w:r w:rsidRPr="00AE409E">
              <w:rPr>
                <w:rFonts w:eastAsia="Times New Roman" w:cs="Times New Roman"/>
                <w:sz w:val="20"/>
                <w:lang w:eastAsia="en-AU"/>
              </w:rPr>
              <w:t>$1.80</w:t>
            </w:r>
          </w:p>
        </w:tc>
      </w:tr>
      <w:tr w:rsidR="003749AE" w:rsidRPr="00AE409E" w14:paraId="000EC697" w14:textId="77777777" w:rsidTr="007335E6">
        <w:trPr>
          <w:trHeight w:val="288"/>
        </w:trPr>
        <w:tc>
          <w:tcPr>
            <w:tcW w:w="399"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802D24D" w14:textId="157FF2FF" w:rsidR="003749AE" w:rsidRPr="00AE409E" w:rsidRDefault="003749AE" w:rsidP="007335E6">
            <w:pPr>
              <w:spacing w:before="60" w:line="240" w:lineRule="atLeast"/>
              <w:jc w:val="right"/>
              <w:rPr>
                <w:rFonts w:eastAsia="Times New Roman" w:cs="Times New Roman"/>
                <w:sz w:val="20"/>
                <w:lang w:eastAsia="en-AU"/>
              </w:rPr>
            </w:pPr>
            <w:r w:rsidRPr="00AE409E">
              <w:rPr>
                <w:rFonts w:eastAsia="Times New Roman" w:cs="Times New Roman"/>
                <w:sz w:val="20"/>
                <w:lang w:eastAsia="en-AU"/>
              </w:rPr>
              <w:t>3</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F4ACC15" w14:textId="77777777" w:rsidR="003749AE" w:rsidRPr="00AE409E" w:rsidRDefault="003749AE" w:rsidP="007335E6">
            <w:pPr>
              <w:spacing w:before="60" w:line="240" w:lineRule="atLeast"/>
              <w:jc w:val="right"/>
              <w:rPr>
                <w:rFonts w:eastAsia="Times New Roman" w:cs="Times New Roman"/>
                <w:sz w:val="20"/>
                <w:lang w:eastAsia="en-AU"/>
              </w:rPr>
            </w:pPr>
            <w:r w:rsidRPr="00AE409E">
              <w:rPr>
                <w:rFonts w:eastAsia="Times New Roman" w:cs="Times New Roman"/>
                <w:sz w:val="20"/>
                <w:lang w:eastAsia="en-AU"/>
              </w:rPr>
              <w:t>766</w:t>
            </w:r>
          </w:p>
        </w:tc>
        <w:tc>
          <w:tcPr>
            <w:tcW w:w="12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038421FE" w14:textId="77777777" w:rsidR="003749AE" w:rsidRPr="00AE409E" w:rsidRDefault="003749AE" w:rsidP="007335E6">
            <w:pPr>
              <w:spacing w:before="60" w:line="240" w:lineRule="atLeast"/>
              <w:jc w:val="right"/>
              <w:rPr>
                <w:rFonts w:eastAsia="Times New Roman" w:cs="Times New Roman"/>
                <w:sz w:val="20"/>
                <w:lang w:eastAsia="en-AU"/>
              </w:rPr>
            </w:pPr>
            <w:r w:rsidRPr="00AE409E">
              <w:rPr>
                <w:rFonts w:eastAsia="Times New Roman" w:cs="Times New Roman"/>
                <w:sz w:val="20"/>
                <w:lang w:eastAsia="en-AU"/>
              </w:rPr>
              <w:t>The fee for item 741</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7F18B103" w14:textId="4415F40E" w:rsidR="003749AE" w:rsidRPr="00AE409E" w:rsidRDefault="003749AE" w:rsidP="007335E6">
            <w:pPr>
              <w:spacing w:before="60" w:line="240" w:lineRule="atLeast"/>
              <w:jc w:val="right"/>
              <w:rPr>
                <w:rFonts w:eastAsia="Times New Roman" w:cs="Times New Roman"/>
                <w:sz w:val="20"/>
                <w:lang w:eastAsia="en-AU"/>
              </w:rPr>
            </w:pPr>
            <w:r w:rsidRPr="00AE409E">
              <w:rPr>
                <w:rFonts w:eastAsia="Times New Roman" w:cs="Times New Roman"/>
                <w:sz w:val="20"/>
                <w:lang w:eastAsia="en-AU"/>
              </w:rPr>
              <w:t>$22.</w:t>
            </w:r>
            <w:r w:rsidR="009141DC" w:rsidRPr="00AE409E">
              <w:rPr>
                <w:rFonts w:eastAsia="Times New Roman" w:cs="Times New Roman"/>
                <w:sz w:val="20"/>
                <w:lang w:eastAsia="en-AU"/>
              </w:rPr>
              <w:t>90</w:t>
            </w:r>
          </w:p>
        </w:tc>
        <w:tc>
          <w:tcPr>
            <w:tcW w:w="1201" w:type="pct"/>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714BB294" w14:textId="77777777" w:rsidR="003749AE" w:rsidRPr="00AE409E" w:rsidRDefault="003749AE" w:rsidP="007335E6">
            <w:pPr>
              <w:spacing w:before="60" w:line="240" w:lineRule="atLeast"/>
              <w:jc w:val="right"/>
              <w:rPr>
                <w:rFonts w:eastAsia="Times New Roman" w:cs="Times New Roman"/>
                <w:sz w:val="20"/>
                <w:lang w:eastAsia="en-AU"/>
              </w:rPr>
            </w:pPr>
            <w:r w:rsidRPr="00AE409E">
              <w:rPr>
                <w:rFonts w:eastAsia="Times New Roman" w:cs="Times New Roman"/>
                <w:sz w:val="20"/>
                <w:lang w:eastAsia="en-AU"/>
              </w:rPr>
              <w:t>$1.80</w:t>
            </w:r>
          </w:p>
        </w:tc>
      </w:tr>
      <w:tr w:rsidR="003749AE" w:rsidRPr="00AE409E" w14:paraId="2670DA72" w14:textId="77777777" w:rsidTr="007335E6">
        <w:trPr>
          <w:trHeight w:val="300"/>
        </w:trPr>
        <w:tc>
          <w:tcPr>
            <w:tcW w:w="399"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1E534D8" w14:textId="7DD8FB38" w:rsidR="003749AE" w:rsidRPr="00AE409E" w:rsidRDefault="003749AE" w:rsidP="007335E6">
            <w:pPr>
              <w:spacing w:before="60" w:line="240" w:lineRule="atLeast"/>
              <w:jc w:val="right"/>
              <w:rPr>
                <w:rFonts w:eastAsia="Times New Roman" w:cs="Times New Roman"/>
                <w:sz w:val="20"/>
                <w:lang w:eastAsia="en-AU"/>
              </w:rPr>
            </w:pPr>
            <w:r w:rsidRPr="00AE409E">
              <w:rPr>
                <w:rFonts w:eastAsia="Times New Roman" w:cs="Times New Roman"/>
                <w:sz w:val="20"/>
                <w:lang w:eastAsia="en-AU"/>
              </w:rPr>
              <w:t>4</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1291FD4" w14:textId="77777777" w:rsidR="003749AE" w:rsidRPr="00AE409E" w:rsidRDefault="003749AE" w:rsidP="007335E6">
            <w:pPr>
              <w:spacing w:before="60" w:line="240" w:lineRule="atLeast"/>
              <w:jc w:val="right"/>
              <w:rPr>
                <w:rFonts w:eastAsia="Times New Roman" w:cs="Times New Roman"/>
                <w:sz w:val="20"/>
                <w:lang w:eastAsia="en-AU"/>
              </w:rPr>
            </w:pPr>
            <w:r w:rsidRPr="00AE409E">
              <w:rPr>
                <w:rFonts w:eastAsia="Times New Roman" w:cs="Times New Roman"/>
                <w:sz w:val="20"/>
                <w:lang w:eastAsia="en-AU"/>
              </w:rPr>
              <w:t>769</w:t>
            </w:r>
          </w:p>
        </w:tc>
        <w:tc>
          <w:tcPr>
            <w:tcW w:w="12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01B6FBEF" w14:textId="77777777" w:rsidR="003749AE" w:rsidRPr="00AE409E" w:rsidRDefault="003749AE" w:rsidP="007335E6">
            <w:pPr>
              <w:spacing w:before="60" w:line="240" w:lineRule="atLeast"/>
              <w:jc w:val="right"/>
              <w:rPr>
                <w:rFonts w:eastAsia="Times New Roman" w:cs="Times New Roman"/>
                <w:sz w:val="20"/>
                <w:lang w:eastAsia="en-AU"/>
              </w:rPr>
            </w:pPr>
            <w:r w:rsidRPr="00AE409E">
              <w:rPr>
                <w:rFonts w:eastAsia="Times New Roman" w:cs="Times New Roman"/>
                <w:sz w:val="20"/>
                <w:lang w:eastAsia="en-AU"/>
              </w:rPr>
              <w:t>The fee for item 745</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63EBB339" w14:textId="3E0F82F5" w:rsidR="003749AE" w:rsidRPr="00AE409E" w:rsidRDefault="003749AE" w:rsidP="007335E6">
            <w:pPr>
              <w:spacing w:before="60" w:line="240" w:lineRule="atLeast"/>
              <w:jc w:val="right"/>
              <w:rPr>
                <w:rFonts w:eastAsia="Times New Roman" w:cs="Times New Roman"/>
                <w:sz w:val="20"/>
                <w:lang w:eastAsia="en-AU"/>
              </w:rPr>
            </w:pPr>
            <w:r w:rsidRPr="00AE409E">
              <w:rPr>
                <w:rFonts w:eastAsia="Times New Roman" w:cs="Times New Roman"/>
                <w:sz w:val="20"/>
                <w:lang w:eastAsia="en-AU"/>
              </w:rPr>
              <w:t>$22.</w:t>
            </w:r>
            <w:r w:rsidR="009141DC" w:rsidRPr="00AE409E">
              <w:rPr>
                <w:rFonts w:eastAsia="Times New Roman" w:cs="Times New Roman"/>
                <w:sz w:val="20"/>
                <w:lang w:eastAsia="en-AU"/>
              </w:rPr>
              <w:t>90</w:t>
            </w:r>
          </w:p>
        </w:tc>
        <w:tc>
          <w:tcPr>
            <w:tcW w:w="1201" w:type="pct"/>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644782C6" w14:textId="77777777" w:rsidR="003749AE" w:rsidRPr="00AE409E" w:rsidRDefault="003749AE" w:rsidP="007335E6">
            <w:pPr>
              <w:spacing w:before="60" w:line="240" w:lineRule="atLeast"/>
              <w:jc w:val="right"/>
              <w:rPr>
                <w:rFonts w:eastAsia="Times New Roman" w:cs="Times New Roman"/>
                <w:sz w:val="20"/>
                <w:lang w:eastAsia="en-AU"/>
              </w:rPr>
            </w:pPr>
            <w:r w:rsidRPr="00AE409E">
              <w:rPr>
                <w:rFonts w:eastAsia="Times New Roman" w:cs="Times New Roman"/>
                <w:sz w:val="20"/>
                <w:lang w:eastAsia="en-AU"/>
              </w:rPr>
              <w:t>$1.80</w:t>
            </w:r>
          </w:p>
        </w:tc>
      </w:tr>
      <w:tr w:rsidR="003749AE" w:rsidRPr="00AE409E" w14:paraId="4EDA0978" w14:textId="77777777" w:rsidTr="007335E6">
        <w:trPr>
          <w:trHeight w:val="300"/>
        </w:trPr>
        <w:tc>
          <w:tcPr>
            <w:tcW w:w="399"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2790C33" w14:textId="3708495A" w:rsidR="003749AE" w:rsidRPr="00AE409E" w:rsidRDefault="003749AE" w:rsidP="007335E6">
            <w:pPr>
              <w:spacing w:before="60" w:line="240" w:lineRule="atLeast"/>
              <w:jc w:val="right"/>
              <w:rPr>
                <w:rFonts w:eastAsia="Times New Roman" w:cs="Times New Roman"/>
                <w:sz w:val="20"/>
                <w:lang w:eastAsia="en-AU"/>
              </w:rPr>
            </w:pPr>
            <w:r w:rsidRPr="00AE409E">
              <w:rPr>
                <w:rFonts w:eastAsia="Times New Roman" w:cs="Times New Roman"/>
                <w:sz w:val="20"/>
                <w:lang w:eastAsia="en-AU"/>
              </w:rPr>
              <w:t>5</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08D5D0A1" w14:textId="77777777" w:rsidR="003749AE" w:rsidRPr="00AE409E" w:rsidRDefault="003749AE" w:rsidP="007335E6">
            <w:pPr>
              <w:spacing w:before="60" w:line="240" w:lineRule="atLeast"/>
              <w:jc w:val="right"/>
              <w:rPr>
                <w:rFonts w:eastAsia="Times New Roman" w:cs="Times New Roman"/>
                <w:sz w:val="20"/>
                <w:lang w:eastAsia="en-AU"/>
              </w:rPr>
            </w:pPr>
            <w:r w:rsidRPr="00AE409E">
              <w:rPr>
                <w:rFonts w:eastAsia="Times New Roman" w:cs="Times New Roman"/>
                <w:sz w:val="20"/>
                <w:lang w:eastAsia="en-AU"/>
              </w:rPr>
              <w:t>772</w:t>
            </w:r>
          </w:p>
        </w:tc>
        <w:tc>
          <w:tcPr>
            <w:tcW w:w="12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0DB16AA3" w14:textId="77777777" w:rsidR="003749AE" w:rsidRPr="00AE409E" w:rsidRDefault="003749AE" w:rsidP="007335E6">
            <w:pPr>
              <w:spacing w:before="60" w:line="240" w:lineRule="atLeast"/>
              <w:jc w:val="right"/>
              <w:rPr>
                <w:rFonts w:eastAsia="Times New Roman" w:cs="Times New Roman"/>
                <w:sz w:val="20"/>
                <w:lang w:eastAsia="en-AU"/>
              </w:rPr>
            </w:pPr>
            <w:r w:rsidRPr="00AE409E">
              <w:rPr>
                <w:rFonts w:eastAsia="Times New Roman" w:cs="Times New Roman"/>
                <w:sz w:val="20"/>
                <w:lang w:eastAsia="en-AU"/>
              </w:rPr>
              <w:t>The fee for item 733</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6A54A0E4" w14:textId="0AB349D3" w:rsidR="003749AE" w:rsidRPr="00AE409E" w:rsidRDefault="003749AE" w:rsidP="007335E6">
            <w:pPr>
              <w:spacing w:before="60" w:line="240" w:lineRule="atLeast"/>
              <w:jc w:val="right"/>
              <w:rPr>
                <w:rFonts w:eastAsia="Times New Roman" w:cs="Times New Roman"/>
                <w:sz w:val="20"/>
                <w:lang w:eastAsia="en-AU"/>
              </w:rPr>
            </w:pPr>
            <w:r w:rsidRPr="00AE409E">
              <w:rPr>
                <w:rFonts w:eastAsia="Times New Roman" w:cs="Times New Roman"/>
                <w:sz w:val="20"/>
                <w:lang w:eastAsia="en-AU"/>
              </w:rPr>
              <w:t>$4</w:t>
            </w:r>
            <w:r w:rsidR="009141DC" w:rsidRPr="00AE409E">
              <w:rPr>
                <w:rFonts w:eastAsia="Times New Roman" w:cs="Times New Roman"/>
                <w:sz w:val="20"/>
                <w:lang w:eastAsia="en-AU"/>
              </w:rPr>
              <w:t>1.15</w:t>
            </w:r>
          </w:p>
        </w:tc>
        <w:tc>
          <w:tcPr>
            <w:tcW w:w="1201" w:type="pct"/>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4BAD3513" w14:textId="77777777" w:rsidR="003749AE" w:rsidRPr="00AE409E" w:rsidRDefault="003749AE" w:rsidP="007335E6">
            <w:pPr>
              <w:spacing w:before="60" w:line="240" w:lineRule="atLeast"/>
              <w:jc w:val="right"/>
              <w:rPr>
                <w:rFonts w:eastAsia="Times New Roman" w:cs="Times New Roman"/>
                <w:sz w:val="20"/>
                <w:lang w:eastAsia="en-AU"/>
              </w:rPr>
            </w:pPr>
            <w:r w:rsidRPr="00AE409E">
              <w:rPr>
                <w:rFonts w:eastAsia="Times New Roman" w:cs="Times New Roman"/>
                <w:sz w:val="20"/>
                <w:lang w:eastAsia="en-AU"/>
              </w:rPr>
              <w:t>$2.90</w:t>
            </w:r>
          </w:p>
        </w:tc>
      </w:tr>
      <w:tr w:rsidR="003749AE" w:rsidRPr="00AE409E" w14:paraId="6C5DE297" w14:textId="77777777" w:rsidTr="007335E6">
        <w:trPr>
          <w:trHeight w:val="288"/>
        </w:trPr>
        <w:tc>
          <w:tcPr>
            <w:tcW w:w="399"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DAA2C31" w14:textId="4916E2D3" w:rsidR="003749AE" w:rsidRPr="00AE409E" w:rsidRDefault="003749AE" w:rsidP="007335E6">
            <w:pPr>
              <w:spacing w:before="60" w:line="240" w:lineRule="atLeast"/>
              <w:jc w:val="right"/>
              <w:rPr>
                <w:rFonts w:eastAsia="Times New Roman" w:cs="Times New Roman"/>
                <w:sz w:val="20"/>
                <w:lang w:eastAsia="en-AU"/>
              </w:rPr>
            </w:pPr>
            <w:r w:rsidRPr="00AE409E">
              <w:rPr>
                <w:rFonts w:eastAsia="Times New Roman" w:cs="Times New Roman"/>
                <w:sz w:val="20"/>
                <w:lang w:eastAsia="en-AU"/>
              </w:rPr>
              <w:t>6</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246E2759" w14:textId="77777777" w:rsidR="003749AE" w:rsidRPr="00AE409E" w:rsidRDefault="003749AE" w:rsidP="007335E6">
            <w:pPr>
              <w:spacing w:before="60" w:line="240" w:lineRule="atLeast"/>
              <w:jc w:val="right"/>
              <w:rPr>
                <w:rFonts w:eastAsia="Times New Roman" w:cs="Times New Roman"/>
                <w:sz w:val="20"/>
                <w:lang w:eastAsia="en-AU"/>
              </w:rPr>
            </w:pPr>
            <w:r w:rsidRPr="00AE409E">
              <w:rPr>
                <w:rFonts w:eastAsia="Times New Roman" w:cs="Times New Roman"/>
                <w:sz w:val="20"/>
                <w:lang w:eastAsia="en-AU"/>
              </w:rPr>
              <w:t>776</w:t>
            </w:r>
          </w:p>
        </w:tc>
        <w:tc>
          <w:tcPr>
            <w:tcW w:w="12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0E8491D" w14:textId="77777777" w:rsidR="003749AE" w:rsidRPr="00AE409E" w:rsidRDefault="003749AE" w:rsidP="007335E6">
            <w:pPr>
              <w:spacing w:before="60" w:line="240" w:lineRule="atLeast"/>
              <w:jc w:val="right"/>
              <w:rPr>
                <w:rFonts w:eastAsia="Times New Roman" w:cs="Times New Roman"/>
                <w:sz w:val="20"/>
                <w:lang w:eastAsia="en-AU"/>
              </w:rPr>
            </w:pPr>
            <w:r w:rsidRPr="00AE409E">
              <w:rPr>
                <w:rFonts w:eastAsia="Times New Roman" w:cs="Times New Roman"/>
                <w:sz w:val="20"/>
                <w:lang w:eastAsia="en-AU"/>
              </w:rPr>
              <w:t>The fee for item 737</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5A49B7D3" w14:textId="01623EFE" w:rsidR="003749AE" w:rsidRPr="00AE409E" w:rsidRDefault="003749AE" w:rsidP="007335E6">
            <w:pPr>
              <w:spacing w:before="60" w:line="240" w:lineRule="atLeast"/>
              <w:jc w:val="right"/>
              <w:rPr>
                <w:rFonts w:eastAsia="Times New Roman" w:cs="Times New Roman"/>
                <w:sz w:val="20"/>
                <w:lang w:eastAsia="en-AU"/>
              </w:rPr>
            </w:pPr>
            <w:r w:rsidRPr="00AE409E">
              <w:rPr>
                <w:rFonts w:eastAsia="Times New Roman" w:cs="Times New Roman"/>
                <w:sz w:val="20"/>
                <w:lang w:eastAsia="en-AU"/>
              </w:rPr>
              <w:t>$4</w:t>
            </w:r>
            <w:r w:rsidR="009141DC" w:rsidRPr="00AE409E">
              <w:rPr>
                <w:rFonts w:eastAsia="Times New Roman" w:cs="Times New Roman"/>
                <w:sz w:val="20"/>
                <w:lang w:eastAsia="en-AU"/>
              </w:rPr>
              <w:t>1.15</w:t>
            </w:r>
          </w:p>
        </w:tc>
        <w:tc>
          <w:tcPr>
            <w:tcW w:w="1201" w:type="pct"/>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591DEEC5" w14:textId="77777777" w:rsidR="003749AE" w:rsidRPr="00AE409E" w:rsidRDefault="003749AE" w:rsidP="007335E6">
            <w:pPr>
              <w:spacing w:before="60" w:line="240" w:lineRule="atLeast"/>
              <w:jc w:val="right"/>
              <w:rPr>
                <w:rFonts w:eastAsia="Times New Roman" w:cs="Times New Roman"/>
                <w:sz w:val="20"/>
                <w:lang w:eastAsia="en-AU"/>
              </w:rPr>
            </w:pPr>
            <w:r w:rsidRPr="00AE409E">
              <w:rPr>
                <w:rFonts w:eastAsia="Times New Roman" w:cs="Times New Roman"/>
                <w:sz w:val="20"/>
                <w:lang w:eastAsia="en-AU"/>
              </w:rPr>
              <w:t>$2.90</w:t>
            </w:r>
          </w:p>
        </w:tc>
      </w:tr>
      <w:tr w:rsidR="003749AE" w:rsidRPr="00AE409E" w14:paraId="68EF2952" w14:textId="77777777" w:rsidTr="00056CC5">
        <w:trPr>
          <w:trHeight w:val="300"/>
        </w:trPr>
        <w:tc>
          <w:tcPr>
            <w:tcW w:w="399"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8CAB1B1" w14:textId="69343983" w:rsidR="003749AE" w:rsidRPr="00AE409E" w:rsidRDefault="003749AE" w:rsidP="007335E6">
            <w:pPr>
              <w:spacing w:before="60" w:line="240" w:lineRule="atLeast"/>
              <w:jc w:val="right"/>
              <w:rPr>
                <w:rFonts w:eastAsia="Times New Roman" w:cs="Times New Roman"/>
                <w:sz w:val="20"/>
                <w:lang w:eastAsia="en-AU"/>
              </w:rPr>
            </w:pPr>
            <w:r w:rsidRPr="00AE409E">
              <w:rPr>
                <w:rFonts w:eastAsia="Times New Roman" w:cs="Times New Roman"/>
                <w:sz w:val="20"/>
                <w:lang w:eastAsia="en-AU"/>
              </w:rPr>
              <w:t>7</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30FB070" w14:textId="77777777" w:rsidR="003749AE" w:rsidRPr="00AE409E" w:rsidRDefault="003749AE" w:rsidP="007335E6">
            <w:pPr>
              <w:spacing w:before="60" w:line="240" w:lineRule="atLeast"/>
              <w:jc w:val="right"/>
              <w:rPr>
                <w:rFonts w:eastAsia="Times New Roman" w:cs="Times New Roman"/>
                <w:sz w:val="20"/>
                <w:lang w:eastAsia="en-AU"/>
              </w:rPr>
            </w:pPr>
            <w:r w:rsidRPr="00AE409E">
              <w:rPr>
                <w:rFonts w:eastAsia="Times New Roman" w:cs="Times New Roman"/>
                <w:sz w:val="20"/>
                <w:lang w:eastAsia="en-AU"/>
              </w:rPr>
              <w:t>788</w:t>
            </w:r>
          </w:p>
        </w:tc>
        <w:tc>
          <w:tcPr>
            <w:tcW w:w="12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BF08A0F" w14:textId="77777777" w:rsidR="003749AE" w:rsidRPr="00AE409E" w:rsidRDefault="003749AE" w:rsidP="007335E6">
            <w:pPr>
              <w:spacing w:before="60" w:line="240" w:lineRule="atLeast"/>
              <w:jc w:val="right"/>
              <w:rPr>
                <w:rFonts w:eastAsia="Times New Roman" w:cs="Times New Roman"/>
                <w:sz w:val="20"/>
                <w:lang w:eastAsia="en-AU"/>
              </w:rPr>
            </w:pPr>
            <w:r w:rsidRPr="00AE409E">
              <w:rPr>
                <w:rFonts w:eastAsia="Times New Roman" w:cs="Times New Roman"/>
                <w:sz w:val="20"/>
                <w:lang w:eastAsia="en-AU"/>
              </w:rPr>
              <w:t>The fee for item 741</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65ED4554" w14:textId="221E299B" w:rsidR="003749AE" w:rsidRPr="00AE409E" w:rsidRDefault="003749AE" w:rsidP="007335E6">
            <w:pPr>
              <w:spacing w:before="60" w:line="240" w:lineRule="atLeast"/>
              <w:jc w:val="right"/>
              <w:rPr>
                <w:rFonts w:eastAsia="Times New Roman" w:cs="Times New Roman"/>
                <w:sz w:val="20"/>
                <w:lang w:eastAsia="en-AU"/>
              </w:rPr>
            </w:pPr>
            <w:r w:rsidRPr="00AE409E">
              <w:rPr>
                <w:rFonts w:eastAsia="Times New Roman" w:cs="Times New Roman"/>
                <w:sz w:val="20"/>
                <w:lang w:eastAsia="en-AU"/>
              </w:rPr>
              <w:t>$4</w:t>
            </w:r>
            <w:r w:rsidR="009141DC" w:rsidRPr="00AE409E">
              <w:rPr>
                <w:rFonts w:eastAsia="Times New Roman" w:cs="Times New Roman"/>
                <w:sz w:val="20"/>
                <w:lang w:eastAsia="en-AU"/>
              </w:rPr>
              <w:t>1.15</w:t>
            </w:r>
          </w:p>
        </w:tc>
        <w:tc>
          <w:tcPr>
            <w:tcW w:w="1201" w:type="pct"/>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5A898639" w14:textId="77777777" w:rsidR="003749AE" w:rsidRPr="00AE409E" w:rsidRDefault="003749AE" w:rsidP="007335E6">
            <w:pPr>
              <w:spacing w:before="60" w:line="240" w:lineRule="atLeast"/>
              <w:jc w:val="right"/>
              <w:rPr>
                <w:rFonts w:eastAsia="Times New Roman" w:cs="Times New Roman"/>
                <w:sz w:val="20"/>
                <w:lang w:eastAsia="en-AU"/>
              </w:rPr>
            </w:pPr>
            <w:r w:rsidRPr="00AE409E">
              <w:rPr>
                <w:rFonts w:eastAsia="Times New Roman" w:cs="Times New Roman"/>
                <w:sz w:val="20"/>
                <w:lang w:eastAsia="en-AU"/>
              </w:rPr>
              <w:t>$2.90</w:t>
            </w:r>
          </w:p>
        </w:tc>
      </w:tr>
      <w:tr w:rsidR="003749AE" w:rsidRPr="00AE409E" w14:paraId="05A0A6BF" w14:textId="77777777" w:rsidTr="00056CC5">
        <w:trPr>
          <w:trHeight w:val="300"/>
        </w:trPr>
        <w:tc>
          <w:tcPr>
            <w:tcW w:w="399" w:type="pct"/>
            <w:tcBorders>
              <w:top w:val="single" w:sz="8" w:space="0" w:color="auto"/>
              <w:left w:val="nil"/>
              <w:bottom w:val="single" w:sz="4" w:space="0" w:color="auto"/>
              <w:right w:val="nil"/>
            </w:tcBorders>
            <w:shd w:val="clear" w:color="auto" w:fill="FFFFFF"/>
            <w:tcMar>
              <w:top w:w="0" w:type="dxa"/>
              <w:left w:w="108" w:type="dxa"/>
              <w:bottom w:w="0" w:type="dxa"/>
              <w:right w:w="108" w:type="dxa"/>
            </w:tcMar>
            <w:hideMark/>
          </w:tcPr>
          <w:p w14:paraId="3A112F38" w14:textId="167B1AD2" w:rsidR="003749AE" w:rsidRPr="00AE409E" w:rsidRDefault="003749AE" w:rsidP="007335E6">
            <w:pPr>
              <w:spacing w:before="60" w:line="240" w:lineRule="atLeast"/>
              <w:jc w:val="right"/>
              <w:rPr>
                <w:rFonts w:eastAsia="Times New Roman" w:cs="Times New Roman"/>
                <w:sz w:val="20"/>
                <w:lang w:eastAsia="en-AU"/>
              </w:rPr>
            </w:pPr>
            <w:r w:rsidRPr="00AE409E">
              <w:rPr>
                <w:rFonts w:eastAsia="Times New Roman" w:cs="Times New Roman"/>
                <w:sz w:val="20"/>
                <w:lang w:eastAsia="en-AU"/>
              </w:rPr>
              <w:t>8</w:t>
            </w:r>
          </w:p>
        </w:tc>
        <w:tc>
          <w:tcPr>
            <w:tcW w:w="950" w:type="pct"/>
            <w:tcBorders>
              <w:top w:val="single" w:sz="8" w:space="0" w:color="auto"/>
              <w:left w:val="nil"/>
              <w:bottom w:val="single" w:sz="4" w:space="0" w:color="auto"/>
              <w:right w:val="nil"/>
            </w:tcBorders>
            <w:shd w:val="clear" w:color="auto" w:fill="FFFFFF"/>
            <w:tcMar>
              <w:top w:w="0" w:type="dxa"/>
              <w:left w:w="108" w:type="dxa"/>
              <w:bottom w:w="0" w:type="dxa"/>
              <w:right w:w="108" w:type="dxa"/>
            </w:tcMar>
            <w:hideMark/>
          </w:tcPr>
          <w:p w14:paraId="404D378F" w14:textId="77777777" w:rsidR="003749AE" w:rsidRPr="00AE409E" w:rsidRDefault="003749AE" w:rsidP="007335E6">
            <w:pPr>
              <w:spacing w:before="60" w:line="240" w:lineRule="atLeast"/>
              <w:jc w:val="right"/>
              <w:rPr>
                <w:rFonts w:eastAsia="Times New Roman" w:cs="Times New Roman"/>
                <w:sz w:val="20"/>
                <w:lang w:eastAsia="en-AU"/>
              </w:rPr>
            </w:pPr>
            <w:r w:rsidRPr="00AE409E">
              <w:rPr>
                <w:rFonts w:eastAsia="Times New Roman" w:cs="Times New Roman"/>
                <w:sz w:val="20"/>
                <w:lang w:eastAsia="en-AU"/>
              </w:rPr>
              <w:t>789</w:t>
            </w:r>
          </w:p>
        </w:tc>
        <w:tc>
          <w:tcPr>
            <w:tcW w:w="1200" w:type="pct"/>
            <w:tcBorders>
              <w:top w:val="single" w:sz="8" w:space="0" w:color="auto"/>
              <w:left w:val="nil"/>
              <w:bottom w:val="single" w:sz="4" w:space="0" w:color="auto"/>
              <w:right w:val="nil"/>
            </w:tcBorders>
            <w:shd w:val="clear" w:color="auto" w:fill="FFFFFF"/>
            <w:tcMar>
              <w:top w:w="0" w:type="dxa"/>
              <w:left w:w="108" w:type="dxa"/>
              <w:bottom w:w="0" w:type="dxa"/>
              <w:right w:w="108" w:type="dxa"/>
            </w:tcMar>
            <w:hideMark/>
          </w:tcPr>
          <w:p w14:paraId="6D5935F9" w14:textId="77777777" w:rsidR="003749AE" w:rsidRPr="00AE409E" w:rsidRDefault="003749AE" w:rsidP="007335E6">
            <w:pPr>
              <w:spacing w:before="60" w:line="240" w:lineRule="atLeast"/>
              <w:jc w:val="right"/>
              <w:rPr>
                <w:rFonts w:eastAsia="Times New Roman" w:cs="Times New Roman"/>
                <w:sz w:val="20"/>
                <w:lang w:eastAsia="en-AU"/>
              </w:rPr>
            </w:pPr>
            <w:r w:rsidRPr="00AE409E">
              <w:rPr>
                <w:rFonts w:eastAsia="Times New Roman" w:cs="Times New Roman"/>
                <w:sz w:val="20"/>
                <w:lang w:eastAsia="en-AU"/>
              </w:rPr>
              <w:t>The fee for item 745</w:t>
            </w:r>
          </w:p>
        </w:tc>
        <w:tc>
          <w:tcPr>
            <w:tcW w:w="1250" w:type="pct"/>
            <w:tcBorders>
              <w:top w:val="single" w:sz="8" w:space="0" w:color="auto"/>
              <w:left w:val="nil"/>
              <w:bottom w:val="single" w:sz="4" w:space="0" w:color="auto"/>
              <w:right w:val="nil"/>
            </w:tcBorders>
            <w:shd w:val="clear" w:color="auto" w:fill="FFFFFF"/>
            <w:tcMar>
              <w:top w:w="0" w:type="dxa"/>
              <w:left w:w="108" w:type="dxa"/>
              <w:bottom w:w="0" w:type="dxa"/>
              <w:right w:w="108" w:type="dxa"/>
            </w:tcMar>
            <w:vAlign w:val="center"/>
            <w:hideMark/>
          </w:tcPr>
          <w:p w14:paraId="1278872C" w14:textId="5473396E" w:rsidR="003749AE" w:rsidRPr="00AE409E" w:rsidRDefault="003749AE" w:rsidP="007335E6">
            <w:pPr>
              <w:spacing w:before="60" w:line="240" w:lineRule="atLeast"/>
              <w:jc w:val="right"/>
              <w:rPr>
                <w:rFonts w:eastAsia="Times New Roman" w:cs="Times New Roman"/>
                <w:sz w:val="20"/>
                <w:lang w:eastAsia="en-AU"/>
              </w:rPr>
            </w:pPr>
            <w:r w:rsidRPr="00AE409E">
              <w:rPr>
                <w:rFonts w:eastAsia="Times New Roman" w:cs="Times New Roman"/>
                <w:sz w:val="20"/>
                <w:lang w:eastAsia="en-AU"/>
              </w:rPr>
              <w:t>$4</w:t>
            </w:r>
            <w:r w:rsidR="009141DC" w:rsidRPr="00AE409E">
              <w:rPr>
                <w:rFonts w:eastAsia="Times New Roman" w:cs="Times New Roman"/>
                <w:sz w:val="20"/>
                <w:lang w:eastAsia="en-AU"/>
              </w:rPr>
              <w:t>1.15</w:t>
            </w:r>
          </w:p>
        </w:tc>
        <w:tc>
          <w:tcPr>
            <w:tcW w:w="1201" w:type="pct"/>
            <w:tcBorders>
              <w:top w:val="single" w:sz="8" w:space="0" w:color="auto"/>
              <w:left w:val="nil"/>
              <w:bottom w:val="single" w:sz="4" w:space="0" w:color="auto"/>
              <w:right w:val="nil"/>
            </w:tcBorders>
            <w:shd w:val="clear" w:color="auto" w:fill="FFFFFF"/>
            <w:tcMar>
              <w:top w:w="0" w:type="dxa"/>
              <w:left w:w="108" w:type="dxa"/>
              <w:bottom w:w="0" w:type="dxa"/>
              <w:right w:w="108" w:type="dxa"/>
            </w:tcMar>
            <w:vAlign w:val="bottom"/>
            <w:hideMark/>
          </w:tcPr>
          <w:p w14:paraId="34E6643F" w14:textId="77777777" w:rsidR="003749AE" w:rsidRPr="00AE409E" w:rsidRDefault="003749AE" w:rsidP="007335E6">
            <w:pPr>
              <w:spacing w:before="60" w:line="240" w:lineRule="atLeast"/>
              <w:jc w:val="right"/>
              <w:rPr>
                <w:rFonts w:eastAsia="Times New Roman" w:cs="Times New Roman"/>
                <w:sz w:val="20"/>
                <w:lang w:eastAsia="en-AU"/>
              </w:rPr>
            </w:pPr>
            <w:r w:rsidRPr="00AE409E">
              <w:rPr>
                <w:rFonts w:eastAsia="Times New Roman" w:cs="Times New Roman"/>
                <w:sz w:val="20"/>
                <w:lang w:eastAsia="en-AU"/>
              </w:rPr>
              <w:t>$2.90</w:t>
            </w:r>
          </w:p>
        </w:tc>
      </w:tr>
      <w:tr w:rsidR="00056CC5" w:rsidRPr="00AE409E" w14:paraId="30BA51D7" w14:textId="77777777" w:rsidTr="00056CC5">
        <w:trPr>
          <w:trHeight w:val="300"/>
        </w:trPr>
        <w:tc>
          <w:tcPr>
            <w:tcW w:w="399" w:type="pct"/>
            <w:tcBorders>
              <w:top w:val="single" w:sz="4" w:space="0" w:color="auto"/>
              <w:left w:val="nil"/>
              <w:bottom w:val="single" w:sz="4" w:space="0" w:color="auto"/>
              <w:right w:val="nil"/>
            </w:tcBorders>
            <w:shd w:val="clear" w:color="auto" w:fill="FFFFFF"/>
            <w:tcMar>
              <w:top w:w="0" w:type="dxa"/>
              <w:left w:w="108" w:type="dxa"/>
              <w:bottom w:w="0" w:type="dxa"/>
              <w:right w:w="108" w:type="dxa"/>
            </w:tcMar>
          </w:tcPr>
          <w:p w14:paraId="66B7BD5A" w14:textId="2F466672" w:rsidR="00056CC5" w:rsidRPr="00AE409E" w:rsidRDefault="00056CC5" w:rsidP="007335E6">
            <w:pPr>
              <w:spacing w:before="60" w:line="240" w:lineRule="atLeast"/>
              <w:jc w:val="right"/>
              <w:rPr>
                <w:rFonts w:eastAsia="Times New Roman" w:cs="Times New Roman"/>
                <w:sz w:val="20"/>
                <w:lang w:eastAsia="en-AU"/>
              </w:rPr>
            </w:pPr>
            <w:r w:rsidRPr="00AE409E">
              <w:rPr>
                <w:rFonts w:eastAsia="Times New Roman" w:cs="Times New Roman"/>
                <w:sz w:val="20"/>
                <w:lang w:eastAsia="en-AU"/>
              </w:rPr>
              <w:t>9</w:t>
            </w:r>
          </w:p>
        </w:tc>
        <w:tc>
          <w:tcPr>
            <w:tcW w:w="950" w:type="pct"/>
            <w:tcBorders>
              <w:top w:val="single" w:sz="4" w:space="0" w:color="auto"/>
              <w:left w:val="nil"/>
              <w:bottom w:val="single" w:sz="4" w:space="0" w:color="auto"/>
              <w:right w:val="nil"/>
            </w:tcBorders>
            <w:shd w:val="clear" w:color="auto" w:fill="FFFFFF"/>
            <w:tcMar>
              <w:top w:w="0" w:type="dxa"/>
              <w:left w:w="108" w:type="dxa"/>
              <w:bottom w:w="0" w:type="dxa"/>
              <w:right w:w="108" w:type="dxa"/>
            </w:tcMar>
          </w:tcPr>
          <w:p w14:paraId="31E803A8" w14:textId="60B6F6E8" w:rsidR="00056CC5" w:rsidRPr="00AE409E" w:rsidRDefault="00E50E89" w:rsidP="007335E6">
            <w:pPr>
              <w:spacing w:before="60" w:line="240" w:lineRule="atLeast"/>
              <w:jc w:val="right"/>
              <w:rPr>
                <w:rFonts w:eastAsia="Times New Roman" w:cs="Times New Roman"/>
                <w:sz w:val="20"/>
                <w:lang w:eastAsia="en-AU"/>
              </w:rPr>
            </w:pPr>
            <w:r w:rsidRPr="00AE409E">
              <w:rPr>
                <w:rFonts w:eastAsia="Times New Roman" w:cs="Times New Roman"/>
                <w:sz w:val="20"/>
                <w:lang w:eastAsia="en-AU"/>
              </w:rPr>
              <w:t>2198</w:t>
            </w:r>
          </w:p>
        </w:tc>
        <w:tc>
          <w:tcPr>
            <w:tcW w:w="1200" w:type="pct"/>
            <w:tcBorders>
              <w:top w:val="single" w:sz="4" w:space="0" w:color="auto"/>
              <w:left w:val="nil"/>
              <w:bottom w:val="single" w:sz="4" w:space="0" w:color="auto"/>
              <w:right w:val="nil"/>
            </w:tcBorders>
            <w:shd w:val="clear" w:color="auto" w:fill="FFFFFF"/>
            <w:tcMar>
              <w:top w:w="0" w:type="dxa"/>
              <w:left w:w="108" w:type="dxa"/>
              <w:bottom w:w="0" w:type="dxa"/>
              <w:right w:w="108" w:type="dxa"/>
            </w:tcMar>
          </w:tcPr>
          <w:p w14:paraId="2CE11554" w14:textId="64C6E5B1" w:rsidR="00056CC5" w:rsidRPr="00AE409E" w:rsidRDefault="00E50E89" w:rsidP="007335E6">
            <w:pPr>
              <w:spacing w:before="60" w:line="240" w:lineRule="atLeast"/>
              <w:jc w:val="right"/>
              <w:rPr>
                <w:rFonts w:eastAsia="Times New Roman" w:cs="Times New Roman"/>
                <w:sz w:val="20"/>
                <w:lang w:eastAsia="en-AU"/>
              </w:rPr>
            </w:pPr>
            <w:r w:rsidRPr="00AE409E">
              <w:rPr>
                <w:rFonts w:eastAsia="Times New Roman" w:cs="Times New Roman"/>
                <w:sz w:val="20"/>
                <w:lang w:eastAsia="en-AU"/>
              </w:rPr>
              <w:t xml:space="preserve">The fee for item </w:t>
            </w:r>
            <w:r w:rsidR="00642B44" w:rsidRPr="00AE409E">
              <w:rPr>
                <w:rFonts w:eastAsia="Times New Roman" w:cs="Times New Roman"/>
                <w:sz w:val="20"/>
                <w:lang w:eastAsia="en-AU"/>
              </w:rPr>
              <w:t>2197</w:t>
            </w:r>
          </w:p>
        </w:tc>
        <w:tc>
          <w:tcPr>
            <w:tcW w:w="1250" w:type="pct"/>
            <w:tcBorders>
              <w:top w:val="single" w:sz="4" w:space="0" w:color="auto"/>
              <w:left w:val="nil"/>
              <w:bottom w:val="single" w:sz="4" w:space="0" w:color="auto"/>
              <w:right w:val="nil"/>
            </w:tcBorders>
            <w:shd w:val="clear" w:color="auto" w:fill="FFFFFF"/>
            <w:tcMar>
              <w:top w:w="0" w:type="dxa"/>
              <w:left w:w="108" w:type="dxa"/>
              <w:bottom w:w="0" w:type="dxa"/>
              <w:right w:w="108" w:type="dxa"/>
            </w:tcMar>
            <w:vAlign w:val="center"/>
          </w:tcPr>
          <w:p w14:paraId="51FC146D" w14:textId="206A4450" w:rsidR="00056CC5" w:rsidRPr="00AE409E" w:rsidRDefault="00E50E89" w:rsidP="007335E6">
            <w:pPr>
              <w:spacing w:before="60" w:line="240" w:lineRule="atLeast"/>
              <w:jc w:val="right"/>
              <w:rPr>
                <w:rFonts w:eastAsia="Times New Roman" w:cs="Times New Roman"/>
                <w:sz w:val="20"/>
                <w:lang w:eastAsia="en-AU"/>
              </w:rPr>
            </w:pPr>
            <w:r w:rsidRPr="00AE409E">
              <w:rPr>
                <w:rFonts w:eastAsia="Times New Roman" w:cs="Times New Roman"/>
                <w:sz w:val="20"/>
                <w:lang w:eastAsia="en-AU"/>
              </w:rPr>
              <w:t>$22.</w:t>
            </w:r>
            <w:r w:rsidR="00BD0E6B" w:rsidRPr="00AE409E">
              <w:rPr>
                <w:rFonts w:eastAsia="Times New Roman" w:cs="Times New Roman"/>
                <w:sz w:val="20"/>
                <w:lang w:eastAsia="en-AU"/>
              </w:rPr>
              <w:t>90</w:t>
            </w:r>
          </w:p>
        </w:tc>
        <w:tc>
          <w:tcPr>
            <w:tcW w:w="1201" w:type="pct"/>
            <w:tcBorders>
              <w:top w:val="single" w:sz="4" w:space="0" w:color="auto"/>
              <w:left w:val="nil"/>
              <w:bottom w:val="single" w:sz="4" w:space="0" w:color="auto"/>
              <w:right w:val="nil"/>
            </w:tcBorders>
            <w:shd w:val="clear" w:color="auto" w:fill="FFFFFF"/>
            <w:tcMar>
              <w:top w:w="0" w:type="dxa"/>
              <w:left w:w="108" w:type="dxa"/>
              <w:bottom w:w="0" w:type="dxa"/>
              <w:right w:w="108" w:type="dxa"/>
            </w:tcMar>
            <w:vAlign w:val="bottom"/>
          </w:tcPr>
          <w:p w14:paraId="4EA87C6D" w14:textId="2F61291C" w:rsidR="00056CC5" w:rsidRPr="00AE409E" w:rsidRDefault="00E50E89" w:rsidP="007335E6">
            <w:pPr>
              <w:spacing w:before="60" w:line="240" w:lineRule="atLeast"/>
              <w:jc w:val="right"/>
              <w:rPr>
                <w:rFonts w:eastAsia="Times New Roman" w:cs="Times New Roman"/>
                <w:sz w:val="20"/>
                <w:lang w:eastAsia="en-AU"/>
              </w:rPr>
            </w:pPr>
            <w:r w:rsidRPr="00AE409E">
              <w:rPr>
                <w:rFonts w:eastAsia="Times New Roman" w:cs="Times New Roman"/>
                <w:sz w:val="20"/>
                <w:lang w:eastAsia="en-AU"/>
              </w:rPr>
              <w:t>$1.80</w:t>
            </w:r>
          </w:p>
        </w:tc>
      </w:tr>
      <w:tr w:rsidR="00056CC5" w:rsidRPr="00AE409E" w14:paraId="66F52C77" w14:textId="77777777" w:rsidTr="00056CC5">
        <w:trPr>
          <w:trHeight w:val="300"/>
        </w:trPr>
        <w:tc>
          <w:tcPr>
            <w:tcW w:w="399" w:type="pct"/>
            <w:tcBorders>
              <w:top w:val="single" w:sz="4" w:space="0" w:color="auto"/>
              <w:left w:val="nil"/>
              <w:bottom w:val="single" w:sz="8" w:space="0" w:color="auto"/>
              <w:right w:val="nil"/>
            </w:tcBorders>
            <w:shd w:val="clear" w:color="auto" w:fill="FFFFFF"/>
            <w:tcMar>
              <w:top w:w="0" w:type="dxa"/>
              <w:left w:w="108" w:type="dxa"/>
              <w:bottom w:w="0" w:type="dxa"/>
              <w:right w:w="108" w:type="dxa"/>
            </w:tcMar>
          </w:tcPr>
          <w:p w14:paraId="760792E1" w14:textId="44F67E49" w:rsidR="00056CC5" w:rsidRPr="00AE409E" w:rsidRDefault="00056CC5" w:rsidP="007335E6">
            <w:pPr>
              <w:spacing w:before="60" w:line="240" w:lineRule="atLeast"/>
              <w:jc w:val="right"/>
              <w:rPr>
                <w:rFonts w:eastAsia="Times New Roman" w:cs="Times New Roman"/>
                <w:sz w:val="20"/>
                <w:lang w:eastAsia="en-AU"/>
              </w:rPr>
            </w:pPr>
            <w:r w:rsidRPr="00AE409E">
              <w:rPr>
                <w:rFonts w:eastAsia="Times New Roman" w:cs="Times New Roman"/>
                <w:sz w:val="20"/>
                <w:lang w:eastAsia="en-AU"/>
              </w:rPr>
              <w:t>10</w:t>
            </w:r>
          </w:p>
        </w:tc>
        <w:tc>
          <w:tcPr>
            <w:tcW w:w="950" w:type="pct"/>
            <w:tcBorders>
              <w:top w:val="single" w:sz="4" w:space="0" w:color="auto"/>
              <w:left w:val="nil"/>
              <w:bottom w:val="single" w:sz="8" w:space="0" w:color="auto"/>
              <w:right w:val="nil"/>
            </w:tcBorders>
            <w:shd w:val="clear" w:color="auto" w:fill="FFFFFF"/>
            <w:tcMar>
              <w:top w:w="0" w:type="dxa"/>
              <w:left w:w="108" w:type="dxa"/>
              <w:bottom w:w="0" w:type="dxa"/>
              <w:right w:w="108" w:type="dxa"/>
            </w:tcMar>
          </w:tcPr>
          <w:p w14:paraId="1B9ABE0C" w14:textId="7E95C0A0" w:rsidR="00056CC5" w:rsidRPr="00AE409E" w:rsidRDefault="00E50E89" w:rsidP="007335E6">
            <w:pPr>
              <w:spacing w:before="60" w:line="240" w:lineRule="atLeast"/>
              <w:jc w:val="right"/>
              <w:rPr>
                <w:rFonts w:eastAsia="Times New Roman" w:cs="Times New Roman"/>
                <w:sz w:val="20"/>
                <w:lang w:eastAsia="en-AU"/>
              </w:rPr>
            </w:pPr>
            <w:r w:rsidRPr="00AE409E">
              <w:rPr>
                <w:rFonts w:eastAsia="Times New Roman" w:cs="Times New Roman"/>
                <w:sz w:val="20"/>
                <w:lang w:eastAsia="en-AU"/>
              </w:rPr>
              <w:t>2200</w:t>
            </w:r>
          </w:p>
        </w:tc>
        <w:tc>
          <w:tcPr>
            <w:tcW w:w="1200" w:type="pct"/>
            <w:tcBorders>
              <w:top w:val="single" w:sz="4" w:space="0" w:color="auto"/>
              <w:left w:val="nil"/>
              <w:bottom w:val="single" w:sz="8" w:space="0" w:color="auto"/>
              <w:right w:val="nil"/>
            </w:tcBorders>
            <w:shd w:val="clear" w:color="auto" w:fill="FFFFFF"/>
            <w:tcMar>
              <w:top w:w="0" w:type="dxa"/>
              <w:left w:w="108" w:type="dxa"/>
              <w:bottom w:w="0" w:type="dxa"/>
              <w:right w:w="108" w:type="dxa"/>
            </w:tcMar>
          </w:tcPr>
          <w:p w14:paraId="1A799306" w14:textId="47349410" w:rsidR="00056CC5" w:rsidRPr="00AE409E" w:rsidRDefault="00E50E89" w:rsidP="007335E6">
            <w:pPr>
              <w:spacing w:before="60" w:line="240" w:lineRule="atLeast"/>
              <w:jc w:val="right"/>
              <w:rPr>
                <w:rFonts w:eastAsia="Times New Roman" w:cs="Times New Roman"/>
                <w:sz w:val="20"/>
                <w:lang w:eastAsia="en-AU"/>
              </w:rPr>
            </w:pPr>
            <w:r w:rsidRPr="00AE409E">
              <w:rPr>
                <w:rFonts w:eastAsia="Times New Roman" w:cs="Times New Roman"/>
                <w:sz w:val="20"/>
                <w:lang w:eastAsia="en-AU"/>
              </w:rPr>
              <w:t>The fee for item</w:t>
            </w:r>
            <w:r w:rsidR="00642B44" w:rsidRPr="00AE409E">
              <w:rPr>
                <w:rFonts w:eastAsia="Times New Roman" w:cs="Times New Roman"/>
                <w:sz w:val="20"/>
                <w:lang w:eastAsia="en-AU"/>
              </w:rPr>
              <w:t xml:space="preserve"> 2197</w:t>
            </w:r>
          </w:p>
        </w:tc>
        <w:tc>
          <w:tcPr>
            <w:tcW w:w="1250" w:type="pct"/>
            <w:tcBorders>
              <w:top w:val="single" w:sz="4" w:space="0" w:color="auto"/>
              <w:left w:val="nil"/>
              <w:bottom w:val="single" w:sz="8" w:space="0" w:color="auto"/>
              <w:right w:val="nil"/>
            </w:tcBorders>
            <w:shd w:val="clear" w:color="auto" w:fill="FFFFFF"/>
            <w:tcMar>
              <w:top w:w="0" w:type="dxa"/>
              <w:left w:w="108" w:type="dxa"/>
              <w:bottom w:w="0" w:type="dxa"/>
              <w:right w:w="108" w:type="dxa"/>
            </w:tcMar>
            <w:vAlign w:val="center"/>
          </w:tcPr>
          <w:p w14:paraId="450A1DA7" w14:textId="68738543" w:rsidR="00056CC5" w:rsidRPr="00AE409E" w:rsidRDefault="00E50E89" w:rsidP="007335E6">
            <w:pPr>
              <w:spacing w:before="60" w:line="240" w:lineRule="atLeast"/>
              <w:jc w:val="right"/>
              <w:rPr>
                <w:rFonts w:eastAsia="Times New Roman" w:cs="Times New Roman"/>
                <w:sz w:val="20"/>
                <w:lang w:eastAsia="en-AU"/>
              </w:rPr>
            </w:pPr>
            <w:r w:rsidRPr="00AE409E">
              <w:rPr>
                <w:rFonts w:eastAsia="Times New Roman" w:cs="Times New Roman"/>
                <w:sz w:val="20"/>
                <w:lang w:eastAsia="en-AU"/>
              </w:rPr>
              <w:t>$4</w:t>
            </w:r>
            <w:r w:rsidR="00BD0E6B" w:rsidRPr="00AE409E">
              <w:rPr>
                <w:rFonts w:eastAsia="Times New Roman" w:cs="Times New Roman"/>
                <w:sz w:val="20"/>
                <w:lang w:eastAsia="en-AU"/>
              </w:rPr>
              <w:t>1.15</w:t>
            </w:r>
          </w:p>
        </w:tc>
        <w:tc>
          <w:tcPr>
            <w:tcW w:w="1201" w:type="pct"/>
            <w:tcBorders>
              <w:top w:val="single" w:sz="4" w:space="0" w:color="auto"/>
              <w:left w:val="nil"/>
              <w:bottom w:val="single" w:sz="8" w:space="0" w:color="auto"/>
              <w:right w:val="nil"/>
            </w:tcBorders>
            <w:shd w:val="clear" w:color="auto" w:fill="FFFFFF"/>
            <w:tcMar>
              <w:top w:w="0" w:type="dxa"/>
              <w:left w:w="108" w:type="dxa"/>
              <w:bottom w:w="0" w:type="dxa"/>
              <w:right w:w="108" w:type="dxa"/>
            </w:tcMar>
            <w:vAlign w:val="bottom"/>
          </w:tcPr>
          <w:p w14:paraId="30206CA8" w14:textId="7E935038" w:rsidR="00056CC5" w:rsidRPr="00AE409E" w:rsidRDefault="00E50E89" w:rsidP="007335E6">
            <w:pPr>
              <w:spacing w:before="60" w:line="240" w:lineRule="atLeast"/>
              <w:jc w:val="right"/>
              <w:rPr>
                <w:rFonts w:eastAsia="Times New Roman" w:cs="Times New Roman"/>
                <w:sz w:val="20"/>
                <w:lang w:eastAsia="en-AU"/>
              </w:rPr>
            </w:pPr>
            <w:r w:rsidRPr="00AE409E">
              <w:rPr>
                <w:rFonts w:eastAsia="Times New Roman" w:cs="Times New Roman"/>
                <w:sz w:val="20"/>
                <w:lang w:eastAsia="en-AU"/>
              </w:rPr>
              <w:t>$2.90</w:t>
            </w:r>
          </w:p>
        </w:tc>
      </w:tr>
    </w:tbl>
    <w:bookmarkEnd w:id="12"/>
    <w:p w14:paraId="7E435431" w14:textId="075C12C2" w:rsidR="005E317F" w:rsidRPr="00AE409E" w:rsidRDefault="006D6C9A" w:rsidP="005E317F">
      <w:pPr>
        <w:pStyle w:val="ItemHead"/>
      </w:pPr>
      <w:proofErr w:type="gramStart"/>
      <w:r w:rsidRPr="00AE409E">
        <w:t>6</w:t>
      </w:r>
      <w:r w:rsidR="005E317F" w:rsidRPr="00AE409E">
        <w:t xml:space="preserve">  </w:t>
      </w:r>
      <w:r w:rsidR="001F1CD2" w:rsidRPr="00AE409E">
        <w:t>Division</w:t>
      </w:r>
      <w:proofErr w:type="gramEnd"/>
      <w:r w:rsidR="001F1CD2" w:rsidRPr="00AE409E">
        <w:t xml:space="preserve"> 1.2</w:t>
      </w:r>
      <w:r w:rsidR="00F120BF" w:rsidRPr="00AE409E">
        <w:t xml:space="preserve"> of Schedule 1</w:t>
      </w:r>
    </w:p>
    <w:p w14:paraId="7801CE83" w14:textId="22EC1154" w:rsidR="005E317F" w:rsidRPr="00AE409E" w:rsidRDefault="005E317F" w:rsidP="005E317F">
      <w:pPr>
        <w:pStyle w:val="Item"/>
      </w:pPr>
      <w:r w:rsidRPr="00AE409E">
        <w:t xml:space="preserve">Repeal the </w:t>
      </w:r>
      <w:r w:rsidR="001F1CD2" w:rsidRPr="00AE409E">
        <w:t>Division</w:t>
      </w:r>
      <w:r w:rsidRPr="00AE409E">
        <w:t>.</w:t>
      </w:r>
    </w:p>
    <w:p w14:paraId="2F97D8FF" w14:textId="60A96CD0" w:rsidR="001F1CD2" w:rsidRPr="00AE409E" w:rsidRDefault="006D6C9A" w:rsidP="001F1CD2">
      <w:pPr>
        <w:pStyle w:val="ItemHead"/>
      </w:pPr>
      <w:proofErr w:type="gramStart"/>
      <w:r w:rsidRPr="00AE409E">
        <w:t>7</w:t>
      </w:r>
      <w:r w:rsidR="001F1CD2" w:rsidRPr="00AE409E">
        <w:t xml:space="preserve">  Division</w:t>
      </w:r>
      <w:proofErr w:type="gramEnd"/>
      <w:r w:rsidR="001F1CD2" w:rsidRPr="00AE409E">
        <w:t xml:space="preserve"> 1.3</w:t>
      </w:r>
      <w:r w:rsidR="00657EC0" w:rsidRPr="00AE409E">
        <w:t xml:space="preserve"> of Schedule 1</w:t>
      </w:r>
    </w:p>
    <w:p w14:paraId="6F6C6DF3" w14:textId="77777777" w:rsidR="001F1CD2" w:rsidRPr="00AE409E" w:rsidRDefault="001F1CD2" w:rsidP="001F1CD2">
      <w:pPr>
        <w:pStyle w:val="Item"/>
      </w:pPr>
      <w:r w:rsidRPr="00AE409E">
        <w:t>Repeal the Division.</w:t>
      </w:r>
    </w:p>
    <w:p w14:paraId="2A8E499A" w14:textId="59BC9E4B" w:rsidR="001F1CD2" w:rsidRPr="00AE409E" w:rsidRDefault="006D6C9A" w:rsidP="001F1CD2">
      <w:pPr>
        <w:pStyle w:val="ItemHead"/>
      </w:pPr>
      <w:proofErr w:type="gramStart"/>
      <w:r w:rsidRPr="00AE409E">
        <w:lastRenderedPageBreak/>
        <w:t>8</w:t>
      </w:r>
      <w:r w:rsidR="001F1CD2" w:rsidRPr="00AE409E">
        <w:t xml:space="preserve">  Division</w:t>
      </w:r>
      <w:proofErr w:type="gramEnd"/>
      <w:r w:rsidR="001F1CD2" w:rsidRPr="00AE409E">
        <w:t xml:space="preserve"> 1.4</w:t>
      </w:r>
      <w:r w:rsidR="00657EC0" w:rsidRPr="00AE409E">
        <w:t xml:space="preserve"> of Schedule 1</w:t>
      </w:r>
    </w:p>
    <w:p w14:paraId="2FAA6F30" w14:textId="77777777" w:rsidR="001F1CD2" w:rsidRPr="00AE409E" w:rsidRDefault="001F1CD2" w:rsidP="001F1CD2">
      <w:pPr>
        <w:pStyle w:val="Item"/>
      </w:pPr>
      <w:r w:rsidRPr="00AE409E">
        <w:t>Repeal the Division.</w:t>
      </w:r>
    </w:p>
    <w:p w14:paraId="753264BD" w14:textId="268245D1" w:rsidR="001F1CD2" w:rsidRPr="00AE409E" w:rsidRDefault="006D6C9A" w:rsidP="001F1CD2">
      <w:pPr>
        <w:pStyle w:val="ItemHead"/>
      </w:pPr>
      <w:proofErr w:type="gramStart"/>
      <w:r w:rsidRPr="00AE409E">
        <w:t>9</w:t>
      </w:r>
      <w:r w:rsidR="001F1CD2" w:rsidRPr="00AE409E">
        <w:t xml:space="preserve">  Division</w:t>
      </w:r>
      <w:proofErr w:type="gramEnd"/>
      <w:r w:rsidR="001F1CD2" w:rsidRPr="00AE409E">
        <w:t xml:space="preserve"> 1.5</w:t>
      </w:r>
      <w:r w:rsidR="00657EC0" w:rsidRPr="00AE409E">
        <w:t xml:space="preserve"> of Schedule 1</w:t>
      </w:r>
    </w:p>
    <w:p w14:paraId="294F96C1" w14:textId="77777777" w:rsidR="001F1CD2" w:rsidRPr="00AE409E" w:rsidRDefault="001F1CD2" w:rsidP="001F1CD2">
      <w:pPr>
        <w:pStyle w:val="Item"/>
      </w:pPr>
      <w:r w:rsidRPr="00AE409E">
        <w:t>Repeal the Division.</w:t>
      </w:r>
    </w:p>
    <w:p w14:paraId="650B85CD" w14:textId="33A954A0" w:rsidR="001F1CD2" w:rsidRPr="00AE409E" w:rsidRDefault="006D6C9A" w:rsidP="001F1CD2">
      <w:pPr>
        <w:pStyle w:val="ItemHead"/>
      </w:pPr>
      <w:proofErr w:type="gramStart"/>
      <w:r w:rsidRPr="00AE409E">
        <w:t>10</w:t>
      </w:r>
      <w:r w:rsidR="001F1CD2" w:rsidRPr="00AE409E">
        <w:t xml:space="preserve">  Division</w:t>
      </w:r>
      <w:proofErr w:type="gramEnd"/>
      <w:r w:rsidR="001F1CD2" w:rsidRPr="00AE409E">
        <w:t xml:space="preserve"> 1.6</w:t>
      </w:r>
      <w:r w:rsidR="00657EC0" w:rsidRPr="00AE409E">
        <w:t xml:space="preserve"> of Schedule 1</w:t>
      </w:r>
    </w:p>
    <w:p w14:paraId="0618F66C" w14:textId="77777777" w:rsidR="001F1CD2" w:rsidRPr="00AE409E" w:rsidRDefault="001F1CD2" w:rsidP="001F1CD2">
      <w:pPr>
        <w:pStyle w:val="Item"/>
      </w:pPr>
      <w:r w:rsidRPr="00AE409E">
        <w:t>Repeal the Division.</w:t>
      </w:r>
    </w:p>
    <w:p w14:paraId="4AF6B6F5" w14:textId="3AC43566" w:rsidR="001F1CD2" w:rsidRPr="00AE409E" w:rsidRDefault="006D6C9A" w:rsidP="001F1CD2">
      <w:pPr>
        <w:pStyle w:val="ItemHead"/>
      </w:pPr>
      <w:proofErr w:type="gramStart"/>
      <w:r w:rsidRPr="00AE409E">
        <w:t>11</w:t>
      </w:r>
      <w:r w:rsidR="001F1CD2" w:rsidRPr="00AE409E">
        <w:t xml:space="preserve">  Division</w:t>
      </w:r>
      <w:proofErr w:type="gramEnd"/>
      <w:r w:rsidR="001F1CD2" w:rsidRPr="00AE409E">
        <w:t xml:space="preserve"> 1.7</w:t>
      </w:r>
      <w:r w:rsidR="00657EC0" w:rsidRPr="00AE409E">
        <w:t xml:space="preserve"> of Schedule 1</w:t>
      </w:r>
    </w:p>
    <w:p w14:paraId="75D5B5CF" w14:textId="77777777" w:rsidR="001F1CD2" w:rsidRPr="00AE409E" w:rsidRDefault="001F1CD2" w:rsidP="001F1CD2">
      <w:pPr>
        <w:pStyle w:val="Item"/>
      </w:pPr>
      <w:r w:rsidRPr="00AE409E">
        <w:t>Repeal the Division.</w:t>
      </w:r>
    </w:p>
    <w:p w14:paraId="439F9E45" w14:textId="0900DB5B" w:rsidR="001F1CD2" w:rsidRPr="00AE409E" w:rsidRDefault="006D6C9A" w:rsidP="001F1CD2">
      <w:pPr>
        <w:pStyle w:val="ItemHead"/>
      </w:pPr>
      <w:proofErr w:type="gramStart"/>
      <w:r w:rsidRPr="00AE409E">
        <w:t>12</w:t>
      </w:r>
      <w:r w:rsidR="001F1CD2" w:rsidRPr="00AE409E">
        <w:t xml:space="preserve">  Division</w:t>
      </w:r>
      <w:proofErr w:type="gramEnd"/>
      <w:r w:rsidR="001F1CD2" w:rsidRPr="00AE409E">
        <w:t xml:space="preserve"> 1.9</w:t>
      </w:r>
      <w:r w:rsidR="00657EC0" w:rsidRPr="00AE409E">
        <w:t xml:space="preserve"> of Schedule 1</w:t>
      </w:r>
    </w:p>
    <w:p w14:paraId="5D878D50" w14:textId="22E62B4A" w:rsidR="001F1CD2" w:rsidRPr="00AE409E" w:rsidRDefault="001F1CD2" w:rsidP="001F1CD2">
      <w:pPr>
        <w:pStyle w:val="Item"/>
      </w:pPr>
      <w:r w:rsidRPr="00AE409E">
        <w:t>Repeal the Division.</w:t>
      </w:r>
    </w:p>
    <w:p w14:paraId="731788C0" w14:textId="52DAD0E9" w:rsidR="00557DA3" w:rsidRPr="00AE409E" w:rsidRDefault="00557DA3" w:rsidP="00557DA3">
      <w:pPr>
        <w:pStyle w:val="ItemHead"/>
      </w:pPr>
      <w:proofErr w:type="gramStart"/>
      <w:r w:rsidRPr="00AE409E">
        <w:t>1</w:t>
      </w:r>
      <w:r w:rsidR="006D6C9A" w:rsidRPr="00AE409E">
        <w:t>3</w:t>
      </w:r>
      <w:r w:rsidRPr="00AE409E">
        <w:t xml:space="preserve">  Division</w:t>
      </w:r>
      <w:proofErr w:type="gramEnd"/>
      <w:r w:rsidRPr="00AE409E">
        <w:t xml:space="preserve"> 1.10 of Schedule 1</w:t>
      </w:r>
    </w:p>
    <w:p w14:paraId="52B98A1B" w14:textId="03ACEB0C" w:rsidR="00494FE8" w:rsidRPr="00AE409E" w:rsidRDefault="00D73A70" w:rsidP="00494FE8">
      <w:pPr>
        <w:pStyle w:val="Item"/>
      </w:pPr>
      <w:r w:rsidRPr="00AE409E">
        <w:t>Rep</w:t>
      </w:r>
      <w:r w:rsidR="00E50E89" w:rsidRPr="00AE409E">
        <w:t>eal the table, substitute:</w:t>
      </w:r>
      <w:r w:rsidR="00494FE8" w:rsidRPr="00AE409E">
        <w:br/>
      </w: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242"/>
        <w:gridCol w:w="5812"/>
        <w:gridCol w:w="1473"/>
      </w:tblGrid>
      <w:tr w:rsidR="00494FE8" w:rsidRPr="00AE409E" w14:paraId="74F5B073" w14:textId="77777777" w:rsidTr="008312F0">
        <w:trPr>
          <w:tblHeader/>
        </w:trPr>
        <w:tc>
          <w:tcPr>
            <w:tcW w:w="5000" w:type="pct"/>
            <w:gridSpan w:val="3"/>
            <w:tcBorders>
              <w:top w:val="single" w:sz="12" w:space="0" w:color="auto"/>
              <w:left w:val="nil"/>
              <w:bottom w:val="single" w:sz="12" w:space="0" w:color="auto"/>
              <w:right w:val="nil"/>
            </w:tcBorders>
            <w:shd w:val="clear" w:color="auto" w:fill="auto"/>
            <w:hideMark/>
          </w:tcPr>
          <w:p w14:paraId="1B24FC74" w14:textId="77777777" w:rsidR="00494FE8" w:rsidRPr="00AE409E" w:rsidRDefault="00494FE8" w:rsidP="00DD0AD1">
            <w:pPr>
              <w:pStyle w:val="Item"/>
              <w:ind w:left="0"/>
              <w:rPr>
                <w:b/>
                <w:sz w:val="20"/>
              </w:rPr>
            </w:pPr>
            <w:r w:rsidRPr="00AE409E">
              <w:rPr>
                <w:b/>
                <w:sz w:val="20"/>
              </w:rPr>
              <w:t>Group A7 – Acupuncture and Non</w:t>
            </w:r>
            <w:r w:rsidRPr="00AE409E">
              <w:rPr>
                <w:b/>
                <w:sz w:val="20"/>
              </w:rPr>
              <w:noBreakHyphen/>
              <w:t>Specialist Practitioner Items</w:t>
            </w:r>
          </w:p>
        </w:tc>
      </w:tr>
      <w:tr w:rsidR="00494FE8" w:rsidRPr="00AE409E" w14:paraId="2F7CDBD6" w14:textId="77777777" w:rsidTr="000327BB">
        <w:trPr>
          <w:tblHeader/>
        </w:trPr>
        <w:tc>
          <w:tcPr>
            <w:tcW w:w="4136" w:type="pct"/>
            <w:gridSpan w:val="2"/>
            <w:tcBorders>
              <w:top w:val="single" w:sz="12" w:space="0" w:color="auto"/>
              <w:left w:val="nil"/>
              <w:bottom w:val="single" w:sz="4" w:space="0" w:color="auto"/>
              <w:right w:val="nil"/>
            </w:tcBorders>
            <w:shd w:val="clear" w:color="auto" w:fill="auto"/>
          </w:tcPr>
          <w:p w14:paraId="107F2278" w14:textId="45D76D21" w:rsidR="00494FE8" w:rsidRPr="00AE409E" w:rsidRDefault="00494FE8" w:rsidP="00DD0AD1">
            <w:pPr>
              <w:pStyle w:val="Item"/>
              <w:ind w:left="0"/>
              <w:rPr>
                <w:b/>
                <w:sz w:val="20"/>
              </w:rPr>
            </w:pPr>
            <w:r w:rsidRPr="00AE409E">
              <w:rPr>
                <w:b/>
                <w:sz w:val="20"/>
              </w:rPr>
              <w:t xml:space="preserve">Subgroup 10 </w:t>
            </w:r>
            <w:r w:rsidR="005E0B37" w:rsidRPr="00AE409E">
              <w:rPr>
                <w:b/>
                <w:sz w:val="20"/>
              </w:rPr>
              <w:t>–</w:t>
            </w:r>
            <w:r w:rsidRPr="00AE409E">
              <w:rPr>
                <w:b/>
                <w:sz w:val="20"/>
              </w:rPr>
              <w:t xml:space="preserve"> </w:t>
            </w:r>
            <w:r w:rsidR="005E0B37" w:rsidRPr="00AE409E">
              <w:rPr>
                <w:b/>
                <w:sz w:val="20"/>
              </w:rPr>
              <w:t>Prescribed Medical</w:t>
            </w:r>
            <w:r w:rsidRPr="00AE409E">
              <w:rPr>
                <w:b/>
                <w:sz w:val="20"/>
              </w:rPr>
              <w:t xml:space="preserve"> Practitioner after‑hours attendances to which no other item applies</w:t>
            </w:r>
          </w:p>
        </w:tc>
        <w:tc>
          <w:tcPr>
            <w:tcW w:w="864" w:type="pct"/>
            <w:tcBorders>
              <w:top w:val="single" w:sz="12" w:space="0" w:color="auto"/>
              <w:left w:val="nil"/>
              <w:bottom w:val="single" w:sz="4" w:space="0" w:color="auto"/>
              <w:right w:val="nil"/>
            </w:tcBorders>
            <w:shd w:val="clear" w:color="auto" w:fill="auto"/>
          </w:tcPr>
          <w:p w14:paraId="7859FE47" w14:textId="77777777" w:rsidR="00494FE8" w:rsidRPr="00AE409E" w:rsidRDefault="00494FE8" w:rsidP="00494FE8">
            <w:pPr>
              <w:pStyle w:val="Item"/>
              <w:rPr>
                <w:b/>
                <w:sz w:val="20"/>
              </w:rPr>
            </w:pPr>
          </w:p>
        </w:tc>
      </w:tr>
      <w:tr w:rsidR="00494FE8" w:rsidRPr="00AE409E" w14:paraId="70AE909E" w14:textId="77777777" w:rsidTr="000327BB">
        <w:trPr>
          <w:tblHeader/>
        </w:trPr>
        <w:tc>
          <w:tcPr>
            <w:tcW w:w="728" w:type="pct"/>
            <w:tcBorders>
              <w:top w:val="single" w:sz="4" w:space="0" w:color="auto"/>
              <w:left w:val="nil"/>
              <w:bottom w:val="single" w:sz="12" w:space="0" w:color="auto"/>
              <w:right w:val="nil"/>
            </w:tcBorders>
            <w:shd w:val="clear" w:color="auto" w:fill="auto"/>
            <w:hideMark/>
          </w:tcPr>
          <w:p w14:paraId="640A65E6" w14:textId="77777777" w:rsidR="00494FE8" w:rsidRPr="00AE409E" w:rsidRDefault="00494FE8" w:rsidP="00DD0AD1">
            <w:pPr>
              <w:pStyle w:val="Item"/>
              <w:ind w:left="0"/>
              <w:jc w:val="both"/>
              <w:rPr>
                <w:b/>
                <w:sz w:val="20"/>
              </w:rPr>
            </w:pPr>
            <w:r w:rsidRPr="00AE409E">
              <w:rPr>
                <w:b/>
                <w:sz w:val="20"/>
              </w:rPr>
              <w:t>Item</w:t>
            </w:r>
          </w:p>
        </w:tc>
        <w:tc>
          <w:tcPr>
            <w:tcW w:w="3408" w:type="pct"/>
            <w:tcBorders>
              <w:top w:val="single" w:sz="4" w:space="0" w:color="auto"/>
              <w:left w:val="nil"/>
              <w:bottom w:val="single" w:sz="12" w:space="0" w:color="auto"/>
              <w:right w:val="nil"/>
            </w:tcBorders>
            <w:shd w:val="clear" w:color="auto" w:fill="auto"/>
            <w:hideMark/>
          </w:tcPr>
          <w:p w14:paraId="7DF41B7E" w14:textId="77777777" w:rsidR="00494FE8" w:rsidRPr="00AE409E" w:rsidRDefault="00494FE8" w:rsidP="000327BB">
            <w:pPr>
              <w:pStyle w:val="Item"/>
              <w:ind w:left="0"/>
              <w:rPr>
                <w:b/>
                <w:sz w:val="20"/>
              </w:rPr>
            </w:pPr>
            <w:r w:rsidRPr="00AE409E">
              <w:rPr>
                <w:b/>
                <w:sz w:val="20"/>
              </w:rPr>
              <w:t>Description</w:t>
            </w:r>
          </w:p>
        </w:tc>
        <w:tc>
          <w:tcPr>
            <w:tcW w:w="864" w:type="pct"/>
            <w:tcBorders>
              <w:top w:val="single" w:sz="4" w:space="0" w:color="auto"/>
              <w:left w:val="nil"/>
              <w:bottom w:val="single" w:sz="12" w:space="0" w:color="auto"/>
              <w:right w:val="nil"/>
            </w:tcBorders>
            <w:shd w:val="clear" w:color="auto" w:fill="auto"/>
            <w:hideMark/>
          </w:tcPr>
          <w:p w14:paraId="18CFA30B" w14:textId="77777777" w:rsidR="00494FE8" w:rsidRPr="00AE409E" w:rsidRDefault="00494FE8" w:rsidP="000327BB">
            <w:pPr>
              <w:pStyle w:val="Item"/>
              <w:ind w:left="0"/>
              <w:jc w:val="right"/>
              <w:rPr>
                <w:b/>
                <w:sz w:val="20"/>
              </w:rPr>
            </w:pPr>
            <w:r w:rsidRPr="00AE409E">
              <w:rPr>
                <w:b/>
                <w:sz w:val="20"/>
              </w:rPr>
              <w:t>Fee ($)</w:t>
            </w:r>
          </w:p>
        </w:tc>
      </w:tr>
      <w:tr w:rsidR="00494FE8" w:rsidRPr="00AE409E" w14:paraId="0BDD7F18" w14:textId="77777777" w:rsidTr="000327BB">
        <w:tc>
          <w:tcPr>
            <w:tcW w:w="728" w:type="pct"/>
            <w:tcBorders>
              <w:top w:val="single" w:sz="12" w:space="0" w:color="auto"/>
              <w:left w:val="nil"/>
              <w:bottom w:val="single" w:sz="4" w:space="0" w:color="auto"/>
              <w:right w:val="nil"/>
            </w:tcBorders>
            <w:shd w:val="clear" w:color="auto" w:fill="auto"/>
            <w:hideMark/>
          </w:tcPr>
          <w:p w14:paraId="73EF035E" w14:textId="77777777" w:rsidR="00494FE8" w:rsidRPr="00AE409E" w:rsidRDefault="00494FE8" w:rsidP="00DD0AD1">
            <w:pPr>
              <w:pStyle w:val="Item"/>
              <w:ind w:left="0"/>
              <w:jc w:val="both"/>
              <w:rPr>
                <w:sz w:val="20"/>
              </w:rPr>
            </w:pPr>
            <w:r w:rsidRPr="00AE409E">
              <w:rPr>
                <w:sz w:val="20"/>
              </w:rPr>
              <w:t>733</w:t>
            </w:r>
          </w:p>
        </w:tc>
        <w:tc>
          <w:tcPr>
            <w:tcW w:w="3408" w:type="pct"/>
            <w:tcBorders>
              <w:top w:val="single" w:sz="12" w:space="0" w:color="auto"/>
              <w:left w:val="nil"/>
              <w:bottom w:val="single" w:sz="4" w:space="0" w:color="auto"/>
              <w:right w:val="nil"/>
            </w:tcBorders>
            <w:shd w:val="clear" w:color="auto" w:fill="auto"/>
            <w:hideMark/>
          </w:tcPr>
          <w:p w14:paraId="336124A9" w14:textId="44087CFB" w:rsidR="00494FE8" w:rsidRPr="00AE409E" w:rsidRDefault="00494FE8" w:rsidP="000327BB">
            <w:pPr>
              <w:pStyle w:val="Item"/>
              <w:ind w:left="0"/>
              <w:rPr>
                <w:sz w:val="20"/>
              </w:rPr>
            </w:pPr>
            <w:r w:rsidRPr="00AE409E">
              <w:rPr>
                <w:sz w:val="20"/>
              </w:rPr>
              <w:t xml:space="preserve">Professional attendance at consulting rooms of not more than 5 minutes in duration (other than a service to which another item applies) by a </w:t>
            </w:r>
            <w:r w:rsidR="00930313" w:rsidRPr="00AE409E">
              <w:rPr>
                <w:sz w:val="20"/>
              </w:rPr>
              <w:t xml:space="preserve">prescribed </w:t>
            </w:r>
            <w:r w:rsidRPr="00AE409E">
              <w:rPr>
                <w:sz w:val="20"/>
              </w:rPr>
              <w:t>medical practitioner—each attendance</w:t>
            </w:r>
          </w:p>
        </w:tc>
        <w:tc>
          <w:tcPr>
            <w:tcW w:w="864" w:type="pct"/>
            <w:tcBorders>
              <w:top w:val="single" w:sz="12" w:space="0" w:color="auto"/>
              <w:left w:val="nil"/>
              <w:bottom w:val="single" w:sz="4" w:space="0" w:color="auto"/>
              <w:right w:val="nil"/>
            </w:tcBorders>
            <w:shd w:val="clear" w:color="auto" w:fill="auto"/>
            <w:hideMark/>
          </w:tcPr>
          <w:p w14:paraId="30C83672" w14:textId="77777777" w:rsidR="00494FE8" w:rsidRPr="00AE409E" w:rsidRDefault="00494FE8" w:rsidP="00DD0AD1">
            <w:pPr>
              <w:pStyle w:val="Item"/>
              <w:jc w:val="right"/>
              <w:rPr>
                <w:sz w:val="20"/>
              </w:rPr>
            </w:pPr>
            <w:r w:rsidRPr="00AE409E">
              <w:rPr>
                <w:sz w:val="20"/>
              </w:rPr>
              <w:t>25.50</w:t>
            </w:r>
          </w:p>
        </w:tc>
      </w:tr>
      <w:tr w:rsidR="00494FE8" w:rsidRPr="00AE409E" w14:paraId="6FEAC719" w14:textId="77777777" w:rsidTr="000327BB">
        <w:tc>
          <w:tcPr>
            <w:tcW w:w="728" w:type="pct"/>
            <w:tcBorders>
              <w:top w:val="single" w:sz="4" w:space="0" w:color="auto"/>
              <w:left w:val="nil"/>
              <w:bottom w:val="single" w:sz="4" w:space="0" w:color="auto"/>
              <w:right w:val="nil"/>
            </w:tcBorders>
            <w:shd w:val="clear" w:color="auto" w:fill="auto"/>
            <w:hideMark/>
          </w:tcPr>
          <w:p w14:paraId="4B6180BA" w14:textId="77777777" w:rsidR="00494FE8" w:rsidRPr="00AE409E" w:rsidRDefault="00494FE8" w:rsidP="00DD0AD1">
            <w:pPr>
              <w:pStyle w:val="Item"/>
              <w:ind w:left="0"/>
              <w:jc w:val="both"/>
              <w:rPr>
                <w:sz w:val="20"/>
              </w:rPr>
            </w:pPr>
            <w:bookmarkStart w:id="13" w:name="CU_4276814"/>
            <w:bookmarkStart w:id="14" w:name="CU_4278861"/>
            <w:bookmarkEnd w:id="13"/>
            <w:bookmarkEnd w:id="14"/>
            <w:r w:rsidRPr="00AE409E">
              <w:rPr>
                <w:sz w:val="20"/>
              </w:rPr>
              <w:t>737</w:t>
            </w:r>
          </w:p>
        </w:tc>
        <w:tc>
          <w:tcPr>
            <w:tcW w:w="3408" w:type="pct"/>
            <w:tcBorders>
              <w:top w:val="single" w:sz="4" w:space="0" w:color="auto"/>
              <w:left w:val="nil"/>
              <w:bottom w:val="single" w:sz="4" w:space="0" w:color="auto"/>
              <w:right w:val="nil"/>
            </w:tcBorders>
            <w:shd w:val="clear" w:color="auto" w:fill="auto"/>
            <w:hideMark/>
          </w:tcPr>
          <w:p w14:paraId="76944492" w14:textId="32F57CE5" w:rsidR="00494FE8" w:rsidRPr="00AE409E" w:rsidRDefault="00494FE8" w:rsidP="000327BB">
            <w:pPr>
              <w:pStyle w:val="Item"/>
              <w:ind w:left="0"/>
              <w:rPr>
                <w:sz w:val="20"/>
              </w:rPr>
            </w:pPr>
            <w:r w:rsidRPr="00AE409E">
              <w:rPr>
                <w:sz w:val="20"/>
              </w:rPr>
              <w:t xml:space="preserve">Professional attendance at consulting rooms of more than 5 minutes in duration but not more than 25 minutes in duration (other than a service to which another item applies) by a </w:t>
            </w:r>
            <w:r w:rsidR="00930313" w:rsidRPr="00AE409E">
              <w:rPr>
                <w:sz w:val="20"/>
              </w:rPr>
              <w:t xml:space="preserve">prescribed </w:t>
            </w:r>
            <w:r w:rsidRPr="00AE409E">
              <w:rPr>
                <w:sz w:val="20"/>
              </w:rPr>
              <w:t>medical practitioner—each attendance</w:t>
            </w:r>
          </w:p>
        </w:tc>
        <w:tc>
          <w:tcPr>
            <w:tcW w:w="864" w:type="pct"/>
            <w:tcBorders>
              <w:top w:val="single" w:sz="4" w:space="0" w:color="auto"/>
              <w:left w:val="nil"/>
              <w:bottom w:val="single" w:sz="4" w:space="0" w:color="auto"/>
              <w:right w:val="nil"/>
            </w:tcBorders>
            <w:shd w:val="clear" w:color="auto" w:fill="auto"/>
            <w:hideMark/>
          </w:tcPr>
          <w:p w14:paraId="31178F8C" w14:textId="77777777" w:rsidR="00494FE8" w:rsidRPr="00AE409E" w:rsidRDefault="00494FE8" w:rsidP="00DD0AD1">
            <w:pPr>
              <w:pStyle w:val="Item"/>
              <w:jc w:val="right"/>
              <w:rPr>
                <w:sz w:val="20"/>
                <w:vertAlign w:val="subscript"/>
              </w:rPr>
            </w:pPr>
            <w:r w:rsidRPr="00AE409E">
              <w:rPr>
                <w:sz w:val="20"/>
              </w:rPr>
              <w:t>43.10</w:t>
            </w:r>
          </w:p>
        </w:tc>
      </w:tr>
      <w:tr w:rsidR="00494FE8" w:rsidRPr="00AE409E" w14:paraId="34C075AA" w14:textId="77777777" w:rsidTr="000327BB">
        <w:trPr>
          <w:cantSplit/>
        </w:trPr>
        <w:tc>
          <w:tcPr>
            <w:tcW w:w="728" w:type="pct"/>
            <w:tcBorders>
              <w:top w:val="single" w:sz="4" w:space="0" w:color="auto"/>
              <w:left w:val="nil"/>
              <w:bottom w:val="single" w:sz="4" w:space="0" w:color="auto"/>
              <w:right w:val="nil"/>
            </w:tcBorders>
            <w:shd w:val="clear" w:color="auto" w:fill="auto"/>
            <w:hideMark/>
          </w:tcPr>
          <w:p w14:paraId="1CE4F0BC" w14:textId="77777777" w:rsidR="00494FE8" w:rsidRPr="00AE409E" w:rsidRDefault="00494FE8" w:rsidP="00DD0AD1">
            <w:pPr>
              <w:pStyle w:val="Item"/>
              <w:ind w:left="0"/>
              <w:jc w:val="both"/>
              <w:rPr>
                <w:sz w:val="20"/>
              </w:rPr>
            </w:pPr>
            <w:r w:rsidRPr="00AE409E">
              <w:rPr>
                <w:sz w:val="20"/>
              </w:rPr>
              <w:t>741</w:t>
            </w:r>
          </w:p>
        </w:tc>
        <w:tc>
          <w:tcPr>
            <w:tcW w:w="3408" w:type="pct"/>
            <w:tcBorders>
              <w:top w:val="single" w:sz="4" w:space="0" w:color="auto"/>
              <w:left w:val="nil"/>
              <w:bottom w:val="single" w:sz="4" w:space="0" w:color="auto"/>
              <w:right w:val="nil"/>
            </w:tcBorders>
            <w:shd w:val="clear" w:color="auto" w:fill="auto"/>
            <w:hideMark/>
          </w:tcPr>
          <w:p w14:paraId="15F43072" w14:textId="4E92709E" w:rsidR="00494FE8" w:rsidRPr="00AE409E" w:rsidRDefault="00494FE8" w:rsidP="000327BB">
            <w:pPr>
              <w:pStyle w:val="Item"/>
              <w:ind w:left="0"/>
              <w:rPr>
                <w:sz w:val="20"/>
              </w:rPr>
            </w:pPr>
            <w:r w:rsidRPr="00AE409E">
              <w:rPr>
                <w:sz w:val="20"/>
              </w:rPr>
              <w:t xml:space="preserve">Professional attendance at consulting rooms of more than 25 minutes in duration but not more than 45 minutes in duration (other than a service to which another item applies) by a </w:t>
            </w:r>
            <w:r w:rsidR="00930313" w:rsidRPr="00AE409E">
              <w:rPr>
                <w:sz w:val="20"/>
              </w:rPr>
              <w:t xml:space="preserve">prescribed </w:t>
            </w:r>
            <w:r w:rsidRPr="00AE409E">
              <w:rPr>
                <w:sz w:val="20"/>
              </w:rPr>
              <w:t>medical practitioner—each attendance</w:t>
            </w:r>
          </w:p>
        </w:tc>
        <w:tc>
          <w:tcPr>
            <w:tcW w:w="864" w:type="pct"/>
            <w:tcBorders>
              <w:top w:val="single" w:sz="4" w:space="0" w:color="auto"/>
              <w:left w:val="nil"/>
              <w:bottom w:val="single" w:sz="4" w:space="0" w:color="auto"/>
              <w:right w:val="nil"/>
            </w:tcBorders>
            <w:shd w:val="clear" w:color="auto" w:fill="auto"/>
            <w:hideMark/>
          </w:tcPr>
          <w:p w14:paraId="53F33837" w14:textId="77777777" w:rsidR="00494FE8" w:rsidRPr="00AE409E" w:rsidRDefault="00494FE8" w:rsidP="00DD0AD1">
            <w:pPr>
              <w:pStyle w:val="Item"/>
              <w:jc w:val="right"/>
              <w:rPr>
                <w:sz w:val="20"/>
              </w:rPr>
            </w:pPr>
            <w:r w:rsidRPr="00AE409E">
              <w:rPr>
                <w:sz w:val="20"/>
              </w:rPr>
              <w:t>73.95</w:t>
            </w:r>
          </w:p>
        </w:tc>
      </w:tr>
      <w:tr w:rsidR="00494FE8" w:rsidRPr="00AE409E" w14:paraId="36AEB613" w14:textId="77777777" w:rsidTr="000327BB">
        <w:tc>
          <w:tcPr>
            <w:tcW w:w="728" w:type="pct"/>
            <w:tcBorders>
              <w:top w:val="single" w:sz="4" w:space="0" w:color="auto"/>
              <w:left w:val="nil"/>
              <w:bottom w:val="single" w:sz="4" w:space="0" w:color="auto"/>
              <w:right w:val="nil"/>
            </w:tcBorders>
            <w:shd w:val="clear" w:color="auto" w:fill="auto"/>
            <w:hideMark/>
          </w:tcPr>
          <w:p w14:paraId="566ED2DF" w14:textId="77777777" w:rsidR="00494FE8" w:rsidRPr="00AE409E" w:rsidRDefault="00494FE8" w:rsidP="00DD0AD1">
            <w:pPr>
              <w:pStyle w:val="Item"/>
              <w:ind w:left="0"/>
              <w:jc w:val="both"/>
              <w:rPr>
                <w:sz w:val="20"/>
              </w:rPr>
            </w:pPr>
            <w:bookmarkStart w:id="15" w:name="CU_6277911"/>
            <w:bookmarkStart w:id="16" w:name="CU_6279958"/>
            <w:bookmarkEnd w:id="15"/>
            <w:bookmarkEnd w:id="16"/>
            <w:r w:rsidRPr="00AE409E">
              <w:rPr>
                <w:sz w:val="20"/>
              </w:rPr>
              <w:t>745</w:t>
            </w:r>
          </w:p>
        </w:tc>
        <w:tc>
          <w:tcPr>
            <w:tcW w:w="3408" w:type="pct"/>
            <w:tcBorders>
              <w:top w:val="single" w:sz="4" w:space="0" w:color="auto"/>
              <w:left w:val="nil"/>
              <w:bottom w:val="single" w:sz="4" w:space="0" w:color="auto"/>
              <w:right w:val="nil"/>
            </w:tcBorders>
            <w:shd w:val="clear" w:color="auto" w:fill="auto"/>
            <w:hideMark/>
          </w:tcPr>
          <w:p w14:paraId="749CA63A" w14:textId="1C6D315A" w:rsidR="00494FE8" w:rsidRPr="00AE409E" w:rsidRDefault="00494FE8" w:rsidP="000327BB">
            <w:pPr>
              <w:pStyle w:val="Item"/>
              <w:ind w:left="0"/>
              <w:rPr>
                <w:sz w:val="20"/>
              </w:rPr>
            </w:pPr>
            <w:r w:rsidRPr="00AE409E">
              <w:rPr>
                <w:sz w:val="20"/>
              </w:rPr>
              <w:t xml:space="preserve">Professional attendance at consulting rooms of more than 45 minutes in duration but not more than 60 minutes (other than a service to which another item applies) by a </w:t>
            </w:r>
            <w:r w:rsidR="00930313" w:rsidRPr="00AE409E">
              <w:rPr>
                <w:sz w:val="20"/>
              </w:rPr>
              <w:t xml:space="preserve">prescribed </w:t>
            </w:r>
            <w:r w:rsidRPr="00AE409E">
              <w:rPr>
                <w:sz w:val="20"/>
              </w:rPr>
              <w:t>medical practitioner—each attendance</w:t>
            </w:r>
          </w:p>
        </w:tc>
        <w:tc>
          <w:tcPr>
            <w:tcW w:w="864" w:type="pct"/>
            <w:tcBorders>
              <w:top w:val="single" w:sz="4" w:space="0" w:color="auto"/>
              <w:left w:val="nil"/>
              <w:bottom w:val="single" w:sz="4" w:space="0" w:color="auto"/>
              <w:right w:val="nil"/>
            </w:tcBorders>
            <w:shd w:val="clear" w:color="auto" w:fill="auto"/>
            <w:hideMark/>
          </w:tcPr>
          <w:p w14:paraId="38A1EA85" w14:textId="77777777" w:rsidR="00494FE8" w:rsidRPr="00AE409E" w:rsidRDefault="00494FE8" w:rsidP="00DD0AD1">
            <w:pPr>
              <w:pStyle w:val="Item"/>
              <w:jc w:val="right"/>
              <w:rPr>
                <w:sz w:val="20"/>
              </w:rPr>
            </w:pPr>
            <w:r w:rsidRPr="00AE409E">
              <w:rPr>
                <w:sz w:val="20"/>
              </w:rPr>
              <w:t>103.70</w:t>
            </w:r>
          </w:p>
        </w:tc>
      </w:tr>
      <w:tr w:rsidR="00494FE8" w:rsidRPr="00AE409E" w14:paraId="40FBFA77" w14:textId="77777777" w:rsidTr="000327BB">
        <w:tc>
          <w:tcPr>
            <w:tcW w:w="728" w:type="pct"/>
            <w:tcBorders>
              <w:top w:val="single" w:sz="4" w:space="0" w:color="auto"/>
              <w:left w:val="nil"/>
              <w:bottom w:val="single" w:sz="4" w:space="0" w:color="auto"/>
              <w:right w:val="nil"/>
            </w:tcBorders>
            <w:shd w:val="clear" w:color="auto" w:fill="auto"/>
            <w:hideMark/>
          </w:tcPr>
          <w:p w14:paraId="678BD4DC" w14:textId="77777777" w:rsidR="00494FE8" w:rsidRPr="00AE409E" w:rsidRDefault="00494FE8" w:rsidP="00DD0AD1">
            <w:pPr>
              <w:pStyle w:val="Item"/>
              <w:ind w:left="0"/>
              <w:jc w:val="both"/>
              <w:rPr>
                <w:sz w:val="20"/>
              </w:rPr>
            </w:pPr>
            <w:r w:rsidRPr="00AE409E">
              <w:rPr>
                <w:sz w:val="20"/>
              </w:rPr>
              <w:t>761</w:t>
            </w:r>
          </w:p>
        </w:tc>
        <w:tc>
          <w:tcPr>
            <w:tcW w:w="3408" w:type="pct"/>
            <w:tcBorders>
              <w:top w:val="single" w:sz="4" w:space="0" w:color="auto"/>
              <w:left w:val="nil"/>
              <w:bottom w:val="single" w:sz="4" w:space="0" w:color="auto"/>
              <w:right w:val="nil"/>
            </w:tcBorders>
            <w:shd w:val="clear" w:color="auto" w:fill="auto"/>
            <w:hideMark/>
          </w:tcPr>
          <w:p w14:paraId="7A71F394" w14:textId="1D5B0220" w:rsidR="00494FE8" w:rsidRPr="00AE409E" w:rsidRDefault="00494FE8" w:rsidP="000327BB">
            <w:pPr>
              <w:pStyle w:val="Item"/>
              <w:ind w:left="0"/>
              <w:rPr>
                <w:sz w:val="20"/>
              </w:rPr>
            </w:pPr>
            <w:r w:rsidRPr="00AE409E">
              <w:rPr>
                <w:sz w:val="20"/>
              </w:rPr>
              <w:t xml:space="preserve">Professional attendance by a </w:t>
            </w:r>
            <w:r w:rsidR="00930313" w:rsidRPr="00AE409E">
              <w:rPr>
                <w:sz w:val="20"/>
              </w:rPr>
              <w:t xml:space="preserve">prescribed </w:t>
            </w:r>
            <w:r w:rsidRPr="00AE409E">
              <w:rPr>
                <w:sz w:val="20"/>
              </w:rPr>
              <w:t>medical practitioner (other than attendance at consulting rooms, a hospital or a residential aged care facility or a service to which another item in the table applies), lasting not more than 5 minutes—an attendance on one or more patients on one occasion—each patient</w:t>
            </w:r>
          </w:p>
        </w:tc>
        <w:tc>
          <w:tcPr>
            <w:tcW w:w="864" w:type="pct"/>
            <w:tcBorders>
              <w:top w:val="single" w:sz="4" w:space="0" w:color="auto"/>
              <w:left w:val="nil"/>
              <w:bottom w:val="single" w:sz="4" w:space="0" w:color="auto"/>
              <w:right w:val="nil"/>
            </w:tcBorders>
            <w:shd w:val="clear" w:color="auto" w:fill="auto"/>
            <w:hideMark/>
          </w:tcPr>
          <w:p w14:paraId="009A780B" w14:textId="77777777" w:rsidR="00494FE8" w:rsidRPr="00AE409E" w:rsidRDefault="00494FE8" w:rsidP="000327BB">
            <w:pPr>
              <w:pStyle w:val="Item"/>
              <w:ind w:left="0"/>
              <w:rPr>
                <w:sz w:val="20"/>
              </w:rPr>
            </w:pPr>
            <w:r w:rsidRPr="00AE409E">
              <w:rPr>
                <w:sz w:val="20"/>
              </w:rPr>
              <w:t>Amount under clause 1.1.1</w:t>
            </w:r>
          </w:p>
        </w:tc>
      </w:tr>
      <w:tr w:rsidR="00494FE8" w:rsidRPr="00AE409E" w14:paraId="53465F08" w14:textId="77777777" w:rsidTr="000327BB">
        <w:tc>
          <w:tcPr>
            <w:tcW w:w="728" w:type="pct"/>
            <w:tcBorders>
              <w:top w:val="single" w:sz="4" w:space="0" w:color="auto"/>
              <w:left w:val="nil"/>
              <w:bottom w:val="single" w:sz="4" w:space="0" w:color="auto"/>
              <w:right w:val="nil"/>
            </w:tcBorders>
            <w:shd w:val="clear" w:color="auto" w:fill="auto"/>
            <w:hideMark/>
          </w:tcPr>
          <w:p w14:paraId="1DC4711D" w14:textId="77777777" w:rsidR="00494FE8" w:rsidRPr="00AE409E" w:rsidRDefault="00494FE8" w:rsidP="00DD0AD1">
            <w:pPr>
              <w:pStyle w:val="Item"/>
              <w:ind w:left="0"/>
              <w:jc w:val="both"/>
              <w:rPr>
                <w:sz w:val="20"/>
              </w:rPr>
            </w:pPr>
            <w:r w:rsidRPr="00AE409E">
              <w:rPr>
                <w:sz w:val="20"/>
              </w:rPr>
              <w:t>763</w:t>
            </w:r>
          </w:p>
        </w:tc>
        <w:tc>
          <w:tcPr>
            <w:tcW w:w="3408" w:type="pct"/>
            <w:tcBorders>
              <w:top w:val="single" w:sz="4" w:space="0" w:color="auto"/>
              <w:left w:val="nil"/>
              <w:bottom w:val="single" w:sz="4" w:space="0" w:color="auto"/>
              <w:right w:val="nil"/>
            </w:tcBorders>
            <w:shd w:val="clear" w:color="auto" w:fill="auto"/>
            <w:hideMark/>
          </w:tcPr>
          <w:p w14:paraId="14342839" w14:textId="6693AE78" w:rsidR="00494FE8" w:rsidRPr="00AE409E" w:rsidRDefault="00494FE8" w:rsidP="000327BB">
            <w:pPr>
              <w:pStyle w:val="Item"/>
              <w:ind w:left="0"/>
              <w:rPr>
                <w:sz w:val="20"/>
              </w:rPr>
            </w:pPr>
            <w:r w:rsidRPr="00AE409E">
              <w:rPr>
                <w:sz w:val="20"/>
              </w:rPr>
              <w:t xml:space="preserve">Professional attendance by a </w:t>
            </w:r>
            <w:r w:rsidR="00930313" w:rsidRPr="00AE409E">
              <w:rPr>
                <w:sz w:val="20"/>
              </w:rPr>
              <w:t xml:space="preserve">prescribed </w:t>
            </w:r>
            <w:r w:rsidRPr="00AE409E">
              <w:rPr>
                <w:sz w:val="20"/>
              </w:rPr>
              <w:t>medical practitioner (other than attendance at consulting rooms, a hospital or a residential aged care facility or a service to which another item in the table applies), lasting more than 5 minutes, but not more than 25 minutes—an attendance on one or more patients on one occasion—each patient</w:t>
            </w:r>
          </w:p>
        </w:tc>
        <w:tc>
          <w:tcPr>
            <w:tcW w:w="864" w:type="pct"/>
            <w:tcBorders>
              <w:top w:val="single" w:sz="4" w:space="0" w:color="auto"/>
              <w:left w:val="nil"/>
              <w:bottom w:val="single" w:sz="4" w:space="0" w:color="auto"/>
              <w:right w:val="nil"/>
            </w:tcBorders>
            <w:shd w:val="clear" w:color="auto" w:fill="auto"/>
            <w:hideMark/>
          </w:tcPr>
          <w:p w14:paraId="2FF7DF83" w14:textId="77777777" w:rsidR="00494FE8" w:rsidRPr="00AE409E" w:rsidRDefault="00494FE8" w:rsidP="000327BB">
            <w:pPr>
              <w:pStyle w:val="Item"/>
              <w:ind w:left="0"/>
              <w:rPr>
                <w:sz w:val="20"/>
              </w:rPr>
            </w:pPr>
            <w:r w:rsidRPr="00AE409E">
              <w:rPr>
                <w:sz w:val="20"/>
              </w:rPr>
              <w:t>Amount under clause 1.1.1</w:t>
            </w:r>
          </w:p>
        </w:tc>
      </w:tr>
      <w:tr w:rsidR="00494FE8" w:rsidRPr="00AE409E" w14:paraId="753F48E4" w14:textId="77777777" w:rsidTr="000327BB">
        <w:tc>
          <w:tcPr>
            <w:tcW w:w="728" w:type="pct"/>
            <w:tcBorders>
              <w:top w:val="single" w:sz="4" w:space="0" w:color="auto"/>
              <w:left w:val="nil"/>
              <w:bottom w:val="single" w:sz="4" w:space="0" w:color="auto"/>
              <w:right w:val="nil"/>
            </w:tcBorders>
            <w:shd w:val="clear" w:color="auto" w:fill="auto"/>
            <w:hideMark/>
          </w:tcPr>
          <w:p w14:paraId="4DB8A9D2" w14:textId="77777777" w:rsidR="00494FE8" w:rsidRPr="00AE409E" w:rsidRDefault="00494FE8" w:rsidP="00DD0AD1">
            <w:pPr>
              <w:pStyle w:val="Item"/>
              <w:ind w:left="0"/>
              <w:jc w:val="both"/>
              <w:rPr>
                <w:sz w:val="20"/>
              </w:rPr>
            </w:pPr>
            <w:bookmarkStart w:id="17" w:name="CU_9279780"/>
            <w:bookmarkStart w:id="18" w:name="CU_9281827"/>
            <w:bookmarkEnd w:id="17"/>
            <w:bookmarkEnd w:id="18"/>
            <w:r w:rsidRPr="00AE409E">
              <w:rPr>
                <w:sz w:val="20"/>
              </w:rPr>
              <w:t>766</w:t>
            </w:r>
          </w:p>
        </w:tc>
        <w:tc>
          <w:tcPr>
            <w:tcW w:w="3408" w:type="pct"/>
            <w:tcBorders>
              <w:top w:val="single" w:sz="4" w:space="0" w:color="auto"/>
              <w:left w:val="nil"/>
              <w:bottom w:val="single" w:sz="4" w:space="0" w:color="auto"/>
              <w:right w:val="nil"/>
            </w:tcBorders>
            <w:shd w:val="clear" w:color="auto" w:fill="auto"/>
            <w:hideMark/>
          </w:tcPr>
          <w:p w14:paraId="4057B70E" w14:textId="00E3DB27" w:rsidR="00494FE8" w:rsidRPr="00AE409E" w:rsidRDefault="00494FE8" w:rsidP="000327BB">
            <w:pPr>
              <w:pStyle w:val="Item"/>
              <w:ind w:left="0"/>
              <w:rPr>
                <w:sz w:val="20"/>
              </w:rPr>
            </w:pPr>
            <w:r w:rsidRPr="00AE409E">
              <w:rPr>
                <w:sz w:val="20"/>
              </w:rPr>
              <w:t xml:space="preserve">Professional attendance by a </w:t>
            </w:r>
            <w:r w:rsidR="00930313" w:rsidRPr="00AE409E">
              <w:rPr>
                <w:sz w:val="20"/>
              </w:rPr>
              <w:t xml:space="preserve">prescribed </w:t>
            </w:r>
            <w:r w:rsidRPr="00AE409E">
              <w:rPr>
                <w:sz w:val="20"/>
              </w:rPr>
              <w:t xml:space="preserve">medical practitioner (other than attendance at consulting rooms, a hospital or a residential aged </w:t>
            </w:r>
            <w:r w:rsidRPr="00AE409E">
              <w:rPr>
                <w:sz w:val="20"/>
              </w:rPr>
              <w:lastRenderedPageBreak/>
              <w:t>care facility or a service to which another item in the table applies), lasting more than 25 minutes, but not more than 45 minutes—an attendance on one or more patients on one occasion—each patient</w:t>
            </w:r>
          </w:p>
        </w:tc>
        <w:tc>
          <w:tcPr>
            <w:tcW w:w="864" w:type="pct"/>
            <w:tcBorders>
              <w:top w:val="single" w:sz="4" w:space="0" w:color="auto"/>
              <w:left w:val="nil"/>
              <w:bottom w:val="single" w:sz="4" w:space="0" w:color="auto"/>
              <w:right w:val="nil"/>
            </w:tcBorders>
            <w:shd w:val="clear" w:color="auto" w:fill="auto"/>
            <w:hideMark/>
          </w:tcPr>
          <w:p w14:paraId="00165ECB" w14:textId="77777777" w:rsidR="00494FE8" w:rsidRPr="00AE409E" w:rsidRDefault="00494FE8" w:rsidP="000327BB">
            <w:pPr>
              <w:pStyle w:val="Item"/>
              <w:ind w:left="0"/>
              <w:rPr>
                <w:sz w:val="20"/>
              </w:rPr>
            </w:pPr>
            <w:r w:rsidRPr="00AE409E">
              <w:rPr>
                <w:sz w:val="20"/>
              </w:rPr>
              <w:lastRenderedPageBreak/>
              <w:t>Amount under clause 1.1.1</w:t>
            </w:r>
          </w:p>
        </w:tc>
      </w:tr>
      <w:tr w:rsidR="00494FE8" w:rsidRPr="00AE409E" w14:paraId="0294AC4F" w14:textId="77777777" w:rsidTr="000327BB">
        <w:tc>
          <w:tcPr>
            <w:tcW w:w="728"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14:paraId="17DC470C" w14:textId="77777777" w:rsidR="00494FE8" w:rsidRPr="00AE409E" w:rsidRDefault="00494FE8" w:rsidP="00DD0AD1">
            <w:pPr>
              <w:pStyle w:val="Item"/>
              <w:ind w:left="0"/>
              <w:jc w:val="both"/>
              <w:rPr>
                <w:sz w:val="20"/>
              </w:rPr>
            </w:pPr>
            <w:r w:rsidRPr="00AE409E">
              <w:rPr>
                <w:sz w:val="20"/>
              </w:rPr>
              <w:t>769</w:t>
            </w:r>
          </w:p>
        </w:tc>
        <w:tc>
          <w:tcPr>
            <w:tcW w:w="3408"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14:paraId="789E4DFB" w14:textId="07E67B00" w:rsidR="00494FE8" w:rsidRPr="00AE409E" w:rsidRDefault="00494FE8" w:rsidP="000327BB">
            <w:pPr>
              <w:pStyle w:val="Item"/>
              <w:ind w:left="0"/>
              <w:rPr>
                <w:sz w:val="20"/>
              </w:rPr>
            </w:pPr>
            <w:r w:rsidRPr="00AE409E">
              <w:rPr>
                <w:sz w:val="20"/>
              </w:rPr>
              <w:t xml:space="preserve">Professional attendance by a </w:t>
            </w:r>
            <w:r w:rsidR="00930313" w:rsidRPr="00AE409E">
              <w:rPr>
                <w:sz w:val="20"/>
              </w:rPr>
              <w:t xml:space="preserve">prescribed </w:t>
            </w:r>
            <w:r w:rsidRPr="00AE409E">
              <w:rPr>
                <w:sz w:val="20"/>
              </w:rPr>
              <w:t>medical practitioner (other than attendance at consulting rooms, a hospital or a residential aged care facility or a service to which another item in the table applies), lasting more than 45 minutes</w:t>
            </w:r>
            <w:r w:rsidR="00BD0E6B" w:rsidRPr="00AE409E">
              <w:rPr>
                <w:sz w:val="20"/>
              </w:rPr>
              <w:t>,</w:t>
            </w:r>
            <w:r w:rsidRPr="00AE409E">
              <w:rPr>
                <w:sz w:val="20"/>
              </w:rPr>
              <w:t xml:space="preserve"> but not more than 60 minutes—an attendance on one or more patients on one occasion—each patient.</w:t>
            </w:r>
          </w:p>
        </w:tc>
        <w:tc>
          <w:tcPr>
            <w:tcW w:w="864"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14:paraId="6C227FFB" w14:textId="77777777" w:rsidR="00494FE8" w:rsidRPr="00AE409E" w:rsidRDefault="00494FE8" w:rsidP="000327BB">
            <w:pPr>
              <w:pStyle w:val="Item"/>
              <w:ind w:left="0"/>
              <w:rPr>
                <w:sz w:val="20"/>
              </w:rPr>
            </w:pPr>
            <w:r w:rsidRPr="00AE409E">
              <w:rPr>
                <w:sz w:val="20"/>
              </w:rPr>
              <w:t>Amount under clause 1.1.1</w:t>
            </w:r>
          </w:p>
        </w:tc>
      </w:tr>
      <w:tr w:rsidR="00494FE8" w:rsidRPr="00AE409E" w14:paraId="316A8622" w14:textId="77777777" w:rsidTr="000327BB">
        <w:tc>
          <w:tcPr>
            <w:tcW w:w="728" w:type="pct"/>
            <w:tcBorders>
              <w:top w:val="single" w:sz="4" w:space="0" w:color="auto"/>
              <w:left w:val="nil"/>
              <w:bottom w:val="single" w:sz="4" w:space="0" w:color="auto"/>
              <w:right w:val="nil"/>
            </w:tcBorders>
            <w:shd w:val="clear" w:color="auto" w:fill="auto"/>
            <w:hideMark/>
          </w:tcPr>
          <w:p w14:paraId="1CA30A60" w14:textId="77777777" w:rsidR="00494FE8" w:rsidRPr="00AE409E" w:rsidRDefault="00494FE8" w:rsidP="00DD0AD1">
            <w:pPr>
              <w:pStyle w:val="Item"/>
              <w:ind w:left="0"/>
              <w:jc w:val="both"/>
              <w:rPr>
                <w:sz w:val="20"/>
              </w:rPr>
            </w:pPr>
            <w:bookmarkStart w:id="19" w:name="CU_11280983"/>
            <w:bookmarkStart w:id="20" w:name="CU_11283030"/>
            <w:bookmarkEnd w:id="19"/>
            <w:bookmarkEnd w:id="20"/>
            <w:r w:rsidRPr="00AE409E">
              <w:rPr>
                <w:sz w:val="20"/>
              </w:rPr>
              <w:t>772</w:t>
            </w:r>
          </w:p>
        </w:tc>
        <w:tc>
          <w:tcPr>
            <w:tcW w:w="3408" w:type="pct"/>
            <w:tcBorders>
              <w:top w:val="single" w:sz="4" w:space="0" w:color="auto"/>
              <w:left w:val="nil"/>
              <w:bottom w:val="single" w:sz="4" w:space="0" w:color="auto"/>
              <w:right w:val="nil"/>
            </w:tcBorders>
            <w:shd w:val="clear" w:color="auto" w:fill="auto"/>
            <w:hideMark/>
          </w:tcPr>
          <w:p w14:paraId="35D1B6C8" w14:textId="32768279" w:rsidR="00494FE8" w:rsidRPr="00AE409E" w:rsidRDefault="00494FE8" w:rsidP="000327BB">
            <w:pPr>
              <w:pStyle w:val="Item"/>
              <w:ind w:left="0"/>
              <w:rPr>
                <w:sz w:val="20"/>
              </w:rPr>
            </w:pPr>
            <w:r w:rsidRPr="00AE409E">
              <w:rPr>
                <w:sz w:val="20"/>
              </w:rPr>
              <w:t>Professional attendance (other than a service to which another item applies) at a residential aged care facility (other than a professional attendance at a self</w:t>
            </w:r>
            <w:r w:rsidRPr="00AE409E">
              <w:rPr>
                <w:sz w:val="20"/>
              </w:rPr>
              <w:noBreakHyphen/>
              <w:t>contained unit) or professional attendance at consulting rooms situated within such a complex if the patient is accommodated in the residential aged care facility (other than accommodation in a self</w:t>
            </w:r>
            <w:r w:rsidRPr="00AE409E">
              <w:rPr>
                <w:sz w:val="20"/>
              </w:rPr>
              <w:noBreakHyphen/>
              <w:t xml:space="preserve">contained unit) of not more than 5 minutes in duration by a </w:t>
            </w:r>
            <w:r w:rsidR="00930313" w:rsidRPr="00AE409E">
              <w:rPr>
                <w:sz w:val="20"/>
              </w:rPr>
              <w:t xml:space="preserve">prescribed </w:t>
            </w:r>
            <w:r w:rsidRPr="00AE409E">
              <w:rPr>
                <w:sz w:val="20"/>
              </w:rPr>
              <w:t>medical practitioner—an attendance on one or more patients at one residential aged care facility on one occasion—each patient</w:t>
            </w:r>
          </w:p>
        </w:tc>
        <w:tc>
          <w:tcPr>
            <w:tcW w:w="864" w:type="pct"/>
            <w:tcBorders>
              <w:top w:val="single" w:sz="4" w:space="0" w:color="auto"/>
              <w:left w:val="nil"/>
              <w:bottom w:val="single" w:sz="4" w:space="0" w:color="auto"/>
              <w:right w:val="nil"/>
            </w:tcBorders>
            <w:shd w:val="clear" w:color="auto" w:fill="auto"/>
            <w:hideMark/>
          </w:tcPr>
          <w:p w14:paraId="495DE016" w14:textId="77777777" w:rsidR="00494FE8" w:rsidRPr="00AE409E" w:rsidRDefault="00494FE8" w:rsidP="000327BB">
            <w:pPr>
              <w:pStyle w:val="Item"/>
              <w:ind w:left="0"/>
              <w:rPr>
                <w:sz w:val="20"/>
              </w:rPr>
            </w:pPr>
            <w:r w:rsidRPr="00AE409E">
              <w:rPr>
                <w:sz w:val="20"/>
              </w:rPr>
              <w:t>Amount under clause 1.1.1</w:t>
            </w:r>
          </w:p>
        </w:tc>
      </w:tr>
      <w:tr w:rsidR="00494FE8" w:rsidRPr="00AE409E" w14:paraId="0BC7A213" w14:textId="77777777" w:rsidTr="000327BB">
        <w:tc>
          <w:tcPr>
            <w:tcW w:w="728" w:type="pct"/>
            <w:tcBorders>
              <w:top w:val="single" w:sz="4" w:space="0" w:color="auto"/>
              <w:left w:val="nil"/>
              <w:bottom w:val="single" w:sz="4" w:space="0" w:color="auto"/>
              <w:right w:val="nil"/>
            </w:tcBorders>
            <w:shd w:val="clear" w:color="auto" w:fill="auto"/>
            <w:hideMark/>
          </w:tcPr>
          <w:p w14:paraId="5EA88D88" w14:textId="77777777" w:rsidR="00494FE8" w:rsidRPr="00AE409E" w:rsidRDefault="00494FE8" w:rsidP="00DD0AD1">
            <w:pPr>
              <w:pStyle w:val="Item"/>
              <w:ind w:left="0"/>
              <w:jc w:val="both"/>
              <w:rPr>
                <w:sz w:val="20"/>
              </w:rPr>
            </w:pPr>
            <w:r w:rsidRPr="00AE409E">
              <w:rPr>
                <w:sz w:val="20"/>
              </w:rPr>
              <w:t>776</w:t>
            </w:r>
          </w:p>
        </w:tc>
        <w:tc>
          <w:tcPr>
            <w:tcW w:w="3408" w:type="pct"/>
            <w:tcBorders>
              <w:top w:val="single" w:sz="4" w:space="0" w:color="auto"/>
              <w:left w:val="nil"/>
              <w:bottom w:val="single" w:sz="4" w:space="0" w:color="auto"/>
              <w:right w:val="nil"/>
            </w:tcBorders>
            <w:shd w:val="clear" w:color="auto" w:fill="auto"/>
            <w:hideMark/>
          </w:tcPr>
          <w:p w14:paraId="034A89AE" w14:textId="172D48A2" w:rsidR="00494FE8" w:rsidRPr="00AE409E" w:rsidRDefault="00494FE8" w:rsidP="000327BB">
            <w:pPr>
              <w:pStyle w:val="Item"/>
              <w:ind w:left="0"/>
              <w:rPr>
                <w:sz w:val="20"/>
              </w:rPr>
            </w:pPr>
            <w:r w:rsidRPr="00AE409E">
              <w:rPr>
                <w:sz w:val="20"/>
              </w:rPr>
              <w:t>Professional attendance (other than a service to which another item applies) at a residential aged care facility (other than a professional attendance at a self</w:t>
            </w:r>
            <w:r w:rsidRPr="00AE409E">
              <w:rPr>
                <w:sz w:val="20"/>
              </w:rPr>
              <w:noBreakHyphen/>
              <w:t>contained unit) or professional attendance at consulting rooms situated within such a complex if the patient is accommodated in the residential aged care facility (other than accommodation in a self</w:t>
            </w:r>
            <w:r w:rsidRPr="00AE409E">
              <w:rPr>
                <w:sz w:val="20"/>
              </w:rPr>
              <w:noBreakHyphen/>
              <w:t xml:space="preserve">contained unit) of more than 5 minutes in duration but not more than 25 minutes in duration by a </w:t>
            </w:r>
            <w:r w:rsidR="00930313" w:rsidRPr="00AE409E">
              <w:rPr>
                <w:sz w:val="20"/>
              </w:rPr>
              <w:t xml:space="preserve">prescribed </w:t>
            </w:r>
            <w:r w:rsidRPr="00AE409E">
              <w:rPr>
                <w:sz w:val="20"/>
              </w:rPr>
              <w:t>medical practitioner—an attendance on one or more patients at one residential aged care facility on one occasion—each patient</w:t>
            </w:r>
          </w:p>
        </w:tc>
        <w:tc>
          <w:tcPr>
            <w:tcW w:w="864" w:type="pct"/>
            <w:tcBorders>
              <w:top w:val="single" w:sz="4" w:space="0" w:color="auto"/>
              <w:left w:val="nil"/>
              <w:bottom w:val="single" w:sz="4" w:space="0" w:color="auto"/>
              <w:right w:val="nil"/>
            </w:tcBorders>
            <w:shd w:val="clear" w:color="auto" w:fill="auto"/>
            <w:hideMark/>
          </w:tcPr>
          <w:p w14:paraId="5D908192" w14:textId="77777777" w:rsidR="00494FE8" w:rsidRPr="00AE409E" w:rsidRDefault="00494FE8" w:rsidP="000327BB">
            <w:pPr>
              <w:pStyle w:val="Item"/>
              <w:ind w:left="0"/>
              <w:rPr>
                <w:sz w:val="20"/>
              </w:rPr>
            </w:pPr>
            <w:r w:rsidRPr="00AE409E">
              <w:rPr>
                <w:sz w:val="20"/>
              </w:rPr>
              <w:t>Amount under clause 1.1.1</w:t>
            </w:r>
          </w:p>
        </w:tc>
      </w:tr>
      <w:tr w:rsidR="00494FE8" w:rsidRPr="00AE409E" w14:paraId="0AF96CD3" w14:textId="77777777" w:rsidTr="000327BB">
        <w:trPr>
          <w:trHeight w:val="232"/>
        </w:trPr>
        <w:tc>
          <w:tcPr>
            <w:tcW w:w="728" w:type="pct"/>
            <w:tcBorders>
              <w:top w:val="single" w:sz="4" w:space="0" w:color="auto"/>
              <w:left w:val="nil"/>
              <w:bottom w:val="single" w:sz="4" w:space="0" w:color="auto"/>
              <w:right w:val="nil"/>
            </w:tcBorders>
            <w:shd w:val="clear" w:color="auto" w:fill="auto"/>
            <w:hideMark/>
          </w:tcPr>
          <w:p w14:paraId="04A169D4" w14:textId="77777777" w:rsidR="00494FE8" w:rsidRPr="00AE409E" w:rsidRDefault="00494FE8" w:rsidP="00DD0AD1">
            <w:pPr>
              <w:pStyle w:val="Item"/>
              <w:ind w:left="0"/>
              <w:jc w:val="both"/>
              <w:rPr>
                <w:sz w:val="20"/>
              </w:rPr>
            </w:pPr>
            <w:r w:rsidRPr="00AE409E">
              <w:rPr>
                <w:sz w:val="20"/>
              </w:rPr>
              <w:t>788</w:t>
            </w:r>
          </w:p>
        </w:tc>
        <w:tc>
          <w:tcPr>
            <w:tcW w:w="3408" w:type="pct"/>
            <w:tcBorders>
              <w:top w:val="single" w:sz="4" w:space="0" w:color="auto"/>
              <w:left w:val="nil"/>
              <w:bottom w:val="single" w:sz="4" w:space="0" w:color="auto"/>
              <w:right w:val="nil"/>
            </w:tcBorders>
            <w:shd w:val="clear" w:color="auto" w:fill="auto"/>
            <w:hideMark/>
          </w:tcPr>
          <w:p w14:paraId="3F65A2F6" w14:textId="6ACB02FF" w:rsidR="00494FE8" w:rsidRPr="00AE409E" w:rsidRDefault="00494FE8" w:rsidP="000327BB">
            <w:pPr>
              <w:pStyle w:val="Item"/>
              <w:ind w:left="0"/>
              <w:rPr>
                <w:sz w:val="20"/>
              </w:rPr>
            </w:pPr>
            <w:r w:rsidRPr="00AE409E">
              <w:rPr>
                <w:sz w:val="20"/>
              </w:rPr>
              <w:t>Professional attendance (other than a service to which another item applies) at a residential aged care facility (other than a professional attendance at a self</w:t>
            </w:r>
            <w:r w:rsidRPr="00AE409E">
              <w:rPr>
                <w:sz w:val="20"/>
              </w:rPr>
              <w:noBreakHyphen/>
              <w:t>contained unit) or professional attendance at consulting rooms situated within such a complex if the patient is accommodated in the residential aged care facility (other than accommodation in a self</w:t>
            </w:r>
            <w:r w:rsidRPr="00AE409E">
              <w:rPr>
                <w:sz w:val="20"/>
              </w:rPr>
              <w:noBreakHyphen/>
              <w:t xml:space="preserve">contained unit) of more than 25 minutes in duration but not more than 45 minutes by a </w:t>
            </w:r>
            <w:r w:rsidR="00930313" w:rsidRPr="00AE409E">
              <w:rPr>
                <w:sz w:val="20"/>
              </w:rPr>
              <w:t xml:space="preserve">prescribed </w:t>
            </w:r>
            <w:r w:rsidRPr="00AE409E">
              <w:rPr>
                <w:sz w:val="20"/>
              </w:rPr>
              <w:t>medical practitioner—an attendance on one or more patients at one residential aged care facility on one occasion—each patient</w:t>
            </w:r>
          </w:p>
        </w:tc>
        <w:tc>
          <w:tcPr>
            <w:tcW w:w="864" w:type="pct"/>
            <w:tcBorders>
              <w:top w:val="single" w:sz="4" w:space="0" w:color="auto"/>
              <w:left w:val="nil"/>
              <w:bottom w:val="single" w:sz="4" w:space="0" w:color="auto"/>
              <w:right w:val="nil"/>
            </w:tcBorders>
            <w:shd w:val="clear" w:color="auto" w:fill="auto"/>
            <w:hideMark/>
          </w:tcPr>
          <w:p w14:paraId="39299301" w14:textId="77777777" w:rsidR="00494FE8" w:rsidRPr="00AE409E" w:rsidRDefault="00494FE8" w:rsidP="000327BB">
            <w:pPr>
              <w:pStyle w:val="Item"/>
              <w:ind w:left="0"/>
              <w:rPr>
                <w:sz w:val="20"/>
              </w:rPr>
            </w:pPr>
            <w:r w:rsidRPr="00AE409E">
              <w:rPr>
                <w:sz w:val="20"/>
              </w:rPr>
              <w:t>Amount under clause 1.1.1</w:t>
            </w:r>
          </w:p>
        </w:tc>
      </w:tr>
      <w:tr w:rsidR="00494FE8" w:rsidRPr="00AE409E" w14:paraId="401694D3" w14:textId="77777777" w:rsidTr="000327BB">
        <w:tc>
          <w:tcPr>
            <w:tcW w:w="728" w:type="pct"/>
            <w:tcBorders>
              <w:top w:val="single" w:sz="4" w:space="0" w:color="auto"/>
              <w:left w:val="nil"/>
              <w:bottom w:val="single" w:sz="4" w:space="0" w:color="auto"/>
              <w:right w:val="nil"/>
            </w:tcBorders>
            <w:shd w:val="clear" w:color="auto" w:fill="auto"/>
            <w:hideMark/>
          </w:tcPr>
          <w:p w14:paraId="1DD09DDE" w14:textId="77777777" w:rsidR="00494FE8" w:rsidRPr="00AE409E" w:rsidRDefault="00494FE8" w:rsidP="00DD0AD1">
            <w:pPr>
              <w:pStyle w:val="Item"/>
              <w:ind w:left="0"/>
              <w:jc w:val="both"/>
              <w:rPr>
                <w:sz w:val="20"/>
              </w:rPr>
            </w:pPr>
            <w:bookmarkStart w:id="21" w:name="CU_14282880"/>
            <w:bookmarkStart w:id="22" w:name="CU_14284927"/>
            <w:bookmarkEnd w:id="21"/>
            <w:bookmarkEnd w:id="22"/>
            <w:r w:rsidRPr="00AE409E">
              <w:rPr>
                <w:sz w:val="20"/>
              </w:rPr>
              <w:t>789</w:t>
            </w:r>
          </w:p>
        </w:tc>
        <w:tc>
          <w:tcPr>
            <w:tcW w:w="3408" w:type="pct"/>
            <w:tcBorders>
              <w:top w:val="single" w:sz="4" w:space="0" w:color="auto"/>
              <w:left w:val="nil"/>
              <w:bottom w:val="single" w:sz="4" w:space="0" w:color="auto"/>
              <w:right w:val="nil"/>
            </w:tcBorders>
            <w:shd w:val="clear" w:color="auto" w:fill="auto"/>
            <w:hideMark/>
          </w:tcPr>
          <w:p w14:paraId="6744FE80" w14:textId="522C68A1" w:rsidR="00494FE8" w:rsidRPr="00AE409E" w:rsidRDefault="00494FE8" w:rsidP="000327BB">
            <w:pPr>
              <w:pStyle w:val="Item"/>
              <w:ind w:left="0"/>
              <w:rPr>
                <w:sz w:val="20"/>
              </w:rPr>
            </w:pPr>
            <w:r w:rsidRPr="00AE409E">
              <w:rPr>
                <w:sz w:val="20"/>
              </w:rPr>
              <w:t>Professional attendance (other than a service to which another item applies) at a residential aged care facility (other than a professional attendance at a self</w:t>
            </w:r>
            <w:r w:rsidRPr="00AE409E">
              <w:rPr>
                <w:sz w:val="20"/>
              </w:rPr>
              <w:noBreakHyphen/>
              <w:t>contained unit) or professional attendance at consulting rooms situated within such a complex if the patient is accommodated in the residential aged care facility (other than accommodation in a self</w:t>
            </w:r>
            <w:r w:rsidRPr="00AE409E">
              <w:rPr>
                <w:sz w:val="20"/>
              </w:rPr>
              <w:noBreakHyphen/>
              <w:t>contained unit) of more than 45 minutes but not more than 60 minutes in duration by a</w:t>
            </w:r>
            <w:r w:rsidR="00930313" w:rsidRPr="00AE409E">
              <w:rPr>
                <w:sz w:val="20"/>
              </w:rPr>
              <w:t xml:space="preserve"> prescribed</w:t>
            </w:r>
            <w:r w:rsidRPr="00AE409E">
              <w:rPr>
                <w:sz w:val="20"/>
              </w:rPr>
              <w:t xml:space="preserve"> medical practitioner—an attendance on one or more patients at one residential aged care facility on one occasion—each patient</w:t>
            </w:r>
          </w:p>
        </w:tc>
        <w:tc>
          <w:tcPr>
            <w:tcW w:w="864" w:type="pct"/>
            <w:tcBorders>
              <w:top w:val="single" w:sz="4" w:space="0" w:color="auto"/>
              <w:left w:val="nil"/>
              <w:bottom w:val="single" w:sz="4" w:space="0" w:color="auto"/>
              <w:right w:val="nil"/>
            </w:tcBorders>
            <w:shd w:val="clear" w:color="auto" w:fill="auto"/>
            <w:hideMark/>
          </w:tcPr>
          <w:p w14:paraId="5CE45ED2" w14:textId="77777777" w:rsidR="00494FE8" w:rsidRPr="00AE409E" w:rsidRDefault="00494FE8" w:rsidP="000327BB">
            <w:pPr>
              <w:pStyle w:val="Item"/>
              <w:ind w:left="0"/>
              <w:rPr>
                <w:sz w:val="20"/>
              </w:rPr>
            </w:pPr>
            <w:r w:rsidRPr="00AE409E">
              <w:rPr>
                <w:sz w:val="20"/>
              </w:rPr>
              <w:t>Amount under clause 1.1.1</w:t>
            </w:r>
          </w:p>
        </w:tc>
      </w:tr>
      <w:tr w:rsidR="00494FE8" w:rsidRPr="00AE409E" w14:paraId="1443DF0B" w14:textId="77777777" w:rsidTr="000327BB">
        <w:tc>
          <w:tcPr>
            <w:tcW w:w="728" w:type="pct"/>
            <w:tcBorders>
              <w:top w:val="single" w:sz="4" w:space="0" w:color="auto"/>
              <w:left w:val="nil"/>
              <w:bottom w:val="single" w:sz="4" w:space="0" w:color="auto"/>
              <w:right w:val="nil"/>
            </w:tcBorders>
            <w:shd w:val="clear" w:color="auto" w:fill="auto"/>
          </w:tcPr>
          <w:p w14:paraId="3D584A21" w14:textId="77777777" w:rsidR="00494FE8" w:rsidRPr="00AE409E" w:rsidRDefault="00494FE8" w:rsidP="00DD0AD1">
            <w:pPr>
              <w:pStyle w:val="Item"/>
              <w:ind w:left="0"/>
              <w:jc w:val="both"/>
              <w:rPr>
                <w:sz w:val="20"/>
              </w:rPr>
            </w:pPr>
            <w:r w:rsidRPr="00AE409E">
              <w:rPr>
                <w:sz w:val="20"/>
              </w:rPr>
              <w:t>2197</w:t>
            </w:r>
          </w:p>
        </w:tc>
        <w:tc>
          <w:tcPr>
            <w:tcW w:w="3408" w:type="pct"/>
            <w:tcBorders>
              <w:top w:val="single" w:sz="4" w:space="0" w:color="auto"/>
              <w:left w:val="nil"/>
              <w:bottom w:val="single" w:sz="4" w:space="0" w:color="auto"/>
              <w:right w:val="nil"/>
            </w:tcBorders>
            <w:shd w:val="clear" w:color="auto" w:fill="auto"/>
          </w:tcPr>
          <w:p w14:paraId="7F20A7E8" w14:textId="6637024A" w:rsidR="00494FE8" w:rsidRPr="00AE409E" w:rsidRDefault="00494FE8" w:rsidP="000327BB">
            <w:pPr>
              <w:pStyle w:val="Item"/>
              <w:ind w:left="0"/>
              <w:rPr>
                <w:sz w:val="20"/>
              </w:rPr>
            </w:pPr>
            <w:r w:rsidRPr="00AE409E">
              <w:rPr>
                <w:sz w:val="20"/>
              </w:rPr>
              <w:t xml:space="preserve">Professional attendance at consulting rooms of more than 60 minutes in duration (other than a service to which another item applies) by a </w:t>
            </w:r>
            <w:r w:rsidR="00930313" w:rsidRPr="00AE409E">
              <w:rPr>
                <w:sz w:val="20"/>
              </w:rPr>
              <w:t xml:space="preserve">prescribed </w:t>
            </w:r>
            <w:r w:rsidRPr="00AE409E">
              <w:rPr>
                <w:sz w:val="20"/>
              </w:rPr>
              <w:t>medical practitioner—each attendance.</w:t>
            </w:r>
          </w:p>
        </w:tc>
        <w:tc>
          <w:tcPr>
            <w:tcW w:w="864" w:type="pct"/>
            <w:tcBorders>
              <w:top w:val="single" w:sz="4" w:space="0" w:color="auto"/>
              <w:left w:val="nil"/>
              <w:bottom w:val="single" w:sz="4" w:space="0" w:color="auto"/>
              <w:right w:val="nil"/>
            </w:tcBorders>
            <w:shd w:val="clear" w:color="auto" w:fill="auto"/>
          </w:tcPr>
          <w:p w14:paraId="22D659E8" w14:textId="5F48BEF1" w:rsidR="00494FE8" w:rsidRPr="00AE409E" w:rsidRDefault="00494FE8" w:rsidP="005E0B37">
            <w:pPr>
              <w:pStyle w:val="Item"/>
              <w:jc w:val="right"/>
              <w:rPr>
                <w:sz w:val="20"/>
              </w:rPr>
            </w:pPr>
            <w:r w:rsidRPr="00AE409E">
              <w:rPr>
                <w:sz w:val="20"/>
              </w:rPr>
              <w:t>17</w:t>
            </w:r>
            <w:r w:rsidR="00BD0E6B" w:rsidRPr="00AE409E">
              <w:rPr>
                <w:sz w:val="20"/>
              </w:rPr>
              <w:t>6</w:t>
            </w:r>
            <w:r w:rsidRPr="00AE409E">
              <w:rPr>
                <w:sz w:val="20"/>
              </w:rPr>
              <w:t>.</w:t>
            </w:r>
            <w:r w:rsidR="00BD0E6B" w:rsidRPr="00AE409E">
              <w:rPr>
                <w:sz w:val="20"/>
              </w:rPr>
              <w:t>20</w:t>
            </w:r>
          </w:p>
        </w:tc>
      </w:tr>
      <w:tr w:rsidR="00494FE8" w:rsidRPr="00AE409E" w14:paraId="6D9DCD1D" w14:textId="77777777" w:rsidTr="000327BB">
        <w:tc>
          <w:tcPr>
            <w:tcW w:w="728" w:type="pct"/>
            <w:tcBorders>
              <w:top w:val="single" w:sz="4" w:space="0" w:color="auto"/>
              <w:left w:val="nil"/>
              <w:bottom w:val="single" w:sz="4" w:space="0" w:color="auto"/>
              <w:right w:val="nil"/>
            </w:tcBorders>
            <w:shd w:val="clear" w:color="auto" w:fill="auto"/>
          </w:tcPr>
          <w:p w14:paraId="0AD06099" w14:textId="77777777" w:rsidR="00494FE8" w:rsidRPr="00AE409E" w:rsidRDefault="00494FE8" w:rsidP="00DD0AD1">
            <w:pPr>
              <w:pStyle w:val="Item"/>
              <w:ind w:left="0"/>
              <w:jc w:val="both"/>
              <w:rPr>
                <w:sz w:val="20"/>
              </w:rPr>
            </w:pPr>
            <w:r w:rsidRPr="00AE409E">
              <w:rPr>
                <w:sz w:val="20"/>
              </w:rPr>
              <w:t>2198</w:t>
            </w:r>
          </w:p>
        </w:tc>
        <w:tc>
          <w:tcPr>
            <w:tcW w:w="3408" w:type="pct"/>
            <w:tcBorders>
              <w:top w:val="single" w:sz="4" w:space="0" w:color="auto"/>
              <w:left w:val="nil"/>
              <w:bottom w:val="single" w:sz="4" w:space="0" w:color="auto"/>
              <w:right w:val="nil"/>
            </w:tcBorders>
            <w:shd w:val="clear" w:color="auto" w:fill="auto"/>
          </w:tcPr>
          <w:p w14:paraId="77167883" w14:textId="3680840E" w:rsidR="00494FE8" w:rsidRPr="00AE409E" w:rsidRDefault="00494FE8" w:rsidP="000327BB">
            <w:pPr>
              <w:pStyle w:val="Item"/>
              <w:ind w:left="0"/>
              <w:rPr>
                <w:sz w:val="20"/>
              </w:rPr>
            </w:pPr>
            <w:r w:rsidRPr="00AE409E">
              <w:rPr>
                <w:sz w:val="20"/>
              </w:rPr>
              <w:t xml:space="preserve">Professional attendance by a </w:t>
            </w:r>
            <w:r w:rsidR="00930313" w:rsidRPr="00AE409E">
              <w:rPr>
                <w:sz w:val="20"/>
              </w:rPr>
              <w:t xml:space="preserve">prescribed </w:t>
            </w:r>
            <w:r w:rsidRPr="00AE409E">
              <w:rPr>
                <w:sz w:val="20"/>
              </w:rPr>
              <w:t xml:space="preserve">medical practitioner (other than attendance at consulting rooms, a hospital or a residential aged </w:t>
            </w:r>
            <w:r w:rsidRPr="00AE409E">
              <w:rPr>
                <w:sz w:val="20"/>
              </w:rPr>
              <w:lastRenderedPageBreak/>
              <w:t>care facility or a service to which another item in the table applies), lasting more than 60 minutes—an attendance on one or more patients on one occasion—each patient.</w:t>
            </w:r>
          </w:p>
        </w:tc>
        <w:tc>
          <w:tcPr>
            <w:tcW w:w="864" w:type="pct"/>
            <w:tcBorders>
              <w:top w:val="single" w:sz="4" w:space="0" w:color="auto"/>
              <w:left w:val="nil"/>
              <w:bottom w:val="single" w:sz="4" w:space="0" w:color="auto"/>
              <w:right w:val="nil"/>
            </w:tcBorders>
            <w:shd w:val="clear" w:color="auto" w:fill="auto"/>
          </w:tcPr>
          <w:p w14:paraId="341A3CDE" w14:textId="77777777" w:rsidR="00494FE8" w:rsidRPr="00AE409E" w:rsidRDefault="00494FE8" w:rsidP="000327BB">
            <w:pPr>
              <w:pStyle w:val="Item"/>
              <w:ind w:left="0"/>
              <w:rPr>
                <w:sz w:val="20"/>
              </w:rPr>
            </w:pPr>
            <w:r w:rsidRPr="00AE409E">
              <w:rPr>
                <w:sz w:val="20"/>
              </w:rPr>
              <w:lastRenderedPageBreak/>
              <w:t>Amount under clause 1.1.1</w:t>
            </w:r>
          </w:p>
        </w:tc>
      </w:tr>
      <w:tr w:rsidR="00494FE8" w:rsidRPr="00AE409E" w14:paraId="23FC14E3" w14:textId="77777777" w:rsidTr="000327BB">
        <w:tc>
          <w:tcPr>
            <w:tcW w:w="728" w:type="pct"/>
            <w:tcBorders>
              <w:top w:val="single" w:sz="4" w:space="0" w:color="auto"/>
              <w:left w:val="nil"/>
              <w:bottom w:val="single" w:sz="12" w:space="0" w:color="auto"/>
              <w:right w:val="nil"/>
            </w:tcBorders>
            <w:shd w:val="clear" w:color="auto" w:fill="auto"/>
          </w:tcPr>
          <w:p w14:paraId="59D2C1C7" w14:textId="77777777" w:rsidR="00494FE8" w:rsidRPr="00AE409E" w:rsidRDefault="00494FE8" w:rsidP="00DD0AD1">
            <w:pPr>
              <w:pStyle w:val="Item"/>
              <w:ind w:left="0"/>
              <w:jc w:val="both"/>
              <w:rPr>
                <w:sz w:val="20"/>
              </w:rPr>
            </w:pPr>
            <w:r w:rsidRPr="00AE409E">
              <w:rPr>
                <w:sz w:val="20"/>
              </w:rPr>
              <w:t>2200</w:t>
            </w:r>
          </w:p>
        </w:tc>
        <w:tc>
          <w:tcPr>
            <w:tcW w:w="3408" w:type="pct"/>
            <w:tcBorders>
              <w:top w:val="single" w:sz="4" w:space="0" w:color="auto"/>
              <w:left w:val="nil"/>
              <w:bottom w:val="single" w:sz="12" w:space="0" w:color="auto"/>
              <w:right w:val="nil"/>
            </w:tcBorders>
            <w:shd w:val="clear" w:color="auto" w:fill="auto"/>
          </w:tcPr>
          <w:p w14:paraId="0560CD08" w14:textId="21D30FA6" w:rsidR="00494FE8" w:rsidRPr="00AE409E" w:rsidRDefault="00494FE8" w:rsidP="000327BB">
            <w:pPr>
              <w:pStyle w:val="Item"/>
              <w:ind w:left="0"/>
              <w:rPr>
                <w:sz w:val="20"/>
              </w:rPr>
            </w:pPr>
            <w:r w:rsidRPr="00AE409E">
              <w:rPr>
                <w:sz w:val="20"/>
              </w:rPr>
              <w:t>Professional attendance (other than a service to which another item applies) at a residential aged care facility (other than a professional attendance at a self</w:t>
            </w:r>
            <w:r w:rsidR="005E0B37" w:rsidRPr="00AE409E">
              <w:rPr>
                <w:sz w:val="20"/>
              </w:rPr>
              <w:t>-</w:t>
            </w:r>
            <w:r w:rsidRPr="00AE409E">
              <w:rPr>
                <w:sz w:val="20"/>
              </w:rPr>
              <w:t>contained unit) or professional attendance at consulting rooms situated within such a complex if the patient is accommodated in the residential aged care facility (other than accommodation in a self</w:t>
            </w:r>
            <w:r w:rsidR="005E0B37" w:rsidRPr="00AE409E">
              <w:rPr>
                <w:sz w:val="20"/>
              </w:rPr>
              <w:t>-</w:t>
            </w:r>
            <w:r w:rsidRPr="00AE409E">
              <w:rPr>
                <w:sz w:val="20"/>
              </w:rPr>
              <w:t xml:space="preserve">contained unit) of more than 60 minutes in duration by a </w:t>
            </w:r>
            <w:r w:rsidR="00930313" w:rsidRPr="00AE409E">
              <w:rPr>
                <w:sz w:val="20"/>
              </w:rPr>
              <w:t xml:space="preserve">prescribed </w:t>
            </w:r>
            <w:r w:rsidRPr="00AE409E">
              <w:rPr>
                <w:sz w:val="20"/>
              </w:rPr>
              <w:t>medical practitioner—an attendance on one or more patients at one residential aged care facility on one occasion—each patient.</w:t>
            </w:r>
          </w:p>
        </w:tc>
        <w:tc>
          <w:tcPr>
            <w:tcW w:w="864" w:type="pct"/>
            <w:tcBorders>
              <w:top w:val="single" w:sz="4" w:space="0" w:color="auto"/>
              <w:left w:val="nil"/>
              <w:bottom w:val="single" w:sz="12" w:space="0" w:color="auto"/>
              <w:right w:val="nil"/>
            </w:tcBorders>
            <w:shd w:val="clear" w:color="auto" w:fill="auto"/>
          </w:tcPr>
          <w:p w14:paraId="6DA6684C" w14:textId="77777777" w:rsidR="00494FE8" w:rsidRPr="00AE409E" w:rsidRDefault="00494FE8" w:rsidP="000327BB">
            <w:pPr>
              <w:pStyle w:val="Item"/>
              <w:ind w:left="0"/>
              <w:rPr>
                <w:sz w:val="20"/>
              </w:rPr>
            </w:pPr>
            <w:r w:rsidRPr="00AE409E">
              <w:rPr>
                <w:sz w:val="20"/>
              </w:rPr>
              <w:t>Amount under clause 1.1.1</w:t>
            </w:r>
          </w:p>
        </w:tc>
      </w:tr>
    </w:tbl>
    <w:p w14:paraId="3EB921B8" w14:textId="688C2890" w:rsidR="00D73A70" w:rsidRPr="00AE409E" w:rsidRDefault="00D73A70" w:rsidP="00E50E89">
      <w:pPr>
        <w:pStyle w:val="Item"/>
        <w:ind w:left="0"/>
      </w:pPr>
    </w:p>
    <w:p w14:paraId="0EA4024C" w14:textId="59E032E9" w:rsidR="001F1CD2" w:rsidRPr="00AE409E" w:rsidRDefault="00CC4BB5" w:rsidP="001F1CD2">
      <w:pPr>
        <w:pStyle w:val="ItemHead"/>
      </w:pPr>
      <w:proofErr w:type="gramStart"/>
      <w:r w:rsidRPr="00AE409E">
        <w:t>1</w:t>
      </w:r>
      <w:r w:rsidR="006D6C9A" w:rsidRPr="00AE409E">
        <w:t>4</w:t>
      </w:r>
      <w:r w:rsidR="001F1CD2" w:rsidRPr="00AE409E">
        <w:t xml:space="preserve">  Division</w:t>
      </w:r>
      <w:proofErr w:type="gramEnd"/>
      <w:r w:rsidR="001F1CD2" w:rsidRPr="00AE409E">
        <w:t xml:space="preserve"> 1.11</w:t>
      </w:r>
      <w:r w:rsidR="00657EC0" w:rsidRPr="00AE409E">
        <w:t xml:space="preserve"> of Schedule 1</w:t>
      </w:r>
    </w:p>
    <w:p w14:paraId="44F8CDCA" w14:textId="77777777" w:rsidR="001F1CD2" w:rsidRPr="00AE409E" w:rsidRDefault="001F1CD2" w:rsidP="001F1CD2">
      <w:pPr>
        <w:pStyle w:val="Item"/>
      </w:pPr>
      <w:r w:rsidRPr="00AE409E">
        <w:t>Repeal the Division.</w:t>
      </w:r>
    </w:p>
    <w:p w14:paraId="755650D9" w14:textId="2CFA10A4" w:rsidR="001F1CD2" w:rsidRPr="00AE409E" w:rsidRDefault="00CC4BB5" w:rsidP="001F1CD2">
      <w:pPr>
        <w:pStyle w:val="ItemHead"/>
      </w:pPr>
      <w:proofErr w:type="gramStart"/>
      <w:r w:rsidRPr="00AE409E">
        <w:t>1</w:t>
      </w:r>
      <w:r w:rsidR="006D6C9A" w:rsidRPr="00AE409E">
        <w:t>5</w:t>
      </w:r>
      <w:r w:rsidR="001F1CD2" w:rsidRPr="00AE409E">
        <w:t xml:space="preserve">  Division</w:t>
      </w:r>
      <w:proofErr w:type="gramEnd"/>
      <w:r w:rsidR="001F1CD2" w:rsidRPr="00AE409E">
        <w:t xml:space="preserve"> 1.</w:t>
      </w:r>
      <w:r w:rsidR="00AC6BF2" w:rsidRPr="00AE409E">
        <w:t>1</w:t>
      </w:r>
      <w:r w:rsidR="001F1CD2" w:rsidRPr="00AE409E">
        <w:t>4</w:t>
      </w:r>
      <w:r w:rsidR="00657EC0" w:rsidRPr="00AE409E">
        <w:t xml:space="preserve"> of Schedule 1</w:t>
      </w:r>
    </w:p>
    <w:p w14:paraId="0B689BDB" w14:textId="77777777" w:rsidR="001F1CD2" w:rsidRPr="006065DA" w:rsidRDefault="001F1CD2" w:rsidP="001F1CD2">
      <w:pPr>
        <w:pStyle w:val="Item"/>
      </w:pPr>
      <w:r w:rsidRPr="00AE409E">
        <w:t>Repeal the Division.</w:t>
      </w:r>
    </w:p>
    <w:p w14:paraId="2CBC3C99" w14:textId="116A61A2" w:rsidR="003F6F52" w:rsidRPr="00DA182D" w:rsidRDefault="003F6F52" w:rsidP="0072104A">
      <w:pPr>
        <w:pStyle w:val="BodyPara"/>
        <w:numPr>
          <w:ilvl w:val="0"/>
          <w:numId w:val="0"/>
        </w:numPr>
      </w:pPr>
    </w:p>
    <w:sectPr w:rsidR="003F6F52" w:rsidRPr="00DA182D" w:rsidSect="00B20990">
      <w:headerReference w:type="even" r:id="rId20"/>
      <w:headerReference w:type="default" r:id="rId21"/>
      <w:footerReference w:type="even" r:id="rId22"/>
      <w:footerReference w:type="default" r:id="rId23"/>
      <w:footerReference w:type="first" r:id="rId24"/>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68C82" w14:textId="77777777" w:rsidR="00D86360" w:rsidRDefault="00D86360" w:rsidP="0048364F">
      <w:pPr>
        <w:spacing w:line="240" w:lineRule="auto"/>
      </w:pPr>
      <w:r>
        <w:separator/>
      </w:r>
    </w:p>
  </w:endnote>
  <w:endnote w:type="continuationSeparator" w:id="0">
    <w:p w14:paraId="529E05CF" w14:textId="77777777" w:rsidR="00D86360" w:rsidRDefault="00D8636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9278C1" w14:paraId="4A15CC77" w14:textId="77777777" w:rsidTr="0001176A">
      <w:tc>
        <w:tcPr>
          <w:tcW w:w="5000" w:type="pct"/>
        </w:tcPr>
        <w:p w14:paraId="223E4625" w14:textId="77777777" w:rsidR="009278C1" w:rsidRDefault="009278C1" w:rsidP="0001176A">
          <w:pPr>
            <w:rPr>
              <w:sz w:val="18"/>
            </w:rPr>
          </w:pPr>
        </w:p>
      </w:tc>
    </w:tr>
  </w:tbl>
  <w:p w14:paraId="4151BCFC"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B20990" w14:paraId="4F375CE8" w14:textId="77777777" w:rsidTr="00C160A1">
      <w:tc>
        <w:tcPr>
          <w:tcW w:w="5000" w:type="pct"/>
        </w:tcPr>
        <w:p w14:paraId="62B1848F" w14:textId="77777777" w:rsidR="00B20990" w:rsidRDefault="00B20990" w:rsidP="007946FE">
          <w:pPr>
            <w:rPr>
              <w:sz w:val="18"/>
            </w:rPr>
          </w:pPr>
        </w:p>
      </w:tc>
    </w:tr>
  </w:tbl>
  <w:p w14:paraId="19F40CE5"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22BBC"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B20990" w14:paraId="2B4264E1" w14:textId="77777777" w:rsidTr="00C160A1">
      <w:tc>
        <w:tcPr>
          <w:tcW w:w="5000" w:type="pct"/>
        </w:tcPr>
        <w:p w14:paraId="5294A31D" w14:textId="77777777" w:rsidR="00B20990" w:rsidRDefault="00B20990" w:rsidP="00465764">
          <w:pPr>
            <w:rPr>
              <w:sz w:val="18"/>
            </w:rPr>
          </w:pPr>
        </w:p>
      </w:tc>
    </w:tr>
  </w:tbl>
  <w:p w14:paraId="2D24E14F"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0AAA2" w14:textId="77777777" w:rsidR="00B20990" w:rsidRPr="00E33C1C" w:rsidRDefault="00B20990"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B20990" w14:paraId="58EEA500" w14:textId="77777777" w:rsidTr="00C160A1">
      <w:tc>
        <w:tcPr>
          <w:tcW w:w="365" w:type="pct"/>
          <w:tcBorders>
            <w:top w:val="nil"/>
            <w:left w:val="nil"/>
            <w:bottom w:val="nil"/>
            <w:right w:val="nil"/>
          </w:tcBorders>
        </w:tcPr>
        <w:p w14:paraId="14DF01B7" w14:textId="77777777" w:rsidR="00B20990" w:rsidRDefault="00B20990"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4A517C6E" w14:textId="7AF17CAD" w:rsidR="00B20990" w:rsidRDefault="00B20990" w:rsidP="00E33C1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5B23AE">
            <w:rPr>
              <w:i/>
              <w:noProof/>
              <w:sz w:val="18"/>
            </w:rPr>
            <w:t>Health Insurance (Section 3C General Medical Services – Other Medical Practitioner) Amendment (No. 2) Determination 2023</w:t>
          </w:r>
          <w:r w:rsidRPr="00B20990">
            <w:rPr>
              <w:i/>
              <w:sz w:val="18"/>
            </w:rPr>
            <w:fldChar w:fldCharType="end"/>
          </w:r>
        </w:p>
      </w:tc>
      <w:tc>
        <w:tcPr>
          <w:tcW w:w="947" w:type="pct"/>
          <w:tcBorders>
            <w:top w:val="nil"/>
            <w:left w:val="nil"/>
            <w:bottom w:val="nil"/>
            <w:right w:val="nil"/>
          </w:tcBorders>
        </w:tcPr>
        <w:p w14:paraId="331F7595" w14:textId="77777777" w:rsidR="00B20990" w:rsidRDefault="00B20990" w:rsidP="00E33C1C">
          <w:pPr>
            <w:spacing w:line="0" w:lineRule="atLeast"/>
            <w:jc w:val="right"/>
            <w:rPr>
              <w:sz w:val="18"/>
            </w:rPr>
          </w:pPr>
        </w:p>
      </w:tc>
    </w:tr>
    <w:tr w:rsidR="00B20990" w14:paraId="78DC0222"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563CE2F7" w14:textId="77777777" w:rsidR="00B20990" w:rsidRDefault="00B20990" w:rsidP="007946FE">
          <w:pPr>
            <w:jc w:val="right"/>
            <w:rPr>
              <w:sz w:val="18"/>
            </w:rPr>
          </w:pPr>
        </w:p>
      </w:tc>
    </w:tr>
  </w:tbl>
  <w:p w14:paraId="2B4ABB7A" w14:textId="77777777" w:rsidR="00B20990" w:rsidRPr="00ED79B6" w:rsidRDefault="00B20990" w:rsidP="006D366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42DEA" w14:textId="77777777" w:rsidR="00B20990" w:rsidRPr="00E33C1C" w:rsidRDefault="00B20990"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B20990" w14:paraId="7702ABD9" w14:textId="77777777" w:rsidTr="00C160A1">
      <w:tc>
        <w:tcPr>
          <w:tcW w:w="947" w:type="pct"/>
          <w:tcBorders>
            <w:top w:val="nil"/>
            <w:left w:val="nil"/>
            <w:bottom w:val="nil"/>
            <w:right w:val="nil"/>
          </w:tcBorders>
        </w:tcPr>
        <w:p w14:paraId="4CA233F6" w14:textId="77777777" w:rsidR="00B20990" w:rsidRDefault="00B20990" w:rsidP="00E33C1C">
          <w:pPr>
            <w:spacing w:line="0" w:lineRule="atLeast"/>
            <w:rPr>
              <w:sz w:val="18"/>
            </w:rPr>
          </w:pPr>
        </w:p>
      </w:tc>
      <w:tc>
        <w:tcPr>
          <w:tcW w:w="3688" w:type="pct"/>
          <w:tcBorders>
            <w:top w:val="nil"/>
            <w:left w:val="nil"/>
            <w:bottom w:val="nil"/>
            <w:right w:val="nil"/>
          </w:tcBorders>
        </w:tcPr>
        <w:p w14:paraId="05B048ED" w14:textId="17C3C3A7" w:rsidR="00B20990" w:rsidRPr="00B20990" w:rsidRDefault="00B20990" w:rsidP="00E33C1C">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AE409E">
            <w:rPr>
              <w:i/>
              <w:noProof/>
              <w:sz w:val="18"/>
            </w:rPr>
            <w:t>Health Insurance (Section 3C General Medical Services – Other Medical Practitioner) Amendment (No. 2) Determination 2023</w:t>
          </w:r>
          <w:r w:rsidRPr="00B20990">
            <w:rPr>
              <w:i/>
              <w:sz w:val="18"/>
            </w:rPr>
            <w:fldChar w:fldCharType="end"/>
          </w:r>
        </w:p>
      </w:tc>
      <w:tc>
        <w:tcPr>
          <w:tcW w:w="365" w:type="pct"/>
          <w:tcBorders>
            <w:top w:val="nil"/>
            <w:left w:val="nil"/>
            <w:bottom w:val="nil"/>
            <w:right w:val="nil"/>
          </w:tcBorders>
        </w:tcPr>
        <w:p w14:paraId="56EA566E" w14:textId="77777777" w:rsidR="00B20990" w:rsidRDefault="00B20990"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2BCC">
            <w:rPr>
              <w:i/>
              <w:noProof/>
              <w:sz w:val="18"/>
            </w:rPr>
            <w:t>i</w:t>
          </w:r>
          <w:r w:rsidRPr="00ED79B6">
            <w:rPr>
              <w:i/>
              <w:sz w:val="18"/>
            </w:rPr>
            <w:fldChar w:fldCharType="end"/>
          </w:r>
        </w:p>
      </w:tc>
    </w:tr>
    <w:tr w:rsidR="00B20990" w14:paraId="3B36B8CF"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3C87A7A2" w14:textId="77777777" w:rsidR="00B20990" w:rsidRDefault="00B20990" w:rsidP="007946FE">
          <w:pPr>
            <w:rPr>
              <w:sz w:val="18"/>
            </w:rPr>
          </w:pPr>
        </w:p>
      </w:tc>
    </w:tr>
  </w:tbl>
  <w:p w14:paraId="3D5CB790" w14:textId="77777777" w:rsidR="00B20990" w:rsidRPr="00ED79B6" w:rsidRDefault="00B20990" w:rsidP="006D3667">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FD9DF"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335680A6" w14:textId="77777777" w:rsidTr="007A6863">
      <w:tc>
        <w:tcPr>
          <w:tcW w:w="709" w:type="dxa"/>
          <w:tcBorders>
            <w:top w:val="nil"/>
            <w:left w:val="nil"/>
            <w:bottom w:val="nil"/>
            <w:right w:val="nil"/>
          </w:tcBorders>
        </w:tcPr>
        <w:p w14:paraId="02C63AC0" w14:textId="77777777"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2BCC">
            <w:rPr>
              <w:i/>
              <w:noProof/>
              <w:sz w:val="18"/>
            </w:rPr>
            <w:t>6</w:t>
          </w:r>
          <w:r w:rsidRPr="00ED79B6">
            <w:rPr>
              <w:i/>
              <w:sz w:val="18"/>
            </w:rPr>
            <w:fldChar w:fldCharType="end"/>
          </w:r>
        </w:p>
      </w:tc>
      <w:tc>
        <w:tcPr>
          <w:tcW w:w="6379" w:type="dxa"/>
          <w:tcBorders>
            <w:top w:val="nil"/>
            <w:left w:val="nil"/>
            <w:bottom w:val="nil"/>
            <w:right w:val="nil"/>
          </w:tcBorders>
        </w:tcPr>
        <w:p w14:paraId="09C8793F" w14:textId="1770ADB9"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AE409E">
            <w:rPr>
              <w:i/>
              <w:noProof/>
              <w:sz w:val="18"/>
            </w:rPr>
            <w:t>Health Insurance (Section 3C General Medical Services – Other Medical Practitioner) Amendment (No. 2) Determination 2023</w:t>
          </w:r>
          <w:r w:rsidRPr="00B20990">
            <w:rPr>
              <w:i/>
              <w:sz w:val="18"/>
            </w:rPr>
            <w:fldChar w:fldCharType="end"/>
          </w:r>
        </w:p>
      </w:tc>
      <w:tc>
        <w:tcPr>
          <w:tcW w:w="1383" w:type="dxa"/>
          <w:tcBorders>
            <w:top w:val="nil"/>
            <w:left w:val="nil"/>
            <w:bottom w:val="nil"/>
            <w:right w:val="nil"/>
          </w:tcBorders>
        </w:tcPr>
        <w:p w14:paraId="6AE020C8" w14:textId="77777777" w:rsidR="00EE57E8" w:rsidRDefault="00EE57E8" w:rsidP="00EE57E8">
          <w:pPr>
            <w:spacing w:line="0" w:lineRule="atLeast"/>
            <w:jc w:val="right"/>
            <w:rPr>
              <w:sz w:val="18"/>
            </w:rPr>
          </w:pPr>
        </w:p>
      </w:tc>
    </w:tr>
    <w:tr w:rsidR="00EE57E8" w14:paraId="3B35417A"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8922F82" w14:textId="77777777" w:rsidR="00EE57E8" w:rsidRDefault="00EE57E8" w:rsidP="00EE57E8">
          <w:pPr>
            <w:jc w:val="right"/>
            <w:rPr>
              <w:sz w:val="18"/>
            </w:rPr>
          </w:pPr>
        </w:p>
      </w:tc>
    </w:tr>
  </w:tbl>
  <w:p w14:paraId="051DC874" w14:textId="77777777" w:rsidR="00EE57E8" w:rsidRPr="00ED79B6" w:rsidRDefault="00EE57E8"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33382"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71661666" w14:textId="77777777" w:rsidTr="00EE57E8">
      <w:tc>
        <w:tcPr>
          <w:tcW w:w="1384" w:type="dxa"/>
          <w:tcBorders>
            <w:top w:val="nil"/>
            <w:left w:val="nil"/>
            <w:bottom w:val="nil"/>
            <w:right w:val="nil"/>
          </w:tcBorders>
        </w:tcPr>
        <w:p w14:paraId="40DBD88B" w14:textId="77777777" w:rsidR="00EE57E8" w:rsidRDefault="00EE57E8" w:rsidP="00EE57E8">
          <w:pPr>
            <w:spacing w:line="0" w:lineRule="atLeast"/>
            <w:rPr>
              <w:sz w:val="18"/>
            </w:rPr>
          </w:pPr>
        </w:p>
      </w:tc>
      <w:tc>
        <w:tcPr>
          <w:tcW w:w="6379" w:type="dxa"/>
          <w:tcBorders>
            <w:top w:val="nil"/>
            <w:left w:val="nil"/>
            <w:bottom w:val="nil"/>
            <w:right w:val="nil"/>
          </w:tcBorders>
        </w:tcPr>
        <w:p w14:paraId="4D0F2FED" w14:textId="341FC63F"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AE409E">
            <w:rPr>
              <w:i/>
              <w:noProof/>
              <w:sz w:val="18"/>
            </w:rPr>
            <w:t>Health Insurance (Section 3C General Medical Services – Other Medical Practitioner) Amendment (No. 2) Determination 2023</w:t>
          </w:r>
          <w:r w:rsidRPr="00B20990">
            <w:rPr>
              <w:i/>
              <w:sz w:val="18"/>
            </w:rPr>
            <w:fldChar w:fldCharType="end"/>
          </w:r>
        </w:p>
      </w:tc>
      <w:tc>
        <w:tcPr>
          <w:tcW w:w="709" w:type="dxa"/>
          <w:tcBorders>
            <w:top w:val="nil"/>
            <w:left w:val="nil"/>
            <w:bottom w:val="nil"/>
            <w:right w:val="nil"/>
          </w:tcBorders>
        </w:tcPr>
        <w:p w14:paraId="5AAE725C"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2BCC">
            <w:rPr>
              <w:i/>
              <w:noProof/>
              <w:sz w:val="18"/>
            </w:rPr>
            <w:t>5</w:t>
          </w:r>
          <w:r w:rsidRPr="00ED79B6">
            <w:rPr>
              <w:i/>
              <w:sz w:val="18"/>
            </w:rPr>
            <w:fldChar w:fldCharType="end"/>
          </w:r>
        </w:p>
      </w:tc>
    </w:tr>
    <w:tr w:rsidR="00EE57E8" w14:paraId="784AE423"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476453B" w14:textId="77777777" w:rsidR="00EE57E8" w:rsidRDefault="00EE57E8" w:rsidP="00EE57E8">
          <w:pPr>
            <w:rPr>
              <w:sz w:val="18"/>
            </w:rPr>
          </w:pPr>
        </w:p>
      </w:tc>
    </w:tr>
  </w:tbl>
  <w:p w14:paraId="6C1F0EB8" w14:textId="77777777" w:rsidR="00EE57E8" w:rsidRPr="00ED79B6" w:rsidRDefault="00EE57E8"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29C74"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781B3305" w14:textId="77777777" w:rsidTr="007A6863">
      <w:tc>
        <w:tcPr>
          <w:tcW w:w="1384" w:type="dxa"/>
          <w:tcBorders>
            <w:top w:val="nil"/>
            <w:left w:val="nil"/>
            <w:bottom w:val="nil"/>
            <w:right w:val="nil"/>
          </w:tcBorders>
        </w:tcPr>
        <w:p w14:paraId="0AD8F0AD" w14:textId="77777777" w:rsidR="00EE57E8" w:rsidRDefault="00EE57E8" w:rsidP="00EE57E8">
          <w:pPr>
            <w:spacing w:line="0" w:lineRule="atLeast"/>
            <w:rPr>
              <w:sz w:val="18"/>
            </w:rPr>
          </w:pPr>
        </w:p>
      </w:tc>
      <w:tc>
        <w:tcPr>
          <w:tcW w:w="6379" w:type="dxa"/>
          <w:tcBorders>
            <w:top w:val="nil"/>
            <w:left w:val="nil"/>
            <w:bottom w:val="nil"/>
            <w:right w:val="nil"/>
          </w:tcBorders>
        </w:tcPr>
        <w:p w14:paraId="3F95CADB" w14:textId="2EB78292"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B23AE">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7093FB43"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68775D98"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681466B" w14:textId="38B678D4"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5B23AE">
            <w:rPr>
              <w:i/>
              <w:noProof/>
              <w:sz w:val="18"/>
            </w:rPr>
            <w:t>C:\Users\CLIHAN\AppData\Roaming\Hewlett-Packard\HP TRIM\Offline Records (A7)\1 ~ MEDICAL &amp; HEALTH CARE ACCESS - Implementation\Health Insurance Amendment (Section 3C General Medical Services – Other Medical ~ DRAFT.DOCX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A35279">
            <w:rPr>
              <w:i/>
              <w:noProof/>
              <w:sz w:val="18"/>
            </w:rPr>
            <w:t>21/9/2023 3:30 PM</w:t>
          </w:r>
          <w:r w:rsidRPr="00ED79B6">
            <w:rPr>
              <w:i/>
              <w:sz w:val="18"/>
            </w:rPr>
            <w:fldChar w:fldCharType="end"/>
          </w:r>
        </w:p>
      </w:tc>
    </w:tr>
  </w:tbl>
  <w:p w14:paraId="464E918B"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5FDCC" w14:textId="77777777" w:rsidR="00D86360" w:rsidRDefault="00D86360" w:rsidP="0048364F">
      <w:pPr>
        <w:spacing w:line="240" w:lineRule="auto"/>
      </w:pPr>
      <w:r>
        <w:separator/>
      </w:r>
    </w:p>
  </w:footnote>
  <w:footnote w:type="continuationSeparator" w:id="0">
    <w:p w14:paraId="46C27441" w14:textId="77777777" w:rsidR="00D86360" w:rsidRDefault="00D86360"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97F11"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98B2C"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B02A"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97E50" w14:textId="77777777" w:rsidR="00B20990" w:rsidRPr="00ED79B6" w:rsidRDefault="00B20990" w:rsidP="00833416">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547E" w14:textId="77777777" w:rsidR="00B20990" w:rsidRPr="00ED79B6" w:rsidRDefault="00B20990" w:rsidP="00486382">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58AF6" w14:textId="77777777"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0A773" w14:textId="77777777" w:rsidR="00EE57E8" w:rsidRPr="00A961C4" w:rsidRDefault="00EE57E8" w:rsidP="0048364F">
    <w:pPr>
      <w:rPr>
        <w:b/>
        <w:sz w:val="20"/>
      </w:rPr>
    </w:pPr>
  </w:p>
  <w:p w14:paraId="3034959C" w14:textId="77777777" w:rsidR="00EE57E8" w:rsidRPr="00A961C4" w:rsidRDefault="00EE57E8" w:rsidP="0048364F">
    <w:pPr>
      <w:rPr>
        <w:b/>
        <w:sz w:val="20"/>
      </w:rPr>
    </w:pPr>
  </w:p>
  <w:p w14:paraId="6C5C494D"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9A60" w14:textId="77777777" w:rsidR="00EE57E8" w:rsidRPr="00A961C4" w:rsidRDefault="00EE57E8" w:rsidP="0048364F">
    <w:pPr>
      <w:jc w:val="right"/>
      <w:rPr>
        <w:sz w:val="20"/>
      </w:rPr>
    </w:pPr>
  </w:p>
  <w:p w14:paraId="0B051BC3" w14:textId="77777777" w:rsidR="00EE57E8" w:rsidRPr="00A961C4" w:rsidRDefault="00EE57E8" w:rsidP="0048364F">
    <w:pPr>
      <w:jc w:val="right"/>
      <w:rPr>
        <w:b/>
        <w:sz w:val="20"/>
      </w:rPr>
    </w:pPr>
  </w:p>
  <w:p w14:paraId="5E06B4DF"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42475C"/>
    <w:multiLevelType w:val="hybridMultilevel"/>
    <w:tmpl w:val="AB881B54"/>
    <w:lvl w:ilvl="0" w:tplc="BA500E42">
      <w:start w:val="1"/>
      <w:numFmt w:val="lowerLetter"/>
      <w:lvlText w:val="(%1)"/>
      <w:lvlJc w:val="left"/>
      <w:pPr>
        <w:ind w:left="72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D566941"/>
    <w:multiLevelType w:val="hybridMultilevel"/>
    <w:tmpl w:val="63369CE6"/>
    <w:lvl w:ilvl="0" w:tplc="9CFE6CFC">
      <w:start w:val="1"/>
      <w:numFmt w:val="lowerLetter"/>
      <w:lvlText w:val="(%1)"/>
      <w:lvlJc w:val="left"/>
      <w:pPr>
        <w:ind w:left="720" w:hanging="360"/>
      </w:pPr>
      <w:rPr>
        <w:rFonts w:ascii="Times New Roman" w:hAnsi="Times New Roman" w:cs="Times New Roman" w:hint="default"/>
        <w:color w:val="00000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70A2D80"/>
    <w:multiLevelType w:val="hybridMultilevel"/>
    <w:tmpl w:val="F50A006A"/>
    <w:lvl w:ilvl="0" w:tplc="D682BDC6">
      <w:start w:val="1"/>
      <w:numFmt w:val="decimal"/>
      <w:lvlText w:val="(%1)"/>
      <w:lvlJc w:val="left"/>
      <w:pPr>
        <w:ind w:left="720" w:hanging="360"/>
      </w:pPr>
      <w:rPr>
        <w:rFonts w:hint="default"/>
      </w:rPr>
    </w:lvl>
    <w:lvl w:ilvl="1" w:tplc="F6AE2C4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78897D66"/>
    <w:multiLevelType w:val="hybridMultilevel"/>
    <w:tmpl w:val="BB8C588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62373087">
    <w:abstractNumId w:val="9"/>
  </w:num>
  <w:num w:numId="2" w16cid:durableId="792404429">
    <w:abstractNumId w:val="7"/>
  </w:num>
  <w:num w:numId="3" w16cid:durableId="1551306947">
    <w:abstractNumId w:val="6"/>
  </w:num>
  <w:num w:numId="4" w16cid:durableId="385839751">
    <w:abstractNumId w:val="5"/>
  </w:num>
  <w:num w:numId="5" w16cid:durableId="610744151">
    <w:abstractNumId w:val="4"/>
  </w:num>
  <w:num w:numId="6" w16cid:durableId="694110998">
    <w:abstractNumId w:val="8"/>
  </w:num>
  <w:num w:numId="7" w16cid:durableId="1713729125">
    <w:abstractNumId w:val="3"/>
  </w:num>
  <w:num w:numId="8" w16cid:durableId="1755515430">
    <w:abstractNumId w:val="2"/>
  </w:num>
  <w:num w:numId="9" w16cid:durableId="1004628427">
    <w:abstractNumId w:val="1"/>
  </w:num>
  <w:num w:numId="10" w16cid:durableId="275331585">
    <w:abstractNumId w:val="0"/>
  </w:num>
  <w:num w:numId="11" w16cid:durableId="198124863">
    <w:abstractNumId w:val="15"/>
  </w:num>
  <w:num w:numId="12" w16cid:durableId="1373186502">
    <w:abstractNumId w:val="10"/>
  </w:num>
  <w:num w:numId="13" w16cid:durableId="1767572662">
    <w:abstractNumId w:val="12"/>
  </w:num>
  <w:num w:numId="14" w16cid:durableId="1706365982">
    <w:abstractNumId w:val="11"/>
  </w:num>
  <w:num w:numId="15" w16cid:durableId="1500580449">
    <w:abstractNumId w:val="14"/>
  </w:num>
  <w:num w:numId="16" w16cid:durableId="120466624">
    <w:abstractNumId w:val="16"/>
  </w:num>
  <w:num w:numId="17" w16cid:durableId="7338132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421D1"/>
    <w:rsid w:val="00000263"/>
    <w:rsid w:val="00002BCC"/>
    <w:rsid w:val="000113BC"/>
    <w:rsid w:val="000136AF"/>
    <w:rsid w:val="000327BB"/>
    <w:rsid w:val="0004044E"/>
    <w:rsid w:val="0005120E"/>
    <w:rsid w:val="00054577"/>
    <w:rsid w:val="00056CC5"/>
    <w:rsid w:val="000614BF"/>
    <w:rsid w:val="0007169C"/>
    <w:rsid w:val="00077593"/>
    <w:rsid w:val="00081E52"/>
    <w:rsid w:val="00083F48"/>
    <w:rsid w:val="000A479A"/>
    <w:rsid w:val="000A7DF9"/>
    <w:rsid w:val="000B266D"/>
    <w:rsid w:val="000D05EF"/>
    <w:rsid w:val="000D0B96"/>
    <w:rsid w:val="000D3FB9"/>
    <w:rsid w:val="000D5485"/>
    <w:rsid w:val="000E598E"/>
    <w:rsid w:val="000E5A3D"/>
    <w:rsid w:val="000F0ADA"/>
    <w:rsid w:val="000F21C1"/>
    <w:rsid w:val="0010745C"/>
    <w:rsid w:val="00107519"/>
    <w:rsid w:val="001122FF"/>
    <w:rsid w:val="001510F3"/>
    <w:rsid w:val="00157F4D"/>
    <w:rsid w:val="00160BD7"/>
    <w:rsid w:val="001643C9"/>
    <w:rsid w:val="00165568"/>
    <w:rsid w:val="00166082"/>
    <w:rsid w:val="00166C2F"/>
    <w:rsid w:val="001716C9"/>
    <w:rsid w:val="001765D6"/>
    <w:rsid w:val="00184261"/>
    <w:rsid w:val="00193461"/>
    <w:rsid w:val="001939E1"/>
    <w:rsid w:val="0019452E"/>
    <w:rsid w:val="00195382"/>
    <w:rsid w:val="00197286"/>
    <w:rsid w:val="001A3B9F"/>
    <w:rsid w:val="001A5520"/>
    <w:rsid w:val="001A65C0"/>
    <w:rsid w:val="001B7A5D"/>
    <w:rsid w:val="001C69C4"/>
    <w:rsid w:val="001D4E65"/>
    <w:rsid w:val="001E0A8D"/>
    <w:rsid w:val="001E3590"/>
    <w:rsid w:val="001E7407"/>
    <w:rsid w:val="001F1A46"/>
    <w:rsid w:val="001F1CD2"/>
    <w:rsid w:val="00201D27"/>
    <w:rsid w:val="0021153A"/>
    <w:rsid w:val="00213169"/>
    <w:rsid w:val="002245A6"/>
    <w:rsid w:val="002302EA"/>
    <w:rsid w:val="00237265"/>
    <w:rsid w:val="00237614"/>
    <w:rsid w:val="00240749"/>
    <w:rsid w:val="002468D7"/>
    <w:rsid w:val="00247E97"/>
    <w:rsid w:val="00256C81"/>
    <w:rsid w:val="002812BB"/>
    <w:rsid w:val="00285CDD"/>
    <w:rsid w:val="00291167"/>
    <w:rsid w:val="0029489E"/>
    <w:rsid w:val="00297ECB"/>
    <w:rsid w:val="002B2512"/>
    <w:rsid w:val="002B7770"/>
    <w:rsid w:val="002C152A"/>
    <w:rsid w:val="002D043A"/>
    <w:rsid w:val="00305482"/>
    <w:rsid w:val="0031713F"/>
    <w:rsid w:val="003222D1"/>
    <w:rsid w:val="0032750F"/>
    <w:rsid w:val="003364FF"/>
    <w:rsid w:val="003415D3"/>
    <w:rsid w:val="003442F6"/>
    <w:rsid w:val="00346335"/>
    <w:rsid w:val="00352B0F"/>
    <w:rsid w:val="003561B0"/>
    <w:rsid w:val="003749AE"/>
    <w:rsid w:val="00397893"/>
    <w:rsid w:val="003A15AC"/>
    <w:rsid w:val="003B0627"/>
    <w:rsid w:val="003C5F2B"/>
    <w:rsid w:val="003C7D35"/>
    <w:rsid w:val="003D0BFE"/>
    <w:rsid w:val="003D5700"/>
    <w:rsid w:val="003F6F52"/>
    <w:rsid w:val="004022CA"/>
    <w:rsid w:val="004116CD"/>
    <w:rsid w:val="00414ADE"/>
    <w:rsid w:val="00424CA9"/>
    <w:rsid w:val="004257BB"/>
    <w:rsid w:val="0044291A"/>
    <w:rsid w:val="004600B0"/>
    <w:rsid w:val="00460499"/>
    <w:rsid w:val="00460FBA"/>
    <w:rsid w:val="00474835"/>
    <w:rsid w:val="00480E67"/>
    <w:rsid w:val="004819C7"/>
    <w:rsid w:val="004825FE"/>
    <w:rsid w:val="0048364F"/>
    <w:rsid w:val="00483AE0"/>
    <w:rsid w:val="004877FC"/>
    <w:rsid w:val="00490F2E"/>
    <w:rsid w:val="00494FE8"/>
    <w:rsid w:val="00496F97"/>
    <w:rsid w:val="004A53EA"/>
    <w:rsid w:val="004B1C92"/>
    <w:rsid w:val="004B35E7"/>
    <w:rsid w:val="004B434E"/>
    <w:rsid w:val="004E5BAF"/>
    <w:rsid w:val="004F1FAC"/>
    <w:rsid w:val="004F676E"/>
    <w:rsid w:val="004F71C0"/>
    <w:rsid w:val="00516B8D"/>
    <w:rsid w:val="0052408E"/>
    <w:rsid w:val="0052756C"/>
    <w:rsid w:val="00530230"/>
    <w:rsid w:val="00530CC9"/>
    <w:rsid w:val="00531B46"/>
    <w:rsid w:val="00537FBC"/>
    <w:rsid w:val="00541D73"/>
    <w:rsid w:val="00543469"/>
    <w:rsid w:val="00546FA3"/>
    <w:rsid w:val="00557C7A"/>
    <w:rsid w:val="00557DA3"/>
    <w:rsid w:val="00562A58"/>
    <w:rsid w:val="0056541A"/>
    <w:rsid w:val="00573AA1"/>
    <w:rsid w:val="00581211"/>
    <w:rsid w:val="00584811"/>
    <w:rsid w:val="00593AA6"/>
    <w:rsid w:val="00594161"/>
    <w:rsid w:val="00594749"/>
    <w:rsid w:val="00594956"/>
    <w:rsid w:val="005B1555"/>
    <w:rsid w:val="005B23AE"/>
    <w:rsid w:val="005B4067"/>
    <w:rsid w:val="005C3F41"/>
    <w:rsid w:val="005C4EF0"/>
    <w:rsid w:val="005D5EA1"/>
    <w:rsid w:val="005E098C"/>
    <w:rsid w:val="005E0B37"/>
    <w:rsid w:val="005E1F8D"/>
    <w:rsid w:val="005E317F"/>
    <w:rsid w:val="005E61D3"/>
    <w:rsid w:val="00600219"/>
    <w:rsid w:val="0060042C"/>
    <w:rsid w:val="00603261"/>
    <w:rsid w:val="006065DA"/>
    <w:rsid w:val="00606AA4"/>
    <w:rsid w:val="00640402"/>
    <w:rsid w:val="00640F78"/>
    <w:rsid w:val="00642B44"/>
    <w:rsid w:val="00655D6A"/>
    <w:rsid w:val="00656DE9"/>
    <w:rsid w:val="00657EC0"/>
    <w:rsid w:val="00672876"/>
    <w:rsid w:val="00674407"/>
    <w:rsid w:val="00677CC2"/>
    <w:rsid w:val="006845FC"/>
    <w:rsid w:val="00685F42"/>
    <w:rsid w:val="0069207B"/>
    <w:rsid w:val="006A304E"/>
    <w:rsid w:val="006B7006"/>
    <w:rsid w:val="006C7F8C"/>
    <w:rsid w:val="006D2935"/>
    <w:rsid w:val="006D6C9A"/>
    <w:rsid w:val="006D7AB9"/>
    <w:rsid w:val="006E600F"/>
    <w:rsid w:val="00700B2C"/>
    <w:rsid w:val="00713084"/>
    <w:rsid w:val="007146CD"/>
    <w:rsid w:val="00717463"/>
    <w:rsid w:val="00720FC2"/>
    <w:rsid w:val="0072104A"/>
    <w:rsid w:val="00722E89"/>
    <w:rsid w:val="00731E00"/>
    <w:rsid w:val="007339C7"/>
    <w:rsid w:val="007440B7"/>
    <w:rsid w:val="00747993"/>
    <w:rsid w:val="007634AD"/>
    <w:rsid w:val="007679C3"/>
    <w:rsid w:val="007715C9"/>
    <w:rsid w:val="00774EDD"/>
    <w:rsid w:val="007757EC"/>
    <w:rsid w:val="0079445D"/>
    <w:rsid w:val="007A4837"/>
    <w:rsid w:val="007A6863"/>
    <w:rsid w:val="007C78B4"/>
    <w:rsid w:val="007E32B6"/>
    <w:rsid w:val="007E486B"/>
    <w:rsid w:val="007E7D4A"/>
    <w:rsid w:val="007F48ED"/>
    <w:rsid w:val="007F5E3F"/>
    <w:rsid w:val="00812F45"/>
    <w:rsid w:val="00836FE9"/>
    <w:rsid w:val="0084172C"/>
    <w:rsid w:val="0085175E"/>
    <w:rsid w:val="00856A31"/>
    <w:rsid w:val="008618CA"/>
    <w:rsid w:val="008754D0"/>
    <w:rsid w:val="00877C69"/>
    <w:rsid w:val="00877D48"/>
    <w:rsid w:val="008815C3"/>
    <w:rsid w:val="0088345B"/>
    <w:rsid w:val="008A16A5"/>
    <w:rsid w:val="008A5C57"/>
    <w:rsid w:val="008C0629"/>
    <w:rsid w:val="008D0EE0"/>
    <w:rsid w:val="008D18EF"/>
    <w:rsid w:val="008D7A27"/>
    <w:rsid w:val="008E4702"/>
    <w:rsid w:val="008E69AA"/>
    <w:rsid w:val="008F4F1C"/>
    <w:rsid w:val="009056D6"/>
    <w:rsid w:val="009069AD"/>
    <w:rsid w:val="00906FC4"/>
    <w:rsid w:val="00910E64"/>
    <w:rsid w:val="009141DC"/>
    <w:rsid w:val="00922764"/>
    <w:rsid w:val="009278C1"/>
    <w:rsid w:val="00930313"/>
    <w:rsid w:val="00932377"/>
    <w:rsid w:val="009346E3"/>
    <w:rsid w:val="00934EC1"/>
    <w:rsid w:val="0093517C"/>
    <w:rsid w:val="0094523D"/>
    <w:rsid w:val="00962786"/>
    <w:rsid w:val="00963416"/>
    <w:rsid w:val="00976A63"/>
    <w:rsid w:val="00991C52"/>
    <w:rsid w:val="009B2490"/>
    <w:rsid w:val="009B50E5"/>
    <w:rsid w:val="009C3431"/>
    <w:rsid w:val="009C5989"/>
    <w:rsid w:val="009C6A32"/>
    <w:rsid w:val="009D08DA"/>
    <w:rsid w:val="00A06860"/>
    <w:rsid w:val="00A136F5"/>
    <w:rsid w:val="00A231E2"/>
    <w:rsid w:val="00A2550D"/>
    <w:rsid w:val="00A35279"/>
    <w:rsid w:val="00A379BB"/>
    <w:rsid w:val="00A4169B"/>
    <w:rsid w:val="00A421D1"/>
    <w:rsid w:val="00A50D55"/>
    <w:rsid w:val="00A52FDA"/>
    <w:rsid w:val="00A6013F"/>
    <w:rsid w:val="00A64912"/>
    <w:rsid w:val="00A6687B"/>
    <w:rsid w:val="00A70A74"/>
    <w:rsid w:val="00A910EF"/>
    <w:rsid w:val="00A91EFD"/>
    <w:rsid w:val="00A9231A"/>
    <w:rsid w:val="00A95BC7"/>
    <w:rsid w:val="00AA0343"/>
    <w:rsid w:val="00AA78CE"/>
    <w:rsid w:val="00AA7B26"/>
    <w:rsid w:val="00AA7C51"/>
    <w:rsid w:val="00AB0801"/>
    <w:rsid w:val="00AC6BF2"/>
    <w:rsid w:val="00AC767C"/>
    <w:rsid w:val="00AD3467"/>
    <w:rsid w:val="00AD5641"/>
    <w:rsid w:val="00AE409E"/>
    <w:rsid w:val="00AF33DB"/>
    <w:rsid w:val="00AF47D7"/>
    <w:rsid w:val="00B032D8"/>
    <w:rsid w:val="00B05D72"/>
    <w:rsid w:val="00B20990"/>
    <w:rsid w:val="00B23FAF"/>
    <w:rsid w:val="00B3264D"/>
    <w:rsid w:val="00B32F08"/>
    <w:rsid w:val="00B33B3C"/>
    <w:rsid w:val="00B40D74"/>
    <w:rsid w:val="00B42649"/>
    <w:rsid w:val="00B46467"/>
    <w:rsid w:val="00B52663"/>
    <w:rsid w:val="00B55A71"/>
    <w:rsid w:val="00B56DCB"/>
    <w:rsid w:val="00B61728"/>
    <w:rsid w:val="00B7503C"/>
    <w:rsid w:val="00B770D2"/>
    <w:rsid w:val="00B93516"/>
    <w:rsid w:val="00B96776"/>
    <w:rsid w:val="00B973E5"/>
    <w:rsid w:val="00BA388A"/>
    <w:rsid w:val="00BA47A3"/>
    <w:rsid w:val="00BA5026"/>
    <w:rsid w:val="00BA7B5B"/>
    <w:rsid w:val="00BB6E79"/>
    <w:rsid w:val="00BD0E6B"/>
    <w:rsid w:val="00BE42C5"/>
    <w:rsid w:val="00BE719A"/>
    <w:rsid w:val="00BE720A"/>
    <w:rsid w:val="00BF0723"/>
    <w:rsid w:val="00BF6650"/>
    <w:rsid w:val="00C067E5"/>
    <w:rsid w:val="00C164CA"/>
    <w:rsid w:val="00C26051"/>
    <w:rsid w:val="00C31350"/>
    <w:rsid w:val="00C40D24"/>
    <w:rsid w:val="00C42BF8"/>
    <w:rsid w:val="00C460AE"/>
    <w:rsid w:val="00C50043"/>
    <w:rsid w:val="00C5015F"/>
    <w:rsid w:val="00C50A0F"/>
    <w:rsid w:val="00C50F4A"/>
    <w:rsid w:val="00C72D10"/>
    <w:rsid w:val="00C7573B"/>
    <w:rsid w:val="00C76CF3"/>
    <w:rsid w:val="00C772F9"/>
    <w:rsid w:val="00C93205"/>
    <w:rsid w:val="00C94428"/>
    <w:rsid w:val="00C945DC"/>
    <w:rsid w:val="00CA7844"/>
    <w:rsid w:val="00CB58EF"/>
    <w:rsid w:val="00CC4BB5"/>
    <w:rsid w:val="00CE0A93"/>
    <w:rsid w:val="00CF0BB2"/>
    <w:rsid w:val="00D12B0D"/>
    <w:rsid w:val="00D13441"/>
    <w:rsid w:val="00D243A3"/>
    <w:rsid w:val="00D33440"/>
    <w:rsid w:val="00D452A3"/>
    <w:rsid w:val="00D52EFE"/>
    <w:rsid w:val="00D56A0D"/>
    <w:rsid w:val="00D63EF6"/>
    <w:rsid w:val="00D66518"/>
    <w:rsid w:val="00D70DFB"/>
    <w:rsid w:val="00D71EEA"/>
    <w:rsid w:val="00D735CD"/>
    <w:rsid w:val="00D73A70"/>
    <w:rsid w:val="00D766DF"/>
    <w:rsid w:val="00D86360"/>
    <w:rsid w:val="00D90841"/>
    <w:rsid w:val="00DA2439"/>
    <w:rsid w:val="00DA6F05"/>
    <w:rsid w:val="00DB64FC"/>
    <w:rsid w:val="00DC3730"/>
    <w:rsid w:val="00DD0AD1"/>
    <w:rsid w:val="00DE149E"/>
    <w:rsid w:val="00E034DB"/>
    <w:rsid w:val="00E05704"/>
    <w:rsid w:val="00E12F1A"/>
    <w:rsid w:val="00E22935"/>
    <w:rsid w:val="00E50E89"/>
    <w:rsid w:val="00E54292"/>
    <w:rsid w:val="00E60191"/>
    <w:rsid w:val="00E74DC7"/>
    <w:rsid w:val="00E76E40"/>
    <w:rsid w:val="00E87699"/>
    <w:rsid w:val="00E92E27"/>
    <w:rsid w:val="00E9586B"/>
    <w:rsid w:val="00E97334"/>
    <w:rsid w:val="00EB3A99"/>
    <w:rsid w:val="00EB65F8"/>
    <w:rsid w:val="00ED4928"/>
    <w:rsid w:val="00ED67FB"/>
    <w:rsid w:val="00EE3FFE"/>
    <w:rsid w:val="00EE57E8"/>
    <w:rsid w:val="00EE6190"/>
    <w:rsid w:val="00EF2E3A"/>
    <w:rsid w:val="00EF2E61"/>
    <w:rsid w:val="00EF6402"/>
    <w:rsid w:val="00F047E2"/>
    <w:rsid w:val="00F04D57"/>
    <w:rsid w:val="00F078DC"/>
    <w:rsid w:val="00F120BF"/>
    <w:rsid w:val="00F13E86"/>
    <w:rsid w:val="00F20B52"/>
    <w:rsid w:val="00F32FCB"/>
    <w:rsid w:val="00F33523"/>
    <w:rsid w:val="00F43B4C"/>
    <w:rsid w:val="00F677A9"/>
    <w:rsid w:val="00F8076E"/>
    <w:rsid w:val="00F8121C"/>
    <w:rsid w:val="00F81331"/>
    <w:rsid w:val="00F815B4"/>
    <w:rsid w:val="00F84CF5"/>
    <w:rsid w:val="00F8612E"/>
    <w:rsid w:val="00F94583"/>
    <w:rsid w:val="00FA420B"/>
    <w:rsid w:val="00FB6AEE"/>
    <w:rsid w:val="00FC3EAC"/>
    <w:rsid w:val="00FF37A4"/>
    <w:rsid w:val="00FF39DE"/>
    <w:rsid w:val="00FF73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04967"/>
  <w15:docId w15:val="{CB3231AC-7136-4F2F-B7FD-F0A4057FC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character" w:styleId="CommentReference">
    <w:name w:val="annotation reference"/>
    <w:basedOn w:val="DefaultParagraphFont"/>
    <w:unhideWhenUsed/>
    <w:rsid w:val="00081E52"/>
    <w:rPr>
      <w:sz w:val="16"/>
      <w:szCs w:val="16"/>
    </w:rPr>
  </w:style>
  <w:style w:type="paragraph" w:styleId="CommentText">
    <w:name w:val="annotation text"/>
    <w:basedOn w:val="Normal"/>
    <w:link w:val="CommentTextChar"/>
    <w:uiPriority w:val="99"/>
    <w:semiHidden/>
    <w:unhideWhenUsed/>
    <w:rsid w:val="00081E52"/>
    <w:pPr>
      <w:spacing w:line="240" w:lineRule="auto"/>
    </w:pPr>
    <w:rPr>
      <w:sz w:val="20"/>
    </w:rPr>
  </w:style>
  <w:style w:type="character" w:customStyle="1" w:styleId="CommentTextChar">
    <w:name w:val="Comment Text Char"/>
    <w:basedOn w:val="DefaultParagraphFont"/>
    <w:link w:val="CommentText"/>
    <w:uiPriority w:val="99"/>
    <w:semiHidden/>
    <w:rsid w:val="00081E52"/>
  </w:style>
  <w:style w:type="paragraph" w:styleId="CommentSubject">
    <w:name w:val="annotation subject"/>
    <w:basedOn w:val="CommentText"/>
    <w:next w:val="CommentText"/>
    <w:link w:val="CommentSubjectChar"/>
    <w:uiPriority w:val="99"/>
    <w:semiHidden/>
    <w:unhideWhenUsed/>
    <w:rsid w:val="00081E52"/>
    <w:rPr>
      <w:b/>
      <w:bCs/>
    </w:rPr>
  </w:style>
  <w:style w:type="character" w:customStyle="1" w:styleId="CommentSubjectChar">
    <w:name w:val="Comment Subject Char"/>
    <w:basedOn w:val="CommentTextChar"/>
    <w:link w:val="CommentSubject"/>
    <w:uiPriority w:val="99"/>
    <w:semiHidden/>
    <w:rsid w:val="00081E52"/>
    <w:rPr>
      <w:b/>
      <w:bCs/>
    </w:rPr>
  </w:style>
  <w:style w:type="paragraph" w:styleId="Revision">
    <w:name w:val="Revision"/>
    <w:hidden/>
    <w:uiPriority w:val="99"/>
    <w:semiHidden/>
    <w:rsid w:val="00C40D24"/>
    <w:rPr>
      <w:sz w:val="22"/>
    </w:rPr>
  </w:style>
  <w:style w:type="paragraph" w:customStyle="1" w:styleId="BodyParaBullet">
    <w:name w:val="BodyParaBullet"/>
    <w:aliases w:val="bpb"/>
    <w:basedOn w:val="OPCParaBase"/>
    <w:rsid w:val="00305482"/>
    <w:pPr>
      <w:tabs>
        <w:tab w:val="num" w:pos="1440"/>
        <w:tab w:val="left" w:pos="2160"/>
      </w:tabs>
      <w:spacing w:before="240" w:line="240" w:lineRule="auto"/>
      <w:ind w:left="1440" w:hanging="720"/>
    </w:pPr>
    <w:rPr>
      <w:sz w:val="24"/>
    </w:rPr>
  </w:style>
  <w:style w:type="paragraph" w:customStyle="1" w:styleId="BodySubPara">
    <w:name w:val="BodySubPara"/>
    <w:aliases w:val="bi"/>
    <w:basedOn w:val="OPCParaBase"/>
    <w:rsid w:val="00305482"/>
    <w:pPr>
      <w:tabs>
        <w:tab w:val="num" w:pos="2160"/>
      </w:tabs>
      <w:spacing w:before="240" w:line="240" w:lineRule="auto"/>
      <w:ind w:left="2160" w:hanging="720"/>
    </w:pPr>
    <w:rPr>
      <w:sz w:val="24"/>
    </w:rPr>
  </w:style>
  <w:style w:type="character" w:customStyle="1" w:styleId="TabletextChar">
    <w:name w:val="Tabletext Char"/>
    <w:aliases w:val="tt Char"/>
    <w:basedOn w:val="DefaultParagraphFont"/>
    <w:link w:val="Tabletext"/>
    <w:locked/>
    <w:rsid w:val="00CC4BB5"/>
    <w:rPr>
      <w:rFonts w:eastAsia="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ihan\OneDrive%20-%20Department%20of%20Health\Desktop\Templates%20and%20Guidance\CURRENT%20OPC%20Template%20-%20amending%20instrument%20September%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842AE-923D-4588-9C6E-6D7F24F51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CURRENT OPC Template - amending instrument September 2022.dotx</Template>
  <TotalTime>524</TotalTime>
  <Pages>10</Pages>
  <Words>1821</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CLIMAS, Hannah</dc:creator>
  <cp:lastModifiedBy>VANCUYLENBURG, Chrisanne</cp:lastModifiedBy>
  <cp:revision>68</cp:revision>
  <cp:lastPrinted>2023-08-25T04:23:00Z</cp:lastPrinted>
  <dcterms:created xsi:type="dcterms:W3CDTF">2023-07-25T04:48:00Z</dcterms:created>
  <dcterms:modified xsi:type="dcterms:W3CDTF">2023-09-21T05:35:00Z</dcterms:modified>
</cp:coreProperties>
</file>