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C74E2" w14:textId="2944AE65" w:rsidR="00787B24" w:rsidRPr="007B5248" w:rsidRDefault="00787B24" w:rsidP="00BE6856">
      <w:pPr>
        <w:shd w:val="clear" w:color="auto" w:fill="FFFFFF"/>
        <w:spacing w:after="120" w:line="240" w:lineRule="auto"/>
        <w:contextualSpacing/>
        <w:jc w:val="center"/>
        <w:outlineLvl w:val="0"/>
        <w:rPr>
          <w:rFonts w:ascii="Times New Roman" w:hAnsi="Times New Roman" w:cs="Times New Roman"/>
          <w:b/>
          <w:i/>
          <w:sz w:val="28"/>
          <w:szCs w:val="28"/>
        </w:rPr>
      </w:pPr>
      <w:r w:rsidRPr="007B5248">
        <w:rPr>
          <w:rFonts w:ascii="Times New Roman" w:eastAsia="Times New Roman" w:hAnsi="Times New Roman" w:cs="Times New Roman"/>
          <w:b/>
          <w:bCs/>
          <w:i/>
          <w:iCs/>
          <w:color w:val="000000"/>
          <w:spacing w:val="-2"/>
          <w:kern w:val="36"/>
          <w:sz w:val="28"/>
          <w:szCs w:val="28"/>
          <w:lang w:eastAsia="en-AU"/>
        </w:rPr>
        <w:t>Legislation (Deferral of Sunsetting—</w:t>
      </w:r>
      <w:r w:rsidR="000E4ACE" w:rsidRPr="007B5248">
        <w:rPr>
          <w:rFonts w:ascii="Times New Roman" w:eastAsia="Times New Roman" w:hAnsi="Times New Roman" w:cs="Times New Roman"/>
          <w:b/>
          <w:bCs/>
          <w:i/>
          <w:iCs/>
          <w:spacing w:val="-2"/>
          <w:kern w:val="36"/>
          <w:sz w:val="28"/>
          <w:szCs w:val="28"/>
          <w:lang w:eastAsia="en-AU"/>
        </w:rPr>
        <w:t>Insurance Instruments</w:t>
      </w:r>
      <w:r w:rsidRPr="007B5248">
        <w:rPr>
          <w:rFonts w:ascii="Times New Roman" w:eastAsia="Times New Roman" w:hAnsi="Times New Roman" w:cs="Times New Roman"/>
          <w:b/>
          <w:bCs/>
          <w:i/>
          <w:iCs/>
          <w:color w:val="000000"/>
          <w:spacing w:val="-2"/>
          <w:kern w:val="36"/>
          <w:sz w:val="28"/>
          <w:szCs w:val="28"/>
          <w:lang w:eastAsia="en-AU"/>
        </w:rPr>
        <w:t>) Certificate 202</w:t>
      </w:r>
      <w:r w:rsidRPr="007B5248">
        <w:rPr>
          <w:rFonts w:ascii="Times New Roman" w:hAnsi="Times New Roman" w:cs="Times New Roman"/>
          <w:b/>
          <w:i/>
          <w:sz w:val="28"/>
          <w:szCs w:val="28"/>
        </w:rPr>
        <w:t>3</w:t>
      </w:r>
    </w:p>
    <w:p w14:paraId="0A577C56" w14:textId="77777777" w:rsidR="00771604" w:rsidRPr="007B5248" w:rsidRDefault="00771604" w:rsidP="00BE6856">
      <w:pPr>
        <w:shd w:val="clear" w:color="auto" w:fill="FFFFFF"/>
        <w:spacing w:after="120" w:line="240" w:lineRule="auto"/>
        <w:contextualSpacing/>
        <w:jc w:val="center"/>
        <w:outlineLvl w:val="0"/>
        <w:rPr>
          <w:rFonts w:ascii="Times New Roman" w:eastAsia="Times New Roman" w:hAnsi="Times New Roman" w:cs="Times New Roman"/>
          <w:b/>
          <w:bCs/>
          <w:i/>
          <w:iCs/>
          <w:color w:val="000000"/>
          <w:spacing w:val="-2"/>
          <w:kern w:val="36"/>
          <w:sz w:val="28"/>
          <w:szCs w:val="28"/>
          <w:lang w:eastAsia="en-AU"/>
        </w:rPr>
      </w:pPr>
    </w:p>
    <w:p w14:paraId="492CBD12" w14:textId="77777777" w:rsidR="00787B24" w:rsidRPr="007B5248" w:rsidRDefault="00787B24" w:rsidP="00BE6856">
      <w:pPr>
        <w:shd w:val="clear" w:color="auto" w:fill="FFFFFF"/>
        <w:spacing w:after="120" w:line="240" w:lineRule="auto"/>
        <w:contextualSpacing/>
        <w:jc w:val="center"/>
        <w:outlineLvl w:val="0"/>
        <w:rPr>
          <w:rFonts w:ascii="Times New Roman" w:hAnsi="Times New Roman" w:cs="Times New Roman"/>
          <w:b/>
          <w:sz w:val="28"/>
          <w:szCs w:val="24"/>
        </w:rPr>
      </w:pPr>
      <w:r w:rsidRPr="007B5248">
        <w:rPr>
          <w:rFonts w:ascii="Times New Roman" w:hAnsi="Times New Roman" w:cs="Times New Roman"/>
          <w:b/>
          <w:sz w:val="28"/>
          <w:szCs w:val="24"/>
        </w:rPr>
        <w:t>EXPLANATORY STATEMENT</w:t>
      </w:r>
    </w:p>
    <w:p w14:paraId="545E3381" w14:textId="77777777" w:rsidR="00787B24" w:rsidRPr="007B5248" w:rsidRDefault="00787B24" w:rsidP="00BE6856">
      <w:pPr>
        <w:shd w:val="clear" w:color="auto" w:fill="FFFFFF"/>
        <w:spacing w:after="120" w:line="240" w:lineRule="auto"/>
        <w:contextualSpacing/>
        <w:jc w:val="center"/>
        <w:rPr>
          <w:rFonts w:ascii="Times New Roman" w:hAnsi="Times New Roman" w:cs="Times New Roman"/>
          <w:i/>
          <w:sz w:val="24"/>
        </w:rPr>
      </w:pPr>
      <w:r w:rsidRPr="007B5248">
        <w:rPr>
          <w:rFonts w:ascii="Times New Roman" w:eastAsia="Times New Roman" w:hAnsi="Times New Roman" w:cs="Times New Roman"/>
          <w:color w:val="000000"/>
          <w:sz w:val="24"/>
          <w:szCs w:val="24"/>
          <w:lang w:eastAsia="en-AU"/>
        </w:rPr>
        <w:t>Issued</w:t>
      </w:r>
      <w:r w:rsidRPr="007B5248">
        <w:rPr>
          <w:rFonts w:ascii="Times New Roman" w:hAnsi="Times New Roman" w:cs="Times New Roman"/>
          <w:sz w:val="24"/>
        </w:rPr>
        <w:t xml:space="preserve"> by the Attorney-General in compliance with</w:t>
      </w:r>
      <w:r w:rsidRPr="007B5248">
        <w:rPr>
          <w:rFonts w:ascii="Times New Roman" w:hAnsi="Times New Roman" w:cs="Times New Roman"/>
          <w:sz w:val="24"/>
        </w:rPr>
        <w:br/>
        <w:t xml:space="preserve">section 15G of the </w:t>
      </w:r>
      <w:r w:rsidRPr="007B5248">
        <w:rPr>
          <w:rFonts w:ascii="Times New Roman" w:hAnsi="Times New Roman" w:cs="Times New Roman"/>
          <w:i/>
          <w:sz w:val="24"/>
        </w:rPr>
        <w:t>Legislation Act 2003</w:t>
      </w:r>
    </w:p>
    <w:p w14:paraId="3CEABF25" w14:textId="77777777" w:rsidR="00787B24" w:rsidRPr="007B5248" w:rsidRDefault="00787B24" w:rsidP="00BE6856">
      <w:pPr>
        <w:pBdr>
          <w:bottom w:val="single" w:sz="12" w:space="1" w:color="auto"/>
        </w:pBdr>
        <w:spacing w:after="360" w:line="276" w:lineRule="auto"/>
        <w:contextualSpacing/>
        <w:jc w:val="both"/>
        <w:rPr>
          <w:rFonts w:ascii="Times New Roman" w:hAnsi="Times New Roman" w:cs="Times New Roman"/>
        </w:rPr>
      </w:pPr>
    </w:p>
    <w:p w14:paraId="14B3BBC5" w14:textId="77777777" w:rsidR="00787B24" w:rsidRPr="007B5248" w:rsidRDefault="00787B24" w:rsidP="00BE6856">
      <w:pPr>
        <w:keepNext/>
        <w:keepLines/>
        <w:spacing w:afterLines="200" w:after="480" w:line="360" w:lineRule="auto"/>
        <w:contextualSpacing/>
        <w:outlineLvl w:val="1"/>
        <w:rPr>
          <w:rFonts w:ascii="Times New Roman" w:eastAsiaTheme="majorEastAsia" w:hAnsi="Times New Roman" w:cs="Times New Roman"/>
          <w:b/>
          <w:bCs/>
        </w:rPr>
      </w:pPr>
      <w:r w:rsidRPr="007B5248">
        <w:rPr>
          <w:rFonts w:ascii="Times New Roman" w:eastAsiaTheme="majorEastAsia" w:hAnsi="Times New Roman" w:cs="Times New Roman"/>
          <w:b/>
          <w:bCs/>
        </w:rPr>
        <w:t>INTRODUCTION</w:t>
      </w:r>
    </w:p>
    <w:p w14:paraId="4E37396D" w14:textId="77777777" w:rsidR="00787B24" w:rsidRPr="007B5248" w:rsidRDefault="00787B24" w:rsidP="00BE6856">
      <w:pPr>
        <w:spacing w:afterLines="200" w:after="480" w:line="360" w:lineRule="auto"/>
        <w:contextualSpacing/>
        <w:rPr>
          <w:rFonts w:ascii="Times New Roman" w:hAnsi="Times New Roman" w:cs="Times New Roman"/>
        </w:rPr>
      </w:pPr>
    </w:p>
    <w:p w14:paraId="37A2E1AA" w14:textId="79DCD314" w:rsidR="00787B24"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 xml:space="preserve">The </w:t>
      </w:r>
      <w:r w:rsidRPr="007B5248">
        <w:rPr>
          <w:rFonts w:ascii="Times New Roman" w:hAnsi="Times New Roman" w:cs="Times New Roman"/>
          <w:i/>
        </w:rPr>
        <w:t xml:space="preserve">Legislation (Deferral of Sunsetting— </w:t>
      </w:r>
      <w:r w:rsidR="000E4ACE" w:rsidRPr="007B5248">
        <w:rPr>
          <w:rFonts w:ascii="Times New Roman" w:hAnsi="Times New Roman" w:cs="Times New Roman"/>
          <w:i/>
        </w:rPr>
        <w:t>Insurance Instruments</w:t>
      </w:r>
      <w:r w:rsidRPr="007B5248">
        <w:rPr>
          <w:rFonts w:ascii="Times New Roman" w:hAnsi="Times New Roman" w:cs="Times New Roman"/>
          <w:i/>
        </w:rPr>
        <w:t>) Certificate 202</w:t>
      </w:r>
      <w:r w:rsidR="00CC4CE2" w:rsidRPr="007B5248">
        <w:rPr>
          <w:rFonts w:ascii="Times New Roman" w:hAnsi="Times New Roman" w:cs="Times New Roman"/>
          <w:i/>
        </w:rPr>
        <w:t>3</w:t>
      </w:r>
      <w:r w:rsidRPr="007B5248">
        <w:rPr>
          <w:rFonts w:ascii="Times New Roman" w:hAnsi="Times New Roman" w:cs="Times New Roman"/>
          <w:i/>
        </w:rPr>
        <w:t xml:space="preserve"> </w:t>
      </w:r>
      <w:r w:rsidRPr="007B5248">
        <w:rPr>
          <w:rFonts w:ascii="Times New Roman" w:hAnsi="Times New Roman" w:cs="Times New Roman"/>
        </w:rPr>
        <w:t xml:space="preserve">(the Certificate) is made under paragraph 51(1)(c) of the </w:t>
      </w:r>
      <w:r w:rsidRPr="007B5248">
        <w:rPr>
          <w:rFonts w:ascii="Times New Roman" w:hAnsi="Times New Roman" w:cs="Times New Roman"/>
          <w:i/>
        </w:rPr>
        <w:t>Legislation Act 2003</w:t>
      </w:r>
      <w:r w:rsidRPr="007B5248">
        <w:rPr>
          <w:rFonts w:ascii="Times New Roman" w:hAnsi="Times New Roman" w:cs="Times New Roman"/>
        </w:rPr>
        <w:t xml:space="preserve"> (Legislation Act)</w:t>
      </w:r>
      <w:r w:rsidRPr="007B5248">
        <w:rPr>
          <w:rFonts w:ascii="Times New Roman" w:hAnsi="Times New Roman" w:cs="Times New Roman"/>
          <w:i/>
        </w:rPr>
        <w:t xml:space="preserve">. </w:t>
      </w:r>
      <w:r w:rsidRPr="007B5248">
        <w:rPr>
          <w:rFonts w:ascii="Times New Roman" w:hAnsi="Times New Roman" w:cs="Times New Roman"/>
        </w:rPr>
        <w:t>It is a legislative instrument for the purposes of the Legislation Act and must be registered on the Federal Register of Legislation. Pursuant to subsection 51(4) of the Legislation Act,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 months.</w:t>
      </w:r>
      <w:bookmarkStart w:id="0" w:name="_GoBack"/>
      <w:bookmarkEnd w:id="0"/>
    </w:p>
    <w:p w14:paraId="7EB81324" w14:textId="77777777" w:rsidR="00787B24" w:rsidRPr="007B5248" w:rsidRDefault="00787B24" w:rsidP="00BE6856">
      <w:pPr>
        <w:spacing w:afterLines="200" w:after="480" w:line="360" w:lineRule="auto"/>
        <w:contextualSpacing/>
        <w:rPr>
          <w:rFonts w:ascii="Times New Roman" w:hAnsi="Times New Roman" w:cs="Times New Roman"/>
        </w:rPr>
      </w:pPr>
    </w:p>
    <w:p w14:paraId="76C34ADB" w14:textId="77777777" w:rsidR="00787B24" w:rsidRPr="007B5248" w:rsidRDefault="00787B24" w:rsidP="00BE6856">
      <w:pPr>
        <w:keepNext/>
        <w:keepLines/>
        <w:spacing w:afterLines="200" w:after="480" w:line="360" w:lineRule="auto"/>
        <w:contextualSpacing/>
        <w:outlineLvl w:val="1"/>
        <w:rPr>
          <w:rFonts w:ascii="Times New Roman" w:eastAsiaTheme="majorEastAsia" w:hAnsi="Times New Roman" w:cs="Times New Roman"/>
          <w:b/>
          <w:bCs/>
        </w:rPr>
      </w:pPr>
      <w:r w:rsidRPr="007B5248">
        <w:rPr>
          <w:rFonts w:ascii="Times New Roman" w:eastAsiaTheme="majorEastAsia" w:hAnsi="Times New Roman" w:cs="Times New Roman"/>
          <w:b/>
          <w:bCs/>
        </w:rPr>
        <w:t>OUTLINE</w:t>
      </w:r>
    </w:p>
    <w:p w14:paraId="3D1B9A49" w14:textId="77777777" w:rsidR="00787B24" w:rsidRPr="007B5248" w:rsidRDefault="00787B24" w:rsidP="00BE6856">
      <w:pPr>
        <w:spacing w:afterLines="200" w:after="480" w:line="360" w:lineRule="auto"/>
        <w:contextualSpacing/>
        <w:rPr>
          <w:rFonts w:ascii="Times New Roman" w:hAnsi="Times New Roman" w:cs="Times New Roman"/>
        </w:rPr>
      </w:pPr>
    </w:p>
    <w:p w14:paraId="66FABD8E" w14:textId="77777777" w:rsidR="00787B24"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C46E506" w14:textId="77777777" w:rsidR="00787B24" w:rsidRPr="007B5248" w:rsidRDefault="00787B24" w:rsidP="00BE6856">
      <w:pPr>
        <w:spacing w:afterLines="200" w:after="480" w:line="360" w:lineRule="auto"/>
        <w:contextualSpacing/>
        <w:rPr>
          <w:rFonts w:ascii="Times New Roman" w:hAnsi="Times New Roman" w:cs="Times New Roman"/>
        </w:rPr>
      </w:pPr>
    </w:p>
    <w:p w14:paraId="06CCFB5D" w14:textId="58975D56" w:rsidR="00787B24"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w:t>
      </w:r>
      <w:r w:rsidR="00B14349" w:rsidRPr="007B5248">
        <w:rPr>
          <w:rFonts w:ascii="Times New Roman" w:hAnsi="Times New Roman" w:cs="Times New Roman"/>
        </w:rPr>
        <w:noBreakHyphen/>
      </w:r>
      <w:r w:rsidRPr="007B5248">
        <w:rPr>
          <w:rFonts w:ascii="Times New Roman" w:hAnsi="Times New Roman" w:cs="Times New Roman"/>
        </w:rPr>
        <w:t>General can issue a certificate to defer the sunsetting day of an instrument for a period of either 6, 12, 18 or 24 months.</w:t>
      </w:r>
    </w:p>
    <w:p w14:paraId="00D3CCA5" w14:textId="77777777" w:rsidR="00787B24" w:rsidRPr="007B5248" w:rsidRDefault="00787B24" w:rsidP="00BE6856">
      <w:pPr>
        <w:spacing w:afterLines="200" w:after="480" w:line="360" w:lineRule="auto"/>
        <w:contextualSpacing/>
        <w:rPr>
          <w:rFonts w:ascii="Times New Roman" w:hAnsi="Times New Roman" w:cs="Times New Roman"/>
        </w:rPr>
      </w:pPr>
    </w:p>
    <w:p w14:paraId="585E8FB6" w14:textId="77777777" w:rsidR="00787B24"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3EBC14AE" w14:textId="77777777" w:rsidR="00787B24" w:rsidRPr="007B5248" w:rsidRDefault="00787B24" w:rsidP="00BE6856">
      <w:pPr>
        <w:spacing w:afterLines="200" w:after="480" w:line="360" w:lineRule="auto"/>
        <w:contextualSpacing/>
        <w:rPr>
          <w:rFonts w:ascii="Times New Roman" w:hAnsi="Times New Roman" w:cs="Times New Roman"/>
        </w:rPr>
      </w:pPr>
    </w:p>
    <w:p w14:paraId="50723B2A" w14:textId="4ADF7ED3" w:rsidR="00787B24" w:rsidRPr="007B5248" w:rsidRDefault="00787B24" w:rsidP="00BE6856">
      <w:pPr>
        <w:spacing w:line="360" w:lineRule="auto"/>
        <w:contextualSpacing/>
        <w:rPr>
          <w:rFonts w:ascii="Times New Roman" w:hAnsi="Times New Roman" w:cs="Times New Roman"/>
        </w:rPr>
      </w:pPr>
      <w:r w:rsidRPr="007B5248">
        <w:rPr>
          <w:rFonts w:ascii="Times New Roman" w:hAnsi="Times New Roman" w:cs="Times New Roman"/>
        </w:rPr>
        <w:t xml:space="preserve">The Certificate defers the sunsetting date of the following </w:t>
      </w:r>
      <w:r w:rsidR="00CC4CE2" w:rsidRPr="007B5248">
        <w:rPr>
          <w:rFonts w:ascii="Times New Roman" w:hAnsi="Times New Roman" w:cs="Times New Roman"/>
        </w:rPr>
        <w:t>instruments</w:t>
      </w:r>
      <w:r w:rsidRPr="007B5248">
        <w:rPr>
          <w:rFonts w:ascii="Times New Roman" w:hAnsi="Times New Roman" w:cs="Times New Roman"/>
        </w:rPr>
        <w:t xml:space="preserve"> by 12 months from 1</w:t>
      </w:r>
      <w:r w:rsidR="00580DFE" w:rsidRPr="007B5248">
        <w:rPr>
          <w:rFonts w:ascii="Times New Roman" w:hAnsi="Times New Roman" w:cs="Times New Roman"/>
        </w:rPr>
        <w:t> </w:t>
      </w:r>
      <w:r w:rsidR="00CC4CE2" w:rsidRPr="007B5248">
        <w:rPr>
          <w:rFonts w:ascii="Times New Roman" w:hAnsi="Times New Roman" w:cs="Times New Roman"/>
        </w:rPr>
        <w:t>October</w:t>
      </w:r>
      <w:r w:rsidR="00580DFE" w:rsidRPr="007B5248">
        <w:rPr>
          <w:rFonts w:ascii="Times New Roman" w:hAnsi="Times New Roman" w:cs="Times New Roman"/>
        </w:rPr>
        <w:t> </w:t>
      </w:r>
      <w:r w:rsidR="00CC4CE2" w:rsidRPr="007B5248">
        <w:rPr>
          <w:rFonts w:ascii="Times New Roman" w:hAnsi="Times New Roman" w:cs="Times New Roman"/>
        </w:rPr>
        <w:t>2023</w:t>
      </w:r>
      <w:r w:rsidRPr="007B5248">
        <w:rPr>
          <w:rFonts w:ascii="Times New Roman" w:hAnsi="Times New Roman" w:cs="Times New Roman"/>
        </w:rPr>
        <w:t xml:space="preserve"> to 1 </w:t>
      </w:r>
      <w:r w:rsidR="00CC4CE2" w:rsidRPr="007B5248">
        <w:rPr>
          <w:rFonts w:ascii="Times New Roman" w:hAnsi="Times New Roman" w:cs="Times New Roman"/>
        </w:rPr>
        <w:t>October</w:t>
      </w:r>
      <w:r w:rsidRPr="007B5248">
        <w:rPr>
          <w:rFonts w:ascii="Times New Roman" w:hAnsi="Times New Roman" w:cs="Times New Roman"/>
        </w:rPr>
        <w:t xml:space="preserve"> </w:t>
      </w:r>
      <w:r w:rsidR="00CC4CE2" w:rsidRPr="007B5248">
        <w:rPr>
          <w:rFonts w:ascii="Times New Roman" w:hAnsi="Times New Roman" w:cs="Times New Roman"/>
        </w:rPr>
        <w:t>2024</w:t>
      </w:r>
      <w:r w:rsidRPr="007B5248">
        <w:rPr>
          <w:rFonts w:ascii="Times New Roman" w:hAnsi="Times New Roman" w:cs="Times New Roman"/>
        </w:rPr>
        <w:t xml:space="preserve"> (together, the ‘</w:t>
      </w:r>
      <w:r w:rsidR="00CC4CE2" w:rsidRPr="007B5248">
        <w:rPr>
          <w:rFonts w:ascii="Times New Roman" w:hAnsi="Times New Roman" w:cs="Times New Roman"/>
        </w:rPr>
        <w:t xml:space="preserve">Insurance </w:t>
      </w:r>
      <w:r w:rsidR="00D631CB" w:rsidRPr="007B5248">
        <w:rPr>
          <w:rFonts w:ascii="Times New Roman" w:hAnsi="Times New Roman" w:cs="Times New Roman"/>
        </w:rPr>
        <w:t>Instruments</w:t>
      </w:r>
      <w:r w:rsidR="00821017" w:rsidRPr="007B5248">
        <w:rPr>
          <w:rFonts w:ascii="Times New Roman" w:hAnsi="Times New Roman" w:cs="Times New Roman"/>
        </w:rPr>
        <w:t>’</w:t>
      </w:r>
      <w:r w:rsidRPr="007B5248">
        <w:rPr>
          <w:rFonts w:ascii="Times New Roman" w:hAnsi="Times New Roman" w:cs="Times New Roman"/>
        </w:rPr>
        <w:t>):</w:t>
      </w:r>
    </w:p>
    <w:p w14:paraId="49549FEF" w14:textId="32D4B4C1" w:rsidR="00CC4CE2" w:rsidRPr="007B5248" w:rsidRDefault="00CC4CE2" w:rsidP="00BE6856">
      <w:pPr>
        <w:pStyle w:val="paragraph"/>
        <w:numPr>
          <w:ilvl w:val="0"/>
          <w:numId w:val="2"/>
        </w:numPr>
        <w:spacing w:before="0" w:line="360" w:lineRule="auto"/>
        <w:contextualSpacing/>
        <w:rPr>
          <w:i/>
          <w:szCs w:val="22"/>
        </w:rPr>
      </w:pPr>
      <w:r w:rsidRPr="007B5248">
        <w:rPr>
          <w:i/>
        </w:rPr>
        <w:lastRenderedPageBreak/>
        <w:t>Insurance Acquisitions and Takeovers Act 199</w:t>
      </w:r>
      <w:r w:rsidR="00037EFF" w:rsidRPr="007B5248">
        <w:rPr>
          <w:i/>
        </w:rPr>
        <w:t>2</w:t>
      </w:r>
      <w:r w:rsidRPr="007B5248">
        <w:rPr>
          <w:i/>
        </w:rPr>
        <w:t>—Decision-Making Principles IDM 1/199</w:t>
      </w:r>
      <w:r w:rsidR="00037EFF" w:rsidRPr="007B5248">
        <w:rPr>
          <w:i/>
        </w:rPr>
        <w:t>2</w:t>
      </w:r>
      <w:r w:rsidR="00886F95" w:rsidRPr="007B5248">
        <w:t xml:space="preserve"> (‘the Decision-Making Principles’)</w:t>
      </w:r>
      <w:r w:rsidRPr="007B5248">
        <w:t>;</w:t>
      </w:r>
    </w:p>
    <w:p w14:paraId="4E888052" w14:textId="77777777" w:rsidR="00787B24" w:rsidRPr="007B5248" w:rsidRDefault="00787B24" w:rsidP="00BE6856">
      <w:pPr>
        <w:pStyle w:val="paragraph"/>
        <w:numPr>
          <w:ilvl w:val="0"/>
          <w:numId w:val="2"/>
        </w:numPr>
        <w:spacing w:before="0" w:line="360" w:lineRule="auto"/>
        <w:contextualSpacing/>
        <w:rPr>
          <w:i/>
          <w:szCs w:val="22"/>
        </w:rPr>
      </w:pPr>
      <w:r w:rsidRPr="007B5248">
        <w:rPr>
          <w:szCs w:val="22"/>
        </w:rPr>
        <w:tab/>
      </w:r>
      <w:r w:rsidR="00CC4CE2" w:rsidRPr="007B5248">
        <w:rPr>
          <w:i/>
        </w:rPr>
        <w:t>Insurance Acquisitions and Takeovers (Notices) Regulations</w:t>
      </w:r>
      <w:r w:rsidRPr="007B5248">
        <w:rPr>
          <w:i/>
          <w:szCs w:val="22"/>
        </w:rPr>
        <w:t>;</w:t>
      </w:r>
    </w:p>
    <w:p w14:paraId="65AFA43A" w14:textId="02EF685D" w:rsidR="00787B24" w:rsidRPr="007B5248" w:rsidRDefault="00CC4CE2" w:rsidP="00BE6856">
      <w:pPr>
        <w:pStyle w:val="paragraph"/>
        <w:numPr>
          <w:ilvl w:val="0"/>
          <w:numId w:val="2"/>
        </w:numPr>
        <w:spacing w:before="0" w:line="360" w:lineRule="auto"/>
        <w:contextualSpacing/>
        <w:rPr>
          <w:szCs w:val="22"/>
        </w:rPr>
      </w:pPr>
      <w:r w:rsidRPr="007B5248">
        <w:rPr>
          <w:i/>
        </w:rPr>
        <w:t>Insurance Regulations 2002</w:t>
      </w:r>
      <w:r w:rsidRPr="007B5248">
        <w:rPr>
          <w:i/>
          <w:szCs w:val="22"/>
        </w:rPr>
        <w:t>;</w:t>
      </w:r>
    </w:p>
    <w:p w14:paraId="1E3C2821" w14:textId="77777777" w:rsidR="00CC4CE2" w:rsidRPr="007B5248" w:rsidRDefault="00CC4CE2" w:rsidP="00BE6856">
      <w:pPr>
        <w:pStyle w:val="paragraph"/>
        <w:numPr>
          <w:ilvl w:val="0"/>
          <w:numId w:val="2"/>
        </w:numPr>
        <w:spacing w:before="0" w:line="360" w:lineRule="auto"/>
        <w:contextualSpacing/>
        <w:rPr>
          <w:szCs w:val="22"/>
        </w:rPr>
      </w:pPr>
      <w:r w:rsidRPr="007B5248">
        <w:rPr>
          <w:i/>
        </w:rPr>
        <w:t>Life Insurance Regulations 1995</w:t>
      </w:r>
      <w:r w:rsidRPr="007B5248">
        <w:t>.</w:t>
      </w:r>
    </w:p>
    <w:p w14:paraId="04DC326A" w14:textId="77777777" w:rsidR="00787B24" w:rsidRPr="007B5248" w:rsidRDefault="00787B24" w:rsidP="00BE6856">
      <w:pPr>
        <w:spacing w:afterLines="200" w:after="480" w:line="360" w:lineRule="auto"/>
        <w:contextualSpacing/>
        <w:rPr>
          <w:rFonts w:ascii="Times New Roman" w:hAnsi="Times New Roman" w:cs="Times New Roman"/>
        </w:rPr>
      </w:pPr>
    </w:p>
    <w:p w14:paraId="73E489AC" w14:textId="10069118" w:rsidR="00C2453D" w:rsidRPr="007B5248" w:rsidRDefault="00C2453D" w:rsidP="00C2453D">
      <w:pPr>
        <w:spacing w:afterLines="200" w:after="480" w:line="360" w:lineRule="auto"/>
        <w:contextualSpacing/>
        <w:rPr>
          <w:rFonts w:ascii="Times New Roman" w:hAnsi="Times New Roman" w:cs="Times New Roman"/>
        </w:rPr>
      </w:pPr>
      <w:r w:rsidRPr="007B5248">
        <w:rPr>
          <w:rFonts w:ascii="Times New Roman" w:hAnsi="Times New Roman" w:cs="Times New Roman"/>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Where the deferral is for a short period (6 or 12 months), the certificate is exempt from disallowance because the instruments will shortly be reviewed and, if remade, subject to disallowance and parliamentary scrutiny. Subjecting short term certificates of deferral to disallowance would undermine the flexibility afforded by their further but strictly limited postponement of sunsetting. In this case, the Insurance Instruments are expected to be remade within 12 months of the sunsetting date once the Parliament has considered the Treasury Laws Amendment (2023 Law Improvement Package No. 1) Bill 2023 (the Bill). The Bill </w:t>
      </w:r>
      <w:r w:rsidR="005527DA" w:rsidRPr="007B5248">
        <w:rPr>
          <w:rFonts w:ascii="Times New Roman" w:hAnsi="Times New Roman" w:cs="Times New Roman"/>
        </w:rPr>
        <w:t xml:space="preserve">is proposed to amend </w:t>
      </w:r>
      <w:r w:rsidRPr="007B5248">
        <w:rPr>
          <w:rFonts w:ascii="Times New Roman" w:hAnsi="Times New Roman" w:cs="Times New Roman"/>
        </w:rPr>
        <w:t xml:space="preserve">the Insurance Instruments’ enabling Acts to implement the findings of a thematic review of regulation imposed on the insurance industry, </w:t>
      </w:r>
      <w:r w:rsidR="005527DA" w:rsidRPr="007B5248">
        <w:rPr>
          <w:rFonts w:ascii="Times New Roman" w:hAnsi="Times New Roman" w:cs="Times New Roman"/>
        </w:rPr>
        <w:t xml:space="preserve">and to transition to the new framework of instruments proposed to replace the Insurance Instruments. This review was </w:t>
      </w:r>
      <w:r w:rsidRPr="007B5248">
        <w:rPr>
          <w:rFonts w:ascii="Times New Roman" w:hAnsi="Times New Roman" w:cs="Times New Roman"/>
        </w:rPr>
        <w:t xml:space="preserve">conducted by Treasury following an alignment of the sunsetting days of the Insurance Instruments under the </w:t>
      </w:r>
      <w:r w:rsidRPr="007B5248">
        <w:rPr>
          <w:rFonts w:ascii="Times New Roman" w:hAnsi="Times New Roman" w:cs="Times New Roman"/>
          <w:i/>
        </w:rPr>
        <w:t>Legislation (Insurance Instruments) Sunset-altering Declaration 2018</w:t>
      </w:r>
      <w:r w:rsidRPr="007B5248">
        <w:rPr>
          <w:rFonts w:ascii="Times New Roman" w:hAnsi="Times New Roman" w:cs="Times New Roman"/>
        </w:rPr>
        <w:t xml:space="preserve"> to 1 October 2023.</w:t>
      </w:r>
    </w:p>
    <w:p w14:paraId="58C0C44E" w14:textId="77777777" w:rsidR="00CC4CE2" w:rsidRPr="007B5248" w:rsidRDefault="00CC4CE2" w:rsidP="00BE6856">
      <w:pPr>
        <w:spacing w:afterLines="200" w:after="480" w:line="360" w:lineRule="auto"/>
        <w:contextualSpacing/>
        <w:rPr>
          <w:rFonts w:ascii="Times New Roman" w:hAnsi="Times New Roman" w:cs="Times New Roman"/>
        </w:rPr>
      </w:pPr>
    </w:p>
    <w:p w14:paraId="7637D433" w14:textId="77777777" w:rsidR="00787B24" w:rsidRPr="007B5248" w:rsidRDefault="00787B24" w:rsidP="00BE6856">
      <w:pPr>
        <w:shd w:val="clear" w:color="auto" w:fill="FFFFFF"/>
        <w:spacing w:afterLines="200" w:after="480" w:line="360" w:lineRule="auto"/>
        <w:contextualSpacing/>
        <w:rPr>
          <w:rFonts w:ascii="Times New Roman" w:eastAsia="Times New Roman" w:hAnsi="Times New Roman" w:cs="Times New Roman"/>
          <w:b/>
          <w:bCs/>
          <w:color w:val="000000"/>
          <w:lang w:eastAsia="en-AU"/>
        </w:rPr>
      </w:pPr>
      <w:r w:rsidRPr="007B5248">
        <w:rPr>
          <w:rFonts w:ascii="Times New Roman" w:eastAsia="Times New Roman" w:hAnsi="Times New Roman" w:cs="Times New Roman"/>
          <w:b/>
          <w:bCs/>
          <w:color w:val="000000"/>
          <w:lang w:eastAsia="en-AU"/>
        </w:rPr>
        <w:t>PROCESS BEFORE CERTIFICATE WAS MADE</w:t>
      </w:r>
    </w:p>
    <w:p w14:paraId="56D4AFFF" w14:textId="77777777" w:rsidR="00787B24" w:rsidRPr="007B5248" w:rsidRDefault="00787B24" w:rsidP="00BE6856">
      <w:pPr>
        <w:shd w:val="clear" w:color="auto" w:fill="FFFFFF"/>
        <w:spacing w:afterLines="200" w:after="480" w:line="360" w:lineRule="auto"/>
        <w:contextualSpacing/>
        <w:rPr>
          <w:rFonts w:ascii="Times New Roman" w:eastAsia="Times New Roman" w:hAnsi="Times New Roman" w:cs="Times New Roman"/>
          <w:bCs/>
          <w:color w:val="000000"/>
          <w:lang w:eastAsia="en-AU"/>
        </w:rPr>
      </w:pPr>
    </w:p>
    <w:p w14:paraId="3870B310" w14:textId="77777777" w:rsidR="00787B24" w:rsidRPr="007B5248" w:rsidRDefault="00787B24" w:rsidP="00BE6856">
      <w:pPr>
        <w:shd w:val="clear" w:color="auto" w:fill="FFFFFF"/>
        <w:spacing w:afterLines="200" w:after="480" w:line="360" w:lineRule="auto"/>
        <w:contextualSpacing/>
        <w:outlineLvl w:val="2"/>
        <w:rPr>
          <w:rFonts w:ascii="Times New Roman" w:eastAsia="Times New Roman" w:hAnsi="Times New Roman" w:cs="Times New Roman"/>
          <w:b/>
          <w:color w:val="000000"/>
          <w:lang w:eastAsia="en-AU"/>
        </w:rPr>
      </w:pPr>
      <w:r w:rsidRPr="007B5248">
        <w:rPr>
          <w:rFonts w:ascii="Times New Roman" w:eastAsia="Times New Roman" w:hAnsi="Times New Roman" w:cs="Times New Roman"/>
          <w:b/>
          <w:color w:val="000000"/>
          <w:lang w:eastAsia="en-AU"/>
        </w:rPr>
        <w:t>Regulatory impact analysis</w:t>
      </w:r>
    </w:p>
    <w:p w14:paraId="56923617" w14:textId="77777777" w:rsidR="00787B24" w:rsidRPr="007B5248" w:rsidRDefault="00787B24" w:rsidP="00BE6856">
      <w:pPr>
        <w:spacing w:afterLines="200" w:after="480" w:line="360" w:lineRule="auto"/>
        <w:contextualSpacing/>
        <w:rPr>
          <w:rFonts w:ascii="Times New Roman" w:hAnsi="Times New Roman" w:cs="Times New Roman"/>
        </w:rPr>
      </w:pPr>
    </w:p>
    <w:p w14:paraId="423202EC" w14:textId="77777777" w:rsidR="00787B24"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13A6E729" w14:textId="77777777" w:rsidR="00787B24" w:rsidRPr="007B5248" w:rsidRDefault="00787B24" w:rsidP="00BE6856">
      <w:pPr>
        <w:spacing w:afterLines="200" w:after="480" w:line="360" w:lineRule="auto"/>
        <w:contextualSpacing/>
        <w:rPr>
          <w:rFonts w:ascii="Times New Roman" w:hAnsi="Times New Roman" w:cs="Times New Roman"/>
        </w:rPr>
      </w:pPr>
    </w:p>
    <w:p w14:paraId="04FED80E" w14:textId="77777777" w:rsidR="00787B24" w:rsidRPr="007B5248" w:rsidRDefault="00787B24" w:rsidP="00BE6856">
      <w:pPr>
        <w:shd w:val="clear" w:color="auto" w:fill="FFFFFF"/>
        <w:spacing w:afterLines="200" w:after="480" w:line="360" w:lineRule="auto"/>
        <w:contextualSpacing/>
        <w:outlineLvl w:val="2"/>
        <w:rPr>
          <w:rFonts w:ascii="Times New Roman" w:eastAsia="Times New Roman" w:hAnsi="Times New Roman" w:cs="Times New Roman"/>
          <w:b/>
          <w:color w:val="000000"/>
          <w:lang w:eastAsia="en-AU"/>
        </w:rPr>
      </w:pPr>
      <w:r w:rsidRPr="007B5248">
        <w:rPr>
          <w:rFonts w:ascii="Times New Roman" w:eastAsia="Times New Roman" w:hAnsi="Times New Roman" w:cs="Times New Roman"/>
          <w:b/>
          <w:color w:val="000000"/>
          <w:lang w:eastAsia="en-AU"/>
        </w:rPr>
        <w:t>Consultation before making</w:t>
      </w:r>
    </w:p>
    <w:p w14:paraId="3FB3417D" w14:textId="77777777" w:rsidR="00787B24" w:rsidRPr="007B5248" w:rsidRDefault="00787B24" w:rsidP="00BE6856">
      <w:pPr>
        <w:shd w:val="clear" w:color="auto" w:fill="FFFFFF"/>
        <w:spacing w:afterLines="200" w:after="480" w:line="360" w:lineRule="auto"/>
        <w:contextualSpacing/>
        <w:outlineLvl w:val="2"/>
        <w:rPr>
          <w:rFonts w:ascii="Times New Roman" w:eastAsia="Times New Roman" w:hAnsi="Times New Roman" w:cs="Times New Roman"/>
          <w:color w:val="000000"/>
          <w:lang w:eastAsia="en-AU"/>
        </w:rPr>
      </w:pPr>
    </w:p>
    <w:p w14:paraId="5AE43F49" w14:textId="77777777" w:rsidR="00787B24"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Before the Certificate was issued, the Attorney-General considered the general obligation to consult imposed by section 17 of the Legislation Act.</w:t>
      </w:r>
    </w:p>
    <w:p w14:paraId="015CBC6C" w14:textId="77777777" w:rsidR="00787B24" w:rsidRPr="007B5248" w:rsidRDefault="00787B24" w:rsidP="00BE6856">
      <w:pPr>
        <w:spacing w:afterLines="200" w:after="480" w:line="360" w:lineRule="auto"/>
        <w:contextualSpacing/>
        <w:rPr>
          <w:rFonts w:ascii="Times New Roman" w:hAnsi="Times New Roman" w:cs="Times New Roman"/>
        </w:rPr>
      </w:pPr>
    </w:p>
    <w:p w14:paraId="5DB53A19" w14:textId="2C99A0EA" w:rsidR="00B71975" w:rsidRPr="007B5248" w:rsidRDefault="00886F95" w:rsidP="00BE6856">
      <w:pPr>
        <w:spacing w:afterLines="200" w:after="480" w:line="360" w:lineRule="auto"/>
        <w:contextualSpacing/>
        <w:rPr>
          <w:rFonts w:ascii="Times New Roman" w:hAnsi="Times New Roman" w:cs="Times New Roman"/>
          <w:i/>
        </w:rPr>
      </w:pPr>
      <w:r w:rsidRPr="007B5248">
        <w:rPr>
          <w:rFonts w:ascii="Times New Roman" w:hAnsi="Times New Roman" w:cs="Times New Roman"/>
        </w:rPr>
        <w:t xml:space="preserve">The Decision-Making Principles and the </w:t>
      </w:r>
      <w:r w:rsidRPr="007B5248">
        <w:rPr>
          <w:rFonts w:ascii="Times New Roman" w:hAnsi="Times New Roman" w:cs="Times New Roman"/>
          <w:i/>
        </w:rPr>
        <w:t>Insurance Acquisitions and Takeovers (Notices) Regulations</w:t>
      </w:r>
      <w:r w:rsidRPr="007B5248">
        <w:rPr>
          <w:rFonts w:ascii="Times New Roman" w:hAnsi="Times New Roman" w:cs="Times New Roman"/>
        </w:rPr>
        <w:t xml:space="preserve"> are made under the </w:t>
      </w:r>
      <w:r w:rsidRPr="007B5248">
        <w:rPr>
          <w:rFonts w:ascii="Times New Roman" w:hAnsi="Times New Roman" w:cs="Times New Roman"/>
          <w:i/>
        </w:rPr>
        <w:t>Insurance Acquisitions and Takeovers Act 1991</w:t>
      </w:r>
      <w:r w:rsidRPr="007B5248">
        <w:rPr>
          <w:rFonts w:ascii="Times New Roman" w:hAnsi="Times New Roman" w:cs="Times New Roman"/>
        </w:rPr>
        <w:t xml:space="preserve">. The </w:t>
      </w:r>
      <w:r w:rsidRPr="007B5248">
        <w:rPr>
          <w:rFonts w:ascii="Times New Roman" w:hAnsi="Times New Roman" w:cs="Times New Roman"/>
          <w:i/>
        </w:rPr>
        <w:t xml:space="preserve">Insurance Regulations </w:t>
      </w:r>
      <w:r w:rsidR="005527DA" w:rsidRPr="007B5248">
        <w:rPr>
          <w:rFonts w:ascii="Times New Roman" w:hAnsi="Times New Roman" w:cs="Times New Roman"/>
          <w:i/>
        </w:rPr>
        <w:t>2002</w:t>
      </w:r>
      <w:r w:rsidR="005527DA" w:rsidRPr="007B5248">
        <w:rPr>
          <w:rFonts w:ascii="Times New Roman" w:hAnsi="Times New Roman" w:cs="Times New Roman"/>
        </w:rPr>
        <w:t xml:space="preserve"> </w:t>
      </w:r>
      <w:r w:rsidRPr="007B5248">
        <w:rPr>
          <w:rFonts w:ascii="Times New Roman" w:hAnsi="Times New Roman" w:cs="Times New Roman"/>
        </w:rPr>
        <w:lastRenderedPageBreak/>
        <w:t xml:space="preserve">are made under the </w:t>
      </w:r>
      <w:r w:rsidRPr="007B5248">
        <w:rPr>
          <w:rFonts w:ascii="Times New Roman" w:hAnsi="Times New Roman" w:cs="Times New Roman"/>
          <w:i/>
        </w:rPr>
        <w:t>Insurance Act 1973.</w:t>
      </w:r>
      <w:r w:rsidR="0074239A" w:rsidRPr="007B5248">
        <w:rPr>
          <w:rFonts w:ascii="Times New Roman" w:hAnsi="Times New Roman" w:cs="Times New Roman"/>
        </w:rPr>
        <w:t xml:space="preserve"> The </w:t>
      </w:r>
      <w:r w:rsidR="0074239A" w:rsidRPr="007B5248">
        <w:rPr>
          <w:rFonts w:ascii="Times New Roman" w:hAnsi="Times New Roman" w:cs="Times New Roman"/>
          <w:i/>
        </w:rPr>
        <w:t xml:space="preserve">Life Insurance Regulations </w:t>
      </w:r>
      <w:r w:rsidR="005527DA" w:rsidRPr="007B5248">
        <w:rPr>
          <w:rFonts w:ascii="Times New Roman" w:hAnsi="Times New Roman" w:cs="Times New Roman"/>
          <w:i/>
        </w:rPr>
        <w:t>1995</w:t>
      </w:r>
      <w:r w:rsidR="005527DA" w:rsidRPr="007B5248">
        <w:rPr>
          <w:rFonts w:ascii="Times New Roman" w:hAnsi="Times New Roman" w:cs="Times New Roman"/>
        </w:rPr>
        <w:t xml:space="preserve"> </w:t>
      </w:r>
      <w:r w:rsidR="0074239A" w:rsidRPr="007B5248">
        <w:rPr>
          <w:rFonts w:ascii="Times New Roman" w:hAnsi="Times New Roman" w:cs="Times New Roman"/>
        </w:rPr>
        <w:t>are made under the</w:t>
      </w:r>
      <w:r w:rsidRPr="007B5248">
        <w:rPr>
          <w:rFonts w:ascii="Times New Roman" w:hAnsi="Times New Roman" w:cs="Times New Roman"/>
          <w:i/>
        </w:rPr>
        <w:t xml:space="preserve"> </w:t>
      </w:r>
      <w:r w:rsidR="0074239A" w:rsidRPr="007B5248">
        <w:rPr>
          <w:rFonts w:ascii="Times New Roman" w:hAnsi="Times New Roman" w:cs="Times New Roman"/>
          <w:i/>
        </w:rPr>
        <w:t>Life Insurance Act 1995.</w:t>
      </w:r>
    </w:p>
    <w:p w14:paraId="7A6CC363" w14:textId="77777777" w:rsidR="0074239A" w:rsidRPr="007B5248" w:rsidRDefault="0074239A" w:rsidP="00BE6856">
      <w:pPr>
        <w:spacing w:afterLines="200" w:after="480" w:line="360" w:lineRule="auto"/>
        <w:contextualSpacing/>
        <w:rPr>
          <w:rFonts w:ascii="Times New Roman" w:hAnsi="Times New Roman" w:cs="Times New Roman"/>
        </w:rPr>
      </w:pPr>
    </w:p>
    <w:p w14:paraId="245A0E5E" w14:textId="20F36F72" w:rsidR="00B95A5F" w:rsidRPr="007B5248" w:rsidRDefault="00DC7383" w:rsidP="00DD1E9A">
      <w:pPr>
        <w:spacing w:after="0" w:line="360" w:lineRule="auto"/>
        <w:contextualSpacing/>
        <w:rPr>
          <w:rFonts w:ascii="Times New Roman" w:hAnsi="Times New Roman" w:cs="Times New Roman"/>
        </w:rPr>
      </w:pPr>
      <w:r w:rsidRPr="007B5248">
        <w:rPr>
          <w:rFonts w:ascii="Times New Roman" w:hAnsi="Times New Roman" w:cs="Times New Roman"/>
        </w:rPr>
        <w:t xml:space="preserve">The implementation of the new framework of </w:t>
      </w:r>
      <w:r w:rsidR="00B95A5F" w:rsidRPr="007B5248">
        <w:rPr>
          <w:rFonts w:ascii="Times New Roman" w:hAnsi="Times New Roman" w:cs="Times New Roman"/>
        </w:rPr>
        <w:t xml:space="preserve">instruments proposed to replace the </w:t>
      </w:r>
      <w:r w:rsidR="00D631CB" w:rsidRPr="007B5248">
        <w:rPr>
          <w:rFonts w:ascii="Times New Roman" w:hAnsi="Times New Roman" w:cs="Times New Roman"/>
        </w:rPr>
        <w:t>I</w:t>
      </w:r>
      <w:r w:rsidRPr="007B5248">
        <w:rPr>
          <w:rFonts w:ascii="Times New Roman" w:hAnsi="Times New Roman" w:cs="Times New Roman"/>
        </w:rPr>
        <w:t xml:space="preserve">nsurance </w:t>
      </w:r>
      <w:r w:rsidR="00D631CB" w:rsidRPr="007B5248">
        <w:rPr>
          <w:rFonts w:ascii="Times New Roman" w:hAnsi="Times New Roman" w:cs="Times New Roman"/>
        </w:rPr>
        <w:t>I</w:t>
      </w:r>
      <w:r w:rsidRPr="007B5248">
        <w:rPr>
          <w:rFonts w:ascii="Times New Roman" w:hAnsi="Times New Roman" w:cs="Times New Roman"/>
        </w:rPr>
        <w:t>nstruments is contingent upon the passage and commencement of the Bill</w:t>
      </w:r>
      <w:r w:rsidR="00B95A5F" w:rsidRPr="007B5248">
        <w:rPr>
          <w:rFonts w:ascii="Times New Roman" w:hAnsi="Times New Roman" w:cs="Times New Roman"/>
        </w:rPr>
        <w:t>,</w:t>
      </w:r>
      <w:r w:rsidRPr="007B5248">
        <w:rPr>
          <w:rFonts w:ascii="Times New Roman" w:hAnsi="Times New Roman" w:cs="Times New Roman"/>
        </w:rPr>
        <w:t xml:space="preserve"> </w:t>
      </w:r>
      <w:r w:rsidR="00580DFE" w:rsidRPr="007B5248">
        <w:rPr>
          <w:rFonts w:ascii="Times New Roman" w:hAnsi="Times New Roman" w:cs="Times New Roman"/>
        </w:rPr>
        <w:t xml:space="preserve">which </w:t>
      </w:r>
      <w:r w:rsidRPr="007B5248">
        <w:rPr>
          <w:rFonts w:ascii="Times New Roman" w:hAnsi="Times New Roman" w:cs="Times New Roman"/>
        </w:rPr>
        <w:t xml:space="preserve">is currently being considered by the Parliament. The Bill </w:t>
      </w:r>
      <w:r w:rsidR="00B95A5F" w:rsidRPr="007B5248">
        <w:rPr>
          <w:rFonts w:ascii="Times New Roman" w:hAnsi="Times New Roman" w:cs="Times New Roman"/>
        </w:rPr>
        <w:t>propose</w:t>
      </w:r>
      <w:r w:rsidR="00580DFE" w:rsidRPr="007B5248">
        <w:rPr>
          <w:rFonts w:ascii="Times New Roman" w:hAnsi="Times New Roman" w:cs="Times New Roman"/>
        </w:rPr>
        <w:t>s</w:t>
      </w:r>
      <w:r w:rsidR="00B95A5F" w:rsidRPr="007B5248">
        <w:rPr>
          <w:rFonts w:ascii="Times New Roman" w:hAnsi="Times New Roman" w:cs="Times New Roman"/>
        </w:rPr>
        <w:t xml:space="preserve"> to amend</w:t>
      </w:r>
      <w:r w:rsidRPr="007B5248">
        <w:rPr>
          <w:rFonts w:ascii="Times New Roman" w:hAnsi="Times New Roman" w:cs="Times New Roman"/>
        </w:rPr>
        <w:t xml:space="preserve"> the enabling Acts for the </w:t>
      </w:r>
      <w:r w:rsidR="00B71975" w:rsidRPr="007B5248">
        <w:rPr>
          <w:rFonts w:ascii="Times New Roman" w:hAnsi="Times New Roman" w:cs="Times New Roman"/>
        </w:rPr>
        <w:t xml:space="preserve">Insurance </w:t>
      </w:r>
      <w:r w:rsidR="00B95A5F" w:rsidRPr="007B5248">
        <w:rPr>
          <w:rFonts w:ascii="Times New Roman" w:hAnsi="Times New Roman" w:cs="Times New Roman"/>
        </w:rPr>
        <w:t>Instruments</w:t>
      </w:r>
      <w:r w:rsidR="00B71975" w:rsidRPr="007B5248">
        <w:rPr>
          <w:rFonts w:ascii="Times New Roman" w:hAnsi="Times New Roman" w:cs="Times New Roman"/>
        </w:rPr>
        <w:t xml:space="preserve"> </w:t>
      </w:r>
      <w:r w:rsidRPr="007B5248">
        <w:rPr>
          <w:rFonts w:ascii="Times New Roman" w:hAnsi="Times New Roman" w:cs="Times New Roman"/>
        </w:rPr>
        <w:t xml:space="preserve">to implement the findings of </w:t>
      </w:r>
      <w:r w:rsidR="00B95A5F" w:rsidRPr="007B5248">
        <w:rPr>
          <w:rFonts w:ascii="Times New Roman" w:hAnsi="Times New Roman" w:cs="Times New Roman"/>
        </w:rPr>
        <w:t xml:space="preserve">the </w:t>
      </w:r>
      <w:r w:rsidR="006F0903" w:rsidRPr="007B5248">
        <w:rPr>
          <w:rFonts w:ascii="Times New Roman" w:hAnsi="Times New Roman" w:cs="Times New Roman"/>
        </w:rPr>
        <w:t>recent</w:t>
      </w:r>
      <w:r w:rsidRPr="007B5248">
        <w:rPr>
          <w:rFonts w:ascii="Times New Roman" w:hAnsi="Times New Roman" w:cs="Times New Roman"/>
        </w:rPr>
        <w:t xml:space="preserve"> thematic review and to transition to the new framework</w:t>
      </w:r>
      <w:r w:rsidR="00580DFE" w:rsidRPr="007B5248">
        <w:rPr>
          <w:rFonts w:ascii="Times New Roman" w:hAnsi="Times New Roman" w:cs="Times New Roman"/>
        </w:rPr>
        <w:t>.</w:t>
      </w:r>
      <w:r w:rsidR="006F0903" w:rsidRPr="007B5248">
        <w:rPr>
          <w:rFonts w:ascii="Times New Roman" w:hAnsi="Times New Roman" w:cs="Times New Roman"/>
        </w:rPr>
        <w:t xml:space="preserve"> </w:t>
      </w:r>
      <w:r w:rsidR="00B95A5F" w:rsidRPr="007B5248">
        <w:rPr>
          <w:rFonts w:ascii="Times New Roman" w:hAnsi="Times New Roman" w:cs="Times New Roman"/>
        </w:rPr>
        <w:t xml:space="preserve">This review was conducted by Treasury in 2022 following an alignment of the sunsetting days of the Insurance Instruments </w:t>
      </w:r>
      <w:r w:rsidR="00580DFE" w:rsidRPr="007B5248">
        <w:rPr>
          <w:rFonts w:ascii="Times New Roman" w:hAnsi="Times New Roman" w:cs="Times New Roman"/>
        </w:rPr>
        <w:t xml:space="preserve">to 1 October 2023 </w:t>
      </w:r>
      <w:r w:rsidR="00B95A5F" w:rsidRPr="007B5248">
        <w:rPr>
          <w:rFonts w:ascii="Times New Roman" w:hAnsi="Times New Roman" w:cs="Times New Roman"/>
        </w:rPr>
        <w:t xml:space="preserve">under the </w:t>
      </w:r>
      <w:r w:rsidR="00B95A5F" w:rsidRPr="007B5248">
        <w:rPr>
          <w:rFonts w:ascii="Times New Roman" w:hAnsi="Times New Roman" w:cs="Times New Roman"/>
          <w:i/>
          <w:iCs/>
        </w:rPr>
        <w:t>Legislation (Insurance Instruments) Sunset-altering Declaration</w:t>
      </w:r>
      <w:r w:rsidR="00B95A5F" w:rsidRPr="007B5248">
        <w:rPr>
          <w:rFonts w:ascii="Times New Roman" w:hAnsi="Times New Roman" w:cs="Times New Roman"/>
        </w:rPr>
        <w:t xml:space="preserve"> </w:t>
      </w:r>
      <w:r w:rsidR="00B95A5F" w:rsidRPr="007B5248">
        <w:rPr>
          <w:rFonts w:ascii="Times New Roman" w:hAnsi="Times New Roman" w:cs="Times New Roman"/>
          <w:i/>
          <w:iCs/>
        </w:rPr>
        <w:t>2018</w:t>
      </w:r>
      <w:r w:rsidR="00B95A5F" w:rsidRPr="007B5248">
        <w:rPr>
          <w:rFonts w:ascii="Times New Roman" w:hAnsi="Times New Roman" w:cs="Times New Roman"/>
        </w:rPr>
        <w:t>. A number of provisions in the enabling Acts and Insurance Instruments were identified as being inoperative, spent, or necessary to clarify in order to ensure the law operates as intended. A number of provisions contained in the Insurance Instruments were also identified as being appropriate to incorporate into the primary law, in accordance with the hierarchy of laws. Following the review, Treasury undertook public consultation between 11 April 2023 and 26</w:t>
      </w:r>
      <w:r w:rsidR="00580DFE" w:rsidRPr="007B5248">
        <w:rPr>
          <w:rFonts w:ascii="Times New Roman" w:hAnsi="Times New Roman" w:cs="Times New Roman"/>
        </w:rPr>
        <w:t> </w:t>
      </w:r>
      <w:r w:rsidR="00B95A5F" w:rsidRPr="007B5248">
        <w:rPr>
          <w:rFonts w:ascii="Times New Roman" w:hAnsi="Times New Roman" w:cs="Times New Roman"/>
        </w:rPr>
        <w:t>April 2023 on draft legislation proposed to:</w:t>
      </w:r>
    </w:p>
    <w:p w14:paraId="32C1F0D3" w14:textId="77777777" w:rsidR="00DD1E9A" w:rsidRPr="007B5248" w:rsidRDefault="00DD1E9A" w:rsidP="00C14459">
      <w:pPr>
        <w:spacing w:after="0" w:line="360" w:lineRule="auto"/>
        <w:contextualSpacing/>
        <w:rPr>
          <w:rFonts w:ascii="Times New Roman" w:hAnsi="Times New Roman" w:cs="Times New Roman"/>
        </w:rPr>
      </w:pPr>
    </w:p>
    <w:p w14:paraId="2DE5F5F4" w14:textId="77777777" w:rsidR="00B95A5F" w:rsidRPr="007B5248" w:rsidRDefault="00B95A5F" w:rsidP="00B95A5F">
      <w:pPr>
        <w:pStyle w:val="ListParagraph"/>
        <w:numPr>
          <w:ilvl w:val="0"/>
          <w:numId w:val="7"/>
        </w:numPr>
        <w:spacing w:afterLines="200" w:after="480" w:line="360" w:lineRule="auto"/>
        <w:rPr>
          <w:rFonts w:ascii="Times New Roman" w:hAnsi="Times New Roman" w:cs="Times New Roman"/>
        </w:rPr>
      </w:pPr>
      <w:r w:rsidRPr="007B5248">
        <w:rPr>
          <w:rFonts w:ascii="Times New Roman" w:hAnsi="Times New Roman" w:cs="Times New Roman"/>
        </w:rPr>
        <w:t xml:space="preserve">replace and improve the Decision-Making Principles, </w:t>
      </w:r>
      <w:r w:rsidRPr="007B5248">
        <w:rPr>
          <w:rFonts w:ascii="Times New Roman" w:hAnsi="Times New Roman"/>
          <w:i/>
        </w:rPr>
        <w:t xml:space="preserve">Insurance Regulations 2002 </w:t>
      </w:r>
      <w:r w:rsidRPr="007B5248">
        <w:rPr>
          <w:rFonts w:ascii="Times New Roman" w:hAnsi="Times New Roman" w:cs="Times New Roman"/>
        </w:rPr>
        <w:t xml:space="preserve">and </w:t>
      </w:r>
      <w:r w:rsidRPr="007B5248">
        <w:rPr>
          <w:rFonts w:ascii="Times New Roman" w:hAnsi="Times New Roman"/>
          <w:i/>
        </w:rPr>
        <w:t>Life Insurance Regulations 1995</w:t>
      </w:r>
      <w:r w:rsidRPr="007B5248">
        <w:rPr>
          <w:rFonts w:ascii="Times New Roman" w:hAnsi="Times New Roman" w:cs="Times New Roman"/>
        </w:rPr>
        <w:t xml:space="preserve">; </w:t>
      </w:r>
    </w:p>
    <w:p w14:paraId="6A196841" w14:textId="77777777" w:rsidR="00B95A5F" w:rsidRPr="007B5248" w:rsidRDefault="00B95A5F" w:rsidP="00B95A5F">
      <w:pPr>
        <w:pStyle w:val="ListParagraph"/>
        <w:numPr>
          <w:ilvl w:val="0"/>
          <w:numId w:val="7"/>
        </w:numPr>
        <w:spacing w:afterLines="200" w:after="480" w:line="360" w:lineRule="auto"/>
        <w:rPr>
          <w:rFonts w:ascii="Times New Roman" w:hAnsi="Times New Roman" w:cs="Times New Roman"/>
        </w:rPr>
      </w:pPr>
      <w:r w:rsidRPr="007B5248">
        <w:rPr>
          <w:rFonts w:ascii="Times New Roman" w:hAnsi="Times New Roman" w:cs="Times New Roman"/>
        </w:rPr>
        <w:t xml:space="preserve">repeal the </w:t>
      </w:r>
      <w:r w:rsidRPr="007B5248">
        <w:rPr>
          <w:rFonts w:ascii="Times New Roman" w:hAnsi="Times New Roman"/>
          <w:i/>
        </w:rPr>
        <w:t>Insurance Acquisitions and Takeovers (Notices) Regulations</w:t>
      </w:r>
      <w:r w:rsidRPr="007B5248">
        <w:rPr>
          <w:rFonts w:ascii="Times New Roman" w:hAnsi="Times New Roman" w:cs="Times New Roman"/>
        </w:rPr>
        <w:t xml:space="preserve">, and </w:t>
      </w:r>
    </w:p>
    <w:p w14:paraId="19C25C24" w14:textId="5D4CE8A7" w:rsidR="00B71975" w:rsidRPr="007B5248" w:rsidRDefault="00B95A5F" w:rsidP="00C14459">
      <w:pPr>
        <w:pStyle w:val="ListParagraph"/>
        <w:numPr>
          <w:ilvl w:val="0"/>
          <w:numId w:val="7"/>
        </w:numPr>
        <w:spacing w:after="0" w:line="360" w:lineRule="auto"/>
        <w:ind w:left="714" w:hanging="357"/>
        <w:rPr>
          <w:rFonts w:ascii="Times New Roman" w:hAnsi="Times New Roman" w:cs="Times New Roman"/>
        </w:rPr>
      </w:pPr>
      <w:r w:rsidRPr="007B5248">
        <w:rPr>
          <w:rFonts w:ascii="Times New Roman" w:hAnsi="Times New Roman" w:cs="Times New Roman"/>
        </w:rPr>
        <w:t>amend the enabling Acts for the Insurance Instruments (now in the Bill).</w:t>
      </w:r>
    </w:p>
    <w:p w14:paraId="38CCEF49" w14:textId="77777777" w:rsidR="00DD1E9A" w:rsidRPr="007B5248" w:rsidRDefault="00DD1E9A" w:rsidP="00BE6856">
      <w:pPr>
        <w:spacing w:afterLines="200" w:after="480" w:line="360" w:lineRule="auto"/>
        <w:contextualSpacing/>
        <w:rPr>
          <w:rFonts w:ascii="Times New Roman" w:hAnsi="Times New Roman" w:cs="Times New Roman"/>
        </w:rPr>
      </w:pPr>
    </w:p>
    <w:p w14:paraId="50557EEF" w14:textId="0ACEC0F3" w:rsidR="00AB3C50"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A 12-month deferral will allow sufficient time for</w:t>
      </w:r>
      <w:r w:rsidR="00BD2200" w:rsidRPr="007B5248">
        <w:rPr>
          <w:rFonts w:ascii="Times New Roman" w:hAnsi="Times New Roman" w:cs="Times New Roman"/>
        </w:rPr>
        <w:t xml:space="preserve"> the Bill to be considered by</w:t>
      </w:r>
      <w:r w:rsidRPr="007B5248">
        <w:rPr>
          <w:rFonts w:ascii="Times New Roman" w:hAnsi="Times New Roman" w:cs="Times New Roman"/>
        </w:rPr>
        <w:t xml:space="preserve"> </w:t>
      </w:r>
      <w:r w:rsidR="00BD2200" w:rsidRPr="007B5248">
        <w:rPr>
          <w:rFonts w:ascii="Times New Roman" w:hAnsi="Times New Roman" w:cs="Times New Roman"/>
        </w:rPr>
        <w:t>Parliament</w:t>
      </w:r>
      <w:r w:rsidR="00DC7383" w:rsidRPr="007B5248">
        <w:rPr>
          <w:rFonts w:ascii="Times New Roman" w:hAnsi="Times New Roman" w:cs="Times New Roman"/>
        </w:rPr>
        <w:t xml:space="preserve">, avoiding </w:t>
      </w:r>
      <w:r w:rsidRPr="007B5248">
        <w:rPr>
          <w:rFonts w:ascii="Times New Roman" w:hAnsi="Times New Roman" w:cs="Times New Roman"/>
        </w:rPr>
        <w:t xml:space="preserve">the need to remake the </w:t>
      </w:r>
      <w:r w:rsidR="00C8035D" w:rsidRPr="007B5248">
        <w:rPr>
          <w:rFonts w:ascii="Times New Roman" w:hAnsi="Times New Roman" w:cs="Times New Roman"/>
        </w:rPr>
        <w:t>instruments in</w:t>
      </w:r>
      <w:r w:rsidRPr="007B5248">
        <w:rPr>
          <w:rFonts w:ascii="Times New Roman" w:hAnsi="Times New Roman" w:cs="Times New Roman"/>
        </w:rPr>
        <w:t xml:space="preserve"> </w:t>
      </w:r>
      <w:r w:rsidR="00DC7383" w:rsidRPr="007B5248">
        <w:rPr>
          <w:rFonts w:ascii="Times New Roman" w:hAnsi="Times New Roman" w:cs="Times New Roman"/>
        </w:rPr>
        <w:t>their</w:t>
      </w:r>
      <w:r w:rsidRPr="007B5248">
        <w:rPr>
          <w:rFonts w:ascii="Times New Roman" w:hAnsi="Times New Roman" w:cs="Times New Roman"/>
        </w:rPr>
        <w:t xml:space="preserve"> current form for the short period of time before </w:t>
      </w:r>
      <w:r w:rsidR="00DC7383" w:rsidRPr="007B5248">
        <w:rPr>
          <w:rFonts w:ascii="Times New Roman" w:hAnsi="Times New Roman" w:cs="Times New Roman"/>
        </w:rPr>
        <w:t xml:space="preserve">they are </w:t>
      </w:r>
      <w:r w:rsidRPr="007B5248">
        <w:rPr>
          <w:rFonts w:ascii="Times New Roman" w:hAnsi="Times New Roman" w:cs="Times New Roman"/>
        </w:rPr>
        <w:t xml:space="preserve">repealed and </w:t>
      </w:r>
      <w:r w:rsidR="00DC7383" w:rsidRPr="007B5248">
        <w:rPr>
          <w:rFonts w:ascii="Times New Roman" w:hAnsi="Times New Roman" w:cs="Times New Roman"/>
        </w:rPr>
        <w:t xml:space="preserve">replacement instruments </w:t>
      </w:r>
      <w:r w:rsidR="00C8035D" w:rsidRPr="007B5248">
        <w:rPr>
          <w:rFonts w:ascii="Times New Roman" w:hAnsi="Times New Roman" w:cs="Times New Roman"/>
        </w:rPr>
        <w:t>are made</w:t>
      </w:r>
      <w:r w:rsidRPr="007B5248">
        <w:rPr>
          <w:rFonts w:ascii="Times New Roman" w:hAnsi="Times New Roman" w:cs="Times New Roman"/>
        </w:rPr>
        <w:t xml:space="preserve">. As such, given that deferral of the sunsetting date of the </w:t>
      </w:r>
      <w:r w:rsidR="00DC7383" w:rsidRPr="007B5248">
        <w:rPr>
          <w:rFonts w:ascii="Times New Roman" w:hAnsi="Times New Roman" w:cs="Times New Roman"/>
        </w:rPr>
        <w:t xml:space="preserve">Insurance </w:t>
      </w:r>
      <w:r w:rsidR="006F0903" w:rsidRPr="007B5248">
        <w:rPr>
          <w:rFonts w:ascii="Times New Roman" w:hAnsi="Times New Roman" w:cs="Times New Roman"/>
        </w:rPr>
        <w:t>Instruments</w:t>
      </w:r>
      <w:r w:rsidRPr="007B5248">
        <w:rPr>
          <w:rFonts w:ascii="Times New Roman" w:hAnsi="Times New Roman" w:cs="Times New Roman"/>
        </w:rPr>
        <w:t xml:space="preserve"> is consistent with the policy intent of the sunsetting regime and does not significantly alter existing arrangements, appropriate consultation has occurred for the purposes of section 17 of the Legislation</w:t>
      </w:r>
      <w:r w:rsidR="000451BB" w:rsidRPr="007B5248">
        <w:rPr>
          <w:rFonts w:ascii="Times New Roman" w:hAnsi="Times New Roman" w:cs="Times New Roman"/>
        </w:rPr>
        <w:t> </w:t>
      </w:r>
      <w:r w:rsidRPr="007B5248">
        <w:rPr>
          <w:rFonts w:ascii="Times New Roman" w:hAnsi="Times New Roman" w:cs="Times New Roman"/>
        </w:rPr>
        <w:t>Act.</w:t>
      </w:r>
    </w:p>
    <w:p w14:paraId="7AF376F4" w14:textId="77777777" w:rsidR="00B71975" w:rsidRPr="007B5248" w:rsidRDefault="00B71975" w:rsidP="00BE6856">
      <w:pPr>
        <w:spacing w:afterLines="200" w:after="480" w:line="360" w:lineRule="auto"/>
        <w:contextualSpacing/>
        <w:rPr>
          <w:rFonts w:ascii="Times New Roman" w:hAnsi="Times New Roman" w:cs="Times New Roman"/>
        </w:rPr>
      </w:pPr>
    </w:p>
    <w:p w14:paraId="69277090" w14:textId="1C95662D" w:rsidR="00B71975" w:rsidRPr="007B5248" w:rsidRDefault="00B71975"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w:t>
      </w:r>
    </w:p>
    <w:p w14:paraId="29164351" w14:textId="77777777" w:rsidR="00AB3C50" w:rsidRPr="007B5248" w:rsidRDefault="00AB3C50" w:rsidP="00BE6856">
      <w:pPr>
        <w:spacing w:afterLines="200" w:after="480" w:line="360" w:lineRule="auto"/>
        <w:contextualSpacing/>
        <w:rPr>
          <w:rFonts w:ascii="Times New Roman" w:hAnsi="Times New Roman" w:cs="Times New Roman"/>
        </w:rPr>
      </w:pPr>
    </w:p>
    <w:p w14:paraId="56214FB1" w14:textId="77777777" w:rsidR="00AB3C50" w:rsidRPr="007B5248" w:rsidRDefault="00787B24" w:rsidP="004074E5">
      <w:pPr>
        <w:keepNext/>
        <w:spacing w:afterLines="200" w:after="480" w:line="360" w:lineRule="auto"/>
        <w:contextualSpacing/>
        <w:rPr>
          <w:rFonts w:ascii="Times New Roman" w:hAnsi="Times New Roman" w:cs="Times New Roman"/>
        </w:rPr>
      </w:pPr>
      <w:r w:rsidRPr="007B5248">
        <w:rPr>
          <w:rFonts w:ascii="Times New Roman" w:eastAsia="Times New Roman" w:hAnsi="Times New Roman" w:cs="Times New Roman"/>
          <w:b/>
          <w:color w:val="000000"/>
          <w:lang w:eastAsia="en-AU"/>
        </w:rPr>
        <w:lastRenderedPageBreak/>
        <w:t>Statutory preconditions relevant to the Certificate</w:t>
      </w:r>
    </w:p>
    <w:p w14:paraId="56FB2E43" w14:textId="77777777" w:rsidR="00AB3C50" w:rsidRPr="007B5248" w:rsidRDefault="00AB3C50" w:rsidP="00BE6856">
      <w:pPr>
        <w:spacing w:afterLines="200" w:after="480" w:line="360" w:lineRule="auto"/>
        <w:contextualSpacing/>
        <w:rPr>
          <w:rFonts w:ascii="Times New Roman" w:hAnsi="Times New Roman" w:cs="Times New Roman"/>
        </w:rPr>
      </w:pPr>
    </w:p>
    <w:p w14:paraId="7D2AAEEE" w14:textId="77777777" w:rsidR="00787B24" w:rsidRPr="007B5248" w:rsidRDefault="00787B24" w:rsidP="00BE6856">
      <w:pPr>
        <w:spacing w:afterLines="200" w:after="480" w:line="360" w:lineRule="auto"/>
        <w:contextualSpacing/>
        <w:rPr>
          <w:rFonts w:ascii="Times New Roman" w:hAnsi="Times New Roman" w:cs="Times New Roman"/>
        </w:rPr>
      </w:pPr>
      <w:r w:rsidRPr="007B5248">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14:paraId="6985E48F" w14:textId="77777777" w:rsidR="00787B24" w:rsidRPr="007B5248" w:rsidRDefault="00787B24" w:rsidP="00BE6856">
      <w:pPr>
        <w:pStyle w:val="Basetext"/>
        <w:keepLines/>
        <w:numPr>
          <w:ilvl w:val="0"/>
          <w:numId w:val="1"/>
        </w:numPr>
        <w:spacing w:before="0" w:afterLines="200" w:after="480" w:line="360" w:lineRule="auto"/>
        <w:contextualSpacing/>
      </w:pPr>
      <w:r w:rsidRPr="007B5248">
        <w:t>the responsible rule-maker to apply to the Attorney-General in writing, and</w:t>
      </w:r>
    </w:p>
    <w:p w14:paraId="509E24C7" w14:textId="77777777" w:rsidR="00787B24" w:rsidRPr="007B5248" w:rsidRDefault="00787B24" w:rsidP="00BE6856">
      <w:pPr>
        <w:pStyle w:val="Basetext"/>
        <w:keepLines/>
        <w:numPr>
          <w:ilvl w:val="0"/>
          <w:numId w:val="1"/>
        </w:numPr>
        <w:spacing w:before="0" w:afterLines="200" w:after="480" w:line="360" w:lineRule="auto"/>
        <w:contextualSpacing/>
      </w:pPr>
      <w:r w:rsidRPr="007B5248">
        <w:t>the Attorney-General to be satisfied that:</w:t>
      </w:r>
    </w:p>
    <w:p w14:paraId="5DF5D689" w14:textId="77777777" w:rsidR="00787B24" w:rsidRPr="007B5248" w:rsidRDefault="00787B24" w:rsidP="00BE6856">
      <w:pPr>
        <w:pStyle w:val="Basetext"/>
        <w:keepLines/>
        <w:numPr>
          <w:ilvl w:val="1"/>
          <w:numId w:val="1"/>
        </w:numPr>
        <w:spacing w:before="0" w:afterLines="200" w:after="480" w:line="360" w:lineRule="auto"/>
        <w:contextualSpacing/>
      </w:pPr>
      <w:r w:rsidRPr="007B5248">
        <w:t>the instrument would (apart from the operation of the sunsetting provisions) be likely to cease to be in force within 24 months after its sunsetting day</w:t>
      </w:r>
    </w:p>
    <w:p w14:paraId="3B34235B" w14:textId="77777777" w:rsidR="00787B24" w:rsidRPr="007B5248" w:rsidRDefault="00787B24" w:rsidP="00BE6856">
      <w:pPr>
        <w:pStyle w:val="Basetext"/>
        <w:keepLines/>
        <w:numPr>
          <w:ilvl w:val="1"/>
          <w:numId w:val="1"/>
        </w:numPr>
        <w:spacing w:before="0" w:afterLines="200" w:after="480" w:line="360" w:lineRule="auto"/>
        <w:contextualSpacing/>
      </w:pPr>
      <w:r w:rsidRPr="007B5248">
        <w:t>the proposed replacement instrument will not be able to be completed before the sunsetting day for reasons that the rule-maker could not have foreseen and avoided</w:t>
      </w:r>
    </w:p>
    <w:p w14:paraId="5A3D2EE0" w14:textId="77777777" w:rsidR="00787B24" w:rsidRPr="007B5248" w:rsidRDefault="00787B24" w:rsidP="00BE6856">
      <w:pPr>
        <w:pStyle w:val="Basetext"/>
        <w:keepLines/>
        <w:numPr>
          <w:ilvl w:val="1"/>
          <w:numId w:val="1"/>
        </w:numPr>
        <w:spacing w:before="0" w:afterLines="200" w:after="480" w:line="360" w:lineRule="auto"/>
        <w:contextualSpacing/>
      </w:pPr>
      <w:r w:rsidRPr="007B5248">
        <w:t>the dissolution of expiration of the House of Representatives or the prorogation of the Parliament renders it inappropriate to make a replacement instrument before a new government is formed, or</w:t>
      </w:r>
    </w:p>
    <w:p w14:paraId="783C38E3" w14:textId="77777777" w:rsidR="00787B24" w:rsidRPr="007B5248" w:rsidRDefault="00787B24" w:rsidP="00BE6856">
      <w:pPr>
        <w:pStyle w:val="Basetext"/>
        <w:keepLines/>
        <w:numPr>
          <w:ilvl w:val="1"/>
          <w:numId w:val="1"/>
        </w:numPr>
        <w:spacing w:before="0" w:afterLines="200" w:after="480" w:line="360" w:lineRule="auto"/>
        <w:contextualSpacing/>
      </w:pPr>
      <w:r w:rsidRPr="007B5248">
        <w:t>the Attorney-General has approved Part 4 of Chapter 3 of the Legislation Act (Sunsetting) not applying to that instrument, and</w:t>
      </w:r>
    </w:p>
    <w:p w14:paraId="395F63C9" w14:textId="77777777" w:rsidR="00AB3C50" w:rsidRPr="007B5248" w:rsidRDefault="00787B24" w:rsidP="00BE6856">
      <w:pPr>
        <w:pStyle w:val="Basetext"/>
        <w:keepLines/>
        <w:numPr>
          <w:ilvl w:val="0"/>
          <w:numId w:val="1"/>
        </w:numPr>
        <w:spacing w:before="0" w:afterLines="200" w:after="480" w:line="360" w:lineRule="auto"/>
        <w:contextualSpacing/>
      </w:pPr>
      <w:r w:rsidRPr="007B5248">
        <w:t>the Attorney-General to issue a certificate. The explanatory statement for the certificate must include a statement of reasons for the issuing of the certificate.</w:t>
      </w:r>
    </w:p>
    <w:p w14:paraId="1B83F1A9" w14:textId="77777777" w:rsidR="00983405" w:rsidRPr="007B5248" w:rsidRDefault="00983405" w:rsidP="00BE6856">
      <w:pPr>
        <w:pStyle w:val="Basetext"/>
        <w:keepLines/>
        <w:spacing w:before="0" w:afterLines="200" w:after="480" w:line="360" w:lineRule="auto"/>
        <w:contextualSpacing/>
      </w:pPr>
    </w:p>
    <w:p w14:paraId="2FDA997E" w14:textId="3D87105D" w:rsidR="00787B24" w:rsidRPr="007B5248" w:rsidRDefault="00787B24" w:rsidP="00BE6856">
      <w:pPr>
        <w:pStyle w:val="Basetext"/>
        <w:keepLines/>
        <w:spacing w:before="0" w:afterLines="200" w:after="480" w:line="360" w:lineRule="auto"/>
        <w:contextualSpacing/>
      </w:pPr>
      <w:r w:rsidRPr="007B5248">
        <w:t xml:space="preserve">The rule-maker for the </w:t>
      </w:r>
      <w:r w:rsidR="002F6870" w:rsidRPr="007B5248">
        <w:t xml:space="preserve">Insurance </w:t>
      </w:r>
      <w:r w:rsidR="006F0903" w:rsidRPr="007B5248">
        <w:t>Instruments</w:t>
      </w:r>
      <w:r w:rsidRPr="007B5248">
        <w:t>, the</w:t>
      </w:r>
      <w:r w:rsidR="007A6269" w:rsidRPr="007B5248">
        <w:t xml:space="preserve"> Assistant Treasurer and Minister for Financial Services, the</w:t>
      </w:r>
      <w:r w:rsidRPr="007B5248">
        <w:t xml:space="preserve"> </w:t>
      </w:r>
      <w:r w:rsidR="0069529E" w:rsidRPr="007B5248">
        <w:t>Hon Stephen Jones MP</w:t>
      </w:r>
      <w:r w:rsidR="006F0903" w:rsidRPr="007B5248">
        <w:t>,</w:t>
      </w:r>
      <w:r w:rsidRPr="007B5248">
        <w:t xml:space="preserve"> provided a written application to the Attorney</w:t>
      </w:r>
      <w:r w:rsidR="00AB3C50" w:rsidRPr="007B5248">
        <w:noBreakHyphen/>
      </w:r>
      <w:r w:rsidRPr="007B5248">
        <w:t xml:space="preserve">General seeking a certificate of deferral of sunsetting for the </w:t>
      </w:r>
      <w:r w:rsidR="00AB3C50" w:rsidRPr="007B5248">
        <w:t xml:space="preserve">Insurance </w:t>
      </w:r>
      <w:r w:rsidR="006F0903" w:rsidRPr="007B5248">
        <w:t>Instruments</w:t>
      </w:r>
      <w:r w:rsidRPr="007B5248">
        <w:t>.</w:t>
      </w:r>
      <w:r w:rsidRPr="007B5248">
        <w:rPr>
          <w:i/>
        </w:rPr>
        <w:t xml:space="preserve"> </w:t>
      </w:r>
      <w:r w:rsidRPr="007B5248">
        <w:t>On the basis of the information contained in the statement of reasons below, the Attorney</w:t>
      </w:r>
      <w:r w:rsidRPr="007B5248">
        <w:noBreakHyphen/>
        <w:t xml:space="preserve">General is satisfied that the </w:t>
      </w:r>
      <w:r w:rsidR="00AB3C50" w:rsidRPr="007B5248">
        <w:t>instruments</w:t>
      </w:r>
      <w:r w:rsidRPr="007B5248">
        <w:t xml:space="preserve"> would, apart from the operation of Part 4 of Chapter 3 of the Legislation Act, be likely to cease to be in force within 24 months after </w:t>
      </w:r>
      <w:r w:rsidR="00AB3C50" w:rsidRPr="007B5248">
        <w:t>their</w:t>
      </w:r>
      <w:r w:rsidRPr="007B5248">
        <w:t xml:space="preserve"> sunsetting day.</w:t>
      </w:r>
      <w:r w:rsidRPr="007B5248">
        <w:rPr>
          <w:i/>
        </w:rPr>
        <w:t xml:space="preserve"> </w:t>
      </w:r>
      <w:r w:rsidRPr="007B5248">
        <w:t>As such, the criterion in subparagraph 51(1)(b)(</w:t>
      </w:r>
      <w:proofErr w:type="spellStart"/>
      <w:r w:rsidRPr="007B5248">
        <w:t>i</w:t>
      </w:r>
      <w:proofErr w:type="spellEnd"/>
      <w:r w:rsidRPr="007B5248">
        <w:t>) of the Legislation Act is met.</w:t>
      </w:r>
    </w:p>
    <w:p w14:paraId="703F39FB" w14:textId="77777777" w:rsidR="00787B24" w:rsidRPr="007B5248" w:rsidRDefault="00787B24" w:rsidP="00BE6856">
      <w:pPr>
        <w:pStyle w:val="Basetext"/>
        <w:keepLines/>
        <w:spacing w:before="0" w:afterLines="100" w:after="240" w:line="360" w:lineRule="auto"/>
        <w:contextualSpacing/>
        <w:rPr>
          <w:b/>
          <w:color w:val="000000"/>
          <w:lang w:eastAsia="en-AU"/>
        </w:rPr>
      </w:pPr>
    </w:p>
    <w:p w14:paraId="44A04FC3" w14:textId="77777777" w:rsidR="00787B24" w:rsidRPr="007B5248" w:rsidRDefault="00787B24" w:rsidP="00BE6856">
      <w:pPr>
        <w:pStyle w:val="Basetext"/>
        <w:keepLines/>
        <w:spacing w:before="0" w:afterLines="100" w:after="240" w:line="360" w:lineRule="auto"/>
        <w:contextualSpacing/>
        <w:rPr>
          <w:b/>
          <w:color w:val="000000"/>
          <w:lang w:eastAsia="en-AU"/>
        </w:rPr>
      </w:pPr>
      <w:r w:rsidRPr="007B5248">
        <w:rPr>
          <w:b/>
          <w:color w:val="000000"/>
          <w:lang w:eastAsia="en-AU"/>
        </w:rPr>
        <w:t>Statement of Reasons for issuing of the Certificate</w:t>
      </w:r>
    </w:p>
    <w:p w14:paraId="5520D62A" w14:textId="77777777" w:rsidR="00787B24" w:rsidRPr="007B5248" w:rsidRDefault="00787B24" w:rsidP="00BE6856">
      <w:pPr>
        <w:pStyle w:val="Basetext"/>
        <w:keepLines/>
        <w:spacing w:before="0" w:afterLines="100" w:after="240" w:line="360" w:lineRule="auto"/>
        <w:contextualSpacing/>
      </w:pPr>
    </w:p>
    <w:p w14:paraId="67C4D96E" w14:textId="5A9D57F3" w:rsidR="00787B24" w:rsidRPr="007B5248" w:rsidRDefault="00787B24" w:rsidP="00BE6856">
      <w:pPr>
        <w:pStyle w:val="Basetext"/>
        <w:keepLines/>
        <w:spacing w:before="0" w:afterLines="100" w:after="240" w:line="360" w:lineRule="auto"/>
        <w:contextualSpacing/>
      </w:pPr>
      <w:r w:rsidRPr="007B5248">
        <w:t>For the purposes of subsection 51(5) of the Legislation Act this section sets out the statement of reasons for issuing the Certificate.</w:t>
      </w:r>
    </w:p>
    <w:p w14:paraId="318F936C" w14:textId="7BAB4973" w:rsidR="007C0FE8" w:rsidRPr="007B5248" w:rsidRDefault="007C0FE8" w:rsidP="00913A3B">
      <w:pPr>
        <w:keepNext/>
        <w:spacing w:afterLines="200" w:after="480" w:line="360" w:lineRule="auto"/>
        <w:contextualSpacing/>
        <w:rPr>
          <w:rFonts w:ascii="Times New Roman" w:hAnsi="Times New Roman" w:cs="Times New Roman"/>
        </w:rPr>
      </w:pPr>
      <w:r w:rsidRPr="007B5248">
        <w:rPr>
          <w:rFonts w:ascii="Times New Roman" w:hAnsi="Times New Roman" w:cs="Times New Roman"/>
        </w:rPr>
        <w:lastRenderedPageBreak/>
        <w:t xml:space="preserve">The Insurance </w:t>
      </w:r>
      <w:r w:rsidR="006F0903" w:rsidRPr="007B5248">
        <w:rPr>
          <w:rFonts w:ascii="Times New Roman" w:hAnsi="Times New Roman" w:cs="Times New Roman"/>
        </w:rPr>
        <w:t xml:space="preserve">Instruments </w:t>
      </w:r>
      <w:r w:rsidRPr="007B5248">
        <w:rPr>
          <w:rFonts w:ascii="Times New Roman" w:hAnsi="Times New Roman" w:cs="Times New Roman"/>
        </w:rPr>
        <w:t>have the following operation and effect:</w:t>
      </w:r>
    </w:p>
    <w:p w14:paraId="6C175C4A" w14:textId="45C1A9A9" w:rsidR="007C0FE8" w:rsidRPr="007B5248" w:rsidRDefault="007C0FE8" w:rsidP="00913A3B">
      <w:pPr>
        <w:pStyle w:val="ListParagraph"/>
        <w:keepNext/>
        <w:numPr>
          <w:ilvl w:val="0"/>
          <w:numId w:val="6"/>
        </w:numPr>
        <w:spacing w:afterLines="200" w:after="480" w:line="360" w:lineRule="auto"/>
        <w:rPr>
          <w:rFonts w:ascii="Times New Roman" w:hAnsi="Times New Roman" w:cs="Times New Roman"/>
        </w:rPr>
      </w:pPr>
      <w:r w:rsidRPr="007B5248">
        <w:rPr>
          <w:rFonts w:ascii="Times New Roman" w:hAnsi="Times New Roman" w:cs="Times New Roman"/>
        </w:rPr>
        <w:t xml:space="preserve">the Decision-Making Principles determine, under subsection 65(2) of the </w:t>
      </w:r>
      <w:r w:rsidRPr="007B5248">
        <w:rPr>
          <w:rFonts w:ascii="Times New Roman" w:hAnsi="Times New Roman" w:cs="Times New Roman"/>
          <w:i/>
        </w:rPr>
        <w:t>Insurance</w:t>
      </w:r>
      <w:r w:rsidR="00024FFE" w:rsidRPr="007B5248">
        <w:rPr>
          <w:rFonts w:ascii="Times New Roman" w:hAnsi="Times New Roman" w:cs="Times New Roman"/>
          <w:i/>
        </w:rPr>
        <w:t> </w:t>
      </w:r>
      <w:r w:rsidRPr="007B5248">
        <w:rPr>
          <w:rFonts w:ascii="Times New Roman" w:hAnsi="Times New Roman" w:cs="Times New Roman"/>
          <w:i/>
        </w:rPr>
        <w:t>Acquisitions and Takeovers Act 1991</w:t>
      </w:r>
      <w:r w:rsidRPr="007B5248">
        <w:rPr>
          <w:rFonts w:ascii="Times New Roman" w:hAnsi="Times New Roman" w:cs="Times New Roman"/>
        </w:rPr>
        <w:t>, matters to which regard must be had in determining whether a matter is contrary to the public interest or is likely to have the effect or result mentioned in subsection 5(1) of that Act;</w:t>
      </w:r>
    </w:p>
    <w:p w14:paraId="573C7CB7" w14:textId="5B9E2EB1" w:rsidR="007C0FE8" w:rsidRPr="007B5248" w:rsidRDefault="007C0FE8" w:rsidP="007C0FE8">
      <w:pPr>
        <w:pStyle w:val="ListParagraph"/>
        <w:numPr>
          <w:ilvl w:val="0"/>
          <w:numId w:val="4"/>
        </w:numPr>
        <w:spacing w:afterLines="200" w:after="480" w:line="360" w:lineRule="auto"/>
        <w:rPr>
          <w:rFonts w:ascii="Times New Roman" w:hAnsi="Times New Roman" w:cs="Times New Roman"/>
        </w:rPr>
      </w:pPr>
      <w:r w:rsidRPr="007B5248">
        <w:rPr>
          <w:rFonts w:ascii="Times New Roman" w:hAnsi="Times New Roman" w:cs="Times New Roman"/>
        </w:rPr>
        <w:t xml:space="preserve">the </w:t>
      </w:r>
      <w:r w:rsidRPr="007B5248">
        <w:rPr>
          <w:rFonts w:ascii="Times New Roman" w:hAnsi="Times New Roman" w:cs="Times New Roman"/>
          <w:i/>
        </w:rPr>
        <w:t>Insurance Acquisitions and Takeovers (Notices) Regulations</w:t>
      </w:r>
      <w:r w:rsidRPr="007B5248">
        <w:rPr>
          <w:rFonts w:ascii="Times New Roman" w:hAnsi="Times New Roman" w:cs="Times New Roman"/>
        </w:rPr>
        <w:t xml:space="preserve"> prescribe in a specific form the requirements for giving certain notices under the </w:t>
      </w:r>
      <w:r w:rsidRPr="007B5248">
        <w:rPr>
          <w:rFonts w:ascii="Times New Roman" w:hAnsi="Times New Roman" w:cs="Times New Roman"/>
          <w:i/>
        </w:rPr>
        <w:t>Insurance Acquisitions and Takeovers</w:t>
      </w:r>
      <w:r w:rsidR="00A91629" w:rsidRPr="007B5248">
        <w:rPr>
          <w:rFonts w:ascii="Times New Roman" w:hAnsi="Times New Roman" w:cs="Times New Roman"/>
          <w:i/>
        </w:rPr>
        <w:t xml:space="preserve"> </w:t>
      </w:r>
      <w:r w:rsidRPr="007B5248">
        <w:rPr>
          <w:rFonts w:ascii="Times New Roman" w:hAnsi="Times New Roman" w:cs="Times New Roman"/>
          <w:i/>
        </w:rPr>
        <w:t>Act 1991</w:t>
      </w:r>
      <w:r w:rsidRPr="007B5248">
        <w:rPr>
          <w:rFonts w:ascii="Times New Roman" w:hAnsi="Times New Roman" w:cs="Times New Roman"/>
        </w:rPr>
        <w:t>;</w:t>
      </w:r>
    </w:p>
    <w:p w14:paraId="46895FCE" w14:textId="2BF0208C" w:rsidR="007C0FE8" w:rsidRPr="007B5248" w:rsidRDefault="007C0FE8" w:rsidP="007C0FE8">
      <w:pPr>
        <w:pStyle w:val="ListParagraph"/>
        <w:numPr>
          <w:ilvl w:val="0"/>
          <w:numId w:val="4"/>
        </w:numPr>
        <w:spacing w:afterLines="200" w:after="480" w:line="360" w:lineRule="auto"/>
        <w:rPr>
          <w:rFonts w:ascii="Times New Roman" w:hAnsi="Times New Roman" w:cs="Times New Roman"/>
        </w:rPr>
      </w:pPr>
      <w:r w:rsidRPr="007B5248">
        <w:rPr>
          <w:rFonts w:ascii="Times New Roman" w:hAnsi="Times New Roman" w:cs="Times New Roman"/>
        </w:rPr>
        <w:t xml:space="preserve">the </w:t>
      </w:r>
      <w:r w:rsidRPr="007B5248">
        <w:rPr>
          <w:rFonts w:ascii="Times New Roman" w:hAnsi="Times New Roman" w:cs="Times New Roman"/>
          <w:i/>
        </w:rPr>
        <w:t xml:space="preserve">Insurance Regulations </w:t>
      </w:r>
      <w:r w:rsidR="00B95A5F" w:rsidRPr="007B5248">
        <w:rPr>
          <w:rFonts w:ascii="Times New Roman" w:hAnsi="Times New Roman" w:cs="Times New Roman"/>
          <w:i/>
        </w:rPr>
        <w:t>2002</w:t>
      </w:r>
      <w:r w:rsidR="00B95A5F" w:rsidRPr="007B5248">
        <w:rPr>
          <w:rFonts w:ascii="Times New Roman" w:hAnsi="Times New Roman" w:cs="Times New Roman"/>
        </w:rPr>
        <w:t xml:space="preserve"> </w:t>
      </w:r>
      <w:r w:rsidRPr="007B5248">
        <w:rPr>
          <w:rFonts w:ascii="Times New Roman" w:hAnsi="Times New Roman" w:cs="Times New Roman"/>
        </w:rPr>
        <w:t xml:space="preserve">set out: </w:t>
      </w:r>
    </w:p>
    <w:p w14:paraId="1F2D4E2F" w14:textId="5E722905" w:rsidR="007C0FE8" w:rsidRPr="007B5248" w:rsidRDefault="007C0FE8" w:rsidP="007C0FE8">
      <w:pPr>
        <w:pStyle w:val="ListParagraph"/>
        <w:numPr>
          <w:ilvl w:val="1"/>
          <w:numId w:val="4"/>
        </w:numPr>
        <w:spacing w:afterLines="200" w:after="480" w:line="360" w:lineRule="auto"/>
        <w:rPr>
          <w:rFonts w:ascii="Times New Roman" w:hAnsi="Times New Roman" w:cs="Times New Roman"/>
        </w:rPr>
      </w:pPr>
      <w:r w:rsidRPr="007B5248">
        <w:rPr>
          <w:rFonts w:ascii="Times New Roman" w:hAnsi="Times New Roman" w:cs="Times New Roman"/>
        </w:rPr>
        <w:t xml:space="preserve">circumstances in which foreign insurers who are not authorised under the </w:t>
      </w:r>
      <w:r w:rsidRPr="007B5248">
        <w:rPr>
          <w:rFonts w:ascii="Times New Roman" w:hAnsi="Times New Roman" w:cs="Times New Roman"/>
          <w:i/>
        </w:rPr>
        <w:t>Insurance</w:t>
      </w:r>
      <w:r w:rsidR="002D2DD8" w:rsidRPr="007B5248">
        <w:rPr>
          <w:rFonts w:ascii="Times New Roman" w:hAnsi="Times New Roman" w:cs="Times New Roman"/>
          <w:i/>
        </w:rPr>
        <w:t> </w:t>
      </w:r>
      <w:r w:rsidRPr="007B5248">
        <w:rPr>
          <w:rFonts w:ascii="Times New Roman" w:hAnsi="Times New Roman" w:cs="Times New Roman"/>
          <w:i/>
        </w:rPr>
        <w:t>Act 1973</w:t>
      </w:r>
      <w:r w:rsidRPr="007B5248">
        <w:rPr>
          <w:rFonts w:ascii="Times New Roman" w:hAnsi="Times New Roman" w:cs="Times New Roman"/>
        </w:rPr>
        <w:t xml:space="preserve"> are able to enter into insurance contracts in Australia;</w:t>
      </w:r>
    </w:p>
    <w:p w14:paraId="281D2D94" w14:textId="77777777" w:rsidR="007C0FE8" w:rsidRPr="007B5248" w:rsidRDefault="007C0FE8" w:rsidP="007C0FE8">
      <w:pPr>
        <w:pStyle w:val="ListParagraph"/>
        <w:numPr>
          <w:ilvl w:val="1"/>
          <w:numId w:val="4"/>
        </w:numPr>
        <w:spacing w:afterLines="200" w:after="480" w:line="360" w:lineRule="auto"/>
        <w:rPr>
          <w:rFonts w:ascii="Times New Roman" w:hAnsi="Times New Roman" w:cs="Times New Roman"/>
        </w:rPr>
      </w:pPr>
      <w:r w:rsidRPr="007B5248">
        <w:rPr>
          <w:rFonts w:ascii="Times New Roman" w:hAnsi="Times New Roman" w:cs="Times New Roman"/>
        </w:rPr>
        <w:t>certain entities and types of insurance business to which that Act does not apply; and</w:t>
      </w:r>
    </w:p>
    <w:p w14:paraId="026A4BB4" w14:textId="77777777" w:rsidR="007C0FE8" w:rsidRPr="007B5248" w:rsidRDefault="007C0FE8" w:rsidP="007C0FE8">
      <w:pPr>
        <w:pStyle w:val="ListParagraph"/>
        <w:numPr>
          <w:ilvl w:val="1"/>
          <w:numId w:val="4"/>
        </w:numPr>
        <w:spacing w:afterLines="200" w:after="480" w:line="360" w:lineRule="auto"/>
        <w:rPr>
          <w:rFonts w:ascii="Times New Roman" w:hAnsi="Times New Roman" w:cs="Times New Roman"/>
        </w:rPr>
      </w:pPr>
      <w:r w:rsidRPr="007B5248">
        <w:rPr>
          <w:rFonts w:ascii="Times New Roman" w:hAnsi="Times New Roman" w:cs="Times New Roman"/>
        </w:rPr>
        <w:t xml:space="preserve">technical details associated with the financial claims scheme; </w:t>
      </w:r>
    </w:p>
    <w:p w14:paraId="42E6F010" w14:textId="1EF6A850" w:rsidR="007C0FE8" w:rsidRPr="007B5248" w:rsidRDefault="007C0FE8" w:rsidP="007C0FE8">
      <w:pPr>
        <w:pStyle w:val="ListParagraph"/>
        <w:numPr>
          <w:ilvl w:val="0"/>
          <w:numId w:val="4"/>
        </w:numPr>
        <w:spacing w:afterLines="200" w:after="480" w:line="360" w:lineRule="auto"/>
        <w:rPr>
          <w:rFonts w:ascii="Times New Roman" w:hAnsi="Times New Roman" w:cs="Times New Roman"/>
        </w:rPr>
      </w:pPr>
      <w:r w:rsidRPr="007B5248">
        <w:rPr>
          <w:rFonts w:ascii="Times New Roman" w:hAnsi="Times New Roman" w:cs="Times New Roman"/>
        </w:rPr>
        <w:t xml:space="preserve">the </w:t>
      </w:r>
      <w:r w:rsidRPr="007B5248">
        <w:rPr>
          <w:rFonts w:ascii="Times New Roman" w:hAnsi="Times New Roman" w:cs="Times New Roman"/>
          <w:i/>
        </w:rPr>
        <w:t xml:space="preserve">Life Insurance Regulations </w:t>
      </w:r>
      <w:r w:rsidR="00B95A5F" w:rsidRPr="007B5248">
        <w:rPr>
          <w:rFonts w:ascii="Times New Roman" w:hAnsi="Times New Roman" w:cs="Times New Roman"/>
          <w:i/>
        </w:rPr>
        <w:t>1995</w:t>
      </w:r>
      <w:r w:rsidR="00B95A5F" w:rsidRPr="007B5248">
        <w:rPr>
          <w:rFonts w:ascii="Times New Roman" w:hAnsi="Times New Roman" w:cs="Times New Roman"/>
        </w:rPr>
        <w:t xml:space="preserve"> </w:t>
      </w:r>
      <w:r w:rsidRPr="007B5248">
        <w:rPr>
          <w:rFonts w:ascii="Times New Roman" w:hAnsi="Times New Roman" w:cs="Times New Roman"/>
        </w:rPr>
        <w:t xml:space="preserve">set out: </w:t>
      </w:r>
    </w:p>
    <w:p w14:paraId="30946E15" w14:textId="7DECBF95" w:rsidR="007C0FE8" w:rsidRPr="007B5248" w:rsidRDefault="007C0FE8" w:rsidP="007C0FE8">
      <w:pPr>
        <w:pStyle w:val="ListParagraph"/>
        <w:numPr>
          <w:ilvl w:val="1"/>
          <w:numId w:val="4"/>
        </w:numPr>
        <w:spacing w:afterLines="200" w:after="480" w:line="360" w:lineRule="auto"/>
        <w:rPr>
          <w:rFonts w:ascii="Times New Roman" w:hAnsi="Times New Roman" w:cs="Times New Roman"/>
        </w:rPr>
      </w:pPr>
      <w:r w:rsidRPr="007B5248">
        <w:rPr>
          <w:rFonts w:ascii="Times New Roman" w:hAnsi="Times New Roman" w:cs="Times New Roman"/>
        </w:rPr>
        <w:t xml:space="preserve">a threshold for the term of a policy to be considered a life policy under the </w:t>
      </w:r>
      <w:r w:rsidRPr="007B5248">
        <w:rPr>
          <w:rFonts w:ascii="Times New Roman" w:hAnsi="Times New Roman" w:cs="Times New Roman"/>
          <w:i/>
        </w:rPr>
        <w:t>Life</w:t>
      </w:r>
      <w:r w:rsidR="00325A71" w:rsidRPr="007B5248">
        <w:rPr>
          <w:rFonts w:ascii="Times New Roman" w:hAnsi="Times New Roman" w:cs="Times New Roman"/>
          <w:i/>
        </w:rPr>
        <w:t> </w:t>
      </w:r>
      <w:r w:rsidRPr="007B5248">
        <w:rPr>
          <w:rFonts w:ascii="Times New Roman" w:hAnsi="Times New Roman" w:cs="Times New Roman"/>
          <w:i/>
        </w:rPr>
        <w:t>Insurance Act 1995</w:t>
      </w:r>
      <w:r w:rsidRPr="007B5248">
        <w:rPr>
          <w:rFonts w:ascii="Times New Roman" w:hAnsi="Times New Roman" w:cs="Times New Roman"/>
        </w:rPr>
        <w:t xml:space="preserve">; </w:t>
      </w:r>
    </w:p>
    <w:p w14:paraId="494FE50F" w14:textId="77777777" w:rsidR="007C0FE8" w:rsidRPr="007B5248" w:rsidRDefault="007C0FE8" w:rsidP="007C0FE8">
      <w:pPr>
        <w:pStyle w:val="ListParagraph"/>
        <w:numPr>
          <w:ilvl w:val="1"/>
          <w:numId w:val="4"/>
        </w:numPr>
        <w:spacing w:afterLines="200" w:after="480" w:line="360" w:lineRule="auto"/>
        <w:rPr>
          <w:rFonts w:ascii="Times New Roman" w:hAnsi="Times New Roman" w:cs="Times New Roman"/>
        </w:rPr>
      </w:pPr>
      <w:r w:rsidRPr="007B5248">
        <w:rPr>
          <w:rFonts w:ascii="Times New Roman" w:hAnsi="Times New Roman" w:cs="Times New Roman"/>
        </w:rPr>
        <w:t xml:space="preserve">provisions to facilitate the operation of Australian branches of foreign life insurance companies in Australia; </w:t>
      </w:r>
    </w:p>
    <w:p w14:paraId="19134A97" w14:textId="77777777" w:rsidR="007C0FE8" w:rsidRPr="007B5248" w:rsidRDefault="007C0FE8" w:rsidP="007C0FE8">
      <w:pPr>
        <w:pStyle w:val="ListParagraph"/>
        <w:numPr>
          <w:ilvl w:val="1"/>
          <w:numId w:val="4"/>
        </w:numPr>
        <w:spacing w:afterLines="200" w:after="480" w:line="360" w:lineRule="auto"/>
        <w:rPr>
          <w:rFonts w:ascii="Times New Roman" w:hAnsi="Times New Roman" w:cs="Times New Roman"/>
        </w:rPr>
      </w:pPr>
      <w:r w:rsidRPr="007B5248">
        <w:rPr>
          <w:rFonts w:ascii="Times New Roman" w:hAnsi="Times New Roman" w:cs="Times New Roman"/>
        </w:rPr>
        <w:t>administrative requirements including, for example, notice to be given to the Australian Prudential Regulation Authority on establishing a statutory fund, maximum rates for interest on overdue premiums and mechanics relating to unclaimed money.</w:t>
      </w:r>
    </w:p>
    <w:p w14:paraId="5559276A" w14:textId="79605A20" w:rsidR="007C0FE8" w:rsidRPr="007B5248" w:rsidRDefault="007C0FE8" w:rsidP="007C0FE8">
      <w:pPr>
        <w:spacing w:afterLines="200" w:after="480" w:line="360" w:lineRule="auto"/>
        <w:contextualSpacing/>
        <w:rPr>
          <w:rFonts w:ascii="Times New Roman" w:hAnsi="Times New Roman" w:cs="Times New Roman"/>
        </w:rPr>
      </w:pPr>
      <w:r w:rsidRPr="007B5248">
        <w:rPr>
          <w:rFonts w:ascii="Times New Roman" w:hAnsi="Times New Roman" w:cs="Times New Roman"/>
        </w:rPr>
        <w:t xml:space="preserve">The </w:t>
      </w:r>
      <w:r w:rsidRPr="007B5248">
        <w:rPr>
          <w:rFonts w:ascii="Times New Roman" w:hAnsi="Times New Roman" w:cs="Times New Roman"/>
          <w:i/>
        </w:rPr>
        <w:t>Legislation (Insurance Instruments) Sunset-altering Declaration 2018</w:t>
      </w:r>
      <w:r w:rsidRPr="007B5248">
        <w:rPr>
          <w:rFonts w:ascii="Times New Roman" w:hAnsi="Times New Roman" w:cs="Times New Roman"/>
        </w:rPr>
        <w:t xml:space="preserve"> aligned the sunsetting dates for the Insurance </w:t>
      </w:r>
      <w:r w:rsidR="006F0903" w:rsidRPr="007B5248">
        <w:rPr>
          <w:rFonts w:ascii="Times New Roman" w:hAnsi="Times New Roman" w:cs="Times New Roman"/>
        </w:rPr>
        <w:t xml:space="preserve">Instruments </w:t>
      </w:r>
      <w:r w:rsidRPr="007B5248">
        <w:rPr>
          <w:rFonts w:ascii="Times New Roman" w:hAnsi="Times New Roman" w:cs="Times New Roman"/>
        </w:rPr>
        <w:t>to 1 October 2023 to enable Treasury to conduct a comprehensive thematic review of regulation imposed on the insurance industry. Treasury conducted the review in 2022</w:t>
      </w:r>
      <w:r w:rsidR="006F0903" w:rsidRPr="007B5248">
        <w:rPr>
          <w:rFonts w:ascii="Times New Roman" w:hAnsi="Times New Roman" w:cs="Times New Roman"/>
        </w:rPr>
        <w:t>.</w:t>
      </w:r>
    </w:p>
    <w:p w14:paraId="26A48E5A" w14:textId="77777777" w:rsidR="007C0FE8" w:rsidRPr="007B5248" w:rsidRDefault="007C0FE8" w:rsidP="007C0FE8">
      <w:pPr>
        <w:spacing w:afterLines="200" w:after="480" w:line="360" w:lineRule="auto"/>
        <w:contextualSpacing/>
        <w:rPr>
          <w:rFonts w:ascii="Times New Roman" w:hAnsi="Times New Roman" w:cs="Times New Roman"/>
          <w:lang w:eastAsia="en-AU"/>
        </w:rPr>
      </w:pPr>
    </w:p>
    <w:p w14:paraId="063FF49C" w14:textId="46137EDA" w:rsidR="00787B24" w:rsidRPr="007B5248" w:rsidRDefault="00787B24" w:rsidP="007C0FE8">
      <w:pPr>
        <w:spacing w:afterLines="200" w:after="480" w:line="360" w:lineRule="auto"/>
        <w:contextualSpacing/>
        <w:rPr>
          <w:rFonts w:ascii="Times New Roman" w:hAnsi="Times New Roman" w:cs="Times New Roman"/>
        </w:rPr>
      </w:pPr>
      <w:r w:rsidRPr="007B5248">
        <w:rPr>
          <w:rFonts w:ascii="Times New Roman" w:hAnsi="Times New Roman" w:cs="Times New Roman"/>
          <w:lang w:eastAsia="en-AU"/>
        </w:rPr>
        <w:t xml:space="preserve">The Certificate defers the sunsetting date of the </w:t>
      </w:r>
      <w:r w:rsidR="00AB3C50" w:rsidRPr="007B5248">
        <w:rPr>
          <w:rFonts w:ascii="Times New Roman" w:hAnsi="Times New Roman" w:cs="Times New Roman"/>
        </w:rPr>
        <w:t xml:space="preserve">Insurance </w:t>
      </w:r>
      <w:r w:rsidR="006F0903" w:rsidRPr="007B5248">
        <w:rPr>
          <w:rFonts w:ascii="Times New Roman" w:hAnsi="Times New Roman" w:cs="Times New Roman"/>
        </w:rPr>
        <w:t>Instruments</w:t>
      </w:r>
      <w:r w:rsidRPr="007B5248">
        <w:rPr>
          <w:rFonts w:ascii="Times New Roman" w:hAnsi="Times New Roman" w:cs="Times New Roman"/>
          <w:lang w:eastAsia="en-AU"/>
        </w:rPr>
        <w:t xml:space="preserve"> by 12 months to </w:t>
      </w:r>
      <w:r w:rsidRPr="007B5248">
        <w:rPr>
          <w:rFonts w:ascii="Times New Roman" w:hAnsi="Times New Roman" w:cs="Times New Roman"/>
        </w:rPr>
        <w:t>1 </w:t>
      </w:r>
      <w:r w:rsidR="00AB3C50" w:rsidRPr="007B5248">
        <w:rPr>
          <w:rFonts w:ascii="Times New Roman" w:hAnsi="Times New Roman" w:cs="Times New Roman"/>
        </w:rPr>
        <w:t>October</w:t>
      </w:r>
      <w:r w:rsidR="009B7248" w:rsidRPr="007B5248">
        <w:rPr>
          <w:rFonts w:ascii="Times New Roman" w:hAnsi="Times New Roman" w:cs="Times New Roman"/>
        </w:rPr>
        <w:t> </w:t>
      </w:r>
      <w:r w:rsidR="00AB3C50" w:rsidRPr="007B5248">
        <w:rPr>
          <w:rFonts w:ascii="Times New Roman" w:hAnsi="Times New Roman" w:cs="Times New Roman"/>
        </w:rPr>
        <w:t>2024</w:t>
      </w:r>
      <w:r w:rsidRPr="007B5248">
        <w:rPr>
          <w:rFonts w:ascii="Times New Roman" w:hAnsi="Times New Roman" w:cs="Times New Roman"/>
          <w:lang w:eastAsia="en-AU"/>
        </w:rPr>
        <w:t xml:space="preserve"> to enable</w:t>
      </w:r>
      <w:r w:rsidR="00AB3C50" w:rsidRPr="007B5248">
        <w:rPr>
          <w:rFonts w:ascii="Times New Roman" w:hAnsi="Times New Roman" w:cs="Times New Roman"/>
        </w:rPr>
        <w:t xml:space="preserve"> sufficient time for the Bill to pass</w:t>
      </w:r>
      <w:r w:rsidR="006F0903" w:rsidRPr="007B5248">
        <w:rPr>
          <w:rFonts w:ascii="Times New Roman" w:hAnsi="Times New Roman" w:cs="Times New Roman"/>
          <w:lang w:eastAsia="en-AU"/>
        </w:rPr>
        <w:t xml:space="preserve">. </w:t>
      </w:r>
      <w:r w:rsidR="004570D0" w:rsidRPr="007B5248">
        <w:rPr>
          <w:rFonts w:ascii="Times New Roman" w:hAnsi="Times New Roman" w:cs="Times New Roman"/>
          <w:lang w:eastAsia="en-AU"/>
        </w:rPr>
        <w:t>Should the Bill pass Parliament, the Bill will</w:t>
      </w:r>
      <w:r w:rsidR="004570D0" w:rsidRPr="007B5248">
        <w:rPr>
          <w:rFonts w:ascii="Times New Roman" w:hAnsi="Times New Roman" w:cs="Times New Roman"/>
        </w:rPr>
        <w:t xml:space="preserve"> amend</w:t>
      </w:r>
      <w:r w:rsidR="00AB3C50" w:rsidRPr="007B5248">
        <w:rPr>
          <w:rFonts w:ascii="Times New Roman" w:hAnsi="Times New Roman" w:cs="Times New Roman"/>
        </w:rPr>
        <w:t xml:space="preserve"> the enabling Acts for the Insurance </w:t>
      </w:r>
      <w:r w:rsidR="006F0903" w:rsidRPr="007B5248">
        <w:rPr>
          <w:rFonts w:ascii="Times New Roman" w:hAnsi="Times New Roman" w:cs="Times New Roman"/>
        </w:rPr>
        <w:t>Instruments</w:t>
      </w:r>
      <w:r w:rsidR="006F0903" w:rsidRPr="007B5248">
        <w:rPr>
          <w:rFonts w:ascii="Times New Roman" w:hAnsi="Times New Roman" w:cs="Times New Roman"/>
          <w:lang w:eastAsia="en-AU"/>
        </w:rPr>
        <w:t xml:space="preserve"> </w:t>
      </w:r>
      <w:r w:rsidR="00AB3C50" w:rsidRPr="007B5248">
        <w:rPr>
          <w:rFonts w:ascii="Times New Roman" w:hAnsi="Times New Roman" w:cs="Times New Roman"/>
        </w:rPr>
        <w:t>to implement the findings of the</w:t>
      </w:r>
      <w:r w:rsidR="006F0903" w:rsidRPr="007B5248">
        <w:rPr>
          <w:rFonts w:ascii="Times New Roman" w:hAnsi="Times New Roman" w:cs="Times New Roman"/>
        </w:rPr>
        <w:t xml:space="preserve"> 2022</w:t>
      </w:r>
      <w:r w:rsidR="00AB3C50" w:rsidRPr="007B5248">
        <w:rPr>
          <w:rFonts w:ascii="Times New Roman" w:hAnsi="Times New Roman" w:cs="Times New Roman"/>
        </w:rPr>
        <w:t xml:space="preserve"> thematic review and to transition to the new framework. A 12-month deferral would avoi</w:t>
      </w:r>
      <w:r w:rsidR="00F620AE" w:rsidRPr="007B5248">
        <w:rPr>
          <w:rFonts w:ascii="Times New Roman" w:hAnsi="Times New Roman" w:cs="Times New Roman"/>
        </w:rPr>
        <w:t>d</w:t>
      </w:r>
      <w:r w:rsidR="00AB3C50" w:rsidRPr="007B5248">
        <w:rPr>
          <w:rFonts w:ascii="Times New Roman" w:hAnsi="Times New Roman" w:cs="Times New Roman"/>
        </w:rPr>
        <w:t xml:space="preserve"> the need to remake the </w:t>
      </w:r>
      <w:r w:rsidR="006F0903" w:rsidRPr="007B5248">
        <w:rPr>
          <w:rFonts w:ascii="Times New Roman" w:hAnsi="Times New Roman" w:cs="Times New Roman"/>
        </w:rPr>
        <w:t>I</w:t>
      </w:r>
      <w:r w:rsidR="00AB3C50" w:rsidRPr="007B5248">
        <w:rPr>
          <w:rFonts w:ascii="Times New Roman" w:hAnsi="Times New Roman" w:cs="Times New Roman"/>
        </w:rPr>
        <w:t xml:space="preserve">nsurance </w:t>
      </w:r>
      <w:r w:rsidR="006F0903" w:rsidRPr="007B5248">
        <w:rPr>
          <w:rFonts w:ascii="Times New Roman" w:hAnsi="Times New Roman" w:cs="Times New Roman"/>
        </w:rPr>
        <w:t>I</w:t>
      </w:r>
      <w:r w:rsidR="00AB3C50" w:rsidRPr="007B5248">
        <w:rPr>
          <w:rFonts w:ascii="Times New Roman" w:hAnsi="Times New Roman" w:cs="Times New Roman"/>
        </w:rPr>
        <w:t>nstruments in their current form for the short period of time before they are repealed and the new framework of instruments made.</w:t>
      </w:r>
    </w:p>
    <w:p w14:paraId="1D728FA4" w14:textId="77777777" w:rsidR="007C0FE8" w:rsidRPr="007B5248" w:rsidRDefault="007C0FE8" w:rsidP="00BE6856">
      <w:pPr>
        <w:spacing w:after="0" w:line="360" w:lineRule="auto"/>
        <w:contextualSpacing/>
        <w:rPr>
          <w:rFonts w:ascii="Times New Roman" w:hAnsi="Times New Roman" w:cs="Times New Roman"/>
        </w:rPr>
      </w:pPr>
    </w:p>
    <w:p w14:paraId="5E97C8EE" w14:textId="7F49B56F" w:rsidR="00787B24" w:rsidRPr="007B5248" w:rsidRDefault="00787B24" w:rsidP="00BE6856">
      <w:pPr>
        <w:spacing w:after="0" w:line="360" w:lineRule="auto"/>
        <w:contextualSpacing/>
        <w:rPr>
          <w:rFonts w:ascii="Times New Roman" w:hAnsi="Times New Roman" w:cs="Times New Roman"/>
          <w:lang w:eastAsia="en-AU"/>
        </w:rPr>
      </w:pPr>
      <w:r w:rsidRPr="007B5248">
        <w:rPr>
          <w:rFonts w:ascii="Times New Roman" w:hAnsi="Times New Roman" w:cs="Times New Roman"/>
        </w:rPr>
        <w:lastRenderedPageBreak/>
        <w:t xml:space="preserve">Accordingly, the </w:t>
      </w:r>
      <w:r w:rsidR="00AB3C50" w:rsidRPr="007B5248">
        <w:rPr>
          <w:rFonts w:ascii="Times New Roman" w:hAnsi="Times New Roman" w:cs="Times New Roman"/>
        </w:rPr>
        <w:t xml:space="preserve">Insurance </w:t>
      </w:r>
      <w:r w:rsidR="006F0903" w:rsidRPr="007B5248">
        <w:rPr>
          <w:rFonts w:ascii="Times New Roman" w:hAnsi="Times New Roman" w:cs="Times New Roman"/>
        </w:rPr>
        <w:t>Instruments</w:t>
      </w:r>
      <w:r w:rsidR="006F0903" w:rsidRPr="007B5248">
        <w:rPr>
          <w:rFonts w:ascii="Times New Roman" w:hAnsi="Times New Roman" w:cs="Times New Roman"/>
          <w:lang w:eastAsia="en-AU"/>
        </w:rPr>
        <w:t xml:space="preserve"> </w:t>
      </w:r>
      <w:r w:rsidRPr="007B5248">
        <w:rPr>
          <w:rFonts w:ascii="Times New Roman" w:hAnsi="Times New Roman" w:cs="Times New Roman"/>
        </w:rPr>
        <w:t xml:space="preserve">will likely cease to be in force in </w:t>
      </w:r>
      <w:r w:rsidR="00AB3C50" w:rsidRPr="007B5248">
        <w:rPr>
          <w:rFonts w:ascii="Times New Roman" w:hAnsi="Times New Roman" w:cs="Times New Roman"/>
        </w:rPr>
        <w:t>their</w:t>
      </w:r>
      <w:r w:rsidRPr="007B5248">
        <w:rPr>
          <w:rFonts w:ascii="Times New Roman" w:hAnsi="Times New Roman" w:cs="Times New Roman"/>
        </w:rPr>
        <w:t xml:space="preserve"> current form within 24 months of </w:t>
      </w:r>
      <w:r w:rsidR="00AB3C50" w:rsidRPr="007B5248">
        <w:rPr>
          <w:rFonts w:ascii="Times New Roman" w:hAnsi="Times New Roman" w:cs="Times New Roman"/>
        </w:rPr>
        <w:t>their</w:t>
      </w:r>
      <w:r w:rsidRPr="007B5248">
        <w:rPr>
          <w:rFonts w:ascii="Times New Roman" w:hAnsi="Times New Roman" w:cs="Times New Roman"/>
        </w:rPr>
        <w:t xml:space="preserve"> original sunsetting date.</w:t>
      </w:r>
    </w:p>
    <w:p w14:paraId="00043E83" w14:textId="77777777" w:rsidR="00787B24" w:rsidRPr="007B5248" w:rsidRDefault="00787B24" w:rsidP="00BE6856">
      <w:pPr>
        <w:spacing w:after="0" w:line="360" w:lineRule="auto"/>
        <w:contextualSpacing/>
        <w:rPr>
          <w:rFonts w:ascii="Times New Roman" w:hAnsi="Times New Roman" w:cs="Times New Roman"/>
          <w:lang w:eastAsia="en-AU"/>
        </w:rPr>
      </w:pPr>
    </w:p>
    <w:p w14:paraId="3DDED838" w14:textId="77777777" w:rsidR="00787B24" w:rsidRPr="007B5248" w:rsidRDefault="00787B24" w:rsidP="00BE6856">
      <w:pPr>
        <w:pStyle w:val="Basetext"/>
        <w:spacing w:before="0" w:afterLines="200" w:after="480" w:line="360" w:lineRule="auto"/>
        <w:contextualSpacing/>
        <w:rPr>
          <w:b/>
        </w:rPr>
      </w:pPr>
      <w:r w:rsidRPr="007B5248">
        <w:rPr>
          <w:b/>
        </w:rPr>
        <w:t>More information</w:t>
      </w:r>
    </w:p>
    <w:p w14:paraId="2919B1C4" w14:textId="77777777" w:rsidR="00787B24" w:rsidRPr="007B5248" w:rsidRDefault="00787B24" w:rsidP="00BE6856">
      <w:pPr>
        <w:pStyle w:val="Basetext"/>
        <w:spacing w:before="0" w:afterLines="200" w:after="480" w:line="360" w:lineRule="auto"/>
        <w:contextualSpacing/>
      </w:pPr>
    </w:p>
    <w:p w14:paraId="59C5703D" w14:textId="77777777" w:rsidR="00787B24" w:rsidRPr="007B5248" w:rsidRDefault="00787B24" w:rsidP="00BE6856">
      <w:pPr>
        <w:pStyle w:val="Basetext"/>
        <w:spacing w:before="0" w:afterLines="200" w:after="480" w:line="360" w:lineRule="auto"/>
        <w:contextualSpacing/>
        <w:rPr>
          <w:u w:val="single"/>
        </w:rPr>
      </w:pPr>
      <w:r w:rsidRPr="007B5248">
        <w:t xml:space="preserve">Further details on the provisions of the Certificate are provided in </w:t>
      </w:r>
      <w:r w:rsidRPr="007B5248">
        <w:rPr>
          <w:u w:val="single"/>
        </w:rPr>
        <w:t>Attachment A</w:t>
      </w:r>
      <w:r w:rsidRPr="007B5248">
        <w:t>.</w:t>
      </w:r>
    </w:p>
    <w:p w14:paraId="066FAB4E" w14:textId="77777777" w:rsidR="00787B24" w:rsidRPr="007B5248" w:rsidRDefault="00787B24" w:rsidP="00BE6856">
      <w:pPr>
        <w:pStyle w:val="Basetext"/>
        <w:spacing w:before="0" w:afterLines="200" w:after="480" w:line="360" w:lineRule="auto"/>
        <w:contextualSpacing/>
      </w:pPr>
    </w:p>
    <w:p w14:paraId="050B8C55" w14:textId="40FE08F7" w:rsidR="00787B24" w:rsidRPr="007B5248" w:rsidRDefault="00787B24" w:rsidP="00BE6856">
      <w:pPr>
        <w:pStyle w:val="Basetext"/>
        <w:spacing w:before="0" w:afterLines="200" w:after="480" w:line="360" w:lineRule="auto"/>
        <w:contextualSpacing/>
      </w:pPr>
      <w:r w:rsidRPr="007B5248">
        <w:t xml:space="preserve">The </w:t>
      </w:r>
      <w:r w:rsidR="00B678FA" w:rsidRPr="007B5248">
        <w:t xml:space="preserve">Insurance </w:t>
      </w:r>
      <w:r w:rsidR="006F0903" w:rsidRPr="007B5248">
        <w:t>Instruments</w:t>
      </w:r>
      <w:r w:rsidR="006F0903" w:rsidRPr="007B5248">
        <w:rPr>
          <w:lang w:eastAsia="en-AU"/>
        </w:rPr>
        <w:t xml:space="preserve"> </w:t>
      </w:r>
      <w:r w:rsidRPr="007B5248">
        <w:t xml:space="preserve">which </w:t>
      </w:r>
      <w:r w:rsidR="00B678FA" w:rsidRPr="007B5248">
        <w:t>are</w:t>
      </w:r>
      <w:r w:rsidRPr="007B5248">
        <w:t xml:space="preserve"> subject to the Certificate, and which will now sunset at a later day as specified in the Certificate, </w:t>
      </w:r>
      <w:r w:rsidR="00B678FA" w:rsidRPr="007B5248">
        <w:t>are</w:t>
      </w:r>
      <w:r w:rsidRPr="007B5248">
        <w:t xml:space="preserve"> available on the Federal Register of Legislation.</w:t>
      </w:r>
    </w:p>
    <w:p w14:paraId="271346D0" w14:textId="77777777" w:rsidR="00787B24" w:rsidRPr="007B5248" w:rsidRDefault="00787B24" w:rsidP="00BE6856">
      <w:pPr>
        <w:pStyle w:val="Basetext"/>
        <w:spacing w:before="0" w:afterLines="200" w:after="480" w:line="360" w:lineRule="auto"/>
        <w:contextualSpacing/>
      </w:pPr>
    </w:p>
    <w:p w14:paraId="21E5136B" w14:textId="22025204" w:rsidR="00787B24" w:rsidRPr="007B5248" w:rsidRDefault="00787B24" w:rsidP="00BE6856">
      <w:pPr>
        <w:pStyle w:val="Basetext"/>
        <w:spacing w:before="0" w:afterLines="200" w:after="480" w:line="360" w:lineRule="auto"/>
        <w:contextualSpacing/>
      </w:pPr>
      <w:r w:rsidRPr="007B5248">
        <w:t>Further information may be requested from the Attorney</w:t>
      </w:r>
      <w:r w:rsidRPr="007B5248">
        <w:noBreakHyphen/>
        <w:t xml:space="preserve">General’s Department about the operation of the Certificate, and from </w:t>
      </w:r>
      <w:r w:rsidR="00B678FA" w:rsidRPr="007B5248">
        <w:t>Treasury</w:t>
      </w:r>
      <w:r w:rsidRPr="007B5248">
        <w:t xml:space="preserve"> about the </w:t>
      </w:r>
      <w:r w:rsidR="00B678FA" w:rsidRPr="007B5248">
        <w:t>instruments</w:t>
      </w:r>
      <w:r w:rsidRPr="007B5248">
        <w:t xml:space="preserve"> to which the Certificate applies.</w:t>
      </w:r>
    </w:p>
    <w:p w14:paraId="6C26A25F" w14:textId="77777777" w:rsidR="00787B24" w:rsidRPr="007B5248" w:rsidRDefault="00787B24" w:rsidP="00BE6856">
      <w:pPr>
        <w:pageBreakBefore/>
        <w:spacing w:afterLines="200" w:after="480" w:line="360" w:lineRule="auto"/>
        <w:ind w:left="6480" w:firstLine="720"/>
        <w:contextualSpacing/>
        <w:rPr>
          <w:rFonts w:ascii="Times New Roman" w:hAnsi="Times New Roman" w:cs="Times New Roman"/>
        </w:rPr>
      </w:pPr>
      <w:r w:rsidRPr="007B5248">
        <w:rPr>
          <w:rFonts w:ascii="Times New Roman" w:hAnsi="Times New Roman" w:cs="Times New Roman"/>
          <w:b/>
        </w:rPr>
        <w:lastRenderedPageBreak/>
        <w:t>ATTACHMENT A</w:t>
      </w:r>
    </w:p>
    <w:p w14:paraId="213000B0" w14:textId="77777777" w:rsidR="00787B24" w:rsidRPr="007B5248" w:rsidRDefault="00787B24" w:rsidP="00BE6856">
      <w:pPr>
        <w:spacing w:line="360" w:lineRule="auto"/>
        <w:contextualSpacing/>
        <w:rPr>
          <w:rFonts w:ascii="Times New Roman" w:hAnsi="Times New Roman" w:cs="Times New Roman"/>
          <w:b/>
        </w:rPr>
      </w:pPr>
      <w:r w:rsidRPr="007B5248">
        <w:rPr>
          <w:rFonts w:ascii="Times New Roman" w:hAnsi="Times New Roman" w:cs="Times New Roman"/>
          <w:b/>
        </w:rPr>
        <w:t>NOTES ON THE CERTIFICATE</w:t>
      </w:r>
    </w:p>
    <w:p w14:paraId="2AFB4AE5" w14:textId="77777777" w:rsidR="007A6269" w:rsidRPr="007B5248" w:rsidRDefault="007A6269" w:rsidP="00BE6856">
      <w:pPr>
        <w:spacing w:line="360" w:lineRule="auto"/>
        <w:contextualSpacing/>
        <w:rPr>
          <w:rFonts w:ascii="Times New Roman" w:hAnsi="Times New Roman" w:cs="Times New Roman"/>
          <w:b/>
        </w:rPr>
      </w:pPr>
    </w:p>
    <w:p w14:paraId="49972240" w14:textId="0C621CE6" w:rsidR="00787B24" w:rsidRPr="007B5248" w:rsidRDefault="00787B24" w:rsidP="00BE6856">
      <w:pPr>
        <w:spacing w:line="360" w:lineRule="auto"/>
        <w:contextualSpacing/>
        <w:rPr>
          <w:rFonts w:ascii="Times New Roman" w:hAnsi="Times New Roman" w:cs="Times New Roman"/>
          <w:b/>
        </w:rPr>
      </w:pPr>
      <w:r w:rsidRPr="007B5248">
        <w:rPr>
          <w:rFonts w:ascii="Times New Roman" w:hAnsi="Times New Roman" w:cs="Times New Roman"/>
          <w:b/>
        </w:rPr>
        <w:t xml:space="preserve">Section 1 </w:t>
      </w:r>
      <w:r w:rsidRPr="007B5248">
        <w:rPr>
          <w:rFonts w:ascii="Times New Roman" w:hAnsi="Times New Roman" w:cs="Times New Roman"/>
          <w:b/>
        </w:rPr>
        <w:tab/>
        <w:t>Name</w:t>
      </w:r>
    </w:p>
    <w:p w14:paraId="4609C193" w14:textId="5CFCFDB4" w:rsidR="00787B24" w:rsidRPr="007B5248" w:rsidRDefault="00787B24" w:rsidP="00BE6856">
      <w:pPr>
        <w:spacing w:line="360" w:lineRule="auto"/>
        <w:contextualSpacing/>
        <w:rPr>
          <w:rFonts w:ascii="Times New Roman" w:hAnsi="Times New Roman" w:cs="Times New Roman"/>
        </w:rPr>
      </w:pPr>
      <w:r w:rsidRPr="007B5248">
        <w:rPr>
          <w:rFonts w:ascii="Times New Roman" w:hAnsi="Times New Roman" w:cs="Times New Roman"/>
        </w:rPr>
        <w:t xml:space="preserve">This section provides that the Certificate is named the </w:t>
      </w:r>
      <w:r w:rsidRPr="007B5248">
        <w:rPr>
          <w:rFonts w:ascii="Times New Roman" w:hAnsi="Times New Roman" w:cs="Times New Roman"/>
          <w:i/>
        </w:rPr>
        <w:t xml:space="preserve">Legislation (Deferral of Sunsetting— </w:t>
      </w:r>
      <w:r w:rsidR="0021353A" w:rsidRPr="007B5248">
        <w:rPr>
          <w:rFonts w:ascii="Times New Roman" w:hAnsi="Times New Roman" w:cs="Times New Roman"/>
          <w:i/>
        </w:rPr>
        <w:t>Insurance Instruments)</w:t>
      </w:r>
      <w:r w:rsidRPr="007B5248">
        <w:rPr>
          <w:rFonts w:ascii="Times New Roman" w:hAnsi="Times New Roman" w:cs="Times New Roman"/>
          <w:i/>
        </w:rPr>
        <w:t xml:space="preserve"> Certificate 2023</w:t>
      </w:r>
      <w:r w:rsidRPr="007B5248">
        <w:rPr>
          <w:rFonts w:ascii="Times New Roman" w:hAnsi="Times New Roman" w:cs="Times New Roman"/>
        </w:rPr>
        <w:t>. The Certificate may be cited by this name.</w:t>
      </w:r>
    </w:p>
    <w:p w14:paraId="7F53F373" w14:textId="77777777" w:rsidR="00787B24" w:rsidRPr="007B5248" w:rsidRDefault="00787B24" w:rsidP="00BE6856">
      <w:pPr>
        <w:spacing w:line="360" w:lineRule="auto"/>
        <w:contextualSpacing/>
        <w:rPr>
          <w:rFonts w:ascii="Times New Roman" w:hAnsi="Times New Roman" w:cs="Times New Roman"/>
        </w:rPr>
      </w:pPr>
    </w:p>
    <w:p w14:paraId="52AF74D1" w14:textId="77777777" w:rsidR="00787B24" w:rsidRPr="007B5248" w:rsidRDefault="00787B24" w:rsidP="00BE6856">
      <w:pPr>
        <w:spacing w:line="360" w:lineRule="auto"/>
        <w:contextualSpacing/>
        <w:rPr>
          <w:rFonts w:ascii="Times New Roman" w:hAnsi="Times New Roman" w:cs="Times New Roman"/>
          <w:b/>
        </w:rPr>
      </w:pPr>
      <w:r w:rsidRPr="007B5248">
        <w:rPr>
          <w:rFonts w:ascii="Times New Roman" w:hAnsi="Times New Roman" w:cs="Times New Roman"/>
          <w:b/>
        </w:rPr>
        <w:t xml:space="preserve">Section 2 </w:t>
      </w:r>
      <w:r w:rsidRPr="007B5248">
        <w:rPr>
          <w:rFonts w:ascii="Times New Roman" w:hAnsi="Times New Roman" w:cs="Times New Roman"/>
          <w:b/>
        </w:rPr>
        <w:tab/>
        <w:t>Commencement</w:t>
      </w:r>
    </w:p>
    <w:p w14:paraId="30216173" w14:textId="77777777" w:rsidR="00787B24" w:rsidRPr="007B5248" w:rsidRDefault="00787B24" w:rsidP="00BE6856">
      <w:pPr>
        <w:spacing w:line="360" w:lineRule="auto"/>
        <w:contextualSpacing/>
        <w:rPr>
          <w:rFonts w:ascii="Times New Roman" w:hAnsi="Times New Roman" w:cs="Times New Roman"/>
        </w:rPr>
      </w:pPr>
      <w:r w:rsidRPr="007B5248">
        <w:rPr>
          <w:rFonts w:ascii="Times New Roman" w:hAnsi="Times New Roman" w:cs="Times New Roman"/>
        </w:rPr>
        <w:t>This section provides for the Certificate to commence on the day after it is registered.</w:t>
      </w:r>
    </w:p>
    <w:p w14:paraId="0BA4455C" w14:textId="77777777" w:rsidR="00787B24" w:rsidRPr="007B5248" w:rsidRDefault="00787B24" w:rsidP="00BE6856">
      <w:pPr>
        <w:spacing w:line="360" w:lineRule="auto"/>
        <w:contextualSpacing/>
        <w:rPr>
          <w:rFonts w:ascii="Times New Roman" w:hAnsi="Times New Roman" w:cs="Times New Roman"/>
        </w:rPr>
      </w:pPr>
    </w:p>
    <w:p w14:paraId="38057FF6" w14:textId="77777777" w:rsidR="00787B24" w:rsidRPr="007B5248" w:rsidRDefault="00787B24" w:rsidP="00BE6856">
      <w:pPr>
        <w:spacing w:line="360" w:lineRule="auto"/>
        <w:contextualSpacing/>
        <w:rPr>
          <w:rFonts w:ascii="Times New Roman" w:hAnsi="Times New Roman" w:cs="Times New Roman"/>
          <w:b/>
        </w:rPr>
      </w:pPr>
      <w:r w:rsidRPr="007B5248">
        <w:rPr>
          <w:rFonts w:ascii="Times New Roman" w:hAnsi="Times New Roman" w:cs="Times New Roman"/>
          <w:b/>
        </w:rPr>
        <w:t xml:space="preserve">Section 3 </w:t>
      </w:r>
      <w:r w:rsidRPr="007B5248">
        <w:rPr>
          <w:rFonts w:ascii="Times New Roman" w:hAnsi="Times New Roman" w:cs="Times New Roman"/>
          <w:b/>
        </w:rPr>
        <w:tab/>
        <w:t>Authority</w:t>
      </w:r>
    </w:p>
    <w:p w14:paraId="460ADA48" w14:textId="77777777" w:rsidR="00787B24" w:rsidRPr="007B5248" w:rsidRDefault="00787B24" w:rsidP="00BE6856">
      <w:pPr>
        <w:spacing w:line="360" w:lineRule="auto"/>
        <w:contextualSpacing/>
        <w:rPr>
          <w:rFonts w:ascii="Times New Roman" w:hAnsi="Times New Roman" w:cs="Times New Roman"/>
        </w:rPr>
      </w:pPr>
      <w:r w:rsidRPr="007B5248">
        <w:rPr>
          <w:rFonts w:ascii="Times New Roman" w:hAnsi="Times New Roman" w:cs="Times New Roman"/>
        </w:rPr>
        <w:t xml:space="preserve">This section provides that the Certificate is made under paragraph 51(1)(c) of the </w:t>
      </w:r>
      <w:r w:rsidRPr="007B5248">
        <w:rPr>
          <w:rFonts w:ascii="Times New Roman" w:hAnsi="Times New Roman" w:cs="Times New Roman"/>
          <w:i/>
        </w:rPr>
        <w:t>Legislation Act 2003</w:t>
      </w:r>
      <w:r w:rsidRPr="007B5248">
        <w:rPr>
          <w:rFonts w:ascii="Times New Roman" w:hAnsi="Times New Roman" w:cs="Times New Roman"/>
        </w:rPr>
        <w:t>.</w:t>
      </w:r>
    </w:p>
    <w:p w14:paraId="2964D4CC" w14:textId="77777777" w:rsidR="00787B24" w:rsidRPr="007B5248" w:rsidRDefault="00787B24" w:rsidP="00BE6856">
      <w:pPr>
        <w:spacing w:line="360" w:lineRule="auto"/>
        <w:contextualSpacing/>
        <w:rPr>
          <w:rFonts w:ascii="Times New Roman" w:hAnsi="Times New Roman" w:cs="Times New Roman"/>
        </w:rPr>
      </w:pPr>
    </w:p>
    <w:p w14:paraId="1C446B61" w14:textId="77777777" w:rsidR="00787B24" w:rsidRPr="007B5248" w:rsidRDefault="00787B24" w:rsidP="00BE6856">
      <w:pPr>
        <w:spacing w:line="360" w:lineRule="auto"/>
        <w:contextualSpacing/>
        <w:rPr>
          <w:rFonts w:ascii="Times New Roman" w:hAnsi="Times New Roman" w:cs="Times New Roman"/>
          <w:b/>
        </w:rPr>
      </w:pPr>
      <w:r w:rsidRPr="007B5248">
        <w:rPr>
          <w:rFonts w:ascii="Times New Roman" w:hAnsi="Times New Roman" w:cs="Times New Roman"/>
          <w:b/>
        </w:rPr>
        <w:t xml:space="preserve">Section 4 </w:t>
      </w:r>
      <w:r w:rsidRPr="007B5248">
        <w:rPr>
          <w:rFonts w:ascii="Times New Roman" w:hAnsi="Times New Roman" w:cs="Times New Roman"/>
          <w:b/>
        </w:rPr>
        <w:tab/>
        <w:t>Deferral of sunsetting</w:t>
      </w:r>
    </w:p>
    <w:p w14:paraId="07D836D8" w14:textId="675D72C9" w:rsidR="00787B24" w:rsidRPr="007B5248" w:rsidRDefault="00787B24" w:rsidP="00BE6856">
      <w:pPr>
        <w:spacing w:line="360" w:lineRule="auto"/>
        <w:contextualSpacing/>
        <w:rPr>
          <w:rFonts w:ascii="Times New Roman" w:hAnsi="Times New Roman" w:cs="Times New Roman"/>
        </w:rPr>
      </w:pPr>
      <w:r w:rsidRPr="007B5248">
        <w:rPr>
          <w:rFonts w:ascii="Times New Roman" w:hAnsi="Times New Roman" w:cs="Times New Roman"/>
        </w:rPr>
        <w:t>This section provides that the following instruments, for which the sunsetting day is 1 </w:t>
      </w:r>
      <w:r w:rsidR="00B678FA" w:rsidRPr="007B5248">
        <w:rPr>
          <w:rFonts w:ascii="Times New Roman" w:hAnsi="Times New Roman" w:cs="Times New Roman"/>
        </w:rPr>
        <w:t>October</w:t>
      </w:r>
      <w:r w:rsidRPr="007B5248">
        <w:rPr>
          <w:rFonts w:ascii="Times New Roman" w:hAnsi="Times New Roman" w:cs="Times New Roman"/>
        </w:rPr>
        <w:t xml:space="preserve"> </w:t>
      </w:r>
      <w:r w:rsidR="00B678FA" w:rsidRPr="007B5248">
        <w:rPr>
          <w:rFonts w:ascii="Times New Roman" w:hAnsi="Times New Roman" w:cs="Times New Roman"/>
        </w:rPr>
        <w:t>2023</w:t>
      </w:r>
      <w:r w:rsidRPr="007B5248">
        <w:rPr>
          <w:rFonts w:ascii="Times New Roman" w:hAnsi="Times New Roman" w:cs="Times New Roman"/>
        </w:rPr>
        <w:t xml:space="preserve">, are repealed by section 51 of the </w:t>
      </w:r>
      <w:r w:rsidRPr="007B5248">
        <w:rPr>
          <w:rFonts w:ascii="Times New Roman" w:hAnsi="Times New Roman" w:cs="Times New Roman"/>
          <w:i/>
        </w:rPr>
        <w:t>Legislation Act 2003</w:t>
      </w:r>
      <w:r w:rsidRPr="007B5248">
        <w:rPr>
          <w:rFonts w:ascii="Times New Roman" w:hAnsi="Times New Roman" w:cs="Times New Roman"/>
        </w:rPr>
        <w:t xml:space="preserve"> on 1 </w:t>
      </w:r>
      <w:r w:rsidR="00B678FA" w:rsidRPr="007B5248">
        <w:rPr>
          <w:rFonts w:ascii="Times New Roman" w:hAnsi="Times New Roman" w:cs="Times New Roman"/>
        </w:rPr>
        <w:t>October</w:t>
      </w:r>
      <w:r w:rsidRPr="007B5248">
        <w:rPr>
          <w:rFonts w:ascii="Times New Roman" w:hAnsi="Times New Roman" w:cs="Times New Roman"/>
        </w:rPr>
        <w:t xml:space="preserve"> </w:t>
      </w:r>
      <w:r w:rsidR="00B678FA" w:rsidRPr="007B5248">
        <w:rPr>
          <w:rFonts w:ascii="Times New Roman" w:hAnsi="Times New Roman" w:cs="Times New Roman"/>
        </w:rPr>
        <w:t>2024</w:t>
      </w:r>
      <w:r w:rsidRPr="007B5248">
        <w:rPr>
          <w:rFonts w:ascii="Times New Roman" w:hAnsi="Times New Roman" w:cs="Times New Roman"/>
          <w:lang w:eastAsia="en-AU"/>
        </w:rPr>
        <w:t>:</w:t>
      </w:r>
    </w:p>
    <w:p w14:paraId="0CBC9E57" w14:textId="101B84C7" w:rsidR="00983405" w:rsidRPr="007B5248" w:rsidRDefault="00787B24" w:rsidP="00BE6856">
      <w:pPr>
        <w:pStyle w:val="Default"/>
        <w:numPr>
          <w:ilvl w:val="0"/>
          <w:numId w:val="3"/>
        </w:numPr>
        <w:spacing w:after="160" w:line="360" w:lineRule="auto"/>
        <w:ind w:left="714" w:hanging="357"/>
        <w:contextualSpacing/>
        <w:rPr>
          <w:color w:val="auto"/>
          <w:sz w:val="22"/>
          <w:szCs w:val="22"/>
        </w:rPr>
      </w:pPr>
      <w:r w:rsidRPr="007B5248">
        <w:rPr>
          <w:color w:val="auto"/>
          <w:sz w:val="22"/>
          <w:szCs w:val="22"/>
        </w:rPr>
        <w:t>the</w:t>
      </w:r>
      <w:r w:rsidRPr="007B5248">
        <w:rPr>
          <w:i/>
          <w:color w:val="auto"/>
          <w:sz w:val="22"/>
          <w:szCs w:val="22"/>
        </w:rPr>
        <w:t xml:space="preserve"> </w:t>
      </w:r>
      <w:r w:rsidR="00983405" w:rsidRPr="007B5248">
        <w:rPr>
          <w:i/>
          <w:sz w:val="22"/>
          <w:szCs w:val="22"/>
        </w:rPr>
        <w:t>Insurance Acquisitions and Takeovers Act 199</w:t>
      </w:r>
      <w:r w:rsidR="00037EFF" w:rsidRPr="007B5248">
        <w:rPr>
          <w:i/>
          <w:sz w:val="22"/>
          <w:szCs w:val="22"/>
        </w:rPr>
        <w:t>2</w:t>
      </w:r>
      <w:r w:rsidR="00983405" w:rsidRPr="007B5248">
        <w:rPr>
          <w:i/>
          <w:sz w:val="22"/>
          <w:szCs w:val="22"/>
        </w:rPr>
        <w:t>—Decision-Making Principles IDM 1/199</w:t>
      </w:r>
      <w:r w:rsidR="00037EFF" w:rsidRPr="007B5248">
        <w:rPr>
          <w:i/>
          <w:sz w:val="22"/>
          <w:szCs w:val="22"/>
        </w:rPr>
        <w:t>2</w:t>
      </w:r>
      <w:r w:rsidR="00983405" w:rsidRPr="007B5248">
        <w:rPr>
          <w:sz w:val="22"/>
          <w:szCs w:val="22"/>
        </w:rPr>
        <w:t>;</w:t>
      </w:r>
    </w:p>
    <w:p w14:paraId="3B1326FA" w14:textId="77777777" w:rsidR="00983405" w:rsidRPr="007B5248" w:rsidRDefault="00983405" w:rsidP="00BE6856">
      <w:pPr>
        <w:pStyle w:val="Default"/>
        <w:numPr>
          <w:ilvl w:val="0"/>
          <w:numId w:val="3"/>
        </w:numPr>
        <w:spacing w:after="160" w:line="360" w:lineRule="auto"/>
        <w:ind w:left="714" w:hanging="357"/>
        <w:contextualSpacing/>
        <w:rPr>
          <w:color w:val="auto"/>
          <w:sz w:val="22"/>
          <w:szCs w:val="22"/>
        </w:rPr>
      </w:pPr>
      <w:r w:rsidRPr="007B5248">
        <w:rPr>
          <w:color w:val="auto"/>
          <w:sz w:val="22"/>
          <w:szCs w:val="22"/>
        </w:rPr>
        <w:t>the</w:t>
      </w:r>
      <w:r w:rsidRPr="007B5248">
        <w:rPr>
          <w:i/>
          <w:color w:val="auto"/>
          <w:sz w:val="22"/>
          <w:szCs w:val="22"/>
        </w:rPr>
        <w:t xml:space="preserve"> </w:t>
      </w:r>
      <w:r w:rsidRPr="007B5248">
        <w:rPr>
          <w:i/>
          <w:sz w:val="22"/>
          <w:szCs w:val="22"/>
        </w:rPr>
        <w:t>Insurance Acquisitions and Takeovers (Notices) Regulations;</w:t>
      </w:r>
    </w:p>
    <w:p w14:paraId="68CB2793" w14:textId="77777777" w:rsidR="00983405" w:rsidRPr="007B5248" w:rsidRDefault="00983405" w:rsidP="00BE6856">
      <w:pPr>
        <w:pStyle w:val="Default"/>
        <w:numPr>
          <w:ilvl w:val="0"/>
          <w:numId w:val="3"/>
        </w:numPr>
        <w:spacing w:after="160" w:line="360" w:lineRule="auto"/>
        <w:ind w:left="714" w:hanging="357"/>
        <w:contextualSpacing/>
        <w:rPr>
          <w:color w:val="auto"/>
          <w:sz w:val="22"/>
          <w:szCs w:val="22"/>
        </w:rPr>
      </w:pPr>
      <w:r w:rsidRPr="007B5248">
        <w:rPr>
          <w:sz w:val="22"/>
          <w:szCs w:val="22"/>
        </w:rPr>
        <w:t>the</w:t>
      </w:r>
      <w:r w:rsidRPr="007B5248">
        <w:rPr>
          <w:i/>
          <w:sz w:val="22"/>
          <w:szCs w:val="22"/>
        </w:rPr>
        <w:t xml:space="preserve"> Insurance Regulations 2002; </w:t>
      </w:r>
      <w:r w:rsidRPr="007B5248">
        <w:rPr>
          <w:sz w:val="22"/>
          <w:szCs w:val="22"/>
        </w:rPr>
        <w:t>and</w:t>
      </w:r>
    </w:p>
    <w:p w14:paraId="54BA1BAD" w14:textId="77777777" w:rsidR="00983405" w:rsidRPr="007B5248" w:rsidRDefault="00983405" w:rsidP="00BE6856">
      <w:pPr>
        <w:pStyle w:val="Default"/>
        <w:numPr>
          <w:ilvl w:val="0"/>
          <w:numId w:val="3"/>
        </w:numPr>
        <w:spacing w:after="160" w:line="360" w:lineRule="auto"/>
        <w:ind w:left="714" w:hanging="357"/>
        <w:contextualSpacing/>
        <w:rPr>
          <w:color w:val="auto"/>
          <w:sz w:val="22"/>
          <w:szCs w:val="22"/>
        </w:rPr>
      </w:pPr>
      <w:r w:rsidRPr="007B5248">
        <w:rPr>
          <w:sz w:val="22"/>
          <w:szCs w:val="22"/>
        </w:rPr>
        <w:t>the</w:t>
      </w:r>
      <w:r w:rsidRPr="007B5248">
        <w:rPr>
          <w:i/>
          <w:sz w:val="22"/>
          <w:szCs w:val="22"/>
        </w:rPr>
        <w:t xml:space="preserve"> Life Insurance Regulations 1995</w:t>
      </w:r>
      <w:r w:rsidRPr="007B5248">
        <w:rPr>
          <w:sz w:val="22"/>
          <w:szCs w:val="22"/>
        </w:rPr>
        <w:t>.</w:t>
      </w:r>
    </w:p>
    <w:p w14:paraId="02C49D8F" w14:textId="77777777" w:rsidR="00787B24" w:rsidRPr="007B5248" w:rsidRDefault="00787B24" w:rsidP="00BE6856">
      <w:pPr>
        <w:pStyle w:val="Default"/>
        <w:spacing w:after="160" w:line="360" w:lineRule="auto"/>
        <w:contextualSpacing/>
        <w:rPr>
          <w:color w:val="auto"/>
          <w:sz w:val="22"/>
          <w:szCs w:val="22"/>
        </w:rPr>
      </w:pPr>
    </w:p>
    <w:p w14:paraId="4BDD2508" w14:textId="77777777" w:rsidR="00787B24" w:rsidRPr="007B5248" w:rsidRDefault="00787B24" w:rsidP="00BE6856">
      <w:pPr>
        <w:spacing w:line="360" w:lineRule="auto"/>
        <w:contextualSpacing/>
        <w:rPr>
          <w:rFonts w:ascii="Times New Roman" w:hAnsi="Times New Roman" w:cs="Times New Roman"/>
          <w:b/>
        </w:rPr>
      </w:pPr>
      <w:r w:rsidRPr="007B5248">
        <w:rPr>
          <w:rFonts w:ascii="Times New Roman" w:hAnsi="Times New Roman" w:cs="Times New Roman"/>
          <w:b/>
        </w:rPr>
        <w:t xml:space="preserve">Section 5 </w:t>
      </w:r>
      <w:r w:rsidRPr="007B5248">
        <w:rPr>
          <w:rFonts w:ascii="Times New Roman" w:hAnsi="Times New Roman" w:cs="Times New Roman"/>
          <w:b/>
        </w:rPr>
        <w:tab/>
        <w:t>Repeal of the instrument</w:t>
      </w:r>
    </w:p>
    <w:p w14:paraId="7DE27294" w14:textId="6772093A" w:rsidR="00787B24" w:rsidRPr="006F0903" w:rsidRDefault="00787B24" w:rsidP="00BE6856">
      <w:pPr>
        <w:spacing w:line="360" w:lineRule="auto"/>
        <w:contextualSpacing/>
        <w:rPr>
          <w:rFonts w:ascii="Times New Roman" w:hAnsi="Times New Roman" w:cs="Times New Roman"/>
        </w:rPr>
      </w:pPr>
      <w:r w:rsidRPr="007B5248">
        <w:rPr>
          <w:rFonts w:ascii="Times New Roman" w:hAnsi="Times New Roman" w:cs="Times New Roman"/>
        </w:rPr>
        <w:t xml:space="preserve">This section provides that the Certificate is repealed at the start of 2 </w:t>
      </w:r>
      <w:bookmarkStart w:id="1" w:name="_Hlk142313018"/>
      <w:r w:rsidR="00B678FA" w:rsidRPr="007B5248">
        <w:rPr>
          <w:rFonts w:ascii="Times New Roman" w:hAnsi="Times New Roman" w:cs="Times New Roman"/>
        </w:rPr>
        <w:t>October</w:t>
      </w:r>
      <w:r w:rsidRPr="007B5248">
        <w:rPr>
          <w:rFonts w:ascii="Times New Roman" w:hAnsi="Times New Roman" w:cs="Times New Roman"/>
        </w:rPr>
        <w:t xml:space="preserve"> </w:t>
      </w:r>
      <w:r w:rsidR="00B678FA" w:rsidRPr="007B5248">
        <w:rPr>
          <w:rFonts w:ascii="Times New Roman" w:hAnsi="Times New Roman" w:cs="Times New Roman"/>
        </w:rPr>
        <w:t>2024</w:t>
      </w:r>
      <w:r w:rsidRPr="007B5248">
        <w:rPr>
          <w:rFonts w:ascii="Times New Roman" w:hAnsi="Times New Roman" w:cs="Times New Roman"/>
          <w:lang w:eastAsia="en-AU"/>
        </w:rPr>
        <w:t>.</w:t>
      </w:r>
      <w:bookmarkEnd w:id="1"/>
    </w:p>
    <w:p w14:paraId="7352A454" w14:textId="77777777" w:rsidR="00787B24" w:rsidRPr="006F0903" w:rsidRDefault="00787B24" w:rsidP="00BE6856">
      <w:pPr>
        <w:spacing w:line="360" w:lineRule="auto"/>
        <w:contextualSpacing/>
        <w:rPr>
          <w:rFonts w:ascii="Times New Roman" w:hAnsi="Times New Roman" w:cs="Times New Roman"/>
        </w:rPr>
      </w:pPr>
    </w:p>
    <w:p w14:paraId="4477216D" w14:textId="77777777" w:rsidR="00787B24" w:rsidRPr="006F0903" w:rsidRDefault="00787B24" w:rsidP="00BE6856">
      <w:pPr>
        <w:contextualSpacing/>
        <w:rPr>
          <w:rFonts w:ascii="Times New Roman" w:hAnsi="Times New Roman" w:cs="Times New Roman"/>
        </w:rPr>
      </w:pPr>
    </w:p>
    <w:sectPr w:rsidR="00787B24" w:rsidRPr="006F090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D44FB" w14:textId="77777777" w:rsidR="00FA5283" w:rsidRDefault="00FA5283">
      <w:pPr>
        <w:spacing w:after="0" w:line="240" w:lineRule="auto"/>
      </w:pPr>
      <w:r>
        <w:separator/>
      </w:r>
    </w:p>
  </w:endnote>
  <w:endnote w:type="continuationSeparator" w:id="0">
    <w:p w14:paraId="0F732A2B" w14:textId="77777777" w:rsidR="00FA5283" w:rsidRDefault="00FA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904621"/>
      <w:docPartObj>
        <w:docPartGallery w:val="Page Numbers (Bottom of Page)"/>
        <w:docPartUnique/>
      </w:docPartObj>
    </w:sdtPr>
    <w:sdtEndPr>
      <w:rPr>
        <w:noProof/>
      </w:rPr>
    </w:sdtEndPr>
    <w:sdtContent>
      <w:p w14:paraId="267C841E" w14:textId="77777777" w:rsidR="00AE75BF" w:rsidRDefault="00944A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E54878" w14:textId="77777777" w:rsidR="00AE75BF" w:rsidRDefault="00FA5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8D52" w14:textId="77777777" w:rsidR="00FA5283" w:rsidRDefault="00FA5283">
      <w:pPr>
        <w:spacing w:after="0" w:line="240" w:lineRule="auto"/>
      </w:pPr>
      <w:r>
        <w:separator/>
      </w:r>
    </w:p>
  </w:footnote>
  <w:footnote w:type="continuationSeparator" w:id="0">
    <w:p w14:paraId="0003FCBE" w14:textId="77777777" w:rsidR="00FA5283" w:rsidRDefault="00FA5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6591"/>
    <w:multiLevelType w:val="hybridMultilevel"/>
    <w:tmpl w:val="8CA898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0E5ABA"/>
    <w:multiLevelType w:val="hybridMultilevel"/>
    <w:tmpl w:val="500E9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C4A7150"/>
    <w:multiLevelType w:val="hybridMultilevel"/>
    <w:tmpl w:val="EA76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24"/>
    <w:rsid w:val="000140DF"/>
    <w:rsid w:val="00024FFE"/>
    <w:rsid w:val="00037EFF"/>
    <w:rsid w:val="000451BB"/>
    <w:rsid w:val="000C2996"/>
    <w:rsid w:val="000E4ACE"/>
    <w:rsid w:val="001431B5"/>
    <w:rsid w:val="001A2268"/>
    <w:rsid w:val="001A238F"/>
    <w:rsid w:val="0021353A"/>
    <w:rsid w:val="002D2DD8"/>
    <w:rsid w:val="002E6C29"/>
    <w:rsid w:val="002F6870"/>
    <w:rsid w:val="00325A71"/>
    <w:rsid w:val="00335F3C"/>
    <w:rsid w:val="00360757"/>
    <w:rsid w:val="003C048E"/>
    <w:rsid w:val="004074E5"/>
    <w:rsid w:val="004106A0"/>
    <w:rsid w:val="004475C7"/>
    <w:rsid w:val="004570D0"/>
    <w:rsid w:val="004F566E"/>
    <w:rsid w:val="0052540D"/>
    <w:rsid w:val="00544321"/>
    <w:rsid w:val="005527DA"/>
    <w:rsid w:val="00580DFE"/>
    <w:rsid w:val="005B27AF"/>
    <w:rsid w:val="005D7979"/>
    <w:rsid w:val="0069529E"/>
    <w:rsid w:val="006F0903"/>
    <w:rsid w:val="0074239A"/>
    <w:rsid w:val="00771604"/>
    <w:rsid w:val="00787B24"/>
    <w:rsid w:val="007A6269"/>
    <w:rsid w:val="007B5248"/>
    <w:rsid w:val="007C0FE8"/>
    <w:rsid w:val="008063D3"/>
    <w:rsid w:val="00821017"/>
    <w:rsid w:val="00866A7A"/>
    <w:rsid w:val="00886A1B"/>
    <w:rsid w:val="00886F95"/>
    <w:rsid w:val="00911538"/>
    <w:rsid w:val="00913A3B"/>
    <w:rsid w:val="00944A32"/>
    <w:rsid w:val="00981FFC"/>
    <w:rsid w:val="00983405"/>
    <w:rsid w:val="009852CF"/>
    <w:rsid w:val="009A016C"/>
    <w:rsid w:val="009B350C"/>
    <w:rsid w:val="009B7248"/>
    <w:rsid w:val="009D54AC"/>
    <w:rsid w:val="009F606F"/>
    <w:rsid w:val="00A01834"/>
    <w:rsid w:val="00A91629"/>
    <w:rsid w:val="00AB3C50"/>
    <w:rsid w:val="00AC10A2"/>
    <w:rsid w:val="00AC6539"/>
    <w:rsid w:val="00B14349"/>
    <w:rsid w:val="00B678FA"/>
    <w:rsid w:val="00B71975"/>
    <w:rsid w:val="00B95A5F"/>
    <w:rsid w:val="00BB6E84"/>
    <w:rsid w:val="00BC4C5E"/>
    <w:rsid w:val="00BD2200"/>
    <w:rsid w:val="00BE6856"/>
    <w:rsid w:val="00C14459"/>
    <w:rsid w:val="00C2453D"/>
    <w:rsid w:val="00C8035D"/>
    <w:rsid w:val="00CC4CE2"/>
    <w:rsid w:val="00D631CB"/>
    <w:rsid w:val="00D864CE"/>
    <w:rsid w:val="00DC7383"/>
    <w:rsid w:val="00DD1E9A"/>
    <w:rsid w:val="00DE69FE"/>
    <w:rsid w:val="00E27153"/>
    <w:rsid w:val="00E60B4A"/>
    <w:rsid w:val="00F620AE"/>
    <w:rsid w:val="00F629CB"/>
    <w:rsid w:val="00FA5283"/>
    <w:rsid w:val="00FB0642"/>
    <w:rsid w:val="00FC5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4B4C"/>
  <w15:chartTrackingRefBased/>
  <w15:docId w15:val="{3088AC9D-A8EC-49ED-BBAF-35B5B63E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787B24"/>
    <w:pPr>
      <w:widowControl w:val="0"/>
      <w:spacing w:before="180" w:after="0" w:line="276" w:lineRule="auto"/>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787B24"/>
    <w:rPr>
      <w:rFonts w:ascii="Times New Roman" w:eastAsia="Times New Roman" w:hAnsi="Times New Roman" w:cs="Times New Roman"/>
      <w:snapToGrid w:val="0"/>
    </w:rPr>
  </w:style>
  <w:style w:type="paragraph" w:styleId="Footer">
    <w:name w:val="footer"/>
    <w:basedOn w:val="Normal"/>
    <w:link w:val="FooterChar"/>
    <w:uiPriority w:val="99"/>
    <w:unhideWhenUsed/>
    <w:rsid w:val="00787B24"/>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87B24"/>
    <w:rPr>
      <w:lang w:val="en-GB"/>
    </w:rPr>
  </w:style>
  <w:style w:type="character" w:styleId="PlaceholderText">
    <w:name w:val="Placeholder Text"/>
    <w:basedOn w:val="DefaultParagraphFont"/>
    <w:uiPriority w:val="99"/>
    <w:semiHidden/>
    <w:rsid w:val="00787B24"/>
    <w:rPr>
      <w:color w:val="808080"/>
    </w:rPr>
  </w:style>
  <w:style w:type="paragraph" w:customStyle="1" w:styleId="paragraph">
    <w:name w:val="paragraph"/>
    <w:aliases w:val="a"/>
    <w:basedOn w:val="Normal"/>
    <w:rsid w:val="00787B2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Default">
    <w:name w:val="Default"/>
    <w:rsid w:val="00787B24"/>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DC7383"/>
    <w:pPr>
      <w:ind w:left="720"/>
      <w:contextualSpacing/>
    </w:pPr>
  </w:style>
  <w:style w:type="paragraph" w:styleId="BalloonText">
    <w:name w:val="Balloon Text"/>
    <w:basedOn w:val="Normal"/>
    <w:link w:val="BalloonTextChar"/>
    <w:uiPriority w:val="99"/>
    <w:semiHidden/>
    <w:unhideWhenUsed/>
    <w:rsid w:val="00AB3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C50"/>
    <w:rPr>
      <w:rFonts w:ascii="Segoe UI" w:hAnsi="Segoe UI" w:cs="Segoe UI"/>
      <w:sz w:val="18"/>
      <w:szCs w:val="18"/>
    </w:rPr>
  </w:style>
  <w:style w:type="character" w:styleId="CommentReference">
    <w:name w:val="annotation reference"/>
    <w:basedOn w:val="DefaultParagraphFont"/>
    <w:uiPriority w:val="99"/>
    <w:semiHidden/>
    <w:unhideWhenUsed/>
    <w:rsid w:val="00983405"/>
    <w:rPr>
      <w:sz w:val="16"/>
      <w:szCs w:val="16"/>
    </w:rPr>
  </w:style>
  <w:style w:type="paragraph" w:styleId="CommentText">
    <w:name w:val="annotation text"/>
    <w:basedOn w:val="Normal"/>
    <w:link w:val="CommentTextChar"/>
    <w:uiPriority w:val="99"/>
    <w:semiHidden/>
    <w:unhideWhenUsed/>
    <w:rsid w:val="00983405"/>
    <w:pPr>
      <w:spacing w:line="240" w:lineRule="auto"/>
    </w:pPr>
    <w:rPr>
      <w:sz w:val="20"/>
      <w:szCs w:val="20"/>
    </w:rPr>
  </w:style>
  <w:style w:type="character" w:customStyle="1" w:styleId="CommentTextChar">
    <w:name w:val="Comment Text Char"/>
    <w:basedOn w:val="DefaultParagraphFont"/>
    <w:link w:val="CommentText"/>
    <w:uiPriority w:val="99"/>
    <w:semiHidden/>
    <w:rsid w:val="00983405"/>
    <w:rPr>
      <w:sz w:val="20"/>
      <w:szCs w:val="20"/>
    </w:rPr>
  </w:style>
  <w:style w:type="paragraph" w:styleId="CommentSubject">
    <w:name w:val="annotation subject"/>
    <w:basedOn w:val="CommentText"/>
    <w:next w:val="CommentText"/>
    <w:link w:val="CommentSubjectChar"/>
    <w:uiPriority w:val="99"/>
    <w:semiHidden/>
    <w:unhideWhenUsed/>
    <w:rsid w:val="00983405"/>
    <w:rPr>
      <w:b/>
      <w:bCs/>
    </w:rPr>
  </w:style>
  <w:style w:type="character" w:customStyle="1" w:styleId="CommentSubjectChar">
    <w:name w:val="Comment Subject Char"/>
    <w:basedOn w:val="CommentTextChar"/>
    <w:link w:val="CommentSubject"/>
    <w:uiPriority w:val="99"/>
    <w:semiHidden/>
    <w:rsid w:val="009834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509">
      <w:bodyDiv w:val="1"/>
      <w:marLeft w:val="0"/>
      <w:marRight w:val="0"/>
      <w:marTop w:val="0"/>
      <w:marBottom w:val="0"/>
      <w:divBdr>
        <w:top w:val="none" w:sz="0" w:space="0" w:color="auto"/>
        <w:left w:val="none" w:sz="0" w:space="0" w:color="auto"/>
        <w:bottom w:val="none" w:sz="0" w:space="0" w:color="auto"/>
        <w:right w:val="none" w:sz="0" w:space="0" w:color="auto"/>
      </w:divBdr>
    </w:div>
    <w:div w:id="11088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77431D0-28FC-45CF-831C-517C1C067A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09DBB692C90B4CA3609FAB483FBE57" ma:contentTypeVersion="" ma:contentTypeDescription="PDMS Document Site Content Type" ma:contentTypeScope="" ma:versionID="a82942ba276afc8018cee5f149d28a17">
  <xsd:schema xmlns:xsd="http://www.w3.org/2001/XMLSchema" xmlns:xs="http://www.w3.org/2001/XMLSchema" xmlns:p="http://schemas.microsoft.com/office/2006/metadata/properties" xmlns:ns2="777431D0-28FC-45CF-831C-517C1C067AE9" targetNamespace="http://schemas.microsoft.com/office/2006/metadata/properties" ma:root="true" ma:fieldsID="e5e38f1768e7d0d244f0a25f2590928e" ns2:_="">
    <xsd:import namespace="777431D0-28FC-45CF-831C-517C1C067A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431D0-28FC-45CF-831C-517C1C067A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0A4D4-9C28-4722-A0F0-127A9E4B56E3}">
  <ds:schemaRefs>
    <ds:schemaRef ds:uri="http://schemas.microsoft.com/office/2006/metadata/properties"/>
    <ds:schemaRef ds:uri="http://schemas.microsoft.com/office/infopath/2007/PartnerControls"/>
    <ds:schemaRef ds:uri="777431D0-28FC-45CF-831C-517C1C067AE9"/>
  </ds:schemaRefs>
</ds:datastoreItem>
</file>

<file path=customXml/itemProps2.xml><?xml version="1.0" encoding="utf-8"?>
<ds:datastoreItem xmlns:ds="http://schemas.openxmlformats.org/officeDocument/2006/customXml" ds:itemID="{C252A385-8315-4D7A-B7BD-E1CA294C4767}">
  <ds:schemaRefs>
    <ds:schemaRef ds:uri="http://schemas.microsoft.com/sharepoint/v3/contenttype/forms"/>
  </ds:schemaRefs>
</ds:datastoreItem>
</file>

<file path=customXml/itemProps3.xml><?xml version="1.0" encoding="utf-8"?>
<ds:datastoreItem xmlns:ds="http://schemas.openxmlformats.org/officeDocument/2006/customXml" ds:itemID="{635A2D93-2990-494F-89A3-9223D6BF2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431D0-28FC-45CF-831C-517C1C06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Marinov, Kristina</cp:lastModifiedBy>
  <cp:revision>5</cp:revision>
  <dcterms:created xsi:type="dcterms:W3CDTF">2023-09-26T00:28:00Z</dcterms:created>
  <dcterms:modified xsi:type="dcterms:W3CDTF">2023-09-26T00:31:00Z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0x010100266966F133664895A6EE3632470D45F500B209DBB692C90B4CA3609FAB483FBE57</vt:lpwstr>
  </property>
</Properties>
</file>