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976965" w14:textId="77777777" w:rsidR="00414BC3" w:rsidRDefault="00414BC3" w:rsidP="00A94F2A">
      <w:pPr>
        <w:pStyle w:val="CoverTitle"/>
        <w:spacing w:after="600"/>
        <w:jc w:val="center"/>
      </w:pPr>
      <w:r>
        <w:t>Explanatory Statement</w:t>
      </w:r>
    </w:p>
    <w:p w14:paraId="03D5BF94" w14:textId="3CF9AB6B" w:rsidR="00C92AB4" w:rsidRDefault="00396BCD" w:rsidP="006B1B4A">
      <w:pPr>
        <w:pStyle w:val="CoverTitle"/>
        <w:spacing w:after="120"/>
        <w:jc w:val="center"/>
        <w:rPr>
          <w:i/>
          <w:sz w:val="36"/>
          <w:szCs w:val="36"/>
        </w:rPr>
      </w:pPr>
      <w:r w:rsidRPr="00347521">
        <w:rPr>
          <w:sz w:val="36"/>
          <w:szCs w:val="36"/>
        </w:rPr>
        <w:t xml:space="preserve">Accounting Standard </w:t>
      </w:r>
      <w:r w:rsidR="005F4451" w:rsidRPr="00347521">
        <w:rPr>
          <w:sz w:val="36"/>
          <w:szCs w:val="36"/>
        </w:rPr>
        <w:t xml:space="preserve">AASB </w:t>
      </w:r>
      <w:r w:rsidR="00C61FC9">
        <w:rPr>
          <w:sz w:val="36"/>
          <w:szCs w:val="36"/>
        </w:rPr>
        <w:t>20</w:t>
      </w:r>
      <w:r w:rsidR="00D2416F">
        <w:rPr>
          <w:sz w:val="36"/>
          <w:szCs w:val="36"/>
        </w:rPr>
        <w:t>2</w:t>
      </w:r>
      <w:r w:rsidR="00F21B16">
        <w:rPr>
          <w:sz w:val="36"/>
          <w:szCs w:val="36"/>
        </w:rPr>
        <w:t>3</w:t>
      </w:r>
      <w:r w:rsidR="00C61FC9">
        <w:rPr>
          <w:sz w:val="36"/>
          <w:szCs w:val="36"/>
        </w:rPr>
        <w:t>-</w:t>
      </w:r>
      <w:r w:rsidR="00DB7140">
        <w:rPr>
          <w:sz w:val="36"/>
          <w:szCs w:val="36"/>
        </w:rPr>
        <w:t>4</w:t>
      </w:r>
      <w:r w:rsidR="00347521">
        <w:rPr>
          <w:sz w:val="36"/>
          <w:szCs w:val="36"/>
        </w:rPr>
        <w:br/>
      </w:r>
      <w:r w:rsidR="00C92AB4" w:rsidRPr="00C92AB4">
        <w:rPr>
          <w:i/>
          <w:sz w:val="36"/>
          <w:szCs w:val="36"/>
        </w:rPr>
        <w:t xml:space="preserve">Amendments to Australian Accounting Standards – International Tax Reform – Pillar Two Model Rules: </w:t>
      </w:r>
      <w:r w:rsidR="005F5F3C">
        <w:rPr>
          <w:i/>
          <w:sz w:val="36"/>
          <w:szCs w:val="36"/>
        </w:rPr>
        <w:br/>
      </w:r>
      <w:r w:rsidR="00C92AB4" w:rsidRPr="00C92AB4">
        <w:rPr>
          <w:i/>
          <w:sz w:val="36"/>
          <w:szCs w:val="36"/>
        </w:rPr>
        <w:t>Tier 2 Disclosures</w:t>
      </w:r>
    </w:p>
    <w:p w14:paraId="13976967" w14:textId="77777777" w:rsidR="006776BD" w:rsidRPr="006776BD" w:rsidRDefault="006776BD" w:rsidP="006776BD">
      <w:pPr>
        <w:pStyle w:val="CoverSubtitle"/>
        <w:spacing w:after="3120"/>
        <w:rPr>
          <w:sz w:val="32"/>
          <w:szCs w:val="32"/>
        </w:rPr>
      </w:pPr>
    </w:p>
    <w:p w14:paraId="13976968" w14:textId="43F9ACB6" w:rsidR="00414BC3" w:rsidRPr="00F62F5C" w:rsidRDefault="00725F07" w:rsidP="00D2416F">
      <w:pPr>
        <w:pStyle w:val="CoverDate"/>
        <w:tabs>
          <w:tab w:val="left" w:pos="3794"/>
          <w:tab w:val="left" w:pos="6232"/>
        </w:tabs>
        <w:spacing w:before="8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September </w:t>
      </w:r>
      <w:r w:rsidR="00225101">
        <w:rPr>
          <w:b/>
          <w:sz w:val="28"/>
          <w:szCs w:val="28"/>
        </w:rPr>
        <w:t>20</w:t>
      </w:r>
      <w:r w:rsidR="00D2416F">
        <w:rPr>
          <w:b/>
          <w:sz w:val="28"/>
          <w:szCs w:val="28"/>
        </w:rPr>
        <w:t>2</w:t>
      </w:r>
      <w:r w:rsidR="004D1170">
        <w:rPr>
          <w:b/>
          <w:sz w:val="28"/>
          <w:szCs w:val="28"/>
        </w:rPr>
        <w:t>3</w:t>
      </w:r>
    </w:p>
    <w:p w14:paraId="13976969" w14:textId="77777777" w:rsidR="00414BC3" w:rsidRDefault="00B8258E">
      <w:pPr>
        <w:sectPr w:rsidR="00414BC3" w:rsidSect="00B93CE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40"/>
          <w:pgMar w:top="1134" w:right="1134" w:bottom="1134" w:left="1134" w:header="720" w:footer="720" w:gutter="0"/>
          <w:cols w:space="720"/>
        </w:sectPr>
      </w:pPr>
      <w:r>
        <w:object w:dxaOrig="1440" w:dyaOrig="1440" w14:anchorId="1397698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alt="Logo of the Australian Accounting Standards Board&#10;&#10;Australian crest, with text naming the Australian Government and the Australian Accounting Standards Board" style="position:absolute;margin-left:0;margin-top:0;width:123.1pt;height:95.9pt;z-index:251658240;visibility:visible;mso-wrap-edited:f;mso-position-horizontal:left;mso-position-horizontal-relative:margin;mso-position-vertical:bottom;mso-position-vertical-relative:margin">
            <v:imagedata r:id="rId14" o:title=""/>
            <w10:wrap anchorx="margin" anchory="margin"/>
            <w10:anchorlock/>
          </v:shape>
          <o:OLEObject Type="Embed" ProgID="Word.Picture.8" ShapeID="_x0000_s2050" DrawAspect="Content" ObjectID="_1757151487" r:id="rId15"/>
        </w:object>
      </w:r>
    </w:p>
    <w:p w14:paraId="1397696A" w14:textId="77777777" w:rsidR="00414BC3" w:rsidRDefault="00414BC3">
      <w:pPr>
        <w:pStyle w:val="Heading1"/>
      </w:pPr>
      <w:r>
        <w:lastRenderedPageBreak/>
        <w:t>EXPLANATORY STATEMENT</w:t>
      </w:r>
    </w:p>
    <w:p w14:paraId="1397696B" w14:textId="24FAAE9B" w:rsidR="00FD4C0C" w:rsidRDefault="006B1B4A" w:rsidP="00FD4C0C">
      <w:pPr>
        <w:pStyle w:val="Heading2"/>
      </w:pPr>
      <w:r>
        <w:t>Standards Amended by</w:t>
      </w:r>
      <w:r w:rsidR="00FD4C0C">
        <w:t xml:space="preserve"> AASB </w:t>
      </w:r>
      <w:r w:rsidR="00C068D8">
        <w:t>20</w:t>
      </w:r>
      <w:r w:rsidR="00D2416F">
        <w:t>2</w:t>
      </w:r>
      <w:r w:rsidR="004D1170">
        <w:t>3</w:t>
      </w:r>
      <w:r w:rsidR="00C068D8">
        <w:t>-</w:t>
      </w:r>
      <w:r w:rsidR="0081090E">
        <w:t>4</w:t>
      </w:r>
    </w:p>
    <w:p w14:paraId="0EA1EFC0" w14:textId="77777777" w:rsidR="00A11C54" w:rsidRPr="004F7010" w:rsidRDefault="00A11C54" w:rsidP="004F7010">
      <w:pPr>
        <w:pStyle w:val="NoNumPlain1"/>
      </w:pPr>
      <w:bookmarkStart w:id="0" w:name="_Hlk136870998"/>
      <w:r w:rsidRPr="004F7010">
        <w:t xml:space="preserve">This Standard makes amendments to AASB 1060 </w:t>
      </w:r>
      <w:r w:rsidRPr="00B8258E">
        <w:rPr>
          <w:i/>
          <w:iCs/>
        </w:rPr>
        <w:t>General Purpose Financial Statements – Simplified Disclosures for For-Profit and Not-for-Profit Tier 2 Entities</w:t>
      </w:r>
      <w:r w:rsidRPr="004F7010">
        <w:t xml:space="preserve"> (March 2020) and AASB 112 </w:t>
      </w:r>
      <w:r w:rsidRPr="00B8258E">
        <w:rPr>
          <w:i/>
          <w:iCs/>
        </w:rPr>
        <w:t>Income Taxes</w:t>
      </w:r>
      <w:r w:rsidRPr="004F7010">
        <w:t xml:space="preserve"> (August 2015).</w:t>
      </w:r>
    </w:p>
    <w:bookmarkEnd w:id="0"/>
    <w:p w14:paraId="13976970" w14:textId="7F7475BE" w:rsidR="00FD4C0C" w:rsidRDefault="00FD4C0C" w:rsidP="00FD4C0C">
      <w:pPr>
        <w:pStyle w:val="Heading2"/>
      </w:pPr>
      <w:r>
        <w:t xml:space="preserve">Main Features of </w:t>
      </w:r>
      <w:r w:rsidRPr="00F62F67">
        <w:t xml:space="preserve">AASB </w:t>
      </w:r>
      <w:r w:rsidR="00C068D8" w:rsidRPr="00F62F67">
        <w:t>20</w:t>
      </w:r>
      <w:r w:rsidR="00D2416F" w:rsidRPr="00F62F67">
        <w:t>2</w:t>
      </w:r>
      <w:r w:rsidR="008A6ADF" w:rsidRPr="00F62F67">
        <w:t>3</w:t>
      </w:r>
      <w:r w:rsidR="00C068D8" w:rsidRPr="00F62F67">
        <w:t>-</w:t>
      </w:r>
      <w:r w:rsidR="0025532B" w:rsidRPr="00F62F67">
        <w:t>4</w:t>
      </w:r>
    </w:p>
    <w:p w14:paraId="2233099A" w14:textId="77777777" w:rsidR="00E014B9" w:rsidRDefault="00E014B9" w:rsidP="004F7010">
      <w:pPr>
        <w:pStyle w:val="NoNumPlain1"/>
      </w:pPr>
      <w:r>
        <w:t xml:space="preserve">AASB 2023-2 </w:t>
      </w:r>
      <w:r w:rsidRPr="00B8258E">
        <w:rPr>
          <w:i/>
          <w:iCs/>
        </w:rPr>
        <w:t>Amendments to Australian Accounting Standards – International Tax Reform – Pillar Two Model Rules</w:t>
      </w:r>
      <w:r>
        <w:t xml:space="preserve"> (June 2023) amended AASB 112 to introduce:</w:t>
      </w:r>
    </w:p>
    <w:p w14:paraId="1B04121E" w14:textId="111CCA92" w:rsidR="00E014B9" w:rsidRDefault="00E014B9" w:rsidP="00B21A3B">
      <w:pPr>
        <w:pStyle w:val="NumPlainA"/>
        <w:numPr>
          <w:ilvl w:val="0"/>
          <w:numId w:val="27"/>
        </w:numPr>
        <w:outlineLvl w:val="9"/>
      </w:pPr>
      <w:r>
        <w:t>a mandatory temporary exception to accounting for deferred taxes arising from the implementation of the Pillar Two model rules published by the Organisation for Economic Co-operation and Development (OECD); and</w:t>
      </w:r>
    </w:p>
    <w:p w14:paraId="0637D315" w14:textId="77777777" w:rsidR="00E014B9" w:rsidRPr="0000292B" w:rsidRDefault="00E014B9" w:rsidP="00B21A3B">
      <w:pPr>
        <w:pStyle w:val="NumPlainA"/>
        <w:numPr>
          <w:ilvl w:val="0"/>
          <w:numId w:val="27"/>
        </w:numPr>
        <w:outlineLvl w:val="9"/>
      </w:pPr>
      <w:r>
        <w:t>targeted disclosure requirements to help financial statement users better understand an entity’s exposure to income taxes arising from the reform,</w:t>
      </w:r>
      <w:r w:rsidRPr="00CF5523">
        <w:t xml:space="preserve"> </w:t>
      </w:r>
      <w:r>
        <w:t>particularly in periods before legislation implementing the rules is in effect.</w:t>
      </w:r>
    </w:p>
    <w:p w14:paraId="26A9795D" w14:textId="4C942F2D" w:rsidR="00E014B9" w:rsidRDefault="00E014B9" w:rsidP="00355A45">
      <w:pPr>
        <w:pStyle w:val="NoNumPlain1"/>
      </w:pPr>
      <w:r>
        <w:t xml:space="preserve">This Standard </w:t>
      </w:r>
      <w:r w:rsidR="007C1A79">
        <w:t xml:space="preserve">(AASB 2023-4) </w:t>
      </w:r>
      <w:r>
        <w:t>amends AASB 1060 to</w:t>
      </w:r>
      <w:r w:rsidRPr="00963043">
        <w:t xml:space="preserve"> </w:t>
      </w:r>
      <w:r>
        <w:t>require a Tier 2 entity to</w:t>
      </w:r>
      <w:r w:rsidRPr="00963043">
        <w:t xml:space="preserve"> </w:t>
      </w:r>
      <w:r>
        <w:t xml:space="preserve">disclose: </w:t>
      </w:r>
    </w:p>
    <w:p w14:paraId="4EA1A91F" w14:textId="77777777" w:rsidR="00E014B9" w:rsidRDefault="00E014B9" w:rsidP="00B21A3B">
      <w:pPr>
        <w:pStyle w:val="NumPlainA"/>
        <w:numPr>
          <w:ilvl w:val="0"/>
          <w:numId w:val="26"/>
        </w:numPr>
        <w:outlineLvl w:val="9"/>
      </w:pPr>
      <w:r>
        <w:t>that it has applied the exception to recognising and disclosing information about deferred tax assets and liabilities related to Pillar Two income taxes (see AASB 112 paragraph 4A); and</w:t>
      </w:r>
    </w:p>
    <w:p w14:paraId="2AE1D6EA" w14:textId="77777777" w:rsidR="00E014B9" w:rsidRDefault="00E014B9" w:rsidP="00B21A3B">
      <w:pPr>
        <w:pStyle w:val="NumPlainA"/>
        <w:numPr>
          <w:ilvl w:val="0"/>
          <w:numId w:val="26"/>
        </w:numPr>
        <w:outlineLvl w:val="9"/>
      </w:pPr>
      <w:r>
        <w:t>its current tax expense (income) related to Pillar Two income taxes.</w:t>
      </w:r>
    </w:p>
    <w:p w14:paraId="34FEA1E1" w14:textId="77777777" w:rsidR="00E014B9" w:rsidRPr="0000292B" w:rsidRDefault="00E014B9" w:rsidP="009C3564">
      <w:pPr>
        <w:pStyle w:val="NoNumPlain1"/>
      </w:pPr>
      <w:r>
        <w:t>This Standard also amends AASB 112 to extend the exemption from complying with the disclosure requirements of AASB 112 for entities that apply AASB 1060 to ensure Tier 2 entities are not required to comply with the new disclosure requirements in AASB 112 when preparing their Tier 2 financial statements.</w:t>
      </w:r>
    </w:p>
    <w:p w14:paraId="13976972" w14:textId="77777777" w:rsidR="00FD4C0C" w:rsidRDefault="00FD4C0C" w:rsidP="006B1B4A">
      <w:pPr>
        <w:pStyle w:val="Heading3"/>
      </w:pPr>
      <w:r>
        <w:t>Application Date</w:t>
      </w:r>
    </w:p>
    <w:p w14:paraId="22A41BC0" w14:textId="70F2B775" w:rsidR="008C676C" w:rsidRDefault="008C676C" w:rsidP="009C3564">
      <w:pPr>
        <w:pStyle w:val="NoNumPlain1"/>
      </w:pPr>
      <w:r w:rsidRPr="008C676C">
        <w:t>This Standard applies to annual periods beginning on or after 1 January 2023 that end on or after 30 September 2023, with earlier application permitted for any period ending before 30 September 2023, including the 2022/23 financial year</w:t>
      </w:r>
      <w:r w:rsidR="00060911">
        <w:t>.</w:t>
      </w:r>
    </w:p>
    <w:p w14:paraId="6F59272D" w14:textId="0499FDA3" w:rsidR="00A37B3E" w:rsidRPr="00C549FE" w:rsidRDefault="00A37B3E" w:rsidP="00A37B3E">
      <w:pPr>
        <w:pStyle w:val="Heading3"/>
      </w:pPr>
      <w:r w:rsidRPr="00C549FE">
        <w:t xml:space="preserve">Marked-up </w:t>
      </w:r>
      <w:proofErr w:type="gramStart"/>
      <w:r w:rsidRPr="00C549FE">
        <w:t>Text</w:t>
      </w:r>
      <w:proofErr w:type="gramEnd"/>
    </w:p>
    <w:p w14:paraId="46E6EA7F" w14:textId="0B1EB224" w:rsidR="00A37B3E" w:rsidRPr="002A6880" w:rsidRDefault="00A37B3E" w:rsidP="002A6880">
      <w:pPr>
        <w:pStyle w:val="NoNumPlain1"/>
      </w:pPr>
      <w:r w:rsidRPr="00FC0FAA">
        <w:t>This Standard incorporates marked-up text to clearly identify</w:t>
      </w:r>
      <w:r>
        <w:t xml:space="preserve"> the amendments </w:t>
      </w:r>
      <w:r w:rsidRPr="00FC0FAA">
        <w:t>to</w:t>
      </w:r>
      <w:r>
        <w:t xml:space="preserve"> AASB 1</w:t>
      </w:r>
      <w:r w:rsidR="000C5889">
        <w:t>060</w:t>
      </w:r>
      <w:r w:rsidR="00A43A11">
        <w:t xml:space="preserve"> and AASB 112</w:t>
      </w:r>
      <w:r w:rsidRPr="00FC0FAA">
        <w:t>.</w:t>
      </w:r>
      <w:r>
        <w:t xml:space="preserve"> </w:t>
      </w:r>
      <w:r w:rsidRPr="00FC0FAA">
        <w:t xml:space="preserve"> All amendments are incorporated using clean text into the compilations of the </w:t>
      </w:r>
      <w:r>
        <w:t xml:space="preserve">pronouncements </w:t>
      </w:r>
      <w:r w:rsidRPr="00FC0FAA">
        <w:t>when they are prepared, based on the legal commencement date of the amendments.</w:t>
      </w:r>
    </w:p>
    <w:p w14:paraId="13976976" w14:textId="47CB03F5" w:rsidR="00EA0A87" w:rsidRPr="001D1FFA" w:rsidRDefault="00EA0A87" w:rsidP="00EA0A87">
      <w:pPr>
        <w:pStyle w:val="Heading2"/>
      </w:pPr>
      <w:r w:rsidRPr="001D1FFA">
        <w:t xml:space="preserve">Consultation Prior to Issuing this </w:t>
      </w:r>
      <w:proofErr w:type="gramStart"/>
      <w:r w:rsidRPr="001D1FFA">
        <w:t>Standard</w:t>
      </w:r>
      <w:proofErr w:type="gramEnd"/>
    </w:p>
    <w:p w14:paraId="13B835F0" w14:textId="5CDE8A0C" w:rsidR="005B0AB4" w:rsidRPr="00B03633" w:rsidRDefault="00D948E2" w:rsidP="00C621E9">
      <w:pPr>
        <w:pStyle w:val="NoNumPlain1"/>
      </w:pPr>
      <w:r>
        <w:t xml:space="preserve">The AASB issued </w:t>
      </w:r>
      <w:r w:rsidR="00393561">
        <w:t xml:space="preserve">Exposure Draft </w:t>
      </w:r>
      <w:r w:rsidR="00DE3A04" w:rsidRPr="00DE3A04">
        <w:t xml:space="preserve">ED 325 </w:t>
      </w:r>
      <w:r w:rsidR="00DE3A04" w:rsidRPr="00DE3A04">
        <w:rPr>
          <w:i/>
          <w:iCs/>
        </w:rPr>
        <w:t>International Tax Reform – Pillar Two Model Rules – Tier 2 Disclosures</w:t>
      </w:r>
      <w:r w:rsidR="00DE3A04">
        <w:rPr>
          <w:i/>
          <w:iCs/>
        </w:rPr>
        <w:t xml:space="preserve"> </w:t>
      </w:r>
      <w:r w:rsidR="00345A43" w:rsidRPr="00C06546">
        <w:t xml:space="preserve">in </w:t>
      </w:r>
      <w:r w:rsidR="001C0DE5">
        <w:t>July</w:t>
      </w:r>
      <w:r w:rsidR="00BB51DD">
        <w:t xml:space="preserve"> </w:t>
      </w:r>
      <w:r w:rsidR="00ED08B8">
        <w:t>2023</w:t>
      </w:r>
      <w:r w:rsidR="00985250">
        <w:t xml:space="preserve"> for public comment</w:t>
      </w:r>
      <w:r w:rsidR="00C04EB7" w:rsidRPr="00C06546">
        <w:t xml:space="preserve">, with comments due by </w:t>
      </w:r>
      <w:r w:rsidR="00ED08B8">
        <w:t>2</w:t>
      </w:r>
      <w:r w:rsidR="00BB51DD">
        <w:t>2</w:t>
      </w:r>
      <w:r w:rsidR="00A43A11">
        <w:t xml:space="preserve"> </w:t>
      </w:r>
      <w:r w:rsidR="001C0DE5">
        <w:t>August</w:t>
      </w:r>
      <w:r w:rsidR="00BB51DD">
        <w:t xml:space="preserve"> </w:t>
      </w:r>
      <w:r w:rsidR="008C1FEB" w:rsidRPr="00C06546">
        <w:t>202</w:t>
      </w:r>
      <w:r w:rsidR="00ED08B8">
        <w:t>3</w:t>
      </w:r>
      <w:r w:rsidR="00345A43" w:rsidRPr="00C06546">
        <w:t>.</w:t>
      </w:r>
      <w:r w:rsidR="000D35EF">
        <w:t xml:space="preserve"> </w:t>
      </w:r>
      <w:r w:rsidR="00CA39B3">
        <w:t xml:space="preserve"> </w:t>
      </w:r>
      <w:r w:rsidR="000D35EF">
        <w:t xml:space="preserve">The International Accounting Standards Board (IASB) proposed similar amendments in its Exposure Draft </w:t>
      </w:r>
      <w:r w:rsidR="00B03633">
        <w:t xml:space="preserve">ED/2023/3 </w:t>
      </w:r>
      <w:r w:rsidR="00B03633" w:rsidRPr="0038423A">
        <w:rPr>
          <w:i/>
          <w:iCs/>
        </w:rPr>
        <w:t xml:space="preserve">International Tax Reform – Pillar Two Model Rules </w:t>
      </w:r>
      <w:r w:rsidR="00B03633">
        <w:rPr>
          <w:i/>
          <w:iCs/>
        </w:rPr>
        <w:t xml:space="preserve">– </w:t>
      </w:r>
      <w:r w:rsidR="00B03633" w:rsidRPr="0038423A">
        <w:rPr>
          <w:i/>
          <w:iCs/>
        </w:rPr>
        <w:t xml:space="preserve">Proposed amendments to the </w:t>
      </w:r>
      <w:r w:rsidR="00B03633" w:rsidRPr="009923DB">
        <w:t>IFRS for SMEs</w:t>
      </w:r>
      <w:r w:rsidR="00B03633" w:rsidRPr="0038423A">
        <w:rPr>
          <w:i/>
          <w:iCs/>
        </w:rPr>
        <w:t xml:space="preserve"> Standard</w:t>
      </w:r>
      <w:r w:rsidR="00B03633">
        <w:t xml:space="preserve"> (June 2023).</w:t>
      </w:r>
    </w:p>
    <w:p w14:paraId="2E79B0DD" w14:textId="06CC65E1" w:rsidR="006C2FAB" w:rsidRPr="00E73DA9" w:rsidRDefault="00072CE9" w:rsidP="00C621E9">
      <w:pPr>
        <w:pStyle w:val="NoNumPlain1"/>
      </w:pPr>
      <w:r w:rsidRPr="00C06546">
        <w:t xml:space="preserve">The AASB </w:t>
      </w:r>
      <w:r w:rsidRPr="00E73DA9">
        <w:t>received two comment letters on ED 325</w:t>
      </w:r>
      <w:r w:rsidR="006842E7" w:rsidRPr="00E73DA9">
        <w:t xml:space="preserve">. </w:t>
      </w:r>
      <w:r w:rsidRPr="00E73DA9">
        <w:t xml:space="preserve">Both respondents agreed </w:t>
      </w:r>
      <w:r w:rsidR="000D35EF">
        <w:t xml:space="preserve">that </w:t>
      </w:r>
      <w:r w:rsidRPr="00E73DA9">
        <w:t xml:space="preserve">the proposed amendments would be useful for Tier 2 entities.  </w:t>
      </w:r>
      <w:r w:rsidR="003C6042" w:rsidRPr="00E73DA9">
        <w:t>One respondent</w:t>
      </w:r>
      <w:r w:rsidR="00620C24" w:rsidRPr="00E73DA9">
        <w:t xml:space="preserve"> also provided some additional</w:t>
      </w:r>
      <w:r w:rsidR="00470B89">
        <w:t xml:space="preserve"> comments</w:t>
      </w:r>
      <w:r w:rsidR="003C6042" w:rsidRPr="00E73DA9">
        <w:t>.</w:t>
      </w:r>
      <w:r w:rsidR="00F56ACA" w:rsidRPr="00E73DA9">
        <w:t xml:space="preserve"> </w:t>
      </w:r>
      <w:r w:rsidR="00CA39B3">
        <w:t xml:space="preserve"> </w:t>
      </w:r>
      <w:r w:rsidR="00A94D35" w:rsidRPr="00E73DA9">
        <w:t xml:space="preserve">The </w:t>
      </w:r>
      <w:r w:rsidR="00C204F9" w:rsidRPr="00E73DA9">
        <w:t>respondent</w:t>
      </w:r>
      <w:r w:rsidR="006C2FAB" w:rsidRPr="00E73DA9">
        <w:t xml:space="preserve"> suggest</w:t>
      </w:r>
      <w:r w:rsidR="007D4E29" w:rsidRPr="00E73DA9">
        <w:t>ed</w:t>
      </w:r>
      <w:r w:rsidR="006C2FAB" w:rsidRPr="00E73DA9">
        <w:t xml:space="preserve"> that </w:t>
      </w:r>
      <w:r w:rsidR="00470B89">
        <w:t>the proposed clarification that ‘other events’ in the disclosure objective for income tax included enacted or substantively enacted Pillar Two legislation</w:t>
      </w:r>
      <w:r w:rsidR="00470B89" w:rsidRPr="00E73DA9">
        <w:t xml:space="preserve"> </w:t>
      </w:r>
      <w:r w:rsidR="006C2FAB" w:rsidRPr="00E73DA9">
        <w:t xml:space="preserve">is unnecessary because it is already understood that the </w:t>
      </w:r>
      <w:r w:rsidR="00513491">
        <w:t>‘</w:t>
      </w:r>
      <w:r w:rsidR="006C2FAB" w:rsidRPr="00E73DA9">
        <w:t>other events</w:t>
      </w:r>
      <w:r w:rsidR="00513491">
        <w:t>’</w:t>
      </w:r>
      <w:r w:rsidR="006C2FAB" w:rsidRPr="00E73DA9">
        <w:t xml:space="preserve"> referred to include </w:t>
      </w:r>
      <w:r w:rsidR="00470B89">
        <w:t xml:space="preserve">the </w:t>
      </w:r>
      <w:r w:rsidR="006C2FAB" w:rsidRPr="00E73DA9">
        <w:t xml:space="preserve">enactment or substantive enactment of tax rates and laws.  </w:t>
      </w:r>
      <w:r w:rsidR="0001425A" w:rsidRPr="00E73DA9">
        <w:t xml:space="preserve">The respondent </w:t>
      </w:r>
      <w:r w:rsidR="006C2FAB" w:rsidRPr="00E73DA9">
        <w:t>further suggest</w:t>
      </w:r>
      <w:r w:rsidR="0001425A" w:rsidRPr="00E73DA9">
        <w:t>ed</w:t>
      </w:r>
      <w:r w:rsidR="006C2FAB" w:rsidRPr="00E73DA9">
        <w:t xml:space="preserve"> that the clarification </w:t>
      </w:r>
      <w:r w:rsidR="00470B89">
        <w:t xml:space="preserve">could </w:t>
      </w:r>
      <w:r w:rsidR="006C2FAB" w:rsidRPr="00E73DA9">
        <w:t xml:space="preserve">be worded more broadly than specifically referring to Pillar Two legislation or </w:t>
      </w:r>
      <w:r w:rsidR="00470B89">
        <w:t xml:space="preserve">else </w:t>
      </w:r>
      <w:r w:rsidR="006C2FAB" w:rsidRPr="00E73DA9">
        <w:t xml:space="preserve">the </w:t>
      </w:r>
      <w:r w:rsidR="0009268E" w:rsidRPr="00E73DA9">
        <w:t>AASB</w:t>
      </w:r>
      <w:r w:rsidR="006C2FAB" w:rsidRPr="00E73DA9">
        <w:t xml:space="preserve"> could consider clarifying this in the Basis for Conclusions.</w:t>
      </w:r>
      <w:r w:rsidR="00F56ACA" w:rsidRPr="00E73DA9">
        <w:t xml:space="preserve"> </w:t>
      </w:r>
      <w:r w:rsidR="00CA39B3">
        <w:t xml:space="preserve"> </w:t>
      </w:r>
      <w:r w:rsidR="00F56ACA" w:rsidRPr="00E73DA9">
        <w:t>The respondent’s</w:t>
      </w:r>
      <w:r w:rsidR="006C2FAB" w:rsidRPr="00E73DA9">
        <w:t xml:space="preserve"> feedback is consistent with some of the feedback received by the IASB on </w:t>
      </w:r>
      <w:r w:rsidR="00470B89">
        <w:t xml:space="preserve">its </w:t>
      </w:r>
      <w:r w:rsidR="006C2FAB" w:rsidRPr="00E73DA9">
        <w:t xml:space="preserve">proposed clarification of the </w:t>
      </w:r>
      <w:r w:rsidR="00470B89">
        <w:t xml:space="preserve">income tax </w:t>
      </w:r>
      <w:r w:rsidR="006C2FAB" w:rsidRPr="00E73DA9">
        <w:t xml:space="preserve">disclosure objective in the </w:t>
      </w:r>
      <w:r w:rsidR="006C2FAB" w:rsidRPr="00E73DA9">
        <w:rPr>
          <w:i/>
          <w:iCs/>
        </w:rPr>
        <w:t>IFRS for SMEs</w:t>
      </w:r>
      <w:r w:rsidR="006C2FAB" w:rsidRPr="00E73DA9">
        <w:t xml:space="preserve"> Standard.</w:t>
      </w:r>
      <w:r w:rsidR="00E73DA9" w:rsidRPr="00E73DA9">
        <w:t xml:space="preserve"> </w:t>
      </w:r>
      <w:r w:rsidR="00CA39B3">
        <w:t xml:space="preserve"> </w:t>
      </w:r>
      <w:r w:rsidR="006C2FAB" w:rsidRPr="00E73DA9">
        <w:t xml:space="preserve">However, overall, the feedback </w:t>
      </w:r>
      <w:r w:rsidR="00470B89">
        <w:t xml:space="preserve">to the IASB confirmed </w:t>
      </w:r>
      <w:r w:rsidR="006C2FAB" w:rsidRPr="00E73DA9">
        <w:t xml:space="preserve">that it would be helpful to clarify the meaning of </w:t>
      </w:r>
      <w:r w:rsidR="00470B89">
        <w:t>‘</w:t>
      </w:r>
      <w:r w:rsidR="006C2FAB" w:rsidRPr="00E73DA9">
        <w:t>other events</w:t>
      </w:r>
      <w:r w:rsidR="00470B89">
        <w:t>’</w:t>
      </w:r>
      <w:r w:rsidR="006C2FAB" w:rsidRPr="00E73DA9">
        <w:t xml:space="preserve"> in</w:t>
      </w:r>
      <w:r w:rsidR="00144661" w:rsidRPr="00144661">
        <w:t xml:space="preserve"> </w:t>
      </w:r>
      <w:r w:rsidR="00144661">
        <w:t>the disclosure objective</w:t>
      </w:r>
      <w:r w:rsidR="006C2FAB" w:rsidRPr="00E73DA9">
        <w:t xml:space="preserve">. </w:t>
      </w:r>
    </w:p>
    <w:p w14:paraId="4F4113A5" w14:textId="6FEC5373" w:rsidR="00F56ACA" w:rsidRPr="00E73DA9" w:rsidRDefault="002353CC" w:rsidP="00C621E9">
      <w:pPr>
        <w:pStyle w:val="NoNumPlain1"/>
      </w:pPr>
      <w:r w:rsidRPr="00E73DA9">
        <w:t xml:space="preserve">The AASB analysed the feedback it received on the proposed amendments and decided to </w:t>
      </w:r>
      <w:bookmarkStart w:id="1" w:name="_Ref143771420"/>
      <w:r w:rsidR="00F56ACA" w:rsidRPr="00E73DA9">
        <w:t xml:space="preserve">amend </w:t>
      </w:r>
      <w:r w:rsidR="00144661">
        <w:t xml:space="preserve">the disclosure objective in </w:t>
      </w:r>
      <w:r w:rsidR="00F56ACA" w:rsidRPr="00E73DA9">
        <w:t xml:space="preserve">paragraph 176 of AASB 1060 for consistency with the amendments </w:t>
      </w:r>
      <w:r w:rsidR="00CA39B3">
        <w:t xml:space="preserve">that </w:t>
      </w:r>
      <w:r w:rsidR="00470B89">
        <w:t xml:space="preserve">the IASB </w:t>
      </w:r>
      <w:r w:rsidR="00CA39B3">
        <w:t xml:space="preserve">has decided to make </w:t>
      </w:r>
      <w:r w:rsidR="00F56ACA" w:rsidRPr="00E73DA9">
        <w:t xml:space="preserve">to the </w:t>
      </w:r>
      <w:r w:rsidR="00F56ACA" w:rsidRPr="00E73DA9">
        <w:rPr>
          <w:i/>
          <w:iCs/>
        </w:rPr>
        <w:t>IFRS for SMEs</w:t>
      </w:r>
      <w:r w:rsidR="00F56ACA" w:rsidRPr="00E73DA9">
        <w:t xml:space="preserve"> Standard.</w:t>
      </w:r>
      <w:bookmarkEnd w:id="1"/>
    </w:p>
    <w:p w14:paraId="0FA84FE3" w14:textId="0FC36931" w:rsidR="00D6130C" w:rsidRPr="00C621E9" w:rsidRDefault="00F41F78" w:rsidP="009C3564">
      <w:pPr>
        <w:pStyle w:val="NoNumPlain1"/>
      </w:pPr>
      <w:r w:rsidRPr="00C621E9">
        <w:t xml:space="preserve">The AASB set an </w:t>
      </w:r>
      <w:r w:rsidR="004A1B65">
        <w:t xml:space="preserve">application </w:t>
      </w:r>
      <w:r w:rsidRPr="00C621E9">
        <w:t xml:space="preserve">date for the amendments of </w:t>
      </w:r>
      <w:r w:rsidR="00723036" w:rsidRPr="00C621E9">
        <w:t xml:space="preserve">annual periods beginning on or </w:t>
      </w:r>
      <w:r w:rsidR="006211F7" w:rsidRPr="00F453F6">
        <w:t xml:space="preserve">after </w:t>
      </w:r>
      <w:r w:rsidR="008F5FAD" w:rsidRPr="00C621E9">
        <w:t>1 January 2023 that end on or after 30 September 2023, with earlier application permitted for any period ending before 30 September 2023, including the 2022/23 financial year</w:t>
      </w:r>
      <w:r w:rsidR="00F0393A" w:rsidRPr="00C621E9">
        <w:t xml:space="preserve">. </w:t>
      </w:r>
      <w:r w:rsidR="00066036" w:rsidRPr="00C621E9">
        <w:t xml:space="preserve">The AASB noted </w:t>
      </w:r>
      <w:r w:rsidR="004A1B65">
        <w:t xml:space="preserve">the comment from one respondent to ED 325 </w:t>
      </w:r>
      <w:r w:rsidR="00066036" w:rsidRPr="00C621E9">
        <w:t>that the proposed effective date could make Tier 2 entities unsure about the application of the amendments to certain periods, such as the 2022/23 financial year.</w:t>
      </w:r>
      <w:r w:rsidR="00285A3A" w:rsidRPr="00C621E9">
        <w:t xml:space="preserve"> </w:t>
      </w:r>
      <w:r w:rsidR="00066036" w:rsidRPr="00C621E9">
        <w:t xml:space="preserve">The AASB confirmed the proposed two-pronged </w:t>
      </w:r>
      <w:r w:rsidR="004A1B65">
        <w:t xml:space="preserve">application </w:t>
      </w:r>
      <w:r w:rsidR="00066036" w:rsidRPr="00C621E9">
        <w:t xml:space="preserve">date, which is required in this case </w:t>
      </w:r>
      <w:r w:rsidR="00066036" w:rsidRPr="00C621E9">
        <w:lastRenderedPageBreak/>
        <w:t xml:space="preserve">to avoid any mandatory retrospective application to reporting periods that have ended prior to the </w:t>
      </w:r>
      <w:r w:rsidR="004C36DF" w:rsidRPr="00C621E9">
        <w:t>AASB</w:t>
      </w:r>
      <w:r w:rsidR="00066036" w:rsidRPr="00C621E9">
        <w:t xml:space="preserve"> making the Standard.</w:t>
      </w:r>
      <w:r w:rsidR="00D6130C" w:rsidRPr="00C621E9">
        <w:t xml:space="preserve"> </w:t>
      </w:r>
      <w:r w:rsidR="00066036" w:rsidRPr="00C621E9">
        <w:t xml:space="preserve">The </w:t>
      </w:r>
      <w:r w:rsidR="004C36DF" w:rsidRPr="00C621E9">
        <w:t>AASB</w:t>
      </w:r>
      <w:r w:rsidR="00066036" w:rsidRPr="00C621E9">
        <w:t xml:space="preserve"> noted </w:t>
      </w:r>
      <w:r w:rsidR="004A1B65">
        <w:t>in the</w:t>
      </w:r>
      <w:r w:rsidR="009C3564">
        <w:t xml:space="preserve"> Preface and the </w:t>
      </w:r>
      <w:r w:rsidR="004A1B65">
        <w:t xml:space="preserve">Basis for Conclusions </w:t>
      </w:r>
      <w:r w:rsidR="00066036" w:rsidRPr="00C621E9">
        <w:t>that an entity could elect to apply the amendments before their mandatory application date, for example to the 2022/23 financial year or any period ending before 30 September 2023.</w:t>
      </w:r>
    </w:p>
    <w:p w14:paraId="28B06DC9" w14:textId="50CC23A9" w:rsidR="004607FB" w:rsidRDefault="004607FB" w:rsidP="009C3564">
      <w:pPr>
        <w:pStyle w:val="NoNumPlain1"/>
      </w:pPr>
      <w:r>
        <w:t xml:space="preserve">A </w:t>
      </w:r>
      <w:r w:rsidR="00F453F6">
        <w:t xml:space="preserve">Policy Impact Analysis </w:t>
      </w:r>
      <w:r>
        <w:t>has not been prepared in connection with the issue of AASB 202</w:t>
      </w:r>
      <w:r w:rsidR="008535B7">
        <w:t>3</w:t>
      </w:r>
      <w:r>
        <w:t>-</w:t>
      </w:r>
      <w:r w:rsidR="00431441">
        <w:t>4</w:t>
      </w:r>
      <w:r w:rsidR="00F52782">
        <w:t xml:space="preserve"> </w:t>
      </w:r>
      <w:r>
        <w:t>as the amendments made do not have a substantial direct or indirect impact on business or competition.</w:t>
      </w:r>
    </w:p>
    <w:p w14:paraId="0AE931A0" w14:textId="7EB10F8C" w:rsidR="008E704E" w:rsidRDefault="008E704E" w:rsidP="008E704E">
      <w:pPr>
        <w:pStyle w:val="Heading2"/>
      </w:pPr>
      <w:r>
        <w:t xml:space="preserve">Legislative Features of </w:t>
      </w:r>
      <w:r w:rsidR="0054748E">
        <w:t>Accounting Standards</w:t>
      </w:r>
    </w:p>
    <w:p w14:paraId="5C28FC21" w14:textId="1DB31424" w:rsidR="008E704E" w:rsidRDefault="008E704E" w:rsidP="008E704E">
      <w:pPr>
        <w:pStyle w:val="Heading3"/>
      </w:pPr>
      <w:r>
        <w:t>Power to Make Amendments</w:t>
      </w:r>
    </w:p>
    <w:p w14:paraId="2B5D664A" w14:textId="77777777" w:rsidR="008E704E" w:rsidRPr="007261ED" w:rsidRDefault="008E704E" w:rsidP="008E704E">
      <w:pPr>
        <w:pStyle w:val="NoNumPlain1"/>
      </w:pPr>
      <w:r w:rsidRPr="00E35D4F">
        <w:t xml:space="preserve">Under subsection 33(3) of the </w:t>
      </w:r>
      <w:r w:rsidRPr="00D66E0A">
        <w:rPr>
          <w:i/>
        </w:rPr>
        <w:t>Acts Interpretation Act 1901</w:t>
      </w:r>
      <w:r w:rsidRPr="00E35D4F">
        <w:t>, where an Act confers a power to make, grant or issue any instrument of a legislative or administrative character (including rules, regulations or by-laws), the power shall be construed as including a power exercisable in the like manner and subject to the like conditions (if any) to repeal, rescind, revoke, amend, or vary any such instrument</w:t>
      </w:r>
      <w:r>
        <w:t xml:space="preserve">.  Accordingly, the AASB has the power to amend the Accounting Standards that are made by the AASB as legislative instruments under the </w:t>
      </w:r>
      <w:r w:rsidRPr="00B93CE4">
        <w:rPr>
          <w:i/>
        </w:rPr>
        <w:t>Corporations Act 2001</w:t>
      </w:r>
      <w:r>
        <w:t>.</w:t>
      </w:r>
    </w:p>
    <w:p w14:paraId="241C4F8E" w14:textId="07863820" w:rsidR="00FB4D41" w:rsidRPr="00C06546" w:rsidRDefault="00FB4D41" w:rsidP="00FB4D41">
      <w:pPr>
        <w:pStyle w:val="Heading3"/>
      </w:pPr>
      <w:r w:rsidRPr="00C06546">
        <w:t>References to Other AASB Standards</w:t>
      </w:r>
    </w:p>
    <w:p w14:paraId="6D24B182" w14:textId="77777777" w:rsidR="00FB4D41" w:rsidRPr="00C06546" w:rsidRDefault="00FB4D41" w:rsidP="00FB4D41">
      <w:pPr>
        <w:pStyle w:val="NoNumPlain1"/>
      </w:pPr>
      <w:r w:rsidRPr="00C06546">
        <w:t xml:space="preserve">References in this Standard to the titles of other AASB Standards that are legislative instruments are to be construed as </w:t>
      </w:r>
      <w:r w:rsidRPr="006628B2">
        <w:t>references to those other Standards as originally made and as amended from time to time and incorporate provisions of those Standards as in force from time to time.</w:t>
      </w:r>
    </w:p>
    <w:p w14:paraId="33BAA789" w14:textId="65540AF3" w:rsidR="00FB4D41" w:rsidRPr="00C549FE" w:rsidRDefault="00FB4D41" w:rsidP="00FB4D41">
      <w:pPr>
        <w:pStyle w:val="Heading3"/>
      </w:pPr>
      <w:r>
        <w:t>Copyright</w:t>
      </w:r>
    </w:p>
    <w:p w14:paraId="1ABA0E69" w14:textId="23A7FF29" w:rsidR="00FB4D41" w:rsidRDefault="0054748E" w:rsidP="00FB4D41">
      <w:pPr>
        <w:pStyle w:val="NoNumPlain1"/>
      </w:pPr>
      <w:r>
        <w:t xml:space="preserve">This Standard, like </w:t>
      </w:r>
      <w:r w:rsidR="00FB4D41">
        <w:t xml:space="preserve">all Accounting Standards promulgated by the AASB, is published with Commonwealth of Australia copyright.  Educational, </w:t>
      </w:r>
      <w:proofErr w:type="gramStart"/>
      <w:r w:rsidR="00FB4D41">
        <w:t>commercial</w:t>
      </w:r>
      <w:proofErr w:type="gramEnd"/>
      <w:r w:rsidR="00FB4D41">
        <w:t xml:space="preserve"> and other publishers are able to request the AASB for permission to reprint all or parts of this Standard, which is given without charge.</w:t>
      </w:r>
    </w:p>
    <w:p w14:paraId="78358CBB" w14:textId="65DB6A00" w:rsidR="00FB4D41" w:rsidRPr="00F5288D" w:rsidRDefault="0054748E" w:rsidP="0054748E">
      <w:pPr>
        <w:pStyle w:val="NoNumPlain1"/>
        <w:spacing w:line="240" w:lineRule="exact"/>
        <w:rPr>
          <w:rFonts w:cs="Arial"/>
          <w:b/>
          <w:bCs/>
          <w:iCs/>
          <w:sz w:val="24"/>
          <w:szCs w:val="24"/>
        </w:rPr>
      </w:pPr>
      <w:r w:rsidRPr="00C06546">
        <w:rPr>
          <w:rFonts w:cs="Arial"/>
          <w:b/>
          <w:sz w:val="24"/>
          <w:szCs w:val="24"/>
        </w:rPr>
        <w:t>Exemption from Sunsetting</w:t>
      </w:r>
    </w:p>
    <w:p w14:paraId="4C0E3ED7" w14:textId="00F6CED0" w:rsidR="007303BE" w:rsidRDefault="007303BE" w:rsidP="007303BE">
      <w:pPr>
        <w:pStyle w:val="NoNumPlain1"/>
      </w:pPr>
      <w:r>
        <w:t xml:space="preserve">Accounting Standards promulgated by the AASB that are legislative instruments are exempt from the sunsetting provisions of the </w:t>
      </w:r>
      <w:r w:rsidRPr="00813CFA">
        <w:rPr>
          <w:i/>
          <w:iCs/>
        </w:rPr>
        <w:t>Legislation Act 2003</w:t>
      </w:r>
      <w:r>
        <w:t xml:space="preserve"> through</w:t>
      </w:r>
      <w:r w:rsidRPr="0062766C">
        <w:t xml:space="preserve"> section 12 of the </w:t>
      </w:r>
      <w:r w:rsidRPr="0062766C">
        <w:rPr>
          <w:i/>
          <w:iCs/>
        </w:rPr>
        <w:t>Legislation (Exemption</w:t>
      </w:r>
      <w:r w:rsidR="00C34A0B">
        <w:rPr>
          <w:i/>
          <w:iCs/>
        </w:rPr>
        <w:t>s</w:t>
      </w:r>
      <w:r w:rsidRPr="0062766C">
        <w:rPr>
          <w:i/>
          <w:iCs/>
        </w:rPr>
        <w:t xml:space="preserve"> and Other Matters) Regulation 2015</w:t>
      </w:r>
      <w:r w:rsidRPr="0062766C">
        <w:t xml:space="preserve"> (Item 18(a)).</w:t>
      </w:r>
    </w:p>
    <w:p w14:paraId="598DA6DB" w14:textId="5A95B658" w:rsidR="007303BE" w:rsidRDefault="007303BE" w:rsidP="007303BE">
      <w:pPr>
        <w:pStyle w:val="NoNumPlain1"/>
      </w:pPr>
      <w:r>
        <w:t xml:space="preserve">The AASB’s </w:t>
      </w:r>
      <w:r w:rsidRPr="00735E30">
        <w:rPr>
          <w:lang w:eastAsia="en-AU"/>
        </w:rPr>
        <w:t xml:space="preserve">Standards </w:t>
      </w:r>
      <w:r>
        <w:rPr>
          <w:lang w:eastAsia="en-AU"/>
        </w:rPr>
        <w:t>incorporate</w:t>
      </w:r>
      <w:r w:rsidRPr="00735E30">
        <w:rPr>
          <w:lang w:eastAsia="en-AU"/>
        </w:rPr>
        <w:t xml:space="preserve"> Standards set by the International </w:t>
      </w:r>
      <w:r>
        <w:rPr>
          <w:lang w:eastAsia="en-AU"/>
        </w:rPr>
        <w:t>Accounting Standards Board in respect of publicly accountable for-profit entities</w:t>
      </w:r>
      <w:r w:rsidRPr="00735E30">
        <w:rPr>
          <w:lang w:eastAsia="en-AU"/>
        </w:rPr>
        <w:t xml:space="preserve">. </w:t>
      </w:r>
      <w:r>
        <w:rPr>
          <w:lang w:eastAsia="en-AU"/>
        </w:rPr>
        <w:t xml:space="preserve"> </w:t>
      </w:r>
      <w:r w:rsidRPr="0062766C">
        <w:t xml:space="preserve">The AASB’s Standards are exempt from sunsetting because a more stringent review process than sunsetting applies to the Standards. </w:t>
      </w:r>
      <w:r>
        <w:t xml:space="preserve"> </w:t>
      </w:r>
      <w:r w:rsidRPr="0062766C">
        <w:t>This review process ensures Australia’s A</w:t>
      </w:r>
      <w:r>
        <w:t>ccoun</w:t>
      </w:r>
      <w:r w:rsidRPr="0062766C">
        <w:t xml:space="preserve">ting Standards regime remains consistent with international Standards. </w:t>
      </w:r>
      <w:r>
        <w:t xml:space="preserve"> </w:t>
      </w:r>
      <w:r w:rsidRPr="0062766C">
        <w:t xml:space="preserve">Typically, the AASB Standards are revised at least once within a ten-year period, with </w:t>
      </w:r>
      <w:r>
        <w:t>most of the</w:t>
      </w:r>
      <w:r w:rsidRPr="0062766C">
        <w:t xml:space="preserve"> Standards subject to </w:t>
      </w:r>
      <w:r w:rsidR="00C34A0B">
        <w:t xml:space="preserve">much </w:t>
      </w:r>
      <w:r w:rsidR="00C34A0B" w:rsidRPr="0062766C">
        <w:t>more frequent</w:t>
      </w:r>
      <w:r w:rsidR="00C34A0B">
        <w:t xml:space="preserve"> </w:t>
      </w:r>
      <w:r w:rsidRPr="0062766C">
        <w:t xml:space="preserve">revisions. </w:t>
      </w:r>
      <w:r>
        <w:t xml:space="preserve"> </w:t>
      </w:r>
      <w:r w:rsidRPr="0062766C">
        <w:t xml:space="preserve">Each revision follows the stringent review process (which includes the opportunity for public comment) </w:t>
      </w:r>
      <w:proofErr w:type="gramStart"/>
      <w:r w:rsidRPr="0062766C">
        <w:t>in order to</w:t>
      </w:r>
      <w:proofErr w:type="gramEnd"/>
      <w:r w:rsidRPr="0062766C">
        <w:t xml:space="preserve"> remain consistent with international Standards.  It is very unlikely that any AASB Standard would not have been amended (or else considered for amendment) within a ten-year period through these review processes. </w:t>
      </w:r>
      <w:r>
        <w:t xml:space="preserve"> </w:t>
      </w:r>
      <w:r w:rsidRPr="0062766C">
        <w:t xml:space="preserve">Therefore, </w:t>
      </w:r>
      <w:r>
        <w:t xml:space="preserve">if it applied, </w:t>
      </w:r>
      <w:r w:rsidRPr="0062766C">
        <w:t xml:space="preserve">a ten-year sunsetting regime would </w:t>
      </w:r>
      <w:r>
        <w:t xml:space="preserve">have very limited practical application to </w:t>
      </w:r>
      <w:r w:rsidRPr="0062766C">
        <w:t xml:space="preserve">AASB Standards. </w:t>
      </w:r>
      <w:r>
        <w:t xml:space="preserve"> </w:t>
      </w:r>
      <w:r w:rsidRPr="0062766C">
        <w:t xml:space="preserve">Parliamentary oversight is retained whenever a Standard is replaced or amended since the Standards are disallowable instruments and </w:t>
      </w:r>
      <w:r>
        <w:t xml:space="preserve">subject to the normal tabling and scrutiny process </w:t>
      </w:r>
      <w:r w:rsidRPr="0062766C">
        <w:t xml:space="preserve">as required by the </w:t>
      </w:r>
      <w:r w:rsidRPr="0062766C">
        <w:rPr>
          <w:i/>
          <w:iCs/>
        </w:rPr>
        <w:t>Legislation</w:t>
      </w:r>
      <w:r>
        <w:rPr>
          <w:i/>
          <w:iCs/>
        </w:rPr>
        <w:t xml:space="preserve"> </w:t>
      </w:r>
      <w:r w:rsidRPr="0062766C">
        <w:rPr>
          <w:i/>
          <w:iCs/>
        </w:rPr>
        <w:t>Act</w:t>
      </w:r>
      <w:r>
        <w:rPr>
          <w:i/>
          <w:iCs/>
        </w:rPr>
        <w:t xml:space="preserve"> </w:t>
      </w:r>
      <w:r w:rsidRPr="0062766C">
        <w:rPr>
          <w:i/>
          <w:iCs/>
        </w:rPr>
        <w:t>2003</w:t>
      </w:r>
      <w:r>
        <w:t>.</w:t>
      </w:r>
    </w:p>
    <w:p w14:paraId="1397697A" w14:textId="69475B4F" w:rsidR="00AD44F9" w:rsidRDefault="00CD0A54" w:rsidP="00225C75">
      <w:pPr>
        <w:pStyle w:val="Heading2"/>
        <w:spacing w:before="720"/>
        <w:jc w:val="center"/>
      </w:pPr>
      <w:r>
        <w:t>Statement of Compatibility with Human Rights</w:t>
      </w:r>
    </w:p>
    <w:p w14:paraId="1397697B" w14:textId="77777777" w:rsidR="00E770E5" w:rsidRDefault="00E770E5" w:rsidP="00FB4D41">
      <w:pPr>
        <w:pStyle w:val="NoNumPlain1"/>
        <w:keepNext/>
        <w:jc w:val="center"/>
      </w:pPr>
      <w:r>
        <w:t xml:space="preserve">Prepared in accordance with Part </w:t>
      </w:r>
      <w:r w:rsidRPr="00E4135E">
        <w:t xml:space="preserve">3 of the </w:t>
      </w:r>
      <w:r>
        <w:br/>
      </w:r>
      <w:r w:rsidRPr="00E4135E">
        <w:rPr>
          <w:i/>
        </w:rPr>
        <w:t>Human Rights (Parliamentary Scrutiny) Act 2011</w:t>
      </w:r>
    </w:p>
    <w:p w14:paraId="1397697C" w14:textId="166965D3" w:rsidR="00E770E5" w:rsidRDefault="00A90A3D" w:rsidP="00A90A3D">
      <w:pPr>
        <w:pStyle w:val="Heading3"/>
        <w:spacing w:after="360"/>
        <w:jc w:val="center"/>
      </w:pPr>
      <w:r w:rsidRPr="00347521">
        <w:t xml:space="preserve">Accounting Standard AASB </w:t>
      </w:r>
      <w:r w:rsidR="00D2416F">
        <w:t>202</w:t>
      </w:r>
      <w:r w:rsidR="00661038">
        <w:t>3</w:t>
      </w:r>
      <w:r>
        <w:t>-</w:t>
      </w:r>
      <w:r w:rsidR="00596EEC">
        <w:t>4</w:t>
      </w:r>
      <w:r>
        <w:br/>
      </w:r>
      <w:r w:rsidR="00596EEC" w:rsidRPr="00596EEC">
        <w:rPr>
          <w:i/>
          <w:iCs w:val="0"/>
        </w:rPr>
        <w:t>Amendments to Australian Accounting Standards – International Tax Reform – Pillar Two Model Rules: Tier 2 Disclosures</w:t>
      </w:r>
    </w:p>
    <w:p w14:paraId="1397697D" w14:textId="77777777" w:rsidR="00A90A3D" w:rsidRDefault="00A90A3D" w:rsidP="00A90A3D">
      <w:pPr>
        <w:pStyle w:val="Heading3"/>
      </w:pPr>
      <w:r>
        <w:t>Overview of the Accounting Standard</w:t>
      </w:r>
    </w:p>
    <w:p w14:paraId="1F2E5D8F" w14:textId="2A44E06A" w:rsidR="00575996" w:rsidRDefault="00575996" w:rsidP="00B21A3B">
      <w:pPr>
        <w:pStyle w:val="NoNumPlain1"/>
      </w:pPr>
      <w:r>
        <w:t xml:space="preserve">AASB 2023-2 </w:t>
      </w:r>
      <w:r w:rsidRPr="00985DF5">
        <w:rPr>
          <w:i/>
          <w:iCs/>
        </w:rPr>
        <w:t>Amendments to Australian Accounting Standards – International Tax Reform – Pillar Two Model Rules</w:t>
      </w:r>
      <w:r>
        <w:t xml:space="preserve"> (June 2023) amended AASB 112 </w:t>
      </w:r>
      <w:r w:rsidR="007C1A79">
        <w:rPr>
          <w:i/>
          <w:iCs/>
        </w:rPr>
        <w:t xml:space="preserve">Income </w:t>
      </w:r>
      <w:r w:rsidR="007C1A79" w:rsidRPr="00AC6743">
        <w:rPr>
          <w:i/>
          <w:iCs/>
        </w:rPr>
        <w:t>Taxes</w:t>
      </w:r>
      <w:r w:rsidR="007C1A79">
        <w:t xml:space="preserve"> (August 2015) </w:t>
      </w:r>
      <w:r>
        <w:t>to introduce:</w:t>
      </w:r>
    </w:p>
    <w:p w14:paraId="50C80579" w14:textId="5917115D" w:rsidR="00575996" w:rsidRDefault="00575996" w:rsidP="00B21A3B">
      <w:pPr>
        <w:pStyle w:val="NoNumPlain1"/>
        <w:numPr>
          <w:ilvl w:val="0"/>
          <w:numId w:val="24"/>
        </w:numPr>
        <w:ind w:left="782" w:hanging="782"/>
      </w:pPr>
      <w:r>
        <w:t>a mandatory temporary exception to accounting for deferred taxes arising from the implementation of the Pillar Two model rules published by the Organisation for Economic Co-operation and Development (OECD); and</w:t>
      </w:r>
    </w:p>
    <w:p w14:paraId="2486DA96" w14:textId="77777777" w:rsidR="00575996" w:rsidRPr="0000292B" w:rsidRDefault="00575996" w:rsidP="00B21A3B">
      <w:pPr>
        <w:pStyle w:val="NoNumPlain1"/>
        <w:numPr>
          <w:ilvl w:val="0"/>
          <w:numId w:val="24"/>
        </w:numPr>
        <w:ind w:left="782" w:hanging="782"/>
      </w:pPr>
      <w:r>
        <w:lastRenderedPageBreak/>
        <w:t>targeted disclosure requirements to help financial statement users better understand an entity’s exposure to income taxes arising from the reform,</w:t>
      </w:r>
      <w:r w:rsidRPr="00CF5523">
        <w:t xml:space="preserve"> </w:t>
      </w:r>
      <w:r>
        <w:t>particularly in periods before legislation implementing the rules is in effect.</w:t>
      </w:r>
    </w:p>
    <w:p w14:paraId="647C67FC" w14:textId="2C2A1747" w:rsidR="00575996" w:rsidRDefault="00575996" w:rsidP="00B21A3B">
      <w:pPr>
        <w:pStyle w:val="NoNumPlain1"/>
      </w:pPr>
      <w:r>
        <w:t xml:space="preserve">This Standard </w:t>
      </w:r>
      <w:r w:rsidR="007C1A79">
        <w:t xml:space="preserve">(AASB 2023-4) </w:t>
      </w:r>
      <w:r>
        <w:t xml:space="preserve">amends AASB 1060 </w:t>
      </w:r>
      <w:r w:rsidR="007C1A79" w:rsidRPr="006A0E2A">
        <w:rPr>
          <w:i/>
          <w:iCs/>
        </w:rPr>
        <w:t>General Purpose Financial Statements – Simplified Disclosures for For-Profit and Not-for-Profit Tier 2 Entities</w:t>
      </w:r>
      <w:r w:rsidR="007C1A79">
        <w:t xml:space="preserve"> (March 2020) </w:t>
      </w:r>
      <w:r>
        <w:t>to</w:t>
      </w:r>
      <w:r w:rsidRPr="00963043">
        <w:t xml:space="preserve"> </w:t>
      </w:r>
      <w:r>
        <w:t>require a Tier 2 entity to</w:t>
      </w:r>
      <w:r w:rsidRPr="00963043">
        <w:t xml:space="preserve"> </w:t>
      </w:r>
      <w:r>
        <w:t xml:space="preserve">disclose: </w:t>
      </w:r>
    </w:p>
    <w:p w14:paraId="13AE10EE" w14:textId="77777777" w:rsidR="00575996" w:rsidRDefault="00575996" w:rsidP="00B21A3B">
      <w:pPr>
        <w:pStyle w:val="NoNumPlain1"/>
        <w:numPr>
          <w:ilvl w:val="0"/>
          <w:numId w:val="33"/>
        </w:numPr>
        <w:ind w:left="782" w:hanging="782"/>
      </w:pPr>
      <w:r>
        <w:t>that it has applied the exception to recognising and disclosing information about deferred tax assets and liabilities related to Pillar Two income taxes (see AASB 112 paragraph 4A); and</w:t>
      </w:r>
    </w:p>
    <w:p w14:paraId="17CC40E5" w14:textId="77777777" w:rsidR="00575996" w:rsidRDefault="00575996" w:rsidP="00B21A3B">
      <w:pPr>
        <w:pStyle w:val="NoNumPlain1"/>
        <w:numPr>
          <w:ilvl w:val="0"/>
          <w:numId w:val="33"/>
        </w:numPr>
        <w:ind w:left="782" w:hanging="782"/>
      </w:pPr>
      <w:r>
        <w:t>its current tax expense (income) related to Pillar Two income taxes.</w:t>
      </w:r>
    </w:p>
    <w:p w14:paraId="11E26125" w14:textId="77777777" w:rsidR="00575996" w:rsidRPr="0000292B" w:rsidRDefault="00575996" w:rsidP="00355A45">
      <w:pPr>
        <w:pStyle w:val="NoNumPlain1"/>
      </w:pPr>
      <w:r>
        <w:t>This Standard also amends AASB 112 to extend the exemption from complying with the disclosure requirements of AASB 112 for entities that apply AASB 1060 to ensure Tier 2 entities are not required to comply with the new disclosure requirements in AASB 112 when preparing their Tier 2 financial statements.</w:t>
      </w:r>
    </w:p>
    <w:p w14:paraId="1397697F" w14:textId="4A4A57DB" w:rsidR="00A90A3D" w:rsidRDefault="00A90A3D" w:rsidP="00A90A3D">
      <w:pPr>
        <w:pStyle w:val="Heading3"/>
      </w:pPr>
      <w:r>
        <w:t>Human Rights Implications</w:t>
      </w:r>
    </w:p>
    <w:p w14:paraId="13976980" w14:textId="77777777" w:rsidR="00A90A3D" w:rsidRDefault="00F62F5C" w:rsidP="00C068D8">
      <w:pPr>
        <w:pStyle w:val="NoNumPlain1"/>
      </w:pPr>
      <w:r w:rsidRPr="00E4135E">
        <w:t xml:space="preserve">This </w:t>
      </w:r>
      <w:r>
        <w:t>Standard</w:t>
      </w:r>
      <w:r w:rsidRPr="00E4135E">
        <w:t xml:space="preserve"> </w:t>
      </w:r>
      <w:r>
        <w:t xml:space="preserve">is issued by the AASB in furtherance of the objective of facilitating the Australian economy.  It </w:t>
      </w:r>
      <w:r w:rsidRPr="00E4135E">
        <w:t xml:space="preserve">does not </w:t>
      </w:r>
      <w:r>
        <w:t xml:space="preserve">diminish or limit </w:t>
      </w:r>
      <w:r w:rsidRPr="00E4135E">
        <w:t xml:space="preserve">any of the applicable </w:t>
      </w:r>
      <w:r>
        <w:t xml:space="preserve">human </w:t>
      </w:r>
      <w:r w:rsidRPr="00E4135E">
        <w:t>rights or freedoms</w:t>
      </w:r>
      <w:r>
        <w:t>, and thus does not raise any human rights issues</w:t>
      </w:r>
      <w:r w:rsidRPr="00E4135E">
        <w:t>.</w:t>
      </w:r>
    </w:p>
    <w:p w14:paraId="13976981" w14:textId="77777777" w:rsidR="00F62F5C" w:rsidRDefault="00F62F5C" w:rsidP="00F62F5C">
      <w:pPr>
        <w:pStyle w:val="Heading3"/>
      </w:pPr>
      <w:r>
        <w:t>Conclusion</w:t>
      </w:r>
    </w:p>
    <w:p w14:paraId="13976983" w14:textId="5F736634" w:rsidR="00F62F5C" w:rsidRDefault="00CD0A54" w:rsidP="00C068D8">
      <w:pPr>
        <w:pStyle w:val="NoNumPlain1"/>
      </w:pPr>
      <w:r w:rsidRPr="00E4135E">
        <w:t xml:space="preserve">This </w:t>
      </w:r>
      <w:r>
        <w:t>Standard</w:t>
      </w:r>
      <w:r w:rsidRPr="00E4135E">
        <w:t xml:space="preserve"> is compatible with the human rights and freedoms recognised or declared in the international instruments listed in section 3 of the </w:t>
      </w:r>
      <w:r w:rsidRPr="00E4135E">
        <w:rPr>
          <w:i/>
        </w:rPr>
        <w:t>Human Rights (Parliamentary Scrutiny) Act 2011</w:t>
      </w:r>
      <w:r w:rsidRPr="00E4135E">
        <w:t>.</w:t>
      </w:r>
    </w:p>
    <w:p w14:paraId="17291178" w14:textId="77777777" w:rsidR="00A65B93" w:rsidRDefault="00A65B93" w:rsidP="00C068D8">
      <w:pPr>
        <w:pStyle w:val="NoNumPlain1"/>
      </w:pPr>
    </w:p>
    <w:sectPr w:rsidR="00A65B93" w:rsidSect="00B93CE4">
      <w:headerReference w:type="even" r:id="rId16"/>
      <w:footerReference w:type="default" r:id="rId17"/>
      <w:pgSz w:w="11907" w:h="16840" w:code="9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43FBDB" w14:textId="77777777" w:rsidR="00275588" w:rsidRDefault="00275588">
      <w:r>
        <w:separator/>
      </w:r>
    </w:p>
  </w:endnote>
  <w:endnote w:type="continuationSeparator" w:id="0">
    <w:p w14:paraId="390BD2A0" w14:textId="77777777" w:rsidR="00275588" w:rsidRDefault="00275588">
      <w:r>
        <w:continuationSeparator/>
      </w:r>
    </w:p>
  </w:endnote>
  <w:endnote w:type="continuationNotice" w:id="1">
    <w:p w14:paraId="1E989C8A" w14:textId="77777777" w:rsidR="00275588" w:rsidRDefault="00275588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FD94A" w14:textId="77777777" w:rsidR="002C3966" w:rsidRDefault="002C396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A5D3A" w14:textId="77777777" w:rsidR="002C3966" w:rsidRDefault="002C396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701E4E" w14:textId="77777777" w:rsidR="002C3966" w:rsidRDefault="002C3966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7698B" w14:textId="6DB8D643" w:rsidR="006B1B4A" w:rsidRDefault="006B1B4A" w:rsidP="00B93CE4">
    <w:pPr>
      <w:pStyle w:val="Footer"/>
      <w:tabs>
        <w:tab w:val="clear" w:pos="3119"/>
        <w:tab w:val="clear" w:pos="6237"/>
        <w:tab w:val="center" w:pos="4820"/>
        <w:tab w:val="right" w:pos="9639"/>
      </w:tabs>
      <w:rPr>
        <w:b/>
      </w:rPr>
    </w:pPr>
    <w:r>
      <w:rPr>
        <w:b/>
      </w:rPr>
      <w:t>A</w:t>
    </w:r>
    <w:r w:rsidR="00C068D8">
      <w:rPr>
        <w:b/>
      </w:rPr>
      <w:t xml:space="preserve">ASB </w:t>
    </w:r>
    <w:r w:rsidR="00D2416F">
      <w:rPr>
        <w:b/>
      </w:rPr>
      <w:t>20</w:t>
    </w:r>
    <w:r w:rsidR="00AB18E2">
      <w:rPr>
        <w:b/>
      </w:rPr>
      <w:t>23-</w:t>
    </w:r>
    <w:r w:rsidR="002C3966">
      <w:rPr>
        <w:b/>
      </w:rPr>
      <w:t>4</w:t>
    </w:r>
    <w:r>
      <w:rPr>
        <w:b/>
      </w:rPr>
      <w:tab/>
    </w:r>
    <w:r>
      <w:fldChar w:fldCharType="begin"/>
    </w:r>
    <w:r>
      <w:instrText>PAGE</w:instrText>
    </w:r>
    <w:r>
      <w:fldChar w:fldCharType="separate"/>
    </w:r>
    <w:r w:rsidR="00AB2137">
      <w:rPr>
        <w:noProof/>
      </w:rPr>
      <w:t>2</w:t>
    </w:r>
    <w:r>
      <w:fldChar w:fldCharType="end"/>
    </w:r>
    <w:r>
      <w:tab/>
    </w:r>
    <w:r>
      <w:rPr>
        <w:b/>
        <w:bCs/>
      </w:rPr>
      <w:t>EXPLANATORY STATEMENT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CD22FE" w14:textId="77777777" w:rsidR="00275588" w:rsidRDefault="00275588">
      <w:r>
        <w:separator/>
      </w:r>
    </w:p>
  </w:footnote>
  <w:footnote w:type="continuationSeparator" w:id="0">
    <w:p w14:paraId="2EE6502F" w14:textId="77777777" w:rsidR="00275588" w:rsidRDefault="00275588">
      <w:r>
        <w:continuationSeparator/>
      </w:r>
    </w:p>
  </w:footnote>
  <w:footnote w:type="continuationNotice" w:id="1">
    <w:p w14:paraId="70B0ABFB" w14:textId="77777777" w:rsidR="00275588" w:rsidRDefault="00275588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89A52" w14:textId="77777777" w:rsidR="002C3966" w:rsidRDefault="002C396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F18491" w14:textId="77777777" w:rsidR="002C3966" w:rsidRDefault="002C396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8C025" w14:textId="77777777" w:rsidR="002C3966" w:rsidRDefault="002C3966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7698A" w14:textId="77777777" w:rsidR="006B1B4A" w:rsidRDefault="006B1B4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5A2477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0B2EEF"/>
    <w:multiLevelType w:val="hybridMultilevel"/>
    <w:tmpl w:val="370A08EA"/>
    <w:lvl w:ilvl="0" w:tplc="7250F282">
      <w:start w:val="1"/>
      <w:numFmt w:val="bullet"/>
      <w:lvlText w:val=""/>
      <w:lvlJc w:val="left"/>
      <w:pPr>
        <w:tabs>
          <w:tab w:val="num" w:pos="2041"/>
        </w:tabs>
        <w:ind w:left="2041" w:hanging="51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8566BE"/>
    <w:multiLevelType w:val="hybridMultilevel"/>
    <w:tmpl w:val="311A0510"/>
    <w:lvl w:ilvl="0" w:tplc="95BA7EA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A765F0"/>
    <w:multiLevelType w:val="hybridMultilevel"/>
    <w:tmpl w:val="D87C94CA"/>
    <w:lvl w:ilvl="0" w:tplc="95BA7EA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C2377B"/>
    <w:multiLevelType w:val="hybridMultilevel"/>
    <w:tmpl w:val="9C5AA59A"/>
    <w:lvl w:ilvl="0" w:tplc="9398D5DA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293597"/>
    <w:multiLevelType w:val="hybridMultilevel"/>
    <w:tmpl w:val="6B3EA8EA"/>
    <w:lvl w:ilvl="0" w:tplc="95BA7EA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6410F0"/>
    <w:multiLevelType w:val="multilevel"/>
    <w:tmpl w:val="FB128956"/>
    <w:numStyleLink w:val="BCNumbers"/>
  </w:abstractNum>
  <w:abstractNum w:abstractNumId="7" w15:restartNumberingAfterBreak="0">
    <w:nsid w:val="10C50A4A"/>
    <w:multiLevelType w:val="hybridMultilevel"/>
    <w:tmpl w:val="3D88D832"/>
    <w:lvl w:ilvl="0" w:tplc="95BA7EA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D01EC8"/>
    <w:multiLevelType w:val="multilevel"/>
    <w:tmpl w:val="FB128956"/>
    <w:styleLink w:val="BCNumbers"/>
    <w:lvl w:ilvl="0">
      <w:start w:val="1"/>
      <w:numFmt w:val="decimal"/>
      <w:lvlText w:val="BC%1"/>
      <w:lvlJc w:val="left"/>
      <w:pPr>
        <w:ind w:left="782" w:hanging="782"/>
      </w:pPr>
      <w:rPr>
        <w:rFonts w:hint="default"/>
        <w:b w:val="0"/>
        <w:bCs w:val="0"/>
        <w:u w:val="none"/>
      </w:rPr>
    </w:lvl>
    <w:lvl w:ilvl="1">
      <w:start w:val="1"/>
      <w:numFmt w:val="lowerLetter"/>
      <w:lvlText w:val="(%2)"/>
      <w:lvlJc w:val="left"/>
      <w:pPr>
        <w:ind w:left="1564" w:hanging="782"/>
      </w:pPr>
      <w:rPr>
        <w:rFonts w:hint="default"/>
        <w:b w:val="0"/>
        <w:bCs w:val="0"/>
        <w:u w:val="none"/>
      </w:rPr>
    </w:lvl>
    <w:lvl w:ilvl="2">
      <w:start w:val="1"/>
      <w:numFmt w:val="lowerRoman"/>
      <w:lvlText w:val="(%3)"/>
      <w:lvlJc w:val="left"/>
      <w:pPr>
        <w:ind w:left="2346" w:hanging="782"/>
      </w:pPr>
      <w:rPr>
        <w:rFonts w:hint="default"/>
        <w:b w:val="0"/>
        <w:bCs w:val="0"/>
        <w:u w:val="none"/>
      </w:rPr>
    </w:lvl>
    <w:lvl w:ilvl="3">
      <w:start w:val="1"/>
      <w:numFmt w:val="upperLetter"/>
      <w:lvlText w:val="(%4)"/>
      <w:lvlJc w:val="left"/>
      <w:pPr>
        <w:ind w:left="3128" w:hanging="782"/>
      </w:pPr>
      <w:rPr>
        <w:rFonts w:hint="default"/>
        <w:b w:val="0"/>
        <w:bCs w:val="0"/>
        <w:u w:val="none"/>
      </w:rPr>
    </w:lvl>
    <w:lvl w:ilvl="4">
      <w:start w:val="1"/>
      <w:numFmt w:val="upperRoman"/>
      <w:lvlText w:val="%5"/>
      <w:lvlJc w:val="left"/>
      <w:pPr>
        <w:tabs>
          <w:tab w:val="num" w:pos="3752"/>
        </w:tabs>
        <w:ind w:left="3910" w:hanging="782"/>
      </w:pPr>
      <w:rPr>
        <w:rFonts w:hint="default"/>
        <w:b w:val="0"/>
        <w:bCs w:val="0"/>
        <w:u w:val="none"/>
      </w:rPr>
    </w:lvl>
    <w:lvl w:ilvl="5">
      <w:start w:val="1"/>
      <w:numFmt w:val="decimal"/>
      <w:lvlText w:val="%6"/>
      <w:lvlJc w:val="left"/>
      <w:pPr>
        <w:tabs>
          <w:tab w:val="num" w:pos="4534"/>
        </w:tabs>
        <w:ind w:left="4692" w:hanging="78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5316"/>
        </w:tabs>
        <w:ind w:left="5474" w:hanging="782"/>
      </w:pPr>
      <w:rPr>
        <w:rFonts w:hint="default"/>
      </w:rPr>
    </w:lvl>
    <w:lvl w:ilvl="7">
      <w:start w:val="1"/>
      <w:numFmt w:val="lowerRoman"/>
      <w:lvlText w:val="%8)"/>
      <w:lvlJc w:val="left"/>
      <w:pPr>
        <w:tabs>
          <w:tab w:val="num" w:pos="6098"/>
        </w:tabs>
        <w:ind w:left="6256" w:hanging="782"/>
      </w:pPr>
      <w:rPr>
        <w:rFonts w:hint="default"/>
      </w:rPr>
    </w:lvl>
    <w:lvl w:ilvl="8">
      <w:start w:val="1"/>
      <w:numFmt w:val="lowerRoman"/>
      <w:lvlText w:val="%9)"/>
      <w:lvlJc w:val="left"/>
      <w:pPr>
        <w:tabs>
          <w:tab w:val="num" w:pos="6880"/>
        </w:tabs>
        <w:ind w:left="7038" w:hanging="782"/>
      </w:pPr>
      <w:rPr>
        <w:rFonts w:hint="default"/>
      </w:rPr>
    </w:lvl>
  </w:abstractNum>
  <w:abstractNum w:abstractNumId="9" w15:restartNumberingAfterBreak="0">
    <w:nsid w:val="13E035C2"/>
    <w:multiLevelType w:val="multilevel"/>
    <w:tmpl w:val="95A2D1B2"/>
    <w:lvl w:ilvl="0">
      <w:start w:val="1"/>
      <w:numFmt w:val="decimal"/>
      <w:pStyle w:val="NumBC1"/>
      <w:lvlText w:val="BC%1"/>
      <w:lvlJc w:val="left"/>
      <w:pPr>
        <w:tabs>
          <w:tab w:val="num" w:pos="624"/>
        </w:tabs>
        <w:ind w:left="624" w:hanging="624"/>
      </w:pPr>
      <w:rPr>
        <w:rFonts w:hint="default"/>
        <w:b w:val="0"/>
        <w:bCs w:val="0"/>
        <w:u w:val="none"/>
      </w:rPr>
    </w:lvl>
    <w:lvl w:ilvl="1">
      <w:start w:val="1"/>
      <w:numFmt w:val="lowerLetter"/>
      <w:pStyle w:val="NumBC2"/>
      <w:lvlText w:val="(%2)"/>
      <w:lvlJc w:val="left"/>
      <w:pPr>
        <w:tabs>
          <w:tab w:val="num" w:pos="1247"/>
        </w:tabs>
        <w:ind w:left="1247" w:hanging="623"/>
      </w:pPr>
      <w:rPr>
        <w:rFonts w:hint="default"/>
        <w:b w:val="0"/>
        <w:bCs w:val="0"/>
        <w:u w:val="none"/>
      </w:rPr>
    </w:lvl>
    <w:lvl w:ilvl="2">
      <w:start w:val="1"/>
      <w:numFmt w:val="lowerRoman"/>
      <w:pStyle w:val="NumBC3"/>
      <w:lvlText w:val="(%3)"/>
      <w:lvlJc w:val="left"/>
      <w:pPr>
        <w:tabs>
          <w:tab w:val="num" w:pos="1871"/>
        </w:tabs>
        <w:ind w:left="1871" w:hanging="624"/>
      </w:pPr>
      <w:rPr>
        <w:rFonts w:hint="default"/>
        <w:b w:val="0"/>
        <w:bCs w:val="0"/>
        <w:u w:val="none"/>
      </w:rPr>
    </w:lvl>
    <w:lvl w:ilvl="3">
      <w:start w:val="1"/>
      <w:numFmt w:val="upperLetter"/>
      <w:pStyle w:val="NumBC4"/>
      <w:lvlText w:val="(%4)"/>
      <w:lvlJc w:val="left"/>
      <w:pPr>
        <w:tabs>
          <w:tab w:val="num" w:pos="2495"/>
        </w:tabs>
        <w:ind w:left="2495" w:hanging="624"/>
      </w:pPr>
      <w:rPr>
        <w:rFonts w:hint="default"/>
        <w:b w:val="0"/>
        <w:bCs w:val="0"/>
        <w:u w:val="none"/>
      </w:rPr>
    </w:lvl>
    <w:lvl w:ilvl="4">
      <w:start w:val="1"/>
      <w:numFmt w:val="upperRoman"/>
      <w:lvlText w:val="%5"/>
      <w:lvlJc w:val="left"/>
      <w:pPr>
        <w:tabs>
          <w:tab w:val="num" w:pos="3543"/>
        </w:tabs>
        <w:ind w:left="3543" w:hanging="708"/>
      </w:pPr>
      <w:rPr>
        <w:rFonts w:hint="default"/>
        <w:b w:val="0"/>
        <w:bCs w:val="0"/>
        <w:u w:val="none"/>
      </w:rPr>
    </w:lvl>
    <w:lvl w:ilvl="5">
      <w:start w:val="1"/>
      <w:numFmt w:val="decimal"/>
      <w:lvlText w:val="%6"/>
      <w:lvlJc w:val="left"/>
      <w:pPr>
        <w:tabs>
          <w:tab w:val="num" w:pos="4253"/>
        </w:tabs>
        <w:ind w:left="4253" w:hanging="709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4961"/>
        </w:tabs>
        <w:ind w:left="4961" w:hanging="708"/>
      </w:pPr>
      <w:rPr>
        <w:rFonts w:hint="default"/>
      </w:rPr>
    </w:lvl>
    <w:lvl w:ilvl="7">
      <w:start w:val="1"/>
      <w:numFmt w:val="lowerRoman"/>
      <w:lvlText w:val="%8)"/>
      <w:lvlJc w:val="left"/>
      <w:pPr>
        <w:tabs>
          <w:tab w:val="num" w:pos="5670"/>
        </w:tabs>
        <w:ind w:left="5670" w:hanging="709"/>
      </w:pPr>
      <w:rPr>
        <w:rFonts w:hint="default"/>
      </w:rPr>
    </w:lvl>
    <w:lvl w:ilvl="8">
      <w:start w:val="1"/>
      <w:numFmt w:val="lowerRoman"/>
      <w:lvlText w:val="%9)"/>
      <w:lvlJc w:val="left"/>
      <w:pPr>
        <w:tabs>
          <w:tab w:val="num" w:pos="6379"/>
        </w:tabs>
        <w:ind w:left="6379" w:hanging="709"/>
      </w:pPr>
      <w:rPr>
        <w:rFonts w:hint="default"/>
      </w:rPr>
    </w:lvl>
  </w:abstractNum>
  <w:abstractNum w:abstractNumId="10" w15:restartNumberingAfterBreak="0">
    <w:nsid w:val="2576465B"/>
    <w:multiLevelType w:val="multilevel"/>
    <w:tmpl w:val="D9F888A8"/>
    <w:lvl w:ilvl="0">
      <w:start w:val="1"/>
      <w:numFmt w:val="lowerLetter"/>
      <w:pStyle w:val="NumPlainA"/>
      <w:lvlText w:val="(%1)"/>
      <w:lvlJc w:val="left"/>
      <w:pPr>
        <w:tabs>
          <w:tab w:val="num" w:pos="652"/>
        </w:tabs>
        <w:ind w:left="652" w:hanging="510"/>
      </w:pPr>
      <w:rPr>
        <w:rFonts w:hint="default"/>
      </w:rPr>
    </w:lvl>
    <w:lvl w:ilvl="1">
      <w:start w:val="1"/>
      <w:numFmt w:val="lowerRoman"/>
      <w:pStyle w:val="NumPlainA2"/>
      <w:lvlText w:val="(%2)"/>
      <w:lvlJc w:val="left"/>
      <w:pPr>
        <w:tabs>
          <w:tab w:val="num" w:pos="1163"/>
        </w:tabs>
        <w:ind w:left="1163" w:hanging="511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  <w:rPr>
        <w:rFonts w:hint="default"/>
      </w:rPr>
    </w:lvl>
  </w:abstractNum>
  <w:abstractNum w:abstractNumId="11" w15:restartNumberingAfterBreak="0">
    <w:nsid w:val="27F821CB"/>
    <w:multiLevelType w:val="hybridMultilevel"/>
    <w:tmpl w:val="1CDC9BEA"/>
    <w:lvl w:ilvl="0" w:tplc="8A94C782">
      <w:start w:val="1"/>
      <w:numFmt w:val="bullet"/>
      <w:pStyle w:val="Bullet4"/>
      <w:lvlText w:val=""/>
      <w:lvlJc w:val="left"/>
      <w:pPr>
        <w:tabs>
          <w:tab w:val="num" w:pos="2041"/>
        </w:tabs>
        <w:ind w:left="2041" w:hanging="51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A1279B"/>
    <w:multiLevelType w:val="multilevel"/>
    <w:tmpl w:val="7994A7A2"/>
    <w:styleLink w:val="NumPlainAlpha"/>
    <w:lvl w:ilvl="0">
      <w:start w:val="1"/>
      <w:numFmt w:val="lowerLetter"/>
      <w:lvlText w:val="(%1)"/>
      <w:lvlJc w:val="left"/>
      <w:pPr>
        <w:ind w:left="782" w:hanging="782"/>
      </w:pPr>
      <w:rPr>
        <w:rFonts w:hint="default"/>
      </w:rPr>
    </w:lvl>
    <w:lvl w:ilvl="1">
      <w:start w:val="1"/>
      <w:numFmt w:val="lowerRoman"/>
      <w:lvlText w:val="(%2)"/>
      <w:lvlJc w:val="left"/>
      <w:pPr>
        <w:ind w:left="1564" w:hanging="782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074"/>
        </w:tabs>
        <w:ind w:left="2346" w:hanging="78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56"/>
        </w:tabs>
        <w:ind w:left="3128" w:hanging="78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38"/>
        </w:tabs>
        <w:ind w:left="3910" w:hanging="782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420"/>
        </w:tabs>
        <w:ind w:left="4692" w:hanging="782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202"/>
        </w:tabs>
        <w:ind w:left="5474" w:hanging="782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984"/>
        </w:tabs>
        <w:ind w:left="6256" w:hanging="78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766"/>
        </w:tabs>
        <w:ind w:left="7038" w:hanging="782"/>
      </w:pPr>
      <w:rPr>
        <w:rFonts w:hint="default"/>
      </w:rPr>
    </w:lvl>
  </w:abstractNum>
  <w:abstractNum w:abstractNumId="13" w15:restartNumberingAfterBreak="0">
    <w:nsid w:val="2B6C7D63"/>
    <w:multiLevelType w:val="hybridMultilevel"/>
    <w:tmpl w:val="0B8C6388"/>
    <w:lvl w:ilvl="0" w:tplc="1CD8E622">
      <w:start w:val="1"/>
      <w:numFmt w:val="bullet"/>
      <w:lvlText w:val=""/>
      <w:lvlJc w:val="left"/>
      <w:pPr>
        <w:tabs>
          <w:tab w:val="num" w:pos="2041"/>
        </w:tabs>
        <w:ind w:left="2041" w:hanging="51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A23BD9"/>
    <w:multiLevelType w:val="hybridMultilevel"/>
    <w:tmpl w:val="809074BC"/>
    <w:lvl w:ilvl="0" w:tplc="AAC84BFE">
      <w:start w:val="1"/>
      <w:numFmt w:val="bullet"/>
      <w:pStyle w:val="Bullet2"/>
      <w:lvlText w:val=""/>
      <w:lvlJc w:val="left"/>
      <w:pPr>
        <w:tabs>
          <w:tab w:val="num" w:pos="1021"/>
        </w:tabs>
        <w:ind w:left="1021" w:hanging="51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1F321E"/>
    <w:multiLevelType w:val="hybridMultilevel"/>
    <w:tmpl w:val="D87CA296"/>
    <w:lvl w:ilvl="0" w:tplc="FFFFFFFF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1B92670"/>
    <w:multiLevelType w:val="hybridMultilevel"/>
    <w:tmpl w:val="D87CA296"/>
    <w:lvl w:ilvl="0" w:tplc="FFFFFFFF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70D7B29"/>
    <w:multiLevelType w:val="hybridMultilevel"/>
    <w:tmpl w:val="E8FCB0B6"/>
    <w:lvl w:ilvl="0" w:tplc="EECA7B38">
      <w:start w:val="1"/>
      <w:numFmt w:val="bullet"/>
      <w:pStyle w:val="Bullets"/>
      <w:lvlText w:val=""/>
      <w:lvlJc w:val="left"/>
      <w:pPr>
        <w:tabs>
          <w:tab w:val="num" w:pos="473"/>
        </w:tabs>
        <w:ind w:left="227" w:hanging="114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746A79"/>
    <w:multiLevelType w:val="hybridMultilevel"/>
    <w:tmpl w:val="D87CA296"/>
    <w:lvl w:ilvl="0" w:tplc="FFFFFFFF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98E1C94"/>
    <w:multiLevelType w:val="hybridMultilevel"/>
    <w:tmpl w:val="2CF04104"/>
    <w:lvl w:ilvl="0" w:tplc="4C7C8E1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52504F"/>
    <w:multiLevelType w:val="hybridMultilevel"/>
    <w:tmpl w:val="FCC49D66"/>
    <w:lvl w:ilvl="0" w:tplc="DFF2F438">
      <w:start w:val="1"/>
      <w:numFmt w:val="bullet"/>
      <w:pStyle w:val="Bullet3"/>
      <w:lvlText w:val=""/>
      <w:lvlJc w:val="left"/>
      <w:pPr>
        <w:tabs>
          <w:tab w:val="num" w:pos="1531"/>
        </w:tabs>
        <w:ind w:left="1531" w:hanging="51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0812F3"/>
    <w:multiLevelType w:val="multilevel"/>
    <w:tmpl w:val="F55EB53C"/>
    <w:styleLink w:val="AASBNumbers"/>
    <w:lvl w:ilvl="0">
      <w:start w:val="1"/>
      <w:numFmt w:val="decimal"/>
      <w:lvlText w:val="%1"/>
      <w:lvlJc w:val="left"/>
      <w:pPr>
        <w:ind w:left="709" w:hanging="709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418" w:hanging="709"/>
      </w:pPr>
      <w:rPr>
        <w:rFonts w:hint="default"/>
      </w:rPr>
    </w:lvl>
    <w:lvl w:ilvl="2">
      <w:start w:val="1"/>
      <w:numFmt w:val="lowerRoman"/>
      <w:lvlText w:val="(%3)"/>
      <w:lvlJc w:val="left"/>
      <w:pPr>
        <w:ind w:left="2127" w:hanging="709"/>
      </w:pPr>
      <w:rPr>
        <w:rFonts w:hint="default"/>
      </w:rPr>
    </w:lvl>
    <w:lvl w:ilvl="3">
      <w:start w:val="1"/>
      <w:numFmt w:val="upperLetter"/>
      <w:lvlText w:val="(%4)"/>
      <w:lvlJc w:val="left"/>
      <w:pPr>
        <w:ind w:left="2836" w:hanging="709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545" w:hanging="709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4254" w:hanging="709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3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2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381" w:hanging="709"/>
      </w:pPr>
      <w:rPr>
        <w:rFonts w:hint="default"/>
      </w:rPr>
    </w:lvl>
  </w:abstractNum>
  <w:abstractNum w:abstractNumId="22" w15:restartNumberingAfterBreak="0">
    <w:nsid w:val="61542243"/>
    <w:multiLevelType w:val="multilevel"/>
    <w:tmpl w:val="91328F5C"/>
    <w:lvl w:ilvl="0">
      <w:start w:val="1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asciiTheme="minorHAnsi" w:hAnsiTheme="minorHAnsi" w:cstheme="minorHAnsi" w:hint="default"/>
      </w:rPr>
    </w:lvl>
    <w:lvl w:ilvl="1">
      <w:start w:val="1"/>
      <w:numFmt w:val="lowerLetter"/>
      <w:lvlText w:val="(%2)"/>
      <w:lvlJc w:val="left"/>
      <w:pPr>
        <w:tabs>
          <w:tab w:val="num" w:pos="1021"/>
        </w:tabs>
        <w:ind w:left="1021" w:hanging="511"/>
      </w:pPr>
      <w:rPr>
        <w:rFonts w:asciiTheme="minorHAnsi" w:hAnsiTheme="minorHAnsi" w:cstheme="minorHAnsi" w:hint="default"/>
      </w:rPr>
    </w:lvl>
    <w:lvl w:ilvl="2">
      <w:start w:val="1"/>
      <w:numFmt w:val="lowerRoman"/>
      <w:lvlText w:val="(%3)"/>
      <w:lvlJc w:val="left"/>
      <w:pPr>
        <w:tabs>
          <w:tab w:val="num" w:pos="1531"/>
        </w:tabs>
        <w:ind w:left="1531" w:hanging="510"/>
      </w:pPr>
      <w:rPr>
        <w:rFonts w:hint="default"/>
      </w:rPr>
    </w:lvl>
    <w:lvl w:ilvl="3">
      <w:start w:val="1"/>
      <w:numFmt w:val="upperLetter"/>
      <w:lvlText w:val="(%4)"/>
      <w:lvlJc w:val="left"/>
      <w:pPr>
        <w:tabs>
          <w:tab w:val="num" w:pos="2041"/>
        </w:tabs>
        <w:ind w:left="2041" w:hanging="51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651"/>
        </w:tabs>
        <w:ind w:left="2651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011"/>
        </w:tabs>
        <w:ind w:left="3011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371"/>
        </w:tabs>
        <w:ind w:left="337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731"/>
        </w:tabs>
        <w:ind w:left="3731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091"/>
        </w:tabs>
        <w:ind w:left="4091" w:hanging="360"/>
      </w:pPr>
      <w:rPr>
        <w:rFonts w:hint="default"/>
      </w:rPr>
    </w:lvl>
  </w:abstractNum>
  <w:abstractNum w:abstractNumId="23" w15:restartNumberingAfterBreak="0">
    <w:nsid w:val="64793F73"/>
    <w:multiLevelType w:val="hybridMultilevel"/>
    <w:tmpl w:val="83283B44"/>
    <w:lvl w:ilvl="0" w:tplc="D8F0107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8542394"/>
    <w:multiLevelType w:val="hybridMultilevel"/>
    <w:tmpl w:val="436C0018"/>
    <w:lvl w:ilvl="0" w:tplc="95BA7EA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C02929"/>
    <w:multiLevelType w:val="hybridMultilevel"/>
    <w:tmpl w:val="7F847CDE"/>
    <w:lvl w:ilvl="0" w:tplc="4860E214">
      <w:start w:val="1"/>
      <w:numFmt w:val="bullet"/>
      <w:pStyle w:val="Bullet1"/>
      <w:lvlText w:val=""/>
      <w:lvlJc w:val="left"/>
      <w:pPr>
        <w:tabs>
          <w:tab w:val="num" w:pos="510"/>
        </w:tabs>
        <w:ind w:left="510" w:hanging="51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3F1A9F"/>
    <w:multiLevelType w:val="hybridMultilevel"/>
    <w:tmpl w:val="20361C78"/>
    <w:lvl w:ilvl="0" w:tplc="DD50FCE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FA60715"/>
    <w:multiLevelType w:val="hybridMultilevel"/>
    <w:tmpl w:val="D87CA296"/>
    <w:lvl w:ilvl="0" w:tplc="95BA7EA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4541B4E"/>
    <w:multiLevelType w:val="hybridMultilevel"/>
    <w:tmpl w:val="81CE3E48"/>
    <w:lvl w:ilvl="0" w:tplc="95BA7EA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Roman"/>
      <w:lvlText w:val="(%2)"/>
      <w:lvlJc w:val="left"/>
      <w:pPr>
        <w:ind w:left="1440" w:hanging="36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6231815">
    <w:abstractNumId w:val="14"/>
  </w:num>
  <w:num w:numId="2" w16cid:durableId="1429426008">
    <w:abstractNumId w:val="25"/>
  </w:num>
  <w:num w:numId="3" w16cid:durableId="1559124823">
    <w:abstractNumId w:val="20"/>
  </w:num>
  <w:num w:numId="4" w16cid:durableId="142161562">
    <w:abstractNumId w:val="1"/>
  </w:num>
  <w:num w:numId="5" w16cid:durableId="458110039">
    <w:abstractNumId w:val="13"/>
  </w:num>
  <w:num w:numId="6" w16cid:durableId="750128220">
    <w:abstractNumId w:val="11"/>
  </w:num>
  <w:num w:numId="7" w16cid:durableId="511379662">
    <w:abstractNumId w:val="17"/>
  </w:num>
  <w:num w:numId="8" w16cid:durableId="372267131">
    <w:abstractNumId w:val="10"/>
  </w:num>
  <w:num w:numId="9" w16cid:durableId="97040032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03818809">
    <w:abstractNumId w:val="0"/>
  </w:num>
  <w:num w:numId="11" w16cid:durableId="168638369">
    <w:abstractNumId w:val="22"/>
  </w:num>
  <w:num w:numId="12" w16cid:durableId="1696614698">
    <w:abstractNumId w:val="21"/>
  </w:num>
  <w:num w:numId="13" w16cid:durableId="1462574602">
    <w:abstractNumId w:val="21"/>
    <w:lvlOverride w:ilvl="0">
      <w:lvl w:ilvl="0">
        <w:start w:val="1"/>
        <w:numFmt w:val="decimal"/>
        <w:lvlText w:val="%1"/>
        <w:lvlJc w:val="left"/>
        <w:pPr>
          <w:ind w:left="709" w:hanging="709"/>
        </w:pPr>
        <w:rPr>
          <w:rFonts w:asciiTheme="minorHAnsi" w:hAnsiTheme="minorHAnsi" w:cstheme="minorHAnsi" w:hint="default"/>
        </w:rPr>
      </w:lvl>
    </w:lvlOverride>
    <w:lvlOverride w:ilvl="1">
      <w:lvl w:ilvl="1">
        <w:start w:val="1"/>
        <w:numFmt w:val="lowerLetter"/>
        <w:lvlText w:val="(%2)"/>
        <w:lvlJc w:val="left"/>
        <w:pPr>
          <w:ind w:left="1418" w:hanging="709"/>
        </w:pPr>
        <w:rPr>
          <w:rFonts w:asciiTheme="minorHAnsi" w:hAnsiTheme="minorHAnsi" w:cstheme="minorHAnsi" w:hint="default"/>
        </w:rPr>
      </w:lvl>
    </w:lvlOverride>
    <w:lvlOverride w:ilvl="2">
      <w:lvl w:ilvl="2">
        <w:start w:val="1"/>
        <w:numFmt w:val="lowerRoman"/>
        <w:lvlText w:val="(%3)"/>
        <w:lvlJc w:val="left"/>
        <w:pPr>
          <w:ind w:left="2127" w:hanging="709"/>
        </w:pPr>
        <w:rPr>
          <w:rFonts w:hint="default"/>
        </w:rPr>
      </w:lvl>
    </w:lvlOverride>
    <w:lvlOverride w:ilvl="3">
      <w:lvl w:ilvl="3">
        <w:start w:val="1"/>
        <w:numFmt w:val="upperLetter"/>
        <w:lvlText w:val="(%4)"/>
        <w:lvlJc w:val="left"/>
        <w:pPr>
          <w:ind w:left="2836" w:hanging="709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3545" w:hanging="709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4254" w:hanging="709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4963" w:hanging="709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672" w:hanging="709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6381" w:hanging="709"/>
        </w:pPr>
        <w:rPr>
          <w:rFonts w:hint="default"/>
        </w:rPr>
      </w:lvl>
    </w:lvlOverride>
  </w:num>
  <w:num w:numId="14" w16cid:durableId="1563061224">
    <w:abstractNumId w:val="28"/>
  </w:num>
  <w:num w:numId="15" w16cid:durableId="239173273">
    <w:abstractNumId w:val="5"/>
  </w:num>
  <w:num w:numId="16" w16cid:durableId="647250156">
    <w:abstractNumId w:val="24"/>
  </w:num>
  <w:num w:numId="17" w16cid:durableId="740257289">
    <w:abstractNumId w:val="7"/>
  </w:num>
  <w:num w:numId="18" w16cid:durableId="1654673979">
    <w:abstractNumId w:val="27"/>
  </w:num>
  <w:num w:numId="19" w16cid:durableId="1017077237">
    <w:abstractNumId w:val="4"/>
  </w:num>
  <w:num w:numId="20" w16cid:durableId="1059590281">
    <w:abstractNumId w:val="3"/>
  </w:num>
  <w:num w:numId="21" w16cid:durableId="109471013">
    <w:abstractNumId w:val="2"/>
  </w:num>
  <w:num w:numId="22" w16cid:durableId="2054308717">
    <w:abstractNumId w:val="18"/>
  </w:num>
  <w:num w:numId="23" w16cid:durableId="2006202337">
    <w:abstractNumId w:val="15"/>
  </w:num>
  <w:num w:numId="24" w16cid:durableId="1321499314">
    <w:abstractNumId w:val="16"/>
  </w:num>
  <w:num w:numId="25" w16cid:durableId="17901465">
    <w:abstractNumId w:val="12"/>
  </w:num>
  <w:num w:numId="26" w16cid:durableId="83823199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16956095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39288012">
    <w:abstractNumId w:val="9"/>
  </w:num>
  <w:num w:numId="29" w16cid:durableId="1832329634">
    <w:abstractNumId w:val="8"/>
  </w:num>
  <w:num w:numId="30" w16cid:durableId="1799908742">
    <w:abstractNumId w:val="6"/>
  </w:num>
  <w:num w:numId="31" w16cid:durableId="982850407">
    <w:abstractNumId w:val="26"/>
  </w:num>
  <w:num w:numId="32" w16cid:durableId="643775920">
    <w:abstractNumId w:val="10"/>
  </w:num>
  <w:num w:numId="33" w16cid:durableId="15424456">
    <w:abstractNumId w:val="19"/>
  </w:num>
  <w:num w:numId="34" w16cid:durableId="156128838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activeWritingStyle w:appName="MSWord" w:lang="en-AU" w:vendorID="64" w:dllVersion="5" w:nlCheck="1" w:checkStyle="1"/>
  <w:activeWritingStyle w:appName="MSWord" w:lang="en-GB" w:vendorID="64" w:dllVersion="5" w:nlCheck="1" w:checkStyle="1"/>
  <w:activeWritingStyle w:appName="MSWord" w:lang="en-AU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AU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1" fillcolor="white">
      <v:fill color="white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LI0NTA2MDEwNTQzMrNQ0lEKTi0uzszPAykwMqgFAPLumZQtAAAA"/>
  </w:docVars>
  <w:rsids>
    <w:rsidRoot w:val="00D429C8"/>
    <w:rsid w:val="000018C8"/>
    <w:rsid w:val="00002AB8"/>
    <w:rsid w:val="00005371"/>
    <w:rsid w:val="0000582C"/>
    <w:rsid w:val="00005A5B"/>
    <w:rsid w:val="00006415"/>
    <w:rsid w:val="00007EF5"/>
    <w:rsid w:val="0001425A"/>
    <w:rsid w:val="0001484E"/>
    <w:rsid w:val="000179DB"/>
    <w:rsid w:val="000204A6"/>
    <w:rsid w:val="00021F54"/>
    <w:rsid w:val="00024D2A"/>
    <w:rsid w:val="00026782"/>
    <w:rsid w:val="00031DBC"/>
    <w:rsid w:val="000323AD"/>
    <w:rsid w:val="00032964"/>
    <w:rsid w:val="000340ED"/>
    <w:rsid w:val="00040513"/>
    <w:rsid w:val="000408F8"/>
    <w:rsid w:val="000422D0"/>
    <w:rsid w:val="0004439B"/>
    <w:rsid w:val="00045495"/>
    <w:rsid w:val="00046BDD"/>
    <w:rsid w:val="00055755"/>
    <w:rsid w:val="00056DE8"/>
    <w:rsid w:val="00060911"/>
    <w:rsid w:val="000623C8"/>
    <w:rsid w:val="0006511D"/>
    <w:rsid w:val="00066036"/>
    <w:rsid w:val="00066408"/>
    <w:rsid w:val="00070C26"/>
    <w:rsid w:val="00072CE9"/>
    <w:rsid w:val="00075626"/>
    <w:rsid w:val="00080331"/>
    <w:rsid w:val="0008234F"/>
    <w:rsid w:val="0008242C"/>
    <w:rsid w:val="00082BF7"/>
    <w:rsid w:val="00085B62"/>
    <w:rsid w:val="0008680E"/>
    <w:rsid w:val="00090AD7"/>
    <w:rsid w:val="00090D77"/>
    <w:rsid w:val="000920D3"/>
    <w:rsid w:val="00092229"/>
    <w:rsid w:val="0009268E"/>
    <w:rsid w:val="00093210"/>
    <w:rsid w:val="000936C7"/>
    <w:rsid w:val="00097A0A"/>
    <w:rsid w:val="000A1AB9"/>
    <w:rsid w:val="000A2A30"/>
    <w:rsid w:val="000A47AF"/>
    <w:rsid w:val="000A4C11"/>
    <w:rsid w:val="000A55AB"/>
    <w:rsid w:val="000B07AF"/>
    <w:rsid w:val="000C5889"/>
    <w:rsid w:val="000C7398"/>
    <w:rsid w:val="000C7418"/>
    <w:rsid w:val="000D35EF"/>
    <w:rsid w:val="000D380C"/>
    <w:rsid w:val="000D41A4"/>
    <w:rsid w:val="000D428B"/>
    <w:rsid w:val="000D5A37"/>
    <w:rsid w:val="000E6E09"/>
    <w:rsid w:val="000E7F81"/>
    <w:rsid w:val="000F281A"/>
    <w:rsid w:val="000F2911"/>
    <w:rsid w:val="000F4C2A"/>
    <w:rsid w:val="000F5E84"/>
    <w:rsid w:val="000F6A7B"/>
    <w:rsid w:val="001019DD"/>
    <w:rsid w:val="0010290A"/>
    <w:rsid w:val="00104195"/>
    <w:rsid w:val="00105313"/>
    <w:rsid w:val="001107F1"/>
    <w:rsid w:val="00111680"/>
    <w:rsid w:val="001218DE"/>
    <w:rsid w:val="00121C54"/>
    <w:rsid w:val="00125833"/>
    <w:rsid w:val="00126540"/>
    <w:rsid w:val="00127125"/>
    <w:rsid w:val="0012730F"/>
    <w:rsid w:val="00127933"/>
    <w:rsid w:val="001311D0"/>
    <w:rsid w:val="00131465"/>
    <w:rsid w:val="00131C3F"/>
    <w:rsid w:val="00141D3C"/>
    <w:rsid w:val="00143ED2"/>
    <w:rsid w:val="00144661"/>
    <w:rsid w:val="00144CC0"/>
    <w:rsid w:val="00145D0F"/>
    <w:rsid w:val="00150682"/>
    <w:rsid w:val="00154C92"/>
    <w:rsid w:val="0015670A"/>
    <w:rsid w:val="001639EB"/>
    <w:rsid w:val="00164A51"/>
    <w:rsid w:val="0018198F"/>
    <w:rsid w:val="00183A24"/>
    <w:rsid w:val="00190DF0"/>
    <w:rsid w:val="001934F4"/>
    <w:rsid w:val="00195D9C"/>
    <w:rsid w:val="00197BD6"/>
    <w:rsid w:val="001A3A3D"/>
    <w:rsid w:val="001A4178"/>
    <w:rsid w:val="001A5D6F"/>
    <w:rsid w:val="001B14BE"/>
    <w:rsid w:val="001B171E"/>
    <w:rsid w:val="001B490C"/>
    <w:rsid w:val="001B50B0"/>
    <w:rsid w:val="001B6F82"/>
    <w:rsid w:val="001C0A1E"/>
    <w:rsid w:val="001C0DE5"/>
    <w:rsid w:val="001C510E"/>
    <w:rsid w:val="001C7634"/>
    <w:rsid w:val="001D0117"/>
    <w:rsid w:val="001D11AD"/>
    <w:rsid w:val="001D1FFA"/>
    <w:rsid w:val="001D25AD"/>
    <w:rsid w:val="001D69FD"/>
    <w:rsid w:val="001D7DA0"/>
    <w:rsid w:val="001E0872"/>
    <w:rsid w:val="001E0EA2"/>
    <w:rsid w:val="001E26D3"/>
    <w:rsid w:val="001E2BEB"/>
    <w:rsid w:val="001E4107"/>
    <w:rsid w:val="001E50B3"/>
    <w:rsid w:val="001E5C5D"/>
    <w:rsid w:val="001F3ED4"/>
    <w:rsid w:val="001F648A"/>
    <w:rsid w:val="001F6C93"/>
    <w:rsid w:val="001F7111"/>
    <w:rsid w:val="00200047"/>
    <w:rsid w:val="0020218F"/>
    <w:rsid w:val="0020261B"/>
    <w:rsid w:val="00203B57"/>
    <w:rsid w:val="00205EE9"/>
    <w:rsid w:val="00206A47"/>
    <w:rsid w:val="00212B63"/>
    <w:rsid w:val="00214B06"/>
    <w:rsid w:val="00216D67"/>
    <w:rsid w:val="00220F1B"/>
    <w:rsid w:val="00223EED"/>
    <w:rsid w:val="00225101"/>
    <w:rsid w:val="00225C75"/>
    <w:rsid w:val="00226895"/>
    <w:rsid w:val="00226D88"/>
    <w:rsid w:val="00227FB6"/>
    <w:rsid w:val="00230E6D"/>
    <w:rsid w:val="0023104C"/>
    <w:rsid w:val="00234DBE"/>
    <w:rsid w:val="002353CC"/>
    <w:rsid w:val="002366DD"/>
    <w:rsid w:val="00236896"/>
    <w:rsid w:val="00243728"/>
    <w:rsid w:val="00247FC3"/>
    <w:rsid w:val="0025532B"/>
    <w:rsid w:val="0025596E"/>
    <w:rsid w:val="002600A4"/>
    <w:rsid w:val="002666DA"/>
    <w:rsid w:val="00266D81"/>
    <w:rsid w:val="00267D86"/>
    <w:rsid w:val="00272C26"/>
    <w:rsid w:val="00273574"/>
    <w:rsid w:val="00275588"/>
    <w:rsid w:val="002757BB"/>
    <w:rsid w:val="002826A5"/>
    <w:rsid w:val="00282A29"/>
    <w:rsid w:val="0028374D"/>
    <w:rsid w:val="00284D8D"/>
    <w:rsid w:val="00285A3A"/>
    <w:rsid w:val="002A46EC"/>
    <w:rsid w:val="002A4C26"/>
    <w:rsid w:val="002A6880"/>
    <w:rsid w:val="002A69C7"/>
    <w:rsid w:val="002B36F5"/>
    <w:rsid w:val="002B712A"/>
    <w:rsid w:val="002C0FEE"/>
    <w:rsid w:val="002C3966"/>
    <w:rsid w:val="002D4E3D"/>
    <w:rsid w:val="002D6726"/>
    <w:rsid w:val="002D6D7A"/>
    <w:rsid w:val="002E2390"/>
    <w:rsid w:val="002E68F8"/>
    <w:rsid w:val="002E6AE0"/>
    <w:rsid w:val="002F49F8"/>
    <w:rsid w:val="002F6757"/>
    <w:rsid w:val="002F724F"/>
    <w:rsid w:val="0030160B"/>
    <w:rsid w:val="0032467B"/>
    <w:rsid w:val="0033233B"/>
    <w:rsid w:val="003329B8"/>
    <w:rsid w:val="00333721"/>
    <w:rsid w:val="0033786B"/>
    <w:rsid w:val="0034440A"/>
    <w:rsid w:val="00345A43"/>
    <w:rsid w:val="0034635D"/>
    <w:rsid w:val="003469FC"/>
    <w:rsid w:val="00347521"/>
    <w:rsid w:val="00352568"/>
    <w:rsid w:val="00352D10"/>
    <w:rsid w:val="00355A45"/>
    <w:rsid w:val="00357735"/>
    <w:rsid w:val="003747A9"/>
    <w:rsid w:val="00377953"/>
    <w:rsid w:val="003800D1"/>
    <w:rsid w:val="00384832"/>
    <w:rsid w:val="00384DE0"/>
    <w:rsid w:val="00385E62"/>
    <w:rsid w:val="0039164A"/>
    <w:rsid w:val="00391989"/>
    <w:rsid w:val="00391DC5"/>
    <w:rsid w:val="00391ED9"/>
    <w:rsid w:val="00393561"/>
    <w:rsid w:val="00394380"/>
    <w:rsid w:val="003959F6"/>
    <w:rsid w:val="00396BCD"/>
    <w:rsid w:val="003975D1"/>
    <w:rsid w:val="00397D98"/>
    <w:rsid w:val="003A09B8"/>
    <w:rsid w:val="003A1E87"/>
    <w:rsid w:val="003A2645"/>
    <w:rsid w:val="003A5EC1"/>
    <w:rsid w:val="003B4FF3"/>
    <w:rsid w:val="003C1874"/>
    <w:rsid w:val="003C6042"/>
    <w:rsid w:val="003C701F"/>
    <w:rsid w:val="003C7139"/>
    <w:rsid w:val="003D1F98"/>
    <w:rsid w:val="003D3301"/>
    <w:rsid w:val="003E05BE"/>
    <w:rsid w:val="003E145B"/>
    <w:rsid w:val="003E5E16"/>
    <w:rsid w:val="003F01EE"/>
    <w:rsid w:val="003F02D6"/>
    <w:rsid w:val="003F1B8F"/>
    <w:rsid w:val="003F5B8A"/>
    <w:rsid w:val="00400192"/>
    <w:rsid w:val="0040107E"/>
    <w:rsid w:val="00402FB3"/>
    <w:rsid w:val="004035D5"/>
    <w:rsid w:val="0041172E"/>
    <w:rsid w:val="0041320B"/>
    <w:rsid w:val="00413230"/>
    <w:rsid w:val="00413838"/>
    <w:rsid w:val="00413F93"/>
    <w:rsid w:val="00414BC3"/>
    <w:rsid w:val="00416FE6"/>
    <w:rsid w:val="004179BF"/>
    <w:rsid w:val="004209B2"/>
    <w:rsid w:val="00431441"/>
    <w:rsid w:val="0043213F"/>
    <w:rsid w:val="00434707"/>
    <w:rsid w:val="00434740"/>
    <w:rsid w:val="00437036"/>
    <w:rsid w:val="00442527"/>
    <w:rsid w:val="00445C5B"/>
    <w:rsid w:val="0044721A"/>
    <w:rsid w:val="00457DCC"/>
    <w:rsid w:val="004605B1"/>
    <w:rsid w:val="004607FB"/>
    <w:rsid w:val="00462D2E"/>
    <w:rsid w:val="0046675A"/>
    <w:rsid w:val="00466C21"/>
    <w:rsid w:val="00467D03"/>
    <w:rsid w:val="00470B89"/>
    <w:rsid w:val="004729F8"/>
    <w:rsid w:val="004772DF"/>
    <w:rsid w:val="0047780E"/>
    <w:rsid w:val="00484224"/>
    <w:rsid w:val="00493DD4"/>
    <w:rsid w:val="00494595"/>
    <w:rsid w:val="00497655"/>
    <w:rsid w:val="004A1B65"/>
    <w:rsid w:val="004A25C5"/>
    <w:rsid w:val="004A4C97"/>
    <w:rsid w:val="004A793F"/>
    <w:rsid w:val="004B136A"/>
    <w:rsid w:val="004B1D54"/>
    <w:rsid w:val="004C0714"/>
    <w:rsid w:val="004C1746"/>
    <w:rsid w:val="004C290D"/>
    <w:rsid w:val="004C36DF"/>
    <w:rsid w:val="004C3B43"/>
    <w:rsid w:val="004C62D2"/>
    <w:rsid w:val="004D1170"/>
    <w:rsid w:val="004D2BDB"/>
    <w:rsid w:val="004E156F"/>
    <w:rsid w:val="004E568C"/>
    <w:rsid w:val="004E696F"/>
    <w:rsid w:val="004E6B37"/>
    <w:rsid w:val="004F063D"/>
    <w:rsid w:val="004F5926"/>
    <w:rsid w:val="004F7010"/>
    <w:rsid w:val="004F71C6"/>
    <w:rsid w:val="005002D9"/>
    <w:rsid w:val="00512D58"/>
    <w:rsid w:val="00512F90"/>
    <w:rsid w:val="00513491"/>
    <w:rsid w:val="00514DD1"/>
    <w:rsid w:val="00520E9E"/>
    <w:rsid w:val="00523B47"/>
    <w:rsid w:val="00526DA0"/>
    <w:rsid w:val="00532273"/>
    <w:rsid w:val="005324F0"/>
    <w:rsid w:val="0053377E"/>
    <w:rsid w:val="005352D8"/>
    <w:rsid w:val="00540A97"/>
    <w:rsid w:val="00540E70"/>
    <w:rsid w:val="0054405E"/>
    <w:rsid w:val="0054748E"/>
    <w:rsid w:val="00550D2A"/>
    <w:rsid w:val="00551058"/>
    <w:rsid w:val="0055197A"/>
    <w:rsid w:val="00553133"/>
    <w:rsid w:val="00556F21"/>
    <w:rsid w:val="00557E5F"/>
    <w:rsid w:val="00565477"/>
    <w:rsid w:val="00565A4C"/>
    <w:rsid w:val="00570C59"/>
    <w:rsid w:val="0057408A"/>
    <w:rsid w:val="00575996"/>
    <w:rsid w:val="005845A2"/>
    <w:rsid w:val="005856F5"/>
    <w:rsid w:val="005874FB"/>
    <w:rsid w:val="00590D31"/>
    <w:rsid w:val="00592267"/>
    <w:rsid w:val="00596B1D"/>
    <w:rsid w:val="00596EEC"/>
    <w:rsid w:val="00597161"/>
    <w:rsid w:val="005A0715"/>
    <w:rsid w:val="005A5A29"/>
    <w:rsid w:val="005B0AB4"/>
    <w:rsid w:val="005B10CF"/>
    <w:rsid w:val="005B238F"/>
    <w:rsid w:val="005B39FC"/>
    <w:rsid w:val="005B7BB7"/>
    <w:rsid w:val="005C4640"/>
    <w:rsid w:val="005D5F81"/>
    <w:rsid w:val="005E25CA"/>
    <w:rsid w:val="005E2750"/>
    <w:rsid w:val="005E2BBE"/>
    <w:rsid w:val="005E4C0C"/>
    <w:rsid w:val="005F0581"/>
    <w:rsid w:val="005F1173"/>
    <w:rsid w:val="005F14BD"/>
    <w:rsid w:val="005F3AA4"/>
    <w:rsid w:val="005F4451"/>
    <w:rsid w:val="005F5F3C"/>
    <w:rsid w:val="005F75FF"/>
    <w:rsid w:val="006057DA"/>
    <w:rsid w:val="006104FA"/>
    <w:rsid w:val="0061517C"/>
    <w:rsid w:val="006163AE"/>
    <w:rsid w:val="00616B47"/>
    <w:rsid w:val="00620A91"/>
    <w:rsid w:val="00620C24"/>
    <w:rsid w:val="006211F7"/>
    <w:rsid w:val="00626AC2"/>
    <w:rsid w:val="0063194F"/>
    <w:rsid w:val="00632D20"/>
    <w:rsid w:val="00635087"/>
    <w:rsid w:val="00635FA2"/>
    <w:rsid w:val="0064180B"/>
    <w:rsid w:val="0064180C"/>
    <w:rsid w:val="00646823"/>
    <w:rsid w:val="006575CF"/>
    <w:rsid w:val="00657B70"/>
    <w:rsid w:val="00661038"/>
    <w:rsid w:val="006628B2"/>
    <w:rsid w:val="006638BF"/>
    <w:rsid w:val="00664EE6"/>
    <w:rsid w:val="00666164"/>
    <w:rsid w:val="00667DFB"/>
    <w:rsid w:val="0067073C"/>
    <w:rsid w:val="0067195B"/>
    <w:rsid w:val="00672100"/>
    <w:rsid w:val="006776BD"/>
    <w:rsid w:val="00677EC0"/>
    <w:rsid w:val="006842E7"/>
    <w:rsid w:val="00684668"/>
    <w:rsid w:val="00685257"/>
    <w:rsid w:val="00686B7C"/>
    <w:rsid w:val="00692349"/>
    <w:rsid w:val="0069260A"/>
    <w:rsid w:val="00696DAB"/>
    <w:rsid w:val="006A01D2"/>
    <w:rsid w:val="006A0C7C"/>
    <w:rsid w:val="006A19DB"/>
    <w:rsid w:val="006A2549"/>
    <w:rsid w:val="006A2A04"/>
    <w:rsid w:val="006A56D8"/>
    <w:rsid w:val="006B1B4A"/>
    <w:rsid w:val="006B1C9A"/>
    <w:rsid w:val="006B4CBF"/>
    <w:rsid w:val="006C2FAB"/>
    <w:rsid w:val="006C34F1"/>
    <w:rsid w:val="006C39D1"/>
    <w:rsid w:val="006C5EB8"/>
    <w:rsid w:val="006D5858"/>
    <w:rsid w:val="006D6B35"/>
    <w:rsid w:val="006E776F"/>
    <w:rsid w:val="006E7AB7"/>
    <w:rsid w:val="006F217C"/>
    <w:rsid w:val="006F3F09"/>
    <w:rsid w:val="006F422A"/>
    <w:rsid w:val="006F46DE"/>
    <w:rsid w:val="00700221"/>
    <w:rsid w:val="0070090E"/>
    <w:rsid w:val="00702030"/>
    <w:rsid w:val="00703E59"/>
    <w:rsid w:val="0070643A"/>
    <w:rsid w:val="00706D55"/>
    <w:rsid w:val="00711664"/>
    <w:rsid w:val="00717627"/>
    <w:rsid w:val="007178F3"/>
    <w:rsid w:val="00720919"/>
    <w:rsid w:val="00720A2E"/>
    <w:rsid w:val="00722CEF"/>
    <w:rsid w:val="00723036"/>
    <w:rsid w:val="007231BD"/>
    <w:rsid w:val="00725F07"/>
    <w:rsid w:val="007261ED"/>
    <w:rsid w:val="007303BE"/>
    <w:rsid w:val="00731975"/>
    <w:rsid w:val="007322D6"/>
    <w:rsid w:val="007328C0"/>
    <w:rsid w:val="00735E30"/>
    <w:rsid w:val="00740E27"/>
    <w:rsid w:val="00741AD2"/>
    <w:rsid w:val="00743146"/>
    <w:rsid w:val="00753A73"/>
    <w:rsid w:val="00753C86"/>
    <w:rsid w:val="00755B4C"/>
    <w:rsid w:val="00755D8C"/>
    <w:rsid w:val="00757555"/>
    <w:rsid w:val="007676C0"/>
    <w:rsid w:val="007729D8"/>
    <w:rsid w:val="00772FD5"/>
    <w:rsid w:val="00774277"/>
    <w:rsid w:val="00781C08"/>
    <w:rsid w:val="00783BEC"/>
    <w:rsid w:val="00785522"/>
    <w:rsid w:val="00787825"/>
    <w:rsid w:val="00791279"/>
    <w:rsid w:val="00791336"/>
    <w:rsid w:val="00794926"/>
    <w:rsid w:val="007A3F9F"/>
    <w:rsid w:val="007A487E"/>
    <w:rsid w:val="007B02E3"/>
    <w:rsid w:val="007B3132"/>
    <w:rsid w:val="007B323F"/>
    <w:rsid w:val="007B4653"/>
    <w:rsid w:val="007B539D"/>
    <w:rsid w:val="007B5B14"/>
    <w:rsid w:val="007C13D0"/>
    <w:rsid w:val="007C1A79"/>
    <w:rsid w:val="007C1E39"/>
    <w:rsid w:val="007C1FC7"/>
    <w:rsid w:val="007C2A76"/>
    <w:rsid w:val="007C2B04"/>
    <w:rsid w:val="007D1E4B"/>
    <w:rsid w:val="007D22EA"/>
    <w:rsid w:val="007D4E29"/>
    <w:rsid w:val="007D6D1B"/>
    <w:rsid w:val="007E432E"/>
    <w:rsid w:val="007E548A"/>
    <w:rsid w:val="007F0D5E"/>
    <w:rsid w:val="007F4E20"/>
    <w:rsid w:val="007F559F"/>
    <w:rsid w:val="00802C2B"/>
    <w:rsid w:val="0081090E"/>
    <w:rsid w:val="00813CFA"/>
    <w:rsid w:val="008145DF"/>
    <w:rsid w:val="00822659"/>
    <w:rsid w:val="008261A7"/>
    <w:rsid w:val="0082668C"/>
    <w:rsid w:val="00826FE1"/>
    <w:rsid w:val="00827718"/>
    <w:rsid w:val="00830F6B"/>
    <w:rsid w:val="008343DD"/>
    <w:rsid w:val="00835C4B"/>
    <w:rsid w:val="008377FF"/>
    <w:rsid w:val="00840DF9"/>
    <w:rsid w:val="00840E63"/>
    <w:rsid w:val="008412BD"/>
    <w:rsid w:val="00843BF6"/>
    <w:rsid w:val="0084574B"/>
    <w:rsid w:val="00846DF4"/>
    <w:rsid w:val="008507D9"/>
    <w:rsid w:val="008509A0"/>
    <w:rsid w:val="008535B7"/>
    <w:rsid w:val="00854155"/>
    <w:rsid w:val="00854BCD"/>
    <w:rsid w:val="00855B93"/>
    <w:rsid w:val="00857B51"/>
    <w:rsid w:val="00857D06"/>
    <w:rsid w:val="00861618"/>
    <w:rsid w:val="00866B9F"/>
    <w:rsid w:val="00870C00"/>
    <w:rsid w:val="00874743"/>
    <w:rsid w:val="00874B2D"/>
    <w:rsid w:val="00882101"/>
    <w:rsid w:val="008824C2"/>
    <w:rsid w:val="00891737"/>
    <w:rsid w:val="00896AE0"/>
    <w:rsid w:val="008A471F"/>
    <w:rsid w:val="008A6ADF"/>
    <w:rsid w:val="008B0972"/>
    <w:rsid w:val="008B63BA"/>
    <w:rsid w:val="008B66C2"/>
    <w:rsid w:val="008C1BD9"/>
    <w:rsid w:val="008C1FEB"/>
    <w:rsid w:val="008C5B82"/>
    <w:rsid w:val="008C676C"/>
    <w:rsid w:val="008C70DC"/>
    <w:rsid w:val="008C7E56"/>
    <w:rsid w:val="008D3E1A"/>
    <w:rsid w:val="008E0FA7"/>
    <w:rsid w:val="008E4294"/>
    <w:rsid w:val="008E4AEA"/>
    <w:rsid w:val="008E704E"/>
    <w:rsid w:val="008F344A"/>
    <w:rsid w:val="008F53E7"/>
    <w:rsid w:val="008F5FAD"/>
    <w:rsid w:val="008F6E8E"/>
    <w:rsid w:val="008F73FD"/>
    <w:rsid w:val="00902A7E"/>
    <w:rsid w:val="00905ED9"/>
    <w:rsid w:val="00906821"/>
    <w:rsid w:val="0090761D"/>
    <w:rsid w:val="00907DFB"/>
    <w:rsid w:val="00912BD6"/>
    <w:rsid w:val="00913B8E"/>
    <w:rsid w:val="009143FD"/>
    <w:rsid w:val="00916B64"/>
    <w:rsid w:val="00917770"/>
    <w:rsid w:val="009178BF"/>
    <w:rsid w:val="00920660"/>
    <w:rsid w:val="009242DC"/>
    <w:rsid w:val="0092539D"/>
    <w:rsid w:val="00930915"/>
    <w:rsid w:val="0093220C"/>
    <w:rsid w:val="00934282"/>
    <w:rsid w:val="00934970"/>
    <w:rsid w:val="00936AD7"/>
    <w:rsid w:val="009476A5"/>
    <w:rsid w:val="009548C5"/>
    <w:rsid w:val="00956812"/>
    <w:rsid w:val="00957D59"/>
    <w:rsid w:val="0096075E"/>
    <w:rsid w:val="009622C4"/>
    <w:rsid w:val="00963C4D"/>
    <w:rsid w:val="00964BC3"/>
    <w:rsid w:val="009707EC"/>
    <w:rsid w:val="00970EDD"/>
    <w:rsid w:val="00971548"/>
    <w:rsid w:val="00972EC0"/>
    <w:rsid w:val="0098005F"/>
    <w:rsid w:val="009839D3"/>
    <w:rsid w:val="00985250"/>
    <w:rsid w:val="0099346E"/>
    <w:rsid w:val="00995438"/>
    <w:rsid w:val="00997560"/>
    <w:rsid w:val="009A252B"/>
    <w:rsid w:val="009A280B"/>
    <w:rsid w:val="009B1B46"/>
    <w:rsid w:val="009C0E46"/>
    <w:rsid w:val="009C31A4"/>
    <w:rsid w:val="009C31B0"/>
    <w:rsid w:val="009C3564"/>
    <w:rsid w:val="009C5C89"/>
    <w:rsid w:val="009C63F9"/>
    <w:rsid w:val="009D0A9C"/>
    <w:rsid w:val="009D1845"/>
    <w:rsid w:val="009D533C"/>
    <w:rsid w:val="009D5CEF"/>
    <w:rsid w:val="009D60EF"/>
    <w:rsid w:val="009D6119"/>
    <w:rsid w:val="009D6572"/>
    <w:rsid w:val="009D74AC"/>
    <w:rsid w:val="009E0B7F"/>
    <w:rsid w:val="009E0BD4"/>
    <w:rsid w:val="009E0F37"/>
    <w:rsid w:val="009E451E"/>
    <w:rsid w:val="009F2CD1"/>
    <w:rsid w:val="009F7265"/>
    <w:rsid w:val="00A019FC"/>
    <w:rsid w:val="00A02299"/>
    <w:rsid w:val="00A02CA7"/>
    <w:rsid w:val="00A033D0"/>
    <w:rsid w:val="00A043F0"/>
    <w:rsid w:val="00A04C1F"/>
    <w:rsid w:val="00A07B58"/>
    <w:rsid w:val="00A108EA"/>
    <w:rsid w:val="00A11C54"/>
    <w:rsid w:val="00A12B2F"/>
    <w:rsid w:val="00A13412"/>
    <w:rsid w:val="00A14C37"/>
    <w:rsid w:val="00A2422B"/>
    <w:rsid w:val="00A24F6F"/>
    <w:rsid w:val="00A33757"/>
    <w:rsid w:val="00A37B3E"/>
    <w:rsid w:val="00A41043"/>
    <w:rsid w:val="00A419EF"/>
    <w:rsid w:val="00A41EF3"/>
    <w:rsid w:val="00A43A11"/>
    <w:rsid w:val="00A43C4F"/>
    <w:rsid w:val="00A46379"/>
    <w:rsid w:val="00A479AE"/>
    <w:rsid w:val="00A531DE"/>
    <w:rsid w:val="00A56177"/>
    <w:rsid w:val="00A61CB2"/>
    <w:rsid w:val="00A63261"/>
    <w:rsid w:val="00A63682"/>
    <w:rsid w:val="00A65B93"/>
    <w:rsid w:val="00A67DE1"/>
    <w:rsid w:val="00A7681D"/>
    <w:rsid w:val="00A802A3"/>
    <w:rsid w:val="00A8344C"/>
    <w:rsid w:val="00A90590"/>
    <w:rsid w:val="00A90A3D"/>
    <w:rsid w:val="00A92FFA"/>
    <w:rsid w:val="00A9484D"/>
    <w:rsid w:val="00A94D35"/>
    <w:rsid w:val="00A94F2A"/>
    <w:rsid w:val="00A97AA9"/>
    <w:rsid w:val="00A97B77"/>
    <w:rsid w:val="00A97E68"/>
    <w:rsid w:val="00AA0395"/>
    <w:rsid w:val="00AB18E2"/>
    <w:rsid w:val="00AB2137"/>
    <w:rsid w:val="00AB61AB"/>
    <w:rsid w:val="00AB7BA8"/>
    <w:rsid w:val="00AC2063"/>
    <w:rsid w:val="00AC2CA9"/>
    <w:rsid w:val="00AC45EE"/>
    <w:rsid w:val="00AD44F9"/>
    <w:rsid w:val="00AE1F8A"/>
    <w:rsid w:val="00AE58EB"/>
    <w:rsid w:val="00AF02A8"/>
    <w:rsid w:val="00AF3C4B"/>
    <w:rsid w:val="00AF498D"/>
    <w:rsid w:val="00AF61C3"/>
    <w:rsid w:val="00AF7057"/>
    <w:rsid w:val="00B00C1B"/>
    <w:rsid w:val="00B02951"/>
    <w:rsid w:val="00B03633"/>
    <w:rsid w:val="00B06683"/>
    <w:rsid w:val="00B10AB1"/>
    <w:rsid w:val="00B127B5"/>
    <w:rsid w:val="00B13409"/>
    <w:rsid w:val="00B15296"/>
    <w:rsid w:val="00B21A3B"/>
    <w:rsid w:val="00B223A3"/>
    <w:rsid w:val="00B238A4"/>
    <w:rsid w:val="00B259A2"/>
    <w:rsid w:val="00B44EFA"/>
    <w:rsid w:val="00B45B76"/>
    <w:rsid w:val="00B461A7"/>
    <w:rsid w:val="00B50A3C"/>
    <w:rsid w:val="00B5196B"/>
    <w:rsid w:val="00B528E1"/>
    <w:rsid w:val="00B53860"/>
    <w:rsid w:val="00B54797"/>
    <w:rsid w:val="00B672E3"/>
    <w:rsid w:val="00B67434"/>
    <w:rsid w:val="00B71395"/>
    <w:rsid w:val="00B716EA"/>
    <w:rsid w:val="00B72216"/>
    <w:rsid w:val="00B805A9"/>
    <w:rsid w:val="00B81972"/>
    <w:rsid w:val="00B8258E"/>
    <w:rsid w:val="00B842DF"/>
    <w:rsid w:val="00B85DBC"/>
    <w:rsid w:val="00B93CE4"/>
    <w:rsid w:val="00B95788"/>
    <w:rsid w:val="00BA44B8"/>
    <w:rsid w:val="00BA5153"/>
    <w:rsid w:val="00BB2459"/>
    <w:rsid w:val="00BB51DD"/>
    <w:rsid w:val="00BB74CE"/>
    <w:rsid w:val="00BD0B5B"/>
    <w:rsid w:val="00BD779A"/>
    <w:rsid w:val="00BE1060"/>
    <w:rsid w:val="00BE1DD0"/>
    <w:rsid w:val="00BE2C0C"/>
    <w:rsid w:val="00BE6290"/>
    <w:rsid w:val="00BE66D4"/>
    <w:rsid w:val="00BF542F"/>
    <w:rsid w:val="00C04EB7"/>
    <w:rsid w:val="00C05016"/>
    <w:rsid w:val="00C05354"/>
    <w:rsid w:val="00C06546"/>
    <w:rsid w:val="00C068D8"/>
    <w:rsid w:val="00C119CC"/>
    <w:rsid w:val="00C12573"/>
    <w:rsid w:val="00C1395D"/>
    <w:rsid w:val="00C14CCB"/>
    <w:rsid w:val="00C204F9"/>
    <w:rsid w:val="00C21F45"/>
    <w:rsid w:val="00C2384B"/>
    <w:rsid w:val="00C23936"/>
    <w:rsid w:val="00C313B4"/>
    <w:rsid w:val="00C32AEE"/>
    <w:rsid w:val="00C34A0B"/>
    <w:rsid w:val="00C35A20"/>
    <w:rsid w:val="00C36497"/>
    <w:rsid w:val="00C43F58"/>
    <w:rsid w:val="00C50B67"/>
    <w:rsid w:val="00C546C0"/>
    <w:rsid w:val="00C55425"/>
    <w:rsid w:val="00C6133A"/>
    <w:rsid w:val="00C615C6"/>
    <w:rsid w:val="00C61FC6"/>
    <w:rsid w:val="00C61FC9"/>
    <w:rsid w:val="00C621E9"/>
    <w:rsid w:val="00C6246D"/>
    <w:rsid w:val="00C634BB"/>
    <w:rsid w:val="00C63734"/>
    <w:rsid w:val="00C65EA0"/>
    <w:rsid w:val="00C661A8"/>
    <w:rsid w:val="00C742AA"/>
    <w:rsid w:val="00C744B3"/>
    <w:rsid w:val="00C758E7"/>
    <w:rsid w:val="00C80CE0"/>
    <w:rsid w:val="00C813F4"/>
    <w:rsid w:val="00C82A8C"/>
    <w:rsid w:val="00C92AB4"/>
    <w:rsid w:val="00C92E61"/>
    <w:rsid w:val="00C93AFB"/>
    <w:rsid w:val="00CA1593"/>
    <w:rsid w:val="00CA20FA"/>
    <w:rsid w:val="00CA39B3"/>
    <w:rsid w:val="00CA401C"/>
    <w:rsid w:val="00CA518E"/>
    <w:rsid w:val="00CA51AF"/>
    <w:rsid w:val="00CB3858"/>
    <w:rsid w:val="00CB49A1"/>
    <w:rsid w:val="00CB72D9"/>
    <w:rsid w:val="00CB74B0"/>
    <w:rsid w:val="00CC546B"/>
    <w:rsid w:val="00CC779C"/>
    <w:rsid w:val="00CD0A54"/>
    <w:rsid w:val="00CD1AB2"/>
    <w:rsid w:val="00CD50A4"/>
    <w:rsid w:val="00CE070C"/>
    <w:rsid w:val="00CE4A0F"/>
    <w:rsid w:val="00CF19C5"/>
    <w:rsid w:val="00CF2F7C"/>
    <w:rsid w:val="00CF3D4E"/>
    <w:rsid w:val="00CF4D2F"/>
    <w:rsid w:val="00CF72F6"/>
    <w:rsid w:val="00D02AD3"/>
    <w:rsid w:val="00D03547"/>
    <w:rsid w:val="00D03A28"/>
    <w:rsid w:val="00D04F30"/>
    <w:rsid w:val="00D06196"/>
    <w:rsid w:val="00D10418"/>
    <w:rsid w:val="00D15C0A"/>
    <w:rsid w:val="00D17CF4"/>
    <w:rsid w:val="00D2018D"/>
    <w:rsid w:val="00D2416F"/>
    <w:rsid w:val="00D2418C"/>
    <w:rsid w:val="00D24634"/>
    <w:rsid w:val="00D24B3E"/>
    <w:rsid w:val="00D27169"/>
    <w:rsid w:val="00D27E14"/>
    <w:rsid w:val="00D3041D"/>
    <w:rsid w:val="00D32242"/>
    <w:rsid w:val="00D33B89"/>
    <w:rsid w:val="00D37F60"/>
    <w:rsid w:val="00D40502"/>
    <w:rsid w:val="00D429C8"/>
    <w:rsid w:val="00D43163"/>
    <w:rsid w:val="00D511B3"/>
    <w:rsid w:val="00D5323B"/>
    <w:rsid w:val="00D5363A"/>
    <w:rsid w:val="00D6130C"/>
    <w:rsid w:val="00D67C43"/>
    <w:rsid w:val="00D71916"/>
    <w:rsid w:val="00D71B35"/>
    <w:rsid w:val="00D74C19"/>
    <w:rsid w:val="00D81427"/>
    <w:rsid w:val="00D82053"/>
    <w:rsid w:val="00D850DE"/>
    <w:rsid w:val="00D930DE"/>
    <w:rsid w:val="00D948E2"/>
    <w:rsid w:val="00D96A9D"/>
    <w:rsid w:val="00DA2E07"/>
    <w:rsid w:val="00DA32D2"/>
    <w:rsid w:val="00DA505F"/>
    <w:rsid w:val="00DB5798"/>
    <w:rsid w:val="00DB7140"/>
    <w:rsid w:val="00DB7B14"/>
    <w:rsid w:val="00DC2925"/>
    <w:rsid w:val="00DC552A"/>
    <w:rsid w:val="00DC5E59"/>
    <w:rsid w:val="00DD1167"/>
    <w:rsid w:val="00DD2F16"/>
    <w:rsid w:val="00DD3B65"/>
    <w:rsid w:val="00DD3FDF"/>
    <w:rsid w:val="00DD7166"/>
    <w:rsid w:val="00DE2BF2"/>
    <w:rsid w:val="00DE2EAB"/>
    <w:rsid w:val="00DE3A04"/>
    <w:rsid w:val="00DF183B"/>
    <w:rsid w:val="00DF23D7"/>
    <w:rsid w:val="00E00D64"/>
    <w:rsid w:val="00E014B9"/>
    <w:rsid w:val="00E030B5"/>
    <w:rsid w:val="00E04398"/>
    <w:rsid w:val="00E079C1"/>
    <w:rsid w:val="00E113C4"/>
    <w:rsid w:val="00E11F07"/>
    <w:rsid w:val="00E12D6E"/>
    <w:rsid w:val="00E15D64"/>
    <w:rsid w:val="00E1658F"/>
    <w:rsid w:val="00E24278"/>
    <w:rsid w:val="00E2740C"/>
    <w:rsid w:val="00E2749C"/>
    <w:rsid w:val="00E332B9"/>
    <w:rsid w:val="00E34411"/>
    <w:rsid w:val="00E401CE"/>
    <w:rsid w:val="00E41A44"/>
    <w:rsid w:val="00E41E4F"/>
    <w:rsid w:val="00E443CF"/>
    <w:rsid w:val="00E4487C"/>
    <w:rsid w:val="00E463EF"/>
    <w:rsid w:val="00E574C8"/>
    <w:rsid w:val="00E73DA9"/>
    <w:rsid w:val="00E767BE"/>
    <w:rsid w:val="00E770E5"/>
    <w:rsid w:val="00E7777B"/>
    <w:rsid w:val="00E8259F"/>
    <w:rsid w:val="00E84132"/>
    <w:rsid w:val="00E90C7E"/>
    <w:rsid w:val="00E9242D"/>
    <w:rsid w:val="00E928A7"/>
    <w:rsid w:val="00E938FD"/>
    <w:rsid w:val="00EA0A87"/>
    <w:rsid w:val="00EA0CF7"/>
    <w:rsid w:val="00EA56FD"/>
    <w:rsid w:val="00EA6908"/>
    <w:rsid w:val="00EB3C56"/>
    <w:rsid w:val="00EB406E"/>
    <w:rsid w:val="00EB7E6E"/>
    <w:rsid w:val="00EC1092"/>
    <w:rsid w:val="00EC3CE5"/>
    <w:rsid w:val="00EC63A9"/>
    <w:rsid w:val="00ED01B4"/>
    <w:rsid w:val="00ED03F7"/>
    <w:rsid w:val="00ED08B8"/>
    <w:rsid w:val="00ED5250"/>
    <w:rsid w:val="00EE1FA6"/>
    <w:rsid w:val="00EF1E68"/>
    <w:rsid w:val="00F038A3"/>
    <w:rsid w:val="00F0393A"/>
    <w:rsid w:val="00F041AA"/>
    <w:rsid w:val="00F04EBC"/>
    <w:rsid w:val="00F0766F"/>
    <w:rsid w:val="00F12B4A"/>
    <w:rsid w:val="00F12DF8"/>
    <w:rsid w:val="00F165E3"/>
    <w:rsid w:val="00F21B16"/>
    <w:rsid w:val="00F22BD6"/>
    <w:rsid w:val="00F23FEF"/>
    <w:rsid w:val="00F240F8"/>
    <w:rsid w:val="00F31F8A"/>
    <w:rsid w:val="00F33A28"/>
    <w:rsid w:val="00F3428C"/>
    <w:rsid w:val="00F34FE0"/>
    <w:rsid w:val="00F41F78"/>
    <w:rsid w:val="00F45395"/>
    <w:rsid w:val="00F453F6"/>
    <w:rsid w:val="00F51593"/>
    <w:rsid w:val="00F52782"/>
    <w:rsid w:val="00F5288D"/>
    <w:rsid w:val="00F52CE1"/>
    <w:rsid w:val="00F56ACA"/>
    <w:rsid w:val="00F61BCB"/>
    <w:rsid w:val="00F62F5C"/>
    <w:rsid w:val="00F62F67"/>
    <w:rsid w:val="00F63F3B"/>
    <w:rsid w:val="00F657DB"/>
    <w:rsid w:val="00F65DE2"/>
    <w:rsid w:val="00F71510"/>
    <w:rsid w:val="00F73E27"/>
    <w:rsid w:val="00F7512E"/>
    <w:rsid w:val="00F81864"/>
    <w:rsid w:val="00F81F26"/>
    <w:rsid w:val="00F8246A"/>
    <w:rsid w:val="00F82A0B"/>
    <w:rsid w:val="00F82FF2"/>
    <w:rsid w:val="00F8720D"/>
    <w:rsid w:val="00F93501"/>
    <w:rsid w:val="00F93520"/>
    <w:rsid w:val="00FA30CB"/>
    <w:rsid w:val="00FA3484"/>
    <w:rsid w:val="00FA59D7"/>
    <w:rsid w:val="00FA7C5C"/>
    <w:rsid w:val="00FB0481"/>
    <w:rsid w:val="00FB0CFC"/>
    <w:rsid w:val="00FB158E"/>
    <w:rsid w:val="00FB3DED"/>
    <w:rsid w:val="00FB455A"/>
    <w:rsid w:val="00FB46AD"/>
    <w:rsid w:val="00FB4D41"/>
    <w:rsid w:val="00FB4E69"/>
    <w:rsid w:val="00FC6232"/>
    <w:rsid w:val="00FD4C0C"/>
    <w:rsid w:val="00FD7413"/>
    <w:rsid w:val="00FF354C"/>
    <w:rsid w:val="00FF7346"/>
    <w:rsid w:val="00FF75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 fillcolor="white">
      <v:fill color="white"/>
    </o:shapedefaults>
    <o:shapelayout v:ext="edit">
      <o:idmap v:ext="edit" data="2"/>
    </o:shapelayout>
  </w:shapeDefaults>
  <w:decimalSymbol w:val="."/>
  <w:listSeparator w:val=","/>
  <w14:docId w14:val="13976965"/>
  <w15:docId w15:val="{957BE834-65D5-433F-9A16-10786E54D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453F6"/>
    <w:pPr>
      <w:spacing w:line="200" w:lineRule="exact"/>
    </w:pPr>
    <w:rPr>
      <w:lang w:eastAsia="en-US"/>
    </w:rPr>
  </w:style>
  <w:style w:type="paragraph" w:styleId="Heading1">
    <w:name w:val="heading 1"/>
    <w:basedOn w:val="Normal"/>
    <w:next w:val="Normal"/>
    <w:uiPriority w:val="1"/>
    <w:qFormat/>
    <w:pPr>
      <w:keepNext/>
      <w:spacing w:after="200" w:line="280" w:lineRule="exact"/>
      <w:jc w:val="center"/>
      <w:outlineLvl w:val="0"/>
    </w:pPr>
    <w:rPr>
      <w:rFonts w:cs="Arial"/>
      <w:b/>
      <w:bCs/>
      <w:caps/>
      <w:sz w:val="28"/>
      <w:szCs w:val="32"/>
    </w:rPr>
  </w:style>
  <w:style w:type="paragraph" w:styleId="Heading2">
    <w:name w:val="heading 2"/>
    <w:basedOn w:val="Heading1"/>
    <w:next w:val="Normal"/>
    <w:qFormat/>
    <w:pPr>
      <w:jc w:val="left"/>
      <w:outlineLvl w:val="1"/>
    </w:pPr>
    <w:rPr>
      <w:bCs w:val="0"/>
      <w:iCs/>
      <w:caps w:val="0"/>
      <w:szCs w:val="28"/>
    </w:rPr>
  </w:style>
  <w:style w:type="paragraph" w:styleId="Heading3">
    <w:name w:val="heading 3"/>
    <w:basedOn w:val="Heading2"/>
    <w:next w:val="Normal"/>
    <w:qFormat/>
    <w:pPr>
      <w:spacing w:line="240" w:lineRule="exact"/>
      <w:outlineLvl w:val="2"/>
    </w:pPr>
    <w:rPr>
      <w:bCs/>
      <w:sz w:val="24"/>
      <w:szCs w:val="26"/>
    </w:rPr>
  </w:style>
  <w:style w:type="paragraph" w:styleId="Heading4">
    <w:name w:val="heading 4"/>
    <w:aliases w:val="sd"/>
    <w:basedOn w:val="Heading3"/>
    <w:next w:val="Normal"/>
    <w:qFormat/>
    <w:pPr>
      <w:spacing w:line="200" w:lineRule="exact"/>
      <w:outlineLvl w:val="3"/>
    </w:pPr>
    <w:rPr>
      <w:bCs w:val="0"/>
      <w:sz w:val="20"/>
      <w:szCs w:val="28"/>
    </w:rPr>
  </w:style>
  <w:style w:type="paragraph" w:styleId="Heading5">
    <w:name w:val="heading 5"/>
    <w:basedOn w:val="Heading4"/>
    <w:next w:val="Normal"/>
    <w:qFormat/>
    <w:pPr>
      <w:outlineLvl w:val="4"/>
    </w:pPr>
    <w:rPr>
      <w:bCs/>
      <w:i/>
      <w:iCs w:val="0"/>
      <w:szCs w:val="26"/>
    </w:rPr>
  </w:style>
  <w:style w:type="paragraph" w:styleId="Heading6">
    <w:name w:val="heading 6"/>
    <w:basedOn w:val="Heading5"/>
    <w:next w:val="Normal"/>
    <w:qFormat/>
    <w:pPr>
      <w:outlineLvl w:val="5"/>
    </w:pPr>
    <w:rPr>
      <w:b w:val="0"/>
      <w:bCs w:val="0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pPr>
      <w:spacing w:line="160" w:lineRule="exact"/>
      <w:ind w:left="340" w:hanging="340"/>
    </w:pPr>
    <w:rPr>
      <w:sz w:val="16"/>
    </w:rPr>
  </w:style>
  <w:style w:type="paragraph" w:customStyle="1" w:styleId="Heading1Italic">
    <w:name w:val="Heading 1 Italic"/>
    <w:basedOn w:val="Heading1"/>
    <w:next w:val="Normal"/>
    <w:rPr>
      <w:i/>
    </w:rPr>
  </w:style>
  <w:style w:type="paragraph" w:customStyle="1" w:styleId="Heading2Indent1">
    <w:name w:val="Heading 2 Indent1"/>
    <w:basedOn w:val="Heading2"/>
    <w:next w:val="Normal"/>
    <w:pPr>
      <w:ind w:left="510"/>
    </w:pPr>
  </w:style>
  <w:style w:type="paragraph" w:customStyle="1" w:styleId="Heading2Indent2">
    <w:name w:val="Heading 2 Indent2"/>
    <w:basedOn w:val="Heading2"/>
    <w:next w:val="Normal"/>
    <w:pPr>
      <w:ind w:left="1021"/>
    </w:pPr>
  </w:style>
  <w:style w:type="paragraph" w:customStyle="1" w:styleId="Heading2Indent3">
    <w:name w:val="Heading 2 Indent3"/>
    <w:basedOn w:val="Heading2"/>
    <w:next w:val="Normal"/>
    <w:pPr>
      <w:ind w:left="1531"/>
    </w:pPr>
  </w:style>
  <w:style w:type="paragraph" w:customStyle="1" w:styleId="Heading3Indent1">
    <w:name w:val="Heading 3 Indent1"/>
    <w:basedOn w:val="Heading3"/>
    <w:next w:val="Normal"/>
    <w:pPr>
      <w:ind w:left="510"/>
    </w:pPr>
  </w:style>
  <w:style w:type="paragraph" w:customStyle="1" w:styleId="Heading3Indent2">
    <w:name w:val="Heading 3 Indent2"/>
    <w:basedOn w:val="Heading3"/>
    <w:next w:val="Normal"/>
    <w:pPr>
      <w:ind w:left="1021"/>
    </w:pPr>
  </w:style>
  <w:style w:type="paragraph" w:customStyle="1" w:styleId="Heading3Indent3">
    <w:name w:val="Heading 3 Indent3"/>
    <w:basedOn w:val="Heading3"/>
    <w:next w:val="Normal"/>
    <w:pPr>
      <w:ind w:left="1531"/>
    </w:pPr>
  </w:style>
  <w:style w:type="paragraph" w:customStyle="1" w:styleId="Heading4Indent1">
    <w:name w:val="Heading 4 Indent1"/>
    <w:basedOn w:val="Heading4"/>
    <w:next w:val="Normal"/>
    <w:pPr>
      <w:ind w:left="510"/>
    </w:pPr>
  </w:style>
  <w:style w:type="paragraph" w:customStyle="1" w:styleId="Heading4Indent2">
    <w:name w:val="Heading 4 Indent2"/>
    <w:basedOn w:val="Heading4"/>
    <w:next w:val="Normal"/>
    <w:pPr>
      <w:ind w:left="1021"/>
    </w:pPr>
  </w:style>
  <w:style w:type="paragraph" w:customStyle="1" w:styleId="Heading4Indent3">
    <w:name w:val="Heading 4 Indent3"/>
    <w:basedOn w:val="Heading4"/>
    <w:next w:val="Normal"/>
    <w:pPr>
      <w:ind w:left="1531"/>
    </w:pPr>
  </w:style>
  <w:style w:type="paragraph" w:customStyle="1" w:styleId="Heading5Indent1">
    <w:name w:val="Heading 5 Indent1"/>
    <w:basedOn w:val="Heading5"/>
    <w:next w:val="Normal"/>
    <w:pPr>
      <w:ind w:left="510"/>
    </w:pPr>
  </w:style>
  <w:style w:type="paragraph" w:customStyle="1" w:styleId="Heading5Indent2">
    <w:name w:val="Heading 5 Indent2"/>
    <w:basedOn w:val="Heading5"/>
    <w:next w:val="Normal"/>
    <w:pPr>
      <w:ind w:left="1021"/>
    </w:pPr>
  </w:style>
  <w:style w:type="paragraph" w:customStyle="1" w:styleId="Heading5Indent3">
    <w:name w:val="Heading 5 Indent3"/>
    <w:basedOn w:val="Heading5"/>
    <w:next w:val="Normal"/>
    <w:pPr>
      <w:ind w:left="1531"/>
    </w:pPr>
  </w:style>
  <w:style w:type="paragraph" w:customStyle="1" w:styleId="Heading6Indent1">
    <w:name w:val="Heading 6 Indent1"/>
    <w:basedOn w:val="Heading6"/>
    <w:next w:val="Normal"/>
    <w:pPr>
      <w:ind w:left="510"/>
    </w:pPr>
  </w:style>
  <w:style w:type="paragraph" w:customStyle="1" w:styleId="Heading6Indent2">
    <w:name w:val="Heading 6 Indent2"/>
    <w:basedOn w:val="Heading6"/>
    <w:next w:val="Normal"/>
    <w:pPr>
      <w:ind w:left="1021"/>
    </w:pPr>
  </w:style>
  <w:style w:type="paragraph" w:customStyle="1" w:styleId="Heading6Indent3">
    <w:name w:val="Heading 6 Indent3"/>
    <w:basedOn w:val="Heading6"/>
    <w:next w:val="Normal"/>
    <w:pPr>
      <w:ind w:left="1531"/>
    </w:p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</w:rPr>
  </w:style>
  <w:style w:type="paragraph" w:styleId="Header">
    <w:name w:val="header"/>
    <w:basedOn w:val="Normal"/>
    <w:pPr>
      <w:tabs>
        <w:tab w:val="center" w:pos="3119"/>
        <w:tab w:val="right" w:pos="6237"/>
      </w:tabs>
    </w:pPr>
  </w:style>
  <w:style w:type="paragraph" w:styleId="Footer">
    <w:name w:val="footer"/>
    <w:basedOn w:val="Normal"/>
    <w:pPr>
      <w:tabs>
        <w:tab w:val="center" w:pos="3119"/>
        <w:tab w:val="right" w:pos="6237"/>
      </w:tabs>
    </w:pPr>
  </w:style>
  <w:style w:type="paragraph" w:customStyle="1" w:styleId="CoverStandard">
    <w:name w:val="Cover Standard"/>
    <w:basedOn w:val="Normal"/>
    <w:next w:val="Normal"/>
    <w:pPr>
      <w:spacing w:line="280" w:lineRule="exact"/>
    </w:pPr>
    <w:rPr>
      <w:b/>
      <w:caps/>
      <w:sz w:val="28"/>
    </w:rPr>
  </w:style>
  <w:style w:type="paragraph" w:customStyle="1" w:styleId="CoverNumber">
    <w:name w:val="Cover Number"/>
    <w:basedOn w:val="Normal"/>
    <w:next w:val="Normal"/>
    <w:pPr>
      <w:spacing w:line="320" w:lineRule="exact"/>
      <w:jc w:val="right"/>
    </w:pPr>
    <w:rPr>
      <w:b/>
      <w:caps/>
      <w:sz w:val="32"/>
    </w:rPr>
  </w:style>
  <w:style w:type="paragraph" w:customStyle="1" w:styleId="CoverRelease">
    <w:name w:val="Cover Release"/>
    <w:basedOn w:val="Normal"/>
    <w:next w:val="Normal"/>
    <w:pPr>
      <w:spacing w:line="240" w:lineRule="exact"/>
    </w:pPr>
    <w:rPr>
      <w:sz w:val="24"/>
    </w:rPr>
  </w:style>
  <w:style w:type="paragraph" w:customStyle="1" w:styleId="CoverDate">
    <w:name w:val="Cover Date"/>
    <w:basedOn w:val="Normal"/>
    <w:next w:val="Normal"/>
    <w:pPr>
      <w:spacing w:line="240" w:lineRule="exact"/>
      <w:jc w:val="right"/>
    </w:pPr>
    <w:rPr>
      <w:sz w:val="24"/>
    </w:rPr>
  </w:style>
  <w:style w:type="paragraph" w:customStyle="1" w:styleId="CoverTitle">
    <w:name w:val="Cover Title"/>
    <w:basedOn w:val="Normal"/>
    <w:pPr>
      <w:spacing w:line="500" w:lineRule="exact"/>
    </w:pPr>
    <w:rPr>
      <w:b/>
      <w:sz w:val="50"/>
    </w:rPr>
  </w:style>
  <w:style w:type="paragraph" w:customStyle="1" w:styleId="CoverBox">
    <w:name w:val="Cover Box"/>
    <w:basedOn w:val="Normal"/>
    <w:pPr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</w:pPr>
  </w:style>
  <w:style w:type="paragraph" w:customStyle="1" w:styleId="CoverContact">
    <w:name w:val="Cover Contact"/>
    <w:basedOn w:val="Normal"/>
    <w:next w:val="Normal"/>
    <w:pPr>
      <w:tabs>
        <w:tab w:val="left" w:pos="907"/>
      </w:tabs>
    </w:pPr>
  </w:style>
  <w:style w:type="paragraph" w:customStyle="1" w:styleId="CoverLeadPara">
    <w:name w:val="Cover LeadPara"/>
    <w:basedOn w:val="Normal"/>
    <w:next w:val="Normal"/>
    <w:pPr>
      <w:spacing w:after="100"/>
    </w:pPr>
  </w:style>
  <w:style w:type="paragraph" w:customStyle="1" w:styleId="ContentsCapsPlainPg">
    <w:name w:val="Contents CapsPlainPg"/>
    <w:basedOn w:val="Normal"/>
    <w:next w:val="ContentsLevel1"/>
    <w:pPr>
      <w:tabs>
        <w:tab w:val="right" w:pos="5954"/>
      </w:tabs>
      <w:spacing w:after="60"/>
      <w:ind w:left="170" w:right="1134" w:hanging="170"/>
    </w:pPr>
    <w:rPr>
      <w:caps/>
    </w:rPr>
  </w:style>
  <w:style w:type="paragraph" w:customStyle="1" w:styleId="ContentsCapsBoldPg">
    <w:name w:val="Contents CapsBoldPg"/>
    <w:basedOn w:val="ContentsCapsPlainPg"/>
    <w:next w:val="ContentsLevel1"/>
    <w:rPr>
      <w:b/>
    </w:rPr>
  </w:style>
  <w:style w:type="paragraph" w:customStyle="1" w:styleId="ContentsLevel1">
    <w:name w:val="Contents Level1"/>
    <w:basedOn w:val="Normal"/>
    <w:pPr>
      <w:tabs>
        <w:tab w:val="right" w:pos="5954"/>
      </w:tabs>
      <w:spacing w:after="60"/>
      <w:ind w:left="170" w:right="1134" w:hanging="170"/>
    </w:pPr>
  </w:style>
  <w:style w:type="paragraph" w:customStyle="1" w:styleId="ContentsLevel2">
    <w:name w:val="Contents Level2"/>
    <w:basedOn w:val="ContentsLevel1"/>
    <w:pPr>
      <w:ind w:left="510"/>
    </w:pPr>
  </w:style>
  <w:style w:type="paragraph" w:customStyle="1" w:styleId="ContentsLevel3">
    <w:name w:val="Contents Level3"/>
    <w:basedOn w:val="ContentsLevel2"/>
    <w:pPr>
      <w:ind w:left="850"/>
    </w:pPr>
  </w:style>
  <w:style w:type="paragraph" w:customStyle="1" w:styleId="ContentsLevel4">
    <w:name w:val="Contents Level4"/>
    <w:basedOn w:val="ContentsLevel3"/>
    <w:pPr>
      <w:ind w:left="1191"/>
    </w:pPr>
  </w:style>
  <w:style w:type="paragraph" w:customStyle="1" w:styleId="ContentsBox">
    <w:name w:val="Contents Box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00"/>
    </w:pPr>
  </w:style>
  <w:style w:type="paragraph" w:customStyle="1" w:styleId="Heading2IndentAus1">
    <w:name w:val="Heading 2 IndentAus1"/>
    <w:basedOn w:val="Heading2"/>
    <w:next w:val="Normal"/>
    <w:pPr>
      <w:ind w:left="1077"/>
    </w:pPr>
  </w:style>
  <w:style w:type="paragraph" w:customStyle="1" w:styleId="Heading2IndentAus2">
    <w:name w:val="Heading 2 IndentAus2"/>
    <w:basedOn w:val="Heading2"/>
    <w:next w:val="Normal"/>
    <w:pPr>
      <w:ind w:left="1588"/>
    </w:pPr>
  </w:style>
  <w:style w:type="paragraph" w:customStyle="1" w:styleId="Heading3IndentAus1">
    <w:name w:val="Heading 3 IndentAus1"/>
    <w:basedOn w:val="Heading3"/>
    <w:next w:val="Normal"/>
    <w:pPr>
      <w:ind w:left="1077"/>
    </w:pPr>
  </w:style>
  <w:style w:type="paragraph" w:customStyle="1" w:styleId="Heading3IndentAus2">
    <w:name w:val="Heading 3 IndentAus2"/>
    <w:basedOn w:val="Heading3"/>
    <w:next w:val="Normal"/>
    <w:pPr>
      <w:ind w:left="1588"/>
    </w:pPr>
  </w:style>
  <w:style w:type="paragraph" w:customStyle="1" w:styleId="Heading4IndentAus1">
    <w:name w:val="Heading 4 IndentAus1"/>
    <w:basedOn w:val="Heading4"/>
    <w:next w:val="Normal"/>
    <w:pPr>
      <w:ind w:left="1077"/>
    </w:pPr>
  </w:style>
  <w:style w:type="paragraph" w:customStyle="1" w:styleId="Heading4IndentAus2">
    <w:name w:val="Heading 4 IndentAus2"/>
    <w:basedOn w:val="Heading4"/>
    <w:next w:val="Normal"/>
    <w:pPr>
      <w:ind w:left="1588"/>
    </w:pPr>
  </w:style>
  <w:style w:type="paragraph" w:customStyle="1" w:styleId="Heading5IndentAus1">
    <w:name w:val="Heading 5 IndentAus1"/>
    <w:basedOn w:val="Heading5"/>
    <w:next w:val="Normal"/>
    <w:pPr>
      <w:ind w:left="1077"/>
    </w:pPr>
  </w:style>
  <w:style w:type="paragraph" w:customStyle="1" w:styleId="Heading5IndentAus2">
    <w:name w:val="Heading 5 IndentAus2"/>
    <w:basedOn w:val="Heading5"/>
    <w:next w:val="Normal"/>
    <w:pPr>
      <w:ind w:left="1588"/>
    </w:pPr>
  </w:style>
  <w:style w:type="paragraph" w:customStyle="1" w:styleId="Heading6IndentAus1">
    <w:name w:val="Heading 6 IndentAus1"/>
    <w:basedOn w:val="Heading6"/>
    <w:next w:val="Normal"/>
    <w:pPr>
      <w:ind w:left="1077"/>
    </w:pPr>
  </w:style>
  <w:style w:type="paragraph" w:customStyle="1" w:styleId="Heading6IndentAus2">
    <w:name w:val="Heading 6 IndentAus2"/>
    <w:basedOn w:val="Heading6"/>
    <w:next w:val="Normal"/>
    <w:pPr>
      <w:ind w:left="1588"/>
    </w:pPr>
  </w:style>
  <w:style w:type="paragraph" w:customStyle="1" w:styleId="AusPlain1">
    <w:name w:val="Aus Plain1"/>
    <w:basedOn w:val="Normal"/>
    <w:pPr>
      <w:spacing w:after="200"/>
      <w:ind w:left="1077" w:hanging="1077"/>
    </w:pPr>
  </w:style>
  <w:style w:type="paragraph" w:customStyle="1" w:styleId="AusPlain2">
    <w:name w:val="Aus Plain2"/>
    <w:basedOn w:val="AusPlain1"/>
    <w:pPr>
      <w:ind w:left="1587" w:hanging="510"/>
    </w:pPr>
  </w:style>
  <w:style w:type="paragraph" w:customStyle="1" w:styleId="AusBold1">
    <w:name w:val="Aus Bold1"/>
    <w:basedOn w:val="Normal"/>
    <w:pPr>
      <w:spacing w:after="200"/>
      <w:ind w:left="1077" w:hanging="1077"/>
    </w:pPr>
    <w:rPr>
      <w:b/>
    </w:rPr>
  </w:style>
  <w:style w:type="paragraph" w:customStyle="1" w:styleId="AusBold2">
    <w:name w:val="Aus Bold2"/>
    <w:basedOn w:val="AusBold1"/>
    <w:pPr>
      <w:ind w:left="1587" w:hanging="510"/>
    </w:pPr>
  </w:style>
  <w:style w:type="paragraph" w:customStyle="1" w:styleId="AusPlainIndent1">
    <w:name w:val="Aus PlainIndent1"/>
    <w:basedOn w:val="Normal"/>
    <w:pPr>
      <w:spacing w:after="200"/>
      <w:ind w:left="1077"/>
    </w:pPr>
  </w:style>
  <w:style w:type="paragraph" w:customStyle="1" w:styleId="AusPlainIndent2">
    <w:name w:val="Aus PlainIndent2"/>
    <w:basedOn w:val="AusPlainIndent1"/>
    <w:pPr>
      <w:ind w:left="1588"/>
    </w:pPr>
  </w:style>
  <w:style w:type="paragraph" w:customStyle="1" w:styleId="NoNumPlain1">
    <w:name w:val="NoNum Plain1"/>
    <w:basedOn w:val="Normal"/>
    <w:link w:val="NoNumPlain1Char"/>
    <w:qFormat/>
    <w:pPr>
      <w:spacing w:after="200"/>
    </w:pPr>
  </w:style>
  <w:style w:type="paragraph" w:customStyle="1" w:styleId="NoNumPlain2">
    <w:name w:val="NoNum Plain2"/>
    <w:basedOn w:val="NoNumPlain1"/>
    <w:pPr>
      <w:ind w:left="510"/>
    </w:pPr>
  </w:style>
  <w:style w:type="paragraph" w:customStyle="1" w:styleId="NoNumPlain3">
    <w:name w:val="NoNum Plain3"/>
    <w:basedOn w:val="NoNumPlain2"/>
    <w:pPr>
      <w:ind w:left="1021"/>
    </w:pPr>
  </w:style>
  <w:style w:type="paragraph" w:customStyle="1" w:styleId="NoNumPlain4">
    <w:name w:val="NoNum Plain4"/>
    <w:basedOn w:val="NoNumPlain3"/>
    <w:pPr>
      <w:ind w:left="1531"/>
    </w:pPr>
  </w:style>
  <w:style w:type="paragraph" w:customStyle="1" w:styleId="NoNumBold1">
    <w:name w:val="NoNum Bold1"/>
    <w:basedOn w:val="Normal"/>
    <w:pPr>
      <w:spacing w:after="200"/>
    </w:pPr>
    <w:rPr>
      <w:b/>
    </w:rPr>
  </w:style>
  <w:style w:type="paragraph" w:customStyle="1" w:styleId="NoNumBold2">
    <w:name w:val="NoNum Bold2"/>
    <w:basedOn w:val="NoNumBold1"/>
    <w:pPr>
      <w:ind w:left="510"/>
    </w:pPr>
  </w:style>
  <w:style w:type="paragraph" w:customStyle="1" w:styleId="NoNumBold3">
    <w:name w:val="NoNum Bold3"/>
    <w:basedOn w:val="NoNumBold2"/>
    <w:pPr>
      <w:ind w:left="1021"/>
    </w:pPr>
  </w:style>
  <w:style w:type="paragraph" w:customStyle="1" w:styleId="NoNumBold4">
    <w:name w:val="NoNum Bold4"/>
    <w:basedOn w:val="NoNumBold3"/>
    <w:pPr>
      <w:ind w:left="1531"/>
    </w:pPr>
  </w:style>
  <w:style w:type="paragraph" w:customStyle="1" w:styleId="NumPlain1">
    <w:name w:val="Num Plain1"/>
    <w:basedOn w:val="Normal"/>
    <w:link w:val="NumPlain1Char"/>
    <w:uiPriority w:val="2"/>
    <w:qFormat/>
    <w:pPr>
      <w:spacing w:after="200"/>
      <w:ind w:left="510" w:hanging="510"/>
    </w:pPr>
  </w:style>
  <w:style w:type="paragraph" w:customStyle="1" w:styleId="NumPlain2">
    <w:name w:val="Num Plain2"/>
    <w:basedOn w:val="NumPlain1"/>
    <w:uiPriority w:val="2"/>
    <w:qFormat/>
    <w:pPr>
      <w:ind w:left="1020"/>
    </w:pPr>
  </w:style>
  <w:style w:type="paragraph" w:customStyle="1" w:styleId="NumPlain3">
    <w:name w:val="Num Plain3"/>
    <w:basedOn w:val="NumPlain2"/>
    <w:uiPriority w:val="2"/>
    <w:qFormat/>
    <w:pPr>
      <w:ind w:left="1531"/>
    </w:pPr>
  </w:style>
  <w:style w:type="paragraph" w:customStyle="1" w:styleId="NumPlain4">
    <w:name w:val="Num Plain4"/>
    <w:basedOn w:val="NumPlain3"/>
    <w:pPr>
      <w:ind w:left="2041"/>
    </w:pPr>
  </w:style>
  <w:style w:type="paragraph" w:customStyle="1" w:styleId="NumBold1">
    <w:name w:val="Num Bold1"/>
    <w:basedOn w:val="Normal"/>
    <w:pPr>
      <w:spacing w:after="200"/>
      <w:ind w:left="510" w:hanging="510"/>
    </w:pPr>
    <w:rPr>
      <w:b/>
    </w:rPr>
  </w:style>
  <w:style w:type="paragraph" w:customStyle="1" w:styleId="NumBold2">
    <w:name w:val="Num Bold2"/>
    <w:basedOn w:val="NumBold1"/>
    <w:pPr>
      <w:ind w:left="1020"/>
    </w:pPr>
  </w:style>
  <w:style w:type="paragraph" w:customStyle="1" w:styleId="NumBold3">
    <w:name w:val="Num Bold3"/>
    <w:basedOn w:val="NumBold2"/>
    <w:pPr>
      <w:ind w:left="1531"/>
    </w:pPr>
  </w:style>
  <w:style w:type="paragraph" w:customStyle="1" w:styleId="NumBold4">
    <w:name w:val="Num Bold4"/>
    <w:basedOn w:val="NumBold3"/>
    <w:pPr>
      <w:ind w:left="2041"/>
    </w:pPr>
  </w:style>
  <w:style w:type="paragraph" w:customStyle="1" w:styleId="Bullet1">
    <w:name w:val="Bullet1"/>
    <w:basedOn w:val="Normal"/>
    <w:pPr>
      <w:numPr>
        <w:numId w:val="2"/>
      </w:numPr>
      <w:spacing w:after="200"/>
    </w:pPr>
  </w:style>
  <w:style w:type="paragraph" w:customStyle="1" w:styleId="Bullet2">
    <w:name w:val="Bullet2"/>
    <w:basedOn w:val="Normal"/>
    <w:pPr>
      <w:numPr>
        <w:numId w:val="1"/>
      </w:numPr>
      <w:spacing w:after="200"/>
      <w:ind w:left="1020" w:hanging="510"/>
    </w:pPr>
  </w:style>
  <w:style w:type="paragraph" w:customStyle="1" w:styleId="Bullet3">
    <w:name w:val="Bullet3"/>
    <w:basedOn w:val="Normal"/>
    <w:pPr>
      <w:numPr>
        <w:numId w:val="3"/>
      </w:numPr>
      <w:spacing w:after="200"/>
    </w:pPr>
  </w:style>
  <w:style w:type="paragraph" w:customStyle="1" w:styleId="CommentsPage">
    <w:name w:val="CommentsPage"/>
    <w:basedOn w:val="Normal"/>
    <w:next w:val="Normal"/>
  </w:style>
  <w:style w:type="paragraph" w:customStyle="1" w:styleId="Bullet4">
    <w:name w:val="Bullet4"/>
    <w:basedOn w:val="Normal"/>
    <w:pPr>
      <w:numPr>
        <w:numId w:val="6"/>
      </w:numPr>
      <w:spacing w:after="200"/>
    </w:pPr>
  </w:style>
  <w:style w:type="paragraph" w:customStyle="1" w:styleId="Heading2IndentAG1">
    <w:name w:val="Heading 2 IndentAG1"/>
    <w:basedOn w:val="Heading2"/>
    <w:next w:val="Normal"/>
    <w:pPr>
      <w:ind w:left="737"/>
    </w:pPr>
  </w:style>
  <w:style w:type="paragraph" w:customStyle="1" w:styleId="Heading2IndentAG2">
    <w:name w:val="Heading 2 IndentAG2"/>
    <w:basedOn w:val="Heading2"/>
    <w:next w:val="Normal"/>
    <w:pPr>
      <w:ind w:left="1247"/>
    </w:pPr>
  </w:style>
  <w:style w:type="paragraph" w:customStyle="1" w:styleId="Heading3IndentAG1">
    <w:name w:val="Heading 3 IndentAG1"/>
    <w:basedOn w:val="Heading3"/>
    <w:next w:val="Normal"/>
    <w:pPr>
      <w:ind w:left="737"/>
    </w:pPr>
  </w:style>
  <w:style w:type="paragraph" w:customStyle="1" w:styleId="Heading3IndentAG2">
    <w:name w:val="Heading 3 IndentAG2"/>
    <w:basedOn w:val="Heading3"/>
    <w:next w:val="Normal"/>
    <w:pPr>
      <w:ind w:left="1247"/>
    </w:pPr>
  </w:style>
  <w:style w:type="paragraph" w:customStyle="1" w:styleId="Heading4IndentAG1">
    <w:name w:val="Heading 4 IndentAG1"/>
    <w:basedOn w:val="Heading4"/>
    <w:next w:val="Normal"/>
    <w:pPr>
      <w:ind w:left="737"/>
    </w:pPr>
  </w:style>
  <w:style w:type="paragraph" w:customStyle="1" w:styleId="Heading4IndentAG2">
    <w:name w:val="Heading 4 IndentAG2"/>
    <w:basedOn w:val="Heading4"/>
    <w:next w:val="Normal"/>
    <w:pPr>
      <w:ind w:left="1247"/>
    </w:pPr>
  </w:style>
  <w:style w:type="paragraph" w:customStyle="1" w:styleId="Heading5IndentAG1">
    <w:name w:val="Heading 5 IndentAG1"/>
    <w:basedOn w:val="Heading5"/>
    <w:next w:val="Normal"/>
    <w:pPr>
      <w:ind w:left="737"/>
    </w:pPr>
  </w:style>
  <w:style w:type="paragraph" w:customStyle="1" w:styleId="Heading5IndentAG2">
    <w:name w:val="Heading 5 IndentAG2"/>
    <w:basedOn w:val="Heading5"/>
    <w:next w:val="Normal"/>
    <w:pPr>
      <w:ind w:left="1247"/>
    </w:pPr>
  </w:style>
  <w:style w:type="paragraph" w:customStyle="1" w:styleId="Heading6IndentAG1">
    <w:name w:val="Heading 6 IndentAG1"/>
    <w:basedOn w:val="Heading6"/>
    <w:next w:val="Normal"/>
    <w:pPr>
      <w:ind w:left="737"/>
    </w:pPr>
  </w:style>
  <w:style w:type="paragraph" w:customStyle="1" w:styleId="Heading6IndentAG2">
    <w:name w:val="Heading 6 IndentAG2"/>
    <w:basedOn w:val="Heading6"/>
    <w:next w:val="Normal"/>
    <w:pPr>
      <w:ind w:left="1247"/>
    </w:pPr>
  </w:style>
  <w:style w:type="paragraph" w:customStyle="1" w:styleId="AGPlain1">
    <w:name w:val="AG Plain1"/>
    <w:basedOn w:val="Normal"/>
    <w:pPr>
      <w:spacing w:after="200"/>
      <w:ind w:left="737" w:hanging="737"/>
    </w:pPr>
  </w:style>
  <w:style w:type="paragraph" w:customStyle="1" w:styleId="AGPlain2">
    <w:name w:val="AG Plain2"/>
    <w:basedOn w:val="AGPlain1"/>
    <w:pPr>
      <w:ind w:left="1247" w:hanging="510"/>
    </w:pPr>
  </w:style>
  <w:style w:type="paragraph" w:customStyle="1" w:styleId="AGBold1">
    <w:name w:val="AG Bold1"/>
    <w:basedOn w:val="Normal"/>
    <w:pPr>
      <w:spacing w:after="200"/>
      <w:ind w:left="737" w:hanging="737"/>
    </w:pPr>
    <w:rPr>
      <w:b/>
    </w:rPr>
  </w:style>
  <w:style w:type="paragraph" w:customStyle="1" w:styleId="AGBold2">
    <w:name w:val="AG Bold2"/>
    <w:basedOn w:val="AGBold1"/>
    <w:pPr>
      <w:ind w:left="1247" w:hanging="510"/>
    </w:pPr>
  </w:style>
  <w:style w:type="paragraph" w:customStyle="1" w:styleId="AGPlainIndent1">
    <w:name w:val="AG PlainIndent1"/>
    <w:basedOn w:val="Normal"/>
    <w:pPr>
      <w:spacing w:after="200"/>
      <w:ind w:left="737"/>
    </w:pPr>
  </w:style>
  <w:style w:type="paragraph" w:customStyle="1" w:styleId="AGPlainIndent2">
    <w:name w:val="AG PlainIndent2"/>
    <w:basedOn w:val="AGPlainIndent1"/>
    <w:pPr>
      <w:ind w:left="1247"/>
    </w:pPr>
  </w:style>
  <w:style w:type="paragraph" w:customStyle="1" w:styleId="ContentsCapsPlain">
    <w:name w:val="Contents CapsPlain"/>
    <w:basedOn w:val="Normal"/>
    <w:next w:val="ContentsLevel1"/>
    <w:pPr>
      <w:spacing w:after="200"/>
    </w:pPr>
    <w:rPr>
      <w:caps/>
    </w:rPr>
  </w:style>
  <w:style w:type="paragraph" w:customStyle="1" w:styleId="ContentsCapsBold">
    <w:name w:val="Contents CapsBold"/>
    <w:basedOn w:val="ContentsCapsPlain"/>
    <w:next w:val="ContentsLevel1"/>
    <w:pPr>
      <w:spacing w:after="0"/>
    </w:pPr>
    <w:rPr>
      <w:b/>
    </w:rPr>
  </w:style>
  <w:style w:type="paragraph" w:customStyle="1" w:styleId="ContentsParaHead">
    <w:name w:val="Contents ParaHead"/>
    <w:basedOn w:val="Normal"/>
    <w:next w:val="Normal"/>
    <w:pPr>
      <w:spacing w:after="60"/>
      <w:jc w:val="right"/>
    </w:pPr>
    <w:rPr>
      <w:i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customStyle="1" w:styleId="DefinePara">
    <w:name w:val="Define Para"/>
    <w:basedOn w:val="Normal"/>
    <w:pPr>
      <w:spacing w:after="200"/>
    </w:pPr>
    <w:rPr>
      <w:b/>
    </w:rPr>
  </w:style>
  <w:style w:type="paragraph" w:customStyle="1" w:styleId="DefnPara">
    <w:name w:val="Defn Para"/>
    <w:basedOn w:val="Normal"/>
    <w:pPr>
      <w:spacing w:after="200"/>
      <w:ind w:left="1077" w:hanging="340"/>
    </w:pPr>
    <w:rPr>
      <w:b/>
    </w:rPr>
  </w:style>
  <w:style w:type="paragraph" w:customStyle="1" w:styleId="DefnSubpoint1">
    <w:name w:val="Defn Subpoint1"/>
    <w:basedOn w:val="DefnPara"/>
    <w:pPr>
      <w:ind w:left="1587" w:hanging="510"/>
    </w:pPr>
  </w:style>
  <w:style w:type="paragraph" w:customStyle="1" w:styleId="DefnSubpoint2">
    <w:name w:val="Defn Subpoint2"/>
    <w:basedOn w:val="DefnSubpoint1"/>
    <w:pPr>
      <w:ind w:left="2098"/>
    </w:pPr>
  </w:style>
  <w:style w:type="paragraph" w:customStyle="1" w:styleId="DefnSubpoint3">
    <w:name w:val="Defn Subpoint3"/>
    <w:basedOn w:val="DefnSubpoint2"/>
    <w:pPr>
      <w:ind w:left="2608"/>
    </w:pPr>
  </w:style>
  <w:style w:type="paragraph" w:customStyle="1" w:styleId="TextPara">
    <w:name w:val="Text Para"/>
    <w:basedOn w:val="Normal"/>
  </w:style>
  <w:style w:type="paragraph" w:customStyle="1" w:styleId="TextPoint">
    <w:name w:val="Text Point"/>
    <w:basedOn w:val="TextPara"/>
    <w:pPr>
      <w:spacing w:after="60"/>
      <w:ind w:left="318" w:hanging="318"/>
    </w:pPr>
  </w:style>
  <w:style w:type="paragraph" w:customStyle="1" w:styleId="RunOrder2">
    <w:name w:val="Run Order 2"/>
    <w:basedOn w:val="Normal"/>
    <w:pPr>
      <w:tabs>
        <w:tab w:val="left" w:pos="3600"/>
      </w:tabs>
      <w:spacing w:line="240" w:lineRule="auto"/>
      <w:ind w:left="4176" w:hanging="288"/>
    </w:pPr>
    <w:rPr>
      <w:sz w:val="24"/>
    </w:rPr>
  </w:style>
  <w:style w:type="paragraph" w:customStyle="1" w:styleId="ContentsPlain">
    <w:name w:val="Contents Plain"/>
    <w:basedOn w:val="Normal"/>
    <w:pPr>
      <w:tabs>
        <w:tab w:val="left" w:pos="284"/>
        <w:tab w:val="right" w:pos="5954"/>
      </w:tabs>
      <w:spacing w:before="60" w:after="60"/>
      <w:ind w:left="284" w:right="284" w:hanging="284"/>
    </w:pPr>
  </w:style>
  <w:style w:type="paragraph" w:customStyle="1" w:styleId="ParaHeading4">
    <w:name w:val="Para Heading 4"/>
    <w:basedOn w:val="Normal"/>
    <w:next w:val="Normal"/>
    <w:pPr>
      <w:keepNext/>
      <w:keepLines/>
      <w:spacing w:before="120" w:line="240" w:lineRule="exact"/>
      <w:ind w:left="567"/>
    </w:pPr>
    <w:rPr>
      <w:b/>
      <w:sz w:val="24"/>
    </w:rPr>
  </w:style>
  <w:style w:type="character" w:customStyle="1" w:styleId="Part">
    <w:name w:val="Part"/>
    <w:basedOn w:val="DefaultParagraphFont"/>
  </w:style>
  <w:style w:type="character" w:styleId="Hyperlink">
    <w:name w:val="Hyperlink"/>
    <w:rPr>
      <w:color w:val="0000FF"/>
      <w:u w:val="single"/>
    </w:rPr>
  </w:style>
  <w:style w:type="character" w:customStyle="1" w:styleId="NumPlain1Char">
    <w:name w:val="Num Plain1 Char"/>
    <w:link w:val="NumPlain1"/>
    <w:uiPriority w:val="2"/>
    <w:rsid w:val="00B85DBC"/>
    <w:rPr>
      <w:lang w:val="en-AU" w:eastAsia="en-US" w:bidi="ar-SA"/>
    </w:rPr>
  </w:style>
  <w:style w:type="paragraph" w:customStyle="1" w:styleId="Bullets">
    <w:name w:val="Bullets"/>
    <w:basedOn w:val="Normal"/>
    <w:rsid w:val="006D5858"/>
    <w:pPr>
      <w:numPr>
        <w:numId w:val="7"/>
      </w:numPr>
      <w:spacing w:line="240" w:lineRule="auto"/>
    </w:pPr>
    <w:rPr>
      <w:sz w:val="24"/>
    </w:rPr>
  </w:style>
  <w:style w:type="paragraph" w:customStyle="1" w:styleId="MemoSectionHead">
    <w:name w:val="MemoSectionHead"/>
    <w:basedOn w:val="Heading1"/>
    <w:rsid w:val="004209B2"/>
    <w:pPr>
      <w:spacing w:before="240" w:after="240" w:line="240" w:lineRule="auto"/>
      <w:jc w:val="left"/>
    </w:pPr>
    <w:rPr>
      <w:rFonts w:cs="Times New Roman"/>
      <w:bCs w:val="0"/>
      <w:caps w:val="0"/>
      <w:sz w:val="24"/>
      <w:szCs w:val="20"/>
      <w:u w:val="single"/>
    </w:rPr>
  </w:style>
  <w:style w:type="paragraph" w:customStyle="1" w:styleId="PlainHanging1">
    <w:name w:val="Plain Hanging1"/>
    <w:basedOn w:val="NoNumPlain2"/>
    <w:rsid w:val="00FD4C0C"/>
    <w:pPr>
      <w:ind w:left="1020" w:hanging="510"/>
    </w:pPr>
  </w:style>
  <w:style w:type="paragraph" w:customStyle="1" w:styleId="NumPlainA">
    <w:name w:val="Num PlainA"/>
    <w:basedOn w:val="Normal"/>
    <w:qFormat/>
    <w:rsid w:val="00FD4C0C"/>
    <w:pPr>
      <w:numPr>
        <w:numId w:val="8"/>
      </w:numPr>
      <w:spacing w:after="200"/>
      <w:outlineLvl w:val="0"/>
    </w:pPr>
  </w:style>
  <w:style w:type="paragraph" w:customStyle="1" w:styleId="NumPlainA2">
    <w:name w:val="Num PlainA2"/>
    <w:basedOn w:val="NumPlainA"/>
    <w:rsid w:val="00FD4C0C"/>
    <w:pPr>
      <w:numPr>
        <w:ilvl w:val="1"/>
      </w:numPr>
      <w:outlineLvl w:val="1"/>
    </w:pPr>
  </w:style>
  <w:style w:type="character" w:customStyle="1" w:styleId="NoNumPlain1Char">
    <w:name w:val="NoNum Plain1 Char"/>
    <w:link w:val="NoNumPlain1"/>
    <w:rsid w:val="00FD4C0C"/>
    <w:rPr>
      <w:lang w:val="en-AU" w:eastAsia="en-US" w:bidi="ar-SA"/>
    </w:rPr>
  </w:style>
  <w:style w:type="character" w:styleId="FootnoteReference">
    <w:name w:val="footnote reference"/>
    <w:semiHidden/>
    <w:rsid w:val="00A92FFA"/>
    <w:rPr>
      <w:vertAlign w:val="superscript"/>
    </w:rPr>
  </w:style>
  <w:style w:type="paragraph" w:styleId="BalloonText">
    <w:name w:val="Balloon Text"/>
    <w:basedOn w:val="Normal"/>
    <w:semiHidden/>
    <w:rsid w:val="001E0872"/>
    <w:rPr>
      <w:rFonts w:ascii="Tahoma" w:hAnsi="Tahoma" w:cs="Tahoma"/>
      <w:sz w:val="16"/>
      <w:szCs w:val="16"/>
    </w:rPr>
  </w:style>
  <w:style w:type="paragraph" w:customStyle="1" w:styleId="BodyText">
    <w:name w:val="BodyText"/>
    <w:basedOn w:val="Normal"/>
    <w:rsid w:val="00131465"/>
    <w:pPr>
      <w:spacing w:line="360" w:lineRule="auto"/>
      <w:ind w:left="142"/>
    </w:pPr>
    <w:rPr>
      <w:rFonts w:ascii="Arial" w:hAnsi="Arial"/>
      <w:szCs w:val="24"/>
      <w:lang w:eastAsia="en-AU"/>
    </w:rPr>
  </w:style>
  <w:style w:type="paragraph" w:customStyle="1" w:styleId="CoverSubtitle">
    <w:name w:val="Cover Subtitle"/>
    <w:basedOn w:val="CoverTitle"/>
    <w:rsid w:val="006776BD"/>
    <w:rPr>
      <w:sz w:val="40"/>
      <w:szCs w:val="40"/>
    </w:rPr>
  </w:style>
  <w:style w:type="paragraph" w:styleId="ListBullet">
    <w:name w:val="List Bullet"/>
    <w:basedOn w:val="Normal"/>
    <w:rsid w:val="008E704E"/>
    <w:pPr>
      <w:numPr>
        <w:numId w:val="10"/>
      </w:numPr>
      <w:contextualSpacing/>
    </w:pPr>
  </w:style>
  <w:style w:type="paragraph" w:styleId="Revision">
    <w:name w:val="Revision"/>
    <w:hidden/>
    <w:uiPriority w:val="99"/>
    <w:semiHidden/>
    <w:rsid w:val="00413838"/>
    <w:rPr>
      <w:lang w:eastAsia="en-US"/>
    </w:rPr>
  </w:style>
  <w:style w:type="character" w:styleId="CommentReference">
    <w:name w:val="annotation reference"/>
    <w:basedOn w:val="DefaultParagraphFont"/>
    <w:semiHidden/>
    <w:unhideWhenUsed/>
    <w:rsid w:val="00620A91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620A91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rsid w:val="00620A91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20A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20A91"/>
    <w:rPr>
      <w:b/>
      <w:bCs/>
      <w:lang w:eastAsia="en-US"/>
    </w:rPr>
  </w:style>
  <w:style w:type="numbering" w:customStyle="1" w:styleId="AASBNumbers">
    <w:name w:val="AASB Numbers"/>
    <w:uiPriority w:val="99"/>
    <w:rsid w:val="00722CEF"/>
    <w:pPr>
      <w:numPr>
        <w:numId w:val="12"/>
      </w:numPr>
    </w:pPr>
  </w:style>
  <w:style w:type="character" w:styleId="Mention">
    <w:name w:val="Mention"/>
    <w:basedOn w:val="DefaultParagraphFont"/>
    <w:uiPriority w:val="99"/>
    <w:unhideWhenUsed/>
    <w:rsid w:val="0046675A"/>
    <w:rPr>
      <w:color w:val="2B579A"/>
      <w:shd w:val="clear" w:color="auto" w:fill="E1DFDD"/>
    </w:rPr>
  </w:style>
  <w:style w:type="numbering" w:customStyle="1" w:styleId="NumPlainAlpha">
    <w:name w:val="NumPlainAlpha"/>
    <w:uiPriority w:val="99"/>
    <w:rsid w:val="001C0A1E"/>
    <w:pPr>
      <w:numPr>
        <w:numId w:val="25"/>
      </w:numPr>
    </w:pPr>
  </w:style>
  <w:style w:type="paragraph" w:customStyle="1" w:styleId="NumBC1">
    <w:name w:val="Num BC1"/>
    <w:basedOn w:val="Normal"/>
    <w:qFormat/>
    <w:rsid w:val="00066036"/>
    <w:pPr>
      <w:numPr>
        <w:numId w:val="28"/>
      </w:numPr>
      <w:spacing w:before="100" w:after="100" w:line="240" w:lineRule="auto"/>
      <w:jc w:val="both"/>
    </w:pPr>
    <w:rPr>
      <w:rFonts w:eastAsia="Times New Roman"/>
      <w:sz w:val="19"/>
    </w:rPr>
  </w:style>
  <w:style w:type="paragraph" w:customStyle="1" w:styleId="NumBC2">
    <w:name w:val="Num BC2"/>
    <w:basedOn w:val="NumBC1"/>
    <w:rsid w:val="00066036"/>
    <w:pPr>
      <w:numPr>
        <w:ilvl w:val="1"/>
      </w:numPr>
    </w:pPr>
  </w:style>
  <w:style w:type="paragraph" w:customStyle="1" w:styleId="NumBC3">
    <w:name w:val="Num BC3"/>
    <w:basedOn w:val="NumBC2"/>
    <w:rsid w:val="00066036"/>
    <w:pPr>
      <w:numPr>
        <w:ilvl w:val="2"/>
      </w:numPr>
    </w:pPr>
  </w:style>
  <w:style w:type="paragraph" w:customStyle="1" w:styleId="NumBC4">
    <w:name w:val="Num BC4"/>
    <w:basedOn w:val="NumBC3"/>
    <w:rsid w:val="00066036"/>
    <w:pPr>
      <w:numPr>
        <w:ilvl w:val="3"/>
      </w:numPr>
    </w:pPr>
  </w:style>
  <w:style w:type="numbering" w:customStyle="1" w:styleId="BCNumbers">
    <w:name w:val="BC Numbers"/>
    <w:uiPriority w:val="99"/>
    <w:rsid w:val="00066036"/>
    <w:pPr>
      <w:numPr>
        <w:numId w:val="2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178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3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1.bin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CB64F4-007F-4935-82B4-CF1A190487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564</TotalTime>
  <Pages>4</Pages>
  <Words>1511</Words>
  <Characters>8617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AASB2023-4_ES_09-23</vt:lpstr>
    </vt:vector>
  </TitlesOfParts>
  <Company>AASB</Company>
  <LinksUpToDate>false</LinksUpToDate>
  <CharactersWithSpaces>10108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AASB2023-4_ES_09-23</dc:title>
  <dc:subject/>
  <dc:creator>.</dc:creator>
  <cp:keywords/>
  <cp:lastModifiedBy>Jia Wei</cp:lastModifiedBy>
  <cp:revision>190</cp:revision>
  <cp:lastPrinted>2022-12-20T05:14:00Z</cp:lastPrinted>
  <dcterms:created xsi:type="dcterms:W3CDTF">2023-06-22T05:11:00Z</dcterms:created>
  <dcterms:modified xsi:type="dcterms:W3CDTF">2023-09-25T02:51:00Z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20a29cc7462c711a1c479223b925182f567477df3063fe802a5b0e783598031d</vt:lpwstr>
  </property>
  <property fmtid="{D5CDD505-2E9C-101B-9397-08002B2CF9AE}" pid="3" name="SecurityClassification">
    <vt:lpwstr>Official</vt:lpwstr>
  </property>
</Properties>
</file>