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22" w:type="dxa"/>
        <w:tblLayout w:type="fixed"/>
        <w:tblLook w:val="0000" w:firstRow="0" w:lastRow="0" w:firstColumn="0" w:lastColumn="0" w:noHBand="0" w:noVBand="0"/>
        <w:tblCaption w:val="Cover page header for AASB amending Standard"/>
        <w:tblDescription w:val="Identification that the pronouncement is an AASB Standard, the Standard number, and the month of issue of the AASB amending Standard"/>
      </w:tblPr>
      <w:tblGrid>
        <w:gridCol w:w="4661"/>
        <w:gridCol w:w="4661"/>
      </w:tblGrid>
      <w:tr w:rsidR="00090A6F" w:rsidRPr="005732F4" w14:paraId="52939823" w14:textId="77777777" w:rsidTr="00A22E0D">
        <w:tc>
          <w:tcPr>
            <w:tcW w:w="4661" w:type="dxa"/>
          </w:tcPr>
          <w:p w14:paraId="389975A9" w14:textId="77777777" w:rsidR="00090A6F" w:rsidRPr="005732F4" w:rsidRDefault="00364B30">
            <w:pPr>
              <w:pStyle w:val="CoverStandard"/>
            </w:pPr>
            <w:r w:rsidRPr="005732F4">
              <w:t>AASB</w:t>
            </w:r>
            <w:r w:rsidR="00831497" w:rsidRPr="005732F4">
              <w:t xml:space="preserve"> Standard</w:t>
            </w:r>
          </w:p>
        </w:tc>
        <w:tc>
          <w:tcPr>
            <w:tcW w:w="4661" w:type="dxa"/>
          </w:tcPr>
          <w:p w14:paraId="7243B7D2" w14:textId="4B876278" w:rsidR="00090A6F" w:rsidRPr="005732F4" w:rsidRDefault="00831497">
            <w:pPr>
              <w:pStyle w:val="CoverNumber"/>
            </w:pPr>
            <w:r w:rsidRPr="005732F4">
              <w:t>AASB</w:t>
            </w:r>
            <w:r w:rsidR="00090A6F" w:rsidRPr="005732F4">
              <w:t xml:space="preserve"> </w:t>
            </w:r>
            <w:bookmarkStart w:id="0" w:name="DocNo"/>
            <w:r w:rsidR="00883360" w:rsidRPr="005732F4">
              <w:t>202</w:t>
            </w:r>
            <w:r w:rsidR="00957CF1">
              <w:t>3</w:t>
            </w:r>
            <w:r w:rsidR="00561FEE">
              <w:t>-</w:t>
            </w:r>
            <w:r w:rsidR="000870D0">
              <w:t>4</w:t>
            </w:r>
            <w:bookmarkEnd w:id="0"/>
          </w:p>
          <w:p w14:paraId="2AEFF4EB" w14:textId="25592FE6" w:rsidR="00090A6F" w:rsidRPr="005732F4" w:rsidRDefault="009636D0">
            <w:pPr>
              <w:pStyle w:val="CoverDate"/>
            </w:pPr>
            <w:bookmarkStart w:id="1" w:name="DocDate"/>
            <w:r>
              <w:t>September</w:t>
            </w:r>
            <w:r w:rsidR="00EA3004">
              <w:t xml:space="preserve"> </w:t>
            </w:r>
            <w:r w:rsidR="00723FD0" w:rsidRPr="005732F4">
              <w:t>202</w:t>
            </w:r>
            <w:r w:rsidR="00957CF1">
              <w:t>3</w:t>
            </w:r>
            <w:bookmarkEnd w:id="1"/>
          </w:p>
        </w:tc>
      </w:tr>
    </w:tbl>
    <w:bookmarkStart w:id="2" w:name="DocTitle" w:displacedByCustomXml="next"/>
    <w:sdt>
      <w:sdtPr>
        <w:id w:val="-397364951"/>
        <w:lock w:val="contentLocked"/>
        <w:placeholder>
          <w:docPart w:val="DefaultPlaceholder_-1854013440"/>
        </w:placeholder>
        <w:group/>
      </w:sdtPr>
      <w:sdtEndPr/>
      <w:sdtContent>
        <w:p w14:paraId="03405C79" w14:textId="5A0104F9" w:rsidR="00090A6F" w:rsidRPr="005732F4" w:rsidRDefault="001D4D39" w:rsidP="00A60E50">
          <w:pPr>
            <w:pStyle w:val="CoverTitle"/>
            <w:jc w:val="left"/>
          </w:pPr>
          <w:r w:rsidRPr="005732F4">
            <w:t xml:space="preserve">Amendments to Australian Accounting Standards – </w:t>
          </w:r>
          <w:r w:rsidR="00C22CE8">
            <w:t xml:space="preserve">International Tax Reform – </w:t>
          </w:r>
          <w:r w:rsidR="00E77082">
            <w:t xml:space="preserve">Pillar Two Model Rules: Tier 2 </w:t>
          </w:r>
          <w:r w:rsidR="00DE28A5">
            <w:t>Disclosur</w:t>
          </w:r>
          <w:r w:rsidR="009543FA">
            <w:t>es</w:t>
          </w:r>
        </w:p>
        <w:bookmarkEnd w:id="2" w:displacedByCustomXml="next"/>
      </w:sdtContent>
    </w:sdt>
    <w:p w14:paraId="178C6A7B" w14:textId="497126CC" w:rsidR="00760C9C" w:rsidRPr="005732F4" w:rsidRDefault="002B7803" w:rsidP="00845897">
      <w:pPr>
        <w:pStyle w:val="CoverSubtitle"/>
      </w:pPr>
      <w:r w:rsidRPr="005732F4">
        <w:t>[</w:t>
      </w:r>
      <w:bookmarkStart w:id="3" w:name="AmendingNos"/>
      <w:r w:rsidR="00723FD0" w:rsidRPr="005732F4">
        <w:t xml:space="preserve">AASB </w:t>
      </w:r>
      <w:r w:rsidR="00B055B9">
        <w:t xml:space="preserve">112 </w:t>
      </w:r>
      <w:r w:rsidR="002E3789">
        <w:t xml:space="preserve">&amp; AASB </w:t>
      </w:r>
      <w:r w:rsidR="00DE28A5">
        <w:t>1060</w:t>
      </w:r>
      <w:bookmarkEnd w:id="3"/>
      <w:r w:rsidRPr="005732F4">
        <w:t>]</w:t>
      </w:r>
    </w:p>
    <w:p w14:paraId="32C3CE8E" w14:textId="77777777" w:rsidR="00090A6F" w:rsidRPr="005732F4" w:rsidRDefault="008B643A" w:rsidP="003802D7">
      <w:pPr>
        <w:spacing w:before="7520"/>
      </w:pPr>
      <w:r w:rsidRPr="005732F4">
        <w:rPr>
          <w:noProof/>
          <w:lang w:eastAsia="en-AU"/>
        </w:rPr>
        <w:drawing>
          <wp:inline distT="0" distB="0" distL="0" distR="0" wp14:anchorId="494C9A07" wp14:editId="65A989A2">
            <wp:extent cx="1677600" cy="1332000"/>
            <wp:effectExtent l="0" t="0" r="0" b="1905"/>
            <wp:docPr id="5" name="Picture 5" descr="Australian crest, with text naming the Australian Government and the Australian Accounting Standards Board" title="Logo of the Australian Accounting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7600" cy="1332000"/>
                    </a:xfrm>
                    <a:prstGeom prst="rect">
                      <a:avLst/>
                    </a:prstGeom>
                    <a:noFill/>
                    <a:ln>
                      <a:noFill/>
                    </a:ln>
                  </pic:spPr>
                </pic:pic>
              </a:graphicData>
            </a:graphic>
          </wp:inline>
        </w:drawing>
      </w:r>
    </w:p>
    <w:p w14:paraId="3ECDA59E" w14:textId="64552D9D" w:rsidR="00090A6F" w:rsidRPr="005732F4" w:rsidRDefault="00090A6F" w:rsidP="00152233">
      <w:pPr>
        <w:spacing w:before="7600"/>
        <w:jc w:val="left"/>
        <w:sectPr w:rsidR="00090A6F" w:rsidRPr="005732F4" w:rsidSect="00D74C6A">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418" w:left="1418" w:header="709" w:footer="709" w:gutter="0"/>
          <w:paperSrc w:first="7" w:other="7"/>
          <w:cols w:space="720"/>
        </w:sectPr>
      </w:pPr>
    </w:p>
    <w:p w14:paraId="72577098" w14:textId="77777777" w:rsidR="00737714" w:rsidRPr="005732F4" w:rsidRDefault="00737714" w:rsidP="00F13C5A">
      <w:pPr>
        <w:pStyle w:val="Heading1"/>
      </w:pPr>
      <w:r w:rsidRPr="005732F4">
        <w:lastRenderedPageBreak/>
        <w:t xml:space="preserve">Obtaining a </w:t>
      </w:r>
      <w:r w:rsidR="005655CE" w:rsidRPr="005732F4">
        <w:t>c</w:t>
      </w:r>
      <w:r w:rsidRPr="005732F4">
        <w:t xml:space="preserve">opy of this </w:t>
      </w:r>
      <w:r w:rsidR="00C5022C" w:rsidRPr="005732F4">
        <w:t>Accounting Standard</w:t>
      </w:r>
    </w:p>
    <w:p w14:paraId="1F875B07" w14:textId="77777777" w:rsidR="00737714" w:rsidRPr="005732F4" w:rsidRDefault="00737714" w:rsidP="00895809">
      <w:pPr>
        <w:spacing w:after="200"/>
      </w:pPr>
      <w:r w:rsidRPr="005732F4">
        <w:t xml:space="preserve">This </w:t>
      </w:r>
      <w:r w:rsidR="00C5022C" w:rsidRPr="005732F4">
        <w:t>Standard</w:t>
      </w:r>
      <w:r w:rsidRPr="005732F4">
        <w:t xml:space="preserve"> is available o</w:t>
      </w:r>
      <w:r w:rsidR="00923261" w:rsidRPr="005732F4">
        <w:t>n the AASB website: www.aasb.gov</w:t>
      </w:r>
      <w:r w:rsidRPr="005732F4">
        <w:t>.au.</w:t>
      </w:r>
    </w:p>
    <w:p w14:paraId="26BBCCEC" w14:textId="77777777" w:rsidR="00895809" w:rsidRPr="005732F4" w:rsidRDefault="00895809" w:rsidP="00895809">
      <w:r w:rsidRPr="005732F4">
        <w:t>Australian Accounting Standards Board</w:t>
      </w:r>
    </w:p>
    <w:p w14:paraId="0DB1481D" w14:textId="77777777" w:rsidR="00895809" w:rsidRPr="005732F4" w:rsidRDefault="00895809" w:rsidP="00895809">
      <w:r w:rsidRPr="005732F4">
        <w:t>PO Box 204</w:t>
      </w:r>
    </w:p>
    <w:p w14:paraId="652833DC" w14:textId="77777777" w:rsidR="00895809" w:rsidRPr="005732F4" w:rsidRDefault="00895809" w:rsidP="00895809">
      <w:r w:rsidRPr="005732F4">
        <w:t>Collins Street West</w:t>
      </w:r>
    </w:p>
    <w:p w14:paraId="525A6905" w14:textId="77777777" w:rsidR="00895809" w:rsidRPr="005732F4" w:rsidRDefault="00895809" w:rsidP="00895809">
      <w:r w:rsidRPr="005732F4">
        <w:t>Victoria   8007</w:t>
      </w:r>
    </w:p>
    <w:p w14:paraId="717BC672" w14:textId="77777777" w:rsidR="00895809" w:rsidRPr="005732F4" w:rsidRDefault="00895809" w:rsidP="00895809">
      <w:pPr>
        <w:pStyle w:val="CoverContact"/>
        <w:spacing w:after="200"/>
      </w:pPr>
      <w:r w:rsidRPr="005732F4">
        <w:t>AUSTRALIA</w:t>
      </w:r>
    </w:p>
    <w:p w14:paraId="3478F741" w14:textId="77777777" w:rsidR="00737714" w:rsidRPr="005732F4" w:rsidRDefault="0034243B" w:rsidP="00B82F15">
      <w:pPr>
        <w:pStyle w:val="CoverContact"/>
      </w:pPr>
      <w:r w:rsidRPr="005732F4">
        <w:t>Phone:</w:t>
      </w:r>
      <w:r w:rsidRPr="005732F4">
        <w:tab/>
        <w:t>(03) 9617 7600</w:t>
      </w:r>
    </w:p>
    <w:p w14:paraId="1FB24B90" w14:textId="77777777" w:rsidR="00E96D45" w:rsidRPr="005732F4" w:rsidRDefault="00DB00CD" w:rsidP="00DB00CD">
      <w:pPr>
        <w:pStyle w:val="CoverContact"/>
      </w:pPr>
      <w:r w:rsidRPr="005732F4">
        <w:t>E-mail:</w:t>
      </w:r>
      <w:r w:rsidRPr="005732F4">
        <w:tab/>
      </w:r>
      <w:r w:rsidR="0034243B" w:rsidRPr="005732F4">
        <w:t>standard</w:t>
      </w:r>
      <w:r w:rsidRPr="005732F4">
        <w:t>@aasb.gov.au</w:t>
      </w:r>
    </w:p>
    <w:p w14:paraId="160989B7" w14:textId="77777777" w:rsidR="00E96D45" w:rsidRPr="005732F4" w:rsidRDefault="00DB00CD" w:rsidP="00AC73E1">
      <w:pPr>
        <w:pStyle w:val="CoverContact"/>
        <w:spacing w:after="200"/>
      </w:pPr>
      <w:r w:rsidRPr="005732F4">
        <w:t>Website:</w:t>
      </w:r>
      <w:r w:rsidRPr="005732F4">
        <w:tab/>
        <w:t>www.aasb.gov.au</w:t>
      </w:r>
    </w:p>
    <w:p w14:paraId="06F4E004" w14:textId="77777777" w:rsidR="00090A6F" w:rsidRPr="005732F4" w:rsidRDefault="00090A6F" w:rsidP="00F13C5A">
      <w:pPr>
        <w:pStyle w:val="Heading1"/>
      </w:pPr>
      <w:r w:rsidRPr="005732F4">
        <w:t xml:space="preserve">Other </w:t>
      </w:r>
      <w:r w:rsidR="005655CE" w:rsidRPr="005732F4">
        <w:t>enquiries</w:t>
      </w:r>
    </w:p>
    <w:p w14:paraId="7B42A535" w14:textId="77777777" w:rsidR="00090A6F" w:rsidRPr="005732F4" w:rsidRDefault="00090A6F" w:rsidP="00B82F15">
      <w:pPr>
        <w:pStyle w:val="CoverContact"/>
      </w:pPr>
      <w:r w:rsidRPr="005732F4">
        <w:t>Phone:</w:t>
      </w:r>
      <w:r w:rsidRPr="005732F4">
        <w:tab/>
        <w:t>(03) 9617 7600</w:t>
      </w:r>
    </w:p>
    <w:p w14:paraId="46C8E574" w14:textId="77777777" w:rsidR="00090A6F" w:rsidRPr="005732F4" w:rsidRDefault="00923261">
      <w:pPr>
        <w:pStyle w:val="CoverContact"/>
      </w:pPr>
      <w:r w:rsidRPr="005732F4">
        <w:t>E-mail:</w:t>
      </w:r>
      <w:r w:rsidRPr="005732F4">
        <w:tab/>
        <w:t>standard@aasb.gov</w:t>
      </w:r>
      <w:r w:rsidR="00090A6F" w:rsidRPr="005732F4">
        <w:t>.au</w:t>
      </w:r>
    </w:p>
    <w:p w14:paraId="039889FB" w14:textId="77777777" w:rsidR="00DE28A5" w:rsidRDefault="00DE28A5" w:rsidP="00DE28A5">
      <w:pPr>
        <w:pStyle w:val="CoverContact"/>
        <w:spacing w:before="7440"/>
      </w:pPr>
      <w:r>
        <w:t>COPYRIGHT</w:t>
      </w:r>
    </w:p>
    <w:p w14:paraId="0DF22446" w14:textId="2820F28A" w:rsidR="00DE28A5" w:rsidRDefault="00DE28A5" w:rsidP="00DE28A5">
      <w:pPr>
        <w:pStyle w:val="NoNumPlain1"/>
      </w:pPr>
      <w:r>
        <w:t>© Com</w:t>
      </w:r>
      <w:bookmarkStart w:id="4" w:name="CopyrightDomestic"/>
      <w:bookmarkEnd w:id="4"/>
      <w:r>
        <w:t xml:space="preserve">monwealth of Australia </w:t>
      </w:r>
      <w:bookmarkStart w:id="5" w:name="Year"/>
      <w:r>
        <w:t>202</w:t>
      </w:r>
      <w:r w:rsidR="00C2131A">
        <w:t>3</w:t>
      </w:r>
      <w:bookmarkEnd w:id="5"/>
    </w:p>
    <w:p w14:paraId="1D664CDA" w14:textId="1745F626" w:rsidR="00DE28A5" w:rsidRPr="00DE4E67" w:rsidRDefault="00DE28A5" w:rsidP="00DE28A5">
      <w:pPr>
        <w:spacing w:after="200"/>
      </w:pPr>
      <w:r w:rsidRPr="00E46988">
        <w:t xml:space="preserve">This work is copyright.  Apart from any use as permitted under the </w:t>
      </w:r>
      <w:r w:rsidRPr="00F311FB">
        <w:rPr>
          <w:i/>
        </w:rPr>
        <w:t>Copyright Act 1968</w:t>
      </w:r>
      <w:r w:rsidRPr="00E46988">
        <w:t xml:space="preserve">, no part may be reproduced by any process without prior written permission.  Requests and enquiries concerning reproduction and rights should be addressed to The </w:t>
      </w:r>
      <w:r w:rsidR="00C2131A">
        <w:t xml:space="preserve">Managing </w:t>
      </w:r>
      <w:r w:rsidRPr="00E46988">
        <w:t>Director, Australian Accounting Standards Board, PO Box 204</w:t>
      </w:r>
      <w:r>
        <w:t>, Collins Street West, Victoria </w:t>
      </w:r>
      <w:r w:rsidRPr="00E46988">
        <w:t>8007</w:t>
      </w:r>
      <w:r w:rsidRPr="00DE4E67">
        <w:t>.</w:t>
      </w:r>
    </w:p>
    <w:p w14:paraId="33DD7EC2" w14:textId="4D917605" w:rsidR="00090A6F" w:rsidRPr="005732F4" w:rsidRDefault="00DE28A5">
      <w:pPr>
        <w:sectPr w:rsidR="00090A6F" w:rsidRPr="005732F4" w:rsidSect="00D74C6A">
          <w:footerReference w:type="default" r:id="rId18"/>
          <w:pgSz w:w="11907" w:h="16840" w:code="9"/>
          <w:pgMar w:top="1418" w:right="1418" w:bottom="1418" w:left="1418" w:header="709" w:footer="709" w:gutter="0"/>
          <w:paperSrc w:first="7" w:other="7"/>
          <w:cols w:space="720"/>
        </w:sectPr>
      </w:pPr>
      <w:r>
        <w:t>ISSN 1036-4803</w:t>
      </w:r>
    </w:p>
    <w:p w14:paraId="23638AD2" w14:textId="77777777" w:rsidR="00DE28A5" w:rsidRPr="003766A0" w:rsidRDefault="00DE28A5" w:rsidP="00DE28A5">
      <w:pPr>
        <w:pStyle w:val="ConvSectionTitle"/>
      </w:pPr>
      <w:r w:rsidRPr="003766A0">
        <w:lastRenderedPageBreak/>
        <w:t>Contents</w:t>
      </w:r>
    </w:p>
    <w:p w14:paraId="3CD153FC" w14:textId="77777777" w:rsidR="00DE28A5" w:rsidRPr="003766A0" w:rsidRDefault="00DE28A5" w:rsidP="00DE28A5">
      <w:pPr>
        <w:pStyle w:val="ContentsCapsPlain"/>
        <w:spacing w:before="400"/>
      </w:pPr>
      <w:r w:rsidRPr="003766A0">
        <w:t>PREFACE</w:t>
      </w:r>
    </w:p>
    <w:p w14:paraId="458FBF24" w14:textId="23674649" w:rsidR="00DE28A5" w:rsidRPr="003766A0" w:rsidRDefault="00DE28A5" w:rsidP="00DE28A5">
      <w:pPr>
        <w:pStyle w:val="ContentsCapsBold"/>
        <w:rPr>
          <w:iCs/>
        </w:rPr>
      </w:pPr>
      <w:r w:rsidRPr="003766A0">
        <w:rPr>
          <w:iCs/>
        </w:rPr>
        <w:t>ACCOUNTING STANDARD</w:t>
      </w:r>
    </w:p>
    <w:p w14:paraId="36A4A4B1" w14:textId="596FE239" w:rsidR="00DE28A5" w:rsidRPr="003766A0" w:rsidRDefault="00DE28A5" w:rsidP="00C73CAB">
      <w:pPr>
        <w:pStyle w:val="ContentsCapsBold"/>
        <w:spacing w:after="200"/>
        <w:jc w:val="left"/>
        <w:rPr>
          <w:i/>
          <w:iCs/>
        </w:rPr>
      </w:pPr>
      <w:r w:rsidRPr="003766A0">
        <w:rPr>
          <w:iCs/>
        </w:rPr>
        <w:t>AASB </w:t>
      </w:r>
      <w:r w:rsidR="00561FEE" w:rsidRPr="00561FEE">
        <w:rPr>
          <w:bCs/>
        </w:rPr>
        <w:fldChar w:fldCharType="begin" w:fldLock="1"/>
      </w:r>
      <w:r w:rsidR="00561FEE" w:rsidRPr="00561FEE">
        <w:rPr>
          <w:bCs/>
        </w:rPr>
        <w:instrText xml:space="preserve"> REF \* charformat DocNo </w:instrText>
      </w:r>
      <w:r w:rsidR="00561FEE">
        <w:rPr>
          <w:bCs/>
        </w:rPr>
        <w:instrText xml:space="preserve"> \* MERGEFORMAT </w:instrText>
      </w:r>
      <w:r w:rsidR="00561FEE" w:rsidRPr="00561FEE">
        <w:rPr>
          <w:bCs/>
        </w:rPr>
        <w:fldChar w:fldCharType="separate"/>
      </w:r>
      <w:r w:rsidR="000870D0" w:rsidRPr="000870D0">
        <w:rPr>
          <w:bCs/>
        </w:rPr>
        <w:t>2023-4</w:t>
      </w:r>
      <w:r w:rsidR="00561FEE" w:rsidRPr="00561FEE">
        <w:rPr>
          <w:bCs/>
        </w:rPr>
        <w:fldChar w:fldCharType="end"/>
      </w:r>
      <w:r w:rsidRPr="003766A0">
        <w:rPr>
          <w:iCs/>
        </w:rPr>
        <w:t xml:space="preserve"> </w:t>
      </w:r>
      <w:r w:rsidR="00A24E17">
        <w:rPr>
          <w:i/>
          <w:iCs/>
        </w:rPr>
        <w:fldChar w:fldCharType="begin" w:fldLock="1"/>
      </w:r>
      <w:r w:rsidR="00A24E17">
        <w:rPr>
          <w:i/>
          <w:iCs/>
        </w:rPr>
        <w:instrText xml:space="preserve"> REF \* charformat DocTitle </w:instrText>
      </w:r>
      <w:r w:rsidR="00A24E17">
        <w:rPr>
          <w:i/>
          <w:iCs/>
        </w:rPr>
        <w:fldChar w:fldCharType="separate"/>
      </w:r>
      <w:r w:rsidR="000870D0" w:rsidRPr="000870D0">
        <w:rPr>
          <w:i/>
          <w:iCs/>
        </w:rPr>
        <w:t>Amendments to Australian Accounting Standards – International Tax Reform – Pillar Two Model Rules: Tier 2 Disclosures</w:t>
      </w:r>
      <w:r w:rsidR="00A24E17">
        <w:rPr>
          <w:i/>
          <w:iCs/>
        </w:rPr>
        <w:fldChar w:fldCharType="end"/>
      </w:r>
    </w:p>
    <w:p w14:paraId="654EE142" w14:textId="77777777" w:rsidR="00DE28A5" w:rsidRPr="003766A0" w:rsidRDefault="00DE28A5" w:rsidP="00DE28A5">
      <w:pPr>
        <w:pStyle w:val="ContentsParaHead"/>
      </w:pPr>
      <w:r w:rsidRPr="003766A0">
        <w:t>from paragraph</w:t>
      </w:r>
    </w:p>
    <w:p w14:paraId="1E247B58" w14:textId="77777777" w:rsidR="00DE28A5" w:rsidRPr="003766A0" w:rsidRDefault="00DE28A5" w:rsidP="00DE28A5">
      <w:pPr>
        <w:pStyle w:val="ContentsLevel1"/>
        <w:ind w:right="0"/>
        <w:jc w:val="both"/>
        <w:rPr>
          <w:b w:val="0"/>
        </w:rPr>
      </w:pPr>
      <w:bookmarkStart w:id="6" w:name="TOCRange"/>
      <w:r w:rsidRPr="003766A0">
        <w:t>OBJECTIVE</w:t>
      </w:r>
      <w:r w:rsidRPr="003766A0">
        <w:tab/>
        <w:t>1</w:t>
      </w:r>
    </w:p>
    <w:p w14:paraId="789C94B0" w14:textId="216483A5" w:rsidR="00DE28A5" w:rsidRPr="00152CAD" w:rsidRDefault="00DE28A5" w:rsidP="00DE28A5">
      <w:pPr>
        <w:pStyle w:val="ContentsLevel1"/>
        <w:ind w:right="0"/>
        <w:jc w:val="both"/>
        <w:rPr>
          <w:b w:val="0"/>
        </w:rPr>
      </w:pPr>
      <w:r w:rsidRPr="003766A0">
        <w:t>APPLICATION</w:t>
      </w:r>
      <w:r w:rsidRPr="003766A0">
        <w:tab/>
      </w:r>
      <w:r w:rsidR="00932193">
        <w:t>4</w:t>
      </w:r>
    </w:p>
    <w:p w14:paraId="2A012D35" w14:textId="315CB956" w:rsidR="00DE28A5" w:rsidRDefault="00DE28A5" w:rsidP="00DE28A5">
      <w:pPr>
        <w:pStyle w:val="ContentsLevel1"/>
        <w:ind w:right="0"/>
        <w:jc w:val="both"/>
      </w:pPr>
      <w:r w:rsidRPr="00152CAD">
        <w:t>AMENDMENTS TO AASB 1060</w:t>
      </w:r>
      <w:r w:rsidRPr="00152CAD">
        <w:tab/>
      </w:r>
      <w:r w:rsidR="00932193">
        <w:t>7</w:t>
      </w:r>
    </w:p>
    <w:p w14:paraId="61AB0614" w14:textId="77777777" w:rsidR="00932193" w:rsidRPr="0000292B" w:rsidRDefault="00932193" w:rsidP="00932193">
      <w:pPr>
        <w:pStyle w:val="ContentsLevel1"/>
        <w:ind w:right="0"/>
        <w:jc w:val="both"/>
      </w:pPr>
      <w:r>
        <w:t>AMENDMENTS TO AASB 112</w:t>
      </w:r>
      <w:r>
        <w:tab/>
        <w:t>8</w:t>
      </w:r>
    </w:p>
    <w:p w14:paraId="0A301B1B" w14:textId="7F3C4AF1" w:rsidR="00DE28A5" w:rsidRPr="003766A0" w:rsidRDefault="00DE28A5" w:rsidP="00DE28A5">
      <w:pPr>
        <w:pStyle w:val="ContentsLevel1"/>
        <w:ind w:right="0"/>
        <w:jc w:val="both"/>
        <w:rPr>
          <w:b w:val="0"/>
        </w:rPr>
      </w:pPr>
      <w:r w:rsidRPr="00152CAD">
        <w:t>COMMENCEMENT OF THE LEGISLATIVE INSTRUMENT</w:t>
      </w:r>
      <w:r w:rsidRPr="00152CAD">
        <w:tab/>
      </w:r>
      <w:bookmarkStart w:id="7" w:name="ContentsMarker"/>
      <w:bookmarkEnd w:id="7"/>
      <w:r w:rsidR="00932193">
        <w:t>9</w:t>
      </w:r>
    </w:p>
    <w:p w14:paraId="728C8DE8" w14:textId="77777777" w:rsidR="00DE28A5" w:rsidRPr="003766A0" w:rsidRDefault="00DE28A5" w:rsidP="00DE28A5">
      <w:pPr>
        <w:pStyle w:val="ContentsLevel1"/>
        <w:jc w:val="both"/>
        <w:rPr>
          <w:b w:val="0"/>
        </w:rPr>
      </w:pPr>
    </w:p>
    <w:bookmarkEnd w:id="6"/>
    <w:p w14:paraId="152CF8D7" w14:textId="4C0027E0" w:rsidR="00DE28A5" w:rsidRPr="003766A0" w:rsidRDefault="00DE28A5" w:rsidP="00DE28A5">
      <w:pPr>
        <w:pStyle w:val="ContentsLevel1"/>
        <w:jc w:val="both"/>
        <w:rPr>
          <w:b w:val="0"/>
        </w:rPr>
      </w:pPr>
      <w:r w:rsidRPr="003766A0">
        <w:t>BASIS FOR CONCLUSIONS</w:t>
      </w:r>
    </w:p>
    <w:p w14:paraId="795317CF" w14:textId="3ECAD0F4" w:rsidR="00DE28A5" w:rsidRPr="003766A0" w:rsidRDefault="00DE28A5" w:rsidP="00DE28A5">
      <w:pPr>
        <w:pStyle w:val="ContentsBox"/>
        <w:spacing w:before="480" w:after="0"/>
      </w:pPr>
      <w:r w:rsidRPr="003766A0">
        <w:t>Australian Accounting Standard AASB </w:t>
      </w:r>
      <w:r w:rsidR="00561FEE">
        <w:rPr>
          <w:bCs/>
        </w:rPr>
        <w:fldChar w:fldCharType="begin" w:fldLock="1"/>
      </w:r>
      <w:r w:rsidR="00561FEE" w:rsidRPr="00561FEE">
        <w:rPr>
          <w:bCs/>
        </w:rPr>
        <w:instrText xml:space="preserve"> REF \* charformat DocNo </w:instrText>
      </w:r>
      <w:r w:rsidR="00561FEE">
        <w:rPr>
          <w:bCs/>
        </w:rPr>
        <w:instrText xml:space="preserve"> \* MERGEFORMAT </w:instrText>
      </w:r>
      <w:r w:rsidR="00561FEE">
        <w:rPr>
          <w:bCs/>
        </w:rPr>
        <w:fldChar w:fldCharType="separate"/>
      </w:r>
      <w:r w:rsidR="000870D0" w:rsidRPr="000870D0">
        <w:rPr>
          <w:bCs/>
        </w:rPr>
        <w:t>2023-4</w:t>
      </w:r>
      <w:r w:rsidR="00561FEE">
        <w:rPr>
          <w:b/>
        </w:rPr>
        <w:fldChar w:fldCharType="end"/>
      </w:r>
      <w:r w:rsidRPr="003766A0">
        <w:t xml:space="preserve"> </w:t>
      </w:r>
      <w:r w:rsidR="00A24E17">
        <w:rPr>
          <w:i/>
          <w:iCs/>
        </w:rPr>
        <w:fldChar w:fldCharType="begin" w:fldLock="1"/>
      </w:r>
      <w:r w:rsidR="00A24E17">
        <w:rPr>
          <w:i/>
          <w:iCs/>
        </w:rPr>
        <w:instrText xml:space="preserve"> REF \* charformat DocTitle </w:instrText>
      </w:r>
      <w:r w:rsidR="00A24E17">
        <w:rPr>
          <w:i/>
          <w:iCs/>
        </w:rPr>
        <w:fldChar w:fldCharType="separate"/>
      </w:r>
      <w:r w:rsidR="000870D0" w:rsidRPr="000870D0">
        <w:rPr>
          <w:i/>
          <w:iCs/>
        </w:rPr>
        <w:t>Amendments to Australian Accounting Standards – International Tax Reform – Pillar Two Model Rules: Tier 2 Disclosures</w:t>
      </w:r>
      <w:r w:rsidR="00A24E17">
        <w:rPr>
          <w:i/>
          <w:iCs/>
        </w:rPr>
        <w:fldChar w:fldCharType="end"/>
      </w:r>
      <w:r>
        <w:rPr>
          <w:i/>
        </w:rPr>
        <w:t xml:space="preserve"> </w:t>
      </w:r>
      <w:r w:rsidRPr="003766A0">
        <w:t xml:space="preserve">is set out </w:t>
      </w:r>
      <w:r w:rsidRPr="00152CAD">
        <w:t xml:space="preserve">in </w:t>
      </w:r>
      <w:r w:rsidRPr="00193D90">
        <w:t>paragraph</w:t>
      </w:r>
      <w:r>
        <w:t>s</w:t>
      </w:r>
      <w:r w:rsidR="00D84EEA">
        <w:t xml:space="preserve"> 1–</w:t>
      </w:r>
      <w:r w:rsidR="00932193">
        <w:t>9</w:t>
      </w:r>
      <w:r w:rsidRPr="00193D90">
        <w:t>.</w:t>
      </w:r>
      <w:r w:rsidR="00FF3B4B">
        <w:t xml:space="preserve"> </w:t>
      </w:r>
      <w:r w:rsidRPr="00192BAF">
        <w:t xml:space="preserve"> All</w:t>
      </w:r>
      <w:r w:rsidRPr="00152CAD">
        <w:t xml:space="preserve"> the paragraphs have equal authority.</w:t>
      </w:r>
    </w:p>
    <w:p w14:paraId="03C559E3" w14:textId="77777777" w:rsidR="00DE28A5" w:rsidRDefault="00DE28A5" w:rsidP="00DE28A5">
      <w:pPr>
        <w:pStyle w:val="ContentsBox"/>
        <w:pBdr>
          <w:top w:val="none" w:sz="0" w:space="0" w:color="auto"/>
          <w:left w:val="none" w:sz="0" w:space="0" w:color="auto"/>
          <w:bottom w:val="none" w:sz="0" w:space="0" w:color="auto"/>
          <w:right w:val="none" w:sz="0" w:space="0" w:color="auto"/>
        </w:pBdr>
        <w:spacing w:after="0"/>
      </w:pPr>
    </w:p>
    <w:p w14:paraId="45160C57" w14:textId="77777777" w:rsidR="00DE28A5" w:rsidRDefault="00DE28A5" w:rsidP="00DE28A5">
      <w:pPr>
        <w:pStyle w:val="ContentsBox"/>
        <w:pBdr>
          <w:top w:val="none" w:sz="0" w:space="0" w:color="auto"/>
          <w:left w:val="none" w:sz="0" w:space="0" w:color="auto"/>
          <w:bottom w:val="none" w:sz="0" w:space="0" w:color="auto"/>
          <w:right w:val="none" w:sz="0" w:space="0" w:color="auto"/>
        </w:pBdr>
        <w:spacing w:after="0"/>
        <w:sectPr w:rsidR="00DE28A5">
          <w:footerReference w:type="default" r:id="rId19"/>
          <w:footnotePr>
            <w:numRestart w:val="eachSect"/>
          </w:footnotePr>
          <w:pgSz w:w="11907" w:h="16840" w:code="9"/>
          <w:pgMar w:top="1418" w:right="1418" w:bottom="1418" w:left="1418" w:header="709" w:footer="709" w:gutter="0"/>
          <w:paperSrc w:first="7" w:other="7"/>
          <w:cols w:space="720"/>
          <w:docGrid w:linePitch="65"/>
        </w:sectPr>
      </w:pPr>
    </w:p>
    <w:p w14:paraId="79E44C41" w14:textId="77777777" w:rsidR="00DE28A5" w:rsidRPr="003766A0" w:rsidRDefault="00DE28A5" w:rsidP="00DE28A5">
      <w:pPr>
        <w:pStyle w:val="ConvSectionTitle"/>
        <w:rPr>
          <w:i/>
          <w:iCs/>
        </w:rPr>
      </w:pPr>
      <w:r w:rsidRPr="003766A0">
        <w:lastRenderedPageBreak/>
        <w:t>Preface</w:t>
      </w:r>
    </w:p>
    <w:p w14:paraId="464E53F9" w14:textId="38AFF71D" w:rsidR="00DE28A5" w:rsidRPr="003766A0" w:rsidRDefault="00DE28A5" w:rsidP="00DE28A5">
      <w:pPr>
        <w:pStyle w:val="IASBSectionTitle1NonInd"/>
      </w:pPr>
      <w:bookmarkStart w:id="8" w:name="ArisingNo"/>
      <w:bookmarkEnd w:id="8"/>
      <w:r w:rsidRPr="003766A0">
        <w:t xml:space="preserve">Standards amended by AASB </w:t>
      </w:r>
      <w:r w:rsidR="00561FEE">
        <w:rPr>
          <w:b w:val="0"/>
        </w:rPr>
        <w:fldChar w:fldCharType="begin" w:fldLock="1"/>
      </w:r>
      <w:r w:rsidR="00561FEE">
        <w:instrText xml:space="preserve"> REF \* charformat DocNo </w:instrText>
      </w:r>
      <w:r w:rsidR="00561FEE">
        <w:rPr>
          <w:b w:val="0"/>
        </w:rPr>
        <w:fldChar w:fldCharType="separate"/>
      </w:r>
      <w:r w:rsidR="000870D0" w:rsidRPr="005732F4">
        <w:t>202</w:t>
      </w:r>
      <w:r w:rsidR="000870D0">
        <w:t>3-4</w:t>
      </w:r>
      <w:r w:rsidR="00561FEE">
        <w:rPr>
          <w:b w:val="0"/>
        </w:rPr>
        <w:fldChar w:fldCharType="end"/>
      </w:r>
    </w:p>
    <w:p w14:paraId="740492F5" w14:textId="5A171435" w:rsidR="00D32324" w:rsidRPr="00D21576" w:rsidRDefault="00D32324" w:rsidP="00D32324">
      <w:pPr>
        <w:pStyle w:val="NoNumPlain1"/>
      </w:pPr>
      <w:bookmarkStart w:id="9" w:name="_Hlk136870998"/>
      <w:r>
        <w:t xml:space="preserve">This Standard makes amendments to </w:t>
      </w:r>
      <w:r w:rsidRPr="00692E0D">
        <w:t>AASB</w:t>
      </w:r>
      <w:r>
        <w:t xml:space="preserve"> 1060 </w:t>
      </w:r>
      <w:r w:rsidRPr="006A0E2A">
        <w:rPr>
          <w:i/>
          <w:iCs/>
        </w:rPr>
        <w:t>General Purpose Financial Statements – Simplified Disclosures for For-Profit and Not-for-Profit Tier 2 Entities</w:t>
      </w:r>
      <w:r>
        <w:t xml:space="preserve"> (March 2020) and AASB 112 </w:t>
      </w:r>
      <w:r>
        <w:rPr>
          <w:i/>
          <w:iCs/>
        </w:rPr>
        <w:t xml:space="preserve">Income </w:t>
      </w:r>
      <w:r w:rsidRPr="00AC6743">
        <w:rPr>
          <w:i/>
          <w:iCs/>
        </w:rPr>
        <w:t>Taxes</w:t>
      </w:r>
      <w:r>
        <w:t xml:space="preserve"> (August 2015).</w:t>
      </w:r>
    </w:p>
    <w:bookmarkEnd w:id="9"/>
    <w:p w14:paraId="6025FB5E" w14:textId="77777777" w:rsidR="00DE28A5" w:rsidRPr="003766A0" w:rsidRDefault="00DE28A5" w:rsidP="008350A1">
      <w:pPr>
        <w:pStyle w:val="IASBSectionTitle1NonInd"/>
      </w:pPr>
      <w:r w:rsidRPr="003766A0">
        <w:t xml:space="preserve">Main features of </w:t>
      </w:r>
      <w:r>
        <w:t>this Standard</w:t>
      </w:r>
    </w:p>
    <w:p w14:paraId="2C293EC2" w14:textId="77777777" w:rsidR="00DE28A5" w:rsidRPr="003766A0" w:rsidRDefault="00DE28A5" w:rsidP="00DE28A5">
      <w:pPr>
        <w:pStyle w:val="IASBSectionTitle2Ind"/>
      </w:pPr>
      <w:r w:rsidRPr="003766A0">
        <w:t>Main requirements</w:t>
      </w:r>
    </w:p>
    <w:p w14:paraId="68BA1591" w14:textId="77777777" w:rsidR="00A056A8" w:rsidRDefault="00A056A8" w:rsidP="00A056A8">
      <w:r>
        <w:t xml:space="preserve">AASB 2023-2 </w:t>
      </w:r>
      <w:r w:rsidRPr="00985DF5">
        <w:rPr>
          <w:i/>
          <w:iCs/>
        </w:rPr>
        <w:t>Amendments to Australian Accounting Standards – International Tax Reform – Pillar Two Model Rules</w:t>
      </w:r>
      <w:r>
        <w:t xml:space="preserve"> (June 2023) amended AASB 112 to introduce:</w:t>
      </w:r>
    </w:p>
    <w:p w14:paraId="45DA4D31" w14:textId="77777777" w:rsidR="00A056A8" w:rsidRDefault="00A056A8" w:rsidP="00A056A8">
      <w:pPr>
        <w:pStyle w:val="NumPlainA"/>
        <w:numPr>
          <w:ilvl w:val="0"/>
          <w:numId w:val="25"/>
        </w:numPr>
      </w:pPr>
      <w:r>
        <w:t>a mandatory temporary exception to accounting for deferred taxes arising from the implementation of the Pillar Two model rules published by the Organisation for Economic Co-operation and Development (OECD); and</w:t>
      </w:r>
    </w:p>
    <w:p w14:paraId="62D031C2" w14:textId="77777777" w:rsidR="00A056A8" w:rsidRPr="0000292B" w:rsidRDefault="00A056A8" w:rsidP="00A056A8">
      <w:pPr>
        <w:pStyle w:val="NumPlainA"/>
        <w:numPr>
          <w:ilvl w:val="0"/>
          <w:numId w:val="25"/>
        </w:numPr>
      </w:pPr>
      <w:r>
        <w:t>targeted disclosure requirements to help financial statement users better understand an entity’s exposure to income taxes arising from the reform,</w:t>
      </w:r>
      <w:r w:rsidRPr="00CF5523">
        <w:t xml:space="preserve"> </w:t>
      </w:r>
      <w:r>
        <w:t>particularly in periods before legislation implementing the rules is in effect.</w:t>
      </w:r>
    </w:p>
    <w:p w14:paraId="6811BAF6" w14:textId="77777777" w:rsidR="00A056A8" w:rsidRDefault="00A056A8" w:rsidP="00A056A8">
      <w:r>
        <w:t>This Standard amends AASB 1060 to</w:t>
      </w:r>
      <w:r w:rsidRPr="00963043">
        <w:t xml:space="preserve"> </w:t>
      </w:r>
      <w:r>
        <w:t>require a Tier 2 entity to</w:t>
      </w:r>
      <w:r w:rsidRPr="00963043">
        <w:t xml:space="preserve"> </w:t>
      </w:r>
      <w:r>
        <w:t xml:space="preserve">disclose: </w:t>
      </w:r>
    </w:p>
    <w:p w14:paraId="0B3E6742" w14:textId="77777777" w:rsidR="00A056A8" w:rsidRDefault="00A056A8" w:rsidP="00A056A8">
      <w:pPr>
        <w:pStyle w:val="NumPlainA"/>
        <w:numPr>
          <w:ilvl w:val="0"/>
          <w:numId w:val="24"/>
        </w:numPr>
      </w:pPr>
      <w:r>
        <w:t>that it has applied the exception to recognising and disclosing information about deferred tax assets and liabilities related to Pillar Two income taxes (see AASB 112 paragraph 4A); and</w:t>
      </w:r>
    </w:p>
    <w:p w14:paraId="740BF410" w14:textId="77777777" w:rsidR="00A056A8" w:rsidRDefault="00A056A8" w:rsidP="00A056A8">
      <w:pPr>
        <w:pStyle w:val="NumPlainA"/>
        <w:numPr>
          <w:ilvl w:val="0"/>
          <w:numId w:val="24"/>
        </w:numPr>
      </w:pPr>
      <w:r>
        <w:t>its current tax expense (income) related to Pillar Two income taxes.</w:t>
      </w:r>
    </w:p>
    <w:p w14:paraId="099F06A6" w14:textId="77777777" w:rsidR="00A056A8" w:rsidRPr="0000292B" w:rsidRDefault="00A056A8" w:rsidP="00A056A8">
      <w:r>
        <w:t>This Standard also amends AASB 112 to extend the exemption from complying with the disclosure requirements of AASB 112 for entities that apply AASB 1060 to ensure Tier 2 entities are not required to comply with the new disclosure requirements in AASB 112 when preparing their Tier 2 financial statements.</w:t>
      </w:r>
    </w:p>
    <w:p w14:paraId="74D3E071" w14:textId="77777777" w:rsidR="00DE28A5" w:rsidRPr="003766A0" w:rsidRDefault="00DE28A5" w:rsidP="00DE28A5">
      <w:pPr>
        <w:pStyle w:val="IASBSectionTitle2Ind"/>
      </w:pPr>
      <w:r w:rsidRPr="003766A0">
        <w:t>Application date</w:t>
      </w:r>
    </w:p>
    <w:p w14:paraId="25073294" w14:textId="71E5E19C" w:rsidR="0052647C" w:rsidRPr="007F0C7A" w:rsidRDefault="0052647C" w:rsidP="0052647C">
      <w:pPr>
        <w:pStyle w:val="NoNumPlain1"/>
      </w:pPr>
      <w:bookmarkStart w:id="10" w:name="AppDateSpecifiedPreface"/>
      <w:r w:rsidRPr="007F0C7A">
        <w:t>This</w:t>
      </w:r>
      <w:r>
        <w:t xml:space="preserve"> </w:t>
      </w:r>
      <w:r w:rsidRPr="007F0C7A">
        <w:t xml:space="preserve">Standard applies to annual periods </w:t>
      </w:r>
      <w:r w:rsidR="00747B37">
        <w:t xml:space="preserve">beginning </w:t>
      </w:r>
      <w:r w:rsidRPr="007F0C7A">
        <w:t xml:space="preserve">on or after </w:t>
      </w:r>
      <w:r w:rsidR="00747B37">
        <w:t>1 January 2023 that end on or after 30 September 2023</w:t>
      </w:r>
      <w:r>
        <w:t>, with earlier application permitted</w:t>
      </w:r>
      <w:r w:rsidR="00EA3004">
        <w:t xml:space="preserve"> for any period ending before 30 September 2023, including the 2022/23 financial year</w:t>
      </w:r>
      <w:r w:rsidRPr="007F0C7A">
        <w:t>.</w:t>
      </w:r>
      <w:bookmarkStart w:id="11" w:name="EarlyYesParaPreface"/>
    </w:p>
    <w:bookmarkEnd w:id="10"/>
    <w:bookmarkEnd w:id="11"/>
    <w:p w14:paraId="28DE53D2" w14:textId="77777777" w:rsidR="00DE28A5" w:rsidRDefault="00DE28A5" w:rsidP="00DE28A5">
      <w:pPr>
        <w:pStyle w:val="IASBNormal"/>
        <w:spacing w:after="0"/>
      </w:pPr>
    </w:p>
    <w:p w14:paraId="744257DB" w14:textId="77777777" w:rsidR="00DE28A5" w:rsidRDefault="00DE28A5" w:rsidP="00DE28A5">
      <w:pPr>
        <w:pStyle w:val="IASBNormal"/>
        <w:spacing w:after="0"/>
        <w:sectPr w:rsidR="00DE28A5">
          <w:footerReference w:type="default" r:id="rId20"/>
          <w:footnotePr>
            <w:numRestart w:val="eachSect"/>
          </w:footnotePr>
          <w:pgSz w:w="11907" w:h="16840" w:code="9"/>
          <w:pgMar w:top="1418" w:right="1418" w:bottom="1418" w:left="1418" w:header="709" w:footer="709" w:gutter="0"/>
          <w:paperSrc w:first="7" w:other="7"/>
          <w:cols w:space="720"/>
          <w:docGrid w:linePitch="65"/>
        </w:sectPr>
      </w:pPr>
    </w:p>
    <w:p w14:paraId="30317215" w14:textId="45E78020" w:rsidR="00DE28A5" w:rsidRPr="003766A0" w:rsidRDefault="00DE28A5" w:rsidP="00DE28A5">
      <w:pPr>
        <w:pStyle w:val="ConvSectionTitle"/>
      </w:pPr>
      <w:r w:rsidRPr="003766A0">
        <w:lastRenderedPageBreak/>
        <w:t>Accounting Standard AASB </w:t>
      </w:r>
      <w:r w:rsidR="002F539D">
        <w:fldChar w:fldCharType="begin" w:fldLock="1"/>
      </w:r>
      <w:r w:rsidR="002F539D">
        <w:instrText xml:space="preserve"> REF \* charformat DocNo </w:instrText>
      </w:r>
      <w:r w:rsidR="002F539D">
        <w:fldChar w:fldCharType="separate"/>
      </w:r>
      <w:r w:rsidR="000870D0" w:rsidRPr="005732F4">
        <w:t>202</w:t>
      </w:r>
      <w:r w:rsidR="000870D0">
        <w:t>3-4</w:t>
      </w:r>
      <w:r w:rsidR="002F539D">
        <w:fldChar w:fldCharType="end"/>
      </w:r>
    </w:p>
    <w:p w14:paraId="73F25D7A" w14:textId="3F147A72" w:rsidR="00DE28A5" w:rsidRPr="003766A0" w:rsidRDefault="00DE28A5" w:rsidP="00DE28A5">
      <w:pPr>
        <w:pStyle w:val="BodyText"/>
        <w:rPr>
          <w:lang w:eastAsia="en-AU"/>
        </w:rPr>
      </w:pPr>
      <w:r w:rsidRPr="003766A0">
        <w:rPr>
          <w:lang w:eastAsia="en-AU"/>
        </w:rPr>
        <w:t xml:space="preserve">The Australian Accounting Standards Board makes Accounting Standard AASB </w:t>
      </w:r>
      <w:r w:rsidR="00561FEE">
        <w:rPr>
          <w:bCs/>
        </w:rPr>
        <w:fldChar w:fldCharType="begin" w:fldLock="1"/>
      </w:r>
      <w:r w:rsidR="00561FEE" w:rsidRPr="0052647C">
        <w:rPr>
          <w:bCs/>
        </w:rPr>
        <w:instrText xml:space="preserve"> REF \* charformat DocNo </w:instrText>
      </w:r>
      <w:r w:rsidR="0052647C" w:rsidRPr="0052647C">
        <w:rPr>
          <w:bCs/>
        </w:rPr>
        <w:instrText xml:space="preserve"> \* MERGEFORMAT </w:instrText>
      </w:r>
      <w:r w:rsidR="00561FEE">
        <w:rPr>
          <w:bCs/>
        </w:rPr>
        <w:fldChar w:fldCharType="separate"/>
      </w:r>
      <w:r w:rsidR="000870D0" w:rsidRPr="000870D0">
        <w:rPr>
          <w:bCs/>
        </w:rPr>
        <w:t>2023-4</w:t>
      </w:r>
      <w:r w:rsidR="00561FEE">
        <w:rPr>
          <w:b/>
        </w:rPr>
        <w:fldChar w:fldCharType="end"/>
      </w:r>
      <w:r w:rsidRPr="003766A0">
        <w:rPr>
          <w:lang w:eastAsia="en-AU"/>
        </w:rPr>
        <w:t xml:space="preserve"> </w:t>
      </w:r>
      <w:r w:rsidR="00B97CEA">
        <w:rPr>
          <w:i/>
          <w:iCs/>
        </w:rPr>
        <w:fldChar w:fldCharType="begin" w:fldLock="1"/>
      </w:r>
      <w:r w:rsidR="00B97CEA">
        <w:rPr>
          <w:i/>
          <w:iCs/>
        </w:rPr>
        <w:instrText xml:space="preserve"> REF DocTitle  \* charformat </w:instrText>
      </w:r>
      <w:r w:rsidR="00B97CEA">
        <w:rPr>
          <w:i/>
          <w:iCs/>
        </w:rPr>
        <w:fldChar w:fldCharType="separate"/>
      </w:r>
      <w:r w:rsidR="000870D0" w:rsidRPr="000870D0">
        <w:rPr>
          <w:i/>
          <w:iCs/>
        </w:rPr>
        <w:t>Amendments to Australian Accounting Standards – International Tax Reform – Pillar Two Model Rules: Tier 2 Disclosures</w:t>
      </w:r>
      <w:r w:rsidR="00B97CEA">
        <w:rPr>
          <w:i/>
          <w:iCs/>
        </w:rPr>
        <w:fldChar w:fldCharType="end"/>
      </w:r>
      <w:r>
        <w:rPr>
          <w:i/>
          <w:lang w:eastAsia="en-AU"/>
        </w:rPr>
        <w:t xml:space="preserve"> </w:t>
      </w:r>
      <w:r w:rsidRPr="003766A0">
        <w:rPr>
          <w:lang w:eastAsia="en-AU"/>
        </w:rPr>
        <w:t>under section</w:t>
      </w:r>
      <w:r>
        <w:rPr>
          <w:lang w:eastAsia="en-AU"/>
        </w:rPr>
        <w:t xml:space="preserve"> </w:t>
      </w:r>
      <w:r w:rsidRPr="003766A0">
        <w:rPr>
          <w:lang w:eastAsia="en-AU"/>
        </w:rPr>
        <w:t xml:space="preserve">334 of the </w:t>
      </w:r>
      <w:r w:rsidRPr="002222AA">
        <w:rPr>
          <w:i/>
          <w:lang w:eastAsia="en-AU"/>
        </w:rPr>
        <w:t>Corporations Act 2001</w:t>
      </w:r>
      <w:r w:rsidRPr="003766A0">
        <w:rPr>
          <w:lang w:eastAsia="en-AU"/>
        </w:rPr>
        <w:t>.</w:t>
      </w:r>
    </w:p>
    <w:p w14:paraId="33F906F5" w14:textId="77777777" w:rsidR="00DE28A5" w:rsidRPr="003766A0" w:rsidRDefault="00DE28A5" w:rsidP="00DE28A5">
      <w:pPr>
        <w:pStyle w:val="BodyText"/>
        <w:spacing w:after="0"/>
        <w:jc w:val="right"/>
        <w:rPr>
          <w:lang w:eastAsia="en-AU"/>
        </w:rPr>
      </w:pPr>
      <w:bookmarkStart w:id="12" w:name="_Hlk136962031"/>
      <w:r>
        <w:rPr>
          <w:lang w:eastAsia="en-AU"/>
        </w:rPr>
        <w:t>Keith Kendall</w:t>
      </w:r>
    </w:p>
    <w:p w14:paraId="738CC5BC" w14:textId="74A09327" w:rsidR="00DE28A5" w:rsidRPr="003766A0" w:rsidRDefault="00DE28A5" w:rsidP="00DE28A5">
      <w:pPr>
        <w:pStyle w:val="BodyText"/>
        <w:tabs>
          <w:tab w:val="left" w:pos="191"/>
          <w:tab w:val="right" w:pos="9071"/>
        </w:tabs>
        <w:jc w:val="left"/>
        <w:rPr>
          <w:lang w:eastAsia="en-AU"/>
        </w:rPr>
      </w:pPr>
      <w:r w:rsidRPr="003766A0">
        <w:rPr>
          <w:lang w:eastAsia="en-AU"/>
        </w:rPr>
        <w:t xml:space="preserve">Dated </w:t>
      </w:r>
      <w:r w:rsidR="00B222D7">
        <w:t>14</w:t>
      </w:r>
      <w:r w:rsidR="00E06B9E">
        <w:t xml:space="preserve"> September 2023</w:t>
      </w:r>
      <w:r>
        <w:rPr>
          <w:lang w:eastAsia="en-AU"/>
        </w:rPr>
        <w:tab/>
      </w:r>
      <w:r w:rsidRPr="003766A0">
        <w:rPr>
          <w:lang w:eastAsia="en-AU"/>
        </w:rPr>
        <w:t>Chair – AASB</w:t>
      </w:r>
    </w:p>
    <w:bookmarkEnd w:id="12"/>
    <w:p w14:paraId="7A8AAA3D" w14:textId="1FB58432" w:rsidR="00DE28A5" w:rsidRPr="003766A0" w:rsidRDefault="00DE28A5" w:rsidP="00DE28A5">
      <w:pPr>
        <w:pStyle w:val="ConvSectionTitle"/>
        <w:spacing w:after="0"/>
      </w:pPr>
      <w:r w:rsidRPr="003766A0">
        <w:t>Accounting Standard AASB </w:t>
      </w:r>
      <w:r w:rsidR="002F539D">
        <w:fldChar w:fldCharType="begin" w:fldLock="1"/>
      </w:r>
      <w:r w:rsidR="002F539D">
        <w:instrText xml:space="preserve"> REF \* charformat DocNo </w:instrText>
      </w:r>
      <w:r w:rsidR="002F539D">
        <w:fldChar w:fldCharType="separate"/>
      </w:r>
      <w:r w:rsidR="000870D0" w:rsidRPr="005732F4">
        <w:t>202</w:t>
      </w:r>
      <w:r w:rsidR="000870D0">
        <w:t>3-4</w:t>
      </w:r>
      <w:r w:rsidR="002F539D">
        <w:fldChar w:fldCharType="end"/>
      </w:r>
    </w:p>
    <w:p w14:paraId="34B1EA8F" w14:textId="00D3ACE5" w:rsidR="00DE28A5" w:rsidRPr="00EE1B42" w:rsidRDefault="00EE1B42" w:rsidP="00DE28A5">
      <w:pPr>
        <w:pStyle w:val="ConvSectionTitle"/>
        <w:spacing w:before="0" w:after="0"/>
        <w:rPr>
          <w:i/>
          <w:iCs/>
        </w:rPr>
      </w:pPr>
      <w:r w:rsidRPr="00EE1B42">
        <w:rPr>
          <w:i/>
          <w:iCs/>
        </w:rPr>
        <w:fldChar w:fldCharType="begin" w:fldLock="1"/>
      </w:r>
      <w:r w:rsidRPr="00EE1B42">
        <w:rPr>
          <w:i/>
          <w:iCs/>
        </w:rPr>
        <w:instrText xml:space="preserve"> REF DocTitle \* charformat</w:instrText>
      </w:r>
      <w:r>
        <w:rPr>
          <w:i/>
          <w:iCs/>
        </w:rPr>
        <w:instrText xml:space="preserve"> \* MERGEFORMAT </w:instrText>
      </w:r>
      <w:r w:rsidRPr="00EE1B42">
        <w:rPr>
          <w:i/>
          <w:iCs/>
        </w:rPr>
        <w:fldChar w:fldCharType="separate"/>
      </w:r>
      <w:r w:rsidR="000870D0" w:rsidRPr="000870D0">
        <w:rPr>
          <w:i/>
          <w:iCs/>
        </w:rPr>
        <w:t>Amendments to Australian Accounting Standards – International Tax Reform – Pillar Two Model Rules: Tier 2 Disclosures</w:t>
      </w:r>
      <w:r w:rsidRPr="00EE1B42">
        <w:rPr>
          <w:i/>
          <w:iCs/>
        </w:rPr>
        <w:fldChar w:fldCharType="end"/>
      </w:r>
    </w:p>
    <w:p w14:paraId="2880484B" w14:textId="77777777" w:rsidR="00DE28A5" w:rsidRPr="003766A0" w:rsidRDefault="00DE28A5" w:rsidP="00DE28A5">
      <w:pPr>
        <w:pStyle w:val="IASBSectionTitle1NonInd"/>
      </w:pPr>
      <w:r w:rsidRPr="003766A0">
        <w:t>Objective</w:t>
      </w:r>
    </w:p>
    <w:p w14:paraId="2EAC545D" w14:textId="77777777" w:rsidR="00F621C4" w:rsidRDefault="00F621C4" w:rsidP="00F621C4">
      <w:pPr>
        <w:pStyle w:val="NumPlain1"/>
        <w:numPr>
          <w:ilvl w:val="0"/>
          <w:numId w:val="27"/>
        </w:numPr>
      </w:pPr>
      <w:r>
        <w:t xml:space="preserve">This Standard amends AASB 1060 </w:t>
      </w:r>
      <w:r w:rsidRPr="000C132B">
        <w:rPr>
          <w:i/>
          <w:iCs/>
        </w:rPr>
        <w:t>General Purpose Financial Statements – Simplified Disclosures for For</w:t>
      </w:r>
      <w:r>
        <w:rPr>
          <w:i/>
          <w:iCs/>
        </w:rPr>
        <w:t>-</w:t>
      </w:r>
      <w:r w:rsidRPr="000C132B">
        <w:rPr>
          <w:i/>
          <w:iCs/>
        </w:rPr>
        <w:t>Profit and Not-for-Profit Tier 2 Entities</w:t>
      </w:r>
      <w:r>
        <w:t xml:space="preserve"> (March 2020) to</w:t>
      </w:r>
      <w:r w:rsidRPr="00963043">
        <w:t xml:space="preserve"> </w:t>
      </w:r>
      <w:r>
        <w:t xml:space="preserve">require a Tier 2 entity to disclose: </w:t>
      </w:r>
    </w:p>
    <w:p w14:paraId="242D5126" w14:textId="01624099" w:rsidR="00F621C4" w:rsidRDefault="00F621C4" w:rsidP="00F621C4">
      <w:pPr>
        <w:pStyle w:val="NumPlain2"/>
        <w:numPr>
          <w:ilvl w:val="1"/>
          <w:numId w:val="27"/>
        </w:numPr>
      </w:pPr>
      <w:r>
        <w:t>that it has applied the exception to recognising and disclosing information about deferred tax assets and liabilities related to Pillar Two income taxes (see AASB</w:t>
      </w:r>
      <w:r w:rsidR="00C504B5">
        <w:t xml:space="preserve"> </w:t>
      </w:r>
      <w:r>
        <w:t>112 paragraph</w:t>
      </w:r>
      <w:r w:rsidR="00C504B5">
        <w:t xml:space="preserve"> </w:t>
      </w:r>
      <w:r>
        <w:t>4A); and</w:t>
      </w:r>
    </w:p>
    <w:p w14:paraId="798EDEB7" w14:textId="77777777" w:rsidR="00F621C4" w:rsidRDefault="00F621C4" w:rsidP="00F621C4">
      <w:pPr>
        <w:pStyle w:val="NumPlain2"/>
        <w:numPr>
          <w:ilvl w:val="1"/>
          <w:numId w:val="27"/>
        </w:numPr>
      </w:pPr>
      <w:r>
        <w:t>its current tax expense (income) related to Pillar Two income taxes.</w:t>
      </w:r>
    </w:p>
    <w:p w14:paraId="7903105B" w14:textId="77777777" w:rsidR="00F621C4" w:rsidRPr="0000292B" w:rsidRDefault="00F621C4" w:rsidP="00F621C4">
      <w:pPr>
        <w:pStyle w:val="NumPlain1"/>
        <w:numPr>
          <w:ilvl w:val="0"/>
          <w:numId w:val="27"/>
        </w:numPr>
      </w:pPr>
      <w:r>
        <w:t xml:space="preserve">This Standard also amends AASB 112 </w:t>
      </w:r>
      <w:r>
        <w:rPr>
          <w:i/>
          <w:iCs/>
        </w:rPr>
        <w:t xml:space="preserve">Income Taxes </w:t>
      </w:r>
      <w:r>
        <w:t>(August 2015) to extend the exemption from complying with the disclosure requirements of AASB 112 for entities that apply AASB 1060 to ensure Tier 2 entities are not required to comply with the disclosure requirements in AASB 112 when preparing their financial statements.</w:t>
      </w:r>
    </w:p>
    <w:p w14:paraId="05977942" w14:textId="77777777" w:rsidR="00F621C4" w:rsidRDefault="00F621C4" w:rsidP="00F621C4">
      <w:pPr>
        <w:pStyle w:val="NumPlain1"/>
        <w:numPr>
          <w:ilvl w:val="0"/>
          <w:numId w:val="27"/>
        </w:numPr>
      </w:pPr>
      <w:r>
        <w:t xml:space="preserve">These amendments reflect the issuance of AASB 2023-2 </w:t>
      </w:r>
      <w:r w:rsidRPr="00985DF5">
        <w:rPr>
          <w:i/>
          <w:iCs/>
        </w:rPr>
        <w:t>Amendments to Australian Accounting Standards – International Tax Reform – Pillar Two Model Rules</w:t>
      </w:r>
      <w:r>
        <w:t xml:space="preserve"> (June 2023), which amended AASB 112 to introduce:</w:t>
      </w:r>
    </w:p>
    <w:p w14:paraId="1F1398BE" w14:textId="77777777" w:rsidR="00F621C4" w:rsidRDefault="00F621C4" w:rsidP="00F621C4">
      <w:pPr>
        <w:pStyle w:val="NumPlain2"/>
        <w:numPr>
          <w:ilvl w:val="1"/>
          <w:numId w:val="27"/>
        </w:numPr>
      </w:pPr>
      <w:r>
        <w:t>a mandatory temporary exception to accounting for deferred taxes arising from the implementation of the Pillar Two model rules published by the Organisation for Economic Co-operation and Development (OECD); and</w:t>
      </w:r>
    </w:p>
    <w:p w14:paraId="04A67783" w14:textId="54098966" w:rsidR="00DA6A0B" w:rsidRDefault="00DA6A0B" w:rsidP="00F621C4">
      <w:pPr>
        <w:pStyle w:val="NumPlain2"/>
        <w:numPr>
          <w:ilvl w:val="1"/>
          <w:numId w:val="27"/>
        </w:numPr>
      </w:pPr>
      <w:r>
        <w:t>targeted disclosure requirements to help financial statement users better understand an entity’s exposure to income taxes arising from the reform.</w:t>
      </w:r>
    </w:p>
    <w:p w14:paraId="0CA159E3" w14:textId="77777777" w:rsidR="00DE28A5" w:rsidRPr="003766A0" w:rsidRDefault="00DE28A5" w:rsidP="00DE28A5">
      <w:pPr>
        <w:pStyle w:val="IASBSectionTitle1NonInd"/>
      </w:pPr>
      <w:r w:rsidRPr="003766A0">
        <w:t>Application</w:t>
      </w:r>
    </w:p>
    <w:p w14:paraId="08753446" w14:textId="77777777" w:rsidR="00DA5011" w:rsidRDefault="00DA5011" w:rsidP="00DA5011">
      <w:pPr>
        <w:pStyle w:val="NumPlain1"/>
        <w:numPr>
          <w:ilvl w:val="0"/>
          <w:numId w:val="26"/>
        </w:numPr>
      </w:pPr>
      <w:bookmarkStart w:id="13" w:name="EarlyYesPara"/>
      <w:r w:rsidRPr="00C514DF">
        <w:t xml:space="preserve">The amendments set out in this Standard apply to entities and financial statements in accordance with the application of </w:t>
      </w:r>
      <w:r>
        <w:t xml:space="preserve">AASB 1060 and AASB 112 </w:t>
      </w:r>
      <w:r w:rsidRPr="00C514DF">
        <w:t xml:space="preserve">set out in AASB 1057 </w:t>
      </w:r>
      <w:r w:rsidRPr="00C514DF">
        <w:rPr>
          <w:i/>
        </w:rPr>
        <w:t>Application of Australian Accounting Standards</w:t>
      </w:r>
      <w:r>
        <w:t>.</w:t>
      </w:r>
    </w:p>
    <w:p w14:paraId="13632937" w14:textId="2D3285D7" w:rsidR="00DA5011" w:rsidRDefault="00DA5011" w:rsidP="00DA5011">
      <w:pPr>
        <w:pStyle w:val="NumPlain1"/>
        <w:numPr>
          <w:ilvl w:val="0"/>
          <w:numId w:val="26"/>
        </w:numPr>
      </w:pPr>
      <w:r>
        <w:t>This Standard applies to annual periods beginning on or after 1 January 2023 that end on or after 30 September 2023.</w:t>
      </w:r>
      <w:r w:rsidR="00FF3B4B">
        <w:t xml:space="preserve"> </w:t>
      </w:r>
      <w:r>
        <w:t xml:space="preserve"> Earlier application is permitted</w:t>
      </w:r>
      <w:r w:rsidR="00DA6A0B">
        <w:t xml:space="preserve"> for periods that end before 30 September 2023</w:t>
      </w:r>
      <w:r>
        <w:t>.</w:t>
      </w:r>
    </w:p>
    <w:p w14:paraId="509452CD" w14:textId="1F173BF6" w:rsidR="00DE28A5" w:rsidRPr="003766A0" w:rsidRDefault="00DA5011" w:rsidP="00DA5011">
      <w:pPr>
        <w:pStyle w:val="NumPlain1"/>
        <w:numPr>
          <w:ilvl w:val="0"/>
          <w:numId w:val="26"/>
        </w:numPr>
      </w:pPr>
      <w:r w:rsidRPr="00C514DF">
        <w:t xml:space="preserve">This Standard uses underlining and other typographical material to identify the amendments to </w:t>
      </w:r>
      <w:r>
        <w:t>AASB</w:t>
      </w:r>
      <w:r w:rsidR="00C504B5">
        <w:t> </w:t>
      </w:r>
      <w:r>
        <w:t>1060</w:t>
      </w:r>
      <w:r w:rsidRPr="00C514DF">
        <w:t xml:space="preserve"> </w:t>
      </w:r>
      <w:r>
        <w:t xml:space="preserve">and AASB 112 </w:t>
      </w:r>
      <w:r w:rsidRPr="00C514DF">
        <w:t>in order to make the amendments more understandable.</w:t>
      </w:r>
      <w:r w:rsidR="00FF3B4B">
        <w:t xml:space="preserve"> </w:t>
      </w:r>
      <w:r>
        <w:t xml:space="preserve"> </w:t>
      </w:r>
      <w:r w:rsidRPr="00C514DF">
        <w:t>However, the amendments made by this Standard do not include that underlining or other typographical material.</w:t>
      </w:r>
      <w:r w:rsidR="00FF3B4B">
        <w:t xml:space="preserve"> </w:t>
      </w:r>
      <w:r>
        <w:t xml:space="preserve"> </w:t>
      </w:r>
      <w:r w:rsidRPr="00C514DF">
        <w:t>Amended paragraphs are shown with new text underlined</w:t>
      </w:r>
      <w:r>
        <w:t>.</w:t>
      </w:r>
    </w:p>
    <w:bookmarkEnd w:id="13"/>
    <w:p w14:paraId="06186BB4" w14:textId="59641DDA" w:rsidR="007B3E50" w:rsidRDefault="00DE28A5" w:rsidP="00DE28A5">
      <w:pPr>
        <w:pStyle w:val="IASBSectionTitle1NonInd"/>
      </w:pPr>
      <w:r w:rsidRPr="003766A0">
        <w:t>Amendments to AASB 10</w:t>
      </w:r>
      <w:r>
        <w:t>60</w:t>
      </w:r>
    </w:p>
    <w:p w14:paraId="465BE255" w14:textId="0A6EFCFC" w:rsidR="007B3E50" w:rsidRDefault="007B3E50" w:rsidP="007B3E50">
      <w:pPr>
        <w:pStyle w:val="NumPlain1"/>
        <w:numPr>
          <w:ilvl w:val="0"/>
          <w:numId w:val="26"/>
        </w:numPr>
      </w:pPr>
      <w:r>
        <w:t>Paragraph 176 is amended and paragraphs 178A and 178B and a related heading are added.</w:t>
      </w:r>
      <w:r w:rsidR="00FF3B4B">
        <w:t xml:space="preserve"> </w:t>
      </w:r>
      <w:r>
        <w:t xml:space="preserve"> In the implementation guidance accompanying AASB 1060, the table in paragraph IG1 is also amended.</w:t>
      </w:r>
      <w:r w:rsidR="00FF3B4B">
        <w:t xml:space="preserve"> </w:t>
      </w:r>
      <w:r>
        <w:t xml:space="preserve"> New text is underlined.</w:t>
      </w:r>
    </w:p>
    <w:p w14:paraId="4E06A34E" w14:textId="77777777" w:rsidR="007B3E50" w:rsidRDefault="007B3E50" w:rsidP="007B3E50">
      <w:pPr>
        <w:pStyle w:val="Heading1"/>
        <w:ind w:left="2347" w:hanging="782"/>
      </w:pPr>
      <w:r>
        <w:lastRenderedPageBreak/>
        <w:t>Income Tax</w:t>
      </w:r>
      <w:r w:rsidRPr="00B769C0">
        <w:rPr>
          <w:vertAlign w:val="superscript"/>
        </w:rPr>
        <w:t>27</w:t>
      </w:r>
    </w:p>
    <w:p w14:paraId="6FB3CBAA" w14:textId="23D47557" w:rsidR="007B3E50" w:rsidRDefault="007B3E50" w:rsidP="007B3E50">
      <w:pPr>
        <w:tabs>
          <w:tab w:val="left" w:pos="3402"/>
        </w:tabs>
        <w:spacing w:before="100" w:after="100"/>
        <w:ind w:left="1564" w:hanging="782"/>
      </w:pPr>
      <w:r>
        <w:t xml:space="preserve">176 </w:t>
      </w:r>
      <w:r>
        <w:tab/>
        <w:t>An entity shall disclose information that enables users of its financial statements to evaluate the nature and financial effect of the current and deferred tax consequences of recognised transactions and other events</w:t>
      </w:r>
      <w:r w:rsidRPr="002F539D">
        <w:t xml:space="preserve"> </w:t>
      </w:r>
      <w:r>
        <w:rPr>
          <w:u w:val="single"/>
        </w:rPr>
        <w:t>(</w:t>
      </w:r>
      <w:r w:rsidR="0051790A">
        <w:rPr>
          <w:u w:val="single"/>
        </w:rPr>
        <w:t xml:space="preserve">including enactment or substantive enactment of tax rates and tax laws, </w:t>
      </w:r>
      <w:r>
        <w:rPr>
          <w:u w:val="single"/>
        </w:rPr>
        <w:t>such as Pillar Two legislation)</w:t>
      </w:r>
      <w:r>
        <w:t>.</w:t>
      </w:r>
      <w:r w:rsidRPr="007D18FC">
        <w:rPr>
          <w:u w:val="single"/>
          <w:vertAlign w:val="superscript"/>
        </w:rPr>
        <w:t>27A</w:t>
      </w:r>
      <w:r>
        <w:t xml:space="preserve"> </w:t>
      </w:r>
      <w:r w:rsidR="002912C3">
        <w:t xml:space="preserve"> </w:t>
      </w:r>
      <w:r>
        <w:t>[</w:t>
      </w:r>
      <w:r w:rsidR="00667405" w:rsidRPr="002F539D">
        <w:rPr>
          <w:u w:val="single"/>
        </w:rPr>
        <w:t>Based on</w:t>
      </w:r>
      <w:r w:rsidR="00667405">
        <w:t xml:space="preserve"> </w:t>
      </w:r>
      <w:r w:rsidRPr="008B06A0">
        <w:rPr>
          <w:i/>
          <w:iCs/>
        </w:rPr>
        <w:t xml:space="preserve">IFRS for SMEs </w:t>
      </w:r>
      <w:r>
        <w:t>Standard paragraph 29.38]</w:t>
      </w:r>
    </w:p>
    <w:p w14:paraId="5F991AEA" w14:textId="77777777" w:rsidR="007B3E50" w:rsidRPr="00DC2CBD" w:rsidRDefault="007B3E50" w:rsidP="007B3E50">
      <w:pPr>
        <w:tabs>
          <w:tab w:val="left" w:pos="3969"/>
        </w:tabs>
        <w:spacing w:before="100" w:after="100"/>
        <w:ind w:left="1565"/>
        <w:rPr>
          <w:sz w:val="16"/>
          <w:szCs w:val="16"/>
          <w:u w:val="single"/>
        </w:rPr>
      </w:pPr>
      <w:r>
        <w:rPr>
          <w:sz w:val="16"/>
          <w:szCs w:val="16"/>
          <w:u w:val="single"/>
        </w:rPr>
        <w:tab/>
      </w:r>
    </w:p>
    <w:p w14:paraId="0FAA5B0D" w14:textId="5EEC16E1" w:rsidR="007B3E50" w:rsidRPr="00A059F6" w:rsidRDefault="007B3E50" w:rsidP="007B3E50">
      <w:pPr>
        <w:spacing w:before="100" w:after="100"/>
        <w:ind w:left="2075" w:hanging="510"/>
        <w:rPr>
          <w:sz w:val="16"/>
          <w:szCs w:val="16"/>
        </w:rPr>
      </w:pPr>
      <w:r w:rsidRPr="003A12CD">
        <w:rPr>
          <w:sz w:val="16"/>
          <w:szCs w:val="16"/>
          <w:u w:val="single"/>
        </w:rPr>
        <w:t>27A</w:t>
      </w:r>
      <w:r>
        <w:rPr>
          <w:sz w:val="16"/>
          <w:szCs w:val="16"/>
        </w:rPr>
        <w:tab/>
        <w:t>‘</w:t>
      </w:r>
      <w:r w:rsidRPr="003A12CD">
        <w:rPr>
          <w:sz w:val="16"/>
          <w:szCs w:val="16"/>
          <w:u w:val="single"/>
        </w:rPr>
        <w:t>Pillar Two legislation</w:t>
      </w:r>
      <w:r>
        <w:rPr>
          <w:sz w:val="16"/>
          <w:szCs w:val="16"/>
          <w:u w:val="single"/>
        </w:rPr>
        <w:t>’</w:t>
      </w:r>
      <w:r w:rsidRPr="003A12CD">
        <w:rPr>
          <w:sz w:val="16"/>
          <w:szCs w:val="16"/>
          <w:u w:val="single"/>
        </w:rPr>
        <w:t xml:space="preserve"> refers to tax law enacted or substantively enacted to implement the Pillar Two model rules published by the Organisation for Economic Co-operation and Development (OECD), including tax law that implements qualified domestic minimum top-up taxes described in those rules.</w:t>
      </w:r>
      <w:r w:rsidR="00FF3B4B">
        <w:rPr>
          <w:sz w:val="16"/>
          <w:szCs w:val="16"/>
          <w:u w:val="single"/>
        </w:rPr>
        <w:t xml:space="preserve"> </w:t>
      </w:r>
      <w:r w:rsidRPr="003A12CD">
        <w:rPr>
          <w:sz w:val="16"/>
          <w:szCs w:val="16"/>
          <w:u w:val="single"/>
        </w:rPr>
        <w:t xml:space="preserve"> Income taxes arising from Pillar Two legislation are hereafter referred to as ‘Pillar Two income taxes’.</w:t>
      </w:r>
    </w:p>
    <w:p w14:paraId="1573C59C" w14:textId="77777777" w:rsidR="007B3E50" w:rsidRDefault="007B3E50" w:rsidP="007B3E50">
      <w:pPr>
        <w:spacing w:before="100" w:after="100"/>
      </w:pPr>
      <w:r>
        <w:tab/>
        <w:t>…</w:t>
      </w:r>
    </w:p>
    <w:p w14:paraId="1570BAE1" w14:textId="77777777" w:rsidR="007B3E50" w:rsidRPr="00DF2CD6" w:rsidRDefault="007B3E50" w:rsidP="007B3E50">
      <w:pPr>
        <w:pStyle w:val="Heading4"/>
        <w:spacing w:before="240"/>
        <w:ind w:left="1565"/>
        <w:rPr>
          <w:sz w:val="22"/>
          <w:szCs w:val="22"/>
          <w:u w:val="single"/>
        </w:rPr>
      </w:pPr>
      <w:r w:rsidRPr="00DF2CD6">
        <w:rPr>
          <w:sz w:val="22"/>
          <w:szCs w:val="22"/>
          <w:u w:val="single"/>
        </w:rPr>
        <w:t>International tax reform</w:t>
      </w:r>
      <w:r>
        <w:rPr>
          <w:sz w:val="22"/>
          <w:szCs w:val="22"/>
          <w:u w:val="single"/>
        </w:rPr>
        <w:t xml:space="preserve"> – </w:t>
      </w:r>
      <w:r w:rsidRPr="00DF2CD6">
        <w:rPr>
          <w:sz w:val="22"/>
          <w:szCs w:val="22"/>
          <w:u w:val="single"/>
        </w:rPr>
        <w:t>Pillar Two model rules</w:t>
      </w:r>
    </w:p>
    <w:p w14:paraId="20BE0EF9" w14:textId="04A358C3" w:rsidR="007B3E50" w:rsidRPr="00DF2CD6" w:rsidRDefault="007B3E50" w:rsidP="007B3E50">
      <w:pPr>
        <w:spacing w:before="100" w:after="100"/>
        <w:ind w:left="1564" w:hanging="782"/>
        <w:rPr>
          <w:u w:val="single"/>
        </w:rPr>
      </w:pPr>
      <w:r w:rsidRPr="00DF2CD6">
        <w:rPr>
          <w:u w:val="single"/>
        </w:rPr>
        <w:t>178A</w:t>
      </w:r>
      <w:r w:rsidRPr="00DF2CD6">
        <w:tab/>
      </w:r>
      <w:r w:rsidRPr="00DF2CD6">
        <w:rPr>
          <w:u w:val="single"/>
        </w:rPr>
        <w:t>An entity shall disclose that it has applied the exception to recognising and disclosing information about deferred tax assets and liabilities related to Pillar Two income taxes (see AASB 112 paragraph</w:t>
      </w:r>
      <w:r w:rsidR="003A42CB">
        <w:rPr>
          <w:u w:val="single"/>
        </w:rPr>
        <w:t xml:space="preserve"> </w:t>
      </w:r>
      <w:r w:rsidRPr="00DF2CD6">
        <w:rPr>
          <w:u w:val="single"/>
        </w:rPr>
        <w:t>4A).</w:t>
      </w:r>
    </w:p>
    <w:p w14:paraId="36513A01" w14:textId="288EFF06" w:rsidR="007B3E50" w:rsidRDefault="007B3E50" w:rsidP="007B3E50">
      <w:pPr>
        <w:spacing w:before="100" w:after="100"/>
        <w:ind w:left="1564" w:hanging="782"/>
        <w:rPr>
          <w:u w:val="single"/>
        </w:rPr>
      </w:pPr>
      <w:r w:rsidRPr="00DF2CD6">
        <w:rPr>
          <w:u w:val="single"/>
        </w:rPr>
        <w:t>178B</w:t>
      </w:r>
      <w:r w:rsidRPr="00DF2CD6">
        <w:tab/>
      </w:r>
      <w:r w:rsidRPr="00DF2CD6">
        <w:rPr>
          <w:u w:val="single"/>
        </w:rPr>
        <w:t>An entity shall disclose separately its current tax expense (income) related to Pillar Two income taxes.</w:t>
      </w:r>
    </w:p>
    <w:p w14:paraId="652B0025" w14:textId="77777777" w:rsidR="007B3E50" w:rsidRDefault="007B3E50" w:rsidP="007B3E50">
      <w:pPr>
        <w:spacing w:before="100" w:after="100"/>
        <w:ind w:left="1564" w:hanging="782"/>
      </w:pPr>
      <w:r w:rsidRPr="00656294">
        <w:t>…</w:t>
      </w:r>
    </w:p>
    <w:p w14:paraId="3DB165BB" w14:textId="77777777" w:rsidR="007B3E50" w:rsidRDefault="007B3E50" w:rsidP="007B3E50">
      <w:pPr>
        <w:pStyle w:val="Heading1"/>
        <w:ind w:left="1564" w:hanging="782"/>
      </w:pPr>
      <w:r>
        <w:t>Implementation guidance</w:t>
      </w:r>
    </w:p>
    <w:p w14:paraId="59988C0D" w14:textId="77777777" w:rsidR="007B3E50" w:rsidRDefault="007B3E50" w:rsidP="007B3E50">
      <w:pPr>
        <w:spacing w:before="100" w:after="100"/>
        <w:ind w:left="1564" w:hanging="782"/>
      </w:pPr>
      <w:r>
        <w:t>…</w:t>
      </w:r>
    </w:p>
    <w:tbl>
      <w:tblPr>
        <w:tblW w:w="8316" w:type="dxa"/>
        <w:tblInd w:w="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Appendix D table"/>
        <w:tblDescription w:val="Summary of dislcosures in other standards and interpretations not applicable"/>
      </w:tblPr>
      <w:tblGrid>
        <w:gridCol w:w="2772"/>
        <w:gridCol w:w="2772"/>
        <w:gridCol w:w="2772"/>
      </w:tblGrid>
      <w:tr w:rsidR="001469F6" w:rsidRPr="00155974" w14:paraId="5B92ED38" w14:textId="77777777" w:rsidTr="005F6679">
        <w:trPr>
          <w:trHeight w:val="181"/>
          <w:tblHeader/>
        </w:trPr>
        <w:tc>
          <w:tcPr>
            <w:tcW w:w="2772" w:type="dxa"/>
            <w:shd w:val="clear" w:color="auto" w:fill="auto"/>
            <w:tcMar>
              <w:top w:w="60" w:type="dxa"/>
              <w:left w:w="60" w:type="dxa"/>
              <w:bottom w:w="105" w:type="dxa"/>
              <w:right w:w="60" w:type="dxa"/>
            </w:tcMar>
          </w:tcPr>
          <w:p w14:paraId="46DE5169" w14:textId="77777777" w:rsidR="001469F6" w:rsidRPr="00155974" w:rsidRDefault="001469F6" w:rsidP="005F6679">
            <w:pPr>
              <w:ind w:left="57"/>
              <w:jc w:val="center"/>
              <w:rPr>
                <w:b/>
                <w:szCs w:val="19"/>
              </w:rPr>
            </w:pPr>
            <w:r w:rsidRPr="00155974">
              <w:rPr>
                <w:b/>
                <w:bCs/>
                <w:szCs w:val="19"/>
              </w:rPr>
              <w:t>AASB Standard</w:t>
            </w:r>
          </w:p>
        </w:tc>
        <w:tc>
          <w:tcPr>
            <w:tcW w:w="2772" w:type="dxa"/>
            <w:shd w:val="clear" w:color="auto" w:fill="auto"/>
          </w:tcPr>
          <w:p w14:paraId="59E60980" w14:textId="77777777" w:rsidR="001469F6" w:rsidRPr="00155974" w:rsidRDefault="001469F6" w:rsidP="005F6679">
            <w:pPr>
              <w:ind w:left="57"/>
              <w:jc w:val="center"/>
              <w:rPr>
                <w:b/>
                <w:szCs w:val="19"/>
              </w:rPr>
            </w:pPr>
            <w:r w:rsidRPr="00155974">
              <w:rPr>
                <w:b/>
                <w:szCs w:val="19"/>
              </w:rPr>
              <w:t xml:space="preserve">Paragraphs superseded by this Standard </w:t>
            </w:r>
          </w:p>
        </w:tc>
        <w:tc>
          <w:tcPr>
            <w:tcW w:w="2772" w:type="dxa"/>
          </w:tcPr>
          <w:p w14:paraId="690763F7" w14:textId="77777777" w:rsidR="001469F6" w:rsidRPr="00155974" w:rsidRDefault="001469F6" w:rsidP="005F6679">
            <w:pPr>
              <w:ind w:left="57"/>
              <w:jc w:val="center"/>
              <w:rPr>
                <w:b/>
                <w:szCs w:val="19"/>
              </w:rPr>
            </w:pPr>
            <w:r w:rsidRPr="00155974">
              <w:rPr>
                <w:b/>
                <w:szCs w:val="19"/>
              </w:rPr>
              <w:t>Paragraphs that have not been superseded by this Standard and represent presentation requirements or associated guidance</w:t>
            </w:r>
          </w:p>
        </w:tc>
      </w:tr>
      <w:tr w:rsidR="001469F6" w:rsidRPr="00B83D32" w14:paraId="06AF604C" w14:textId="77777777" w:rsidTr="005F6679">
        <w:trPr>
          <w:trHeight w:val="181"/>
        </w:trPr>
        <w:tc>
          <w:tcPr>
            <w:tcW w:w="2772" w:type="dxa"/>
            <w:shd w:val="clear" w:color="auto" w:fill="auto"/>
            <w:tcMar>
              <w:top w:w="60" w:type="dxa"/>
              <w:left w:w="60" w:type="dxa"/>
              <w:bottom w:w="105" w:type="dxa"/>
              <w:right w:w="60" w:type="dxa"/>
            </w:tcMar>
          </w:tcPr>
          <w:p w14:paraId="2EA36C2A" w14:textId="77777777" w:rsidR="001469F6" w:rsidRPr="00B83D32" w:rsidRDefault="001469F6" w:rsidP="005F6679">
            <w:pPr>
              <w:ind w:left="57"/>
              <w:jc w:val="left"/>
              <w:rPr>
                <w:szCs w:val="19"/>
              </w:rPr>
            </w:pPr>
            <w:r w:rsidRPr="00B83D32">
              <w:rPr>
                <w:szCs w:val="19"/>
              </w:rPr>
              <w:t>…</w:t>
            </w:r>
          </w:p>
        </w:tc>
        <w:tc>
          <w:tcPr>
            <w:tcW w:w="2772" w:type="dxa"/>
            <w:shd w:val="clear" w:color="auto" w:fill="auto"/>
          </w:tcPr>
          <w:p w14:paraId="4E795389" w14:textId="77777777" w:rsidR="001469F6" w:rsidRPr="00B83D32" w:rsidRDefault="001469F6" w:rsidP="005F6679">
            <w:pPr>
              <w:ind w:left="57"/>
              <w:jc w:val="left"/>
              <w:rPr>
                <w:szCs w:val="19"/>
              </w:rPr>
            </w:pPr>
            <w:r w:rsidRPr="00B83D32">
              <w:rPr>
                <w:szCs w:val="19"/>
              </w:rPr>
              <w:t>…</w:t>
            </w:r>
          </w:p>
        </w:tc>
        <w:tc>
          <w:tcPr>
            <w:tcW w:w="2772" w:type="dxa"/>
          </w:tcPr>
          <w:p w14:paraId="1F86852A" w14:textId="77777777" w:rsidR="001469F6" w:rsidRPr="00B83D32" w:rsidRDefault="001469F6" w:rsidP="005F6679">
            <w:pPr>
              <w:ind w:left="57"/>
              <w:jc w:val="left"/>
              <w:rPr>
                <w:szCs w:val="19"/>
              </w:rPr>
            </w:pPr>
            <w:r w:rsidRPr="00B83D32">
              <w:rPr>
                <w:szCs w:val="19"/>
              </w:rPr>
              <w:t>…</w:t>
            </w:r>
          </w:p>
        </w:tc>
      </w:tr>
      <w:tr w:rsidR="001469F6" w:rsidRPr="00155974" w14:paraId="4CE2F7BB" w14:textId="77777777" w:rsidTr="005F6679">
        <w:trPr>
          <w:trHeight w:val="181"/>
        </w:trPr>
        <w:tc>
          <w:tcPr>
            <w:tcW w:w="2772" w:type="dxa"/>
            <w:shd w:val="clear" w:color="auto" w:fill="auto"/>
            <w:tcMar>
              <w:top w:w="60" w:type="dxa"/>
              <w:left w:w="60" w:type="dxa"/>
              <w:bottom w:w="105" w:type="dxa"/>
              <w:right w:w="60" w:type="dxa"/>
            </w:tcMar>
            <w:vAlign w:val="center"/>
            <w:hideMark/>
          </w:tcPr>
          <w:p w14:paraId="110DF464" w14:textId="77777777" w:rsidR="001469F6" w:rsidRPr="00155974" w:rsidRDefault="001469F6" w:rsidP="005F6679">
            <w:pPr>
              <w:spacing w:before="60"/>
              <w:ind w:left="57"/>
              <w:jc w:val="left"/>
              <w:rPr>
                <w:color w:val="000000" w:themeColor="text1"/>
                <w:szCs w:val="19"/>
              </w:rPr>
            </w:pPr>
            <w:r w:rsidRPr="00155974">
              <w:rPr>
                <w:color w:val="000000" w:themeColor="text1"/>
                <w:szCs w:val="19"/>
              </w:rPr>
              <w:t xml:space="preserve">AASB 112 </w:t>
            </w:r>
            <w:r w:rsidRPr="00155974">
              <w:rPr>
                <w:i/>
                <w:color w:val="000000" w:themeColor="text1"/>
                <w:szCs w:val="19"/>
              </w:rPr>
              <w:t>Income Taxes</w:t>
            </w:r>
          </w:p>
        </w:tc>
        <w:tc>
          <w:tcPr>
            <w:tcW w:w="2772" w:type="dxa"/>
            <w:shd w:val="clear" w:color="auto" w:fill="auto"/>
            <w:vAlign w:val="center"/>
          </w:tcPr>
          <w:p w14:paraId="5F655D51" w14:textId="77777777" w:rsidR="001469F6" w:rsidRPr="00155974" w:rsidRDefault="001469F6" w:rsidP="005F6679">
            <w:pPr>
              <w:spacing w:before="60"/>
              <w:ind w:left="57"/>
              <w:jc w:val="left"/>
              <w:rPr>
                <w:color w:val="000000" w:themeColor="text1"/>
                <w:szCs w:val="19"/>
              </w:rPr>
            </w:pPr>
            <w:r w:rsidRPr="00155974">
              <w:rPr>
                <w:color w:val="000000" w:themeColor="text1"/>
                <w:szCs w:val="19"/>
              </w:rPr>
              <w:t>Paragraphs 79–88</w:t>
            </w:r>
            <w:r w:rsidRPr="00776297">
              <w:rPr>
                <w:color w:val="000000" w:themeColor="text1"/>
                <w:szCs w:val="19"/>
                <w:u w:val="single"/>
              </w:rPr>
              <w:t>D</w:t>
            </w:r>
          </w:p>
        </w:tc>
        <w:tc>
          <w:tcPr>
            <w:tcW w:w="2772" w:type="dxa"/>
            <w:vAlign w:val="center"/>
          </w:tcPr>
          <w:p w14:paraId="4EB9E715" w14:textId="77777777" w:rsidR="001469F6" w:rsidRPr="00155974" w:rsidRDefault="001469F6" w:rsidP="005F6679">
            <w:pPr>
              <w:spacing w:before="60"/>
              <w:ind w:left="57"/>
              <w:jc w:val="left"/>
              <w:rPr>
                <w:color w:val="000000" w:themeColor="text1"/>
                <w:szCs w:val="19"/>
              </w:rPr>
            </w:pPr>
            <w:r w:rsidRPr="00155974">
              <w:rPr>
                <w:color w:val="000000" w:themeColor="text1"/>
                <w:szCs w:val="19"/>
              </w:rPr>
              <w:t>Paragraphs 71–78</w:t>
            </w:r>
          </w:p>
        </w:tc>
      </w:tr>
      <w:tr w:rsidR="001469F6" w:rsidRPr="00B83D32" w14:paraId="1220EAFB" w14:textId="77777777" w:rsidTr="005F6679">
        <w:trPr>
          <w:trHeight w:val="181"/>
        </w:trPr>
        <w:tc>
          <w:tcPr>
            <w:tcW w:w="2772" w:type="dxa"/>
            <w:shd w:val="clear" w:color="auto" w:fill="auto"/>
            <w:tcMar>
              <w:top w:w="60" w:type="dxa"/>
              <w:left w:w="60" w:type="dxa"/>
              <w:bottom w:w="105" w:type="dxa"/>
              <w:right w:w="60" w:type="dxa"/>
            </w:tcMar>
          </w:tcPr>
          <w:p w14:paraId="3A469860" w14:textId="77777777" w:rsidR="001469F6" w:rsidRPr="00B83D32" w:rsidRDefault="001469F6" w:rsidP="005F6679">
            <w:pPr>
              <w:ind w:left="57"/>
              <w:jc w:val="left"/>
              <w:rPr>
                <w:color w:val="000000" w:themeColor="text1"/>
                <w:szCs w:val="19"/>
              </w:rPr>
            </w:pPr>
            <w:r w:rsidRPr="00B83D32">
              <w:rPr>
                <w:color w:val="000000" w:themeColor="text1"/>
                <w:szCs w:val="19"/>
              </w:rPr>
              <w:t>…</w:t>
            </w:r>
          </w:p>
        </w:tc>
        <w:tc>
          <w:tcPr>
            <w:tcW w:w="2772" w:type="dxa"/>
            <w:shd w:val="clear" w:color="auto" w:fill="auto"/>
          </w:tcPr>
          <w:p w14:paraId="415073BD" w14:textId="77777777" w:rsidR="001469F6" w:rsidRPr="00B83D32" w:rsidRDefault="001469F6" w:rsidP="005F6679">
            <w:pPr>
              <w:ind w:left="57"/>
              <w:jc w:val="left"/>
              <w:rPr>
                <w:color w:val="000000" w:themeColor="text1"/>
                <w:szCs w:val="19"/>
              </w:rPr>
            </w:pPr>
            <w:r w:rsidRPr="00B83D32">
              <w:rPr>
                <w:color w:val="000000" w:themeColor="text1"/>
                <w:szCs w:val="19"/>
              </w:rPr>
              <w:t>…</w:t>
            </w:r>
          </w:p>
        </w:tc>
        <w:tc>
          <w:tcPr>
            <w:tcW w:w="2772" w:type="dxa"/>
          </w:tcPr>
          <w:p w14:paraId="467503D5" w14:textId="77777777" w:rsidR="001469F6" w:rsidRPr="00B83D32" w:rsidRDefault="001469F6" w:rsidP="005F6679">
            <w:pPr>
              <w:ind w:left="57"/>
              <w:jc w:val="left"/>
              <w:rPr>
                <w:color w:val="000000" w:themeColor="text1"/>
                <w:szCs w:val="19"/>
              </w:rPr>
            </w:pPr>
            <w:r w:rsidRPr="00B83D32">
              <w:rPr>
                <w:color w:val="000000" w:themeColor="text1"/>
                <w:szCs w:val="19"/>
              </w:rPr>
              <w:t>…</w:t>
            </w:r>
          </w:p>
        </w:tc>
      </w:tr>
    </w:tbl>
    <w:p w14:paraId="08FF65C4" w14:textId="77777777" w:rsidR="003B3220" w:rsidRPr="0000292B" w:rsidRDefault="003B3220" w:rsidP="003A42CB">
      <w:pPr>
        <w:pStyle w:val="Heading2"/>
      </w:pPr>
      <w:r>
        <w:t>Amendments to AASB 112</w:t>
      </w:r>
    </w:p>
    <w:p w14:paraId="48EFC34E" w14:textId="43170073" w:rsidR="003B3220" w:rsidRDefault="003B3220" w:rsidP="003B3220">
      <w:pPr>
        <w:pStyle w:val="NumPlain1"/>
        <w:numPr>
          <w:ilvl w:val="0"/>
          <w:numId w:val="26"/>
        </w:numPr>
      </w:pPr>
      <w:r>
        <w:t>Paragraph AusA1 is amended.</w:t>
      </w:r>
      <w:r w:rsidR="00FF3B4B">
        <w:t xml:space="preserve"> </w:t>
      </w:r>
      <w:r>
        <w:t xml:space="preserve"> New text is underlined.</w:t>
      </w:r>
    </w:p>
    <w:p w14:paraId="31245C88" w14:textId="77777777" w:rsidR="003B3220" w:rsidRPr="00C8391D" w:rsidRDefault="003B3220" w:rsidP="003B3220">
      <w:pPr>
        <w:pStyle w:val="Heading1"/>
        <w:ind w:left="782"/>
      </w:pPr>
      <w:r>
        <w:t>Appendix A</w:t>
      </w:r>
      <w:r>
        <w:br/>
      </w:r>
      <w:r w:rsidRPr="002D7E79">
        <w:t>Australian simplified disclosures for Tier 2 entities</w:t>
      </w:r>
    </w:p>
    <w:p w14:paraId="5AFE9509" w14:textId="77777777" w:rsidR="003B3220" w:rsidRPr="00776297" w:rsidRDefault="003B3220" w:rsidP="003B3220">
      <w:pPr>
        <w:spacing w:before="100" w:after="100"/>
        <w:ind w:firstLine="782"/>
        <w:rPr>
          <w:i/>
          <w:iCs/>
        </w:rPr>
      </w:pPr>
      <w:r w:rsidRPr="00776297">
        <w:rPr>
          <w:i/>
          <w:iCs/>
        </w:rPr>
        <w:t>This appendix is an integral part of the Standard.</w:t>
      </w:r>
    </w:p>
    <w:p w14:paraId="73A86CFB" w14:textId="01A89CAE" w:rsidR="003B3220" w:rsidRDefault="003B3220" w:rsidP="003B3220">
      <w:pPr>
        <w:spacing w:before="100" w:after="100"/>
        <w:ind w:left="2347" w:hanging="1565"/>
      </w:pPr>
      <w:r w:rsidRPr="00877DFF">
        <w:rPr>
          <w:b/>
          <w:bCs/>
        </w:rPr>
        <w:t>AusA1</w:t>
      </w:r>
      <w:r w:rsidRPr="00877DFF">
        <w:rPr>
          <w:b/>
          <w:bCs/>
        </w:rPr>
        <w:tab/>
        <w:t>Paragraphs 79–88</w:t>
      </w:r>
      <w:r>
        <w:rPr>
          <w:b/>
          <w:bCs/>
          <w:u w:val="single"/>
        </w:rPr>
        <w:t>D</w:t>
      </w:r>
      <w:r w:rsidRPr="00877DFF">
        <w:rPr>
          <w:b/>
          <w:bCs/>
        </w:rPr>
        <w:t xml:space="preserve"> do not apply to entities preparing general purpose financial statements that apply AASB 1060 </w:t>
      </w:r>
      <w:r w:rsidRPr="00776297">
        <w:rPr>
          <w:b/>
          <w:bCs/>
          <w:i/>
          <w:iCs/>
        </w:rPr>
        <w:t>General Purpose Financial Statements – Simplified Disclosures for For-Profit and Not-for-Profit Tier 2 Entities</w:t>
      </w:r>
      <w:r w:rsidRPr="00877DFF">
        <w:rPr>
          <w:b/>
          <w:bCs/>
        </w:rPr>
        <w:t>.</w:t>
      </w:r>
    </w:p>
    <w:p w14:paraId="23910EAD" w14:textId="77777777" w:rsidR="00DE28A5" w:rsidRPr="003766A0" w:rsidRDefault="00DE28A5" w:rsidP="00DE28A5">
      <w:pPr>
        <w:pStyle w:val="IASBSectionTitle1NonInd"/>
      </w:pPr>
      <w:r w:rsidRPr="003766A0">
        <w:t>Commencement of the legislative instrument</w:t>
      </w:r>
    </w:p>
    <w:p w14:paraId="0EECC5D6" w14:textId="74EA232A" w:rsidR="00DE28A5" w:rsidRDefault="00DC63D4" w:rsidP="00DC63D4">
      <w:pPr>
        <w:pStyle w:val="NumPlain1"/>
        <w:numPr>
          <w:ilvl w:val="0"/>
          <w:numId w:val="26"/>
        </w:numPr>
      </w:pPr>
      <w:r>
        <w:t>For legal purposes, this legislative instrument commences on 29 September 2023.</w:t>
      </w:r>
    </w:p>
    <w:p w14:paraId="2C6E650E" w14:textId="77777777" w:rsidR="00DE28A5" w:rsidRDefault="00DE28A5" w:rsidP="00DE28A5">
      <w:pPr>
        <w:pStyle w:val="NumPlain1"/>
        <w:numPr>
          <w:ilvl w:val="0"/>
          <w:numId w:val="0"/>
        </w:numPr>
        <w:spacing w:before="0" w:after="0"/>
      </w:pPr>
    </w:p>
    <w:p w14:paraId="22279A69" w14:textId="77777777" w:rsidR="00DE28A5" w:rsidRPr="003766A0" w:rsidRDefault="00DE28A5" w:rsidP="00DE28A5">
      <w:pPr>
        <w:pStyle w:val="NumPlain1"/>
        <w:numPr>
          <w:ilvl w:val="0"/>
          <w:numId w:val="0"/>
        </w:numPr>
        <w:spacing w:before="0" w:after="0"/>
        <w:sectPr w:rsidR="00DE28A5" w:rsidRPr="003766A0">
          <w:footerReference w:type="default" r:id="rId21"/>
          <w:footnotePr>
            <w:numStart w:val="3"/>
          </w:footnotePr>
          <w:pgSz w:w="11907" w:h="16840" w:code="9"/>
          <w:pgMar w:top="1418" w:right="1418" w:bottom="1418" w:left="1418" w:header="709" w:footer="709" w:gutter="0"/>
          <w:paperSrc w:first="7" w:other="7"/>
          <w:cols w:space="720"/>
          <w:docGrid w:linePitch="65"/>
        </w:sectPr>
      </w:pPr>
    </w:p>
    <w:p w14:paraId="645B7D31" w14:textId="77777777" w:rsidR="00DE28A5" w:rsidRDefault="00DE28A5" w:rsidP="00DE28A5">
      <w:pPr>
        <w:pStyle w:val="ConvSectionTitle"/>
        <w:jc w:val="both"/>
      </w:pPr>
      <w:r w:rsidRPr="003766A0">
        <w:lastRenderedPageBreak/>
        <w:t>Basis for Conclusions</w:t>
      </w:r>
    </w:p>
    <w:p w14:paraId="32270752" w14:textId="75354A80" w:rsidR="00FB4D30" w:rsidRPr="00DF2CD6" w:rsidRDefault="00FB4D30" w:rsidP="00FB4D30">
      <w:pPr>
        <w:pStyle w:val="AppendixNote"/>
      </w:pPr>
      <w:r w:rsidRPr="00DF2CD6">
        <w:t xml:space="preserve">This Basis for Conclusions accompanies, but is not part of, </w:t>
      </w:r>
      <w:r w:rsidR="00515805">
        <w:t xml:space="preserve">AASB </w:t>
      </w:r>
      <w:r w:rsidR="00515805" w:rsidRPr="00515805">
        <w:rPr>
          <w:bCs/>
        </w:rPr>
        <w:fldChar w:fldCharType="begin" w:fldLock="1"/>
      </w:r>
      <w:r w:rsidR="00515805" w:rsidRPr="00515805">
        <w:rPr>
          <w:bCs/>
        </w:rPr>
        <w:instrText xml:space="preserve"> REF \* charformat DocNo </w:instrText>
      </w:r>
      <w:r w:rsidR="00515805">
        <w:rPr>
          <w:bCs/>
        </w:rPr>
        <w:instrText xml:space="preserve"> \* MERGEFORMAT </w:instrText>
      </w:r>
      <w:r w:rsidR="00515805" w:rsidRPr="00515805">
        <w:rPr>
          <w:bCs/>
        </w:rPr>
        <w:fldChar w:fldCharType="separate"/>
      </w:r>
      <w:r w:rsidR="000870D0" w:rsidRPr="000870D0">
        <w:rPr>
          <w:bCs/>
        </w:rPr>
        <w:t>2023-4</w:t>
      </w:r>
      <w:r w:rsidR="00515805" w:rsidRPr="00515805">
        <w:rPr>
          <w:bCs/>
        </w:rPr>
        <w:fldChar w:fldCharType="end"/>
      </w:r>
      <w:r w:rsidRPr="00DF2CD6">
        <w:t xml:space="preserve"> </w:t>
      </w:r>
      <w:r w:rsidRPr="00DF2CD6">
        <w:rPr>
          <w:i w:val="0"/>
          <w:iCs w:val="0"/>
        </w:rPr>
        <w:fldChar w:fldCharType="begin" w:fldLock="1"/>
      </w:r>
      <w:r w:rsidRPr="00DF2CD6">
        <w:rPr>
          <w:i w:val="0"/>
          <w:iCs w:val="0"/>
        </w:rPr>
        <w:instrText xml:space="preserve"> REF DocTitle \* charformat  \* MERGEFORMAT </w:instrText>
      </w:r>
      <w:r w:rsidRPr="00DF2CD6">
        <w:rPr>
          <w:i w:val="0"/>
          <w:iCs w:val="0"/>
        </w:rPr>
        <w:fldChar w:fldCharType="separate"/>
      </w:r>
      <w:r w:rsidR="000870D0" w:rsidRPr="000870D0">
        <w:rPr>
          <w:i w:val="0"/>
          <w:iCs w:val="0"/>
        </w:rPr>
        <w:t>Amendments to Australian Accounting Standards – International Tax Reform – Pillar Two Model Rules: Tier 2 Disclosures</w:t>
      </w:r>
      <w:r w:rsidRPr="00DF2CD6">
        <w:rPr>
          <w:i w:val="0"/>
          <w:iCs w:val="0"/>
        </w:rPr>
        <w:fldChar w:fldCharType="end"/>
      </w:r>
      <w:r w:rsidRPr="00DF2CD6">
        <w:t>.</w:t>
      </w:r>
    </w:p>
    <w:p w14:paraId="1E509D8C" w14:textId="77777777" w:rsidR="00FB4D30" w:rsidRPr="0000292B" w:rsidRDefault="00FB4D30" w:rsidP="00FB4D30">
      <w:pPr>
        <w:pStyle w:val="Heading2"/>
      </w:pPr>
      <w:r>
        <w:t>Introduction</w:t>
      </w:r>
    </w:p>
    <w:p w14:paraId="15B8C5A6" w14:textId="16026BC5" w:rsidR="00FB4D30" w:rsidRPr="0000292B" w:rsidRDefault="00FB4D30" w:rsidP="00FB4D30">
      <w:pPr>
        <w:pStyle w:val="NumBC1"/>
        <w:numPr>
          <w:ilvl w:val="0"/>
          <w:numId w:val="31"/>
        </w:numPr>
      </w:pPr>
      <w:r>
        <w:t xml:space="preserve">This Basis for Conclusions summarises the Australian Accounting Standards Board’s considerations in reaching the conclusions in </w:t>
      </w:r>
      <w:r w:rsidR="00167FE9">
        <w:t>this Standard</w:t>
      </w:r>
      <w:r>
        <w:t>.</w:t>
      </w:r>
      <w:r w:rsidR="00FF3B4B">
        <w:t xml:space="preserve"> </w:t>
      </w:r>
      <w:r>
        <w:t xml:space="preserve"> It sets out the reasons why the Board developed the </w:t>
      </w:r>
      <w:r w:rsidR="00167FE9">
        <w:t>Standard</w:t>
      </w:r>
      <w:r>
        <w:t xml:space="preserve">, the approach taken to developing the </w:t>
      </w:r>
      <w:r w:rsidR="00167FE9">
        <w:t xml:space="preserve">Standard </w:t>
      </w:r>
      <w:r>
        <w:t>and the bases for the key decisions made.</w:t>
      </w:r>
      <w:r w:rsidR="00FF3B4B">
        <w:t xml:space="preserve"> </w:t>
      </w:r>
      <w:r>
        <w:t xml:space="preserve"> </w:t>
      </w:r>
      <w:r w:rsidR="00AA6DFF">
        <w:t>In making decisions, i</w:t>
      </w:r>
      <w:r>
        <w:t>ndividual Board members gave greater weight to some factors than to others.</w:t>
      </w:r>
    </w:p>
    <w:p w14:paraId="6C833736" w14:textId="77777777" w:rsidR="00FB4D30" w:rsidRPr="0000292B" w:rsidRDefault="00FB4D30" w:rsidP="00FB4D30">
      <w:pPr>
        <w:pStyle w:val="Heading2"/>
      </w:pPr>
      <w:r>
        <w:t>Background</w:t>
      </w:r>
    </w:p>
    <w:p w14:paraId="00E9FE85" w14:textId="77777777" w:rsidR="00FB4D30" w:rsidRDefault="00FB4D30" w:rsidP="00AC6743">
      <w:pPr>
        <w:pStyle w:val="Heading3Indent1"/>
        <w:spacing w:before="240"/>
        <w:ind w:left="782"/>
      </w:pPr>
      <w:r>
        <w:t xml:space="preserve">Pillar Two model rules </w:t>
      </w:r>
    </w:p>
    <w:p w14:paraId="2BD5D703" w14:textId="6902DFDA" w:rsidR="00FB4D30" w:rsidRDefault="00FB4D30" w:rsidP="00FB4D30">
      <w:pPr>
        <w:pStyle w:val="NumBC1"/>
        <w:numPr>
          <w:ilvl w:val="0"/>
          <w:numId w:val="31"/>
        </w:numPr>
      </w:pPr>
      <w:r>
        <w:t xml:space="preserve">In October 2021 more than 135 jurisdictions agreed to the Organisation for Economic Co-operation and Development (OECD)/G20 Inclusive Framework on Base Erosion and Profit Shifting’s </w:t>
      </w:r>
      <w:r w:rsidRPr="00482601">
        <w:rPr>
          <w:i/>
          <w:iCs/>
        </w:rPr>
        <w:t>Statement on a Two-Pillar Solution to Address the Tax Challenges Arising from the Digitalisation of the Economy</w:t>
      </w:r>
      <w:r>
        <w:t>.</w:t>
      </w:r>
      <w:r w:rsidR="00FF3B4B">
        <w:t xml:space="preserve"> </w:t>
      </w:r>
      <w:r>
        <w:t xml:space="preserve"> Since then, the OECD has published model rules and other documents related to the second pillar of this solution (the Pillar Two model rules).</w:t>
      </w:r>
      <w:r w:rsidR="00FF3B4B">
        <w:t xml:space="preserve"> </w:t>
      </w:r>
      <w:r>
        <w:t xml:space="preserve"> The Pillar Two model rules provide a template that jurisdictions can translate into domestic tax law and implement as part of an agreed common approach.</w:t>
      </w:r>
    </w:p>
    <w:p w14:paraId="45A64563" w14:textId="77777777" w:rsidR="00FB4D30" w:rsidRDefault="00FB4D30" w:rsidP="00FB4D30">
      <w:pPr>
        <w:pStyle w:val="NumBC1"/>
        <w:numPr>
          <w:ilvl w:val="0"/>
          <w:numId w:val="31"/>
        </w:numPr>
      </w:pPr>
      <w:r>
        <w:t xml:space="preserve">The model rules: </w:t>
      </w:r>
    </w:p>
    <w:p w14:paraId="16C0CE42" w14:textId="77777777" w:rsidR="00FB4D30" w:rsidRDefault="00FB4D30" w:rsidP="00FB4D30">
      <w:pPr>
        <w:pStyle w:val="NumBC2"/>
        <w:numPr>
          <w:ilvl w:val="1"/>
          <w:numId w:val="31"/>
        </w:numPr>
      </w:pPr>
      <w:r>
        <w:t xml:space="preserve">aim to ensure that large multinational groups pay a minimum amount of tax on income arising in each jurisdiction in which they operate; </w:t>
      </w:r>
    </w:p>
    <w:p w14:paraId="7DB56954" w14:textId="77777777" w:rsidR="00FB4D30" w:rsidRDefault="00FB4D30" w:rsidP="00FB4D30">
      <w:pPr>
        <w:pStyle w:val="NumBC2"/>
        <w:numPr>
          <w:ilvl w:val="1"/>
          <w:numId w:val="31"/>
        </w:numPr>
      </w:pPr>
      <w:r>
        <w:t xml:space="preserve">would achieve that aim by applying a system of top-up taxes that results in the total amount of taxes payable on “excess profit” in each jurisdiction representing at least the minimum rate of 15%; and </w:t>
      </w:r>
    </w:p>
    <w:p w14:paraId="3396B3ED" w14:textId="779D977A" w:rsidR="00FB4D30" w:rsidRDefault="00FB4D30" w:rsidP="00FB4D30">
      <w:pPr>
        <w:pStyle w:val="NumBC2"/>
        <w:numPr>
          <w:ilvl w:val="1"/>
          <w:numId w:val="31"/>
        </w:numPr>
      </w:pPr>
      <w:r>
        <w:t>typically require the ultimate parent entity of a group to pay top-up tax – in the jurisdiction in which it is domiciled – on profits of its subsidiaries that are taxed below 15%.</w:t>
      </w:r>
    </w:p>
    <w:p w14:paraId="3781610B" w14:textId="420C1E5F" w:rsidR="00FB4D30" w:rsidRDefault="00FB4D30" w:rsidP="00FB4D30">
      <w:pPr>
        <w:pStyle w:val="NumBC1"/>
        <w:numPr>
          <w:ilvl w:val="0"/>
          <w:numId w:val="31"/>
        </w:numPr>
      </w:pPr>
      <w:r>
        <w:t>The rules are aimed at multinational groups with revenue in their consolidated financial statements exceeding €750 million in at least two of the four preceding fiscal years.</w:t>
      </w:r>
      <w:r w:rsidR="00FF3B4B">
        <w:t xml:space="preserve"> </w:t>
      </w:r>
      <w:r>
        <w:t xml:space="preserve"> The rules specify inclusion thresholds for some jurisdictions and exclude some types of entities from their scope.</w:t>
      </w:r>
    </w:p>
    <w:p w14:paraId="7974A395" w14:textId="77777777" w:rsidR="00FB4D30" w:rsidRDefault="00FB4D30" w:rsidP="00AC6743">
      <w:pPr>
        <w:pStyle w:val="Heading3Indent1"/>
        <w:spacing w:before="240"/>
        <w:ind w:left="782"/>
      </w:pPr>
      <w:r>
        <w:t xml:space="preserve">Potential implications for income tax accounting </w:t>
      </w:r>
    </w:p>
    <w:p w14:paraId="0AB47B00" w14:textId="77777777" w:rsidR="00FB4D30" w:rsidRDefault="00FB4D30" w:rsidP="00FB4D30">
      <w:pPr>
        <w:pStyle w:val="NumBC1"/>
        <w:numPr>
          <w:ilvl w:val="0"/>
          <w:numId w:val="31"/>
        </w:numPr>
      </w:pPr>
      <w:bookmarkStart w:id="14" w:name="_Ref139571890"/>
      <w:r>
        <w:t xml:space="preserve">In response to stakeholder concerns about the implications for income tax accounting, in June 2023 the Board issued AASB 2023-2 </w:t>
      </w:r>
      <w:r w:rsidRPr="00DF2CD6">
        <w:rPr>
          <w:i/>
          <w:iCs/>
        </w:rPr>
        <w:t>Amendments to Australian Accounting Standards – International Tax Reform – Pillar Two Model Rules</w:t>
      </w:r>
      <w:r>
        <w:t xml:space="preserve">, which amended AASB 112 </w:t>
      </w:r>
      <w:r>
        <w:rPr>
          <w:i/>
          <w:iCs/>
        </w:rPr>
        <w:t xml:space="preserve">Income Taxes </w:t>
      </w:r>
      <w:r>
        <w:t>to introduce:</w:t>
      </w:r>
      <w:bookmarkEnd w:id="14"/>
    </w:p>
    <w:p w14:paraId="48DF69D2" w14:textId="77777777" w:rsidR="00FB4D30" w:rsidRDefault="00FB4D30" w:rsidP="00FB4D30">
      <w:pPr>
        <w:pStyle w:val="NumBC2"/>
        <w:numPr>
          <w:ilvl w:val="1"/>
          <w:numId w:val="31"/>
        </w:numPr>
      </w:pPr>
      <w:bookmarkStart w:id="15" w:name="_Ref138414565"/>
      <w:r>
        <w:t>a mandatory temporary exception to accounting for deferred taxes arising from the implementation of the Pillar Two model rules published by the OECD; and</w:t>
      </w:r>
      <w:bookmarkEnd w:id="15"/>
    </w:p>
    <w:p w14:paraId="3DEB6752" w14:textId="77777777" w:rsidR="00FB4D30" w:rsidRDefault="00FB4D30" w:rsidP="00FB4D30">
      <w:pPr>
        <w:pStyle w:val="NumBC2"/>
        <w:numPr>
          <w:ilvl w:val="1"/>
          <w:numId w:val="31"/>
        </w:numPr>
      </w:pPr>
      <w:bookmarkStart w:id="16" w:name="_Ref138414595"/>
      <w:r>
        <w:t>targeted disclosure requirements to help financial statement users better understand an entity’s exposure to income taxes arising from the reform, particularly in periods before legislation implementing the rules is in effect.</w:t>
      </w:r>
      <w:bookmarkEnd w:id="16"/>
    </w:p>
    <w:p w14:paraId="0AE779F4" w14:textId="4D0C6A6A" w:rsidR="00FB4D30" w:rsidRDefault="00FB4D30" w:rsidP="00FB4D30">
      <w:pPr>
        <w:pStyle w:val="NumBC1"/>
        <w:numPr>
          <w:ilvl w:val="0"/>
          <w:numId w:val="31"/>
        </w:numPr>
      </w:pPr>
      <w:bookmarkStart w:id="17" w:name="_Ref138415257"/>
      <w:r>
        <w:t xml:space="preserve">The mandatory </w:t>
      </w:r>
      <w:r w:rsidRPr="00F93972">
        <w:t xml:space="preserve">temporary exception </w:t>
      </w:r>
      <w:r>
        <w:t xml:space="preserve">and related disclosures noted in paragraph </w:t>
      </w:r>
      <w:r>
        <w:fldChar w:fldCharType="begin" w:fldLock="1"/>
      </w:r>
      <w:r>
        <w:instrText xml:space="preserve"> REF _Ref139571890 \r \h </w:instrText>
      </w:r>
      <w:r>
        <w:fldChar w:fldCharType="separate"/>
      </w:r>
      <w:r w:rsidR="000870D0">
        <w:t>BC5</w:t>
      </w:r>
      <w:r>
        <w:fldChar w:fldCharType="end"/>
      </w:r>
      <w:r>
        <w:t xml:space="preserve"> apply to both Tier 1 and Tier 2 entities.</w:t>
      </w:r>
      <w:r>
        <w:rPr>
          <w:rStyle w:val="FootnoteReference"/>
        </w:rPr>
        <w:footnoteReference w:id="2"/>
      </w:r>
      <w:r>
        <w:t xml:space="preserve"> </w:t>
      </w:r>
    </w:p>
    <w:p w14:paraId="6D3E2BDA" w14:textId="5B6419E7" w:rsidR="00FB4D30" w:rsidRDefault="00FB4D30" w:rsidP="00FB4D30">
      <w:pPr>
        <w:pStyle w:val="NumBC1"/>
        <w:numPr>
          <w:ilvl w:val="0"/>
          <w:numId w:val="31"/>
        </w:numPr>
      </w:pPr>
      <w:r>
        <w:t>However, to ensure Tier 2 entities are required to comply with disclosure requirements set out in AASB 1060 rather than the new requirements in AASB 112, the Board propose</w:t>
      </w:r>
      <w:r w:rsidR="00B07B75">
        <w:t>d</w:t>
      </w:r>
      <w:r>
        <w:t xml:space="preserve"> to amend Appendix A of AASB 112 to extend the exemption from compliance with the disclosure requirements of AASB 112 for entities applying AASB 1060 to include the disclosure requirements added to AASB 112 by AASB 2023-2.</w:t>
      </w:r>
    </w:p>
    <w:bookmarkEnd w:id="17"/>
    <w:p w14:paraId="05253C77" w14:textId="0372E877" w:rsidR="00FB4D30" w:rsidRDefault="00FB4D30" w:rsidP="00FB4D30">
      <w:pPr>
        <w:pStyle w:val="NumBC1"/>
        <w:numPr>
          <w:ilvl w:val="0"/>
          <w:numId w:val="31"/>
        </w:numPr>
      </w:pPr>
      <w:r>
        <w:lastRenderedPageBreak/>
        <w:t>In considering whether to propose amendments to AASB 1060 to require targeted disclosures by Tier 2 entities, the Board considered that the Pillar Two model rules could have a material effect on the financial statements of Tier 2 entities.</w:t>
      </w:r>
      <w:r w:rsidR="00FF3B4B">
        <w:t xml:space="preserve"> </w:t>
      </w:r>
      <w:r>
        <w:t xml:space="preserve"> For example, some subsidiaries of large multinational groups may be affected by Pillar Two legislation.</w:t>
      </w:r>
      <w:r>
        <w:rPr>
          <w:rStyle w:val="FootnoteReference"/>
        </w:rPr>
        <w:footnoteReference w:id="3"/>
      </w:r>
    </w:p>
    <w:p w14:paraId="4E84AC0D" w14:textId="77777777" w:rsidR="00E637A8" w:rsidRDefault="00E637A8" w:rsidP="00FB4D30">
      <w:pPr>
        <w:pStyle w:val="Heading2"/>
      </w:pPr>
      <w:r>
        <w:t>Issue of Exposure Draft ED 325</w:t>
      </w:r>
    </w:p>
    <w:p w14:paraId="124A06DC" w14:textId="40E13EF2" w:rsidR="00B43B03" w:rsidRDefault="00B43B03" w:rsidP="00B43B03">
      <w:pPr>
        <w:pStyle w:val="NumBC1"/>
        <w:numPr>
          <w:ilvl w:val="0"/>
          <w:numId w:val="31"/>
        </w:numPr>
      </w:pPr>
      <w:r>
        <w:t xml:space="preserve">The Board’s proposals with respect to the amendments finalised in this Standard were exposed for public comment in </w:t>
      </w:r>
      <w:r w:rsidR="00473D04">
        <w:t xml:space="preserve">July </w:t>
      </w:r>
      <w:r>
        <w:t>2023 through Exposure Draft ED 32</w:t>
      </w:r>
      <w:r w:rsidR="00473D04">
        <w:t>5</w:t>
      </w:r>
      <w:r>
        <w:t xml:space="preserve"> </w:t>
      </w:r>
      <w:r w:rsidR="00473D04" w:rsidRPr="00473D04">
        <w:rPr>
          <w:i/>
          <w:iCs/>
        </w:rPr>
        <w:t>International Tax Reform – Pillar Two Model Rules: Tier 2 Disclosures</w:t>
      </w:r>
      <w:r w:rsidR="00473D04">
        <w:t>.</w:t>
      </w:r>
    </w:p>
    <w:p w14:paraId="417851FC" w14:textId="5069DCE7" w:rsidR="00B43B03" w:rsidRDefault="00B43B03" w:rsidP="00B43B03">
      <w:pPr>
        <w:pStyle w:val="NumBC1"/>
        <w:numPr>
          <w:ilvl w:val="0"/>
          <w:numId w:val="31"/>
        </w:numPr>
      </w:pPr>
      <w:r>
        <w:t>The significant issues considered by the Board in developing ED 32</w:t>
      </w:r>
      <w:r w:rsidR="00AB62AC">
        <w:t>5</w:t>
      </w:r>
      <w:r>
        <w:t xml:space="preserve"> are addressed in the following section</w:t>
      </w:r>
      <w:r w:rsidR="00414485">
        <w:t>.</w:t>
      </w:r>
    </w:p>
    <w:p w14:paraId="008D54DC" w14:textId="4879155B" w:rsidR="00FB4D30" w:rsidRDefault="00FB4D30" w:rsidP="00AC6743">
      <w:pPr>
        <w:pStyle w:val="Heading3Indent1"/>
        <w:spacing w:before="240"/>
        <w:ind w:left="782"/>
      </w:pPr>
      <w:r>
        <w:t>Relevance of the amendments to AASB 1060</w:t>
      </w:r>
    </w:p>
    <w:p w14:paraId="48FD352B" w14:textId="2A428BC9" w:rsidR="00FB4D30" w:rsidRPr="00793ED7" w:rsidRDefault="00FB4D30" w:rsidP="00FB4D30">
      <w:pPr>
        <w:pStyle w:val="NumBC1"/>
        <w:numPr>
          <w:ilvl w:val="0"/>
          <w:numId w:val="31"/>
        </w:numPr>
      </w:pPr>
      <w:r>
        <w:t xml:space="preserve">The </w:t>
      </w:r>
      <w:r w:rsidRPr="006E7142">
        <w:rPr>
          <w:i/>
          <w:iCs/>
        </w:rPr>
        <w:t>AASB For-Profit Entity Standard-Setting Framework</w:t>
      </w:r>
      <w:r>
        <w:t xml:space="preserve"> and the </w:t>
      </w:r>
      <w:r w:rsidRPr="006E7142">
        <w:rPr>
          <w:i/>
          <w:iCs/>
        </w:rPr>
        <w:t xml:space="preserve">AASB </w:t>
      </w:r>
      <w:r>
        <w:rPr>
          <w:i/>
          <w:iCs/>
        </w:rPr>
        <w:t>Not-</w:t>
      </w:r>
      <w:r w:rsidRPr="006E7142">
        <w:rPr>
          <w:i/>
          <w:iCs/>
        </w:rPr>
        <w:t>For-Profit Entity Standard-Setting Framework</w:t>
      </w:r>
      <w:r>
        <w:t xml:space="preserve"> outline the approach adopted by the Board for considering whether to add to or amend disclosure requirements in AASB 1060 when the IASB makes amendments to full IFRS Standards.</w:t>
      </w:r>
    </w:p>
    <w:p w14:paraId="34ED83C5" w14:textId="6A4CC6D0" w:rsidR="00FB4D30" w:rsidRDefault="00FB4D30" w:rsidP="00FB4D30">
      <w:pPr>
        <w:pStyle w:val="NumBC1"/>
        <w:numPr>
          <w:ilvl w:val="0"/>
          <w:numId w:val="31"/>
        </w:numPr>
      </w:pPr>
      <w:r>
        <w:t>T</w:t>
      </w:r>
      <w:r w:rsidRPr="00793ED7">
        <w:t xml:space="preserve">he standard-setting frameworks first consider whether the amendments introduce a significant recognition and measurement difference between full IFRS Standards and the </w:t>
      </w:r>
      <w:r w:rsidRPr="00D75B61">
        <w:rPr>
          <w:i/>
          <w:iCs/>
        </w:rPr>
        <w:t>IFRS for SMEs</w:t>
      </w:r>
      <w:r w:rsidRPr="00793ED7">
        <w:t xml:space="preserve"> Standard.</w:t>
      </w:r>
      <w:r w:rsidR="00FF3B4B">
        <w:t xml:space="preserve"> </w:t>
      </w:r>
      <w:r w:rsidRPr="00793ED7">
        <w:t xml:space="preserve"> If they don’t, the standard-setting frameworks state that no further action is required unless</w:t>
      </w:r>
      <w:r>
        <w:t>:</w:t>
      </w:r>
    </w:p>
    <w:p w14:paraId="16E4F702" w14:textId="77777777" w:rsidR="00FB4D30" w:rsidRDefault="00FB4D30" w:rsidP="00FB4D30">
      <w:pPr>
        <w:pStyle w:val="NumBC2"/>
        <w:numPr>
          <w:ilvl w:val="1"/>
          <w:numId w:val="31"/>
        </w:numPr>
      </w:pPr>
      <w:r w:rsidRPr="00793ED7">
        <w:t>the disclosures address a matter of public policy</w:t>
      </w:r>
      <w:r>
        <w:t>;</w:t>
      </w:r>
      <w:r w:rsidRPr="00793ED7">
        <w:t xml:space="preserve"> </w:t>
      </w:r>
    </w:p>
    <w:p w14:paraId="68E4C46B" w14:textId="77777777" w:rsidR="00FB4D30" w:rsidRDefault="00FB4D30" w:rsidP="00FB4D30">
      <w:pPr>
        <w:pStyle w:val="NumBC2"/>
        <w:numPr>
          <w:ilvl w:val="1"/>
          <w:numId w:val="31"/>
        </w:numPr>
      </w:pPr>
      <w:r w:rsidRPr="00793ED7">
        <w:t>the disclosures are of particular relevance in the Australian environment</w:t>
      </w:r>
      <w:r>
        <w:t>;</w:t>
      </w:r>
      <w:r w:rsidRPr="00793ED7">
        <w:t xml:space="preserve"> or </w:t>
      </w:r>
    </w:p>
    <w:p w14:paraId="2B501BA8" w14:textId="77777777" w:rsidR="00FB4D30" w:rsidRDefault="00FB4D30" w:rsidP="00FB4D30">
      <w:pPr>
        <w:pStyle w:val="NumBC2"/>
        <w:numPr>
          <w:ilvl w:val="1"/>
          <w:numId w:val="31"/>
        </w:numPr>
      </w:pPr>
      <w:r w:rsidRPr="00793ED7">
        <w:t>the amendments clarify or reduce existing disclosure requirements in full IFRS Standards.</w:t>
      </w:r>
    </w:p>
    <w:p w14:paraId="3B41CD41" w14:textId="5B2AEA9D" w:rsidR="00FB4D30" w:rsidRDefault="00FB4D30" w:rsidP="00FB4D30">
      <w:pPr>
        <w:pStyle w:val="NumBC1"/>
        <w:numPr>
          <w:ilvl w:val="0"/>
          <w:numId w:val="31"/>
        </w:numPr>
      </w:pPr>
      <w:r>
        <w:t>In addition to the principles in the standard-setting frameworks, the Board acknowledged when finalising AASB</w:t>
      </w:r>
      <w:r w:rsidR="00B07B75">
        <w:t> </w:t>
      </w:r>
      <w:r>
        <w:t xml:space="preserve">1060 that a review of the disclosures in AASB 1060 would need to take place any time the </w:t>
      </w:r>
      <w:r w:rsidRPr="00835C2B">
        <w:rPr>
          <w:i/>
          <w:iCs/>
        </w:rPr>
        <w:t>IFRS for SMEs</w:t>
      </w:r>
      <w:r>
        <w:t xml:space="preserve"> Standard is updated (paragraph BC96).</w:t>
      </w:r>
    </w:p>
    <w:p w14:paraId="666C0C8E" w14:textId="77777777" w:rsidR="00FB4D30" w:rsidRDefault="00FB4D30" w:rsidP="00FB4D30">
      <w:pPr>
        <w:pStyle w:val="NumBC1"/>
        <w:numPr>
          <w:ilvl w:val="0"/>
          <w:numId w:val="31"/>
        </w:numPr>
      </w:pPr>
      <w:r>
        <w:t xml:space="preserve">Although there will be no recognition and measurement differences between full IFRS Standards and the </w:t>
      </w:r>
      <w:r w:rsidRPr="0045621E">
        <w:rPr>
          <w:i/>
          <w:iCs/>
        </w:rPr>
        <w:t>IFRS for SMEs</w:t>
      </w:r>
      <w:r>
        <w:t xml:space="preserve"> Accounting Standard or between </w:t>
      </w:r>
      <w:r w:rsidRPr="001E200F">
        <w:t>Tier 1 and Tier 2 entities</w:t>
      </w:r>
      <w:r>
        <w:t xml:space="preserve"> in Australia in respect of Pillar Two income taxes, the Board considers that Tier 2 </w:t>
      </w:r>
      <w:r w:rsidRPr="001E200F">
        <w:t>entities apply</w:t>
      </w:r>
      <w:r>
        <w:t>ing</w:t>
      </w:r>
      <w:r w:rsidRPr="001E200F">
        <w:t xml:space="preserve"> the </w:t>
      </w:r>
      <w:r>
        <w:t xml:space="preserve">mandatory temporary </w:t>
      </w:r>
      <w:r w:rsidRPr="001E200F">
        <w:t xml:space="preserve">exception </w:t>
      </w:r>
      <w:r>
        <w:t xml:space="preserve">should be required to include some </w:t>
      </w:r>
      <w:r w:rsidRPr="001E200F">
        <w:t xml:space="preserve">disclosures in their financial statements </w:t>
      </w:r>
      <w:r>
        <w:t xml:space="preserve">to help </w:t>
      </w:r>
      <w:r w:rsidRPr="001E200F">
        <w:t>users</w:t>
      </w:r>
      <w:r>
        <w:t xml:space="preserve"> understand the effect of Pillar Two legislation on the financial statements</w:t>
      </w:r>
      <w:r w:rsidRPr="001E200F">
        <w:t>.</w:t>
      </w:r>
      <w:r>
        <w:t xml:space="preserve"> </w:t>
      </w:r>
    </w:p>
    <w:p w14:paraId="5A2A8A89" w14:textId="1E741280" w:rsidR="00FB4D30" w:rsidRDefault="00FB4D30" w:rsidP="00FB4D30">
      <w:pPr>
        <w:pStyle w:val="NumBC1"/>
        <w:numPr>
          <w:ilvl w:val="0"/>
          <w:numId w:val="31"/>
        </w:numPr>
      </w:pPr>
      <w:r>
        <w:t xml:space="preserve">In addition, the Board noted that the </w:t>
      </w:r>
      <w:r w:rsidRPr="00C265AD">
        <w:t>IASB</w:t>
      </w:r>
      <w:r>
        <w:t xml:space="preserve"> proposed amendments to the </w:t>
      </w:r>
      <w:r w:rsidRPr="0038423A">
        <w:rPr>
          <w:i/>
          <w:iCs/>
        </w:rPr>
        <w:t>IFRS for SMEs</w:t>
      </w:r>
      <w:r w:rsidRPr="00C265AD">
        <w:t xml:space="preserve"> Standard</w:t>
      </w:r>
      <w:r>
        <w:t xml:space="preserve">, issuing Exposure Draft IASB/ED/2023/3 </w:t>
      </w:r>
      <w:r w:rsidRPr="0038423A">
        <w:rPr>
          <w:i/>
          <w:iCs/>
        </w:rPr>
        <w:t xml:space="preserve">International Tax Reform – Pillar Two Model Rules </w:t>
      </w:r>
      <w:r>
        <w:rPr>
          <w:i/>
          <w:iCs/>
        </w:rPr>
        <w:t xml:space="preserve">– </w:t>
      </w:r>
      <w:r w:rsidRPr="0038423A">
        <w:rPr>
          <w:i/>
          <w:iCs/>
        </w:rPr>
        <w:t xml:space="preserve">Proposed amendments to the </w:t>
      </w:r>
      <w:r w:rsidRPr="009923DB">
        <w:t>IFRS for SMEs</w:t>
      </w:r>
      <w:r w:rsidRPr="0038423A">
        <w:rPr>
          <w:i/>
          <w:iCs/>
        </w:rPr>
        <w:t xml:space="preserve"> Standard</w:t>
      </w:r>
      <w:r>
        <w:t xml:space="preserve"> in June 2023.</w:t>
      </w:r>
      <w:r w:rsidR="00FF3B4B">
        <w:t xml:space="preserve"> </w:t>
      </w:r>
      <w:r>
        <w:t xml:space="preserve"> IASB/ED/2023/3</w:t>
      </w:r>
      <w:r w:rsidRPr="0038423A">
        <w:rPr>
          <w:i/>
          <w:iCs/>
        </w:rPr>
        <w:t xml:space="preserve"> </w:t>
      </w:r>
      <w:r w:rsidRPr="00CC1AAF">
        <w:t>propose</w:t>
      </w:r>
      <w:r>
        <w:t>s</w:t>
      </w:r>
      <w:r w:rsidRPr="00CC1AAF">
        <w:t xml:space="preserve"> amendments to the</w:t>
      </w:r>
      <w:r>
        <w:t xml:space="preserve"> </w:t>
      </w:r>
      <w:r w:rsidRPr="00B705D9">
        <w:rPr>
          <w:i/>
          <w:iCs/>
        </w:rPr>
        <w:t>IFRS for SMEs</w:t>
      </w:r>
      <w:r>
        <w:t xml:space="preserve"> </w:t>
      </w:r>
      <w:r w:rsidRPr="00CC1AAF">
        <w:t>Standard</w:t>
      </w:r>
      <w:r>
        <w:t xml:space="preserve"> that would:</w:t>
      </w:r>
    </w:p>
    <w:p w14:paraId="2D1199A4" w14:textId="77777777" w:rsidR="00FB4D30" w:rsidRDefault="00FB4D30" w:rsidP="00FB4D30">
      <w:pPr>
        <w:pStyle w:val="NumBC2"/>
        <w:numPr>
          <w:ilvl w:val="1"/>
          <w:numId w:val="31"/>
        </w:numPr>
      </w:pPr>
      <w:r>
        <w:t>introduce a temporary exception to accounting for deferred taxes arising from the implementation of the Pillar Two model rules;</w:t>
      </w:r>
    </w:p>
    <w:p w14:paraId="173FE353" w14:textId="77777777" w:rsidR="00FB4D30" w:rsidRDefault="00FB4D30" w:rsidP="00FB4D30">
      <w:pPr>
        <w:pStyle w:val="NumBC2"/>
        <w:numPr>
          <w:ilvl w:val="1"/>
          <w:numId w:val="31"/>
        </w:numPr>
      </w:pPr>
      <w:r>
        <w:t>introduce targeted disclosure requirements in periods when Pillar Two legislation is in effect; and</w:t>
      </w:r>
    </w:p>
    <w:p w14:paraId="0900AA38" w14:textId="77777777" w:rsidR="00FB4D30" w:rsidRDefault="00FB4D30" w:rsidP="00FB4D30">
      <w:pPr>
        <w:pStyle w:val="NumBC2"/>
        <w:numPr>
          <w:ilvl w:val="1"/>
          <w:numId w:val="31"/>
        </w:numPr>
      </w:pPr>
      <w:r>
        <w:t>clarify that ‘other events’ in the disclosure objective for income tax include enacted or substantively enacted Pillar Two legislation.</w:t>
      </w:r>
    </w:p>
    <w:p w14:paraId="798EC942" w14:textId="77777777" w:rsidR="00FB4D30" w:rsidRPr="00C265AD" w:rsidRDefault="00FB4D30" w:rsidP="00FB4D30">
      <w:pPr>
        <w:pStyle w:val="NumBC1"/>
        <w:numPr>
          <w:ilvl w:val="0"/>
          <w:numId w:val="31"/>
        </w:numPr>
      </w:pPr>
      <w:r>
        <w:t>Therefore, the Board decided to propose amendments to AASB 1060 to require Tier 2 entities applying the temporary exception to include targeted disclosures in their financial statements.</w:t>
      </w:r>
    </w:p>
    <w:p w14:paraId="75CBDB8A" w14:textId="77777777" w:rsidR="00FB4D30" w:rsidRPr="0000292B" w:rsidRDefault="00FB4D30" w:rsidP="00AC6743">
      <w:pPr>
        <w:pStyle w:val="Heading3Indent1"/>
        <w:spacing w:before="240"/>
        <w:ind w:left="782"/>
      </w:pPr>
      <w:r>
        <w:t>Disclosures</w:t>
      </w:r>
    </w:p>
    <w:p w14:paraId="28B232FF" w14:textId="0401DF39" w:rsidR="00FB4D30" w:rsidRDefault="00FB4D30" w:rsidP="00FB4D30">
      <w:pPr>
        <w:pStyle w:val="NumBC1"/>
        <w:numPr>
          <w:ilvl w:val="0"/>
          <w:numId w:val="31"/>
        </w:numPr>
      </w:pPr>
      <w:r>
        <w:t xml:space="preserve">As noted in paragraph </w:t>
      </w:r>
      <w:r>
        <w:fldChar w:fldCharType="begin" w:fldLock="1"/>
      </w:r>
      <w:r>
        <w:instrText xml:space="preserve"> REF _Ref138415257 \r \h </w:instrText>
      </w:r>
      <w:r>
        <w:fldChar w:fldCharType="separate"/>
      </w:r>
      <w:r w:rsidR="000870D0">
        <w:t>BC6</w:t>
      </w:r>
      <w:r>
        <w:fldChar w:fldCharType="end"/>
      </w:r>
      <w:r>
        <w:t>, a Tier 2 entity is required to apply the mandatory temporary exception to accounting for deferred taxes arising from the implementation of the Pillar Two model rules in AASB 112.</w:t>
      </w:r>
      <w:r w:rsidR="00FF3B4B">
        <w:t xml:space="preserve"> </w:t>
      </w:r>
      <w:r>
        <w:t xml:space="preserve"> To make the application of the exception transparent, the Board </w:t>
      </w:r>
      <w:r w:rsidR="00414485">
        <w:t xml:space="preserve">proposed </w:t>
      </w:r>
      <w:r>
        <w:t>requiring Tier 2 entities applying the temporary exception to disclose that fact.</w:t>
      </w:r>
    </w:p>
    <w:p w14:paraId="575B2FD6" w14:textId="77777777" w:rsidR="00FB4D30" w:rsidRDefault="00FB4D30" w:rsidP="00FB4D30">
      <w:pPr>
        <w:pStyle w:val="NumBC1"/>
        <w:numPr>
          <w:ilvl w:val="0"/>
          <w:numId w:val="31"/>
        </w:numPr>
      </w:pPr>
      <w:r>
        <w:t xml:space="preserve">In addition, consistent with the IASB’s proposed approach to amending the </w:t>
      </w:r>
      <w:r w:rsidRPr="00A25F78">
        <w:rPr>
          <w:i/>
          <w:iCs/>
        </w:rPr>
        <w:t>IFRS for SMEs</w:t>
      </w:r>
      <w:r>
        <w:t xml:space="preserve"> Standard, the Board decided:</w:t>
      </w:r>
    </w:p>
    <w:p w14:paraId="6046FE5B" w14:textId="77777777" w:rsidR="00FB4D30" w:rsidRDefault="00FB4D30" w:rsidP="00FB4D30">
      <w:pPr>
        <w:pStyle w:val="NumBC2"/>
        <w:numPr>
          <w:ilvl w:val="1"/>
          <w:numId w:val="31"/>
        </w:numPr>
      </w:pPr>
      <w:r>
        <w:lastRenderedPageBreak/>
        <w:t>in relation to periods before relevant Pillar Two legislation is in effect, not to propose specific disclosure requirements; and</w:t>
      </w:r>
    </w:p>
    <w:p w14:paraId="1E98CC31" w14:textId="77777777" w:rsidR="00FB4D30" w:rsidRDefault="00FB4D30" w:rsidP="00FB4D30">
      <w:pPr>
        <w:pStyle w:val="NumBC2"/>
        <w:numPr>
          <w:ilvl w:val="1"/>
          <w:numId w:val="31"/>
        </w:numPr>
      </w:pPr>
      <w:r>
        <w:t>in relation to periods when relevant legislation is in effect, to propose requiring an entity to disclose its current tax expense (income) related to Pillar Two income taxes.</w:t>
      </w:r>
    </w:p>
    <w:p w14:paraId="66DE3330" w14:textId="77777777" w:rsidR="00FB4D30" w:rsidRDefault="00FB4D30" w:rsidP="00FB4D30">
      <w:pPr>
        <w:pStyle w:val="NumBC1"/>
        <w:numPr>
          <w:ilvl w:val="0"/>
          <w:numId w:val="31"/>
        </w:numPr>
      </w:pPr>
      <w:r>
        <w:t>In making these decisions, the Board considered that:</w:t>
      </w:r>
    </w:p>
    <w:p w14:paraId="755EABE6" w14:textId="472A14C8" w:rsidR="00FB4D30" w:rsidRDefault="00FB4D30" w:rsidP="00FB4D30">
      <w:pPr>
        <w:pStyle w:val="NumBC2"/>
        <w:numPr>
          <w:ilvl w:val="1"/>
          <w:numId w:val="31"/>
        </w:numPr>
      </w:pPr>
      <w:r>
        <w:t>it was not necessary to add a new disclosure requirement for periods before relevant Pillar Two legislation is in effect because the existing disclosure requirement in paragraph 176 would be expected to result in Tier 2 entities affected by Pillar Two legislation providing some information about the nature and financial effect of enacted or substantively enacted Pillar Two legislation before it applies.</w:t>
      </w:r>
      <w:r w:rsidR="00FF3B4B">
        <w:t xml:space="preserve"> </w:t>
      </w:r>
      <w:r>
        <w:t xml:space="preserve"> However, the Board decided to propose clarifying that the reference in paragraph</w:t>
      </w:r>
      <w:r w:rsidR="00414485">
        <w:t xml:space="preserve"> </w:t>
      </w:r>
      <w:r>
        <w:t>176 to ‘other events’ includes enacted or substantively enacted Pillar Two legislation; and</w:t>
      </w:r>
    </w:p>
    <w:p w14:paraId="4BF5933C" w14:textId="4F3478C2" w:rsidR="00FB4D30" w:rsidRDefault="00FB4D30" w:rsidP="00FB4D30">
      <w:pPr>
        <w:pStyle w:val="NumBC2"/>
        <w:numPr>
          <w:ilvl w:val="1"/>
          <w:numId w:val="31"/>
        </w:numPr>
      </w:pPr>
      <w:r>
        <w:t>requiring a Tier 2 entity to disclose its current tax expense (income) related to Pillar Two income taxes when relevant legislation is in effect would help users of the financial statements understand the magnitude of Pillar Two income taxes relative to the entity’s overall tax expense (income).</w:t>
      </w:r>
      <w:r w:rsidR="00FF3B4B">
        <w:t xml:space="preserve"> </w:t>
      </w:r>
      <w:r>
        <w:t xml:space="preserve"> The Board considered this disclosure would not be costly to prepare because a Tier 2 entity would already be required in these circumstances to recognise current tax related to Pillar Two income taxes.</w:t>
      </w:r>
    </w:p>
    <w:p w14:paraId="3061A48A" w14:textId="77777777" w:rsidR="00851516" w:rsidRDefault="00851516" w:rsidP="00FB4D30">
      <w:pPr>
        <w:pStyle w:val="Heading2"/>
      </w:pPr>
      <w:r>
        <w:t>Finalisation of ED 325 proposals</w:t>
      </w:r>
    </w:p>
    <w:p w14:paraId="483DAAF1" w14:textId="4156AC4E" w:rsidR="00851516" w:rsidRDefault="001E4E2D" w:rsidP="00851516">
      <w:pPr>
        <w:pStyle w:val="NumBC1"/>
        <w:numPr>
          <w:ilvl w:val="0"/>
          <w:numId w:val="31"/>
        </w:numPr>
      </w:pPr>
      <w:r>
        <w:t>Following the consultation period, and after considering the comments received, the Board decided to proceed with issuing this Standard, with minimal changes from the proposals in ED 325.</w:t>
      </w:r>
    </w:p>
    <w:p w14:paraId="40F8D457" w14:textId="5C571BB3" w:rsidR="001E4E2D" w:rsidRDefault="001E4E2D" w:rsidP="00AC6743">
      <w:pPr>
        <w:pStyle w:val="Heading3Indent1"/>
        <w:spacing w:before="240"/>
        <w:ind w:left="782"/>
      </w:pPr>
      <w:r>
        <w:t>Feedback from respondents on ED 325</w:t>
      </w:r>
    </w:p>
    <w:p w14:paraId="68EB3E89" w14:textId="2A3C6589" w:rsidR="00774ECA" w:rsidRPr="00D03498" w:rsidRDefault="001E4E2D" w:rsidP="0043462E">
      <w:pPr>
        <w:pStyle w:val="NumBC1"/>
        <w:numPr>
          <w:ilvl w:val="0"/>
          <w:numId w:val="31"/>
        </w:numPr>
      </w:pPr>
      <w:r w:rsidRPr="00D03498">
        <w:t xml:space="preserve">The Board received </w:t>
      </w:r>
      <w:r w:rsidR="00A4715A" w:rsidRPr="00D03498">
        <w:t xml:space="preserve">two </w:t>
      </w:r>
      <w:r w:rsidRPr="00D03498">
        <w:t>formal comment letters on ED 325</w:t>
      </w:r>
      <w:r w:rsidR="00A4715A" w:rsidRPr="00D03498">
        <w:t>.</w:t>
      </w:r>
      <w:r w:rsidR="00FF3B4B">
        <w:t xml:space="preserve"> </w:t>
      </w:r>
      <w:r w:rsidR="0043462E" w:rsidRPr="00D03498">
        <w:t xml:space="preserve"> </w:t>
      </w:r>
      <w:r w:rsidRPr="00D03498">
        <w:t xml:space="preserve">The feedback received indicated that, in general, </w:t>
      </w:r>
      <w:r w:rsidR="00060B03" w:rsidRPr="00D03498">
        <w:t xml:space="preserve">both stakeholders </w:t>
      </w:r>
      <w:r w:rsidRPr="00D03498">
        <w:t>were supportive of the proposals.</w:t>
      </w:r>
      <w:r w:rsidR="00FF3B4B">
        <w:t xml:space="preserve"> </w:t>
      </w:r>
      <w:r w:rsidRPr="00D03498">
        <w:t xml:space="preserve"> However, </w:t>
      </w:r>
      <w:r w:rsidR="004E1CCE" w:rsidRPr="00D03498">
        <w:t xml:space="preserve">one </w:t>
      </w:r>
      <w:r w:rsidR="00177FB4" w:rsidRPr="00D03498">
        <w:t>stakeholder</w:t>
      </w:r>
      <w:r w:rsidR="00DC77AF" w:rsidRPr="00D03498">
        <w:t xml:space="preserve"> provided</w:t>
      </w:r>
      <w:r w:rsidR="00060B03" w:rsidRPr="00D03498">
        <w:t xml:space="preserve"> a</w:t>
      </w:r>
      <w:r w:rsidRPr="00D03498">
        <w:t>dditional feedback</w:t>
      </w:r>
      <w:r w:rsidR="00EC2AFD" w:rsidRPr="00D03498">
        <w:t>.</w:t>
      </w:r>
    </w:p>
    <w:p w14:paraId="50E841A8" w14:textId="2B2473A8" w:rsidR="004E1CCE" w:rsidRPr="00D03498" w:rsidRDefault="00EC2AFD" w:rsidP="00EC2AFD">
      <w:pPr>
        <w:pStyle w:val="NumBC1"/>
        <w:numPr>
          <w:ilvl w:val="0"/>
          <w:numId w:val="31"/>
        </w:numPr>
      </w:pPr>
      <w:r w:rsidRPr="00D03498">
        <w:t>T</w:t>
      </w:r>
      <w:r w:rsidR="00DC77AF" w:rsidRPr="00D03498">
        <w:t xml:space="preserve">he stakeholder </w:t>
      </w:r>
      <w:r w:rsidR="009F5D2C" w:rsidRPr="00D03498">
        <w:t>suggested</w:t>
      </w:r>
      <w:r w:rsidR="004E1CCE" w:rsidRPr="00D03498">
        <w:t xml:space="preserve"> that the </w:t>
      </w:r>
      <w:r w:rsidR="0095420C" w:rsidRPr="00D03498">
        <w:t xml:space="preserve">proposed </w:t>
      </w:r>
      <w:r w:rsidR="004E1CCE" w:rsidRPr="00D03498">
        <w:t xml:space="preserve">clarification </w:t>
      </w:r>
      <w:r w:rsidR="0095420C" w:rsidRPr="00D03498">
        <w:t xml:space="preserve">to paragraph 176 </w:t>
      </w:r>
      <w:r w:rsidR="004E1CCE" w:rsidRPr="00D03498">
        <w:t>was not necessary</w:t>
      </w:r>
      <w:r w:rsidR="009F5D2C" w:rsidRPr="00D03498">
        <w:t xml:space="preserve"> </w:t>
      </w:r>
      <w:r w:rsidR="003F3379" w:rsidRPr="00D03498">
        <w:t xml:space="preserve">because it is already understood that </w:t>
      </w:r>
      <w:r w:rsidR="000C6D5F">
        <w:t xml:space="preserve">the </w:t>
      </w:r>
      <w:r w:rsidR="003F3379" w:rsidRPr="00D03498">
        <w:t xml:space="preserve">“transactions and other events” referred to in paragraph 176 include </w:t>
      </w:r>
      <w:r w:rsidR="00DC77AF" w:rsidRPr="00D03498">
        <w:t xml:space="preserve">the </w:t>
      </w:r>
      <w:r w:rsidR="003F3379" w:rsidRPr="00D03498">
        <w:t xml:space="preserve">enactment </w:t>
      </w:r>
      <w:r w:rsidR="000C6D5F">
        <w:t xml:space="preserve">or </w:t>
      </w:r>
      <w:r w:rsidR="003F3379" w:rsidRPr="00D03498">
        <w:t xml:space="preserve">substantive enactment of tax rates and laws.  </w:t>
      </w:r>
      <w:r w:rsidR="0095420C" w:rsidRPr="00D03498">
        <w:t xml:space="preserve">They also suggested </w:t>
      </w:r>
      <w:r w:rsidR="003F3379" w:rsidRPr="00D03498">
        <w:t xml:space="preserve">that if the Board is concerned that this may not be the case, the clarification should be worded more broadly than specifically referring to Pillar Two legislation, or </w:t>
      </w:r>
      <w:r w:rsidR="000C6D5F">
        <w:t xml:space="preserve">else </w:t>
      </w:r>
      <w:r w:rsidR="003F3379" w:rsidRPr="00D03498">
        <w:t>the Board could consider clarifying this in the Basis for Conclusions</w:t>
      </w:r>
      <w:r w:rsidRPr="00D03498">
        <w:t>.</w:t>
      </w:r>
    </w:p>
    <w:p w14:paraId="59517D56" w14:textId="3075BD03" w:rsidR="00EC2AFD" w:rsidRPr="00D03498" w:rsidRDefault="00EC2AFD" w:rsidP="00EC2AFD">
      <w:pPr>
        <w:pStyle w:val="NumBC1"/>
        <w:numPr>
          <w:ilvl w:val="0"/>
          <w:numId w:val="31"/>
        </w:numPr>
      </w:pPr>
      <w:r w:rsidRPr="00D03498">
        <w:t xml:space="preserve">The Board considered this feedback, along with </w:t>
      </w:r>
      <w:r w:rsidR="00ED1FE2" w:rsidRPr="00D03498">
        <w:t xml:space="preserve">feedback received by the IASB on </w:t>
      </w:r>
      <w:r w:rsidR="00072077" w:rsidRPr="00D03498">
        <w:t xml:space="preserve">IASB/ED/2023/3 and decided to </w:t>
      </w:r>
      <w:r w:rsidR="000C6D5F">
        <w:t xml:space="preserve">generalise </w:t>
      </w:r>
      <w:r w:rsidR="001E3F54" w:rsidRPr="00D03498">
        <w:t xml:space="preserve">the </w:t>
      </w:r>
      <w:r w:rsidR="003C33EC" w:rsidRPr="00D03498">
        <w:t xml:space="preserve">wording </w:t>
      </w:r>
      <w:r w:rsidR="00EE6B66">
        <w:t>of the clarification to paragraph 176</w:t>
      </w:r>
      <w:r w:rsidR="00641AEC">
        <w:t xml:space="preserve"> and refer to the Pillar Two legislation as an example</w:t>
      </w:r>
      <w:r w:rsidR="00D03498" w:rsidRPr="00D03498">
        <w:t>.</w:t>
      </w:r>
    </w:p>
    <w:p w14:paraId="271E483B" w14:textId="50038F22" w:rsidR="00FB4D30" w:rsidRDefault="00FB4D30" w:rsidP="00FB4D30">
      <w:pPr>
        <w:pStyle w:val="Heading2"/>
      </w:pPr>
      <w:r>
        <w:t xml:space="preserve">Effective date </w:t>
      </w:r>
    </w:p>
    <w:p w14:paraId="36ECB6A1" w14:textId="2FE0F2C8" w:rsidR="00FB4D30" w:rsidRDefault="00FB4D30" w:rsidP="005F6679">
      <w:pPr>
        <w:pStyle w:val="NumBC1"/>
        <w:numPr>
          <w:ilvl w:val="0"/>
          <w:numId w:val="31"/>
        </w:numPr>
      </w:pPr>
      <w:r>
        <w:t xml:space="preserve">The Board </w:t>
      </w:r>
      <w:r w:rsidR="001E4E2D">
        <w:t xml:space="preserve">decided </w:t>
      </w:r>
      <w:r>
        <w:t>that the amendments should be made effective for annual periods beginning on or after 1 January 2023 that end on or after 30 September 2023, with earlier application permitted</w:t>
      </w:r>
      <w:r w:rsidR="0085530A">
        <w:t>, as proposed in ED 325</w:t>
      </w:r>
      <w:r>
        <w:t>.</w:t>
      </w:r>
      <w:r w:rsidR="00FF3B4B">
        <w:t xml:space="preserve"> </w:t>
      </w:r>
      <w:r>
        <w:t xml:space="preserve"> This </w:t>
      </w:r>
      <w:r w:rsidR="0085530A">
        <w:t xml:space="preserve">is </w:t>
      </w:r>
      <w:r>
        <w:t xml:space="preserve">consistent with the effective date of AASB 2023-2 for most entities. </w:t>
      </w:r>
    </w:p>
    <w:p w14:paraId="57CE26D8" w14:textId="40A62DFF" w:rsidR="00D03498" w:rsidRDefault="00E67C8E" w:rsidP="005F6679">
      <w:pPr>
        <w:pStyle w:val="NumBC1"/>
        <w:numPr>
          <w:ilvl w:val="0"/>
          <w:numId w:val="31"/>
        </w:numPr>
      </w:pPr>
      <w:r>
        <w:t>The Board</w:t>
      </w:r>
      <w:r w:rsidR="00D84986">
        <w:t xml:space="preserve"> </w:t>
      </w:r>
      <w:r w:rsidR="00B763C2">
        <w:t xml:space="preserve">noted the comment from one of the respondents to ED 325 that the proposed effective date could make Tier 2 </w:t>
      </w:r>
      <w:r w:rsidR="00696CB0">
        <w:t xml:space="preserve">entities unsure about </w:t>
      </w:r>
      <w:r w:rsidR="00D20AF5">
        <w:t xml:space="preserve">the </w:t>
      </w:r>
      <w:r w:rsidR="00696CB0">
        <w:t xml:space="preserve">application </w:t>
      </w:r>
      <w:r w:rsidR="00B763C2">
        <w:t xml:space="preserve">of the </w:t>
      </w:r>
      <w:r w:rsidR="00D20AF5">
        <w:t xml:space="preserve">amendments to certain periods, </w:t>
      </w:r>
      <w:r w:rsidR="00115908">
        <w:t>such as</w:t>
      </w:r>
      <w:r w:rsidR="00B763C2">
        <w:t xml:space="preserve"> the 2022/23 financial year</w:t>
      </w:r>
      <w:r w:rsidR="00696CB0">
        <w:t>.</w:t>
      </w:r>
      <w:r w:rsidR="00FF3B4B">
        <w:t xml:space="preserve"> </w:t>
      </w:r>
      <w:r w:rsidR="00696CB0">
        <w:t xml:space="preserve"> </w:t>
      </w:r>
      <w:r w:rsidR="00115908">
        <w:t>T</w:t>
      </w:r>
      <w:r w:rsidR="00696CB0">
        <w:t xml:space="preserve">he Board </w:t>
      </w:r>
      <w:r w:rsidR="00115908">
        <w:t xml:space="preserve">confirmed </w:t>
      </w:r>
      <w:r w:rsidR="00B763C2">
        <w:t xml:space="preserve">the proposed two-pronged effective date, which is required in this case to avoid any mandatory retrospective application to reporting periods that have ended prior to the Board making the Standard.  The Board noted </w:t>
      </w:r>
      <w:r w:rsidR="00115908">
        <w:t xml:space="preserve">that </w:t>
      </w:r>
      <w:r w:rsidR="00D91641">
        <w:t xml:space="preserve">an entity could elect to </w:t>
      </w:r>
      <w:r w:rsidR="00B763C2">
        <w:t xml:space="preserve">apply </w:t>
      </w:r>
      <w:r w:rsidR="00D91641">
        <w:t xml:space="preserve">the amendments </w:t>
      </w:r>
      <w:r w:rsidR="00FF3B4B">
        <w:t>before</w:t>
      </w:r>
      <w:r w:rsidR="00D91641">
        <w:t xml:space="preserve"> their mandatory application date</w:t>
      </w:r>
      <w:r w:rsidR="00B763C2">
        <w:t xml:space="preserve">, for example </w:t>
      </w:r>
      <w:r w:rsidR="0085530A">
        <w:t>to the 2022/23 financial year or any period ending before 30 September 2023</w:t>
      </w:r>
      <w:r w:rsidR="00D91641">
        <w:t>.</w:t>
      </w:r>
    </w:p>
    <w:sectPr w:rsidR="00D03498">
      <w:footerReference w:type="default" r:id="rId22"/>
      <w:footnotePr>
        <w:numRestart w:val="eachSect"/>
      </w:footnotePr>
      <w:pgSz w:w="11907" w:h="16840" w:code="9"/>
      <w:pgMar w:top="1418" w:right="1418" w:bottom="1418" w:left="1418" w:header="709" w:footer="709" w:gutter="0"/>
      <w:paperSrc w:first="7" w:other="7"/>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4EDBF" w14:textId="77777777" w:rsidR="002659A6" w:rsidRDefault="002659A6">
      <w:r>
        <w:separator/>
      </w:r>
    </w:p>
  </w:endnote>
  <w:endnote w:type="continuationSeparator" w:id="0">
    <w:p w14:paraId="1A87CCF2" w14:textId="77777777" w:rsidR="002659A6" w:rsidRDefault="002659A6">
      <w:r>
        <w:continuationSeparator/>
      </w:r>
    </w:p>
  </w:endnote>
  <w:endnote w:type="continuationNotice" w:id="1">
    <w:p w14:paraId="0F09441E" w14:textId="77777777" w:rsidR="002659A6" w:rsidRDefault="002659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3F4FB" w14:textId="77777777" w:rsidR="000870D0" w:rsidRDefault="000870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C4FD8" w14:textId="77777777" w:rsidR="000870D0" w:rsidRDefault="000870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54250" w14:textId="77777777" w:rsidR="000870D0" w:rsidRDefault="000870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B34C5" w14:textId="00A7E962" w:rsidR="00A96702" w:rsidRDefault="00A96702">
    <w:pPr>
      <w:pStyle w:val="Footer"/>
      <w:rPr>
        <w:b/>
      </w:rPr>
    </w:pPr>
    <w:r>
      <w:rPr>
        <w:b/>
      </w:rPr>
      <w:t xml:space="preserve">AASB </w:t>
    </w:r>
    <w:r w:rsidR="002E3355">
      <w:rPr>
        <w:b/>
      </w:rPr>
      <w:fldChar w:fldCharType="begin" w:fldLock="1"/>
    </w:r>
    <w:r w:rsidR="002E3355">
      <w:rPr>
        <w:b/>
      </w:rPr>
      <w:instrText xml:space="preserve"> REF \* charformat DocNo </w:instrText>
    </w:r>
    <w:r w:rsidR="002E3355">
      <w:rPr>
        <w:b/>
      </w:rPr>
      <w:fldChar w:fldCharType="separate"/>
    </w:r>
    <w:r w:rsidR="000870D0" w:rsidRPr="000870D0">
      <w:rPr>
        <w:b/>
      </w:rPr>
      <w:t>2023-4</w:t>
    </w:r>
    <w:r w:rsidR="002E3355">
      <w:rPr>
        <w:b/>
      </w:rPr>
      <w:fldChar w:fldCharType="end"/>
    </w:r>
    <w:r>
      <w:rPr>
        <w:b/>
      </w:rPr>
      <w:tab/>
    </w:r>
    <w:r>
      <w:fldChar w:fldCharType="begin"/>
    </w:r>
    <w:r>
      <w:instrText>PAGE</w:instrText>
    </w:r>
    <w:r>
      <w:fldChar w:fldCharType="separate"/>
    </w:r>
    <w:r w:rsidR="001C553E">
      <w:rPr>
        <w:noProof/>
      </w:rPr>
      <w:t>2</w:t>
    </w:r>
    <w:r>
      <w:fldChar w:fldCharType="end"/>
    </w:r>
    <w:r>
      <w:tab/>
    </w:r>
    <w:r>
      <w:rPr>
        <w:b/>
        <w:bCs/>
      </w:rPr>
      <w:t>COPYRIGHT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36564" w14:textId="0DAC8814" w:rsidR="00DE28A5" w:rsidRDefault="00DE28A5">
    <w:pPr>
      <w:pStyle w:val="Footer"/>
      <w:rPr>
        <w:b/>
      </w:rPr>
    </w:pPr>
    <w:r>
      <w:rPr>
        <w:b/>
      </w:rPr>
      <w:t xml:space="preserve">AASB </w:t>
    </w:r>
    <w:r>
      <w:rPr>
        <w:b/>
      </w:rPr>
      <w:fldChar w:fldCharType="begin" w:fldLock="1"/>
    </w:r>
    <w:r>
      <w:rPr>
        <w:b/>
      </w:rPr>
      <w:instrText xml:space="preserve"> REF \* charformat DocNo </w:instrText>
    </w:r>
    <w:r>
      <w:rPr>
        <w:b/>
      </w:rPr>
      <w:fldChar w:fldCharType="separate"/>
    </w:r>
    <w:r w:rsidR="000870D0" w:rsidRPr="000870D0">
      <w:rPr>
        <w:b/>
      </w:rPr>
      <w:t>2023-4</w:t>
    </w:r>
    <w:r>
      <w:rPr>
        <w:b/>
      </w:rPr>
      <w:fldChar w:fldCharType="end"/>
    </w:r>
    <w:r>
      <w:rPr>
        <w:b/>
      </w:rPr>
      <w:tab/>
    </w:r>
    <w:r>
      <w:fldChar w:fldCharType="begin"/>
    </w:r>
    <w:r>
      <w:instrText>PAGE</w:instrText>
    </w:r>
    <w:r>
      <w:fldChar w:fldCharType="separate"/>
    </w:r>
    <w:r>
      <w:rPr>
        <w:noProof/>
      </w:rPr>
      <w:t>8</w:t>
    </w:r>
    <w:r>
      <w:fldChar w:fldCharType="end"/>
    </w:r>
    <w:r>
      <w:tab/>
    </w:r>
    <w:r>
      <w:rPr>
        <w:b/>
        <w:bCs/>
      </w:rPr>
      <w:t>CONTENTS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42E3E" w14:textId="44D72632" w:rsidR="00DE28A5" w:rsidRDefault="00DE28A5">
    <w:pPr>
      <w:pStyle w:val="Footer"/>
      <w:rPr>
        <w:b/>
      </w:rPr>
    </w:pPr>
    <w:r>
      <w:rPr>
        <w:b/>
      </w:rPr>
      <w:t xml:space="preserve">AASB </w:t>
    </w:r>
    <w:r>
      <w:rPr>
        <w:b/>
      </w:rPr>
      <w:fldChar w:fldCharType="begin" w:fldLock="1"/>
    </w:r>
    <w:r>
      <w:rPr>
        <w:b/>
      </w:rPr>
      <w:instrText xml:space="preserve"> REF \* charformat DocNo </w:instrText>
    </w:r>
    <w:r>
      <w:rPr>
        <w:b/>
      </w:rPr>
      <w:fldChar w:fldCharType="separate"/>
    </w:r>
    <w:r w:rsidR="000870D0" w:rsidRPr="000870D0">
      <w:rPr>
        <w:b/>
      </w:rPr>
      <w:t>2023-4</w:t>
    </w:r>
    <w:r>
      <w:rPr>
        <w:b/>
      </w:rPr>
      <w:fldChar w:fldCharType="end"/>
    </w:r>
    <w:r>
      <w:rPr>
        <w:b/>
      </w:rPr>
      <w:tab/>
    </w:r>
    <w:r>
      <w:fldChar w:fldCharType="begin"/>
    </w:r>
    <w:r>
      <w:instrText>PAGE</w:instrText>
    </w:r>
    <w:r>
      <w:fldChar w:fldCharType="separate"/>
    </w:r>
    <w:r>
      <w:rPr>
        <w:noProof/>
      </w:rPr>
      <w:t>9</w:t>
    </w:r>
    <w:r>
      <w:fldChar w:fldCharType="end"/>
    </w:r>
    <w:r>
      <w:tab/>
    </w:r>
    <w:r>
      <w:rPr>
        <w:b/>
        <w:bCs/>
      </w:rPr>
      <w:t>PREFACE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7E4EA" w14:textId="21203457" w:rsidR="00DE28A5" w:rsidRDefault="00DE28A5">
    <w:pPr>
      <w:pStyle w:val="Footer"/>
      <w:rPr>
        <w:b/>
      </w:rPr>
    </w:pPr>
    <w:r>
      <w:rPr>
        <w:b/>
      </w:rPr>
      <w:t xml:space="preserve">AASB </w:t>
    </w:r>
    <w:r>
      <w:rPr>
        <w:b/>
      </w:rPr>
      <w:fldChar w:fldCharType="begin" w:fldLock="1"/>
    </w:r>
    <w:r>
      <w:rPr>
        <w:b/>
      </w:rPr>
      <w:instrText xml:space="preserve"> REF \* charformat DocNo </w:instrText>
    </w:r>
    <w:r>
      <w:rPr>
        <w:b/>
      </w:rPr>
      <w:fldChar w:fldCharType="separate"/>
    </w:r>
    <w:r w:rsidR="000870D0" w:rsidRPr="000870D0">
      <w:rPr>
        <w:b/>
      </w:rPr>
      <w:t>2023-4</w:t>
    </w:r>
    <w:r>
      <w:rPr>
        <w:b/>
      </w:rPr>
      <w:fldChar w:fldCharType="end"/>
    </w:r>
    <w:r>
      <w:rPr>
        <w:b/>
      </w:rPr>
      <w:tab/>
    </w:r>
    <w:r>
      <w:fldChar w:fldCharType="begin"/>
    </w:r>
    <w:r>
      <w:instrText>PAGE</w:instrText>
    </w:r>
    <w:r>
      <w:fldChar w:fldCharType="separate"/>
    </w:r>
    <w:r>
      <w:rPr>
        <w:noProof/>
      </w:rPr>
      <w:t>14</w:t>
    </w:r>
    <w:r>
      <w:fldChar w:fldCharType="end"/>
    </w:r>
    <w:r>
      <w:tab/>
    </w:r>
    <w:r>
      <w:rPr>
        <w:b/>
        <w:bCs/>
      </w:rPr>
      <w:t>STANDARD</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4DB0A" w14:textId="6087EC13" w:rsidR="00525F84" w:rsidRDefault="00DE28A5">
    <w:pPr>
      <w:pStyle w:val="Footer"/>
      <w:rPr>
        <w:b/>
      </w:rPr>
    </w:pPr>
    <w:r>
      <w:rPr>
        <w:b/>
      </w:rPr>
      <w:t xml:space="preserve">AASB </w:t>
    </w:r>
    <w:r>
      <w:rPr>
        <w:b/>
      </w:rPr>
      <w:fldChar w:fldCharType="begin" w:fldLock="1"/>
    </w:r>
    <w:r>
      <w:rPr>
        <w:b/>
      </w:rPr>
      <w:instrText xml:space="preserve"> REF \* charformat DocNo </w:instrText>
    </w:r>
    <w:r>
      <w:rPr>
        <w:b/>
      </w:rPr>
      <w:fldChar w:fldCharType="separate"/>
    </w:r>
    <w:r w:rsidR="000870D0" w:rsidRPr="000870D0">
      <w:rPr>
        <w:b/>
      </w:rPr>
      <w:t>2023-4</w:t>
    </w:r>
    <w:r>
      <w:rPr>
        <w:b/>
      </w:rPr>
      <w:fldChar w:fldCharType="end"/>
    </w:r>
    <w:r>
      <w:rPr>
        <w:b/>
      </w:rPr>
      <w:tab/>
    </w:r>
    <w:r>
      <w:fldChar w:fldCharType="begin"/>
    </w:r>
    <w:r>
      <w:instrText>PAGE</w:instrText>
    </w:r>
    <w:r>
      <w:fldChar w:fldCharType="separate"/>
    </w:r>
    <w:r>
      <w:rPr>
        <w:noProof/>
      </w:rPr>
      <w:t>23</w:t>
    </w:r>
    <w:r>
      <w:fldChar w:fldCharType="end"/>
    </w:r>
    <w:r>
      <w:tab/>
    </w:r>
    <w:r>
      <w:rPr>
        <w:b/>
      </w:rPr>
      <w:t>BASIS FOR CONCLUSIONS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A9EF5" w14:textId="77777777" w:rsidR="002659A6" w:rsidRDefault="002659A6">
      <w:r>
        <w:separator/>
      </w:r>
    </w:p>
  </w:footnote>
  <w:footnote w:type="continuationSeparator" w:id="0">
    <w:p w14:paraId="2ECF9757" w14:textId="77777777" w:rsidR="002659A6" w:rsidRDefault="002659A6">
      <w:r>
        <w:continuationSeparator/>
      </w:r>
    </w:p>
  </w:footnote>
  <w:footnote w:type="continuationNotice" w:id="1">
    <w:p w14:paraId="76797B0D" w14:textId="77777777" w:rsidR="002659A6" w:rsidRDefault="002659A6"/>
  </w:footnote>
  <w:footnote w:id="2">
    <w:p w14:paraId="6EA403DB" w14:textId="77777777" w:rsidR="00FB4D30" w:rsidRDefault="00FB4D30" w:rsidP="00FB4D30">
      <w:pPr>
        <w:pStyle w:val="FootnoteText"/>
      </w:pPr>
      <w:r w:rsidRPr="00FB4D30">
        <w:rPr>
          <w:rStyle w:val="FootnoteReference"/>
          <w:vertAlign w:val="baseline"/>
        </w:rPr>
        <w:footnoteRef/>
      </w:r>
      <w:r w:rsidRPr="00FB4D30">
        <w:t xml:space="preserve"> </w:t>
      </w:r>
      <w:r w:rsidRPr="00C63F25">
        <w:rPr>
          <w:lang w:val="en-US"/>
        </w:rPr>
        <w:tab/>
      </w:r>
      <w:r w:rsidRPr="00C63F25">
        <w:t xml:space="preserve">AASB 1053 </w:t>
      </w:r>
      <w:r w:rsidRPr="00C63F25">
        <w:rPr>
          <w:i/>
          <w:iCs/>
        </w:rPr>
        <w:t>Application of Tiers of Australian Accounting Standards</w:t>
      </w:r>
      <w:r w:rsidRPr="00C63F25">
        <w:t xml:space="preserve"> outlines that Australian Accounting Standards consist of two tiers</w:t>
      </w:r>
      <w:r>
        <w:t xml:space="preserve"> of reporting requirements for preparing general purpose financial statements: </w:t>
      </w:r>
    </w:p>
    <w:p w14:paraId="2534E6BD" w14:textId="77777777" w:rsidR="00FB4D30" w:rsidRDefault="00FB4D30" w:rsidP="00FB4D30">
      <w:pPr>
        <w:pStyle w:val="FootnoteText"/>
        <w:ind w:left="453" w:hanging="113"/>
      </w:pPr>
      <w:r>
        <w:t xml:space="preserve">(a) </w:t>
      </w:r>
      <w:r>
        <w:tab/>
        <w:t xml:space="preserve">Tier 1: Australian Accounting Standards; and </w:t>
      </w:r>
    </w:p>
    <w:p w14:paraId="7984B600" w14:textId="77777777" w:rsidR="00FB4D30" w:rsidRPr="00442587" w:rsidRDefault="00FB4D30" w:rsidP="00FB4D30">
      <w:pPr>
        <w:pStyle w:val="FootnoteText"/>
        <w:ind w:left="453" w:hanging="113"/>
        <w:rPr>
          <w:lang w:val="en-US"/>
        </w:rPr>
      </w:pPr>
      <w:r>
        <w:t xml:space="preserve">(b) </w:t>
      </w:r>
      <w:r>
        <w:tab/>
        <w:t>Tier 2: Australian Accounting Standards – Simplified Disclosures.</w:t>
      </w:r>
    </w:p>
  </w:footnote>
  <w:footnote w:id="3">
    <w:p w14:paraId="734719EE" w14:textId="77777777" w:rsidR="00FB4D30" w:rsidRDefault="00FB4D30" w:rsidP="00FB4D30">
      <w:pPr>
        <w:pStyle w:val="FootnoteText"/>
      </w:pPr>
      <w:r w:rsidRPr="00FB4D30">
        <w:rPr>
          <w:rStyle w:val="FootnoteReference"/>
          <w:vertAlign w:val="baseline"/>
        </w:rPr>
        <w:footnoteRef/>
      </w:r>
      <w:r w:rsidRPr="00731375">
        <w:t xml:space="preserve"> </w:t>
      </w:r>
      <w:r>
        <w:tab/>
        <w:t>‘</w:t>
      </w:r>
      <w:r w:rsidRPr="00731375">
        <w:t>Pillar Two legislation</w:t>
      </w:r>
      <w:r>
        <w:t>’</w:t>
      </w:r>
      <w:r w:rsidRPr="00731375">
        <w:t xml:space="preserve"> refers to tax law enacted or substantively enacted to implement the Pillar Two model rules published by the Organisation for Economic Co-operation and Development (OECD), including tax law that implements qualified domestic minimum top-up taxes described in those rules. Income taxes arising from Pillar Two legislation are hereafter referred to as ‘Pillar Two income taxes’.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B212" w14:textId="77777777" w:rsidR="000870D0" w:rsidRDefault="000870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95DA9" w14:textId="58F511D6" w:rsidR="009636D0" w:rsidRDefault="009636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20262" w14:textId="77777777" w:rsidR="000870D0" w:rsidRDefault="000870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7DE"/>
    <w:multiLevelType w:val="multilevel"/>
    <w:tmpl w:val="8DC64E64"/>
    <w:styleLink w:val="AASBSubNumbersBold"/>
    <w:lvl w:ilvl="0">
      <w:start w:val="1"/>
      <w:numFmt w:val="none"/>
      <w:pStyle w:val="SubNumBold1"/>
      <w:suff w:val="nothing"/>
      <w:lvlText w:val="%1"/>
      <w:lvlJc w:val="left"/>
      <w:pPr>
        <w:ind w:left="1021" w:hanging="511"/>
      </w:pPr>
      <w:rPr>
        <w:rFonts w:hint="default"/>
      </w:rPr>
    </w:lvl>
    <w:lvl w:ilvl="1">
      <w:start w:val="1"/>
      <w:numFmt w:val="lowerLetter"/>
      <w:pStyle w:val="SubNumBold2"/>
      <w:lvlText w:val="(%2)"/>
      <w:lvlJc w:val="left"/>
      <w:pPr>
        <w:tabs>
          <w:tab w:val="num" w:pos="1020"/>
        </w:tabs>
        <w:ind w:left="1531" w:hanging="511"/>
      </w:pPr>
      <w:rPr>
        <w:rFonts w:hint="default"/>
      </w:rPr>
    </w:lvl>
    <w:lvl w:ilvl="2">
      <w:start w:val="1"/>
      <w:numFmt w:val="lowerRoman"/>
      <w:pStyle w:val="SubNumBold3"/>
      <w:lvlText w:val="(%3)"/>
      <w:lvlJc w:val="left"/>
      <w:pPr>
        <w:tabs>
          <w:tab w:val="num" w:pos="1530"/>
        </w:tabs>
        <w:ind w:left="2041" w:hanging="511"/>
      </w:pPr>
      <w:rPr>
        <w:rFonts w:hint="default"/>
      </w:rPr>
    </w:lvl>
    <w:lvl w:ilvl="3">
      <w:start w:val="1"/>
      <w:numFmt w:val="upperLetter"/>
      <w:pStyle w:val="SubNumBold4"/>
      <w:lvlText w:val="(%4)"/>
      <w:lvlJc w:val="left"/>
      <w:pPr>
        <w:tabs>
          <w:tab w:val="num" w:pos="2040"/>
        </w:tabs>
        <w:ind w:left="2551" w:hanging="511"/>
      </w:pPr>
      <w:rPr>
        <w:rFonts w:hint="default"/>
      </w:rPr>
    </w:lvl>
    <w:lvl w:ilvl="4">
      <w:start w:val="1"/>
      <w:numFmt w:val="lowerLetter"/>
      <w:lvlText w:val="(%5)"/>
      <w:lvlJc w:val="left"/>
      <w:pPr>
        <w:tabs>
          <w:tab w:val="num" w:pos="2550"/>
        </w:tabs>
        <w:ind w:left="3061" w:hanging="511"/>
      </w:pPr>
      <w:rPr>
        <w:rFonts w:hint="default"/>
      </w:rPr>
    </w:lvl>
    <w:lvl w:ilvl="5">
      <w:start w:val="1"/>
      <w:numFmt w:val="lowerRoman"/>
      <w:lvlText w:val="(%6)"/>
      <w:lvlJc w:val="left"/>
      <w:pPr>
        <w:tabs>
          <w:tab w:val="num" w:pos="3060"/>
        </w:tabs>
        <w:ind w:left="3571" w:hanging="511"/>
      </w:pPr>
      <w:rPr>
        <w:rFonts w:hint="default"/>
      </w:rPr>
    </w:lvl>
    <w:lvl w:ilvl="6">
      <w:start w:val="1"/>
      <w:numFmt w:val="decimal"/>
      <w:lvlText w:val="%7."/>
      <w:lvlJc w:val="left"/>
      <w:pPr>
        <w:tabs>
          <w:tab w:val="num" w:pos="3570"/>
        </w:tabs>
        <w:ind w:left="4081" w:hanging="511"/>
      </w:pPr>
      <w:rPr>
        <w:rFonts w:hint="default"/>
      </w:rPr>
    </w:lvl>
    <w:lvl w:ilvl="7">
      <w:start w:val="1"/>
      <w:numFmt w:val="lowerLetter"/>
      <w:lvlText w:val="%8."/>
      <w:lvlJc w:val="left"/>
      <w:pPr>
        <w:tabs>
          <w:tab w:val="num" w:pos="4080"/>
        </w:tabs>
        <w:ind w:left="4591" w:hanging="511"/>
      </w:pPr>
      <w:rPr>
        <w:rFonts w:hint="default"/>
      </w:rPr>
    </w:lvl>
    <w:lvl w:ilvl="8">
      <w:start w:val="1"/>
      <w:numFmt w:val="lowerRoman"/>
      <w:lvlText w:val="%9."/>
      <w:lvlJc w:val="left"/>
      <w:pPr>
        <w:tabs>
          <w:tab w:val="num" w:pos="4590"/>
        </w:tabs>
        <w:ind w:left="5101" w:hanging="511"/>
      </w:pPr>
      <w:rPr>
        <w:rFonts w:hint="default"/>
      </w:rPr>
    </w:lvl>
  </w:abstractNum>
  <w:abstractNum w:abstractNumId="1" w15:restartNumberingAfterBreak="0">
    <w:nsid w:val="03F92581"/>
    <w:multiLevelType w:val="multilevel"/>
    <w:tmpl w:val="AD5ABFF2"/>
    <w:numStyleLink w:val="AASBSubNumbers"/>
  </w:abstractNum>
  <w:abstractNum w:abstractNumId="2" w15:restartNumberingAfterBreak="0">
    <w:nsid w:val="106410F0"/>
    <w:multiLevelType w:val="multilevel"/>
    <w:tmpl w:val="FB128956"/>
    <w:numStyleLink w:val="BCNumbers"/>
  </w:abstractNum>
  <w:abstractNum w:abstractNumId="3" w15:restartNumberingAfterBreak="0">
    <w:nsid w:val="11D01EC8"/>
    <w:multiLevelType w:val="multilevel"/>
    <w:tmpl w:val="FB128956"/>
    <w:styleLink w:val="BCNumbers"/>
    <w:lvl w:ilvl="0">
      <w:start w:val="1"/>
      <w:numFmt w:val="decimal"/>
      <w:lvlText w:val="BC%1"/>
      <w:lvlJc w:val="left"/>
      <w:pPr>
        <w:ind w:left="782" w:hanging="782"/>
      </w:pPr>
      <w:rPr>
        <w:rFonts w:hint="default"/>
        <w:b w:val="0"/>
        <w:bCs w:val="0"/>
        <w:u w:val="none"/>
      </w:rPr>
    </w:lvl>
    <w:lvl w:ilvl="1">
      <w:start w:val="1"/>
      <w:numFmt w:val="lowerLetter"/>
      <w:lvlText w:val="(%2)"/>
      <w:lvlJc w:val="left"/>
      <w:pPr>
        <w:ind w:left="1564" w:hanging="782"/>
      </w:pPr>
      <w:rPr>
        <w:rFonts w:hint="default"/>
        <w:b w:val="0"/>
        <w:bCs w:val="0"/>
        <w:u w:val="none"/>
      </w:rPr>
    </w:lvl>
    <w:lvl w:ilvl="2">
      <w:start w:val="1"/>
      <w:numFmt w:val="lowerRoman"/>
      <w:lvlText w:val="(%3)"/>
      <w:lvlJc w:val="left"/>
      <w:pPr>
        <w:ind w:left="2346" w:hanging="782"/>
      </w:pPr>
      <w:rPr>
        <w:rFonts w:hint="default"/>
        <w:b w:val="0"/>
        <w:bCs w:val="0"/>
        <w:u w:val="none"/>
      </w:rPr>
    </w:lvl>
    <w:lvl w:ilvl="3">
      <w:start w:val="1"/>
      <w:numFmt w:val="upperLetter"/>
      <w:lvlText w:val="(%4)"/>
      <w:lvlJc w:val="left"/>
      <w:pPr>
        <w:ind w:left="3128" w:hanging="782"/>
      </w:pPr>
      <w:rPr>
        <w:rFonts w:hint="default"/>
        <w:b w:val="0"/>
        <w:bCs w:val="0"/>
        <w:u w:val="none"/>
      </w:rPr>
    </w:lvl>
    <w:lvl w:ilvl="4">
      <w:start w:val="1"/>
      <w:numFmt w:val="upperRoman"/>
      <w:lvlText w:val="%5"/>
      <w:lvlJc w:val="left"/>
      <w:pPr>
        <w:tabs>
          <w:tab w:val="num" w:pos="3752"/>
        </w:tabs>
        <w:ind w:left="3910" w:hanging="782"/>
      </w:pPr>
      <w:rPr>
        <w:rFonts w:hint="default"/>
        <w:b w:val="0"/>
        <w:bCs w:val="0"/>
        <w:u w:val="none"/>
      </w:rPr>
    </w:lvl>
    <w:lvl w:ilvl="5">
      <w:start w:val="1"/>
      <w:numFmt w:val="decimal"/>
      <w:lvlText w:val="%6"/>
      <w:lvlJc w:val="left"/>
      <w:pPr>
        <w:tabs>
          <w:tab w:val="num" w:pos="4534"/>
        </w:tabs>
        <w:ind w:left="4692" w:hanging="782"/>
      </w:pPr>
      <w:rPr>
        <w:rFonts w:hint="default"/>
      </w:rPr>
    </w:lvl>
    <w:lvl w:ilvl="6">
      <w:start w:val="1"/>
      <w:numFmt w:val="lowerLetter"/>
      <w:lvlText w:val="%7)"/>
      <w:lvlJc w:val="left"/>
      <w:pPr>
        <w:tabs>
          <w:tab w:val="num" w:pos="5316"/>
        </w:tabs>
        <w:ind w:left="5474" w:hanging="782"/>
      </w:pPr>
      <w:rPr>
        <w:rFonts w:hint="default"/>
      </w:rPr>
    </w:lvl>
    <w:lvl w:ilvl="7">
      <w:start w:val="1"/>
      <w:numFmt w:val="lowerRoman"/>
      <w:lvlText w:val="%8)"/>
      <w:lvlJc w:val="left"/>
      <w:pPr>
        <w:tabs>
          <w:tab w:val="num" w:pos="6098"/>
        </w:tabs>
        <w:ind w:left="6256" w:hanging="782"/>
      </w:pPr>
      <w:rPr>
        <w:rFonts w:hint="default"/>
      </w:rPr>
    </w:lvl>
    <w:lvl w:ilvl="8">
      <w:start w:val="1"/>
      <w:numFmt w:val="lowerRoman"/>
      <w:lvlText w:val="%9)"/>
      <w:lvlJc w:val="left"/>
      <w:pPr>
        <w:tabs>
          <w:tab w:val="num" w:pos="6880"/>
        </w:tabs>
        <w:ind w:left="7038" w:hanging="782"/>
      </w:pPr>
      <w:rPr>
        <w:rFonts w:hint="default"/>
      </w:rPr>
    </w:lvl>
  </w:abstractNum>
  <w:abstractNum w:abstractNumId="4" w15:restartNumberingAfterBreak="0">
    <w:nsid w:val="13E035C2"/>
    <w:multiLevelType w:val="multilevel"/>
    <w:tmpl w:val="95A2D1B2"/>
    <w:lvl w:ilvl="0">
      <w:start w:val="1"/>
      <w:numFmt w:val="decimal"/>
      <w:pStyle w:val="NumBC1"/>
      <w:lvlText w:val="BC%1"/>
      <w:lvlJc w:val="left"/>
      <w:pPr>
        <w:tabs>
          <w:tab w:val="num" w:pos="624"/>
        </w:tabs>
        <w:ind w:left="624" w:hanging="624"/>
      </w:pPr>
      <w:rPr>
        <w:rFonts w:hint="default"/>
        <w:b w:val="0"/>
        <w:bCs w:val="0"/>
        <w:u w:val="none"/>
      </w:rPr>
    </w:lvl>
    <w:lvl w:ilvl="1">
      <w:start w:val="1"/>
      <w:numFmt w:val="lowerLetter"/>
      <w:pStyle w:val="NumBC2"/>
      <w:lvlText w:val="(%2)"/>
      <w:lvlJc w:val="left"/>
      <w:pPr>
        <w:tabs>
          <w:tab w:val="num" w:pos="1247"/>
        </w:tabs>
        <w:ind w:left="1247" w:hanging="623"/>
      </w:pPr>
      <w:rPr>
        <w:rFonts w:hint="default"/>
        <w:b w:val="0"/>
        <w:bCs w:val="0"/>
        <w:u w:val="none"/>
      </w:rPr>
    </w:lvl>
    <w:lvl w:ilvl="2">
      <w:start w:val="1"/>
      <w:numFmt w:val="lowerRoman"/>
      <w:pStyle w:val="NumBC3"/>
      <w:lvlText w:val="(%3)"/>
      <w:lvlJc w:val="left"/>
      <w:pPr>
        <w:tabs>
          <w:tab w:val="num" w:pos="1871"/>
        </w:tabs>
        <w:ind w:left="1871" w:hanging="624"/>
      </w:pPr>
      <w:rPr>
        <w:rFonts w:hint="default"/>
        <w:b w:val="0"/>
        <w:bCs w:val="0"/>
        <w:u w:val="none"/>
      </w:rPr>
    </w:lvl>
    <w:lvl w:ilvl="3">
      <w:start w:val="1"/>
      <w:numFmt w:val="upperLetter"/>
      <w:pStyle w:val="NumBC4"/>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5" w15:restartNumberingAfterBreak="0">
    <w:nsid w:val="22217511"/>
    <w:multiLevelType w:val="multilevel"/>
    <w:tmpl w:val="017AF28C"/>
    <w:styleLink w:val="Bullets"/>
    <w:lvl w:ilvl="0">
      <w:start w:val="1"/>
      <w:numFmt w:val="bullet"/>
      <w:lvlText w:val=""/>
      <w:lvlJc w:val="left"/>
      <w:pPr>
        <w:ind w:left="504" w:hanging="504"/>
      </w:pPr>
      <w:rPr>
        <w:rFonts w:ascii="Symbol" w:hAnsi="Symbol" w:hint="default"/>
        <w:color w:val="auto"/>
      </w:rPr>
    </w:lvl>
    <w:lvl w:ilvl="1">
      <w:start w:val="1"/>
      <w:numFmt w:val="bullet"/>
      <w:lvlText w:val=""/>
      <w:lvlJc w:val="left"/>
      <w:pPr>
        <w:ind w:left="1008" w:hanging="504"/>
      </w:pPr>
      <w:rPr>
        <w:rFonts w:ascii="Symbol" w:hAnsi="Symbol" w:hint="default"/>
        <w:color w:val="auto"/>
      </w:rPr>
    </w:lvl>
    <w:lvl w:ilvl="2">
      <w:start w:val="1"/>
      <w:numFmt w:val="bullet"/>
      <w:lvlText w:val=""/>
      <w:lvlJc w:val="left"/>
      <w:pPr>
        <w:ind w:left="1512" w:hanging="504"/>
      </w:pPr>
      <w:rPr>
        <w:rFonts w:ascii="Symbol" w:hAnsi="Symbol" w:hint="default"/>
        <w:color w:val="auto"/>
      </w:rPr>
    </w:lvl>
    <w:lvl w:ilvl="3">
      <w:start w:val="1"/>
      <w:numFmt w:val="bullet"/>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6" w15:restartNumberingAfterBreak="0">
    <w:nsid w:val="2576465B"/>
    <w:multiLevelType w:val="multilevel"/>
    <w:tmpl w:val="D9F888A8"/>
    <w:lvl w:ilvl="0">
      <w:start w:val="1"/>
      <w:numFmt w:val="lowerLetter"/>
      <w:pStyle w:val="NumPlainA"/>
      <w:lvlText w:val="(%1)"/>
      <w:lvlJc w:val="left"/>
      <w:pPr>
        <w:tabs>
          <w:tab w:val="num" w:pos="510"/>
        </w:tabs>
        <w:ind w:left="510" w:hanging="510"/>
      </w:pPr>
      <w:rPr>
        <w:rFonts w:hint="default"/>
      </w:rPr>
    </w:lvl>
    <w:lvl w:ilvl="1">
      <w:start w:val="1"/>
      <w:numFmt w:val="lowerRoman"/>
      <w:pStyle w:val="NumPlainA2"/>
      <w:lvlText w:val="(%2)"/>
      <w:lvlJc w:val="left"/>
      <w:pPr>
        <w:tabs>
          <w:tab w:val="num" w:pos="1021"/>
        </w:tabs>
        <w:ind w:left="1021" w:hanging="51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87842C3"/>
    <w:multiLevelType w:val="hybridMultilevel"/>
    <w:tmpl w:val="EF6A72F2"/>
    <w:lvl w:ilvl="0" w:tplc="1D4EBE58">
      <w:start w:val="1"/>
      <w:numFmt w:val="decimal"/>
      <w:lvlText w:val="BC%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5BA7EAE">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A7A35E2"/>
    <w:multiLevelType w:val="multilevel"/>
    <w:tmpl w:val="AD5ABFF2"/>
    <w:styleLink w:val="AASBSubNumbers"/>
    <w:lvl w:ilvl="0">
      <w:start w:val="1"/>
      <w:numFmt w:val="none"/>
      <w:pStyle w:val="SubNumPlain1"/>
      <w:suff w:val="nothing"/>
      <w:lvlText w:val="%1"/>
      <w:lvlJc w:val="left"/>
      <w:pPr>
        <w:ind w:left="1021" w:hanging="511"/>
      </w:pPr>
      <w:rPr>
        <w:rFonts w:hint="default"/>
      </w:rPr>
    </w:lvl>
    <w:lvl w:ilvl="1">
      <w:start w:val="1"/>
      <w:numFmt w:val="lowerLetter"/>
      <w:pStyle w:val="SubNumPlain2"/>
      <w:lvlText w:val="(%2)"/>
      <w:lvlJc w:val="left"/>
      <w:pPr>
        <w:ind w:left="1531" w:hanging="511"/>
      </w:pPr>
      <w:rPr>
        <w:rFonts w:hint="default"/>
      </w:rPr>
    </w:lvl>
    <w:lvl w:ilvl="2">
      <w:start w:val="1"/>
      <w:numFmt w:val="lowerRoman"/>
      <w:pStyle w:val="SubNumPlain3"/>
      <w:lvlText w:val="(%3)"/>
      <w:lvlJc w:val="left"/>
      <w:pPr>
        <w:ind w:left="2041" w:hanging="511"/>
      </w:pPr>
      <w:rPr>
        <w:rFonts w:hint="default"/>
      </w:rPr>
    </w:lvl>
    <w:lvl w:ilvl="3">
      <w:start w:val="1"/>
      <w:numFmt w:val="upperLetter"/>
      <w:pStyle w:val="SubNumPlain4"/>
      <w:lvlText w:val="(%4)"/>
      <w:lvlJc w:val="left"/>
      <w:pPr>
        <w:ind w:left="2551" w:hanging="511"/>
      </w:pPr>
      <w:rPr>
        <w:rFonts w:hint="default"/>
      </w:rPr>
    </w:lvl>
    <w:lvl w:ilvl="4">
      <w:start w:val="1"/>
      <w:numFmt w:val="lowerLetter"/>
      <w:lvlText w:val="(%5)"/>
      <w:lvlJc w:val="left"/>
      <w:pPr>
        <w:ind w:left="3061" w:hanging="511"/>
      </w:pPr>
      <w:rPr>
        <w:rFonts w:hint="default"/>
      </w:rPr>
    </w:lvl>
    <w:lvl w:ilvl="5">
      <w:start w:val="1"/>
      <w:numFmt w:val="lowerRoman"/>
      <w:lvlText w:val="(%6)"/>
      <w:lvlJc w:val="left"/>
      <w:pPr>
        <w:ind w:left="3571" w:hanging="511"/>
      </w:pPr>
      <w:rPr>
        <w:rFonts w:hint="default"/>
      </w:rPr>
    </w:lvl>
    <w:lvl w:ilvl="6">
      <w:start w:val="1"/>
      <w:numFmt w:val="decimal"/>
      <w:lvlText w:val="%7."/>
      <w:lvlJc w:val="left"/>
      <w:pPr>
        <w:ind w:left="4081" w:hanging="511"/>
      </w:pPr>
      <w:rPr>
        <w:rFonts w:hint="default"/>
      </w:rPr>
    </w:lvl>
    <w:lvl w:ilvl="7">
      <w:start w:val="1"/>
      <w:numFmt w:val="lowerLetter"/>
      <w:lvlText w:val="%8."/>
      <w:lvlJc w:val="left"/>
      <w:pPr>
        <w:ind w:left="4591" w:hanging="511"/>
      </w:pPr>
      <w:rPr>
        <w:rFonts w:hint="default"/>
      </w:rPr>
    </w:lvl>
    <w:lvl w:ilvl="8">
      <w:start w:val="1"/>
      <w:numFmt w:val="lowerRoman"/>
      <w:lvlText w:val="%9."/>
      <w:lvlJc w:val="left"/>
      <w:pPr>
        <w:ind w:left="5101" w:hanging="511"/>
      </w:pPr>
      <w:rPr>
        <w:rFonts w:hint="default"/>
      </w:rPr>
    </w:lvl>
  </w:abstractNum>
  <w:abstractNum w:abstractNumId="9" w15:restartNumberingAfterBreak="0">
    <w:nsid w:val="2AA1279B"/>
    <w:multiLevelType w:val="multilevel"/>
    <w:tmpl w:val="7994A7A2"/>
    <w:styleLink w:val="NumPlainAlpha"/>
    <w:lvl w:ilvl="0">
      <w:start w:val="1"/>
      <w:numFmt w:val="lowerLetter"/>
      <w:lvlText w:val="(%1)"/>
      <w:lvlJc w:val="left"/>
      <w:pPr>
        <w:ind w:left="782" w:hanging="782"/>
      </w:pPr>
      <w:rPr>
        <w:rFonts w:hint="default"/>
      </w:rPr>
    </w:lvl>
    <w:lvl w:ilvl="1">
      <w:start w:val="1"/>
      <w:numFmt w:val="lowerRoman"/>
      <w:lvlText w:val="(%2)"/>
      <w:lvlJc w:val="left"/>
      <w:pPr>
        <w:ind w:left="1564" w:hanging="782"/>
      </w:pPr>
      <w:rPr>
        <w:rFonts w:hint="default"/>
      </w:rPr>
    </w:lvl>
    <w:lvl w:ilvl="2">
      <w:start w:val="1"/>
      <w:numFmt w:val="lowerRoman"/>
      <w:lvlText w:val="%3."/>
      <w:lvlJc w:val="right"/>
      <w:pPr>
        <w:tabs>
          <w:tab w:val="num" w:pos="2074"/>
        </w:tabs>
        <w:ind w:left="2346" w:hanging="782"/>
      </w:pPr>
      <w:rPr>
        <w:rFonts w:hint="default"/>
      </w:rPr>
    </w:lvl>
    <w:lvl w:ilvl="3">
      <w:start w:val="1"/>
      <w:numFmt w:val="decimal"/>
      <w:lvlText w:val="%4."/>
      <w:lvlJc w:val="left"/>
      <w:pPr>
        <w:tabs>
          <w:tab w:val="num" w:pos="2856"/>
        </w:tabs>
        <w:ind w:left="3128" w:hanging="782"/>
      </w:pPr>
      <w:rPr>
        <w:rFonts w:hint="default"/>
      </w:rPr>
    </w:lvl>
    <w:lvl w:ilvl="4">
      <w:start w:val="1"/>
      <w:numFmt w:val="lowerLetter"/>
      <w:lvlText w:val="%5."/>
      <w:lvlJc w:val="left"/>
      <w:pPr>
        <w:tabs>
          <w:tab w:val="num" w:pos="3638"/>
        </w:tabs>
        <w:ind w:left="3910" w:hanging="782"/>
      </w:pPr>
      <w:rPr>
        <w:rFonts w:hint="default"/>
      </w:rPr>
    </w:lvl>
    <w:lvl w:ilvl="5">
      <w:start w:val="1"/>
      <w:numFmt w:val="lowerRoman"/>
      <w:lvlText w:val="%6."/>
      <w:lvlJc w:val="right"/>
      <w:pPr>
        <w:tabs>
          <w:tab w:val="num" w:pos="4420"/>
        </w:tabs>
        <w:ind w:left="4692" w:hanging="782"/>
      </w:pPr>
      <w:rPr>
        <w:rFonts w:hint="default"/>
      </w:rPr>
    </w:lvl>
    <w:lvl w:ilvl="6">
      <w:start w:val="1"/>
      <w:numFmt w:val="decimal"/>
      <w:lvlText w:val="%7."/>
      <w:lvlJc w:val="left"/>
      <w:pPr>
        <w:tabs>
          <w:tab w:val="num" w:pos="5202"/>
        </w:tabs>
        <w:ind w:left="5474" w:hanging="782"/>
      </w:pPr>
      <w:rPr>
        <w:rFonts w:hint="default"/>
      </w:rPr>
    </w:lvl>
    <w:lvl w:ilvl="7">
      <w:start w:val="1"/>
      <w:numFmt w:val="lowerLetter"/>
      <w:lvlText w:val="%8."/>
      <w:lvlJc w:val="left"/>
      <w:pPr>
        <w:tabs>
          <w:tab w:val="num" w:pos="5984"/>
        </w:tabs>
        <w:ind w:left="6256" w:hanging="782"/>
      </w:pPr>
      <w:rPr>
        <w:rFonts w:hint="default"/>
      </w:rPr>
    </w:lvl>
    <w:lvl w:ilvl="8">
      <w:start w:val="1"/>
      <w:numFmt w:val="lowerRoman"/>
      <w:lvlText w:val="%9."/>
      <w:lvlJc w:val="right"/>
      <w:pPr>
        <w:tabs>
          <w:tab w:val="num" w:pos="6766"/>
        </w:tabs>
        <w:ind w:left="7038" w:hanging="782"/>
      </w:pPr>
      <w:rPr>
        <w:rFonts w:hint="default"/>
      </w:rPr>
    </w:lvl>
  </w:abstractNum>
  <w:abstractNum w:abstractNumId="10" w15:restartNumberingAfterBreak="0">
    <w:nsid w:val="36B1626F"/>
    <w:multiLevelType w:val="multilevel"/>
    <w:tmpl w:val="000ADBB8"/>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2278F7"/>
    <w:multiLevelType w:val="multilevel"/>
    <w:tmpl w:val="D8EA2116"/>
    <w:styleLink w:val="NumPlainParas"/>
    <w:lvl w:ilvl="0">
      <w:start w:val="1"/>
      <w:numFmt w:val="decimal"/>
      <w:lvlText w:val="%1"/>
      <w:lvlJc w:val="left"/>
      <w:pPr>
        <w:ind w:left="782" w:hanging="782"/>
      </w:pPr>
      <w:rPr>
        <w:rFonts w:hint="default"/>
      </w:rPr>
    </w:lvl>
    <w:lvl w:ilvl="1">
      <w:start w:val="1"/>
      <w:numFmt w:val="lowerLetter"/>
      <w:lvlText w:val="(%2)"/>
      <w:lvlJc w:val="left"/>
      <w:pPr>
        <w:ind w:left="1564" w:hanging="782"/>
      </w:pPr>
      <w:rPr>
        <w:rFonts w:hint="default"/>
      </w:rPr>
    </w:lvl>
    <w:lvl w:ilvl="2">
      <w:start w:val="1"/>
      <w:numFmt w:val="lowerRoman"/>
      <w:lvlText w:val="(%3)"/>
      <w:lvlJc w:val="left"/>
      <w:pPr>
        <w:ind w:left="2346" w:hanging="782"/>
      </w:pPr>
      <w:rPr>
        <w:rFonts w:hint="default"/>
      </w:rPr>
    </w:lvl>
    <w:lvl w:ilvl="3">
      <w:start w:val="1"/>
      <w:numFmt w:val="upperLetter"/>
      <w:lvlText w:val="(%4)"/>
      <w:lvlJc w:val="left"/>
      <w:pPr>
        <w:ind w:left="3128" w:hanging="782"/>
      </w:pPr>
      <w:rPr>
        <w:rFonts w:hint="default"/>
      </w:rPr>
    </w:lvl>
    <w:lvl w:ilvl="4">
      <w:start w:val="1"/>
      <w:numFmt w:val="lowerLetter"/>
      <w:lvlText w:val="(%5)"/>
      <w:lvlJc w:val="left"/>
      <w:pPr>
        <w:tabs>
          <w:tab w:val="num" w:pos="2651"/>
        </w:tabs>
        <w:ind w:left="3910" w:hanging="782"/>
      </w:pPr>
      <w:rPr>
        <w:rFonts w:hint="default"/>
      </w:rPr>
    </w:lvl>
    <w:lvl w:ilvl="5">
      <w:start w:val="1"/>
      <w:numFmt w:val="lowerRoman"/>
      <w:lvlText w:val="(%6)"/>
      <w:lvlJc w:val="left"/>
      <w:pPr>
        <w:tabs>
          <w:tab w:val="num" w:pos="3011"/>
        </w:tabs>
        <w:ind w:left="4692" w:hanging="782"/>
      </w:pPr>
      <w:rPr>
        <w:rFonts w:hint="default"/>
      </w:rPr>
    </w:lvl>
    <w:lvl w:ilvl="6">
      <w:start w:val="1"/>
      <w:numFmt w:val="decimal"/>
      <w:lvlText w:val="%7."/>
      <w:lvlJc w:val="left"/>
      <w:pPr>
        <w:tabs>
          <w:tab w:val="num" w:pos="3371"/>
        </w:tabs>
        <w:ind w:left="5474" w:hanging="782"/>
      </w:pPr>
      <w:rPr>
        <w:rFonts w:hint="default"/>
      </w:rPr>
    </w:lvl>
    <w:lvl w:ilvl="7">
      <w:start w:val="1"/>
      <w:numFmt w:val="lowerLetter"/>
      <w:lvlText w:val="%8."/>
      <w:lvlJc w:val="left"/>
      <w:pPr>
        <w:tabs>
          <w:tab w:val="num" w:pos="3731"/>
        </w:tabs>
        <w:ind w:left="6256" w:hanging="782"/>
      </w:pPr>
      <w:rPr>
        <w:rFonts w:hint="default"/>
      </w:rPr>
    </w:lvl>
    <w:lvl w:ilvl="8">
      <w:start w:val="1"/>
      <w:numFmt w:val="lowerRoman"/>
      <w:lvlText w:val="%9."/>
      <w:lvlJc w:val="left"/>
      <w:pPr>
        <w:tabs>
          <w:tab w:val="num" w:pos="4091"/>
        </w:tabs>
        <w:ind w:left="7038" w:hanging="782"/>
      </w:pPr>
      <w:rPr>
        <w:rFonts w:hint="default"/>
      </w:rPr>
    </w:lvl>
  </w:abstractNum>
  <w:abstractNum w:abstractNumId="12" w15:restartNumberingAfterBreak="0">
    <w:nsid w:val="55A5555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0BC6225"/>
    <w:multiLevelType w:val="hybridMultilevel"/>
    <w:tmpl w:val="B13CBF6C"/>
    <w:lvl w:ilvl="0" w:tplc="246811D6">
      <w:start w:val="1"/>
      <w:numFmt w:val="decimal"/>
      <w:lvlText w:val="%1"/>
      <w:lvlJc w:val="left"/>
      <w:pPr>
        <w:ind w:left="360" w:hanging="360"/>
      </w:pPr>
      <w:rPr>
        <w:rFonts w:hint="default"/>
        <w:b w:val="0"/>
        <w:color w:val="auto"/>
        <w:sz w:val="19"/>
        <w:szCs w:val="19"/>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61542243"/>
    <w:multiLevelType w:val="multilevel"/>
    <w:tmpl w:val="1A80FF42"/>
    <w:lvl w:ilvl="0">
      <w:start w:val="1"/>
      <w:numFmt w:val="lowerLetter"/>
      <w:pStyle w:val="NumPlain1"/>
      <w:lvlText w:val="(%1)"/>
      <w:lvlJc w:val="left"/>
      <w:pPr>
        <w:tabs>
          <w:tab w:val="num" w:pos="510"/>
        </w:tabs>
        <w:ind w:left="510" w:hanging="510"/>
      </w:pPr>
      <w:rPr>
        <w:rFonts w:hint="default"/>
      </w:rPr>
    </w:lvl>
    <w:lvl w:ilvl="1">
      <w:start w:val="1"/>
      <w:numFmt w:val="lowerLetter"/>
      <w:pStyle w:val="NumPlain2"/>
      <w:lvlText w:val="(%2)"/>
      <w:lvlJc w:val="left"/>
      <w:pPr>
        <w:tabs>
          <w:tab w:val="num" w:pos="1021"/>
        </w:tabs>
        <w:ind w:left="1021" w:hanging="511"/>
      </w:pPr>
      <w:rPr>
        <w:rFonts w:hint="default"/>
      </w:rPr>
    </w:lvl>
    <w:lvl w:ilvl="2">
      <w:start w:val="1"/>
      <w:numFmt w:val="lowerLetter"/>
      <w:lvlText w:val="(%3)"/>
      <w:lvlJc w:val="left"/>
      <w:pPr>
        <w:ind w:left="1381" w:hanging="360"/>
      </w:pPr>
      <w:rPr>
        <w:rFonts w:hint="default"/>
        <w:u w:val="none"/>
      </w:rPr>
    </w:lvl>
    <w:lvl w:ilvl="3">
      <w:start w:val="1"/>
      <w:numFmt w:val="upperLetter"/>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15" w15:restartNumberingAfterBreak="0">
    <w:nsid w:val="6D2B46A3"/>
    <w:multiLevelType w:val="multilevel"/>
    <w:tmpl w:val="A80ECEA6"/>
    <w:lvl w:ilvl="0">
      <w:start w:val="1"/>
      <w:numFmt w:val="bullet"/>
      <w:pStyle w:val="Bullet1"/>
      <w:lvlText w:val=""/>
      <w:lvlJc w:val="left"/>
      <w:pPr>
        <w:ind w:left="504" w:hanging="504"/>
      </w:pPr>
      <w:rPr>
        <w:rFonts w:ascii="Symbol" w:hAnsi="Symbol" w:hint="default"/>
        <w:color w:val="auto"/>
      </w:rPr>
    </w:lvl>
    <w:lvl w:ilvl="1">
      <w:start w:val="1"/>
      <w:numFmt w:val="bullet"/>
      <w:pStyle w:val="Bullet2"/>
      <w:lvlText w:val=""/>
      <w:lvlJc w:val="left"/>
      <w:pPr>
        <w:ind w:left="1008" w:hanging="504"/>
      </w:pPr>
      <w:rPr>
        <w:rFonts w:ascii="Symbol" w:hAnsi="Symbol" w:hint="default"/>
        <w:color w:val="auto"/>
      </w:rPr>
    </w:lvl>
    <w:lvl w:ilvl="2">
      <w:start w:val="1"/>
      <w:numFmt w:val="bullet"/>
      <w:pStyle w:val="Bullet3"/>
      <w:lvlText w:val=""/>
      <w:lvlJc w:val="left"/>
      <w:pPr>
        <w:ind w:left="1512" w:hanging="504"/>
      </w:pPr>
      <w:rPr>
        <w:rFonts w:ascii="Symbol" w:hAnsi="Symbol" w:hint="default"/>
        <w:color w:val="auto"/>
      </w:rPr>
    </w:lvl>
    <w:lvl w:ilvl="3">
      <w:start w:val="1"/>
      <w:numFmt w:val="bullet"/>
      <w:pStyle w:val="Bullet4"/>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16" w15:restartNumberingAfterBreak="0">
    <w:nsid w:val="7034512C"/>
    <w:multiLevelType w:val="hybridMultilevel"/>
    <w:tmpl w:val="87A659DC"/>
    <w:lvl w:ilvl="0" w:tplc="0D1C2E8A">
      <w:start w:val="1"/>
      <w:numFmt w:val="decimal"/>
      <w:lvlRestart w:val="0"/>
      <w:pStyle w:val="NumberedList"/>
      <w:lvlText w:val="%1."/>
      <w:lvlJc w:val="left"/>
      <w:pPr>
        <w:tabs>
          <w:tab w:val="num" w:pos="51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170919">
    <w:abstractNumId w:val="14"/>
  </w:num>
  <w:num w:numId="2" w16cid:durableId="17135367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1442790">
    <w:abstractNumId w:val="16"/>
  </w:num>
  <w:num w:numId="4" w16cid:durableId="1983653527">
    <w:abstractNumId w:val="4"/>
  </w:num>
  <w:num w:numId="5" w16cid:durableId="1305743434">
    <w:abstractNumId w:val="5"/>
  </w:num>
  <w:num w:numId="6" w16cid:durableId="1342046863">
    <w:abstractNumId w:val="15"/>
  </w:num>
  <w:num w:numId="7" w16cid:durableId="1442648032">
    <w:abstractNumId w:val="6"/>
  </w:num>
  <w:num w:numId="8" w16cid:durableId="1232616062">
    <w:abstractNumId w:val="8"/>
  </w:num>
  <w:num w:numId="9" w16cid:durableId="1973976735">
    <w:abstractNumId w:val="1"/>
  </w:num>
  <w:num w:numId="10" w16cid:durableId="1073551081">
    <w:abstractNumId w:val="0"/>
  </w:num>
  <w:num w:numId="11" w16cid:durableId="1590890177">
    <w:abstractNumId w:val="12"/>
  </w:num>
  <w:num w:numId="12" w16cid:durableId="1325209819">
    <w:abstractNumId w:val="7"/>
  </w:num>
  <w:num w:numId="13" w16cid:durableId="8013108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8549872">
    <w:abstractNumId w:val="13"/>
  </w:num>
  <w:num w:numId="15" w16cid:durableId="17744000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961294">
    <w:abstractNumId w:val="14"/>
  </w:num>
  <w:num w:numId="17" w16cid:durableId="1040081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82962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12988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9649593">
    <w:abstractNumId w:val="10"/>
  </w:num>
  <w:num w:numId="21" w16cid:durableId="623314271">
    <w:abstractNumId w:val="14"/>
  </w:num>
  <w:num w:numId="22" w16cid:durableId="12729743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9921757">
    <w:abstractNumId w:val="9"/>
  </w:num>
  <w:num w:numId="24" w16cid:durableId="8382319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695609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33112711">
    <w:abstractNumId w:val="11"/>
  </w:num>
  <w:num w:numId="27" w16cid:durableId="2421846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10853013">
    <w:abstractNumId w:val="14"/>
  </w:num>
  <w:num w:numId="29" w16cid:durableId="453717370">
    <w:abstractNumId w:val="14"/>
  </w:num>
  <w:num w:numId="30" w16cid:durableId="1127091083">
    <w:abstractNumId w:val="3"/>
  </w:num>
  <w:num w:numId="31" w16cid:durableId="317079855">
    <w:abstractNumId w:val="2"/>
  </w:num>
  <w:num w:numId="32" w16cid:durableId="111105075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24"/>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S0NDAyNTA0MDMxtzRU0lEKTi0uzszPAykwtKgFADFqJectAAAA"/>
  </w:docVars>
  <w:rsids>
    <w:rsidRoot w:val="00723FD0"/>
    <w:rsid w:val="0000292B"/>
    <w:rsid w:val="00007EB9"/>
    <w:rsid w:val="00013D06"/>
    <w:rsid w:val="000154D0"/>
    <w:rsid w:val="00017931"/>
    <w:rsid w:val="00021542"/>
    <w:rsid w:val="0002499C"/>
    <w:rsid w:val="00027B50"/>
    <w:rsid w:val="00027E8B"/>
    <w:rsid w:val="00027F99"/>
    <w:rsid w:val="00031B4B"/>
    <w:rsid w:val="00032B4C"/>
    <w:rsid w:val="00034BDC"/>
    <w:rsid w:val="000357FA"/>
    <w:rsid w:val="000372A7"/>
    <w:rsid w:val="000377D9"/>
    <w:rsid w:val="00040C54"/>
    <w:rsid w:val="0004455B"/>
    <w:rsid w:val="00045750"/>
    <w:rsid w:val="00056F12"/>
    <w:rsid w:val="00060B03"/>
    <w:rsid w:val="00061DCE"/>
    <w:rsid w:val="000625F2"/>
    <w:rsid w:val="00062893"/>
    <w:rsid w:val="00065FFD"/>
    <w:rsid w:val="00066BFE"/>
    <w:rsid w:val="00072077"/>
    <w:rsid w:val="00074133"/>
    <w:rsid w:val="000812F8"/>
    <w:rsid w:val="000870D0"/>
    <w:rsid w:val="00090A6F"/>
    <w:rsid w:val="00095640"/>
    <w:rsid w:val="00095900"/>
    <w:rsid w:val="00096027"/>
    <w:rsid w:val="000960E8"/>
    <w:rsid w:val="0009709E"/>
    <w:rsid w:val="000B39D4"/>
    <w:rsid w:val="000B4874"/>
    <w:rsid w:val="000B733C"/>
    <w:rsid w:val="000C080B"/>
    <w:rsid w:val="000C3EB0"/>
    <w:rsid w:val="000C6D5F"/>
    <w:rsid w:val="000C74D1"/>
    <w:rsid w:val="000D00E7"/>
    <w:rsid w:val="000D1DAF"/>
    <w:rsid w:val="000D7B40"/>
    <w:rsid w:val="000E1D7A"/>
    <w:rsid w:val="000E4EB0"/>
    <w:rsid w:val="000E521E"/>
    <w:rsid w:val="000F03FC"/>
    <w:rsid w:val="000F1062"/>
    <w:rsid w:val="000F30B0"/>
    <w:rsid w:val="000F64CC"/>
    <w:rsid w:val="00107672"/>
    <w:rsid w:val="00110B96"/>
    <w:rsid w:val="00115908"/>
    <w:rsid w:val="001162C5"/>
    <w:rsid w:val="001206CF"/>
    <w:rsid w:val="0012208F"/>
    <w:rsid w:val="001239A5"/>
    <w:rsid w:val="00123C73"/>
    <w:rsid w:val="00134A70"/>
    <w:rsid w:val="001373D7"/>
    <w:rsid w:val="0014043E"/>
    <w:rsid w:val="00140C57"/>
    <w:rsid w:val="001423A2"/>
    <w:rsid w:val="00142480"/>
    <w:rsid w:val="001469F6"/>
    <w:rsid w:val="00150156"/>
    <w:rsid w:val="00152233"/>
    <w:rsid w:val="001662B8"/>
    <w:rsid w:val="00167112"/>
    <w:rsid w:val="00167FE9"/>
    <w:rsid w:val="00171F51"/>
    <w:rsid w:val="001761C6"/>
    <w:rsid w:val="00177FB4"/>
    <w:rsid w:val="00181403"/>
    <w:rsid w:val="001864D4"/>
    <w:rsid w:val="00186EB1"/>
    <w:rsid w:val="0019286F"/>
    <w:rsid w:val="001978E7"/>
    <w:rsid w:val="001A0C8F"/>
    <w:rsid w:val="001A283A"/>
    <w:rsid w:val="001B325B"/>
    <w:rsid w:val="001B33A5"/>
    <w:rsid w:val="001B60EC"/>
    <w:rsid w:val="001B730D"/>
    <w:rsid w:val="001C225F"/>
    <w:rsid w:val="001C5299"/>
    <w:rsid w:val="001C553E"/>
    <w:rsid w:val="001D4D39"/>
    <w:rsid w:val="001E24B3"/>
    <w:rsid w:val="001E38A3"/>
    <w:rsid w:val="001E3F54"/>
    <w:rsid w:val="001E41A5"/>
    <w:rsid w:val="001E4E2D"/>
    <w:rsid w:val="001E65B2"/>
    <w:rsid w:val="001E75C2"/>
    <w:rsid w:val="001F78DF"/>
    <w:rsid w:val="00207690"/>
    <w:rsid w:val="002104AE"/>
    <w:rsid w:val="00212BE4"/>
    <w:rsid w:val="0022022E"/>
    <w:rsid w:val="00233840"/>
    <w:rsid w:val="00234BA4"/>
    <w:rsid w:val="00236A18"/>
    <w:rsid w:val="002420A0"/>
    <w:rsid w:val="002435B3"/>
    <w:rsid w:val="002459D5"/>
    <w:rsid w:val="0024767E"/>
    <w:rsid w:val="00253EEA"/>
    <w:rsid w:val="00254B16"/>
    <w:rsid w:val="00260A7D"/>
    <w:rsid w:val="00261FC9"/>
    <w:rsid w:val="00263702"/>
    <w:rsid w:val="00265218"/>
    <w:rsid w:val="002659A6"/>
    <w:rsid w:val="00267458"/>
    <w:rsid w:val="00272A36"/>
    <w:rsid w:val="00276BC5"/>
    <w:rsid w:val="00280663"/>
    <w:rsid w:val="0028086D"/>
    <w:rsid w:val="00281B3D"/>
    <w:rsid w:val="002822D1"/>
    <w:rsid w:val="00283482"/>
    <w:rsid w:val="00285B97"/>
    <w:rsid w:val="00287125"/>
    <w:rsid w:val="002912C3"/>
    <w:rsid w:val="0029409D"/>
    <w:rsid w:val="0029647E"/>
    <w:rsid w:val="002A11DB"/>
    <w:rsid w:val="002A201D"/>
    <w:rsid w:val="002A58E9"/>
    <w:rsid w:val="002A5D1D"/>
    <w:rsid w:val="002A7B1B"/>
    <w:rsid w:val="002B1B9B"/>
    <w:rsid w:val="002B7803"/>
    <w:rsid w:val="002C1A5D"/>
    <w:rsid w:val="002D4856"/>
    <w:rsid w:val="002D72C1"/>
    <w:rsid w:val="002E3355"/>
    <w:rsid w:val="002E3789"/>
    <w:rsid w:val="002E4387"/>
    <w:rsid w:val="002E60A8"/>
    <w:rsid w:val="002E649F"/>
    <w:rsid w:val="002F1CD0"/>
    <w:rsid w:val="002F539D"/>
    <w:rsid w:val="002F78B0"/>
    <w:rsid w:val="00303294"/>
    <w:rsid w:val="003073EC"/>
    <w:rsid w:val="00307F26"/>
    <w:rsid w:val="00312E54"/>
    <w:rsid w:val="003133D3"/>
    <w:rsid w:val="0031606C"/>
    <w:rsid w:val="003251D8"/>
    <w:rsid w:val="0033581C"/>
    <w:rsid w:val="0034243B"/>
    <w:rsid w:val="00343678"/>
    <w:rsid w:val="00343ECE"/>
    <w:rsid w:val="00347206"/>
    <w:rsid w:val="00360799"/>
    <w:rsid w:val="00364543"/>
    <w:rsid w:val="00364B30"/>
    <w:rsid w:val="00365F61"/>
    <w:rsid w:val="00366A8A"/>
    <w:rsid w:val="00367DC9"/>
    <w:rsid w:val="00373B83"/>
    <w:rsid w:val="00377B8D"/>
    <w:rsid w:val="003802D7"/>
    <w:rsid w:val="00382796"/>
    <w:rsid w:val="00383E4C"/>
    <w:rsid w:val="00387149"/>
    <w:rsid w:val="0039009E"/>
    <w:rsid w:val="00397432"/>
    <w:rsid w:val="003A09D1"/>
    <w:rsid w:val="003A1C62"/>
    <w:rsid w:val="003A3314"/>
    <w:rsid w:val="003A3CE5"/>
    <w:rsid w:val="003A42CB"/>
    <w:rsid w:val="003A488F"/>
    <w:rsid w:val="003A7795"/>
    <w:rsid w:val="003B02F3"/>
    <w:rsid w:val="003B0496"/>
    <w:rsid w:val="003B0CAA"/>
    <w:rsid w:val="003B0E71"/>
    <w:rsid w:val="003B0E8A"/>
    <w:rsid w:val="003B3220"/>
    <w:rsid w:val="003B424C"/>
    <w:rsid w:val="003B5EB9"/>
    <w:rsid w:val="003B6633"/>
    <w:rsid w:val="003C1651"/>
    <w:rsid w:val="003C1A82"/>
    <w:rsid w:val="003C33EC"/>
    <w:rsid w:val="003C3497"/>
    <w:rsid w:val="003D0B87"/>
    <w:rsid w:val="003D1DD4"/>
    <w:rsid w:val="003E0A68"/>
    <w:rsid w:val="003E1900"/>
    <w:rsid w:val="003E29BA"/>
    <w:rsid w:val="003E597F"/>
    <w:rsid w:val="003F3379"/>
    <w:rsid w:val="003F3DB2"/>
    <w:rsid w:val="0040098B"/>
    <w:rsid w:val="00401ECA"/>
    <w:rsid w:val="004067C9"/>
    <w:rsid w:val="004067EE"/>
    <w:rsid w:val="00414485"/>
    <w:rsid w:val="004150BD"/>
    <w:rsid w:val="0041540B"/>
    <w:rsid w:val="004224AB"/>
    <w:rsid w:val="00422E4D"/>
    <w:rsid w:val="004238AA"/>
    <w:rsid w:val="0042591B"/>
    <w:rsid w:val="00426876"/>
    <w:rsid w:val="00430396"/>
    <w:rsid w:val="004329D4"/>
    <w:rsid w:val="0043462E"/>
    <w:rsid w:val="00434D86"/>
    <w:rsid w:val="00436A2D"/>
    <w:rsid w:val="00440340"/>
    <w:rsid w:val="004412DE"/>
    <w:rsid w:val="00442985"/>
    <w:rsid w:val="0044702C"/>
    <w:rsid w:val="004539D3"/>
    <w:rsid w:val="00460FBB"/>
    <w:rsid w:val="004628B9"/>
    <w:rsid w:val="00466C55"/>
    <w:rsid w:val="00470CE9"/>
    <w:rsid w:val="00471295"/>
    <w:rsid w:val="004715E2"/>
    <w:rsid w:val="004730E5"/>
    <w:rsid w:val="00473D04"/>
    <w:rsid w:val="0047683E"/>
    <w:rsid w:val="0048155F"/>
    <w:rsid w:val="0048377C"/>
    <w:rsid w:val="00487CF6"/>
    <w:rsid w:val="004920F8"/>
    <w:rsid w:val="00493A8C"/>
    <w:rsid w:val="004961F8"/>
    <w:rsid w:val="004A417F"/>
    <w:rsid w:val="004A491B"/>
    <w:rsid w:val="004B038C"/>
    <w:rsid w:val="004B1857"/>
    <w:rsid w:val="004B5B4B"/>
    <w:rsid w:val="004B736C"/>
    <w:rsid w:val="004C1FD8"/>
    <w:rsid w:val="004C5BDE"/>
    <w:rsid w:val="004C6D68"/>
    <w:rsid w:val="004D1C94"/>
    <w:rsid w:val="004D3809"/>
    <w:rsid w:val="004D4D1C"/>
    <w:rsid w:val="004D67C0"/>
    <w:rsid w:val="004E1CCE"/>
    <w:rsid w:val="004F0398"/>
    <w:rsid w:val="004F0B33"/>
    <w:rsid w:val="004F3BDB"/>
    <w:rsid w:val="004F3FC2"/>
    <w:rsid w:val="004F4B09"/>
    <w:rsid w:val="004F55FE"/>
    <w:rsid w:val="00500E80"/>
    <w:rsid w:val="00504A34"/>
    <w:rsid w:val="0050782E"/>
    <w:rsid w:val="00507D9C"/>
    <w:rsid w:val="00507ED2"/>
    <w:rsid w:val="005106ED"/>
    <w:rsid w:val="00510C16"/>
    <w:rsid w:val="00511C34"/>
    <w:rsid w:val="00515805"/>
    <w:rsid w:val="005166B2"/>
    <w:rsid w:val="005175E7"/>
    <w:rsid w:val="0051790A"/>
    <w:rsid w:val="00525AB3"/>
    <w:rsid w:val="00525F84"/>
    <w:rsid w:val="0052647C"/>
    <w:rsid w:val="005319EA"/>
    <w:rsid w:val="00532410"/>
    <w:rsid w:val="0053452C"/>
    <w:rsid w:val="005352C9"/>
    <w:rsid w:val="00535EC5"/>
    <w:rsid w:val="005508B3"/>
    <w:rsid w:val="00552AAF"/>
    <w:rsid w:val="00561FEE"/>
    <w:rsid w:val="0056274D"/>
    <w:rsid w:val="005655CE"/>
    <w:rsid w:val="00571989"/>
    <w:rsid w:val="00572F44"/>
    <w:rsid w:val="005732F4"/>
    <w:rsid w:val="00573428"/>
    <w:rsid w:val="00574E24"/>
    <w:rsid w:val="005758D4"/>
    <w:rsid w:val="0057645A"/>
    <w:rsid w:val="0057673C"/>
    <w:rsid w:val="00577065"/>
    <w:rsid w:val="0057784E"/>
    <w:rsid w:val="0058004D"/>
    <w:rsid w:val="00580BC4"/>
    <w:rsid w:val="00590051"/>
    <w:rsid w:val="005938B4"/>
    <w:rsid w:val="005A2514"/>
    <w:rsid w:val="005A5207"/>
    <w:rsid w:val="005A580C"/>
    <w:rsid w:val="005A6AC7"/>
    <w:rsid w:val="005B146F"/>
    <w:rsid w:val="005C5D54"/>
    <w:rsid w:val="005C7309"/>
    <w:rsid w:val="005D02F8"/>
    <w:rsid w:val="005D67AC"/>
    <w:rsid w:val="005D7D81"/>
    <w:rsid w:val="005E6BE4"/>
    <w:rsid w:val="005F6679"/>
    <w:rsid w:val="005F7DB3"/>
    <w:rsid w:val="00602261"/>
    <w:rsid w:val="00607C80"/>
    <w:rsid w:val="0061727E"/>
    <w:rsid w:val="00624E5B"/>
    <w:rsid w:val="006252B9"/>
    <w:rsid w:val="00625A6C"/>
    <w:rsid w:val="006261F7"/>
    <w:rsid w:val="00627669"/>
    <w:rsid w:val="006318E9"/>
    <w:rsid w:val="00641282"/>
    <w:rsid w:val="00641AEC"/>
    <w:rsid w:val="00642ABF"/>
    <w:rsid w:val="00652DF8"/>
    <w:rsid w:val="00653390"/>
    <w:rsid w:val="00653536"/>
    <w:rsid w:val="00653A06"/>
    <w:rsid w:val="0066591C"/>
    <w:rsid w:val="00667405"/>
    <w:rsid w:val="00672B12"/>
    <w:rsid w:val="006843E5"/>
    <w:rsid w:val="00687B51"/>
    <w:rsid w:val="006904E0"/>
    <w:rsid w:val="006965C2"/>
    <w:rsid w:val="00696CB0"/>
    <w:rsid w:val="006A3AE9"/>
    <w:rsid w:val="006A40E5"/>
    <w:rsid w:val="006A6209"/>
    <w:rsid w:val="006A6D64"/>
    <w:rsid w:val="006B0649"/>
    <w:rsid w:val="006B0CD6"/>
    <w:rsid w:val="006C01DF"/>
    <w:rsid w:val="006C1DD1"/>
    <w:rsid w:val="006C2E37"/>
    <w:rsid w:val="006D055E"/>
    <w:rsid w:val="006D05AF"/>
    <w:rsid w:val="006D0CAD"/>
    <w:rsid w:val="006D0DF4"/>
    <w:rsid w:val="006D134A"/>
    <w:rsid w:val="006D4700"/>
    <w:rsid w:val="006D602D"/>
    <w:rsid w:val="006D7679"/>
    <w:rsid w:val="006E002A"/>
    <w:rsid w:val="006E03A1"/>
    <w:rsid w:val="006E2C39"/>
    <w:rsid w:val="006E3853"/>
    <w:rsid w:val="006F16BF"/>
    <w:rsid w:val="006F260A"/>
    <w:rsid w:val="006F643B"/>
    <w:rsid w:val="00702AF4"/>
    <w:rsid w:val="0071222C"/>
    <w:rsid w:val="00714340"/>
    <w:rsid w:val="007219F7"/>
    <w:rsid w:val="00723FD0"/>
    <w:rsid w:val="007333C2"/>
    <w:rsid w:val="00733EB6"/>
    <w:rsid w:val="007345D7"/>
    <w:rsid w:val="00737714"/>
    <w:rsid w:val="0074129B"/>
    <w:rsid w:val="00742E4B"/>
    <w:rsid w:val="00745242"/>
    <w:rsid w:val="007455F0"/>
    <w:rsid w:val="00747B37"/>
    <w:rsid w:val="00747D68"/>
    <w:rsid w:val="00747EA0"/>
    <w:rsid w:val="0075001B"/>
    <w:rsid w:val="00751F6A"/>
    <w:rsid w:val="00752B60"/>
    <w:rsid w:val="007554ED"/>
    <w:rsid w:val="00755C10"/>
    <w:rsid w:val="00755E40"/>
    <w:rsid w:val="00756FF6"/>
    <w:rsid w:val="00760C9C"/>
    <w:rsid w:val="0076127E"/>
    <w:rsid w:val="00761E43"/>
    <w:rsid w:val="00765858"/>
    <w:rsid w:val="00765CC0"/>
    <w:rsid w:val="007674E1"/>
    <w:rsid w:val="00774ECA"/>
    <w:rsid w:val="0078116B"/>
    <w:rsid w:val="00787B32"/>
    <w:rsid w:val="00792790"/>
    <w:rsid w:val="007943AA"/>
    <w:rsid w:val="007971C7"/>
    <w:rsid w:val="00797AF8"/>
    <w:rsid w:val="007A4381"/>
    <w:rsid w:val="007A6785"/>
    <w:rsid w:val="007A6BC3"/>
    <w:rsid w:val="007B0AD5"/>
    <w:rsid w:val="007B19E7"/>
    <w:rsid w:val="007B3E50"/>
    <w:rsid w:val="007C3586"/>
    <w:rsid w:val="007D3C50"/>
    <w:rsid w:val="007E2EA9"/>
    <w:rsid w:val="007E48C7"/>
    <w:rsid w:val="007F1D3D"/>
    <w:rsid w:val="0080656F"/>
    <w:rsid w:val="008114E2"/>
    <w:rsid w:val="00812637"/>
    <w:rsid w:val="00813227"/>
    <w:rsid w:val="008138B4"/>
    <w:rsid w:val="008201B0"/>
    <w:rsid w:val="00820794"/>
    <w:rsid w:val="0082379E"/>
    <w:rsid w:val="0082408C"/>
    <w:rsid w:val="00831497"/>
    <w:rsid w:val="00832A74"/>
    <w:rsid w:val="00834DDD"/>
    <w:rsid w:val="008350A1"/>
    <w:rsid w:val="00836150"/>
    <w:rsid w:val="00842334"/>
    <w:rsid w:val="008452E6"/>
    <w:rsid w:val="00845835"/>
    <w:rsid w:val="00845897"/>
    <w:rsid w:val="008459E8"/>
    <w:rsid w:val="00845EDF"/>
    <w:rsid w:val="00846F3A"/>
    <w:rsid w:val="00851516"/>
    <w:rsid w:val="00852487"/>
    <w:rsid w:val="00853758"/>
    <w:rsid w:val="0085530A"/>
    <w:rsid w:val="00860C35"/>
    <w:rsid w:val="008617AB"/>
    <w:rsid w:val="008622B9"/>
    <w:rsid w:val="00864ADE"/>
    <w:rsid w:val="00867FB0"/>
    <w:rsid w:val="0087088D"/>
    <w:rsid w:val="00871A12"/>
    <w:rsid w:val="00871E96"/>
    <w:rsid w:val="00876884"/>
    <w:rsid w:val="00877237"/>
    <w:rsid w:val="008801A1"/>
    <w:rsid w:val="00881BBE"/>
    <w:rsid w:val="00883360"/>
    <w:rsid w:val="00894FD5"/>
    <w:rsid w:val="00895809"/>
    <w:rsid w:val="008A16EB"/>
    <w:rsid w:val="008A6182"/>
    <w:rsid w:val="008B0C50"/>
    <w:rsid w:val="008B1D94"/>
    <w:rsid w:val="008B2744"/>
    <w:rsid w:val="008B4C8D"/>
    <w:rsid w:val="008B643A"/>
    <w:rsid w:val="008B6DD3"/>
    <w:rsid w:val="008C0D73"/>
    <w:rsid w:val="008C1C4A"/>
    <w:rsid w:val="008C3DDE"/>
    <w:rsid w:val="008C53B1"/>
    <w:rsid w:val="008C60B1"/>
    <w:rsid w:val="008C6BD0"/>
    <w:rsid w:val="008C77F5"/>
    <w:rsid w:val="008D2000"/>
    <w:rsid w:val="008D2894"/>
    <w:rsid w:val="008D2EBD"/>
    <w:rsid w:val="008E7EF2"/>
    <w:rsid w:val="008F0A81"/>
    <w:rsid w:val="008F19E0"/>
    <w:rsid w:val="008F3914"/>
    <w:rsid w:val="008F3EBA"/>
    <w:rsid w:val="008F4AC5"/>
    <w:rsid w:val="008F5963"/>
    <w:rsid w:val="009038C6"/>
    <w:rsid w:val="0090548E"/>
    <w:rsid w:val="0091287F"/>
    <w:rsid w:val="00912BEF"/>
    <w:rsid w:val="00913537"/>
    <w:rsid w:val="00923261"/>
    <w:rsid w:val="00923D5C"/>
    <w:rsid w:val="009244AC"/>
    <w:rsid w:val="009256B7"/>
    <w:rsid w:val="00932193"/>
    <w:rsid w:val="00934622"/>
    <w:rsid w:val="00937BD3"/>
    <w:rsid w:val="0094534B"/>
    <w:rsid w:val="00952F06"/>
    <w:rsid w:val="0095420C"/>
    <w:rsid w:val="009543FA"/>
    <w:rsid w:val="00957CF1"/>
    <w:rsid w:val="00961950"/>
    <w:rsid w:val="009636D0"/>
    <w:rsid w:val="00970C7A"/>
    <w:rsid w:val="009721DB"/>
    <w:rsid w:val="00972BFA"/>
    <w:rsid w:val="00974D88"/>
    <w:rsid w:val="00980DFF"/>
    <w:rsid w:val="0098318F"/>
    <w:rsid w:val="00987881"/>
    <w:rsid w:val="009962B8"/>
    <w:rsid w:val="009965BA"/>
    <w:rsid w:val="009B14BD"/>
    <w:rsid w:val="009B2F14"/>
    <w:rsid w:val="009B327C"/>
    <w:rsid w:val="009B3453"/>
    <w:rsid w:val="009B37FC"/>
    <w:rsid w:val="009B6535"/>
    <w:rsid w:val="009C2479"/>
    <w:rsid w:val="009C6EFC"/>
    <w:rsid w:val="009D06F8"/>
    <w:rsid w:val="009D471F"/>
    <w:rsid w:val="009D73F1"/>
    <w:rsid w:val="009D7529"/>
    <w:rsid w:val="009E05D5"/>
    <w:rsid w:val="009E0D2E"/>
    <w:rsid w:val="009E2900"/>
    <w:rsid w:val="009E69ED"/>
    <w:rsid w:val="009F07D1"/>
    <w:rsid w:val="009F5D2C"/>
    <w:rsid w:val="00A00F32"/>
    <w:rsid w:val="00A02674"/>
    <w:rsid w:val="00A05041"/>
    <w:rsid w:val="00A056A8"/>
    <w:rsid w:val="00A0570F"/>
    <w:rsid w:val="00A05971"/>
    <w:rsid w:val="00A0751C"/>
    <w:rsid w:val="00A13F82"/>
    <w:rsid w:val="00A1611D"/>
    <w:rsid w:val="00A16664"/>
    <w:rsid w:val="00A22E0D"/>
    <w:rsid w:val="00A24E17"/>
    <w:rsid w:val="00A27564"/>
    <w:rsid w:val="00A351FD"/>
    <w:rsid w:val="00A35A89"/>
    <w:rsid w:val="00A41ED3"/>
    <w:rsid w:val="00A4223E"/>
    <w:rsid w:val="00A423D2"/>
    <w:rsid w:val="00A4532F"/>
    <w:rsid w:val="00A4715A"/>
    <w:rsid w:val="00A47FA2"/>
    <w:rsid w:val="00A5079A"/>
    <w:rsid w:val="00A51A7E"/>
    <w:rsid w:val="00A51DF8"/>
    <w:rsid w:val="00A5370C"/>
    <w:rsid w:val="00A55F4F"/>
    <w:rsid w:val="00A60E50"/>
    <w:rsid w:val="00A6237D"/>
    <w:rsid w:val="00A64802"/>
    <w:rsid w:val="00A64C0A"/>
    <w:rsid w:val="00A748BA"/>
    <w:rsid w:val="00A82563"/>
    <w:rsid w:val="00A83862"/>
    <w:rsid w:val="00A8486C"/>
    <w:rsid w:val="00A923CF"/>
    <w:rsid w:val="00A93857"/>
    <w:rsid w:val="00A93D50"/>
    <w:rsid w:val="00A951CD"/>
    <w:rsid w:val="00A96702"/>
    <w:rsid w:val="00A97EB2"/>
    <w:rsid w:val="00AA14A9"/>
    <w:rsid w:val="00AA5E2C"/>
    <w:rsid w:val="00AA6DFF"/>
    <w:rsid w:val="00AB62AC"/>
    <w:rsid w:val="00AB6349"/>
    <w:rsid w:val="00AB780A"/>
    <w:rsid w:val="00AC13AD"/>
    <w:rsid w:val="00AC4315"/>
    <w:rsid w:val="00AC6743"/>
    <w:rsid w:val="00AC73E1"/>
    <w:rsid w:val="00AD1D12"/>
    <w:rsid w:val="00AD2FB7"/>
    <w:rsid w:val="00AD42DA"/>
    <w:rsid w:val="00AD6781"/>
    <w:rsid w:val="00AF08B3"/>
    <w:rsid w:val="00AF3912"/>
    <w:rsid w:val="00AF61B8"/>
    <w:rsid w:val="00B00708"/>
    <w:rsid w:val="00B055B9"/>
    <w:rsid w:val="00B065EC"/>
    <w:rsid w:val="00B07B75"/>
    <w:rsid w:val="00B110AD"/>
    <w:rsid w:val="00B123BE"/>
    <w:rsid w:val="00B156D6"/>
    <w:rsid w:val="00B16904"/>
    <w:rsid w:val="00B173D4"/>
    <w:rsid w:val="00B222D7"/>
    <w:rsid w:val="00B271BA"/>
    <w:rsid w:val="00B32691"/>
    <w:rsid w:val="00B3429E"/>
    <w:rsid w:val="00B4079B"/>
    <w:rsid w:val="00B43B03"/>
    <w:rsid w:val="00B45D55"/>
    <w:rsid w:val="00B636DC"/>
    <w:rsid w:val="00B64FCD"/>
    <w:rsid w:val="00B672B3"/>
    <w:rsid w:val="00B67830"/>
    <w:rsid w:val="00B70BEF"/>
    <w:rsid w:val="00B71497"/>
    <w:rsid w:val="00B73E3D"/>
    <w:rsid w:val="00B74237"/>
    <w:rsid w:val="00B763C2"/>
    <w:rsid w:val="00B76848"/>
    <w:rsid w:val="00B77428"/>
    <w:rsid w:val="00B7761F"/>
    <w:rsid w:val="00B77941"/>
    <w:rsid w:val="00B822FF"/>
    <w:rsid w:val="00B82F15"/>
    <w:rsid w:val="00B92BD5"/>
    <w:rsid w:val="00B97CEA"/>
    <w:rsid w:val="00BA3AB4"/>
    <w:rsid w:val="00BA4622"/>
    <w:rsid w:val="00BA5104"/>
    <w:rsid w:val="00BA64A1"/>
    <w:rsid w:val="00BA6DC3"/>
    <w:rsid w:val="00BB4C9F"/>
    <w:rsid w:val="00BB7C33"/>
    <w:rsid w:val="00BB7EE4"/>
    <w:rsid w:val="00BC0794"/>
    <w:rsid w:val="00BC0D5D"/>
    <w:rsid w:val="00BE0E8B"/>
    <w:rsid w:val="00BE2F68"/>
    <w:rsid w:val="00BE38FC"/>
    <w:rsid w:val="00BE6717"/>
    <w:rsid w:val="00BF2122"/>
    <w:rsid w:val="00BF27CB"/>
    <w:rsid w:val="00BF6738"/>
    <w:rsid w:val="00C03C7B"/>
    <w:rsid w:val="00C15955"/>
    <w:rsid w:val="00C2083E"/>
    <w:rsid w:val="00C2131A"/>
    <w:rsid w:val="00C22CE8"/>
    <w:rsid w:val="00C231DF"/>
    <w:rsid w:val="00C2501E"/>
    <w:rsid w:val="00C3493B"/>
    <w:rsid w:val="00C37458"/>
    <w:rsid w:val="00C41899"/>
    <w:rsid w:val="00C42D84"/>
    <w:rsid w:val="00C438DD"/>
    <w:rsid w:val="00C43CD1"/>
    <w:rsid w:val="00C44C8F"/>
    <w:rsid w:val="00C45020"/>
    <w:rsid w:val="00C45093"/>
    <w:rsid w:val="00C5022C"/>
    <w:rsid w:val="00C504B5"/>
    <w:rsid w:val="00C53F20"/>
    <w:rsid w:val="00C552FD"/>
    <w:rsid w:val="00C60FCF"/>
    <w:rsid w:val="00C63573"/>
    <w:rsid w:val="00C65F0E"/>
    <w:rsid w:val="00C722FF"/>
    <w:rsid w:val="00C727B3"/>
    <w:rsid w:val="00C73CAB"/>
    <w:rsid w:val="00C74248"/>
    <w:rsid w:val="00C74FC5"/>
    <w:rsid w:val="00C81632"/>
    <w:rsid w:val="00C85A2D"/>
    <w:rsid w:val="00C9249D"/>
    <w:rsid w:val="00C95D8A"/>
    <w:rsid w:val="00C96FBE"/>
    <w:rsid w:val="00CA1059"/>
    <w:rsid w:val="00CA11F2"/>
    <w:rsid w:val="00CA61C5"/>
    <w:rsid w:val="00CB413B"/>
    <w:rsid w:val="00CB4790"/>
    <w:rsid w:val="00CB5398"/>
    <w:rsid w:val="00CB719A"/>
    <w:rsid w:val="00CC1DF4"/>
    <w:rsid w:val="00CC6FCD"/>
    <w:rsid w:val="00CD0753"/>
    <w:rsid w:val="00CD5D1C"/>
    <w:rsid w:val="00CE04D1"/>
    <w:rsid w:val="00CE2F8C"/>
    <w:rsid w:val="00CE4088"/>
    <w:rsid w:val="00CF1772"/>
    <w:rsid w:val="00CF75CA"/>
    <w:rsid w:val="00CF7B67"/>
    <w:rsid w:val="00D00FD5"/>
    <w:rsid w:val="00D03498"/>
    <w:rsid w:val="00D16493"/>
    <w:rsid w:val="00D20AF5"/>
    <w:rsid w:val="00D316C1"/>
    <w:rsid w:val="00D32324"/>
    <w:rsid w:val="00D415BF"/>
    <w:rsid w:val="00D4510C"/>
    <w:rsid w:val="00D468ED"/>
    <w:rsid w:val="00D46E31"/>
    <w:rsid w:val="00D51FCF"/>
    <w:rsid w:val="00D52086"/>
    <w:rsid w:val="00D53401"/>
    <w:rsid w:val="00D54F5C"/>
    <w:rsid w:val="00D62560"/>
    <w:rsid w:val="00D6260E"/>
    <w:rsid w:val="00D65F01"/>
    <w:rsid w:val="00D67336"/>
    <w:rsid w:val="00D74038"/>
    <w:rsid w:val="00D74C6A"/>
    <w:rsid w:val="00D74D12"/>
    <w:rsid w:val="00D77664"/>
    <w:rsid w:val="00D83CDA"/>
    <w:rsid w:val="00D84986"/>
    <w:rsid w:val="00D84EEA"/>
    <w:rsid w:val="00D91641"/>
    <w:rsid w:val="00D92968"/>
    <w:rsid w:val="00D92A36"/>
    <w:rsid w:val="00D942EB"/>
    <w:rsid w:val="00D94692"/>
    <w:rsid w:val="00D95245"/>
    <w:rsid w:val="00D96A64"/>
    <w:rsid w:val="00D96B32"/>
    <w:rsid w:val="00DA0496"/>
    <w:rsid w:val="00DA2119"/>
    <w:rsid w:val="00DA2A7B"/>
    <w:rsid w:val="00DA381B"/>
    <w:rsid w:val="00DA5011"/>
    <w:rsid w:val="00DA6A0B"/>
    <w:rsid w:val="00DA73FD"/>
    <w:rsid w:val="00DA7CDB"/>
    <w:rsid w:val="00DB00CD"/>
    <w:rsid w:val="00DB7208"/>
    <w:rsid w:val="00DC63D4"/>
    <w:rsid w:val="00DC77AF"/>
    <w:rsid w:val="00DC7E1B"/>
    <w:rsid w:val="00DD1DDC"/>
    <w:rsid w:val="00DD3718"/>
    <w:rsid w:val="00DD3FCD"/>
    <w:rsid w:val="00DD7E7A"/>
    <w:rsid w:val="00DE28A5"/>
    <w:rsid w:val="00DE4E51"/>
    <w:rsid w:val="00DE5077"/>
    <w:rsid w:val="00DE6288"/>
    <w:rsid w:val="00DF1E0E"/>
    <w:rsid w:val="00DF39E3"/>
    <w:rsid w:val="00DF6CE0"/>
    <w:rsid w:val="00DF75B1"/>
    <w:rsid w:val="00E033B7"/>
    <w:rsid w:val="00E04437"/>
    <w:rsid w:val="00E06B9E"/>
    <w:rsid w:val="00E06C2F"/>
    <w:rsid w:val="00E12A23"/>
    <w:rsid w:val="00E12F57"/>
    <w:rsid w:val="00E220BD"/>
    <w:rsid w:val="00E24399"/>
    <w:rsid w:val="00E274C6"/>
    <w:rsid w:val="00E30738"/>
    <w:rsid w:val="00E37B8D"/>
    <w:rsid w:val="00E41399"/>
    <w:rsid w:val="00E4178F"/>
    <w:rsid w:val="00E46E8D"/>
    <w:rsid w:val="00E52924"/>
    <w:rsid w:val="00E55F03"/>
    <w:rsid w:val="00E60B5E"/>
    <w:rsid w:val="00E63279"/>
    <w:rsid w:val="00E637A8"/>
    <w:rsid w:val="00E65DDF"/>
    <w:rsid w:val="00E67C8E"/>
    <w:rsid w:val="00E74BD5"/>
    <w:rsid w:val="00E7592A"/>
    <w:rsid w:val="00E76E9B"/>
    <w:rsid w:val="00E77082"/>
    <w:rsid w:val="00E839DA"/>
    <w:rsid w:val="00E90B4F"/>
    <w:rsid w:val="00E915E3"/>
    <w:rsid w:val="00E9325C"/>
    <w:rsid w:val="00E93A30"/>
    <w:rsid w:val="00E94DA2"/>
    <w:rsid w:val="00E96D45"/>
    <w:rsid w:val="00E97B4B"/>
    <w:rsid w:val="00EA3004"/>
    <w:rsid w:val="00EA62DA"/>
    <w:rsid w:val="00EB2001"/>
    <w:rsid w:val="00EB4197"/>
    <w:rsid w:val="00EB4756"/>
    <w:rsid w:val="00EC0F31"/>
    <w:rsid w:val="00EC2520"/>
    <w:rsid w:val="00EC2AFD"/>
    <w:rsid w:val="00EC4AFD"/>
    <w:rsid w:val="00ED0067"/>
    <w:rsid w:val="00ED06E4"/>
    <w:rsid w:val="00ED1FE2"/>
    <w:rsid w:val="00ED557A"/>
    <w:rsid w:val="00EE1B42"/>
    <w:rsid w:val="00EE2509"/>
    <w:rsid w:val="00EE3D03"/>
    <w:rsid w:val="00EE4C27"/>
    <w:rsid w:val="00EE57D2"/>
    <w:rsid w:val="00EE6B66"/>
    <w:rsid w:val="00EE70F7"/>
    <w:rsid w:val="00EE72D1"/>
    <w:rsid w:val="00EE740D"/>
    <w:rsid w:val="00EF3A49"/>
    <w:rsid w:val="00F03163"/>
    <w:rsid w:val="00F13C5A"/>
    <w:rsid w:val="00F14BDB"/>
    <w:rsid w:val="00F15859"/>
    <w:rsid w:val="00F163E8"/>
    <w:rsid w:val="00F22AF2"/>
    <w:rsid w:val="00F25C8E"/>
    <w:rsid w:val="00F2677A"/>
    <w:rsid w:val="00F268B7"/>
    <w:rsid w:val="00F27D29"/>
    <w:rsid w:val="00F32775"/>
    <w:rsid w:val="00F35311"/>
    <w:rsid w:val="00F35AF9"/>
    <w:rsid w:val="00F424C9"/>
    <w:rsid w:val="00F50A87"/>
    <w:rsid w:val="00F606E0"/>
    <w:rsid w:val="00F621C4"/>
    <w:rsid w:val="00F6250E"/>
    <w:rsid w:val="00F66B41"/>
    <w:rsid w:val="00F704C3"/>
    <w:rsid w:val="00F70811"/>
    <w:rsid w:val="00F73463"/>
    <w:rsid w:val="00F7497F"/>
    <w:rsid w:val="00F82A0E"/>
    <w:rsid w:val="00F862E7"/>
    <w:rsid w:val="00F8693D"/>
    <w:rsid w:val="00F87FEF"/>
    <w:rsid w:val="00F933DD"/>
    <w:rsid w:val="00F970FB"/>
    <w:rsid w:val="00F97E52"/>
    <w:rsid w:val="00FA072F"/>
    <w:rsid w:val="00FA2335"/>
    <w:rsid w:val="00FB39CB"/>
    <w:rsid w:val="00FB4D30"/>
    <w:rsid w:val="00FB6955"/>
    <w:rsid w:val="00FB6EEB"/>
    <w:rsid w:val="00FC1F99"/>
    <w:rsid w:val="00FC2254"/>
    <w:rsid w:val="00FC30DA"/>
    <w:rsid w:val="00FC3C08"/>
    <w:rsid w:val="00FC64EE"/>
    <w:rsid w:val="00FD00D8"/>
    <w:rsid w:val="00FD16E4"/>
    <w:rsid w:val="00FD3BAA"/>
    <w:rsid w:val="00FD42DA"/>
    <w:rsid w:val="00FD651F"/>
    <w:rsid w:val="00FE31DC"/>
    <w:rsid w:val="00FE522E"/>
    <w:rsid w:val="00FF360D"/>
    <w:rsid w:val="00FF3B4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28A4A"/>
  <w15:docId w15:val="{0323C220-5D2F-42C5-9139-C54489C4E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5F2"/>
    <w:pPr>
      <w:jc w:val="both"/>
    </w:pPr>
    <w:rPr>
      <w:sz w:val="19"/>
      <w:lang w:eastAsia="en-US"/>
    </w:rPr>
  </w:style>
  <w:style w:type="paragraph" w:styleId="Heading1">
    <w:name w:val="heading 1"/>
    <w:basedOn w:val="Normal"/>
    <w:next w:val="Normal"/>
    <w:link w:val="Heading1Char"/>
    <w:qFormat/>
    <w:rsid w:val="003E1900"/>
    <w:pPr>
      <w:keepNext/>
      <w:spacing w:before="400" w:after="200"/>
      <w:jc w:val="left"/>
      <w:outlineLvl w:val="0"/>
    </w:pPr>
    <w:rPr>
      <w:rFonts w:ascii="Arial" w:hAnsi="Arial" w:cs="Arial"/>
      <w:b/>
      <w:bCs/>
      <w:sz w:val="26"/>
      <w:szCs w:val="32"/>
    </w:rPr>
  </w:style>
  <w:style w:type="paragraph" w:styleId="Heading2">
    <w:name w:val="heading 2"/>
    <w:basedOn w:val="Heading1"/>
    <w:next w:val="Normal"/>
    <w:qFormat/>
    <w:rsid w:val="003A42CB"/>
    <w:pPr>
      <w:pBdr>
        <w:bottom w:val="single" w:sz="4" w:space="1" w:color="auto"/>
      </w:pBdr>
      <w:outlineLvl w:val="1"/>
    </w:pPr>
    <w:rPr>
      <w:bCs w:val="0"/>
      <w:iCs/>
      <w:szCs w:val="28"/>
    </w:rPr>
  </w:style>
  <w:style w:type="paragraph" w:styleId="Heading3">
    <w:name w:val="heading 3"/>
    <w:basedOn w:val="Heading2"/>
    <w:next w:val="Normal"/>
    <w:qFormat/>
    <w:rsid w:val="001C553E"/>
    <w:pPr>
      <w:outlineLvl w:val="2"/>
    </w:pPr>
    <w:rPr>
      <w:bCs/>
      <w:szCs w:val="26"/>
    </w:rPr>
  </w:style>
  <w:style w:type="paragraph" w:styleId="Heading4">
    <w:name w:val="heading 4"/>
    <w:basedOn w:val="Heading3"/>
    <w:next w:val="Normal"/>
    <w:qFormat/>
    <w:rsid w:val="001C553E"/>
    <w:pPr>
      <w:pBdr>
        <w:bottom w:val="none" w:sz="0" w:space="0" w:color="auto"/>
      </w:pBdr>
      <w:spacing w:before="100"/>
      <w:ind w:left="782"/>
      <w:outlineLvl w:val="3"/>
    </w:pPr>
    <w:rPr>
      <w:bCs w:val="0"/>
      <w:szCs w:val="28"/>
    </w:rPr>
  </w:style>
  <w:style w:type="paragraph" w:styleId="Heading5">
    <w:name w:val="heading 5"/>
    <w:basedOn w:val="Heading4"/>
    <w:next w:val="Normal"/>
    <w:qFormat/>
    <w:rsid w:val="001C553E"/>
    <w:pPr>
      <w:outlineLvl w:val="4"/>
    </w:pPr>
    <w:rPr>
      <w:bCs/>
      <w:i/>
      <w:iCs w:val="0"/>
      <w:sz w:val="18"/>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pPr>
      <w:spacing w:line="160" w:lineRule="exact"/>
      <w:ind w:left="340" w:hanging="340"/>
    </w:pPr>
    <w:rPr>
      <w:sz w:val="16"/>
    </w:rPr>
  </w:style>
  <w:style w:type="paragraph" w:customStyle="1" w:styleId="Heading1Italic">
    <w:name w:val="Heading 1 Italic"/>
    <w:basedOn w:val="Heading1"/>
    <w:next w:val="Normal"/>
    <w:rsid w:val="00580BC4"/>
    <w:pPr>
      <w:spacing w:before="240"/>
    </w:pPr>
    <w:rPr>
      <w:i/>
    </w:rPr>
  </w:style>
  <w:style w:type="paragraph" w:customStyle="1" w:styleId="Heading2Indent1">
    <w:name w:val="Heading 2 Indent1"/>
    <w:basedOn w:val="Heading2"/>
    <w:next w:val="Normal"/>
    <w:rsid w:val="00580BC4"/>
    <w:pPr>
      <w:pBdr>
        <w:bottom w:val="none" w:sz="0" w:space="0" w:color="auto"/>
      </w:pBdr>
      <w:spacing w:before="240"/>
      <w:ind w:left="510"/>
    </w:pPr>
  </w:style>
  <w:style w:type="paragraph" w:customStyle="1" w:styleId="Heading3Indent1">
    <w:name w:val="Heading 3 Indent1"/>
    <w:basedOn w:val="Heading3"/>
    <w:next w:val="Normal"/>
    <w:rsid w:val="00580BC4"/>
    <w:pPr>
      <w:pBdr>
        <w:bottom w:val="none" w:sz="0" w:space="0" w:color="auto"/>
      </w:pBdr>
      <w:ind w:left="510"/>
    </w:pPr>
  </w:style>
  <w:style w:type="paragraph" w:customStyle="1" w:styleId="Heading4Indent1">
    <w:name w:val="Heading 4 Indent1"/>
    <w:basedOn w:val="Heading4"/>
    <w:next w:val="Normal"/>
    <w:rsid w:val="001C553E"/>
    <w:pPr>
      <w:ind w:left="1293"/>
    </w:pPr>
  </w:style>
  <w:style w:type="paragraph" w:customStyle="1" w:styleId="Heading5Indent1">
    <w:name w:val="Heading 5 Indent1"/>
    <w:basedOn w:val="Heading5"/>
    <w:next w:val="Normal"/>
    <w:rsid w:val="001C553E"/>
    <w:pPr>
      <w:ind w:left="1293"/>
    </w:pPr>
  </w:style>
  <w:style w:type="paragraph" w:customStyle="1" w:styleId="Heading6Indent1">
    <w:name w:val="Heading 6 Indent1"/>
    <w:basedOn w:val="Heading6"/>
    <w:next w:val="Normal"/>
    <w:rsid w:val="001C553E"/>
    <w:pPr>
      <w:ind w:left="1293"/>
    </w:pPr>
  </w:style>
  <w:style w:type="paragraph" w:styleId="Header">
    <w:name w:val="header"/>
    <w:basedOn w:val="Normal"/>
    <w:link w:val="HeaderChar"/>
    <w:uiPriority w:val="99"/>
    <w:rsid w:val="00D74C6A"/>
    <w:pPr>
      <w:tabs>
        <w:tab w:val="center" w:pos="4536"/>
        <w:tab w:val="right" w:pos="9072"/>
      </w:tabs>
    </w:pPr>
  </w:style>
  <w:style w:type="paragraph" w:styleId="Footer">
    <w:name w:val="footer"/>
    <w:basedOn w:val="Normal"/>
    <w:link w:val="FooterChar"/>
    <w:rsid w:val="00D74C6A"/>
    <w:pPr>
      <w:tabs>
        <w:tab w:val="center" w:pos="4536"/>
        <w:tab w:val="right" w:pos="9072"/>
      </w:tabs>
    </w:pPr>
  </w:style>
  <w:style w:type="paragraph" w:customStyle="1" w:styleId="CoverStandard">
    <w:name w:val="Cover Standard"/>
    <w:basedOn w:val="Normal"/>
    <w:next w:val="Normal"/>
    <w:pPr>
      <w:spacing w:line="280" w:lineRule="exact"/>
    </w:pPr>
    <w:rPr>
      <w:b/>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rsid w:val="00500E80"/>
    <w:pPr>
      <w:spacing w:before="800" w:after="500"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rsid w:val="00B82F15"/>
    <w:pPr>
      <w:tabs>
        <w:tab w:val="left" w:pos="907"/>
      </w:tabs>
    </w:pPr>
  </w:style>
  <w:style w:type="paragraph" w:customStyle="1" w:styleId="CoverLeadPara">
    <w:name w:val="Cover LeadPara"/>
    <w:basedOn w:val="Normal"/>
    <w:next w:val="Normal"/>
    <w:rsid w:val="00F13C5A"/>
    <w:pPr>
      <w:spacing w:after="100"/>
    </w:pPr>
  </w:style>
  <w:style w:type="paragraph" w:customStyle="1" w:styleId="ContentsCapsPlainPg">
    <w:name w:val="Contents CapsPlainPg"/>
    <w:basedOn w:val="Normal"/>
    <w:next w:val="ContentsLevel1"/>
    <w:rsid w:val="00F13C5A"/>
    <w:pPr>
      <w:tabs>
        <w:tab w:val="right" w:pos="6237"/>
      </w:tabs>
      <w:spacing w:after="200"/>
      <w:ind w:left="170" w:right="1134" w:hanging="170"/>
    </w:pPr>
  </w:style>
  <w:style w:type="paragraph" w:customStyle="1" w:styleId="ContentsLevel1">
    <w:name w:val="Contents Level1"/>
    <w:basedOn w:val="Normal"/>
    <w:qFormat/>
    <w:rsid w:val="001A0C8F"/>
    <w:pPr>
      <w:tabs>
        <w:tab w:val="right" w:pos="9072"/>
      </w:tabs>
      <w:spacing w:after="60"/>
      <w:ind w:left="170" w:right="1134" w:hanging="170"/>
      <w:jc w:val="left"/>
    </w:pPr>
    <w:rPr>
      <w:b/>
      <w:caps/>
    </w:rPr>
  </w:style>
  <w:style w:type="paragraph" w:customStyle="1" w:styleId="ContentsCapsBoldPg">
    <w:name w:val="Contents CapsBoldPg"/>
    <w:basedOn w:val="ContentsCapsPlainPg"/>
    <w:next w:val="ContentsLevel1"/>
    <w:rsid w:val="00F13C5A"/>
    <w:rPr>
      <w:b/>
    </w:rPr>
  </w:style>
  <w:style w:type="paragraph" w:customStyle="1" w:styleId="ContentsLevel2">
    <w:name w:val="Contents Level2"/>
    <w:basedOn w:val="ContentsLevel1"/>
    <w:rsid w:val="001A0C8F"/>
    <w:pPr>
      <w:ind w:left="510"/>
    </w:pPr>
    <w:rPr>
      <w:b w:val="0"/>
      <w:caps w:val="0"/>
    </w:r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rsid w:val="00972BFA"/>
    <w:pPr>
      <w:pBdr>
        <w:top w:val="single" w:sz="4" w:space="1" w:color="auto"/>
        <w:left w:val="single" w:sz="4" w:space="4" w:color="auto"/>
        <w:bottom w:val="single" w:sz="4" w:space="1" w:color="auto"/>
        <w:right w:val="single" w:sz="4" w:space="4" w:color="auto"/>
      </w:pBdr>
      <w:spacing w:after="100"/>
    </w:pPr>
  </w:style>
  <w:style w:type="paragraph" w:styleId="TOC1">
    <w:name w:val="toc 1"/>
    <w:basedOn w:val="Normal"/>
    <w:next w:val="Normal"/>
    <w:autoRedefine/>
    <w:semiHidden/>
    <w:rsid w:val="00AC4315"/>
  </w:style>
  <w:style w:type="character" w:styleId="Hyperlink">
    <w:name w:val="Hyperlink"/>
    <w:basedOn w:val="DefaultParagraphFont"/>
    <w:rsid w:val="00737714"/>
    <w:rPr>
      <w:color w:val="0000FF"/>
      <w:u w:val="single"/>
    </w:rPr>
  </w:style>
  <w:style w:type="paragraph" w:customStyle="1" w:styleId="NumPlainA">
    <w:name w:val="Num PlainA"/>
    <w:basedOn w:val="Normal"/>
    <w:qFormat/>
    <w:rsid w:val="00580BC4"/>
    <w:pPr>
      <w:numPr>
        <w:numId w:val="7"/>
      </w:numPr>
      <w:spacing w:before="100" w:after="100"/>
    </w:pPr>
  </w:style>
  <w:style w:type="paragraph" w:customStyle="1" w:styleId="NoNumPlain1">
    <w:name w:val="NoNum Plain1"/>
    <w:basedOn w:val="Normal"/>
    <w:qFormat/>
    <w:rsid w:val="00580BC4"/>
    <w:pPr>
      <w:spacing w:before="100" w:after="1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qFormat/>
    <w:rsid w:val="00580BC4"/>
    <w:pPr>
      <w:spacing w:before="100" w:after="1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qFormat/>
    <w:rsid w:val="00580BC4"/>
    <w:pPr>
      <w:numPr>
        <w:numId w:val="1"/>
      </w:numPr>
      <w:spacing w:before="100" w:after="100"/>
    </w:pPr>
  </w:style>
  <w:style w:type="paragraph" w:customStyle="1" w:styleId="NumPlain2">
    <w:name w:val="Num Plain2"/>
    <w:basedOn w:val="NumPlain1"/>
    <w:qFormat/>
    <w:rsid w:val="00426876"/>
    <w:pPr>
      <w:numPr>
        <w:ilvl w:val="1"/>
      </w:numPr>
    </w:pPr>
  </w:style>
  <w:style w:type="paragraph" w:customStyle="1" w:styleId="NumPlain3">
    <w:name w:val="Num Plain3"/>
    <w:basedOn w:val="NumPlain2"/>
    <w:qFormat/>
    <w:rsid w:val="00426876"/>
    <w:pPr>
      <w:numPr>
        <w:ilvl w:val="0"/>
        <w:numId w:val="0"/>
      </w:numPr>
    </w:pPr>
  </w:style>
  <w:style w:type="paragraph" w:customStyle="1" w:styleId="NumPlain4">
    <w:name w:val="Num Plain4"/>
    <w:basedOn w:val="NumPlain3"/>
    <w:rsid w:val="00426876"/>
  </w:style>
  <w:style w:type="paragraph" w:customStyle="1" w:styleId="Bullet1">
    <w:name w:val="Bullet1"/>
    <w:basedOn w:val="Normal"/>
    <w:qFormat/>
    <w:rsid w:val="00580BC4"/>
    <w:pPr>
      <w:numPr>
        <w:numId w:val="6"/>
      </w:numPr>
      <w:spacing w:before="100" w:after="100"/>
      <w:ind w:left="505" w:hanging="505"/>
    </w:pPr>
  </w:style>
  <w:style w:type="paragraph" w:customStyle="1" w:styleId="Bullet2">
    <w:name w:val="Bullet2"/>
    <w:basedOn w:val="Normal"/>
    <w:rsid w:val="00972BFA"/>
    <w:pPr>
      <w:numPr>
        <w:ilvl w:val="1"/>
        <w:numId w:val="6"/>
      </w:numPr>
      <w:spacing w:after="200"/>
      <w:ind w:left="1010" w:hanging="505"/>
    </w:pPr>
  </w:style>
  <w:style w:type="paragraph" w:customStyle="1" w:styleId="Bullet3">
    <w:name w:val="Bullet3"/>
    <w:basedOn w:val="Normal"/>
    <w:rsid w:val="00972BFA"/>
    <w:pPr>
      <w:numPr>
        <w:ilvl w:val="2"/>
        <w:numId w:val="6"/>
      </w:numPr>
      <w:spacing w:after="200"/>
      <w:ind w:left="1514" w:hanging="505"/>
    </w:pPr>
  </w:style>
  <w:style w:type="paragraph" w:customStyle="1" w:styleId="CommentsPage">
    <w:name w:val="CommentsPage"/>
    <w:basedOn w:val="Normal"/>
    <w:next w:val="Normal"/>
  </w:style>
  <w:style w:type="paragraph" w:customStyle="1" w:styleId="Bullet4">
    <w:name w:val="Bullet4"/>
    <w:basedOn w:val="Normal"/>
    <w:rsid w:val="00972BFA"/>
    <w:pPr>
      <w:numPr>
        <w:ilvl w:val="3"/>
        <w:numId w:val="6"/>
      </w:numPr>
      <w:spacing w:after="200"/>
      <w:ind w:left="2019" w:hanging="505"/>
    </w:pPr>
  </w:style>
  <w:style w:type="paragraph" w:customStyle="1" w:styleId="ContentsCapsPlain">
    <w:name w:val="Contents CapsPlain"/>
    <w:basedOn w:val="Normal"/>
    <w:next w:val="ContentsLevel1"/>
    <w:rsid w:val="0034243B"/>
    <w:pPr>
      <w:spacing w:after="200"/>
    </w:pPr>
    <w:rPr>
      <w:caps/>
    </w:rPr>
  </w:style>
  <w:style w:type="paragraph" w:customStyle="1" w:styleId="ContentsCapsBold">
    <w:name w:val="Contents CapsBold"/>
    <w:basedOn w:val="ContentsCapsPlain"/>
    <w:next w:val="ContentsLevel1"/>
    <w:rsid w:val="00F13C5A"/>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ContentsLevel1NoIndent">
    <w:name w:val="Contents Level1 NoIndent"/>
    <w:basedOn w:val="ContentsLevel1"/>
    <w:pPr>
      <w:ind w:left="0" w:firstLine="0"/>
    </w:pPr>
  </w:style>
  <w:style w:type="paragraph" w:customStyle="1" w:styleId="AppendixNo">
    <w:name w:val="AppendixNo"/>
    <w:basedOn w:val="Normal"/>
    <w:next w:val="Normal"/>
    <w:rsid w:val="000625F2"/>
    <w:pPr>
      <w:keepNext/>
      <w:spacing w:after="200"/>
      <w:jc w:val="left"/>
      <w:outlineLvl w:val="0"/>
    </w:pPr>
    <w:rPr>
      <w:rFonts w:ascii="Arial" w:hAnsi="Arial"/>
      <w:b/>
      <w:sz w:val="26"/>
      <w:szCs w:val="28"/>
    </w:rPr>
  </w:style>
  <w:style w:type="paragraph" w:customStyle="1" w:styleId="BCHanging0">
    <w:name w:val="BC Hanging0"/>
    <w:basedOn w:val="NoNumPlain1"/>
    <w:qFormat/>
    <w:rsid w:val="0058004D"/>
    <w:pPr>
      <w:ind w:left="624" w:hanging="624"/>
    </w:pPr>
  </w:style>
  <w:style w:type="paragraph" w:customStyle="1" w:styleId="AppendixNote">
    <w:name w:val="AppendixNote"/>
    <w:basedOn w:val="Normal"/>
    <w:next w:val="Normal"/>
    <w:rsid w:val="00972BFA"/>
    <w:pPr>
      <w:spacing w:after="200"/>
    </w:pPr>
    <w:rPr>
      <w:i/>
      <w:iCs/>
    </w:rPr>
  </w:style>
  <w:style w:type="paragraph" w:customStyle="1" w:styleId="AppendixText">
    <w:name w:val="AppendixText"/>
    <w:basedOn w:val="Normal"/>
    <w:rsid w:val="00580BC4"/>
    <w:pPr>
      <w:spacing w:before="100" w:after="100"/>
    </w:pPr>
  </w:style>
  <w:style w:type="paragraph" w:customStyle="1" w:styleId="AppendixTitle">
    <w:name w:val="AppendixTitle"/>
    <w:basedOn w:val="Normal"/>
    <w:next w:val="AppendixNote"/>
    <w:rsid w:val="000625F2"/>
    <w:pPr>
      <w:keepNext/>
      <w:spacing w:after="200"/>
      <w:jc w:val="left"/>
      <w:outlineLvl w:val="0"/>
    </w:pPr>
    <w:rPr>
      <w:rFonts w:ascii="Arial" w:hAnsi="Arial"/>
      <w:b/>
      <w:sz w:val="26"/>
      <w:szCs w:val="28"/>
    </w:rPr>
  </w:style>
  <w:style w:type="paragraph" w:customStyle="1" w:styleId="NoNumBC2">
    <w:name w:val="NoNum BC2"/>
    <w:basedOn w:val="NoNumPlain1"/>
    <w:rsid w:val="0058004D"/>
    <w:pPr>
      <w:ind w:left="624"/>
    </w:pPr>
  </w:style>
  <w:style w:type="paragraph" w:customStyle="1" w:styleId="BCHanging1">
    <w:name w:val="BC Hanging1"/>
    <w:basedOn w:val="NoNumBC2"/>
    <w:rsid w:val="0058004D"/>
    <w:pPr>
      <w:ind w:left="1248" w:hanging="624"/>
    </w:pPr>
  </w:style>
  <w:style w:type="paragraph" w:customStyle="1" w:styleId="BCHanging2">
    <w:name w:val="BC Hanging2"/>
    <w:basedOn w:val="BCHanging1"/>
    <w:rsid w:val="0058004D"/>
    <w:pPr>
      <w:ind w:left="1871"/>
    </w:pPr>
  </w:style>
  <w:style w:type="paragraph" w:customStyle="1" w:styleId="BCHanging3">
    <w:name w:val="BC Hanging3"/>
    <w:basedOn w:val="BCHanging1"/>
    <w:rsid w:val="0058004D"/>
    <w:pPr>
      <w:ind w:left="2495"/>
    </w:pPr>
  </w:style>
  <w:style w:type="paragraph" w:customStyle="1" w:styleId="CoverSubtitle">
    <w:name w:val="Cover Subtitle"/>
    <w:basedOn w:val="CoverTitle"/>
    <w:rsid w:val="00500E80"/>
    <w:pPr>
      <w:spacing w:before="0" w:after="0"/>
    </w:pPr>
    <w:rPr>
      <w:sz w:val="40"/>
      <w:szCs w:val="40"/>
    </w:rPr>
  </w:style>
  <w:style w:type="paragraph" w:customStyle="1" w:styleId="NumberedList">
    <w:name w:val="NumberedList"/>
    <w:basedOn w:val="Normal"/>
    <w:qFormat/>
    <w:rsid w:val="00580BC4"/>
    <w:pPr>
      <w:numPr>
        <w:numId w:val="3"/>
      </w:numPr>
      <w:spacing w:before="100" w:after="100"/>
    </w:pPr>
  </w:style>
  <w:style w:type="paragraph" w:customStyle="1" w:styleId="NumBold1">
    <w:name w:val="Num Bold1"/>
    <w:basedOn w:val="NumPlain1"/>
    <w:qFormat/>
    <w:rsid w:val="00027E8B"/>
    <w:rPr>
      <w:b/>
    </w:rPr>
  </w:style>
  <w:style w:type="paragraph" w:customStyle="1" w:styleId="NumBold2">
    <w:name w:val="Num Bold2"/>
    <w:basedOn w:val="NumPlain2"/>
    <w:rsid w:val="00027E8B"/>
    <w:rPr>
      <w:b/>
    </w:rPr>
  </w:style>
  <w:style w:type="paragraph" w:customStyle="1" w:styleId="NumBold3">
    <w:name w:val="Num Bold3"/>
    <w:basedOn w:val="NumPlain3"/>
    <w:rsid w:val="00027E8B"/>
    <w:rPr>
      <w:b/>
    </w:rPr>
  </w:style>
  <w:style w:type="paragraph" w:customStyle="1" w:styleId="NumBold4">
    <w:name w:val="Num Bold4"/>
    <w:basedOn w:val="NumPlain4"/>
    <w:rsid w:val="00027E8B"/>
    <w:rPr>
      <w:b/>
    </w:rPr>
  </w:style>
  <w:style w:type="paragraph" w:customStyle="1" w:styleId="PlainHanging1">
    <w:name w:val="Plain Hanging1"/>
    <w:basedOn w:val="NoNumPlain2"/>
    <w:rsid w:val="0039009E"/>
    <w:pPr>
      <w:ind w:left="1020" w:hanging="510"/>
    </w:pPr>
  </w:style>
  <w:style w:type="paragraph" w:customStyle="1" w:styleId="PlainHanging2">
    <w:name w:val="Plain Hanging2"/>
    <w:basedOn w:val="PlainHanging1"/>
    <w:rsid w:val="0039009E"/>
    <w:pPr>
      <w:ind w:left="1531"/>
    </w:pPr>
  </w:style>
  <w:style w:type="paragraph" w:customStyle="1" w:styleId="PlainHanging3">
    <w:name w:val="Plain Hanging3"/>
    <w:basedOn w:val="PlainHanging1"/>
    <w:rsid w:val="0039009E"/>
    <w:pPr>
      <w:ind w:left="2041"/>
    </w:pPr>
  </w:style>
  <w:style w:type="paragraph" w:customStyle="1" w:styleId="PlainHanging4">
    <w:name w:val="Plain Hanging4"/>
    <w:basedOn w:val="PlainHanging1"/>
    <w:rsid w:val="0039009E"/>
    <w:pPr>
      <w:ind w:left="2551"/>
    </w:pPr>
  </w:style>
  <w:style w:type="paragraph" w:customStyle="1" w:styleId="BoldHanging1">
    <w:name w:val="Bold Hanging1"/>
    <w:basedOn w:val="PlainHanging1"/>
    <w:rsid w:val="0039009E"/>
    <w:rPr>
      <w:b/>
    </w:rPr>
  </w:style>
  <w:style w:type="paragraph" w:customStyle="1" w:styleId="BoldHanging2">
    <w:name w:val="Bold Hanging2"/>
    <w:basedOn w:val="PlainHanging2"/>
    <w:rsid w:val="0039009E"/>
    <w:rPr>
      <w:b/>
    </w:rPr>
  </w:style>
  <w:style w:type="paragraph" w:customStyle="1" w:styleId="BoldHanging3">
    <w:name w:val="Bold Hanging3"/>
    <w:basedOn w:val="PlainHanging3"/>
    <w:rsid w:val="0039009E"/>
    <w:rPr>
      <w:b/>
    </w:rPr>
  </w:style>
  <w:style w:type="paragraph" w:customStyle="1" w:styleId="BoldHanging4">
    <w:name w:val="Bold Hanging4"/>
    <w:basedOn w:val="PlainHanging4"/>
    <w:rsid w:val="0039009E"/>
    <w:rPr>
      <w:b/>
    </w:rPr>
  </w:style>
  <w:style w:type="paragraph" w:customStyle="1" w:styleId="PlainHanging0">
    <w:name w:val="Plain Hanging0"/>
    <w:basedOn w:val="PlainHanging1"/>
    <w:qFormat/>
    <w:rsid w:val="003A488F"/>
    <w:pPr>
      <w:ind w:left="510"/>
    </w:pPr>
  </w:style>
  <w:style w:type="paragraph" w:customStyle="1" w:styleId="BoldHanging0">
    <w:name w:val="Bold Hanging0"/>
    <w:basedOn w:val="PlainHanging0"/>
    <w:qFormat/>
    <w:rsid w:val="003A488F"/>
    <w:rPr>
      <w:b/>
    </w:rPr>
  </w:style>
  <w:style w:type="paragraph" w:customStyle="1" w:styleId="BCHanging4">
    <w:name w:val="BC Hanging4"/>
    <w:basedOn w:val="BCHanging1"/>
    <w:rsid w:val="0058004D"/>
    <w:pPr>
      <w:ind w:left="3119"/>
    </w:pPr>
  </w:style>
  <w:style w:type="paragraph" w:customStyle="1" w:styleId="NoNumBC3">
    <w:name w:val="NoNum BC3"/>
    <w:basedOn w:val="NoNumBC2"/>
    <w:rsid w:val="0058004D"/>
    <w:pPr>
      <w:ind w:left="1247"/>
    </w:pPr>
  </w:style>
  <w:style w:type="paragraph" w:customStyle="1" w:styleId="NoNumBC4">
    <w:name w:val="NoNum BC4"/>
    <w:basedOn w:val="NoNumBC3"/>
    <w:rsid w:val="0058004D"/>
    <w:pPr>
      <w:ind w:left="1871"/>
    </w:pPr>
  </w:style>
  <w:style w:type="paragraph" w:customStyle="1" w:styleId="NumBC1">
    <w:name w:val="Num BC1"/>
    <w:basedOn w:val="Normal"/>
    <w:qFormat/>
    <w:rsid w:val="00580BC4"/>
    <w:pPr>
      <w:numPr>
        <w:numId w:val="4"/>
      </w:numPr>
      <w:spacing w:before="100" w:after="100"/>
    </w:pPr>
  </w:style>
  <w:style w:type="paragraph" w:customStyle="1" w:styleId="NumBC2">
    <w:name w:val="Num BC2"/>
    <w:basedOn w:val="NumBC1"/>
    <w:rsid w:val="00426876"/>
    <w:pPr>
      <w:numPr>
        <w:ilvl w:val="1"/>
      </w:numPr>
    </w:pPr>
  </w:style>
  <w:style w:type="paragraph" w:customStyle="1" w:styleId="NumBC3">
    <w:name w:val="Num BC3"/>
    <w:basedOn w:val="NumBC2"/>
    <w:rsid w:val="00426876"/>
    <w:pPr>
      <w:numPr>
        <w:ilvl w:val="2"/>
      </w:numPr>
    </w:pPr>
  </w:style>
  <w:style w:type="paragraph" w:customStyle="1" w:styleId="NumBC4">
    <w:name w:val="Num BC4"/>
    <w:basedOn w:val="NumBC3"/>
    <w:rsid w:val="00426876"/>
    <w:pPr>
      <w:numPr>
        <w:ilvl w:val="3"/>
      </w:numPr>
    </w:pPr>
  </w:style>
  <w:style w:type="numbering" w:customStyle="1" w:styleId="Bullets">
    <w:name w:val="Bullets"/>
    <w:uiPriority w:val="99"/>
    <w:rsid w:val="00F27D29"/>
    <w:pPr>
      <w:numPr>
        <w:numId w:val="5"/>
      </w:numPr>
    </w:pPr>
  </w:style>
  <w:style w:type="paragraph" w:customStyle="1" w:styleId="NumPlainA2">
    <w:name w:val="Num PlainA2"/>
    <w:basedOn w:val="NumPlainA"/>
    <w:rsid w:val="00171F51"/>
    <w:pPr>
      <w:numPr>
        <w:ilvl w:val="1"/>
      </w:numPr>
      <w:outlineLvl w:val="1"/>
    </w:pPr>
  </w:style>
  <w:style w:type="table" w:styleId="TableGrid">
    <w:name w:val="Table Grid"/>
    <w:basedOn w:val="TableNormal"/>
    <w:rsid w:val="00C03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NumPlain1">
    <w:name w:val="SubNum Plain1"/>
    <w:basedOn w:val="PlainHanging1"/>
    <w:qFormat/>
    <w:rsid w:val="00A96702"/>
    <w:pPr>
      <w:numPr>
        <w:numId w:val="9"/>
      </w:numPr>
    </w:pPr>
  </w:style>
  <w:style w:type="paragraph" w:customStyle="1" w:styleId="SubNumPlain2">
    <w:name w:val="SubNum Plain2"/>
    <w:basedOn w:val="PlainHanging2"/>
    <w:qFormat/>
    <w:rsid w:val="00A96702"/>
    <w:pPr>
      <w:numPr>
        <w:ilvl w:val="1"/>
        <w:numId w:val="9"/>
      </w:numPr>
    </w:pPr>
  </w:style>
  <w:style w:type="paragraph" w:customStyle="1" w:styleId="SubNumPlain3">
    <w:name w:val="SubNum Plain3"/>
    <w:basedOn w:val="PlainHanging3"/>
    <w:qFormat/>
    <w:rsid w:val="00A96702"/>
    <w:pPr>
      <w:numPr>
        <w:ilvl w:val="2"/>
        <w:numId w:val="9"/>
      </w:numPr>
    </w:pPr>
  </w:style>
  <w:style w:type="paragraph" w:customStyle="1" w:styleId="SubNumPlain4">
    <w:name w:val="SubNum Plain4"/>
    <w:basedOn w:val="PlainHanging4"/>
    <w:qFormat/>
    <w:rsid w:val="00A96702"/>
    <w:pPr>
      <w:numPr>
        <w:ilvl w:val="3"/>
        <w:numId w:val="9"/>
      </w:numPr>
    </w:pPr>
  </w:style>
  <w:style w:type="paragraph" w:customStyle="1" w:styleId="SubNumBold1">
    <w:name w:val="SubNum Bold1"/>
    <w:basedOn w:val="BoldHanging1"/>
    <w:qFormat/>
    <w:rsid w:val="00A96702"/>
    <w:pPr>
      <w:numPr>
        <w:numId w:val="10"/>
      </w:numPr>
    </w:pPr>
  </w:style>
  <w:style w:type="paragraph" w:customStyle="1" w:styleId="SubNumBold2">
    <w:name w:val="SubNum Bold2"/>
    <w:basedOn w:val="BoldHanging2"/>
    <w:qFormat/>
    <w:rsid w:val="00A96702"/>
    <w:pPr>
      <w:numPr>
        <w:ilvl w:val="1"/>
        <w:numId w:val="10"/>
      </w:numPr>
    </w:pPr>
  </w:style>
  <w:style w:type="paragraph" w:customStyle="1" w:styleId="SubNumBold3">
    <w:name w:val="SubNum Bold3"/>
    <w:basedOn w:val="BoldHanging3"/>
    <w:qFormat/>
    <w:rsid w:val="00A96702"/>
    <w:pPr>
      <w:numPr>
        <w:ilvl w:val="2"/>
        <w:numId w:val="10"/>
      </w:numPr>
    </w:pPr>
  </w:style>
  <w:style w:type="paragraph" w:customStyle="1" w:styleId="SubNumBold4">
    <w:name w:val="SubNum Bold4"/>
    <w:basedOn w:val="BoldHanging4"/>
    <w:qFormat/>
    <w:rsid w:val="00A96702"/>
    <w:pPr>
      <w:numPr>
        <w:ilvl w:val="3"/>
        <w:numId w:val="10"/>
      </w:numPr>
    </w:pPr>
  </w:style>
  <w:style w:type="numbering" w:customStyle="1" w:styleId="AASBSubNumbers">
    <w:name w:val="AASB SubNumbers"/>
    <w:uiPriority w:val="99"/>
    <w:rsid w:val="00A96702"/>
    <w:pPr>
      <w:numPr>
        <w:numId w:val="8"/>
      </w:numPr>
    </w:pPr>
  </w:style>
  <w:style w:type="numbering" w:customStyle="1" w:styleId="AASBSubNumbersBold">
    <w:name w:val="AASB SubNumbers Bold"/>
    <w:uiPriority w:val="99"/>
    <w:rsid w:val="00A96702"/>
    <w:pPr>
      <w:numPr>
        <w:numId w:val="10"/>
      </w:numPr>
    </w:pPr>
  </w:style>
  <w:style w:type="character" w:customStyle="1" w:styleId="NumPlain1Char">
    <w:name w:val="Num Plain1 Char"/>
    <w:basedOn w:val="DefaultParagraphFont"/>
    <w:link w:val="NumPlain1"/>
    <w:rsid w:val="000812F8"/>
    <w:rPr>
      <w:sz w:val="19"/>
      <w:lang w:eastAsia="en-US"/>
    </w:rPr>
  </w:style>
  <w:style w:type="paragraph" w:styleId="BalloonText">
    <w:name w:val="Balloon Text"/>
    <w:basedOn w:val="Normal"/>
    <w:link w:val="BalloonTextChar"/>
    <w:semiHidden/>
    <w:unhideWhenUsed/>
    <w:rsid w:val="001A0C8F"/>
    <w:rPr>
      <w:rFonts w:ascii="Segoe UI" w:hAnsi="Segoe UI" w:cs="Segoe UI"/>
      <w:sz w:val="18"/>
      <w:szCs w:val="18"/>
    </w:rPr>
  </w:style>
  <w:style w:type="character" w:customStyle="1" w:styleId="BalloonTextChar">
    <w:name w:val="Balloon Text Char"/>
    <w:basedOn w:val="DefaultParagraphFont"/>
    <w:link w:val="BalloonText"/>
    <w:semiHidden/>
    <w:rsid w:val="001A0C8F"/>
    <w:rPr>
      <w:rFonts w:ascii="Segoe UI" w:hAnsi="Segoe UI" w:cs="Segoe UI"/>
      <w:sz w:val="18"/>
      <w:szCs w:val="18"/>
      <w:lang w:eastAsia="en-US"/>
    </w:rPr>
  </w:style>
  <w:style w:type="character" w:customStyle="1" w:styleId="HeaderChar">
    <w:name w:val="Header Char"/>
    <w:basedOn w:val="DefaultParagraphFont"/>
    <w:link w:val="Header"/>
    <w:uiPriority w:val="99"/>
    <w:rsid w:val="00883360"/>
    <w:rPr>
      <w:sz w:val="19"/>
      <w:lang w:eastAsia="en-US"/>
    </w:rPr>
  </w:style>
  <w:style w:type="paragraph" w:customStyle="1" w:styleId="IASBNormalnpara">
    <w:name w:val="IASB Normal npara"/>
    <w:basedOn w:val="Normal"/>
    <w:rsid w:val="00A4532F"/>
    <w:pPr>
      <w:spacing w:before="100"/>
      <w:ind w:left="782" w:hanging="782"/>
    </w:pPr>
    <w:rPr>
      <w:lang w:val="en-US"/>
    </w:rPr>
  </w:style>
  <w:style w:type="paragraph" w:customStyle="1" w:styleId="IASBSectionTitle1NonInd">
    <w:name w:val="IASB Section Title 1 NonInd"/>
    <w:basedOn w:val="Normal"/>
    <w:link w:val="IASBSectionTitle1NonIndChar"/>
    <w:uiPriority w:val="8"/>
    <w:rsid w:val="00A4532F"/>
    <w:pPr>
      <w:keepNext/>
      <w:keepLines/>
      <w:pBdr>
        <w:bottom w:val="single" w:sz="4" w:space="0" w:color="auto"/>
      </w:pBdr>
      <w:spacing w:before="400" w:after="200"/>
      <w:jc w:val="left"/>
    </w:pPr>
    <w:rPr>
      <w:rFonts w:ascii="Arial" w:hAnsi="Arial" w:cs="Arial"/>
      <w:b/>
      <w:sz w:val="26"/>
      <w:lang w:val="en-US"/>
    </w:rPr>
  </w:style>
  <w:style w:type="paragraph" w:customStyle="1" w:styleId="IASBSectionTitle2Ind">
    <w:name w:val="IASB Section Title 2 Ind"/>
    <w:basedOn w:val="Normal"/>
    <w:rsid w:val="00A4532F"/>
    <w:pPr>
      <w:keepNext/>
      <w:keepLines/>
      <w:spacing w:before="240" w:after="200"/>
      <w:ind w:left="782"/>
      <w:jc w:val="left"/>
    </w:pPr>
    <w:rPr>
      <w:rFonts w:ascii="Arial" w:hAnsi="Arial" w:cs="Arial"/>
      <w:b/>
      <w:sz w:val="26"/>
      <w:lang w:val="en-US"/>
    </w:rPr>
  </w:style>
  <w:style w:type="paragraph" w:customStyle="1" w:styleId="IASBSectionTitle3Ind">
    <w:name w:val="IASB Section Title 3 Ind"/>
    <w:basedOn w:val="Normal"/>
    <w:uiPriority w:val="8"/>
    <w:qFormat/>
    <w:rsid w:val="00A4532F"/>
    <w:pPr>
      <w:keepNext/>
      <w:keepLines/>
      <w:spacing w:before="240" w:after="200"/>
      <w:ind w:left="782"/>
      <w:jc w:val="left"/>
    </w:pPr>
    <w:rPr>
      <w:rFonts w:ascii="Arial" w:hAnsi="Arial" w:cs="Arial"/>
      <w:b/>
      <w:sz w:val="22"/>
      <w:lang w:val="en-US"/>
    </w:rPr>
  </w:style>
  <w:style w:type="paragraph" w:customStyle="1" w:styleId="IASBSectionTitle4Ind">
    <w:name w:val="IASB Section Title 4 Ind"/>
    <w:basedOn w:val="Normal"/>
    <w:rsid w:val="00A4532F"/>
    <w:pPr>
      <w:keepNext/>
      <w:keepLines/>
      <w:spacing w:before="300" w:after="200"/>
      <w:ind w:left="782"/>
      <w:jc w:val="left"/>
    </w:pPr>
    <w:rPr>
      <w:rFonts w:ascii="Arial" w:hAnsi="Arial" w:cs="Arial"/>
      <w:i/>
      <w:sz w:val="22"/>
      <w:lang w:val="en-US"/>
    </w:rPr>
  </w:style>
  <w:style w:type="paragraph" w:customStyle="1" w:styleId="IASBNormalnparaL1">
    <w:name w:val="IASB Normal nparaL1"/>
    <w:basedOn w:val="IASBNormalnpara"/>
    <w:rsid w:val="00A4532F"/>
    <w:pPr>
      <w:ind w:left="1564"/>
    </w:pPr>
  </w:style>
  <w:style w:type="paragraph" w:customStyle="1" w:styleId="IASBNormalnparaP">
    <w:name w:val="IASB Normal nparaP"/>
    <w:basedOn w:val="Normal"/>
    <w:rsid w:val="00A4532F"/>
    <w:pPr>
      <w:tabs>
        <w:tab w:val="left" w:pos="4253"/>
      </w:tabs>
      <w:spacing w:before="100" w:after="100"/>
      <w:ind w:left="782"/>
    </w:pPr>
    <w:rPr>
      <w:lang w:val="en-US"/>
    </w:rPr>
  </w:style>
  <w:style w:type="paragraph" w:customStyle="1" w:styleId="IASBTableArial">
    <w:name w:val="IASB Table Arial"/>
    <w:basedOn w:val="Normal"/>
    <w:rsid w:val="00A4532F"/>
    <w:pPr>
      <w:spacing w:before="120"/>
      <w:jc w:val="left"/>
    </w:pPr>
    <w:rPr>
      <w:rFonts w:ascii="Arial" w:hAnsi="Arial"/>
      <w:sz w:val="18"/>
      <w:lang w:val="en-GB" w:eastAsia="en-GB"/>
    </w:rPr>
  </w:style>
  <w:style w:type="character" w:styleId="CommentReference">
    <w:name w:val="annotation reference"/>
    <w:basedOn w:val="DefaultParagraphFont"/>
    <w:semiHidden/>
    <w:unhideWhenUsed/>
    <w:rsid w:val="003E597F"/>
    <w:rPr>
      <w:sz w:val="16"/>
      <w:szCs w:val="16"/>
    </w:rPr>
  </w:style>
  <w:style w:type="paragraph" w:styleId="CommentText">
    <w:name w:val="annotation text"/>
    <w:basedOn w:val="Normal"/>
    <w:link w:val="CommentTextChar"/>
    <w:unhideWhenUsed/>
    <w:rsid w:val="003E597F"/>
    <w:rPr>
      <w:sz w:val="20"/>
    </w:rPr>
  </w:style>
  <w:style w:type="character" w:customStyle="1" w:styleId="CommentTextChar">
    <w:name w:val="Comment Text Char"/>
    <w:basedOn w:val="DefaultParagraphFont"/>
    <w:link w:val="CommentText"/>
    <w:rsid w:val="003E597F"/>
    <w:rPr>
      <w:lang w:eastAsia="en-US"/>
    </w:rPr>
  </w:style>
  <w:style w:type="paragraph" w:styleId="CommentSubject">
    <w:name w:val="annotation subject"/>
    <w:basedOn w:val="CommentText"/>
    <w:next w:val="CommentText"/>
    <w:link w:val="CommentSubjectChar"/>
    <w:semiHidden/>
    <w:unhideWhenUsed/>
    <w:rsid w:val="003E597F"/>
    <w:rPr>
      <w:b/>
      <w:bCs/>
    </w:rPr>
  </w:style>
  <w:style w:type="character" w:customStyle="1" w:styleId="CommentSubjectChar">
    <w:name w:val="Comment Subject Char"/>
    <w:basedOn w:val="CommentTextChar"/>
    <w:link w:val="CommentSubject"/>
    <w:semiHidden/>
    <w:rsid w:val="003E597F"/>
    <w:rPr>
      <w:b/>
      <w:bCs/>
      <w:lang w:eastAsia="en-US"/>
    </w:rPr>
  </w:style>
  <w:style w:type="paragraph" w:styleId="Revision">
    <w:name w:val="Revision"/>
    <w:hidden/>
    <w:uiPriority w:val="99"/>
    <w:semiHidden/>
    <w:rsid w:val="00007EB9"/>
    <w:rPr>
      <w:sz w:val="19"/>
      <w:lang w:eastAsia="en-US"/>
    </w:rPr>
  </w:style>
  <w:style w:type="paragraph" w:customStyle="1" w:styleId="IASBTableNormal">
    <w:name w:val="IASB Table Normal"/>
    <w:basedOn w:val="Normal"/>
    <w:rsid w:val="00A05971"/>
    <w:pPr>
      <w:spacing w:before="80" w:after="60"/>
      <w:jc w:val="left"/>
    </w:pPr>
    <w:rPr>
      <w:lang w:val="en-GB" w:eastAsia="en-GB"/>
    </w:rPr>
  </w:style>
  <w:style w:type="character" w:styleId="Mention">
    <w:name w:val="Mention"/>
    <w:basedOn w:val="DefaultParagraphFont"/>
    <w:uiPriority w:val="99"/>
    <w:unhideWhenUsed/>
    <w:rsid w:val="002E649F"/>
    <w:rPr>
      <w:color w:val="2B579A"/>
      <w:shd w:val="clear" w:color="auto" w:fill="E1DFDD"/>
    </w:rPr>
  </w:style>
  <w:style w:type="character" w:customStyle="1" w:styleId="FooterChar">
    <w:name w:val="Footer Char"/>
    <w:basedOn w:val="DefaultParagraphFont"/>
    <w:link w:val="Footer"/>
    <w:rsid w:val="00DE28A5"/>
    <w:rPr>
      <w:sz w:val="19"/>
      <w:lang w:eastAsia="en-US"/>
    </w:rPr>
  </w:style>
  <w:style w:type="character" w:customStyle="1" w:styleId="IASBSectionTitle1NonIndChar">
    <w:name w:val="IASB Section Title 1 NonInd Char"/>
    <w:basedOn w:val="DefaultParagraphFont"/>
    <w:link w:val="IASBSectionTitle1NonInd"/>
    <w:uiPriority w:val="8"/>
    <w:rsid w:val="00DE28A5"/>
    <w:rPr>
      <w:rFonts w:ascii="Arial" w:hAnsi="Arial" w:cs="Arial"/>
      <w:b/>
      <w:sz w:val="26"/>
      <w:lang w:val="en-US" w:eastAsia="en-US"/>
    </w:rPr>
  </w:style>
  <w:style w:type="character" w:styleId="FootnoteReference">
    <w:name w:val="footnote reference"/>
    <w:basedOn w:val="DefaultParagraphFont"/>
    <w:rsid w:val="00DE28A5"/>
    <w:rPr>
      <w:vertAlign w:val="superscript"/>
    </w:rPr>
  </w:style>
  <w:style w:type="character" w:customStyle="1" w:styleId="FootnoteTextChar">
    <w:name w:val="Footnote Text Char"/>
    <w:basedOn w:val="DefaultParagraphFont"/>
    <w:link w:val="FootnoteText"/>
    <w:rsid w:val="00DE28A5"/>
    <w:rPr>
      <w:sz w:val="16"/>
      <w:lang w:eastAsia="en-US"/>
    </w:rPr>
  </w:style>
  <w:style w:type="paragraph" w:customStyle="1" w:styleId="IASBNormal">
    <w:name w:val="IASB Normal"/>
    <w:link w:val="IASBNormalChar"/>
    <w:uiPriority w:val="8"/>
    <w:rsid w:val="00DE28A5"/>
    <w:pPr>
      <w:tabs>
        <w:tab w:val="left" w:pos="4253"/>
      </w:tabs>
      <w:spacing w:before="100" w:after="100"/>
      <w:jc w:val="both"/>
    </w:pPr>
    <w:rPr>
      <w:sz w:val="19"/>
      <w:lang w:eastAsia="en-US"/>
    </w:rPr>
  </w:style>
  <w:style w:type="character" w:customStyle="1" w:styleId="IASBNormalChar">
    <w:name w:val="IASB Normal Char"/>
    <w:basedOn w:val="DefaultParagraphFont"/>
    <w:link w:val="IASBNormal"/>
    <w:uiPriority w:val="8"/>
    <w:rsid w:val="00DE28A5"/>
    <w:rPr>
      <w:sz w:val="19"/>
      <w:lang w:eastAsia="en-US"/>
    </w:rPr>
  </w:style>
  <w:style w:type="paragraph" w:customStyle="1" w:styleId="ConvSectionTitle">
    <w:name w:val="Conv Section Title"/>
    <w:basedOn w:val="IASBSectionTitle1NonInd"/>
    <w:uiPriority w:val="9"/>
    <w:qFormat/>
    <w:rsid w:val="00DE28A5"/>
    <w:pPr>
      <w:pBdr>
        <w:bottom w:val="none" w:sz="0" w:space="0" w:color="auto"/>
      </w:pBdr>
      <w:outlineLvl w:val="0"/>
    </w:pPr>
    <w:rPr>
      <w:lang w:val="en-AU"/>
    </w:rPr>
  </w:style>
  <w:style w:type="paragraph" w:customStyle="1" w:styleId="Default">
    <w:name w:val="Default"/>
    <w:rsid w:val="00DE28A5"/>
    <w:pPr>
      <w:autoSpaceDE w:val="0"/>
      <w:autoSpaceDN w:val="0"/>
      <w:adjustRightInd w:val="0"/>
    </w:pPr>
    <w:rPr>
      <w:color w:val="000000"/>
      <w:sz w:val="24"/>
      <w:szCs w:val="24"/>
    </w:rPr>
  </w:style>
  <w:style w:type="paragraph" w:styleId="BodyText">
    <w:name w:val="Body Text"/>
    <w:basedOn w:val="Normal"/>
    <w:link w:val="BodyTextChar"/>
    <w:unhideWhenUsed/>
    <w:rsid w:val="00DE28A5"/>
    <w:pPr>
      <w:spacing w:after="120"/>
    </w:pPr>
  </w:style>
  <w:style w:type="character" w:customStyle="1" w:styleId="BodyTextChar">
    <w:name w:val="Body Text Char"/>
    <w:basedOn w:val="DefaultParagraphFont"/>
    <w:link w:val="BodyText"/>
    <w:rsid w:val="00DE28A5"/>
    <w:rPr>
      <w:sz w:val="19"/>
      <w:lang w:eastAsia="en-US"/>
    </w:rPr>
  </w:style>
  <w:style w:type="paragraph" w:customStyle="1" w:styleId="IASBSectionTitle3NonInd">
    <w:name w:val="IASB Section Title 3 NonInd"/>
    <w:basedOn w:val="Normal"/>
    <w:rsid w:val="00DE28A5"/>
    <w:pPr>
      <w:keepNext/>
      <w:keepLines/>
      <w:spacing w:before="300" w:after="200"/>
      <w:jc w:val="left"/>
    </w:pPr>
    <w:rPr>
      <w:rFonts w:ascii="Arial" w:hAnsi="Arial" w:cs="Arial"/>
      <w:b/>
      <w:sz w:val="22"/>
      <w:lang w:val="en-US"/>
    </w:rPr>
  </w:style>
  <w:style w:type="paragraph" w:styleId="NormalWeb">
    <w:name w:val="Normal (Web)"/>
    <w:basedOn w:val="Normal"/>
    <w:uiPriority w:val="99"/>
    <w:unhideWhenUsed/>
    <w:rsid w:val="000357FA"/>
    <w:pPr>
      <w:spacing w:before="100" w:beforeAutospacing="1" w:after="100" w:afterAutospacing="1"/>
      <w:jc w:val="left"/>
    </w:pPr>
    <w:rPr>
      <w:sz w:val="24"/>
      <w:szCs w:val="24"/>
      <w:lang w:eastAsia="zh-CN"/>
    </w:rPr>
  </w:style>
  <w:style w:type="character" w:styleId="PlaceholderText">
    <w:name w:val="Placeholder Text"/>
    <w:basedOn w:val="DefaultParagraphFont"/>
    <w:uiPriority w:val="99"/>
    <w:semiHidden/>
    <w:rsid w:val="00561FEE"/>
    <w:rPr>
      <w:color w:val="808080"/>
    </w:rPr>
  </w:style>
  <w:style w:type="numbering" w:customStyle="1" w:styleId="NumPlainAlpha">
    <w:name w:val="NumPlainAlpha"/>
    <w:uiPriority w:val="99"/>
    <w:rsid w:val="00A056A8"/>
    <w:pPr>
      <w:numPr>
        <w:numId w:val="23"/>
      </w:numPr>
    </w:pPr>
  </w:style>
  <w:style w:type="numbering" w:customStyle="1" w:styleId="NumPlainParas">
    <w:name w:val="NumPlainParas"/>
    <w:uiPriority w:val="99"/>
    <w:rsid w:val="00F621C4"/>
    <w:pPr>
      <w:numPr>
        <w:numId w:val="26"/>
      </w:numPr>
    </w:pPr>
  </w:style>
  <w:style w:type="character" w:customStyle="1" w:styleId="Heading1Char">
    <w:name w:val="Heading 1 Char"/>
    <w:basedOn w:val="DefaultParagraphFont"/>
    <w:link w:val="Heading1"/>
    <w:rsid w:val="007B3E50"/>
    <w:rPr>
      <w:rFonts w:ascii="Arial" w:hAnsi="Arial" w:cs="Arial"/>
      <w:b/>
      <w:bCs/>
      <w:sz w:val="26"/>
      <w:szCs w:val="32"/>
      <w:lang w:eastAsia="en-US"/>
    </w:rPr>
  </w:style>
  <w:style w:type="numbering" w:customStyle="1" w:styleId="BCNumbers">
    <w:name w:val="BC Numbers"/>
    <w:uiPriority w:val="99"/>
    <w:rsid w:val="00FB4D30"/>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30057">
      <w:bodyDiv w:val="1"/>
      <w:marLeft w:val="0"/>
      <w:marRight w:val="0"/>
      <w:marTop w:val="0"/>
      <w:marBottom w:val="0"/>
      <w:divBdr>
        <w:top w:val="none" w:sz="0" w:space="0" w:color="auto"/>
        <w:left w:val="none" w:sz="0" w:space="0" w:color="auto"/>
        <w:bottom w:val="none" w:sz="0" w:space="0" w:color="auto"/>
        <w:right w:val="none" w:sz="0" w:space="0" w:color="auto"/>
      </w:divBdr>
      <w:divsChild>
        <w:div w:id="756680511">
          <w:marLeft w:val="0"/>
          <w:marRight w:val="0"/>
          <w:marTop w:val="0"/>
          <w:marBottom w:val="0"/>
          <w:divBdr>
            <w:top w:val="none" w:sz="0" w:space="0" w:color="auto"/>
            <w:left w:val="none" w:sz="0" w:space="0" w:color="auto"/>
            <w:bottom w:val="none" w:sz="0" w:space="0" w:color="auto"/>
            <w:right w:val="none" w:sz="0" w:space="0" w:color="auto"/>
          </w:divBdr>
          <w:divsChild>
            <w:div w:id="344017166">
              <w:marLeft w:val="0"/>
              <w:marRight w:val="0"/>
              <w:marTop w:val="0"/>
              <w:marBottom w:val="0"/>
              <w:divBdr>
                <w:top w:val="none" w:sz="0" w:space="0" w:color="auto"/>
                <w:left w:val="none" w:sz="0" w:space="0" w:color="auto"/>
                <w:bottom w:val="none" w:sz="0" w:space="0" w:color="auto"/>
                <w:right w:val="none" w:sz="0" w:space="0" w:color="auto"/>
              </w:divBdr>
              <w:divsChild>
                <w:div w:id="98844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413199">
      <w:bodyDiv w:val="1"/>
      <w:marLeft w:val="0"/>
      <w:marRight w:val="0"/>
      <w:marTop w:val="0"/>
      <w:marBottom w:val="0"/>
      <w:divBdr>
        <w:top w:val="none" w:sz="0" w:space="0" w:color="auto"/>
        <w:left w:val="none" w:sz="0" w:space="0" w:color="auto"/>
        <w:bottom w:val="none" w:sz="0" w:space="0" w:color="auto"/>
        <w:right w:val="none" w:sz="0" w:space="0" w:color="auto"/>
      </w:divBdr>
      <w:divsChild>
        <w:div w:id="144705975">
          <w:marLeft w:val="0"/>
          <w:marRight w:val="0"/>
          <w:marTop w:val="0"/>
          <w:marBottom w:val="0"/>
          <w:divBdr>
            <w:top w:val="none" w:sz="0" w:space="0" w:color="auto"/>
            <w:left w:val="none" w:sz="0" w:space="0" w:color="auto"/>
            <w:bottom w:val="none" w:sz="0" w:space="0" w:color="auto"/>
            <w:right w:val="none" w:sz="0" w:space="0" w:color="auto"/>
          </w:divBdr>
          <w:divsChild>
            <w:div w:id="312562701">
              <w:marLeft w:val="0"/>
              <w:marRight w:val="0"/>
              <w:marTop w:val="0"/>
              <w:marBottom w:val="0"/>
              <w:divBdr>
                <w:top w:val="none" w:sz="0" w:space="0" w:color="auto"/>
                <w:left w:val="none" w:sz="0" w:space="0" w:color="auto"/>
                <w:bottom w:val="none" w:sz="0" w:space="0" w:color="auto"/>
                <w:right w:val="none" w:sz="0" w:space="0" w:color="auto"/>
              </w:divBdr>
              <w:divsChild>
                <w:div w:id="210699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019014">
      <w:bodyDiv w:val="1"/>
      <w:marLeft w:val="0"/>
      <w:marRight w:val="0"/>
      <w:marTop w:val="0"/>
      <w:marBottom w:val="0"/>
      <w:divBdr>
        <w:top w:val="none" w:sz="0" w:space="0" w:color="auto"/>
        <w:left w:val="none" w:sz="0" w:space="0" w:color="auto"/>
        <w:bottom w:val="none" w:sz="0" w:space="0" w:color="auto"/>
        <w:right w:val="none" w:sz="0" w:space="0" w:color="auto"/>
      </w:divBdr>
      <w:divsChild>
        <w:div w:id="296300303">
          <w:marLeft w:val="0"/>
          <w:marRight w:val="0"/>
          <w:marTop w:val="0"/>
          <w:marBottom w:val="0"/>
          <w:divBdr>
            <w:top w:val="none" w:sz="0" w:space="0" w:color="auto"/>
            <w:left w:val="none" w:sz="0" w:space="0" w:color="auto"/>
            <w:bottom w:val="none" w:sz="0" w:space="0" w:color="auto"/>
            <w:right w:val="none" w:sz="0" w:space="0" w:color="auto"/>
          </w:divBdr>
          <w:divsChild>
            <w:div w:id="391467201">
              <w:marLeft w:val="0"/>
              <w:marRight w:val="0"/>
              <w:marTop w:val="0"/>
              <w:marBottom w:val="0"/>
              <w:divBdr>
                <w:top w:val="none" w:sz="0" w:space="0" w:color="auto"/>
                <w:left w:val="none" w:sz="0" w:space="0" w:color="auto"/>
                <w:bottom w:val="none" w:sz="0" w:space="0" w:color="auto"/>
                <w:right w:val="none" w:sz="0" w:space="0" w:color="auto"/>
              </w:divBdr>
              <w:divsChild>
                <w:div w:id="50502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85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stis\AUSTRALIAN%20ACCOUNTING%20STANDARDS%20-%20AUDITING%20AND%20ASSURANCE%20STANDARDS%20BOARD\OfficeTemplates%20-%20Documents\Templates\AmendingIFR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312A3F1-3B05-4624-A3D8-6147F9FE62ED}"/>
      </w:docPartPr>
      <w:docPartBody>
        <w:p w:rsidR="004E113F" w:rsidRDefault="004E113F">
          <w:r w:rsidRPr="00F3797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3F"/>
    <w:rsid w:val="001C05F9"/>
    <w:rsid w:val="004E113F"/>
    <w:rsid w:val="0073405C"/>
    <w:rsid w:val="00880057"/>
    <w:rsid w:val="00A75959"/>
    <w:rsid w:val="00F240E2"/>
    <w:rsid w:val="00F76D6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113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235365B3F33648BC5906CA8169449B" ma:contentTypeVersion="2" ma:contentTypeDescription="Create a new document." ma:contentTypeScope="" ma:versionID="1af8892b87a24bd1894bfe8ab8be90cd">
  <xsd:schema xmlns:xsd="http://www.w3.org/2001/XMLSchema" xmlns:xs="http://www.w3.org/2001/XMLSchema" xmlns:p="http://schemas.microsoft.com/office/2006/metadata/properties" xmlns:ns2="4e2d1ddd-4ff2-4144-ad72-d941cc701c35" targetNamespace="http://schemas.microsoft.com/office/2006/metadata/properties" ma:root="true" ma:fieldsID="2885e049d223e860e3d7cee3cf39b381" ns2:_="">
    <xsd:import namespace="4e2d1ddd-4ff2-4144-ad72-d941cc701c3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d1ddd-4ff2-4144-ad72-d941cc701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5936B5-B67E-4F48-8FC7-30BA74319331}">
  <ds:schemaRefs>
    <ds:schemaRef ds:uri="http://schemas.openxmlformats.org/officeDocument/2006/bibliography"/>
  </ds:schemaRefs>
</ds:datastoreItem>
</file>

<file path=customXml/itemProps2.xml><?xml version="1.0" encoding="utf-8"?>
<ds:datastoreItem xmlns:ds="http://schemas.openxmlformats.org/officeDocument/2006/customXml" ds:itemID="{C6F821C3-00EA-46A5-8D5F-F5FD41216991}">
  <ds:schemaRefs>
    <ds:schemaRef ds:uri="http://schemas.microsoft.com/office/2006/documentManagement/types"/>
    <ds:schemaRef ds:uri="http://schemas.microsoft.com/office/2006/metadata/properties"/>
    <ds:schemaRef ds:uri="http://purl.org/dc/elements/1.1/"/>
    <ds:schemaRef ds:uri="http://www.w3.org/XML/1998/namespace"/>
    <ds:schemaRef ds:uri="http://schemas.microsoft.com/office/infopath/2007/PartnerControls"/>
    <ds:schemaRef ds:uri="http://schemas.openxmlformats.org/package/2006/metadata/core-properties"/>
    <ds:schemaRef ds:uri="4e2d1ddd-4ff2-4144-ad72-d941cc701c35"/>
    <ds:schemaRef ds:uri="http://purl.org/dc/dcmitype/"/>
    <ds:schemaRef ds:uri="http://purl.org/dc/terms/"/>
  </ds:schemaRefs>
</ds:datastoreItem>
</file>

<file path=customXml/itemProps3.xml><?xml version="1.0" encoding="utf-8"?>
<ds:datastoreItem xmlns:ds="http://schemas.openxmlformats.org/officeDocument/2006/customXml" ds:itemID="{30DE2E35-0955-47ED-B855-2960DFA81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d1ddd-4ff2-4144-ad72-d941cc701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660860-9CE2-4828-8B89-E5C48DFB63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AmendingIFRS.dotx</Template>
  <TotalTime>475</TotalTime>
  <Pages>9</Pages>
  <Words>2875</Words>
  <Characters>16324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AASB 2023-4 (9/23)</vt:lpstr>
    </vt:vector>
  </TitlesOfParts>
  <Company>Australian Accounting Standards Board</Company>
  <LinksUpToDate>false</LinksUpToDate>
  <CharactersWithSpaces>19161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AASB 2023-4 (9/23)</dc:title>
  <dc:subject/>
  <dc:creator>.</dc:creator>
  <cp:keywords/>
  <cp:lastModifiedBy>Clark Anstis</cp:lastModifiedBy>
  <cp:revision>67</cp:revision>
  <cp:lastPrinted>2023-08-30T17:01:00Z</cp:lastPrinted>
  <dcterms:created xsi:type="dcterms:W3CDTF">2023-08-11T10:35:00Z</dcterms:created>
  <dcterms:modified xsi:type="dcterms:W3CDTF">2023-09-25T05:10:00Z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0x0101003B235365B3F33648BC5906CA8169449B</vt:lpwstr>
  </property>
  <property fmtid="{D5CDD505-2E9C-101B-9397-08002B2CF9AE}" pid="3" name="GrammarlyDocumentId">
    <vt:lpwstr>bbf939f530dfe676bdf5b73a818f535a25d4de187fb2710d85a91358b643ec59</vt:lpwstr>
  </property>
  <property fmtid="{D5CDD505-2E9C-101B-9397-08002B2CF9AE}" pid="4" name="SecurityClassification">
    <vt:lpwstr>Official</vt:lpwstr>
  </property>
</Properties>
</file>