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8BA2" w14:textId="77777777" w:rsidR="00DB5A86" w:rsidRPr="00137960" w:rsidRDefault="00DB5A86" w:rsidP="00DB5A86">
      <w:pPr>
        <w:spacing w:after="600"/>
        <w:rPr>
          <w:sz w:val="28"/>
        </w:rPr>
      </w:pPr>
      <w:r w:rsidRPr="00137960">
        <w:rPr>
          <w:noProof/>
        </w:rPr>
        <w:drawing>
          <wp:inline distT="0" distB="0" distL="0" distR="0" wp14:anchorId="372CE214" wp14:editId="4FE9DE20">
            <wp:extent cx="3543300" cy="755650"/>
            <wp:effectExtent l="0" t="0" r="0" b="0"/>
            <wp:docPr id="3"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755650"/>
                    </a:xfrm>
                    <a:prstGeom prst="rect">
                      <a:avLst/>
                    </a:prstGeom>
                    <a:noFill/>
                    <a:ln>
                      <a:noFill/>
                    </a:ln>
                  </pic:spPr>
                </pic:pic>
              </a:graphicData>
            </a:graphic>
          </wp:inline>
        </w:drawing>
      </w:r>
    </w:p>
    <w:p w14:paraId="3F849CC5" w14:textId="77777777" w:rsidR="00DB5A86" w:rsidRPr="00137960" w:rsidRDefault="00DB5A86" w:rsidP="00DB5A86">
      <w:pPr>
        <w:pStyle w:val="LI-Title"/>
        <w:pBdr>
          <w:bottom w:val="single" w:sz="4" w:space="1" w:color="auto"/>
        </w:pBdr>
      </w:pPr>
      <w:r w:rsidRPr="00137960">
        <w:t>ASIC Corporations (Replacement Bidder’s and Target’s Statements) Instrument 2023/688</w:t>
      </w:r>
    </w:p>
    <w:p w14:paraId="5D7F0004" w14:textId="77777777" w:rsidR="00DB5A86" w:rsidRPr="00137960" w:rsidRDefault="00DB5A86" w:rsidP="00DB5A86">
      <w:pPr>
        <w:pStyle w:val="LI-Fronttext"/>
        <w:rPr>
          <w:sz w:val="24"/>
          <w:szCs w:val="24"/>
        </w:rPr>
      </w:pPr>
      <w:r w:rsidRPr="00137960">
        <w:rPr>
          <w:sz w:val="24"/>
          <w:szCs w:val="24"/>
        </w:rPr>
        <w:t>I, Amanda Zeller, delegate of the Australian Securities and Investments Commission, make the following legislative instrument.</w:t>
      </w:r>
    </w:p>
    <w:p w14:paraId="6C307A1C" w14:textId="77777777" w:rsidR="00DB5A86" w:rsidRPr="00137960" w:rsidRDefault="00DB5A86" w:rsidP="00DB5A86">
      <w:pPr>
        <w:pStyle w:val="LI-Fronttext"/>
      </w:pPr>
    </w:p>
    <w:p w14:paraId="1AC96A27" w14:textId="77777777" w:rsidR="00DB5A86" w:rsidRPr="00137960" w:rsidRDefault="00DB5A86" w:rsidP="00DB5A86">
      <w:pPr>
        <w:pStyle w:val="LI-Fronttext"/>
        <w:rPr>
          <w:sz w:val="24"/>
          <w:szCs w:val="24"/>
        </w:rPr>
      </w:pPr>
      <w:r w:rsidRPr="00137960">
        <w:rPr>
          <w:sz w:val="24"/>
          <w:szCs w:val="24"/>
        </w:rPr>
        <w:t>Date</w:t>
      </w:r>
      <w:r w:rsidRPr="00137960">
        <w:rPr>
          <w:sz w:val="24"/>
          <w:szCs w:val="24"/>
        </w:rPr>
        <w:tab/>
        <w:t>22 September 2023</w:t>
      </w:r>
    </w:p>
    <w:p w14:paraId="3BFA15E3" w14:textId="48811474" w:rsidR="00DB5A86" w:rsidRPr="00137960" w:rsidRDefault="00DB5A86" w:rsidP="00DB5A86">
      <w:pPr>
        <w:pStyle w:val="LI-Fronttext"/>
        <w:rPr>
          <w:color w:val="FF0000"/>
          <w:sz w:val="24"/>
          <w:szCs w:val="24"/>
        </w:rPr>
      </w:pPr>
      <w:bookmarkStart w:id="0" w:name="BKCheck15B_1"/>
      <w:bookmarkEnd w:id="0"/>
    </w:p>
    <w:p w14:paraId="04267664" w14:textId="77777777" w:rsidR="00DB5A86" w:rsidRPr="00BB5C17" w:rsidRDefault="00DB5A86" w:rsidP="00DB5A86">
      <w:pPr>
        <w:pStyle w:val="LI-Fronttext"/>
        <w:pBdr>
          <w:bottom w:val="single" w:sz="4" w:space="1" w:color="auto"/>
        </w:pBdr>
        <w:rPr>
          <w:sz w:val="24"/>
          <w:szCs w:val="24"/>
        </w:rPr>
      </w:pPr>
      <w:r w:rsidRPr="00137960">
        <w:rPr>
          <w:sz w:val="24"/>
          <w:szCs w:val="24"/>
        </w:rPr>
        <w:t>Amanda Zeller</w:t>
      </w:r>
    </w:p>
    <w:p w14:paraId="52989466" w14:textId="77777777" w:rsidR="00DB5A86" w:rsidRPr="00F61B09" w:rsidRDefault="00DB5A86" w:rsidP="00DB5A86">
      <w:pPr>
        <w:pStyle w:val="Header"/>
        <w:tabs>
          <w:tab w:val="clear" w:pos="4150"/>
          <w:tab w:val="clear" w:pos="8307"/>
        </w:tabs>
      </w:pPr>
    </w:p>
    <w:p w14:paraId="4281DE21" w14:textId="77777777" w:rsidR="00DB5A86" w:rsidRPr="00F61B09" w:rsidRDefault="00DB5A86" w:rsidP="00DB5A86">
      <w:pPr>
        <w:sectPr w:rsidR="00DB5A86" w:rsidRPr="00F61B09" w:rsidSect="008945E0">
          <w:headerReference w:type="even" r:id="rId7"/>
          <w:headerReference w:type="default" r:id="rId8"/>
          <w:footerReference w:type="even" r:id="rId9"/>
          <w:footerReference w:type="default" r:id="rId10"/>
          <w:headerReference w:type="first" r:id="rId11"/>
          <w:footerReference w:type="first" r:id="rId12"/>
          <w:pgSz w:w="11907" w:h="16839"/>
          <w:pgMar w:top="1440" w:right="1797" w:bottom="1440" w:left="1797" w:header="720" w:footer="709" w:gutter="0"/>
          <w:cols w:space="708"/>
          <w:titlePg/>
          <w:docGrid w:linePitch="360"/>
        </w:sectPr>
      </w:pPr>
    </w:p>
    <w:p w14:paraId="0B335FFF" w14:textId="77777777" w:rsidR="00DB5A86" w:rsidRPr="00F61B09" w:rsidRDefault="00DB5A86" w:rsidP="00DB5A86">
      <w:pPr>
        <w:spacing w:before="280" w:after="240"/>
        <w:rPr>
          <w:sz w:val="36"/>
        </w:rPr>
      </w:pPr>
      <w:r w:rsidRPr="006E5320">
        <w:rPr>
          <w:b/>
          <w:sz w:val="32"/>
          <w:szCs w:val="32"/>
        </w:rPr>
        <w:lastRenderedPageBreak/>
        <w:t>Contents</w:t>
      </w:r>
    </w:p>
    <w:bookmarkStart w:id="1" w:name="BKCheck15B_2"/>
    <w:bookmarkEnd w:id="1"/>
    <w:p w14:paraId="4CF68277" w14:textId="77777777" w:rsidR="00DB5A86" w:rsidRPr="005C21EA" w:rsidRDefault="00DB5A86" w:rsidP="00DB5A86">
      <w:pPr>
        <w:pStyle w:val="TOC1"/>
        <w:rPr>
          <w:rFonts w:ascii="Calibri" w:hAnsi="Calibr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6222830" w:history="1">
        <w:r w:rsidRPr="007F20A8">
          <w:rPr>
            <w:rStyle w:val="Hyperlink"/>
            <w:noProof/>
          </w:rPr>
          <w:t>Part 1—Preliminary</w:t>
        </w:r>
        <w:r>
          <w:rPr>
            <w:noProof/>
            <w:webHidden/>
          </w:rPr>
          <w:tab/>
        </w:r>
        <w:r>
          <w:rPr>
            <w:noProof/>
            <w:webHidden/>
          </w:rPr>
          <w:fldChar w:fldCharType="begin"/>
        </w:r>
        <w:r>
          <w:rPr>
            <w:noProof/>
            <w:webHidden/>
          </w:rPr>
          <w:instrText xml:space="preserve"> PAGEREF _Toc146222830 \h </w:instrText>
        </w:r>
        <w:r>
          <w:rPr>
            <w:noProof/>
            <w:webHidden/>
          </w:rPr>
        </w:r>
        <w:r>
          <w:rPr>
            <w:noProof/>
            <w:webHidden/>
          </w:rPr>
          <w:fldChar w:fldCharType="separate"/>
        </w:r>
        <w:r>
          <w:rPr>
            <w:noProof/>
            <w:webHidden/>
          </w:rPr>
          <w:t>3</w:t>
        </w:r>
        <w:r>
          <w:rPr>
            <w:noProof/>
            <w:webHidden/>
          </w:rPr>
          <w:fldChar w:fldCharType="end"/>
        </w:r>
      </w:hyperlink>
    </w:p>
    <w:p w14:paraId="27F7FE5A" w14:textId="77777777" w:rsidR="00DB5A86" w:rsidRPr="005C21EA" w:rsidRDefault="00000000" w:rsidP="00DB5A86">
      <w:pPr>
        <w:pStyle w:val="TOC2"/>
        <w:tabs>
          <w:tab w:val="left" w:pos="1474"/>
        </w:tabs>
        <w:rPr>
          <w:rFonts w:ascii="Calibri" w:hAnsi="Calibri"/>
          <w:noProof/>
          <w:kern w:val="0"/>
          <w:sz w:val="22"/>
          <w:szCs w:val="22"/>
        </w:rPr>
      </w:pPr>
      <w:hyperlink w:anchor="_Toc146222831" w:history="1">
        <w:r w:rsidR="00DB5A86" w:rsidRPr="007F20A8">
          <w:rPr>
            <w:rStyle w:val="Hyperlink"/>
            <w:noProof/>
          </w:rPr>
          <w:t>1</w:t>
        </w:r>
        <w:r w:rsidR="00DB5A86" w:rsidRPr="005C21EA">
          <w:rPr>
            <w:rFonts w:ascii="Calibri" w:hAnsi="Calibri"/>
            <w:noProof/>
            <w:kern w:val="0"/>
            <w:sz w:val="22"/>
            <w:szCs w:val="22"/>
          </w:rPr>
          <w:tab/>
        </w:r>
        <w:r w:rsidR="00DB5A86" w:rsidRPr="007F20A8">
          <w:rPr>
            <w:rStyle w:val="Hyperlink"/>
            <w:noProof/>
          </w:rPr>
          <w:t>Name of legislative instrument</w:t>
        </w:r>
        <w:r w:rsidR="00DB5A86">
          <w:rPr>
            <w:noProof/>
            <w:webHidden/>
          </w:rPr>
          <w:tab/>
        </w:r>
        <w:r w:rsidR="00DB5A86">
          <w:rPr>
            <w:noProof/>
            <w:webHidden/>
          </w:rPr>
          <w:fldChar w:fldCharType="begin"/>
        </w:r>
        <w:r w:rsidR="00DB5A86">
          <w:rPr>
            <w:noProof/>
            <w:webHidden/>
          </w:rPr>
          <w:instrText xml:space="preserve"> PAGEREF _Toc146222831 \h </w:instrText>
        </w:r>
        <w:r w:rsidR="00DB5A86">
          <w:rPr>
            <w:noProof/>
            <w:webHidden/>
          </w:rPr>
        </w:r>
        <w:r w:rsidR="00DB5A86">
          <w:rPr>
            <w:noProof/>
            <w:webHidden/>
          </w:rPr>
          <w:fldChar w:fldCharType="separate"/>
        </w:r>
        <w:r w:rsidR="00DB5A86">
          <w:rPr>
            <w:noProof/>
            <w:webHidden/>
          </w:rPr>
          <w:t>3</w:t>
        </w:r>
        <w:r w:rsidR="00DB5A86">
          <w:rPr>
            <w:noProof/>
            <w:webHidden/>
          </w:rPr>
          <w:fldChar w:fldCharType="end"/>
        </w:r>
      </w:hyperlink>
    </w:p>
    <w:p w14:paraId="6FE5847B" w14:textId="77777777" w:rsidR="00DB5A86" w:rsidRPr="005C21EA" w:rsidRDefault="00000000" w:rsidP="00DB5A86">
      <w:pPr>
        <w:pStyle w:val="TOC2"/>
        <w:tabs>
          <w:tab w:val="left" w:pos="1474"/>
        </w:tabs>
        <w:rPr>
          <w:rFonts w:ascii="Calibri" w:hAnsi="Calibri"/>
          <w:noProof/>
          <w:kern w:val="0"/>
          <w:sz w:val="22"/>
          <w:szCs w:val="22"/>
        </w:rPr>
      </w:pPr>
      <w:hyperlink w:anchor="_Toc146222832" w:history="1">
        <w:r w:rsidR="00DB5A86" w:rsidRPr="007F20A8">
          <w:rPr>
            <w:rStyle w:val="Hyperlink"/>
            <w:noProof/>
          </w:rPr>
          <w:t>2</w:t>
        </w:r>
        <w:r w:rsidR="00DB5A86" w:rsidRPr="005C21EA">
          <w:rPr>
            <w:rFonts w:ascii="Calibri" w:hAnsi="Calibri"/>
            <w:noProof/>
            <w:kern w:val="0"/>
            <w:sz w:val="22"/>
            <w:szCs w:val="22"/>
          </w:rPr>
          <w:tab/>
        </w:r>
        <w:r w:rsidR="00DB5A86" w:rsidRPr="007F20A8">
          <w:rPr>
            <w:rStyle w:val="Hyperlink"/>
            <w:noProof/>
          </w:rPr>
          <w:t>Commencement</w:t>
        </w:r>
        <w:r w:rsidR="00DB5A86">
          <w:rPr>
            <w:noProof/>
            <w:webHidden/>
          </w:rPr>
          <w:tab/>
        </w:r>
        <w:r w:rsidR="00DB5A86">
          <w:rPr>
            <w:noProof/>
            <w:webHidden/>
          </w:rPr>
          <w:fldChar w:fldCharType="begin"/>
        </w:r>
        <w:r w:rsidR="00DB5A86">
          <w:rPr>
            <w:noProof/>
            <w:webHidden/>
          </w:rPr>
          <w:instrText xml:space="preserve"> PAGEREF _Toc146222832 \h </w:instrText>
        </w:r>
        <w:r w:rsidR="00DB5A86">
          <w:rPr>
            <w:noProof/>
            <w:webHidden/>
          </w:rPr>
        </w:r>
        <w:r w:rsidR="00DB5A86">
          <w:rPr>
            <w:noProof/>
            <w:webHidden/>
          </w:rPr>
          <w:fldChar w:fldCharType="separate"/>
        </w:r>
        <w:r w:rsidR="00DB5A86">
          <w:rPr>
            <w:noProof/>
            <w:webHidden/>
          </w:rPr>
          <w:t>3</w:t>
        </w:r>
        <w:r w:rsidR="00DB5A86">
          <w:rPr>
            <w:noProof/>
            <w:webHidden/>
          </w:rPr>
          <w:fldChar w:fldCharType="end"/>
        </w:r>
      </w:hyperlink>
    </w:p>
    <w:p w14:paraId="53184EF4" w14:textId="77777777" w:rsidR="00DB5A86" w:rsidRPr="005C21EA" w:rsidRDefault="00000000" w:rsidP="00DB5A86">
      <w:pPr>
        <w:pStyle w:val="TOC2"/>
        <w:tabs>
          <w:tab w:val="left" w:pos="1474"/>
        </w:tabs>
        <w:rPr>
          <w:rFonts w:ascii="Calibri" w:hAnsi="Calibri"/>
          <w:noProof/>
          <w:kern w:val="0"/>
          <w:sz w:val="22"/>
          <w:szCs w:val="22"/>
        </w:rPr>
      </w:pPr>
      <w:hyperlink w:anchor="_Toc146222833" w:history="1">
        <w:r w:rsidR="00DB5A86" w:rsidRPr="007F20A8">
          <w:rPr>
            <w:rStyle w:val="Hyperlink"/>
            <w:noProof/>
          </w:rPr>
          <w:t>3</w:t>
        </w:r>
        <w:r w:rsidR="00DB5A86" w:rsidRPr="005C21EA">
          <w:rPr>
            <w:rFonts w:ascii="Calibri" w:hAnsi="Calibri"/>
            <w:noProof/>
            <w:kern w:val="0"/>
            <w:sz w:val="22"/>
            <w:szCs w:val="22"/>
          </w:rPr>
          <w:tab/>
        </w:r>
        <w:r w:rsidR="00DB5A86" w:rsidRPr="007F20A8">
          <w:rPr>
            <w:rStyle w:val="Hyperlink"/>
            <w:noProof/>
          </w:rPr>
          <w:t>Authority</w:t>
        </w:r>
        <w:r w:rsidR="00DB5A86">
          <w:rPr>
            <w:noProof/>
            <w:webHidden/>
          </w:rPr>
          <w:tab/>
        </w:r>
        <w:r w:rsidR="00DB5A86">
          <w:rPr>
            <w:noProof/>
            <w:webHidden/>
          </w:rPr>
          <w:fldChar w:fldCharType="begin"/>
        </w:r>
        <w:r w:rsidR="00DB5A86">
          <w:rPr>
            <w:noProof/>
            <w:webHidden/>
          </w:rPr>
          <w:instrText xml:space="preserve"> PAGEREF _Toc146222833 \h </w:instrText>
        </w:r>
        <w:r w:rsidR="00DB5A86">
          <w:rPr>
            <w:noProof/>
            <w:webHidden/>
          </w:rPr>
        </w:r>
        <w:r w:rsidR="00DB5A86">
          <w:rPr>
            <w:noProof/>
            <w:webHidden/>
          </w:rPr>
          <w:fldChar w:fldCharType="separate"/>
        </w:r>
        <w:r w:rsidR="00DB5A86">
          <w:rPr>
            <w:noProof/>
            <w:webHidden/>
          </w:rPr>
          <w:t>3</w:t>
        </w:r>
        <w:r w:rsidR="00DB5A86">
          <w:rPr>
            <w:noProof/>
            <w:webHidden/>
          </w:rPr>
          <w:fldChar w:fldCharType="end"/>
        </w:r>
      </w:hyperlink>
    </w:p>
    <w:p w14:paraId="6699D29C" w14:textId="77777777" w:rsidR="00DB5A86" w:rsidRPr="005C21EA" w:rsidRDefault="00000000" w:rsidP="00DB5A86">
      <w:pPr>
        <w:pStyle w:val="TOC2"/>
        <w:tabs>
          <w:tab w:val="left" w:pos="1474"/>
        </w:tabs>
        <w:rPr>
          <w:rFonts w:ascii="Calibri" w:hAnsi="Calibri"/>
          <w:noProof/>
          <w:kern w:val="0"/>
          <w:sz w:val="22"/>
          <w:szCs w:val="22"/>
        </w:rPr>
      </w:pPr>
      <w:hyperlink w:anchor="_Toc146222834" w:history="1">
        <w:r w:rsidR="00DB5A86" w:rsidRPr="007F20A8">
          <w:rPr>
            <w:rStyle w:val="Hyperlink"/>
            <w:noProof/>
          </w:rPr>
          <w:t>4</w:t>
        </w:r>
        <w:r w:rsidR="00DB5A86" w:rsidRPr="005C21EA">
          <w:rPr>
            <w:rFonts w:ascii="Calibri" w:hAnsi="Calibri"/>
            <w:noProof/>
            <w:kern w:val="0"/>
            <w:sz w:val="22"/>
            <w:szCs w:val="22"/>
          </w:rPr>
          <w:tab/>
        </w:r>
        <w:r w:rsidR="00DB5A86" w:rsidRPr="007F20A8">
          <w:rPr>
            <w:rStyle w:val="Hyperlink"/>
            <w:noProof/>
          </w:rPr>
          <w:t>Definitions</w:t>
        </w:r>
        <w:r w:rsidR="00DB5A86">
          <w:rPr>
            <w:noProof/>
            <w:webHidden/>
          </w:rPr>
          <w:tab/>
        </w:r>
        <w:r w:rsidR="00DB5A86">
          <w:rPr>
            <w:noProof/>
            <w:webHidden/>
          </w:rPr>
          <w:fldChar w:fldCharType="begin"/>
        </w:r>
        <w:r w:rsidR="00DB5A86">
          <w:rPr>
            <w:noProof/>
            <w:webHidden/>
          </w:rPr>
          <w:instrText xml:space="preserve"> PAGEREF _Toc146222834 \h </w:instrText>
        </w:r>
        <w:r w:rsidR="00DB5A86">
          <w:rPr>
            <w:noProof/>
            <w:webHidden/>
          </w:rPr>
        </w:r>
        <w:r w:rsidR="00DB5A86">
          <w:rPr>
            <w:noProof/>
            <w:webHidden/>
          </w:rPr>
          <w:fldChar w:fldCharType="separate"/>
        </w:r>
        <w:r w:rsidR="00DB5A86">
          <w:rPr>
            <w:noProof/>
            <w:webHidden/>
          </w:rPr>
          <w:t>3</w:t>
        </w:r>
        <w:r w:rsidR="00DB5A86">
          <w:rPr>
            <w:noProof/>
            <w:webHidden/>
          </w:rPr>
          <w:fldChar w:fldCharType="end"/>
        </w:r>
      </w:hyperlink>
    </w:p>
    <w:p w14:paraId="3631A10F" w14:textId="77777777" w:rsidR="00DB5A86" w:rsidRPr="005C21EA" w:rsidRDefault="00000000" w:rsidP="00DB5A86">
      <w:pPr>
        <w:pStyle w:val="TOC1"/>
        <w:rPr>
          <w:rFonts w:ascii="Calibri" w:hAnsi="Calibri"/>
          <w:b w:val="0"/>
          <w:noProof/>
          <w:kern w:val="0"/>
          <w:sz w:val="22"/>
          <w:szCs w:val="22"/>
        </w:rPr>
      </w:pPr>
      <w:hyperlink w:anchor="_Toc146222835" w:history="1">
        <w:r w:rsidR="00DB5A86" w:rsidRPr="007F20A8">
          <w:rPr>
            <w:rStyle w:val="Hyperlink"/>
            <w:noProof/>
          </w:rPr>
          <w:t>Part 2—Declaration</w:t>
        </w:r>
        <w:r w:rsidR="00DB5A86">
          <w:rPr>
            <w:noProof/>
            <w:webHidden/>
          </w:rPr>
          <w:tab/>
        </w:r>
        <w:r w:rsidR="00DB5A86">
          <w:rPr>
            <w:noProof/>
            <w:webHidden/>
          </w:rPr>
          <w:fldChar w:fldCharType="begin"/>
        </w:r>
        <w:r w:rsidR="00DB5A86">
          <w:rPr>
            <w:noProof/>
            <w:webHidden/>
          </w:rPr>
          <w:instrText xml:space="preserve"> PAGEREF _Toc146222835 \h </w:instrText>
        </w:r>
        <w:r w:rsidR="00DB5A86">
          <w:rPr>
            <w:noProof/>
            <w:webHidden/>
          </w:rPr>
        </w:r>
        <w:r w:rsidR="00DB5A86">
          <w:rPr>
            <w:noProof/>
            <w:webHidden/>
          </w:rPr>
          <w:fldChar w:fldCharType="separate"/>
        </w:r>
        <w:r w:rsidR="00DB5A86">
          <w:rPr>
            <w:noProof/>
            <w:webHidden/>
          </w:rPr>
          <w:t>3</w:t>
        </w:r>
        <w:r w:rsidR="00DB5A86">
          <w:rPr>
            <w:noProof/>
            <w:webHidden/>
          </w:rPr>
          <w:fldChar w:fldCharType="end"/>
        </w:r>
      </w:hyperlink>
    </w:p>
    <w:p w14:paraId="28FC95FE" w14:textId="77777777" w:rsidR="00DB5A86" w:rsidRPr="005C21EA" w:rsidRDefault="00000000" w:rsidP="00DB5A86">
      <w:pPr>
        <w:pStyle w:val="TOC2"/>
        <w:tabs>
          <w:tab w:val="left" w:pos="1474"/>
        </w:tabs>
        <w:rPr>
          <w:rFonts w:ascii="Calibri" w:hAnsi="Calibri"/>
          <w:noProof/>
          <w:kern w:val="0"/>
          <w:sz w:val="22"/>
          <w:szCs w:val="22"/>
        </w:rPr>
      </w:pPr>
      <w:hyperlink w:anchor="_Toc146222836" w:history="1">
        <w:r w:rsidR="00DB5A86" w:rsidRPr="007F20A8">
          <w:rPr>
            <w:rStyle w:val="Hyperlink"/>
            <w:noProof/>
          </w:rPr>
          <w:t>5</w:t>
        </w:r>
        <w:r w:rsidR="00DB5A86" w:rsidRPr="005C21EA">
          <w:rPr>
            <w:rFonts w:ascii="Calibri" w:hAnsi="Calibri"/>
            <w:noProof/>
            <w:kern w:val="0"/>
            <w:sz w:val="22"/>
            <w:szCs w:val="22"/>
          </w:rPr>
          <w:tab/>
        </w:r>
        <w:r w:rsidR="00DB5A86" w:rsidRPr="007F20A8">
          <w:rPr>
            <w:rStyle w:val="Hyperlink"/>
            <w:noProof/>
          </w:rPr>
          <w:t>Changes to a bidder’s or target’s statement between lodgment and dispatch</w:t>
        </w:r>
        <w:r w:rsidR="00DB5A86">
          <w:rPr>
            <w:noProof/>
            <w:webHidden/>
          </w:rPr>
          <w:tab/>
        </w:r>
        <w:r w:rsidR="00DB5A86">
          <w:rPr>
            <w:noProof/>
            <w:webHidden/>
          </w:rPr>
          <w:fldChar w:fldCharType="begin"/>
        </w:r>
        <w:r w:rsidR="00DB5A86">
          <w:rPr>
            <w:noProof/>
            <w:webHidden/>
          </w:rPr>
          <w:instrText xml:space="preserve"> PAGEREF _Toc146222836 \h </w:instrText>
        </w:r>
        <w:r w:rsidR="00DB5A86">
          <w:rPr>
            <w:noProof/>
            <w:webHidden/>
          </w:rPr>
        </w:r>
        <w:r w:rsidR="00DB5A86">
          <w:rPr>
            <w:noProof/>
            <w:webHidden/>
          </w:rPr>
          <w:fldChar w:fldCharType="separate"/>
        </w:r>
        <w:r w:rsidR="00DB5A86">
          <w:rPr>
            <w:noProof/>
            <w:webHidden/>
          </w:rPr>
          <w:t>3</w:t>
        </w:r>
        <w:r w:rsidR="00DB5A86">
          <w:rPr>
            <w:noProof/>
            <w:webHidden/>
          </w:rPr>
          <w:fldChar w:fldCharType="end"/>
        </w:r>
      </w:hyperlink>
    </w:p>
    <w:p w14:paraId="7D12E712" w14:textId="77777777" w:rsidR="00DB5A86" w:rsidRPr="005C21EA" w:rsidRDefault="00000000" w:rsidP="00DB5A86">
      <w:pPr>
        <w:pStyle w:val="TOC1"/>
        <w:rPr>
          <w:rFonts w:ascii="Calibri" w:hAnsi="Calibri"/>
          <w:b w:val="0"/>
          <w:noProof/>
          <w:kern w:val="0"/>
          <w:sz w:val="22"/>
          <w:szCs w:val="22"/>
        </w:rPr>
      </w:pPr>
      <w:hyperlink w:anchor="_Toc146222837" w:history="1">
        <w:r w:rsidR="00DB5A86" w:rsidRPr="007F20A8">
          <w:rPr>
            <w:rStyle w:val="Hyperlink"/>
            <w:noProof/>
          </w:rPr>
          <w:t>Part 3—Repeal</w:t>
        </w:r>
        <w:r w:rsidR="00DB5A86">
          <w:rPr>
            <w:noProof/>
            <w:webHidden/>
          </w:rPr>
          <w:tab/>
        </w:r>
        <w:r w:rsidR="00DB5A86">
          <w:rPr>
            <w:noProof/>
            <w:webHidden/>
          </w:rPr>
          <w:fldChar w:fldCharType="begin"/>
        </w:r>
        <w:r w:rsidR="00DB5A86">
          <w:rPr>
            <w:noProof/>
            <w:webHidden/>
          </w:rPr>
          <w:instrText xml:space="preserve"> PAGEREF _Toc146222837 \h </w:instrText>
        </w:r>
        <w:r w:rsidR="00DB5A86">
          <w:rPr>
            <w:noProof/>
            <w:webHidden/>
          </w:rPr>
        </w:r>
        <w:r w:rsidR="00DB5A86">
          <w:rPr>
            <w:noProof/>
            <w:webHidden/>
          </w:rPr>
          <w:fldChar w:fldCharType="separate"/>
        </w:r>
        <w:r w:rsidR="00DB5A86">
          <w:rPr>
            <w:noProof/>
            <w:webHidden/>
          </w:rPr>
          <w:t>12</w:t>
        </w:r>
        <w:r w:rsidR="00DB5A86">
          <w:rPr>
            <w:noProof/>
            <w:webHidden/>
          </w:rPr>
          <w:fldChar w:fldCharType="end"/>
        </w:r>
      </w:hyperlink>
    </w:p>
    <w:p w14:paraId="59378769" w14:textId="77777777" w:rsidR="00DB5A86" w:rsidRPr="005C21EA" w:rsidRDefault="00000000" w:rsidP="00DB5A86">
      <w:pPr>
        <w:pStyle w:val="TOC2"/>
        <w:tabs>
          <w:tab w:val="left" w:pos="1474"/>
        </w:tabs>
        <w:rPr>
          <w:rFonts w:ascii="Calibri" w:hAnsi="Calibri"/>
          <w:noProof/>
          <w:kern w:val="0"/>
          <w:sz w:val="22"/>
          <w:szCs w:val="22"/>
        </w:rPr>
      </w:pPr>
      <w:hyperlink w:anchor="_Toc146222838" w:history="1">
        <w:r w:rsidR="00DB5A86" w:rsidRPr="007F20A8">
          <w:rPr>
            <w:rStyle w:val="Hyperlink"/>
            <w:noProof/>
          </w:rPr>
          <w:t>6</w:t>
        </w:r>
        <w:r w:rsidR="00DB5A86" w:rsidRPr="005C21EA">
          <w:rPr>
            <w:rFonts w:ascii="Calibri" w:hAnsi="Calibri"/>
            <w:noProof/>
            <w:kern w:val="0"/>
            <w:sz w:val="22"/>
            <w:szCs w:val="22"/>
          </w:rPr>
          <w:tab/>
        </w:r>
        <w:r w:rsidR="00DB5A86" w:rsidRPr="007F20A8">
          <w:rPr>
            <w:rStyle w:val="Hyperlink"/>
            <w:noProof/>
          </w:rPr>
          <w:t>Repeal</w:t>
        </w:r>
        <w:r w:rsidR="00DB5A86">
          <w:rPr>
            <w:noProof/>
            <w:webHidden/>
          </w:rPr>
          <w:tab/>
        </w:r>
        <w:r w:rsidR="00DB5A86">
          <w:rPr>
            <w:noProof/>
            <w:webHidden/>
          </w:rPr>
          <w:fldChar w:fldCharType="begin"/>
        </w:r>
        <w:r w:rsidR="00DB5A86">
          <w:rPr>
            <w:noProof/>
            <w:webHidden/>
          </w:rPr>
          <w:instrText xml:space="preserve"> PAGEREF _Toc146222838 \h </w:instrText>
        </w:r>
        <w:r w:rsidR="00DB5A86">
          <w:rPr>
            <w:noProof/>
            <w:webHidden/>
          </w:rPr>
        </w:r>
        <w:r w:rsidR="00DB5A86">
          <w:rPr>
            <w:noProof/>
            <w:webHidden/>
          </w:rPr>
          <w:fldChar w:fldCharType="separate"/>
        </w:r>
        <w:r w:rsidR="00DB5A86">
          <w:rPr>
            <w:noProof/>
            <w:webHidden/>
          </w:rPr>
          <w:t>12</w:t>
        </w:r>
        <w:r w:rsidR="00DB5A86">
          <w:rPr>
            <w:noProof/>
            <w:webHidden/>
          </w:rPr>
          <w:fldChar w:fldCharType="end"/>
        </w:r>
      </w:hyperlink>
    </w:p>
    <w:p w14:paraId="4252BA4F" w14:textId="77777777" w:rsidR="00DB5A86" w:rsidRPr="00F61B09" w:rsidRDefault="00DB5A86" w:rsidP="00DB5A86">
      <w:r>
        <w:rPr>
          <w:rFonts w:eastAsia="Times New Roman"/>
          <w:kern w:val="28"/>
          <w:sz w:val="28"/>
          <w:lang w:eastAsia="en-AU"/>
        </w:rPr>
        <w:fldChar w:fldCharType="end"/>
      </w:r>
    </w:p>
    <w:p w14:paraId="7AC24981" w14:textId="77777777" w:rsidR="00DB5A86" w:rsidRPr="00F61B09" w:rsidRDefault="00DB5A86" w:rsidP="00DB5A86">
      <w:pPr>
        <w:sectPr w:rsidR="00DB5A86" w:rsidRPr="00F61B09" w:rsidSect="00F4215A">
          <w:headerReference w:type="even" r:id="rId13"/>
          <w:headerReference w:type="default" r:id="rId14"/>
          <w:footerReference w:type="even" r:id="rId15"/>
          <w:footerReference w:type="default" r:id="rId16"/>
          <w:headerReference w:type="first" r:id="rId17"/>
          <w:pgSz w:w="11907" w:h="16839"/>
          <w:pgMar w:top="1098" w:right="1797" w:bottom="1440" w:left="1797" w:header="720" w:footer="709" w:gutter="0"/>
          <w:pgNumType w:fmt="lowerRoman"/>
          <w:cols w:space="708"/>
          <w:docGrid w:linePitch="360"/>
        </w:sectPr>
      </w:pPr>
    </w:p>
    <w:p w14:paraId="0A8ACDC8" w14:textId="77777777" w:rsidR="00DB5A86" w:rsidRPr="00F61B09" w:rsidRDefault="00DB5A86" w:rsidP="00DB5A86">
      <w:pPr>
        <w:pStyle w:val="LI-Heading1"/>
      </w:pPr>
      <w:bookmarkStart w:id="2" w:name="BK_S3P1L1C1"/>
      <w:bookmarkStart w:id="3" w:name="_Toc146222830"/>
      <w:bookmarkEnd w:id="2"/>
      <w:r w:rsidRPr="006554FF">
        <w:lastRenderedPageBreak/>
        <w:t>Part </w:t>
      </w:r>
      <w:r w:rsidRPr="006E5320">
        <w:t>1</w:t>
      </w:r>
      <w:r w:rsidRPr="00F61B09">
        <w:t>—</w:t>
      </w:r>
      <w:r w:rsidRPr="00005446">
        <w:t>Preliminary</w:t>
      </w:r>
      <w:bookmarkEnd w:id="3"/>
    </w:p>
    <w:p w14:paraId="0A052523" w14:textId="77777777" w:rsidR="00DB5A86" w:rsidRDefault="00DB5A86" w:rsidP="00DB5A86">
      <w:pPr>
        <w:pStyle w:val="LI-Heading2"/>
        <w:rPr>
          <w:szCs w:val="24"/>
        </w:rPr>
      </w:pPr>
      <w:bookmarkStart w:id="4" w:name="_Toc146222831"/>
      <w:r w:rsidRPr="008C0F29">
        <w:rPr>
          <w:szCs w:val="24"/>
        </w:rPr>
        <w:t>1</w:t>
      </w:r>
      <w:r>
        <w:rPr>
          <w:szCs w:val="24"/>
        </w:rPr>
        <w:tab/>
      </w:r>
      <w:r w:rsidRPr="008C0F29">
        <w:rPr>
          <w:szCs w:val="24"/>
        </w:rPr>
        <w:t>Name of legislative instrument</w:t>
      </w:r>
      <w:bookmarkEnd w:id="4"/>
    </w:p>
    <w:p w14:paraId="026E5B07" w14:textId="77777777" w:rsidR="00DB5A86" w:rsidRDefault="00DB5A86" w:rsidP="00DB5A86">
      <w:pPr>
        <w:pStyle w:val="LI-BodyTextUnnumbered"/>
        <w:rPr>
          <w:szCs w:val="24"/>
        </w:rPr>
      </w:pPr>
      <w:r w:rsidRPr="008C0F29">
        <w:rPr>
          <w:szCs w:val="24"/>
        </w:rPr>
        <w:t>This is</w:t>
      </w:r>
      <w:r>
        <w:rPr>
          <w:szCs w:val="24"/>
        </w:rPr>
        <w:t xml:space="preserve"> the</w:t>
      </w:r>
      <w:r w:rsidRPr="008C0F29">
        <w:rPr>
          <w:szCs w:val="24"/>
        </w:rPr>
        <w:t xml:space="preserve"> </w:t>
      </w:r>
      <w:r w:rsidRPr="008C0F29">
        <w:rPr>
          <w:i/>
          <w:szCs w:val="24"/>
        </w:rPr>
        <w:t>A</w:t>
      </w:r>
      <w:r>
        <w:rPr>
          <w:i/>
          <w:szCs w:val="24"/>
        </w:rPr>
        <w:t xml:space="preserve">SIC Corporations </w:t>
      </w:r>
      <w:r w:rsidRPr="005D3D41">
        <w:rPr>
          <w:i/>
          <w:szCs w:val="24"/>
        </w:rPr>
        <w:t>(</w:t>
      </w:r>
      <w:r w:rsidRPr="00527977">
        <w:rPr>
          <w:i/>
          <w:szCs w:val="24"/>
        </w:rPr>
        <w:t>Replacement Bidder’s and Target’s Statements</w:t>
      </w:r>
      <w:r w:rsidRPr="005D3D41">
        <w:rPr>
          <w:i/>
          <w:szCs w:val="24"/>
        </w:rPr>
        <w:t xml:space="preserve">) Instrument </w:t>
      </w:r>
      <w:r>
        <w:rPr>
          <w:i/>
          <w:szCs w:val="24"/>
        </w:rPr>
        <w:t>2023/688</w:t>
      </w:r>
      <w:r>
        <w:rPr>
          <w:iCs/>
          <w:szCs w:val="24"/>
        </w:rPr>
        <w:t>.</w:t>
      </w:r>
    </w:p>
    <w:p w14:paraId="5EA6CE91" w14:textId="77777777" w:rsidR="00DB5A86" w:rsidRPr="008C0F29" w:rsidRDefault="00DB5A86" w:rsidP="00DB5A86">
      <w:pPr>
        <w:pStyle w:val="LI-Heading2"/>
        <w:rPr>
          <w:szCs w:val="24"/>
        </w:rPr>
      </w:pPr>
      <w:bookmarkStart w:id="5" w:name="_Toc146222832"/>
      <w:r w:rsidRPr="008C0F29">
        <w:rPr>
          <w:szCs w:val="24"/>
        </w:rPr>
        <w:t>2</w:t>
      </w:r>
      <w:r>
        <w:rPr>
          <w:szCs w:val="24"/>
        </w:rPr>
        <w:tab/>
      </w:r>
      <w:r w:rsidRPr="008C0F29">
        <w:rPr>
          <w:szCs w:val="24"/>
        </w:rPr>
        <w:t>Commencement</w:t>
      </w:r>
      <w:bookmarkEnd w:id="5"/>
    </w:p>
    <w:p w14:paraId="404F8544" w14:textId="77777777" w:rsidR="00DB5A86" w:rsidRPr="008C0F29" w:rsidRDefault="00DB5A86" w:rsidP="00DB5A86">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45B86475" w14:textId="77777777" w:rsidR="00DB5A86" w:rsidRDefault="00DB5A86" w:rsidP="00DB5A86">
      <w:pPr>
        <w:pStyle w:val="LI-BodyTextNote"/>
      </w:pPr>
      <w:r w:rsidRPr="00F61B09">
        <w:t>Note:</w:t>
      </w:r>
      <w:r w:rsidRPr="00F61B09">
        <w:tab/>
      </w:r>
      <w:r>
        <w:t xml:space="preserve">The register </w:t>
      </w:r>
      <w:r w:rsidRPr="00572BB1">
        <w:t xml:space="preserve">may </w:t>
      </w:r>
      <w:r>
        <w:t xml:space="preserve">be accessed at </w:t>
      </w:r>
      <w:hyperlink r:id="rId18" w:history="1">
        <w:r w:rsidRPr="008B4C0E">
          <w:rPr>
            <w:rStyle w:val="Hyperlink"/>
          </w:rPr>
          <w:t>www.legislation.gov.au</w:t>
        </w:r>
      </w:hyperlink>
      <w:r>
        <w:t>.</w:t>
      </w:r>
    </w:p>
    <w:p w14:paraId="4DF2C5C7" w14:textId="77777777" w:rsidR="00DB5A86" w:rsidRPr="008C0F29" w:rsidRDefault="00DB5A86" w:rsidP="00DB5A86">
      <w:pPr>
        <w:pStyle w:val="LI-Heading2"/>
        <w:spacing w:before="240"/>
        <w:rPr>
          <w:szCs w:val="24"/>
        </w:rPr>
      </w:pPr>
      <w:bookmarkStart w:id="6" w:name="_Toc146222833"/>
      <w:r w:rsidRPr="008C0F29">
        <w:rPr>
          <w:szCs w:val="24"/>
        </w:rPr>
        <w:t>3</w:t>
      </w:r>
      <w:r>
        <w:rPr>
          <w:szCs w:val="24"/>
        </w:rPr>
        <w:tab/>
      </w:r>
      <w:r w:rsidRPr="008C0F29">
        <w:rPr>
          <w:szCs w:val="24"/>
        </w:rPr>
        <w:t>Authority</w:t>
      </w:r>
      <w:bookmarkEnd w:id="6"/>
    </w:p>
    <w:p w14:paraId="759A44FF" w14:textId="77777777" w:rsidR="00DB5A86" w:rsidRDefault="00DB5A86" w:rsidP="00DB5A86">
      <w:pPr>
        <w:pStyle w:val="LI-BodyTextUnnumbered"/>
        <w:rPr>
          <w:szCs w:val="24"/>
        </w:rPr>
      </w:pPr>
      <w:r w:rsidRPr="008C0F29">
        <w:rPr>
          <w:szCs w:val="24"/>
        </w:rPr>
        <w:t xml:space="preserve">This instrument is made </w:t>
      </w:r>
      <w:r w:rsidRPr="00B143A4">
        <w:rPr>
          <w:szCs w:val="24"/>
        </w:rPr>
        <w:t xml:space="preserve">under subsection 655A(1) of </w:t>
      </w:r>
      <w:r>
        <w:rPr>
          <w:szCs w:val="24"/>
        </w:rPr>
        <w:t xml:space="preserve">the </w:t>
      </w:r>
      <w:r w:rsidRPr="00C83D31">
        <w:rPr>
          <w:i/>
          <w:iCs/>
          <w:szCs w:val="24"/>
        </w:rPr>
        <w:t>Corporations Act 2001</w:t>
      </w:r>
      <w:r>
        <w:rPr>
          <w:szCs w:val="24"/>
        </w:rPr>
        <w:t>.</w:t>
      </w:r>
    </w:p>
    <w:p w14:paraId="3A55E572" w14:textId="77777777" w:rsidR="00DB5A86" w:rsidRDefault="00DB5A86" w:rsidP="00DB5A86">
      <w:pPr>
        <w:pStyle w:val="LI-Heading2"/>
        <w:spacing w:before="240"/>
        <w:rPr>
          <w:szCs w:val="24"/>
        </w:rPr>
      </w:pPr>
      <w:bookmarkStart w:id="7" w:name="_Toc420481485"/>
      <w:bookmarkStart w:id="8" w:name="_Toc111626657"/>
      <w:bookmarkStart w:id="9" w:name="_Toc146222834"/>
      <w:r>
        <w:rPr>
          <w:szCs w:val="24"/>
        </w:rPr>
        <w:t>4</w:t>
      </w:r>
      <w:r>
        <w:rPr>
          <w:szCs w:val="24"/>
        </w:rPr>
        <w:tab/>
        <w:t>Definitions</w:t>
      </w:r>
      <w:bookmarkEnd w:id="7"/>
      <w:bookmarkEnd w:id="8"/>
      <w:bookmarkEnd w:id="9"/>
    </w:p>
    <w:p w14:paraId="0C50152B" w14:textId="77777777" w:rsidR="00DB5A86" w:rsidRDefault="00DB5A86" w:rsidP="00DB5A86">
      <w:pPr>
        <w:pStyle w:val="LI-BodyTextUnnumbered"/>
      </w:pPr>
      <w:r>
        <w:t>In this instrument:</w:t>
      </w:r>
    </w:p>
    <w:p w14:paraId="7748C26C" w14:textId="77777777" w:rsidR="00DB5A86" w:rsidRPr="00A012FF" w:rsidRDefault="00DB5A86" w:rsidP="00DB5A86">
      <w:pPr>
        <w:pStyle w:val="LI-BodyTextUnnumbered"/>
        <w:rPr>
          <w:b/>
        </w:rPr>
      </w:pPr>
      <w:r>
        <w:rPr>
          <w:b/>
          <w:i/>
        </w:rPr>
        <w:t>Act</w:t>
      </w:r>
      <w:r>
        <w:t xml:space="preserve"> means the </w:t>
      </w:r>
      <w:r>
        <w:rPr>
          <w:i/>
          <w:iCs/>
        </w:rPr>
        <w:t>Corporations Act 2001</w:t>
      </w:r>
      <w:r>
        <w:t>.</w:t>
      </w:r>
    </w:p>
    <w:p w14:paraId="3D57A517" w14:textId="77777777" w:rsidR="00DB5A86" w:rsidRPr="00F61B09" w:rsidRDefault="00DB5A86" w:rsidP="00DB5A86">
      <w:pPr>
        <w:pStyle w:val="LI-Heading1"/>
      </w:pPr>
      <w:bookmarkStart w:id="10" w:name="_Toc139968800"/>
      <w:bookmarkStart w:id="11" w:name="_Toc146222835"/>
      <w:r w:rsidRPr="006E5320">
        <w:t>Part </w:t>
      </w:r>
      <w:r>
        <w:t>2</w:t>
      </w:r>
      <w:r w:rsidRPr="006554FF">
        <w:t>—</w:t>
      </w:r>
      <w:r>
        <w:t>Declaration</w:t>
      </w:r>
      <w:bookmarkEnd w:id="10"/>
      <w:bookmarkEnd w:id="11"/>
    </w:p>
    <w:p w14:paraId="666546EF" w14:textId="77777777" w:rsidR="00DB5A86" w:rsidRPr="005D3D41" w:rsidRDefault="00DB5A86" w:rsidP="00DB5A86">
      <w:pPr>
        <w:pStyle w:val="LI-Heading2"/>
      </w:pPr>
      <w:bookmarkStart w:id="12" w:name="_Toc139968801"/>
      <w:bookmarkStart w:id="13" w:name="_Toc146222836"/>
      <w:r>
        <w:t>5</w:t>
      </w:r>
      <w:r>
        <w:tab/>
        <w:t xml:space="preserve">Changes to a bidder’s or target’s statement between </w:t>
      </w:r>
      <w:proofErr w:type="spellStart"/>
      <w:r>
        <w:t>lodgment</w:t>
      </w:r>
      <w:proofErr w:type="spellEnd"/>
      <w:r>
        <w:t xml:space="preserve"> and dispatch</w:t>
      </w:r>
      <w:bookmarkEnd w:id="12"/>
      <w:bookmarkEnd w:id="13"/>
    </w:p>
    <w:p w14:paraId="565F2806" w14:textId="77777777" w:rsidR="00DB5A86" w:rsidRDefault="00DB5A86" w:rsidP="00DB5A86">
      <w:pPr>
        <w:pStyle w:val="LI-BodyTextNumbered"/>
        <w:ind w:firstLine="0"/>
      </w:pPr>
      <w:r>
        <w:t>Chapter 6 of the Act applies to all persons as if the Chapter were modified or varied as follows:</w:t>
      </w:r>
    </w:p>
    <w:p w14:paraId="1B8F48EC" w14:textId="77777777" w:rsidR="00DB5A86" w:rsidRPr="00BB729C" w:rsidRDefault="00DB5A86" w:rsidP="00DB5A86">
      <w:pPr>
        <w:pStyle w:val="LI-SectionHeading"/>
        <w:ind w:left="1701"/>
        <w:rPr>
          <w:b w:val="0"/>
          <w:bCs/>
        </w:rPr>
      </w:pPr>
      <w:r w:rsidRPr="00BB729C">
        <w:rPr>
          <w:b w:val="0"/>
          <w:bCs/>
          <w:lang w:val="en-US"/>
        </w:rPr>
        <w:t>(a)</w:t>
      </w:r>
      <w:r w:rsidRPr="00BB729C">
        <w:rPr>
          <w:b w:val="0"/>
          <w:bCs/>
          <w:lang w:val="en-US"/>
        </w:rPr>
        <w:tab/>
      </w:r>
      <w:r w:rsidRPr="00BB729C">
        <w:rPr>
          <w:b w:val="0"/>
          <w:bCs/>
        </w:rPr>
        <w:t>omit item 6 in the table in subsection 633(1), substitute:</w:t>
      </w:r>
    </w:p>
    <w:tbl>
      <w:tblPr>
        <w:tblW w:w="7035" w:type="dxa"/>
        <w:tblInd w:w="1560" w:type="dxa"/>
        <w:tblLayout w:type="fixed"/>
        <w:tblCellMar>
          <w:bottom w:w="113" w:type="dxa"/>
        </w:tblCellMar>
        <w:tblLook w:val="0000" w:firstRow="0" w:lastRow="0" w:firstColumn="0" w:lastColumn="0" w:noHBand="0" w:noVBand="0"/>
      </w:tblPr>
      <w:tblGrid>
        <w:gridCol w:w="425"/>
        <w:gridCol w:w="3305"/>
        <w:gridCol w:w="3305"/>
      </w:tblGrid>
      <w:tr w:rsidR="00DB5A86" w:rsidRPr="008C3F69" w14:paraId="7BBFA732" w14:textId="77777777" w:rsidTr="00685846">
        <w:trPr>
          <w:cantSplit/>
        </w:trPr>
        <w:tc>
          <w:tcPr>
            <w:tcW w:w="425" w:type="dxa"/>
          </w:tcPr>
          <w:p w14:paraId="62ED37EF"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r w:rsidRPr="008A0FD0">
              <w:rPr>
                <w:rFonts w:eastAsia="Times New Roman"/>
                <w:sz w:val="24"/>
                <w:szCs w:val="24"/>
                <w:lang w:eastAsia="en-AU"/>
              </w:rPr>
              <w:lastRenderedPageBreak/>
              <w:t>“</w:t>
            </w:r>
            <w:r>
              <w:rPr>
                <w:rFonts w:ascii="Arial" w:eastAsia="Times New Roman" w:hAnsi="Arial" w:cs="Arial"/>
                <w:sz w:val="18"/>
                <w:szCs w:val="18"/>
                <w:lang w:eastAsia="en-AU"/>
              </w:rPr>
              <w:t>6</w:t>
            </w:r>
          </w:p>
        </w:tc>
        <w:tc>
          <w:tcPr>
            <w:tcW w:w="3305" w:type="dxa"/>
          </w:tcPr>
          <w:p w14:paraId="4187C07D" w14:textId="77777777" w:rsidR="00DB5A86" w:rsidRPr="00810BDE"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The bidder must:</w:t>
            </w:r>
          </w:p>
          <w:p w14:paraId="0FF04E22" w14:textId="77777777" w:rsidR="00DB5A86" w:rsidRPr="00810BDE"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(a)</w:t>
            </w:r>
            <w:r w:rsidRPr="00810BDE">
              <w:rPr>
                <w:rFonts w:ascii="Arial" w:eastAsia="Times New Roman" w:hAnsi="Arial" w:cs="Arial"/>
                <w:spacing w:val="-4"/>
                <w:sz w:val="18"/>
                <w:szCs w:val="18"/>
                <w:lang w:eastAsia="en-AU"/>
              </w:rPr>
              <w:tab/>
              <w:t>if the bidder is not eligible to rely on section 633A—send the bidder’s statement and offers to each person (other than the bidder) who, as at the date set by the bidder under subsection (2), holds:</w:t>
            </w:r>
          </w:p>
          <w:p w14:paraId="10F23636" w14:textId="77777777" w:rsidR="00DB5A86" w:rsidRPr="00810BDE" w:rsidRDefault="00DB5A86" w:rsidP="00685846">
            <w:pPr>
              <w:widowControl w:val="0"/>
              <w:spacing w:before="120" w:line="240" w:lineRule="atLeast"/>
              <w:ind w:left="796" w:hanging="425"/>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securities in the bid class; or</w:t>
            </w:r>
          </w:p>
          <w:p w14:paraId="37167083" w14:textId="77777777" w:rsidR="00DB5A86" w:rsidRPr="008C3F69" w:rsidRDefault="00DB5A86" w:rsidP="00685846">
            <w:pPr>
              <w:widowControl w:val="0"/>
              <w:spacing w:before="120" w:line="240" w:lineRule="atLeast"/>
              <w:ind w:left="796" w:hanging="425"/>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 xml:space="preserve">if the bid extends to securities that come to be in the bid class due to the conversion of or exercise of rights attached to other securities </w:t>
            </w:r>
            <w:r>
              <w:rPr>
                <w:rFonts w:ascii="Arial" w:eastAsia="Times New Roman" w:hAnsi="Arial" w:cs="Arial"/>
                <w:spacing w:val="-4"/>
                <w:sz w:val="18"/>
                <w:szCs w:val="18"/>
                <w:lang w:eastAsia="en-AU"/>
              </w:rPr>
              <w:t xml:space="preserve">or derivatives </w:t>
            </w:r>
            <w:r w:rsidRPr="00810BDE">
              <w:rPr>
                <w:rFonts w:ascii="Arial" w:eastAsia="Times New Roman" w:hAnsi="Arial" w:cs="Arial"/>
                <w:spacing w:val="-4"/>
                <w:sz w:val="18"/>
                <w:szCs w:val="18"/>
                <w:lang w:eastAsia="en-AU"/>
              </w:rPr>
              <w:t>(see subsection 617(2))–the other securities</w:t>
            </w:r>
            <w:r>
              <w:rPr>
                <w:rFonts w:ascii="Arial" w:eastAsia="Times New Roman" w:hAnsi="Arial" w:cs="Arial"/>
                <w:spacing w:val="-4"/>
                <w:sz w:val="18"/>
                <w:szCs w:val="18"/>
                <w:lang w:eastAsia="en-AU"/>
              </w:rPr>
              <w:t xml:space="preserve"> or derivatives</w:t>
            </w:r>
            <w:r w:rsidRPr="00810BDE">
              <w:rPr>
                <w:rFonts w:ascii="Arial" w:eastAsia="Times New Roman" w:hAnsi="Arial" w:cs="Arial"/>
                <w:spacing w:val="-4"/>
                <w:sz w:val="18"/>
                <w:szCs w:val="18"/>
                <w:lang w:eastAsia="en-AU"/>
              </w:rPr>
              <w:t>;</w:t>
            </w:r>
          </w:p>
        </w:tc>
        <w:tc>
          <w:tcPr>
            <w:tcW w:w="3305" w:type="dxa"/>
          </w:tcPr>
          <w:p w14:paraId="72E72296" w14:textId="77777777" w:rsidR="00DB5A86" w:rsidRDefault="00DB5A86" w:rsidP="00685846">
            <w:pPr>
              <w:widowControl w:val="0"/>
              <w:spacing w:before="120" w:line="240" w:lineRule="atLeast"/>
              <w:ind w:left="371" w:hanging="371"/>
              <w:rPr>
                <w:rFonts w:ascii="Arial" w:eastAsia="Times New Roman" w:hAnsi="Arial" w:cs="Arial"/>
                <w:sz w:val="18"/>
                <w:szCs w:val="18"/>
                <w:lang w:eastAsia="en-AU"/>
              </w:rPr>
            </w:pPr>
          </w:p>
          <w:p w14:paraId="2826BBE5" w14:textId="77777777" w:rsidR="00DB5A86" w:rsidRDefault="00DB5A86" w:rsidP="00685846">
            <w:pPr>
              <w:widowControl w:val="0"/>
              <w:spacing w:before="120" w:line="240" w:lineRule="atLeast"/>
              <w:ind w:left="371" w:hanging="371"/>
              <w:rPr>
                <w:rFonts w:ascii="Arial" w:eastAsia="Times New Roman" w:hAnsi="Arial" w:cs="Arial"/>
                <w:sz w:val="18"/>
                <w:szCs w:val="18"/>
                <w:lang w:eastAsia="en-AU"/>
              </w:rPr>
            </w:pPr>
            <w:r w:rsidRPr="001B02A5">
              <w:rPr>
                <w:rFonts w:ascii="Arial" w:eastAsia="Times New Roman" w:hAnsi="Arial" w:cs="Arial"/>
                <w:sz w:val="18"/>
                <w:szCs w:val="18"/>
                <w:lang w:eastAsia="en-AU"/>
              </w:rPr>
              <w:t>For subitem (a), to be done:</w:t>
            </w:r>
          </w:p>
          <w:p w14:paraId="71030D24" w14:textId="77777777" w:rsidR="00DB5A86"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a</w:t>
            </w: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r>
            <w:r w:rsidRPr="006D7036">
              <w:rPr>
                <w:rFonts w:ascii="Arial" w:eastAsia="Times New Roman" w:hAnsi="Arial" w:cs="Arial"/>
                <w:spacing w:val="-4"/>
                <w:sz w:val="18"/>
                <w:szCs w:val="18"/>
                <w:lang w:eastAsia="en-AU"/>
              </w:rPr>
              <w:t xml:space="preserve">within a </w:t>
            </w:r>
            <w:proofErr w:type="gramStart"/>
            <w:r w:rsidRPr="006D7036">
              <w:rPr>
                <w:rFonts w:ascii="Arial" w:eastAsia="Times New Roman" w:hAnsi="Arial" w:cs="Arial"/>
                <w:spacing w:val="-4"/>
                <w:sz w:val="18"/>
                <w:szCs w:val="18"/>
                <w:lang w:eastAsia="en-AU"/>
              </w:rPr>
              <w:t>3 day</w:t>
            </w:r>
            <w:proofErr w:type="gramEnd"/>
            <w:r w:rsidRPr="006D7036">
              <w:rPr>
                <w:rFonts w:ascii="Arial" w:eastAsia="Times New Roman" w:hAnsi="Arial" w:cs="Arial"/>
                <w:spacing w:val="-4"/>
                <w:sz w:val="18"/>
                <w:szCs w:val="18"/>
                <w:lang w:eastAsia="en-AU"/>
              </w:rPr>
              <w:t xml:space="preserve"> period; and</w:t>
            </w:r>
          </w:p>
          <w:p w14:paraId="1D1C0CD3" w14:textId="77777777" w:rsidR="00DB5A86"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b</w:t>
            </w: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r>
            <w:r w:rsidRPr="006D7036">
              <w:rPr>
                <w:rFonts w:ascii="Arial" w:eastAsia="Times New Roman" w:hAnsi="Arial" w:cs="Arial"/>
                <w:spacing w:val="-4"/>
                <w:sz w:val="18"/>
                <w:szCs w:val="18"/>
                <w:lang w:eastAsia="en-AU"/>
              </w:rPr>
              <w:t>within 14—28 days after the bidder’s statement is sent to the target.</w:t>
            </w:r>
          </w:p>
          <w:p w14:paraId="5824C01C" w14:textId="77777777" w:rsidR="00DB5A86" w:rsidRPr="001B02A5" w:rsidRDefault="00DB5A86" w:rsidP="00685846">
            <w:pPr>
              <w:widowControl w:val="0"/>
              <w:spacing w:before="120" w:line="240" w:lineRule="atLeast"/>
              <w:rPr>
                <w:rFonts w:ascii="Arial" w:eastAsia="Times New Roman" w:hAnsi="Arial" w:cs="Arial"/>
                <w:sz w:val="18"/>
                <w:szCs w:val="18"/>
                <w:lang w:eastAsia="en-AU"/>
              </w:rPr>
            </w:pPr>
            <w:r w:rsidRPr="001B02A5">
              <w:rPr>
                <w:rFonts w:ascii="Arial" w:eastAsia="Times New Roman" w:hAnsi="Arial" w:cs="Arial"/>
                <w:sz w:val="18"/>
                <w:szCs w:val="18"/>
                <w:lang w:eastAsia="en-AU"/>
              </w:rPr>
              <w:t>The directors of the target may agree that the offers and accompanying documents be sent earlier.</w:t>
            </w:r>
          </w:p>
          <w:p w14:paraId="14EADAA0" w14:textId="77777777" w:rsidR="00DB5A86" w:rsidRPr="008A0FD0" w:rsidRDefault="00DB5A86" w:rsidP="00685846">
            <w:pPr>
              <w:widowControl w:val="0"/>
              <w:spacing w:before="120" w:line="240" w:lineRule="atLeast"/>
              <w:rPr>
                <w:rFonts w:ascii="Arial" w:eastAsia="Times New Roman" w:hAnsi="Arial" w:cs="Arial"/>
                <w:i/>
                <w:iCs/>
                <w:sz w:val="18"/>
                <w:szCs w:val="18"/>
                <w:lang w:eastAsia="en-AU"/>
              </w:rPr>
            </w:pPr>
            <w:r w:rsidRPr="008A0FD0">
              <w:rPr>
                <w:rFonts w:ascii="Arial" w:eastAsia="Times New Roman" w:hAnsi="Arial" w:cs="Arial"/>
                <w:i/>
                <w:iCs/>
                <w:sz w:val="18"/>
                <w:szCs w:val="18"/>
                <w:lang w:eastAsia="en-AU"/>
              </w:rPr>
              <w:t>See also subsections (5) and (6).</w:t>
            </w:r>
          </w:p>
          <w:p w14:paraId="10D1E78C" w14:textId="77777777" w:rsidR="00DB5A86" w:rsidRPr="008A0FD0" w:rsidRDefault="00DB5A86" w:rsidP="00685846">
            <w:pPr>
              <w:widowControl w:val="0"/>
              <w:spacing w:before="120" w:line="240" w:lineRule="atLeast"/>
              <w:rPr>
                <w:rFonts w:ascii="Arial" w:eastAsia="Times New Roman" w:hAnsi="Arial" w:cs="Arial"/>
                <w:i/>
                <w:iCs/>
                <w:sz w:val="18"/>
                <w:szCs w:val="18"/>
                <w:lang w:eastAsia="en-AU"/>
              </w:rPr>
            </w:pPr>
            <w:r w:rsidRPr="008A0FD0">
              <w:rPr>
                <w:rFonts w:ascii="Arial" w:eastAsia="Times New Roman" w:hAnsi="Arial" w:cs="Arial"/>
                <w:i/>
                <w:iCs/>
                <w:sz w:val="18"/>
                <w:szCs w:val="18"/>
                <w:lang w:eastAsia="en-AU"/>
              </w:rPr>
              <w:t xml:space="preserve">Item 2 of the table in section 611 covers offers made by the bidder on-market during the period between the </w:t>
            </w:r>
            <w:proofErr w:type="spellStart"/>
            <w:r w:rsidRPr="008A0FD0">
              <w:rPr>
                <w:rFonts w:ascii="Arial" w:eastAsia="Times New Roman" w:hAnsi="Arial" w:cs="Arial"/>
                <w:i/>
                <w:iCs/>
                <w:sz w:val="18"/>
                <w:szCs w:val="18"/>
                <w:lang w:eastAsia="en-AU"/>
              </w:rPr>
              <w:t>lodgment</w:t>
            </w:r>
            <w:proofErr w:type="spellEnd"/>
            <w:r w:rsidRPr="008A0FD0">
              <w:rPr>
                <w:rFonts w:ascii="Arial" w:eastAsia="Times New Roman" w:hAnsi="Arial" w:cs="Arial"/>
                <w:i/>
                <w:iCs/>
                <w:sz w:val="18"/>
                <w:szCs w:val="18"/>
                <w:lang w:eastAsia="en-AU"/>
              </w:rPr>
              <w:t xml:space="preserve"> of the bidder’s statement and the making of offers under the bid.</w:t>
            </w:r>
          </w:p>
          <w:p w14:paraId="5FAC9AE8"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r w:rsidRPr="008A0FD0">
              <w:rPr>
                <w:rFonts w:ascii="Arial" w:eastAsia="Times New Roman" w:hAnsi="Arial" w:cs="Arial"/>
                <w:i/>
                <w:iCs/>
                <w:sz w:val="18"/>
                <w:szCs w:val="18"/>
                <w:lang w:eastAsia="en-AU"/>
              </w:rPr>
              <w:t>Sections 648B and 648C provide for the manner in which documents may be sent to holders.</w:t>
            </w:r>
          </w:p>
        </w:tc>
      </w:tr>
      <w:tr w:rsidR="00DB5A86" w:rsidRPr="008C3F69" w14:paraId="0459783D" w14:textId="77777777" w:rsidTr="00685846">
        <w:trPr>
          <w:cantSplit/>
          <w:trHeight w:val="6324"/>
        </w:trPr>
        <w:tc>
          <w:tcPr>
            <w:tcW w:w="425" w:type="dxa"/>
          </w:tcPr>
          <w:p w14:paraId="027E1F1B" w14:textId="77777777" w:rsidR="00DB5A86" w:rsidRDefault="00DB5A86" w:rsidP="00685846">
            <w:pPr>
              <w:widowControl w:val="0"/>
              <w:spacing w:before="120" w:line="240" w:lineRule="atLeast"/>
              <w:rPr>
                <w:rFonts w:ascii="Arial" w:eastAsia="Times New Roman" w:hAnsi="Arial" w:cs="Arial"/>
                <w:sz w:val="18"/>
                <w:szCs w:val="18"/>
                <w:lang w:eastAsia="en-AU"/>
              </w:rPr>
            </w:pPr>
          </w:p>
        </w:tc>
        <w:tc>
          <w:tcPr>
            <w:tcW w:w="3305" w:type="dxa"/>
          </w:tcPr>
          <w:p w14:paraId="3B7BFEB0" w14:textId="77777777" w:rsidR="00DB5A86"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Pr>
                <w:rFonts w:ascii="Arial" w:eastAsia="Times New Roman" w:hAnsi="Arial" w:cs="Arial"/>
                <w:spacing w:val="-4"/>
                <w:sz w:val="18"/>
                <w:szCs w:val="18"/>
                <w:lang w:eastAsia="en-AU"/>
              </w:rPr>
              <w:t>Or:</w:t>
            </w:r>
          </w:p>
          <w:p w14:paraId="1EE68267" w14:textId="77777777" w:rsidR="00DB5A86" w:rsidRPr="00810BDE"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(b)</w:t>
            </w:r>
            <w:r w:rsidRPr="00810BDE">
              <w:rPr>
                <w:rFonts w:ascii="Arial" w:eastAsia="Times New Roman" w:hAnsi="Arial" w:cs="Arial"/>
                <w:spacing w:val="-4"/>
                <w:sz w:val="18"/>
                <w:szCs w:val="18"/>
                <w:lang w:eastAsia="en-AU"/>
              </w:rPr>
              <w:tab/>
              <w:t>if the bidder is eligible to rely on section 633A—send the replacement bidder’s statement and offers to each person (other than the bidder) who, as at the date set by the bidder under subsection (2), holds:</w:t>
            </w:r>
          </w:p>
          <w:p w14:paraId="0C257972" w14:textId="77777777" w:rsidR="00DB5A86" w:rsidRPr="00810BDE" w:rsidRDefault="00DB5A86" w:rsidP="00685846">
            <w:pPr>
              <w:widowControl w:val="0"/>
              <w:spacing w:before="120" w:line="240" w:lineRule="atLeast"/>
              <w:ind w:left="735" w:hanging="423"/>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securities in the bid class; or</w:t>
            </w:r>
          </w:p>
          <w:p w14:paraId="14B0BD98" w14:textId="77777777" w:rsidR="00DB5A86" w:rsidRPr="00810BDE" w:rsidRDefault="00DB5A86" w:rsidP="00685846">
            <w:pPr>
              <w:widowControl w:val="0"/>
              <w:spacing w:before="120" w:line="240" w:lineRule="atLeast"/>
              <w:ind w:left="735" w:hanging="423"/>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 xml:space="preserve">if the bid extends to securities that come to be in the bid class due to the conversion of or exercise of rights attached to other securities </w:t>
            </w:r>
            <w:r>
              <w:rPr>
                <w:rFonts w:ascii="Arial" w:eastAsia="Times New Roman" w:hAnsi="Arial" w:cs="Arial"/>
                <w:spacing w:val="-4"/>
                <w:sz w:val="18"/>
                <w:szCs w:val="18"/>
                <w:lang w:eastAsia="en-AU"/>
              </w:rPr>
              <w:t xml:space="preserve">or derivatives </w:t>
            </w:r>
            <w:r w:rsidRPr="00810BDE">
              <w:rPr>
                <w:rFonts w:ascii="Arial" w:eastAsia="Times New Roman" w:hAnsi="Arial" w:cs="Arial"/>
                <w:spacing w:val="-4"/>
                <w:sz w:val="18"/>
                <w:szCs w:val="18"/>
                <w:lang w:eastAsia="en-AU"/>
              </w:rPr>
              <w:t>(see subsection 617(2))–the other securities</w:t>
            </w:r>
            <w:r>
              <w:rPr>
                <w:rFonts w:ascii="Arial" w:eastAsia="Times New Roman" w:hAnsi="Arial" w:cs="Arial"/>
                <w:spacing w:val="-4"/>
                <w:sz w:val="18"/>
                <w:szCs w:val="18"/>
                <w:lang w:eastAsia="en-AU"/>
              </w:rPr>
              <w:t xml:space="preserve"> or derivatives</w:t>
            </w:r>
            <w:r w:rsidRPr="00810BDE">
              <w:rPr>
                <w:rFonts w:ascii="Arial" w:eastAsia="Times New Roman" w:hAnsi="Arial" w:cs="Arial"/>
                <w:spacing w:val="-4"/>
                <w:sz w:val="18"/>
                <w:szCs w:val="18"/>
                <w:lang w:eastAsia="en-AU"/>
              </w:rPr>
              <w:t>.</w:t>
            </w:r>
          </w:p>
          <w:p w14:paraId="5B662604" w14:textId="77777777" w:rsidR="00DB5A86" w:rsidRPr="00810BDE" w:rsidRDefault="00DB5A86" w:rsidP="00685846">
            <w:pPr>
              <w:widowControl w:val="0"/>
              <w:spacing w:before="120" w:line="240" w:lineRule="atLeast"/>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In either case, the offers must be made on the terms set out in the original bidder’s statement and the offer document lodged with ASIC under item 2.</w:t>
            </w:r>
          </w:p>
        </w:tc>
        <w:tc>
          <w:tcPr>
            <w:tcW w:w="3305" w:type="dxa"/>
          </w:tcPr>
          <w:p w14:paraId="78CD5153" w14:textId="77777777" w:rsidR="00DB5A86" w:rsidRPr="001B02A5" w:rsidRDefault="00DB5A86" w:rsidP="00685846">
            <w:pPr>
              <w:widowControl w:val="0"/>
              <w:spacing w:before="120" w:line="240" w:lineRule="atLeast"/>
              <w:ind w:left="371" w:hanging="371"/>
              <w:rPr>
                <w:rFonts w:ascii="Arial" w:eastAsia="Times New Roman" w:hAnsi="Arial" w:cs="Arial"/>
                <w:sz w:val="18"/>
                <w:szCs w:val="18"/>
                <w:lang w:eastAsia="en-AU"/>
              </w:rPr>
            </w:pPr>
            <w:r w:rsidRPr="001B02A5">
              <w:rPr>
                <w:rFonts w:ascii="Arial" w:eastAsia="Times New Roman" w:hAnsi="Arial" w:cs="Arial"/>
                <w:sz w:val="18"/>
                <w:szCs w:val="18"/>
                <w:lang w:eastAsia="en-AU"/>
              </w:rPr>
              <w:t xml:space="preserve">For subitem (b), to be done: </w:t>
            </w:r>
          </w:p>
          <w:p w14:paraId="77B5D03D" w14:textId="77777777" w:rsidR="00DB5A86"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a</w:t>
            </w: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r>
            <w:r w:rsidRPr="00D84358">
              <w:rPr>
                <w:rFonts w:ascii="Arial" w:eastAsia="Times New Roman" w:hAnsi="Arial" w:cs="Arial"/>
                <w:spacing w:val="-4"/>
                <w:sz w:val="18"/>
                <w:szCs w:val="18"/>
                <w:lang w:eastAsia="en-AU"/>
              </w:rPr>
              <w:t xml:space="preserve">within a </w:t>
            </w:r>
            <w:proofErr w:type="gramStart"/>
            <w:r w:rsidRPr="00D84358">
              <w:rPr>
                <w:rFonts w:ascii="Arial" w:eastAsia="Times New Roman" w:hAnsi="Arial" w:cs="Arial"/>
                <w:spacing w:val="-4"/>
                <w:sz w:val="18"/>
                <w:szCs w:val="18"/>
                <w:lang w:eastAsia="en-AU"/>
              </w:rPr>
              <w:t>3 day</w:t>
            </w:r>
            <w:proofErr w:type="gramEnd"/>
            <w:r w:rsidRPr="00D84358">
              <w:rPr>
                <w:rFonts w:ascii="Arial" w:eastAsia="Times New Roman" w:hAnsi="Arial" w:cs="Arial"/>
                <w:spacing w:val="-4"/>
                <w:sz w:val="18"/>
                <w:szCs w:val="18"/>
                <w:lang w:eastAsia="en-AU"/>
              </w:rPr>
              <w:t xml:space="preserve"> period; and</w:t>
            </w:r>
          </w:p>
          <w:p w14:paraId="1502B45E" w14:textId="77777777" w:rsidR="00DB5A86"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b</w:t>
            </w: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r>
            <w:r w:rsidRPr="00D84358">
              <w:rPr>
                <w:rFonts w:ascii="Arial" w:eastAsia="Times New Roman" w:hAnsi="Arial" w:cs="Arial"/>
                <w:spacing w:val="-4"/>
                <w:sz w:val="18"/>
                <w:szCs w:val="18"/>
                <w:lang w:eastAsia="en-AU"/>
              </w:rPr>
              <w:t>within 14—28 days after the bidder becomes eligible to rely on section 633A unless one of the following subparagraphs apply in which case it may be done less than 14 days after the bidder becomes eligible to rely on that section:</w:t>
            </w:r>
          </w:p>
          <w:p w14:paraId="23CE2589" w14:textId="77777777" w:rsidR="00DB5A86" w:rsidRPr="001B02A5" w:rsidRDefault="00DB5A86" w:rsidP="00685846">
            <w:pPr>
              <w:widowControl w:val="0"/>
              <w:spacing w:before="120" w:line="240" w:lineRule="atLeast"/>
              <w:ind w:left="556" w:hanging="284"/>
              <w:rPr>
                <w:rFonts w:ascii="Arial" w:eastAsia="Times New Roman" w:hAnsi="Arial" w:cs="Arial"/>
                <w:sz w:val="18"/>
                <w:szCs w:val="18"/>
                <w:lang w:eastAsia="en-AU"/>
              </w:rPr>
            </w:pPr>
            <w:r w:rsidRPr="001B02A5">
              <w:rPr>
                <w:rFonts w:ascii="Arial" w:eastAsia="Times New Roman" w:hAnsi="Arial" w:cs="Arial"/>
                <w:sz w:val="18"/>
                <w:szCs w:val="18"/>
                <w:lang w:eastAsia="en-AU"/>
              </w:rPr>
              <w:t>(</w:t>
            </w:r>
            <w:proofErr w:type="spellStart"/>
            <w:r w:rsidRPr="001B02A5">
              <w:rPr>
                <w:rFonts w:ascii="Arial" w:eastAsia="Times New Roman" w:hAnsi="Arial" w:cs="Arial"/>
                <w:sz w:val="18"/>
                <w:szCs w:val="18"/>
                <w:lang w:eastAsia="en-AU"/>
              </w:rPr>
              <w:t>i</w:t>
            </w:r>
            <w:proofErr w:type="spellEnd"/>
            <w:r w:rsidRPr="001B02A5">
              <w:rPr>
                <w:rFonts w:ascii="Arial" w:eastAsia="Times New Roman" w:hAnsi="Arial" w:cs="Arial"/>
                <w:sz w:val="18"/>
                <w:szCs w:val="18"/>
                <w:lang w:eastAsia="en-AU"/>
              </w:rPr>
              <w:t>)</w:t>
            </w:r>
            <w:r w:rsidRPr="001B02A5">
              <w:rPr>
                <w:rFonts w:ascii="Arial" w:eastAsia="Times New Roman" w:hAnsi="Arial" w:cs="Arial"/>
                <w:sz w:val="18"/>
                <w:szCs w:val="18"/>
                <w:lang w:eastAsia="en-AU"/>
              </w:rPr>
              <w:tab/>
              <w:t xml:space="preserve">the target agrees in writing, </w:t>
            </w:r>
            <w:r>
              <w:rPr>
                <w:rFonts w:ascii="Arial" w:eastAsia="Times New Roman" w:hAnsi="Arial" w:cs="Arial"/>
                <w:sz w:val="18"/>
                <w:szCs w:val="18"/>
                <w:lang w:eastAsia="en-AU"/>
              </w:rPr>
              <w:t xml:space="preserve">where that </w:t>
            </w:r>
            <w:r w:rsidRPr="001B02A5">
              <w:rPr>
                <w:rFonts w:ascii="Arial" w:eastAsia="Times New Roman" w:hAnsi="Arial" w:cs="Arial"/>
                <w:sz w:val="18"/>
                <w:szCs w:val="18"/>
                <w:lang w:eastAsia="en-AU"/>
              </w:rPr>
              <w:t>agreement</w:t>
            </w:r>
            <w:r>
              <w:rPr>
                <w:rFonts w:ascii="Arial" w:eastAsia="Times New Roman" w:hAnsi="Arial" w:cs="Arial"/>
                <w:sz w:val="18"/>
                <w:szCs w:val="18"/>
                <w:lang w:eastAsia="en-AU"/>
              </w:rPr>
              <w:t xml:space="preserve"> has been approved</w:t>
            </w:r>
            <w:r w:rsidRPr="001B02A5">
              <w:rPr>
                <w:rFonts w:ascii="Arial" w:eastAsia="Times New Roman" w:hAnsi="Arial" w:cs="Arial"/>
                <w:sz w:val="18"/>
                <w:szCs w:val="18"/>
                <w:lang w:eastAsia="en-AU"/>
              </w:rPr>
              <w:t xml:space="preserve"> in any of the ways a target’s statement must be approved under subsection </w:t>
            </w:r>
            <w:proofErr w:type="gramStart"/>
            <w:r w:rsidRPr="001B02A5">
              <w:rPr>
                <w:rFonts w:ascii="Arial" w:eastAsia="Times New Roman" w:hAnsi="Arial" w:cs="Arial"/>
                <w:sz w:val="18"/>
                <w:szCs w:val="18"/>
                <w:lang w:eastAsia="en-AU"/>
              </w:rPr>
              <w:t>639(1);</w:t>
            </w:r>
            <w:proofErr w:type="gramEnd"/>
          </w:p>
          <w:p w14:paraId="3682B2C4" w14:textId="77777777" w:rsidR="00DB5A86" w:rsidRDefault="00DB5A86" w:rsidP="00685846">
            <w:pPr>
              <w:widowControl w:val="0"/>
              <w:spacing w:before="120" w:line="240" w:lineRule="atLeast"/>
              <w:ind w:left="556" w:hanging="284"/>
              <w:rPr>
                <w:rFonts w:ascii="Arial" w:eastAsia="Times New Roman" w:hAnsi="Arial" w:cs="Arial"/>
                <w:sz w:val="18"/>
                <w:szCs w:val="18"/>
                <w:lang w:eastAsia="en-AU"/>
              </w:rPr>
            </w:pPr>
            <w:r w:rsidRPr="001B02A5">
              <w:rPr>
                <w:rFonts w:ascii="Arial" w:eastAsia="Times New Roman" w:hAnsi="Arial" w:cs="Arial"/>
                <w:sz w:val="18"/>
                <w:szCs w:val="18"/>
                <w:lang w:eastAsia="en-AU"/>
              </w:rPr>
              <w:t>(ii)</w:t>
            </w:r>
            <w:r w:rsidRPr="001B02A5">
              <w:rPr>
                <w:rFonts w:ascii="Arial" w:eastAsia="Times New Roman" w:hAnsi="Arial" w:cs="Arial"/>
                <w:sz w:val="18"/>
                <w:szCs w:val="18"/>
                <w:lang w:eastAsia="en-AU"/>
              </w:rPr>
              <w:tab/>
              <w:t xml:space="preserve">ASIC agrees in writing; or </w:t>
            </w:r>
          </w:p>
          <w:p w14:paraId="4F10D34E" w14:textId="77777777" w:rsidR="00DB5A86" w:rsidRDefault="00DB5A86" w:rsidP="00685846">
            <w:pPr>
              <w:widowControl w:val="0"/>
              <w:spacing w:before="120" w:line="240" w:lineRule="atLeast"/>
              <w:ind w:left="556" w:hanging="284"/>
              <w:rPr>
                <w:rFonts w:ascii="Arial" w:eastAsia="Times New Roman" w:hAnsi="Arial" w:cs="Arial"/>
                <w:sz w:val="18"/>
                <w:szCs w:val="18"/>
                <w:lang w:eastAsia="en-AU"/>
              </w:rPr>
            </w:pPr>
            <w:r w:rsidRPr="001B02A5">
              <w:rPr>
                <w:rFonts w:ascii="Arial" w:eastAsia="Times New Roman" w:hAnsi="Arial" w:cs="Arial"/>
                <w:sz w:val="18"/>
                <w:szCs w:val="18"/>
                <w:lang w:eastAsia="en-AU"/>
              </w:rPr>
              <w:t>(</w:t>
            </w:r>
            <w:r>
              <w:rPr>
                <w:rFonts w:ascii="Arial" w:eastAsia="Times New Roman" w:hAnsi="Arial" w:cs="Arial"/>
                <w:sz w:val="18"/>
                <w:szCs w:val="18"/>
                <w:lang w:eastAsia="en-AU"/>
              </w:rPr>
              <w:t>i</w:t>
            </w:r>
            <w:r w:rsidRPr="001B02A5">
              <w:rPr>
                <w:rFonts w:ascii="Arial" w:eastAsia="Times New Roman" w:hAnsi="Arial" w:cs="Arial"/>
                <w:sz w:val="18"/>
                <w:szCs w:val="18"/>
                <w:lang w:eastAsia="en-AU"/>
              </w:rPr>
              <w:t>ii)</w:t>
            </w:r>
            <w:r w:rsidRPr="001B02A5">
              <w:rPr>
                <w:rFonts w:ascii="Arial" w:eastAsia="Times New Roman" w:hAnsi="Arial" w:cs="Arial"/>
                <w:sz w:val="18"/>
                <w:szCs w:val="18"/>
                <w:lang w:eastAsia="en-AU"/>
              </w:rPr>
              <w:tab/>
              <w:t>all changes to the bidder’s statement reflect a change in the valuation of securities offered as bid consideration since the day that the bidder lodged the original bidder’s statement.</w:t>
            </w:r>
            <w:proofErr w:type="gramStart"/>
            <w:r w:rsidRPr="008A0FD0">
              <w:rPr>
                <w:rFonts w:eastAsia="Times New Roman"/>
                <w:sz w:val="24"/>
                <w:szCs w:val="24"/>
                <w:lang w:eastAsia="en-AU"/>
              </w:rPr>
              <w:t>”;</w:t>
            </w:r>
            <w:proofErr w:type="gramEnd"/>
          </w:p>
          <w:p w14:paraId="538749D3" w14:textId="77777777" w:rsidR="00DB5A86" w:rsidRDefault="00DB5A86" w:rsidP="00685846">
            <w:pPr>
              <w:widowControl w:val="0"/>
              <w:spacing w:before="120" w:line="240" w:lineRule="atLeast"/>
              <w:ind w:left="1170" w:hanging="425"/>
              <w:rPr>
                <w:rFonts w:ascii="Arial" w:eastAsia="Times New Roman" w:hAnsi="Arial" w:cs="Arial"/>
                <w:sz w:val="18"/>
                <w:szCs w:val="18"/>
                <w:lang w:eastAsia="en-AU"/>
              </w:rPr>
            </w:pPr>
          </w:p>
          <w:p w14:paraId="0828127A" w14:textId="77777777" w:rsidR="00DB5A86" w:rsidRPr="00CC0E2F" w:rsidRDefault="00DB5A86" w:rsidP="00685846">
            <w:pPr>
              <w:widowControl w:val="0"/>
              <w:spacing w:before="120" w:line="240" w:lineRule="atLeast"/>
              <w:ind w:left="3294"/>
              <w:rPr>
                <w:rFonts w:eastAsia="Times New Roman"/>
                <w:sz w:val="24"/>
                <w:szCs w:val="24"/>
                <w:lang w:eastAsia="en-AU"/>
              </w:rPr>
            </w:pPr>
            <w:r w:rsidRPr="00CC0E2F">
              <w:rPr>
                <w:rFonts w:eastAsia="Times New Roman"/>
                <w:sz w:val="24"/>
                <w:szCs w:val="24"/>
                <w:lang w:eastAsia="en-AU"/>
              </w:rPr>
              <w:t>”;</w:t>
            </w:r>
          </w:p>
        </w:tc>
      </w:tr>
    </w:tbl>
    <w:p w14:paraId="77666C30" w14:textId="77777777" w:rsidR="00DB5A86" w:rsidRPr="00BB729C" w:rsidRDefault="00DB5A86" w:rsidP="00DB5A86">
      <w:pPr>
        <w:pStyle w:val="LI-SectionHeading"/>
        <w:ind w:left="1701"/>
        <w:rPr>
          <w:b w:val="0"/>
          <w:bCs/>
        </w:rPr>
      </w:pPr>
      <w:r w:rsidRPr="00BB729C">
        <w:rPr>
          <w:b w:val="0"/>
          <w:bCs/>
          <w:lang w:val="en-US"/>
        </w:rPr>
        <w:t>(</w:t>
      </w:r>
      <w:r>
        <w:rPr>
          <w:b w:val="0"/>
          <w:bCs/>
          <w:lang w:val="en-US"/>
        </w:rPr>
        <w:t>b</w:t>
      </w:r>
      <w:r w:rsidRPr="00BB729C">
        <w:rPr>
          <w:b w:val="0"/>
          <w:bCs/>
          <w:lang w:val="en-US"/>
        </w:rPr>
        <w:t>)</w:t>
      </w:r>
      <w:r w:rsidRPr="00BB729C">
        <w:rPr>
          <w:b w:val="0"/>
          <w:bCs/>
          <w:lang w:val="en-US"/>
        </w:rPr>
        <w:tab/>
      </w:r>
      <w:r w:rsidRPr="00BB729C">
        <w:rPr>
          <w:b w:val="0"/>
          <w:bCs/>
        </w:rPr>
        <w:t xml:space="preserve">omit item </w:t>
      </w:r>
      <w:r>
        <w:rPr>
          <w:b w:val="0"/>
          <w:bCs/>
        </w:rPr>
        <w:t>12</w:t>
      </w:r>
      <w:r w:rsidRPr="00BB729C">
        <w:rPr>
          <w:b w:val="0"/>
          <w:bCs/>
        </w:rPr>
        <w:t xml:space="preserve"> in the table in subsection 633(1), substitute:</w:t>
      </w:r>
    </w:p>
    <w:tbl>
      <w:tblPr>
        <w:tblW w:w="7035" w:type="dxa"/>
        <w:tblInd w:w="1560" w:type="dxa"/>
        <w:tblLayout w:type="fixed"/>
        <w:tblCellMar>
          <w:bottom w:w="113" w:type="dxa"/>
        </w:tblCellMar>
        <w:tblLook w:val="0000" w:firstRow="0" w:lastRow="0" w:firstColumn="0" w:lastColumn="0" w:noHBand="0" w:noVBand="0"/>
      </w:tblPr>
      <w:tblGrid>
        <w:gridCol w:w="567"/>
        <w:gridCol w:w="3163"/>
        <w:gridCol w:w="3305"/>
      </w:tblGrid>
      <w:tr w:rsidR="00DB5A86" w:rsidRPr="008C3F69" w14:paraId="4EB468BA" w14:textId="77777777" w:rsidTr="00685846">
        <w:trPr>
          <w:cantSplit/>
        </w:trPr>
        <w:tc>
          <w:tcPr>
            <w:tcW w:w="567" w:type="dxa"/>
          </w:tcPr>
          <w:p w14:paraId="2F5157D6"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r w:rsidRPr="008A0FD0">
              <w:rPr>
                <w:rFonts w:eastAsia="Times New Roman"/>
                <w:sz w:val="24"/>
                <w:szCs w:val="24"/>
                <w:lang w:eastAsia="en-AU"/>
              </w:rPr>
              <w:lastRenderedPageBreak/>
              <w:t>“</w:t>
            </w:r>
            <w:r>
              <w:rPr>
                <w:rFonts w:ascii="Arial" w:eastAsia="Times New Roman" w:hAnsi="Arial" w:cs="Arial"/>
                <w:sz w:val="18"/>
                <w:szCs w:val="18"/>
                <w:lang w:eastAsia="en-AU"/>
              </w:rPr>
              <w:t>12</w:t>
            </w:r>
          </w:p>
        </w:tc>
        <w:tc>
          <w:tcPr>
            <w:tcW w:w="3163" w:type="dxa"/>
          </w:tcPr>
          <w:p w14:paraId="5EA383E2" w14:textId="77777777" w:rsidR="00DB5A86" w:rsidRPr="00810BDE"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 xml:space="preserve">The </w:t>
            </w:r>
            <w:r>
              <w:rPr>
                <w:rFonts w:ascii="Arial" w:eastAsia="Times New Roman" w:hAnsi="Arial" w:cs="Arial"/>
                <w:spacing w:val="-4"/>
                <w:sz w:val="18"/>
                <w:szCs w:val="18"/>
                <w:lang w:eastAsia="en-AU"/>
              </w:rPr>
              <w:t>target</w:t>
            </w:r>
            <w:r w:rsidRPr="00810BDE">
              <w:rPr>
                <w:rFonts w:ascii="Arial" w:eastAsia="Times New Roman" w:hAnsi="Arial" w:cs="Arial"/>
                <w:spacing w:val="-4"/>
                <w:sz w:val="18"/>
                <w:szCs w:val="18"/>
                <w:lang w:eastAsia="en-AU"/>
              </w:rPr>
              <w:t xml:space="preserve"> must:</w:t>
            </w:r>
          </w:p>
          <w:p w14:paraId="42075875" w14:textId="77777777" w:rsidR="00DB5A86" w:rsidRPr="00D84358"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a</w:t>
            </w: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r>
            <w:r w:rsidRPr="00D84358">
              <w:rPr>
                <w:rFonts w:ascii="Arial" w:eastAsia="Times New Roman" w:hAnsi="Arial" w:cs="Arial"/>
                <w:spacing w:val="-4"/>
                <w:sz w:val="18"/>
                <w:szCs w:val="18"/>
                <w:lang w:eastAsia="en-AU"/>
              </w:rPr>
              <w:t>if the target is not eligible to rely on section 633B—send a copy of the target’s statement (and any accompanying report) to each person who, as at the date set by the bidder under subsection (2),  holds:</w:t>
            </w:r>
          </w:p>
          <w:p w14:paraId="2ED954CD" w14:textId="77777777" w:rsidR="00DB5A86" w:rsidRPr="00810BDE" w:rsidRDefault="00DB5A86" w:rsidP="00685846">
            <w:pPr>
              <w:widowControl w:val="0"/>
              <w:spacing w:before="120" w:line="240" w:lineRule="atLeast"/>
              <w:ind w:left="796" w:hanging="425"/>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securities in the bid class; or</w:t>
            </w:r>
          </w:p>
          <w:p w14:paraId="6296FD35" w14:textId="77777777" w:rsidR="00DB5A86" w:rsidRPr="008C3F69" w:rsidRDefault="00DB5A86" w:rsidP="00685846">
            <w:pPr>
              <w:widowControl w:val="0"/>
              <w:spacing w:before="120" w:line="240" w:lineRule="atLeast"/>
              <w:ind w:left="796" w:hanging="425"/>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if the bid extends to securities that come to be in the bid class due to the conversion of or exercise of rights attached to other securities</w:t>
            </w:r>
            <w:r>
              <w:rPr>
                <w:rFonts w:ascii="Arial" w:eastAsia="Times New Roman" w:hAnsi="Arial" w:cs="Arial"/>
                <w:spacing w:val="-4"/>
                <w:sz w:val="18"/>
                <w:szCs w:val="18"/>
                <w:lang w:eastAsia="en-AU"/>
              </w:rPr>
              <w:t xml:space="preserve"> or derivatives</w:t>
            </w:r>
            <w:r w:rsidRPr="00810BDE">
              <w:rPr>
                <w:rFonts w:ascii="Arial" w:eastAsia="Times New Roman" w:hAnsi="Arial" w:cs="Arial"/>
                <w:spacing w:val="-4"/>
                <w:sz w:val="18"/>
                <w:szCs w:val="18"/>
                <w:lang w:eastAsia="en-AU"/>
              </w:rPr>
              <w:t xml:space="preserve"> (see subsection 617(2))–the other securities</w:t>
            </w:r>
            <w:r>
              <w:rPr>
                <w:rFonts w:ascii="Arial" w:eastAsia="Times New Roman" w:hAnsi="Arial" w:cs="Arial"/>
                <w:spacing w:val="-4"/>
                <w:sz w:val="18"/>
                <w:szCs w:val="18"/>
                <w:lang w:eastAsia="en-AU"/>
              </w:rPr>
              <w:t xml:space="preserve"> or derivatives</w:t>
            </w:r>
            <w:r w:rsidRPr="00810BDE">
              <w:rPr>
                <w:rFonts w:ascii="Arial" w:eastAsia="Times New Roman" w:hAnsi="Arial" w:cs="Arial"/>
                <w:spacing w:val="-4"/>
                <w:sz w:val="18"/>
                <w:szCs w:val="18"/>
                <w:lang w:eastAsia="en-AU"/>
              </w:rPr>
              <w:t>;</w:t>
            </w:r>
          </w:p>
        </w:tc>
        <w:tc>
          <w:tcPr>
            <w:tcW w:w="3305" w:type="dxa"/>
          </w:tcPr>
          <w:p w14:paraId="557CD80F" w14:textId="77777777" w:rsidR="00DB5A86" w:rsidRDefault="00DB5A86" w:rsidP="00685846">
            <w:pPr>
              <w:widowControl w:val="0"/>
              <w:spacing w:before="120" w:line="240" w:lineRule="atLeast"/>
              <w:ind w:left="371" w:hanging="371"/>
              <w:rPr>
                <w:rFonts w:ascii="Arial" w:eastAsia="Times New Roman" w:hAnsi="Arial" w:cs="Arial"/>
                <w:sz w:val="18"/>
                <w:szCs w:val="18"/>
                <w:lang w:eastAsia="en-AU"/>
              </w:rPr>
            </w:pPr>
          </w:p>
          <w:p w14:paraId="31799051" w14:textId="77777777" w:rsidR="00DB5A86" w:rsidRDefault="00DB5A86" w:rsidP="00685846">
            <w:pPr>
              <w:widowControl w:val="0"/>
              <w:spacing w:before="120" w:line="240" w:lineRule="atLeast"/>
              <w:ind w:left="371" w:hanging="371"/>
              <w:rPr>
                <w:rFonts w:ascii="Arial" w:eastAsia="Times New Roman" w:hAnsi="Arial" w:cs="Arial"/>
                <w:sz w:val="18"/>
                <w:szCs w:val="18"/>
                <w:lang w:eastAsia="en-AU"/>
              </w:rPr>
            </w:pPr>
            <w:r w:rsidRPr="001B02A5">
              <w:rPr>
                <w:rFonts w:ascii="Arial" w:eastAsia="Times New Roman" w:hAnsi="Arial" w:cs="Arial"/>
                <w:sz w:val="18"/>
                <w:szCs w:val="18"/>
                <w:lang w:eastAsia="en-AU"/>
              </w:rPr>
              <w:t xml:space="preserve">For </w:t>
            </w:r>
            <w:r>
              <w:rPr>
                <w:rFonts w:ascii="Arial" w:eastAsia="Times New Roman" w:hAnsi="Arial" w:cs="Arial"/>
                <w:sz w:val="18"/>
                <w:szCs w:val="18"/>
                <w:lang w:eastAsia="en-AU"/>
              </w:rPr>
              <w:t xml:space="preserve">each of </w:t>
            </w:r>
            <w:r w:rsidRPr="001B02A5">
              <w:rPr>
                <w:rFonts w:ascii="Arial" w:eastAsia="Times New Roman" w:hAnsi="Arial" w:cs="Arial"/>
                <w:sz w:val="18"/>
                <w:szCs w:val="18"/>
                <w:lang w:eastAsia="en-AU"/>
              </w:rPr>
              <w:t>subitem (a)</w:t>
            </w:r>
            <w:r>
              <w:rPr>
                <w:rFonts w:ascii="Arial" w:eastAsia="Times New Roman" w:hAnsi="Arial" w:cs="Arial"/>
                <w:sz w:val="18"/>
                <w:szCs w:val="18"/>
                <w:lang w:eastAsia="en-AU"/>
              </w:rPr>
              <w:t xml:space="preserve"> and (b)</w:t>
            </w:r>
            <w:r w:rsidRPr="001B02A5">
              <w:rPr>
                <w:rFonts w:ascii="Arial" w:eastAsia="Times New Roman" w:hAnsi="Arial" w:cs="Arial"/>
                <w:sz w:val="18"/>
                <w:szCs w:val="18"/>
                <w:lang w:eastAsia="en-AU"/>
              </w:rPr>
              <w:t>, to be done:</w:t>
            </w:r>
          </w:p>
          <w:p w14:paraId="1FA2373D" w14:textId="77777777" w:rsidR="00DB5A86"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a</w:t>
            </w: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r>
            <w:r w:rsidRPr="003F3145">
              <w:rPr>
                <w:rFonts w:ascii="Arial" w:eastAsia="Times New Roman" w:hAnsi="Arial" w:cs="Arial"/>
                <w:sz w:val="18"/>
                <w:szCs w:val="18"/>
                <w:lang w:eastAsia="en-AU"/>
              </w:rPr>
              <w:t>no earlier than the day on which the target sends the target's statement to the bidder; and</w:t>
            </w:r>
          </w:p>
          <w:p w14:paraId="2D2DE166" w14:textId="77777777" w:rsidR="00DB5A86"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b</w:t>
            </w: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r>
            <w:r w:rsidRPr="003F3145">
              <w:rPr>
                <w:rFonts w:ascii="Arial" w:eastAsia="Times New Roman" w:hAnsi="Arial" w:cs="Arial"/>
                <w:sz w:val="18"/>
                <w:szCs w:val="18"/>
                <w:lang w:eastAsia="en-AU"/>
              </w:rPr>
              <w:t>no later than 15 days after the target receives a notice that all offers have been sent as required by item 6</w:t>
            </w:r>
            <w:r>
              <w:rPr>
                <w:rFonts w:ascii="Arial" w:eastAsia="Times New Roman" w:hAnsi="Arial" w:cs="Arial"/>
                <w:sz w:val="18"/>
                <w:szCs w:val="18"/>
                <w:lang w:eastAsia="en-AU"/>
              </w:rPr>
              <w:t>.</w:t>
            </w:r>
          </w:p>
          <w:p w14:paraId="542CCF69" w14:textId="77777777" w:rsidR="00DB5A86" w:rsidRPr="00D84358" w:rsidRDefault="00DB5A86" w:rsidP="00685846">
            <w:pPr>
              <w:widowControl w:val="0"/>
              <w:spacing w:before="120" w:line="240" w:lineRule="atLeast"/>
              <w:rPr>
                <w:rFonts w:ascii="Arial" w:eastAsia="Times New Roman" w:hAnsi="Arial" w:cs="Arial"/>
                <w:spacing w:val="-4"/>
                <w:sz w:val="18"/>
                <w:szCs w:val="18"/>
                <w:lang w:eastAsia="en-AU"/>
              </w:rPr>
            </w:pPr>
          </w:p>
          <w:p w14:paraId="561DC250" w14:textId="77777777" w:rsidR="00DB5A86" w:rsidRPr="00D53339" w:rsidRDefault="00DB5A86" w:rsidP="00685846">
            <w:pPr>
              <w:widowControl w:val="0"/>
              <w:spacing w:before="120" w:line="240" w:lineRule="atLeast"/>
              <w:rPr>
                <w:rFonts w:ascii="Arial" w:eastAsia="Times New Roman" w:hAnsi="Arial" w:cs="Arial"/>
                <w:i/>
                <w:iCs/>
                <w:sz w:val="18"/>
                <w:szCs w:val="18"/>
                <w:lang w:eastAsia="en-AU"/>
              </w:rPr>
            </w:pPr>
          </w:p>
        </w:tc>
      </w:tr>
      <w:tr w:rsidR="00DB5A86" w:rsidRPr="008C3F69" w14:paraId="487CBCCE" w14:textId="77777777" w:rsidTr="00685846">
        <w:trPr>
          <w:cantSplit/>
          <w:trHeight w:val="7939"/>
        </w:trPr>
        <w:tc>
          <w:tcPr>
            <w:tcW w:w="567" w:type="dxa"/>
          </w:tcPr>
          <w:p w14:paraId="7A229676" w14:textId="77777777" w:rsidR="00DB5A86" w:rsidRDefault="00DB5A86" w:rsidP="00685846">
            <w:pPr>
              <w:widowControl w:val="0"/>
              <w:spacing w:before="120" w:line="240" w:lineRule="atLeast"/>
              <w:rPr>
                <w:rFonts w:ascii="Arial" w:eastAsia="Times New Roman" w:hAnsi="Arial" w:cs="Arial"/>
                <w:sz w:val="18"/>
                <w:szCs w:val="18"/>
                <w:lang w:eastAsia="en-AU"/>
              </w:rPr>
            </w:pPr>
          </w:p>
        </w:tc>
        <w:tc>
          <w:tcPr>
            <w:tcW w:w="3163" w:type="dxa"/>
          </w:tcPr>
          <w:p w14:paraId="1BF3267A" w14:textId="77777777" w:rsidR="00DB5A86"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Pr>
                <w:rFonts w:ascii="Arial" w:eastAsia="Times New Roman" w:hAnsi="Arial" w:cs="Arial"/>
                <w:spacing w:val="-4"/>
                <w:sz w:val="18"/>
                <w:szCs w:val="18"/>
                <w:lang w:eastAsia="en-AU"/>
              </w:rPr>
              <w:t>or:</w:t>
            </w:r>
          </w:p>
          <w:p w14:paraId="5A17E8AA" w14:textId="77777777" w:rsidR="00DB5A86"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(b)</w:t>
            </w:r>
            <w:r w:rsidRPr="00810BDE">
              <w:rPr>
                <w:rFonts w:ascii="Arial" w:eastAsia="Times New Roman" w:hAnsi="Arial" w:cs="Arial"/>
                <w:spacing w:val="-4"/>
                <w:sz w:val="18"/>
                <w:szCs w:val="18"/>
                <w:lang w:eastAsia="en-AU"/>
              </w:rPr>
              <w:tab/>
              <w:t xml:space="preserve">if the </w:t>
            </w:r>
            <w:r>
              <w:rPr>
                <w:rFonts w:ascii="Arial" w:eastAsia="Times New Roman" w:hAnsi="Arial" w:cs="Arial"/>
                <w:spacing w:val="-4"/>
                <w:sz w:val="18"/>
                <w:szCs w:val="18"/>
                <w:lang w:eastAsia="en-AU"/>
              </w:rPr>
              <w:t>target</w:t>
            </w:r>
            <w:r w:rsidRPr="00810BDE">
              <w:rPr>
                <w:rFonts w:ascii="Arial" w:eastAsia="Times New Roman" w:hAnsi="Arial" w:cs="Arial"/>
                <w:spacing w:val="-4"/>
                <w:sz w:val="18"/>
                <w:szCs w:val="18"/>
                <w:lang w:eastAsia="en-AU"/>
              </w:rPr>
              <w:t xml:space="preserve"> is eligible to rely on section 633</w:t>
            </w:r>
            <w:r>
              <w:rPr>
                <w:rFonts w:ascii="Arial" w:eastAsia="Times New Roman" w:hAnsi="Arial" w:cs="Arial"/>
                <w:spacing w:val="-4"/>
                <w:sz w:val="18"/>
                <w:szCs w:val="18"/>
                <w:lang w:eastAsia="en-AU"/>
              </w:rPr>
              <w:t>B</w:t>
            </w:r>
            <w:r w:rsidRPr="00810BDE">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 xml:space="preserve">send a copy of the replacement target’s statement (and any accompanying report) to each person who, </w:t>
            </w:r>
            <w:r w:rsidRPr="00810BDE">
              <w:rPr>
                <w:rFonts w:ascii="Arial" w:eastAsia="Times New Roman" w:hAnsi="Arial" w:cs="Arial"/>
                <w:spacing w:val="-4"/>
                <w:sz w:val="18"/>
                <w:szCs w:val="18"/>
                <w:lang w:eastAsia="en-AU"/>
              </w:rPr>
              <w:t xml:space="preserve">as at the date set by the bidder under subsection (2), </w:t>
            </w:r>
            <w:r>
              <w:rPr>
                <w:rFonts w:ascii="Arial" w:eastAsia="Times New Roman" w:hAnsi="Arial" w:cs="Arial"/>
                <w:spacing w:val="-4"/>
                <w:sz w:val="18"/>
                <w:szCs w:val="18"/>
                <w:lang w:eastAsia="en-AU"/>
              </w:rPr>
              <w:t>holds:</w:t>
            </w:r>
          </w:p>
          <w:p w14:paraId="6245B37F" w14:textId="77777777" w:rsidR="00DB5A86" w:rsidRPr="00810BDE" w:rsidRDefault="00DB5A86" w:rsidP="00685846">
            <w:pPr>
              <w:widowControl w:val="0"/>
              <w:spacing w:before="120" w:line="240" w:lineRule="atLeast"/>
              <w:ind w:left="796" w:hanging="425"/>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securities in the bid class; or</w:t>
            </w:r>
          </w:p>
          <w:p w14:paraId="27040500" w14:textId="77777777" w:rsidR="00DB5A86" w:rsidRPr="00810BDE" w:rsidRDefault="00DB5A86" w:rsidP="00685846">
            <w:pPr>
              <w:widowControl w:val="0"/>
              <w:spacing w:before="120" w:line="240" w:lineRule="atLeast"/>
              <w:ind w:left="796" w:hanging="425"/>
              <w:rPr>
                <w:rFonts w:ascii="Arial" w:eastAsia="Times New Roman" w:hAnsi="Arial" w:cs="Arial"/>
                <w:spacing w:val="-4"/>
                <w:sz w:val="18"/>
                <w:szCs w:val="18"/>
                <w:lang w:eastAsia="en-AU"/>
              </w:rPr>
            </w:pPr>
            <w:r w:rsidRPr="00810BDE">
              <w:rPr>
                <w:rFonts w:ascii="Arial" w:eastAsia="Times New Roman" w:hAnsi="Arial" w:cs="Arial"/>
                <w:spacing w:val="-4"/>
                <w:sz w:val="18"/>
                <w:szCs w:val="18"/>
                <w:lang w:eastAsia="en-AU"/>
              </w:rPr>
              <w:t>•</w:t>
            </w:r>
            <w:r w:rsidRPr="00810BDE">
              <w:rPr>
                <w:rFonts w:ascii="Arial" w:eastAsia="Times New Roman" w:hAnsi="Arial" w:cs="Arial"/>
                <w:spacing w:val="-4"/>
                <w:sz w:val="18"/>
                <w:szCs w:val="18"/>
                <w:lang w:eastAsia="en-AU"/>
              </w:rPr>
              <w:tab/>
              <w:t xml:space="preserve">if the bid extends to securities that come to be in the bid class due to the conversion of or exercise of rights attached to other securities </w:t>
            </w:r>
            <w:r>
              <w:rPr>
                <w:rFonts w:ascii="Arial" w:eastAsia="Times New Roman" w:hAnsi="Arial" w:cs="Arial"/>
                <w:spacing w:val="-4"/>
                <w:sz w:val="18"/>
                <w:szCs w:val="18"/>
                <w:lang w:eastAsia="en-AU"/>
              </w:rPr>
              <w:t xml:space="preserve">or derivatives </w:t>
            </w:r>
            <w:r w:rsidRPr="00810BDE">
              <w:rPr>
                <w:rFonts w:ascii="Arial" w:eastAsia="Times New Roman" w:hAnsi="Arial" w:cs="Arial"/>
                <w:spacing w:val="-4"/>
                <w:sz w:val="18"/>
                <w:szCs w:val="18"/>
                <w:lang w:eastAsia="en-AU"/>
              </w:rPr>
              <w:t>(see subsection 617(2))–the other securities</w:t>
            </w:r>
            <w:r>
              <w:rPr>
                <w:rFonts w:ascii="Arial" w:eastAsia="Times New Roman" w:hAnsi="Arial" w:cs="Arial"/>
                <w:spacing w:val="-4"/>
                <w:sz w:val="18"/>
                <w:szCs w:val="18"/>
                <w:lang w:eastAsia="en-AU"/>
              </w:rPr>
              <w:t xml:space="preserve"> or derivatives</w:t>
            </w:r>
            <w:r w:rsidRPr="00810BDE">
              <w:rPr>
                <w:rFonts w:ascii="Arial" w:eastAsia="Times New Roman" w:hAnsi="Arial" w:cs="Arial"/>
                <w:spacing w:val="-4"/>
                <w:sz w:val="18"/>
                <w:szCs w:val="18"/>
                <w:lang w:eastAsia="en-AU"/>
              </w:rPr>
              <w:t>;</w:t>
            </w:r>
          </w:p>
        </w:tc>
        <w:tc>
          <w:tcPr>
            <w:tcW w:w="3305" w:type="dxa"/>
          </w:tcPr>
          <w:p w14:paraId="6040A01F" w14:textId="77777777" w:rsidR="00DB5A86" w:rsidRPr="001203F2" w:rsidRDefault="00DB5A86" w:rsidP="00685846">
            <w:pPr>
              <w:widowControl w:val="0"/>
              <w:spacing w:before="120" w:line="240" w:lineRule="atLeast"/>
              <w:ind w:left="312" w:hanging="312"/>
              <w:rPr>
                <w:rFonts w:ascii="Arial" w:eastAsia="Times New Roman" w:hAnsi="Arial" w:cs="Arial"/>
                <w:spacing w:val="-4"/>
                <w:sz w:val="18"/>
                <w:szCs w:val="18"/>
                <w:lang w:eastAsia="en-AU"/>
              </w:rPr>
            </w:pPr>
            <w:r w:rsidRPr="001B02A5">
              <w:rPr>
                <w:rFonts w:ascii="Arial" w:eastAsia="Times New Roman" w:hAnsi="Arial" w:cs="Arial"/>
                <w:sz w:val="18"/>
                <w:szCs w:val="18"/>
                <w:lang w:eastAsia="en-AU"/>
              </w:rPr>
              <w:tab/>
            </w:r>
          </w:p>
          <w:p w14:paraId="2A4BBE46" w14:textId="77777777" w:rsidR="00DB5A86" w:rsidRPr="005D41A4" w:rsidRDefault="00DB5A86" w:rsidP="00685846">
            <w:pPr>
              <w:widowControl w:val="0"/>
              <w:spacing w:before="120" w:line="240" w:lineRule="atLeast"/>
              <w:ind w:hanging="7"/>
              <w:rPr>
                <w:rFonts w:ascii="Arial" w:eastAsia="Times New Roman" w:hAnsi="Arial" w:cs="Arial"/>
                <w:sz w:val="18"/>
                <w:szCs w:val="18"/>
                <w:lang w:eastAsia="en-AU"/>
              </w:rPr>
            </w:pPr>
            <w:r w:rsidRPr="00D35426">
              <w:rPr>
                <w:rFonts w:ascii="Arial" w:eastAsia="Times New Roman" w:hAnsi="Arial" w:cs="Arial"/>
                <w:i/>
                <w:iCs/>
                <w:sz w:val="18"/>
                <w:szCs w:val="18"/>
                <w:lang w:eastAsia="en-AU"/>
              </w:rPr>
              <w:t>Sections 648B and 648C provide for the manner in which documents may be sent to holders.</w:t>
            </w:r>
            <w:proofErr w:type="gramStart"/>
            <w:r w:rsidRPr="00BA3603">
              <w:rPr>
                <w:rFonts w:eastAsia="Times New Roman"/>
                <w:sz w:val="24"/>
                <w:szCs w:val="24"/>
                <w:lang w:eastAsia="en-AU"/>
              </w:rPr>
              <w:t>”;</w:t>
            </w:r>
            <w:proofErr w:type="gramEnd"/>
          </w:p>
          <w:p w14:paraId="36CF4452" w14:textId="77777777" w:rsidR="00DB5A86" w:rsidRPr="00CC0E2F" w:rsidRDefault="00DB5A86" w:rsidP="00685846">
            <w:pPr>
              <w:widowControl w:val="0"/>
              <w:spacing w:before="120" w:line="240" w:lineRule="atLeast"/>
              <w:ind w:left="3294"/>
              <w:rPr>
                <w:rFonts w:eastAsia="Times New Roman"/>
                <w:sz w:val="24"/>
                <w:szCs w:val="24"/>
                <w:lang w:eastAsia="en-AU"/>
              </w:rPr>
            </w:pPr>
            <w:r w:rsidRPr="00CC0E2F">
              <w:rPr>
                <w:rFonts w:eastAsia="Times New Roman"/>
                <w:sz w:val="24"/>
                <w:szCs w:val="24"/>
                <w:lang w:eastAsia="en-AU"/>
              </w:rPr>
              <w:t>”;</w:t>
            </w:r>
          </w:p>
        </w:tc>
      </w:tr>
    </w:tbl>
    <w:p w14:paraId="7463FB75" w14:textId="77777777" w:rsidR="00DB5A86" w:rsidRDefault="00DB5A86" w:rsidP="00DB5A86">
      <w:pPr>
        <w:pStyle w:val="LI-BodyTextParaa"/>
        <w:rPr>
          <w:lang w:val="en-US"/>
        </w:rPr>
      </w:pPr>
    </w:p>
    <w:p w14:paraId="3AB2A26D" w14:textId="77777777" w:rsidR="00DB5A86" w:rsidRDefault="00DB5A86" w:rsidP="00DB5A86">
      <w:pPr>
        <w:pStyle w:val="LI-BodyTextParaa"/>
        <w:rPr>
          <w:lang w:val="en-US"/>
        </w:rPr>
      </w:pPr>
      <w:r>
        <w:rPr>
          <w:lang w:val="en-US"/>
        </w:rPr>
        <w:lastRenderedPageBreak/>
        <w:t>(c)</w:t>
      </w:r>
      <w:r>
        <w:rPr>
          <w:lang w:val="en-US"/>
        </w:rPr>
        <w:tab/>
        <w:t>after section 633</w:t>
      </w:r>
      <w:r w:rsidRPr="008653F5">
        <w:rPr>
          <w:lang w:val="en-US"/>
        </w:rPr>
        <w:t xml:space="preserve"> </w:t>
      </w:r>
      <w:r>
        <w:rPr>
          <w:lang w:val="en-US"/>
        </w:rPr>
        <w:t>insert:</w:t>
      </w:r>
    </w:p>
    <w:p w14:paraId="720E113A" w14:textId="77777777" w:rsidR="00DB5A86" w:rsidRPr="00CF3861" w:rsidRDefault="00DB5A86" w:rsidP="00DB5A86">
      <w:pPr>
        <w:pStyle w:val="LI-SectionHeading"/>
        <w:ind w:left="1701" w:firstLine="0"/>
        <w:rPr>
          <w:lang w:val="en-US"/>
        </w:rPr>
      </w:pPr>
      <w:r w:rsidRPr="00CC0E2F">
        <w:rPr>
          <w:b w:val="0"/>
          <w:bCs/>
          <w:lang w:val="en-US"/>
        </w:rPr>
        <w:t>“</w:t>
      </w:r>
      <w:r w:rsidRPr="00CF3861">
        <w:rPr>
          <w:lang w:val="en-US"/>
        </w:rPr>
        <w:t>6</w:t>
      </w:r>
      <w:r>
        <w:rPr>
          <w:lang w:val="en-US"/>
        </w:rPr>
        <w:t>33A</w:t>
      </w:r>
      <w:r w:rsidRPr="00CF3861">
        <w:rPr>
          <w:lang w:val="en-US"/>
        </w:rPr>
        <w:t xml:space="preserve"> </w:t>
      </w:r>
      <w:r>
        <w:rPr>
          <w:lang w:val="en-US"/>
        </w:rPr>
        <w:t>Off-market bid–Replacement bidder’s statement</w:t>
      </w:r>
    </w:p>
    <w:p w14:paraId="20B7D1E9" w14:textId="77777777" w:rsidR="00DB5A86" w:rsidRDefault="00DB5A86" w:rsidP="00DB5A86">
      <w:pPr>
        <w:pStyle w:val="LI-Sectionparaa"/>
        <w:ind w:left="2268"/>
      </w:pPr>
      <w:r>
        <w:rPr>
          <w:lang w:val="en-US"/>
        </w:rPr>
        <w:t>(1)</w:t>
      </w:r>
      <w:r>
        <w:rPr>
          <w:lang w:val="en-US"/>
        </w:rPr>
        <w:tab/>
        <w:t xml:space="preserve">This section applies to an </w:t>
      </w:r>
      <w:proofErr w:type="gramStart"/>
      <w:r>
        <w:rPr>
          <w:lang w:val="en-US"/>
        </w:rPr>
        <w:t>off-market</w:t>
      </w:r>
      <w:proofErr w:type="gramEnd"/>
      <w:r>
        <w:rPr>
          <w:lang w:val="en-US"/>
        </w:rPr>
        <w:t xml:space="preserve"> bid </w:t>
      </w:r>
      <w:r w:rsidRPr="002B5532">
        <w:t>before</w:t>
      </w:r>
      <w:r>
        <w:t xml:space="preserve"> the bidder’s statement has been </w:t>
      </w:r>
      <w:r w:rsidRPr="002B5532">
        <w:t xml:space="preserve">sent to any holder of </w:t>
      </w:r>
      <w:r>
        <w:t>bid class securities.</w:t>
      </w:r>
    </w:p>
    <w:p w14:paraId="46FCAA97" w14:textId="77777777" w:rsidR="00DB5A86" w:rsidRDefault="00DB5A86" w:rsidP="00DB5A86">
      <w:pPr>
        <w:pStyle w:val="LI-Sectionparaa"/>
        <w:ind w:left="2268"/>
      </w:pPr>
      <w:r>
        <w:t>(2)</w:t>
      </w:r>
      <w:r>
        <w:tab/>
        <w:t xml:space="preserve">For the purposes of subitem 6(b) of the table in subsection 633(1), a bidder is </w:t>
      </w:r>
      <w:r w:rsidRPr="00FA004D">
        <w:rPr>
          <w:rStyle w:val="LI-SectionSubsectionTextChar"/>
        </w:rPr>
        <w:t>eligible</w:t>
      </w:r>
      <w:r>
        <w:t xml:space="preserve"> to rely on this section if the bidder, no later than the time allowed for sending the original bidder’s statement to persons holding bid class securities under subitem 6(a) of the table in subsection 633(1):</w:t>
      </w:r>
    </w:p>
    <w:p w14:paraId="66293F9D" w14:textId="77777777" w:rsidR="00DB5A86" w:rsidRDefault="00DB5A86" w:rsidP="00DB5A86">
      <w:pPr>
        <w:pStyle w:val="LI-Sectionsubparai"/>
        <w:ind w:left="2835"/>
      </w:pPr>
      <w:r>
        <w:rPr>
          <w:lang w:val="en-US"/>
        </w:rPr>
        <w:t>(a)</w:t>
      </w:r>
      <w:r>
        <w:rPr>
          <w:lang w:val="en-US"/>
        </w:rPr>
        <w:tab/>
        <w:t xml:space="preserve">lodges </w:t>
      </w:r>
      <w:r w:rsidRPr="0078366F">
        <w:t>with ASIC</w:t>
      </w:r>
      <w:r>
        <w:t>; and</w:t>
      </w:r>
    </w:p>
    <w:p w14:paraId="577A654B" w14:textId="77777777" w:rsidR="00DB5A86" w:rsidRDefault="00DB5A86" w:rsidP="00DB5A86">
      <w:pPr>
        <w:pStyle w:val="LI-Sectionsubparai"/>
        <w:ind w:left="2835"/>
      </w:pPr>
      <w:r>
        <w:t>(b)</w:t>
      </w:r>
      <w:r>
        <w:tab/>
      </w:r>
      <w:r w:rsidRPr="0078366F">
        <w:t>sen</w:t>
      </w:r>
      <w:r>
        <w:t>ds</w:t>
      </w:r>
      <w:r w:rsidRPr="0078366F">
        <w:t xml:space="preserve"> to the </w:t>
      </w:r>
      <w:r>
        <w:t>target; a</w:t>
      </w:r>
      <w:r w:rsidRPr="0078366F">
        <w:t>nd</w:t>
      </w:r>
    </w:p>
    <w:p w14:paraId="0D8CC05F" w14:textId="77777777" w:rsidR="00DB5A86" w:rsidRDefault="00DB5A86" w:rsidP="00DB5A86">
      <w:pPr>
        <w:pStyle w:val="LI-Sectionsubparai"/>
        <w:ind w:left="2835"/>
      </w:pPr>
      <w:r>
        <w:t>(c)</w:t>
      </w:r>
      <w:r>
        <w:tab/>
      </w:r>
      <w:r w:rsidRPr="0078366F">
        <w:t>if the bid class securities are quoted</w:t>
      </w:r>
      <w:r>
        <w:t xml:space="preserve"> and the target is listed—sends </w:t>
      </w:r>
      <w:r w:rsidRPr="0078366F">
        <w:t>to the operator</w:t>
      </w:r>
      <w:r>
        <w:t xml:space="preserve"> o</w:t>
      </w:r>
      <w:r w:rsidRPr="0078366F">
        <w:t xml:space="preserve">f each prescribed financial market on which the target’s securities are </w:t>
      </w:r>
      <w:proofErr w:type="gramStart"/>
      <w:r w:rsidRPr="0078366F">
        <w:t>quoted</w:t>
      </w:r>
      <w:r>
        <w:t>;</w:t>
      </w:r>
      <w:proofErr w:type="gramEnd"/>
    </w:p>
    <w:p w14:paraId="6BBCB2FB" w14:textId="77777777" w:rsidR="00DB5A86" w:rsidRDefault="00DB5A86" w:rsidP="00DB5A86">
      <w:pPr>
        <w:pStyle w:val="LI-Sectionsubparai"/>
        <w:ind w:left="2268" w:firstLine="0"/>
      </w:pPr>
      <w:r w:rsidRPr="0078366F">
        <w:t>a replacement bidder’s statement and</w:t>
      </w:r>
      <w:r>
        <w:t xml:space="preserve"> </w:t>
      </w:r>
      <w:r w:rsidRPr="0078366F">
        <w:t>a copy of that replacement bidder’s statement marked to show all changes from the original bidder’s statement.</w:t>
      </w:r>
    </w:p>
    <w:p w14:paraId="412B4969" w14:textId="77777777" w:rsidR="00DB5A86" w:rsidRDefault="00DB5A86" w:rsidP="00DB5A86">
      <w:pPr>
        <w:pStyle w:val="LI-Sectionparaa"/>
        <w:ind w:left="2268"/>
      </w:pPr>
      <w:r>
        <w:t>(3)</w:t>
      </w:r>
      <w:r>
        <w:tab/>
        <w:t xml:space="preserve">In </w:t>
      </w:r>
      <w:r w:rsidRPr="00FA004D">
        <w:rPr>
          <w:rStyle w:val="LI-SectionSubsectionTextChar"/>
        </w:rPr>
        <w:t>this</w:t>
      </w:r>
      <w:r>
        <w:t xml:space="preserve"> section and subsection 633(1):</w:t>
      </w:r>
    </w:p>
    <w:p w14:paraId="34AC0F4C" w14:textId="77777777" w:rsidR="00DB5A86" w:rsidRDefault="00DB5A86" w:rsidP="00DB5A86">
      <w:pPr>
        <w:pStyle w:val="LI-Sectionsubparai"/>
        <w:ind w:left="2268" w:firstLine="0"/>
        <w:rPr>
          <w:lang w:val="en-US"/>
        </w:rPr>
      </w:pPr>
      <w:r w:rsidRPr="00011E6F">
        <w:rPr>
          <w:b/>
          <w:i/>
          <w:lang w:val="en-US"/>
        </w:rPr>
        <w:t xml:space="preserve">replacement bidder’s statement </w:t>
      </w:r>
      <w:r w:rsidRPr="00011E6F">
        <w:rPr>
          <w:lang w:val="en-US"/>
        </w:rPr>
        <w:t>means a bidder’s statement that</w:t>
      </w:r>
      <w:r>
        <w:rPr>
          <w:lang w:val="en-US"/>
        </w:rPr>
        <w:t>:</w:t>
      </w:r>
    </w:p>
    <w:p w14:paraId="47D39B65" w14:textId="77777777" w:rsidR="00DB5A86" w:rsidRPr="00090D2E" w:rsidRDefault="00DB5A86" w:rsidP="00DB5A86">
      <w:pPr>
        <w:pStyle w:val="LI-Sectionsubparai"/>
        <w:ind w:left="2835"/>
        <w:rPr>
          <w:lang w:val="en-US"/>
        </w:rPr>
      </w:pPr>
      <w:r w:rsidRPr="00090D2E">
        <w:rPr>
          <w:lang w:val="en-US"/>
        </w:rPr>
        <w:t>(</w:t>
      </w:r>
      <w:r>
        <w:rPr>
          <w:lang w:val="en-US"/>
        </w:rPr>
        <w:t>a</w:t>
      </w:r>
      <w:r w:rsidRPr="00090D2E">
        <w:rPr>
          <w:lang w:val="en-US"/>
        </w:rPr>
        <w:t>)</w:t>
      </w:r>
      <w:r w:rsidRPr="00090D2E">
        <w:rPr>
          <w:lang w:val="en-US"/>
        </w:rPr>
        <w:tab/>
        <w:t>incorporates all the substantive information in an original bidder’s statement and in each supplementary bidder’s statement that was lodged in relation to the original bidder’s statement before, or at the same time as, the time when the replacement bidder’s statement is lodged</w:t>
      </w:r>
      <w:r>
        <w:rPr>
          <w:lang w:val="en-US"/>
        </w:rPr>
        <w:t xml:space="preserve"> with ASIC</w:t>
      </w:r>
      <w:r w:rsidRPr="00090D2E">
        <w:rPr>
          <w:lang w:val="en-US"/>
        </w:rPr>
        <w:t>; and</w:t>
      </w:r>
    </w:p>
    <w:p w14:paraId="1BFD41CB" w14:textId="77777777" w:rsidR="00DB5A86" w:rsidRDefault="00DB5A86" w:rsidP="00DB5A86">
      <w:pPr>
        <w:pStyle w:val="LI-Sectionsubparai"/>
        <w:ind w:left="2835"/>
        <w:rPr>
          <w:lang w:val="en-US"/>
        </w:rPr>
      </w:pPr>
      <w:r>
        <w:rPr>
          <w:lang w:val="en-US"/>
        </w:rPr>
        <w:t>(b)</w:t>
      </w:r>
      <w:r>
        <w:rPr>
          <w:lang w:val="en-US"/>
        </w:rPr>
        <w:tab/>
        <w:t>explains that it replaces the original bidder’s statement and each supplementary statement and states the date or dates that the original bidder’s statement and each supplementary statement were lodged with ASIC; and</w:t>
      </w:r>
    </w:p>
    <w:p w14:paraId="5DD1C2E4" w14:textId="77777777" w:rsidR="00DB5A86" w:rsidRDefault="00DB5A86" w:rsidP="00DB5A86">
      <w:pPr>
        <w:pStyle w:val="LI-Sectionsubparai"/>
        <w:ind w:left="2835"/>
        <w:rPr>
          <w:lang w:val="en-US"/>
        </w:rPr>
      </w:pPr>
      <w:r w:rsidRPr="00090D2E">
        <w:rPr>
          <w:lang w:val="en-US"/>
        </w:rPr>
        <w:t>(</w:t>
      </w:r>
      <w:r>
        <w:rPr>
          <w:lang w:val="en-US"/>
        </w:rPr>
        <w:t>c</w:t>
      </w:r>
      <w:r w:rsidRPr="00090D2E">
        <w:rPr>
          <w:lang w:val="en-US"/>
        </w:rPr>
        <w:t>)</w:t>
      </w:r>
      <w:r w:rsidRPr="00090D2E">
        <w:rPr>
          <w:lang w:val="en-US"/>
        </w:rPr>
        <w:tab/>
        <w:t xml:space="preserve">bears a date that is the same as the date </w:t>
      </w:r>
      <w:r>
        <w:rPr>
          <w:lang w:val="en-US"/>
        </w:rPr>
        <w:t xml:space="preserve">that it is </w:t>
      </w:r>
      <w:r w:rsidRPr="00090D2E">
        <w:rPr>
          <w:lang w:val="en-US"/>
        </w:rPr>
        <w:t>lodg</w:t>
      </w:r>
      <w:r>
        <w:rPr>
          <w:lang w:val="en-US"/>
        </w:rPr>
        <w:t>ed</w:t>
      </w:r>
      <w:r w:rsidRPr="00090D2E">
        <w:rPr>
          <w:lang w:val="en-US"/>
        </w:rPr>
        <w:t xml:space="preserve"> with ASIC; and</w:t>
      </w:r>
    </w:p>
    <w:p w14:paraId="532E7CDE" w14:textId="77777777" w:rsidR="00DB5A86" w:rsidRPr="001F496F" w:rsidRDefault="00DB5A86" w:rsidP="00DB5A86">
      <w:pPr>
        <w:pStyle w:val="LI-Sectionsubparai"/>
        <w:ind w:left="2835"/>
        <w:rPr>
          <w:lang w:val="en-US"/>
        </w:rPr>
      </w:pPr>
      <w:r>
        <w:rPr>
          <w:lang w:val="en-US"/>
        </w:rPr>
        <w:t>(d)</w:t>
      </w:r>
      <w:r>
        <w:rPr>
          <w:lang w:val="en-US"/>
        </w:rPr>
        <w:tab/>
      </w:r>
      <w:r w:rsidRPr="00011E6F">
        <w:rPr>
          <w:lang w:val="en-US"/>
        </w:rPr>
        <w:t>sets out or reflects offers under the bid that are on the same terms as those set out in the original bidder’s statement and offer document (if any) lodged with ASIC under item 2 of the table in s</w:t>
      </w:r>
      <w:r>
        <w:rPr>
          <w:lang w:val="en-US"/>
        </w:rPr>
        <w:t>ubsection </w:t>
      </w:r>
      <w:r w:rsidRPr="00011E6F">
        <w:rPr>
          <w:lang w:val="en-US"/>
        </w:rPr>
        <w:t>633(1)</w:t>
      </w:r>
      <w:r>
        <w:rPr>
          <w:lang w:val="en-US"/>
        </w:rPr>
        <w:t>.”;</w:t>
      </w:r>
    </w:p>
    <w:p w14:paraId="39793AE6" w14:textId="77777777" w:rsidR="00DB5A86" w:rsidRDefault="00DB5A86" w:rsidP="00DB5A86">
      <w:pPr>
        <w:pStyle w:val="LI-BodyTextParaa"/>
        <w:rPr>
          <w:lang w:val="en-US"/>
        </w:rPr>
      </w:pPr>
      <w:r>
        <w:rPr>
          <w:lang w:val="en-US"/>
        </w:rPr>
        <w:t>(d)</w:t>
      </w:r>
      <w:r>
        <w:rPr>
          <w:lang w:val="en-US"/>
        </w:rPr>
        <w:tab/>
        <w:t>after section 633A</w:t>
      </w:r>
      <w:r w:rsidRPr="008653F5">
        <w:rPr>
          <w:lang w:val="en-US"/>
        </w:rPr>
        <w:t xml:space="preserve"> </w:t>
      </w:r>
      <w:r>
        <w:rPr>
          <w:lang w:val="en-US"/>
        </w:rPr>
        <w:t>insert:</w:t>
      </w:r>
    </w:p>
    <w:p w14:paraId="7AD552C2" w14:textId="77777777" w:rsidR="00DB5A86" w:rsidRPr="00CF3861" w:rsidRDefault="00DB5A86" w:rsidP="00DB5A86">
      <w:pPr>
        <w:pStyle w:val="LI-SectionHeading"/>
        <w:ind w:left="1701" w:firstLine="0"/>
        <w:rPr>
          <w:lang w:val="en-US"/>
        </w:rPr>
      </w:pPr>
      <w:r w:rsidRPr="00CC0E2F">
        <w:rPr>
          <w:b w:val="0"/>
          <w:bCs/>
          <w:lang w:val="en-US"/>
        </w:rPr>
        <w:lastRenderedPageBreak/>
        <w:t>“</w:t>
      </w:r>
      <w:r w:rsidRPr="00CF3861">
        <w:rPr>
          <w:lang w:val="en-US"/>
        </w:rPr>
        <w:t>6</w:t>
      </w:r>
      <w:r>
        <w:rPr>
          <w:lang w:val="en-US"/>
        </w:rPr>
        <w:t>33B</w:t>
      </w:r>
      <w:r w:rsidRPr="00CF3861">
        <w:rPr>
          <w:lang w:val="en-US"/>
        </w:rPr>
        <w:t xml:space="preserve"> </w:t>
      </w:r>
      <w:r>
        <w:rPr>
          <w:lang w:val="en-US"/>
        </w:rPr>
        <w:t>Off-market bid–Replacement target’s statement</w:t>
      </w:r>
    </w:p>
    <w:p w14:paraId="64D4C812" w14:textId="77777777" w:rsidR="00DB5A86" w:rsidRDefault="00DB5A86" w:rsidP="00DB5A86">
      <w:pPr>
        <w:pStyle w:val="LI-Sectionparaa"/>
        <w:ind w:left="2268"/>
      </w:pPr>
      <w:r>
        <w:rPr>
          <w:lang w:val="en-US"/>
        </w:rPr>
        <w:t>(1)</w:t>
      </w:r>
      <w:r>
        <w:rPr>
          <w:lang w:val="en-US"/>
        </w:rPr>
        <w:tab/>
        <w:t xml:space="preserve">This section applies to an </w:t>
      </w:r>
      <w:proofErr w:type="gramStart"/>
      <w:r>
        <w:rPr>
          <w:lang w:val="en-US"/>
        </w:rPr>
        <w:t>off-market</w:t>
      </w:r>
      <w:proofErr w:type="gramEnd"/>
      <w:r>
        <w:rPr>
          <w:lang w:val="en-US"/>
        </w:rPr>
        <w:t xml:space="preserve"> bid </w:t>
      </w:r>
      <w:r w:rsidRPr="002B5532">
        <w:t>before</w:t>
      </w:r>
      <w:r>
        <w:t xml:space="preserve"> the target’s statement has been </w:t>
      </w:r>
      <w:r w:rsidRPr="002B5532">
        <w:t xml:space="preserve">sent to any holder of </w:t>
      </w:r>
      <w:r>
        <w:t>bid class securities.</w:t>
      </w:r>
    </w:p>
    <w:p w14:paraId="520C5472" w14:textId="77777777" w:rsidR="00DB5A86" w:rsidRDefault="00DB5A86" w:rsidP="00DB5A86">
      <w:pPr>
        <w:pStyle w:val="LI-Sectionparaa"/>
        <w:ind w:left="2268"/>
      </w:pPr>
      <w:r>
        <w:t>(2)</w:t>
      </w:r>
      <w:r>
        <w:tab/>
        <w:t xml:space="preserve">For the purposes of subitem 12(b) of the table in subsection 633(1), a target is </w:t>
      </w:r>
      <w:r w:rsidRPr="00FA004D">
        <w:rPr>
          <w:rStyle w:val="LI-SectionSubsectionTextChar"/>
        </w:rPr>
        <w:t>eligible</w:t>
      </w:r>
      <w:r>
        <w:t xml:space="preserve"> to rely on this section if the target, no later than the time allowed for sending the original target’s statement to persons holding bid class securities under subitem 12(a) of the table in subsection 633(1):</w:t>
      </w:r>
    </w:p>
    <w:p w14:paraId="3E10878F" w14:textId="77777777" w:rsidR="00DB5A86" w:rsidRDefault="00DB5A86" w:rsidP="00DB5A86">
      <w:pPr>
        <w:pStyle w:val="LI-Sectionsubparai"/>
        <w:ind w:left="2835"/>
      </w:pPr>
      <w:r>
        <w:rPr>
          <w:lang w:val="en-US"/>
        </w:rPr>
        <w:t>(a)</w:t>
      </w:r>
      <w:r>
        <w:rPr>
          <w:lang w:val="en-US"/>
        </w:rPr>
        <w:tab/>
        <w:t xml:space="preserve">lodges </w:t>
      </w:r>
      <w:r w:rsidRPr="0078366F">
        <w:t>with ASIC</w:t>
      </w:r>
      <w:r>
        <w:t>; and</w:t>
      </w:r>
    </w:p>
    <w:p w14:paraId="1B2D533E" w14:textId="77777777" w:rsidR="00DB5A86" w:rsidRDefault="00DB5A86" w:rsidP="00DB5A86">
      <w:pPr>
        <w:pStyle w:val="LI-Sectionsubparai"/>
        <w:ind w:left="2835"/>
      </w:pPr>
      <w:r>
        <w:t>(b)</w:t>
      </w:r>
      <w:r>
        <w:tab/>
      </w:r>
      <w:r w:rsidRPr="0078366F">
        <w:t>sen</w:t>
      </w:r>
      <w:r>
        <w:t>ds</w:t>
      </w:r>
      <w:r w:rsidRPr="0078366F">
        <w:t xml:space="preserve"> to the </w:t>
      </w:r>
      <w:r>
        <w:t>bidder; a</w:t>
      </w:r>
      <w:r w:rsidRPr="0078366F">
        <w:t>nd</w:t>
      </w:r>
    </w:p>
    <w:p w14:paraId="34DF2048" w14:textId="77777777" w:rsidR="00DB5A86" w:rsidRDefault="00DB5A86" w:rsidP="00DB5A86">
      <w:pPr>
        <w:pStyle w:val="LI-Sectionsubparai"/>
        <w:ind w:left="2835"/>
      </w:pPr>
      <w:r>
        <w:t>(c)</w:t>
      </w:r>
      <w:r>
        <w:tab/>
      </w:r>
      <w:r w:rsidRPr="0078366F">
        <w:t>if the bid class securities are quoted</w:t>
      </w:r>
      <w:r>
        <w:t xml:space="preserve"> and the target is listed—sends </w:t>
      </w:r>
      <w:r w:rsidRPr="0078366F">
        <w:t>to the operator</w:t>
      </w:r>
      <w:r>
        <w:t xml:space="preserve"> o</w:t>
      </w:r>
      <w:r w:rsidRPr="0078366F">
        <w:t xml:space="preserve">f each prescribed financial market on which the target’s securities are </w:t>
      </w:r>
      <w:proofErr w:type="gramStart"/>
      <w:r w:rsidRPr="0078366F">
        <w:t>quoted</w:t>
      </w:r>
      <w:r>
        <w:t>;</w:t>
      </w:r>
      <w:proofErr w:type="gramEnd"/>
    </w:p>
    <w:p w14:paraId="6EE62AD1" w14:textId="77777777" w:rsidR="00DB5A86" w:rsidRDefault="00DB5A86" w:rsidP="00DB5A86">
      <w:pPr>
        <w:pStyle w:val="LI-Sectionsubparai"/>
        <w:ind w:left="2268" w:firstLine="0"/>
      </w:pPr>
      <w:r w:rsidRPr="0078366F">
        <w:t xml:space="preserve">a replacement </w:t>
      </w:r>
      <w:r>
        <w:t>target’s</w:t>
      </w:r>
      <w:r w:rsidRPr="0078366F">
        <w:t xml:space="preserve"> statement and</w:t>
      </w:r>
      <w:r>
        <w:t xml:space="preserve"> </w:t>
      </w:r>
      <w:r w:rsidRPr="0078366F">
        <w:t xml:space="preserve">a copy of that replacement </w:t>
      </w:r>
      <w:r>
        <w:t>target’s</w:t>
      </w:r>
      <w:r w:rsidRPr="0078366F">
        <w:t xml:space="preserve"> statement marked to show all changes from the original </w:t>
      </w:r>
      <w:r>
        <w:t>target’s</w:t>
      </w:r>
      <w:r w:rsidRPr="0078366F">
        <w:t xml:space="preserve"> statement.</w:t>
      </w:r>
    </w:p>
    <w:p w14:paraId="0F058AC4" w14:textId="77777777" w:rsidR="00DB5A86" w:rsidRDefault="00DB5A86" w:rsidP="00DB5A86">
      <w:pPr>
        <w:pStyle w:val="LI-Sectionparaa"/>
        <w:ind w:left="2268"/>
      </w:pPr>
      <w:r>
        <w:t>(3)</w:t>
      </w:r>
      <w:r>
        <w:tab/>
        <w:t xml:space="preserve">In </w:t>
      </w:r>
      <w:r w:rsidRPr="00FA004D">
        <w:rPr>
          <w:rStyle w:val="LI-SectionSubsectionTextChar"/>
        </w:rPr>
        <w:t>this</w:t>
      </w:r>
      <w:r>
        <w:t xml:space="preserve"> section and subsection 633(1):</w:t>
      </w:r>
    </w:p>
    <w:p w14:paraId="62A937F9" w14:textId="77777777" w:rsidR="00DB5A86" w:rsidRDefault="00DB5A86" w:rsidP="00DB5A86">
      <w:pPr>
        <w:pStyle w:val="LI-Sectionsubparai"/>
        <w:ind w:left="2268" w:firstLine="0"/>
        <w:rPr>
          <w:lang w:val="en-US"/>
        </w:rPr>
      </w:pPr>
      <w:r w:rsidRPr="00011E6F">
        <w:rPr>
          <w:b/>
          <w:i/>
          <w:lang w:val="en-US"/>
        </w:rPr>
        <w:t xml:space="preserve">replacement </w:t>
      </w:r>
      <w:r>
        <w:rPr>
          <w:b/>
          <w:i/>
          <w:lang w:val="en-US"/>
        </w:rPr>
        <w:t>target’s</w:t>
      </w:r>
      <w:r w:rsidRPr="00011E6F">
        <w:rPr>
          <w:b/>
          <w:i/>
          <w:lang w:val="en-US"/>
        </w:rPr>
        <w:t xml:space="preserve"> statement </w:t>
      </w:r>
      <w:r w:rsidRPr="00011E6F">
        <w:rPr>
          <w:lang w:val="en-US"/>
        </w:rPr>
        <w:t xml:space="preserve">means a </w:t>
      </w:r>
      <w:r>
        <w:rPr>
          <w:lang w:val="en-US"/>
        </w:rPr>
        <w:t>target’s</w:t>
      </w:r>
      <w:r w:rsidRPr="00011E6F">
        <w:rPr>
          <w:lang w:val="en-US"/>
        </w:rPr>
        <w:t xml:space="preserve"> statement that</w:t>
      </w:r>
      <w:r>
        <w:rPr>
          <w:lang w:val="en-US"/>
        </w:rPr>
        <w:t>:</w:t>
      </w:r>
    </w:p>
    <w:p w14:paraId="10D54332" w14:textId="77777777" w:rsidR="00DB5A86" w:rsidRPr="00090D2E" w:rsidRDefault="00DB5A86" w:rsidP="00DB5A86">
      <w:pPr>
        <w:pStyle w:val="LI-Sectionsubparai"/>
        <w:ind w:left="2835"/>
        <w:rPr>
          <w:lang w:val="en-US"/>
        </w:rPr>
      </w:pPr>
      <w:r w:rsidRPr="00090D2E">
        <w:rPr>
          <w:lang w:val="en-US"/>
        </w:rPr>
        <w:t>(</w:t>
      </w:r>
      <w:r>
        <w:rPr>
          <w:lang w:val="en-US"/>
        </w:rPr>
        <w:t>a</w:t>
      </w:r>
      <w:r w:rsidRPr="00090D2E">
        <w:rPr>
          <w:lang w:val="en-US"/>
        </w:rPr>
        <w:t>)</w:t>
      </w:r>
      <w:r w:rsidRPr="00090D2E">
        <w:rPr>
          <w:lang w:val="en-US"/>
        </w:rPr>
        <w:tab/>
        <w:t xml:space="preserve">incorporates all the substantive information in an original </w:t>
      </w:r>
      <w:r>
        <w:rPr>
          <w:lang w:val="en-US"/>
        </w:rPr>
        <w:t>target’s</w:t>
      </w:r>
      <w:r w:rsidRPr="00090D2E">
        <w:rPr>
          <w:lang w:val="en-US"/>
        </w:rPr>
        <w:t xml:space="preserve"> statement and in each supplementary </w:t>
      </w:r>
      <w:r>
        <w:rPr>
          <w:lang w:val="en-US"/>
        </w:rPr>
        <w:t>target’s</w:t>
      </w:r>
      <w:r w:rsidRPr="00090D2E">
        <w:rPr>
          <w:lang w:val="en-US"/>
        </w:rPr>
        <w:t xml:space="preserve"> statement that was lodged in relation to the original </w:t>
      </w:r>
      <w:r>
        <w:rPr>
          <w:lang w:val="en-US"/>
        </w:rPr>
        <w:t>target’s</w:t>
      </w:r>
      <w:r w:rsidRPr="00090D2E">
        <w:rPr>
          <w:lang w:val="en-US"/>
        </w:rPr>
        <w:t xml:space="preserve"> statement before, or at the same time as, the time when the replacement </w:t>
      </w:r>
      <w:r>
        <w:rPr>
          <w:lang w:val="en-US"/>
        </w:rPr>
        <w:t>target’s</w:t>
      </w:r>
      <w:r w:rsidRPr="00090D2E">
        <w:rPr>
          <w:lang w:val="en-US"/>
        </w:rPr>
        <w:t xml:space="preserve"> statement is lodged</w:t>
      </w:r>
      <w:r>
        <w:rPr>
          <w:lang w:val="en-US"/>
        </w:rPr>
        <w:t xml:space="preserve"> with ASIC</w:t>
      </w:r>
      <w:r w:rsidRPr="00090D2E">
        <w:rPr>
          <w:lang w:val="en-US"/>
        </w:rPr>
        <w:t>; and</w:t>
      </w:r>
    </w:p>
    <w:p w14:paraId="607F92AE" w14:textId="77777777" w:rsidR="00DB5A86" w:rsidRDefault="00DB5A86" w:rsidP="00DB5A86">
      <w:pPr>
        <w:pStyle w:val="LI-Sectionsubparai"/>
        <w:ind w:left="2835"/>
        <w:rPr>
          <w:lang w:val="en-US"/>
        </w:rPr>
      </w:pPr>
      <w:r>
        <w:rPr>
          <w:lang w:val="en-US"/>
        </w:rPr>
        <w:t>(b)</w:t>
      </w:r>
      <w:r>
        <w:rPr>
          <w:lang w:val="en-US"/>
        </w:rPr>
        <w:tab/>
        <w:t>explains that it replaces the original target’s statement and each supplementary statement and states the date or dates that the original target’s statement and each supplementary statement were lodged with ASIC; and</w:t>
      </w:r>
    </w:p>
    <w:p w14:paraId="192AFBEC" w14:textId="77777777" w:rsidR="00DB5A86" w:rsidRDefault="00DB5A86" w:rsidP="00DB5A86">
      <w:pPr>
        <w:pStyle w:val="LI-Sectionsubparai"/>
        <w:ind w:left="2835"/>
        <w:rPr>
          <w:lang w:val="en-US"/>
        </w:rPr>
      </w:pPr>
      <w:r w:rsidRPr="00090D2E">
        <w:rPr>
          <w:lang w:val="en-US"/>
        </w:rPr>
        <w:t>(</w:t>
      </w:r>
      <w:r>
        <w:rPr>
          <w:lang w:val="en-US"/>
        </w:rPr>
        <w:t>c</w:t>
      </w:r>
      <w:r w:rsidRPr="00090D2E">
        <w:rPr>
          <w:lang w:val="en-US"/>
        </w:rPr>
        <w:t>)</w:t>
      </w:r>
      <w:r w:rsidRPr="00090D2E">
        <w:rPr>
          <w:lang w:val="en-US"/>
        </w:rPr>
        <w:tab/>
        <w:t xml:space="preserve">bears a date that is the same as the date </w:t>
      </w:r>
      <w:r>
        <w:rPr>
          <w:lang w:val="en-US"/>
        </w:rPr>
        <w:t xml:space="preserve">that it is </w:t>
      </w:r>
      <w:r w:rsidRPr="00090D2E">
        <w:rPr>
          <w:lang w:val="en-US"/>
        </w:rPr>
        <w:t>lodg</w:t>
      </w:r>
      <w:r>
        <w:rPr>
          <w:lang w:val="en-US"/>
        </w:rPr>
        <w:t>ed</w:t>
      </w:r>
      <w:r w:rsidRPr="00090D2E">
        <w:rPr>
          <w:lang w:val="en-US"/>
        </w:rPr>
        <w:t xml:space="preserve"> with ASIC</w:t>
      </w:r>
      <w:r>
        <w:rPr>
          <w:lang w:val="en-US"/>
        </w:rPr>
        <w:t>.”;</w:t>
      </w:r>
    </w:p>
    <w:p w14:paraId="210F56FE" w14:textId="77777777" w:rsidR="00DB5A86" w:rsidRPr="001F496F" w:rsidRDefault="00DB5A86" w:rsidP="00DB5A86">
      <w:pPr>
        <w:pStyle w:val="LI-BodyTextParaa"/>
      </w:pPr>
      <w:r w:rsidRPr="001F496F">
        <w:t>(</w:t>
      </w:r>
      <w:r>
        <w:t>e</w:t>
      </w:r>
      <w:r w:rsidRPr="001F496F">
        <w:t>)</w:t>
      </w:r>
      <w:r w:rsidRPr="001F496F">
        <w:tab/>
      </w:r>
      <w:r>
        <w:t>omit item 6 in the table in subsection 635(1), substitute</w:t>
      </w:r>
      <w:r w:rsidRPr="001F496F">
        <w:t>:</w:t>
      </w:r>
    </w:p>
    <w:tbl>
      <w:tblPr>
        <w:tblW w:w="0" w:type="dxa"/>
        <w:tblInd w:w="1560" w:type="dxa"/>
        <w:tblCellMar>
          <w:bottom w:w="113" w:type="dxa"/>
        </w:tblCellMar>
        <w:tblLook w:val="0000" w:firstRow="0" w:lastRow="0" w:firstColumn="0" w:lastColumn="0" w:noHBand="0" w:noVBand="0"/>
      </w:tblPr>
      <w:tblGrid>
        <w:gridCol w:w="688"/>
        <w:gridCol w:w="3083"/>
        <w:gridCol w:w="2982"/>
      </w:tblGrid>
      <w:tr w:rsidR="00DB5A86" w:rsidRPr="008C3F69" w14:paraId="61E978CB" w14:textId="77777777" w:rsidTr="00685846">
        <w:trPr>
          <w:cantSplit/>
        </w:trPr>
        <w:tc>
          <w:tcPr>
            <w:tcW w:w="743" w:type="dxa"/>
          </w:tcPr>
          <w:p w14:paraId="648901F9"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r w:rsidRPr="00742A5E">
              <w:rPr>
                <w:rFonts w:eastAsia="Times New Roman"/>
                <w:sz w:val="24"/>
                <w:szCs w:val="24"/>
                <w:lang w:eastAsia="en-AU"/>
              </w:rPr>
              <w:lastRenderedPageBreak/>
              <w:t>“</w:t>
            </w:r>
            <w:r>
              <w:rPr>
                <w:rFonts w:ascii="Arial" w:eastAsia="Times New Roman" w:hAnsi="Arial" w:cs="Arial"/>
                <w:sz w:val="18"/>
                <w:szCs w:val="18"/>
                <w:lang w:eastAsia="en-AU"/>
              </w:rPr>
              <w:t>6</w:t>
            </w:r>
          </w:p>
        </w:tc>
        <w:tc>
          <w:tcPr>
            <w:tcW w:w="3305" w:type="dxa"/>
          </w:tcPr>
          <w:p w14:paraId="771D9408" w14:textId="77777777" w:rsidR="00DB5A86" w:rsidRPr="005D7F87"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The bidder must:</w:t>
            </w:r>
          </w:p>
          <w:p w14:paraId="44C4EA4C" w14:textId="77777777" w:rsidR="00DB5A86" w:rsidRPr="005D7F87"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(a)</w:t>
            </w:r>
            <w:r w:rsidRPr="005D7F87">
              <w:rPr>
                <w:rFonts w:ascii="Arial" w:eastAsia="Times New Roman" w:hAnsi="Arial" w:cs="Arial"/>
                <w:spacing w:val="-4"/>
                <w:sz w:val="18"/>
                <w:szCs w:val="18"/>
                <w:lang w:eastAsia="en-AU"/>
              </w:rPr>
              <w:tab/>
              <w:t>if the bidder is not eligible to rely on subsection 635A—send to each holder of bid class securities (other than the bidder):</w:t>
            </w:r>
          </w:p>
          <w:p w14:paraId="515D34F5" w14:textId="77777777" w:rsidR="00DB5A86" w:rsidRPr="005D7F87" w:rsidRDefault="00DB5A86" w:rsidP="00685846">
            <w:pPr>
              <w:widowControl w:val="0"/>
              <w:spacing w:before="120" w:line="240" w:lineRule="atLeast"/>
              <w:ind w:left="794" w:hanging="425"/>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w:t>
            </w:r>
            <w:r w:rsidRPr="005D7F87">
              <w:rPr>
                <w:rFonts w:ascii="Arial" w:eastAsia="Times New Roman" w:hAnsi="Arial" w:cs="Arial"/>
                <w:spacing w:val="-4"/>
                <w:sz w:val="18"/>
                <w:szCs w:val="18"/>
                <w:lang w:eastAsia="en-AU"/>
              </w:rPr>
              <w:tab/>
              <w:t>a copy of the bidder’s statement; and</w:t>
            </w:r>
          </w:p>
          <w:p w14:paraId="7FC5828D" w14:textId="77777777" w:rsidR="00DB5A86" w:rsidRPr="008C3F69" w:rsidRDefault="00DB5A86" w:rsidP="00685846">
            <w:pPr>
              <w:widowControl w:val="0"/>
              <w:spacing w:before="120" w:line="240" w:lineRule="atLeast"/>
              <w:ind w:left="794" w:hanging="425"/>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w:t>
            </w:r>
            <w:r w:rsidRPr="005D7F87">
              <w:rPr>
                <w:rFonts w:ascii="Arial" w:eastAsia="Times New Roman" w:hAnsi="Arial" w:cs="Arial"/>
                <w:spacing w:val="-4"/>
                <w:sz w:val="18"/>
                <w:szCs w:val="18"/>
                <w:lang w:eastAsia="en-AU"/>
              </w:rPr>
              <w:tab/>
              <w:t>a copy of any other document that was sent with the bidder’s statement to the relevant market operator;</w:t>
            </w:r>
          </w:p>
        </w:tc>
        <w:tc>
          <w:tcPr>
            <w:tcW w:w="3306" w:type="dxa"/>
          </w:tcPr>
          <w:p w14:paraId="572E5C79" w14:textId="77777777" w:rsidR="00DB5A86" w:rsidRDefault="00DB5A86" w:rsidP="00685846">
            <w:pPr>
              <w:widowControl w:val="0"/>
              <w:spacing w:before="120" w:line="240" w:lineRule="atLeast"/>
              <w:rPr>
                <w:rFonts w:ascii="Arial" w:eastAsia="Times New Roman" w:hAnsi="Arial" w:cs="Arial"/>
                <w:sz w:val="18"/>
                <w:szCs w:val="18"/>
                <w:lang w:eastAsia="en-AU"/>
              </w:rPr>
            </w:pPr>
          </w:p>
          <w:p w14:paraId="289E7489"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r w:rsidRPr="00001424">
              <w:rPr>
                <w:rFonts w:ascii="Arial" w:eastAsia="Times New Roman" w:hAnsi="Arial" w:cs="Arial"/>
                <w:sz w:val="18"/>
                <w:szCs w:val="18"/>
                <w:lang w:eastAsia="en-AU"/>
              </w:rPr>
              <w:t>For subitem (a), within 14 days after the announcement is made.</w:t>
            </w:r>
          </w:p>
        </w:tc>
      </w:tr>
      <w:tr w:rsidR="00DB5A86" w:rsidRPr="008C3F69" w14:paraId="5F5E7C6C" w14:textId="77777777" w:rsidTr="00685846">
        <w:trPr>
          <w:cantSplit/>
        </w:trPr>
        <w:tc>
          <w:tcPr>
            <w:tcW w:w="743" w:type="dxa"/>
          </w:tcPr>
          <w:p w14:paraId="54CBF975" w14:textId="77777777" w:rsidR="00DB5A86" w:rsidRDefault="00DB5A86" w:rsidP="00685846">
            <w:pPr>
              <w:widowControl w:val="0"/>
              <w:spacing w:before="120" w:line="240" w:lineRule="atLeast"/>
              <w:rPr>
                <w:rFonts w:ascii="Arial" w:eastAsia="Times New Roman" w:hAnsi="Arial" w:cs="Arial"/>
                <w:sz w:val="18"/>
                <w:szCs w:val="18"/>
                <w:lang w:eastAsia="en-AU"/>
              </w:rPr>
            </w:pPr>
          </w:p>
        </w:tc>
        <w:tc>
          <w:tcPr>
            <w:tcW w:w="3305" w:type="dxa"/>
          </w:tcPr>
          <w:p w14:paraId="302DE50E" w14:textId="77777777" w:rsidR="00DB5A86" w:rsidRDefault="00DB5A86" w:rsidP="00685846">
            <w:pPr>
              <w:widowControl w:val="0"/>
              <w:spacing w:before="120" w:line="240" w:lineRule="atLeast"/>
              <w:ind w:left="371" w:hanging="371"/>
              <w:rPr>
                <w:rFonts w:ascii="Arial" w:eastAsia="Times New Roman" w:hAnsi="Arial" w:cs="Arial"/>
                <w:sz w:val="18"/>
                <w:szCs w:val="18"/>
                <w:lang w:eastAsia="en-AU"/>
              </w:rPr>
            </w:pPr>
            <w:r>
              <w:rPr>
                <w:rFonts w:ascii="Arial" w:eastAsia="Times New Roman" w:hAnsi="Arial" w:cs="Arial"/>
                <w:sz w:val="18"/>
                <w:szCs w:val="18"/>
                <w:lang w:eastAsia="en-AU"/>
              </w:rPr>
              <w:t>or:</w:t>
            </w:r>
          </w:p>
          <w:p w14:paraId="6BB924F9" w14:textId="77777777" w:rsidR="00DB5A86" w:rsidRPr="0095665D" w:rsidRDefault="00DB5A86" w:rsidP="00685846">
            <w:pPr>
              <w:widowControl w:val="0"/>
              <w:spacing w:before="120" w:line="240" w:lineRule="atLeast"/>
              <w:ind w:left="371" w:hanging="371"/>
              <w:rPr>
                <w:rFonts w:ascii="Arial" w:eastAsia="Times New Roman" w:hAnsi="Arial" w:cs="Arial"/>
                <w:sz w:val="18"/>
                <w:szCs w:val="18"/>
                <w:lang w:eastAsia="en-AU"/>
              </w:rPr>
            </w:pPr>
            <w:r w:rsidRPr="0095665D">
              <w:rPr>
                <w:rFonts w:ascii="Arial" w:eastAsia="Times New Roman" w:hAnsi="Arial" w:cs="Arial"/>
                <w:sz w:val="18"/>
                <w:szCs w:val="18"/>
                <w:lang w:eastAsia="en-AU"/>
              </w:rPr>
              <w:t>(b)</w:t>
            </w:r>
            <w:r w:rsidRPr="0095665D">
              <w:rPr>
                <w:rFonts w:ascii="Arial" w:eastAsia="Times New Roman" w:hAnsi="Arial" w:cs="Arial"/>
                <w:sz w:val="18"/>
                <w:szCs w:val="18"/>
                <w:lang w:eastAsia="en-AU"/>
              </w:rPr>
              <w:tab/>
              <w:t xml:space="preserve">if the bidder is eligible to rely on section 635A—send to each holder of bid class securities (other than the bidder): </w:t>
            </w:r>
          </w:p>
          <w:p w14:paraId="38CC4AF6" w14:textId="77777777" w:rsidR="00DB5A86" w:rsidRPr="0095665D" w:rsidRDefault="00DB5A86" w:rsidP="00685846">
            <w:pPr>
              <w:widowControl w:val="0"/>
              <w:spacing w:before="120" w:line="240" w:lineRule="atLeast"/>
              <w:ind w:left="794" w:hanging="425"/>
              <w:rPr>
                <w:rFonts w:ascii="Arial" w:eastAsia="Times New Roman" w:hAnsi="Arial" w:cs="Arial"/>
                <w:sz w:val="18"/>
                <w:szCs w:val="18"/>
                <w:lang w:eastAsia="en-AU"/>
              </w:rPr>
            </w:pPr>
            <w:r w:rsidRPr="0095665D">
              <w:rPr>
                <w:rFonts w:ascii="Arial" w:eastAsia="Times New Roman" w:hAnsi="Arial" w:cs="Arial"/>
                <w:sz w:val="18"/>
                <w:szCs w:val="18"/>
                <w:lang w:eastAsia="en-AU"/>
              </w:rPr>
              <w:t>•</w:t>
            </w:r>
            <w:r w:rsidRPr="0095665D">
              <w:rPr>
                <w:rFonts w:ascii="Arial" w:eastAsia="Times New Roman" w:hAnsi="Arial" w:cs="Arial"/>
                <w:sz w:val="18"/>
                <w:szCs w:val="18"/>
                <w:lang w:eastAsia="en-AU"/>
              </w:rPr>
              <w:tab/>
              <w:t>a copy of the replacement bidder’s statement; and</w:t>
            </w:r>
          </w:p>
          <w:p w14:paraId="1064856E" w14:textId="77777777" w:rsidR="00DB5A86" w:rsidRDefault="00DB5A86" w:rsidP="00685846">
            <w:pPr>
              <w:widowControl w:val="0"/>
              <w:spacing w:before="120" w:line="240" w:lineRule="atLeast"/>
              <w:ind w:left="794" w:hanging="425"/>
              <w:rPr>
                <w:rFonts w:ascii="Arial" w:eastAsia="Times New Roman" w:hAnsi="Arial" w:cs="Arial"/>
                <w:sz w:val="18"/>
                <w:szCs w:val="18"/>
                <w:lang w:eastAsia="en-AU"/>
              </w:rPr>
            </w:pPr>
            <w:r w:rsidRPr="0095665D">
              <w:rPr>
                <w:rFonts w:ascii="Arial" w:eastAsia="Times New Roman" w:hAnsi="Arial" w:cs="Arial"/>
                <w:sz w:val="18"/>
                <w:szCs w:val="18"/>
                <w:lang w:eastAsia="en-AU"/>
              </w:rPr>
              <w:t>•</w:t>
            </w:r>
            <w:r w:rsidRPr="0095665D">
              <w:rPr>
                <w:rFonts w:ascii="Arial" w:eastAsia="Times New Roman" w:hAnsi="Arial" w:cs="Arial"/>
                <w:sz w:val="18"/>
                <w:szCs w:val="18"/>
                <w:lang w:eastAsia="en-AU"/>
              </w:rPr>
              <w:tab/>
              <w:t>a copy of any other document that was sent with the replacement bidder’s statement to the relevant market operator.</w:t>
            </w:r>
          </w:p>
        </w:tc>
        <w:tc>
          <w:tcPr>
            <w:tcW w:w="3306" w:type="dxa"/>
          </w:tcPr>
          <w:p w14:paraId="7B5F7A11" w14:textId="77777777" w:rsidR="00DB5A86" w:rsidRDefault="00DB5A86" w:rsidP="00685846">
            <w:pPr>
              <w:widowControl w:val="0"/>
              <w:spacing w:before="120" w:line="240" w:lineRule="atLeast"/>
              <w:rPr>
                <w:rFonts w:ascii="Arial" w:eastAsia="Times New Roman" w:hAnsi="Arial" w:cs="Arial"/>
                <w:sz w:val="18"/>
                <w:szCs w:val="18"/>
                <w:lang w:eastAsia="en-AU"/>
              </w:rPr>
            </w:pPr>
          </w:p>
          <w:p w14:paraId="18DAC55B" w14:textId="77777777" w:rsidR="00DB5A86" w:rsidRPr="00423FDF" w:rsidRDefault="00DB5A86" w:rsidP="00685846">
            <w:pPr>
              <w:widowControl w:val="0"/>
              <w:spacing w:before="120" w:line="240" w:lineRule="atLeast"/>
              <w:rPr>
                <w:rFonts w:ascii="Arial" w:eastAsia="Times New Roman" w:hAnsi="Arial" w:cs="Arial"/>
                <w:sz w:val="18"/>
                <w:szCs w:val="18"/>
                <w:lang w:eastAsia="en-AU"/>
              </w:rPr>
            </w:pPr>
            <w:r w:rsidRPr="00423FDF">
              <w:rPr>
                <w:rFonts w:ascii="Arial" w:eastAsia="Times New Roman" w:hAnsi="Arial" w:cs="Arial"/>
                <w:sz w:val="18"/>
                <w:szCs w:val="18"/>
                <w:lang w:eastAsia="en-AU"/>
              </w:rPr>
              <w:t>For subitem (b), within 14 days after the bidder is eligible to rely on section 635A.</w:t>
            </w:r>
          </w:p>
          <w:p w14:paraId="1BD1EC2F" w14:textId="77777777" w:rsidR="00DB5A86" w:rsidRPr="00B75D6D" w:rsidRDefault="00DB5A86" w:rsidP="00685846">
            <w:pPr>
              <w:widowControl w:val="0"/>
              <w:spacing w:before="120" w:line="240" w:lineRule="atLeast"/>
              <w:rPr>
                <w:rFonts w:eastAsia="Times New Roman"/>
                <w:sz w:val="24"/>
                <w:szCs w:val="24"/>
                <w:lang w:eastAsia="en-AU"/>
              </w:rPr>
            </w:pPr>
            <w:r w:rsidRPr="002D6AD7">
              <w:rPr>
                <w:rFonts w:ascii="Arial" w:eastAsia="Times New Roman" w:hAnsi="Arial" w:cs="Arial"/>
                <w:i/>
                <w:iCs/>
                <w:sz w:val="18"/>
                <w:szCs w:val="18"/>
                <w:lang w:eastAsia="en-AU"/>
              </w:rPr>
              <w:t>Sections 648B and 648C provide for the manner in which documents may be sent to holders</w:t>
            </w:r>
            <w:r w:rsidRPr="00423FDF">
              <w:rPr>
                <w:rFonts w:ascii="Arial" w:eastAsia="Times New Roman" w:hAnsi="Arial" w:cs="Arial"/>
                <w:sz w:val="18"/>
                <w:szCs w:val="18"/>
                <w:lang w:eastAsia="en-AU"/>
              </w:rPr>
              <w:t>.</w:t>
            </w:r>
            <w:r w:rsidRPr="00B75D6D">
              <w:rPr>
                <w:rFonts w:eastAsia="Times New Roman"/>
                <w:sz w:val="24"/>
                <w:szCs w:val="24"/>
                <w:lang w:eastAsia="en-AU"/>
              </w:rPr>
              <w:t>”;</w:t>
            </w:r>
          </w:p>
        </w:tc>
      </w:tr>
    </w:tbl>
    <w:p w14:paraId="46D821A9" w14:textId="77777777" w:rsidR="00DB5A86" w:rsidRPr="001F496F" w:rsidRDefault="00DB5A86" w:rsidP="00DB5A86">
      <w:pPr>
        <w:pStyle w:val="LI-BodyTextParaa"/>
      </w:pPr>
      <w:r w:rsidRPr="001F496F">
        <w:t>(</w:t>
      </w:r>
      <w:r>
        <w:t>f</w:t>
      </w:r>
      <w:r w:rsidRPr="001F496F">
        <w:t>)</w:t>
      </w:r>
      <w:r w:rsidRPr="001F496F">
        <w:tab/>
      </w:r>
      <w:r>
        <w:t>omit item 13 in the table in subsection 635(1), substitute</w:t>
      </w:r>
      <w:r w:rsidRPr="001F496F">
        <w:t>:</w:t>
      </w:r>
    </w:p>
    <w:tbl>
      <w:tblPr>
        <w:tblW w:w="0" w:type="dxa"/>
        <w:tblInd w:w="1560" w:type="dxa"/>
        <w:tblCellMar>
          <w:bottom w:w="113" w:type="dxa"/>
        </w:tblCellMar>
        <w:tblLook w:val="0000" w:firstRow="0" w:lastRow="0" w:firstColumn="0" w:lastColumn="0" w:noHBand="0" w:noVBand="0"/>
      </w:tblPr>
      <w:tblGrid>
        <w:gridCol w:w="707"/>
        <w:gridCol w:w="3084"/>
        <w:gridCol w:w="2962"/>
      </w:tblGrid>
      <w:tr w:rsidR="00DB5A86" w:rsidRPr="008C3F69" w14:paraId="5591D11F" w14:textId="77777777" w:rsidTr="00685846">
        <w:trPr>
          <w:cantSplit/>
        </w:trPr>
        <w:tc>
          <w:tcPr>
            <w:tcW w:w="743" w:type="dxa"/>
          </w:tcPr>
          <w:p w14:paraId="6C9035D8" w14:textId="77777777" w:rsidR="00DB5A86" w:rsidRPr="008B4625" w:rsidRDefault="00DB5A86" w:rsidP="00685846">
            <w:pPr>
              <w:widowControl w:val="0"/>
              <w:spacing w:before="120" w:line="240" w:lineRule="atLeast"/>
              <w:rPr>
                <w:rFonts w:ascii="Arial" w:eastAsia="Times New Roman" w:hAnsi="Arial" w:cs="Arial"/>
                <w:sz w:val="18"/>
                <w:szCs w:val="18"/>
                <w:lang w:eastAsia="en-AU"/>
              </w:rPr>
            </w:pPr>
            <w:r w:rsidRPr="008B4625">
              <w:rPr>
                <w:rFonts w:eastAsia="Times New Roman"/>
                <w:sz w:val="24"/>
                <w:szCs w:val="24"/>
                <w:lang w:eastAsia="en-AU"/>
              </w:rPr>
              <w:t>“</w:t>
            </w:r>
            <w:r w:rsidRPr="001203F2">
              <w:rPr>
                <w:rFonts w:ascii="Arial" w:eastAsia="Times New Roman" w:hAnsi="Arial" w:cs="Arial"/>
                <w:sz w:val="18"/>
                <w:szCs w:val="18"/>
                <w:lang w:eastAsia="en-AU"/>
              </w:rPr>
              <w:t>13</w:t>
            </w:r>
          </w:p>
        </w:tc>
        <w:tc>
          <w:tcPr>
            <w:tcW w:w="3305" w:type="dxa"/>
          </w:tcPr>
          <w:p w14:paraId="736E9D6C" w14:textId="77777777" w:rsidR="00DB5A86" w:rsidRPr="005D7F87"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 xml:space="preserve">The </w:t>
            </w:r>
            <w:r>
              <w:rPr>
                <w:rFonts w:ascii="Arial" w:eastAsia="Times New Roman" w:hAnsi="Arial" w:cs="Arial"/>
                <w:spacing w:val="-4"/>
                <w:sz w:val="18"/>
                <w:szCs w:val="18"/>
                <w:lang w:eastAsia="en-AU"/>
              </w:rPr>
              <w:t>target</w:t>
            </w:r>
            <w:r w:rsidRPr="005D7F87">
              <w:rPr>
                <w:rFonts w:ascii="Arial" w:eastAsia="Times New Roman" w:hAnsi="Arial" w:cs="Arial"/>
                <w:spacing w:val="-4"/>
                <w:sz w:val="18"/>
                <w:szCs w:val="18"/>
                <w:lang w:eastAsia="en-AU"/>
              </w:rPr>
              <w:t xml:space="preserve"> must:</w:t>
            </w:r>
          </w:p>
          <w:p w14:paraId="759A1F1C" w14:textId="77777777" w:rsidR="00DB5A86"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(a)</w:t>
            </w:r>
            <w:r w:rsidRPr="005D7F87">
              <w:rPr>
                <w:rFonts w:ascii="Arial" w:eastAsia="Times New Roman" w:hAnsi="Arial" w:cs="Arial"/>
                <w:spacing w:val="-4"/>
                <w:sz w:val="18"/>
                <w:szCs w:val="18"/>
                <w:lang w:eastAsia="en-AU"/>
              </w:rPr>
              <w:tab/>
              <w:t xml:space="preserve">if the </w:t>
            </w:r>
            <w:r>
              <w:rPr>
                <w:rFonts w:ascii="Arial" w:eastAsia="Times New Roman" w:hAnsi="Arial" w:cs="Arial"/>
                <w:spacing w:val="-4"/>
                <w:sz w:val="18"/>
                <w:szCs w:val="18"/>
                <w:lang w:eastAsia="en-AU"/>
              </w:rPr>
              <w:t>target</w:t>
            </w:r>
            <w:r w:rsidRPr="005D7F87">
              <w:rPr>
                <w:rFonts w:ascii="Arial" w:eastAsia="Times New Roman" w:hAnsi="Arial" w:cs="Arial"/>
                <w:spacing w:val="-4"/>
                <w:sz w:val="18"/>
                <w:szCs w:val="18"/>
                <w:lang w:eastAsia="en-AU"/>
              </w:rPr>
              <w:t xml:space="preserve"> is not eligible to rely on subsection 635</w:t>
            </w:r>
            <w:r>
              <w:rPr>
                <w:rFonts w:ascii="Arial" w:eastAsia="Times New Roman" w:hAnsi="Arial" w:cs="Arial"/>
                <w:spacing w:val="-4"/>
                <w:sz w:val="18"/>
                <w:szCs w:val="18"/>
                <w:lang w:eastAsia="en-AU"/>
              </w:rPr>
              <w:t>B</w:t>
            </w:r>
            <w:r w:rsidRPr="005D7F87">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send each holder of bid class securities:</w:t>
            </w:r>
          </w:p>
          <w:p w14:paraId="34A85E26" w14:textId="77777777" w:rsidR="00DB5A86" w:rsidRPr="005D7F87" w:rsidRDefault="00DB5A86" w:rsidP="00685846">
            <w:pPr>
              <w:widowControl w:val="0"/>
              <w:spacing w:before="120" w:line="240" w:lineRule="atLeast"/>
              <w:ind w:left="794" w:hanging="425"/>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w:t>
            </w:r>
            <w:r w:rsidRPr="005D7F87">
              <w:rPr>
                <w:rFonts w:ascii="Arial" w:eastAsia="Times New Roman" w:hAnsi="Arial" w:cs="Arial"/>
                <w:spacing w:val="-4"/>
                <w:sz w:val="18"/>
                <w:szCs w:val="18"/>
                <w:lang w:eastAsia="en-AU"/>
              </w:rPr>
              <w:tab/>
              <w:t xml:space="preserve">a copy of the </w:t>
            </w:r>
            <w:r>
              <w:rPr>
                <w:rFonts w:ascii="Arial" w:eastAsia="Times New Roman" w:hAnsi="Arial" w:cs="Arial"/>
                <w:spacing w:val="-4"/>
                <w:sz w:val="18"/>
                <w:szCs w:val="18"/>
                <w:lang w:eastAsia="en-AU"/>
              </w:rPr>
              <w:t>target’s</w:t>
            </w:r>
            <w:r w:rsidRPr="005D7F87">
              <w:rPr>
                <w:rFonts w:ascii="Arial" w:eastAsia="Times New Roman" w:hAnsi="Arial" w:cs="Arial"/>
                <w:spacing w:val="-4"/>
                <w:sz w:val="18"/>
                <w:szCs w:val="18"/>
                <w:lang w:eastAsia="en-AU"/>
              </w:rPr>
              <w:t xml:space="preserve"> statement; and</w:t>
            </w:r>
          </w:p>
          <w:p w14:paraId="3A309DB7" w14:textId="77777777" w:rsidR="00DB5A86" w:rsidRPr="008C3F69" w:rsidRDefault="00DB5A86" w:rsidP="00685846">
            <w:pPr>
              <w:widowControl w:val="0"/>
              <w:spacing w:before="120" w:line="240" w:lineRule="atLeast"/>
              <w:ind w:left="794" w:hanging="425"/>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w:t>
            </w:r>
            <w:r w:rsidRPr="005D7F87">
              <w:rPr>
                <w:rFonts w:ascii="Arial" w:eastAsia="Times New Roman" w:hAnsi="Arial" w:cs="Arial"/>
                <w:spacing w:val="-4"/>
                <w:sz w:val="18"/>
                <w:szCs w:val="18"/>
                <w:lang w:eastAsia="en-AU"/>
              </w:rPr>
              <w:tab/>
              <w:t xml:space="preserve">a copy of any other document that was sent with the </w:t>
            </w:r>
            <w:r>
              <w:rPr>
                <w:rFonts w:ascii="Arial" w:eastAsia="Times New Roman" w:hAnsi="Arial" w:cs="Arial"/>
                <w:spacing w:val="-4"/>
                <w:sz w:val="18"/>
                <w:szCs w:val="18"/>
                <w:lang w:eastAsia="en-AU"/>
              </w:rPr>
              <w:t>target’s</w:t>
            </w:r>
            <w:r w:rsidRPr="005D7F87">
              <w:rPr>
                <w:rFonts w:ascii="Arial" w:eastAsia="Times New Roman" w:hAnsi="Arial" w:cs="Arial"/>
                <w:spacing w:val="-4"/>
                <w:sz w:val="18"/>
                <w:szCs w:val="18"/>
                <w:lang w:eastAsia="en-AU"/>
              </w:rPr>
              <w:t xml:space="preserve"> statement to the relevant market operator;</w:t>
            </w:r>
          </w:p>
        </w:tc>
        <w:tc>
          <w:tcPr>
            <w:tcW w:w="3306" w:type="dxa"/>
          </w:tcPr>
          <w:p w14:paraId="761F3B03" w14:textId="77777777" w:rsidR="00DB5A86" w:rsidRDefault="00DB5A86" w:rsidP="00685846">
            <w:pPr>
              <w:widowControl w:val="0"/>
              <w:spacing w:before="120" w:line="240" w:lineRule="atLeast"/>
              <w:rPr>
                <w:rFonts w:ascii="Arial" w:eastAsia="Times New Roman" w:hAnsi="Arial" w:cs="Arial"/>
                <w:sz w:val="18"/>
                <w:szCs w:val="18"/>
                <w:lang w:eastAsia="en-AU"/>
              </w:rPr>
            </w:pPr>
          </w:p>
          <w:p w14:paraId="2727D183" w14:textId="77777777" w:rsidR="00DB5A86" w:rsidRPr="00423FDF" w:rsidRDefault="00DB5A86" w:rsidP="00685846">
            <w:pPr>
              <w:widowControl w:val="0"/>
              <w:spacing w:before="120" w:line="240" w:lineRule="atLeast"/>
              <w:rPr>
                <w:rFonts w:ascii="Arial" w:eastAsia="Times New Roman" w:hAnsi="Arial" w:cs="Arial"/>
                <w:sz w:val="18"/>
                <w:szCs w:val="18"/>
                <w:lang w:eastAsia="en-AU"/>
              </w:rPr>
            </w:pPr>
            <w:r w:rsidRPr="00001424">
              <w:rPr>
                <w:rFonts w:ascii="Arial" w:eastAsia="Times New Roman" w:hAnsi="Arial" w:cs="Arial"/>
                <w:sz w:val="18"/>
                <w:szCs w:val="18"/>
                <w:lang w:eastAsia="en-AU"/>
              </w:rPr>
              <w:t xml:space="preserve">For </w:t>
            </w:r>
            <w:r>
              <w:rPr>
                <w:rFonts w:ascii="Arial" w:eastAsia="Times New Roman" w:hAnsi="Arial" w:cs="Arial"/>
                <w:sz w:val="18"/>
                <w:szCs w:val="18"/>
                <w:lang w:eastAsia="en-AU"/>
              </w:rPr>
              <w:t xml:space="preserve">each of </w:t>
            </w:r>
            <w:r w:rsidRPr="00001424">
              <w:rPr>
                <w:rFonts w:ascii="Arial" w:eastAsia="Times New Roman" w:hAnsi="Arial" w:cs="Arial"/>
                <w:sz w:val="18"/>
                <w:szCs w:val="18"/>
                <w:lang w:eastAsia="en-AU"/>
              </w:rPr>
              <w:t>subitem (a)</w:t>
            </w:r>
            <w:r>
              <w:rPr>
                <w:rFonts w:ascii="Arial" w:eastAsia="Times New Roman" w:hAnsi="Arial" w:cs="Arial"/>
                <w:sz w:val="18"/>
                <w:szCs w:val="18"/>
                <w:lang w:eastAsia="en-AU"/>
              </w:rPr>
              <w:t xml:space="preserve"> and (b)</w:t>
            </w:r>
            <w:r w:rsidRPr="00001424">
              <w:rPr>
                <w:rFonts w:ascii="Arial" w:eastAsia="Times New Roman" w:hAnsi="Arial" w:cs="Arial"/>
                <w:sz w:val="18"/>
                <w:szCs w:val="18"/>
                <w:lang w:eastAsia="en-AU"/>
              </w:rPr>
              <w:t xml:space="preserve">, </w:t>
            </w:r>
            <w:r>
              <w:rPr>
                <w:rFonts w:ascii="Arial" w:eastAsia="Times New Roman" w:hAnsi="Arial" w:cs="Arial"/>
                <w:sz w:val="18"/>
                <w:szCs w:val="18"/>
                <w:lang w:eastAsia="en-AU"/>
              </w:rPr>
              <w:t>n</w:t>
            </w:r>
            <w:r w:rsidRPr="00423FDF">
              <w:rPr>
                <w:rFonts w:ascii="Arial" w:eastAsia="Times New Roman" w:hAnsi="Arial" w:cs="Arial"/>
                <w:sz w:val="18"/>
                <w:szCs w:val="18"/>
                <w:lang w:eastAsia="en-AU"/>
              </w:rPr>
              <w:t>o later than the last date for the bidder to send the bidder’s statement under item 6(a), or the replacement bidder</w:t>
            </w:r>
            <w:r>
              <w:rPr>
                <w:rFonts w:ascii="Arial" w:eastAsia="Times New Roman" w:hAnsi="Arial" w:cs="Arial"/>
                <w:sz w:val="18"/>
                <w:szCs w:val="18"/>
                <w:lang w:eastAsia="en-AU"/>
              </w:rPr>
              <w:t>’s</w:t>
            </w:r>
            <w:r w:rsidRPr="00423FDF">
              <w:rPr>
                <w:rFonts w:ascii="Arial" w:eastAsia="Times New Roman" w:hAnsi="Arial" w:cs="Arial"/>
                <w:sz w:val="18"/>
                <w:szCs w:val="18"/>
                <w:lang w:eastAsia="en-AU"/>
              </w:rPr>
              <w:t xml:space="preserve"> statement under item 6(b) as applicable. </w:t>
            </w:r>
          </w:p>
          <w:p w14:paraId="3D9D45F6"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p>
        </w:tc>
      </w:tr>
      <w:tr w:rsidR="00DB5A86" w:rsidRPr="008C3F69" w14:paraId="1EDAD82E" w14:textId="77777777" w:rsidTr="00685846">
        <w:trPr>
          <w:cantSplit/>
        </w:trPr>
        <w:tc>
          <w:tcPr>
            <w:tcW w:w="743" w:type="dxa"/>
          </w:tcPr>
          <w:p w14:paraId="56107B89" w14:textId="77777777" w:rsidR="00DB5A86" w:rsidRDefault="00DB5A86" w:rsidP="00685846">
            <w:pPr>
              <w:widowControl w:val="0"/>
              <w:spacing w:before="120" w:line="240" w:lineRule="atLeast"/>
              <w:rPr>
                <w:rFonts w:ascii="Arial" w:eastAsia="Times New Roman" w:hAnsi="Arial" w:cs="Arial"/>
                <w:sz w:val="18"/>
                <w:szCs w:val="18"/>
                <w:lang w:eastAsia="en-AU"/>
              </w:rPr>
            </w:pPr>
          </w:p>
        </w:tc>
        <w:tc>
          <w:tcPr>
            <w:tcW w:w="3305" w:type="dxa"/>
          </w:tcPr>
          <w:p w14:paraId="5160187A" w14:textId="77777777" w:rsidR="00DB5A86" w:rsidRDefault="00DB5A86" w:rsidP="00685846">
            <w:pPr>
              <w:widowControl w:val="0"/>
              <w:spacing w:before="120" w:line="240" w:lineRule="atLeast"/>
              <w:ind w:left="371" w:hanging="371"/>
              <w:rPr>
                <w:rFonts w:ascii="Arial" w:eastAsia="Times New Roman" w:hAnsi="Arial" w:cs="Arial"/>
                <w:sz w:val="18"/>
                <w:szCs w:val="18"/>
                <w:lang w:eastAsia="en-AU"/>
              </w:rPr>
            </w:pPr>
            <w:r>
              <w:rPr>
                <w:rFonts w:ascii="Arial" w:eastAsia="Times New Roman" w:hAnsi="Arial" w:cs="Arial"/>
                <w:sz w:val="18"/>
                <w:szCs w:val="18"/>
                <w:lang w:eastAsia="en-AU"/>
              </w:rPr>
              <w:t>or:</w:t>
            </w:r>
          </w:p>
          <w:p w14:paraId="6E97D4C3" w14:textId="77777777" w:rsidR="00DB5A86" w:rsidRDefault="00DB5A86" w:rsidP="00685846">
            <w:pPr>
              <w:widowControl w:val="0"/>
              <w:spacing w:before="120" w:line="240" w:lineRule="atLeast"/>
              <w:ind w:left="371" w:hanging="371"/>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b</w:t>
            </w:r>
            <w:r w:rsidRPr="005D7F87">
              <w:rPr>
                <w:rFonts w:ascii="Arial" w:eastAsia="Times New Roman" w:hAnsi="Arial" w:cs="Arial"/>
                <w:spacing w:val="-4"/>
                <w:sz w:val="18"/>
                <w:szCs w:val="18"/>
                <w:lang w:eastAsia="en-AU"/>
              </w:rPr>
              <w:t>)</w:t>
            </w:r>
            <w:r w:rsidRPr="005D7F87">
              <w:rPr>
                <w:rFonts w:ascii="Arial" w:eastAsia="Times New Roman" w:hAnsi="Arial" w:cs="Arial"/>
                <w:spacing w:val="-4"/>
                <w:sz w:val="18"/>
                <w:szCs w:val="18"/>
                <w:lang w:eastAsia="en-AU"/>
              </w:rPr>
              <w:tab/>
              <w:t xml:space="preserve">if the </w:t>
            </w:r>
            <w:r>
              <w:rPr>
                <w:rFonts w:ascii="Arial" w:eastAsia="Times New Roman" w:hAnsi="Arial" w:cs="Arial"/>
                <w:spacing w:val="-4"/>
                <w:sz w:val="18"/>
                <w:szCs w:val="18"/>
                <w:lang w:eastAsia="en-AU"/>
              </w:rPr>
              <w:t>target</w:t>
            </w:r>
            <w:r w:rsidRPr="005D7F87">
              <w:rPr>
                <w:rFonts w:ascii="Arial" w:eastAsia="Times New Roman" w:hAnsi="Arial" w:cs="Arial"/>
                <w:spacing w:val="-4"/>
                <w:sz w:val="18"/>
                <w:szCs w:val="18"/>
                <w:lang w:eastAsia="en-AU"/>
              </w:rPr>
              <w:t xml:space="preserve"> is eligible to rely on subsection 635</w:t>
            </w:r>
            <w:r>
              <w:rPr>
                <w:rFonts w:ascii="Arial" w:eastAsia="Times New Roman" w:hAnsi="Arial" w:cs="Arial"/>
                <w:spacing w:val="-4"/>
                <w:sz w:val="18"/>
                <w:szCs w:val="18"/>
                <w:lang w:eastAsia="en-AU"/>
              </w:rPr>
              <w:t>B</w:t>
            </w:r>
            <w:r w:rsidRPr="005D7F87">
              <w:rPr>
                <w:rFonts w:ascii="Arial" w:eastAsia="Times New Roman" w:hAnsi="Arial" w:cs="Arial"/>
                <w:spacing w:val="-4"/>
                <w:sz w:val="18"/>
                <w:szCs w:val="18"/>
                <w:lang w:eastAsia="en-AU"/>
              </w:rPr>
              <w:t>—</w:t>
            </w:r>
            <w:r>
              <w:rPr>
                <w:rFonts w:ascii="Arial" w:eastAsia="Times New Roman" w:hAnsi="Arial" w:cs="Arial"/>
                <w:spacing w:val="-4"/>
                <w:sz w:val="18"/>
                <w:szCs w:val="18"/>
                <w:lang w:eastAsia="en-AU"/>
              </w:rPr>
              <w:t>send each holder of bid class securities:</w:t>
            </w:r>
          </w:p>
          <w:p w14:paraId="51CA31E1" w14:textId="77777777" w:rsidR="00DB5A86" w:rsidRPr="005D7F87" w:rsidRDefault="00DB5A86" w:rsidP="00685846">
            <w:pPr>
              <w:widowControl w:val="0"/>
              <w:spacing w:before="120" w:line="240" w:lineRule="atLeast"/>
              <w:ind w:left="794" w:hanging="425"/>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w:t>
            </w:r>
            <w:r w:rsidRPr="005D7F87">
              <w:rPr>
                <w:rFonts w:ascii="Arial" w:eastAsia="Times New Roman" w:hAnsi="Arial" w:cs="Arial"/>
                <w:spacing w:val="-4"/>
                <w:sz w:val="18"/>
                <w:szCs w:val="18"/>
                <w:lang w:eastAsia="en-AU"/>
              </w:rPr>
              <w:tab/>
              <w:t xml:space="preserve">a copy of the </w:t>
            </w:r>
            <w:r>
              <w:rPr>
                <w:rFonts w:ascii="Arial" w:eastAsia="Times New Roman" w:hAnsi="Arial" w:cs="Arial"/>
                <w:spacing w:val="-4"/>
                <w:sz w:val="18"/>
                <w:szCs w:val="18"/>
                <w:lang w:eastAsia="en-AU"/>
              </w:rPr>
              <w:t>replacement target’s</w:t>
            </w:r>
            <w:r w:rsidRPr="005D7F87">
              <w:rPr>
                <w:rFonts w:ascii="Arial" w:eastAsia="Times New Roman" w:hAnsi="Arial" w:cs="Arial"/>
                <w:spacing w:val="-4"/>
                <w:sz w:val="18"/>
                <w:szCs w:val="18"/>
                <w:lang w:eastAsia="en-AU"/>
              </w:rPr>
              <w:t xml:space="preserve"> statement; and</w:t>
            </w:r>
          </w:p>
          <w:p w14:paraId="54E85416" w14:textId="77777777" w:rsidR="00DB5A86" w:rsidRPr="001203F2" w:rsidRDefault="00DB5A86" w:rsidP="00685846">
            <w:pPr>
              <w:widowControl w:val="0"/>
              <w:spacing w:before="120" w:line="240" w:lineRule="atLeast"/>
              <w:ind w:left="794" w:hanging="425"/>
              <w:rPr>
                <w:rFonts w:ascii="Arial" w:eastAsia="Times New Roman" w:hAnsi="Arial" w:cs="Arial"/>
                <w:spacing w:val="-4"/>
                <w:sz w:val="18"/>
                <w:szCs w:val="18"/>
                <w:lang w:eastAsia="en-AU"/>
              </w:rPr>
            </w:pPr>
            <w:r w:rsidRPr="005D7F87">
              <w:rPr>
                <w:rFonts w:ascii="Arial" w:eastAsia="Times New Roman" w:hAnsi="Arial" w:cs="Arial"/>
                <w:spacing w:val="-4"/>
                <w:sz w:val="18"/>
                <w:szCs w:val="18"/>
                <w:lang w:eastAsia="en-AU"/>
              </w:rPr>
              <w:t>•</w:t>
            </w:r>
            <w:r w:rsidRPr="005D7F87">
              <w:rPr>
                <w:rFonts w:ascii="Arial" w:eastAsia="Times New Roman" w:hAnsi="Arial" w:cs="Arial"/>
                <w:spacing w:val="-4"/>
                <w:sz w:val="18"/>
                <w:szCs w:val="18"/>
                <w:lang w:eastAsia="en-AU"/>
              </w:rPr>
              <w:tab/>
              <w:t>a copy of any other document that was sent with the</w:t>
            </w:r>
            <w:r>
              <w:rPr>
                <w:rFonts w:ascii="Arial" w:eastAsia="Times New Roman" w:hAnsi="Arial" w:cs="Arial"/>
                <w:spacing w:val="-4"/>
                <w:sz w:val="18"/>
                <w:szCs w:val="18"/>
                <w:lang w:eastAsia="en-AU"/>
              </w:rPr>
              <w:t xml:space="preserve"> replacement</w:t>
            </w:r>
            <w:r w:rsidRPr="005D7F87">
              <w:rPr>
                <w:rFonts w:ascii="Arial" w:eastAsia="Times New Roman" w:hAnsi="Arial" w:cs="Arial"/>
                <w:spacing w:val="-4"/>
                <w:sz w:val="18"/>
                <w:szCs w:val="18"/>
                <w:lang w:eastAsia="en-AU"/>
              </w:rPr>
              <w:t xml:space="preserve"> </w:t>
            </w:r>
            <w:r>
              <w:rPr>
                <w:rFonts w:ascii="Arial" w:eastAsia="Times New Roman" w:hAnsi="Arial" w:cs="Arial"/>
                <w:spacing w:val="-4"/>
                <w:sz w:val="18"/>
                <w:szCs w:val="18"/>
                <w:lang w:eastAsia="en-AU"/>
              </w:rPr>
              <w:t>target’s</w:t>
            </w:r>
            <w:r w:rsidRPr="005D7F87">
              <w:rPr>
                <w:rFonts w:ascii="Arial" w:eastAsia="Times New Roman" w:hAnsi="Arial" w:cs="Arial"/>
                <w:spacing w:val="-4"/>
                <w:sz w:val="18"/>
                <w:szCs w:val="18"/>
                <w:lang w:eastAsia="en-AU"/>
              </w:rPr>
              <w:t xml:space="preserve"> statement to the relevant market operator</w:t>
            </w:r>
            <w:r>
              <w:rPr>
                <w:rFonts w:ascii="Arial" w:eastAsia="Times New Roman" w:hAnsi="Arial" w:cs="Arial"/>
                <w:spacing w:val="-4"/>
                <w:sz w:val="18"/>
                <w:szCs w:val="18"/>
                <w:lang w:eastAsia="en-AU"/>
              </w:rPr>
              <w:t>.</w:t>
            </w:r>
          </w:p>
        </w:tc>
        <w:tc>
          <w:tcPr>
            <w:tcW w:w="3306" w:type="dxa"/>
          </w:tcPr>
          <w:p w14:paraId="6FEEB78A" w14:textId="77777777" w:rsidR="00DB5A86" w:rsidRDefault="00DB5A86" w:rsidP="00685846">
            <w:pPr>
              <w:widowControl w:val="0"/>
              <w:spacing w:before="120" w:line="240" w:lineRule="atLeast"/>
              <w:rPr>
                <w:rFonts w:ascii="Arial" w:eastAsia="Times New Roman" w:hAnsi="Arial" w:cs="Arial"/>
                <w:sz w:val="18"/>
                <w:szCs w:val="18"/>
                <w:lang w:eastAsia="en-AU"/>
              </w:rPr>
            </w:pPr>
          </w:p>
          <w:p w14:paraId="34042A63" w14:textId="77777777" w:rsidR="00DB5A86" w:rsidRPr="00B75D6D" w:rsidRDefault="00DB5A86" w:rsidP="00685846">
            <w:pPr>
              <w:widowControl w:val="0"/>
              <w:spacing w:before="120" w:line="240" w:lineRule="atLeast"/>
              <w:rPr>
                <w:rFonts w:eastAsia="Times New Roman"/>
                <w:sz w:val="24"/>
                <w:szCs w:val="24"/>
                <w:lang w:eastAsia="en-AU"/>
              </w:rPr>
            </w:pPr>
            <w:r w:rsidRPr="002D6AD7">
              <w:rPr>
                <w:rFonts w:ascii="Arial" w:eastAsia="Times New Roman" w:hAnsi="Arial" w:cs="Arial"/>
                <w:i/>
                <w:iCs/>
                <w:sz w:val="18"/>
                <w:szCs w:val="18"/>
                <w:lang w:eastAsia="en-AU"/>
              </w:rPr>
              <w:t>Sections 648B and 648C provide for the manner in which documents may be sent to holders</w:t>
            </w:r>
            <w:r w:rsidRPr="00423FDF">
              <w:rPr>
                <w:rFonts w:ascii="Arial" w:eastAsia="Times New Roman" w:hAnsi="Arial" w:cs="Arial"/>
                <w:sz w:val="18"/>
                <w:szCs w:val="18"/>
                <w:lang w:eastAsia="en-AU"/>
              </w:rPr>
              <w:t>.</w:t>
            </w:r>
            <w:r w:rsidRPr="00B75D6D">
              <w:rPr>
                <w:rFonts w:eastAsia="Times New Roman"/>
                <w:sz w:val="24"/>
                <w:szCs w:val="24"/>
                <w:lang w:eastAsia="en-AU"/>
              </w:rPr>
              <w:t>”;</w:t>
            </w:r>
          </w:p>
        </w:tc>
      </w:tr>
    </w:tbl>
    <w:p w14:paraId="4CA429BD" w14:textId="77777777" w:rsidR="00DB5A86" w:rsidRPr="00B520E6" w:rsidRDefault="00DB5A86" w:rsidP="00DB5A86">
      <w:pPr>
        <w:pStyle w:val="LI-BodyTextParaa"/>
        <w:rPr>
          <w:lang w:val="en-US"/>
        </w:rPr>
      </w:pPr>
      <w:r w:rsidRPr="0059673A" w:rsidDel="003F34A6">
        <w:t xml:space="preserve"> </w:t>
      </w:r>
      <w:r w:rsidRPr="00323301">
        <w:rPr>
          <w:lang w:val="en-US"/>
        </w:rPr>
        <w:t>(</w:t>
      </w:r>
      <w:r>
        <w:rPr>
          <w:lang w:val="en-US"/>
        </w:rPr>
        <w:t>g</w:t>
      </w:r>
      <w:r w:rsidRPr="00323301">
        <w:rPr>
          <w:lang w:val="en-US"/>
        </w:rPr>
        <w:t>)</w:t>
      </w:r>
      <w:r w:rsidRPr="00323301">
        <w:rPr>
          <w:lang w:val="en-US"/>
        </w:rPr>
        <w:tab/>
      </w:r>
      <w:r>
        <w:t xml:space="preserve">omit item 14 in the table in subsection 635(1), </w:t>
      </w:r>
      <w:r w:rsidRPr="00323301">
        <w:rPr>
          <w:lang w:val="en-US"/>
        </w:rPr>
        <w:t>substitute:</w:t>
      </w:r>
    </w:p>
    <w:tbl>
      <w:tblPr>
        <w:tblW w:w="0" w:type="dxa"/>
        <w:tblInd w:w="1560" w:type="dxa"/>
        <w:tblCellMar>
          <w:bottom w:w="113" w:type="dxa"/>
        </w:tblCellMar>
        <w:tblLook w:val="0000" w:firstRow="0" w:lastRow="0" w:firstColumn="0" w:lastColumn="0" w:noHBand="0" w:noVBand="0"/>
      </w:tblPr>
      <w:tblGrid>
        <w:gridCol w:w="713"/>
        <w:gridCol w:w="2988"/>
        <w:gridCol w:w="3052"/>
      </w:tblGrid>
      <w:tr w:rsidR="00DB5A86" w:rsidRPr="008C3F69" w14:paraId="6DF95089" w14:textId="77777777" w:rsidTr="00685846">
        <w:trPr>
          <w:cantSplit/>
        </w:trPr>
        <w:tc>
          <w:tcPr>
            <w:tcW w:w="743" w:type="dxa"/>
          </w:tcPr>
          <w:p w14:paraId="50E20702"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r w:rsidRPr="00B520E6">
              <w:rPr>
                <w:rFonts w:eastAsia="Times New Roman"/>
                <w:sz w:val="24"/>
                <w:szCs w:val="24"/>
                <w:lang w:eastAsia="en-AU"/>
              </w:rPr>
              <w:t>“</w:t>
            </w:r>
            <w:r>
              <w:rPr>
                <w:rFonts w:ascii="Arial" w:eastAsia="Times New Roman" w:hAnsi="Arial" w:cs="Arial"/>
                <w:sz w:val="18"/>
                <w:szCs w:val="18"/>
                <w:lang w:eastAsia="en-AU"/>
              </w:rPr>
              <w:t>14</w:t>
            </w:r>
          </w:p>
        </w:tc>
        <w:tc>
          <w:tcPr>
            <w:tcW w:w="3305" w:type="dxa"/>
          </w:tcPr>
          <w:p w14:paraId="0A33BF48" w14:textId="77777777" w:rsidR="00DB5A86" w:rsidRPr="008C3F69" w:rsidRDefault="00DB5A86" w:rsidP="00685846">
            <w:pPr>
              <w:widowControl w:val="0"/>
              <w:spacing w:before="120" w:line="240" w:lineRule="atLeast"/>
              <w:rPr>
                <w:rFonts w:ascii="Arial" w:eastAsia="Times New Roman" w:hAnsi="Arial" w:cs="Arial"/>
                <w:spacing w:val="-4"/>
                <w:sz w:val="18"/>
                <w:szCs w:val="18"/>
                <w:lang w:eastAsia="en-AU"/>
              </w:rPr>
            </w:pPr>
            <w:r w:rsidRPr="00712C7A">
              <w:rPr>
                <w:rFonts w:ascii="Arial" w:eastAsia="Times New Roman" w:hAnsi="Arial" w:cs="Arial"/>
                <w:spacing w:val="-4"/>
                <w:sz w:val="18"/>
                <w:szCs w:val="18"/>
                <w:lang w:eastAsia="en-AU"/>
              </w:rPr>
              <w:t>The bidder must make offers for the securities under the bid through the relevant financial market.</w:t>
            </w:r>
          </w:p>
        </w:tc>
        <w:tc>
          <w:tcPr>
            <w:tcW w:w="3306" w:type="dxa"/>
          </w:tcPr>
          <w:p w14:paraId="7E3DE1AD" w14:textId="77777777" w:rsidR="00DB5A86" w:rsidRPr="00712C7A" w:rsidRDefault="00DB5A86" w:rsidP="00685846">
            <w:pPr>
              <w:widowControl w:val="0"/>
              <w:spacing w:before="120" w:line="240" w:lineRule="atLeast"/>
              <w:rPr>
                <w:rFonts w:ascii="Arial" w:eastAsia="Times New Roman" w:hAnsi="Arial" w:cs="Arial"/>
                <w:sz w:val="18"/>
                <w:szCs w:val="18"/>
                <w:lang w:eastAsia="en-AU"/>
              </w:rPr>
            </w:pPr>
            <w:r w:rsidRPr="00712C7A">
              <w:rPr>
                <w:rFonts w:ascii="Arial" w:eastAsia="Times New Roman" w:hAnsi="Arial" w:cs="Arial"/>
                <w:sz w:val="18"/>
                <w:szCs w:val="18"/>
                <w:lang w:eastAsia="en-AU"/>
              </w:rPr>
              <w:t>If the bidder does not make the offers at that time, the bidder contravenes this section.</w:t>
            </w:r>
          </w:p>
          <w:p w14:paraId="2707B6B7" w14:textId="77777777" w:rsidR="00DB5A86" w:rsidRPr="008C3F69" w:rsidRDefault="00DB5A86" w:rsidP="00685846">
            <w:pPr>
              <w:widowControl w:val="0"/>
              <w:spacing w:before="120" w:line="240" w:lineRule="atLeast"/>
              <w:rPr>
                <w:rFonts w:ascii="Arial" w:eastAsia="Times New Roman" w:hAnsi="Arial" w:cs="Arial"/>
                <w:sz w:val="18"/>
                <w:szCs w:val="18"/>
                <w:lang w:eastAsia="en-AU"/>
              </w:rPr>
            </w:pPr>
            <w:r w:rsidRPr="00B520E6">
              <w:rPr>
                <w:rFonts w:ascii="Arial" w:eastAsia="Times New Roman" w:hAnsi="Arial" w:cs="Arial"/>
                <w:i/>
                <w:iCs/>
                <w:sz w:val="18"/>
                <w:szCs w:val="18"/>
                <w:lang w:eastAsia="en-AU"/>
              </w:rPr>
              <w:t>Item 2 of the table in section 611 covers offers made by the bidder on market during the period between the announcement and the making of the offers under the bid</w:t>
            </w:r>
            <w:r>
              <w:rPr>
                <w:rFonts w:ascii="Arial" w:eastAsia="Times New Roman" w:hAnsi="Arial" w:cs="Arial"/>
                <w:sz w:val="18"/>
                <w:szCs w:val="18"/>
                <w:lang w:eastAsia="en-AU"/>
              </w:rPr>
              <w:t xml:space="preserve"> </w:t>
            </w:r>
            <w:proofErr w:type="gramStart"/>
            <w:r w:rsidRPr="00B520E6">
              <w:rPr>
                <w:rFonts w:eastAsia="Times New Roman"/>
                <w:sz w:val="24"/>
                <w:szCs w:val="24"/>
                <w:lang w:eastAsia="en-AU"/>
              </w:rPr>
              <w:t>”;</w:t>
            </w:r>
            <w:proofErr w:type="gramEnd"/>
          </w:p>
        </w:tc>
      </w:tr>
    </w:tbl>
    <w:p w14:paraId="1093919B" w14:textId="77777777" w:rsidR="00DB5A86" w:rsidRPr="001F496F" w:rsidRDefault="00DB5A86" w:rsidP="00DB5A86">
      <w:pPr>
        <w:pStyle w:val="LI-BodyTextParaa"/>
        <w:rPr>
          <w:lang w:val="en-US"/>
        </w:rPr>
      </w:pPr>
      <w:r>
        <w:rPr>
          <w:lang w:val="en-US"/>
        </w:rPr>
        <w:t>(h)</w:t>
      </w:r>
      <w:r>
        <w:rPr>
          <w:lang w:val="en-US"/>
        </w:rPr>
        <w:tab/>
      </w:r>
      <w:r w:rsidRPr="001F496F">
        <w:rPr>
          <w:lang w:val="en-US"/>
        </w:rPr>
        <w:t>after section 635 insert:</w:t>
      </w:r>
    </w:p>
    <w:p w14:paraId="0845A846" w14:textId="77777777" w:rsidR="00DB5A86" w:rsidRPr="001F496F" w:rsidRDefault="00DB5A86" w:rsidP="00DB5A86">
      <w:pPr>
        <w:spacing w:before="240" w:line="240" w:lineRule="auto"/>
        <w:ind w:left="1701"/>
        <w:rPr>
          <w:rFonts w:eastAsia="Times New Roman"/>
          <w:b/>
          <w:sz w:val="24"/>
          <w:szCs w:val="24"/>
          <w:lang w:val="en-US" w:eastAsia="en-AU"/>
        </w:rPr>
      </w:pPr>
      <w:r w:rsidRPr="00B520E6">
        <w:rPr>
          <w:rFonts w:eastAsia="Times New Roman"/>
          <w:bCs/>
          <w:sz w:val="24"/>
          <w:szCs w:val="24"/>
          <w:lang w:val="en-US" w:eastAsia="en-AU"/>
        </w:rPr>
        <w:t>“</w:t>
      </w:r>
      <w:r w:rsidRPr="001F496F">
        <w:rPr>
          <w:rFonts w:eastAsia="Times New Roman"/>
          <w:b/>
          <w:sz w:val="24"/>
          <w:szCs w:val="24"/>
          <w:lang w:val="en-US" w:eastAsia="en-AU"/>
        </w:rPr>
        <w:t>635A Market bid–Replacement bidder’s statement</w:t>
      </w:r>
    </w:p>
    <w:p w14:paraId="73554B69" w14:textId="77777777" w:rsidR="00DB5A86" w:rsidRPr="001F496F" w:rsidRDefault="00DB5A86" w:rsidP="00DB5A86">
      <w:pPr>
        <w:spacing w:before="240" w:line="240" w:lineRule="auto"/>
        <w:ind w:left="2268" w:hanging="567"/>
        <w:rPr>
          <w:rFonts w:eastAsia="Times New Roman"/>
          <w:sz w:val="24"/>
          <w:szCs w:val="24"/>
          <w:lang w:eastAsia="en-AU"/>
        </w:rPr>
      </w:pPr>
      <w:r w:rsidRPr="001F496F">
        <w:rPr>
          <w:rFonts w:eastAsia="Times New Roman"/>
          <w:sz w:val="24"/>
          <w:szCs w:val="24"/>
          <w:lang w:val="en-US" w:eastAsia="en-AU"/>
        </w:rPr>
        <w:t>(1)</w:t>
      </w:r>
      <w:r w:rsidRPr="001F496F">
        <w:rPr>
          <w:rFonts w:eastAsia="Times New Roman"/>
          <w:sz w:val="24"/>
          <w:szCs w:val="24"/>
          <w:lang w:val="en-US" w:eastAsia="en-AU"/>
        </w:rPr>
        <w:tab/>
        <w:t xml:space="preserve">This section applies to a market bid </w:t>
      </w:r>
      <w:r w:rsidRPr="001F496F">
        <w:rPr>
          <w:rFonts w:eastAsia="Times New Roman"/>
          <w:sz w:val="24"/>
          <w:szCs w:val="24"/>
          <w:lang w:eastAsia="en-AU"/>
        </w:rPr>
        <w:t>before the bidder’s statement has been sent to any holder of bid class securities.</w:t>
      </w:r>
    </w:p>
    <w:p w14:paraId="2A3AEE03" w14:textId="77777777" w:rsidR="00DB5A86" w:rsidRPr="001F496F" w:rsidRDefault="00DB5A86" w:rsidP="00DB5A86">
      <w:pPr>
        <w:spacing w:before="240" w:line="240" w:lineRule="auto"/>
        <w:ind w:left="2268" w:hanging="567"/>
        <w:rPr>
          <w:rFonts w:eastAsia="Times New Roman"/>
          <w:sz w:val="24"/>
          <w:szCs w:val="24"/>
          <w:lang w:eastAsia="en-AU"/>
        </w:rPr>
      </w:pPr>
      <w:r w:rsidRPr="001F496F">
        <w:rPr>
          <w:rFonts w:eastAsia="Times New Roman"/>
          <w:sz w:val="24"/>
          <w:szCs w:val="24"/>
          <w:lang w:eastAsia="en-AU"/>
        </w:rPr>
        <w:t>(2)</w:t>
      </w:r>
      <w:r w:rsidRPr="001F496F">
        <w:rPr>
          <w:rFonts w:eastAsia="Times New Roman"/>
          <w:sz w:val="24"/>
          <w:szCs w:val="24"/>
          <w:lang w:eastAsia="en-AU"/>
        </w:rPr>
        <w:tab/>
        <w:t xml:space="preserve">For the purposes of subitem 6(b) of the table </w:t>
      </w:r>
      <w:r>
        <w:rPr>
          <w:rFonts w:eastAsia="Times New Roman"/>
          <w:sz w:val="24"/>
          <w:szCs w:val="24"/>
          <w:lang w:eastAsia="en-AU"/>
        </w:rPr>
        <w:t xml:space="preserve">in </w:t>
      </w:r>
      <w:r w:rsidRPr="001F496F">
        <w:rPr>
          <w:rFonts w:eastAsia="Times New Roman"/>
          <w:sz w:val="24"/>
          <w:szCs w:val="24"/>
          <w:lang w:eastAsia="en-AU"/>
        </w:rPr>
        <w:t>subsection 635(1), a bidder is eligible to rely on this section if the bidder, no later than the time allowed for sending the original bidder’s statement to persons holding bid class securities under subitem 6(a) of the table in subsection 635(1):</w:t>
      </w:r>
    </w:p>
    <w:p w14:paraId="31C9AE1A" w14:textId="77777777" w:rsidR="00DB5A86" w:rsidRPr="001F496F"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val="en-US" w:eastAsia="en-AU"/>
        </w:rPr>
        <w:t>(a)</w:t>
      </w:r>
      <w:r w:rsidRPr="001F496F">
        <w:rPr>
          <w:rFonts w:eastAsia="Times New Roman"/>
          <w:sz w:val="24"/>
          <w:szCs w:val="24"/>
          <w:lang w:val="en-US" w:eastAsia="en-AU"/>
        </w:rPr>
        <w:tab/>
        <w:t xml:space="preserve">lodges </w:t>
      </w:r>
      <w:r w:rsidRPr="001F496F">
        <w:rPr>
          <w:rFonts w:eastAsia="Times New Roman"/>
          <w:sz w:val="24"/>
          <w:szCs w:val="24"/>
          <w:lang w:eastAsia="en-AU"/>
        </w:rPr>
        <w:t>with ASIC; and</w:t>
      </w:r>
    </w:p>
    <w:p w14:paraId="2128DA16" w14:textId="77777777" w:rsidR="00DB5A86" w:rsidRPr="001F496F"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eastAsia="en-AU"/>
        </w:rPr>
        <w:t>(b)</w:t>
      </w:r>
      <w:r w:rsidRPr="001F496F">
        <w:rPr>
          <w:rFonts w:eastAsia="Times New Roman"/>
          <w:sz w:val="24"/>
          <w:szCs w:val="24"/>
          <w:lang w:eastAsia="en-AU"/>
        </w:rPr>
        <w:tab/>
        <w:t>sends to the target; and</w:t>
      </w:r>
    </w:p>
    <w:p w14:paraId="37435223" w14:textId="77777777" w:rsidR="00DB5A86" w:rsidRPr="001F496F"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eastAsia="en-AU"/>
        </w:rPr>
        <w:t>(c)</w:t>
      </w:r>
      <w:r w:rsidRPr="001F496F">
        <w:rPr>
          <w:rFonts w:eastAsia="Times New Roman"/>
          <w:sz w:val="24"/>
          <w:szCs w:val="24"/>
          <w:lang w:eastAsia="en-AU"/>
        </w:rPr>
        <w:tab/>
        <w:t xml:space="preserve">sends to the operator of each prescribed financial market on which the target’s securities are </w:t>
      </w:r>
      <w:proofErr w:type="gramStart"/>
      <w:r w:rsidRPr="001F496F">
        <w:rPr>
          <w:rFonts w:eastAsia="Times New Roman"/>
          <w:sz w:val="24"/>
          <w:szCs w:val="24"/>
          <w:lang w:eastAsia="en-AU"/>
        </w:rPr>
        <w:t>quoted;</w:t>
      </w:r>
      <w:proofErr w:type="gramEnd"/>
    </w:p>
    <w:p w14:paraId="2CB2E1E2" w14:textId="77777777" w:rsidR="00DB5A86" w:rsidRPr="001F496F" w:rsidRDefault="00DB5A86" w:rsidP="00DB5A86">
      <w:pPr>
        <w:spacing w:before="240" w:line="240" w:lineRule="auto"/>
        <w:ind w:left="2268"/>
        <w:rPr>
          <w:rFonts w:eastAsia="Times New Roman"/>
          <w:sz w:val="24"/>
          <w:szCs w:val="24"/>
          <w:lang w:eastAsia="en-AU"/>
        </w:rPr>
      </w:pPr>
      <w:r w:rsidRPr="001F496F">
        <w:rPr>
          <w:rFonts w:eastAsia="Times New Roman"/>
          <w:sz w:val="24"/>
          <w:szCs w:val="24"/>
          <w:lang w:eastAsia="en-AU"/>
        </w:rPr>
        <w:t>a replacement bidder’s statement and a copy of that replacement bidder’s statement marked to show all changes from the original bidder’s statement.</w:t>
      </w:r>
    </w:p>
    <w:p w14:paraId="6590546B" w14:textId="77777777" w:rsidR="00DB5A86" w:rsidRPr="001F496F" w:rsidRDefault="00DB5A86" w:rsidP="00DB5A86">
      <w:pPr>
        <w:spacing w:before="240" w:line="240" w:lineRule="auto"/>
        <w:ind w:left="2268" w:hanging="567"/>
        <w:rPr>
          <w:rFonts w:eastAsia="Times New Roman"/>
          <w:sz w:val="24"/>
          <w:szCs w:val="24"/>
          <w:lang w:eastAsia="en-AU"/>
        </w:rPr>
      </w:pPr>
      <w:r w:rsidRPr="001F496F">
        <w:rPr>
          <w:rFonts w:eastAsia="Times New Roman"/>
          <w:sz w:val="24"/>
          <w:szCs w:val="24"/>
          <w:lang w:eastAsia="en-AU"/>
        </w:rPr>
        <w:t>(3)</w:t>
      </w:r>
      <w:r w:rsidRPr="001F496F">
        <w:rPr>
          <w:rFonts w:eastAsia="Times New Roman"/>
          <w:sz w:val="24"/>
          <w:szCs w:val="24"/>
          <w:lang w:eastAsia="en-AU"/>
        </w:rPr>
        <w:tab/>
        <w:t>In this section and in subsection 635(1):</w:t>
      </w:r>
    </w:p>
    <w:p w14:paraId="6D038B59" w14:textId="77777777" w:rsidR="00DB5A86" w:rsidRPr="001F496F" w:rsidRDefault="00DB5A86" w:rsidP="00DB5A86">
      <w:pPr>
        <w:spacing w:before="240" w:line="240" w:lineRule="auto"/>
        <w:ind w:left="2268"/>
        <w:rPr>
          <w:rFonts w:eastAsia="Times New Roman"/>
          <w:sz w:val="24"/>
          <w:szCs w:val="24"/>
          <w:lang w:val="en-US" w:eastAsia="en-AU"/>
        </w:rPr>
      </w:pPr>
      <w:r w:rsidRPr="001F496F">
        <w:rPr>
          <w:rFonts w:eastAsia="Times New Roman"/>
          <w:b/>
          <w:i/>
          <w:sz w:val="24"/>
          <w:szCs w:val="24"/>
          <w:lang w:val="en-US" w:eastAsia="en-AU"/>
        </w:rPr>
        <w:lastRenderedPageBreak/>
        <w:t xml:space="preserve">replacement bidder’s statement </w:t>
      </w:r>
      <w:r w:rsidRPr="001F496F">
        <w:rPr>
          <w:rFonts w:eastAsia="Times New Roman"/>
          <w:sz w:val="24"/>
          <w:szCs w:val="24"/>
          <w:lang w:val="en-US" w:eastAsia="en-AU"/>
        </w:rPr>
        <w:t>means a bidder’s statement that:</w:t>
      </w:r>
    </w:p>
    <w:p w14:paraId="3C05C68D" w14:textId="77777777" w:rsidR="00DB5A86" w:rsidRPr="00C22337"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val="en-US" w:eastAsia="en-AU"/>
        </w:rPr>
        <w:t>(a)</w:t>
      </w:r>
      <w:r w:rsidRPr="001F496F">
        <w:rPr>
          <w:rFonts w:eastAsia="Times New Roman"/>
          <w:sz w:val="24"/>
          <w:szCs w:val="24"/>
          <w:lang w:val="en-US" w:eastAsia="en-AU"/>
        </w:rPr>
        <w:tab/>
        <w:t xml:space="preserve">incorporates all the substantive information in an original bidder’s statement and in each supplementary bidder’s </w:t>
      </w:r>
      <w:r w:rsidRPr="00C22337">
        <w:rPr>
          <w:rFonts w:eastAsia="Times New Roman"/>
          <w:sz w:val="24"/>
          <w:szCs w:val="24"/>
          <w:lang w:eastAsia="en-AU"/>
        </w:rPr>
        <w:t>statement that was lodged in relation to the original bidder’s statement before, or at the same time as, the time when the replacement bidder’s statement is lodged with ASIC; and</w:t>
      </w:r>
    </w:p>
    <w:p w14:paraId="449ED462" w14:textId="77777777" w:rsidR="00DB5A86" w:rsidRPr="00C22337" w:rsidRDefault="00DB5A86" w:rsidP="00DB5A86">
      <w:pPr>
        <w:spacing w:before="240" w:line="240" w:lineRule="auto"/>
        <w:ind w:left="2835" w:hanging="567"/>
        <w:rPr>
          <w:rFonts w:eastAsia="Times New Roman"/>
          <w:sz w:val="24"/>
          <w:szCs w:val="24"/>
          <w:lang w:eastAsia="en-AU"/>
        </w:rPr>
      </w:pPr>
      <w:r w:rsidRPr="00C22337">
        <w:rPr>
          <w:rFonts w:eastAsia="Times New Roman"/>
          <w:sz w:val="24"/>
          <w:szCs w:val="24"/>
          <w:lang w:eastAsia="en-AU"/>
        </w:rPr>
        <w:t>(b)</w:t>
      </w:r>
      <w:r w:rsidRPr="00C22337">
        <w:rPr>
          <w:rFonts w:eastAsia="Times New Roman"/>
          <w:sz w:val="24"/>
          <w:szCs w:val="24"/>
          <w:lang w:eastAsia="en-AU"/>
        </w:rPr>
        <w:tab/>
        <w:t>explains that it replaces the original bidder’s statement and each supplementary statement and states the date or dates that the original bidder’s statement and each supplementary statement were lodged with ASIC; and</w:t>
      </w:r>
    </w:p>
    <w:p w14:paraId="1C46802E" w14:textId="77777777" w:rsidR="00DB5A86" w:rsidRPr="00C22337" w:rsidRDefault="00DB5A86" w:rsidP="00DB5A86">
      <w:pPr>
        <w:spacing w:before="240" w:line="240" w:lineRule="auto"/>
        <w:ind w:left="2835" w:hanging="567"/>
        <w:rPr>
          <w:rFonts w:eastAsia="Times New Roman"/>
          <w:sz w:val="24"/>
          <w:szCs w:val="24"/>
          <w:lang w:eastAsia="en-AU"/>
        </w:rPr>
      </w:pPr>
      <w:r w:rsidRPr="00C22337">
        <w:rPr>
          <w:rFonts w:eastAsia="Times New Roman"/>
          <w:sz w:val="24"/>
          <w:szCs w:val="24"/>
          <w:lang w:eastAsia="en-AU"/>
        </w:rPr>
        <w:t>(c)</w:t>
      </w:r>
      <w:r w:rsidRPr="00C22337">
        <w:rPr>
          <w:rFonts w:eastAsia="Times New Roman"/>
          <w:sz w:val="24"/>
          <w:szCs w:val="24"/>
          <w:lang w:eastAsia="en-AU"/>
        </w:rPr>
        <w:tab/>
        <w:t>bears a date that is the same as the date that it is lodged with ASIC; and</w:t>
      </w:r>
    </w:p>
    <w:p w14:paraId="57B0309D" w14:textId="77777777" w:rsidR="00DB5A86" w:rsidRPr="001F496F" w:rsidRDefault="00DB5A86" w:rsidP="00DB5A86">
      <w:pPr>
        <w:spacing w:before="240" w:line="240" w:lineRule="auto"/>
        <w:ind w:left="2835" w:hanging="567"/>
        <w:rPr>
          <w:rFonts w:eastAsia="Times New Roman"/>
          <w:sz w:val="24"/>
          <w:szCs w:val="24"/>
          <w:lang w:val="en-US" w:eastAsia="en-AU"/>
        </w:rPr>
      </w:pPr>
      <w:r w:rsidRPr="00C22337">
        <w:rPr>
          <w:rFonts w:eastAsia="Times New Roman"/>
          <w:sz w:val="24"/>
          <w:szCs w:val="24"/>
          <w:lang w:eastAsia="en-AU"/>
        </w:rPr>
        <w:t>(d)</w:t>
      </w:r>
      <w:r w:rsidRPr="00C22337">
        <w:rPr>
          <w:rFonts w:eastAsia="Times New Roman"/>
          <w:sz w:val="24"/>
          <w:szCs w:val="24"/>
          <w:lang w:eastAsia="en-AU"/>
        </w:rPr>
        <w:tab/>
        <w:t>sets out</w:t>
      </w:r>
      <w:r w:rsidRPr="001F496F">
        <w:rPr>
          <w:rFonts w:eastAsia="Times New Roman"/>
          <w:sz w:val="24"/>
          <w:szCs w:val="24"/>
          <w:lang w:val="en-US" w:eastAsia="en-AU"/>
        </w:rPr>
        <w:t xml:space="preserve"> or reflects offers under the bid that are on the same terms as those set out in the original bidder’s statement and offer document (if any) lodged with ASIC under item 5 of the table in subsection 635(1).</w:t>
      </w:r>
      <w:proofErr w:type="gramStart"/>
      <w:r w:rsidRPr="001F496F">
        <w:rPr>
          <w:rFonts w:eastAsia="Times New Roman"/>
          <w:sz w:val="24"/>
          <w:szCs w:val="24"/>
          <w:lang w:val="en-US" w:eastAsia="en-AU"/>
        </w:rPr>
        <w:t>”;</w:t>
      </w:r>
      <w:proofErr w:type="gramEnd"/>
    </w:p>
    <w:p w14:paraId="1D45D0F4" w14:textId="77777777" w:rsidR="00DB5A86" w:rsidRPr="001F496F" w:rsidRDefault="00DB5A86" w:rsidP="00DB5A86">
      <w:pPr>
        <w:pStyle w:val="LI-BodyTextParaa"/>
        <w:rPr>
          <w:lang w:val="en-US"/>
        </w:rPr>
      </w:pPr>
      <w:r>
        <w:rPr>
          <w:lang w:val="en-US"/>
        </w:rPr>
        <w:t>(</w:t>
      </w:r>
      <w:proofErr w:type="spellStart"/>
      <w:r>
        <w:rPr>
          <w:lang w:val="en-US"/>
        </w:rPr>
        <w:t>i</w:t>
      </w:r>
      <w:proofErr w:type="spellEnd"/>
      <w:r>
        <w:rPr>
          <w:lang w:val="en-US"/>
        </w:rPr>
        <w:t>)</w:t>
      </w:r>
      <w:r>
        <w:rPr>
          <w:lang w:val="en-US"/>
        </w:rPr>
        <w:tab/>
      </w:r>
      <w:r w:rsidRPr="001F496F">
        <w:rPr>
          <w:lang w:val="en-US"/>
        </w:rPr>
        <w:t>after section 635</w:t>
      </w:r>
      <w:r>
        <w:rPr>
          <w:lang w:val="en-US"/>
        </w:rPr>
        <w:t>A</w:t>
      </w:r>
      <w:r w:rsidRPr="001F496F">
        <w:rPr>
          <w:lang w:val="en-US"/>
        </w:rPr>
        <w:t xml:space="preserve"> insert:</w:t>
      </w:r>
    </w:p>
    <w:p w14:paraId="1A6DD2EC" w14:textId="77777777" w:rsidR="00DB5A86" w:rsidRPr="001F496F" w:rsidRDefault="00DB5A86" w:rsidP="00DB5A86">
      <w:pPr>
        <w:spacing w:before="240" w:line="240" w:lineRule="auto"/>
        <w:ind w:left="1701"/>
        <w:rPr>
          <w:rFonts w:eastAsia="Times New Roman"/>
          <w:b/>
          <w:sz w:val="24"/>
          <w:szCs w:val="24"/>
          <w:lang w:val="en-US" w:eastAsia="en-AU"/>
        </w:rPr>
      </w:pPr>
      <w:r w:rsidRPr="00B520E6">
        <w:rPr>
          <w:rFonts w:eastAsia="Times New Roman"/>
          <w:bCs/>
          <w:sz w:val="24"/>
          <w:szCs w:val="24"/>
          <w:lang w:val="en-US" w:eastAsia="en-AU"/>
        </w:rPr>
        <w:t>“</w:t>
      </w:r>
      <w:r w:rsidRPr="001F496F">
        <w:rPr>
          <w:rFonts w:eastAsia="Times New Roman"/>
          <w:b/>
          <w:sz w:val="24"/>
          <w:szCs w:val="24"/>
          <w:lang w:val="en-US" w:eastAsia="en-AU"/>
        </w:rPr>
        <w:t>635</w:t>
      </w:r>
      <w:r>
        <w:rPr>
          <w:rFonts w:eastAsia="Times New Roman"/>
          <w:b/>
          <w:sz w:val="24"/>
          <w:szCs w:val="24"/>
          <w:lang w:val="en-US" w:eastAsia="en-AU"/>
        </w:rPr>
        <w:t>B</w:t>
      </w:r>
      <w:r w:rsidRPr="001F496F">
        <w:rPr>
          <w:rFonts w:eastAsia="Times New Roman"/>
          <w:b/>
          <w:sz w:val="24"/>
          <w:szCs w:val="24"/>
          <w:lang w:val="en-US" w:eastAsia="en-AU"/>
        </w:rPr>
        <w:t xml:space="preserve"> Market bid–Replacement </w:t>
      </w:r>
      <w:r>
        <w:rPr>
          <w:rFonts w:eastAsia="Times New Roman"/>
          <w:b/>
          <w:sz w:val="24"/>
          <w:szCs w:val="24"/>
          <w:lang w:val="en-US" w:eastAsia="en-AU"/>
        </w:rPr>
        <w:t>target’s</w:t>
      </w:r>
      <w:r w:rsidRPr="001F496F">
        <w:rPr>
          <w:rFonts w:eastAsia="Times New Roman"/>
          <w:b/>
          <w:sz w:val="24"/>
          <w:szCs w:val="24"/>
          <w:lang w:val="en-US" w:eastAsia="en-AU"/>
        </w:rPr>
        <w:t xml:space="preserve"> statement</w:t>
      </w:r>
    </w:p>
    <w:p w14:paraId="024156A5" w14:textId="77777777" w:rsidR="00DB5A86" w:rsidRPr="001F496F" w:rsidRDefault="00DB5A86" w:rsidP="00DB5A86">
      <w:pPr>
        <w:spacing w:before="240" w:line="240" w:lineRule="auto"/>
        <w:ind w:left="2268" w:hanging="567"/>
        <w:rPr>
          <w:rFonts w:eastAsia="Times New Roman"/>
          <w:sz w:val="24"/>
          <w:szCs w:val="24"/>
          <w:lang w:eastAsia="en-AU"/>
        </w:rPr>
      </w:pPr>
      <w:r w:rsidRPr="001F496F">
        <w:rPr>
          <w:rFonts w:eastAsia="Times New Roman"/>
          <w:sz w:val="24"/>
          <w:szCs w:val="24"/>
          <w:lang w:val="en-US" w:eastAsia="en-AU"/>
        </w:rPr>
        <w:t>(1)</w:t>
      </w:r>
      <w:r w:rsidRPr="001F496F">
        <w:rPr>
          <w:rFonts w:eastAsia="Times New Roman"/>
          <w:sz w:val="24"/>
          <w:szCs w:val="24"/>
          <w:lang w:val="en-US" w:eastAsia="en-AU"/>
        </w:rPr>
        <w:tab/>
        <w:t xml:space="preserve">This section applies to a market bid </w:t>
      </w:r>
      <w:r w:rsidRPr="001F496F">
        <w:rPr>
          <w:rFonts w:eastAsia="Times New Roman"/>
          <w:sz w:val="24"/>
          <w:szCs w:val="24"/>
          <w:lang w:eastAsia="en-AU"/>
        </w:rPr>
        <w:t xml:space="preserve">before the </w:t>
      </w:r>
      <w:r>
        <w:rPr>
          <w:rFonts w:eastAsia="Times New Roman"/>
          <w:sz w:val="24"/>
          <w:szCs w:val="24"/>
          <w:lang w:eastAsia="en-AU"/>
        </w:rPr>
        <w:t>target’s</w:t>
      </w:r>
      <w:r w:rsidRPr="001F496F">
        <w:rPr>
          <w:rFonts w:eastAsia="Times New Roman"/>
          <w:sz w:val="24"/>
          <w:szCs w:val="24"/>
          <w:lang w:eastAsia="en-AU"/>
        </w:rPr>
        <w:t xml:space="preserve"> statement has been sent to any holder of bid class securities.</w:t>
      </w:r>
    </w:p>
    <w:p w14:paraId="1FA5A02E" w14:textId="77777777" w:rsidR="00DB5A86" w:rsidRPr="001F496F" w:rsidRDefault="00DB5A86" w:rsidP="00DB5A86">
      <w:pPr>
        <w:spacing w:before="240" w:line="240" w:lineRule="auto"/>
        <w:ind w:left="2268" w:hanging="567"/>
        <w:rPr>
          <w:rFonts w:eastAsia="Times New Roman"/>
          <w:sz w:val="24"/>
          <w:szCs w:val="24"/>
          <w:lang w:eastAsia="en-AU"/>
        </w:rPr>
      </w:pPr>
      <w:r w:rsidRPr="001F496F">
        <w:rPr>
          <w:rFonts w:eastAsia="Times New Roman"/>
          <w:sz w:val="24"/>
          <w:szCs w:val="24"/>
          <w:lang w:eastAsia="en-AU"/>
        </w:rPr>
        <w:t>(2)</w:t>
      </w:r>
      <w:r w:rsidRPr="001F496F">
        <w:rPr>
          <w:rFonts w:eastAsia="Times New Roman"/>
          <w:sz w:val="24"/>
          <w:szCs w:val="24"/>
          <w:lang w:eastAsia="en-AU"/>
        </w:rPr>
        <w:tab/>
        <w:t xml:space="preserve">For the purposes of subitem </w:t>
      </w:r>
      <w:r>
        <w:rPr>
          <w:rFonts w:eastAsia="Times New Roman"/>
          <w:sz w:val="24"/>
          <w:szCs w:val="24"/>
          <w:lang w:eastAsia="en-AU"/>
        </w:rPr>
        <w:t>13</w:t>
      </w:r>
      <w:r w:rsidRPr="001F496F">
        <w:rPr>
          <w:rFonts w:eastAsia="Times New Roman"/>
          <w:sz w:val="24"/>
          <w:szCs w:val="24"/>
          <w:lang w:eastAsia="en-AU"/>
        </w:rPr>
        <w:t xml:space="preserve">(b) of the table </w:t>
      </w:r>
      <w:r>
        <w:rPr>
          <w:rFonts w:eastAsia="Times New Roman"/>
          <w:sz w:val="24"/>
          <w:szCs w:val="24"/>
          <w:lang w:eastAsia="en-AU"/>
        </w:rPr>
        <w:t xml:space="preserve">in </w:t>
      </w:r>
      <w:r w:rsidRPr="001F496F">
        <w:rPr>
          <w:rFonts w:eastAsia="Times New Roman"/>
          <w:sz w:val="24"/>
          <w:szCs w:val="24"/>
          <w:lang w:eastAsia="en-AU"/>
        </w:rPr>
        <w:t xml:space="preserve">subsection 635(1), a </w:t>
      </w:r>
      <w:r>
        <w:rPr>
          <w:rFonts w:eastAsia="Times New Roman"/>
          <w:sz w:val="24"/>
          <w:szCs w:val="24"/>
          <w:lang w:eastAsia="en-AU"/>
        </w:rPr>
        <w:t>target</w:t>
      </w:r>
      <w:r w:rsidRPr="001F496F">
        <w:rPr>
          <w:rFonts w:eastAsia="Times New Roman"/>
          <w:sz w:val="24"/>
          <w:szCs w:val="24"/>
          <w:lang w:eastAsia="en-AU"/>
        </w:rPr>
        <w:t xml:space="preserve"> is eligible to rely on this section if the </w:t>
      </w:r>
      <w:r>
        <w:rPr>
          <w:rFonts w:eastAsia="Times New Roman"/>
          <w:sz w:val="24"/>
          <w:szCs w:val="24"/>
          <w:lang w:eastAsia="en-AU"/>
        </w:rPr>
        <w:t>target</w:t>
      </w:r>
      <w:r w:rsidRPr="001F496F">
        <w:rPr>
          <w:rFonts w:eastAsia="Times New Roman"/>
          <w:sz w:val="24"/>
          <w:szCs w:val="24"/>
          <w:lang w:eastAsia="en-AU"/>
        </w:rPr>
        <w:t xml:space="preserve">, no later than the time allowed for sending the original </w:t>
      </w:r>
      <w:r>
        <w:rPr>
          <w:rFonts w:eastAsia="Times New Roman"/>
          <w:sz w:val="24"/>
          <w:szCs w:val="24"/>
          <w:lang w:eastAsia="en-AU"/>
        </w:rPr>
        <w:t xml:space="preserve">target’s </w:t>
      </w:r>
      <w:r w:rsidRPr="001F496F">
        <w:rPr>
          <w:rFonts w:eastAsia="Times New Roman"/>
          <w:sz w:val="24"/>
          <w:szCs w:val="24"/>
          <w:lang w:eastAsia="en-AU"/>
        </w:rPr>
        <w:t xml:space="preserve">statement to persons holding bid class securities under subitem </w:t>
      </w:r>
      <w:r>
        <w:rPr>
          <w:rFonts w:eastAsia="Times New Roman"/>
          <w:sz w:val="24"/>
          <w:szCs w:val="24"/>
          <w:lang w:eastAsia="en-AU"/>
        </w:rPr>
        <w:t>13</w:t>
      </w:r>
      <w:r w:rsidRPr="001F496F">
        <w:rPr>
          <w:rFonts w:eastAsia="Times New Roman"/>
          <w:sz w:val="24"/>
          <w:szCs w:val="24"/>
          <w:lang w:eastAsia="en-AU"/>
        </w:rPr>
        <w:t>(a) of the table in subsection 635(1):</w:t>
      </w:r>
    </w:p>
    <w:p w14:paraId="2FFECCF2" w14:textId="77777777" w:rsidR="00DB5A86" w:rsidRPr="001F496F"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val="en-US" w:eastAsia="en-AU"/>
        </w:rPr>
        <w:t>(a)</w:t>
      </w:r>
      <w:r w:rsidRPr="001F496F">
        <w:rPr>
          <w:rFonts w:eastAsia="Times New Roman"/>
          <w:sz w:val="24"/>
          <w:szCs w:val="24"/>
          <w:lang w:val="en-US" w:eastAsia="en-AU"/>
        </w:rPr>
        <w:tab/>
        <w:t xml:space="preserve">lodges </w:t>
      </w:r>
      <w:r w:rsidRPr="001F496F">
        <w:rPr>
          <w:rFonts w:eastAsia="Times New Roman"/>
          <w:sz w:val="24"/>
          <w:szCs w:val="24"/>
          <w:lang w:eastAsia="en-AU"/>
        </w:rPr>
        <w:t>with ASIC; and</w:t>
      </w:r>
    </w:p>
    <w:p w14:paraId="5D092E4A" w14:textId="77777777" w:rsidR="00DB5A86" w:rsidRPr="001F496F"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eastAsia="en-AU"/>
        </w:rPr>
        <w:t>(b)</w:t>
      </w:r>
      <w:r w:rsidRPr="001F496F">
        <w:rPr>
          <w:rFonts w:eastAsia="Times New Roman"/>
          <w:sz w:val="24"/>
          <w:szCs w:val="24"/>
          <w:lang w:eastAsia="en-AU"/>
        </w:rPr>
        <w:tab/>
        <w:t xml:space="preserve">sends to the </w:t>
      </w:r>
      <w:r>
        <w:rPr>
          <w:rFonts w:eastAsia="Times New Roman"/>
          <w:sz w:val="24"/>
          <w:szCs w:val="24"/>
          <w:lang w:eastAsia="en-AU"/>
        </w:rPr>
        <w:t>bidder</w:t>
      </w:r>
      <w:r w:rsidRPr="001F496F">
        <w:rPr>
          <w:rFonts w:eastAsia="Times New Roman"/>
          <w:sz w:val="24"/>
          <w:szCs w:val="24"/>
          <w:lang w:eastAsia="en-AU"/>
        </w:rPr>
        <w:t>; and</w:t>
      </w:r>
    </w:p>
    <w:p w14:paraId="4441A692" w14:textId="77777777" w:rsidR="00DB5A86" w:rsidRPr="001F496F"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eastAsia="en-AU"/>
        </w:rPr>
        <w:t>(c)</w:t>
      </w:r>
      <w:r w:rsidRPr="001F496F">
        <w:rPr>
          <w:rFonts w:eastAsia="Times New Roman"/>
          <w:sz w:val="24"/>
          <w:szCs w:val="24"/>
          <w:lang w:eastAsia="en-AU"/>
        </w:rPr>
        <w:tab/>
        <w:t xml:space="preserve">sends to the operator of each prescribed financial market on which the target’s securities are </w:t>
      </w:r>
      <w:proofErr w:type="gramStart"/>
      <w:r w:rsidRPr="001F496F">
        <w:rPr>
          <w:rFonts w:eastAsia="Times New Roman"/>
          <w:sz w:val="24"/>
          <w:szCs w:val="24"/>
          <w:lang w:eastAsia="en-AU"/>
        </w:rPr>
        <w:t>quoted;</w:t>
      </w:r>
      <w:proofErr w:type="gramEnd"/>
    </w:p>
    <w:p w14:paraId="25A01924" w14:textId="77777777" w:rsidR="00DB5A86" w:rsidRPr="001F496F" w:rsidRDefault="00DB5A86" w:rsidP="00DB5A86">
      <w:pPr>
        <w:spacing w:before="240" w:line="240" w:lineRule="auto"/>
        <w:ind w:left="2268"/>
        <w:rPr>
          <w:rFonts w:eastAsia="Times New Roman"/>
          <w:sz w:val="24"/>
          <w:szCs w:val="24"/>
          <w:lang w:eastAsia="en-AU"/>
        </w:rPr>
      </w:pPr>
      <w:r w:rsidRPr="001F496F">
        <w:rPr>
          <w:rFonts w:eastAsia="Times New Roman"/>
          <w:sz w:val="24"/>
          <w:szCs w:val="24"/>
          <w:lang w:eastAsia="en-AU"/>
        </w:rPr>
        <w:t xml:space="preserve">a replacement </w:t>
      </w:r>
      <w:r>
        <w:rPr>
          <w:rFonts w:eastAsia="Times New Roman"/>
          <w:sz w:val="24"/>
          <w:szCs w:val="24"/>
          <w:lang w:eastAsia="en-AU"/>
        </w:rPr>
        <w:t>target’s</w:t>
      </w:r>
      <w:r w:rsidRPr="001F496F">
        <w:rPr>
          <w:rFonts w:eastAsia="Times New Roman"/>
          <w:sz w:val="24"/>
          <w:szCs w:val="24"/>
          <w:lang w:eastAsia="en-AU"/>
        </w:rPr>
        <w:t xml:space="preserve"> statement and a copy of that replacement </w:t>
      </w:r>
      <w:r>
        <w:rPr>
          <w:rFonts w:eastAsia="Times New Roman"/>
          <w:sz w:val="24"/>
          <w:szCs w:val="24"/>
          <w:lang w:eastAsia="en-AU"/>
        </w:rPr>
        <w:t>target’s</w:t>
      </w:r>
      <w:r w:rsidRPr="001F496F">
        <w:rPr>
          <w:rFonts w:eastAsia="Times New Roman"/>
          <w:sz w:val="24"/>
          <w:szCs w:val="24"/>
          <w:lang w:eastAsia="en-AU"/>
        </w:rPr>
        <w:t xml:space="preserve"> statement marked to show all changes from the original </w:t>
      </w:r>
      <w:r>
        <w:rPr>
          <w:rFonts w:eastAsia="Times New Roman"/>
          <w:sz w:val="24"/>
          <w:szCs w:val="24"/>
          <w:lang w:eastAsia="en-AU"/>
        </w:rPr>
        <w:t>target’s</w:t>
      </w:r>
      <w:r w:rsidRPr="001F496F">
        <w:rPr>
          <w:rFonts w:eastAsia="Times New Roman"/>
          <w:sz w:val="24"/>
          <w:szCs w:val="24"/>
          <w:lang w:eastAsia="en-AU"/>
        </w:rPr>
        <w:t xml:space="preserve"> statement.</w:t>
      </w:r>
    </w:p>
    <w:p w14:paraId="09F1355A" w14:textId="77777777" w:rsidR="00DB5A86" w:rsidRPr="001F496F" w:rsidRDefault="00DB5A86" w:rsidP="00DB5A86">
      <w:pPr>
        <w:spacing w:before="240" w:line="240" w:lineRule="auto"/>
        <w:ind w:left="2268" w:hanging="567"/>
        <w:rPr>
          <w:rFonts w:eastAsia="Times New Roman"/>
          <w:sz w:val="24"/>
          <w:szCs w:val="24"/>
          <w:lang w:eastAsia="en-AU"/>
        </w:rPr>
      </w:pPr>
      <w:r w:rsidRPr="001F496F">
        <w:rPr>
          <w:rFonts w:eastAsia="Times New Roman"/>
          <w:sz w:val="24"/>
          <w:szCs w:val="24"/>
          <w:lang w:eastAsia="en-AU"/>
        </w:rPr>
        <w:t>(3)</w:t>
      </w:r>
      <w:r w:rsidRPr="001F496F">
        <w:rPr>
          <w:rFonts w:eastAsia="Times New Roman"/>
          <w:sz w:val="24"/>
          <w:szCs w:val="24"/>
          <w:lang w:eastAsia="en-AU"/>
        </w:rPr>
        <w:tab/>
        <w:t>In this section and in subsection 635(1):</w:t>
      </w:r>
    </w:p>
    <w:p w14:paraId="059864D0" w14:textId="77777777" w:rsidR="00DB5A86" w:rsidRPr="001F496F" w:rsidRDefault="00DB5A86" w:rsidP="00DB5A86">
      <w:pPr>
        <w:spacing w:before="240" w:line="240" w:lineRule="auto"/>
        <w:ind w:left="2268"/>
        <w:rPr>
          <w:rFonts w:eastAsia="Times New Roman"/>
          <w:sz w:val="24"/>
          <w:szCs w:val="24"/>
          <w:lang w:val="en-US" w:eastAsia="en-AU"/>
        </w:rPr>
      </w:pPr>
      <w:r w:rsidRPr="001F496F">
        <w:rPr>
          <w:rFonts w:eastAsia="Times New Roman"/>
          <w:b/>
          <w:i/>
          <w:sz w:val="24"/>
          <w:szCs w:val="24"/>
          <w:lang w:val="en-US" w:eastAsia="en-AU"/>
        </w:rPr>
        <w:t xml:space="preserve">replacement </w:t>
      </w:r>
      <w:r>
        <w:rPr>
          <w:rFonts w:eastAsia="Times New Roman"/>
          <w:b/>
          <w:i/>
          <w:sz w:val="24"/>
          <w:szCs w:val="24"/>
          <w:lang w:val="en-US" w:eastAsia="en-AU"/>
        </w:rPr>
        <w:t>target’s</w:t>
      </w:r>
      <w:r w:rsidRPr="001F496F">
        <w:rPr>
          <w:rFonts w:eastAsia="Times New Roman"/>
          <w:b/>
          <w:i/>
          <w:sz w:val="24"/>
          <w:szCs w:val="24"/>
          <w:lang w:val="en-US" w:eastAsia="en-AU"/>
        </w:rPr>
        <w:t xml:space="preserve"> statement </w:t>
      </w:r>
      <w:r w:rsidRPr="001F496F">
        <w:rPr>
          <w:rFonts w:eastAsia="Times New Roman"/>
          <w:sz w:val="24"/>
          <w:szCs w:val="24"/>
          <w:lang w:val="en-US" w:eastAsia="en-AU"/>
        </w:rPr>
        <w:t xml:space="preserve">means a </w:t>
      </w:r>
      <w:r>
        <w:rPr>
          <w:rFonts w:eastAsia="Times New Roman"/>
          <w:sz w:val="24"/>
          <w:szCs w:val="24"/>
          <w:lang w:val="en-US" w:eastAsia="en-AU"/>
        </w:rPr>
        <w:t>target’s</w:t>
      </w:r>
      <w:r w:rsidRPr="001F496F">
        <w:rPr>
          <w:rFonts w:eastAsia="Times New Roman"/>
          <w:sz w:val="24"/>
          <w:szCs w:val="24"/>
          <w:lang w:val="en-US" w:eastAsia="en-AU"/>
        </w:rPr>
        <w:t xml:space="preserve"> statement that:</w:t>
      </w:r>
    </w:p>
    <w:p w14:paraId="42602BFF" w14:textId="77777777" w:rsidR="00DB5A86" w:rsidRPr="00C22337" w:rsidRDefault="00DB5A86" w:rsidP="00DB5A86">
      <w:pPr>
        <w:spacing w:before="240" w:line="240" w:lineRule="auto"/>
        <w:ind w:left="2835" w:hanging="567"/>
        <w:rPr>
          <w:rFonts w:eastAsia="Times New Roman"/>
          <w:sz w:val="24"/>
          <w:szCs w:val="24"/>
          <w:lang w:eastAsia="en-AU"/>
        </w:rPr>
      </w:pPr>
      <w:r w:rsidRPr="001F496F">
        <w:rPr>
          <w:rFonts w:eastAsia="Times New Roman"/>
          <w:sz w:val="24"/>
          <w:szCs w:val="24"/>
          <w:lang w:val="en-US" w:eastAsia="en-AU"/>
        </w:rPr>
        <w:lastRenderedPageBreak/>
        <w:t>(a)</w:t>
      </w:r>
      <w:r w:rsidRPr="001F496F">
        <w:rPr>
          <w:rFonts w:eastAsia="Times New Roman"/>
          <w:sz w:val="24"/>
          <w:szCs w:val="24"/>
          <w:lang w:val="en-US" w:eastAsia="en-AU"/>
        </w:rPr>
        <w:tab/>
        <w:t xml:space="preserve">incorporates all the substantive information in an original </w:t>
      </w:r>
      <w:r>
        <w:rPr>
          <w:rFonts w:eastAsia="Times New Roman"/>
          <w:sz w:val="24"/>
          <w:szCs w:val="24"/>
          <w:lang w:val="en-US" w:eastAsia="en-AU"/>
        </w:rPr>
        <w:t>target’s</w:t>
      </w:r>
      <w:r w:rsidRPr="001F496F">
        <w:rPr>
          <w:rFonts w:eastAsia="Times New Roman"/>
          <w:sz w:val="24"/>
          <w:szCs w:val="24"/>
          <w:lang w:val="en-US" w:eastAsia="en-AU"/>
        </w:rPr>
        <w:t xml:space="preserve"> statement and in each supplementary </w:t>
      </w:r>
      <w:r>
        <w:rPr>
          <w:rFonts w:eastAsia="Times New Roman"/>
          <w:sz w:val="24"/>
          <w:szCs w:val="24"/>
          <w:lang w:val="en-US" w:eastAsia="en-AU"/>
        </w:rPr>
        <w:t>target’s</w:t>
      </w:r>
      <w:r w:rsidRPr="001F496F">
        <w:rPr>
          <w:rFonts w:eastAsia="Times New Roman"/>
          <w:sz w:val="24"/>
          <w:szCs w:val="24"/>
          <w:lang w:val="en-US" w:eastAsia="en-AU"/>
        </w:rPr>
        <w:t xml:space="preserve"> </w:t>
      </w:r>
      <w:r w:rsidRPr="00C22337">
        <w:rPr>
          <w:rFonts w:eastAsia="Times New Roman"/>
          <w:sz w:val="24"/>
          <w:szCs w:val="24"/>
          <w:lang w:eastAsia="en-AU"/>
        </w:rPr>
        <w:t xml:space="preserve">statement that was lodged in relation to the original </w:t>
      </w:r>
      <w:r>
        <w:rPr>
          <w:rFonts w:eastAsia="Times New Roman"/>
          <w:sz w:val="24"/>
          <w:szCs w:val="24"/>
          <w:lang w:eastAsia="en-AU"/>
        </w:rPr>
        <w:t>target’s</w:t>
      </w:r>
      <w:r w:rsidRPr="00C22337">
        <w:rPr>
          <w:rFonts w:eastAsia="Times New Roman"/>
          <w:sz w:val="24"/>
          <w:szCs w:val="24"/>
          <w:lang w:eastAsia="en-AU"/>
        </w:rPr>
        <w:t xml:space="preserve"> statement before, or at the same time as, the time when the replacement </w:t>
      </w:r>
      <w:r>
        <w:rPr>
          <w:rFonts w:eastAsia="Times New Roman"/>
          <w:sz w:val="24"/>
          <w:szCs w:val="24"/>
          <w:lang w:eastAsia="en-AU"/>
        </w:rPr>
        <w:t>target’s</w:t>
      </w:r>
      <w:r w:rsidRPr="00C22337">
        <w:rPr>
          <w:rFonts w:eastAsia="Times New Roman"/>
          <w:sz w:val="24"/>
          <w:szCs w:val="24"/>
          <w:lang w:eastAsia="en-AU"/>
        </w:rPr>
        <w:t xml:space="preserve"> statement is lodged with ASIC; and</w:t>
      </w:r>
    </w:p>
    <w:p w14:paraId="7E84A475" w14:textId="77777777" w:rsidR="00DB5A86" w:rsidRPr="00C22337" w:rsidRDefault="00DB5A86" w:rsidP="00DB5A86">
      <w:pPr>
        <w:spacing w:before="240" w:line="240" w:lineRule="auto"/>
        <w:ind w:left="2835" w:hanging="567"/>
        <w:rPr>
          <w:rFonts w:eastAsia="Times New Roman"/>
          <w:sz w:val="24"/>
          <w:szCs w:val="24"/>
          <w:lang w:eastAsia="en-AU"/>
        </w:rPr>
      </w:pPr>
      <w:r w:rsidRPr="00C22337">
        <w:rPr>
          <w:rFonts w:eastAsia="Times New Roman"/>
          <w:sz w:val="24"/>
          <w:szCs w:val="24"/>
          <w:lang w:eastAsia="en-AU"/>
        </w:rPr>
        <w:t>(b)</w:t>
      </w:r>
      <w:r w:rsidRPr="00C22337">
        <w:rPr>
          <w:rFonts w:eastAsia="Times New Roman"/>
          <w:sz w:val="24"/>
          <w:szCs w:val="24"/>
          <w:lang w:eastAsia="en-AU"/>
        </w:rPr>
        <w:tab/>
        <w:t xml:space="preserve">explains that it replaces the original </w:t>
      </w:r>
      <w:r>
        <w:rPr>
          <w:rFonts w:eastAsia="Times New Roman"/>
          <w:sz w:val="24"/>
          <w:szCs w:val="24"/>
          <w:lang w:eastAsia="en-AU"/>
        </w:rPr>
        <w:t>target’s</w:t>
      </w:r>
      <w:r w:rsidRPr="00C22337">
        <w:rPr>
          <w:rFonts w:eastAsia="Times New Roman"/>
          <w:sz w:val="24"/>
          <w:szCs w:val="24"/>
          <w:lang w:eastAsia="en-AU"/>
        </w:rPr>
        <w:t xml:space="preserve"> statement and each supplementary statement and states the date or dates that the original </w:t>
      </w:r>
      <w:r>
        <w:rPr>
          <w:rFonts w:eastAsia="Times New Roman"/>
          <w:sz w:val="24"/>
          <w:szCs w:val="24"/>
          <w:lang w:eastAsia="en-AU"/>
        </w:rPr>
        <w:t>target’s</w:t>
      </w:r>
      <w:r w:rsidRPr="00C22337">
        <w:rPr>
          <w:rFonts w:eastAsia="Times New Roman"/>
          <w:sz w:val="24"/>
          <w:szCs w:val="24"/>
          <w:lang w:eastAsia="en-AU"/>
        </w:rPr>
        <w:t xml:space="preserve"> statement and each supplementary statement were lodged with ASIC; and</w:t>
      </w:r>
    </w:p>
    <w:p w14:paraId="41A62001" w14:textId="77777777" w:rsidR="00DB5A86" w:rsidRDefault="00DB5A86" w:rsidP="00DB5A86">
      <w:pPr>
        <w:spacing w:before="240" w:line="240" w:lineRule="auto"/>
        <w:ind w:left="2835" w:hanging="567"/>
        <w:rPr>
          <w:rFonts w:eastAsia="Times New Roman"/>
          <w:sz w:val="24"/>
          <w:szCs w:val="24"/>
          <w:lang w:eastAsia="en-AU"/>
        </w:rPr>
      </w:pPr>
      <w:r w:rsidRPr="00C22337">
        <w:rPr>
          <w:rFonts w:eastAsia="Times New Roman"/>
          <w:sz w:val="24"/>
          <w:szCs w:val="24"/>
          <w:lang w:eastAsia="en-AU"/>
        </w:rPr>
        <w:t>(c)</w:t>
      </w:r>
      <w:r w:rsidRPr="00C22337">
        <w:rPr>
          <w:rFonts w:eastAsia="Times New Roman"/>
          <w:sz w:val="24"/>
          <w:szCs w:val="24"/>
          <w:lang w:eastAsia="en-AU"/>
        </w:rPr>
        <w:tab/>
        <w:t>bears a date that is the same as the date that it is lodged with ASIC</w:t>
      </w:r>
      <w:r>
        <w:rPr>
          <w:rFonts w:eastAsia="Times New Roman"/>
          <w:sz w:val="24"/>
          <w:szCs w:val="24"/>
          <w:lang w:eastAsia="en-AU"/>
        </w:rPr>
        <w:t>.</w:t>
      </w:r>
      <w:proofErr w:type="gramStart"/>
      <w:r>
        <w:rPr>
          <w:rFonts w:eastAsia="Times New Roman"/>
          <w:sz w:val="24"/>
          <w:szCs w:val="24"/>
          <w:lang w:eastAsia="en-AU"/>
        </w:rPr>
        <w:t>”;</w:t>
      </w:r>
      <w:proofErr w:type="gramEnd"/>
    </w:p>
    <w:p w14:paraId="1D2697D0" w14:textId="77777777" w:rsidR="00DB5A86" w:rsidRPr="001F496F" w:rsidRDefault="00DB5A86" w:rsidP="00DB5A86">
      <w:pPr>
        <w:pStyle w:val="LI-BodyTextParaa"/>
        <w:rPr>
          <w:lang w:val="en-US"/>
        </w:rPr>
      </w:pPr>
      <w:r w:rsidRPr="001F496F">
        <w:rPr>
          <w:lang w:val="en-US"/>
        </w:rPr>
        <w:t>(</w:t>
      </w:r>
      <w:r>
        <w:rPr>
          <w:lang w:val="en-US"/>
        </w:rPr>
        <w:t>j</w:t>
      </w:r>
      <w:r w:rsidRPr="001F496F">
        <w:rPr>
          <w:lang w:val="en-US"/>
        </w:rPr>
        <w:t>)</w:t>
      </w:r>
      <w:r w:rsidRPr="001F496F">
        <w:rPr>
          <w:lang w:val="en-US"/>
        </w:rPr>
        <w:tab/>
        <w:t>omit subsection 647(3) (excluding the note), substitute:</w:t>
      </w:r>
    </w:p>
    <w:p w14:paraId="6C9ACB0B" w14:textId="77777777" w:rsidR="00DB5A86" w:rsidRPr="001F496F" w:rsidRDefault="00DB5A86" w:rsidP="00DB5A86">
      <w:pPr>
        <w:spacing w:before="240" w:line="240" w:lineRule="auto"/>
        <w:ind w:left="2268" w:hanging="567"/>
        <w:rPr>
          <w:rFonts w:eastAsia="Times New Roman"/>
          <w:sz w:val="24"/>
          <w:szCs w:val="24"/>
          <w:lang w:val="en-US" w:eastAsia="en-AU"/>
        </w:rPr>
      </w:pPr>
      <w:r w:rsidRPr="00064984">
        <w:rPr>
          <w:rFonts w:eastAsia="Times New Roman"/>
          <w:bCs/>
          <w:sz w:val="24"/>
          <w:szCs w:val="24"/>
          <w:lang w:val="en-US" w:eastAsia="en-AU"/>
        </w:rPr>
        <w:t>“</w:t>
      </w:r>
      <w:r w:rsidRPr="001F496F">
        <w:rPr>
          <w:rFonts w:eastAsia="Times New Roman"/>
          <w:sz w:val="24"/>
          <w:szCs w:val="24"/>
          <w:lang w:val="en-US" w:eastAsia="en-AU"/>
        </w:rPr>
        <w:t>(3)</w:t>
      </w:r>
      <w:r w:rsidRPr="001F496F">
        <w:rPr>
          <w:rFonts w:eastAsia="Times New Roman"/>
          <w:sz w:val="24"/>
          <w:szCs w:val="24"/>
          <w:lang w:val="en-US" w:eastAsia="en-AU"/>
        </w:rPr>
        <w:tab/>
        <w:t>A bidder or target must do the following in relation to a supplementary statement:</w:t>
      </w:r>
    </w:p>
    <w:p w14:paraId="096C65F4" w14:textId="77777777" w:rsidR="00DB5A86" w:rsidRPr="001F496F" w:rsidRDefault="00DB5A86" w:rsidP="00DB5A86">
      <w:pPr>
        <w:spacing w:before="240" w:line="240" w:lineRule="auto"/>
        <w:ind w:left="2835" w:hanging="567"/>
        <w:rPr>
          <w:rFonts w:eastAsia="Times New Roman"/>
          <w:sz w:val="24"/>
          <w:szCs w:val="24"/>
          <w:lang w:val="en-US" w:eastAsia="en-AU"/>
        </w:rPr>
      </w:pPr>
      <w:r w:rsidRPr="001F496F">
        <w:rPr>
          <w:rFonts w:eastAsia="Times New Roman"/>
          <w:sz w:val="24"/>
          <w:szCs w:val="24"/>
          <w:lang w:val="en-US" w:eastAsia="en-AU"/>
        </w:rPr>
        <w:t>(a)</w:t>
      </w:r>
      <w:r w:rsidRPr="001F496F">
        <w:rPr>
          <w:rFonts w:eastAsia="Times New Roman"/>
          <w:sz w:val="24"/>
          <w:szCs w:val="24"/>
          <w:lang w:val="en-US" w:eastAsia="en-AU"/>
        </w:rPr>
        <w:tab/>
        <w:t>for a supplementary bidder’s statement—the bidder must as soon as practicable:</w:t>
      </w:r>
    </w:p>
    <w:p w14:paraId="1E8FE5FC" w14:textId="77777777" w:rsidR="00DB5A86" w:rsidRPr="001F496F" w:rsidRDefault="00DB5A86" w:rsidP="00DB5A86">
      <w:pPr>
        <w:spacing w:before="240" w:line="240" w:lineRule="auto"/>
        <w:ind w:left="3402" w:hanging="567"/>
        <w:rPr>
          <w:rFonts w:eastAsia="Times New Roman"/>
          <w:sz w:val="24"/>
          <w:szCs w:val="24"/>
          <w:lang w:val="en-US" w:eastAsia="en-AU"/>
        </w:rPr>
      </w:pPr>
      <w:r w:rsidRPr="001F496F">
        <w:rPr>
          <w:rFonts w:eastAsia="Times New Roman"/>
          <w:sz w:val="24"/>
          <w:szCs w:val="24"/>
          <w:lang w:val="en-US" w:eastAsia="en-AU"/>
        </w:rPr>
        <w:t>(</w:t>
      </w:r>
      <w:proofErr w:type="spellStart"/>
      <w:r w:rsidRPr="001F496F">
        <w:rPr>
          <w:rFonts w:eastAsia="Times New Roman"/>
          <w:sz w:val="24"/>
          <w:szCs w:val="24"/>
          <w:lang w:val="en-US" w:eastAsia="en-AU"/>
        </w:rPr>
        <w:t>i</w:t>
      </w:r>
      <w:proofErr w:type="spellEnd"/>
      <w:r w:rsidRPr="001F496F">
        <w:rPr>
          <w:rFonts w:eastAsia="Times New Roman"/>
          <w:sz w:val="24"/>
          <w:szCs w:val="24"/>
          <w:lang w:val="en-US" w:eastAsia="en-AU"/>
        </w:rPr>
        <w:t>)</w:t>
      </w:r>
      <w:r w:rsidRPr="001F496F">
        <w:rPr>
          <w:rFonts w:eastAsia="Times New Roman"/>
          <w:sz w:val="24"/>
          <w:szCs w:val="24"/>
          <w:lang w:val="en-US" w:eastAsia="en-AU"/>
        </w:rPr>
        <w:tab/>
        <w:t>lodge the supplementary statement with ASIC; and</w:t>
      </w:r>
    </w:p>
    <w:p w14:paraId="1176ABB3" w14:textId="77777777" w:rsidR="00DB5A86" w:rsidRPr="001F496F" w:rsidRDefault="00DB5A86" w:rsidP="00DB5A86">
      <w:pPr>
        <w:spacing w:before="240" w:line="240" w:lineRule="auto"/>
        <w:ind w:left="3402" w:hanging="567"/>
        <w:rPr>
          <w:rFonts w:eastAsia="Times New Roman"/>
          <w:sz w:val="24"/>
          <w:szCs w:val="24"/>
          <w:lang w:val="en-US" w:eastAsia="en-AU"/>
        </w:rPr>
      </w:pPr>
      <w:r w:rsidRPr="001F496F">
        <w:rPr>
          <w:rFonts w:eastAsia="Times New Roman"/>
          <w:sz w:val="24"/>
          <w:szCs w:val="24"/>
          <w:lang w:val="en-US" w:eastAsia="en-AU"/>
        </w:rPr>
        <w:t>(ii)</w:t>
      </w:r>
      <w:r w:rsidRPr="001F496F">
        <w:rPr>
          <w:rFonts w:eastAsia="Times New Roman"/>
          <w:sz w:val="24"/>
          <w:szCs w:val="24"/>
          <w:lang w:val="en-US" w:eastAsia="en-AU"/>
        </w:rPr>
        <w:tab/>
        <w:t>if the bid class securities are quoted and the target is listed—send the supplementary statement to the operator of each prescribed financial market on which the target’s securities are quoted; and</w:t>
      </w:r>
    </w:p>
    <w:p w14:paraId="10A59985" w14:textId="77777777" w:rsidR="00DB5A86" w:rsidRPr="001F496F" w:rsidRDefault="00DB5A86" w:rsidP="00DB5A86">
      <w:pPr>
        <w:spacing w:before="240" w:line="240" w:lineRule="auto"/>
        <w:ind w:left="3402" w:hanging="567"/>
        <w:rPr>
          <w:rFonts w:eastAsia="Times New Roman"/>
          <w:sz w:val="24"/>
          <w:szCs w:val="24"/>
          <w:lang w:val="en-US" w:eastAsia="en-AU"/>
        </w:rPr>
      </w:pPr>
      <w:r w:rsidRPr="001F496F">
        <w:rPr>
          <w:rFonts w:eastAsia="Times New Roman"/>
          <w:sz w:val="24"/>
          <w:szCs w:val="24"/>
          <w:lang w:val="en-US" w:eastAsia="en-AU"/>
        </w:rPr>
        <w:t>(iii)</w:t>
      </w:r>
      <w:r w:rsidRPr="001F496F">
        <w:rPr>
          <w:rFonts w:eastAsia="Times New Roman"/>
          <w:sz w:val="24"/>
          <w:szCs w:val="24"/>
          <w:lang w:val="en-US" w:eastAsia="en-AU"/>
        </w:rPr>
        <w:tab/>
        <w:t>if the bid is an off-market bid, the bid class securities are not quoted and the bidder has sent a bidder’s statement under item 6 of the table in subsection 633(1) or item 6 of the table in subsection 635(1)—send the supplementary statement to all holders of bid class securities who have not accepted an offer under the bid.</w:t>
      </w:r>
    </w:p>
    <w:p w14:paraId="3BFF2C3A" w14:textId="77777777" w:rsidR="00DB5A86" w:rsidRPr="001F496F" w:rsidRDefault="00DB5A86" w:rsidP="00DB5A86">
      <w:pPr>
        <w:spacing w:before="240" w:line="240" w:lineRule="auto"/>
        <w:ind w:left="2835" w:hanging="567"/>
        <w:rPr>
          <w:rFonts w:eastAsia="Times New Roman"/>
          <w:sz w:val="24"/>
          <w:szCs w:val="24"/>
          <w:lang w:val="en-US" w:eastAsia="en-AU"/>
        </w:rPr>
      </w:pPr>
      <w:r w:rsidRPr="001F496F">
        <w:rPr>
          <w:rFonts w:eastAsia="Times New Roman"/>
          <w:sz w:val="24"/>
          <w:szCs w:val="24"/>
          <w:lang w:val="en-US" w:eastAsia="en-AU"/>
        </w:rPr>
        <w:t>(b)</w:t>
      </w:r>
      <w:r w:rsidRPr="001F496F">
        <w:rPr>
          <w:rFonts w:eastAsia="Times New Roman"/>
          <w:sz w:val="24"/>
          <w:szCs w:val="24"/>
          <w:lang w:val="en-US" w:eastAsia="en-AU"/>
        </w:rPr>
        <w:tab/>
        <w:t>for a supplementary target’s statement—the target must as soon as practicable:</w:t>
      </w:r>
    </w:p>
    <w:p w14:paraId="47508DA7" w14:textId="77777777" w:rsidR="00DB5A86" w:rsidRPr="001F496F" w:rsidRDefault="00DB5A86" w:rsidP="00DB5A86">
      <w:pPr>
        <w:spacing w:before="240" w:line="240" w:lineRule="auto"/>
        <w:ind w:left="3402" w:hanging="567"/>
        <w:rPr>
          <w:rFonts w:eastAsia="Times New Roman"/>
          <w:sz w:val="24"/>
          <w:szCs w:val="24"/>
          <w:lang w:val="en-US" w:eastAsia="en-AU"/>
        </w:rPr>
      </w:pPr>
      <w:r w:rsidRPr="001F496F">
        <w:rPr>
          <w:rFonts w:eastAsia="Times New Roman"/>
          <w:sz w:val="24"/>
          <w:szCs w:val="24"/>
          <w:lang w:val="en-US" w:eastAsia="en-AU"/>
        </w:rPr>
        <w:t>(</w:t>
      </w:r>
      <w:proofErr w:type="spellStart"/>
      <w:r w:rsidRPr="001F496F">
        <w:rPr>
          <w:rFonts w:eastAsia="Times New Roman"/>
          <w:sz w:val="24"/>
          <w:szCs w:val="24"/>
          <w:lang w:val="en-US" w:eastAsia="en-AU"/>
        </w:rPr>
        <w:t>i</w:t>
      </w:r>
      <w:proofErr w:type="spellEnd"/>
      <w:r w:rsidRPr="001F496F">
        <w:rPr>
          <w:rFonts w:eastAsia="Times New Roman"/>
          <w:sz w:val="24"/>
          <w:szCs w:val="24"/>
          <w:lang w:val="en-US" w:eastAsia="en-AU"/>
        </w:rPr>
        <w:t>)</w:t>
      </w:r>
      <w:r w:rsidRPr="001F496F">
        <w:rPr>
          <w:rFonts w:eastAsia="Times New Roman"/>
          <w:sz w:val="24"/>
          <w:szCs w:val="24"/>
          <w:lang w:val="en-US" w:eastAsia="en-AU"/>
        </w:rPr>
        <w:tab/>
        <w:t>lodge the supplementary statement with ASIC; and</w:t>
      </w:r>
    </w:p>
    <w:p w14:paraId="78571EAD" w14:textId="77777777" w:rsidR="00DB5A86" w:rsidRPr="001F496F" w:rsidRDefault="00DB5A86" w:rsidP="00DB5A86">
      <w:pPr>
        <w:spacing w:before="240" w:line="240" w:lineRule="auto"/>
        <w:ind w:left="3402" w:hanging="567"/>
        <w:rPr>
          <w:rFonts w:eastAsia="Times New Roman"/>
          <w:sz w:val="24"/>
          <w:szCs w:val="24"/>
          <w:lang w:val="en-US" w:eastAsia="en-AU"/>
        </w:rPr>
      </w:pPr>
      <w:r w:rsidRPr="001F496F">
        <w:rPr>
          <w:rFonts w:eastAsia="Times New Roman"/>
          <w:sz w:val="24"/>
          <w:szCs w:val="24"/>
          <w:lang w:val="en-US" w:eastAsia="en-AU"/>
        </w:rPr>
        <w:t>(ii)</w:t>
      </w:r>
      <w:r w:rsidRPr="001F496F">
        <w:rPr>
          <w:rFonts w:eastAsia="Times New Roman"/>
          <w:sz w:val="24"/>
          <w:szCs w:val="24"/>
          <w:lang w:val="en-US" w:eastAsia="en-AU"/>
        </w:rPr>
        <w:tab/>
        <w:t>if the bid class securities are quoted and the target is listed—send the supplementary statement to the operator of each prescribed financial market on which the target’s securities are quoted; and</w:t>
      </w:r>
    </w:p>
    <w:p w14:paraId="4140B8FA" w14:textId="77777777" w:rsidR="00DB5A86" w:rsidRPr="001F496F" w:rsidRDefault="00DB5A86" w:rsidP="00DB5A86">
      <w:pPr>
        <w:spacing w:before="240" w:line="240" w:lineRule="auto"/>
        <w:ind w:left="3402" w:hanging="567"/>
        <w:rPr>
          <w:rFonts w:eastAsia="Times New Roman"/>
          <w:sz w:val="24"/>
          <w:szCs w:val="24"/>
          <w:lang w:val="en-US" w:eastAsia="en-AU"/>
        </w:rPr>
      </w:pPr>
      <w:r w:rsidRPr="001F496F">
        <w:rPr>
          <w:rFonts w:eastAsia="Times New Roman"/>
          <w:sz w:val="24"/>
          <w:szCs w:val="24"/>
          <w:lang w:val="en-US" w:eastAsia="en-AU"/>
        </w:rPr>
        <w:t>(iii)</w:t>
      </w:r>
      <w:r w:rsidRPr="001F496F">
        <w:rPr>
          <w:rFonts w:eastAsia="Times New Roman"/>
          <w:sz w:val="24"/>
          <w:szCs w:val="24"/>
          <w:lang w:val="en-US" w:eastAsia="en-AU"/>
        </w:rPr>
        <w:tab/>
        <w:t xml:space="preserve">if the bid is an off-market bid and the bid class securities are not quoted—send the supplementary </w:t>
      </w:r>
      <w:r w:rsidRPr="001F496F">
        <w:rPr>
          <w:rFonts w:eastAsia="Times New Roman"/>
          <w:sz w:val="24"/>
          <w:szCs w:val="24"/>
          <w:lang w:val="en-US" w:eastAsia="en-AU"/>
        </w:rPr>
        <w:lastRenderedPageBreak/>
        <w:t>statement to all holders of bid class securities who have not accepted an offer under the bid.”.</w:t>
      </w:r>
    </w:p>
    <w:p w14:paraId="6B051879" w14:textId="77777777" w:rsidR="00DB5A86" w:rsidRPr="00F61B09" w:rsidRDefault="00DB5A86" w:rsidP="00DB5A86">
      <w:pPr>
        <w:pStyle w:val="LI-Heading1"/>
        <w:ind w:left="0" w:firstLine="0"/>
      </w:pPr>
      <w:bookmarkStart w:id="14" w:name="_Toc139968802"/>
      <w:bookmarkStart w:id="15" w:name="_Toc146222837"/>
      <w:r>
        <w:t>Pa</w:t>
      </w:r>
      <w:r w:rsidRPr="006E5320">
        <w:t>rt </w:t>
      </w:r>
      <w:r>
        <w:t>3</w:t>
      </w:r>
      <w:r w:rsidRPr="006554FF">
        <w:t>—</w:t>
      </w:r>
      <w:r>
        <w:t>Repeal</w:t>
      </w:r>
      <w:bookmarkEnd w:id="14"/>
      <w:bookmarkEnd w:id="15"/>
    </w:p>
    <w:p w14:paraId="3D88C900" w14:textId="77777777" w:rsidR="00DB5A86" w:rsidRDefault="00DB5A86" w:rsidP="00DB5A86">
      <w:pPr>
        <w:pStyle w:val="LI-Heading2"/>
      </w:pPr>
      <w:bookmarkStart w:id="16" w:name="_Toc139968803"/>
      <w:bookmarkStart w:id="17" w:name="_Toc146222838"/>
      <w:r>
        <w:t>6</w:t>
      </w:r>
      <w:r>
        <w:tab/>
        <w:t>Repeal</w:t>
      </w:r>
      <w:bookmarkEnd w:id="16"/>
      <w:bookmarkEnd w:id="17"/>
    </w:p>
    <w:p w14:paraId="11B5864B" w14:textId="6BABC52C" w:rsidR="000D0233" w:rsidRDefault="00DB5A86" w:rsidP="00DB5A86">
      <w:pPr>
        <w:pStyle w:val="LI-BodyTextNumbered"/>
        <w:ind w:left="567" w:firstLine="0"/>
      </w:pPr>
      <w:r w:rsidRPr="009B7050">
        <w:t>This instrument is repealed at the start of 1 October 202</w:t>
      </w:r>
      <w:r>
        <w:t>8</w:t>
      </w:r>
      <w:r w:rsidRPr="009B7050">
        <w:t>.</w:t>
      </w:r>
    </w:p>
    <w:sectPr w:rsidR="000D0233" w:rsidSect="0040053F">
      <w:headerReference w:type="even" r:id="rId19"/>
      <w:headerReference w:type="default" r:id="rId20"/>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1318" w14:textId="77777777" w:rsidR="00453239" w:rsidRDefault="00453239">
      <w:pPr>
        <w:spacing w:line="240" w:lineRule="auto"/>
      </w:pPr>
      <w:r>
        <w:separator/>
      </w:r>
    </w:p>
  </w:endnote>
  <w:endnote w:type="continuationSeparator" w:id="0">
    <w:p w14:paraId="03C8BEFD" w14:textId="77777777" w:rsidR="00453239" w:rsidRDefault="00453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ook w:val="04A0" w:firstRow="1" w:lastRow="0" w:firstColumn="1" w:lastColumn="0" w:noHBand="0" w:noVBand="1"/>
    </w:tblPr>
    <w:tblGrid>
      <w:gridCol w:w="8313"/>
    </w:tblGrid>
    <w:tr w:rsidR="00102CA6" w:rsidRPr="00081794" w14:paraId="1C56214B" w14:textId="77777777" w:rsidTr="00081794">
      <w:tc>
        <w:tcPr>
          <w:tcW w:w="8472" w:type="dxa"/>
          <w:shd w:val="clear" w:color="auto" w:fill="auto"/>
        </w:tcPr>
        <w:p w14:paraId="509FC505" w14:textId="77777777" w:rsidR="00102CA6" w:rsidRPr="00081794" w:rsidRDefault="00DB5A86" w:rsidP="00081794">
          <w:pPr>
            <w:jc w:val="right"/>
            <w:rPr>
              <w:sz w:val="18"/>
            </w:rPr>
          </w:pPr>
          <w:r>
            <w:rPr>
              <w:noProof/>
            </w:rPr>
            <mc:AlternateContent>
              <mc:Choice Requires="wps">
                <w:drawing>
                  <wp:anchor distT="0" distB="0" distL="114300" distR="114300" simplePos="0" relativeHeight="251662336" behindDoc="1" locked="0" layoutInCell="1" allowOverlap="1" wp14:anchorId="63ECA7D4" wp14:editId="08EF4AAF">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1815126" w14:textId="77777777" w:rsidR="00102CA6" w:rsidRPr="00284719" w:rsidRDefault="00DB5A8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CA7D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61815126" w14:textId="77777777" w:rsidR="00102CA6" w:rsidRPr="00284719" w:rsidRDefault="00DB5A8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2F47F0DF" w14:textId="77777777" w:rsidR="00102CA6" w:rsidRPr="007500C8" w:rsidRDefault="00000000"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278A" w14:textId="77777777" w:rsidR="00102CA6" w:rsidRDefault="00DB5A86" w:rsidP="007500C8">
    <w:pPr>
      <w:pStyle w:val="Footer"/>
    </w:pPr>
    <w:r>
      <w:rPr>
        <w:noProof/>
      </w:rPr>
      <mc:AlternateContent>
        <mc:Choice Requires="wps">
          <w:drawing>
            <wp:anchor distT="0" distB="0" distL="114300" distR="114300" simplePos="0" relativeHeight="251661312" behindDoc="1" locked="0" layoutInCell="1" allowOverlap="1" wp14:anchorId="5F10D245" wp14:editId="235F91D6">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CB36BBF" w14:textId="77777777" w:rsidR="00102CA6" w:rsidRPr="00284719" w:rsidRDefault="0000000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0D245" id="_x0000_t202" coordsize="21600,21600" o:spt="202" path="m,l,21600r21600,l21600,xe">
              <v:stroke joinstyle="miter"/>
              <v:path gradientshapeok="t" o:connecttype="rect"/>
            </v:shapetype>
            <v:shape id="Text Box 20"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2CB36BBF" w14:textId="77777777" w:rsidR="00102CA6" w:rsidRPr="00284719" w:rsidRDefault="00000000" w:rsidP="00284719">
                    <w:pPr>
                      <w:jc w:val="center"/>
                      <w:rPr>
                        <w:rFonts w:ascii="Arial" w:hAnsi="Arial" w:cs="Arial"/>
                        <w:b/>
                        <w:sz w:val="40"/>
                      </w:rPr>
                    </w:pPr>
                  </w:p>
                </w:txbxContent>
              </v:textbox>
              <w10:wrap anchory="page"/>
            </v:shape>
          </w:pict>
        </mc:Fallback>
      </mc:AlternateContent>
    </w:r>
  </w:p>
  <w:tbl>
    <w:tblPr>
      <w:tblW w:w="0" w:type="dxa"/>
      <w:tblLook w:val="04A0" w:firstRow="1" w:lastRow="0" w:firstColumn="1" w:lastColumn="0" w:noHBand="0" w:noVBand="1"/>
    </w:tblPr>
    <w:tblGrid>
      <w:gridCol w:w="8313"/>
    </w:tblGrid>
    <w:tr w:rsidR="00102CA6" w:rsidRPr="00081794" w14:paraId="2CB9071A" w14:textId="77777777" w:rsidTr="00081794">
      <w:tc>
        <w:tcPr>
          <w:tcW w:w="8472" w:type="dxa"/>
          <w:shd w:val="clear" w:color="auto" w:fill="auto"/>
        </w:tcPr>
        <w:p w14:paraId="1A4D90CF" w14:textId="77777777" w:rsidR="00102CA6" w:rsidRPr="00081794" w:rsidRDefault="00000000" w:rsidP="00102CA6">
          <w:pPr>
            <w:rPr>
              <w:sz w:val="18"/>
            </w:rPr>
          </w:pPr>
        </w:p>
      </w:tc>
    </w:tr>
  </w:tbl>
  <w:p w14:paraId="5152493C" w14:textId="77777777" w:rsidR="00102CA6" w:rsidRPr="007500C8" w:rsidRDefault="00000000"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8C22" w14:textId="77777777" w:rsidR="00102CA6" w:rsidRPr="00ED79B6" w:rsidRDefault="0000000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E04F" w14:textId="77777777" w:rsidR="00102CA6" w:rsidRPr="00E2168B" w:rsidRDefault="00DB5A86"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0BA6" w14:textId="77777777" w:rsidR="00102CA6" w:rsidRPr="00E33C1C" w:rsidRDefault="00DB5A86"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239E" w14:textId="77777777" w:rsidR="00453239" w:rsidRDefault="00453239">
      <w:pPr>
        <w:spacing w:line="240" w:lineRule="auto"/>
      </w:pPr>
      <w:r>
        <w:separator/>
      </w:r>
    </w:p>
  </w:footnote>
  <w:footnote w:type="continuationSeparator" w:id="0">
    <w:p w14:paraId="68C9FA7C" w14:textId="77777777" w:rsidR="00453239" w:rsidRDefault="00453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566C" w14:textId="77777777" w:rsidR="00102CA6" w:rsidRPr="005F1388" w:rsidRDefault="00DB5A86"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6322C565" wp14:editId="47FBA26F">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3755A5B" w14:textId="77777777" w:rsidR="00102CA6" w:rsidRPr="00284719" w:rsidRDefault="00DB5A8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2C565"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33755A5B" w14:textId="77777777" w:rsidR="00102CA6" w:rsidRPr="00284719" w:rsidRDefault="00DB5A8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3958" w14:textId="77777777" w:rsidR="00102CA6" w:rsidRPr="005F1388" w:rsidRDefault="00DB5A86"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1B936800" wp14:editId="01097C27">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EFAAB33" w14:textId="77777777" w:rsidR="00102CA6" w:rsidRPr="00284719" w:rsidRDefault="0000000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36800"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EFAAB33" w14:textId="77777777" w:rsidR="00102CA6" w:rsidRPr="00284719" w:rsidRDefault="00000000"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FAB9" w14:textId="77777777" w:rsidR="00102CA6" w:rsidRPr="005F1388" w:rsidRDefault="0000000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1737" w14:textId="77777777" w:rsidR="00102CA6" w:rsidRDefault="00DB5A86"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CE2A7FC" w14:textId="77777777" w:rsidTr="00BF75C9">
      <w:tc>
        <w:tcPr>
          <w:tcW w:w="6804" w:type="dxa"/>
          <w:shd w:val="clear" w:color="auto" w:fill="auto"/>
        </w:tcPr>
        <w:p w14:paraId="56C5832B" w14:textId="37AEEF8D" w:rsidR="00F4215A" w:rsidRDefault="00DB5A86" w:rsidP="00E40FF8">
          <w:pPr>
            <w:pStyle w:val="LI-Header"/>
            <w:pBdr>
              <w:bottom w:val="none" w:sz="0" w:space="0" w:color="auto"/>
            </w:pBdr>
            <w:jc w:val="left"/>
          </w:pPr>
          <w:fldSimple w:instr=" STYLEREF  &quot;LI - Title&quot; ">
            <w:r w:rsidR="00D83316">
              <w:rPr>
                <w:noProof/>
              </w:rPr>
              <w:t>ASIC Corporations (Replacement Bidder’s and Target’s Statements) Instrument 2023/688</w:t>
            </w:r>
          </w:fldSimple>
        </w:p>
      </w:tc>
      <w:tc>
        <w:tcPr>
          <w:tcW w:w="1509" w:type="dxa"/>
          <w:shd w:val="clear" w:color="auto" w:fill="auto"/>
        </w:tcPr>
        <w:p w14:paraId="7245DAAA" w14:textId="77777777" w:rsidR="00F4215A" w:rsidRDefault="00000000" w:rsidP="00E40FF8">
          <w:pPr>
            <w:pStyle w:val="LI-Header"/>
            <w:pBdr>
              <w:bottom w:val="none" w:sz="0" w:space="0" w:color="auto"/>
            </w:pBdr>
          </w:pPr>
        </w:p>
      </w:tc>
    </w:tr>
  </w:tbl>
  <w:p w14:paraId="1E53750C" w14:textId="77777777" w:rsidR="00102CA6" w:rsidRPr="008945E0" w:rsidRDefault="00000000"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254F" w14:textId="77777777" w:rsidR="00102CA6" w:rsidRPr="00ED79B6" w:rsidRDefault="0000000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8062" w14:textId="77777777" w:rsidR="00E2168B" w:rsidRPr="00243EC0" w:rsidRDefault="00DB5A86"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36EF1728" w14:textId="77777777" w:rsidTr="00BF75C9">
      <w:tc>
        <w:tcPr>
          <w:tcW w:w="6804" w:type="dxa"/>
          <w:shd w:val="clear" w:color="auto" w:fill="auto"/>
        </w:tcPr>
        <w:p w14:paraId="3D7FC02E" w14:textId="27EBB9EF" w:rsidR="00F4215A" w:rsidRDefault="00DB5A86" w:rsidP="00E40FF8">
          <w:pPr>
            <w:pStyle w:val="LI-Header"/>
            <w:pBdr>
              <w:bottom w:val="none" w:sz="0" w:space="0" w:color="auto"/>
            </w:pBdr>
            <w:jc w:val="left"/>
          </w:pPr>
          <w:fldSimple w:instr=" STYLEREF  &quot;LI - Title&quot; ">
            <w:r w:rsidR="00137960">
              <w:rPr>
                <w:noProof/>
              </w:rPr>
              <w:t>ASIC Corporations (Replacement Bidder’s and Target’s Statements) Instrument 2023/688</w:t>
            </w:r>
          </w:fldSimple>
        </w:p>
      </w:tc>
      <w:tc>
        <w:tcPr>
          <w:tcW w:w="1509" w:type="dxa"/>
          <w:shd w:val="clear" w:color="auto" w:fill="auto"/>
        </w:tcPr>
        <w:p w14:paraId="68FC6D04" w14:textId="18EAAEC4" w:rsidR="00F4215A" w:rsidRDefault="00DB5A86" w:rsidP="00E40FF8">
          <w:pPr>
            <w:pStyle w:val="LI-Header"/>
            <w:pBdr>
              <w:bottom w:val="none" w:sz="0" w:space="0" w:color="auto"/>
            </w:pBdr>
          </w:pPr>
          <w:fldSimple w:instr=" STYLEREF  &quot;LI - Heading 1&quot; ">
            <w:r w:rsidR="00137960">
              <w:rPr>
                <w:noProof/>
              </w:rPr>
              <w:t>Part 3—Repeal</w:t>
            </w:r>
          </w:fldSimple>
        </w:p>
      </w:tc>
    </w:tr>
  </w:tbl>
  <w:p w14:paraId="0D58382B" w14:textId="77777777" w:rsidR="0040053F" w:rsidRPr="00F4215A" w:rsidRDefault="00000000" w:rsidP="00F42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86"/>
    <w:rsid w:val="00137960"/>
    <w:rsid w:val="00453239"/>
    <w:rsid w:val="00AC056F"/>
    <w:rsid w:val="00B206A0"/>
    <w:rsid w:val="00D83316"/>
    <w:rsid w:val="00DA2DC7"/>
    <w:rsid w:val="00DB5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A010"/>
  <w15:chartTrackingRefBased/>
  <w15:docId w15:val="{2040CAC1-B350-4F68-A25C-E88601EF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A86"/>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DB5A86"/>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DB5A86"/>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DB5A86"/>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DB5A86"/>
    <w:pPr>
      <w:spacing w:before="240" w:line="240" w:lineRule="auto"/>
      <w:ind w:left="1134"/>
    </w:pPr>
    <w:rPr>
      <w:rFonts w:eastAsia="Times New Roman"/>
      <w:sz w:val="24"/>
      <w:lang w:eastAsia="en-AU"/>
    </w:rPr>
  </w:style>
  <w:style w:type="paragraph" w:styleId="Header">
    <w:name w:val="header"/>
    <w:basedOn w:val="Normal"/>
    <w:link w:val="HeaderChar"/>
    <w:unhideWhenUsed/>
    <w:rsid w:val="00DB5A86"/>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DB5A86"/>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DB5A86"/>
    <w:pPr>
      <w:spacing w:before="240" w:line="240" w:lineRule="auto"/>
      <w:ind w:left="1701" w:hanging="567"/>
    </w:pPr>
    <w:rPr>
      <w:rFonts w:eastAsia="Times New Roman"/>
      <w:sz w:val="24"/>
      <w:szCs w:val="24"/>
      <w:lang w:eastAsia="en-AU"/>
    </w:rPr>
  </w:style>
  <w:style w:type="paragraph" w:styleId="TOC1">
    <w:name w:val="toc 1"/>
    <w:basedOn w:val="Normal"/>
    <w:next w:val="Normal"/>
    <w:uiPriority w:val="39"/>
    <w:unhideWhenUsed/>
    <w:rsid w:val="00DB5A86"/>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DB5A86"/>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DB5A8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DB5A86"/>
    <w:rPr>
      <w:rFonts w:ascii="Times New Roman" w:eastAsia="Times New Roman" w:hAnsi="Times New Roman" w:cs="Times New Roman"/>
      <w:szCs w:val="24"/>
      <w:lang w:eastAsia="en-AU"/>
    </w:rPr>
  </w:style>
  <w:style w:type="paragraph" w:customStyle="1" w:styleId="LI-Fronttext">
    <w:name w:val="LI - Front text"/>
    <w:basedOn w:val="Normal"/>
    <w:next w:val="Normal"/>
    <w:rsid w:val="00DB5A86"/>
    <w:pPr>
      <w:spacing w:before="240"/>
      <w:ind w:right="397"/>
    </w:pPr>
    <w:rPr>
      <w:rFonts w:eastAsia="Times New Roman"/>
      <w:lang w:eastAsia="en-AU"/>
    </w:rPr>
  </w:style>
  <w:style w:type="paragraph" w:customStyle="1" w:styleId="LI-BodyTextNote">
    <w:name w:val="LI - Body Text Note"/>
    <w:basedOn w:val="Normal"/>
    <w:link w:val="LI-BodyTextNoteChar"/>
    <w:rsid w:val="00DB5A86"/>
    <w:pPr>
      <w:spacing w:before="200" w:line="240" w:lineRule="auto"/>
      <w:ind w:left="1701" w:hanging="567"/>
    </w:pPr>
    <w:rPr>
      <w:rFonts w:eastAsia="Times New Roman"/>
      <w:sz w:val="18"/>
      <w:lang w:eastAsia="en-AU"/>
    </w:rPr>
  </w:style>
  <w:style w:type="character" w:styleId="Hyperlink">
    <w:name w:val="Hyperlink"/>
    <w:uiPriority w:val="99"/>
    <w:rsid w:val="00DB5A86"/>
    <w:rPr>
      <w:color w:val="0000FF"/>
      <w:u w:val="single"/>
    </w:rPr>
  </w:style>
  <w:style w:type="character" w:customStyle="1" w:styleId="LI-BodyTextParaaChar">
    <w:name w:val="LI - Body Text Para (a) Char"/>
    <w:link w:val="LI-BodyTextParaa"/>
    <w:rsid w:val="00DB5A86"/>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DB5A86"/>
    <w:pPr>
      <w:ind w:hanging="567"/>
    </w:pPr>
    <w:rPr>
      <w:szCs w:val="24"/>
    </w:rPr>
  </w:style>
  <w:style w:type="paragraph" w:customStyle="1" w:styleId="LI-Footer">
    <w:name w:val="LI - Footer"/>
    <w:basedOn w:val="Normal"/>
    <w:link w:val="LI-FooterChar"/>
    <w:qFormat/>
    <w:rsid w:val="00DB5A86"/>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DB5A86"/>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DB5A86"/>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DB5A86"/>
    <w:pPr>
      <w:ind w:left="2268" w:hanging="567"/>
    </w:pPr>
    <w:rPr>
      <w:b/>
      <w:szCs w:val="24"/>
    </w:rPr>
  </w:style>
  <w:style w:type="character" w:customStyle="1" w:styleId="LI-FooterChar">
    <w:name w:val="LI - Footer Char"/>
    <w:link w:val="LI-Footer"/>
    <w:rsid w:val="00DB5A86"/>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DB5A86"/>
    <w:pPr>
      <w:ind w:left="2268" w:hanging="567"/>
    </w:pPr>
    <w:rPr>
      <w:szCs w:val="24"/>
    </w:rPr>
  </w:style>
  <w:style w:type="character" w:customStyle="1" w:styleId="LI-SectionHeadingChar">
    <w:name w:val="LI - Section Heading Char"/>
    <w:link w:val="LI-SectionHeading"/>
    <w:rsid w:val="00DB5A86"/>
    <w:rPr>
      <w:rFonts w:ascii="Times New Roman" w:eastAsia="Times New Roman" w:hAnsi="Times New Roman" w:cs="Times New Roman"/>
      <w:b/>
      <w:sz w:val="24"/>
      <w:szCs w:val="24"/>
      <w:lang w:eastAsia="en-AU"/>
    </w:rPr>
  </w:style>
  <w:style w:type="character" w:customStyle="1" w:styleId="LI-SectionSubsectionTextChar">
    <w:name w:val="LI - Section Subsection Text Char"/>
    <w:link w:val="LI-SectionSubsectionText"/>
    <w:rsid w:val="00DB5A86"/>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DB5A86"/>
    <w:pPr>
      <w:ind w:left="2835" w:hanging="567"/>
    </w:pPr>
    <w:rPr>
      <w:szCs w:val="24"/>
    </w:rPr>
  </w:style>
  <w:style w:type="character" w:customStyle="1" w:styleId="LI-BodyTextNoteChar">
    <w:name w:val="LI - Body Text Note Char"/>
    <w:link w:val="LI-BodyTextNote"/>
    <w:rsid w:val="00DB5A86"/>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DB5A86"/>
    <w:pPr>
      <w:ind w:left="3402" w:hanging="567"/>
    </w:pPr>
    <w:rPr>
      <w:szCs w:val="24"/>
    </w:rPr>
  </w:style>
  <w:style w:type="character" w:customStyle="1" w:styleId="LI-SectionparaaChar">
    <w:name w:val="LI - Section para (a) Char"/>
    <w:link w:val="LI-Sectionparaa"/>
    <w:rsid w:val="00DB5A86"/>
    <w:rPr>
      <w:rFonts w:ascii="Times New Roman" w:eastAsia="Times New Roman" w:hAnsi="Times New Roman" w:cs="Times New Roman"/>
      <w:sz w:val="24"/>
      <w:szCs w:val="24"/>
      <w:lang w:eastAsia="en-AU"/>
    </w:rPr>
  </w:style>
  <w:style w:type="character" w:customStyle="1" w:styleId="LI-SectionsubparaiChar">
    <w:name w:val="LI - Section subpara (i) Char"/>
    <w:link w:val="LI-Sectionsubparai"/>
    <w:rsid w:val="00DB5A86"/>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DB5A86"/>
    <w:pPr>
      <w:pBdr>
        <w:top w:val="none" w:sz="0" w:space="0" w:color="auto"/>
        <w:bottom w:val="single" w:sz="4" w:space="1" w:color="auto"/>
      </w:pBdr>
      <w:jc w:val="right"/>
    </w:pPr>
  </w:style>
  <w:style w:type="character" w:customStyle="1" w:styleId="LI-HeaderChar">
    <w:name w:val="LI - Header Char"/>
    <w:basedOn w:val="LI-FooterChar"/>
    <w:link w:val="LI-Header"/>
    <w:rsid w:val="00DB5A86"/>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legislation.gov.a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Bevins</dc:creator>
  <cp:keywords/>
  <dc:description/>
  <cp:lastModifiedBy>Narelle Kane</cp:lastModifiedBy>
  <cp:revision>4</cp:revision>
  <dcterms:created xsi:type="dcterms:W3CDTF">2023-09-26T06:16:00Z</dcterms:created>
  <dcterms:modified xsi:type="dcterms:W3CDTF">2023-09-26T06:17:00Z</dcterms:modified>
</cp:coreProperties>
</file>