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3DB1" w14:textId="77777777" w:rsidR="00B6279F" w:rsidRPr="003F4AAE" w:rsidRDefault="00B6279F" w:rsidP="00B6279F">
      <w:pPr>
        <w:spacing w:after="600"/>
        <w:rPr>
          <w:sz w:val="28"/>
        </w:rPr>
      </w:pPr>
      <w:r w:rsidRPr="003F4AAE">
        <w:rPr>
          <w:noProof/>
        </w:rPr>
        <w:drawing>
          <wp:inline distT="0" distB="0" distL="0" distR="0" wp14:anchorId="151096F2" wp14:editId="387B8F04">
            <wp:extent cx="3543300" cy="755650"/>
            <wp:effectExtent l="0" t="0" r="0" b="0"/>
            <wp:docPr id="2"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755650"/>
                    </a:xfrm>
                    <a:prstGeom prst="rect">
                      <a:avLst/>
                    </a:prstGeom>
                    <a:noFill/>
                    <a:ln>
                      <a:noFill/>
                    </a:ln>
                  </pic:spPr>
                </pic:pic>
              </a:graphicData>
            </a:graphic>
          </wp:inline>
        </w:drawing>
      </w:r>
    </w:p>
    <w:p w14:paraId="56C57DD3" w14:textId="77777777" w:rsidR="00B6279F" w:rsidRPr="003F4AAE" w:rsidRDefault="00B6279F" w:rsidP="00B6279F">
      <w:pPr>
        <w:pStyle w:val="LI-Title"/>
        <w:pBdr>
          <w:bottom w:val="single" w:sz="4" w:space="1" w:color="auto"/>
        </w:pBdr>
      </w:pPr>
      <w:r w:rsidRPr="003F4AAE">
        <w:t>ASIC Corporations (Bidder Giving Substantial Holding Notice) Instrument 2023/685</w:t>
      </w:r>
    </w:p>
    <w:p w14:paraId="7178EF47" w14:textId="77777777" w:rsidR="00B6279F" w:rsidRPr="003F4AAE" w:rsidRDefault="00B6279F" w:rsidP="00B6279F">
      <w:pPr>
        <w:pStyle w:val="LI-Fronttext"/>
        <w:rPr>
          <w:sz w:val="24"/>
          <w:szCs w:val="24"/>
        </w:rPr>
      </w:pPr>
      <w:r w:rsidRPr="003F4AAE">
        <w:rPr>
          <w:sz w:val="24"/>
          <w:szCs w:val="24"/>
        </w:rPr>
        <w:t>I, Amanda Zeller, delegate of the Australian Securities and Investments Commission, make the following legislative instrument.</w:t>
      </w:r>
    </w:p>
    <w:p w14:paraId="478058A6" w14:textId="77777777" w:rsidR="00B6279F" w:rsidRPr="003F4AAE" w:rsidRDefault="00B6279F" w:rsidP="00B6279F">
      <w:pPr>
        <w:pStyle w:val="LI-Fronttext"/>
      </w:pPr>
    </w:p>
    <w:p w14:paraId="21D5BAD6" w14:textId="77777777" w:rsidR="00B6279F" w:rsidRPr="003F4AAE" w:rsidRDefault="00B6279F" w:rsidP="00B6279F">
      <w:pPr>
        <w:pStyle w:val="LI-Fronttext"/>
        <w:rPr>
          <w:sz w:val="24"/>
          <w:szCs w:val="24"/>
        </w:rPr>
      </w:pPr>
      <w:r w:rsidRPr="003F4AAE">
        <w:rPr>
          <w:sz w:val="24"/>
          <w:szCs w:val="24"/>
        </w:rPr>
        <w:t>Date</w:t>
      </w:r>
      <w:r w:rsidRPr="003F4AAE">
        <w:rPr>
          <w:sz w:val="24"/>
          <w:szCs w:val="24"/>
        </w:rPr>
        <w:tab/>
        <w:t>22 September 2023</w:t>
      </w:r>
    </w:p>
    <w:p w14:paraId="1F6D781D" w14:textId="73193156" w:rsidR="00B6279F" w:rsidRPr="003F4AAE" w:rsidRDefault="00B6279F" w:rsidP="00B6279F">
      <w:pPr>
        <w:pStyle w:val="LI-Fronttext"/>
        <w:rPr>
          <w:color w:val="FF0000"/>
          <w:sz w:val="24"/>
          <w:szCs w:val="24"/>
        </w:rPr>
      </w:pPr>
    </w:p>
    <w:p w14:paraId="45A5B83E" w14:textId="77777777" w:rsidR="00B6279F" w:rsidRPr="00BB5C17" w:rsidRDefault="00B6279F" w:rsidP="00B6279F">
      <w:pPr>
        <w:pStyle w:val="LI-Fronttext"/>
        <w:pBdr>
          <w:bottom w:val="single" w:sz="4" w:space="1" w:color="auto"/>
        </w:pBdr>
        <w:rPr>
          <w:sz w:val="24"/>
          <w:szCs w:val="24"/>
        </w:rPr>
      </w:pPr>
      <w:r w:rsidRPr="003F4AAE">
        <w:rPr>
          <w:sz w:val="24"/>
          <w:szCs w:val="24"/>
        </w:rPr>
        <w:t>Amanda Zeller</w:t>
      </w:r>
    </w:p>
    <w:p w14:paraId="0199F5D9" w14:textId="77777777" w:rsidR="00B6279F" w:rsidRPr="00F61B09" w:rsidRDefault="00B6279F" w:rsidP="00B6279F">
      <w:pPr>
        <w:pStyle w:val="Header"/>
        <w:tabs>
          <w:tab w:val="clear" w:pos="4150"/>
          <w:tab w:val="clear" w:pos="8307"/>
        </w:tabs>
      </w:pPr>
    </w:p>
    <w:p w14:paraId="0A7938B6" w14:textId="77777777" w:rsidR="00B6279F" w:rsidRPr="00F61B09" w:rsidRDefault="00B6279F" w:rsidP="00B6279F">
      <w:pPr>
        <w:sectPr w:rsidR="00B6279F" w:rsidRPr="00F61B09" w:rsidSect="008945E0">
          <w:headerReference w:type="even" r:id="rId7"/>
          <w:headerReference w:type="default" r:id="rId8"/>
          <w:footerReference w:type="even" r:id="rId9"/>
          <w:footerReference w:type="default" r:id="rId10"/>
          <w:headerReference w:type="first" r:id="rId11"/>
          <w:footerReference w:type="first" r:id="rId12"/>
          <w:pgSz w:w="11907" w:h="16839"/>
          <w:pgMar w:top="1440" w:right="1797" w:bottom="1440" w:left="1797" w:header="720" w:footer="709" w:gutter="0"/>
          <w:cols w:space="708"/>
          <w:titlePg/>
          <w:docGrid w:linePitch="360"/>
        </w:sectPr>
      </w:pPr>
    </w:p>
    <w:p w14:paraId="67815E68" w14:textId="77777777" w:rsidR="00B6279F" w:rsidRPr="00F61B09" w:rsidRDefault="00B6279F" w:rsidP="00B6279F">
      <w:pPr>
        <w:spacing w:before="280" w:after="240"/>
        <w:rPr>
          <w:sz w:val="36"/>
        </w:rPr>
      </w:pPr>
      <w:r w:rsidRPr="006E5320">
        <w:rPr>
          <w:b/>
          <w:sz w:val="32"/>
          <w:szCs w:val="32"/>
        </w:rPr>
        <w:lastRenderedPageBreak/>
        <w:t>Contents</w:t>
      </w:r>
    </w:p>
    <w:bookmarkStart w:id="0" w:name="BKCheck15B_2"/>
    <w:bookmarkEnd w:id="0"/>
    <w:p w14:paraId="690F9B46" w14:textId="77777777" w:rsidR="00B6279F" w:rsidRPr="0033364A" w:rsidRDefault="00B6279F" w:rsidP="00B6279F">
      <w:pPr>
        <w:pStyle w:val="TOC1"/>
        <w:rPr>
          <w:rFonts w:ascii="Calibri" w:hAnsi="Calibr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70401" w:history="1">
        <w:r w:rsidRPr="0099032D">
          <w:rPr>
            <w:rStyle w:val="Hyperlink"/>
            <w:noProof/>
          </w:rPr>
          <w:t>Part 1—Preliminary</w:t>
        </w:r>
        <w:r>
          <w:rPr>
            <w:noProof/>
            <w:webHidden/>
          </w:rPr>
          <w:tab/>
        </w:r>
        <w:r>
          <w:rPr>
            <w:noProof/>
            <w:webHidden/>
          </w:rPr>
          <w:fldChar w:fldCharType="begin"/>
        </w:r>
        <w:r>
          <w:rPr>
            <w:noProof/>
            <w:webHidden/>
          </w:rPr>
          <w:instrText xml:space="preserve"> PAGEREF _Toc146270401 \h </w:instrText>
        </w:r>
        <w:r>
          <w:rPr>
            <w:noProof/>
            <w:webHidden/>
          </w:rPr>
        </w:r>
        <w:r>
          <w:rPr>
            <w:noProof/>
            <w:webHidden/>
          </w:rPr>
          <w:fldChar w:fldCharType="separate"/>
        </w:r>
        <w:r>
          <w:rPr>
            <w:noProof/>
            <w:webHidden/>
          </w:rPr>
          <w:t>3</w:t>
        </w:r>
        <w:r>
          <w:rPr>
            <w:noProof/>
            <w:webHidden/>
          </w:rPr>
          <w:fldChar w:fldCharType="end"/>
        </w:r>
      </w:hyperlink>
    </w:p>
    <w:p w14:paraId="16C4CCB6" w14:textId="77777777" w:rsidR="00B6279F" w:rsidRPr="0033364A" w:rsidRDefault="003F4AAE" w:rsidP="00B6279F">
      <w:pPr>
        <w:pStyle w:val="TOC2"/>
        <w:tabs>
          <w:tab w:val="left" w:pos="1474"/>
        </w:tabs>
        <w:rPr>
          <w:rFonts w:ascii="Calibri" w:hAnsi="Calibri"/>
          <w:noProof/>
          <w:kern w:val="0"/>
          <w:sz w:val="22"/>
          <w:szCs w:val="22"/>
        </w:rPr>
      </w:pPr>
      <w:hyperlink w:anchor="_Toc146270402" w:history="1">
        <w:r w:rsidR="00B6279F" w:rsidRPr="0099032D">
          <w:rPr>
            <w:rStyle w:val="Hyperlink"/>
            <w:noProof/>
          </w:rPr>
          <w:t>1</w:t>
        </w:r>
        <w:r w:rsidR="00B6279F" w:rsidRPr="0033364A">
          <w:rPr>
            <w:rFonts w:ascii="Calibri" w:hAnsi="Calibri"/>
            <w:noProof/>
            <w:kern w:val="0"/>
            <w:sz w:val="22"/>
            <w:szCs w:val="22"/>
          </w:rPr>
          <w:tab/>
        </w:r>
        <w:r w:rsidR="00B6279F" w:rsidRPr="0099032D">
          <w:rPr>
            <w:rStyle w:val="Hyperlink"/>
            <w:noProof/>
          </w:rPr>
          <w:t>Name of legislative instrument</w:t>
        </w:r>
        <w:r w:rsidR="00B6279F">
          <w:rPr>
            <w:noProof/>
            <w:webHidden/>
          </w:rPr>
          <w:tab/>
        </w:r>
        <w:r w:rsidR="00B6279F">
          <w:rPr>
            <w:noProof/>
            <w:webHidden/>
          </w:rPr>
          <w:fldChar w:fldCharType="begin"/>
        </w:r>
        <w:r w:rsidR="00B6279F">
          <w:rPr>
            <w:noProof/>
            <w:webHidden/>
          </w:rPr>
          <w:instrText xml:space="preserve"> PAGEREF _Toc146270402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16EE1466" w14:textId="77777777" w:rsidR="00B6279F" w:rsidRPr="0033364A" w:rsidRDefault="003F4AAE" w:rsidP="00B6279F">
      <w:pPr>
        <w:pStyle w:val="TOC2"/>
        <w:tabs>
          <w:tab w:val="left" w:pos="1474"/>
        </w:tabs>
        <w:rPr>
          <w:rFonts w:ascii="Calibri" w:hAnsi="Calibri"/>
          <w:noProof/>
          <w:kern w:val="0"/>
          <w:sz w:val="22"/>
          <w:szCs w:val="22"/>
        </w:rPr>
      </w:pPr>
      <w:hyperlink w:anchor="_Toc146270403" w:history="1">
        <w:r w:rsidR="00B6279F" w:rsidRPr="0099032D">
          <w:rPr>
            <w:rStyle w:val="Hyperlink"/>
            <w:noProof/>
          </w:rPr>
          <w:t>2</w:t>
        </w:r>
        <w:r w:rsidR="00B6279F" w:rsidRPr="0033364A">
          <w:rPr>
            <w:rFonts w:ascii="Calibri" w:hAnsi="Calibri"/>
            <w:noProof/>
            <w:kern w:val="0"/>
            <w:sz w:val="22"/>
            <w:szCs w:val="22"/>
          </w:rPr>
          <w:tab/>
        </w:r>
        <w:r w:rsidR="00B6279F" w:rsidRPr="0099032D">
          <w:rPr>
            <w:rStyle w:val="Hyperlink"/>
            <w:noProof/>
          </w:rPr>
          <w:t>Commencement</w:t>
        </w:r>
        <w:r w:rsidR="00B6279F">
          <w:rPr>
            <w:noProof/>
            <w:webHidden/>
          </w:rPr>
          <w:tab/>
        </w:r>
        <w:r w:rsidR="00B6279F">
          <w:rPr>
            <w:noProof/>
            <w:webHidden/>
          </w:rPr>
          <w:fldChar w:fldCharType="begin"/>
        </w:r>
        <w:r w:rsidR="00B6279F">
          <w:rPr>
            <w:noProof/>
            <w:webHidden/>
          </w:rPr>
          <w:instrText xml:space="preserve"> PAGEREF _Toc146270403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46913BF6" w14:textId="77777777" w:rsidR="00B6279F" w:rsidRPr="0033364A" w:rsidRDefault="003F4AAE" w:rsidP="00B6279F">
      <w:pPr>
        <w:pStyle w:val="TOC2"/>
        <w:tabs>
          <w:tab w:val="left" w:pos="1474"/>
        </w:tabs>
        <w:rPr>
          <w:rFonts w:ascii="Calibri" w:hAnsi="Calibri"/>
          <w:noProof/>
          <w:kern w:val="0"/>
          <w:sz w:val="22"/>
          <w:szCs w:val="22"/>
        </w:rPr>
      </w:pPr>
      <w:hyperlink w:anchor="_Toc146270404" w:history="1">
        <w:r w:rsidR="00B6279F" w:rsidRPr="0099032D">
          <w:rPr>
            <w:rStyle w:val="Hyperlink"/>
            <w:noProof/>
          </w:rPr>
          <w:t>3</w:t>
        </w:r>
        <w:r w:rsidR="00B6279F" w:rsidRPr="0033364A">
          <w:rPr>
            <w:rFonts w:ascii="Calibri" w:hAnsi="Calibri"/>
            <w:noProof/>
            <w:kern w:val="0"/>
            <w:sz w:val="22"/>
            <w:szCs w:val="22"/>
          </w:rPr>
          <w:tab/>
        </w:r>
        <w:r w:rsidR="00B6279F" w:rsidRPr="0099032D">
          <w:rPr>
            <w:rStyle w:val="Hyperlink"/>
            <w:noProof/>
          </w:rPr>
          <w:t>Authority</w:t>
        </w:r>
        <w:r w:rsidR="00B6279F">
          <w:rPr>
            <w:noProof/>
            <w:webHidden/>
          </w:rPr>
          <w:tab/>
        </w:r>
        <w:r w:rsidR="00B6279F">
          <w:rPr>
            <w:noProof/>
            <w:webHidden/>
          </w:rPr>
          <w:fldChar w:fldCharType="begin"/>
        </w:r>
        <w:r w:rsidR="00B6279F">
          <w:rPr>
            <w:noProof/>
            <w:webHidden/>
          </w:rPr>
          <w:instrText xml:space="preserve"> PAGEREF _Toc146270404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4CB61AF7" w14:textId="77777777" w:rsidR="00B6279F" w:rsidRPr="0033364A" w:rsidRDefault="003F4AAE" w:rsidP="00B6279F">
      <w:pPr>
        <w:pStyle w:val="TOC2"/>
        <w:tabs>
          <w:tab w:val="left" w:pos="1474"/>
        </w:tabs>
        <w:rPr>
          <w:rFonts w:ascii="Calibri" w:hAnsi="Calibri"/>
          <w:noProof/>
          <w:kern w:val="0"/>
          <w:sz w:val="22"/>
          <w:szCs w:val="22"/>
        </w:rPr>
      </w:pPr>
      <w:hyperlink w:anchor="_Toc146270405" w:history="1">
        <w:r w:rsidR="00B6279F" w:rsidRPr="0099032D">
          <w:rPr>
            <w:rStyle w:val="Hyperlink"/>
            <w:noProof/>
          </w:rPr>
          <w:t>4</w:t>
        </w:r>
        <w:r w:rsidR="00B6279F" w:rsidRPr="0033364A">
          <w:rPr>
            <w:rFonts w:ascii="Calibri" w:hAnsi="Calibri"/>
            <w:noProof/>
            <w:kern w:val="0"/>
            <w:sz w:val="22"/>
            <w:szCs w:val="22"/>
          </w:rPr>
          <w:tab/>
        </w:r>
        <w:r w:rsidR="00B6279F" w:rsidRPr="0099032D">
          <w:rPr>
            <w:rStyle w:val="Hyperlink"/>
            <w:noProof/>
          </w:rPr>
          <w:t>Definitions</w:t>
        </w:r>
        <w:r w:rsidR="00B6279F">
          <w:rPr>
            <w:noProof/>
            <w:webHidden/>
          </w:rPr>
          <w:tab/>
        </w:r>
        <w:r w:rsidR="00B6279F">
          <w:rPr>
            <w:noProof/>
            <w:webHidden/>
          </w:rPr>
          <w:fldChar w:fldCharType="begin"/>
        </w:r>
        <w:r w:rsidR="00B6279F">
          <w:rPr>
            <w:noProof/>
            <w:webHidden/>
          </w:rPr>
          <w:instrText xml:space="preserve"> PAGEREF _Toc146270405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01356454" w14:textId="77777777" w:rsidR="00B6279F" w:rsidRPr="0033364A" w:rsidRDefault="003F4AAE" w:rsidP="00B6279F">
      <w:pPr>
        <w:pStyle w:val="TOC1"/>
        <w:rPr>
          <w:rFonts w:ascii="Calibri" w:hAnsi="Calibri"/>
          <w:b w:val="0"/>
          <w:noProof/>
          <w:kern w:val="0"/>
          <w:sz w:val="22"/>
          <w:szCs w:val="22"/>
        </w:rPr>
      </w:pPr>
      <w:hyperlink w:anchor="_Toc146270406" w:history="1">
        <w:r w:rsidR="00B6279F" w:rsidRPr="0099032D">
          <w:rPr>
            <w:rStyle w:val="Hyperlink"/>
            <w:noProof/>
          </w:rPr>
          <w:t>Part 2—Exemption</w:t>
        </w:r>
        <w:r w:rsidR="00B6279F">
          <w:rPr>
            <w:noProof/>
            <w:webHidden/>
          </w:rPr>
          <w:tab/>
        </w:r>
        <w:r w:rsidR="00B6279F">
          <w:rPr>
            <w:noProof/>
            <w:webHidden/>
          </w:rPr>
          <w:fldChar w:fldCharType="begin"/>
        </w:r>
        <w:r w:rsidR="00B6279F">
          <w:rPr>
            <w:noProof/>
            <w:webHidden/>
          </w:rPr>
          <w:instrText xml:space="preserve"> PAGEREF _Toc146270406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7856A1E2" w14:textId="77777777" w:rsidR="00B6279F" w:rsidRPr="0033364A" w:rsidRDefault="003F4AAE" w:rsidP="00B6279F">
      <w:pPr>
        <w:pStyle w:val="TOC2"/>
        <w:tabs>
          <w:tab w:val="left" w:pos="1474"/>
        </w:tabs>
        <w:rPr>
          <w:rFonts w:ascii="Calibri" w:hAnsi="Calibri"/>
          <w:noProof/>
          <w:kern w:val="0"/>
          <w:sz w:val="22"/>
          <w:szCs w:val="22"/>
        </w:rPr>
      </w:pPr>
      <w:hyperlink w:anchor="_Toc146270407" w:history="1">
        <w:r w:rsidR="00B6279F" w:rsidRPr="0099032D">
          <w:rPr>
            <w:rStyle w:val="Hyperlink"/>
            <w:noProof/>
          </w:rPr>
          <w:t>5</w:t>
        </w:r>
        <w:r w:rsidR="00B6279F" w:rsidRPr="0033364A">
          <w:rPr>
            <w:rFonts w:ascii="Calibri" w:hAnsi="Calibri"/>
            <w:noProof/>
            <w:kern w:val="0"/>
            <w:sz w:val="22"/>
            <w:szCs w:val="22"/>
          </w:rPr>
          <w:tab/>
        </w:r>
        <w:r w:rsidR="00B6279F" w:rsidRPr="0099032D">
          <w:rPr>
            <w:rStyle w:val="Hyperlink"/>
            <w:noProof/>
          </w:rPr>
          <w:t>Bidder giving substantial holding notice</w:t>
        </w:r>
        <w:r w:rsidR="00B6279F">
          <w:rPr>
            <w:noProof/>
            <w:webHidden/>
          </w:rPr>
          <w:tab/>
        </w:r>
        <w:r w:rsidR="00B6279F">
          <w:rPr>
            <w:noProof/>
            <w:webHidden/>
          </w:rPr>
          <w:fldChar w:fldCharType="begin"/>
        </w:r>
        <w:r w:rsidR="00B6279F">
          <w:rPr>
            <w:noProof/>
            <w:webHidden/>
          </w:rPr>
          <w:instrText xml:space="preserve"> PAGEREF _Toc146270407 \h </w:instrText>
        </w:r>
        <w:r w:rsidR="00B6279F">
          <w:rPr>
            <w:noProof/>
            <w:webHidden/>
          </w:rPr>
        </w:r>
        <w:r w:rsidR="00B6279F">
          <w:rPr>
            <w:noProof/>
            <w:webHidden/>
          </w:rPr>
          <w:fldChar w:fldCharType="separate"/>
        </w:r>
        <w:r w:rsidR="00B6279F">
          <w:rPr>
            <w:noProof/>
            <w:webHidden/>
          </w:rPr>
          <w:t>3</w:t>
        </w:r>
        <w:r w:rsidR="00B6279F">
          <w:rPr>
            <w:noProof/>
            <w:webHidden/>
          </w:rPr>
          <w:fldChar w:fldCharType="end"/>
        </w:r>
      </w:hyperlink>
    </w:p>
    <w:p w14:paraId="2E8D6439" w14:textId="77777777" w:rsidR="00B6279F" w:rsidRPr="0033364A" w:rsidRDefault="003F4AAE" w:rsidP="00B6279F">
      <w:pPr>
        <w:pStyle w:val="TOC2"/>
        <w:tabs>
          <w:tab w:val="left" w:pos="1474"/>
        </w:tabs>
        <w:rPr>
          <w:rFonts w:ascii="Calibri" w:hAnsi="Calibri"/>
          <w:noProof/>
          <w:kern w:val="0"/>
          <w:sz w:val="22"/>
          <w:szCs w:val="22"/>
        </w:rPr>
      </w:pPr>
      <w:hyperlink w:anchor="_Toc146270408" w:history="1">
        <w:r w:rsidR="00B6279F" w:rsidRPr="0099032D">
          <w:rPr>
            <w:rStyle w:val="Hyperlink"/>
            <w:noProof/>
          </w:rPr>
          <w:t>6</w:t>
        </w:r>
        <w:r w:rsidR="00B6279F" w:rsidRPr="0033364A">
          <w:rPr>
            <w:rFonts w:ascii="Calibri" w:hAnsi="Calibri"/>
            <w:noProof/>
            <w:kern w:val="0"/>
            <w:sz w:val="22"/>
            <w:szCs w:val="22"/>
          </w:rPr>
          <w:tab/>
        </w:r>
        <w:r w:rsidR="00B6279F" w:rsidRPr="0099032D">
          <w:rPr>
            <w:rStyle w:val="Hyperlink"/>
            <w:noProof/>
          </w:rPr>
          <w:t>Condition</w:t>
        </w:r>
        <w:r w:rsidR="00B6279F">
          <w:rPr>
            <w:noProof/>
            <w:webHidden/>
          </w:rPr>
          <w:tab/>
        </w:r>
        <w:r w:rsidR="00B6279F">
          <w:rPr>
            <w:noProof/>
            <w:webHidden/>
          </w:rPr>
          <w:fldChar w:fldCharType="begin"/>
        </w:r>
        <w:r w:rsidR="00B6279F">
          <w:rPr>
            <w:noProof/>
            <w:webHidden/>
          </w:rPr>
          <w:instrText xml:space="preserve"> PAGEREF _Toc146270408 \h </w:instrText>
        </w:r>
        <w:r w:rsidR="00B6279F">
          <w:rPr>
            <w:noProof/>
            <w:webHidden/>
          </w:rPr>
        </w:r>
        <w:r w:rsidR="00B6279F">
          <w:rPr>
            <w:noProof/>
            <w:webHidden/>
          </w:rPr>
          <w:fldChar w:fldCharType="separate"/>
        </w:r>
        <w:r w:rsidR="00B6279F">
          <w:rPr>
            <w:noProof/>
            <w:webHidden/>
          </w:rPr>
          <w:t>4</w:t>
        </w:r>
        <w:r w:rsidR="00B6279F">
          <w:rPr>
            <w:noProof/>
            <w:webHidden/>
          </w:rPr>
          <w:fldChar w:fldCharType="end"/>
        </w:r>
      </w:hyperlink>
    </w:p>
    <w:p w14:paraId="014AAD29" w14:textId="77777777" w:rsidR="00B6279F" w:rsidRPr="0033364A" w:rsidRDefault="003F4AAE" w:rsidP="00B6279F">
      <w:pPr>
        <w:pStyle w:val="TOC1"/>
        <w:rPr>
          <w:rFonts w:ascii="Calibri" w:hAnsi="Calibri"/>
          <w:b w:val="0"/>
          <w:noProof/>
          <w:kern w:val="0"/>
          <w:sz w:val="22"/>
          <w:szCs w:val="22"/>
        </w:rPr>
      </w:pPr>
      <w:hyperlink w:anchor="_Toc146270409" w:history="1">
        <w:r w:rsidR="00B6279F" w:rsidRPr="0099032D">
          <w:rPr>
            <w:rStyle w:val="Hyperlink"/>
            <w:noProof/>
          </w:rPr>
          <w:t>Part 3—Repeal</w:t>
        </w:r>
        <w:r w:rsidR="00B6279F">
          <w:rPr>
            <w:noProof/>
            <w:webHidden/>
          </w:rPr>
          <w:tab/>
        </w:r>
        <w:r w:rsidR="00B6279F">
          <w:rPr>
            <w:noProof/>
            <w:webHidden/>
          </w:rPr>
          <w:fldChar w:fldCharType="begin"/>
        </w:r>
        <w:r w:rsidR="00B6279F">
          <w:rPr>
            <w:noProof/>
            <w:webHidden/>
          </w:rPr>
          <w:instrText xml:space="preserve"> PAGEREF _Toc146270409 \h </w:instrText>
        </w:r>
        <w:r w:rsidR="00B6279F">
          <w:rPr>
            <w:noProof/>
            <w:webHidden/>
          </w:rPr>
        </w:r>
        <w:r w:rsidR="00B6279F">
          <w:rPr>
            <w:noProof/>
            <w:webHidden/>
          </w:rPr>
          <w:fldChar w:fldCharType="separate"/>
        </w:r>
        <w:r w:rsidR="00B6279F">
          <w:rPr>
            <w:noProof/>
            <w:webHidden/>
          </w:rPr>
          <w:t>4</w:t>
        </w:r>
        <w:r w:rsidR="00B6279F">
          <w:rPr>
            <w:noProof/>
            <w:webHidden/>
          </w:rPr>
          <w:fldChar w:fldCharType="end"/>
        </w:r>
      </w:hyperlink>
    </w:p>
    <w:p w14:paraId="28E1B831" w14:textId="77777777" w:rsidR="00B6279F" w:rsidRPr="0033364A" w:rsidRDefault="003F4AAE" w:rsidP="00B6279F">
      <w:pPr>
        <w:pStyle w:val="TOC2"/>
        <w:tabs>
          <w:tab w:val="left" w:pos="1474"/>
        </w:tabs>
        <w:rPr>
          <w:rFonts w:ascii="Calibri" w:hAnsi="Calibri"/>
          <w:noProof/>
          <w:kern w:val="0"/>
          <w:sz w:val="22"/>
          <w:szCs w:val="22"/>
        </w:rPr>
      </w:pPr>
      <w:hyperlink w:anchor="_Toc146270410" w:history="1">
        <w:r w:rsidR="00B6279F" w:rsidRPr="0099032D">
          <w:rPr>
            <w:rStyle w:val="Hyperlink"/>
            <w:noProof/>
          </w:rPr>
          <w:t>7</w:t>
        </w:r>
        <w:r w:rsidR="00B6279F" w:rsidRPr="0033364A">
          <w:rPr>
            <w:rFonts w:ascii="Calibri" w:hAnsi="Calibri"/>
            <w:noProof/>
            <w:kern w:val="0"/>
            <w:sz w:val="22"/>
            <w:szCs w:val="22"/>
          </w:rPr>
          <w:tab/>
        </w:r>
        <w:r w:rsidR="00B6279F" w:rsidRPr="0099032D">
          <w:rPr>
            <w:rStyle w:val="Hyperlink"/>
            <w:noProof/>
          </w:rPr>
          <w:t>Repeal</w:t>
        </w:r>
        <w:r w:rsidR="00B6279F">
          <w:rPr>
            <w:noProof/>
            <w:webHidden/>
          </w:rPr>
          <w:tab/>
        </w:r>
        <w:r w:rsidR="00B6279F">
          <w:rPr>
            <w:noProof/>
            <w:webHidden/>
          </w:rPr>
          <w:fldChar w:fldCharType="begin"/>
        </w:r>
        <w:r w:rsidR="00B6279F">
          <w:rPr>
            <w:noProof/>
            <w:webHidden/>
          </w:rPr>
          <w:instrText xml:space="preserve"> PAGEREF _Toc146270410 \h </w:instrText>
        </w:r>
        <w:r w:rsidR="00B6279F">
          <w:rPr>
            <w:noProof/>
            <w:webHidden/>
          </w:rPr>
        </w:r>
        <w:r w:rsidR="00B6279F">
          <w:rPr>
            <w:noProof/>
            <w:webHidden/>
          </w:rPr>
          <w:fldChar w:fldCharType="separate"/>
        </w:r>
        <w:r w:rsidR="00B6279F">
          <w:rPr>
            <w:noProof/>
            <w:webHidden/>
          </w:rPr>
          <w:t>4</w:t>
        </w:r>
        <w:r w:rsidR="00B6279F">
          <w:rPr>
            <w:noProof/>
            <w:webHidden/>
          </w:rPr>
          <w:fldChar w:fldCharType="end"/>
        </w:r>
      </w:hyperlink>
    </w:p>
    <w:p w14:paraId="7663EF6A" w14:textId="77777777" w:rsidR="00B6279F" w:rsidRPr="00F61B09" w:rsidRDefault="00B6279F" w:rsidP="00B6279F">
      <w:r>
        <w:rPr>
          <w:rFonts w:eastAsia="Times New Roman"/>
          <w:kern w:val="28"/>
          <w:sz w:val="28"/>
          <w:lang w:eastAsia="en-AU"/>
        </w:rPr>
        <w:fldChar w:fldCharType="end"/>
      </w:r>
    </w:p>
    <w:p w14:paraId="72E4A303" w14:textId="77777777" w:rsidR="00B6279F" w:rsidRPr="00F61B09" w:rsidRDefault="00B6279F" w:rsidP="00B6279F">
      <w:pPr>
        <w:sectPr w:rsidR="00B6279F" w:rsidRPr="00F61B09" w:rsidSect="00F4215A">
          <w:headerReference w:type="even" r:id="rId13"/>
          <w:headerReference w:type="default" r:id="rId14"/>
          <w:footerReference w:type="even" r:id="rId15"/>
          <w:footerReference w:type="default" r:id="rId16"/>
          <w:headerReference w:type="first" r:id="rId17"/>
          <w:pgSz w:w="11907" w:h="16839"/>
          <w:pgMar w:top="1098" w:right="1797" w:bottom="1440" w:left="1797" w:header="720" w:footer="709" w:gutter="0"/>
          <w:pgNumType w:fmt="lowerRoman"/>
          <w:cols w:space="708"/>
          <w:docGrid w:linePitch="360"/>
        </w:sectPr>
      </w:pPr>
    </w:p>
    <w:p w14:paraId="484EA918" w14:textId="77777777" w:rsidR="00B6279F" w:rsidRPr="00F61B09" w:rsidRDefault="00B6279F" w:rsidP="00B6279F">
      <w:pPr>
        <w:pStyle w:val="LI-Heading1"/>
      </w:pPr>
      <w:bookmarkStart w:id="1" w:name="BK_S3P1L1C1"/>
      <w:bookmarkStart w:id="2" w:name="_Toc146270401"/>
      <w:bookmarkEnd w:id="1"/>
      <w:r w:rsidRPr="006554FF">
        <w:lastRenderedPageBreak/>
        <w:t>Part </w:t>
      </w:r>
      <w:r w:rsidRPr="006E5320">
        <w:t>1</w:t>
      </w:r>
      <w:r w:rsidRPr="00F61B09">
        <w:t>—</w:t>
      </w:r>
      <w:r w:rsidRPr="00005446">
        <w:t>Preliminary</w:t>
      </w:r>
      <w:bookmarkEnd w:id="2"/>
    </w:p>
    <w:p w14:paraId="0CB9D311" w14:textId="77777777" w:rsidR="00B6279F" w:rsidRDefault="00B6279F" w:rsidP="00B6279F">
      <w:pPr>
        <w:pStyle w:val="LI-Heading2"/>
        <w:rPr>
          <w:szCs w:val="24"/>
        </w:rPr>
      </w:pPr>
      <w:bookmarkStart w:id="3" w:name="_Toc146270402"/>
      <w:r w:rsidRPr="008C0F29">
        <w:rPr>
          <w:szCs w:val="24"/>
        </w:rPr>
        <w:t>1</w:t>
      </w:r>
      <w:r>
        <w:rPr>
          <w:szCs w:val="24"/>
        </w:rPr>
        <w:tab/>
      </w:r>
      <w:r w:rsidRPr="008C0F29">
        <w:rPr>
          <w:szCs w:val="24"/>
        </w:rPr>
        <w:t>Name of legislative instrument</w:t>
      </w:r>
      <w:bookmarkEnd w:id="3"/>
    </w:p>
    <w:p w14:paraId="4FE2E261" w14:textId="77777777" w:rsidR="00B6279F" w:rsidRDefault="00B6279F" w:rsidP="00B6279F">
      <w:pPr>
        <w:pStyle w:val="LI-BodyTextUnnumbered"/>
        <w:rPr>
          <w:szCs w:val="24"/>
        </w:rPr>
      </w:pPr>
      <w:r w:rsidRPr="008C0F29">
        <w:rPr>
          <w:szCs w:val="24"/>
        </w:rPr>
        <w:t>This is</w:t>
      </w:r>
      <w:r>
        <w:rPr>
          <w:szCs w:val="24"/>
        </w:rPr>
        <w:t xml:space="preserve"> the</w:t>
      </w:r>
      <w:r w:rsidRPr="008C0F29">
        <w:rPr>
          <w:szCs w:val="24"/>
        </w:rPr>
        <w:t xml:space="preserve"> </w:t>
      </w:r>
      <w:bookmarkStart w:id="4" w:name="_Hlk146221379"/>
      <w:r w:rsidRPr="008C0F29">
        <w:rPr>
          <w:i/>
          <w:szCs w:val="24"/>
        </w:rPr>
        <w:t>A</w:t>
      </w:r>
      <w:r>
        <w:rPr>
          <w:i/>
          <w:szCs w:val="24"/>
        </w:rPr>
        <w:t xml:space="preserve">SIC Corporations </w:t>
      </w:r>
      <w:r w:rsidRPr="005D3D41">
        <w:rPr>
          <w:i/>
          <w:szCs w:val="24"/>
        </w:rPr>
        <w:t>(</w:t>
      </w:r>
      <w:r w:rsidRPr="00021640">
        <w:rPr>
          <w:i/>
          <w:szCs w:val="24"/>
        </w:rPr>
        <w:t xml:space="preserve">Bidder </w:t>
      </w:r>
      <w:r>
        <w:rPr>
          <w:i/>
          <w:szCs w:val="24"/>
        </w:rPr>
        <w:t>G</w:t>
      </w:r>
      <w:r w:rsidRPr="00021640">
        <w:rPr>
          <w:i/>
          <w:szCs w:val="24"/>
        </w:rPr>
        <w:t xml:space="preserve">iving </w:t>
      </w:r>
      <w:r>
        <w:rPr>
          <w:i/>
          <w:szCs w:val="24"/>
        </w:rPr>
        <w:t>S</w:t>
      </w:r>
      <w:r w:rsidRPr="00021640">
        <w:rPr>
          <w:i/>
          <w:szCs w:val="24"/>
        </w:rPr>
        <w:t xml:space="preserve">ubstantial </w:t>
      </w:r>
      <w:r>
        <w:rPr>
          <w:i/>
          <w:szCs w:val="24"/>
        </w:rPr>
        <w:t>H</w:t>
      </w:r>
      <w:r w:rsidRPr="00021640">
        <w:rPr>
          <w:i/>
          <w:szCs w:val="24"/>
        </w:rPr>
        <w:t xml:space="preserve">olding </w:t>
      </w:r>
      <w:r>
        <w:rPr>
          <w:i/>
          <w:szCs w:val="24"/>
        </w:rPr>
        <w:t>N</w:t>
      </w:r>
      <w:r w:rsidRPr="00021640">
        <w:rPr>
          <w:i/>
          <w:szCs w:val="24"/>
        </w:rPr>
        <w:t>otice</w:t>
      </w:r>
      <w:r w:rsidRPr="005D3D41">
        <w:rPr>
          <w:i/>
          <w:szCs w:val="24"/>
        </w:rPr>
        <w:t>) Instrument</w:t>
      </w:r>
      <w:r>
        <w:rPr>
          <w:i/>
          <w:szCs w:val="24"/>
        </w:rPr>
        <w:t xml:space="preserve"> 2023/685</w:t>
      </w:r>
      <w:bookmarkEnd w:id="4"/>
      <w:r>
        <w:rPr>
          <w:iCs/>
          <w:szCs w:val="24"/>
        </w:rPr>
        <w:t>.</w:t>
      </w:r>
    </w:p>
    <w:p w14:paraId="4E138DB6" w14:textId="77777777" w:rsidR="00B6279F" w:rsidRPr="008C0F29" w:rsidRDefault="00B6279F" w:rsidP="00B6279F">
      <w:pPr>
        <w:pStyle w:val="LI-Heading2"/>
        <w:rPr>
          <w:szCs w:val="24"/>
        </w:rPr>
      </w:pPr>
      <w:bookmarkStart w:id="5" w:name="_Toc146270403"/>
      <w:r w:rsidRPr="008C0F29">
        <w:rPr>
          <w:szCs w:val="24"/>
        </w:rPr>
        <w:t>2</w:t>
      </w:r>
      <w:r>
        <w:rPr>
          <w:szCs w:val="24"/>
        </w:rPr>
        <w:tab/>
      </w:r>
      <w:r w:rsidRPr="008C0F29">
        <w:rPr>
          <w:szCs w:val="24"/>
        </w:rPr>
        <w:t>Commencement</w:t>
      </w:r>
      <w:bookmarkEnd w:id="5"/>
    </w:p>
    <w:p w14:paraId="5F305D3A" w14:textId="77777777" w:rsidR="00B6279F" w:rsidRPr="008C0F29" w:rsidRDefault="00B6279F" w:rsidP="00B6279F">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5D75594D" w14:textId="77777777" w:rsidR="00B6279F" w:rsidRDefault="00B6279F" w:rsidP="00B6279F">
      <w:pPr>
        <w:pStyle w:val="LI-BodyTextNote"/>
      </w:pPr>
      <w:r w:rsidRPr="00F61B09">
        <w:t>Note:</w:t>
      </w:r>
      <w:r w:rsidRPr="00F61B09">
        <w:tab/>
      </w:r>
      <w:r>
        <w:t xml:space="preserve">The register </w:t>
      </w:r>
      <w:r w:rsidRPr="00572BB1">
        <w:t xml:space="preserve">may </w:t>
      </w:r>
      <w:r>
        <w:t xml:space="preserve">be accessed at </w:t>
      </w:r>
      <w:hyperlink r:id="rId18" w:history="1">
        <w:r w:rsidRPr="008B4C0E">
          <w:rPr>
            <w:rStyle w:val="Hyperlink"/>
          </w:rPr>
          <w:t>www.legislation.gov.au</w:t>
        </w:r>
      </w:hyperlink>
      <w:r>
        <w:t>.</w:t>
      </w:r>
    </w:p>
    <w:p w14:paraId="79EFDA00" w14:textId="77777777" w:rsidR="00B6279F" w:rsidRPr="008C0F29" w:rsidRDefault="00B6279F" w:rsidP="00B6279F">
      <w:pPr>
        <w:pStyle w:val="LI-Heading2"/>
        <w:spacing w:before="240"/>
        <w:rPr>
          <w:szCs w:val="24"/>
        </w:rPr>
      </w:pPr>
      <w:bookmarkStart w:id="6" w:name="_Toc146270404"/>
      <w:r w:rsidRPr="008C0F29">
        <w:rPr>
          <w:szCs w:val="24"/>
        </w:rPr>
        <w:t>3</w:t>
      </w:r>
      <w:r>
        <w:rPr>
          <w:szCs w:val="24"/>
        </w:rPr>
        <w:tab/>
      </w:r>
      <w:r w:rsidRPr="008C0F29">
        <w:rPr>
          <w:szCs w:val="24"/>
        </w:rPr>
        <w:t>Authority</w:t>
      </w:r>
      <w:bookmarkEnd w:id="6"/>
    </w:p>
    <w:p w14:paraId="018B3BF2" w14:textId="77777777" w:rsidR="00B6279F" w:rsidRDefault="00B6279F" w:rsidP="00B6279F">
      <w:pPr>
        <w:pStyle w:val="LI-BodyTextUnnumbered"/>
        <w:rPr>
          <w:szCs w:val="24"/>
        </w:rPr>
      </w:pPr>
      <w:r w:rsidRPr="008C0F29">
        <w:rPr>
          <w:szCs w:val="24"/>
        </w:rPr>
        <w:t xml:space="preserve">This instrument is made under </w:t>
      </w:r>
      <w:r w:rsidRPr="00021640">
        <w:rPr>
          <w:szCs w:val="24"/>
        </w:rPr>
        <w:t xml:space="preserve">paragraph 673(1)(a) of </w:t>
      </w:r>
      <w:r>
        <w:rPr>
          <w:szCs w:val="24"/>
        </w:rPr>
        <w:t>t</w:t>
      </w:r>
      <w:r w:rsidRPr="00021640">
        <w:rPr>
          <w:szCs w:val="24"/>
        </w:rPr>
        <w:t xml:space="preserve">he </w:t>
      </w:r>
      <w:r w:rsidRPr="00C83D31">
        <w:rPr>
          <w:i/>
          <w:iCs/>
          <w:szCs w:val="24"/>
        </w:rPr>
        <w:t>Corporations Act 2001</w:t>
      </w:r>
      <w:r w:rsidRPr="00021640">
        <w:rPr>
          <w:szCs w:val="24"/>
        </w:rPr>
        <w:t>.</w:t>
      </w:r>
    </w:p>
    <w:p w14:paraId="558775D3" w14:textId="77777777" w:rsidR="00B6279F" w:rsidRDefault="00B6279F" w:rsidP="00B6279F">
      <w:pPr>
        <w:pStyle w:val="LI-Heading2"/>
        <w:spacing w:before="240"/>
        <w:rPr>
          <w:szCs w:val="24"/>
        </w:rPr>
      </w:pPr>
      <w:bookmarkStart w:id="7" w:name="_Toc420481485"/>
      <w:bookmarkStart w:id="8" w:name="_Toc111626657"/>
      <w:bookmarkStart w:id="9" w:name="_Toc146270405"/>
      <w:r>
        <w:rPr>
          <w:szCs w:val="24"/>
        </w:rPr>
        <w:t>4</w:t>
      </w:r>
      <w:r>
        <w:rPr>
          <w:szCs w:val="24"/>
        </w:rPr>
        <w:tab/>
        <w:t>Definitions</w:t>
      </w:r>
      <w:bookmarkEnd w:id="7"/>
      <w:bookmarkEnd w:id="8"/>
      <w:bookmarkEnd w:id="9"/>
    </w:p>
    <w:p w14:paraId="48C0015C" w14:textId="77777777" w:rsidR="00B6279F" w:rsidRDefault="00B6279F" w:rsidP="00B6279F">
      <w:pPr>
        <w:pStyle w:val="LI-BodyTextUnnumbered"/>
      </w:pPr>
      <w:r>
        <w:t>In this instrument:</w:t>
      </w:r>
    </w:p>
    <w:p w14:paraId="09010655" w14:textId="77777777" w:rsidR="00B6279F" w:rsidRPr="00A012FF" w:rsidRDefault="00B6279F" w:rsidP="00B6279F">
      <w:pPr>
        <w:pStyle w:val="LI-BodyTextUnnumbered"/>
        <w:rPr>
          <w:b/>
        </w:rPr>
      </w:pPr>
      <w:r>
        <w:rPr>
          <w:b/>
          <w:i/>
        </w:rPr>
        <w:t>Act</w:t>
      </w:r>
      <w:r>
        <w:t xml:space="preserve"> means the </w:t>
      </w:r>
      <w:r>
        <w:rPr>
          <w:i/>
          <w:iCs/>
        </w:rPr>
        <w:t>Corporations Act 2001</w:t>
      </w:r>
      <w:r>
        <w:t>.</w:t>
      </w:r>
    </w:p>
    <w:p w14:paraId="075CB18A" w14:textId="77777777" w:rsidR="00B6279F" w:rsidRPr="00F61B09" w:rsidRDefault="00B6279F" w:rsidP="00B6279F">
      <w:pPr>
        <w:pStyle w:val="LI-Heading1"/>
        <w:ind w:left="1138" w:hanging="1138"/>
      </w:pPr>
      <w:bookmarkStart w:id="10" w:name="_Toc146270406"/>
      <w:r w:rsidRPr="006554FF">
        <w:t xml:space="preserve">Part </w:t>
      </w:r>
      <w:r w:rsidRPr="006E5320">
        <w:t>2</w:t>
      </w:r>
      <w:r w:rsidRPr="00F61B09">
        <w:t>—Exemption</w:t>
      </w:r>
      <w:bookmarkEnd w:id="10"/>
    </w:p>
    <w:p w14:paraId="0A13B9A0" w14:textId="77777777" w:rsidR="00B6279F" w:rsidRPr="005D3D41" w:rsidRDefault="00B6279F" w:rsidP="00B6279F">
      <w:pPr>
        <w:pStyle w:val="LI-Heading2"/>
      </w:pPr>
      <w:bookmarkStart w:id="11" w:name="_Toc146270407"/>
      <w:r>
        <w:t>5</w:t>
      </w:r>
      <w:r>
        <w:tab/>
      </w:r>
      <w:r w:rsidRPr="00021640">
        <w:t>Bidder giving substantial holding notice</w:t>
      </w:r>
      <w:bookmarkEnd w:id="11"/>
    </w:p>
    <w:p w14:paraId="31C4F556" w14:textId="77777777" w:rsidR="00B6279F" w:rsidRDefault="00B6279F" w:rsidP="00B6279F">
      <w:pPr>
        <w:pStyle w:val="LI-BodyTextNumbered"/>
        <w:rPr>
          <w:lang w:val="en-US" w:eastAsia="en-US"/>
        </w:rPr>
      </w:pPr>
      <w:r>
        <w:rPr>
          <w:lang w:val="en-US"/>
        </w:rPr>
        <w:t>(1)</w:t>
      </w:r>
      <w:r>
        <w:rPr>
          <w:lang w:val="en-US"/>
        </w:rPr>
        <w:tab/>
        <w:t>A bidder under a takeover bid and each of its associates is exempt from subsection 671B(1) of the Act to the extent that that subsection would otherwise require:</w:t>
      </w:r>
    </w:p>
    <w:p w14:paraId="6C049F49" w14:textId="77777777" w:rsidR="00B6279F" w:rsidRDefault="00B6279F" w:rsidP="00B6279F">
      <w:pPr>
        <w:pStyle w:val="LI-BodyTextParaa"/>
        <w:rPr>
          <w:lang w:val="en-US"/>
        </w:rPr>
      </w:pPr>
      <w:r>
        <w:rPr>
          <w:lang w:val="en-US"/>
        </w:rPr>
        <w:t>(a)</w:t>
      </w:r>
      <w:r>
        <w:rPr>
          <w:lang w:val="en-US"/>
        </w:rPr>
        <w:tab/>
        <w:t xml:space="preserve">the bidder to give the name and address of a person who has </w:t>
      </w:r>
      <w:r>
        <w:t>accepted an offer made under the bid and who, as at the time the information referred to in subsection 671B(3) is given, remains a registered holder of the securities to which the offer relates; or</w:t>
      </w:r>
    </w:p>
    <w:p w14:paraId="085F9275" w14:textId="77777777" w:rsidR="00B6279F" w:rsidRDefault="00B6279F" w:rsidP="00B6279F">
      <w:pPr>
        <w:pStyle w:val="LI-BodyTextParaa"/>
        <w:rPr>
          <w:lang w:val="en-US"/>
        </w:rPr>
      </w:pPr>
      <w:r>
        <w:rPr>
          <w:lang w:val="en-US"/>
        </w:rPr>
        <w:t>(b)</w:t>
      </w:r>
      <w:r>
        <w:rPr>
          <w:lang w:val="en-US"/>
        </w:rPr>
        <w:tab/>
        <w:t xml:space="preserve">the information referred to in subsection 671B(3) of the Act relating to acceptances of offers under the takeover bid to be accompanied by copies of the bidder’s statement, the takeover offer </w:t>
      </w:r>
      <w:proofErr w:type="gramStart"/>
      <w:r>
        <w:rPr>
          <w:lang w:val="en-US"/>
        </w:rPr>
        <w:t>document</w:t>
      </w:r>
      <w:proofErr w:type="gramEnd"/>
      <w:r>
        <w:rPr>
          <w:lang w:val="en-US"/>
        </w:rPr>
        <w:t xml:space="preserve"> or any acceptance forms.</w:t>
      </w:r>
    </w:p>
    <w:p w14:paraId="55824B60" w14:textId="77777777" w:rsidR="00B6279F" w:rsidRDefault="00B6279F" w:rsidP="00B6279F">
      <w:pPr>
        <w:pStyle w:val="LI-BodyTextNumbered"/>
        <w:rPr>
          <w:lang w:val="en-US"/>
        </w:rPr>
      </w:pPr>
      <w:r>
        <w:rPr>
          <w:lang w:val="en-US"/>
        </w:rPr>
        <w:t>(2)</w:t>
      </w:r>
      <w:r>
        <w:rPr>
          <w:lang w:val="en-US"/>
        </w:rPr>
        <w:tab/>
        <w:t>The exemption in paragraph (1)(a) does not apply to the extent the bidder is required to name the person other than merely because the person has accepted the offer under the bid.</w:t>
      </w:r>
    </w:p>
    <w:p w14:paraId="0292768C" w14:textId="77777777" w:rsidR="00B6279F" w:rsidRDefault="00B6279F" w:rsidP="00B6279F">
      <w:pPr>
        <w:pStyle w:val="LI-Heading2"/>
      </w:pPr>
      <w:bookmarkStart w:id="12" w:name="_Toc146270408"/>
      <w:r>
        <w:lastRenderedPageBreak/>
        <w:t>6</w:t>
      </w:r>
      <w:r w:rsidRPr="005D3D41">
        <w:tab/>
        <w:t>Condition</w:t>
      </w:r>
      <w:bookmarkEnd w:id="12"/>
    </w:p>
    <w:p w14:paraId="47DA9613" w14:textId="77777777" w:rsidR="00B6279F" w:rsidRPr="00021640" w:rsidRDefault="00B6279F" w:rsidP="00B6279F">
      <w:pPr>
        <w:pStyle w:val="LI-BodyTextNumbered"/>
      </w:pPr>
      <w:r w:rsidRPr="00021640">
        <w:tab/>
        <w:t>The bidder must give the following information to the target by no later than the next business day after receiving a request in writing from the target:</w:t>
      </w:r>
    </w:p>
    <w:p w14:paraId="27BC401B" w14:textId="77777777" w:rsidR="00B6279F" w:rsidRPr="00021640" w:rsidRDefault="00B6279F" w:rsidP="00B6279F">
      <w:pPr>
        <w:pStyle w:val="LI-BodyTextParaa"/>
      </w:pPr>
      <w:r w:rsidRPr="00021640">
        <w:t xml:space="preserve">(a) </w:t>
      </w:r>
      <w:r w:rsidRPr="00021640">
        <w:tab/>
        <w:t>the name and address of each person who has accepted the offer under the bid and who, as at the time the information is given, remains a registered holder of the securities to which the offer relates; and</w:t>
      </w:r>
    </w:p>
    <w:p w14:paraId="7BF4172F" w14:textId="77777777" w:rsidR="00B6279F" w:rsidRDefault="00B6279F" w:rsidP="00B6279F">
      <w:pPr>
        <w:pStyle w:val="LI-BodyTextParaa"/>
      </w:pPr>
      <w:r w:rsidRPr="00021640">
        <w:t>(b)</w:t>
      </w:r>
      <w:r w:rsidRPr="00021640">
        <w:tab/>
        <w:t>for each such person, the number of securities held by the person in respect of which the bidder has a relevant interest because of the person’s acceptance of the offer under the bid</w:t>
      </w:r>
      <w:r>
        <w:t>.</w:t>
      </w:r>
    </w:p>
    <w:p w14:paraId="5E2A5BEF" w14:textId="77777777" w:rsidR="00B6279F" w:rsidRPr="00F61B09" w:rsidRDefault="00B6279F" w:rsidP="00B6279F">
      <w:pPr>
        <w:pStyle w:val="LI-Heading1"/>
        <w:ind w:left="0" w:firstLine="0"/>
      </w:pPr>
      <w:bookmarkStart w:id="13" w:name="_Toc139968506"/>
      <w:bookmarkStart w:id="14" w:name="_Toc146270409"/>
      <w:r>
        <w:t>Pa</w:t>
      </w:r>
      <w:r w:rsidRPr="006E5320">
        <w:t>rt </w:t>
      </w:r>
      <w:r>
        <w:t>3</w:t>
      </w:r>
      <w:r w:rsidRPr="006554FF">
        <w:t>—</w:t>
      </w:r>
      <w:r>
        <w:t>Repeal</w:t>
      </w:r>
      <w:bookmarkEnd w:id="13"/>
      <w:bookmarkEnd w:id="14"/>
    </w:p>
    <w:p w14:paraId="1A15D564" w14:textId="77777777" w:rsidR="00B6279F" w:rsidRDefault="00B6279F" w:rsidP="00B6279F">
      <w:pPr>
        <w:pStyle w:val="LI-Heading2"/>
      </w:pPr>
      <w:bookmarkStart w:id="15" w:name="_Toc139968507"/>
      <w:bookmarkStart w:id="16" w:name="_Toc146270410"/>
      <w:r>
        <w:t>7</w:t>
      </w:r>
      <w:r>
        <w:tab/>
      </w:r>
      <w:bookmarkEnd w:id="15"/>
      <w:r>
        <w:t>Repeal</w:t>
      </w:r>
      <w:bookmarkEnd w:id="16"/>
    </w:p>
    <w:p w14:paraId="50F34F75" w14:textId="568A0BD1" w:rsidR="000D0233" w:rsidRDefault="00B6279F" w:rsidP="00B6279F">
      <w:pPr>
        <w:pStyle w:val="LI-BodyTextNumbered"/>
        <w:ind w:firstLine="0"/>
      </w:pPr>
      <w:r w:rsidRPr="009B7050">
        <w:t>This instrument is repealed at the start of 1 October 202</w:t>
      </w:r>
      <w:r>
        <w:t>8</w:t>
      </w:r>
      <w:r w:rsidRPr="009B7050">
        <w:t>.</w:t>
      </w:r>
    </w:p>
    <w:sectPr w:rsidR="000D0233" w:rsidSect="0040053F">
      <w:headerReference w:type="even" r:id="rId19"/>
      <w:headerReference w:type="default" r:id="rId20"/>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E642" w14:textId="77777777" w:rsidR="00FE3940" w:rsidRDefault="00475466">
      <w:pPr>
        <w:spacing w:line="240" w:lineRule="auto"/>
      </w:pPr>
      <w:r>
        <w:separator/>
      </w:r>
    </w:p>
  </w:endnote>
  <w:endnote w:type="continuationSeparator" w:id="0">
    <w:p w14:paraId="2E45E9B5" w14:textId="77777777" w:rsidR="00FE3940" w:rsidRDefault="00475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4A0" w:firstRow="1" w:lastRow="0" w:firstColumn="1" w:lastColumn="0" w:noHBand="0" w:noVBand="1"/>
    </w:tblPr>
    <w:tblGrid>
      <w:gridCol w:w="8313"/>
    </w:tblGrid>
    <w:tr w:rsidR="00102CA6" w:rsidRPr="00081794" w14:paraId="550D6544" w14:textId="77777777" w:rsidTr="00081794">
      <w:tc>
        <w:tcPr>
          <w:tcW w:w="8472" w:type="dxa"/>
          <w:shd w:val="clear" w:color="auto" w:fill="auto"/>
        </w:tcPr>
        <w:p w14:paraId="4FD90E7B" w14:textId="77777777" w:rsidR="00102CA6" w:rsidRPr="00081794" w:rsidRDefault="00B6279F" w:rsidP="00081794">
          <w:pPr>
            <w:jc w:val="right"/>
            <w:rPr>
              <w:sz w:val="18"/>
            </w:rPr>
          </w:pPr>
          <w:r>
            <w:rPr>
              <w:noProof/>
            </w:rPr>
            <mc:AlternateContent>
              <mc:Choice Requires="wps">
                <w:drawing>
                  <wp:anchor distT="0" distB="0" distL="114300" distR="114300" simplePos="0" relativeHeight="251662336" behindDoc="1" locked="0" layoutInCell="1" allowOverlap="1" wp14:anchorId="08666EEE" wp14:editId="5CBA5775">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8DC9CAF" w14:textId="77777777" w:rsidR="00102CA6" w:rsidRPr="00284719" w:rsidRDefault="00B6279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66EE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18DC9CAF" w14:textId="77777777" w:rsidR="00102CA6" w:rsidRPr="00284719" w:rsidRDefault="00B6279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DF2C0B5" w14:textId="77777777" w:rsidR="00102CA6" w:rsidRPr="007500C8" w:rsidRDefault="003F4AA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F68A" w14:textId="77777777" w:rsidR="00102CA6" w:rsidRDefault="00B6279F" w:rsidP="007500C8">
    <w:pPr>
      <w:pStyle w:val="Footer"/>
    </w:pPr>
    <w:r>
      <w:rPr>
        <w:noProof/>
      </w:rPr>
      <mc:AlternateContent>
        <mc:Choice Requires="wps">
          <w:drawing>
            <wp:anchor distT="0" distB="0" distL="114300" distR="114300" simplePos="0" relativeHeight="251661312" behindDoc="1" locked="0" layoutInCell="1" allowOverlap="1" wp14:anchorId="73BA09C7" wp14:editId="4316152C">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B8EEDB0" w14:textId="77777777" w:rsidR="00102CA6" w:rsidRPr="00284719" w:rsidRDefault="003F4AA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A09C7"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0B8EEDB0" w14:textId="77777777" w:rsidR="00102CA6" w:rsidRPr="00284719" w:rsidRDefault="003F4AAE" w:rsidP="00284719">
                    <w:pPr>
                      <w:jc w:val="center"/>
                      <w:rPr>
                        <w:rFonts w:ascii="Arial" w:hAnsi="Arial" w:cs="Arial"/>
                        <w:b/>
                        <w:sz w:val="40"/>
                      </w:rPr>
                    </w:pPr>
                  </w:p>
                </w:txbxContent>
              </v:textbox>
              <w10:wrap anchory="page"/>
            </v:shape>
          </w:pict>
        </mc:Fallback>
      </mc:AlternateContent>
    </w:r>
  </w:p>
  <w:tbl>
    <w:tblPr>
      <w:tblW w:w="0" w:type="dxa"/>
      <w:tblLook w:val="04A0" w:firstRow="1" w:lastRow="0" w:firstColumn="1" w:lastColumn="0" w:noHBand="0" w:noVBand="1"/>
    </w:tblPr>
    <w:tblGrid>
      <w:gridCol w:w="8313"/>
    </w:tblGrid>
    <w:tr w:rsidR="00102CA6" w:rsidRPr="00081794" w14:paraId="1374CE88" w14:textId="77777777" w:rsidTr="00081794">
      <w:tc>
        <w:tcPr>
          <w:tcW w:w="8472" w:type="dxa"/>
          <w:shd w:val="clear" w:color="auto" w:fill="auto"/>
        </w:tcPr>
        <w:p w14:paraId="6994FB2D" w14:textId="77777777" w:rsidR="00102CA6" w:rsidRPr="00081794" w:rsidRDefault="003F4AAE" w:rsidP="00102CA6">
          <w:pPr>
            <w:rPr>
              <w:sz w:val="18"/>
            </w:rPr>
          </w:pPr>
        </w:p>
      </w:tc>
    </w:tr>
  </w:tbl>
  <w:p w14:paraId="03240170" w14:textId="77777777" w:rsidR="00102CA6" w:rsidRPr="007500C8" w:rsidRDefault="003F4AA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B191" w14:textId="77777777" w:rsidR="00102CA6" w:rsidRPr="00ED79B6" w:rsidRDefault="003F4AA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F399" w14:textId="77777777" w:rsidR="00102CA6" w:rsidRPr="00E2168B" w:rsidRDefault="00B6279F"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4EE4" w14:textId="77777777" w:rsidR="00102CA6" w:rsidRPr="00E33C1C" w:rsidRDefault="00B6279F"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0D04" w14:textId="77777777" w:rsidR="00FE3940" w:rsidRDefault="00475466">
      <w:pPr>
        <w:spacing w:line="240" w:lineRule="auto"/>
      </w:pPr>
      <w:r>
        <w:separator/>
      </w:r>
    </w:p>
  </w:footnote>
  <w:footnote w:type="continuationSeparator" w:id="0">
    <w:p w14:paraId="16B9C050" w14:textId="77777777" w:rsidR="00FE3940" w:rsidRDefault="00475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4564" w14:textId="77777777" w:rsidR="00102CA6" w:rsidRPr="005F1388" w:rsidRDefault="00B6279F"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7C7D32F" wp14:editId="47FDBA5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DABCBFA" w14:textId="77777777" w:rsidR="00102CA6" w:rsidRPr="00284719" w:rsidRDefault="00B6279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D32F"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3DABCBFA" w14:textId="77777777" w:rsidR="00102CA6" w:rsidRPr="00284719" w:rsidRDefault="00B6279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886A" w14:textId="77777777" w:rsidR="00102CA6" w:rsidRPr="005F1388" w:rsidRDefault="00B6279F"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BE39192" wp14:editId="14547DAF">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6B8DE7A" w14:textId="77777777" w:rsidR="00102CA6" w:rsidRPr="00284719" w:rsidRDefault="003F4AA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39192"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26B8DE7A" w14:textId="77777777" w:rsidR="00102CA6" w:rsidRPr="00284719" w:rsidRDefault="003F4AA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536A" w14:textId="77777777" w:rsidR="00102CA6" w:rsidRPr="005F1388" w:rsidRDefault="003F4A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B534" w14:textId="77777777" w:rsidR="00102CA6" w:rsidRDefault="00B6279F"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77DB04B" w14:textId="77777777" w:rsidTr="00BF75C9">
      <w:tc>
        <w:tcPr>
          <w:tcW w:w="6804" w:type="dxa"/>
          <w:shd w:val="clear" w:color="auto" w:fill="auto"/>
        </w:tcPr>
        <w:p w14:paraId="10CB6DEA" w14:textId="7CE93373" w:rsidR="00F4215A" w:rsidRDefault="003F4AA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(Bidder Giving Substantial Holding Notice) Instrument 2023/685</w:t>
          </w:r>
          <w:r>
            <w:rPr>
              <w:noProof/>
            </w:rPr>
            <w:fldChar w:fldCharType="end"/>
          </w:r>
        </w:p>
      </w:tc>
      <w:tc>
        <w:tcPr>
          <w:tcW w:w="1509" w:type="dxa"/>
          <w:shd w:val="clear" w:color="auto" w:fill="auto"/>
        </w:tcPr>
        <w:p w14:paraId="67446FB0" w14:textId="77777777" w:rsidR="00F4215A" w:rsidRDefault="003F4AAE" w:rsidP="00E40FF8">
          <w:pPr>
            <w:pStyle w:val="LI-Header"/>
            <w:pBdr>
              <w:bottom w:val="none" w:sz="0" w:space="0" w:color="auto"/>
            </w:pBdr>
          </w:pPr>
        </w:p>
      </w:tc>
    </w:tr>
  </w:tbl>
  <w:p w14:paraId="3BE102AA" w14:textId="77777777" w:rsidR="00102CA6" w:rsidRPr="008945E0" w:rsidRDefault="003F4AAE"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5048" w14:textId="77777777" w:rsidR="00102CA6" w:rsidRPr="00ED79B6" w:rsidRDefault="003F4A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18D1" w14:textId="77777777" w:rsidR="00E2168B" w:rsidRPr="00243EC0" w:rsidRDefault="00B6279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503BF5A" w14:textId="77777777" w:rsidTr="00BF75C9">
      <w:tc>
        <w:tcPr>
          <w:tcW w:w="6804" w:type="dxa"/>
          <w:shd w:val="clear" w:color="auto" w:fill="auto"/>
        </w:tcPr>
        <w:p w14:paraId="536632CB" w14:textId="1A27434E" w:rsidR="00F4215A" w:rsidRDefault="003F4AA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(Bidder Giving Substantial Holding Notice) Instrument 2023/685</w:t>
          </w:r>
          <w:r>
            <w:rPr>
              <w:noProof/>
            </w:rPr>
            <w:fldChar w:fldCharType="end"/>
          </w:r>
        </w:p>
      </w:tc>
      <w:tc>
        <w:tcPr>
          <w:tcW w:w="1509" w:type="dxa"/>
          <w:shd w:val="clear" w:color="auto" w:fill="auto"/>
        </w:tcPr>
        <w:p w14:paraId="12B78205" w14:textId="16EA2DDF" w:rsidR="00F4215A" w:rsidRDefault="003F4AAE" w:rsidP="00E40FF8">
          <w:pPr>
            <w:pStyle w:val="LI-Header"/>
            <w:pBdr>
              <w:bottom w:val="none" w:sz="0" w:space="0" w:color="auto"/>
            </w:pBdr>
          </w:pPr>
          <w:r>
            <w:fldChar w:fldCharType="begin"/>
          </w:r>
          <w:r>
            <w:instrText xml:space="preserve"> STYLEREF  "LI - Heading 1" </w:instrText>
          </w:r>
          <w:r>
            <w:fldChar w:fldCharType="separate"/>
          </w:r>
          <w:r>
            <w:rPr>
              <w:noProof/>
            </w:rPr>
            <w:t>Part 3—Repeal</w:t>
          </w:r>
          <w:r>
            <w:rPr>
              <w:noProof/>
            </w:rPr>
            <w:fldChar w:fldCharType="end"/>
          </w:r>
        </w:p>
      </w:tc>
    </w:tr>
  </w:tbl>
  <w:p w14:paraId="1BD0A8C1" w14:textId="77777777" w:rsidR="0040053F" w:rsidRPr="00F4215A" w:rsidRDefault="003F4AAE" w:rsidP="00F42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9F"/>
    <w:rsid w:val="003F4AAE"/>
    <w:rsid w:val="00475466"/>
    <w:rsid w:val="00754E87"/>
    <w:rsid w:val="00AC056F"/>
    <w:rsid w:val="00B206A0"/>
    <w:rsid w:val="00B6279F"/>
    <w:rsid w:val="00FE3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CB0D"/>
  <w15:chartTrackingRefBased/>
  <w15:docId w15:val="{C3C5B9EC-C857-4F0F-8319-D1551558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279F"/>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B6279F"/>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B6279F"/>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B6279F"/>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B6279F"/>
    <w:pPr>
      <w:spacing w:before="240" w:line="240" w:lineRule="auto"/>
      <w:ind w:left="1134"/>
    </w:pPr>
    <w:rPr>
      <w:rFonts w:eastAsia="Times New Roman"/>
      <w:sz w:val="24"/>
      <w:lang w:eastAsia="en-AU"/>
    </w:rPr>
  </w:style>
  <w:style w:type="paragraph" w:styleId="Header">
    <w:name w:val="header"/>
    <w:basedOn w:val="Normal"/>
    <w:link w:val="HeaderChar"/>
    <w:unhideWhenUsed/>
    <w:rsid w:val="00B6279F"/>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B6279F"/>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B6279F"/>
    <w:pPr>
      <w:spacing w:before="240" w:line="240" w:lineRule="auto"/>
      <w:ind w:left="1701" w:hanging="567"/>
    </w:pPr>
    <w:rPr>
      <w:rFonts w:eastAsia="Times New Roman"/>
      <w:sz w:val="24"/>
      <w:szCs w:val="24"/>
      <w:lang w:eastAsia="en-AU"/>
    </w:rPr>
  </w:style>
  <w:style w:type="paragraph" w:styleId="TOC1">
    <w:name w:val="toc 1"/>
    <w:basedOn w:val="Normal"/>
    <w:next w:val="Normal"/>
    <w:uiPriority w:val="39"/>
    <w:unhideWhenUsed/>
    <w:rsid w:val="00B6279F"/>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B6279F"/>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B6279F"/>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B6279F"/>
    <w:rPr>
      <w:rFonts w:ascii="Times New Roman" w:eastAsia="Times New Roman" w:hAnsi="Times New Roman" w:cs="Times New Roman"/>
      <w:szCs w:val="24"/>
      <w:lang w:eastAsia="en-AU"/>
    </w:rPr>
  </w:style>
  <w:style w:type="paragraph" w:customStyle="1" w:styleId="LI-Fronttext">
    <w:name w:val="LI - Front text"/>
    <w:basedOn w:val="Normal"/>
    <w:next w:val="Normal"/>
    <w:rsid w:val="00B6279F"/>
    <w:pPr>
      <w:spacing w:before="240"/>
      <w:ind w:right="397"/>
    </w:pPr>
    <w:rPr>
      <w:rFonts w:eastAsia="Times New Roman"/>
      <w:lang w:eastAsia="en-AU"/>
    </w:rPr>
  </w:style>
  <w:style w:type="paragraph" w:customStyle="1" w:styleId="LI-BodyTextNote">
    <w:name w:val="LI - Body Text Note"/>
    <w:basedOn w:val="Normal"/>
    <w:link w:val="LI-BodyTextNoteChar"/>
    <w:rsid w:val="00B6279F"/>
    <w:pPr>
      <w:spacing w:before="200" w:line="240" w:lineRule="auto"/>
      <w:ind w:left="1701" w:hanging="567"/>
    </w:pPr>
    <w:rPr>
      <w:rFonts w:eastAsia="Times New Roman"/>
      <w:sz w:val="18"/>
      <w:lang w:eastAsia="en-AU"/>
    </w:rPr>
  </w:style>
  <w:style w:type="character" w:styleId="Hyperlink">
    <w:name w:val="Hyperlink"/>
    <w:uiPriority w:val="99"/>
    <w:rsid w:val="00B6279F"/>
    <w:rPr>
      <w:color w:val="0000FF"/>
      <w:u w:val="single"/>
    </w:rPr>
  </w:style>
  <w:style w:type="character" w:customStyle="1" w:styleId="LI-BodyTextParaaChar">
    <w:name w:val="LI - Body Text Para (a) Char"/>
    <w:link w:val="LI-BodyTextParaa"/>
    <w:rsid w:val="00B6279F"/>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B6279F"/>
    <w:pPr>
      <w:ind w:hanging="567"/>
    </w:pPr>
    <w:rPr>
      <w:szCs w:val="24"/>
    </w:rPr>
  </w:style>
  <w:style w:type="paragraph" w:customStyle="1" w:styleId="LI-Footer">
    <w:name w:val="LI - Footer"/>
    <w:basedOn w:val="Normal"/>
    <w:link w:val="LI-FooterChar"/>
    <w:qFormat/>
    <w:rsid w:val="00B6279F"/>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B6279F"/>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B6279F"/>
    <w:rPr>
      <w:rFonts w:ascii="Times New Roman" w:eastAsia="Times New Roman" w:hAnsi="Times New Roman" w:cs="Times New Roman"/>
      <w:sz w:val="24"/>
      <w:szCs w:val="24"/>
      <w:lang w:eastAsia="en-AU"/>
    </w:rPr>
  </w:style>
  <w:style w:type="character" w:customStyle="1" w:styleId="LI-FooterChar">
    <w:name w:val="LI - Footer Char"/>
    <w:link w:val="LI-Footer"/>
    <w:rsid w:val="00B6279F"/>
    <w:rPr>
      <w:rFonts w:ascii="Times New Roman" w:eastAsia="Calibri" w:hAnsi="Times New Roman" w:cs="Times New Roman"/>
      <w:i/>
      <w:sz w:val="18"/>
      <w:szCs w:val="20"/>
    </w:rPr>
  </w:style>
  <w:style w:type="character" w:customStyle="1" w:styleId="LI-BodyTextNoteChar">
    <w:name w:val="LI - Body Text Note Char"/>
    <w:link w:val="LI-BodyTextNote"/>
    <w:rsid w:val="00B6279F"/>
    <w:rPr>
      <w:rFonts w:ascii="Times New Roman" w:eastAsia="Times New Roman" w:hAnsi="Times New Roman" w:cs="Times New Roman"/>
      <w:sz w:val="18"/>
      <w:szCs w:val="20"/>
      <w:lang w:eastAsia="en-AU"/>
    </w:rPr>
  </w:style>
  <w:style w:type="paragraph" w:customStyle="1" w:styleId="LI-Header">
    <w:name w:val="LI - Header"/>
    <w:basedOn w:val="LI-Footer"/>
    <w:link w:val="LI-HeaderChar"/>
    <w:qFormat/>
    <w:rsid w:val="00B6279F"/>
    <w:pPr>
      <w:pBdr>
        <w:top w:val="none" w:sz="0" w:space="0" w:color="auto"/>
        <w:bottom w:val="single" w:sz="4" w:space="1" w:color="auto"/>
      </w:pBdr>
      <w:jc w:val="right"/>
    </w:pPr>
  </w:style>
  <w:style w:type="character" w:customStyle="1" w:styleId="LI-HeaderChar">
    <w:name w:val="LI - Header Char"/>
    <w:basedOn w:val="LI-FooterChar"/>
    <w:link w:val="LI-Header"/>
    <w:rsid w:val="00B6279F"/>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legislation.gov.a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Bevins</dc:creator>
  <cp:keywords/>
  <dc:description/>
  <cp:lastModifiedBy>Narelle Kane</cp:lastModifiedBy>
  <cp:revision>3</cp:revision>
  <dcterms:created xsi:type="dcterms:W3CDTF">2023-09-26T03:32:00Z</dcterms:created>
  <dcterms:modified xsi:type="dcterms:W3CDTF">2023-09-26T03:32:00Z</dcterms:modified>
</cp:coreProperties>
</file>